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3D3BEF" w:rsidRPr="00B70DE1" w:rsidP="003D3BEF" w14:paraId="47F9BB94" w14:textId="77777777">
      <w:pPr>
        <w:pStyle w:val="Heading1"/>
        <w:spacing w:line="269" w:lineRule="auto"/>
        <w:rPr>
          <w:rtl/>
        </w:rPr>
      </w:pPr>
      <w:bookmarkStart w:id="0" w:name="_Toc47260074"/>
      <w:r w:rsidRPr="00B70DE1">
        <w:rPr>
          <w:rFonts w:hint="cs"/>
          <w:rtl/>
        </w:rPr>
        <w:t>תאגידי מים וביוב</w:t>
      </w:r>
      <w:r>
        <w:rPr>
          <w:rFonts w:hint="cs"/>
          <w:rtl/>
        </w:rPr>
        <w:t xml:space="preserve"> - אסדרה, ניהול ופיקוח</w:t>
      </w:r>
    </w:p>
    <w:p w:rsidR="003D3BEF" w:rsidP="003D3BEF" w14:paraId="529E007F" w14:textId="77777777">
      <w:pPr>
        <w:pStyle w:val="Heading3"/>
        <w:spacing w:before="0" w:line="269" w:lineRule="auto"/>
        <w:rPr>
          <w:rtl/>
        </w:rPr>
      </w:pPr>
      <w:r>
        <w:rPr>
          <w:rFonts w:hint="cs"/>
          <w:rtl/>
        </w:rPr>
        <w:t>מ</w:t>
      </w:r>
      <w:r w:rsidRPr="00765218">
        <w:rPr>
          <w:rFonts w:hint="eastAsia"/>
          <w:rtl/>
        </w:rPr>
        <w:t>בוא</w:t>
      </w:r>
      <w:bookmarkEnd w:id="0"/>
      <w:r>
        <w:rPr>
          <w:rFonts w:hint="cs"/>
          <w:rtl/>
        </w:rPr>
        <w:t xml:space="preserve"> </w:t>
      </w:r>
    </w:p>
    <w:p w:rsidR="003D3BEF" w:rsidRPr="00872868" w:rsidP="003D3BEF" w14:paraId="1285D8EA" w14:textId="77777777">
      <w:pPr>
        <w:pStyle w:val="a"/>
        <w:spacing w:line="269" w:lineRule="auto"/>
        <w:rPr>
          <w:rtl/>
        </w:rPr>
      </w:pPr>
    </w:p>
    <w:p w:rsidR="003D3BEF" w:rsidP="003D3BEF" w14:paraId="33DF3524" w14:textId="77777777">
      <w:pPr>
        <w:spacing w:line="269" w:lineRule="auto"/>
        <w:rPr>
          <w:rtl/>
        </w:rPr>
      </w:pPr>
      <w:r>
        <w:rPr>
          <w:rFonts w:hint="cs"/>
          <w:rtl/>
        </w:rPr>
        <w:t>מים הם מצרך בסיסי וחיוני. מדינת ישראל שמה לה למטרה לאפשר אספקת מים סדירה ואמינה לכל צרכני המים באיכות ובכמות הנדרשות, במחירים סבירים, תוך שימור מקורות המים לדורות הבאים. את משק המים מפעילים ספקי שירותי מים וביוב שונים הנבדלים בין היתר בכמויות המים ובסוגי המים שהם מספקים, בגודל האוכלוסייה שהם משרתים ובהיקף הכספי של פעילותם</w:t>
      </w:r>
      <w:r w:rsidRPr="00647710">
        <w:rPr>
          <w:rFonts w:hint="cs"/>
          <w:rtl/>
        </w:rPr>
        <w:t xml:space="preserve"> </w:t>
      </w:r>
      <w:r w:rsidRPr="00FB2073">
        <w:rPr>
          <w:rFonts w:hint="cs"/>
          <w:rtl/>
        </w:rPr>
        <w:t>ומתכונתה</w:t>
      </w:r>
      <w:r w:rsidRPr="00A5211A">
        <w:rPr>
          <w:rFonts w:hint="cs"/>
          <w:rtl/>
        </w:rPr>
        <w:t>.</w:t>
      </w:r>
      <w:r>
        <w:rPr>
          <w:rFonts w:hint="cs"/>
          <w:rtl/>
        </w:rPr>
        <w:t xml:space="preserve"> את עיקר אספקת המים במערכת המים הארצית עד ל"שער" הרשות המקומית מבצעת מקורות חברת מים בע"מ (להלן - מקורות). רוב חלוקת המים בתחום השלטון המקומי נעשית באמצעות 56 תאגידי מים וביוב המאגדים 158 רשויות מקומיות ובאמצעות 24 רשויות מקומיות החייבות בתיאגוד שטרם תואגדו ומועצות אזוריות (שאינן חייבות בהקמת תאגיד ייעודי לשירותי מים וביוב) ובאמצעות אגודות מים; בתחום הביוב והקולחין פועלים תאגידים, איגודי ערים לביוב וספקי קולחין שונים. תרשים 1 להלן מתאר את שרשרת אספקת המים:</w:t>
      </w:r>
    </w:p>
    <w:p w:rsidR="003D3BEF" w:rsidP="003D3BEF" w14:paraId="15067F65" w14:textId="77777777">
      <w:pPr>
        <w:pStyle w:val="a"/>
        <w:spacing w:line="269" w:lineRule="auto"/>
        <w:rPr>
          <w:rtl/>
        </w:rPr>
      </w:pPr>
    </w:p>
    <w:p w:rsidR="003D3BEF" w:rsidP="003D3BEF" w14:paraId="35520CF3" w14:textId="77777777">
      <w:pPr>
        <w:spacing w:line="269" w:lineRule="auto"/>
        <w:jc w:val="center"/>
        <w:rPr>
          <w:rtl/>
        </w:rPr>
      </w:pPr>
      <w:r w:rsidRPr="00594DBB">
        <w:rPr>
          <w:rFonts w:hint="cs"/>
          <w:b/>
          <w:bCs/>
          <w:rtl/>
        </w:rPr>
        <w:t>תרשים 1</w:t>
      </w:r>
      <w:r>
        <w:rPr>
          <w:rFonts w:hint="cs"/>
          <w:b/>
          <w:bCs/>
          <w:rtl/>
        </w:rPr>
        <w:t>:</w:t>
      </w:r>
      <w:r w:rsidRPr="00594DBB">
        <w:rPr>
          <w:rFonts w:hint="cs"/>
          <w:b/>
          <w:bCs/>
          <w:rtl/>
        </w:rPr>
        <w:t xml:space="preserve"> שרשרת אספקת המים</w:t>
      </w:r>
    </w:p>
    <w:p w:rsidR="003D3BEF" w:rsidRPr="005C741B" w:rsidP="002B5389" w14:paraId="27C79627" w14:textId="77777777">
      <w:pPr>
        <w:spacing w:before="120" w:after="120" w:line="269" w:lineRule="auto"/>
        <w:jc w:val="center"/>
        <w:rPr>
          <w:szCs w:val="20"/>
          <w:rtl/>
        </w:rPr>
      </w:pPr>
      <w:r>
        <w:rPr>
          <w:noProof/>
          <w:szCs w:val="20"/>
          <w:rtl/>
        </w:rPr>
        <w:drawing>
          <wp:inline distT="0" distB="0" distL="0" distR="0">
            <wp:extent cx="4320000" cy="4182923"/>
            <wp:effectExtent l="0" t="0" r="4445" b="825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3793" name="water-corporations-g-1.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4182923"/>
                    </a:xfrm>
                    <a:prstGeom prst="rect">
                      <a:avLst/>
                    </a:prstGeom>
                  </pic:spPr>
                </pic:pic>
              </a:graphicData>
            </a:graphic>
          </wp:inline>
        </w:drawing>
      </w:r>
    </w:p>
    <w:p w:rsidR="003D3BEF" w:rsidRPr="00684E93" w:rsidP="003D3BEF" w14:paraId="2ED821C6"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B0159C" w:rsidP="003D3BEF" w14:paraId="349466F9" w14:textId="77777777">
      <w:pPr>
        <w:pStyle w:val="a"/>
        <w:spacing w:line="269" w:lineRule="auto"/>
        <w:rPr>
          <w:rtl/>
        </w:rPr>
      </w:pPr>
    </w:p>
    <w:p w:rsidR="003D3BEF" w:rsidP="003D3BEF" w14:paraId="3C3F2138" w14:textId="77777777">
      <w:pPr>
        <w:spacing w:line="269" w:lineRule="auto"/>
        <w:rPr>
          <w:rtl/>
        </w:rPr>
      </w:pPr>
      <w:r>
        <w:rPr>
          <w:rFonts w:hint="cs"/>
          <w:rtl/>
        </w:rPr>
        <w:t>היקף ההכנסות בתאגידי המים והביוב בשנת 2018 נאמד</w:t>
      </w:r>
      <w:r w:rsidRPr="00B70DE1">
        <w:rPr>
          <w:rFonts w:hint="cs"/>
          <w:rtl/>
        </w:rPr>
        <w:t xml:space="preserve"> </w:t>
      </w:r>
      <w:r>
        <w:rPr>
          <w:rFonts w:hint="cs"/>
          <w:rtl/>
        </w:rPr>
        <w:t xml:space="preserve">בכ-4.6 מיליארד ש"ח. סך הרווח באותה שנה נאמד בכ-273 מיליון ש"ח. 50% מחלוקת המים לתחום השלטון המקומי נעשית בידי תאגידי המים והביוב. </w:t>
      </w:r>
      <w:r w:rsidRPr="000061AB">
        <w:rPr>
          <w:rFonts w:hint="cs"/>
          <w:rtl/>
        </w:rPr>
        <w:t>להלן בתרשים 2 חלוקת המים בתחום השלטון המקומי לשנת 2018.</w:t>
      </w:r>
    </w:p>
    <w:p w:rsidR="003D3BEF" w:rsidP="003D3BEF" w14:paraId="5CEA351D" w14:textId="77777777">
      <w:pPr>
        <w:spacing w:line="269" w:lineRule="auto"/>
        <w:rPr>
          <w:rtl/>
        </w:rPr>
      </w:pPr>
    </w:p>
    <w:p w:rsidR="003D3BEF" w:rsidP="003D3BEF" w14:paraId="20047639" w14:textId="77777777">
      <w:pPr>
        <w:spacing w:line="269" w:lineRule="auto"/>
        <w:rPr>
          <w:rtl/>
        </w:rPr>
      </w:pPr>
    </w:p>
    <w:p w:rsidR="003D3BEF" w:rsidP="003D3BEF" w14:paraId="663836A1" w14:textId="77777777">
      <w:pPr>
        <w:pStyle w:val="a"/>
        <w:spacing w:line="269" w:lineRule="auto"/>
        <w:rPr>
          <w:rtl/>
        </w:rPr>
      </w:pPr>
    </w:p>
    <w:p w:rsidR="002B5389" w:rsidP="003D3BEF" w14:paraId="1594BB19" w14:textId="77777777">
      <w:pPr>
        <w:spacing w:line="269" w:lineRule="auto"/>
        <w:jc w:val="center"/>
        <w:rPr>
          <w:b/>
          <w:bCs/>
          <w:rtl/>
        </w:rPr>
      </w:pPr>
      <w:r>
        <w:rPr>
          <w:b/>
          <w:bCs/>
          <w:rtl/>
        </w:rPr>
        <w:br w:type="page"/>
      </w:r>
    </w:p>
    <w:p w:rsidR="003D3BEF" w:rsidRPr="005D0E84" w:rsidP="003D3BEF" w14:paraId="05DA642F" w14:textId="77777777">
      <w:pPr>
        <w:spacing w:line="269" w:lineRule="auto"/>
        <w:jc w:val="center"/>
        <w:rPr>
          <w:b/>
          <w:bCs/>
          <w:rtl/>
        </w:rPr>
      </w:pPr>
      <w:r w:rsidRPr="005D0E84">
        <w:rPr>
          <w:rFonts w:hint="cs"/>
          <w:b/>
          <w:bCs/>
          <w:rtl/>
        </w:rPr>
        <w:t xml:space="preserve">תרשים </w:t>
      </w:r>
      <w:r>
        <w:rPr>
          <w:rFonts w:hint="cs"/>
          <w:b/>
          <w:bCs/>
          <w:rtl/>
        </w:rPr>
        <w:t>2</w:t>
      </w:r>
      <w:r w:rsidRPr="005D0E84">
        <w:rPr>
          <w:rFonts w:hint="cs"/>
          <w:b/>
          <w:bCs/>
          <w:rtl/>
        </w:rPr>
        <w:t xml:space="preserve">: חלוקת המים בתחום </w:t>
      </w:r>
      <w:r>
        <w:rPr>
          <w:rFonts w:hint="cs"/>
          <w:b/>
          <w:bCs/>
          <w:rtl/>
        </w:rPr>
        <w:t xml:space="preserve">השלטון </w:t>
      </w:r>
      <w:r w:rsidRPr="005D0E84">
        <w:rPr>
          <w:rFonts w:hint="cs"/>
          <w:b/>
          <w:bCs/>
          <w:rtl/>
        </w:rPr>
        <w:t>המקומי</w:t>
      </w:r>
      <w:r>
        <w:rPr>
          <w:rFonts w:hint="cs"/>
          <w:b/>
          <w:bCs/>
          <w:rtl/>
        </w:rPr>
        <w:t>,</w:t>
      </w:r>
      <w:r w:rsidRPr="005D0E84">
        <w:rPr>
          <w:rFonts w:hint="cs"/>
          <w:b/>
          <w:bCs/>
          <w:rtl/>
        </w:rPr>
        <w:t xml:space="preserve"> 2018 </w:t>
      </w:r>
      <w:r>
        <w:rPr>
          <w:rFonts w:hint="cs"/>
          <w:b/>
          <w:bCs/>
          <w:rtl/>
        </w:rPr>
        <w:t>(</w:t>
      </w:r>
      <w:r w:rsidRPr="005D0E84">
        <w:rPr>
          <w:rFonts w:hint="cs"/>
          <w:b/>
          <w:bCs/>
          <w:rtl/>
        </w:rPr>
        <w:t>במ"ק</w:t>
      </w:r>
      <w:r>
        <w:rPr>
          <w:rFonts w:hint="cs"/>
          <w:b/>
          <w:bCs/>
          <w:rtl/>
        </w:rPr>
        <w:t xml:space="preserve"> </w:t>
      </w:r>
      <w:r w:rsidRPr="005D0E84">
        <w:rPr>
          <w:rFonts w:hint="cs"/>
          <w:b/>
          <w:bCs/>
          <w:rtl/>
        </w:rPr>
        <w:t>ובאחוזים)</w:t>
      </w:r>
    </w:p>
    <w:p w:rsidR="003D3BEF" w:rsidP="002B5389" w14:paraId="26421819" w14:textId="77777777">
      <w:pPr>
        <w:spacing w:before="120" w:after="120" w:line="269" w:lineRule="auto"/>
        <w:jc w:val="center"/>
        <w:rPr>
          <w:szCs w:val="20"/>
          <w:rtl/>
        </w:rPr>
      </w:pPr>
      <w:r>
        <w:rPr>
          <w:noProof/>
          <w:szCs w:val="20"/>
          <w:rtl/>
        </w:rPr>
        <w:drawing>
          <wp:inline distT="0" distB="0" distL="0" distR="0">
            <wp:extent cx="2880366" cy="3371095"/>
            <wp:effectExtent l="0" t="0" r="0" b="127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98534" name="water-corporations-g-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3371095"/>
                    </a:xfrm>
                    <a:prstGeom prst="rect">
                      <a:avLst/>
                    </a:prstGeom>
                  </pic:spPr>
                </pic:pic>
              </a:graphicData>
            </a:graphic>
          </wp:inline>
        </w:drawing>
      </w:r>
    </w:p>
    <w:p w:rsidR="003D3BEF" w:rsidRPr="00684E93" w:rsidP="003D3BEF" w14:paraId="50A33353"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B0159C" w:rsidP="003D3BEF" w14:paraId="1FF4D27E" w14:textId="77777777">
      <w:pPr>
        <w:pStyle w:val="a"/>
        <w:spacing w:line="269" w:lineRule="auto"/>
        <w:rPr>
          <w:rtl/>
        </w:rPr>
      </w:pPr>
    </w:p>
    <w:p w:rsidR="003D3BEF" w:rsidP="003D3BEF" w14:paraId="0E3BEF5D" w14:textId="77777777">
      <w:pPr>
        <w:spacing w:line="269" w:lineRule="auto"/>
        <w:rPr>
          <w:rtl/>
        </w:rPr>
      </w:pPr>
      <w:r w:rsidRPr="00597704">
        <w:rPr>
          <w:rFonts w:hint="cs"/>
          <w:rtl/>
        </w:rPr>
        <w:t>פ</w:t>
      </w:r>
      <w:r>
        <w:rPr>
          <w:rFonts w:hint="cs"/>
          <w:rtl/>
        </w:rPr>
        <w:t>עילות משק המים מוסדרת בחוק המים, התשי"ט-1959, ובחוק תאגידי מים וביוב, התשס"א-2001 (להלן - חוק התאגידים). עד הרפורמה שבה הוקמו תאגידי מים וביוב על פי חוק התאגידים</w:t>
      </w:r>
      <w:r w:rsidRPr="00634092">
        <w:rPr>
          <w:rFonts w:hint="cs"/>
          <w:rtl/>
        </w:rPr>
        <w:t xml:space="preserve"> </w:t>
      </w:r>
      <w:r>
        <w:rPr>
          <w:rFonts w:hint="cs"/>
          <w:rtl/>
        </w:rPr>
        <w:t>היו אספקת המים וסילוק השפכים במגזר העירוני בסמכות הרשויות המקומיות, והם הושפעו במידה רבה מסדרי העדיפויות של השלטון המקומי וממצבו הכספי. במשך הזמן נוצר מצב שבו שירותי המים והביוב הניתנים בחלק בלתי מבוטל של הרשויות המקומיות בארץ לוקים בבעיות רבות, ובה</w:t>
      </w:r>
      <w:r>
        <w:rPr>
          <w:rFonts w:hint="eastAsia"/>
          <w:rtl/>
        </w:rPr>
        <w:t>ן</w:t>
      </w:r>
      <w:r>
        <w:rPr>
          <w:rFonts w:hint="cs"/>
          <w:rtl/>
        </w:rPr>
        <w:t xml:space="preserve"> היקף תשתיות בלתי מספק, רמת תחזוקה שאינה עומדת בתקנים הנדרשים הגורמת לפחת מים גבוה וזיהום סביבתי, חוסר בכוח אדם מקצועי ומיומן היכול להביא להתייעלות המערכות, אי-עמידה בתקני איכות סביבה ופגיעה ברמת השירות לתושב.</w:t>
      </w:r>
      <w:r w:rsidRPr="00667F0B">
        <w:rPr>
          <w:rtl/>
        </w:rPr>
        <w:t xml:space="preserve"> </w:t>
      </w:r>
      <w:r>
        <w:rPr>
          <w:rFonts w:hint="cs"/>
          <w:rtl/>
        </w:rPr>
        <w:t xml:space="preserve">נוסף על כך, חלו התפתחויות שחידדו את הצורך בשינוי מהותי בהפעלת משק המים והביוב; כך, חלה הידרדרות חמורה בעתודות המים, לצד הדגש שניתן לשיקולים הנוגעים לאיכות סביבה. </w:t>
      </w:r>
    </w:p>
    <w:p w:rsidR="003D3BEF" w:rsidP="003D3BEF" w14:paraId="2C5A701E" w14:textId="77777777">
      <w:pPr>
        <w:pStyle w:val="a"/>
        <w:spacing w:line="269" w:lineRule="auto"/>
        <w:rPr>
          <w:rtl/>
        </w:rPr>
      </w:pPr>
    </w:p>
    <w:p w:rsidR="003D3BEF" w:rsidP="003D3BEF" w14:paraId="248C049E" w14:textId="77777777">
      <w:pPr>
        <w:spacing w:line="269" w:lineRule="auto"/>
        <w:rPr>
          <w:rtl/>
        </w:rPr>
      </w:pPr>
      <w:r>
        <w:rPr>
          <w:rFonts w:hint="cs"/>
          <w:rtl/>
        </w:rPr>
        <w:t xml:space="preserve">בשנת 2001 חוקק חוק התאגידים שמסדיר את העברת ניהול משק המים והביוב מהרשויות המקומיות לידי חברות ייעודיות בבעלותן - תאגידי מים וביוב (להלן - רפורמת התיאגוד). </w:t>
      </w:r>
      <w:r w:rsidRPr="00667F0B">
        <w:rPr>
          <w:rtl/>
        </w:rPr>
        <w:t>העברת האחריות לתאגידי מים וביוב נועדה לפתור כשלים מבניים שנוצרו בניהול משק המים והביו</w:t>
      </w:r>
      <w:r>
        <w:rPr>
          <w:rtl/>
        </w:rPr>
        <w:t xml:space="preserve">ב ברשויות המקומיות, ובפרט </w:t>
      </w:r>
      <w:r>
        <w:rPr>
          <w:rFonts w:hint="cs"/>
          <w:rtl/>
        </w:rPr>
        <w:t xml:space="preserve">תת-השקעות </w:t>
      </w:r>
      <w:r w:rsidRPr="00667F0B">
        <w:rPr>
          <w:rtl/>
        </w:rPr>
        <w:t>בתשתיות מים וביוב</w:t>
      </w:r>
      <w:r>
        <w:rPr>
          <w:rFonts w:hint="cs"/>
          <w:rtl/>
        </w:rPr>
        <w:t>;</w:t>
      </w:r>
      <w:r w:rsidRPr="00667F0B">
        <w:rPr>
          <w:rtl/>
        </w:rPr>
        <w:t xml:space="preserve"> </w:t>
      </w:r>
      <w:r>
        <w:rPr>
          <w:rFonts w:hint="cs"/>
          <w:rtl/>
        </w:rPr>
        <w:t xml:space="preserve">וזאת מכיוון שחלק מהרשויות המקומיות הפנו את כספי צרכני המים למימון תחומים מוניציפליים אחרים. התאגידים שהוקמו </w:t>
      </w:r>
      <w:r w:rsidRPr="00667F0B">
        <w:rPr>
          <w:rtl/>
        </w:rPr>
        <w:t xml:space="preserve">מספקים שירותי מים וביוב במשק כספי סגור שבו כלל ההכנסות מצרכני המים </w:t>
      </w:r>
      <w:r>
        <w:rPr>
          <w:rFonts w:hint="cs"/>
          <w:rtl/>
        </w:rPr>
        <w:t xml:space="preserve">אמורות להיות </w:t>
      </w:r>
      <w:r w:rsidRPr="00667F0B">
        <w:rPr>
          <w:rtl/>
        </w:rPr>
        <w:t>מופנות ל</w:t>
      </w:r>
      <w:r>
        <w:rPr>
          <w:rFonts w:hint="cs"/>
          <w:rtl/>
        </w:rPr>
        <w:t>מימון מתן השירות והשקעה בתשתיות המים והביוב.</w:t>
      </w:r>
    </w:p>
    <w:p w:rsidR="003D3BEF" w:rsidP="003D3BEF" w14:paraId="2A99F372" w14:textId="77777777">
      <w:pPr>
        <w:pStyle w:val="a"/>
        <w:spacing w:line="269" w:lineRule="auto"/>
        <w:rPr>
          <w:rtl/>
        </w:rPr>
      </w:pPr>
    </w:p>
    <w:p w:rsidR="003D3BEF" w:rsidP="003D3BEF" w14:paraId="6F1D3248" w14:textId="77777777">
      <w:pPr>
        <w:spacing w:line="269" w:lineRule="auto"/>
        <w:rPr>
          <w:rtl/>
        </w:rPr>
      </w:pPr>
      <w:r>
        <w:rPr>
          <w:rFonts w:hint="cs"/>
          <w:rtl/>
        </w:rPr>
        <w:t xml:space="preserve">מטרות חוק התאגידים הן בין היתר להבטיח רמת שירות נאותה וניהול עסקי מקצועי ויעיל בתחום שירותי המים והביוב; להבטיח ייעודן של ההכנסות ממתן שירותים אלה לצורך השקעות בתשתיות המים והביוב, להפעלתן ולמתן השירותים; ולעודד חיסכון במים ושמירה על מקורות המים, על בריאות הציבור ועל איכות הסביבה. </w:t>
      </w:r>
      <w:r>
        <w:rPr>
          <w:rFonts w:hint="cs"/>
          <w:sz w:val="24"/>
          <w:rtl/>
        </w:rPr>
        <w:t>יצוין כי על פי חוזרי מענקים שהוציאה הרשות בשנים 2008 - 2016 לוותה רפורמת התאגידים במענקי מדינה המסתכמים בכ-2.2 מיליארד ש"ח לצורך קידום הרפורמה ותמיכה בתאגידי</w:t>
      </w:r>
      <w:r>
        <w:rPr>
          <w:rFonts w:hint="cs"/>
          <w:rtl/>
        </w:rPr>
        <w:t xml:space="preserve">ם חלשים. </w:t>
      </w:r>
    </w:p>
    <w:p w:rsidR="003D3BEF" w:rsidP="003D3BEF" w14:paraId="4E1ED424" w14:textId="77777777">
      <w:pPr>
        <w:pStyle w:val="a"/>
        <w:spacing w:line="269" w:lineRule="auto"/>
        <w:rPr>
          <w:rtl/>
        </w:rPr>
      </w:pPr>
    </w:p>
    <w:p w:rsidR="003D3BEF" w:rsidP="003D3BEF" w14:paraId="0FBD36C8" w14:textId="77777777">
      <w:pPr>
        <w:spacing w:line="269" w:lineRule="auto"/>
        <w:rPr>
          <w:rtl/>
        </w:rPr>
      </w:pPr>
      <w:r>
        <w:rPr>
          <w:rFonts w:hint="cs"/>
          <w:rtl/>
        </w:rPr>
        <w:t>הרשות הממשלתית למים ולביוב (להלן - רשות המים) היא רשות מאסדרת ומפקחת שמטרתה בין היתר להבטיח כי מתן שירותי המים והביוב יהיה ברמת שירות, איכות ואמינות נאותה ובמחירים סבירים לכלל תושבי המדינה</w:t>
      </w:r>
      <w:r>
        <w:rPr>
          <w:rStyle w:val="FootnoteReference"/>
          <w:rtl/>
        </w:rPr>
        <w:footnoteReference w:id="2"/>
      </w:r>
      <w:r>
        <w:rPr>
          <w:rFonts w:hint="cs"/>
          <w:rtl/>
        </w:rPr>
        <w:t>. מועצת רשות המים (להלן - מועצת הרשות) מפקחת על הרשות ומופקדת בין היתר על הסדרת משק המים, פיתוחו ופיקוח עליו ועל קביעת תעריפים לשימושי המים השונים</w:t>
      </w:r>
      <w:r>
        <w:rPr>
          <w:rStyle w:val="FootnoteReference"/>
          <w:rtl/>
        </w:rPr>
        <w:footnoteReference w:id="3"/>
      </w:r>
      <w:r>
        <w:rPr>
          <w:rFonts w:hint="cs"/>
          <w:rtl/>
        </w:rPr>
        <w:t>. בין השאר, קבעה מועצת רשות המים אמות מידה לשירות שעל תאגידי המים והביוב לתת, תעריפים, חובות פרסום דוחות ודיווח לצרכנים</w:t>
      </w:r>
      <w:r>
        <w:rPr>
          <w:rStyle w:val="FootnoteReference"/>
          <w:rtl/>
        </w:rPr>
        <w:footnoteReference w:id="4"/>
      </w:r>
      <w:r>
        <w:rPr>
          <w:rFonts w:hint="cs"/>
          <w:rtl/>
        </w:rPr>
        <w:t xml:space="preserve">. </w:t>
      </w:r>
    </w:p>
    <w:p w:rsidR="003D3BEF" w:rsidP="003D3BEF" w14:paraId="68EB57FE" w14:textId="77777777">
      <w:pPr>
        <w:pStyle w:val="a"/>
        <w:spacing w:line="269" w:lineRule="auto"/>
        <w:rPr>
          <w:rtl/>
        </w:rPr>
      </w:pPr>
    </w:p>
    <w:p w:rsidR="003D3BEF" w:rsidP="003D3BEF" w14:paraId="279B941A" w14:textId="77777777">
      <w:pPr>
        <w:spacing w:line="269" w:lineRule="auto"/>
        <w:rPr>
          <w:rtl/>
        </w:rPr>
      </w:pPr>
      <w:r w:rsidRPr="006D0CD4">
        <w:rPr>
          <w:rtl/>
        </w:rPr>
        <w:t>ב</w:t>
      </w:r>
      <w:r>
        <w:rPr>
          <w:rFonts w:hint="cs"/>
          <w:rtl/>
        </w:rPr>
        <w:t>-</w:t>
      </w:r>
      <w:r w:rsidRPr="006D0CD4">
        <w:rPr>
          <w:rtl/>
        </w:rPr>
        <w:t>31.5.20, לאחר מ</w:t>
      </w:r>
      <w:r w:rsidRPr="00B0159C">
        <w:rPr>
          <w:rFonts w:hint="eastAsia"/>
          <w:rtl/>
        </w:rPr>
        <w:t>ו</w:t>
      </w:r>
      <w:r w:rsidRPr="006D0CD4">
        <w:rPr>
          <w:rtl/>
        </w:rPr>
        <w:t>עד סיום הביקורת, התקבלה החלט</w:t>
      </w:r>
      <w:r>
        <w:rPr>
          <w:rFonts w:hint="cs"/>
          <w:rtl/>
        </w:rPr>
        <w:t xml:space="preserve">ת הממשלה 29 </w:t>
      </w:r>
      <w:r w:rsidRPr="006D0CD4">
        <w:rPr>
          <w:rtl/>
        </w:rPr>
        <w:t xml:space="preserve">בנושא "הקמת משרד משאבי מים ותיקון החלטות ממשלה", </w:t>
      </w:r>
      <w:r>
        <w:rPr>
          <w:rFonts w:hint="cs"/>
          <w:rtl/>
        </w:rPr>
        <w:t>ו</w:t>
      </w:r>
      <w:r w:rsidRPr="006D0CD4">
        <w:rPr>
          <w:rtl/>
        </w:rPr>
        <w:t>בה נקבע להקים משרד חדש שייקרא "משרד משאבי המים"; להעביר ממשרד האנ</w:t>
      </w:r>
      <w:r>
        <w:rPr>
          <w:rFonts w:hint="cs"/>
          <w:rtl/>
        </w:rPr>
        <w:t>ר</w:t>
      </w:r>
      <w:r w:rsidRPr="006D0CD4">
        <w:rPr>
          <w:rtl/>
        </w:rPr>
        <w:t xml:space="preserve">גייה למשרד משאבי המים את "שטח הפעולה" של משק המים </w:t>
      </w:r>
      <w:r>
        <w:rPr>
          <w:rFonts w:hint="cs"/>
          <w:rtl/>
        </w:rPr>
        <w:t>ו</w:t>
      </w:r>
      <w:r w:rsidRPr="006D0CD4">
        <w:rPr>
          <w:rtl/>
        </w:rPr>
        <w:t>הביוב; ולהעביר לשר משאבי המים את הסמכויות הנוגעות לשר האנרגייה לפי החוקים שפורטו בהחלטה, ו</w:t>
      </w:r>
      <w:r>
        <w:rPr>
          <w:rFonts w:hint="cs"/>
          <w:rtl/>
        </w:rPr>
        <w:t>ב</w:t>
      </w:r>
      <w:r w:rsidRPr="006D0CD4">
        <w:rPr>
          <w:rtl/>
        </w:rPr>
        <w:t>הם חוק המים</w:t>
      </w:r>
      <w:r>
        <w:rPr>
          <w:rStyle w:val="FootnoteReference"/>
          <w:rtl/>
        </w:rPr>
        <w:footnoteReference w:id="5"/>
      </w:r>
      <w:r>
        <w:rPr>
          <w:rFonts w:hint="cs"/>
          <w:rtl/>
        </w:rPr>
        <w:t>.</w:t>
      </w:r>
      <w:r w:rsidRPr="006D0CD4">
        <w:rPr>
          <w:rtl/>
        </w:rPr>
        <w:t xml:space="preserve"> </w:t>
      </w:r>
    </w:p>
    <w:p w:rsidR="003D3BEF" w:rsidP="003D3BEF" w14:paraId="168D6158" w14:textId="77777777">
      <w:pPr>
        <w:pStyle w:val="a"/>
        <w:spacing w:line="269" w:lineRule="auto"/>
        <w:rPr>
          <w:rtl/>
        </w:rPr>
      </w:pPr>
    </w:p>
    <w:p w:rsidR="003D3BEF" w:rsidP="003D3BEF" w14:paraId="48DC33C7" w14:textId="77777777">
      <w:pPr>
        <w:spacing w:line="269" w:lineRule="auto"/>
        <w:rPr>
          <w:rtl/>
        </w:rPr>
      </w:pPr>
      <w:r>
        <w:rPr>
          <w:rFonts w:hint="cs"/>
          <w:rtl/>
        </w:rPr>
        <w:t>בתחילת הרפורמה ניתנה בחוק התאגידים לרשויות המקומיות האפשרות להעביר את ניהול משק המים והביוב לידי תאגידי מים וביוב באופן וולונטרי</w:t>
      </w:r>
      <w:r>
        <w:rPr>
          <w:rStyle w:val="FootnoteReference"/>
          <w:rtl/>
        </w:rPr>
        <w:footnoteReference w:id="6"/>
      </w:r>
      <w:r>
        <w:rPr>
          <w:rFonts w:hint="cs"/>
          <w:rtl/>
        </w:rPr>
        <w:t>. בתיקון לחוק התאגידים משנת 2004</w:t>
      </w:r>
      <w:r>
        <w:rPr>
          <w:rStyle w:val="FootnoteReference"/>
          <w:rtl/>
        </w:rPr>
        <w:footnoteReference w:id="7"/>
      </w:r>
      <w:r>
        <w:rPr>
          <w:rFonts w:hint="cs"/>
          <w:rtl/>
        </w:rPr>
        <w:t xml:space="preserve"> נקבע כי הקמת תאגידי מים וביוב על ידי רשויות מקומיות</w:t>
      </w:r>
      <w:r>
        <w:rPr>
          <w:rStyle w:val="FootnoteReference"/>
          <w:rtl/>
        </w:rPr>
        <w:footnoteReference w:id="8"/>
      </w:r>
      <w:r>
        <w:rPr>
          <w:rFonts w:hint="cs"/>
          <w:rtl/>
        </w:rPr>
        <w:t xml:space="preserve"> אינה וולונטרית</w:t>
      </w:r>
      <w:r w:rsidRPr="00083E4F">
        <w:rPr>
          <w:rFonts w:hint="cs"/>
          <w:rtl/>
        </w:rPr>
        <w:t xml:space="preserve"> </w:t>
      </w:r>
      <w:r>
        <w:rPr>
          <w:rFonts w:hint="cs"/>
          <w:rtl/>
        </w:rPr>
        <w:t>עוד, ומיולי 2007 הן מחויבות להעביר את ניהול משק המים והביוב לניהולו של תאגיד מים וביוב כחוק.</w:t>
      </w:r>
      <w:r w:rsidRPr="00944009">
        <w:rPr>
          <w:rFonts w:hint="cs"/>
          <w:rtl/>
        </w:rPr>
        <w:t xml:space="preserve"> </w:t>
      </w:r>
      <w:r w:rsidRPr="006D0CD4">
        <w:rPr>
          <w:rtl/>
        </w:rPr>
        <w:t>אולם, בהחלטת ממשלה משנת 2011</w:t>
      </w:r>
      <w:r>
        <w:rPr>
          <w:rStyle w:val="FootnoteReference"/>
          <w:rtl/>
        </w:rPr>
        <w:footnoteReference w:id="9"/>
      </w:r>
      <w:r w:rsidRPr="006D0CD4">
        <w:rPr>
          <w:rtl/>
        </w:rPr>
        <w:t xml:space="preserve"> הוחלט כי בנסיבות מסוימות לא </w:t>
      </w:r>
      <w:r>
        <w:rPr>
          <w:rFonts w:hint="cs"/>
          <w:rtl/>
        </w:rPr>
        <w:t xml:space="preserve">יינקטו </w:t>
      </w:r>
      <w:r w:rsidRPr="006D0CD4">
        <w:rPr>
          <w:rtl/>
        </w:rPr>
        <w:t>סנקציות מינהליות כנגד רשויות מקומיות שאינן מתאגדות</w:t>
      </w:r>
      <w:r>
        <w:rPr>
          <w:rFonts w:hint="cs"/>
          <w:rtl/>
        </w:rPr>
        <w:t>.</w:t>
      </w:r>
    </w:p>
    <w:p w:rsidR="003D3BEF" w:rsidP="003D3BEF" w14:paraId="42BB25B8" w14:textId="77777777">
      <w:pPr>
        <w:pStyle w:val="a"/>
        <w:spacing w:line="269" w:lineRule="auto"/>
        <w:rPr>
          <w:rtl/>
        </w:rPr>
      </w:pPr>
    </w:p>
    <w:p w:rsidR="003D3BEF" w:rsidP="003D3BEF" w14:paraId="20A2E82D" w14:textId="77777777">
      <w:pPr>
        <w:spacing w:line="269" w:lineRule="auto"/>
        <w:rPr>
          <w:rtl/>
        </w:rPr>
      </w:pPr>
      <w:r w:rsidRPr="00A350BA">
        <w:rPr>
          <w:rFonts w:hint="cs"/>
          <w:rtl/>
        </w:rPr>
        <w:t>בשנים 2006 - 2013 התקבלו החלטות ממשלה בנוגע לתיאגוד אזורי (רא</w:t>
      </w:r>
      <w:r>
        <w:rPr>
          <w:rFonts w:hint="cs"/>
          <w:rtl/>
        </w:rPr>
        <w:t>ו</w:t>
      </w:r>
      <w:r w:rsidRPr="00A350BA">
        <w:rPr>
          <w:rFonts w:hint="cs"/>
          <w:rtl/>
        </w:rPr>
        <w:t xml:space="preserve"> להלן). תאגיד אזורי הוא תאגיד המאגד כמה רשויות מקומיות, והיעד שנקבע בהחלטת הממשלה משנת 2006 היה תאגידים אזוריים המשרתים אוכלוסיה של 200,000 תושבים או יותר. מטרת התיאגוד האזורי היא בין היתר לצמצם את מספר התאגידים ולהביא לידי התייעלות בניהול משק המים ומיצוי יתרונות לגודל, ובתוך כך להגדלת מקורות המימון העומדים לרשות התאגיד האזורי לשם קידום ההשקעות בתשתיות מים וביוב ושיפור השירות לצרכנים. </w:t>
      </w:r>
    </w:p>
    <w:p w:rsidR="003D3BEF" w:rsidRPr="00872868" w:rsidP="003D3BEF" w14:paraId="24B1C224" w14:textId="77777777">
      <w:pPr>
        <w:pStyle w:val="a"/>
        <w:spacing w:line="269" w:lineRule="auto"/>
        <w:rPr>
          <w:rtl/>
        </w:rPr>
      </w:pPr>
    </w:p>
    <w:p w:rsidR="003D3BEF" w:rsidP="003D3BEF" w14:paraId="5271B6F8" w14:textId="77777777">
      <w:pPr>
        <w:spacing w:line="269" w:lineRule="auto"/>
        <w:rPr>
          <w:rtl/>
        </w:rPr>
      </w:pPr>
      <w:r>
        <w:rPr>
          <w:rFonts w:hint="cs"/>
          <w:rtl/>
        </w:rPr>
        <w:t>בתיקון מאוגוסט 2013 לחוק התאגידים נקבעה חובה על תאגידים ועל כל הרשויות המקומיות שטרם התאגדו, להתאגד בתאגידים אזוריים, לפי מפת שיוך שתקבע מועצת רשות המים. מועד יישום התיאגוד האזורי נדחה מדי פעם בפעם באמצעות תיקוני חקיקה. רשות המים הציעה כמה מתווים של תיאגוד אזורי - 11 תאגידים אזוריים בשנת 2013</w:t>
      </w:r>
      <w:r>
        <w:rPr>
          <w:rStyle w:val="FootnoteReference"/>
          <w:rtl/>
        </w:rPr>
        <w:footnoteReference w:id="10"/>
      </w:r>
      <w:r>
        <w:rPr>
          <w:rFonts w:hint="cs"/>
          <w:rtl/>
        </w:rPr>
        <w:t>, 28 בשנת 2019</w:t>
      </w:r>
      <w:r>
        <w:rPr>
          <w:rStyle w:val="FootnoteReference"/>
          <w:rtl/>
        </w:rPr>
        <w:footnoteReference w:id="11"/>
      </w:r>
      <w:r>
        <w:rPr>
          <w:rFonts w:hint="cs"/>
          <w:rtl/>
        </w:rPr>
        <w:t xml:space="preserve"> ו-30 בשנת 2020</w:t>
      </w:r>
      <w:r>
        <w:rPr>
          <w:rStyle w:val="FootnoteReference"/>
          <w:rtl/>
        </w:rPr>
        <w:footnoteReference w:id="12"/>
      </w:r>
      <w:r>
        <w:rPr>
          <w:rFonts w:hint="cs"/>
          <w:rtl/>
        </w:rPr>
        <w:t>. אולם עד מועד סיום הביקורת בדצמבר 2019 (להלן - מועד סיום הביקורת) עדיין לא יושם אף לא אחד מהם</w:t>
      </w:r>
      <w:r>
        <w:rPr>
          <w:rStyle w:val="FootnoteReference"/>
          <w:rtl/>
        </w:rPr>
        <w:footnoteReference w:id="13"/>
      </w:r>
      <w:r>
        <w:rPr>
          <w:rFonts w:hint="cs"/>
          <w:rtl/>
        </w:rPr>
        <w:t>.</w:t>
      </w:r>
    </w:p>
    <w:p w:rsidR="003D3BEF" w:rsidP="003D3BEF" w14:paraId="6F852467" w14:textId="77777777">
      <w:pPr>
        <w:pStyle w:val="a"/>
        <w:spacing w:line="269" w:lineRule="auto"/>
        <w:rPr>
          <w:rtl/>
        </w:rPr>
      </w:pPr>
    </w:p>
    <w:p w:rsidR="003D3BEF" w:rsidP="003D3BEF" w14:paraId="61D27B3A" w14:textId="77777777">
      <w:pPr>
        <w:spacing w:line="269" w:lineRule="auto"/>
        <w:rPr>
          <w:rtl/>
        </w:rPr>
      </w:pPr>
      <w:r>
        <w:rPr>
          <w:rFonts w:hint="cs"/>
          <w:rtl/>
        </w:rPr>
        <w:t>יצוין כי הרשות ניסתה לעודד הקמת תאגידים אזוריים באמצעות מענקי תיאגוד, ולצורך זה בחוזר הממונה על התאגידים (להלן - הממונה) מדצמבר 2015 היא הגדירה תאגיד אזורי כתאגיד המוקם לפי קבוצת השיוך במתווה, או חלק מקבוצה זו, ומשרת 100,000 תושבים לפחות.</w:t>
      </w:r>
    </w:p>
    <w:p w:rsidR="003D3BEF" w:rsidP="003D3BEF" w14:paraId="62CE4AFE" w14:textId="77777777">
      <w:pPr>
        <w:spacing w:line="269" w:lineRule="auto"/>
        <w:rPr>
          <w:rtl/>
        </w:rPr>
      </w:pPr>
    </w:p>
    <w:p w:rsidR="003D3BEF" w:rsidP="003D3BEF" w14:paraId="1F1FD3D5" w14:textId="77777777">
      <w:pPr>
        <w:spacing w:line="269" w:lineRule="auto"/>
        <w:rPr>
          <w:rtl/>
        </w:rPr>
      </w:pPr>
    </w:p>
    <w:p w:rsidR="003D3BEF" w:rsidP="003D3BEF" w14:paraId="230E58E3" w14:textId="77777777">
      <w:pPr>
        <w:spacing w:line="269" w:lineRule="auto"/>
        <w:rPr>
          <w:rtl/>
        </w:rPr>
      </w:pPr>
    </w:p>
    <w:p w:rsidR="003D3BEF" w:rsidP="003D3BEF" w14:paraId="7874D361" w14:textId="77777777">
      <w:pPr>
        <w:pStyle w:val="a"/>
        <w:spacing w:line="269" w:lineRule="auto"/>
        <w:rPr>
          <w:rtl/>
        </w:rPr>
      </w:pPr>
    </w:p>
    <w:p w:rsidR="003D3BEF" w:rsidP="003D3BEF" w14:paraId="34DE250D" w14:textId="77777777">
      <w:pPr>
        <w:spacing w:line="269" w:lineRule="auto"/>
        <w:rPr>
          <w:b/>
          <w:bCs/>
          <w:rtl/>
        </w:rPr>
      </w:pPr>
      <w:r w:rsidRPr="00F413F2">
        <w:rPr>
          <w:rFonts w:hint="eastAsia"/>
          <w:b/>
          <w:bCs/>
          <w:rtl/>
        </w:rPr>
        <w:t>בפועל</w:t>
      </w:r>
      <w:r>
        <w:rPr>
          <w:rFonts w:hint="cs"/>
          <w:b/>
          <w:bCs/>
          <w:rtl/>
        </w:rPr>
        <w:t xml:space="preserve">, </w:t>
      </w:r>
      <w:r w:rsidRPr="00F413F2">
        <w:rPr>
          <w:rFonts w:hint="eastAsia"/>
          <w:b/>
          <w:bCs/>
          <w:rtl/>
        </w:rPr>
        <w:t>עד</w:t>
      </w:r>
      <w:r w:rsidRPr="00F413F2">
        <w:rPr>
          <w:b/>
          <w:bCs/>
          <w:rtl/>
        </w:rPr>
        <w:t xml:space="preserve"> מועד סיום הביקורת הוקמו 56 תאגידים המאגדים </w:t>
      </w:r>
      <w:r>
        <w:rPr>
          <w:rFonts w:hint="cs"/>
          <w:b/>
          <w:bCs/>
          <w:rtl/>
        </w:rPr>
        <w:t>158</w:t>
      </w:r>
      <w:r w:rsidRPr="00F413F2">
        <w:rPr>
          <w:b/>
          <w:bCs/>
          <w:rtl/>
        </w:rPr>
        <w:t xml:space="preserve"> רשויות מקומיות. </w:t>
      </w:r>
      <w:r>
        <w:rPr>
          <w:rFonts w:hint="cs"/>
          <w:b/>
          <w:bCs/>
          <w:rtl/>
        </w:rPr>
        <w:t xml:space="preserve">24 </w:t>
      </w:r>
      <w:r w:rsidRPr="00F413F2">
        <w:rPr>
          <w:b/>
          <w:bCs/>
          <w:rtl/>
        </w:rPr>
        <w:t>רשויות מקומיות החייבות בת</w:t>
      </w:r>
      <w:r>
        <w:rPr>
          <w:rFonts w:hint="cs"/>
          <w:b/>
          <w:bCs/>
          <w:rtl/>
        </w:rPr>
        <w:t>י</w:t>
      </w:r>
      <w:r w:rsidRPr="00F413F2">
        <w:rPr>
          <w:b/>
          <w:bCs/>
          <w:rtl/>
        </w:rPr>
        <w:t xml:space="preserve">אגוד </w:t>
      </w:r>
      <w:r>
        <w:rPr>
          <w:rFonts w:hint="cs"/>
          <w:b/>
          <w:bCs/>
          <w:rtl/>
        </w:rPr>
        <w:t>לא הקימו תאגיד או תאגיד אזורי למתן שירותי מים וביוב וגם לא הצטרפו לתאגיד קיים</w:t>
      </w:r>
      <w:r w:rsidRPr="00F413F2">
        <w:rPr>
          <w:b/>
          <w:bCs/>
          <w:rtl/>
        </w:rPr>
        <w:t xml:space="preserve">. </w:t>
      </w:r>
    </w:p>
    <w:p w:rsidR="003D3BEF" w:rsidP="003D3BEF" w14:paraId="49404474" w14:textId="77777777">
      <w:pPr>
        <w:pStyle w:val="a"/>
        <w:spacing w:line="269" w:lineRule="auto"/>
        <w:rPr>
          <w:rtl/>
        </w:rPr>
      </w:pPr>
    </w:p>
    <w:p w:rsidR="003D3BEF" w:rsidP="003D3BEF" w14:paraId="418F0316" w14:textId="77777777">
      <w:pPr>
        <w:spacing w:line="269" w:lineRule="auto"/>
        <w:rPr>
          <w:rtl/>
        </w:rPr>
      </w:pPr>
      <w:r>
        <w:rPr>
          <w:rFonts w:hint="cs"/>
          <w:sz w:val="24"/>
          <w:rtl/>
        </w:rPr>
        <w:t>לצורך קביעת העלות המוכרת סיווגה רשות המים את התאגידים על פי הדירוג הכלכלי-חברתי שקבעה הלשכה המרכזית לסטטיסטיקה ליישובים שהתאגיד</w:t>
      </w:r>
      <w:r w:rsidRPr="00F13273">
        <w:rPr>
          <w:rFonts w:hint="cs"/>
          <w:sz w:val="24"/>
          <w:rtl/>
        </w:rPr>
        <w:t xml:space="preserve"> </w:t>
      </w:r>
      <w:r>
        <w:rPr>
          <w:rFonts w:hint="cs"/>
          <w:sz w:val="24"/>
          <w:rtl/>
        </w:rPr>
        <w:t>משרת. תאגיד המשרת יישוב או יישובים המדורגים בדירוג 1 - 4 ייחשב כתאגיד "חלש" שהוכרו לו עלויות נורמטיביות גבוהות מיתר התאגידים, וזאת בשל המתאם בין הדירוג הכלכלי-חברתי של היישוב למצב התשתיות ומערכת הגבייה בזמן הקמת התאגיד. תאגיד המשרת יישוב או יישובים בדירוג 5 - 6 ייחשב "תאגיד בינוני" ותאגיד המשרת יישובים בדירוג 7 ומעלה ייחשב "תאגיד חזק"</w:t>
      </w:r>
      <w:r>
        <w:rPr>
          <w:rStyle w:val="FootnoteReference"/>
          <w:sz w:val="24"/>
          <w:rtl/>
        </w:rPr>
        <w:footnoteReference w:id="14"/>
      </w:r>
      <w:r>
        <w:rPr>
          <w:rFonts w:hint="cs"/>
          <w:sz w:val="24"/>
          <w:rtl/>
        </w:rPr>
        <w:t>.</w:t>
      </w:r>
      <w:r>
        <w:rPr>
          <w:rFonts w:hint="cs"/>
          <w:rtl/>
        </w:rPr>
        <w:t xml:space="preserve"> </w:t>
      </w:r>
    </w:p>
    <w:p w:rsidR="003D3BEF" w:rsidP="003D3BEF" w14:paraId="267640E1" w14:textId="77777777">
      <w:pPr>
        <w:spacing w:line="269" w:lineRule="auto"/>
        <w:rPr>
          <w:rtl/>
        </w:rPr>
      </w:pPr>
      <w:r>
        <w:rPr>
          <w:rFonts w:hint="cs"/>
          <w:rtl/>
        </w:rPr>
        <w:t>להלן מובאים מאפייניהם של 56 התאגידים שהוקמו עד מועד סיום הביקורת - דירוגן הכלכלי-חברתי ומספרן של הרשויות המקומיות המרכיבות אותם ומספר התושבים שהם משרתים:</w:t>
      </w:r>
    </w:p>
    <w:p w:rsidR="003D3BEF" w:rsidP="003D3BEF" w14:paraId="21A3C212" w14:textId="77777777">
      <w:pPr>
        <w:pStyle w:val="a"/>
        <w:spacing w:line="269" w:lineRule="auto"/>
        <w:rPr>
          <w:rtl/>
        </w:rPr>
      </w:pPr>
    </w:p>
    <w:p w:rsidR="003D3BEF" w:rsidP="003D3BEF" w14:paraId="2258E736" w14:textId="77777777">
      <w:pPr>
        <w:spacing w:line="269" w:lineRule="auto"/>
        <w:jc w:val="center"/>
        <w:rPr>
          <w:b/>
          <w:bCs/>
          <w:sz w:val="24"/>
          <w:rtl/>
        </w:rPr>
      </w:pPr>
      <w:r w:rsidRPr="00594DBB">
        <w:rPr>
          <w:rFonts w:hint="cs"/>
          <w:b/>
          <w:bCs/>
          <w:sz w:val="24"/>
          <w:rtl/>
        </w:rPr>
        <w:t xml:space="preserve">תרשים </w:t>
      </w:r>
      <w:r>
        <w:rPr>
          <w:rFonts w:hint="cs"/>
          <w:b/>
          <w:bCs/>
          <w:sz w:val="24"/>
          <w:rtl/>
        </w:rPr>
        <w:t>3</w:t>
      </w:r>
      <w:r w:rsidRPr="00594DBB">
        <w:rPr>
          <w:rFonts w:hint="cs"/>
          <w:b/>
          <w:bCs/>
          <w:sz w:val="24"/>
          <w:rtl/>
        </w:rPr>
        <w:t>: תאגידי</w:t>
      </w:r>
      <w:r>
        <w:rPr>
          <w:rFonts w:hint="cs"/>
          <w:b/>
          <w:bCs/>
          <w:sz w:val="24"/>
          <w:rtl/>
        </w:rPr>
        <w:t xml:space="preserve"> המים והביוב, לפי מאפיינים</w:t>
      </w:r>
    </w:p>
    <w:p w:rsidR="003D3BEF" w:rsidP="002B5389" w14:paraId="47AABEB6" w14:textId="77777777">
      <w:pPr>
        <w:spacing w:before="120" w:after="120" w:line="269" w:lineRule="auto"/>
        <w:jc w:val="center"/>
        <w:rPr>
          <w:sz w:val="24"/>
          <w:rtl/>
        </w:rPr>
      </w:pPr>
      <w:r>
        <w:rPr>
          <w:noProof/>
          <w:sz w:val="24"/>
          <w:rtl/>
        </w:rPr>
        <w:drawing>
          <wp:inline distT="0" distB="0" distL="0" distR="0">
            <wp:extent cx="4320000" cy="2955000"/>
            <wp:effectExtent l="0" t="0" r="4445"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76362" name="water-corporations-g-3.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955000"/>
                    </a:xfrm>
                    <a:prstGeom prst="rect">
                      <a:avLst/>
                    </a:prstGeom>
                  </pic:spPr>
                </pic:pic>
              </a:graphicData>
            </a:graphic>
          </wp:inline>
        </w:drawing>
      </w:r>
    </w:p>
    <w:p w:rsidR="003D3BEF" w:rsidRPr="00684E93" w:rsidP="003D3BEF" w14:paraId="7C631984"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00D6CF26" w14:textId="77777777">
      <w:pPr>
        <w:pStyle w:val="a"/>
        <w:spacing w:line="269" w:lineRule="auto"/>
        <w:rPr>
          <w:rtl/>
        </w:rPr>
      </w:pPr>
    </w:p>
    <w:p w:rsidR="003D3BEF" w:rsidP="003D3BEF" w14:paraId="4BD59163" w14:textId="77777777">
      <w:pPr>
        <w:spacing w:line="269" w:lineRule="auto"/>
        <w:rPr>
          <w:sz w:val="24"/>
          <w:rtl/>
        </w:rPr>
      </w:pPr>
      <w:r>
        <w:rPr>
          <w:rFonts w:hint="cs"/>
          <w:sz w:val="24"/>
          <w:rtl/>
        </w:rPr>
        <w:t>מהתרשים עולה כי רק 24 מתוך 56 התאגידים משרתים יותר מ-100,000 תושבים.</w:t>
      </w:r>
    </w:p>
    <w:p w:rsidR="003D3BEF" w:rsidP="003D3BEF" w14:paraId="5B375FBA" w14:textId="77777777">
      <w:pPr>
        <w:pStyle w:val="a"/>
        <w:spacing w:line="269" w:lineRule="auto"/>
        <w:rPr>
          <w:rtl/>
        </w:rPr>
      </w:pPr>
    </w:p>
    <w:p w:rsidR="003D3BEF" w:rsidP="003D3BEF" w14:paraId="766042ED" w14:textId="77777777">
      <w:pPr>
        <w:spacing w:line="269" w:lineRule="auto"/>
        <w:rPr>
          <w:rtl/>
        </w:rPr>
      </w:pPr>
      <w:r>
        <w:rPr>
          <w:rFonts w:hint="cs"/>
          <w:rtl/>
        </w:rPr>
        <w:t>לתאגידי המים יש מאפיינים של מונופול בתחומם ואת תעריפיהם קובעת מועצת רשות המים</w:t>
      </w:r>
      <w:r>
        <w:rPr>
          <w:rStyle w:val="FootnoteReference"/>
          <w:rtl/>
        </w:rPr>
        <w:footnoteReference w:id="15"/>
      </w:r>
      <w:r>
        <w:rPr>
          <w:rFonts w:hint="cs"/>
          <w:rtl/>
        </w:rPr>
        <w:t>. העקרונות שלפיהם נקבעים התעריפים הם בין היתר עקרון העלות המוכרת שלפיו כל מחיר ישקף, ככל האפשר, את עלות השירות הרלוונטי. אולם בקביעת העלות המוכרת יכולה מועצת הרשות שלא להביא בחשבון עלויות החורגות מן הסביר והנחוץ; העיקרון שלפיו תעריפי המים והביוב יהיו אחידים ברמה ארצית, ולכל סוג צרכן</w:t>
      </w:r>
      <w:r w:rsidRPr="000F3134">
        <w:rPr>
          <w:rFonts w:hint="cs"/>
          <w:rtl/>
        </w:rPr>
        <w:t xml:space="preserve"> </w:t>
      </w:r>
      <w:r>
        <w:rPr>
          <w:rFonts w:hint="cs"/>
          <w:rtl/>
        </w:rPr>
        <w:t xml:space="preserve">ייקבע תעריף שונה (ביתי, תעשייתי, מוסדות ציבור, מוסדות עירוניים וכיוצא באלה); והעיקרון שלפיו תעריפי המים לצרכנים הביתיים יהיו מדורגים (כמות מים בסיסית - עד 3.5 מ"ק לכל נפש ולא פחות מ-7 מ"ק ליחידת דיור בתעריף נמוך - וכל כמות נוספת תהיה בתעריף גבוה יותר). </w:t>
      </w:r>
    </w:p>
    <w:p w:rsidR="003D3BEF" w:rsidP="003D3BEF" w14:paraId="65F46E90" w14:textId="77777777">
      <w:pPr>
        <w:pStyle w:val="a"/>
        <w:spacing w:line="269" w:lineRule="auto"/>
        <w:rPr>
          <w:rtl/>
        </w:rPr>
      </w:pPr>
    </w:p>
    <w:p w:rsidR="003D3BEF" w:rsidP="003D3BEF" w14:paraId="6D427CE0" w14:textId="77777777">
      <w:pPr>
        <w:spacing w:line="269" w:lineRule="auto"/>
        <w:rPr>
          <w:rtl/>
        </w:rPr>
      </w:pPr>
      <w:r>
        <w:rPr>
          <w:rFonts w:hint="cs"/>
          <w:rtl/>
        </w:rPr>
        <w:t>כפועל יוצא מהתעריף האחיד לצרכנים, ונוכח הבדלי העלויות בין התאגידים השונים</w:t>
      </w:r>
      <w:r>
        <w:rPr>
          <w:rStyle w:val="FootnoteReference"/>
          <w:rtl/>
        </w:rPr>
        <w:footnoteReference w:id="16"/>
      </w:r>
      <w:r>
        <w:rPr>
          <w:rFonts w:hint="cs"/>
          <w:rtl/>
        </w:rPr>
        <w:t>, קבעה מועצת רשות המים לכל תאגיד תעריף ייחודי לרכישה מחברת מקורות, כך שהעלויות המוכרות לכל תאגיד, בתוספת תעריף רכישת המים ממקורות (או דמי המים במקרה של הפקה עצמית), מסתכמות לתעריף אחיד בכל רחבי הארץ לכל אחד מסוגי השימושים במים</w:t>
      </w:r>
      <w:r>
        <w:rPr>
          <w:rStyle w:val="FootnoteReference"/>
          <w:rtl/>
        </w:rPr>
        <w:footnoteReference w:id="17"/>
      </w:r>
      <w:r>
        <w:rPr>
          <w:rFonts w:hint="cs"/>
          <w:rtl/>
        </w:rPr>
        <w:t xml:space="preserve">. </w:t>
      </w:r>
    </w:p>
    <w:p w:rsidR="003D3BEF" w:rsidP="003D3BEF" w14:paraId="2ABD932A" w14:textId="77777777">
      <w:pPr>
        <w:pStyle w:val="a"/>
        <w:spacing w:line="269" w:lineRule="auto"/>
        <w:rPr>
          <w:rtl/>
        </w:rPr>
      </w:pPr>
    </w:p>
    <w:p w:rsidR="003D3BEF" w:rsidP="003D3BEF" w14:paraId="45C37A6A" w14:textId="77777777">
      <w:pPr>
        <w:spacing w:line="269" w:lineRule="auto"/>
        <w:rPr>
          <w:rtl/>
        </w:rPr>
      </w:pPr>
      <w:r>
        <w:rPr>
          <w:rFonts w:hint="cs"/>
          <w:rtl/>
        </w:rPr>
        <w:t>התעריף האחיד הממוצע לצרכן בשנת 2019 עמד על 9.059 ש"ח למ"ק. העלות המוכרת הממוצעת לתאגידים הייתה כ-45% מתעריף זה - 4.06 ש"ח למ"ק</w:t>
      </w:r>
      <w:r>
        <w:rPr>
          <w:rStyle w:val="FootnoteReference"/>
          <w:rtl/>
        </w:rPr>
        <w:footnoteReference w:id="18"/>
      </w:r>
      <w:r>
        <w:rPr>
          <w:rFonts w:hint="cs"/>
          <w:rtl/>
        </w:rPr>
        <w:t>, והיא כוללת מרכיבים של עלויות שירותי הון</w:t>
      </w:r>
      <w:r>
        <w:rPr>
          <w:rStyle w:val="FootnoteReference"/>
          <w:rtl/>
        </w:rPr>
        <w:footnoteReference w:id="19"/>
      </w:r>
      <w:r>
        <w:rPr>
          <w:rFonts w:hint="cs"/>
          <w:rtl/>
        </w:rPr>
        <w:t>, עלויות תפעול ומנהלה ועלויות פחת מים</w:t>
      </w:r>
      <w:r>
        <w:rPr>
          <w:rStyle w:val="FootnoteReference"/>
          <w:rtl/>
        </w:rPr>
        <w:footnoteReference w:id="20"/>
      </w:r>
      <w:r>
        <w:rPr>
          <w:rFonts w:hint="cs"/>
          <w:rtl/>
        </w:rPr>
        <w:t xml:space="preserve"> ופחת גבייה</w:t>
      </w:r>
      <w:r>
        <w:rPr>
          <w:rStyle w:val="FootnoteReference"/>
          <w:rtl/>
        </w:rPr>
        <w:footnoteReference w:id="21"/>
      </w:r>
      <w:r>
        <w:rPr>
          <w:rFonts w:hint="cs"/>
          <w:rtl/>
        </w:rPr>
        <w:t>. להלן פילוח מרכיבי התעריף האחיד הממוצע לצרכן בשנת 2019:</w:t>
      </w:r>
    </w:p>
    <w:p w:rsidR="003D3BEF" w:rsidP="003D3BEF" w14:paraId="773C0B46" w14:textId="77777777">
      <w:pPr>
        <w:pStyle w:val="a"/>
        <w:spacing w:line="269" w:lineRule="auto"/>
        <w:rPr>
          <w:rtl/>
        </w:rPr>
      </w:pPr>
    </w:p>
    <w:p w:rsidR="003D3BEF" w:rsidP="003D3BEF" w14:paraId="5589634E" w14:textId="77777777">
      <w:pPr>
        <w:spacing w:line="269" w:lineRule="auto"/>
        <w:jc w:val="center"/>
        <w:rPr>
          <w:b/>
          <w:bCs/>
          <w:rtl/>
        </w:rPr>
      </w:pPr>
      <w:r w:rsidRPr="00F72C72">
        <w:rPr>
          <w:rFonts w:hint="eastAsia"/>
          <w:b/>
          <w:bCs/>
          <w:rtl/>
        </w:rPr>
        <w:t>תרשים</w:t>
      </w:r>
      <w:r>
        <w:rPr>
          <w:rFonts w:hint="cs"/>
          <w:b/>
          <w:bCs/>
          <w:rtl/>
        </w:rPr>
        <w:t xml:space="preserve"> 4: פירוט מרכיב</w:t>
      </w:r>
      <w:r w:rsidRPr="00F72C72">
        <w:rPr>
          <w:b/>
          <w:bCs/>
          <w:rtl/>
        </w:rPr>
        <w:t xml:space="preserve"> </w:t>
      </w:r>
      <w:r w:rsidRPr="00872868">
        <w:rPr>
          <w:rFonts w:hint="eastAsia"/>
          <w:b/>
          <w:bCs/>
          <w:rtl/>
        </w:rPr>
        <w:t>ה</w:t>
      </w:r>
      <w:r w:rsidRPr="00F72C72">
        <w:rPr>
          <w:rFonts w:hint="eastAsia"/>
          <w:b/>
          <w:bCs/>
          <w:rtl/>
        </w:rPr>
        <w:t>עלויות</w:t>
      </w:r>
      <w:r w:rsidRPr="00F72C72">
        <w:rPr>
          <w:b/>
          <w:bCs/>
          <w:rtl/>
        </w:rPr>
        <w:t xml:space="preserve"> </w:t>
      </w:r>
      <w:r w:rsidRPr="00F72C72">
        <w:rPr>
          <w:rFonts w:hint="eastAsia"/>
          <w:b/>
          <w:bCs/>
          <w:rtl/>
        </w:rPr>
        <w:t>בתעריף</w:t>
      </w:r>
      <w:r w:rsidRPr="00F72C72">
        <w:rPr>
          <w:b/>
          <w:bCs/>
          <w:rtl/>
        </w:rPr>
        <w:t xml:space="preserve"> </w:t>
      </w:r>
      <w:r w:rsidRPr="00F72C72">
        <w:rPr>
          <w:rFonts w:hint="eastAsia"/>
          <w:b/>
          <w:bCs/>
          <w:rtl/>
        </w:rPr>
        <w:t>הממוצע</w:t>
      </w:r>
      <w:r w:rsidRPr="00F72C72">
        <w:rPr>
          <w:b/>
          <w:bCs/>
          <w:rtl/>
        </w:rPr>
        <w:t xml:space="preserve"> לצרכן </w:t>
      </w:r>
      <w:r>
        <w:rPr>
          <w:rFonts w:hint="cs"/>
          <w:b/>
          <w:bCs/>
          <w:rtl/>
        </w:rPr>
        <w:t xml:space="preserve">הביתי, </w:t>
      </w:r>
      <w:r w:rsidRPr="00F72C72">
        <w:rPr>
          <w:b/>
          <w:bCs/>
          <w:rtl/>
        </w:rPr>
        <w:t>2019</w:t>
      </w:r>
      <w:r>
        <w:rPr>
          <w:rStyle w:val="FootnoteReference"/>
          <w:b/>
          <w:bCs/>
          <w:rtl/>
        </w:rPr>
        <w:footnoteReference w:id="22"/>
      </w:r>
      <w:r>
        <w:rPr>
          <w:rFonts w:hint="cs"/>
          <w:b/>
          <w:bCs/>
          <w:rtl/>
        </w:rPr>
        <w:t>(בש"ח למ"ק).</w:t>
      </w:r>
    </w:p>
    <w:p w:rsidR="003D3BEF" w:rsidRPr="00F72C72" w:rsidP="002B5389" w14:paraId="12B39050" w14:textId="77777777">
      <w:pPr>
        <w:spacing w:before="120" w:after="120" w:line="269" w:lineRule="auto"/>
        <w:jc w:val="center"/>
        <w:rPr>
          <w:b/>
          <w:bCs/>
          <w:rtl/>
        </w:rPr>
      </w:pPr>
      <w:r>
        <w:rPr>
          <w:b/>
          <w:bCs/>
          <w:noProof/>
          <w:rtl/>
        </w:rPr>
        <w:drawing>
          <wp:inline distT="0" distB="0" distL="0" distR="0">
            <wp:extent cx="2883414" cy="2197612"/>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64017" name="water-corporations-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197612"/>
                    </a:xfrm>
                    <a:prstGeom prst="rect">
                      <a:avLst/>
                    </a:prstGeom>
                  </pic:spPr>
                </pic:pic>
              </a:graphicData>
            </a:graphic>
          </wp:inline>
        </w:drawing>
      </w:r>
    </w:p>
    <w:p w:rsidR="003D3BEF" w:rsidRPr="00684E93" w:rsidP="003D3BEF" w14:paraId="0DB412E6" w14:textId="77777777">
      <w:pPr>
        <w:spacing w:line="269" w:lineRule="auto"/>
        <w:ind w:firstLine="720"/>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B0159C" w:rsidP="003D3BEF" w14:paraId="5045C01F" w14:textId="77777777">
      <w:pPr>
        <w:pStyle w:val="a"/>
        <w:spacing w:line="269" w:lineRule="auto"/>
        <w:rPr>
          <w:rtl/>
        </w:rPr>
      </w:pPr>
    </w:p>
    <w:p w:rsidR="003D3BEF" w:rsidP="003D3BEF" w14:paraId="1EE83271" w14:textId="77777777">
      <w:pPr>
        <w:spacing w:line="269" w:lineRule="auto"/>
        <w:rPr>
          <w:rtl/>
        </w:rPr>
      </w:pPr>
      <w:r>
        <w:rPr>
          <w:rFonts w:hint="cs"/>
          <w:rtl/>
        </w:rPr>
        <w:t xml:space="preserve">העלות המוכרת היא עלות נורמטיבית ולא עלות בפועל, בין היתר במטרה לתמרץ את התאגיד להתייעל. העלות המוכרת של כל תאגיד מושפעת מהמאפיינים הייחודיים של התאגידים, ובהם גודל, פריסה, טופוגרפיה של שטח הפעילות ודירוג כלכלי-חברתי. </w:t>
      </w:r>
    </w:p>
    <w:p w:rsidR="003D3BEF" w:rsidRPr="00FB6894" w:rsidP="003D3BEF" w14:paraId="4CE3CFF9" w14:textId="77777777">
      <w:pPr>
        <w:pStyle w:val="a"/>
        <w:spacing w:line="269" w:lineRule="auto"/>
        <w:rPr>
          <w:rtl/>
        </w:rPr>
      </w:pPr>
    </w:p>
    <w:p w:rsidR="003D3BEF" w:rsidP="003D3BEF" w14:paraId="5AAE62C4" w14:textId="77777777">
      <w:pPr>
        <w:spacing w:line="269" w:lineRule="auto"/>
        <w:rPr>
          <w:rtl/>
        </w:rPr>
      </w:pPr>
      <w:r>
        <w:rPr>
          <w:rFonts w:hint="cs"/>
          <w:rtl/>
        </w:rPr>
        <w:t xml:space="preserve">רשות המים קבעה מתווה יורד לעלויות הנורמטיביות, כך שבשנים הראשונות להתאגדות הן היו גבוהות יותר ובמשך הזמן ירדו עד לתעריף בשנת 2018. </w:t>
      </w:r>
      <w:r>
        <w:rPr>
          <w:rFonts w:hint="cs"/>
          <w:sz w:val="24"/>
          <w:rtl/>
        </w:rPr>
        <w:t>להלן פילוח מספר התאגידים על פי הדירוג הכלכלי-חברתי ולפי סיווג רשות המים לעניין עלויות נורמטיביות:</w:t>
      </w:r>
    </w:p>
    <w:p w:rsidR="003D3BEF" w:rsidP="003D3BEF" w14:paraId="6F0FD4D6" w14:textId="77777777">
      <w:pPr>
        <w:spacing w:line="269" w:lineRule="auto"/>
        <w:rPr>
          <w:rtl/>
        </w:rPr>
      </w:pPr>
    </w:p>
    <w:p w:rsidR="003D3BEF" w:rsidP="003D3BEF" w14:paraId="4D651B90" w14:textId="77777777">
      <w:pPr>
        <w:spacing w:line="269" w:lineRule="auto"/>
        <w:rPr>
          <w:rtl/>
        </w:rPr>
      </w:pPr>
    </w:p>
    <w:p w:rsidR="003D3BEF" w:rsidP="003D3BEF" w14:paraId="3ADF4D09" w14:textId="77777777">
      <w:pPr>
        <w:spacing w:line="269" w:lineRule="auto"/>
        <w:rPr>
          <w:rtl/>
        </w:rPr>
      </w:pPr>
    </w:p>
    <w:p w:rsidR="003D3BEF" w:rsidP="003D3BEF" w14:paraId="239B376D" w14:textId="77777777">
      <w:pPr>
        <w:pStyle w:val="a"/>
        <w:spacing w:line="269" w:lineRule="auto"/>
        <w:rPr>
          <w:rtl/>
        </w:rPr>
      </w:pPr>
    </w:p>
    <w:p w:rsidR="003D3BEF" w:rsidP="003D3BEF" w14:paraId="14AA0C52" w14:textId="77777777">
      <w:pPr>
        <w:spacing w:line="269" w:lineRule="auto"/>
        <w:jc w:val="center"/>
        <w:rPr>
          <w:b/>
          <w:bCs/>
          <w:sz w:val="24"/>
          <w:rtl/>
        </w:rPr>
      </w:pPr>
      <w:r w:rsidRPr="00594DBB">
        <w:rPr>
          <w:rFonts w:hint="cs"/>
          <w:b/>
          <w:bCs/>
          <w:sz w:val="24"/>
          <w:rtl/>
        </w:rPr>
        <w:t xml:space="preserve">תרשים </w:t>
      </w:r>
      <w:r>
        <w:rPr>
          <w:rFonts w:hint="cs"/>
          <w:b/>
          <w:bCs/>
          <w:sz w:val="24"/>
          <w:rtl/>
        </w:rPr>
        <w:t>5</w:t>
      </w:r>
      <w:r w:rsidRPr="00594DBB">
        <w:rPr>
          <w:rFonts w:hint="cs"/>
          <w:b/>
          <w:bCs/>
          <w:sz w:val="24"/>
          <w:rtl/>
        </w:rPr>
        <w:t>: פילוח התאגידים</w:t>
      </w:r>
      <w:r>
        <w:rPr>
          <w:rFonts w:hint="cs"/>
          <w:b/>
          <w:bCs/>
          <w:sz w:val="24"/>
          <w:rtl/>
        </w:rPr>
        <w:t xml:space="preserve"> לצורך קביעת עלויות נורמטיביות</w:t>
      </w:r>
      <w:r>
        <w:rPr>
          <w:rStyle w:val="FootnoteReference"/>
          <w:b/>
          <w:bCs/>
          <w:sz w:val="24"/>
          <w:rtl/>
        </w:rPr>
        <w:footnoteReference w:id="23"/>
      </w:r>
      <w:r>
        <w:rPr>
          <w:rFonts w:hint="cs"/>
          <w:b/>
          <w:bCs/>
          <w:sz w:val="24"/>
          <w:rtl/>
        </w:rPr>
        <w:t>, לפי</w:t>
      </w:r>
      <w:r w:rsidRPr="008147DA">
        <w:rPr>
          <w:rFonts w:hint="cs"/>
          <w:b/>
          <w:bCs/>
          <w:sz w:val="24"/>
          <w:rtl/>
        </w:rPr>
        <w:t xml:space="preserve"> </w:t>
      </w:r>
      <w:r>
        <w:rPr>
          <w:rFonts w:hint="cs"/>
          <w:b/>
          <w:bCs/>
          <w:sz w:val="24"/>
          <w:rtl/>
        </w:rPr>
        <w:t>אשכולות</w:t>
      </w:r>
    </w:p>
    <w:p w:rsidR="003D3BEF" w:rsidRPr="00FA5CF1" w:rsidP="002B5389" w14:paraId="5AA75059" w14:textId="77777777">
      <w:pPr>
        <w:spacing w:before="120" w:after="120" w:line="269" w:lineRule="auto"/>
        <w:jc w:val="center"/>
        <w:rPr>
          <w:sz w:val="22"/>
          <w:szCs w:val="22"/>
          <w:rtl/>
        </w:rPr>
      </w:pPr>
      <w:r>
        <w:rPr>
          <w:noProof/>
          <w:sz w:val="22"/>
          <w:szCs w:val="22"/>
          <w:rtl/>
        </w:rPr>
        <w:drawing>
          <wp:inline distT="0" distB="0" distL="0" distR="0">
            <wp:extent cx="2883414" cy="2849886"/>
            <wp:effectExtent l="0" t="0" r="0" b="762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16943" name="water-corporations-g-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849886"/>
                    </a:xfrm>
                    <a:prstGeom prst="rect">
                      <a:avLst/>
                    </a:prstGeom>
                  </pic:spPr>
                </pic:pic>
              </a:graphicData>
            </a:graphic>
          </wp:inline>
        </w:drawing>
      </w:r>
    </w:p>
    <w:p w:rsidR="003D3BEF" w:rsidRPr="00684E93" w:rsidP="003D3BEF" w14:paraId="5FC246C3"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B0159C" w:rsidP="003D3BEF" w14:paraId="3B219E47" w14:textId="77777777">
      <w:pPr>
        <w:pStyle w:val="a"/>
        <w:spacing w:line="269" w:lineRule="auto"/>
        <w:rPr>
          <w:rtl/>
        </w:rPr>
      </w:pPr>
    </w:p>
    <w:p w:rsidR="003D3BEF" w:rsidP="003D3BEF" w14:paraId="13C1D1CD" w14:textId="77777777">
      <w:pPr>
        <w:spacing w:line="269" w:lineRule="auto"/>
        <w:rPr>
          <w:sz w:val="24"/>
          <w:rtl/>
        </w:rPr>
      </w:pPr>
      <w:r w:rsidRPr="00B70DE1">
        <w:rPr>
          <w:rFonts w:hint="cs"/>
          <w:rtl/>
        </w:rPr>
        <w:t xml:space="preserve">בשנת 2010 </w:t>
      </w:r>
      <w:r>
        <w:rPr>
          <w:rFonts w:hint="cs"/>
          <w:rtl/>
        </w:rPr>
        <w:t>שונה אופן קביעת תעריף המים:</w:t>
      </w:r>
      <w:r w:rsidRPr="00B70DE1">
        <w:rPr>
          <w:rFonts w:hint="cs"/>
          <w:rtl/>
        </w:rPr>
        <w:t xml:space="preserve"> </w:t>
      </w:r>
      <w:r>
        <w:rPr>
          <w:rFonts w:hint="cs"/>
          <w:rtl/>
        </w:rPr>
        <w:t>הסבסוד הממשלתי בסך כ-250 מיליון ש"ח בשנה הופסק ו</w:t>
      </w:r>
      <w:r w:rsidRPr="00B70DE1">
        <w:rPr>
          <w:rFonts w:hint="cs"/>
          <w:rtl/>
        </w:rPr>
        <w:t xml:space="preserve">מלוא עלויות </w:t>
      </w:r>
      <w:r>
        <w:rPr>
          <w:rFonts w:hint="cs"/>
          <w:rtl/>
        </w:rPr>
        <w:t xml:space="preserve">משק המים הושתו </w:t>
      </w:r>
      <w:r w:rsidRPr="00B70DE1">
        <w:rPr>
          <w:rFonts w:hint="cs"/>
          <w:rtl/>
        </w:rPr>
        <w:t>על הצרכנים</w:t>
      </w:r>
      <w:r>
        <w:rPr>
          <w:rFonts w:hint="cs"/>
          <w:rtl/>
        </w:rPr>
        <w:t>; חל גידול</w:t>
      </w:r>
      <w:r w:rsidRPr="00B70DE1">
        <w:rPr>
          <w:rFonts w:hint="cs"/>
          <w:rtl/>
        </w:rPr>
        <w:t xml:space="preserve"> </w:t>
      </w:r>
      <w:r>
        <w:rPr>
          <w:rFonts w:hint="cs"/>
          <w:rtl/>
        </w:rPr>
        <w:t>ב</w:t>
      </w:r>
      <w:r w:rsidRPr="00B70DE1">
        <w:rPr>
          <w:rFonts w:hint="cs"/>
          <w:rtl/>
        </w:rPr>
        <w:t>עלויות התפלה</w:t>
      </w:r>
      <w:r>
        <w:rPr>
          <w:rStyle w:val="FootnoteReference"/>
          <w:rtl/>
        </w:rPr>
        <w:footnoteReference w:id="24"/>
      </w:r>
      <w:r w:rsidRPr="00B70DE1">
        <w:rPr>
          <w:rFonts w:hint="cs"/>
          <w:rtl/>
        </w:rPr>
        <w:t xml:space="preserve"> </w:t>
      </w:r>
      <w:r>
        <w:rPr>
          <w:rFonts w:hint="cs"/>
          <w:rtl/>
        </w:rPr>
        <w:t>וכן חלה עלייה ב</w:t>
      </w:r>
      <w:r w:rsidRPr="00B70DE1">
        <w:rPr>
          <w:rFonts w:hint="cs"/>
          <w:rtl/>
        </w:rPr>
        <w:t>עלויות טיפול בשפכים כדי לייצר קולחי</w:t>
      </w:r>
      <w:r>
        <w:rPr>
          <w:rFonts w:hint="cs"/>
          <w:rtl/>
        </w:rPr>
        <w:t>ן</w:t>
      </w:r>
      <w:r w:rsidRPr="00B70DE1">
        <w:rPr>
          <w:rFonts w:hint="cs"/>
          <w:rtl/>
        </w:rPr>
        <w:t xml:space="preserve"> באיכות טובה יותר</w:t>
      </w:r>
      <w:r>
        <w:rPr>
          <w:rStyle w:val="FootnoteReference"/>
          <w:rtl/>
        </w:rPr>
        <w:footnoteReference w:id="25"/>
      </w:r>
      <w:r>
        <w:rPr>
          <w:rFonts w:hint="cs"/>
          <w:rtl/>
        </w:rPr>
        <w:t>;</w:t>
      </w:r>
      <w:r>
        <w:rPr>
          <w:rFonts w:hint="cs"/>
          <w:sz w:val="24"/>
          <w:rtl/>
        </w:rPr>
        <w:t xml:space="preserve"> </w:t>
      </w:r>
      <w:r w:rsidRPr="005D42B1">
        <w:rPr>
          <w:rtl/>
        </w:rPr>
        <w:t xml:space="preserve">התעריפים </w:t>
      </w:r>
      <w:r>
        <w:rPr>
          <w:rFonts w:hint="cs"/>
          <w:rtl/>
        </w:rPr>
        <w:t>שהרשות קובעת</w:t>
      </w:r>
      <w:r w:rsidRPr="005D42B1">
        <w:rPr>
          <w:rtl/>
        </w:rPr>
        <w:t xml:space="preserve"> משנת 2010 כוללים מרכיב ביוב, </w:t>
      </w:r>
      <w:r>
        <w:rPr>
          <w:rFonts w:hint="cs"/>
          <w:rtl/>
        </w:rPr>
        <w:t>ואילו קודם נקבעו</w:t>
      </w:r>
      <w:r w:rsidRPr="005D42B1">
        <w:rPr>
          <w:rtl/>
        </w:rPr>
        <w:t xml:space="preserve"> לכן אגרות הביוב לפי חוקי עזר עירוניים; משנת 2010 התעריף למגזר הביתי </w:t>
      </w:r>
      <w:r>
        <w:rPr>
          <w:rFonts w:hint="cs"/>
          <w:rtl/>
        </w:rPr>
        <w:t xml:space="preserve">אחיד </w:t>
      </w:r>
      <w:r w:rsidRPr="005D42B1">
        <w:rPr>
          <w:rtl/>
        </w:rPr>
        <w:t>ו</w:t>
      </w:r>
      <w:r>
        <w:rPr>
          <w:rFonts w:hint="cs"/>
          <w:rtl/>
        </w:rPr>
        <w:t xml:space="preserve">הוא </w:t>
      </w:r>
      <w:r w:rsidRPr="005D42B1">
        <w:rPr>
          <w:rtl/>
        </w:rPr>
        <w:t>מחושב על פי העלות המוכרת</w:t>
      </w:r>
      <w:r>
        <w:rPr>
          <w:rFonts w:hint="cs"/>
          <w:rtl/>
        </w:rPr>
        <w:t>.</w:t>
      </w:r>
      <w:r w:rsidRPr="005D42B1">
        <w:rPr>
          <w:rFonts w:hint="cs"/>
          <w:rtl/>
        </w:rPr>
        <w:t xml:space="preserve"> </w:t>
      </w:r>
    </w:p>
    <w:p w:rsidR="003D3BEF" w:rsidP="003D3BEF" w14:paraId="0D9A6E4E" w14:textId="77777777">
      <w:pPr>
        <w:spacing w:line="269" w:lineRule="auto"/>
        <w:rPr>
          <w:sz w:val="24"/>
          <w:rtl/>
        </w:rPr>
      </w:pPr>
      <w:r w:rsidRPr="005D42B1">
        <w:rPr>
          <w:sz w:val="24"/>
          <w:rtl/>
        </w:rPr>
        <w:t>נוסף</w:t>
      </w:r>
      <w:r>
        <w:rPr>
          <w:rFonts w:hint="cs"/>
          <w:sz w:val="24"/>
          <w:rtl/>
        </w:rPr>
        <w:t xml:space="preserve"> על כך</w:t>
      </w:r>
      <w:r w:rsidRPr="005D42B1">
        <w:rPr>
          <w:sz w:val="24"/>
          <w:rtl/>
        </w:rPr>
        <w:t xml:space="preserve">, חל שינוי במדרגות התעריף למגזר הביתי: בשנים 2010-2000 </w:t>
      </w:r>
      <w:r>
        <w:rPr>
          <w:rFonts w:hint="cs"/>
          <w:sz w:val="24"/>
          <w:rtl/>
        </w:rPr>
        <w:t xml:space="preserve">נקבעו </w:t>
      </w:r>
      <w:r w:rsidRPr="005D42B1">
        <w:rPr>
          <w:sz w:val="24"/>
          <w:rtl/>
        </w:rPr>
        <w:t>תעריפי המים לפי צריכה של 8 מ"ק ראשונים, צריכה של 7 מ"ק נוספים וצריכה מעבר ל-15 מ"ק. הצריכה הייתה עבור</w:t>
      </w:r>
      <w:r>
        <w:rPr>
          <w:sz w:val="24"/>
          <w:rtl/>
        </w:rPr>
        <w:t xml:space="preserve"> </w:t>
      </w:r>
      <w:r w:rsidRPr="005D42B1">
        <w:rPr>
          <w:sz w:val="24"/>
          <w:rtl/>
        </w:rPr>
        <w:t>משק בית</w:t>
      </w:r>
      <w:r>
        <w:rPr>
          <w:rFonts w:hint="cs"/>
          <w:sz w:val="24"/>
          <w:rtl/>
        </w:rPr>
        <w:t xml:space="preserve"> </w:t>
      </w:r>
      <w:r w:rsidRPr="005D42B1">
        <w:rPr>
          <w:sz w:val="24"/>
          <w:rtl/>
        </w:rPr>
        <w:t xml:space="preserve">ללא קשר לגודלו. מינואר 2010 ועד יוני 2011 </w:t>
      </w:r>
      <w:r>
        <w:rPr>
          <w:rFonts w:hint="cs"/>
          <w:sz w:val="24"/>
          <w:rtl/>
        </w:rPr>
        <w:t>היה</w:t>
      </w:r>
      <w:r w:rsidRPr="005D42B1">
        <w:rPr>
          <w:sz w:val="24"/>
          <w:rtl/>
        </w:rPr>
        <w:t xml:space="preserve"> התעריף הנמוך עבור צריכה של 2.5 מ"ק לנפש לחודש</w:t>
      </w:r>
      <w:r>
        <w:rPr>
          <w:rFonts w:hint="cs"/>
          <w:sz w:val="24"/>
          <w:rtl/>
        </w:rPr>
        <w:t>,</w:t>
      </w:r>
      <w:r w:rsidRPr="005D42B1">
        <w:rPr>
          <w:sz w:val="24"/>
          <w:rtl/>
        </w:rPr>
        <w:t xml:space="preserve"> ומיולי 2011 הוא עבור צריכה של</w:t>
      </w:r>
      <w:r>
        <w:rPr>
          <w:sz w:val="24"/>
          <w:rtl/>
        </w:rPr>
        <w:t xml:space="preserve"> </w:t>
      </w:r>
      <w:r w:rsidRPr="005D42B1">
        <w:rPr>
          <w:sz w:val="24"/>
          <w:rtl/>
        </w:rPr>
        <w:t>3.5 מ"ק לנפש לחודש ולפחות 7</w:t>
      </w:r>
      <w:r>
        <w:rPr>
          <w:sz w:val="24"/>
          <w:rtl/>
        </w:rPr>
        <w:t xml:space="preserve"> </w:t>
      </w:r>
      <w:r w:rsidRPr="005D42B1">
        <w:rPr>
          <w:sz w:val="24"/>
          <w:rtl/>
        </w:rPr>
        <w:t xml:space="preserve">מ"ק למשק בית. </w:t>
      </w:r>
    </w:p>
    <w:p w:rsidR="003D3BEF" w:rsidP="003D3BEF" w14:paraId="78866F17" w14:textId="77777777">
      <w:pPr>
        <w:pStyle w:val="a"/>
        <w:spacing w:line="269" w:lineRule="auto"/>
        <w:rPr>
          <w:rtl/>
        </w:rPr>
      </w:pPr>
    </w:p>
    <w:p w:rsidR="003D3BEF" w:rsidP="003D3BEF" w14:paraId="5860AD81" w14:textId="77777777">
      <w:pPr>
        <w:spacing w:line="269" w:lineRule="auto"/>
        <w:rPr>
          <w:sz w:val="24"/>
          <w:rtl/>
        </w:rPr>
      </w:pPr>
      <w:r w:rsidRPr="005D42B1">
        <w:rPr>
          <w:sz w:val="24"/>
          <w:rtl/>
        </w:rPr>
        <w:t xml:space="preserve">בהתאם לנתוני רשות המים, </w:t>
      </w:r>
      <w:r>
        <w:rPr>
          <w:rFonts w:hint="cs"/>
          <w:sz w:val="24"/>
          <w:rtl/>
        </w:rPr>
        <w:t xml:space="preserve">בשנת 2018 ממוצע </w:t>
      </w:r>
      <w:r w:rsidRPr="005D42B1">
        <w:rPr>
          <w:sz w:val="24"/>
          <w:rtl/>
        </w:rPr>
        <w:t xml:space="preserve">הצריכה </w:t>
      </w:r>
      <w:r>
        <w:rPr>
          <w:rFonts w:hint="cs"/>
          <w:sz w:val="24"/>
          <w:rtl/>
        </w:rPr>
        <w:t xml:space="preserve">השנתית </w:t>
      </w:r>
      <w:r w:rsidRPr="005D42B1">
        <w:rPr>
          <w:sz w:val="24"/>
          <w:rtl/>
        </w:rPr>
        <w:t>למגורים לנפש</w:t>
      </w:r>
      <w:r>
        <w:rPr>
          <w:rFonts w:hint="cs"/>
          <w:sz w:val="24"/>
          <w:rtl/>
        </w:rPr>
        <w:t>,</w:t>
      </w:r>
      <w:r w:rsidRPr="005D42B1">
        <w:rPr>
          <w:sz w:val="24"/>
          <w:rtl/>
        </w:rPr>
        <w:t xml:space="preserve"> בתאגידים וברשויות המקומיות החייבות בתיאגוד שטרם התאגדו, </w:t>
      </w:r>
      <w:r>
        <w:rPr>
          <w:rFonts w:hint="cs"/>
          <w:sz w:val="24"/>
          <w:rtl/>
        </w:rPr>
        <w:t xml:space="preserve">היה </w:t>
      </w:r>
      <w:r w:rsidRPr="005D42B1">
        <w:rPr>
          <w:sz w:val="24"/>
          <w:rtl/>
        </w:rPr>
        <w:t>52.3 מ"ק ובשנת 2011 עמד על 48.6 מ"ק</w:t>
      </w:r>
      <w:r>
        <w:rPr>
          <w:rFonts w:hint="cs"/>
          <w:sz w:val="24"/>
          <w:rtl/>
        </w:rPr>
        <w:t>.</w:t>
      </w:r>
      <w:r w:rsidRPr="00CF781D">
        <w:rPr>
          <w:rtl/>
        </w:rPr>
        <w:t xml:space="preserve"> </w:t>
      </w:r>
      <w:r w:rsidRPr="00CF781D">
        <w:rPr>
          <w:sz w:val="24"/>
          <w:rtl/>
        </w:rPr>
        <w:t xml:space="preserve">תרשים </w:t>
      </w:r>
      <w:r>
        <w:rPr>
          <w:rFonts w:hint="cs"/>
          <w:sz w:val="24"/>
          <w:rtl/>
        </w:rPr>
        <w:t>6</w:t>
      </w:r>
      <w:r w:rsidRPr="00CF781D">
        <w:rPr>
          <w:sz w:val="24"/>
          <w:rtl/>
        </w:rPr>
        <w:t xml:space="preserve"> מציג את הסכומים בשקלים של חשבונות המים שאינם כוללים את מרכיב הביוב, בשנים 2000 - 2020 לצריכה ביתית במחירים ריאליים</w:t>
      </w:r>
      <w:r>
        <w:rPr>
          <w:rFonts w:hint="cs"/>
          <w:sz w:val="24"/>
          <w:rtl/>
        </w:rPr>
        <w:t>.</w:t>
      </w:r>
      <w:r w:rsidRPr="00CF781D">
        <w:rPr>
          <w:sz w:val="24"/>
          <w:rtl/>
        </w:rPr>
        <w:t xml:space="preserve"> </w:t>
      </w:r>
    </w:p>
    <w:p w:rsidR="003D3BEF" w:rsidP="003D3BEF" w14:paraId="0FED1A4A" w14:textId="77777777">
      <w:pPr>
        <w:spacing w:line="269" w:lineRule="auto"/>
        <w:rPr>
          <w:sz w:val="24"/>
          <w:rtl/>
        </w:rPr>
      </w:pPr>
    </w:p>
    <w:p w:rsidR="003D3BEF" w:rsidP="003D3BEF" w14:paraId="161635FE" w14:textId="77777777">
      <w:pPr>
        <w:spacing w:line="269" w:lineRule="auto"/>
        <w:rPr>
          <w:sz w:val="24"/>
          <w:rtl/>
        </w:rPr>
      </w:pPr>
    </w:p>
    <w:p w:rsidR="003D3BEF" w:rsidP="003D3BEF" w14:paraId="6D221215" w14:textId="77777777">
      <w:pPr>
        <w:spacing w:line="269" w:lineRule="auto"/>
        <w:rPr>
          <w:sz w:val="24"/>
          <w:rtl/>
        </w:rPr>
      </w:pPr>
    </w:p>
    <w:p w:rsidR="003D3BEF" w:rsidP="003D3BEF" w14:paraId="4F1CB467" w14:textId="77777777">
      <w:pPr>
        <w:spacing w:line="269" w:lineRule="auto"/>
        <w:rPr>
          <w:sz w:val="24"/>
          <w:rtl/>
        </w:rPr>
      </w:pPr>
    </w:p>
    <w:p w:rsidR="003D3BEF" w:rsidP="003D3BEF" w14:paraId="1B41A82A" w14:textId="77777777">
      <w:pPr>
        <w:spacing w:line="269" w:lineRule="auto"/>
        <w:rPr>
          <w:sz w:val="24"/>
          <w:rtl/>
        </w:rPr>
      </w:pPr>
    </w:p>
    <w:p w:rsidR="003D3BEF" w:rsidP="003D3BEF" w14:paraId="40DD1771" w14:textId="77777777">
      <w:pPr>
        <w:spacing w:line="269" w:lineRule="auto"/>
        <w:rPr>
          <w:sz w:val="24"/>
          <w:rtl/>
        </w:rPr>
      </w:pPr>
    </w:p>
    <w:p w:rsidR="003D3BEF" w:rsidP="003D3BEF" w14:paraId="7CD92F20" w14:textId="77777777">
      <w:pPr>
        <w:spacing w:line="269" w:lineRule="auto"/>
        <w:rPr>
          <w:sz w:val="24"/>
          <w:rtl/>
        </w:rPr>
      </w:pPr>
    </w:p>
    <w:p w:rsidR="003D3BEF" w:rsidP="003D3BEF" w14:paraId="32F1E01A" w14:textId="77777777">
      <w:pPr>
        <w:spacing w:line="269" w:lineRule="auto"/>
        <w:rPr>
          <w:sz w:val="24"/>
          <w:rtl/>
        </w:rPr>
      </w:pPr>
    </w:p>
    <w:p w:rsidR="003D3BEF" w:rsidP="003D3BEF" w14:paraId="042F1A7E" w14:textId="77777777">
      <w:pPr>
        <w:spacing w:line="269" w:lineRule="auto"/>
        <w:rPr>
          <w:sz w:val="24"/>
          <w:rtl/>
        </w:rPr>
      </w:pPr>
    </w:p>
    <w:p w:rsidR="003D3BEF" w:rsidP="003D3BEF" w14:paraId="1E180D78" w14:textId="77777777">
      <w:pPr>
        <w:spacing w:line="269" w:lineRule="auto"/>
        <w:rPr>
          <w:sz w:val="24"/>
          <w:rtl/>
        </w:rPr>
      </w:pPr>
    </w:p>
    <w:p w:rsidR="003D3BEF" w:rsidP="003D3BEF" w14:paraId="1BC98931" w14:textId="5DFC050E">
      <w:pPr>
        <w:spacing w:line="269" w:lineRule="auto"/>
        <w:jc w:val="center"/>
        <w:rPr>
          <w:b/>
          <w:bCs/>
          <w:rtl/>
        </w:rPr>
      </w:pPr>
      <w:r w:rsidRPr="00F72C72">
        <w:rPr>
          <w:rFonts w:hint="eastAsia"/>
          <w:b/>
          <w:bCs/>
          <w:rtl/>
        </w:rPr>
        <w:t>תרשים</w:t>
      </w:r>
      <w:r>
        <w:rPr>
          <w:rFonts w:hint="cs"/>
          <w:b/>
          <w:bCs/>
          <w:rtl/>
        </w:rPr>
        <w:t xml:space="preserve"> 6</w:t>
      </w:r>
      <w:r w:rsidR="00ED07BF">
        <w:rPr>
          <w:rFonts w:hint="cs"/>
          <w:b/>
          <w:bCs/>
          <w:rtl/>
        </w:rPr>
        <w:t>:</w:t>
      </w:r>
      <w:bookmarkStart w:id="1" w:name="_GoBack"/>
      <w:bookmarkEnd w:id="1"/>
      <w:r>
        <w:rPr>
          <w:rFonts w:hint="cs"/>
          <w:b/>
          <w:bCs/>
          <w:rtl/>
        </w:rPr>
        <w:t xml:space="preserve"> </w:t>
      </w:r>
      <w:r w:rsidRPr="00CF781D">
        <w:rPr>
          <w:b/>
          <w:bCs/>
          <w:rtl/>
        </w:rPr>
        <w:t xml:space="preserve">חשבונות המים </w:t>
      </w:r>
      <w:r w:rsidR="00ED07BF">
        <w:rPr>
          <w:rFonts w:hint="cs"/>
          <w:b/>
          <w:bCs/>
          <w:rtl/>
        </w:rPr>
        <w:t xml:space="preserve">החודשיים </w:t>
      </w:r>
      <w:r w:rsidRPr="00CF781D">
        <w:rPr>
          <w:b/>
          <w:bCs/>
          <w:rtl/>
        </w:rPr>
        <w:t>ללא מרכיב הביוב לצריכה ביתית</w:t>
      </w:r>
      <w:r>
        <w:rPr>
          <w:rFonts w:hint="cs"/>
          <w:b/>
          <w:bCs/>
          <w:rtl/>
        </w:rPr>
        <w:t>, 2020-2000</w:t>
      </w:r>
      <w:r w:rsidRPr="00CF781D">
        <w:rPr>
          <w:b/>
          <w:bCs/>
          <w:rtl/>
        </w:rPr>
        <w:t xml:space="preserve"> </w:t>
      </w:r>
      <w:r>
        <w:rPr>
          <w:rFonts w:hint="cs"/>
          <w:b/>
          <w:bCs/>
          <w:rtl/>
        </w:rPr>
        <w:t>(</w:t>
      </w:r>
      <w:r w:rsidRPr="00CF781D">
        <w:rPr>
          <w:b/>
          <w:bCs/>
          <w:rtl/>
        </w:rPr>
        <w:t>במחירים ריאליים</w:t>
      </w:r>
      <w:r>
        <w:rPr>
          <w:rFonts w:hint="cs"/>
          <w:b/>
          <w:bCs/>
          <w:rtl/>
        </w:rPr>
        <w:t>)</w:t>
      </w:r>
    </w:p>
    <w:p w:rsidR="003D3BEF" w:rsidP="002B5389" w14:paraId="1DA0D30D" w14:textId="77777777">
      <w:pPr>
        <w:pStyle w:val="a"/>
        <w:spacing w:before="120" w:after="120" w:line="269" w:lineRule="auto"/>
        <w:ind w:left="0"/>
        <w:jc w:val="center"/>
        <w:rPr>
          <w:rtl/>
        </w:rPr>
      </w:pPr>
      <w:r>
        <w:rPr>
          <w:rFonts w:hint="cs"/>
          <w:noProof/>
          <w:rtl/>
        </w:rPr>
        <w:drawing>
          <wp:inline distT="0" distB="0" distL="0" distR="0">
            <wp:extent cx="4322073" cy="2414021"/>
            <wp:effectExtent l="0" t="0" r="2540" b="571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66077" name="water-corporations-g-6.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14021"/>
                    </a:xfrm>
                    <a:prstGeom prst="rect">
                      <a:avLst/>
                    </a:prstGeom>
                  </pic:spPr>
                </pic:pic>
              </a:graphicData>
            </a:graphic>
          </wp:inline>
        </w:drawing>
      </w:r>
    </w:p>
    <w:p w:rsidR="003D3BEF" w:rsidRPr="00684E93" w:rsidP="003D3BEF" w14:paraId="3DCD60AE"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0B02CD94" w14:textId="77777777">
      <w:pPr>
        <w:spacing w:line="269" w:lineRule="auto"/>
        <w:rPr>
          <w:rtl/>
        </w:rPr>
      </w:pPr>
    </w:p>
    <w:p w:rsidR="003D3BEF" w:rsidP="003D3BEF" w14:paraId="05955C7E" w14:textId="77777777">
      <w:pPr>
        <w:spacing w:line="269" w:lineRule="auto"/>
        <w:rPr>
          <w:rtl/>
        </w:rPr>
      </w:pPr>
      <w:r w:rsidRPr="00CD2F7F">
        <w:rPr>
          <w:rtl/>
        </w:rPr>
        <w:t xml:space="preserve">תרשים </w:t>
      </w:r>
      <w:r>
        <w:rPr>
          <w:rFonts w:hint="cs"/>
          <w:rtl/>
        </w:rPr>
        <w:t>7</w:t>
      </w:r>
      <w:r w:rsidRPr="00CD2F7F">
        <w:rPr>
          <w:rtl/>
        </w:rPr>
        <w:t xml:space="preserve"> מתאר את התפתחות מדד שירותי המים והביוב לצריכה ביתי</w:t>
      </w:r>
      <w:r>
        <w:rPr>
          <w:rFonts w:hint="cs"/>
          <w:rtl/>
        </w:rPr>
        <w:t>ת</w:t>
      </w:r>
      <w:r w:rsidRPr="00CD2F7F">
        <w:rPr>
          <w:rtl/>
        </w:rPr>
        <w:t xml:space="preserve"> בשנים </w:t>
      </w:r>
      <w:r>
        <w:rPr>
          <w:rFonts w:hint="cs"/>
          <w:rtl/>
        </w:rPr>
        <w:t xml:space="preserve">2019-2000 </w:t>
      </w:r>
      <w:r w:rsidRPr="00CD2F7F">
        <w:rPr>
          <w:rtl/>
        </w:rPr>
        <w:t>אל מול השינויים במדד המחירים לצרכן.</w:t>
      </w:r>
    </w:p>
    <w:p w:rsidR="003D3BEF" w:rsidP="003D3BEF" w14:paraId="4E0A0A51" w14:textId="77777777">
      <w:pPr>
        <w:pStyle w:val="a"/>
        <w:spacing w:line="269" w:lineRule="auto"/>
        <w:rPr>
          <w:rtl/>
        </w:rPr>
      </w:pPr>
    </w:p>
    <w:p w:rsidR="003D3BEF" w:rsidP="00783AED" w14:paraId="723A9645" w14:textId="77777777">
      <w:pPr>
        <w:spacing w:line="269" w:lineRule="auto"/>
        <w:jc w:val="center"/>
        <w:rPr>
          <w:b/>
          <w:bCs/>
          <w:noProof/>
          <w:rtl/>
        </w:rPr>
      </w:pPr>
      <w:r>
        <w:rPr>
          <w:rFonts w:hint="cs"/>
          <w:b/>
          <w:bCs/>
          <w:rtl/>
        </w:rPr>
        <w:t>תרשים 7:</w:t>
      </w:r>
      <w:r w:rsidRPr="00CD2F7F">
        <w:rPr>
          <w:rtl/>
        </w:rPr>
        <w:t xml:space="preserve"> </w:t>
      </w:r>
      <w:r w:rsidRPr="00CD2F7F">
        <w:rPr>
          <w:b/>
          <w:bCs/>
          <w:rtl/>
        </w:rPr>
        <w:t>מדד המחירים לצרכן ומדד שירותי מים וביוב לצריכה ביתית</w:t>
      </w:r>
      <w:r>
        <w:rPr>
          <w:rFonts w:hint="cs"/>
          <w:b/>
          <w:bCs/>
          <w:rtl/>
        </w:rPr>
        <w:t>, 2020-2000</w:t>
      </w:r>
    </w:p>
    <w:p w:rsidR="003D3BEF" w:rsidP="00783AED" w14:paraId="4CA3D4E5" w14:textId="77777777">
      <w:pPr>
        <w:spacing w:before="120" w:after="120" w:line="269" w:lineRule="auto"/>
        <w:jc w:val="center"/>
        <w:rPr>
          <w:b/>
          <w:bCs/>
          <w:rtl/>
        </w:rPr>
      </w:pPr>
      <w:r>
        <w:rPr>
          <w:b/>
          <w:bCs/>
          <w:noProof/>
          <w:rtl/>
        </w:rPr>
        <w:drawing>
          <wp:inline distT="0" distB="0" distL="0" distR="0">
            <wp:extent cx="4322073" cy="2383541"/>
            <wp:effectExtent l="0" t="0" r="254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31877" name="water-corporations-g-7.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83541"/>
                    </a:xfrm>
                    <a:prstGeom prst="rect">
                      <a:avLst/>
                    </a:prstGeom>
                  </pic:spPr>
                </pic:pic>
              </a:graphicData>
            </a:graphic>
          </wp:inline>
        </w:drawing>
      </w:r>
    </w:p>
    <w:p w:rsidR="00783AED" w:rsidRPr="00783AED" w:rsidP="00783AED" w14:paraId="442B2A89"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Pr>
          <w:rFonts w:hint="cs"/>
          <w:sz w:val="22"/>
          <w:szCs w:val="22"/>
          <w:rtl/>
        </w:rPr>
        <w:t>הלשכה המרכזית לסטטיסטיקה</w:t>
      </w:r>
      <w:r w:rsidRPr="00684E93">
        <w:rPr>
          <w:sz w:val="22"/>
          <w:szCs w:val="22"/>
          <w:rtl/>
        </w:rPr>
        <w:t>.</w:t>
      </w:r>
    </w:p>
    <w:p w:rsidR="00783AED" w:rsidP="003D3BEF" w14:paraId="470B9F56" w14:textId="77777777">
      <w:pPr>
        <w:tabs>
          <w:tab w:val="left" w:pos="2531"/>
        </w:tabs>
        <w:spacing w:line="269" w:lineRule="auto"/>
        <w:jc w:val="left"/>
        <w:rPr>
          <w:rtl/>
        </w:rPr>
      </w:pPr>
    </w:p>
    <w:p w:rsidR="003D3BEF" w:rsidRPr="005C3F06" w:rsidP="003D3BEF" w14:paraId="23EC90B8" w14:textId="77777777">
      <w:pPr>
        <w:tabs>
          <w:tab w:val="left" w:pos="2531"/>
        </w:tabs>
        <w:spacing w:line="269" w:lineRule="auto"/>
        <w:jc w:val="left"/>
        <w:rPr>
          <w:rtl/>
        </w:rPr>
      </w:pPr>
      <w:r w:rsidRPr="005C3F06">
        <w:rPr>
          <w:rtl/>
        </w:rPr>
        <w:t>מתרשים</w:t>
      </w:r>
      <w:r>
        <w:rPr>
          <w:rFonts w:hint="cs"/>
          <w:rtl/>
        </w:rPr>
        <w:t xml:space="preserve"> 7 </w:t>
      </w:r>
      <w:r w:rsidRPr="005C3F06">
        <w:rPr>
          <w:rtl/>
        </w:rPr>
        <w:t>עולה כי בשנים 2011-2000 ה</w:t>
      </w:r>
      <w:r>
        <w:rPr>
          <w:rFonts w:hint="cs"/>
          <w:rtl/>
        </w:rPr>
        <w:t>י</w:t>
      </w:r>
      <w:r w:rsidRPr="005C3F06">
        <w:rPr>
          <w:rtl/>
        </w:rPr>
        <w:t>יתה מגמת עלייה במדד המחירים לשירותי מים וביוב לצר</w:t>
      </w:r>
      <w:r>
        <w:rPr>
          <w:rFonts w:hint="cs"/>
          <w:rtl/>
        </w:rPr>
        <w:t>י</w:t>
      </w:r>
      <w:r w:rsidRPr="005C3F06">
        <w:rPr>
          <w:rtl/>
        </w:rPr>
        <w:t>כה הביתית וחלה עלייה בשיעור 107%. משנת 2013 החלה מגמת ירידה</w:t>
      </w:r>
      <w:r>
        <w:rPr>
          <w:rtl/>
        </w:rPr>
        <w:t xml:space="preserve"> </w:t>
      </w:r>
      <w:r w:rsidRPr="005C3F06">
        <w:rPr>
          <w:rtl/>
        </w:rPr>
        <w:t>במדד זה בשיעור</w:t>
      </w:r>
      <w:r>
        <w:rPr>
          <w:rFonts w:hint="cs"/>
          <w:rtl/>
        </w:rPr>
        <w:t xml:space="preserve"> של</w:t>
      </w:r>
      <w:r w:rsidRPr="005C3F06">
        <w:rPr>
          <w:rtl/>
        </w:rPr>
        <w:t xml:space="preserve"> כ-15%, זאת לעומת עלייה מתונה בשיעור</w:t>
      </w:r>
      <w:r>
        <w:rPr>
          <w:rFonts w:hint="cs"/>
          <w:rtl/>
        </w:rPr>
        <w:t xml:space="preserve"> של</w:t>
      </w:r>
      <w:r w:rsidRPr="005C3F06">
        <w:rPr>
          <w:rtl/>
        </w:rPr>
        <w:t xml:space="preserve"> 2% במדד המחירים הכללי לצרכן.</w:t>
      </w:r>
    </w:p>
    <w:p w:rsidR="003D3BEF" w:rsidRPr="005C3F06" w:rsidP="003D3BEF" w14:paraId="45789A97" w14:textId="77777777">
      <w:pPr>
        <w:tabs>
          <w:tab w:val="left" w:pos="2531"/>
        </w:tabs>
        <w:spacing w:line="269" w:lineRule="auto"/>
        <w:jc w:val="left"/>
        <w:rPr>
          <w:rtl/>
        </w:rPr>
      </w:pPr>
    </w:p>
    <w:p w:rsidR="003D3BEF" w:rsidP="003D3BEF" w14:paraId="3ECF7217" w14:textId="77777777">
      <w:pPr>
        <w:tabs>
          <w:tab w:val="left" w:pos="2531"/>
        </w:tabs>
        <w:spacing w:line="269" w:lineRule="auto"/>
        <w:jc w:val="left"/>
        <w:rPr>
          <w:rtl/>
        </w:rPr>
      </w:pPr>
      <w:r w:rsidRPr="005C3F06">
        <w:rPr>
          <w:rtl/>
        </w:rPr>
        <w:t>סה"כ ב</w:t>
      </w:r>
      <w:r>
        <w:rPr>
          <w:rFonts w:hint="cs"/>
          <w:rtl/>
        </w:rPr>
        <w:t>שנים</w:t>
      </w:r>
      <w:r w:rsidRPr="005C3F06">
        <w:rPr>
          <w:rtl/>
        </w:rPr>
        <w:t xml:space="preserve"> 2020-2000 חלה עלייה בשיעור</w:t>
      </w:r>
      <w:r>
        <w:rPr>
          <w:rFonts w:hint="cs"/>
          <w:rtl/>
        </w:rPr>
        <w:t xml:space="preserve"> של</w:t>
      </w:r>
      <w:r w:rsidRPr="005C3F06">
        <w:rPr>
          <w:rtl/>
        </w:rPr>
        <w:t xml:space="preserve"> 68% במדד המחירים לשירותי מים וביוב לצריכה ביתית, כאשר בתקופה זו</w:t>
      </w:r>
      <w:r>
        <w:rPr>
          <w:rFonts w:hint="cs"/>
          <w:rtl/>
        </w:rPr>
        <w:t xml:space="preserve"> הייתה</w:t>
      </w:r>
      <w:r w:rsidRPr="005C3F06">
        <w:rPr>
          <w:rtl/>
        </w:rPr>
        <w:t xml:space="preserve"> במדד המחירים הכללי לצרכן</w:t>
      </w:r>
      <w:r>
        <w:rPr>
          <w:rtl/>
        </w:rPr>
        <w:t xml:space="preserve"> </w:t>
      </w:r>
      <w:r w:rsidRPr="005C3F06">
        <w:rPr>
          <w:rtl/>
        </w:rPr>
        <w:t>עלייה מתונה יותר בשיעור</w:t>
      </w:r>
      <w:r>
        <w:rPr>
          <w:rFonts w:hint="cs"/>
          <w:rtl/>
        </w:rPr>
        <w:t xml:space="preserve"> של</w:t>
      </w:r>
      <w:r w:rsidRPr="005C3F06">
        <w:rPr>
          <w:rtl/>
        </w:rPr>
        <w:t xml:space="preserve"> 33%. כאמור, </w:t>
      </w:r>
      <w:r>
        <w:rPr>
          <w:rFonts w:hint="cs"/>
          <w:rtl/>
        </w:rPr>
        <w:t xml:space="preserve">אין נתונים מלאים </w:t>
      </w:r>
      <w:r w:rsidRPr="005C3F06">
        <w:rPr>
          <w:rtl/>
        </w:rPr>
        <w:t>לגבי חיובי הביוב בכל הארץ לפני רפורמת התעריפים</w:t>
      </w:r>
      <w:r>
        <w:rPr>
          <w:rFonts w:hint="cs"/>
          <w:rtl/>
        </w:rPr>
        <w:t>.</w:t>
      </w:r>
      <w:r w:rsidRPr="005C3F06">
        <w:rPr>
          <w:rtl/>
        </w:rPr>
        <w:t xml:space="preserve"> </w:t>
      </w:r>
    </w:p>
    <w:p w:rsidR="003D3BEF" w:rsidP="003D3BEF" w14:paraId="3758B106" w14:textId="77777777">
      <w:pPr>
        <w:tabs>
          <w:tab w:val="left" w:pos="2531"/>
        </w:tabs>
        <w:spacing w:line="269" w:lineRule="auto"/>
        <w:jc w:val="left"/>
        <w:rPr>
          <w:rtl/>
        </w:rPr>
      </w:pPr>
    </w:p>
    <w:p w:rsidR="003D3BEF" w:rsidP="003D3BEF" w14:paraId="608C16C2" w14:textId="77777777">
      <w:pPr>
        <w:tabs>
          <w:tab w:val="left" w:pos="2531"/>
        </w:tabs>
        <w:spacing w:line="269" w:lineRule="auto"/>
        <w:jc w:val="left"/>
        <w:rPr>
          <w:rtl/>
        </w:rPr>
      </w:pPr>
    </w:p>
    <w:p w:rsidR="003D3BEF" w:rsidP="003D3BEF" w14:paraId="7951F9AC" w14:textId="77777777">
      <w:pPr>
        <w:tabs>
          <w:tab w:val="left" w:pos="2531"/>
        </w:tabs>
        <w:spacing w:line="269" w:lineRule="auto"/>
        <w:jc w:val="left"/>
        <w:rPr>
          <w:rtl/>
        </w:rPr>
      </w:pPr>
    </w:p>
    <w:p w:rsidR="003D3BEF" w:rsidRPr="005C3F06" w:rsidP="003D3BEF" w14:paraId="58E43C96" w14:textId="77777777">
      <w:pPr>
        <w:tabs>
          <w:tab w:val="left" w:pos="2531"/>
        </w:tabs>
        <w:spacing w:line="269" w:lineRule="auto"/>
        <w:jc w:val="left"/>
        <w:rPr>
          <w:rtl/>
        </w:rPr>
      </w:pPr>
    </w:p>
    <w:p w:rsidR="003D3BEF" w:rsidP="003D3BEF" w14:paraId="46F51F22" w14:textId="77777777">
      <w:pPr>
        <w:pStyle w:val="a"/>
        <w:spacing w:line="269" w:lineRule="auto"/>
        <w:rPr>
          <w:rtl/>
        </w:rPr>
      </w:pPr>
    </w:p>
    <w:p w:rsidR="003D3BEF" w:rsidP="003D3BEF" w14:paraId="44B8309F" w14:textId="77777777">
      <w:pPr>
        <w:spacing w:line="269" w:lineRule="auto"/>
        <w:ind w:left="-58"/>
        <w:rPr>
          <w:b/>
          <w:bCs/>
          <w:rtl/>
        </w:rPr>
      </w:pPr>
      <w:r w:rsidRPr="00CD2F7F">
        <w:rPr>
          <w:b/>
          <w:bCs/>
          <w:rtl/>
        </w:rPr>
        <w:t>בהתייחס למרכיב המים בלבד בתוך תעריפי המים והביוב, חלה בשנת 2010 עלייה של מעל 30%</w:t>
      </w:r>
      <w:r>
        <w:rPr>
          <w:b/>
          <w:bCs/>
          <w:rtl/>
        </w:rPr>
        <w:t xml:space="preserve"> </w:t>
      </w:r>
      <w:r w:rsidRPr="00CD2F7F">
        <w:rPr>
          <w:b/>
          <w:bCs/>
          <w:rtl/>
        </w:rPr>
        <w:t xml:space="preserve">בעקבות רפורמת התעריפים. לאחר מכן חלה ירידה בתעריפים עד ליולי 2018 </w:t>
      </w:r>
      <w:r>
        <w:rPr>
          <w:rFonts w:hint="cs"/>
          <w:b/>
          <w:bCs/>
          <w:rtl/>
        </w:rPr>
        <w:t xml:space="preserve">ואחר כך נרשמה </w:t>
      </w:r>
      <w:r w:rsidRPr="00CD2F7F">
        <w:rPr>
          <w:b/>
          <w:bCs/>
          <w:rtl/>
        </w:rPr>
        <w:t>עלייה מתונה עד ינואר 2020.</w:t>
      </w:r>
    </w:p>
    <w:p w:rsidR="003D3BEF" w:rsidP="003D3BEF" w14:paraId="692E125C" w14:textId="77777777">
      <w:pPr>
        <w:pStyle w:val="a"/>
        <w:spacing w:line="269" w:lineRule="auto"/>
        <w:rPr>
          <w:rtl/>
        </w:rPr>
      </w:pPr>
    </w:p>
    <w:p w:rsidR="003D3BEF" w:rsidRPr="00F413F2" w:rsidP="003D3BEF" w14:paraId="27834205" w14:textId="77777777">
      <w:pPr>
        <w:pStyle w:val="Heading3"/>
        <w:spacing w:before="0" w:line="269" w:lineRule="auto"/>
        <w:rPr>
          <w:rtl/>
        </w:rPr>
      </w:pPr>
      <w:bookmarkStart w:id="2" w:name="_Toc47260075"/>
      <w:r w:rsidRPr="00F413F2">
        <w:rPr>
          <w:rFonts w:hint="eastAsia"/>
          <w:rtl/>
        </w:rPr>
        <w:t>פעולות</w:t>
      </w:r>
      <w:r w:rsidRPr="00F413F2">
        <w:rPr>
          <w:rtl/>
        </w:rPr>
        <w:t xml:space="preserve"> </w:t>
      </w:r>
      <w:r w:rsidRPr="00F413F2">
        <w:rPr>
          <w:rFonts w:hint="eastAsia"/>
          <w:rtl/>
        </w:rPr>
        <w:t>הביקורת</w:t>
      </w:r>
      <w:bookmarkEnd w:id="2"/>
    </w:p>
    <w:p w:rsidR="003D3BEF" w:rsidP="003D3BEF" w14:paraId="71887130" w14:textId="77777777">
      <w:pPr>
        <w:pStyle w:val="a"/>
        <w:rPr>
          <w:rtl/>
        </w:rPr>
      </w:pPr>
    </w:p>
    <w:p w:rsidR="003D3BEF" w:rsidP="003D3BEF" w14:paraId="1A6B2132" w14:textId="77777777">
      <w:pPr>
        <w:spacing w:line="269" w:lineRule="auto"/>
        <w:rPr>
          <w:rtl/>
        </w:rPr>
      </w:pPr>
      <w:r>
        <w:rPr>
          <w:rFonts w:hint="cs"/>
          <w:rtl/>
        </w:rPr>
        <w:t>בחודשים מאי-דצמבר 2019 בדק משרד מבקר המדינה את תאגידי המים והביוב בהיבטים האלה: הסדרה ופיקוח וכן השוואה בין המצב בשנת 2011, דהיינו בתחילת הרפורמה</w:t>
      </w:r>
      <w:r>
        <w:rPr>
          <w:rStyle w:val="FootnoteReference"/>
          <w:rtl/>
        </w:rPr>
        <w:footnoteReference w:id="26"/>
      </w:r>
      <w:r>
        <w:rPr>
          <w:rFonts w:hint="cs"/>
          <w:rtl/>
        </w:rPr>
        <w:t xml:space="preserve"> שבה היו מאוגדים 52 תאגידים לבין המצב בשנת 2018 לפי מדדים של עלויות תפעול, פחת מים, השקעות ופחת גבייה. כמו כן, נבדק מנגנון ההטבה והטיפול באוכלוסיות מוחלשות וכן התיאגוד האזורי. הביקורת נערכה ברשות המים ובתאגידי מים. בשל מאפייניהם השונים של התאגידים, בין היתר בהיבטים של גודל אוכלוסייה, מספר הרשויות המקומיות המאוגדות בתאגיד, הדירוג הכלכלי-חברתי הממוצע של האוכלוסיי</w:t>
      </w:r>
      <w:r>
        <w:rPr>
          <w:rFonts w:hint="eastAsia"/>
          <w:rtl/>
        </w:rPr>
        <w:t>ה</w:t>
      </w:r>
      <w:r>
        <w:rPr>
          <w:rFonts w:hint="cs"/>
          <w:rtl/>
        </w:rPr>
        <w:t xml:space="preserve">, המגזרים ונתוני תפעול, התמקדה הביקורת בכמה תאגידים בעלי מאפיינים עיקריים שונים ואלה התאגידים: מי שבע, מי ברק, מי רמת גן, מעיינות השרון, נווה מדבר ומי לוד. </w:t>
      </w:r>
    </w:p>
    <w:p w:rsidR="003D3BEF" w:rsidP="003D3BEF" w14:paraId="1AE53E3A" w14:textId="77777777">
      <w:pPr>
        <w:pStyle w:val="a"/>
        <w:spacing w:line="269" w:lineRule="auto"/>
        <w:rPr>
          <w:rtl/>
        </w:rPr>
      </w:pPr>
    </w:p>
    <w:p w:rsidR="003D3BEF" w:rsidRPr="005C1231" w:rsidP="004E485C" w14:paraId="67910059" w14:textId="77777777">
      <w:pPr>
        <w:spacing w:after="120" w:line="269" w:lineRule="auto"/>
        <w:jc w:val="center"/>
        <w:rPr>
          <w:b/>
          <w:bCs/>
          <w:rtl/>
        </w:rPr>
      </w:pPr>
      <w:r>
        <w:rPr>
          <w:rFonts w:hint="cs"/>
          <w:b/>
          <w:bCs/>
          <w:rtl/>
        </w:rPr>
        <w:t>לוח 1</w:t>
      </w:r>
      <w:r w:rsidRPr="005C1231">
        <w:rPr>
          <w:rFonts w:hint="cs"/>
          <w:b/>
          <w:bCs/>
          <w:rtl/>
        </w:rPr>
        <w:t xml:space="preserve">: ריכוז מאפייני </w:t>
      </w:r>
      <w:r>
        <w:rPr>
          <w:rFonts w:hint="cs"/>
          <w:b/>
          <w:bCs/>
          <w:rtl/>
        </w:rPr>
        <w:t>ה</w:t>
      </w:r>
      <w:r w:rsidRPr="005C1231">
        <w:rPr>
          <w:rFonts w:hint="cs"/>
          <w:b/>
          <w:bCs/>
          <w:rtl/>
        </w:rPr>
        <w:t xml:space="preserve">תאגידים </w:t>
      </w:r>
      <w:r>
        <w:rPr>
          <w:rFonts w:hint="cs"/>
          <w:b/>
          <w:bCs/>
          <w:rtl/>
        </w:rPr>
        <w:t>שנבדקו</w:t>
      </w:r>
    </w:p>
    <w:tbl>
      <w:tblPr>
        <w:tblStyle w:val="TableGrid"/>
        <w:bidiVisual/>
        <w:tblW w:w="0" w:type="auto"/>
        <w:jc w:val="center"/>
        <w:tblLayout w:type="fixed"/>
        <w:tblLook w:val="04A0"/>
      </w:tblPr>
      <w:tblGrid>
        <w:gridCol w:w="1326"/>
        <w:gridCol w:w="1134"/>
        <w:gridCol w:w="1134"/>
        <w:gridCol w:w="1276"/>
        <w:gridCol w:w="992"/>
        <w:gridCol w:w="992"/>
        <w:gridCol w:w="1134"/>
      </w:tblGrid>
      <w:tr w14:paraId="06599DA5" w14:textId="77777777" w:rsidTr="004E485C">
        <w:tblPrEx>
          <w:tblW w:w="0" w:type="auto"/>
          <w:jc w:val="center"/>
          <w:tblLayout w:type="fixed"/>
          <w:tblLook w:val="04A0"/>
        </w:tblPrEx>
        <w:trPr>
          <w:jc w:val="center"/>
        </w:trPr>
        <w:tc>
          <w:tcPr>
            <w:tcW w:w="1326" w:type="dxa"/>
            <w:vAlign w:val="bottom"/>
          </w:tcPr>
          <w:p w:rsidR="003D3BEF" w:rsidRPr="002B5389" w:rsidP="00282624" w14:paraId="40C748E6"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תאגיד</w:t>
            </w:r>
          </w:p>
        </w:tc>
        <w:tc>
          <w:tcPr>
            <w:tcW w:w="1134" w:type="dxa"/>
            <w:vAlign w:val="bottom"/>
          </w:tcPr>
          <w:p w:rsidR="003D3BEF" w:rsidRPr="002B5389" w:rsidP="00282624" w14:paraId="38446EFB"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נווה מדבר</w:t>
            </w:r>
          </w:p>
        </w:tc>
        <w:tc>
          <w:tcPr>
            <w:tcW w:w="1134" w:type="dxa"/>
            <w:vAlign w:val="bottom"/>
          </w:tcPr>
          <w:p w:rsidR="003D3BEF" w:rsidRPr="002B5389" w:rsidP="00282624" w14:paraId="34625B57"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מי לוד</w:t>
            </w:r>
          </w:p>
        </w:tc>
        <w:tc>
          <w:tcPr>
            <w:tcW w:w="1276" w:type="dxa"/>
            <w:vAlign w:val="bottom"/>
          </w:tcPr>
          <w:p w:rsidR="003D3BEF" w:rsidRPr="002B5389" w:rsidP="00282624" w14:paraId="3C56EF5F"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מי ברק</w:t>
            </w:r>
          </w:p>
        </w:tc>
        <w:tc>
          <w:tcPr>
            <w:tcW w:w="992" w:type="dxa"/>
            <w:vAlign w:val="bottom"/>
          </w:tcPr>
          <w:p w:rsidR="003D3BEF" w:rsidRPr="002B5389" w:rsidP="00282624" w14:paraId="6E29F663"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מי שבע</w:t>
            </w:r>
          </w:p>
        </w:tc>
        <w:tc>
          <w:tcPr>
            <w:tcW w:w="992" w:type="dxa"/>
            <w:vAlign w:val="bottom"/>
          </w:tcPr>
          <w:p w:rsidR="003D3BEF" w:rsidRPr="002B5389" w:rsidP="00282624" w14:paraId="5ADE1CDD"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מעיינות השרון</w:t>
            </w:r>
          </w:p>
        </w:tc>
        <w:tc>
          <w:tcPr>
            <w:tcW w:w="1134" w:type="dxa"/>
            <w:vAlign w:val="bottom"/>
          </w:tcPr>
          <w:p w:rsidR="003D3BEF" w:rsidRPr="002B5389" w:rsidP="00282624" w14:paraId="16062F84" w14:textId="77777777">
            <w:pPr>
              <w:spacing w:before="144" w:beforeLines="60" w:after="144" w:afterLines="60" w:line="240" w:lineRule="exact"/>
              <w:jc w:val="center"/>
              <w:rPr>
                <w:rFonts w:ascii="David" w:hAnsi="David"/>
                <w:b/>
                <w:bCs/>
                <w:sz w:val="24"/>
                <w:rtl/>
              </w:rPr>
            </w:pPr>
            <w:r w:rsidRPr="002B5389">
              <w:rPr>
                <w:rFonts w:ascii="David" w:hAnsi="David"/>
                <w:b/>
                <w:bCs/>
                <w:sz w:val="24"/>
                <w:rtl/>
              </w:rPr>
              <w:t>מי רמת גן</w:t>
            </w:r>
          </w:p>
        </w:tc>
      </w:tr>
      <w:tr w14:paraId="12B8CA75" w14:textId="77777777" w:rsidTr="004E485C">
        <w:tblPrEx>
          <w:tblW w:w="0" w:type="auto"/>
          <w:jc w:val="center"/>
          <w:tblLayout w:type="fixed"/>
          <w:tblLook w:val="04A0"/>
        </w:tblPrEx>
        <w:trPr>
          <w:jc w:val="center"/>
        </w:trPr>
        <w:tc>
          <w:tcPr>
            <w:tcW w:w="1326" w:type="dxa"/>
          </w:tcPr>
          <w:p w:rsidR="003D3BEF" w:rsidRPr="002B5389" w:rsidP="00282624" w14:paraId="37016961"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מספר הרשויות המחזיקות בתאגיד</w:t>
            </w:r>
          </w:p>
        </w:tc>
        <w:tc>
          <w:tcPr>
            <w:tcW w:w="1134" w:type="dxa"/>
          </w:tcPr>
          <w:p w:rsidR="003D3BEF" w:rsidRPr="002B5389" w:rsidP="00282624" w14:paraId="4C348F0C" w14:textId="77777777">
            <w:pPr>
              <w:spacing w:before="144" w:beforeLines="60" w:after="144" w:afterLines="60" w:line="240" w:lineRule="exact"/>
              <w:rPr>
                <w:rFonts w:ascii="David" w:hAnsi="David"/>
                <w:sz w:val="22"/>
                <w:szCs w:val="22"/>
                <w:rtl/>
              </w:rPr>
            </w:pPr>
            <w:r w:rsidRPr="002B5389">
              <w:rPr>
                <w:rFonts w:ascii="David" w:hAnsi="David"/>
                <w:sz w:val="22"/>
                <w:szCs w:val="22"/>
                <w:rtl/>
              </w:rPr>
              <w:t xml:space="preserve">רב-רשותי </w:t>
            </w:r>
          </w:p>
        </w:tc>
        <w:tc>
          <w:tcPr>
            <w:tcW w:w="1134" w:type="dxa"/>
          </w:tcPr>
          <w:p w:rsidR="003D3BEF" w:rsidRPr="002B5389" w:rsidP="00282624" w14:paraId="17608CEA" w14:textId="77777777">
            <w:pPr>
              <w:spacing w:before="144" w:beforeLines="60" w:after="144" w:afterLines="60" w:line="240" w:lineRule="exact"/>
              <w:rPr>
                <w:rFonts w:ascii="David" w:hAnsi="David"/>
                <w:sz w:val="22"/>
                <w:szCs w:val="22"/>
                <w:rtl/>
              </w:rPr>
            </w:pPr>
            <w:r w:rsidRPr="002B5389">
              <w:rPr>
                <w:rFonts w:ascii="David" w:hAnsi="David"/>
                <w:sz w:val="22"/>
                <w:szCs w:val="22"/>
                <w:rtl/>
              </w:rPr>
              <w:t xml:space="preserve">חד-רשותי </w:t>
            </w:r>
          </w:p>
        </w:tc>
        <w:tc>
          <w:tcPr>
            <w:tcW w:w="1276" w:type="dxa"/>
          </w:tcPr>
          <w:p w:rsidR="003D3BEF" w:rsidRPr="002B5389" w:rsidP="00282624" w14:paraId="6E0AA068" w14:textId="77777777">
            <w:pPr>
              <w:spacing w:before="144" w:beforeLines="60" w:after="144" w:afterLines="60" w:line="240" w:lineRule="exact"/>
              <w:rPr>
                <w:rFonts w:ascii="David" w:hAnsi="David"/>
                <w:sz w:val="22"/>
                <w:szCs w:val="22"/>
                <w:rtl/>
              </w:rPr>
            </w:pPr>
            <w:r w:rsidRPr="002B5389">
              <w:rPr>
                <w:rFonts w:ascii="David" w:hAnsi="David"/>
                <w:sz w:val="22"/>
                <w:szCs w:val="22"/>
                <w:rtl/>
              </w:rPr>
              <w:t>חד-רשותי, מגזר חרדי</w:t>
            </w:r>
          </w:p>
        </w:tc>
        <w:tc>
          <w:tcPr>
            <w:tcW w:w="992" w:type="dxa"/>
          </w:tcPr>
          <w:p w:rsidR="003D3BEF" w:rsidRPr="002B5389" w:rsidP="00282624" w14:paraId="28B8A6DA" w14:textId="77777777">
            <w:pPr>
              <w:spacing w:before="144" w:beforeLines="60" w:after="144" w:afterLines="60" w:line="240" w:lineRule="exact"/>
              <w:rPr>
                <w:rFonts w:ascii="David" w:hAnsi="David"/>
                <w:sz w:val="22"/>
                <w:szCs w:val="22"/>
                <w:rtl/>
              </w:rPr>
            </w:pPr>
            <w:r w:rsidRPr="002B5389">
              <w:rPr>
                <w:rFonts w:ascii="David" w:hAnsi="David"/>
                <w:sz w:val="22"/>
                <w:szCs w:val="22"/>
                <w:rtl/>
              </w:rPr>
              <w:t>דו-רשותי</w:t>
            </w:r>
          </w:p>
        </w:tc>
        <w:tc>
          <w:tcPr>
            <w:tcW w:w="992" w:type="dxa"/>
          </w:tcPr>
          <w:p w:rsidR="003D3BEF" w:rsidRPr="002B5389" w:rsidP="00282624" w14:paraId="4EE5B06B" w14:textId="77777777">
            <w:pPr>
              <w:spacing w:before="144" w:beforeLines="60" w:after="144" w:afterLines="60" w:line="240" w:lineRule="exact"/>
              <w:rPr>
                <w:rFonts w:ascii="David" w:hAnsi="David"/>
                <w:sz w:val="22"/>
                <w:szCs w:val="22"/>
                <w:rtl/>
              </w:rPr>
            </w:pPr>
            <w:r w:rsidRPr="002B5389">
              <w:rPr>
                <w:rFonts w:ascii="David" w:hAnsi="David"/>
                <w:sz w:val="22"/>
                <w:szCs w:val="22"/>
                <w:rtl/>
              </w:rPr>
              <w:t xml:space="preserve">רב-רשותי </w:t>
            </w:r>
          </w:p>
        </w:tc>
        <w:tc>
          <w:tcPr>
            <w:tcW w:w="1134" w:type="dxa"/>
          </w:tcPr>
          <w:p w:rsidR="003D3BEF" w:rsidRPr="002B5389" w:rsidP="00282624" w14:paraId="5CADCDB0" w14:textId="77777777">
            <w:pPr>
              <w:spacing w:before="144" w:beforeLines="60" w:after="144" w:afterLines="60" w:line="240" w:lineRule="exact"/>
              <w:rPr>
                <w:rFonts w:ascii="David" w:hAnsi="David"/>
                <w:sz w:val="22"/>
                <w:szCs w:val="22"/>
                <w:rtl/>
              </w:rPr>
            </w:pPr>
            <w:r w:rsidRPr="002B5389">
              <w:rPr>
                <w:rFonts w:ascii="David" w:hAnsi="David"/>
                <w:sz w:val="22"/>
                <w:szCs w:val="22"/>
                <w:rtl/>
              </w:rPr>
              <w:t>חד-רשותי</w:t>
            </w:r>
          </w:p>
        </w:tc>
      </w:tr>
      <w:tr w14:paraId="5DE5C3B0" w14:textId="77777777" w:rsidTr="004E485C">
        <w:tblPrEx>
          <w:tblW w:w="0" w:type="auto"/>
          <w:jc w:val="center"/>
          <w:tblLayout w:type="fixed"/>
          <w:tblLook w:val="04A0"/>
        </w:tblPrEx>
        <w:trPr>
          <w:jc w:val="center"/>
        </w:trPr>
        <w:tc>
          <w:tcPr>
            <w:tcW w:w="1326" w:type="dxa"/>
          </w:tcPr>
          <w:p w:rsidR="003D3BEF" w:rsidRPr="002B5389" w:rsidP="00282624" w14:paraId="563BA519"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מגזר</w:t>
            </w:r>
          </w:p>
        </w:tc>
        <w:tc>
          <w:tcPr>
            <w:tcW w:w="1134" w:type="dxa"/>
          </w:tcPr>
          <w:p w:rsidR="003D3BEF" w:rsidRPr="002B5389" w:rsidP="00282624" w14:paraId="49398B92" w14:textId="77777777">
            <w:pPr>
              <w:spacing w:before="144" w:beforeLines="60" w:after="144" w:afterLines="60" w:line="240" w:lineRule="exact"/>
              <w:rPr>
                <w:rFonts w:ascii="David" w:hAnsi="David"/>
                <w:sz w:val="22"/>
                <w:szCs w:val="22"/>
                <w:rtl/>
              </w:rPr>
            </w:pPr>
            <w:r w:rsidRPr="002B5389">
              <w:rPr>
                <w:rFonts w:ascii="David" w:hAnsi="David"/>
                <w:sz w:val="22"/>
                <w:szCs w:val="22"/>
                <w:rtl/>
              </w:rPr>
              <w:t>מיעוטים,</w:t>
            </w:r>
            <w:r w:rsidR="002B5389">
              <w:rPr>
                <w:rFonts w:ascii="David" w:hAnsi="David" w:hint="cs"/>
                <w:sz w:val="22"/>
                <w:szCs w:val="22"/>
                <w:rtl/>
              </w:rPr>
              <w:br/>
            </w:r>
            <w:r w:rsidRPr="002B5389">
              <w:rPr>
                <w:rFonts w:ascii="David" w:hAnsi="David"/>
                <w:sz w:val="22"/>
                <w:szCs w:val="22"/>
                <w:rtl/>
              </w:rPr>
              <w:t>בדואי</w:t>
            </w:r>
            <w:r w:rsidR="002B5389">
              <w:rPr>
                <w:rFonts w:ascii="David" w:hAnsi="David" w:hint="cs"/>
                <w:sz w:val="22"/>
                <w:szCs w:val="22"/>
                <w:rtl/>
              </w:rPr>
              <w:t>ם</w:t>
            </w:r>
          </w:p>
        </w:tc>
        <w:tc>
          <w:tcPr>
            <w:tcW w:w="1134" w:type="dxa"/>
          </w:tcPr>
          <w:p w:rsidR="003D3BEF" w:rsidRPr="002B5389" w:rsidP="00282624" w14:paraId="3FAC3190" w14:textId="77777777">
            <w:pPr>
              <w:spacing w:before="144" w:beforeLines="60" w:after="144" w:afterLines="60" w:line="240" w:lineRule="exact"/>
              <w:rPr>
                <w:rFonts w:ascii="David" w:hAnsi="David"/>
                <w:sz w:val="22"/>
                <w:szCs w:val="22"/>
                <w:rtl/>
              </w:rPr>
            </w:pPr>
            <w:r w:rsidRPr="002B5389">
              <w:rPr>
                <w:rFonts w:ascii="David" w:hAnsi="David"/>
                <w:sz w:val="22"/>
                <w:szCs w:val="22"/>
                <w:rtl/>
              </w:rPr>
              <w:t>מעורב</w:t>
            </w:r>
          </w:p>
        </w:tc>
        <w:tc>
          <w:tcPr>
            <w:tcW w:w="1276" w:type="dxa"/>
          </w:tcPr>
          <w:p w:rsidR="003D3BEF" w:rsidRPr="002B5389" w:rsidP="00282624" w14:paraId="4BF62CC4" w14:textId="77777777">
            <w:pPr>
              <w:spacing w:before="144" w:beforeLines="60" w:after="144" w:afterLines="60" w:line="240" w:lineRule="exact"/>
              <w:rPr>
                <w:rFonts w:ascii="David" w:hAnsi="David"/>
                <w:sz w:val="22"/>
                <w:szCs w:val="22"/>
                <w:rtl/>
              </w:rPr>
            </w:pPr>
            <w:r w:rsidRPr="002B5389">
              <w:rPr>
                <w:rFonts w:ascii="David" w:hAnsi="David"/>
                <w:sz w:val="22"/>
                <w:szCs w:val="22"/>
                <w:rtl/>
              </w:rPr>
              <w:t>יהודי-חרדי</w:t>
            </w:r>
          </w:p>
        </w:tc>
        <w:tc>
          <w:tcPr>
            <w:tcW w:w="992" w:type="dxa"/>
          </w:tcPr>
          <w:p w:rsidR="003D3BEF" w:rsidRPr="002B5389" w:rsidP="00282624" w14:paraId="3E2031AC" w14:textId="77777777">
            <w:pPr>
              <w:spacing w:before="144" w:beforeLines="60" w:after="144" w:afterLines="60" w:line="240" w:lineRule="exact"/>
              <w:rPr>
                <w:rFonts w:ascii="David" w:hAnsi="David"/>
                <w:sz w:val="22"/>
                <w:szCs w:val="22"/>
                <w:rtl/>
              </w:rPr>
            </w:pPr>
            <w:r w:rsidRPr="002B5389">
              <w:rPr>
                <w:rFonts w:ascii="David" w:hAnsi="David"/>
                <w:sz w:val="22"/>
                <w:szCs w:val="22"/>
                <w:rtl/>
              </w:rPr>
              <w:t>יהודי</w:t>
            </w:r>
          </w:p>
        </w:tc>
        <w:tc>
          <w:tcPr>
            <w:tcW w:w="992" w:type="dxa"/>
          </w:tcPr>
          <w:p w:rsidR="003D3BEF" w:rsidRPr="002B5389" w:rsidP="00282624" w14:paraId="741E5E7C" w14:textId="77777777">
            <w:pPr>
              <w:spacing w:before="144" w:beforeLines="60" w:after="144" w:afterLines="60" w:line="240" w:lineRule="exact"/>
              <w:rPr>
                <w:rFonts w:ascii="David" w:hAnsi="David"/>
                <w:sz w:val="22"/>
                <w:szCs w:val="22"/>
                <w:rtl/>
              </w:rPr>
            </w:pPr>
            <w:r w:rsidRPr="002B5389">
              <w:rPr>
                <w:rFonts w:ascii="David" w:hAnsi="David"/>
                <w:sz w:val="22"/>
                <w:szCs w:val="22"/>
                <w:rtl/>
              </w:rPr>
              <w:t>יהודי</w:t>
            </w:r>
          </w:p>
        </w:tc>
        <w:tc>
          <w:tcPr>
            <w:tcW w:w="1134" w:type="dxa"/>
          </w:tcPr>
          <w:p w:rsidR="003D3BEF" w:rsidRPr="002B5389" w:rsidP="00282624" w14:paraId="4C1BB46E" w14:textId="77777777">
            <w:pPr>
              <w:spacing w:before="144" w:beforeLines="60" w:after="144" w:afterLines="60" w:line="240" w:lineRule="exact"/>
              <w:rPr>
                <w:rFonts w:ascii="David" w:hAnsi="David"/>
                <w:sz w:val="22"/>
                <w:szCs w:val="22"/>
                <w:rtl/>
              </w:rPr>
            </w:pPr>
            <w:r w:rsidRPr="002B5389">
              <w:rPr>
                <w:rFonts w:ascii="David" w:hAnsi="David"/>
                <w:sz w:val="22"/>
                <w:szCs w:val="22"/>
                <w:rtl/>
              </w:rPr>
              <w:t>יהודי</w:t>
            </w:r>
          </w:p>
        </w:tc>
      </w:tr>
      <w:tr w14:paraId="6C18D4EE" w14:textId="77777777" w:rsidTr="004E485C">
        <w:tblPrEx>
          <w:tblW w:w="0" w:type="auto"/>
          <w:jc w:val="center"/>
          <w:tblLayout w:type="fixed"/>
          <w:tblLook w:val="04A0"/>
        </w:tblPrEx>
        <w:trPr>
          <w:jc w:val="center"/>
        </w:trPr>
        <w:tc>
          <w:tcPr>
            <w:tcW w:w="1326" w:type="dxa"/>
          </w:tcPr>
          <w:p w:rsidR="003D3BEF" w:rsidRPr="002B5389" w:rsidP="00282624" w14:paraId="52912E13"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מועד הקמה</w:t>
            </w:r>
          </w:p>
          <w:p w:rsidR="003D3BEF" w:rsidRPr="002B5389" w:rsidP="00282624" w14:paraId="26A16166" w14:textId="77777777">
            <w:pPr>
              <w:spacing w:before="144" w:beforeLines="60" w:after="144" w:afterLines="60" w:line="240" w:lineRule="exact"/>
              <w:jc w:val="left"/>
              <w:rPr>
                <w:rFonts w:ascii="David" w:hAnsi="David"/>
                <w:b/>
                <w:bCs/>
                <w:sz w:val="22"/>
                <w:szCs w:val="22"/>
                <w:rtl/>
              </w:rPr>
            </w:pPr>
          </w:p>
        </w:tc>
        <w:tc>
          <w:tcPr>
            <w:tcW w:w="1134" w:type="dxa"/>
          </w:tcPr>
          <w:p w:rsidR="003D3BEF" w:rsidRPr="002B5389" w:rsidP="00282624" w14:paraId="18225F5F" w14:textId="77777777">
            <w:pPr>
              <w:spacing w:before="144" w:beforeLines="60" w:after="144" w:afterLines="60" w:line="240" w:lineRule="exact"/>
              <w:rPr>
                <w:rFonts w:ascii="David" w:hAnsi="David"/>
                <w:sz w:val="22"/>
                <w:szCs w:val="22"/>
                <w:rtl/>
              </w:rPr>
            </w:pPr>
            <w:r w:rsidRPr="002B5389">
              <w:rPr>
                <w:rFonts w:ascii="David" w:hAnsi="David"/>
                <w:sz w:val="22"/>
                <w:szCs w:val="22"/>
                <w:rtl/>
              </w:rPr>
              <w:t>דצמבר 2010</w:t>
            </w:r>
          </w:p>
        </w:tc>
        <w:tc>
          <w:tcPr>
            <w:tcW w:w="1134" w:type="dxa"/>
          </w:tcPr>
          <w:p w:rsidR="003D3BEF" w:rsidRPr="002B5389" w:rsidP="00282624" w14:paraId="79B186C4" w14:textId="77777777">
            <w:pPr>
              <w:spacing w:before="144" w:beforeLines="60" w:after="144" w:afterLines="60" w:line="240" w:lineRule="exact"/>
              <w:rPr>
                <w:rFonts w:ascii="David" w:hAnsi="David"/>
                <w:sz w:val="22"/>
                <w:szCs w:val="22"/>
                <w:rtl/>
              </w:rPr>
            </w:pPr>
            <w:r w:rsidRPr="002B5389">
              <w:rPr>
                <w:rFonts w:ascii="David" w:hAnsi="David"/>
                <w:sz w:val="22"/>
                <w:szCs w:val="22"/>
                <w:rtl/>
              </w:rPr>
              <w:t>דצמבר 2008</w:t>
            </w:r>
          </w:p>
        </w:tc>
        <w:tc>
          <w:tcPr>
            <w:tcW w:w="1276" w:type="dxa"/>
          </w:tcPr>
          <w:p w:rsidR="003D3BEF" w:rsidRPr="002B5389" w:rsidP="00282624" w14:paraId="2A8C0371" w14:textId="77777777">
            <w:pPr>
              <w:spacing w:before="144" w:beforeLines="60" w:after="144" w:afterLines="60" w:line="240" w:lineRule="exact"/>
              <w:rPr>
                <w:rFonts w:ascii="David" w:hAnsi="David"/>
                <w:sz w:val="22"/>
                <w:szCs w:val="22"/>
                <w:rtl/>
              </w:rPr>
            </w:pPr>
            <w:r w:rsidRPr="002B5389">
              <w:rPr>
                <w:rFonts w:ascii="David" w:hAnsi="David"/>
                <w:sz w:val="22"/>
                <w:szCs w:val="22"/>
                <w:rtl/>
              </w:rPr>
              <w:t>נובמבר 2008</w:t>
            </w:r>
          </w:p>
        </w:tc>
        <w:tc>
          <w:tcPr>
            <w:tcW w:w="992" w:type="dxa"/>
          </w:tcPr>
          <w:p w:rsidR="003D3BEF" w:rsidRPr="002B5389" w:rsidP="00282624" w14:paraId="586CD1CD" w14:textId="77777777">
            <w:pPr>
              <w:spacing w:before="144" w:beforeLines="60" w:after="144" w:afterLines="60" w:line="240" w:lineRule="exact"/>
              <w:rPr>
                <w:rFonts w:ascii="David" w:hAnsi="David"/>
                <w:sz w:val="22"/>
                <w:szCs w:val="22"/>
                <w:rtl/>
              </w:rPr>
            </w:pPr>
            <w:r w:rsidRPr="002B5389">
              <w:rPr>
                <w:rFonts w:ascii="David" w:hAnsi="David"/>
                <w:sz w:val="22"/>
                <w:szCs w:val="22"/>
                <w:rtl/>
              </w:rPr>
              <w:t>יולי 2007</w:t>
            </w:r>
          </w:p>
        </w:tc>
        <w:tc>
          <w:tcPr>
            <w:tcW w:w="992" w:type="dxa"/>
          </w:tcPr>
          <w:p w:rsidR="003D3BEF" w:rsidRPr="002B5389" w:rsidP="00282624" w14:paraId="61B997D0" w14:textId="77777777">
            <w:pPr>
              <w:spacing w:before="144" w:beforeLines="60" w:after="144" w:afterLines="60" w:line="240" w:lineRule="exact"/>
              <w:rPr>
                <w:rFonts w:ascii="David" w:hAnsi="David"/>
                <w:sz w:val="22"/>
                <w:szCs w:val="22"/>
                <w:rtl/>
              </w:rPr>
            </w:pPr>
            <w:r w:rsidRPr="002B5389">
              <w:rPr>
                <w:rFonts w:ascii="David" w:hAnsi="David"/>
                <w:sz w:val="22"/>
                <w:szCs w:val="22"/>
                <w:rtl/>
              </w:rPr>
              <w:t>2009</w:t>
            </w:r>
          </w:p>
        </w:tc>
        <w:tc>
          <w:tcPr>
            <w:tcW w:w="1134" w:type="dxa"/>
          </w:tcPr>
          <w:p w:rsidR="003D3BEF" w:rsidRPr="002B5389" w:rsidP="00282624" w14:paraId="2801E772" w14:textId="77777777">
            <w:pPr>
              <w:spacing w:before="144" w:beforeLines="60" w:after="144" w:afterLines="60" w:line="240" w:lineRule="exact"/>
              <w:rPr>
                <w:rFonts w:ascii="David" w:hAnsi="David"/>
                <w:sz w:val="22"/>
                <w:szCs w:val="22"/>
                <w:rtl/>
              </w:rPr>
            </w:pPr>
            <w:r w:rsidRPr="002B5389">
              <w:rPr>
                <w:rFonts w:ascii="David" w:hAnsi="David"/>
                <w:sz w:val="22"/>
                <w:szCs w:val="22"/>
                <w:rtl/>
              </w:rPr>
              <w:t>יולי 2012</w:t>
            </w:r>
          </w:p>
        </w:tc>
      </w:tr>
      <w:tr w14:paraId="5ABFC3C2" w14:textId="77777777" w:rsidTr="004E485C">
        <w:tblPrEx>
          <w:tblW w:w="0" w:type="auto"/>
          <w:jc w:val="center"/>
          <w:tblLayout w:type="fixed"/>
          <w:tblLook w:val="04A0"/>
        </w:tblPrEx>
        <w:trPr>
          <w:jc w:val="center"/>
        </w:trPr>
        <w:tc>
          <w:tcPr>
            <w:tcW w:w="1326" w:type="dxa"/>
          </w:tcPr>
          <w:p w:rsidR="003D3BEF" w:rsidRPr="002B5389" w:rsidP="00282624" w14:paraId="0FADAA78"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אוכלוסייה</w:t>
            </w:r>
          </w:p>
        </w:tc>
        <w:tc>
          <w:tcPr>
            <w:tcW w:w="1134" w:type="dxa"/>
          </w:tcPr>
          <w:p w:rsidR="003D3BEF" w:rsidRPr="002B5389" w:rsidP="00282624" w14:paraId="147188C0" w14:textId="77777777">
            <w:pPr>
              <w:spacing w:before="144" w:beforeLines="60" w:after="144" w:afterLines="60" w:line="240" w:lineRule="exact"/>
              <w:rPr>
                <w:rFonts w:ascii="David" w:hAnsi="David"/>
                <w:sz w:val="22"/>
                <w:szCs w:val="22"/>
                <w:rtl/>
              </w:rPr>
            </w:pPr>
            <w:r w:rsidRPr="002B5389">
              <w:rPr>
                <w:rFonts w:ascii="David" w:hAnsi="David"/>
                <w:sz w:val="22"/>
                <w:szCs w:val="22"/>
                <w:rtl/>
              </w:rPr>
              <w:t>100,522</w:t>
            </w:r>
          </w:p>
        </w:tc>
        <w:tc>
          <w:tcPr>
            <w:tcW w:w="1134" w:type="dxa"/>
          </w:tcPr>
          <w:p w:rsidR="003D3BEF" w:rsidRPr="002B5389" w:rsidP="00282624" w14:paraId="6297E858" w14:textId="77777777">
            <w:pPr>
              <w:spacing w:before="144" w:beforeLines="60" w:after="144" w:afterLines="60" w:line="240" w:lineRule="exact"/>
              <w:rPr>
                <w:rFonts w:ascii="David" w:hAnsi="David"/>
                <w:sz w:val="22"/>
                <w:szCs w:val="22"/>
                <w:rtl/>
              </w:rPr>
            </w:pPr>
            <w:r w:rsidRPr="002B5389">
              <w:rPr>
                <w:rFonts w:ascii="David" w:hAnsi="David"/>
                <w:sz w:val="22"/>
                <w:szCs w:val="22"/>
                <w:rtl/>
              </w:rPr>
              <w:t>74,604</w:t>
            </w:r>
          </w:p>
        </w:tc>
        <w:tc>
          <w:tcPr>
            <w:tcW w:w="1276" w:type="dxa"/>
          </w:tcPr>
          <w:p w:rsidR="003D3BEF" w:rsidRPr="002B5389" w:rsidP="00282624" w14:paraId="78B95374" w14:textId="77777777">
            <w:pPr>
              <w:spacing w:before="144" w:beforeLines="60" w:after="144" w:afterLines="60" w:line="240" w:lineRule="exact"/>
              <w:rPr>
                <w:rFonts w:ascii="David" w:hAnsi="David"/>
                <w:sz w:val="22"/>
                <w:szCs w:val="22"/>
                <w:rtl/>
              </w:rPr>
            </w:pPr>
            <w:r w:rsidRPr="002B5389">
              <w:rPr>
                <w:rFonts w:ascii="David" w:hAnsi="David"/>
                <w:sz w:val="22"/>
                <w:szCs w:val="22"/>
                <w:rtl/>
              </w:rPr>
              <w:t>193,774</w:t>
            </w:r>
          </w:p>
        </w:tc>
        <w:tc>
          <w:tcPr>
            <w:tcW w:w="992" w:type="dxa"/>
          </w:tcPr>
          <w:p w:rsidR="003D3BEF" w:rsidRPr="002B5389" w:rsidP="00282624" w14:paraId="78C38106" w14:textId="77777777">
            <w:pPr>
              <w:spacing w:before="144" w:beforeLines="60" w:after="144" w:afterLines="60" w:line="240" w:lineRule="exact"/>
              <w:rPr>
                <w:rFonts w:ascii="David" w:hAnsi="David"/>
                <w:sz w:val="22"/>
                <w:szCs w:val="22"/>
                <w:rtl/>
              </w:rPr>
            </w:pPr>
            <w:r w:rsidRPr="002B5389">
              <w:rPr>
                <w:rFonts w:ascii="David" w:hAnsi="David"/>
                <w:sz w:val="22"/>
                <w:szCs w:val="22"/>
                <w:rtl/>
              </w:rPr>
              <w:t>235,322</w:t>
            </w:r>
          </w:p>
        </w:tc>
        <w:tc>
          <w:tcPr>
            <w:tcW w:w="992" w:type="dxa"/>
          </w:tcPr>
          <w:p w:rsidR="003D3BEF" w:rsidRPr="002B5389" w:rsidP="00282624" w14:paraId="7F39B4FE" w14:textId="77777777">
            <w:pPr>
              <w:spacing w:before="144" w:beforeLines="60" w:after="144" w:afterLines="60" w:line="240" w:lineRule="exact"/>
              <w:rPr>
                <w:rFonts w:ascii="David" w:hAnsi="David"/>
                <w:sz w:val="22"/>
                <w:szCs w:val="22"/>
                <w:rtl/>
              </w:rPr>
            </w:pPr>
            <w:r w:rsidRPr="002B5389">
              <w:rPr>
                <w:rFonts w:ascii="David" w:hAnsi="David"/>
                <w:sz w:val="22"/>
                <w:szCs w:val="22"/>
                <w:rtl/>
              </w:rPr>
              <w:t>70,461</w:t>
            </w:r>
          </w:p>
        </w:tc>
        <w:tc>
          <w:tcPr>
            <w:tcW w:w="1134" w:type="dxa"/>
          </w:tcPr>
          <w:p w:rsidR="003D3BEF" w:rsidRPr="002B5389" w:rsidP="00282624" w14:paraId="63E1712D" w14:textId="77777777">
            <w:pPr>
              <w:spacing w:before="144" w:beforeLines="60" w:after="144" w:afterLines="60" w:line="240" w:lineRule="exact"/>
              <w:rPr>
                <w:rFonts w:ascii="David" w:hAnsi="David"/>
                <w:sz w:val="22"/>
                <w:szCs w:val="22"/>
                <w:rtl/>
              </w:rPr>
            </w:pPr>
            <w:r w:rsidRPr="002B5389">
              <w:rPr>
                <w:rFonts w:ascii="David" w:hAnsi="David"/>
                <w:sz w:val="22"/>
                <w:szCs w:val="22"/>
                <w:rtl/>
              </w:rPr>
              <w:t>156,277</w:t>
            </w:r>
          </w:p>
        </w:tc>
      </w:tr>
      <w:tr w14:paraId="3A349373" w14:textId="77777777" w:rsidTr="004E485C">
        <w:tblPrEx>
          <w:tblW w:w="0" w:type="auto"/>
          <w:jc w:val="center"/>
          <w:tblLayout w:type="fixed"/>
          <w:tblLook w:val="04A0"/>
        </w:tblPrEx>
        <w:trPr>
          <w:jc w:val="center"/>
        </w:trPr>
        <w:tc>
          <w:tcPr>
            <w:tcW w:w="1326" w:type="dxa"/>
          </w:tcPr>
          <w:p w:rsidR="003D3BEF" w:rsidRPr="002B5389" w:rsidP="00282624" w14:paraId="09C5BF59"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דירוג חברתי-כלכלי</w:t>
            </w:r>
            <w:r>
              <w:rPr>
                <w:rStyle w:val="FootnoteReference"/>
                <w:rFonts w:ascii="David" w:hAnsi="David"/>
                <w:b/>
                <w:bCs/>
                <w:sz w:val="22"/>
                <w:szCs w:val="22"/>
                <w:rtl/>
              </w:rPr>
              <w:footnoteReference w:id="27"/>
            </w:r>
            <w:r w:rsidRPr="002B5389">
              <w:rPr>
                <w:rFonts w:ascii="David" w:hAnsi="David"/>
                <w:b/>
                <w:bCs/>
                <w:sz w:val="22"/>
                <w:szCs w:val="22"/>
                <w:rtl/>
              </w:rPr>
              <w:t xml:space="preserve"> </w:t>
            </w:r>
          </w:p>
        </w:tc>
        <w:tc>
          <w:tcPr>
            <w:tcW w:w="1134" w:type="dxa"/>
          </w:tcPr>
          <w:p w:rsidR="003D3BEF" w:rsidRPr="002B5389" w:rsidP="00282624" w14:paraId="024A72F5" w14:textId="77777777">
            <w:pPr>
              <w:spacing w:before="144" w:beforeLines="60" w:after="144" w:afterLines="60" w:line="240" w:lineRule="exact"/>
              <w:rPr>
                <w:rFonts w:ascii="David" w:hAnsi="David"/>
                <w:sz w:val="22"/>
                <w:szCs w:val="22"/>
                <w:rtl/>
              </w:rPr>
            </w:pPr>
            <w:r w:rsidRPr="002B5389">
              <w:rPr>
                <w:rFonts w:ascii="David" w:hAnsi="David"/>
                <w:sz w:val="22"/>
                <w:szCs w:val="22"/>
                <w:rtl/>
              </w:rPr>
              <w:t>1 (חלש)</w:t>
            </w:r>
          </w:p>
        </w:tc>
        <w:tc>
          <w:tcPr>
            <w:tcW w:w="1134" w:type="dxa"/>
          </w:tcPr>
          <w:p w:rsidR="003D3BEF" w:rsidRPr="002B5389" w:rsidP="00282624" w14:paraId="7D28C843" w14:textId="77777777">
            <w:pPr>
              <w:spacing w:before="144" w:beforeLines="60" w:after="144" w:afterLines="60" w:line="240" w:lineRule="exact"/>
              <w:rPr>
                <w:rFonts w:ascii="David" w:hAnsi="David"/>
                <w:sz w:val="22"/>
                <w:szCs w:val="22"/>
                <w:rtl/>
              </w:rPr>
            </w:pPr>
            <w:r w:rsidRPr="002B5389">
              <w:rPr>
                <w:rFonts w:ascii="David" w:hAnsi="David"/>
                <w:sz w:val="22"/>
                <w:szCs w:val="22"/>
                <w:rtl/>
              </w:rPr>
              <w:t>4 (חלש)</w:t>
            </w:r>
          </w:p>
        </w:tc>
        <w:tc>
          <w:tcPr>
            <w:tcW w:w="1276" w:type="dxa"/>
          </w:tcPr>
          <w:p w:rsidR="003D3BEF" w:rsidRPr="002B5389" w:rsidP="00282624" w14:paraId="2097B971" w14:textId="77777777">
            <w:pPr>
              <w:spacing w:before="144" w:beforeLines="60" w:after="144" w:afterLines="60" w:line="240" w:lineRule="exact"/>
              <w:rPr>
                <w:rFonts w:ascii="David" w:hAnsi="David"/>
                <w:sz w:val="22"/>
                <w:szCs w:val="22"/>
                <w:rtl/>
              </w:rPr>
            </w:pPr>
            <w:r w:rsidRPr="002B5389">
              <w:rPr>
                <w:rFonts w:ascii="David" w:hAnsi="David"/>
                <w:sz w:val="22"/>
                <w:szCs w:val="22"/>
                <w:rtl/>
              </w:rPr>
              <w:t>2 (חלש)</w:t>
            </w:r>
          </w:p>
        </w:tc>
        <w:tc>
          <w:tcPr>
            <w:tcW w:w="992" w:type="dxa"/>
          </w:tcPr>
          <w:p w:rsidR="003D3BEF" w:rsidRPr="002B5389" w:rsidP="00282624" w14:paraId="77B1DB45" w14:textId="77777777">
            <w:pPr>
              <w:spacing w:before="144" w:beforeLines="60" w:after="144" w:afterLines="60" w:line="240" w:lineRule="exact"/>
              <w:rPr>
                <w:rFonts w:ascii="David" w:hAnsi="David"/>
                <w:sz w:val="22"/>
                <w:szCs w:val="22"/>
                <w:rtl/>
              </w:rPr>
            </w:pPr>
            <w:r w:rsidRPr="002B5389">
              <w:rPr>
                <w:rFonts w:ascii="David" w:hAnsi="David"/>
                <w:sz w:val="22"/>
                <w:szCs w:val="22"/>
                <w:rtl/>
              </w:rPr>
              <w:t>5 (בינוני)</w:t>
            </w:r>
          </w:p>
        </w:tc>
        <w:tc>
          <w:tcPr>
            <w:tcW w:w="992" w:type="dxa"/>
          </w:tcPr>
          <w:p w:rsidR="003D3BEF" w:rsidRPr="002B5389" w:rsidP="00282624" w14:paraId="7D35E13F" w14:textId="77777777">
            <w:pPr>
              <w:spacing w:before="144" w:beforeLines="60" w:after="144" w:afterLines="60" w:line="240" w:lineRule="exact"/>
              <w:rPr>
                <w:rFonts w:ascii="David" w:hAnsi="David"/>
                <w:sz w:val="22"/>
                <w:szCs w:val="22"/>
                <w:rtl/>
              </w:rPr>
            </w:pPr>
            <w:r w:rsidRPr="002B5389">
              <w:rPr>
                <w:rFonts w:ascii="David" w:hAnsi="David"/>
                <w:sz w:val="22"/>
                <w:szCs w:val="22"/>
                <w:rtl/>
              </w:rPr>
              <w:t>7 (חזק)</w:t>
            </w:r>
          </w:p>
        </w:tc>
        <w:tc>
          <w:tcPr>
            <w:tcW w:w="1134" w:type="dxa"/>
          </w:tcPr>
          <w:p w:rsidR="003D3BEF" w:rsidRPr="002B5389" w:rsidP="00282624" w14:paraId="170F1F68" w14:textId="77777777">
            <w:pPr>
              <w:spacing w:before="144" w:beforeLines="60" w:after="144" w:afterLines="60" w:line="240" w:lineRule="exact"/>
              <w:rPr>
                <w:rFonts w:ascii="David" w:hAnsi="David"/>
                <w:sz w:val="22"/>
                <w:szCs w:val="22"/>
                <w:rtl/>
              </w:rPr>
            </w:pPr>
            <w:r w:rsidRPr="002B5389">
              <w:rPr>
                <w:rFonts w:ascii="David" w:hAnsi="David"/>
                <w:sz w:val="22"/>
                <w:szCs w:val="22"/>
                <w:rtl/>
              </w:rPr>
              <w:t>8 (חזק)</w:t>
            </w:r>
          </w:p>
        </w:tc>
      </w:tr>
      <w:tr w14:paraId="468326BA" w14:textId="77777777" w:rsidTr="004E485C">
        <w:tblPrEx>
          <w:tblW w:w="0" w:type="auto"/>
          <w:jc w:val="center"/>
          <w:tblLayout w:type="fixed"/>
          <w:tblLook w:val="04A0"/>
        </w:tblPrEx>
        <w:trPr>
          <w:jc w:val="center"/>
        </w:trPr>
        <w:tc>
          <w:tcPr>
            <w:tcW w:w="1326" w:type="dxa"/>
          </w:tcPr>
          <w:p w:rsidR="003D3BEF" w:rsidRPr="002B5389" w:rsidP="00282624" w14:paraId="0E09853D"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הכנסות בשנת 2018 (באלפי ש"ח)</w:t>
            </w:r>
          </w:p>
        </w:tc>
        <w:tc>
          <w:tcPr>
            <w:tcW w:w="1134" w:type="dxa"/>
          </w:tcPr>
          <w:p w:rsidR="003D3BEF" w:rsidRPr="002B5389" w:rsidP="00282624" w14:paraId="1E491C33" w14:textId="77777777">
            <w:pPr>
              <w:spacing w:before="144" w:beforeLines="60" w:after="144" w:afterLines="60" w:line="240" w:lineRule="exact"/>
              <w:rPr>
                <w:rFonts w:ascii="David" w:hAnsi="David"/>
                <w:sz w:val="22"/>
                <w:szCs w:val="22"/>
                <w:rtl/>
              </w:rPr>
            </w:pPr>
            <w:r w:rsidRPr="002B5389">
              <w:rPr>
                <w:rFonts w:ascii="David" w:hAnsi="David"/>
                <w:sz w:val="22"/>
                <w:szCs w:val="22"/>
                <w:rtl/>
              </w:rPr>
              <w:t>44,114</w:t>
            </w:r>
          </w:p>
        </w:tc>
        <w:tc>
          <w:tcPr>
            <w:tcW w:w="1134" w:type="dxa"/>
          </w:tcPr>
          <w:p w:rsidR="003D3BEF" w:rsidRPr="002B5389" w:rsidP="00282624" w14:paraId="75CB9C5A" w14:textId="77777777">
            <w:pPr>
              <w:spacing w:before="144" w:beforeLines="60" w:after="144" w:afterLines="60" w:line="240" w:lineRule="exact"/>
              <w:rPr>
                <w:rFonts w:ascii="David" w:hAnsi="David"/>
                <w:sz w:val="22"/>
                <w:szCs w:val="22"/>
                <w:rtl/>
              </w:rPr>
            </w:pPr>
            <w:r w:rsidRPr="002B5389">
              <w:rPr>
                <w:rFonts w:ascii="David" w:hAnsi="David"/>
                <w:sz w:val="22"/>
                <w:szCs w:val="22"/>
                <w:rtl/>
              </w:rPr>
              <w:t>38,428</w:t>
            </w:r>
          </w:p>
        </w:tc>
        <w:tc>
          <w:tcPr>
            <w:tcW w:w="1276" w:type="dxa"/>
          </w:tcPr>
          <w:p w:rsidR="003D3BEF" w:rsidRPr="002B5389" w:rsidP="00282624" w14:paraId="1F3A2202" w14:textId="77777777">
            <w:pPr>
              <w:spacing w:before="144" w:beforeLines="60" w:after="144" w:afterLines="60" w:line="240" w:lineRule="exact"/>
              <w:rPr>
                <w:rFonts w:ascii="David" w:hAnsi="David"/>
                <w:sz w:val="22"/>
                <w:szCs w:val="22"/>
                <w:rtl/>
              </w:rPr>
            </w:pPr>
            <w:r w:rsidRPr="002B5389">
              <w:rPr>
                <w:rFonts w:ascii="David" w:hAnsi="David"/>
                <w:sz w:val="22"/>
                <w:szCs w:val="22"/>
                <w:rtl/>
              </w:rPr>
              <w:t>86,810</w:t>
            </w:r>
          </w:p>
        </w:tc>
        <w:tc>
          <w:tcPr>
            <w:tcW w:w="992" w:type="dxa"/>
          </w:tcPr>
          <w:p w:rsidR="003D3BEF" w:rsidRPr="002B5389" w:rsidP="00282624" w14:paraId="14375D34" w14:textId="77777777">
            <w:pPr>
              <w:spacing w:before="144" w:beforeLines="60" w:after="144" w:afterLines="60" w:line="240" w:lineRule="exact"/>
              <w:rPr>
                <w:rFonts w:ascii="David" w:hAnsi="David"/>
                <w:sz w:val="22"/>
                <w:szCs w:val="22"/>
                <w:rtl/>
              </w:rPr>
            </w:pPr>
            <w:r w:rsidRPr="002B5389">
              <w:rPr>
                <w:rFonts w:ascii="David" w:hAnsi="David"/>
                <w:sz w:val="22"/>
                <w:szCs w:val="22"/>
                <w:rtl/>
              </w:rPr>
              <w:t>171,846</w:t>
            </w:r>
          </w:p>
        </w:tc>
        <w:tc>
          <w:tcPr>
            <w:tcW w:w="992" w:type="dxa"/>
          </w:tcPr>
          <w:p w:rsidR="003D3BEF" w:rsidRPr="002B5389" w:rsidP="00282624" w14:paraId="2AFF4964" w14:textId="77777777">
            <w:pPr>
              <w:spacing w:before="144" w:beforeLines="60" w:after="144" w:afterLines="60" w:line="240" w:lineRule="exact"/>
              <w:rPr>
                <w:rFonts w:ascii="David" w:hAnsi="David"/>
                <w:sz w:val="22"/>
                <w:szCs w:val="22"/>
                <w:rtl/>
              </w:rPr>
            </w:pPr>
            <w:r w:rsidRPr="002B5389">
              <w:rPr>
                <w:rFonts w:ascii="David" w:hAnsi="David"/>
                <w:sz w:val="22"/>
                <w:szCs w:val="22"/>
                <w:rtl/>
              </w:rPr>
              <w:t>53,359</w:t>
            </w:r>
          </w:p>
        </w:tc>
        <w:tc>
          <w:tcPr>
            <w:tcW w:w="1134" w:type="dxa"/>
          </w:tcPr>
          <w:p w:rsidR="003D3BEF" w:rsidRPr="002B5389" w:rsidP="00282624" w14:paraId="1EAF4F55" w14:textId="77777777">
            <w:pPr>
              <w:spacing w:before="144" w:beforeLines="60" w:after="144" w:afterLines="60" w:line="240" w:lineRule="exact"/>
              <w:rPr>
                <w:rFonts w:ascii="David" w:hAnsi="David"/>
                <w:sz w:val="22"/>
                <w:szCs w:val="22"/>
                <w:rtl/>
              </w:rPr>
            </w:pPr>
            <w:r w:rsidRPr="002B5389">
              <w:rPr>
                <w:rFonts w:ascii="David" w:hAnsi="David"/>
                <w:sz w:val="22"/>
                <w:szCs w:val="22"/>
                <w:rtl/>
              </w:rPr>
              <w:t>105,141</w:t>
            </w:r>
          </w:p>
        </w:tc>
      </w:tr>
      <w:tr w14:paraId="04502D90" w14:textId="77777777" w:rsidTr="004E485C">
        <w:tblPrEx>
          <w:tblW w:w="0" w:type="auto"/>
          <w:jc w:val="center"/>
          <w:tblLayout w:type="fixed"/>
          <w:tblLook w:val="04A0"/>
        </w:tblPrEx>
        <w:trPr>
          <w:jc w:val="center"/>
        </w:trPr>
        <w:tc>
          <w:tcPr>
            <w:tcW w:w="1326" w:type="dxa"/>
          </w:tcPr>
          <w:p w:rsidR="003D3BEF" w:rsidRPr="002B5389" w:rsidP="00282624" w14:paraId="307185E9" w14:textId="77777777">
            <w:pPr>
              <w:spacing w:before="144" w:beforeLines="60" w:after="144" w:afterLines="60" w:line="240" w:lineRule="exact"/>
              <w:jc w:val="left"/>
              <w:rPr>
                <w:rFonts w:ascii="David" w:hAnsi="David"/>
                <w:b/>
                <w:bCs/>
                <w:sz w:val="22"/>
                <w:szCs w:val="22"/>
                <w:rtl/>
              </w:rPr>
            </w:pPr>
            <w:r w:rsidRPr="002B5389">
              <w:rPr>
                <w:rFonts w:ascii="David" w:hAnsi="David"/>
                <w:b/>
                <w:bCs/>
                <w:sz w:val="22"/>
                <w:szCs w:val="22"/>
                <w:rtl/>
              </w:rPr>
              <w:t>רווח</w:t>
            </w:r>
            <w:r w:rsidRPr="002B5389" w:rsidR="002B5389">
              <w:rPr>
                <w:rFonts w:ascii="David" w:hAnsi="David"/>
                <w:b/>
                <w:bCs/>
                <w:sz w:val="22"/>
                <w:szCs w:val="22"/>
                <w:rtl/>
              </w:rPr>
              <w:br/>
            </w:r>
            <w:r w:rsidRPr="002B5389">
              <w:rPr>
                <w:rFonts w:ascii="David" w:hAnsi="David"/>
                <w:b/>
                <w:bCs/>
                <w:sz w:val="22"/>
                <w:szCs w:val="22"/>
                <w:rtl/>
              </w:rPr>
              <w:t>לשנת 2018</w:t>
            </w:r>
            <w:r w:rsidRPr="002B5389" w:rsidR="002B5389">
              <w:rPr>
                <w:rFonts w:ascii="David" w:hAnsi="David"/>
                <w:b/>
                <w:bCs/>
                <w:sz w:val="22"/>
                <w:szCs w:val="22"/>
                <w:rtl/>
              </w:rPr>
              <w:br/>
            </w:r>
            <w:r w:rsidRPr="002B5389">
              <w:rPr>
                <w:rFonts w:ascii="David" w:hAnsi="David"/>
                <w:b/>
                <w:bCs/>
                <w:sz w:val="22"/>
                <w:szCs w:val="22"/>
                <w:rtl/>
              </w:rPr>
              <w:t>(באלפי ש"ח)</w:t>
            </w:r>
          </w:p>
        </w:tc>
        <w:tc>
          <w:tcPr>
            <w:tcW w:w="1134" w:type="dxa"/>
          </w:tcPr>
          <w:p w:rsidR="003D3BEF" w:rsidRPr="002B5389" w:rsidP="00282624" w14:paraId="0E2B1B68" w14:textId="77777777">
            <w:pPr>
              <w:spacing w:before="144" w:beforeLines="60" w:after="144" w:afterLines="60" w:line="240" w:lineRule="exact"/>
              <w:rPr>
                <w:rFonts w:ascii="David" w:hAnsi="David"/>
                <w:sz w:val="22"/>
                <w:szCs w:val="22"/>
                <w:rtl/>
              </w:rPr>
            </w:pPr>
            <w:r w:rsidRPr="002B5389">
              <w:rPr>
                <w:rFonts w:ascii="David" w:hAnsi="David"/>
                <w:sz w:val="22"/>
                <w:szCs w:val="22"/>
                <w:rtl/>
              </w:rPr>
              <w:t>4,550</w:t>
            </w:r>
          </w:p>
        </w:tc>
        <w:tc>
          <w:tcPr>
            <w:tcW w:w="1134" w:type="dxa"/>
          </w:tcPr>
          <w:p w:rsidR="003D3BEF" w:rsidRPr="002B5389" w:rsidP="00282624" w14:paraId="26C71D81" w14:textId="77777777">
            <w:pPr>
              <w:spacing w:before="144" w:beforeLines="60" w:after="144" w:afterLines="60" w:line="240" w:lineRule="exact"/>
              <w:rPr>
                <w:rFonts w:ascii="David" w:hAnsi="David"/>
                <w:sz w:val="22"/>
                <w:szCs w:val="22"/>
                <w:rtl/>
              </w:rPr>
            </w:pPr>
            <w:r w:rsidRPr="002B5389">
              <w:rPr>
                <w:rFonts w:ascii="David" w:hAnsi="David"/>
                <w:sz w:val="22"/>
                <w:szCs w:val="22"/>
                <w:rtl/>
              </w:rPr>
              <w:t>725</w:t>
            </w:r>
          </w:p>
        </w:tc>
        <w:tc>
          <w:tcPr>
            <w:tcW w:w="1276" w:type="dxa"/>
          </w:tcPr>
          <w:p w:rsidR="003D3BEF" w:rsidRPr="002B5389" w:rsidP="00282624" w14:paraId="3FC3A499" w14:textId="77777777">
            <w:pPr>
              <w:spacing w:before="144" w:beforeLines="60" w:after="144" w:afterLines="60" w:line="240" w:lineRule="exact"/>
              <w:rPr>
                <w:rFonts w:ascii="David" w:hAnsi="David"/>
                <w:sz w:val="22"/>
                <w:szCs w:val="22"/>
                <w:rtl/>
              </w:rPr>
            </w:pPr>
            <w:r w:rsidRPr="002B5389">
              <w:rPr>
                <w:rFonts w:ascii="David" w:hAnsi="David"/>
                <w:sz w:val="22"/>
                <w:szCs w:val="22"/>
                <w:rtl/>
              </w:rPr>
              <w:t>3,140</w:t>
            </w:r>
          </w:p>
        </w:tc>
        <w:tc>
          <w:tcPr>
            <w:tcW w:w="992" w:type="dxa"/>
          </w:tcPr>
          <w:p w:rsidR="003D3BEF" w:rsidRPr="002B5389" w:rsidP="00282624" w14:paraId="4F8E470A" w14:textId="77777777">
            <w:pPr>
              <w:spacing w:before="144" w:beforeLines="60" w:after="144" w:afterLines="60" w:line="240" w:lineRule="exact"/>
              <w:rPr>
                <w:rFonts w:ascii="David" w:hAnsi="David"/>
                <w:sz w:val="22"/>
                <w:szCs w:val="22"/>
                <w:rtl/>
              </w:rPr>
            </w:pPr>
            <w:r w:rsidRPr="002B5389">
              <w:rPr>
                <w:rFonts w:ascii="David" w:hAnsi="David"/>
                <w:sz w:val="22"/>
                <w:szCs w:val="22"/>
                <w:rtl/>
              </w:rPr>
              <w:t>4,217</w:t>
            </w:r>
          </w:p>
        </w:tc>
        <w:tc>
          <w:tcPr>
            <w:tcW w:w="992" w:type="dxa"/>
          </w:tcPr>
          <w:p w:rsidR="003D3BEF" w:rsidRPr="002B5389" w:rsidP="00282624" w14:paraId="20483316" w14:textId="77777777">
            <w:pPr>
              <w:spacing w:before="144" w:beforeLines="60" w:after="144" w:afterLines="60" w:line="240" w:lineRule="exact"/>
              <w:rPr>
                <w:rFonts w:ascii="David" w:hAnsi="David"/>
                <w:sz w:val="22"/>
                <w:szCs w:val="22"/>
                <w:rtl/>
              </w:rPr>
            </w:pPr>
            <w:r w:rsidRPr="002B5389">
              <w:rPr>
                <w:rFonts w:ascii="David" w:hAnsi="David"/>
                <w:sz w:val="22"/>
                <w:szCs w:val="22"/>
                <w:rtl/>
              </w:rPr>
              <w:t>3,657</w:t>
            </w:r>
          </w:p>
        </w:tc>
        <w:tc>
          <w:tcPr>
            <w:tcW w:w="1134" w:type="dxa"/>
          </w:tcPr>
          <w:p w:rsidR="003D3BEF" w:rsidRPr="002B5389" w:rsidP="00282624" w14:paraId="0CDC8E6A" w14:textId="77777777">
            <w:pPr>
              <w:spacing w:before="144" w:beforeLines="60" w:after="144" w:afterLines="60" w:line="240" w:lineRule="exact"/>
              <w:rPr>
                <w:rFonts w:ascii="David" w:hAnsi="David"/>
                <w:sz w:val="22"/>
                <w:szCs w:val="22"/>
                <w:rtl/>
              </w:rPr>
            </w:pPr>
            <w:r w:rsidRPr="002B5389">
              <w:rPr>
                <w:rFonts w:ascii="David" w:hAnsi="David"/>
                <w:sz w:val="22"/>
                <w:szCs w:val="22"/>
                <w:rtl/>
              </w:rPr>
              <w:t>6,564</w:t>
            </w:r>
          </w:p>
        </w:tc>
      </w:tr>
    </w:tbl>
    <w:p w:rsidR="003D3BEF" w:rsidP="004E485C" w14:paraId="12F09182" w14:textId="77777777">
      <w:pPr>
        <w:spacing w:before="120"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320AD170" w14:textId="77777777">
      <w:pPr>
        <w:spacing w:line="269" w:lineRule="auto"/>
        <w:rPr>
          <w:sz w:val="22"/>
          <w:szCs w:val="22"/>
          <w:rtl/>
        </w:rPr>
      </w:pPr>
    </w:p>
    <w:p w:rsidR="003D3BEF" w:rsidP="003D3BEF" w14:paraId="64118BC7" w14:textId="77777777">
      <w:pPr>
        <w:spacing w:line="269" w:lineRule="auto"/>
        <w:rPr>
          <w:sz w:val="22"/>
          <w:szCs w:val="22"/>
          <w:rtl/>
        </w:rPr>
      </w:pPr>
    </w:p>
    <w:p w:rsidR="003D3BEF" w:rsidP="003D3BEF" w14:paraId="102C462F" w14:textId="77777777">
      <w:pPr>
        <w:spacing w:line="269" w:lineRule="auto"/>
        <w:rPr>
          <w:sz w:val="22"/>
          <w:szCs w:val="22"/>
          <w:rtl/>
        </w:rPr>
      </w:pPr>
    </w:p>
    <w:p w:rsidR="003D3BEF" w:rsidRPr="00DE161E" w:rsidP="003D3BEF" w14:paraId="0D8D3A57" w14:textId="77777777">
      <w:pPr>
        <w:spacing w:line="269" w:lineRule="auto"/>
        <w:jc w:val="center"/>
        <w:rPr>
          <w:b/>
          <w:bCs/>
          <w:sz w:val="24"/>
          <w:rtl/>
        </w:rPr>
      </w:pPr>
      <w:r>
        <w:rPr>
          <w:rFonts w:hint="cs"/>
          <w:b/>
          <w:bCs/>
          <w:sz w:val="24"/>
          <w:rtl/>
        </w:rPr>
        <w:t>תמ</w:t>
      </w:r>
      <w:r w:rsidRPr="00DE161E">
        <w:rPr>
          <w:rFonts w:hint="eastAsia"/>
          <w:b/>
          <w:bCs/>
          <w:sz w:val="24"/>
          <w:rtl/>
        </w:rPr>
        <w:t>ונה</w:t>
      </w:r>
      <w:r w:rsidRPr="00DE161E">
        <w:rPr>
          <w:b/>
          <w:bCs/>
          <w:sz w:val="24"/>
          <w:rtl/>
        </w:rPr>
        <w:t xml:space="preserve"> 1: </w:t>
      </w:r>
      <w:r w:rsidRPr="00DE161E">
        <w:rPr>
          <w:rFonts w:hint="eastAsia"/>
          <w:b/>
          <w:bCs/>
          <w:sz w:val="24"/>
          <w:rtl/>
        </w:rPr>
        <w:t>תחום</w:t>
      </w:r>
      <w:r>
        <w:rPr>
          <w:rFonts w:hint="cs"/>
          <w:b/>
          <w:bCs/>
          <w:sz w:val="24"/>
          <w:rtl/>
        </w:rPr>
        <w:t xml:space="preserve"> התאגיד</w:t>
      </w:r>
      <w:r w:rsidRPr="00DE161E">
        <w:rPr>
          <w:b/>
          <w:bCs/>
          <w:sz w:val="24"/>
          <w:rtl/>
        </w:rPr>
        <w:t xml:space="preserve"> </w:t>
      </w:r>
      <w:r w:rsidRPr="00DE161E">
        <w:rPr>
          <w:rFonts w:hint="eastAsia"/>
          <w:b/>
          <w:bCs/>
          <w:sz w:val="24"/>
          <w:rtl/>
        </w:rPr>
        <w:t>מי</w:t>
      </w:r>
      <w:r w:rsidRPr="00DE161E">
        <w:rPr>
          <w:b/>
          <w:bCs/>
          <w:sz w:val="24"/>
          <w:rtl/>
        </w:rPr>
        <w:t xml:space="preserve"> ברק</w:t>
      </w:r>
    </w:p>
    <w:p w:rsidR="003D3BEF" w:rsidP="004E485C" w14:paraId="7E03D718" w14:textId="77777777">
      <w:pPr>
        <w:spacing w:before="120" w:after="120" w:line="269" w:lineRule="auto"/>
        <w:jc w:val="center"/>
        <w:rPr>
          <w:noProof/>
          <w:rtl/>
        </w:rPr>
      </w:pPr>
      <w:r>
        <w:rPr>
          <w:noProof/>
        </w:rPr>
        <w:drawing>
          <wp:inline distT="0" distB="0" distL="0" distR="0">
            <wp:extent cx="2552700" cy="3167239"/>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39457" name=""/>
                    <pic:cNvPicPr/>
                  </pic:nvPicPr>
                  <pic:blipFill>
                    <a:blip xmlns:r="http://schemas.openxmlformats.org/officeDocument/2006/relationships" r:embed="rId13"/>
                    <a:srcRect l="42695" t="36008" r="37599" b="20523"/>
                    <a:stretch>
                      <a:fillRect/>
                    </a:stretch>
                  </pic:blipFill>
                  <pic:spPr bwMode="auto">
                    <a:xfrm>
                      <a:off x="0" y="0"/>
                      <a:ext cx="2576308" cy="319653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D3BEF" w:rsidRPr="00684E93" w:rsidP="000F474F" w14:paraId="745FBC76" w14:textId="77777777">
      <w:pPr>
        <w:spacing w:line="269" w:lineRule="auto"/>
        <w:jc w:val="center"/>
        <w:rPr>
          <w:sz w:val="22"/>
          <w:szCs w:val="22"/>
          <w:rtl/>
        </w:rPr>
      </w:pPr>
      <w:r w:rsidRPr="00684E93">
        <w:rPr>
          <w:rFonts w:hint="cs"/>
          <w:sz w:val="22"/>
          <w:szCs w:val="22"/>
          <w:rtl/>
        </w:rPr>
        <w:t xml:space="preserve">מתוך </w:t>
      </w:r>
      <w:r w:rsidRPr="00684E93">
        <w:rPr>
          <w:sz w:val="22"/>
          <w:szCs w:val="22"/>
          <w:rtl/>
        </w:rPr>
        <w:t>אתר המפות הממשלתי</w:t>
      </w:r>
      <w:r w:rsidRPr="00684E93">
        <w:rPr>
          <w:rFonts w:hint="cs"/>
          <w:sz w:val="22"/>
          <w:szCs w:val="22"/>
          <w:rtl/>
        </w:rPr>
        <w:t xml:space="preserve"> </w:t>
      </w:r>
      <w:r w:rsidRPr="00684E93">
        <w:rPr>
          <w:sz w:val="22"/>
          <w:szCs w:val="22"/>
        </w:rPr>
        <w:t>govmap</w:t>
      </w:r>
    </w:p>
    <w:p w:rsidR="003D3BEF" w:rsidRPr="008F5B9B" w:rsidP="003D3BEF" w14:paraId="17CDE7BE" w14:textId="77777777">
      <w:pPr>
        <w:spacing w:line="269" w:lineRule="auto"/>
        <w:jc w:val="left"/>
        <w:rPr>
          <w:szCs w:val="20"/>
          <w:rtl/>
        </w:rPr>
      </w:pPr>
    </w:p>
    <w:p w:rsidR="003D3BEF" w:rsidRPr="00052CC7" w:rsidP="004E485C" w14:paraId="514014A7" w14:textId="77777777">
      <w:pPr>
        <w:spacing w:after="120" w:line="269" w:lineRule="auto"/>
        <w:jc w:val="center"/>
        <w:rPr>
          <w:b/>
          <w:bCs/>
          <w:sz w:val="24"/>
          <w:rtl/>
        </w:rPr>
      </w:pPr>
      <w:r w:rsidRPr="00052CC7">
        <w:rPr>
          <w:rFonts w:hint="eastAsia"/>
          <w:b/>
          <w:bCs/>
          <w:sz w:val="24"/>
          <w:rtl/>
        </w:rPr>
        <w:t>תמונה</w:t>
      </w:r>
      <w:r w:rsidRPr="00052CC7">
        <w:rPr>
          <w:b/>
          <w:bCs/>
          <w:sz w:val="24"/>
          <w:rtl/>
        </w:rPr>
        <w:t xml:space="preserve"> 2: </w:t>
      </w:r>
      <w:r>
        <w:rPr>
          <w:rFonts w:hint="cs"/>
          <w:b/>
          <w:bCs/>
          <w:sz w:val="24"/>
          <w:rtl/>
        </w:rPr>
        <w:t>ה</w:t>
      </w:r>
      <w:r w:rsidRPr="00052CC7">
        <w:rPr>
          <w:rFonts w:hint="eastAsia"/>
          <w:b/>
          <w:bCs/>
          <w:sz w:val="24"/>
          <w:rtl/>
        </w:rPr>
        <w:t>רשויות</w:t>
      </w:r>
      <w:r w:rsidRPr="00052CC7">
        <w:rPr>
          <w:b/>
          <w:bCs/>
          <w:sz w:val="24"/>
          <w:rtl/>
        </w:rPr>
        <w:t xml:space="preserve"> </w:t>
      </w:r>
      <w:r>
        <w:rPr>
          <w:rFonts w:hint="cs"/>
          <w:b/>
          <w:bCs/>
          <w:sz w:val="24"/>
          <w:rtl/>
        </w:rPr>
        <w:t>ה</w:t>
      </w:r>
      <w:r w:rsidRPr="00052CC7">
        <w:rPr>
          <w:rFonts w:hint="eastAsia"/>
          <w:b/>
          <w:bCs/>
          <w:sz w:val="24"/>
          <w:rtl/>
        </w:rPr>
        <w:t>מקומיות</w:t>
      </w:r>
      <w:r w:rsidRPr="00052CC7">
        <w:rPr>
          <w:b/>
          <w:bCs/>
          <w:sz w:val="24"/>
          <w:rtl/>
        </w:rPr>
        <w:t xml:space="preserve"> </w:t>
      </w:r>
      <w:r w:rsidRPr="00052CC7">
        <w:rPr>
          <w:rFonts w:hint="eastAsia"/>
          <w:b/>
          <w:bCs/>
          <w:sz w:val="24"/>
          <w:rtl/>
        </w:rPr>
        <w:t>בתאגיד</w:t>
      </w:r>
      <w:r w:rsidRPr="00052CC7">
        <w:rPr>
          <w:b/>
          <w:bCs/>
          <w:sz w:val="24"/>
          <w:rtl/>
        </w:rPr>
        <w:t xml:space="preserve"> </w:t>
      </w:r>
      <w:r w:rsidRPr="00052CC7">
        <w:rPr>
          <w:rFonts w:hint="eastAsia"/>
          <w:b/>
          <w:bCs/>
          <w:sz w:val="24"/>
          <w:rtl/>
        </w:rPr>
        <w:t>נווה</w:t>
      </w:r>
      <w:r w:rsidRPr="00052CC7">
        <w:rPr>
          <w:b/>
          <w:bCs/>
          <w:sz w:val="24"/>
          <w:rtl/>
        </w:rPr>
        <w:t xml:space="preserve"> </w:t>
      </w:r>
      <w:r w:rsidRPr="00052CC7">
        <w:rPr>
          <w:rFonts w:hint="eastAsia"/>
          <w:b/>
          <w:bCs/>
          <w:sz w:val="24"/>
          <w:rtl/>
        </w:rPr>
        <w:t>מדבר</w:t>
      </w:r>
    </w:p>
    <w:p w:rsidR="003D3BEF" w:rsidP="004E485C" w14:paraId="22652017" w14:textId="77777777">
      <w:pPr>
        <w:spacing w:line="269" w:lineRule="auto"/>
        <w:jc w:val="center"/>
        <w:rPr>
          <w:b/>
          <w:bCs/>
          <w:sz w:val="24"/>
          <w:u w:val="single"/>
          <w:rtl/>
        </w:rPr>
      </w:pPr>
      <w:r>
        <w:rPr>
          <w:b/>
          <w:bCs/>
          <w:noProof/>
          <w:sz w:val="24"/>
          <w:u w:val="single"/>
          <w:rtl/>
        </w:rPr>
        <w:drawing>
          <wp:inline distT="0" distB="0" distL="0" distR="0">
            <wp:extent cx="4320000" cy="3157200"/>
            <wp:effectExtent l="0" t="0" r="4445" b="5715"/>
            <wp:docPr id="624677536" name="תמונה 62467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383" name="PIC-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157200"/>
                    </a:xfrm>
                    <a:prstGeom prst="rect">
                      <a:avLst/>
                    </a:prstGeom>
                  </pic:spPr>
                </pic:pic>
              </a:graphicData>
            </a:graphic>
          </wp:inline>
        </w:drawing>
      </w:r>
    </w:p>
    <w:p w:rsidR="003D3BEF" w:rsidRPr="00684E93" w:rsidP="004E485C" w14:paraId="1C8CC888" w14:textId="77777777">
      <w:pPr>
        <w:spacing w:before="120" w:line="269" w:lineRule="auto"/>
        <w:jc w:val="left"/>
        <w:rPr>
          <w:sz w:val="22"/>
          <w:szCs w:val="22"/>
          <w:rtl/>
        </w:rPr>
      </w:pPr>
      <w:r w:rsidRPr="00684E93">
        <w:rPr>
          <w:rFonts w:hint="eastAsia"/>
          <w:sz w:val="22"/>
          <w:szCs w:val="22"/>
          <w:rtl/>
        </w:rPr>
        <w:t>מתוך</w:t>
      </w:r>
      <w:r w:rsidRPr="00684E93">
        <w:rPr>
          <w:sz w:val="22"/>
          <w:szCs w:val="22"/>
          <w:rtl/>
        </w:rPr>
        <w:t xml:space="preserve"> </w:t>
      </w:r>
      <w:r w:rsidRPr="00684E93">
        <w:rPr>
          <w:rFonts w:hint="eastAsia"/>
          <w:sz w:val="22"/>
          <w:szCs w:val="22"/>
          <w:rtl/>
        </w:rPr>
        <w:t>אתר</w:t>
      </w:r>
      <w:r w:rsidRPr="00684E93">
        <w:rPr>
          <w:sz w:val="22"/>
          <w:szCs w:val="22"/>
          <w:rtl/>
        </w:rPr>
        <w:t xml:space="preserve"> המפות הממשלתי </w:t>
      </w:r>
      <w:r w:rsidRPr="00684E93">
        <w:rPr>
          <w:sz w:val="22"/>
          <w:szCs w:val="22"/>
        </w:rPr>
        <w:t>govmap</w:t>
      </w:r>
      <w:r w:rsidRPr="00684E93">
        <w:rPr>
          <w:rFonts w:hint="cs"/>
          <w:sz w:val="22"/>
          <w:szCs w:val="22"/>
          <w:rtl/>
        </w:rPr>
        <w:t xml:space="preserve"> מפברואר 2020, בעיבוד משרד מבקר המדינה.</w:t>
      </w:r>
    </w:p>
    <w:p w:rsidR="003D3BEF" w:rsidRPr="00684E93" w:rsidP="003D3BEF" w14:paraId="5FF5C965" w14:textId="77777777">
      <w:pPr>
        <w:spacing w:line="269" w:lineRule="auto"/>
        <w:jc w:val="left"/>
        <w:rPr>
          <w:b/>
          <w:bCs/>
          <w:sz w:val="22"/>
          <w:szCs w:val="22"/>
          <w:u w:val="single"/>
          <w:rtl/>
        </w:rPr>
      </w:pPr>
      <w:r w:rsidRPr="00684E93">
        <w:rPr>
          <w:rFonts w:hint="cs"/>
          <w:sz w:val="22"/>
          <w:szCs w:val="22"/>
          <w:rtl/>
        </w:rPr>
        <w:t xml:space="preserve">בתצלום מסומנות בירוק הרשויות המקומיות שבתחום </w:t>
      </w:r>
      <w:r w:rsidRPr="00684E93">
        <w:rPr>
          <w:rFonts w:hint="cs"/>
          <w:noProof/>
          <w:sz w:val="22"/>
          <w:szCs w:val="22"/>
          <w:rtl/>
        </w:rPr>
        <w:t>התאגיד נווה מדבר: חורה, לקייה, כסייפה, ערערה שבנגב, תל שבע ושגב שלום (קנה מידה 1:100,000).</w:t>
      </w:r>
    </w:p>
    <w:p w:rsidR="003D3BEF" w:rsidRPr="00052CC7" w:rsidP="003D3BEF" w14:paraId="733C062C" w14:textId="77777777">
      <w:pPr>
        <w:spacing w:line="269" w:lineRule="auto"/>
        <w:jc w:val="center"/>
        <w:rPr>
          <w:b/>
          <w:bCs/>
          <w:sz w:val="22"/>
          <w:szCs w:val="22"/>
          <w:rtl/>
        </w:rPr>
      </w:pPr>
      <w:r w:rsidRPr="00052CC7">
        <w:rPr>
          <w:rFonts w:hint="eastAsia"/>
          <w:b/>
          <w:bCs/>
          <w:sz w:val="22"/>
          <w:szCs w:val="22"/>
          <w:rtl/>
        </w:rPr>
        <w:t>תמונה</w:t>
      </w:r>
      <w:r w:rsidRPr="00052CC7">
        <w:rPr>
          <w:b/>
          <w:bCs/>
          <w:sz w:val="22"/>
          <w:szCs w:val="22"/>
          <w:rtl/>
        </w:rPr>
        <w:t xml:space="preserve"> 3: </w:t>
      </w:r>
      <w:r w:rsidRPr="00052CC7">
        <w:rPr>
          <w:rFonts w:hint="eastAsia"/>
          <w:b/>
          <w:bCs/>
          <w:sz w:val="22"/>
          <w:szCs w:val="22"/>
          <w:rtl/>
        </w:rPr>
        <w:t>המועצה</w:t>
      </w:r>
      <w:r w:rsidRPr="00052CC7">
        <w:rPr>
          <w:b/>
          <w:bCs/>
          <w:sz w:val="22"/>
          <w:szCs w:val="22"/>
          <w:rtl/>
        </w:rPr>
        <w:t xml:space="preserve"> המקומית </w:t>
      </w:r>
      <w:r w:rsidRPr="00052CC7">
        <w:rPr>
          <w:rFonts w:hint="eastAsia"/>
          <w:b/>
          <w:bCs/>
          <w:sz w:val="22"/>
          <w:szCs w:val="22"/>
          <w:rtl/>
        </w:rPr>
        <w:t>לקי</w:t>
      </w:r>
      <w:r>
        <w:rPr>
          <w:rFonts w:hint="cs"/>
          <w:b/>
          <w:bCs/>
          <w:sz w:val="22"/>
          <w:szCs w:val="22"/>
          <w:rtl/>
        </w:rPr>
        <w:t>י</w:t>
      </w:r>
      <w:r w:rsidRPr="00052CC7">
        <w:rPr>
          <w:rFonts w:hint="eastAsia"/>
          <w:b/>
          <w:bCs/>
          <w:sz w:val="22"/>
          <w:szCs w:val="22"/>
          <w:rtl/>
        </w:rPr>
        <w:t>ה</w:t>
      </w:r>
      <w:r w:rsidRPr="00052CC7">
        <w:rPr>
          <w:b/>
          <w:bCs/>
          <w:sz w:val="22"/>
          <w:szCs w:val="22"/>
          <w:rtl/>
        </w:rPr>
        <w:t xml:space="preserve"> </w:t>
      </w:r>
      <w:r w:rsidRPr="00052CC7">
        <w:rPr>
          <w:rFonts w:hint="eastAsia"/>
          <w:b/>
          <w:bCs/>
          <w:sz w:val="22"/>
          <w:szCs w:val="22"/>
          <w:rtl/>
        </w:rPr>
        <w:t>בתחום</w:t>
      </w:r>
      <w:r w:rsidRPr="00052CC7">
        <w:rPr>
          <w:b/>
          <w:bCs/>
          <w:sz w:val="22"/>
          <w:szCs w:val="22"/>
          <w:rtl/>
        </w:rPr>
        <w:t xml:space="preserve"> </w:t>
      </w:r>
      <w:r w:rsidRPr="00052CC7">
        <w:rPr>
          <w:rFonts w:hint="eastAsia"/>
          <w:b/>
          <w:bCs/>
          <w:sz w:val="22"/>
          <w:szCs w:val="22"/>
          <w:rtl/>
        </w:rPr>
        <w:t>תאגיד</w:t>
      </w:r>
      <w:r w:rsidRPr="00052CC7">
        <w:rPr>
          <w:b/>
          <w:bCs/>
          <w:sz w:val="22"/>
          <w:szCs w:val="22"/>
          <w:rtl/>
        </w:rPr>
        <w:t xml:space="preserve"> </w:t>
      </w:r>
      <w:r w:rsidRPr="00052CC7">
        <w:rPr>
          <w:rFonts w:hint="eastAsia"/>
          <w:b/>
          <w:bCs/>
          <w:sz w:val="22"/>
          <w:szCs w:val="22"/>
          <w:rtl/>
        </w:rPr>
        <w:t>נווה</w:t>
      </w:r>
      <w:r w:rsidRPr="00052CC7">
        <w:rPr>
          <w:b/>
          <w:bCs/>
          <w:sz w:val="22"/>
          <w:szCs w:val="22"/>
          <w:rtl/>
        </w:rPr>
        <w:t xml:space="preserve"> </w:t>
      </w:r>
      <w:r w:rsidRPr="00052CC7">
        <w:rPr>
          <w:rFonts w:hint="eastAsia"/>
          <w:b/>
          <w:bCs/>
          <w:sz w:val="22"/>
          <w:szCs w:val="22"/>
          <w:rtl/>
        </w:rPr>
        <w:t>מדבר</w:t>
      </w:r>
    </w:p>
    <w:p w:rsidR="003D3BEF" w:rsidRPr="00BA3FB8" w:rsidP="004E485C" w14:paraId="60C5C80F" w14:textId="77777777">
      <w:pPr>
        <w:spacing w:before="120" w:after="120" w:line="269" w:lineRule="auto"/>
        <w:jc w:val="center"/>
        <w:rPr>
          <w:b/>
          <w:bCs/>
          <w:sz w:val="24"/>
          <w:u w:val="single"/>
          <w:rtl/>
        </w:rPr>
      </w:pPr>
      <w:r>
        <w:rPr>
          <w:b/>
          <w:bCs/>
          <w:noProof/>
          <w:sz w:val="24"/>
          <w:u w:val="single"/>
          <w:rtl/>
        </w:rPr>
        <w:drawing>
          <wp:inline distT="0" distB="0" distL="0" distR="0">
            <wp:extent cx="4316400" cy="2836800"/>
            <wp:effectExtent l="0" t="0" r="8255" b="1905"/>
            <wp:docPr id="624677537" name="תמונה 62467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47444" name="PIC-3.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6400" cy="2836800"/>
                    </a:xfrm>
                    <a:prstGeom prst="rect">
                      <a:avLst/>
                    </a:prstGeom>
                  </pic:spPr>
                </pic:pic>
              </a:graphicData>
            </a:graphic>
          </wp:inline>
        </w:drawing>
      </w:r>
    </w:p>
    <w:p w:rsidR="003D3BEF" w:rsidRPr="00684E93" w:rsidP="004E485C" w14:paraId="1E98CDE1" w14:textId="77777777">
      <w:pPr>
        <w:spacing w:line="269" w:lineRule="auto"/>
        <w:rPr>
          <w:sz w:val="22"/>
          <w:szCs w:val="22"/>
          <w:rtl/>
        </w:rPr>
      </w:pPr>
      <w:r w:rsidRPr="00684E93">
        <w:rPr>
          <w:rFonts w:hint="eastAsia"/>
          <w:sz w:val="22"/>
          <w:szCs w:val="22"/>
          <w:rtl/>
        </w:rPr>
        <w:t>מתוך</w:t>
      </w:r>
      <w:r w:rsidRPr="00684E93">
        <w:rPr>
          <w:sz w:val="22"/>
          <w:szCs w:val="22"/>
          <w:rtl/>
        </w:rPr>
        <w:t xml:space="preserve"> </w:t>
      </w:r>
      <w:r w:rsidRPr="00684E93">
        <w:rPr>
          <w:rFonts w:hint="eastAsia"/>
          <w:sz w:val="22"/>
          <w:szCs w:val="22"/>
          <w:rtl/>
        </w:rPr>
        <w:t>אתר</w:t>
      </w:r>
      <w:r w:rsidRPr="00684E93">
        <w:rPr>
          <w:sz w:val="22"/>
          <w:szCs w:val="22"/>
          <w:rtl/>
        </w:rPr>
        <w:t xml:space="preserve"> המפות הממשלתי </w:t>
      </w:r>
      <w:r w:rsidRPr="00684E93">
        <w:rPr>
          <w:sz w:val="22"/>
          <w:szCs w:val="22"/>
        </w:rPr>
        <w:t>govmap</w:t>
      </w:r>
      <w:r w:rsidRPr="00684E93">
        <w:rPr>
          <w:rFonts w:hint="cs"/>
          <w:sz w:val="22"/>
          <w:szCs w:val="22"/>
          <w:rtl/>
        </w:rPr>
        <w:t xml:space="preserve"> מפברואר 2020, בעיבוד משרד מבקר המדינה.</w:t>
      </w:r>
    </w:p>
    <w:p w:rsidR="003D3BEF" w:rsidP="003D3BEF" w14:paraId="671EEFD3" w14:textId="77777777">
      <w:pPr>
        <w:pStyle w:val="a"/>
        <w:spacing w:line="269" w:lineRule="auto"/>
        <w:rPr>
          <w:rtl/>
        </w:rPr>
      </w:pPr>
    </w:p>
    <w:p w:rsidR="003D3BEF" w:rsidP="003D3BEF" w14:paraId="28E36F9C" w14:textId="77777777">
      <w:pPr>
        <w:spacing w:line="269" w:lineRule="auto"/>
        <w:rPr>
          <w:sz w:val="24"/>
          <w:rtl/>
        </w:rPr>
      </w:pPr>
      <w:r>
        <w:rPr>
          <w:rFonts w:hint="cs"/>
          <w:sz w:val="24"/>
          <w:rtl/>
        </w:rPr>
        <w:t>משלוש התמונות עולה כי קיימים הבדלים בפיזור האוכלוסייה בין תאגיד מי ברק לבין הרשויות המקומיות בתחום התאגיד נווה מדבר. כך, בעוד שתאגיד מי ברק משרת יישוב אחד - בני ברק, המאוכלס בצפיפות רבה, ובשנת 2017 היו בו 26,368 תושבים לקמ"ר, תאגיד נווה מדבר משרת שש רשויות מקומיות המרוחקות זו מזו, וצפיפות האוכלוסייה בהן הרבה יותר נמוכה, ובשנת 2017 היו בו 1,713 תושבים לקמ"ר</w:t>
      </w:r>
      <w:r>
        <w:rPr>
          <w:rStyle w:val="FootnoteReference"/>
          <w:sz w:val="24"/>
          <w:rtl/>
        </w:rPr>
        <w:footnoteReference w:id="28"/>
      </w:r>
      <w:r>
        <w:rPr>
          <w:rFonts w:hint="cs"/>
          <w:sz w:val="24"/>
          <w:rtl/>
        </w:rPr>
        <w:t>.</w:t>
      </w:r>
    </w:p>
    <w:p w:rsidR="003D3BEF" w:rsidP="003D3BEF" w14:paraId="383D741C" w14:textId="77777777">
      <w:pPr>
        <w:pStyle w:val="a"/>
        <w:spacing w:line="269" w:lineRule="auto"/>
        <w:rPr>
          <w:rtl/>
        </w:rPr>
      </w:pPr>
    </w:p>
    <w:p w:rsidR="003D3BEF" w:rsidRPr="00E2111F" w:rsidP="003D3BEF" w14:paraId="289C381B" w14:textId="77777777">
      <w:pPr>
        <w:pStyle w:val="Heading2"/>
        <w:spacing w:before="0" w:line="269" w:lineRule="auto"/>
        <w:rPr>
          <w:rtl/>
        </w:rPr>
      </w:pPr>
      <w:r w:rsidRPr="00E2111F">
        <w:rPr>
          <w:rFonts w:hint="eastAsia"/>
          <w:rtl/>
        </w:rPr>
        <w:t>סקירה</w:t>
      </w:r>
      <w:r w:rsidRPr="00E2111F">
        <w:rPr>
          <w:rtl/>
        </w:rPr>
        <w:t xml:space="preserve"> </w:t>
      </w:r>
      <w:r w:rsidRPr="00E2111F">
        <w:rPr>
          <w:rFonts w:hint="eastAsia"/>
          <w:rtl/>
        </w:rPr>
        <w:t>בי</w:t>
      </w:r>
      <w:r w:rsidRPr="00E2111F">
        <w:rPr>
          <w:rFonts w:hint="cs"/>
          <w:rtl/>
        </w:rPr>
        <w:t>ן-</w:t>
      </w:r>
      <w:r w:rsidRPr="00E2111F">
        <w:rPr>
          <w:rFonts w:hint="eastAsia"/>
          <w:rtl/>
        </w:rPr>
        <w:t>לאומית</w:t>
      </w:r>
      <w:r w:rsidRPr="00E2111F">
        <w:rPr>
          <w:rFonts w:hint="cs"/>
          <w:rtl/>
        </w:rPr>
        <w:t xml:space="preserve"> </w:t>
      </w:r>
    </w:p>
    <w:p w:rsidR="003D3BEF" w:rsidP="003D3BEF" w14:paraId="0C2126CC" w14:textId="77777777">
      <w:pPr>
        <w:pStyle w:val="a"/>
        <w:rPr>
          <w:rtl/>
        </w:rPr>
      </w:pPr>
    </w:p>
    <w:p w:rsidR="003D3BEF" w:rsidP="003D3BEF" w14:paraId="6EDA226B" w14:textId="77777777">
      <w:pPr>
        <w:spacing w:line="269" w:lineRule="auto"/>
        <w:rPr>
          <w:rtl/>
        </w:rPr>
      </w:pPr>
      <w:r>
        <w:rPr>
          <w:rFonts w:hint="cs"/>
          <w:rtl/>
        </w:rPr>
        <w:t>משרד מבקר המדינה סקר את המבנה הניהולי של משק המים במדינות אירופיות</w:t>
      </w:r>
      <w:r>
        <w:rPr>
          <w:rStyle w:val="FootnoteReference"/>
          <w:rtl/>
        </w:rPr>
        <w:footnoteReference w:id="29"/>
      </w:r>
      <w:r>
        <w:rPr>
          <w:rFonts w:hint="cs"/>
          <w:rtl/>
        </w:rPr>
        <w:t xml:space="preserve">, ובכלל זה בדק מיהם הגופים המספקים שירותי מים וביוב במדינות אלה ומהו מספרם. נמצא כי ספקי שירותי מים וביוב במדינות אלה הם גופי ממשלה, רשויות מקומיות ותאגידים בבעלות רשויות מקומיות או תאגידים פרטיים. </w:t>
      </w:r>
    </w:p>
    <w:p w:rsidR="003D3BEF" w:rsidP="003D3BEF" w14:paraId="4167598F" w14:textId="77777777">
      <w:pPr>
        <w:pStyle w:val="a"/>
        <w:spacing w:line="269" w:lineRule="auto"/>
        <w:rPr>
          <w:rtl/>
        </w:rPr>
      </w:pPr>
    </w:p>
    <w:p w:rsidR="003D3BEF" w:rsidP="003D3BEF" w14:paraId="34E39200" w14:textId="77777777">
      <w:pPr>
        <w:spacing w:line="269" w:lineRule="auto"/>
        <w:rPr>
          <w:rtl/>
        </w:rPr>
      </w:pPr>
      <w:r>
        <w:rPr>
          <w:rFonts w:hint="cs"/>
          <w:rtl/>
        </w:rPr>
        <w:t>מהסקירה עולה כי המבנה הניהולי שונה ממדינה למדינה, והשוני מקורו בהיסטוריה, בתרבות ובמסורות לאומיות ומקומיות של כל מדינה. בקרב 29 מדינות אירופיות שנבדקו קיימים ארבעה מודלים עיקריים למבנה משק המים:</w:t>
      </w:r>
    </w:p>
    <w:p w:rsidR="003D3BEF" w:rsidP="003D3BEF" w14:paraId="1964D5AE" w14:textId="77777777">
      <w:pPr>
        <w:pStyle w:val="ListParagraph"/>
        <w:numPr>
          <w:ilvl w:val="0"/>
          <w:numId w:val="4"/>
        </w:numPr>
        <w:spacing w:line="269" w:lineRule="auto"/>
        <w:ind w:left="312"/>
        <w:rPr>
          <w:rtl/>
        </w:rPr>
      </w:pPr>
      <w:r>
        <w:rPr>
          <w:rFonts w:hint="cs"/>
          <w:rtl/>
        </w:rPr>
        <w:t>ניהול ציבורי ישיר באמצעות גוף ממשלתי או רשות מקומית. מודל זה היה המודל העיקרי באירופה בעבר.</w:t>
      </w:r>
    </w:p>
    <w:p w:rsidR="003D3BEF" w:rsidP="003D3BEF" w14:paraId="4C663938" w14:textId="77777777">
      <w:pPr>
        <w:pStyle w:val="ListParagraph"/>
        <w:numPr>
          <w:ilvl w:val="0"/>
          <w:numId w:val="4"/>
        </w:numPr>
        <w:spacing w:line="269" w:lineRule="auto"/>
        <w:ind w:left="312"/>
        <w:rPr>
          <w:rtl/>
        </w:rPr>
      </w:pPr>
      <w:r>
        <w:rPr>
          <w:rFonts w:hint="cs"/>
          <w:rtl/>
        </w:rPr>
        <w:t>ניהול באמצעות תאגידים בבעלות ממשלתית או מוניציפלית מלאה או תאגידים בבעלות שברובה ציבורית ומיעוטה פרטית.</w:t>
      </w:r>
    </w:p>
    <w:p w:rsidR="003D3BEF" w:rsidP="003D3BEF" w14:paraId="08ADFE5A" w14:textId="77777777">
      <w:pPr>
        <w:pStyle w:val="ListParagraph"/>
        <w:numPr>
          <w:ilvl w:val="0"/>
          <w:numId w:val="4"/>
        </w:numPr>
        <w:spacing w:line="269" w:lineRule="auto"/>
        <w:ind w:left="312"/>
        <w:rPr>
          <w:rtl/>
        </w:rPr>
      </w:pPr>
      <w:r>
        <w:rPr>
          <w:rFonts w:hint="cs"/>
          <w:rtl/>
        </w:rPr>
        <w:t>האצלת הניהול לגוף ניהולי בבעלות פרטית - הרשות הציבורית ממנה חברה פרטית לניהול משק המים על בסיס חוזה זיכיון המוגבל בזמן. התשתית נשארת בבעלות ציבורית.</w:t>
      </w:r>
    </w:p>
    <w:p w:rsidR="003D3BEF" w:rsidP="003D3BEF" w14:paraId="1603707B" w14:textId="77777777">
      <w:pPr>
        <w:pStyle w:val="ListParagraph"/>
        <w:numPr>
          <w:ilvl w:val="0"/>
          <w:numId w:val="4"/>
        </w:numPr>
        <w:spacing w:line="269" w:lineRule="auto"/>
        <w:ind w:left="312"/>
      </w:pPr>
      <w:r>
        <w:rPr>
          <w:rFonts w:hint="cs"/>
          <w:rtl/>
        </w:rPr>
        <w:t>ניהול פרטי ישיר - ניהול</w:t>
      </w:r>
      <w:r w:rsidRPr="00BA14B0">
        <w:rPr>
          <w:rFonts w:hint="cs"/>
          <w:rtl/>
        </w:rPr>
        <w:t xml:space="preserve"> </w:t>
      </w:r>
      <w:r>
        <w:rPr>
          <w:rFonts w:hint="cs"/>
          <w:rtl/>
        </w:rPr>
        <w:t>שירותי המים, האחריות להם והבעלות עליהם נמצאים בידיים פרטיות, והכול באמצעות אסדרה ופיקוח של גופים ציבוריים. שיטה זו נהוגה במדינות מעטות באירופה (אנגליה, ויילס וצ'כיה).</w:t>
      </w:r>
    </w:p>
    <w:p w:rsidR="003D3BEF" w:rsidP="003D3BEF" w14:paraId="1CFED17D" w14:textId="77777777">
      <w:pPr>
        <w:pStyle w:val="a"/>
        <w:spacing w:line="269" w:lineRule="auto"/>
        <w:rPr>
          <w:rtl/>
        </w:rPr>
      </w:pPr>
    </w:p>
    <w:p w:rsidR="003D3BEF" w:rsidP="003D3BEF" w14:paraId="76B761BA" w14:textId="77777777">
      <w:pPr>
        <w:spacing w:line="269" w:lineRule="auto"/>
        <w:rPr>
          <w:rtl/>
        </w:rPr>
      </w:pPr>
      <w:r>
        <w:rPr>
          <w:rFonts w:hint="cs"/>
          <w:rtl/>
        </w:rPr>
        <w:t>ברוב המדינות באירופה מבנה משק המים מתבסס על שילוב שני המודלים הראשונים. בעשרים השנים האחרונות קיימת מגמה למעבר למודלים של האצלת הניהול לתאגיד בבעלות ציבורית או פרטית, כאשר המודל של בעלות פרטית עדיין תופס חלק קטן מהשוק. את התעריף קובעת הרשות הציבורית והוא מבוסס עלות. להלן דוגמאות לגופים המספקים שירותי מים בכמה מדינות אירופיות, נכון לשנת 2018:</w:t>
      </w:r>
    </w:p>
    <w:p w:rsidR="003D3BEF" w:rsidP="003D3BEF" w14:paraId="742D1B0C" w14:textId="77777777">
      <w:pPr>
        <w:pStyle w:val="a"/>
        <w:spacing w:line="269" w:lineRule="auto"/>
        <w:rPr>
          <w:rtl/>
        </w:rPr>
      </w:pPr>
    </w:p>
    <w:p w:rsidR="003D3BEF" w:rsidRPr="003D3D72" w:rsidP="003D3BEF" w14:paraId="01738C95" w14:textId="77777777">
      <w:pPr>
        <w:spacing w:line="269" w:lineRule="auto"/>
        <w:jc w:val="center"/>
        <w:rPr>
          <w:b/>
          <w:bCs/>
          <w:rtl/>
        </w:rPr>
      </w:pPr>
      <w:r>
        <w:rPr>
          <w:rFonts w:hint="cs"/>
          <w:b/>
          <w:bCs/>
          <w:rtl/>
        </w:rPr>
        <w:t>לוח</w:t>
      </w:r>
      <w:r w:rsidRPr="003D3D72">
        <w:rPr>
          <w:rFonts w:hint="cs"/>
          <w:b/>
          <w:bCs/>
          <w:rtl/>
        </w:rPr>
        <w:t xml:space="preserve"> </w:t>
      </w:r>
      <w:r>
        <w:rPr>
          <w:rFonts w:hint="cs"/>
          <w:b/>
          <w:bCs/>
          <w:rtl/>
        </w:rPr>
        <w:t>2</w:t>
      </w:r>
      <w:r w:rsidRPr="003D3D72">
        <w:rPr>
          <w:rFonts w:hint="cs"/>
          <w:b/>
          <w:bCs/>
          <w:rtl/>
        </w:rPr>
        <w:t xml:space="preserve">: </w:t>
      </w:r>
      <w:r>
        <w:rPr>
          <w:rFonts w:hint="cs"/>
          <w:b/>
          <w:bCs/>
          <w:rtl/>
        </w:rPr>
        <w:t>ספקי שירותי מים באירופה, לפי מדינות, 2018</w:t>
      </w:r>
    </w:p>
    <w:tbl>
      <w:tblPr>
        <w:tblStyle w:val="TableGrid"/>
        <w:bidiVisual/>
        <w:tblW w:w="8414" w:type="dxa"/>
        <w:tblLook w:val="04A0"/>
      </w:tblPr>
      <w:tblGrid>
        <w:gridCol w:w="959"/>
        <w:gridCol w:w="1501"/>
        <w:gridCol w:w="5954"/>
      </w:tblGrid>
      <w:tr w14:paraId="64A919E0" w14:textId="77777777" w:rsidTr="004E485C">
        <w:tblPrEx>
          <w:tblW w:w="8414" w:type="dxa"/>
          <w:tblLook w:val="04A0"/>
        </w:tblPrEx>
        <w:trPr>
          <w:trHeight w:val="282"/>
        </w:trPr>
        <w:tc>
          <w:tcPr>
            <w:tcW w:w="959" w:type="dxa"/>
          </w:tcPr>
          <w:p w:rsidR="003D3BEF" w:rsidRPr="004E485C" w:rsidP="00282624" w14:paraId="48E4CEED" w14:textId="77777777">
            <w:pPr>
              <w:spacing w:before="60" w:after="60" w:line="240" w:lineRule="exact"/>
              <w:jc w:val="left"/>
              <w:rPr>
                <w:b/>
                <w:bCs/>
                <w:sz w:val="22"/>
                <w:szCs w:val="22"/>
                <w:rtl/>
              </w:rPr>
            </w:pPr>
            <w:r w:rsidRPr="004E485C">
              <w:rPr>
                <w:rFonts w:hint="cs"/>
                <w:b/>
                <w:bCs/>
                <w:sz w:val="22"/>
                <w:szCs w:val="22"/>
                <w:rtl/>
              </w:rPr>
              <w:t>מדינה</w:t>
            </w:r>
          </w:p>
        </w:tc>
        <w:tc>
          <w:tcPr>
            <w:tcW w:w="1501" w:type="dxa"/>
          </w:tcPr>
          <w:p w:rsidR="003D3BEF" w:rsidRPr="004E485C" w:rsidP="00282624" w14:paraId="0CE326AE" w14:textId="77777777">
            <w:pPr>
              <w:spacing w:before="60" w:after="60" w:line="240" w:lineRule="exact"/>
              <w:jc w:val="left"/>
              <w:rPr>
                <w:b/>
                <w:bCs/>
                <w:sz w:val="22"/>
                <w:szCs w:val="22"/>
                <w:rtl/>
              </w:rPr>
            </w:pPr>
            <w:r w:rsidRPr="004E485C">
              <w:rPr>
                <w:rFonts w:hint="cs"/>
                <w:b/>
                <w:bCs/>
                <w:sz w:val="22"/>
                <w:szCs w:val="22"/>
                <w:rtl/>
              </w:rPr>
              <w:t>מספר תושבים</w:t>
            </w:r>
          </w:p>
        </w:tc>
        <w:tc>
          <w:tcPr>
            <w:tcW w:w="5954" w:type="dxa"/>
          </w:tcPr>
          <w:p w:rsidR="003D3BEF" w:rsidRPr="004E485C" w:rsidP="00282624" w14:paraId="014F9238" w14:textId="77777777">
            <w:pPr>
              <w:spacing w:before="60" w:after="60" w:line="240" w:lineRule="exact"/>
              <w:jc w:val="left"/>
              <w:rPr>
                <w:b/>
                <w:bCs/>
                <w:sz w:val="22"/>
                <w:szCs w:val="22"/>
                <w:rtl/>
              </w:rPr>
            </w:pPr>
            <w:r w:rsidRPr="004E485C">
              <w:rPr>
                <w:rFonts w:hint="cs"/>
                <w:b/>
                <w:bCs/>
                <w:sz w:val="22"/>
                <w:szCs w:val="22"/>
                <w:rtl/>
              </w:rPr>
              <w:t>מבנה</w:t>
            </w:r>
          </w:p>
        </w:tc>
      </w:tr>
      <w:tr w14:paraId="57C0854D" w14:textId="77777777" w:rsidTr="004E485C">
        <w:tblPrEx>
          <w:tblW w:w="8414" w:type="dxa"/>
          <w:tblLook w:val="04A0"/>
        </w:tblPrEx>
        <w:trPr>
          <w:trHeight w:val="491"/>
        </w:trPr>
        <w:tc>
          <w:tcPr>
            <w:tcW w:w="959" w:type="dxa"/>
          </w:tcPr>
          <w:p w:rsidR="003D3BEF" w:rsidRPr="004E485C" w:rsidP="00282624" w14:paraId="465294AC" w14:textId="77777777">
            <w:pPr>
              <w:spacing w:before="60" w:after="60" w:line="240" w:lineRule="exact"/>
              <w:jc w:val="left"/>
              <w:rPr>
                <w:sz w:val="22"/>
                <w:szCs w:val="22"/>
                <w:rtl/>
              </w:rPr>
            </w:pPr>
            <w:r w:rsidRPr="004E485C">
              <w:rPr>
                <w:rFonts w:hint="cs"/>
                <w:sz w:val="22"/>
                <w:szCs w:val="22"/>
                <w:rtl/>
              </w:rPr>
              <w:t>אוסטריה</w:t>
            </w:r>
          </w:p>
        </w:tc>
        <w:tc>
          <w:tcPr>
            <w:tcW w:w="1501" w:type="dxa"/>
          </w:tcPr>
          <w:p w:rsidR="003D3BEF" w:rsidRPr="004E485C" w:rsidP="00282624" w14:paraId="691E57CF" w14:textId="77777777">
            <w:pPr>
              <w:spacing w:before="60" w:after="60" w:line="240" w:lineRule="exact"/>
              <w:jc w:val="left"/>
              <w:rPr>
                <w:sz w:val="22"/>
                <w:szCs w:val="22"/>
                <w:rtl/>
              </w:rPr>
            </w:pPr>
            <w:r w:rsidRPr="004E485C">
              <w:rPr>
                <w:rFonts w:hint="cs"/>
                <w:sz w:val="22"/>
                <w:szCs w:val="22"/>
                <w:rtl/>
              </w:rPr>
              <w:t>8,543,000</w:t>
            </w:r>
          </w:p>
        </w:tc>
        <w:tc>
          <w:tcPr>
            <w:tcW w:w="5954" w:type="dxa"/>
          </w:tcPr>
          <w:p w:rsidR="003D3BEF" w:rsidRPr="004E485C" w:rsidP="00282624" w14:paraId="4C1B8B6C" w14:textId="77777777">
            <w:pPr>
              <w:spacing w:before="60" w:after="60" w:line="240" w:lineRule="exact"/>
              <w:jc w:val="left"/>
              <w:rPr>
                <w:sz w:val="22"/>
                <w:szCs w:val="22"/>
                <w:rtl/>
              </w:rPr>
            </w:pPr>
            <w:r w:rsidRPr="004E485C">
              <w:rPr>
                <w:rFonts w:hint="cs"/>
                <w:sz w:val="22"/>
                <w:szCs w:val="22"/>
                <w:rtl/>
              </w:rPr>
              <w:t>5,500 ספקי שירותי מים - 69% מהם בבעלות גופים עירוניים, 10% בבעלות פרטית והיתר תאגידים בבעלות ציבורית (ממשלתית או מוניציפלית).</w:t>
            </w:r>
          </w:p>
        </w:tc>
      </w:tr>
      <w:tr w14:paraId="19E3EA8F" w14:textId="77777777" w:rsidTr="004E485C">
        <w:tblPrEx>
          <w:tblW w:w="8414" w:type="dxa"/>
          <w:tblLook w:val="04A0"/>
        </w:tblPrEx>
        <w:trPr>
          <w:trHeight w:val="337"/>
        </w:trPr>
        <w:tc>
          <w:tcPr>
            <w:tcW w:w="959" w:type="dxa"/>
          </w:tcPr>
          <w:p w:rsidR="003D3BEF" w:rsidRPr="004E485C" w:rsidP="00282624" w14:paraId="0FC6B75D" w14:textId="77777777">
            <w:pPr>
              <w:spacing w:before="60" w:after="60" w:line="240" w:lineRule="exact"/>
              <w:jc w:val="left"/>
              <w:rPr>
                <w:sz w:val="22"/>
                <w:szCs w:val="22"/>
                <w:rtl/>
              </w:rPr>
            </w:pPr>
            <w:r w:rsidRPr="004E485C">
              <w:rPr>
                <w:rFonts w:hint="cs"/>
                <w:sz w:val="22"/>
                <w:szCs w:val="22"/>
                <w:rtl/>
              </w:rPr>
              <w:t>בולגריה</w:t>
            </w:r>
          </w:p>
        </w:tc>
        <w:tc>
          <w:tcPr>
            <w:tcW w:w="1501" w:type="dxa"/>
          </w:tcPr>
          <w:p w:rsidR="003D3BEF" w:rsidRPr="004E485C" w:rsidP="00282624" w14:paraId="55751CD6" w14:textId="77777777">
            <w:pPr>
              <w:spacing w:before="60" w:after="60" w:line="240" w:lineRule="exact"/>
              <w:jc w:val="left"/>
              <w:rPr>
                <w:sz w:val="22"/>
                <w:szCs w:val="22"/>
                <w:rtl/>
              </w:rPr>
            </w:pPr>
            <w:r w:rsidRPr="004E485C">
              <w:rPr>
                <w:rFonts w:hint="cs"/>
                <w:sz w:val="22"/>
                <w:szCs w:val="22"/>
                <w:rtl/>
              </w:rPr>
              <w:t>7,128,000</w:t>
            </w:r>
          </w:p>
        </w:tc>
        <w:tc>
          <w:tcPr>
            <w:tcW w:w="5954" w:type="dxa"/>
          </w:tcPr>
          <w:p w:rsidR="003D3BEF" w:rsidRPr="004E485C" w:rsidP="00282624" w14:paraId="08E02479" w14:textId="77777777">
            <w:pPr>
              <w:spacing w:before="60" w:after="60" w:line="240" w:lineRule="exact"/>
              <w:jc w:val="left"/>
              <w:rPr>
                <w:sz w:val="22"/>
                <w:szCs w:val="22"/>
                <w:rtl/>
              </w:rPr>
            </w:pPr>
            <w:r w:rsidRPr="004E485C">
              <w:rPr>
                <w:rFonts w:hint="cs"/>
                <w:sz w:val="22"/>
                <w:szCs w:val="22"/>
                <w:rtl/>
              </w:rPr>
              <w:t>64 ספקי שירותי מים - רובם בבעלות ישירה של המדינה או של הרשויות המקומיות.</w:t>
            </w:r>
          </w:p>
        </w:tc>
      </w:tr>
      <w:tr w14:paraId="271E29DB" w14:textId="77777777" w:rsidTr="004E485C">
        <w:tblPrEx>
          <w:tblW w:w="8414" w:type="dxa"/>
          <w:tblLook w:val="04A0"/>
        </w:tblPrEx>
        <w:trPr>
          <w:trHeight w:val="655"/>
        </w:trPr>
        <w:tc>
          <w:tcPr>
            <w:tcW w:w="959" w:type="dxa"/>
          </w:tcPr>
          <w:p w:rsidR="003D3BEF" w:rsidRPr="004E485C" w:rsidP="00282624" w14:paraId="57AA370E" w14:textId="77777777">
            <w:pPr>
              <w:spacing w:before="60" w:after="60" w:line="240" w:lineRule="exact"/>
              <w:jc w:val="left"/>
              <w:rPr>
                <w:sz w:val="22"/>
                <w:szCs w:val="22"/>
                <w:rtl/>
              </w:rPr>
            </w:pPr>
            <w:r w:rsidRPr="004E485C">
              <w:rPr>
                <w:rFonts w:hint="cs"/>
                <w:sz w:val="22"/>
                <w:szCs w:val="22"/>
                <w:rtl/>
              </w:rPr>
              <w:t>דנמרק</w:t>
            </w:r>
          </w:p>
        </w:tc>
        <w:tc>
          <w:tcPr>
            <w:tcW w:w="1501" w:type="dxa"/>
          </w:tcPr>
          <w:p w:rsidR="003D3BEF" w:rsidRPr="004E485C" w:rsidP="00282624" w14:paraId="380EFC63" w14:textId="77777777">
            <w:pPr>
              <w:spacing w:before="60" w:after="60" w:line="240" w:lineRule="exact"/>
              <w:jc w:val="left"/>
              <w:rPr>
                <w:sz w:val="22"/>
                <w:szCs w:val="22"/>
                <w:rtl/>
              </w:rPr>
            </w:pPr>
            <w:r w:rsidRPr="004E485C">
              <w:rPr>
                <w:rFonts w:hint="cs"/>
                <w:sz w:val="22"/>
                <w:szCs w:val="22"/>
                <w:rtl/>
              </w:rPr>
              <w:t>5,717,014</w:t>
            </w:r>
          </w:p>
        </w:tc>
        <w:tc>
          <w:tcPr>
            <w:tcW w:w="5954" w:type="dxa"/>
          </w:tcPr>
          <w:p w:rsidR="003D3BEF" w:rsidRPr="004E485C" w:rsidP="00282624" w14:paraId="31F535D0" w14:textId="77777777">
            <w:pPr>
              <w:spacing w:before="60" w:after="60" w:line="240" w:lineRule="exact"/>
              <w:jc w:val="left"/>
              <w:rPr>
                <w:sz w:val="22"/>
                <w:szCs w:val="22"/>
                <w:rtl/>
              </w:rPr>
            </w:pPr>
            <w:r w:rsidRPr="004E485C">
              <w:rPr>
                <w:rFonts w:hint="cs"/>
                <w:sz w:val="22"/>
                <w:szCs w:val="22"/>
                <w:rtl/>
              </w:rPr>
              <w:t>עד 2010 נוהל משק המים באמצעות גופים ציבוריים כגון רשויות מקומיות. בשנת 2016 ספקי שירותי מים נחלקים לכ-2,100 ספקים בבעלות צרכנית</w:t>
            </w:r>
            <w:r>
              <w:rPr>
                <w:rStyle w:val="FootnoteReference"/>
                <w:sz w:val="22"/>
                <w:szCs w:val="22"/>
                <w:rtl/>
              </w:rPr>
              <w:footnoteReference w:id="30"/>
            </w:r>
            <w:r w:rsidRPr="004E485C">
              <w:rPr>
                <w:rFonts w:hint="cs"/>
                <w:sz w:val="22"/>
                <w:szCs w:val="22"/>
                <w:rtl/>
              </w:rPr>
              <w:t xml:space="preserve"> וכ-140 תאגידים בבעלות ציבורית.</w:t>
            </w:r>
          </w:p>
        </w:tc>
      </w:tr>
      <w:tr w14:paraId="095EB234" w14:textId="77777777" w:rsidTr="004E485C">
        <w:tblPrEx>
          <w:tblW w:w="8414" w:type="dxa"/>
          <w:tblLook w:val="04A0"/>
        </w:tblPrEx>
        <w:trPr>
          <w:trHeight w:val="1118"/>
        </w:trPr>
        <w:tc>
          <w:tcPr>
            <w:tcW w:w="959" w:type="dxa"/>
          </w:tcPr>
          <w:p w:rsidR="003D3BEF" w:rsidRPr="004E485C" w:rsidP="00282624" w14:paraId="4B38805D" w14:textId="77777777">
            <w:pPr>
              <w:spacing w:before="60" w:after="60" w:line="240" w:lineRule="exact"/>
              <w:jc w:val="left"/>
              <w:rPr>
                <w:sz w:val="22"/>
                <w:szCs w:val="22"/>
                <w:rtl/>
              </w:rPr>
            </w:pPr>
            <w:r w:rsidRPr="004E485C">
              <w:rPr>
                <w:rFonts w:hint="cs"/>
                <w:sz w:val="22"/>
                <w:szCs w:val="22"/>
                <w:rtl/>
              </w:rPr>
              <w:t>פינלנד</w:t>
            </w:r>
          </w:p>
        </w:tc>
        <w:tc>
          <w:tcPr>
            <w:tcW w:w="1501" w:type="dxa"/>
          </w:tcPr>
          <w:p w:rsidR="003D3BEF" w:rsidRPr="004E485C" w:rsidP="00282624" w14:paraId="51A14667" w14:textId="77777777">
            <w:pPr>
              <w:spacing w:before="60" w:after="60" w:line="240" w:lineRule="exact"/>
              <w:jc w:val="left"/>
              <w:rPr>
                <w:sz w:val="22"/>
                <w:szCs w:val="22"/>
                <w:rtl/>
              </w:rPr>
            </w:pPr>
            <w:r w:rsidRPr="004E485C">
              <w:rPr>
                <w:rFonts w:hint="cs"/>
                <w:sz w:val="22"/>
                <w:szCs w:val="22"/>
                <w:rtl/>
              </w:rPr>
              <w:t>5,509,000</w:t>
            </w:r>
          </w:p>
        </w:tc>
        <w:tc>
          <w:tcPr>
            <w:tcW w:w="5954" w:type="dxa"/>
          </w:tcPr>
          <w:p w:rsidR="003D3BEF" w:rsidRPr="004E485C" w:rsidP="00282624" w14:paraId="3316B65C" w14:textId="77777777">
            <w:pPr>
              <w:spacing w:before="60" w:after="60" w:line="240" w:lineRule="exact"/>
              <w:jc w:val="left"/>
              <w:rPr>
                <w:sz w:val="22"/>
                <w:szCs w:val="22"/>
                <w:rtl/>
              </w:rPr>
            </w:pPr>
            <w:r w:rsidRPr="004E485C">
              <w:rPr>
                <w:rFonts w:hint="cs"/>
                <w:sz w:val="22"/>
                <w:szCs w:val="22"/>
                <w:rtl/>
              </w:rPr>
              <w:t>311 רשויות מקומיות וברובן פועל גוף אחד או יותר המספק שירותי מים לאזור, והוא מנוהל באופן ישיר בידי הרשויות המקומיות. לאחרונה קיימת מגמה למעבר למודל האצלת הסמכויות לתאגידים בבעלות הרשויות המקומיות, וכ-30% מהרשויות המקומיות אימצו מודל זה. נוסף על כך, קיימים כ-1,000 קואופרטיביים קטנים המנוהלים באמצעות צרכנים המתגוררים באזורים דלילים.</w:t>
            </w:r>
          </w:p>
        </w:tc>
      </w:tr>
      <w:tr w14:paraId="4408F23B" w14:textId="77777777" w:rsidTr="004E485C">
        <w:tblPrEx>
          <w:tblW w:w="8414" w:type="dxa"/>
          <w:tblLook w:val="04A0"/>
        </w:tblPrEx>
        <w:trPr>
          <w:trHeight w:val="709"/>
        </w:trPr>
        <w:tc>
          <w:tcPr>
            <w:tcW w:w="959" w:type="dxa"/>
          </w:tcPr>
          <w:p w:rsidR="003D3BEF" w:rsidRPr="004E485C" w:rsidP="00282624" w14:paraId="10E73302" w14:textId="77777777">
            <w:pPr>
              <w:spacing w:before="60" w:after="60" w:line="240" w:lineRule="exact"/>
              <w:jc w:val="left"/>
              <w:rPr>
                <w:sz w:val="22"/>
                <w:szCs w:val="22"/>
                <w:rtl/>
              </w:rPr>
            </w:pPr>
            <w:r w:rsidRPr="004E485C">
              <w:rPr>
                <w:rFonts w:hint="cs"/>
                <w:sz w:val="22"/>
                <w:szCs w:val="22"/>
                <w:rtl/>
              </w:rPr>
              <w:t>גרמניה</w:t>
            </w:r>
          </w:p>
        </w:tc>
        <w:tc>
          <w:tcPr>
            <w:tcW w:w="1501" w:type="dxa"/>
          </w:tcPr>
          <w:p w:rsidR="003D3BEF" w:rsidRPr="004E485C" w:rsidP="00282624" w14:paraId="109C9D76" w14:textId="77777777">
            <w:pPr>
              <w:spacing w:before="60" w:after="60" w:line="240" w:lineRule="exact"/>
              <w:jc w:val="left"/>
              <w:rPr>
                <w:sz w:val="22"/>
                <w:szCs w:val="22"/>
                <w:rtl/>
              </w:rPr>
            </w:pPr>
            <w:r w:rsidRPr="004E485C">
              <w:rPr>
                <w:rFonts w:hint="cs"/>
                <w:sz w:val="22"/>
                <w:szCs w:val="22"/>
                <w:rtl/>
              </w:rPr>
              <w:t>81,198,000</w:t>
            </w:r>
          </w:p>
        </w:tc>
        <w:tc>
          <w:tcPr>
            <w:tcW w:w="5954" w:type="dxa"/>
          </w:tcPr>
          <w:p w:rsidR="003D3BEF" w:rsidRPr="004E485C" w:rsidP="00282624" w14:paraId="63516127" w14:textId="77777777">
            <w:pPr>
              <w:spacing w:before="60" w:after="60" w:line="240" w:lineRule="exact"/>
              <w:jc w:val="left"/>
              <w:rPr>
                <w:sz w:val="22"/>
                <w:szCs w:val="22"/>
              </w:rPr>
            </w:pPr>
            <w:r w:rsidRPr="004E485C">
              <w:rPr>
                <w:rFonts w:hint="cs"/>
                <w:sz w:val="22"/>
                <w:szCs w:val="22"/>
                <w:rtl/>
              </w:rPr>
              <w:t>6,065 ספקי שירותי מים שחלק קטן מהם (פחות מ-50) פועל בניהול ציבורי עירוני ישיר. כ-3,880 ספקי שירותי מים מנוהלים באמצעות תאגידים בבעלות ציבורית וכ-2,120 מנוהלים באמצעות גופים פרטיים.</w:t>
            </w:r>
          </w:p>
        </w:tc>
      </w:tr>
      <w:tr w14:paraId="720D6A32" w14:textId="77777777" w:rsidTr="004E485C">
        <w:tblPrEx>
          <w:tblW w:w="8414" w:type="dxa"/>
          <w:tblLook w:val="04A0"/>
        </w:tblPrEx>
        <w:trPr>
          <w:trHeight w:val="1033"/>
        </w:trPr>
        <w:tc>
          <w:tcPr>
            <w:tcW w:w="959" w:type="dxa"/>
          </w:tcPr>
          <w:p w:rsidR="003D3BEF" w:rsidRPr="004E485C" w:rsidP="00282624" w14:paraId="26418BD7" w14:textId="77777777">
            <w:pPr>
              <w:spacing w:before="60" w:after="60" w:line="240" w:lineRule="exact"/>
              <w:jc w:val="left"/>
              <w:rPr>
                <w:sz w:val="22"/>
                <w:szCs w:val="22"/>
                <w:rtl/>
              </w:rPr>
            </w:pPr>
            <w:r w:rsidRPr="004E485C">
              <w:rPr>
                <w:rFonts w:hint="cs"/>
                <w:sz w:val="22"/>
                <w:szCs w:val="22"/>
                <w:rtl/>
              </w:rPr>
              <w:t>יוון</w:t>
            </w:r>
          </w:p>
        </w:tc>
        <w:tc>
          <w:tcPr>
            <w:tcW w:w="1501" w:type="dxa"/>
          </w:tcPr>
          <w:p w:rsidR="003D3BEF" w:rsidRPr="004E485C" w:rsidP="00282624" w14:paraId="3B9E78BE" w14:textId="77777777">
            <w:pPr>
              <w:spacing w:before="60" w:after="60" w:line="240" w:lineRule="exact"/>
              <w:jc w:val="left"/>
              <w:rPr>
                <w:sz w:val="22"/>
                <w:szCs w:val="22"/>
                <w:rtl/>
              </w:rPr>
            </w:pPr>
            <w:r w:rsidRPr="004E485C">
              <w:rPr>
                <w:rFonts w:hint="cs"/>
                <w:sz w:val="22"/>
                <w:szCs w:val="22"/>
                <w:rtl/>
              </w:rPr>
              <w:t>11,200,000</w:t>
            </w:r>
          </w:p>
        </w:tc>
        <w:tc>
          <w:tcPr>
            <w:tcW w:w="5954" w:type="dxa"/>
          </w:tcPr>
          <w:p w:rsidR="003D3BEF" w:rsidRPr="004E485C" w:rsidP="00282624" w14:paraId="498AEF5C" w14:textId="77777777">
            <w:pPr>
              <w:spacing w:before="60" w:after="60" w:line="240" w:lineRule="exact"/>
              <w:jc w:val="left"/>
              <w:rPr>
                <w:sz w:val="22"/>
                <w:szCs w:val="22"/>
                <w:rtl/>
              </w:rPr>
            </w:pPr>
            <w:r w:rsidRPr="004E485C">
              <w:rPr>
                <w:rFonts w:hint="cs"/>
                <w:sz w:val="22"/>
                <w:szCs w:val="22"/>
                <w:rtl/>
              </w:rPr>
              <w:t>שני תאגידים המספקים מים לשתי הערים הגדולות אתונה וסלוניקי המונות כ-5 מיליון תושבים. התאגידים רשומים למסחר בבורסה והמדינה היא בעלת המניות העיקרית. נוסף עליהם פועלים 130 תאגידים בבעלות עירונית המספקים מים לכ-5.3 מיליון תושבים. בערים קטנות יותר הגופים המספקים שירותי מים הם בבעלות ציבורית ישירה.</w:t>
            </w:r>
          </w:p>
        </w:tc>
      </w:tr>
      <w:tr w14:paraId="1CE5C7E2" w14:textId="77777777" w:rsidTr="004E485C">
        <w:tblPrEx>
          <w:tblW w:w="8414" w:type="dxa"/>
          <w:tblLook w:val="04A0"/>
        </w:tblPrEx>
        <w:trPr>
          <w:trHeight w:val="607"/>
        </w:trPr>
        <w:tc>
          <w:tcPr>
            <w:tcW w:w="959" w:type="dxa"/>
          </w:tcPr>
          <w:p w:rsidR="003D3BEF" w:rsidRPr="004E485C" w:rsidP="00282624" w14:paraId="07AFEED6" w14:textId="77777777">
            <w:pPr>
              <w:spacing w:before="60" w:after="60" w:line="240" w:lineRule="exact"/>
              <w:jc w:val="left"/>
              <w:rPr>
                <w:sz w:val="22"/>
                <w:szCs w:val="22"/>
                <w:rtl/>
              </w:rPr>
            </w:pPr>
            <w:r w:rsidRPr="004E485C">
              <w:rPr>
                <w:rFonts w:hint="cs"/>
                <w:sz w:val="22"/>
                <w:szCs w:val="22"/>
                <w:rtl/>
              </w:rPr>
              <w:t>ספרד</w:t>
            </w:r>
          </w:p>
        </w:tc>
        <w:tc>
          <w:tcPr>
            <w:tcW w:w="1501" w:type="dxa"/>
          </w:tcPr>
          <w:p w:rsidR="003D3BEF" w:rsidRPr="004E485C" w:rsidP="00282624" w14:paraId="036A4629" w14:textId="77777777">
            <w:pPr>
              <w:spacing w:before="60" w:after="60" w:line="240" w:lineRule="exact"/>
              <w:jc w:val="left"/>
              <w:rPr>
                <w:sz w:val="22"/>
                <w:szCs w:val="22"/>
                <w:rtl/>
              </w:rPr>
            </w:pPr>
            <w:r w:rsidRPr="004E485C">
              <w:rPr>
                <w:rFonts w:hint="cs"/>
                <w:sz w:val="22"/>
                <w:szCs w:val="22"/>
                <w:rtl/>
              </w:rPr>
              <w:t>46,600,000</w:t>
            </w:r>
          </w:p>
        </w:tc>
        <w:tc>
          <w:tcPr>
            <w:tcW w:w="5954" w:type="dxa"/>
          </w:tcPr>
          <w:p w:rsidR="003D3BEF" w:rsidRPr="004E485C" w:rsidP="00282624" w14:paraId="1F125223" w14:textId="77777777">
            <w:pPr>
              <w:spacing w:before="60" w:after="60" w:line="240" w:lineRule="exact"/>
              <w:jc w:val="left"/>
              <w:rPr>
                <w:sz w:val="22"/>
                <w:szCs w:val="22"/>
                <w:rtl/>
              </w:rPr>
            </w:pPr>
            <w:r w:rsidRPr="004E485C">
              <w:rPr>
                <w:rFonts w:hint="cs"/>
                <w:sz w:val="22"/>
                <w:szCs w:val="22"/>
                <w:rtl/>
              </w:rPr>
              <w:t>כ-10% מהאוכלוסיי</w:t>
            </w:r>
            <w:r w:rsidRPr="004E485C">
              <w:rPr>
                <w:rFonts w:hint="eastAsia"/>
                <w:sz w:val="22"/>
                <w:szCs w:val="22"/>
                <w:rtl/>
              </w:rPr>
              <w:t>ה</w:t>
            </w:r>
            <w:r w:rsidRPr="004E485C">
              <w:rPr>
                <w:rFonts w:hint="cs"/>
                <w:sz w:val="22"/>
                <w:szCs w:val="22"/>
                <w:rtl/>
              </w:rPr>
              <w:t xml:space="preserve"> מקבלת שירותי מים מגופים בניהול ציבורי- עירוני ישיר. 34% מהתאגידים בבעלות ציבורית, 22% בבעלות פרטית וציבורית ו-34% בניהול פרטי ישיר.</w:t>
            </w:r>
          </w:p>
        </w:tc>
      </w:tr>
    </w:tbl>
    <w:p w:rsidR="003D3BEF" w:rsidP="004E485C" w14:paraId="3631E14C" w14:textId="77777777">
      <w:pPr>
        <w:spacing w:before="180" w:line="269" w:lineRule="auto"/>
        <w:rPr>
          <w:rtl/>
        </w:rPr>
      </w:pPr>
      <w:r>
        <w:rPr>
          <w:rFonts w:hint="cs"/>
          <w:rtl/>
        </w:rPr>
        <w:t>ניתן לראות כי במדינות שפורטו רוב הגופים המספקים שירותי מים הם בבעלות ציבורית, כאשר בחלק מהמקרים הרשויות המקומיות</w:t>
      </w:r>
      <w:r w:rsidRPr="007D7AB0">
        <w:rPr>
          <w:rFonts w:hint="cs"/>
          <w:rtl/>
        </w:rPr>
        <w:t xml:space="preserve"> </w:t>
      </w:r>
      <w:r>
        <w:rPr>
          <w:rFonts w:hint="cs"/>
          <w:rtl/>
        </w:rPr>
        <w:t>מספקות</w:t>
      </w:r>
      <w:r w:rsidRPr="007D7AB0">
        <w:rPr>
          <w:rFonts w:hint="cs"/>
          <w:rtl/>
        </w:rPr>
        <w:t xml:space="preserve"> </w:t>
      </w:r>
      <w:r>
        <w:rPr>
          <w:rFonts w:hint="cs"/>
          <w:rtl/>
        </w:rPr>
        <w:t>את שירותי המים, ובחלק מהמקרים תאגידים בבעלות הרשויות המקומיות</w:t>
      </w:r>
      <w:r w:rsidRPr="007D7AB0">
        <w:rPr>
          <w:rFonts w:hint="cs"/>
          <w:rtl/>
        </w:rPr>
        <w:t xml:space="preserve"> </w:t>
      </w:r>
      <w:r>
        <w:rPr>
          <w:rFonts w:hint="cs"/>
          <w:rtl/>
        </w:rPr>
        <w:t>הם אלה המספקים את שירותי המים. כמו כן, פועלים גופים בבעלות ממשלתית, גופים בבעלות צרכנית ותאגידים הרשומים למסחר בבורסה שהמדינה היא בעלת המניות העיקרית בהם, ואף תאגידים בניהול פרטי ישיר.</w:t>
      </w:r>
    </w:p>
    <w:p w:rsidR="003D3BEF" w:rsidRPr="0040128D" w:rsidP="003D3BEF" w14:paraId="329D034B" w14:textId="77777777">
      <w:pPr>
        <w:pStyle w:val="a"/>
        <w:spacing w:line="269" w:lineRule="auto"/>
        <w:rPr>
          <w:rtl/>
        </w:rPr>
      </w:pPr>
    </w:p>
    <w:p w:rsidR="003D3BEF" w:rsidP="003D3BEF" w14:paraId="4C941030" w14:textId="77777777">
      <w:pPr>
        <w:pStyle w:val="Heading3"/>
        <w:spacing w:before="0" w:line="269" w:lineRule="auto"/>
        <w:rPr>
          <w:b/>
          <w:rtl/>
        </w:rPr>
      </w:pPr>
      <w:bookmarkStart w:id="3" w:name="_Toc47260076"/>
      <w:r w:rsidRPr="00430327">
        <w:rPr>
          <w:rFonts w:hint="eastAsia"/>
          <w:rtl/>
        </w:rPr>
        <w:t>מדדים</w:t>
      </w:r>
      <w:r w:rsidRPr="00430327">
        <w:rPr>
          <w:rtl/>
        </w:rPr>
        <w:t xml:space="preserve"> </w:t>
      </w:r>
      <w:r w:rsidRPr="00430327">
        <w:rPr>
          <w:rFonts w:hint="eastAsia"/>
          <w:rtl/>
        </w:rPr>
        <w:t>פיננסים</w:t>
      </w:r>
      <w:r w:rsidRPr="00430327">
        <w:rPr>
          <w:rtl/>
        </w:rPr>
        <w:t xml:space="preserve"> </w:t>
      </w:r>
      <w:r w:rsidRPr="00430327">
        <w:rPr>
          <w:rFonts w:hint="eastAsia"/>
          <w:rtl/>
        </w:rPr>
        <w:t>וכמותיים</w:t>
      </w:r>
      <w:r w:rsidRPr="00430327">
        <w:rPr>
          <w:rtl/>
        </w:rPr>
        <w:t xml:space="preserve"> </w:t>
      </w:r>
      <w:r w:rsidRPr="00430327">
        <w:rPr>
          <w:rFonts w:hint="eastAsia"/>
          <w:rtl/>
        </w:rPr>
        <w:t>בפעילות</w:t>
      </w:r>
      <w:r w:rsidRPr="00430327">
        <w:rPr>
          <w:rtl/>
        </w:rPr>
        <w:t xml:space="preserve"> </w:t>
      </w:r>
      <w:r w:rsidRPr="00430327">
        <w:rPr>
          <w:rFonts w:hint="eastAsia"/>
          <w:rtl/>
        </w:rPr>
        <w:t>תאגידי</w:t>
      </w:r>
      <w:r>
        <w:rPr>
          <w:rFonts w:hint="cs"/>
          <w:rtl/>
        </w:rPr>
        <w:t xml:space="preserve"> המים והביוב</w:t>
      </w:r>
      <w:bookmarkEnd w:id="3"/>
    </w:p>
    <w:p w:rsidR="003D3BEF" w:rsidP="003D3BEF" w14:paraId="673DE743" w14:textId="77777777">
      <w:pPr>
        <w:pStyle w:val="a"/>
        <w:rPr>
          <w:rtl/>
        </w:rPr>
      </w:pPr>
    </w:p>
    <w:p w:rsidR="003D3BEF" w:rsidP="003D3BEF" w14:paraId="4CDDEFC6" w14:textId="77777777">
      <w:pPr>
        <w:spacing w:line="269" w:lineRule="auto"/>
        <w:rPr>
          <w:sz w:val="24"/>
          <w:rtl/>
        </w:rPr>
      </w:pPr>
      <w:r>
        <w:rPr>
          <w:rFonts w:hint="cs"/>
          <w:sz w:val="24"/>
          <w:rtl/>
        </w:rPr>
        <w:t xml:space="preserve">משרד מבקר המדינה בדק כמה מדדים פיננסיים וכמותיים בפעילותם של התאגידים והשווה בין המצב בשנת 2011, דהיינו בתחילת הרפורמה, שבה היו מאוגדים 52 תאגידים, לבין המצב בשנת 2018. כמו כן, הביצועים של התאגידים נבחנו בפילוחים לפי מגזרים ומספר הרשויות המקומיות החברות בתאגיד (חד-רשותי ודו-רשותי לעומת רב-רשותי) ודירוגן הכלכלי-חברתי על מנת להשוות בין ביצועי תאגידים בעלי מאפיינים דומים ולזהות מגמות ומתאם בין מאפייני התאגידים השונים לבין מדדי הביצוע שלהם. המדדים שנבדקו היו ריווחיות ואיתנות פיננסית, </w:t>
      </w:r>
      <w:r w:rsidRPr="00380ACE">
        <w:rPr>
          <w:sz w:val="24"/>
          <w:rtl/>
        </w:rPr>
        <w:t>פחת מים</w:t>
      </w:r>
      <w:r>
        <w:rPr>
          <w:rFonts w:hint="cs"/>
          <w:sz w:val="24"/>
          <w:rtl/>
        </w:rPr>
        <w:t xml:space="preserve">, </w:t>
      </w:r>
      <w:r w:rsidRPr="00380ACE">
        <w:rPr>
          <w:sz w:val="24"/>
          <w:rtl/>
        </w:rPr>
        <w:t>השקעות</w:t>
      </w:r>
      <w:r>
        <w:rPr>
          <w:rFonts w:hint="cs"/>
          <w:sz w:val="24"/>
          <w:rtl/>
        </w:rPr>
        <w:t>, מענקים וסבסוד צולב, פחת גבייה ועלויות תפעול.</w:t>
      </w:r>
    </w:p>
    <w:p w:rsidR="003D3BEF" w:rsidP="003D3BEF" w14:paraId="7944511F" w14:textId="77777777">
      <w:pPr>
        <w:pStyle w:val="a"/>
        <w:spacing w:line="269" w:lineRule="auto"/>
        <w:rPr>
          <w:rtl/>
        </w:rPr>
      </w:pPr>
    </w:p>
    <w:p w:rsidR="003D3BEF" w:rsidRPr="00F914C0" w:rsidP="003D3BEF" w14:paraId="4CE91C6E" w14:textId="77777777">
      <w:pPr>
        <w:pStyle w:val="Heading4"/>
        <w:spacing w:before="0" w:line="269" w:lineRule="auto"/>
        <w:rPr>
          <w:rtl/>
        </w:rPr>
      </w:pPr>
      <w:r w:rsidRPr="009C6992">
        <w:rPr>
          <w:rFonts w:hint="eastAsia"/>
          <w:rtl/>
        </w:rPr>
        <w:t>רווחיות</w:t>
      </w:r>
      <w:r w:rsidRPr="009C6992">
        <w:rPr>
          <w:rtl/>
        </w:rPr>
        <w:t xml:space="preserve"> </w:t>
      </w:r>
      <w:r w:rsidRPr="009C6992">
        <w:rPr>
          <w:rFonts w:hint="eastAsia"/>
          <w:rtl/>
        </w:rPr>
        <w:t>ואיתנות</w:t>
      </w:r>
      <w:r w:rsidRPr="009C6992">
        <w:rPr>
          <w:rtl/>
        </w:rPr>
        <w:t xml:space="preserve"> </w:t>
      </w:r>
      <w:r w:rsidRPr="00B70DE1">
        <w:rPr>
          <w:rFonts w:hint="eastAsia"/>
          <w:rtl/>
        </w:rPr>
        <w:t>פיננסית</w:t>
      </w:r>
      <w:r w:rsidRPr="009C6992">
        <w:rPr>
          <w:rtl/>
        </w:rPr>
        <w:t xml:space="preserve"> </w:t>
      </w:r>
    </w:p>
    <w:p w:rsidR="003D3BEF" w:rsidRPr="0092321F" w:rsidP="003D3BEF" w14:paraId="25F47FB4" w14:textId="77777777">
      <w:pPr>
        <w:pStyle w:val="Heading5"/>
        <w:spacing w:line="269" w:lineRule="auto"/>
        <w:rPr>
          <w:rtl/>
        </w:rPr>
      </w:pPr>
      <w:r w:rsidRPr="0092321F">
        <w:rPr>
          <w:rFonts w:hint="cs"/>
          <w:rtl/>
        </w:rPr>
        <w:t>רווחיות</w:t>
      </w:r>
    </w:p>
    <w:p w:rsidR="003D3BEF" w:rsidP="003D3BEF" w14:paraId="2FD3EAC4" w14:textId="77777777">
      <w:pPr>
        <w:pStyle w:val="a"/>
        <w:rPr>
          <w:rtl/>
        </w:rPr>
      </w:pPr>
    </w:p>
    <w:p w:rsidR="003D3BEF" w:rsidP="003D3BEF" w14:paraId="6FE23AE4" w14:textId="77777777">
      <w:pPr>
        <w:spacing w:line="269" w:lineRule="auto"/>
        <w:rPr>
          <w:rtl/>
        </w:rPr>
      </w:pPr>
      <w:r>
        <w:rPr>
          <w:rFonts w:hint="cs"/>
          <w:rtl/>
        </w:rPr>
        <w:t>על פי חוק התאגידים, אחת ממטרות הרפורמה הייתה "</w:t>
      </w:r>
      <w:r w:rsidRPr="00A27378">
        <w:rPr>
          <w:rFonts w:hint="eastAsia"/>
          <w:rtl/>
        </w:rPr>
        <w:t>להביא</w:t>
      </w:r>
      <w:r w:rsidRPr="00A27378">
        <w:rPr>
          <w:rtl/>
        </w:rPr>
        <w:t xml:space="preserve"> </w:t>
      </w:r>
      <w:r w:rsidRPr="00A27378">
        <w:rPr>
          <w:rFonts w:hint="eastAsia"/>
          <w:rtl/>
        </w:rPr>
        <w:t>לניהול</w:t>
      </w:r>
      <w:r w:rsidRPr="00A27378">
        <w:rPr>
          <w:rtl/>
        </w:rPr>
        <w:t xml:space="preserve"> </w:t>
      </w:r>
      <w:r w:rsidRPr="00A27378">
        <w:rPr>
          <w:rFonts w:hint="eastAsia"/>
          <w:rtl/>
        </w:rPr>
        <w:t>עסקי</w:t>
      </w:r>
      <w:r w:rsidRPr="00A27378">
        <w:rPr>
          <w:rtl/>
        </w:rPr>
        <w:t xml:space="preserve">, </w:t>
      </w:r>
      <w:r w:rsidRPr="00A27378">
        <w:rPr>
          <w:rFonts w:hint="eastAsia"/>
          <w:rtl/>
        </w:rPr>
        <w:t>מקצוע</w:t>
      </w:r>
      <w:r w:rsidRPr="00A27378">
        <w:rPr>
          <w:rtl/>
        </w:rPr>
        <w:t>י ויעיל של מערכות המים והביוב ברשויות המקומיות</w:t>
      </w:r>
      <w:r>
        <w:rPr>
          <w:rFonts w:hint="cs"/>
          <w:rtl/>
        </w:rPr>
        <w:t>". להלן כמות המים המסופקת (במ"ק כולל פחת מים), הכנסות כלל התאגידים (בש"ח) והתעריף האחיד הממוצע לצרכן (בש"ח למ"ק) בשנים 2011 ו-2018:</w:t>
      </w:r>
    </w:p>
    <w:p w:rsidR="003D3BEF" w:rsidP="003D3BEF" w14:paraId="54FA26ED" w14:textId="77777777">
      <w:pPr>
        <w:spacing w:line="269" w:lineRule="auto"/>
        <w:rPr>
          <w:rtl/>
        </w:rPr>
      </w:pPr>
    </w:p>
    <w:p w:rsidR="003D3BEF" w:rsidP="003D3BEF" w14:paraId="1BB433BB" w14:textId="77777777">
      <w:pPr>
        <w:pStyle w:val="a"/>
        <w:spacing w:line="269" w:lineRule="auto"/>
        <w:rPr>
          <w:rtl/>
        </w:rPr>
      </w:pPr>
    </w:p>
    <w:p w:rsidR="003D3BEF" w:rsidP="003D3BEF" w14:paraId="6B315A68" w14:textId="77777777">
      <w:pPr>
        <w:spacing w:line="269" w:lineRule="auto"/>
        <w:jc w:val="center"/>
        <w:rPr>
          <w:rtl/>
        </w:rPr>
      </w:pPr>
      <w:r w:rsidRPr="00F72C72">
        <w:rPr>
          <w:rFonts w:hint="eastAsia"/>
          <w:b/>
          <w:bCs/>
          <w:rtl/>
        </w:rPr>
        <w:t>תרשים</w:t>
      </w:r>
      <w:r>
        <w:rPr>
          <w:rFonts w:hint="cs"/>
          <w:b/>
          <w:bCs/>
          <w:rtl/>
        </w:rPr>
        <w:t xml:space="preserve"> 8:הכנסות התאגידים, כמות המים שסופקה על ידם והתעריף הממוצע לצרכן בשנים 2011 ו-2018</w:t>
      </w:r>
    </w:p>
    <w:p w:rsidR="003D3BEF" w:rsidP="004E485C" w14:paraId="5F6640F0" w14:textId="77777777">
      <w:pPr>
        <w:spacing w:before="120" w:line="269" w:lineRule="auto"/>
        <w:jc w:val="center"/>
        <w:rPr>
          <w:rtl/>
        </w:rPr>
      </w:pPr>
      <w:r>
        <w:rPr>
          <w:noProof/>
          <w:rtl/>
        </w:rPr>
        <w:drawing>
          <wp:inline distT="0" distB="0" distL="0" distR="0">
            <wp:extent cx="4575048" cy="3962400"/>
            <wp:effectExtent l="0" t="0" r="0" b="0"/>
            <wp:docPr id="624677538" name="תמונה 62467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13554" name="תרשים 8 - אינפו.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5048" cy="3962400"/>
                    </a:xfrm>
                    <a:prstGeom prst="rect">
                      <a:avLst/>
                    </a:prstGeom>
                  </pic:spPr>
                </pic:pic>
              </a:graphicData>
            </a:graphic>
          </wp:inline>
        </w:drawing>
      </w:r>
    </w:p>
    <w:p w:rsidR="004E485C" w:rsidP="003D3BEF" w14:paraId="70D62C73" w14:textId="77777777">
      <w:pPr>
        <w:spacing w:line="269" w:lineRule="auto"/>
        <w:rPr>
          <w:rtl/>
        </w:rPr>
      </w:pPr>
    </w:p>
    <w:p w:rsidR="003D3BEF" w:rsidP="003D3BEF" w14:paraId="63741BE1" w14:textId="77777777">
      <w:pPr>
        <w:spacing w:line="269" w:lineRule="auto"/>
        <w:rPr>
          <w:rtl/>
        </w:rPr>
      </w:pPr>
      <w:r>
        <w:rPr>
          <w:rFonts w:hint="cs"/>
          <w:rtl/>
        </w:rPr>
        <w:t xml:space="preserve">מהתרשים עולה כי בהשוואה לשנת 2011, חלה בשנת 2018 עלייה בהכנסות התאגידים (בשיעור של 26%) ובכמות </w:t>
      </w:r>
      <w:r w:rsidRPr="00096DC8">
        <w:rPr>
          <w:rFonts w:hint="cs"/>
          <w:rtl/>
        </w:rPr>
        <w:t xml:space="preserve">המים </w:t>
      </w:r>
      <w:r>
        <w:rPr>
          <w:rFonts w:hint="cs"/>
          <w:rtl/>
        </w:rPr>
        <w:t xml:space="preserve">המסופקת </w:t>
      </w:r>
      <w:r w:rsidRPr="00096DC8">
        <w:rPr>
          <w:rFonts w:hint="cs"/>
          <w:rtl/>
        </w:rPr>
        <w:t xml:space="preserve">(בשיעור </w:t>
      </w:r>
      <w:r>
        <w:rPr>
          <w:rFonts w:hint="cs"/>
          <w:rtl/>
        </w:rPr>
        <w:t xml:space="preserve">של </w:t>
      </w:r>
      <w:r w:rsidRPr="00096DC8">
        <w:rPr>
          <w:rFonts w:hint="cs"/>
          <w:rtl/>
        </w:rPr>
        <w:t>29.66%), ואילו במחיר הממוצע לצרכן חלה ירידה (בשיעור</w:t>
      </w:r>
      <w:r>
        <w:rPr>
          <w:rFonts w:hint="cs"/>
          <w:rtl/>
        </w:rPr>
        <w:t xml:space="preserve"> של 11.66%-</w:t>
      </w:r>
      <w:r w:rsidRPr="00096DC8">
        <w:rPr>
          <w:rFonts w:hint="cs"/>
          <w:rtl/>
        </w:rPr>
        <w:t xml:space="preserve">). </w:t>
      </w:r>
      <w:r>
        <w:rPr>
          <w:rFonts w:hint="cs"/>
          <w:rtl/>
        </w:rPr>
        <w:t>יצוין כי ב</w:t>
      </w:r>
      <w:r w:rsidRPr="00096DC8">
        <w:rPr>
          <w:rtl/>
        </w:rPr>
        <w:t xml:space="preserve">שנים </w:t>
      </w:r>
      <w:r>
        <w:rPr>
          <w:rFonts w:hint="cs"/>
          <w:rtl/>
        </w:rPr>
        <w:t>2018-2011</w:t>
      </w:r>
      <w:r w:rsidRPr="00096DC8">
        <w:rPr>
          <w:rtl/>
        </w:rPr>
        <w:t xml:space="preserve"> </w:t>
      </w:r>
      <w:r w:rsidRPr="00096DC8">
        <w:rPr>
          <w:rFonts w:hint="cs"/>
          <w:rtl/>
        </w:rPr>
        <w:t xml:space="preserve">גדלה </w:t>
      </w:r>
      <w:r w:rsidRPr="00096DC8">
        <w:rPr>
          <w:rFonts w:hint="eastAsia"/>
          <w:rtl/>
        </w:rPr>
        <w:t>אוכלוסיית</w:t>
      </w:r>
      <w:r w:rsidRPr="00096DC8">
        <w:rPr>
          <w:rtl/>
        </w:rPr>
        <w:t xml:space="preserve"> ישראל בשיעור של 13.7%, </w:t>
      </w:r>
      <w:r>
        <w:rPr>
          <w:rFonts w:hint="cs"/>
          <w:rtl/>
        </w:rPr>
        <w:t>מ-7.8</w:t>
      </w:r>
      <w:r w:rsidRPr="00096DC8">
        <w:rPr>
          <w:rtl/>
        </w:rPr>
        <w:t xml:space="preserve"> </w:t>
      </w:r>
      <w:r w:rsidRPr="00096DC8">
        <w:rPr>
          <w:rFonts w:hint="eastAsia"/>
          <w:rtl/>
        </w:rPr>
        <w:t>מ</w:t>
      </w:r>
      <w:r>
        <w:rPr>
          <w:rFonts w:hint="cs"/>
          <w:rtl/>
        </w:rPr>
        <w:t>י</w:t>
      </w:r>
      <w:r w:rsidRPr="00096DC8">
        <w:rPr>
          <w:rFonts w:hint="eastAsia"/>
          <w:rtl/>
        </w:rPr>
        <w:t>ליון</w:t>
      </w:r>
      <w:r w:rsidRPr="00096DC8">
        <w:rPr>
          <w:rtl/>
        </w:rPr>
        <w:t xml:space="preserve"> תושבים </w:t>
      </w:r>
      <w:r>
        <w:rPr>
          <w:rFonts w:hint="cs"/>
          <w:rtl/>
        </w:rPr>
        <w:t>ל-</w:t>
      </w:r>
      <w:r w:rsidRPr="00096DC8">
        <w:rPr>
          <w:rtl/>
        </w:rPr>
        <w:t xml:space="preserve">8.9 </w:t>
      </w:r>
      <w:r w:rsidRPr="00096DC8">
        <w:rPr>
          <w:rFonts w:hint="eastAsia"/>
          <w:rtl/>
        </w:rPr>
        <w:t>מ</w:t>
      </w:r>
      <w:r>
        <w:rPr>
          <w:rFonts w:hint="cs"/>
          <w:rtl/>
        </w:rPr>
        <w:t>י</w:t>
      </w:r>
      <w:r w:rsidRPr="00096DC8">
        <w:rPr>
          <w:rFonts w:hint="eastAsia"/>
          <w:rtl/>
        </w:rPr>
        <w:t>ליון</w:t>
      </w:r>
      <w:r w:rsidRPr="00096DC8">
        <w:rPr>
          <w:rtl/>
        </w:rPr>
        <w:t xml:space="preserve"> תושבים.</w:t>
      </w:r>
    </w:p>
    <w:p w:rsidR="003D3BEF" w:rsidP="003D3BEF" w14:paraId="785E7A59" w14:textId="77777777">
      <w:pPr>
        <w:pStyle w:val="a"/>
        <w:spacing w:line="269" w:lineRule="auto"/>
        <w:rPr>
          <w:rtl/>
        </w:rPr>
      </w:pPr>
    </w:p>
    <w:p w:rsidR="003D3BEF" w:rsidP="003D3BEF" w14:paraId="5B88B2F3" w14:textId="77777777">
      <w:pPr>
        <w:spacing w:line="269" w:lineRule="auto"/>
        <w:rPr>
          <w:rtl/>
        </w:rPr>
      </w:pPr>
      <w:r>
        <w:rPr>
          <w:rFonts w:hint="cs"/>
          <w:rtl/>
        </w:rPr>
        <w:t xml:space="preserve">משרד מבקר המדינה השווה בין הרווחיות של התאגידים בשנת 2011 לעומת רווחיותם בשנת 2018. </w:t>
      </w:r>
    </w:p>
    <w:p w:rsidR="003D3BEF" w:rsidP="003D3BEF" w14:paraId="2645EF9E" w14:textId="77777777">
      <w:pPr>
        <w:spacing w:line="269" w:lineRule="auto"/>
        <w:rPr>
          <w:rtl/>
        </w:rPr>
      </w:pPr>
      <w:r>
        <w:rPr>
          <w:rFonts w:hint="cs"/>
          <w:rtl/>
        </w:rPr>
        <w:t>נמצא כי בשנת 2011 פעלו 52 תאגידים שהכנסותיהם הסתכמו בכ-3.75 מיליארד ש"ח. סך הרווח המצרפי באותה שנה עמד על כ-10 מיליון ש"ח, דהיינו רווח המשקף תשואה שנתית זניחה. כ-58% מהתאגידים סיימו את 2011 בהפסד</w:t>
      </w:r>
      <w:r>
        <w:rPr>
          <w:rStyle w:val="FootnoteReference"/>
          <w:rtl/>
        </w:rPr>
        <w:footnoteReference w:id="31"/>
      </w:r>
      <w:r>
        <w:rPr>
          <w:rFonts w:hint="cs"/>
          <w:rtl/>
        </w:rPr>
        <w:t>. לפי נתוני רשות המים, בקרב התאגידים הקטנים והבינוניים שיעור התאגידים שסיימו בהפסד היה גבוה משמעותית: 68% מהתאגידים הקטנים והבינוניים הפסידו בשנת 2011, לעומת 29% מהתאגידים הגדולים</w:t>
      </w:r>
      <w:r>
        <w:rPr>
          <w:rStyle w:val="FootnoteReference"/>
          <w:rtl/>
        </w:rPr>
        <w:footnoteReference w:id="32"/>
      </w:r>
      <w:r>
        <w:rPr>
          <w:rFonts w:hint="cs"/>
          <w:rtl/>
        </w:rPr>
        <w:t>.</w:t>
      </w:r>
    </w:p>
    <w:p w:rsidR="003D3BEF" w:rsidP="003D3BEF" w14:paraId="640643FB" w14:textId="77777777">
      <w:pPr>
        <w:pStyle w:val="a"/>
        <w:spacing w:line="269" w:lineRule="auto"/>
        <w:rPr>
          <w:rtl/>
        </w:rPr>
      </w:pPr>
    </w:p>
    <w:p w:rsidR="003D3BEF" w:rsidP="003D3BEF" w14:paraId="5F6AEE3D" w14:textId="77777777">
      <w:pPr>
        <w:spacing w:line="269" w:lineRule="auto"/>
        <w:rPr>
          <w:rtl/>
        </w:rPr>
      </w:pPr>
      <w:r>
        <w:rPr>
          <w:rFonts w:hint="cs"/>
          <w:rtl/>
        </w:rPr>
        <w:t xml:space="preserve">בשנת 2018 הסתכמו הכנסות התאגידים בכ-4.6 מיליארד ש"ח. סך הרווח באותה שנה נאמד בכ-273 מיליון ש"ח, כלומר רווח המשקף עלייה בתשואה השנתית לכ-6%, תשואה המקובלת בתחום אספקת שירותי </w:t>
      </w:r>
      <w:r w:rsidRPr="005D6DCE">
        <w:rPr>
          <w:rFonts w:hint="cs"/>
          <w:rtl/>
        </w:rPr>
        <w:t>תשתית מפוקחים שאינם חשופים לתחרות</w:t>
      </w:r>
      <w:r>
        <w:rPr>
          <w:rStyle w:val="FootnoteReference"/>
          <w:rtl/>
        </w:rPr>
        <w:footnoteReference w:id="33"/>
      </w:r>
      <w:r w:rsidRPr="005D6DCE">
        <w:rPr>
          <w:rFonts w:hint="cs"/>
          <w:rtl/>
        </w:rPr>
        <w:t xml:space="preserve">. 10 תאגידים (כ-18%) סיימו את 2018 בהפסד. להלן </w:t>
      </w:r>
      <w:r>
        <w:rPr>
          <w:rFonts w:hint="cs"/>
          <w:rtl/>
        </w:rPr>
        <w:t>מוצגים התאגידים שהרוויחו או הפסידו בשנים 2011 ו-2018 בפילוח לפי מספר התושבים המקבלים שירות (עד 100,000 ויותר מ-100,000) ולפי מספר הרשויות המקומיות המאוגדות בהם (תאגידים חד-רשותיים, תאגידים דו-רשותיים ותאגידים רב-רשותיים):</w:t>
      </w:r>
    </w:p>
    <w:p w:rsidR="003D3BEF" w:rsidP="003D3BEF" w14:paraId="2442963E" w14:textId="77777777">
      <w:pPr>
        <w:spacing w:line="269" w:lineRule="auto"/>
        <w:rPr>
          <w:rtl/>
        </w:rPr>
      </w:pPr>
    </w:p>
    <w:p w:rsidR="003D3BEF" w:rsidP="003D3BEF" w14:paraId="298A9A92" w14:textId="77777777">
      <w:pPr>
        <w:spacing w:line="269" w:lineRule="auto"/>
        <w:jc w:val="center"/>
        <w:rPr>
          <w:b/>
          <w:bCs/>
          <w:rtl/>
        </w:rPr>
      </w:pPr>
      <w:r w:rsidRPr="004B5851">
        <w:rPr>
          <w:rFonts w:hint="cs"/>
          <w:b/>
          <w:bCs/>
          <w:rtl/>
        </w:rPr>
        <w:t>תרשים</w:t>
      </w:r>
      <w:r>
        <w:rPr>
          <w:rFonts w:hint="cs"/>
          <w:b/>
          <w:bCs/>
          <w:rtl/>
        </w:rPr>
        <w:t xml:space="preserve"> 9</w:t>
      </w:r>
      <w:r w:rsidRPr="004B5851">
        <w:rPr>
          <w:rFonts w:hint="cs"/>
          <w:b/>
          <w:bCs/>
          <w:rtl/>
        </w:rPr>
        <w:t xml:space="preserve">: </w:t>
      </w:r>
      <w:r>
        <w:rPr>
          <w:rFonts w:hint="cs"/>
          <w:b/>
          <w:bCs/>
          <w:rtl/>
        </w:rPr>
        <w:t>התאגידים שסיימו ברווח או בהפסד, לפי גודל התאגיד, 2018</w:t>
      </w:r>
    </w:p>
    <w:p w:rsidR="003D3BEF" w:rsidRPr="0040128D" w:rsidP="004E485C" w14:paraId="4558A8E8" w14:textId="77777777">
      <w:pPr>
        <w:spacing w:before="120" w:after="120" w:line="269" w:lineRule="auto"/>
        <w:jc w:val="center"/>
        <w:rPr>
          <w:b/>
          <w:bCs/>
          <w:rtl/>
        </w:rPr>
      </w:pPr>
      <w:r>
        <w:rPr>
          <w:b/>
          <w:bCs/>
          <w:noProof/>
          <w:rtl/>
        </w:rPr>
        <w:drawing>
          <wp:inline distT="0" distB="0" distL="0" distR="0">
            <wp:extent cx="4325121" cy="2206756"/>
            <wp:effectExtent l="0" t="0" r="0" b="3175"/>
            <wp:docPr id="624677539" name="תמונה 62467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25509" name="water-corporations-g-9.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06756"/>
                    </a:xfrm>
                    <a:prstGeom prst="rect">
                      <a:avLst/>
                    </a:prstGeom>
                  </pic:spPr>
                </pic:pic>
              </a:graphicData>
            </a:graphic>
          </wp:inline>
        </w:drawing>
      </w:r>
    </w:p>
    <w:p w:rsidR="003D3BEF" w:rsidRPr="00684E93" w:rsidP="004E485C" w14:paraId="7554AC43"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2E6BAE" w:rsidP="003D3BEF" w14:paraId="4C617A54" w14:textId="77777777">
      <w:pPr>
        <w:pStyle w:val="a"/>
        <w:spacing w:line="269" w:lineRule="auto"/>
        <w:rPr>
          <w:rtl/>
        </w:rPr>
      </w:pPr>
    </w:p>
    <w:p w:rsidR="003D3BEF" w:rsidP="003D3BEF" w14:paraId="529EC93F" w14:textId="77777777">
      <w:pPr>
        <w:spacing w:line="269" w:lineRule="auto"/>
        <w:jc w:val="center"/>
        <w:rPr>
          <w:b/>
          <w:bCs/>
          <w:rtl/>
        </w:rPr>
      </w:pPr>
      <w:r w:rsidRPr="004B5851">
        <w:rPr>
          <w:rFonts w:hint="cs"/>
          <w:b/>
          <w:bCs/>
          <w:rtl/>
        </w:rPr>
        <w:t>תרשים</w:t>
      </w:r>
      <w:r>
        <w:rPr>
          <w:rFonts w:hint="cs"/>
          <w:b/>
          <w:bCs/>
          <w:rtl/>
        </w:rPr>
        <w:t xml:space="preserve"> 10</w:t>
      </w:r>
      <w:r w:rsidRPr="004B5851">
        <w:rPr>
          <w:rFonts w:hint="cs"/>
          <w:b/>
          <w:bCs/>
          <w:rtl/>
        </w:rPr>
        <w:t xml:space="preserve">: </w:t>
      </w:r>
      <w:r>
        <w:rPr>
          <w:rFonts w:hint="cs"/>
          <w:b/>
          <w:bCs/>
          <w:rtl/>
        </w:rPr>
        <w:t>טווח תחתון ועליון וממוצע שיעור הרווחיות, לפי גודל התאגיד, 2018</w:t>
      </w:r>
    </w:p>
    <w:p w:rsidR="003D3BEF" w:rsidP="004E485C" w14:paraId="309B62D5" w14:textId="77777777">
      <w:pPr>
        <w:spacing w:before="120" w:after="120" w:line="269" w:lineRule="auto"/>
        <w:jc w:val="center"/>
        <w:rPr>
          <w:b/>
          <w:bCs/>
        </w:rPr>
      </w:pPr>
      <w:r>
        <w:rPr>
          <w:b/>
          <w:bCs/>
          <w:noProof/>
        </w:rPr>
        <w:drawing>
          <wp:inline distT="0" distB="0" distL="0" distR="0">
            <wp:extent cx="4328169" cy="2438405"/>
            <wp:effectExtent l="0" t="0" r="0" b="0"/>
            <wp:docPr id="624677540" name="תמונה 62467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22284" name="water-corporations-g-10.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38405"/>
                    </a:xfrm>
                    <a:prstGeom prst="rect">
                      <a:avLst/>
                    </a:prstGeom>
                  </pic:spPr>
                </pic:pic>
              </a:graphicData>
            </a:graphic>
          </wp:inline>
        </w:drawing>
      </w:r>
    </w:p>
    <w:p w:rsidR="003D3BEF" w:rsidRPr="00684E93" w:rsidP="004E485C" w14:paraId="542B6343"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2E6BAE" w:rsidP="003D3BEF" w14:paraId="1F8BF209" w14:textId="77777777">
      <w:pPr>
        <w:pStyle w:val="a"/>
        <w:spacing w:line="269" w:lineRule="auto"/>
        <w:rPr>
          <w:rtl/>
        </w:rPr>
      </w:pPr>
    </w:p>
    <w:p w:rsidR="003D3BEF" w:rsidP="003D3BEF" w14:paraId="56D0FDF0" w14:textId="77777777">
      <w:pPr>
        <w:spacing w:line="269" w:lineRule="auto"/>
        <w:rPr>
          <w:b/>
          <w:bCs/>
          <w:rtl/>
        </w:rPr>
      </w:pPr>
      <w:r>
        <w:rPr>
          <w:rFonts w:hint="cs"/>
          <w:b/>
          <w:bCs/>
          <w:rtl/>
        </w:rPr>
        <w:t xml:space="preserve">משני התרשימים עולה כי בשנת 2018 נמצאו 10 תאגידים מפסידים שרובם (6) </w:t>
      </w:r>
      <w:r w:rsidRPr="00A27378">
        <w:rPr>
          <w:rFonts w:hint="cs"/>
          <w:b/>
          <w:bCs/>
          <w:rtl/>
        </w:rPr>
        <w:t>רב</w:t>
      </w:r>
      <w:r>
        <w:rPr>
          <w:rFonts w:hint="cs"/>
          <w:b/>
          <w:bCs/>
          <w:rtl/>
        </w:rPr>
        <w:t>-</w:t>
      </w:r>
      <w:r w:rsidRPr="00A27378">
        <w:rPr>
          <w:rFonts w:hint="cs"/>
          <w:b/>
          <w:bCs/>
          <w:rtl/>
        </w:rPr>
        <w:t>רשותיים</w:t>
      </w:r>
      <w:r>
        <w:rPr>
          <w:rFonts w:hint="cs"/>
          <w:b/>
          <w:bCs/>
          <w:rtl/>
        </w:rPr>
        <w:t>. ממוצע שיעור הרווחיות בתאגידים הרב-רשותיים נמוך מהממוצע בתאגידים החד-רשותיים והדו-רשותיים. נתונים אלה מצביעים על כך שהתאגדות בתאגיד רב-רשותי כשלעצמה אינה מביאה בהכרח לרווחיות, גם אם התאגיד משרת מעל ל-100,000 תושבים. מכאן, יש</w:t>
      </w:r>
      <w:r w:rsidRPr="00B4370D">
        <w:rPr>
          <w:rFonts w:hint="cs"/>
          <w:szCs w:val="20"/>
          <w:rtl/>
        </w:rPr>
        <w:t xml:space="preserve"> </w:t>
      </w:r>
      <w:r w:rsidRPr="00B4370D">
        <w:rPr>
          <w:rFonts w:hint="cs"/>
          <w:b/>
          <w:bCs/>
          <w:rtl/>
        </w:rPr>
        <w:t xml:space="preserve">גורמים נוספים </w:t>
      </w:r>
      <w:r>
        <w:rPr>
          <w:rFonts w:hint="cs"/>
          <w:b/>
          <w:bCs/>
          <w:rtl/>
        </w:rPr>
        <w:t>שצריכים להילקח בחשבון ה</w:t>
      </w:r>
      <w:r w:rsidRPr="00B4370D">
        <w:rPr>
          <w:rFonts w:hint="cs"/>
          <w:b/>
          <w:bCs/>
          <w:rtl/>
        </w:rPr>
        <w:t xml:space="preserve">משפיעים על יכולתו של התאגיד לממש את יתרונות </w:t>
      </w:r>
      <w:r>
        <w:rPr>
          <w:rFonts w:hint="cs"/>
          <w:b/>
          <w:bCs/>
          <w:rtl/>
        </w:rPr>
        <w:t>ה</w:t>
      </w:r>
      <w:r w:rsidRPr="00B4370D">
        <w:rPr>
          <w:rFonts w:hint="cs"/>
          <w:b/>
          <w:bCs/>
          <w:rtl/>
        </w:rPr>
        <w:t xml:space="preserve">גודל, כגון </w:t>
      </w:r>
      <w:r>
        <w:rPr>
          <w:rFonts w:hint="cs"/>
          <w:b/>
          <w:bCs/>
          <w:rtl/>
        </w:rPr>
        <w:t xml:space="preserve">תמהיל מתאים של </w:t>
      </w:r>
      <w:r w:rsidRPr="00B4370D">
        <w:rPr>
          <w:rFonts w:hint="cs"/>
          <w:b/>
          <w:bCs/>
          <w:rtl/>
        </w:rPr>
        <w:t>מגזר ו</w:t>
      </w:r>
      <w:r>
        <w:rPr>
          <w:rFonts w:hint="cs"/>
          <w:b/>
          <w:bCs/>
          <w:rtl/>
        </w:rPr>
        <w:t>דירוג כלכלי-חברתי.</w:t>
      </w:r>
    </w:p>
    <w:p w:rsidR="003D3BEF" w:rsidP="003D3BEF" w14:paraId="2AAAC2A5" w14:textId="77777777">
      <w:pPr>
        <w:pStyle w:val="a"/>
        <w:spacing w:line="269" w:lineRule="auto"/>
        <w:rPr>
          <w:rtl/>
        </w:rPr>
      </w:pPr>
    </w:p>
    <w:p w:rsidR="003D3BEF" w:rsidP="003D3BEF" w14:paraId="73FA0157" w14:textId="77777777">
      <w:pPr>
        <w:pStyle w:val="Heading4"/>
        <w:spacing w:before="0" w:line="269" w:lineRule="auto"/>
        <w:rPr>
          <w:rtl/>
        </w:rPr>
      </w:pPr>
      <w:r w:rsidRPr="0092321F">
        <w:rPr>
          <w:rFonts w:hint="eastAsia"/>
          <w:rtl/>
        </w:rPr>
        <w:t>איתנות</w:t>
      </w:r>
      <w:r w:rsidRPr="0092321F">
        <w:rPr>
          <w:rtl/>
        </w:rPr>
        <w:t xml:space="preserve"> </w:t>
      </w:r>
      <w:r w:rsidRPr="0092321F">
        <w:rPr>
          <w:rFonts w:hint="eastAsia"/>
          <w:rtl/>
        </w:rPr>
        <w:t>פיננסית</w:t>
      </w:r>
    </w:p>
    <w:p w:rsidR="003D3BEF" w:rsidP="003D3BEF" w14:paraId="591258CC" w14:textId="77777777">
      <w:pPr>
        <w:pStyle w:val="a"/>
        <w:rPr>
          <w:rtl/>
        </w:rPr>
      </w:pPr>
    </w:p>
    <w:p w:rsidR="003D3BEF" w:rsidP="003D3BEF" w14:paraId="2FE55D0E" w14:textId="77777777">
      <w:pPr>
        <w:spacing w:line="269" w:lineRule="auto"/>
        <w:rPr>
          <w:rtl/>
        </w:rPr>
      </w:pPr>
      <w:r>
        <w:rPr>
          <w:rFonts w:hint="cs"/>
          <w:rtl/>
        </w:rPr>
        <w:t>חוק התאגידים הסמיך את מ</w:t>
      </w:r>
      <w:r w:rsidRPr="00871763">
        <w:rPr>
          <w:rtl/>
        </w:rPr>
        <w:t>ועצת רשות</w:t>
      </w:r>
      <w:r>
        <w:rPr>
          <w:rFonts w:hint="cs"/>
          <w:rtl/>
        </w:rPr>
        <w:t xml:space="preserve"> המים</w:t>
      </w:r>
      <w:r w:rsidRPr="00871763">
        <w:rPr>
          <w:rtl/>
        </w:rPr>
        <w:t xml:space="preserve"> </w:t>
      </w:r>
      <w:r>
        <w:rPr>
          <w:rFonts w:hint="cs"/>
          <w:rtl/>
        </w:rPr>
        <w:t xml:space="preserve">לקבוע </w:t>
      </w:r>
      <w:r w:rsidRPr="00871763">
        <w:rPr>
          <w:rtl/>
        </w:rPr>
        <w:t>כללים לעני</w:t>
      </w:r>
      <w:r>
        <w:rPr>
          <w:rFonts w:hint="cs"/>
          <w:rtl/>
        </w:rPr>
        <w:t>י</w:t>
      </w:r>
      <w:r w:rsidRPr="00871763">
        <w:rPr>
          <w:rtl/>
        </w:rPr>
        <w:t xml:space="preserve">ן הבטחת האיתנות הפיננסית של </w:t>
      </w:r>
      <w:r>
        <w:rPr>
          <w:rFonts w:hint="cs"/>
          <w:rtl/>
        </w:rPr>
        <w:t xml:space="preserve">תאגיד מים וביוב ותפקודו </w:t>
      </w:r>
      <w:r w:rsidRPr="00871763">
        <w:rPr>
          <w:rtl/>
        </w:rPr>
        <w:t>הנאות</w:t>
      </w:r>
      <w:r>
        <w:rPr>
          <w:rFonts w:hint="cs"/>
          <w:rtl/>
        </w:rPr>
        <w:t xml:space="preserve">. </w:t>
      </w:r>
      <w:r>
        <w:rPr>
          <w:rtl/>
        </w:rPr>
        <w:t xml:space="preserve">רשות המים קבעה מספר אמות מידה פיננסיות, </w:t>
      </w:r>
      <w:r>
        <w:rPr>
          <w:rFonts w:hint="cs"/>
          <w:rtl/>
        </w:rPr>
        <w:t>לפי</w:t>
      </w:r>
      <w:r>
        <w:rPr>
          <w:rtl/>
        </w:rPr>
        <w:t xml:space="preserve"> </w:t>
      </w:r>
      <w:r>
        <w:rPr>
          <w:rFonts w:hint="cs"/>
          <w:rtl/>
        </w:rPr>
        <w:t>ה</w:t>
      </w:r>
      <w:r>
        <w:rPr>
          <w:rtl/>
        </w:rPr>
        <w:t xml:space="preserve">עניין </w:t>
      </w:r>
      <w:r>
        <w:rPr>
          <w:rFonts w:hint="cs"/>
          <w:rtl/>
        </w:rPr>
        <w:t>שאליו</w:t>
      </w:r>
      <w:r>
        <w:rPr>
          <w:rtl/>
        </w:rPr>
        <w:t xml:space="preserve"> הן מתייחסות: </w:t>
      </w:r>
    </w:p>
    <w:p w:rsidR="003D3BEF" w:rsidP="003D3BEF" w14:paraId="0D2FBEDA" w14:textId="77777777">
      <w:pPr>
        <w:pStyle w:val="ListParagraph"/>
        <w:numPr>
          <w:ilvl w:val="0"/>
          <w:numId w:val="16"/>
        </w:numPr>
        <w:spacing w:line="269" w:lineRule="auto"/>
        <w:ind w:left="312"/>
        <w:rPr>
          <w:rtl/>
        </w:rPr>
      </w:pPr>
      <w:r>
        <w:rPr>
          <w:rtl/>
        </w:rPr>
        <w:t xml:space="preserve">בשנת 2011 נקבעו אמות מידה פיננסיות מינימליות המגבילות את יכולתם של התאגידים </w:t>
      </w:r>
      <w:r>
        <w:rPr>
          <w:rFonts w:hint="cs"/>
          <w:rtl/>
        </w:rPr>
        <w:t xml:space="preserve">לקחת </w:t>
      </w:r>
      <w:r>
        <w:rPr>
          <w:rtl/>
        </w:rPr>
        <w:t>הלוואות ולשעבד את נכסיהם</w:t>
      </w:r>
      <w:r>
        <w:rPr>
          <w:rStyle w:val="FootnoteReference"/>
          <w:rtl/>
        </w:rPr>
        <w:footnoteReference w:id="34"/>
      </w:r>
      <w:r>
        <w:rPr>
          <w:rtl/>
        </w:rPr>
        <w:t xml:space="preserve"> </w:t>
      </w:r>
      <w:r>
        <w:rPr>
          <w:rFonts w:hint="cs"/>
          <w:rtl/>
        </w:rPr>
        <w:t>ה</w:t>
      </w:r>
      <w:r>
        <w:rPr>
          <w:rtl/>
        </w:rPr>
        <w:t>קובעות</w:t>
      </w:r>
      <w:r>
        <w:rPr>
          <w:rStyle w:val="FootnoteReference"/>
          <w:rtl/>
        </w:rPr>
        <w:footnoteReference w:id="35"/>
      </w:r>
      <w:r>
        <w:rPr>
          <w:rtl/>
        </w:rPr>
        <w:t>, בין היתר, יחס כיסוי חוב</w:t>
      </w:r>
      <w:r>
        <w:rPr>
          <w:rStyle w:val="FootnoteReference"/>
          <w:rtl/>
        </w:rPr>
        <w:footnoteReference w:id="36"/>
      </w:r>
      <w:r>
        <w:rPr>
          <w:rtl/>
        </w:rPr>
        <w:t xml:space="preserve"> העולה על 1.15 ויחס מינוף שאינו עולה על 65%. לעניין זה</w:t>
      </w:r>
      <w:r>
        <w:rPr>
          <w:rFonts w:hint="cs"/>
          <w:rtl/>
        </w:rPr>
        <w:t>,</w:t>
      </w:r>
      <w:r>
        <w:rPr>
          <w:rtl/>
        </w:rPr>
        <w:t xml:space="preserve"> "יחס מינוף" ה</w:t>
      </w:r>
      <w:r>
        <w:rPr>
          <w:rFonts w:hint="cs"/>
          <w:rtl/>
        </w:rPr>
        <w:t xml:space="preserve">וא </w:t>
      </w:r>
      <w:r>
        <w:rPr>
          <w:rtl/>
        </w:rPr>
        <w:t xml:space="preserve">היחס שבין סך ההתחייבויות לבין סך המאזן (להלן - יחס חוב למאזן ברוטו). בפברואר 2020 פרסמה מועצת הרשות תיקונים לכללים אלה. </w:t>
      </w:r>
      <w:r>
        <w:rPr>
          <w:rFonts w:hint="cs"/>
          <w:rtl/>
        </w:rPr>
        <w:t>ובהם</w:t>
      </w:r>
      <w:r>
        <w:rPr>
          <w:rtl/>
        </w:rPr>
        <w:t xml:space="preserve"> נכלל שינוי הגדרת </w:t>
      </w:r>
      <w:r>
        <w:rPr>
          <w:rFonts w:hint="cs"/>
          <w:rtl/>
        </w:rPr>
        <w:t xml:space="preserve">המונח </w:t>
      </w:r>
      <w:r>
        <w:rPr>
          <w:rtl/>
        </w:rPr>
        <w:t>"יחס מינוף"</w:t>
      </w:r>
      <w:r>
        <w:rPr>
          <w:rFonts w:hint="cs"/>
          <w:rtl/>
        </w:rPr>
        <w:t xml:space="preserve">; מעתה </w:t>
      </w:r>
      <w:r>
        <w:rPr>
          <w:rtl/>
        </w:rPr>
        <w:t>הוא מוגדר כיחס שבין סך כל ההתחייבויות לבין סכום המאזן, והכל בניכוי הכנסות נדחות מהיטלי פיתוח (להלן - יחס חוב למאזן נטו).</w:t>
      </w:r>
    </w:p>
    <w:p w:rsidR="003D3BEF" w:rsidP="003D3BEF" w14:paraId="7BB95FB9" w14:textId="77777777">
      <w:pPr>
        <w:spacing w:line="269" w:lineRule="auto"/>
        <w:ind w:left="312"/>
        <w:rPr>
          <w:rtl/>
        </w:rPr>
      </w:pPr>
      <w:r>
        <w:rPr>
          <w:rtl/>
        </w:rPr>
        <w:t>רשות המים השיבה כי לאחר סיום הביקורת</w:t>
      </w:r>
      <w:r>
        <w:rPr>
          <w:rFonts w:hint="cs"/>
          <w:rtl/>
        </w:rPr>
        <w:t xml:space="preserve"> </w:t>
      </w:r>
      <w:r>
        <w:rPr>
          <w:rtl/>
        </w:rPr>
        <w:t xml:space="preserve">אישרה המועצה </w:t>
      </w:r>
      <w:r>
        <w:rPr>
          <w:rFonts w:hint="cs"/>
          <w:rtl/>
        </w:rPr>
        <w:t xml:space="preserve">במאי 2020 </w:t>
      </w:r>
      <w:r>
        <w:rPr>
          <w:rtl/>
        </w:rPr>
        <w:t>כללים מעודכנים בעניין.</w:t>
      </w:r>
    </w:p>
    <w:p w:rsidR="003D3BEF" w:rsidP="003D3BEF" w14:paraId="119A34B2" w14:textId="77777777">
      <w:pPr>
        <w:spacing w:line="269" w:lineRule="auto"/>
        <w:rPr>
          <w:rtl/>
        </w:rPr>
      </w:pPr>
    </w:p>
    <w:p w:rsidR="003D3BEF" w:rsidP="003D3BEF" w14:paraId="63E44723" w14:textId="77777777">
      <w:pPr>
        <w:pStyle w:val="ListParagraph"/>
        <w:numPr>
          <w:ilvl w:val="0"/>
          <w:numId w:val="16"/>
        </w:numPr>
        <w:spacing w:line="269" w:lineRule="auto"/>
        <w:ind w:left="312"/>
        <w:rPr>
          <w:rtl/>
        </w:rPr>
      </w:pPr>
      <w:r>
        <w:rPr>
          <w:rtl/>
        </w:rPr>
        <w:t>בשנת 2014 נקבעו אמות מידה פיננסיות מינימליות לצורך חלוקת רווחים</w:t>
      </w:r>
      <w:r>
        <w:rPr>
          <w:rStyle w:val="FootnoteReference"/>
          <w:rtl/>
        </w:rPr>
        <w:footnoteReference w:id="37"/>
      </w:r>
      <w:r>
        <w:rPr>
          <w:rtl/>
        </w:rPr>
        <w:t xml:space="preserve">, הקובעות, בין היתר, כי היחס בין ההון העצמי לבין סך המאזן של התאגיד בניכוי הכנסות נדחות לא יפחת מ-35% </w:t>
      </w:r>
      <w:r>
        <w:rPr>
          <w:rFonts w:hint="cs"/>
          <w:rtl/>
        </w:rPr>
        <w:t>(</w:t>
      </w:r>
      <w:r>
        <w:rPr>
          <w:rtl/>
        </w:rPr>
        <w:t>מכאן, היחס המשלים התחייבויות לסך מאזן בניכוי הכנסות נדחות לא יעלה על 65%) כללים אלו כוללים הגדרה שונה ליחס כיסוי החוב</w:t>
      </w:r>
      <w:r>
        <w:rPr>
          <w:rStyle w:val="FootnoteReference"/>
          <w:rtl/>
        </w:rPr>
        <w:footnoteReference w:id="38"/>
      </w:r>
      <w:r>
        <w:rPr>
          <w:rtl/>
        </w:rPr>
        <w:t>.</w:t>
      </w:r>
    </w:p>
    <w:p w:rsidR="003D3BEF" w:rsidP="003D3BEF" w14:paraId="4789E594" w14:textId="77777777">
      <w:pPr>
        <w:spacing w:line="269" w:lineRule="auto"/>
        <w:rPr>
          <w:rtl/>
        </w:rPr>
      </w:pPr>
    </w:p>
    <w:p w:rsidR="003D3BEF" w:rsidP="003D3BEF" w14:paraId="10392CC5" w14:textId="77777777">
      <w:pPr>
        <w:pStyle w:val="ListParagraph"/>
        <w:numPr>
          <w:ilvl w:val="0"/>
          <w:numId w:val="16"/>
        </w:numPr>
        <w:spacing w:line="269" w:lineRule="auto"/>
        <w:ind w:left="312"/>
        <w:rPr>
          <w:rtl/>
        </w:rPr>
      </w:pPr>
      <w:r>
        <w:rPr>
          <w:rtl/>
        </w:rPr>
        <w:t>חוק התאגידים כולל אמות מידה פיננסיות לצורך קבלת פטור מתיאגוד אזורי, הקובעות כי</w:t>
      </w:r>
      <w:r>
        <w:rPr>
          <w:rStyle w:val="FootnoteReference"/>
          <w:rtl/>
        </w:rPr>
        <w:footnoteReference w:id="39"/>
      </w:r>
      <w:r>
        <w:rPr>
          <w:rtl/>
        </w:rPr>
        <w:t xml:space="preserve"> תאגיד רשאי להגיש בקשה לפטור כאמור אם קיים את ההוראות, שקבעה מועצת הרשות בכללים לפי סעיף 21א</w:t>
      </w:r>
      <w:r>
        <w:rPr>
          <w:rStyle w:val="FootnoteReference"/>
          <w:rtl/>
        </w:rPr>
        <w:footnoteReference w:id="40"/>
      </w:r>
      <w:r>
        <w:rPr>
          <w:rtl/>
        </w:rPr>
        <w:t xml:space="preserve"> לעניין הבטחת האיתנות הפיננסית של חברה, בנושא יחס המינוף המרבי ויחס כיסוי החוב; ואולם עד שייכנסו לתוקפם כללים כאמור, יחולו ההוראות הקבועות בתוספת לחוק במקום הוראות הכללים. בין התנאים הכלולים בתוספת נדרש שיחס המינוף המירבי לא יעלה על 65% וממוצע יחס כיסוי החוב</w:t>
      </w:r>
      <w:r>
        <w:rPr>
          <w:rStyle w:val="FootnoteReference"/>
          <w:rtl/>
        </w:rPr>
        <w:footnoteReference w:id="41"/>
      </w:r>
      <w:r>
        <w:rPr>
          <w:rtl/>
        </w:rPr>
        <w:t xml:space="preserve"> עולה על 1.15. לעניין זה</w:t>
      </w:r>
      <w:r>
        <w:rPr>
          <w:rFonts w:hint="cs"/>
          <w:rtl/>
        </w:rPr>
        <w:t>,</w:t>
      </w:r>
      <w:r>
        <w:rPr>
          <w:rtl/>
        </w:rPr>
        <w:t xml:space="preserve"> "יחס מינוף מרבי"</w:t>
      </w:r>
      <w:r>
        <w:rPr>
          <w:rFonts w:hint="cs"/>
          <w:rtl/>
        </w:rPr>
        <w:t xml:space="preserve"> הוא</w:t>
      </w:r>
      <w:r>
        <w:rPr>
          <w:rtl/>
        </w:rPr>
        <w:t xml:space="preserve"> היחס שבין סך ההתחייבויות לבין סך המאזן.</w:t>
      </w:r>
      <w:r>
        <w:rPr>
          <w:rFonts w:hint="cs"/>
          <w:rtl/>
        </w:rPr>
        <w:t xml:space="preserve"> </w:t>
      </w:r>
      <w:r>
        <w:rPr>
          <w:rtl/>
        </w:rPr>
        <w:t>הסמכות למתן פטור מתיאגוד אזורי נתונה לשר האנרגייה, וזאת לאחר שהממונה קבע באישור מועצת הרשות כי מתקיימים בתאגיד התנאים למתן הפטור. החלטת השר לתת את הפטור טעונה הסכמה של שר</w:t>
      </w:r>
      <w:r>
        <w:rPr>
          <w:rFonts w:hint="cs"/>
          <w:rtl/>
        </w:rPr>
        <w:t>י</w:t>
      </w:r>
      <w:r>
        <w:rPr>
          <w:rtl/>
        </w:rPr>
        <w:t xml:space="preserve"> הפנים והאוצר</w:t>
      </w:r>
      <w:r>
        <w:rPr>
          <w:rStyle w:val="FootnoteReference"/>
          <w:rtl/>
        </w:rPr>
        <w:footnoteReference w:id="42"/>
      </w:r>
      <w:r>
        <w:rPr>
          <w:rtl/>
        </w:rPr>
        <w:t>.</w:t>
      </w:r>
    </w:p>
    <w:p w:rsidR="003D3BEF" w:rsidP="003D3BEF" w14:paraId="7C773869" w14:textId="77777777">
      <w:pPr>
        <w:pStyle w:val="a"/>
        <w:spacing w:line="269" w:lineRule="auto"/>
        <w:rPr>
          <w:rtl/>
        </w:rPr>
      </w:pPr>
    </w:p>
    <w:p w:rsidR="003D3BEF" w:rsidP="003D3BEF" w14:paraId="04BC12DA" w14:textId="77777777">
      <w:pPr>
        <w:spacing w:line="269" w:lineRule="auto"/>
        <w:rPr>
          <w:rtl/>
        </w:rPr>
      </w:pPr>
      <w:r>
        <w:rPr>
          <w:rFonts w:hint="cs"/>
          <w:rtl/>
        </w:rPr>
        <w:t>יצוין כי בשנת 2019 הגישו 49 תאגידים בקשות לפטור מתיאגוד אזורי. במסגרת ההליך בדקה רשות המים 39 מתוכם וקבעה כי 35 תאגידים עומדים בתנאי הסף של בדיקות האיתנות הפיננסית. להלן פילוח יחס החוב למאזן ברוטו בתאגידים לפי מספר התושבים המקבלים שירות (עד 100,000 ומעל 100,000) ולפי מספר הרשויות המקומיות המאוגדות (תאגידים חד-רשותיים, תאגידים דו-רשותיים ותאגידים רב-רשותיים):</w:t>
      </w:r>
    </w:p>
    <w:p w:rsidR="003D3BEF" w:rsidP="003D3BEF" w14:paraId="3E2BEEAA" w14:textId="77777777">
      <w:pPr>
        <w:spacing w:line="269" w:lineRule="auto"/>
        <w:rPr>
          <w:rtl/>
        </w:rPr>
      </w:pPr>
    </w:p>
    <w:p w:rsidR="003D3BEF" w:rsidP="003D3BEF" w14:paraId="366FD5D0" w14:textId="77777777">
      <w:pPr>
        <w:spacing w:line="269" w:lineRule="auto"/>
        <w:jc w:val="center"/>
        <w:rPr>
          <w:b/>
          <w:bCs/>
          <w:rtl/>
        </w:rPr>
      </w:pPr>
      <w:r w:rsidRPr="004B5851">
        <w:rPr>
          <w:rFonts w:hint="cs"/>
          <w:b/>
          <w:bCs/>
          <w:rtl/>
        </w:rPr>
        <w:t>תרשים</w:t>
      </w:r>
      <w:r>
        <w:rPr>
          <w:rFonts w:hint="cs"/>
          <w:b/>
          <w:bCs/>
          <w:rtl/>
        </w:rPr>
        <w:t xml:space="preserve"> 11</w:t>
      </w:r>
      <w:r w:rsidRPr="004B5851">
        <w:rPr>
          <w:rFonts w:hint="cs"/>
          <w:b/>
          <w:bCs/>
          <w:rtl/>
        </w:rPr>
        <w:t xml:space="preserve">: </w:t>
      </w:r>
      <w:r>
        <w:rPr>
          <w:rFonts w:hint="cs"/>
          <w:b/>
          <w:bCs/>
          <w:rtl/>
        </w:rPr>
        <w:t xml:space="preserve">מספר התאגידים שסיימו את שנת 2018 ביחס חוב למאזן ברוטו גבוה מ-65% או עד 65%, לפי גודל התאגיד, 2018 </w:t>
      </w:r>
    </w:p>
    <w:p w:rsidR="003D3BEF" w:rsidP="004E485C" w14:paraId="7B6A4F2C" w14:textId="77777777">
      <w:pPr>
        <w:spacing w:before="120" w:after="120" w:line="269" w:lineRule="auto"/>
        <w:jc w:val="center"/>
        <w:rPr>
          <w:rtl/>
        </w:rPr>
      </w:pPr>
      <w:r>
        <w:rPr>
          <w:noProof/>
          <w:rtl/>
        </w:rPr>
        <w:drawing>
          <wp:inline distT="0" distB="0" distL="0" distR="0">
            <wp:extent cx="4325121" cy="2444501"/>
            <wp:effectExtent l="0" t="0" r="0" b="0"/>
            <wp:docPr id="624677541" name="תמונה 62467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84090" name="water-corporations-g-11.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44501"/>
                    </a:xfrm>
                    <a:prstGeom prst="rect">
                      <a:avLst/>
                    </a:prstGeom>
                  </pic:spPr>
                </pic:pic>
              </a:graphicData>
            </a:graphic>
          </wp:inline>
        </w:drawing>
      </w:r>
    </w:p>
    <w:p w:rsidR="003D3BEF" w:rsidRPr="00684E93" w:rsidP="004E485C" w14:paraId="386C372E"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cs"/>
          <w:sz w:val="22"/>
          <w:szCs w:val="22"/>
          <w:rtl/>
        </w:rPr>
        <w:t>פי נ</w:t>
      </w:r>
      <w:r w:rsidRPr="00684E93">
        <w:rPr>
          <w:rFonts w:hint="eastAsia"/>
          <w:sz w:val="22"/>
          <w:szCs w:val="22"/>
          <w:rtl/>
        </w:rPr>
        <w:t>ת</w:t>
      </w:r>
      <w:r w:rsidRPr="00684E93">
        <w:rPr>
          <w:rFonts w:hint="cs"/>
          <w:sz w:val="22"/>
          <w:szCs w:val="22"/>
          <w:rtl/>
        </w:rPr>
        <w:t>ו</w:t>
      </w:r>
      <w:r w:rsidRPr="00684E93">
        <w:rPr>
          <w:rFonts w:hint="eastAsia"/>
          <w:sz w:val="22"/>
          <w:szCs w:val="22"/>
          <w:rtl/>
        </w:rPr>
        <w:t>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מבקר המדינה.</w:t>
      </w:r>
    </w:p>
    <w:p w:rsidR="003D3BEF" w:rsidRPr="002E6BAE" w:rsidP="003D3BEF" w14:paraId="2A8DC4A4" w14:textId="77777777">
      <w:pPr>
        <w:pStyle w:val="a"/>
        <w:spacing w:line="269" w:lineRule="auto"/>
        <w:rPr>
          <w:rtl/>
        </w:rPr>
      </w:pPr>
    </w:p>
    <w:p w:rsidR="003D3BEF" w:rsidP="003D3BEF" w14:paraId="1BBD94C2" w14:textId="77777777">
      <w:pPr>
        <w:spacing w:line="269" w:lineRule="auto"/>
        <w:rPr>
          <w:b/>
          <w:bCs/>
          <w:sz w:val="24"/>
          <w:rtl/>
        </w:rPr>
      </w:pPr>
      <w:r w:rsidRPr="0073124F">
        <w:rPr>
          <w:b/>
          <w:bCs/>
          <w:sz w:val="24"/>
          <w:rtl/>
        </w:rPr>
        <w:t>נמצא כי 27 תאגידים סיימו את 2018 בי</w:t>
      </w:r>
      <w:r>
        <w:rPr>
          <w:b/>
          <w:bCs/>
          <w:sz w:val="24"/>
          <w:rtl/>
        </w:rPr>
        <w:t>חס חוב למאזן ברוטו הגבוה מ-65%.</w:t>
      </w:r>
      <w:r w:rsidRPr="0073124F">
        <w:rPr>
          <w:b/>
          <w:bCs/>
          <w:sz w:val="24"/>
          <w:rtl/>
        </w:rPr>
        <w:t xml:space="preserve"> מתוכם 13 תאגידים רב-רשותיים.</w:t>
      </w:r>
      <w:r>
        <w:rPr>
          <w:b/>
          <w:bCs/>
          <w:sz w:val="24"/>
          <w:rtl/>
        </w:rPr>
        <w:t xml:space="preserve"> </w:t>
      </w:r>
      <w:r w:rsidRPr="0073124F">
        <w:rPr>
          <w:rFonts w:hint="eastAsia"/>
          <w:b/>
          <w:bCs/>
          <w:sz w:val="24"/>
          <w:rtl/>
        </w:rPr>
        <w:t>ממוצע</w:t>
      </w:r>
      <w:r w:rsidRPr="0073124F">
        <w:rPr>
          <w:b/>
          <w:bCs/>
          <w:sz w:val="24"/>
          <w:rtl/>
        </w:rPr>
        <w:t xml:space="preserve"> יחס החוב למאזן ברוטו בתאגידים רב-רשותיים המשרתים מעל 100,000 </w:t>
      </w:r>
      <w:r w:rsidRPr="0073124F">
        <w:rPr>
          <w:rFonts w:hint="eastAsia"/>
          <w:b/>
          <w:bCs/>
          <w:sz w:val="24"/>
          <w:rtl/>
        </w:rPr>
        <w:t>תושבים</w:t>
      </w:r>
      <w:r w:rsidRPr="0073124F">
        <w:rPr>
          <w:b/>
          <w:bCs/>
          <w:sz w:val="24"/>
          <w:rtl/>
        </w:rPr>
        <w:t xml:space="preserve"> גבוה יותר </w:t>
      </w:r>
      <w:r w:rsidRPr="0073124F">
        <w:rPr>
          <w:rFonts w:hint="eastAsia"/>
          <w:b/>
          <w:bCs/>
          <w:sz w:val="24"/>
          <w:rtl/>
        </w:rPr>
        <w:t>מממוצע</w:t>
      </w:r>
      <w:r w:rsidRPr="0073124F">
        <w:rPr>
          <w:b/>
          <w:bCs/>
          <w:sz w:val="24"/>
          <w:rtl/>
        </w:rPr>
        <w:t xml:space="preserve"> </w:t>
      </w:r>
      <w:r w:rsidRPr="0073124F">
        <w:rPr>
          <w:rFonts w:hint="eastAsia"/>
          <w:b/>
          <w:bCs/>
          <w:sz w:val="24"/>
          <w:rtl/>
        </w:rPr>
        <w:t>יחס</w:t>
      </w:r>
      <w:r w:rsidRPr="0073124F">
        <w:rPr>
          <w:b/>
          <w:bCs/>
          <w:sz w:val="24"/>
          <w:rtl/>
        </w:rPr>
        <w:t xml:space="preserve"> </w:t>
      </w:r>
      <w:r w:rsidRPr="0073124F">
        <w:rPr>
          <w:rFonts w:hint="eastAsia"/>
          <w:b/>
          <w:bCs/>
          <w:sz w:val="24"/>
          <w:rtl/>
        </w:rPr>
        <w:t>חוב</w:t>
      </w:r>
      <w:r w:rsidRPr="0073124F">
        <w:rPr>
          <w:b/>
          <w:bCs/>
          <w:sz w:val="24"/>
          <w:rtl/>
        </w:rPr>
        <w:t xml:space="preserve"> </w:t>
      </w:r>
      <w:r w:rsidRPr="0073124F">
        <w:rPr>
          <w:rFonts w:hint="eastAsia"/>
          <w:b/>
          <w:bCs/>
          <w:sz w:val="24"/>
          <w:rtl/>
        </w:rPr>
        <w:t>למאזן</w:t>
      </w:r>
      <w:r w:rsidRPr="0073124F">
        <w:rPr>
          <w:b/>
          <w:bCs/>
          <w:sz w:val="24"/>
          <w:rtl/>
        </w:rPr>
        <w:t xml:space="preserve"> </w:t>
      </w:r>
      <w:r w:rsidRPr="0073124F">
        <w:rPr>
          <w:rFonts w:hint="eastAsia"/>
          <w:b/>
          <w:bCs/>
          <w:sz w:val="24"/>
          <w:rtl/>
        </w:rPr>
        <w:t>ב</w:t>
      </w:r>
      <w:r>
        <w:rPr>
          <w:b/>
          <w:bCs/>
          <w:sz w:val="24"/>
          <w:rtl/>
        </w:rPr>
        <w:t>כל קבוצות התאגידים האחרות</w:t>
      </w:r>
      <w:r w:rsidRPr="0073124F">
        <w:rPr>
          <w:b/>
          <w:bCs/>
          <w:sz w:val="24"/>
          <w:rtl/>
        </w:rPr>
        <w:t xml:space="preserve">. </w:t>
      </w:r>
    </w:p>
    <w:p w:rsidR="003D3BEF" w:rsidRPr="0073124F" w:rsidP="003D3BEF" w14:paraId="53008D66" w14:textId="77777777">
      <w:pPr>
        <w:pStyle w:val="a"/>
        <w:spacing w:line="269" w:lineRule="auto"/>
        <w:rPr>
          <w:rtl/>
        </w:rPr>
      </w:pPr>
    </w:p>
    <w:p w:rsidR="003D3BEF" w:rsidP="003D3BEF" w14:paraId="573D615D" w14:textId="77777777">
      <w:pPr>
        <w:spacing w:line="269" w:lineRule="auto"/>
        <w:rPr>
          <w:sz w:val="24"/>
          <w:rtl/>
        </w:rPr>
      </w:pPr>
      <w:r w:rsidRPr="0073124F">
        <w:rPr>
          <w:sz w:val="24"/>
          <w:rtl/>
        </w:rPr>
        <w:t xml:space="preserve">משרד מבקר המדינה בחן גם את יחס החוב למאזן נטו. הבחינה </w:t>
      </w:r>
      <w:r w:rsidRPr="0073124F">
        <w:rPr>
          <w:rFonts w:hint="eastAsia"/>
          <w:sz w:val="24"/>
          <w:rtl/>
        </w:rPr>
        <w:t>העלתה</w:t>
      </w:r>
      <w:r w:rsidRPr="0073124F">
        <w:rPr>
          <w:sz w:val="24"/>
          <w:rtl/>
        </w:rPr>
        <w:t xml:space="preserve"> כי 51 תאגידים בעלי יחס חוב נטו הנמוך מ-65% ו-5 תאגידים בעלי יחס חוב נטו הגבוה מ-65%</w:t>
      </w:r>
      <w:r>
        <w:rPr>
          <w:sz w:val="24"/>
          <w:rtl/>
        </w:rPr>
        <w:t xml:space="preserve"> </w:t>
      </w:r>
      <w:r w:rsidRPr="0073124F">
        <w:rPr>
          <w:rFonts w:hint="eastAsia"/>
          <w:sz w:val="24"/>
          <w:rtl/>
        </w:rPr>
        <w:t>ו</w:t>
      </w:r>
      <w:r w:rsidRPr="0073124F">
        <w:rPr>
          <w:sz w:val="24"/>
          <w:rtl/>
        </w:rPr>
        <w:t>מתוכם 3 תאגידים רב-רשותיים. להלן ממוצעי יחסי חוב ברוטו ונטו בתאגידים, לפי גודל התאגידים לשנת 2018.</w:t>
      </w:r>
    </w:p>
    <w:p w:rsidR="003D3BEF" w:rsidRPr="0073124F" w:rsidP="003D3BEF" w14:paraId="68CD086C" w14:textId="77777777">
      <w:pPr>
        <w:pStyle w:val="a"/>
        <w:spacing w:line="269" w:lineRule="auto"/>
        <w:rPr>
          <w:rtl/>
        </w:rPr>
      </w:pPr>
    </w:p>
    <w:p w:rsidR="004E485C" w:rsidP="003D3BEF" w14:paraId="1CC8F6B2" w14:textId="77777777">
      <w:pPr>
        <w:spacing w:line="269" w:lineRule="auto"/>
        <w:jc w:val="center"/>
        <w:rPr>
          <w:b/>
          <w:bCs/>
          <w:rtl/>
        </w:rPr>
      </w:pPr>
      <w:r>
        <w:rPr>
          <w:b/>
          <w:bCs/>
          <w:rtl/>
        </w:rPr>
        <w:br w:type="page"/>
      </w:r>
    </w:p>
    <w:p w:rsidR="003D3BEF" w:rsidP="003D3BEF" w14:paraId="64ACCDDF" w14:textId="77777777">
      <w:pPr>
        <w:spacing w:line="269" w:lineRule="auto"/>
        <w:jc w:val="center"/>
        <w:rPr>
          <w:b/>
          <w:bCs/>
          <w:rtl/>
        </w:rPr>
      </w:pPr>
      <w:r w:rsidRPr="004B5851">
        <w:rPr>
          <w:rFonts w:hint="cs"/>
          <w:b/>
          <w:bCs/>
          <w:rtl/>
        </w:rPr>
        <w:t>תרשים</w:t>
      </w:r>
      <w:r>
        <w:rPr>
          <w:rFonts w:hint="cs"/>
          <w:b/>
          <w:bCs/>
          <w:rtl/>
        </w:rPr>
        <w:t xml:space="preserve"> 12</w:t>
      </w:r>
      <w:r w:rsidRPr="004B5851">
        <w:rPr>
          <w:rFonts w:hint="cs"/>
          <w:b/>
          <w:bCs/>
          <w:rtl/>
        </w:rPr>
        <w:t xml:space="preserve">: </w:t>
      </w:r>
      <w:r>
        <w:rPr>
          <w:rFonts w:hint="cs"/>
          <w:b/>
          <w:bCs/>
          <w:rtl/>
        </w:rPr>
        <w:t>ממוצעי יחס חוב למאזן ברוטו ונטו, לפי גודל התאגיד, 2018</w:t>
      </w:r>
    </w:p>
    <w:p w:rsidR="003D3BEF" w:rsidRPr="00DA6B1E" w:rsidP="004E485C" w14:paraId="5462E197" w14:textId="77777777">
      <w:pPr>
        <w:spacing w:before="120" w:after="120" w:line="269" w:lineRule="auto"/>
        <w:jc w:val="center"/>
        <w:rPr>
          <w:b/>
          <w:bCs/>
          <w:rtl/>
        </w:rPr>
      </w:pPr>
      <w:r>
        <w:rPr>
          <w:b/>
          <w:bCs/>
          <w:noProof/>
          <w:rtl/>
        </w:rPr>
        <w:drawing>
          <wp:inline distT="0" distB="0" distL="0" distR="0">
            <wp:extent cx="4328169" cy="2395733"/>
            <wp:effectExtent l="0" t="0" r="0" b="5080"/>
            <wp:docPr id="624677542" name="תמונה 62467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35959" name="water-corporations-g-12.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95733"/>
                    </a:xfrm>
                    <a:prstGeom prst="rect">
                      <a:avLst/>
                    </a:prstGeom>
                  </pic:spPr>
                </pic:pic>
              </a:graphicData>
            </a:graphic>
          </wp:inline>
        </w:drawing>
      </w:r>
    </w:p>
    <w:p w:rsidR="003D3BEF" w:rsidRPr="00684E93" w:rsidP="004E485C" w14:paraId="7075482D"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2E6BAE" w:rsidP="003D3BEF" w14:paraId="5E5EDCE2" w14:textId="77777777">
      <w:pPr>
        <w:spacing w:line="269" w:lineRule="auto"/>
        <w:rPr>
          <w:szCs w:val="20"/>
          <w:rtl/>
        </w:rPr>
      </w:pPr>
    </w:p>
    <w:p w:rsidR="003D3BEF" w:rsidP="003D3BEF" w14:paraId="784CB1B9" w14:textId="77777777">
      <w:pPr>
        <w:spacing w:line="269" w:lineRule="auto"/>
        <w:ind w:left="-1"/>
        <w:rPr>
          <w:b/>
          <w:bCs/>
          <w:rtl/>
        </w:rPr>
      </w:pPr>
      <w:r w:rsidRPr="005C3F06">
        <w:rPr>
          <w:b/>
          <w:bCs/>
          <w:rtl/>
        </w:rPr>
        <w:t>מהתרשים עולה כי הממוצעים של יחס החוב למאזן ברוטו ונטו בתאגידים המשרתים מעל 100,000 גבוה יותר מכל קבוצות התאגידים האחרות</w:t>
      </w:r>
      <w:r>
        <w:rPr>
          <w:rFonts w:hint="cs"/>
          <w:rtl/>
        </w:rPr>
        <w:t>.</w:t>
      </w:r>
      <w:r w:rsidRPr="00DA6B1E">
        <w:rPr>
          <w:rtl/>
        </w:rPr>
        <w:t xml:space="preserve"> </w:t>
      </w:r>
      <w:r w:rsidRPr="00510578">
        <w:rPr>
          <w:b/>
          <w:bCs/>
          <w:rtl/>
        </w:rPr>
        <w:t>נתונים אלה מצביעים על כך שהתאגדות בתאגיד רב</w:t>
      </w:r>
      <w:r>
        <w:rPr>
          <w:rFonts w:hint="cs"/>
          <w:b/>
          <w:bCs/>
          <w:rtl/>
        </w:rPr>
        <w:t>-</w:t>
      </w:r>
      <w:r w:rsidRPr="00510578">
        <w:rPr>
          <w:b/>
          <w:bCs/>
          <w:rtl/>
        </w:rPr>
        <w:t xml:space="preserve">רשותי </w:t>
      </w:r>
      <w:r>
        <w:rPr>
          <w:rFonts w:hint="cs"/>
          <w:b/>
          <w:bCs/>
          <w:rtl/>
        </w:rPr>
        <w:t xml:space="preserve">המשרת מעל 100,000 תושבים </w:t>
      </w:r>
      <w:r w:rsidRPr="00510578">
        <w:rPr>
          <w:b/>
          <w:bCs/>
          <w:rtl/>
        </w:rPr>
        <w:t>כשלעצמה אינה מביאה בהכרח ל</w:t>
      </w:r>
      <w:r>
        <w:rPr>
          <w:rFonts w:hint="cs"/>
          <w:b/>
          <w:bCs/>
          <w:rtl/>
        </w:rPr>
        <w:t>יחסי חוב למאזן משופרים</w:t>
      </w:r>
      <w:r w:rsidRPr="00510578">
        <w:rPr>
          <w:b/>
          <w:bCs/>
          <w:rtl/>
        </w:rPr>
        <w:t>.</w:t>
      </w:r>
    </w:p>
    <w:p w:rsidR="003D3BEF" w:rsidP="003D3BEF" w14:paraId="314B0E6E" w14:textId="77777777">
      <w:pPr>
        <w:pStyle w:val="a"/>
        <w:spacing w:line="269" w:lineRule="auto"/>
        <w:rPr>
          <w:rtl/>
        </w:rPr>
      </w:pPr>
    </w:p>
    <w:p w:rsidR="003D3BEF" w:rsidP="003D3BEF" w14:paraId="27754E21" w14:textId="77777777">
      <w:pPr>
        <w:spacing w:line="269" w:lineRule="auto"/>
        <w:rPr>
          <w:b/>
          <w:bCs/>
          <w:rtl/>
        </w:rPr>
      </w:pPr>
      <w:r>
        <w:rPr>
          <w:rFonts w:hint="cs"/>
          <w:b/>
          <w:bCs/>
          <w:rtl/>
        </w:rPr>
        <w:t xml:space="preserve">מומלץ כי הרשות תוודא קיומה של תכנית התייעלות וצמיחה בתאגידים בעלי שיעור רווחיות נמוך או שלילי ותבצע מעקב מעמיק אחר ביצועה. </w:t>
      </w:r>
    </w:p>
    <w:p w:rsidR="003D3BEF" w:rsidP="003D3BEF" w14:paraId="5A431C5B" w14:textId="77777777">
      <w:pPr>
        <w:pStyle w:val="a"/>
        <w:spacing w:line="269" w:lineRule="auto"/>
        <w:rPr>
          <w:rtl/>
        </w:rPr>
      </w:pPr>
    </w:p>
    <w:p w:rsidR="003D3BEF" w:rsidRPr="00701F8D" w:rsidP="003D3BEF" w14:paraId="5BA3BD20" w14:textId="77777777">
      <w:pPr>
        <w:pStyle w:val="Heading4"/>
        <w:spacing w:before="0" w:line="269" w:lineRule="auto"/>
        <w:rPr>
          <w:rtl/>
        </w:rPr>
      </w:pPr>
      <w:r w:rsidRPr="00701F8D">
        <w:rPr>
          <w:rFonts w:hint="eastAsia"/>
          <w:rtl/>
        </w:rPr>
        <w:t>פחת</w:t>
      </w:r>
      <w:r w:rsidRPr="00701F8D">
        <w:rPr>
          <w:rtl/>
        </w:rPr>
        <w:t xml:space="preserve"> </w:t>
      </w:r>
      <w:r w:rsidRPr="00701F8D">
        <w:rPr>
          <w:rFonts w:hint="eastAsia"/>
          <w:rtl/>
        </w:rPr>
        <w:t>מים</w:t>
      </w:r>
    </w:p>
    <w:p w:rsidR="003D3BEF" w:rsidP="003D3BEF" w14:paraId="339B6E4F" w14:textId="77777777">
      <w:pPr>
        <w:pStyle w:val="a"/>
        <w:rPr>
          <w:rtl/>
        </w:rPr>
      </w:pPr>
    </w:p>
    <w:p w:rsidR="003D3BEF" w:rsidP="003D3BEF" w14:paraId="6CE3A5F0" w14:textId="77777777">
      <w:pPr>
        <w:spacing w:line="269" w:lineRule="auto"/>
        <w:rPr>
          <w:sz w:val="24"/>
          <w:rtl/>
        </w:rPr>
      </w:pPr>
      <w:r>
        <w:rPr>
          <w:rFonts w:hint="cs"/>
          <w:sz w:val="24"/>
          <w:rtl/>
        </w:rPr>
        <w:t xml:space="preserve">פחת מים הוא הפער בין כמות המים הנרכשת (או מופקת) ומוזרמת למערכת לבין כמות המים שהצרכנים מחויבים בה לצורך תשלום. מקורו של פער זה יכול להיות מדלף במערכת המים, ממדידה לא נכונה של צריכת המים ומגניבות מים. </w:t>
      </w:r>
      <w:r w:rsidRPr="00642405">
        <w:rPr>
          <w:rFonts w:hint="cs"/>
          <w:sz w:val="24"/>
          <w:rtl/>
        </w:rPr>
        <w:t>אח</w:t>
      </w:r>
      <w:r>
        <w:rPr>
          <w:rFonts w:hint="cs"/>
          <w:sz w:val="24"/>
          <w:rtl/>
        </w:rPr>
        <w:t xml:space="preserve">ת המטרות המרכזיות שעמדה בבסיס רפורמת התיאגוד היא התמודדות עם פחת המים תוך צמצום הדלף, שיפור במדידת הצריכה והגדלת שיעור החיובים במשק המים והביוב העירוני. המשבר הקשה שפקד את משק המים בשנים האחרונות חידד את הצורך בצמצום פחת המים. להלן השוואת פחת המים הממוצע בפועל ברשויות מקומיות שטרם התאגדו לעומת פחת המים הממוצע בפועל בתאגידים, נכון לשנת 2018: </w:t>
      </w:r>
    </w:p>
    <w:p w:rsidR="003D3BEF" w:rsidP="003D3BEF" w14:paraId="7461CED6" w14:textId="77777777">
      <w:pPr>
        <w:pStyle w:val="a"/>
        <w:spacing w:line="269" w:lineRule="auto"/>
        <w:rPr>
          <w:rtl/>
        </w:rPr>
      </w:pPr>
    </w:p>
    <w:p w:rsidR="003D3BEF" w:rsidP="003D3BEF" w14:paraId="6748E23F" w14:textId="77777777">
      <w:pPr>
        <w:spacing w:line="269" w:lineRule="auto"/>
        <w:jc w:val="center"/>
        <w:rPr>
          <w:b/>
          <w:bCs/>
          <w:noProof/>
          <w:sz w:val="24"/>
          <w:rtl/>
        </w:rPr>
      </w:pPr>
      <w:r w:rsidRPr="00594DBB">
        <w:rPr>
          <w:rFonts w:hint="cs"/>
          <w:b/>
          <w:bCs/>
          <w:sz w:val="24"/>
          <w:rtl/>
        </w:rPr>
        <w:t>תרשים</w:t>
      </w:r>
      <w:r>
        <w:rPr>
          <w:rFonts w:hint="cs"/>
          <w:b/>
          <w:bCs/>
          <w:sz w:val="24"/>
          <w:rtl/>
        </w:rPr>
        <w:t xml:space="preserve"> 13</w:t>
      </w:r>
      <w:r w:rsidRPr="00594DBB">
        <w:rPr>
          <w:rFonts w:hint="cs"/>
          <w:b/>
          <w:bCs/>
          <w:sz w:val="24"/>
          <w:rtl/>
        </w:rPr>
        <w:t xml:space="preserve">: פחת המים </w:t>
      </w:r>
      <w:r>
        <w:rPr>
          <w:rFonts w:hint="cs"/>
          <w:b/>
          <w:bCs/>
          <w:sz w:val="24"/>
          <w:rtl/>
        </w:rPr>
        <w:t xml:space="preserve">הממוצע </w:t>
      </w:r>
      <w:r w:rsidRPr="00594DBB">
        <w:rPr>
          <w:rFonts w:hint="cs"/>
          <w:b/>
          <w:bCs/>
          <w:sz w:val="24"/>
          <w:rtl/>
        </w:rPr>
        <w:t>בפועל</w:t>
      </w:r>
      <w:r>
        <w:rPr>
          <w:rFonts w:hint="cs"/>
          <w:b/>
          <w:bCs/>
          <w:sz w:val="24"/>
          <w:rtl/>
        </w:rPr>
        <w:t>, 2018</w:t>
      </w:r>
      <w:r w:rsidRPr="00594DBB">
        <w:rPr>
          <w:rFonts w:hint="cs"/>
          <w:b/>
          <w:bCs/>
          <w:sz w:val="24"/>
          <w:rtl/>
        </w:rPr>
        <w:t xml:space="preserve"> </w:t>
      </w:r>
    </w:p>
    <w:p w:rsidR="004E485C" w:rsidP="004E485C" w14:paraId="721C8A7D" w14:textId="77777777">
      <w:pPr>
        <w:spacing w:before="120" w:after="120" w:line="269" w:lineRule="auto"/>
        <w:jc w:val="center"/>
        <w:rPr>
          <w:b/>
          <w:bCs/>
          <w:sz w:val="24"/>
        </w:rPr>
      </w:pPr>
      <w:r>
        <w:rPr>
          <w:b/>
          <w:bCs/>
          <w:noProof/>
          <w:sz w:val="24"/>
        </w:rPr>
        <w:drawing>
          <wp:inline distT="0" distB="0" distL="0" distR="0">
            <wp:extent cx="4328169" cy="2377445"/>
            <wp:effectExtent l="0" t="0" r="0" b="3810"/>
            <wp:docPr id="624677543" name="תמונה 62467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8470" name="water-corporations-g-13.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77445"/>
                    </a:xfrm>
                    <a:prstGeom prst="rect">
                      <a:avLst/>
                    </a:prstGeom>
                  </pic:spPr>
                </pic:pic>
              </a:graphicData>
            </a:graphic>
          </wp:inline>
        </w:drawing>
      </w:r>
    </w:p>
    <w:p w:rsidR="003D3BEF" w:rsidRPr="00684E93" w:rsidP="004E485C" w14:paraId="4BF9C410"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47E36DF5" w14:textId="77777777">
      <w:pPr>
        <w:spacing w:line="269" w:lineRule="auto"/>
        <w:rPr>
          <w:b/>
          <w:bCs/>
          <w:sz w:val="24"/>
          <w:rtl/>
        </w:rPr>
      </w:pPr>
    </w:p>
    <w:p w:rsidR="003D3BEF" w:rsidP="003D3BEF" w14:paraId="7AFE292A" w14:textId="77777777">
      <w:pPr>
        <w:spacing w:line="269" w:lineRule="auto"/>
        <w:rPr>
          <w:b/>
          <w:bCs/>
          <w:sz w:val="24"/>
          <w:rtl/>
        </w:rPr>
      </w:pPr>
      <w:r w:rsidRPr="00674FA6">
        <w:rPr>
          <w:rFonts w:hint="eastAsia"/>
          <w:b/>
          <w:bCs/>
          <w:sz w:val="24"/>
          <w:rtl/>
        </w:rPr>
        <w:t>מהתרשים</w:t>
      </w:r>
      <w:r w:rsidRPr="00674FA6">
        <w:rPr>
          <w:b/>
          <w:bCs/>
          <w:sz w:val="24"/>
          <w:rtl/>
        </w:rPr>
        <w:t xml:space="preserve"> עולה כי </w:t>
      </w:r>
      <w:r>
        <w:rPr>
          <w:rFonts w:hint="cs"/>
          <w:b/>
          <w:bCs/>
          <w:sz w:val="24"/>
          <w:rtl/>
        </w:rPr>
        <w:t xml:space="preserve">שיעור </w:t>
      </w:r>
      <w:r w:rsidRPr="00674FA6">
        <w:rPr>
          <w:b/>
          <w:bCs/>
          <w:sz w:val="24"/>
          <w:rtl/>
        </w:rPr>
        <w:t>פחת המים</w:t>
      </w:r>
      <w:r w:rsidRPr="00E0263C">
        <w:rPr>
          <w:rFonts w:hint="eastAsia"/>
          <w:b/>
          <w:bCs/>
          <w:sz w:val="24"/>
          <w:rtl/>
        </w:rPr>
        <w:t xml:space="preserve"> </w:t>
      </w:r>
      <w:r w:rsidRPr="00674FA6">
        <w:rPr>
          <w:rFonts w:hint="eastAsia"/>
          <w:b/>
          <w:bCs/>
          <w:sz w:val="24"/>
          <w:rtl/>
        </w:rPr>
        <w:t>בשנת</w:t>
      </w:r>
      <w:r w:rsidRPr="00674FA6">
        <w:rPr>
          <w:b/>
          <w:bCs/>
          <w:sz w:val="24"/>
          <w:rtl/>
        </w:rPr>
        <w:t xml:space="preserve"> 2018 ברשויות </w:t>
      </w:r>
      <w:r>
        <w:rPr>
          <w:rFonts w:hint="cs"/>
          <w:b/>
          <w:bCs/>
          <w:sz w:val="24"/>
          <w:rtl/>
        </w:rPr>
        <w:t xml:space="preserve">המקומיות </w:t>
      </w:r>
      <w:r w:rsidRPr="00674FA6">
        <w:rPr>
          <w:b/>
          <w:bCs/>
          <w:sz w:val="24"/>
          <w:rtl/>
        </w:rPr>
        <w:t xml:space="preserve">שטרם התאגדו </w:t>
      </w:r>
      <w:r w:rsidRPr="00674FA6">
        <w:rPr>
          <w:rFonts w:hint="eastAsia"/>
          <w:b/>
          <w:bCs/>
          <w:sz w:val="24"/>
          <w:rtl/>
        </w:rPr>
        <w:t>היה</w:t>
      </w:r>
      <w:r w:rsidRPr="00674FA6">
        <w:rPr>
          <w:b/>
          <w:bCs/>
          <w:sz w:val="24"/>
          <w:rtl/>
        </w:rPr>
        <w:t xml:space="preserve"> </w:t>
      </w:r>
      <w:r w:rsidRPr="00674FA6">
        <w:rPr>
          <w:rFonts w:hint="eastAsia"/>
          <w:b/>
          <w:bCs/>
          <w:sz w:val="24"/>
          <w:rtl/>
        </w:rPr>
        <w:t>גבוה</w:t>
      </w:r>
      <w:r w:rsidRPr="00674FA6">
        <w:rPr>
          <w:b/>
          <w:bCs/>
          <w:sz w:val="24"/>
          <w:rtl/>
        </w:rPr>
        <w:t xml:space="preserve"> </w:t>
      </w:r>
      <w:r w:rsidRPr="00674FA6">
        <w:rPr>
          <w:rFonts w:hint="eastAsia"/>
          <w:b/>
          <w:bCs/>
          <w:sz w:val="24"/>
          <w:rtl/>
        </w:rPr>
        <w:t>בכ</w:t>
      </w:r>
      <w:r w:rsidRPr="00674FA6">
        <w:rPr>
          <w:b/>
          <w:bCs/>
          <w:sz w:val="24"/>
          <w:rtl/>
        </w:rPr>
        <w:t>-2.4%</w:t>
      </w:r>
      <w:r>
        <w:rPr>
          <w:rFonts w:hint="cs"/>
          <w:b/>
          <w:bCs/>
          <w:sz w:val="24"/>
          <w:rtl/>
        </w:rPr>
        <w:t xml:space="preserve"> </w:t>
      </w:r>
      <w:r w:rsidRPr="00674FA6">
        <w:rPr>
          <w:rFonts w:hint="eastAsia"/>
          <w:b/>
          <w:bCs/>
          <w:sz w:val="24"/>
          <w:rtl/>
        </w:rPr>
        <w:t>מ</w:t>
      </w:r>
      <w:r>
        <w:rPr>
          <w:rFonts w:hint="cs"/>
          <w:b/>
          <w:bCs/>
          <w:sz w:val="24"/>
          <w:rtl/>
        </w:rPr>
        <w:t xml:space="preserve">שיעור </w:t>
      </w:r>
      <w:r w:rsidRPr="00674FA6">
        <w:rPr>
          <w:rFonts w:hint="eastAsia"/>
          <w:b/>
          <w:bCs/>
          <w:sz w:val="24"/>
          <w:rtl/>
        </w:rPr>
        <w:t>פחת</w:t>
      </w:r>
      <w:r w:rsidRPr="00674FA6">
        <w:rPr>
          <w:b/>
          <w:bCs/>
          <w:sz w:val="24"/>
          <w:rtl/>
        </w:rPr>
        <w:t xml:space="preserve"> </w:t>
      </w:r>
      <w:r w:rsidRPr="00674FA6">
        <w:rPr>
          <w:rFonts w:hint="eastAsia"/>
          <w:b/>
          <w:bCs/>
          <w:sz w:val="24"/>
          <w:rtl/>
        </w:rPr>
        <w:t>המים</w:t>
      </w:r>
      <w:r w:rsidRPr="00674FA6">
        <w:rPr>
          <w:b/>
          <w:bCs/>
          <w:sz w:val="24"/>
          <w:rtl/>
        </w:rPr>
        <w:t xml:space="preserve"> </w:t>
      </w:r>
      <w:r>
        <w:rPr>
          <w:rFonts w:hint="cs"/>
          <w:b/>
          <w:bCs/>
          <w:sz w:val="24"/>
          <w:rtl/>
        </w:rPr>
        <w:t xml:space="preserve">הממוצע </w:t>
      </w:r>
      <w:r w:rsidRPr="00674FA6">
        <w:rPr>
          <w:rFonts w:hint="eastAsia"/>
          <w:b/>
          <w:bCs/>
          <w:sz w:val="24"/>
          <w:rtl/>
        </w:rPr>
        <w:t>בתאגידים</w:t>
      </w:r>
      <w:r w:rsidRPr="00674FA6">
        <w:rPr>
          <w:b/>
          <w:bCs/>
          <w:sz w:val="24"/>
          <w:rtl/>
        </w:rPr>
        <w:t xml:space="preserve">. </w:t>
      </w:r>
    </w:p>
    <w:p w:rsidR="003D3BEF" w:rsidRPr="00674FA6" w:rsidP="003D3BEF" w14:paraId="037E364F" w14:textId="77777777">
      <w:pPr>
        <w:pStyle w:val="a"/>
        <w:spacing w:line="269" w:lineRule="auto"/>
        <w:rPr>
          <w:rtl/>
        </w:rPr>
      </w:pPr>
    </w:p>
    <w:p w:rsidR="003D3BEF" w:rsidP="003D3BEF" w14:paraId="1BF62687" w14:textId="77777777">
      <w:pPr>
        <w:spacing w:line="269" w:lineRule="auto"/>
        <w:rPr>
          <w:sz w:val="24"/>
          <w:rtl/>
        </w:rPr>
      </w:pPr>
      <w:r>
        <w:rPr>
          <w:rFonts w:hint="cs"/>
          <w:sz w:val="24"/>
          <w:rtl/>
        </w:rPr>
        <w:t>כאמור, נורמות פחת המים משקפות את עלות פחת המים המוכרת בתעריף. להלן טבלה המסכמת את התפתחות נורמות פחת המים בתקופה 2019-2010 עבור התאגידים:</w:t>
      </w:r>
    </w:p>
    <w:p w:rsidR="003D3BEF" w:rsidP="003D3BEF" w14:paraId="4D30DADD" w14:textId="77777777">
      <w:pPr>
        <w:spacing w:line="269" w:lineRule="auto"/>
        <w:ind w:left="-568"/>
        <w:rPr>
          <w:szCs w:val="20"/>
          <w:rtl/>
        </w:rPr>
      </w:pPr>
    </w:p>
    <w:p w:rsidR="003D3BEF" w:rsidRPr="00FB6894" w:rsidP="00410CC2" w14:paraId="6649379C" w14:textId="77777777">
      <w:pPr>
        <w:spacing w:after="120" w:line="269" w:lineRule="auto"/>
        <w:ind w:left="85"/>
        <w:jc w:val="center"/>
        <w:rPr>
          <w:b/>
          <w:bCs/>
          <w:sz w:val="24"/>
          <w:rtl/>
        </w:rPr>
      </w:pPr>
      <w:r>
        <w:rPr>
          <w:rFonts w:hint="cs"/>
          <w:b/>
          <w:bCs/>
          <w:sz w:val="24"/>
          <w:rtl/>
        </w:rPr>
        <w:t>לוח</w:t>
      </w:r>
      <w:r w:rsidRPr="00594DBB">
        <w:rPr>
          <w:rFonts w:hint="cs"/>
          <w:b/>
          <w:bCs/>
          <w:sz w:val="24"/>
          <w:rtl/>
        </w:rPr>
        <w:t xml:space="preserve"> </w:t>
      </w:r>
      <w:r>
        <w:rPr>
          <w:rFonts w:hint="cs"/>
          <w:b/>
          <w:bCs/>
          <w:sz w:val="24"/>
          <w:rtl/>
        </w:rPr>
        <w:t>3</w:t>
      </w:r>
      <w:r w:rsidRPr="00594DBB">
        <w:rPr>
          <w:rFonts w:hint="cs"/>
          <w:b/>
          <w:bCs/>
          <w:sz w:val="24"/>
          <w:rtl/>
        </w:rPr>
        <w:t xml:space="preserve">: </w:t>
      </w:r>
      <w:r>
        <w:rPr>
          <w:rFonts w:hint="cs"/>
          <w:b/>
          <w:bCs/>
          <w:sz w:val="24"/>
          <w:rtl/>
        </w:rPr>
        <w:t>השינויים בשיעור פחת המים המוכר</w:t>
      </w:r>
      <w:r w:rsidRPr="00594DBB">
        <w:rPr>
          <w:rFonts w:hint="cs"/>
          <w:b/>
          <w:bCs/>
          <w:sz w:val="24"/>
          <w:rtl/>
        </w:rPr>
        <w:t xml:space="preserve"> לתאגידים </w:t>
      </w:r>
      <w:r>
        <w:rPr>
          <w:rFonts w:hint="cs"/>
          <w:b/>
          <w:bCs/>
          <w:sz w:val="24"/>
          <w:rtl/>
        </w:rPr>
        <w:t>שנקבע בכללי חישוב העלות ושחל בשנת 2011 אל מול שיעורו בשנת 2018</w:t>
      </w:r>
    </w:p>
    <w:tbl>
      <w:tblPr>
        <w:tblStyle w:val="TableGrid"/>
        <w:bidiVisual/>
        <w:tblW w:w="0" w:type="auto"/>
        <w:jc w:val="center"/>
        <w:tblLook w:val="04A0"/>
      </w:tblPr>
      <w:tblGrid>
        <w:gridCol w:w="1610"/>
        <w:gridCol w:w="2895"/>
        <w:gridCol w:w="2835"/>
      </w:tblGrid>
      <w:tr w14:paraId="0F1A013F" w14:textId="77777777" w:rsidTr="00410CC2">
        <w:tblPrEx>
          <w:tblW w:w="0" w:type="auto"/>
          <w:jc w:val="center"/>
          <w:tblLook w:val="04A0"/>
        </w:tblPrEx>
        <w:trPr>
          <w:trHeight w:val="407"/>
          <w:jc w:val="center"/>
        </w:trPr>
        <w:tc>
          <w:tcPr>
            <w:tcW w:w="1610" w:type="dxa"/>
            <w:vAlign w:val="center"/>
          </w:tcPr>
          <w:p w:rsidR="003D3BEF" w:rsidRPr="00410CC2" w:rsidP="00282624" w14:paraId="21E74805" w14:textId="77777777">
            <w:pPr>
              <w:spacing w:before="80" w:after="80" w:line="240" w:lineRule="exact"/>
              <w:jc w:val="left"/>
              <w:rPr>
                <w:b/>
                <w:bCs/>
                <w:sz w:val="24"/>
                <w:rtl/>
              </w:rPr>
            </w:pPr>
            <w:r w:rsidRPr="00410CC2">
              <w:rPr>
                <w:rFonts w:hint="cs"/>
                <w:b/>
                <w:bCs/>
                <w:sz w:val="24"/>
                <w:rtl/>
              </w:rPr>
              <w:t>סוג התאגיד</w:t>
            </w:r>
            <w:r>
              <w:rPr>
                <w:rStyle w:val="FootnoteReference"/>
                <w:b/>
                <w:bCs/>
                <w:sz w:val="24"/>
                <w:rtl/>
              </w:rPr>
              <w:footnoteReference w:id="43"/>
            </w:r>
          </w:p>
        </w:tc>
        <w:tc>
          <w:tcPr>
            <w:tcW w:w="2895" w:type="dxa"/>
            <w:vAlign w:val="center"/>
          </w:tcPr>
          <w:p w:rsidR="003D3BEF" w:rsidRPr="00410CC2" w:rsidP="00282624" w14:paraId="40C2B452" w14:textId="77777777">
            <w:pPr>
              <w:spacing w:before="80" w:after="80" w:line="240" w:lineRule="exact"/>
              <w:jc w:val="left"/>
              <w:rPr>
                <w:b/>
                <w:bCs/>
                <w:sz w:val="24"/>
                <w:rtl/>
              </w:rPr>
            </w:pPr>
            <w:r w:rsidRPr="00410CC2">
              <w:rPr>
                <w:rFonts w:hint="cs"/>
                <w:b/>
                <w:bCs/>
                <w:sz w:val="24"/>
                <w:rtl/>
              </w:rPr>
              <w:t>נורמות פחת מים בשנת 2011</w:t>
            </w:r>
            <w:r>
              <w:rPr>
                <w:rStyle w:val="FootnoteReference"/>
                <w:sz w:val="24"/>
                <w:rtl/>
              </w:rPr>
              <w:footnoteReference w:id="44"/>
            </w:r>
          </w:p>
        </w:tc>
        <w:tc>
          <w:tcPr>
            <w:tcW w:w="2835" w:type="dxa"/>
            <w:vAlign w:val="center"/>
          </w:tcPr>
          <w:p w:rsidR="003D3BEF" w:rsidRPr="00410CC2" w:rsidP="00282624" w14:paraId="088C72BA" w14:textId="77777777">
            <w:pPr>
              <w:spacing w:before="80" w:after="80" w:line="240" w:lineRule="exact"/>
              <w:jc w:val="left"/>
              <w:rPr>
                <w:b/>
                <w:bCs/>
                <w:sz w:val="24"/>
                <w:rtl/>
              </w:rPr>
            </w:pPr>
            <w:r w:rsidRPr="00410CC2">
              <w:rPr>
                <w:rFonts w:hint="cs"/>
                <w:b/>
                <w:bCs/>
                <w:sz w:val="24"/>
                <w:rtl/>
              </w:rPr>
              <w:t>נורמות פחת מים ביולי 2018</w:t>
            </w:r>
            <w:r>
              <w:rPr>
                <w:rStyle w:val="FootnoteReference"/>
                <w:sz w:val="24"/>
                <w:rtl/>
              </w:rPr>
              <w:footnoteReference w:id="45"/>
            </w:r>
          </w:p>
        </w:tc>
      </w:tr>
      <w:tr w14:paraId="240DB608" w14:textId="77777777" w:rsidTr="00410CC2">
        <w:tblPrEx>
          <w:tblW w:w="0" w:type="auto"/>
          <w:jc w:val="center"/>
          <w:tblLook w:val="04A0"/>
        </w:tblPrEx>
        <w:trPr>
          <w:trHeight w:val="363"/>
          <w:jc w:val="center"/>
        </w:trPr>
        <w:tc>
          <w:tcPr>
            <w:tcW w:w="1610" w:type="dxa"/>
            <w:vAlign w:val="bottom"/>
          </w:tcPr>
          <w:p w:rsidR="003D3BEF" w:rsidRPr="004E485C" w:rsidP="00282624" w14:paraId="73AE7FC9" w14:textId="77777777">
            <w:pPr>
              <w:spacing w:before="80" w:after="80" w:line="240" w:lineRule="exact"/>
              <w:jc w:val="left"/>
              <w:rPr>
                <w:b/>
                <w:bCs/>
                <w:sz w:val="22"/>
                <w:szCs w:val="22"/>
                <w:rtl/>
              </w:rPr>
            </w:pPr>
            <w:r w:rsidRPr="004E485C">
              <w:rPr>
                <w:rFonts w:hint="cs"/>
                <w:b/>
                <w:bCs/>
                <w:sz w:val="22"/>
                <w:szCs w:val="22"/>
                <w:rtl/>
              </w:rPr>
              <w:t>חלש חד-רשותי</w:t>
            </w:r>
          </w:p>
        </w:tc>
        <w:tc>
          <w:tcPr>
            <w:tcW w:w="2895" w:type="dxa"/>
            <w:vAlign w:val="bottom"/>
          </w:tcPr>
          <w:p w:rsidR="003D3BEF" w:rsidRPr="004E485C" w:rsidP="00282624" w14:paraId="0869412D" w14:textId="77777777">
            <w:pPr>
              <w:spacing w:before="80" w:after="80" w:line="240" w:lineRule="exact"/>
              <w:jc w:val="center"/>
              <w:rPr>
                <w:sz w:val="22"/>
                <w:szCs w:val="22"/>
                <w:rtl/>
              </w:rPr>
            </w:pPr>
            <w:r w:rsidRPr="004E485C">
              <w:rPr>
                <w:rFonts w:hint="cs"/>
                <w:sz w:val="22"/>
                <w:szCs w:val="22"/>
                <w:rtl/>
              </w:rPr>
              <w:t>13.25%</w:t>
            </w:r>
          </w:p>
        </w:tc>
        <w:tc>
          <w:tcPr>
            <w:tcW w:w="2835" w:type="dxa"/>
            <w:vAlign w:val="bottom"/>
          </w:tcPr>
          <w:p w:rsidR="003D3BEF" w:rsidRPr="004E485C" w:rsidP="00282624" w14:paraId="48F61844" w14:textId="77777777">
            <w:pPr>
              <w:spacing w:before="80" w:after="80" w:line="240" w:lineRule="exact"/>
              <w:jc w:val="center"/>
              <w:rPr>
                <w:sz w:val="22"/>
                <w:szCs w:val="22"/>
                <w:rtl/>
              </w:rPr>
            </w:pPr>
            <w:r w:rsidRPr="004E485C">
              <w:rPr>
                <w:rFonts w:hint="cs"/>
                <w:sz w:val="22"/>
                <w:szCs w:val="22"/>
                <w:rtl/>
              </w:rPr>
              <w:t>10%</w:t>
            </w:r>
          </w:p>
        </w:tc>
      </w:tr>
      <w:tr w14:paraId="64C9908E" w14:textId="77777777" w:rsidTr="00410CC2">
        <w:tblPrEx>
          <w:tblW w:w="0" w:type="auto"/>
          <w:jc w:val="center"/>
          <w:tblLook w:val="04A0"/>
        </w:tblPrEx>
        <w:trPr>
          <w:trHeight w:val="373"/>
          <w:jc w:val="center"/>
        </w:trPr>
        <w:tc>
          <w:tcPr>
            <w:tcW w:w="1610" w:type="dxa"/>
            <w:vAlign w:val="bottom"/>
          </w:tcPr>
          <w:p w:rsidR="003D3BEF" w:rsidRPr="004E485C" w:rsidP="00282624" w14:paraId="3D0D15C4" w14:textId="77777777">
            <w:pPr>
              <w:spacing w:before="80" w:after="80" w:line="240" w:lineRule="exact"/>
              <w:jc w:val="left"/>
              <w:rPr>
                <w:b/>
                <w:bCs/>
                <w:sz w:val="22"/>
                <w:szCs w:val="22"/>
                <w:rtl/>
              </w:rPr>
            </w:pPr>
            <w:r w:rsidRPr="004E485C">
              <w:rPr>
                <w:rFonts w:hint="cs"/>
                <w:b/>
                <w:bCs/>
                <w:sz w:val="22"/>
                <w:szCs w:val="22"/>
                <w:rtl/>
              </w:rPr>
              <w:t>חלש רב-רשותי</w:t>
            </w:r>
          </w:p>
        </w:tc>
        <w:tc>
          <w:tcPr>
            <w:tcW w:w="2895" w:type="dxa"/>
            <w:vAlign w:val="bottom"/>
          </w:tcPr>
          <w:p w:rsidR="003D3BEF" w:rsidRPr="004E485C" w:rsidP="00282624" w14:paraId="3A08D745" w14:textId="77777777">
            <w:pPr>
              <w:spacing w:before="80" w:after="80" w:line="240" w:lineRule="exact"/>
              <w:jc w:val="center"/>
              <w:rPr>
                <w:sz w:val="22"/>
                <w:szCs w:val="22"/>
                <w:rtl/>
              </w:rPr>
            </w:pPr>
            <w:r w:rsidRPr="004E485C">
              <w:rPr>
                <w:rFonts w:hint="cs"/>
                <w:sz w:val="22"/>
                <w:szCs w:val="22"/>
                <w:rtl/>
              </w:rPr>
              <w:t>13.25%</w:t>
            </w:r>
          </w:p>
        </w:tc>
        <w:tc>
          <w:tcPr>
            <w:tcW w:w="2835" w:type="dxa"/>
            <w:vAlign w:val="bottom"/>
          </w:tcPr>
          <w:p w:rsidR="003D3BEF" w:rsidRPr="004E485C" w:rsidP="00282624" w14:paraId="00374E75" w14:textId="77777777">
            <w:pPr>
              <w:spacing w:before="80" w:after="80" w:line="240" w:lineRule="exact"/>
              <w:jc w:val="center"/>
              <w:rPr>
                <w:sz w:val="22"/>
                <w:szCs w:val="22"/>
                <w:rtl/>
              </w:rPr>
            </w:pPr>
            <w:r w:rsidRPr="004E485C">
              <w:rPr>
                <w:rFonts w:hint="cs"/>
                <w:sz w:val="22"/>
                <w:szCs w:val="22"/>
                <w:rtl/>
              </w:rPr>
              <w:t>9.5%</w:t>
            </w:r>
          </w:p>
        </w:tc>
      </w:tr>
      <w:tr w14:paraId="7E5FE8AF" w14:textId="77777777" w:rsidTr="00410CC2">
        <w:tblPrEx>
          <w:tblW w:w="0" w:type="auto"/>
          <w:jc w:val="center"/>
          <w:tblLook w:val="04A0"/>
        </w:tblPrEx>
        <w:trPr>
          <w:trHeight w:val="363"/>
          <w:jc w:val="center"/>
        </w:trPr>
        <w:tc>
          <w:tcPr>
            <w:tcW w:w="1610" w:type="dxa"/>
            <w:vAlign w:val="bottom"/>
          </w:tcPr>
          <w:p w:rsidR="003D3BEF" w:rsidRPr="004E485C" w:rsidP="00282624" w14:paraId="23BB7E51" w14:textId="77777777">
            <w:pPr>
              <w:spacing w:before="80" w:after="80" w:line="240" w:lineRule="exact"/>
              <w:jc w:val="left"/>
              <w:rPr>
                <w:b/>
                <w:bCs/>
                <w:sz w:val="22"/>
                <w:szCs w:val="22"/>
                <w:rtl/>
              </w:rPr>
            </w:pPr>
            <w:r w:rsidRPr="004E485C">
              <w:rPr>
                <w:rFonts w:hint="cs"/>
                <w:b/>
                <w:bCs/>
                <w:sz w:val="22"/>
                <w:szCs w:val="22"/>
                <w:rtl/>
              </w:rPr>
              <w:t>בינוני או חזק</w:t>
            </w:r>
          </w:p>
        </w:tc>
        <w:tc>
          <w:tcPr>
            <w:tcW w:w="2895" w:type="dxa"/>
            <w:vAlign w:val="bottom"/>
          </w:tcPr>
          <w:p w:rsidR="003D3BEF" w:rsidRPr="004E485C" w:rsidP="00282624" w14:paraId="6AE9AC69" w14:textId="77777777">
            <w:pPr>
              <w:spacing w:before="80" w:after="80" w:line="240" w:lineRule="exact"/>
              <w:jc w:val="center"/>
              <w:rPr>
                <w:sz w:val="22"/>
                <w:szCs w:val="22"/>
                <w:rtl/>
              </w:rPr>
            </w:pPr>
            <w:r w:rsidRPr="004E485C">
              <w:rPr>
                <w:rFonts w:hint="cs"/>
                <w:sz w:val="22"/>
                <w:szCs w:val="22"/>
                <w:rtl/>
              </w:rPr>
              <w:t>8.75%</w:t>
            </w:r>
          </w:p>
        </w:tc>
        <w:tc>
          <w:tcPr>
            <w:tcW w:w="2835" w:type="dxa"/>
            <w:vAlign w:val="bottom"/>
          </w:tcPr>
          <w:p w:rsidR="003D3BEF" w:rsidRPr="004E485C" w:rsidP="00282624" w14:paraId="218820D2" w14:textId="77777777">
            <w:pPr>
              <w:spacing w:before="80" w:after="80" w:line="240" w:lineRule="exact"/>
              <w:jc w:val="center"/>
              <w:rPr>
                <w:sz w:val="22"/>
                <w:szCs w:val="22"/>
                <w:rtl/>
              </w:rPr>
            </w:pPr>
            <w:r w:rsidRPr="004E485C">
              <w:rPr>
                <w:rFonts w:hint="cs"/>
                <w:sz w:val="22"/>
                <w:szCs w:val="22"/>
                <w:rtl/>
              </w:rPr>
              <w:t>7%</w:t>
            </w:r>
          </w:p>
        </w:tc>
      </w:tr>
    </w:tbl>
    <w:p w:rsidR="003D3BEF" w:rsidP="003D3BEF" w14:paraId="406E7DF5" w14:textId="77777777">
      <w:pPr>
        <w:pStyle w:val="a"/>
        <w:spacing w:line="269" w:lineRule="auto"/>
        <w:rPr>
          <w:rtl/>
        </w:rPr>
      </w:pPr>
    </w:p>
    <w:p w:rsidR="003D3BEF" w:rsidP="003D3BEF" w14:paraId="69E2E78F" w14:textId="77777777">
      <w:pPr>
        <w:spacing w:line="269" w:lineRule="auto"/>
        <w:rPr>
          <w:sz w:val="24"/>
          <w:rtl/>
        </w:rPr>
      </w:pPr>
      <w:r>
        <w:rPr>
          <w:rFonts w:hint="cs"/>
          <w:sz w:val="24"/>
          <w:rtl/>
        </w:rPr>
        <w:t>משרד מבקר המדינה בדק את השינויים בפחת המים בפועל בשנים 2011 ו-2018 עבור כל אחד מאשכולות התאגידים.</w:t>
      </w:r>
    </w:p>
    <w:p w:rsidR="003D3BEF" w:rsidP="003D3BEF" w14:paraId="40DA44B2" w14:textId="77777777">
      <w:pPr>
        <w:spacing w:line="269" w:lineRule="auto"/>
        <w:rPr>
          <w:sz w:val="24"/>
          <w:rtl/>
        </w:rPr>
      </w:pPr>
    </w:p>
    <w:p w:rsidR="003D3BEF" w:rsidRPr="00594DBB" w:rsidP="003D3BEF" w14:paraId="108A4226" w14:textId="77777777">
      <w:pPr>
        <w:spacing w:line="269" w:lineRule="auto"/>
        <w:rPr>
          <w:b/>
          <w:bCs/>
          <w:sz w:val="24"/>
          <w:rtl/>
        </w:rPr>
      </w:pPr>
      <w:r w:rsidRPr="00905D39">
        <w:rPr>
          <w:rFonts w:hint="cs"/>
          <w:b/>
          <w:bCs/>
          <w:sz w:val="24"/>
          <w:rtl/>
        </w:rPr>
        <w:t>תרשים 1</w:t>
      </w:r>
      <w:r>
        <w:rPr>
          <w:rFonts w:hint="cs"/>
          <w:b/>
          <w:bCs/>
          <w:sz w:val="24"/>
          <w:rtl/>
        </w:rPr>
        <w:t>4</w:t>
      </w:r>
      <w:r w:rsidRPr="00905D39">
        <w:rPr>
          <w:rFonts w:hint="cs"/>
          <w:b/>
          <w:bCs/>
          <w:sz w:val="24"/>
          <w:rtl/>
        </w:rPr>
        <w:t xml:space="preserve">: ממוצע פחת מים בפועל בתאגידים בשנים 2011 ו-2018 אל מול </w:t>
      </w:r>
      <w:r w:rsidRPr="00905D39">
        <w:rPr>
          <w:rFonts w:hint="eastAsia"/>
          <w:b/>
          <w:bCs/>
          <w:sz w:val="24"/>
          <w:rtl/>
        </w:rPr>
        <w:t>ממוצע</w:t>
      </w:r>
      <w:r w:rsidRPr="00905D39">
        <w:rPr>
          <w:rFonts w:hint="cs"/>
          <w:b/>
          <w:bCs/>
          <w:sz w:val="24"/>
          <w:rtl/>
        </w:rPr>
        <w:t xml:space="preserve"> נורמות פחת המים לשנים 2011 ו-2018</w:t>
      </w:r>
      <w:r>
        <w:rPr>
          <w:rFonts w:hint="cs"/>
          <w:b/>
          <w:bCs/>
          <w:sz w:val="24"/>
          <w:rtl/>
        </w:rPr>
        <w:t xml:space="preserve"> </w:t>
      </w:r>
      <w:r w:rsidRPr="00905D39">
        <w:rPr>
          <w:rFonts w:hint="cs"/>
          <w:b/>
          <w:bCs/>
          <w:sz w:val="24"/>
          <w:rtl/>
        </w:rPr>
        <w:t>בהתאם לפילוח שקבעה הרשות לצורך קביעת הנורמות (באחוזים).</w:t>
      </w:r>
    </w:p>
    <w:p w:rsidR="003D3BEF" w:rsidP="00410CC2" w14:paraId="23186B59" w14:textId="77777777">
      <w:pPr>
        <w:tabs>
          <w:tab w:val="left" w:pos="1156"/>
        </w:tabs>
        <w:spacing w:before="120" w:after="120" w:line="269" w:lineRule="auto"/>
        <w:jc w:val="center"/>
        <w:rPr>
          <w:sz w:val="24"/>
          <w:rtl/>
        </w:rPr>
      </w:pPr>
      <w:r>
        <w:rPr>
          <w:noProof/>
          <w:sz w:val="24"/>
          <w:rtl/>
        </w:rPr>
        <w:drawing>
          <wp:inline distT="0" distB="0" distL="0" distR="0">
            <wp:extent cx="4325121" cy="2286005"/>
            <wp:effectExtent l="0" t="0" r="0" b="0"/>
            <wp:docPr id="624677544" name="תמונה 62467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54178" name="water-corporations-g-14.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86005"/>
                    </a:xfrm>
                    <a:prstGeom prst="rect">
                      <a:avLst/>
                    </a:prstGeom>
                  </pic:spPr>
                </pic:pic>
              </a:graphicData>
            </a:graphic>
          </wp:inline>
        </w:drawing>
      </w:r>
    </w:p>
    <w:p w:rsidR="003D3BEF" w:rsidRPr="00684E93" w:rsidP="00410CC2" w14:paraId="7ADAEA01"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2E6BAE" w:rsidP="003D3BEF" w14:paraId="3B501CCD" w14:textId="77777777">
      <w:pPr>
        <w:pStyle w:val="a"/>
        <w:spacing w:line="269" w:lineRule="auto"/>
        <w:rPr>
          <w:rtl/>
        </w:rPr>
      </w:pPr>
    </w:p>
    <w:p w:rsidR="003D3BEF" w:rsidP="003D3BEF" w14:paraId="0B6DC8CE" w14:textId="77777777">
      <w:pPr>
        <w:spacing w:line="269" w:lineRule="auto"/>
        <w:rPr>
          <w:sz w:val="24"/>
          <w:rtl/>
        </w:rPr>
      </w:pPr>
      <w:r w:rsidRPr="004C737B">
        <w:rPr>
          <w:rFonts w:hint="cs"/>
          <w:sz w:val="24"/>
          <w:rtl/>
        </w:rPr>
        <w:t>מ</w:t>
      </w:r>
      <w:r>
        <w:rPr>
          <w:rFonts w:hint="cs"/>
          <w:sz w:val="24"/>
          <w:rtl/>
        </w:rPr>
        <w:t>ה</w:t>
      </w:r>
      <w:r w:rsidRPr="004C737B">
        <w:rPr>
          <w:rFonts w:hint="cs"/>
          <w:sz w:val="24"/>
          <w:rtl/>
        </w:rPr>
        <w:t>תרשים</w:t>
      </w:r>
      <w:r>
        <w:rPr>
          <w:rFonts w:hint="cs"/>
          <w:sz w:val="24"/>
          <w:rtl/>
        </w:rPr>
        <w:t xml:space="preserve"> עולה כי בכל אשכול תאגידים חלה </w:t>
      </w:r>
      <w:r w:rsidRPr="008905E8">
        <w:rPr>
          <w:rFonts w:hint="cs"/>
          <w:sz w:val="24"/>
          <w:rtl/>
        </w:rPr>
        <w:t>ב</w:t>
      </w:r>
      <w:r w:rsidRPr="008905E8">
        <w:rPr>
          <w:rFonts w:hint="eastAsia"/>
          <w:sz w:val="24"/>
          <w:rtl/>
        </w:rPr>
        <w:t>ממוצע</w:t>
      </w:r>
      <w:r>
        <w:rPr>
          <w:rFonts w:hint="cs"/>
          <w:sz w:val="24"/>
          <w:rtl/>
        </w:rPr>
        <w:t xml:space="preserve"> ירידה בין פחת המים בפועל בשנת 2011 לפחת המים בפועל בשנת 2018. </w:t>
      </w:r>
      <w:r w:rsidRPr="00D64705">
        <w:rPr>
          <w:sz w:val="24"/>
          <w:rtl/>
        </w:rPr>
        <w:t>ממוצע פחת המים בקרב סך התאגידים לשנת 2011 עמד על 14.54%. סך החיסכון שהושג בגין הירידה בפחת המים הממוצע בשנים 2018-2011 ומסתכם</w:t>
      </w:r>
      <w:r>
        <w:rPr>
          <w:sz w:val="24"/>
          <w:rtl/>
        </w:rPr>
        <w:t xml:space="preserve"> </w:t>
      </w:r>
      <w:r w:rsidRPr="00D64705">
        <w:rPr>
          <w:sz w:val="24"/>
          <w:rtl/>
        </w:rPr>
        <w:t>בכ-</w:t>
      </w:r>
      <w:r>
        <w:rPr>
          <w:rFonts w:hint="cs"/>
          <w:sz w:val="24"/>
          <w:rtl/>
        </w:rPr>
        <w:t>203</w:t>
      </w:r>
      <w:r w:rsidRPr="00D64705">
        <w:rPr>
          <w:sz w:val="24"/>
          <w:rtl/>
        </w:rPr>
        <w:t xml:space="preserve"> מיליון ש"ח לשנת</w:t>
      </w:r>
      <w:r>
        <w:rPr>
          <w:sz w:val="24"/>
          <w:rtl/>
        </w:rPr>
        <w:t xml:space="preserve"> </w:t>
      </w:r>
      <w:r w:rsidRPr="00D64705">
        <w:rPr>
          <w:sz w:val="24"/>
          <w:rtl/>
        </w:rPr>
        <w:t>2018</w:t>
      </w:r>
      <w:r>
        <w:rPr>
          <w:rStyle w:val="FootnoteReference"/>
          <w:sz w:val="24"/>
          <w:rtl/>
        </w:rPr>
        <w:footnoteReference w:id="46"/>
      </w:r>
      <w:r>
        <w:rPr>
          <w:rFonts w:hint="cs"/>
          <w:sz w:val="24"/>
          <w:rtl/>
        </w:rPr>
        <w:t>. ממוצע פחת המים בפועל בתאגידים הבינוניים והחזקים תואם במידה רבה את הנורמה לשנת 2018,</w:t>
      </w:r>
      <w:r w:rsidRPr="00D617E4">
        <w:rPr>
          <w:rFonts w:hint="cs"/>
          <w:sz w:val="24"/>
          <w:rtl/>
        </w:rPr>
        <w:t xml:space="preserve"> </w:t>
      </w:r>
      <w:r>
        <w:rPr>
          <w:rFonts w:hint="cs"/>
          <w:sz w:val="24"/>
          <w:rtl/>
        </w:rPr>
        <w:t xml:space="preserve">וגם אם חלק מתאגידים אלה חורגים מהנורמה - אין מדובר בחריגה משמעותית. </w:t>
      </w:r>
      <w:r w:rsidRPr="00D617E4">
        <w:rPr>
          <w:rFonts w:hint="cs"/>
          <w:sz w:val="24"/>
          <w:rtl/>
        </w:rPr>
        <w:t>עם זאת, כל 15 התאגידים החלשים שהם רב</w:t>
      </w:r>
      <w:r>
        <w:rPr>
          <w:rFonts w:hint="cs"/>
          <w:sz w:val="24"/>
          <w:rtl/>
        </w:rPr>
        <w:t>-</w:t>
      </w:r>
      <w:r w:rsidRPr="00D617E4">
        <w:rPr>
          <w:rFonts w:hint="cs"/>
          <w:sz w:val="24"/>
          <w:rtl/>
        </w:rPr>
        <w:t>רשותיים חורגים באופן משמעותי מנורמת פחת המים שקבעה רשות המים</w:t>
      </w:r>
      <w:r>
        <w:rPr>
          <w:rFonts w:hint="cs"/>
          <w:sz w:val="24"/>
          <w:rtl/>
        </w:rPr>
        <w:t xml:space="preserve">. בתאגידים החלשים החד-רשותיים ממוצע הפחת בפועל נמוך </w:t>
      </w:r>
      <w:r w:rsidRPr="00B70DE1">
        <w:rPr>
          <w:rFonts w:hint="cs"/>
          <w:sz w:val="24"/>
          <w:rtl/>
        </w:rPr>
        <w:t>מהנורמה</w:t>
      </w:r>
      <w:r>
        <w:rPr>
          <w:rFonts w:hint="cs"/>
          <w:sz w:val="24"/>
          <w:rtl/>
        </w:rPr>
        <w:t xml:space="preserve">. </w:t>
      </w:r>
    </w:p>
    <w:p w:rsidR="003D3BEF" w:rsidP="003D3BEF" w14:paraId="0DBD42A2" w14:textId="77777777">
      <w:pPr>
        <w:pStyle w:val="a"/>
        <w:spacing w:line="269" w:lineRule="auto"/>
        <w:rPr>
          <w:rtl/>
        </w:rPr>
      </w:pPr>
    </w:p>
    <w:p w:rsidR="003D3BEF" w:rsidP="003D3BEF" w14:paraId="30B1F261" w14:textId="77777777">
      <w:pPr>
        <w:spacing w:line="269" w:lineRule="auto"/>
        <w:rPr>
          <w:b/>
          <w:bCs/>
          <w:sz w:val="24"/>
          <w:rtl/>
        </w:rPr>
      </w:pPr>
      <w:r>
        <w:rPr>
          <w:rFonts w:hint="cs"/>
          <w:b/>
          <w:bCs/>
          <w:sz w:val="24"/>
          <w:rtl/>
        </w:rPr>
        <w:t xml:space="preserve">משרד מבקר המדינה מציין לחיוב כי הן ממוצע הנורמה והן ממוצע פחת המים בפועל ירדו במהלך השנים 2018-2011. </w:t>
      </w:r>
      <w:r w:rsidRPr="0092321F">
        <w:rPr>
          <w:rFonts w:hint="eastAsia"/>
          <w:b/>
          <w:bCs/>
          <w:sz w:val="24"/>
          <w:rtl/>
        </w:rPr>
        <w:t>ל</w:t>
      </w:r>
      <w:r>
        <w:rPr>
          <w:rFonts w:hint="cs"/>
          <w:b/>
          <w:bCs/>
          <w:sz w:val="24"/>
          <w:rtl/>
        </w:rPr>
        <w:t xml:space="preserve">פי </w:t>
      </w:r>
      <w:r w:rsidRPr="0092321F">
        <w:rPr>
          <w:rFonts w:hint="eastAsia"/>
          <w:b/>
          <w:bCs/>
          <w:sz w:val="24"/>
          <w:rtl/>
        </w:rPr>
        <w:t>תחשיב</w:t>
      </w:r>
      <w:r w:rsidRPr="0092321F">
        <w:rPr>
          <w:b/>
          <w:bCs/>
          <w:sz w:val="24"/>
          <w:rtl/>
        </w:rPr>
        <w:t xml:space="preserve"> </w:t>
      </w:r>
      <w:r w:rsidRPr="0092321F">
        <w:rPr>
          <w:rFonts w:hint="eastAsia"/>
          <w:b/>
          <w:bCs/>
          <w:sz w:val="24"/>
          <w:rtl/>
        </w:rPr>
        <w:t>משרד</w:t>
      </w:r>
      <w:r w:rsidRPr="0092321F">
        <w:rPr>
          <w:b/>
          <w:bCs/>
          <w:sz w:val="24"/>
          <w:rtl/>
        </w:rPr>
        <w:t xml:space="preserve"> </w:t>
      </w:r>
      <w:r w:rsidRPr="0092321F">
        <w:rPr>
          <w:rFonts w:hint="eastAsia"/>
          <w:b/>
          <w:bCs/>
          <w:sz w:val="24"/>
          <w:rtl/>
        </w:rPr>
        <w:t>מבקר</w:t>
      </w:r>
      <w:r w:rsidRPr="0092321F">
        <w:rPr>
          <w:b/>
          <w:bCs/>
          <w:sz w:val="24"/>
          <w:rtl/>
        </w:rPr>
        <w:t xml:space="preserve"> </w:t>
      </w:r>
      <w:r w:rsidRPr="0092321F">
        <w:rPr>
          <w:rFonts w:hint="eastAsia"/>
          <w:b/>
          <w:bCs/>
          <w:sz w:val="24"/>
          <w:rtl/>
        </w:rPr>
        <w:t>המדינה</w:t>
      </w:r>
      <w:r w:rsidRPr="0092321F">
        <w:rPr>
          <w:b/>
          <w:bCs/>
          <w:sz w:val="24"/>
          <w:rtl/>
        </w:rPr>
        <w:t xml:space="preserve">, </w:t>
      </w:r>
      <w:r w:rsidRPr="00D64705">
        <w:rPr>
          <w:b/>
          <w:bCs/>
          <w:sz w:val="24"/>
          <w:rtl/>
        </w:rPr>
        <w:t>סך החיסכון השנתי שהושג בגין הירידה בפחת המים הממוצע בשנים 2018-2011 הסתכם בכ-29 מיליון מ"ק בערך שנתי של כ-</w:t>
      </w:r>
      <w:r w:rsidRPr="006A3F91">
        <w:rPr>
          <w:b/>
          <w:bCs/>
          <w:sz w:val="24"/>
          <w:rtl/>
        </w:rPr>
        <w:t>203</w:t>
      </w:r>
      <w:r>
        <w:rPr>
          <w:rFonts w:hint="cs"/>
          <w:b/>
          <w:bCs/>
          <w:sz w:val="24"/>
          <w:rtl/>
        </w:rPr>
        <w:t xml:space="preserve"> </w:t>
      </w:r>
      <w:r w:rsidRPr="006A3F91">
        <w:rPr>
          <w:b/>
          <w:bCs/>
          <w:sz w:val="24"/>
          <w:rtl/>
        </w:rPr>
        <w:t>מיליון ש"ח</w:t>
      </w:r>
      <w:r w:rsidRPr="006A3F91">
        <w:rPr>
          <w:rFonts w:hint="eastAsia"/>
          <w:b/>
          <w:bCs/>
          <w:sz w:val="24"/>
          <w:rtl/>
        </w:rPr>
        <w:t xml:space="preserve"> </w:t>
      </w:r>
      <w:r w:rsidRPr="006A3F91">
        <w:rPr>
          <w:rFonts w:hint="cs"/>
          <w:b/>
          <w:bCs/>
          <w:sz w:val="24"/>
          <w:rtl/>
        </w:rPr>
        <w:t xml:space="preserve">לשנת 2018. </w:t>
      </w:r>
    </w:p>
    <w:p w:rsidR="003D3BEF" w:rsidRPr="006A3F91" w:rsidP="003D3BEF" w14:paraId="35AC4F8D" w14:textId="77777777">
      <w:pPr>
        <w:pStyle w:val="a"/>
        <w:spacing w:line="269" w:lineRule="auto"/>
        <w:rPr>
          <w:rtl/>
        </w:rPr>
      </w:pPr>
    </w:p>
    <w:p w:rsidR="003D3BEF" w:rsidP="003D3BEF" w14:paraId="2E74A5AC" w14:textId="77777777">
      <w:pPr>
        <w:spacing w:line="269" w:lineRule="auto"/>
        <w:rPr>
          <w:b/>
          <w:bCs/>
          <w:sz w:val="24"/>
          <w:rtl/>
        </w:rPr>
      </w:pPr>
      <w:r w:rsidRPr="006A3F91">
        <w:rPr>
          <w:rFonts w:hint="eastAsia"/>
          <w:b/>
          <w:bCs/>
          <w:sz w:val="24"/>
          <w:rtl/>
        </w:rPr>
        <w:t>ההפרש</w:t>
      </w:r>
      <w:r w:rsidRPr="006A3F91">
        <w:rPr>
          <w:b/>
          <w:bCs/>
          <w:sz w:val="24"/>
          <w:rtl/>
        </w:rPr>
        <w:t xml:space="preserve"> </w:t>
      </w:r>
      <w:r w:rsidRPr="006A3F91">
        <w:rPr>
          <w:rFonts w:hint="eastAsia"/>
          <w:b/>
          <w:bCs/>
          <w:sz w:val="24"/>
          <w:rtl/>
        </w:rPr>
        <w:t>בין</w:t>
      </w:r>
      <w:r w:rsidRPr="006A3F91">
        <w:rPr>
          <w:b/>
          <w:bCs/>
          <w:sz w:val="24"/>
          <w:rtl/>
        </w:rPr>
        <w:t xml:space="preserve"> </w:t>
      </w:r>
      <w:r w:rsidRPr="006A3F91">
        <w:rPr>
          <w:rFonts w:hint="eastAsia"/>
          <w:b/>
          <w:bCs/>
          <w:sz w:val="24"/>
          <w:rtl/>
        </w:rPr>
        <w:t>כמות</w:t>
      </w:r>
      <w:r w:rsidRPr="006A3F91">
        <w:rPr>
          <w:b/>
          <w:bCs/>
          <w:sz w:val="24"/>
          <w:rtl/>
        </w:rPr>
        <w:t xml:space="preserve"> </w:t>
      </w:r>
      <w:r w:rsidRPr="006A3F91">
        <w:rPr>
          <w:rFonts w:hint="eastAsia"/>
          <w:b/>
          <w:bCs/>
          <w:sz w:val="24"/>
          <w:rtl/>
        </w:rPr>
        <w:t>פחת</w:t>
      </w:r>
      <w:r w:rsidRPr="006A3F91">
        <w:rPr>
          <w:b/>
          <w:bCs/>
          <w:sz w:val="24"/>
          <w:rtl/>
        </w:rPr>
        <w:t xml:space="preserve"> </w:t>
      </w:r>
      <w:r w:rsidRPr="006A3F91">
        <w:rPr>
          <w:rFonts w:hint="eastAsia"/>
          <w:b/>
          <w:bCs/>
          <w:sz w:val="24"/>
          <w:rtl/>
        </w:rPr>
        <w:t>המים</w:t>
      </w:r>
      <w:r w:rsidRPr="006A3F91">
        <w:rPr>
          <w:b/>
          <w:bCs/>
          <w:sz w:val="24"/>
          <w:rtl/>
        </w:rPr>
        <w:t xml:space="preserve"> </w:t>
      </w:r>
      <w:r w:rsidRPr="006A3F91">
        <w:rPr>
          <w:rFonts w:hint="eastAsia"/>
          <w:b/>
          <w:bCs/>
          <w:sz w:val="24"/>
          <w:rtl/>
        </w:rPr>
        <w:t>הממוצעת</w:t>
      </w:r>
      <w:r w:rsidRPr="006A3F91">
        <w:rPr>
          <w:b/>
          <w:bCs/>
          <w:sz w:val="24"/>
          <w:rtl/>
        </w:rPr>
        <w:t xml:space="preserve"> </w:t>
      </w:r>
      <w:r w:rsidRPr="006A3F91">
        <w:rPr>
          <w:rFonts w:hint="eastAsia"/>
          <w:b/>
          <w:bCs/>
          <w:sz w:val="24"/>
          <w:rtl/>
        </w:rPr>
        <w:t>בפועל</w:t>
      </w:r>
      <w:r w:rsidRPr="006A3F91">
        <w:rPr>
          <w:b/>
          <w:bCs/>
          <w:sz w:val="24"/>
          <w:rtl/>
        </w:rPr>
        <w:t xml:space="preserve"> </w:t>
      </w:r>
      <w:r w:rsidRPr="006A3F91">
        <w:rPr>
          <w:rFonts w:hint="eastAsia"/>
          <w:b/>
          <w:bCs/>
          <w:sz w:val="24"/>
          <w:rtl/>
        </w:rPr>
        <w:t>בכל</w:t>
      </w:r>
      <w:r w:rsidRPr="006A3F91">
        <w:rPr>
          <w:b/>
          <w:bCs/>
          <w:sz w:val="24"/>
          <w:rtl/>
        </w:rPr>
        <w:t xml:space="preserve"> </w:t>
      </w:r>
      <w:r w:rsidRPr="006A3F91">
        <w:rPr>
          <w:rFonts w:hint="eastAsia"/>
          <w:b/>
          <w:bCs/>
          <w:sz w:val="24"/>
          <w:rtl/>
        </w:rPr>
        <w:t>התאגידים</w:t>
      </w:r>
      <w:r w:rsidRPr="006A3F91">
        <w:rPr>
          <w:b/>
          <w:bCs/>
          <w:sz w:val="24"/>
          <w:rtl/>
        </w:rPr>
        <w:t xml:space="preserve"> (9.64%) </w:t>
      </w:r>
      <w:r w:rsidRPr="006A3F91">
        <w:rPr>
          <w:rFonts w:hint="eastAsia"/>
          <w:b/>
          <w:bCs/>
          <w:sz w:val="24"/>
          <w:rtl/>
        </w:rPr>
        <w:t>ל</w:t>
      </w:r>
      <w:r w:rsidRPr="006A3F91">
        <w:rPr>
          <w:rFonts w:hint="cs"/>
          <w:b/>
          <w:bCs/>
          <w:sz w:val="24"/>
          <w:rtl/>
        </w:rPr>
        <w:t xml:space="preserve">בין </w:t>
      </w:r>
      <w:r w:rsidRPr="006A3F91">
        <w:rPr>
          <w:rFonts w:hint="eastAsia"/>
          <w:b/>
          <w:bCs/>
          <w:sz w:val="24"/>
          <w:rtl/>
        </w:rPr>
        <w:t>כמות</w:t>
      </w:r>
      <w:r w:rsidRPr="006A3F91">
        <w:rPr>
          <w:b/>
          <w:bCs/>
          <w:sz w:val="24"/>
          <w:rtl/>
        </w:rPr>
        <w:t xml:space="preserve"> </w:t>
      </w:r>
      <w:r w:rsidRPr="006A3F91">
        <w:rPr>
          <w:rFonts w:hint="eastAsia"/>
          <w:b/>
          <w:bCs/>
          <w:sz w:val="24"/>
          <w:rtl/>
        </w:rPr>
        <w:t>פחת</w:t>
      </w:r>
      <w:r w:rsidRPr="006A3F91">
        <w:rPr>
          <w:b/>
          <w:bCs/>
          <w:sz w:val="24"/>
          <w:rtl/>
        </w:rPr>
        <w:t xml:space="preserve"> </w:t>
      </w:r>
      <w:r w:rsidRPr="006A3F91">
        <w:rPr>
          <w:rFonts w:hint="eastAsia"/>
          <w:b/>
          <w:bCs/>
          <w:sz w:val="24"/>
          <w:rtl/>
        </w:rPr>
        <w:t>המים</w:t>
      </w:r>
      <w:r w:rsidRPr="006A3F91">
        <w:rPr>
          <w:b/>
          <w:bCs/>
          <w:sz w:val="24"/>
          <w:rtl/>
        </w:rPr>
        <w:t xml:space="preserve"> </w:t>
      </w:r>
      <w:r w:rsidRPr="006A3F91">
        <w:rPr>
          <w:rFonts w:hint="eastAsia"/>
          <w:b/>
          <w:bCs/>
          <w:sz w:val="24"/>
          <w:rtl/>
        </w:rPr>
        <w:t>הממוצעת</w:t>
      </w:r>
      <w:r w:rsidRPr="006A3F91">
        <w:rPr>
          <w:b/>
          <w:bCs/>
          <w:sz w:val="24"/>
          <w:rtl/>
        </w:rPr>
        <w:t xml:space="preserve"> </w:t>
      </w:r>
      <w:r w:rsidRPr="006A3F91">
        <w:rPr>
          <w:rFonts w:hint="eastAsia"/>
          <w:b/>
          <w:bCs/>
          <w:sz w:val="24"/>
          <w:rtl/>
        </w:rPr>
        <w:t>הנורמטיבית</w:t>
      </w:r>
      <w:r w:rsidRPr="006A3F91">
        <w:rPr>
          <w:b/>
          <w:bCs/>
          <w:sz w:val="24"/>
          <w:rtl/>
        </w:rPr>
        <w:t xml:space="preserve"> (7.97%) </w:t>
      </w:r>
      <w:r w:rsidRPr="006A3F91">
        <w:rPr>
          <w:rFonts w:hint="eastAsia"/>
          <w:b/>
          <w:bCs/>
          <w:sz w:val="24"/>
          <w:rtl/>
        </w:rPr>
        <w:t>מסתכם</w:t>
      </w:r>
      <w:r w:rsidRPr="006A3F91">
        <w:rPr>
          <w:b/>
          <w:bCs/>
          <w:sz w:val="24"/>
          <w:rtl/>
        </w:rPr>
        <w:t xml:space="preserve"> </w:t>
      </w:r>
      <w:r w:rsidRPr="006A3F91">
        <w:rPr>
          <w:rFonts w:hint="cs"/>
          <w:b/>
          <w:bCs/>
          <w:sz w:val="24"/>
          <w:rtl/>
        </w:rPr>
        <w:t>ב</w:t>
      </w:r>
      <w:r w:rsidRPr="006A3F91">
        <w:rPr>
          <w:rFonts w:hint="eastAsia"/>
          <w:b/>
          <w:bCs/>
          <w:sz w:val="24"/>
          <w:rtl/>
        </w:rPr>
        <w:t>כ</w:t>
      </w:r>
      <w:r w:rsidRPr="006A3F91">
        <w:rPr>
          <w:b/>
          <w:bCs/>
          <w:sz w:val="24"/>
          <w:rtl/>
        </w:rPr>
        <w:t xml:space="preserve">-10 </w:t>
      </w:r>
      <w:r w:rsidRPr="006A3F91">
        <w:rPr>
          <w:rFonts w:hint="eastAsia"/>
          <w:b/>
          <w:bCs/>
          <w:sz w:val="24"/>
          <w:rtl/>
        </w:rPr>
        <w:t>מיליון</w:t>
      </w:r>
      <w:r w:rsidRPr="006A3F91">
        <w:rPr>
          <w:b/>
          <w:bCs/>
          <w:sz w:val="24"/>
          <w:rtl/>
        </w:rPr>
        <w:t xml:space="preserve"> </w:t>
      </w:r>
      <w:r w:rsidRPr="006A3F91">
        <w:rPr>
          <w:rFonts w:hint="eastAsia"/>
          <w:b/>
          <w:bCs/>
          <w:sz w:val="24"/>
          <w:rtl/>
        </w:rPr>
        <w:t>מ</w:t>
      </w:r>
      <w:r w:rsidRPr="006A3F91">
        <w:rPr>
          <w:b/>
          <w:bCs/>
          <w:sz w:val="24"/>
          <w:rtl/>
        </w:rPr>
        <w:t xml:space="preserve">"ק </w:t>
      </w:r>
      <w:r w:rsidRPr="006A3F91">
        <w:rPr>
          <w:rFonts w:hint="eastAsia"/>
          <w:b/>
          <w:bCs/>
          <w:sz w:val="24"/>
          <w:rtl/>
        </w:rPr>
        <w:t>בערך</w:t>
      </w:r>
      <w:r w:rsidRPr="006A3F91">
        <w:rPr>
          <w:b/>
          <w:bCs/>
          <w:sz w:val="24"/>
          <w:rtl/>
        </w:rPr>
        <w:t xml:space="preserve"> </w:t>
      </w:r>
      <w:r w:rsidRPr="006A3F91">
        <w:rPr>
          <w:rFonts w:hint="eastAsia"/>
          <w:b/>
          <w:bCs/>
          <w:sz w:val="24"/>
          <w:rtl/>
        </w:rPr>
        <w:t>של</w:t>
      </w:r>
      <w:r w:rsidRPr="006A3F91">
        <w:rPr>
          <w:b/>
          <w:bCs/>
          <w:sz w:val="24"/>
          <w:rtl/>
        </w:rPr>
        <w:t xml:space="preserve"> </w:t>
      </w:r>
      <w:r w:rsidRPr="006A3F91">
        <w:rPr>
          <w:rFonts w:hint="eastAsia"/>
          <w:b/>
          <w:bCs/>
          <w:sz w:val="24"/>
          <w:rtl/>
        </w:rPr>
        <w:t>כ</w:t>
      </w:r>
      <w:r w:rsidRPr="006A3F91">
        <w:rPr>
          <w:b/>
          <w:bCs/>
          <w:sz w:val="24"/>
          <w:rtl/>
        </w:rPr>
        <w:t>-</w:t>
      </w:r>
      <w:r w:rsidRPr="006A3F91">
        <w:rPr>
          <w:rFonts w:hint="cs"/>
          <w:b/>
          <w:bCs/>
          <w:sz w:val="24"/>
          <w:rtl/>
        </w:rPr>
        <w:t xml:space="preserve">69 </w:t>
      </w:r>
      <w:r w:rsidRPr="006A3F91">
        <w:rPr>
          <w:rFonts w:hint="eastAsia"/>
          <w:b/>
          <w:bCs/>
          <w:sz w:val="24"/>
          <w:rtl/>
        </w:rPr>
        <w:t>מיליון</w:t>
      </w:r>
      <w:r w:rsidRPr="006A3F91">
        <w:rPr>
          <w:b/>
          <w:bCs/>
          <w:sz w:val="24"/>
          <w:rtl/>
        </w:rPr>
        <w:t xml:space="preserve"> </w:t>
      </w:r>
      <w:r w:rsidRPr="006A3F91">
        <w:rPr>
          <w:rFonts w:hint="eastAsia"/>
          <w:b/>
          <w:bCs/>
          <w:sz w:val="24"/>
          <w:rtl/>
        </w:rPr>
        <w:t>ש</w:t>
      </w:r>
      <w:r w:rsidRPr="006A3F91">
        <w:rPr>
          <w:b/>
          <w:bCs/>
          <w:sz w:val="24"/>
          <w:rtl/>
        </w:rPr>
        <w:t xml:space="preserve">"ח </w:t>
      </w:r>
      <w:r w:rsidRPr="006A3F91">
        <w:rPr>
          <w:rFonts w:hint="eastAsia"/>
          <w:b/>
          <w:bCs/>
          <w:sz w:val="24"/>
          <w:rtl/>
        </w:rPr>
        <w:t>לשנת</w:t>
      </w:r>
      <w:r w:rsidRPr="006A3F91">
        <w:rPr>
          <w:b/>
          <w:bCs/>
          <w:sz w:val="24"/>
          <w:rtl/>
        </w:rPr>
        <w:t xml:space="preserve"> 2018</w:t>
      </w:r>
      <w:r>
        <w:rPr>
          <w:rStyle w:val="FootnoteReference"/>
          <w:b/>
          <w:bCs/>
          <w:sz w:val="24"/>
          <w:rtl/>
        </w:rPr>
        <w:footnoteReference w:id="47"/>
      </w:r>
      <w:r w:rsidRPr="006A3F91">
        <w:rPr>
          <w:rFonts w:hint="cs"/>
          <w:sz w:val="24"/>
          <w:rtl/>
        </w:rPr>
        <w:t>;</w:t>
      </w:r>
      <w:r w:rsidRPr="006A3F91">
        <w:rPr>
          <w:rFonts w:hint="cs"/>
          <w:sz w:val="24"/>
        </w:rPr>
        <w:t xml:space="preserve"> </w:t>
      </w:r>
      <w:r w:rsidRPr="006A3F91">
        <w:rPr>
          <w:rFonts w:hint="eastAsia"/>
          <w:sz w:val="24"/>
          <w:rtl/>
        </w:rPr>
        <w:t>ו</w:t>
      </w:r>
      <w:r w:rsidRPr="006A3F91">
        <w:rPr>
          <w:b/>
          <w:bCs/>
          <w:sz w:val="24"/>
          <w:rtl/>
        </w:rPr>
        <w:t>בכך לא</w:t>
      </w:r>
      <w:r w:rsidRPr="00D64705">
        <w:rPr>
          <w:b/>
          <w:bCs/>
          <w:sz w:val="24"/>
          <w:rtl/>
        </w:rPr>
        <w:t xml:space="preserve"> הושגה במלואה אחת המטרות המרכזיות של רפורמת התאגידים.</w:t>
      </w:r>
    </w:p>
    <w:p w:rsidR="003D3BEF" w:rsidP="003D3BEF" w14:paraId="4C047BF8" w14:textId="77777777">
      <w:pPr>
        <w:pStyle w:val="a"/>
        <w:spacing w:line="269" w:lineRule="auto"/>
        <w:rPr>
          <w:rtl/>
        </w:rPr>
      </w:pPr>
    </w:p>
    <w:p w:rsidR="003D3BEF" w:rsidP="003D3BEF" w14:paraId="6314B3AE" w14:textId="77777777">
      <w:pPr>
        <w:spacing w:line="269" w:lineRule="auto"/>
        <w:rPr>
          <w:b/>
          <w:bCs/>
          <w:sz w:val="24"/>
          <w:rtl/>
        </w:rPr>
      </w:pPr>
      <w:r>
        <w:rPr>
          <w:rFonts w:hint="cs"/>
          <w:b/>
          <w:bCs/>
          <w:sz w:val="24"/>
          <w:rtl/>
        </w:rPr>
        <w:t>מומלץ</w:t>
      </w:r>
      <w:r w:rsidRPr="00A62859">
        <w:rPr>
          <w:b/>
          <w:bCs/>
          <w:sz w:val="24"/>
          <w:rtl/>
        </w:rPr>
        <w:t xml:space="preserve"> </w:t>
      </w:r>
      <w:r w:rsidRPr="00A62859">
        <w:rPr>
          <w:rFonts w:hint="eastAsia"/>
          <w:b/>
          <w:bCs/>
          <w:sz w:val="24"/>
          <w:rtl/>
        </w:rPr>
        <w:t>כי</w:t>
      </w:r>
      <w:r w:rsidRPr="00A62859">
        <w:rPr>
          <w:b/>
          <w:bCs/>
          <w:sz w:val="24"/>
          <w:rtl/>
        </w:rPr>
        <w:t xml:space="preserve"> </w:t>
      </w:r>
      <w:r w:rsidRPr="00A62859">
        <w:rPr>
          <w:rFonts w:hint="eastAsia"/>
          <w:b/>
          <w:bCs/>
          <w:sz w:val="24"/>
          <w:rtl/>
        </w:rPr>
        <w:t>רשות</w:t>
      </w:r>
      <w:r w:rsidRPr="00A62859">
        <w:rPr>
          <w:b/>
          <w:bCs/>
          <w:sz w:val="24"/>
          <w:rtl/>
        </w:rPr>
        <w:t xml:space="preserve"> </w:t>
      </w:r>
      <w:r w:rsidRPr="00A62859">
        <w:rPr>
          <w:rFonts w:hint="eastAsia"/>
          <w:b/>
          <w:bCs/>
          <w:sz w:val="24"/>
          <w:rtl/>
        </w:rPr>
        <w:t>המים</w:t>
      </w:r>
      <w:r w:rsidRPr="00A62859">
        <w:rPr>
          <w:b/>
          <w:bCs/>
          <w:sz w:val="24"/>
          <w:rtl/>
        </w:rPr>
        <w:t xml:space="preserve"> </w:t>
      </w:r>
      <w:r w:rsidRPr="00A62859">
        <w:rPr>
          <w:rFonts w:hint="eastAsia"/>
          <w:b/>
          <w:bCs/>
          <w:sz w:val="24"/>
          <w:rtl/>
        </w:rPr>
        <w:t>תתמקד</w:t>
      </w:r>
      <w:r w:rsidRPr="00A62859">
        <w:rPr>
          <w:b/>
          <w:bCs/>
          <w:sz w:val="24"/>
          <w:rtl/>
        </w:rPr>
        <w:t xml:space="preserve"> </w:t>
      </w:r>
      <w:r w:rsidRPr="00A62859">
        <w:rPr>
          <w:rFonts w:hint="eastAsia"/>
          <w:b/>
          <w:bCs/>
          <w:sz w:val="24"/>
          <w:rtl/>
        </w:rPr>
        <w:t>בתאגידים</w:t>
      </w:r>
      <w:r w:rsidRPr="00A62859">
        <w:rPr>
          <w:b/>
          <w:bCs/>
          <w:sz w:val="24"/>
          <w:rtl/>
        </w:rPr>
        <w:t xml:space="preserve"> </w:t>
      </w:r>
      <w:r w:rsidRPr="00A62859">
        <w:rPr>
          <w:rFonts w:hint="eastAsia"/>
          <w:b/>
          <w:bCs/>
          <w:sz w:val="24"/>
          <w:rtl/>
        </w:rPr>
        <w:t>החורגים</w:t>
      </w:r>
      <w:r w:rsidRPr="00A62859">
        <w:rPr>
          <w:b/>
          <w:bCs/>
          <w:sz w:val="24"/>
          <w:rtl/>
        </w:rPr>
        <w:t xml:space="preserve"> </w:t>
      </w:r>
      <w:r w:rsidRPr="00A62859">
        <w:rPr>
          <w:rFonts w:hint="eastAsia"/>
          <w:b/>
          <w:bCs/>
          <w:sz w:val="24"/>
          <w:rtl/>
        </w:rPr>
        <w:t>מנורמת</w:t>
      </w:r>
      <w:r w:rsidRPr="00A62859">
        <w:rPr>
          <w:b/>
          <w:bCs/>
          <w:sz w:val="24"/>
          <w:rtl/>
        </w:rPr>
        <w:t xml:space="preserve"> </w:t>
      </w:r>
      <w:r w:rsidRPr="00A62859">
        <w:rPr>
          <w:rFonts w:hint="eastAsia"/>
          <w:b/>
          <w:bCs/>
          <w:sz w:val="24"/>
          <w:rtl/>
        </w:rPr>
        <w:t>פחת</w:t>
      </w:r>
      <w:r w:rsidRPr="00A62859">
        <w:rPr>
          <w:b/>
          <w:bCs/>
          <w:sz w:val="24"/>
          <w:rtl/>
        </w:rPr>
        <w:t xml:space="preserve"> </w:t>
      </w:r>
      <w:r w:rsidRPr="00A62859">
        <w:rPr>
          <w:rFonts w:hint="eastAsia"/>
          <w:b/>
          <w:bCs/>
          <w:sz w:val="24"/>
          <w:rtl/>
        </w:rPr>
        <w:t>המים</w:t>
      </w:r>
      <w:r w:rsidRPr="00A62859">
        <w:rPr>
          <w:b/>
          <w:bCs/>
          <w:sz w:val="24"/>
          <w:rtl/>
        </w:rPr>
        <w:t xml:space="preserve"> </w:t>
      </w:r>
      <w:r w:rsidRPr="00A62859">
        <w:rPr>
          <w:rFonts w:hint="eastAsia"/>
          <w:b/>
          <w:bCs/>
          <w:sz w:val="24"/>
          <w:rtl/>
        </w:rPr>
        <w:t>ותפעל</w:t>
      </w:r>
      <w:r w:rsidRPr="00A62859">
        <w:rPr>
          <w:b/>
          <w:bCs/>
          <w:sz w:val="24"/>
          <w:rtl/>
        </w:rPr>
        <w:t xml:space="preserve"> </w:t>
      </w:r>
      <w:r w:rsidRPr="00A62859">
        <w:rPr>
          <w:rFonts w:hint="eastAsia"/>
          <w:b/>
          <w:bCs/>
          <w:sz w:val="24"/>
          <w:rtl/>
        </w:rPr>
        <w:t>לגיבוש</w:t>
      </w:r>
      <w:r w:rsidRPr="00A62859">
        <w:rPr>
          <w:b/>
          <w:bCs/>
          <w:sz w:val="24"/>
          <w:rtl/>
        </w:rPr>
        <w:t xml:space="preserve"> </w:t>
      </w:r>
      <w:r w:rsidRPr="00A62859">
        <w:rPr>
          <w:rFonts w:hint="eastAsia"/>
          <w:b/>
          <w:bCs/>
          <w:sz w:val="24"/>
          <w:rtl/>
        </w:rPr>
        <w:t>תכנית</w:t>
      </w:r>
      <w:r w:rsidRPr="00A62859">
        <w:rPr>
          <w:b/>
          <w:bCs/>
          <w:sz w:val="24"/>
          <w:rtl/>
        </w:rPr>
        <w:t xml:space="preserve"> </w:t>
      </w:r>
      <w:r>
        <w:rPr>
          <w:rFonts w:hint="cs"/>
          <w:b/>
          <w:bCs/>
          <w:sz w:val="24"/>
          <w:rtl/>
        </w:rPr>
        <w:t xml:space="preserve">שתביא </w:t>
      </w:r>
      <w:r w:rsidRPr="00A62859">
        <w:rPr>
          <w:rFonts w:hint="eastAsia"/>
          <w:b/>
          <w:bCs/>
          <w:sz w:val="24"/>
          <w:rtl/>
        </w:rPr>
        <w:t>לעמידה</w:t>
      </w:r>
      <w:r w:rsidRPr="00A62859">
        <w:rPr>
          <w:b/>
          <w:bCs/>
          <w:sz w:val="24"/>
          <w:rtl/>
        </w:rPr>
        <w:t xml:space="preserve"> </w:t>
      </w:r>
      <w:r>
        <w:rPr>
          <w:rFonts w:hint="cs"/>
          <w:b/>
          <w:bCs/>
          <w:sz w:val="24"/>
          <w:rtl/>
        </w:rPr>
        <w:t xml:space="preserve">בנורמות </w:t>
      </w:r>
      <w:r w:rsidRPr="00A62859">
        <w:rPr>
          <w:rFonts w:hint="eastAsia"/>
          <w:b/>
          <w:bCs/>
          <w:sz w:val="24"/>
          <w:rtl/>
        </w:rPr>
        <w:t>כנדרש</w:t>
      </w:r>
      <w:r>
        <w:rPr>
          <w:rFonts w:hint="cs"/>
          <w:b/>
          <w:bCs/>
          <w:sz w:val="24"/>
          <w:rtl/>
        </w:rPr>
        <w:t>, וכן תפקח על ביצועה</w:t>
      </w:r>
      <w:r w:rsidRPr="00A62859">
        <w:rPr>
          <w:b/>
          <w:bCs/>
          <w:sz w:val="24"/>
          <w:rtl/>
        </w:rPr>
        <w:t>.</w:t>
      </w:r>
    </w:p>
    <w:p w:rsidR="003D3BEF" w:rsidRPr="00A62859" w:rsidP="003D3BEF" w14:paraId="2C3E0B34" w14:textId="77777777">
      <w:pPr>
        <w:pStyle w:val="a"/>
        <w:spacing w:line="269" w:lineRule="auto"/>
        <w:rPr>
          <w:rtl/>
        </w:rPr>
      </w:pPr>
    </w:p>
    <w:p w:rsidR="003D3BEF" w:rsidP="003D3BEF" w14:paraId="6340A06E" w14:textId="77777777">
      <w:pPr>
        <w:spacing w:line="269" w:lineRule="auto"/>
        <w:rPr>
          <w:sz w:val="24"/>
          <w:rtl/>
        </w:rPr>
      </w:pPr>
      <w:r>
        <w:rPr>
          <w:rFonts w:hint="cs"/>
          <w:sz w:val="24"/>
          <w:rtl/>
        </w:rPr>
        <w:t>משרד מבקר המדינה בדק את פחת המים בשלושה תאגידים חלשים, בעלי מאפיינים שונים של מגזר ושל כמות הרשויות המקומיות המאוגדות: תאגיד נווה מדבר - תאגיד רב-רשותי חלש במגזר הבדואי, תאגיד מי ברק - תאגיד חד-רשותי חלש במגזר החרדי ותאגיד מי לוד - תאגיד חד-רשותי חלש המשרת אוכלוסייה ממגזר מעורב.</w:t>
      </w:r>
    </w:p>
    <w:p w:rsidR="003D3BEF" w:rsidP="003D3BEF" w14:paraId="4157944C" w14:textId="77777777">
      <w:pPr>
        <w:spacing w:line="269" w:lineRule="auto"/>
        <w:rPr>
          <w:sz w:val="24"/>
          <w:rtl/>
        </w:rPr>
      </w:pPr>
    </w:p>
    <w:p w:rsidR="003D3BEF" w:rsidP="003D3BEF" w14:paraId="57E0F682" w14:textId="77777777">
      <w:pPr>
        <w:pStyle w:val="a"/>
        <w:spacing w:line="269" w:lineRule="auto"/>
        <w:rPr>
          <w:rtl/>
        </w:rPr>
      </w:pPr>
    </w:p>
    <w:p w:rsidR="003D3BEF" w:rsidP="003D3BEF" w14:paraId="6C5DBD54" w14:textId="77777777">
      <w:pPr>
        <w:spacing w:line="269" w:lineRule="auto"/>
        <w:jc w:val="center"/>
        <w:rPr>
          <w:noProof/>
          <w:rtl/>
        </w:rPr>
      </w:pPr>
      <w:r w:rsidRPr="00A94ABA">
        <w:rPr>
          <w:rFonts w:hint="cs"/>
          <w:b/>
          <w:bCs/>
          <w:sz w:val="24"/>
          <w:rtl/>
        </w:rPr>
        <w:t xml:space="preserve">תרשים </w:t>
      </w:r>
      <w:r>
        <w:rPr>
          <w:rFonts w:hint="cs"/>
          <w:b/>
          <w:bCs/>
          <w:sz w:val="24"/>
          <w:rtl/>
        </w:rPr>
        <w:t>15</w:t>
      </w:r>
      <w:r w:rsidRPr="00A94ABA">
        <w:rPr>
          <w:rFonts w:hint="cs"/>
          <w:b/>
          <w:bCs/>
          <w:sz w:val="24"/>
          <w:rtl/>
        </w:rPr>
        <w:t>:</w:t>
      </w:r>
      <w:r>
        <w:rPr>
          <w:rFonts w:hint="cs"/>
          <w:sz w:val="24"/>
          <w:rtl/>
        </w:rPr>
        <w:t xml:space="preserve"> </w:t>
      </w:r>
      <w:r w:rsidRPr="00594DBB">
        <w:rPr>
          <w:rFonts w:hint="cs"/>
          <w:b/>
          <w:bCs/>
          <w:sz w:val="24"/>
          <w:rtl/>
        </w:rPr>
        <w:t>ממוצע פחת מים בפועל ב</w:t>
      </w:r>
      <w:r>
        <w:rPr>
          <w:rFonts w:hint="cs"/>
          <w:b/>
          <w:bCs/>
          <w:sz w:val="24"/>
          <w:rtl/>
        </w:rPr>
        <w:t xml:space="preserve">קרב שלושה תאגידים חלשים, בעלי מאפיינים שונים, </w:t>
      </w:r>
      <w:r w:rsidRPr="00594DBB">
        <w:rPr>
          <w:rFonts w:hint="cs"/>
          <w:b/>
          <w:bCs/>
          <w:sz w:val="24"/>
          <w:rtl/>
        </w:rPr>
        <w:t>בשנים 2011 ו-2018 אל מול נורמת פחת המים לשנת 2018 (באחוזים).</w:t>
      </w:r>
    </w:p>
    <w:p w:rsidR="003D3BEF" w:rsidRPr="00E665D5" w:rsidP="00410CC2" w14:paraId="63353321" w14:textId="77777777">
      <w:pPr>
        <w:spacing w:before="120" w:after="120" w:line="269" w:lineRule="auto"/>
        <w:jc w:val="center"/>
        <w:rPr>
          <w:sz w:val="24"/>
          <w:rtl/>
        </w:rPr>
      </w:pPr>
      <w:r w:rsidRPr="00E665D5">
        <w:rPr>
          <w:noProof/>
        </w:rPr>
        <w:t xml:space="preserve"> </w:t>
      </w:r>
      <w:r w:rsidR="00410CC2">
        <w:rPr>
          <w:noProof/>
          <w:sz w:val="24"/>
          <w:rtl/>
        </w:rPr>
        <w:drawing>
          <wp:inline distT="0" distB="0" distL="0" distR="0">
            <wp:extent cx="4937770" cy="2639573"/>
            <wp:effectExtent l="0" t="0" r="0" b="8890"/>
            <wp:docPr id="624677545" name="תמונה 62467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77031" name="water-corporations-g-15.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70" cy="2639573"/>
                    </a:xfrm>
                    <a:prstGeom prst="rect">
                      <a:avLst/>
                    </a:prstGeom>
                  </pic:spPr>
                </pic:pic>
              </a:graphicData>
            </a:graphic>
          </wp:inline>
        </w:drawing>
      </w:r>
    </w:p>
    <w:p w:rsidR="003D3BEF" w:rsidRPr="00410CC2" w:rsidP="00410CC2" w14:paraId="0AF75D52" w14:textId="77777777">
      <w:pPr>
        <w:spacing w:after="120" w:line="269" w:lineRule="auto"/>
        <w:rPr>
          <w:sz w:val="22"/>
          <w:szCs w:val="22"/>
          <w:rtl/>
        </w:rPr>
      </w:pPr>
      <w:r w:rsidRPr="00684E93">
        <w:rPr>
          <w:sz w:val="22"/>
          <w:szCs w:val="22"/>
          <w:rtl/>
        </w:rPr>
        <w:t>על פי נתוני רשות המים</w:t>
      </w:r>
      <w:r w:rsidRPr="00684E93">
        <w:rPr>
          <w:rFonts w:hint="cs"/>
          <w:sz w:val="22"/>
          <w:szCs w:val="22"/>
          <w:rtl/>
        </w:rPr>
        <w:t>,</w:t>
      </w:r>
      <w:r w:rsidRPr="00684E93">
        <w:rPr>
          <w:sz w:val="22"/>
          <w:szCs w:val="22"/>
          <w:rtl/>
        </w:rPr>
        <w:t xml:space="preserve"> ב</w:t>
      </w:r>
      <w:r w:rsidRPr="00684E93">
        <w:rPr>
          <w:rFonts w:hint="eastAsia"/>
          <w:sz w:val="22"/>
          <w:szCs w:val="22"/>
          <w:rtl/>
        </w:rPr>
        <w:t>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00410CC2">
        <w:rPr>
          <w:sz w:val="22"/>
          <w:szCs w:val="22"/>
          <w:rtl/>
        </w:rPr>
        <w:t>.</w:t>
      </w:r>
    </w:p>
    <w:p w:rsidR="003D3BEF" w:rsidP="003D3BEF" w14:paraId="4EC3CE95" w14:textId="77777777">
      <w:pPr>
        <w:spacing w:line="269" w:lineRule="auto"/>
        <w:rPr>
          <w:sz w:val="24"/>
          <w:rtl/>
        </w:rPr>
      </w:pPr>
      <w:r w:rsidRPr="005C3F06">
        <w:rPr>
          <w:rFonts w:hint="eastAsia"/>
          <w:sz w:val="24"/>
          <w:rtl/>
        </w:rPr>
        <w:t>מהתרשים</w:t>
      </w:r>
      <w:r w:rsidRPr="005C3F06">
        <w:rPr>
          <w:sz w:val="24"/>
          <w:rtl/>
        </w:rPr>
        <w:t xml:space="preserve"> </w:t>
      </w:r>
      <w:r w:rsidRPr="005C3F06">
        <w:rPr>
          <w:rFonts w:hint="eastAsia"/>
          <w:sz w:val="24"/>
          <w:rtl/>
        </w:rPr>
        <w:t>עולה</w:t>
      </w:r>
      <w:r w:rsidRPr="005C3F06">
        <w:rPr>
          <w:sz w:val="24"/>
          <w:rtl/>
        </w:rPr>
        <w:t xml:space="preserve"> כי </w:t>
      </w:r>
      <w:r w:rsidRPr="005C3F06">
        <w:rPr>
          <w:rFonts w:hint="eastAsia"/>
          <w:sz w:val="24"/>
          <w:rtl/>
        </w:rPr>
        <w:t>מבין</w:t>
      </w:r>
      <w:r w:rsidRPr="005C3F06">
        <w:rPr>
          <w:sz w:val="24"/>
          <w:rtl/>
        </w:rPr>
        <w:t xml:space="preserve"> </w:t>
      </w:r>
      <w:r w:rsidRPr="005C3F06">
        <w:rPr>
          <w:rFonts w:hint="eastAsia"/>
          <w:sz w:val="24"/>
          <w:rtl/>
        </w:rPr>
        <w:t>התאגידים</w:t>
      </w:r>
      <w:r w:rsidRPr="005C3F06">
        <w:rPr>
          <w:sz w:val="24"/>
          <w:rtl/>
        </w:rPr>
        <w:t xml:space="preserve"> </w:t>
      </w:r>
      <w:r w:rsidRPr="005C3F06">
        <w:rPr>
          <w:rFonts w:hint="eastAsia"/>
          <w:sz w:val="24"/>
          <w:rtl/>
        </w:rPr>
        <w:t>שהוצגו</w:t>
      </w:r>
      <w:r w:rsidRPr="005C3F06">
        <w:rPr>
          <w:sz w:val="24"/>
          <w:rtl/>
        </w:rPr>
        <w:t xml:space="preserve"> </w:t>
      </w:r>
      <w:r w:rsidRPr="005C3F06">
        <w:rPr>
          <w:rFonts w:hint="eastAsia"/>
          <w:sz w:val="24"/>
          <w:rtl/>
        </w:rPr>
        <w:t>בו</w:t>
      </w:r>
      <w:r w:rsidRPr="005C3F06">
        <w:rPr>
          <w:sz w:val="24"/>
          <w:rtl/>
        </w:rPr>
        <w:t>,</w:t>
      </w:r>
      <w:r>
        <w:rPr>
          <w:rFonts w:hint="cs"/>
          <w:sz w:val="24"/>
          <w:rtl/>
        </w:rPr>
        <w:t xml:space="preserve"> </w:t>
      </w:r>
      <w:r w:rsidRPr="005C3F06">
        <w:rPr>
          <w:sz w:val="24"/>
          <w:rtl/>
        </w:rPr>
        <w:t xml:space="preserve">בתאגיד </w:t>
      </w:r>
      <w:r>
        <w:rPr>
          <w:rFonts w:hint="cs"/>
          <w:sz w:val="24"/>
          <w:rtl/>
        </w:rPr>
        <w:t xml:space="preserve">מי </w:t>
      </w:r>
      <w:r w:rsidRPr="005C3F06">
        <w:rPr>
          <w:sz w:val="24"/>
          <w:rtl/>
        </w:rPr>
        <w:t>ברק שהוא תאגיד חד-רשותי הנותן שירות לאוכלוסייה חרדית בדירוג חברתי-כלכלי 2, ערך פחת המים הוא הנמוך ביותר מכלל התאגידים (2.5%), ו</w:t>
      </w:r>
      <w:r w:rsidRPr="005C3F06">
        <w:rPr>
          <w:rFonts w:hint="eastAsia"/>
          <w:sz w:val="24"/>
          <w:rtl/>
        </w:rPr>
        <w:t>הוא</w:t>
      </w:r>
      <w:r w:rsidRPr="005C3F06">
        <w:rPr>
          <w:sz w:val="24"/>
          <w:rtl/>
        </w:rPr>
        <w:t xml:space="preserve"> אף נמוך מהנורמה. </w:t>
      </w:r>
    </w:p>
    <w:p w:rsidR="003D3BEF" w:rsidRPr="005C3F06" w:rsidP="003D3BEF" w14:paraId="48D90205" w14:textId="77777777">
      <w:pPr>
        <w:pStyle w:val="a"/>
        <w:spacing w:line="269" w:lineRule="auto"/>
        <w:rPr>
          <w:rtl/>
        </w:rPr>
      </w:pPr>
    </w:p>
    <w:p w:rsidR="003D3BEF" w:rsidP="003D3BEF" w14:paraId="482F5621" w14:textId="77777777">
      <w:pPr>
        <w:spacing w:line="269" w:lineRule="auto"/>
        <w:rPr>
          <w:sz w:val="24"/>
          <w:rtl/>
        </w:rPr>
      </w:pPr>
      <w:r>
        <w:rPr>
          <w:rFonts w:hint="cs"/>
          <w:sz w:val="24"/>
          <w:rtl/>
        </w:rPr>
        <w:t>עוד עולה מהתרשים כי בתאגיד מי לוד שהוא תאגיד חד-רשותי הנותן שירות למגזר מעורב, השתפרו ערכי הפחת באופן ניכר בשנים 2011-2018 והם מתקרבים לערכי הנורמה. בתאגיד נווה מדבר שהוא תאגיד רב-רשותי הנותן שירות למגזר הבדואי, השתפרו</w:t>
      </w:r>
      <w:r w:rsidRPr="002E7086">
        <w:rPr>
          <w:rFonts w:hint="cs"/>
          <w:sz w:val="24"/>
          <w:rtl/>
        </w:rPr>
        <w:t xml:space="preserve"> </w:t>
      </w:r>
      <w:r>
        <w:rPr>
          <w:rFonts w:hint="cs"/>
          <w:sz w:val="24"/>
          <w:rtl/>
        </w:rPr>
        <w:t>אומנם ערכי הפחת אך הם עדיין בחריגה ניכרת מהנורמה</w:t>
      </w:r>
      <w:r>
        <w:rPr>
          <w:rStyle w:val="FootnoteReference"/>
          <w:sz w:val="24"/>
          <w:rtl/>
        </w:rPr>
        <w:footnoteReference w:id="48"/>
      </w:r>
      <w:r>
        <w:rPr>
          <w:rFonts w:hint="cs"/>
          <w:sz w:val="24"/>
          <w:rtl/>
        </w:rPr>
        <w:t>.</w:t>
      </w:r>
    </w:p>
    <w:p w:rsidR="003D3BEF" w:rsidRPr="00D617E4" w:rsidP="003D3BEF" w14:paraId="5B08016F" w14:textId="77777777">
      <w:pPr>
        <w:pStyle w:val="a"/>
        <w:spacing w:line="269" w:lineRule="auto"/>
        <w:rPr>
          <w:rtl/>
        </w:rPr>
      </w:pPr>
    </w:p>
    <w:p w:rsidR="003D3BEF" w:rsidP="003D3BEF" w14:paraId="5D2BEA2C" w14:textId="77777777">
      <w:pPr>
        <w:spacing w:line="269" w:lineRule="auto"/>
        <w:rPr>
          <w:sz w:val="24"/>
          <w:rtl/>
        </w:rPr>
      </w:pPr>
      <w:r>
        <w:rPr>
          <w:rFonts w:hint="cs"/>
          <w:sz w:val="24"/>
          <w:rtl/>
        </w:rPr>
        <w:t>רשות המים זיהתה כי בקרב התאגידים המסווגים כחלשים יש תאגידים בעלי שיעורי פחת מים גבוהים במיוחד, שאינם מסוגלים להתקיים באופן עצמאי מהבחינה הפיננסית בשנים הראשונות להפעלתם. תאגידים אלה הוגדרו "תאגידים זכאים"</w:t>
      </w:r>
      <w:r>
        <w:rPr>
          <w:rStyle w:val="FootnoteReference"/>
          <w:sz w:val="24"/>
          <w:rtl/>
        </w:rPr>
        <w:footnoteReference w:id="49"/>
      </w:r>
      <w:r>
        <w:rPr>
          <w:rFonts w:hint="cs"/>
          <w:sz w:val="24"/>
          <w:rtl/>
        </w:rPr>
        <w:t xml:space="preserve">, והם זכו לסל רחב של כלי סיוע כגון מענקים חד-פעמיים וסבסוד צולב שוטף בתעריף, כפי שיורחב להלן. יש 11 תאגידים זכאים - 9 תאגידים רב-רשותיים חלשים הנותנים שירות למגזר המיעוטים ו-2 תאגידים חד-רשותיים חלשים: האחד נותן שירות למגזר המיעוטים והאחר נותן שירות למגזר מעורב. להלן מוצג טווח ערכי פחת המים בפועל והממוצע שלהם בשנת 2018 בתאגידים חלשים זכאים, בתאגידים חלשים שאינם זכאים וביתר </w:t>
      </w:r>
      <w:r w:rsidRPr="00B70DE1">
        <w:rPr>
          <w:rFonts w:hint="cs"/>
          <w:sz w:val="24"/>
          <w:rtl/>
        </w:rPr>
        <w:t>התאגידים</w:t>
      </w:r>
      <w:r>
        <w:rPr>
          <w:rFonts w:hint="cs"/>
          <w:sz w:val="24"/>
          <w:rtl/>
        </w:rPr>
        <w:t>:</w:t>
      </w:r>
    </w:p>
    <w:p w:rsidR="003D3BEF" w:rsidP="00410CC2" w14:paraId="78C37492" w14:textId="77777777">
      <w:pPr>
        <w:pStyle w:val="a"/>
        <w:spacing w:line="269" w:lineRule="auto"/>
        <w:ind w:left="0"/>
        <w:rPr>
          <w:rtl/>
        </w:rPr>
      </w:pPr>
    </w:p>
    <w:p w:rsidR="003D3BEF" w:rsidRPr="007B3366" w:rsidP="003D3BEF" w14:paraId="7D5BF607" w14:textId="77777777">
      <w:pPr>
        <w:spacing w:line="269" w:lineRule="auto"/>
        <w:jc w:val="center"/>
        <w:rPr>
          <w:b/>
          <w:bCs/>
          <w:sz w:val="24"/>
          <w:rtl/>
        </w:rPr>
      </w:pPr>
      <w:r>
        <w:rPr>
          <w:rFonts w:hint="cs"/>
          <w:b/>
          <w:bCs/>
          <w:sz w:val="24"/>
          <w:rtl/>
        </w:rPr>
        <w:t>תרשים 16</w:t>
      </w:r>
      <w:r w:rsidRPr="00594DBB">
        <w:rPr>
          <w:rFonts w:hint="cs"/>
          <w:b/>
          <w:bCs/>
          <w:sz w:val="24"/>
          <w:rtl/>
        </w:rPr>
        <w:t xml:space="preserve">: </w:t>
      </w:r>
      <w:r>
        <w:rPr>
          <w:rFonts w:hint="cs"/>
          <w:b/>
          <w:bCs/>
          <w:sz w:val="24"/>
          <w:rtl/>
        </w:rPr>
        <w:t xml:space="preserve">טווח </w:t>
      </w:r>
      <w:r w:rsidRPr="00594DBB">
        <w:rPr>
          <w:rFonts w:hint="cs"/>
          <w:b/>
          <w:bCs/>
          <w:sz w:val="24"/>
          <w:rtl/>
        </w:rPr>
        <w:t>ערכי פחת המים בפועל</w:t>
      </w:r>
      <w:r>
        <w:rPr>
          <w:rFonts w:hint="cs"/>
          <w:b/>
          <w:bCs/>
          <w:sz w:val="24"/>
          <w:rtl/>
        </w:rPr>
        <w:t>, 2018</w:t>
      </w:r>
    </w:p>
    <w:p w:rsidR="003D3BEF" w:rsidP="00282624" w14:paraId="4BFA6773" w14:textId="77777777">
      <w:pPr>
        <w:spacing w:before="120" w:after="120" w:line="269" w:lineRule="auto"/>
        <w:jc w:val="center"/>
        <w:rPr>
          <w:sz w:val="24"/>
          <w:rtl/>
        </w:rPr>
      </w:pPr>
      <w:r>
        <w:rPr>
          <w:noProof/>
          <w:sz w:val="24"/>
          <w:rtl/>
        </w:rPr>
        <w:drawing>
          <wp:inline distT="0" distB="0" distL="0" distR="0">
            <wp:extent cx="4325121" cy="2279909"/>
            <wp:effectExtent l="0" t="0" r="0" b="6350"/>
            <wp:docPr id="624677548" name="תמונה 62467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45380" name="water-corporations-g-16.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79909"/>
                    </a:xfrm>
                    <a:prstGeom prst="rect">
                      <a:avLst/>
                    </a:prstGeom>
                  </pic:spPr>
                </pic:pic>
              </a:graphicData>
            </a:graphic>
          </wp:inline>
        </w:drawing>
      </w:r>
    </w:p>
    <w:p w:rsidR="003D3BEF" w:rsidRPr="00684E93" w:rsidP="00282624" w14:paraId="605F78D2"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49AB0C85" w14:textId="77777777">
      <w:pPr>
        <w:pStyle w:val="a"/>
        <w:rPr>
          <w:rtl/>
        </w:rPr>
      </w:pPr>
    </w:p>
    <w:p w:rsidR="003D3BEF" w:rsidP="003D3BEF" w14:paraId="420C2A4D" w14:textId="77777777">
      <w:pPr>
        <w:spacing w:line="269" w:lineRule="auto"/>
        <w:rPr>
          <w:sz w:val="24"/>
          <w:rtl/>
        </w:rPr>
      </w:pPr>
      <w:r>
        <w:rPr>
          <w:rFonts w:hint="cs"/>
          <w:sz w:val="24"/>
          <w:rtl/>
        </w:rPr>
        <w:t xml:space="preserve">מהתרשים עולה כי הערכים הנמוכים בטווח ערכי הפחת בתאגידים הזכאים קרובים לערכים הגבוהים של טווחי הערכים ביתר התאגידים, וממוצע טווח הערכים בתאגידים החלשים מגיע לערך הגבוה כמעט פי 2.5 מממוצע טווח הערכים ביתר התאגידים. </w:t>
      </w:r>
    </w:p>
    <w:p w:rsidR="003D3BEF" w:rsidP="003D3BEF" w14:paraId="67BF9999" w14:textId="77777777">
      <w:pPr>
        <w:pStyle w:val="a"/>
        <w:spacing w:line="269" w:lineRule="auto"/>
        <w:rPr>
          <w:rtl/>
        </w:rPr>
      </w:pPr>
    </w:p>
    <w:p w:rsidR="003D3BEF" w:rsidP="003D3BEF" w14:paraId="3C746351" w14:textId="77777777">
      <w:pPr>
        <w:spacing w:line="269" w:lineRule="auto"/>
        <w:rPr>
          <w:b/>
          <w:bCs/>
          <w:sz w:val="24"/>
          <w:rtl/>
        </w:rPr>
      </w:pPr>
      <w:r>
        <w:rPr>
          <w:rFonts w:hint="cs"/>
          <w:b/>
          <w:bCs/>
          <w:sz w:val="24"/>
          <w:rtl/>
        </w:rPr>
        <w:t xml:space="preserve">נמצא כי </w:t>
      </w:r>
      <w:r w:rsidRPr="00CB6FF9">
        <w:rPr>
          <w:rFonts w:hint="cs"/>
          <w:b/>
          <w:bCs/>
          <w:sz w:val="24"/>
          <w:rtl/>
        </w:rPr>
        <w:t>הפערים הגבוהים ביותר בין פחת המים בפועל לנורמת פחת המים</w:t>
      </w:r>
      <w:r>
        <w:rPr>
          <w:rFonts w:hint="cs"/>
          <w:b/>
          <w:bCs/>
          <w:sz w:val="24"/>
          <w:rtl/>
        </w:rPr>
        <w:t xml:space="preserve"> נרשמים</w:t>
      </w:r>
      <w:r w:rsidRPr="00CB6FF9">
        <w:rPr>
          <w:rFonts w:hint="cs"/>
          <w:b/>
          <w:bCs/>
          <w:sz w:val="24"/>
          <w:rtl/>
        </w:rPr>
        <w:t xml:space="preserve"> </w:t>
      </w:r>
      <w:r>
        <w:rPr>
          <w:rFonts w:hint="cs"/>
          <w:b/>
          <w:bCs/>
          <w:sz w:val="24"/>
          <w:rtl/>
        </w:rPr>
        <w:t>ב</w:t>
      </w:r>
      <w:r w:rsidRPr="00CB6FF9">
        <w:rPr>
          <w:rFonts w:hint="cs"/>
          <w:b/>
          <w:bCs/>
          <w:sz w:val="24"/>
          <w:rtl/>
        </w:rPr>
        <w:t xml:space="preserve">תאגידים </w:t>
      </w:r>
      <w:r>
        <w:rPr>
          <w:rFonts w:hint="cs"/>
          <w:b/>
          <w:bCs/>
          <w:sz w:val="24"/>
          <w:rtl/>
        </w:rPr>
        <w:t>הזכאים ש</w:t>
      </w:r>
      <w:r w:rsidRPr="00CB6FF9">
        <w:rPr>
          <w:rFonts w:hint="cs"/>
          <w:b/>
          <w:bCs/>
          <w:sz w:val="24"/>
          <w:rtl/>
        </w:rPr>
        <w:t>משרתים אוכלוסיית מיעוטים</w:t>
      </w:r>
      <w:r>
        <w:rPr>
          <w:rFonts w:hint="cs"/>
          <w:b/>
          <w:bCs/>
          <w:sz w:val="24"/>
          <w:rtl/>
        </w:rPr>
        <w:t xml:space="preserve">. </w:t>
      </w:r>
      <w:r w:rsidRPr="009907F8">
        <w:rPr>
          <w:b/>
          <w:bCs/>
          <w:sz w:val="24"/>
          <w:rtl/>
        </w:rPr>
        <w:t xml:space="preserve">בשנת 2018 </w:t>
      </w:r>
      <w:r>
        <w:rPr>
          <w:rFonts w:hint="cs"/>
          <w:b/>
          <w:bCs/>
          <w:sz w:val="24"/>
          <w:rtl/>
        </w:rPr>
        <w:t xml:space="preserve">היה </w:t>
      </w:r>
      <w:r w:rsidRPr="009907F8">
        <w:rPr>
          <w:b/>
          <w:bCs/>
          <w:sz w:val="24"/>
          <w:rtl/>
        </w:rPr>
        <w:t xml:space="preserve">הערך הממוצע של פחת המים </w:t>
      </w:r>
      <w:r>
        <w:rPr>
          <w:rFonts w:hint="cs"/>
          <w:b/>
          <w:bCs/>
          <w:sz w:val="24"/>
          <w:rtl/>
        </w:rPr>
        <w:t xml:space="preserve">של התאגידים הזכאים </w:t>
      </w:r>
      <w:r w:rsidRPr="009907F8">
        <w:rPr>
          <w:b/>
          <w:bCs/>
          <w:sz w:val="24"/>
          <w:rtl/>
        </w:rPr>
        <w:t>יותר מפי</w:t>
      </w:r>
      <w:r>
        <w:rPr>
          <w:rFonts w:hint="cs"/>
          <w:b/>
          <w:bCs/>
          <w:sz w:val="24"/>
          <w:rtl/>
        </w:rPr>
        <w:t xml:space="preserve"> שניים</w:t>
      </w:r>
      <w:r w:rsidRPr="009907F8">
        <w:rPr>
          <w:b/>
          <w:bCs/>
          <w:sz w:val="24"/>
          <w:rtl/>
        </w:rPr>
        <w:t xml:space="preserve"> </w:t>
      </w:r>
      <w:r>
        <w:rPr>
          <w:rFonts w:hint="cs"/>
          <w:b/>
          <w:bCs/>
          <w:sz w:val="24"/>
          <w:rtl/>
        </w:rPr>
        <w:t xml:space="preserve">מאשר </w:t>
      </w:r>
      <w:r w:rsidRPr="009907F8">
        <w:rPr>
          <w:b/>
          <w:bCs/>
          <w:sz w:val="24"/>
          <w:rtl/>
        </w:rPr>
        <w:t>ביתר התאגידים</w:t>
      </w:r>
      <w:r>
        <w:rPr>
          <w:rStyle w:val="FootnoteReference"/>
          <w:sz w:val="24"/>
          <w:rtl/>
        </w:rPr>
        <w:footnoteReference w:id="50"/>
      </w:r>
      <w:r w:rsidRPr="009907F8">
        <w:rPr>
          <w:b/>
          <w:bCs/>
          <w:sz w:val="24"/>
          <w:rtl/>
        </w:rPr>
        <w:t>.</w:t>
      </w:r>
      <w:r>
        <w:rPr>
          <w:rFonts w:hint="cs"/>
          <w:b/>
          <w:bCs/>
          <w:sz w:val="24"/>
          <w:rtl/>
        </w:rPr>
        <w:t xml:space="preserve"> </w:t>
      </w:r>
      <w:r w:rsidRPr="0092321F">
        <w:rPr>
          <w:rFonts w:hint="eastAsia"/>
          <w:b/>
          <w:bCs/>
          <w:sz w:val="24"/>
          <w:rtl/>
        </w:rPr>
        <w:t>מבדיקת</w:t>
      </w:r>
      <w:r w:rsidRPr="0092321F">
        <w:rPr>
          <w:b/>
          <w:bCs/>
          <w:sz w:val="24"/>
          <w:rtl/>
        </w:rPr>
        <w:t xml:space="preserve"> </w:t>
      </w:r>
      <w:r w:rsidRPr="0092321F">
        <w:rPr>
          <w:rFonts w:hint="eastAsia"/>
          <w:b/>
          <w:bCs/>
          <w:sz w:val="24"/>
          <w:rtl/>
        </w:rPr>
        <w:t>ערכי</w:t>
      </w:r>
      <w:r w:rsidRPr="0092321F">
        <w:rPr>
          <w:b/>
          <w:bCs/>
          <w:sz w:val="24"/>
          <w:rtl/>
        </w:rPr>
        <w:t xml:space="preserve"> </w:t>
      </w:r>
      <w:r w:rsidRPr="0092321F">
        <w:rPr>
          <w:rFonts w:hint="eastAsia"/>
          <w:b/>
          <w:bCs/>
          <w:sz w:val="24"/>
          <w:rtl/>
        </w:rPr>
        <w:t>פחת</w:t>
      </w:r>
      <w:r w:rsidRPr="0092321F">
        <w:rPr>
          <w:b/>
          <w:bCs/>
          <w:sz w:val="24"/>
          <w:rtl/>
        </w:rPr>
        <w:t xml:space="preserve"> </w:t>
      </w:r>
      <w:r w:rsidRPr="0092321F">
        <w:rPr>
          <w:rFonts w:hint="eastAsia"/>
          <w:b/>
          <w:bCs/>
          <w:sz w:val="24"/>
          <w:rtl/>
        </w:rPr>
        <w:t>המים</w:t>
      </w:r>
      <w:r w:rsidRPr="0092321F">
        <w:rPr>
          <w:b/>
          <w:bCs/>
          <w:sz w:val="24"/>
          <w:rtl/>
        </w:rPr>
        <w:t xml:space="preserve"> </w:t>
      </w:r>
      <w:r w:rsidRPr="0092321F">
        <w:rPr>
          <w:rFonts w:hint="eastAsia"/>
          <w:b/>
          <w:bCs/>
          <w:sz w:val="24"/>
          <w:rtl/>
        </w:rPr>
        <w:t>של</w:t>
      </w:r>
      <w:r w:rsidRPr="0092321F">
        <w:rPr>
          <w:b/>
          <w:bCs/>
          <w:sz w:val="24"/>
          <w:rtl/>
        </w:rPr>
        <w:t xml:space="preserve"> </w:t>
      </w:r>
      <w:r w:rsidRPr="0092321F">
        <w:rPr>
          <w:rFonts w:hint="eastAsia"/>
          <w:b/>
          <w:bCs/>
          <w:sz w:val="24"/>
          <w:rtl/>
        </w:rPr>
        <w:t>כלל</w:t>
      </w:r>
      <w:r w:rsidRPr="0092321F">
        <w:rPr>
          <w:b/>
          <w:bCs/>
          <w:sz w:val="24"/>
          <w:rtl/>
        </w:rPr>
        <w:t xml:space="preserve"> </w:t>
      </w:r>
      <w:r w:rsidRPr="0092321F">
        <w:rPr>
          <w:rFonts w:hint="eastAsia"/>
          <w:b/>
          <w:bCs/>
          <w:sz w:val="24"/>
          <w:rtl/>
        </w:rPr>
        <w:t>תאגידי</w:t>
      </w:r>
      <w:r w:rsidRPr="0092321F">
        <w:rPr>
          <w:b/>
          <w:bCs/>
          <w:sz w:val="24"/>
          <w:rtl/>
        </w:rPr>
        <w:t xml:space="preserve"> </w:t>
      </w:r>
      <w:r w:rsidRPr="0092321F">
        <w:rPr>
          <w:rFonts w:hint="eastAsia"/>
          <w:b/>
          <w:bCs/>
          <w:sz w:val="24"/>
          <w:rtl/>
        </w:rPr>
        <w:t>המים</w:t>
      </w:r>
      <w:r w:rsidRPr="0092321F">
        <w:rPr>
          <w:b/>
          <w:bCs/>
          <w:sz w:val="24"/>
          <w:rtl/>
        </w:rPr>
        <w:t xml:space="preserve"> </w:t>
      </w:r>
      <w:r w:rsidRPr="0092321F">
        <w:rPr>
          <w:rFonts w:hint="eastAsia"/>
          <w:b/>
          <w:bCs/>
          <w:sz w:val="24"/>
          <w:rtl/>
        </w:rPr>
        <w:t>והביוב</w:t>
      </w:r>
      <w:r w:rsidRPr="0092321F">
        <w:rPr>
          <w:b/>
          <w:bCs/>
          <w:sz w:val="24"/>
          <w:rtl/>
        </w:rPr>
        <w:t xml:space="preserve"> </w:t>
      </w:r>
      <w:r w:rsidRPr="0092321F">
        <w:rPr>
          <w:rFonts w:hint="eastAsia"/>
          <w:b/>
          <w:bCs/>
          <w:sz w:val="24"/>
          <w:rtl/>
        </w:rPr>
        <w:t>בשנת</w:t>
      </w:r>
      <w:r w:rsidRPr="0092321F">
        <w:rPr>
          <w:b/>
          <w:bCs/>
          <w:sz w:val="24"/>
          <w:rtl/>
        </w:rPr>
        <w:t xml:space="preserve"> 2018 </w:t>
      </w:r>
      <w:r w:rsidRPr="0092321F">
        <w:rPr>
          <w:rFonts w:hint="eastAsia"/>
          <w:b/>
          <w:bCs/>
          <w:sz w:val="24"/>
          <w:rtl/>
        </w:rPr>
        <w:t>עלה</w:t>
      </w:r>
      <w:r w:rsidRPr="0092321F">
        <w:rPr>
          <w:b/>
          <w:bCs/>
          <w:sz w:val="24"/>
          <w:rtl/>
        </w:rPr>
        <w:t xml:space="preserve"> </w:t>
      </w:r>
      <w:r w:rsidRPr="0092321F">
        <w:rPr>
          <w:rFonts w:hint="eastAsia"/>
          <w:b/>
          <w:bCs/>
          <w:sz w:val="24"/>
          <w:rtl/>
        </w:rPr>
        <w:t>כי</w:t>
      </w:r>
      <w:r w:rsidRPr="0092321F">
        <w:rPr>
          <w:b/>
          <w:bCs/>
          <w:sz w:val="24"/>
          <w:rtl/>
        </w:rPr>
        <w:t xml:space="preserve"> </w:t>
      </w:r>
      <w:r w:rsidRPr="0092321F">
        <w:rPr>
          <w:rFonts w:hint="eastAsia"/>
          <w:b/>
          <w:bCs/>
          <w:sz w:val="24"/>
          <w:rtl/>
        </w:rPr>
        <w:t>הערך</w:t>
      </w:r>
      <w:r w:rsidRPr="0092321F">
        <w:rPr>
          <w:b/>
          <w:bCs/>
          <w:sz w:val="24"/>
          <w:rtl/>
        </w:rPr>
        <w:t xml:space="preserve"> </w:t>
      </w:r>
      <w:r w:rsidRPr="0092321F">
        <w:rPr>
          <w:rFonts w:hint="eastAsia"/>
          <w:b/>
          <w:bCs/>
          <w:sz w:val="24"/>
          <w:rtl/>
        </w:rPr>
        <w:t>הגבוה</w:t>
      </w:r>
      <w:r w:rsidRPr="0092321F">
        <w:rPr>
          <w:b/>
          <w:bCs/>
          <w:sz w:val="24"/>
          <w:rtl/>
        </w:rPr>
        <w:t xml:space="preserve"> </w:t>
      </w:r>
      <w:r w:rsidRPr="0092321F">
        <w:rPr>
          <w:rFonts w:hint="eastAsia"/>
          <w:b/>
          <w:bCs/>
          <w:sz w:val="24"/>
          <w:rtl/>
        </w:rPr>
        <w:t>ביותר</w:t>
      </w:r>
      <w:r w:rsidRPr="0092321F">
        <w:rPr>
          <w:b/>
          <w:bCs/>
          <w:sz w:val="24"/>
          <w:rtl/>
        </w:rPr>
        <w:t xml:space="preserve"> </w:t>
      </w:r>
      <w:r w:rsidRPr="0092321F">
        <w:rPr>
          <w:rFonts w:hint="eastAsia"/>
          <w:b/>
          <w:bCs/>
          <w:sz w:val="24"/>
          <w:rtl/>
        </w:rPr>
        <w:t>של</w:t>
      </w:r>
      <w:r w:rsidRPr="0092321F">
        <w:rPr>
          <w:b/>
          <w:bCs/>
          <w:sz w:val="24"/>
          <w:rtl/>
        </w:rPr>
        <w:t xml:space="preserve"> </w:t>
      </w:r>
      <w:r w:rsidRPr="0092321F">
        <w:rPr>
          <w:rFonts w:hint="eastAsia"/>
          <w:b/>
          <w:bCs/>
          <w:sz w:val="24"/>
          <w:rtl/>
        </w:rPr>
        <w:t>פחת</w:t>
      </w:r>
      <w:r w:rsidRPr="0092321F">
        <w:rPr>
          <w:b/>
          <w:bCs/>
          <w:sz w:val="24"/>
          <w:rtl/>
        </w:rPr>
        <w:t xml:space="preserve"> </w:t>
      </w:r>
      <w:r w:rsidRPr="0092321F">
        <w:rPr>
          <w:rFonts w:hint="eastAsia"/>
          <w:b/>
          <w:bCs/>
          <w:sz w:val="24"/>
          <w:rtl/>
        </w:rPr>
        <w:t>המים</w:t>
      </w:r>
      <w:r>
        <w:rPr>
          <w:rFonts w:hint="cs"/>
          <w:b/>
          <w:bCs/>
          <w:sz w:val="24"/>
          <w:rtl/>
        </w:rPr>
        <w:t xml:space="preserve"> באותה השנה</w:t>
      </w:r>
      <w:r w:rsidRPr="0092321F">
        <w:rPr>
          <w:b/>
          <w:bCs/>
          <w:sz w:val="24"/>
          <w:rtl/>
        </w:rPr>
        <w:t xml:space="preserve"> </w:t>
      </w:r>
      <w:r w:rsidRPr="0092321F">
        <w:rPr>
          <w:rFonts w:hint="eastAsia"/>
          <w:b/>
          <w:bCs/>
          <w:sz w:val="24"/>
          <w:rtl/>
        </w:rPr>
        <w:t>עמד</w:t>
      </w:r>
      <w:r w:rsidRPr="0092321F">
        <w:rPr>
          <w:b/>
          <w:bCs/>
          <w:sz w:val="24"/>
          <w:rtl/>
        </w:rPr>
        <w:t xml:space="preserve"> </w:t>
      </w:r>
      <w:r w:rsidRPr="0092321F">
        <w:rPr>
          <w:rFonts w:hint="eastAsia"/>
          <w:b/>
          <w:bCs/>
          <w:sz w:val="24"/>
          <w:rtl/>
        </w:rPr>
        <w:t>על</w:t>
      </w:r>
      <w:r w:rsidRPr="0092321F">
        <w:rPr>
          <w:b/>
          <w:bCs/>
          <w:sz w:val="24"/>
          <w:rtl/>
        </w:rPr>
        <w:t xml:space="preserve"> 36%, </w:t>
      </w:r>
      <w:r>
        <w:rPr>
          <w:rFonts w:hint="cs"/>
          <w:b/>
          <w:bCs/>
          <w:sz w:val="24"/>
          <w:rtl/>
        </w:rPr>
        <w:t>והוא נרשם</w:t>
      </w:r>
      <w:r w:rsidRPr="0092321F">
        <w:rPr>
          <w:b/>
          <w:bCs/>
          <w:sz w:val="24"/>
          <w:rtl/>
        </w:rPr>
        <w:t xml:space="preserve"> </w:t>
      </w:r>
      <w:r w:rsidRPr="0092321F">
        <w:rPr>
          <w:rFonts w:hint="eastAsia"/>
          <w:b/>
          <w:bCs/>
          <w:sz w:val="24"/>
          <w:rtl/>
        </w:rPr>
        <w:t>בתאגיד</w:t>
      </w:r>
      <w:r w:rsidRPr="0092321F">
        <w:rPr>
          <w:b/>
          <w:bCs/>
          <w:sz w:val="24"/>
          <w:rtl/>
        </w:rPr>
        <w:t xml:space="preserve"> </w:t>
      </w:r>
      <w:r w:rsidRPr="0092321F">
        <w:rPr>
          <w:rFonts w:hint="eastAsia"/>
          <w:b/>
          <w:bCs/>
          <w:sz w:val="24"/>
          <w:rtl/>
        </w:rPr>
        <w:t>נווה</w:t>
      </w:r>
      <w:r w:rsidRPr="0092321F">
        <w:rPr>
          <w:b/>
          <w:bCs/>
          <w:sz w:val="24"/>
          <w:rtl/>
        </w:rPr>
        <w:t xml:space="preserve"> </w:t>
      </w:r>
      <w:r w:rsidRPr="0092321F">
        <w:rPr>
          <w:rFonts w:hint="eastAsia"/>
          <w:b/>
          <w:bCs/>
          <w:sz w:val="24"/>
          <w:rtl/>
        </w:rPr>
        <w:t>מדבר</w:t>
      </w:r>
      <w:r w:rsidRPr="0092321F">
        <w:rPr>
          <w:b/>
          <w:bCs/>
          <w:sz w:val="24"/>
          <w:rtl/>
        </w:rPr>
        <w:t xml:space="preserve"> </w:t>
      </w:r>
      <w:r w:rsidRPr="0092321F">
        <w:rPr>
          <w:rFonts w:hint="eastAsia"/>
          <w:b/>
          <w:bCs/>
          <w:sz w:val="24"/>
          <w:rtl/>
        </w:rPr>
        <w:t>המשרת</w:t>
      </w:r>
      <w:r w:rsidRPr="0092321F">
        <w:rPr>
          <w:b/>
          <w:bCs/>
          <w:sz w:val="24"/>
          <w:rtl/>
        </w:rPr>
        <w:t xml:space="preserve"> </w:t>
      </w:r>
      <w:r w:rsidRPr="0092321F">
        <w:rPr>
          <w:rFonts w:hint="eastAsia"/>
          <w:b/>
          <w:bCs/>
          <w:sz w:val="24"/>
          <w:rtl/>
        </w:rPr>
        <w:t>אוכלוסייה</w:t>
      </w:r>
      <w:r w:rsidRPr="0092321F">
        <w:rPr>
          <w:b/>
          <w:bCs/>
          <w:sz w:val="24"/>
          <w:rtl/>
        </w:rPr>
        <w:t xml:space="preserve"> </w:t>
      </w:r>
      <w:r w:rsidRPr="0092321F">
        <w:rPr>
          <w:rFonts w:hint="eastAsia"/>
          <w:b/>
          <w:bCs/>
          <w:sz w:val="24"/>
          <w:rtl/>
        </w:rPr>
        <w:t>בדואית</w:t>
      </w:r>
      <w:r w:rsidRPr="0092321F">
        <w:rPr>
          <w:b/>
          <w:bCs/>
          <w:sz w:val="24"/>
          <w:rtl/>
        </w:rPr>
        <w:t xml:space="preserve"> </w:t>
      </w:r>
      <w:r w:rsidRPr="0092321F">
        <w:rPr>
          <w:rFonts w:hint="eastAsia"/>
          <w:b/>
          <w:bCs/>
          <w:sz w:val="24"/>
          <w:rtl/>
        </w:rPr>
        <w:t>בדרום</w:t>
      </w:r>
      <w:r w:rsidRPr="0092321F">
        <w:rPr>
          <w:b/>
          <w:bCs/>
          <w:sz w:val="24"/>
          <w:rtl/>
        </w:rPr>
        <w:t>.</w:t>
      </w:r>
      <w:r>
        <w:rPr>
          <w:rFonts w:hint="cs"/>
          <w:b/>
          <w:bCs/>
          <w:sz w:val="24"/>
          <w:rtl/>
        </w:rPr>
        <w:t xml:space="preserve"> לפערים בין המגזרים קיימות השלכות לנושאים נרחבים במשק המים, לרבות תיאגוד אזורי, כפי שיורחב להלן.</w:t>
      </w:r>
    </w:p>
    <w:p w:rsidR="003D3BEF" w:rsidP="003D3BEF" w14:paraId="5812E102" w14:textId="77777777">
      <w:pPr>
        <w:pStyle w:val="a"/>
        <w:spacing w:line="269" w:lineRule="auto"/>
        <w:rPr>
          <w:rtl/>
        </w:rPr>
      </w:pPr>
    </w:p>
    <w:p w:rsidR="003D3BEF" w:rsidP="003D3BEF" w14:paraId="674EE79C" w14:textId="77777777">
      <w:pPr>
        <w:spacing w:line="269" w:lineRule="auto"/>
        <w:rPr>
          <w:b/>
          <w:bCs/>
          <w:sz w:val="24"/>
          <w:rtl/>
        </w:rPr>
      </w:pPr>
      <w:r>
        <w:rPr>
          <w:rFonts w:hint="cs"/>
          <w:b/>
          <w:bCs/>
          <w:sz w:val="24"/>
          <w:rtl/>
        </w:rPr>
        <w:t xml:space="preserve">על רשות המים להביא לדיון לפני מועצת הרשות הצעות לצעדים שניתן לנקוט לצורך ייעול פעילותם של התאגידים הזכאים וצמצום הפערים הניכרים בין התאגידים הזכאים ליתר התאגידים, לרבות בעניין פחת המים הגבוה באותם תאגידים, וכן יעודדו את המשך צמצום פחת המים ביתר התאגידים. </w:t>
      </w:r>
    </w:p>
    <w:p w:rsidR="003D3BEF" w:rsidP="003D3BEF" w14:paraId="59183C5D" w14:textId="77777777">
      <w:pPr>
        <w:pStyle w:val="a"/>
        <w:spacing w:line="269" w:lineRule="auto"/>
        <w:rPr>
          <w:rtl/>
        </w:rPr>
      </w:pPr>
    </w:p>
    <w:p w:rsidR="003D3BEF" w:rsidP="003D3BEF" w14:paraId="11D09CD2" w14:textId="77777777">
      <w:pPr>
        <w:spacing w:line="269" w:lineRule="auto"/>
        <w:rPr>
          <w:b/>
          <w:bCs/>
          <w:sz w:val="24"/>
          <w:rtl/>
        </w:rPr>
      </w:pPr>
      <w:r w:rsidRPr="00515844">
        <w:rPr>
          <w:rFonts w:hint="cs"/>
          <w:b/>
          <w:bCs/>
          <w:sz w:val="24"/>
          <w:rtl/>
        </w:rPr>
        <w:t>אחת המטרות המרכזיות שעמדה בבסיס רפורמת התאגידים</w:t>
      </w:r>
      <w:r>
        <w:rPr>
          <w:rFonts w:hint="cs"/>
          <w:b/>
          <w:bCs/>
          <w:sz w:val="24"/>
          <w:rtl/>
        </w:rPr>
        <w:t xml:space="preserve"> היא</w:t>
      </w:r>
      <w:r w:rsidRPr="00515844">
        <w:rPr>
          <w:rFonts w:hint="cs"/>
          <w:b/>
          <w:bCs/>
          <w:sz w:val="24"/>
          <w:rtl/>
        </w:rPr>
        <w:t xml:space="preserve"> התמודדות עם פחת המים, בייחוד לאור המחסור במים במדינת ישראל. </w:t>
      </w:r>
      <w:r>
        <w:rPr>
          <w:rFonts w:hint="cs"/>
          <w:b/>
          <w:bCs/>
          <w:sz w:val="24"/>
          <w:rtl/>
        </w:rPr>
        <w:t>הביקורת העלתה</w:t>
      </w:r>
      <w:r w:rsidRPr="00515844">
        <w:rPr>
          <w:rFonts w:hint="cs"/>
          <w:b/>
          <w:bCs/>
          <w:sz w:val="24"/>
          <w:rtl/>
        </w:rPr>
        <w:t xml:space="preserve"> כי </w:t>
      </w:r>
      <w:r>
        <w:rPr>
          <w:rFonts w:hint="cs"/>
          <w:b/>
          <w:bCs/>
          <w:sz w:val="24"/>
          <w:rtl/>
        </w:rPr>
        <w:t>לאחר הרפורמה</w:t>
      </w:r>
      <w:r w:rsidRPr="00515844">
        <w:rPr>
          <w:rFonts w:hint="cs"/>
          <w:b/>
          <w:bCs/>
          <w:sz w:val="24"/>
          <w:rtl/>
        </w:rPr>
        <w:t xml:space="preserve"> חלה ירידה בערכי </w:t>
      </w:r>
      <w:r>
        <w:rPr>
          <w:rFonts w:hint="cs"/>
          <w:b/>
          <w:bCs/>
          <w:sz w:val="24"/>
          <w:rtl/>
        </w:rPr>
        <w:t xml:space="preserve">הממוצע של </w:t>
      </w:r>
      <w:r w:rsidRPr="00515844">
        <w:rPr>
          <w:rFonts w:hint="cs"/>
          <w:b/>
          <w:bCs/>
          <w:sz w:val="24"/>
          <w:rtl/>
        </w:rPr>
        <w:t>פחת המים</w:t>
      </w:r>
      <w:r>
        <w:rPr>
          <w:rFonts w:hint="cs"/>
          <w:b/>
          <w:bCs/>
          <w:sz w:val="24"/>
          <w:rtl/>
        </w:rPr>
        <w:t xml:space="preserve">. עוד </w:t>
      </w:r>
      <w:r w:rsidRPr="00D617E4">
        <w:rPr>
          <w:rFonts w:hint="eastAsia"/>
          <w:b/>
          <w:bCs/>
          <w:sz w:val="24"/>
          <w:rtl/>
        </w:rPr>
        <w:t>נמצא</w:t>
      </w:r>
      <w:r w:rsidRPr="00D617E4">
        <w:rPr>
          <w:b/>
          <w:bCs/>
          <w:sz w:val="24"/>
          <w:rtl/>
        </w:rPr>
        <w:t xml:space="preserve"> </w:t>
      </w:r>
      <w:r w:rsidRPr="00D617E4">
        <w:rPr>
          <w:rFonts w:hint="eastAsia"/>
          <w:b/>
          <w:bCs/>
          <w:sz w:val="24"/>
          <w:rtl/>
        </w:rPr>
        <w:t>כי</w:t>
      </w:r>
      <w:r w:rsidRPr="00D617E4">
        <w:rPr>
          <w:b/>
          <w:bCs/>
          <w:sz w:val="24"/>
          <w:rtl/>
        </w:rPr>
        <w:t xml:space="preserve"> </w:t>
      </w:r>
      <w:r w:rsidRPr="00D617E4">
        <w:rPr>
          <w:rFonts w:hint="eastAsia"/>
          <w:b/>
          <w:bCs/>
          <w:sz w:val="24"/>
          <w:rtl/>
        </w:rPr>
        <w:t>בשנת</w:t>
      </w:r>
      <w:r w:rsidRPr="00D617E4">
        <w:rPr>
          <w:b/>
          <w:bCs/>
          <w:sz w:val="24"/>
          <w:rtl/>
        </w:rPr>
        <w:t xml:space="preserve"> 2018</w:t>
      </w:r>
      <w:r>
        <w:rPr>
          <w:rFonts w:hint="cs"/>
          <w:b/>
          <w:bCs/>
          <w:sz w:val="24"/>
          <w:rtl/>
        </w:rPr>
        <w:t xml:space="preserve"> היה </w:t>
      </w:r>
      <w:r w:rsidRPr="00515844">
        <w:rPr>
          <w:rFonts w:hint="cs"/>
          <w:b/>
          <w:bCs/>
          <w:sz w:val="24"/>
          <w:rtl/>
        </w:rPr>
        <w:t xml:space="preserve">פחת המים ברשויות </w:t>
      </w:r>
      <w:r>
        <w:rPr>
          <w:rFonts w:hint="cs"/>
          <w:b/>
          <w:bCs/>
          <w:sz w:val="24"/>
          <w:rtl/>
        </w:rPr>
        <w:t xml:space="preserve">החייבות בתיאגוד </w:t>
      </w:r>
      <w:r w:rsidRPr="00515844">
        <w:rPr>
          <w:rFonts w:hint="cs"/>
          <w:b/>
          <w:bCs/>
          <w:sz w:val="24"/>
          <w:rtl/>
        </w:rPr>
        <w:t>שטרם התאגדו גבוה מפחת המים בתאגידים</w:t>
      </w:r>
      <w:r>
        <w:rPr>
          <w:rFonts w:hint="cs"/>
          <w:b/>
          <w:bCs/>
          <w:sz w:val="24"/>
          <w:rtl/>
        </w:rPr>
        <w:t xml:space="preserve"> (ראו לעיל)</w:t>
      </w:r>
      <w:r w:rsidRPr="00515844">
        <w:rPr>
          <w:rFonts w:hint="cs"/>
          <w:b/>
          <w:bCs/>
          <w:sz w:val="24"/>
          <w:rtl/>
        </w:rPr>
        <w:t>.</w:t>
      </w:r>
      <w:r>
        <w:rPr>
          <w:rFonts w:hint="cs"/>
          <w:b/>
          <w:bCs/>
          <w:sz w:val="24"/>
          <w:rtl/>
        </w:rPr>
        <w:t xml:space="preserve"> </w:t>
      </w:r>
    </w:p>
    <w:p w:rsidR="003D3BEF" w:rsidP="003D3BEF" w14:paraId="0B1CE063" w14:textId="77777777">
      <w:pPr>
        <w:pStyle w:val="a"/>
        <w:spacing w:line="269" w:lineRule="auto"/>
        <w:rPr>
          <w:rtl/>
        </w:rPr>
      </w:pPr>
    </w:p>
    <w:p w:rsidR="003D3BEF" w:rsidP="003D3BEF" w14:paraId="6DD8DD00" w14:textId="77777777">
      <w:pPr>
        <w:spacing w:line="269" w:lineRule="auto"/>
        <w:rPr>
          <w:noProof/>
          <w:rtl/>
        </w:rPr>
      </w:pPr>
      <w:r>
        <w:rPr>
          <w:rFonts w:hint="cs"/>
          <w:b/>
          <w:bCs/>
          <w:sz w:val="24"/>
          <w:rtl/>
        </w:rPr>
        <w:t>על הרשויות המקומיות החייבות בתיאגוד שטרם התאגדו לפעול על פי חובתן החוקית להתאגד. על משרד האוצר ועל רשות המים בתיאום עם משרד הפנים, לבחון מהלכים שיביאו להתאגדותן. תיאגוד כאמור עשוי בין היתר להביא לצמצום פחת המים.</w:t>
      </w:r>
    </w:p>
    <w:p w:rsidR="003D3BEF" w:rsidP="003D3BEF" w14:paraId="33A33B31" w14:textId="77777777">
      <w:pPr>
        <w:pStyle w:val="a"/>
        <w:spacing w:line="269" w:lineRule="auto"/>
        <w:rPr>
          <w:noProof/>
          <w:rtl/>
        </w:rPr>
      </w:pPr>
    </w:p>
    <w:p w:rsidR="003D3BEF" w:rsidP="003D3BEF" w14:paraId="182299C0" w14:textId="77777777">
      <w:pPr>
        <w:spacing w:line="269" w:lineRule="auto"/>
        <w:rPr>
          <w:rtl/>
        </w:rPr>
      </w:pPr>
      <w:r>
        <w:rPr>
          <w:rFonts w:hint="cs"/>
          <w:rtl/>
        </w:rPr>
        <w:t xml:space="preserve">בתשובתו מיולי 2020 למשרד מבקר המדינה ציין </w:t>
      </w:r>
      <w:r w:rsidRPr="0047043A">
        <w:rPr>
          <w:rtl/>
        </w:rPr>
        <w:t>משרד הפנים לעניין זה, כי יש</w:t>
      </w:r>
      <w:r>
        <w:rPr>
          <w:rFonts w:hint="cs"/>
          <w:rtl/>
        </w:rPr>
        <w:t xml:space="preserve"> </w:t>
      </w:r>
      <w:r w:rsidRPr="0047043A">
        <w:rPr>
          <w:rtl/>
        </w:rPr>
        <w:t xml:space="preserve">רשויות </w:t>
      </w:r>
      <w:r>
        <w:rPr>
          <w:rFonts w:hint="cs"/>
          <w:rtl/>
        </w:rPr>
        <w:t xml:space="preserve">מקומיות </w:t>
      </w:r>
      <w:r w:rsidRPr="0047043A">
        <w:rPr>
          <w:rtl/>
        </w:rPr>
        <w:t>שאף תאגיד לא מעוניין לצרף אות</w:t>
      </w:r>
      <w:r>
        <w:rPr>
          <w:rFonts w:hint="cs"/>
          <w:rtl/>
        </w:rPr>
        <w:t>ן</w:t>
      </w:r>
      <w:r w:rsidRPr="0047043A">
        <w:rPr>
          <w:rtl/>
        </w:rPr>
        <w:t xml:space="preserve">, כאשר יחד עם זאת משרד הפנים </w:t>
      </w:r>
      <w:r>
        <w:rPr>
          <w:rFonts w:hint="cs"/>
          <w:rtl/>
        </w:rPr>
        <w:t xml:space="preserve">לוחץ </w:t>
      </w:r>
      <w:r w:rsidRPr="0047043A">
        <w:rPr>
          <w:rtl/>
        </w:rPr>
        <w:t>עליהן להתקדם בתהליכי ההתאגדות. משרד הפנים ה</w:t>
      </w:r>
      <w:r>
        <w:rPr>
          <w:rFonts w:hint="cs"/>
          <w:rtl/>
        </w:rPr>
        <w:t>וסיף</w:t>
      </w:r>
      <w:r w:rsidRPr="0047043A">
        <w:rPr>
          <w:rtl/>
        </w:rPr>
        <w:t xml:space="preserve"> כי צירוף רשויות חלשות לתאגידים קיימים אכן יכול להוביל לשיפור במצב משק המים ברשויות אל</w:t>
      </w:r>
      <w:r>
        <w:rPr>
          <w:rFonts w:hint="cs"/>
          <w:rtl/>
        </w:rPr>
        <w:t>ה</w:t>
      </w:r>
      <w:r w:rsidRPr="0047043A">
        <w:rPr>
          <w:rtl/>
        </w:rPr>
        <w:t xml:space="preserve"> ויס</w:t>
      </w:r>
      <w:r>
        <w:rPr>
          <w:rFonts w:hint="cs"/>
          <w:rtl/>
        </w:rPr>
        <w:t>י</w:t>
      </w:r>
      <w:r w:rsidRPr="0047043A">
        <w:rPr>
          <w:rtl/>
        </w:rPr>
        <w:t>יע בהפחתת פחת</w:t>
      </w:r>
      <w:r>
        <w:rPr>
          <w:rFonts w:hint="cs"/>
          <w:rtl/>
        </w:rPr>
        <w:t xml:space="preserve"> </w:t>
      </w:r>
      <w:r w:rsidRPr="0047043A">
        <w:rPr>
          <w:rtl/>
        </w:rPr>
        <w:t>המים ו</w:t>
      </w:r>
      <w:r>
        <w:rPr>
          <w:rFonts w:hint="cs"/>
          <w:rtl/>
        </w:rPr>
        <w:t xml:space="preserve">פחת </w:t>
      </w:r>
      <w:r w:rsidRPr="0047043A">
        <w:rPr>
          <w:rtl/>
        </w:rPr>
        <w:t>הגב</w:t>
      </w:r>
      <w:r>
        <w:rPr>
          <w:rFonts w:hint="cs"/>
          <w:rtl/>
        </w:rPr>
        <w:t>י</w:t>
      </w:r>
      <w:r w:rsidRPr="0047043A">
        <w:rPr>
          <w:rtl/>
        </w:rPr>
        <w:t>יה.</w:t>
      </w:r>
    </w:p>
    <w:p w:rsidR="003D3BEF" w:rsidP="003D3BEF" w14:paraId="02711127" w14:textId="77777777">
      <w:pPr>
        <w:spacing w:line="269" w:lineRule="auto"/>
        <w:rPr>
          <w:rtl/>
        </w:rPr>
      </w:pPr>
    </w:p>
    <w:p w:rsidR="003D3BEF" w:rsidRPr="009E2836" w:rsidP="003D3BEF" w14:paraId="46ABB3B3" w14:textId="77777777">
      <w:pPr>
        <w:pStyle w:val="Heading4"/>
        <w:spacing w:before="0" w:line="269" w:lineRule="auto"/>
        <w:rPr>
          <w:rtl/>
        </w:rPr>
      </w:pPr>
      <w:r w:rsidRPr="009E2836">
        <w:rPr>
          <w:rFonts w:hint="eastAsia"/>
          <w:rtl/>
        </w:rPr>
        <w:t>השקעות</w:t>
      </w:r>
      <w:r w:rsidRPr="009E2836">
        <w:rPr>
          <w:rtl/>
        </w:rPr>
        <w:t xml:space="preserve"> </w:t>
      </w:r>
    </w:p>
    <w:p w:rsidR="003D3BEF" w:rsidP="003D3BEF" w14:paraId="4419AC27" w14:textId="77777777">
      <w:pPr>
        <w:pStyle w:val="a"/>
        <w:rPr>
          <w:rtl/>
        </w:rPr>
      </w:pPr>
    </w:p>
    <w:p w:rsidR="003D3BEF" w:rsidP="003D3BEF" w14:paraId="27EE21A5" w14:textId="77777777">
      <w:pPr>
        <w:spacing w:line="269" w:lineRule="auto"/>
        <w:rPr>
          <w:color w:val="FF0000"/>
          <w:sz w:val="24"/>
          <w:rtl/>
        </w:rPr>
      </w:pPr>
      <w:r>
        <w:rPr>
          <w:rFonts w:hint="cs"/>
          <w:sz w:val="24"/>
          <w:rtl/>
        </w:rPr>
        <w:t xml:space="preserve">לפני רפורמת התיאגוד, חוסר ההשקעה רב השנים של חלק בלתי מבוטל מהרשויות המקומיות בתשתיות מים וביוב הביא לפיגור חמור, שלפי רשות המים, נאמד בכ-4 מיליארד </w:t>
      </w:r>
      <w:r w:rsidRPr="00B70DE1">
        <w:rPr>
          <w:rFonts w:hint="cs"/>
          <w:sz w:val="24"/>
          <w:rtl/>
        </w:rPr>
        <w:t>ש"ח</w:t>
      </w:r>
      <w:r>
        <w:rPr>
          <w:rStyle w:val="FootnoteReference"/>
          <w:sz w:val="24"/>
          <w:rtl/>
        </w:rPr>
        <w:footnoteReference w:id="51"/>
      </w:r>
      <w:r>
        <w:rPr>
          <w:rFonts w:hint="cs"/>
          <w:sz w:val="24"/>
          <w:rtl/>
        </w:rPr>
        <w:t>, במצטבר. פיגור זה בהשקעות גרם לאיבוד מים ניכר מדליפות במערכות המים הישנות, לזיהום במקורות המים מדליפות בתשתיות הביוב ולאיבוד מי קולחין שיכולים היו לשמש לצרכים חקלאיים. נוסף על כך, נוצר חיוב בחסר במקומות רבים בגלל מערכות המדידה הישנות, שחלק ניכר מהן לא כויל במשך שנים רבות על פי התקנות והכללים.</w:t>
      </w:r>
      <w:r w:rsidRPr="00A8671F">
        <w:rPr>
          <w:rFonts w:hint="cs"/>
          <w:color w:val="FF0000"/>
          <w:sz w:val="24"/>
          <w:rtl/>
        </w:rPr>
        <w:t xml:space="preserve"> </w:t>
      </w:r>
    </w:p>
    <w:p w:rsidR="003D3BEF" w:rsidP="003D3BEF" w14:paraId="758D89BC" w14:textId="77777777">
      <w:pPr>
        <w:pStyle w:val="a"/>
        <w:spacing w:line="269" w:lineRule="auto"/>
        <w:rPr>
          <w:rtl/>
        </w:rPr>
      </w:pPr>
    </w:p>
    <w:p w:rsidR="003D3BEF" w:rsidP="003D3BEF" w14:paraId="51E9E67C" w14:textId="77777777">
      <w:pPr>
        <w:spacing w:line="269" w:lineRule="auto"/>
        <w:rPr>
          <w:sz w:val="24"/>
          <w:rtl/>
        </w:rPr>
      </w:pPr>
      <w:r w:rsidRPr="00597487">
        <w:rPr>
          <w:rFonts w:hint="eastAsia"/>
          <w:sz w:val="24"/>
          <w:rtl/>
        </w:rPr>
        <w:t>אחת</w:t>
      </w:r>
      <w:r w:rsidRPr="00597487">
        <w:rPr>
          <w:sz w:val="24"/>
          <w:rtl/>
        </w:rPr>
        <w:t xml:space="preserve"> המטרות של רפורמת </w:t>
      </w:r>
      <w:r w:rsidRPr="00597487">
        <w:rPr>
          <w:rFonts w:hint="eastAsia"/>
          <w:sz w:val="24"/>
          <w:rtl/>
        </w:rPr>
        <w:t>התיאגוד</w:t>
      </w:r>
      <w:r w:rsidRPr="00597487">
        <w:rPr>
          <w:sz w:val="24"/>
          <w:rtl/>
        </w:rPr>
        <w:t xml:space="preserve"> </w:t>
      </w:r>
      <w:r w:rsidRPr="00597487">
        <w:rPr>
          <w:rFonts w:hint="eastAsia"/>
          <w:sz w:val="24"/>
          <w:rtl/>
        </w:rPr>
        <w:t>ה</w:t>
      </w:r>
      <w:r>
        <w:rPr>
          <w:rFonts w:hint="cs"/>
          <w:sz w:val="24"/>
          <w:rtl/>
        </w:rPr>
        <w:t>י</w:t>
      </w:r>
      <w:r w:rsidRPr="00597487">
        <w:rPr>
          <w:rFonts w:hint="eastAsia"/>
          <w:sz w:val="24"/>
          <w:rtl/>
        </w:rPr>
        <w:t>יתה</w:t>
      </w:r>
      <w:r w:rsidRPr="00597487">
        <w:rPr>
          <w:sz w:val="24"/>
          <w:rtl/>
        </w:rPr>
        <w:t xml:space="preserve"> </w:t>
      </w:r>
      <w:r>
        <w:rPr>
          <w:rFonts w:hint="cs"/>
          <w:sz w:val="24"/>
          <w:rtl/>
        </w:rPr>
        <w:t xml:space="preserve">שיפור מצב תשתיות המים והביוב באמצעות </w:t>
      </w:r>
      <w:r w:rsidRPr="00597487">
        <w:rPr>
          <w:sz w:val="24"/>
          <w:rtl/>
        </w:rPr>
        <w:t>הגדלת ההשקעות בתשתיות</w:t>
      </w:r>
      <w:r>
        <w:rPr>
          <w:rFonts w:hint="cs"/>
          <w:sz w:val="24"/>
          <w:rtl/>
        </w:rPr>
        <w:t xml:space="preserve"> אלה. על פי רשות המים, משנת 2011 עד סוף 2018 השקיעו התאגידים ברשתות המים והביוב, לא כולל ההשקעות במתקני טיהור שפכים (להלן-מט"שים), 8.6 מיליארד ש"ח ומתוכם כ-1.3 מיליארד ש"ח בשנת 2018 לבדה.</w:t>
      </w:r>
    </w:p>
    <w:p w:rsidR="003D3BEF" w:rsidP="003D3BEF" w14:paraId="153C0030" w14:textId="77777777">
      <w:pPr>
        <w:pStyle w:val="a"/>
        <w:spacing w:line="269" w:lineRule="auto"/>
        <w:rPr>
          <w:rtl/>
        </w:rPr>
      </w:pPr>
    </w:p>
    <w:p w:rsidR="003D3BEF" w:rsidP="003D3BEF" w14:paraId="39DFDC72" w14:textId="77777777">
      <w:pPr>
        <w:spacing w:line="269" w:lineRule="auto"/>
        <w:rPr>
          <w:sz w:val="24"/>
          <w:rtl/>
        </w:rPr>
      </w:pPr>
      <w:r>
        <w:rPr>
          <w:rFonts w:hint="cs"/>
          <w:sz w:val="24"/>
          <w:rtl/>
        </w:rPr>
        <w:t>לפי כללי אמות מידה הנדסיות</w:t>
      </w:r>
      <w:r>
        <w:rPr>
          <w:rStyle w:val="FootnoteReference"/>
          <w:rtl/>
        </w:rPr>
        <w:footnoteReference w:id="52"/>
      </w:r>
      <w:r>
        <w:rPr>
          <w:rFonts w:hint="cs"/>
          <w:rtl/>
        </w:rPr>
        <w:t>, יכין כל תאגיד תוכנית פיתוח שנתית לשיקום ושדרוג של תשתיות המים והביוב, בהיקף השקעות שלא יפחת מהשיעור המינימלי שנקבע בכללים</w:t>
      </w:r>
      <w:r>
        <w:rPr>
          <w:rStyle w:val="FootnoteReference"/>
          <w:rtl/>
        </w:rPr>
        <w:footnoteReference w:id="53"/>
      </w:r>
      <w:r>
        <w:rPr>
          <w:rFonts w:hint="cs"/>
          <w:rtl/>
        </w:rPr>
        <w:t xml:space="preserve"> </w:t>
      </w:r>
      <w:r>
        <w:rPr>
          <w:rFonts w:hint="cs"/>
          <w:sz w:val="24"/>
          <w:rtl/>
        </w:rPr>
        <w:t>(להלן - השקעות מינימליות). רשות המים בחנה את ביצוע התוכנית השנתית של התאגידים לשיקום ושדרוג של תשתיות המים והביוב לשנים 2016-2018</w:t>
      </w:r>
      <w:r>
        <w:rPr>
          <w:rStyle w:val="FootnoteReference"/>
          <w:sz w:val="24"/>
          <w:rtl/>
        </w:rPr>
        <w:footnoteReference w:id="54"/>
      </w:r>
      <w:r>
        <w:rPr>
          <w:rFonts w:hint="cs"/>
          <w:sz w:val="24"/>
          <w:rtl/>
        </w:rPr>
        <w:t>. באוקטובר 2019 היא הודיעה למועצת הרשות כי מצאה שמתוך 49 התאגידים שהגישו בקשה לפטור מתיאגוד אזורי, 5 תאגידים לא עמדו בתנאי ביצועה המלא של תוכנית הפיתוח השנתית שאישר הממונה</w:t>
      </w:r>
      <w:r>
        <w:rPr>
          <w:rStyle w:val="FootnoteReference"/>
          <w:sz w:val="24"/>
          <w:rtl/>
        </w:rPr>
        <w:footnoteReference w:id="55"/>
      </w:r>
      <w:r>
        <w:rPr>
          <w:rFonts w:hint="cs"/>
          <w:sz w:val="24"/>
          <w:rtl/>
        </w:rPr>
        <w:t xml:space="preserve"> - תאגיד אחד חזק, תאגיד אחד חלש ושלושה תאגידים בינוניים. להלן ממצאי הבדיקות שעשתה רשות המים בנוגע לעמידה בתנאי ההשקעות המינימליות שנדרשו לצורך קבלת פטור מתיאגוד אזורי</w:t>
      </w:r>
      <w:r>
        <w:rPr>
          <w:rStyle w:val="FootnoteReference"/>
          <w:sz w:val="24"/>
          <w:rtl/>
        </w:rPr>
        <w:footnoteReference w:id="56"/>
      </w:r>
      <w:r>
        <w:rPr>
          <w:rFonts w:hint="cs"/>
          <w:sz w:val="24"/>
          <w:rtl/>
        </w:rPr>
        <w:t xml:space="preserve">: </w:t>
      </w:r>
    </w:p>
    <w:p w:rsidR="003D3BEF" w:rsidP="003D3BEF" w14:paraId="5C18E54B" w14:textId="77777777">
      <w:pPr>
        <w:spacing w:line="269" w:lineRule="auto"/>
        <w:rPr>
          <w:sz w:val="24"/>
          <w:rtl/>
        </w:rPr>
      </w:pPr>
    </w:p>
    <w:p w:rsidR="003D3BEF" w:rsidP="003D3BEF" w14:paraId="42214CF5" w14:textId="77777777">
      <w:pPr>
        <w:spacing w:line="269" w:lineRule="auto"/>
        <w:rPr>
          <w:sz w:val="24"/>
          <w:rtl/>
        </w:rPr>
      </w:pPr>
    </w:p>
    <w:p w:rsidR="003D3BEF" w:rsidP="003D3BEF" w14:paraId="12921D43" w14:textId="77777777">
      <w:pPr>
        <w:spacing w:line="269" w:lineRule="auto"/>
        <w:rPr>
          <w:sz w:val="24"/>
          <w:rtl/>
        </w:rPr>
      </w:pPr>
    </w:p>
    <w:p w:rsidR="003D3BEF" w:rsidP="003D3BEF" w14:paraId="0A79470B" w14:textId="77777777">
      <w:pPr>
        <w:spacing w:line="269" w:lineRule="auto"/>
        <w:rPr>
          <w:sz w:val="24"/>
          <w:rtl/>
        </w:rPr>
      </w:pPr>
    </w:p>
    <w:p w:rsidR="003D3BEF" w:rsidP="003D3BEF" w14:paraId="69A73135" w14:textId="77777777">
      <w:pPr>
        <w:spacing w:line="269" w:lineRule="auto"/>
        <w:rPr>
          <w:sz w:val="24"/>
          <w:rtl/>
        </w:rPr>
      </w:pPr>
    </w:p>
    <w:p w:rsidR="003D3BEF" w:rsidP="003D3BEF" w14:paraId="4E17B1A5" w14:textId="77777777">
      <w:pPr>
        <w:spacing w:line="269" w:lineRule="auto"/>
        <w:rPr>
          <w:sz w:val="24"/>
          <w:rtl/>
        </w:rPr>
      </w:pPr>
    </w:p>
    <w:p w:rsidR="003D3BEF" w:rsidP="003D3BEF" w14:paraId="7E06D649" w14:textId="77777777">
      <w:pPr>
        <w:spacing w:line="269" w:lineRule="auto"/>
        <w:rPr>
          <w:sz w:val="24"/>
          <w:rtl/>
        </w:rPr>
      </w:pPr>
    </w:p>
    <w:p w:rsidR="003D3BEF" w:rsidP="003D3BEF" w14:paraId="6757BC6F" w14:textId="77777777">
      <w:pPr>
        <w:spacing w:line="269" w:lineRule="auto"/>
        <w:rPr>
          <w:sz w:val="24"/>
          <w:rtl/>
        </w:rPr>
      </w:pPr>
    </w:p>
    <w:p w:rsidR="003D3BEF" w:rsidP="003D3BEF" w14:paraId="2BE4C95D" w14:textId="77777777">
      <w:pPr>
        <w:spacing w:line="269" w:lineRule="auto"/>
        <w:rPr>
          <w:sz w:val="24"/>
          <w:rtl/>
        </w:rPr>
      </w:pPr>
    </w:p>
    <w:p w:rsidR="003D3BEF" w:rsidP="003D3BEF" w14:paraId="030DC2DD" w14:textId="77777777">
      <w:pPr>
        <w:spacing w:line="269" w:lineRule="auto"/>
        <w:jc w:val="center"/>
        <w:rPr>
          <w:b/>
          <w:bCs/>
          <w:sz w:val="24"/>
          <w:rtl/>
        </w:rPr>
      </w:pPr>
      <w:r>
        <w:rPr>
          <w:rFonts w:hint="cs"/>
          <w:b/>
          <w:bCs/>
          <w:sz w:val="24"/>
          <w:rtl/>
        </w:rPr>
        <w:t>תרשים 17</w:t>
      </w:r>
      <w:r w:rsidRPr="00594DBB">
        <w:rPr>
          <w:rFonts w:hint="cs"/>
          <w:b/>
          <w:bCs/>
          <w:sz w:val="24"/>
          <w:rtl/>
        </w:rPr>
        <w:t xml:space="preserve">: </w:t>
      </w:r>
      <w:r>
        <w:rPr>
          <w:rFonts w:hint="cs"/>
          <w:b/>
          <w:bCs/>
          <w:sz w:val="24"/>
          <w:rtl/>
        </w:rPr>
        <w:t>סטטוס העמידה בתנאי ההשקעות המינימליות</w:t>
      </w:r>
    </w:p>
    <w:p w:rsidR="003D3BEF" w:rsidP="00282624" w14:paraId="41F9561A" w14:textId="77777777">
      <w:pPr>
        <w:spacing w:before="120" w:after="120" w:line="269" w:lineRule="auto"/>
        <w:jc w:val="center"/>
        <w:rPr>
          <w:b/>
          <w:bCs/>
          <w:sz w:val="24"/>
          <w:rtl/>
        </w:rPr>
      </w:pPr>
      <w:r>
        <w:rPr>
          <w:b/>
          <w:bCs/>
          <w:noProof/>
          <w:sz w:val="24"/>
          <w:rtl/>
        </w:rPr>
        <w:drawing>
          <wp:inline distT="0" distB="0" distL="0" distR="0">
            <wp:extent cx="4320000" cy="3672000"/>
            <wp:effectExtent l="0" t="0" r="4445" b="5080"/>
            <wp:docPr id="624677549" name="תמונה 62467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93899" name="water-corporations-g-17.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672000"/>
                    </a:xfrm>
                    <a:prstGeom prst="rect">
                      <a:avLst/>
                    </a:prstGeom>
                  </pic:spPr>
                </pic:pic>
              </a:graphicData>
            </a:graphic>
          </wp:inline>
        </w:drawing>
      </w:r>
    </w:p>
    <w:p w:rsidR="003D3BEF" w:rsidRPr="00684E93" w:rsidP="003D3BEF" w14:paraId="1568F7AC" w14:textId="77777777">
      <w:pPr>
        <w:spacing w:line="269" w:lineRule="auto"/>
        <w:jc w:val="center"/>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76F22BE4" w14:textId="77777777">
      <w:pPr>
        <w:pStyle w:val="a"/>
        <w:spacing w:line="269" w:lineRule="auto"/>
        <w:rPr>
          <w:rtl/>
        </w:rPr>
      </w:pPr>
    </w:p>
    <w:p w:rsidR="003D3BEF" w:rsidP="003D3BEF" w14:paraId="438AC2B0" w14:textId="77777777">
      <w:pPr>
        <w:spacing w:line="269" w:lineRule="auto"/>
        <w:rPr>
          <w:sz w:val="24"/>
          <w:rtl/>
        </w:rPr>
      </w:pPr>
      <w:r>
        <w:rPr>
          <w:rFonts w:hint="cs"/>
          <w:sz w:val="24"/>
          <w:rtl/>
        </w:rPr>
        <w:t>מהתרשים עולה כי מתוך 39 התאגידים שרשות המים בדקה את עמידתם בהשקעות מינימליו</w:t>
      </w:r>
      <w:r>
        <w:rPr>
          <w:rFonts w:hint="eastAsia"/>
          <w:sz w:val="24"/>
          <w:rtl/>
        </w:rPr>
        <w:t>ת</w:t>
      </w:r>
      <w:r>
        <w:rPr>
          <w:rFonts w:hint="cs"/>
          <w:sz w:val="24"/>
          <w:rtl/>
        </w:rPr>
        <w:t>, נמצאו 34 תאגידים העומדים בתנאי ההשקעות המינימליות ו-5 שאינם עומדים בתנאי זה. מתוך 17 התאגידים שהרשות לא בדקה את עמידתם בתנאי האמור, יש 11 תאגידים חלשים שרשות המים הגדירה כזכאים - שני תאגידים לא הגישו בקשה לפטור מתיאגוד איזורי, ולגבי תשעת התאגידים האחרים</w:t>
      </w:r>
      <w:r w:rsidRPr="00742867">
        <w:rPr>
          <w:rFonts w:hint="cs"/>
          <w:sz w:val="24"/>
          <w:rtl/>
        </w:rPr>
        <w:t>, שהגישו בקשה, הסביר הממונה בישיבת המועצה ב-26.9.19 כי מדובר בתאגידים שרשות המים תומכת בהם מאז הקמתם הן בתעריף הן במענקים הן בהלוואות מוטבות, בהקלות ו</w:t>
      </w:r>
      <w:r>
        <w:rPr>
          <w:rFonts w:hint="cs"/>
          <w:sz w:val="24"/>
          <w:rtl/>
        </w:rPr>
        <w:t>ב</w:t>
      </w:r>
      <w:r w:rsidRPr="00742867">
        <w:rPr>
          <w:rFonts w:hint="cs"/>
          <w:sz w:val="24"/>
          <w:rtl/>
        </w:rPr>
        <w:t>הנדסה.</w:t>
      </w:r>
      <w:r>
        <w:rPr>
          <w:rFonts w:hint="cs"/>
          <w:sz w:val="24"/>
          <w:rtl/>
        </w:rPr>
        <w:t xml:space="preserve"> הוא הוסיף כי</w:t>
      </w:r>
      <w:r w:rsidRPr="00742867">
        <w:rPr>
          <w:sz w:val="24"/>
          <w:rtl/>
        </w:rPr>
        <w:t xml:space="preserve"> רשות המים מראש לא חשבה שהם יכולים לקבל פטור מכיוון שהם אינם מסוגלים להמשיך ולהתקיים בכוחות עצמם</w:t>
      </w:r>
      <w:r w:rsidRPr="00742867">
        <w:rPr>
          <w:rFonts w:hint="cs"/>
          <w:sz w:val="24"/>
          <w:rtl/>
        </w:rPr>
        <w:t>. מכאן, אף לא תאגיד זכאי אחד עומד בתנאי ההשקעות מינימליות.</w:t>
      </w:r>
    </w:p>
    <w:p w:rsidR="003D3BEF" w:rsidRPr="00742867" w:rsidP="003D3BEF" w14:paraId="3D5BB354" w14:textId="77777777">
      <w:pPr>
        <w:pStyle w:val="a"/>
        <w:spacing w:line="269" w:lineRule="auto"/>
        <w:rPr>
          <w:rtl/>
        </w:rPr>
      </w:pPr>
    </w:p>
    <w:p w:rsidR="003D3BEF" w:rsidP="003D3BEF" w14:paraId="01FB6BBF" w14:textId="77777777">
      <w:pPr>
        <w:spacing w:line="269" w:lineRule="auto"/>
        <w:rPr>
          <w:b/>
          <w:bCs/>
          <w:sz w:val="24"/>
          <w:rtl/>
        </w:rPr>
      </w:pPr>
      <w:r>
        <w:rPr>
          <w:rFonts w:hint="cs"/>
          <w:b/>
          <w:bCs/>
          <w:sz w:val="24"/>
          <w:rtl/>
        </w:rPr>
        <w:t>מ</w:t>
      </w:r>
      <w:r w:rsidRPr="004C3C06">
        <w:rPr>
          <w:rFonts w:hint="cs"/>
          <w:b/>
          <w:bCs/>
          <w:sz w:val="24"/>
          <w:rtl/>
        </w:rPr>
        <w:t xml:space="preserve">מצאי בדיקת רשות המים </w:t>
      </w:r>
      <w:r>
        <w:rPr>
          <w:rFonts w:hint="cs"/>
          <w:b/>
          <w:bCs/>
          <w:sz w:val="24"/>
          <w:rtl/>
        </w:rPr>
        <w:t xml:space="preserve">משנת 2019 מעלים כי חמישה מתוך התאגידים שהיא בדקה לא עמדו בתנאי ההשקעות המינימליות, ובהם ארבעה תאגידים רב-רשותיים. נוסף על כך, לפי דברי הממונה לא נבדק ביצוען של השקעות מינימליות בידי תשעת התאגידים הזכאים שהגישו בקשה לפטור, מכיוון שמלכתחילה הם לא עמדו בתנאי הפטור מתיאגוד. </w:t>
      </w:r>
    </w:p>
    <w:p w:rsidR="003D3BEF" w:rsidP="003D3BEF" w14:paraId="256123C7" w14:textId="77777777">
      <w:pPr>
        <w:spacing w:line="269" w:lineRule="auto"/>
        <w:rPr>
          <w:b/>
          <w:bCs/>
          <w:sz w:val="24"/>
          <w:rtl/>
        </w:rPr>
      </w:pPr>
    </w:p>
    <w:p w:rsidR="003D3BEF" w:rsidP="003D3BEF" w14:paraId="1AA65546" w14:textId="77777777">
      <w:pPr>
        <w:spacing w:line="269" w:lineRule="auto"/>
        <w:rPr>
          <w:b/>
          <w:bCs/>
          <w:sz w:val="24"/>
          <w:rtl/>
        </w:rPr>
      </w:pPr>
    </w:p>
    <w:p w:rsidR="003D3BEF" w:rsidP="003D3BEF" w14:paraId="7A222FF3" w14:textId="77777777">
      <w:pPr>
        <w:spacing w:line="269" w:lineRule="auto"/>
        <w:rPr>
          <w:b/>
          <w:bCs/>
          <w:sz w:val="24"/>
          <w:rtl/>
        </w:rPr>
      </w:pPr>
    </w:p>
    <w:p w:rsidR="003D3BEF" w:rsidP="003D3BEF" w14:paraId="0C966F19" w14:textId="77777777">
      <w:pPr>
        <w:spacing w:line="269" w:lineRule="auto"/>
        <w:rPr>
          <w:b/>
          <w:bCs/>
          <w:sz w:val="24"/>
          <w:rtl/>
        </w:rPr>
      </w:pPr>
    </w:p>
    <w:p w:rsidR="003D3BEF" w:rsidP="003D3BEF" w14:paraId="0230C244" w14:textId="77777777">
      <w:pPr>
        <w:spacing w:line="269" w:lineRule="auto"/>
        <w:rPr>
          <w:b/>
          <w:bCs/>
          <w:sz w:val="24"/>
          <w:rtl/>
        </w:rPr>
      </w:pPr>
    </w:p>
    <w:p w:rsidR="003D3BEF" w:rsidP="003D3BEF" w14:paraId="23995650" w14:textId="77777777">
      <w:pPr>
        <w:spacing w:line="269" w:lineRule="auto"/>
        <w:rPr>
          <w:b/>
          <w:bCs/>
          <w:sz w:val="24"/>
          <w:rtl/>
        </w:rPr>
      </w:pPr>
    </w:p>
    <w:p w:rsidR="003D3BEF" w:rsidP="003D3BEF" w14:paraId="4C9109F7" w14:textId="77777777">
      <w:pPr>
        <w:spacing w:line="269" w:lineRule="auto"/>
        <w:rPr>
          <w:b/>
          <w:bCs/>
          <w:sz w:val="24"/>
          <w:rtl/>
        </w:rPr>
      </w:pPr>
    </w:p>
    <w:p w:rsidR="003D3BEF" w:rsidP="003D3BEF" w14:paraId="73381D79" w14:textId="77777777">
      <w:pPr>
        <w:spacing w:line="269" w:lineRule="auto"/>
        <w:rPr>
          <w:b/>
          <w:bCs/>
          <w:sz w:val="24"/>
          <w:rtl/>
        </w:rPr>
      </w:pPr>
    </w:p>
    <w:p w:rsidR="003D3BEF" w:rsidP="003D3BEF" w14:paraId="4ACF9581" w14:textId="77777777">
      <w:pPr>
        <w:spacing w:line="269" w:lineRule="auto"/>
        <w:rPr>
          <w:b/>
          <w:bCs/>
          <w:sz w:val="24"/>
          <w:rtl/>
        </w:rPr>
      </w:pPr>
    </w:p>
    <w:p w:rsidR="003D3BEF" w:rsidP="003D3BEF" w14:paraId="18A75B18" w14:textId="77777777">
      <w:pPr>
        <w:spacing w:line="269" w:lineRule="auto"/>
        <w:rPr>
          <w:b/>
          <w:bCs/>
          <w:sz w:val="24"/>
          <w:rtl/>
        </w:rPr>
      </w:pPr>
    </w:p>
    <w:p w:rsidR="003D3BEF" w:rsidP="003D3BEF" w14:paraId="675E6A67" w14:textId="77777777">
      <w:pPr>
        <w:spacing w:line="269" w:lineRule="auto"/>
        <w:rPr>
          <w:b/>
          <w:bCs/>
          <w:sz w:val="24"/>
          <w:rtl/>
        </w:rPr>
      </w:pPr>
    </w:p>
    <w:p w:rsidR="003D3BEF" w:rsidP="003D3BEF" w14:paraId="2C24E496" w14:textId="77777777">
      <w:pPr>
        <w:pStyle w:val="a"/>
        <w:spacing w:line="269" w:lineRule="auto"/>
        <w:rPr>
          <w:rtl/>
        </w:rPr>
      </w:pPr>
    </w:p>
    <w:p w:rsidR="003D3BEF" w:rsidP="003D3BEF" w14:paraId="1E6208F0" w14:textId="77777777">
      <w:pPr>
        <w:spacing w:line="269" w:lineRule="auto"/>
        <w:rPr>
          <w:noProof/>
        </w:rPr>
      </w:pPr>
      <w:r>
        <w:rPr>
          <w:rFonts w:hint="cs"/>
          <w:noProof/>
          <w:rtl/>
        </w:rPr>
        <w:t>התרשים להלן מציג את הגידול באוכלוסיית ישראל בשנים 2019-2011 במדינת ישראל:</w:t>
      </w:r>
    </w:p>
    <w:p w:rsidR="003D3BEF" w:rsidP="003D3BEF" w14:paraId="31FDACBD" w14:textId="77777777">
      <w:pPr>
        <w:spacing w:line="269" w:lineRule="auto"/>
        <w:jc w:val="center"/>
        <w:rPr>
          <w:b/>
          <w:bCs/>
          <w:sz w:val="24"/>
          <w:rtl/>
        </w:rPr>
      </w:pPr>
    </w:p>
    <w:p w:rsidR="003D3BEF" w:rsidP="003D3BEF" w14:paraId="6BD8A86C" w14:textId="77777777">
      <w:pPr>
        <w:spacing w:line="269" w:lineRule="auto"/>
        <w:jc w:val="center"/>
        <w:rPr>
          <w:b/>
          <w:bCs/>
          <w:sz w:val="24"/>
          <w:rtl/>
        </w:rPr>
      </w:pPr>
      <w:r>
        <w:rPr>
          <w:rFonts w:hint="cs"/>
          <w:b/>
          <w:bCs/>
          <w:sz w:val="24"/>
          <w:rtl/>
        </w:rPr>
        <w:t>תרשים 18</w:t>
      </w:r>
      <w:r w:rsidRPr="00594DBB">
        <w:rPr>
          <w:rFonts w:hint="cs"/>
          <w:b/>
          <w:bCs/>
          <w:sz w:val="24"/>
          <w:rtl/>
        </w:rPr>
        <w:t>:</w:t>
      </w:r>
      <w:r>
        <w:rPr>
          <w:rFonts w:hint="cs"/>
          <w:b/>
          <w:bCs/>
          <w:sz w:val="24"/>
          <w:rtl/>
        </w:rPr>
        <w:t xml:space="preserve"> אוכלוסיית ישראל בשנים 2019-2011 (במונחי אלפים)</w:t>
      </w:r>
    </w:p>
    <w:p w:rsidR="003D3BEF" w:rsidP="00282624" w14:paraId="71C2284C" w14:textId="77777777">
      <w:pPr>
        <w:spacing w:before="120" w:after="120" w:line="269" w:lineRule="auto"/>
        <w:jc w:val="center"/>
        <w:rPr>
          <w:sz w:val="22"/>
          <w:szCs w:val="22"/>
          <w:rtl/>
        </w:rPr>
      </w:pPr>
      <w:r>
        <w:rPr>
          <w:noProof/>
          <w:sz w:val="22"/>
          <w:szCs w:val="22"/>
          <w:rtl/>
        </w:rPr>
        <w:drawing>
          <wp:inline distT="0" distB="0" distL="0" distR="0">
            <wp:extent cx="4322073" cy="2353061"/>
            <wp:effectExtent l="0" t="0" r="2540" b="9525"/>
            <wp:docPr id="624677551" name="תמונה 62467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69286" name="water-corporations-g-18.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53061"/>
                    </a:xfrm>
                    <a:prstGeom prst="rect">
                      <a:avLst/>
                    </a:prstGeom>
                  </pic:spPr>
                </pic:pic>
              </a:graphicData>
            </a:graphic>
          </wp:inline>
        </w:drawing>
      </w:r>
    </w:p>
    <w:p w:rsidR="003D3BEF" w:rsidRPr="00684E93" w:rsidP="003D3BEF" w14:paraId="4090EF8F"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cs"/>
          <w:sz w:val="22"/>
          <w:szCs w:val="22"/>
          <w:rtl/>
        </w:rPr>
        <w:t>הלשכה המרכזית לסטסטיקה,</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134315D9" w14:textId="77777777">
      <w:pPr>
        <w:pStyle w:val="a"/>
        <w:spacing w:line="269" w:lineRule="auto"/>
        <w:rPr>
          <w:rtl/>
        </w:rPr>
      </w:pPr>
    </w:p>
    <w:p w:rsidR="003D3BEF" w:rsidRPr="005C3F06" w:rsidP="003D3BEF" w14:paraId="0FA9D198" w14:textId="77777777">
      <w:pPr>
        <w:spacing w:line="269" w:lineRule="auto"/>
        <w:jc w:val="left"/>
        <w:rPr>
          <w:sz w:val="24"/>
          <w:rtl/>
        </w:rPr>
      </w:pPr>
      <w:r w:rsidRPr="005C3F06">
        <w:rPr>
          <w:sz w:val="24"/>
          <w:rtl/>
        </w:rPr>
        <w:t>רשות המים השיבה למשרד מבקר המדינה במאי 2020 (להלן</w:t>
      </w:r>
      <w:r>
        <w:rPr>
          <w:rFonts w:hint="cs"/>
          <w:sz w:val="24"/>
          <w:rtl/>
        </w:rPr>
        <w:t xml:space="preserve"> </w:t>
      </w:r>
      <w:r w:rsidRPr="005C3F06">
        <w:rPr>
          <w:sz w:val="24"/>
          <w:rtl/>
        </w:rPr>
        <w:t>- תשובת רשות המים) כי "תכנית ההשקעות של כל אחד מהתאגידים נבחנת בכל שנה, ל-3 השנים הבאות. התכנית כוללת הן את חלק שיקום ושדרוג והן חלק פיתוח. תכניות ההשקעה נבחנות בהתאם לתכניות האב למים וביוב לשנת יעד 2040, עם בדיקת רגישות לשנת 2050, וניתן בהן מענה מלא לגידול הצפוי באוכלוסי</w:t>
      </w:r>
      <w:r>
        <w:rPr>
          <w:rFonts w:hint="cs"/>
          <w:sz w:val="24"/>
          <w:rtl/>
        </w:rPr>
        <w:t>י</w:t>
      </w:r>
      <w:r w:rsidRPr="005C3F06">
        <w:rPr>
          <w:sz w:val="24"/>
          <w:rtl/>
        </w:rPr>
        <w:t>ה ולתכניות הפיתוח והבניה".</w:t>
      </w:r>
    </w:p>
    <w:p w:rsidR="003D3BEF" w:rsidP="003D3BEF" w14:paraId="00DA6AB2" w14:textId="77777777">
      <w:pPr>
        <w:pStyle w:val="a"/>
        <w:spacing w:line="269" w:lineRule="auto"/>
        <w:rPr>
          <w:rtl/>
        </w:rPr>
      </w:pPr>
    </w:p>
    <w:p w:rsidR="003D3BEF" w:rsidP="003D3BEF" w14:paraId="563BE429" w14:textId="77777777">
      <w:pPr>
        <w:spacing w:line="269" w:lineRule="auto"/>
        <w:jc w:val="left"/>
        <w:rPr>
          <w:b/>
          <w:bCs/>
          <w:sz w:val="24"/>
          <w:rtl/>
        </w:rPr>
      </w:pPr>
      <w:r>
        <w:rPr>
          <w:rFonts w:hint="cs"/>
          <w:b/>
          <w:bCs/>
          <w:sz w:val="24"/>
          <w:rtl/>
        </w:rPr>
        <w:t>לאור הגידול באוכלוסיית ישראל בעשור האחרון כעולה מהתרשים, והצפי להגיע ל-10 מיליון תושבים בסוף 2024</w:t>
      </w:r>
      <w:r>
        <w:rPr>
          <w:rStyle w:val="FootnoteReference"/>
          <w:b/>
          <w:bCs/>
          <w:sz w:val="24"/>
          <w:rtl/>
        </w:rPr>
        <w:footnoteReference w:id="57"/>
      </w:r>
      <w:r>
        <w:rPr>
          <w:rFonts w:hint="cs"/>
          <w:b/>
          <w:bCs/>
          <w:sz w:val="24"/>
          <w:rtl/>
        </w:rPr>
        <w:t>, מומלץ כי רשות המים תמשיך לבדוק את תוכניות ההשקעה של התאגידים, ובין היתר גם בהלימה לגידול הצפוי באוכלוסייה</w:t>
      </w:r>
      <w:r w:rsidRPr="00742867">
        <w:rPr>
          <w:rFonts w:hint="cs"/>
          <w:b/>
          <w:bCs/>
          <w:sz w:val="24"/>
          <w:rtl/>
        </w:rPr>
        <w:t xml:space="preserve">, </w:t>
      </w:r>
      <w:r w:rsidRPr="00742867">
        <w:rPr>
          <w:rFonts w:hint="eastAsia"/>
          <w:b/>
          <w:bCs/>
          <w:sz w:val="24"/>
          <w:rtl/>
        </w:rPr>
        <w:t>לתוכניות</w:t>
      </w:r>
      <w:r w:rsidRPr="00742867">
        <w:rPr>
          <w:b/>
          <w:bCs/>
          <w:sz w:val="24"/>
          <w:rtl/>
        </w:rPr>
        <w:t xml:space="preserve"> הפיתוח והבנייה </w:t>
      </w:r>
      <w:r w:rsidRPr="00742867">
        <w:rPr>
          <w:rFonts w:hint="eastAsia"/>
          <w:b/>
          <w:bCs/>
          <w:sz w:val="24"/>
          <w:rtl/>
        </w:rPr>
        <w:t>באזורים</w:t>
      </w:r>
      <w:r w:rsidRPr="00742867">
        <w:rPr>
          <w:b/>
          <w:bCs/>
          <w:sz w:val="24"/>
          <w:rtl/>
        </w:rPr>
        <w:t xml:space="preserve"> השונים</w:t>
      </w:r>
      <w:r w:rsidRPr="00742867">
        <w:rPr>
          <w:rFonts w:hint="cs"/>
          <w:b/>
          <w:bCs/>
          <w:sz w:val="24"/>
          <w:rtl/>
        </w:rPr>
        <w:t xml:space="preserve"> ולתיאגוד האזורי הצפוי</w:t>
      </w:r>
      <w:r>
        <w:rPr>
          <w:rFonts w:hint="cs"/>
          <w:b/>
          <w:bCs/>
          <w:sz w:val="24"/>
          <w:rtl/>
        </w:rPr>
        <w:t>.</w:t>
      </w:r>
    </w:p>
    <w:p w:rsidR="003D3BEF" w:rsidP="003D3BEF" w14:paraId="52ACED42" w14:textId="77777777">
      <w:pPr>
        <w:pStyle w:val="a"/>
        <w:spacing w:line="269" w:lineRule="auto"/>
        <w:rPr>
          <w:rtl/>
        </w:rPr>
      </w:pPr>
    </w:p>
    <w:p w:rsidR="003D3BEF" w:rsidRPr="00433EBC" w:rsidP="003D3BEF" w14:paraId="4F16E5A7" w14:textId="77777777">
      <w:pPr>
        <w:pStyle w:val="Heading4"/>
        <w:spacing w:before="0" w:line="269" w:lineRule="auto"/>
        <w:rPr>
          <w:rtl/>
        </w:rPr>
      </w:pPr>
      <w:r w:rsidRPr="00433EBC">
        <w:rPr>
          <w:rFonts w:hint="cs"/>
          <w:rtl/>
        </w:rPr>
        <w:t>מנגנון הסבסוד הצולב בתעריף</w:t>
      </w:r>
    </w:p>
    <w:p w:rsidR="003D3BEF" w:rsidP="003D3BEF" w14:paraId="3C7507FE" w14:textId="77777777">
      <w:pPr>
        <w:pStyle w:val="a"/>
        <w:rPr>
          <w:rtl/>
        </w:rPr>
      </w:pPr>
    </w:p>
    <w:p w:rsidR="003D3BEF" w:rsidP="003D3BEF" w14:paraId="70C06A52" w14:textId="77777777">
      <w:pPr>
        <w:tabs>
          <w:tab w:val="left" w:pos="651"/>
        </w:tabs>
        <w:spacing w:line="269" w:lineRule="auto"/>
        <w:rPr>
          <w:sz w:val="24"/>
          <w:rtl/>
        </w:rPr>
      </w:pPr>
      <w:r w:rsidRPr="00B70DE1">
        <w:rPr>
          <w:rFonts w:hint="cs"/>
          <w:sz w:val="24"/>
          <w:rtl/>
        </w:rPr>
        <w:t>נוכח העיקרון שלפיו</w:t>
      </w:r>
      <w:r>
        <w:rPr>
          <w:rFonts w:hint="cs"/>
          <w:sz w:val="24"/>
          <w:rtl/>
        </w:rPr>
        <w:t xml:space="preserve"> יהיו</w:t>
      </w:r>
      <w:r w:rsidRPr="00B70DE1">
        <w:rPr>
          <w:rFonts w:hint="cs"/>
          <w:sz w:val="24"/>
          <w:rtl/>
        </w:rPr>
        <w:t xml:space="preserve"> תעריפי מים וביוב אחידים בכל הארץ</w:t>
      </w:r>
      <w:r>
        <w:rPr>
          <w:rFonts w:hint="cs"/>
          <w:sz w:val="24"/>
          <w:rtl/>
        </w:rPr>
        <w:t>,</w:t>
      </w:r>
      <w:r w:rsidRPr="00B70DE1">
        <w:rPr>
          <w:rFonts w:hint="cs"/>
          <w:sz w:val="24"/>
          <w:rtl/>
        </w:rPr>
        <w:t xml:space="preserve"> ללא תלות בתאגיד המספק את השירות, וב</w:t>
      </w:r>
      <w:r>
        <w:rPr>
          <w:rFonts w:hint="cs"/>
          <w:sz w:val="24"/>
          <w:rtl/>
        </w:rPr>
        <w:t xml:space="preserve">של </w:t>
      </w:r>
      <w:r w:rsidRPr="00B70DE1">
        <w:rPr>
          <w:rFonts w:hint="cs"/>
          <w:sz w:val="24"/>
          <w:rtl/>
        </w:rPr>
        <w:t xml:space="preserve">הבדלים בין היישובים קבעה רשות המים לכל אחד מהתאגידים תעריף נורמטיבי משלו בכל אחד מהמרכיבים של התעריף, בהתחשב במאפייניו הייחודיים. בין היתר, בקביעת תעריפים אלה יצרה הרשות </w:t>
      </w:r>
      <w:r w:rsidRPr="00B70DE1">
        <w:rPr>
          <w:sz w:val="24"/>
          <w:rtl/>
        </w:rPr>
        <w:t>סבסוד צולב בין תאגידים</w:t>
      </w:r>
      <w:r w:rsidRPr="00B70DE1">
        <w:rPr>
          <w:rFonts w:hint="cs"/>
          <w:sz w:val="24"/>
          <w:rtl/>
        </w:rPr>
        <w:t>, שאמור לתת לא רק מענה</w:t>
      </w:r>
      <w:r>
        <w:rPr>
          <w:rFonts w:hint="cs"/>
          <w:sz w:val="24"/>
          <w:rtl/>
        </w:rPr>
        <w:t xml:space="preserve"> על ההבדלים</w:t>
      </w:r>
      <w:r w:rsidRPr="00B70DE1">
        <w:rPr>
          <w:rFonts w:hint="cs"/>
          <w:sz w:val="24"/>
          <w:rtl/>
        </w:rPr>
        <w:t xml:space="preserve"> המובנים בין התאגידים כמפורט לעיל, אלא גם </w:t>
      </w:r>
      <w:r>
        <w:rPr>
          <w:rFonts w:hint="cs"/>
          <w:sz w:val="24"/>
          <w:rtl/>
        </w:rPr>
        <w:t xml:space="preserve">ליצור </w:t>
      </w:r>
      <w:r w:rsidRPr="00B70DE1">
        <w:rPr>
          <w:rFonts w:hint="cs"/>
          <w:sz w:val="24"/>
          <w:rtl/>
        </w:rPr>
        <w:t>מנגנון שבו תאגידים חזקים ובינוניים מסבסדים תאגידים חלשים.</w:t>
      </w:r>
    </w:p>
    <w:p w:rsidR="003D3BEF" w:rsidP="003D3BEF" w14:paraId="20BBBDD5" w14:textId="77777777">
      <w:pPr>
        <w:pStyle w:val="a"/>
        <w:spacing w:line="269" w:lineRule="auto"/>
        <w:rPr>
          <w:rtl/>
        </w:rPr>
      </w:pPr>
    </w:p>
    <w:p w:rsidR="003D3BEF" w:rsidP="003D3BEF" w14:paraId="5D6E5989" w14:textId="77777777">
      <w:pPr>
        <w:spacing w:line="269" w:lineRule="auto"/>
        <w:rPr>
          <w:sz w:val="24"/>
          <w:rtl/>
        </w:rPr>
      </w:pPr>
      <w:r>
        <w:rPr>
          <w:rFonts w:hint="cs"/>
          <w:sz w:val="24"/>
          <w:rtl/>
        </w:rPr>
        <w:t>מהביקורת עולה כי סכום הסבסוד הצולב המגולם בתעריף לתאגידים החלשים הזכאים לשנת 2018 הסתכם בכ-116 מיליון ש"ח לעומת כ-47 מיליון ש"ח ב - 2011. לדוגמה, תאגיד נווה מדבר קיבל בתעריף לשנת 2018 סבסוד של כ-22 מיליון ש"ח. לעומתו, תאגיד מי לוד, אף הוא תאגיד זכאי, לא סובסד בשנת 2018 בשל היותו רווחי באותה השנה. התרשים שלהלן מציג את הסבסוד הצולב בתאגידים הזכאים לשנים 2018-2011.</w:t>
      </w:r>
    </w:p>
    <w:p w:rsidR="003D3BEF" w:rsidP="003D3BEF" w14:paraId="6D6DCFB5" w14:textId="77777777">
      <w:pPr>
        <w:spacing w:line="269" w:lineRule="auto"/>
        <w:rPr>
          <w:sz w:val="24"/>
          <w:rtl/>
        </w:rPr>
      </w:pPr>
    </w:p>
    <w:p w:rsidR="003D3BEF" w:rsidP="003D3BEF" w14:paraId="28C64505" w14:textId="77777777">
      <w:pPr>
        <w:spacing w:line="269" w:lineRule="auto"/>
        <w:rPr>
          <w:sz w:val="24"/>
          <w:rtl/>
        </w:rPr>
      </w:pPr>
    </w:p>
    <w:p w:rsidR="003D3BEF" w:rsidP="003D3BEF" w14:paraId="5952AACE" w14:textId="77777777">
      <w:pPr>
        <w:spacing w:line="269" w:lineRule="auto"/>
        <w:rPr>
          <w:sz w:val="24"/>
          <w:rtl/>
        </w:rPr>
      </w:pPr>
    </w:p>
    <w:p w:rsidR="003D3BEF" w:rsidP="003D3BEF" w14:paraId="536F8072" w14:textId="77777777">
      <w:pPr>
        <w:spacing w:line="269" w:lineRule="auto"/>
        <w:rPr>
          <w:sz w:val="24"/>
          <w:rtl/>
        </w:rPr>
      </w:pPr>
    </w:p>
    <w:p w:rsidR="003D3BEF" w:rsidP="003D3BEF" w14:paraId="779F668F" w14:textId="77777777">
      <w:pPr>
        <w:spacing w:line="269" w:lineRule="auto"/>
        <w:rPr>
          <w:sz w:val="24"/>
          <w:rtl/>
        </w:rPr>
      </w:pPr>
    </w:p>
    <w:p w:rsidR="003D3BEF" w:rsidP="003D3BEF" w14:paraId="392E714A" w14:textId="77777777">
      <w:pPr>
        <w:pStyle w:val="a"/>
        <w:spacing w:line="269" w:lineRule="auto"/>
        <w:rPr>
          <w:rtl/>
        </w:rPr>
      </w:pPr>
    </w:p>
    <w:p w:rsidR="003D3BEF" w:rsidRPr="000D3E99" w:rsidP="003D3BEF" w14:paraId="45BCE8BE" w14:textId="77777777">
      <w:pPr>
        <w:spacing w:line="269" w:lineRule="auto"/>
        <w:jc w:val="center"/>
        <w:rPr>
          <w:b/>
          <w:bCs/>
          <w:sz w:val="24"/>
          <w:rtl/>
        </w:rPr>
      </w:pPr>
      <w:r>
        <w:rPr>
          <w:rFonts w:hint="cs"/>
          <w:b/>
          <w:bCs/>
          <w:sz w:val="24"/>
          <w:rtl/>
        </w:rPr>
        <w:t>תרשים 19</w:t>
      </w:r>
      <w:r w:rsidRPr="000D3E99">
        <w:rPr>
          <w:rFonts w:hint="cs"/>
          <w:b/>
          <w:bCs/>
          <w:sz w:val="24"/>
          <w:rtl/>
        </w:rPr>
        <w:t>: סכומי הסבסוד הצולב שקיבלו כל התאגידים הזכאים בשנים 2011-2018, בש"ח</w:t>
      </w:r>
    </w:p>
    <w:p w:rsidR="003D3BEF" w:rsidP="00282624" w14:paraId="7B399816" w14:textId="77777777">
      <w:pPr>
        <w:spacing w:before="120" w:after="120" w:line="269" w:lineRule="auto"/>
        <w:jc w:val="center"/>
        <w:rPr>
          <w:sz w:val="24"/>
          <w:rtl/>
        </w:rPr>
      </w:pPr>
      <w:r>
        <w:rPr>
          <w:noProof/>
          <w:sz w:val="24"/>
          <w:rtl/>
        </w:rPr>
        <w:drawing>
          <wp:inline distT="0" distB="0" distL="0" distR="0">
            <wp:extent cx="4325121" cy="2346965"/>
            <wp:effectExtent l="0" t="0" r="0" b="0"/>
            <wp:docPr id="624677552" name="תמונה 62467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19736" name="water-corporations-g-19.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3D3BEF" w:rsidRPr="00684E93" w:rsidP="00282624" w14:paraId="6B8C86BD" w14:textId="77777777">
      <w:pPr>
        <w:spacing w:line="269" w:lineRule="auto"/>
        <w:ind w:left="84"/>
        <w:rPr>
          <w:sz w:val="22"/>
          <w:szCs w:val="22"/>
          <w:rtl/>
        </w:rPr>
      </w:pPr>
      <w:r w:rsidRPr="00684E93">
        <w:rPr>
          <w:rFonts w:hint="cs"/>
          <w:sz w:val="22"/>
          <w:szCs w:val="22"/>
          <w:rtl/>
        </w:rPr>
        <w:t>על פי נתוני רשות המים, בעיבוד משרד מבקר המדינה.</w:t>
      </w:r>
    </w:p>
    <w:p w:rsidR="003D3BEF" w:rsidP="003D3BEF" w14:paraId="0919FF84" w14:textId="77777777">
      <w:pPr>
        <w:pStyle w:val="a"/>
        <w:spacing w:line="269" w:lineRule="auto"/>
        <w:rPr>
          <w:rtl/>
        </w:rPr>
      </w:pPr>
    </w:p>
    <w:p w:rsidR="003D3BEF" w:rsidP="003D3BEF" w14:paraId="456C325C" w14:textId="77777777">
      <w:pPr>
        <w:spacing w:line="269" w:lineRule="auto"/>
        <w:rPr>
          <w:sz w:val="24"/>
          <w:rtl/>
        </w:rPr>
      </w:pPr>
      <w:r w:rsidRPr="00E8473D">
        <w:rPr>
          <w:sz w:val="24"/>
          <w:rtl/>
        </w:rPr>
        <w:t xml:space="preserve">עם זאת, </w:t>
      </w:r>
      <w:r>
        <w:rPr>
          <w:rFonts w:hint="cs"/>
          <w:sz w:val="24"/>
          <w:rtl/>
        </w:rPr>
        <w:t>אחד החסרונות המרכזיים של שיטת התעריף האחיד המלווה בסבסוד צולב הוא</w:t>
      </w:r>
      <w:r w:rsidRPr="00E8473D">
        <w:rPr>
          <w:sz w:val="24"/>
          <w:rtl/>
        </w:rPr>
        <w:t xml:space="preserve"> </w:t>
      </w:r>
      <w:r>
        <w:rPr>
          <w:rFonts w:hint="cs"/>
          <w:sz w:val="24"/>
          <w:rtl/>
        </w:rPr>
        <w:t>פגיעה מובנית ב</w:t>
      </w:r>
      <w:r w:rsidRPr="00E8473D">
        <w:rPr>
          <w:sz w:val="24"/>
          <w:rtl/>
        </w:rPr>
        <w:t>חלק מתמריצי ההתייעלות</w:t>
      </w:r>
      <w:r>
        <w:rPr>
          <w:rFonts w:hint="cs"/>
          <w:sz w:val="24"/>
          <w:rtl/>
        </w:rPr>
        <w:t>, הן בשל העובדה שכאשר תאגיד מתייעל הוא מפסיק לקבל את הסבסוד הצולב, כדוגמת תאגיד לוד שמשנת 2016 הפך רווחי, והן מ</w:t>
      </w:r>
      <w:r w:rsidRPr="00E8473D">
        <w:rPr>
          <w:sz w:val="24"/>
          <w:rtl/>
        </w:rPr>
        <w:t>כיוון</w:t>
      </w:r>
      <w:r>
        <w:rPr>
          <w:rFonts w:hint="cs"/>
          <w:sz w:val="24"/>
          <w:rtl/>
        </w:rPr>
        <w:t xml:space="preserve"> שפירות ההתייעלות אינם מגולמים במחיר מופחת לצרכני אותו התאגיד, וכך נמנע "לחץ צרכני" על התאגיד להתייעל יותר. </w:t>
      </w:r>
    </w:p>
    <w:p w:rsidR="003D3BEF" w:rsidRPr="00E8473D" w:rsidP="003D3BEF" w14:paraId="62D4D13B" w14:textId="77777777">
      <w:pPr>
        <w:pStyle w:val="a"/>
        <w:spacing w:line="269" w:lineRule="auto"/>
        <w:rPr>
          <w:rtl/>
        </w:rPr>
      </w:pPr>
    </w:p>
    <w:p w:rsidR="003D3BEF" w:rsidP="003D3BEF" w14:paraId="196BAE29" w14:textId="77777777">
      <w:pPr>
        <w:spacing w:line="269" w:lineRule="auto"/>
        <w:rPr>
          <w:b/>
          <w:bCs/>
          <w:sz w:val="24"/>
          <w:rtl/>
        </w:rPr>
      </w:pPr>
      <w:r w:rsidRPr="003F34AE">
        <w:rPr>
          <w:rFonts w:hint="cs"/>
          <w:b/>
          <w:bCs/>
          <w:sz w:val="24"/>
          <w:rtl/>
        </w:rPr>
        <w:t>מנגנון הסבסוד הצולב בתעריף</w:t>
      </w:r>
      <w:r>
        <w:rPr>
          <w:rFonts w:hint="cs"/>
          <w:b/>
          <w:bCs/>
          <w:sz w:val="24"/>
          <w:rtl/>
        </w:rPr>
        <w:t xml:space="preserve"> </w:t>
      </w:r>
      <w:r w:rsidRPr="003F34AE">
        <w:rPr>
          <w:rFonts w:hint="cs"/>
          <w:b/>
          <w:bCs/>
          <w:sz w:val="24"/>
          <w:rtl/>
        </w:rPr>
        <w:t>אמור</w:t>
      </w:r>
      <w:r>
        <w:rPr>
          <w:rFonts w:hint="cs"/>
          <w:b/>
          <w:bCs/>
          <w:sz w:val="24"/>
          <w:rtl/>
        </w:rPr>
        <w:t xml:space="preserve"> </w:t>
      </w:r>
      <w:r w:rsidRPr="003F34AE">
        <w:rPr>
          <w:rFonts w:hint="cs"/>
          <w:b/>
          <w:bCs/>
          <w:sz w:val="24"/>
          <w:rtl/>
        </w:rPr>
        <w:t xml:space="preserve">לתת מענה </w:t>
      </w:r>
      <w:r>
        <w:rPr>
          <w:rFonts w:hint="cs"/>
          <w:b/>
          <w:bCs/>
          <w:sz w:val="24"/>
          <w:rtl/>
        </w:rPr>
        <w:t>ע</w:t>
      </w:r>
      <w:r w:rsidRPr="003F34AE">
        <w:rPr>
          <w:rFonts w:hint="cs"/>
          <w:b/>
          <w:bCs/>
          <w:sz w:val="24"/>
          <w:rtl/>
        </w:rPr>
        <w:t>ל</w:t>
      </w:r>
      <w:r>
        <w:rPr>
          <w:rFonts w:hint="cs"/>
          <w:b/>
          <w:bCs/>
          <w:sz w:val="24"/>
          <w:rtl/>
        </w:rPr>
        <w:t xml:space="preserve"> ההבדלים </w:t>
      </w:r>
      <w:r w:rsidRPr="003F34AE">
        <w:rPr>
          <w:rFonts w:hint="cs"/>
          <w:b/>
          <w:bCs/>
          <w:sz w:val="24"/>
          <w:rtl/>
        </w:rPr>
        <w:t>בין התאגידים</w:t>
      </w:r>
      <w:r>
        <w:rPr>
          <w:rFonts w:hint="cs"/>
          <w:b/>
          <w:bCs/>
          <w:sz w:val="24"/>
          <w:rtl/>
        </w:rPr>
        <w:t xml:space="preserve"> הנובעים ממאפייניהם השונים</w:t>
      </w:r>
      <w:r w:rsidRPr="003F34AE">
        <w:rPr>
          <w:rFonts w:hint="cs"/>
          <w:b/>
          <w:bCs/>
          <w:sz w:val="24"/>
          <w:rtl/>
        </w:rPr>
        <w:t>, ו</w:t>
      </w:r>
      <w:r>
        <w:rPr>
          <w:rFonts w:hint="cs"/>
          <w:b/>
          <w:bCs/>
          <w:sz w:val="24"/>
          <w:rtl/>
        </w:rPr>
        <w:t>בין היתר לאפשר מחיר אחיד לצרכן</w:t>
      </w:r>
      <w:r w:rsidRPr="003F34AE">
        <w:rPr>
          <w:rFonts w:hint="cs"/>
          <w:b/>
          <w:bCs/>
          <w:sz w:val="24"/>
          <w:rtl/>
        </w:rPr>
        <w:t>.</w:t>
      </w:r>
      <w:r>
        <w:rPr>
          <w:rFonts w:hint="cs"/>
          <w:b/>
          <w:bCs/>
          <w:sz w:val="24"/>
          <w:rtl/>
        </w:rPr>
        <w:t xml:space="preserve"> עם זאת, על אף הסבסוד שקיבלו התאגידים הזכאים משנת 2010 </w:t>
      </w:r>
      <w:r w:rsidRPr="00B70DE1">
        <w:rPr>
          <w:rFonts w:hint="cs"/>
          <w:b/>
          <w:bCs/>
          <w:sz w:val="24"/>
          <w:rtl/>
        </w:rPr>
        <w:t xml:space="preserve">נותרו רובם במצב </w:t>
      </w:r>
      <w:r>
        <w:rPr>
          <w:rFonts w:hint="cs"/>
          <w:b/>
          <w:bCs/>
          <w:sz w:val="24"/>
          <w:rtl/>
        </w:rPr>
        <w:t>ה</w:t>
      </w:r>
      <w:r w:rsidRPr="00B70DE1">
        <w:rPr>
          <w:rFonts w:hint="cs"/>
          <w:b/>
          <w:bCs/>
          <w:sz w:val="24"/>
          <w:rtl/>
        </w:rPr>
        <w:t xml:space="preserve">נזקק לסיוע, </w:t>
      </w:r>
      <w:r>
        <w:rPr>
          <w:rFonts w:hint="cs"/>
          <w:b/>
          <w:bCs/>
          <w:sz w:val="24"/>
          <w:rtl/>
        </w:rPr>
        <w:t>ו</w:t>
      </w:r>
      <w:r w:rsidRPr="00B70DE1">
        <w:rPr>
          <w:rFonts w:hint="cs"/>
          <w:b/>
          <w:bCs/>
          <w:sz w:val="24"/>
          <w:rtl/>
        </w:rPr>
        <w:t>המקבל</w:t>
      </w:r>
      <w:r>
        <w:rPr>
          <w:rFonts w:hint="cs"/>
          <w:b/>
          <w:bCs/>
          <w:sz w:val="24"/>
          <w:rtl/>
        </w:rPr>
        <w:t>ים</w:t>
      </w:r>
      <w:r w:rsidRPr="00B70DE1">
        <w:rPr>
          <w:rFonts w:hint="cs"/>
          <w:b/>
          <w:bCs/>
          <w:sz w:val="24"/>
          <w:rtl/>
        </w:rPr>
        <w:t xml:space="preserve"> סבסוד צולב גם בשנת 2019. תוצאה זו עשויה לנבוע בין היתר מהפגיעה המובנית בתמריצי ההתייעלות של תאגידים אלה.</w:t>
      </w:r>
    </w:p>
    <w:p w:rsidR="003D3BEF" w:rsidP="003D3BEF" w14:paraId="530519AF" w14:textId="77777777">
      <w:pPr>
        <w:pStyle w:val="a"/>
        <w:spacing w:line="269" w:lineRule="auto"/>
        <w:rPr>
          <w:rtl/>
        </w:rPr>
      </w:pPr>
    </w:p>
    <w:p w:rsidR="003D3BEF" w:rsidP="003D3BEF" w14:paraId="05B730A9" w14:textId="77777777">
      <w:pPr>
        <w:spacing w:line="269" w:lineRule="auto"/>
        <w:rPr>
          <w:b/>
          <w:bCs/>
          <w:sz w:val="24"/>
          <w:rtl/>
        </w:rPr>
      </w:pPr>
      <w:r>
        <w:rPr>
          <w:rFonts w:hint="cs"/>
          <w:b/>
          <w:bCs/>
          <w:sz w:val="24"/>
          <w:rtl/>
        </w:rPr>
        <w:t xml:space="preserve">מומלץ כי הרשות תקיים בחינה נוספת ותפעל לפיתוח מנגנונים לעידוד תאגידים להתייעלות ולהשאת רווח, </w:t>
      </w:r>
      <w:r w:rsidRPr="00910700">
        <w:rPr>
          <w:b/>
          <w:bCs/>
          <w:sz w:val="24"/>
          <w:rtl/>
        </w:rPr>
        <w:t>ותביא את תוצאות הבחינה לדיון במועצת הרשות</w:t>
      </w:r>
      <w:r>
        <w:rPr>
          <w:rFonts w:hint="cs"/>
          <w:b/>
          <w:bCs/>
          <w:sz w:val="24"/>
          <w:rtl/>
        </w:rPr>
        <w:t xml:space="preserve"> לצורך קבלת החלטה בנושא.</w:t>
      </w:r>
    </w:p>
    <w:p w:rsidR="003D3BEF" w:rsidRPr="00B70DE1" w:rsidP="003D3BEF" w14:paraId="5FD26DF4" w14:textId="77777777">
      <w:pPr>
        <w:pStyle w:val="a"/>
        <w:spacing w:line="269" w:lineRule="auto"/>
        <w:rPr>
          <w:rtl/>
        </w:rPr>
      </w:pPr>
    </w:p>
    <w:p w:rsidR="003D3BEF" w:rsidRPr="009E2836" w:rsidP="003D3BEF" w14:paraId="26D10A13" w14:textId="77777777">
      <w:pPr>
        <w:pStyle w:val="Heading4"/>
        <w:spacing w:before="0" w:line="269" w:lineRule="auto"/>
        <w:rPr>
          <w:rtl/>
        </w:rPr>
      </w:pPr>
      <w:r w:rsidRPr="009E2836">
        <w:rPr>
          <w:rFonts w:hint="cs"/>
          <w:rtl/>
        </w:rPr>
        <w:t>מענקים</w:t>
      </w:r>
    </w:p>
    <w:p w:rsidR="003D3BEF" w:rsidP="003D3BEF" w14:paraId="3C7C4BFA" w14:textId="77777777">
      <w:pPr>
        <w:pStyle w:val="a"/>
        <w:rPr>
          <w:rtl/>
        </w:rPr>
      </w:pPr>
    </w:p>
    <w:p w:rsidR="003D3BEF" w:rsidP="003D3BEF" w14:paraId="077B7DD5" w14:textId="77777777">
      <w:pPr>
        <w:spacing w:line="269" w:lineRule="auto"/>
        <w:rPr>
          <w:sz w:val="24"/>
          <w:rtl/>
        </w:rPr>
      </w:pPr>
      <w:r>
        <w:rPr>
          <w:rFonts w:hint="cs"/>
          <w:sz w:val="24"/>
          <w:rtl/>
        </w:rPr>
        <w:t xml:space="preserve">כלי נוסף לסיוע בהשקעות של התאגידים הוא מענקי מדינה הניתנים מתקציב המדינה באמצעות רשות המים לפי התנאים שהיא מפרסמת בחוזרים לתאגידים. </w:t>
      </w:r>
      <w:r w:rsidRPr="003B0C90">
        <w:rPr>
          <w:sz w:val="24"/>
          <w:rtl/>
        </w:rPr>
        <w:t>חוזרי מענקים שהוציאה הרשות בשנים 20</w:t>
      </w:r>
      <w:r>
        <w:rPr>
          <w:rFonts w:hint="cs"/>
          <w:sz w:val="24"/>
          <w:rtl/>
        </w:rPr>
        <w:t>08</w:t>
      </w:r>
      <w:r w:rsidRPr="003B0C90">
        <w:rPr>
          <w:sz w:val="24"/>
          <w:rtl/>
        </w:rPr>
        <w:t>-20</w:t>
      </w:r>
      <w:r>
        <w:rPr>
          <w:rFonts w:hint="cs"/>
          <w:sz w:val="24"/>
          <w:rtl/>
        </w:rPr>
        <w:t>16</w:t>
      </w:r>
      <w:r w:rsidRPr="003B0C90">
        <w:rPr>
          <w:sz w:val="24"/>
          <w:rtl/>
        </w:rPr>
        <w:t xml:space="preserve"> </w:t>
      </w:r>
      <w:r>
        <w:rPr>
          <w:rFonts w:hint="cs"/>
          <w:sz w:val="24"/>
          <w:rtl/>
        </w:rPr>
        <w:t>הציעו מענקים</w:t>
      </w:r>
      <w:r w:rsidRPr="003B0C90">
        <w:rPr>
          <w:sz w:val="24"/>
          <w:rtl/>
        </w:rPr>
        <w:t xml:space="preserve"> המסתכמים בכ-2.2 מיליארד ש"ח לצורך קידום הרפורמה ותמיכה בתאגידים חלשים.</w:t>
      </w:r>
    </w:p>
    <w:p w:rsidR="003D3BEF" w:rsidP="003D3BEF" w14:paraId="2796F6D9" w14:textId="77777777">
      <w:pPr>
        <w:spacing w:line="269" w:lineRule="auto"/>
        <w:rPr>
          <w:sz w:val="24"/>
          <w:rtl/>
        </w:rPr>
      </w:pPr>
    </w:p>
    <w:p w:rsidR="003D3BEF" w:rsidRPr="00BF4090" w:rsidP="003D3BEF" w14:paraId="6588AB96" w14:textId="77777777">
      <w:pPr>
        <w:pStyle w:val="ListParagraph"/>
        <w:numPr>
          <w:ilvl w:val="0"/>
          <w:numId w:val="17"/>
        </w:numPr>
        <w:spacing w:line="269" w:lineRule="auto"/>
        <w:ind w:left="312"/>
        <w:rPr>
          <w:sz w:val="24"/>
          <w:rtl/>
        </w:rPr>
      </w:pPr>
      <w:r w:rsidRPr="00BF4090">
        <w:rPr>
          <w:rFonts w:hint="cs"/>
          <w:sz w:val="24"/>
          <w:rtl/>
        </w:rPr>
        <w:t>נמצא כי בשנים 2011-2018 ניהלה רשות המים באופן שונה את המענקים בתחום המט"שים והביוב</w:t>
      </w:r>
      <w:r>
        <w:rPr>
          <w:rFonts w:hint="cs"/>
          <w:rtl/>
        </w:rPr>
        <w:t xml:space="preserve"> ואת המענקים בתחום המים</w:t>
      </w:r>
      <w:r w:rsidRPr="00BF4090">
        <w:rPr>
          <w:rFonts w:hint="cs"/>
          <w:sz w:val="24"/>
          <w:rtl/>
        </w:rPr>
        <w:t>. מענקים בתחום המט"שים והביוב ניתנו למטרת השקעות, תוקצבו באופן ייעודי לכל פרויקט על ידי משרד האוצר, בשיתוף יחידת המינהל לפיתוח תשתיות ביוב ברשות המים (להלן - המילת"ב), ושולמו לפי התקדמות הפרויקט.</w:t>
      </w:r>
      <w:r>
        <w:rPr>
          <w:rFonts w:hint="cs"/>
          <w:rtl/>
        </w:rPr>
        <w:t xml:space="preserve"> במקרים רבים קבלת המענקים מותנית בהשתתפות עצמית של התאגיד בהשקעה בשיעור מינימלי שהרשות קובעת בכל מיזם. </w:t>
      </w:r>
      <w:r w:rsidRPr="00BF4090">
        <w:rPr>
          <w:rFonts w:hint="cs"/>
          <w:sz w:val="24"/>
          <w:rtl/>
        </w:rPr>
        <w:t>המילת"ב היה אחראי לביצוע בחינה הנדסית כלכלית של תוכניות הפיתוח, לסיוע בהלוואות ובמענקים להקמת התשתיות ולליווי תאגידי המים והביוב בהקמת הפרויקטים משלב הייזום עד השלמתם.</w:t>
      </w:r>
      <w:r w:rsidRPr="00BF4090">
        <w:rPr>
          <w:rFonts w:hint="cs"/>
          <w:color w:val="FF0000"/>
          <w:sz w:val="24"/>
          <w:rtl/>
        </w:rPr>
        <w:t xml:space="preserve"> </w:t>
      </w:r>
    </w:p>
    <w:p w:rsidR="003D3BEF" w:rsidP="003D3BEF" w14:paraId="472B81A4" w14:textId="77777777">
      <w:pPr>
        <w:pStyle w:val="a"/>
        <w:spacing w:line="269" w:lineRule="auto"/>
        <w:rPr>
          <w:rtl/>
        </w:rPr>
      </w:pPr>
    </w:p>
    <w:p w:rsidR="003D3BEF" w:rsidP="003D3BEF" w14:paraId="6B195CD9" w14:textId="77777777">
      <w:pPr>
        <w:spacing w:line="269" w:lineRule="auto"/>
        <w:ind w:left="312"/>
        <w:rPr>
          <w:sz w:val="24"/>
          <w:rtl/>
        </w:rPr>
      </w:pPr>
      <w:r>
        <w:rPr>
          <w:rFonts w:hint="cs"/>
          <w:rtl/>
        </w:rPr>
        <w:t>לעומת זאת, מענקים אחרים</w:t>
      </w:r>
      <w:r>
        <w:rPr>
          <w:rFonts w:hint="cs"/>
          <w:sz w:val="24"/>
          <w:rtl/>
        </w:rPr>
        <w:t xml:space="preserve"> נועדו לקדם כמה מטרות</w:t>
      </w:r>
      <w:r w:rsidRPr="00440336">
        <w:rPr>
          <w:rFonts w:hint="cs"/>
          <w:sz w:val="24"/>
          <w:rtl/>
        </w:rPr>
        <w:t xml:space="preserve"> </w:t>
      </w:r>
      <w:r>
        <w:rPr>
          <w:rFonts w:hint="cs"/>
          <w:sz w:val="24"/>
          <w:rtl/>
        </w:rPr>
        <w:t>ולפיכך לא תוקצבו באופן ייעודי לכל פרויקט; למשל, קידום רפורמת התאגידים במשק המים; סיוע לתאגידים</w:t>
      </w:r>
      <w:r w:rsidRPr="00025894">
        <w:rPr>
          <w:rFonts w:hint="cs"/>
          <w:sz w:val="24"/>
          <w:rtl/>
        </w:rPr>
        <w:t xml:space="preserve"> </w:t>
      </w:r>
      <w:r>
        <w:rPr>
          <w:rFonts w:hint="cs"/>
          <w:sz w:val="24"/>
          <w:rtl/>
        </w:rPr>
        <w:t>חלשים להתמודד עם גרעון ההשקעות במשק המים והביוב שהועבר לידיהם מהרשויות המקומיות; ושיפור מצבם הפיננסי של תאגידים חלשים וביצוע השקעות לשיקום תשתיות המים בתחומם</w:t>
      </w:r>
      <w:r>
        <w:rPr>
          <w:rStyle w:val="FootnoteReference"/>
          <w:sz w:val="24"/>
          <w:rtl/>
        </w:rPr>
        <w:footnoteReference w:id="58"/>
      </w:r>
      <w:r>
        <w:rPr>
          <w:rFonts w:hint="cs"/>
          <w:sz w:val="24"/>
          <w:rtl/>
        </w:rPr>
        <w:t xml:space="preserve">. </w:t>
      </w:r>
      <w:r w:rsidRPr="0022548E">
        <w:rPr>
          <w:rFonts w:hint="cs"/>
          <w:sz w:val="24"/>
          <w:rtl/>
        </w:rPr>
        <w:t xml:space="preserve">בישיבת </w:t>
      </w:r>
      <w:r w:rsidRPr="0022548E">
        <w:rPr>
          <w:sz w:val="24"/>
          <w:rtl/>
        </w:rPr>
        <w:t>הוועדה המשותפת לוועדת הכלכלה ולוועדת הפנים והגנת הסביבה</w:t>
      </w:r>
      <w:r w:rsidRPr="0022548E">
        <w:rPr>
          <w:rFonts w:hint="cs"/>
          <w:sz w:val="24"/>
          <w:rtl/>
        </w:rPr>
        <w:t xml:space="preserve"> של הכנסת בדצמבר 2018 הסבירה נציגת משרד האוצר כי</w:t>
      </w:r>
      <w:r w:rsidRPr="0022548E">
        <w:rPr>
          <w:sz w:val="24"/>
          <w:rtl/>
        </w:rPr>
        <w:t xml:space="preserve"> </w:t>
      </w:r>
      <w:r w:rsidRPr="0022548E">
        <w:rPr>
          <w:rFonts w:hint="cs"/>
          <w:sz w:val="24"/>
          <w:rtl/>
        </w:rPr>
        <w:t>"</w:t>
      </w:r>
      <w:r w:rsidRPr="0022548E">
        <w:rPr>
          <w:sz w:val="24"/>
          <w:rtl/>
        </w:rPr>
        <w:t xml:space="preserve">התאגידים החלשים הם בפער תשתיות, ובעיקר בפערי גבייה </w:t>
      </w:r>
      <w:r>
        <w:rPr>
          <w:sz w:val="24"/>
          <w:rtl/>
        </w:rPr>
        <w:t>-</w:t>
      </w:r>
      <w:r w:rsidRPr="0022548E">
        <w:rPr>
          <w:sz w:val="24"/>
          <w:rtl/>
        </w:rPr>
        <w:t xml:space="preserve"> פחת גבייה ופחת מים </w:t>
      </w:r>
      <w:r>
        <w:rPr>
          <w:sz w:val="24"/>
          <w:rtl/>
        </w:rPr>
        <w:t>-</w:t>
      </w:r>
      <w:r w:rsidRPr="0022548E">
        <w:rPr>
          <w:sz w:val="24"/>
          <w:rtl/>
        </w:rPr>
        <w:t xml:space="preserve"> יחסית לרשויות החזקות, ולכן המענקים נועדו לאפשר להם לעמוד על הרגליים ולעמוד בנורמות</w:t>
      </w:r>
      <w:r>
        <w:rPr>
          <w:rFonts w:hint="cs"/>
          <w:sz w:val="24"/>
          <w:rtl/>
        </w:rPr>
        <w:t>"</w:t>
      </w:r>
      <w:r w:rsidRPr="0022548E">
        <w:rPr>
          <w:sz w:val="24"/>
          <w:rtl/>
        </w:rPr>
        <w:t xml:space="preserve">. </w:t>
      </w:r>
    </w:p>
    <w:p w:rsidR="003D3BEF" w:rsidP="003D3BEF" w14:paraId="470BDCBB" w14:textId="77777777">
      <w:pPr>
        <w:pStyle w:val="a"/>
        <w:spacing w:line="269" w:lineRule="auto"/>
        <w:rPr>
          <w:rtl/>
        </w:rPr>
      </w:pPr>
    </w:p>
    <w:p w:rsidR="003D3BEF" w:rsidP="003D3BEF" w14:paraId="2D1FBAFD" w14:textId="77777777">
      <w:pPr>
        <w:spacing w:line="269" w:lineRule="auto"/>
        <w:ind w:left="312"/>
        <w:rPr>
          <w:sz w:val="24"/>
          <w:rtl/>
        </w:rPr>
      </w:pPr>
      <w:r>
        <w:rPr>
          <w:rFonts w:hint="cs"/>
          <w:sz w:val="24"/>
          <w:rtl/>
        </w:rPr>
        <w:t xml:space="preserve">משרד מבקר המדינה בדק בשישה תאגידים בעלי מאפיינים שונים את סך המענקים שקיבלו לעומת סך ההשקעות, מתקופת הקמתם ועד סוף 2018 המפולחות לפי השקעות ייעודיות בתשתיות ביוב, לרבות מטש"ים, והשקעות אחרות. כמו כן, נבחן שיעור המענקים מכלל עלות ההשקעות של ששת התאגידים שנבדקו. </w:t>
      </w:r>
    </w:p>
    <w:p w:rsidR="003D3BEF" w:rsidP="003D3BEF" w14:paraId="35555992" w14:textId="77777777">
      <w:pPr>
        <w:spacing w:line="269" w:lineRule="auto"/>
        <w:jc w:val="center"/>
        <w:rPr>
          <w:b/>
          <w:bCs/>
          <w:sz w:val="24"/>
          <w:rtl/>
        </w:rPr>
      </w:pPr>
    </w:p>
    <w:p w:rsidR="003D3BEF" w:rsidP="003D3BEF" w14:paraId="265A11D4" w14:textId="77777777">
      <w:pPr>
        <w:spacing w:line="269" w:lineRule="auto"/>
        <w:jc w:val="center"/>
        <w:rPr>
          <w:b/>
          <w:bCs/>
          <w:sz w:val="24"/>
          <w:rtl/>
        </w:rPr>
      </w:pPr>
      <w:r w:rsidRPr="00906E0D">
        <w:rPr>
          <w:rFonts w:hint="cs"/>
          <w:b/>
          <w:bCs/>
          <w:sz w:val="24"/>
          <w:rtl/>
        </w:rPr>
        <w:t xml:space="preserve">תרשים </w:t>
      </w:r>
      <w:r>
        <w:rPr>
          <w:rFonts w:hint="cs"/>
          <w:b/>
          <w:bCs/>
          <w:sz w:val="24"/>
          <w:rtl/>
        </w:rPr>
        <w:t>20</w:t>
      </w:r>
      <w:r w:rsidRPr="00906E0D">
        <w:rPr>
          <w:rFonts w:hint="cs"/>
          <w:b/>
          <w:bCs/>
          <w:sz w:val="24"/>
          <w:rtl/>
        </w:rPr>
        <w:t xml:space="preserve">: סך מענקים אל מול סך השקעות בתשתיות מים, ביוב ומט"שים מיום הקמת התאגיד ועד סוף 2018, בתאגידים </w:t>
      </w:r>
      <w:r>
        <w:rPr>
          <w:rFonts w:hint="cs"/>
          <w:b/>
          <w:bCs/>
          <w:sz w:val="24"/>
          <w:rtl/>
        </w:rPr>
        <w:t>שנבדקו</w:t>
      </w:r>
      <w:r w:rsidRPr="00906E0D">
        <w:rPr>
          <w:rFonts w:hint="cs"/>
          <w:b/>
          <w:bCs/>
          <w:sz w:val="24"/>
          <w:rtl/>
        </w:rPr>
        <w:t>.</w:t>
      </w:r>
    </w:p>
    <w:p w:rsidR="003D3BEF" w:rsidRPr="00906E0D" w:rsidP="00282624" w14:paraId="686AB90C" w14:textId="77777777">
      <w:pPr>
        <w:spacing w:before="120" w:after="120" w:line="269" w:lineRule="auto"/>
        <w:jc w:val="center"/>
        <w:rPr>
          <w:b/>
          <w:bCs/>
          <w:sz w:val="24"/>
        </w:rPr>
      </w:pPr>
      <w:r>
        <w:rPr>
          <w:b/>
          <w:bCs/>
          <w:noProof/>
          <w:sz w:val="24"/>
        </w:rPr>
        <w:drawing>
          <wp:inline distT="0" distB="0" distL="0" distR="0">
            <wp:extent cx="4325121" cy="2292101"/>
            <wp:effectExtent l="0" t="0" r="0" b="0"/>
            <wp:docPr id="624677554" name="תמונה 62467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35466" name="water-corporations-g-20.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92101"/>
                    </a:xfrm>
                    <a:prstGeom prst="rect">
                      <a:avLst/>
                    </a:prstGeom>
                  </pic:spPr>
                </pic:pic>
              </a:graphicData>
            </a:graphic>
          </wp:inline>
        </w:drawing>
      </w:r>
    </w:p>
    <w:p w:rsidR="003D3BEF" w:rsidRPr="00684E93" w:rsidP="00282624" w14:paraId="6149E2B1"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6A8A7844" w14:textId="77777777">
      <w:pPr>
        <w:spacing w:line="269" w:lineRule="auto"/>
        <w:ind w:left="312"/>
        <w:rPr>
          <w:sz w:val="24"/>
          <w:rtl/>
        </w:rPr>
      </w:pPr>
    </w:p>
    <w:p w:rsidR="003D3BEF" w:rsidP="003D3BEF" w14:paraId="5D34ABFB" w14:textId="77777777">
      <w:pPr>
        <w:spacing w:line="269" w:lineRule="auto"/>
        <w:ind w:left="312"/>
        <w:rPr>
          <w:sz w:val="24"/>
          <w:rtl/>
        </w:rPr>
      </w:pPr>
      <w:r>
        <w:rPr>
          <w:rFonts w:hint="cs"/>
          <w:sz w:val="24"/>
          <w:rtl/>
        </w:rPr>
        <w:t>מהתרשים עולה כי סכומי המענקים בתאגידים הזכאים מי לוד ונווה מדבר גבוהים באופן משמעותי מסכומי המענקים ביתר התאגידים שנבדקו</w:t>
      </w:r>
      <w:r>
        <w:rPr>
          <w:rStyle w:val="FootnoteReference"/>
          <w:sz w:val="24"/>
          <w:rtl/>
        </w:rPr>
        <w:footnoteReference w:id="59"/>
      </w:r>
      <w:r>
        <w:rPr>
          <w:rFonts w:hint="cs"/>
          <w:sz w:val="24"/>
          <w:rtl/>
        </w:rPr>
        <w:t xml:space="preserve">, והם מקור משמעותי להשקעות בתאגידים אלה, כאשר ההשקעות בתחום הביוב עומדות על יותר ממכפלת ההשקעות בתחום המים. </w:t>
      </w:r>
    </w:p>
    <w:p w:rsidR="003D3BEF" w:rsidP="003D3BEF" w14:paraId="48B6AFDF" w14:textId="77777777">
      <w:pPr>
        <w:pStyle w:val="a"/>
        <w:spacing w:line="269" w:lineRule="auto"/>
        <w:rPr>
          <w:rtl/>
        </w:rPr>
      </w:pPr>
    </w:p>
    <w:p w:rsidR="003D3BEF" w:rsidP="00783AED" w14:paraId="2385E93C" w14:textId="77777777">
      <w:pPr>
        <w:spacing w:line="269" w:lineRule="auto"/>
        <w:ind w:left="312"/>
        <w:rPr>
          <w:sz w:val="24"/>
          <w:rtl/>
        </w:rPr>
      </w:pPr>
      <w:r>
        <w:rPr>
          <w:rFonts w:hint="cs"/>
          <w:sz w:val="24"/>
          <w:rtl/>
        </w:rPr>
        <w:t>משרד מבקר המדינה בדק את סך המענקים פר תושב בשבעה תאגידים זכאים שלגביהם פורסמו הדוחות הכספיים מיום הקמתם ועד 2018</w:t>
      </w:r>
      <w:r w:rsidRPr="005800E9">
        <w:rPr>
          <w:rFonts w:hint="cs"/>
          <w:sz w:val="24"/>
          <w:rtl/>
        </w:rPr>
        <w:t xml:space="preserve"> </w:t>
      </w:r>
      <w:r>
        <w:rPr>
          <w:rFonts w:hint="cs"/>
          <w:sz w:val="24"/>
          <w:rtl/>
        </w:rPr>
        <w:t xml:space="preserve">באתר האינטרנט של רשות המים או של התאגידים. טווח המענקים פר תושב לשנים אלה עמד על </w:t>
      </w:r>
      <w:r w:rsidR="00783AED">
        <w:rPr>
          <w:rFonts w:hint="cs"/>
          <w:sz w:val="24"/>
          <w:rtl/>
        </w:rPr>
        <w:t>666 - 1,736</w:t>
      </w:r>
      <w:r>
        <w:rPr>
          <w:rFonts w:hint="cs"/>
          <w:sz w:val="24"/>
          <w:rtl/>
        </w:rPr>
        <w:t xml:space="preserve"> ש"ח. הממוצע של כלל המענקים שקיבלו תאגידים אלה בשנים 2009-2018 פר תושב עמד על סך 1,083 ש"ח.</w:t>
      </w:r>
    </w:p>
    <w:p w:rsidR="003D3BEF" w:rsidP="003D3BEF" w14:paraId="635179DD" w14:textId="77777777">
      <w:pPr>
        <w:pStyle w:val="a"/>
        <w:spacing w:line="269" w:lineRule="auto"/>
        <w:rPr>
          <w:rtl/>
        </w:rPr>
      </w:pPr>
    </w:p>
    <w:p w:rsidR="003D3BEF" w:rsidP="003D3BEF" w14:paraId="47BCEFAC" w14:textId="77777777">
      <w:pPr>
        <w:spacing w:line="269" w:lineRule="auto"/>
        <w:ind w:left="312"/>
        <w:rPr>
          <w:b/>
          <w:bCs/>
          <w:sz w:val="24"/>
          <w:rtl/>
        </w:rPr>
      </w:pPr>
      <w:r>
        <w:rPr>
          <w:rFonts w:hint="cs"/>
          <w:b/>
          <w:bCs/>
          <w:sz w:val="24"/>
          <w:rtl/>
        </w:rPr>
        <w:t>מטרת</w:t>
      </w:r>
      <w:r w:rsidRPr="003E6BF6">
        <w:rPr>
          <w:rFonts w:hint="cs"/>
          <w:b/>
          <w:bCs/>
          <w:sz w:val="24"/>
          <w:rtl/>
        </w:rPr>
        <w:t xml:space="preserve"> המענקים </w:t>
      </w:r>
      <w:r>
        <w:rPr>
          <w:rFonts w:hint="cs"/>
          <w:b/>
          <w:bCs/>
          <w:sz w:val="24"/>
          <w:rtl/>
        </w:rPr>
        <w:t>שאינם מיועדים למיזמי ביוב</w:t>
      </w:r>
      <w:r w:rsidRPr="003E6BF6">
        <w:rPr>
          <w:rFonts w:hint="cs"/>
          <w:b/>
          <w:bCs/>
          <w:sz w:val="24"/>
          <w:rtl/>
        </w:rPr>
        <w:t xml:space="preserve"> הי</w:t>
      </w:r>
      <w:r>
        <w:rPr>
          <w:rFonts w:hint="cs"/>
          <w:b/>
          <w:bCs/>
          <w:sz w:val="24"/>
          <w:rtl/>
        </w:rPr>
        <w:t>י</w:t>
      </w:r>
      <w:r w:rsidRPr="003E6BF6">
        <w:rPr>
          <w:rFonts w:hint="cs"/>
          <w:b/>
          <w:bCs/>
          <w:sz w:val="24"/>
          <w:rtl/>
        </w:rPr>
        <w:t>תה בין היתר להביא לכך שהתאגידים החלשים יוכלו "לעמוד על הרגליים" ולעמוד בנורמות</w:t>
      </w:r>
      <w:r>
        <w:rPr>
          <w:rFonts w:hint="cs"/>
          <w:b/>
          <w:bCs/>
          <w:sz w:val="24"/>
          <w:rtl/>
        </w:rPr>
        <w:t xml:space="preserve"> כגון פחת מים ופחת גבייה.</w:t>
      </w:r>
      <w:r w:rsidRPr="003E6BF6">
        <w:rPr>
          <w:rFonts w:hint="cs"/>
          <w:b/>
          <w:bCs/>
          <w:sz w:val="24"/>
          <w:rtl/>
        </w:rPr>
        <w:t xml:space="preserve"> </w:t>
      </w:r>
      <w:r w:rsidRPr="00646C3C">
        <w:rPr>
          <w:b/>
          <w:bCs/>
          <w:sz w:val="24"/>
          <w:rtl/>
        </w:rPr>
        <w:t xml:space="preserve">עם זאת, מצבם הפיננסי </w:t>
      </w:r>
      <w:r>
        <w:rPr>
          <w:rFonts w:hint="cs"/>
          <w:b/>
          <w:bCs/>
          <w:sz w:val="24"/>
          <w:rtl/>
        </w:rPr>
        <w:t xml:space="preserve">של רוב התאגידים האלה </w:t>
      </w:r>
      <w:r w:rsidRPr="00646C3C">
        <w:rPr>
          <w:b/>
          <w:bCs/>
          <w:sz w:val="24"/>
          <w:rtl/>
        </w:rPr>
        <w:t xml:space="preserve">וערכי פחת המים </w:t>
      </w:r>
      <w:r>
        <w:rPr>
          <w:rFonts w:hint="cs"/>
          <w:b/>
          <w:bCs/>
          <w:sz w:val="24"/>
          <w:rtl/>
        </w:rPr>
        <w:t xml:space="preserve">בהם </w:t>
      </w:r>
      <w:r w:rsidRPr="00646C3C">
        <w:rPr>
          <w:b/>
          <w:bCs/>
          <w:sz w:val="24"/>
          <w:rtl/>
        </w:rPr>
        <w:t>עדיין פחות טובים מאלה</w:t>
      </w:r>
      <w:r>
        <w:rPr>
          <w:b/>
          <w:bCs/>
          <w:sz w:val="24"/>
          <w:rtl/>
        </w:rPr>
        <w:t xml:space="preserve"> </w:t>
      </w:r>
      <w:r w:rsidRPr="00646C3C">
        <w:rPr>
          <w:b/>
          <w:bCs/>
          <w:sz w:val="24"/>
          <w:rtl/>
        </w:rPr>
        <w:t xml:space="preserve">שבתאגידים שלא קיבלו מענקים. </w:t>
      </w:r>
    </w:p>
    <w:p w:rsidR="003D3BEF" w:rsidP="003D3BEF" w14:paraId="364371E7" w14:textId="77777777">
      <w:pPr>
        <w:pStyle w:val="a"/>
        <w:spacing w:line="269" w:lineRule="auto"/>
        <w:rPr>
          <w:rtl/>
        </w:rPr>
      </w:pPr>
    </w:p>
    <w:p w:rsidR="003D3BEF" w:rsidP="003D3BEF" w14:paraId="54756B48" w14:textId="77777777">
      <w:pPr>
        <w:spacing w:line="269" w:lineRule="auto"/>
        <w:ind w:left="312"/>
        <w:rPr>
          <w:sz w:val="24"/>
          <w:rtl/>
        </w:rPr>
      </w:pPr>
      <w:r w:rsidRPr="00EC242B">
        <w:rPr>
          <w:sz w:val="24"/>
          <w:rtl/>
        </w:rPr>
        <w:t xml:space="preserve">רשות המים ציינה בתשובתה </w:t>
      </w:r>
      <w:r>
        <w:rPr>
          <w:rFonts w:hint="cs"/>
          <w:sz w:val="24"/>
          <w:rtl/>
        </w:rPr>
        <w:t xml:space="preserve">ממאי 2020 </w:t>
      </w:r>
      <w:r w:rsidRPr="00EC242B">
        <w:rPr>
          <w:sz w:val="24"/>
          <w:rtl/>
        </w:rPr>
        <w:t>כי רק התאגידים מי לוד ונווה מדבר היו זכאים לקבל מענקי השקעות במים וביוב מיום הקמתם,</w:t>
      </w:r>
      <w:r>
        <w:rPr>
          <w:rFonts w:hint="cs"/>
          <w:sz w:val="24"/>
          <w:rtl/>
        </w:rPr>
        <w:t xml:space="preserve"> משום שהם הוגדרו</w:t>
      </w:r>
      <w:r w:rsidRPr="00EC242B">
        <w:rPr>
          <w:sz w:val="24"/>
          <w:rtl/>
        </w:rPr>
        <w:t xml:space="preserve"> כתאגידים זכאים</w:t>
      </w:r>
      <w:r>
        <w:rPr>
          <w:rFonts w:hint="cs"/>
          <w:sz w:val="24"/>
          <w:rtl/>
        </w:rPr>
        <w:t xml:space="preserve"> כשנוסדו</w:t>
      </w:r>
      <w:r w:rsidRPr="00EC242B">
        <w:rPr>
          <w:sz w:val="24"/>
          <w:rtl/>
        </w:rPr>
        <w:t>. המענקים עבור השקעה במערכות ביוב תוקצבו לפי עלות פרויקט, והמענקים לצמצום פחת תוקצבו לפי ש"ח לנפש. כ-75% מסכום מענקי ההשקעות בתאגידים אלה הושקע במערכות ביוב וכ-25% בצמצום פחת מים.</w:t>
      </w:r>
    </w:p>
    <w:p w:rsidR="003D3BEF" w:rsidP="003D3BEF" w14:paraId="37A1841F" w14:textId="77777777">
      <w:pPr>
        <w:pStyle w:val="a"/>
        <w:spacing w:line="269" w:lineRule="auto"/>
        <w:rPr>
          <w:rtl/>
        </w:rPr>
      </w:pPr>
    </w:p>
    <w:p w:rsidR="003D3BEF" w:rsidP="003D3BEF" w14:paraId="4A56605E" w14:textId="77777777">
      <w:pPr>
        <w:spacing w:line="269" w:lineRule="auto"/>
        <w:ind w:left="312"/>
        <w:rPr>
          <w:sz w:val="24"/>
          <w:rtl/>
        </w:rPr>
      </w:pPr>
      <w:r>
        <w:rPr>
          <w:rFonts w:hint="cs"/>
          <w:sz w:val="24"/>
          <w:rtl/>
        </w:rPr>
        <w:t xml:space="preserve">במאי 2020 השיב </w:t>
      </w:r>
      <w:r w:rsidRPr="005C3F06">
        <w:rPr>
          <w:sz w:val="24"/>
          <w:rtl/>
        </w:rPr>
        <w:t>תאגיד נווה מדבר למשרד מבקר המדינה כי הוא מתמודד עם "נורמות מוטמעות מאז ומעולם של אי תשלום בגין השירותים הציבוריים הניתנים, של אי כיבוד המרחב הציבורי (לדוגמא בתמונות שהובאו</w:t>
      </w:r>
      <w:r>
        <w:rPr>
          <w:rFonts w:hint="cs"/>
          <w:sz w:val="24"/>
          <w:rtl/>
        </w:rPr>
        <w:t xml:space="preserve"> בדוח), ונדליזם בתשתיות וגניבת מים סידרתית.</w:t>
      </w:r>
      <w:r w:rsidRPr="00EC242B">
        <w:rPr>
          <w:rtl/>
        </w:rPr>
        <w:t xml:space="preserve"> </w:t>
      </w:r>
      <w:r w:rsidRPr="00EC242B">
        <w:rPr>
          <w:sz w:val="24"/>
          <w:rtl/>
        </w:rPr>
        <w:t>גניבות המים הללו, בעיקר דרך התחברויות פירטיות לתשתיות, מהוות את רוב פחת המים בתאגיד. הדבר מוקצן בפזורות הלא מוסדרות אותם נאלץ התאגיד לשרת... נתוני האוכלוסייה הרשמיים מדברים על כ-90 אלף תושבים, אך להערכתנו כרבע ממנה הנה פזורה לא מוסדרת</w:t>
      </w:r>
      <w:r w:rsidRPr="00EC242B">
        <w:rPr>
          <w:rtl/>
        </w:rPr>
        <w:t xml:space="preserve"> </w:t>
      </w:r>
      <w:r w:rsidRPr="00EC242B">
        <w:rPr>
          <w:sz w:val="24"/>
          <w:rtl/>
        </w:rPr>
        <w:t>והם תורמים משמעותית לפחת המים והגבייה שלו, ללא יכולת או מנדט אמיתי לפעול שם...</w:t>
      </w:r>
      <w:r w:rsidRPr="00EC242B">
        <w:rPr>
          <w:rtl/>
        </w:rPr>
        <w:t xml:space="preserve"> </w:t>
      </w:r>
      <w:r w:rsidRPr="00EC242B">
        <w:rPr>
          <w:sz w:val="24"/>
          <w:rtl/>
        </w:rPr>
        <w:t>תחת מאפיינים אלו עמידה בנורמות הגבייה והפחת אותם קבעה רשות המים הנה בלתי אפשרית".</w:t>
      </w:r>
    </w:p>
    <w:p w:rsidR="003D3BEF" w:rsidP="003D3BEF" w14:paraId="6EBBDE72" w14:textId="77777777">
      <w:pPr>
        <w:pStyle w:val="a"/>
        <w:spacing w:line="269" w:lineRule="auto"/>
        <w:rPr>
          <w:rtl/>
        </w:rPr>
      </w:pPr>
    </w:p>
    <w:p w:rsidR="003D3BEF" w:rsidP="003D3BEF" w14:paraId="3851B59F" w14:textId="77777777">
      <w:pPr>
        <w:spacing w:line="269" w:lineRule="auto"/>
        <w:ind w:left="312"/>
        <w:rPr>
          <w:sz w:val="24"/>
          <w:rtl/>
        </w:rPr>
      </w:pPr>
      <w:r>
        <w:rPr>
          <w:rFonts w:hint="cs"/>
          <w:sz w:val="24"/>
          <w:rtl/>
        </w:rPr>
        <w:t>התאגיד</w:t>
      </w:r>
      <w:r w:rsidRPr="00DC7FFE">
        <w:rPr>
          <w:rFonts w:hint="cs"/>
          <w:sz w:val="24"/>
          <w:rtl/>
        </w:rPr>
        <w:t xml:space="preserve"> ציין כי</w:t>
      </w:r>
      <w:r>
        <w:rPr>
          <w:rFonts w:hint="cs"/>
          <w:szCs w:val="20"/>
          <w:rtl/>
        </w:rPr>
        <w:t xml:space="preserve"> </w:t>
      </w:r>
      <w:r w:rsidRPr="005C3F06">
        <w:rPr>
          <w:sz w:val="24"/>
          <w:rtl/>
        </w:rPr>
        <w:t>"מענקי המדינה שניתנו לתאגיד אפשרו את הישרדותו, בעיקר בשנות הפעילות הראשונות שלו, אך הן ניתנו באופן מדורג בשתי פעימות. הפעימה השניה היתה לאחר פעולות שכנוע נוספות.</w:t>
      </w:r>
      <w:r>
        <w:rPr>
          <w:rFonts w:hint="cs"/>
          <w:sz w:val="24"/>
          <w:rtl/>
        </w:rPr>
        <w:t>..</w:t>
      </w:r>
      <w:r w:rsidRPr="008A5AA5">
        <w:rPr>
          <w:rtl/>
        </w:rPr>
        <w:t xml:space="preserve"> </w:t>
      </w:r>
      <w:r w:rsidRPr="008A5AA5">
        <w:rPr>
          <w:sz w:val="24"/>
          <w:rtl/>
        </w:rPr>
        <w:t>עיקר המענקים שהמדינה נותנת הנו דווקא בתחום הביוב (שהביאו תוצאות חיוביות...), ולא בתחום המים ושיפור הגבייה".</w:t>
      </w:r>
    </w:p>
    <w:p w:rsidR="003D3BEF" w:rsidP="003D3BEF" w14:paraId="31B1787E" w14:textId="77777777">
      <w:pPr>
        <w:pStyle w:val="a"/>
        <w:spacing w:line="269" w:lineRule="auto"/>
        <w:rPr>
          <w:rtl/>
        </w:rPr>
      </w:pPr>
    </w:p>
    <w:p w:rsidR="003D3BEF" w:rsidP="003D3BEF" w14:paraId="00684A8D" w14:textId="77777777">
      <w:pPr>
        <w:spacing w:line="269" w:lineRule="auto"/>
        <w:ind w:left="312"/>
        <w:rPr>
          <w:sz w:val="24"/>
          <w:rtl/>
        </w:rPr>
      </w:pPr>
      <w:r>
        <w:rPr>
          <w:rFonts w:hint="cs"/>
          <w:sz w:val="24"/>
          <w:rtl/>
        </w:rPr>
        <w:t xml:space="preserve">עוד ציין </w:t>
      </w:r>
      <w:r w:rsidRPr="00437C15">
        <w:rPr>
          <w:sz w:val="24"/>
          <w:rtl/>
        </w:rPr>
        <w:t>התאגיד כי התמיכה הדרושה אינה רק בתחום הכספי, אלא נדרשת תמיכה כלל מערכתית של משרדי הממשלה הרלוונטיים, לפעולה אפקטיבית במרחב</w:t>
      </w:r>
      <w:r>
        <w:rPr>
          <w:rFonts w:hint="cs"/>
          <w:sz w:val="24"/>
          <w:rtl/>
        </w:rPr>
        <w:t>;</w:t>
      </w:r>
      <w:r w:rsidRPr="00437C15">
        <w:rPr>
          <w:sz w:val="24"/>
          <w:rtl/>
        </w:rPr>
        <w:t xml:space="preserve"> לרבות</w:t>
      </w:r>
      <w:r>
        <w:rPr>
          <w:rFonts w:hint="cs"/>
          <w:sz w:val="24"/>
          <w:rtl/>
        </w:rPr>
        <w:t>,</w:t>
      </w:r>
      <w:r w:rsidRPr="00437C15">
        <w:rPr>
          <w:sz w:val="24"/>
          <w:rtl/>
        </w:rPr>
        <w:t xml:space="preserve"> ליווי מדינה ייעודי ועקבי לתאגיד </w:t>
      </w:r>
      <w:r>
        <w:rPr>
          <w:rFonts w:hint="cs"/>
          <w:sz w:val="24"/>
          <w:rtl/>
        </w:rPr>
        <w:t xml:space="preserve">באמצעות </w:t>
      </w:r>
      <w:r w:rsidRPr="00437C15">
        <w:rPr>
          <w:sz w:val="24"/>
          <w:rtl/>
        </w:rPr>
        <w:t>פעילות בין</w:t>
      </w:r>
      <w:r>
        <w:rPr>
          <w:rFonts w:hint="cs"/>
          <w:sz w:val="24"/>
          <w:rtl/>
        </w:rPr>
        <w:t>-</w:t>
      </w:r>
      <w:r w:rsidRPr="00437C15">
        <w:rPr>
          <w:sz w:val="24"/>
          <w:rtl/>
        </w:rPr>
        <w:t xml:space="preserve">משרדית, </w:t>
      </w:r>
      <w:r>
        <w:rPr>
          <w:rFonts w:hint="cs"/>
          <w:sz w:val="24"/>
          <w:rtl/>
        </w:rPr>
        <w:t>ל</w:t>
      </w:r>
      <w:r w:rsidRPr="00437C15">
        <w:rPr>
          <w:sz w:val="24"/>
          <w:rtl/>
        </w:rPr>
        <w:t>שיפור התנאים שבהם הוא פועל ותמיכה כספית ייעודית ומתמשכת בפעולות הסיזיפיות של האכיפה והורדת פחת המים והיקף הגניבות. להלן תמונות מהתאגיד הממחישות את הפגיעה בתשתיות המים והביוב:</w:t>
      </w:r>
    </w:p>
    <w:p w:rsidR="003D3BEF" w:rsidRPr="005C3F06" w:rsidP="003D3BEF" w14:paraId="3C00AF5B" w14:textId="77777777">
      <w:pPr>
        <w:pStyle w:val="a"/>
        <w:spacing w:line="269" w:lineRule="auto"/>
        <w:rPr>
          <w:rtl/>
        </w:rPr>
      </w:pPr>
    </w:p>
    <w:p w:rsidR="003D3BEF" w:rsidRPr="00433EBC" w:rsidP="003D3BEF" w14:paraId="01540F61" w14:textId="77777777">
      <w:pPr>
        <w:spacing w:line="269" w:lineRule="auto"/>
        <w:jc w:val="center"/>
        <w:rPr>
          <w:b/>
          <w:bCs/>
          <w:sz w:val="22"/>
          <w:szCs w:val="22"/>
          <w:u w:val="single"/>
        </w:rPr>
      </w:pPr>
      <w:r w:rsidRPr="00433EBC">
        <w:rPr>
          <w:rFonts w:hint="cs"/>
          <w:b/>
          <w:bCs/>
          <w:sz w:val="22"/>
          <w:szCs w:val="22"/>
          <w:u w:val="single"/>
          <w:rtl/>
        </w:rPr>
        <w:t>תמונה 4</w:t>
      </w:r>
      <w:r w:rsidRPr="00433EBC">
        <w:rPr>
          <w:b/>
          <w:bCs/>
          <w:sz w:val="22"/>
          <w:szCs w:val="22"/>
          <w:u w:val="single"/>
          <w:rtl/>
        </w:rPr>
        <w:t xml:space="preserve">: </w:t>
      </w:r>
      <w:r w:rsidRPr="00433EBC">
        <w:rPr>
          <w:rFonts w:hint="cs"/>
          <w:b/>
          <w:bCs/>
          <w:sz w:val="22"/>
          <w:szCs w:val="22"/>
          <w:u w:val="single"/>
          <w:rtl/>
        </w:rPr>
        <w:t>דליפות</w:t>
      </w:r>
      <w:r w:rsidRPr="00433EBC">
        <w:rPr>
          <w:b/>
          <w:bCs/>
          <w:sz w:val="22"/>
          <w:szCs w:val="22"/>
          <w:u w:val="single"/>
          <w:rtl/>
        </w:rPr>
        <w:t xml:space="preserve"> </w:t>
      </w:r>
      <w:r w:rsidRPr="00433EBC">
        <w:rPr>
          <w:rFonts w:hint="cs"/>
          <w:b/>
          <w:bCs/>
          <w:sz w:val="22"/>
          <w:szCs w:val="22"/>
          <w:u w:val="single"/>
          <w:rtl/>
        </w:rPr>
        <w:t>ביוב</w:t>
      </w:r>
      <w:r w:rsidRPr="00433EBC">
        <w:rPr>
          <w:b/>
          <w:bCs/>
          <w:sz w:val="22"/>
          <w:szCs w:val="22"/>
          <w:u w:val="single"/>
          <w:rtl/>
        </w:rPr>
        <w:t xml:space="preserve"> </w:t>
      </w:r>
      <w:r w:rsidRPr="00433EBC">
        <w:rPr>
          <w:rFonts w:hint="cs"/>
          <w:b/>
          <w:bCs/>
          <w:sz w:val="22"/>
          <w:szCs w:val="22"/>
          <w:u w:val="single"/>
          <w:rtl/>
        </w:rPr>
        <w:t>בעקבות</w:t>
      </w:r>
      <w:r w:rsidRPr="00433EBC">
        <w:rPr>
          <w:b/>
          <w:bCs/>
          <w:sz w:val="22"/>
          <w:szCs w:val="22"/>
          <w:u w:val="single"/>
          <w:rtl/>
        </w:rPr>
        <w:t xml:space="preserve"> </w:t>
      </w:r>
      <w:r w:rsidRPr="00433EBC">
        <w:rPr>
          <w:rFonts w:hint="cs"/>
          <w:b/>
          <w:bCs/>
          <w:sz w:val="22"/>
          <w:szCs w:val="22"/>
          <w:u w:val="single"/>
          <w:rtl/>
        </w:rPr>
        <w:t>פגיעה</w:t>
      </w:r>
      <w:r w:rsidRPr="00433EBC">
        <w:rPr>
          <w:b/>
          <w:bCs/>
          <w:sz w:val="22"/>
          <w:szCs w:val="22"/>
          <w:u w:val="single"/>
          <w:rtl/>
        </w:rPr>
        <w:t xml:space="preserve"> </w:t>
      </w:r>
      <w:r w:rsidRPr="00433EBC">
        <w:rPr>
          <w:rFonts w:hint="cs"/>
          <w:b/>
          <w:bCs/>
          <w:sz w:val="22"/>
          <w:szCs w:val="22"/>
          <w:u w:val="single"/>
          <w:rtl/>
        </w:rPr>
        <w:t>בקו</w:t>
      </w:r>
      <w:r w:rsidRPr="00433EBC">
        <w:rPr>
          <w:b/>
          <w:bCs/>
          <w:sz w:val="22"/>
          <w:szCs w:val="22"/>
          <w:u w:val="single"/>
          <w:rtl/>
        </w:rPr>
        <w:t xml:space="preserve"> </w:t>
      </w:r>
      <w:r w:rsidRPr="00433EBC">
        <w:rPr>
          <w:rFonts w:hint="cs"/>
          <w:b/>
          <w:bCs/>
          <w:sz w:val="22"/>
          <w:szCs w:val="22"/>
          <w:u w:val="single"/>
          <w:rtl/>
        </w:rPr>
        <w:t>מאסף</w:t>
      </w:r>
      <w:r w:rsidRPr="00433EBC">
        <w:rPr>
          <w:b/>
          <w:bCs/>
          <w:sz w:val="22"/>
          <w:szCs w:val="22"/>
          <w:u w:val="single"/>
          <w:rtl/>
        </w:rPr>
        <w:t xml:space="preserve"> </w:t>
      </w:r>
      <w:r w:rsidRPr="00433EBC">
        <w:rPr>
          <w:rFonts w:hint="cs"/>
          <w:b/>
          <w:bCs/>
          <w:sz w:val="22"/>
          <w:szCs w:val="22"/>
          <w:u w:val="single"/>
          <w:rtl/>
        </w:rPr>
        <w:t>במהלך</w:t>
      </w:r>
      <w:r w:rsidRPr="00433EBC">
        <w:rPr>
          <w:b/>
          <w:bCs/>
          <w:sz w:val="22"/>
          <w:szCs w:val="22"/>
          <w:u w:val="single"/>
          <w:rtl/>
        </w:rPr>
        <w:t xml:space="preserve"> </w:t>
      </w:r>
      <w:r w:rsidRPr="00433EBC">
        <w:rPr>
          <w:rFonts w:hint="cs"/>
          <w:b/>
          <w:bCs/>
          <w:sz w:val="22"/>
          <w:szCs w:val="22"/>
          <w:u w:val="single"/>
          <w:rtl/>
        </w:rPr>
        <w:t>עבודות</w:t>
      </w:r>
      <w:r w:rsidRPr="00433EBC">
        <w:rPr>
          <w:b/>
          <w:bCs/>
          <w:sz w:val="22"/>
          <w:szCs w:val="22"/>
          <w:u w:val="single"/>
          <w:rtl/>
        </w:rPr>
        <w:t xml:space="preserve"> </w:t>
      </w:r>
      <w:r w:rsidRPr="00433EBC">
        <w:rPr>
          <w:rFonts w:hint="cs"/>
          <w:b/>
          <w:bCs/>
          <w:sz w:val="22"/>
          <w:szCs w:val="22"/>
          <w:u w:val="single"/>
          <w:rtl/>
        </w:rPr>
        <w:t>בנייה</w:t>
      </w:r>
      <w:r w:rsidRPr="00433EBC">
        <w:rPr>
          <w:b/>
          <w:bCs/>
          <w:sz w:val="22"/>
          <w:szCs w:val="22"/>
          <w:u w:val="single"/>
          <w:rtl/>
        </w:rPr>
        <w:t xml:space="preserve"> </w:t>
      </w:r>
      <w:r w:rsidRPr="00433EBC">
        <w:rPr>
          <w:rFonts w:hint="cs"/>
          <w:b/>
          <w:bCs/>
          <w:sz w:val="22"/>
          <w:szCs w:val="22"/>
          <w:u w:val="single"/>
          <w:rtl/>
        </w:rPr>
        <w:t>בלתי</w:t>
      </w:r>
      <w:r w:rsidRPr="00433EBC">
        <w:rPr>
          <w:b/>
          <w:bCs/>
          <w:sz w:val="22"/>
          <w:szCs w:val="22"/>
          <w:u w:val="single"/>
          <w:rtl/>
        </w:rPr>
        <w:t xml:space="preserve"> </w:t>
      </w:r>
      <w:r w:rsidRPr="00433EBC">
        <w:rPr>
          <w:rFonts w:hint="cs"/>
          <w:b/>
          <w:bCs/>
          <w:sz w:val="22"/>
          <w:szCs w:val="22"/>
          <w:u w:val="single"/>
          <w:rtl/>
        </w:rPr>
        <w:t>חוקית</w:t>
      </w:r>
      <w:r w:rsidRPr="00433EBC">
        <w:rPr>
          <w:b/>
          <w:bCs/>
          <w:sz w:val="22"/>
          <w:szCs w:val="22"/>
          <w:u w:val="single"/>
          <w:rtl/>
        </w:rPr>
        <w:t xml:space="preserve"> </w:t>
      </w:r>
      <w:r w:rsidRPr="00433EBC">
        <w:rPr>
          <w:rFonts w:hint="cs"/>
          <w:b/>
          <w:bCs/>
          <w:sz w:val="22"/>
          <w:szCs w:val="22"/>
          <w:u w:val="single"/>
          <w:rtl/>
        </w:rPr>
        <w:t>בערערה</w:t>
      </w:r>
      <w:r w:rsidRPr="00433EBC">
        <w:rPr>
          <w:b/>
          <w:bCs/>
          <w:sz w:val="22"/>
          <w:szCs w:val="22"/>
          <w:u w:val="single"/>
          <w:rtl/>
        </w:rPr>
        <w:t xml:space="preserve"> </w:t>
      </w:r>
      <w:r w:rsidRPr="00433EBC">
        <w:rPr>
          <w:rFonts w:hint="cs"/>
          <w:b/>
          <w:bCs/>
          <w:sz w:val="22"/>
          <w:szCs w:val="22"/>
          <w:u w:val="single"/>
          <w:rtl/>
        </w:rPr>
        <w:t>שבנגב</w:t>
      </w:r>
    </w:p>
    <w:p w:rsidR="003D3BEF" w:rsidP="00282624" w14:paraId="10DEAB85" w14:textId="77777777">
      <w:pPr>
        <w:spacing w:before="120" w:after="120" w:line="269" w:lineRule="auto"/>
        <w:jc w:val="center"/>
        <w:rPr>
          <w:b/>
          <w:bCs/>
          <w:sz w:val="24"/>
          <w:rtl/>
        </w:rPr>
      </w:pPr>
      <w:r>
        <w:rPr>
          <w:b/>
          <w:bCs/>
          <w:noProof/>
          <w:sz w:val="24"/>
          <w:rtl/>
        </w:rPr>
        <w:drawing>
          <wp:inline distT="0" distB="0" distL="0" distR="0">
            <wp:extent cx="3600000" cy="2693647"/>
            <wp:effectExtent l="0" t="0" r="635" b="0"/>
            <wp:docPr id="624677555" name="תמונה 62467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2004" name="PIC-4.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0000" cy="2693647"/>
                    </a:xfrm>
                    <a:prstGeom prst="rect">
                      <a:avLst/>
                    </a:prstGeom>
                  </pic:spPr>
                </pic:pic>
              </a:graphicData>
            </a:graphic>
          </wp:inline>
        </w:drawing>
      </w:r>
    </w:p>
    <w:p w:rsidR="003D3BEF" w:rsidRPr="00684E93" w:rsidP="00282624" w14:paraId="4966D865" w14:textId="77777777">
      <w:pPr>
        <w:spacing w:line="269" w:lineRule="auto"/>
        <w:rPr>
          <w:noProof/>
          <w:sz w:val="22"/>
          <w:szCs w:val="22"/>
        </w:rPr>
      </w:pPr>
      <w:r w:rsidRPr="00684E93">
        <w:rPr>
          <w:rFonts w:hint="cs"/>
          <w:noProof/>
          <w:sz w:val="22"/>
          <w:szCs w:val="22"/>
          <w:rtl/>
        </w:rPr>
        <w:t>המקור: תאגיד נווה מדבר.</w:t>
      </w:r>
    </w:p>
    <w:p w:rsidR="00282624" w:rsidP="003D3BEF" w14:paraId="0988802F" w14:textId="77777777">
      <w:pPr>
        <w:spacing w:line="269" w:lineRule="auto"/>
        <w:jc w:val="center"/>
        <w:rPr>
          <w:b/>
          <w:bCs/>
          <w:sz w:val="24"/>
          <w:u w:val="single"/>
          <w:rtl/>
        </w:rPr>
      </w:pPr>
      <w:r>
        <w:rPr>
          <w:b/>
          <w:bCs/>
          <w:sz w:val="24"/>
          <w:u w:val="single"/>
          <w:rtl/>
        </w:rPr>
        <w:br w:type="page"/>
      </w:r>
    </w:p>
    <w:p w:rsidR="003D3BEF" w:rsidP="003D3BEF" w14:paraId="54AA5301" w14:textId="77777777">
      <w:pPr>
        <w:spacing w:line="269" w:lineRule="auto"/>
        <w:jc w:val="center"/>
        <w:rPr>
          <w:b/>
          <w:bCs/>
          <w:sz w:val="24"/>
          <w:rtl/>
        </w:rPr>
      </w:pPr>
      <w:r>
        <w:rPr>
          <w:rFonts w:hint="cs"/>
          <w:b/>
          <w:bCs/>
          <w:sz w:val="24"/>
          <w:u w:val="single"/>
          <w:rtl/>
        </w:rPr>
        <w:t xml:space="preserve">תמונה 5: </w:t>
      </w:r>
      <w:r w:rsidRPr="005761F1">
        <w:rPr>
          <w:rFonts w:hint="cs"/>
          <w:b/>
          <w:bCs/>
          <w:sz w:val="24"/>
          <w:u w:val="single"/>
          <w:rtl/>
        </w:rPr>
        <w:t>פסולת</w:t>
      </w:r>
      <w:r w:rsidRPr="005761F1">
        <w:rPr>
          <w:b/>
          <w:bCs/>
          <w:sz w:val="24"/>
          <w:u w:val="single"/>
          <w:rtl/>
        </w:rPr>
        <w:t xml:space="preserve"> </w:t>
      </w:r>
      <w:r w:rsidRPr="005761F1">
        <w:rPr>
          <w:rFonts w:hint="cs"/>
          <w:b/>
          <w:bCs/>
          <w:sz w:val="24"/>
          <w:u w:val="single"/>
          <w:rtl/>
        </w:rPr>
        <w:t>המושלכת</w:t>
      </w:r>
      <w:r w:rsidRPr="005761F1">
        <w:rPr>
          <w:b/>
          <w:bCs/>
          <w:sz w:val="24"/>
          <w:u w:val="single"/>
          <w:rtl/>
        </w:rPr>
        <w:t xml:space="preserve"> </w:t>
      </w:r>
      <w:r w:rsidRPr="005761F1">
        <w:rPr>
          <w:rFonts w:hint="cs"/>
          <w:b/>
          <w:bCs/>
          <w:sz w:val="24"/>
          <w:u w:val="single"/>
          <w:rtl/>
        </w:rPr>
        <w:t>מעל</w:t>
      </w:r>
      <w:r w:rsidRPr="005761F1">
        <w:rPr>
          <w:b/>
          <w:bCs/>
          <w:sz w:val="24"/>
          <w:u w:val="single"/>
          <w:rtl/>
        </w:rPr>
        <w:t xml:space="preserve"> </w:t>
      </w:r>
      <w:r w:rsidRPr="005761F1">
        <w:rPr>
          <w:rFonts w:hint="cs"/>
          <w:b/>
          <w:bCs/>
          <w:sz w:val="24"/>
          <w:u w:val="single"/>
          <w:rtl/>
        </w:rPr>
        <w:t>שוחת</w:t>
      </w:r>
      <w:r w:rsidRPr="005761F1">
        <w:rPr>
          <w:b/>
          <w:bCs/>
          <w:sz w:val="24"/>
          <w:u w:val="single"/>
          <w:rtl/>
        </w:rPr>
        <w:t xml:space="preserve"> </w:t>
      </w:r>
      <w:r w:rsidRPr="005761F1">
        <w:rPr>
          <w:rFonts w:hint="cs"/>
          <w:b/>
          <w:bCs/>
          <w:sz w:val="24"/>
          <w:u w:val="single"/>
          <w:rtl/>
        </w:rPr>
        <w:t>ביוב</w:t>
      </w:r>
      <w:r w:rsidRPr="005761F1">
        <w:rPr>
          <w:b/>
          <w:bCs/>
          <w:sz w:val="24"/>
          <w:u w:val="single"/>
          <w:rtl/>
        </w:rPr>
        <w:t xml:space="preserve"> </w:t>
      </w:r>
      <w:r w:rsidRPr="005761F1">
        <w:rPr>
          <w:rFonts w:hint="cs"/>
          <w:b/>
          <w:bCs/>
          <w:sz w:val="24"/>
          <w:u w:val="single"/>
          <w:rtl/>
        </w:rPr>
        <w:t>ומגבילה</w:t>
      </w:r>
      <w:r w:rsidRPr="005761F1">
        <w:rPr>
          <w:b/>
          <w:bCs/>
          <w:sz w:val="24"/>
          <w:u w:val="single"/>
          <w:rtl/>
        </w:rPr>
        <w:t xml:space="preserve"> </w:t>
      </w:r>
      <w:r w:rsidRPr="005761F1">
        <w:rPr>
          <w:rFonts w:hint="cs"/>
          <w:b/>
          <w:bCs/>
          <w:sz w:val="24"/>
          <w:u w:val="single"/>
          <w:rtl/>
        </w:rPr>
        <w:t>את</w:t>
      </w:r>
      <w:r w:rsidRPr="005761F1">
        <w:rPr>
          <w:b/>
          <w:bCs/>
          <w:sz w:val="24"/>
          <w:u w:val="single"/>
          <w:rtl/>
        </w:rPr>
        <w:t xml:space="preserve"> </w:t>
      </w:r>
      <w:r w:rsidRPr="005761F1">
        <w:rPr>
          <w:rFonts w:hint="cs"/>
          <w:b/>
          <w:bCs/>
          <w:sz w:val="24"/>
          <w:u w:val="single"/>
          <w:rtl/>
        </w:rPr>
        <w:t>הנגישות</w:t>
      </w:r>
      <w:r w:rsidRPr="005761F1">
        <w:rPr>
          <w:b/>
          <w:bCs/>
          <w:sz w:val="24"/>
          <w:u w:val="single"/>
          <w:rtl/>
        </w:rPr>
        <w:t xml:space="preserve"> </w:t>
      </w:r>
      <w:r w:rsidRPr="005761F1">
        <w:rPr>
          <w:rFonts w:hint="cs"/>
          <w:b/>
          <w:bCs/>
          <w:sz w:val="24"/>
          <w:u w:val="single"/>
          <w:rtl/>
        </w:rPr>
        <w:t>אליה</w:t>
      </w:r>
    </w:p>
    <w:p w:rsidR="003D3BEF" w:rsidP="00282624" w14:paraId="253F3597" w14:textId="77777777">
      <w:pPr>
        <w:spacing w:before="120" w:after="120" w:line="269" w:lineRule="auto"/>
        <w:jc w:val="center"/>
        <w:rPr>
          <w:b/>
          <w:bCs/>
          <w:sz w:val="24"/>
          <w:rtl/>
        </w:rPr>
      </w:pPr>
      <w:r>
        <w:rPr>
          <w:b/>
          <w:bCs/>
          <w:noProof/>
          <w:sz w:val="24"/>
          <w:rtl/>
        </w:rPr>
        <w:drawing>
          <wp:inline distT="0" distB="0" distL="0" distR="0">
            <wp:extent cx="2880000" cy="3487765"/>
            <wp:effectExtent l="0" t="0" r="0" b="0"/>
            <wp:docPr id="624677556" name="תמונה 62467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5401" name="PIC-5.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0" cy="3487765"/>
                    </a:xfrm>
                    <a:prstGeom prst="rect">
                      <a:avLst/>
                    </a:prstGeom>
                  </pic:spPr>
                </pic:pic>
              </a:graphicData>
            </a:graphic>
          </wp:inline>
        </w:drawing>
      </w:r>
    </w:p>
    <w:p w:rsidR="003D3BEF" w:rsidRPr="00684E93" w:rsidP="00282624" w14:paraId="04F7AEBC" w14:textId="77777777">
      <w:pPr>
        <w:spacing w:line="269" w:lineRule="auto"/>
        <w:rPr>
          <w:noProof/>
          <w:sz w:val="22"/>
          <w:szCs w:val="22"/>
        </w:rPr>
      </w:pPr>
      <w:r w:rsidRPr="00684E93">
        <w:rPr>
          <w:rFonts w:hint="cs"/>
          <w:noProof/>
          <w:sz w:val="22"/>
          <w:szCs w:val="22"/>
          <w:rtl/>
        </w:rPr>
        <w:t>המקור: תאגיד נווה מדבר.</w:t>
      </w:r>
    </w:p>
    <w:p w:rsidR="00282624" w:rsidP="003D3BEF" w14:paraId="2CF723B6" w14:textId="77777777">
      <w:pPr>
        <w:spacing w:line="269" w:lineRule="auto"/>
        <w:jc w:val="center"/>
        <w:rPr>
          <w:b/>
          <w:bCs/>
          <w:sz w:val="24"/>
          <w:u w:val="single"/>
          <w:rtl/>
        </w:rPr>
      </w:pPr>
    </w:p>
    <w:p w:rsidR="003D3BEF" w:rsidP="003D3BEF" w14:paraId="2021C68D" w14:textId="77777777">
      <w:pPr>
        <w:spacing w:line="269" w:lineRule="auto"/>
        <w:jc w:val="center"/>
        <w:rPr>
          <w:b/>
          <w:bCs/>
          <w:sz w:val="24"/>
          <w:rtl/>
        </w:rPr>
      </w:pPr>
      <w:r>
        <w:rPr>
          <w:rFonts w:hint="cs"/>
          <w:b/>
          <w:bCs/>
          <w:sz w:val="24"/>
          <w:u w:val="single"/>
          <w:rtl/>
        </w:rPr>
        <w:t xml:space="preserve">תמונה 6: </w:t>
      </w:r>
      <w:r w:rsidRPr="005761F1">
        <w:rPr>
          <w:rFonts w:hint="cs"/>
          <w:b/>
          <w:bCs/>
          <w:sz w:val="24"/>
          <w:u w:val="single"/>
          <w:rtl/>
        </w:rPr>
        <w:t>בניית</w:t>
      </w:r>
      <w:r w:rsidRPr="005761F1">
        <w:rPr>
          <w:b/>
          <w:bCs/>
          <w:sz w:val="24"/>
          <w:u w:val="single"/>
          <w:rtl/>
        </w:rPr>
        <w:t xml:space="preserve"> מבנה לגידול גמלים מעל שוחת ביוב </w:t>
      </w:r>
      <w:r w:rsidRPr="005761F1">
        <w:rPr>
          <w:rFonts w:hint="cs"/>
          <w:b/>
          <w:bCs/>
          <w:sz w:val="24"/>
          <w:u w:val="single"/>
          <w:rtl/>
        </w:rPr>
        <w:t>באופן</w:t>
      </w:r>
      <w:r w:rsidRPr="005761F1">
        <w:rPr>
          <w:b/>
          <w:bCs/>
          <w:sz w:val="24"/>
          <w:u w:val="single"/>
          <w:rtl/>
        </w:rPr>
        <w:t xml:space="preserve"> </w:t>
      </w:r>
      <w:r w:rsidRPr="005761F1">
        <w:rPr>
          <w:rFonts w:hint="cs"/>
          <w:b/>
          <w:bCs/>
          <w:sz w:val="24"/>
          <w:u w:val="single"/>
          <w:rtl/>
        </w:rPr>
        <w:t>המגביל</w:t>
      </w:r>
      <w:r w:rsidRPr="005761F1">
        <w:rPr>
          <w:b/>
          <w:bCs/>
          <w:sz w:val="24"/>
          <w:u w:val="single"/>
          <w:rtl/>
        </w:rPr>
        <w:t xml:space="preserve"> </w:t>
      </w:r>
      <w:r w:rsidRPr="005761F1">
        <w:rPr>
          <w:rFonts w:hint="cs"/>
          <w:b/>
          <w:bCs/>
          <w:sz w:val="24"/>
          <w:u w:val="single"/>
          <w:rtl/>
        </w:rPr>
        <w:t>את</w:t>
      </w:r>
      <w:r w:rsidRPr="005761F1">
        <w:rPr>
          <w:b/>
          <w:bCs/>
          <w:sz w:val="24"/>
          <w:u w:val="single"/>
          <w:rtl/>
        </w:rPr>
        <w:t xml:space="preserve"> </w:t>
      </w:r>
      <w:r w:rsidRPr="005761F1">
        <w:rPr>
          <w:rFonts w:hint="cs"/>
          <w:b/>
          <w:bCs/>
          <w:sz w:val="24"/>
          <w:u w:val="single"/>
          <w:rtl/>
        </w:rPr>
        <w:t>הנגישות</w:t>
      </w:r>
      <w:r w:rsidRPr="005761F1">
        <w:rPr>
          <w:b/>
          <w:bCs/>
          <w:sz w:val="24"/>
          <w:u w:val="single"/>
          <w:rtl/>
        </w:rPr>
        <w:t xml:space="preserve"> </w:t>
      </w:r>
      <w:r w:rsidRPr="005761F1">
        <w:rPr>
          <w:rFonts w:hint="cs"/>
          <w:b/>
          <w:bCs/>
          <w:sz w:val="24"/>
          <w:u w:val="single"/>
          <w:rtl/>
        </w:rPr>
        <w:t>אליה</w:t>
      </w:r>
    </w:p>
    <w:p w:rsidR="003D3BEF" w:rsidP="00282624" w14:paraId="4ACAC2FF" w14:textId="77777777">
      <w:pPr>
        <w:spacing w:before="120" w:after="120" w:line="269" w:lineRule="auto"/>
        <w:jc w:val="center"/>
        <w:rPr>
          <w:b/>
          <w:bCs/>
          <w:sz w:val="24"/>
          <w:rtl/>
        </w:rPr>
      </w:pPr>
      <w:r>
        <w:rPr>
          <w:b/>
          <w:bCs/>
          <w:noProof/>
          <w:sz w:val="24"/>
          <w:rtl/>
        </w:rPr>
        <w:drawing>
          <wp:inline distT="0" distB="0" distL="0" distR="0">
            <wp:extent cx="4320000" cy="3229920"/>
            <wp:effectExtent l="0" t="0" r="4445" b="8890"/>
            <wp:docPr id="624677557" name="תמונה 62467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606406" name="PIC-6.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3229920"/>
                    </a:xfrm>
                    <a:prstGeom prst="rect">
                      <a:avLst/>
                    </a:prstGeom>
                  </pic:spPr>
                </pic:pic>
              </a:graphicData>
            </a:graphic>
          </wp:inline>
        </w:drawing>
      </w:r>
    </w:p>
    <w:p w:rsidR="003D3BEF" w:rsidRPr="00684E93" w:rsidP="00282624" w14:paraId="5FA79E2E" w14:textId="77777777">
      <w:pPr>
        <w:spacing w:line="269" w:lineRule="auto"/>
        <w:rPr>
          <w:noProof/>
          <w:sz w:val="22"/>
          <w:szCs w:val="22"/>
          <w:rtl/>
        </w:rPr>
      </w:pPr>
      <w:r w:rsidRPr="00684E93">
        <w:rPr>
          <w:rFonts w:hint="cs"/>
          <w:noProof/>
          <w:sz w:val="22"/>
          <w:szCs w:val="22"/>
          <w:rtl/>
        </w:rPr>
        <w:t>המקור: תאגיד נווה מדבר.</w:t>
      </w:r>
    </w:p>
    <w:p w:rsidR="00282624" w:rsidP="003D3BEF" w14:paraId="3C6C39FB" w14:textId="77777777">
      <w:pPr>
        <w:spacing w:line="269" w:lineRule="auto"/>
        <w:jc w:val="center"/>
        <w:rPr>
          <w:b/>
          <w:bCs/>
          <w:sz w:val="24"/>
          <w:u w:val="single"/>
          <w:rtl/>
        </w:rPr>
      </w:pPr>
      <w:r>
        <w:rPr>
          <w:b/>
          <w:bCs/>
          <w:sz w:val="24"/>
          <w:u w:val="single"/>
          <w:rtl/>
        </w:rPr>
        <w:br w:type="page"/>
      </w:r>
    </w:p>
    <w:p w:rsidR="003D3BEF" w:rsidP="003D3BEF" w14:paraId="1EF921E9" w14:textId="77777777">
      <w:pPr>
        <w:spacing w:line="269" w:lineRule="auto"/>
        <w:jc w:val="center"/>
        <w:rPr>
          <w:b/>
          <w:bCs/>
          <w:sz w:val="24"/>
          <w:rtl/>
        </w:rPr>
      </w:pPr>
      <w:r>
        <w:rPr>
          <w:rFonts w:hint="cs"/>
          <w:b/>
          <w:bCs/>
          <w:sz w:val="24"/>
          <w:u w:val="single"/>
          <w:rtl/>
        </w:rPr>
        <w:t xml:space="preserve">תמונה 7: </w:t>
      </w:r>
      <w:r w:rsidRPr="005761F1">
        <w:rPr>
          <w:rFonts w:hint="cs"/>
          <w:b/>
          <w:bCs/>
          <w:sz w:val="24"/>
          <w:u w:val="single"/>
          <w:rtl/>
        </w:rPr>
        <w:t>כיסוי</w:t>
      </w:r>
      <w:r w:rsidRPr="005761F1">
        <w:rPr>
          <w:b/>
          <w:bCs/>
          <w:sz w:val="24"/>
          <w:u w:val="single"/>
          <w:rtl/>
        </w:rPr>
        <w:t xml:space="preserve"> </w:t>
      </w:r>
      <w:r w:rsidRPr="005761F1">
        <w:rPr>
          <w:rFonts w:hint="cs"/>
          <w:b/>
          <w:bCs/>
          <w:sz w:val="24"/>
          <w:u w:val="single"/>
          <w:rtl/>
        </w:rPr>
        <w:t>שוחות</w:t>
      </w:r>
      <w:r w:rsidRPr="005761F1">
        <w:rPr>
          <w:b/>
          <w:bCs/>
          <w:sz w:val="24"/>
          <w:u w:val="single"/>
          <w:rtl/>
        </w:rPr>
        <w:t xml:space="preserve"> </w:t>
      </w:r>
      <w:r w:rsidRPr="005761F1">
        <w:rPr>
          <w:rFonts w:hint="cs"/>
          <w:b/>
          <w:bCs/>
          <w:sz w:val="24"/>
          <w:u w:val="single"/>
          <w:rtl/>
        </w:rPr>
        <w:t>ביוב</w:t>
      </w:r>
      <w:r w:rsidRPr="005761F1">
        <w:rPr>
          <w:b/>
          <w:bCs/>
          <w:sz w:val="24"/>
          <w:u w:val="single"/>
          <w:rtl/>
        </w:rPr>
        <w:t xml:space="preserve"> </w:t>
      </w:r>
      <w:r w:rsidRPr="005761F1">
        <w:rPr>
          <w:rFonts w:hint="cs"/>
          <w:b/>
          <w:bCs/>
          <w:sz w:val="24"/>
          <w:u w:val="single"/>
          <w:rtl/>
        </w:rPr>
        <w:t>בפסולת</w:t>
      </w:r>
      <w:r w:rsidRPr="005761F1">
        <w:rPr>
          <w:b/>
          <w:bCs/>
          <w:sz w:val="24"/>
          <w:u w:val="single"/>
          <w:rtl/>
        </w:rPr>
        <w:t xml:space="preserve"> </w:t>
      </w:r>
      <w:r w:rsidRPr="005761F1">
        <w:rPr>
          <w:rFonts w:hint="cs"/>
          <w:b/>
          <w:bCs/>
          <w:sz w:val="24"/>
          <w:u w:val="single"/>
          <w:rtl/>
        </w:rPr>
        <w:t>בניין</w:t>
      </w:r>
      <w:r w:rsidRPr="005761F1">
        <w:rPr>
          <w:b/>
          <w:bCs/>
          <w:sz w:val="24"/>
          <w:u w:val="single"/>
          <w:rtl/>
        </w:rPr>
        <w:t xml:space="preserve"> ואדמ</w:t>
      </w:r>
      <w:r w:rsidRPr="005761F1">
        <w:rPr>
          <w:rFonts w:hint="cs"/>
          <w:b/>
          <w:bCs/>
          <w:sz w:val="24"/>
          <w:u w:val="single"/>
          <w:rtl/>
        </w:rPr>
        <w:t>ה</w:t>
      </w:r>
    </w:p>
    <w:p w:rsidR="003D3BEF" w:rsidP="00282624" w14:paraId="5696A54F" w14:textId="77777777">
      <w:pPr>
        <w:spacing w:before="120" w:after="120" w:line="269" w:lineRule="auto"/>
        <w:jc w:val="center"/>
        <w:rPr>
          <w:b/>
          <w:bCs/>
          <w:sz w:val="24"/>
          <w:rtl/>
        </w:rPr>
      </w:pPr>
      <w:r>
        <w:rPr>
          <w:b/>
          <w:bCs/>
          <w:noProof/>
          <w:sz w:val="24"/>
          <w:rtl/>
        </w:rPr>
        <w:drawing>
          <wp:inline distT="0" distB="0" distL="0" distR="0">
            <wp:extent cx="4315680" cy="3182400"/>
            <wp:effectExtent l="0" t="0" r="8890" b="0"/>
            <wp:docPr id="624677562" name="תמונה 62467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27933" name="PIC-7.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5680" cy="3182400"/>
                    </a:xfrm>
                    <a:prstGeom prst="rect">
                      <a:avLst/>
                    </a:prstGeom>
                  </pic:spPr>
                </pic:pic>
              </a:graphicData>
            </a:graphic>
          </wp:inline>
        </w:drawing>
      </w:r>
    </w:p>
    <w:p w:rsidR="003D3BEF" w:rsidRPr="00684E93" w:rsidP="00282624" w14:paraId="6C50B458" w14:textId="77777777">
      <w:pPr>
        <w:spacing w:line="269" w:lineRule="auto"/>
        <w:rPr>
          <w:b/>
          <w:bCs/>
          <w:sz w:val="28"/>
          <w:szCs w:val="28"/>
          <w:rtl/>
        </w:rPr>
      </w:pPr>
      <w:r w:rsidRPr="00684E93">
        <w:rPr>
          <w:rFonts w:hint="cs"/>
          <w:noProof/>
          <w:sz w:val="22"/>
          <w:szCs w:val="22"/>
          <w:rtl/>
        </w:rPr>
        <w:t>המקור: תאגיד נווה מדבר</w:t>
      </w:r>
      <w:r w:rsidRPr="00684E93">
        <w:rPr>
          <w:rFonts w:hint="cs"/>
          <w:noProof/>
          <w:rtl/>
        </w:rPr>
        <w:t>.</w:t>
      </w:r>
    </w:p>
    <w:p w:rsidR="003D3BEF" w:rsidP="003D3BEF" w14:paraId="6F237C57" w14:textId="77777777">
      <w:pPr>
        <w:pStyle w:val="a"/>
        <w:spacing w:line="269" w:lineRule="auto"/>
        <w:rPr>
          <w:rtl/>
        </w:rPr>
      </w:pPr>
    </w:p>
    <w:p w:rsidR="003D3BEF" w:rsidP="003D3BEF" w14:paraId="3F6616DB" w14:textId="77777777">
      <w:pPr>
        <w:spacing w:line="269" w:lineRule="auto"/>
        <w:ind w:left="312"/>
        <w:rPr>
          <w:b/>
          <w:bCs/>
          <w:sz w:val="24"/>
          <w:rtl/>
        </w:rPr>
      </w:pPr>
      <w:r>
        <w:rPr>
          <w:rFonts w:hint="cs"/>
          <w:b/>
          <w:bCs/>
          <w:sz w:val="24"/>
          <w:rtl/>
        </w:rPr>
        <w:t xml:space="preserve">משרד מבקר המדינה מעיר לרשות המים כי </w:t>
      </w:r>
      <w:r w:rsidRPr="00437C15">
        <w:rPr>
          <w:b/>
          <w:bCs/>
          <w:sz w:val="24"/>
          <w:rtl/>
        </w:rPr>
        <w:t>בעוד שמענקים בתחום הביוב שניתנו למטרת השקעות</w:t>
      </w:r>
      <w:r>
        <w:rPr>
          <w:rFonts w:hint="cs"/>
          <w:b/>
          <w:bCs/>
          <w:sz w:val="24"/>
          <w:rtl/>
        </w:rPr>
        <w:t xml:space="preserve"> </w:t>
      </w:r>
      <w:r w:rsidRPr="00437C15">
        <w:rPr>
          <w:b/>
          <w:bCs/>
          <w:sz w:val="24"/>
          <w:rtl/>
        </w:rPr>
        <w:t xml:space="preserve">תוקצבו </w:t>
      </w:r>
      <w:r>
        <w:rPr>
          <w:rFonts w:hint="cs"/>
          <w:b/>
          <w:bCs/>
          <w:sz w:val="24"/>
          <w:rtl/>
        </w:rPr>
        <w:t xml:space="preserve">על ידי משרד האוצר </w:t>
      </w:r>
      <w:r w:rsidRPr="00437C15">
        <w:rPr>
          <w:b/>
          <w:bCs/>
          <w:sz w:val="24"/>
          <w:rtl/>
        </w:rPr>
        <w:t xml:space="preserve">באופן ייעודי לכל פרויקט ושולמו לפי התקדמות הפרויקט, המענקים בתחום המים נועדו לקדם </w:t>
      </w:r>
      <w:r>
        <w:rPr>
          <w:rFonts w:hint="cs"/>
          <w:b/>
          <w:bCs/>
          <w:sz w:val="24"/>
          <w:rtl/>
        </w:rPr>
        <w:t>כמה</w:t>
      </w:r>
      <w:r w:rsidRPr="00437C15">
        <w:rPr>
          <w:b/>
          <w:bCs/>
          <w:sz w:val="24"/>
          <w:rtl/>
        </w:rPr>
        <w:t xml:space="preserve"> מטרות ולא תוקצבו באופן ייעודי להשגת</w:t>
      </w:r>
      <w:r>
        <w:rPr>
          <w:rFonts w:hint="cs"/>
          <w:b/>
          <w:bCs/>
          <w:sz w:val="24"/>
          <w:rtl/>
        </w:rPr>
        <w:t>ן</w:t>
      </w:r>
      <w:r w:rsidRPr="00437C15">
        <w:rPr>
          <w:b/>
          <w:bCs/>
          <w:sz w:val="24"/>
          <w:rtl/>
        </w:rPr>
        <w:t>, ולא שולמו בהתאם להתקדמות בהשגת</w:t>
      </w:r>
      <w:r>
        <w:rPr>
          <w:rFonts w:hint="cs"/>
          <w:b/>
          <w:bCs/>
          <w:sz w:val="24"/>
          <w:rtl/>
        </w:rPr>
        <w:t>ן</w:t>
      </w:r>
      <w:r w:rsidRPr="00437C15">
        <w:rPr>
          <w:b/>
          <w:bCs/>
          <w:sz w:val="24"/>
          <w:rtl/>
        </w:rPr>
        <w:t xml:space="preserve">. </w:t>
      </w:r>
    </w:p>
    <w:p w:rsidR="003D3BEF" w:rsidP="003D3BEF" w14:paraId="4A87B623" w14:textId="77777777">
      <w:pPr>
        <w:pStyle w:val="a"/>
        <w:spacing w:line="269" w:lineRule="auto"/>
        <w:rPr>
          <w:rtl/>
        </w:rPr>
      </w:pPr>
    </w:p>
    <w:p w:rsidR="003D3BEF" w:rsidP="003D3BEF" w14:paraId="536329BE" w14:textId="77777777">
      <w:pPr>
        <w:spacing w:line="269" w:lineRule="auto"/>
        <w:ind w:left="312"/>
        <w:rPr>
          <w:b/>
          <w:bCs/>
          <w:sz w:val="24"/>
          <w:rtl/>
        </w:rPr>
      </w:pPr>
      <w:r>
        <w:rPr>
          <w:rFonts w:hint="cs"/>
          <w:b/>
          <w:bCs/>
          <w:sz w:val="24"/>
          <w:rtl/>
        </w:rPr>
        <w:t xml:space="preserve">ראוי </w:t>
      </w:r>
      <w:r w:rsidRPr="00437C15">
        <w:rPr>
          <w:b/>
          <w:bCs/>
          <w:sz w:val="24"/>
          <w:rtl/>
        </w:rPr>
        <w:t xml:space="preserve">כי משרד האוצר ורשות המים ישקלו שהמענקים הבאים שיינתנו, יהיו מלווים </w:t>
      </w:r>
      <w:r>
        <w:rPr>
          <w:rFonts w:hint="cs"/>
          <w:b/>
          <w:bCs/>
          <w:sz w:val="24"/>
          <w:rtl/>
        </w:rPr>
        <w:t xml:space="preserve">ביעדים ברורים הנוגעים לשיפור הנדרש בתשתיות ובעמידה בנורמות ובקביעת אבני דרך ויעדי ביניים מדידים, ולפי יעדים אלה ייעשו הפיקוח על השימוש בכספי </w:t>
      </w:r>
      <w:r w:rsidRPr="00B70DE1">
        <w:rPr>
          <w:rFonts w:hint="cs"/>
          <w:b/>
          <w:bCs/>
          <w:sz w:val="24"/>
          <w:rtl/>
        </w:rPr>
        <w:t>המענקים</w:t>
      </w:r>
      <w:r>
        <w:rPr>
          <w:rFonts w:hint="cs"/>
          <w:b/>
          <w:bCs/>
          <w:sz w:val="24"/>
          <w:rtl/>
        </w:rPr>
        <w:t xml:space="preserve"> ומעקב אחרי שימוש זה.</w:t>
      </w:r>
      <w:r w:rsidRPr="00437C15">
        <w:rPr>
          <w:rtl/>
        </w:rPr>
        <w:t xml:space="preserve"> </w:t>
      </w:r>
      <w:r w:rsidRPr="00437C15">
        <w:rPr>
          <w:b/>
          <w:bCs/>
          <w:sz w:val="24"/>
          <w:rtl/>
        </w:rPr>
        <w:t>כמו כן</w:t>
      </w:r>
      <w:r>
        <w:rPr>
          <w:rFonts w:hint="cs"/>
          <w:b/>
          <w:bCs/>
          <w:sz w:val="24"/>
          <w:rtl/>
        </w:rPr>
        <w:t>,</w:t>
      </w:r>
      <w:r w:rsidRPr="00437C15">
        <w:rPr>
          <w:b/>
          <w:bCs/>
          <w:sz w:val="24"/>
          <w:rtl/>
        </w:rPr>
        <w:t xml:space="preserve"> ראוי לשקול שהמענקים ישולמו בהתאם להתקדמות התאגידים בהשגת היעדים הכמותיים שייקבעו. לצד מענקים אלה</w:t>
      </w:r>
      <w:r>
        <w:rPr>
          <w:rFonts w:hint="cs"/>
          <w:b/>
          <w:bCs/>
          <w:sz w:val="24"/>
          <w:rtl/>
        </w:rPr>
        <w:t>,</w:t>
      </w:r>
      <w:r w:rsidRPr="00437C15">
        <w:rPr>
          <w:b/>
          <w:bCs/>
          <w:sz w:val="24"/>
          <w:rtl/>
        </w:rPr>
        <w:t xml:space="preserve"> ראוי לבחון גם דרכים להגברת האכיפה לצמצום היקף גניבות המים ומניעת נזק לתשתיות</w:t>
      </w:r>
      <w:r>
        <w:rPr>
          <w:rFonts w:hint="cs"/>
          <w:b/>
          <w:bCs/>
          <w:sz w:val="24"/>
          <w:rtl/>
        </w:rPr>
        <w:t>.</w:t>
      </w:r>
    </w:p>
    <w:p w:rsidR="003D3BEF" w:rsidP="003D3BEF" w14:paraId="1E452D60" w14:textId="77777777">
      <w:pPr>
        <w:pStyle w:val="a"/>
        <w:spacing w:line="269" w:lineRule="auto"/>
        <w:rPr>
          <w:rtl/>
        </w:rPr>
      </w:pPr>
    </w:p>
    <w:p w:rsidR="003D3BEF" w:rsidRPr="00BF4090" w:rsidP="003D3BEF" w14:paraId="5EEA7D10" w14:textId="77777777">
      <w:pPr>
        <w:pStyle w:val="ListParagraph"/>
        <w:numPr>
          <w:ilvl w:val="0"/>
          <w:numId w:val="17"/>
        </w:numPr>
        <w:spacing w:line="269" w:lineRule="auto"/>
        <w:ind w:left="312"/>
        <w:rPr>
          <w:bCs/>
          <w:sz w:val="24"/>
          <w:rtl/>
        </w:rPr>
      </w:pPr>
      <w:bookmarkStart w:id="4" w:name="_Toc31556842"/>
      <w:r w:rsidRPr="00BF4090">
        <w:rPr>
          <w:rFonts w:hint="eastAsia"/>
          <w:sz w:val="24"/>
          <w:rtl/>
        </w:rPr>
        <w:t>מענקי</w:t>
      </w:r>
      <w:r w:rsidRPr="00BF4090">
        <w:rPr>
          <w:sz w:val="24"/>
          <w:rtl/>
        </w:rPr>
        <w:t xml:space="preserve"> </w:t>
      </w:r>
      <w:r w:rsidRPr="00BF4090">
        <w:rPr>
          <w:rFonts w:hint="eastAsia"/>
          <w:sz w:val="24"/>
          <w:rtl/>
        </w:rPr>
        <w:t>תיאגוד</w:t>
      </w:r>
      <w:r w:rsidRPr="00BF4090">
        <w:rPr>
          <w:sz w:val="24"/>
          <w:rtl/>
        </w:rPr>
        <w:t xml:space="preserve"> </w:t>
      </w:r>
      <w:r w:rsidRPr="00BF4090">
        <w:rPr>
          <w:rFonts w:hint="eastAsia"/>
          <w:sz w:val="24"/>
          <w:rtl/>
        </w:rPr>
        <w:t>ותיאגוד</w:t>
      </w:r>
      <w:r w:rsidRPr="00BF4090">
        <w:rPr>
          <w:sz w:val="24"/>
          <w:rtl/>
        </w:rPr>
        <w:t xml:space="preserve"> </w:t>
      </w:r>
      <w:r w:rsidRPr="00BF4090">
        <w:rPr>
          <w:rFonts w:hint="eastAsia"/>
          <w:sz w:val="24"/>
          <w:rtl/>
        </w:rPr>
        <w:t>אזורי</w:t>
      </w:r>
      <w:bookmarkEnd w:id="4"/>
      <w:r w:rsidRPr="00BF4090">
        <w:rPr>
          <w:sz w:val="24"/>
          <w:rtl/>
        </w:rPr>
        <w:t xml:space="preserve"> - </w:t>
      </w:r>
      <w:bookmarkStart w:id="5" w:name="_Toc31555160"/>
      <w:bookmarkStart w:id="6" w:name="_Toc31556843"/>
      <w:r w:rsidRPr="00BF4090">
        <w:rPr>
          <w:rFonts w:hint="cs"/>
          <w:sz w:val="24"/>
          <w:rtl/>
        </w:rPr>
        <w:t>חוזרי המענקים שפרסמה הרשות בתחילת רפורמת התיאגוד, משנת 2008 עד יוני 2010, הציעו מענקים עבור תיאגוד חד-רשותי ותיאגוד רב-רשותי. מענקי התיאגוד החד-רשותי הוצעו לרשויות המקומיות המתאגדות ולתאגידים. עבור תיאגוד אזורי של יותר מרשות מקומית אחת נקבעו בחוזרים מענקים מוגדלים</w:t>
      </w:r>
      <w:r>
        <w:rPr>
          <w:rStyle w:val="FootnoteReference"/>
          <w:sz w:val="24"/>
          <w:rtl/>
        </w:rPr>
        <w:footnoteReference w:id="60"/>
      </w:r>
      <w:r w:rsidRPr="00BF4090">
        <w:rPr>
          <w:rFonts w:hint="cs"/>
          <w:sz w:val="24"/>
          <w:rtl/>
        </w:rPr>
        <w:t>.</w:t>
      </w:r>
      <w:bookmarkEnd w:id="5"/>
      <w:bookmarkEnd w:id="6"/>
      <w:r w:rsidRPr="00BF4090">
        <w:rPr>
          <w:rFonts w:hint="cs"/>
          <w:bCs/>
          <w:sz w:val="24"/>
          <w:rtl/>
        </w:rPr>
        <w:t xml:space="preserve"> </w:t>
      </w:r>
    </w:p>
    <w:p w:rsidR="003D3BEF" w:rsidRPr="00E54FD2" w:rsidP="003D3BEF" w14:paraId="64CCA9B3" w14:textId="77777777">
      <w:pPr>
        <w:pStyle w:val="a"/>
        <w:spacing w:line="269" w:lineRule="auto"/>
        <w:rPr>
          <w:rtl/>
        </w:rPr>
      </w:pPr>
    </w:p>
    <w:p w:rsidR="003D3BEF" w:rsidP="003D3BEF" w14:paraId="1A971E88" w14:textId="77777777">
      <w:pPr>
        <w:spacing w:line="269" w:lineRule="auto"/>
        <w:ind w:left="312"/>
        <w:rPr>
          <w:sz w:val="24"/>
          <w:rtl/>
        </w:rPr>
      </w:pPr>
      <w:r>
        <w:rPr>
          <w:rFonts w:hint="cs"/>
          <w:sz w:val="24"/>
          <w:rtl/>
        </w:rPr>
        <w:t xml:space="preserve">ממועד פרסום חוזר המענקים של הרשות בפברואר 2012, החל על תיאגוד בתקופה שמיולי 2010 עד דצמבר 2012, ניתנו המענקים לתיאגוד אזורי בלבד ולא לתיאגוד חד-רשותי. מענקים אלה נועדו לעודד תיאגוד שבו רשויות מקומיות שטרם התאגדו יצטרפו לתאגידים קיימים, כך שמספר התאגידים לא יגדל, או לעודד תיאגוד אזורי באמצעות איחוד תאגידים, כך שמספר התאגידים אף יקטן. המענקים הוצעו לרשויות המקומיות המצטרפות, לרשויות המקומיות הקולטות ולתאגידים לצורך צמצום פערי תשתית ברשויות המקומיות המצטרפות. עבור צירוף רשויות חלשות הוצעו לתאגידים מענקים מוגדלים. </w:t>
      </w:r>
    </w:p>
    <w:p w:rsidR="003D3BEF" w:rsidP="003D3BEF" w14:paraId="327B0D77" w14:textId="77777777">
      <w:pPr>
        <w:pStyle w:val="a"/>
        <w:spacing w:line="269" w:lineRule="auto"/>
        <w:rPr>
          <w:rtl/>
        </w:rPr>
      </w:pPr>
    </w:p>
    <w:p w:rsidR="003D3BEF" w:rsidP="003D3BEF" w14:paraId="35C061B4" w14:textId="77777777">
      <w:pPr>
        <w:spacing w:line="269" w:lineRule="auto"/>
        <w:ind w:left="312"/>
        <w:rPr>
          <w:sz w:val="24"/>
          <w:rtl/>
        </w:rPr>
      </w:pPr>
      <w:r>
        <w:rPr>
          <w:rFonts w:hint="cs"/>
          <w:sz w:val="24"/>
          <w:rtl/>
        </w:rPr>
        <w:t xml:space="preserve">ביוני 2010 היו 52 תאגידים שכללו 136 רשויות מקומיות ונותרו 48 רשויות החייבות בתיאגוד וטרם התאגדו. הרשויות שטרם התאגדו היו בעלות מאפיינים מגוונים, ובהן גם רשויות חזקות וגם רשויות חלשות. בתחילת 2020 היו 56 תאגידים הכוללים כ-158 רשויות מקומיות, ונותרו 24 רשויות החייבות בתיאגוד וטרם התאגדו. להלן התאגידים שהוקמו, לפי מספר הרשויות המקומיות החברות בהם ומספר התושבים שהם משרתים: </w:t>
      </w:r>
    </w:p>
    <w:p w:rsidR="003D3BEF" w:rsidP="003D3BEF" w14:paraId="3070F734" w14:textId="77777777">
      <w:pPr>
        <w:pStyle w:val="a"/>
        <w:spacing w:line="269" w:lineRule="auto"/>
        <w:rPr>
          <w:rtl/>
        </w:rPr>
      </w:pPr>
    </w:p>
    <w:p w:rsidR="003D3BEF" w:rsidRPr="00906E0D" w:rsidP="003D3BEF" w14:paraId="78C8644C" w14:textId="77777777">
      <w:pPr>
        <w:spacing w:line="269" w:lineRule="auto"/>
        <w:jc w:val="center"/>
        <w:rPr>
          <w:b/>
          <w:bCs/>
          <w:sz w:val="24"/>
          <w:rtl/>
        </w:rPr>
      </w:pPr>
      <w:r w:rsidRPr="00906E0D">
        <w:rPr>
          <w:rFonts w:hint="cs"/>
          <w:b/>
          <w:bCs/>
          <w:sz w:val="24"/>
          <w:rtl/>
        </w:rPr>
        <w:t>תרשים</w:t>
      </w:r>
      <w:r>
        <w:rPr>
          <w:rFonts w:hint="cs"/>
          <w:b/>
          <w:bCs/>
          <w:sz w:val="24"/>
          <w:rtl/>
        </w:rPr>
        <w:t xml:space="preserve"> 21: התאגידים הקיימים, 2001 - 2018</w:t>
      </w:r>
    </w:p>
    <w:p w:rsidR="003D3BEF" w:rsidP="00CD0497" w14:paraId="3ABCB2B8" w14:textId="77777777">
      <w:pPr>
        <w:spacing w:before="120" w:after="120" w:line="269" w:lineRule="auto"/>
        <w:jc w:val="center"/>
        <w:rPr>
          <w:b/>
          <w:bCs/>
          <w:sz w:val="24"/>
          <w:rtl/>
        </w:rPr>
      </w:pPr>
      <w:r>
        <w:rPr>
          <w:b/>
          <w:bCs/>
          <w:noProof/>
          <w:sz w:val="24"/>
          <w:rtl/>
        </w:rPr>
        <w:drawing>
          <wp:inline distT="0" distB="0" distL="0" distR="0">
            <wp:extent cx="4325121" cy="2346965"/>
            <wp:effectExtent l="0" t="0" r="0" b="0"/>
            <wp:docPr id="624677563" name="תמונה 62467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87547" name="water-corporations-g-21.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3D3BEF" w:rsidRPr="00684E93" w:rsidP="00CD0497" w14:paraId="7421011A"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31342E7E" w14:textId="77777777">
      <w:pPr>
        <w:pStyle w:val="a"/>
        <w:spacing w:line="269" w:lineRule="auto"/>
        <w:rPr>
          <w:rtl/>
        </w:rPr>
      </w:pPr>
    </w:p>
    <w:p w:rsidR="003D3BEF" w:rsidP="003D3BEF" w14:paraId="39E86EEA" w14:textId="77777777">
      <w:pPr>
        <w:spacing w:line="269" w:lineRule="auto"/>
        <w:jc w:val="center"/>
        <w:rPr>
          <w:b/>
          <w:bCs/>
          <w:sz w:val="24"/>
          <w:rtl/>
        </w:rPr>
      </w:pPr>
      <w:r w:rsidRPr="00906E0D">
        <w:rPr>
          <w:rFonts w:hint="cs"/>
          <w:b/>
          <w:bCs/>
          <w:sz w:val="24"/>
          <w:rtl/>
        </w:rPr>
        <w:t>תרשים</w:t>
      </w:r>
      <w:r>
        <w:rPr>
          <w:rFonts w:hint="cs"/>
          <w:b/>
          <w:bCs/>
          <w:sz w:val="24"/>
          <w:rtl/>
        </w:rPr>
        <w:t xml:space="preserve"> 22</w:t>
      </w:r>
      <w:r w:rsidRPr="00906E0D">
        <w:rPr>
          <w:rFonts w:hint="cs"/>
          <w:b/>
          <w:bCs/>
          <w:sz w:val="24"/>
          <w:rtl/>
        </w:rPr>
        <w:t xml:space="preserve">: </w:t>
      </w:r>
      <w:r>
        <w:rPr>
          <w:rFonts w:hint="cs"/>
          <w:b/>
          <w:bCs/>
          <w:sz w:val="24"/>
          <w:rtl/>
        </w:rPr>
        <w:t>מספר התאגידים, לפי גודל, 2018</w:t>
      </w:r>
    </w:p>
    <w:p w:rsidR="003D3BEF" w:rsidRPr="007002BE" w:rsidP="00CD0497" w14:paraId="24F3EA5D" w14:textId="77777777">
      <w:pPr>
        <w:spacing w:before="120" w:after="120" w:line="269" w:lineRule="auto"/>
        <w:jc w:val="center"/>
        <w:rPr>
          <w:b/>
          <w:bCs/>
          <w:sz w:val="24"/>
          <w:rtl/>
        </w:rPr>
      </w:pPr>
      <w:r>
        <w:rPr>
          <w:b/>
          <w:bCs/>
          <w:noProof/>
          <w:sz w:val="24"/>
          <w:rtl/>
        </w:rPr>
        <w:drawing>
          <wp:inline distT="0" distB="0" distL="0" distR="0">
            <wp:extent cx="2880366" cy="2328677"/>
            <wp:effectExtent l="0" t="0" r="0" b="0"/>
            <wp:docPr id="624677565" name="תמונה 62467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334" name="water-corporations-g-22.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366" cy="2328677"/>
                    </a:xfrm>
                    <a:prstGeom prst="rect">
                      <a:avLst/>
                    </a:prstGeom>
                  </pic:spPr>
                </pic:pic>
              </a:graphicData>
            </a:graphic>
          </wp:inline>
        </w:drawing>
      </w:r>
    </w:p>
    <w:p w:rsidR="003D3BEF" w:rsidRPr="00684E93" w:rsidP="00CD0497" w14:paraId="3C72C614"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1A25D45F" w14:textId="77777777">
      <w:pPr>
        <w:pStyle w:val="a"/>
        <w:spacing w:line="269" w:lineRule="auto"/>
        <w:rPr>
          <w:rtl/>
        </w:rPr>
      </w:pPr>
    </w:p>
    <w:p w:rsidR="003D3BEF" w:rsidP="003D3BEF" w14:paraId="3850F197" w14:textId="77777777">
      <w:pPr>
        <w:spacing w:line="269" w:lineRule="auto"/>
        <w:ind w:left="312"/>
        <w:rPr>
          <w:b/>
          <w:bCs/>
          <w:sz w:val="24"/>
          <w:rtl/>
        </w:rPr>
      </w:pPr>
      <w:r w:rsidRPr="00C71108">
        <w:rPr>
          <w:rFonts w:hint="cs"/>
          <w:b/>
          <w:bCs/>
          <w:sz w:val="24"/>
          <w:rtl/>
        </w:rPr>
        <w:t>מענקי הת</w:t>
      </w:r>
      <w:r>
        <w:rPr>
          <w:rFonts w:hint="cs"/>
          <w:b/>
          <w:bCs/>
          <w:sz w:val="24"/>
          <w:rtl/>
        </w:rPr>
        <w:t>י</w:t>
      </w:r>
      <w:r w:rsidRPr="00C71108">
        <w:rPr>
          <w:rFonts w:hint="cs"/>
          <w:b/>
          <w:bCs/>
          <w:sz w:val="24"/>
          <w:rtl/>
        </w:rPr>
        <w:t xml:space="preserve">אגוד </w:t>
      </w:r>
      <w:r>
        <w:rPr>
          <w:rFonts w:hint="cs"/>
          <w:b/>
          <w:bCs/>
          <w:sz w:val="24"/>
          <w:rtl/>
        </w:rPr>
        <w:t>שהוצעו בשנים 2008 עד יוני 2010 ו</w:t>
      </w:r>
      <w:r w:rsidRPr="00C71108">
        <w:rPr>
          <w:rFonts w:hint="cs"/>
          <w:b/>
          <w:bCs/>
          <w:sz w:val="24"/>
          <w:rtl/>
        </w:rPr>
        <w:t>נועדו לתמרץ ת</w:t>
      </w:r>
      <w:r>
        <w:rPr>
          <w:rFonts w:hint="cs"/>
          <w:b/>
          <w:bCs/>
          <w:sz w:val="24"/>
          <w:rtl/>
        </w:rPr>
        <w:t>י</w:t>
      </w:r>
      <w:r w:rsidRPr="00C71108">
        <w:rPr>
          <w:rFonts w:hint="cs"/>
          <w:b/>
          <w:bCs/>
          <w:sz w:val="24"/>
          <w:rtl/>
        </w:rPr>
        <w:t xml:space="preserve">אגוד </w:t>
      </w:r>
      <w:r>
        <w:rPr>
          <w:rFonts w:hint="cs"/>
          <w:b/>
          <w:bCs/>
          <w:sz w:val="24"/>
          <w:rtl/>
        </w:rPr>
        <w:t xml:space="preserve">של </w:t>
      </w:r>
      <w:r w:rsidRPr="00C71108">
        <w:rPr>
          <w:rFonts w:hint="cs"/>
          <w:b/>
          <w:bCs/>
          <w:sz w:val="24"/>
          <w:rtl/>
        </w:rPr>
        <w:t>רשויות</w:t>
      </w:r>
      <w:r>
        <w:rPr>
          <w:rFonts w:hint="cs"/>
          <w:b/>
          <w:bCs/>
          <w:sz w:val="24"/>
          <w:rtl/>
        </w:rPr>
        <w:t xml:space="preserve"> מקומיות</w:t>
      </w:r>
      <w:r w:rsidRPr="00C71108">
        <w:rPr>
          <w:rFonts w:hint="cs"/>
          <w:b/>
          <w:bCs/>
          <w:sz w:val="24"/>
          <w:rtl/>
        </w:rPr>
        <w:t xml:space="preserve"> אכן </w:t>
      </w:r>
      <w:r>
        <w:rPr>
          <w:rFonts w:hint="cs"/>
          <w:b/>
          <w:bCs/>
          <w:sz w:val="24"/>
          <w:rtl/>
        </w:rPr>
        <w:t>תרמו</w:t>
      </w:r>
      <w:r w:rsidRPr="00C71108">
        <w:rPr>
          <w:rFonts w:hint="cs"/>
          <w:b/>
          <w:bCs/>
          <w:sz w:val="24"/>
          <w:rtl/>
        </w:rPr>
        <w:t xml:space="preserve"> לת</w:t>
      </w:r>
      <w:r>
        <w:rPr>
          <w:rFonts w:hint="cs"/>
          <w:b/>
          <w:bCs/>
          <w:sz w:val="24"/>
          <w:rtl/>
        </w:rPr>
        <w:t>י</w:t>
      </w:r>
      <w:r w:rsidRPr="00C71108">
        <w:rPr>
          <w:rFonts w:hint="cs"/>
          <w:b/>
          <w:bCs/>
          <w:sz w:val="24"/>
          <w:rtl/>
        </w:rPr>
        <w:t>אגוד בהיקף נרחב</w:t>
      </w:r>
      <w:r>
        <w:rPr>
          <w:rFonts w:hint="cs"/>
          <w:b/>
          <w:bCs/>
          <w:sz w:val="24"/>
          <w:rtl/>
        </w:rPr>
        <w:t>, ועד 2011 הוקמו 52 תאגידים</w:t>
      </w:r>
      <w:r w:rsidRPr="00C71108">
        <w:rPr>
          <w:rFonts w:hint="cs"/>
          <w:b/>
          <w:bCs/>
          <w:sz w:val="24"/>
          <w:rtl/>
        </w:rPr>
        <w:t xml:space="preserve">. </w:t>
      </w:r>
      <w:r>
        <w:rPr>
          <w:rFonts w:hint="cs"/>
          <w:b/>
          <w:bCs/>
          <w:sz w:val="24"/>
          <w:rtl/>
        </w:rPr>
        <w:t xml:space="preserve">עם זאת, אף שהתמריצים מאמצע 2010 </w:t>
      </w:r>
      <w:r w:rsidRPr="00C71108">
        <w:rPr>
          <w:rFonts w:hint="cs"/>
          <w:b/>
          <w:bCs/>
          <w:sz w:val="24"/>
          <w:rtl/>
        </w:rPr>
        <w:t>נועדו</w:t>
      </w:r>
      <w:r>
        <w:rPr>
          <w:rFonts w:hint="cs"/>
          <w:b/>
          <w:bCs/>
          <w:sz w:val="24"/>
          <w:rtl/>
        </w:rPr>
        <w:t xml:space="preserve"> בין היתר</w:t>
      </w:r>
      <w:r w:rsidRPr="00BE51AC">
        <w:rPr>
          <w:rFonts w:hint="cs"/>
          <w:b/>
          <w:bCs/>
          <w:sz w:val="24"/>
          <w:rtl/>
        </w:rPr>
        <w:t xml:space="preserve"> </w:t>
      </w:r>
      <w:r w:rsidRPr="003F26AA">
        <w:rPr>
          <w:rFonts w:hint="eastAsia"/>
          <w:b/>
          <w:bCs/>
          <w:sz w:val="24"/>
          <w:rtl/>
        </w:rPr>
        <w:t>לעודד</w:t>
      </w:r>
      <w:r w:rsidRPr="003F26AA">
        <w:rPr>
          <w:b/>
          <w:bCs/>
          <w:sz w:val="24"/>
          <w:rtl/>
        </w:rPr>
        <w:t xml:space="preserve"> </w:t>
      </w:r>
      <w:r w:rsidRPr="003F26AA">
        <w:rPr>
          <w:rFonts w:hint="eastAsia"/>
          <w:b/>
          <w:bCs/>
          <w:sz w:val="24"/>
          <w:rtl/>
        </w:rPr>
        <w:t>תיאגוד</w:t>
      </w:r>
      <w:r w:rsidRPr="003F26AA">
        <w:rPr>
          <w:b/>
          <w:bCs/>
          <w:sz w:val="24"/>
          <w:rtl/>
        </w:rPr>
        <w:t xml:space="preserve"> שבו רשויות מקומיות שטרם התאגדו יצטרפו לתאגידים קיימים, כך שמספר התאגידים לא יגדל</w:t>
      </w:r>
      <w:r>
        <w:rPr>
          <w:rFonts w:hint="cs"/>
          <w:b/>
          <w:bCs/>
          <w:sz w:val="24"/>
          <w:rtl/>
        </w:rPr>
        <w:t>, או תיאגוד אזורי באמצעות איחוד תאגידים,</w:t>
      </w:r>
      <w:r w:rsidRPr="00C71108">
        <w:rPr>
          <w:rFonts w:hint="cs"/>
          <w:b/>
          <w:bCs/>
          <w:sz w:val="24"/>
          <w:rtl/>
        </w:rPr>
        <w:t xml:space="preserve"> נכון לשנת 2018 גדל מספר התאגידים</w:t>
      </w:r>
      <w:r>
        <w:rPr>
          <w:rFonts w:hint="cs"/>
          <w:b/>
          <w:bCs/>
          <w:sz w:val="24"/>
          <w:rtl/>
        </w:rPr>
        <w:t xml:space="preserve"> - כ-61% מהם תאגידים</w:t>
      </w:r>
      <w:r w:rsidRPr="00C71108">
        <w:rPr>
          <w:rFonts w:hint="cs"/>
          <w:b/>
          <w:bCs/>
          <w:sz w:val="24"/>
          <w:rtl/>
        </w:rPr>
        <w:t xml:space="preserve"> חד</w:t>
      </w:r>
      <w:r>
        <w:rPr>
          <w:rFonts w:hint="cs"/>
          <w:b/>
          <w:bCs/>
          <w:sz w:val="24"/>
          <w:rtl/>
        </w:rPr>
        <w:t>-רשותיים</w:t>
      </w:r>
      <w:r w:rsidRPr="00C71108">
        <w:rPr>
          <w:rFonts w:hint="cs"/>
          <w:b/>
          <w:bCs/>
          <w:sz w:val="24"/>
          <w:rtl/>
        </w:rPr>
        <w:t xml:space="preserve"> ודו</w:t>
      </w:r>
      <w:r>
        <w:rPr>
          <w:rFonts w:hint="cs"/>
          <w:b/>
          <w:bCs/>
          <w:sz w:val="24"/>
          <w:rtl/>
        </w:rPr>
        <w:t>-</w:t>
      </w:r>
      <w:r w:rsidRPr="00C71108">
        <w:rPr>
          <w:rFonts w:hint="cs"/>
          <w:b/>
          <w:bCs/>
          <w:sz w:val="24"/>
          <w:rtl/>
        </w:rPr>
        <w:t>רשותיים</w:t>
      </w:r>
      <w:r>
        <w:rPr>
          <w:rFonts w:hint="cs"/>
          <w:b/>
          <w:bCs/>
          <w:sz w:val="24"/>
          <w:rtl/>
        </w:rPr>
        <w:t>, ו</w:t>
      </w:r>
      <w:r w:rsidR="009F4C0A">
        <w:rPr>
          <w:rFonts w:hint="cs"/>
          <w:b/>
          <w:bCs/>
          <w:sz w:val="24"/>
          <w:rtl/>
        </w:rPr>
        <w:t>כ</w:t>
      </w:r>
      <w:r>
        <w:rPr>
          <w:rFonts w:hint="cs"/>
          <w:b/>
          <w:bCs/>
          <w:sz w:val="24"/>
          <w:rtl/>
        </w:rPr>
        <w:t xml:space="preserve">-57% מכלל התאגידים </w:t>
      </w:r>
      <w:r w:rsidRPr="00C71108">
        <w:rPr>
          <w:rFonts w:hint="cs"/>
          <w:b/>
          <w:bCs/>
          <w:sz w:val="24"/>
          <w:rtl/>
        </w:rPr>
        <w:t xml:space="preserve">משרתים </w:t>
      </w:r>
      <w:r>
        <w:rPr>
          <w:rFonts w:hint="cs"/>
          <w:b/>
          <w:bCs/>
          <w:sz w:val="24"/>
          <w:rtl/>
        </w:rPr>
        <w:t>פחות מ</w:t>
      </w:r>
      <w:r w:rsidRPr="00C71108">
        <w:rPr>
          <w:rFonts w:hint="cs"/>
          <w:b/>
          <w:bCs/>
          <w:sz w:val="24"/>
          <w:rtl/>
        </w:rPr>
        <w:t>-100,000 תושבים</w:t>
      </w:r>
      <w:r>
        <w:rPr>
          <w:rFonts w:hint="cs"/>
          <w:b/>
          <w:bCs/>
          <w:sz w:val="24"/>
          <w:rtl/>
        </w:rPr>
        <w:t>. מכאן, בחלק גדול מהמקרים מענקים אלה לא הביאו לידי השגת המטרה שלשמה נועדו.</w:t>
      </w:r>
    </w:p>
    <w:p w:rsidR="003D3BEF" w:rsidP="003D3BEF" w14:paraId="145106B9" w14:textId="77777777">
      <w:pPr>
        <w:pStyle w:val="a"/>
        <w:spacing w:line="269" w:lineRule="auto"/>
        <w:rPr>
          <w:rtl/>
        </w:rPr>
      </w:pPr>
    </w:p>
    <w:p w:rsidR="003D3BEF" w:rsidP="003D3BEF" w14:paraId="037BAB05" w14:textId="77777777">
      <w:pPr>
        <w:spacing w:line="269" w:lineRule="auto"/>
        <w:ind w:left="312"/>
        <w:rPr>
          <w:sz w:val="24"/>
          <w:rtl/>
        </w:rPr>
      </w:pPr>
      <w:r w:rsidRPr="009F7CEC">
        <w:rPr>
          <w:rFonts w:hint="cs"/>
          <w:sz w:val="24"/>
          <w:rtl/>
        </w:rPr>
        <w:t xml:space="preserve">נמצא </w:t>
      </w:r>
      <w:r>
        <w:rPr>
          <w:rFonts w:hint="cs"/>
          <w:sz w:val="24"/>
          <w:rtl/>
        </w:rPr>
        <w:t xml:space="preserve">כי </w:t>
      </w:r>
      <w:r w:rsidRPr="009F7CEC">
        <w:rPr>
          <w:rFonts w:hint="cs"/>
          <w:sz w:val="24"/>
          <w:rtl/>
        </w:rPr>
        <w:t>חוזרי ה</w:t>
      </w:r>
      <w:r>
        <w:rPr>
          <w:rFonts w:hint="cs"/>
          <w:sz w:val="24"/>
          <w:rtl/>
        </w:rPr>
        <w:t>מענקים הציעו מענקים מוגדלים לתאגיד עבור צירוף רשויות מקומיות בדירוג חברתי-כלכלי נמוך ובעלות פחת מים גבוה, באופן שאמור היה לעודד תאגידים חזקים או בינוניים לקלוט לתוכם רשויות מקומיות חלשות. כך, על פי חוזר משנת 2015</w:t>
      </w:r>
      <w:r>
        <w:rPr>
          <w:rStyle w:val="FootnoteReference"/>
          <w:sz w:val="24"/>
          <w:rtl/>
        </w:rPr>
        <w:footnoteReference w:id="61"/>
      </w:r>
      <w:r>
        <w:rPr>
          <w:rFonts w:hint="cs"/>
          <w:sz w:val="24"/>
          <w:rtl/>
        </w:rPr>
        <w:t>, תאגיד קיים שצירף רשות מקומית בדירוג חברתי-כלכלי 5 ומעלה, יהיה זכאי למענק השקעות בגובה 80 ש"ח כפול מספר התושבים ברשות המקומית המצטרפת. בצירוף רשות מקומית בדירוג חברתי-כלכלי נמוך מ-5 זכאי התאגיד למענק בגובה 600 ש"ח כפול מספר התושבים ברשות המקומית המצטרפת, ולמענק נוסף של עד 500,000 ש"ח לשדרוג מערכות הבקרה הממוחשבות. תרשים 23 להלן מציג את פילוח הרשויות המקומיות בהתאם לתאגידים שאליהם הצטרפו:</w:t>
      </w:r>
    </w:p>
    <w:p w:rsidR="003D3BEF" w:rsidP="003D3BEF" w14:paraId="3A5CA10E" w14:textId="77777777">
      <w:pPr>
        <w:spacing w:line="269" w:lineRule="auto"/>
        <w:rPr>
          <w:sz w:val="24"/>
          <w:rtl/>
        </w:rPr>
      </w:pPr>
    </w:p>
    <w:p w:rsidR="003D3BEF" w:rsidP="003D3BEF" w14:paraId="0E9B5F72" w14:textId="77777777">
      <w:pPr>
        <w:spacing w:line="269" w:lineRule="auto"/>
        <w:jc w:val="center"/>
        <w:rPr>
          <w:b/>
          <w:bCs/>
          <w:sz w:val="24"/>
          <w:rtl/>
        </w:rPr>
      </w:pPr>
      <w:r w:rsidRPr="00906E0D">
        <w:rPr>
          <w:rFonts w:hint="cs"/>
          <w:b/>
          <w:bCs/>
          <w:sz w:val="24"/>
          <w:rtl/>
        </w:rPr>
        <w:t>תרשים</w:t>
      </w:r>
      <w:r>
        <w:rPr>
          <w:rFonts w:hint="cs"/>
          <w:b/>
          <w:bCs/>
          <w:sz w:val="24"/>
          <w:rtl/>
        </w:rPr>
        <w:t xml:space="preserve"> 23</w:t>
      </w:r>
      <w:r w:rsidRPr="00906E0D">
        <w:rPr>
          <w:rFonts w:hint="cs"/>
          <w:b/>
          <w:bCs/>
          <w:sz w:val="24"/>
          <w:rtl/>
        </w:rPr>
        <w:t xml:space="preserve">: </w:t>
      </w:r>
      <w:r>
        <w:rPr>
          <w:rFonts w:hint="cs"/>
          <w:b/>
          <w:bCs/>
          <w:sz w:val="24"/>
          <w:rtl/>
        </w:rPr>
        <w:t xml:space="preserve">פילוח הרשויות המקומיות שהתאגדו, על פי מאפייני התאגידים שהקימו או שאליהם הצטרפו, יוני 2010 עד דצמבר 2018 </w:t>
      </w:r>
    </w:p>
    <w:p w:rsidR="003D3BEF" w:rsidRPr="00906E0D" w:rsidP="00CD0497" w14:paraId="79A94538" w14:textId="77777777">
      <w:pPr>
        <w:spacing w:before="120" w:after="120" w:line="269" w:lineRule="auto"/>
        <w:jc w:val="center"/>
        <w:rPr>
          <w:b/>
          <w:bCs/>
          <w:sz w:val="24"/>
          <w:rtl/>
        </w:rPr>
      </w:pPr>
      <w:r>
        <w:rPr>
          <w:b/>
          <w:bCs/>
          <w:noProof/>
          <w:sz w:val="24"/>
          <w:rtl/>
        </w:rPr>
        <w:drawing>
          <wp:inline distT="0" distB="0" distL="0" distR="0">
            <wp:extent cx="2883414" cy="2566421"/>
            <wp:effectExtent l="0" t="0" r="0" b="5715"/>
            <wp:docPr id="624677566" name="תמונה 62467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11638" name="water-corporations-g-23.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566421"/>
                    </a:xfrm>
                    <a:prstGeom prst="rect">
                      <a:avLst/>
                    </a:prstGeom>
                  </pic:spPr>
                </pic:pic>
              </a:graphicData>
            </a:graphic>
          </wp:inline>
        </w:drawing>
      </w:r>
    </w:p>
    <w:p w:rsidR="003D3BEF" w:rsidRPr="00684E93" w:rsidP="003D3BEF" w14:paraId="6DD16702" w14:textId="77777777">
      <w:pPr>
        <w:spacing w:line="269" w:lineRule="auto"/>
        <w:rPr>
          <w:sz w:val="18"/>
          <w:szCs w:val="22"/>
          <w:rtl/>
        </w:rPr>
      </w:pPr>
      <w:r w:rsidRPr="00684E93">
        <w:rPr>
          <w:rFonts w:hint="eastAsia"/>
          <w:sz w:val="18"/>
          <w:szCs w:val="22"/>
          <w:rtl/>
        </w:rPr>
        <w:t>על</w:t>
      </w:r>
      <w:r w:rsidRPr="00684E93">
        <w:rPr>
          <w:sz w:val="18"/>
          <w:szCs w:val="22"/>
          <w:rtl/>
        </w:rPr>
        <w:t xml:space="preserve"> פי </w:t>
      </w:r>
      <w:r w:rsidRPr="00684E93">
        <w:rPr>
          <w:rFonts w:hint="eastAsia"/>
          <w:sz w:val="18"/>
          <w:szCs w:val="22"/>
          <w:rtl/>
        </w:rPr>
        <w:t>נתוני</w:t>
      </w:r>
      <w:r w:rsidRPr="00684E93">
        <w:rPr>
          <w:sz w:val="18"/>
          <w:szCs w:val="22"/>
          <w:rtl/>
        </w:rPr>
        <w:t xml:space="preserve"> </w:t>
      </w:r>
      <w:r w:rsidRPr="00684E93">
        <w:rPr>
          <w:rFonts w:hint="eastAsia"/>
          <w:sz w:val="18"/>
          <w:szCs w:val="22"/>
          <w:rtl/>
        </w:rPr>
        <w:t>רשות</w:t>
      </w:r>
      <w:r w:rsidRPr="00684E93">
        <w:rPr>
          <w:sz w:val="18"/>
          <w:szCs w:val="22"/>
          <w:rtl/>
        </w:rPr>
        <w:t xml:space="preserve"> </w:t>
      </w:r>
      <w:r w:rsidRPr="00684E93">
        <w:rPr>
          <w:rFonts w:hint="eastAsia"/>
          <w:sz w:val="18"/>
          <w:szCs w:val="22"/>
          <w:rtl/>
        </w:rPr>
        <w:t>המים</w:t>
      </w:r>
      <w:r w:rsidRPr="00684E93">
        <w:rPr>
          <w:rFonts w:hint="cs"/>
          <w:sz w:val="18"/>
          <w:szCs w:val="22"/>
          <w:rtl/>
        </w:rPr>
        <w:t>,</w:t>
      </w:r>
      <w:r w:rsidRPr="00684E93">
        <w:rPr>
          <w:sz w:val="18"/>
          <w:szCs w:val="22"/>
          <w:rtl/>
        </w:rPr>
        <w:t xml:space="preserve"> </w:t>
      </w:r>
      <w:r w:rsidRPr="00684E93">
        <w:rPr>
          <w:rFonts w:hint="eastAsia"/>
          <w:sz w:val="18"/>
          <w:szCs w:val="22"/>
          <w:rtl/>
        </w:rPr>
        <w:t>בעיבוד</w:t>
      </w:r>
      <w:r w:rsidRPr="00684E93">
        <w:rPr>
          <w:sz w:val="18"/>
          <w:szCs w:val="22"/>
          <w:rtl/>
        </w:rPr>
        <w:t xml:space="preserve"> </w:t>
      </w:r>
      <w:r w:rsidRPr="00684E93">
        <w:rPr>
          <w:rFonts w:hint="eastAsia"/>
          <w:sz w:val="18"/>
          <w:szCs w:val="22"/>
          <w:rtl/>
        </w:rPr>
        <w:t>משרד</w:t>
      </w:r>
      <w:r w:rsidRPr="00684E93">
        <w:rPr>
          <w:sz w:val="18"/>
          <w:szCs w:val="22"/>
          <w:rtl/>
        </w:rPr>
        <w:t xml:space="preserve"> </w:t>
      </w:r>
      <w:r w:rsidRPr="00684E93">
        <w:rPr>
          <w:rFonts w:hint="eastAsia"/>
          <w:sz w:val="18"/>
          <w:szCs w:val="22"/>
          <w:rtl/>
        </w:rPr>
        <w:t>מבקר</w:t>
      </w:r>
      <w:r w:rsidRPr="00684E93">
        <w:rPr>
          <w:sz w:val="18"/>
          <w:szCs w:val="22"/>
          <w:rtl/>
        </w:rPr>
        <w:t xml:space="preserve"> </w:t>
      </w:r>
      <w:r w:rsidRPr="00684E93">
        <w:rPr>
          <w:rFonts w:hint="eastAsia"/>
          <w:sz w:val="18"/>
          <w:szCs w:val="22"/>
          <w:rtl/>
        </w:rPr>
        <w:t>המדינה</w:t>
      </w:r>
      <w:r w:rsidRPr="00684E93">
        <w:rPr>
          <w:sz w:val="18"/>
          <w:szCs w:val="22"/>
          <w:rtl/>
        </w:rPr>
        <w:t xml:space="preserve">. </w:t>
      </w:r>
    </w:p>
    <w:p w:rsidR="003D3BEF" w:rsidP="003D3BEF" w14:paraId="1569A6B3" w14:textId="77777777">
      <w:pPr>
        <w:pStyle w:val="a"/>
        <w:spacing w:line="269" w:lineRule="auto"/>
        <w:rPr>
          <w:rtl/>
        </w:rPr>
      </w:pPr>
    </w:p>
    <w:p w:rsidR="003D3BEF" w:rsidP="003D3BEF" w14:paraId="112CD4F5" w14:textId="77777777">
      <w:pPr>
        <w:spacing w:line="269" w:lineRule="auto"/>
        <w:ind w:left="312"/>
        <w:rPr>
          <w:sz w:val="24"/>
          <w:rtl/>
        </w:rPr>
      </w:pPr>
      <w:r w:rsidRPr="007970F7">
        <w:rPr>
          <w:rFonts w:hint="cs"/>
          <w:b/>
          <w:bCs/>
          <w:sz w:val="24"/>
          <w:rtl/>
        </w:rPr>
        <w:t>תמריצים אלה נוצלו בפועל להגדלת היקף הת</w:t>
      </w:r>
      <w:r>
        <w:rPr>
          <w:rFonts w:hint="cs"/>
          <w:b/>
          <w:bCs/>
          <w:sz w:val="24"/>
          <w:rtl/>
        </w:rPr>
        <w:t>י</w:t>
      </w:r>
      <w:r w:rsidRPr="007970F7">
        <w:rPr>
          <w:rFonts w:hint="cs"/>
          <w:b/>
          <w:bCs/>
          <w:sz w:val="24"/>
          <w:rtl/>
        </w:rPr>
        <w:t xml:space="preserve">אגוד </w:t>
      </w:r>
      <w:r>
        <w:rPr>
          <w:rFonts w:hint="cs"/>
          <w:b/>
          <w:bCs/>
          <w:sz w:val="24"/>
          <w:rtl/>
        </w:rPr>
        <w:t xml:space="preserve">בקרב </w:t>
      </w:r>
      <w:r w:rsidRPr="007970F7">
        <w:rPr>
          <w:rFonts w:hint="cs"/>
          <w:b/>
          <w:bCs/>
          <w:sz w:val="24"/>
          <w:rtl/>
        </w:rPr>
        <w:t>הרשויות המקומיות החלשות</w:t>
      </w:r>
      <w:r>
        <w:rPr>
          <w:rFonts w:hint="cs"/>
          <w:b/>
          <w:bCs/>
          <w:sz w:val="24"/>
          <w:rtl/>
        </w:rPr>
        <w:t>,</w:t>
      </w:r>
      <w:r w:rsidRPr="007970F7">
        <w:rPr>
          <w:rFonts w:hint="cs"/>
          <w:b/>
          <w:bCs/>
          <w:sz w:val="24"/>
          <w:rtl/>
        </w:rPr>
        <w:t xml:space="preserve"> ובתקופה</w:t>
      </w:r>
      <w:r>
        <w:rPr>
          <w:rFonts w:hint="cs"/>
          <w:b/>
          <w:bCs/>
          <w:sz w:val="24"/>
          <w:rtl/>
        </w:rPr>
        <w:t xml:space="preserve"> האמורה</w:t>
      </w:r>
      <w:r w:rsidRPr="007970F7">
        <w:rPr>
          <w:rFonts w:hint="cs"/>
          <w:b/>
          <w:bCs/>
          <w:sz w:val="24"/>
          <w:rtl/>
        </w:rPr>
        <w:t xml:space="preserve"> התאגדו </w:t>
      </w:r>
      <w:r>
        <w:rPr>
          <w:rFonts w:hint="cs"/>
          <w:b/>
          <w:bCs/>
          <w:sz w:val="24"/>
          <w:rtl/>
        </w:rPr>
        <w:t>37</w:t>
      </w:r>
      <w:r w:rsidRPr="007970F7">
        <w:rPr>
          <w:rFonts w:hint="cs"/>
          <w:b/>
          <w:bCs/>
          <w:sz w:val="24"/>
          <w:rtl/>
        </w:rPr>
        <w:t xml:space="preserve"> רשויות חלשות ו-</w:t>
      </w:r>
      <w:r>
        <w:rPr>
          <w:rFonts w:hint="cs"/>
          <w:b/>
          <w:bCs/>
          <w:sz w:val="24"/>
          <w:rtl/>
        </w:rPr>
        <w:t>22</w:t>
      </w:r>
      <w:r w:rsidRPr="007970F7">
        <w:rPr>
          <w:rFonts w:hint="cs"/>
          <w:b/>
          <w:bCs/>
          <w:sz w:val="24"/>
          <w:rtl/>
        </w:rPr>
        <w:t xml:space="preserve"> רשויות חזקות ובינוניות. עם זאת, רוב </w:t>
      </w:r>
      <w:r>
        <w:rPr>
          <w:rFonts w:hint="cs"/>
          <w:b/>
          <w:bCs/>
          <w:sz w:val="24"/>
          <w:rtl/>
        </w:rPr>
        <w:t>הרשויות החלשות שהתאגדו בתקופה זו התאגדו בתאגידים חלשים (92%), ורוב הרשויות הבינוניות והחזקות התאגדו בתאגידים בינוניים או חזקים (82%). יוצא אפוא ש</w:t>
      </w:r>
      <w:r w:rsidRPr="007970F7">
        <w:rPr>
          <w:rFonts w:hint="cs"/>
          <w:b/>
          <w:bCs/>
          <w:sz w:val="24"/>
          <w:rtl/>
        </w:rPr>
        <w:t>התאגידים הרב</w:t>
      </w:r>
      <w:r>
        <w:rPr>
          <w:rFonts w:hint="cs"/>
          <w:b/>
          <w:bCs/>
          <w:sz w:val="24"/>
          <w:rtl/>
        </w:rPr>
        <w:t>-</w:t>
      </w:r>
      <w:r w:rsidRPr="007970F7">
        <w:rPr>
          <w:rFonts w:hint="cs"/>
          <w:b/>
          <w:bCs/>
          <w:sz w:val="24"/>
          <w:rtl/>
        </w:rPr>
        <w:t>רשותיים שהתאגדו הם</w:t>
      </w:r>
      <w:r>
        <w:rPr>
          <w:rFonts w:hint="cs"/>
          <w:b/>
          <w:bCs/>
          <w:sz w:val="24"/>
          <w:rtl/>
        </w:rPr>
        <w:t xml:space="preserve"> תאגידים</w:t>
      </w:r>
      <w:r w:rsidRPr="007970F7">
        <w:rPr>
          <w:rFonts w:hint="cs"/>
          <w:b/>
          <w:bCs/>
          <w:sz w:val="24"/>
          <w:rtl/>
        </w:rPr>
        <w:t xml:space="preserve"> הומוגניים מבחינת </w:t>
      </w:r>
      <w:r>
        <w:rPr>
          <w:rFonts w:hint="cs"/>
          <w:b/>
          <w:bCs/>
          <w:sz w:val="24"/>
          <w:rtl/>
        </w:rPr>
        <w:t>ה</w:t>
      </w:r>
      <w:r w:rsidRPr="007970F7">
        <w:rPr>
          <w:rFonts w:hint="cs"/>
          <w:b/>
          <w:bCs/>
          <w:sz w:val="24"/>
          <w:rtl/>
        </w:rPr>
        <w:t xml:space="preserve">דירוג </w:t>
      </w:r>
      <w:r>
        <w:rPr>
          <w:rFonts w:hint="cs"/>
          <w:b/>
          <w:bCs/>
          <w:sz w:val="24"/>
          <w:rtl/>
        </w:rPr>
        <w:t>ה</w:t>
      </w:r>
      <w:r w:rsidRPr="007970F7">
        <w:rPr>
          <w:rFonts w:hint="cs"/>
          <w:b/>
          <w:bCs/>
          <w:sz w:val="24"/>
          <w:rtl/>
        </w:rPr>
        <w:t>חברתי-כלכלי, ורובם (</w:t>
      </w:r>
      <w:r>
        <w:rPr>
          <w:rFonts w:hint="cs"/>
          <w:b/>
          <w:bCs/>
          <w:sz w:val="24"/>
          <w:rtl/>
        </w:rPr>
        <w:t>58</w:t>
      </w:r>
      <w:r w:rsidRPr="007970F7">
        <w:rPr>
          <w:rFonts w:hint="cs"/>
          <w:b/>
          <w:bCs/>
          <w:sz w:val="24"/>
          <w:rtl/>
        </w:rPr>
        <w:t>%) מורכבים מרשויות מקומיות חלשות שהתאגדו עם תאגידים חלשים</w:t>
      </w:r>
      <w:r w:rsidRPr="00A22027">
        <w:rPr>
          <w:rFonts w:hint="cs"/>
          <w:sz w:val="24"/>
          <w:rtl/>
        </w:rPr>
        <w:t xml:space="preserve">. </w:t>
      </w:r>
    </w:p>
    <w:p w:rsidR="003D3BEF" w:rsidP="003D3BEF" w14:paraId="7FF269C1" w14:textId="77777777">
      <w:pPr>
        <w:pStyle w:val="a"/>
        <w:spacing w:line="269" w:lineRule="auto"/>
        <w:rPr>
          <w:rtl/>
        </w:rPr>
      </w:pPr>
    </w:p>
    <w:p w:rsidR="003D3BEF" w:rsidP="003D3BEF" w14:paraId="11D01E82" w14:textId="77777777">
      <w:pPr>
        <w:spacing w:line="269" w:lineRule="auto"/>
        <w:ind w:left="312"/>
        <w:rPr>
          <w:sz w:val="24"/>
          <w:rtl/>
        </w:rPr>
      </w:pPr>
      <w:r>
        <w:rPr>
          <w:rFonts w:hint="cs"/>
          <w:sz w:val="24"/>
          <w:rtl/>
        </w:rPr>
        <w:t>במסגרת הביקורת, רשות המים מסרה למשרד מבקר המדינה בדצמבר 2019 כי לכל אחד מסכומי המענקים המוצעים בחוזרי המענקים היא חישבה חשיפה תקציבית המבוססת על תרחיש שלפיו כל התאגידים והרשויות המקומיות העומדים בתנאי כל אחד מהחוזרים, ייענו להם וינצלו את המענקים שהוצעו. לדוגמה, רף החשיפה התקציבית בחוזר מענקים מדצמבר 2014, המתייחס לתקופה התיאגוד 31.12.12 - 30.4.15, התבסס על תרחיש שלפיו 38 רשויות החייבות בתיאגוד אכן יתאגדו בתקופה זו. הניצול בפועל, בהתייחס לרשויות מקומיות שנענו לתנאי החוזר וניצלו את המענקים.</w:t>
      </w:r>
      <w:r w:rsidRPr="005C221C">
        <w:rPr>
          <w:rFonts w:hint="cs"/>
          <w:sz w:val="24"/>
          <w:rtl/>
        </w:rPr>
        <w:t xml:space="preserve"> </w:t>
      </w:r>
    </w:p>
    <w:p w:rsidR="003D3BEF" w:rsidP="003D3BEF" w14:paraId="782F0B68" w14:textId="77777777">
      <w:pPr>
        <w:pStyle w:val="a"/>
        <w:spacing w:line="269" w:lineRule="auto"/>
        <w:rPr>
          <w:rtl/>
        </w:rPr>
      </w:pPr>
    </w:p>
    <w:p w:rsidR="003D3BEF" w:rsidP="003D3BEF" w14:paraId="3FD59F19" w14:textId="77777777">
      <w:pPr>
        <w:spacing w:line="269" w:lineRule="auto"/>
        <w:ind w:left="312"/>
        <w:rPr>
          <w:sz w:val="24"/>
          <w:rtl/>
        </w:rPr>
      </w:pPr>
      <w:r>
        <w:rPr>
          <w:rFonts w:hint="cs"/>
          <w:sz w:val="24"/>
          <w:rtl/>
        </w:rPr>
        <w:t>משרד מבקר המדינה השווה את סך החשיפה התקציבית שחישבה רשות המים למענקים שהוצעו בחוזרים מאוגוסט 2007 עד יוני 2016 (לאחר יוני 2016 לא הוצאו חוזרי מענקים נוספים לעידוד התיאגוד, והמענקים בגין חוזר 2016 שולמו עד דצמבר 2018). להלן הסכומים ששולמו בפועל כמענקי תיאגוד לתאגידים ולרשויות מקומיות מתחילת 2008 עד דצמבר 2018 מתוך סכום החשיפה התקציבית של 2.24 מיליארד ש"ח:</w:t>
      </w:r>
    </w:p>
    <w:p w:rsidR="003D3BEF" w:rsidP="003D3BEF" w14:paraId="014567EA" w14:textId="77777777">
      <w:pPr>
        <w:spacing w:line="269" w:lineRule="auto"/>
        <w:rPr>
          <w:sz w:val="24"/>
          <w:rtl/>
        </w:rPr>
      </w:pPr>
    </w:p>
    <w:p w:rsidR="003D3BEF" w:rsidP="003D3BEF" w14:paraId="5EB029B6" w14:textId="77777777">
      <w:pPr>
        <w:spacing w:line="269" w:lineRule="auto"/>
        <w:rPr>
          <w:sz w:val="24"/>
          <w:rtl/>
        </w:rPr>
      </w:pPr>
    </w:p>
    <w:p w:rsidR="003D3BEF" w:rsidP="003D3BEF" w14:paraId="273D23AE" w14:textId="77777777">
      <w:pPr>
        <w:spacing w:line="269" w:lineRule="auto"/>
        <w:rPr>
          <w:sz w:val="24"/>
          <w:rtl/>
        </w:rPr>
      </w:pPr>
    </w:p>
    <w:p w:rsidR="003D3BEF" w:rsidRPr="00D552E3" w:rsidP="003D3BEF" w14:paraId="6F8E931D" w14:textId="77777777">
      <w:pPr>
        <w:spacing w:line="269" w:lineRule="auto"/>
        <w:jc w:val="center"/>
        <w:rPr>
          <w:b/>
          <w:bCs/>
          <w:sz w:val="24"/>
          <w:rtl/>
        </w:rPr>
      </w:pPr>
      <w:r w:rsidRPr="00906E0D">
        <w:rPr>
          <w:rFonts w:hint="cs"/>
          <w:b/>
          <w:bCs/>
          <w:sz w:val="24"/>
          <w:rtl/>
        </w:rPr>
        <w:t>תרשים</w:t>
      </w:r>
      <w:r>
        <w:rPr>
          <w:rFonts w:hint="cs"/>
          <w:b/>
          <w:bCs/>
          <w:sz w:val="24"/>
          <w:rtl/>
        </w:rPr>
        <w:t xml:space="preserve"> 24</w:t>
      </w:r>
      <w:r w:rsidRPr="00906E0D">
        <w:rPr>
          <w:rFonts w:hint="cs"/>
          <w:b/>
          <w:bCs/>
          <w:sz w:val="24"/>
          <w:rtl/>
        </w:rPr>
        <w:t xml:space="preserve">: </w:t>
      </w:r>
      <w:r>
        <w:rPr>
          <w:rFonts w:hint="cs"/>
          <w:b/>
          <w:bCs/>
          <w:sz w:val="24"/>
          <w:rtl/>
        </w:rPr>
        <w:t>החשיפה התקציבית מול ניצול בפועל של המענקים על ידי התאגידים והרשויות המקומיות (באלפי ש"ח)</w:t>
      </w:r>
    </w:p>
    <w:p w:rsidR="003D3BEF" w:rsidP="00CD0497" w14:paraId="4BAEB59F" w14:textId="77777777">
      <w:pPr>
        <w:spacing w:before="120" w:after="120" w:line="269" w:lineRule="auto"/>
        <w:jc w:val="center"/>
        <w:rPr>
          <w:szCs w:val="20"/>
          <w:rtl/>
        </w:rPr>
      </w:pPr>
      <w:r>
        <w:rPr>
          <w:noProof/>
          <w:szCs w:val="20"/>
          <w:rtl/>
        </w:rPr>
        <w:drawing>
          <wp:inline distT="0" distB="0" distL="0" distR="0">
            <wp:extent cx="2883414" cy="3310135"/>
            <wp:effectExtent l="0" t="0" r="0" b="5080"/>
            <wp:docPr id="624677567" name="תמונה 62467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51661" name="water-corporations-g-24.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3310135"/>
                    </a:xfrm>
                    <a:prstGeom prst="rect">
                      <a:avLst/>
                    </a:prstGeom>
                  </pic:spPr>
                </pic:pic>
              </a:graphicData>
            </a:graphic>
          </wp:inline>
        </w:drawing>
      </w:r>
    </w:p>
    <w:p w:rsidR="003D3BEF" w:rsidRPr="00684E93" w:rsidP="00CD0497" w14:paraId="087A78CB"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5D78CA07" w14:textId="77777777">
      <w:pPr>
        <w:pStyle w:val="a"/>
        <w:spacing w:line="269" w:lineRule="auto"/>
        <w:rPr>
          <w:rtl/>
        </w:rPr>
      </w:pPr>
    </w:p>
    <w:p w:rsidR="003D3BEF" w:rsidP="003D3BEF" w14:paraId="7DEB56EA" w14:textId="77777777">
      <w:pPr>
        <w:spacing w:line="269" w:lineRule="auto"/>
        <w:ind w:left="312"/>
        <w:rPr>
          <w:sz w:val="24"/>
          <w:rtl/>
        </w:rPr>
      </w:pPr>
      <w:r>
        <w:rPr>
          <w:rFonts w:hint="cs"/>
          <w:sz w:val="24"/>
          <w:rtl/>
        </w:rPr>
        <w:t xml:space="preserve">מהתרשים עולה כי סך הניצול בפועל של תקציבי המענקים עמד על כ-58%, דהיינו כ-943 מיליון ש"ח לא נוצלו על ידי התאגידים והרשויות המקומיות. כאמור, מיולי 2010 ועד מועד סיום הביקורת ניתנו המענקים לתיאגוד אזורי בלבד ולא לתיאגוד חד-רשותי. משרד מבקר המדינה בחן את החשיפה התקציבית לעומת שיעור הניצול בפועל של מענקי התיאגוד האזורי באותה תקופה. </w:t>
      </w:r>
    </w:p>
    <w:p w:rsidR="003D3BEF" w:rsidP="003D3BEF" w14:paraId="4872502F" w14:textId="77777777">
      <w:pPr>
        <w:pStyle w:val="a"/>
        <w:spacing w:line="269" w:lineRule="auto"/>
        <w:rPr>
          <w:rtl/>
        </w:rPr>
      </w:pPr>
    </w:p>
    <w:p w:rsidR="003D3BEF" w:rsidRPr="007D62F7" w:rsidP="003D3BEF" w14:paraId="647AFA9B" w14:textId="77777777">
      <w:pPr>
        <w:spacing w:line="269" w:lineRule="auto"/>
        <w:jc w:val="center"/>
        <w:rPr>
          <w:b/>
          <w:bCs/>
          <w:sz w:val="24"/>
          <w:rtl/>
        </w:rPr>
      </w:pPr>
      <w:r w:rsidRPr="00906E0D">
        <w:rPr>
          <w:rFonts w:hint="cs"/>
          <w:b/>
          <w:bCs/>
          <w:sz w:val="24"/>
          <w:rtl/>
        </w:rPr>
        <w:t>תרשים</w:t>
      </w:r>
      <w:r>
        <w:rPr>
          <w:rFonts w:hint="cs"/>
          <w:b/>
          <w:bCs/>
          <w:sz w:val="24"/>
          <w:rtl/>
        </w:rPr>
        <w:t xml:space="preserve"> 25</w:t>
      </w:r>
      <w:r w:rsidRPr="00906E0D">
        <w:rPr>
          <w:rFonts w:hint="cs"/>
          <w:b/>
          <w:bCs/>
          <w:sz w:val="24"/>
          <w:rtl/>
        </w:rPr>
        <w:t xml:space="preserve">: </w:t>
      </w:r>
      <w:r>
        <w:rPr>
          <w:rFonts w:hint="cs"/>
          <w:b/>
          <w:bCs/>
          <w:sz w:val="24"/>
          <w:rtl/>
        </w:rPr>
        <w:t>סכום החשיפה התקציבית אל מול הסכום ששולם בפועל כמענקי תיאגוד אזורי מיולי 2010 ועד מועד סיום הביקורת (באלפי ש"ח ובאחוזים מהחשיפה התקציבית)</w:t>
      </w:r>
    </w:p>
    <w:p w:rsidR="003D3BEF" w:rsidP="00CD0497" w14:paraId="5CECFCD9" w14:textId="77777777">
      <w:pPr>
        <w:spacing w:before="120" w:after="120" w:line="269" w:lineRule="auto"/>
        <w:jc w:val="center"/>
        <w:rPr>
          <w:sz w:val="24"/>
          <w:rtl/>
        </w:rPr>
      </w:pPr>
      <w:r>
        <w:rPr>
          <w:noProof/>
          <w:sz w:val="24"/>
          <w:rtl/>
        </w:rPr>
        <w:drawing>
          <wp:inline distT="0" distB="0" distL="0" distR="0">
            <wp:extent cx="4325121" cy="2414021"/>
            <wp:effectExtent l="0" t="0" r="0" b="5715"/>
            <wp:docPr id="780323264" name="תמונה 78032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96941" name="water-corporations-g-25.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14021"/>
                    </a:xfrm>
                    <a:prstGeom prst="rect">
                      <a:avLst/>
                    </a:prstGeom>
                  </pic:spPr>
                </pic:pic>
              </a:graphicData>
            </a:graphic>
          </wp:inline>
        </w:drawing>
      </w:r>
    </w:p>
    <w:p w:rsidR="003D3BEF" w:rsidRPr="00684E93" w:rsidP="00CD0497" w14:paraId="0AAD0A4B"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2B70A395" w14:textId="77777777">
      <w:pPr>
        <w:pStyle w:val="a"/>
        <w:spacing w:line="269" w:lineRule="auto"/>
        <w:rPr>
          <w:rtl/>
        </w:rPr>
      </w:pPr>
    </w:p>
    <w:p w:rsidR="003D3BEF" w:rsidP="003D3BEF" w14:paraId="1B4057C8" w14:textId="77777777">
      <w:pPr>
        <w:spacing w:line="269" w:lineRule="auto"/>
        <w:ind w:left="312"/>
        <w:rPr>
          <w:b/>
          <w:bCs/>
          <w:sz w:val="24"/>
          <w:rtl/>
        </w:rPr>
      </w:pPr>
      <w:r>
        <w:rPr>
          <w:rFonts w:hint="cs"/>
          <w:b/>
          <w:bCs/>
          <w:sz w:val="24"/>
          <w:rtl/>
        </w:rPr>
        <w:t>מהתרשים עולה כי הניצול בפועל של המענקים היה נמוך מאוד ועמד על 12%</w:t>
      </w:r>
      <w:r w:rsidR="00917CB5">
        <w:rPr>
          <w:rFonts w:hint="cs"/>
          <w:b/>
          <w:bCs/>
          <w:sz w:val="24"/>
          <w:rtl/>
        </w:rPr>
        <w:t xml:space="preserve"> </w:t>
      </w:r>
      <w:r>
        <w:rPr>
          <w:rFonts w:hint="cs"/>
          <w:b/>
          <w:bCs/>
          <w:sz w:val="24"/>
          <w:rtl/>
        </w:rPr>
        <w:t>-</w:t>
      </w:r>
      <w:r w:rsidR="00917CB5">
        <w:rPr>
          <w:rFonts w:hint="cs"/>
          <w:b/>
          <w:bCs/>
          <w:sz w:val="24"/>
          <w:rtl/>
        </w:rPr>
        <w:t xml:space="preserve"> </w:t>
      </w:r>
      <w:r>
        <w:rPr>
          <w:rFonts w:hint="cs"/>
          <w:b/>
          <w:bCs/>
          <w:sz w:val="24"/>
          <w:rtl/>
        </w:rPr>
        <w:t xml:space="preserve">41%. סך הניצול מתוך סך המענקים עמד </w:t>
      </w:r>
      <w:r w:rsidRPr="009B2DC6">
        <w:rPr>
          <w:rFonts w:hint="cs"/>
          <w:b/>
          <w:bCs/>
          <w:sz w:val="24"/>
          <w:rtl/>
        </w:rPr>
        <w:t>על כ-24%</w:t>
      </w:r>
      <w:r>
        <w:rPr>
          <w:rFonts w:hint="cs"/>
          <w:b/>
          <w:bCs/>
          <w:sz w:val="24"/>
          <w:rtl/>
        </w:rPr>
        <w:t>, דהיינו</w:t>
      </w:r>
      <w:r w:rsidRPr="009B2DC6">
        <w:rPr>
          <w:rFonts w:hint="cs"/>
          <w:b/>
          <w:bCs/>
          <w:sz w:val="24"/>
          <w:rtl/>
        </w:rPr>
        <w:t xml:space="preserve"> כ-</w:t>
      </w:r>
      <w:r w:rsidRPr="0092321F">
        <w:rPr>
          <w:b/>
          <w:bCs/>
          <w:sz w:val="24"/>
          <w:rtl/>
        </w:rPr>
        <w:t>476.5 מ</w:t>
      </w:r>
      <w:r>
        <w:rPr>
          <w:rFonts w:hint="cs"/>
          <w:b/>
          <w:bCs/>
          <w:sz w:val="24"/>
          <w:rtl/>
        </w:rPr>
        <w:t>י</w:t>
      </w:r>
      <w:r w:rsidRPr="0092321F">
        <w:rPr>
          <w:b/>
          <w:bCs/>
          <w:sz w:val="24"/>
          <w:rtl/>
        </w:rPr>
        <w:t>ליו</w:t>
      </w:r>
      <w:r>
        <w:rPr>
          <w:rFonts w:hint="cs"/>
          <w:b/>
          <w:bCs/>
          <w:sz w:val="24"/>
          <w:rtl/>
        </w:rPr>
        <w:t>ן</w:t>
      </w:r>
      <w:r w:rsidRPr="009B2DC6">
        <w:rPr>
          <w:rFonts w:hint="cs"/>
          <w:b/>
          <w:bCs/>
          <w:sz w:val="24"/>
          <w:rtl/>
        </w:rPr>
        <w:t xml:space="preserve"> ש"ח לא נוצלו. </w:t>
      </w:r>
      <w:r>
        <w:rPr>
          <w:rFonts w:hint="cs"/>
          <w:b/>
          <w:bCs/>
          <w:sz w:val="24"/>
          <w:rtl/>
        </w:rPr>
        <w:t>מכאן, רוב המענקים שהוצעו לא נוצלו, והשגת המטרות של חוזרי התיאגוד האזורי הייתה מוגבלת.</w:t>
      </w:r>
    </w:p>
    <w:p w:rsidR="003D3BEF" w:rsidP="003D3BEF" w14:paraId="0E746688" w14:textId="77777777">
      <w:pPr>
        <w:pStyle w:val="a"/>
        <w:spacing w:line="269" w:lineRule="auto"/>
        <w:rPr>
          <w:rtl/>
        </w:rPr>
      </w:pPr>
    </w:p>
    <w:p w:rsidR="003D3BEF" w:rsidP="003D3BEF" w14:paraId="228E1ED7" w14:textId="77777777">
      <w:pPr>
        <w:spacing w:line="269" w:lineRule="auto"/>
        <w:ind w:left="312"/>
        <w:rPr>
          <w:sz w:val="24"/>
          <w:rtl/>
        </w:rPr>
      </w:pPr>
      <w:r>
        <w:rPr>
          <w:rFonts w:hint="cs"/>
          <w:b/>
          <w:bCs/>
          <w:sz w:val="24"/>
          <w:rtl/>
        </w:rPr>
        <w:t>מהדברים עולה</w:t>
      </w:r>
      <w:r w:rsidRPr="007970F7">
        <w:rPr>
          <w:rFonts w:hint="cs"/>
          <w:b/>
          <w:bCs/>
          <w:sz w:val="24"/>
          <w:rtl/>
        </w:rPr>
        <w:t xml:space="preserve"> כי התמריצים </w:t>
      </w:r>
      <w:r>
        <w:rPr>
          <w:rFonts w:hint="cs"/>
          <w:b/>
          <w:bCs/>
          <w:sz w:val="24"/>
          <w:rtl/>
        </w:rPr>
        <w:t>שהוצעו בגין תיאגוד אזורי לא נוצלו במלואם. תמריצים מוגדלים בגין קליטת רשויות מקומיות חלשות נוצלו בעיקר בידי תאגידים חלשים שקלטו רשויות חלשות, ו</w:t>
      </w:r>
      <w:r w:rsidRPr="007970F7">
        <w:rPr>
          <w:rFonts w:hint="cs"/>
          <w:b/>
          <w:bCs/>
          <w:sz w:val="24"/>
          <w:rtl/>
        </w:rPr>
        <w:t>ברוב המקרים</w:t>
      </w:r>
      <w:r>
        <w:rPr>
          <w:rFonts w:hint="cs"/>
          <w:b/>
          <w:bCs/>
          <w:sz w:val="24"/>
          <w:rtl/>
        </w:rPr>
        <w:t xml:space="preserve"> </w:t>
      </w:r>
      <w:r w:rsidRPr="007970F7">
        <w:rPr>
          <w:rFonts w:hint="cs"/>
          <w:b/>
          <w:bCs/>
          <w:sz w:val="24"/>
          <w:rtl/>
        </w:rPr>
        <w:t xml:space="preserve">לא הביאו לכך שתאגידים </w:t>
      </w:r>
      <w:r>
        <w:rPr>
          <w:rFonts w:hint="cs"/>
          <w:b/>
          <w:bCs/>
          <w:sz w:val="24"/>
          <w:rtl/>
        </w:rPr>
        <w:t>בינוניים וחזקים</w:t>
      </w:r>
      <w:r w:rsidRPr="007970F7">
        <w:rPr>
          <w:rFonts w:hint="cs"/>
          <w:b/>
          <w:bCs/>
          <w:sz w:val="24"/>
          <w:rtl/>
        </w:rPr>
        <w:t xml:space="preserve"> יקלטו רשויות מקומיות חלשות</w:t>
      </w:r>
      <w:r>
        <w:rPr>
          <w:rFonts w:hint="cs"/>
          <w:sz w:val="24"/>
          <w:rtl/>
        </w:rPr>
        <w:t xml:space="preserve">. </w:t>
      </w:r>
    </w:p>
    <w:p w:rsidR="003D3BEF" w:rsidRPr="00A22027" w:rsidP="003D3BEF" w14:paraId="4141D0C2" w14:textId="77777777">
      <w:pPr>
        <w:pStyle w:val="a"/>
        <w:spacing w:line="269" w:lineRule="auto"/>
        <w:rPr>
          <w:rtl/>
        </w:rPr>
      </w:pPr>
    </w:p>
    <w:p w:rsidR="003D3BEF" w:rsidP="003D3BEF" w14:paraId="14F2743A" w14:textId="77777777">
      <w:pPr>
        <w:spacing w:line="269" w:lineRule="auto"/>
        <w:ind w:left="312"/>
        <w:rPr>
          <w:b/>
          <w:bCs/>
          <w:sz w:val="24"/>
          <w:rtl/>
        </w:rPr>
      </w:pPr>
      <w:r>
        <w:rPr>
          <w:rFonts w:hint="cs"/>
          <w:b/>
          <w:bCs/>
          <w:sz w:val="24"/>
          <w:rtl/>
        </w:rPr>
        <w:t>מן הראוי שלפני פרסום חוזרים נוספים למענקי עידוד תיאגוד אזורי תבחן רשות המים, יחד עם משרד האוצר, את הצורך לשנות את תנאי החוזרים ולנקוט צעדים נוספים לעידוד התיאגוד האזורי (בעניין צעדים אלה ראו להלן) באופן שיביא להיענות רחבה יותר.</w:t>
      </w:r>
    </w:p>
    <w:p w:rsidR="003D3BEF" w:rsidP="003D3BEF" w14:paraId="34618F11" w14:textId="77777777">
      <w:pPr>
        <w:pStyle w:val="a"/>
        <w:spacing w:line="269" w:lineRule="auto"/>
        <w:rPr>
          <w:rtl/>
        </w:rPr>
      </w:pPr>
    </w:p>
    <w:p w:rsidR="003D3BEF" w:rsidRPr="00BF4090" w:rsidP="003D3BEF" w14:paraId="1DBA4948" w14:textId="77777777">
      <w:pPr>
        <w:pStyle w:val="ListParagraph"/>
        <w:numPr>
          <w:ilvl w:val="0"/>
          <w:numId w:val="17"/>
        </w:numPr>
        <w:spacing w:line="269" w:lineRule="auto"/>
        <w:ind w:left="312"/>
        <w:rPr>
          <w:b/>
          <w:rtl/>
        </w:rPr>
      </w:pPr>
      <w:r w:rsidRPr="00BF4090">
        <w:rPr>
          <w:rFonts w:hint="eastAsia"/>
          <w:b/>
          <w:rtl/>
        </w:rPr>
        <w:t>מענקים</w:t>
      </w:r>
      <w:r w:rsidRPr="00BF4090">
        <w:rPr>
          <w:b/>
          <w:rtl/>
        </w:rPr>
        <w:t xml:space="preserve"> </w:t>
      </w:r>
      <w:r w:rsidRPr="00BF4090">
        <w:rPr>
          <w:rFonts w:hint="eastAsia"/>
          <w:b/>
          <w:rtl/>
        </w:rPr>
        <w:t>להתקנת</w:t>
      </w:r>
      <w:r w:rsidRPr="00BF4090">
        <w:rPr>
          <w:rFonts w:hint="cs"/>
          <w:b/>
          <w:rtl/>
        </w:rPr>
        <w:t xml:space="preserve"> מערכות</w:t>
      </w:r>
      <w:r w:rsidRPr="00BF4090">
        <w:rPr>
          <w:b/>
          <w:rtl/>
        </w:rPr>
        <w:t xml:space="preserve"> </w:t>
      </w:r>
      <w:r w:rsidRPr="00BF4090">
        <w:rPr>
          <w:rFonts w:hint="eastAsia"/>
          <w:b/>
          <w:rtl/>
        </w:rPr>
        <w:t>לקריא</w:t>
      </w:r>
      <w:r w:rsidRPr="00BF4090">
        <w:rPr>
          <w:rFonts w:hint="cs"/>
          <w:b/>
          <w:rtl/>
        </w:rPr>
        <w:t>ה</w:t>
      </w:r>
      <w:r w:rsidRPr="00BF4090">
        <w:rPr>
          <w:b/>
          <w:rtl/>
        </w:rPr>
        <w:t xml:space="preserve"> </w:t>
      </w:r>
      <w:r w:rsidRPr="00BF4090">
        <w:rPr>
          <w:rFonts w:hint="eastAsia"/>
          <w:b/>
          <w:rtl/>
        </w:rPr>
        <w:t>מרחוק</w:t>
      </w:r>
      <w:r w:rsidRPr="00BF4090">
        <w:rPr>
          <w:b/>
          <w:rtl/>
        </w:rPr>
        <w:t xml:space="preserve"> </w:t>
      </w:r>
      <w:r w:rsidRPr="00BF4090">
        <w:rPr>
          <w:rFonts w:hint="cs"/>
          <w:b/>
          <w:rtl/>
        </w:rPr>
        <w:t xml:space="preserve">- </w:t>
      </w:r>
      <w:r w:rsidRPr="00BF4090">
        <w:rPr>
          <w:b/>
          <w:rtl/>
        </w:rPr>
        <w:t>צרכני מים מחויבים לעיתים בסכומים גבוהים בשל צריכה חריגה הנובעת מנזילה סמויה. לפי כללי תאגידי מים וביוב (אמות מידה לשירות), התשע"א</w:t>
      </w:r>
      <w:r w:rsidRPr="00BF4090">
        <w:rPr>
          <w:rFonts w:hint="cs"/>
          <w:b/>
          <w:rtl/>
        </w:rPr>
        <w:t>-</w:t>
      </w:r>
      <w:r w:rsidRPr="00BF4090">
        <w:rPr>
          <w:b/>
          <w:rtl/>
        </w:rPr>
        <w:t>2011</w:t>
      </w:r>
      <w:r w:rsidRPr="00BF4090">
        <w:rPr>
          <w:b/>
        </w:rPr>
        <w:t xml:space="preserve"> </w:t>
      </w:r>
      <w:r w:rsidRPr="00BF4090">
        <w:rPr>
          <w:b/>
          <w:rtl/>
        </w:rPr>
        <w:t>(להלן - כללי אמות מידה</w:t>
      </w:r>
      <w:r w:rsidRPr="00BF4090">
        <w:rPr>
          <w:rFonts w:hint="cs"/>
          <w:b/>
          <w:rtl/>
        </w:rPr>
        <w:t xml:space="preserve"> לשירות</w:t>
      </w:r>
      <w:r w:rsidRPr="00BF4090">
        <w:rPr>
          <w:b/>
          <w:rtl/>
        </w:rPr>
        <w:t>)</w:t>
      </w:r>
      <w:r w:rsidRPr="00BF4090">
        <w:rPr>
          <w:rFonts w:hint="cs"/>
          <w:b/>
          <w:rtl/>
        </w:rPr>
        <w:t>,</w:t>
      </w:r>
      <w:r w:rsidRPr="00BF4090">
        <w:rPr>
          <w:b/>
          <w:rtl/>
        </w:rPr>
        <w:t xml:space="preserve"> חלה על </w:t>
      </w:r>
      <w:r w:rsidRPr="00BF4090">
        <w:rPr>
          <w:rFonts w:hint="eastAsia"/>
          <w:b/>
          <w:rtl/>
        </w:rPr>
        <w:t>ה</w:t>
      </w:r>
      <w:r w:rsidRPr="00BF4090">
        <w:rPr>
          <w:b/>
          <w:rtl/>
        </w:rPr>
        <w:t>תאגיד</w:t>
      </w:r>
      <w:r w:rsidRPr="00BF4090">
        <w:rPr>
          <w:rFonts w:hint="eastAsia"/>
          <w:b/>
          <w:rtl/>
        </w:rPr>
        <w:t>ים</w:t>
      </w:r>
      <w:r w:rsidRPr="00BF4090">
        <w:rPr>
          <w:b/>
          <w:rtl/>
        </w:rPr>
        <w:t xml:space="preserve"> </w:t>
      </w:r>
      <w:r w:rsidRPr="00BF4090">
        <w:rPr>
          <w:rFonts w:hint="eastAsia"/>
          <w:b/>
          <w:rtl/>
        </w:rPr>
        <w:t>ה</w:t>
      </w:r>
      <w:r w:rsidRPr="00BF4090">
        <w:rPr>
          <w:b/>
          <w:rtl/>
        </w:rPr>
        <w:t xml:space="preserve">חובה לערוך בדיקות השוואתיות של </w:t>
      </w:r>
      <w:r w:rsidRPr="00BF4090">
        <w:rPr>
          <w:rFonts w:hint="cs"/>
          <w:b/>
          <w:rtl/>
        </w:rPr>
        <w:t xml:space="preserve">נתוני הקריאה של מד המים </w:t>
      </w:r>
      <w:r w:rsidRPr="00BF4090">
        <w:rPr>
          <w:b/>
          <w:rtl/>
        </w:rPr>
        <w:t xml:space="preserve">וליידע את הצרכן אם </w:t>
      </w:r>
      <w:r w:rsidRPr="00BF4090">
        <w:rPr>
          <w:rFonts w:hint="cs"/>
          <w:b/>
          <w:rtl/>
        </w:rPr>
        <w:t xml:space="preserve">הכמות שנמדדה היא בשיעור 130% או יותר מממוצע הכמות שנמדדה בשש תקופות החיוב שקדמו לבדיקה. אם התגלתה "צריכה חריגה" (הכמות שנמדדה היא בשיעור של 150% או יותר מממוצע הצריכה בשש תקופות החיוב שקדמו) </w:t>
      </w:r>
      <w:r w:rsidRPr="00BF4090">
        <w:rPr>
          <w:b/>
          <w:rtl/>
        </w:rPr>
        <w:t>שהוכרה כצריכה הנובעת מנזילה חלה על התאגיד</w:t>
      </w:r>
      <w:r w:rsidRPr="00BF4090">
        <w:rPr>
          <w:rFonts w:hint="eastAsia"/>
          <w:b/>
          <w:rtl/>
        </w:rPr>
        <w:t>ים</w:t>
      </w:r>
      <w:r w:rsidRPr="00BF4090">
        <w:rPr>
          <w:b/>
          <w:rtl/>
        </w:rPr>
        <w:t xml:space="preserve"> חובה לחייב את הצרכן בתעריפים מופחתים</w:t>
      </w:r>
      <w:r>
        <w:rPr>
          <w:rStyle w:val="FootnoteReference"/>
          <w:b/>
          <w:rtl/>
        </w:rPr>
        <w:footnoteReference w:id="62"/>
      </w:r>
      <w:r w:rsidRPr="00BF4090">
        <w:rPr>
          <w:b/>
          <w:rtl/>
        </w:rPr>
        <w:t xml:space="preserve">. </w:t>
      </w:r>
      <w:r w:rsidRPr="00BF4090">
        <w:rPr>
          <w:rFonts w:hint="eastAsia"/>
          <w:b/>
          <w:rtl/>
        </w:rPr>
        <w:t>מערכות</w:t>
      </w:r>
      <w:r w:rsidRPr="00BF4090">
        <w:rPr>
          <w:b/>
          <w:rtl/>
        </w:rPr>
        <w:t xml:space="preserve"> לקריאה מרחוק של מדי מים (להלן </w:t>
      </w:r>
      <w:r w:rsidRPr="00BF4090">
        <w:rPr>
          <w:rFonts w:hint="cs"/>
          <w:b/>
          <w:rtl/>
        </w:rPr>
        <w:t>-</w:t>
      </w:r>
      <w:r w:rsidRPr="00BF4090">
        <w:rPr>
          <w:b/>
          <w:rtl/>
        </w:rPr>
        <w:t xml:space="preserve"> </w:t>
      </w:r>
      <w:r w:rsidRPr="00BF4090">
        <w:rPr>
          <w:rFonts w:hint="cs"/>
          <w:b/>
          <w:rtl/>
        </w:rPr>
        <w:t xml:space="preserve">מערכות </w:t>
      </w:r>
      <w:r w:rsidRPr="00BF4090">
        <w:rPr>
          <w:rFonts w:hint="eastAsia"/>
          <w:b/>
          <w:rtl/>
        </w:rPr>
        <w:t>קר</w:t>
      </w:r>
      <w:r w:rsidRPr="00BF4090">
        <w:rPr>
          <w:b/>
          <w:rtl/>
        </w:rPr>
        <w:t xml:space="preserve">"מ) המשדרות לתאגיד את נתוני צריכת המים באופן תדיר ובזמן אמת, </w:t>
      </w:r>
      <w:r w:rsidRPr="00BF4090">
        <w:rPr>
          <w:rFonts w:hint="eastAsia"/>
          <w:b/>
          <w:rtl/>
        </w:rPr>
        <w:t>מאפשרות</w:t>
      </w:r>
      <w:r w:rsidRPr="00BF4090">
        <w:rPr>
          <w:b/>
          <w:rtl/>
        </w:rPr>
        <w:t xml:space="preserve"> איתור מוקדם של נזילות מים </w:t>
      </w:r>
      <w:r w:rsidRPr="00BF4090">
        <w:rPr>
          <w:rFonts w:hint="eastAsia"/>
          <w:b/>
          <w:rtl/>
        </w:rPr>
        <w:t>ומסייעות</w:t>
      </w:r>
      <w:r w:rsidRPr="00BF4090">
        <w:rPr>
          <w:b/>
          <w:rtl/>
        </w:rPr>
        <w:t xml:space="preserve"> </w:t>
      </w:r>
      <w:r w:rsidRPr="00BF4090">
        <w:rPr>
          <w:rFonts w:hint="eastAsia"/>
          <w:b/>
          <w:rtl/>
        </w:rPr>
        <w:t>בהקטנת</w:t>
      </w:r>
      <w:r w:rsidRPr="00BF4090">
        <w:rPr>
          <w:b/>
          <w:rtl/>
        </w:rPr>
        <w:t xml:space="preserve"> </w:t>
      </w:r>
      <w:r w:rsidRPr="00BF4090">
        <w:rPr>
          <w:rFonts w:hint="eastAsia"/>
          <w:b/>
          <w:rtl/>
        </w:rPr>
        <w:t>פחת</w:t>
      </w:r>
      <w:r w:rsidRPr="00BF4090">
        <w:rPr>
          <w:b/>
          <w:rtl/>
        </w:rPr>
        <w:t xml:space="preserve"> </w:t>
      </w:r>
      <w:r w:rsidRPr="00BF4090">
        <w:rPr>
          <w:rFonts w:hint="eastAsia"/>
          <w:b/>
          <w:rtl/>
        </w:rPr>
        <w:t>המים</w:t>
      </w:r>
      <w:r w:rsidRPr="00BF4090">
        <w:rPr>
          <w:b/>
          <w:rtl/>
        </w:rPr>
        <w:t>. לפיכך, יש חשיבות רבה בהגברת השימוש ב</w:t>
      </w:r>
      <w:r w:rsidRPr="00BF4090">
        <w:rPr>
          <w:rFonts w:hint="cs"/>
          <w:b/>
          <w:rtl/>
        </w:rPr>
        <w:t>מערכות כאלה</w:t>
      </w:r>
      <w:r w:rsidRPr="00BF4090">
        <w:rPr>
          <w:b/>
          <w:rtl/>
        </w:rPr>
        <w:t>.</w:t>
      </w:r>
    </w:p>
    <w:p w:rsidR="003D3BEF" w:rsidRPr="00EC0CF5" w:rsidP="003D3BEF" w14:paraId="0E9A1B49" w14:textId="77777777">
      <w:pPr>
        <w:pStyle w:val="a"/>
        <w:spacing w:line="269" w:lineRule="auto"/>
        <w:rPr>
          <w:rtl/>
        </w:rPr>
      </w:pPr>
    </w:p>
    <w:p w:rsidR="003D3BEF" w:rsidP="003D3BEF" w14:paraId="491587FA" w14:textId="77777777">
      <w:pPr>
        <w:spacing w:line="269" w:lineRule="auto"/>
        <w:ind w:left="312"/>
        <w:rPr>
          <w:sz w:val="24"/>
          <w:rtl/>
        </w:rPr>
      </w:pPr>
      <w:r>
        <w:rPr>
          <w:rFonts w:hint="cs"/>
          <w:sz w:val="24"/>
          <w:rtl/>
        </w:rPr>
        <w:t>נמצא כי הממונה על התאגידים ומשרד האוצר פרסמו בשנים 2009 - 2016 חוזרים ייעודיים למתן מענקים</w:t>
      </w:r>
      <w:r>
        <w:rPr>
          <w:rStyle w:val="FootnoteReference"/>
          <w:sz w:val="24"/>
          <w:rtl/>
        </w:rPr>
        <w:footnoteReference w:id="63"/>
      </w:r>
      <w:r>
        <w:rPr>
          <w:rFonts w:hint="cs"/>
          <w:sz w:val="24"/>
          <w:rtl/>
        </w:rPr>
        <w:t xml:space="preserve"> לעידוד התקנת מערכות קר"מ בתאגידים חלשים מאוד (דירוג חברתי-כלכלי נמוך מ-4) או ברשויות חלשות מאוד שיצטרפו לתאגידים קיימים. על פי הערכות רשות המים, 23 תאגידים חלשים ענו על תנאי הסף לקבלת המענק. להלן פילוח 23 התאגידים העומדים בתנאי הסף לקבלת מענקים להתקנת מערכות קר"מ, לפי ניצול המענקים עד 2019:</w:t>
      </w:r>
    </w:p>
    <w:p w:rsidR="003D3BEF" w:rsidP="003D3BEF" w14:paraId="5A0E4E19" w14:textId="77777777">
      <w:pPr>
        <w:pStyle w:val="a"/>
        <w:spacing w:line="269" w:lineRule="auto"/>
        <w:rPr>
          <w:rtl/>
        </w:rPr>
      </w:pPr>
    </w:p>
    <w:p w:rsidR="003D3BEF" w:rsidP="003D3BEF" w14:paraId="71D6EB79" w14:textId="77777777">
      <w:pPr>
        <w:spacing w:line="269" w:lineRule="auto"/>
        <w:jc w:val="center"/>
        <w:rPr>
          <w:noProof/>
          <w:rtl/>
        </w:rPr>
      </w:pPr>
      <w:r w:rsidRPr="00906E0D">
        <w:rPr>
          <w:rFonts w:hint="cs"/>
          <w:b/>
          <w:bCs/>
          <w:sz w:val="24"/>
          <w:rtl/>
        </w:rPr>
        <w:t xml:space="preserve">תרשים </w:t>
      </w:r>
      <w:r>
        <w:rPr>
          <w:rFonts w:hint="cs"/>
          <w:b/>
          <w:bCs/>
          <w:sz w:val="24"/>
          <w:rtl/>
        </w:rPr>
        <w:t>26</w:t>
      </w:r>
      <w:r w:rsidRPr="00906E0D">
        <w:rPr>
          <w:rFonts w:hint="cs"/>
          <w:b/>
          <w:bCs/>
          <w:sz w:val="24"/>
          <w:rtl/>
        </w:rPr>
        <w:t xml:space="preserve">: </w:t>
      </w:r>
      <w:r>
        <w:rPr>
          <w:rFonts w:hint="cs"/>
          <w:b/>
          <w:bCs/>
          <w:sz w:val="24"/>
          <w:rtl/>
        </w:rPr>
        <w:t>ניצול המענקים בידי 23 התאגידים החלשים העומדים בתנאי הסף, עד 2019.</w:t>
      </w:r>
      <w:r w:rsidRPr="00247184">
        <w:rPr>
          <w:noProof/>
        </w:rPr>
        <w:t xml:space="preserve"> </w:t>
      </w:r>
    </w:p>
    <w:p w:rsidR="003D0F32" w:rsidRPr="00247184" w:rsidP="003D0F32" w14:paraId="5D146B5B" w14:textId="77777777">
      <w:pPr>
        <w:spacing w:before="120" w:after="120" w:line="269" w:lineRule="auto"/>
        <w:jc w:val="center"/>
        <w:rPr>
          <w:b/>
          <w:bCs/>
          <w:sz w:val="24"/>
          <w:rtl/>
        </w:rPr>
      </w:pPr>
      <w:r>
        <w:rPr>
          <w:b/>
          <w:bCs/>
          <w:noProof/>
          <w:sz w:val="24"/>
          <w:rtl/>
        </w:rPr>
        <w:drawing>
          <wp:inline distT="0" distB="0" distL="0" distR="0">
            <wp:extent cx="2883414" cy="2788926"/>
            <wp:effectExtent l="0" t="0" r="0" b="0"/>
            <wp:docPr id="780323265" name="תמונה 78032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30677" name="water-corporations-g-26.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788926"/>
                    </a:xfrm>
                    <a:prstGeom prst="rect">
                      <a:avLst/>
                    </a:prstGeom>
                  </pic:spPr>
                </pic:pic>
              </a:graphicData>
            </a:graphic>
          </wp:inline>
        </w:drawing>
      </w:r>
    </w:p>
    <w:p w:rsidR="003D3BEF" w:rsidRPr="00684E93" w:rsidP="003D0F32" w14:paraId="73675933"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5ED5DCE1" w14:textId="77777777">
      <w:pPr>
        <w:spacing w:line="269" w:lineRule="auto"/>
        <w:rPr>
          <w:szCs w:val="20"/>
          <w:rtl/>
        </w:rPr>
      </w:pPr>
    </w:p>
    <w:p w:rsidR="003D3BEF" w:rsidP="003D3BEF" w14:paraId="4D879E8C" w14:textId="77777777">
      <w:pPr>
        <w:spacing w:line="269" w:lineRule="auto"/>
        <w:ind w:left="312"/>
        <w:rPr>
          <w:sz w:val="24"/>
          <w:rtl/>
        </w:rPr>
      </w:pPr>
      <w:r>
        <w:rPr>
          <w:rFonts w:hint="cs"/>
          <w:sz w:val="24"/>
          <w:rtl/>
        </w:rPr>
        <w:t>מהתרשים עולה כי 39% מהתאגידים החלשים שעמדו בתנאי הסף לקבלת מענקים להתקנת קר"מ כלל לא ניצלו או ניצלו חלקית בלבד את התמריצים בחוזר</w:t>
      </w:r>
      <w:r>
        <w:rPr>
          <w:rStyle w:val="FootnoteReference"/>
          <w:sz w:val="24"/>
          <w:rtl/>
        </w:rPr>
        <w:footnoteReference w:id="64"/>
      </w:r>
      <w:r>
        <w:rPr>
          <w:rFonts w:hint="cs"/>
          <w:sz w:val="24"/>
          <w:rtl/>
        </w:rPr>
        <w:t xml:space="preserve">. </w:t>
      </w:r>
      <w:r w:rsidRPr="00436C37">
        <w:rPr>
          <w:sz w:val="24"/>
          <w:rtl/>
        </w:rPr>
        <w:t>רשות המים השיבה במאי 2020 כי ניצול כספי מענק הקר"מ עומד על כ-62% בסך כולל של כ-56 מיליון ש"ח מתוך כ-91 מיליון ש"ח. מתוך התאגידים שטרם מימשו את זכאותם נמצאים 3 תאגידים בשלבי הקמה שונים של המערכות, לאחר הסרת החסם "מד מים קר"מ כשר"</w:t>
      </w:r>
      <w:r>
        <w:rPr>
          <w:rStyle w:val="FootnoteReference"/>
          <w:sz w:val="24"/>
          <w:rtl/>
        </w:rPr>
        <w:footnoteReference w:id="65"/>
      </w:r>
      <w:r w:rsidRPr="00436C37">
        <w:rPr>
          <w:sz w:val="24"/>
          <w:rtl/>
        </w:rPr>
        <w:t>.</w:t>
      </w:r>
      <w:r>
        <w:rPr>
          <w:rFonts w:hint="cs"/>
          <w:sz w:val="24"/>
          <w:rtl/>
        </w:rPr>
        <w:t xml:space="preserve"> </w:t>
      </w:r>
    </w:p>
    <w:p w:rsidR="003D3BEF" w:rsidP="003D3BEF" w14:paraId="66DA2F88" w14:textId="77777777">
      <w:pPr>
        <w:pStyle w:val="a"/>
        <w:spacing w:line="269" w:lineRule="auto"/>
        <w:ind w:left="0"/>
        <w:rPr>
          <w:rtl/>
        </w:rPr>
      </w:pPr>
    </w:p>
    <w:p w:rsidR="003D3BEF" w:rsidP="003D3BEF" w14:paraId="5B5E69F8" w14:textId="77777777">
      <w:pPr>
        <w:pStyle w:val="a"/>
        <w:spacing w:line="269" w:lineRule="auto"/>
        <w:rPr>
          <w:rtl/>
        </w:rPr>
      </w:pPr>
    </w:p>
    <w:p w:rsidR="003D3BEF" w:rsidP="003D3BEF" w14:paraId="501428B5" w14:textId="77777777">
      <w:pPr>
        <w:spacing w:line="269" w:lineRule="auto"/>
        <w:rPr>
          <w:sz w:val="24"/>
          <w:rtl/>
        </w:rPr>
      </w:pPr>
      <w:r>
        <w:rPr>
          <w:rFonts w:hint="cs"/>
          <w:sz w:val="24"/>
          <w:rtl/>
        </w:rPr>
        <w:t xml:space="preserve">תיקון לחוק התאגידים מדצמבר 2018 הסמיך את מועצת הרשות לקבוע בכללים אמות מידה והוראות בנושאים שונים ובכלל זה הוראות הנוגעות לחובת התאגידים להתקין ולהפעיל מערכות קר"מ. עוד נקבע בחוק, שבכללים אלה </w:t>
      </w:r>
      <w:r w:rsidRPr="001F55EA">
        <w:rPr>
          <w:sz w:val="24"/>
          <w:rtl/>
        </w:rPr>
        <w:t xml:space="preserve">לא תושת על צרכן </w:t>
      </w:r>
      <w:r>
        <w:rPr>
          <w:rFonts w:hint="cs"/>
          <w:sz w:val="24"/>
          <w:rtl/>
        </w:rPr>
        <w:t>הצורך מים למטרת צורכי בית</w:t>
      </w:r>
      <w:r w:rsidRPr="001F55EA">
        <w:rPr>
          <w:sz w:val="24"/>
          <w:rtl/>
        </w:rPr>
        <w:t xml:space="preserve">, במישרין, עלות התקנה ראשונה של מערכת </w:t>
      </w:r>
      <w:r>
        <w:rPr>
          <w:rFonts w:hint="cs"/>
          <w:sz w:val="24"/>
          <w:rtl/>
        </w:rPr>
        <w:t>קר"מ</w:t>
      </w:r>
      <w:r w:rsidRPr="001F55EA">
        <w:rPr>
          <w:sz w:val="24"/>
          <w:rtl/>
        </w:rPr>
        <w:t>, חלף מד</w:t>
      </w:r>
      <w:r>
        <w:rPr>
          <w:rFonts w:hint="cs"/>
          <w:sz w:val="24"/>
          <w:rtl/>
        </w:rPr>
        <w:t xml:space="preserve"> </w:t>
      </w:r>
      <w:r w:rsidRPr="001F55EA">
        <w:rPr>
          <w:sz w:val="24"/>
          <w:rtl/>
        </w:rPr>
        <w:t>מים המותקן באותה יחידת דיור</w:t>
      </w:r>
      <w:r>
        <w:rPr>
          <w:rStyle w:val="FootnoteReference"/>
          <w:sz w:val="24"/>
          <w:rtl/>
        </w:rPr>
        <w:footnoteReference w:id="66"/>
      </w:r>
      <w:r w:rsidRPr="001F55EA">
        <w:rPr>
          <w:sz w:val="24"/>
          <w:rtl/>
        </w:rPr>
        <w:t>.</w:t>
      </w:r>
      <w:r>
        <w:rPr>
          <w:rFonts w:hint="cs"/>
          <w:sz w:val="24"/>
          <w:rtl/>
        </w:rPr>
        <w:t xml:space="preserve"> כמו כן, הוסמכה מועצת הרשות לקבוע תעריפים</w:t>
      </w:r>
      <w:r w:rsidRPr="00D950A8">
        <w:rPr>
          <w:rtl/>
        </w:rPr>
        <w:t xml:space="preserve"> </w:t>
      </w:r>
      <w:r w:rsidRPr="00D950A8">
        <w:rPr>
          <w:sz w:val="24"/>
          <w:rtl/>
        </w:rPr>
        <w:t xml:space="preserve">מופחתים </w:t>
      </w:r>
      <w:r>
        <w:rPr>
          <w:rFonts w:hint="cs"/>
          <w:sz w:val="24"/>
          <w:rtl/>
        </w:rPr>
        <w:t xml:space="preserve">עבור </w:t>
      </w:r>
      <w:r w:rsidRPr="00D950A8">
        <w:rPr>
          <w:sz w:val="24"/>
          <w:rtl/>
        </w:rPr>
        <w:t xml:space="preserve">צריכת מים למטרת צורכי בית שהוכרה כנזילה, </w:t>
      </w:r>
      <w:r>
        <w:rPr>
          <w:rFonts w:hint="cs"/>
          <w:sz w:val="24"/>
          <w:rtl/>
        </w:rPr>
        <w:t xml:space="preserve">ואף </w:t>
      </w:r>
      <w:r w:rsidRPr="00D950A8">
        <w:rPr>
          <w:sz w:val="24"/>
          <w:rtl/>
        </w:rPr>
        <w:t>מופחתים</w:t>
      </w:r>
      <w:r>
        <w:rPr>
          <w:rFonts w:hint="cs"/>
          <w:sz w:val="24"/>
          <w:rtl/>
        </w:rPr>
        <w:t xml:space="preserve"> יותר</w:t>
      </w:r>
      <w:r w:rsidRPr="00D950A8">
        <w:rPr>
          <w:sz w:val="24"/>
          <w:rtl/>
        </w:rPr>
        <w:t xml:space="preserve"> בין השאר בהתחשב בהיקף הנזילה</w:t>
      </w:r>
      <w:r>
        <w:rPr>
          <w:rStyle w:val="FootnoteReference"/>
          <w:sz w:val="24"/>
          <w:rtl/>
        </w:rPr>
        <w:footnoteReference w:id="67"/>
      </w:r>
      <w:r w:rsidRPr="00D950A8">
        <w:rPr>
          <w:sz w:val="24"/>
          <w:rtl/>
        </w:rPr>
        <w:t>.</w:t>
      </w:r>
      <w:r>
        <w:rPr>
          <w:rFonts w:hint="cs"/>
          <w:sz w:val="24"/>
          <w:rtl/>
        </w:rPr>
        <w:t xml:space="preserve"> עוד נקבע</w:t>
      </w:r>
      <w:r>
        <w:rPr>
          <w:rStyle w:val="FootnoteReference"/>
          <w:sz w:val="24"/>
          <w:rtl/>
        </w:rPr>
        <w:footnoteReference w:id="68"/>
      </w:r>
      <w:r>
        <w:rPr>
          <w:rFonts w:hint="cs"/>
          <w:sz w:val="24"/>
          <w:rtl/>
        </w:rPr>
        <w:t xml:space="preserve"> כי בדוח השנתי שרשות המים מפרסמת על פעילותה תהיה התייחסות </w:t>
      </w:r>
      <w:r w:rsidRPr="00B90589">
        <w:rPr>
          <w:sz w:val="24"/>
          <w:rtl/>
        </w:rPr>
        <w:t xml:space="preserve">גם לנושא התעריפים המופחתים </w:t>
      </w:r>
      <w:r>
        <w:rPr>
          <w:rFonts w:hint="cs"/>
          <w:sz w:val="24"/>
          <w:rtl/>
        </w:rPr>
        <w:t xml:space="preserve">עבור </w:t>
      </w:r>
      <w:r w:rsidRPr="00B90589">
        <w:rPr>
          <w:sz w:val="24"/>
          <w:rtl/>
        </w:rPr>
        <w:t>צריכת מים שהוכרה כנזילה</w:t>
      </w:r>
      <w:r w:rsidRPr="00B90589">
        <w:rPr>
          <w:sz w:val="24"/>
        </w:rPr>
        <w:t>.</w:t>
      </w:r>
    </w:p>
    <w:p w:rsidR="003D3BEF" w:rsidRPr="00AF0238" w:rsidP="003D3BEF" w14:paraId="306A8AE3" w14:textId="77777777">
      <w:pPr>
        <w:pStyle w:val="a"/>
        <w:spacing w:line="269" w:lineRule="auto"/>
        <w:rPr>
          <w:rtl/>
        </w:rPr>
      </w:pPr>
    </w:p>
    <w:p w:rsidR="003D3BEF" w:rsidP="003D3BEF" w14:paraId="025EE5DC" w14:textId="77777777">
      <w:pPr>
        <w:spacing w:line="269" w:lineRule="auto"/>
        <w:rPr>
          <w:sz w:val="24"/>
          <w:rtl/>
        </w:rPr>
      </w:pPr>
      <w:r>
        <w:rPr>
          <w:rFonts w:hint="cs"/>
          <w:sz w:val="24"/>
          <w:rtl/>
        </w:rPr>
        <w:t>בספטמבר 2019 דנה</w:t>
      </w:r>
      <w:r>
        <w:rPr>
          <w:rStyle w:val="FootnoteReference"/>
          <w:sz w:val="24"/>
          <w:rtl/>
        </w:rPr>
        <w:footnoteReference w:id="69"/>
      </w:r>
      <w:r>
        <w:rPr>
          <w:rFonts w:hint="cs"/>
          <w:sz w:val="24"/>
          <w:rtl/>
        </w:rPr>
        <w:t xml:space="preserve"> מועצת הרשות בטיוטת תיקון לכללי אמות המידה הנוגעות לחובת התקנת מערכות קר"מ, ואישרה את פרסומה לצורך שמיעת עמדות הציבור. באותו חודש פרסמה הרשות פניה לציבור בהזמנה להשמיע את עמדתו בעניין וצרפה לפניה את הצעת התיקון. הצעת התיקון כוללת חובה על התאגידים להשלים את התקנת מערכות קר"מ לכל צרכניהם עד דצמבר 2026. הרשות ציינה בדברי ההסבר לכללים כי מועד זה נקבע "לאחר בחינה מקצועית של ההשלכות והמורכבות של מהלך החלפה והתקנה של כלל המדים" בתחומי התאגידים בתוכנית פריסה רב-שנתית. עד פברואר 2020 טרם תוקנו הכללים.</w:t>
      </w:r>
    </w:p>
    <w:p w:rsidR="003D3BEF" w:rsidP="003D3BEF" w14:paraId="0DA4CFAA" w14:textId="77777777">
      <w:pPr>
        <w:pStyle w:val="a"/>
        <w:spacing w:line="269" w:lineRule="auto"/>
        <w:rPr>
          <w:rtl/>
        </w:rPr>
      </w:pPr>
    </w:p>
    <w:p w:rsidR="003D3BEF" w:rsidP="003D3BEF" w14:paraId="06BF5CB8" w14:textId="77777777">
      <w:pPr>
        <w:spacing w:line="269" w:lineRule="auto"/>
        <w:rPr>
          <w:b/>
          <w:bCs/>
          <w:sz w:val="24"/>
          <w:rtl/>
        </w:rPr>
      </w:pPr>
      <w:r w:rsidRPr="003D171B">
        <w:rPr>
          <w:rFonts w:hint="cs"/>
          <w:b/>
          <w:bCs/>
          <w:sz w:val="24"/>
          <w:rtl/>
        </w:rPr>
        <w:t xml:space="preserve">הרחבת השימוש </w:t>
      </w:r>
      <w:r>
        <w:rPr>
          <w:rFonts w:hint="cs"/>
          <w:b/>
          <w:bCs/>
          <w:sz w:val="24"/>
          <w:rtl/>
        </w:rPr>
        <w:t xml:space="preserve">במערכות </w:t>
      </w:r>
      <w:r w:rsidRPr="003D171B">
        <w:rPr>
          <w:rFonts w:hint="cs"/>
          <w:b/>
          <w:bCs/>
          <w:sz w:val="24"/>
          <w:rtl/>
        </w:rPr>
        <w:t xml:space="preserve">קר"מ </w:t>
      </w:r>
      <w:r>
        <w:rPr>
          <w:rFonts w:hint="cs"/>
          <w:b/>
          <w:bCs/>
          <w:sz w:val="24"/>
          <w:rtl/>
        </w:rPr>
        <w:t xml:space="preserve">יכולה </w:t>
      </w:r>
      <w:r w:rsidRPr="003D171B">
        <w:rPr>
          <w:rFonts w:hint="cs"/>
          <w:b/>
          <w:bCs/>
          <w:sz w:val="24"/>
          <w:rtl/>
        </w:rPr>
        <w:t xml:space="preserve">לסייע בין היתר בצמצום פחת המים ובמניעת </w:t>
      </w:r>
      <w:r>
        <w:rPr>
          <w:rFonts w:hint="cs"/>
          <w:b/>
          <w:bCs/>
          <w:sz w:val="24"/>
          <w:rtl/>
        </w:rPr>
        <w:t xml:space="preserve">הוצאת </w:t>
      </w:r>
      <w:r w:rsidRPr="00D10D35">
        <w:rPr>
          <w:rFonts w:hint="cs"/>
          <w:b/>
          <w:bCs/>
          <w:sz w:val="24"/>
          <w:rtl/>
        </w:rPr>
        <w:t xml:space="preserve">חשבונות מים </w:t>
      </w:r>
      <w:r w:rsidRPr="003D171B">
        <w:rPr>
          <w:rFonts w:hint="eastAsia"/>
          <w:b/>
          <w:bCs/>
          <w:sz w:val="24"/>
          <w:rtl/>
        </w:rPr>
        <w:t>בסכומים</w:t>
      </w:r>
      <w:r w:rsidRPr="003D171B">
        <w:rPr>
          <w:b/>
          <w:bCs/>
          <w:sz w:val="24"/>
          <w:rtl/>
        </w:rPr>
        <w:t xml:space="preserve"> גבוהים </w:t>
      </w:r>
      <w:r>
        <w:rPr>
          <w:rFonts w:hint="cs"/>
          <w:b/>
          <w:bCs/>
          <w:sz w:val="24"/>
          <w:rtl/>
        </w:rPr>
        <w:t>שה</w:t>
      </w:r>
      <w:r w:rsidRPr="003D171B">
        <w:rPr>
          <w:rFonts w:hint="eastAsia"/>
          <w:b/>
          <w:bCs/>
          <w:sz w:val="24"/>
          <w:rtl/>
        </w:rPr>
        <w:t>צרכנים</w:t>
      </w:r>
      <w:r w:rsidRPr="003D171B">
        <w:rPr>
          <w:b/>
          <w:bCs/>
          <w:sz w:val="24"/>
          <w:rtl/>
        </w:rPr>
        <w:t xml:space="preserve"> </w:t>
      </w:r>
      <w:r>
        <w:rPr>
          <w:rFonts w:hint="cs"/>
          <w:b/>
          <w:bCs/>
          <w:sz w:val="24"/>
          <w:rtl/>
        </w:rPr>
        <w:t>מקבלים עקב</w:t>
      </w:r>
      <w:r w:rsidRPr="003D171B">
        <w:rPr>
          <w:b/>
          <w:bCs/>
          <w:sz w:val="24"/>
          <w:rtl/>
        </w:rPr>
        <w:t xml:space="preserve"> </w:t>
      </w:r>
      <w:r w:rsidRPr="003D171B">
        <w:rPr>
          <w:rFonts w:hint="eastAsia"/>
          <w:b/>
          <w:bCs/>
          <w:sz w:val="24"/>
          <w:rtl/>
        </w:rPr>
        <w:t>נזילות</w:t>
      </w:r>
      <w:r>
        <w:rPr>
          <w:rFonts w:hint="cs"/>
          <w:b/>
          <w:bCs/>
          <w:sz w:val="24"/>
          <w:rtl/>
        </w:rPr>
        <w:t xml:space="preserve"> במערכות המים</w:t>
      </w:r>
      <w:r w:rsidRPr="003D171B">
        <w:rPr>
          <w:b/>
          <w:bCs/>
          <w:sz w:val="24"/>
          <w:rtl/>
        </w:rPr>
        <w:t xml:space="preserve">. </w:t>
      </w:r>
      <w:r w:rsidRPr="003D171B">
        <w:rPr>
          <w:rFonts w:hint="eastAsia"/>
          <w:b/>
          <w:bCs/>
          <w:sz w:val="24"/>
          <w:rtl/>
        </w:rPr>
        <w:t>רשות</w:t>
      </w:r>
      <w:r w:rsidRPr="003D171B">
        <w:rPr>
          <w:b/>
          <w:bCs/>
          <w:sz w:val="24"/>
          <w:rtl/>
        </w:rPr>
        <w:t xml:space="preserve"> </w:t>
      </w:r>
      <w:r w:rsidRPr="003D171B">
        <w:rPr>
          <w:rFonts w:hint="eastAsia"/>
          <w:b/>
          <w:bCs/>
          <w:sz w:val="24"/>
          <w:rtl/>
        </w:rPr>
        <w:t>המים</w:t>
      </w:r>
      <w:r w:rsidRPr="003D171B">
        <w:rPr>
          <w:b/>
          <w:bCs/>
          <w:sz w:val="24"/>
          <w:rtl/>
        </w:rPr>
        <w:t xml:space="preserve"> </w:t>
      </w:r>
      <w:r w:rsidRPr="003D171B">
        <w:rPr>
          <w:rFonts w:hint="eastAsia"/>
          <w:b/>
          <w:bCs/>
          <w:sz w:val="24"/>
          <w:rtl/>
        </w:rPr>
        <w:t>פעלה</w:t>
      </w:r>
      <w:r w:rsidRPr="003D171B">
        <w:rPr>
          <w:b/>
          <w:bCs/>
          <w:sz w:val="24"/>
          <w:rtl/>
        </w:rPr>
        <w:t xml:space="preserve"> </w:t>
      </w:r>
      <w:r w:rsidRPr="003D171B">
        <w:rPr>
          <w:rFonts w:hint="eastAsia"/>
          <w:b/>
          <w:bCs/>
          <w:sz w:val="24"/>
          <w:rtl/>
        </w:rPr>
        <w:t>לעידוד</w:t>
      </w:r>
      <w:r w:rsidRPr="003D171B">
        <w:rPr>
          <w:b/>
          <w:bCs/>
          <w:sz w:val="24"/>
          <w:rtl/>
        </w:rPr>
        <w:t xml:space="preserve"> </w:t>
      </w:r>
      <w:r w:rsidRPr="003D171B">
        <w:rPr>
          <w:rFonts w:hint="eastAsia"/>
          <w:b/>
          <w:bCs/>
          <w:sz w:val="24"/>
          <w:rtl/>
        </w:rPr>
        <w:t>התקנת</w:t>
      </w:r>
      <w:r w:rsidRPr="003D171B">
        <w:rPr>
          <w:b/>
          <w:bCs/>
          <w:sz w:val="24"/>
          <w:rtl/>
        </w:rPr>
        <w:t xml:space="preserve"> </w:t>
      </w:r>
      <w:r w:rsidRPr="003D171B">
        <w:rPr>
          <w:rFonts w:hint="eastAsia"/>
          <w:b/>
          <w:bCs/>
          <w:sz w:val="24"/>
          <w:rtl/>
        </w:rPr>
        <w:t>מערכות</w:t>
      </w:r>
      <w:r w:rsidRPr="003D171B">
        <w:rPr>
          <w:b/>
          <w:bCs/>
          <w:sz w:val="24"/>
          <w:rtl/>
        </w:rPr>
        <w:t xml:space="preserve"> </w:t>
      </w:r>
      <w:r w:rsidRPr="003D171B">
        <w:rPr>
          <w:rFonts w:hint="eastAsia"/>
          <w:b/>
          <w:bCs/>
          <w:sz w:val="24"/>
          <w:rtl/>
        </w:rPr>
        <w:t>קר</w:t>
      </w:r>
      <w:r w:rsidRPr="003D171B">
        <w:rPr>
          <w:b/>
          <w:bCs/>
          <w:sz w:val="24"/>
          <w:rtl/>
        </w:rPr>
        <w:t xml:space="preserve">"מ </w:t>
      </w:r>
      <w:r w:rsidRPr="003D171B">
        <w:rPr>
          <w:rFonts w:hint="eastAsia"/>
          <w:b/>
          <w:bCs/>
          <w:sz w:val="24"/>
          <w:rtl/>
        </w:rPr>
        <w:t>באמצעות</w:t>
      </w:r>
      <w:r w:rsidRPr="003D171B">
        <w:rPr>
          <w:b/>
          <w:bCs/>
          <w:sz w:val="24"/>
          <w:rtl/>
        </w:rPr>
        <w:t xml:space="preserve"> </w:t>
      </w:r>
      <w:r>
        <w:rPr>
          <w:rFonts w:hint="cs"/>
          <w:b/>
          <w:bCs/>
          <w:sz w:val="24"/>
          <w:rtl/>
        </w:rPr>
        <w:t xml:space="preserve">מתן </w:t>
      </w:r>
      <w:r w:rsidRPr="003D171B">
        <w:rPr>
          <w:rFonts w:hint="eastAsia"/>
          <w:b/>
          <w:bCs/>
          <w:sz w:val="24"/>
          <w:rtl/>
        </w:rPr>
        <w:t>מענקים</w:t>
      </w:r>
      <w:r w:rsidRPr="003D171B">
        <w:rPr>
          <w:b/>
          <w:bCs/>
          <w:sz w:val="24"/>
          <w:rtl/>
        </w:rPr>
        <w:t xml:space="preserve"> </w:t>
      </w:r>
      <w:r w:rsidRPr="003D171B">
        <w:rPr>
          <w:rFonts w:hint="eastAsia"/>
          <w:b/>
          <w:bCs/>
          <w:sz w:val="24"/>
          <w:rtl/>
        </w:rPr>
        <w:t>ייעודיים</w:t>
      </w:r>
      <w:r>
        <w:rPr>
          <w:rFonts w:hint="cs"/>
          <w:b/>
          <w:bCs/>
          <w:sz w:val="24"/>
          <w:rtl/>
        </w:rPr>
        <w:t xml:space="preserve"> </w:t>
      </w:r>
      <w:r w:rsidRPr="003D171B">
        <w:rPr>
          <w:rFonts w:hint="eastAsia"/>
          <w:b/>
          <w:bCs/>
          <w:sz w:val="24"/>
          <w:rtl/>
        </w:rPr>
        <w:t>לי</w:t>
      </w:r>
      <w:r>
        <w:rPr>
          <w:rFonts w:hint="cs"/>
          <w:b/>
          <w:bCs/>
          <w:sz w:val="24"/>
          <w:rtl/>
        </w:rPr>
        <w:t>י</w:t>
      </w:r>
      <w:r w:rsidRPr="003D171B">
        <w:rPr>
          <w:rFonts w:hint="eastAsia"/>
          <w:b/>
          <w:bCs/>
          <w:sz w:val="24"/>
          <w:rtl/>
        </w:rPr>
        <w:t>שובים</w:t>
      </w:r>
      <w:r w:rsidRPr="003D171B">
        <w:rPr>
          <w:b/>
          <w:bCs/>
          <w:sz w:val="24"/>
          <w:rtl/>
        </w:rPr>
        <w:t xml:space="preserve"> </w:t>
      </w:r>
      <w:r w:rsidRPr="003D171B">
        <w:rPr>
          <w:rFonts w:hint="eastAsia"/>
          <w:b/>
          <w:bCs/>
          <w:sz w:val="24"/>
          <w:rtl/>
        </w:rPr>
        <w:t>חלשים</w:t>
      </w:r>
      <w:r w:rsidRPr="003D171B">
        <w:rPr>
          <w:b/>
          <w:bCs/>
          <w:sz w:val="24"/>
          <w:rtl/>
        </w:rPr>
        <w:t xml:space="preserve">. </w:t>
      </w:r>
      <w:r w:rsidRPr="003D171B">
        <w:rPr>
          <w:rFonts w:hint="eastAsia"/>
          <w:b/>
          <w:bCs/>
          <w:sz w:val="24"/>
          <w:rtl/>
        </w:rPr>
        <w:t>עם</w:t>
      </w:r>
      <w:r w:rsidRPr="003D171B">
        <w:rPr>
          <w:b/>
          <w:bCs/>
          <w:sz w:val="24"/>
          <w:rtl/>
        </w:rPr>
        <w:t xml:space="preserve"> </w:t>
      </w:r>
      <w:r w:rsidRPr="003D171B">
        <w:rPr>
          <w:rFonts w:hint="eastAsia"/>
          <w:b/>
          <w:bCs/>
          <w:sz w:val="24"/>
          <w:rtl/>
        </w:rPr>
        <w:t>זאת</w:t>
      </w:r>
      <w:r w:rsidRPr="003D171B">
        <w:rPr>
          <w:b/>
          <w:bCs/>
          <w:sz w:val="24"/>
          <w:rtl/>
        </w:rPr>
        <w:t xml:space="preserve">, </w:t>
      </w:r>
      <w:r w:rsidRPr="003D171B">
        <w:rPr>
          <w:rFonts w:hint="eastAsia"/>
          <w:b/>
          <w:bCs/>
          <w:sz w:val="24"/>
          <w:rtl/>
        </w:rPr>
        <w:t>עד</w:t>
      </w:r>
      <w:r w:rsidRPr="003D171B">
        <w:rPr>
          <w:b/>
          <w:bCs/>
          <w:sz w:val="24"/>
          <w:rtl/>
        </w:rPr>
        <w:t xml:space="preserve"> </w:t>
      </w:r>
      <w:r w:rsidRPr="003D171B">
        <w:rPr>
          <w:rFonts w:hint="eastAsia"/>
          <w:b/>
          <w:bCs/>
          <w:sz w:val="24"/>
          <w:rtl/>
        </w:rPr>
        <w:t>סוף</w:t>
      </w:r>
      <w:r w:rsidRPr="003D171B">
        <w:rPr>
          <w:b/>
          <w:bCs/>
          <w:sz w:val="24"/>
          <w:rtl/>
        </w:rPr>
        <w:t xml:space="preserve"> 2019</w:t>
      </w:r>
      <w:r>
        <w:rPr>
          <w:rFonts w:hint="cs"/>
          <w:b/>
          <w:bCs/>
          <w:sz w:val="24"/>
          <w:rtl/>
        </w:rPr>
        <w:t xml:space="preserve"> כלל לא ניצלו</w:t>
      </w:r>
      <w:r w:rsidRPr="00016C3C">
        <w:rPr>
          <w:rFonts w:hint="eastAsia"/>
          <w:b/>
          <w:bCs/>
          <w:sz w:val="24"/>
          <w:rtl/>
        </w:rPr>
        <w:t xml:space="preserve"> </w:t>
      </w:r>
      <w:r w:rsidRPr="003D171B">
        <w:rPr>
          <w:rFonts w:hint="eastAsia"/>
          <w:b/>
          <w:bCs/>
          <w:sz w:val="24"/>
          <w:rtl/>
        </w:rPr>
        <w:t>את</w:t>
      </w:r>
      <w:r w:rsidRPr="003D171B">
        <w:rPr>
          <w:b/>
          <w:bCs/>
          <w:sz w:val="24"/>
          <w:rtl/>
        </w:rPr>
        <w:t xml:space="preserve"> </w:t>
      </w:r>
      <w:r w:rsidRPr="003D171B">
        <w:rPr>
          <w:rFonts w:hint="eastAsia"/>
          <w:b/>
          <w:bCs/>
          <w:sz w:val="24"/>
          <w:rtl/>
        </w:rPr>
        <w:t>התמריצים</w:t>
      </w:r>
      <w:r w:rsidRPr="003D171B">
        <w:rPr>
          <w:b/>
          <w:bCs/>
          <w:sz w:val="24"/>
          <w:rtl/>
        </w:rPr>
        <w:t xml:space="preserve"> </w:t>
      </w:r>
      <w:r w:rsidRPr="003D171B">
        <w:rPr>
          <w:rFonts w:hint="eastAsia"/>
          <w:b/>
          <w:bCs/>
          <w:sz w:val="24"/>
          <w:rtl/>
        </w:rPr>
        <w:t>כ</w:t>
      </w:r>
      <w:r w:rsidRPr="003D171B">
        <w:rPr>
          <w:b/>
          <w:bCs/>
          <w:sz w:val="24"/>
          <w:rtl/>
        </w:rPr>
        <w:t>-</w:t>
      </w:r>
      <w:r>
        <w:rPr>
          <w:rFonts w:hint="cs"/>
          <w:b/>
          <w:bCs/>
          <w:sz w:val="24"/>
          <w:rtl/>
        </w:rPr>
        <w:t>30%</w:t>
      </w:r>
      <w:r w:rsidRPr="003D171B">
        <w:rPr>
          <w:b/>
          <w:bCs/>
          <w:sz w:val="24"/>
          <w:rtl/>
        </w:rPr>
        <w:t xml:space="preserve"> </w:t>
      </w:r>
      <w:r w:rsidRPr="003D171B">
        <w:rPr>
          <w:rFonts w:hint="eastAsia"/>
          <w:b/>
          <w:bCs/>
          <w:sz w:val="24"/>
          <w:rtl/>
        </w:rPr>
        <w:t>מהתאגידים</w:t>
      </w:r>
      <w:r w:rsidRPr="003D171B">
        <w:rPr>
          <w:b/>
          <w:bCs/>
          <w:sz w:val="24"/>
          <w:rtl/>
        </w:rPr>
        <w:t xml:space="preserve"> </w:t>
      </w:r>
      <w:r w:rsidRPr="003D171B">
        <w:rPr>
          <w:rFonts w:hint="eastAsia"/>
          <w:b/>
          <w:bCs/>
          <w:sz w:val="24"/>
          <w:rtl/>
        </w:rPr>
        <w:t>החלשים</w:t>
      </w:r>
      <w:r w:rsidRPr="003D171B">
        <w:rPr>
          <w:b/>
          <w:bCs/>
          <w:sz w:val="24"/>
          <w:rtl/>
        </w:rPr>
        <w:t xml:space="preserve"> </w:t>
      </w:r>
      <w:r w:rsidRPr="003D171B">
        <w:rPr>
          <w:rFonts w:hint="eastAsia"/>
          <w:b/>
          <w:bCs/>
          <w:sz w:val="24"/>
          <w:rtl/>
        </w:rPr>
        <w:t>שענו</w:t>
      </w:r>
      <w:r w:rsidRPr="003D171B">
        <w:rPr>
          <w:b/>
          <w:bCs/>
          <w:sz w:val="24"/>
          <w:rtl/>
        </w:rPr>
        <w:t xml:space="preserve"> </w:t>
      </w:r>
      <w:r w:rsidRPr="003D171B">
        <w:rPr>
          <w:rFonts w:hint="eastAsia"/>
          <w:b/>
          <w:bCs/>
          <w:sz w:val="24"/>
          <w:rtl/>
        </w:rPr>
        <w:t>על</w:t>
      </w:r>
      <w:r w:rsidRPr="003D171B">
        <w:rPr>
          <w:b/>
          <w:bCs/>
          <w:sz w:val="24"/>
          <w:rtl/>
        </w:rPr>
        <w:t xml:space="preserve"> </w:t>
      </w:r>
      <w:r w:rsidRPr="003D171B">
        <w:rPr>
          <w:rFonts w:hint="eastAsia"/>
          <w:b/>
          <w:bCs/>
          <w:sz w:val="24"/>
          <w:rtl/>
        </w:rPr>
        <w:t>תנאי</w:t>
      </w:r>
      <w:r w:rsidRPr="003D171B">
        <w:rPr>
          <w:b/>
          <w:bCs/>
          <w:sz w:val="24"/>
          <w:rtl/>
        </w:rPr>
        <w:t xml:space="preserve"> </w:t>
      </w:r>
      <w:r w:rsidRPr="003D171B">
        <w:rPr>
          <w:rFonts w:hint="eastAsia"/>
          <w:b/>
          <w:bCs/>
          <w:sz w:val="24"/>
          <w:rtl/>
        </w:rPr>
        <w:t>קבלת</w:t>
      </w:r>
      <w:r w:rsidRPr="003D171B">
        <w:rPr>
          <w:b/>
          <w:bCs/>
          <w:sz w:val="24"/>
          <w:rtl/>
        </w:rPr>
        <w:t xml:space="preserve"> </w:t>
      </w:r>
      <w:r w:rsidRPr="003D171B">
        <w:rPr>
          <w:rFonts w:hint="eastAsia"/>
          <w:b/>
          <w:bCs/>
          <w:sz w:val="24"/>
          <w:rtl/>
        </w:rPr>
        <w:t>המענקים</w:t>
      </w:r>
      <w:r w:rsidRPr="003D171B">
        <w:rPr>
          <w:b/>
          <w:bCs/>
          <w:sz w:val="24"/>
          <w:rtl/>
        </w:rPr>
        <w:t xml:space="preserve">. </w:t>
      </w:r>
      <w:r w:rsidRPr="003D171B">
        <w:rPr>
          <w:rFonts w:hint="eastAsia"/>
          <w:b/>
          <w:bCs/>
          <w:sz w:val="24"/>
          <w:rtl/>
        </w:rPr>
        <w:t>על</w:t>
      </w:r>
      <w:r w:rsidRPr="003D171B">
        <w:rPr>
          <w:b/>
          <w:bCs/>
          <w:sz w:val="24"/>
          <w:rtl/>
        </w:rPr>
        <w:t xml:space="preserve"> </w:t>
      </w:r>
      <w:r w:rsidRPr="003D171B">
        <w:rPr>
          <w:rFonts w:hint="eastAsia"/>
          <w:b/>
          <w:bCs/>
          <w:sz w:val="24"/>
          <w:rtl/>
        </w:rPr>
        <w:t>הרשות</w:t>
      </w:r>
      <w:r>
        <w:rPr>
          <w:rFonts w:hint="cs"/>
          <w:b/>
          <w:bCs/>
          <w:sz w:val="24"/>
          <w:rtl/>
        </w:rPr>
        <w:t xml:space="preserve"> </w:t>
      </w:r>
      <w:r w:rsidRPr="00B70DE1">
        <w:rPr>
          <w:rFonts w:hint="eastAsia"/>
          <w:b/>
          <w:bCs/>
          <w:sz w:val="24"/>
          <w:rtl/>
        </w:rPr>
        <w:t>ל</w:t>
      </w:r>
      <w:r>
        <w:rPr>
          <w:rFonts w:hint="cs"/>
          <w:b/>
          <w:bCs/>
          <w:sz w:val="24"/>
          <w:rtl/>
        </w:rPr>
        <w:t>בחון את הסיבות לחוסר הניצול המלא של תמריצים ולהמשיך</w:t>
      </w:r>
      <w:r w:rsidRPr="003D171B">
        <w:rPr>
          <w:b/>
          <w:bCs/>
          <w:sz w:val="24"/>
          <w:rtl/>
        </w:rPr>
        <w:t xml:space="preserve"> </w:t>
      </w:r>
      <w:r w:rsidRPr="003D171B">
        <w:rPr>
          <w:rFonts w:hint="eastAsia"/>
          <w:b/>
          <w:bCs/>
          <w:sz w:val="24"/>
          <w:rtl/>
        </w:rPr>
        <w:t>ולפעול</w:t>
      </w:r>
      <w:r w:rsidRPr="003D171B">
        <w:rPr>
          <w:b/>
          <w:bCs/>
          <w:sz w:val="24"/>
          <w:rtl/>
        </w:rPr>
        <w:t xml:space="preserve"> </w:t>
      </w:r>
      <w:r>
        <w:rPr>
          <w:rFonts w:hint="cs"/>
          <w:b/>
          <w:bCs/>
          <w:sz w:val="24"/>
          <w:rtl/>
        </w:rPr>
        <w:t xml:space="preserve">לעידוד </w:t>
      </w:r>
      <w:r w:rsidRPr="003D171B">
        <w:rPr>
          <w:rFonts w:hint="eastAsia"/>
          <w:b/>
          <w:bCs/>
          <w:sz w:val="24"/>
          <w:rtl/>
        </w:rPr>
        <w:t>תאגידים</w:t>
      </w:r>
      <w:r w:rsidRPr="003D171B">
        <w:rPr>
          <w:b/>
          <w:bCs/>
          <w:sz w:val="24"/>
          <w:rtl/>
        </w:rPr>
        <w:t xml:space="preserve"> </w:t>
      </w:r>
      <w:r w:rsidRPr="003D171B">
        <w:rPr>
          <w:rFonts w:hint="eastAsia"/>
          <w:b/>
          <w:bCs/>
          <w:sz w:val="24"/>
          <w:rtl/>
        </w:rPr>
        <w:t>חלשים</w:t>
      </w:r>
      <w:r w:rsidRPr="003D171B">
        <w:rPr>
          <w:b/>
          <w:bCs/>
          <w:sz w:val="24"/>
          <w:rtl/>
        </w:rPr>
        <w:t xml:space="preserve"> </w:t>
      </w:r>
      <w:r w:rsidRPr="003D171B">
        <w:rPr>
          <w:rFonts w:hint="eastAsia"/>
          <w:b/>
          <w:bCs/>
          <w:sz w:val="24"/>
          <w:rtl/>
        </w:rPr>
        <w:t>אחרים</w:t>
      </w:r>
      <w:r w:rsidRPr="003D171B">
        <w:rPr>
          <w:b/>
          <w:bCs/>
          <w:sz w:val="24"/>
          <w:rtl/>
        </w:rPr>
        <w:t xml:space="preserve"> </w:t>
      </w:r>
      <w:r w:rsidRPr="003D171B">
        <w:rPr>
          <w:rFonts w:hint="eastAsia"/>
          <w:b/>
          <w:bCs/>
          <w:sz w:val="24"/>
          <w:rtl/>
        </w:rPr>
        <w:t>שפחת</w:t>
      </w:r>
      <w:r w:rsidRPr="003D171B">
        <w:rPr>
          <w:b/>
          <w:bCs/>
          <w:sz w:val="24"/>
          <w:rtl/>
        </w:rPr>
        <w:t xml:space="preserve"> </w:t>
      </w:r>
      <w:r w:rsidRPr="003D171B">
        <w:rPr>
          <w:rFonts w:hint="eastAsia"/>
          <w:b/>
          <w:bCs/>
          <w:sz w:val="24"/>
          <w:rtl/>
        </w:rPr>
        <w:t>המים</w:t>
      </w:r>
      <w:r w:rsidRPr="003D171B">
        <w:rPr>
          <w:b/>
          <w:bCs/>
          <w:sz w:val="24"/>
          <w:rtl/>
        </w:rPr>
        <w:t xml:space="preserve"> </w:t>
      </w:r>
      <w:r w:rsidRPr="003D171B">
        <w:rPr>
          <w:rFonts w:hint="eastAsia"/>
          <w:b/>
          <w:bCs/>
          <w:sz w:val="24"/>
          <w:rtl/>
        </w:rPr>
        <w:t>שלהם</w:t>
      </w:r>
      <w:r w:rsidRPr="003D171B">
        <w:rPr>
          <w:b/>
          <w:bCs/>
          <w:sz w:val="24"/>
          <w:rtl/>
        </w:rPr>
        <w:t xml:space="preserve"> </w:t>
      </w:r>
      <w:r w:rsidRPr="003D171B">
        <w:rPr>
          <w:rFonts w:hint="eastAsia"/>
          <w:b/>
          <w:bCs/>
          <w:sz w:val="24"/>
          <w:rtl/>
        </w:rPr>
        <w:t>גבוה</w:t>
      </w:r>
      <w:r w:rsidRPr="003D171B">
        <w:rPr>
          <w:b/>
          <w:bCs/>
          <w:sz w:val="24"/>
          <w:rtl/>
        </w:rPr>
        <w:t xml:space="preserve">, </w:t>
      </w:r>
      <w:r w:rsidRPr="003D171B">
        <w:rPr>
          <w:rFonts w:hint="eastAsia"/>
          <w:b/>
          <w:bCs/>
          <w:sz w:val="24"/>
          <w:rtl/>
        </w:rPr>
        <w:t>ו</w:t>
      </w:r>
      <w:r>
        <w:rPr>
          <w:rFonts w:hint="cs"/>
          <w:b/>
          <w:bCs/>
          <w:sz w:val="24"/>
          <w:rtl/>
        </w:rPr>
        <w:t xml:space="preserve">הם </w:t>
      </w:r>
      <w:r w:rsidRPr="003D171B">
        <w:rPr>
          <w:rFonts w:hint="eastAsia"/>
          <w:b/>
          <w:bCs/>
          <w:sz w:val="24"/>
          <w:rtl/>
        </w:rPr>
        <w:t>טרם</w:t>
      </w:r>
      <w:r w:rsidRPr="003D171B">
        <w:rPr>
          <w:b/>
          <w:bCs/>
          <w:sz w:val="24"/>
          <w:rtl/>
        </w:rPr>
        <w:t xml:space="preserve"> </w:t>
      </w:r>
      <w:r w:rsidRPr="003D171B">
        <w:rPr>
          <w:rFonts w:hint="eastAsia"/>
          <w:b/>
          <w:bCs/>
          <w:sz w:val="24"/>
          <w:rtl/>
        </w:rPr>
        <w:t>ניצלו</w:t>
      </w:r>
      <w:r w:rsidRPr="003D171B">
        <w:rPr>
          <w:b/>
          <w:bCs/>
          <w:sz w:val="24"/>
          <w:rtl/>
        </w:rPr>
        <w:t xml:space="preserve"> </w:t>
      </w:r>
      <w:r w:rsidRPr="003D171B">
        <w:rPr>
          <w:rFonts w:hint="eastAsia"/>
          <w:b/>
          <w:bCs/>
          <w:sz w:val="24"/>
          <w:rtl/>
        </w:rPr>
        <w:t>את</w:t>
      </w:r>
      <w:r w:rsidRPr="003D171B">
        <w:rPr>
          <w:b/>
          <w:bCs/>
          <w:sz w:val="24"/>
          <w:rtl/>
        </w:rPr>
        <w:t xml:space="preserve"> </w:t>
      </w:r>
      <w:r w:rsidRPr="003D171B">
        <w:rPr>
          <w:rFonts w:hint="eastAsia"/>
          <w:b/>
          <w:bCs/>
          <w:sz w:val="24"/>
          <w:rtl/>
        </w:rPr>
        <w:t>המענק</w:t>
      </w:r>
      <w:r w:rsidRPr="003D171B">
        <w:rPr>
          <w:b/>
          <w:bCs/>
          <w:sz w:val="24"/>
          <w:rtl/>
        </w:rPr>
        <w:t xml:space="preserve">, </w:t>
      </w:r>
      <w:r>
        <w:rPr>
          <w:rFonts w:hint="cs"/>
          <w:b/>
          <w:bCs/>
          <w:sz w:val="24"/>
          <w:rtl/>
        </w:rPr>
        <w:t>להתקין</w:t>
      </w:r>
      <w:r w:rsidRPr="003D171B">
        <w:rPr>
          <w:b/>
          <w:bCs/>
          <w:sz w:val="24"/>
          <w:rtl/>
        </w:rPr>
        <w:t xml:space="preserve"> </w:t>
      </w:r>
      <w:r w:rsidRPr="003D171B">
        <w:rPr>
          <w:rFonts w:hint="eastAsia"/>
          <w:b/>
          <w:bCs/>
          <w:sz w:val="24"/>
          <w:rtl/>
        </w:rPr>
        <w:t>מערכות</w:t>
      </w:r>
      <w:r w:rsidRPr="003D171B">
        <w:rPr>
          <w:b/>
          <w:bCs/>
          <w:sz w:val="24"/>
          <w:rtl/>
        </w:rPr>
        <w:t xml:space="preserve"> </w:t>
      </w:r>
      <w:r w:rsidRPr="003D171B">
        <w:rPr>
          <w:rFonts w:hint="eastAsia"/>
          <w:b/>
          <w:bCs/>
          <w:sz w:val="24"/>
          <w:rtl/>
        </w:rPr>
        <w:t>קר</w:t>
      </w:r>
      <w:r w:rsidRPr="003D171B">
        <w:rPr>
          <w:b/>
          <w:bCs/>
          <w:sz w:val="24"/>
          <w:rtl/>
        </w:rPr>
        <w:t xml:space="preserve">"מ. </w:t>
      </w:r>
      <w:r>
        <w:rPr>
          <w:rFonts w:hint="cs"/>
          <w:b/>
          <w:bCs/>
          <w:sz w:val="24"/>
          <w:rtl/>
        </w:rPr>
        <w:t xml:space="preserve">אם </w:t>
      </w:r>
      <w:r w:rsidRPr="003D171B">
        <w:rPr>
          <w:rFonts w:hint="eastAsia"/>
          <w:b/>
          <w:bCs/>
          <w:sz w:val="24"/>
          <w:rtl/>
        </w:rPr>
        <w:t>יש</w:t>
      </w:r>
      <w:r w:rsidRPr="003D171B">
        <w:rPr>
          <w:b/>
          <w:bCs/>
          <w:sz w:val="24"/>
          <w:rtl/>
        </w:rPr>
        <w:t xml:space="preserve"> </w:t>
      </w:r>
      <w:r w:rsidRPr="003D171B">
        <w:rPr>
          <w:rFonts w:hint="eastAsia"/>
          <w:b/>
          <w:bCs/>
          <w:sz w:val="24"/>
          <w:rtl/>
        </w:rPr>
        <w:t>סוגיות</w:t>
      </w:r>
      <w:r w:rsidRPr="003D171B">
        <w:rPr>
          <w:b/>
          <w:bCs/>
          <w:sz w:val="24"/>
          <w:rtl/>
        </w:rPr>
        <w:t xml:space="preserve"> </w:t>
      </w:r>
      <w:r w:rsidRPr="003D171B">
        <w:rPr>
          <w:rFonts w:hint="eastAsia"/>
          <w:b/>
          <w:bCs/>
          <w:sz w:val="24"/>
          <w:rtl/>
        </w:rPr>
        <w:t>אחרות</w:t>
      </w:r>
      <w:r w:rsidRPr="003D171B">
        <w:rPr>
          <w:b/>
          <w:bCs/>
          <w:sz w:val="24"/>
          <w:rtl/>
        </w:rPr>
        <w:t xml:space="preserve"> </w:t>
      </w:r>
      <w:r w:rsidRPr="003D171B">
        <w:rPr>
          <w:rFonts w:hint="eastAsia"/>
          <w:b/>
          <w:bCs/>
          <w:sz w:val="24"/>
          <w:rtl/>
        </w:rPr>
        <w:t>שאינן</w:t>
      </w:r>
      <w:r w:rsidRPr="003D171B">
        <w:rPr>
          <w:b/>
          <w:bCs/>
          <w:sz w:val="24"/>
          <w:rtl/>
        </w:rPr>
        <w:t xml:space="preserve"> </w:t>
      </w:r>
      <w:r w:rsidRPr="003D171B">
        <w:rPr>
          <w:rFonts w:hint="eastAsia"/>
          <w:b/>
          <w:bCs/>
          <w:sz w:val="24"/>
          <w:rtl/>
        </w:rPr>
        <w:t>כלכליות</w:t>
      </w:r>
      <w:r w:rsidRPr="003D171B">
        <w:rPr>
          <w:b/>
          <w:bCs/>
          <w:sz w:val="24"/>
          <w:rtl/>
        </w:rPr>
        <w:t xml:space="preserve"> </w:t>
      </w:r>
      <w:r w:rsidRPr="003D171B">
        <w:rPr>
          <w:rFonts w:hint="eastAsia"/>
          <w:b/>
          <w:bCs/>
          <w:sz w:val="24"/>
          <w:rtl/>
        </w:rPr>
        <w:t>ויש</w:t>
      </w:r>
      <w:r w:rsidRPr="003D171B">
        <w:rPr>
          <w:b/>
          <w:bCs/>
          <w:sz w:val="24"/>
          <w:rtl/>
        </w:rPr>
        <w:t xml:space="preserve"> </w:t>
      </w:r>
      <w:r w:rsidRPr="003D171B">
        <w:rPr>
          <w:rFonts w:hint="eastAsia"/>
          <w:b/>
          <w:bCs/>
          <w:sz w:val="24"/>
          <w:rtl/>
        </w:rPr>
        <w:t>צורך</w:t>
      </w:r>
      <w:r w:rsidRPr="003D171B">
        <w:rPr>
          <w:b/>
          <w:bCs/>
          <w:sz w:val="24"/>
          <w:rtl/>
        </w:rPr>
        <w:t xml:space="preserve"> </w:t>
      </w:r>
      <w:r w:rsidRPr="003D171B">
        <w:rPr>
          <w:rFonts w:hint="eastAsia"/>
          <w:b/>
          <w:bCs/>
          <w:sz w:val="24"/>
          <w:rtl/>
        </w:rPr>
        <w:t>לפתור</w:t>
      </w:r>
      <w:r w:rsidRPr="003D171B">
        <w:rPr>
          <w:b/>
          <w:bCs/>
          <w:sz w:val="24"/>
          <w:rtl/>
        </w:rPr>
        <w:t xml:space="preserve"> </w:t>
      </w:r>
      <w:r w:rsidRPr="003D171B">
        <w:rPr>
          <w:rFonts w:hint="eastAsia"/>
          <w:b/>
          <w:bCs/>
          <w:sz w:val="24"/>
          <w:rtl/>
        </w:rPr>
        <w:t>אותן</w:t>
      </w:r>
      <w:r w:rsidRPr="003D171B">
        <w:rPr>
          <w:b/>
          <w:bCs/>
          <w:sz w:val="24"/>
          <w:rtl/>
        </w:rPr>
        <w:t xml:space="preserve">, </w:t>
      </w:r>
      <w:r w:rsidRPr="003D171B">
        <w:rPr>
          <w:rFonts w:hint="eastAsia"/>
          <w:b/>
          <w:bCs/>
          <w:sz w:val="24"/>
          <w:rtl/>
        </w:rPr>
        <w:t>כמו</w:t>
      </w:r>
      <w:r w:rsidRPr="003D171B">
        <w:rPr>
          <w:b/>
          <w:bCs/>
          <w:sz w:val="24"/>
          <w:rtl/>
        </w:rPr>
        <w:t xml:space="preserve"> </w:t>
      </w:r>
      <w:r w:rsidRPr="003D171B">
        <w:rPr>
          <w:rFonts w:hint="eastAsia"/>
          <w:b/>
          <w:bCs/>
          <w:sz w:val="24"/>
          <w:rtl/>
        </w:rPr>
        <w:t>אי</w:t>
      </w:r>
      <w:r>
        <w:rPr>
          <w:rFonts w:hint="cs"/>
          <w:b/>
          <w:bCs/>
          <w:sz w:val="24"/>
          <w:rtl/>
        </w:rPr>
        <w:t>-</w:t>
      </w:r>
      <w:r w:rsidRPr="003D171B">
        <w:rPr>
          <w:rFonts w:hint="eastAsia"/>
          <w:b/>
          <w:bCs/>
          <w:sz w:val="24"/>
          <w:rtl/>
        </w:rPr>
        <w:t>חילול</w:t>
      </w:r>
      <w:r w:rsidRPr="003D171B">
        <w:rPr>
          <w:b/>
          <w:bCs/>
          <w:sz w:val="24"/>
          <w:rtl/>
        </w:rPr>
        <w:t xml:space="preserve"> </w:t>
      </w:r>
      <w:r w:rsidRPr="003D171B">
        <w:rPr>
          <w:rFonts w:hint="eastAsia"/>
          <w:b/>
          <w:bCs/>
          <w:sz w:val="24"/>
          <w:rtl/>
        </w:rPr>
        <w:t>שבת</w:t>
      </w:r>
      <w:r w:rsidRPr="003D171B">
        <w:rPr>
          <w:b/>
          <w:bCs/>
          <w:sz w:val="24"/>
          <w:rtl/>
        </w:rPr>
        <w:t xml:space="preserve">, </w:t>
      </w:r>
      <w:r w:rsidRPr="003D171B">
        <w:rPr>
          <w:rFonts w:hint="eastAsia"/>
          <w:b/>
          <w:bCs/>
          <w:sz w:val="24"/>
          <w:rtl/>
        </w:rPr>
        <w:t>על</w:t>
      </w:r>
      <w:r w:rsidRPr="003D171B">
        <w:rPr>
          <w:b/>
          <w:bCs/>
          <w:sz w:val="24"/>
          <w:rtl/>
        </w:rPr>
        <w:t xml:space="preserve"> </w:t>
      </w:r>
      <w:r w:rsidRPr="003D171B">
        <w:rPr>
          <w:rFonts w:hint="eastAsia"/>
          <w:b/>
          <w:bCs/>
          <w:sz w:val="24"/>
          <w:rtl/>
        </w:rPr>
        <w:t>רשות</w:t>
      </w:r>
      <w:r w:rsidRPr="003D171B">
        <w:rPr>
          <w:b/>
          <w:bCs/>
          <w:sz w:val="24"/>
          <w:rtl/>
        </w:rPr>
        <w:t xml:space="preserve"> </w:t>
      </w:r>
      <w:r w:rsidRPr="003D171B">
        <w:rPr>
          <w:rFonts w:hint="eastAsia"/>
          <w:b/>
          <w:bCs/>
          <w:sz w:val="24"/>
          <w:rtl/>
        </w:rPr>
        <w:t>המים</w:t>
      </w:r>
      <w:r w:rsidRPr="003D171B">
        <w:rPr>
          <w:b/>
          <w:bCs/>
          <w:sz w:val="24"/>
          <w:rtl/>
        </w:rPr>
        <w:t xml:space="preserve"> </w:t>
      </w:r>
      <w:r w:rsidRPr="003D171B">
        <w:rPr>
          <w:rFonts w:hint="eastAsia"/>
          <w:b/>
          <w:bCs/>
          <w:sz w:val="24"/>
          <w:rtl/>
        </w:rPr>
        <w:t>לחתור</w:t>
      </w:r>
      <w:r w:rsidRPr="003D171B">
        <w:rPr>
          <w:b/>
          <w:bCs/>
          <w:sz w:val="24"/>
          <w:rtl/>
        </w:rPr>
        <w:t xml:space="preserve"> </w:t>
      </w:r>
      <w:r w:rsidRPr="003D171B">
        <w:rPr>
          <w:rFonts w:hint="eastAsia"/>
          <w:b/>
          <w:bCs/>
          <w:sz w:val="24"/>
          <w:rtl/>
        </w:rPr>
        <w:t>לפתרונן</w:t>
      </w:r>
      <w:r w:rsidRPr="003D171B">
        <w:rPr>
          <w:b/>
          <w:bCs/>
          <w:sz w:val="24"/>
          <w:rtl/>
        </w:rPr>
        <w:t xml:space="preserve"> </w:t>
      </w:r>
      <w:r w:rsidRPr="003D171B">
        <w:rPr>
          <w:rFonts w:hint="eastAsia"/>
          <w:b/>
          <w:bCs/>
          <w:sz w:val="24"/>
          <w:rtl/>
        </w:rPr>
        <w:t>יחד</w:t>
      </w:r>
      <w:r w:rsidRPr="003D171B">
        <w:rPr>
          <w:b/>
          <w:bCs/>
          <w:sz w:val="24"/>
          <w:rtl/>
        </w:rPr>
        <w:t xml:space="preserve"> </w:t>
      </w:r>
      <w:r w:rsidRPr="003D171B">
        <w:rPr>
          <w:rFonts w:hint="eastAsia"/>
          <w:b/>
          <w:bCs/>
          <w:sz w:val="24"/>
          <w:rtl/>
        </w:rPr>
        <w:t>עם</w:t>
      </w:r>
      <w:r w:rsidRPr="003D171B">
        <w:rPr>
          <w:b/>
          <w:bCs/>
          <w:sz w:val="24"/>
          <w:rtl/>
        </w:rPr>
        <w:t xml:space="preserve"> </w:t>
      </w:r>
      <w:r w:rsidRPr="003D171B">
        <w:rPr>
          <w:rFonts w:hint="eastAsia"/>
          <w:b/>
          <w:bCs/>
          <w:sz w:val="24"/>
          <w:rtl/>
        </w:rPr>
        <w:t>התאגידים</w:t>
      </w:r>
      <w:r w:rsidRPr="003D171B">
        <w:rPr>
          <w:b/>
          <w:bCs/>
          <w:sz w:val="24"/>
          <w:rtl/>
        </w:rPr>
        <w:t>.</w:t>
      </w:r>
      <w:r>
        <w:rPr>
          <w:rFonts w:hint="cs"/>
          <w:b/>
          <w:bCs/>
          <w:sz w:val="24"/>
          <w:rtl/>
        </w:rPr>
        <w:t xml:space="preserve"> נוסף על כך, על מועצת הרשות לפעול לסיום ההליך של תיקון כללי אמות המידה הנוגעות לחובת התקנת קר"מ.</w:t>
      </w:r>
    </w:p>
    <w:p w:rsidR="003D3BEF" w:rsidP="003D3BEF" w14:paraId="7654AC8C" w14:textId="77777777">
      <w:pPr>
        <w:pStyle w:val="a"/>
        <w:spacing w:line="269" w:lineRule="auto"/>
        <w:rPr>
          <w:rtl/>
        </w:rPr>
      </w:pPr>
    </w:p>
    <w:p w:rsidR="003D3BEF" w:rsidP="003D3BEF" w14:paraId="296C6F6C" w14:textId="77777777">
      <w:pPr>
        <w:spacing w:line="269" w:lineRule="auto"/>
        <w:rPr>
          <w:sz w:val="24"/>
          <w:rtl/>
        </w:rPr>
      </w:pPr>
      <w:r>
        <w:rPr>
          <w:rFonts w:hint="cs"/>
          <w:sz w:val="24"/>
          <w:rtl/>
        </w:rPr>
        <w:t>עד מועד סיום הביקורת לא פירסמה רשות המים בדוח השנתי שלה נתונים על ההתקדמות בהתקנת מערכות קר"מ.</w:t>
      </w:r>
      <w:r w:rsidRPr="00157AEB">
        <w:rPr>
          <w:rtl/>
        </w:rPr>
        <w:t xml:space="preserve"> </w:t>
      </w:r>
      <w:r w:rsidRPr="00157AEB">
        <w:rPr>
          <w:sz w:val="24"/>
          <w:rtl/>
        </w:rPr>
        <w:t xml:space="preserve">לוח </w:t>
      </w:r>
      <w:r>
        <w:rPr>
          <w:rFonts w:hint="cs"/>
          <w:sz w:val="24"/>
          <w:rtl/>
        </w:rPr>
        <w:t>4</w:t>
      </w:r>
      <w:r w:rsidRPr="00157AEB">
        <w:rPr>
          <w:sz w:val="24"/>
          <w:rtl/>
        </w:rPr>
        <w:t xml:space="preserve"> מתאר את התקדמות התקנת מערכות הקר"מ על פי נתוני רשות המים ממאי 2020</w:t>
      </w:r>
      <w:r>
        <w:rPr>
          <w:rStyle w:val="FootnoteReference"/>
          <w:sz w:val="24"/>
          <w:rtl/>
        </w:rPr>
        <w:footnoteReference w:id="70"/>
      </w:r>
      <w:r>
        <w:rPr>
          <w:rFonts w:hint="cs"/>
          <w:sz w:val="24"/>
          <w:rtl/>
        </w:rPr>
        <w:t>.</w:t>
      </w:r>
      <w:r w:rsidRPr="00157AEB">
        <w:rPr>
          <w:sz w:val="24"/>
          <w:rtl/>
        </w:rPr>
        <w:t xml:space="preserve"> </w:t>
      </w:r>
    </w:p>
    <w:p w:rsidR="003D3BEF" w:rsidP="003D3BEF" w14:paraId="3FFB3FC0" w14:textId="77777777">
      <w:pPr>
        <w:bidi w:val="0"/>
        <w:spacing w:after="200" w:line="276" w:lineRule="auto"/>
        <w:rPr>
          <w:szCs w:val="20"/>
        </w:rPr>
      </w:pPr>
      <w:r>
        <w:rPr>
          <w:rtl/>
        </w:rPr>
        <w:br w:type="page"/>
      </w:r>
    </w:p>
    <w:p w:rsidR="003D3BEF" w:rsidP="003D3BEF" w14:paraId="24C98776" w14:textId="77777777">
      <w:pPr>
        <w:pStyle w:val="a"/>
        <w:spacing w:line="269" w:lineRule="auto"/>
        <w:rPr>
          <w:rtl/>
        </w:rPr>
      </w:pPr>
    </w:p>
    <w:p w:rsidR="003D3BEF" w:rsidP="007B21F7" w14:paraId="625E841F" w14:textId="77777777">
      <w:pPr>
        <w:spacing w:after="120" w:line="269" w:lineRule="auto"/>
        <w:jc w:val="center"/>
        <w:rPr>
          <w:b/>
          <w:bCs/>
          <w:sz w:val="24"/>
          <w:rtl/>
        </w:rPr>
      </w:pPr>
      <w:r w:rsidRPr="005C3F06">
        <w:rPr>
          <w:b/>
          <w:bCs/>
          <w:sz w:val="24"/>
          <w:rtl/>
        </w:rPr>
        <w:t xml:space="preserve">לוח </w:t>
      </w:r>
      <w:r>
        <w:rPr>
          <w:rFonts w:hint="cs"/>
          <w:b/>
          <w:bCs/>
          <w:sz w:val="24"/>
          <w:rtl/>
        </w:rPr>
        <w:t>4</w:t>
      </w:r>
      <w:r w:rsidRPr="005C3F06">
        <w:rPr>
          <w:b/>
          <w:bCs/>
          <w:sz w:val="24"/>
          <w:rtl/>
        </w:rPr>
        <w:t>: מצב התקדמות התקנת מערכות הקר"מ</w:t>
      </w:r>
      <w:r>
        <w:rPr>
          <w:rFonts w:hint="cs"/>
          <w:b/>
          <w:bCs/>
          <w:sz w:val="24"/>
          <w:rtl/>
        </w:rPr>
        <w:t>,</w:t>
      </w:r>
      <w:r w:rsidRPr="005C3F06">
        <w:rPr>
          <w:b/>
          <w:bCs/>
          <w:sz w:val="24"/>
          <w:rtl/>
        </w:rPr>
        <w:t xml:space="preserve"> מאי 2020</w:t>
      </w:r>
    </w:p>
    <w:tbl>
      <w:tblPr>
        <w:tblStyle w:val="TableGrid"/>
        <w:bidiVisual/>
        <w:tblW w:w="5000" w:type="pct"/>
        <w:tblLook w:val="04A0"/>
      </w:tblPr>
      <w:tblGrid>
        <w:gridCol w:w="1214"/>
        <w:gridCol w:w="1034"/>
        <w:gridCol w:w="966"/>
        <w:gridCol w:w="1050"/>
        <w:gridCol w:w="966"/>
        <w:gridCol w:w="1050"/>
        <w:gridCol w:w="966"/>
        <w:gridCol w:w="1050"/>
      </w:tblGrid>
      <w:tr w14:paraId="6A534307" w14:textId="77777777" w:rsidTr="002B5389">
        <w:tblPrEx>
          <w:tblW w:w="5000" w:type="pct"/>
          <w:tblLook w:val="04A0"/>
        </w:tblPrEx>
        <w:tc>
          <w:tcPr>
            <w:tcW w:w="1355" w:type="pct"/>
            <w:gridSpan w:val="2"/>
            <w:vAlign w:val="bottom"/>
          </w:tcPr>
          <w:p w:rsidR="003D3BEF" w:rsidRPr="007B21F7" w:rsidP="007B21F7" w14:paraId="5EFF7353" w14:textId="77777777">
            <w:pPr>
              <w:spacing w:before="144" w:beforeLines="60" w:after="144" w:afterLines="60" w:line="240" w:lineRule="exact"/>
              <w:jc w:val="center"/>
              <w:rPr>
                <w:rFonts w:ascii="David" w:hAnsi="David"/>
                <w:b/>
                <w:bCs/>
                <w:sz w:val="24"/>
                <w:rtl/>
              </w:rPr>
            </w:pPr>
            <w:r w:rsidRPr="007B21F7">
              <w:rPr>
                <w:rFonts w:ascii="David" w:hAnsi="David"/>
                <w:b/>
                <w:bCs/>
                <w:sz w:val="24"/>
                <w:rtl/>
              </w:rPr>
              <w:t>הותקנו מערכות קר"מ</w:t>
            </w:r>
          </w:p>
        </w:tc>
        <w:tc>
          <w:tcPr>
            <w:tcW w:w="1215" w:type="pct"/>
            <w:gridSpan w:val="2"/>
            <w:vAlign w:val="bottom"/>
          </w:tcPr>
          <w:p w:rsidR="003D3BEF" w:rsidRPr="007B21F7" w:rsidP="007B21F7" w14:paraId="08F81DBC" w14:textId="77777777">
            <w:pPr>
              <w:spacing w:before="144" w:beforeLines="60" w:after="144" w:afterLines="60" w:line="240" w:lineRule="exact"/>
              <w:jc w:val="center"/>
              <w:rPr>
                <w:rFonts w:ascii="David" w:hAnsi="David"/>
                <w:b/>
                <w:bCs/>
                <w:sz w:val="24"/>
                <w:rtl/>
              </w:rPr>
            </w:pPr>
            <w:r w:rsidRPr="007B21F7">
              <w:rPr>
                <w:rFonts w:ascii="David" w:hAnsi="David"/>
                <w:b/>
                <w:bCs/>
                <w:sz w:val="24"/>
                <w:rtl/>
              </w:rPr>
              <w:t>הוחל בהתקנת</w:t>
            </w:r>
            <w:r w:rsidRPr="007B21F7" w:rsidR="007B21F7">
              <w:rPr>
                <w:rFonts w:ascii="David" w:hAnsi="David" w:hint="cs"/>
                <w:b/>
                <w:bCs/>
                <w:sz w:val="24"/>
                <w:rtl/>
              </w:rPr>
              <w:br/>
            </w:r>
            <w:r w:rsidRPr="007B21F7">
              <w:rPr>
                <w:rFonts w:ascii="David" w:hAnsi="David"/>
                <w:b/>
                <w:bCs/>
                <w:sz w:val="24"/>
                <w:rtl/>
              </w:rPr>
              <w:t>מערכות קר"מ</w:t>
            </w:r>
          </w:p>
        </w:tc>
        <w:tc>
          <w:tcPr>
            <w:tcW w:w="1215" w:type="pct"/>
            <w:gridSpan w:val="2"/>
            <w:vAlign w:val="bottom"/>
          </w:tcPr>
          <w:p w:rsidR="003D3BEF" w:rsidRPr="007B21F7" w:rsidP="007B21F7" w14:paraId="31995BF6" w14:textId="77777777">
            <w:pPr>
              <w:spacing w:before="144" w:beforeLines="60" w:after="144" w:afterLines="60" w:line="240" w:lineRule="exact"/>
              <w:jc w:val="center"/>
              <w:rPr>
                <w:rFonts w:ascii="David" w:hAnsi="David"/>
                <w:b/>
                <w:bCs/>
                <w:sz w:val="24"/>
                <w:rtl/>
              </w:rPr>
            </w:pPr>
            <w:r w:rsidRPr="007B21F7">
              <w:rPr>
                <w:rFonts w:ascii="David" w:hAnsi="David"/>
                <w:b/>
                <w:bCs/>
                <w:sz w:val="24"/>
                <w:rtl/>
              </w:rPr>
              <w:t>לא הותקנו</w:t>
            </w:r>
            <w:r w:rsidRPr="007B21F7" w:rsidR="007B21F7">
              <w:rPr>
                <w:rFonts w:ascii="David" w:hAnsi="David" w:hint="cs"/>
                <w:b/>
                <w:bCs/>
                <w:sz w:val="24"/>
                <w:rtl/>
              </w:rPr>
              <w:br/>
            </w:r>
            <w:r w:rsidRPr="007B21F7">
              <w:rPr>
                <w:rFonts w:ascii="David" w:hAnsi="David"/>
                <w:b/>
                <w:bCs/>
                <w:sz w:val="24"/>
                <w:rtl/>
              </w:rPr>
              <w:t>מערכות קר"מ</w:t>
            </w:r>
          </w:p>
        </w:tc>
        <w:tc>
          <w:tcPr>
            <w:tcW w:w="1215" w:type="pct"/>
            <w:gridSpan w:val="2"/>
            <w:vAlign w:val="bottom"/>
          </w:tcPr>
          <w:p w:rsidR="003D3BEF" w:rsidRPr="007B21F7" w:rsidP="007B21F7" w14:paraId="6369BBB7" w14:textId="77777777">
            <w:pPr>
              <w:spacing w:before="144" w:beforeLines="60" w:after="144" w:afterLines="60" w:line="240" w:lineRule="exact"/>
              <w:jc w:val="center"/>
              <w:rPr>
                <w:rFonts w:ascii="David" w:hAnsi="David"/>
                <w:b/>
                <w:bCs/>
                <w:sz w:val="24"/>
                <w:rtl/>
              </w:rPr>
            </w:pPr>
            <w:r w:rsidRPr="007B21F7">
              <w:rPr>
                <w:rFonts w:ascii="David" w:hAnsi="David"/>
                <w:b/>
                <w:bCs/>
                <w:sz w:val="24"/>
                <w:rtl/>
              </w:rPr>
              <w:t>סה"כ</w:t>
            </w:r>
          </w:p>
        </w:tc>
      </w:tr>
      <w:tr w14:paraId="74F37B9E" w14:textId="77777777" w:rsidTr="002B5389">
        <w:tblPrEx>
          <w:tblW w:w="5000" w:type="pct"/>
          <w:tblLook w:val="04A0"/>
        </w:tblPrEx>
        <w:tc>
          <w:tcPr>
            <w:tcW w:w="732" w:type="pct"/>
            <w:vAlign w:val="bottom"/>
          </w:tcPr>
          <w:p w:rsidR="003D3BEF" w:rsidRPr="007B21F7" w:rsidP="007B21F7" w14:paraId="173F64CC"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 תאגידים</w:t>
            </w:r>
          </w:p>
        </w:tc>
        <w:tc>
          <w:tcPr>
            <w:tcW w:w="623" w:type="pct"/>
            <w:vAlign w:val="bottom"/>
          </w:tcPr>
          <w:p w:rsidR="003D3BEF" w:rsidRPr="007B21F7" w:rsidP="007B21F7" w14:paraId="760AA63F"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תושבים</w:t>
            </w:r>
          </w:p>
        </w:tc>
        <w:tc>
          <w:tcPr>
            <w:tcW w:w="582" w:type="pct"/>
            <w:vAlign w:val="bottom"/>
          </w:tcPr>
          <w:p w:rsidR="003D3BEF" w:rsidRPr="007B21F7" w:rsidP="007B21F7" w14:paraId="1198AB50"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תאגידים</w:t>
            </w:r>
          </w:p>
        </w:tc>
        <w:tc>
          <w:tcPr>
            <w:tcW w:w="633" w:type="pct"/>
            <w:vAlign w:val="bottom"/>
          </w:tcPr>
          <w:p w:rsidR="003D3BEF" w:rsidRPr="007B21F7" w:rsidP="007B21F7" w14:paraId="28F0C93F"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תושבים</w:t>
            </w:r>
          </w:p>
        </w:tc>
        <w:tc>
          <w:tcPr>
            <w:tcW w:w="582" w:type="pct"/>
            <w:vAlign w:val="bottom"/>
          </w:tcPr>
          <w:p w:rsidR="003D3BEF" w:rsidRPr="007B21F7" w:rsidP="007B21F7" w14:paraId="38653DAB"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תאגידים</w:t>
            </w:r>
          </w:p>
        </w:tc>
        <w:tc>
          <w:tcPr>
            <w:tcW w:w="633" w:type="pct"/>
            <w:vAlign w:val="bottom"/>
          </w:tcPr>
          <w:p w:rsidR="003D3BEF" w:rsidRPr="007B21F7" w:rsidP="007B21F7" w14:paraId="1EFBA369"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תושבים</w:t>
            </w:r>
          </w:p>
        </w:tc>
        <w:tc>
          <w:tcPr>
            <w:tcW w:w="582" w:type="pct"/>
            <w:vAlign w:val="bottom"/>
          </w:tcPr>
          <w:p w:rsidR="003D3BEF" w:rsidRPr="007B21F7" w:rsidP="007B21F7" w14:paraId="36B8C844"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תאגידים</w:t>
            </w:r>
          </w:p>
        </w:tc>
        <w:tc>
          <w:tcPr>
            <w:tcW w:w="633" w:type="pct"/>
            <w:vAlign w:val="bottom"/>
          </w:tcPr>
          <w:p w:rsidR="003D3BEF" w:rsidRPr="007B21F7" w:rsidP="007B21F7" w14:paraId="69E7995D" w14:textId="77777777">
            <w:pPr>
              <w:spacing w:before="144" w:beforeLines="60" w:after="144" w:afterLines="60" w:line="240" w:lineRule="exact"/>
              <w:jc w:val="center"/>
              <w:rPr>
                <w:rFonts w:ascii="David" w:hAnsi="David"/>
                <w:b/>
                <w:bCs/>
                <w:sz w:val="22"/>
                <w:szCs w:val="22"/>
                <w:rtl/>
              </w:rPr>
            </w:pPr>
            <w:r w:rsidRPr="007B21F7">
              <w:rPr>
                <w:rFonts w:ascii="David" w:hAnsi="David"/>
                <w:b/>
                <w:bCs/>
                <w:sz w:val="22"/>
                <w:szCs w:val="22"/>
                <w:rtl/>
              </w:rPr>
              <w:t>מס'</w:t>
            </w:r>
            <w:r w:rsidRPr="007B21F7" w:rsidR="007B21F7">
              <w:rPr>
                <w:rFonts w:ascii="David" w:hAnsi="David"/>
                <w:b/>
                <w:bCs/>
                <w:sz w:val="22"/>
                <w:szCs w:val="22"/>
                <w:rtl/>
              </w:rPr>
              <w:br/>
            </w:r>
            <w:r w:rsidRPr="007B21F7">
              <w:rPr>
                <w:rFonts w:ascii="David" w:hAnsi="David"/>
                <w:b/>
                <w:bCs/>
                <w:sz w:val="22"/>
                <w:szCs w:val="22"/>
                <w:rtl/>
              </w:rPr>
              <w:t>תושבים</w:t>
            </w:r>
          </w:p>
        </w:tc>
      </w:tr>
      <w:tr w14:paraId="725851B4" w14:textId="77777777" w:rsidTr="007B21F7">
        <w:tblPrEx>
          <w:tblW w:w="5000" w:type="pct"/>
          <w:tblLook w:val="04A0"/>
        </w:tblPrEx>
        <w:tc>
          <w:tcPr>
            <w:tcW w:w="732" w:type="pct"/>
          </w:tcPr>
          <w:p w:rsidR="003D3BEF" w:rsidRPr="007B21F7" w:rsidP="007B21F7" w14:paraId="3BDA5FC0"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25</w:t>
            </w:r>
          </w:p>
        </w:tc>
        <w:tc>
          <w:tcPr>
            <w:tcW w:w="623" w:type="pct"/>
          </w:tcPr>
          <w:p w:rsidR="003D3BEF" w:rsidRPr="007B21F7" w:rsidP="007B21F7" w14:paraId="43980C43"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2,000,000</w:t>
            </w:r>
          </w:p>
        </w:tc>
        <w:tc>
          <w:tcPr>
            <w:tcW w:w="582" w:type="pct"/>
          </w:tcPr>
          <w:p w:rsidR="003D3BEF" w:rsidRPr="007B21F7" w:rsidP="007B21F7" w14:paraId="3B1B3311"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18</w:t>
            </w:r>
          </w:p>
        </w:tc>
        <w:tc>
          <w:tcPr>
            <w:tcW w:w="633" w:type="pct"/>
          </w:tcPr>
          <w:p w:rsidR="003D3BEF" w:rsidRPr="007B21F7" w:rsidP="007B21F7" w14:paraId="1D82ED04"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2,500,000</w:t>
            </w:r>
          </w:p>
        </w:tc>
        <w:tc>
          <w:tcPr>
            <w:tcW w:w="582" w:type="pct"/>
          </w:tcPr>
          <w:p w:rsidR="003D3BEF" w:rsidRPr="007B21F7" w:rsidP="007B21F7" w14:paraId="42CB8420"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13</w:t>
            </w:r>
          </w:p>
        </w:tc>
        <w:tc>
          <w:tcPr>
            <w:tcW w:w="633" w:type="pct"/>
          </w:tcPr>
          <w:p w:rsidR="003D3BEF" w:rsidRPr="007B21F7" w:rsidP="007B21F7" w14:paraId="14989904"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2,500,000</w:t>
            </w:r>
          </w:p>
        </w:tc>
        <w:tc>
          <w:tcPr>
            <w:tcW w:w="582" w:type="pct"/>
          </w:tcPr>
          <w:p w:rsidR="003D3BEF" w:rsidRPr="007B21F7" w:rsidP="007B21F7" w14:paraId="3D32FCAE"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56</w:t>
            </w:r>
          </w:p>
        </w:tc>
        <w:tc>
          <w:tcPr>
            <w:tcW w:w="633" w:type="pct"/>
          </w:tcPr>
          <w:p w:rsidR="003D3BEF" w:rsidRPr="007B21F7" w:rsidP="007B21F7" w14:paraId="68146AF6"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7,000,000</w:t>
            </w:r>
          </w:p>
        </w:tc>
      </w:tr>
      <w:tr w14:paraId="280297F0" w14:textId="77777777" w:rsidTr="007B21F7">
        <w:tblPrEx>
          <w:tblW w:w="5000" w:type="pct"/>
          <w:tblLook w:val="04A0"/>
        </w:tblPrEx>
        <w:tc>
          <w:tcPr>
            <w:tcW w:w="732" w:type="pct"/>
          </w:tcPr>
          <w:p w:rsidR="003D3BEF" w:rsidRPr="007B21F7" w:rsidP="007B21F7" w14:paraId="41436DA3"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 רשויות מקומיות שטרם התאגדו</w:t>
            </w:r>
          </w:p>
        </w:tc>
        <w:tc>
          <w:tcPr>
            <w:tcW w:w="623" w:type="pct"/>
          </w:tcPr>
          <w:p w:rsidR="003D3BEF" w:rsidRPr="007B21F7" w:rsidP="007B21F7" w14:paraId="52D1DACF"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תושבים</w:t>
            </w:r>
          </w:p>
        </w:tc>
        <w:tc>
          <w:tcPr>
            <w:tcW w:w="582" w:type="pct"/>
          </w:tcPr>
          <w:p w:rsidR="003D3BEF" w:rsidRPr="007B21F7" w:rsidP="007B21F7" w14:paraId="57C413CF"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רשויות מקומיות שטרם</w:t>
            </w:r>
            <w:r w:rsidR="007B21F7">
              <w:rPr>
                <w:rFonts w:ascii="David" w:hAnsi="David"/>
                <w:sz w:val="22"/>
                <w:szCs w:val="22"/>
                <w:rtl/>
              </w:rPr>
              <w:br/>
            </w:r>
            <w:r w:rsidRPr="007B21F7">
              <w:rPr>
                <w:rFonts w:ascii="David" w:hAnsi="David"/>
                <w:sz w:val="22"/>
                <w:szCs w:val="22"/>
                <w:rtl/>
              </w:rPr>
              <w:t>התאגדו</w:t>
            </w:r>
          </w:p>
        </w:tc>
        <w:tc>
          <w:tcPr>
            <w:tcW w:w="633" w:type="pct"/>
          </w:tcPr>
          <w:p w:rsidR="003D3BEF" w:rsidRPr="007B21F7" w:rsidP="007B21F7" w14:paraId="1838D986"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תושבים</w:t>
            </w:r>
          </w:p>
        </w:tc>
        <w:tc>
          <w:tcPr>
            <w:tcW w:w="582" w:type="pct"/>
          </w:tcPr>
          <w:p w:rsidR="003D3BEF" w:rsidRPr="007B21F7" w:rsidP="007B21F7" w14:paraId="57FD9DAE"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 רשויות מקומיות שטרם התאגדו</w:t>
            </w:r>
          </w:p>
        </w:tc>
        <w:tc>
          <w:tcPr>
            <w:tcW w:w="633" w:type="pct"/>
          </w:tcPr>
          <w:p w:rsidR="003D3BEF" w:rsidRPr="007B21F7" w:rsidP="007B21F7" w14:paraId="3796F84C"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תושבים</w:t>
            </w:r>
          </w:p>
        </w:tc>
        <w:tc>
          <w:tcPr>
            <w:tcW w:w="582" w:type="pct"/>
          </w:tcPr>
          <w:p w:rsidR="003D3BEF" w:rsidRPr="007B21F7" w:rsidP="007B21F7" w14:paraId="35C05E84"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רשויות מקומיות שטרם</w:t>
            </w:r>
            <w:r w:rsidR="007B21F7">
              <w:rPr>
                <w:rFonts w:ascii="David" w:hAnsi="David"/>
                <w:sz w:val="22"/>
                <w:szCs w:val="22"/>
                <w:rtl/>
              </w:rPr>
              <w:br/>
            </w:r>
            <w:r w:rsidRPr="007B21F7">
              <w:rPr>
                <w:rFonts w:ascii="David" w:hAnsi="David"/>
                <w:sz w:val="22"/>
                <w:szCs w:val="22"/>
                <w:rtl/>
              </w:rPr>
              <w:t>התאגדו</w:t>
            </w:r>
          </w:p>
        </w:tc>
        <w:tc>
          <w:tcPr>
            <w:tcW w:w="633" w:type="pct"/>
          </w:tcPr>
          <w:p w:rsidR="003D3BEF" w:rsidRPr="007B21F7" w:rsidP="007B21F7" w14:paraId="2FF6BECD"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מס'</w:t>
            </w:r>
            <w:r w:rsidR="007B21F7">
              <w:rPr>
                <w:rFonts w:ascii="David" w:hAnsi="David"/>
                <w:sz w:val="22"/>
                <w:szCs w:val="22"/>
                <w:rtl/>
              </w:rPr>
              <w:br/>
            </w:r>
            <w:r w:rsidRPr="007B21F7">
              <w:rPr>
                <w:rFonts w:ascii="David" w:hAnsi="David"/>
                <w:sz w:val="22"/>
                <w:szCs w:val="22"/>
                <w:rtl/>
              </w:rPr>
              <w:t>תושבים</w:t>
            </w:r>
          </w:p>
        </w:tc>
      </w:tr>
      <w:tr w14:paraId="25F73583" w14:textId="77777777" w:rsidTr="007B21F7">
        <w:tblPrEx>
          <w:tblW w:w="5000" w:type="pct"/>
          <w:tblLook w:val="04A0"/>
        </w:tblPrEx>
        <w:tc>
          <w:tcPr>
            <w:tcW w:w="732" w:type="pct"/>
          </w:tcPr>
          <w:p w:rsidR="003D3BEF" w:rsidRPr="007B21F7" w:rsidP="007B21F7" w14:paraId="068BA763"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9</w:t>
            </w:r>
          </w:p>
        </w:tc>
        <w:tc>
          <w:tcPr>
            <w:tcW w:w="623" w:type="pct"/>
          </w:tcPr>
          <w:p w:rsidR="003D3BEF" w:rsidRPr="007B21F7" w:rsidP="007B21F7" w14:paraId="36A1223C"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126,000</w:t>
            </w:r>
          </w:p>
        </w:tc>
        <w:tc>
          <w:tcPr>
            <w:tcW w:w="582" w:type="pct"/>
          </w:tcPr>
          <w:p w:rsidR="003D3BEF" w:rsidRPr="007B21F7" w:rsidP="007B21F7" w14:paraId="5EAB2426"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w:t>
            </w:r>
          </w:p>
        </w:tc>
        <w:tc>
          <w:tcPr>
            <w:tcW w:w="633" w:type="pct"/>
          </w:tcPr>
          <w:p w:rsidR="003D3BEF" w:rsidRPr="007B21F7" w:rsidP="007B21F7" w14:paraId="6696A32A"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45,000</w:t>
            </w:r>
          </w:p>
        </w:tc>
        <w:tc>
          <w:tcPr>
            <w:tcW w:w="582" w:type="pct"/>
          </w:tcPr>
          <w:p w:rsidR="003D3BEF" w:rsidRPr="007B21F7" w:rsidP="007B21F7" w14:paraId="3BFE6889"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12</w:t>
            </w:r>
          </w:p>
        </w:tc>
        <w:tc>
          <w:tcPr>
            <w:tcW w:w="633" w:type="pct"/>
          </w:tcPr>
          <w:p w:rsidR="003D3BEF" w:rsidRPr="007B21F7" w:rsidP="007B21F7" w14:paraId="29FD274A"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199,000</w:t>
            </w:r>
          </w:p>
        </w:tc>
        <w:tc>
          <w:tcPr>
            <w:tcW w:w="582" w:type="pct"/>
          </w:tcPr>
          <w:p w:rsidR="003D3BEF" w:rsidRPr="007B21F7" w:rsidP="007B21F7" w14:paraId="6FD8FB5A"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23</w:t>
            </w:r>
          </w:p>
        </w:tc>
        <w:tc>
          <w:tcPr>
            <w:tcW w:w="633" w:type="pct"/>
          </w:tcPr>
          <w:p w:rsidR="003D3BEF" w:rsidRPr="007B21F7" w:rsidP="007B21F7" w14:paraId="722F91BF"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370,000</w:t>
            </w:r>
          </w:p>
        </w:tc>
      </w:tr>
      <w:tr w14:paraId="388D19B6" w14:textId="77777777" w:rsidTr="007B21F7">
        <w:tblPrEx>
          <w:tblW w:w="5000" w:type="pct"/>
          <w:tblLook w:val="04A0"/>
        </w:tblPrEx>
        <w:tc>
          <w:tcPr>
            <w:tcW w:w="732" w:type="pct"/>
          </w:tcPr>
          <w:p w:rsidR="003D3BEF" w:rsidRPr="007B21F7" w:rsidP="007B21F7" w14:paraId="17CCB670" w14:textId="77777777">
            <w:pPr>
              <w:spacing w:before="144" w:beforeLines="60" w:after="144" w:afterLines="60" w:line="240" w:lineRule="exact"/>
              <w:jc w:val="left"/>
              <w:rPr>
                <w:rFonts w:ascii="David" w:hAnsi="David"/>
                <w:sz w:val="22"/>
                <w:szCs w:val="22"/>
                <w:rtl/>
              </w:rPr>
            </w:pPr>
          </w:p>
        </w:tc>
        <w:tc>
          <w:tcPr>
            <w:tcW w:w="623" w:type="pct"/>
          </w:tcPr>
          <w:p w:rsidR="003D3BEF" w:rsidRPr="007B21F7" w:rsidP="007B21F7" w14:paraId="237FA3FB"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סה"כ תושבים</w:t>
            </w:r>
          </w:p>
        </w:tc>
        <w:tc>
          <w:tcPr>
            <w:tcW w:w="582" w:type="pct"/>
          </w:tcPr>
          <w:p w:rsidR="003D3BEF" w:rsidRPr="007B21F7" w:rsidP="007B21F7" w14:paraId="72C29DFC" w14:textId="77777777">
            <w:pPr>
              <w:spacing w:before="144" w:beforeLines="60" w:after="144" w:afterLines="60" w:line="240" w:lineRule="exact"/>
              <w:jc w:val="left"/>
              <w:rPr>
                <w:rFonts w:ascii="David" w:hAnsi="David"/>
                <w:sz w:val="22"/>
                <w:szCs w:val="22"/>
                <w:rtl/>
              </w:rPr>
            </w:pPr>
          </w:p>
        </w:tc>
        <w:tc>
          <w:tcPr>
            <w:tcW w:w="633" w:type="pct"/>
          </w:tcPr>
          <w:p w:rsidR="003D3BEF" w:rsidRPr="007B21F7" w:rsidP="007B21F7" w14:paraId="2F33C987"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סה"כ</w:t>
            </w:r>
            <w:r w:rsidR="007B21F7">
              <w:rPr>
                <w:rFonts w:ascii="David" w:hAnsi="David"/>
                <w:sz w:val="22"/>
                <w:szCs w:val="22"/>
                <w:rtl/>
              </w:rPr>
              <w:br/>
            </w:r>
            <w:r w:rsidRPr="007B21F7">
              <w:rPr>
                <w:rFonts w:ascii="David" w:hAnsi="David"/>
                <w:sz w:val="22"/>
                <w:szCs w:val="22"/>
                <w:rtl/>
              </w:rPr>
              <w:t>תושבים</w:t>
            </w:r>
          </w:p>
        </w:tc>
        <w:tc>
          <w:tcPr>
            <w:tcW w:w="582" w:type="pct"/>
          </w:tcPr>
          <w:p w:rsidR="003D3BEF" w:rsidRPr="007B21F7" w:rsidP="007B21F7" w14:paraId="70C718FB" w14:textId="77777777">
            <w:pPr>
              <w:spacing w:before="144" w:beforeLines="60" w:after="144" w:afterLines="60" w:line="240" w:lineRule="exact"/>
              <w:jc w:val="left"/>
              <w:rPr>
                <w:rFonts w:ascii="David" w:hAnsi="David"/>
                <w:sz w:val="22"/>
                <w:szCs w:val="22"/>
                <w:rtl/>
              </w:rPr>
            </w:pPr>
          </w:p>
        </w:tc>
        <w:tc>
          <w:tcPr>
            <w:tcW w:w="633" w:type="pct"/>
          </w:tcPr>
          <w:p w:rsidR="003D3BEF" w:rsidRPr="007B21F7" w:rsidP="007B21F7" w14:paraId="21164654"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סה"כ</w:t>
            </w:r>
            <w:r w:rsidR="007B21F7">
              <w:rPr>
                <w:rFonts w:ascii="David" w:hAnsi="David"/>
                <w:sz w:val="22"/>
                <w:szCs w:val="22"/>
                <w:rtl/>
              </w:rPr>
              <w:br/>
            </w:r>
            <w:r w:rsidRPr="007B21F7">
              <w:rPr>
                <w:rFonts w:ascii="David" w:hAnsi="David"/>
                <w:sz w:val="22"/>
                <w:szCs w:val="22"/>
                <w:rtl/>
              </w:rPr>
              <w:t>תושבים</w:t>
            </w:r>
          </w:p>
        </w:tc>
        <w:tc>
          <w:tcPr>
            <w:tcW w:w="582" w:type="pct"/>
          </w:tcPr>
          <w:p w:rsidR="003D3BEF" w:rsidRPr="007B21F7" w:rsidP="007B21F7" w14:paraId="6E94C2C7" w14:textId="77777777">
            <w:pPr>
              <w:spacing w:before="144" w:beforeLines="60" w:after="144" w:afterLines="60" w:line="240" w:lineRule="exact"/>
              <w:jc w:val="left"/>
              <w:rPr>
                <w:rFonts w:ascii="David" w:hAnsi="David"/>
                <w:sz w:val="22"/>
                <w:szCs w:val="22"/>
                <w:rtl/>
              </w:rPr>
            </w:pPr>
          </w:p>
        </w:tc>
        <w:tc>
          <w:tcPr>
            <w:tcW w:w="633" w:type="pct"/>
          </w:tcPr>
          <w:p w:rsidR="003D3BEF" w:rsidRPr="007B21F7" w:rsidP="007B21F7" w14:paraId="5C014A52"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סה"כ</w:t>
            </w:r>
            <w:r w:rsidR="007B21F7">
              <w:rPr>
                <w:rFonts w:ascii="David" w:hAnsi="David"/>
                <w:sz w:val="22"/>
                <w:szCs w:val="22"/>
                <w:rtl/>
              </w:rPr>
              <w:br/>
            </w:r>
            <w:r w:rsidRPr="007B21F7">
              <w:rPr>
                <w:rFonts w:ascii="David" w:hAnsi="David"/>
                <w:sz w:val="22"/>
                <w:szCs w:val="22"/>
                <w:rtl/>
              </w:rPr>
              <w:t>תושבים</w:t>
            </w:r>
          </w:p>
        </w:tc>
      </w:tr>
      <w:tr w14:paraId="6016BBB3" w14:textId="77777777" w:rsidTr="007B21F7">
        <w:tblPrEx>
          <w:tblW w:w="5000" w:type="pct"/>
          <w:tblLook w:val="04A0"/>
        </w:tblPrEx>
        <w:tc>
          <w:tcPr>
            <w:tcW w:w="732" w:type="pct"/>
          </w:tcPr>
          <w:p w:rsidR="003D3BEF" w:rsidRPr="007B21F7" w:rsidP="007B21F7" w14:paraId="18202081" w14:textId="77777777">
            <w:pPr>
              <w:spacing w:before="144" w:beforeLines="60" w:after="144" w:afterLines="60" w:line="240" w:lineRule="exact"/>
              <w:jc w:val="center"/>
              <w:rPr>
                <w:rFonts w:ascii="David" w:hAnsi="David"/>
                <w:sz w:val="22"/>
                <w:szCs w:val="22"/>
                <w:rtl/>
              </w:rPr>
            </w:pPr>
          </w:p>
        </w:tc>
        <w:tc>
          <w:tcPr>
            <w:tcW w:w="623" w:type="pct"/>
          </w:tcPr>
          <w:p w:rsidR="003D3BEF" w:rsidRPr="007B21F7" w:rsidP="007B21F7" w14:paraId="238BAFFC"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2,126,000</w:t>
            </w:r>
          </w:p>
        </w:tc>
        <w:tc>
          <w:tcPr>
            <w:tcW w:w="582" w:type="pct"/>
          </w:tcPr>
          <w:p w:rsidR="003D3BEF" w:rsidRPr="007B21F7" w:rsidP="007B21F7" w14:paraId="40EB1616"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15BB2508"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2,545,000</w:t>
            </w:r>
          </w:p>
        </w:tc>
        <w:tc>
          <w:tcPr>
            <w:tcW w:w="582" w:type="pct"/>
          </w:tcPr>
          <w:p w:rsidR="003D3BEF" w:rsidRPr="007B21F7" w:rsidP="007B21F7" w14:paraId="478871FB"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58898E5D"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2,699,000</w:t>
            </w:r>
          </w:p>
        </w:tc>
        <w:tc>
          <w:tcPr>
            <w:tcW w:w="582" w:type="pct"/>
          </w:tcPr>
          <w:p w:rsidR="003D3BEF" w:rsidRPr="007B21F7" w:rsidP="007B21F7" w14:paraId="30275A01"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70B4B87E"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7,370,000</w:t>
            </w:r>
          </w:p>
        </w:tc>
      </w:tr>
      <w:tr w14:paraId="5115048C" w14:textId="77777777" w:rsidTr="007B21F7">
        <w:tblPrEx>
          <w:tblW w:w="5000" w:type="pct"/>
          <w:tblLook w:val="04A0"/>
        </w:tblPrEx>
        <w:tc>
          <w:tcPr>
            <w:tcW w:w="732" w:type="pct"/>
          </w:tcPr>
          <w:p w:rsidR="003D3BEF" w:rsidRPr="007B21F7" w:rsidP="007B21F7" w14:paraId="632B9AAA" w14:textId="77777777">
            <w:pPr>
              <w:spacing w:before="144" w:beforeLines="60" w:after="144" w:afterLines="60" w:line="240" w:lineRule="exact"/>
              <w:jc w:val="left"/>
              <w:rPr>
                <w:rFonts w:ascii="David" w:hAnsi="David"/>
                <w:sz w:val="22"/>
                <w:szCs w:val="22"/>
                <w:rtl/>
              </w:rPr>
            </w:pPr>
            <w:r w:rsidRPr="007B21F7">
              <w:rPr>
                <w:rFonts w:ascii="David" w:hAnsi="David"/>
                <w:sz w:val="22"/>
                <w:szCs w:val="22"/>
                <w:rtl/>
              </w:rPr>
              <w:t>אחוז מכלל התושבים</w:t>
            </w:r>
          </w:p>
        </w:tc>
        <w:tc>
          <w:tcPr>
            <w:tcW w:w="623" w:type="pct"/>
          </w:tcPr>
          <w:p w:rsidR="003D3BEF" w:rsidRPr="007B21F7" w:rsidP="007B21F7" w14:paraId="1AD96764"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28.85%</w:t>
            </w:r>
          </w:p>
        </w:tc>
        <w:tc>
          <w:tcPr>
            <w:tcW w:w="582" w:type="pct"/>
          </w:tcPr>
          <w:p w:rsidR="003D3BEF" w:rsidRPr="007B21F7" w:rsidP="007B21F7" w14:paraId="216035EE"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0301B3B2"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34.53%</w:t>
            </w:r>
          </w:p>
        </w:tc>
        <w:tc>
          <w:tcPr>
            <w:tcW w:w="582" w:type="pct"/>
          </w:tcPr>
          <w:p w:rsidR="003D3BEF" w:rsidRPr="007B21F7" w:rsidP="007B21F7" w14:paraId="73576B09"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7BB21B06"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36.62%</w:t>
            </w:r>
          </w:p>
        </w:tc>
        <w:tc>
          <w:tcPr>
            <w:tcW w:w="582" w:type="pct"/>
          </w:tcPr>
          <w:p w:rsidR="003D3BEF" w:rsidRPr="007B21F7" w:rsidP="007B21F7" w14:paraId="7AC3B587" w14:textId="77777777">
            <w:pPr>
              <w:spacing w:before="144" w:beforeLines="60" w:after="144" w:afterLines="60" w:line="240" w:lineRule="exact"/>
              <w:jc w:val="center"/>
              <w:rPr>
                <w:rFonts w:ascii="David" w:hAnsi="David"/>
                <w:sz w:val="22"/>
                <w:szCs w:val="22"/>
                <w:rtl/>
              </w:rPr>
            </w:pPr>
          </w:p>
        </w:tc>
        <w:tc>
          <w:tcPr>
            <w:tcW w:w="633" w:type="pct"/>
          </w:tcPr>
          <w:p w:rsidR="003D3BEF" w:rsidRPr="007B21F7" w:rsidP="007B21F7" w14:paraId="41180217" w14:textId="77777777">
            <w:pPr>
              <w:spacing w:before="144" w:beforeLines="60" w:after="144" w:afterLines="60" w:line="240" w:lineRule="exact"/>
              <w:jc w:val="center"/>
              <w:rPr>
                <w:rFonts w:ascii="David" w:hAnsi="David"/>
                <w:sz w:val="22"/>
                <w:szCs w:val="22"/>
                <w:rtl/>
              </w:rPr>
            </w:pPr>
            <w:r w:rsidRPr="007B21F7">
              <w:rPr>
                <w:rFonts w:ascii="David" w:hAnsi="David"/>
                <w:sz w:val="22"/>
                <w:szCs w:val="22"/>
                <w:rtl/>
              </w:rPr>
              <w:t>100%</w:t>
            </w:r>
          </w:p>
        </w:tc>
      </w:tr>
    </w:tbl>
    <w:p w:rsidR="003D3BEF" w:rsidRPr="00BF4090" w:rsidP="007B21F7" w14:paraId="2E5C40AF" w14:textId="77777777">
      <w:pPr>
        <w:spacing w:before="120" w:line="269" w:lineRule="auto"/>
        <w:ind w:left="-567" w:firstLine="567"/>
        <w:rPr>
          <w:sz w:val="24"/>
          <w:rtl/>
        </w:rPr>
      </w:pPr>
      <w:r w:rsidRPr="00BF4090">
        <w:rPr>
          <w:rFonts w:hint="cs"/>
          <w:sz w:val="22"/>
          <w:szCs w:val="22"/>
          <w:rtl/>
        </w:rPr>
        <w:t>על פי נתוני רשות המים בעיבוד משרד מבקר המדינה</w:t>
      </w:r>
    </w:p>
    <w:p w:rsidR="003D3BEF" w:rsidRPr="00C844A0" w:rsidP="003D3BEF" w14:paraId="242A3A8A" w14:textId="77777777">
      <w:pPr>
        <w:pStyle w:val="a"/>
        <w:rPr>
          <w:rtl/>
        </w:rPr>
      </w:pPr>
    </w:p>
    <w:p w:rsidR="003D3BEF" w:rsidP="003D3BEF" w14:paraId="0314861F" w14:textId="77777777">
      <w:pPr>
        <w:spacing w:line="269" w:lineRule="auto"/>
        <w:rPr>
          <w:b/>
          <w:bCs/>
          <w:sz w:val="24"/>
          <w:rtl/>
        </w:rPr>
      </w:pPr>
      <w:r w:rsidRPr="007723A7">
        <w:rPr>
          <w:rFonts w:hint="cs"/>
          <w:b/>
          <w:bCs/>
          <w:sz w:val="24"/>
          <w:rtl/>
        </w:rPr>
        <w:t xml:space="preserve">נוכח החשיבות הרבה בהתקנת מערכות קר"מ, מן הראוי </w:t>
      </w:r>
      <w:r>
        <w:rPr>
          <w:rFonts w:hint="cs"/>
          <w:b/>
          <w:bCs/>
          <w:sz w:val="24"/>
          <w:rtl/>
        </w:rPr>
        <w:t>ש</w:t>
      </w:r>
      <w:r w:rsidRPr="007723A7">
        <w:rPr>
          <w:rFonts w:hint="cs"/>
          <w:b/>
          <w:bCs/>
          <w:sz w:val="24"/>
          <w:rtl/>
        </w:rPr>
        <w:t>בדוח</w:t>
      </w:r>
      <w:r>
        <w:rPr>
          <w:rFonts w:hint="cs"/>
          <w:b/>
          <w:bCs/>
          <w:sz w:val="24"/>
          <w:rtl/>
        </w:rPr>
        <w:t xml:space="preserve"> הפעילות</w:t>
      </w:r>
      <w:r w:rsidRPr="007723A7">
        <w:rPr>
          <w:rFonts w:hint="cs"/>
          <w:b/>
          <w:bCs/>
          <w:sz w:val="24"/>
          <w:rtl/>
        </w:rPr>
        <w:t xml:space="preserve"> השנתי </w:t>
      </w:r>
      <w:r>
        <w:rPr>
          <w:rFonts w:hint="cs"/>
          <w:b/>
          <w:bCs/>
          <w:sz w:val="24"/>
          <w:rtl/>
        </w:rPr>
        <w:t>תשקול רשות המים לפרסם</w:t>
      </w:r>
      <w:r w:rsidRPr="007723A7">
        <w:rPr>
          <w:rFonts w:hint="cs"/>
          <w:b/>
          <w:bCs/>
          <w:sz w:val="24"/>
          <w:rtl/>
        </w:rPr>
        <w:t xml:space="preserve"> לציבור נתונים על </w:t>
      </w:r>
      <w:r>
        <w:rPr>
          <w:rFonts w:hint="cs"/>
          <w:b/>
          <w:bCs/>
          <w:sz w:val="24"/>
          <w:rtl/>
        </w:rPr>
        <w:t>ה</w:t>
      </w:r>
      <w:r w:rsidRPr="007723A7">
        <w:rPr>
          <w:rFonts w:hint="cs"/>
          <w:b/>
          <w:bCs/>
          <w:sz w:val="24"/>
          <w:rtl/>
        </w:rPr>
        <w:t>התקדמות בהתקנת מערכות הקר"מ</w:t>
      </w:r>
      <w:r>
        <w:rPr>
          <w:rFonts w:hint="cs"/>
          <w:b/>
          <w:bCs/>
          <w:sz w:val="24"/>
          <w:rtl/>
        </w:rPr>
        <w:t>.</w:t>
      </w:r>
    </w:p>
    <w:p w:rsidR="003D3BEF" w:rsidRPr="007723A7" w:rsidP="003D3BEF" w14:paraId="4569F966" w14:textId="77777777">
      <w:pPr>
        <w:pStyle w:val="a"/>
        <w:spacing w:line="269" w:lineRule="auto"/>
        <w:rPr>
          <w:rtl/>
        </w:rPr>
      </w:pPr>
    </w:p>
    <w:p w:rsidR="003D3BEF" w:rsidRPr="009E2836" w:rsidP="003D3BEF" w14:paraId="0D91A95C" w14:textId="77777777">
      <w:pPr>
        <w:pStyle w:val="Heading4"/>
        <w:spacing w:before="0" w:line="269" w:lineRule="auto"/>
        <w:rPr>
          <w:rtl/>
        </w:rPr>
      </w:pPr>
      <w:r w:rsidRPr="009E2836">
        <w:rPr>
          <w:rFonts w:hint="cs"/>
          <w:rtl/>
        </w:rPr>
        <w:t>שיעור</w:t>
      </w:r>
      <w:r w:rsidRPr="009E2836">
        <w:rPr>
          <w:rtl/>
        </w:rPr>
        <w:t xml:space="preserve"> </w:t>
      </w:r>
      <w:r w:rsidRPr="009E2836">
        <w:rPr>
          <w:rFonts w:hint="eastAsia"/>
          <w:rtl/>
        </w:rPr>
        <w:t>גב</w:t>
      </w:r>
      <w:r w:rsidRPr="009E2836">
        <w:rPr>
          <w:rFonts w:hint="cs"/>
          <w:rtl/>
        </w:rPr>
        <w:t>י</w:t>
      </w:r>
      <w:r w:rsidRPr="009E2836">
        <w:rPr>
          <w:rFonts w:hint="eastAsia"/>
          <w:rtl/>
        </w:rPr>
        <w:t>יה</w:t>
      </w:r>
    </w:p>
    <w:p w:rsidR="003D3BEF" w:rsidP="003D3BEF" w14:paraId="281AD6BC" w14:textId="77777777">
      <w:pPr>
        <w:pStyle w:val="a"/>
        <w:rPr>
          <w:rtl/>
        </w:rPr>
      </w:pPr>
    </w:p>
    <w:p w:rsidR="003D3BEF" w:rsidP="003D3BEF" w14:paraId="28ACB97F" w14:textId="77777777">
      <w:pPr>
        <w:spacing w:line="269" w:lineRule="auto"/>
        <w:rPr>
          <w:sz w:val="24"/>
          <w:rtl/>
        </w:rPr>
      </w:pPr>
      <w:r>
        <w:rPr>
          <w:rFonts w:hint="cs"/>
          <w:sz w:val="24"/>
          <w:rtl/>
        </w:rPr>
        <w:t xml:space="preserve">מדד נוסף לפעילות התאגידים הוא פחת הגבייה. </w:t>
      </w:r>
      <w:r w:rsidRPr="00D540E9">
        <w:rPr>
          <w:sz w:val="24"/>
          <w:rtl/>
        </w:rPr>
        <w:t>פחת גבייה מוגדר</w:t>
      </w:r>
      <w:r>
        <w:rPr>
          <w:rStyle w:val="FootnoteReference"/>
          <w:sz w:val="24"/>
          <w:rtl/>
        </w:rPr>
        <w:footnoteReference w:id="71"/>
      </w:r>
      <w:r w:rsidRPr="00D540E9">
        <w:rPr>
          <w:sz w:val="24"/>
          <w:rtl/>
        </w:rPr>
        <w:t xml:space="preserve"> כ"ההפרש בין סך כל החיובים, בשקלים חדשים, שהוציאה החברה לצרכניה בעד שירותי מים וביוב, ובין סך כל הגבייה בפועל בגין אותם חיובים"</w:t>
      </w:r>
      <w:r>
        <w:rPr>
          <w:rFonts w:hint="cs"/>
          <w:sz w:val="24"/>
          <w:rtl/>
        </w:rPr>
        <w:t xml:space="preserve"> פחת גבייה גבוה פוגע במקורות מימון הפעילות השוטפת של התאגידים והשקעותיהם בתשתיות, והוא עלול אף לפגוע באיתנותם הפיננסית. לכל אחד מהתאגידים, על פי מאפייניו, קבעה רשות המים נורמות לפחת גבייה, בדומה לקריטריונים שלפיהם קבעה את נורמות פחת המים. </w:t>
      </w:r>
    </w:p>
    <w:p w:rsidR="003D3BEF" w:rsidP="003D3BEF" w14:paraId="055516C1" w14:textId="77777777">
      <w:pPr>
        <w:pStyle w:val="a"/>
        <w:spacing w:line="269" w:lineRule="auto"/>
        <w:rPr>
          <w:rtl/>
        </w:rPr>
      </w:pPr>
    </w:p>
    <w:p w:rsidR="003D3BEF" w:rsidP="003D3BEF" w14:paraId="2C56A6E2" w14:textId="77777777">
      <w:pPr>
        <w:spacing w:line="269" w:lineRule="auto"/>
        <w:rPr>
          <w:sz w:val="24"/>
          <w:rtl/>
        </w:rPr>
      </w:pPr>
      <w:r w:rsidRPr="00D540E9">
        <w:rPr>
          <w:sz w:val="24"/>
          <w:rtl/>
        </w:rPr>
        <w:t>משרד מבקר המדינה בחן את שיעור החיובים השנתיים שטרם נגבו עד סוף השנה בתאגידים שהיו קיימים ולגב</w:t>
      </w:r>
      <w:r>
        <w:rPr>
          <w:sz w:val="24"/>
          <w:rtl/>
        </w:rPr>
        <w:t xml:space="preserve">יהם היו נתוני פעילות בשנת 2011 </w:t>
      </w:r>
      <w:r w:rsidRPr="00D540E9">
        <w:rPr>
          <w:sz w:val="24"/>
          <w:rtl/>
        </w:rPr>
        <w:t>לעומת 2018. נקודת החתך שנבדקה היא ליום 31</w:t>
      </w:r>
      <w:r>
        <w:rPr>
          <w:sz w:val="24"/>
          <w:rtl/>
        </w:rPr>
        <w:t xml:space="preserve"> </w:t>
      </w:r>
      <w:r w:rsidRPr="00D540E9">
        <w:rPr>
          <w:sz w:val="24"/>
          <w:rtl/>
        </w:rPr>
        <w:t>לדצמבר של כל אחת מהשנים</w:t>
      </w:r>
      <w:r>
        <w:rPr>
          <w:rStyle w:val="FootnoteReference"/>
          <w:sz w:val="24"/>
          <w:rtl/>
        </w:rPr>
        <w:footnoteReference w:id="72"/>
      </w:r>
      <w:r w:rsidRPr="00D540E9">
        <w:rPr>
          <w:sz w:val="24"/>
          <w:rtl/>
        </w:rPr>
        <w:t>. ההשוואה נעשתה בכל אחד מארבע</w:t>
      </w:r>
      <w:r>
        <w:rPr>
          <w:rFonts w:hint="cs"/>
          <w:sz w:val="24"/>
          <w:rtl/>
        </w:rPr>
        <w:t>ת</w:t>
      </w:r>
      <w:r w:rsidRPr="00D540E9">
        <w:rPr>
          <w:sz w:val="24"/>
          <w:rtl/>
        </w:rPr>
        <w:t xml:space="preserve"> סוגי התאגידים שס</w:t>
      </w:r>
      <w:r>
        <w:rPr>
          <w:rFonts w:hint="cs"/>
          <w:sz w:val="24"/>
          <w:rtl/>
        </w:rPr>
        <w:t>י</w:t>
      </w:r>
      <w:r w:rsidRPr="00D540E9">
        <w:rPr>
          <w:sz w:val="24"/>
          <w:rtl/>
        </w:rPr>
        <w:t>ווגה רשות המים לצורך קביעת פחת הגבייה הנורמטיבי</w:t>
      </w:r>
      <w:r>
        <w:rPr>
          <w:rFonts w:hint="cs"/>
          <w:sz w:val="24"/>
          <w:rtl/>
        </w:rPr>
        <w:t>.</w:t>
      </w:r>
      <w:r w:rsidRPr="00D540E9">
        <w:rPr>
          <w:sz w:val="24"/>
          <w:rtl/>
        </w:rPr>
        <w:t xml:space="preserve"> תוצאות ההשוואה מתוארות בתרשים 27 להלן</w:t>
      </w:r>
      <w:r>
        <w:rPr>
          <w:rFonts w:hint="cs"/>
          <w:sz w:val="24"/>
          <w:rtl/>
        </w:rPr>
        <w:t>:</w:t>
      </w:r>
    </w:p>
    <w:p w:rsidR="003D3BEF" w:rsidP="003D3BEF" w14:paraId="134CEB7E" w14:textId="77777777">
      <w:pPr>
        <w:bidi w:val="0"/>
        <w:spacing w:after="200" w:line="276" w:lineRule="auto"/>
        <w:rPr>
          <w:szCs w:val="20"/>
          <w:rtl/>
        </w:rPr>
      </w:pPr>
      <w:r>
        <w:rPr>
          <w:rtl/>
        </w:rPr>
        <w:br w:type="page"/>
      </w:r>
    </w:p>
    <w:p w:rsidR="003D3BEF" w:rsidP="003D3BEF" w14:paraId="08F30DE1" w14:textId="77777777">
      <w:pPr>
        <w:pStyle w:val="a"/>
        <w:spacing w:line="269" w:lineRule="auto"/>
        <w:rPr>
          <w:rtl/>
        </w:rPr>
      </w:pPr>
    </w:p>
    <w:p w:rsidR="003D3BEF" w:rsidP="003D3BEF" w14:paraId="6F6820B1" w14:textId="77777777">
      <w:pPr>
        <w:spacing w:line="269" w:lineRule="auto"/>
        <w:jc w:val="center"/>
        <w:rPr>
          <w:b/>
          <w:bCs/>
          <w:sz w:val="24"/>
          <w:rtl/>
        </w:rPr>
      </w:pPr>
      <w:r w:rsidRPr="00594DBB">
        <w:rPr>
          <w:rFonts w:hint="cs"/>
          <w:b/>
          <w:bCs/>
          <w:sz w:val="24"/>
          <w:rtl/>
        </w:rPr>
        <w:t xml:space="preserve">תרשים </w:t>
      </w:r>
      <w:r>
        <w:rPr>
          <w:rFonts w:hint="cs"/>
          <w:b/>
          <w:bCs/>
          <w:sz w:val="24"/>
          <w:rtl/>
        </w:rPr>
        <w:t>27</w:t>
      </w:r>
      <w:r w:rsidRPr="00594DBB">
        <w:rPr>
          <w:rFonts w:hint="cs"/>
          <w:b/>
          <w:bCs/>
          <w:sz w:val="24"/>
          <w:rtl/>
        </w:rPr>
        <w:t xml:space="preserve">: ממוצע </w:t>
      </w:r>
      <w:r>
        <w:rPr>
          <w:rFonts w:hint="cs"/>
          <w:b/>
          <w:bCs/>
          <w:sz w:val="24"/>
          <w:rtl/>
        </w:rPr>
        <w:t xml:space="preserve">שיעור החיובים השנתיים שטרם נגבו עד סוף השנה </w:t>
      </w:r>
      <w:r w:rsidRPr="00594DBB">
        <w:rPr>
          <w:rFonts w:hint="cs"/>
          <w:b/>
          <w:bCs/>
          <w:sz w:val="24"/>
          <w:rtl/>
        </w:rPr>
        <w:t>בפועל בתאגידים</w:t>
      </w:r>
      <w:r>
        <w:rPr>
          <w:rFonts w:hint="cs"/>
          <w:b/>
          <w:bCs/>
          <w:sz w:val="24"/>
          <w:rtl/>
        </w:rPr>
        <w:t xml:space="preserve"> חלשים בהשוואה לממוצע שיעורם בתאגידים בינוניים וחזקים</w:t>
      </w:r>
      <w:r>
        <w:rPr>
          <w:rStyle w:val="FootnoteReference"/>
          <w:b/>
          <w:bCs/>
          <w:sz w:val="24"/>
          <w:rtl/>
        </w:rPr>
        <w:footnoteReference w:id="73"/>
      </w:r>
      <w:r>
        <w:rPr>
          <w:rFonts w:hint="cs"/>
          <w:b/>
          <w:bCs/>
          <w:sz w:val="24"/>
          <w:rtl/>
        </w:rPr>
        <w:t>,</w:t>
      </w:r>
      <w:r w:rsidRPr="00594DBB">
        <w:rPr>
          <w:rFonts w:hint="cs"/>
          <w:b/>
          <w:bCs/>
          <w:sz w:val="24"/>
          <w:rtl/>
        </w:rPr>
        <w:t xml:space="preserve"> </w:t>
      </w:r>
      <w:r>
        <w:rPr>
          <w:rFonts w:hint="cs"/>
          <w:b/>
          <w:bCs/>
          <w:sz w:val="24"/>
          <w:rtl/>
        </w:rPr>
        <w:t>2011 ו-2018.</w:t>
      </w:r>
    </w:p>
    <w:p w:rsidR="003D3BEF" w:rsidP="007B21F7" w14:paraId="08BB09BC" w14:textId="77777777">
      <w:pPr>
        <w:spacing w:before="120" w:after="120" w:line="269" w:lineRule="auto"/>
        <w:jc w:val="center"/>
        <w:rPr>
          <w:b/>
          <w:bCs/>
          <w:sz w:val="24"/>
          <w:rtl/>
        </w:rPr>
      </w:pPr>
      <w:r>
        <w:rPr>
          <w:b/>
          <w:bCs/>
          <w:noProof/>
          <w:sz w:val="24"/>
          <w:rtl/>
        </w:rPr>
        <w:drawing>
          <wp:inline distT="0" distB="0" distL="0" distR="0">
            <wp:extent cx="4325121" cy="2340869"/>
            <wp:effectExtent l="0" t="0" r="0" b="2540"/>
            <wp:docPr id="780323266" name="תמונה 78032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53234" name="water-corporations-g-27.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3D3BEF" w:rsidRPr="00684E93" w:rsidP="003D3BEF" w14:paraId="0A712646" w14:textId="77777777">
      <w:pPr>
        <w:spacing w:line="269" w:lineRule="auto"/>
        <w:jc w:val="center"/>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31D60F04" w14:textId="77777777">
      <w:pPr>
        <w:pStyle w:val="a"/>
        <w:spacing w:line="269" w:lineRule="auto"/>
        <w:rPr>
          <w:rtl/>
        </w:rPr>
      </w:pPr>
    </w:p>
    <w:p w:rsidR="003D3BEF" w:rsidP="003D3BEF" w14:paraId="7C0AE025" w14:textId="77777777">
      <w:pPr>
        <w:spacing w:line="269" w:lineRule="auto"/>
        <w:rPr>
          <w:b/>
          <w:bCs/>
          <w:sz w:val="24"/>
          <w:rtl/>
        </w:rPr>
      </w:pPr>
      <w:r>
        <w:rPr>
          <w:rFonts w:hint="cs"/>
          <w:sz w:val="24"/>
          <w:rtl/>
        </w:rPr>
        <w:t>מאחר ש</w:t>
      </w:r>
      <w:r w:rsidRPr="005467F4">
        <w:rPr>
          <w:sz w:val="24"/>
          <w:rtl/>
        </w:rPr>
        <w:t>חלק מהחיובים בגין שנה מסוימת נגבים לאחר תום שנת הכספים</w:t>
      </w:r>
      <w:r>
        <w:rPr>
          <w:rFonts w:hint="cs"/>
          <w:sz w:val="24"/>
          <w:rtl/>
        </w:rPr>
        <w:t>,</w:t>
      </w:r>
      <w:r w:rsidRPr="005467F4">
        <w:rPr>
          <w:sz w:val="24"/>
          <w:rtl/>
        </w:rPr>
        <w:t xml:space="preserve"> ואף בשנים מאוחרות יותר, משרד מבקר המדינה בחן גם את ערכי פחת הגבייה המצטברים ליום 31.12.2018, </w:t>
      </w:r>
      <w:r>
        <w:rPr>
          <w:rFonts w:hint="cs"/>
          <w:sz w:val="24"/>
          <w:rtl/>
        </w:rPr>
        <w:t xml:space="preserve">בגין </w:t>
      </w:r>
      <w:r w:rsidRPr="005467F4">
        <w:rPr>
          <w:sz w:val="24"/>
          <w:rtl/>
        </w:rPr>
        <w:t>החיובים בכל אחת מהשנים</w:t>
      </w:r>
      <w:r>
        <w:rPr>
          <w:sz w:val="24"/>
          <w:rtl/>
        </w:rPr>
        <w:t xml:space="preserve"> </w:t>
      </w:r>
      <w:r w:rsidRPr="005467F4">
        <w:rPr>
          <w:sz w:val="24"/>
          <w:rtl/>
        </w:rPr>
        <w:t xml:space="preserve">2018-2016. תרשים </w:t>
      </w:r>
      <w:r>
        <w:rPr>
          <w:rFonts w:hint="cs"/>
          <w:sz w:val="24"/>
          <w:rtl/>
        </w:rPr>
        <w:t>28</w:t>
      </w:r>
      <w:r w:rsidRPr="005467F4">
        <w:rPr>
          <w:sz w:val="24"/>
          <w:rtl/>
        </w:rPr>
        <w:t xml:space="preserve"> מתאר את </w:t>
      </w:r>
      <w:r>
        <w:rPr>
          <w:rFonts w:hint="cs"/>
          <w:sz w:val="24"/>
          <w:rtl/>
        </w:rPr>
        <w:t xml:space="preserve">שיעורי </w:t>
      </w:r>
      <w:r w:rsidRPr="005467F4">
        <w:rPr>
          <w:sz w:val="24"/>
          <w:rtl/>
        </w:rPr>
        <w:t xml:space="preserve">פחת הגבייה בכלל התאגידים </w:t>
      </w:r>
      <w:r>
        <w:rPr>
          <w:rFonts w:hint="cs"/>
          <w:sz w:val="24"/>
          <w:rtl/>
        </w:rPr>
        <w:t>בגין</w:t>
      </w:r>
      <w:r w:rsidRPr="005467F4">
        <w:rPr>
          <w:sz w:val="24"/>
          <w:rtl/>
        </w:rPr>
        <w:t xml:space="preserve"> חיובי השנים </w:t>
      </w:r>
      <w:r>
        <w:rPr>
          <w:rFonts w:hint="cs"/>
          <w:sz w:val="24"/>
          <w:rtl/>
        </w:rPr>
        <w:t>2018-2016</w:t>
      </w:r>
      <w:r w:rsidRPr="005467F4">
        <w:rPr>
          <w:sz w:val="24"/>
          <w:rtl/>
        </w:rPr>
        <w:t>, בערכיהם ליום 31.12.2018, תוך השוואה בין תאגידים חלשים לבין יתר התאגידים.</w:t>
      </w:r>
      <w:r>
        <w:rPr>
          <w:sz w:val="24"/>
          <w:rtl/>
        </w:rPr>
        <w:t xml:space="preserve"> </w:t>
      </w:r>
    </w:p>
    <w:p w:rsidR="003D3BEF" w:rsidP="003D3BEF" w14:paraId="4845E786" w14:textId="77777777">
      <w:pPr>
        <w:pStyle w:val="a"/>
        <w:spacing w:line="269" w:lineRule="auto"/>
        <w:rPr>
          <w:rtl/>
        </w:rPr>
      </w:pPr>
    </w:p>
    <w:p w:rsidR="007B21F7" w:rsidP="007B21F7" w14:paraId="3CCFD1BA" w14:textId="77777777">
      <w:pPr>
        <w:pStyle w:val="a"/>
        <w:spacing w:after="120" w:line="269" w:lineRule="auto"/>
        <w:jc w:val="center"/>
        <w:rPr>
          <w:noProof/>
          <w:rtl/>
        </w:rPr>
      </w:pPr>
      <w:r w:rsidRPr="007B21F7">
        <w:rPr>
          <w:b/>
          <w:bCs/>
          <w:sz w:val="32"/>
          <w:szCs w:val="24"/>
          <w:rtl/>
        </w:rPr>
        <w:t xml:space="preserve">תרשים </w:t>
      </w:r>
      <w:r w:rsidRPr="007B21F7">
        <w:rPr>
          <w:rFonts w:hint="cs"/>
          <w:b/>
          <w:bCs/>
          <w:sz w:val="32"/>
          <w:szCs w:val="24"/>
          <w:rtl/>
        </w:rPr>
        <w:t>28</w:t>
      </w:r>
      <w:r w:rsidRPr="007B21F7">
        <w:rPr>
          <w:b/>
          <w:bCs/>
          <w:sz w:val="32"/>
          <w:szCs w:val="24"/>
          <w:rtl/>
        </w:rPr>
        <w:t>: ממוצע שיעור פחת גבייה מצטבר בפועל בתאגידים חלשים לעומת יתר התאגידים</w:t>
      </w:r>
      <w:r>
        <w:rPr>
          <w:rFonts w:hint="cs"/>
          <w:b/>
          <w:bCs/>
          <w:sz w:val="32"/>
          <w:szCs w:val="24"/>
          <w:rtl/>
        </w:rPr>
        <w:br/>
      </w:r>
      <w:r w:rsidRPr="007B21F7">
        <w:rPr>
          <w:b/>
          <w:bCs/>
          <w:sz w:val="32"/>
          <w:szCs w:val="24"/>
          <w:rtl/>
        </w:rPr>
        <w:t>ליום 31.12.2018 בגין חיובים בכל אחת מהשנים 2018-2016</w:t>
      </w:r>
    </w:p>
    <w:p w:rsidR="007B21F7" w:rsidP="007B21F7" w14:paraId="0BADA271" w14:textId="77777777">
      <w:pPr>
        <w:pStyle w:val="a"/>
        <w:spacing w:after="120" w:line="269" w:lineRule="auto"/>
        <w:jc w:val="center"/>
        <w:rPr>
          <w:noProof/>
          <w:sz w:val="22"/>
          <w:szCs w:val="22"/>
          <w:rtl/>
        </w:rPr>
      </w:pPr>
      <w:r>
        <w:rPr>
          <w:rFonts w:hint="eastAsia"/>
          <w:noProof/>
          <w:sz w:val="22"/>
          <w:szCs w:val="22"/>
          <w:rtl/>
        </w:rPr>
        <w:drawing>
          <wp:inline distT="0" distB="0" distL="0" distR="0">
            <wp:extent cx="4325121" cy="2340869"/>
            <wp:effectExtent l="0" t="0" r="0" b="2540"/>
            <wp:docPr id="780323267" name="תמונה 78032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589370" name="water-corporations-g-28.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0869"/>
                    </a:xfrm>
                    <a:prstGeom prst="rect">
                      <a:avLst/>
                    </a:prstGeom>
                  </pic:spPr>
                </pic:pic>
              </a:graphicData>
            </a:graphic>
          </wp:inline>
        </w:drawing>
      </w:r>
    </w:p>
    <w:p w:rsidR="003D3BEF" w:rsidRPr="00D53928" w:rsidP="007B21F7" w14:paraId="1F3D82AC" w14:textId="77777777">
      <w:pPr>
        <w:pStyle w:val="a"/>
        <w:spacing w:after="120" w:line="269" w:lineRule="auto"/>
        <w:rPr>
          <w:rtl/>
        </w:rPr>
      </w:pPr>
      <w:r w:rsidRPr="00684E93">
        <w:rPr>
          <w:rFonts w:hint="eastAsia"/>
          <w:noProof/>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15CACE1D" w14:textId="77777777">
      <w:pPr>
        <w:spacing w:line="269" w:lineRule="auto"/>
        <w:rPr>
          <w:b/>
          <w:bCs/>
          <w:sz w:val="24"/>
          <w:rtl/>
        </w:rPr>
      </w:pPr>
      <w:r w:rsidRPr="005C3F06">
        <w:rPr>
          <w:b/>
          <w:bCs/>
          <w:sz w:val="24"/>
          <w:rtl/>
        </w:rPr>
        <w:t>מ</w:t>
      </w:r>
      <w:r>
        <w:rPr>
          <w:rFonts w:hint="cs"/>
          <w:b/>
          <w:bCs/>
          <w:sz w:val="24"/>
          <w:rtl/>
        </w:rPr>
        <w:t xml:space="preserve">שני </w:t>
      </w:r>
      <w:r w:rsidRPr="005C3F06">
        <w:rPr>
          <w:b/>
          <w:bCs/>
          <w:sz w:val="24"/>
          <w:rtl/>
        </w:rPr>
        <w:t>התרשימים</w:t>
      </w:r>
      <w:r>
        <w:rPr>
          <w:b/>
          <w:bCs/>
          <w:sz w:val="24"/>
          <w:rtl/>
        </w:rPr>
        <w:t xml:space="preserve"> </w:t>
      </w:r>
      <w:r w:rsidRPr="005C3F06">
        <w:rPr>
          <w:b/>
          <w:bCs/>
          <w:sz w:val="24"/>
          <w:rtl/>
        </w:rPr>
        <w:t>עולה כי בקרב התאגידים שנבחנו חל שיפור בממוצע שיעור הגבייה השוטף בפועל בשנת 2011 לעומת שיעורו בשנת 2018. עוד עולה כי קיימים פערים בין תאגידים חלשים ליתר התאגידים</w:t>
      </w:r>
      <w:r>
        <w:rPr>
          <w:rFonts w:hint="cs"/>
          <w:b/>
          <w:bCs/>
          <w:sz w:val="24"/>
          <w:rtl/>
        </w:rPr>
        <w:t>;</w:t>
      </w:r>
      <w:r w:rsidRPr="005C3F06">
        <w:rPr>
          <w:b/>
          <w:bCs/>
          <w:sz w:val="24"/>
          <w:rtl/>
        </w:rPr>
        <w:t xml:space="preserve"> ממוצע שיעור החיובים השנתיים שטרם נגבו משנת 2018 בקרב התאגידים החלשים (28%) גבוה משמעותית משיעורו בקרב יתר התאגידים (11%). גם כאשר בוחנים את שיעור פחת הגבייה</w:t>
      </w:r>
      <w:r>
        <w:rPr>
          <w:b/>
          <w:bCs/>
          <w:sz w:val="24"/>
          <w:rtl/>
        </w:rPr>
        <w:t xml:space="preserve"> </w:t>
      </w:r>
      <w:r w:rsidRPr="005C3F06">
        <w:rPr>
          <w:b/>
          <w:bCs/>
          <w:sz w:val="24"/>
          <w:rtl/>
        </w:rPr>
        <w:t xml:space="preserve">לאחר שנתיים של מאמצי גבייה הפערים </w:t>
      </w:r>
      <w:r>
        <w:rPr>
          <w:rFonts w:hint="cs"/>
          <w:b/>
          <w:bCs/>
          <w:sz w:val="24"/>
          <w:rtl/>
        </w:rPr>
        <w:t xml:space="preserve">עדיין </w:t>
      </w:r>
      <w:r w:rsidRPr="005C3F06">
        <w:rPr>
          <w:b/>
          <w:bCs/>
          <w:sz w:val="24"/>
          <w:rtl/>
        </w:rPr>
        <w:t>משמעותיים. כך, ממוצע שיעורי הפחת המצטבר נכון לסוף 2018 בגין חיובים משנת 2016 בקרב התאגידים החלשים (13%) גבוה משיעורו בקרב יתר התאגידים (3%)</w:t>
      </w:r>
      <w:r>
        <w:rPr>
          <w:rFonts w:hint="cs"/>
          <w:b/>
          <w:bCs/>
          <w:sz w:val="24"/>
          <w:rtl/>
        </w:rPr>
        <w:t>,</w:t>
      </w:r>
      <w:r w:rsidRPr="005C3F06">
        <w:rPr>
          <w:b/>
          <w:bCs/>
          <w:sz w:val="24"/>
          <w:rtl/>
        </w:rPr>
        <w:t xml:space="preserve"> ו</w:t>
      </w:r>
      <w:r>
        <w:rPr>
          <w:rFonts w:hint="cs"/>
          <w:b/>
          <w:bCs/>
          <w:sz w:val="24"/>
          <w:rtl/>
        </w:rPr>
        <w:t xml:space="preserve">הוא </w:t>
      </w:r>
      <w:r w:rsidRPr="005C3F06">
        <w:rPr>
          <w:b/>
          <w:bCs/>
          <w:sz w:val="24"/>
          <w:rtl/>
        </w:rPr>
        <w:t xml:space="preserve">אינו עומד בנורמה שקבעה הרשות לתאגידים החלשים, אשר שיעורה הממוצע הוא כ-3%. </w:t>
      </w:r>
    </w:p>
    <w:p w:rsidR="003D3BEF" w:rsidRPr="005C3F06" w:rsidP="003D3BEF" w14:paraId="2051E8E8" w14:textId="77777777">
      <w:pPr>
        <w:pStyle w:val="a"/>
        <w:spacing w:line="269" w:lineRule="auto"/>
        <w:rPr>
          <w:rtl/>
        </w:rPr>
      </w:pPr>
    </w:p>
    <w:p w:rsidR="003D3BEF" w:rsidP="003D3BEF" w14:paraId="0160D2DE" w14:textId="77777777">
      <w:pPr>
        <w:spacing w:line="269" w:lineRule="auto"/>
        <w:rPr>
          <w:sz w:val="24"/>
          <w:rtl/>
        </w:rPr>
      </w:pPr>
      <w:r w:rsidRPr="005C3F06">
        <w:rPr>
          <w:b/>
          <w:bCs/>
          <w:sz w:val="24"/>
          <w:rtl/>
        </w:rPr>
        <w:t xml:space="preserve">עם זאת, מאמצי הגבייה לאורך זמן מצמצמים את שיעור פחת הגבייה: כך, ממוצע שיעור פחת הגבייה המצטבר נכון לסוף </w:t>
      </w:r>
      <w:r>
        <w:rPr>
          <w:rFonts w:hint="cs"/>
          <w:b/>
          <w:bCs/>
          <w:sz w:val="24"/>
          <w:rtl/>
        </w:rPr>
        <w:t xml:space="preserve">2018 </w:t>
      </w:r>
      <w:r w:rsidRPr="005C3F06">
        <w:rPr>
          <w:b/>
          <w:bCs/>
          <w:sz w:val="24"/>
          <w:rtl/>
        </w:rPr>
        <w:t xml:space="preserve">בגין חיובים משנת 2016 נמוך משיעורו </w:t>
      </w:r>
      <w:r>
        <w:rPr>
          <w:rFonts w:hint="cs"/>
          <w:b/>
          <w:bCs/>
          <w:sz w:val="24"/>
          <w:rtl/>
        </w:rPr>
        <w:t>בגין</w:t>
      </w:r>
      <w:r w:rsidRPr="005C3F06">
        <w:rPr>
          <w:b/>
          <w:bCs/>
          <w:sz w:val="24"/>
          <w:rtl/>
        </w:rPr>
        <w:t xml:space="preserve"> החיובים מהשנים 2017 ו-2018. ממוצע פחת הגבי</w:t>
      </w:r>
      <w:r>
        <w:rPr>
          <w:rFonts w:hint="cs"/>
          <w:b/>
          <w:bCs/>
          <w:sz w:val="24"/>
          <w:rtl/>
        </w:rPr>
        <w:t>י</w:t>
      </w:r>
      <w:r w:rsidRPr="005C3F06">
        <w:rPr>
          <w:b/>
          <w:bCs/>
          <w:sz w:val="24"/>
          <w:rtl/>
        </w:rPr>
        <w:t>ה המצטבר לסוף 2018 עבור כל התאגידים עומד על</w:t>
      </w:r>
      <w:r w:rsidR="000A1447">
        <w:rPr>
          <w:rFonts w:hint="cs"/>
          <w:b/>
          <w:bCs/>
          <w:sz w:val="24"/>
          <w:rtl/>
        </w:rPr>
        <w:t xml:space="preserve"> כ-</w:t>
      </w:r>
      <w:r w:rsidRPr="005C3F06">
        <w:rPr>
          <w:b/>
          <w:bCs/>
          <w:sz w:val="24"/>
          <w:rtl/>
        </w:rPr>
        <w:t xml:space="preserve"> 5% בגין חיובים משנת 2016 (טרם נגבו חיובים בסך </w:t>
      </w:r>
      <w:r w:rsidR="00900E30">
        <w:rPr>
          <w:rFonts w:hint="cs"/>
          <w:b/>
          <w:bCs/>
          <w:sz w:val="24"/>
          <w:rtl/>
        </w:rPr>
        <w:t xml:space="preserve">כ- </w:t>
      </w:r>
      <w:r w:rsidRPr="005C3F06">
        <w:rPr>
          <w:b/>
          <w:bCs/>
          <w:sz w:val="24"/>
          <w:rtl/>
        </w:rPr>
        <w:t>235 מיליו</w:t>
      </w:r>
      <w:r>
        <w:rPr>
          <w:rFonts w:hint="cs"/>
          <w:b/>
          <w:bCs/>
          <w:sz w:val="24"/>
          <w:rtl/>
        </w:rPr>
        <w:t xml:space="preserve">ן </w:t>
      </w:r>
      <w:r w:rsidRPr="005C3F06">
        <w:rPr>
          <w:b/>
          <w:bCs/>
          <w:sz w:val="24"/>
          <w:rtl/>
        </w:rPr>
        <w:t>ש"ח);</w:t>
      </w:r>
      <w:r w:rsidR="000A1447">
        <w:rPr>
          <w:rFonts w:hint="cs"/>
          <w:b/>
          <w:bCs/>
          <w:sz w:val="24"/>
          <w:rtl/>
        </w:rPr>
        <w:t xml:space="preserve"> כ-</w:t>
      </w:r>
      <w:r w:rsidRPr="005C3F06">
        <w:rPr>
          <w:b/>
          <w:bCs/>
          <w:sz w:val="24"/>
          <w:rtl/>
        </w:rPr>
        <w:t xml:space="preserve"> 6% בגין חיובים משנת 2017 (טרם נגבו חיובים בסך</w:t>
      </w:r>
      <w:r w:rsidR="00900E30">
        <w:rPr>
          <w:rFonts w:hint="cs"/>
          <w:b/>
          <w:bCs/>
          <w:sz w:val="24"/>
          <w:rtl/>
        </w:rPr>
        <w:t xml:space="preserve"> כ-</w:t>
      </w:r>
      <w:r w:rsidRPr="005C3F06">
        <w:rPr>
          <w:b/>
          <w:bCs/>
          <w:sz w:val="24"/>
          <w:rtl/>
        </w:rPr>
        <w:t xml:space="preserve"> 271 מיליו</w:t>
      </w:r>
      <w:r>
        <w:rPr>
          <w:rFonts w:hint="cs"/>
          <w:b/>
          <w:bCs/>
          <w:sz w:val="24"/>
          <w:rtl/>
        </w:rPr>
        <w:t>ן</w:t>
      </w:r>
      <w:r w:rsidRPr="005C3F06">
        <w:rPr>
          <w:b/>
          <w:bCs/>
          <w:sz w:val="24"/>
          <w:rtl/>
        </w:rPr>
        <w:t xml:space="preserve"> ש"ח); </w:t>
      </w:r>
      <w:r>
        <w:rPr>
          <w:rFonts w:hint="cs"/>
          <w:b/>
          <w:bCs/>
          <w:sz w:val="24"/>
          <w:rtl/>
        </w:rPr>
        <w:t>ו</w:t>
      </w:r>
      <w:r w:rsidR="000A1447">
        <w:rPr>
          <w:rFonts w:hint="cs"/>
          <w:b/>
          <w:bCs/>
          <w:sz w:val="24"/>
          <w:rtl/>
        </w:rPr>
        <w:t>כ</w:t>
      </w:r>
      <w:r>
        <w:rPr>
          <w:rFonts w:hint="cs"/>
          <w:b/>
          <w:bCs/>
          <w:sz w:val="24"/>
          <w:rtl/>
        </w:rPr>
        <w:t>-</w:t>
      </w:r>
      <w:r w:rsidR="000A1447">
        <w:rPr>
          <w:rFonts w:hint="cs"/>
          <w:b/>
          <w:bCs/>
          <w:sz w:val="24"/>
          <w:rtl/>
        </w:rPr>
        <w:t xml:space="preserve"> </w:t>
      </w:r>
      <w:r>
        <w:rPr>
          <w:rFonts w:hint="cs"/>
          <w:b/>
          <w:bCs/>
          <w:sz w:val="24"/>
          <w:rtl/>
        </w:rPr>
        <w:t>16%</w:t>
      </w:r>
      <w:r w:rsidRPr="005C3F06">
        <w:rPr>
          <w:b/>
          <w:bCs/>
          <w:sz w:val="24"/>
          <w:rtl/>
        </w:rPr>
        <w:t xml:space="preserve"> בגין חיובים משנת 2018 (טרם נגבו חיובים בסך</w:t>
      </w:r>
      <w:r w:rsidR="00900E30">
        <w:rPr>
          <w:rFonts w:hint="cs"/>
          <w:b/>
          <w:bCs/>
          <w:sz w:val="24"/>
          <w:rtl/>
        </w:rPr>
        <w:t xml:space="preserve"> כ-</w:t>
      </w:r>
      <w:r w:rsidRPr="005C3F06">
        <w:rPr>
          <w:b/>
          <w:bCs/>
          <w:sz w:val="24"/>
          <w:rtl/>
        </w:rPr>
        <w:t xml:space="preserve"> 710 מיליו</w:t>
      </w:r>
      <w:r>
        <w:rPr>
          <w:rFonts w:hint="cs"/>
          <w:b/>
          <w:bCs/>
          <w:sz w:val="24"/>
          <w:rtl/>
        </w:rPr>
        <w:t>ן</w:t>
      </w:r>
      <w:r w:rsidRPr="005C3F06">
        <w:rPr>
          <w:b/>
          <w:bCs/>
          <w:sz w:val="24"/>
          <w:rtl/>
        </w:rPr>
        <w:t xml:space="preserve"> ש"ח). </w:t>
      </w:r>
    </w:p>
    <w:p w:rsidR="003D3BEF" w:rsidP="003D3BEF" w14:paraId="7A86462B" w14:textId="77777777">
      <w:pPr>
        <w:pStyle w:val="a"/>
        <w:spacing w:line="269" w:lineRule="auto"/>
        <w:rPr>
          <w:rtl/>
        </w:rPr>
      </w:pPr>
    </w:p>
    <w:p w:rsidR="003D3BEF" w:rsidP="003D3BEF" w14:paraId="0C3ED051" w14:textId="77777777">
      <w:pPr>
        <w:spacing w:line="269" w:lineRule="auto"/>
        <w:rPr>
          <w:sz w:val="24"/>
          <w:rtl/>
        </w:rPr>
      </w:pPr>
      <w:r w:rsidRPr="005C3F06">
        <w:rPr>
          <w:sz w:val="24"/>
          <w:rtl/>
        </w:rPr>
        <w:t xml:space="preserve">תאגיד מי ברק, </w:t>
      </w:r>
      <w:r>
        <w:rPr>
          <w:rFonts w:hint="cs"/>
          <w:sz w:val="24"/>
          <w:rtl/>
        </w:rPr>
        <w:t>ש</w:t>
      </w:r>
      <w:r w:rsidRPr="005C3F06">
        <w:rPr>
          <w:sz w:val="24"/>
          <w:rtl/>
        </w:rPr>
        <w:t xml:space="preserve">שיעור החיובים השנתיים </w:t>
      </w:r>
      <w:r>
        <w:rPr>
          <w:rFonts w:hint="cs"/>
          <w:sz w:val="24"/>
          <w:rtl/>
        </w:rPr>
        <w:t xml:space="preserve">שלו </w:t>
      </w:r>
      <w:r w:rsidRPr="005C3F06">
        <w:rPr>
          <w:sz w:val="24"/>
          <w:rtl/>
        </w:rPr>
        <w:t xml:space="preserve">שטרם נגבו בשנת 2018 </w:t>
      </w:r>
      <w:r>
        <w:rPr>
          <w:rFonts w:hint="cs"/>
          <w:sz w:val="24"/>
          <w:rtl/>
        </w:rPr>
        <w:t>עומד על</w:t>
      </w:r>
      <w:r w:rsidRPr="005C3F06">
        <w:rPr>
          <w:sz w:val="24"/>
          <w:rtl/>
        </w:rPr>
        <w:t xml:space="preserve"> 22%, </w:t>
      </w:r>
      <w:r>
        <w:rPr>
          <w:rFonts w:hint="cs"/>
          <w:sz w:val="24"/>
          <w:rtl/>
        </w:rPr>
        <w:t xml:space="preserve">מסר בתשובתו ממאי 2020 </w:t>
      </w:r>
      <w:r w:rsidRPr="005C3F06">
        <w:rPr>
          <w:sz w:val="24"/>
          <w:rtl/>
        </w:rPr>
        <w:t>למשרד מבקר המדינה כי ה</w:t>
      </w:r>
      <w:r>
        <w:rPr>
          <w:rFonts w:hint="cs"/>
          <w:sz w:val="24"/>
          <w:rtl/>
        </w:rPr>
        <w:t>וא</w:t>
      </w:r>
      <w:r w:rsidRPr="005C3F06">
        <w:rPr>
          <w:sz w:val="24"/>
          <w:rtl/>
        </w:rPr>
        <w:t xml:space="preserve"> פועל ב"אקלים" ייחודי מאוד הנגזר מ</w:t>
      </w:r>
      <w:r>
        <w:rPr>
          <w:rFonts w:hint="cs"/>
          <w:sz w:val="24"/>
          <w:rtl/>
        </w:rPr>
        <w:t>ה</w:t>
      </w:r>
      <w:r w:rsidRPr="005C3F06">
        <w:rPr>
          <w:sz w:val="24"/>
          <w:rtl/>
        </w:rPr>
        <w:t>אופי</w:t>
      </w:r>
      <w:r>
        <w:rPr>
          <w:rFonts w:hint="cs"/>
          <w:sz w:val="24"/>
          <w:rtl/>
        </w:rPr>
        <w:t xml:space="preserve"> </w:t>
      </w:r>
      <w:r w:rsidRPr="005C3F06">
        <w:rPr>
          <w:sz w:val="24"/>
          <w:rtl/>
        </w:rPr>
        <w:t>הייחודי של העיר</w:t>
      </w:r>
      <w:r>
        <w:rPr>
          <w:rFonts w:hint="cs"/>
          <w:sz w:val="24"/>
          <w:rtl/>
        </w:rPr>
        <w:t>,</w:t>
      </w:r>
      <w:r w:rsidRPr="005C3F06">
        <w:rPr>
          <w:sz w:val="24"/>
          <w:rtl/>
        </w:rPr>
        <w:t xml:space="preserve"> המתבטא בהיבטים ה</w:t>
      </w:r>
      <w:r>
        <w:rPr>
          <w:rFonts w:hint="cs"/>
          <w:sz w:val="24"/>
          <w:rtl/>
        </w:rPr>
        <w:t>אלה</w:t>
      </w:r>
      <w:r w:rsidRPr="005C3F06">
        <w:rPr>
          <w:sz w:val="24"/>
          <w:rtl/>
        </w:rPr>
        <w:t xml:space="preserve">: </w:t>
      </w:r>
      <w:r>
        <w:rPr>
          <w:rFonts w:hint="cs"/>
          <w:sz w:val="24"/>
          <w:rtl/>
        </w:rPr>
        <w:t xml:space="preserve">מידת </w:t>
      </w:r>
      <w:r w:rsidRPr="005C3F06">
        <w:rPr>
          <w:sz w:val="24"/>
          <w:rtl/>
        </w:rPr>
        <w:t>מעורבות</w:t>
      </w:r>
      <w:r>
        <w:rPr>
          <w:rFonts w:hint="cs"/>
          <w:sz w:val="24"/>
          <w:rtl/>
        </w:rPr>
        <w:t>ו</w:t>
      </w:r>
      <w:r w:rsidRPr="005C3F06">
        <w:rPr>
          <w:sz w:val="24"/>
          <w:rtl/>
        </w:rPr>
        <w:t xml:space="preserve"> </w:t>
      </w:r>
      <w:r>
        <w:rPr>
          <w:rFonts w:hint="cs"/>
          <w:sz w:val="24"/>
          <w:rtl/>
        </w:rPr>
        <w:t>ה</w:t>
      </w:r>
      <w:r w:rsidRPr="005C3F06">
        <w:rPr>
          <w:sz w:val="24"/>
          <w:rtl/>
        </w:rPr>
        <w:t xml:space="preserve">חברתית של השלטון המקומי בעיר גבוהה </w:t>
      </w:r>
      <w:r>
        <w:rPr>
          <w:rFonts w:hint="cs"/>
          <w:sz w:val="24"/>
          <w:rtl/>
        </w:rPr>
        <w:t>לעומת מידת</w:t>
      </w:r>
      <w:r w:rsidRPr="005C3F06">
        <w:rPr>
          <w:sz w:val="24"/>
          <w:rtl/>
        </w:rPr>
        <w:t xml:space="preserve"> מעורבותו ברשויות אחרות; פערים גבוהים בנתונים כלכליים-חברתיים בין העיר לערים </w:t>
      </w:r>
      <w:r>
        <w:rPr>
          <w:rFonts w:hint="cs"/>
          <w:sz w:val="24"/>
          <w:rtl/>
        </w:rPr>
        <w:t>ה</w:t>
      </w:r>
      <w:r w:rsidRPr="005C3F06">
        <w:rPr>
          <w:sz w:val="24"/>
          <w:rtl/>
        </w:rPr>
        <w:t>סמוכות</w:t>
      </w:r>
      <w:r>
        <w:rPr>
          <w:rFonts w:hint="cs"/>
          <w:sz w:val="24"/>
          <w:rtl/>
        </w:rPr>
        <w:t xml:space="preserve"> לה </w:t>
      </w:r>
      <w:r w:rsidRPr="005C3F06">
        <w:rPr>
          <w:sz w:val="24"/>
          <w:rtl/>
        </w:rPr>
        <w:t>המשפיעים ע</w:t>
      </w:r>
      <w:r>
        <w:rPr>
          <w:sz w:val="24"/>
          <w:rtl/>
        </w:rPr>
        <w:t>ל יכולות האכיפה ושיעורי הגבייה;</w:t>
      </w:r>
      <w:r w:rsidRPr="005C3F06">
        <w:rPr>
          <w:sz w:val="24"/>
          <w:rtl/>
        </w:rPr>
        <w:t xml:space="preserve"> </w:t>
      </w:r>
      <w:r>
        <w:rPr>
          <w:rFonts w:hint="cs"/>
          <w:sz w:val="24"/>
          <w:rtl/>
        </w:rPr>
        <w:t>ו</w:t>
      </w:r>
      <w:r w:rsidRPr="005C3F06">
        <w:rPr>
          <w:sz w:val="24"/>
          <w:rtl/>
        </w:rPr>
        <w:t xml:space="preserve">צפיפות </w:t>
      </w:r>
      <w:r>
        <w:rPr>
          <w:rFonts w:hint="cs"/>
          <w:sz w:val="24"/>
          <w:rtl/>
        </w:rPr>
        <w:t xml:space="preserve">האוכלוסין </w:t>
      </w:r>
      <w:r w:rsidRPr="005C3F06">
        <w:rPr>
          <w:sz w:val="24"/>
          <w:rtl/>
        </w:rPr>
        <w:t xml:space="preserve">הגבוהה בישראל (26,512 תושבים לקמ"ר) עם אחוז גידול טבעי גבוה. לפיכך אין להשוות באופן כמותי בלבד </w:t>
      </w:r>
      <w:r>
        <w:rPr>
          <w:rFonts w:hint="cs"/>
          <w:sz w:val="24"/>
          <w:rtl/>
        </w:rPr>
        <w:t>בין</w:t>
      </w:r>
      <w:r w:rsidRPr="005C3F06">
        <w:rPr>
          <w:sz w:val="24"/>
          <w:rtl/>
        </w:rPr>
        <w:t xml:space="preserve"> הנתונים </w:t>
      </w:r>
      <w:r>
        <w:rPr>
          <w:rFonts w:hint="cs"/>
          <w:sz w:val="24"/>
          <w:rtl/>
        </w:rPr>
        <w:t>הנוגעים לבני ברק לבין ה</w:t>
      </w:r>
      <w:r w:rsidRPr="005C3F06">
        <w:rPr>
          <w:sz w:val="24"/>
          <w:rtl/>
        </w:rPr>
        <w:t>נתונים בערים אחרות. התאגיד הוסיף כי התאמת נקודת הייחוס למאפייני העיר מצביעה כי התאגיד השיג שיפור משמעותי ביעדי הגבייה, תוך שהוא פעל לגביית חובות העבר ו</w:t>
      </w:r>
      <w:r>
        <w:rPr>
          <w:rFonts w:hint="cs"/>
          <w:sz w:val="24"/>
          <w:rtl/>
        </w:rPr>
        <w:t>ל</w:t>
      </w:r>
      <w:r w:rsidRPr="005C3F06">
        <w:rPr>
          <w:sz w:val="24"/>
          <w:rtl/>
        </w:rPr>
        <w:t>גבייה שוטפת מול כל מוסדות הציבור.</w:t>
      </w:r>
    </w:p>
    <w:p w:rsidR="003D3BEF" w:rsidRPr="005467F4" w:rsidP="003D3BEF" w14:paraId="60CA79A2" w14:textId="77777777">
      <w:pPr>
        <w:pStyle w:val="a"/>
        <w:spacing w:line="269" w:lineRule="auto"/>
        <w:rPr>
          <w:rtl/>
        </w:rPr>
      </w:pPr>
    </w:p>
    <w:p w:rsidR="003D3BEF" w:rsidP="003D3BEF" w14:paraId="52A91D42" w14:textId="77777777">
      <w:pPr>
        <w:spacing w:line="269" w:lineRule="auto"/>
        <w:rPr>
          <w:sz w:val="24"/>
          <w:rtl/>
        </w:rPr>
      </w:pPr>
      <w:r w:rsidRPr="000A4310">
        <w:rPr>
          <w:rFonts w:hint="cs"/>
          <w:sz w:val="24"/>
          <w:rtl/>
        </w:rPr>
        <w:t xml:space="preserve">משרד </w:t>
      </w:r>
      <w:r>
        <w:rPr>
          <w:rFonts w:hint="cs"/>
          <w:sz w:val="24"/>
          <w:rtl/>
        </w:rPr>
        <w:t>מבקר המדינה בדק את כמויות המים שהתאגיד נווה מדבר גובה בגינן תשלומים בפועל, מתוך כל כמות המים שרכש, ואת ההפסד הכספי שנגרם לתאגיד מפחת מים ומפחת גבייה, נכון לשנת 2018. להלן הפער בין כמות המים שהתאגיד רכש, הכמות שנצרכה (לאחר פחת מים) והכמות שבגינה שולם בפועל</w:t>
      </w:r>
      <w:r>
        <w:rPr>
          <w:rStyle w:val="FootnoteReference"/>
          <w:noProof/>
          <w:rtl/>
        </w:rPr>
        <w:footnoteReference w:id="74"/>
      </w:r>
      <w:r>
        <w:rPr>
          <w:rFonts w:hint="cs"/>
          <w:sz w:val="24"/>
          <w:rtl/>
        </w:rPr>
        <w:t xml:space="preserve">, נכון לשנת 2018: </w:t>
      </w:r>
    </w:p>
    <w:p w:rsidR="003D3BEF" w:rsidP="003D3BEF" w14:paraId="3CD44BE9" w14:textId="77777777">
      <w:pPr>
        <w:pStyle w:val="a"/>
        <w:spacing w:line="269" w:lineRule="auto"/>
        <w:rPr>
          <w:b/>
          <w:bCs/>
          <w:noProof/>
          <w:rtl/>
        </w:rPr>
      </w:pPr>
    </w:p>
    <w:p w:rsidR="003D3BEF" w:rsidRPr="00D9026C" w:rsidP="007B21F7" w14:paraId="377108CE" w14:textId="77777777">
      <w:pPr>
        <w:spacing w:line="269" w:lineRule="auto"/>
        <w:jc w:val="center"/>
        <w:rPr>
          <w:b/>
          <w:bCs/>
          <w:noProof/>
        </w:rPr>
      </w:pPr>
      <w:r w:rsidRPr="00D9026C">
        <w:rPr>
          <w:rFonts w:hint="cs"/>
          <w:b/>
          <w:bCs/>
          <w:noProof/>
          <w:rtl/>
        </w:rPr>
        <w:t xml:space="preserve">תרשים </w:t>
      </w:r>
      <w:r>
        <w:rPr>
          <w:rFonts w:hint="cs"/>
          <w:b/>
          <w:bCs/>
          <w:noProof/>
          <w:rtl/>
        </w:rPr>
        <w:t>29</w:t>
      </w:r>
      <w:r w:rsidRPr="00D9026C">
        <w:rPr>
          <w:rFonts w:hint="cs"/>
          <w:b/>
          <w:bCs/>
          <w:noProof/>
          <w:rtl/>
        </w:rPr>
        <w:t xml:space="preserve">: </w:t>
      </w:r>
      <w:r>
        <w:rPr>
          <w:rFonts w:hint="cs"/>
          <w:b/>
          <w:bCs/>
          <w:noProof/>
          <w:rtl/>
        </w:rPr>
        <w:t>הפער בין כמות המים הנרכשת בתאגיד נווה מדבר לבין</w:t>
      </w:r>
      <w:r w:rsidR="007B21F7">
        <w:rPr>
          <w:b/>
          <w:bCs/>
          <w:noProof/>
          <w:rtl/>
        </w:rPr>
        <w:br/>
      </w:r>
      <w:r>
        <w:rPr>
          <w:rFonts w:hint="cs"/>
          <w:b/>
          <w:bCs/>
          <w:noProof/>
          <w:rtl/>
        </w:rPr>
        <w:t>כמות המים שבגינה שולם בפועל, 2018 (</w:t>
      </w:r>
      <w:r w:rsidRPr="00D9026C">
        <w:rPr>
          <w:rFonts w:hint="cs"/>
          <w:b/>
          <w:bCs/>
          <w:noProof/>
          <w:rtl/>
        </w:rPr>
        <w:t>במ"ק</w:t>
      </w:r>
      <w:r>
        <w:rPr>
          <w:rFonts w:hint="cs"/>
          <w:b/>
          <w:bCs/>
          <w:noProof/>
          <w:rtl/>
        </w:rPr>
        <w:t>)</w:t>
      </w:r>
    </w:p>
    <w:p w:rsidR="003D3BEF" w:rsidRPr="00B56846" w:rsidP="007B21F7" w14:paraId="066B948A" w14:textId="77777777">
      <w:pPr>
        <w:spacing w:before="120" w:after="120" w:line="269" w:lineRule="auto"/>
        <w:jc w:val="center"/>
        <w:rPr>
          <w:b/>
          <w:bCs/>
          <w:color w:val="FF0000"/>
          <w:sz w:val="24"/>
          <w:rtl/>
        </w:rPr>
      </w:pPr>
      <w:r>
        <w:rPr>
          <w:b/>
          <w:bCs/>
          <w:noProof/>
          <w:color w:val="FF0000"/>
          <w:sz w:val="24"/>
          <w:rtl/>
        </w:rPr>
        <w:drawing>
          <wp:inline distT="0" distB="0" distL="0" distR="0">
            <wp:extent cx="4325121" cy="2334773"/>
            <wp:effectExtent l="0" t="0" r="0" b="8890"/>
            <wp:docPr id="780323268" name="תמונה 78032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56439" name="water-corporations-g-29.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34773"/>
                    </a:xfrm>
                    <a:prstGeom prst="rect">
                      <a:avLst/>
                    </a:prstGeom>
                  </pic:spPr>
                </pic:pic>
              </a:graphicData>
            </a:graphic>
          </wp:inline>
        </w:drawing>
      </w:r>
    </w:p>
    <w:p w:rsidR="003D3BEF" w:rsidRPr="00684E93" w:rsidP="007B21F7" w14:paraId="682E3378"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4F796B6B" w14:textId="77777777">
      <w:pPr>
        <w:pStyle w:val="a"/>
        <w:spacing w:line="269" w:lineRule="auto"/>
        <w:rPr>
          <w:rtl/>
        </w:rPr>
      </w:pPr>
    </w:p>
    <w:p w:rsidR="003D3BEF" w:rsidP="003D3BEF" w14:paraId="001AC623" w14:textId="77777777">
      <w:pPr>
        <w:spacing w:line="269" w:lineRule="auto"/>
        <w:ind w:left="-1"/>
        <w:rPr>
          <w:sz w:val="24"/>
          <w:rtl/>
        </w:rPr>
      </w:pPr>
      <w:r>
        <w:rPr>
          <w:rFonts w:hint="cs"/>
          <w:sz w:val="24"/>
          <w:rtl/>
        </w:rPr>
        <w:t xml:space="preserve">מהתרשים עולה כי </w:t>
      </w:r>
      <w:r w:rsidRPr="00D17814">
        <w:rPr>
          <w:sz w:val="24"/>
          <w:rtl/>
        </w:rPr>
        <w:t xml:space="preserve">תאגיד </w:t>
      </w:r>
      <w:r>
        <w:rPr>
          <w:rFonts w:hint="cs"/>
          <w:sz w:val="24"/>
          <w:rtl/>
        </w:rPr>
        <w:t xml:space="preserve">נווה מדבר גובה בפועל </w:t>
      </w:r>
      <w:r w:rsidRPr="00D17814">
        <w:rPr>
          <w:sz w:val="24"/>
          <w:rtl/>
        </w:rPr>
        <w:t>תשלום עבור פחות מ</w:t>
      </w:r>
      <w:r>
        <w:rPr>
          <w:rFonts w:hint="cs"/>
          <w:sz w:val="24"/>
          <w:rtl/>
        </w:rPr>
        <w:t>חצי</w:t>
      </w:r>
      <w:r w:rsidRPr="00D17814">
        <w:rPr>
          <w:sz w:val="24"/>
          <w:rtl/>
        </w:rPr>
        <w:t xml:space="preserve"> (כ-42%) כמות המים </w:t>
      </w:r>
      <w:r>
        <w:rPr>
          <w:rFonts w:hint="cs"/>
          <w:sz w:val="24"/>
          <w:rtl/>
        </w:rPr>
        <w:t>שהוא רוכש</w:t>
      </w:r>
      <w:r w:rsidRPr="00D17814">
        <w:rPr>
          <w:sz w:val="24"/>
          <w:rtl/>
        </w:rPr>
        <w:t xml:space="preserve">. נמצא כי בשנת 2018 </w:t>
      </w:r>
      <w:r>
        <w:rPr>
          <w:rFonts w:hint="cs"/>
          <w:sz w:val="24"/>
          <w:rtl/>
        </w:rPr>
        <w:t xml:space="preserve">הסתכם </w:t>
      </w:r>
      <w:r w:rsidRPr="00D17814">
        <w:rPr>
          <w:sz w:val="24"/>
          <w:rtl/>
        </w:rPr>
        <w:t>ההפסד</w:t>
      </w:r>
      <w:r>
        <w:rPr>
          <w:rFonts w:hint="cs"/>
          <w:sz w:val="24"/>
          <w:rtl/>
        </w:rPr>
        <w:t xml:space="preserve"> הכספי</w:t>
      </w:r>
      <w:r w:rsidRPr="00D17814">
        <w:rPr>
          <w:sz w:val="24"/>
          <w:rtl/>
        </w:rPr>
        <w:t xml:space="preserve"> שנגרם לתאגיד בגין פחת מים ופחת </w:t>
      </w:r>
      <w:r>
        <w:rPr>
          <w:sz w:val="24"/>
          <w:rtl/>
        </w:rPr>
        <w:t>גב</w:t>
      </w:r>
      <w:r>
        <w:rPr>
          <w:rFonts w:hint="cs"/>
          <w:sz w:val="24"/>
          <w:rtl/>
        </w:rPr>
        <w:t>י</w:t>
      </w:r>
      <w:r>
        <w:rPr>
          <w:sz w:val="24"/>
          <w:rtl/>
        </w:rPr>
        <w:t xml:space="preserve">יה </w:t>
      </w:r>
      <w:r>
        <w:rPr>
          <w:rFonts w:hint="cs"/>
          <w:sz w:val="24"/>
          <w:rtl/>
        </w:rPr>
        <w:t>בכ-47.5 מיליון ש"ח, שהם כ- 108% מההכנסות של התאגיד באותה שנה שעמדו על כ-44 מיליון ש"ח, וכ- 120% מסך ההוצאות של התאגיד באותה שנה שעמדו על כ-39.6 מיליון ש"ח.</w:t>
      </w:r>
    </w:p>
    <w:p w:rsidR="003D3BEF" w:rsidP="003D3BEF" w14:paraId="1E2FCD29" w14:textId="77777777">
      <w:pPr>
        <w:pStyle w:val="a"/>
        <w:spacing w:line="269" w:lineRule="auto"/>
        <w:rPr>
          <w:rtl/>
        </w:rPr>
      </w:pPr>
    </w:p>
    <w:p w:rsidR="003D3BEF" w:rsidP="003D3BEF" w14:paraId="2ADE6A53" w14:textId="77777777">
      <w:pPr>
        <w:spacing w:line="269" w:lineRule="auto"/>
        <w:rPr>
          <w:sz w:val="24"/>
          <w:rtl/>
        </w:rPr>
      </w:pPr>
      <w:r>
        <w:rPr>
          <w:rFonts w:hint="cs"/>
          <w:sz w:val="24"/>
          <w:rtl/>
        </w:rPr>
        <w:t>עוד נמצא כי הסכום שקיבל התאגיד מסבסוד צולב בשנת 2018 עמד על כ-22.3 מיליון ש"ח. נוסף על כך, קיבל התאגיד מיום הקמתו מענקים רבים מתקציב המדינה. מענקים אלה עמדו, בממוצע שנתי, על סך של כ-20.6 מיליון ש"ח</w:t>
      </w:r>
      <w:r>
        <w:rPr>
          <w:rStyle w:val="FootnoteReference"/>
          <w:sz w:val="24"/>
          <w:rtl/>
        </w:rPr>
        <w:footnoteReference w:id="75"/>
      </w:r>
      <w:r>
        <w:rPr>
          <w:rFonts w:hint="cs"/>
          <w:sz w:val="24"/>
          <w:rtl/>
        </w:rPr>
        <w:t>. מכאן, על אף הסכומים הגבוהים של הסיוע השנתי העומדים על כ-42.9 מיליון ש"ח, עדיין ההפסד השוטף השנתי של התאגיד מפחת מים ומפחת גבייה בשנת 2018 גדול יותר מסכום זה.</w:t>
      </w:r>
    </w:p>
    <w:p w:rsidR="003D3BEF" w:rsidP="003D3BEF" w14:paraId="31A1BE81" w14:textId="77777777">
      <w:pPr>
        <w:pStyle w:val="a"/>
        <w:spacing w:line="269" w:lineRule="auto"/>
        <w:rPr>
          <w:rtl/>
        </w:rPr>
      </w:pPr>
    </w:p>
    <w:p w:rsidR="003D3BEF" w:rsidP="003D3BEF" w14:paraId="2516383A" w14:textId="77777777">
      <w:pPr>
        <w:spacing w:line="269" w:lineRule="auto"/>
        <w:rPr>
          <w:b/>
          <w:bCs/>
          <w:sz w:val="24"/>
          <w:rtl/>
        </w:rPr>
      </w:pPr>
      <w:r w:rsidRPr="00B70DE1">
        <w:rPr>
          <w:rFonts w:hint="cs"/>
          <w:b/>
          <w:bCs/>
          <w:sz w:val="24"/>
          <w:rtl/>
        </w:rPr>
        <w:t xml:space="preserve">מממצאים אלה עולה כי עד שלא יטופלו הערכים הקיצוניים של פחת המים ופחת הגבייה בתאגיד נווה מדבר, אין בכוחו של סל הסיוע הכספי הגדול, כדי לפתור את בעיית האיתנות הפיננסית של התאגיד, ולהביאו לעצמאות כלכלית. </w:t>
      </w:r>
    </w:p>
    <w:p w:rsidR="003D3BEF" w:rsidP="003D3BEF" w14:paraId="6077C8FC" w14:textId="77777777">
      <w:pPr>
        <w:pStyle w:val="a"/>
        <w:spacing w:line="269" w:lineRule="auto"/>
        <w:rPr>
          <w:rtl/>
        </w:rPr>
      </w:pPr>
    </w:p>
    <w:p w:rsidR="003D3BEF" w:rsidRPr="005C3F06" w:rsidP="003D3BEF" w14:paraId="6E664310" w14:textId="77777777">
      <w:pPr>
        <w:spacing w:line="269" w:lineRule="auto"/>
        <w:rPr>
          <w:sz w:val="24"/>
          <w:rtl/>
        </w:rPr>
      </w:pPr>
      <w:r>
        <w:rPr>
          <w:rFonts w:hint="cs"/>
          <w:sz w:val="24"/>
          <w:rtl/>
        </w:rPr>
        <w:t xml:space="preserve">בתשובתו ציין </w:t>
      </w:r>
      <w:r w:rsidRPr="005C3F06">
        <w:rPr>
          <w:sz w:val="24"/>
          <w:rtl/>
        </w:rPr>
        <w:t xml:space="preserve">תאגיד נווה מדבר כי התאגיד שונה וקיצוני במאפייניו מכל תאגיד אחר. </w:t>
      </w:r>
      <w:r>
        <w:rPr>
          <w:rFonts w:hint="cs"/>
          <w:sz w:val="24"/>
          <w:rtl/>
        </w:rPr>
        <w:t>ל</w:t>
      </w:r>
      <w:r w:rsidRPr="005C3F06">
        <w:rPr>
          <w:sz w:val="24"/>
          <w:rtl/>
        </w:rPr>
        <w:t xml:space="preserve">תאגיד מאפיינים ייחודיים שמקורם באוכלוסייה הבדואית </w:t>
      </w:r>
      <w:r>
        <w:rPr>
          <w:rFonts w:hint="cs"/>
          <w:sz w:val="24"/>
          <w:rtl/>
        </w:rPr>
        <w:t>ש</w:t>
      </w:r>
      <w:r w:rsidRPr="005C3F06">
        <w:rPr>
          <w:sz w:val="24"/>
          <w:rtl/>
        </w:rPr>
        <w:t xml:space="preserve">הוא משרת, </w:t>
      </w:r>
      <w:r>
        <w:rPr>
          <w:rFonts w:hint="cs"/>
          <w:sz w:val="24"/>
          <w:rtl/>
        </w:rPr>
        <w:t>ה</w:t>
      </w:r>
      <w:r w:rsidRPr="005C3F06">
        <w:rPr>
          <w:sz w:val="24"/>
          <w:rtl/>
        </w:rPr>
        <w:t>מתבטאים באתגרים גיאוגרפיים, חברתיים וכלכליים שונים. ההתמודדות עם מאפיינים ואתגרים אל</w:t>
      </w:r>
      <w:r>
        <w:rPr>
          <w:rFonts w:hint="cs"/>
          <w:sz w:val="24"/>
          <w:rtl/>
        </w:rPr>
        <w:t>ה</w:t>
      </w:r>
      <w:r w:rsidRPr="005C3F06">
        <w:rPr>
          <w:sz w:val="24"/>
          <w:rtl/>
        </w:rPr>
        <w:t xml:space="preserve"> מחייבת התמחות והפניית משאבים ייעודית לטיפול בבעיות השורשיות הקיימות במגזר. </w:t>
      </w:r>
    </w:p>
    <w:p w:rsidR="003D3BEF" w:rsidRPr="005C3F06" w:rsidP="003D3BEF" w14:paraId="64279CA5" w14:textId="77777777">
      <w:pPr>
        <w:pStyle w:val="a"/>
        <w:spacing w:line="269" w:lineRule="auto"/>
        <w:rPr>
          <w:rtl/>
        </w:rPr>
      </w:pPr>
    </w:p>
    <w:p w:rsidR="003D3BEF" w:rsidP="003D3BEF" w14:paraId="5EB14C11" w14:textId="77777777">
      <w:pPr>
        <w:spacing w:line="269" w:lineRule="auto"/>
        <w:rPr>
          <w:sz w:val="24"/>
          <w:rtl/>
        </w:rPr>
      </w:pPr>
      <w:r w:rsidRPr="005C3F06">
        <w:rPr>
          <w:sz w:val="24"/>
          <w:rtl/>
        </w:rPr>
        <w:t xml:space="preserve">התאגיד </w:t>
      </w:r>
      <w:r>
        <w:rPr>
          <w:rFonts w:hint="cs"/>
          <w:sz w:val="24"/>
          <w:rtl/>
        </w:rPr>
        <w:t xml:space="preserve">הוסיף </w:t>
      </w:r>
      <w:r w:rsidRPr="005C3F06">
        <w:rPr>
          <w:sz w:val="24"/>
          <w:rtl/>
        </w:rPr>
        <w:t xml:space="preserve">כי הוא שיפר משמעותית </w:t>
      </w:r>
      <w:r>
        <w:rPr>
          <w:rFonts w:hint="cs"/>
          <w:sz w:val="24"/>
          <w:rtl/>
        </w:rPr>
        <w:t>את ה</w:t>
      </w:r>
      <w:r w:rsidRPr="005C3F06">
        <w:rPr>
          <w:sz w:val="24"/>
          <w:rtl/>
        </w:rPr>
        <w:t>פרמטרים לעומת</w:t>
      </w:r>
      <w:r>
        <w:rPr>
          <w:rFonts w:hint="cs"/>
          <w:sz w:val="24"/>
          <w:rtl/>
        </w:rPr>
        <w:t xml:space="preserve"> הפרמטרים </w:t>
      </w:r>
      <w:r w:rsidRPr="005C3F06">
        <w:rPr>
          <w:sz w:val="24"/>
          <w:rtl/>
        </w:rPr>
        <w:t>שהיו קיימים טרם פעילותו, אך המשך השיפור מצריך משאבים כספיים ייעודיים ומתמשכים, יחד עם סיוע המדינה שבלעדין לא ניתן יהיה להתקדם. כך לדוגמ</w:t>
      </w:r>
      <w:r>
        <w:rPr>
          <w:rFonts w:hint="cs"/>
          <w:sz w:val="24"/>
          <w:rtl/>
        </w:rPr>
        <w:t>ה</w:t>
      </w:r>
      <w:r w:rsidRPr="005C3F06">
        <w:rPr>
          <w:sz w:val="24"/>
          <w:rtl/>
        </w:rPr>
        <w:t>, שירותי הדואר</w:t>
      </w:r>
      <w:r>
        <w:rPr>
          <w:rFonts w:hint="cs"/>
          <w:sz w:val="24"/>
          <w:rtl/>
        </w:rPr>
        <w:t xml:space="preserve"> ביישובי התאגיד</w:t>
      </w:r>
      <w:r w:rsidRPr="005C3F06">
        <w:rPr>
          <w:sz w:val="24"/>
          <w:rtl/>
        </w:rPr>
        <w:t xml:space="preserve"> פועלים באופן חלקי</w:t>
      </w:r>
      <w:r>
        <w:rPr>
          <w:rFonts w:hint="cs"/>
          <w:sz w:val="24"/>
          <w:rtl/>
        </w:rPr>
        <w:t>,</w:t>
      </w:r>
      <w:r w:rsidRPr="005C3F06">
        <w:rPr>
          <w:sz w:val="24"/>
          <w:rtl/>
        </w:rPr>
        <w:t xml:space="preserve"> אם בכלל</w:t>
      </w:r>
      <w:r>
        <w:rPr>
          <w:rFonts w:hint="cs"/>
          <w:sz w:val="24"/>
          <w:rtl/>
        </w:rPr>
        <w:t>,</w:t>
      </w:r>
      <w:r w:rsidRPr="005C3F06">
        <w:rPr>
          <w:sz w:val="24"/>
          <w:rtl/>
        </w:rPr>
        <w:t xml:space="preserve"> ו</w:t>
      </w:r>
      <w:r>
        <w:rPr>
          <w:rFonts w:hint="cs"/>
          <w:sz w:val="24"/>
          <w:rtl/>
        </w:rPr>
        <w:t xml:space="preserve">חשבונות המים </w:t>
      </w:r>
      <w:r w:rsidRPr="005C3F06">
        <w:rPr>
          <w:sz w:val="24"/>
          <w:rtl/>
        </w:rPr>
        <w:t xml:space="preserve">כלל </w:t>
      </w:r>
      <w:r>
        <w:rPr>
          <w:rFonts w:hint="cs"/>
          <w:sz w:val="24"/>
          <w:rtl/>
        </w:rPr>
        <w:t>אינם</w:t>
      </w:r>
      <w:r w:rsidRPr="005C3F06">
        <w:rPr>
          <w:sz w:val="24"/>
          <w:rtl/>
        </w:rPr>
        <w:t xml:space="preserve"> מגיע</w:t>
      </w:r>
      <w:r>
        <w:rPr>
          <w:rFonts w:hint="cs"/>
          <w:sz w:val="24"/>
          <w:rtl/>
        </w:rPr>
        <w:t>ים</w:t>
      </w:r>
      <w:r w:rsidRPr="005C3F06">
        <w:rPr>
          <w:sz w:val="24"/>
          <w:rtl/>
        </w:rPr>
        <w:t xml:space="preserve"> לתושבים. בנוסף, כל פעולת אסדרה ואכיפה של התאגיד בשטח מחייבת ליווי משטרתי וכרוכה בעלות של אלפי שקלים ליום. עלות זו אינה מכוסה בתעריף ועל מנת </w:t>
      </w:r>
      <w:r>
        <w:rPr>
          <w:rFonts w:hint="cs"/>
          <w:sz w:val="24"/>
          <w:rtl/>
        </w:rPr>
        <w:t>ש</w:t>
      </w:r>
      <w:r w:rsidRPr="005C3F06">
        <w:rPr>
          <w:sz w:val="24"/>
          <w:rtl/>
        </w:rPr>
        <w:t>תהיה אפקטיבית היא מחייבת ביקורים חוזרים.</w:t>
      </w:r>
    </w:p>
    <w:p w:rsidR="003D3BEF" w:rsidRPr="005C3F06" w:rsidP="003D3BEF" w14:paraId="52C0181E" w14:textId="77777777">
      <w:pPr>
        <w:pStyle w:val="a"/>
        <w:spacing w:line="269" w:lineRule="auto"/>
        <w:rPr>
          <w:rtl/>
        </w:rPr>
      </w:pPr>
    </w:p>
    <w:p w:rsidR="003D3BEF" w:rsidP="003D3BEF" w14:paraId="2E6A1EFA" w14:textId="77777777">
      <w:pPr>
        <w:spacing w:line="269" w:lineRule="auto"/>
        <w:rPr>
          <w:sz w:val="24"/>
          <w:rtl/>
        </w:rPr>
      </w:pPr>
      <w:r>
        <w:rPr>
          <w:rFonts w:hint="cs"/>
          <w:sz w:val="24"/>
          <w:rtl/>
        </w:rPr>
        <w:t xml:space="preserve">משרד מבקר המדינה השווה בין </w:t>
      </w:r>
      <w:r w:rsidRPr="00532B90">
        <w:rPr>
          <w:rFonts w:hint="cs"/>
          <w:sz w:val="24"/>
          <w:rtl/>
        </w:rPr>
        <w:t>טווח ערכי פחת הגב</w:t>
      </w:r>
      <w:r>
        <w:rPr>
          <w:rFonts w:hint="cs"/>
          <w:sz w:val="24"/>
          <w:rtl/>
        </w:rPr>
        <w:t>י</w:t>
      </w:r>
      <w:r w:rsidRPr="00532B90">
        <w:rPr>
          <w:rFonts w:hint="cs"/>
          <w:sz w:val="24"/>
          <w:rtl/>
        </w:rPr>
        <w:t xml:space="preserve">יה השוטף בפועל לשנת 2018 </w:t>
      </w:r>
      <w:r>
        <w:rPr>
          <w:rFonts w:hint="cs"/>
          <w:sz w:val="24"/>
          <w:rtl/>
        </w:rPr>
        <w:t>בתאגידים חלשים זכאים, בתאגידים חלשים שאינם זכאים וביתר התאגידים.</w:t>
      </w:r>
      <w:r w:rsidRPr="00532B90">
        <w:rPr>
          <w:rFonts w:hint="cs"/>
          <w:sz w:val="24"/>
          <w:rtl/>
        </w:rPr>
        <w:t xml:space="preserve"> </w:t>
      </w:r>
    </w:p>
    <w:p w:rsidR="003D3BEF" w:rsidP="003D3BEF" w14:paraId="38331BC3" w14:textId="77777777">
      <w:pPr>
        <w:pStyle w:val="a"/>
        <w:spacing w:line="269" w:lineRule="auto"/>
        <w:rPr>
          <w:rtl/>
        </w:rPr>
      </w:pPr>
    </w:p>
    <w:p w:rsidR="003D3BEF" w:rsidRPr="00532B90" w:rsidP="003D3BEF" w14:paraId="1BBCD17F" w14:textId="77777777">
      <w:pPr>
        <w:spacing w:line="269" w:lineRule="auto"/>
        <w:jc w:val="center"/>
        <w:rPr>
          <w:sz w:val="24"/>
          <w:rtl/>
        </w:rPr>
      </w:pPr>
      <w:r w:rsidRPr="00DF20BB">
        <w:rPr>
          <w:rFonts w:hint="cs"/>
          <w:b/>
          <w:bCs/>
          <w:sz w:val="24"/>
          <w:rtl/>
        </w:rPr>
        <w:t xml:space="preserve">תרשים </w:t>
      </w:r>
      <w:r>
        <w:rPr>
          <w:rFonts w:hint="cs"/>
          <w:b/>
          <w:bCs/>
          <w:sz w:val="24"/>
          <w:rtl/>
        </w:rPr>
        <w:t>30:</w:t>
      </w:r>
      <w:r w:rsidRPr="00DF20BB">
        <w:rPr>
          <w:rFonts w:hint="cs"/>
          <w:b/>
          <w:bCs/>
          <w:sz w:val="24"/>
          <w:rtl/>
        </w:rPr>
        <w:t xml:space="preserve"> </w:t>
      </w:r>
      <w:r w:rsidRPr="00532B90">
        <w:rPr>
          <w:rFonts w:hint="cs"/>
          <w:b/>
          <w:bCs/>
          <w:sz w:val="24"/>
          <w:rtl/>
        </w:rPr>
        <w:t xml:space="preserve">טווח ערכי </w:t>
      </w:r>
      <w:r>
        <w:rPr>
          <w:rFonts w:hint="cs"/>
          <w:b/>
          <w:bCs/>
          <w:sz w:val="24"/>
          <w:rtl/>
        </w:rPr>
        <w:t xml:space="preserve">שיעורי החיובים השנתיים שטרם נגבו </w:t>
      </w:r>
      <w:r w:rsidRPr="00532B90">
        <w:rPr>
          <w:rFonts w:hint="cs"/>
          <w:b/>
          <w:bCs/>
          <w:sz w:val="24"/>
          <w:rtl/>
        </w:rPr>
        <w:t xml:space="preserve">בפועל </w:t>
      </w:r>
      <w:r>
        <w:rPr>
          <w:rFonts w:hint="cs"/>
          <w:b/>
          <w:bCs/>
          <w:sz w:val="24"/>
          <w:rtl/>
        </w:rPr>
        <w:t>בתאגידים חלשים זכאים</w:t>
      </w:r>
      <w:r>
        <w:rPr>
          <w:rStyle w:val="FootnoteReference"/>
          <w:b/>
          <w:bCs/>
          <w:sz w:val="24"/>
          <w:rtl/>
        </w:rPr>
        <w:footnoteReference w:id="76"/>
      </w:r>
      <w:r>
        <w:rPr>
          <w:rFonts w:hint="cs"/>
          <w:b/>
          <w:bCs/>
          <w:sz w:val="24"/>
          <w:rtl/>
        </w:rPr>
        <w:t>, תאגידים חלשים שאינם זכאים ויתר התאגידים</w:t>
      </w:r>
      <w:r>
        <w:rPr>
          <w:rFonts w:hint="cs"/>
          <w:sz w:val="24"/>
          <w:rtl/>
        </w:rPr>
        <w:t>, 2018</w:t>
      </w:r>
    </w:p>
    <w:p w:rsidR="003D3BEF" w:rsidRPr="00240029" w:rsidP="007B21F7" w14:paraId="35BDBDD1" w14:textId="77777777">
      <w:pPr>
        <w:spacing w:before="120" w:after="120" w:line="269" w:lineRule="auto"/>
        <w:jc w:val="center"/>
        <w:rPr>
          <w:color w:val="FF0000"/>
          <w:sz w:val="24"/>
          <w:rtl/>
        </w:rPr>
      </w:pPr>
      <w:r>
        <w:rPr>
          <w:noProof/>
          <w:color w:val="FF0000"/>
          <w:sz w:val="24"/>
          <w:rtl/>
        </w:rPr>
        <w:drawing>
          <wp:inline distT="0" distB="0" distL="0" distR="0">
            <wp:extent cx="4325121" cy="2279909"/>
            <wp:effectExtent l="0" t="0" r="0" b="6350"/>
            <wp:docPr id="780323269" name="תמונה 78032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53032" name="water-corporations-g-30.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279909"/>
                    </a:xfrm>
                    <a:prstGeom prst="rect">
                      <a:avLst/>
                    </a:prstGeom>
                  </pic:spPr>
                </pic:pic>
              </a:graphicData>
            </a:graphic>
          </wp:inline>
        </w:drawing>
      </w:r>
    </w:p>
    <w:p w:rsidR="003D3BEF" w:rsidRPr="00684E93" w:rsidP="007B21F7" w14:paraId="4B27DC1B" w14:textId="77777777">
      <w:pPr>
        <w:spacing w:line="269" w:lineRule="auto"/>
        <w:rPr>
          <w:sz w:val="22"/>
          <w:szCs w:val="22"/>
          <w:rtl/>
        </w:rPr>
      </w:pPr>
      <w:r w:rsidRPr="00684E93">
        <w:rPr>
          <w:rFonts w:hint="eastAsia"/>
          <w:sz w:val="22"/>
          <w:szCs w:val="22"/>
          <w:rtl/>
        </w:rPr>
        <w:t>על</w:t>
      </w:r>
      <w:r w:rsidRPr="00684E93">
        <w:rPr>
          <w:sz w:val="22"/>
          <w:szCs w:val="22"/>
          <w:rtl/>
        </w:rPr>
        <w:t xml:space="preserve"> פי </w:t>
      </w:r>
      <w:r w:rsidRPr="00684E93">
        <w:rPr>
          <w:rFonts w:hint="eastAsia"/>
          <w:sz w:val="22"/>
          <w:szCs w:val="22"/>
          <w:rtl/>
        </w:rPr>
        <w:t>נותני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rFonts w:hint="cs"/>
          <w:sz w:val="22"/>
          <w:szCs w:val="22"/>
          <w:rtl/>
        </w:rPr>
        <w:t>,</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6A3F91" w:rsidP="003D3BEF" w14:paraId="5333E833" w14:textId="77777777">
      <w:pPr>
        <w:pStyle w:val="a"/>
        <w:spacing w:line="269" w:lineRule="auto"/>
        <w:rPr>
          <w:rtl/>
        </w:rPr>
      </w:pPr>
    </w:p>
    <w:p w:rsidR="003D3BEF" w:rsidP="003D3BEF" w14:paraId="095FD80E" w14:textId="77777777">
      <w:pPr>
        <w:spacing w:line="269" w:lineRule="auto"/>
        <w:rPr>
          <w:sz w:val="24"/>
          <w:rtl/>
        </w:rPr>
      </w:pPr>
      <w:r>
        <w:rPr>
          <w:rFonts w:hint="cs"/>
          <w:sz w:val="24"/>
          <w:rtl/>
        </w:rPr>
        <w:t>מהתרשים עולה כי הערכים הנמוכים ביותר בטווח שיעורי החיובים השנתיים שטרם נגבו בתאגידים הזכאים קרובים לערכים הגבוהים ביותר בטווח הערכים של יתר התאגידים. הטווח העליון של שיעורי החיובים השנתיים שטרם נגבו בתאגידים הזכאים גבוה פי שלושה מיתר התאגידים, וכך גם ממוצע הערכים בקבוצות תאגידים אלה.</w:t>
      </w:r>
    </w:p>
    <w:p w:rsidR="003D3BEF" w:rsidP="003D3BEF" w14:paraId="3CF0374D" w14:textId="77777777">
      <w:pPr>
        <w:pStyle w:val="a"/>
        <w:spacing w:line="269" w:lineRule="auto"/>
        <w:rPr>
          <w:rtl/>
        </w:rPr>
      </w:pPr>
    </w:p>
    <w:p w:rsidR="003D3BEF" w:rsidP="003D3BEF" w14:paraId="668650DF" w14:textId="77777777">
      <w:pPr>
        <w:spacing w:line="269" w:lineRule="auto"/>
        <w:rPr>
          <w:b/>
          <w:bCs/>
          <w:sz w:val="24"/>
          <w:rtl/>
        </w:rPr>
      </w:pPr>
      <w:r>
        <w:rPr>
          <w:rFonts w:hint="cs"/>
          <w:b/>
          <w:bCs/>
          <w:sz w:val="24"/>
          <w:rtl/>
        </w:rPr>
        <w:t xml:space="preserve">נוכח הממצאים האמורים לעיל בדבר הגבייה, </w:t>
      </w:r>
      <w:r w:rsidRPr="00370434">
        <w:rPr>
          <w:rFonts w:hint="cs"/>
          <w:b/>
          <w:bCs/>
          <w:sz w:val="24"/>
          <w:rtl/>
        </w:rPr>
        <w:t>על רשות המים ו</w:t>
      </w:r>
      <w:r>
        <w:rPr>
          <w:rFonts w:hint="cs"/>
          <w:b/>
          <w:bCs/>
          <w:sz w:val="24"/>
          <w:rtl/>
        </w:rPr>
        <w:t xml:space="preserve">על </w:t>
      </w:r>
      <w:r w:rsidRPr="00370434">
        <w:rPr>
          <w:rFonts w:hint="cs"/>
          <w:b/>
          <w:bCs/>
          <w:sz w:val="24"/>
          <w:rtl/>
        </w:rPr>
        <w:t xml:space="preserve">התאגידים, </w:t>
      </w:r>
      <w:r>
        <w:rPr>
          <w:rFonts w:hint="cs"/>
          <w:b/>
          <w:bCs/>
          <w:sz w:val="24"/>
          <w:rtl/>
        </w:rPr>
        <w:t>ובייחוד</w:t>
      </w:r>
      <w:r w:rsidRPr="00370434">
        <w:rPr>
          <w:rFonts w:hint="cs"/>
          <w:b/>
          <w:bCs/>
          <w:sz w:val="24"/>
          <w:rtl/>
        </w:rPr>
        <w:t xml:space="preserve"> התאגידים הזכאים, ל</w:t>
      </w:r>
      <w:r>
        <w:rPr>
          <w:rFonts w:hint="cs"/>
          <w:b/>
          <w:bCs/>
          <w:sz w:val="24"/>
          <w:rtl/>
        </w:rPr>
        <w:t>עקוב אחר יתרת החובות ול</w:t>
      </w:r>
      <w:r w:rsidRPr="00370434">
        <w:rPr>
          <w:rFonts w:hint="cs"/>
          <w:b/>
          <w:bCs/>
          <w:sz w:val="24"/>
          <w:rtl/>
        </w:rPr>
        <w:t>בחון דרכים נוספות לשיפור שיעור הגב</w:t>
      </w:r>
      <w:r>
        <w:rPr>
          <w:rFonts w:hint="cs"/>
          <w:b/>
          <w:bCs/>
          <w:sz w:val="24"/>
          <w:rtl/>
        </w:rPr>
        <w:t>י</w:t>
      </w:r>
      <w:r w:rsidRPr="00370434">
        <w:rPr>
          <w:rFonts w:hint="cs"/>
          <w:b/>
          <w:bCs/>
          <w:sz w:val="24"/>
          <w:rtl/>
        </w:rPr>
        <w:t xml:space="preserve">יה בתחומם, לרבות </w:t>
      </w:r>
      <w:r>
        <w:rPr>
          <w:rFonts w:hint="cs"/>
          <w:b/>
          <w:bCs/>
          <w:sz w:val="24"/>
          <w:rtl/>
        </w:rPr>
        <w:t xml:space="preserve">זיהוי </w:t>
      </w:r>
      <w:r w:rsidRPr="00370434">
        <w:rPr>
          <w:rFonts w:hint="cs"/>
          <w:b/>
          <w:bCs/>
          <w:sz w:val="24"/>
          <w:rtl/>
        </w:rPr>
        <w:t>גורמים נוספים מחוץ למשק המים שנדרש שיתוף פעולה עימם בתחומים שונים</w:t>
      </w:r>
      <w:r>
        <w:rPr>
          <w:rFonts w:hint="cs"/>
          <w:b/>
          <w:bCs/>
          <w:sz w:val="24"/>
          <w:rtl/>
        </w:rPr>
        <w:t>,</w:t>
      </w:r>
      <w:r w:rsidRPr="00370434">
        <w:rPr>
          <w:rFonts w:hint="cs"/>
          <w:b/>
          <w:bCs/>
          <w:sz w:val="24"/>
          <w:rtl/>
        </w:rPr>
        <w:t xml:space="preserve"> כגון הסברה ו</w:t>
      </w:r>
      <w:r>
        <w:rPr>
          <w:rFonts w:hint="cs"/>
          <w:b/>
          <w:bCs/>
          <w:sz w:val="24"/>
          <w:rtl/>
        </w:rPr>
        <w:t>הגברת ה</w:t>
      </w:r>
      <w:r w:rsidRPr="00370434">
        <w:rPr>
          <w:rFonts w:hint="cs"/>
          <w:b/>
          <w:bCs/>
          <w:sz w:val="24"/>
          <w:rtl/>
        </w:rPr>
        <w:t>אכיפה, כדי להביא לשיפור במדדים השונים</w:t>
      </w:r>
      <w:r>
        <w:rPr>
          <w:rFonts w:hint="cs"/>
          <w:b/>
          <w:bCs/>
          <w:sz w:val="24"/>
          <w:rtl/>
        </w:rPr>
        <w:t>. נתוני פחת הגבייה בתאגידים הזכאים בלתי סבירים והם אינם מאפשרים קיימות פיננסית. שיפור בפחת הגבייה יכול לצמצם את הצורך במענקים הניתנים בסכומים גבוהים לאותם תאגידים, ולקדם את מטרת רפורמת התיאגוד בשיפור איתנותם הפיננסית של התאגידים והיכולת להשתמש בהכנסות אלה להגדלת ההשקעות בתשתיות המים והביוב.</w:t>
      </w:r>
    </w:p>
    <w:p w:rsidR="003D3BEF" w:rsidP="003D3BEF" w14:paraId="49D97B4A" w14:textId="77777777">
      <w:pPr>
        <w:pStyle w:val="a"/>
        <w:spacing w:line="269" w:lineRule="auto"/>
        <w:rPr>
          <w:rtl/>
        </w:rPr>
      </w:pPr>
    </w:p>
    <w:p w:rsidR="003D3BEF" w:rsidP="003D3BEF" w14:paraId="375B9E86" w14:textId="77777777">
      <w:pPr>
        <w:spacing w:line="269" w:lineRule="auto"/>
        <w:rPr>
          <w:b/>
          <w:bCs/>
          <w:sz w:val="24"/>
          <w:rtl/>
        </w:rPr>
      </w:pPr>
      <w:r>
        <w:rPr>
          <w:rFonts w:hint="cs"/>
          <w:b/>
          <w:bCs/>
          <w:sz w:val="24"/>
          <w:rtl/>
        </w:rPr>
        <w:t>עוד מומלץ כי הרשות תפעל ליצירת מנגנון עידוד לכלל התאגידים לשם עמידה בפחת גבייה נורמטיבי.</w:t>
      </w:r>
    </w:p>
    <w:p w:rsidR="003D3BEF" w:rsidP="003D3BEF" w14:paraId="50DD4FF3" w14:textId="77777777">
      <w:pPr>
        <w:pStyle w:val="a"/>
        <w:spacing w:line="269" w:lineRule="auto"/>
        <w:rPr>
          <w:rtl/>
        </w:rPr>
      </w:pPr>
    </w:p>
    <w:p w:rsidR="003D3BEF" w:rsidP="003D3BEF" w14:paraId="5550EBE0" w14:textId="77777777">
      <w:pPr>
        <w:pStyle w:val="Heading4"/>
        <w:spacing w:before="0" w:line="269" w:lineRule="auto"/>
        <w:rPr>
          <w:rtl/>
        </w:rPr>
      </w:pPr>
      <w:r w:rsidRPr="007634DF">
        <w:rPr>
          <w:rFonts w:hint="eastAsia"/>
          <w:rtl/>
        </w:rPr>
        <w:t>עלויות</w:t>
      </w:r>
      <w:r w:rsidRPr="007634DF">
        <w:rPr>
          <w:rtl/>
        </w:rPr>
        <w:t xml:space="preserve"> </w:t>
      </w:r>
      <w:r w:rsidRPr="007634DF">
        <w:rPr>
          <w:rFonts w:hint="eastAsia"/>
          <w:rtl/>
        </w:rPr>
        <w:t>תפעול</w:t>
      </w:r>
    </w:p>
    <w:p w:rsidR="003D3BEF" w:rsidRPr="00BF4090" w:rsidP="003D3BEF" w14:paraId="1C75DEF9" w14:textId="77777777">
      <w:pPr>
        <w:pStyle w:val="a"/>
        <w:rPr>
          <w:rtl/>
        </w:rPr>
      </w:pPr>
    </w:p>
    <w:p w:rsidR="003D3BEF" w:rsidRPr="00BF4090" w:rsidP="003D3BEF" w14:paraId="70F7ADD4" w14:textId="77777777">
      <w:pPr>
        <w:pStyle w:val="ListParagraph"/>
        <w:numPr>
          <w:ilvl w:val="0"/>
          <w:numId w:val="18"/>
        </w:numPr>
        <w:spacing w:line="269" w:lineRule="auto"/>
        <w:ind w:left="312"/>
        <w:rPr>
          <w:sz w:val="24"/>
          <w:rtl/>
        </w:rPr>
      </w:pPr>
      <w:r w:rsidRPr="00BF4090">
        <w:rPr>
          <w:rFonts w:hint="cs"/>
          <w:sz w:val="24"/>
          <w:rtl/>
        </w:rPr>
        <w:t>עלויות התפעול הנורמטיביות שקבעה רשות המים כוללות ארבעה מחוללי עלות עיקריים: תפעול רשת מים, תפעול רשת ביוב, הנהלה ומערך גבייה ושירות לקוחות. כל מחולל עלות מורכב ממספר רב של סעיפים. חלק מסעיפי העלות משתנים מתאגיד לתאגיד כתלות במספר הצרכנים או במאפיינים הנדסיים, גיאוגרפיים וטופוגרפיים של התשתיות שהתאגיד מתפעל. סכום כל מחוללי העלות האמורים, על סעיפיהם, משקף את עלות התפעול הנורמטיבית. רשות המים קבעה נורמות לכל אחד מסעיפי התפעול לכל תאגיד. נורמות אלה משקפות תפקוד שוטף שלדעת רשות המים הוא תפקוד יעיל, בהתחשב במאפייני כל אחד מהתאגידים.</w:t>
      </w:r>
    </w:p>
    <w:p w:rsidR="003D3BEF" w:rsidP="003D3BEF" w14:paraId="68D480C5" w14:textId="77777777">
      <w:pPr>
        <w:pStyle w:val="a"/>
        <w:spacing w:line="269" w:lineRule="auto"/>
        <w:rPr>
          <w:rtl/>
        </w:rPr>
      </w:pPr>
    </w:p>
    <w:p w:rsidR="003D3BEF" w:rsidP="003D3BEF" w14:paraId="3B5CEEFE" w14:textId="77777777">
      <w:pPr>
        <w:spacing w:line="269" w:lineRule="auto"/>
        <w:ind w:left="312"/>
        <w:rPr>
          <w:sz w:val="24"/>
          <w:rtl/>
        </w:rPr>
      </w:pPr>
      <w:r>
        <w:rPr>
          <w:rFonts w:hint="cs"/>
          <w:sz w:val="24"/>
          <w:rtl/>
        </w:rPr>
        <w:t>בשנים 2014-2016 בדקה רשות המים בתאגידים בין היתר את נושא עלויות התפעול. הבדיקה כללה השוואה בין עלויות התפעול שהוכרו לתאגידים מול כלל עלויות התפעול בפועל. מבדיקה זו עולה כי רוב התאגידים נמצאים בחריגה של עלויות תפעול בהשוואה לנורמה. תרשים 31 מתאר השוואה בין עלויות תפעול נורמטיביות לעומת עלויות בפועל בתאגידים זכאים לעומת יתר התאגידים בשנת 2016.</w:t>
      </w:r>
      <w:r w:rsidRPr="004B3C65">
        <w:rPr>
          <w:rFonts w:hint="cs"/>
          <w:sz w:val="24"/>
          <w:rtl/>
        </w:rPr>
        <w:t xml:space="preserve"> </w:t>
      </w:r>
    </w:p>
    <w:p w:rsidR="003D3BEF" w:rsidP="003D3BEF" w14:paraId="77494F8D" w14:textId="77777777">
      <w:pPr>
        <w:pStyle w:val="a"/>
        <w:spacing w:line="269" w:lineRule="auto"/>
        <w:rPr>
          <w:rtl/>
        </w:rPr>
      </w:pPr>
    </w:p>
    <w:p w:rsidR="003D3BEF" w:rsidRPr="007C0513" w:rsidP="007B21F7" w14:paraId="527DC6CA" w14:textId="77777777">
      <w:pPr>
        <w:spacing w:line="269" w:lineRule="auto"/>
        <w:ind w:left="84" w:hanging="142"/>
        <w:jc w:val="center"/>
        <w:rPr>
          <w:b/>
          <w:bCs/>
          <w:sz w:val="24"/>
          <w:rtl/>
        </w:rPr>
      </w:pPr>
      <w:r w:rsidRPr="007C0513">
        <w:rPr>
          <w:rFonts w:hint="eastAsia"/>
          <w:b/>
          <w:bCs/>
          <w:sz w:val="24"/>
          <w:rtl/>
        </w:rPr>
        <w:t>תרשים</w:t>
      </w:r>
      <w:r w:rsidRPr="007C0513">
        <w:rPr>
          <w:b/>
          <w:bCs/>
          <w:sz w:val="24"/>
          <w:rtl/>
        </w:rPr>
        <w:t xml:space="preserve"> </w:t>
      </w:r>
      <w:r>
        <w:rPr>
          <w:rFonts w:hint="cs"/>
          <w:b/>
          <w:bCs/>
          <w:sz w:val="24"/>
          <w:rtl/>
        </w:rPr>
        <w:t>31:</w:t>
      </w:r>
      <w:r w:rsidRPr="007C0513">
        <w:rPr>
          <w:rFonts w:hint="cs"/>
          <w:b/>
          <w:bCs/>
          <w:sz w:val="24"/>
          <w:rtl/>
        </w:rPr>
        <w:t xml:space="preserve"> </w:t>
      </w:r>
      <w:r w:rsidRPr="007C0513">
        <w:rPr>
          <w:rFonts w:hint="eastAsia"/>
          <w:b/>
          <w:bCs/>
          <w:sz w:val="24"/>
          <w:rtl/>
        </w:rPr>
        <w:t>עלויות</w:t>
      </w:r>
      <w:r w:rsidRPr="007C0513">
        <w:rPr>
          <w:b/>
          <w:bCs/>
          <w:sz w:val="24"/>
          <w:rtl/>
        </w:rPr>
        <w:t xml:space="preserve"> </w:t>
      </w:r>
      <w:r w:rsidRPr="007C0513">
        <w:rPr>
          <w:rFonts w:hint="eastAsia"/>
          <w:b/>
          <w:bCs/>
          <w:sz w:val="24"/>
          <w:rtl/>
        </w:rPr>
        <w:t>תפעול</w:t>
      </w:r>
      <w:r w:rsidRPr="007C0513">
        <w:rPr>
          <w:b/>
          <w:bCs/>
          <w:sz w:val="24"/>
          <w:rtl/>
        </w:rPr>
        <w:t xml:space="preserve"> </w:t>
      </w:r>
      <w:r w:rsidRPr="007C0513">
        <w:rPr>
          <w:rFonts w:hint="eastAsia"/>
          <w:b/>
          <w:bCs/>
          <w:sz w:val="24"/>
          <w:rtl/>
        </w:rPr>
        <w:t>נורמטיביות</w:t>
      </w:r>
      <w:r w:rsidRPr="007C0513">
        <w:rPr>
          <w:b/>
          <w:bCs/>
          <w:sz w:val="24"/>
          <w:rtl/>
        </w:rPr>
        <w:t xml:space="preserve"> </w:t>
      </w:r>
      <w:r w:rsidRPr="007C0513">
        <w:rPr>
          <w:rFonts w:hint="eastAsia"/>
          <w:b/>
          <w:bCs/>
          <w:sz w:val="24"/>
          <w:rtl/>
        </w:rPr>
        <w:t>לעומת</w:t>
      </w:r>
      <w:r w:rsidRPr="007C0513">
        <w:rPr>
          <w:b/>
          <w:bCs/>
          <w:sz w:val="24"/>
          <w:rtl/>
        </w:rPr>
        <w:t xml:space="preserve"> </w:t>
      </w:r>
      <w:r w:rsidRPr="007C0513">
        <w:rPr>
          <w:rFonts w:hint="eastAsia"/>
          <w:b/>
          <w:bCs/>
          <w:sz w:val="24"/>
          <w:rtl/>
        </w:rPr>
        <w:t>עלויות</w:t>
      </w:r>
      <w:r w:rsidRPr="007C0513">
        <w:rPr>
          <w:b/>
          <w:bCs/>
          <w:sz w:val="24"/>
          <w:rtl/>
        </w:rPr>
        <w:t xml:space="preserve"> </w:t>
      </w:r>
      <w:r w:rsidRPr="007C0513">
        <w:rPr>
          <w:rFonts w:hint="eastAsia"/>
          <w:b/>
          <w:bCs/>
          <w:sz w:val="24"/>
          <w:rtl/>
        </w:rPr>
        <w:t>בפועל</w:t>
      </w:r>
      <w:r w:rsidRPr="007C0513">
        <w:rPr>
          <w:b/>
          <w:bCs/>
          <w:sz w:val="24"/>
          <w:rtl/>
        </w:rPr>
        <w:t xml:space="preserve"> </w:t>
      </w:r>
      <w:r w:rsidRPr="007C0513">
        <w:rPr>
          <w:rFonts w:hint="eastAsia"/>
          <w:b/>
          <w:bCs/>
          <w:sz w:val="24"/>
          <w:rtl/>
        </w:rPr>
        <w:t>בתאגידים</w:t>
      </w:r>
      <w:r w:rsidRPr="007C0513">
        <w:rPr>
          <w:b/>
          <w:bCs/>
          <w:sz w:val="24"/>
          <w:rtl/>
        </w:rPr>
        <w:t xml:space="preserve"> </w:t>
      </w:r>
      <w:r w:rsidRPr="007C0513">
        <w:rPr>
          <w:rFonts w:hint="eastAsia"/>
          <w:b/>
          <w:bCs/>
          <w:sz w:val="24"/>
          <w:rtl/>
        </w:rPr>
        <w:t>זכאים</w:t>
      </w:r>
      <w:r w:rsidR="007B21F7">
        <w:rPr>
          <w:rFonts w:hint="cs"/>
          <w:b/>
          <w:bCs/>
          <w:sz w:val="24"/>
          <w:rtl/>
        </w:rPr>
        <w:br/>
      </w:r>
      <w:r w:rsidRPr="007C0513">
        <w:rPr>
          <w:rFonts w:hint="eastAsia"/>
          <w:b/>
          <w:bCs/>
          <w:sz w:val="24"/>
          <w:rtl/>
        </w:rPr>
        <w:t>לעומת</w:t>
      </w:r>
      <w:r w:rsidRPr="007C0513">
        <w:rPr>
          <w:b/>
          <w:bCs/>
          <w:sz w:val="24"/>
          <w:rtl/>
        </w:rPr>
        <w:t xml:space="preserve"> </w:t>
      </w:r>
      <w:r w:rsidRPr="007C0513">
        <w:rPr>
          <w:rFonts w:hint="eastAsia"/>
          <w:b/>
          <w:bCs/>
          <w:sz w:val="24"/>
          <w:rtl/>
        </w:rPr>
        <w:t>יתר</w:t>
      </w:r>
      <w:r w:rsidRPr="007C0513">
        <w:rPr>
          <w:b/>
          <w:bCs/>
          <w:sz w:val="24"/>
          <w:rtl/>
        </w:rPr>
        <w:t xml:space="preserve"> </w:t>
      </w:r>
      <w:r w:rsidRPr="007C0513">
        <w:rPr>
          <w:rFonts w:hint="eastAsia"/>
          <w:b/>
          <w:bCs/>
          <w:sz w:val="24"/>
          <w:rtl/>
        </w:rPr>
        <w:t>התאגידים</w:t>
      </w:r>
      <w:r>
        <w:rPr>
          <w:rFonts w:hint="cs"/>
          <w:b/>
          <w:bCs/>
          <w:sz w:val="24"/>
          <w:rtl/>
        </w:rPr>
        <w:t>,</w:t>
      </w:r>
      <w:r w:rsidRPr="007C0513">
        <w:rPr>
          <w:b/>
          <w:bCs/>
          <w:sz w:val="24"/>
          <w:rtl/>
        </w:rPr>
        <w:t xml:space="preserve"> 2016</w:t>
      </w:r>
    </w:p>
    <w:p w:rsidR="003D3BEF" w:rsidP="007B21F7" w14:paraId="3E4002E2" w14:textId="77777777">
      <w:pPr>
        <w:spacing w:before="120" w:line="269" w:lineRule="auto"/>
        <w:jc w:val="center"/>
        <w:rPr>
          <w:sz w:val="24"/>
          <w:rtl/>
        </w:rPr>
      </w:pPr>
      <w:r>
        <w:rPr>
          <w:noProof/>
          <w:sz w:val="24"/>
          <w:rtl/>
        </w:rPr>
        <w:drawing>
          <wp:inline distT="0" distB="0" distL="0" distR="0">
            <wp:extent cx="4325121" cy="2322581"/>
            <wp:effectExtent l="0" t="0" r="0" b="1905"/>
            <wp:docPr id="780323270" name="תמונה 7803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06725" name="water-corporations-g-31.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22581"/>
                    </a:xfrm>
                    <a:prstGeom prst="rect">
                      <a:avLst/>
                    </a:prstGeom>
                  </pic:spPr>
                </pic:pic>
              </a:graphicData>
            </a:graphic>
          </wp:inline>
        </w:drawing>
      </w:r>
    </w:p>
    <w:p w:rsidR="003D3BEF" w:rsidRPr="00684E93" w:rsidP="007B21F7" w14:paraId="38BB673A" w14:textId="77777777">
      <w:pPr>
        <w:spacing w:before="180" w:line="269" w:lineRule="auto"/>
        <w:rPr>
          <w:sz w:val="22"/>
          <w:szCs w:val="22"/>
          <w:rtl/>
        </w:rPr>
      </w:pPr>
      <w:r w:rsidRPr="00684E93">
        <w:rPr>
          <w:rFonts w:hint="eastAsia"/>
          <w:sz w:val="22"/>
          <w:szCs w:val="22"/>
          <w:rtl/>
        </w:rPr>
        <w:t>על</w:t>
      </w:r>
      <w:r w:rsidRPr="00684E93">
        <w:rPr>
          <w:sz w:val="22"/>
          <w:szCs w:val="22"/>
          <w:rtl/>
        </w:rPr>
        <w:t xml:space="preserve"> פי נתוני רשות המים, בעיבוד משרד מבקר המדינה. </w:t>
      </w:r>
      <w:r w:rsidRPr="00684E93">
        <w:rPr>
          <w:rFonts w:hint="eastAsia"/>
          <w:sz w:val="22"/>
          <w:szCs w:val="22"/>
          <w:rtl/>
        </w:rPr>
        <w:t>יצוין</w:t>
      </w:r>
      <w:r w:rsidRPr="00684E93">
        <w:rPr>
          <w:sz w:val="22"/>
          <w:szCs w:val="22"/>
          <w:rtl/>
        </w:rPr>
        <w:t xml:space="preserve"> כי 2016 </w:t>
      </w:r>
      <w:r w:rsidRPr="00684E93">
        <w:rPr>
          <w:rFonts w:hint="eastAsia"/>
          <w:sz w:val="22"/>
          <w:szCs w:val="22"/>
          <w:rtl/>
        </w:rPr>
        <w:t>הי</w:t>
      </w:r>
      <w:r w:rsidRPr="00684E93">
        <w:rPr>
          <w:rFonts w:hint="cs"/>
          <w:sz w:val="22"/>
          <w:szCs w:val="22"/>
          <w:rtl/>
        </w:rPr>
        <w:t>י</w:t>
      </w:r>
      <w:r w:rsidRPr="00684E93">
        <w:rPr>
          <w:rFonts w:hint="eastAsia"/>
          <w:sz w:val="22"/>
          <w:szCs w:val="22"/>
          <w:rtl/>
        </w:rPr>
        <w:t>תה</w:t>
      </w:r>
      <w:r w:rsidRPr="00684E93">
        <w:rPr>
          <w:sz w:val="22"/>
          <w:szCs w:val="22"/>
          <w:rtl/>
        </w:rPr>
        <w:t xml:space="preserve"> השנה האחרונה</w:t>
      </w:r>
      <w:r w:rsidRPr="00684E93">
        <w:rPr>
          <w:rFonts w:hint="cs"/>
          <w:sz w:val="22"/>
          <w:szCs w:val="22"/>
          <w:rtl/>
        </w:rPr>
        <w:t>.</w:t>
      </w:r>
      <w:r w:rsidRPr="00684E93">
        <w:rPr>
          <w:sz w:val="22"/>
          <w:szCs w:val="22"/>
          <w:rtl/>
        </w:rPr>
        <w:t xml:space="preserve"> עד </w:t>
      </w:r>
      <w:r w:rsidRPr="00684E93">
        <w:rPr>
          <w:rFonts w:hint="cs"/>
          <w:sz w:val="22"/>
          <w:szCs w:val="22"/>
          <w:rtl/>
        </w:rPr>
        <w:t xml:space="preserve">מועד סיום הביקורת, </w:t>
      </w:r>
      <w:r w:rsidRPr="00684E93">
        <w:rPr>
          <w:sz w:val="22"/>
          <w:szCs w:val="22"/>
          <w:rtl/>
        </w:rPr>
        <w:t xml:space="preserve">שבה רשות המים </w:t>
      </w:r>
      <w:r w:rsidRPr="00684E93">
        <w:rPr>
          <w:rFonts w:hint="cs"/>
          <w:sz w:val="22"/>
          <w:szCs w:val="22"/>
          <w:rtl/>
        </w:rPr>
        <w:t xml:space="preserve">פרסמה באתר שלה במרשתת </w:t>
      </w:r>
      <w:r w:rsidRPr="00684E93">
        <w:rPr>
          <w:sz w:val="22"/>
          <w:szCs w:val="22"/>
          <w:rtl/>
        </w:rPr>
        <w:t>ניתוח של עלויות תפעול נורמטיביות מול עלויות בפועל לכלל התאגידים.</w:t>
      </w:r>
    </w:p>
    <w:p w:rsidR="003D3BEF" w:rsidRPr="006A3F91" w:rsidP="003D3BEF" w14:paraId="0873EEB8" w14:textId="77777777">
      <w:pPr>
        <w:pStyle w:val="a"/>
        <w:spacing w:line="269" w:lineRule="auto"/>
        <w:rPr>
          <w:rtl/>
        </w:rPr>
      </w:pPr>
    </w:p>
    <w:p w:rsidR="003D3BEF" w:rsidP="003D3BEF" w14:paraId="6299C9BB" w14:textId="77777777">
      <w:pPr>
        <w:spacing w:line="269" w:lineRule="auto"/>
        <w:ind w:left="312"/>
        <w:rPr>
          <w:sz w:val="24"/>
          <w:rtl/>
        </w:rPr>
      </w:pPr>
      <w:r>
        <w:rPr>
          <w:rFonts w:hint="cs"/>
          <w:sz w:val="24"/>
          <w:rtl/>
        </w:rPr>
        <w:t>מהתרשים עולה כי החריגה מהנורמה בתאגידים הזכאים בשנת 2016 הייתה בשיעור ממוצע של</w:t>
      </w:r>
      <w:r w:rsidR="004B5DBE">
        <w:rPr>
          <w:rFonts w:hint="cs"/>
          <w:sz w:val="24"/>
          <w:rtl/>
        </w:rPr>
        <w:t xml:space="preserve"> כ-</w:t>
      </w:r>
      <w:r>
        <w:rPr>
          <w:rFonts w:hint="cs"/>
          <w:sz w:val="24"/>
          <w:rtl/>
        </w:rPr>
        <w:t xml:space="preserve"> 1.76%, ואילו ביתר התאגידים הייתה החריגה בשיעור של</w:t>
      </w:r>
      <w:r w:rsidR="004B5DBE">
        <w:rPr>
          <w:rFonts w:hint="cs"/>
          <w:sz w:val="24"/>
          <w:rtl/>
        </w:rPr>
        <w:t xml:space="preserve"> כ-</w:t>
      </w:r>
      <w:r>
        <w:rPr>
          <w:rFonts w:hint="cs"/>
          <w:sz w:val="24"/>
          <w:rtl/>
        </w:rPr>
        <w:t xml:space="preserve"> 16.74%. מכאן, </w:t>
      </w:r>
      <w:r w:rsidRPr="009D0F84">
        <w:rPr>
          <w:rFonts w:hint="cs"/>
          <w:sz w:val="24"/>
          <w:rtl/>
        </w:rPr>
        <w:t>אין מתאם מובהק בין מאפיינים של</w:t>
      </w:r>
      <w:r>
        <w:rPr>
          <w:rFonts w:hint="cs"/>
          <w:sz w:val="24"/>
          <w:rtl/>
        </w:rPr>
        <w:t xml:space="preserve"> דירוג</w:t>
      </w:r>
      <w:r w:rsidRPr="009D0F84">
        <w:rPr>
          <w:rFonts w:hint="cs"/>
          <w:sz w:val="24"/>
          <w:rtl/>
        </w:rPr>
        <w:t xml:space="preserve"> חברתי</w:t>
      </w:r>
      <w:r>
        <w:rPr>
          <w:rFonts w:hint="cs"/>
          <w:sz w:val="24"/>
          <w:rtl/>
        </w:rPr>
        <w:t>-</w:t>
      </w:r>
      <w:r w:rsidRPr="009D0F84">
        <w:rPr>
          <w:rFonts w:hint="cs"/>
          <w:sz w:val="24"/>
          <w:rtl/>
        </w:rPr>
        <w:t>כלכלי ו</w:t>
      </w:r>
      <w:r>
        <w:rPr>
          <w:rFonts w:hint="cs"/>
          <w:sz w:val="24"/>
          <w:rtl/>
        </w:rPr>
        <w:t xml:space="preserve">של </w:t>
      </w:r>
      <w:r w:rsidRPr="009D0F84">
        <w:rPr>
          <w:rFonts w:hint="cs"/>
          <w:sz w:val="24"/>
          <w:rtl/>
        </w:rPr>
        <w:t>מספר הרשויות המאוגדות בתאגיד לבין עמידת התאגידים בנורמות עלויות התפעול. כך, בין התאגידים החורגים במידה מועטה מהנורמה נמצאים תאגידים זכאים, תאגידים חד</w:t>
      </w:r>
      <w:r>
        <w:rPr>
          <w:rFonts w:hint="cs"/>
          <w:sz w:val="24"/>
          <w:rtl/>
        </w:rPr>
        <w:t>-</w:t>
      </w:r>
      <w:r w:rsidRPr="009D0F84">
        <w:rPr>
          <w:rFonts w:hint="cs"/>
          <w:sz w:val="24"/>
          <w:rtl/>
        </w:rPr>
        <w:t>רשותיים ו</w:t>
      </w:r>
      <w:r>
        <w:rPr>
          <w:rFonts w:hint="cs"/>
          <w:sz w:val="24"/>
          <w:rtl/>
        </w:rPr>
        <w:t xml:space="preserve">תאגידים </w:t>
      </w:r>
      <w:r w:rsidRPr="009D0F84">
        <w:rPr>
          <w:rFonts w:hint="cs"/>
          <w:sz w:val="24"/>
          <w:rtl/>
        </w:rPr>
        <w:t>רב</w:t>
      </w:r>
      <w:r>
        <w:rPr>
          <w:rFonts w:hint="cs"/>
          <w:sz w:val="24"/>
          <w:rtl/>
        </w:rPr>
        <w:t>-</w:t>
      </w:r>
      <w:r w:rsidRPr="009D0F84">
        <w:rPr>
          <w:rFonts w:hint="cs"/>
          <w:sz w:val="24"/>
          <w:rtl/>
        </w:rPr>
        <w:t>רשותיים, ובין התאגידים החורגים במידה רבה מהנורמה נמצאים גם תאגידים חזקים.</w:t>
      </w:r>
    </w:p>
    <w:p w:rsidR="003D3BEF" w:rsidP="003D3BEF" w14:paraId="40DCF050" w14:textId="77777777">
      <w:pPr>
        <w:pStyle w:val="a"/>
        <w:spacing w:line="269" w:lineRule="auto"/>
        <w:rPr>
          <w:rtl/>
        </w:rPr>
      </w:pPr>
    </w:p>
    <w:p w:rsidR="003D3BEF" w:rsidP="003D3BEF" w14:paraId="76FBFDAF" w14:textId="77777777">
      <w:pPr>
        <w:pStyle w:val="a"/>
        <w:spacing w:line="269" w:lineRule="auto"/>
        <w:rPr>
          <w:rtl/>
        </w:rPr>
      </w:pPr>
    </w:p>
    <w:p w:rsidR="003D3BEF" w:rsidP="003D3BEF" w14:paraId="3C400D7F" w14:textId="77777777">
      <w:pPr>
        <w:spacing w:line="269" w:lineRule="auto"/>
        <w:ind w:left="312"/>
        <w:rPr>
          <w:b/>
          <w:bCs/>
          <w:sz w:val="24"/>
          <w:rtl/>
        </w:rPr>
      </w:pPr>
      <w:r w:rsidRPr="006A3F91">
        <w:rPr>
          <w:rFonts w:hint="eastAsia"/>
          <w:sz w:val="24"/>
          <w:rtl/>
        </w:rPr>
        <w:t>רשות</w:t>
      </w:r>
      <w:r w:rsidRPr="006A3F91">
        <w:rPr>
          <w:sz w:val="24"/>
          <w:rtl/>
        </w:rPr>
        <w:t xml:space="preserve"> המים השיבה למשרד מבקר המדינה כי היא </w:t>
      </w:r>
      <w:r w:rsidRPr="006A3F91">
        <w:rPr>
          <w:rFonts w:hint="eastAsia"/>
          <w:sz w:val="24"/>
          <w:rtl/>
        </w:rPr>
        <w:t>ערכה</w:t>
      </w:r>
      <w:r w:rsidRPr="006A3F91">
        <w:rPr>
          <w:sz w:val="24"/>
          <w:rtl/>
        </w:rPr>
        <w:t xml:space="preserve"> </w:t>
      </w:r>
      <w:r w:rsidRPr="006A3F91">
        <w:rPr>
          <w:rFonts w:hint="eastAsia"/>
          <w:sz w:val="24"/>
          <w:rtl/>
        </w:rPr>
        <w:t>בדיקה</w:t>
      </w:r>
      <w:r w:rsidRPr="006A3F91">
        <w:rPr>
          <w:sz w:val="24"/>
          <w:rtl/>
        </w:rPr>
        <w:t xml:space="preserve"> </w:t>
      </w:r>
      <w:r w:rsidRPr="006A3F91">
        <w:rPr>
          <w:rFonts w:hint="eastAsia"/>
          <w:sz w:val="24"/>
          <w:rtl/>
        </w:rPr>
        <w:t>השוואתית</w:t>
      </w:r>
      <w:r w:rsidRPr="006A3F91">
        <w:rPr>
          <w:sz w:val="24"/>
          <w:rtl/>
        </w:rPr>
        <w:t xml:space="preserve"> </w:t>
      </w:r>
      <w:r w:rsidRPr="006A3F91">
        <w:rPr>
          <w:rFonts w:hint="eastAsia"/>
          <w:sz w:val="24"/>
          <w:rtl/>
        </w:rPr>
        <w:t>של</w:t>
      </w:r>
      <w:r w:rsidRPr="006A3F91">
        <w:rPr>
          <w:sz w:val="24"/>
          <w:rtl/>
        </w:rPr>
        <w:t xml:space="preserve"> </w:t>
      </w:r>
      <w:r w:rsidRPr="006A3F91">
        <w:rPr>
          <w:rFonts w:hint="eastAsia"/>
          <w:sz w:val="24"/>
          <w:rtl/>
        </w:rPr>
        <w:t>הנורמה</w:t>
      </w:r>
      <w:r w:rsidRPr="006A3F91">
        <w:rPr>
          <w:sz w:val="24"/>
          <w:rtl/>
        </w:rPr>
        <w:t xml:space="preserve"> </w:t>
      </w:r>
      <w:r w:rsidRPr="006A3F91">
        <w:rPr>
          <w:rFonts w:hint="eastAsia"/>
          <w:sz w:val="24"/>
          <w:rtl/>
        </w:rPr>
        <w:t>מול</w:t>
      </w:r>
      <w:r w:rsidRPr="006A3F91">
        <w:rPr>
          <w:sz w:val="24"/>
          <w:rtl/>
        </w:rPr>
        <w:t xml:space="preserve"> </w:t>
      </w:r>
      <w:r w:rsidRPr="006A3F91">
        <w:rPr>
          <w:rFonts w:hint="eastAsia"/>
          <w:sz w:val="24"/>
          <w:rtl/>
        </w:rPr>
        <w:t>התשואה</w:t>
      </w:r>
      <w:r w:rsidRPr="006A3F91">
        <w:rPr>
          <w:sz w:val="24"/>
          <w:rtl/>
        </w:rPr>
        <w:t xml:space="preserve"> בפועל לכל השנים בהם פורסמו דוחות כספיים, לרבות 2017 ו-2018</w:t>
      </w:r>
      <w:r>
        <w:rPr>
          <w:rFonts w:hint="cs"/>
          <w:sz w:val="24"/>
          <w:rtl/>
        </w:rPr>
        <w:t>.</w:t>
      </w:r>
    </w:p>
    <w:p w:rsidR="003D3BEF" w:rsidRPr="006A3F91" w:rsidP="003D3BEF" w14:paraId="0052A2C6" w14:textId="77777777">
      <w:pPr>
        <w:pStyle w:val="a"/>
        <w:spacing w:line="269" w:lineRule="auto"/>
        <w:rPr>
          <w:rtl/>
        </w:rPr>
      </w:pPr>
    </w:p>
    <w:p w:rsidR="003D3BEF" w:rsidP="003D3BEF" w14:paraId="7D3B2D0A" w14:textId="77777777">
      <w:pPr>
        <w:spacing w:line="269" w:lineRule="auto"/>
        <w:ind w:left="312"/>
        <w:rPr>
          <w:b/>
          <w:bCs/>
          <w:sz w:val="24"/>
          <w:rtl/>
        </w:rPr>
      </w:pPr>
      <w:r w:rsidRPr="006A3F91">
        <w:rPr>
          <w:rFonts w:hint="eastAsia"/>
          <w:b/>
          <w:bCs/>
          <w:sz w:val="24"/>
          <w:rtl/>
        </w:rPr>
        <w:t>מומלץ</w:t>
      </w:r>
      <w:r w:rsidRPr="006A3F91">
        <w:rPr>
          <w:b/>
          <w:bCs/>
          <w:sz w:val="24"/>
          <w:rtl/>
        </w:rPr>
        <w:t xml:space="preserve"> </w:t>
      </w:r>
      <w:r w:rsidRPr="006A3F91">
        <w:rPr>
          <w:rFonts w:hint="eastAsia"/>
          <w:b/>
          <w:bCs/>
          <w:sz w:val="24"/>
          <w:rtl/>
        </w:rPr>
        <w:t>שרשות</w:t>
      </w:r>
      <w:r w:rsidRPr="006A3F91">
        <w:rPr>
          <w:b/>
          <w:bCs/>
          <w:sz w:val="24"/>
          <w:rtl/>
        </w:rPr>
        <w:t xml:space="preserve"> המים תשקול </w:t>
      </w:r>
      <w:r w:rsidRPr="006A3F91">
        <w:rPr>
          <w:rFonts w:hint="eastAsia"/>
          <w:b/>
          <w:bCs/>
          <w:sz w:val="24"/>
          <w:rtl/>
        </w:rPr>
        <w:t>לפרסם</w:t>
      </w:r>
      <w:r w:rsidRPr="006A3F91">
        <w:rPr>
          <w:b/>
          <w:bCs/>
          <w:sz w:val="24"/>
          <w:rtl/>
        </w:rPr>
        <w:t xml:space="preserve"> </w:t>
      </w:r>
      <w:r w:rsidRPr="006A3F91">
        <w:rPr>
          <w:rFonts w:hint="eastAsia"/>
          <w:b/>
          <w:bCs/>
          <w:sz w:val="24"/>
          <w:rtl/>
        </w:rPr>
        <w:t>את</w:t>
      </w:r>
      <w:r w:rsidRPr="006A3F91">
        <w:rPr>
          <w:b/>
          <w:bCs/>
          <w:sz w:val="24"/>
          <w:rtl/>
        </w:rPr>
        <w:t xml:space="preserve"> </w:t>
      </w:r>
      <w:r w:rsidRPr="006A3F91">
        <w:rPr>
          <w:rFonts w:hint="eastAsia"/>
          <w:b/>
          <w:bCs/>
          <w:sz w:val="24"/>
          <w:rtl/>
        </w:rPr>
        <w:t>ממצאיה</w:t>
      </w:r>
      <w:r w:rsidRPr="006A3F91">
        <w:rPr>
          <w:b/>
          <w:bCs/>
          <w:sz w:val="24"/>
          <w:rtl/>
        </w:rPr>
        <w:t xml:space="preserve"> </w:t>
      </w:r>
      <w:r w:rsidRPr="006A3F91">
        <w:rPr>
          <w:rFonts w:hint="eastAsia"/>
          <w:b/>
          <w:bCs/>
          <w:sz w:val="24"/>
          <w:rtl/>
        </w:rPr>
        <w:t>בדבר</w:t>
      </w:r>
      <w:r w:rsidRPr="006A3F91">
        <w:rPr>
          <w:b/>
          <w:bCs/>
          <w:sz w:val="24"/>
          <w:rtl/>
        </w:rPr>
        <w:t xml:space="preserve"> </w:t>
      </w:r>
      <w:r w:rsidRPr="006A3F91">
        <w:rPr>
          <w:rFonts w:hint="eastAsia"/>
          <w:b/>
          <w:bCs/>
          <w:sz w:val="24"/>
          <w:rtl/>
        </w:rPr>
        <w:t>בדיקות</w:t>
      </w:r>
      <w:r w:rsidRPr="006A3F91">
        <w:rPr>
          <w:b/>
          <w:bCs/>
          <w:sz w:val="24"/>
          <w:rtl/>
        </w:rPr>
        <w:t xml:space="preserve"> </w:t>
      </w:r>
      <w:r w:rsidRPr="006A3F91">
        <w:rPr>
          <w:rFonts w:hint="eastAsia"/>
          <w:b/>
          <w:bCs/>
          <w:sz w:val="24"/>
          <w:rtl/>
        </w:rPr>
        <w:t>השוואותיות</w:t>
      </w:r>
      <w:r w:rsidRPr="006A3F91">
        <w:rPr>
          <w:b/>
          <w:bCs/>
          <w:sz w:val="24"/>
          <w:rtl/>
        </w:rPr>
        <w:t xml:space="preserve"> </w:t>
      </w:r>
      <w:r w:rsidRPr="006A3F91">
        <w:rPr>
          <w:rFonts w:hint="eastAsia"/>
          <w:b/>
          <w:bCs/>
          <w:sz w:val="24"/>
          <w:rtl/>
        </w:rPr>
        <w:t>של</w:t>
      </w:r>
      <w:r w:rsidRPr="006A3F91">
        <w:rPr>
          <w:b/>
          <w:bCs/>
          <w:sz w:val="24"/>
          <w:rtl/>
        </w:rPr>
        <w:t xml:space="preserve"> </w:t>
      </w:r>
      <w:r w:rsidRPr="006A3F91">
        <w:rPr>
          <w:rFonts w:hint="eastAsia"/>
          <w:b/>
          <w:bCs/>
          <w:sz w:val="24"/>
          <w:rtl/>
        </w:rPr>
        <w:t>נורמת</w:t>
      </w:r>
      <w:r w:rsidRPr="006A3F91">
        <w:rPr>
          <w:b/>
          <w:bCs/>
          <w:sz w:val="24"/>
          <w:rtl/>
        </w:rPr>
        <w:t xml:space="preserve"> </w:t>
      </w:r>
      <w:r w:rsidRPr="006A3F91">
        <w:rPr>
          <w:rFonts w:hint="eastAsia"/>
          <w:b/>
          <w:bCs/>
          <w:sz w:val="24"/>
          <w:rtl/>
        </w:rPr>
        <w:t>עלויות</w:t>
      </w:r>
      <w:r w:rsidRPr="006A3F91">
        <w:rPr>
          <w:b/>
          <w:bCs/>
          <w:sz w:val="24"/>
          <w:rtl/>
        </w:rPr>
        <w:t xml:space="preserve"> </w:t>
      </w:r>
      <w:r w:rsidRPr="006A3F91">
        <w:rPr>
          <w:rFonts w:hint="eastAsia"/>
          <w:b/>
          <w:bCs/>
          <w:sz w:val="24"/>
          <w:rtl/>
        </w:rPr>
        <w:t>התפעול</w:t>
      </w:r>
      <w:r w:rsidRPr="006A3F91">
        <w:rPr>
          <w:b/>
          <w:bCs/>
          <w:sz w:val="24"/>
          <w:rtl/>
        </w:rPr>
        <w:t xml:space="preserve"> </w:t>
      </w:r>
      <w:r w:rsidRPr="006A3F91">
        <w:rPr>
          <w:rFonts w:hint="eastAsia"/>
          <w:b/>
          <w:bCs/>
          <w:sz w:val="24"/>
          <w:rtl/>
        </w:rPr>
        <w:t>אל</w:t>
      </w:r>
      <w:r w:rsidRPr="006A3F91">
        <w:rPr>
          <w:b/>
          <w:bCs/>
          <w:sz w:val="24"/>
          <w:rtl/>
        </w:rPr>
        <w:t xml:space="preserve"> </w:t>
      </w:r>
      <w:r w:rsidRPr="006A3F91">
        <w:rPr>
          <w:rFonts w:hint="eastAsia"/>
          <w:b/>
          <w:bCs/>
          <w:sz w:val="24"/>
          <w:rtl/>
        </w:rPr>
        <w:t>מול</w:t>
      </w:r>
      <w:r w:rsidRPr="006A3F91">
        <w:rPr>
          <w:b/>
          <w:bCs/>
          <w:sz w:val="24"/>
          <w:rtl/>
        </w:rPr>
        <w:t xml:space="preserve"> העלויות בפועל, </w:t>
      </w:r>
      <w:r w:rsidRPr="006A3F91">
        <w:rPr>
          <w:rFonts w:hint="eastAsia"/>
          <w:b/>
          <w:bCs/>
          <w:sz w:val="24"/>
          <w:rtl/>
        </w:rPr>
        <w:t>לרבות</w:t>
      </w:r>
      <w:r w:rsidRPr="006A3F91">
        <w:rPr>
          <w:b/>
          <w:bCs/>
          <w:sz w:val="24"/>
          <w:rtl/>
        </w:rPr>
        <w:t xml:space="preserve"> </w:t>
      </w:r>
      <w:r w:rsidRPr="006A3F91">
        <w:rPr>
          <w:rFonts w:hint="eastAsia"/>
          <w:b/>
          <w:bCs/>
          <w:sz w:val="24"/>
          <w:rtl/>
        </w:rPr>
        <w:t>בדיקותיה</w:t>
      </w:r>
      <w:r w:rsidRPr="006A3F91">
        <w:rPr>
          <w:b/>
          <w:bCs/>
          <w:sz w:val="24"/>
          <w:rtl/>
        </w:rPr>
        <w:t xml:space="preserve"> </w:t>
      </w:r>
      <w:r w:rsidRPr="006A3F91">
        <w:rPr>
          <w:rFonts w:hint="eastAsia"/>
          <w:b/>
          <w:bCs/>
          <w:sz w:val="24"/>
          <w:rtl/>
        </w:rPr>
        <w:t>לשנת</w:t>
      </w:r>
      <w:r w:rsidRPr="006A3F91">
        <w:rPr>
          <w:b/>
          <w:bCs/>
          <w:sz w:val="24"/>
          <w:rtl/>
        </w:rPr>
        <w:t xml:space="preserve"> 2017 </w:t>
      </w:r>
      <w:r w:rsidRPr="006A3F91">
        <w:rPr>
          <w:rFonts w:hint="eastAsia"/>
          <w:b/>
          <w:bCs/>
          <w:sz w:val="24"/>
          <w:rtl/>
        </w:rPr>
        <w:t>ואילך</w:t>
      </w:r>
      <w:r>
        <w:rPr>
          <w:rFonts w:hint="cs"/>
          <w:b/>
          <w:bCs/>
          <w:sz w:val="24"/>
          <w:rtl/>
        </w:rPr>
        <w:t>.</w:t>
      </w:r>
    </w:p>
    <w:p w:rsidR="003D3BEF" w:rsidRPr="006A3F91" w:rsidP="003D3BEF" w14:paraId="623BD1CB" w14:textId="77777777">
      <w:pPr>
        <w:pStyle w:val="a"/>
        <w:spacing w:line="269" w:lineRule="auto"/>
        <w:rPr>
          <w:rtl/>
        </w:rPr>
      </w:pPr>
    </w:p>
    <w:p w:rsidR="003D3BEF" w:rsidRPr="00886CF6" w:rsidP="003D3BEF" w14:paraId="2BEC3609" w14:textId="77777777">
      <w:pPr>
        <w:pStyle w:val="ListParagraph"/>
        <w:numPr>
          <w:ilvl w:val="0"/>
          <w:numId w:val="18"/>
        </w:numPr>
        <w:spacing w:line="269" w:lineRule="auto"/>
        <w:ind w:left="312"/>
        <w:rPr>
          <w:sz w:val="24"/>
          <w:rtl/>
        </w:rPr>
      </w:pPr>
      <w:r w:rsidRPr="00886CF6">
        <w:rPr>
          <w:rFonts w:hint="cs"/>
          <w:sz w:val="24"/>
          <w:rtl/>
        </w:rPr>
        <w:t>על פי עמדת רשות המים</w:t>
      </w:r>
      <w:r>
        <w:rPr>
          <w:rStyle w:val="FootnoteReference"/>
          <w:sz w:val="24"/>
          <w:rtl/>
        </w:rPr>
        <w:footnoteReference w:id="77"/>
      </w:r>
      <w:r w:rsidRPr="00886CF6">
        <w:rPr>
          <w:rFonts w:hint="cs"/>
          <w:sz w:val="24"/>
          <w:rtl/>
        </w:rPr>
        <w:t>, תיאגוד אזורי צפוי להקטין את עלויות התפעול של התאגידים באופן משמעותי, בין היתר עקב ביטול תפקידים כפולים, חיסכון בעלויות נותני שירותים חיצוניים, שיפור כוח המיקוח</w:t>
      </w:r>
      <w:r w:rsidRPr="00886CF6">
        <w:rPr>
          <w:rFonts w:hint="cs"/>
          <w:color w:val="FF0000"/>
          <w:sz w:val="24"/>
          <w:rtl/>
        </w:rPr>
        <w:t xml:space="preserve"> </w:t>
      </w:r>
      <w:r w:rsidRPr="00886CF6">
        <w:rPr>
          <w:rFonts w:hint="cs"/>
          <w:sz w:val="24"/>
          <w:rtl/>
        </w:rPr>
        <w:t xml:space="preserve">ומיצוי יתרונות הגודל. רשות המים העריכה חיסכון זה </w:t>
      </w:r>
      <w:r w:rsidRPr="00886CF6">
        <w:rPr>
          <w:sz w:val="24"/>
          <w:rtl/>
        </w:rPr>
        <w:t>בכ-500 מיליו</w:t>
      </w:r>
      <w:r w:rsidRPr="00886CF6">
        <w:rPr>
          <w:rFonts w:hint="cs"/>
          <w:sz w:val="24"/>
          <w:rtl/>
        </w:rPr>
        <w:t>ן</w:t>
      </w:r>
      <w:r w:rsidRPr="00886CF6">
        <w:rPr>
          <w:sz w:val="24"/>
          <w:rtl/>
        </w:rPr>
        <w:t xml:space="preserve"> ש"ח</w:t>
      </w:r>
      <w:r>
        <w:rPr>
          <w:rStyle w:val="FootnoteReference"/>
          <w:sz w:val="24"/>
          <w:rtl/>
        </w:rPr>
        <w:footnoteReference w:id="78"/>
      </w:r>
      <w:r w:rsidRPr="00886CF6">
        <w:rPr>
          <w:rFonts w:hint="cs"/>
          <w:sz w:val="24"/>
          <w:rtl/>
        </w:rPr>
        <w:t>,</w:t>
      </w:r>
      <w:r w:rsidRPr="00886CF6">
        <w:rPr>
          <w:sz w:val="24"/>
          <w:rtl/>
        </w:rPr>
        <w:t xml:space="preserve"> על פי מתווה ת</w:t>
      </w:r>
      <w:r w:rsidRPr="00886CF6">
        <w:rPr>
          <w:rFonts w:hint="cs"/>
          <w:sz w:val="24"/>
          <w:rtl/>
        </w:rPr>
        <w:t>י</w:t>
      </w:r>
      <w:r w:rsidRPr="00886CF6">
        <w:rPr>
          <w:sz w:val="24"/>
          <w:rtl/>
        </w:rPr>
        <w:t xml:space="preserve">אגוד אזורי של 15 תאגידים </w:t>
      </w:r>
      <w:r w:rsidRPr="00886CF6">
        <w:rPr>
          <w:rFonts w:hint="cs"/>
          <w:sz w:val="24"/>
          <w:rtl/>
        </w:rPr>
        <w:t xml:space="preserve">שהוצע </w:t>
      </w:r>
      <w:r w:rsidRPr="00886CF6">
        <w:rPr>
          <w:sz w:val="24"/>
          <w:rtl/>
        </w:rPr>
        <w:t>בשנת 2013</w:t>
      </w:r>
      <w:r w:rsidRPr="00886CF6">
        <w:rPr>
          <w:rFonts w:hint="cs"/>
          <w:sz w:val="24"/>
          <w:rtl/>
        </w:rPr>
        <w:t>, ביחס לעלויות התפעול בפועל באותה עת</w:t>
      </w:r>
      <w:r w:rsidRPr="00886CF6">
        <w:rPr>
          <w:sz w:val="24"/>
          <w:rtl/>
        </w:rPr>
        <w:t>.</w:t>
      </w:r>
      <w:r w:rsidRPr="00886CF6">
        <w:rPr>
          <w:rFonts w:hint="cs"/>
          <w:sz w:val="24"/>
          <w:rtl/>
        </w:rPr>
        <w:t xml:space="preserve"> בדצמבר 2013, בהמשך להחלטת ממשלה ותיקוני חקיקה בדבר תיאגוד אזורי</w:t>
      </w:r>
      <w:r>
        <w:rPr>
          <w:rStyle w:val="FootnoteReference"/>
          <w:sz w:val="24"/>
          <w:rtl/>
        </w:rPr>
        <w:footnoteReference w:id="79"/>
      </w:r>
      <w:r w:rsidRPr="00886CF6">
        <w:rPr>
          <w:rFonts w:hint="cs"/>
          <w:sz w:val="24"/>
          <w:rtl/>
        </w:rPr>
        <w:t xml:space="preserve">, החילה הרשות על עלויות המוכרות לתאגידים נורמות עלויות תפעול לפי מתווה תיאגוד כאמור, כך שנורמת עלויות התפעול של כל תאגיד נגזרה באופן יחסי מהיותו חלק מתאגיד אזורי על פי אותו מתווה. </w:t>
      </w:r>
    </w:p>
    <w:p w:rsidR="003D3BEF" w:rsidP="003D3BEF" w14:paraId="1FE1B038" w14:textId="77777777">
      <w:pPr>
        <w:pStyle w:val="a"/>
        <w:spacing w:line="269" w:lineRule="auto"/>
        <w:rPr>
          <w:rtl/>
        </w:rPr>
      </w:pPr>
    </w:p>
    <w:p w:rsidR="003D3BEF" w:rsidP="003D3BEF" w14:paraId="3032099E" w14:textId="77777777">
      <w:pPr>
        <w:spacing w:line="269" w:lineRule="auto"/>
        <w:ind w:left="312"/>
        <w:rPr>
          <w:sz w:val="24"/>
          <w:rtl/>
        </w:rPr>
      </w:pPr>
      <w:r>
        <w:rPr>
          <w:rFonts w:hint="cs"/>
          <w:sz w:val="24"/>
          <w:rtl/>
        </w:rPr>
        <w:t xml:space="preserve">אולם עד מועד סיום הביקורת לא בוצע תיאגוד אזורי על פי מתווה זה, ואף לא בוצע תיאגוד אזורי לפי מתווה של 28 תאגידים כפי שהציעה הרשות בשנת 2019 (ראו להלן). התאגידים נאלצו אפוא לפעול על פי נורמת עלות תפעול נמוכה המשקפת תיאגוד אזורי שאינו קיים בפועל. בדוח ועדת בלניקוב משנת 2019 אף הועלה החשש שמא כיסוי העלות העודפת בפועל ביחס לעלות הנורמטיבית בא על חשבון מרכיבי התעריף שנועדו להשקעות בשיקום תשתיות מים וביוב. </w:t>
      </w:r>
      <w:r w:rsidRPr="00223B6F">
        <w:rPr>
          <w:rFonts w:hint="cs"/>
          <w:sz w:val="24"/>
          <w:rtl/>
        </w:rPr>
        <w:t>נוסף</w:t>
      </w:r>
      <w:r>
        <w:rPr>
          <w:rFonts w:hint="cs"/>
          <w:sz w:val="24"/>
          <w:rtl/>
        </w:rPr>
        <w:t xml:space="preserve"> על כך</w:t>
      </w:r>
      <w:r w:rsidRPr="00223B6F">
        <w:rPr>
          <w:rFonts w:hint="cs"/>
          <w:sz w:val="24"/>
          <w:rtl/>
        </w:rPr>
        <w:t xml:space="preserve">, </w:t>
      </w:r>
      <w:r>
        <w:rPr>
          <w:rFonts w:hint="cs"/>
          <w:sz w:val="24"/>
          <w:rtl/>
        </w:rPr>
        <w:t>צוין בדוח הוועדה כי התאגידים נדרשים בפועל להוצאות תפעול גבוהות יותר על מנת לעמוד ב</w:t>
      </w:r>
      <w:r w:rsidRPr="00223B6F">
        <w:rPr>
          <w:rFonts w:hint="cs"/>
          <w:sz w:val="24"/>
          <w:rtl/>
        </w:rPr>
        <w:t>אמות המידה לשירות</w:t>
      </w:r>
      <w:r>
        <w:rPr>
          <w:rFonts w:hint="cs"/>
          <w:sz w:val="24"/>
          <w:rtl/>
        </w:rPr>
        <w:t xml:space="preserve"> שהוחמרו עם השנים. נוכח האמור הומלץ בדוח על תוספת של כ-112 מיליון ש"ח</w:t>
      </w:r>
      <w:r w:rsidRPr="00544E35">
        <w:rPr>
          <w:rFonts w:hint="cs"/>
          <w:sz w:val="24"/>
          <w:rtl/>
        </w:rPr>
        <w:t xml:space="preserve"> </w:t>
      </w:r>
      <w:r>
        <w:rPr>
          <w:rFonts w:hint="cs"/>
          <w:sz w:val="24"/>
          <w:rtl/>
        </w:rPr>
        <w:t>בעלויות התפעול הנורמטיביות</w:t>
      </w:r>
      <w:r>
        <w:rPr>
          <w:rStyle w:val="FootnoteReference"/>
          <w:sz w:val="24"/>
          <w:rtl/>
        </w:rPr>
        <w:footnoteReference w:id="80"/>
      </w:r>
      <w:r>
        <w:rPr>
          <w:rFonts w:hint="cs"/>
          <w:sz w:val="24"/>
          <w:rtl/>
        </w:rPr>
        <w:t>, כך שמרכיב עלויות התפעול הממוצע יעמוד על 1.896 ש"ח למ"ק במקום 1.73 ש"ח למ"ק.</w:t>
      </w:r>
      <w:r w:rsidRPr="007E6A66">
        <w:rPr>
          <w:rFonts w:hint="cs"/>
          <w:color w:val="FF0000"/>
          <w:sz w:val="24"/>
          <w:rtl/>
        </w:rPr>
        <w:t xml:space="preserve"> </w:t>
      </w:r>
      <w:r>
        <w:rPr>
          <w:rFonts w:hint="cs"/>
          <w:sz w:val="24"/>
          <w:rtl/>
        </w:rPr>
        <w:t xml:space="preserve">רשות המים לא קיבלה המלצות אלה במלואן, וקבעה בשנת 2019 כי מרכיב עלויות תפעול ממוצע יעמוד על </w:t>
      </w:r>
      <w:r>
        <w:rPr>
          <w:sz w:val="24"/>
          <w:rtl/>
        </w:rPr>
        <w:t>1.783 ש"ח למ"ק</w:t>
      </w:r>
      <w:r>
        <w:rPr>
          <w:rFonts w:hint="cs"/>
          <w:sz w:val="24"/>
          <w:rtl/>
        </w:rPr>
        <w:t xml:space="preserve">. </w:t>
      </w:r>
    </w:p>
    <w:p w:rsidR="003D3BEF" w:rsidP="003D3BEF" w14:paraId="0AA7D1DC" w14:textId="77777777">
      <w:pPr>
        <w:pStyle w:val="a"/>
        <w:spacing w:line="269" w:lineRule="auto"/>
        <w:rPr>
          <w:rtl/>
        </w:rPr>
      </w:pPr>
    </w:p>
    <w:p w:rsidR="003D3BEF" w:rsidP="003D3BEF" w14:paraId="632AA821" w14:textId="77777777">
      <w:pPr>
        <w:spacing w:line="269" w:lineRule="auto"/>
        <w:rPr>
          <w:sz w:val="24"/>
          <w:rtl/>
        </w:rPr>
      </w:pPr>
      <w:r w:rsidRPr="005F0CCE">
        <w:rPr>
          <w:rFonts w:hint="cs"/>
          <w:b/>
          <w:bCs/>
          <w:sz w:val="24"/>
          <w:rtl/>
        </w:rPr>
        <w:t>החיסכון הצפוי</w:t>
      </w:r>
      <w:r>
        <w:rPr>
          <w:rFonts w:hint="cs"/>
          <w:b/>
          <w:bCs/>
          <w:sz w:val="24"/>
          <w:rtl/>
        </w:rPr>
        <w:t>, בסך כ-500 מיליון ש"ח, נובע מצמצום מספר התאגידים ו</w:t>
      </w:r>
      <w:r w:rsidRPr="005F0CCE">
        <w:rPr>
          <w:rFonts w:hint="cs"/>
          <w:b/>
          <w:bCs/>
          <w:sz w:val="24"/>
          <w:rtl/>
        </w:rPr>
        <w:t>תיאגוד אזורי של 15 תאגידים.</w:t>
      </w:r>
      <w:r>
        <w:rPr>
          <w:rFonts w:hint="cs"/>
          <w:b/>
          <w:bCs/>
          <w:sz w:val="24"/>
          <w:rtl/>
        </w:rPr>
        <w:t xml:space="preserve"> עם </w:t>
      </w:r>
      <w:r w:rsidRPr="005F0CCE">
        <w:rPr>
          <w:rFonts w:hint="cs"/>
          <w:b/>
          <w:bCs/>
          <w:sz w:val="24"/>
          <w:rtl/>
        </w:rPr>
        <w:t xml:space="preserve">זאת, הרשות לא הצליחה עד כה להביא לתיאגוד אזורי כאמור, </w:t>
      </w:r>
      <w:r>
        <w:rPr>
          <w:rFonts w:hint="cs"/>
          <w:b/>
          <w:bCs/>
          <w:sz w:val="24"/>
          <w:rtl/>
        </w:rPr>
        <w:t>גם</w:t>
      </w:r>
      <w:r w:rsidRPr="005F0CCE">
        <w:rPr>
          <w:rFonts w:hint="cs"/>
          <w:b/>
          <w:bCs/>
          <w:sz w:val="24"/>
          <w:rtl/>
        </w:rPr>
        <w:t xml:space="preserve"> לא לפי מתווה של 28 תאגידים. </w:t>
      </w:r>
    </w:p>
    <w:p w:rsidR="003D3BEF" w:rsidP="003D3BEF" w14:paraId="7680F791" w14:textId="77777777">
      <w:pPr>
        <w:pStyle w:val="a"/>
        <w:spacing w:line="269" w:lineRule="auto"/>
        <w:rPr>
          <w:rtl/>
        </w:rPr>
      </w:pPr>
    </w:p>
    <w:p w:rsidR="003D3BEF" w:rsidP="003D3BEF" w14:paraId="4CA66000" w14:textId="77777777">
      <w:pPr>
        <w:spacing w:line="269" w:lineRule="auto"/>
        <w:rPr>
          <w:b/>
          <w:bCs/>
          <w:sz w:val="24"/>
          <w:rtl/>
        </w:rPr>
      </w:pPr>
      <w:r>
        <w:rPr>
          <w:rFonts w:hint="cs"/>
          <w:b/>
          <w:bCs/>
          <w:sz w:val="24"/>
          <w:rtl/>
        </w:rPr>
        <w:t xml:space="preserve">משרד מבקר המדינה מציין כי </w:t>
      </w:r>
      <w:r w:rsidRPr="00B91359">
        <w:rPr>
          <w:rFonts w:hint="cs"/>
          <w:b/>
          <w:bCs/>
          <w:sz w:val="24"/>
          <w:rtl/>
        </w:rPr>
        <w:t>עלויות התפעול הנורמטיביות המוכרות ב</w:t>
      </w:r>
      <w:r>
        <w:rPr>
          <w:rFonts w:hint="cs"/>
          <w:b/>
          <w:bCs/>
          <w:sz w:val="24"/>
          <w:rtl/>
        </w:rPr>
        <w:t>עלויות התאגידים מבוססות על הנחה שאינה תואמת את המצב שבו התאגידים פועלים. בעוד הנורמות משקפות תיאגוד אזורי לפי מתווה של 15 תאגידים, בפועל פועלים 56 תאגידים.</w:t>
      </w:r>
      <w:r w:rsidRPr="002B1446">
        <w:rPr>
          <w:rFonts w:hint="cs"/>
          <w:b/>
          <w:bCs/>
          <w:sz w:val="24"/>
          <w:rtl/>
        </w:rPr>
        <w:t xml:space="preserve"> </w:t>
      </w:r>
      <w:r>
        <w:rPr>
          <w:rFonts w:hint="cs"/>
          <w:b/>
          <w:bCs/>
          <w:sz w:val="24"/>
          <w:rtl/>
        </w:rPr>
        <w:t xml:space="preserve">מצב זה עשוי לגרום לכך שהפער בין העלויות הנורמטיביות המבוססות על תיאגוד אזורי לפי מתווה של 15 תאגידים לבין העלויות בפועל בהיעדר תיאגוד כאמור, יביא להקטנת ההשקעות בתשתיות המים והביוב ובתחזוקתן השוטפת. </w:t>
      </w:r>
    </w:p>
    <w:p w:rsidR="003D3BEF" w:rsidP="003D3BEF" w14:paraId="25BDB040" w14:textId="77777777">
      <w:pPr>
        <w:pStyle w:val="a"/>
        <w:spacing w:line="269" w:lineRule="auto"/>
        <w:rPr>
          <w:rtl/>
        </w:rPr>
      </w:pPr>
    </w:p>
    <w:p w:rsidR="003D3BEF" w:rsidP="003D3BEF" w14:paraId="791F4F54" w14:textId="77777777">
      <w:pPr>
        <w:spacing w:line="269" w:lineRule="auto"/>
        <w:rPr>
          <w:b/>
          <w:bCs/>
          <w:sz w:val="24"/>
          <w:rtl/>
        </w:rPr>
      </w:pPr>
      <w:r>
        <w:rPr>
          <w:rFonts w:hint="cs"/>
          <w:b/>
          <w:bCs/>
          <w:sz w:val="24"/>
          <w:rtl/>
        </w:rPr>
        <w:t>על הרשות לבחון את העלות הנורמטיבית בדרך שתשקף את המצב המיטבי לטובת עידוד ההשקעות הנדרשות לתשתית המים והביוב ותחזוקתן.</w:t>
      </w:r>
    </w:p>
    <w:p w:rsidR="003D3BEF" w:rsidP="003D3BEF" w14:paraId="41333FAE" w14:textId="77777777">
      <w:pPr>
        <w:pStyle w:val="a"/>
        <w:spacing w:line="269" w:lineRule="auto"/>
        <w:rPr>
          <w:rtl/>
        </w:rPr>
      </w:pPr>
    </w:p>
    <w:p w:rsidR="003D3BEF" w:rsidRPr="00811E2E" w:rsidP="003D3BEF" w14:paraId="661EBAEB" w14:textId="77777777">
      <w:pPr>
        <w:pStyle w:val="Heading3"/>
        <w:spacing w:before="0" w:line="269" w:lineRule="auto"/>
        <w:rPr>
          <w:rtl/>
        </w:rPr>
      </w:pPr>
      <w:bookmarkStart w:id="7" w:name="_Toc47260077"/>
      <w:r w:rsidRPr="00811E2E">
        <w:rPr>
          <w:rFonts w:hint="cs"/>
          <w:rtl/>
        </w:rPr>
        <w:t>ת</w:t>
      </w:r>
      <w:r>
        <w:rPr>
          <w:rFonts w:hint="cs"/>
          <w:rtl/>
        </w:rPr>
        <w:t>י</w:t>
      </w:r>
      <w:r w:rsidRPr="00811E2E">
        <w:rPr>
          <w:rFonts w:hint="cs"/>
          <w:rtl/>
        </w:rPr>
        <w:t>אגוד</w:t>
      </w:r>
      <w:r w:rsidRPr="00811E2E">
        <w:rPr>
          <w:rtl/>
        </w:rPr>
        <w:t xml:space="preserve"> </w:t>
      </w:r>
      <w:r w:rsidRPr="00811E2E">
        <w:rPr>
          <w:rFonts w:hint="cs"/>
          <w:rtl/>
        </w:rPr>
        <w:t>אזורי</w:t>
      </w:r>
      <w:bookmarkEnd w:id="7"/>
    </w:p>
    <w:p w:rsidR="003D3BEF" w:rsidP="003D3BEF" w14:paraId="43F5B8DD" w14:textId="77777777">
      <w:pPr>
        <w:pStyle w:val="a"/>
        <w:rPr>
          <w:rtl/>
        </w:rPr>
      </w:pPr>
    </w:p>
    <w:p w:rsidR="003D3BEF" w:rsidP="003D3BEF" w14:paraId="44C1DAEA" w14:textId="77777777">
      <w:pPr>
        <w:spacing w:line="269" w:lineRule="auto"/>
        <w:rPr>
          <w:rtl/>
        </w:rPr>
      </w:pPr>
      <w:r>
        <w:rPr>
          <w:rFonts w:hint="cs"/>
          <w:rtl/>
        </w:rPr>
        <w:t xml:space="preserve">אחת המטרות המרכזיות העומדות בבסיסו של חוק התאגידים שחוקק בשנת 2001 היא </w:t>
      </w:r>
      <w:r w:rsidRPr="0053570F">
        <w:rPr>
          <w:rtl/>
        </w:rPr>
        <w:t>להביא לניהול עסקי, מקצועי ויעיל של מערכות המים והביוב ברשויות המקומיות</w:t>
      </w:r>
      <w:r>
        <w:rPr>
          <w:rFonts w:hint="cs"/>
          <w:rtl/>
        </w:rPr>
        <w:t>. על פי עמדת רשות המים, אמצעי חשוב להשגת מטרה זו הוא צמצום מספר הגופים העוסקים בתחום תוך שיפור יכולת השתת רגולציה אחידה ואכיפתה</w:t>
      </w:r>
      <w:r>
        <w:rPr>
          <w:rStyle w:val="FootnoteReference"/>
          <w:rtl/>
        </w:rPr>
        <w:footnoteReference w:id="81"/>
      </w:r>
      <w:r>
        <w:rPr>
          <w:rFonts w:hint="cs"/>
          <w:rtl/>
        </w:rPr>
        <w:t>. לדעת רשות המים, צמצום מספר התאגידים באמצעות תיאגוד אזורי יביא לחיסכון בעלויות עקב איחוד תאגידים ולחיסכון בהשקעות בתשתיות מים וביוב באמצעות שיפור כוח המיקוח מול ספקים ושיפור מערך הרכש הטמונים ביתרונות הגודל, ניצול יעיל של תשתיות ומניעת כפילויות, וכן חיסכון בכוח אדם ובתקורות בין היתר בשל "ביטול מערכי הנהלה ומטה כפולים" ו"ביטול כפילויות וצמצום במערכי התיפעול"</w:t>
      </w:r>
      <w:r>
        <w:rPr>
          <w:rStyle w:val="FootnoteReference"/>
          <w:rtl/>
        </w:rPr>
        <w:footnoteReference w:id="82"/>
      </w:r>
      <w:r>
        <w:rPr>
          <w:rFonts w:hint="cs"/>
          <w:rtl/>
        </w:rPr>
        <w:t>.</w:t>
      </w:r>
    </w:p>
    <w:p w:rsidR="003D3BEF" w:rsidP="003D3BEF" w14:paraId="5BF81AAC" w14:textId="77777777">
      <w:pPr>
        <w:pStyle w:val="a"/>
        <w:spacing w:line="269" w:lineRule="auto"/>
        <w:rPr>
          <w:rtl/>
        </w:rPr>
      </w:pPr>
    </w:p>
    <w:p w:rsidR="003D3BEF" w:rsidP="003D3BEF" w14:paraId="58242641" w14:textId="77777777">
      <w:pPr>
        <w:spacing w:line="269" w:lineRule="auto"/>
        <w:rPr>
          <w:rtl/>
        </w:rPr>
      </w:pPr>
      <w:r>
        <w:rPr>
          <w:rFonts w:hint="cs"/>
          <w:rtl/>
        </w:rPr>
        <w:t xml:space="preserve">משרד מבקר המדינה העיר כבר בשנים 2012 </w:t>
      </w:r>
      <w:r w:rsidRPr="00411013">
        <w:rPr>
          <w:rFonts w:hint="eastAsia"/>
          <w:rtl/>
        </w:rPr>
        <w:t>ו</w:t>
      </w:r>
      <w:r>
        <w:rPr>
          <w:rFonts w:hint="cs"/>
          <w:rtl/>
        </w:rPr>
        <w:t>-</w:t>
      </w:r>
      <w:r w:rsidRPr="00737926">
        <w:rPr>
          <w:rFonts w:hint="cs"/>
          <w:rtl/>
        </w:rPr>
        <w:t>2013</w:t>
      </w:r>
      <w:r>
        <w:rPr>
          <w:rFonts w:hint="cs"/>
          <w:rtl/>
        </w:rPr>
        <w:t xml:space="preserve"> כי </w:t>
      </w:r>
      <w:r w:rsidRPr="002B3B21">
        <w:rPr>
          <w:rtl/>
        </w:rPr>
        <w:t>מן הראוי לבחון דרכים מעשיות לצמצום מספר תאגידי המים באמצעות תאגידים אזוריים</w:t>
      </w:r>
      <w:r>
        <w:rPr>
          <w:rStyle w:val="FootnoteReference"/>
          <w:rtl/>
        </w:rPr>
        <w:footnoteReference w:id="83"/>
      </w:r>
      <w:r>
        <w:rPr>
          <w:rFonts w:hint="cs"/>
          <w:rtl/>
        </w:rPr>
        <w:t>, אך עד מועד סיום הביקורת הנוכחית, ועל אף החשיבות שרשות המים רואה בדבר לא צומצם מספרם.</w:t>
      </w:r>
    </w:p>
    <w:p w:rsidR="003D3BEF" w:rsidP="003D3BEF" w14:paraId="7DDC696C" w14:textId="77777777">
      <w:pPr>
        <w:pStyle w:val="a"/>
        <w:spacing w:line="269" w:lineRule="auto"/>
        <w:rPr>
          <w:rtl/>
        </w:rPr>
      </w:pPr>
    </w:p>
    <w:p w:rsidR="003D3BEF" w:rsidP="003D3BEF" w14:paraId="0BC53DF6" w14:textId="77777777">
      <w:pPr>
        <w:spacing w:line="269" w:lineRule="auto"/>
        <w:rPr>
          <w:rtl/>
        </w:rPr>
      </w:pPr>
      <w:r>
        <w:rPr>
          <w:rtl/>
        </w:rPr>
        <w:t xml:space="preserve">רשות המים השיבה </w:t>
      </w:r>
      <w:r>
        <w:rPr>
          <w:rFonts w:hint="cs"/>
          <w:rtl/>
        </w:rPr>
        <w:t>בתשובתה מ</w:t>
      </w:r>
      <w:r>
        <w:rPr>
          <w:rtl/>
        </w:rPr>
        <w:t>מאי 2020 כי עמדתה היא כי יש לפעול לצמצום משמעותי של מספר התאגידים, וכן להצטרפותן של רשויות מקומיות שטרם התאגדו לתאגידים קיימים. בהיעדר סמכות חוקית לכפות תיאגוד על רשויות מקומיות החייבות בתיאגוד שטרם התאגדו, פעל הממונה לקידום תיאגוד הרשויות המקומיות מרצון באמצעות חוזרי תמיכה ומענקים כספיים נרחבים.</w:t>
      </w:r>
    </w:p>
    <w:p w:rsidR="003D3BEF" w:rsidP="003D3BEF" w14:paraId="28E6C53C" w14:textId="77777777">
      <w:pPr>
        <w:pStyle w:val="a"/>
        <w:spacing w:line="269" w:lineRule="auto"/>
        <w:rPr>
          <w:rtl/>
        </w:rPr>
      </w:pPr>
    </w:p>
    <w:p w:rsidR="003D3BEF" w:rsidP="003D3BEF" w14:paraId="3829517C" w14:textId="77777777">
      <w:pPr>
        <w:spacing w:line="269" w:lineRule="auto"/>
        <w:rPr>
          <w:rtl/>
        </w:rPr>
      </w:pPr>
      <w:r>
        <w:rPr>
          <w:rFonts w:hint="cs"/>
          <w:rtl/>
        </w:rPr>
        <w:t>בתחילת הרפורמה, ועד 2013, איפשר חוק התאגידים אך לא חייב הקמת חברות אזוריות. כמה החלטות ממשלה שהתקבלו בנושא קבעו מדיניות בעניין תיאגוד אזורי, ובין היתר נקבע כי המספר המרבי של תאגידי מים וביוב יהיה 30, וכל תאגיד יספק שירותי מים וביוב ל-200,000 תושבים לכל הפחות</w:t>
      </w:r>
      <w:r>
        <w:rPr>
          <w:rStyle w:val="FootnoteReference"/>
          <w:rtl/>
        </w:rPr>
        <w:footnoteReference w:id="84"/>
      </w:r>
      <w:r>
        <w:rPr>
          <w:rFonts w:hint="cs"/>
          <w:rtl/>
        </w:rPr>
        <w:t>. כמו כן, קבעה הממשלה</w:t>
      </w:r>
      <w:r>
        <w:rPr>
          <w:rStyle w:val="FootnoteReference"/>
          <w:rtl/>
        </w:rPr>
        <w:footnoteReference w:id="85"/>
      </w:r>
      <w:r w:rsidRPr="00A165E0">
        <w:rPr>
          <w:rFonts w:hint="cs"/>
          <w:rtl/>
        </w:rPr>
        <w:t xml:space="preserve"> </w:t>
      </w:r>
      <w:r>
        <w:rPr>
          <w:rFonts w:hint="cs"/>
          <w:rtl/>
        </w:rPr>
        <w:t>עקרונות מנחים שיעמדו בבסיס פריסתם של התאגידים האזוריים, ובהם הבטחת יציבות כלכלית, יעילות הפריסה על בסיס גיאוגרפי, פריסה מיטבית של מערכת המים והביוב ויכולת התאגידים לספק מים לתושבים שבתחומם. ביולי 2010 הנחתה הממשלה את רשות המים לקבוע את המתווה הדרוש להקמתם של תאגידי מים וביוב אזוריים, לרבות קביעת כלים וצעדים לאיגוד אזורי של תאגידי מים וביוב</w:t>
      </w:r>
      <w:r>
        <w:rPr>
          <w:rStyle w:val="FootnoteReference"/>
          <w:rtl/>
        </w:rPr>
        <w:footnoteReference w:id="86"/>
      </w:r>
      <w:r>
        <w:rPr>
          <w:rFonts w:hint="cs"/>
          <w:rtl/>
        </w:rPr>
        <w:t xml:space="preserve">. </w:t>
      </w:r>
      <w:r w:rsidRPr="000B0B01">
        <w:rPr>
          <w:rtl/>
        </w:rPr>
        <w:t>בנובמבר 2011 קבעה הממשלה כי על רשויות מקומיות שטרם הקימו תאגידי מים וביוב, להעביר את משק המים והביוב בתחומן</w:t>
      </w:r>
      <w:r>
        <w:rPr>
          <w:rFonts w:hint="cs"/>
          <w:rtl/>
        </w:rPr>
        <w:t xml:space="preserve"> </w:t>
      </w:r>
      <w:r w:rsidRPr="000B0B01">
        <w:rPr>
          <w:rtl/>
        </w:rPr>
        <w:t>לתאגיד הקיים, או להקים</w:t>
      </w:r>
      <w:r>
        <w:rPr>
          <w:rtl/>
        </w:rPr>
        <w:t xml:space="preserve"> </w:t>
      </w:r>
      <w:r w:rsidRPr="000B0B01">
        <w:rPr>
          <w:rtl/>
        </w:rPr>
        <w:t>תאגיד עצמאי למעט במקרים חריגים</w:t>
      </w:r>
      <w:r>
        <w:rPr>
          <w:rStyle w:val="FootnoteReference"/>
          <w:rtl/>
        </w:rPr>
        <w:footnoteReference w:id="87"/>
      </w:r>
      <w:r>
        <w:rPr>
          <w:rFonts w:hint="cs"/>
          <w:rtl/>
        </w:rPr>
        <w:t>.</w:t>
      </w:r>
      <w:r w:rsidRPr="000B0B01">
        <w:rPr>
          <w:rtl/>
        </w:rPr>
        <w:t xml:space="preserve"> </w:t>
      </w:r>
      <w:r>
        <w:rPr>
          <w:rFonts w:hint="cs"/>
          <w:rtl/>
        </w:rPr>
        <w:t>במאי 2013 החליטה הממשלה כי כל תאגידי המים והביוב ימוזגו</w:t>
      </w:r>
      <w:r>
        <w:rPr>
          <w:rStyle w:val="FootnoteReference"/>
          <w:rtl/>
        </w:rPr>
        <w:footnoteReference w:id="88"/>
      </w:r>
      <w:r>
        <w:rPr>
          <w:rFonts w:hint="cs"/>
          <w:rtl/>
        </w:rPr>
        <w:t xml:space="preserve"> לכדי 15 תאגידים אזוריים, וכי הרשויות המקומיות הלא מתואגדות יעבירו את ניהול משק המים והביוב לידי אותם תאגידים אזוריים. בשנים 2006 - 2016 הוציאו משרד האוצר ורשות המים חוזרים שבהם הוצעו לתאגידים ולרשויות מקומיות מענקים, בין היתר לעידוד התיאגוד האזורי, </w:t>
      </w:r>
      <w:r w:rsidRPr="000B0B01">
        <w:rPr>
          <w:rtl/>
        </w:rPr>
        <w:t xml:space="preserve">והרשות פעלה לעידוד התיאגוד האיזורי והמקומי, אך הצלחתם להביא לתיאגוד איזורי בהיקף נרחב, הייתה מוגבלת. </w:t>
      </w:r>
    </w:p>
    <w:p w:rsidR="003D3BEF" w:rsidP="003D3BEF" w14:paraId="2427CEDA" w14:textId="77777777">
      <w:pPr>
        <w:pStyle w:val="a"/>
        <w:spacing w:line="269" w:lineRule="auto"/>
        <w:rPr>
          <w:rtl/>
        </w:rPr>
      </w:pPr>
    </w:p>
    <w:p w:rsidR="003D3BEF" w:rsidP="003D3BEF" w14:paraId="26373BA4" w14:textId="77777777">
      <w:pPr>
        <w:spacing w:line="269" w:lineRule="auto"/>
        <w:rPr>
          <w:rtl/>
        </w:rPr>
      </w:pPr>
      <w:r>
        <w:rPr>
          <w:rFonts w:hint="cs"/>
          <w:rtl/>
        </w:rPr>
        <w:t>בתיקון מאוגוסט 2013 לחוק תאגידי מים וביוב נקבעה חובה על כל הרשויות המקומיות להתאגד בתאגידים אזוריים, לפי מפת שיוך שתקבע מועצת רשות המים. בדצמבר 2013 קבעה מועצת רשות המים רשימת שיוך של תאגידים ורשויות מקומיות ל-11 תאגידים אזוריים בכל הארץ. מועד יישום התיאגוד האזורי נדחה מדי פעם בפעם עקב תיקוני חקיקה. בתיקון לחוק תאגידי מים והביוב מדצמבר 2018 נדחה לוח הזמנים לביצוע הקמת התאגידים האזוריים עד סוף 2019</w:t>
      </w:r>
      <w:r>
        <w:rPr>
          <w:rStyle w:val="FootnoteReference"/>
          <w:rtl/>
        </w:rPr>
        <w:footnoteReference w:id="89"/>
      </w:r>
      <w:r>
        <w:rPr>
          <w:rFonts w:hint="cs"/>
          <w:rtl/>
        </w:rPr>
        <w:t xml:space="preserve">. עוד נקבע בתיקון זה כי מספרם המירבי של התאגידים יהיה 30, ואף נקבע מנגנון שבו הרשויות המקומיות והתאגידים רשאים לבקש ולקבל פטור מהצטרפות לחברה אזורית. </w:t>
      </w:r>
      <w:r w:rsidRPr="00E91192">
        <w:rPr>
          <w:rtl/>
        </w:rPr>
        <w:t xml:space="preserve">לאחר מועד סיום הביקורת, </w:t>
      </w:r>
      <w:r>
        <w:rPr>
          <w:rFonts w:hint="cs"/>
          <w:rtl/>
        </w:rPr>
        <w:t>פורסם במרץ</w:t>
      </w:r>
      <w:r w:rsidRPr="00E91192">
        <w:rPr>
          <w:rtl/>
        </w:rPr>
        <w:t xml:space="preserve"> 2020, תזכיר הצעת חוק שבו הוצע לדחות את מועד תחילת חובת הת</w:t>
      </w:r>
      <w:r>
        <w:rPr>
          <w:rFonts w:hint="cs"/>
          <w:rtl/>
        </w:rPr>
        <w:t>י</w:t>
      </w:r>
      <w:r w:rsidRPr="00E91192">
        <w:rPr>
          <w:rtl/>
        </w:rPr>
        <w:t xml:space="preserve">אגוד האזורי </w:t>
      </w:r>
      <w:r>
        <w:rPr>
          <w:rFonts w:hint="cs"/>
          <w:rtl/>
        </w:rPr>
        <w:t>ל-1.9.20</w:t>
      </w:r>
      <w:r>
        <w:rPr>
          <w:rStyle w:val="FootnoteReference"/>
          <w:rtl/>
        </w:rPr>
        <w:footnoteReference w:id="90"/>
      </w:r>
      <w:r>
        <w:rPr>
          <w:rFonts w:hint="cs"/>
          <w:rtl/>
        </w:rPr>
        <w:t>.</w:t>
      </w:r>
    </w:p>
    <w:p w:rsidR="003D3BEF" w:rsidP="003D3BEF" w14:paraId="2FF7D021" w14:textId="77777777">
      <w:pPr>
        <w:pStyle w:val="a"/>
        <w:spacing w:line="269" w:lineRule="auto"/>
        <w:rPr>
          <w:rtl/>
        </w:rPr>
      </w:pPr>
    </w:p>
    <w:p w:rsidR="003D3BEF" w:rsidP="003D3BEF" w14:paraId="50F85BC0" w14:textId="77777777">
      <w:pPr>
        <w:pStyle w:val="ListParagraph"/>
        <w:numPr>
          <w:ilvl w:val="0"/>
          <w:numId w:val="19"/>
        </w:numPr>
        <w:spacing w:line="269" w:lineRule="auto"/>
        <w:ind w:left="312"/>
      </w:pPr>
      <w:r>
        <w:rPr>
          <w:rFonts w:hint="cs"/>
          <w:rtl/>
        </w:rPr>
        <w:t xml:space="preserve">בפועל כאמור, </w:t>
      </w:r>
      <w:r w:rsidRPr="00A17053">
        <w:rPr>
          <w:rtl/>
        </w:rPr>
        <w:t xml:space="preserve">בין היתר בעקבות הפעולות שנקטה רשות המים, </w:t>
      </w:r>
      <w:r>
        <w:rPr>
          <w:rFonts w:hint="cs"/>
          <w:rtl/>
        </w:rPr>
        <w:t xml:space="preserve">עד מועד סיום הביקורת הוקמו </w:t>
      </w:r>
      <w:r w:rsidRPr="003652BB">
        <w:rPr>
          <w:rtl/>
        </w:rPr>
        <w:t>56 תאגידים</w:t>
      </w:r>
      <w:r>
        <w:rPr>
          <w:rFonts w:hint="cs"/>
          <w:rtl/>
        </w:rPr>
        <w:t xml:space="preserve"> המאגדים 158 רשויות מקומיות, שבהן כ-90% מתושבי המדינה.</w:t>
      </w:r>
      <w:r w:rsidRPr="003652BB">
        <w:rPr>
          <w:rtl/>
        </w:rPr>
        <w:t xml:space="preserve"> 2</w:t>
      </w:r>
      <w:r>
        <w:rPr>
          <w:rFonts w:hint="cs"/>
          <w:rtl/>
        </w:rPr>
        <w:t>4</w:t>
      </w:r>
      <w:r w:rsidRPr="003652BB">
        <w:rPr>
          <w:rtl/>
        </w:rPr>
        <w:t xml:space="preserve"> רשויות מקומיות החייבות בת</w:t>
      </w:r>
      <w:r>
        <w:rPr>
          <w:rFonts w:hint="cs"/>
          <w:rtl/>
        </w:rPr>
        <w:t>י</w:t>
      </w:r>
      <w:r w:rsidRPr="003652BB">
        <w:rPr>
          <w:rtl/>
        </w:rPr>
        <w:t xml:space="preserve">אגוד טרם </w:t>
      </w:r>
      <w:r>
        <w:rPr>
          <w:rFonts w:hint="cs"/>
          <w:rtl/>
        </w:rPr>
        <w:t>תוא</w:t>
      </w:r>
      <w:r w:rsidRPr="003652BB">
        <w:rPr>
          <w:rtl/>
        </w:rPr>
        <w:t>גדו</w:t>
      </w:r>
      <w:r>
        <w:rPr>
          <w:rFonts w:hint="cs"/>
          <w:rtl/>
        </w:rPr>
        <w:t xml:space="preserve"> בתאגידי מים וביוב</w:t>
      </w:r>
      <w:r>
        <w:rPr>
          <w:rStyle w:val="FootnoteReference"/>
          <w:rtl/>
        </w:rPr>
        <w:footnoteReference w:id="91"/>
      </w:r>
      <w:r w:rsidRPr="003652BB">
        <w:rPr>
          <w:rtl/>
        </w:rPr>
        <w:t>.</w:t>
      </w:r>
      <w:r>
        <w:rPr>
          <w:rFonts w:hint="cs"/>
          <w:rtl/>
        </w:rPr>
        <w:t xml:space="preserve"> </w:t>
      </w:r>
      <w:r w:rsidRPr="009F1AC0">
        <w:rPr>
          <w:rFonts w:hint="cs"/>
          <w:rtl/>
        </w:rPr>
        <w:t>להלן נתוני האוכלוסייה ב</w:t>
      </w:r>
      <w:r>
        <w:rPr>
          <w:rFonts w:hint="cs"/>
          <w:rtl/>
        </w:rPr>
        <w:t>תחום ה</w:t>
      </w:r>
      <w:r w:rsidRPr="009F1AC0">
        <w:rPr>
          <w:rFonts w:hint="cs"/>
          <w:rtl/>
        </w:rPr>
        <w:t xml:space="preserve">תאגידים </w:t>
      </w:r>
      <w:r>
        <w:rPr>
          <w:rFonts w:hint="cs"/>
          <w:rtl/>
        </w:rPr>
        <w:t>בשנים 2007-2017</w:t>
      </w:r>
      <w:r>
        <w:rPr>
          <w:rStyle w:val="FootnoteReference"/>
          <w:rtl/>
        </w:rPr>
        <w:footnoteReference w:id="92"/>
      </w:r>
      <w:r w:rsidRPr="009F1AC0">
        <w:rPr>
          <w:rFonts w:hint="cs"/>
          <w:rtl/>
        </w:rPr>
        <w:t>:</w:t>
      </w:r>
    </w:p>
    <w:p w:rsidR="003D3BEF" w:rsidP="003D3BEF" w14:paraId="62E4C5D1" w14:textId="77777777">
      <w:pPr>
        <w:pStyle w:val="a"/>
        <w:rPr>
          <w:rtl/>
        </w:rPr>
      </w:pPr>
    </w:p>
    <w:p w:rsidR="003D3BEF" w:rsidP="003D3BEF" w14:paraId="7D85C06F" w14:textId="77777777">
      <w:pPr>
        <w:spacing w:line="269" w:lineRule="auto"/>
        <w:jc w:val="center"/>
        <w:rPr>
          <w:b/>
          <w:bCs/>
          <w:rtl/>
        </w:rPr>
      </w:pPr>
      <w:r>
        <w:rPr>
          <w:rFonts w:hint="cs"/>
          <w:b/>
          <w:bCs/>
          <w:sz w:val="24"/>
          <w:rtl/>
        </w:rPr>
        <w:t xml:space="preserve">תרשים 32: </w:t>
      </w:r>
      <w:r w:rsidRPr="00882B3A">
        <w:rPr>
          <w:rFonts w:hint="cs"/>
          <w:b/>
          <w:bCs/>
          <w:rtl/>
        </w:rPr>
        <w:t xml:space="preserve">פילוח התאגידים </w:t>
      </w:r>
      <w:r>
        <w:rPr>
          <w:rFonts w:hint="cs"/>
          <w:b/>
          <w:bCs/>
          <w:rtl/>
        </w:rPr>
        <w:t>לפי מספרי</w:t>
      </w:r>
      <w:r w:rsidRPr="00882B3A">
        <w:rPr>
          <w:rFonts w:hint="cs"/>
          <w:b/>
          <w:bCs/>
          <w:rtl/>
        </w:rPr>
        <w:t xml:space="preserve"> הרשויות המרכיבות </w:t>
      </w:r>
      <w:r>
        <w:rPr>
          <w:rFonts w:hint="cs"/>
          <w:b/>
          <w:bCs/>
          <w:rtl/>
        </w:rPr>
        <w:t>ב</w:t>
      </w:r>
      <w:r w:rsidRPr="00882B3A">
        <w:rPr>
          <w:rFonts w:hint="cs"/>
          <w:b/>
          <w:bCs/>
          <w:rtl/>
        </w:rPr>
        <w:t>כל תאגיד</w:t>
      </w:r>
    </w:p>
    <w:p w:rsidR="003D3BEF" w:rsidP="007B21F7" w14:paraId="0F34568B" w14:textId="77777777">
      <w:pPr>
        <w:spacing w:before="120" w:after="120" w:line="269" w:lineRule="auto"/>
        <w:jc w:val="center"/>
        <w:rPr>
          <w:b/>
          <w:bCs/>
          <w:rtl/>
        </w:rPr>
      </w:pPr>
      <w:r>
        <w:rPr>
          <w:b/>
          <w:bCs/>
          <w:noProof/>
          <w:rtl/>
        </w:rPr>
        <w:drawing>
          <wp:inline distT="0" distB="0" distL="0" distR="0">
            <wp:extent cx="2883414" cy="2731014"/>
            <wp:effectExtent l="0" t="0" r="0" b="0"/>
            <wp:docPr id="780323271" name="תמונה 78032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4431" name="water-corporations-g-32.png"/>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731014"/>
                    </a:xfrm>
                    <a:prstGeom prst="rect">
                      <a:avLst/>
                    </a:prstGeom>
                  </pic:spPr>
                </pic:pic>
              </a:graphicData>
            </a:graphic>
          </wp:inline>
        </w:drawing>
      </w:r>
    </w:p>
    <w:p w:rsidR="003D3BEF" w:rsidRPr="00684E93" w:rsidP="007B21F7" w14:paraId="65E8BB7B"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ב</w:t>
      </w:r>
      <w:r w:rsidRPr="00684E93">
        <w:rPr>
          <w:rFonts w:hint="eastAsia"/>
          <w:sz w:val="22"/>
          <w:szCs w:val="22"/>
          <w:rtl/>
        </w:rPr>
        <w:t>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2C6D453C" w14:textId="77777777">
      <w:pPr>
        <w:pStyle w:val="a"/>
        <w:spacing w:line="269" w:lineRule="auto"/>
        <w:rPr>
          <w:rtl/>
        </w:rPr>
      </w:pPr>
    </w:p>
    <w:p w:rsidR="003D3BEF" w:rsidP="003D3BEF" w14:paraId="7705E9AF" w14:textId="77777777">
      <w:pPr>
        <w:spacing w:line="269" w:lineRule="auto"/>
        <w:rPr>
          <w:rtl/>
        </w:rPr>
      </w:pPr>
      <w:r>
        <w:rPr>
          <w:rFonts w:hint="cs"/>
          <w:rtl/>
        </w:rPr>
        <w:t xml:space="preserve">מהתרשים ניתן לראות כי יותר מ-50% </w:t>
      </w:r>
      <w:r w:rsidRPr="003652BB">
        <w:rPr>
          <w:rtl/>
        </w:rPr>
        <w:t xml:space="preserve">מהתאגידים הם </w:t>
      </w:r>
      <w:r>
        <w:rPr>
          <w:rFonts w:hint="cs"/>
          <w:rtl/>
        </w:rPr>
        <w:t xml:space="preserve">תאגידים </w:t>
      </w:r>
      <w:r w:rsidRPr="003652BB">
        <w:rPr>
          <w:rtl/>
        </w:rPr>
        <w:t>חד</w:t>
      </w:r>
      <w:r>
        <w:rPr>
          <w:rFonts w:hint="cs"/>
          <w:rtl/>
        </w:rPr>
        <w:t>-רשותיים</w:t>
      </w:r>
      <w:r w:rsidRPr="003652BB">
        <w:rPr>
          <w:rtl/>
        </w:rPr>
        <w:t xml:space="preserve"> </w:t>
      </w:r>
      <w:r>
        <w:rPr>
          <w:rFonts w:hint="cs"/>
          <w:rtl/>
        </w:rPr>
        <w:t>ותאגידים דו-</w:t>
      </w:r>
      <w:r w:rsidRPr="003652BB">
        <w:rPr>
          <w:rtl/>
        </w:rPr>
        <w:t>רשותיים.</w:t>
      </w:r>
      <w:r>
        <w:rPr>
          <w:rFonts w:hint="cs"/>
          <w:rtl/>
        </w:rPr>
        <w:t xml:space="preserve"> </w:t>
      </w:r>
    </w:p>
    <w:p w:rsidR="003D3BEF" w:rsidP="003D3BEF" w14:paraId="38E2C514" w14:textId="77777777">
      <w:pPr>
        <w:bidi w:val="0"/>
        <w:spacing w:after="200" w:line="276" w:lineRule="auto"/>
        <w:rPr>
          <w:szCs w:val="20"/>
          <w:rtl/>
        </w:rPr>
      </w:pPr>
      <w:r>
        <w:rPr>
          <w:rtl/>
        </w:rPr>
        <w:br w:type="page"/>
      </w:r>
    </w:p>
    <w:p w:rsidR="003D3BEF" w:rsidRPr="00EC36A1" w:rsidP="003D3BEF" w14:paraId="6EAF5652" w14:textId="77777777">
      <w:pPr>
        <w:pStyle w:val="a"/>
        <w:spacing w:line="269" w:lineRule="auto"/>
        <w:rPr>
          <w:rtl/>
        </w:rPr>
      </w:pPr>
    </w:p>
    <w:p w:rsidR="003D3BEF" w:rsidP="003D3BEF" w14:paraId="578F819F" w14:textId="77777777">
      <w:pPr>
        <w:spacing w:line="269" w:lineRule="auto"/>
        <w:jc w:val="center"/>
        <w:rPr>
          <w:b/>
          <w:bCs/>
          <w:rtl/>
        </w:rPr>
      </w:pPr>
      <w:r>
        <w:rPr>
          <w:rFonts w:hint="cs"/>
          <w:b/>
          <w:bCs/>
          <w:sz w:val="24"/>
          <w:rtl/>
        </w:rPr>
        <w:t xml:space="preserve">תרשים 33: </w:t>
      </w:r>
      <w:r>
        <w:rPr>
          <w:rFonts w:hint="cs"/>
          <w:b/>
          <w:bCs/>
          <w:rtl/>
        </w:rPr>
        <w:t>מפת ה</w:t>
      </w:r>
      <w:r>
        <w:rPr>
          <w:b/>
          <w:bCs/>
          <w:rtl/>
        </w:rPr>
        <w:t>תאגידים</w:t>
      </w:r>
      <w:r>
        <w:rPr>
          <w:rFonts w:hint="cs"/>
          <w:b/>
          <w:bCs/>
          <w:rtl/>
        </w:rPr>
        <w:t xml:space="preserve">, לפי </w:t>
      </w:r>
      <w:r w:rsidRPr="00882B3A">
        <w:rPr>
          <w:b/>
          <w:bCs/>
          <w:rtl/>
        </w:rPr>
        <w:t xml:space="preserve">מקבצי גודל </w:t>
      </w:r>
      <w:r>
        <w:rPr>
          <w:rFonts w:hint="cs"/>
          <w:b/>
          <w:bCs/>
          <w:rtl/>
        </w:rPr>
        <w:t>ה</w:t>
      </w:r>
      <w:r w:rsidRPr="00882B3A">
        <w:rPr>
          <w:b/>
          <w:bCs/>
          <w:rtl/>
        </w:rPr>
        <w:t>אוכלוסייה</w:t>
      </w:r>
      <w:r>
        <w:rPr>
          <w:rFonts w:hint="cs"/>
          <w:b/>
          <w:bCs/>
          <w:rtl/>
        </w:rPr>
        <w:t xml:space="preserve"> בכל תאגיד, 2007-2017</w:t>
      </w:r>
    </w:p>
    <w:p w:rsidR="003D3BEF" w:rsidP="007B21F7" w14:paraId="376C9817" w14:textId="77777777">
      <w:pPr>
        <w:spacing w:before="120" w:after="120" w:line="269" w:lineRule="auto"/>
        <w:jc w:val="center"/>
        <w:rPr>
          <w:b/>
          <w:bCs/>
          <w:rtl/>
        </w:rPr>
      </w:pPr>
      <w:r>
        <w:rPr>
          <w:b/>
          <w:bCs/>
          <w:noProof/>
          <w:rtl/>
        </w:rPr>
        <w:drawing>
          <wp:inline distT="0" distB="0" distL="0" distR="0">
            <wp:extent cx="2883414" cy="2063500"/>
            <wp:effectExtent l="0" t="0" r="0" b="0"/>
            <wp:docPr id="780323272" name="תמונה 78032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36887" name="water-corporations-g-33.pn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063500"/>
                    </a:xfrm>
                    <a:prstGeom prst="rect">
                      <a:avLst/>
                    </a:prstGeom>
                  </pic:spPr>
                </pic:pic>
              </a:graphicData>
            </a:graphic>
          </wp:inline>
        </w:drawing>
      </w:r>
    </w:p>
    <w:p w:rsidR="003D3BEF" w:rsidRPr="00684E93" w:rsidP="007B21F7" w14:paraId="5C137056"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A07561" w:rsidP="003D3BEF" w14:paraId="70C9861B" w14:textId="77777777">
      <w:pPr>
        <w:pStyle w:val="a"/>
        <w:spacing w:line="269" w:lineRule="auto"/>
        <w:rPr>
          <w:rtl/>
        </w:rPr>
      </w:pPr>
    </w:p>
    <w:p w:rsidR="003D3BEF" w:rsidP="003D3BEF" w14:paraId="7E2AA51A" w14:textId="77777777">
      <w:pPr>
        <w:spacing w:line="269" w:lineRule="auto"/>
        <w:ind w:left="312"/>
        <w:rPr>
          <w:rtl/>
        </w:rPr>
      </w:pPr>
      <w:r>
        <w:rPr>
          <w:rFonts w:hint="cs"/>
          <w:rtl/>
        </w:rPr>
        <w:t xml:space="preserve">מהתרשים עולה כי </w:t>
      </w:r>
      <w:r w:rsidRPr="003652BB">
        <w:rPr>
          <w:rtl/>
        </w:rPr>
        <w:t>פעולות רשות המים לעידוד צמצום מספר תאגידי המים וחבירה לחברות אזוריות (לפחות 10</w:t>
      </w:r>
      <w:r>
        <w:rPr>
          <w:rtl/>
        </w:rPr>
        <w:t>0,000 תושבים) לא הצליחו במלואן</w:t>
      </w:r>
      <w:r>
        <w:rPr>
          <w:rFonts w:hint="cs"/>
          <w:rtl/>
        </w:rPr>
        <w:t xml:space="preserve"> - </w:t>
      </w:r>
      <w:r>
        <w:rPr>
          <w:rtl/>
        </w:rPr>
        <w:t>רוב התאגידים</w:t>
      </w:r>
      <w:r>
        <w:rPr>
          <w:rFonts w:hint="cs"/>
          <w:rtl/>
        </w:rPr>
        <w:t xml:space="preserve"> (57%)</w:t>
      </w:r>
      <w:r>
        <w:rPr>
          <w:rtl/>
        </w:rPr>
        <w:t xml:space="preserve"> משרתים </w:t>
      </w:r>
      <w:r>
        <w:rPr>
          <w:rFonts w:hint="cs"/>
          <w:rtl/>
        </w:rPr>
        <w:t>פחות מ</w:t>
      </w:r>
      <w:r>
        <w:rPr>
          <w:rtl/>
        </w:rPr>
        <w:t>-100,000 תושבים</w:t>
      </w:r>
      <w:r>
        <w:rPr>
          <w:rFonts w:hint="cs"/>
          <w:rtl/>
        </w:rPr>
        <w:t>, ו</w:t>
      </w:r>
      <w:r w:rsidRPr="003652BB">
        <w:rPr>
          <w:rtl/>
        </w:rPr>
        <w:t>מרב התאגידים (כ-82%) משרתים מספר צרכנים הנמוך מ-200,000.</w:t>
      </w:r>
    </w:p>
    <w:p w:rsidR="003D3BEF" w:rsidRPr="00EC36A1" w:rsidP="003D3BEF" w14:paraId="450CDAD8" w14:textId="77777777">
      <w:pPr>
        <w:pStyle w:val="a"/>
        <w:spacing w:line="269" w:lineRule="auto"/>
        <w:rPr>
          <w:rtl/>
        </w:rPr>
      </w:pPr>
    </w:p>
    <w:p w:rsidR="00902044" w:rsidP="003D3BEF" w14:paraId="193468D0" w14:textId="77777777">
      <w:pPr>
        <w:pStyle w:val="ListParagraph"/>
        <w:spacing w:line="269" w:lineRule="auto"/>
        <w:ind w:left="0"/>
        <w:jc w:val="center"/>
        <w:rPr>
          <w:b/>
          <w:bCs/>
          <w:sz w:val="24"/>
          <w:rtl/>
        </w:rPr>
      </w:pPr>
    </w:p>
    <w:p w:rsidR="003D3BEF" w:rsidP="00BB35F1" w14:paraId="0AA5ACF6" w14:textId="77777777">
      <w:pPr>
        <w:pStyle w:val="ListParagraph"/>
        <w:spacing w:line="269" w:lineRule="auto"/>
        <w:ind w:left="0"/>
        <w:jc w:val="center"/>
        <w:rPr>
          <w:b/>
          <w:bCs/>
          <w:sz w:val="24"/>
          <w:rtl/>
        </w:rPr>
      </w:pPr>
      <w:r>
        <w:rPr>
          <w:rFonts w:hint="cs"/>
          <w:b/>
          <w:bCs/>
          <w:sz w:val="24"/>
          <w:rtl/>
        </w:rPr>
        <w:t>לוח</w:t>
      </w:r>
      <w:r w:rsidRPr="00F7525C">
        <w:rPr>
          <w:rFonts w:hint="cs"/>
          <w:b/>
          <w:bCs/>
          <w:sz w:val="24"/>
          <w:rtl/>
        </w:rPr>
        <w:t xml:space="preserve"> </w:t>
      </w:r>
      <w:r>
        <w:rPr>
          <w:rFonts w:hint="cs"/>
          <w:b/>
          <w:bCs/>
          <w:sz w:val="24"/>
          <w:rtl/>
        </w:rPr>
        <w:t>5</w:t>
      </w:r>
      <w:r w:rsidRPr="003A5F2D">
        <w:rPr>
          <w:rFonts w:hint="cs"/>
          <w:b/>
          <w:bCs/>
          <w:sz w:val="24"/>
          <w:rtl/>
        </w:rPr>
        <w:t xml:space="preserve">: </w:t>
      </w:r>
      <w:r w:rsidRPr="003A5F2D" w:rsidR="00BB35F1">
        <w:rPr>
          <w:rFonts w:hint="cs"/>
          <w:b/>
          <w:bCs/>
          <w:sz w:val="24"/>
          <w:rtl/>
        </w:rPr>
        <w:t>השינוי בהתאגדות ונתוני אוכלוסייה</w:t>
      </w:r>
      <w:r w:rsidR="00BB35F1">
        <w:rPr>
          <w:rFonts w:hint="cs"/>
          <w:b/>
          <w:bCs/>
          <w:sz w:val="24"/>
          <w:rtl/>
        </w:rPr>
        <w:t>, 2017-2007</w:t>
      </w:r>
      <w:r w:rsidRPr="003A5F2D">
        <w:rPr>
          <w:rFonts w:hint="cs"/>
          <w:b/>
          <w:bCs/>
          <w:sz w:val="24"/>
          <w:rtl/>
        </w:rPr>
        <w:t xml:space="preserve"> ונתוני אוכלוסייה</w:t>
      </w:r>
      <w:r>
        <w:rPr>
          <w:rFonts w:hint="cs"/>
          <w:b/>
          <w:bCs/>
          <w:sz w:val="24"/>
          <w:rtl/>
        </w:rPr>
        <w:t>, 20</w:t>
      </w:r>
      <w:r w:rsidR="007073AD">
        <w:rPr>
          <w:rFonts w:hint="cs"/>
          <w:b/>
          <w:bCs/>
          <w:sz w:val="24"/>
          <w:rtl/>
        </w:rPr>
        <w:t>1</w:t>
      </w:r>
      <w:r>
        <w:rPr>
          <w:rFonts w:hint="cs"/>
          <w:b/>
          <w:bCs/>
          <w:sz w:val="24"/>
          <w:rtl/>
        </w:rPr>
        <w:t>7-20</w:t>
      </w:r>
      <w:r w:rsidR="007073AD">
        <w:rPr>
          <w:rFonts w:hint="cs"/>
          <w:b/>
          <w:bCs/>
          <w:sz w:val="24"/>
          <w:rtl/>
        </w:rPr>
        <w:t>07</w:t>
      </w:r>
    </w:p>
    <w:p w:rsidR="00C31173" w:rsidP="00C31173" w14:paraId="10E91217" w14:textId="77777777">
      <w:pPr>
        <w:spacing w:before="120" w:after="120" w:line="269" w:lineRule="auto"/>
        <w:jc w:val="center"/>
        <w:rPr>
          <w:sz w:val="22"/>
          <w:szCs w:val="22"/>
          <w:rtl/>
        </w:rPr>
      </w:pPr>
      <w:r>
        <w:rPr>
          <w:rFonts w:hint="eastAsia"/>
          <w:noProof/>
          <w:sz w:val="22"/>
          <w:szCs w:val="22"/>
          <w:rtl/>
        </w:rPr>
        <w:drawing>
          <wp:inline distT="0" distB="0" distL="0" distR="0">
            <wp:extent cx="4320000" cy="1756800"/>
            <wp:effectExtent l="0" t="0" r="444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48142" name="לוח -5.jp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1756800"/>
                    </a:xfrm>
                    <a:prstGeom prst="rect">
                      <a:avLst/>
                    </a:prstGeom>
                  </pic:spPr>
                </pic:pic>
              </a:graphicData>
            </a:graphic>
          </wp:inline>
        </w:drawing>
      </w:r>
    </w:p>
    <w:p w:rsidR="003D3BEF" w:rsidRPr="00684E93" w:rsidP="003D3BEF" w14:paraId="5867C316" w14:textId="77777777">
      <w:pPr>
        <w:spacing w:line="269" w:lineRule="auto"/>
        <w:jc w:val="left"/>
        <w:rPr>
          <w:sz w:val="22"/>
          <w:szCs w:val="22"/>
          <w:rtl/>
        </w:rPr>
      </w:pPr>
      <w:r w:rsidRPr="00684E93">
        <w:rPr>
          <w:rFonts w:hint="eastAsia"/>
          <w:sz w:val="22"/>
          <w:szCs w:val="22"/>
          <w:rtl/>
        </w:rPr>
        <w:t>המקור</w:t>
      </w:r>
      <w:r w:rsidRPr="00684E93">
        <w:rPr>
          <w:sz w:val="22"/>
          <w:szCs w:val="22"/>
          <w:rtl/>
        </w:rPr>
        <w:t xml:space="preserve">: </w:t>
      </w:r>
      <w:r w:rsidRPr="00684E93">
        <w:rPr>
          <w:rFonts w:hint="eastAsia"/>
          <w:sz w:val="22"/>
          <w:szCs w:val="22"/>
          <w:rtl/>
        </w:rPr>
        <w:t>רשות</w:t>
      </w:r>
      <w:r w:rsidRPr="00684E93">
        <w:rPr>
          <w:sz w:val="22"/>
          <w:szCs w:val="22"/>
          <w:rtl/>
        </w:rPr>
        <w:t xml:space="preserve"> המים, </w:t>
      </w:r>
      <w:r w:rsidRPr="00684E93">
        <w:rPr>
          <w:rFonts w:hint="eastAsia"/>
          <w:sz w:val="22"/>
          <w:szCs w:val="22"/>
          <w:rtl/>
        </w:rPr>
        <w:t>דוח</w:t>
      </w:r>
      <w:r w:rsidRPr="00684E93">
        <w:rPr>
          <w:sz w:val="22"/>
          <w:szCs w:val="22"/>
          <w:rtl/>
        </w:rPr>
        <w:t xml:space="preserve"> </w:t>
      </w:r>
      <w:r w:rsidRPr="00684E93">
        <w:rPr>
          <w:rFonts w:hint="eastAsia"/>
          <w:sz w:val="22"/>
          <w:szCs w:val="22"/>
          <w:rtl/>
        </w:rPr>
        <w:t>ועדת</w:t>
      </w:r>
      <w:r w:rsidRPr="00684E93">
        <w:rPr>
          <w:sz w:val="22"/>
          <w:szCs w:val="22"/>
          <w:rtl/>
        </w:rPr>
        <w:t xml:space="preserve"> </w:t>
      </w:r>
      <w:r w:rsidRPr="00684E93">
        <w:rPr>
          <w:rFonts w:hint="eastAsia"/>
          <w:sz w:val="22"/>
          <w:szCs w:val="22"/>
          <w:rtl/>
        </w:rPr>
        <w:t>בלניקוב</w:t>
      </w:r>
      <w:r w:rsidRPr="00684E93">
        <w:rPr>
          <w:rFonts w:hint="cs"/>
          <w:sz w:val="22"/>
          <w:szCs w:val="22"/>
          <w:rtl/>
        </w:rPr>
        <w:t xml:space="preserve"> 2019</w:t>
      </w:r>
      <w:r w:rsidRPr="00684E93">
        <w:rPr>
          <w:sz w:val="22"/>
          <w:szCs w:val="22"/>
          <w:rtl/>
        </w:rPr>
        <w:t xml:space="preserve">, </w:t>
      </w:r>
      <w:r w:rsidRPr="00684E93">
        <w:rPr>
          <w:rFonts w:hint="eastAsia"/>
          <w:sz w:val="22"/>
          <w:szCs w:val="22"/>
          <w:rtl/>
        </w:rPr>
        <w:t>עמ</w:t>
      </w:r>
      <w:r w:rsidRPr="00684E93">
        <w:rPr>
          <w:sz w:val="22"/>
          <w:szCs w:val="22"/>
          <w:rtl/>
        </w:rPr>
        <w:t xml:space="preserve">' 40. </w:t>
      </w:r>
      <w:r w:rsidRPr="00684E93">
        <w:rPr>
          <w:rFonts w:hint="cs"/>
          <w:sz w:val="22"/>
          <w:szCs w:val="22"/>
          <w:rtl/>
        </w:rPr>
        <w:t>יצוין כי העמודה השלישית אינה מתייחסת לכלל אוכלוסיית מדינת ישראל אלא לאוכלוסיית הרשויות המקומיות החייבות בתיאגוד.</w:t>
      </w:r>
    </w:p>
    <w:p w:rsidR="003D3BEF" w:rsidRPr="00A07561" w:rsidP="003D3BEF" w14:paraId="1FB40ED1" w14:textId="77777777">
      <w:pPr>
        <w:pStyle w:val="a"/>
        <w:spacing w:line="269" w:lineRule="auto"/>
        <w:rPr>
          <w:rtl/>
        </w:rPr>
      </w:pPr>
    </w:p>
    <w:p w:rsidR="003D3BEF" w:rsidP="003D3BEF" w14:paraId="59A92A03" w14:textId="77777777">
      <w:pPr>
        <w:spacing w:line="269" w:lineRule="auto"/>
        <w:ind w:left="312"/>
        <w:rPr>
          <w:b/>
          <w:bCs/>
          <w:rtl/>
        </w:rPr>
      </w:pPr>
      <w:r w:rsidRPr="0028487D">
        <w:rPr>
          <w:rFonts w:hint="cs"/>
          <w:b/>
          <w:bCs/>
          <w:rtl/>
        </w:rPr>
        <w:t xml:space="preserve">מנתונים אלה ניתן לראות כי בשנים 2012-2017 נוספו </w:t>
      </w:r>
      <w:r>
        <w:rPr>
          <w:rFonts w:hint="cs"/>
          <w:b/>
          <w:bCs/>
          <w:rtl/>
        </w:rPr>
        <w:t>ארבעה</w:t>
      </w:r>
      <w:r w:rsidRPr="0028487D">
        <w:rPr>
          <w:rFonts w:hint="cs"/>
          <w:b/>
          <w:bCs/>
          <w:rtl/>
        </w:rPr>
        <w:t xml:space="preserve"> תאגידים, אף ששיעור האוכלוסייה שבתחומי התאגידים מתוך כלל האוכלוסייה ברשויות המקומיות החייבות בתיאגוד לא עלה, ואף ירד מעט</w:t>
      </w:r>
      <w:r>
        <w:rPr>
          <w:rStyle w:val="FootnoteReference"/>
          <w:b/>
          <w:bCs/>
          <w:rtl/>
        </w:rPr>
        <w:footnoteReference w:id="93"/>
      </w:r>
      <w:r w:rsidRPr="0028487D">
        <w:rPr>
          <w:rFonts w:hint="cs"/>
          <w:b/>
          <w:bCs/>
          <w:rtl/>
        </w:rPr>
        <w:t>. כמו כן, בעוד שכ-90% מהאוכלוסייה ברשויות המקומיות החייבות בתיאגוד מקבלים שירותי מים וביוב מ-56 תאגידים, 10% הנותרים מקבלים שירותים אלה מ-25 רשויות מקומיות שטרם</w:t>
      </w:r>
      <w:r>
        <w:rPr>
          <w:rFonts w:hint="cs"/>
          <w:b/>
          <w:bCs/>
          <w:rtl/>
        </w:rPr>
        <w:t xml:space="preserve"> </w:t>
      </w:r>
      <w:r w:rsidRPr="005C3F06">
        <w:rPr>
          <w:rFonts w:hint="eastAsia"/>
          <w:b/>
          <w:bCs/>
          <w:rtl/>
        </w:rPr>
        <w:t>התאגדו</w:t>
      </w:r>
      <w:r>
        <w:rPr>
          <w:rStyle w:val="FootnoteReference"/>
          <w:b/>
          <w:bCs/>
          <w:rtl/>
        </w:rPr>
        <w:footnoteReference w:id="94"/>
      </w:r>
      <w:r w:rsidRPr="00E26506">
        <w:rPr>
          <w:b/>
          <w:bCs/>
          <w:rtl/>
        </w:rPr>
        <w:t>.</w:t>
      </w:r>
    </w:p>
    <w:p w:rsidR="003D3BEF" w:rsidRPr="00A62859" w:rsidP="003D3BEF" w14:paraId="49BD96DF" w14:textId="77777777">
      <w:pPr>
        <w:pStyle w:val="a"/>
        <w:spacing w:line="269" w:lineRule="auto"/>
        <w:rPr>
          <w:rtl/>
        </w:rPr>
      </w:pPr>
    </w:p>
    <w:p w:rsidR="003D3BEF" w:rsidP="003D3BEF" w14:paraId="0951C46E" w14:textId="77777777">
      <w:pPr>
        <w:spacing w:line="269" w:lineRule="auto"/>
        <w:ind w:left="312"/>
        <w:rPr>
          <w:b/>
          <w:bCs/>
          <w:rtl/>
        </w:rPr>
      </w:pPr>
      <w:r w:rsidRPr="00A62859">
        <w:rPr>
          <w:b/>
          <w:bCs/>
          <w:rtl/>
        </w:rPr>
        <w:t>משרד מבקר המדינה מציין לחיוב את ההגעה לכ-95%</w:t>
      </w:r>
      <w:r>
        <w:rPr>
          <w:rFonts w:hint="cs"/>
          <w:b/>
          <w:bCs/>
          <w:rtl/>
        </w:rPr>
        <w:t>-90%</w:t>
      </w:r>
      <w:r w:rsidRPr="00A62859">
        <w:rPr>
          <w:b/>
          <w:bCs/>
          <w:rtl/>
        </w:rPr>
        <w:t xml:space="preserve"> מקרב </w:t>
      </w:r>
      <w:r>
        <w:rPr>
          <w:rFonts w:hint="cs"/>
          <w:b/>
          <w:bCs/>
          <w:rtl/>
        </w:rPr>
        <w:t>ה</w:t>
      </w:r>
      <w:r w:rsidRPr="00A62859">
        <w:rPr>
          <w:b/>
          <w:bCs/>
          <w:rtl/>
        </w:rPr>
        <w:t>תושבי</w:t>
      </w:r>
      <w:r>
        <w:rPr>
          <w:rFonts w:hint="cs"/>
          <w:b/>
          <w:bCs/>
          <w:rtl/>
        </w:rPr>
        <w:t>ם</w:t>
      </w:r>
      <w:r w:rsidRPr="00A62859">
        <w:rPr>
          <w:b/>
          <w:bCs/>
          <w:rtl/>
        </w:rPr>
        <w:t xml:space="preserve"> </w:t>
      </w:r>
      <w:r>
        <w:rPr>
          <w:rFonts w:hint="cs"/>
          <w:b/>
          <w:bCs/>
          <w:rtl/>
        </w:rPr>
        <w:t>ברשויות המקומיות החייבות בתיאגוד</w:t>
      </w:r>
      <w:r w:rsidR="00BD7120">
        <w:rPr>
          <w:rFonts w:hint="cs"/>
          <w:b/>
          <w:bCs/>
          <w:rtl/>
        </w:rPr>
        <w:t xml:space="preserve"> </w:t>
      </w:r>
      <w:r w:rsidRPr="00A62859">
        <w:rPr>
          <w:b/>
          <w:bCs/>
          <w:rtl/>
        </w:rPr>
        <w:t>המקבלים ש</w:t>
      </w:r>
      <w:r>
        <w:rPr>
          <w:rFonts w:hint="cs"/>
          <w:b/>
          <w:bCs/>
          <w:rtl/>
        </w:rPr>
        <w:t>י</w:t>
      </w:r>
      <w:r w:rsidRPr="00A62859">
        <w:rPr>
          <w:b/>
          <w:bCs/>
          <w:rtl/>
        </w:rPr>
        <w:t>רות</w:t>
      </w:r>
      <w:r>
        <w:rPr>
          <w:rFonts w:hint="cs"/>
          <w:b/>
          <w:bCs/>
          <w:rtl/>
        </w:rPr>
        <w:t>ים</w:t>
      </w:r>
      <w:r w:rsidRPr="00A62859">
        <w:rPr>
          <w:b/>
          <w:bCs/>
          <w:rtl/>
        </w:rPr>
        <w:t xml:space="preserve"> מתאגידים.</w:t>
      </w:r>
    </w:p>
    <w:p w:rsidR="003D3BEF" w:rsidRPr="00A62859" w:rsidP="003D3BEF" w14:paraId="20E95427" w14:textId="77777777">
      <w:pPr>
        <w:pStyle w:val="a"/>
        <w:spacing w:line="269" w:lineRule="auto"/>
        <w:rPr>
          <w:rtl/>
        </w:rPr>
      </w:pPr>
    </w:p>
    <w:p w:rsidR="003D3BEF" w:rsidP="003D3BEF" w14:paraId="324E2BBE" w14:textId="77777777">
      <w:pPr>
        <w:pStyle w:val="ListParagraph"/>
        <w:numPr>
          <w:ilvl w:val="0"/>
          <w:numId w:val="19"/>
        </w:numPr>
        <w:spacing w:line="269" w:lineRule="auto"/>
        <w:ind w:left="312"/>
        <w:rPr>
          <w:rtl/>
        </w:rPr>
      </w:pPr>
      <w:r>
        <w:rPr>
          <w:rFonts w:hint="cs"/>
          <w:rtl/>
        </w:rPr>
        <w:t>במרץ 2019 פרסמה מועצת רשות המים לשימוע ציבורי מפת שיוך תאגידים ורשויות מקומיות לפי מתווה של 28 תאגידים אזוריים (להלן - מתווה 28 התאגידים). הגדלת מספר התאגידים האזוריים נעשתה כשלב ביניים וכדי לאחד בהדרגה את כל התאגידים ל-11 תאגידים אזוריים גדולים</w:t>
      </w:r>
      <w:r>
        <w:rPr>
          <w:rStyle w:val="FootnoteReference"/>
          <w:rtl/>
        </w:rPr>
        <w:footnoteReference w:id="95"/>
      </w:r>
      <w:r>
        <w:rPr>
          <w:rFonts w:hint="cs"/>
          <w:rtl/>
        </w:rPr>
        <w:t>.</w:t>
      </w:r>
    </w:p>
    <w:p w:rsidR="003D3BEF" w:rsidP="003D3BEF" w14:paraId="7BF0EE1D" w14:textId="77777777">
      <w:pPr>
        <w:pStyle w:val="a"/>
        <w:spacing w:line="269" w:lineRule="auto"/>
        <w:rPr>
          <w:rtl/>
        </w:rPr>
      </w:pPr>
    </w:p>
    <w:p w:rsidR="003D3BEF" w:rsidP="003D3BEF" w14:paraId="64EBC36C" w14:textId="77777777">
      <w:pPr>
        <w:spacing w:line="269" w:lineRule="auto"/>
        <w:ind w:left="368"/>
        <w:rPr>
          <w:rtl/>
        </w:rPr>
      </w:pPr>
      <w:r w:rsidRPr="008051BB">
        <w:rPr>
          <w:rFonts w:hint="cs"/>
          <w:rtl/>
        </w:rPr>
        <w:t>אחד היעדים בביצוע התיאגוד האזורי היה ליצור תאגידים שיש בהם תמהיל של רשויות מקומיות חלשות וחזקות מ</w:t>
      </w:r>
      <w:r>
        <w:rPr>
          <w:rFonts w:hint="cs"/>
          <w:rtl/>
        </w:rPr>
        <w:t>ה</w:t>
      </w:r>
      <w:r w:rsidRPr="008051BB">
        <w:rPr>
          <w:rFonts w:hint="cs"/>
          <w:rtl/>
        </w:rPr>
        <w:t xml:space="preserve">בחינה </w:t>
      </w:r>
      <w:r>
        <w:rPr>
          <w:rFonts w:hint="cs"/>
          <w:rtl/>
        </w:rPr>
        <w:t>ה</w:t>
      </w:r>
      <w:r w:rsidRPr="008051BB">
        <w:rPr>
          <w:rFonts w:hint="cs"/>
          <w:rtl/>
        </w:rPr>
        <w:t>חברתית-כלכלית. בחינת מתווה 28 התאגידים שהציעה רשות המים במ</w:t>
      </w:r>
      <w:r>
        <w:rPr>
          <w:rFonts w:hint="cs"/>
          <w:rtl/>
        </w:rPr>
        <w:t>רץ</w:t>
      </w:r>
      <w:r w:rsidRPr="008051BB">
        <w:rPr>
          <w:rFonts w:hint="cs"/>
          <w:rtl/>
        </w:rPr>
        <w:t xml:space="preserve"> 2019 מעלה כי 25 מתוכם כללו תמהיל הטרוגני מ</w:t>
      </w:r>
      <w:r>
        <w:rPr>
          <w:rFonts w:hint="cs"/>
          <w:rtl/>
        </w:rPr>
        <w:t>ה</w:t>
      </w:r>
      <w:r w:rsidRPr="008051BB">
        <w:rPr>
          <w:rFonts w:hint="cs"/>
          <w:rtl/>
        </w:rPr>
        <w:t xml:space="preserve">בחינה </w:t>
      </w:r>
      <w:r>
        <w:rPr>
          <w:rFonts w:hint="cs"/>
          <w:rtl/>
        </w:rPr>
        <w:t>ה</w:t>
      </w:r>
      <w:r w:rsidRPr="008051BB">
        <w:rPr>
          <w:rFonts w:hint="cs"/>
          <w:rtl/>
        </w:rPr>
        <w:t>חברתית-כלכלית, אך</w:t>
      </w:r>
      <w:r>
        <w:rPr>
          <w:rFonts w:hint="cs"/>
          <w:rtl/>
        </w:rPr>
        <w:t xml:space="preserve"> 3</w:t>
      </w:r>
      <w:r w:rsidRPr="008051BB">
        <w:rPr>
          <w:rFonts w:hint="cs"/>
          <w:rtl/>
        </w:rPr>
        <w:t xml:space="preserve"> מהם הורכבו מרשויות מקומיות</w:t>
      </w:r>
      <w:r>
        <w:rPr>
          <w:rFonts w:hint="cs"/>
          <w:rtl/>
        </w:rPr>
        <w:t xml:space="preserve"> בדירוג</w:t>
      </w:r>
      <w:r w:rsidRPr="008051BB">
        <w:rPr>
          <w:rFonts w:hint="cs"/>
          <w:rtl/>
        </w:rPr>
        <w:t xml:space="preserve"> חברתי</w:t>
      </w:r>
      <w:r>
        <w:rPr>
          <w:rFonts w:hint="cs"/>
          <w:rtl/>
        </w:rPr>
        <w:t>-</w:t>
      </w:r>
      <w:r w:rsidRPr="008051BB">
        <w:rPr>
          <w:rFonts w:hint="cs"/>
          <w:rtl/>
        </w:rPr>
        <w:t xml:space="preserve">כלכלי </w:t>
      </w:r>
      <w:r>
        <w:rPr>
          <w:rFonts w:hint="cs"/>
          <w:rtl/>
        </w:rPr>
        <w:t>נמוך</w:t>
      </w:r>
      <w:r w:rsidRPr="008051BB">
        <w:rPr>
          <w:rFonts w:hint="cs"/>
          <w:rtl/>
        </w:rPr>
        <w:t xml:space="preserve"> בלבד, ולא היה בהם תמהיל הטרוגני עם רשויות מקומיות</w:t>
      </w:r>
      <w:r>
        <w:rPr>
          <w:rFonts w:hint="cs"/>
          <w:rtl/>
        </w:rPr>
        <w:t xml:space="preserve"> בדירוג</w:t>
      </w:r>
      <w:r w:rsidRPr="008051BB">
        <w:rPr>
          <w:rFonts w:hint="cs"/>
          <w:rtl/>
        </w:rPr>
        <w:t xml:space="preserve"> חבר</w:t>
      </w:r>
      <w:r w:rsidRPr="003A5F2D">
        <w:rPr>
          <w:rFonts w:hint="cs"/>
          <w:rtl/>
        </w:rPr>
        <w:t>תי</w:t>
      </w:r>
      <w:r>
        <w:rPr>
          <w:rFonts w:hint="cs"/>
          <w:rtl/>
        </w:rPr>
        <w:t>-</w:t>
      </w:r>
      <w:r w:rsidRPr="003A5F2D">
        <w:rPr>
          <w:rFonts w:hint="cs"/>
          <w:rtl/>
        </w:rPr>
        <w:t xml:space="preserve">כלכלי </w:t>
      </w:r>
      <w:r>
        <w:rPr>
          <w:rFonts w:hint="cs"/>
          <w:rtl/>
        </w:rPr>
        <w:t>גבוה</w:t>
      </w:r>
      <w:r w:rsidRPr="003A5F2D">
        <w:rPr>
          <w:rFonts w:hint="cs"/>
          <w:rtl/>
        </w:rPr>
        <w:t xml:space="preserve"> או אפילו בינוני.</w:t>
      </w:r>
      <w:r>
        <w:rPr>
          <w:rFonts w:hint="cs"/>
          <w:rtl/>
        </w:rPr>
        <w:t xml:space="preserve"> </w:t>
      </w:r>
    </w:p>
    <w:p w:rsidR="003D3BEF" w:rsidRPr="007C33DA" w:rsidP="003D3BEF" w14:paraId="43B4EDDC" w14:textId="77777777">
      <w:pPr>
        <w:pStyle w:val="a"/>
        <w:spacing w:line="269" w:lineRule="auto"/>
        <w:rPr>
          <w:rtl/>
        </w:rPr>
      </w:pPr>
    </w:p>
    <w:p w:rsidR="003D3BEF" w:rsidP="003D3BEF" w14:paraId="0F15F2C8" w14:textId="77777777">
      <w:pPr>
        <w:spacing w:line="269" w:lineRule="auto"/>
        <w:ind w:left="312"/>
        <w:rPr>
          <w:rtl/>
        </w:rPr>
      </w:pPr>
      <w:r>
        <w:rPr>
          <w:rFonts w:hint="cs"/>
          <w:rtl/>
        </w:rPr>
        <w:t xml:space="preserve">במהלך השימוע הציבורי התקבלו התנגדויות רבות מתאגידים ומרשויות מקומיות למתווה 28 התאגידים. כמו כן, מרכז השלטון המקומי (להלן - </w:t>
      </w:r>
      <w:r w:rsidRPr="00952A51">
        <w:rPr>
          <w:rFonts w:hint="cs"/>
          <w:rtl/>
        </w:rPr>
        <w:t>מש</w:t>
      </w:r>
      <w:r w:rsidRPr="00952A51">
        <w:rPr>
          <w:rtl/>
        </w:rPr>
        <w:t>"</w:t>
      </w:r>
      <w:r>
        <w:rPr>
          <w:rFonts w:hint="cs"/>
          <w:rtl/>
        </w:rPr>
        <w:t xml:space="preserve">ם) הביע כבר בינואר 2019 התנגדות לתיאגוד האזורי, ואף הנחה את ראשי הרשויות המקומיות להעביר בכל מועצות הרשויות המקומיות החלטה המתנגדת לתיאגוד האזורי. לפי הנחייתו, חלק ממועצות הרשויות המקומיות אכן קיבלו החלטות הצהרתיות על התנגדותן לתיאגוד האזורי. </w:t>
      </w:r>
    </w:p>
    <w:p w:rsidR="003D3BEF" w:rsidP="003D3BEF" w14:paraId="580F9EAC" w14:textId="77777777">
      <w:pPr>
        <w:pStyle w:val="a"/>
        <w:spacing w:line="269" w:lineRule="auto"/>
        <w:rPr>
          <w:rtl/>
        </w:rPr>
      </w:pPr>
    </w:p>
    <w:p w:rsidR="003D3BEF" w:rsidP="003D3BEF" w14:paraId="6A471947" w14:textId="77777777">
      <w:pPr>
        <w:spacing w:line="269" w:lineRule="auto"/>
        <w:ind w:left="312"/>
        <w:rPr>
          <w:rtl/>
        </w:rPr>
      </w:pPr>
      <w:r>
        <w:rPr>
          <w:rFonts w:hint="cs"/>
          <w:rtl/>
        </w:rPr>
        <w:t xml:space="preserve">על פי עמדת מש"ם, יביא התיאגוד האזורי להחלשת השפעתן של הרשויות המקומיות על הנעשה בתאגידים, תוך יצירת מערכת סבסודים צולבים בין רשויות מקומיות חזקות וחלשות, כאשר תושבים ביישובים חזקים יממנו היעדר השקעות ביישובים חלשים. לדעתו, "האחריות לטיפול והשקעות בישובים חלשים מוטלת על כתפיה של המדינה, ואין להעבירה, הלכה למעשה, לכתפיהם של תושבים שמשלמים את תשלומיהם כדין, ואין להטילה על תאגידים ורשויות מקומיות המתנהלים באופן תקין ומנהלים משק מים וביוב בתחומם באופן יעיל ויציב". עוד סבור המש"ם כי יש לבטל את תאגידי המים והביוב ולחזור למשק מים סגור המנוהל בידי הרשות המקומית. </w:t>
      </w:r>
    </w:p>
    <w:p w:rsidR="003D3BEF" w:rsidP="003D3BEF" w14:paraId="44A1AF1B" w14:textId="77777777">
      <w:pPr>
        <w:pStyle w:val="a"/>
        <w:spacing w:line="269" w:lineRule="auto"/>
        <w:rPr>
          <w:rtl/>
        </w:rPr>
      </w:pPr>
    </w:p>
    <w:p w:rsidR="003D3BEF" w:rsidP="003D3BEF" w14:paraId="09C77162" w14:textId="77777777">
      <w:pPr>
        <w:spacing w:line="269" w:lineRule="auto"/>
        <w:ind w:left="312"/>
        <w:rPr>
          <w:rtl/>
        </w:rPr>
      </w:pPr>
      <w:r>
        <w:rPr>
          <w:rtl/>
        </w:rPr>
        <w:t xml:space="preserve">בתשובתו </w:t>
      </w:r>
      <w:r>
        <w:rPr>
          <w:rFonts w:hint="cs"/>
          <w:rtl/>
        </w:rPr>
        <w:t xml:space="preserve">ממאי 2020 </w:t>
      </w:r>
      <w:r>
        <w:rPr>
          <w:rtl/>
        </w:rPr>
        <w:t>למשרד מבקר המדינה</w:t>
      </w:r>
      <w:r>
        <w:rPr>
          <w:rFonts w:hint="cs"/>
          <w:rtl/>
        </w:rPr>
        <w:t xml:space="preserve"> טען מש"ם</w:t>
      </w:r>
      <w:r>
        <w:rPr>
          <w:rtl/>
        </w:rPr>
        <w:t xml:space="preserve"> כי לפי עמדתו "אמנם קיימים טווחי</w:t>
      </w:r>
      <w:r>
        <w:rPr>
          <w:rFonts w:hint="cs"/>
          <w:rtl/>
        </w:rPr>
        <w:t xml:space="preserve"> </w:t>
      </w:r>
      <w:r>
        <w:rPr>
          <w:rtl/>
        </w:rPr>
        <w:t>פעילות בהם קיימים יתרונות לגודל, אולם בטווחי הפעילות הנוכחיים של תאגידי המים והביוב, החלת תאגוד אזורי תייצר חסרונות לגודל", והוסיף וטען כי ביצועי התאגידים מצביעים על חסרונות של תיאגוד אזורי.</w:t>
      </w:r>
    </w:p>
    <w:p w:rsidR="003D3BEF" w:rsidP="003D3BEF" w14:paraId="43557685" w14:textId="77777777">
      <w:pPr>
        <w:pStyle w:val="a"/>
        <w:spacing w:line="269" w:lineRule="auto"/>
        <w:rPr>
          <w:rtl/>
        </w:rPr>
      </w:pPr>
    </w:p>
    <w:p w:rsidR="003D3BEF" w:rsidP="003D3BEF" w14:paraId="40B0B5D1" w14:textId="77777777">
      <w:pPr>
        <w:spacing w:line="269" w:lineRule="auto"/>
        <w:ind w:left="312"/>
        <w:rPr>
          <w:rtl/>
        </w:rPr>
      </w:pPr>
      <w:r>
        <w:rPr>
          <w:rFonts w:hint="cs"/>
          <w:rtl/>
        </w:rPr>
        <w:t xml:space="preserve">ההתנגדות הגורפת למתווה 28 התאגידים הביאה את מועצת רשות המים ביוני 2019 לידי מסקנה שגם מתווה זה אינו ישים, ועל כן החליטה להותיר על כנה את מפת התיאגוד הקיימת, הכוללת מתווה של 11 תאגידים, ולפעול בו זמנית למציאת דרכים למימוש התיאגוד האזורי בשיתוף פעולה עם הרשויות המקומיות והתאגידים. </w:t>
      </w:r>
    </w:p>
    <w:p w:rsidR="003D3BEF" w:rsidP="003D3BEF" w14:paraId="563BE32C" w14:textId="77777777">
      <w:pPr>
        <w:pStyle w:val="a"/>
        <w:spacing w:line="269" w:lineRule="auto"/>
        <w:rPr>
          <w:rtl/>
        </w:rPr>
      </w:pPr>
    </w:p>
    <w:p w:rsidR="003D3BEF" w:rsidP="003D3BEF" w14:paraId="5286FD6E" w14:textId="77777777">
      <w:pPr>
        <w:spacing w:line="269" w:lineRule="auto"/>
        <w:ind w:left="312"/>
        <w:rPr>
          <w:rtl/>
        </w:rPr>
      </w:pPr>
      <w:r>
        <w:rPr>
          <w:rtl/>
        </w:rPr>
        <w:t xml:space="preserve">בתשובתה ממאי 2020 </w:t>
      </w:r>
      <w:r>
        <w:rPr>
          <w:rFonts w:hint="cs"/>
          <w:rtl/>
        </w:rPr>
        <w:t xml:space="preserve">ציינה </w:t>
      </w:r>
      <w:r>
        <w:rPr>
          <w:rtl/>
        </w:rPr>
        <w:t xml:space="preserve">רשות המים כי היא מסייעת לתאגידים </w:t>
      </w:r>
      <w:r>
        <w:rPr>
          <w:rFonts w:hint="cs"/>
          <w:rtl/>
        </w:rPr>
        <w:t>ה</w:t>
      </w:r>
      <w:r>
        <w:rPr>
          <w:rtl/>
        </w:rPr>
        <w:t>פועלים בתחומ</w:t>
      </w:r>
      <w:r>
        <w:rPr>
          <w:rFonts w:hint="cs"/>
          <w:rtl/>
        </w:rPr>
        <w:t>ן</w:t>
      </w:r>
      <w:r>
        <w:rPr>
          <w:rtl/>
        </w:rPr>
        <w:t xml:space="preserve"> של רשויות מקומיות חלשות באמצעות מתן תמיכות </w:t>
      </w:r>
      <w:r>
        <w:rPr>
          <w:rFonts w:hint="cs"/>
          <w:rtl/>
        </w:rPr>
        <w:t>ו</w:t>
      </w:r>
      <w:r>
        <w:rPr>
          <w:rtl/>
        </w:rPr>
        <w:t xml:space="preserve">מענקים מיוחדים והתאמות נדרשות ברכיבי תעריף המים והביוב עצמם, ללא קשר לתאגיד או לחברה האזורית </w:t>
      </w:r>
      <w:r>
        <w:rPr>
          <w:rFonts w:hint="cs"/>
          <w:rtl/>
        </w:rPr>
        <w:t>ש</w:t>
      </w:r>
      <w:r>
        <w:rPr>
          <w:rtl/>
        </w:rPr>
        <w:t>אליו שייכת אותה רשות מקומית.</w:t>
      </w:r>
      <w:r>
        <w:rPr>
          <w:rFonts w:hint="cs"/>
          <w:rtl/>
        </w:rPr>
        <w:t xml:space="preserve"> </w:t>
      </w:r>
      <w:r>
        <w:rPr>
          <w:rtl/>
        </w:rPr>
        <w:t>לכן לפי עמדתה, "נטל המימון הנדרש בכדי לייצב את משק המים והביוב של אותה רשות מקומית חלשה, אשר ניהלה את משק המים והביוב שלה באופן קלוקל, מקורו בתעריף המים הארצי ותמיכות חיצוניות, ולא בתמיכה מתאגידים אחרים"</w:t>
      </w:r>
      <w:r>
        <w:rPr>
          <w:rFonts w:hint="cs"/>
          <w:rtl/>
        </w:rPr>
        <w:t>.</w:t>
      </w:r>
      <w:r>
        <w:rPr>
          <w:rtl/>
        </w:rPr>
        <w:t xml:space="preserve"> </w:t>
      </w:r>
      <w:r>
        <w:rPr>
          <w:rFonts w:hint="cs"/>
          <w:rtl/>
        </w:rPr>
        <w:t xml:space="preserve">הרשות הוסיפה </w:t>
      </w:r>
      <w:r>
        <w:rPr>
          <w:rtl/>
        </w:rPr>
        <w:t>כי מטרת התיאגוד האזורי הי</w:t>
      </w:r>
      <w:r>
        <w:rPr>
          <w:rFonts w:hint="cs"/>
          <w:rtl/>
        </w:rPr>
        <w:t xml:space="preserve">א </w:t>
      </w:r>
      <w:r>
        <w:rPr>
          <w:rtl/>
        </w:rPr>
        <w:t>בין השאר לאפשר לתאגידים חזקים "לתרום מהידע והנסיון שלהם לחיזוק התאגידים החלשים יותר, באמצעות סיוע ממשלתי".</w:t>
      </w:r>
    </w:p>
    <w:p w:rsidR="003D3BEF" w:rsidP="003D3BEF" w14:paraId="1FB534C3" w14:textId="77777777">
      <w:pPr>
        <w:pStyle w:val="a"/>
        <w:spacing w:line="269" w:lineRule="auto"/>
        <w:rPr>
          <w:rtl/>
        </w:rPr>
      </w:pPr>
    </w:p>
    <w:p w:rsidR="003D3BEF" w:rsidP="003D3BEF" w14:paraId="05B5E17A" w14:textId="77777777">
      <w:pPr>
        <w:spacing w:line="269" w:lineRule="auto"/>
        <w:ind w:left="312"/>
        <w:rPr>
          <w:b/>
          <w:bCs/>
          <w:rtl/>
        </w:rPr>
      </w:pPr>
      <w:r w:rsidRPr="00A07561">
        <w:rPr>
          <w:b/>
          <w:bCs/>
          <w:rtl/>
        </w:rPr>
        <w:t>משרד מבקר המדינה מ</w:t>
      </w:r>
      <w:r w:rsidRPr="00A07561">
        <w:rPr>
          <w:rFonts w:hint="eastAsia"/>
          <w:b/>
          <w:bCs/>
          <w:rtl/>
        </w:rPr>
        <w:t>ציין</w:t>
      </w:r>
      <w:r w:rsidRPr="00A07561">
        <w:rPr>
          <w:b/>
          <w:bCs/>
          <w:rtl/>
        </w:rPr>
        <w:t xml:space="preserve"> כי המענקים ניתנים בדרך כלל בהקמה או באופן חד</w:t>
      </w:r>
      <w:r w:rsidRPr="00A07561">
        <w:rPr>
          <w:rFonts w:hint="cs"/>
          <w:b/>
          <w:bCs/>
          <w:rtl/>
        </w:rPr>
        <w:t>-</w:t>
      </w:r>
      <w:r w:rsidRPr="00A07561">
        <w:rPr>
          <w:b/>
          <w:bCs/>
          <w:rtl/>
        </w:rPr>
        <w:t xml:space="preserve">פעמי, </w:t>
      </w:r>
      <w:r w:rsidRPr="00A07561">
        <w:rPr>
          <w:rFonts w:hint="cs"/>
          <w:b/>
          <w:bCs/>
          <w:rtl/>
        </w:rPr>
        <w:t xml:space="preserve">ואילו </w:t>
      </w:r>
      <w:r w:rsidRPr="00A07561">
        <w:rPr>
          <w:b/>
          <w:bCs/>
          <w:rtl/>
        </w:rPr>
        <w:t xml:space="preserve">ההשקעות הנדרשות כדי לצמצם פערים במשק המים של התאגידים החלשים </w:t>
      </w:r>
      <w:r w:rsidRPr="00A07561">
        <w:rPr>
          <w:rFonts w:hint="cs"/>
          <w:b/>
          <w:bCs/>
          <w:rtl/>
        </w:rPr>
        <w:t>נ</w:t>
      </w:r>
      <w:r w:rsidRPr="00A07561">
        <w:rPr>
          <w:b/>
          <w:bCs/>
          <w:rtl/>
        </w:rPr>
        <w:t xml:space="preserve">משכות ברציפות, </w:t>
      </w:r>
      <w:r w:rsidRPr="00A07561">
        <w:rPr>
          <w:rFonts w:hint="cs"/>
          <w:b/>
          <w:bCs/>
          <w:rtl/>
        </w:rPr>
        <w:t>נושא אשר ראוי לתת עליו את הדעת בתאגיד אזורי המשתף רשויות ותאגידים מסוגים שונים</w:t>
      </w:r>
      <w:r w:rsidRPr="00A07561">
        <w:rPr>
          <w:b/>
          <w:bCs/>
          <w:rtl/>
        </w:rPr>
        <w:t>.</w:t>
      </w:r>
    </w:p>
    <w:p w:rsidR="003D3BEF" w:rsidRPr="005C3F06" w:rsidP="003D3BEF" w14:paraId="2D97C77C" w14:textId="77777777">
      <w:pPr>
        <w:pStyle w:val="a"/>
        <w:spacing w:line="269" w:lineRule="auto"/>
        <w:rPr>
          <w:rtl/>
        </w:rPr>
      </w:pPr>
    </w:p>
    <w:p w:rsidR="003D3BEF" w:rsidP="003D3BEF" w14:paraId="32CCA26F" w14:textId="77777777">
      <w:pPr>
        <w:pStyle w:val="ListParagraph"/>
        <w:numPr>
          <w:ilvl w:val="0"/>
          <w:numId w:val="19"/>
        </w:numPr>
        <w:spacing w:line="269" w:lineRule="auto"/>
        <w:ind w:left="312"/>
        <w:rPr>
          <w:rtl/>
        </w:rPr>
      </w:pPr>
      <w:r w:rsidRPr="00D02B39">
        <w:rPr>
          <w:rStyle w:val="5"/>
          <w:rFonts w:hint="cs"/>
          <w:rtl/>
        </w:rPr>
        <w:t>פטור מתיאגוד אזורי:</w:t>
      </w:r>
      <w:r>
        <w:rPr>
          <w:rFonts w:hint="cs"/>
          <w:rtl/>
        </w:rPr>
        <w:t xml:space="preserve"> חוק התאגידים מאפשר לתאגיד להגיש לממונה בקשה למתן פטור מתיאגוד אזורי. הממונה יבדוק אם התאגיד עומד בתנאי הסף למתן פטור. תנאי סף אלה נקבעו בחוק, והם כוללים ביצוע מלא של תוכנית הפיתוח השנתית ויישומן של ההוראות לעניין הבטחת האיתנות הפיננסית ושל ההוראות ואמות המידה לשירות ש</w:t>
      </w:r>
      <w:r>
        <w:rPr>
          <w:rtl/>
        </w:rPr>
        <w:t>קבעה מועצת הרשות</w:t>
      </w:r>
      <w:r>
        <w:rPr>
          <w:rFonts w:hint="cs"/>
          <w:rtl/>
        </w:rPr>
        <w:t xml:space="preserve">. אם יקבע הממונה, באישור המועצה, שהתאגיד עומד בתנאי הסף למתן פטור, יפנה התאגיד לשר האנרגייה כדי לקבל את אישורו לקבלת הפטור; </w:t>
      </w:r>
      <w:r w:rsidRPr="00BD433B">
        <w:rPr>
          <w:rtl/>
        </w:rPr>
        <w:t>החלטת שר האנרג</w:t>
      </w:r>
      <w:r>
        <w:rPr>
          <w:rFonts w:hint="cs"/>
          <w:rtl/>
        </w:rPr>
        <w:t>י</w:t>
      </w:r>
      <w:r w:rsidRPr="00BD433B">
        <w:rPr>
          <w:rtl/>
        </w:rPr>
        <w:t>יה טעונה הסכמה של שר</w:t>
      </w:r>
      <w:r>
        <w:rPr>
          <w:rFonts w:hint="cs"/>
          <w:rtl/>
        </w:rPr>
        <w:t>י</w:t>
      </w:r>
      <w:r w:rsidRPr="00BD433B">
        <w:rPr>
          <w:rtl/>
        </w:rPr>
        <w:t xml:space="preserve"> האוצר </w:t>
      </w:r>
      <w:r>
        <w:rPr>
          <w:rFonts w:hint="cs"/>
          <w:rtl/>
        </w:rPr>
        <w:t>ו</w:t>
      </w:r>
      <w:r w:rsidRPr="00BD433B">
        <w:rPr>
          <w:rtl/>
        </w:rPr>
        <w:t>הפנים</w:t>
      </w:r>
      <w:r>
        <w:rPr>
          <w:rFonts w:hint="cs"/>
          <w:rtl/>
        </w:rPr>
        <w:t xml:space="preserve">. עוד נקבע כי אם </w:t>
      </w:r>
      <w:r w:rsidRPr="00BD433B">
        <w:rPr>
          <w:rtl/>
        </w:rPr>
        <w:t xml:space="preserve">לא ניתן פטור </w:t>
      </w:r>
      <w:r>
        <w:rPr>
          <w:rFonts w:hint="cs"/>
          <w:rtl/>
        </w:rPr>
        <w:t>לתאגיד</w:t>
      </w:r>
      <w:r w:rsidRPr="00BD433B">
        <w:rPr>
          <w:rtl/>
        </w:rPr>
        <w:t xml:space="preserve"> בתוך שלושה חודשים לכל</w:t>
      </w:r>
      <w:r>
        <w:rPr>
          <w:rtl/>
        </w:rPr>
        <w:t xml:space="preserve"> היותר ממועד </w:t>
      </w:r>
      <w:r>
        <w:rPr>
          <w:rFonts w:hint="cs"/>
          <w:rtl/>
        </w:rPr>
        <w:t>הפנייה לממונה, חלה על התאגיד חובה להצטרף לתאגיד אזורי כדי שיוכל להמשיך בפעילותו. על פי החוק, פטור יינתן לתקופה של שלוש שנים.</w:t>
      </w:r>
    </w:p>
    <w:p w:rsidR="003D3BEF" w:rsidP="003D3BEF" w14:paraId="6F80539D" w14:textId="77777777">
      <w:pPr>
        <w:pStyle w:val="a"/>
        <w:spacing w:line="269" w:lineRule="auto"/>
        <w:rPr>
          <w:rtl/>
        </w:rPr>
      </w:pPr>
    </w:p>
    <w:p w:rsidR="003D3BEF" w:rsidP="003D3BEF" w14:paraId="29149F54" w14:textId="77777777">
      <w:pPr>
        <w:spacing w:line="269" w:lineRule="auto"/>
        <w:ind w:left="312"/>
        <w:rPr>
          <w:b/>
          <w:bCs/>
          <w:rtl/>
        </w:rPr>
      </w:pPr>
      <w:r w:rsidRPr="00683066">
        <w:rPr>
          <w:rFonts w:hint="eastAsia"/>
          <w:b/>
          <w:bCs/>
          <w:rtl/>
        </w:rPr>
        <w:t>נמצא</w:t>
      </w:r>
      <w:r w:rsidRPr="00683066">
        <w:rPr>
          <w:b/>
          <w:bCs/>
          <w:rtl/>
        </w:rPr>
        <w:t xml:space="preserve"> </w:t>
      </w:r>
      <w:r w:rsidRPr="00683066">
        <w:rPr>
          <w:rFonts w:hint="eastAsia"/>
          <w:b/>
          <w:bCs/>
          <w:rtl/>
        </w:rPr>
        <w:t>כי</w:t>
      </w:r>
      <w:r w:rsidRPr="00683066">
        <w:rPr>
          <w:b/>
          <w:bCs/>
          <w:rtl/>
        </w:rPr>
        <w:t xml:space="preserve"> </w:t>
      </w:r>
      <w:r w:rsidRPr="00683066">
        <w:rPr>
          <w:rFonts w:hint="eastAsia"/>
          <w:b/>
          <w:bCs/>
          <w:rtl/>
        </w:rPr>
        <w:t>אף</w:t>
      </w:r>
      <w:r w:rsidRPr="00683066">
        <w:rPr>
          <w:b/>
          <w:bCs/>
          <w:rtl/>
        </w:rPr>
        <w:t xml:space="preserve"> </w:t>
      </w:r>
      <w:r w:rsidRPr="00683066">
        <w:rPr>
          <w:rFonts w:hint="eastAsia"/>
          <w:b/>
          <w:bCs/>
          <w:rtl/>
        </w:rPr>
        <w:t>ש</w:t>
      </w:r>
      <w:r w:rsidRPr="00683066">
        <w:rPr>
          <w:b/>
          <w:bCs/>
          <w:rtl/>
        </w:rPr>
        <w:t>ביוני 2019</w:t>
      </w:r>
      <w:r>
        <w:rPr>
          <w:rFonts w:hint="cs"/>
          <w:b/>
          <w:bCs/>
          <w:rtl/>
        </w:rPr>
        <w:t xml:space="preserve"> </w:t>
      </w:r>
      <w:r w:rsidRPr="00683066">
        <w:rPr>
          <w:rFonts w:hint="eastAsia"/>
          <w:b/>
          <w:bCs/>
          <w:rtl/>
        </w:rPr>
        <w:t>מועצ</w:t>
      </w:r>
      <w:r>
        <w:rPr>
          <w:rFonts w:hint="cs"/>
          <w:b/>
          <w:bCs/>
          <w:rtl/>
        </w:rPr>
        <w:t xml:space="preserve">ת רשות המים </w:t>
      </w:r>
      <w:r w:rsidRPr="00683066">
        <w:rPr>
          <w:rFonts w:hint="eastAsia"/>
          <w:b/>
          <w:bCs/>
          <w:rtl/>
        </w:rPr>
        <w:t>החליטה</w:t>
      </w:r>
      <w:r>
        <w:rPr>
          <w:rFonts w:hint="cs"/>
          <w:b/>
          <w:bCs/>
          <w:rtl/>
        </w:rPr>
        <w:t xml:space="preserve"> </w:t>
      </w:r>
      <w:r w:rsidRPr="00683066">
        <w:rPr>
          <w:b/>
          <w:bCs/>
          <w:rtl/>
        </w:rPr>
        <w:t>ש</w:t>
      </w:r>
      <w:r w:rsidRPr="00683066">
        <w:rPr>
          <w:rFonts w:hint="eastAsia"/>
          <w:b/>
          <w:bCs/>
          <w:rtl/>
        </w:rPr>
        <w:t>מתווה</w:t>
      </w:r>
      <w:r w:rsidRPr="00683066">
        <w:rPr>
          <w:b/>
          <w:bCs/>
          <w:rtl/>
        </w:rPr>
        <w:t xml:space="preserve"> 28 </w:t>
      </w:r>
      <w:r w:rsidRPr="00683066">
        <w:rPr>
          <w:rFonts w:hint="eastAsia"/>
          <w:b/>
          <w:bCs/>
          <w:rtl/>
        </w:rPr>
        <w:t>התאגידים</w:t>
      </w:r>
      <w:r w:rsidRPr="00683066">
        <w:rPr>
          <w:b/>
          <w:bCs/>
          <w:rtl/>
        </w:rPr>
        <w:t xml:space="preserve"> אינו ישים </w:t>
      </w:r>
      <w:r>
        <w:rPr>
          <w:rFonts w:hint="cs"/>
          <w:b/>
          <w:bCs/>
          <w:rtl/>
        </w:rPr>
        <w:t>ו</w:t>
      </w:r>
      <w:r w:rsidRPr="00683066">
        <w:rPr>
          <w:b/>
          <w:bCs/>
          <w:rtl/>
        </w:rPr>
        <w:t>החליטה להותיר על כנ</w:t>
      </w:r>
      <w:r>
        <w:rPr>
          <w:rFonts w:hint="cs"/>
          <w:b/>
          <w:bCs/>
          <w:rtl/>
        </w:rPr>
        <w:t>ו</w:t>
      </w:r>
      <w:r w:rsidRPr="00683066">
        <w:rPr>
          <w:b/>
          <w:bCs/>
          <w:rtl/>
        </w:rPr>
        <w:t xml:space="preserve"> את </w:t>
      </w:r>
      <w:r w:rsidRPr="00683066">
        <w:rPr>
          <w:rFonts w:hint="eastAsia"/>
          <w:b/>
          <w:bCs/>
          <w:rtl/>
        </w:rPr>
        <w:t>מתווה</w:t>
      </w:r>
      <w:r w:rsidRPr="00683066">
        <w:rPr>
          <w:b/>
          <w:bCs/>
          <w:rtl/>
        </w:rPr>
        <w:t xml:space="preserve"> 11 התאגידים, </w:t>
      </w:r>
      <w:r>
        <w:rPr>
          <w:rFonts w:hint="cs"/>
          <w:b/>
          <w:bCs/>
          <w:rtl/>
        </w:rPr>
        <w:t>היא</w:t>
      </w:r>
      <w:r w:rsidRPr="006D3ADF">
        <w:rPr>
          <w:rFonts w:hint="cs"/>
          <w:b/>
          <w:bCs/>
          <w:rtl/>
        </w:rPr>
        <w:t xml:space="preserve"> לא הודיעה לתאגידים כי ב</w:t>
      </w:r>
      <w:r>
        <w:rPr>
          <w:rFonts w:hint="cs"/>
          <w:b/>
          <w:bCs/>
          <w:rtl/>
        </w:rPr>
        <w:t>ת</w:t>
      </w:r>
      <w:r w:rsidRPr="006D3ADF">
        <w:rPr>
          <w:rFonts w:hint="cs"/>
          <w:b/>
          <w:bCs/>
          <w:rtl/>
        </w:rPr>
        <w:t>הליך בקשת הפטור עליהם להתייחס למתווה 11 התאגידים שפורסם בשנת 2013</w:t>
      </w:r>
      <w:r>
        <w:rPr>
          <w:rFonts w:hint="cs"/>
          <w:b/>
          <w:bCs/>
          <w:rtl/>
        </w:rPr>
        <w:t>; יצוין כי ב</w:t>
      </w:r>
      <w:r w:rsidRPr="00BD433B">
        <w:rPr>
          <w:rFonts w:hint="cs"/>
          <w:b/>
          <w:bCs/>
          <w:rtl/>
        </w:rPr>
        <w:t xml:space="preserve">בקשת הפטור </w:t>
      </w:r>
      <w:r>
        <w:rPr>
          <w:rFonts w:hint="cs"/>
          <w:b/>
          <w:bCs/>
          <w:rtl/>
        </w:rPr>
        <w:t xml:space="preserve">שהגישו </w:t>
      </w:r>
      <w:r w:rsidRPr="00BD433B">
        <w:rPr>
          <w:rFonts w:hint="cs"/>
          <w:b/>
          <w:bCs/>
          <w:rtl/>
        </w:rPr>
        <w:t xml:space="preserve">התייחסו רוב התאגידים בסוף יולי 2019 למתווה 28 התאגידים ולא למתווה 11 </w:t>
      </w:r>
      <w:r w:rsidRPr="00B70DE1">
        <w:rPr>
          <w:rFonts w:hint="cs"/>
          <w:b/>
          <w:bCs/>
          <w:rtl/>
        </w:rPr>
        <w:t>התאגידים</w:t>
      </w:r>
      <w:r w:rsidRPr="00A62859">
        <w:rPr>
          <w:b/>
          <w:bCs/>
          <w:rtl/>
        </w:rPr>
        <w:t xml:space="preserve">. שני המתווים נבדלים ביניהם בשיוך של כל אחד מהתאגידים והרשויות המקומיות לתיאגוד האזורי ובמאפייני השותפים שלהם לתיאגוד האזורי ובכלל זה חוסנם הפיננסי, מצב התשתיות שלהם, המדד </w:t>
      </w:r>
      <w:r>
        <w:rPr>
          <w:rFonts w:hint="cs"/>
          <w:b/>
          <w:bCs/>
          <w:rtl/>
        </w:rPr>
        <w:t>הכלכלי-חברתי</w:t>
      </w:r>
      <w:r w:rsidRPr="00A62859">
        <w:rPr>
          <w:b/>
          <w:bCs/>
          <w:rtl/>
        </w:rPr>
        <w:t xml:space="preserve"> של האוכלוסי</w:t>
      </w:r>
      <w:r>
        <w:rPr>
          <w:rFonts w:hint="cs"/>
          <w:b/>
          <w:bCs/>
          <w:rtl/>
        </w:rPr>
        <w:t>י</w:t>
      </w:r>
      <w:r w:rsidRPr="00A62859">
        <w:rPr>
          <w:b/>
          <w:bCs/>
          <w:rtl/>
        </w:rPr>
        <w:t xml:space="preserve">ה </w:t>
      </w:r>
      <w:r>
        <w:rPr>
          <w:rFonts w:hint="cs"/>
          <w:b/>
          <w:bCs/>
          <w:rtl/>
        </w:rPr>
        <w:t>ש</w:t>
      </w:r>
      <w:r w:rsidRPr="00A62859">
        <w:rPr>
          <w:b/>
          <w:bCs/>
          <w:rtl/>
        </w:rPr>
        <w:t xml:space="preserve">הם משרתים, צפיפות </w:t>
      </w:r>
      <w:r>
        <w:rPr>
          <w:rFonts w:hint="cs"/>
          <w:b/>
          <w:bCs/>
          <w:rtl/>
        </w:rPr>
        <w:t>ה</w:t>
      </w:r>
      <w:r w:rsidRPr="00A62859">
        <w:rPr>
          <w:b/>
          <w:bCs/>
          <w:rtl/>
        </w:rPr>
        <w:t>אוכלוסי</w:t>
      </w:r>
      <w:r>
        <w:rPr>
          <w:rFonts w:hint="cs"/>
          <w:b/>
          <w:bCs/>
          <w:rtl/>
        </w:rPr>
        <w:t>י</w:t>
      </w:r>
      <w:r w:rsidRPr="00A62859">
        <w:rPr>
          <w:b/>
          <w:bCs/>
          <w:rtl/>
        </w:rPr>
        <w:t xml:space="preserve">ה והרצף הגיאוגרפי </w:t>
      </w:r>
      <w:r>
        <w:rPr>
          <w:rFonts w:hint="cs"/>
          <w:b/>
          <w:bCs/>
          <w:rtl/>
        </w:rPr>
        <w:t xml:space="preserve">של הרשויות המקומיות המשוייכות לכל תאגיד אזורי </w:t>
      </w:r>
      <w:r w:rsidRPr="00A62859">
        <w:rPr>
          <w:b/>
          <w:bCs/>
          <w:rtl/>
        </w:rPr>
        <w:t>על פי כל מתווה.</w:t>
      </w:r>
    </w:p>
    <w:p w:rsidR="003D3BEF" w:rsidRPr="00A62859" w:rsidP="003D3BEF" w14:paraId="17312592" w14:textId="77777777">
      <w:pPr>
        <w:pStyle w:val="a"/>
        <w:spacing w:line="269" w:lineRule="auto"/>
        <w:rPr>
          <w:rtl/>
        </w:rPr>
      </w:pPr>
    </w:p>
    <w:p w:rsidR="003D3BEF" w:rsidP="003D3BEF" w14:paraId="537B1387" w14:textId="77777777">
      <w:pPr>
        <w:spacing w:line="269" w:lineRule="auto"/>
        <w:ind w:left="312"/>
        <w:rPr>
          <w:rtl/>
        </w:rPr>
      </w:pPr>
      <w:r>
        <w:rPr>
          <w:rFonts w:hint="cs"/>
          <w:rtl/>
        </w:rPr>
        <w:t xml:space="preserve">יחידת הממונה על התאגידים ברשות המים </w:t>
      </w:r>
      <w:r w:rsidRPr="00B70DE1">
        <w:rPr>
          <w:rFonts w:hint="cs"/>
          <w:rtl/>
        </w:rPr>
        <w:t>בחנה</w:t>
      </w:r>
      <w:r>
        <w:rPr>
          <w:rFonts w:hint="cs"/>
          <w:rtl/>
        </w:rPr>
        <w:t xml:space="preserve"> את האפשרות שתאגידים יגישו בקשה לפטור מתיאגוד אזורי. ב-14.3.19 היא הודיעה למועצת רשות המים שלהערכתה 17 תאגידים יוכלו לעמוד בתנאי הפטור, אך היא מעריכה כי רק שניים עשויים לקבלו לפי מתווה 28 התאגידים, וזאת בשל מגבלת 30 התאגידים הקבועה בחוק</w:t>
      </w:r>
      <w:r>
        <w:rPr>
          <w:rStyle w:val="FootnoteReference"/>
          <w:rtl/>
        </w:rPr>
        <w:footnoteReference w:id="96"/>
      </w:r>
      <w:r>
        <w:rPr>
          <w:rFonts w:hint="cs"/>
          <w:rtl/>
        </w:rPr>
        <w:t xml:space="preserve">. </w:t>
      </w:r>
    </w:p>
    <w:p w:rsidR="003D3BEF" w:rsidP="003D3BEF" w14:paraId="33A8F271" w14:textId="77777777">
      <w:pPr>
        <w:pStyle w:val="a"/>
        <w:spacing w:line="269" w:lineRule="auto"/>
        <w:rPr>
          <w:rtl/>
        </w:rPr>
      </w:pPr>
    </w:p>
    <w:p w:rsidR="003D3BEF" w:rsidP="003D3BEF" w14:paraId="7369AF11" w14:textId="77777777">
      <w:pPr>
        <w:spacing w:line="269" w:lineRule="auto"/>
        <w:ind w:left="312"/>
        <w:rPr>
          <w:rtl/>
        </w:rPr>
      </w:pPr>
      <w:r>
        <w:rPr>
          <w:rFonts w:hint="cs"/>
          <w:rtl/>
        </w:rPr>
        <w:t>אולם בפועל, עד סוף יולי 2019 הגישו 49 מתוך 56 תאגידים לממונה בקשות לפטור מהתאגדות בתאגידים אזוריים. יחידת הממונה על התאגידים ברשות המים בחנה את בקשות הפטור, ובאוקטובר 2019 דיווחה למועצת הרשות כי 33 תאגידים עומדים בתנאי הסף הקבועים בחוק לקבלת הפטור.</w:t>
      </w:r>
    </w:p>
    <w:p w:rsidR="003D3BEF" w:rsidP="003D3BEF" w14:paraId="386E0D19" w14:textId="77777777">
      <w:pPr>
        <w:pStyle w:val="a"/>
        <w:spacing w:line="269" w:lineRule="auto"/>
        <w:rPr>
          <w:rtl/>
        </w:rPr>
      </w:pPr>
    </w:p>
    <w:p w:rsidR="003D3BEF" w:rsidP="003D3BEF" w14:paraId="70F93D8A" w14:textId="77777777">
      <w:pPr>
        <w:spacing w:line="269" w:lineRule="auto"/>
        <w:ind w:left="312"/>
        <w:rPr>
          <w:rtl/>
        </w:rPr>
      </w:pPr>
      <w:r>
        <w:rPr>
          <w:rFonts w:hint="cs"/>
          <w:rtl/>
        </w:rPr>
        <w:t>יחידת הממונה הוסיפה במסגרת הדיווח למועצת הרשות כי "התאגידים העומדים בתנאי הסף לקבלת פטור הם התאגידים החזקים והיציבים ביותר מבחינה כלכלית ותפעולית. תאגידים אלה אמורים היו לשמש כעוגן של החברות האזוריות המתוכננות וכבסיס להקמתן. המשמעות המעשית של מתן פטור לתאגידים רבים וחזקים, היא הצבת קשיים משמעותיים בפני מהלך הקמתן של חברות אזוריות יעילות, מקצועיות ויציבות". מטעמים אלה החליטה המועצה להמליץ לשרי האוצר, האנרגייה והפנים שלא לתת פטור לתאגידים אלה אף שעמדו בתנאי הסף לקבלת הפטור כאמור.</w:t>
      </w:r>
    </w:p>
    <w:p w:rsidR="003D3BEF" w:rsidP="003D3BEF" w14:paraId="24BABF96" w14:textId="77777777">
      <w:pPr>
        <w:pStyle w:val="a"/>
        <w:spacing w:line="269" w:lineRule="auto"/>
        <w:rPr>
          <w:rtl/>
        </w:rPr>
      </w:pPr>
    </w:p>
    <w:p w:rsidR="003D3BEF" w:rsidP="003D3BEF" w14:paraId="2B549910" w14:textId="77777777">
      <w:pPr>
        <w:spacing w:line="269" w:lineRule="auto"/>
        <w:ind w:left="312"/>
        <w:rPr>
          <w:rtl/>
        </w:rPr>
      </w:pPr>
      <w:r>
        <w:rPr>
          <w:rFonts w:hint="cs"/>
          <w:rtl/>
        </w:rPr>
        <w:t xml:space="preserve">באוקטובר 2019 </w:t>
      </w:r>
      <w:r w:rsidRPr="00CC2953">
        <w:rPr>
          <w:rFonts w:hint="cs"/>
          <w:rtl/>
        </w:rPr>
        <w:t>הודיעה רשות המים ל</w:t>
      </w:r>
      <w:r>
        <w:rPr>
          <w:rFonts w:hint="cs"/>
          <w:rtl/>
        </w:rPr>
        <w:t>שלושת ה</w:t>
      </w:r>
      <w:r w:rsidRPr="00CC2953">
        <w:rPr>
          <w:rFonts w:hint="cs"/>
          <w:rtl/>
        </w:rPr>
        <w:t xml:space="preserve">שרים כי 33 תאגידים </w:t>
      </w:r>
      <w:r>
        <w:rPr>
          <w:rFonts w:hint="cs"/>
          <w:rtl/>
        </w:rPr>
        <w:t>עומדים ב</w:t>
      </w:r>
      <w:r w:rsidRPr="00CC2953">
        <w:rPr>
          <w:rFonts w:hint="cs"/>
          <w:rtl/>
        </w:rPr>
        <w:t>תנאי הסף למתן פטור. עם זאת</w:t>
      </w:r>
      <w:r>
        <w:rPr>
          <w:rFonts w:hint="cs"/>
          <w:rtl/>
        </w:rPr>
        <w:t>, היא</w:t>
      </w:r>
      <w:r w:rsidRPr="00CC2953">
        <w:rPr>
          <w:rFonts w:hint="cs"/>
          <w:rtl/>
        </w:rPr>
        <w:t xml:space="preserve"> המליצה </w:t>
      </w:r>
      <w:r>
        <w:rPr>
          <w:rFonts w:hint="cs"/>
          <w:rtl/>
        </w:rPr>
        <w:t xml:space="preserve">להם </w:t>
      </w:r>
      <w:r w:rsidRPr="00CC2953">
        <w:rPr>
          <w:rFonts w:hint="cs"/>
          <w:rtl/>
        </w:rPr>
        <w:t xml:space="preserve">שלא ליתן פטור למרבית התאגידים העומדים בתנאי הסף, למעט </w:t>
      </w:r>
      <w:r>
        <w:rPr>
          <w:rFonts w:hint="cs"/>
          <w:rtl/>
        </w:rPr>
        <w:t>תאגיד אחד</w:t>
      </w:r>
      <w:r w:rsidRPr="00CC2953">
        <w:rPr>
          <w:rFonts w:hint="cs"/>
          <w:rtl/>
        </w:rPr>
        <w:t xml:space="preserve">, מכיוון שמדובר בתאגידים </w:t>
      </w:r>
      <w:r>
        <w:rPr>
          <w:rFonts w:hint="cs"/>
          <w:rtl/>
        </w:rPr>
        <w:t>ה</w:t>
      </w:r>
      <w:r w:rsidRPr="00CC2953">
        <w:rPr>
          <w:rFonts w:hint="cs"/>
          <w:rtl/>
        </w:rPr>
        <w:t xml:space="preserve">אמורים </w:t>
      </w:r>
      <w:r>
        <w:rPr>
          <w:rFonts w:hint="cs"/>
          <w:rtl/>
        </w:rPr>
        <w:t xml:space="preserve">לשמש </w:t>
      </w:r>
      <w:r w:rsidRPr="00CC2953">
        <w:rPr>
          <w:rFonts w:hint="cs"/>
          <w:rtl/>
        </w:rPr>
        <w:t xml:space="preserve">עוגן של החברות האזוריות, ומתן פטור יציב קושי משמעותי </w:t>
      </w:r>
      <w:r>
        <w:rPr>
          <w:rFonts w:hint="cs"/>
          <w:rtl/>
        </w:rPr>
        <w:t>להקמת התיאגוד האזורי</w:t>
      </w:r>
      <w:r>
        <w:rPr>
          <w:rStyle w:val="FootnoteReference"/>
          <w:rtl/>
        </w:rPr>
        <w:footnoteReference w:id="97"/>
      </w:r>
      <w:r w:rsidRPr="00CC2953">
        <w:rPr>
          <w:rFonts w:hint="cs"/>
          <w:rtl/>
        </w:rPr>
        <w:t>.</w:t>
      </w:r>
      <w:r>
        <w:rPr>
          <w:rFonts w:hint="cs"/>
          <w:rtl/>
        </w:rPr>
        <w:t xml:space="preserve"> </w:t>
      </w:r>
    </w:p>
    <w:p w:rsidR="003D3BEF" w:rsidP="003D3BEF" w14:paraId="6780BDCC" w14:textId="77777777">
      <w:pPr>
        <w:pStyle w:val="a"/>
        <w:spacing w:line="269" w:lineRule="auto"/>
        <w:rPr>
          <w:rtl/>
        </w:rPr>
      </w:pPr>
    </w:p>
    <w:p w:rsidR="003D3BEF" w:rsidP="003D3BEF" w14:paraId="50FE23C9" w14:textId="77777777">
      <w:pPr>
        <w:spacing w:line="269" w:lineRule="auto"/>
        <w:ind w:left="312"/>
        <w:rPr>
          <w:rtl/>
        </w:rPr>
      </w:pPr>
      <w:r>
        <w:rPr>
          <w:rFonts w:hint="cs"/>
          <w:rtl/>
        </w:rPr>
        <w:t xml:space="preserve">בתגובתו מאוקטובר 2019 להודעתה </w:t>
      </w:r>
      <w:r w:rsidRPr="00A07561">
        <w:rPr>
          <w:rFonts w:hint="cs"/>
          <w:rtl/>
        </w:rPr>
        <w:t xml:space="preserve">של רשות המים כתב </w:t>
      </w:r>
      <w:r w:rsidRPr="00A07561">
        <w:rPr>
          <w:rFonts w:hint="eastAsia"/>
          <w:rtl/>
        </w:rPr>
        <w:t>משרד</w:t>
      </w:r>
      <w:r w:rsidRPr="00A07561">
        <w:rPr>
          <w:rFonts w:hint="cs"/>
          <w:rtl/>
        </w:rPr>
        <w:t xml:space="preserve"> האנרגיה למנהל רשות המים וליו"ר מועצת הרשות בין היתר כי </w:t>
      </w:r>
      <w:r w:rsidRPr="00A07561">
        <w:rPr>
          <w:rtl/>
        </w:rPr>
        <w:t xml:space="preserve">"החלטת הממונה על התאגידים ואישורה הפורמאלי של המועצה בדבר עמידתם של 33 תאגידים בתנאי הסף הקבועים בחוק, וודאי שלא יכולה לעלות בקנה אחד עם המגבלה על מספר התאגידים המירבי". </w:t>
      </w:r>
      <w:r w:rsidRPr="00A07561">
        <w:rPr>
          <w:rFonts w:hint="cs"/>
          <w:rtl/>
        </w:rPr>
        <w:t xml:space="preserve">משרד </w:t>
      </w:r>
      <w:r w:rsidRPr="00A07561">
        <w:rPr>
          <w:rtl/>
        </w:rPr>
        <w:t>האנרגי</w:t>
      </w:r>
      <w:r w:rsidRPr="00A07561">
        <w:rPr>
          <w:rFonts w:hint="cs"/>
          <w:rtl/>
        </w:rPr>
        <w:t>י</w:t>
      </w:r>
      <w:r w:rsidRPr="00A07561">
        <w:rPr>
          <w:rtl/>
        </w:rPr>
        <w:t>ה ביקש "כי קודם לקבלת</w:t>
      </w:r>
      <w:r>
        <w:rPr>
          <w:rtl/>
        </w:rPr>
        <w:t xml:space="preserve"> </w:t>
      </w:r>
      <w:r w:rsidRPr="00A07561">
        <w:rPr>
          <w:rtl/>
        </w:rPr>
        <w:t>החלטה בנושא, תבחן רשות המים כיצד ניתן לעדכן את מפת התאגוד האזורי ולהמליץ על תאגידים להם ניתן לתת פטור מתאגוד אזורי, כך שתתאפשר הקמה של חברות אזוריות יעילות ויציבות, אשר יצמצמו את מספר התאגידים ויובילו להפחתת עלויות במשק המים</w:t>
      </w:r>
      <w:r w:rsidRPr="00A07561">
        <w:rPr>
          <w:rFonts w:hint="cs"/>
          <w:rtl/>
        </w:rPr>
        <w:t xml:space="preserve">". </w:t>
      </w:r>
      <w:r w:rsidRPr="00A07561">
        <w:rPr>
          <w:rFonts w:hint="eastAsia"/>
          <w:rtl/>
        </w:rPr>
        <w:t>משרד</w:t>
      </w:r>
      <w:r w:rsidRPr="00A07561">
        <w:rPr>
          <w:rtl/>
        </w:rPr>
        <w:t xml:space="preserve"> </w:t>
      </w:r>
      <w:r w:rsidRPr="00A07561">
        <w:rPr>
          <w:rFonts w:hint="eastAsia"/>
          <w:rtl/>
        </w:rPr>
        <w:t>האנרגי</w:t>
      </w:r>
      <w:r>
        <w:rPr>
          <w:rFonts w:hint="cs"/>
          <w:rtl/>
        </w:rPr>
        <w:t>י</w:t>
      </w:r>
      <w:r w:rsidRPr="00A07561">
        <w:rPr>
          <w:rFonts w:hint="eastAsia"/>
          <w:rtl/>
        </w:rPr>
        <w:t>ה</w:t>
      </w:r>
      <w:r w:rsidRPr="00A07561">
        <w:rPr>
          <w:rFonts w:hint="cs"/>
          <w:rtl/>
        </w:rPr>
        <w:t xml:space="preserve"> ציין כי נראה שרשות המים הפעילה שיקול דעת מקל בבחינת תנאי הסף בעניין השלמת תוכניות</w:t>
      </w:r>
      <w:r w:rsidRPr="00FE56DB">
        <w:rPr>
          <w:rFonts w:hint="cs"/>
          <w:rtl/>
        </w:rPr>
        <w:t xml:space="preserve"> הפיתוח השנתיות של התאגידים ועמידתם באמות המידה</w:t>
      </w:r>
      <w:r>
        <w:rPr>
          <w:rFonts w:hint="cs"/>
          <w:rtl/>
        </w:rPr>
        <w:t xml:space="preserve"> לשירות</w:t>
      </w:r>
      <w:r w:rsidRPr="00FE56DB">
        <w:rPr>
          <w:rFonts w:hint="cs"/>
          <w:rtl/>
        </w:rPr>
        <w:t>, וכי על רשות המים לגבש קריטריונים לצורך בחינת עמידת התאגידים בתנאי הסף.</w:t>
      </w:r>
    </w:p>
    <w:p w:rsidR="003D3BEF" w:rsidRPr="00FE56DB" w:rsidP="003D3BEF" w14:paraId="40AFA658" w14:textId="77777777">
      <w:pPr>
        <w:pStyle w:val="a"/>
        <w:spacing w:line="269" w:lineRule="auto"/>
        <w:rPr>
          <w:rtl/>
        </w:rPr>
      </w:pPr>
    </w:p>
    <w:p w:rsidR="003D3BEF" w:rsidP="003D3BEF" w14:paraId="2D8D4D05" w14:textId="77777777">
      <w:pPr>
        <w:spacing w:line="269" w:lineRule="auto"/>
        <w:ind w:left="312"/>
        <w:rPr>
          <w:rtl/>
        </w:rPr>
      </w:pPr>
      <w:r>
        <w:rPr>
          <w:rFonts w:hint="cs"/>
          <w:b/>
          <w:bCs/>
          <w:rtl/>
        </w:rPr>
        <w:t xml:space="preserve">מומלץ כי הרשות תשקול לפעול לייזום הליך לתיקון </w:t>
      </w:r>
      <w:r w:rsidRPr="00B521D9">
        <w:rPr>
          <w:rFonts w:hint="cs"/>
          <w:b/>
          <w:bCs/>
          <w:rtl/>
        </w:rPr>
        <w:t xml:space="preserve">תנאי הפטור </w:t>
      </w:r>
      <w:r>
        <w:rPr>
          <w:rFonts w:hint="cs"/>
          <w:b/>
          <w:bCs/>
          <w:rtl/>
        </w:rPr>
        <w:t xml:space="preserve">באופן שיביא </w:t>
      </w:r>
      <w:r w:rsidRPr="00B521D9">
        <w:rPr>
          <w:rFonts w:hint="cs"/>
          <w:b/>
          <w:bCs/>
          <w:rtl/>
        </w:rPr>
        <w:t xml:space="preserve">בחשבון שכדי שתהליך התיאגוד האזורי יצליח, </w:t>
      </w:r>
      <w:r>
        <w:rPr>
          <w:rFonts w:hint="cs"/>
          <w:b/>
          <w:bCs/>
          <w:rtl/>
        </w:rPr>
        <w:t xml:space="preserve">על </w:t>
      </w:r>
      <w:r w:rsidRPr="00B521D9">
        <w:rPr>
          <w:rFonts w:hint="cs"/>
          <w:b/>
          <w:bCs/>
          <w:rtl/>
        </w:rPr>
        <w:t>התאגידים החזקים להשתתף בו ולשמש "עוגן", כהגדרת הרשות. תנאי פטור המושתתים על אמות מידה</w:t>
      </w:r>
      <w:r>
        <w:rPr>
          <w:rFonts w:hint="cs"/>
          <w:b/>
          <w:bCs/>
          <w:rtl/>
        </w:rPr>
        <w:t xml:space="preserve"> לשירות</w:t>
      </w:r>
      <w:r w:rsidRPr="00B521D9">
        <w:rPr>
          <w:rFonts w:hint="cs"/>
          <w:b/>
          <w:bCs/>
          <w:rtl/>
        </w:rPr>
        <w:t xml:space="preserve"> שתאגידים חזקים עומדים בה</w:t>
      </w:r>
      <w:r>
        <w:rPr>
          <w:rFonts w:hint="cs"/>
          <w:b/>
          <w:bCs/>
          <w:rtl/>
        </w:rPr>
        <w:t>ן</w:t>
      </w:r>
      <w:r w:rsidRPr="00B521D9">
        <w:rPr>
          <w:rFonts w:hint="cs"/>
          <w:b/>
          <w:bCs/>
          <w:rtl/>
        </w:rPr>
        <w:t xml:space="preserve"> עלולים לשמוט את הקרקע מתחת לתיאגוד האזורי</w:t>
      </w:r>
      <w:r>
        <w:rPr>
          <w:rFonts w:hint="cs"/>
          <w:rtl/>
        </w:rPr>
        <w:t xml:space="preserve">. </w:t>
      </w:r>
    </w:p>
    <w:p w:rsidR="003D3BEF" w:rsidRPr="00B521D9" w:rsidP="003D3BEF" w14:paraId="20D0847F" w14:textId="77777777">
      <w:pPr>
        <w:pStyle w:val="a"/>
        <w:spacing w:line="269" w:lineRule="auto"/>
        <w:rPr>
          <w:rtl/>
        </w:rPr>
      </w:pPr>
    </w:p>
    <w:p w:rsidR="003D3BEF" w:rsidRPr="00005FA4" w:rsidP="003D3BEF" w14:paraId="7A77C124" w14:textId="77777777">
      <w:pPr>
        <w:spacing w:line="269" w:lineRule="auto"/>
        <w:jc w:val="center"/>
        <w:rPr>
          <w:b/>
          <w:bCs/>
          <w:u w:val="single"/>
          <w:rtl/>
        </w:rPr>
      </w:pPr>
      <w:r w:rsidRPr="00005FA4">
        <w:rPr>
          <w:rFonts w:hint="cs"/>
          <w:b/>
          <w:bCs/>
          <w:u w:val="single"/>
          <w:rtl/>
        </w:rPr>
        <w:t xml:space="preserve">תרשים </w:t>
      </w:r>
      <w:r>
        <w:rPr>
          <w:rFonts w:hint="cs"/>
          <w:b/>
          <w:bCs/>
          <w:u w:val="single"/>
          <w:rtl/>
        </w:rPr>
        <w:t>34</w:t>
      </w:r>
      <w:r w:rsidRPr="00005FA4">
        <w:rPr>
          <w:rFonts w:hint="cs"/>
          <w:b/>
          <w:bCs/>
          <w:u w:val="single"/>
          <w:rtl/>
        </w:rPr>
        <w:t>: 49 התאגידים שהגישו בקשה לפטור, לפי עמידה בתנאי הפטור</w:t>
      </w:r>
    </w:p>
    <w:p w:rsidR="003D3BEF" w:rsidP="00902044" w14:paraId="5F398D71" w14:textId="77777777">
      <w:pPr>
        <w:spacing w:before="120" w:after="120" w:line="269" w:lineRule="auto"/>
        <w:jc w:val="center"/>
        <w:rPr>
          <w:rtl/>
        </w:rPr>
      </w:pPr>
      <w:r>
        <w:rPr>
          <w:noProof/>
          <w:rtl/>
        </w:rPr>
        <w:drawing>
          <wp:inline distT="0" distB="0" distL="0" distR="0">
            <wp:extent cx="2883414" cy="2404877"/>
            <wp:effectExtent l="0" t="0" r="0" b="0"/>
            <wp:docPr id="780323273" name="תמונה 78032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34665" name="water-corporations-g-34.png"/>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404877"/>
                    </a:xfrm>
                    <a:prstGeom prst="rect">
                      <a:avLst/>
                    </a:prstGeom>
                  </pic:spPr>
                </pic:pic>
              </a:graphicData>
            </a:graphic>
          </wp:inline>
        </w:drawing>
      </w:r>
    </w:p>
    <w:p w:rsidR="003D3BEF" w:rsidRPr="00684E93" w:rsidP="00902044" w14:paraId="3DF4228F"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cs"/>
          <w:sz w:val="22"/>
          <w:szCs w:val="22"/>
          <w:rtl/>
        </w:rPr>
        <w:t>פי נ</w:t>
      </w:r>
      <w:r w:rsidRPr="00684E93">
        <w:rPr>
          <w:rFonts w:hint="eastAsia"/>
          <w:sz w:val="22"/>
          <w:szCs w:val="22"/>
          <w:rtl/>
        </w:rPr>
        <w:t>ת</w:t>
      </w:r>
      <w:r w:rsidRPr="00684E93">
        <w:rPr>
          <w:rFonts w:hint="cs"/>
          <w:sz w:val="22"/>
          <w:szCs w:val="22"/>
          <w:rtl/>
        </w:rPr>
        <w:t>ו</w:t>
      </w:r>
      <w:r w:rsidRPr="00684E93">
        <w:rPr>
          <w:rFonts w:hint="eastAsia"/>
          <w:sz w:val="22"/>
          <w:szCs w:val="22"/>
          <w:rtl/>
        </w:rPr>
        <w:t>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59DEA11D" w14:textId="77777777">
      <w:pPr>
        <w:pStyle w:val="a"/>
        <w:spacing w:line="269" w:lineRule="auto"/>
        <w:rPr>
          <w:rtl/>
        </w:rPr>
      </w:pPr>
    </w:p>
    <w:p w:rsidR="003D3BEF" w:rsidP="00902044" w14:paraId="4CD7B538" w14:textId="77777777">
      <w:pPr>
        <w:spacing w:line="269" w:lineRule="auto"/>
        <w:jc w:val="center"/>
        <w:rPr>
          <w:b/>
          <w:bCs/>
          <w:rtl/>
        </w:rPr>
      </w:pPr>
      <w:r w:rsidRPr="005C3F06">
        <w:rPr>
          <w:rFonts w:hint="eastAsia"/>
          <w:b/>
          <w:bCs/>
          <w:sz w:val="24"/>
          <w:rtl/>
        </w:rPr>
        <w:t>תרשים</w:t>
      </w:r>
      <w:r w:rsidRPr="005C3F06">
        <w:rPr>
          <w:b/>
          <w:bCs/>
          <w:sz w:val="24"/>
          <w:rtl/>
        </w:rPr>
        <w:t xml:space="preserve"> 35: </w:t>
      </w:r>
      <w:r w:rsidRPr="005C3F06">
        <w:rPr>
          <w:rFonts w:hint="eastAsia"/>
          <w:b/>
          <w:bCs/>
          <w:rtl/>
        </w:rPr>
        <w:t>מספר</w:t>
      </w:r>
      <w:r w:rsidRPr="005C3F06">
        <w:rPr>
          <w:b/>
          <w:bCs/>
          <w:rtl/>
        </w:rPr>
        <w:t xml:space="preserve"> תושבים ומספר רשויות מקומיות </w:t>
      </w:r>
      <w:r w:rsidRPr="005C3F06">
        <w:rPr>
          <w:rFonts w:hint="eastAsia"/>
          <w:b/>
          <w:bCs/>
          <w:rtl/>
        </w:rPr>
        <w:t>מתואגדות</w:t>
      </w:r>
      <w:r w:rsidR="00902044">
        <w:rPr>
          <w:rFonts w:hint="cs"/>
          <w:b/>
          <w:bCs/>
          <w:rtl/>
        </w:rPr>
        <w:br/>
      </w:r>
      <w:r w:rsidRPr="005C3F06">
        <w:rPr>
          <w:b/>
          <w:bCs/>
          <w:rtl/>
        </w:rPr>
        <w:t>ב</w:t>
      </w:r>
      <w:r>
        <w:rPr>
          <w:rFonts w:hint="cs"/>
          <w:b/>
          <w:bCs/>
          <w:rtl/>
        </w:rPr>
        <w:t>-33 ה</w:t>
      </w:r>
      <w:r w:rsidRPr="005C3F06">
        <w:rPr>
          <w:b/>
          <w:bCs/>
          <w:rtl/>
        </w:rPr>
        <w:t>תאגידים העומדים בתנאי הפטור.</w:t>
      </w:r>
    </w:p>
    <w:p w:rsidR="003D3BEF" w:rsidRPr="005C3F06" w:rsidP="00902044" w14:paraId="0A4FFD77" w14:textId="77777777">
      <w:pPr>
        <w:spacing w:before="120" w:after="120" w:line="269" w:lineRule="auto"/>
        <w:jc w:val="center"/>
        <w:rPr>
          <w:b/>
          <w:bCs/>
          <w:rtl/>
        </w:rPr>
      </w:pPr>
      <w:r>
        <w:rPr>
          <w:b/>
          <w:bCs/>
          <w:noProof/>
          <w:rtl/>
        </w:rPr>
        <w:drawing>
          <wp:inline distT="0" distB="0" distL="0" distR="0">
            <wp:extent cx="2883414" cy="2496317"/>
            <wp:effectExtent l="0" t="0" r="0" b="0"/>
            <wp:docPr id="780323274" name="תמונה 78032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6791" name="water-corporations-g-35.png"/>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496317"/>
                    </a:xfrm>
                    <a:prstGeom prst="rect">
                      <a:avLst/>
                    </a:prstGeom>
                  </pic:spPr>
                </pic:pic>
              </a:graphicData>
            </a:graphic>
          </wp:inline>
        </w:drawing>
      </w:r>
    </w:p>
    <w:p w:rsidR="003D3BEF" w:rsidRPr="00684E93" w:rsidP="00902044" w14:paraId="39BB62B9" w14:textId="77777777">
      <w:pPr>
        <w:tabs>
          <w:tab w:val="left" w:pos="935"/>
        </w:tabs>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64C7184A" w14:textId="77777777">
      <w:pPr>
        <w:bidi w:val="0"/>
        <w:spacing w:after="200" w:line="276" w:lineRule="auto"/>
        <w:rPr>
          <w:szCs w:val="20"/>
          <w:rtl/>
        </w:rPr>
      </w:pPr>
      <w:r>
        <w:rPr>
          <w:rtl/>
        </w:rPr>
        <w:br w:type="page"/>
      </w:r>
    </w:p>
    <w:p w:rsidR="003D3BEF" w:rsidP="003D3BEF" w14:paraId="44FBBADB" w14:textId="77777777">
      <w:pPr>
        <w:pStyle w:val="a"/>
        <w:spacing w:line="269" w:lineRule="auto"/>
        <w:rPr>
          <w:rtl/>
        </w:rPr>
      </w:pPr>
    </w:p>
    <w:p w:rsidR="003D3BEF" w:rsidP="00902044" w14:paraId="083C3396" w14:textId="77777777">
      <w:pPr>
        <w:spacing w:line="269" w:lineRule="auto"/>
        <w:jc w:val="center"/>
        <w:rPr>
          <w:b/>
          <w:bCs/>
          <w:rtl/>
        </w:rPr>
      </w:pPr>
      <w:r w:rsidRPr="005C3F06">
        <w:rPr>
          <w:b/>
          <w:bCs/>
          <w:rtl/>
        </w:rPr>
        <w:t>תרשים 36 : מספר תושבים ומספר רשויות מקומיות מתואגדות</w:t>
      </w:r>
      <w:r w:rsidR="00902044">
        <w:rPr>
          <w:rFonts w:hint="cs"/>
          <w:b/>
          <w:bCs/>
          <w:rtl/>
        </w:rPr>
        <w:br/>
      </w:r>
      <w:r w:rsidRPr="005C3F06">
        <w:rPr>
          <w:b/>
          <w:bCs/>
          <w:rtl/>
        </w:rPr>
        <w:t>ב</w:t>
      </w:r>
      <w:r>
        <w:rPr>
          <w:rFonts w:hint="cs"/>
          <w:b/>
          <w:bCs/>
          <w:rtl/>
        </w:rPr>
        <w:t>-16 ה</w:t>
      </w:r>
      <w:r w:rsidRPr="005C3F06">
        <w:rPr>
          <w:b/>
          <w:bCs/>
          <w:rtl/>
        </w:rPr>
        <w:t xml:space="preserve">תאגידים </w:t>
      </w:r>
      <w:r>
        <w:rPr>
          <w:rFonts w:hint="cs"/>
          <w:b/>
          <w:bCs/>
          <w:rtl/>
        </w:rPr>
        <w:t>ש</w:t>
      </w:r>
      <w:r w:rsidRPr="005C3F06">
        <w:rPr>
          <w:b/>
          <w:bCs/>
          <w:rtl/>
        </w:rPr>
        <w:t>אינם עומדים בתנאי הפטור.</w:t>
      </w:r>
    </w:p>
    <w:p w:rsidR="003D3BEF" w:rsidRPr="005C3F06" w:rsidP="00902044" w14:paraId="0893B4AC" w14:textId="77777777">
      <w:pPr>
        <w:spacing w:before="120" w:after="120" w:line="269" w:lineRule="auto"/>
        <w:jc w:val="center"/>
        <w:rPr>
          <w:b/>
          <w:bCs/>
          <w:rtl/>
        </w:rPr>
      </w:pPr>
      <w:r>
        <w:rPr>
          <w:b/>
          <w:bCs/>
          <w:noProof/>
          <w:rtl/>
        </w:rPr>
        <w:drawing>
          <wp:inline distT="0" distB="0" distL="0" distR="0">
            <wp:extent cx="2883414" cy="2593853"/>
            <wp:effectExtent l="0" t="0" r="0" b="0"/>
            <wp:docPr id="780323275" name="תמונה 78032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024339" name="water-corporations-g-36.png"/>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593853"/>
                    </a:xfrm>
                    <a:prstGeom prst="rect">
                      <a:avLst/>
                    </a:prstGeom>
                  </pic:spPr>
                </pic:pic>
              </a:graphicData>
            </a:graphic>
          </wp:inline>
        </w:drawing>
      </w:r>
    </w:p>
    <w:p w:rsidR="003D3BEF" w:rsidRPr="00684E93" w:rsidP="00902044" w14:paraId="2586E049" w14:textId="77777777">
      <w:pPr>
        <w:spacing w:line="269" w:lineRule="auto"/>
        <w:rPr>
          <w:sz w:val="22"/>
          <w:szCs w:val="22"/>
          <w:rtl/>
        </w:rPr>
      </w:pPr>
      <w:r w:rsidRPr="00684E93">
        <w:rPr>
          <w:sz w:val="22"/>
          <w:szCs w:val="22"/>
          <w:rtl/>
        </w:rPr>
        <w:t>על פי נתוני רשות המים, בעיבוד משרד מבקר המדינה.</w:t>
      </w:r>
    </w:p>
    <w:p w:rsidR="003D3BEF" w:rsidP="003D3BEF" w14:paraId="42571408" w14:textId="77777777">
      <w:pPr>
        <w:pStyle w:val="a"/>
        <w:rPr>
          <w:rtl/>
        </w:rPr>
      </w:pPr>
    </w:p>
    <w:p w:rsidR="003D3BEF" w:rsidP="003D3BEF" w14:paraId="21A843A3" w14:textId="77777777">
      <w:pPr>
        <w:spacing w:line="269" w:lineRule="auto"/>
        <w:ind w:left="312"/>
        <w:rPr>
          <w:rtl/>
        </w:rPr>
      </w:pPr>
      <w:r>
        <w:rPr>
          <w:rFonts w:hint="cs"/>
          <w:rtl/>
        </w:rPr>
        <w:t>משני התרשימים עולה כי יותר מ-75% מהתאגידים ש</w:t>
      </w:r>
      <w:r w:rsidRPr="00BD476E">
        <w:rPr>
          <w:rFonts w:hint="cs"/>
          <w:rtl/>
        </w:rPr>
        <w:t>עמדו בתנאי הפטור</w:t>
      </w:r>
      <w:r>
        <w:rPr>
          <w:rFonts w:hint="cs"/>
          <w:rtl/>
        </w:rPr>
        <w:t xml:space="preserve"> הם תאגידים חד-רשותיים ותאגידים דו-רשותיים. כמו כן, השיעור הנמוך ביותר של תאגידים שעמדו בתנאי הפטור הוא של התאגידים הרב-רשותיים המשרתים מעל 100,000 תושבים (כ-9%). תמונת מצב הפוכה מצטיירת בבחינת תמהיל התאגידים ש</w:t>
      </w:r>
      <w:r w:rsidRPr="000943B8">
        <w:rPr>
          <w:rFonts w:hint="cs"/>
          <w:rtl/>
        </w:rPr>
        <w:t>לא עמדו בתנאי הפטור, ולפיה</w:t>
      </w:r>
      <w:r>
        <w:rPr>
          <w:rFonts w:hint="cs"/>
          <w:rtl/>
        </w:rPr>
        <w:t xml:space="preserve"> מרביתם (כ-81%) הם תאגידים רב-רשותיים המשרתים מעל 100,000 תושבים. </w:t>
      </w:r>
    </w:p>
    <w:p w:rsidR="003D3BEF" w:rsidP="003D3BEF" w14:paraId="4F3777B1" w14:textId="77777777">
      <w:pPr>
        <w:pStyle w:val="a"/>
        <w:spacing w:line="269" w:lineRule="auto"/>
        <w:rPr>
          <w:rtl/>
        </w:rPr>
      </w:pPr>
    </w:p>
    <w:p w:rsidR="003D3BEF" w:rsidP="003D3BEF" w14:paraId="1DF792FA" w14:textId="77777777">
      <w:pPr>
        <w:spacing w:line="269" w:lineRule="auto"/>
        <w:jc w:val="center"/>
        <w:rPr>
          <w:b/>
          <w:bCs/>
          <w:rtl/>
        </w:rPr>
      </w:pPr>
      <w:r>
        <w:rPr>
          <w:rFonts w:hint="cs"/>
          <w:b/>
          <w:bCs/>
          <w:sz w:val="24"/>
          <w:rtl/>
        </w:rPr>
        <w:t xml:space="preserve">תרשים 37: </w:t>
      </w:r>
      <w:r>
        <w:rPr>
          <w:rFonts w:hint="cs"/>
          <w:b/>
          <w:bCs/>
          <w:rtl/>
        </w:rPr>
        <w:t>תמהיל התאגידים, לפי עמידה בתנאי הפטור</w:t>
      </w:r>
    </w:p>
    <w:p w:rsidR="003D3BEF" w:rsidRPr="004218B9" w:rsidP="00902044" w14:paraId="3DCE33D9" w14:textId="77777777">
      <w:pPr>
        <w:spacing w:before="120" w:after="120" w:line="269" w:lineRule="auto"/>
        <w:jc w:val="center"/>
        <w:rPr>
          <w:b/>
          <w:bCs/>
          <w:rtl/>
        </w:rPr>
      </w:pPr>
      <w:r>
        <w:rPr>
          <w:b/>
          <w:bCs/>
          <w:noProof/>
          <w:rtl/>
        </w:rPr>
        <w:drawing>
          <wp:inline distT="0" distB="0" distL="0" distR="0">
            <wp:extent cx="4325121" cy="2346965"/>
            <wp:effectExtent l="0" t="0" r="0" b="0"/>
            <wp:docPr id="780323276" name="תמונה 78032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5466" name="water-corporations-g-37.pn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46965"/>
                    </a:xfrm>
                    <a:prstGeom prst="rect">
                      <a:avLst/>
                    </a:prstGeom>
                  </pic:spPr>
                </pic:pic>
              </a:graphicData>
            </a:graphic>
          </wp:inline>
        </w:drawing>
      </w:r>
    </w:p>
    <w:p w:rsidR="003D3BEF" w:rsidRPr="00684E93" w:rsidP="00902044" w14:paraId="2AA7DA0F"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A07561" w:rsidP="003D3BEF" w14:paraId="04653D35" w14:textId="77777777">
      <w:pPr>
        <w:pStyle w:val="a"/>
        <w:spacing w:line="269" w:lineRule="auto"/>
        <w:rPr>
          <w:rtl/>
        </w:rPr>
      </w:pPr>
    </w:p>
    <w:p w:rsidR="003D3BEF" w:rsidP="003D3BEF" w14:paraId="3AE9BFDE" w14:textId="77777777">
      <w:pPr>
        <w:spacing w:line="269" w:lineRule="auto"/>
        <w:ind w:left="312"/>
        <w:rPr>
          <w:b/>
          <w:bCs/>
          <w:rtl/>
        </w:rPr>
      </w:pPr>
      <w:r>
        <w:rPr>
          <w:rFonts w:hint="cs"/>
          <w:b/>
          <w:bCs/>
          <w:rtl/>
        </w:rPr>
        <w:t xml:space="preserve">מבדיקות הממונה עולה כי מרבית התאגידים הרב-רשותיים אינם עומדים בתנאי הסף למתן הפטור, לעומת רוב התאגידים החד-רשותיים והדו-רשותיים העומדים באופן מובהק בתנאי הסף לקבלת הפטור. תנאי הסף לקבלת הפטור כללו עמידה בקריטריונים של איתנות פיננסית, של ביצוע מלא של תוכנית הפיתוח שאישר הממונה ושל עמידה באמות מידה לשירות. </w:t>
      </w:r>
    </w:p>
    <w:p w:rsidR="003D3BEF" w:rsidP="003D3BEF" w14:paraId="34728888" w14:textId="77777777">
      <w:pPr>
        <w:pStyle w:val="a"/>
        <w:spacing w:line="269" w:lineRule="auto"/>
        <w:rPr>
          <w:rtl/>
        </w:rPr>
      </w:pPr>
    </w:p>
    <w:p w:rsidR="003D3BEF" w:rsidP="004B5DBE" w14:paraId="28EC9DED" w14:textId="77777777">
      <w:pPr>
        <w:spacing w:line="269" w:lineRule="auto"/>
        <w:ind w:left="312"/>
        <w:rPr>
          <w:rtl/>
        </w:rPr>
      </w:pPr>
      <w:r>
        <w:rPr>
          <w:rFonts w:hint="cs"/>
          <w:rtl/>
        </w:rPr>
        <w:t xml:space="preserve">נמצא כי התאגידים העומדים בתנאי הפטור משרתים </w:t>
      </w:r>
      <w:r w:rsidRPr="00D63C84">
        <w:rPr>
          <w:rtl/>
        </w:rPr>
        <w:t>4,599,427</w:t>
      </w:r>
      <w:r>
        <w:rPr>
          <w:rFonts w:hint="cs"/>
          <w:rtl/>
        </w:rPr>
        <w:t xml:space="preserve"> תושבים שהם </w:t>
      </w:r>
      <w:r w:rsidRPr="008819F9">
        <w:rPr>
          <w:rFonts w:hint="cs"/>
          <w:rtl/>
        </w:rPr>
        <w:t xml:space="preserve">61.59% </w:t>
      </w:r>
      <w:r>
        <w:rPr>
          <w:rFonts w:hint="cs"/>
          <w:rtl/>
        </w:rPr>
        <w:t>מכלל האוכלוסייה הנכללת במתווי התיאגוד, ואף מטעם זה לא ניתן לבצע את התיאגוד האזורי בלעדיהם.</w:t>
      </w:r>
    </w:p>
    <w:p w:rsidR="003D3BEF" w:rsidP="003D3BEF" w14:paraId="187362BE" w14:textId="77777777">
      <w:pPr>
        <w:pStyle w:val="a"/>
        <w:spacing w:line="269" w:lineRule="auto"/>
        <w:rPr>
          <w:rtl/>
        </w:rPr>
      </w:pPr>
    </w:p>
    <w:p w:rsidR="003D3BEF" w:rsidP="003D3BEF" w14:paraId="1D9FDE1B" w14:textId="77777777">
      <w:pPr>
        <w:pStyle w:val="ListParagraph"/>
        <w:numPr>
          <w:ilvl w:val="0"/>
          <w:numId w:val="19"/>
        </w:numPr>
        <w:spacing w:line="269" w:lineRule="auto"/>
        <w:ind w:left="312"/>
        <w:rPr>
          <w:rtl/>
        </w:rPr>
      </w:pPr>
      <w:r>
        <w:rPr>
          <w:rFonts w:hint="cs"/>
          <w:rtl/>
        </w:rPr>
        <w:t>בנובמבר 2019, לאחר היוועצות עם משרד המשפטים ומשרדי הממשלה הרלוונטיים, החליטה מועצת רשות המים</w:t>
      </w:r>
      <w:r>
        <w:rPr>
          <w:rStyle w:val="FootnoteReference"/>
          <w:rtl/>
        </w:rPr>
        <w:footnoteReference w:id="98"/>
      </w:r>
      <w:r>
        <w:rPr>
          <w:rFonts w:hint="cs"/>
          <w:rtl/>
        </w:rPr>
        <w:t xml:space="preserve"> להתלות את מפת התיאגוד האזורי הקיימת לתקופה של חצי שנה (31.10.19 - 30.4.20). המועצה מסרה כי במהלך תקופה זו תפעל הרשות לגיבוש מפת תיאגוד אזורי חלופית שתהיה ישימה יותר</w:t>
      </w:r>
      <w:r>
        <w:rPr>
          <w:rStyle w:val="FootnoteReference"/>
          <w:rtl/>
        </w:rPr>
        <w:footnoteReference w:id="99"/>
      </w:r>
      <w:r>
        <w:rPr>
          <w:rFonts w:hint="cs"/>
          <w:rtl/>
        </w:rPr>
        <w:t>.</w:t>
      </w:r>
      <w:r w:rsidRPr="00DD638A">
        <w:rPr>
          <w:rFonts w:hint="cs"/>
          <w:rtl/>
        </w:rPr>
        <w:t xml:space="preserve"> </w:t>
      </w:r>
      <w:r>
        <w:rPr>
          <w:rFonts w:hint="cs"/>
          <w:rtl/>
        </w:rPr>
        <w:t>יצוין כי באותו מועד היה מתווה 11 התאגידים האזוריים שנקבע בשנת 2014 המתווה התקף, אך הוא מצריך מיזוג בין מספר גדול של תאגידים ורשויות מקומיות, והרשות סברה שיישומו "בטווח הנראה לעין מעורר קשיים משמעותיים". נימוק נוסף היה כי 33 תאגידים חזקים ויציבים עמדו בתנאי הסף ובלעדיהם, הסבירה המועצה, לא ניתן להשיג את מטרות התיאגוד האזורי.</w:t>
      </w:r>
    </w:p>
    <w:p w:rsidR="003D3BEF" w:rsidP="003D3BEF" w14:paraId="19186570" w14:textId="77777777">
      <w:pPr>
        <w:pStyle w:val="a"/>
        <w:spacing w:line="269" w:lineRule="auto"/>
        <w:rPr>
          <w:rtl/>
        </w:rPr>
      </w:pPr>
    </w:p>
    <w:p w:rsidR="003D3BEF" w:rsidP="003D3BEF" w14:paraId="57F832EE" w14:textId="77777777">
      <w:pPr>
        <w:spacing w:line="269" w:lineRule="auto"/>
        <w:ind w:left="312"/>
        <w:rPr>
          <w:rtl/>
        </w:rPr>
      </w:pPr>
      <w:r>
        <w:rPr>
          <w:rFonts w:hint="cs"/>
          <w:rtl/>
        </w:rPr>
        <w:t>בינואר 2020 פרסמה המועצה לשימוע ציבורי</w:t>
      </w:r>
      <w:r>
        <w:rPr>
          <w:rStyle w:val="FootnoteReference"/>
          <w:rtl/>
        </w:rPr>
        <w:footnoteReference w:id="100"/>
      </w:r>
      <w:r>
        <w:rPr>
          <w:rFonts w:hint="cs"/>
          <w:rtl/>
        </w:rPr>
        <w:t xml:space="preserve"> מפת שיוך עדכנית הכוללת 29 תאגידים אזוריים. כבר באותו החודש הודיע מש"ם כי הוא מתנגד גם למפת שיוך זו וקרא לרשויות המקומיות לקבל </w:t>
      </w:r>
      <w:r w:rsidRPr="009523E7">
        <w:rPr>
          <w:rtl/>
        </w:rPr>
        <w:t xml:space="preserve">החלטה </w:t>
      </w:r>
      <w:r>
        <w:rPr>
          <w:rFonts w:hint="cs"/>
          <w:rtl/>
        </w:rPr>
        <w:t>נגד ה</w:t>
      </w:r>
      <w:r w:rsidRPr="009523E7">
        <w:rPr>
          <w:rtl/>
        </w:rPr>
        <w:t>ת</w:t>
      </w:r>
      <w:r>
        <w:rPr>
          <w:rFonts w:hint="cs"/>
          <w:rtl/>
        </w:rPr>
        <w:t>י</w:t>
      </w:r>
      <w:r w:rsidRPr="009523E7">
        <w:rPr>
          <w:rtl/>
        </w:rPr>
        <w:t>אגוד האזורי.</w:t>
      </w:r>
    </w:p>
    <w:p w:rsidR="003D3BEF" w:rsidP="003D3BEF" w14:paraId="67C6CBF8" w14:textId="77777777">
      <w:pPr>
        <w:pStyle w:val="a"/>
        <w:spacing w:line="269" w:lineRule="auto"/>
        <w:rPr>
          <w:rtl/>
        </w:rPr>
      </w:pPr>
    </w:p>
    <w:p w:rsidR="003D3BEF" w:rsidP="003D3BEF" w14:paraId="508BDE6E" w14:textId="77777777">
      <w:pPr>
        <w:spacing w:line="269" w:lineRule="auto"/>
        <w:ind w:left="312"/>
        <w:rPr>
          <w:rtl/>
        </w:rPr>
      </w:pPr>
      <w:r>
        <w:rPr>
          <w:rFonts w:hint="cs"/>
          <w:rtl/>
        </w:rPr>
        <w:t xml:space="preserve">להלן מספר התאגידים, מספר היישובים הממוצע ומספר התושבים בכל תאגיד במצב הקיים במועד סיום הביקורת ובמתווים השונים שהציעה רשות המים, דהיינו סיכום הנתונים הנוגעים למתווים שהציעה רשות המים לעומת המצב הקיים במועד סיום הביקורת. </w:t>
      </w:r>
    </w:p>
    <w:p w:rsidR="003D3BEF" w:rsidP="003D3BEF" w14:paraId="20E10D09" w14:textId="77777777">
      <w:pPr>
        <w:pStyle w:val="a"/>
        <w:spacing w:line="269" w:lineRule="auto"/>
        <w:rPr>
          <w:rtl/>
        </w:rPr>
      </w:pPr>
    </w:p>
    <w:p w:rsidR="003D3BEF" w:rsidP="003D3BEF" w14:paraId="74BDDB66" w14:textId="77777777">
      <w:pPr>
        <w:spacing w:line="269" w:lineRule="auto"/>
        <w:jc w:val="center"/>
        <w:rPr>
          <w:b/>
          <w:bCs/>
          <w:rtl/>
        </w:rPr>
      </w:pPr>
      <w:r>
        <w:rPr>
          <w:rFonts w:hint="cs"/>
          <w:b/>
          <w:bCs/>
          <w:sz w:val="24"/>
          <w:rtl/>
        </w:rPr>
        <w:t xml:space="preserve">תרשים 38: </w:t>
      </w:r>
      <w:r>
        <w:rPr>
          <w:rFonts w:hint="cs"/>
          <w:b/>
          <w:bCs/>
          <w:rtl/>
        </w:rPr>
        <w:t>המצב הקיים לעומת המתווים של רשות המים</w:t>
      </w:r>
    </w:p>
    <w:p w:rsidR="003D3BEF" w:rsidRPr="00040236" w:rsidP="00902044" w14:paraId="3296BCAF" w14:textId="77777777">
      <w:pPr>
        <w:spacing w:before="120" w:after="120" w:line="269" w:lineRule="auto"/>
        <w:jc w:val="center"/>
        <w:rPr>
          <w:b/>
          <w:bCs/>
          <w:rtl/>
        </w:rPr>
      </w:pPr>
      <w:r>
        <w:rPr>
          <w:b/>
          <w:bCs/>
          <w:noProof/>
          <w:rtl/>
        </w:rPr>
        <w:drawing>
          <wp:inline distT="0" distB="0" distL="0" distR="0">
            <wp:extent cx="4325121" cy="2316485"/>
            <wp:effectExtent l="0" t="0" r="0" b="7620"/>
            <wp:docPr id="780323277" name="תמונה 78032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0267" name="water-corporations-g-38.pn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6485"/>
                    </a:xfrm>
                    <a:prstGeom prst="rect">
                      <a:avLst/>
                    </a:prstGeom>
                  </pic:spPr>
                </pic:pic>
              </a:graphicData>
            </a:graphic>
          </wp:inline>
        </w:drawing>
      </w:r>
    </w:p>
    <w:p w:rsidR="003D3BEF" w:rsidRPr="00684E93" w:rsidP="00902044" w14:paraId="5BD15D50"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A07561" w:rsidP="003D3BEF" w14:paraId="09F5BACE" w14:textId="77777777">
      <w:pPr>
        <w:pStyle w:val="a"/>
        <w:spacing w:line="269" w:lineRule="auto"/>
        <w:rPr>
          <w:rtl/>
        </w:rPr>
      </w:pPr>
    </w:p>
    <w:p w:rsidR="003D3BEF" w:rsidP="00902044" w14:paraId="330C242A" w14:textId="77777777">
      <w:pPr>
        <w:spacing w:line="269" w:lineRule="auto"/>
        <w:ind w:left="312"/>
        <w:rPr>
          <w:rtl/>
        </w:rPr>
      </w:pPr>
      <w:r w:rsidRPr="00A07561">
        <w:rPr>
          <w:rFonts w:hint="cs"/>
          <w:b/>
          <w:bCs/>
          <w:rtl/>
        </w:rPr>
        <w:t xml:space="preserve">משרד מבקר המדינה מעיר לרשות המים כי היה עליה </w:t>
      </w:r>
      <w:r w:rsidRPr="00A07561">
        <w:rPr>
          <w:rFonts w:hint="eastAsia"/>
          <w:b/>
          <w:bCs/>
          <w:rtl/>
        </w:rPr>
        <w:t>להפנות</w:t>
      </w:r>
      <w:r w:rsidRPr="00A07561">
        <w:rPr>
          <w:b/>
          <w:bCs/>
          <w:rtl/>
        </w:rPr>
        <w:t xml:space="preserve"> </w:t>
      </w:r>
      <w:r w:rsidRPr="00A07561">
        <w:rPr>
          <w:rFonts w:hint="eastAsia"/>
          <w:b/>
          <w:bCs/>
          <w:rtl/>
        </w:rPr>
        <w:t>את</w:t>
      </w:r>
      <w:r w:rsidRPr="00A07561">
        <w:rPr>
          <w:b/>
          <w:bCs/>
          <w:rtl/>
        </w:rPr>
        <w:t xml:space="preserve"> </w:t>
      </w:r>
      <w:r w:rsidRPr="00A07561">
        <w:rPr>
          <w:rFonts w:hint="eastAsia"/>
          <w:b/>
          <w:bCs/>
          <w:rtl/>
        </w:rPr>
        <w:t>תשומת</w:t>
      </w:r>
      <w:r w:rsidRPr="00A07561">
        <w:rPr>
          <w:b/>
          <w:bCs/>
          <w:rtl/>
        </w:rPr>
        <w:t xml:space="preserve"> </w:t>
      </w:r>
      <w:r w:rsidRPr="00A07561">
        <w:rPr>
          <w:rFonts w:hint="eastAsia"/>
          <w:b/>
          <w:bCs/>
          <w:rtl/>
        </w:rPr>
        <w:t>הלב</w:t>
      </w:r>
      <w:r w:rsidRPr="00A07561">
        <w:rPr>
          <w:b/>
          <w:bCs/>
          <w:rtl/>
        </w:rPr>
        <w:t xml:space="preserve"> של משר</w:t>
      </w:r>
      <w:r w:rsidRPr="00A07561">
        <w:rPr>
          <w:rFonts w:hint="eastAsia"/>
          <w:b/>
          <w:bCs/>
          <w:rtl/>
        </w:rPr>
        <w:t>ד</w:t>
      </w:r>
      <w:r w:rsidRPr="00A07561">
        <w:rPr>
          <w:b/>
          <w:bCs/>
          <w:rtl/>
        </w:rPr>
        <w:t xml:space="preserve"> האנרגיה ושל חברי מועצת הרשות</w:t>
      </w:r>
      <w:r>
        <w:rPr>
          <w:rFonts w:hint="cs"/>
          <w:b/>
          <w:bCs/>
          <w:rtl/>
        </w:rPr>
        <w:t xml:space="preserve"> </w:t>
      </w:r>
      <w:r w:rsidRPr="00A07561">
        <w:rPr>
          <w:rFonts w:hint="cs"/>
          <w:b/>
          <w:bCs/>
          <w:rtl/>
        </w:rPr>
        <w:t xml:space="preserve">עוד בשלב הליכי החקיקה של התיקון לחוק מדצמבר 2018, </w:t>
      </w:r>
      <w:r w:rsidRPr="00A07561">
        <w:rPr>
          <w:rFonts w:hint="eastAsia"/>
          <w:b/>
          <w:bCs/>
          <w:rtl/>
        </w:rPr>
        <w:t>כי</w:t>
      </w:r>
      <w:r w:rsidRPr="00A07561">
        <w:rPr>
          <w:b/>
          <w:bCs/>
          <w:rtl/>
        </w:rPr>
        <w:t xml:space="preserve"> תנאי הפטור למעשה מאפשרים ל - 33 תאגידים חזקים </w:t>
      </w:r>
      <w:r w:rsidRPr="00A07561">
        <w:rPr>
          <w:rFonts w:hint="eastAsia"/>
          <w:b/>
          <w:bCs/>
          <w:rtl/>
        </w:rPr>
        <w:t>המהווים</w:t>
      </w:r>
      <w:r w:rsidRPr="00A07561">
        <w:rPr>
          <w:b/>
          <w:bCs/>
          <w:rtl/>
        </w:rPr>
        <w:t xml:space="preserve"> בסיס חשוב לתיאגוד האזורי כפי שרואה אותו רשות המים, שלא להתאגד </w:t>
      </w:r>
      <w:r w:rsidRPr="00A07561">
        <w:rPr>
          <w:rFonts w:hint="eastAsia"/>
          <w:b/>
          <w:bCs/>
          <w:rtl/>
        </w:rPr>
        <w:t>בתיאגוד</w:t>
      </w:r>
      <w:r w:rsidRPr="00A07561">
        <w:rPr>
          <w:b/>
          <w:bCs/>
          <w:rtl/>
        </w:rPr>
        <w:t xml:space="preserve"> אזורי</w:t>
      </w:r>
      <w:r w:rsidRPr="00A07561">
        <w:rPr>
          <w:rFonts w:hint="cs"/>
          <w:b/>
          <w:bCs/>
          <w:rtl/>
        </w:rPr>
        <w:t>,</w:t>
      </w:r>
      <w:r w:rsidRPr="00A07561">
        <w:rPr>
          <w:b/>
          <w:bCs/>
          <w:rtl/>
        </w:rPr>
        <w:t xml:space="preserve"> </w:t>
      </w:r>
      <w:r w:rsidRPr="00A07561">
        <w:rPr>
          <w:rFonts w:hint="eastAsia"/>
          <w:b/>
          <w:bCs/>
          <w:rtl/>
        </w:rPr>
        <w:t>ובכך</w:t>
      </w:r>
      <w:r w:rsidRPr="00A07561">
        <w:rPr>
          <w:b/>
          <w:bCs/>
          <w:rtl/>
        </w:rPr>
        <w:t xml:space="preserve"> יש כדי לפגוע ב</w:t>
      </w:r>
      <w:r w:rsidRPr="00A07561">
        <w:rPr>
          <w:rFonts w:hint="cs"/>
          <w:b/>
          <w:bCs/>
          <w:rtl/>
        </w:rPr>
        <w:t>אופן</w:t>
      </w:r>
      <w:r w:rsidRPr="00A07561">
        <w:rPr>
          <w:b/>
          <w:bCs/>
          <w:rtl/>
        </w:rPr>
        <w:t xml:space="preserve"> משמעותי ב</w:t>
      </w:r>
      <w:r w:rsidRPr="00A07561">
        <w:rPr>
          <w:rFonts w:hint="cs"/>
          <w:b/>
          <w:bCs/>
          <w:rtl/>
        </w:rPr>
        <w:t>ת</w:t>
      </w:r>
      <w:r w:rsidRPr="00A07561">
        <w:rPr>
          <w:b/>
          <w:bCs/>
          <w:rtl/>
        </w:rPr>
        <w:t xml:space="preserve">הליך </w:t>
      </w:r>
      <w:r w:rsidRPr="00A07561">
        <w:rPr>
          <w:rFonts w:hint="eastAsia"/>
          <w:b/>
          <w:bCs/>
          <w:rtl/>
        </w:rPr>
        <w:t>התיאגוד</w:t>
      </w:r>
      <w:r w:rsidRPr="00A07561">
        <w:rPr>
          <w:b/>
          <w:bCs/>
          <w:rtl/>
        </w:rPr>
        <w:t xml:space="preserve"> האזורי שכן תאגידים חזקים עשויים ל</w:t>
      </w:r>
      <w:r w:rsidRPr="00A07561">
        <w:rPr>
          <w:rFonts w:hint="cs"/>
          <w:b/>
          <w:bCs/>
          <w:rtl/>
        </w:rPr>
        <w:t>שמש</w:t>
      </w:r>
      <w:r w:rsidRPr="00A07561">
        <w:rPr>
          <w:b/>
          <w:bCs/>
          <w:rtl/>
        </w:rPr>
        <w:t xml:space="preserve"> עוגן </w:t>
      </w:r>
      <w:r w:rsidRPr="00A07561">
        <w:rPr>
          <w:rFonts w:hint="cs"/>
          <w:b/>
          <w:bCs/>
          <w:rtl/>
        </w:rPr>
        <w:t>לכל</w:t>
      </w:r>
      <w:r w:rsidR="000A72AB">
        <w:rPr>
          <w:rFonts w:hint="cs"/>
          <w:b/>
          <w:bCs/>
          <w:rtl/>
        </w:rPr>
        <w:t xml:space="preserve"> </w:t>
      </w:r>
      <w:r w:rsidRPr="00A07561">
        <w:rPr>
          <w:b/>
          <w:bCs/>
          <w:rtl/>
        </w:rPr>
        <w:t xml:space="preserve">אחת </w:t>
      </w:r>
      <w:r w:rsidRPr="00A07561">
        <w:rPr>
          <w:rFonts w:hint="cs"/>
          <w:b/>
          <w:bCs/>
          <w:rtl/>
        </w:rPr>
        <w:t>מהתאגידים האזוריים</w:t>
      </w:r>
      <w:r w:rsidRPr="00A07561">
        <w:rPr>
          <w:b/>
          <w:bCs/>
          <w:rtl/>
        </w:rPr>
        <w:t>.</w:t>
      </w:r>
      <w:r w:rsidRPr="00A07561">
        <w:rPr>
          <w:rFonts w:hint="cs"/>
          <w:b/>
          <w:bCs/>
          <w:rtl/>
        </w:rPr>
        <w:t xml:space="preserve"> בכך ניתן היה לחסוך במשאבים הרבים שהושקעו בהליך השימוע הציבורי, בהכנת בקשות הפטור בידי התאגידים ובדיקתן בידי הרשות, ולקדם באופן טוב יותר את מטרות הרפורמה</w:t>
      </w:r>
      <w:r w:rsidRPr="00A07561">
        <w:rPr>
          <w:rFonts w:hint="cs"/>
          <w:rtl/>
        </w:rPr>
        <w:t>.</w:t>
      </w:r>
    </w:p>
    <w:p w:rsidR="003D3BEF" w:rsidP="003D3BEF" w14:paraId="73D422FD" w14:textId="77777777">
      <w:pPr>
        <w:pStyle w:val="a"/>
        <w:spacing w:line="269" w:lineRule="auto"/>
        <w:rPr>
          <w:rtl/>
        </w:rPr>
      </w:pPr>
    </w:p>
    <w:p w:rsidR="003D3BEF" w:rsidP="003D3BEF" w14:paraId="2C4F4BE8" w14:textId="77777777">
      <w:pPr>
        <w:spacing w:line="269" w:lineRule="auto"/>
        <w:ind w:left="312"/>
        <w:rPr>
          <w:rtl/>
        </w:rPr>
      </w:pPr>
      <w:r>
        <w:rPr>
          <w:rtl/>
        </w:rPr>
        <w:t xml:space="preserve">רשות המים </w:t>
      </w:r>
      <w:r>
        <w:rPr>
          <w:rFonts w:hint="cs"/>
          <w:rtl/>
        </w:rPr>
        <w:t>מסרה בתשובתה</w:t>
      </w:r>
      <w:r>
        <w:rPr>
          <w:rtl/>
        </w:rPr>
        <w:t xml:space="preserve"> </w:t>
      </w:r>
      <w:r>
        <w:rPr>
          <w:rFonts w:hint="cs"/>
          <w:rtl/>
        </w:rPr>
        <w:t>מ</w:t>
      </w:r>
      <w:r>
        <w:rPr>
          <w:rtl/>
        </w:rPr>
        <w:t>מאי 2020 כי "הרכבת מפת שיוך לתאגידים אזוריים של כלל הרשויות המקומיות הינה מלאכת מחשבת מורכבת ועדינה, שמחייבת עריכת איזונים בין השיקולים השונים בקביעת השיו</w:t>
      </w:r>
      <w:r>
        <w:rPr>
          <w:rFonts w:hint="cs"/>
          <w:rtl/>
        </w:rPr>
        <w:t>ך</w:t>
      </w:r>
      <w:r>
        <w:rPr>
          <w:rtl/>
        </w:rPr>
        <w:t xml:space="preserve"> (גודל, רצף גאוגרפי, מט"שים ואגני ניקוז, בטחון מים ושיקולים סוציו - אקונומיים)". עוד מסרה כי מלאכה זו נעשתה לאחר שמיעת עמדות הציבור "על בסיס ידע מקצועי וניסיון רב".</w:t>
      </w:r>
    </w:p>
    <w:p w:rsidR="003D3BEF" w:rsidP="003D3BEF" w14:paraId="791FD0D4" w14:textId="77777777">
      <w:pPr>
        <w:pStyle w:val="a"/>
        <w:spacing w:line="269" w:lineRule="auto"/>
        <w:rPr>
          <w:rtl/>
        </w:rPr>
      </w:pPr>
    </w:p>
    <w:p w:rsidR="003D3BEF" w:rsidP="003D3BEF" w14:paraId="549B5524" w14:textId="77777777">
      <w:pPr>
        <w:spacing w:line="269" w:lineRule="auto"/>
        <w:ind w:left="312"/>
        <w:rPr>
          <w:rtl/>
        </w:rPr>
      </w:pPr>
      <w:r w:rsidRPr="00F549B4">
        <w:rPr>
          <w:rFonts w:hint="cs"/>
          <w:b/>
          <w:bCs/>
          <w:rtl/>
        </w:rPr>
        <w:t xml:space="preserve">מפת השיוך של 29 </w:t>
      </w:r>
      <w:r>
        <w:rPr>
          <w:rFonts w:hint="cs"/>
          <w:b/>
          <w:bCs/>
          <w:rtl/>
        </w:rPr>
        <w:t>תאגידים אזוריים</w:t>
      </w:r>
      <w:r w:rsidRPr="00F549B4">
        <w:rPr>
          <w:rFonts w:hint="cs"/>
          <w:b/>
          <w:bCs/>
          <w:rtl/>
        </w:rPr>
        <w:t xml:space="preserve"> </w:t>
      </w:r>
      <w:r>
        <w:rPr>
          <w:rFonts w:hint="cs"/>
          <w:b/>
          <w:bCs/>
          <w:rtl/>
        </w:rPr>
        <w:t xml:space="preserve">שפורסמה לשימוע, אף לאחר שתוקנה ל-30 תאגידים, אין </w:t>
      </w:r>
      <w:r w:rsidRPr="00F549B4">
        <w:rPr>
          <w:rFonts w:hint="cs"/>
          <w:b/>
          <w:bCs/>
          <w:rtl/>
        </w:rPr>
        <w:t xml:space="preserve">בה כדי לפתור את המחלוקת </w:t>
      </w:r>
      <w:r>
        <w:rPr>
          <w:rFonts w:hint="cs"/>
          <w:b/>
          <w:bCs/>
          <w:rtl/>
        </w:rPr>
        <w:t>בין הרשות לבין</w:t>
      </w:r>
      <w:r w:rsidRPr="00F549B4">
        <w:rPr>
          <w:rFonts w:hint="cs"/>
          <w:b/>
          <w:bCs/>
          <w:rtl/>
        </w:rPr>
        <w:t xml:space="preserve"> התאגידים ו</w:t>
      </w:r>
      <w:r>
        <w:rPr>
          <w:rFonts w:hint="cs"/>
          <w:b/>
          <w:bCs/>
          <w:rtl/>
        </w:rPr>
        <w:t xml:space="preserve">מרכז </w:t>
      </w:r>
      <w:r w:rsidRPr="00F549B4">
        <w:rPr>
          <w:rFonts w:hint="cs"/>
          <w:b/>
          <w:bCs/>
          <w:rtl/>
        </w:rPr>
        <w:t>השלטון המקומי, באו</w:t>
      </w:r>
      <w:r>
        <w:rPr>
          <w:rFonts w:hint="cs"/>
          <w:b/>
          <w:bCs/>
          <w:rtl/>
        </w:rPr>
        <w:t xml:space="preserve">פן שיאפשר הקמת תיאגוד אזורי. בראש ובראשונה, ואף שבין 2011 לשנת 2018 חל צמצום בפער בין ממוצע המדדים של ריווחיות, של פחת מים ושל פחת גבייה בתאגידים חלשים זכאים לבין ממוצע מדדים אלה בתאגידים חזקים, אין במפת השיוך העדכנית כאמור כדי לפתור את התנגדותן של הרשויות המקומיות החזקות, שבמשך שנים גבו מתושביהן תשלומים עבור מים וביוב והשקיעו בתשתיות שבתחומן, להתאגד עם רשויות מקומיות חלשות שלא עשו כן ומצב תשתיותיהן מצריך השקעה רבה, באופן שיתמודד עם הטענה שתושבי הרשויות המקומיות החזקות יידרשו לסבסד את </w:t>
      </w:r>
      <w:r w:rsidRPr="00B70DE1">
        <w:rPr>
          <w:rFonts w:hint="cs"/>
          <w:b/>
          <w:bCs/>
          <w:rtl/>
        </w:rPr>
        <w:t>תושבי</w:t>
      </w:r>
      <w:r>
        <w:rPr>
          <w:rFonts w:hint="cs"/>
          <w:b/>
          <w:bCs/>
          <w:rtl/>
        </w:rPr>
        <w:t xml:space="preserve"> הרשויות המקומיות החלשות.</w:t>
      </w:r>
    </w:p>
    <w:p w:rsidR="003D3BEF" w:rsidP="003D3BEF" w14:paraId="661E374B" w14:textId="77777777">
      <w:pPr>
        <w:pStyle w:val="a"/>
        <w:spacing w:line="269" w:lineRule="auto"/>
        <w:rPr>
          <w:rtl/>
        </w:rPr>
      </w:pPr>
    </w:p>
    <w:p w:rsidR="003D3BEF" w:rsidP="003D3BEF" w14:paraId="303C23B2" w14:textId="77777777">
      <w:pPr>
        <w:spacing w:line="269" w:lineRule="auto"/>
        <w:ind w:left="312"/>
        <w:rPr>
          <w:b/>
          <w:bCs/>
          <w:rtl/>
        </w:rPr>
      </w:pPr>
      <w:r w:rsidRPr="00A07561">
        <w:rPr>
          <w:rFonts w:hint="eastAsia"/>
          <w:b/>
          <w:bCs/>
          <w:rtl/>
        </w:rPr>
        <w:t>עוד</w:t>
      </w:r>
      <w:r w:rsidRPr="00A07561">
        <w:rPr>
          <w:b/>
          <w:bCs/>
          <w:rtl/>
        </w:rPr>
        <w:t xml:space="preserve"> עולה כי התנגדותו הגורפת של </w:t>
      </w:r>
      <w:r w:rsidRPr="00A07561">
        <w:rPr>
          <w:rFonts w:hint="eastAsia"/>
          <w:b/>
          <w:bCs/>
          <w:rtl/>
        </w:rPr>
        <w:t>מש</w:t>
      </w:r>
      <w:r w:rsidRPr="00A07561">
        <w:rPr>
          <w:b/>
          <w:bCs/>
          <w:rtl/>
        </w:rPr>
        <w:t xml:space="preserve">"ם </w:t>
      </w:r>
      <w:r w:rsidRPr="00A07561">
        <w:rPr>
          <w:rFonts w:hint="eastAsia"/>
          <w:b/>
          <w:bCs/>
          <w:rtl/>
        </w:rPr>
        <w:t>לתיאגוד</w:t>
      </w:r>
      <w:r w:rsidRPr="00A07561">
        <w:rPr>
          <w:b/>
          <w:bCs/>
          <w:rtl/>
        </w:rPr>
        <w:t xml:space="preserve"> אזורי על אף החובה הקבועה בחוק </w:t>
      </w:r>
      <w:r w:rsidRPr="00A07561">
        <w:rPr>
          <w:rFonts w:hint="cs"/>
          <w:b/>
          <w:bCs/>
          <w:rtl/>
        </w:rPr>
        <w:t>מהווה חסם</w:t>
      </w:r>
      <w:r>
        <w:rPr>
          <w:rFonts w:hint="cs"/>
          <w:b/>
          <w:bCs/>
          <w:rtl/>
        </w:rPr>
        <w:t xml:space="preserve"> </w:t>
      </w:r>
      <w:r w:rsidRPr="00A07561">
        <w:rPr>
          <w:rFonts w:hint="cs"/>
          <w:b/>
          <w:bCs/>
          <w:rtl/>
        </w:rPr>
        <w:t>ל</w:t>
      </w:r>
      <w:r w:rsidRPr="00A07561">
        <w:rPr>
          <w:rFonts w:hint="eastAsia"/>
          <w:b/>
          <w:bCs/>
          <w:rtl/>
        </w:rPr>
        <w:t>ביצוע</w:t>
      </w:r>
      <w:r w:rsidRPr="00A07561">
        <w:rPr>
          <w:b/>
          <w:bCs/>
          <w:rtl/>
        </w:rPr>
        <w:t xml:space="preserve"> </w:t>
      </w:r>
      <w:r w:rsidRPr="00A07561">
        <w:rPr>
          <w:rFonts w:hint="eastAsia"/>
          <w:b/>
          <w:bCs/>
          <w:rtl/>
        </w:rPr>
        <w:t>התיאגוד</w:t>
      </w:r>
      <w:r w:rsidRPr="00A07561">
        <w:rPr>
          <w:b/>
          <w:bCs/>
          <w:rtl/>
        </w:rPr>
        <w:t xml:space="preserve"> </w:t>
      </w:r>
      <w:r w:rsidRPr="00A07561">
        <w:rPr>
          <w:rFonts w:hint="eastAsia"/>
          <w:b/>
          <w:bCs/>
          <w:rtl/>
        </w:rPr>
        <w:t>האיזורי</w:t>
      </w:r>
      <w:r w:rsidRPr="00A07561">
        <w:rPr>
          <w:b/>
          <w:bCs/>
          <w:rtl/>
        </w:rPr>
        <w:t xml:space="preserve"> כנדרש על פי הוראות החוק.</w:t>
      </w:r>
      <w:r w:rsidRPr="00B70DE1">
        <w:rPr>
          <w:rFonts w:hint="cs"/>
          <w:b/>
          <w:bCs/>
          <w:rtl/>
        </w:rPr>
        <w:t xml:space="preserve"> </w:t>
      </w:r>
    </w:p>
    <w:p w:rsidR="003D3BEF" w:rsidRPr="00B70DE1" w:rsidP="003D3BEF" w14:paraId="0E322947" w14:textId="77777777">
      <w:pPr>
        <w:pStyle w:val="a"/>
        <w:spacing w:line="269" w:lineRule="auto"/>
        <w:rPr>
          <w:rtl/>
        </w:rPr>
      </w:pPr>
    </w:p>
    <w:p w:rsidR="003D3BEF" w:rsidP="003D3BEF" w14:paraId="35663274" w14:textId="77777777">
      <w:pPr>
        <w:spacing w:line="269" w:lineRule="auto"/>
        <w:ind w:left="312"/>
        <w:rPr>
          <w:rtl/>
        </w:rPr>
      </w:pPr>
      <w:r w:rsidRPr="00E321E2">
        <w:rPr>
          <w:rFonts w:hint="eastAsia"/>
          <w:b/>
          <w:bCs/>
          <w:rtl/>
        </w:rPr>
        <w:t>עד</w:t>
      </w:r>
      <w:r w:rsidRPr="00E321E2">
        <w:rPr>
          <w:b/>
          <w:bCs/>
          <w:rtl/>
        </w:rPr>
        <w:t xml:space="preserve"> </w:t>
      </w:r>
      <w:r w:rsidRPr="00E321E2">
        <w:rPr>
          <w:rFonts w:hint="eastAsia"/>
          <w:b/>
          <w:bCs/>
          <w:rtl/>
        </w:rPr>
        <w:t>מועד</w:t>
      </w:r>
      <w:r w:rsidRPr="00E321E2">
        <w:rPr>
          <w:b/>
          <w:bCs/>
          <w:rtl/>
        </w:rPr>
        <w:t xml:space="preserve"> </w:t>
      </w:r>
      <w:r w:rsidRPr="00E321E2">
        <w:rPr>
          <w:rFonts w:hint="eastAsia"/>
          <w:b/>
          <w:bCs/>
          <w:rtl/>
        </w:rPr>
        <w:t>סיום</w:t>
      </w:r>
      <w:r w:rsidRPr="00E321E2">
        <w:rPr>
          <w:b/>
          <w:bCs/>
          <w:rtl/>
        </w:rPr>
        <w:t xml:space="preserve"> </w:t>
      </w:r>
      <w:r w:rsidRPr="00E321E2">
        <w:rPr>
          <w:rFonts w:hint="eastAsia"/>
          <w:b/>
          <w:bCs/>
          <w:rtl/>
        </w:rPr>
        <w:t>הביקורת</w:t>
      </w:r>
      <w:r w:rsidRPr="00E321E2">
        <w:rPr>
          <w:b/>
          <w:bCs/>
          <w:rtl/>
        </w:rPr>
        <w:t xml:space="preserve">, </w:t>
      </w:r>
      <w:r w:rsidRPr="00E321E2">
        <w:rPr>
          <w:rFonts w:hint="eastAsia"/>
          <w:b/>
          <w:bCs/>
          <w:rtl/>
        </w:rPr>
        <w:t>לא</w:t>
      </w:r>
      <w:r w:rsidRPr="00E321E2">
        <w:rPr>
          <w:b/>
          <w:bCs/>
          <w:rtl/>
        </w:rPr>
        <w:t xml:space="preserve"> </w:t>
      </w:r>
      <w:r w:rsidRPr="00E321E2">
        <w:rPr>
          <w:rFonts w:hint="eastAsia"/>
          <w:b/>
          <w:bCs/>
          <w:rtl/>
        </w:rPr>
        <w:t>יושמו</w:t>
      </w:r>
      <w:r w:rsidRPr="00E321E2">
        <w:rPr>
          <w:b/>
          <w:bCs/>
          <w:rtl/>
        </w:rPr>
        <w:t xml:space="preserve"> </w:t>
      </w:r>
      <w:r w:rsidRPr="00E321E2">
        <w:rPr>
          <w:rFonts w:hint="eastAsia"/>
          <w:b/>
          <w:bCs/>
          <w:rtl/>
        </w:rPr>
        <w:t>הוראות</w:t>
      </w:r>
      <w:r w:rsidRPr="00E321E2">
        <w:rPr>
          <w:b/>
          <w:bCs/>
          <w:rtl/>
        </w:rPr>
        <w:t xml:space="preserve"> </w:t>
      </w:r>
      <w:r w:rsidRPr="00E321E2">
        <w:rPr>
          <w:rFonts w:hint="eastAsia"/>
          <w:b/>
          <w:bCs/>
          <w:rtl/>
        </w:rPr>
        <w:t>החוק</w:t>
      </w:r>
      <w:r w:rsidRPr="00E321E2">
        <w:rPr>
          <w:b/>
          <w:bCs/>
          <w:rtl/>
        </w:rPr>
        <w:t xml:space="preserve"> </w:t>
      </w:r>
      <w:r>
        <w:rPr>
          <w:rFonts w:hint="cs"/>
          <w:b/>
          <w:bCs/>
          <w:rtl/>
        </w:rPr>
        <w:t>ש</w:t>
      </w:r>
      <w:r w:rsidRPr="00E321E2">
        <w:rPr>
          <w:rFonts w:hint="eastAsia"/>
          <w:b/>
          <w:bCs/>
          <w:rtl/>
        </w:rPr>
        <w:t>ל</w:t>
      </w:r>
      <w:r w:rsidRPr="00E321E2">
        <w:rPr>
          <w:rFonts w:hint="cs"/>
          <w:b/>
          <w:bCs/>
          <w:rtl/>
        </w:rPr>
        <w:t>פ</w:t>
      </w:r>
      <w:r w:rsidRPr="00E321E2">
        <w:rPr>
          <w:rFonts w:hint="eastAsia"/>
          <w:b/>
          <w:bCs/>
          <w:rtl/>
        </w:rPr>
        <w:t>יהן</w:t>
      </w:r>
      <w:r w:rsidRPr="00E321E2">
        <w:rPr>
          <w:b/>
          <w:bCs/>
          <w:rtl/>
        </w:rPr>
        <w:t xml:space="preserve"> המספר </w:t>
      </w:r>
      <w:r w:rsidRPr="00E321E2">
        <w:rPr>
          <w:rFonts w:hint="eastAsia"/>
          <w:b/>
          <w:bCs/>
          <w:rtl/>
        </w:rPr>
        <w:t>המירבי</w:t>
      </w:r>
      <w:r w:rsidRPr="00E321E2">
        <w:rPr>
          <w:b/>
          <w:bCs/>
          <w:rtl/>
        </w:rPr>
        <w:t xml:space="preserve"> של התאגידים יעמוד על 30.</w:t>
      </w:r>
      <w:r w:rsidRPr="00E321E2">
        <w:rPr>
          <w:rFonts w:hint="cs"/>
          <w:b/>
          <w:bCs/>
          <w:rtl/>
        </w:rPr>
        <w:t xml:space="preserve"> לדעת משרד מבקר המדינה, כדי לבצע תיאגוד אזורי כנדרש על פי החוק, על משרד האוצר, על רשות המים, על הרשויות המקומיות ועל מש"ם לבחון </w:t>
      </w:r>
      <w:r>
        <w:rPr>
          <w:rFonts w:hint="cs"/>
          <w:b/>
          <w:bCs/>
          <w:rtl/>
        </w:rPr>
        <w:t xml:space="preserve">בתיאום עם משרד הפנים, </w:t>
      </w:r>
      <w:r w:rsidRPr="00E321E2">
        <w:rPr>
          <w:rFonts w:hint="cs"/>
          <w:b/>
          <w:bCs/>
          <w:rtl/>
        </w:rPr>
        <w:t>כיצד ניתן להתגבר על</w:t>
      </w:r>
      <w:r w:rsidRPr="000D538F">
        <w:rPr>
          <w:rFonts w:hint="cs"/>
          <w:b/>
          <w:bCs/>
          <w:rtl/>
        </w:rPr>
        <w:t xml:space="preserve"> בעיית מצב התשתיות, פחת המים ופחת הגבי</w:t>
      </w:r>
      <w:r>
        <w:rPr>
          <w:rFonts w:hint="cs"/>
          <w:b/>
          <w:bCs/>
          <w:rtl/>
        </w:rPr>
        <w:t>י</w:t>
      </w:r>
      <w:r w:rsidRPr="000D538F">
        <w:rPr>
          <w:rFonts w:hint="cs"/>
          <w:b/>
          <w:bCs/>
          <w:rtl/>
        </w:rPr>
        <w:t xml:space="preserve">ה </w:t>
      </w:r>
      <w:r>
        <w:rPr>
          <w:rFonts w:hint="cs"/>
          <w:b/>
          <w:bCs/>
          <w:rtl/>
        </w:rPr>
        <w:t>ב</w:t>
      </w:r>
      <w:r w:rsidRPr="000D538F">
        <w:rPr>
          <w:rFonts w:hint="cs"/>
          <w:b/>
          <w:bCs/>
          <w:rtl/>
        </w:rPr>
        <w:t>רשויות</w:t>
      </w:r>
      <w:r>
        <w:rPr>
          <w:rFonts w:hint="cs"/>
          <w:b/>
          <w:bCs/>
          <w:rtl/>
        </w:rPr>
        <w:t xml:space="preserve"> המקומיות </w:t>
      </w:r>
      <w:r w:rsidRPr="000D538F">
        <w:rPr>
          <w:rFonts w:hint="cs"/>
          <w:b/>
          <w:bCs/>
          <w:rtl/>
        </w:rPr>
        <w:t>החלשות</w:t>
      </w:r>
      <w:r>
        <w:rPr>
          <w:rFonts w:hint="cs"/>
          <w:b/>
          <w:bCs/>
          <w:rtl/>
        </w:rPr>
        <w:t>,</w:t>
      </w:r>
      <w:r w:rsidRPr="000D538F">
        <w:rPr>
          <w:rFonts w:hint="cs"/>
          <w:b/>
          <w:bCs/>
          <w:rtl/>
        </w:rPr>
        <w:t xml:space="preserve"> </w:t>
      </w:r>
      <w:r>
        <w:rPr>
          <w:rFonts w:hint="cs"/>
          <w:b/>
          <w:bCs/>
          <w:rtl/>
        </w:rPr>
        <w:t xml:space="preserve">וכיצד להתמודד עם סירובן של </w:t>
      </w:r>
      <w:r w:rsidRPr="000D538F">
        <w:rPr>
          <w:rFonts w:hint="cs"/>
          <w:b/>
          <w:bCs/>
          <w:rtl/>
        </w:rPr>
        <w:t xml:space="preserve">הרשויות המקומיות החזקות לסבסד את </w:t>
      </w:r>
      <w:r>
        <w:rPr>
          <w:rFonts w:hint="cs"/>
          <w:b/>
          <w:bCs/>
          <w:rtl/>
        </w:rPr>
        <w:t xml:space="preserve">עלויות ההשקעות הנדרשות </w:t>
      </w:r>
      <w:r w:rsidRPr="00B479B8">
        <w:rPr>
          <w:rFonts w:hint="cs"/>
          <w:b/>
          <w:bCs/>
          <w:rtl/>
        </w:rPr>
        <w:t>ברשויות</w:t>
      </w:r>
      <w:r>
        <w:rPr>
          <w:rFonts w:hint="cs"/>
          <w:b/>
          <w:bCs/>
          <w:rtl/>
        </w:rPr>
        <w:t xml:space="preserve"> המקומיות</w:t>
      </w:r>
      <w:r w:rsidRPr="00B479B8">
        <w:rPr>
          <w:rFonts w:hint="cs"/>
          <w:b/>
          <w:bCs/>
          <w:rtl/>
        </w:rPr>
        <w:t xml:space="preserve"> הח</w:t>
      </w:r>
      <w:r w:rsidRPr="003F26AA">
        <w:rPr>
          <w:rFonts w:hint="eastAsia"/>
          <w:b/>
          <w:bCs/>
          <w:rtl/>
        </w:rPr>
        <w:t>לשות</w:t>
      </w:r>
      <w:r>
        <w:rPr>
          <w:rFonts w:hint="cs"/>
          <w:b/>
          <w:bCs/>
          <w:rtl/>
        </w:rPr>
        <w:t xml:space="preserve"> נוכח </w:t>
      </w:r>
      <w:r w:rsidRPr="000D538F">
        <w:rPr>
          <w:rFonts w:hint="cs"/>
          <w:b/>
          <w:bCs/>
          <w:rtl/>
        </w:rPr>
        <w:t>ההזנחה</w:t>
      </w:r>
      <w:r>
        <w:rPr>
          <w:rFonts w:hint="cs"/>
          <w:b/>
          <w:bCs/>
          <w:rtl/>
        </w:rPr>
        <w:t xml:space="preserve"> רבת השנים.</w:t>
      </w:r>
      <w:r>
        <w:rPr>
          <w:rFonts w:hint="cs"/>
          <w:rtl/>
        </w:rPr>
        <w:t xml:space="preserve"> </w:t>
      </w:r>
      <w:r w:rsidRPr="00FC4100">
        <w:rPr>
          <w:rFonts w:hint="cs"/>
          <w:b/>
          <w:bCs/>
          <w:rtl/>
        </w:rPr>
        <w:t xml:space="preserve">מפת התיאגוד האזורי שתוצע צריכה </w:t>
      </w:r>
      <w:r>
        <w:rPr>
          <w:rFonts w:hint="cs"/>
          <w:b/>
          <w:bCs/>
          <w:rtl/>
        </w:rPr>
        <w:t>ל</w:t>
      </w:r>
      <w:r w:rsidRPr="00FC4100">
        <w:rPr>
          <w:rFonts w:hint="cs"/>
          <w:b/>
          <w:bCs/>
          <w:rtl/>
        </w:rPr>
        <w:t xml:space="preserve">היות מלווה בנקיטת אמצעים מתאימים </w:t>
      </w:r>
      <w:r>
        <w:rPr>
          <w:rFonts w:hint="cs"/>
          <w:b/>
          <w:bCs/>
          <w:rtl/>
        </w:rPr>
        <w:t>ל</w:t>
      </w:r>
      <w:r w:rsidRPr="00FC4100">
        <w:rPr>
          <w:rFonts w:hint="cs"/>
          <w:b/>
          <w:bCs/>
          <w:rtl/>
        </w:rPr>
        <w:t xml:space="preserve">פתרון </w:t>
      </w:r>
      <w:r>
        <w:rPr>
          <w:rFonts w:hint="cs"/>
          <w:b/>
          <w:bCs/>
          <w:rtl/>
        </w:rPr>
        <w:t xml:space="preserve">סוגיית </w:t>
      </w:r>
      <w:r w:rsidRPr="00FC4100">
        <w:rPr>
          <w:rFonts w:hint="cs"/>
          <w:b/>
          <w:bCs/>
          <w:rtl/>
        </w:rPr>
        <w:t>עלויות ההזנחה</w:t>
      </w:r>
      <w:r>
        <w:rPr>
          <w:rFonts w:hint="cs"/>
          <w:b/>
          <w:bCs/>
          <w:rtl/>
        </w:rPr>
        <w:t>,</w:t>
      </w:r>
      <w:r w:rsidRPr="00FC4100">
        <w:rPr>
          <w:rFonts w:hint="cs"/>
          <w:b/>
          <w:bCs/>
          <w:rtl/>
        </w:rPr>
        <w:t xml:space="preserve"> ובכך יאפשרו ביצוע תיאגוד אזורי שיגשים את מטרות החוק</w:t>
      </w:r>
      <w:r>
        <w:rPr>
          <w:rFonts w:hint="cs"/>
          <w:rtl/>
        </w:rPr>
        <w:t>.</w:t>
      </w:r>
    </w:p>
    <w:p w:rsidR="003D3BEF" w:rsidP="003D3BEF" w14:paraId="2CAA65AE" w14:textId="77777777">
      <w:pPr>
        <w:pStyle w:val="a"/>
        <w:spacing w:line="269" w:lineRule="auto"/>
        <w:rPr>
          <w:rtl/>
        </w:rPr>
      </w:pPr>
    </w:p>
    <w:p w:rsidR="003D3BEF" w:rsidP="003D3BEF" w14:paraId="200BA060" w14:textId="77777777">
      <w:pPr>
        <w:spacing w:line="269" w:lineRule="auto"/>
        <w:ind w:left="312"/>
        <w:rPr>
          <w:rtl/>
        </w:rPr>
      </w:pPr>
      <w:r>
        <w:rPr>
          <w:rFonts w:hint="cs"/>
          <w:rtl/>
        </w:rPr>
        <w:t xml:space="preserve">בתשובתו מסר </w:t>
      </w:r>
      <w:r>
        <w:rPr>
          <w:rtl/>
        </w:rPr>
        <w:t>משרד הפנים כי מתקיים שיח בין מש"</w:t>
      </w:r>
      <w:r>
        <w:rPr>
          <w:rFonts w:hint="cs"/>
          <w:rtl/>
        </w:rPr>
        <w:t>ם</w:t>
      </w:r>
      <w:r>
        <w:rPr>
          <w:rtl/>
        </w:rPr>
        <w:t xml:space="preserve"> לבין משרדי הממשלה </w:t>
      </w:r>
      <w:r>
        <w:rPr>
          <w:rFonts w:hint="cs"/>
          <w:rtl/>
        </w:rPr>
        <w:t xml:space="preserve">שעניינו </w:t>
      </w:r>
      <w:r>
        <w:rPr>
          <w:rtl/>
        </w:rPr>
        <w:t>מציאת מתווה לת</w:t>
      </w:r>
      <w:r>
        <w:rPr>
          <w:rFonts w:hint="cs"/>
          <w:rtl/>
        </w:rPr>
        <w:t>י</w:t>
      </w:r>
      <w:r>
        <w:rPr>
          <w:rtl/>
        </w:rPr>
        <w:t>אגוד אזורי</w:t>
      </w:r>
      <w:r>
        <w:rPr>
          <w:rFonts w:hint="cs"/>
          <w:rtl/>
        </w:rPr>
        <w:t xml:space="preserve">. </w:t>
      </w:r>
      <w:r>
        <w:rPr>
          <w:rtl/>
        </w:rPr>
        <w:t>כמו כן</w:t>
      </w:r>
      <w:r>
        <w:rPr>
          <w:rFonts w:hint="cs"/>
          <w:rtl/>
        </w:rPr>
        <w:t>,</w:t>
      </w:r>
      <w:r>
        <w:rPr>
          <w:rtl/>
        </w:rPr>
        <w:t xml:space="preserve"> </w:t>
      </w:r>
      <w:r>
        <w:rPr>
          <w:rFonts w:hint="cs"/>
          <w:rtl/>
        </w:rPr>
        <w:t>ל</w:t>
      </w:r>
      <w:r>
        <w:rPr>
          <w:rtl/>
        </w:rPr>
        <w:t>עמדת משרד הפנים</w:t>
      </w:r>
      <w:r>
        <w:rPr>
          <w:rFonts w:hint="cs"/>
          <w:rtl/>
        </w:rPr>
        <w:t>,</w:t>
      </w:r>
      <w:r>
        <w:rPr>
          <w:rtl/>
        </w:rPr>
        <w:t xml:space="preserve"> המתווה אכן צריך לתת מענה </w:t>
      </w:r>
      <w:r>
        <w:rPr>
          <w:rFonts w:hint="cs"/>
          <w:rtl/>
        </w:rPr>
        <w:t>ע</w:t>
      </w:r>
      <w:r>
        <w:rPr>
          <w:rtl/>
        </w:rPr>
        <w:t>ל</w:t>
      </w:r>
      <w:r>
        <w:rPr>
          <w:rFonts w:hint="cs"/>
          <w:rtl/>
        </w:rPr>
        <w:t xml:space="preserve"> </w:t>
      </w:r>
      <w:r>
        <w:rPr>
          <w:rtl/>
        </w:rPr>
        <w:t>סירוב</w:t>
      </w:r>
      <w:r>
        <w:rPr>
          <w:rFonts w:hint="cs"/>
          <w:rtl/>
        </w:rPr>
        <w:t>ן</w:t>
      </w:r>
      <w:r>
        <w:rPr>
          <w:rtl/>
        </w:rPr>
        <w:t xml:space="preserve"> של הרשויות החזקות לסבסד את עלויות ההשקעות הנדרשות ברשויות החלשות ובתאגידים החלשים. משרד הפנים מסכים עם עמדת השלטון המקומי שהנטל התקציבי </w:t>
      </w:r>
      <w:r>
        <w:rPr>
          <w:rFonts w:hint="cs"/>
          <w:rtl/>
        </w:rPr>
        <w:t>אינו</w:t>
      </w:r>
      <w:r>
        <w:rPr>
          <w:rtl/>
        </w:rPr>
        <w:t xml:space="preserve"> צריך ליפול כולו על כתפי הרשויות החזקות.</w:t>
      </w:r>
      <w:r w:rsidR="0064738E">
        <w:rPr>
          <w:rFonts w:hint="cs"/>
          <w:rtl/>
        </w:rPr>
        <w:t xml:space="preserve"> </w:t>
      </w:r>
      <w:r>
        <w:rPr>
          <w:rtl/>
        </w:rPr>
        <w:t xml:space="preserve">עם זאת, המתווה גם חייב להבטיח שמצב משק המים בתאגידים החלשים, </w:t>
      </w:r>
      <w:r>
        <w:rPr>
          <w:rFonts w:hint="cs"/>
          <w:rtl/>
        </w:rPr>
        <w:t>ב</w:t>
      </w:r>
      <w:r>
        <w:rPr>
          <w:rtl/>
        </w:rPr>
        <w:t>רשויות החלשות ואף במועצות האזוריות החלשות ישתפר וינוהל באופן איכותי ומקצועי.</w:t>
      </w:r>
    </w:p>
    <w:p w:rsidR="003D3BEF" w:rsidP="003D3BEF" w14:paraId="79144662" w14:textId="77777777">
      <w:pPr>
        <w:pStyle w:val="a"/>
        <w:spacing w:line="269" w:lineRule="auto"/>
        <w:rPr>
          <w:rtl/>
        </w:rPr>
      </w:pPr>
    </w:p>
    <w:p w:rsidR="003D3BEF" w:rsidP="003D3BEF" w14:paraId="19DD10B2" w14:textId="77777777">
      <w:pPr>
        <w:spacing w:line="269" w:lineRule="auto"/>
        <w:ind w:left="312"/>
        <w:rPr>
          <w:b/>
          <w:bCs/>
          <w:rtl/>
        </w:rPr>
      </w:pPr>
      <w:r w:rsidRPr="003F26AA">
        <w:rPr>
          <w:rFonts w:hint="eastAsia"/>
          <w:b/>
          <w:bCs/>
          <w:rtl/>
        </w:rPr>
        <w:t>על</w:t>
      </w:r>
      <w:r w:rsidRPr="003F26AA">
        <w:rPr>
          <w:b/>
          <w:bCs/>
          <w:rtl/>
        </w:rPr>
        <w:t xml:space="preserve"> מנת להוציא לפועל תהליך משמעותי </w:t>
      </w:r>
      <w:r w:rsidRPr="003F26AA">
        <w:rPr>
          <w:rFonts w:hint="eastAsia"/>
          <w:b/>
          <w:bCs/>
          <w:rtl/>
        </w:rPr>
        <w:t>כ</w:t>
      </w:r>
      <w:r>
        <w:rPr>
          <w:rFonts w:hint="cs"/>
          <w:b/>
          <w:bCs/>
          <w:rtl/>
        </w:rPr>
        <w:t xml:space="preserve">מו </w:t>
      </w:r>
      <w:r w:rsidRPr="003F26AA">
        <w:rPr>
          <w:rFonts w:hint="eastAsia"/>
          <w:b/>
          <w:bCs/>
          <w:rtl/>
        </w:rPr>
        <w:t>ת</w:t>
      </w:r>
      <w:r>
        <w:rPr>
          <w:rFonts w:hint="cs"/>
          <w:b/>
          <w:bCs/>
          <w:rtl/>
        </w:rPr>
        <w:t>י</w:t>
      </w:r>
      <w:r w:rsidRPr="003F26AA">
        <w:rPr>
          <w:rFonts w:hint="eastAsia"/>
          <w:b/>
          <w:bCs/>
          <w:rtl/>
        </w:rPr>
        <w:t>אגוד</w:t>
      </w:r>
      <w:r w:rsidRPr="003F26AA">
        <w:rPr>
          <w:b/>
          <w:bCs/>
          <w:rtl/>
        </w:rPr>
        <w:t xml:space="preserve"> אזורי, ועל רקע התנגדות</w:t>
      </w:r>
      <w:r>
        <w:rPr>
          <w:rFonts w:hint="cs"/>
          <w:b/>
          <w:bCs/>
          <w:rtl/>
        </w:rPr>
        <w:t>ו של</w:t>
      </w:r>
      <w:r w:rsidRPr="003F26AA">
        <w:rPr>
          <w:b/>
          <w:bCs/>
          <w:rtl/>
        </w:rPr>
        <w:t xml:space="preserve"> </w:t>
      </w:r>
      <w:r w:rsidRPr="003F26AA">
        <w:rPr>
          <w:rFonts w:hint="eastAsia"/>
          <w:b/>
          <w:bCs/>
          <w:rtl/>
        </w:rPr>
        <w:t>מש</w:t>
      </w:r>
      <w:r w:rsidRPr="003F26AA">
        <w:rPr>
          <w:b/>
          <w:bCs/>
          <w:rtl/>
        </w:rPr>
        <w:t>"</w:t>
      </w:r>
      <w:r>
        <w:rPr>
          <w:rFonts w:hint="cs"/>
          <w:b/>
          <w:bCs/>
          <w:rtl/>
        </w:rPr>
        <w:t>ם</w:t>
      </w:r>
      <w:r w:rsidRPr="003F26AA">
        <w:rPr>
          <w:b/>
          <w:bCs/>
          <w:rtl/>
        </w:rPr>
        <w:t xml:space="preserve"> והקשיים הקיימים, </w:t>
      </w:r>
      <w:r w:rsidRPr="003F26AA">
        <w:rPr>
          <w:rFonts w:hint="eastAsia"/>
          <w:b/>
          <w:bCs/>
          <w:rtl/>
        </w:rPr>
        <w:t>ראוי</w:t>
      </w:r>
      <w:r w:rsidRPr="003F26AA">
        <w:rPr>
          <w:b/>
          <w:bCs/>
          <w:rtl/>
        </w:rPr>
        <w:t xml:space="preserve"> </w:t>
      </w:r>
      <w:r>
        <w:rPr>
          <w:rFonts w:hint="cs"/>
          <w:b/>
          <w:bCs/>
          <w:rtl/>
        </w:rPr>
        <w:t>לבחון מינויו של גורם מתכלל מטעם הממשלה שיהיה מעורב אף הוא בסיוע ב</w:t>
      </w:r>
      <w:r w:rsidRPr="00B70DE1">
        <w:rPr>
          <w:rFonts w:hint="eastAsia"/>
          <w:b/>
          <w:bCs/>
          <w:rtl/>
        </w:rPr>
        <w:t>יישום</w:t>
      </w:r>
      <w:r w:rsidRPr="00B70DE1">
        <w:rPr>
          <w:b/>
          <w:bCs/>
          <w:rtl/>
        </w:rPr>
        <w:t xml:space="preserve"> </w:t>
      </w:r>
      <w:r w:rsidRPr="00B70DE1">
        <w:rPr>
          <w:rFonts w:hint="eastAsia"/>
          <w:b/>
          <w:bCs/>
          <w:rtl/>
        </w:rPr>
        <w:t>הוראות</w:t>
      </w:r>
      <w:r w:rsidRPr="00B70DE1">
        <w:rPr>
          <w:b/>
          <w:bCs/>
          <w:rtl/>
        </w:rPr>
        <w:t xml:space="preserve"> </w:t>
      </w:r>
      <w:r w:rsidRPr="00B70DE1">
        <w:rPr>
          <w:rFonts w:hint="eastAsia"/>
          <w:b/>
          <w:bCs/>
          <w:rtl/>
        </w:rPr>
        <w:t>החוק</w:t>
      </w:r>
      <w:r w:rsidRPr="00B70DE1">
        <w:rPr>
          <w:b/>
          <w:bCs/>
          <w:rtl/>
        </w:rPr>
        <w:t>.</w:t>
      </w:r>
    </w:p>
    <w:p w:rsidR="003D3BEF" w:rsidRPr="003F26AA" w:rsidP="003D3BEF" w14:paraId="50D63024" w14:textId="77777777">
      <w:pPr>
        <w:pStyle w:val="a"/>
        <w:spacing w:line="269" w:lineRule="auto"/>
        <w:rPr>
          <w:rtl/>
        </w:rPr>
      </w:pPr>
    </w:p>
    <w:p w:rsidR="003D3BEF" w:rsidP="003D3BEF" w14:paraId="4401A6C0" w14:textId="77777777">
      <w:pPr>
        <w:spacing w:line="269" w:lineRule="auto"/>
        <w:ind w:left="312"/>
        <w:rPr>
          <w:b/>
          <w:bCs/>
          <w:sz w:val="24"/>
          <w:rtl/>
        </w:rPr>
      </w:pPr>
      <w:r>
        <w:rPr>
          <w:rFonts w:hint="cs"/>
          <w:b/>
          <w:bCs/>
          <w:sz w:val="24"/>
          <w:rtl/>
        </w:rPr>
        <w:t xml:space="preserve">כמו כן, לצורך הקמה ותפעול של תיאגוד אזורי כאמור, על רשות המים לבדוק אם יש צורך לשנות את הקריטריונים והתבחינים למתן פטור מתיאגוד אזורי בין באמצעות בחינה נוספת של הפרשנות שהיא נתנה להוראות החוק בדבר תנאי הסף לפטור, ובין </w:t>
      </w:r>
      <w:r w:rsidRPr="00A07561">
        <w:rPr>
          <w:rFonts w:hint="cs"/>
          <w:b/>
          <w:bCs/>
          <w:sz w:val="24"/>
          <w:rtl/>
        </w:rPr>
        <w:t xml:space="preserve">באמצעות </w:t>
      </w:r>
      <w:r>
        <w:rPr>
          <w:rFonts w:hint="cs"/>
          <w:b/>
          <w:bCs/>
          <w:sz w:val="24"/>
          <w:rtl/>
        </w:rPr>
        <w:t xml:space="preserve">ייזום </w:t>
      </w:r>
      <w:r w:rsidRPr="00A07561">
        <w:rPr>
          <w:rFonts w:hint="eastAsia"/>
          <w:b/>
          <w:bCs/>
          <w:sz w:val="24"/>
          <w:rtl/>
        </w:rPr>
        <w:t>אסדרת</w:t>
      </w:r>
      <w:r w:rsidRPr="00A07561">
        <w:rPr>
          <w:b/>
          <w:bCs/>
          <w:sz w:val="24"/>
          <w:rtl/>
        </w:rPr>
        <w:t xml:space="preserve"> </w:t>
      </w:r>
      <w:r w:rsidRPr="00A07561">
        <w:rPr>
          <w:rFonts w:hint="eastAsia"/>
          <w:b/>
          <w:bCs/>
          <w:sz w:val="24"/>
          <w:rtl/>
        </w:rPr>
        <w:t>השינוי</w:t>
      </w:r>
      <w:r w:rsidRPr="00A07561">
        <w:rPr>
          <w:rFonts w:hint="cs"/>
          <w:b/>
          <w:bCs/>
          <w:sz w:val="24"/>
          <w:rtl/>
        </w:rPr>
        <w:t>. זאת</w:t>
      </w:r>
      <w:r>
        <w:rPr>
          <w:rFonts w:hint="cs"/>
          <w:b/>
          <w:bCs/>
          <w:sz w:val="24"/>
          <w:rtl/>
        </w:rPr>
        <w:t xml:space="preserve"> בין היתר כדי לאפשר את ביצוע הרפורמה במתווה של תאגידים הטרוגניים יעילים ברוח מטרת התיאגוד האזורי. </w:t>
      </w:r>
    </w:p>
    <w:p w:rsidR="003D3BEF" w:rsidP="003D3BEF" w14:paraId="0E66ED25" w14:textId="77777777">
      <w:pPr>
        <w:pStyle w:val="a"/>
        <w:spacing w:line="269" w:lineRule="auto"/>
        <w:rPr>
          <w:rtl/>
        </w:rPr>
      </w:pPr>
    </w:p>
    <w:p w:rsidR="003D3BEF" w:rsidP="003D3BEF" w14:paraId="1DA44C4E" w14:textId="77777777">
      <w:pPr>
        <w:spacing w:line="269" w:lineRule="auto"/>
        <w:ind w:left="312"/>
        <w:rPr>
          <w:b/>
          <w:bCs/>
          <w:sz w:val="24"/>
          <w:rtl/>
        </w:rPr>
      </w:pPr>
      <w:r>
        <w:rPr>
          <w:rFonts w:hint="cs"/>
          <w:b/>
          <w:bCs/>
          <w:sz w:val="24"/>
          <w:rtl/>
        </w:rPr>
        <w:t xml:space="preserve">זאת ועוד, </w:t>
      </w:r>
      <w:r w:rsidRPr="00585B98">
        <w:rPr>
          <w:rFonts w:hint="cs"/>
          <w:b/>
          <w:bCs/>
          <w:sz w:val="24"/>
          <w:rtl/>
        </w:rPr>
        <w:t xml:space="preserve">משרד מבקר המדינה </w:t>
      </w:r>
      <w:r>
        <w:rPr>
          <w:rFonts w:hint="cs"/>
          <w:b/>
          <w:bCs/>
          <w:sz w:val="24"/>
          <w:rtl/>
        </w:rPr>
        <w:t xml:space="preserve">ממליץ </w:t>
      </w:r>
      <w:r w:rsidRPr="00585B98">
        <w:rPr>
          <w:rFonts w:hint="cs"/>
          <w:b/>
          <w:bCs/>
          <w:sz w:val="24"/>
          <w:rtl/>
        </w:rPr>
        <w:t xml:space="preserve">כי רשות המים </w:t>
      </w:r>
      <w:r>
        <w:rPr>
          <w:rFonts w:hint="cs"/>
          <w:b/>
          <w:bCs/>
          <w:sz w:val="24"/>
          <w:rtl/>
        </w:rPr>
        <w:t>תבחן קביעה מראש</w:t>
      </w:r>
      <w:r w:rsidRPr="00585B98">
        <w:rPr>
          <w:rFonts w:hint="cs"/>
          <w:b/>
          <w:bCs/>
          <w:sz w:val="24"/>
          <w:rtl/>
        </w:rPr>
        <w:t xml:space="preserve"> </w:t>
      </w:r>
      <w:r>
        <w:rPr>
          <w:rFonts w:hint="cs"/>
          <w:b/>
          <w:bCs/>
          <w:sz w:val="24"/>
          <w:rtl/>
        </w:rPr>
        <w:t xml:space="preserve">של </w:t>
      </w:r>
      <w:r w:rsidRPr="00585B98">
        <w:rPr>
          <w:rFonts w:hint="cs"/>
          <w:b/>
          <w:bCs/>
          <w:sz w:val="24"/>
          <w:rtl/>
        </w:rPr>
        <w:t xml:space="preserve">קריטריונים </w:t>
      </w:r>
      <w:r>
        <w:rPr>
          <w:rFonts w:hint="cs"/>
          <w:b/>
          <w:bCs/>
          <w:sz w:val="24"/>
          <w:rtl/>
        </w:rPr>
        <w:t xml:space="preserve">ברורים ומפורטים לתנאי </w:t>
      </w:r>
      <w:r w:rsidRPr="00585B98">
        <w:rPr>
          <w:rFonts w:hint="cs"/>
          <w:b/>
          <w:bCs/>
          <w:sz w:val="24"/>
          <w:rtl/>
        </w:rPr>
        <w:t>הסף</w:t>
      </w:r>
      <w:r>
        <w:rPr>
          <w:rFonts w:hint="cs"/>
          <w:b/>
          <w:bCs/>
          <w:sz w:val="24"/>
          <w:rtl/>
        </w:rPr>
        <w:t xml:space="preserve"> לקבלת פטור, אשר תובא לפני מועצת הרשות והשרים לצד הערכה המבוססת על בדיקה מעמיקה ומפורטת הנוגעת לתאגידים העשויים לעמוד בקריטריונים שייקבעו לתנאי סף. הערכה מבוססת כאמור תאפשר, עם מכלול שיקולים רלוונטיים נוספים, לקבל החלטה מושכלת בעניין מתווה התיאגוד האזורי ואופן ביצועו.</w:t>
      </w:r>
      <w:r w:rsidRPr="00585B98">
        <w:rPr>
          <w:rFonts w:hint="cs"/>
          <w:b/>
          <w:bCs/>
          <w:sz w:val="24"/>
          <w:rtl/>
        </w:rPr>
        <w:t xml:space="preserve"> </w:t>
      </w:r>
    </w:p>
    <w:p w:rsidR="003D3BEF" w:rsidP="00902044" w14:paraId="43101817" w14:textId="77777777">
      <w:pPr>
        <w:pStyle w:val="a"/>
        <w:spacing w:line="269" w:lineRule="auto"/>
        <w:ind w:left="0"/>
        <w:rPr>
          <w:rtl/>
        </w:rPr>
      </w:pPr>
    </w:p>
    <w:p w:rsidR="003D3BEF" w:rsidP="003D3BEF" w14:paraId="5B78F655" w14:textId="77777777">
      <w:pPr>
        <w:spacing w:line="269" w:lineRule="auto"/>
        <w:ind w:left="312"/>
        <w:rPr>
          <w:sz w:val="24"/>
          <w:rtl/>
        </w:rPr>
      </w:pPr>
      <w:r w:rsidRPr="005C3F06">
        <w:rPr>
          <w:sz w:val="24"/>
          <w:rtl/>
        </w:rPr>
        <w:t xml:space="preserve">רשות המים </w:t>
      </w:r>
      <w:r>
        <w:rPr>
          <w:rFonts w:hint="cs"/>
          <w:sz w:val="24"/>
          <w:rtl/>
        </w:rPr>
        <w:t>ציינה בתשובתה</w:t>
      </w:r>
      <w:r w:rsidRPr="005C3F06">
        <w:rPr>
          <w:sz w:val="24"/>
          <w:rtl/>
        </w:rPr>
        <w:t xml:space="preserve"> </w:t>
      </w:r>
      <w:r>
        <w:rPr>
          <w:rFonts w:hint="cs"/>
          <w:sz w:val="24"/>
          <w:rtl/>
        </w:rPr>
        <w:t>מ</w:t>
      </w:r>
      <w:r w:rsidRPr="005C3F06">
        <w:rPr>
          <w:sz w:val="24"/>
          <w:rtl/>
        </w:rPr>
        <w:t>מאי 2020 כי עם פרסום מפת השיוך המעודכנת הכוללת 30 תאגידים אזוריים, "ולאור המגבלה על פטור הקבועה בחוק, פקעה למעשה האפשרות המעשית לקבל פטור מתאגוד אזורי, והצורך בקביעת עקרונות למתן הפטור התייתר"</w:t>
      </w:r>
      <w:r>
        <w:rPr>
          <w:rFonts w:hint="cs"/>
          <w:sz w:val="24"/>
          <w:rtl/>
        </w:rPr>
        <w:t>.</w:t>
      </w:r>
    </w:p>
    <w:p w:rsidR="003D3BEF" w:rsidP="003D3BEF" w14:paraId="4A8EFBC3" w14:textId="77777777">
      <w:pPr>
        <w:pStyle w:val="a"/>
        <w:spacing w:line="269" w:lineRule="auto"/>
        <w:rPr>
          <w:rtl/>
        </w:rPr>
      </w:pPr>
    </w:p>
    <w:p w:rsidR="003D3BEF" w:rsidP="003D3BEF" w14:paraId="6A5D3C5B" w14:textId="77777777">
      <w:pPr>
        <w:spacing w:line="269" w:lineRule="auto"/>
        <w:ind w:left="312"/>
        <w:rPr>
          <w:sz w:val="24"/>
          <w:rtl/>
        </w:rPr>
      </w:pPr>
      <w:r w:rsidRPr="00094347">
        <w:rPr>
          <w:sz w:val="24"/>
          <w:rtl/>
        </w:rPr>
        <w:t xml:space="preserve">עוד ציינה רשות המים בתשובתה </w:t>
      </w:r>
      <w:r>
        <w:rPr>
          <w:rFonts w:hint="cs"/>
          <w:sz w:val="24"/>
          <w:rtl/>
        </w:rPr>
        <w:t xml:space="preserve">זו </w:t>
      </w:r>
      <w:r w:rsidRPr="00094347">
        <w:rPr>
          <w:sz w:val="24"/>
          <w:rtl/>
        </w:rPr>
        <w:t xml:space="preserve">כי סוגיית צמצום מספר התאגידים </w:t>
      </w:r>
      <w:r>
        <w:rPr>
          <w:rFonts w:hint="cs"/>
          <w:sz w:val="24"/>
          <w:rtl/>
        </w:rPr>
        <w:t>היא</w:t>
      </w:r>
      <w:r w:rsidRPr="00094347">
        <w:rPr>
          <w:sz w:val="24"/>
          <w:rtl/>
        </w:rPr>
        <w:t xml:space="preserve"> סוגיה מרכזית ביחסי השלטון המקומי והשלטון המרכזי, וכי התנגדותו הנחרצת של השלטון המקומי לצמצום מספר התאגידים מקשה עד מאוד על קידום התהליך, </w:t>
      </w:r>
      <w:r>
        <w:rPr>
          <w:rFonts w:hint="cs"/>
          <w:sz w:val="24"/>
          <w:rtl/>
        </w:rPr>
        <w:t>ש</w:t>
      </w:r>
      <w:r w:rsidRPr="00094347">
        <w:rPr>
          <w:sz w:val="24"/>
          <w:rtl/>
        </w:rPr>
        <w:t xml:space="preserve">ראוי ונכון שיקודם </w:t>
      </w:r>
      <w:r>
        <w:rPr>
          <w:rFonts w:hint="cs"/>
          <w:sz w:val="24"/>
          <w:rtl/>
        </w:rPr>
        <w:t xml:space="preserve">תוך </w:t>
      </w:r>
      <w:r w:rsidRPr="00094347">
        <w:rPr>
          <w:sz w:val="24"/>
          <w:rtl/>
        </w:rPr>
        <w:t xml:space="preserve">שיתוף פעולה בין התאגידים </w:t>
      </w:r>
      <w:r>
        <w:rPr>
          <w:rFonts w:hint="cs"/>
          <w:sz w:val="24"/>
          <w:rtl/>
        </w:rPr>
        <w:t>ל</w:t>
      </w:r>
      <w:r w:rsidRPr="00094347">
        <w:rPr>
          <w:sz w:val="24"/>
          <w:rtl/>
        </w:rPr>
        <w:t>רשויות המקומיות בעלות המניות בה</w:t>
      </w:r>
      <w:r>
        <w:rPr>
          <w:rFonts w:hint="cs"/>
          <w:sz w:val="24"/>
          <w:rtl/>
        </w:rPr>
        <w:t>ם</w:t>
      </w:r>
      <w:r w:rsidRPr="00094347">
        <w:rPr>
          <w:sz w:val="24"/>
          <w:rtl/>
        </w:rPr>
        <w:t>, בבואם לחבור יחד לחברה אזורית.</w:t>
      </w:r>
      <w:r>
        <w:rPr>
          <w:rFonts w:hint="cs"/>
          <w:sz w:val="24"/>
          <w:rtl/>
        </w:rPr>
        <w:t xml:space="preserve"> </w:t>
      </w:r>
      <w:r w:rsidRPr="00094347">
        <w:rPr>
          <w:sz w:val="24"/>
          <w:rtl/>
        </w:rPr>
        <w:t>הרשות</w:t>
      </w:r>
      <w:r>
        <w:rPr>
          <w:rFonts w:hint="cs"/>
          <w:sz w:val="24"/>
          <w:rtl/>
        </w:rPr>
        <w:t xml:space="preserve"> הוסיפה</w:t>
      </w:r>
      <w:r w:rsidRPr="00094347">
        <w:rPr>
          <w:sz w:val="24"/>
          <w:rtl/>
        </w:rPr>
        <w:t xml:space="preserve"> כי היא נמצאת בתחילתו של דיאלוג עם </w:t>
      </w:r>
      <w:r>
        <w:rPr>
          <w:rFonts w:hint="cs"/>
          <w:sz w:val="24"/>
          <w:rtl/>
        </w:rPr>
        <w:t>מש"ם</w:t>
      </w:r>
      <w:r w:rsidRPr="00094347">
        <w:rPr>
          <w:sz w:val="24"/>
          <w:rtl/>
        </w:rPr>
        <w:t xml:space="preserve"> על מודל מוסכם לתיאגוד אזורי </w:t>
      </w:r>
      <w:r>
        <w:rPr>
          <w:rFonts w:hint="cs"/>
          <w:sz w:val="24"/>
          <w:rtl/>
        </w:rPr>
        <w:t>אך</w:t>
      </w:r>
      <w:r w:rsidRPr="00094347">
        <w:rPr>
          <w:sz w:val="24"/>
          <w:rtl/>
        </w:rPr>
        <w:t xml:space="preserve"> עד </w:t>
      </w:r>
      <w:r>
        <w:rPr>
          <w:rFonts w:hint="cs"/>
          <w:sz w:val="24"/>
          <w:rtl/>
        </w:rPr>
        <w:t>אמצע</w:t>
      </w:r>
      <w:r w:rsidRPr="00094347">
        <w:rPr>
          <w:sz w:val="24"/>
          <w:rtl/>
        </w:rPr>
        <w:t xml:space="preserve"> מאי 2020 לא נרשמה התקדמות משמעותית</w:t>
      </w:r>
      <w:r>
        <w:rPr>
          <w:rFonts w:hint="cs"/>
          <w:sz w:val="24"/>
          <w:rtl/>
        </w:rPr>
        <w:t>,</w:t>
      </w:r>
      <w:r w:rsidRPr="00094347">
        <w:rPr>
          <w:sz w:val="24"/>
          <w:rtl/>
        </w:rPr>
        <w:t xml:space="preserve"> והיא נערכת ליישום הוראות החוק כלשונו, </w:t>
      </w:r>
      <w:r>
        <w:rPr>
          <w:rFonts w:hint="cs"/>
          <w:sz w:val="24"/>
          <w:rtl/>
        </w:rPr>
        <w:t>מ</w:t>
      </w:r>
      <w:r w:rsidRPr="00094347">
        <w:rPr>
          <w:sz w:val="24"/>
          <w:rtl/>
        </w:rPr>
        <w:t xml:space="preserve">יום </w:t>
      </w:r>
      <w:r>
        <w:rPr>
          <w:rFonts w:hint="cs"/>
          <w:sz w:val="24"/>
          <w:rtl/>
        </w:rPr>
        <w:t>2.8.20.</w:t>
      </w:r>
    </w:p>
    <w:p w:rsidR="003D3BEF" w:rsidP="003D3BEF" w14:paraId="15E16B11" w14:textId="77777777">
      <w:pPr>
        <w:pStyle w:val="a"/>
        <w:spacing w:line="269" w:lineRule="auto"/>
        <w:rPr>
          <w:rtl/>
        </w:rPr>
      </w:pPr>
    </w:p>
    <w:p w:rsidR="003D3BEF" w:rsidP="003D3BEF" w14:paraId="03D53642" w14:textId="77777777">
      <w:pPr>
        <w:spacing w:line="269" w:lineRule="auto"/>
        <w:ind w:left="312"/>
        <w:rPr>
          <w:rtl/>
        </w:rPr>
      </w:pPr>
      <w:r w:rsidRPr="00A07561">
        <w:rPr>
          <w:rtl/>
        </w:rPr>
        <w:t>לאחר מועד סיום הביקורת, החליטה מועצת הרשות</w:t>
      </w:r>
      <w:r w:rsidRPr="00A07561">
        <w:rPr>
          <w:rFonts w:hint="cs"/>
          <w:rtl/>
        </w:rPr>
        <w:t xml:space="preserve"> באפריל 2020</w:t>
      </w:r>
      <w:r w:rsidRPr="00A07561">
        <w:rPr>
          <w:rtl/>
        </w:rPr>
        <w:t xml:space="preserve"> לאשר מפת שיוך עדכנית של הרשויות המקומיות בישראל הכוללת 30 </w:t>
      </w:r>
      <w:r w:rsidRPr="00A07561">
        <w:rPr>
          <w:rFonts w:hint="eastAsia"/>
          <w:rtl/>
        </w:rPr>
        <w:t>תאגידים</w:t>
      </w:r>
      <w:r w:rsidRPr="00A07561">
        <w:rPr>
          <w:rtl/>
        </w:rPr>
        <w:t xml:space="preserve"> אזוריים. במאי 2020, בהמשך להחלטה זו,</w:t>
      </w:r>
      <w:r>
        <w:rPr>
          <w:rtl/>
        </w:rPr>
        <w:t xml:space="preserve"> </w:t>
      </w:r>
      <w:r w:rsidRPr="00A07561">
        <w:rPr>
          <w:rtl/>
        </w:rPr>
        <w:t xml:space="preserve">החליטה מועצת רשות המים כי בהינתן מפת שיוך של 30 תאגידים, ובשים לב למיגבלה "שלפיה לא יינתן פטור מחובת התאגוד האזורי אם כתוצאה ממתן הפטור יעלה מספר הכולל של החברות על 30, ממליצה מועצת הרשות לשרים לדחות את בקשות החברות לפטור מחובת התאגוד האזורי המונחות לפתחם". לאור זאת, פרסמה מועצת הרשות הודעה ברשומות על שיוך הרשויות המקומיות ל - 30 תאגידים אזוריים שתחילת תוקפה </w:t>
      </w:r>
      <w:r w:rsidRPr="00A07561">
        <w:rPr>
          <w:rFonts w:hint="eastAsia"/>
          <w:rtl/>
        </w:rPr>
        <w:t>ב</w:t>
      </w:r>
      <w:r w:rsidRPr="00A07561">
        <w:rPr>
          <w:rtl/>
        </w:rPr>
        <w:t>-2.8.20</w:t>
      </w:r>
      <w:r>
        <w:rPr>
          <w:rStyle w:val="FootnoteReference"/>
          <w:rtl/>
        </w:rPr>
        <w:footnoteReference w:id="101"/>
      </w:r>
      <w:r w:rsidRPr="00A07561">
        <w:rPr>
          <w:rtl/>
        </w:rPr>
        <w:t>.</w:t>
      </w:r>
      <w:r>
        <w:rPr>
          <w:rtl/>
        </w:rPr>
        <w:t xml:space="preserve"> </w:t>
      </w:r>
    </w:p>
    <w:p w:rsidR="003D3BEF" w:rsidRPr="0011449A" w:rsidP="003D3BEF" w14:paraId="258F359B" w14:textId="77777777">
      <w:pPr>
        <w:pStyle w:val="a"/>
        <w:spacing w:line="269" w:lineRule="auto"/>
        <w:rPr>
          <w:rtl/>
        </w:rPr>
      </w:pPr>
    </w:p>
    <w:p w:rsidR="003D3BEF" w:rsidRPr="00B70DE1" w:rsidP="003D3BEF" w14:paraId="0208348F" w14:textId="77777777">
      <w:pPr>
        <w:pStyle w:val="Heading3"/>
        <w:spacing w:before="0" w:line="269" w:lineRule="auto"/>
        <w:rPr>
          <w:rtl/>
        </w:rPr>
      </w:pPr>
      <w:bookmarkStart w:id="8" w:name="_Toc47260078"/>
      <w:r>
        <w:rPr>
          <w:rFonts w:hint="cs"/>
          <w:rtl/>
        </w:rPr>
        <w:t>א</w:t>
      </w:r>
      <w:r w:rsidRPr="00B70DE1">
        <w:rPr>
          <w:rFonts w:hint="cs"/>
          <w:rtl/>
        </w:rPr>
        <w:t xml:space="preserve">סדרה ופיקוח בנושא </w:t>
      </w:r>
      <w:r>
        <w:rPr>
          <w:rFonts w:hint="cs"/>
          <w:rtl/>
        </w:rPr>
        <w:t xml:space="preserve">ביקורת על </w:t>
      </w:r>
      <w:r w:rsidRPr="00B70DE1">
        <w:rPr>
          <w:rFonts w:hint="cs"/>
          <w:rtl/>
        </w:rPr>
        <w:t xml:space="preserve">אפקטיביות הבקרה </w:t>
      </w:r>
      <w:r>
        <w:rPr>
          <w:rFonts w:hint="cs"/>
          <w:rtl/>
        </w:rPr>
        <w:t xml:space="preserve">והביקורת </w:t>
      </w:r>
      <w:r w:rsidRPr="00B70DE1">
        <w:rPr>
          <w:rFonts w:hint="cs"/>
          <w:rtl/>
        </w:rPr>
        <w:t xml:space="preserve">הפנימית </w:t>
      </w:r>
      <w:r>
        <w:rPr>
          <w:rFonts w:hint="cs"/>
          <w:rtl/>
        </w:rPr>
        <w:t>בתאגידים</w:t>
      </w:r>
      <w:bookmarkEnd w:id="8"/>
    </w:p>
    <w:p w:rsidR="003D3BEF" w:rsidP="003D3BEF" w14:paraId="0FD4FCBD" w14:textId="77777777">
      <w:pPr>
        <w:pStyle w:val="a"/>
        <w:rPr>
          <w:rtl/>
        </w:rPr>
      </w:pPr>
    </w:p>
    <w:p w:rsidR="003D3BEF" w:rsidP="003D3BEF" w14:paraId="78F08745" w14:textId="77777777">
      <w:pPr>
        <w:spacing w:line="269" w:lineRule="auto"/>
        <w:ind w:left="-1"/>
        <w:rPr>
          <w:rtl/>
        </w:rPr>
      </w:pPr>
      <w:r w:rsidRPr="00F4047A">
        <w:rPr>
          <w:rFonts w:hint="cs"/>
          <w:rtl/>
        </w:rPr>
        <w:t xml:space="preserve">עקרונות הממשל התאגידי </w:t>
      </w:r>
      <w:r>
        <w:rPr>
          <w:rFonts w:hint="cs"/>
          <w:rtl/>
        </w:rPr>
        <w:t>מגדירים בין היתר כיצד ראוי שחברות יתנהלו בהיבטי בקרה ופיקוח.</w:t>
      </w:r>
      <w:r w:rsidRPr="00F4047A">
        <w:rPr>
          <w:rFonts w:hint="cs"/>
          <w:rtl/>
        </w:rPr>
        <w:t xml:space="preserve"> העקרונות </w:t>
      </w:r>
      <w:r>
        <w:rPr>
          <w:rFonts w:hint="cs"/>
          <w:rtl/>
        </w:rPr>
        <w:t>עוגנו בין היתר בשנת</w:t>
      </w:r>
      <w:r w:rsidRPr="00F4047A">
        <w:rPr>
          <w:rFonts w:hint="cs"/>
          <w:rtl/>
        </w:rPr>
        <w:t xml:space="preserve"> 2002 </w:t>
      </w:r>
      <w:r>
        <w:rPr>
          <w:rFonts w:hint="cs"/>
          <w:rtl/>
        </w:rPr>
        <w:t xml:space="preserve">בחקיקה האמריקנית שנועדה בין היתר </w:t>
      </w:r>
      <w:r w:rsidRPr="00F4047A">
        <w:rPr>
          <w:rFonts w:hint="cs"/>
          <w:rtl/>
        </w:rPr>
        <w:t>לשפר את אמינות הדיווחים החשבונאיים של חברות ציבוריות</w:t>
      </w:r>
      <w:r>
        <w:rPr>
          <w:rFonts w:hint="cs"/>
          <w:rtl/>
        </w:rPr>
        <w:t xml:space="preserve"> ואת הבקרות הפנימיות על התנהלותן (</w:t>
      </w:r>
      <w:r>
        <w:t>SOX</w:t>
      </w:r>
      <w:r>
        <w:rPr>
          <w:rFonts w:hint="cs"/>
          <w:rtl/>
        </w:rPr>
        <w:t>)</w:t>
      </w:r>
      <w:r>
        <w:rPr>
          <w:rStyle w:val="FootnoteReference"/>
        </w:rPr>
        <w:footnoteReference w:id="102"/>
      </w:r>
      <w:r w:rsidRPr="00FC5FD6">
        <w:rPr>
          <w:rFonts w:hint="cs"/>
          <w:rtl/>
        </w:rPr>
        <w:t>.</w:t>
      </w:r>
      <w:r>
        <w:rPr>
          <w:rFonts w:hint="cs"/>
          <w:rtl/>
        </w:rPr>
        <w:t xml:space="preserve"> חלק מעקרונות אלה אימצו בישראל גורמים מאסדרים שונים, ובהם רשות ניירות ערך המאסדרת את פעילות החברות הציבוריות, ורשות החברות הממשלתיות (להלן - רשות החברות) המאסדרת את פעילות החברות הממשלתיות, וכן משרד הפנים המאסדר את פעילות הרשויות המקומיות.</w:t>
      </w:r>
    </w:p>
    <w:p w:rsidR="003D3BEF" w:rsidP="003D3BEF" w14:paraId="3E826424" w14:textId="77777777">
      <w:pPr>
        <w:pStyle w:val="a"/>
        <w:spacing w:line="269" w:lineRule="auto"/>
        <w:rPr>
          <w:rtl/>
        </w:rPr>
      </w:pPr>
    </w:p>
    <w:p w:rsidR="003D3BEF" w:rsidP="003D3BEF" w14:paraId="2B489F82" w14:textId="77777777">
      <w:pPr>
        <w:spacing w:line="269" w:lineRule="auto"/>
        <w:ind w:left="-1"/>
        <w:rPr>
          <w:rtl/>
        </w:rPr>
      </w:pPr>
      <w:r>
        <w:rPr>
          <w:rFonts w:hint="cs"/>
          <w:rtl/>
        </w:rPr>
        <w:t xml:space="preserve">עקרונות אלה כללו בין היתר אסדרה שנועדה להגביר את אפקטיביות הבקרה הפנימית והבקרה על הדיווח הכספי, ובכלל זה הצהרות מנהלים וחוות דעת של רואה חשבון חיצוני בדבר אפקטיביות הבקרה הפנימית; בדיקות חיצוניות של הבקרה הפנימית בידי המאסדר או גורם חיצוני שבחר הגוף המבוקר וטעון אישור המאסדר; </w:t>
      </w:r>
      <w:r>
        <w:rPr>
          <w:rtl/>
        </w:rPr>
        <w:t xml:space="preserve">מעורבות המאסדר במינוי </w:t>
      </w:r>
      <w:r>
        <w:rPr>
          <w:rFonts w:hint="cs"/>
          <w:rtl/>
        </w:rPr>
        <w:t>רואה החשבון</w:t>
      </w:r>
      <w:r>
        <w:rPr>
          <w:rtl/>
        </w:rPr>
        <w:t xml:space="preserve"> החיצוני בגוף הציבורי</w:t>
      </w:r>
      <w:r>
        <w:rPr>
          <w:rFonts w:hint="cs"/>
          <w:rtl/>
        </w:rPr>
        <w:t xml:space="preserve">, בקבלת דיווחים ממנו ובבקרה על עבודתו; ומתן </w:t>
      </w:r>
      <w:r>
        <w:rPr>
          <w:rtl/>
        </w:rPr>
        <w:t>הנחיות מקצועיות שוטפות בנושא הבקרה הפנימית</w:t>
      </w:r>
      <w:r>
        <w:rPr>
          <w:rFonts w:hint="cs"/>
          <w:rtl/>
        </w:rPr>
        <w:t xml:space="preserve">. </w:t>
      </w:r>
    </w:p>
    <w:p w:rsidR="003D3BEF" w:rsidP="003D3BEF" w14:paraId="1C1BFD52" w14:textId="77777777">
      <w:pPr>
        <w:pStyle w:val="a"/>
        <w:spacing w:line="269" w:lineRule="auto"/>
        <w:rPr>
          <w:rtl/>
        </w:rPr>
      </w:pPr>
    </w:p>
    <w:p w:rsidR="003D3BEF" w:rsidP="003D3BEF" w14:paraId="78D1E404" w14:textId="77777777">
      <w:pPr>
        <w:spacing w:line="269" w:lineRule="auto"/>
        <w:ind w:left="-1"/>
        <w:rPr>
          <w:rtl/>
        </w:rPr>
      </w:pPr>
      <w:r>
        <w:rPr>
          <w:rFonts w:hint="cs"/>
          <w:rtl/>
        </w:rPr>
        <w:t>קיימת חשיבות רבה לניהולם התקין של תאגידי המים, בייחוד כשמדובר בגופים שיש לציבור עניין בהם, שהיקף הכנסותיהם בשנת 2018 נאמד בכ-4.6 מיליארד ש"ח, עלויותיהם הן כ-45% מעלות התעריף הממוצע לצרכן הביתי, ורשות המים מתבססת על דיווחיהם הכספיים לצורך קביעת האסדרה והתעריפים.</w:t>
      </w:r>
    </w:p>
    <w:p w:rsidR="003D3BEF" w:rsidP="003D3BEF" w14:paraId="27255442" w14:textId="77777777">
      <w:pPr>
        <w:pStyle w:val="a"/>
        <w:spacing w:line="269" w:lineRule="auto"/>
        <w:rPr>
          <w:rtl/>
        </w:rPr>
      </w:pPr>
    </w:p>
    <w:p w:rsidR="003D3BEF" w:rsidP="003D3BEF" w14:paraId="5E1E238B" w14:textId="77777777">
      <w:pPr>
        <w:spacing w:line="269" w:lineRule="auto"/>
        <w:ind w:left="-1"/>
        <w:rPr>
          <w:rtl/>
        </w:rPr>
      </w:pPr>
      <w:r>
        <w:rPr>
          <w:rFonts w:hint="cs"/>
          <w:rtl/>
        </w:rPr>
        <w:t>משרד מבקר המדינה בדק את האסדרה והפיקוח שהחילה רשות המים על התאגידים, בהשוואה לאלה שהחילה רשות החברות הממשלתיות על החברות הממשלתיות ולאלה שהחיל משרד הפנים על הרשויות המקומיות, שאף הם גופים הנותנים שירותים לציבור וממומנים מכספי הציבור</w:t>
      </w:r>
      <w:r>
        <w:rPr>
          <w:rStyle w:val="FootnoteReference"/>
          <w:rtl/>
        </w:rPr>
        <w:footnoteReference w:id="103"/>
      </w:r>
      <w:r>
        <w:rPr>
          <w:rFonts w:hint="cs"/>
          <w:rtl/>
        </w:rPr>
        <w:t xml:space="preserve">. יתר על כן, </w:t>
      </w:r>
      <w:r w:rsidRPr="00876395">
        <w:rPr>
          <w:rtl/>
        </w:rPr>
        <w:t xml:space="preserve">מטרת רפורמת התיאגוד שהעבירה את שירותי המים והביוב מהרשויות המקומיות לתאגידים, הייתה </w:t>
      </w:r>
      <w:r>
        <w:rPr>
          <w:rFonts w:hint="cs"/>
          <w:rtl/>
        </w:rPr>
        <w:t xml:space="preserve">בין היתר להבטיח ניהול עסקי, מקצועי ויעיל יותר של מערכות המים והביוב. </w:t>
      </w:r>
      <w:r w:rsidRPr="00876395">
        <w:rPr>
          <w:rtl/>
        </w:rPr>
        <w:t>מכאן</w:t>
      </w:r>
      <w:r>
        <w:rPr>
          <w:rFonts w:hint="cs"/>
          <w:rtl/>
        </w:rPr>
        <w:t>,</w:t>
      </w:r>
      <w:r w:rsidRPr="00876395">
        <w:rPr>
          <w:rtl/>
        </w:rPr>
        <w:t xml:space="preserve"> היקף האסדרה ומנגנוני הפיקוח על תאגידי המים והביוב היה צריך להיות לפחות כמו</w:t>
      </w:r>
      <w:r>
        <w:rPr>
          <w:rFonts w:hint="cs"/>
          <w:rtl/>
        </w:rPr>
        <w:t xml:space="preserve"> ההיקף</w:t>
      </w:r>
      <w:r w:rsidRPr="00876395">
        <w:rPr>
          <w:rtl/>
        </w:rPr>
        <w:t xml:space="preserve"> שהיה חל אילו שירותי המים והביוב היו נשארים בידי הרשויות המקומיות.</w:t>
      </w:r>
      <w:r>
        <w:rPr>
          <w:rFonts w:hint="cs"/>
          <w:rtl/>
        </w:rPr>
        <w:t xml:space="preserve"> </w:t>
      </w:r>
    </w:p>
    <w:p w:rsidR="003D3BEF" w:rsidP="003D3BEF" w14:paraId="454674D8" w14:textId="77777777">
      <w:pPr>
        <w:pStyle w:val="a"/>
        <w:spacing w:line="269" w:lineRule="auto"/>
        <w:rPr>
          <w:rtl/>
        </w:rPr>
      </w:pPr>
    </w:p>
    <w:p w:rsidR="003D3BEF" w:rsidP="003D3BEF" w14:paraId="3AFD6B25" w14:textId="77777777">
      <w:pPr>
        <w:pStyle w:val="Heading4"/>
        <w:spacing w:before="0" w:line="269" w:lineRule="auto"/>
        <w:rPr>
          <w:rtl/>
        </w:rPr>
      </w:pPr>
      <w:r w:rsidRPr="00153794">
        <w:rPr>
          <w:rFonts w:hint="cs"/>
          <w:rtl/>
        </w:rPr>
        <w:t>מעורבות המאסדר ב</w:t>
      </w:r>
      <w:r>
        <w:rPr>
          <w:rFonts w:hint="cs"/>
          <w:rtl/>
        </w:rPr>
        <w:t>התקשרות עם</w:t>
      </w:r>
      <w:r w:rsidRPr="00153794">
        <w:rPr>
          <w:rFonts w:hint="cs"/>
          <w:rtl/>
        </w:rPr>
        <w:t xml:space="preserve"> </w:t>
      </w:r>
      <w:r>
        <w:rPr>
          <w:rFonts w:hint="cs"/>
          <w:rtl/>
        </w:rPr>
        <w:t>רואה חשבון</w:t>
      </w:r>
      <w:r w:rsidRPr="00153794">
        <w:rPr>
          <w:rFonts w:hint="cs"/>
          <w:rtl/>
        </w:rPr>
        <w:t xml:space="preserve"> מבקר בגוף המפוקח</w:t>
      </w:r>
    </w:p>
    <w:p w:rsidR="003D3BEF" w:rsidP="003D3BEF" w14:paraId="27043AC4" w14:textId="77777777">
      <w:pPr>
        <w:pStyle w:val="a"/>
        <w:rPr>
          <w:rtl/>
        </w:rPr>
      </w:pPr>
    </w:p>
    <w:p w:rsidR="003D3BEF" w:rsidP="003D3BEF" w14:paraId="684F4040" w14:textId="77777777">
      <w:pPr>
        <w:spacing w:line="269" w:lineRule="auto"/>
        <w:ind w:left="-1"/>
        <w:rPr>
          <w:rtl/>
        </w:rPr>
      </w:pPr>
      <w:r w:rsidRPr="00572552">
        <w:rPr>
          <w:rtl/>
        </w:rPr>
        <w:t xml:space="preserve">לשם מתן חוות דעת על הדוחות הכספיים, תקני </w:t>
      </w:r>
      <w:r w:rsidRPr="00572552">
        <w:rPr>
          <w:rFonts w:hint="cs"/>
          <w:rtl/>
        </w:rPr>
        <w:t>החשבונאות המקובלים</w:t>
      </w:r>
      <w:r w:rsidRPr="00572552">
        <w:rPr>
          <w:rtl/>
        </w:rPr>
        <w:t xml:space="preserve"> מנחים את </w:t>
      </w:r>
      <w:r w:rsidRPr="00572552">
        <w:rPr>
          <w:rFonts w:hint="cs"/>
          <w:rtl/>
        </w:rPr>
        <w:t xml:space="preserve">רואה החשבון </w:t>
      </w:r>
      <w:r w:rsidRPr="00572552">
        <w:rPr>
          <w:rtl/>
        </w:rPr>
        <w:t xml:space="preserve">המבקר </w:t>
      </w:r>
      <w:r>
        <w:rPr>
          <w:rFonts w:hint="cs"/>
          <w:rtl/>
        </w:rPr>
        <w:t>להכיר את</w:t>
      </w:r>
      <w:r w:rsidRPr="00572552">
        <w:rPr>
          <w:rtl/>
        </w:rPr>
        <w:t xml:space="preserve"> הגוף המבוקר וסביבתו, לרבות הבקרה הפנימית שלו, </w:t>
      </w:r>
      <w:r>
        <w:rPr>
          <w:rFonts w:hint="cs"/>
          <w:rtl/>
        </w:rPr>
        <w:t>שיהיה בה די כדי</w:t>
      </w:r>
      <w:r w:rsidRPr="00572552">
        <w:rPr>
          <w:rtl/>
        </w:rPr>
        <w:t xml:space="preserve"> לזהות ולהעריך את הסיכונים המתייחסים להצגה מוטעית מהותית בדוחות הכספיים</w:t>
      </w:r>
      <w:r>
        <w:rPr>
          <w:rStyle w:val="FootnoteReference"/>
          <w:rtl/>
        </w:rPr>
        <w:footnoteReference w:id="104"/>
      </w:r>
      <w:r w:rsidRPr="00572552">
        <w:rPr>
          <w:rtl/>
        </w:rPr>
        <w:t xml:space="preserve">. עם זאת, בשל אופייה המדגמי של </w:t>
      </w:r>
      <w:r>
        <w:rPr>
          <w:rFonts w:hint="cs"/>
          <w:rtl/>
        </w:rPr>
        <w:t>פעולת ה</w:t>
      </w:r>
      <w:r w:rsidRPr="00572552">
        <w:rPr>
          <w:rtl/>
        </w:rPr>
        <w:t>ביקורת</w:t>
      </w:r>
      <w:r>
        <w:rPr>
          <w:rFonts w:hint="cs"/>
          <w:rtl/>
        </w:rPr>
        <w:t xml:space="preserve"> של רואה החשבון המבקר,</w:t>
      </w:r>
      <w:r w:rsidRPr="00572552">
        <w:rPr>
          <w:rtl/>
        </w:rPr>
        <w:t xml:space="preserve"> ובשל מגבלות מובנות של הביקורת </w:t>
      </w:r>
      <w:r>
        <w:rPr>
          <w:rFonts w:hint="cs"/>
          <w:rtl/>
        </w:rPr>
        <w:t xml:space="preserve">שהוא עורך </w:t>
      </w:r>
      <w:r w:rsidRPr="00572552">
        <w:rPr>
          <w:rtl/>
        </w:rPr>
        <w:t>ושל מערכת הבקרה הפנימית, קיים סיכון כי הצגה מוטעית מהותית בדוחות הכספיים לא תתגלה. מכאן</w:t>
      </w:r>
      <w:r>
        <w:rPr>
          <w:rFonts w:hint="cs"/>
          <w:rtl/>
        </w:rPr>
        <w:t xml:space="preserve"> באה</w:t>
      </w:r>
      <w:r w:rsidRPr="00572552">
        <w:rPr>
          <w:rtl/>
        </w:rPr>
        <w:t xml:space="preserve"> </w:t>
      </w:r>
      <w:r>
        <w:rPr>
          <w:rFonts w:hint="cs"/>
          <w:rtl/>
        </w:rPr>
        <w:t>ה</w:t>
      </w:r>
      <w:r w:rsidRPr="00572552">
        <w:rPr>
          <w:rtl/>
        </w:rPr>
        <w:t>חשיבות</w:t>
      </w:r>
      <w:r>
        <w:rPr>
          <w:rFonts w:hint="cs"/>
          <w:rtl/>
        </w:rPr>
        <w:t xml:space="preserve"> של</w:t>
      </w:r>
      <w:r w:rsidRPr="00572552">
        <w:rPr>
          <w:rtl/>
        </w:rPr>
        <w:t xml:space="preserve"> </w:t>
      </w:r>
      <w:r w:rsidRPr="00B70DE1">
        <w:rPr>
          <w:rFonts w:hint="cs"/>
          <w:rtl/>
        </w:rPr>
        <w:t>ה</w:t>
      </w:r>
      <w:r w:rsidRPr="00B70DE1">
        <w:rPr>
          <w:rtl/>
        </w:rPr>
        <w:t>אסדרה ו</w:t>
      </w:r>
      <w:r w:rsidRPr="00B70DE1">
        <w:rPr>
          <w:rFonts w:hint="cs"/>
          <w:rtl/>
        </w:rPr>
        <w:t>ה</w:t>
      </w:r>
      <w:r w:rsidRPr="00B70DE1">
        <w:rPr>
          <w:rtl/>
        </w:rPr>
        <w:t>פיקוח בנושא איכות הבקרה הפנימית</w:t>
      </w:r>
      <w:r>
        <w:rPr>
          <w:rFonts w:hint="cs"/>
          <w:rtl/>
        </w:rPr>
        <w:t>,</w:t>
      </w:r>
      <w:r w:rsidRPr="00B70DE1">
        <w:rPr>
          <w:rtl/>
        </w:rPr>
        <w:t xml:space="preserve"> הבקרה על הדיווח</w:t>
      </w:r>
      <w:r>
        <w:rPr>
          <w:rFonts w:hint="cs"/>
          <w:rtl/>
        </w:rPr>
        <w:t xml:space="preserve"> והביקורת החיצונית</w:t>
      </w:r>
    </w:p>
    <w:p w:rsidR="003D3BEF" w:rsidRPr="00B70DE1" w:rsidP="003D3BEF" w14:paraId="4360C94A" w14:textId="77777777">
      <w:pPr>
        <w:pStyle w:val="a"/>
        <w:spacing w:line="269" w:lineRule="auto"/>
        <w:rPr>
          <w:rtl/>
        </w:rPr>
      </w:pPr>
    </w:p>
    <w:p w:rsidR="003D3BEF" w:rsidP="003D3BEF" w14:paraId="73170741" w14:textId="77777777">
      <w:pPr>
        <w:spacing w:line="269" w:lineRule="auto"/>
        <w:ind w:left="-1"/>
        <w:rPr>
          <w:rtl/>
        </w:rPr>
      </w:pPr>
      <w:r w:rsidRPr="00C862EE">
        <w:rPr>
          <w:rStyle w:val="5"/>
          <w:rFonts w:hint="eastAsia"/>
          <w:rtl/>
        </w:rPr>
        <w:t>רשויות</w:t>
      </w:r>
      <w:r w:rsidRPr="00C862EE">
        <w:rPr>
          <w:rStyle w:val="5"/>
          <w:rtl/>
        </w:rPr>
        <w:t xml:space="preserve"> </w:t>
      </w:r>
      <w:r w:rsidRPr="00C862EE">
        <w:rPr>
          <w:rStyle w:val="5"/>
          <w:rFonts w:hint="eastAsia"/>
          <w:rtl/>
        </w:rPr>
        <w:t>מקומיות</w:t>
      </w:r>
      <w:r w:rsidRPr="00C862EE">
        <w:rPr>
          <w:rStyle w:val="5"/>
          <w:rtl/>
        </w:rPr>
        <w:t>:</w:t>
      </w:r>
      <w:r>
        <w:rPr>
          <w:rFonts w:hint="cs"/>
          <w:rtl/>
        </w:rPr>
        <w:t xml:space="preserve"> המאסדר (משרד הפנים) הוא הממנה את רואה החשבון המבקר את הדוחות הכספיים השנתיים של הרשות המקומית, וסוקר את הדוחות הכספיים החצי-שנתיים (להלן - רואה החשבון המבקר). משרד הפנים מתקשר עימו באופן ישיר בהסכם </w:t>
      </w:r>
      <w:r w:rsidRPr="00A60795">
        <w:rPr>
          <w:rtl/>
        </w:rPr>
        <w:t>ומפרסם הנחיות מקצועיות לרו"ח בדבר הביקורת ברשויות המקומיות, לרבות בנושא סקירת הבקרה הפנימית ברשות המקומית</w:t>
      </w:r>
      <w:r>
        <w:rPr>
          <w:rStyle w:val="FootnoteReference"/>
          <w:rtl/>
        </w:rPr>
        <w:footnoteReference w:id="105"/>
      </w:r>
      <w:r w:rsidRPr="00A60795">
        <w:rPr>
          <w:rtl/>
        </w:rPr>
        <w:t>.</w:t>
      </w:r>
      <w:r w:rsidRPr="00D7567D">
        <w:rPr>
          <w:rtl/>
        </w:rPr>
        <w:t xml:space="preserve"> </w:t>
      </w:r>
    </w:p>
    <w:p w:rsidR="003D3BEF" w:rsidRPr="00B34705" w:rsidP="003D3BEF" w14:paraId="557E2D9E" w14:textId="77777777">
      <w:pPr>
        <w:pStyle w:val="a"/>
        <w:spacing w:line="269" w:lineRule="auto"/>
        <w:rPr>
          <w:rtl/>
        </w:rPr>
      </w:pPr>
    </w:p>
    <w:p w:rsidR="003D3BEF" w:rsidP="003D3BEF" w14:paraId="64A8DA8A" w14:textId="77777777">
      <w:pPr>
        <w:spacing w:line="269" w:lineRule="auto"/>
        <w:ind w:left="-1"/>
        <w:rPr>
          <w:rtl/>
        </w:rPr>
      </w:pPr>
      <w:r w:rsidRPr="00C862EE">
        <w:rPr>
          <w:rStyle w:val="5"/>
          <w:rFonts w:hint="eastAsia"/>
          <w:rtl/>
        </w:rPr>
        <w:t>חברות</w:t>
      </w:r>
      <w:r w:rsidRPr="00C862EE">
        <w:rPr>
          <w:rStyle w:val="5"/>
          <w:rtl/>
        </w:rPr>
        <w:t xml:space="preserve"> </w:t>
      </w:r>
      <w:r w:rsidRPr="00C862EE">
        <w:rPr>
          <w:rStyle w:val="5"/>
          <w:rFonts w:hint="eastAsia"/>
          <w:rtl/>
        </w:rPr>
        <w:t>ממשלתיות</w:t>
      </w:r>
      <w:r w:rsidRPr="00C862EE">
        <w:rPr>
          <w:rStyle w:val="5"/>
          <w:rtl/>
        </w:rPr>
        <w:t>:</w:t>
      </w:r>
      <w:r w:rsidRPr="00061DAC">
        <w:rPr>
          <w:rtl/>
        </w:rPr>
        <w:t xml:space="preserve"> </w:t>
      </w:r>
      <w:r>
        <w:rPr>
          <w:rFonts w:hint="cs"/>
          <w:rtl/>
        </w:rPr>
        <w:t>את רואה החשבון המבקר ממנה החברה הממשלתית מתוך רשימת רואי חשבון שאישרה ועדת מינויים</w:t>
      </w:r>
      <w:r>
        <w:rPr>
          <w:rStyle w:val="FootnoteReference"/>
          <w:rtl/>
        </w:rPr>
        <w:footnoteReference w:id="106"/>
      </w:r>
      <w:r>
        <w:rPr>
          <w:rFonts w:hint="cs"/>
          <w:rtl/>
        </w:rPr>
        <w:t xml:space="preserve"> ששרי המשפטים והאוצר מינו. ועדת המינויים ממליצה על מינוים ועל שכרם של רואי החשבון על פי רשימה שהגישה לה רשות החברות</w:t>
      </w:r>
      <w:r>
        <w:rPr>
          <w:rStyle w:val="FootnoteReference"/>
          <w:rtl/>
        </w:rPr>
        <w:footnoteReference w:id="107"/>
      </w:r>
      <w:r>
        <w:rPr>
          <w:rFonts w:hint="cs"/>
          <w:rtl/>
        </w:rPr>
        <w:t>. נוסף על כך, על פי המלצות הוועדה</w:t>
      </w:r>
      <w:r w:rsidRPr="00AF61BA">
        <w:rPr>
          <w:rFonts w:hint="cs"/>
          <w:rtl/>
        </w:rPr>
        <w:t xml:space="preserve"> </w:t>
      </w:r>
      <w:r>
        <w:rPr>
          <w:rFonts w:hint="cs"/>
          <w:rtl/>
        </w:rPr>
        <w:t>קבעה</w:t>
      </w:r>
      <w:r w:rsidRPr="00AF61BA">
        <w:rPr>
          <w:rFonts w:hint="cs"/>
          <w:rtl/>
        </w:rPr>
        <w:t xml:space="preserve"> </w:t>
      </w:r>
      <w:r>
        <w:rPr>
          <w:rFonts w:hint="cs"/>
          <w:rtl/>
        </w:rPr>
        <w:t>רשות החברות אמות מידה להכללת רואי חשבון ברשימת רואי החשבון לחברות הממשלתיות.</w:t>
      </w:r>
      <w:r w:rsidRPr="00B041DC">
        <w:rPr>
          <w:rFonts w:hint="cs"/>
          <w:rtl/>
        </w:rPr>
        <w:t xml:space="preserve"> </w:t>
      </w:r>
      <w:r>
        <w:rPr>
          <w:rFonts w:hint="cs"/>
          <w:rtl/>
        </w:rPr>
        <w:t>מינויו של רואה חשבון מבקר בחברה ממשלתית טעון אישור של המאסדר (רשות החברות). ההתקשרות עם רואה החשבון המבקר כוללת לא רק ביקורת על הדוחות הכספיים</w:t>
      </w:r>
      <w:r w:rsidRPr="00AF61BA">
        <w:rPr>
          <w:rFonts w:hint="cs"/>
          <w:rtl/>
        </w:rPr>
        <w:t xml:space="preserve"> </w:t>
      </w:r>
      <w:r>
        <w:rPr>
          <w:rFonts w:hint="cs"/>
          <w:rtl/>
        </w:rPr>
        <w:t xml:space="preserve">וסקירה שלהם, אלא גם </w:t>
      </w:r>
      <w:r>
        <w:rPr>
          <w:rtl/>
        </w:rPr>
        <w:t xml:space="preserve">ביקורת </w:t>
      </w:r>
      <w:r>
        <w:rPr>
          <w:rFonts w:hint="cs"/>
          <w:rtl/>
        </w:rPr>
        <w:t xml:space="preserve">על </w:t>
      </w:r>
      <w:r>
        <w:rPr>
          <w:rtl/>
        </w:rPr>
        <w:t xml:space="preserve">אפקטיביות הבקרה הפנימית על דיווח כספי, </w:t>
      </w:r>
      <w:r>
        <w:rPr>
          <w:rFonts w:hint="cs"/>
          <w:rtl/>
        </w:rPr>
        <w:t>ונוסחה טעון אישור של רשות החברות</w:t>
      </w:r>
      <w:r>
        <w:rPr>
          <w:rStyle w:val="FootnoteReference"/>
          <w:rtl/>
        </w:rPr>
        <w:footnoteReference w:id="108"/>
      </w:r>
      <w:r>
        <w:rPr>
          <w:rFonts w:hint="cs"/>
          <w:rtl/>
        </w:rPr>
        <w:t>.</w:t>
      </w:r>
    </w:p>
    <w:p w:rsidR="003D3BEF" w:rsidP="003D3BEF" w14:paraId="3CD4DFA9" w14:textId="77777777">
      <w:pPr>
        <w:pStyle w:val="a"/>
        <w:spacing w:line="269" w:lineRule="auto"/>
        <w:rPr>
          <w:rtl/>
        </w:rPr>
      </w:pPr>
    </w:p>
    <w:p w:rsidR="003D3BEF" w:rsidP="003D3BEF" w14:paraId="4D953614" w14:textId="77777777">
      <w:pPr>
        <w:spacing w:line="269" w:lineRule="auto"/>
        <w:ind w:left="-1"/>
        <w:rPr>
          <w:u w:val="single"/>
          <w:rtl/>
        </w:rPr>
      </w:pPr>
      <w:r w:rsidRPr="00C862EE">
        <w:rPr>
          <w:rStyle w:val="5"/>
          <w:rFonts w:hint="eastAsia"/>
          <w:rtl/>
        </w:rPr>
        <w:t>תאגידי</w:t>
      </w:r>
      <w:r w:rsidRPr="00C862EE">
        <w:rPr>
          <w:rStyle w:val="5"/>
          <w:rtl/>
        </w:rPr>
        <w:t xml:space="preserve"> </w:t>
      </w:r>
      <w:r w:rsidRPr="00C862EE">
        <w:rPr>
          <w:rStyle w:val="5"/>
          <w:rFonts w:hint="eastAsia"/>
          <w:rtl/>
        </w:rPr>
        <w:t>מים</w:t>
      </w:r>
      <w:r w:rsidRPr="00C862EE">
        <w:rPr>
          <w:rStyle w:val="5"/>
          <w:rtl/>
        </w:rPr>
        <w:t xml:space="preserve"> </w:t>
      </w:r>
      <w:r w:rsidRPr="00C862EE">
        <w:rPr>
          <w:rStyle w:val="5"/>
          <w:rFonts w:hint="eastAsia"/>
          <w:rtl/>
        </w:rPr>
        <w:t>וביוב</w:t>
      </w:r>
      <w:r w:rsidRPr="00C862EE">
        <w:rPr>
          <w:rStyle w:val="5"/>
          <w:rtl/>
        </w:rPr>
        <w:t>:</w:t>
      </w:r>
      <w:r w:rsidRPr="001F02F3">
        <w:rPr>
          <w:rFonts w:hint="cs"/>
          <w:sz w:val="24"/>
          <w:rtl/>
        </w:rPr>
        <w:t xml:space="preserve"> </w:t>
      </w:r>
      <w:r w:rsidRPr="00B70DE1">
        <w:rPr>
          <w:rFonts w:hint="cs"/>
          <w:sz w:val="24"/>
          <w:rtl/>
        </w:rPr>
        <w:t xml:space="preserve">לא נדרש אישור הממונה למינוי </w:t>
      </w:r>
      <w:r>
        <w:rPr>
          <w:rFonts w:hint="cs"/>
          <w:sz w:val="24"/>
          <w:rtl/>
        </w:rPr>
        <w:t xml:space="preserve">רואה החשבון המבקר </w:t>
      </w:r>
      <w:r w:rsidRPr="00B70DE1">
        <w:rPr>
          <w:rFonts w:hint="cs"/>
          <w:sz w:val="24"/>
          <w:rtl/>
        </w:rPr>
        <w:t>ולהתקשרות ע</w:t>
      </w:r>
      <w:r>
        <w:rPr>
          <w:rFonts w:hint="cs"/>
          <w:sz w:val="24"/>
          <w:rtl/>
        </w:rPr>
        <w:t>מו</w:t>
      </w:r>
      <w:r w:rsidRPr="00B70DE1">
        <w:rPr>
          <w:rFonts w:hint="cs"/>
          <w:sz w:val="24"/>
          <w:rtl/>
        </w:rPr>
        <w:t xml:space="preserve">. כמו כן, </w:t>
      </w:r>
      <w:r>
        <w:rPr>
          <w:rFonts w:hint="cs"/>
          <w:sz w:val="24"/>
          <w:rtl/>
        </w:rPr>
        <w:t>אין חוזרים מקצועיים העוסקים בהתקשרות הגוף המאוסדר עם רואה החשבון המבקר ו</w:t>
      </w:r>
      <w:r w:rsidRPr="00B70DE1">
        <w:rPr>
          <w:rFonts w:hint="cs"/>
          <w:sz w:val="24"/>
          <w:rtl/>
        </w:rPr>
        <w:t>בביקורת אפקטיביות הבקרה הפנימית על הדיווח הכספי.</w:t>
      </w:r>
    </w:p>
    <w:p w:rsidR="003D3BEF" w:rsidRPr="00B70DE1" w:rsidP="003D3BEF" w14:paraId="70487561" w14:textId="77777777">
      <w:pPr>
        <w:pStyle w:val="a"/>
        <w:spacing w:line="269" w:lineRule="auto"/>
        <w:rPr>
          <w:rtl/>
        </w:rPr>
      </w:pPr>
    </w:p>
    <w:p w:rsidR="003D3BEF" w:rsidP="003D3BEF" w14:paraId="26CBFB75" w14:textId="77777777">
      <w:pPr>
        <w:pStyle w:val="Heading4"/>
        <w:spacing w:before="0" w:line="269" w:lineRule="auto"/>
        <w:rPr>
          <w:rtl/>
        </w:rPr>
      </w:pPr>
      <w:r>
        <w:rPr>
          <w:rFonts w:hint="cs"/>
          <w:rtl/>
        </w:rPr>
        <w:t xml:space="preserve">אסדרת הנחיות לחיזוק אפקטיביות הבקרה הפנימית והביקורת הפנימית בגוף המפוקח </w:t>
      </w:r>
    </w:p>
    <w:p w:rsidR="003D3BEF" w:rsidRPr="00D02B39" w:rsidP="003D3BEF" w14:paraId="7A7A7CA9" w14:textId="77777777">
      <w:pPr>
        <w:pStyle w:val="a"/>
        <w:rPr>
          <w:rStyle w:val="5"/>
          <w:b/>
          <w:bCs w:val="0"/>
          <w:rtl/>
        </w:rPr>
      </w:pPr>
    </w:p>
    <w:p w:rsidR="003D3BEF" w:rsidP="003D3BEF" w14:paraId="480D5256" w14:textId="77777777">
      <w:pPr>
        <w:spacing w:line="269" w:lineRule="auto"/>
        <w:ind w:left="-1"/>
        <w:rPr>
          <w:rtl/>
        </w:rPr>
      </w:pPr>
      <w:r w:rsidRPr="00C862EE">
        <w:rPr>
          <w:rStyle w:val="5"/>
          <w:rFonts w:hint="eastAsia"/>
          <w:rtl/>
        </w:rPr>
        <w:t>רשויות</w:t>
      </w:r>
      <w:r w:rsidRPr="00C862EE">
        <w:rPr>
          <w:rStyle w:val="5"/>
          <w:rtl/>
        </w:rPr>
        <w:t xml:space="preserve"> </w:t>
      </w:r>
      <w:r w:rsidRPr="00C862EE">
        <w:rPr>
          <w:rStyle w:val="5"/>
          <w:rFonts w:hint="eastAsia"/>
          <w:rtl/>
        </w:rPr>
        <w:t>מקומיות</w:t>
      </w:r>
      <w:r w:rsidRPr="00C862EE">
        <w:rPr>
          <w:rStyle w:val="5"/>
          <w:rtl/>
        </w:rPr>
        <w:t>:</w:t>
      </w:r>
      <w:r w:rsidRPr="00B041DC">
        <w:rPr>
          <w:rFonts w:hint="cs"/>
          <w:rtl/>
        </w:rPr>
        <w:t xml:space="preserve"> </w:t>
      </w:r>
      <w:r w:rsidRPr="005F69C6">
        <w:rPr>
          <w:rtl/>
        </w:rPr>
        <w:t>משרד הפנים בודק את הדוחות הכספיים ואת דוח הביקורת של רואה החשבון המבקר (לרבות פירוט לגבי הממצאים שהועלו בביקורת שלו)</w:t>
      </w:r>
      <w:r>
        <w:rPr>
          <w:rFonts w:hint="cs"/>
          <w:rtl/>
        </w:rPr>
        <w:t xml:space="preserve">באמצעות רואי חשבון מטעמו (להלן-רו"ח מעיין). </w:t>
      </w:r>
      <w:r w:rsidRPr="00B11C20">
        <w:rPr>
          <w:rFonts w:hint="cs"/>
          <w:rtl/>
        </w:rPr>
        <w:t>רו"ח מעיין</w:t>
      </w:r>
      <w:r>
        <w:rPr>
          <w:rFonts w:hint="cs"/>
          <w:rtl/>
        </w:rPr>
        <w:t xml:space="preserve"> הוא</w:t>
      </w:r>
      <w:r>
        <w:rPr>
          <w:rFonts w:hint="cs"/>
          <w:b/>
          <w:bCs/>
          <w:rtl/>
        </w:rPr>
        <w:t xml:space="preserve"> </w:t>
      </w:r>
      <w:r w:rsidRPr="00B34705">
        <w:rPr>
          <w:rFonts w:hint="cs"/>
          <w:rtl/>
        </w:rPr>
        <w:t>חוליית הקשר המקצועי בין משרד הפנים</w:t>
      </w:r>
      <w:r>
        <w:rPr>
          <w:rFonts w:hint="cs"/>
          <w:rtl/>
        </w:rPr>
        <w:t xml:space="preserve"> לרואה החשבון</w:t>
      </w:r>
      <w:r w:rsidRPr="00B34705">
        <w:rPr>
          <w:rFonts w:hint="cs"/>
          <w:rtl/>
        </w:rPr>
        <w:t xml:space="preserve"> </w:t>
      </w:r>
      <w:r>
        <w:rPr>
          <w:rFonts w:hint="cs"/>
          <w:rtl/>
        </w:rPr>
        <w:t>המבקר, והוא גם</w:t>
      </w:r>
      <w:r w:rsidRPr="00B34705">
        <w:rPr>
          <w:rFonts w:hint="cs"/>
          <w:rtl/>
        </w:rPr>
        <w:t xml:space="preserve"> מעריך את עבודתו של </w:t>
      </w:r>
      <w:r>
        <w:rPr>
          <w:rFonts w:hint="cs"/>
          <w:rtl/>
        </w:rPr>
        <w:t xml:space="preserve">רואה החשבון </w:t>
      </w:r>
      <w:r w:rsidRPr="00B34705">
        <w:rPr>
          <w:rFonts w:hint="cs"/>
          <w:rtl/>
        </w:rPr>
        <w:t>המבקר</w:t>
      </w:r>
      <w:r>
        <w:rPr>
          <w:rFonts w:hint="cs"/>
          <w:rtl/>
        </w:rPr>
        <w:t>, משמש לו מדריך צמוד ופותר בעיות בעת הצורך</w:t>
      </w:r>
      <w:r>
        <w:rPr>
          <w:rStyle w:val="FootnoteReference"/>
          <w:rtl/>
        </w:rPr>
        <w:footnoteReference w:id="109"/>
      </w:r>
      <w:r>
        <w:rPr>
          <w:rFonts w:hint="cs"/>
          <w:rtl/>
        </w:rPr>
        <w:t xml:space="preserve">. </w:t>
      </w:r>
      <w:r w:rsidRPr="005F69C6">
        <w:rPr>
          <w:rtl/>
        </w:rPr>
        <w:t xml:space="preserve">בין היתר, </w:t>
      </w:r>
      <w:r>
        <w:rPr>
          <w:rFonts w:hint="cs"/>
          <w:rtl/>
        </w:rPr>
        <w:t xml:space="preserve">משרד הפנים </w:t>
      </w:r>
      <w:r w:rsidRPr="005F69C6">
        <w:rPr>
          <w:rtl/>
        </w:rPr>
        <w:t>מנהל מעקב</w:t>
      </w:r>
      <w:r>
        <w:rPr>
          <w:rStyle w:val="FootnoteReference"/>
          <w:rtl/>
        </w:rPr>
        <w:footnoteReference w:id="110"/>
      </w:r>
      <w:r w:rsidRPr="009652A8">
        <w:rPr>
          <w:rtl/>
        </w:rPr>
        <w:t xml:space="preserve"> </w:t>
      </w:r>
      <w:r w:rsidRPr="005F69C6">
        <w:rPr>
          <w:rtl/>
        </w:rPr>
        <w:t>אחר תיקון הליקויים ויישום המלצות הביקורת ואחר המינויים והתפקוד התקין של גופי הביקורת הפנימית בשלטון המקומי (מבקר פנימי וועדת ביקורת).</w:t>
      </w:r>
      <w:r>
        <w:rPr>
          <w:rFonts w:hint="cs"/>
          <w:rtl/>
        </w:rPr>
        <w:t xml:space="preserve"> בנוסף,</w:t>
      </w:r>
      <w:r w:rsidRPr="007941D5">
        <w:rPr>
          <w:rFonts w:hint="cs"/>
          <w:rtl/>
        </w:rPr>
        <w:t xml:space="preserve"> </w:t>
      </w:r>
      <w:r>
        <w:rPr>
          <w:rFonts w:hint="cs"/>
          <w:rtl/>
        </w:rPr>
        <w:t>שכרו של רו"ח המבקר משולם ע"י משרד הפנים</w:t>
      </w:r>
      <w:r>
        <w:rPr>
          <w:rStyle w:val="FootnoteReference"/>
          <w:rtl/>
        </w:rPr>
        <w:footnoteReference w:id="111"/>
      </w:r>
      <w:r>
        <w:rPr>
          <w:rFonts w:hint="cs"/>
          <w:rtl/>
        </w:rPr>
        <w:t>.</w:t>
      </w:r>
    </w:p>
    <w:p w:rsidR="003D3BEF" w:rsidRPr="00B34705" w:rsidP="003D3BEF" w14:paraId="421C794B" w14:textId="77777777">
      <w:pPr>
        <w:pStyle w:val="a"/>
        <w:spacing w:line="269" w:lineRule="auto"/>
        <w:rPr>
          <w:rtl/>
        </w:rPr>
      </w:pPr>
    </w:p>
    <w:p w:rsidR="003D3BEF" w:rsidP="003D3BEF" w14:paraId="59661A18" w14:textId="77777777">
      <w:pPr>
        <w:spacing w:line="269" w:lineRule="auto"/>
        <w:ind w:left="-1"/>
        <w:rPr>
          <w:u w:val="single"/>
          <w:rtl/>
        </w:rPr>
      </w:pPr>
      <w:r w:rsidRPr="00C862EE">
        <w:rPr>
          <w:rStyle w:val="5"/>
          <w:rFonts w:hint="eastAsia"/>
          <w:rtl/>
        </w:rPr>
        <w:t>חברות</w:t>
      </w:r>
      <w:r w:rsidRPr="00C862EE">
        <w:rPr>
          <w:rStyle w:val="5"/>
          <w:rtl/>
        </w:rPr>
        <w:t xml:space="preserve"> </w:t>
      </w:r>
      <w:r w:rsidRPr="00C862EE">
        <w:rPr>
          <w:rStyle w:val="5"/>
          <w:rFonts w:hint="eastAsia"/>
          <w:rtl/>
        </w:rPr>
        <w:t>ממשלתיות</w:t>
      </w:r>
      <w:r w:rsidRPr="00C862EE">
        <w:rPr>
          <w:rStyle w:val="5"/>
          <w:rtl/>
        </w:rPr>
        <w:t>:</w:t>
      </w:r>
      <w:r w:rsidRPr="00B041DC">
        <w:rPr>
          <w:rFonts w:hint="cs"/>
          <w:rtl/>
        </w:rPr>
        <w:t xml:space="preserve"> </w:t>
      </w:r>
      <w:r w:rsidRPr="009652A8">
        <w:rPr>
          <w:rtl/>
        </w:rPr>
        <w:t>רשות החברות הוציאה חוזר המפרט הנחיות</w:t>
      </w:r>
      <w:r>
        <w:rPr>
          <w:rFonts w:hint="cs"/>
          <w:rtl/>
        </w:rPr>
        <w:t xml:space="preserve"> בנוגע</w:t>
      </w:r>
      <w:r w:rsidRPr="009652A8">
        <w:rPr>
          <w:rtl/>
        </w:rPr>
        <w:t xml:space="preserve"> למינוי מבקר פנימי ועבודתו שמטרתו לחזק את עצמאותו ואי-תלותו של המבקר הפנימי בחברה ממשלתית, ולשפר את איכות הביקורת הפנימית בחברות ממשלתיות. בהתאם להנחיות, בין היתר, חברה ממשלתית נדרשת לבדוק את איכות הביקורת הפנימית באמצעות רואה חשבון חיצוני שבחר דירקטוריון החברה ואותו אישרה רשות החברות</w:t>
      </w:r>
      <w:r>
        <w:rPr>
          <w:rStyle w:val="FootnoteReference"/>
          <w:rtl/>
        </w:rPr>
        <w:footnoteReference w:id="112"/>
      </w:r>
      <w:r>
        <w:rPr>
          <w:rtl/>
        </w:rPr>
        <w:t>.</w:t>
      </w:r>
      <w:r w:rsidRPr="009652A8">
        <w:rPr>
          <w:rtl/>
        </w:rPr>
        <w:t xml:space="preserve"> כמו כן, לפי החוזר האמור על רשות החברות לבדוק מפעם לפעם את איכות הביקורת הפנימית במספר חברות שהיא בוחרת</w:t>
      </w:r>
      <w:r>
        <w:rPr>
          <w:rStyle w:val="FootnoteReference"/>
          <w:rtl/>
        </w:rPr>
        <w:footnoteReference w:id="113"/>
      </w:r>
      <w:r w:rsidRPr="009652A8">
        <w:rPr>
          <w:rtl/>
        </w:rPr>
        <w:t>, וזאת באמצעות בודקים בלתי תלויים שהיא תבחר</w:t>
      </w:r>
      <w:r>
        <w:rPr>
          <w:rStyle w:val="FootnoteReference"/>
          <w:rtl/>
        </w:rPr>
        <w:footnoteReference w:id="114"/>
      </w:r>
      <w:r>
        <w:rPr>
          <w:rFonts w:hint="cs"/>
          <w:rtl/>
        </w:rPr>
        <w:t>. בנוסף הוציאה רשות החברות</w:t>
      </w:r>
      <w:r w:rsidRPr="009652A8">
        <w:rPr>
          <w:rtl/>
        </w:rPr>
        <w:t xml:space="preserve"> חוזר המציע כללים להבטחת יעילותו ופעילותו התקינה של מערך הביקורת הפנימית בחברות ממשלתיות, וביקשה כי </w:t>
      </w:r>
      <w:r>
        <w:rPr>
          <w:rFonts w:hint="cs"/>
          <w:rtl/>
        </w:rPr>
        <w:t>ה</w:t>
      </w:r>
      <w:r w:rsidRPr="009652A8">
        <w:rPr>
          <w:rtl/>
        </w:rPr>
        <w:t>דירקטוריוני</w:t>
      </w:r>
      <w:r>
        <w:rPr>
          <w:rFonts w:hint="cs"/>
          <w:rtl/>
        </w:rPr>
        <w:t>ם של</w:t>
      </w:r>
      <w:r w:rsidRPr="009652A8">
        <w:rPr>
          <w:rtl/>
        </w:rPr>
        <w:t xml:space="preserve"> החברות הממשלתיות ידונו באימוצו</w:t>
      </w:r>
      <w:r>
        <w:rPr>
          <w:rStyle w:val="FootnoteReference"/>
          <w:rtl/>
        </w:rPr>
        <w:footnoteReference w:id="115"/>
      </w:r>
      <w:r w:rsidRPr="009652A8">
        <w:rPr>
          <w:rtl/>
        </w:rPr>
        <w:t>. רשות החברות קבעה גם הנחיות מקצועיות לרואי חשבון מבקרים, לרבות הנחיות בנושא אפקטיביות הבקרה הפנימית</w:t>
      </w:r>
      <w:r>
        <w:rPr>
          <w:rStyle w:val="FootnoteReference"/>
          <w:rtl/>
        </w:rPr>
        <w:footnoteReference w:id="116"/>
      </w:r>
      <w:r w:rsidRPr="009652A8">
        <w:rPr>
          <w:rtl/>
        </w:rPr>
        <w:t xml:space="preserve">. </w:t>
      </w:r>
    </w:p>
    <w:p w:rsidR="003D3BEF" w:rsidP="003D3BEF" w14:paraId="3D04017B" w14:textId="77777777">
      <w:pPr>
        <w:pStyle w:val="a"/>
        <w:spacing w:line="269" w:lineRule="auto"/>
        <w:rPr>
          <w:rtl/>
        </w:rPr>
      </w:pPr>
    </w:p>
    <w:p w:rsidR="003D3BEF" w:rsidP="003D3BEF" w14:paraId="5DB9A1B3" w14:textId="77777777">
      <w:pPr>
        <w:spacing w:line="269" w:lineRule="auto"/>
        <w:ind w:left="-1"/>
        <w:rPr>
          <w:sz w:val="24"/>
          <w:rtl/>
        </w:rPr>
      </w:pPr>
      <w:r w:rsidRPr="00C862EE">
        <w:rPr>
          <w:rStyle w:val="5"/>
          <w:rFonts w:hint="eastAsia"/>
          <w:rtl/>
        </w:rPr>
        <w:t>תאגידי</w:t>
      </w:r>
      <w:r w:rsidRPr="00C862EE">
        <w:rPr>
          <w:rStyle w:val="5"/>
          <w:rtl/>
        </w:rPr>
        <w:t xml:space="preserve"> </w:t>
      </w:r>
      <w:r w:rsidRPr="00C862EE">
        <w:rPr>
          <w:rStyle w:val="5"/>
          <w:rFonts w:hint="eastAsia"/>
          <w:rtl/>
        </w:rPr>
        <w:t>מים</w:t>
      </w:r>
      <w:r w:rsidRPr="00C862EE">
        <w:rPr>
          <w:rStyle w:val="5"/>
          <w:rtl/>
        </w:rPr>
        <w:t xml:space="preserve"> </w:t>
      </w:r>
      <w:r w:rsidRPr="00C862EE">
        <w:rPr>
          <w:rStyle w:val="5"/>
          <w:rFonts w:hint="eastAsia"/>
          <w:rtl/>
        </w:rPr>
        <w:t>וביוב</w:t>
      </w:r>
      <w:r w:rsidRPr="00C862EE">
        <w:rPr>
          <w:rStyle w:val="5"/>
          <w:rtl/>
        </w:rPr>
        <w:t>:</w:t>
      </w:r>
      <w:r w:rsidRPr="00A07561">
        <w:rPr>
          <w:sz w:val="24"/>
          <w:rtl/>
        </w:rPr>
        <w:t xml:space="preserve"> האסדרה בנושא הביקורת והבקרה הפנימית בתאגידים הינה חלקית ופחות מפורטת. אין </w:t>
      </w:r>
      <w:r w:rsidRPr="00A07561">
        <w:rPr>
          <w:rFonts w:hint="cs"/>
          <w:sz w:val="24"/>
          <w:rtl/>
        </w:rPr>
        <w:t>הנחיות</w:t>
      </w:r>
      <w:r>
        <w:rPr>
          <w:sz w:val="24"/>
          <w:rtl/>
        </w:rPr>
        <w:t xml:space="preserve"> </w:t>
      </w:r>
      <w:r w:rsidRPr="00A07561">
        <w:rPr>
          <w:rFonts w:hint="cs"/>
          <w:sz w:val="24"/>
          <w:rtl/>
        </w:rPr>
        <w:t xml:space="preserve">מפורטות </w:t>
      </w:r>
      <w:r w:rsidRPr="00A07561">
        <w:rPr>
          <w:sz w:val="24"/>
          <w:rtl/>
        </w:rPr>
        <w:t>ב</w:t>
      </w:r>
      <w:r w:rsidRPr="00A07561">
        <w:rPr>
          <w:rFonts w:hint="cs"/>
          <w:sz w:val="24"/>
          <w:rtl/>
        </w:rPr>
        <w:t xml:space="preserve">דבר </w:t>
      </w:r>
      <w:r w:rsidRPr="00A07561">
        <w:rPr>
          <w:sz w:val="24"/>
          <w:rtl/>
        </w:rPr>
        <w:t>עבוד</w:t>
      </w:r>
      <w:r w:rsidRPr="00A07561">
        <w:rPr>
          <w:rFonts w:hint="eastAsia"/>
          <w:sz w:val="24"/>
          <w:rtl/>
        </w:rPr>
        <w:t>תם</w:t>
      </w:r>
      <w:r w:rsidRPr="00A07561">
        <w:rPr>
          <w:sz w:val="24"/>
          <w:rtl/>
        </w:rPr>
        <w:t xml:space="preserve"> </w:t>
      </w:r>
      <w:r w:rsidRPr="00A07561">
        <w:rPr>
          <w:rFonts w:hint="eastAsia"/>
          <w:sz w:val="24"/>
          <w:rtl/>
        </w:rPr>
        <w:t>של</w:t>
      </w:r>
      <w:r w:rsidRPr="00A07561">
        <w:rPr>
          <w:sz w:val="24"/>
          <w:rtl/>
        </w:rPr>
        <w:t xml:space="preserve"> רואי החשבון המבקרים של התאגידים. </w:t>
      </w:r>
      <w:r w:rsidRPr="00A07561">
        <w:rPr>
          <w:rFonts w:hint="eastAsia"/>
          <w:sz w:val="24"/>
          <w:rtl/>
        </w:rPr>
        <w:t>רשות</w:t>
      </w:r>
      <w:r w:rsidRPr="00A07561">
        <w:rPr>
          <w:sz w:val="24"/>
          <w:rtl/>
        </w:rPr>
        <w:t xml:space="preserve"> </w:t>
      </w:r>
      <w:r w:rsidRPr="00A07561">
        <w:rPr>
          <w:rFonts w:hint="eastAsia"/>
          <w:sz w:val="24"/>
          <w:rtl/>
        </w:rPr>
        <w:t>המים</w:t>
      </w:r>
      <w:r w:rsidRPr="00A07561">
        <w:rPr>
          <w:sz w:val="24"/>
          <w:rtl/>
        </w:rPr>
        <w:t xml:space="preserve"> </w:t>
      </w:r>
      <w:r w:rsidRPr="00A07561">
        <w:rPr>
          <w:rFonts w:hint="eastAsia"/>
          <w:sz w:val="24"/>
          <w:rtl/>
        </w:rPr>
        <w:t>מפרסמת</w:t>
      </w:r>
      <w:r w:rsidRPr="00A07561">
        <w:rPr>
          <w:sz w:val="24"/>
          <w:rtl/>
        </w:rPr>
        <w:t xml:space="preserve"> </w:t>
      </w:r>
      <w:r w:rsidRPr="00A07561">
        <w:rPr>
          <w:rFonts w:hint="eastAsia"/>
          <w:sz w:val="24"/>
          <w:rtl/>
        </w:rPr>
        <w:t>הנחיות</w:t>
      </w:r>
      <w:r w:rsidRPr="00A07561">
        <w:rPr>
          <w:sz w:val="24"/>
          <w:rtl/>
        </w:rPr>
        <w:t xml:space="preserve"> </w:t>
      </w:r>
      <w:r w:rsidRPr="00A07561">
        <w:rPr>
          <w:rFonts w:hint="eastAsia"/>
          <w:sz w:val="24"/>
          <w:rtl/>
        </w:rPr>
        <w:t>אך</w:t>
      </w:r>
      <w:r w:rsidRPr="00A07561">
        <w:rPr>
          <w:sz w:val="24"/>
          <w:rtl/>
        </w:rPr>
        <w:t xml:space="preserve"> </w:t>
      </w:r>
      <w:r w:rsidRPr="00A07561">
        <w:rPr>
          <w:rFonts w:hint="eastAsia"/>
          <w:sz w:val="24"/>
          <w:rtl/>
        </w:rPr>
        <w:t>הן</w:t>
      </w:r>
      <w:r w:rsidRPr="00A07561">
        <w:rPr>
          <w:sz w:val="24"/>
          <w:rtl/>
        </w:rPr>
        <w:t xml:space="preserve"> </w:t>
      </w:r>
      <w:r w:rsidRPr="00A07561">
        <w:rPr>
          <w:rFonts w:hint="eastAsia"/>
          <w:sz w:val="24"/>
          <w:rtl/>
        </w:rPr>
        <w:t>מתמקדות</w:t>
      </w:r>
      <w:r w:rsidRPr="00A07561">
        <w:rPr>
          <w:sz w:val="24"/>
          <w:rtl/>
        </w:rPr>
        <w:t xml:space="preserve"> </w:t>
      </w:r>
      <w:r w:rsidRPr="00A07561">
        <w:rPr>
          <w:rFonts w:hint="eastAsia"/>
          <w:sz w:val="24"/>
          <w:rtl/>
        </w:rPr>
        <w:t>בעיקר</w:t>
      </w:r>
      <w:r w:rsidRPr="00A07561">
        <w:rPr>
          <w:sz w:val="24"/>
          <w:rtl/>
        </w:rPr>
        <w:t xml:space="preserve"> </w:t>
      </w:r>
      <w:r w:rsidRPr="00A07561">
        <w:rPr>
          <w:rFonts w:hint="eastAsia"/>
          <w:sz w:val="24"/>
          <w:rtl/>
        </w:rPr>
        <w:t>בנושאי</w:t>
      </w:r>
      <w:r w:rsidRPr="00A07561">
        <w:rPr>
          <w:sz w:val="24"/>
          <w:rtl/>
        </w:rPr>
        <w:t xml:space="preserve"> </w:t>
      </w:r>
      <w:r w:rsidRPr="00A07561">
        <w:rPr>
          <w:rFonts w:hint="eastAsia"/>
          <w:sz w:val="24"/>
          <w:rtl/>
        </w:rPr>
        <w:t>רישום</w:t>
      </w:r>
      <w:r w:rsidRPr="00A07561">
        <w:rPr>
          <w:sz w:val="24"/>
          <w:rtl/>
        </w:rPr>
        <w:t xml:space="preserve"> </w:t>
      </w:r>
      <w:r w:rsidRPr="00A07561">
        <w:rPr>
          <w:rFonts w:hint="eastAsia"/>
          <w:sz w:val="24"/>
          <w:rtl/>
        </w:rPr>
        <w:t>חשבונאי</w:t>
      </w:r>
      <w:r w:rsidRPr="00A07561">
        <w:rPr>
          <w:sz w:val="24"/>
          <w:rtl/>
        </w:rPr>
        <w:t>,</w:t>
      </w:r>
      <w:r>
        <w:rPr>
          <w:sz w:val="24"/>
          <w:rtl/>
        </w:rPr>
        <w:t xml:space="preserve"> </w:t>
      </w:r>
      <w:r w:rsidRPr="00A07561">
        <w:rPr>
          <w:rFonts w:hint="eastAsia"/>
          <w:sz w:val="24"/>
          <w:rtl/>
        </w:rPr>
        <w:t>ו</w:t>
      </w:r>
      <w:r w:rsidRPr="00A07561">
        <w:rPr>
          <w:sz w:val="24"/>
          <w:rtl/>
        </w:rPr>
        <w:t xml:space="preserve">אין </w:t>
      </w:r>
      <w:r w:rsidRPr="00A07561">
        <w:rPr>
          <w:rFonts w:hint="eastAsia"/>
          <w:sz w:val="24"/>
          <w:rtl/>
        </w:rPr>
        <w:t>בהן</w:t>
      </w:r>
      <w:r w:rsidRPr="00A07561">
        <w:rPr>
          <w:sz w:val="24"/>
          <w:rtl/>
        </w:rPr>
        <w:t xml:space="preserve"> </w:t>
      </w:r>
      <w:r w:rsidRPr="00A07561">
        <w:rPr>
          <w:rFonts w:hint="eastAsia"/>
          <w:sz w:val="24"/>
          <w:rtl/>
        </w:rPr>
        <w:t>התייחסות</w:t>
      </w:r>
      <w:r w:rsidRPr="00A07561">
        <w:rPr>
          <w:sz w:val="24"/>
          <w:rtl/>
        </w:rPr>
        <w:t xml:space="preserve"> </w:t>
      </w:r>
      <w:r w:rsidRPr="00A07561">
        <w:rPr>
          <w:rFonts w:hint="eastAsia"/>
          <w:sz w:val="24"/>
          <w:rtl/>
        </w:rPr>
        <w:t>לאופן</w:t>
      </w:r>
      <w:r w:rsidRPr="00A07561">
        <w:rPr>
          <w:sz w:val="24"/>
          <w:rtl/>
        </w:rPr>
        <w:t xml:space="preserve"> </w:t>
      </w:r>
      <w:r w:rsidRPr="00A07561">
        <w:rPr>
          <w:rFonts w:hint="eastAsia"/>
          <w:sz w:val="24"/>
          <w:rtl/>
        </w:rPr>
        <w:t>ביצוע</w:t>
      </w:r>
      <w:r w:rsidRPr="00A07561">
        <w:rPr>
          <w:sz w:val="24"/>
          <w:rtl/>
        </w:rPr>
        <w:t xml:space="preserve"> </w:t>
      </w:r>
      <w:r w:rsidRPr="00A07561">
        <w:rPr>
          <w:rFonts w:hint="eastAsia"/>
          <w:sz w:val="24"/>
          <w:rtl/>
        </w:rPr>
        <w:t>עבודת</w:t>
      </w:r>
      <w:r w:rsidRPr="00A07561">
        <w:rPr>
          <w:sz w:val="24"/>
          <w:rtl/>
        </w:rPr>
        <w:t xml:space="preserve"> </w:t>
      </w:r>
      <w:r w:rsidRPr="00A07561">
        <w:rPr>
          <w:rFonts w:hint="eastAsia"/>
          <w:sz w:val="24"/>
          <w:rtl/>
        </w:rPr>
        <w:t>הביקורת</w:t>
      </w:r>
      <w:r w:rsidRPr="00A07561">
        <w:rPr>
          <w:sz w:val="24"/>
          <w:rtl/>
        </w:rPr>
        <w:t xml:space="preserve"> </w:t>
      </w:r>
      <w:r w:rsidRPr="00A07561">
        <w:rPr>
          <w:rFonts w:hint="eastAsia"/>
          <w:sz w:val="24"/>
          <w:rtl/>
        </w:rPr>
        <w:t>ודרישה</w:t>
      </w:r>
      <w:r w:rsidRPr="00A07561">
        <w:rPr>
          <w:sz w:val="24"/>
          <w:rtl/>
        </w:rPr>
        <w:t xml:space="preserve"> </w:t>
      </w:r>
      <w:r w:rsidRPr="00A07561">
        <w:rPr>
          <w:rFonts w:hint="eastAsia"/>
          <w:sz w:val="24"/>
          <w:rtl/>
        </w:rPr>
        <w:t>לדיווח</w:t>
      </w:r>
      <w:r w:rsidRPr="00A07561">
        <w:rPr>
          <w:sz w:val="24"/>
          <w:rtl/>
        </w:rPr>
        <w:t xml:space="preserve"> </w:t>
      </w:r>
      <w:r w:rsidRPr="00A07561">
        <w:rPr>
          <w:rFonts w:hint="eastAsia"/>
          <w:sz w:val="24"/>
          <w:rtl/>
        </w:rPr>
        <w:t>על</w:t>
      </w:r>
      <w:r w:rsidRPr="00A07561">
        <w:rPr>
          <w:sz w:val="24"/>
          <w:rtl/>
        </w:rPr>
        <w:t xml:space="preserve"> </w:t>
      </w:r>
      <w:r w:rsidRPr="00A07561">
        <w:rPr>
          <w:rFonts w:hint="eastAsia"/>
          <w:sz w:val="24"/>
          <w:rtl/>
        </w:rPr>
        <w:t>אפקטיביות</w:t>
      </w:r>
      <w:r w:rsidRPr="00A07561">
        <w:rPr>
          <w:sz w:val="24"/>
          <w:rtl/>
        </w:rPr>
        <w:t xml:space="preserve"> </w:t>
      </w:r>
      <w:r w:rsidRPr="00A07561">
        <w:rPr>
          <w:rFonts w:hint="eastAsia"/>
          <w:sz w:val="24"/>
          <w:rtl/>
        </w:rPr>
        <w:t>הבקרה</w:t>
      </w:r>
      <w:r w:rsidRPr="00A07561">
        <w:rPr>
          <w:sz w:val="24"/>
          <w:rtl/>
        </w:rPr>
        <w:t xml:space="preserve"> </w:t>
      </w:r>
      <w:r w:rsidRPr="00A07561">
        <w:rPr>
          <w:rFonts w:hint="eastAsia"/>
          <w:sz w:val="24"/>
          <w:rtl/>
        </w:rPr>
        <w:t>הפנימית</w:t>
      </w:r>
      <w:r w:rsidRPr="00A07561">
        <w:rPr>
          <w:sz w:val="24"/>
          <w:rtl/>
        </w:rPr>
        <w:t>.</w:t>
      </w:r>
    </w:p>
    <w:p w:rsidR="003D3BEF" w:rsidRPr="00F53988" w:rsidP="003D3BEF" w14:paraId="357D3DF3" w14:textId="77777777">
      <w:pPr>
        <w:pStyle w:val="a"/>
        <w:spacing w:line="269" w:lineRule="auto"/>
        <w:rPr>
          <w:rtl/>
        </w:rPr>
      </w:pPr>
    </w:p>
    <w:p w:rsidR="003D3BEF" w:rsidP="003D3BEF" w14:paraId="20BE58AA" w14:textId="77777777">
      <w:pPr>
        <w:spacing w:line="269" w:lineRule="auto"/>
        <w:ind w:left="-1"/>
        <w:rPr>
          <w:rtl/>
        </w:rPr>
      </w:pPr>
      <w:r>
        <w:rPr>
          <w:rFonts w:hint="cs"/>
          <w:sz w:val="24"/>
          <w:rtl/>
        </w:rPr>
        <w:t xml:space="preserve">יתרה מזאת, לא נעשה תהליך בקרה של רשות המים על אפקטיביות הבקרה הפנימית בתאגידים. הממונה על התאגידים מתקשר מדי שנה עם משרדי רואי חשבון חיצוניים לצורך עריכת ביקורות במספר בודד של תאגידים; אולם הביקורות בודקות את </w:t>
      </w:r>
      <w:r w:rsidRPr="00B70DE1">
        <w:rPr>
          <w:rFonts w:hint="cs"/>
          <w:sz w:val="24"/>
          <w:rtl/>
        </w:rPr>
        <w:t xml:space="preserve">התנהלותו הכללית של התאגיד </w:t>
      </w:r>
      <w:r>
        <w:rPr>
          <w:rFonts w:hint="cs"/>
          <w:sz w:val="24"/>
          <w:rtl/>
        </w:rPr>
        <w:t>ואינן בוחנות לעומק את אפקטיביות הבקרה הפנימית.</w:t>
      </w:r>
      <w:r>
        <w:rPr>
          <w:rFonts w:hint="cs"/>
          <w:rtl/>
        </w:rPr>
        <w:t xml:space="preserve"> </w:t>
      </w:r>
      <w:r w:rsidRPr="001F547F">
        <w:rPr>
          <w:rtl/>
        </w:rPr>
        <w:t>כך,</w:t>
      </w:r>
      <w:r>
        <w:rPr>
          <w:rtl/>
        </w:rPr>
        <w:t xml:space="preserve"> </w:t>
      </w:r>
      <w:r w:rsidRPr="001F547F">
        <w:rPr>
          <w:rtl/>
        </w:rPr>
        <w:t xml:space="preserve">בהתאם </w:t>
      </w:r>
      <w:r>
        <w:rPr>
          <w:rFonts w:hint="cs"/>
          <w:rtl/>
        </w:rPr>
        <w:t>ל</w:t>
      </w:r>
      <w:r w:rsidRPr="001F547F">
        <w:rPr>
          <w:rtl/>
        </w:rPr>
        <w:t>דוח</w:t>
      </w:r>
      <w:r>
        <w:rPr>
          <w:rFonts w:hint="cs"/>
          <w:rtl/>
        </w:rPr>
        <w:t>ות</w:t>
      </w:r>
      <w:r w:rsidRPr="001F547F">
        <w:rPr>
          <w:rtl/>
        </w:rPr>
        <w:t xml:space="preserve"> שנתי</w:t>
      </w:r>
      <w:r>
        <w:rPr>
          <w:rFonts w:hint="cs"/>
          <w:rtl/>
        </w:rPr>
        <w:t>ים</w:t>
      </w:r>
      <w:r w:rsidRPr="001F547F">
        <w:rPr>
          <w:rtl/>
        </w:rPr>
        <w:t xml:space="preserve"> שפרסמה הרשות לשנ</w:t>
      </w:r>
      <w:r>
        <w:rPr>
          <w:rFonts w:hint="cs"/>
          <w:rtl/>
        </w:rPr>
        <w:t>ים</w:t>
      </w:r>
      <w:r w:rsidRPr="001F547F">
        <w:rPr>
          <w:rtl/>
        </w:rPr>
        <w:t xml:space="preserve"> 2017 ו</w:t>
      </w:r>
      <w:r>
        <w:rPr>
          <w:rFonts w:hint="cs"/>
          <w:rtl/>
        </w:rPr>
        <w:t>-</w:t>
      </w:r>
      <w:r w:rsidRPr="001F547F">
        <w:rPr>
          <w:rtl/>
        </w:rPr>
        <w:t>2018, בשנת 2017 הרשות ערכה ביקורות ב</w:t>
      </w:r>
      <w:r>
        <w:rPr>
          <w:rFonts w:hint="cs"/>
          <w:rtl/>
        </w:rPr>
        <w:t>שישה</w:t>
      </w:r>
      <w:r w:rsidRPr="001F547F">
        <w:rPr>
          <w:rtl/>
        </w:rPr>
        <w:t xml:space="preserve"> תאגידים ובשנת 2018 </w:t>
      </w:r>
      <w:r>
        <w:rPr>
          <w:rFonts w:hint="cs"/>
          <w:rtl/>
        </w:rPr>
        <w:t xml:space="preserve">בשבעה </w:t>
      </w:r>
      <w:r w:rsidRPr="001F547F">
        <w:rPr>
          <w:rtl/>
        </w:rPr>
        <w:t xml:space="preserve">תאגידים. הביקורת </w:t>
      </w:r>
      <w:r>
        <w:rPr>
          <w:rFonts w:hint="cs"/>
          <w:rtl/>
        </w:rPr>
        <w:t>הוגדרה</w:t>
      </w:r>
      <w:r w:rsidRPr="001F547F">
        <w:rPr>
          <w:rtl/>
        </w:rPr>
        <w:t xml:space="preserve"> כביקורת כללית ו</w:t>
      </w:r>
      <w:r>
        <w:rPr>
          <w:rFonts w:hint="cs"/>
          <w:rtl/>
        </w:rPr>
        <w:t>התמקדה</w:t>
      </w:r>
      <w:r w:rsidRPr="001F547F">
        <w:rPr>
          <w:rtl/>
        </w:rPr>
        <w:t xml:space="preserve"> בנושאים שהרשות הנחתה את צוות הביקורת. כך, הנושאים שנבדקו ב</w:t>
      </w:r>
      <w:r>
        <w:rPr>
          <w:rFonts w:hint="cs"/>
          <w:rtl/>
        </w:rPr>
        <w:t xml:space="preserve">תאגיד </w:t>
      </w:r>
      <w:r w:rsidRPr="001F547F">
        <w:rPr>
          <w:rtl/>
        </w:rPr>
        <w:t>מי ברק לשנים 2015-2014 ו</w:t>
      </w:r>
      <w:r>
        <w:rPr>
          <w:rFonts w:hint="cs"/>
          <w:rtl/>
        </w:rPr>
        <w:t xml:space="preserve">בתאגיד </w:t>
      </w:r>
      <w:r w:rsidRPr="001F547F">
        <w:rPr>
          <w:rtl/>
        </w:rPr>
        <w:t>נווה מדבר בשנת 2018 הם: התנהלות התאגיד מול בעלי עניין, העסקת קרובי משפחה בתאגיד, התנהלות הדירקטוריון בהיבט של קוורום, מס</w:t>
      </w:r>
      <w:r>
        <w:rPr>
          <w:rFonts w:hint="cs"/>
          <w:rtl/>
        </w:rPr>
        <w:t>פר</w:t>
      </w:r>
      <w:r w:rsidRPr="001F547F">
        <w:rPr>
          <w:rtl/>
        </w:rPr>
        <w:t xml:space="preserve"> ישיבות ותגמול, קיום הסכם העסקה עם מבקר הפנים, מספר דוחות הביקורת שהוציא </w:t>
      </w:r>
      <w:r>
        <w:rPr>
          <w:rFonts w:hint="cs"/>
          <w:rtl/>
        </w:rPr>
        <w:t xml:space="preserve">המבקר הפנימי </w:t>
      </w:r>
      <w:r w:rsidRPr="001F547F">
        <w:rPr>
          <w:rtl/>
        </w:rPr>
        <w:t xml:space="preserve">וקיום דיון </w:t>
      </w:r>
      <w:r>
        <w:rPr>
          <w:rFonts w:hint="cs"/>
          <w:rtl/>
        </w:rPr>
        <w:t xml:space="preserve">על הליקויים שהועלו </w:t>
      </w:r>
      <w:r w:rsidRPr="001F547F">
        <w:rPr>
          <w:rtl/>
        </w:rPr>
        <w:t>ומעקב אחר תיקו</w:t>
      </w:r>
      <w:r>
        <w:rPr>
          <w:rFonts w:hint="cs"/>
          <w:rtl/>
        </w:rPr>
        <w:t>נם</w:t>
      </w:r>
      <w:r w:rsidRPr="001F547F">
        <w:rPr>
          <w:rtl/>
        </w:rPr>
        <w:t>, התקשרויות עם יועצים חיצוניים ובדיקות הנדסיות.</w:t>
      </w:r>
    </w:p>
    <w:p w:rsidR="003D3BEF" w:rsidP="003D3BEF" w14:paraId="415C2CE0" w14:textId="77777777">
      <w:pPr>
        <w:pStyle w:val="a"/>
        <w:spacing w:line="269" w:lineRule="auto"/>
        <w:rPr>
          <w:rtl/>
        </w:rPr>
      </w:pPr>
    </w:p>
    <w:p w:rsidR="003D3BEF" w:rsidP="003D3BEF" w14:paraId="08327348" w14:textId="77777777">
      <w:pPr>
        <w:pStyle w:val="Heading4"/>
        <w:spacing w:before="0" w:line="269" w:lineRule="auto"/>
        <w:rPr>
          <w:rtl/>
        </w:rPr>
      </w:pPr>
      <w:r w:rsidRPr="001C2270">
        <w:rPr>
          <w:rFonts w:hint="cs"/>
          <w:rtl/>
        </w:rPr>
        <w:t>צירוף הצהרות מנהלים בדבר אחריותם לנכונות הדוחות הכספיים ושלמותם</w:t>
      </w:r>
    </w:p>
    <w:p w:rsidR="003D3BEF" w:rsidP="003D3BEF" w14:paraId="127D45D5" w14:textId="77777777">
      <w:pPr>
        <w:pStyle w:val="a"/>
        <w:rPr>
          <w:rtl/>
        </w:rPr>
      </w:pPr>
    </w:p>
    <w:p w:rsidR="003D3BEF" w:rsidP="003D3BEF" w14:paraId="6AECCA74" w14:textId="77777777">
      <w:pPr>
        <w:spacing w:line="269" w:lineRule="auto"/>
        <w:ind w:left="-1"/>
        <w:rPr>
          <w:rtl/>
        </w:rPr>
      </w:pPr>
      <w:r>
        <w:rPr>
          <w:rFonts w:hint="cs"/>
          <w:rtl/>
        </w:rPr>
        <w:t xml:space="preserve">בהצהרת מנהלים המצורפת לדוחות הכספיים נדרשים המנהלים בין היתר להצהיר כי </w:t>
      </w:r>
      <w:r w:rsidRPr="00386266">
        <w:rPr>
          <w:rFonts w:hint="cs"/>
          <w:rtl/>
        </w:rPr>
        <w:t>בהתאם לידיעת</w:t>
      </w:r>
      <w:r>
        <w:rPr>
          <w:rFonts w:hint="cs"/>
          <w:rtl/>
        </w:rPr>
        <w:t>ם</w:t>
      </w:r>
      <w:r w:rsidRPr="00386266">
        <w:rPr>
          <w:rFonts w:hint="cs"/>
          <w:rtl/>
        </w:rPr>
        <w:t xml:space="preserve"> ולאחר שבח</w:t>
      </w:r>
      <w:r>
        <w:rPr>
          <w:rFonts w:hint="cs"/>
          <w:rtl/>
        </w:rPr>
        <w:t>נו</w:t>
      </w:r>
      <w:r w:rsidRPr="00386266">
        <w:rPr>
          <w:rFonts w:hint="cs"/>
          <w:rtl/>
        </w:rPr>
        <w:t xml:space="preserve"> את הדוחות, הדוחות אינם כוללים מצג לא נכון של עובדה מהותית והם משקפים באופן נאות את המצב הכספי;</w:t>
      </w:r>
      <w:r w:rsidRPr="00386266">
        <w:rPr>
          <w:rFonts w:hint="cs"/>
        </w:rPr>
        <w:t xml:space="preserve"> </w:t>
      </w:r>
      <w:r>
        <w:rPr>
          <w:rFonts w:hint="cs"/>
          <w:rtl/>
        </w:rPr>
        <w:t>כי הם</w:t>
      </w:r>
      <w:r w:rsidRPr="00386266">
        <w:rPr>
          <w:rFonts w:hint="cs"/>
          <w:rtl/>
        </w:rPr>
        <w:t xml:space="preserve"> אחראי</w:t>
      </w:r>
      <w:r>
        <w:rPr>
          <w:rFonts w:hint="cs"/>
          <w:rtl/>
        </w:rPr>
        <w:t>ם</w:t>
      </w:r>
      <w:r w:rsidRPr="00386266">
        <w:rPr>
          <w:rFonts w:hint="cs"/>
          <w:rtl/>
        </w:rPr>
        <w:t xml:space="preserve"> לקביעתם ולהתקיימותם בחברה של בקרות ונהלים</w:t>
      </w:r>
      <w:r>
        <w:rPr>
          <w:rFonts w:hint="cs"/>
          <w:rtl/>
        </w:rPr>
        <w:t xml:space="preserve"> לצורך גילוי הנדרש בדוחות וכי הם קבעו או גרמו לקביעת </w:t>
      </w:r>
      <w:r w:rsidRPr="00386266">
        <w:rPr>
          <w:rFonts w:hint="cs"/>
          <w:rtl/>
        </w:rPr>
        <w:t>בקרות ונהלים להבטיח שמידע מהותי המתייחס לחברה, מובא לידיעת</w:t>
      </w:r>
      <w:r>
        <w:rPr>
          <w:rFonts w:hint="cs"/>
          <w:rtl/>
        </w:rPr>
        <w:t>ם</w:t>
      </w:r>
      <w:r w:rsidRPr="00386266">
        <w:rPr>
          <w:rFonts w:hint="cs"/>
          <w:rtl/>
        </w:rPr>
        <w:t xml:space="preserve">; </w:t>
      </w:r>
      <w:r>
        <w:rPr>
          <w:rFonts w:hint="cs"/>
          <w:rtl/>
        </w:rPr>
        <w:t>וכי הם גילו לרו"ח ולדירקטוריון את כל הליקויים והחולשות המהותיות</w:t>
      </w:r>
      <w:r>
        <w:rPr>
          <w:rStyle w:val="FootnoteReference"/>
          <w:rtl/>
        </w:rPr>
        <w:footnoteReference w:id="117"/>
      </w:r>
      <w:r>
        <w:rPr>
          <w:rFonts w:hint="cs"/>
          <w:rtl/>
        </w:rPr>
        <w:t>.</w:t>
      </w:r>
    </w:p>
    <w:p w:rsidR="003D3BEF" w:rsidP="003D3BEF" w14:paraId="191FA853" w14:textId="77777777">
      <w:pPr>
        <w:pStyle w:val="a"/>
        <w:spacing w:line="269" w:lineRule="auto"/>
        <w:rPr>
          <w:rtl/>
        </w:rPr>
      </w:pPr>
    </w:p>
    <w:p w:rsidR="003D3BEF" w:rsidP="003D3BEF" w14:paraId="6E892615" w14:textId="77777777">
      <w:pPr>
        <w:spacing w:line="269" w:lineRule="auto"/>
        <w:ind w:left="-1"/>
        <w:rPr>
          <w:rtl/>
        </w:rPr>
      </w:pPr>
      <w:r w:rsidRPr="00386266">
        <w:rPr>
          <w:rFonts w:hint="cs"/>
          <w:rtl/>
        </w:rPr>
        <w:t>מטרתה של הצהר</w:t>
      </w:r>
      <w:r>
        <w:rPr>
          <w:rFonts w:hint="cs"/>
          <w:rtl/>
        </w:rPr>
        <w:t xml:space="preserve">ת מנהלים היא להרחיב </w:t>
      </w:r>
      <w:r w:rsidRPr="00386266">
        <w:rPr>
          <w:rFonts w:hint="cs"/>
          <w:rtl/>
        </w:rPr>
        <w:t xml:space="preserve">את </w:t>
      </w:r>
      <w:r>
        <w:rPr>
          <w:rFonts w:hint="cs"/>
          <w:rtl/>
        </w:rPr>
        <w:t xml:space="preserve">אחריותם של </w:t>
      </w:r>
      <w:r w:rsidRPr="00386266">
        <w:rPr>
          <w:rFonts w:hint="cs"/>
          <w:rtl/>
        </w:rPr>
        <w:t xml:space="preserve">המנהלים </w:t>
      </w:r>
      <w:r>
        <w:rPr>
          <w:rFonts w:hint="cs"/>
          <w:rtl/>
        </w:rPr>
        <w:t>ל</w:t>
      </w:r>
      <w:r w:rsidRPr="00386266">
        <w:rPr>
          <w:rFonts w:hint="cs"/>
          <w:rtl/>
        </w:rPr>
        <w:t xml:space="preserve">נושא </w:t>
      </w:r>
      <w:r>
        <w:rPr>
          <w:rFonts w:hint="cs"/>
          <w:rtl/>
        </w:rPr>
        <w:t xml:space="preserve">הדיווח הכספי ומעורבותם בו, וכן </w:t>
      </w:r>
      <w:r w:rsidRPr="00386266">
        <w:rPr>
          <w:rFonts w:hint="cs"/>
          <w:rtl/>
        </w:rPr>
        <w:t xml:space="preserve">לחזק את מערכות הבקרה </w:t>
      </w:r>
      <w:r>
        <w:rPr>
          <w:rFonts w:hint="cs"/>
          <w:rtl/>
        </w:rPr>
        <w:t>הפנימיות</w:t>
      </w:r>
      <w:r w:rsidRPr="00386266">
        <w:rPr>
          <w:rFonts w:hint="cs"/>
          <w:rtl/>
        </w:rPr>
        <w:t xml:space="preserve"> ולהגביר את </w:t>
      </w:r>
      <w:r>
        <w:rPr>
          <w:rFonts w:hint="cs"/>
          <w:rtl/>
        </w:rPr>
        <w:t>אמינות הדוחות. רשות החברות ציינה בדוח השנתי לשנת 2017</w:t>
      </w:r>
      <w:r>
        <w:rPr>
          <w:rStyle w:val="FootnoteReference"/>
          <w:rtl/>
        </w:rPr>
        <w:footnoteReference w:id="118"/>
      </w:r>
      <w:r>
        <w:rPr>
          <w:rFonts w:hint="cs"/>
          <w:rtl/>
        </w:rPr>
        <w:t xml:space="preserve"> כי מהניסיון שהצטבר עולה שבעקבות יישום חובת הצהרת המנהלים חל שינוי חיובי בחברות רבות בנוגע לדפוסי ההתנהגות של מנהלים ושל עובדים הכפופים להם. בין היתר, הדבר בא לידי ביטוי בהתייעצות עם מומחים לגבי יישום הנהלים וביצוע התהליכים והבקרות הדרושים לצורך ההצהרה; שינויים חיוביים בדפוסי התנהגות של נושאי משרה המטילים על בעלי תפקידים רלוונטיים אחרים בדיקות נאותות; ולקיחת אחריות לגילוי הנוגע לעניינים שבתחום אחריותם.</w:t>
      </w:r>
    </w:p>
    <w:p w:rsidR="003D3BEF" w:rsidP="003D3BEF" w14:paraId="1E86DABC" w14:textId="77777777">
      <w:pPr>
        <w:pStyle w:val="a"/>
        <w:spacing w:line="269" w:lineRule="auto"/>
        <w:rPr>
          <w:rtl/>
        </w:rPr>
      </w:pPr>
    </w:p>
    <w:p w:rsidR="003D3BEF" w:rsidP="003D3BEF" w14:paraId="36820F60" w14:textId="77777777">
      <w:pPr>
        <w:spacing w:line="269" w:lineRule="auto"/>
        <w:ind w:left="-1"/>
        <w:rPr>
          <w:rtl/>
        </w:rPr>
      </w:pPr>
      <w:r w:rsidRPr="00C862EE">
        <w:rPr>
          <w:rStyle w:val="5"/>
          <w:rFonts w:hint="eastAsia"/>
          <w:rtl/>
        </w:rPr>
        <w:t>רשויות</w:t>
      </w:r>
      <w:r w:rsidRPr="00C862EE">
        <w:rPr>
          <w:rStyle w:val="5"/>
          <w:rtl/>
        </w:rPr>
        <w:t xml:space="preserve"> </w:t>
      </w:r>
      <w:r w:rsidRPr="00C862EE">
        <w:rPr>
          <w:rStyle w:val="5"/>
          <w:rFonts w:hint="eastAsia"/>
          <w:rtl/>
        </w:rPr>
        <w:t>מקומיות</w:t>
      </w:r>
      <w:r w:rsidRPr="00C862EE">
        <w:rPr>
          <w:rStyle w:val="5"/>
          <w:rtl/>
        </w:rPr>
        <w:t>:</w:t>
      </w:r>
      <w:r w:rsidRPr="00F7297B">
        <w:rPr>
          <w:rFonts w:hint="cs"/>
          <w:rtl/>
        </w:rPr>
        <w:t xml:space="preserve"> </w:t>
      </w:r>
      <w:r>
        <w:rPr>
          <w:rFonts w:hint="cs"/>
          <w:rtl/>
        </w:rPr>
        <w:t>נקבע נוסח של הצהרת מנהלים מוסכם ומקובל על משרד הפנים, על מש"ם, על איגוד הגזברים ועל לשכת רואי החשבון בישראל, הממוענת לרואה החשבון המבקר, ובין היתר מצוין בה כי ידוע להנהלה שהאחריות הראשונית לנכונות הדוחות הכספיים ושלמותם חלה עליה, וכי היא העמידה לרשות רואה החשבון המבקר את רשומות החשבון והמסמכים המתייחסים אליהם, את הפרוטוקולים ואת דוחות מבקר העיריה</w:t>
      </w:r>
      <w:r>
        <w:rPr>
          <w:rStyle w:val="FootnoteReference"/>
          <w:rtl/>
        </w:rPr>
        <w:footnoteReference w:id="119"/>
      </w:r>
      <w:r>
        <w:rPr>
          <w:rFonts w:hint="cs"/>
          <w:rtl/>
        </w:rPr>
        <w:t>.</w:t>
      </w:r>
    </w:p>
    <w:p w:rsidR="003D3BEF" w:rsidP="003D3BEF" w14:paraId="3694AEBE" w14:textId="77777777">
      <w:pPr>
        <w:pStyle w:val="a"/>
        <w:spacing w:line="269" w:lineRule="auto"/>
        <w:rPr>
          <w:rtl/>
        </w:rPr>
      </w:pPr>
    </w:p>
    <w:p w:rsidR="003D3BEF" w:rsidP="003D3BEF" w14:paraId="010072D6" w14:textId="77777777">
      <w:pPr>
        <w:spacing w:line="269" w:lineRule="auto"/>
        <w:ind w:left="-1"/>
        <w:rPr>
          <w:u w:val="single"/>
          <w:rtl/>
        </w:rPr>
      </w:pPr>
      <w:r w:rsidRPr="00C862EE">
        <w:rPr>
          <w:rStyle w:val="5"/>
          <w:rFonts w:hint="eastAsia"/>
          <w:rtl/>
        </w:rPr>
        <w:t>חברות</w:t>
      </w:r>
      <w:r w:rsidRPr="00C862EE">
        <w:rPr>
          <w:rStyle w:val="5"/>
          <w:rtl/>
        </w:rPr>
        <w:t xml:space="preserve"> </w:t>
      </w:r>
      <w:r w:rsidRPr="00C862EE">
        <w:rPr>
          <w:rStyle w:val="5"/>
          <w:rFonts w:hint="eastAsia"/>
          <w:rtl/>
        </w:rPr>
        <w:t>ממשלתיות</w:t>
      </w:r>
      <w:r w:rsidRPr="00C862EE">
        <w:rPr>
          <w:rStyle w:val="5"/>
          <w:rtl/>
        </w:rPr>
        <w:t>:</w:t>
      </w:r>
      <w:r w:rsidRPr="00F7297B">
        <w:rPr>
          <w:rFonts w:hint="cs"/>
          <w:rtl/>
        </w:rPr>
        <w:t xml:space="preserve"> </w:t>
      </w:r>
      <w:r w:rsidRPr="00D019BF">
        <w:rPr>
          <w:rFonts w:hint="cs"/>
          <w:rtl/>
        </w:rPr>
        <w:t>קיימת חובה</w:t>
      </w:r>
      <w:r>
        <w:rPr>
          <w:rFonts w:hint="cs"/>
          <w:rtl/>
        </w:rPr>
        <w:t xml:space="preserve"> לצרף הצהרת מנהלים בנוסח הקבוע</w:t>
      </w:r>
      <w:r w:rsidRPr="00E44CEC">
        <w:rPr>
          <w:rtl/>
        </w:rPr>
        <w:t xml:space="preserve"> בתקנות</w:t>
      </w:r>
      <w:r>
        <w:rPr>
          <w:sz w:val="24"/>
        </w:rPr>
        <w:t>.</w:t>
      </w:r>
      <w:r>
        <w:rPr>
          <w:rStyle w:val="FootnoteReference"/>
          <w:sz w:val="24"/>
        </w:rPr>
        <w:footnoteReference w:id="120"/>
      </w:r>
    </w:p>
    <w:p w:rsidR="003D3BEF" w:rsidP="003D3BEF" w14:paraId="09423DFC" w14:textId="77777777">
      <w:pPr>
        <w:pStyle w:val="a"/>
        <w:spacing w:line="269" w:lineRule="auto"/>
        <w:rPr>
          <w:rtl/>
        </w:rPr>
      </w:pPr>
    </w:p>
    <w:p w:rsidR="003D3BEF" w:rsidP="003D3BEF" w14:paraId="4D508F8A" w14:textId="77777777">
      <w:pPr>
        <w:spacing w:line="269" w:lineRule="auto"/>
        <w:rPr>
          <w:sz w:val="24"/>
          <w:rtl/>
        </w:rPr>
      </w:pPr>
      <w:r w:rsidRPr="00C862EE">
        <w:rPr>
          <w:rStyle w:val="5"/>
          <w:rFonts w:hint="eastAsia"/>
          <w:rtl/>
        </w:rPr>
        <w:t>תאגידי</w:t>
      </w:r>
      <w:r w:rsidRPr="00C862EE">
        <w:rPr>
          <w:rStyle w:val="5"/>
          <w:rtl/>
        </w:rPr>
        <w:t xml:space="preserve"> </w:t>
      </w:r>
      <w:r w:rsidRPr="00C862EE">
        <w:rPr>
          <w:rStyle w:val="5"/>
          <w:rFonts w:hint="eastAsia"/>
          <w:rtl/>
        </w:rPr>
        <w:t>מים</w:t>
      </w:r>
      <w:r w:rsidRPr="00C862EE">
        <w:rPr>
          <w:rStyle w:val="5"/>
          <w:rtl/>
        </w:rPr>
        <w:t xml:space="preserve"> </w:t>
      </w:r>
      <w:r w:rsidRPr="00C862EE">
        <w:rPr>
          <w:rStyle w:val="5"/>
          <w:rFonts w:hint="eastAsia"/>
          <w:rtl/>
        </w:rPr>
        <w:t>וביוב</w:t>
      </w:r>
      <w:r w:rsidRPr="00C862EE">
        <w:rPr>
          <w:rStyle w:val="5"/>
          <w:rtl/>
        </w:rPr>
        <w:t>:</w:t>
      </w:r>
      <w:r>
        <w:rPr>
          <w:rFonts w:hint="cs"/>
          <w:sz w:val="24"/>
          <w:rtl/>
        </w:rPr>
        <w:t xml:space="preserve"> </w:t>
      </w:r>
      <w:r w:rsidRPr="00BE289E">
        <w:rPr>
          <w:rFonts w:hint="cs"/>
          <w:sz w:val="24"/>
          <w:rtl/>
        </w:rPr>
        <w:t>קיימת חובה</w:t>
      </w:r>
      <w:r>
        <w:rPr>
          <w:rFonts w:hint="cs"/>
          <w:sz w:val="24"/>
          <w:rtl/>
        </w:rPr>
        <w:t xml:space="preserve"> לצירוף הצהרת מנהלים</w:t>
      </w:r>
      <w:r>
        <w:rPr>
          <w:rStyle w:val="FootnoteReference"/>
          <w:sz w:val="24"/>
          <w:rtl/>
        </w:rPr>
        <w:footnoteReference w:id="121"/>
      </w:r>
      <w:r>
        <w:rPr>
          <w:rFonts w:hint="cs"/>
          <w:sz w:val="24"/>
          <w:rtl/>
        </w:rPr>
        <w:t>.</w:t>
      </w:r>
    </w:p>
    <w:p w:rsidR="003D3BEF" w:rsidP="003D3BEF" w14:paraId="269F7FCE" w14:textId="77777777">
      <w:pPr>
        <w:pStyle w:val="a"/>
        <w:spacing w:line="269" w:lineRule="auto"/>
        <w:rPr>
          <w:rtl/>
        </w:rPr>
      </w:pPr>
    </w:p>
    <w:p w:rsidR="003D3BEF" w:rsidRPr="00A62859" w:rsidP="003D3BEF" w14:paraId="4FF6DBC0" w14:textId="77777777">
      <w:pPr>
        <w:spacing w:line="269" w:lineRule="auto"/>
        <w:rPr>
          <w:b/>
          <w:bCs/>
          <w:sz w:val="24"/>
          <w:rtl/>
        </w:rPr>
      </w:pPr>
      <w:r>
        <w:rPr>
          <w:rFonts w:hint="cs"/>
          <w:b/>
          <w:bCs/>
          <w:sz w:val="24"/>
          <w:rtl/>
        </w:rPr>
        <w:t xml:space="preserve">אולם, </w:t>
      </w:r>
      <w:r w:rsidRPr="00A62859">
        <w:rPr>
          <w:rFonts w:hint="eastAsia"/>
          <w:b/>
          <w:bCs/>
          <w:sz w:val="24"/>
          <w:rtl/>
        </w:rPr>
        <w:t>נמצא</w:t>
      </w:r>
      <w:r w:rsidRPr="00A62859">
        <w:rPr>
          <w:b/>
          <w:bCs/>
          <w:sz w:val="24"/>
          <w:rtl/>
        </w:rPr>
        <w:t xml:space="preserve"> </w:t>
      </w:r>
      <w:r w:rsidRPr="00A62859">
        <w:rPr>
          <w:rFonts w:hint="eastAsia"/>
          <w:b/>
          <w:bCs/>
          <w:sz w:val="24"/>
          <w:rtl/>
        </w:rPr>
        <w:t>כי</w:t>
      </w:r>
      <w:r w:rsidRPr="00A62859">
        <w:rPr>
          <w:b/>
          <w:bCs/>
          <w:sz w:val="24"/>
          <w:rtl/>
        </w:rPr>
        <w:t xml:space="preserve"> </w:t>
      </w:r>
      <w:r w:rsidRPr="00A62859">
        <w:rPr>
          <w:rFonts w:hint="eastAsia"/>
          <w:b/>
          <w:bCs/>
          <w:sz w:val="24"/>
          <w:rtl/>
        </w:rPr>
        <w:t>בפועל</w:t>
      </w:r>
      <w:r w:rsidRPr="00A62859">
        <w:rPr>
          <w:b/>
          <w:bCs/>
          <w:sz w:val="24"/>
          <w:rtl/>
        </w:rPr>
        <w:t xml:space="preserve"> </w:t>
      </w:r>
      <w:r w:rsidRPr="00A62859">
        <w:rPr>
          <w:rFonts w:hint="eastAsia"/>
          <w:b/>
          <w:bCs/>
          <w:sz w:val="24"/>
          <w:rtl/>
        </w:rPr>
        <w:t>לא</w:t>
      </w:r>
      <w:r w:rsidRPr="00A62859">
        <w:rPr>
          <w:b/>
          <w:bCs/>
          <w:sz w:val="24"/>
          <w:rtl/>
        </w:rPr>
        <w:t xml:space="preserve"> </w:t>
      </w:r>
      <w:r w:rsidRPr="00A62859">
        <w:rPr>
          <w:rFonts w:hint="eastAsia"/>
          <w:b/>
          <w:bCs/>
          <w:sz w:val="24"/>
          <w:rtl/>
        </w:rPr>
        <w:t>צורפו</w:t>
      </w:r>
      <w:r w:rsidRPr="00A62859">
        <w:rPr>
          <w:b/>
          <w:bCs/>
          <w:sz w:val="24"/>
          <w:rtl/>
        </w:rPr>
        <w:t xml:space="preserve"> </w:t>
      </w:r>
      <w:r w:rsidRPr="00A62859">
        <w:rPr>
          <w:rFonts w:hint="eastAsia"/>
          <w:b/>
          <w:bCs/>
          <w:sz w:val="24"/>
          <w:rtl/>
        </w:rPr>
        <w:t>הצהרות</w:t>
      </w:r>
      <w:r w:rsidRPr="00A62859">
        <w:rPr>
          <w:b/>
          <w:bCs/>
          <w:sz w:val="24"/>
          <w:rtl/>
        </w:rPr>
        <w:t xml:space="preserve"> </w:t>
      </w:r>
      <w:r w:rsidRPr="00A62859">
        <w:rPr>
          <w:rFonts w:hint="eastAsia"/>
          <w:b/>
          <w:bCs/>
          <w:sz w:val="24"/>
          <w:rtl/>
        </w:rPr>
        <w:t>מנהלים</w:t>
      </w:r>
      <w:r w:rsidRPr="00A62859">
        <w:rPr>
          <w:b/>
          <w:bCs/>
          <w:sz w:val="24"/>
          <w:rtl/>
        </w:rPr>
        <w:t xml:space="preserve"> </w:t>
      </w:r>
      <w:r w:rsidRPr="00A62859">
        <w:rPr>
          <w:rFonts w:hint="eastAsia"/>
          <w:b/>
          <w:bCs/>
          <w:sz w:val="24"/>
          <w:rtl/>
        </w:rPr>
        <w:t>לדוחות</w:t>
      </w:r>
      <w:r w:rsidRPr="00A62859">
        <w:rPr>
          <w:b/>
          <w:bCs/>
          <w:sz w:val="24"/>
          <w:rtl/>
        </w:rPr>
        <w:t xml:space="preserve"> </w:t>
      </w:r>
      <w:r w:rsidRPr="00A62859">
        <w:rPr>
          <w:rFonts w:hint="eastAsia"/>
          <w:b/>
          <w:bCs/>
          <w:sz w:val="24"/>
          <w:rtl/>
        </w:rPr>
        <w:t>הכספיים</w:t>
      </w:r>
      <w:r w:rsidRPr="00A62859">
        <w:rPr>
          <w:b/>
          <w:bCs/>
          <w:sz w:val="24"/>
          <w:rtl/>
        </w:rPr>
        <w:t xml:space="preserve"> </w:t>
      </w:r>
      <w:r w:rsidRPr="00A62859">
        <w:rPr>
          <w:rFonts w:hint="eastAsia"/>
          <w:b/>
          <w:bCs/>
          <w:sz w:val="24"/>
          <w:rtl/>
        </w:rPr>
        <w:t>לשנת</w:t>
      </w:r>
      <w:r w:rsidRPr="00A62859">
        <w:rPr>
          <w:b/>
          <w:bCs/>
          <w:sz w:val="24"/>
          <w:rtl/>
        </w:rPr>
        <w:t xml:space="preserve"> 2018</w:t>
      </w:r>
      <w:r>
        <w:rPr>
          <w:rStyle w:val="FootnoteReference"/>
          <w:b/>
          <w:bCs/>
          <w:sz w:val="24"/>
          <w:rtl/>
        </w:rPr>
        <w:footnoteReference w:id="122"/>
      </w:r>
      <w:r w:rsidRPr="00A62859">
        <w:rPr>
          <w:b/>
          <w:bCs/>
          <w:sz w:val="24"/>
          <w:rtl/>
        </w:rPr>
        <w:t xml:space="preserve"> של כל התאגידים</w:t>
      </w:r>
      <w:r>
        <w:rPr>
          <w:rFonts w:hint="cs"/>
          <w:b/>
          <w:bCs/>
          <w:sz w:val="24"/>
          <w:rtl/>
        </w:rPr>
        <w:t xml:space="preserve"> שפורסמו באתר הרשות</w:t>
      </w:r>
      <w:r w:rsidRPr="00A62859">
        <w:rPr>
          <w:b/>
          <w:bCs/>
          <w:sz w:val="24"/>
          <w:rtl/>
        </w:rPr>
        <w:t xml:space="preserve">, למעט תאגיד אחד. </w:t>
      </w:r>
      <w:r w:rsidRPr="00A62859">
        <w:rPr>
          <w:rFonts w:hint="eastAsia"/>
          <w:b/>
          <w:bCs/>
          <w:sz w:val="24"/>
          <w:rtl/>
        </w:rPr>
        <w:t>מסקירת</w:t>
      </w:r>
      <w:r w:rsidRPr="00A62859">
        <w:rPr>
          <w:b/>
          <w:bCs/>
          <w:sz w:val="24"/>
          <w:rtl/>
        </w:rPr>
        <w:t xml:space="preserve"> הצהרת המנהלים שצירף התאגיד האחד עולה כי </w:t>
      </w:r>
      <w:r w:rsidRPr="00A62859">
        <w:rPr>
          <w:rFonts w:hint="eastAsia"/>
          <w:b/>
          <w:bCs/>
          <w:sz w:val="24"/>
          <w:rtl/>
        </w:rPr>
        <w:t>אין</w:t>
      </w:r>
      <w:r w:rsidRPr="00A62859">
        <w:rPr>
          <w:b/>
          <w:bCs/>
          <w:sz w:val="24"/>
          <w:rtl/>
        </w:rPr>
        <w:t xml:space="preserve"> בה הצהרת מנהל </w:t>
      </w:r>
      <w:r w:rsidRPr="00A62859">
        <w:rPr>
          <w:rFonts w:hint="eastAsia"/>
          <w:b/>
          <w:bCs/>
          <w:sz w:val="24"/>
          <w:rtl/>
        </w:rPr>
        <w:t>בדבר</w:t>
      </w:r>
      <w:r w:rsidRPr="00A62859">
        <w:rPr>
          <w:b/>
          <w:bCs/>
          <w:sz w:val="24"/>
          <w:rtl/>
        </w:rPr>
        <w:t xml:space="preserve"> אחריותו לקביעתם ולהתקיימותם </w:t>
      </w:r>
      <w:r w:rsidRPr="00A62859">
        <w:rPr>
          <w:rFonts w:hint="eastAsia"/>
          <w:b/>
          <w:bCs/>
          <w:sz w:val="24"/>
          <w:rtl/>
        </w:rPr>
        <w:t>בתאגיד</w:t>
      </w:r>
      <w:r w:rsidRPr="00A62859">
        <w:rPr>
          <w:b/>
          <w:bCs/>
          <w:sz w:val="24"/>
          <w:rtl/>
        </w:rPr>
        <w:t xml:space="preserve"> </w:t>
      </w:r>
      <w:r w:rsidRPr="00A62859">
        <w:rPr>
          <w:rFonts w:hint="eastAsia"/>
          <w:b/>
          <w:bCs/>
          <w:sz w:val="24"/>
          <w:rtl/>
        </w:rPr>
        <w:t>של</w:t>
      </w:r>
      <w:r w:rsidRPr="00A62859">
        <w:rPr>
          <w:b/>
          <w:bCs/>
          <w:sz w:val="24"/>
          <w:rtl/>
        </w:rPr>
        <w:t xml:space="preserve"> </w:t>
      </w:r>
      <w:r w:rsidRPr="00A62859">
        <w:rPr>
          <w:rFonts w:hint="eastAsia"/>
          <w:b/>
          <w:bCs/>
          <w:sz w:val="24"/>
          <w:rtl/>
        </w:rPr>
        <w:t>בקרות</w:t>
      </w:r>
      <w:r w:rsidRPr="00A62859">
        <w:rPr>
          <w:b/>
          <w:bCs/>
          <w:sz w:val="24"/>
          <w:rtl/>
        </w:rPr>
        <w:t xml:space="preserve"> </w:t>
      </w:r>
      <w:r w:rsidRPr="00A62859">
        <w:rPr>
          <w:rFonts w:hint="eastAsia"/>
          <w:b/>
          <w:bCs/>
          <w:sz w:val="24"/>
          <w:rtl/>
        </w:rPr>
        <w:t>ונהלים</w:t>
      </w:r>
      <w:r w:rsidRPr="00A62859">
        <w:rPr>
          <w:b/>
          <w:bCs/>
          <w:sz w:val="24"/>
          <w:rtl/>
        </w:rPr>
        <w:t xml:space="preserve"> </w:t>
      </w:r>
      <w:r w:rsidRPr="00A62859">
        <w:rPr>
          <w:rFonts w:hint="eastAsia"/>
          <w:b/>
          <w:bCs/>
          <w:sz w:val="24"/>
          <w:rtl/>
        </w:rPr>
        <w:t>לצורך</w:t>
      </w:r>
      <w:r w:rsidRPr="00A62859">
        <w:rPr>
          <w:b/>
          <w:bCs/>
          <w:sz w:val="24"/>
          <w:rtl/>
        </w:rPr>
        <w:t xml:space="preserve"> </w:t>
      </w:r>
      <w:r w:rsidRPr="00A62859">
        <w:rPr>
          <w:rFonts w:hint="eastAsia"/>
          <w:b/>
          <w:bCs/>
          <w:sz w:val="24"/>
          <w:rtl/>
        </w:rPr>
        <w:t>הגילוי</w:t>
      </w:r>
      <w:r w:rsidRPr="00A62859">
        <w:rPr>
          <w:b/>
          <w:bCs/>
          <w:sz w:val="24"/>
          <w:rtl/>
        </w:rPr>
        <w:t xml:space="preserve"> </w:t>
      </w:r>
      <w:r w:rsidRPr="00A62859">
        <w:rPr>
          <w:rFonts w:hint="eastAsia"/>
          <w:b/>
          <w:bCs/>
          <w:sz w:val="24"/>
          <w:rtl/>
        </w:rPr>
        <w:t>הנדרש</w:t>
      </w:r>
      <w:r w:rsidRPr="00A62859">
        <w:rPr>
          <w:b/>
          <w:bCs/>
          <w:sz w:val="24"/>
          <w:rtl/>
        </w:rPr>
        <w:t xml:space="preserve"> </w:t>
      </w:r>
      <w:r w:rsidRPr="00A62859">
        <w:rPr>
          <w:rFonts w:hint="eastAsia"/>
          <w:b/>
          <w:bCs/>
          <w:sz w:val="24"/>
          <w:rtl/>
        </w:rPr>
        <w:t>בדוחות</w:t>
      </w:r>
      <w:r w:rsidRPr="00A62859">
        <w:rPr>
          <w:b/>
          <w:bCs/>
          <w:sz w:val="24"/>
          <w:rtl/>
        </w:rPr>
        <w:t xml:space="preserve"> כמתחייב על פי הכללים שקבעה מועצת הרשות</w:t>
      </w:r>
      <w:r>
        <w:rPr>
          <w:rStyle w:val="FootnoteReference"/>
          <w:b/>
          <w:bCs/>
          <w:sz w:val="24"/>
          <w:rtl/>
        </w:rPr>
        <w:footnoteReference w:id="123"/>
      </w:r>
      <w:r w:rsidRPr="00A62859">
        <w:rPr>
          <w:b/>
          <w:bCs/>
          <w:sz w:val="24"/>
          <w:rtl/>
        </w:rPr>
        <w:t>.</w:t>
      </w:r>
    </w:p>
    <w:p w:rsidR="003D3BEF" w:rsidP="003D3BEF" w14:paraId="4C592D64" w14:textId="77777777">
      <w:pPr>
        <w:pStyle w:val="a"/>
        <w:spacing w:line="269" w:lineRule="auto"/>
        <w:rPr>
          <w:rtl/>
        </w:rPr>
      </w:pPr>
    </w:p>
    <w:p w:rsidR="003D3BEF" w:rsidP="003D3BEF" w14:paraId="142F2A99" w14:textId="77777777">
      <w:pPr>
        <w:spacing w:line="269" w:lineRule="auto"/>
        <w:rPr>
          <w:sz w:val="24"/>
          <w:rtl/>
        </w:rPr>
      </w:pPr>
      <w:r>
        <w:rPr>
          <w:rFonts w:hint="cs"/>
          <w:sz w:val="24"/>
          <w:rtl/>
        </w:rPr>
        <w:t xml:space="preserve">להלן ממצאי ההשוואה הנוגעת לאסדרה בנושא חיזוק איכות הבקרה הפנימית ברשויות המקומיות, בחברות הממשלתיות ובתאגידי המים והביוב. </w:t>
      </w:r>
    </w:p>
    <w:p w:rsidR="003D3BEF" w:rsidP="003D3BEF" w14:paraId="7081FE2E" w14:textId="77777777">
      <w:pPr>
        <w:spacing w:line="269" w:lineRule="auto"/>
        <w:rPr>
          <w:sz w:val="24"/>
          <w:rtl/>
        </w:rPr>
      </w:pPr>
    </w:p>
    <w:p w:rsidR="003D3BEF" w:rsidP="003D3BEF" w14:paraId="4601194E" w14:textId="77777777">
      <w:pPr>
        <w:spacing w:line="269" w:lineRule="auto"/>
        <w:rPr>
          <w:sz w:val="24"/>
          <w:rtl/>
        </w:rPr>
      </w:pPr>
    </w:p>
    <w:p w:rsidR="003D3BEF" w:rsidP="003D3BEF" w14:paraId="3334A313" w14:textId="77777777">
      <w:pPr>
        <w:spacing w:line="269" w:lineRule="auto"/>
        <w:rPr>
          <w:sz w:val="24"/>
          <w:rtl/>
        </w:rPr>
      </w:pPr>
    </w:p>
    <w:p w:rsidR="003D3BEF" w:rsidP="003D3BEF" w14:paraId="0560CC4C" w14:textId="77777777">
      <w:pPr>
        <w:spacing w:line="269" w:lineRule="auto"/>
        <w:ind w:left="-568"/>
        <w:rPr>
          <w:szCs w:val="20"/>
          <w:rtl/>
        </w:rPr>
      </w:pPr>
    </w:p>
    <w:p w:rsidR="003D3BEF" w:rsidP="003D3BEF" w14:paraId="6D8A4285" w14:textId="77777777">
      <w:pPr>
        <w:bidi w:val="0"/>
        <w:spacing w:after="200" w:line="276" w:lineRule="auto"/>
        <w:rPr>
          <w:b/>
          <w:bCs/>
          <w:sz w:val="24"/>
          <w:rtl/>
        </w:rPr>
      </w:pPr>
      <w:r>
        <w:rPr>
          <w:b/>
          <w:bCs/>
          <w:sz w:val="24"/>
          <w:rtl/>
        </w:rPr>
        <w:br w:type="page"/>
      </w:r>
    </w:p>
    <w:p w:rsidR="003D3BEF" w:rsidP="003D3BEF" w14:paraId="6C26CA05" w14:textId="77777777">
      <w:pPr>
        <w:spacing w:line="269" w:lineRule="auto"/>
        <w:ind w:left="-568"/>
        <w:jc w:val="center"/>
        <w:rPr>
          <w:b/>
          <w:bCs/>
          <w:sz w:val="24"/>
          <w:rtl/>
        </w:rPr>
      </w:pPr>
      <w:r>
        <w:rPr>
          <w:rFonts w:hint="cs"/>
          <w:b/>
          <w:bCs/>
          <w:sz w:val="24"/>
          <w:rtl/>
        </w:rPr>
        <w:t>לוח</w:t>
      </w:r>
      <w:r w:rsidRPr="00786E87">
        <w:rPr>
          <w:rFonts w:hint="cs"/>
          <w:b/>
          <w:bCs/>
          <w:sz w:val="24"/>
          <w:rtl/>
        </w:rPr>
        <w:t xml:space="preserve"> </w:t>
      </w:r>
      <w:r>
        <w:rPr>
          <w:rFonts w:hint="cs"/>
          <w:b/>
          <w:bCs/>
          <w:sz w:val="24"/>
          <w:rtl/>
        </w:rPr>
        <w:t>6</w:t>
      </w:r>
      <w:r w:rsidRPr="00786E87">
        <w:rPr>
          <w:rFonts w:hint="cs"/>
          <w:b/>
          <w:bCs/>
          <w:sz w:val="24"/>
          <w:rtl/>
        </w:rPr>
        <w:t xml:space="preserve">: </w:t>
      </w:r>
      <w:r>
        <w:rPr>
          <w:rFonts w:hint="cs"/>
          <w:b/>
          <w:bCs/>
          <w:sz w:val="24"/>
          <w:rtl/>
        </w:rPr>
        <w:t xml:space="preserve">אסדרה </w:t>
      </w:r>
      <w:r w:rsidRPr="0031708A">
        <w:rPr>
          <w:rFonts w:hint="cs"/>
          <w:b/>
          <w:bCs/>
          <w:sz w:val="24"/>
          <w:rtl/>
        </w:rPr>
        <w:t xml:space="preserve">בנושא </w:t>
      </w:r>
      <w:r>
        <w:rPr>
          <w:rFonts w:hint="cs"/>
          <w:b/>
          <w:bCs/>
          <w:sz w:val="24"/>
          <w:rtl/>
        </w:rPr>
        <w:t>חיזוק איכות</w:t>
      </w:r>
      <w:r w:rsidRPr="0031708A">
        <w:rPr>
          <w:rFonts w:hint="cs"/>
          <w:b/>
          <w:bCs/>
          <w:sz w:val="24"/>
          <w:rtl/>
        </w:rPr>
        <w:t xml:space="preserve"> הבקרה הפנימית</w:t>
      </w:r>
    </w:p>
    <w:p w:rsidR="003D3BEF" w:rsidP="00902044" w14:paraId="27211CA0" w14:textId="77777777">
      <w:pPr>
        <w:spacing w:before="120" w:after="120" w:line="269" w:lineRule="auto"/>
        <w:jc w:val="center"/>
        <w:rPr>
          <w:rtl/>
        </w:rPr>
      </w:pPr>
      <w:r>
        <w:rPr>
          <w:noProof/>
          <w:rtl/>
        </w:rPr>
        <w:drawing>
          <wp:inline distT="0" distB="0" distL="0" distR="0">
            <wp:extent cx="4309872" cy="4069080"/>
            <wp:effectExtent l="0" t="0" r="0" b="7620"/>
            <wp:docPr id="780323278" name="תמונה 78032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19395" name="לוח 6 - אינפו.jpg"/>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09872" cy="4069080"/>
                    </a:xfrm>
                    <a:prstGeom prst="rect">
                      <a:avLst/>
                    </a:prstGeom>
                  </pic:spPr>
                </pic:pic>
              </a:graphicData>
            </a:graphic>
          </wp:inline>
        </w:drawing>
      </w:r>
    </w:p>
    <w:p w:rsidR="003D3BEF" w:rsidP="003D3BEF" w14:paraId="3C53F4E0" w14:textId="77777777">
      <w:pPr>
        <w:spacing w:line="269" w:lineRule="auto"/>
        <w:ind w:left="-568"/>
        <w:rPr>
          <w:szCs w:val="20"/>
          <w:rtl/>
        </w:rPr>
      </w:pPr>
    </w:p>
    <w:p w:rsidR="003D3BEF" w:rsidP="003D3BEF" w14:paraId="7BE60B8A" w14:textId="77777777">
      <w:pPr>
        <w:spacing w:line="269" w:lineRule="auto"/>
        <w:rPr>
          <w:sz w:val="24"/>
          <w:rtl/>
        </w:rPr>
      </w:pPr>
      <w:r w:rsidRPr="00662350">
        <w:rPr>
          <w:rFonts w:hint="cs"/>
          <w:b/>
          <w:bCs/>
          <w:sz w:val="24"/>
          <w:rtl/>
        </w:rPr>
        <w:t xml:space="preserve">קיימת חשיבות לכך שגוף מאסדר </w:t>
      </w:r>
      <w:r>
        <w:rPr>
          <w:rFonts w:hint="cs"/>
          <w:b/>
          <w:bCs/>
          <w:sz w:val="24"/>
          <w:rtl/>
        </w:rPr>
        <w:t xml:space="preserve">יקבע </w:t>
      </w:r>
      <w:r w:rsidRPr="00662350">
        <w:rPr>
          <w:rFonts w:hint="cs"/>
          <w:b/>
          <w:bCs/>
          <w:sz w:val="24"/>
          <w:rtl/>
        </w:rPr>
        <w:t>כלים לחיזוק גורמי הבקרה בגוף המפוקח ולשיפור איכות ה</w:t>
      </w:r>
      <w:r>
        <w:rPr>
          <w:rFonts w:hint="cs"/>
          <w:b/>
          <w:bCs/>
          <w:sz w:val="24"/>
          <w:rtl/>
        </w:rPr>
        <w:t>בקרה</w:t>
      </w:r>
      <w:r w:rsidRPr="00662350">
        <w:rPr>
          <w:rFonts w:hint="cs"/>
          <w:b/>
          <w:bCs/>
          <w:sz w:val="24"/>
          <w:rtl/>
        </w:rPr>
        <w:t xml:space="preserve"> הפנימית</w:t>
      </w:r>
      <w:r>
        <w:rPr>
          <w:rFonts w:hint="cs"/>
          <w:b/>
          <w:bCs/>
          <w:sz w:val="24"/>
          <w:rtl/>
        </w:rPr>
        <w:t>;</w:t>
      </w:r>
      <w:r w:rsidRPr="00662350">
        <w:rPr>
          <w:rFonts w:hint="cs"/>
          <w:b/>
          <w:bCs/>
          <w:sz w:val="24"/>
          <w:rtl/>
        </w:rPr>
        <w:t xml:space="preserve"> </w:t>
      </w:r>
      <w:r>
        <w:rPr>
          <w:rFonts w:hint="cs"/>
          <w:b/>
          <w:bCs/>
          <w:sz w:val="24"/>
          <w:rtl/>
        </w:rPr>
        <w:t xml:space="preserve">על אחת כמה וכמה בגופים הממומנים מכספי הציבור. </w:t>
      </w:r>
      <w:r w:rsidRPr="00662350">
        <w:rPr>
          <w:rFonts w:hint="cs"/>
          <w:b/>
          <w:bCs/>
          <w:sz w:val="24"/>
          <w:rtl/>
        </w:rPr>
        <w:t xml:space="preserve">תאגידי המים והביוב נותנים </w:t>
      </w:r>
      <w:r>
        <w:rPr>
          <w:rFonts w:hint="cs"/>
          <w:b/>
          <w:bCs/>
          <w:sz w:val="24"/>
          <w:rtl/>
        </w:rPr>
        <w:t xml:space="preserve">שירות חיוני </w:t>
      </w:r>
      <w:r w:rsidRPr="00662350">
        <w:rPr>
          <w:rFonts w:hint="cs"/>
          <w:b/>
          <w:bCs/>
          <w:sz w:val="24"/>
          <w:rtl/>
        </w:rPr>
        <w:t>לרוב התושבים במדינת ישראל</w:t>
      </w:r>
      <w:r>
        <w:rPr>
          <w:rFonts w:hint="cs"/>
          <w:b/>
          <w:bCs/>
          <w:sz w:val="24"/>
          <w:rtl/>
        </w:rPr>
        <w:t>, הם ממומנים מכספי ציבור בהיקף של כ-4.6 מיליארד ש"ח בשנה, והם הוקמו</w:t>
      </w:r>
      <w:r w:rsidRPr="00683066">
        <w:rPr>
          <w:b/>
          <w:bCs/>
          <w:rtl/>
        </w:rPr>
        <w:t xml:space="preserve"> </w:t>
      </w:r>
      <w:r w:rsidRPr="00683066">
        <w:rPr>
          <w:rFonts w:hint="eastAsia"/>
          <w:b/>
          <w:bCs/>
          <w:rtl/>
        </w:rPr>
        <w:t>בין</w:t>
      </w:r>
      <w:r w:rsidRPr="00683066">
        <w:rPr>
          <w:b/>
          <w:bCs/>
          <w:rtl/>
        </w:rPr>
        <w:t xml:space="preserve"> היתר</w:t>
      </w:r>
      <w:r>
        <w:rPr>
          <w:rFonts w:hint="cs"/>
          <w:b/>
          <w:bCs/>
          <w:rtl/>
        </w:rPr>
        <w:t xml:space="preserve"> כדי להבטיח </w:t>
      </w:r>
      <w:r w:rsidRPr="00683066">
        <w:rPr>
          <w:b/>
          <w:bCs/>
          <w:rtl/>
        </w:rPr>
        <w:t>ניהול עסקי</w:t>
      </w:r>
      <w:r>
        <w:rPr>
          <w:rFonts w:hint="cs"/>
          <w:b/>
          <w:bCs/>
          <w:rtl/>
        </w:rPr>
        <w:t>,</w:t>
      </w:r>
      <w:r w:rsidRPr="00683066">
        <w:rPr>
          <w:b/>
          <w:bCs/>
          <w:rtl/>
        </w:rPr>
        <w:t xml:space="preserve"> מקצועי ויעיל יותר של מערכות המים והביוב</w:t>
      </w:r>
      <w:r>
        <w:rPr>
          <w:rFonts w:hint="cs"/>
          <w:b/>
          <w:bCs/>
          <w:sz w:val="24"/>
          <w:rtl/>
        </w:rPr>
        <w:t>.</w:t>
      </w:r>
      <w:r w:rsidRPr="00662350">
        <w:rPr>
          <w:rFonts w:hint="cs"/>
          <w:b/>
          <w:bCs/>
          <w:sz w:val="24"/>
          <w:rtl/>
        </w:rPr>
        <w:t xml:space="preserve"> לפיכך, </w:t>
      </w:r>
      <w:r>
        <w:rPr>
          <w:rFonts w:hint="cs"/>
          <w:b/>
          <w:bCs/>
          <w:sz w:val="24"/>
          <w:rtl/>
        </w:rPr>
        <w:t xml:space="preserve">ראוי היה </w:t>
      </w:r>
      <w:r w:rsidRPr="00662350">
        <w:rPr>
          <w:rFonts w:hint="cs"/>
          <w:b/>
          <w:bCs/>
          <w:sz w:val="24"/>
          <w:rtl/>
        </w:rPr>
        <w:t>שה</w:t>
      </w:r>
      <w:r>
        <w:rPr>
          <w:rFonts w:hint="cs"/>
          <w:b/>
          <w:bCs/>
          <w:sz w:val="24"/>
          <w:rtl/>
        </w:rPr>
        <w:t xml:space="preserve">אסדרה של </w:t>
      </w:r>
      <w:r w:rsidRPr="00662350">
        <w:rPr>
          <w:rFonts w:hint="cs"/>
          <w:b/>
          <w:bCs/>
          <w:sz w:val="24"/>
          <w:rtl/>
        </w:rPr>
        <w:t>תאגידי המים</w:t>
      </w:r>
      <w:r>
        <w:rPr>
          <w:rFonts w:hint="cs"/>
          <w:b/>
          <w:bCs/>
          <w:sz w:val="24"/>
          <w:rtl/>
        </w:rPr>
        <w:t xml:space="preserve"> והביוב</w:t>
      </w:r>
      <w:r w:rsidRPr="00662350">
        <w:rPr>
          <w:rFonts w:hint="cs"/>
          <w:b/>
          <w:bCs/>
          <w:sz w:val="24"/>
          <w:rtl/>
        </w:rPr>
        <w:t xml:space="preserve"> </w:t>
      </w:r>
      <w:r>
        <w:rPr>
          <w:rFonts w:hint="cs"/>
          <w:b/>
          <w:bCs/>
          <w:sz w:val="24"/>
          <w:rtl/>
        </w:rPr>
        <w:t>וה</w:t>
      </w:r>
      <w:r w:rsidRPr="00662350">
        <w:rPr>
          <w:rFonts w:hint="cs"/>
          <w:b/>
          <w:bCs/>
          <w:sz w:val="24"/>
          <w:rtl/>
        </w:rPr>
        <w:t>פיקוח על</w:t>
      </w:r>
      <w:r>
        <w:rPr>
          <w:rFonts w:hint="cs"/>
          <w:b/>
          <w:bCs/>
          <w:sz w:val="24"/>
          <w:rtl/>
        </w:rPr>
        <w:t>יהם</w:t>
      </w:r>
      <w:r w:rsidRPr="00662350">
        <w:rPr>
          <w:rFonts w:hint="cs"/>
          <w:b/>
          <w:bCs/>
          <w:sz w:val="24"/>
          <w:rtl/>
        </w:rPr>
        <w:t xml:space="preserve"> </w:t>
      </w:r>
      <w:r>
        <w:rPr>
          <w:rFonts w:hint="cs"/>
          <w:b/>
          <w:bCs/>
          <w:sz w:val="24"/>
          <w:rtl/>
        </w:rPr>
        <w:t>לא יפלו באופן ניכר מהאסדרה</w:t>
      </w:r>
      <w:r w:rsidRPr="00662350">
        <w:rPr>
          <w:rFonts w:hint="cs"/>
          <w:b/>
          <w:bCs/>
          <w:sz w:val="24"/>
          <w:rtl/>
        </w:rPr>
        <w:t xml:space="preserve"> </w:t>
      </w:r>
      <w:r>
        <w:rPr>
          <w:rFonts w:hint="cs"/>
          <w:b/>
          <w:bCs/>
          <w:sz w:val="24"/>
          <w:rtl/>
        </w:rPr>
        <w:t>ו</w:t>
      </w:r>
      <w:r w:rsidRPr="00662350">
        <w:rPr>
          <w:rFonts w:hint="cs"/>
          <w:b/>
          <w:bCs/>
          <w:sz w:val="24"/>
          <w:rtl/>
        </w:rPr>
        <w:t>מהפיקוח החל</w:t>
      </w:r>
      <w:r>
        <w:rPr>
          <w:rFonts w:hint="cs"/>
          <w:b/>
          <w:bCs/>
          <w:sz w:val="24"/>
          <w:rtl/>
        </w:rPr>
        <w:t>ים</w:t>
      </w:r>
      <w:r w:rsidRPr="00662350">
        <w:rPr>
          <w:rFonts w:hint="cs"/>
          <w:b/>
          <w:bCs/>
          <w:sz w:val="24"/>
          <w:rtl/>
        </w:rPr>
        <w:t xml:space="preserve"> על </w:t>
      </w:r>
      <w:r>
        <w:rPr>
          <w:rFonts w:hint="cs"/>
          <w:b/>
          <w:bCs/>
          <w:sz w:val="24"/>
          <w:rtl/>
        </w:rPr>
        <w:t>ה</w:t>
      </w:r>
      <w:r w:rsidRPr="00662350">
        <w:rPr>
          <w:rFonts w:hint="cs"/>
          <w:b/>
          <w:bCs/>
          <w:sz w:val="24"/>
          <w:rtl/>
        </w:rPr>
        <w:t xml:space="preserve">חברות </w:t>
      </w:r>
      <w:r>
        <w:rPr>
          <w:rFonts w:hint="cs"/>
          <w:b/>
          <w:bCs/>
          <w:sz w:val="24"/>
          <w:rtl/>
        </w:rPr>
        <w:t>ה</w:t>
      </w:r>
      <w:r w:rsidRPr="00662350">
        <w:rPr>
          <w:rFonts w:hint="cs"/>
          <w:b/>
          <w:bCs/>
          <w:sz w:val="24"/>
          <w:rtl/>
        </w:rPr>
        <w:t>ממשלתיות</w:t>
      </w:r>
      <w:r>
        <w:rPr>
          <w:rFonts w:hint="cs"/>
          <w:b/>
          <w:bCs/>
          <w:sz w:val="24"/>
          <w:rtl/>
        </w:rPr>
        <w:t xml:space="preserve"> ועל</w:t>
      </w:r>
      <w:r w:rsidRPr="00662350">
        <w:rPr>
          <w:rFonts w:hint="cs"/>
          <w:b/>
          <w:bCs/>
          <w:sz w:val="24"/>
          <w:rtl/>
        </w:rPr>
        <w:t xml:space="preserve"> </w:t>
      </w:r>
      <w:r>
        <w:rPr>
          <w:rFonts w:hint="cs"/>
          <w:b/>
          <w:bCs/>
          <w:sz w:val="24"/>
          <w:rtl/>
        </w:rPr>
        <w:t>ה</w:t>
      </w:r>
      <w:r w:rsidRPr="00662350">
        <w:rPr>
          <w:rFonts w:hint="cs"/>
          <w:b/>
          <w:bCs/>
          <w:sz w:val="24"/>
          <w:rtl/>
        </w:rPr>
        <w:t xml:space="preserve">רשויות </w:t>
      </w:r>
      <w:r>
        <w:rPr>
          <w:rFonts w:hint="cs"/>
          <w:b/>
          <w:bCs/>
          <w:sz w:val="24"/>
          <w:rtl/>
        </w:rPr>
        <w:t>ה</w:t>
      </w:r>
      <w:r w:rsidRPr="00662350">
        <w:rPr>
          <w:rFonts w:hint="cs"/>
          <w:b/>
          <w:bCs/>
          <w:sz w:val="24"/>
          <w:rtl/>
        </w:rPr>
        <w:t>מקומיות.</w:t>
      </w:r>
    </w:p>
    <w:p w:rsidR="003D3BEF" w:rsidRPr="00662350" w:rsidP="003D3BEF" w14:paraId="4355A8FD" w14:textId="77777777">
      <w:pPr>
        <w:pStyle w:val="a"/>
        <w:spacing w:line="269" w:lineRule="auto"/>
        <w:rPr>
          <w:rtl/>
        </w:rPr>
      </w:pPr>
    </w:p>
    <w:p w:rsidR="003D3BEF" w:rsidP="003D3BEF" w14:paraId="4840D57D" w14:textId="77777777">
      <w:pPr>
        <w:spacing w:line="269" w:lineRule="auto"/>
        <w:rPr>
          <w:b/>
          <w:bCs/>
          <w:rtl/>
        </w:rPr>
      </w:pPr>
      <w:r>
        <w:rPr>
          <w:rFonts w:hint="cs"/>
          <w:b/>
          <w:bCs/>
          <w:sz w:val="24"/>
          <w:rtl/>
        </w:rPr>
        <w:t>בפועל נמצא</w:t>
      </w:r>
      <w:r w:rsidRPr="00833712">
        <w:rPr>
          <w:rFonts w:hint="cs"/>
          <w:b/>
          <w:bCs/>
          <w:sz w:val="24"/>
          <w:rtl/>
        </w:rPr>
        <w:t xml:space="preserve"> כי כלי הבקרה והפיקוח בנושאי איכות וטיוב </w:t>
      </w:r>
      <w:r>
        <w:rPr>
          <w:rFonts w:hint="cs"/>
          <w:b/>
          <w:bCs/>
          <w:sz w:val="24"/>
          <w:rtl/>
        </w:rPr>
        <w:t xml:space="preserve">של </w:t>
      </w:r>
      <w:r w:rsidRPr="00833712">
        <w:rPr>
          <w:rFonts w:hint="cs"/>
          <w:b/>
          <w:bCs/>
          <w:sz w:val="24"/>
          <w:rtl/>
        </w:rPr>
        <w:t>הבקרות הפנימיות שהממונה על התאגידים מחיל על תאגידים</w:t>
      </w:r>
      <w:r w:rsidRPr="009714CA">
        <w:rPr>
          <w:rFonts w:hint="cs"/>
          <w:b/>
          <w:bCs/>
          <w:sz w:val="24"/>
          <w:rtl/>
        </w:rPr>
        <w:t xml:space="preserve"> </w:t>
      </w:r>
      <w:r w:rsidRPr="00833712">
        <w:rPr>
          <w:rFonts w:hint="cs"/>
          <w:b/>
          <w:bCs/>
          <w:sz w:val="24"/>
          <w:rtl/>
        </w:rPr>
        <w:t>ואוכף</w:t>
      </w:r>
      <w:r>
        <w:rPr>
          <w:rFonts w:hint="cs"/>
          <w:b/>
          <w:bCs/>
          <w:sz w:val="24"/>
          <w:rtl/>
        </w:rPr>
        <w:t xml:space="preserve"> אותם</w:t>
      </w:r>
      <w:r w:rsidRPr="00833712">
        <w:rPr>
          <w:rFonts w:hint="cs"/>
          <w:b/>
          <w:bCs/>
          <w:sz w:val="24"/>
          <w:rtl/>
        </w:rPr>
        <w:t>, פחותים</w:t>
      </w:r>
      <w:r>
        <w:rPr>
          <w:rFonts w:hint="cs"/>
          <w:b/>
          <w:bCs/>
          <w:sz w:val="24"/>
          <w:rtl/>
        </w:rPr>
        <w:t xml:space="preserve"> מכלי הבקרה והפיקוח </w:t>
      </w:r>
      <w:r w:rsidRPr="00833712">
        <w:rPr>
          <w:rFonts w:hint="cs"/>
          <w:b/>
          <w:bCs/>
          <w:sz w:val="24"/>
          <w:rtl/>
        </w:rPr>
        <w:t xml:space="preserve">החלים על </w:t>
      </w:r>
      <w:r>
        <w:rPr>
          <w:rFonts w:hint="cs"/>
          <w:b/>
          <w:bCs/>
          <w:sz w:val="24"/>
          <w:rtl/>
        </w:rPr>
        <w:t>ה</w:t>
      </w:r>
      <w:r w:rsidRPr="00833712">
        <w:rPr>
          <w:rFonts w:hint="cs"/>
          <w:b/>
          <w:bCs/>
          <w:sz w:val="24"/>
          <w:rtl/>
        </w:rPr>
        <w:t xml:space="preserve">חברות </w:t>
      </w:r>
      <w:r>
        <w:rPr>
          <w:rFonts w:hint="cs"/>
          <w:b/>
          <w:bCs/>
          <w:sz w:val="24"/>
          <w:rtl/>
        </w:rPr>
        <w:t>ה</w:t>
      </w:r>
      <w:r w:rsidRPr="00833712">
        <w:rPr>
          <w:rFonts w:hint="cs"/>
          <w:b/>
          <w:bCs/>
          <w:sz w:val="24"/>
          <w:rtl/>
        </w:rPr>
        <w:t>ממשלתיות ו</w:t>
      </w:r>
      <w:r>
        <w:rPr>
          <w:rFonts w:hint="cs"/>
          <w:b/>
          <w:bCs/>
          <w:sz w:val="24"/>
          <w:rtl/>
        </w:rPr>
        <w:t>על ה</w:t>
      </w:r>
      <w:r w:rsidRPr="00833712">
        <w:rPr>
          <w:rFonts w:hint="cs"/>
          <w:b/>
          <w:bCs/>
          <w:sz w:val="24"/>
          <w:rtl/>
        </w:rPr>
        <w:t xml:space="preserve">רשויות </w:t>
      </w:r>
      <w:r>
        <w:rPr>
          <w:rFonts w:hint="cs"/>
          <w:b/>
          <w:bCs/>
          <w:sz w:val="24"/>
          <w:rtl/>
        </w:rPr>
        <w:t>ה</w:t>
      </w:r>
      <w:r w:rsidRPr="00833712">
        <w:rPr>
          <w:rFonts w:hint="cs"/>
          <w:b/>
          <w:bCs/>
          <w:sz w:val="24"/>
          <w:rtl/>
        </w:rPr>
        <w:t xml:space="preserve">מקומיות בהיבטים </w:t>
      </w:r>
      <w:r>
        <w:rPr>
          <w:rFonts w:hint="cs"/>
          <w:b/>
          <w:bCs/>
          <w:sz w:val="24"/>
          <w:rtl/>
        </w:rPr>
        <w:t>של מעורבות המאסדר בהתקשרות עם רואה חשבון מבקר, בבקרה על עבודתו, בקביעת כללים והנחיות שיחזקו את אפקטיביות הבקרה הפנימית בתאגידי המים, וכן ב</w:t>
      </w:r>
      <w:r w:rsidRPr="00833712">
        <w:rPr>
          <w:rFonts w:hint="cs"/>
          <w:b/>
          <w:bCs/>
          <w:sz w:val="24"/>
          <w:rtl/>
        </w:rPr>
        <w:t>צירוף הצהרת מנהלים בדבר אחריותם לנכונות הדוחות הכספיים ושלמותם.</w:t>
      </w:r>
    </w:p>
    <w:p w:rsidR="003D3BEF" w:rsidRPr="00833712" w:rsidP="003D3BEF" w14:paraId="7A4B059B" w14:textId="77777777">
      <w:pPr>
        <w:pStyle w:val="a"/>
        <w:spacing w:line="269" w:lineRule="auto"/>
        <w:rPr>
          <w:rtl/>
        </w:rPr>
      </w:pPr>
    </w:p>
    <w:p w:rsidR="003D3BEF" w:rsidP="003D3BEF" w14:paraId="2B230C69" w14:textId="77777777">
      <w:pPr>
        <w:spacing w:line="269" w:lineRule="auto"/>
        <w:rPr>
          <w:rtl/>
        </w:rPr>
      </w:pPr>
      <w:r w:rsidRPr="00B70DE1">
        <w:rPr>
          <w:rFonts w:hint="cs"/>
          <w:rtl/>
        </w:rPr>
        <w:t>בפברואר 2017 פרסם הממונה חוזר</w:t>
      </w:r>
      <w:r>
        <w:rPr>
          <w:rFonts w:hint="cs"/>
          <w:rtl/>
        </w:rPr>
        <w:t xml:space="preserve"> בדבר החלת אסדרה המתייחסת לאפקטיביות הבקרה הפנימית בתאגידים (להלן - החוזר). לפי החוזר, עד 31.12.18 יצרפו התאגידים לדוחות השנתיים שני דוחות נוספים:</w:t>
      </w:r>
    </w:p>
    <w:p w:rsidR="003D3BEF" w:rsidP="003D3BEF" w14:paraId="7A9FF0C8" w14:textId="77777777">
      <w:pPr>
        <w:pStyle w:val="a"/>
        <w:spacing w:line="269" w:lineRule="auto"/>
        <w:rPr>
          <w:rtl/>
        </w:rPr>
      </w:pPr>
    </w:p>
    <w:p w:rsidR="003D3BEF" w:rsidP="003D3BEF" w14:paraId="64E52449" w14:textId="77777777">
      <w:pPr>
        <w:pStyle w:val="ListParagraph"/>
        <w:numPr>
          <w:ilvl w:val="0"/>
          <w:numId w:val="5"/>
        </w:numPr>
        <w:spacing w:line="269" w:lineRule="auto"/>
        <w:ind w:left="312"/>
      </w:pPr>
      <w:r>
        <w:rPr>
          <w:rFonts w:hint="cs"/>
          <w:rtl/>
        </w:rPr>
        <w:t xml:space="preserve">דוח בדבר </w:t>
      </w:r>
      <w:r w:rsidRPr="001C2270">
        <w:rPr>
          <w:rFonts w:hint="cs"/>
          <w:rtl/>
        </w:rPr>
        <w:t>הערכ</w:t>
      </w:r>
      <w:r>
        <w:rPr>
          <w:rFonts w:hint="cs"/>
          <w:rtl/>
        </w:rPr>
        <w:t>ת ה</w:t>
      </w:r>
      <w:r w:rsidRPr="001C2270">
        <w:rPr>
          <w:rFonts w:hint="cs"/>
          <w:rtl/>
        </w:rPr>
        <w:t>דירקטוריון וההנהלה</w:t>
      </w:r>
      <w:r>
        <w:rPr>
          <w:rFonts w:hint="cs"/>
          <w:rtl/>
        </w:rPr>
        <w:t xml:space="preserve"> על</w:t>
      </w:r>
      <w:r w:rsidRPr="001C2270">
        <w:rPr>
          <w:rFonts w:hint="cs"/>
          <w:rtl/>
        </w:rPr>
        <w:t xml:space="preserve"> אפקטיביות הבקרה הפנימית</w:t>
      </w:r>
      <w:r>
        <w:rPr>
          <w:rFonts w:hint="cs"/>
          <w:rtl/>
        </w:rPr>
        <w:t>, ובו בין היתר יפורטו החולשות המהותיות, אם קיימות כאלה, השפעתן על הדיווח הכספי ועל הגילוי, והפעולות שננקטו ולוחות הזמנים שנקבעו לצורך תיקונן. כמו כן, יינתן גילוי אם הבקרה הפנימית הוערכה כאפקטיבית (אם נמצאה חולשה מהותית לא תיחשב הבקרה הפנימית כאפקטיבית), יצוינו השינויים שחלו בשנה האחרונה בנושא הבקרה הפנימית ויינתן גילוי לתיקון הליקויים.</w:t>
      </w:r>
    </w:p>
    <w:p w:rsidR="003D3BEF" w:rsidP="003D3BEF" w14:paraId="45ADF9A2" w14:textId="77777777">
      <w:pPr>
        <w:spacing w:line="269" w:lineRule="auto"/>
        <w:rPr>
          <w:rtl/>
        </w:rPr>
      </w:pPr>
    </w:p>
    <w:p w:rsidR="003D3BEF" w:rsidP="003D3BEF" w14:paraId="3E4E9205" w14:textId="77777777">
      <w:pPr>
        <w:spacing w:line="269" w:lineRule="auto"/>
      </w:pPr>
    </w:p>
    <w:p w:rsidR="003D3BEF" w:rsidP="003D3BEF" w14:paraId="67449F4F" w14:textId="77777777">
      <w:pPr>
        <w:pStyle w:val="a"/>
        <w:spacing w:line="269" w:lineRule="auto"/>
        <w:rPr>
          <w:rtl/>
        </w:rPr>
      </w:pPr>
    </w:p>
    <w:p w:rsidR="003D3BEF" w:rsidP="003D3BEF" w14:paraId="4EA07D34" w14:textId="77777777">
      <w:pPr>
        <w:pStyle w:val="ListParagraph"/>
        <w:numPr>
          <w:ilvl w:val="0"/>
          <w:numId w:val="5"/>
        </w:numPr>
        <w:spacing w:line="269" w:lineRule="auto"/>
        <w:ind w:left="312"/>
        <w:rPr>
          <w:rtl/>
        </w:rPr>
      </w:pPr>
      <w:r>
        <w:rPr>
          <w:rFonts w:hint="cs"/>
          <w:rtl/>
        </w:rPr>
        <w:t>דוח של רואה החשבון המבקר שיכלול חוות דעת בדבר אפקטיביות הבקרה הפנימית על הדיווח הכספי בתאגיד המים והביוב ובדבר החולשות המהותיות שזוהו, לרבות חולשות מהותיות שלא ניתן להן גילוי נאות בדוח הערכת הדירקטוריון וההנהלה.</w:t>
      </w:r>
    </w:p>
    <w:p w:rsidR="003D3BEF" w:rsidP="003D3BEF" w14:paraId="7DF0161E" w14:textId="77777777">
      <w:pPr>
        <w:pStyle w:val="a"/>
        <w:spacing w:line="269" w:lineRule="auto"/>
        <w:rPr>
          <w:rtl/>
        </w:rPr>
      </w:pPr>
    </w:p>
    <w:p w:rsidR="003D3BEF" w:rsidP="003D3BEF" w14:paraId="7E8D821E" w14:textId="77777777">
      <w:pPr>
        <w:spacing w:line="269" w:lineRule="auto"/>
        <w:rPr>
          <w:sz w:val="24"/>
          <w:rtl/>
        </w:rPr>
      </w:pPr>
      <w:r>
        <w:rPr>
          <w:rFonts w:hint="cs"/>
          <w:rtl/>
        </w:rPr>
        <w:t>אולם ביולי 2017, בחלוף כחצי שנה, שלח הממונה למנהלי התאגידים הודעה ולפיה לאחר בחינה מחודשת של החוזר, ובעקבות פניות רבות, תבוצע החלת החוזר באופן מדורג, כאשר בשלב הראשון תפעל יחידת הממונה תפעל לבחירת מדגם מייצג של תאגידים על פי פרמטרים שונים, ובתאגידים אלה יבוצע ניסוי (פיילוט) במטרה ללמוד על השלכות היישום ולשפר את הנחיות החוזר לפי הניסיון שיצטבר במסגרת המדגם.</w:t>
      </w:r>
      <w:r w:rsidRPr="002A399D">
        <w:rPr>
          <w:rFonts w:hint="cs"/>
          <w:sz w:val="24"/>
          <w:rtl/>
        </w:rPr>
        <w:t xml:space="preserve"> </w:t>
      </w:r>
    </w:p>
    <w:p w:rsidR="003D3BEF" w:rsidP="003D3BEF" w14:paraId="15C5B79B" w14:textId="77777777">
      <w:pPr>
        <w:pStyle w:val="a"/>
        <w:spacing w:line="269" w:lineRule="auto"/>
        <w:rPr>
          <w:rtl/>
        </w:rPr>
      </w:pPr>
    </w:p>
    <w:p w:rsidR="003D3BEF" w:rsidP="003D3BEF" w14:paraId="5D216EC7" w14:textId="77777777">
      <w:pPr>
        <w:spacing w:line="269" w:lineRule="auto"/>
        <w:rPr>
          <w:rtl/>
        </w:rPr>
      </w:pPr>
      <w:r>
        <w:rPr>
          <w:rFonts w:hint="cs"/>
          <w:sz w:val="24"/>
          <w:rtl/>
        </w:rPr>
        <w:t>במענה על שאלת משרד מבקר המדינה לגבי הסיבות שהועלו בפניות האמורות לעיל, השיב הממונה על התאגידים במרץ 2020 כי "במסגרת הדיונים בכנסת בנושא החוק לצמצום התאגידים" הוצג החוזר "כדוגמא לעודף רגולציה של רשות המים", ונטען כי "הדבר יגדיל משמעותית את עלויות התאגידים ללא הצדקה עניינית לכך... בעקבות הדיון בכנסת התקיימה פגישה... עם נציגי תאגידים ולאחריה הוחלט כי לעת ההיא, שעה שסערת התאגידים נמצאת בעיצומה, לדחות את יישום החוזר באופן גורף ולאפשר את יישום הנוהל כפיילוט. גם הפיילוט לא צלח בשל העובדה שלא נמצא תאגיד שיסכים להיכנס לפיילוט". עוד השיב הממונה כי במסגרת ההידברות עם מש"ם בנושא התיאגוד האזורי הרשות שואפת לטפל בין היתר ביישום החוזר.</w:t>
      </w:r>
    </w:p>
    <w:p w:rsidR="003D3BEF" w:rsidP="003D3BEF" w14:paraId="66A3AE58" w14:textId="77777777">
      <w:pPr>
        <w:pStyle w:val="a"/>
        <w:spacing w:line="269" w:lineRule="auto"/>
        <w:rPr>
          <w:rtl/>
        </w:rPr>
      </w:pPr>
    </w:p>
    <w:p w:rsidR="003D3BEF" w:rsidP="003D3BEF" w14:paraId="30644EF2" w14:textId="77777777">
      <w:pPr>
        <w:spacing w:line="269" w:lineRule="auto"/>
        <w:rPr>
          <w:b/>
          <w:bCs/>
          <w:sz w:val="24"/>
          <w:rtl/>
        </w:rPr>
      </w:pPr>
      <w:r>
        <w:rPr>
          <w:rFonts w:hint="cs"/>
          <w:b/>
          <w:bCs/>
          <w:sz w:val="24"/>
          <w:rtl/>
        </w:rPr>
        <w:t>אף ש</w:t>
      </w:r>
      <w:r w:rsidRPr="005A2810">
        <w:rPr>
          <w:rFonts w:hint="cs"/>
          <w:b/>
          <w:bCs/>
          <w:sz w:val="24"/>
          <w:rtl/>
        </w:rPr>
        <w:t>הממונה על התאגידים</w:t>
      </w:r>
      <w:r>
        <w:rPr>
          <w:rFonts w:hint="cs"/>
          <w:b/>
          <w:bCs/>
          <w:sz w:val="24"/>
          <w:rtl/>
        </w:rPr>
        <w:t xml:space="preserve"> החל בפברואר 2017 בהליך אסדרה של </w:t>
      </w:r>
      <w:r w:rsidRPr="00662350">
        <w:rPr>
          <w:rFonts w:hint="cs"/>
          <w:b/>
          <w:bCs/>
          <w:sz w:val="24"/>
          <w:rtl/>
        </w:rPr>
        <w:t>תאגידי המים</w:t>
      </w:r>
      <w:r>
        <w:rPr>
          <w:rFonts w:hint="cs"/>
          <w:b/>
          <w:bCs/>
          <w:sz w:val="24"/>
          <w:rtl/>
        </w:rPr>
        <w:t xml:space="preserve"> והביוב</w:t>
      </w:r>
      <w:r w:rsidRPr="00662350">
        <w:rPr>
          <w:rFonts w:hint="cs"/>
          <w:b/>
          <w:bCs/>
          <w:sz w:val="24"/>
          <w:rtl/>
        </w:rPr>
        <w:t xml:space="preserve"> </w:t>
      </w:r>
      <w:r>
        <w:rPr>
          <w:rFonts w:hint="cs"/>
          <w:b/>
          <w:bCs/>
          <w:sz w:val="24"/>
          <w:rtl/>
        </w:rPr>
        <w:t>ו</w:t>
      </w:r>
      <w:r w:rsidRPr="00662350">
        <w:rPr>
          <w:rFonts w:hint="cs"/>
          <w:b/>
          <w:bCs/>
          <w:sz w:val="24"/>
          <w:rtl/>
        </w:rPr>
        <w:t>פיקוח</w:t>
      </w:r>
      <w:r>
        <w:rPr>
          <w:rFonts w:hint="cs"/>
          <w:b/>
          <w:bCs/>
          <w:sz w:val="24"/>
          <w:rtl/>
        </w:rPr>
        <w:t xml:space="preserve"> </w:t>
      </w:r>
      <w:r w:rsidRPr="00662350">
        <w:rPr>
          <w:rFonts w:hint="cs"/>
          <w:b/>
          <w:bCs/>
          <w:sz w:val="24"/>
          <w:rtl/>
        </w:rPr>
        <w:t>על</w:t>
      </w:r>
      <w:r>
        <w:rPr>
          <w:rFonts w:hint="cs"/>
          <w:b/>
          <w:bCs/>
          <w:sz w:val="24"/>
          <w:rtl/>
        </w:rPr>
        <w:t>יהם</w:t>
      </w:r>
      <w:r w:rsidRPr="00662350">
        <w:rPr>
          <w:rFonts w:hint="cs"/>
          <w:b/>
          <w:bCs/>
          <w:sz w:val="24"/>
          <w:rtl/>
        </w:rPr>
        <w:t xml:space="preserve"> </w:t>
      </w:r>
      <w:r>
        <w:rPr>
          <w:rFonts w:hint="cs"/>
          <w:b/>
          <w:bCs/>
          <w:sz w:val="24"/>
          <w:rtl/>
        </w:rPr>
        <w:t xml:space="preserve">בנושא אפקטיביות הבקרה הפנימית, עד מועד סיום הביקורת, דצמבר 2019, ההליך טרם הושלם ואף טרם יושם הפיילוט שהוחלט עליו ביולי 2017. </w:t>
      </w:r>
    </w:p>
    <w:p w:rsidR="003D3BEF" w:rsidP="003D3BEF" w14:paraId="13355FC0" w14:textId="77777777">
      <w:pPr>
        <w:pStyle w:val="a"/>
        <w:spacing w:line="269" w:lineRule="auto"/>
        <w:rPr>
          <w:rtl/>
        </w:rPr>
      </w:pPr>
    </w:p>
    <w:p w:rsidR="003D3BEF" w:rsidP="003D3BEF" w14:paraId="01A70752" w14:textId="77777777">
      <w:pPr>
        <w:spacing w:line="269" w:lineRule="auto"/>
        <w:rPr>
          <w:b/>
          <w:bCs/>
          <w:sz w:val="24"/>
          <w:rtl/>
        </w:rPr>
      </w:pPr>
      <w:r w:rsidRPr="00B70DE1">
        <w:rPr>
          <w:rFonts w:hint="cs"/>
          <w:b/>
          <w:bCs/>
          <w:sz w:val="24"/>
          <w:rtl/>
        </w:rPr>
        <w:t>מומלץ כי הממונה על התאגידים יידרש לנושא אסדרת הבקרה הפנימית</w:t>
      </w:r>
      <w:r>
        <w:rPr>
          <w:rFonts w:hint="cs"/>
          <w:b/>
          <w:bCs/>
          <w:sz w:val="24"/>
          <w:rtl/>
        </w:rPr>
        <w:t xml:space="preserve"> והביקורת החיצונית</w:t>
      </w:r>
      <w:r w:rsidRPr="00B70DE1">
        <w:rPr>
          <w:rFonts w:hint="cs"/>
          <w:b/>
          <w:bCs/>
          <w:sz w:val="24"/>
          <w:rtl/>
        </w:rPr>
        <w:t xml:space="preserve"> בתאגידי המים והביוב, ואף ישקול להביא את הנושא לדיון במועצת רשות המים, שבסמכותה לקבוע כללים החלים על כלל התאגידים. מן הראוי כי הממונה</w:t>
      </w:r>
      <w:r>
        <w:rPr>
          <w:rFonts w:hint="cs"/>
          <w:b/>
          <w:bCs/>
          <w:sz w:val="24"/>
          <w:rtl/>
        </w:rPr>
        <w:t xml:space="preserve"> ישלים את בחינת החוזר משנת 2017</w:t>
      </w:r>
      <w:r w:rsidRPr="00B70DE1">
        <w:rPr>
          <w:rFonts w:hint="cs"/>
          <w:b/>
          <w:bCs/>
          <w:sz w:val="24"/>
          <w:rtl/>
        </w:rPr>
        <w:t xml:space="preserve"> </w:t>
      </w:r>
      <w:r>
        <w:rPr>
          <w:rFonts w:hint="cs"/>
          <w:b/>
          <w:bCs/>
          <w:sz w:val="24"/>
          <w:rtl/>
        </w:rPr>
        <w:t>ו</w:t>
      </w:r>
      <w:r w:rsidRPr="00B70DE1">
        <w:rPr>
          <w:rFonts w:hint="cs"/>
          <w:b/>
          <w:bCs/>
          <w:sz w:val="24"/>
          <w:rtl/>
        </w:rPr>
        <w:t>יבחן כלים בדומה לאלה החלים על חברות ממשלתיות ורשויות</w:t>
      </w:r>
      <w:r>
        <w:rPr>
          <w:rFonts w:hint="cs"/>
          <w:b/>
          <w:bCs/>
          <w:sz w:val="24"/>
          <w:rtl/>
        </w:rPr>
        <w:t xml:space="preserve"> מקומיות בעניין, מתן הנחיות מקצועיות לרו"ח המבקר, מתן הנחיות בדבר הצהרת המנהלים, מעקב אחר חתימת המנהלים ובקרה אחר עבודת הרו"ח המבקר והבקרה הפנימית בתאגידים.</w:t>
      </w:r>
      <w:r w:rsidRPr="00B70DE1">
        <w:rPr>
          <w:rFonts w:hint="cs"/>
          <w:b/>
          <w:bCs/>
          <w:sz w:val="24"/>
          <w:rtl/>
        </w:rPr>
        <w:t xml:space="preserve"> </w:t>
      </w:r>
    </w:p>
    <w:p w:rsidR="003D3BEF" w:rsidRPr="00B70DE1" w:rsidP="003D3BEF" w14:paraId="7FD07B99" w14:textId="77777777">
      <w:pPr>
        <w:pStyle w:val="a"/>
        <w:spacing w:line="269" w:lineRule="auto"/>
        <w:rPr>
          <w:rtl/>
        </w:rPr>
      </w:pPr>
    </w:p>
    <w:p w:rsidR="003D3BEF" w:rsidP="003D3BEF" w14:paraId="7C22A03B" w14:textId="77777777">
      <w:pPr>
        <w:spacing w:line="269" w:lineRule="auto"/>
        <w:rPr>
          <w:b/>
          <w:bCs/>
          <w:sz w:val="24"/>
          <w:rtl/>
        </w:rPr>
      </w:pPr>
      <w:r>
        <w:rPr>
          <w:rFonts w:hint="cs"/>
          <w:b/>
          <w:bCs/>
          <w:sz w:val="24"/>
          <w:rtl/>
        </w:rPr>
        <w:t>מן הראוי שרשות המים תקפיד לפרסם באתר שלה במרשתת (אינטרנט) את הצהרות המנהלים, במצורף לדוחות הכספיים של התאגידים, ואף תקפיד שההצהרות יהיו בנוסח המלא המתחייב על פי התקנות.</w:t>
      </w:r>
    </w:p>
    <w:p w:rsidR="003D3BEF" w:rsidP="003D3BEF" w14:paraId="5769E25B" w14:textId="77777777">
      <w:pPr>
        <w:pStyle w:val="a"/>
        <w:spacing w:line="269" w:lineRule="auto"/>
        <w:rPr>
          <w:rtl/>
        </w:rPr>
      </w:pPr>
    </w:p>
    <w:p w:rsidR="003D3BEF" w:rsidP="003D3BEF" w14:paraId="141D9EB1" w14:textId="77777777">
      <w:pPr>
        <w:spacing w:line="269" w:lineRule="auto"/>
        <w:rPr>
          <w:sz w:val="24"/>
          <w:rtl/>
        </w:rPr>
      </w:pPr>
      <w:r w:rsidRPr="005C3F06">
        <w:rPr>
          <w:sz w:val="24"/>
          <w:rtl/>
        </w:rPr>
        <w:t>רשות המים השיבה ב</w:t>
      </w:r>
      <w:r>
        <w:rPr>
          <w:rFonts w:hint="cs"/>
          <w:sz w:val="24"/>
          <w:rtl/>
        </w:rPr>
        <w:t>תשובתה מ</w:t>
      </w:r>
      <w:r w:rsidRPr="005C3F06">
        <w:rPr>
          <w:sz w:val="24"/>
          <w:rtl/>
        </w:rPr>
        <w:t>מאי 2020 כי תהליכי בחינת הבקרה הפנימית משיתים עלויות גבוהות על חברות, וכי בין היתר מטעם זה</w:t>
      </w:r>
      <w:r>
        <w:rPr>
          <w:rFonts w:hint="cs"/>
          <w:sz w:val="24"/>
          <w:rtl/>
        </w:rPr>
        <w:t xml:space="preserve"> </w:t>
      </w:r>
      <w:r w:rsidRPr="005C3F06">
        <w:rPr>
          <w:sz w:val="24"/>
          <w:rtl/>
        </w:rPr>
        <w:t>הגבילו גופי האסדרה את החלתם על חברות גדולות בלבד.</w:t>
      </w:r>
    </w:p>
    <w:p w:rsidR="003D3BEF" w:rsidRPr="005C3F06" w:rsidP="003D3BEF" w14:paraId="4F5DB9C7" w14:textId="77777777">
      <w:pPr>
        <w:pStyle w:val="a"/>
        <w:spacing w:line="269" w:lineRule="auto"/>
        <w:rPr>
          <w:rtl/>
        </w:rPr>
      </w:pPr>
    </w:p>
    <w:p w:rsidR="003D3BEF" w:rsidP="003D3BEF" w14:paraId="59ACDA16" w14:textId="77777777">
      <w:pPr>
        <w:spacing w:line="269" w:lineRule="auto"/>
        <w:rPr>
          <w:sz w:val="24"/>
          <w:rtl/>
        </w:rPr>
      </w:pPr>
      <w:r>
        <w:rPr>
          <w:rFonts w:hint="cs"/>
          <w:sz w:val="24"/>
          <w:rtl/>
        </w:rPr>
        <w:t>הרשות הוסיפה</w:t>
      </w:r>
      <w:r w:rsidRPr="005C3F06">
        <w:rPr>
          <w:sz w:val="24"/>
          <w:rtl/>
        </w:rPr>
        <w:t xml:space="preserve"> כי הסמכויות שניתנו בחוק לרשות החברות הממשלתיות ומשרד הפנים, הינן רחבות מאוד לעומת הסמכויות שניתנו </w:t>
      </w:r>
      <w:r>
        <w:rPr>
          <w:rFonts w:hint="cs"/>
          <w:sz w:val="24"/>
          <w:rtl/>
        </w:rPr>
        <w:t xml:space="preserve">בחוק </w:t>
      </w:r>
      <w:r w:rsidRPr="005C3F06">
        <w:rPr>
          <w:sz w:val="24"/>
          <w:rtl/>
        </w:rPr>
        <w:t>לרשות המים. למשל</w:t>
      </w:r>
      <w:r>
        <w:rPr>
          <w:rFonts w:hint="cs"/>
          <w:sz w:val="24"/>
          <w:rtl/>
        </w:rPr>
        <w:t>,</w:t>
      </w:r>
      <w:r w:rsidRPr="005C3F06">
        <w:rPr>
          <w:sz w:val="24"/>
          <w:rtl/>
        </w:rPr>
        <w:t xml:space="preserve"> לרשות המים אין סמכות לפי דין להתערב במינויו של רו"ח המבקר או לדרוש ממנו דיווחים. </w:t>
      </w:r>
      <w:r>
        <w:rPr>
          <w:rFonts w:hint="cs"/>
          <w:sz w:val="24"/>
          <w:rtl/>
        </w:rPr>
        <w:t>הרשות מסרה</w:t>
      </w:r>
      <w:r w:rsidRPr="005C3F06">
        <w:rPr>
          <w:sz w:val="24"/>
          <w:rtl/>
        </w:rPr>
        <w:t xml:space="preserve"> כי היא מקיימת בדיק</w:t>
      </w:r>
      <w:r>
        <w:rPr>
          <w:rFonts w:hint="cs"/>
          <w:sz w:val="24"/>
          <w:rtl/>
        </w:rPr>
        <w:t>ה של</w:t>
      </w:r>
      <w:r w:rsidRPr="005C3F06">
        <w:rPr>
          <w:sz w:val="24"/>
          <w:rtl/>
        </w:rPr>
        <w:t xml:space="preserve"> התאמת הדוחות למתכונת הדיווח ומבצעת ניתוח מלא של כל הדוחות הכספיים של התאגידים</w:t>
      </w:r>
      <w:r>
        <w:rPr>
          <w:rFonts w:hint="cs"/>
          <w:sz w:val="24"/>
          <w:rtl/>
        </w:rPr>
        <w:t xml:space="preserve"> אל מול</w:t>
      </w:r>
      <w:r w:rsidRPr="005C3F06">
        <w:rPr>
          <w:sz w:val="24"/>
          <w:rtl/>
        </w:rPr>
        <w:t xml:space="preserve"> הנורמה ובדיק</w:t>
      </w:r>
      <w:r>
        <w:rPr>
          <w:rFonts w:hint="cs"/>
          <w:sz w:val="24"/>
          <w:rtl/>
        </w:rPr>
        <w:t>ה של</w:t>
      </w:r>
      <w:r w:rsidRPr="005C3F06">
        <w:rPr>
          <w:sz w:val="24"/>
          <w:rtl/>
        </w:rPr>
        <w:t xml:space="preserve"> סבירות העלויות והרווח. ניתוח זה מאפשר לרשות המים לאתר ממצאים חריגים שאינם ניתנים לאיתור ב</w:t>
      </w:r>
      <w:r>
        <w:rPr>
          <w:rFonts w:hint="cs"/>
          <w:sz w:val="24"/>
          <w:rtl/>
        </w:rPr>
        <w:t>ת</w:t>
      </w:r>
      <w:r w:rsidRPr="005C3F06">
        <w:rPr>
          <w:sz w:val="24"/>
          <w:rtl/>
        </w:rPr>
        <w:t>הליכי בקרה אחרים. לבסוף, ציינה רשות המים כי עם הקמת החברות האזוריות היא תבחן את האפשרות ליישם ביקורת על אפקטיביות הבקרות הפנימיות בתאגידים גדולים.</w:t>
      </w:r>
    </w:p>
    <w:p w:rsidR="003D3BEF" w:rsidP="003D3BEF" w14:paraId="5737732E" w14:textId="77777777">
      <w:pPr>
        <w:spacing w:line="269" w:lineRule="auto"/>
        <w:rPr>
          <w:sz w:val="24"/>
          <w:rtl/>
        </w:rPr>
      </w:pPr>
    </w:p>
    <w:p w:rsidR="003D3BEF" w:rsidP="003D3BEF" w14:paraId="054A88DA" w14:textId="77777777">
      <w:pPr>
        <w:spacing w:line="269" w:lineRule="auto"/>
        <w:rPr>
          <w:sz w:val="24"/>
          <w:rtl/>
        </w:rPr>
      </w:pPr>
    </w:p>
    <w:p w:rsidR="003D3BEF" w:rsidP="003D3BEF" w14:paraId="1770BE35" w14:textId="77777777">
      <w:pPr>
        <w:spacing w:line="269" w:lineRule="auto"/>
        <w:rPr>
          <w:sz w:val="24"/>
          <w:rtl/>
        </w:rPr>
      </w:pPr>
    </w:p>
    <w:p w:rsidR="003D3BEF" w:rsidP="003D3BEF" w14:paraId="5B3DB4C5" w14:textId="77777777">
      <w:pPr>
        <w:spacing w:line="269" w:lineRule="auto"/>
        <w:rPr>
          <w:sz w:val="24"/>
          <w:rtl/>
        </w:rPr>
      </w:pPr>
    </w:p>
    <w:p w:rsidR="003D3BEF" w:rsidP="003D3BEF" w14:paraId="694CC846" w14:textId="77777777">
      <w:pPr>
        <w:spacing w:line="269" w:lineRule="auto"/>
        <w:rPr>
          <w:sz w:val="24"/>
          <w:rtl/>
        </w:rPr>
      </w:pPr>
    </w:p>
    <w:p w:rsidR="003D3BEF" w:rsidP="003D3BEF" w14:paraId="41AC160C" w14:textId="77777777">
      <w:pPr>
        <w:pStyle w:val="a"/>
        <w:spacing w:line="269" w:lineRule="auto"/>
        <w:rPr>
          <w:rtl/>
        </w:rPr>
      </w:pPr>
    </w:p>
    <w:p w:rsidR="003D3BEF" w:rsidP="003D3BEF" w14:paraId="01D6A46D" w14:textId="77777777">
      <w:pPr>
        <w:pStyle w:val="Heading3"/>
        <w:spacing w:before="0" w:line="269" w:lineRule="auto"/>
        <w:rPr>
          <w:rtl/>
        </w:rPr>
      </w:pPr>
      <w:bookmarkStart w:id="9" w:name="_Toc47260079"/>
      <w:r w:rsidRPr="002D3A7E">
        <w:rPr>
          <w:rFonts w:hint="cs"/>
          <w:rtl/>
        </w:rPr>
        <w:t xml:space="preserve">דיווחי רשות המים לציבור בנושא תאגידי </w:t>
      </w:r>
      <w:r>
        <w:rPr>
          <w:rFonts w:hint="cs"/>
          <w:rtl/>
        </w:rPr>
        <w:t>ה</w:t>
      </w:r>
      <w:r w:rsidRPr="002D3A7E">
        <w:rPr>
          <w:rFonts w:hint="cs"/>
          <w:rtl/>
        </w:rPr>
        <w:t>מים ו</w:t>
      </w:r>
      <w:r>
        <w:rPr>
          <w:rFonts w:hint="cs"/>
          <w:rtl/>
        </w:rPr>
        <w:t>ה</w:t>
      </w:r>
      <w:r w:rsidRPr="002D3A7E">
        <w:rPr>
          <w:rFonts w:hint="cs"/>
          <w:rtl/>
        </w:rPr>
        <w:t>ביוב</w:t>
      </w:r>
      <w:bookmarkEnd w:id="9"/>
    </w:p>
    <w:p w:rsidR="003D3BEF" w:rsidRPr="00D02B39" w:rsidP="003D3BEF" w14:paraId="226EA9D0" w14:textId="77777777">
      <w:pPr>
        <w:pStyle w:val="a"/>
        <w:rPr>
          <w:rtl/>
        </w:rPr>
      </w:pPr>
    </w:p>
    <w:p w:rsidR="003D3BEF" w:rsidRPr="00D02B39" w:rsidP="003D3BEF" w14:paraId="0A755D98" w14:textId="77777777">
      <w:pPr>
        <w:pStyle w:val="ListParagraph"/>
        <w:numPr>
          <w:ilvl w:val="0"/>
          <w:numId w:val="20"/>
        </w:numPr>
        <w:spacing w:line="269" w:lineRule="auto"/>
        <w:ind w:left="312"/>
        <w:rPr>
          <w:sz w:val="24"/>
          <w:rtl/>
        </w:rPr>
      </w:pPr>
      <w:r w:rsidRPr="00D02B39">
        <w:rPr>
          <w:rFonts w:hint="cs"/>
          <w:sz w:val="24"/>
          <w:rtl/>
        </w:rPr>
        <w:t>לפי חוק התאגידים</w:t>
      </w:r>
      <w:r>
        <w:rPr>
          <w:rStyle w:val="FootnoteReference"/>
          <w:sz w:val="24"/>
          <w:rtl/>
        </w:rPr>
        <w:footnoteReference w:id="124"/>
      </w:r>
      <w:r w:rsidRPr="00D02B39">
        <w:rPr>
          <w:rFonts w:hint="cs"/>
          <w:sz w:val="24"/>
          <w:rtl/>
        </w:rPr>
        <w:t xml:space="preserve">, תפרסם הרשות אחת לשנה דוח על פעילותה ועל פעילותם של התאגידים, כפי שתמצא לנכון. הפרסומים יהיו בדרך שתקבע מועצת הרשות, ובלבד שאמות מידה לשירות, כללים ותעריפים יפורסמו גם ברשומות וגם באתר הרשות במרשתת בסמוך ככל האפשר לאחר קביעתם. </w:t>
      </w:r>
    </w:p>
    <w:p w:rsidR="003D3BEF" w:rsidP="003D3BEF" w14:paraId="53945035" w14:textId="77777777">
      <w:pPr>
        <w:pStyle w:val="a"/>
        <w:spacing w:line="269" w:lineRule="auto"/>
        <w:rPr>
          <w:rtl/>
        </w:rPr>
      </w:pPr>
    </w:p>
    <w:p w:rsidR="003D3BEF" w:rsidP="003D3BEF" w14:paraId="7BD5DFBC" w14:textId="77777777">
      <w:pPr>
        <w:spacing w:line="269" w:lineRule="auto"/>
        <w:ind w:left="312"/>
        <w:rPr>
          <w:rtl/>
        </w:rPr>
      </w:pPr>
      <w:r>
        <w:rPr>
          <w:rFonts w:hint="cs"/>
          <w:rtl/>
        </w:rPr>
        <w:t xml:space="preserve">משרד מבקר המדינה בחן את הדיווחים השנתיים לציבור בשלושה סוגי דוחות: דוחות שנתיים של רשות המים בפרק על תאגידי המים והביוב, דוחות שנתיים של רשות החברות בנושא החברות הממשלתיות ודוחות שנתיים של משרד הפנים בנושא הרשויות המקומיות. להלן ממצאי ההשוואה בין הדיווחים לציבור בעניין תאגידי המים והביוב, החברות הממשלתיות והרשויות המקומיות בדוחות השנתיים של שלושת המאסדרים: </w:t>
      </w:r>
    </w:p>
    <w:p w:rsidR="003D3BEF" w:rsidP="003D3BEF" w14:paraId="56F5315F" w14:textId="77777777">
      <w:pPr>
        <w:pStyle w:val="a"/>
        <w:spacing w:line="269" w:lineRule="auto"/>
        <w:rPr>
          <w:rtl/>
        </w:rPr>
      </w:pPr>
    </w:p>
    <w:p w:rsidR="003D3BEF" w:rsidP="003D3BEF" w14:paraId="1773EFF1" w14:textId="77777777">
      <w:pPr>
        <w:spacing w:line="269" w:lineRule="auto"/>
        <w:jc w:val="center"/>
        <w:rPr>
          <w:b/>
          <w:bCs/>
          <w:sz w:val="24"/>
          <w:rtl/>
        </w:rPr>
      </w:pPr>
      <w:r>
        <w:rPr>
          <w:rFonts w:hint="cs"/>
          <w:b/>
          <w:bCs/>
          <w:sz w:val="24"/>
          <w:rtl/>
        </w:rPr>
        <w:t xml:space="preserve"> תרשים 39</w:t>
      </w:r>
      <w:r w:rsidRPr="00B70DE1">
        <w:rPr>
          <w:rFonts w:hint="cs"/>
          <w:b/>
          <w:bCs/>
          <w:sz w:val="24"/>
          <w:rtl/>
        </w:rPr>
        <w:t>: דיווחים לציבור בדוחות השנתיים של תאגידי מים וביוב, חברות ממשלתיות ורשויות מקומיות</w:t>
      </w:r>
    </w:p>
    <w:p w:rsidR="003D3BEF" w:rsidP="00902044" w14:paraId="55C8AFA4" w14:textId="77777777">
      <w:pPr>
        <w:spacing w:line="269" w:lineRule="auto"/>
        <w:jc w:val="center"/>
        <w:rPr>
          <w:szCs w:val="20"/>
          <w:rtl/>
        </w:rPr>
      </w:pPr>
      <w:r>
        <w:rPr>
          <w:noProof/>
          <w:szCs w:val="20"/>
          <w:rtl/>
        </w:rPr>
        <w:drawing>
          <wp:inline distT="0" distB="0" distL="0" distR="0">
            <wp:extent cx="4312920" cy="3803904"/>
            <wp:effectExtent l="0" t="0" r="0" b="6350"/>
            <wp:docPr id="780323279" name="תמונה 78032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3762" name="תרשים 39 - אינפו.jpg"/>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2920" cy="3803904"/>
                    </a:xfrm>
                    <a:prstGeom prst="rect">
                      <a:avLst/>
                    </a:prstGeom>
                  </pic:spPr>
                </pic:pic>
              </a:graphicData>
            </a:graphic>
          </wp:inline>
        </w:drawing>
      </w:r>
    </w:p>
    <w:p w:rsidR="003D3BEF" w:rsidRPr="00684E93" w:rsidP="00902044" w14:paraId="0F06FE2C" w14:textId="77777777">
      <w:pPr>
        <w:spacing w:before="120" w:line="269" w:lineRule="auto"/>
        <w:jc w:val="center"/>
        <w:rPr>
          <w:sz w:val="22"/>
          <w:szCs w:val="22"/>
          <w:rtl/>
        </w:rPr>
      </w:pPr>
      <w:r w:rsidRPr="00684E93">
        <w:rPr>
          <w:sz w:val="22"/>
          <w:szCs w:val="22"/>
          <w:rtl/>
        </w:rPr>
        <w:t xml:space="preserve">על פי דוחות שנתיים </w:t>
      </w:r>
      <w:r w:rsidRPr="00684E93">
        <w:rPr>
          <w:rFonts w:hint="cs"/>
          <w:sz w:val="22"/>
          <w:szCs w:val="22"/>
          <w:rtl/>
        </w:rPr>
        <w:t>ש</w:t>
      </w:r>
      <w:r w:rsidRPr="00684E93">
        <w:rPr>
          <w:sz w:val="22"/>
          <w:szCs w:val="22"/>
          <w:rtl/>
        </w:rPr>
        <w:t xml:space="preserve">רשות החברות, משרד הפנים ורשות המים </w:t>
      </w:r>
      <w:r w:rsidRPr="00684E93">
        <w:rPr>
          <w:rFonts w:hint="cs"/>
          <w:sz w:val="22"/>
          <w:szCs w:val="22"/>
          <w:rtl/>
        </w:rPr>
        <w:t xml:space="preserve">מפרסמים, </w:t>
      </w:r>
      <w:r w:rsidRPr="00684E93">
        <w:rPr>
          <w:sz w:val="22"/>
          <w:szCs w:val="22"/>
          <w:rtl/>
        </w:rPr>
        <w:t>בעיבוד משרד מבקר המדינה.</w:t>
      </w:r>
    </w:p>
    <w:p w:rsidR="003D3BEF" w:rsidP="003D3BEF" w14:paraId="1A519E6D" w14:textId="77777777">
      <w:pPr>
        <w:pStyle w:val="a"/>
        <w:spacing w:line="269" w:lineRule="auto"/>
        <w:rPr>
          <w:rtl/>
        </w:rPr>
      </w:pPr>
    </w:p>
    <w:p w:rsidR="003D3BEF" w:rsidP="003D3BEF" w14:paraId="4837772A" w14:textId="77777777">
      <w:pPr>
        <w:spacing w:line="269" w:lineRule="auto"/>
        <w:ind w:left="312"/>
        <w:rPr>
          <w:sz w:val="24"/>
          <w:rtl/>
        </w:rPr>
      </w:pPr>
      <w:r>
        <w:rPr>
          <w:rFonts w:hint="cs"/>
          <w:sz w:val="24"/>
          <w:rtl/>
        </w:rPr>
        <w:t>יצוין כי רוב הדוחות הכספיים של התאגידים, כמו גם הנתונים על זהותן ומספרן של הרשויות המקומיות החברות בתאגידים ועל היקף האוכלוסייה שהם משרתים, מפורסמים בנפרד באתר הרשות במרשתת. משרד מבקר המדינה בדק את מספר התאגידים שדוחותיהם הכספיים חסרים באתר רשות המים בשנים 2011 - 2018. התוצאות בתרשים הבא.</w:t>
      </w:r>
    </w:p>
    <w:p w:rsidR="003D3BEF" w:rsidP="003D3BEF" w14:paraId="12E36F9C" w14:textId="77777777">
      <w:pPr>
        <w:bidi w:val="0"/>
        <w:spacing w:after="200" w:line="276" w:lineRule="auto"/>
        <w:rPr>
          <w:szCs w:val="20"/>
          <w:rtl/>
        </w:rPr>
      </w:pPr>
      <w:r>
        <w:rPr>
          <w:rtl/>
        </w:rPr>
        <w:br w:type="page"/>
      </w:r>
    </w:p>
    <w:p w:rsidR="003D3BEF" w:rsidRPr="00A62859" w:rsidP="00902044" w14:paraId="3A3D75FC" w14:textId="77777777">
      <w:pPr>
        <w:spacing w:line="269" w:lineRule="auto"/>
        <w:jc w:val="center"/>
        <w:rPr>
          <w:b/>
          <w:bCs/>
          <w:sz w:val="24"/>
          <w:rtl/>
        </w:rPr>
      </w:pPr>
      <w:r w:rsidRPr="00A62859">
        <w:rPr>
          <w:rFonts w:hint="eastAsia"/>
          <w:b/>
          <w:bCs/>
          <w:sz w:val="24"/>
          <w:rtl/>
        </w:rPr>
        <w:t>תרשים</w:t>
      </w:r>
      <w:r>
        <w:rPr>
          <w:b/>
          <w:bCs/>
          <w:sz w:val="24"/>
          <w:rtl/>
        </w:rPr>
        <w:t xml:space="preserve"> </w:t>
      </w:r>
      <w:r>
        <w:rPr>
          <w:rFonts w:hint="cs"/>
          <w:b/>
          <w:bCs/>
          <w:sz w:val="24"/>
          <w:rtl/>
        </w:rPr>
        <w:t>40</w:t>
      </w:r>
      <w:r w:rsidRPr="00A62859">
        <w:rPr>
          <w:b/>
          <w:bCs/>
          <w:sz w:val="24"/>
          <w:rtl/>
        </w:rPr>
        <w:t xml:space="preserve">: </w:t>
      </w:r>
      <w:r w:rsidRPr="00A62859">
        <w:rPr>
          <w:rFonts w:hint="eastAsia"/>
          <w:b/>
          <w:bCs/>
          <w:sz w:val="24"/>
          <w:rtl/>
        </w:rPr>
        <w:t>מספר</w:t>
      </w:r>
      <w:r w:rsidRPr="00A62859">
        <w:rPr>
          <w:b/>
          <w:bCs/>
          <w:sz w:val="24"/>
          <w:rtl/>
        </w:rPr>
        <w:t xml:space="preserve"> </w:t>
      </w:r>
      <w:r w:rsidRPr="00A62859">
        <w:rPr>
          <w:rFonts w:hint="eastAsia"/>
          <w:b/>
          <w:bCs/>
          <w:sz w:val="24"/>
          <w:rtl/>
        </w:rPr>
        <w:t>הדוחות</w:t>
      </w:r>
      <w:r w:rsidRPr="00A62859">
        <w:rPr>
          <w:b/>
          <w:bCs/>
          <w:sz w:val="24"/>
          <w:rtl/>
        </w:rPr>
        <w:t xml:space="preserve"> </w:t>
      </w:r>
      <w:r w:rsidRPr="00A62859">
        <w:rPr>
          <w:rFonts w:hint="eastAsia"/>
          <w:b/>
          <w:bCs/>
          <w:sz w:val="24"/>
          <w:rtl/>
        </w:rPr>
        <w:t>הכספיים</w:t>
      </w:r>
      <w:r w:rsidRPr="00A62859">
        <w:rPr>
          <w:b/>
          <w:bCs/>
          <w:sz w:val="24"/>
          <w:rtl/>
        </w:rPr>
        <w:t xml:space="preserve"> </w:t>
      </w:r>
      <w:r w:rsidRPr="00A62859">
        <w:rPr>
          <w:rFonts w:hint="eastAsia"/>
          <w:b/>
          <w:bCs/>
          <w:sz w:val="24"/>
          <w:rtl/>
        </w:rPr>
        <w:t>של</w:t>
      </w:r>
      <w:r w:rsidRPr="00A62859">
        <w:rPr>
          <w:b/>
          <w:bCs/>
          <w:sz w:val="24"/>
          <w:rtl/>
        </w:rPr>
        <w:t xml:space="preserve"> </w:t>
      </w:r>
      <w:r w:rsidRPr="00A62859">
        <w:rPr>
          <w:rFonts w:hint="eastAsia"/>
          <w:b/>
          <w:bCs/>
          <w:sz w:val="24"/>
          <w:rtl/>
        </w:rPr>
        <w:t>התאגידים</w:t>
      </w:r>
      <w:r w:rsidRPr="00A62859">
        <w:rPr>
          <w:b/>
          <w:bCs/>
          <w:sz w:val="24"/>
          <w:rtl/>
        </w:rPr>
        <w:t xml:space="preserve"> </w:t>
      </w:r>
      <w:r w:rsidRPr="00A62859">
        <w:rPr>
          <w:rFonts w:hint="eastAsia"/>
          <w:b/>
          <w:bCs/>
          <w:sz w:val="24"/>
          <w:rtl/>
        </w:rPr>
        <w:t>שלא</w:t>
      </w:r>
      <w:r w:rsidRPr="00A62859">
        <w:rPr>
          <w:b/>
          <w:bCs/>
          <w:sz w:val="24"/>
          <w:rtl/>
        </w:rPr>
        <w:t xml:space="preserve"> </w:t>
      </w:r>
      <w:r w:rsidRPr="00A62859">
        <w:rPr>
          <w:rFonts w:hint="eastAsia"/>
          <w:b/>
          <w:bCs/>
          <w:sz w:val="24"/>
          <w:rtl/>
        </w:rPr>
        <w:t>פורסמו</w:t>
      </w:r>
      <w:r w:rsidRPr="00A62859">
        <w:rPr>
          <w:b/>
          <w:bCs/>
          <w:sz w:val="24"/>
          <w:rtl/>
        </w:rPr>
        <w:t xml:space="preserve"> </w:t>
      </w:r>
      <w:r w:rsidRPr="00A62859">
        <w:rPr>
          <w:rFonts w:hint="eastAsia"/>
          <w:b/>
          <w:bCs/>
          <w:sz w:val="24"/>
          <w:rtl/>
        </w:rPr>
        <w:t>באתר</w:t>
      </w:r>
      <w:r w:rsidRPr="00A62859">
        <w:rPr>
          <w:b/>
          <w:bCs/>
          <w:sz w:val="24"/>
          <w:rtl/>
        </w:rPr>
        <w:t xml:space="preserve"> </w:t>
      </w:r>
      <w:r w:rsidRPr="00A62859">
        <w:rPr>
          <w:rFonts w:hint="eastAsia"/>
          <w:b/>
          <w:bCs/>
          <w:sz w:val="24"/>
          <w:rtl/>
        </w:rPr>
        <w:t>רשות</w:t>
      </w:r>
      <w:r w:rsidRPr="00A62859">
        <w:rPr>
          <w:b/>
          <w:bCs/>
          <w:sz w:val="24"/>
          <w:rtl/>
        </w:rPr>
        <w:t xml:space="preserve"> </w:t>
      </w:r>
      <w:r w:rsidRPr="00A62859">
        <w:rPr>
          <w:rFonts w:hint="eastAsia"/>
          <w:b/>
          <w:bCs/>
          <w:sz w:val="24"/>
          <w:rtl/>
        </w:rPr>
        <w:t>המים</w:t>
      </w:r>
      <w:r w:rsidR="00902044">
        <w:rPr>
          <w:rFonts w:hint="cs"/>
          <w:b/>
          <w:bCs/>
          <w:sz w:val="24"/>
          <w:rtl/>
        </w:rPr>
        <w:br/>
      </w:r>
      <w:r w:rsidRPr="00A62859">
        <w:rPr>
          <w:rFonts w:hint="eastAsia"/>
          <w:b/>
          <w:bCs/>
          <w:sz w:val="24"/>
          <w:rtl/>
        </w:rPr>
        <w:t>בשנים</w:t>
      </w:r>
      <w:r w:rsidRPr="00A62859">
        <w:rPr>
          <w:b/>
          <w:bCs/>
          <w:sz w:val="24"/>
          <w:rtl/>
        </w:rPr>
        <w:t xml:space="preserve"> 2011 - 2018</w:t>
      </w:r>
    </w:p>
    <w:p w:rsidR="003D3BEF" w:rsidP="00902044" w14:paraId="62E414DE" w14:textId="77777777">
      <w:pPr>
        <w:spacing w:before="120" w:after="120" w:line="269" w:lineRule="auto"/>
        <w:jc w:val="center"/>
        <w:rPr>
          <w:sz w:val="24"/>
          <w:rtl/>
        </w:rPr>
      </w:pPr>
      <w:r>
        <w:rPr>
          <w:noProof/>
          <w:sz w:val="24"/>
          <w:rtl/>
        </w:rPr>
        <w:drawing>
          <wp:inline distT="0" distB="0" distL="0" distR="0">
            <wp:extent cx="4325121" cy="2359157"/>
            <wp:effectExtent l="0" t="0" r="0" b="3175"/>
            <wp:docPr id="780323280" name="תמונה 78032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18211" name="water-corporations-g-40.png"/>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59157"/>
                    </a:xfrm>
                    <a:prstGeom prst="rect">
                      <a:avLst/>
                    </a:prstGeom>
                  </pic:spPr>
                </pic:pic>
              </a:graphicData>
            </a:graphic>
          </wp:inline>
        </w:drawing>
      </w:r>
    </w:p>
    <w:p w:rsidR="003D3BEF" w:rsidRPr="00684E93" w:rsidP="00902044" w14:paraId="63017E0F" w14:textId="77777777">
      <w:pPr>
        <w:spacing w:line="269" w:lineRule="auto"/>
        <w:rPr>
          <w:sz w:val="22"/>
          <w:szCs w:val="22"/>
          <w:rtl/>
        </w:rPr>
      </w:pPr>
      <w:r>
        <w:rPr>
          <w:rFonts w:hint="cs"/>
          <w:sz w:val="22"/>
          <w:szCs w:val="22"/>
          <w:rtl/>
        </w:rPr>
        <w:t>על פי</w:t>
      </w:r>
      <w:r w:rsidRPr="00684E93">
        <w:rPr>
          <w:rFonts w:hint="cs"/>
          <w:sz w:val="22"/>
          <w:szCs w:val="22"/>
          <w:rtl/>
        </w:rPr>
        <w:t xml:space="preserve"> נתונים מאתר רשות המים במשרתת, בעיבוד משרד מבקר המדינה.</w:t>
      </w:r>
    </w:p>
    <w:p w:rsidR="003D3BEF" w:rsidRPr="00A07561" w:rsidP="003D3BEF" w14:paraId="4B4DF77D" w14:textId="77777777">
      <w:pPr>
        <w:pStyle w:val="a"/>
        <w:spacing w:line="269" w:lineRule="auto"/>
        <w:rPr>
          <w:rtl/>
        </w:rPr>
      </w:pPr>
    </w:p>
    <w:p w:rsidR="003D3BEF" w:rsidP="003D3BEF" w14:paraId="091C61C9" w14:textId="77777777">
      <w:pPr>
        <w:spacing w:line="269" w:lineRule="auto"/>
        <w:ind w:left="312" w:firstLine="2"/>
        <w:rPr>
          <w:b/>
          <w:bCs/>
          <w:sz w:val="24"/>
          <w:rtl/>
        </w:rPr>
      </w:pPr>
      <w:r w:rsidRPr="00A62859">
        <w:rPr>
          <w:rFonts w:hint="eastAsia"/>
          <w:b/>
          <w:bCs/>
          <w:sz w:val="24"/>
          <w:rtl/>
        </w:rPr>
        <w:t>מה</w:t>
      </w:r>
      <w:r>
        <w:rPr>
          <w:rFonts w:hint="cs"/>
          <w:b/>
          <w:bCs/>
          <w:sz w:val="24"/>
          <w:rtl/>
        </w:rPr>
        <w:t xml:space="preserve">תרשים </w:t>
      </w:r>
      <w:r w:rsidRPr="00A62859">
        <w:rPr>
          <w:rFonts w:hint="eastAsia"/>
          <w:b/>
          <w:bCs/>
          <w:sz w:val="24"/>
          <w:rtl/>
        </w:rPr>
        <w:t>ניתן</w:t>
      </w:r>
      <w:r w:rsidRPr="00A62859">
        <w:rPr>
          <w:b/>
          <w:bCs/>
          <w:sz w:val="24"/>
          <w:rtl/>
        </w:rPr>
        <w:t xml:space="preserve"> </w:t>
      </w:r>
      <w:r w:rsidRPr="00A62859">
        <w:rPr>
          <w:rFonts w:hint="eastAsia"/>
          <w:b/>
          <w:bCs/>
          <w:sz w:val="24"/>
          <w:rtl/>
        </w:rPr>
        <w:t>לראות</w:t>
      </w:r>
      <w:r w:rsidRPr="00A62859">
        <w:rPr>
          <w:b/>
          <w:bCs/>
          <w:sz w:val="24"/>
          <w:rtl/>
        </w:rPr>
        <w:t xml:space="preserve"> </w:t>
      </w:r>
      <w:r w:rsidRPr="00A62859">
        <w:rPr>
          <w:rFonts w:hint="eastAsia"/>
          <w:b/>
          <w:bCs/>
          <w:sz w:val="24"/>
          <w:rtl/>
        </w:rPr>
        <w:t>כי</w:t>
      </w:r>
      <w:r w:rsidRPr="00A62859">
        <w:rPr>
          <w:b/>
          <w:bCs/>
          <w:sz w:val="24"/>
          <w:rtl/>
        </w:rPr>
        <w:t xml:space="preserve"> </w:t>
      </w:r>
      <w:r w:rsidRPr="00A62859">
        <w:rPr>
          <w:rFonts w:hint="eastAsia"/>
          <w:b/>
          <w:bCs/>
          <w:sz w:val="24"/>
          <w:rtl/>
        </w:rPr>
        <w:t>בשנים</w:t>
      </w:r>
      <w:r w:rsidRPr="00A62859">
        <w:rPr>
          <w:b/>
          <w:bCs/>
          <w:sz w:val="24"/>
          <w:rtl/>
        </w:rPr>
        <w:t xml:space="preserve"> </w:t>
      </w:r>
      <w:r w:rsidRPr="00A62859">
        <w:rPr>
          <w:rFonts w:hint="eastAsia"/>
          <w:b/>
          <w:bCs/>
          <w:sz w:val="24"/>
          <w:rtl/>
        </w:rPr>
        <w:t>האחרונות</w:t>
      </w:r>
      <w:r w:rsidRPr="00A62859">
        <w:rPr>
          <w:b/>
          <w:bCs/>
          <w:sz w:val="24"/>
          <w:rtl/>
        </w:rPr>
        <w:t xml:space="preserve"> </w:t>
      </w:r>
      <w:r w:rsidRPr="00A62859">
        <w:rPr>
          <w:rFonts w:hint="eastAsia"/>
          <w:b/>
          <w:bCs/>
          <w:sz w:val="24"/>
          <w:rtl/>
        </w:rPr>
        <w:t>הלך</w:t>
      </w:r>
      <w:r w:rsidRPr="00A62859">
        <w:rPr>
          <w:b/>
          <w:bCs/>
          <w:sz w:val="24"/>
          <w:rtl/>
        </w:rPr>
        <w:t xml:space="preserve"> </w:t>
      </w:r>
      <w:r w:rsidRPr="00A62859">
        <w:rPr>
          <w:rFonts w:hint="eastAsia"/>
          <w:b/>
          <w:bCs/>
          <w:sz w:val="24"/>
          <w:rtl/>
        </w:rPr>
        <w:t>וגדל</w:t>
      </w:r>
      <w:r w:rsidRPr="00A62859">
        <w:rPr>
          <w:b/>
          <w:bCs/>
          <w:sz w:val="24"/>
          <w:rtl/>
        </w:rPr>
        <w:t xml:space="preserve"> </w:t>
      </w:r>
      <w:r w:rsidRPr="00A62859">
        <w:rPr>
          <w:rFonts w:hint="eastAsia"/>
          <w:b/>
          <w:bCs/>
          <w:sz w:val="24"/>
          <w:rtl/>
        </w:rPr>
        <w:t>באופן</w:t>
      </w:r>
      <w:r w:rsidRPr="00A62859">
        <w:rPr>
          <w:b/>
          <w:bCs/>
          <w:sz w:val="24"/>
          <w:rtl/>
        </w:rPr>
        <w:t xml:space="preserve"> </w:t>
      </w:r>
      <w:r w:rsidRPr="00A62859">
        <w:rPr>
          <w:rFonts w:hint="eastAsia"/>
          <w:b/>
          <w:bCs/>
          <w:sz w:val="24"/>
          <w:rtl/>
        </w:rPr>
        <w:t>משמעותי</w:t>
      </w:r>
      <w:r w:rsidRPr="00A62859">
        <w:rPr>
          <w:b/>
          <w:bCs/>
          <w:sz w:val="24"/>
          <w:rtl/>
        </w:rPr>
        <w:t xml:space="preserve"> </w:t>
      </w:r>
      <w:r w:rsidRPr="00A62859">
        <w:rPr>
          <w:rFonts w:hint="eastAsia"/>
          <w:b/>
          <w:bCs/>
          <w:sz w:val="24"/>
          <w:rtl/>
        </w:rPr>
        <w:t>מספר</w:t>
      </w:r>
      <w:r w:rsidRPr="00A62859">
        <w:rPr>
          <w:b/>
          <w:bCs/>
          <w:sz w:val="24"/>
          <w:rtl/>
        </w:rPr>
        <w:t xml:space="preserve"> </w:t>
      </w:r>
      <w:r w:rsidRPr="00A62859">
        <w:rPr>
          <w:rFonts w:hint="eastAsia"/>
          <w:b/>
          <w:bCs/>
          <w:sz w:val="24"/>
          <w:rtl/>
        </w:rPr>
        <w:t>התאגידים</w:t>
      </w:r>
      <w:r w:rsidRPr="00A62859">
        <w:rPr>
          <w:b/>
          <w:bCs/>
          <w:sz w:val="24"/>
          <w:rtl/>
        </w:rPr>
        <w:t xml:space="preserve"> </w:t>
      </w:r>
      <w:r w:rsidRPr="00A62859">
        <w:rPr>
          <w:rFonts w:hint="eastAsia"/>
          <w:b/>
          <w:bCs/>
          <w:sz w:val="24"/>
          <w:rtl/>
        </w:rPr>
        <w:t>שדוחותיהם</w:t>
      </w:r>
      <w:r w:rsidRPr="00A62859">
        <w:rPr>
          <w:b/>
          <w:bCs/>
          <w:sz w:val="24"/>
          <w:rtl/>
        </w:rPr>
        <w:t xml:space="preserve"> </w:t>
      </w:r>
      <w:r w:rsidRPr="00A62859">
        <w:rPr>
          <w:rFonts w:hint="eastAsia"/>
          <w:b/>
          <w:bCs/>
          <w:sz w:val="24"/>
          <w:rtl/>
        </w:rPr>
        <w:t>הכספיים</w:t>
      </w:r>
      <w:r w:rsidRPr="00A62859">
        <w:rPr>
          <w:b/>
          <w:bCs/>
          <w:sz w:val="24"/>
          <w:rtl/>
        </w:rPr>
        <w:t xml:space="preserve"> </w:t>
      </w:r>
      <w:r w:rsidRPr="00A62859">
        <w:rPr>
          <w:rFonts w:hint="eastAsia"/>
          <w:b/>
          <w:bCs/>
          <w:sz w:val="24"/>
          <w:rtl/>
        </w:rPr>
        <w:t>לא</w:t>
      </w:r>
      <w:r w:rsidRPr="00A62859">
        <w:rPr>
          <w:b/>
          <w:bCs/>
          <w:sz w:val="24"/>
          <w:rtl/>
        </w:rPr>
        <w:t xml:space="preserve"> </w:t>
      </w:r>
      <w:r w:rsidRPr="00A62859">
        <w:rPr>
          <w:rFonts w:hint="eastAsia"/>
          <w:b/>
          <w:bCs/>
          <w:sz w:val="24"/>
          <w:rtl/>
        </w:rPr>
        <w:t>פורסמו</w:t>
      </w:r>
      <w:r w:rsidRPr="00A62859">
        <w:rPr>
          <w:b/>
          <w:bCs/>
          <w:sz w:val="24"/>
          <w:rtl/>
        </w:rPr>
        <w:t xml:space="preserve"> </w:t>
      </w:r>
      <w:r w:rsidRPr="00A62859">
        <w:rPr>
          <w:rFonts w:hint="eastAsia"/>
          <w:b/>
          <w:bCs/>
          <w:sz w:val="24"/>
          <w:rtl/>
        </w:rPr>
        <w:t>לציבור</w:t>
      </w:r>
      <w:r w:rsidRPr="00A62859">
        <w:rPr>
          <w:b/>
          <w:bCs/>
          <w:sz w:val="24"/>
          <w:rtl/>
        </w:rPr>
        <w:t xml:space="preserve"> </w:t>
      </w:r>
      <w:r w:rsidRPr="00A62859">
        <w:rPr>
          <w:rFonts w:hint="eastAsia"/>
          <w:b/>
          <w:bCs/>
          <w:sz w:val="24"/>
          <w:rtl/>
        </w:rPr>
        <w:t>באתר</w:t>
      </w:r>
      <w:r w:rsidRPr="00A62859">
        <w:rPr>
          <w:b/>
          <w:bCs/>
          <w:sz w:val="24"/>
          <w:rtl/>
        </w:rPr>
        <w:t xml:space="preserve"> </w:t>
      </w:r>
      <w:r w:rsidRPr="00A62859">
        <w:rPr>
          <w:rFonts w:hint="eastAsia"/>
          <w:b/>
          <w:bCs/>
          <w:sz w:val="24"/>
          <w:rtl/>
        </w:rPr>
        <w:t>רשות</w:t>
      </w:r>
      <w:r w:rsidRPr="00A62859">
        <w:rPr>
          <w:b/>
          <w:bCs/>
          <w:sz w:val="24"/>
          <w:rtl/>
        </w:rPr>
        <w:t xml:space="preserve"> </w:t>
      </w:r>
      <w:r w:rsidRPr="00A62859">
        <w:rPr>
          <w:rFonts w:hint="eastAsia"/>
          <w:b/>
          <w:bCs/>
          <w:sz w:val="24"/>
          <w:rtl/>
        </w:rPr>
        <w:t>המים</w:t>
      </w:r>
      <w:r w:rsidRPr="00A62859">
        <w:rPr>
          <w:b/>
          <w:bCs/>
          <w:sz w:val="24"/>
          <w:rtl/>
        </w:rPr>
        <w:t>.</w:t>
      </w:r>
    </w:p>
    <w:p w:rsidR="003D3BEF" w:rsidRPr="00A62859" w:rsidP="003D3BEF" w14:paraId="20E01AA9" w14:textId="77777777">
      <w:pPr>
        <w:pStyle w:val="a"/>
        <w:spacing w:line="269" w:lineRule="auto"/>
        <w:rPr>
          <w:rtl/>
        </w:rPr>
      </w:pPr>
    </w:p>
    <w:p w:rsidR="003D3BEF" w:rsidP="003D3BEF" w14:paraId="506B998A" w14:textId="77777777">
      <w:pPr>
        <w:spacing w:line="269" w:lineRule="auto"/>
        <w:ind w:left="312"/>
        <w:rPr>
          <w:b/>
          <w:bCs/>
          <w:sz w:val="24"/>
          <w:rtl/>
        </w:rPr>
      </w:pPr>
      <w:r>
        <w:rPr>
          <w:rFonts w:hint="cs"/>
          <w:b/>
          <w:bCs/>
          <w:sz w:val="24"/>
          <w:rtl/>
        </w:rPr>
        <w:t>מן הראוי כי רשות המים תקפיד שכל הדוחות הכספיים של התאיגידים יפורסמו באתר במרשתת. הקפדה זו חשובה בייחוד נוכח העובדה שלא כל התאגידים מקפידים לפרסם לציבור את דוחותיהם הכספיים באתרים שלהם במרשתת.</w:t>
      </w:r>
    </w:p>
    <w:p w:rsidR="003D3BEF" w:rsidP="003D3BEF" w14:paraId="4AEE1C4C" w14:textId="77777777">
      <w:pPr>
        <w:pStyle w:val="a"/>
        <w:spacing w:line="269" w:lineRule="auto"/>
        <w:rPr>
          <w:rtl/>
        </w:rPr>
      </w:pPr>
    </w:p>
    <w:p w:rsidR="003D3BEF" w:rsidP="003D3BEF" w14:paraId="2BC06F4B" w14:textId="77777777">
      <w:pPr>
        <w:spacing w:line="269" w:lineRule="auto"/>
        <w:ind w:left="312"/>
        <w:rPr>
          <w:b/>
          <w:bCs/>
          <w:sz w:val="24"/>
          <w:rtl/>
        </w:rPr>
      </w:pPr>
      <w:r>
        <w:rPr>
          <w:rFonts w:hint="cs"/>
          <w:b/>
          <w:bCs/>
          <w:sz w:val="24"/>
          <w:rtl/>
        </w:rPr>
        <w:t xml:space="preserve">בנוסף, </w:t>
      </w:r>
      <w:r w:rsidRPr="00866373">
        <w:rPr>
          <w:rFonts w:hint="cs"/>
          <w:b/>
          <w:bCs/>
          <w:sz w:val="24"/>
          <w:rtl/>
        </w:rPr>
        <w:t>מן</w:t>
      </w:r>
      <w:r w:rsidRPr="00866373">
        <w:rPr>
          <w:b/>
          <w:bCs/>
          <w:sz w:val="24"/>
          <w:rtl/>
        </w:rPr>
        <w:t xml:space="preserve"> </w:t>
      </w:r>
      <w:r w:rsidRPr="00866373">
        <w:rPr>
          <w:rFonts w:hint="cs"/>
          <w:b/>
          <w:bCs/>
          <w:sz w:val="24"/>
          <w:rtl/>
        </w:rPr>
        <w:t>הראוי</w:t>
      </w:r>
      <w:r w:rsidRPr="00866373">
        <w:rPr>
          <w:b/>
          <w:bCs/>
          <w:sz w:val="24"/>
          <w:rtl/>
        </w:rPr>
        <w:t xml:space="preserve"> </w:t>
      </w:r>
      <w:r>
        <w:rPr>
          <w:rFonts w:hint="cs"/>
          <w:b/>
          <w:bCs/>
          <w:sz w:val="24"/>
          <w:rtl/>
        </w:rPr>
        <w:t>ש</w:t>
      </w:r>
      <w:r w:rsidRPr="00866373">
        <w:rPr>
          <w:rFonts w:hint="cs"/>
          <w:b/>
          <w:bCs/>
          <w:sz w:val="24"/>
          <w:rtl/>
        </w:rPr>
        <w:t>במסגרת</w:t>
      </w:r>
      <w:r w:rsidRPr="00866373">
        <w:rPr>
          <w:b/>
          <w:bCs/>
          <w:sz w:val="24"/>
          <w:rtl/>
        </w:rPr>
        <w:t xml:space="preserve"> </w:t>
      </w:r>
      <w:r w:rsidRPr="00866373">
        <w:rPr>
          <w:rFonts w:hint="cs"/>
          <w:b/>
          <w:bCs/>
          <w:sz w:val="24"/>
          <w:rtl/>
        </w:rPr>
        <w:t>הדו</w:t>
      </w:r>
      <w:r w:rsidRPr="00866373">
        <w:rPr>
          <w:b/>
          <w:bCs/>
          <w:sz w:val="24"/>
          <w:rtl/>
        </w:rPr>
        <w:t xml:space="preserve">ח </w:t>
      </w:r>
      <w:r w:rsidRPr="00866373">
        <w:rPr>
          <w:rFonts w:hint="cs"/>
          <w:b/>
          <w:bCs/>
          <w:sz w:val="24"/>
          <w:rtl/>
        </w:rPr>
        <w:t>השנתי</w:t>
      </w:r>
      <w:r w:rsidRPr="00866373">
        <w:rPr>
          <w:b/>
          <w:bCs/>
          <w:sz w:val="24"/>
          <w:rtl/>
        </w:rPr>
        <w:t xml:space="preserve"> </w:t>
      </w:r>
      <w:r w:rsidRPr="00866373">
        <w:rPr>
          <w:rFonts w:hint="cs"/>
          <w:b/>
          <w:bCs/>
          <w:sz w:val="24"/>
          <w:rtl/>
        </w:rPr>
        <w:t>שרשות</w:t>
      </w:r>
      <w:r>
        <w:rPr>
          <w:rFonts w:hint="cs"/>
          <w:b/>
          <w:bCs/>
          <w:sz w:val="24"/>
          <w:rtl/>
        </w:rPr>
        <w:t xml:space="preserve"> המים</w:t>
      </w:r>
      <w:r w:rsidRPr="00866373">
        <w:rPr>
          <w:b/>
          <w:bCs/>
          <w:sz w:val="24"/>
          <w:rtl/>
        </w:rPr>
        <w:t xml:space="preserve"> </w:t>
      </w:r>
      <w:r w:rsidRPr="00866373">
        <w:rPr>
          <w:rFonts w:hint="cs"/>
          <w:b/>
          <w:bCs/>
          <w:sz w:val="24"/>
          <w:rtl/>
        </w:rPr>
        <w:t>מפרסמת</w:t>
      </w:r>
      <w:r w:rsidRPr="00866373">
        <w:rPr>
          <w:b/>
          <w:bCs/>
          <w:sz w:val="24"/>
          <w:rtl/>
        </w:rPr>
        <w:t xml:space="preserve"> </w:t>
      </w:r>
      <w:r w:rsidRPr="00866373">
        <w:rPr>
          <w:rFonts w:hint="cs"/>
          <w:b/>
          <w:bCs/>
          <w:sz w:val="24"/>
          <w:rtl/>
        </w:rPr>
        <w:t>לציבור</w:t>
      </w:r>
      <w:r w:rsidRPr="00866373">
        <w:rPr>
          <w:b/>
          <w:bCs/>
          <w:sz w:val="24"/>
          <w:rtl/>
        </w:rPr>
        <w:t xml:space="preserve"> </w:t>
      </w:r>
      <w:r w:rsidRPr="00866373">
        <w:rPr>
          <w:rFonts w:hint="cs"/>
          <w:b/>
          <w:bCs/>
          <w:sz w:val="24"/>
          <w:rtl/>
        </w:rPr>
        <w:t>היא</w:t>
      </w:r>
      <w:r w:rsidRPr="00866373">
        <w:rPr>
          <w:b/>
          <w:bCs/>
          <w:sz w:val="24"/>
          <w:rtl/>
        </w:rPr>
        <w:t xml:space="preserve"> </w:t>
      </w:r>
      <w:r w:rsidRPr="00866373">
        <w:rPr>
          <w:rFonts w:hint="cs"/>
          <w:b/>
          <w:bCs/>
          <w:sz w:val="24"/>
          <w:rtl/>
        </w:rPr>
        <w:t>תשקול</w:t>
      </w:r>
      <w:r w:rsidRPr="00866373">
        <w:rPr>
          <w:b/>
          <w:bCs/>
          <w:sz w:val="24"/>
          <w:rtl/>
        </w:rPr>
        <w:t xml:space="preserve"> </w:t>
      </w:r>
      <w:r w:rsidRPr="00866373">
        <w:rPr>
          <w:rFonts w:hint="cs"/>
          <w:b/>
          <w:bCs/>
          <w:sz w:val="24"/>
          <w:rtl/>
        </w:rPr>
        <w:t>להרחיב</w:t>
      </w:r>
      <w:r w:rsidRPr="00866373">
        <w:rPr>
          <w:b/>
          <w:bCs/>
          <w:sz w:val="24"/>
          <w:rtl/>
        </w:rPr>
        <w:t xml:space="preserve"> </w:t>
      </w:r>
      <w:r w:rsidRPr="00866373">
        <w:rPr>
          <w:rFonts w:hint="cs"/>
          <w:b/>
          <w:bCs/>
          <w:sz w:val="24"/>
          <w:rtl/>
        </w:rPr>
        <w:t>את</w:t>
      </w:r>
      <w:r w:rsidRPr="00866373">
        <w:rPr>
          <w:b/>
          <w:bCs/>
          <w:sz w:val="24"/>
          <w:rtl/>
        </w:rPr>
        <w:t xml:space="preserve"> </w:t>
      </w:r>
      <w:r w:rsidRPr="00866373">
        <w:rPr>
          <w:rFonts w:hint="cs"/>
          <w:b/>
          <w:bCs/>
          <w:sz w:val="24"/>
          <w:rtl/>
        </w:rPr>
        <w:t>המידע</w:t>
      </w:r>
      <w:r w:rsidRPr="00866373">
        <w:rPr>
          <w:b/>
          <w:bCs/>
          <w:sz w:val="24"/>
          <w:rtl/>
        </w:rPr>
        <w:t xml:space="preserve"> </w:t>
      </w:r>
      <w:r w:rsidRPr="00866373">
        <w:rPr>
          <w:rFonts w:hint="cs"/>
          <w:b/>
          <w:bCs/>
          <w:sz w:val="24"/>
          <w:rtl/>
        </w:rPr>
        <w:t>הנוגע</w:t>
      </w:r>
      <w:r w:rsidRPr="00866373">
        <w:rPr>
          <w:b/>
          <w:bCs/>
          <w:sz w:val="24"/>
          <w:rtl/>
        </w:rPr>
        <w:t xml:space="preserve"> </w:t>
      </w:r>
      <w:r w:rsidRPr="00866373">
        <w:rPr>
          <w:rFonts w:hint="cs"/>
          <w:b/>
          <w:bCs/>
          <w:sz w:val="24"/>
          <w:rtl/>
        </w:rPr>
        <w:t>לתאגידים</w:t>
      </w:r>
      <w:r>
        <w:rPr>
          <w:rFonts w:hint="cs"/>
          <w:b/>
          <w:bCs/>
          <w:sz w:val="24"/>
          <w:rtl/>
        </w:rPr>
        <w:t>,</w:t>
      </w:r>
      <w:r w:rsidRPr="00866373">
        <w:rPr>
          <w:b/>
          <w:bCs/>
          <w:sz w:val="24"/>
          <w:rtl/>
        </w:rPr>
        <w:t xml:space="preserve"> </w:t>
      </w:r>
      <w:r>
        <w:rPr>
          <w:rFonts w:hint="cs"/>
          <w:b/>
          <w:bCs/>
          <w:sz w:val="24"/>
          <w:rtl/>
        </w:rPr>
        <w:t>לרבות</w:t>
      </w:r>
      <w:r w:rsidRPr="00866373">
        <w:rPr>
          <w:b/>
          <w:bCs/>
          <w:sz w:val="24"/>
          <w:rtl/>
        </w:rPr>
        <w:t xml:space="preserve"> </w:t>
      </w:r>
      <w:r w:rsidRPr="00866373">
        <w:rPr>
          <w:rFonts w:hint="cs"/>
          <w:b/>
          <w:bCs/>
          <w:sz w:val="24"/>
          <w:rtl/>
        </w:rPr>
        <w:t>אירועים</w:t>
      </w:r>
      <w:r w:rsidRPr="00866373">
        <w:rPr>
          <w:b/>
          <w:bCs/>
          <w:sz w:val="24"/>
          <w:rtl/>
        </w:rPr>
        <w:t xml:space="preserve"> </w:t>
      </w:r>
      <w:r w:rsidRPr="00866373">
        <w:rPr>
          <w:rFonts w:hint="cs"/>
          <w:b/>
          <w:bCs/>
          <w:sz w:val="24"/>
          <w:rtl/>
        </w:rPr>
        <w:t>מהותיים</w:t>
      </w:r>
      <w:r w:rsidRPr="00866373">
        <w:rPr>
          <w:b/>
          <w:bCs/>
          <w:sz w:val="24"/>
          <w:rtl/>
        </w:rPr>
        <w:t xml:space="preserve"> </w:t>
      </w:r>
      <w:r w:rsidRPr="00866373">
        <w:rPr>
          <w:rFonts w:hint="cs"/>
          <w:b/>
          <w:bCs/>
          <w:sz w:val="24"/>
          <w:rtl/>
        </w:rPr>
        <w:t>בתקופת</w:t>
      </w:r>
      <w:r w:rsidRPr="00866373">
        <w:rPr>
          <w:b/>
          <w:bCs/>
          <w:sz w:val="24"/>
          <w:rtl/>
        </w:rPr>
        <w:t xml:space="preserve"> </w:t>
      </w:r>
      <w:r w:rsidRPr="00866373">
        <w:rPr>
          <w:rFonts w:hint="cs"/>
          <w:b/>
          <w:bCs/>
          <w:sz w:val="24"/>
          <w:rtl/>
        </w:rPr>
        <w:t>הדו</w:t>
      </w:r>
      <w:r w:rsidRPr="00866373">
        <w:rPr>
          <w:b/>
          <w:bCs/>
          <w:sz w:val="24"/>
          <w:rtl/>
        </w:rPr>
        <w:t>ח</w:t>
      </w:r>
      <w:r>
        <w:rPr>
          <w:rFonts w:hint="cs"/>
          <w:b/>
          <w:bCs/>
          <w:sz w:val="24"/>
          <w:rtl/>
        </w:rPr>
        <w:t xml:space="preserve"> כולל</w:t>
      </w:r>
      <w:r w:rsidRPr="00866373">
        <w:rPr>
          <w:b/>
          <w:bCs/>
          <w:sz w:val="24"/>
          <w:rtl/>
        </w:rPr>
        <w:t xml:space="preserve"> </w:t>
      </w:r>
      <w:r w:rsidRPr="00866373">
        <w:rPr>
          <w:rFonts w:hint="cs"/>
          <w:b/>
          <w:bCs/>
          <w:sz w:val="24"/>
          <w:rtl/>
        </w:rPr>
        <w:t>מענקים</w:t>
      </w:r>
      <w:r w:rsidRPr="00866373">
        <w:rPr>
          <w:b/>
          <w:bCs/>
          <w:sz w:val="24"/>
          <w:rtl/>
        </w:rPr>
        <w:t xml:space="preserve"> </w:t>
      </w:r>
      <w:r w:rsidRPr="00866373">
        <w:rPr>
          <w:rFonts w:hint="cs"/>
          <w:b/>
          <w:bCs/>
          <w:sz w:val="24"/>
          <w:rtl/>
        </w:rPr>
        <w:t>שהתקבלו</w:t>
      </w:r>
      <w:r w:rsidRPr="00866373">
        <w:rPr>
          <w:b/>
          <w:bCs/>
          <w:sz w:val="24"/>
          <w:rtl/>
        </w:rPr>
        <w:t xml:space="preserve">, </w:t>
      </w:r>
      <w:r w:rsidRPr="00866373">
        <w:rPr>
          <w:rFonts w:hint="cs"/>
          <w:b/>
          <w:bCs/>
          <w:sz w:val="24"/>
          <w:rtl/>
        </w:rPr>
        <w:t>ת</w:t>
      </w:r>
      <w:r>
        <w:rPr>
          <w:rFonts w:hint="cs"/>
          <w:b/>
          <w:bCs/>
          <w:sz w:val="24"/>
          <w:rtl/>
        </w:rPr>
        <w:t>ו</w:t>
      </w:r>
      <w:r w:rsidRPr="00866373">
        <w:rPr>
          <w:rFonts w:hint="cs"/>
          <w:b/>
          <w:bCs/>
          <w:sz w:val="24"/>
          <w:rtl/>
        </w:rPr>
        <w:t>כניות</w:t>
      </w:r>
      <w:r w:rsidRPr="00866373">
        <w:rPr>
          <w:b/>
          <w:bCs/>
          <w:sz w:val="24"/>
          <w:rtl/>
        </w:rPr>
        <w:t xml:space="preserve"> </w:t>
      </w:r>
      <w:r w:rsidRPr="00866373">
        <w:rPr>
          <w:rFonts w:hint="cs"/>
          <w:b/>
          <w:bCs/>
          <w:sz w:val="24"/>
          <w:rtl/>
        </w:rPr>
        <w:t>הבראה</w:t>
      </w:r>
      <w:r w:rsidRPr="00866373">
        <w:rPr>
          <w:b/>
          <w:bCs/>
          <w:sz w:val="24"/>
          <w:rtl/>
        </w:rPr>
        <w:t xml:space="preserve"> </w:t>
      </w:r>
      <w:r w:rsidRPr="00866373">
        <w:rPr>
          <w:rFonts w:hint="cs"/>
          <w:b/>
          <w:bCs/>
          <w:sz w:val="24"/>
          <w:rtl/>
        </w:rPr>
        <w:t>והתייעלות</w:t>
      </w:r>
      <w:r w:rsidRPr="00866373">
        <w:rPr>
          <w:b/>
          <w:bCs/>
          <w:sz w:val="24"/>
          <w:rtl/>
        </w:rPr>
        <w:t xml:space="preserve">, </w:t>
      </w:r>
      <w:r w:rsidRPr="00866373">
        <w:rPr>
          <w:rFonts w:hint="cs"/>
          <w:b/>
          <w:bCs/>
          <w:sz w:val="24"/>
          <w:rtl/>
        </w:rPr>
        <w:t>ממצאי</w:t>
      </w:r>
      <w:r w:rsidRPr="00866373">
        <w:rPr>
          <w:b/>
          <w:bCs/>
          <w:sz w:val="24"/>
          <w:rtl/>
        </w:rPr>
        <w:t xml:space="preserve"> </w:t>
      </w:r>
      <w:r w:rsidRPr="00866373">
        <w:rPr>
          <w:rFonts w:hint="cs"/>
          <w:b/>
          <w:bCs/>
          <w:sz w:val="24"/>
          <w:rtl/>
        </w:rPr>
        <w:t>הביקורת</w:t>
      </w:r>
      <w:r w:rsidRPr="00866373">
        <w:rPr>
          <w:b/>
          <w:bCs/>
          <w:sz w:val="24"/>
          <w:rtl/>
        </w:rPr>
        <w:t xml:space="preserve"> </w:t>
      </w:r>
      <w:r w:rsidRPr="00866373">
        <w:rPr>
          <w:rFonts w:hint="cs"/>
          <w:b/>
          <w:bCs/>
          <w:sz w:val="24"/>
          <w:rtl/>
        </w:rPr>
        <w:t>והבקרה</w:t>
      </w:r>
      <w:r>
        <w:rPr>
          <w:rFonts w:hint="cs"/>
          <w:b/>
          <w:bCs/>
          <w:sz w:val="24"/>
          <w:rtl/>
        </w:rPr>
        <w:t xml:space="preserve"> הפנימיות</w:t>
      </w:r>
      <w:r w:rsidRPr="00866373">
        <w:rPr>
          <w:b/>
          <w:bCs/>
          <w:sz w:val="24"/>
          <w:rtl/>
        </w:rPr>
        <w:t xml:space="preserve"> </w:t>
      </w:r>
      <w:r w:rsidRPr="00866373">
        <w:rPr>
          <w:rFonts w:hint="cs"/>
          <w:b/>
          <w:bCs/>
          <w:sz w:val="24"/>
          <w:rtl/>
        </w:rPr>
        <w:t>של</w:t>
      </w:r>
      <w:r w:rsidRPr="00866373">
        <w:rPr>
          <w:b/>
          <w:bCs/>
          <w:sz w:val="24"/>
          <w:rtl/>
        </w:rPr>
        <w:t xml:space="preserve"> </w:t>
      </w:r>
      <w:r w:rsidRPr="00866373">
        <w:rPr>
          <w:rFonts w:hint="cs"/>
          <w:b/>
          <w:bCs/>
          <w:sz w:val="24"/>
          <w:rtl/>
        </w:rPr>
        <w:t>יחידת</w:t>
      </w:r>
      <w:r w:rsidRPr="00866373">
        <w:rPr>
          <w:b/>
          <w:bCs/>
          <w:sz w:val="24"/>
          <w:rtl/>
        </w:rPr>
        <w:t xml:space="preserve"> </w:t>
      </w:r>
      <w:r w:rsidRPr="00866373">
        <w:rPr>
          <w:rFonts w:hint="cs"/>
          <w:b/>
          <w:bCs/>
          <w:sz w:val="24"/>
          <w:rtl/>
        </w:rPr>
        <w:t>הממונה</w:t>
      </w:r>
      <w:r w:rsidRPr="00866373">
        <w:rPr>
          <w:b/>
          <w:bCs/>
          <w:sz w:val="24"/>
          <w:rtl/>
        </w:rPr>
        <w:t xml:space="preserve"> </w:t>
      </w:r>
      <w:r w:rsidRPr="00866373">
        <w:rPr>
          <w:rFonts w:hint="cs"/>
          <w:b/>
          <w:bCs/>
          <w:sz w:val="24"/>
          <w:rtl/>
        </w:rPr>
        <w:t>על</w:t>
      </w:r>
      <w:r w:rsidRPr="00866373">
        <w:rPr>
          <w:b/>
          <w:bCs/>
          <w:sz w:val="24"/>
          <w:rtl/>
        </w:rPr>
        <w:t xml:space="preserve"> </w:t>
      </w:r>
      <w:r w:rsidRPr="00866373">
        <w:rPr>
          <w:rFonts w:hint="cs"/>
          <w:b/>
          <w:bCs/>
          <w:sz w:val="24"/>
          <w:rtl/>
        </w:rPr>
        <w:t>התאגידים</w:t>
      </w:r>
      <w:r w:rsidRPr="00866373">
        <w:rPr>
          <w:b/>
          <w:bCs/>
          <w:sz w:val="24"/>
          <w:rtl/>
        </w:rPr>
        <w:t xml:space="preserve"> </w:t>
      </w:r>
      <w:r w:rsidRPr="00866373">
        <w:rPr>
          <w:rFonts w:hint="cs"/>
          <w:b/>
          <w:bCs/>
          <w:sz w:val="24"/>
          <w:rtl/>
        </w:rPr>
        <w:t>וממצאי</w:t>
      </w:r>
      <w:r w:rsidRPr="00866373">
        <w:rPr>
          <w:b/>
          <w:bCs/>
          <w:sz w:val="24"/>
          <w:rtl/>
        </w:rPr>
        <w:t xml:space="preserve"> </w:t>
      </w:r>
      <w:r w:rsidRPr="00866373">
        <w:rPr>
          <w:rFonts w:hint="cs"/>
          <w:b/>
          <w:bCs/>
          <w:sz w:val="24"/>
          <w:rtl/>
        </w:rPr>
        <w:t>המעקב</w:t>
      </w:r>
      <w:r w:rsidRPr="00866373">
        <w:rPr>
          <w:b/>
          <w:bCs/>
          <w:sz w:val="24"/>
          <w:rtl/>
        </w:rPr>
        <w:t xml:space="preserve"> </w:t>
      </w:r>
      <w:r w:rsidRPr="00866373">
        <w:rPr>
          <w:rFonts w:hint="cs"/>
          <w:b/>
          <w:bCs/>
          <w:sz w:val="24"/>
          <w:rtl/>
        </w:rPr>
        <w:t>אחר</w:t>
      </w:r>
      <w:r w:rsidRPr="00866373">
        <w:rPr>
          <w:b/>
          <w:bCs/>
          <w:sz w:val="24"/>
          <w:rtl/>
        </w:rPr>
        <w:t xml:space="preserve"> </w:t>
      </w:r>
      <w:r w:rsidRPr="00866373">
        <w:rPr>
          <w:rFonts w:hint="cs"/>
          <w:b/>
          <w:bCs/>
          <w:sz w:val="24"/>
          <w:rtl/>
        </w:rPr>
        <w:t>תיקון</w:t>
      </w:r>
      <w:r w:rsidRPr="00866373">
        <w:rPr>
          <w:b/>
          <w:bCs/>
          <w:sz w:val="24"/>
          <w:rtl/>
        </w:rPr>
        <w:t xml:space="preserve"> </w:t>
      </w:r>
      <w:r w:rsidRPr="00866373">
        <w:rPr>
          <w:rFonts w:hint="cs"/>
          <w:b/>
          <w:bCs/>
          <w:sz w:val="24"/>
          <w:rtl/>
        </w:rPr>
        <w:t>הליקויים</w:t>
      </w:r>
      <w:r w:rsidRPr="00866373">
        <w:rPr>
          <w:b/>
          <w:bCs/>
          <w:sz w:val="24"/>
          <w:rtl/>
        </w:rPr>
        <w:t xml:space="preserve">, </w:t>
      </w:r>
      <w:r w:rsidRPr="00866373">
        <w:rPr>
          <w:rFonts w:hint="cs"/>
          <w:b/>
          <w:bCs/>
          <w:sz w:val="24"/>
          <w:rtl/>
        </w:rPr>
        <w:t>מספר</w:t>
      </w:r>
      <w:r w:rsidRPr="00866373">
        <w:rPr>
          <w:b/>
          <w:bCs/>
          <w:sz w:val="24"/>
          <w:rtl/>
        </w:rPr>
        <w:t xml:space="preserve"> </w:t>
      </w:r>
      <w:r w:rsidRPr="00866373">
        <w:rPr>
          <w:rFonts w:hint="cs"/>
          <w:b/>
          <w:bCs/>
          <w:sz w:val="24"/>
          <w:rtl/>
        </w:rPr>
        <w:t>תקלות</w:t>
      </w:r>
      <w:r w:rsidRPr="00866373">
        <w:rPr>
          <w:b/>
          <w:bCs/>
          <w:sz w:val="24"/>
          <w:rtl/>
        </w:rPr>
        <w:t xml:space="preserve"> </w:t>
      </w:r>
      <w:r w:rsidRPr="00866373">
        <w:rPr>
          <w:rFonts w:hint="cs"/>
          <w:b/>
          <w:bCs/>
          <w:sz w:val="24"/>
          <w:rtl/>
        </w:rPr>
        <w:t>יזומות</w:t>
      </w:r>
      <w:r w:rsidRPr="00866373">
        <w:rPr>
          <w:b/>
          <w:bCs/>
          <w:sz w:val="24"/>
          <w:rtl/>
        </w:rPr>
        <w:t xml:space="preserve"> </w:t>
      </w:r>
      <w:r w:rsidRPr="00866373">
        <w:rPr>
          <w:rFonts w:hint="cs"/>
          <w:b/>
          <w:bCs/>
          <w:sz w:val="24"/>
          <w:rtl/>
        </w:rPr>
        <w:t>ולא</w:t>
      </w:r>
      <w:r w:rsidRPr="00866373">
        <w:rPr>
          <w:b/>
          <w:bCs/>
          <w:sz w:val="24"/>
          <w:rtl/>
        </w:rPr>
        <w:t xml:space="preserve"> </w:t>
      </w:r>
      <w:r w:rsidRPr="00866373">
        <w:rPr>
          <w:rFonts w:hint="cs"/>
          <w:b/>
          <w:bCs/>
          <w:sz w:val="24"/>
          <w:rtl/>
        </w:rPr>
        <w:t>יזומות</w:t>
      </w:r>
      <w:r w:rsidRPr="00866373">
        <w:rPr>
          <w:b/>
          <w:bCs/>
          <w:sz w:val="24"/>
          <w:rtl/>
        </w:rPr>
        <w:t xml:space="preserve"> </w:t>
      </w:r>
      <w:r>
        <w:rPr>
          <w:rFonts w:hint="cs"/>
          <w:b/>
          <w:bCs/>
          <w:sz w:val="24"/>
          <w:rtl/>
        </w:rPr>
        <w:t xml:space="preserve">ונתונים על </w:t>
      </w:r>
      <w:r w:rsidRPr="00866373">
        <w:rPr>
          <w:rFonts w:hint="cs"/>
          <w:b/>
          <w:bCs/>
          <w:sz w:val="24"/>
          <w:rtl/>
        </w:rPr>
        <w:t>ניתוקי</w:t>
      </w:r>
      <w:r>
        <w:rPr>
          <w:rFonts w:hint="cs"/>
          <w:b/>
          <w:bCs/>
          <w:sz w:val="24"/>
          <w:rtl/>
        </w:rPr>
        <w:t xml:space="preserve"> מי</w:t>
      </w:r>
      <w:r w:rsidRPr="00866373">
        <w:rPr>
          <w:rFonts w:hint="cs"/>
          <w:b/>
          <w:bCs/>
          <w:sz w:val="24"/>
          <w:rtl/>
        </w:rPr>
        <w:t>ם</w:t>
      </w:r>
      <w:r w:rsidRPr="00866373">
        <w:rPr>
          <w:b/>
          <w:bCs/>
          <w:sz w:val="24"/>
          <w:rtl/>
        </w:rPr>
        <w:t>.</w:t>
      </w:r>
    </w:p>
    <w:p w:rsidR="003D3BEF" w:rsidP="003D3BEF" w14:paraId="107A685D" w14:textId="77777777">
      <w:pPr>
        <w:pStyle w:val="a"/>
        <w:spacing w:line="269" w:lineRule="auto"/>
        <w:rPr>
          <w:rtl/>
        </w:rPr>
      </w:pPr>
    </w:p>
    <w:p w:rsidR="003D3BEF" w:rsidRPr="005C3F06" w:rsidP="003D3BEF" w14:paraId="430282A3" w14:textId="77777777">
      <w:pPr>
        <w:spacing w:line="269" w:lineRule="auto"/>
        <w:ind w:left="312"/>
        <w:rPr>
          <w:sz w:val="24"/>
          <w:rtl/>
        </w:rPr>
      </w:pPr>
      <w:r w:rsidRPr="005C3F06">
        <w:rPr>
          <w:sz w:val="24"/>
          <w:rtl/>
        </w:rPr>
        <w:t>רשות המים השיבה למשרד מבקר המדינה במאי 2020 כי כל התאגידים הגישו דוחות כספיים או טיוטות סופיות של דוחות אלה לרשות המים. רשות המים פרסמה את הדוחות המאושרים והחתומים אך נמנעה מפרסום דוחות שלא נחתמו "על ידי דירקטוריון בעל קוורום חוקי". עוד השיבה הרשות כי היא "רואה חשיבות רבה ביותר בפרסום מידע זה והנגשתו לציבור באופן ברור ושוטף ובוחנת בימים אלה אפשרות פרסום טיוטת דוח סופית במקרים בהם הדוח הכספי לא נחתם".</w:t>
      </w:r>
    </w:p>
    <w:p w:rsidR="003D3BEF" w:rsidP="003D3BEF" w14:paraId="525A92A9" w14:textId="77777777">
      <w:pPr>
        <w:pStyle w:val="a"/>
        <w:spacing w:line="269" w:lineRule="auto"/>
        <w:rPr>
          <w:rtl/>
        </w:rPr>
      </w:pPr>
    </w:p>
    <w:p w:rsidR="003D3BEF" w:rsidP="003D3BEF" w14:paraId="77B9495D" w14:textId="77777777">
      <w:pPr>
        <w:spacing w:line="269" w:lineRule="auto"/>
        <w:ind w:left="312"/>
        <w:rPr>
          <w:b/>
          <w:bCs/>
          <w:sz w:val="24"/>
          <w:rtl/>
        </w:rPr>
      </w:pPr>
      <w:r w:rsidRPr="00A07561">
        <w:rPr>
          <w:b/>
          <w:bCs/>
          <w:sz w:val="24"/>
          <w:rtl/>
        </w:rPr>
        <w:t>משרד מבקר המדינה מ</w:t>
      </w:r>
      <w:r w:rsidRPr="00A07561">
        <w:rPr>
          <w:rFonts w:hint="eastAsia"/>
          <w:b/>
          <w:bCs/>
          <w:sz w:val="24"/>
          <w:rtl/>
        </w:rPr>
        <w:t>ציין</w:t>
      </w:r>
      <w:r w:rsidRPr="00A07561">
        <w:rPr>
          <w:b/>
          <w:bCs/>
          <w:sz w:val="24"/>
          <w:rtl/>
        </w:rPr>
        <w:t xml:space="preserve"> לרשות כי חלק מהדוחות שלא נחתמו הם מהשנים 2013 - 2018, וכי על הרשות לוודא </w:t>
      </w:r>
      <w:r w:rsidRPr="00A07561">
        <w:rPr>
          <w:rFonts w:hint="eastAsia"/>
          <w:b/>
          <w:bCs/>
          <w:sz w:val="24"/>
          <w:rtl/>
        </w:rPr>
        <w:t>שהדוחות</w:t>
      </w:r>
      <w:r w:rsidRPr="00A07561">
        <w:rPr>
          <w:b/>
          <w:bCs/>
          <w:sz w:val="24"/>
          <w:rtl/>
        </w:rPr>
        <w:t xml:space="preserve"> יחתמו כנדרש, ולאחר מכן היא תפרסמם בהתאם להחלטת</w:t>
      </w:r>
      <w:r w:rsidRPr="00A07561">
        <w:rPr>
          <w:rFonts w:hint="eastAsia"/>
          <w:b/>
          <w:bCs/>
          <w:sz w:val="24"/>
          <w:rtl/>
        </w:rPr>
        <w:t>ה</w:t>
      </w:r>
      <w:r w:rsidRPr="00A07561">
        <w:rPr>
          <w:b/>
          <w:bCs/>
          <w:sz w:val="24"/>
          <w:rtl/>
        </w:rPr>
        <w:t>.</w:t>
      </w:r>
    </w:p>
    <w:p w:rsidR="003D3BEF" w:rsidRPr="005C3F06" w:rsidP="003D3BEF" w14:paraId="1A406B2D" w14:textId="77777777">
      <w:pPr>
        <w:pStyle w:val="a"/>
        <w:spacing w:line="269" w:lineRule="auto"/>
        <w:rPr>
          <w:rtl/>
        </w:rPr>
      </w:pPr>
    </w:p>
    <w:p w:rsidR="003D3BEF" w:rsidP="003D3BEF" w14:paraId="345C5086" w14:textId="77777777">
      <w:pPr>
        <w:spacing w:line="269" w:lineRule="auto"/>
        <w:ind w:left="312"/>
        <w:rPr>
          <w:sz w:val="24"/>
          <w:rtl/>
        </w:rPr>
      </w:pPr>
      <w:r w:rsidRPr="005C3F06">
        <w:rPr>
          <w:sz w:val="24"/>
          <w:rtl/>
        </w:rPr>
        <w:t>רשות המים</w:t>
      </w:r>
      <w:r>
        <w:rPr>
          <w:rFonts w:hint="cs"/>
          <w:sz w:val="24"/>
          <w:rtl/>
        </w:rPr>
        <w:t xml:space="preserve"> הוסיפה בתשובתה </w:t>
      </w:r>
      <w:r w:rsidRPr="005C3F06">
        <w:rPr>
          <w:sz w:val="24"/>
          <w:rtl/>
        </w:rPr>
        <w:t>כי לדעתה "ממצאי הבקרה הפנימית - לא נועדו, מעצם הגדרתם, להתפרסם בציבור" ולגבי הנושאים האחרים ה</w:t>
      </w:r>
      <w:r>
        <w:rPr>
          <w:rFonts w:hint="cs"/>
          <w:sz w:val="24"/>
          <w:rtl/>
        </w:rPr>
        <w:t>יא</w:t>
      </w:r>
      <w:r w:rsidRPr="005C3F06">
        <w:rPr>
          <w:sz w:val="24"/>
          <w:rtl/>
        </w:rPr>
        <w:t xml:space="preserve"> תבחן את המלצת משרד מבקר המדינה בחיוב, "אל מול חובות הדיווח החלות כבר היום על תאגידים".</w:t>
      </w:r>
    </w:p>
    <w:p w:rsidR="003D3BEF" w:rsidRPr="005C3F06" w:rsidP="003D3BEF" w14:paraId="548A00D7" w14:textId="77777777">
      <w:pPr>
        <w:pStyle w:val="a"/>
        <w:spacing w:line="269" w:lineRule="auto"/>
        <w:rPr>
          <w:rtl/>
        </w:rPr>
      </w:pPr>
    </w:p>
    <w:p w:rsidR="003D3BEF" w:rsidP="003D3BEF" w14:paraId="4D4F21FB" w14:textId="77777777">
      <w:pPr>
        <w:pStyle w:val="ListParagraph"/>
        <w:numPr>
          <w:ilvl w:val="0"/>
          <w:numId w:val="20"/>
        </w:numPr>
        <w:spacing w:line="269" w:lineRule="auto"/>
        <w:ind w:left="312"/>
        <w:rPr>
          <w:sz w:val="24"/>
          <w:rtl/>
        </w:rPr>
      </w:pPr>
      <w:r>
        <w:rPr>
          <w:rFonts w:hint="cs"/>
          <w:sz w:val="24"/>
          <w:rtl/>
        </w:rPr>
        <w:t xml:space="preserve">על פי </w:t>
      </w:r>
      <w:r w:rsidRPr="007E04C2">
        <w:rPr>
          <w:sz w:val="24"/>
          <w:rtl/>
        </w:rPr>
        <w:t>כללי תאגידי מים וביוב (אמות מידה לשירות), תשע"א - 2011</w:t>
      </w:r>
      <w:r>
        <w:rPr>
          <w:rFonts w:hint="cs"/>
          <w:sz w:val="24"/>
          <w:rtl/>
        </w:rPr>
        <w:t>, על התאגידים לפרסם דוח שנתי הכולל בין היתר "</w:t>
      </w:r>
      <w:r w:rsidRPr="007E04C2">
        <w:rPr>
          <w:sz w:val="24"/>
          <w:rtl/>
        </w:rPr>
        <w:t>פרטים בדבר איכות השירות לצרכן</w:t>
      </w:r>
      <w:r>
        <w:rPr>
          <w:rFonts w:hint="cs"/>
          <w:sz w:val="24"/>
          <w:rtl/>
        </w:rPr>
        <w:t xml:space="preserve"> </w:t>
      </w:r>
      <w:r w:rsidRPr="007E04C2">
        <w:rPr>
          <w:sz w:val="24"/>
          <w:rtl/>
        </w:rPr>
        <w:t xml:space="preserve">בשנת הדוח, לרבות מספר הפניות שהתקבלו בחברה, בחלוקה </w:t>
      </w:r>
      <w:r w:rsidRPr="00B70DE1">
        <w:rPr>
          <w:sz w:val="24"/>
          <w:rtl/>
        </w:rPr>
        <w:t>לפי סוגים</w:t>
      </w:r>
      <w:r>
        <w:rPr>
          <w:rFonts w:hint="cs"/>
          <w:sz w:val="24"/>
          <w:rtl/>
        </w:rPr>
        <w:t>....".</w:t>
      </w:r>
    </w:p>
    <w:p w:rsidR="003D3BEF" w:rsidP="003D3BEF" w14:paraId="6FD766E8" w14:textId="77777777">
      <w:pPr>
        <w:pStyle w:val="a"/>
        <w:spacing w:line="269" w:lineRule="auto"/>
        <w:rPr>
          <w:rtl/>
        </w:rPr>
      </w:pPr>
    </w:p>
    <w:p w:rsidR="003D3BEF" w:rsidP="003D3BEF" w14:paraId="3593D27C" w14:textId="77777777">
      <w:pPr>
        <w:spacing w:line="269" w:lineRule="auto"/>
        <w:ind w:left="312"/>
        <w:rPr>
          <w:sz w:val="24"/>
          <w:rtl/>
        </w:rPr>
      </w:pPr>
      <w:r>
        <w:rPr>
          <w:rFonts w:hint="cs"/>
          <w:sz w:val="24"/>
          <w:rtl/>
        </w:rPr>
        <w:t xml:space="preserve">משרד מבקר המדינה בדק אם </w:t>
      </w:r>
      <w:r w:rsidRPr="00B70DE1">
        <w:rPr>
          <w:rFonts w:hint="cs"/>
          <w:sz w:val="24"/>
          <w:rtl/>
        </w:rPr>
        <w:t>בדוחות</w:t>
      </w:r>
      <w:r>
        <w:rPr>
          <w:rFonts w:hint="cs"/>
          <w:sz w:val="24"/>
          <w:rtl/>
        </w:rPr>
        <w:t xml:space="preserve"> השנתיים של התאגידים יש התייחסות לצריכת מים חריגה</w:t>
      </w:r>
      <w:r>
        <w:rPr>
          <w:rStyle w:val="FootnoteReference"/>
          <w:sz w:val="24"/>
          <w:rtl/>
        </w:rPr>
        <w:footnoteReference w:id="125"/>
      </w:r>
      <w:r>
        <w:rPr>
          <w:rFonts w:hint="cs"/>
          <w:sz w:val="24"/>
          <w:rtl/>
        </w:rPr>
        <w:t xml:space="preserve"> של צרכנים הנובעת מנזילות שמקורן</w:t>
      </w:r>
      <w:r w:rsidRPr="003F26AA">
        <w:rPr>
          <w:sz w:val="24"/>
          <w:rtl/>
        </w:rPr>
        <w:t xml:space="preserve"> הוא</w:t>
      </w:r>
      <w:r>
        <w:rPr>
          <w:rFonts w:hint="cs"/>
          <w:sz w:val="24"/>
          <w:rtl/>
        </w:rPr>
        <w:t xml:space="preserve"> </w:t>
      </w:r>
      <w:r w:rsidRPr="003F26AA">
        <w:rPr>
          <w:sz w:val="24"/>
          <w:rtl/>
        </w:rPr>
        <w:t xml:space="preserve">לעיתים בצנרת המים המשותפת. במקרה כזה, הפרשי המדידה </w:t>
      </w:r>
      <w:r>
        <w:rPr>
          <w:rFonts w:hint="cs"/>
          <w:sz w:val="24"/>
          <w:rtl/>
        </w:rPr>
        <w:t xml:space="preserve">של הצריכה החריגה </w:t>
      </w:r>
      <w:r w:rsidRPr="003F26AA">
        <w:rPr>
          <w:sz w:val="24"/>
          <w:rtl/>
        </w:rPr>
        <w:t>מחולקים בין כל הצרכנים בנכס, והחלק היחסי כאמור מתווסף לצריכת המים הפרטית</w:t>
      </w:r>
      <w:r>
        <w:rPr>
          <w:rFonts w:hint="cs"/>
          <w:sz w:val="24"/>
          <w:rtl/>
        </w:rPr>
        <w:t xml:space="preserve"> של כל צרכן</w:t>
      </w:r>
      <w:r w:rsidRPr="003F26AA">
        <w:rPr>
          <w:sz w:val="24"/>
          <w:rtl/>
        </w:rPr>
        <w:t>.</w:t>
      </w:r>
      <w:r w:rsidRPr="00390E99">
        <w:rPr>
          <w:rtl/>
        </w:rPr>
        <w:t xml:space="preserve"> </w:t>
      </w:r>
      <w:r>
        <w:rPr>
          <w:rFonts w:hint="cs"/>
          <w:rtl/>
        </w:rPr>
        <w:t xml:space="preserve">על פי כללי אמות מידה לשירות, </w:t>
      </w:r>
      <w:r w:rsidRPr="00390E99">
        <w:rPr>
          <w:sz w:val="24"/>
          <w:rtl/>
        </w:rPr>
        <w:t xml:space="preserve">כאשר זוהתה צריכת מים בכמות הגבוהה מ-50% מהצריכה הרגילה, הצרכן </w:t>
      </w:r>
      <w:r>
        <w:rPr>
          <w:rFonts w:hint="cs"/>
          <w:sz w:val="24"/>
          <w:rtl/>
        </w:rPr>
        <w:t>רש</w:t>
      </w:r>
      <w:r w:rsidRPr="00390E99">
        <w:rPr>
          <w:sz w:val="24"/>
          <w:rtl/>
        </w:rPr>
        <w:t>אי לפנות לתאגיד בבקשה להכיר בצריכה חריגה הנובעת מנזילה ול</w:t>
      </w:r>
      <w:r>
        <w:rPr>
          <w:rFonts w:hint="cs"/>
          <w:sz w:val="24"/>
          <w:rtl/>
        </w:rPr>
        <w:t>שלם בגינה</w:t>
      </w:r>
      <w:r w:rsidRPr="00390E99">
        <w:rPr>
          <w:sz w:val="24"/>
          <w:rtl/>
        </w:rPr>
        <w:t xml:space="preserve"> תעריף מופחת</w:t>
      </w:r>
      <w:r>
        <w:rPr>
          <w:rStyle w:val="FootnoteReference"/>
          <w:sz w:val="24"/>
          <w:rtl/>
        </w:rPr>
        <w:footnoteReference w:id="126"/>
      </w:r>
      <w:r w:rsidRPr="00390E99">
        <w:rPr>
          <w:sz w:val="24"/>
          <w:rtl/>
        </w:rPr>
        <w:t>.</w:t>
      </w:r>
    </w:p>
    <w:p w:rsidR="003D3BEF" w:rsidRPr="003F26AA" w:rsidP="003D3BEF" w14:paraId="02FEB0CC" w14:textId="77777777">
      <w:pPr>
        <w:pStyle w:val="a"/>
        <w:spacing w:line="269" w:lineRule="auto"/>
        <w:rPr>
          <w:rtl/>
        </w:rPr>
      </w:pPr>
    </w:p>
    <w:p w:rsidR="003D3BEF" w:rsidRPr="00C76F92" w:rsidP="003D3BEF" w14:paraId="7FD13C1A" w14:textId="77777777">
      <w:pPr>
        <w:spacing w:line="269" w:lineRule="auto"/>
        <w:ind w:left="312"/>
        <w:rPr>
          <w:b/>
          <w:bCs/>
          <w:rtl/>
        </w:rPr>
      </w:pPr>
      <w:r w:rsidRPr="00C76F92">
        <w:rPr>
          <w:rFonts w:hint="eastAsia"/>
          <w:b/>
          <w:bCs/>
          <w:rtl/>
        </w:rPr>
        <w:t>הועלה</w:t>
      </w:r>
      <w:r w:rsidRPr="00C76F92">
        <w:rPr>
          <w:b/>
          <w:bCs/>
          <w:rtl/>
        </w:rPr>
        <w:t xml:space="preserve"> כי </w:t>
      </w:r>
      <w:r w:rsidRPr="00C76F92">
        <w:rPr>
          <w:rFonts w:hint="eastAsia"/>
          <w:b/>
          <w:bCs/>
          <w:rtl/>
        </w:rPr>
        <w:t>רשות</w:t>
      </w:r>
      <w:r w:rsidRPr="00C76F92">
        <w:rPr>
          <w:b/>
          <w:bCs/>
          <w:rtl/>
        </w:rPr>
        <w:t xml:space="preserve"> המים והתאגידים </w:t>
      </w:r>
      <w:r w:rsidRPr="00C76F92">
        <w:rPr>
          <w:rFonts w:hint="cs"/>
          <w:b/>
          <w:bCs/>
          <w:rtl/>
        </w:rPr>
        <w:t xml:space="preserve">אינם </w:t>
      </w:r>
      <w:r w:rsidRPr="00C76F92">
        <w:rPr>
          <w:b/>
          <w:bCs/>
          <w:rtl/>
        </w:rPr>
        <w:t>מפרסמים לצ</w:t>
      </w:r>
      <w:r w:rsidRPr="00C76F92">
        <w:rPr>
          <w:rFonts w:hint="cs"/>
          <w:b/>
          <w:bCs/>
          <w:rtl/>
        </w:rPr>
        <w:t>י</w:t>
      </w:r>
      <w:r w:rsidRPr="00C76F92">
        <w:rPr>
          <w:b/>
          <w:bCs/>
          <w:rtl/>
        </w:rPr>
        <w:t>בור באתרי</w:t>
      </w:r>
      <w:r w:rsidRPr="00C76F92">
        <w:rPr>
          <w:rFonts w:hint="cs"/>
          <w:b/>
          <w:bCs/>
          <w:rtl/>
        </w:rPr>
        <w:t xml:space="preserve"> המרשתת </w:t>
      </w:r>
      <w:r w:rsidRPr="00C76F92">
        <w:rPr>
          <w:b/>
          <w:bCs/>
          <w:rtl/>
        </w:rPr>
        <w:t xml:space="preserve">שלהם </w:t>
      </w:r>
      <w:r w:rsidRPr="00C76F92">
        <w:rPr>
          <w:rFonts w:hint="eastAsia"/>
          <w:b/>
          <w:bCs/>
          <w:rtl/>
        </w:rPr>
        <w:t>נתונים</w:t>
      </w:r>
      <w:r w:rsidRPr="00C76F92">
        <w:rPr>
          <w:b/>
          <w:bCs/>
          <w:rtl/>
        </w:rPr>
        <w:t xml:space="preserve"> </w:t>
      </w:r>
      <w:r w:rsidRPr="00C76F92">
        <w:rPr>
          <w:rFonts w:hint="eastAsia"/>
          <w:b/>
          <w:bCs/>
          <w:rtl/>
        </w:rPr>
        <w:t>בדבר</w:t>
      </w:r>
      <w:r w:rsidRPr="00C76F92">
        <w:rPr>
          <w:b/>
          <w:bCs/>
          <w:rtl/>
        </w:rPr>
        <w:t xml:space="preserve"> הצריכה המוגברת </w:t>
      </w:r>
      <w:r w:rsidRPr="00C76F92">
        <w:rPr>
          <w:rFonts w:hint="eastAsia"/>
          <w:b/>
          <w:bCs/>
          <w:rtl/>
        </w:rPr>
        <w:t>באף</w:t>
      </w:r>
      <w:r w:rsidRPr="00C76F92">
        <w:rPr>
          <w:b/>
          <w:bCs/>
          <w:rtl/>
        </w:rPr>
        <w:t xml:space="preserve"> לא אחד מהאתרים האמורים. נמצא כי בדוחות השנתיים שהתאגידים מפרסמים לצרכניהם מצוין נתון בדבר מספר הפניות אליהם. יש תאגידים שאינם מפרטים את סוג הפניות, והתאגידים שמפרטים את סוג הפניות מסווגים אותן באופן שונה. חלקם מפרטים לפי מספר הפניות בגין תקלות, תשלומים, בירורים, זכאות להטבה, התקנת מדים, עדכון מספר הנפשות בנכס וכיוצא באלה, אך אין פירוט ברור של מספר הפניות בגין צריכה מוגברת ומספר הנזילות שהוכרו; וממילא אין מפורטים נתוני צריכה מוגברת בכל תאגיד.</w:t>
      </w:r>
    </w:p>
    <w:p w:rsidR="003D3BEF" w:rsidP="003D3BEF" w14:paraId="18FBA1EB" w14:textId="77777777">
      <w:pPr>
        <w:pStyle w:val="a"/>
        <w:spacing w:line="269" w:lineRule="auto"/>
        <w:rPr>
          <w:rtl/>
        </w:rPr>
      </w:pPr>
    </w:p>
    <w:p w:rsidR="003D3BEF" w:rsidP="003D3BEF" w14:paraId="087F7124" w14:textId="77777777">
      <w:pPr>
        <w:spacing w:line="269" w:lineRule="auto"/>
        <w:ind w:left="312"/>
        <w:rPr>
          <w:rtl/>
        </w:rPr>
      </w:pPr>
      <w:r>
        <w:rPr>
          <w:rFonts w:hint="cs"/>
          <w:rtl/>
        </w:rPr>
        <w:t xml:space="preserve">בתשובתה ממאי 2020 ציינה רשות המים </w:t>
      </w:r>
      <w:r w:rsidRPr="00DD313B">
        <w:rPr>
          <w:rtl/>
        </w:rPr>
        <w:t xml:space="preserve">כי לא ניתן למפות את הפניות המתקבלות </w:t>
      </w:r>
      <w:r>
        <w:rPr>
          <w:rFonts w:hint="cs"/>
          <w:rtl/>
        </w:rPr>
        <w:t>בנוגע ל</w:t>
      </w:r>
      <w:r w:rsidRPr="00DD313B">
        <w:rPr>
          <w:rtl/>
        </w:rPr>
        <w:t>צריכה מוגברת במערכת פניות הציבור, מכיוון שפניות המתקבלות ברשות המים בנושאים הקשורים לצריכה מוגברת ברוב המקרים מועברות לטיפולו הישיר של התאגיד. נציגי התאגידים בדרך כלל מעדכנים את רשות המים שהפנייה התקבלה ותטופל, אך הם אינם מחויבים לדווח מתי הסתיים הטיפול או מתי זוכה הצרכן.</w:t>
      </w:r>
      <w:r>
        <w:rPr>
          <w:rFonts w:hint="cs"/>
          <w:rtl/>
        </w:rPr>
        <w:t xml:space="preserve"> לפי נתוני </w:t>
      </w:r>
      <w:r w:rsidRPr="00DD313B">
        <w:rPr>
          <w:rtl/>
        </w:rPr>
        <w:t xml:space="preserve">רשות המים בשנת 2019 התקבלו 432 פניות בנושא צריכה חריגה הנובעת מנזילה, </w:t>
      </w:r>
      <w:r>
        <w:rPr>
          <w:rFonts w:hint="cs"/>
          <w:rtl/>
        </w:rPr>
        <w:t>ו</w:t>
      </w:r>
      <w:r w:rsidRPr="00DD313B">
        <w:rPr>
          <w:rtl/>
        </w:rPr>
        <w:t>מהן נמצאו 6 פניות מוצדקות.</w:t>
      </w:r>
    </w:p>
    <w:p w:rsidR="003D3BEF" w:rsidP="003D3BEF" w14:paraId="1C243178" w14:textId="77777777">
      <w:pPr>
        <w:pStyle w:val="a"/>
        <w:spacing w:line="269" w:lineRule="auto"/>
        <w:rPr>
          <w:rtl/>
        </w:rPr>
      </w:pPr>
    </w:p>
    <w:p w:rsidR="003D3BEF" w:rsidRPr="005C3F06" w:rsidP="003D3BEF" w14:paraId="338A95B2" w14:textId="77777777">
      <w:pPr>
        <w:spacing w:line="269" w:lineRule="auto"/>
        <w:ind w:left="312"/>
        <w:rPr>
          <w:sz w:val="24"/>
          <w:rtl/>
        </w:rPr>
      </w:pPr>
      <w:r w:rsidRPr="00DD313B">
        <w:rPr>
          <w:sz w:val="24"/>
          <w:rtl/>
        </w:rPr>
        <w:t xml:space="preserve">רשות המים </w:t>
      </w:r>
      <w:r>
        <w:rPr>
          <w:rFonts w:hint="cs"/>
          <w:sz w:val="24"/>
          <w:rtl/>
        </w:rPr>
        <w:t xml:space="preserve">הוסיפה </w:t>
      </w:r>
      <w:r w:rsidRPr="00DD313B">
        <w:rPr>
          <w:sz w:val="24"/>
          <w:rtl/>
        </w:rPr>
        <w:t>כי מדוחות הביקורת שערכה בתאגידים עולה כי התגלו ליקויים הנוגעים להתנהלות התאגידים בעת איתור צריכה חריגה במדים המשויכים. כך, נמצאו ליקויים הנוגעים לאי</w:t>
      </w:r>
      <w:r>
        <w:rPr>
          <w:rFonts w:hint="cs"/>
          <w:sz w:val="24"/>
          <w:rtl/>
        </w:rPr>
        <w:t>-</w:t>
      </w:r>
      <w:r w:rsidRPr="00DD313B">
        <w:rPr>
          <w:sz w:val="24"/>
          <w:rtl/>
        </w:rPr>
        <w:t>שליחת נציג לנכס, אי</w:t>
      </w:r>
      <w:r>
        <w:rPr>
          <w:rFonts w:hint="cs"/>
          <w:sz w:val="24"/>
          <w:rtl/>
        </w:rPr>
        <w:t>-</w:t>
      </w:r>
      <w:r w:rsidRPr="00DD313B">
        <w:rPr>
          <w:sz w:val="24"/>
          <w:rtl/>
        </w:rPr>
        <w:t>יצירת קשר טלפוני ואי</w:t>
      </w:r>
      <w:r>
        <w:rPr>
          <w:rFonts w:hint="cs"/>
          <w:sz w:val="24"/>
          <w:rtl/>
        </w:rPr>
        <w:t>-</w:t>
      </w:r>
      <w:r w:rsidRPr="00DD313B">
        <w:rPr>
          <w:sz w:val="24"/>
          <w:rtl/>
        </w:rPr>
        <w:t>ציון אחוז החריגה בחשבון המים.</w:t>
      </w:r>
      <w:r>
        <w:rPr>
          <w:sz w:val="24"/>
          <w:rtl/>
        </w:rPr>
        <w:t xml:space="preserve"> </w:t>
      </w:r>
      <w:r>
        <w:rPr>
          <w:rFonts w:hint="cs"/>
          <w:sz w:val="24"/>
          <w:rtl/>
        </w:rPr>
        <w:t xml:space="preserve">הרשות </w:t>
      </w:r>
      <w:r w:rsidRPr="00DD313B">
        <w:rPr>
          <w:sz w:val="24"/>
          <w:rtl/>
        </w:rPr>
        <w:t>צי</w:t>
      </w:r>
      <w:r>
        <w:rPr>
          <w:rFonts w:hint="cs"/>
          <w:sz w:val="24"/>
          <w:rtl/>
        </w:rPr>
        <w:t>י</w:t>
      </w:r>
      <w:r w:rsidRPr="00DD313B">
        <w:rPr>
          <w:sz w:val="24"/>
          <w:rtl/>
        </w:rPr>
        <w:t>נה כי במסגרת הבקרה שהיא עורכת התאגידים בדרך כלל נענים לדרישה ומתקנים את הליקויים שנמצאו בביקורת</w:t>
      </w:r>
      <w:r>
        <w:rPr>
          <w:rFonts w:hint="cs"/>
          <w:sz w:val="24"/>
          <w:rtl/>
        </w:rPr>
        <w:t xml:space="preserve"> שלה</w:t>
      </w:r>
      <w:r w:rsidRPr="00DD313B">
        <w:rPr>
          <w:sz w:val="24"/>
          <w:rtl/>
        </w:rPr>
        <w:t>.</w:t>
      </w:r>
    </w:p>
    <w:p w:rsidR="003D3BEF" w:rsidP="003D3BEF" w14:paraId="669DA3FB" w14:textId="77777777">
      <w:pPr>
        <w:pStyle w:val="a"/>
        <w:spacing w:line="269" w:lineRule="auto"/>
        <w:rPr>
          <w:rtl/>
        </w:rPr>
      </w:pPr>
    </w:p>
    <w:p w:rsidR="003D3BEF" w:rsidP="003D3BEF" w14:paraId="48A8B79D" w14:textId="77777777">
      <w:pPr>
        <w:spacing w:line="269" w:lineRule="auto"/>
        <w:ind w:left="312"/>
        <w:rPr>
          <w:rtl/>
        </w:rPr>
      </w:pPr>
      <w:r w:rsidRPr="009D5C23">
        <w:rPr>
          <w:rtl/>
        </w:rPr>
        <w:t>לעניין חובת התאגיד להודיע לצרכן בכתב על תוצאות הבדיקות שערך ועל הפעולות שנקטה בעקבותיהן, ועל זכותו להשיג על ממצאי הבדיקה לפני רשות המים</w:t>
      </w:r>
      <w:r>
        <w:rPr>
          <w:rStyle w:val="FootnoteReference"/>
          <w:sz w:val="24"/>
          <w:rtl/>
        </w:rPr>
        <w:footnoteReference w:id="127"/>
      </w:r>
      <w:r>
        <w:rPr>
          <w:rFonts w:hint="cs"/>
          <w:rtl/>
        </w:rPr>
        <w:t xml:space="preserve">, ציינה </w:t>
      </w:r>
      <w:r>
        <w:rPr>
          <w:rtl/>
        </w:rPr>
        <w:t>רשות המים כי</w:t>
      </w:r>
      <w:r w:rsidRPr="009D5C23">
        <w:rPr>
          <w:rtl/>
        </w:rPr>
        <w:t xml:space="preserve"> 15 תאגידים</w:t>
      </w:r>
      <w:r>
        <w:rPr>
          <w:rtl/>
        </w:rPr>
        <w:t xml:space="preserve"> </w:t>
      </w:r>
      <w:r w:rsidRPr="009D5C23">
        <w:rPr>
          <w:rtl/>
        </w:rPr>
        <w:t xml:space="preserve">מילאו חובתם זו, וכי היא שוקלת בחיוב לכלול בחינת נושא זה במסגרת הביקורת הבאה </w:t>
      </w:r>
      <w:r>
        <w:rPr>
          <w:rFonts w:hint="cs"/>
          <w:rtl/>
        </w:rPr>
        <w:t xml:space="preserve">שלה </w:t>
      </w:r>
      <w:r w:rsidRPr="009D5C23">
        <w:rPr>
          <w:rtl/>
        </w:rPr>
        <w:t>בתחום אמות המידה.</w:t>
      </w:r>
    </w:p>
    <w:p w:rsidR="003D3BEF" w:rsidP="003D3BEF" w14:paraId="0B98DD4D" w14:textId="77777777">
      <w:pPr>
        <w:pStyle w:val="a"/>
        <w:spacing w:line="269" w:lineRule="auto"/>
        <w:rPr>
          <w:rtl/>
        </w:rPr>
      </w:pPr>
    </w:p>
    <w:p w:rsidR="003D3BEF" w:rsidP="003D3BEF" w14:paraId="026E8F98" w14:textId="77777777">
      <w:pPr>
        <w:spacing w:line="269" w:lineRule="auto"/>
        <w:ind w:left="312"/>
        <w:rPr>
          <w:rtl/>
        </w:rPr>
      </w:pPr>
      <w:r w:rsidRPr="009D5C23">
        <w:rPr>
          <w:rtl/>
        </w:rPr>
        <w:t xml:space="preserve">נוסף </w:t>
      </w:r>
      <w:r>
        <w:rPr>
          <w:rFonts w:hint="cs"/>
          <w:rtl/>
        </w:rPr>
        <w:t xml:space="preserve">על </w:t>
      </w:r>
      <w:r w:rsidRPr="009D5C23">
        <w:rPr>
          <w:rtl/>
        </w:rPr>
        <w:t xml:space="preserve">כך </w:t>
      </w:r>
      <w:r>
        <w:rPr>
          <w:rFonts w:hint="cs"/>
          <w:rtl/>
        </w:rPr>
        <w:t>שהיא</w:t>
      </w:r>
      <w:r w:rsidRPr="009D5C23">
        <w:rPr>
          <w:rtl/>
        </w:rPr>
        <w:t xml:space="preserve"> שוקלת בחיוב לכלול במסגרת הביקורת </w:t>
      </w:r>
      <w:r>
        <w:rPr>
          <w:rFonts w:hint="cs"/>
          <w:rtl/>
        </w:rPr>
        <w:t xml:space="preserve">שלה </w:t>
      </w:r>
      <w:r w:rsidRPr="009D5C23">
        <w:rPr>
          <w:rtl/>
        </w:rPr>
        <w:t>את נושא חובת הד</w:t>
      </w:r>
      <w:r>
        <w:rPr>
          <w:rFonts w:hint="cs"/>
          <w:rtl/>
        </w:rPr>
        <w:t>י</w:t>
      </w:r>
      <w:r w:rsidRPr="009D5C23">
        <w:rPr>
          <w:rtl/>
        </w:rPr>
        <w:t xml:space="preserve">ווח של התאגידים לצרכנים על פניותיהם בעניין חיוב חריג, </w:t>
      </w:r>
      <w:r w:rsidRPr="003F26AA">
        <w:rPr>
          <w:rFonts w:hint="eastAsia"/>
          <w:rtl/>
        </w:rPr>
        <w:t>מן</w:t>
      </w:r>
      <w:r w:rsidRPr="003F26AA">
        <w:rPr>
          <w:rtl/>
        </w:rPr>
        <w:t xml:space="preserve"> הראוי שרשות המים תשקול </w:t>
      </w:r>
      <w:r w:rsidRPr="009D5C23">
        <w:rPr>
          <w:rtl/>
        </w:rPr>
        <w:t>לשקף מידע זה גם בדוחות שהתאגידים מפרסמים לציבור</w:t>
      </w:r>
      <w:r w:rsidRPr="00A07561">
        <w:rPr>
          <w:rFonts w:hint="cs"/>
          <w:rtl/>
        </w:rPr>
        <w:t xml:space="preserve">. כמו כן, </w:t>
      </w:r>
      <w:r w:rsidRPr="00A07561">
        <w:rPr>
          <w:rFonts w:hint="eastAsia"/>
          <w:rtl/>
        </w:rPr>
        <w:t>מומלץ</w:t>
      </w:r>
      <w:r w:rsidRPr="00A07561">
        <w:rPr>
          <w:rtl/>
        </w:rPr>
        <w:t xml:space="preserve"> </w:t>
      </w:r>
      <w:r w:rsidRPr="00A07561">
        <w:rPr>
          <w:rFonts w:hint="cs"/>
          <w:rtl/>
        </w:rPr>
        <w:t>להביא</w:t>
      </w:r>
      <w:r>
        <w:rPr>
          <w:rFonts w:hint="cs"/>
          <w:rtl/>
        </w:rPr>
        <w:t xml:space="preserve"> לפני מועצת הרשות הצעה לתיקון כללי אמות המידה לשירות, באופן שבו תהיה בהם אסדרה מפורטת של סיווג הפניות שהתאגידים נדרשים לפרסם</w:t>
      </w:r>
      <w:r w:rsidRPr="00B70DE1">
        <w:rPr>
          <w:rFonts w:hint="cs"/>
          <w:rtl/>
        </w:rPr>
        <w:t>.</w:t>
      </w:r>
      <w:r>
        <w:rPr>
          <w:rFonts w:hint="cs"/>
          <w:rtl/>
        </w:rPr>
        <w:t xml:space="preserve"> על מנת ליצור אחידות בדיווח; ואת, לרבות נתונים על מספר הפניות בנושא צריכה מוגברת ועל משך זמן הטיפול בפניות הציבור, כדי לשקף בפני הצרכנים את המידע הנוגע להם.</w:t>
      </w:r>
      <w:r w:rsidRPr="007F426A">
        <w:rPr>
          <w:rtl/>
        </w:rPr>
        <w:t xml:space="preserve"> </w:t>
      </w:r>
    </w:p>
    <w:p w:rsidR="003D3BEF" w:rsidP="003D3BEF" w14:paraId="66876BAB" w14:textId="77777777">
      <w:pPr>
        <w:pStyle w:val="a"/>
        <w:spacing w:line="269" w:lineRule="auto"/>
        <w:rPr>
          <w:rtl/>
        </w:rPr>
      </w:pPr>
    </w:p>
    <w:p w:rsidR="003D3BEF" w:rsidP="003D3BEF" w14:paraId="743A7AD4" w14:textId="77777777">
      <w:pPr>
        <w:spacing w:line="269" w:lineRule="auto"/>
        <w:ind w:left="312"/>
        <w:rPr>
          <w:rtl/>
        </w:rPr>
      </w:pPr>
      <w:r>
        <w:rPr>
          <w:rFonts w:hint="cs"/>
          <w:rtl/>
        </w:rPr>
        <w:t xml:space="preserve">בתשובתה ממאי 2020 מסרה רשות המים </w:t>
      </w:r>
      <w:r w:rsidRPr="005C3F06">
        <w:rPr>
          <w:rtl/>
        </w:rPr>
        <w:t>כי "נתוני צריכה מוגברת והכרה בנזילה מתייחסים לתקלות במערכות המים הפרטיות של הצרכנים, המצויים באחריותם הבלעדית. נתונים אלה אינם נוגעים למערכות התאגיד".</w:t>
      </w:r>
    </w:p>
    <w:p w:rsidR="003D3BEF" w:rsidP="003D3BEF" w14:paraId="02870397" w14:textId="77777777">
      <w:pPr>
        <w:pStyle w:val="a"/>
        <w:spacing w:line="269" w:lineRule="auto"/>
        <w:rPr>
          <w:rtl/>
        </w:rPr>
      </w:pPr>
    </w:p>
    <w:p w:rsidR="003D3BEF" w:rsidRPr="00A07561" w:rsidP="003D3BEF" w14:paraId="10A172FA" w14:textId="77777777">
      <w:pPr>
        <w:spacing w:line="269" w:lineRule="auto"/>
        <w:ind w:left="312"/>
        <w:rPr>
          <w:sz w:val="24"/>
          <w:rtl/>
        </w:rPr>
      </w:pPr>
      <w:r w:rsidRPr="00A07561">
        <w:rPr>
          <w:b/>
          <w:bCs/>
          <w:sz w:val="24"/>
          <w:rtl/>
        </w:rPr>
        <w:t>משרד מבקר המדינה מ</w:t>
      </w:r>
      <w:r w:rsidRPr="00A07561">
        <w:rPr>
          <w:rFonts w:hint="eastAsia"/>
          <w:b/>
          <w:bCs/>
          <w:sz w:val="24"/>
          <w:rtl/>
        </w:rPr>
        <w:t>ציין</w:t>
      </w:r>
      <w:r w:rsidRPr="00A07561">
        <w:rPr>
          <w:b/>
          <w:bCs/>
          <w:sz w:val="24"/>
          <w:rtl/>
        </w:rPr>
        <w:t xml:space="preserve"> כי דיווח של </w:t>
      </w:r>
      <w:r w:rsidRPr="00A07561">
        <w:rPr>
          <w:rFonts w:hint="eastAsia"/>
          <w:b/>
          <w:bCs/>
          <w:sz w:val="24"/>
          <w:rtl/>
        </w:rPr>
        <w:t>ה</w:t>
      </w:r>
      <w:r w:rsidRPr="00A07561">
        <w:rPr>
          <w:b/>
          <w:bCs/>
          <w:sz w:val="24"/>
          <w:rtl/>
        </w:rPr>
        <w:t>תאגידים לתושביהם בעניין נזילות אלה</w:t>
      </w:r>
      <w:r>
        <w:rPr>
          <w:b/>
          <w:bCs/>
          <w:sz w:val="24"/>
          <w:rtl/>
        </w:rPr>
        <w:t xml:space="preserve"> </w:t>
      </w:r>
      <w:r w:rsidRPr="00A07561">
        <w:rPr>
          <w:b/>
          <w:bCs/>
          <w:sz w:val="24"/>
          <w:rtl/>
        </w:rPr>
        <w:t xml:space="preserve">- כגון כמות הנזילות וזמן הטיפול בהן יש בו עניין ציבורי רב </w:t>
      </w:r>
      <w:r w:rsidRPr="00A07561">
        <w:rPr>
          <w:rFonts w:hint="eastAsia"/>
          <w:b/>
          <w:bCs/>
          <w:sz w:val="24"/>
          <w:rtl/>
        </w:rPr>
        <w:t>ל</w:t>
      </w:r>
      <w:r w:rsidRPr="00A07561">
        <w:rPr>
          <w:b/>
          <w:bCs/>
          <w:sz w:val="24"/>
          <w:rtl/>
        </w:rPr>
        <w:t xml:space="preserve">צרכני המים </w:t>
      </w:r>
      <w:r w:rsidRPr="00A07561">
        <w:rPr>
          <w:rFonts w:hint="eastAsia"/>
          <w:b/>
          <w:bCs/>
          <w:sz w:val="24"/>
          <w:rtl/>
        </w:rPr>
        <w:t>ולכן</w:t>
      </w:r>
      <w:r w:rsidRPr="00A07561">
        <w:rPr>
          <w:b/>
          <w:bCs/>
          <w:sz w:val="24"/>
          <w:rtl/>
        </w:rPr>
        <w:t xml:space="preserve"> </w:t>
      </w:r>
      <w:r w:rsidRPr="00A07561">
        <w:rPr>
          <w:rFonts w:hint="eastAsia"/>
          <w:b/>
          <w:bCs/>
          <w:sz w:val="24"/>
          <w:rtl/>
        </w:rPr>
        <w:t>מומלץ</w:t>
      </w:r>
      <w:r w:rsidRPr="00A07561">
        <w:rPr>
          <w:b/>
          <w:bCs/>
          <w:sz w:val="24"/>
          <w:rtl/>
        </w:rPr>
        <w:t xml:space="preserve"> </w:t>
      </w:r>
      <w:r w:rsidRPr="00A07561">
        <w:rPr>
          <w:rFonts w:hint="eastAsia"/>
          <w:b/>
          <w:bCs/>
          <w:sz w:val="24"/>
          <w:rtl/>
        </w:rPr>
        <w:t>לאסדר</w:t>
      </w:r>
      <w:r w:rsidRPr="00A07561">
        <w:rPr>
          <w:b/>
          <w:bCs/>
          <w:sz w:val="24"/>
          <w:rtl/>
        </w:rPr>
        <w:t xml:space="preserve"> </w:t>
      </w:r>
      <w:r w:rsidRPr="00A07561">
        <w:rPr>
          <w:rFonts w:hint="eastAsia"/>
          <w:b/>
          <w:bCs/>
          <w:sz w:val="24"/>
          <w:rtl/>
        </w:rPr>
        <w:t>דיווח</w:t>
      </w:r>
      <w:r w:rsidRPr="00A07561">
        <w:rPr>
          <w:b/>
          <w:bCs/>
          <w:sz w:val="24"/>
          <w:rtl/>
        </w:rPr>
        <w:t xml:space="preserve"> </w:t>
      </w:r>
      <w:r w:rsidRPr="00A07561">
        <w:rPr>
          <w:rFonts w:hint="eastAsia"/>
          <w:b/>
          <w:bCs/>
          <w:sz w:val="24"/>
          <w:rtl/>
        </w:rPr>
        <w:t>זה</w:t>
      </w:r>
      <w:r w:rsidRPr="00A07561">
        <w:rPr>
          <w:b/>
          <w:bCs/>
          <w:sz w:val="24"/>
          <w:rtl/>
        </w:rPr>
        <w:t>.</w:t>
      </w:r>
      <w:r w:rsidRPr="00A07561">
        <w:rPr>
          <w:sz w:val="24"/>
          <w:rtl/>
        </w:rPr>
        <w:t xml:space="preserve"> </w:t>
      </w:r>
    </w:p>
    <w:p w:rsidR="003D3BEF" w:rsidRPr="00A07561" w:rsidP="00902044" w14:paraId="1CC4A05D" w14:textId="77777777">
      <w:pPr>
        <w:pStyle w:val="a"/>
        <w:spacing w:line="269" w:lineRule="auto"/>
        <w:ind w:left="0"/>
        <w:rPr>
          <w:rtl/>
        </w:rPr>
      </w:pPr>
    </w:p>
    <w:p w:rsidR="003D3BEF" w:rsidP="003D3BEF" w14:paraId="3E48DB77" w14:textId="77777777">
      <w:pPr>
        <w:spacing w:line="269" w:lineRule="auto"/>
        <w:ind w:left="312"/>
        <w:rPr>
          <w:sz w:val="24"/>
          <w:rtl/>
        </w:rPr>
      </w:pPr>
      <w:r w:rsidRPr="00A07561">
        <w:rPr>
          <w:sz w:val="24"/>
          <w:rtl/>
        </w:rPr>
        <w:t xml:space="preserve">תאגיד מי שבע, </w:t>
      </w:r>
      <w:r w:rsidRPr="00A07561">
        <w:rPr>
          <w:rFonts w:hint="cs"/>
          <w:sz w:val="24"/>
          <w:rtl/>
        </w:rPr>
        <w:t xml:space="preserve">השיב למשרד מבקר המדינה כי </w:t>
      </w:r>
      <w:r w:rsidRPr="00A07561">
        <w:rPr>
          <w:sz w:val="24"/>
          <w:rtl/>
        </w:rPr>
        <w:t>בשנת 2019 התקבלו 44,740 פניות בנושא צריכה חריגה.</w:t>
      </w:r>
      <w:r>
        <w:rPr>
          <w:sz w:val="24"/>
          <w:rtl/>
        </w:rPr>
        <w:t xml:space="preserve"> </w:t>
      </w:r>
      <w:r w:rsidRPr="00A07561">
        <w:rPr>
          <w:rFonts w:hint="cs"/>
          <w:sz w:val="24"/>
          <w:rtl/>
        </w:rPr>
        <w:t xml:space="preserve">יצוין כי </w:t>
      </w:r>
      <w:r w:rsidRPr="00A07561">
        <w:rPr>
          <w:sz w:val="24"/>
          <w:rtl/>
        </w:rPr>
        <w:t>התאגיד מפרסם בדו"ח השנתי את מספר הפניות, אך אינו מפרט את נושאי הפניות.</w:t>
      </w:r>
    </w:p>
    <w:p w:rsidR="003D3BEF" w:rsidRPr="009D5C23" w:rsidP="003D3BEF" w14:paraId="0C18293E" w14:textId="77777777">
      <w:pPr>
        <w:pStyle w:val="a"/>
        <w:spacing w:line="269" w:lineRule="auto"/>
        <w:rPr>
          <w:rtl/>
        </w:rPr>
      </w:pPr>
    </w:p>
    <w:p w:rsidR="003D3BEF" w:rsidP="003D3BEF" w14:paraId="15F2EE2B" w14:textId="77777777">
      <w:pPr>
        <w:pStyle w:val="Heading3"/>
        <w:spacing w:before="0" w:line="269" w:lineRule="auto"/>
        <w:rPr>
          <w:rtl/>
        </w:rPr>
      </w:pPr>
      <w:bookmarkStart w:id="10" w:name="_Toc47260080"/>
      <w:r>
        <w:rPr>
          <w:rFonts w:hint="cs"/>
          <w:rtl/>
        </w:rPr>
        <w:t>הטיפול ב</w:t>
      </w:r>
      <w:r w:rsidRPr="00B11486">
        <w:rPr>
          <w:rFonts w:hint="cs"/>
          <w:rtl/>
        </w:rPr>
        <w:t>אוכלוסיות חלשות</w:t>
      </w:r>
      <w:bookmarkEnd w:id="10"/>
    </w:p>
    <w:p w:rsidR="003D3BEF" w:rsidRPr="004E4608" w:rsidP="003D3BEF" w14:paraId="23A79568" w14:textId="77777777">
      <w:pPr>
        <w:pStyle w:val="a"/>
        <w:rPr>
          <w:rtl/>
        </w:rPr>
      </w:pPr>
    </w:p>
    <w:p w:rsidR="003D3BEF" w:rsidP="003D3BEF" w14:paraId="6F1B6995" w14:textId="77777777">
      <w:pPr>
        <w:spacing w:line="269" w:lineRule="auto"/>
        <w:rPr>
          <w:sz w:val="24"/>
          <w:rtl/>
        </w:rPr>
      </w:pPr>
      <w:r w:rsidRPr="00074024">
        <w:rPr>
          <w:rFonts w:hint="cs"/>
          <w:sz w:val="24"/>
          <w:rtl/>
        </w:rPr>
        <w:t>נוכח</w:t>
      </w:r>
      <w:r>
        <w:rPr>
          <w:rFonts w:hint="cs"/>
          <w:sz w:val="24"/>
          <w:rtl/>
        </w:rPr>
        <w:t xml:space="preserve"> העובדה שמים הם מוצר חיוני לקיומו של אדם יש חשיבות לכך שבקביעת תעריפי המים לאוכלוסיות חלשות, תיושם גישה המתחשבת בצורכיהן של השכבות הראויות לקידום </w:t>
      </w:r>
      <w:r w:rsidRPr="00B70DE1">
        <w:rPr>
          <w:rFonts w:hint="cs"/>
          <w:sz w:val="24"/>
          <w:rtl/>
        </w:rPr>
        <w:t xml:space="preserve">ובהן אוכלוסיות מעוטות יכולת, נכים, </w:t>
      </w:r>
      <w:r>
        <w:rPr>
          <w:rFonts w:hint="cs"/>
          <w:sz w:val="24"/>
          <w:rtl/>
        </w:rPr>
        <w:t xml:space="preserve">אנשים עם </w:t>
      </w:r>
      <w:r w:rsidRPr="00B70DE1">
        <w:rPr>
          <w:rFonts w:hint="cs"/>
          <w:sz w:val="24"/>
          <w:rtl/>
        </w:rPr>
        <w:t>מוגבלויות,</w:t>
      </w:r>
      <w:r>
        <w:rPr>
          <w:rFonts w:hint="cs"/>
          <w:sz w:val="24"/>
          <w:rtl/>
        </w:rPr>
        <w:t xml:space="preserve"> קשישים וניצולי שואה.</w:t>
      </w:r>
      <w:r w:rsidRPr="007D6EA5">
        <w:rPr>
          <w:rFonts w:hint="cs"/>
          <w:rtl/>
        </w:rPr>
        <w:t xml:space="preserve"> </w:t>
      </w:r>
      <w:r>
        <w:rPr>
          <w:rFonts w:hint="cs"/>
          <w:sz w:val="24"/>
          <w:rtl/>
        </w:rPr>
        <w:t>בית המשפט העליון קבע</w:t>
      </w:r>
      <w:r>
        <w:rPr>
          <w:rStyle w:val="FootnoteReference"/>
          <w:sz w:val="24"/>
          <w:rtl/>
        </w:rPr>
        <w:footnoteReference w:id="128"/>
      </w:r>
      <w:r>
        <w:rPr>
          <w:rFonts w:hint="cs"/>
          <w:sz w:val="24"/>
          <w:rtl/>
        </w:rPr>
        <w:t xml:space="preserve"> כי "</w:t>
      </w:r>
      <w:r w:rsidRPr="00E87C5F">
        <w:rPr>
          <w:sz w:val="24"/>
          <w:rtl/>
        </w:rPr>
        <w:t>מחובת המדינה על-פי חוק</w:t>
      </w:r>
      <w:r>
        <w:rPr>
          <w:rFonts w:hint="cs"/>
          <w:sz w:val="24"/>
          <w:rtl/>
        </w:rPr>
        <w:t>-</w:t>
      </w:r>
      <w:r w:rsidRPr="00E87C5F">
        <w:rPr>
          <w:sz w:val="24"/>
          <w:rtl/>
        </w:rPr>
        <w:t xml:space="preserve">יסוד: כבוד האדם וחירותו נגזרת החובה לקיים מערכת שתבטיח </w:t>
      </w:r>
      <w:r>
        <w:rPr>
          <w:rFonts w:hint="cs"/>
          <w:sz w:val="24"/>
          <w:rtl/>
        </w:rPr>
        <w:t>'</w:t>
      </w:r>
      <w:r w:rsidRPr="00E87C5F">
        <w:rPr>
          <w:sz w:val="24"/>
          <w:rtl/>
        </w:rPr>
        <w:t>רשת מגן</w:t>
      </w:r>
      <w:r>
        <w:rPr>
          <w:rFonts w:hint="cs"/>
          <w:sz w:val="24"/>
          <w:rtl/>
        </w:rPr>
        <w:t>'</w:t>
      </w:r>
      <w:r w:rsidRPr="00E87C5F">
        <w:rPr>
          <w:sz w:val="24"/>
          <w:rtl/>
        </w:rPr>
        <w:t xml:space="preserve"> למעוטי-האמצעים בחברה, כ</w:t>
      </w:r>
      <w:r>
        <w:rPr>
          <w:rFonts w:hint="cs"/>
          <w:sz w:val="24"/>
          <w:rtl/>
        </w:rPr>
        <w:t>די</w:t>
      </w:r>
      <w:r w:rsidRPr="00E87C5F">
        <w:rPr>
          <w:sz w:val="24"/>
          <w:rtl/>
        </w:rPr>
        <w:t xml:space="preserve"> שמצבם החומרי לא יביאם לכלל מחסור קיומי. במסגרת זו עליה להבטיח שלאדם יהיה די מזון ומשקה לקיומו</w:t>
      </w:r>
      <w:r>
        <w:rPr>
          <w:rFonts w:hint="cs"/>
          <w:sz w:val="24"/>
          <w:rtl/>
        </w:rPr>
        <w:t>".</w:t>
      </w:r>
    </w:p>
    <w:p w:rsidR="003D3BEF" w:rsidP="003D3BEF" w14:paraId="09AE58D1" w14:textId="77777777">
      <w:pPr>
        <w:pStyle w:val="a"/>
        <w:spacing w:line="269" w:lineRule="auto"/>
        <w:rPr>
          <w:rtl/>
        </w:rPr>
      </w:pPr>
    </w:p>
    <w:p w:rsidR="003D3BEF" w:rsidRPr="00C862EE" w:rsidP="003D3BEF" w14:paraId="0091FBC2" w14:textId="77777777">
      <w:pPr>
        <w:pStyle w:val="Heading4"/>
        <w:spacing w:before="0" w:line="269" w:lineRule="auto"/>
        <w:rPr>
          <w:rtl/>
        </w:rPr>
      </w:pPr>
      <w:r w:rsidRPr="00C862EE">
        <w:rPr>
          <w:rFonts w:hint="cs"/>
          <w:rtl/>
        </w:rPr>
        <w:t>מנגנון הסיוע</w:t>
      </w:r>
    </w:p>
    <w:p w:rsidR="003D3BEF" w:rsidP="003D3BEF" w14:paraId="7B73ECEF" w14:textId="77777777">
      <w:pPr>
        <w:pStyle w:val="a"/>
        <w:rPr>
          <w:rtl/>
        </w:rPr>
      </w:pPr>
    </w:p>
    <w:p w:rsidR="003D3BEF" w:rsidP="003D3BEF" w14:paraId="29557427" w14:textId="77777777">
      <w:pPr>
        <w:spacing w:line="269" w:lineRule="auto"/>
        <w:rPr>
          <w:rtl/>
        </w:rPr>
      </w:pPr>
      <w:r>
        <w:rPr>
          <w:rFonts w:hint="cs"/>
          <w:sz w:val="24"/>
          <w:rtl/>
        </w:rPr>
        <w:t>על פי סעיף 102 לחוק התאגידים, שר האוצר, לאחר התייעצות עם מועצת הרשות ובאישור ועדת הכספים של הכנסת, יקבע בכל שנת כספים אמות מידה שוויוניות בהתחשב בשיקולים סוציאליים, ולפיהן יקבע רשימה של סוגי הזכאים למחיר מופחת עבור שירותי המים והביוב. ההפחתה תמומן מתקציב המדינה.</w:t>
      </w:r>
      <w:r w:rsidRPr="00F90DC9">
        <w:rPr>
          <w:rtl/>
        </w:rPr>
        <w:t xml:space="preserve"> </w:t>
      </w:r>
    </w:p>
    <w:p w:rsidR="003D3BEF" w:rsidP="003D3BEF" w14:paraId="4E55CDC4" w14:textId="77777777">
      <w:pPr>
        <w:pStyle w:val="a"/>
        <w:spacing w:line="269" w:lineRule="auto"/>
        <w:rPr>
          <w:rtl/>
        </w:rPr>
      </w:pPr>
    </w:p>
    <w:p w:rsidR="003D3BEF" w:rsidP="003D3BEF" w14:paraId="4CC3AAA0" w14:textId="77777777">
      <w:pPr>
        <w:spacing w:line="269" w:lineRule="auto"/>
        <w:rPr>
          <w:sz w:val="24"/>
          <w:rtl/>
        </w:rPr>
      </w:pPr>
      <w:r>
        <w:rPr>
          <w:rFonts w:hint="cs"/>
          <w:rtl/>
        </w:rPr>
        <w:t>מנגנון הסיוע וסוגי</w:t>
      </w:r>
      <w:r>
        <w:rPr>
          <w:rtl/>
        </w:rPr>
        <w:t xml:space="preserve"> האוכלוסיות הזכאיות להנחה נקבע</w:t>
      </w:r>
      <w:r>
        <w:rPr>
          <w:rFonts w:hint="cs"/>
          <w:rtl/>
        </w:rPr>
        <w:t>ו</w:t>
      </w:r>
      <w:r>
        <w:rPr>
          <w:rtl/>
        </w:rPr>
        <w:t xml:space="preserve"> בתקנות תאגידי מים וביוב </w:t>
      </w:r>
      <w:r>
        <w:rPr>
          <w:rFonts w:hint="cs"/>
          <w:rtl/>
        </w:rPr>
        <w:t>(</w:t>
      </w:r>
      <w:r>
        <w:rPr>
          <w:rtl/>
        </w:rPr>
        <w:t>אמות מידה ורשימת זכאים להפחתה בתשלום לשנת הכספים 2014</w:t>
      </w:r>
      <w:r>
        <w:rPr>
          <w:rFonts w:hint="cs"/>
          <w:rtl/>
        </w:rPr>
        <w:t>)</w:t>
      </w:r>
      <w:r>
        <w:rPr>
          <w:rtl/>
        </w:rPr>
        <w:t>, התשע"ד</w:t>
      </w:r>
      <w:r>
        <w:rPr>
          <w:rFonts w:hint="cs"/>
          <w:rtl/>
        </w:rPr>
        <w:t>-2014</w:t>
      </w:r>
      <w:r>
        <w:rPr>
          <w:rStyle w:val="FootnoteReference"/>
          <w:rtl/>
        </w:rPr>
        <w:footnoteReference w:id="129"/>
      </w:r>
      <w:r>
        <w:rPr>
          <w:rFonts w:hint="cs"/>
          <w:rtl/>
        </w:rPr>
        <w:t xml:space="preserve"> (להלן - תקנות ההפחתה).</w:t>
      </w:r>
      <w:r>
        <w:rPr>
          <w:rtl/>
        </w:rPr>
        <w:t xml:space="preserve"> </w:t>
      </w:r>
      <w:r>
        <w:rPr>
          <w:rFonts w:hint="cs"/>
          <w:rtl/>
        </w:rPr>
        <w:t xml:space="preserve">על פי מנגנון זה, </w:t>
      </w:r>
      <w:r>
        <w:rPr>
          <w:rFonts w:hint="cs"/>
          <w:sz w:val="24"/>
          <w:rtl/>
        </w:rPr>
        <w:t xml:space="preserve">הקצאה </w:t>
      </w:r>
      <w:r w:rsidRPr="00F80342">
        <w:rPr>
          <w:sz w:val="24"/>
          <w:rtl/>
        </w:rPr>
        <w:t xml:space="preserve">של 3.5 מ"ק מים </w:t>
      </w:r>
      <w:r>
        <w:rPr>
          <w:rFonts w:hint="cs"/>
          <w:sz w:val="24"/>
          <w:rtl/>
        </w:rPr>
        <w:t>לחודש ניתנת לכל זכאי</w:t>
      </w:r>
      <w:r w:rsidRPr="00F80342">
        <w:rPr>
          <w:sz w:val="24"/>
          <w:rtl/>
        </w:rPr>
        <w:t xml:space="preserve"> </w:t>
      </w:r>
      <w:r>
        <w:rPr>
          <w:rFonts w:hint="cs"/>
          <w:sz w:val="24"/>
          <w:rtl/>
        </w:rPr>
        <w:t xml:space="preserve">(להלן - הכמות המוכרת או הכמות הבסיסית), </w:t>
      </w:r>
      <w:r w:rsidRPr="00F80342">
        <w:rPr>
          <w:sz w:val="24"/>
          <w:rtl/>
        </w:rPr>
        <w:t xml:space="preserve">בתעריף הבסיסי, נוסף על 3.5 מ"ק בתעריף </w:t>
      </w:r>
      <w:r>
        <w:rPr>
          <w:rFonts w:hint="cs"/>
          <w:sz w:val="24"/>
          <w:rtl/>
        </w:rPr>
        <w:t>זה</w:t>
      </w:r>
      <w:r w:rsidRPr="00F80342">
        <w:rPr>
          <w:sz w:val="24"/>
          <w:rtl/>
        </w:rPr>
        <w:t xml:space="preserve"> שכל התושבים זכאים להם, כך ש</w:t>
      </w:r>
      <w:r>
        <w:rPr>
          <w:rFonts w:hint="cs"/>
          <w:sz w:val="24"/>
          <w:rtl/>
        </w:rPr>
        <w:t>ב</w:t>
      </w:r>
      <w:r w:rsidRPr="00F80342">
        <w:rPr>
          <w:sz w:val="24"/>
          <w:rtl/>
        </w:rPr>
        <w:t xml:space="preserve">סך הכול מוקצית לזכאים כמות של 7 מ"ק מים במחיר </w:t>
      </w:r>
      <w:r>
        <w:rPr>
          <w:rFonts w:hint="cs"/>
          <w:sz w:val="24"/>
          <w:rtl/>
        </w:rPr>
        <w:t>ה</w:t>
      </w:r>
      <w:r w:rsidRPr="00F80342">
        <w:rPr>
          <w:sz w:val="24"/>
          <w:rtl/>
        </w:rPr>
        <w:t>מופחת</w:t>
      </w:r>
      <w:r>
        <w:rPr>
          <w:rFonts w:hint="cs"/>
          <w:sz w:val="24"/>
          <w:rtl/>
        </w:rPr>
        <w:t xml:space="preserve"> (להלן - ההטבה)</w:t>
      </w:r>
      <w:r w:rsidRPr="00F80342">
        <w:rPr>
          <w:sz w:val="24"/>
          <w:rtl/>
        </w:rPr>
        <w:t>. הווי אומר, על מנת שצרכן יממש</w:t>
      </w:r>
      <w:r>
        <w:rPr>
          <w:rFonts w:hint="cs"/>
          <w:sz w:val="24"/>
          <w:rtl/>
        </w:rPr>
        <w:t xml:space="preserve"> את </w:t>
      </w:r>
      <w:r w:rsidRPr="00F80342">
        <w:rPr>
          <w:sz w:val="24"/>
          <w:rtl/>
        </w:rPr>
        <w:t xml:space="preserve">זכאותו להנחה </w:t>
      </w:r>
      <w:r>
        <w:rPr>
          <w:rFonts w:hint="cs"/>
          <w:sz w:val="24"/>
          <w:rtl/>
        </w:rPr>
        <w:t>ע</w:t>
      </w:r>
      <w:r w:rsidRPr="00F80342">
        <w:rPr>
          <w:sz w:val="24"/>
          <w:rtl/>
        </w:rPr>
        <w:t>ל</w:t>
      </w:r>
      <w:r>
        <w:rPr>
          <w:rFonts w:hint="cs"/>
          <w:sz w:val="24"/>
          <w:rtl/>
        </w:rPr>
        <w:t xml:space="preserve"> פי </w:t>
      </w:r>
      <w:r w:rsidRPr="00F80342">
        <w:rPr>
          <w:sz w:val="24"/>
          <w:rtl/>
        </w:rPr>
        <w:t>מנגנון הסיוע, עליו לצרוך מים בכמות העולה על 3.5 מ"ק לחודש</w:t>
      </w:r>
      <w:r>
        <w:rPr>
          <w:rFonts w:hint="cs"/>
          <w:sz w:val="24"/>
          <w:rtl/>
        </w:rPr>
        <w:t>. צרכן זכאי שאינו עובר את הכמות המוכרת לא ייהנה מההטבה.</w:t>
      </w:r>
    </w:p>
    <w:p w:rsidR="003D3BEF" w:rsidP="003D3BEF" w14:paraId="09758E7A" w14:textId="77777777">
      <w:pPr>
        <w:pStyle w:val="a"/>
        <w:spacing w:line="269" w:lineRule="auto"/>
        <w:rPr>
          <w:rtl/>
        </w:rPr>
      </w:pPr>
    </w:p>
    <w:p w:rsidR="003D3BEF" w:rsidP="003D3BEF" w14:paraId="7DE78355" w14:textId="77777777">
      <w:pPr>
        <w:spacing w:line="269" w:lineRule="auto"/>
        <w:rPr>
          <w:rtl/>
        </w:rPr>
      </w:pPr>
      <w:r>
        <w:rPr>
          <w:rFonts w:hint="cs"/>
          <w:rtl/>
        </w:rPr>
        <w:t>כעולה מפרוטוקולים של ועדת הכספים של הכנסת בשנים 2015 - 2017, תוספת כמות מים בתעריף נמוך חשובה בייחוד ל</w:t>
      </w:r>
      <w:r w:rsidRPr="003938C8">
        <w:rPr>
          <w:rtl/>
        </w:rPr>
        <w:t>אוכלוסיית הנכים</w:t>
      </w:r>
      <w:r>
        <w:rPr>
          <w:rFonts w:hint="cs"/>
          <w:rtl/>
        </w:rPr>
        <w:t xml:space="preserve"> שחלקם זקוקים לכמות מים גדולה יותר בשל </w:t>
      </w:r>
      <w:r>
        <w:rPr>
          <w:rtl/>
        </w:rPr>
        <w:t>סיבות רפואיות</w:t>
      </w:r>
      <w:r>
        <w:rPr>
          <w:rFonts w:hint="cs"/>
          <w:rtl/>
        </w:rPr>
        <w:t>, שיקומיות וטיפוליות</w:t>
      </w:r>
      <w:r>
        <w:rPr>
          <w:rStyle w:val="FootnoteReference"/>
          <w:sz w:val="24"/>
          <w:rtl/>
        </w:rPr>
        <w:footnoteReference w:id="130"/>
      </w:r>
      <w:r>
        <w:rPr>
          <w:rFonts w:hint="cs"/>
          <w:rtl/>
        </w:rPr>
        <w:t>.</w:t>
      </w:r>
    </w:p>
    <w:p w:rsidR="003D3BEF" w:rsidP="003D3BEF" w14:paraId="35A649BE" w14:textId="77777777">
      <w:pPr>
        <w:pStyle w:val="a"/>
        <w:spacing w:line="269" w:lineRule="auto"/>
        <w:rPr>
          <w:rtl/>
        </w:rPr>
      </w:pPr>
    </w:p>
    <w:p w:rsidR="00902044" w:rsidP="003D3BEF" w14:paraId="4767CD39" w14:textId="77777777">
      <w:pPr>
        <w:pStyle w:val="Heading4"/>
        <w:spacing w:before="0" w:line="269" w:lineRule="auto"/>
        <w:rPr>
          <w:rtl/>
        </w:rPr>
      </w:pPr>
      <w:r>
        <w:rPr>
          <w:rtl/>
        </w:rPr>
        <w:br w:type="page"/>
      </w:r>
    </w:p>
    <w:p w:rsidR="003D3BEF" w:rsidRPr="00C862EE" w:rsidP="003D3BEF" w14:paraId="7438DD52" w14:textId="77777777">
      <w:pPr>
        <w:pStyle w:val="Heading4"/>
        <w:spacing w:before="0" w:line="269" w:lineRule="auto"/>
        <w:rPr>
          <w:rtl/>
        </w:rPr>
      </w:pPr>
      <w:r w:rsidRPr="00C862EE">
        <w:rPr>
          <w:rFonts w:hint="cs"/>
          <w:rtl/>
        </w:rPr>
        <w:t>מיצוי זכויות ושיעור ניצול ההטבה</w:t>
      </w:r>
    </w:p>
    <w:p w:rsidR="00902044" w:rsidP="003D3BEF" w14:paraId="448F75EB" w14:textId="77777777">
      <w:pPr>
        <w:spacing w:line="269" w:lineRule="auto"/>
        <w:rPr>
          <w:sz w:val="24"/>
          <w:rtl/>
        </w:rPr>
      </w:pPr>
    </w:p>
    <w:p w:rsidR="003D3BEF" w:rsidP="003D3BEF" w14:paraId="4EAB9E33" w14:textId="77777777">
      <w:pPr>
        <w:spacing w:line="269" w:lineRule="auto"/>
        <w:rPr>
          <w:sz w:val="24"/>
          <w:rtl/>
        </w:rPr>
      </w:pPr>
      <w:r>
        <w:rPr>
          <w:rFonts w:hint="cs"/>
          <w:sz w:val="24"/>
          <w:rtl/>
        </w:rPr>
        <w:t>משרד מבקר המדינה בחן את מיצוי הזכויות של אוכלוסיית הזכאים, דהיינו עד כמה אוכלוסיית היעד של הזכאים אכן מממשת הלכה למעשה את זכויותיה באופן המרבי והמיטבי</w:t>
      </w:r>
      <w:r>
        <w:rPr>
          <w:rStyle w:val="FootnoteReference"/>
          <w:sz w:val="24"/>
          <w:rtl/>
        </w:rPr>
        <w:footnoteReference w:id="131"/>
      </w:r>
      <w:r>
        <w:rPr>
          <w:rFonts w:hint="cs"/>
          <w:sz w:val="24"/>
          <w:rtl/>
        </w:rPr>
        <w:t xml:space="preserve">. </w:t>
      </w:r>
      <w:r w:rsidRPr="0016614C">
        <w:rPr>
          <w:rFonts w:hint="cs"/>
          <w:sz w:val="24"/>
          <w:rtl/>
        </w:rPr>
        <w:t>להלן התפלגות ניצול ההטבה לשנת 2017</w:t>
      </w:r>
      <w:r>
        <w:rPr>
          <w:rFonts w:hint="cs"/>
          <w:sz w:val="24"/>
          <w:rtl/>
        </w:rPr>
        <w:t xml:space="preserve">, על פי </w:t>
      </w:r>
      <w:r w:rsidRPr="0016614C">
        <w:rPr>
          <w:rFonts w:hint="cs"/>
          <w:sz w:val="24"/>
          <w:rtl/>
        </w:rPr>
        <w:t xml:space="preserve">דיווח </w:t>
      </w:r>
      <w:r>
        <w:rPr>
          <w:rFonts w:hint="cs"/>
          <w:sz w:val="24"/>
          <w:rtl/>
        </w:rPr>
        <w:t xml:space="preserve">של </w:t>
      </w:r>
      <w:r w:rsidRPr="0016614C">
        <w:rPr>
          <w:rFonts w:hint="cs"/>
          <w:sz w:val="24"/>
          <w:rtl/>
        </w:rPr>
        <w:t>רשות המים</w:t>
      </w:r>
      <w:r>
        <w:rPr>
          <w:rStyle w:val="FootnoteReference"/>
          <w:sz w:val="24"/>
          <w:rtl/>
        </w:rPr>
        <w:footnoteReference w:id="132"/>
      </w:r>
      <w:r w:rsidRPr="0016614C">
        <w:rPr>
          <w:rFonts w:hint="cs"/>
          <w:sz w:val="24"/>
          <w:rtl/>
        </w:rPr>
        <w:t>:</w:t>
      </w:r>
    </w:p>
    <w:p w:rsidR="003D3BEF" w:rsidP="003D3BEF" w14:paraId="28E0DE99" w14:textId="77777777">
      <w:pPr>
        <w:pStyle w:val="a"/>
        <w:spacing w:line="269" w:lineRule="auto"/>
        <w:rPr>
          <w:rtl/>
        </w:rPr>
      </w:pPr>
    </w:p>
    <w:p w:rsidR="003D3BEF" w:rsidP="003D3BEF" w14:paraId="55C865C7" w14:textId="77777777">
      <w:pPr>
        <w:spacing w:line="269" w:lineRule="auto"/>
        <w:jc w:val="center"/>
        <w:rPr>
          <w:b/>
          <w:bCs/>
          <w:sz w:val="24"/>
          <w:rtl/>
        </w:rPr>
      </w:pPr>
      <w:r>
        <w:rPr>
          <w:rFonts w:hint="cs"/>
          <w:b/>
          <w:bCs/>
          <w:sz w:val="24"/>
          <w:rtl/>
        </w:rPr>
        <w:t>תרשים 41: ניצול ההטבה, 2017 (במ"ק)</w:t>
      </w:r>
    </w:p>
    <w:p w:rsidR="003D3BEF" w:rsidP="00902044" w14:paraId="03F5671A" w14:textId="77777777">
      <w:pPr>
        <w:spacing w:before="120" w:after="120" w:line="269" w:lineRule="auto"/>
        <w:jc w:val="center"/>
        <w:rPr>
          <w:b/>
          <w:bCs/>
          <w:sz w:val="24"/>
          <w:rtl/>
        </w:rPr>
      </w:pPr>
      <w:r>
        <w:rPr>
          <w:b/>
          <w:bCs/>
          <w:noProof/>
          <w:sz w:val="24"/>
          <w:rtl/>
        </w:rPr>
        <w:drawing>
          <wp:inline distT="0" distB="0" distL="0" distR="0">
            <wp:extent cx="2883414" cy="2602997"/>
            <wp:effectExtent l="0" t="0" r="0" b="6985"/>
            <wp:docPr id="780323281" name="תמונה 78032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7772" name="water-corporations-g-41.png"/>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3414" cy="2602997"/>
                    </a:xfrm>
                    <a:prstGeom prst="rect">
                      <a:avLst/>
                    </a:prstGeom>
                  </pic:spPr>
                </pic:pic>
              </a:graphicData>
            </a:graphic>
          </wp:inline>
        </w:drawing>
      </w:r>
    </w:p>
    <w:p w:rsidR="003D3BEF" w:rsidRPr="00684E93" w:rsidP="00902044" w14:paraId="788101D2" w14:textId="77777777">
      <w:pPr>
        <w:spacing w:after="60" w:line="269" w:lineRule="auto"/>
        <w:jc w:val="left"/>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w:t>
      </w:r>
      <w:r w:rsidRPr="00684E93">
        <w:rPr>
          <w:sz w:val="22"/>
          <w:szCs w:val="22"/>
          <w:rtl/>
        </w:rPr>
        <w:t>עיבוד משרד מבקר המדינה.</w:t>
      </w:r>
    </w:p>
    <w:p w:rsidR="003D3BEF" w:rsidRPr="00684E93" w:rsidP="003D3BEF" w14:paraId="082FCA08" w14:textId="77777777">
      <w:pPr>
        <w:spacing w:line="269" w:lineRule="auto"/>
        <w:jc w:val="center"/>
        <w:rPr>
          <w:sz w:val="22"/>
          <w:szCs w:val="22"/>
          <w:rtl/>
        </w:rPr>
      </w:pPr>
      <w:r w:rsidRPr="00684E93">
        <w:rPr>
          <w:rFonts w:hint="cs"/>
          <w:sz w:val="22"/>
          <w:szCs w:val="22"/>
          <w:rtl/>
        </w:rPr>
        <w:t xml:space="preserve">* בינואר 2020 הסבירה רשות המים כי זכאים אלה </w:t>
      </w:r>
      <w:r w:rsidRPr="00684E93">
        <w:rPr>
          <w:sz w:val="22"/>
          <w:szCs w:val="22"/>
          <w:rtl/>
        </w:rPr>
        <w:t>דווחו כמקבלי הטבה, אבל טרם דווחה הכמות שקיבלו</w:t>
      </w:r>
      <w:r w:rsidRPr="00684E93">
        <w:rPr>
          <w:rFonts w:hint="cs"/>
          <w:sz w:val="22"/>
          <w:szCs w:val="22"/>
          <w:rtl/>
        </w:rPr>
        <w:t>.</w:t>
      </w:r>
    </w:p>
    <w:p w:rsidR="003D3BEF" w:rsidRPr="001F3FE3" w:rsidP="003D3BEF" w14:paraId="2C664862" w14:textId="77777777">
      <w:pPr>
        <w:pStyle w:val="a"/>
        <w:spacing w:line="269" w:lineRule="auto"/>
        <w:rPr>
          <w:rtl/>
        </w:rPr>
      </w:pPr>
    </w:p>
    <w:p w:rsidR="003D3BEF" w:rsidP="003D3BEF" w14:paraId="6AF3A945" w14:textId="77777777">
      <w:pPr>
        <w:spacing w:line="269" w:lineRule="auto"/>
        <w:rPr>
          <w:sz w:val="24"/>
          <w:rtl/>
        </w:rPr>
      </w:pPr>
      <w:r>
        <w:rPr>
          <w:rFonts w:hint="cs"/>
          <w:sz w:val="24"/>
          <w:rtl/>
        </w:rPr>
        <w:t>מהתרשים עולה</w:t>
      </w:r>
      <w:r w:rsidRPr="00C82318">
        <w:rPr>
          <w:rFonts w:hint="cs"/>
          <w:sz w:val="24"/>
          <w:rtl/>
        </w:rPr>
        <w:t xml:space="preserve"> כי</w:t>
      </w:r>
      <w:r>
        <w:rPr>
          <w:rFonts w:hint="cs"/>
          <w:sz w:val="24"/>
          <w:rtl/>
        </w:rPr>
        <w:t xml:space="preserve"> בשנת 2017,</w:t>
      </w:r>
      <w:r w:rsidRPr="00C82318">
        <w:rPr>
          <w:rFonts w:hint="cs"/>
          <w:sz w:val="24"/>
          <w:rtl/>
        </w:rPr>
        <w:t xml:space="preserve"> </w:t>
      </w:r>
      <w:r>
        <w:rPr>
          <w:rFonts w:hint="cs"/>
          <w:sz w:val="24"/>
          <w:rtl/>
        </w:rPr>
        <w:t>כ-20% מהזכאים כלל לא צרכו מים מעבר לכמות הבסיסית, ולכן לא ניצלו את ההטבה; וזאת, כאשר רשות המים אינה מחזיקה בנתונים הנוגעים להיקף ניצול ההטבה של כ-27% מהזכאים. רק 11% מהזכאים צרכו יותר מ-2 מ"ק לחודש מעל הכמות הבסיסית.</w:t>
      </w:r>
    </w:p>
    <w:p w:rsidR="003D3BEF" w:rsidRPr="00C82318" w:rsidP="003D3BEF" w14:paraId="20B1BBD2" w14:textId="77777777">
      <w:pPr>
        <w:pStyle w:val="a"/>
        <w:spacing w:line="269" w:lineRule="auto"/>
        <w:rPr>
          <w:rtl/>
        </w:rPr>
      </w:pPr>
    </w:p>
    <w:p w:rsidR="003D3BEF" w:rsidP="003D3BEF" w14:paraId="5D7F3596" w14:textId="77777777">
      <w:pPr>
        <w:spacing w:line="269" w:lineRule="auto"/>
        <w:rPr>
          <w:sz w:val="24"/>
          <w:rtl/>
        </w:rPr>
      </w:pPr>
      <w:r>
        <w:rPr>
          <w:rFonts w:hint="cs"/>
          <w:sz w:val="24"/>
          <w:rtl/>
        </w:rPr>
        <w:t>נמצא כי על פי הערכת רשות המים, בשנת 2019 עמדה הכמות הממוצעת שניצל צרכן זכאי בתאגידי המים והביוב על 0.8 מ"ק מתוך המכסה הנוספת של 3.5 מ"ק שהוקצתה לכל צרכן זכאי בהטבה, דהיינו ניצול ממוצע של כ-23%</w:t>
      </w:r>
      <w:r>
        <w:rPr>
          <w:rStyle w:val="FootnoteReference"/>
          <w:sz w:val="24"/>
          <w:rtl/>
        </w:rPr>
        <w:footnoteReference w:id="133"/>
      </w:r>
      <w:r>
        <w:rPr>
          <w:rFonts w:hint="cs"/>
          <w:sz w:val="24"/>
          <w:rtl/>
        </w:rPr>
        <w:t xml:space="preserve">. </w:t>
      </w:r>
    </w:p>
    <w:p w:rsidR="003D3BEF" w:rsidRPr="00FC1926" w:rsidP="003D3BEF" w14:paraId="7437B493" w14:textId="77777777">
      <w:pPr>
        <w:pStyle w:val="a"/>
        <w:spacing w:line="269" w:lineRule="auto"/>
        <w:rPr>
          <w:rtl/>
        </w:rPr>
      </w:pPr>
    </w:p>
    <w:p w:rsidR="003D3BEF" w:rsidP="003D3BEF" w14:paraId="181759A0" w14:textId="77777777">
      <w:pPr>
        <w:spacing w:line="269" w:lineRule="auto"/>
        <w:rPr>
          <w:b/>
          <w:bCs/>
          <w:sz w:val="24"/>
          <w:rtl/>
        </w:rPr>
      </w:pPr>
      <w:r>
        <w:rPr>
          <w:rFonts w:hint="cs"/>
          <w:b/>
          <w:bCs/>
          <w:sz w:val="24"/>
          <w:rtl/>
        </w:rPr>
        <w:t>יוצא אפוא</w:t>
      </w:r>
      <w:r w:rsidRPr="0093199D">
        <w:rPr>
          <w:rFonts w:hint="cs"/>
          <w:b/>
          <w:bCs/>
          <w:sz w:val="24"/>
          <w:rtl/>
        </w:rPr>
        <w:t xml:space="preserve"> </w:t>
      </w:r>
      <w:r>
        <w:rPr>
          <w:rFonts w:hint="cs"/>
          <w:b/>
          <w:bCs/>
          <w:sz w:val="24"/>
          <w:rtl/>
        </w:rPr>
        <w:t xml:space="preserve">שהצרכנים הזכאים מקבלים </w:t>
      </w:r>
      <w:r w:rsidRPr="0093199D">
        <w:rPr>
          <w:rFonts w:hint="cs"/>
          <w:b/>
          <w:bCs/>
          <w:sz w:val="24"/>
          <w:rtl/>
        </w:rPr>
        <w:t>בממוצע</w:t>
      </w:r>
      <w:r>
        <w:rPr>
          <w:rFonts w:hint="cs"/>
          <w:b/>
          <w:bCs/>
          <w:sz w:val="24"/>
          <w:rtl/>
        </w:rPr>
        <w:t xml:space="preserve"> הטבה</w:t>
      </w:r>
      <w:r w:rsidRPr="0093199D">
        <w:rPr>
          <w:rFonts w:hint="cs"/>
          <w:b/>
          <w:bCs/>
          <w:sz w:val="24"/>
          <w:rtl/>
        </w:rPr>
        <w:t xml:space="preserve"> רק עבור כ-0.8 </w:t>
      </w:r>
      <w:r>
        <w:rPr>
          <w:rFonts w:hint="cs"/>
          <w:b/>
          <w:bCs/>
          <w:sz w:val="24"/>
          <w:rtl/>
        </w:rPr>
        <w:t>מ"ק</w:t>
      </w:r>
      <w:r w:rsidRPr="0093199D">
        <w:rPr>
          <w:rFonts w:hint="cs"/>
          <w:b/>
          <w:bCs/>
          <w:sz w:val="24"/>
          <w:rtl/>
        </w:rPr>
        <w:t xml:space="preserve"> מתוך צריכה ממוצעת של</w:t>
      </w:r>
      <w:r>
        <w:rPr>
          <w:rFonts w:hint="cs"/>
          <w:b/>
          <w:bCs/>
          <w:sz w:val="24"/>
          <w:rtl/>
        </w:rPr>
        <w:t xml:space="preserve"> כ-</w:t>
      </w:r>
      <w:r w:rsidRPr="0093199D">
        <w:rPr>
          <w:rFonts w:hint="cs"/>
          <w:b/>
          <w:bCs/>
          <w:sz w:val="24"/>
          <w:rtl/>
        </w:rPr>
        <w:t xml:space="preserve">4.3 </w:t>
      </w:r>
      <w:r>
        <w:rPr>
          <w:rFonts w:hint="cs"/>
          <w:b/>
          <w:bCs/>
          <w:sz w:val="24"/>
          <w:rtl/>
        </w:rPr>
        <w:t>מ"ק</w:t>
      </w:r>
      <w:r w:rsidRPr="0093199D">
        <w:rPr>
          <w:rFonts w:hint="cs"/>
          <w:b/>
          <w:bCs/>
          <w:sz w:val="24"/>
          <w:rtl/>
        </w:rPr>
        <w:t xml:space="preserve"> לכל זכאי</w:t>
      </w:r>
      <w:r>
        <w:rPr>
          <w:rStyle w:val="FootnoteReference"/>
          <w:b/>
          <w:bCs/>
          <w:sz w:val="24"/>
          <w:rtl/>
        </w:rPr>
        <w:footnoteReference w:id="134"/>
      </w:r>
      <w:r>
        <w:rPr>
          <w:rFonts w:hint="cs"/>
          <w:b/>
          <w:bCs/>
          <w:sz w:val="24"/>
          <w:rtl/>
        </w:rPr>
        <w:t>.</w:t>
      </w:r>
    </w:p>
    <w:p w:rsidR="003D3BEF" w:rsidP="003D3BEF" w14:paraId="52D60A18" w14:textId="77777777">
      <w:pPr>
        <w:pStyle w:val="a"/>
        <w:spacing w:line="269" w:lineRule="auto"/>
        <w:rPr>
          <w:rtl/>
        </w:rPr>
      </w:pPr>
    </w:p>
    <w:p w:rsidR="003D3BEF" w:rsidP="003D3BEF" w14:paraId="784E12AE" w14:textId="77777777">
      <w:pPr>
        <w:spacing w:line="269" w:lineRule="auto"/>
        <w:rPr>
          <w:sz w:val="24"/>
          <w:rtl/>
        </w:rPr>
      </w:pPr>
      <w:r>
        <w:rPr>
          <w:rFonts w:hint="cs"/>
          <w:sz w:val="24"/>
          <w:rtl/>
        </w:rPr>
        <w:t xml:space="preserve">עוד נמצא כי </w:t>
      </w:r>
      <w:r w:rsidRPr="00301A77">
        <w:rPr>
          <w:rFonts w:hint="cs"/>
          <w:sz w:val="24"/>
          <w:rtl/>
        </w:rPr>
        <w:t>שיעור ניכר של תקציב ההטבה אינו מנוצל במשך שנים</w:t>
      </w:r>
      <w:r>
        <w:rPr>
          <w:rFonts w:hint="cs"/>
          <w:sz w:val="24"/>
          <w:rtl/>
        </w:rPr>
        <w:t>. להלן סכומי המענקים ששולמו בפועל מתוך תקציבי המדינה לשנים 2015 - 2018:</w:t>
      </w:r>
    </w:p>
    <w:p w:rsidR="003D3BEF" w:rsidP="003D3BEF" w14:paraId="662FA6DA" w14:textId="77777777">
      <w:pPr>
        <w:pStyle w:val="a"/>
        <w:rPr>
          <w:rtl/>
        </w:rPr>
      </w:pPr>
    </w:p>
    <w:p w:rsidR="00902044" w:rsidP="00902044" w14:paraId="4D20ECF6" w14:textId="77777777">
      <w:pPr>
        <w:spacing w:after="120" w:line="269" w:lineRule="auto"/>
        <w:rPr>
          <w:b/>
          <w:bCs/>
          <w:rtl/>
        </w:rPr>
      </w:pPr>
      <w:r>
        <w:rPr>
          <w:b/>
          <w:bCs/>
          <w:rtl/>
        </w:rPr>
        <w:br w:type="page"/>
      </w:r>
    </w:p>
    <w:p w:rsidR="003D3BEF" w:rsidRPr="00C76F92" w:rsidP="00902044" w14:paraId="032F6533" w14:textId="77777777">
      <w:pPr>
        <w:spacing w:after="120" w:line="269" w:lineRule="auto"/>
        <w:rPr>
          <w:b/>
          <w:bCs/>
        </w:rPr>
      </w:pPr>
      <w:r w:rsidRPr="00C76F92">
        <w:rPr>
          <w:rFonts w:hint="cs"/>
          <w:b/>
          <w:bCs/>
          <w:rtl/>
        </w:rPr>
        <w:t>לוח 7: סכומי המענקים ששולמו מתוך תקציבי המדינה, המיועדים להנחה בתעריפי מים לאוכלוסיות מיוחדות,</w:t>
      </w:r>
      <w:r>
        <w:rPr>
          <w:rFonts w:hint="cs"/>
          <w:b/>
          <w:bCs/>
          <w:rtl/>
        </w:rPr>
        <w:t xml:space="preserve"> </w:t>
      </w:r>
      <w:r w:rsidRPr="00C76F92">
        <w:rPr>
          <w:rFonts w:hint="cs"/>
          <w:b/>
          <w:bCs/>
          <w:rtl/>
        </w:rPr>
        <w:t>2018 - 2015 (באלפי ש"ח)</w:t>
      </w:r>
    </w:p>
    <w:tbl>
      <w:tblPr>
        <w:tblStyle w:val="TableGrid"/>
        <w:bidiVisual/>
        <w:tblW w:w="4887" w:type="pct"/>
        <w:jc w:val="center"/>
        <w:tblLook w:val="04A0"/>
      </w:tblPr>
      <w:tblGrid>
        <w:gridCol w:w="1657"/>
        <w:gridCol w:w="1912"/>
        <w:gridCol w:w="2318"/>
        <w:gridCol w:w="2222"/>
      </w:tblGrid>
      <w:tr w14:paraId="47A8A600" w14:textId="77777777" w:rsidTr="00061045">
        <w:tblPrEx>
          <w:tblW w:w="4887" w:type="pct"/>
          <w:jc w:val="center"/>
          <w:tblLook w:val="04A0"/>
        </w:tblPrEx>
        <w:trPr>
          <w:jc w:val="center"/>
        </w:trPr>
        <w:tc>
          <w:tcPr>
            <w:tcW w:w="1022" w:type="pct"/>
            <w:shd w:val="clear" w:color="auto" w:fill="D9D9D9" w:themeFill="background1" w:themeFillShade="D9"/>
            <w:vAlign w:val="bottom"/>
          </w:tcPr>
          <w:p w:rsidR="003D3BEF" w:rsidRPr="00061045" w:rsidP="00061045" w14:paraId="4C4A021C" w14:textId="77777777">
            <w:pPr>
              <w:spacing w:before="80" w:after="80" w:line="240" w:lineRule="exact"/>
              <w:jc w:val="center"/>
              <w:rPr>
                <w:b/>
                <w:bCs/>
                <w:sz w:val="22"/>
                <w:szCs w:val="22"/>
                <w:rtl/>
              </w:rPr>
            </w:pPr>
            <w:r w:rsidRPr="00061045">
              <w:rPr>
                <w:rFonts w:hint="cs"/>
                <w:b/>
                <w:bCs/>
                <w:sz w:val="22"/>
                <w:szCs w:val="22"/>
                <w:rtl/>
              </w:rPr>
              <w:t>שנת התקציב</w:t>
            </w:r>
          </w:p>
        </w:tc>
        <w:tc>
          <w:tcPr>
            <w:tcW w:w="1179" w:type="pct"/>
            <w:shd w:val="clear" w:color="auto" w:fill="D9D9D9" w:themeFill="background1" w:themeFillShade="D9"/>
            <w:vAlign w:val="bottom"/>
          </w:tcPr>
          <w:p w:rsidR="003D3BEF" w:rsidRPr="00061045" w:rsidP="00061045" w14:paraId="4E3FC8EF" w14:textId="77777777">
            <w:pPr>
              <w:spacing w:before="80" w:after="80" w:line="240" w:lineRule="exact"/>
              <w:jc w:val="center"/>
              <w:rPr>
                <w:b/>
                <w:bCs/>
                <w:sz w:val="22"/>
                <w:szCs w:val="22"/>
                <w:rtl/>
              </w:rPr>
            </w:pPr>
            <w:r w:rsidRPr="00061045">
              <w:rPr>
                <w:rFonts w:hint="cs"/>
                <w:b/>
                <w:bCs/>
                <w:sz w:val="22"/>
                <w:szCs w:val="22"/>
                <w:rtl/>
              </w:rPr>
              <w:t>סכום התקציב</w:t>
            </w:r>
            <w:r>
              <w:rPr>
                <w:rStyle w:val="FootnoteReference"/>
                <w:b/>
                <w:bCs/>
                <w:sz w:val="22"/>
                <w:szCs w:val="22"/>
                <w:rtl/>
              </w:rPr>
              <w:footnoteReference w:id="135"/>
            </w:r>
          </w:p>
        </w:tc>
        <w:tc>
          <w:tcPr>
            <w:tcW w:w="1429" w:type="pct"/>
            <w:shd w:val="clear" w:color="auto" w:fill="D9D9D9" w:themeFill="background1" w:themeFillShade="D9"/>
            <w:vAlign w:val="bottom"/>
          </w:tcPr>
          <w:p w:rsidR="003D3BEF" w:rsidRPr="00061045" w:rsidP="00061045" w14:paraId="000C64BA" w14:textId="77777777">
            <w:pPr>
              <w:spacing w:before="80" w:after="80" w:line="240" w:lineRule="exact"/>
              <w:jc w:val="center"/>
              <w:rPr>
                <w:b/>
                <w:bCs/>
                <w:sz w:val="22"/>
                <w:szCs w:val="22"/>
                <w:rtl/>
              </w:rPr>
            </w:pPr>
            <w:r w:rsidRPr="00061045">
              <w:rPr>
                <w:rFonts w:hint="cs"/>
                <w:b/>
                <w:bCs/>
                <w:sz w:val="22"/>
                <w:szCs w:val="22"/>
                <w:rtl/>
              </w:rPr>
              <w:t>המענקים ששולמו</w:t>
            </w:r>
          </w:p>
        </w:tc>
        <w:tc>
          <w:tcPr>
            <w:tcW w:w="1370" w:type="pct"/>
            <w:shd w:val="clear" w:color="auto" w:fill="D9D9D9" w:themeFill="background1" w:themeFillShade="D9"/>
            <w:vAlign w:val="bottom"/>
          </w:tcPr>
          <w:p w:rsidR="003D3BEF" w:rsidRPr="00061045" w:rsidP="00061045" w14:paraId="7680D642" w14:textId="77777777">
            <w:pPr>
              <w:spacing w:before="80" w:after="80" w:line="240" w:lineRule="exact"/>
              <w:jc w:val="center"/>
              <w:rPr>
                <w:b/>
                <w:bCs/>
                <w:sz w:val="22"/>
                <w:szCs w:val="22"/>
                <w:rtl/>
              </w:rPr>
            </w:pPr>
            <w:r w:rsidRPr="00061045">
              <w:rPr>
                <w:rFonts w:hint="cs"/>
                <w:b/>
                <w:bCs/>
                <w:sz w:val="22"/>
                <w:szCs w:val="22"/>
                <w:rtl/>
              </w:rPr>
              <w:t>שיעור המענקים ששולמו מתוך התקציב השנתי</w:t>
            </w:r>
          </w:p>
        </w:tc>
      </w:tr>
      <w:tr w14:paraId="24D4E196" w14:textId="77777777" w:rsidTr="00061045">
        <w:tblPrEx>
          <w:tblW w:w="4887" w:type="pct"/>
          <w:jc w:val="center"/>
          <w:tblLook w:val="04A0"/>
        </w:tblPrEx>
        <w:trPr>
          <w:jc w:val="center"/>
        </w:trPr>
        <w:tc>
          <w:tcPr>
            <w:tcW w:w="1022" w:type="pct"/>
            <w:vAlign w:val="bottom"/>
          </w:tcPr>
          <w:p w:rsidR="003D3BEF" w:rsidRPr="00061045" w:rsidP="00061045" w14:paraId="2BF53793" w14:textId="77777777">
            <w:pPr>
              <w:spacing w:before="80" w:after="80" w:line="240" w:lineRule="exact"/>
              <w:jc w:val="center"/>
              <w:rPr>
                <w:sz w:val="22"/>
                <w:szCs w:val="22"/>
                <w:rtl/>
              </w:rPr>
            </w:pPr>
            <w:r w:rsidRPr="00061045">
              <w:rPr>
                <w:rFonts w:hint="cs"/>
                <w:sz w:val="22"/>
                <w:szCs w:val="22"/>
                <w:rtl/>
              </w:rPr>
              <w:t>2015</w:t>
            </w:r>
          </w:p>
        </w:tc>
        <w:tc>
          <w:tcPr>
            <w:tcW w:w="1179" w:type="pct"/>
            <w:vAlign w:val="bottom"/>
          </w:tcPr>
          <w:p w:rsidR="003D3BEF" w:rsidRPr="00061045" w:rsidP="00061045" w14:paraId="7961D99E" w14:textId="77777777">
            <w:pPr>
              <w:spacing w:before="80" w:after="80" w:line="240" w:lineRule="exact"/>
              <w:jc w:val="center"/>
              <w:rPr>
                <w:sz w:val="22"/>
                <w:szCs w:val="22"/>
                <w:rtl/>
              </w:rPr>
            </w:pPr>
            <w:r w:rsidRPr="00061045">
              <w:rPr>
                <w:rFonts w:hint="cs"/>
                <w:sz w:val="22"/>
                <w:szCs w:val="22"/>
                <w:rtl/>
              </w:rPr>
              <w:t xml:space="preserve">75,000 </w:t>
            </w:r>
          </w:p>
        </w:tc>
        <w:tc>
          <w:tcPr>
            <w:tcW w:w="1429" w:type="pct"/>
            <w:vAlign w:val="bottom"/>
          </w:tcPr>
          <w:p w:rsidR="003D3BEF" w:rsidRPr="00061045" w:rsidP="00061045" w14:paraId="39E66CB9" w14:textId="77777777">
            <w:pPr>
              <w:spacing w:before="80" w:after="80" w:line="240" w:lineRule="exact"/>
              <w:jc w:val="center"/>
              <w:rPr>
                <w:sz w:val="22"/>
                <w:szCs w:val="22"/>
                <w:rtl/>
              </w:rPr>
            </w:pPr>
            <w:r w:rsidRPr="00061045">
              <w:rPr>
                <w:rFonts w:hint="cs"/>
                <w:sz w:val="22"/>
                <w:szCs w:val="22"/>
                <w:rtl/>
              </w:rPr>
              <w:t xml:space="preserve">18,823 </w:t>
            </w:r>
          </w:p>
        </w:tc>
        <w:tc>
          <w:tcPr>
            <w:tcW w:w="1370" w:type="pct"/>
            <w:vAlign w:val="bottom"/>
          </w:tcPr>
          <w:p w:rsidR="003D3BEF" w:rsidRPr="00061045" w:rsidP="00061045" w14:paraId="57E5C574" w14:textId="77777777">
            <w:pPr>
              <w:spacing w:before="80" w:after="80" w:line="240" w:lineRule="exact"/>
              <w:jc w:val="center"/>
              <w:rPr>
                <w:sz w:val="22"/>
                <w:szCs w:val="22"/>
                <w:rtl/>
              </w:rPr>
            </w:pPr>
            <w:r w:rsidRPr="00061045">
              <w:rPr>
                <w:rFonts w:hint="cs"/>
                <w:sz w:val="22"/>
                <w:szCs w:val="22"/>
                <w:rtl/>
              </w:rPr>
              <w:t>25%</w:t>
            </w:r>
          </w:p>
        </w:tc>
      </w:tr>
      <w:tr w14:paraId="1059ECA6" w14:textId="77777777" w:rsidTr="00061045">
        <w:tblPrEx>
          <w:tblW w:w="4887" w:type="pct"/>
          <w:jc w:val="center"/>
          <w:tblLook w:val="04A0"/>
        </w:tblPrEx>
        <w:trPr>
          <w:jc w:val="center"/>
        </w:trPr>
        <w:tc>
          <w:tcPr>
            <w:tcW w:w="1022" w:type="pct"/>
            <w:vAlign w:val="bottom"/>
          </w:tcPr>
          <w:p w:rsidR="003D3BEF" w:rsidRPr="00061045" w:rsidP="00061045" w14:paraId="15DF074B" w14:textId="77777777">
            <w:pPr>
              <w:spacing w:before="80" w:after="80" w:line="240" w:lineRule="exact"/>
              <w:jc w:val="center"/>
              <w:rPr>
                <w:sz w:val="22"/>
                <w:szCs w:val="22"/>
                <w:rtl/>
              </w:rPr>
            </w:pPr>
            <w:r w:rsidRPr="00061045">
              <w:rPr>
                <w:rFonts w:hint="cs"/>
                <w:sz w:val="22"/>
                <w:szCs w:val="22"/>
                <w:rtl/>
              </w:rPr>
              <w:t>2016</w:t>
            </w:r>
          </w:p>
        </w:tc>
        <w:tc>
          <w:tcPr>
            <w:tcW w:w="1179" w:type="pct"/>
            <w:vAlign w:val="bottom"/>
          </w:tcPr>
          <w:p w:rsidR="003D3BEF" w:rsidRPr="00061045" w:rsidP="00061045" w14:paraId="28278CE2" w14:textId="77777777">
            <w:pPr>
              <w:spacing w:before="80" w:after="80" w:line="240" w:lineRule="exact"/>
              <w:jc w:val="center"/>
              <w:rPr>
                <w:sz w:val="22"/>
                <w:szCs w:val="22"/>
                <w:rtl/>
              </w:rPr>
            </w:pPr>
            <w:r w:rsidRPr="00061045">
              <w:rPr>
                <w:rFonts w:hint="cs"/>
                <w:sz w:val="22"/>
                <w:szCs w:val="22"/>
                <w:rtl/>
              </w:rPr>
              <w:t xml:space="preserve">38,800 </w:t>
            </w:r>
          </w:p>
        </w:tc>
        <w:tc>
          <w:tcPr>
            <w:tcW w:w="1429" w:type="pct"/>
            <w:vAlign w:val="bottom"/>
          </w:tcPr>
          <w:p w:rsidR="003D3BEF" w:rsidRPr="00061045" w:rsidP="00061045" w14:paraId="10547C44" w14:textId="77777777">
            <w:pPr>
              <w:spacing w:before="80" w:after="80" w:line="240" w:lineRule="exact"/>
              <w:jc w:val="center"/>
              <w:rPr>
                <w:sz w:val="22"/>
                <w:szCs w:val="22"/>
                <w:rtl/>
              </w:rPr>
            </w:pPr>
            <w:r w:rsidRPr="00061045">
              <w:rPr>
                <w:rFonts w:hint="cs"/>
                <w:sz w:val="22"/>
                <w:szCs w:val="22"/>
                <w:rtl/>
              </w:rPr>
              <w:t xml:space="preserve">17,263 </w:t>
            </w:r>
          </w:p>
        </w:tc>
        <w:tc>
          <w:tcPr>
            <w:tcW w:w="1370" w:type="pct"/>
            <w:vAlign w:val="bottom"/>
          </w:tcPr>
          <w:p w:rsidR="003D3BEF" w:rsidRPr="00061045" w:rsidP="00061045" w14:paraId="142FFF18" w14:textId="77777777">
            <w:pPr>
              <w:spacing w:before="80" w:after="80" w:line="240" w:lineRule="exact"/>
              <w:jc w:val="center"/>
              <w:rPr>
                <w:sz w:val="22"/>
                <w:szCs w:val="22"/>
                <w:rtl/>
              </w:rPr>
            </w:pPr>
            <w:r w:rsidRPr="00061045">
              <w:rPr>
                <w:rFonts w:hint="cs"/>
                <w:sz w:val="22"/>
                <w:szCs w:val="22"/>
                <w:rtl/>
              </w:rPr>
              <w:t>44%</w:t>
            </w:r>
          </w:p>
        </w:tc>
      </w:tr>
      <w:tr w14:paraId="34AE3B8D" w14:textId="77777777" w:rsidTr="00061045">
        <w:tblPrEx>
          <w:tblW w:w="4887" w:type="pct"/>
          <w:jc w:val="center"/>
          <w:tblLook w:val="04A0"/>
        </w:tblPrEx>
        <w:trPr>
          <w:jc w:val="center"/>
        </w:trPr>
        <w:tc>
          <w:tcPr>
            <w:tcW w:w="1022" w:type="pct"/>
            <w:vAlign w:val="bottom"/>
          </w:tcPr>
          <w:p w:rsidR="003D3BEF" w:rsidRPr="00061045" w:rsidP="00061045" w14:paraId="64D8673B" w14:textId="77777777">
            <w:pPr>
              <w:spacing w:before="80" w:after="80" w:line="240" w:lineRule="exact"/>
              <w:jc w:val="center"/>
              <w:rPr>
                <w:sz w:val="22"/>
                <w:szCs w:val="22"/>
                <w:rtl/>
              </w:rPr>
            </w:pPr>
            <w:r w:rsidRPr="00061045">
              <w:rPr>
                <w:rFonts w:hint="cs"/>
                <w:sz w:val="22"/>
                <w:szCs w:val="22"/>
                <w:rtl/>
              </w:rPr>
              <w:t>2017</w:t>
            </w:r>
          </w:p>
        </w:tc>
        <w:tc>
          <w:tcPr>
            <w:tcW w:w="1179" w:type="pct"/>
            <w:vAlign w:val="bottom"/>
          </w:tcPr>
          <w:p w:rsidR="003D3BEF" w:rsidRPr="00061045" w:rsidP="00061045" w14:paraId="5CFD34D9" w14:textId="77777777">
            <w:pPr>
              <w:spacing w:before="80" w:after="80" w:line="240" w:lineRule="exact"/>
              <w:jc w:val="center"/>
              <w:rPr>
                <w:sz w:val="22"/>
                <w:szCs w:val="22"/>
                <w:rtl/>
              </w:rPr>
            </w:pPr>
            <w:r w:rsidRPr="00061045">
              <w:rPr>
                <w:rFonts w:hint="cs"/>
                <w:sz w:val="22"/>
                <w:szCs w:val="22"/>
                <w:rtl/>
              </w:rPr>
              <w:t xml:space="preserve">70,000 </w:t>
            </w:r>
          </w:p>
        </w:tc>
        <w:tc>
          <w:tcPr>
            <w:tcW w:w="1429" w:type="pct"/>
            <w:vAlign w:val="bottom"/>
          </w:tcPr>
          <w:p w:rsidR="003D3BEF" w:rsidRPr="00061045" w:rsidP="00061045" w14:paraId="78E150AE" w14:textId="77777777">
            <w:pPr>
              <w:spacing w:before="80" w:after="80" w:line="240" w:lineRule="exact"/>
              <w:jc w:val="center"/>
              <w:rPr>
                <w:sz w:val="22"/>
                <w:szCs w:val="22"/>
                <w:rtl/>
              </w:rPr>
            </w:pPr>
            <w:r w:rsidRPr="00061045">
              <w:rPr>
                <w:rFonts w:hint="cs"/>
                <w:sz w:val="22"/>
                <w:szCs w:val="22"/>
                <w:rtl/>
              </w:rPr>
              <w:t xml:space="preserve">30,054 </w:t>
            </w:r>
          </w:p>
        </w:tc>
        <w:tc>
          <w:tcPr>
            <w:tcW w:w="1370" w:type="pct"/>
            <w:vAlign w:val="bottom"/>
          </w:tcPr>
          <w:p w:rsidR="003D3BEF" w:rsidRPr="00061045" w:rsidP="00061045" w14:paraId="76E119F8" w14:textId="77777777">
            <w:pPr>
              <w:spacing w:before="80" w:after="80" w:line="240" w:lineRule="exact"/>
              <w:jc w:val="center"/>
              <w:rPr>
                <w:sz w:val="22"/>
                <w:szCs w:val="22"/>
                <w:rtl/>
              </w:rPr>
            </w:pPr>
            <w:r w:rsidRPr="00061045">
              <w:rPr>
                <w:rFonts w:hint="cs"/>
                <w:sz w:val="22"/>
                <w:szCs w:val="22"/>
                <w:rtl/>
              </w:rPr>
              <w:t>43%</w:t>
            </w:r>
          </w:p>
        </w:tc>
      </w:tr>
      <w:tr w14:paraId="4D782469" w14:textId="77777777" w:rsidTr="00061045">
        <w:tblPrEx>
          <w:tblW w:w="4887" w:type="pct"/>
          <w:jc w:val="center"/>
          <w:tblLook w:val="04A0"/>
        </w:tblPrEx>
        <w:trPr>
          <w:jc w:val="center"/>
        </w:trPr>
        <w:tc>
          <w:tcPr>
            <w:tcW w:w="1022" w:type="pct"/>
            <w:vAlign w:val="bottom"/>
          </w:tcPr>
          <w:p w:rsidR="003D3BEF" w:rsidRPr="00061045" w:rsidP="00061045" w14:paraId="1B2F5ED3" w14:textId="77777777">
            <w:pPr>
              <w:spacing w:before="80" w:after="80" w:line="240" w:lineRule="exact"/>
              <w:jc w:val="center"/>
              <w:rPr>
                <w:sz w:val="22"/>
                <w:szCs w:val="22"/>
                <w:rtl/>
              </w:rPr>
            </w:pPr>
            <w:r w:rsidRPr="00061045">
              <w:rPr>
                <w:rFonts w:hint="cs"/>
                <w:sz w:val="22"/>
                <w:szCs w:val="22"/>
                <w:rtl/>
              </w:rPr>
              <w:t>2018</w:t>
            </w:r>
          </w:p>
        </w:tc>
        <w:tc>
          <w:tcPr>
            <w:tcW w:w="1179" w:type="pct"/>
            <w:vAlign w:val="bottom"/>
          </w:tcPr>
          <w:p w:rsidR="003D3BEF" w:rsidRPr="00061045" w:rsidP="00061045" w14:paraId="03558CE3" w14:textId="77777777">
            <w:pPr>
              <w:spacing w:before="80" w:after="80" w:line="240" w:lineRule="exact"/>
              <w:jc w:val="center"/>
              <w:rPr>
                <w:sz w:val="22"/>
                <w:szCs w:val="22"/>
                <w:rtl/>
              </w:rPr>
            </w:pPr>
            <w:r w:rsidRPr="00061045">
              <w:rPr>
                <w:rFonts w:hint="cs"/>
                <w:sz w:val="22"/>
                <w:szCs w:val="22"/>
                <w:rtl/>
              </w:rPr>
              <w:t xml:space="preserve">70,000 </w:t>
            </w:r>
          </w:p>
        </w:tc>
        <w:tc>
          <w:tcPr>
            <w:tcW w:w="1429" w:type="pct"/>
            <w:vAlign w:val="bottom"/>
          </w:tcPr>
          <w:p w:rsidR="003D3BEF" w:rsidRPr="00061045" w:rsidP="00061045" w14:paraId="040A97D7" w14:textId="77777777">
            <w:pPr>
              <w:spacing w:before="80" w:after="80" w:line="240" w:lineRule="exact"/>
              <w:jc w:val="center"/>
              <w:rPr>
                <w:sz w:val="22"/>
                <w:szCs w:val="22"/>
                <w:rtl/>
              </w:rPr>
            </w:pPr>
            <w:r w:rsidRPr="00061045">
              <w:rPr>
                <w:rFonts w:hint="cs"/>
                <w:sz w:val="22"/>
                <w:szCs w:val="22"/>
                <w:rtl/>
              </w:rPr>
              <w:t xml:space="preserve">34,906 </w:t>
            </w:r>
          </w:p>
        </w:tc>
        <w:tc>
          <w:tcPr>
            <w:tcW w:w="1370" w:type="pct"/>
            <w:vAlign w:val="bottom"/>
          </w:tcPr>
          <w:p w:rsidR="003D3BEF" w:rsidRPr="00061045" w:rsidP="00061045" w14:paraId="256FCF80" w14:textId="77777777">
            <w:pPr>
              <w:spacing w:before="80" w:after="80" w:line="240" w:lineRule="exact"/>
              <w:jc w:val="center"/>
              <w:rPr>
                <w:sz w:val="22"/>
                <w:szCs w:val="22"/>
                <w:rtl/>
              </w:rPr>
            </w:pPr>
            <w:r w:rsidRPr="00061045">
              <w:rPr>
                <w:rFonts w:hint="cs"/>
                <w:sz w:val="22"/>
                <w:szCs w:val="22"/>
                <w:rtl/>
              </w:rPr>
              <w:t>50%</w:t>
            </w:r>
          </w:p>
        </w:tc>
      </w:tr>
      <w:tr w14:paraId="4324CF2D" w14:textId="77777777" w:rsidTr="00061045">
        <w:tblPrEx>
          <w:tblW w:w="4887" w:type="pct"/>
          <w:jc w:val="center"/>
          <w:tblLook w:val="04A0"/>
        </w:tblPrEx>
        <w:trPr>
          <w:jc w:val="center"/>
        </w:trPr>
        <w:tc>
          <w:tcPr>
            <w:tcW w:w="1022" w:type="pct"/>
            <w:vAlign w:val="bottom"/>
          </w:tcPr>
          <w:p w:rsidR="003D3BEF" w:rsidRPr="00061045" w:rsidP="00061045" w14:paraId="1519B1DB" w14:textId="77777777">
            <w:pPr>
              <w:spacing w:before="80" w:after="80" w:line="240" w:lineRule="exact"/>
              <w:jc w:val="center"/>
              <w:rPr>
                <w:b/>
                <w:bCs/>
                <w:sz w:val="22"/>
                <w:szCs w:val="22"/>
                <w:rtl/>
              </w:rPr>
            </w:pPr>
            <w:r w:rsidRPr="00061045">
              <w:rPr>
                <w:rFonts w:hint="cs"/>
                <w:b/>
                <w:bCs/>
                <w:sz w:val="22"/>
                <w:szCs w:val="22"/>
                <w:rtl/>
              </w:rPr>
              <w:t>סה"כ</w:t>
            </w:r>
          </w:p>
        </w:tc>
        <w:tc>
          <w:tcPr>
            <w:tcW w:w="1179" w:type="pct"/>
            <w:vAlign w:val="bottom"/>
          </w:tcPr>
          <w:p w:rsidR="003D3BEF" w:rsidRPr="00061045" w:rsidP="00061045" w14:paraId="15C8CCA4" w14:textId="77777777">
            <w:pPr>
              <w:spacing w:before="80" w:after="80" w:line="240" w:lineRule="exact"/>
              <w:jc w:val="center"/>
              <w:rPr>
                <w:b/>
                <w:bCs/>
                <w:sz w:val="22"/>
                <w:szCs w:val="22"/>
                <w:rtl/>
              </w:rPr>
            </w:pPr>
            <w:r w:rsidRPr="00061045">
              <w:rPr>
                <w:rFonts w:hint="cs"/>
                <w:b/>
                <w:bCs/>
                <w:sz w:val="22"/>
                <w:szCs w:val="22"/>
                <w:rtl/>
              </w:rPr>
              <w:t xml:space="preserve">253,800 </w:t>
            </w:r>
          </w:p>
        </w:tc>
        <w:tc>
          <w:tcPr>
            <w:tcW w:w="1429" w:type="pct"/>
            <w:vAlign w:val="bottom"/>
          </w:tcPr>
          <w:p w:rsidR="003D3BEF" w:rsidRPr="00061045" w:rsidP="00061045" w14:paraId="535F7E41" w14:textId="77777777">
            <w:pPr>
              <w:spacing w:before="80" w:after="80" w:line="240" w:lineRule="exact"/>
              <w:jc w:val="center"/>
              <w:rPr>
                <w:b/>
                <w:bCs/>
                <w:sz w:val="22"/>
                <w:szCs w:val="22"/>
                <w:rtl/>
              </w:rPr>
            </w:pPr>
            <w:r w:rsidRPr="00061045">
              <w:rPr>
                <w:rFonts w:hint="cs"/>
                <w:b/>
                <w:bCs/>
                <w:sz w:val="22"/>
                <w:szCs w:val="22"/>
                <w:rtl/>
              </w:rPr>
              <w:t xml:space="preserve">101,046 </w:t>
            </w:r>
          </w:p>
        </w:tc>
        <w:tc>
          <w:tcPr>
            <w:tcW w:w="1370" w:type="pct"/>
            <w:vAlign w:val="bottom"/>
          </w:tcPr>
          <w:p w:rsidR="003D3BEF" w:rsidRPr="00061045" w:rsidP="00061045" w14:paraId="117B52D1" w14:textId="77777777">
            <w:pPr>
              <w:spacing w:before="80" w:after="80" w:line="240" w:lineRule="exact"/>
              <w:jc w:val="center"/>
              <w:rPr>
                <w:b/>
                <w:bCs/>
                <w:sz w:val="22"/>
                <w:szCs w:val="22"/>
                <w:rtl/>
              </w:rPr>
            </w:pPr>
            <w:r w:rsidRPr="00061045">
              <w:rPr>
                <w:rFonts w:hint="cs"/>
                <w:b/>
                <w:bCs/>
                <w:sz w:val="22"/>
                <w:szCs w:val="22"/>
                <w:rtl/>
              </w:rPr>
              <w:t>40%</w:t>
            </w:r>
          </w:p>
        </w:tc>
      </w:tr>
    </w:tbl>
    <w:p w:rsidR="003D3BEF" w:rsidRPr="00684E93" w:rsidP="00061045" w14:paraId="762CD47A" w14:textId="77777777">
      <w:pPr>
        <w:spacing w:before="120" w:line="269" w:lineRule="auto"/>
        <w:jc w:val="center"/>
        <w:rPr>
          <w:sz w:val="22"/>
          <w:szCs w:val="22"/>
          <w:rtl/>
        </w:rPr>
      </w:pPr>
      <w:r w:rsidRPr="00684E93">
        <w:rPr>
          <w:rFonts w:hint="eastAsia"/>
          <w:sz w:val="22"/>
          <w:szCs w:val="22"/>
          <w:rtl/>
        </w:rPr>
        <w:t>על</w:t>
      </w:r>
      <w:r w:rsidRPr="00684E93">
        <w:rPr>
          <w:sz w:val="22"/>
          <w:szCs w:val="22"/>
          <w:rtl/>
        </w:rPr>
        <w:t xml:space="preserve"> פי נתוני רשות המים ולפי </w:t>
      </w:r>
      <w:r w:rsidRPr="00684E93">
        <w:rPr>
          <w:rFonts w:hint="eastAsia"/>
          <w:sz w:val="22"/>
          <w:szCs w:val="22"/>
          <w:rtl/>
        </w:rPr>
        <w:t>תקציבי</w:t>
      </w:r>
      <w:r w:rsidRPr="00684E93">
        <w:rPr>
          <w:sz w:val="22"/>
          <w:szCs w:val="22"/>
          <w:rtl/>
        </w:rPr>
        <w:t xml:space="preserve"> המדינה לשנים 2015 - 2018,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061045" w:rsidP="003D3BEF" w14:paraId="30E03213" w14:textId="77777777">
      <w:pPr>
        <w:spacing w:line="269" w:lineRule="auto"/>
        <w:jc w:val="center"/>
        <w:rPr>
          <w:rtl/>
        </w:rPr>
      </w:pPr>
    </w:p>
    <w:p w:rsidR="003D3BEF" w:rsidP="003D3BEF" w14:paraId="23EDD028" w14:textId="77777777">
      <w:pPr>
        <w:spacing w:line="269" w:lineRule="auto"/>
        <w:jc w:val="center"/>
        <w:rPr>
          <w:b/>
          <w:bCs/>
          <w:sz w:val="24"/>
          <w:rtl/>
        </w:rPr>
      </w:pPr>
      <w:r>
        <w:rPr>
          <w:rFonts w:hint="cs"/>
          <w:b/>
          <w:bCs/>
          <w:sz w:val="24"/>
          <w:rtl/>
        </w:rPr>
        <w:t>תרשים 42: שיעור ניצול ההטבה השנתי, 2015 - 2018 (בש"ח)</w:t>
      </w:r>
    </w:p>
    <w:p w:rsidR="003D3BEF" w:rsidP="00061045" w14:paraId="75574C6B" w14:textId="77777777">
      <w:pPr>
        <w:spacing w:before="120" w:after="120" w:line="269" w:lineRule="auto"/>
        <w:jc w:val="center"/>
        <w:rPr>
          <w:b/>
          <w:bCs/>
          <w:sz w:val="24"/>
          <w:rtl/>
        </w:rPr>
      </w:pPr>
      <w:r>
        <w:rPr>
          <w:b/>
          <w:bCs/>
          <w:noProof/>
          <w:sz w:val="24"/>
          <w:rtl/>
        </w:rPr>
        <w:drawing>
          <wp:inline distT="0" distB="0" distL="0" distR="0">
            <wp:extent cx="4322073" cy="2377445"/>
            <wp:effectExtent l="0" t="0" r="2540" b="3810"/>
            <wp:docPr id="780323282" name="תמונה 7803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29160" name="water-corporations-g-42.png"/>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77445"/>
                    </a:xfrm>
                    <a:prstGeom prst="rect">
                      <a:avLst/>
                    </a:prstGeom>
                  </pic:spPr>
                </pic:pic>
              </a:graphicData>
            </a:graphic>
          </wp:inline>
        </w:drawing>
      </w:r>
    </w:p>
    <w:p w:rsidR="003D3BEF" w:rsidRPr="00684E93" w:rsidP="00061045" w14:paraId="311BA66C" w14:textId="77777777">
      <w:pPr>
        <w:spacing w:line="269" w:lineRule="auto"/>
        <w:rPr>
          <w:sz w:val="22"/>
          <w:szCs w:val="22"/>
          <w:rtl/>
        </w:rPr>
      </w:pPr>
      <w:r w:rsidRPr="00684E93">
        <w:rPr>
          <w:rFonts w:hint="cs"/>
          <w:sz w:val="22"/>
          <w:szCs w:val="22"/>
          <w:rtl/>
        </w:rPr>
        <w:t>על פי נתוני רשות המים ולפי תקציבי המדינה לשנים 2015 - 2018, בעיבוד משרד מבקר המדינה.</w:t>
      </w:r>
    </w:p>
    <w:p w:rsidR="003D3BEF" w:rsidRPr="00672783" w:rsidP="003D3BEF" w14:paraId="0CCC5953" w14:textId="77777777">
      <w:pPr>
        <w:pStyle w:val="a"/>
        <w:rPr>
          <w:rtl/>
        </w:rPr>
      </w:pPr>
    </w:p>
    <w:p w:rsidR="003D3BEF" w:rsidP="003D3BEF" w14:paraId="168B81B2" w14:textId="77777777">
      <w:pPr>
        <w:spacing w:line="269" w:lineRule="auto"/>
        <w:rPr>
          <w:b/>
          <w:bCs/>
          <w:sz w:val="24"/>
          <w:rtl/>
        </w:rPr>
      </w:pPr>
      <w:r w:rsidRPr="002A2E33">
        <w:rPr>
          <w:rFonts w:hint="cs"/>
          <w:b/>
          <w:bCs/>
          <w:sz w:val="24"/>
          <w:rtl/>
        </w:rPr>
        <w:t xml:space="preserve">יוצא איפוא </w:t>
      </w:r>
      <w:r>
        <w:rPr>
          <w:rFonts w:hint="cs"/>
          <w:b/>
          <w:bCs/>
          <w:sz w:val="24"/>
          <w:rtl/>
        </w:rPr>
        <w:t>ש</w:t>
      </w:r>
      <w:r w:rsidRPr="002A2E33">
        <w:rPr>
          <w:rFonts w:hint="cs"/>
          <w:b/>
          <w:bCs/>
          <w:sz w:val="24"/>
          <w:rtl/>
        </w:rPr>
        <w:t xml:space="preserve">במשך תקופה של ארבע שנים, </w:t>
      </w:r>
      <w:r>
        <w:rPr>
          <w:rFonts w:hint="cs"/>
          <w:b/>
          <w:bCs/>
          <w:sz w:val="24"/>
          <w:rtl/>
        </w:rPr>
        <w:t>ב</w:t>
      </w:r>
      <w:r w:rsidRPr="002A2E33">
        <w:rPr>
          <w:rFonts w:hint="cs"/>
          <w:b/>
          <w:bCs/>
          <w:sz w:val="24"/>
          <w:rtl/>
        </w:rPr>
        <w:t>שנים 2015</w:t>
      </w:r>
      <w:r>
        <w:rPr>
          <w:rFonts w:hint="cs"/>
          <w:b/>
          <w:bCs/>
          <w:sz w:val="24"/>
          <w:rtl/>
        </w:rPr>
        <w:t xml:space="preserve"> </w:t>
      </w:r>
      <w:r w:rsidRPr="002A2E33">
        <w:rPr>
          <w:rFonts w:hint="cs"/>
          <w:b/>
          <w:bCs/>
          <w:sz w:val="24"/>
          <w:rtl/>
        </w:rPr>
        <w:t>-</w:t>
      </w:r>
      <w:r>
        <w:rPr>
          <w:rFonts w:hint="cs"/>
          <w:b/>
          <w:bCs/>
          <w:sz w:val="24"/>
          <w:rtl/>
        </w:rPr>
        <w:t xml:space="preserve"> </w:t>
      </w:r>
      <w:r w:rsidRPr="002A2E33">
        <w:rPr>
          <w:rFonts w:hint="cs"/>
          <w:b/>
          <w:bCs/>
          <w:sz w:val="24"/>
          <w:rtl/>
        </w:rPr>
        <w:t xml:space="preserve">2018, </w:t>
      </w:r>
      <w:r>
        <w:rPr>
          <w:rFonts w:hint="cs"/>
          <w:b/>
          <w:bCs/>
          <w:sz w:val="24"/>
          <w:rtl/>
        </w:rPr>
        <w:t>לא נוצלו</w:t>
      </w:r>
      <w:r w:rsidRPr="002A2E33">
        <w:rPr>
          <w:rFonts w:hint="cs"/>
          <w:b/>
          <w:bCs/>
          <w:sz w:val="24"/>
          <w:rtl/>
        </w:rPr>
        <w:t xml:space="preserve"> כ-153 מיליון ש"ח </w:t>
      </w:r>
      <w:r>
        <w:rPr>
          <w:rFonts w:hint="cs"/>
          <w:b/>
          <w:bCs/>
          <w:sz w:val="24"/>
          <w:rtl/>
        </w:rPr>
        <w:t>ש</w:t>
      </w:r>
      <w:r w:rsidRPr="002A2E33">
        <w:rPr>
          <w:rFonts w:hint="cs"/>
          <w:b/>
          <w:bCs/>
          <w:sz w:val="24"/>
          <w:rtl/>
        </w:rPr>
        <w:t>תוקצב</w:t>
      </w:r>
      <w:r>
        <w:rPr>
          <w:rFonts w:hint="cs"/>
          <w:b/>
          <w:bCs/>
          <w:sz w:val="24"/>
          <w:rtl/>
        </w:rPr>
        <w:t>ו</w:t>
      </w:r>
      <w:r w:rsidRPr="002A2E33">
        <w:rPr>
          <w:rFonts w:hint="cs"/>
          <w:b/>
          <w:bCs/>
          <w:sz w:val="24"/>
          <w:rtl/>
        </w:rPr>
        <w:t xml:space="preserve"> לצ</w:t>
      </w:r>
      <w:r>
        <w:rPr>
          <w:rFonts w:hint="cs"/>
          <w:b/>
          <w:bCs/>
          <w:sz w:val="24"/>
          <w:rtl/>
        </w:rPr>
        <w:t>ו</w:t>
      </w:r>
      <w:r w:rsidRPr="002A2E33">
        <w:rPr>
          <w:rFonts w:hint="cs"/>
          <w:b/>
          <w:bCs/>
          <w:sz w:val="24"/>
          <w:rtl/>
        </w:rPr>
        <w:t xml:space="preserve">רכי הטבה לאוכלוסיות זכאיות. </w:t>
      </w:r>
    </w:p>
    <w:p w:rsidR="003D3BEF" w:rsidP="003D3BEF" w14:paraId="00FB5A84" w14:textId="77777777">
      <w:pPr>
        <w:pStyle w:val="a"/>
        <w:spacing w:line="269" w:lineRule="auto"/>
        <w:rPr>
          <w:rtl/>
        </w:rPr>
      </w:pPr>
    </w:p>
    <w:p w:rsidR="003D3BEF" w:rsidP="003D3BEF" w14:paraId="45CC2D0E" w14:textId="77777777">
      <w:pPr>
        <w:spacing w:line="269" w:lineRule="auto"/>
        <w:rPr>
          <w:sz w:val="24"/>
          <w:rtl/>
        </w:rPr>
      </w:pPr>
      <w:r>
        <w:rPr>
          <w:rFonts w:hint="cs"/>
          <w:sz w:val="24"/>
          <w:rtl/>
        </w:rPr>
        <w:t>הועלה כי אי-הניצול המשמעותי של ההטבה בידי הזכאים נדון בוועדת הכספים בשנים 2015 - 2017, ובדיונים אלה</w:t>
      </w:r>
      <w:r>
        <w:rPr>
          <w:rStyle w:val="FootnoteReference"/>
          <w:sz w:val="24"/>
          <w:rtl/>
        </w:rPr>
        <w:footnoteReference w:id="136"/>
      </w:r>
      <w:r>
        <w:rPr>
          <w:rFonts w:hint="cs"/>
          <w:sz w:val="24"/>
          <w:rtl/>
        </w:rPr>
        <w:t xml:space="preserve"> הועלו הצעות להרחיב את קבוצות הזכאים ולשנות את מנגנון הסיוע במטרה לאפשר ניצול טוב יותר של ההטבה (ראו להלן).</w:t>
      </w:r>
    </w:p>
    <w:p w:rsidR="003D3BEF" w:rsidP="003D3BEF" w14:paraId="44E94748" w14:textId="77777777">
      <w:pPr>
        <w:pStyle w:val="a"/>
        <w:spacing w:line="269" w:lineRule="auto"/>
        <w:rPr>
          <w:rtl/>
        </w:rPr>
      </w:pPr>
    </w:p>
    <w:p w:rsidR="003D3BEF" w:rsidRPr="00C862EE" w:rsidP="003D3BEF" w14:paraId="44606840" w14:textId="77777777">
      <w:pPr>
        <w:pStyle w:val="Heading4"/>
        <w:spacing w:before="0" w:line="269" w:lineRule="auto"/>
        <w:rPr>
          <w:rtl/>
        </w:rPr>
      </w:pPr>
      <w:r w:rsidRPr="00C862EE">
        <w:rPr>
          <w:rFonts w:hint="cs"/>
          <w:rtl/>
        </w:rPr>
        <w:t>הנחיות ועדת הכספים של הכנסת בעניין הצורך לשנות את מנגנון הסיוע</w:t>
      </w:r>
    </w:p>
    <w:p w:rsidR="003D3BEF" w:rsidP="003D3BEF" w14:paraId="418C49F3" w14:textId="77777777">
      <w:pPr>
        <w:pStyle w:val="a"/>
        <w:rPr>
          <w:rtl/>
        </w:rPr>
      </w:pPr>
    </w:p>
    <w:p w:rsidR="003D3BEF" w:rsidP="003D3BEF" w14:paraId="3DFDBBEE" w14:textId="77777777">
      <w:pPr>
        <w:tabs>
          <w:tab w:val="left" w:pos="8306"/>
        </w:tabs>
        <w:spacing w:line="269" w:lineRule="auto"/>
        <w:rPr>
          <w:sz w:val="24"/>
          <w:rtl/>
        </w:rPr>
      </w:pPr>
      <w:r w:rsidRPr="00337F41">
        <w:rPr>
          <w:rFonts w:hint="cs"/>
          <w:sz w:val="24"/>
          <w:rtl/>
        </w:rPr>
        <w:t xml:space="preserve">הצורך בשינוי משמעותי במנגנון הסיוע לצרכני המים נדון כמה פעמים בוועדת הכספים של הכנסת בשנים 2015 - 2017. למשל, כבר </w:t>
      </w:r>
      <w:r w:rsidRPr="00337F41">
        <w:rPr>
          <w:rFonts w:hint="cs"/>
          <w:b/>
          <w:bCs/>
          <w:sz w:val="24"/>
          <w:rtl/>
        </w:rPr>
        <w:t>בשנת 2015</w:t>
      </w:r>
      <w:r w:rsidRPr="00337F41">
        <w:rPr>
          <w:rFonts w:hint="cs"/>
          <w:sz w:val="24"/>
          <w:rtl/>
        </w:rPr>
        <w:t xml:space="preserve"> הציע ח"כ מקלב מנגנון שלפיו תינתן הנחה מרבית גם לצרכן שצרך רק את הכמות המינימלית - 3.5 מ"ק. נציג רשות המים בדיון זה הודיע כי הצעה זו תיבחן, ובדיון נוסף שהתקיים בוועדת הכספים </w:t>
      </w:r>
      <w:r w:rsidRPr="00337F41">
        <w:rPr>
          <w:rFonts w:hint="cs"/>
          <w:b/>
          <w:bCs/>
          <w:sz w:val="24"/>
          <w:rtl/>
        </w:rPr>
        <w:t>בתחילת 2016</w:t>
      </w:r>
      <w:r w:rsidRPr="00337F41">
        <w:rPr>
          <w:rFonts w:hint="cs"/>
          <w:sz w:val="24"/>
          <w:rtl/>
        </w:rPr>
        <w:t xml:space="preserve"> ציין נציג רשות המים כי הרשות בוחנת, יחד עם משרד האוצר, את המנגנון שהוצע </w:t>
      </w:r>
      <w:r>
        <w:rPr>
          <w:rFonts w:hint="cs"/>
          <w:rtl/>
        </w:rPr>
        <w:t>"</w:t>
      </w:r>
      <w:r w:rsidRPr="003A1013">
        <w:rPr>
          <w:rFonts w:hint="cs"/>
          <w:rtl/>
        </w:rPr>
        <w:t>כדי לראות שלא נחרוג מהתקציב</w:t>
      </w:r>
      <w:r>
        <w:rPr>
          <w:rFonts w:hint="cs"/>
          <w:rtl/>
        </w:rPr>
        <w:t>"</w:t>
      </w:r>
      <w:r w:rsidRPr="003A1013">
        <w:rPr>
          <w:rFonts w:hint="cs"/>
          <w:rtl/>
        </w:rPr>
        <w:t>.</w:t>
      </w:r>
      <w:r>
        <w:rPr>
          <w:rFonts w:hint="cs"/>
          <w:rtl/>
        </w:rPr>
        <w:t xml:space="preserve"> יו"ר ועדת הכספים תמך באותו דיון בשינוי מנגנון הסיוע, כך שהזכאים יקבלו הנחה מהמ"ק הראשון, בדומה לצרכני החשמל</w:t>
      </w:r>
      <w:r>
        <w:rPr>
          <w:rStyle w:val="FootnoteReference"/>
          <w:sz w:val="24"/>
          <w:rtl/>
        </w:rPr>
        <w:footnoteReference w:id="137"/>
      </w:r>
      <w:r w:rsidRPr="00A62859">
        <w:rPr>
          <w:sz w:val="24"/>
          <w:rtl/>
        </w:rPr>
        <w:t xml:space="preserve">. </w:t>
      </w:r>
      <w:r w:rsidRPr="00A62859">
        <w:rPr>
          <w:rFonts w:hint="eastAsia"/>
          <w:sz w:val="24"/>
          <w:rtl/>
        </w:rPr>
        <w:t>גם</w:t>
      </w:r>
      <w:r w:rsidRPr="00A62859">
        <w:rPr>
          <w:sz w:val="24"/>
          <w:rtl/>
        </w:rPr>
        <w:t xml:space="preserve"> </w:t>
      </w:r>
      <w:r w:rsidRPr="00A62859">
        <w:rPr>
          <w:rFonts w:hint="eastAsia"/>
          <w:sz w:val="24"/>
          <w:rtl/>
        </w:rPr>
        <w:t>משרד</w:t>
      </w:r>
      <w:r w:rsidRPr="00A62859">
        <w:rPr>
          <w:sz w:val="24"/>
          <w:rtl/>
        </w:rPr>
        <w:t xml:space="preserve"> </w:t>
      </w:r>
      <w:r w:rsidRPr="00A62859">
        <w:rPr>
          <w:rFonts w:hint="eastAsia"/>
          <w:sz w:val="24"/>
          <w:rtl/>
        </w:rPr>
        <w:t>האוצר</w:t>
      </w:r>
      <w:r w:rsidRPr="00A62859">
        <w:rPr>
          <w:sz w:val="24"/>
          <w:rtl/>
        </w:rPr>
        <w:t xml:space="preserve"> </w:t>
      </w:r>
      <w:r w:rsidRPr="00A62859">
        <w:rPr>
          <w:rFonts w:hint="eastAsia"/>
          <w:sz w:val="24"/>
          <w:rtl/>
        </w:rPr>
        <w:t>הביע</w:t>
      </w:r>
      <w:r w:rsidRPr="00A62859">
        <w:rPr>
          <w:sz w:val="24"/>
          <w:rtl/>
        </w:rPr>
        <w:t xml:space="preserve"> </w:t>
      </w:r>
      <w:r w:rsidRPr="00A62859">
        <w:rPr>
          <w:rFonts w:hint="eastAsia"/>
          <w:sz w:val="24"/>
          <w:rtl/>
        </w:rPr>
        <w:t>בדיון</w:t>
      </w:r>
      <w:r w:rsidRPr="00A62859">
        <w:rPr>
          <w:sz w:val="24"/>
          <w:rtl/>
        </w:rPr>
        <w:t xml:space="preserve"> </w:t>
      </w:r>
      <w:r w:rsidRPr="00A62859">
        <w:rPr>
          <w:rFonts w:hint="eastAsia"/>
          <w:sz w:val="24"/>
          <w:rtl/>
        </w:rPr>
        <w:t>זה</w:t>
      </w:r>
      <w:r w:rsidRPr="00A62859">
        <w:rPr>
          <w:sz w:val="24"/>
          <w:rtl/>
        </w:rPr>
        <w:t xml:space="preserve"> </w:t>
      </w:r>
      <w:r w:rsidRPr="00A62859">
        <w:rPr>
          <w:rFonts w:hint="eastAsia"/>
          <w:sz w:val="24"/>
          <w:rtl/>
        </w:rPr>
        <w:t>נכונות</w:t>
      </w:r>
      <w:r w:rsidRPr="00A62859">
        <w:rPr>
          <w:sz w:val="24"/>
          <w:rtl/>
        </w:rPr>
        <w:t xml:space="preserve"> </w:t>
      </w:r>
      <w:r w:rsidRPr="00A62859">
        <w:rPr>
          <w:rFonts w:hint="eastAsia"/>
          <w:sz w:val="24"/>
          <w:rtl/>
        </w:rPr>
        <w:t>לשינוי</w:t>
      </w:r>
      <w:r w:rsidRPr="00A62859">
        <w:rPr>
          <w:sz w:val="24"/>
          <w:rtl/>
        </w:rPr>
        <w:t xml:space="preserve"> </w:t>
      </w:r>
      <w:r w:rsidRPr="00A62859">
        <w:rPr>
          <w:rFonts w:hint="eastAsia"/>
          <w:sz w:val="24"/>
          <w:rtl/>
        </w:rPr>
        <w:t>המנגנון</w:t>
      </w:r>
      <w:r w:rsidRPr="00A62859">
        <w:rPr>
          <w:sz w:val="24"/>
          <w:rtl/>
        </w:rPr>
        <w:t xml:space="preserve">, </w:t>
      </w:r>
      <w:r w:rsidRPr="00A62859">
        <w:rPr>
          <w:rFonts w:hint="eastAsia"/>
          <w:sz w:val="24"/>
          <w:rtl/>
        </w:rPr>
        <w:t>כפי</w:t>
      </w:r>
      <w:r w:rsidRPr="00A62859">
        <w:rPr>
          <w:sz w:val="24"/>
          <w:rtl/>
        </w:rPr>
        <w:t xml:space="preserve"> </w:t>
      </w:r>
      <w:r w:rsidRPr="00A62859">
        <w:rPr>
          <w:rFonts w:hint="eastAsia"/>
          <w:sz w:val="24"/>
          <w:rtl/>
        </w:rPr>
        <w:t>שציינה</w:t>
      </w:r>
      <w:r w:rsidRPr="00A62859">
        <w:rPr>
          <w:sz w:val="24"/>
          <w:rtl/>
        </w:rPr>
        <w:t xml:space="preserve"> </w:t>
      </w:r>
      <w:r>
        <w:rPr>
          <w:rFonts w:hint="cs"/>
          <w:sz w:val="24"/>
          <w:rtl/>
        </w:rPr>
        <w:t xml:space="preserve">זאת </w:t>
      </w:r>
      <w:r w:rsidRPr="00A62859">
        <w:rPr>
          <w:rFonts w:hint="eastAsia"/>
          <w:sz w:val="24"/>
          <w:rtl/>
        </w:rPr>
        <w:t>נציגת</w:t>
      </w:r>
      <w:r w:rsidRPr="00A62859">
        <w:rPr>
          <w:sz w:val="24"/>
          <w:rtl/>
        </w:rPr>
        <w:t xml:space="preserve"> </w:t>
      </w:r>
      <w:r w:rsidRPr="00A62859">
        <w:rPr>
          <w:rFonts w:hint="eastAsia"/>
          <w:sz w:val="24"/>
          <w:rtl/>
        </w:rPr>
        <w:t>האוצר</w:t>
      </w:r>
      <w:r>
        <w:rPr>
          <w:rStyle w:val="FootnoteReference"/>
          <w:sz w:val="24"/>
          <w:rtl/>
        </w:rPr>
        <w:footnoteReference w:id="138"/>
      </w:r>
      <w:r w:rsidRPr="00A62859">
        <w:rPr>
          <w:sz w:val="24"/>
          <w:rtl/>
        </w:rPr>
        <w:t xml:space="preserve">: "...אנחנו בוחנים את מנגנון ההנחות ואת הדרך לייעל אותו בכדי שכל הכסף שאכן מוקצב בתקציב המדינה על-פי חוק, 1.5% מסך התקבולים של תאגידי המים והביוב </w:t>
      </w:r>
      <w:r>
        <w:rPr>
          <w:sz w:val="24"/>
          <w:rtl/>
        </w:rPr>
        <w:t>-</w:t>
      </w:r>
      <w:r w:rsidRPr="00A62859">
        <w:rPr>
          <w:sz w:val="24"/>
          <w:rtl/>
        </w:rPr>
        <w:t xml:space="preserve"> אנחנו בוחנים את הדרך ליישם את זה. יושבים בישיבות גם מול רשות המים... אנחנו בתהליך הכנה של הדבר הזה. כשהוא יסתיים, אנחנו נביא אותו לאישור הוועדה"</w:t>
      </w:r>
      <w:r>
        <w:rPr>
          <w:rFonts w:hint="cs"/>
          <w:sz w:val="24"/>
          <w:rtl/>
        </w:rPr>
        <w:t>.</w:t>
      </w:r>
      <w:r w:rsidRPr="00A62859">
        <w:rPr>
          <w:sz w:val="24"/>
          <w:rtl/>
        </w:rPr>
        <w:t xml:space="preserve"> </w:t>
      </w:r>
    </w:p>
    <w:p w:rsidR="003D3BEF" w:rsidRPr="00A62859" w:rsidP="003D3BEF" w14:paraId="4A1F6C55" w14:textId="77777777">
      <w:pPr>
        <w:pStyle w:val="a"/>
        <w:spacing w:line="269" w:lineRule="auto"/>
        <w:rPr>
          <w:rtl/>
        </w:rPr>
      </w:pPr>
    </w:p>
    <w:p w:rsidR="003D3BEF" w:rsidP="003D3BEF" w14:paraId="328BCEAC" w14:textId="77777777">
      <w:pPr>
        <w:spacing w:line="269" w:lineRule="auto"/>
        <w:rPr>
          <w:sz w:val="24"/>
          <w:rtl/>
        </w:rPr>
      </w:pPr>
      <w:r w:rsidRPr="00B70DE1">
        <w:rPr>
          <w:rFonts w:hint="cs"/>
          <w:sz w:val="24"/>
          <w:rtl/>
        </w:rPr>
        <w:t>בישיבתה האחרונה של ועדת הכספים בנושא זה, שנערכה</w:t>
      </w:r>
      <w:r>
        <w:rPr>
          <w:rFonts w:hint="cs"/>
          <w:sz w:val="24"/>
          <w:rtl/>
        </w:rPr>
        <w:t xml:space="preserve"> </w:t>
      </w:r>
      <w:r w:rsidRPr="00B70DE1">
        <w:rPr>
          <w:rFonts w:hint="cs"/>
          <w:sz w:val="24"/>
          <w:rtl/>
        </w:rPr>
        <w:t>ב-</w:t>
      </w:r>
      <w:r>
        <w:rPr>
          <w:rFonts w:hint="cs"/>
          <w:sz w:val="24"/>
          <w:rtl/>
        </w:rPr>
        <w:t>17.5.17</w:t>
      </w:r>
      <w:r w:rsidRPr="00B70DE1">
        <w:rPr>
          <w:rFonts w:hint="cs"/>
          <w:sz w:val="24"/>
          <w:rtl/>
        </w:rPr>
        <w:t xml:space="preserve"> הודיע נציג רשות המים כי הרשות אינה מתנגדת לשינוי המנגנון. באותה ישיבה פנה ח"כ מקלב לנציג רשות המים ואמר: "</w:t>
      </w:r>
      <w:r w:rsidRPr="00B70DE1">
        <w:rPr>
          <w:sz w:val="24"/>
          <w:rtl/>
        </w:rPr>
        <w:t xml:space="preserve">חשבנו אתכם ביחד ומצאנו שיטה הכי פשוטה </w:t>
      </w:r>
      <w:r>
        <w:rPr>
          <w:sz w:val="24"/>
          <w:rtl/>
        </w:rPr>
        <w:t>-</w:t>
      </w:r>
      <w:r w:rsidRPr="00B70DE1">
        <w:rPr>
          <w:sz w:val="24"/>
          <w:rtl/>
        </w:rPr>
        <w:t xml:space="preserve"> במקום להוסיף 3.5 קוב, תן מחיר מופחת, 50% מהקוב הראשון</w:t>
      </w:r>
      <w:r>
        <w:rPr>
          <w:rFonts w:hint="cs"/>
          <w:sz w:val="24"/>
          <w:rtl/>
        </w:rPr>
        <w:t>...</w:t>
      </w:r>
      <w:r w:rsidRPr="00B70DE1">
        <w:rPr>
          <w:sz w:val="24"/>
          <w:rtl/>
        </w:rPr>
        <w:t xml:space="preserve"> ואנחנו שואלים עד עכשיו למה הדבר הזה נתקל בכאלה קשיים</w:t>
      </w:r>
      <w:r w:rsidRPr="00B70DE1">
        <w:rPr>
          <w:rFonts w:hint="cs"/>
          <w:sz w:val="24"/>
          <w:rtl/>
        </w:rPr>
        <w:t>?" באותה ישיבה</w:t>
      </w:r>
      <w:r>
        <w:rPr>
          <w:rFonts w:hint="cs"/>
          <w:sz w:val="24"/>
          <w:rtl/>
        </w:rPr>
        <w:t xml:space="preserve"> אמר יו"ר ועדת הכספים</w:t>
      </w:r>
      <w:r w:rsidRPr="00B70DE1">
        <w:rPr>
          <w:rFonts w:hint="cs"/>
          <w:sz w:val="24"/>
          <w:rtl/>
        </w:rPr>
        <w:t xml:space="preserve"> בין היתר </w:t>
      </w:r>
      <w:r>
        <w:rPr>
          <w:rFonts w:hint="cs"/>
          <w:sz w:val="24"/>
          <w:rtl/>
        </w:rPr>
        <w:t>שמתברר שההטבה לא ממומשת מכיוון שרוב ציבור הזכאים לא זקוק להרבה מים אלא להנחה</w:t>
      </w:r>
      <w:r w:rsidRPr="00B70DE1">
        <w:rPr>
          <w:sz w:val="24"/>
          <w:rtl/>
        </w:rPr>
        <w:t>.</w:t>
      </w:r>
      <w:r>
        <w:rPr>
          <w:rFonts w:hint="cs"/>
          <w:sz w:val="24"/>
          <w:rtl/>
        </w:rPr>
        <w:t xml:space="preserve"> הוא </w:t>
      </w:r>
      <w:r w:rsidRPr="00B70DE1">
        <w:rPr>
          <w:rFonts w:hint="cs"/>
          <w:sz w:val="24"/>
          <w:rtl/>
        </w:rPr>
        <w:t xml:space="preserve">נתן הנחיות מפורטות לקידום שינוי המודל ורשות המים </w:t>
      </w:r>
      <w:r>
        <w:rPr>
          <w:rFonts w:hint="cs"/>
          <w:sz w:val="24"/>
          <w:rtl/>
        </w:rPr>
        <w:t>ה</w:t>
      </w:r>
      <w:r w:rsidRPr="00B70DE1">
        <w:rPr>
          <w:rFonts w:hint="cs"/>
          <w:sz w:val="24"/>
          <w:rtl/>
        </w:rPr>
        <w:t>תבקשה להציע מודל מתאים בתוך שבועיים</w:t>
      </w:r>
      <w:r>
        <w:rPr>
          <w:rStyle w:val="FootnoteReference"/>
          <w:sz w:val="24"/>
          <w:rtl/>
        </w:rPr>
        <w:footnoteReference w:id="139"/>
      </w:r>
      <w:r w:rsidRPr="00B70DE1">
        <w:rPr>
          <w:rFonts w:hint="cs"/>
          <w:sz w:val="24"/>
          <w:rtl/>
        </w:rPr>
        <w:t>.</w:t>
      </w:r>
    </w:p>
    <w:p w:rsidR="003D3BEF" w:rsidRPr="00B70DE1" w:rsidP="003D3BEF" w14:paraId="38847580" w14:textId="77777777">
      <w:pPr>
        <w:pStyle w:val="a"/>
        <w:spacing w:line="269" w:lineRule="auto"/>
        <w:rPr>
          <w:rtl/>
        </w:rPr>
      </w:pPr>
    </w:p>
    <w:p w:rsidR="003D3BEF" w:rsidP="003D3BEF" w14:paraId="4C9C813F" w14:textId="77777777">
      <w:pPr>
        <w:spacing w:line="269" w:lineRule="auto"/>
        <w:rPr>
          <w:rtl/>
        </w:rPr>
      </w:pPr>
      <w:r>
        <w:rPr>
          <w:rFonts w:hint="cs"/>
          <w:rtl/>
        </w:rPr>
        <w:t xml:space="preserve">ב-21.5.17 פנתה רשות המים למשרד האוצר והציעה טיוטת נוסח תיקון לתקנות ההפחתה המבוסס על מתווה עקרונות חדש למתן הטבות במים, ולפיו </w:t>
      </w:r>
      <w:r w:rsidRPr="00FB2D54">
        <w:rPr>
          <w:rtl/>
        </w:rPr>
        <w:t xml:space="preserve">כל זכאי </w:t>
      </w:r>
      <w:r>
        <w:rPr>
          <w:rFonts w:hint="cs"/>
          <w:rtl/>
        </w:rPr>
        <w:t>ע</w:t>
      </w:r>
      <w:r w:rsidRPr="00FB2D54">
        <w:rPr>
          <w:rtl/>
        </w:rPr>
        <w:t>ל</w:t>
      </w:r>
      <w:r>
        <w:rPr>
          <w:rFonts w:hint="cs"/>
          <w:rtl/>
        </w:rPr>
        <w:t xml:space="preserve"> פי ה</w:t>
      </w:r>
      <w:r w:rsidRPr="00FB2D54">
        <w:rPr>
          <w:rtl/>
        </w:rPr>
        <w:t>תקנות יקבל</w:t>
      </w:r>
      <w:r>
        <w:rPr>
          <w:rFonts w:hint="cs"/>
          <w:rtl/>
        </w:rPr>
        <w:t>,</w:t>
      </w:r>
      <w:r w:rsidRPr="00FB2D54">
        <w:rPr>
          <w:rtl/>
        </w:rPr>
        <w:t xml:space="preserve"> מצריכת</w:t>
      </w:r>
      <w:r>
        <w:rPr>
          <w:rFonts w:hint="cs"/>
          <w:rtl/>
        </w:rPr>
        <w:t xml:space="preserve"> המ"ק</w:t>
      </w:r>
      <w:r w:rsidRPr="00FB2D54">
        <w:rPr>
          <w:rtl/>
        </w:rPr>
        <w:t xml:space="preserve"> הראשון</w:t>
      </w:r>
      <w:r>
        <w:rPr>
          <w:rFonts w:hint="cs"/>
          <w:rtl/>
        </w:rPr>
        <w:t>,</w:t>
      </w:r>
      <w:r w:rsidRPr="00FB2D54">
        <w:rPr>
          <w:rtl/>
        </w:rPr>
        <w:t xml:space="preserve"> הפחתה בחשבון המים עבור מ"ק מים נצרך ללא מרכיב הביוב.</w:t>
      </w:r>
      <w:r>
        <w:rPr>
          <w:rFonts w:hint="cs"/>
          <w:rtl/>
        </w:rPr>
        <w:t xml:space="preserve"> הרשות ציינה באותו מסמך כי להערכתה, "</w:t>
      </w:r>
      <w:r w:rsidRPr="00B55F01">
        <w:rPr>
          <w:rtl/>
        </w:rPr>
        <w:t>שינוי השיטה של מתן</w:t>
      </w:r>
      <w:r>
        <w:rPr>
          <w:rtl/>
        </w:rPr>
        <w:t xml:space="preserve"> הנחה על הכמות המוכרת לכל צרכן </w:t>
      </w:r>
      <w:r>
        <w:rPr>
          <w:rFonts w:hint="cs"/>
          <w:rtl/>
        </w:rPr>
        <w:t>י</w:t>
      </w:r>
      <w:r w:rsidRPr="00B55F01">
        <w:rPr>
          <w:rtl/>
        </w:rPr>
        <w:t>ביא להרחבת היישום של מתן ההטבה ובכך אנו מקווים יביא לניצול מלא ויעיל של הסכום המוקצב לאוכלוסיות אלו</w:t>
      </w:r>
      <w:r>
        <w:rPr>
          <w:rFonts w:hint="cs"/>
          <w:rtl/>
        </w:rPr>
        <w:t>"</w:t>
      </w:r>
      <w:r w:rsidRPr="00B55F01">
        <w:rPr>
          <w:rtl/>
        </w:rPr>
        <w:t>.</w:t>
      </w:r>
      <w:r>
        <w:rPr>
          <w:rFonts w:hint="cs"/>
          <w:rtl/>
        </w:rPr>
        <w:t xml:space="preserve"> באותו היום השיבה נציגת משרד האוצר כי היא מבקשת שרשות המים לא תעביר בעצמה הצעה לתיקון התקנות, מכיוון שלדבריה, "</w:t>
      </w:r>
      <w:r>
        <w:rPr>
          <w:rtl/>
        </w:rPr>
        <w:t>לנו יש נוסח משלנו במידה ונרצה להיענות לבקשתו של גפני ואני מבקשת שרק מאתנו תצא הצעה לנוסח</w:t>
      </w:r>
      <w:r>
        <w:rPr>
          <w:rFonts w:hint="cs"/>
          <w:rtl/>
        </w:rPr>
        <w:t>"</w:t>
      </w:r>
      <w:r>
        <w:rPr>
          <w:rtl/>
        </w:rPr>
        <w:t>.</w:t>
      </w:r>
    </w:p>
    <w:p w:rsidR="003D3BEF" w:rsidP="003D3BEF" w14:paraId="2B172E3F" w14:textId="77777777">
      <w:pPr>
        <w:pStyle w:val="a"/>
        <w:spacing w:line="269" w:lineRule="auto"/>
        <w:rPr>
          <w:rtl/>
        </w:rPr>
      </w:pPr>
    </w:p>
    <w:p w:rsidR="003D3BEF" w:rsidP="003D3BEF" w14:paraId="3355F0FE" w14:textId="77777777">
      <w:pPr>
        <w:spacing w:line="269" w:lineRule="auto"/>
        <w:rPr>
          <w:rtl/>
        </w:rPr>
      </w:pPr>
      <w:r>
        <w:rPr>
          <w:rFonts w:hint="cs"/>
          <w:rtl/>
        </w:rPr>
        <w:t>בתשובתו מדצמבר 2019 מסר משרד האוצר כי "שינוי המודל למתן הטבות נדון בין רשות המים למשרד האוצר באמצע שנת 2017, ובאותה תקופה אף התגבשה טיוטת תקנות כחלק מעבודת מטה שבוצעה בנושא במשרד האוצר בשיתוף עם רשות המים, שלא הבשילה לכדי תקנות".</w:t>
      </w:r>
    </w:p>
    <w:p w:rsidR="003D3BEF" w:rsidRPr="00F211C5" w:rsidP="003D3BEF" w14:paraId="030B0C68" w14:textId="77777777">
      <w:pPr>
        <w:pStyle w:val="a"/>
        <w:spacing w:line="269" w:lineRule="auto"/>
        <w:rPr>
          <w:rtl/>
        </w:rPr>
      </w:pPr>
    </w:p>
    <w:p w:rsidR="003D3BEF" w:rsidP="003D3BEF" w14:paraId="59E793DF" w14:textId="77777777">
      <w:pPr>
        <w:spacing w:line="269" w:lineRule="auto"/>
        <w:rPr>
          <w:b/>
          <w:bCs/>
          <w:sz w:val="24"/>
          <w:rtl/>
        </w:rPr>
      </w:pPr>
      <w:r>
        <w:rPr>
          <w:rFonts w:hint="cs"/>
          <w:b/>
          <w:bCs/>
          <w:sz w:val="24"/>
          <w:rtl/>
        </w:rPr>
        <w:t xml:space="preserve">אף שחלפו יותר משנתיים וחצי מהמועד שבו הנחתה ועדת הכספים להכין מודל חדש במטרה להביא לתיקון התקנות, ואף על פי שרשות המים שלחה למשרד האוצר כבר במאי 2017 הצעה כאמור, </w:t>
      </w:r>
      <w:r w:rsidRPr="008E51B8">
        <w:rPr>
          <w:rFonts w:hint="cs"/>
          <w:b/>
          <w:bCs/>
          <w:sz w:val="24"/>
          <w:rtl/>
        </w:rPr>
        <w:t>טרם הגיש משרד האוצר ל</w:t>
      </w:r>
      <w:r>
        <w:rPr>
          <w:rFonts w:hint="cs"/>
          <w:b/>
          <w:bCs/>
          <w:sz w:val="24"/>
          <w:rtl/>
        </w:rPr>
        <w:t>ו</w:t>
      </w:r>
      <w:r w:rsidRPr="008E51B8">
        <w:rPr>
          <w:rFonts w:hint="cs"/>
          <w:b/>
          <w:bCs/>
          <w:sz w:val="24"/>
          <w:rtl/>
        </w:rPr>
        <w:t>ועדת הכספים</w:t>
      </w:r>
      <w:r>
        <w:rPr>
          <w:rFonts w:hint="cs"/>
          <w:b/>
          <w:bCs/>
          <w:sz w:val="24"/>
          <w:rtl/>
        </w:rPr>
        <w:t xml:space="preserve"> הצעת תיקון לתקנות</w:t>
      </w:r>
      <w:r w:rsidRPr="008E51B8">
        <w:rPr>
          <w:rFonts w:hint="cs"/>
          <w:b/>
          <w:bCs/>
          <w:sz w:val="24"/>
          <w:rtl/>
        </w:rPr>
        <w:t>, ומנגנון הסיוע נותר ללא שינוי.</w:t>
      </w:r>
    </w:p>
    <w:p w:rsidR="003D3BEF" w:rsidRPr="008E51B8" w:rsidP="003D3BEF" w14:paraId="2420C4A8" w14:textId="77777777">
      <w:pPr>
        <w:pStyle w:val="a"/>
        <w:spacing w:line="269" w:lineRule="auto"/>
        <w:rPr>
          <w:rtl/>
        </w:rPr>
      </w:pPr>
    </w:p>
    <w:p w:rsidR="003D3BEF" w:rsidP="003D3BEF" w14:paraId="18252811" w14:textId="77777777">
      <w:pPr>
        <w:spacing w:line="269" w:lineRule="auto"/>
        <w:rPr>
          <w:b/>
          <w:bCs/>
          <w:rtl/>
        </w:rPr>
      </w:pPr>
      <w:r>
        <w:rPr>
          <w:rFonts w:hint="cs"/>
          <w:b/>
          <w:bCs/>
          <w:rtl/>
        </w:rPr>
        <w:t xml:space="preserve">נוכח שיעור הניצול הנמוך של ההטבה לזכאים, ונוכח </w:t>
      </w:r>
      <w:r w:rsidRPr="008E51B8">
        <w:rPr>
          <w:rFonts w:hint="cs"/>
          <w:b/>
          <w:bCs/>
          <w:rtl/>
        </w:rPr>
        <w:t xml:space="preserve">הנחייתו של יו"ר ועדת הכספים </w:t>
      </w:r>
      <w:r>
        <w:rPr>
          <w:rFonts w:hint="cs"/>
          <w:b/>
          <w:bCs/>
          <w:rtl/>
        </w:rPr>
        <w:t xml:space="preserve">שניתנה </w:t>
      </w:r>
      <w:r w:rsidRPr="008E51B8">
        <w:rPr>
          <w:rFonts w:hint="cs"/>
          <w:b/>
          <w:bCs/>
          <w:rtl/>
        </w:rPr>
        <w:t>כבר בשנת 2017,</w:t>
      </w:r>
      <w:r>
        <w:rPr>
          <w:rFonts w:hint="cs"/>
          <w:b/>
          <w:bCs/>
          <w:rtl/>
        </w:rPr>
        <w:t xml:space="preserve"> ומאחר שכאמור כבר בשנת 2017 התגבשה טיוטת תיקון לתקנות ההפחתה, </w:t>
      </w:r>
      <w:r w:rsidRPr="008E51B8">
        <w:rPr>
          <w:rFonts w:hint="cs"/>
          <w:b/>
          <w:bCs/>
          <w:rtl/>
        </w:rPr>
        <w:t xml:space="preserve">מן הראוי </w:t>
      </w:r>
      <w:r>
        <w:rPr>
          <w:rFonts w:hint="cs"/>
          <w:b/>
          <w:bCs/>
          <w:rtl/>
        </w:rPr>
        <w:t>ש</w:t>
      </w:r>
      <w:r w:rsidRPr="008E51B8">
        <w:rPr>
          <w:rFonts w:hint="cs"/>
          <w:b/>
          <w:bCs/>
          <w:rtl/>
        </w:rPr>
        <w:t xml:space="preserve">משרד האוצר </w:t>
      </w:r>
      <w:r>
        <w:rPr>
          <w:rFonts w:hint="cs"/>
          <w:b/>
          <w:bCs/>
          <w:rtl/>
        </w:rPr>
        <w:t>ה</w:t>
      </w:r>
      <w:r w:rsidRPr="008E51B8">
        <w:rPr>
          <w:rFonts w:hint="cs"/>
          <w:b/>
          <w:bCs/>
          <w:rtl/>
        </w:rPr>
        <w:t xml:space="preserve">אמון על הכנת התיקון לתקנות, ורשות המים כגוף המאסדר והמפקח במשק המים, </w:t>
      </w:r>
      <w:r>
        <w:rPr>
          <w:rFonts w:hint="cs"/>
          <w:b/>
          <w:bCs/>
          <w:rtl/>
        </w:rPr>
        <w:t xml:space="preserve">ישלימו את הליך החקיקה </w:t>
      </w:r>
      <w:r w:rsidRPr="008E51B8">
        <w:rPr>
          <w:rFonts w:hint="cs"/>
          <w:b/>
          <w:bCs/>
          <w:rtl/>
        </w:rPr>
        <w:t xml:space="preserve">לשינוי מנגנון </w:t>
      </w:r>
      <w:r>
        <w:rPr>
          <w:rFonts w:hint="cs"/>
          <w:b/>
          <w:bCs/>
          <w:rtl/>
        </w:rPr>
        <w:t>הסיוע</w:t>
      </w:r>
      <w:r w:rsidRPr="008E51B8">
        <w:rPr>
          <w:rFonts w:hint="cs"/>
          <w:b/>
          <w:bCs/>
          <w:rtl/>
        </w:rPr>
        <w:t xml:space="preserve"> לאוכלוסיות זכאיות </w:t>
      </w:r>
      <w:r>
        <w:rPr>
          <w:rFonts w:hint="cs"/>
          <w:b/>
          <w:bCs/>
          <w:rtl/>
        </w:rPr>
        <w:t>ב</w:t>
      </w:r>
      <w:r w:rsidRPr="008E51B8">
        <w:rPr>
          <w:rFonts w:hint="cs"/>
          <w:b/>
          <w:bCs/>
          <w:rtl/>
        </w:rPr>
        <w:t xml:space="preserve">אופן </w:t>
      </w:r>
      <w:r>
        <w:rPr>
          <w:rFonts w:hint="cs"/>
          <w:b/>
          <w:bCs/>
          <w:rtl/>
        </w:rPr>
        <w:t>ש</w:t>
      </w:r>
      <w:r w:rsidRPr="008E51B8">
        <w:rPr>
          <w:rFonts w:hint="cs"/>
          <w:b/>
          <w:bCs/>
          <w:rtl/>
        </w:rPr>
        <w:t>י</w:t>
      </w:r>
      <w:r w:rsidRPr="008E51B8">
        <w:rPr>
          <w:rFonts w:hint="eastAsia"/>
          <w:b/>
          <w:bCs/>
          <w:rtl/>
        </w:rPr>
        <w:t>אפשר</w:t>
      </w:r>
      <w:r w:rsidRPr="008E51B8">
        <w:rPr>
          <w:b/>
          <w:bCs/>
          <w:rtl/>
        </w:rPr>
        <w:t xml:space="preserve"> </w:t>
      </w:r>
      <w:r>
        <w:rPr>
          <w:rFonts w:hint="cs"/>
          <w:b/>
          <w:bCs/>
          <w:rtl/>
        </w:rPr>
        <w:t>ניצול מיטבי של ההטבה על ידי הזכאים לה.</w:t>
      </w:r>
    </w:p>
    <w:p w:rsidR="003D3BEF" w:rsidP="003D3BEF" w14:paraId="647ECF24" w14:textId="77777777">
      <w:pPr>
        <w:pStyle w:val="a"/>
        <w:spacing w:line="269" w:lineRule="auto"/>
        <w:rPr>
          <w:rtl/>
        </w:rPr>
      </w:pPr>
    </w:p>
    <w:p w:rsidR="003D3BEF" w:rsidP="003D3BEF" w14:paraId="6FDD9668" w14:textId="77777777">
      <w:pPr>
        <w:spacing w:line="269" w:lineRule="auto"/>
        <w:rPr>
          <w:b/>
          <w:bCs/>
          <w:sz w:val="24"/>
          <w:u w:val="single"/>
          <w:rtl/>
        </w:rPr>
      </w:pPr>
      <w:r>
        <w:rPr>
          <w:rFonts w:hint="cs"/>
          <w:b/>
          <w:bCs/>
          <w:rtl/>
        </w:rPr>
        <w:t>כמו כן, ראוי שמשרד האוצר ורשות המים יבחנו את ההסדר הקיים בכל הנוגע לאוכלוסיות חלשות ובהתייחס להסדרים בתחומים אחרים, כגון ההסדר בתחום צריכת החשמל הביתית</w:t>
      </w:r>
      <w:r w:rsidRPr="008E51B8">
        <w:rPr>
          <w:rFonts w:hint="cs"/>
          <w:b/>
          <w:bCs/>
          <w:rtl/>
        </w:rPr>
        <w:t>.</w:t>
      </w:r>
      <w:r>
        <w:rPr>
          <w:rFonts w:hint="cs"/>
          <w:b/>
          <w:bCs/>
          <w:rtl/>
        </w:rPr>
        <w:t xml:space="preserve"> במסגרת הבחינה האמורה, מן הראוי שמשרד האוצר ורשות המים ישקלו גם שילוב של מעוטי יכולת ברשימת הזכאים להטבה,</w:t>
      </w:r>
      <w:r w:rsidRPr="008E51B8">
        <w:rPr>
          <w:b/>
          <w:bCs/>
          <w:rtl/>
        </w:rPr>
        <w:t xml:space="preserve"> </w:t>
      </w:r>
      <w:r>
        <w:rPr>
          <w:rFonts w:hint="cs"/>
          <w:b/>
          <w:bCs/>
          <w:rtl/>
        </w:rPr>
        <w:t>כפי שיפורט להלן</w:t>
      </w:r>
      <w:r w:rsidRPr="0073124F">
        <w:rPr>
          <w:b/>
          <w:bCs/>
          <w:sz w:val="24"/>
          <w:rtl/>
        </w:rPr>
        <w:t>.</w:t>
      </w:r>
    </w:p>
    <w:p w:rsidR="003D3BEF" w:rsidP="003D3BEF" w14:paraId="22DFF710" w14:textId="77777777">
      <w:pPr>
        <w:pStyle w:val="a"/>
        <w:spacing w:line="269" w:lineRule="auto"/>
        <w:rPr>
          <w:rtl/>
        </w:rPr>
      </w:pPr>
    </w:p>
    <w:p w:rsidR="003D3BEF" w:rsidRPr="00C862EE" w:rsidP="003D3BEF" w14:paraId="0515EE38" w14:textId="77777777">
      <w:pPr>
        <w:pStyle w:val="Heading4"/>
        <w:spacing w:before="0" w:line="269" w:lineRule="auto"/>
        <w:rPr>
          <w:rtl/>
        </w:rPr>
      </w:pPr>
      <w:r w:rsidRPr="00C862EE">
        <w:rPr>
          <w:rFonts w:hint="cs"/>
          <w:rtl/>
        </w:rPr>
        <w:t xml:space="preserve">איתור הזכאים להטבה </w:t>
      </w:r>
    </w:p>
    <w:p w:rsidR="003D3BEF" w:rsidP="003D3BEF" w14:paraId="35607FCF" w14:textId="77777777">
      <w:pPr>
        <w:pStyle w:val="a"/>
        <w:rPr>
          <w:rtl/>
        </w:rPr>
      </w:pPr>
    </w:p>
    <w:p w:rsidR="003D3BEF" w:rsidP="003D3BEF" w14:paraId="5213FB25" w14:textId="77777777">
      <w:pPr>
        <w:spacing w:line="269" w:lineRule="auto"/>
        <w:rPr>
          <w:rtl/>
        </w:rPr>
      </w:pPr>
      <w:r>
        <w:rPr>
          <w:rFonts w:hint="cs"/>
          <w:rtl/>
        </w:rPr>
        <w:t>כבר בשנת 2015 קבע משרד מבקר המדינה</w:t>
      </w:r>
      <w:r>
        <w:rPr>
          <w:rStyle w:val="FootnoteReference"/>
          <w:rtl/>
        </w:rPr>
        <w:footnoteReference w:id="140"/>
      </w:r>
      <w:r>
        <w:rPr>
          <w:rFonts w:hint="cs"/>
          <w:rtl/>
        </w:rPr>
        <w:t xml:space="preserve"> כי הבטחת הצדק החברתי אינה תלויה רק בעצם קיומן של זכויות חברתיות, אלא גם במימושן והענקתן לכלל הזכאים להן, וכי יישום יעיל של זכויות מסוימות מחייב מיצוי מלא ככל האפשר של הזכות</w:t>
      </w:r>
      <w:r>
        <w:rPr>
          <w:rStyle w:val="FootnoteReference"/>
          <w:rtl/>
        </w:rPr>
        <w:footnoteReference w:id="141"/>
      </w:r>
      <w:r>
        <w:rPr>
          <w:rtl/>
        </w:rPr>
        <w:t>.</w:t>
      </w:r>
      <w:r>
        <w:rPr>
          <w:rFonts w:hint="cs"/>
          <w:rtl/>
        </w:rPr>
        <w:t xml:space="preserve"> </w:t>
      </w:r>
    </w:p>
    <w:p w:rsidR="003D3BEF" w:rsidP="003D3BEF" w14:paraId="63969733" w14:textId="77777777">
      <w:pPr>
        <w:pStyle w:val="a"/>
        <w:spacing w:line="269" w:lineRule="auto"/>
        <w:rPr>
          <w:rtl/>
        </w:rPr>
      </w:pPr>
    </w:p>
    <w:p w:rsidR="003D3BEF" w:rsidP="003D3BEF" w14:paraId="23337AC9" w14:textId="77777777">
      <w:pPr>
        <w:spacing w:line="269" w:lineRule="auto"/>
        <w:rPr>
          <w:rtl/>
        </w:rPr>
      </w:pPr>
      <w:r>
        <w:rPr>
          <w:rFonts w:hint="cs"/>
          <w:rtl/>
        </w:rPr>
        <w:t xml:space="preserve">על פי תקנות ההפחתה, </w:t>
      </w:r>
      <w:r>
        <w:rPr>
          <w:rtl/>
        </w:rPr>
        <w:t xml:space="preserve">על המוסד לביטוח לאומי, </w:t>
      </w:r>
      <w:r>
        <w:rPr>
          <w:rFonts w:hint="cs"/>
          <w:rtl/>
        </w:rPr>
        <w:t xml:space="preserve">על </w:t>
      </w:r>
      <w:r>
        <w:rPr>
          <w:rtl/>
        </w:rPr>
        <w:t>משרד</w:t>
      </w:r>
      <w:r>
        <w:rPr>
          <w:rFonts w:hint="cs"/>
          <w:rtl/>
        </w:rPr>
        <w:t>י</w:t>
      </w:r>
      <w:r>
        <w:rPr>
          <w:rtl/>
        </w:rPr>
        <w:t xml:space="preserve"> הבריאות </w:t>
      </w:r>
      <w:r>
        <w:rPr>
          <w:rFonts w:hint="cs"/>
          <w:rtl/>
        </w:rPr>
        <w:t>ו</w:t>
      </w:r>
      <w:r>
        <w:rPr>
          <w:rtl/>
        </w:rPr>
        <w:t xml:space="preserve">הביטחון </w:t>
      </w:r>
      <w:r>
        <w:rPr>
          <w:rFonts w:hint="cs"/>
          <w:rtl/>
        </w:rPr>
        <w:t xml:space="preserve">ועל </w:t>
      </w:r>
      <w:r>
        <w:rPr>
          <w:rtl/>
        </w:rPr>
        <w:t xml:space="preserve">הרשות לזכויות ניצולי שואה, לפי העניין, להעביר לרשות המים </w:t>
      </w:r>
      <w:r>
        <w:rPr>
          <w:rFonts w:hint="cs"/>
          <w:rtl/>
        </w:rPr>
        <w:t xml:space="preserve">בין היתר </w:t>
      </w:r>
      <w:r>
        <w:rPr>
          <w:rtl/>
        </w:rPr>
        <w:t xml:space="preserve">את רשימת הזכאים להטבה </w:t>
      </w:r>
      <w:r>
        <w:rPr>
          <w:rFonts w:hint="cs"/>
          <w:rtl/>
        </w:rPr>
        <w:t>ש</w:t>
      </w:r>
      <w:r w:rsidRPr="00D66544">
        <w:rPr>
          <w:rFonts w:hint="cs"/>
          <w:rtl/>
        </w:rPr>
        <w:t>לא</w:t>
      </w:r>
      <w:r>
        <w:rPr>
          <w:rFonts w:hint="cs"/>
          <w:rtl/>
        </w:rPr>
        <w:t xml:space="preserve"> הביעו סירוב להעברת מידע בעניינם </w:t>
      </w:r>
      <w:r>
        <w:rPr>
          <w:rtl/>
        </w:rPr>
        <w:t>וכן את כתובת מגוריהם</w:t>
      </w:r>
      <w:r>
        <w:rPr>
          <w:rFonts w:hint="cs"/>
          <w:rtl/>
        </w:rPr>
        <w:t>.</w:t>
      </w:r>
      <w:r>
        <w:rPr>
          <w:rtl/>
        </w:rPr>
        <w:t xml:space="preserve"> רשות המים </w:t>
      </w:r>
      <w:r>
        <w:rPr>
          <w:rFonts w:hint="cs"/>
          <w:rtl/>
        </w:rPr>
        <w:t>מעבירה את המידע לתאגידים, ועל התאגידים</w:t>
      </w:r>
      <w:r w:rsidRPr="00FC3E19">
        <w:rPr>
          <w:rFonts w:hint="cs"/>
          <w:rtl/>
        </w:rPr>
        <w:t xml:space="preserve"> </w:t>
      </w:r>
      <w:r>
        <w:rPr>
          <w:rFonts w:hint="cs"/>
          <w:rtl/>
        </w:rPr>
        <w:t>להצליב</w:t>
      </w:r>
      <w:r w:rsidRPr="00FC3E19">
        <w:rPr>
          <w:rFonts w:hint="cs"/>
          <w:rtl/>
        </w:rPr>
        <w:t xml:space="preserve"> בין </w:t>
      </w:r>
      <w:r>
        <w:rPr>
          <w:rFonts w:hint="cs"/>
          <w:rtl/>
        </w:rPr>
        <w:t xml:space="preserve">מידע זה לבין </w:t>
      </w:r>
      <w:r w:rsidRPr="00FC3E19">
        <w:rPr>
          <w:rFonts w:hint="cs"/>
          <w:rtl/>
        </w:rPr>
        <w:t>נתוני התושבים הרשומים אצל</w:t>
      </w:r>
      <w:r>
        <w:rPr>
          <w:rFonts w:hint="cs"/>
          <w:rtl/>
        </w:rPr>
        <w:t>ם</w:t>
      </w:r>
      <w:r w:rsidRPr="00FC3E19">
        <w:rPr>
          <w:rFonts w:hint="cs"/>
          <w:rtl/>
        </w:rPr>
        <w:t xml:space="preserve"> כצרכני מים</w:t>
      </w:r>
      <w:r>
        <w:rPr>
          <w:rStyle w:val="FootnoteReference"/>
          <w:rtl/>
        </w:rPr>
        <w:footnoteReference w:id="142"/>
      </w:r>
      <w:r>
        <w:rPr>
          <w:rFonts w:hint="cs"/>
          <w:rtl/>
        </w:rPr>
        <w:t xml:space="preserve">. לצורך דיווח ופיקוח על יישום המנגנון משתמשת </w:t>
      </w:r>
      <w:r w:rsidRPr="00D2702C">
        <w:rPr>
          <w:rtl/>
        </w:rPr>
        <w:t xml:space="preserve">רשות המים </w:t>
      </w:r>
      <w:r>
        <w:rPr>
          <w:rFonts w:hint="cs"/>
          <w:rtl/>
        </w:rPr>
        <w:t>ב</w:t>
      </w:r>
      <w:r w:rsidRPr="00D2702C">
        <w:rPr>
          <w:rtl/>
        </w:rPr>
        <w:t xml:space="preserve">מערכת </w:t>
      </w:r>
      <w:r>
        <w:rPr>
          <w:rFonts w:hint="cs"/>
          <w:rtl/>
        </w:rPr>
        <w:t xml:space="preserve">ממוחשבת </w:t>
      </w:r>
      <w:r w:rsidRPr="00D2702C">
        <w:rPr>
          <w:rtl/>
        </w:rPr>
        <w:t xml:space="preserve">המנגישה לספקי המים את </w:t>
      </w:r>
      <w:r>
        <w:rPr>
          <w:rFonts w:hint="cs"/>
          <w:rtl/>
        </w:rPr>
        <w:t xml:space="preserve">המידע על </w:t>
      </w:r>
      <w:r w:rsidRPr="00D2702C">
        <w:rPr>
          <w:rtl/>
        </w:rPr>
        <w:t>הזכאים המתגוררים בתחומם ומקבלת דיווחים מפורטים על מתן ההטבה בפועל לכל זכאי,</w:t>
      </w:r>
      <w:r>
        <w:rPr>
          <w:rFonts w:hint="cs"/>
          <w:rtl/>
        </w:rPr>
        <w:t xml:space="preserve"> ועל פי</w:t>
      </w:r>
      <w:r w:rsidRPr="00D2702C">
        <w:rPr>
          <w:rtl/>
        </w:rPr>
        <w:t xml:space="preserve"> דיווחים אלה </w:t>
      </w:r>
      <w:r>
        <w:rPr>
          <w:rFonts w:hint="cs"/>
          <w:rtl/>
        </w:rPr>
        <w:t>מקבלים</w:t>
      </w:r>
      <w:r w:rsidRPr="00D2702C">
        <w:rPr>
          <w:rtl/>
        </w:rPr>
        <w:t xml:space="preserve"> ספקי המים שיפוי</w:t>
      </w:r>
      <w:r>
        <w:rPr>
          <w:rFonts w:hint="cs"/>
          <w:rtl/>
        </w:rPr>
        <w:t xml:space="preserve"> בגין מתן ההטבה</w:t>
      </w:r>
      <w:r>
        <w:rPr>
          <w:rStyle w:val="FootnoteReference"/>
          <w:rtl/>
        </w:rPr>
        <w:footnoteReference w:id="143"/>
      </w:r>
      <w:r w:rsidRPr="00D2702C">
        <w:rPr>
          <w:rtl/>
        </w:rPr>
        <w:t>.</w:t>
      </w:r>
      <w:r>
        <w:rPr>
          <w:rFonts w:hint="cs"/>
          <w:rtl/>
        </w:rPr>
        <w:t xml:space="preserve"> מ</w:t>
      </w:r>
      <w:r w:rsidRPr="00824A0D">
        <w:rPr>
          <w:rtl/>
        </w:rPr>
        <w:t>נגנון</w:t>
      </w:r>
      <w:r w:rsidRPr="00824A0D">
        <w:rPr>
          <w:rFonts w:hint="cs"/>
          <w:rtl/>
        </w:rPr>
        <w:t xml:space="preserve"> ההטבה</w:t>
      </w:r>
      <w:r w:rsidRPr="00824A0D">
        <w:rPr>
          <w:rtl/>
        </w:rPr>
        <w:t xml:space="preserve"> </w:t>
      </w:r>
      <w:r w:rsidRPr="00824A0D">
        <w:rPr>
          <w:rFonts w:hint="cs"/>
          <w:rtl/>
        </w:rPr>
        <w:t xml:space="preserve">שנקבע </w:t>
      </w:r>
      <w:r>
        <w:rPr>
          <w:rFonts w:hint="cs"/>
          <w:rtl/>
        </w:rPr>
        <w:t>הוא מנגנון</w:t>
      </w:r>
      <w:r w:rsidRPr="00824A0D">
        <w:rPr>
          <w:rFonts w:hint="cs"/>
          <w:rtl/>
        </w:rPr>
        <w:t xml:space="preserve"> </w:t>
      </w:r>
      <w:r w:rsidRPr="00824A0D">
        <w:rPr>
          <w:rtl/>
        </w:rPr>
        <w:t>אוטומטי</w:t>
      </w:r>
      <w:r>
        <w:rPr>
          <w:rFonts w:hint="cs"/>
          <w:rtl/>
        </w:rPr>
        <w:t>,</w:t>
      </w:r>
      <w:r w:rsidRPr="00824A0D">
        <w:rPr>
          <w:rFonts w:hint="cs"/>
          <w:rtl/>
        </w:rPr>
        <w:t xml:space="preserve"> וזאת על מנת</w:t>
      </w:r>
      <w:r w:rsidRPr="00824A0D">
        <w:rPr>
          <w:rtl/>
        </w:rPr>
        <w:t xml:space="preserve"> ל</w:t>
      </w:r>
      <w:r w:rsidRPr="00824A0D">
        <w:rPr>
          <w:rFonts w:hint="cs"/>
          <w:rtl/>
        </w:rPr>
        <w:t>תת מענה</w:t>
      </w:r>
      <w:r w:rsidRPr="00824A0D">
        <w:rPr>
          <w:rtl/>
        </w:rPr>
        <w:t xml:space="preserve"> </w:t>
      </w:r>
      <w:r>
        <w:rPr>
          <w:rFonts w:hint="cs"/>
          <w:rtl/>
        </w:rPr>
        <w:t>ע</w:t>
      </w:r>
      <w:r w:rsidRPr="00824A0D">
        <w:rPr>
          <w:rFonts w:hint="cs"/>
          <w:rtl/>
        </w:rPr>
        <w:t>ל</w:t>
      </w:r>
      <w:r>
        <w:rPr>
          <w:rFonts w:hint="cs"/>
          <w:rtl/>
        </w:rPr>
        <w:t xml:space="preserve"> </w:t>
      </w:r>
      <w:r w:rsidRPr="00824A0D">
        <w:rPr>
          <w:rFonts w:hint="cs"/>
          <w:rtl/>
        </w:rPr>
        <w:t>ה</w:t>
      </w:r>
      <w:r>
        <w:rPr>
          <w:rFonts w:hint="cs"/>
          <w:rtl/>
        </w:rPr>
        <w:t>י</w:t>
      </w:r>
      <w:r w:rsidRPr="00824A0D">
        <w:rPr>
          <w:rFonts w:hint="cs"/>
          <w:rtl/>
        </w:rPr>
        <w:t>עדר</w:t>
      </w:r>
      <w:r w:rsidRPr="00824A0D">
        <w:rPr>
          <w:rtl/>
        </w:rPr>
        <w:t xml:space="preserve"> יכולת של אוכלוסיות מסוימות לנצל את זכויותיהן</w:t>
      </w:r>
      <w:r>
        <w:rPr>
          <w:rStyle w:val="FootnoteReference"/>
          <w:rtl/>
        </w:rPr>
        <w:footnoteReference w:id="144"/>
      </w:r>
      <w:r w:rsidRPr="00824A0D">
        <w:rPr>
          <w:rtl/>
        </w:rPr>
        <w:t>.</w:t>
      </w:r>
      <w:r w:rsidRPr="000A6379">
        <w:rPr>
          <w:rtl/>
        </w:rPr>
        <w:t xml:space="preserve"> להלן </w:t>
      </w:r>
      <w:r>
        <w:rPr>
          <w:rFonts w:hint="cs"/>
          <w:rtl/>
        </w:rPr>
        <w:t xml:space="preserve">מוצגים </w:t>
      </w:r>
      <w:r w:rsidRPr="000A6379">
        <w:rPr>
          <w:rtl/>
        </w:rPr>
        <w:t xml:space="preserve">נתונים על </w:t>
      </w:r>
      <w:r>
        <w:rPr>
          <w:rFonts w:hint="cs"/>
          <w:rtl/>
        </w:rPr>
        <w:t xml:space="preserve">מספר </w:t>
      </w:r>
      <w:r w:rsidRPr="000A6379">
        <w:rPr>
          <w:rtl/>
        </w:rPr>
        <w:t>הזכאים</w:t>
      </w:r>
      <w:r>
        <w:rPr>
          <w:rFonts w:hint="cs"/>
          <w:rtl/>
        </w:rPr>
        <w:t xml:space="preserve"> שאינם</w:t>
      </w:r>
      <w:r w:rsidRPr="000A6379">
        <w:rPr>
          <w:rtl/>
        </w:rPr>
        <w:t xml:space="preserve"> מקבל</w:t>
      </w:r>
      <w:r>
        <w:rPr>
          <w:rFonts w:hint="cs"/>
          <w:rtl/>
        </w:rPr>
        <w:t>ים</w:t>
      </w:r>
      <w:r w:rsidRPr="000A6379">
        <w:rPr>
          <w:rtl/>
        </w:rPr>
        <w:t xml:space="preserve"> את ההטבה</w:t>
      </w:r>
      <w:r>
        <w:rPr>
          <w:rFonts w:hint="cs"/>
          <w:rtl/>
        </w:rPr>
        <w:t>:</w:t>
      </w:r>
    </w:p>
    <w:p w:rsidR="003D3BEF" w:rsidRPr="00697606" w:rsidP="003D3BEF" w14:paraId="08FA4325" w14:textId="77777777">
      <w:pPr>
        <w:pStyle w:val="a"/>
        <w:spacing w:line="269" w:lineRule="auto"/>
        <w:rPr>
          <w:rtl/>
        </w:rPr>
      </w:pPr>
    </w:p>
    <w:p w:rsidR="003D3BEF" w:rsidP="003D3BEF" w14:paraId="03EE98EB" w14:textId="77777777">
      <w:pPr>
        <w:spacing w:line="269" w:lineRule="auto"/>
        <w:jc w:val="center"/>
        <w:rPr>
          <w:b/>
          <w:bCs/>
          <w:rtl/>
        </w:rPr>
      </w:pPr>
      <w:r>
        <w:rPr>
          <w:rFonts w:hint="cs"/>
          <w:b/>
          <w:bCs/>
          <w:rtl/>
        </w:rPr>
        <w:t>תרשים 43:</w:t>
      </w:r>
      <w:r w:rsidRPr="00E406C0">
        <w:rPr>
          <w:rFonts w:hint="cs"/>
          <w:b/>
          <w:bCs/>
          <w:rtl/>
        </w:rPr>
        <w:t xml:space="preserve"> הזכאים </w:t>
      </w:r>
      <w:r>
        <w:rPr>
          <w:rFonts w:hint="cs"/>
          <w:b/>
          <w:bCs/>
          <w:rtl/>
        </w:rPr>
        <w:t>ש</w:t>
      </w:r>
      <w:r w:rsidRPr="00E406C0">
        <w:rPr>
          <w:rFonts w:hint="cs"/>
          <w:b/>
          <w:bCs/>
          <w:rtl/>
        </w:rPr>
        <w:t>אינ</w:t>
      </w:r>
      <w:r>
        <w:rPr>
          <w:rFonts w:hint="cs"/>
          <w:b/>
          <w:bCs/>
          <w:rtl/>
        </w:rPr>
        <w:t>ם</w:t>
      </w:r>
      <w:r w:rsidRPr="00E406C0">
        <w:rPr>
          <w:rFonts w:hint="cs"/>
          <w:b/>
          <w:bCs/>
          <w:rtl/>
        </w:rPr>
        <w:t xml:space="preserve"> מקבל</w:t>
      </w:r>
      <w:r>
        <w:rPr>
          <w:rFonts w:hint="cs"/>
          <w:b/>
          <w:bCs/>
          <w:rtl/>
        </w:rPr>
        <w:t>ים</w:t>
      </w:r>
      <w:r w:rsidRPr="00E406C0">
        <w:rPr>
          <w:rFonts w:hint="cs"/>
          <w:b/>
          <w:bCs/>
          <w:rtl/>
        </w:rPr>
        <w:t xml:space="preserve"> את ההטבה</w:t>
      </w:r>
    </w:p>
    <w:p w:rsidR="003D3BEF" w:rsidP="00061045" w14:paraId="736D24DE" w14:textId="77777777">
      <w:pPr>
        <w:pStyle w:val="a"/>
        <w:spacing w:before="120" w:after="120" w:line="269" w:lineRule="auto"/>
        <w:jc w:val="center"/>
        <w:rPr>
          <w:rtl/>
        </w:rPr>
      </w:pPr>
      <w:r>
        <w:rPr>
          <w:noProof/>
          <w:rtl/>
        </w:rPr>
        <w:drawing>
          <wp:inline distT="0" distB="0" distL="0" distR="0">
            <wp:extent cx="4322073" cy="3069342"/>
            <wp:effectExtent l="0" t="0" r="2540" b="0"/>
            <wp:docPr id="780323283" name="תמונה 78032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93722" name="water-corporations-g-43.png"/>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3069342"/>
                    </a:xfrm>
                    <a:prstGeom prst="rect">
                      <a:avLst/>
                    </a:prstGeom>
                  </pic:spPr>
                </pic:pic>
              </a:graphicData>
            </a:graphic>
          </wp:inline>
        </w:drawing>
      </w:r>
    </w:p>
    <w:p w:rsidR="003D3BEF" w:rsidRPr="00684E93" w:rsidP="00061045" w14:paraId="3D2C4D03" w14:textId="77777777">
      <w:pPr>
        <w:spacing w:line="269" w:lineRule="auto"/>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RPr="00B64263" w:rsidP="003D3BEF" w14:paraId="67934960" w14:textId="77777777">
      <w:pPr>
        <w:pStyle w:val="a"/>
        <w:spacing w:line="269" w:lineRule="auto"/>
        <w:rPr>
          <w:rtl/>
        </w:rPr>
      </w:pPr>
    </w:p>
    <w:p w:rsidR="003D3BEF" w:rsidP="003D3BEF" w14:paraId="1872C730" w14:textId="77777777">
      <w:pPr>
        <w:spacing w:line="269" w:lineRule="auto"/>
        <w:rPr>
          <w:rtl/>
        </w:rPr>
      </w:pPr>
      <w:r w:rsidRPr="001F1DA8">
        <w:rPr>
          <w:rtl/>
        </w:rPr>
        <w:t xml:space="preserve">משרד האוצר מסר </w:t>
      </w:r>
      <w:r>
        <w:rPr>
          <w:rFonts w:hint="cs"/>
          <w:rtl/>
        </w:rPr>
        <w:t>בתשובתו</w:t>
      </w:r>
      <w:r w:rsidRPr="001F1DA8">
        <w:rPr>
          <w:rtl/>
        </w:rPr>
        <w:t xml:space="preserve"> כי </w:t>
      </w:r>
      <w:r>
        <w:rPr>
          <w:rFonts w:hint="cs"/>
          <w:rtl/>
        </w:rPr>
        <w:t xml:space="preserve">בשנים האחרונות נעשו </w:t>
      </w:r>
      <w:r w:rsidRPr="001F1DA8">
        <w:rPr>
          <w:rtl/>
        </w:rPr>
        <w:t xml:space="preserve">השקעות משמעותיות במערכות המחשוב </w:t>
      </w:r>
      <w:r>
        <w:rPr>
          <w:rFonts w:hint="cs"/>
          <w:rtl/>
        </w:rPr>
        <w:t>"</w:t>
      </w:r>
      <w:r w:rsidRPr="001F1DA8">
        <w:rPr>
          <w:rtl/>
        </w:rPr>
        <w:t xml:space="preserve">במטרה ליצור אופטימיזציה במעבר הנתונים </w:t>
      </w:r>
      <w:r>
        <w:rPr>
          <w:rFonts w:hint="cs"/>
          <w:rtl/>
        </w:rPr>
        <w:t>ו</w:t>
      </w:r>
      <w:r w:rsidRPr="001F1DA8">
        <w:rPr>
          <w:rtl/>
        </w:rPr>
        <w:t>המידע מהגופים השו</w:t>
      </w:r>
      <w:r>
        <w:rPr>
          <w:rtl/>
        </w:rPr>
        <w:t>נים המעבירים את נתוני הזכאויות</w:t>
      </w:r>
      <w:r>
        <w:rPr>
          <w:rFonts w:hint="cs"/>
          <w:rtl/>
        </w:rPr>
        <w:t>", וכי "הוקצו ועדיין מוקצים תקציבים... בניסיון לשפר את המערכות שיאפשרו את ניצול הזכאות".</w:t>
      </w:r>
    </w:p>
    <w:p w:rsidR="003D3BEF" w:rsidP="003D3BEF" w14:paraId="065031B7" w14:textId="77777777">
      <w:pPr>
        <w:pStyle w:val="a"/>
        <w:spacing w:line="269" w:lineRule="auto"/>
        <w:rPr>
          <w:rtl/>
        </w:rPr>
      </w:pPr>
    </w:p>
    <w:p w:rsidR="003D3BEF" w:rsidP="003D3BEF" w14:paraId="4D8FF293" w14:textId="77777777">
      <w:pPr>
        <w:spacing w:line="269" w:lineRule="auto"/>
        <w:rPr>
          <w:b/>
          <w:bCs/>
          <w:rtl/>
        </w:rPr>
      </w:pPr>
      <w:r w:rsidRPr="00A62859">
        <w:rPr>
          <w:rFonts w:hint="eastAsia"/>
          <w:b/>
          <w:bCs/>
          <w:rtl/>
        </w:rPr>
        <w:t>משרד</w:t>
      </w:r>
      <w:r w:rsidRPr="00A62859">
        <w:rPr>
          <w:b/>
          <w:bCs/>
          <w:rtl/>
        </w:rPr>
        <w:t xml:space="preserve"> מבקר המדינה רואה בחיוב את מגמת העלייה בשיעור הזכאים המאותרים ואת </w:t>
      </w:r>
      <w:r w:rsidRPr="00A62859">
        <w:rPr>
          <w:rFonts w:hint="eastAsia"/>
          <w:b/>
          <w:bCs/>
          <w:rtl/>
        </w:rPr>
        <w:t>הפעולות</w:t>
      </w:r>
      <w:r w:rsidRPr="00A62859">
        <w:rPr>
          <w:b/>
          <w:bCs/>
          <w:rtl/>
        </w:rPr>
        <w:t xml:space="preserve"> </w:t>
      </w:r>
      <w:r w:rsidRPr="00A62859">
        <w:rPr>
          <w:rFonts w:hint="eastAsia"/>
          <w:b/>
          <w:bCs/>
          <w:rtl/>
        </w:rPr>
        <w:t>שנעשו</w:t>
      </w:r>
      <w:r w:rsidRPr="00A62859">
        <w:rPr>
          <w:b/>
          <w:bCs/>
          <w:rtl/>
        </w:rPr>
        <w:t xml:space="preserve"> </w:t>
      </w:r>
      <w:r>
        <w:rPr>
          <w:rFonts w:hint="cs"/>
          <w:b/>
          <w:bCs/>
          <w:rtl/>
        </w:rPr>
        <w:t>על פי המסר</w:t>
      </w:r>
      <w:r w:rsidRPr="00A62859">
        <w:rPr>
          <w:b/>
          <w:bCs/>
          <w:rtl/>
        </w:rPr>
        <w:t xml:space="preserve"> </w:t>
      </w:r>
      <w:r>
        <w:rPr>
          <w:rFonts w:hint="cs"/>
          <w:b/>
          <w:bCs/>
          <w:rtl/>
        </w:rPr>
        <w:t>מ</w:t>
      </w:r>
      <w:r w:rsidRPr="00A62859">
        <w:rPr>
          <w:rFonts w:hint="eastAsia"/>
          <w:b/>
          <w:bCs/>
          <w:rtl/>
        </w:rPr>
        <w:t>משרד</w:t>
      </w:r>
      <w:r w:rsidRPr="00A62859">
        <w:rPr>
          <w:b/>
          <w:bCs/>
          <w:rtl/>
        </w:rPr>
        <w:t xml:space="preserve"> </w:t>
      </w:r>
      <w:r w:rsidRPr="00A62859">
        <w:rPr>
          <w:rFonts w:hint="eastAsia"/>
          <w:b/>
          <w:bCs/>
          <w:rtl/>
        </w:rPr>
        <w:t>האוצר</w:t>
      </w:r>
      <w:r w:rsidRPr="00A62859">
        <w:rPr>
          <w:b/>
          <w:bCs/>
          <w:rtl/>
        </w:rPr>
        <w:t xml:space="preserve"> </w:t>
      </w:r>
      <w:r w:rsidRPr="00A62859">
        <w:rPr>
          <w:rFonts w:hint="eastAsia"/>
          <w:b/>
          <w:bCs/>
          <w:rtl/>
        </w:rPr>
        <w:t>ו</w:t>
      </w:r>
      <w:r>
        <w:rPr>
          <w:rFonts w:hint="cs"/>
          <w:b/>
          <w:bCs/>
          <w:rtl/>
        </w:rPr>
        <w:t>מ</w:t>
      </w:r>
      <w:r w:rsidRPr="00A62859">
        <w:rPr>
          <w:rFonts w:hint="eastAsia"/>
          <w:b/>
          <w:bCs/>
          <w:rtl/>
        </w:rPr>
        <w:t>רשות</w:t>
      </w:r>
      <w:r w:rsidRPr="00A62859">
        <w:rPr>
          <w:b/>
          <w:bCs/>
          <w:rtl/>
        </w:rPr>
        <w:t xml:space="preserve"> </w:t>
      </w:r>
      <w:r w:rsidRPr="00A62859">
        <w:rPr>
          <w:rFonts w:hint="eastAsia"/>
          <w:b/>
          <w:bCs/>
          <w:rtl/>
        </w:rPr>
        <w:t>המים</w:t>
      </w:r>
      <w:r w:rsidRPr="00A62859">
        <w:rPr>
          <w:b/>
          <w:bCs/>
          <w:rtl/>
        </w:rPr>
        <w:t xml:space="preserve">, בניסיון לשפר את מערכות המידע המשמשות לאיתור הזכאים. </w:t>
      </w:r>
    </w:p>
    <w:p w:rsidR="003D3BEF" w:rsidRPr="00A62859" w:rsidP="003D3BEF" w14:paraId="2659DAFA" w14:textId="77777777">
      <w:pPr>
        <w:pStyle w:val="a"/>
        <w:spacing w:line="269" w:lineRule="auto"/>
        <w:rPr>
          <w:rtl/>
        </w:rPr>
      </w:pPr>
    </w:p>
    <w:p w:rsidR="003D3BEF" w:rsidP="003D3BEF" w14:paraId="60328009" w14:textId="77777777">
      <w:pPr>
        <w:spacing w:line="269" w:lineRule="auto"/>
        <w:rPr>
          <w:b/>
          <w:bCs/>
          <w:rtl/>
        </w:rPr>
      </w:pPr>
      <w:r w:rsidRPr="00683066">
        <w:rPr>
          <w:rFonts w:hint="eastAsia"/>
          <w:b/>
          <w:bCs/>
          <w:rtl/>
        </w:rPr>
        <w:t>עם</w:t>
      </w:r>
      <w:r w:rsidRPr="00683066">
        <w:rPr>
          <w:b/>
          <w:bCs/>
          <w:rtl/>
        </w:rPr>
        <w:t xml:space="preserve"> זאת, בשנת 2012 </w:t>
      </w:r>
      <w:r w:rsidRPr="00BB24F4">
        <w:rPr>
          <w:rFonts w:hint="cs"/>
          <w:b/>
          <w:bCs/>
          <w:rtl/>
        </w:rPr>
        <w:t>עמד</w:t>
      </w:r>
      <w:r>
        <w:rPr>
          <w:rFonts w:hint="cs"/>
          <w:b/>
          <w:bCs/>
          <w:rtl/>
        </w:rPr>
        <w:t xml:space="preserve"> מספר</w:t>
      </w:r>
      <w:r w:rsidRPr="00BB24F4">
        <w:rPr>
          <w:rFonts w:hint="cs"/>
          <w:b/>
          <w:bCs/>
          <w:rtl/>
        </w:rPr>
        <w:t xml:space="preserve"> הזכאים להטבה על 255,170 </w:t>
      </w:r>
      <w:r>
        <w:rPr>
          <w:rFonts w:hint="cs"/>
          <w:b/>
          <w:bCs/>
          <w:rtl/>
        </w:rPr>
        <w:t>ש</w:t>
      </w:r>
      <w:r w:rsidRPr="00BB24F4">
        <w:rPr>
          <w:rFonts w:hint="cs"/>
          <w:b/>
          <w:bCs/>
          <w:rtl/>
        </w:rPr>
        <w:t>מתוכם</w:t>
      </w:r>
      <w:r>
        <w:rPr>
          <w:rFonts w:hint="cs"/>
          <w:b/>
          <w:bCs/>
          <w:rtl/>
        </w:rPr>
        <w:t xml:space="preserve"> </w:t>
      </w:r>
      <w:r w:rsidRPr="00664398">
        <w:rPr>
          <w:rFonts w:hint="cs"/>
          <w:b/>
          <w:bCs/>
          <w:rtl/>
        </w:rPr>
        <w:t>לא אותרו</w:t>
      </w:r>
      <w:r>
        <w:rPr>
          <w:rFonts w:hint="cs"/>
          <w:b/>
          <w:bCs/>
          <w:rtl/>
        </w:rPr>
        <w:t xml:space="preserve"> </w:t>
      </w:r>
      <w:r w:rsidRPr="00BB24F4">
        <w:rPr>
          <w:rFonts w:hint="cs"/>
          <w:b/>
          <w:bCs/>
          <w:rtl/>
        </w:rPr>
        <w:t>79,959</w:t>
      </w:r>
      <w:r>
        <w:rPr>
          <w:rFonts w:hint="cs"/>
          <w:b/>
          <w:bCs/>
          <w:rtl/>
        </w:rPr>
        <w:t xml:space="preserve"> זכאים. </w:t>
      </w:r>
      <w:r w:rsidRPr="00664398">
        <w:rPr>
          <w:rFonts w:hint="cs"/>
          <w:b/>
          <w:bCs/>
          <w:rtl/>
        </w:rPr>
        <w:t>בשנת 2019</w:t>
      </w:r>
      <w:r>
        <w:rPr>
          <w:rFonts w:hint="cs"/>
          <w:b/>
          <w:bCs/>
          <w:rtl/>
        </w:rPr>
        <w:t xml:space="preserve"> גדל מספר</w:t>
      </w:r>
      <w:r w:rsidRPr="00664398">
        <w:rPr>
          <w:rFonts w:hint="cs"/>
          <w:b/>
          <w:bCs/>
          <w:rtl/>
        </w:rPr>
        <w:t xml:space="preserve"> הזכאים להטבה </w:t>
      </w:r>
      <w:r>
        <w:rPr>
          <w:rFonts w:hint="cs"/>
          <w:b/>
          <w:bCs/>
          <w:rtl/>
        </w:rPr>
        <w:t xml:space="preserve">פי 2.3, </w:t>
      </w:r>
      <w:r w:rsidRPr="002B27C0">
        <w:rPr>
          <w:rFonts w:hint="eastAsia"/>
          <w:b/>
          <w:bCs/>
          <w:rtl/>
        </w:rPr>
        <w:t>אך</w:t>
      </w:r>
      <w:r w:rsidRPr="002B27C0">
        <w:rPr>
          <w:b/>
          <w:bCs/>
          <w:rtl/>
        </w:rPr>
        <w:t xml:space="preserve"> </w:t>
      </w:r>
      <w:r w:rsidRPr="002B27C0">
        <w:rPr>
          <w:rFonts w:hint="eastAsia"/>
          <w:b/>
          <w:bCs/>
          <w:rtl/>
        </w:rPr>
        <w:t>עדיין</w:t>
      </w:r>
      <w:r w:rsidRPr="002B27C0">
        <w:rPr>
          <w:b/>
          <w:bCs/>
          <w:rtl/>
        </w:rPr>
        <w:t xml:space="preserve"> </w:t>
      </w:r>
      <w:r w:rsidRPr="002B27C0">
        <w:rPr>
          <w:rFonts w:hint="eastAsia"/>
          <w:b/>
          <w:bCs/>
          <w:rtl/>
        </w:rPr>
        <w:t>נותרו</w:t>
      </w:r>
      <w:r>
        <w:rPr>
          <w:rFonts w:hint="cs"/>
          <w:b/>
          <w:bCs/>
          <w:rtl/>
        </w:rPr>
        <w:t xml:space="preserve"> </w:t>
      </w:r>
      <w:r w:rsidRPr="00664398">
        <w:rPr>
          <w:rFonts w:hint="cs"/>
          <w:b/>
          <w:bCs/>
          <w:rtl/>
        </w:rPr>
        <w:t xml:space="preserve">65,025 </w:t>
      </w:r>
      <w:r>
        <w:rPr>
          <w:rFonts w:hint="cs"/>
          <w:b/>
          <w:bCs/>
          <w:rtl/>
        </w:rPr>
        <w:t>זכאים</w:t>
      </w:r>
      <w:r w:rsidRPr="00664398">
        <w:rPr>
          <w:rFonts w:hint="cs"/>
          <w:b/>
          <w:bCs/>
          <w:rtl/>
        </w:rPr>
        <w:t xml:space="preserve"> </w:t>
      </w:r>
      <w:r>
        <w:rPr>
          <w:rFonts w:hint="cs"/>
          <w:b/>
          <w:bCs/>
          <w:rtl/>
        </w:rPr>
        <w:t xml:space="preserve">שטרם </w:t>
      </w:r>
      <w:r w:rsidRPr="00664398">
        <w:rPr>
          <w:rFonts w:hint="cs"/>
          <w:b/>
          <w:bCs/>
          <w:rtl/>
        </w:rPr>
        <w:t>לא אותרו.</w:t>
      </w:r>
      <w:r>
        <w:rPr>
          <w:rFonts w:hint="cs"/>
          <w:b/>
          <w:bCs/>
          <w:rtl/>
        </w:rPr>
        <w:t xml:space="preserve"> </w:t>
      </w:r>
    </w:p>
    <w:p w:rsidR="003D3BEF" w:rsidP="003D3BEF" w14:paraId="0C66C399" w14:textId="77777777">
      <w:pPr>
        <w:pStyle w:val="a"/>
        <w:spacing w:line="269" w:lineRule="auto"/>
        <w:rPr>
          <w:rtl/>
        </w:rPr>
      </w:pPr>
    </w:p>
    <w:p w:rsidR="003D3BEF" w:rsidP="003D3BEF" w14:paraId="5D6A6E64" w14:textId="77777777">
      <w:pPr>
        <w:spacing w:line="269" w:lineRule="auto"/>
        <w:rPr>
          <w:b/>
          <w:bCs/>
          <w:rtl/>
        </w:rPr>
      </w:pPr>
      <w:r w:rsidRPr="00664398">
        <w:rPr>
          <w:rFonts w:hint="cs"/>
          <w:b/>
          <w:bCs/>
          <w:rtl/>
        </w:rPr>
        <w:t>יוצא איפוא כי</w:t>
      </w:r>
      <w:r>
        <w:rPr>
          <w:rFonts w:hint="cs"/>
          <w:b/>
          <w:bCs/>
          <w:rtl/>
        </w:rPr>
        <w:t xml:space="preserve"> אף</w:t>
      </w:r>
      <w:r w:rsidRPr="00664398">
        <w:rPr>
          <w:rFonts w:hint="cs"/>
          <w:b/>
          <w:bCs/>
          <w:rtl/>
        </w:rPr>
        <w:t xml:space="preserve"> שחלפו כחמש שנים מיום התקנת תקנות הה</w:t>
      </w:r>
      <w:r>
        <w:rPr>
          <w:rFonts w:hint="cs"/>
          <w:b/>
          <w:bCs/>
          <w:rtl/>
        </w:rPr>
        <w:t>פחת</w:t>
      </w:r>
      <w:r w:rsidRPr="00664398">
        <w:rPr>
          <w:rFonts w:hint="cs"/>
          <w:b/>
          <w:bCs/>
          <w:rtl/>
        </w:rPr>
        <w:t xml:space="preserve">ה </w:t>
      </w:r>
      <w:r>
        <w:rPr>
          <w:rFonts w:hint="cs"/>
          <w:b/>
          <w:bCs/>
          <w:rtl/>
        </w:rPr>
        <w:t xml:space="preserve">טרם אותרו </w:t>
      </w:r>
      <w:r w:rsidRPr="00664398">
        <w:rPr>
          <w:rFonts w:hint="cs"/>
          <w:b/>
          <w:bCs/>
          <w:rtl/>
        </w:rPr>
        <w:t>כ-65,000 זכאים</w:t>
      </w:r>
      <w:r>
        <w:rPr>
          <w:rFonts w:hint="cs"/>
          <w:b/>
          <w:bCs/>
          <w:rtl/>
        </w:rPr>
        <w:t xml:space="preserve">, וממילא הם </w:t>
      </w:r>
      <w:r w:rsidRPr="00E406C0">
        <w:rPr>
          <w:rFonts w:hint="cs"/>
          <w:b/>
          <w:bCs/>
          <w:rtl/>
        </w:rPr>
        <w:t xml:space="preserve">אינם </w:t>
      </w:r>
      <w:r>
        <w:rPr>
          <w:rFonts w:hint="cs"/>
          <w:b/>
          <w:bCs/>
          <w:rtl/>
        </w:rPr>
        <w:t>מ</w:t>
      </w:r>
      <w:r w:rsidRPr="00E406C0">
        <w:rPr>
          <w:rFonts w:hint="cs"/>
          <w:b/>
          <w:bCs/>
          <w:rtl/>
        </w:rPr>
        <w:t>ממש</w:t>
      </w:r>
      <w:r>
        <w:rPr>
          <w:rFonts w:hint="cs"/>
          <w:b/>
          <w:bCs/>
          <w:rtl/>
        </w:rPr>
        <w:t>ים</w:t>
      </w:r>
      <w:r w:rsidRPr="00E406C0">
        <w:rPr>
          <w:rFonts w:hint="cs"/>
          <w:b/>
          <w:bCs/>
          <w:rtl/>
        </w:rPr>
        <w:t xml:space="preserve"> את ההטבה המגיעה להם </w:t>
      </w:r>
      <w:r>
        <w:rPr>
          <w:rFonts w:hint="cs"/>
          <w:b/>
          <w:bCs/>
          <w:rtl/>
        </w:rPr>
        <w:t xml:space="preserve">על פי </w:t>
      </w:r>
      <w:r w:rsidRPr="00E406C0">
        <w:rPr>
          <w:rFonts w:hint="cs"/>
          <w:b/>
          <w:bCs/>
          <w:rtl/>
        </w:rPr>
        <w:t xml:space="preserve">התקנות. </w:t>
      </w:r>
    </w:p>
    <w:p w:rsidR="003D3BEF" w:rsidRPr="00E406C0" w:rsidP="003D3BEF" w14:paraId="5719D9CE" w14:textId="77777777">
      <w:pPr>
        <w:pStyle w:val="a"/>
        <w:spacing w:line="269" w:lineRule="auto"/>
        <w:rPr>
          <w:rtl/>
        </w:rPr>
      </w:pPr>
    </w:p>
    <w:p w:rsidR="003D3BEF" w:rsidP="003D3BEF" w14:paraId="15C587C2" w14:textId="77777777">
      <w:pPr>
        <w:spacing w:line="269" w:lineRule="auto"/>
        <w:rPr>
          <w:rtl/>
        </w:rPr>
      </w:pPr>
      <w:r>
        <w:rPr>
          <w:rtl/>
        </w:rPr>
        <w:t>רשות המים מסרה למשרד מבקר המדינה ב</w:t>
      </w:r>
      <w:r>
        <w:rPr>
          <w:rFonts w:hint="cs"/>
          <w:rtl/>
        </w:rPr>
        <w:t>תשובתה מ</w:t>
      </w:r>
      <w:r>
        <w:rPr>
          <w:rtl/>
        </w:rPr>
        <w:t xml:space="preserve">ינואר 2020 כי </w:t>
      </w:r>
      <w:r>
        <w:rPr>
          <w:rFonts w:hint="cs"/>
          <w:rtl/>
        </w:rPr>
        <w:t xml:space="preserve">מצב זה נובע מהעובדה </w:t>
      </w:r>
      <w:r>
        <w:rPr>
          <w:rtl/>
        </w:rPr>
        <w:t>שהתאגידים אינם מאתרים את כל הזכאים</w:t>
      </w:r>
      <w:r>
        <w:rPr>
          <w:rFonts w:hint="cs"/>
          <w:rtl/>
        </w:rPr>
        <w:t>,</w:t>
      </w:r>
      <w:r>
        <w:rPr>
          <w:rtl/>
        </w:rPr>
        <w:t xml:space="preserve"> בין היתר</w:t>
      </w:r>
      <w:r>
        <w:rPr>
          <w:rFonts w:hint="cs"/>
          <w:rtl/>
        </w:rPr>
        <w:t xml:space="preserve"> מהסיבות האלה</w:t>
      </w:r>
      <w:r>
        <w:rPr>
          <w:rtl/>
        </w:rPr>
        <w:t xml:space="preserve">: צרכנים </w:t>
      </w:r>
      <w:r>
        <w:rPr>
          <w:rFonts w:hint="cs"/>
          <w:rtl/>
        </w:rPr>
        <w:t>ה</w:t>
      </w:r>
      <w:r>
        <w:rPr>
          <w:rtl/>
        </w:rPr>
        <w:t>מתגוררים בכתובת</w:t>
      </w:r>
      <w:r>
        <w:rPr>
          <w:rFonts w:hint="cs"/>
          <w:rtl/>
        </w:rPr>
        <w:t xml:space="preserve"> שאינה </w:t>
      </w:r>
      <w:r>
        <w:rPr>
          <w:rtl/>
        </w:rPr>
        <w:t xml:space="preserve">כתובת המגורים </w:t>
      </w:r>
      <w:r>
        <w:rPr>
          <w:rFonts w:hint="cs"/>
          <w:rtl/>
        </w:rPr>
        <w:t>ה</w:t>
      </w:r>
      <w:r>
        <w:rPr>
          <w:rtl/>
        </w:rPr>
        <w:t>רשומ</w:t>
      </w:r>
      <w:r>
        <w:rPr>
          <w:rFonts w:hint="cs"/>
          <w:rtl/>
        </w:rPr>
        <w:t>ה</w:t>
      </w:r>
      <w:r>
        <w:rPr>
          <w:rtl/>
        </w:rPr>
        <w:t xml:space="preserve"> במרשם האוכלוסין, כגון צרכנים המתגוררים במוסדות שיקום, כפר</w:t>
      </w:r>
      <w:r>
        <w:rPr>
          <w:rFonts w:hint="cs"/>
          <w:rtl/>
        </w:rPr>
        <w:t>י</w:t>
      </w:r>
      <w:r>
        <w:rPr>
          <w:rtl/>
        </w:rPr>
        <w:t xml:space="preserve"> נוער</w:t>
      </w:r>
      <w:r>
        <w:rPr>
          <w:rFonts w:hint="cs"/>
          <w:rtl/>
        </w:rPr>
        <w:t xml:space="preserve"> ו</w:t>
      </w:r>
      <w:r>
        <w:rPr>
          <w:rtl/>
        </w:rPr>
        <w:t>בתי אבות</w:t>
      </w:r>
      <w:r>
        <w:rPr>
          <w:rFonts w:hint="cs"/>
          <w:rtl/>
        </w:rPr>
        <w:t xml:space="preserve">; </w:t>
      </w:r>
      <w:r>
        <w:rPr>
          <w:rtl/>
        </w:rPr>
        <w:t xml:space="preserve">פערים במערכות המחשוב הייעודיות של ספק המים </w:t>
      </w:r>
      <w:r>
        <w:rPr>
          <w:rFonts w:hint="cs"/>
          <w:rtl/>
        </w:rPr>
        <w:t>ה</w:t>
      </w:r>
      <w:r>
        <w:rPr>
          <w:rtl/>
        </w:rPr>
        <w:t>מעודכנים ומאותרים בעיכוב משמעותי</w:t>
      </w:r>
      <w:r>
        <w:rPr>
          <w:rFonts w:hint="cs"/>
          <w:rtl/>
        </w:rPr>
        <w:t>;</w:t>
      </w:r>
      <w:r>
        <w:rPr>
          <w:rtl/>
        </w:rPr>
        <w:t xml:space="preserve"> וטעויות בדיווחים</w:t>
      </w:r>
      <w:r>
        <w:rPr>
          <w:rFonts w:hint="cs"/>
          <w:rtl/>
        </w:rPr>
        <w:t xml:space="preserve"> מספקי המים</w:t>
      </w:r>
      <w:r>
        <w:rPr>
          <w:rtl/>
        </w:rPr>
        <w:t xml:space="preserve"> ובהזנות של נתונים לרשות המים </w:t>
      </w:r>
      <w:r>
        <w:rPr>
          <w:rFonts w:hint="cs"/>
          <w:rtl/>
        </w:rPr>
        <w:t>בידי</w:t>
      </w:r>
      <w:r>
        <w:rPr>
          <w:rtl/>
        </w:rPr>
        <w:t xml:space="preserve"> ספקי המים </w:t>
      </w:r>
      <w:r>
        <w:rPr>
          <w:rFonts w:ascii="Arial" w:hAnsi="Arial" w:hint="cs"/>
          <w:sz w:val="24"/>
          <w:rtl/>
        </w:rPr>
        <w:t>רשות המים הוסיפה כי היא ביצעה</w:t>
      </w:r>
      <w:r w:rsidRPr="0052132B">
        <w:rPr>
          <w:rFonts w:ascii="Arial" w:hAnsi="Arial"/>
          <w:sz w:val="24"/>
          <w:rtl/>
        </w:rPr>
        <w:t xml:space="preserve"> פעו</w:t>
      </w:r>
      <w:r>
        <w:rPr>
          <w:rFonts w:ascii="Arial" w:hAnsi="Arial"/>
          <w:sz w:val="24"/>
          <w:rtl/>
        </w:rPr>
        <w:t>לות יזומות</w:t>
      </w:r>
      <w:r>
        <w:rPr>
          <w:rFonts w:ascii="Arial" w:hAnsi="Arial" w:hint="cs"/>
          <w:sz w:val="24"/>
          <w:rtl/>
        </w:rPr>
        <w:t xml:space="preserve"> לסיוע בטיוב הנתונים של התאגידים, והיא משפרת ומפתחת באופן תדיר את מערכת הקליטה והדיווח בנוגע </w:t>
      </w:r>
      <w:r w:rsidRPr="00A07561">
        <w:rPr>
          <w:rFonts w:ascii="Arial" w:hAnsi="Arial" w:hint="cs"/>
          <w:sz w:val="24"/>
          <w:rtl/>
        </w:rPr>
        <w:t>לזכאים.</w:t>
      </w:r>
      <w:r w:rsidRPr="00A07561">
        <w:rPr>
          <w:rFonts w:hint="cs"/>
          <w:rtl/>
        </w:rPr>
        <w:t xml:space="preserve"> </w:t>
      </w:r>
      <w:r w:rsidRPr="00A07561">
        <w:rPr>
          <w:rFonts w:hint="eastAsia"/>
          <w:rtl/>
        </w:rPr>
        <w:t>כמו</w:t>
      </w:r>
      <w:r w:rsidRPr="00A07561">
        <w:rPr>
          <w:rtl/>
        </w:rPr>
        <w:t xml:space="preserve"> כן, רשות המים השיבה למשרד מבקר המדינה במאי 2020 כי בין 65,000 הזכאים שטרם אותרו יש גם כאלה המתגוררים בישובים מתוכננים, וזכאים ללא כתובת מגורים.</w:t>
      </w:r>
    </w:p>
    <w:p w:rsidR="003D3BEF" w:rsidRPr="00B21A79" w:rsidP="003D3BEF" w14:paraId="55F5E1BC" w14:textId="77777777">
      <w:pPr>
        <w:pStyle w:val="a"/>
        <w:spacing w:line="269" w:lineRule="auto"/>
        <w:rPr>
          <w:rtl/>
        </w:rPr>
      </w:pPr>
    </w:p>
    <w:p w:rsidR="003D3BEF" w:rsidP="003D3BEF" w14:paraId="54E1D558" w14:textId="77777777">
      <w:pPr>
        <w:spacing w:line="269" w:lineRule="auto"/>
        <w:rPr>
          <w:b/>
          <w:bCs/>
          <w:rtl/>
        </w:rPr>
      </w:pPr>
      <w:r>
        <w:rPr>
          <w:rFonts w:hint="cs"/>
          <w:b/>
          <w:bCs/>
          <w:rtl/>
        </w:rPr>
        <w:t xml:space="preserve">משרד </w:t>
      </w:r>
      <w:r w:rsidRPr="00E406C0">
        <w:rPr>
          <w:rFonts w:hint="cs"/>
          <w:b/>
          <w:bCs/>
          <w:rtl/>
        </w:rPr>
        <w:t>מ</w:t>
      </w:r>
      <w:r>
        <w:rPr>
          <w:rFonts w:hint="cs"/>
          <w:b/>
          <w:bCs/>
          <w:rtl/>
        </w:rPr>
        <w:t xml:space="preserve">בקר המדינה ממליץ לרשות המים כי נוכח העובדה שעדיין קיימים כ-65,000 זכאים שטרם אותרו, </w:t>
      </w:r>
      <w:r w:rsidRPr="00D84F04">
        <w:rPr>
          <w:rFonts w:hint="cs"/>
          <w:b/>
          <w:bCs/>
          <w:rtl/>
        </w:rPr>
        <w:t>עליה לבחון דרכים</w:t>
      </w:r>
      <w:r>
        <w:rPr>
          <w:rFonts w:hint="cs"/>
          <w:b/>
          <w:bCs/>
          <w:rtl/>
        </w:rPr>
        <w:t xml:space="preserve"> שבהן ניתן לטייב עוד יותר את הנתונים באופן שיבטיח את איתורם של כל הזכאים להטבה. מן הראוי שרשות המים תשקול שיתוף פעולה עם מחלקות הרווחה במרכז השלטון המקומי ועם גורמים נוספים על מנת להגיע לבסיס הנתונים המיטבי והמעודכן שיגדיל את שיעור הזכאים המאותרים. </w:t>
      </w:r>
    </w:p>
    <w:p w:rsidR="003D3BEF" w:rsidP="003D3BEF" w14:paraId="76C267F5" w14:textId="77777777">
      <w:pPr>
        <w:pStyle w:val="a"/>
        <w:spacing w:line="269" w:lineRule="auto"/>
        <w:rPr>
          <w:rtl/>
        </w:rPr>
      </w:pPr>
    </w:p>
    <w:p w:rsidR="003D3BEF" w:rsidP="003D3BEF" w14:paraId="1B1B1DCA" w14:textId="77777777">
      <w:pPr>
        <w:pStyle w:val="Heading3"/>
        <w:spacing w:before="0" w:line="269" w:lineRule="auto"/>
        <w:rPr>
          <w:rtl/>
        </w:rPr>
      </w:pPr>
      <w:bookmarkStart w:id="11" w:name="_Toc47260081"/>
      <w:r w:rsidRPr="00C70881">
        <w:rPr>
          <w:rFonts w:hint="cs"/>
          <w:rtl/>
        </w:rPr>
        <w:t>אוכלוסי</w:t>
      </w:r>
      <w:r>
        <w:rPr>
          <w:rFonts w:hint="cs"/>
          <w:rtl/>
        </w:rPr>
        <w:t>ו</w:t>
      </w:r>
      <w:r w:rsidRPr="00C70881">
        <w:rPr>
          <w:rFonts w:hint="cs"/>
          <w:rtl/>
        </w:rPr>
        <w:t>ת מעוטי יכולת</w:t>
      </w:r>
      <w:bookmarkEnd w:id="11"/>
    </w:p>
    <w:p w:rsidR="003D3BEF" w:rsidP="003D3BEF" w14:paraId="7A52848E" w14:textId="77777777">
      <w:pPr>
        <w:pStyle w:val="a"/>
        <w:rPr>
          <w:rtl/>
        </w:rPr>
      </w:pPr>
    </w:p>
    <w:p w:rsidR="003D3BEF" w:rsidP="003D3BEF" w14:paraId="4AB421F0" w14:textId="77777777">
      <w:pPr>
        <w:spacing w:line="269" w:lineRule="auto"/>
        <w:rPr>
          <w:rtl/>
        </w:rPr>
      </w:pPr>
      <w:r>
        <w:rPr>
          <w:rFonts w:hint="cs"/>
          <w:rtl/>
        </w:rPr>
        <w:t>בית המשפט העליון, בשבתו כבית דין גבוה לצדק, קבע כי זכותו של אדם לכבוד היא גם הזכות לנהוג את חייו הרגילים כבן אנוש, בלי שתכריע אותו המצוקה ותביא אותו לכלל מחסור בלתי נסבל</w:t>
      </w:r>
      <w:r>
        <w:rPr>
          <w:rStyle w:val="FootnoteReference"/>
          <w:rtl/>
        </w:rPr>
        <w:footnoteReference w:id="145"/>
      </w:r>
      <w:r>
        <w:rPr>
          <w:rFonts w:hint="cs"/>
          <w:rtl/>
        </w:rPr>
        <w:t>, וכי כבודו של אדם מחייב דאגה לקיומו המינימלי כאנוש</w:t>
      </w:r>
      <w:r>
        <w:rPr>
          <w:rStyle w:val="FootnoteReference"/>
          <w:rtl/>
        </w:rPr>
        <w:footnoteReference w:id="146"/>
      </w:r>
      <w:r>
        <w:rPr>
          <w:rFonts w:hint="cs"/>
          <w:rtl/>
        </w:rPr>
        <w:t>, כגון דיור ומזון</w:t>
      </w:r>
      <w:r>
        <w:rPr>
          <w:rStyle w:val="FootnoteReference"/>
          <w:rtl/>
        </w:rPr>
        <w:footnoteReference w:id="147"/>
      </w:r>
      <w:r>
        <w:rPr>
          <w:rFonts w:hint="cs"/>
          <w:rtl/>
        </w:rPr>
        <w:t>.</w:t>
      </w:r>
      <w:r w:rsidRPr="00097AB1">
        <w:rPr>
          <w:rFonts w:hint="cs"/>
          <w:rtl/>
        </w:rPr>
        <w:t xml:space="preserve"> </w:t>
      </w:r>
    </w:p>
    <w:p w:rsidR="003D3BEF" w:rsidRPr="006719E7" w:rsidP="003D3BEF" w14:paraId="7B86D2D2" w14:textId="77777777">
      <w:pPr>
        <w:pStyle w:val="a"/>
        <w:spacing w:line="269" w:lineRule="auto"/>
        <w:rPr>
          <w:rtl/>
        </w:rPr>
      </w:pPr>
    </w:p>
    <w:p w:rsidR="003D3BEF" w:rsidP="003D3BEF" w14:paraId="7E52ABEF" w14:textId="77777777">
      <w:pPr>
        <w:spacing w:line="269" w:lineRule="auto"/>
        <w:rPr>
          <w:rtl/>
        </w:rPr>
      </w:pPr>
      <w:r>
        <w:rPr>
          <w:rFonts w:hint="cs"/>
          <w:rtl/>
        </w:rPr>
        <w:t xml:space="preserve">בתקנות ההפחתה </w:t>
      </w:r>
      <w:r>
        <w:rPr>
          <w:rtl/>
        </w:rPr>
        <w:t>מובאת רשימ</w:t>
      </w:r>
      <w:r>
        <w:rPr>
          <w:rFonts w:hint="cs"/>
          <w:rtl/>
        </w:rPr>
        <w:t>ה של</w:t>
      </w:r>
      <w:r>
        <w:rPr>
          <w:rtl/>
        </w:rPr>
        <w:t xml:space="preserve"> קבוצות האוכלוסייה הזכאיות </w:t>
      </w:r>
      <w:r>
        <w:rPr>
          <w:rFonts w:hint="cs"/>
          <w:rtl/>
        </w:rPr>
        <w:t>ליהנו</w:t>
      </w:r>
      <w:r>
        <w:rPr>
          <w:rFonts w:hint="eastAsia"/>
          <w:rtl/>
        </w:rPr>
        <w:t>ת</w:t>
      </w:r>
      <w:r>
        <w:rPr>
          <w:rFonts w:hint="cs"/>
          <w:rtl/>
        </w:rPr>
        <w:t xml:space="preserve"> מסיוע, ובהן נכים הזכאים לגמלה, נכי רדיפות הנאצים, נכי המלחמה בנאצים ונפגעי פעולות איבה. אולם לא נקבעה בתקנות ההפחתה זכאות להטבה עבור אוכלוסיות מעוטי יכולת שפרטיה אינם לאחר גיל פרישה</w:t>
      </w:r>
      <w:r>
        <w:rPr>
          <w:rStyle w:val="FootnoteReference"/>
          <w:rtl/>
        </w:rPr>
        <w:footnoteReference w:id="148"/>
      </w:r>
      <w:r>
        <w:rPr>
          <w:rFonts w:hint="cs"/>
          <w:rtl/>
        </w:rPr>
        <w:t xml:space="preserve">. </w:t>
      </w:r>
    </w:p>
    <w:p w:rsidR="003D3BEF" w:rsidP="003D3BEF" w14:paraId="449AF486" w14:textId="77777777">
      <w:pPr>
        <w:pStyle w:val="a"/>
        <w:spacing w:line="269" w:lineRule="auto"/>
        <w:rPr>
          <w:rtl/>
        </w:rPr>
      </w:pPr>
    </w:p>
    <w:p w:rsidR="003D3BEF" w:rsidP="003D3BEF" w14:paraId="07A38689" w14:textId="77777777">
      <w:pPr>
        <w:spacing w:line="269" w:lineRule="auto"/>
        <w:rPr>
          <w:rtl/>
        </w:rPr>
      </w:pPr>
      <w:r>
        <w:rPr>
          <w:rFonts w:hint="cs"/>
          <w:rtl/>
        </w:rPr>
        <w:t xml:space="preserve">מנגנון סיוע לזכאים קיים גם בצריכת </w:t>
      </w:r>
      <w:r w:rsidRPr="00555767">
        <w:rPr>
          <w:rFonts w:hint="cs"/>
          <w:rtl/>
        </w:rPr>
        <w:t>החשמל</w:t>
      </w:r>
      <w:r w:rsidRPr="00555767">
        <w:rPr>
          <w:sz w:val="24"/>
          <w:rtl/>
        </w:rPr>
        <w:t xml:space="preserve"> </w:t>
      </w:r>
      <w:r w:rsidRPr="00555767">
        <w:rPr>
          <w:rFonts w:hint="cs"/>
          <w:sz w:val="24"/>
          <w:rtl/>
        </w:rPr>
        <w:t>הביתית</w:t>
      </w:r>
      <w:r>
        <w:rPr>
          <w:rFonts w:hint="cs"/>
          <w:sz w:val="24"/>
          <w:rtl/>
        </w:rPr>
        <w:t>,</w:t>
      </w:r>
      <w:r w:rsidRPr="00555767">
        <w:rPr>
          <w:rtl/>
        </w:rPr>
        <w:t xml:space="preserve"> </w:t>
      </w:r>
      <w:r>
        <w:rPr>
          <w:rFonts w:hint="cs"/>
          <w:rtl/>
        </w:rPr>
        <w:t>והוא מוסדר ב</w:t>
      </w:r>
      <w:r w:rsidRPr="00097AB1">
        <w:rPr>
          <w:rtl/>
        </w:rPr>
        <w:t>תקנות משק החשמל (תשלום מופחת לזכאים שונים), התשע"א-2011</w:t>
      </w:r>
      <w:r>
        <w:rPr>
          <w:rFonts w:hint="cs"/>
          <w:b/>
          <w:bCs/>
          <w:sz w:val="24"/>
          <w:rtl/>
        </w:rPr>
        <w:t xml:space="preserve">. </w:t>
      </w:r>
      <w:r w:rsidRPr="00555767">
        <w:rPr>
          <w:rFonts w:hint="cs"/>
          <w:rtl/>
        </w:rPr>
        <w:t xml:space="preserve">מאחר </w:t>
      </w:r>
      <w:r>
        <w:rPr>
          <w:rFonts w:hint="cs"/>
          <w:rtl/>
        </w:rPr>
        <w:t xml:space="preserve">שבדומה לאספקת מים </w:t>
      </w:r>
      <w:r w:rsidRPr="00555767">
        <w:rPr>
          <w:rFonts w:hint="cs"/>
          <w:rtl/>
        </w:rPr>
        <w:t xml:space="preserve">גם חשמל הוא מוצר </w:t>
      </w:r>
      <w:r>
        <w:rPr>
          <w:rFonts w:hint="cs"/>
          <w:rtl/>
        </w:rPr>
        <w:t>חיוני ושירות תשתיתי, השווה משרד מבקר המדינה בין קבוצות הזכאים להנחה בצריכת החשמל לעומת קבוצות הזכאים לקבלת ההטבה בצריכת המים.</w:t>
      </w:r>
    </w:p>
    <w:p w:rsidR="003D3BEF" w:rsidRPr="00555767" w:rsidP="003D3BEF" w14:paraId="276CDEAF" w14:textId="77777777">
      <w:pPr>
        <w:pStyle w:val="a"/>
        <w:spacing w:line="269" w:lineRule="auto"/>
        <w:rPr>
          <w:rtl/>
        </w:rPr>
      </w:pPr>
    </w:p>
    <w:p w:rsidR="003D3BEF" w:rsidP="003D3BEF" w14:paraId="16A799CC" w14:textId="77777777">
      <w:pPr>
        <w:spacing w:line="269" w:lineRule="auto"/>
        <w:rPr>
          <w:rtl/>
        </w:rPr>
      </w:pPr>
      <w:r>
        <w:rPr>
          <w:rFonts w:hint="cs"/>
          <w:rtl/>
        </w:rPr>
        <w:t xml:space="preserve">ההשוואה העלתה כי רוב קבוצות הזכאים נהנות ממנגנוני הסיוע הן בצריכת החשמל והן בצריכת המים. כך, הזכאים לסיוע בתשלום עבור צריכת חשמל ומים הם </w:t>
      </w:r>
      <w:r w:rsidRPr="00097AB1">
        <w:rPr>
          <w:rtl/>
        </w:rPr>
        <w:t xml:space="preserve">נכי רדיפות הנאצים, נכי המלחמה בנאצים, </w:t>
      </w:r>
      <w:r w:rsidRPr="00097AB1">
        <w:rPr>
          <w:rFonts w:hint="cs"/>
          <w:rtl/>
        </w:rPr>
        <w:t xml:space="preserve">מקבלי </w:t>
      </w:r>
      <w:r w:rsidRPr="00097AB1">
        <w:rPr>
          <w:rtl/>
        </w:rPr>
        <w:t>קצבת זקנה</w:t>
      </w:r>
      <w:r>
        <w:rPr>
          <w:rFonts w:hint="cs"/>
          <w:rtl/>
        </w:rPr>
        <w:t xml:space="preserve"> לנכה</w:t>
      </w:r>
      <w:r w:rsidRPr="00097AB1">
        <w:rPr>
          <w:rFonts w:hint="cs"/>
          <w:rtl/>
        </w:rPr>
        <w:t xml:space="preserve">, מקבלי </w:t>
      </w:r>
      <w:r w:rsidRPr="00097AB1">
        <w:rPr>
          <w:rtl/>
        </w:rPr>
        <w:t xml:space="preserve">קצבה מיוחדת </w:t>
      </w:r>
      <w:r w:rsidRPr="00097AB1">
        <w:rPr>
          <w:rFonts w:hint="cs"/>
          <w:rtl/>
        </w:rPr>
        <w:t xml:space="preserve">לשירותים מיוחדים בגין נכות, מקבלי </w:t>
      </w:r>
      <w:r w:rsidRPr="00097AB1">
        <w:rPr>
          <w:rtl/>
        </w:rPr>
        <w:t xml:space="preserve">גמלה </w:t>
      </w:r>
      <w:r w:rsidRPr="00097AB1">
        <w:rPr>
          <w:rFonts w:hint="cs"/>
          <w:rtl/>
        </w:rPr>
        <w:t xml:space="preserve">בגין </w:t>
      </w:r>
      <w:r w:rsidRPr="00097AB1">
        <w:rPr>
          <w:rtl/>
        </w:rPr>
        <w:t xml:space="preserve">ילד נכה, </w:t>
      </w:r>
      <w:r w:rsidRPr="00097AB1">
        <w:rPr>
          <w:rFonts w:hint="cs"/>
          <w:rtl/>
        </w:rPr>
        <w:t xml:space="preserve">מקבלי </w:t>
      </w:r>
      <w:r w:rsidRPr="00097AB1">
        <w:rPr>
          <w:rtl/>
        </w:rPr>
        <w:t>גמלת סיעוד</w:t>
      </w:r>
      <w:r w:rsidRPr="00097AB1">
        <w:rPr>
          <w:rFonts w:hint="cs"/>
          <w:rtl/>
        </w:rPr>
        <w:t>, נכי צה"ל</w:t>
      </w:r>
      <w:r>
        <w:rPr>
          <w:rFonts w:hint="cs"/>
          <w:rtl/>
        </w:rPr>
        <w:t xml:space="preserve"> ו</w:t>
      </w:r>
      <w:r w:rsidRPr="00097AB1">
        <w:rPr>
          <w:rtl/>
        </w:rPr>
        <w:t>נפגעי פעולות איבה</w:t>
      </w:r>
      <w:r>
        <w:rPr>
          <w:rFonts w:hint="cs"/>
          <w:rtl/>
        </w:rPr>
        <w:t xml:space="preserve"> העומדים באמות מידה מסוימות שנקבעו</w:t>
      </w:r>
      <w:r w:rsidRPr="00097AB1">
        <w:rPr>
          <w:rFonts w:hint="cs"/>
          <w:rtl/>
        </w:rPr>
        <w:t>,</w:t>
      </w:r>
      <w:r w:rsidRPr="00097AB1">
        <w:rPr>
          <w:rtl/>
        </w:rPr>
        <w:t xml:space="preserve"> </w:t>
      </w:r>
      <w:r w:rsidRPr="00097AB1">
        <w:rPr>
          <w:rFonts w:hint="cs"/>
          <w:rtl/>
        </w:rPr>
        <w:t>ו</w:t>
      </w:r>
      <w:r>
        <w:rPr>
          <w:rFonts w:hint="cs"/>
          <w:rtl/>
        </w:rPr>
        <w:t>צרכני</w:t>
      </w:r>
      <w:r w:rsidRPr="00097AB1">
        <w:rPr>
          <w:rFonts w:hint="cs"/>
          <w:rtl/>
        </w:rPr>
        <w:t>ם בגיל פרישה הזכאים ל</w:t>
      </w:r>
      <w:r w:rsidRPr="00097AB1">
        <w:rPr>
          <w:rtl/>
        </w:rPr>
        <w:t>גמל</w:t>
      </w:r>
      <w:r w:rsidRPr="00097AB1">
        <w:rPr>
          <w:rFonts w:hint="cs"/>
          <w:rtl/>
        </w:rPr>
        <w:t>ת הבטחת הכנסה.</w:t>
      </w:r>
    </w:p>
    <w:p w:rsidR="003D3BEF" w:rsidP="003D3BEF" w14:paraId="36C3DFC2" w14:textId="77777777">
      <w:pPr>
        <w:pStyle w:val="a"/>
        <w:spacing w:line="269" w:lineRule="auto"/>
        <w:rPr>
          <w:rtl/>
        </w:rPr>
      </w:pPr>
    </w:p>
    <w:p w:rsidR="003D3BEF" w:rsidRPr="000B1BE8" w:rsidP="003D3BEF" w14:paraId="136BD53E" w14:textId="77777777">
      <w:pPr>
        <w:spacing w:line="269" w:lineRule="auto"/>
        <w:rPr>
          <w:b/>
          <w:bCs/>
          <w:rtl/>
        </w:rPr>
      </w:pPr>
      <w:r w:rsidRPr="000B1BE8">
        <w:rPr>
          <w:rFonts w:hint="cs"/>
          <w:b/>
          <w:bCs/>
          <w:rtl/>
        </w:rPr>
        <w:t xml:space="preserve">עם זאת, במנגנון הסיוע לצרכני החשמל יש התייחסות לקבוצות זכאים מעוטי יכולת, ואילו מנגנון הסיוע לצריכת המים אינו נותן מענה לקבוצות אלה. כך, </w:t>
      </w:r>
      <w:r w:rsidRPr="000B1BE8">
        <w:rPr>
          <w:b/>
          <w:bCs/>
          <w:sz w:val="24"/>
          <w:rtl/>
        </w:rPr>
        <w:t>צרכ</w:t>
      </w:r>
      <w:r w:rsidRPr="000B1BE8">
        <w:rPr>
          <w:rFonts w:hint="cs"/>
          <w:b/>
          <w:bCs/>
          <w:sz w:val="24"/>
          <w:rtl/>
        </w:rPr>
        <w:t>נים</w:t>
      </w:r>
      <w:r w:rsidRPr="000B1BE8">
        <w:rPr>
          <w:b/>
          <w:bCs/>
          <w:sz w:val="24"/>
          <w:rtl/>
        </w:rPr>
        <w:t xml:space="preserve"> הזכאי</w:t>
      </w:r>
      <w:r w:rsidRPr="000B1BE8">
        <w:rPr>
          <w:rFonts w:hint="cs"/>
          <w:b/>
          <w:bCs/>
          <w:sz w:val="24"/>
          <w:rtl/>
        </w:rPr>
        <w:t>ם</w:t>
      </w:r>
      <w:r w:rsidRPr="000B1BE8">
        <w:rPr>
          <w:b/>
          <w:bCs/>
          <w:sz w:val="24"/>
          <w:rtl/>
        </w:rPr>
        <w:t xml:space="preserve"> לגמלה לפי חוק הבטחת הכנסה, התשמ</w:t>
      </w:r>
      <w:r w:rsidRPr="000B1BE8">
        <w:rPr>
          <w:rFonts w:hint="cs"/>
          <w:b/>
          <w:bCs/>
          <w:sz w:val="24"/>
          <w:rtl/>
        </w:rPr>
        <w:t>"</w:t>
      </w:r>
      <w:r w:rsidRPr="000B1BE8">
        <w:rPr>
          <w:b/>
          <w:bCs/>
          <w:sz w:val="24"/>
          <w:rtl/>
        </w:rPr>
        <w:t>א</w:t>
      </w:r>
      <w:r w:rsidRPr="000B1BE8">
        <w:rPr>
          <w:rFonts w:hint="cs"/>
          <w:b/>
          <w:bCs/>
          <w:sz w:val="24"/>
          <w:rtl/>
        </w:rPr>
        <w:t>-</w:t>
      </w:r>
      <w:r w:rsidRPr="000B1BE8">
        <w:rPr>
          <w:b/>
          <w:bCs/>
          <w:sz w:val="24"/>
          <w:rtl/>
        </w:rPr>
        <w:t>1980</w:t>
      </w:r>
      <w:r w:rsidRPr="000B1BE8">
        <w:rPr>
          <w:rFonts w:hint="cs"/>
          <w:b/>
          <w:bCs/>
          <w:sz w:val="24"/>
          <w:rtl/>
        </w:rPr>
        <w:t>,</w:t>
      </w:r>
      <w:r w:rsidRPr="000B1BE8">
        <w:rPr>
          <w:b/>
          <w:bCs/>
          <w:sz w:val="24"/>
          <w:rtl/>
        </w:rPr>
        <w:t xml:space="preserve"> או לתשלום לפי חוק המזונות (הבטחת תשלום), התשל</w:t>
      </w:r>
      <w:r w:rsidRPr="000B1BE8">
        <w:rPr>
          <w:rFonts w:hint="cs"/>
          <w:b/>
          <w:bCs/>
          <w:sz w:val="24"/>
          <w:rtl/>
        </w:rPr>
        <w:t>"</w:t>
      </w:r>
      <w:r w:rsidRPr="000B1BE8">
        <w:rPr>
          <w:b/>
          <w:bCs/>
          <w:sz w:val="24"/>
          <w:rtl/>
        </w:rPr>
        <w:t xml:space="preserve">ב-1972, </w:t>
      </w:r>
      <w:r w:rsidRPr="000B1BE8">
        <w:rPr>
          <w:rFonts w:hint="cs"/>
          <w:b/>
          <w:bCs/>
          <w:sz w:val="24"/>
          <w:rtl/>
        </w:rPr>
        <w:t>זכאים לסיוע בצריכת החשמל</w:t>
      </w:r>
      <w:r>
        <w:rPr>
          <w:rStyle w:val="FootnoteReference"/>
          <w:b/>
          <w:bCs/>
          <w:sz w:val="24"/>
          <w:rtl/>
        </w:rPr>
        <w:footnoteReference w:id="149"/>
      </w:r>
      <w:r w:rsidRPr="000B1BE8">
        <w:rPr>
          <w:rFonts w:hint="cs"/>
          <w:b/>
          <w:bCs/>
          <w:sz w:val="24"/>
          <w:rtl/>
        </w:rPr>
        <w:t>. לעומת זאת, אוכלוסיות אלה אינן זוכות לקבל הטבה בצריכת המים, אף שמדובר בשירות תשתיתי לאספקת שני מוצרים חיוניים</w:t>
      </w:r>
      <w:r w:rsidRPr="000B1BE8">
        <w:rPr>
          <w:rFonts w:hint="cs"/>
          <w:b/>
          <w:bCs/>
          <w:rtl/>
        </w:rPr>
        <w:t>.</w:t>
      </w:r>
    </w:p>
    <w:p w:rsidR="003D3BEF" w:rsidP="003D3BEF" w14:paraId="2AE0751B" w14:textId="77777777">
      <w:pPr>
        <w:pStyle w:val="a"/>
        <w:spacing w:line="269" w:lineRule="auto"/>
        <w:rPr>
          <w:rtl/>
        </w:rPr>
      </w:pPr>
    </w:p>
    <w:p w:rsidR="003D3BEF" w:rsidRPr="00C76F92" w:rsidP="003D3BEF" w14:paraId="7FF94E84" w14:textId="77777777">
      <w:pPr>
        <w:spacing w:line="269" w:lineRule="auto"/>
        <w:rPr>
          <w:b/>
          <w:bCs/>
          <w:rtl/>
        </w:rPr>
      </w:pPr>
      <w:r w:rsidRPr="00C76F92">
        <w:rPr>
          <w:rFonts w:hint="eastAsia"/>
          <w:b/>
          <w:bCs/>
          <w:rtl/>
        </w:rPr>
        <w:t>על</w:t>
      </w:r>
      <w:r w:rsidRPr="00C76F92">
        <w:rPr>
          <w:b/>
          <w:bCs/>
          <w:rtl/>
        </w:rPr>
        <w:t xml:space="preserve"> משרד האוצר </w:t>
      </w:r>
      <w:r w:rsidRPr="00C76F92">
        <w:rPr>
          <w:rFonts w:hint="eastAsia"/>
          <w:b/>
          <w:bCs/>
          <w:rtl/>
        </w:rPr>
        <w:t>ועל</w:t>
      </w:r>
      <w:r w:rsidRPr="00C76F92">
        <w:rPr>
          <w:b/>
          <w:bCs/>
          <w:rtl/>
        </w:rPr>
        <w:t xml:space="preserve"> רשות המים </w:t>
      </w:r>
      <w:r w:rsidRPr="00C76F92">
        <w:rPr>
          <w:rFonts w:hint="eastAsia"/>
          <w:b/>
          <w:bCs/>
          <w:rtl/>
        </w:rPr>
        <w:t>לשקול</w:t>
      </w:r>
      <w:r w:rsidRPr="00C76F92">
        <w:rPr>
          <w:b/>
          <w:bCs/>
          <w:rtl/>
        </w:rPr>
        <w:t xml:space="preserve"> להכליל </w:t>
      </w:r>
      <w:r w:rsidRPr="00C76F92">
        <w:rPr>
          <w:rFonts w:hint="eastAsia"/>
          <w:b/>
          <w:bCs/>
          <w:rtl/>
        </w:rPr>
        <w:t>קבוצות</w:t>
      </w:r>
      <w:r w:rsidRPr="00C76F92">
        <w:rPr>
          <w:b/>
          <w:bCs/>
          <w:rtl/>
        </w:rPr>
        <w:t xml:space="preserve"> </w:t>
      </w:r>
      <w:r w:rsidRPr="00C76F92">
        <w:rPr>
          <w:rFonts w:hint="eastAsia"/>
          <w:b/>
          <w:bCs/>
          <w:rtl/>
        </w:rPr>
        <w:t>אוכלוסיות</w:t>
      </w:r>
      <w:r w:rsidRPr="00C76F92">
        <w:rPr>
          <w:b/>
          <w:bCs/>
          <w:rtl/>
        </w:rPr>
        <w:t xml:space="preserve"> </w:t>
      </w:r>
      <w:r w:rsidRPr="00C76F92">
        <w:rPr>
          <w:rFonts w:hint="eastAsia"/>
          <w:b/>
          <w:bCs/>
          <w:rtl/>
        </w:rPr>
        <w:t>חלשות</w:t>
      </w:r>
      <w:r w:rsidRPr="00C76F92">
        <w:rPr>
          <w:b/>
          <w:bCs/>
          <w:rtl/>
        </w:rPr>
        <w:t xml:space="preserve"> </w:t>
      </w:r>
      <w:r w:rsidRPr="00C76F92">
        <w:rPr>
          <w:rFonts w:hint="eastAsia"/>
          <w:b/>
          <w:bCs/>
          <w:rtl/>
        </w:rPr>
        <w:t>נוספות</w:t>
      </w:r>
      <w:r w:rsidRPr="00C76F92">
        <w:rPr>
          <w:b/>
          <w:bCs/>
          <w:rtl/>
        </w:rPr>
        <w:t xml:space="preserve"> </w:t>
      </w:r>
      <w:r w:rsidRPr="00C76F92">
        <w:rPr>
          <w:rFonts w:hint="eastAsia"/>
          <w:b/>
          <w:bCs/>
          <w:rtl/>
        </w:rPr>
        <w:t>של</w:t>
      </w:r>
      <w:r w:rsidRPr="00C76F92">
        <w:rPr>
          <w:rFonts w:hint="cs"/>
          <w:b/>
          <w:bCs/>
          <w:rtl/>
        </w:rPr>
        <w:t xml:space="preserve"> מעוטי יכולת ברשימת הזכאים להטבה, ובכך לאפשר ניצול טוב יותר של התקציב למנגנון הסיוע במשק המים. הוספת קבוצות אלה תסייע לנזקקים בתשלום חשבונות המים, והיא עשויה לשפר במעט את מצבם הכלכלי. כמו כן, מומלץ לבחון שיתוף מנגנון להעברת המידע על הזכאים בין חברת החשמל לישראל בע"מ ובין תאגידי המים.</w:t>
      </w:r>
    </w:p>
    <w:p w:rsidR="003D3BEF" w:rsidRPr="00A07561" w:rsidP="003D3BEF" w14:paraId="1A46299F" w14:textId="77777777">
      <w:pPr>
        <w:pStyle w:val="a"/>
        <w:spacing w:line="269" w:lineRule="auto"/>
        <w:rPr>
          <w:rtl/>
        </w:rPr>
      </w:pPr>
    </w:p>
    <w:p w:rsidR="003D3BEF" w:rsidP="003D3BEF" w14:paraId="10B7826B" w14:textId="77777777">
      <w:pPr>
        <w:spacing w:line="269" w:lineRule="auto"/>
        <w:rPr>
          <w:b/>
          <w:bCs/>
          <w:rtl/>
        </w:rPr>
      </w:pPr>
      <w:r w:rsidRPr="00A07561">
        <w:rPr>
          <w:rtl/>
        </w:rPr>
        <w:t>רשות המים מסרה למשרד מבקר המדינה במאי 2020, כי ככל שהכוונה האמיתית היא להבטיח שכל הזכאים יקבלו את ההטבה במלואה, נכון לתתה במסגרת מנגנון אחר</w:t>
      </w:r>
      <w:r>
        <w:rPr>
          <w:rStyle w:val="FootnoteReference"/>
          <w:rtl/>
        </w:rPr>
        <w:footnoteReference w:id="150"/>
      </w:r>
      <w:r w:rsidRPr="00A07561">
        <w:rPr>
          <w:rtl/>
        </w:rPr>
        <w:t>, באופן יעיל וחסכוני, ללא צורך במנגנון בירוקרטי מסורבל של הכרה באמצעות חשבון מים</w:t>
      </w:r>
      <w:r w:rsidRPr="00A07561">
        <w:rPr>
          <w:rFonts w:hint="cs"/>
          <w:b/>
          <w:bCs/>
          <w:rtl/>
        </w:rPr>
        <w:t>.</w:t>
      </w:r>
    </w:p>
    <w:p w:rsidR="00061045" w:rsidP="003D3BEF" w14:paraId="6B130B8D" w14:textId="77777777">
      <w:pPr>
        <w:pStyle w:val="Heading3"/>
        <w:spacing w:before="0" w:line="269" w:lineRule="auto"/>
        <w:rPr>
          <w:rtl/>
        </w:rPr>
      </w:pPr>
    </w:p>
    <w:p w:rsidR="003D3BEF" w:rsidRPr="006644FD" w:rsidP="003D3BEF" w14:paraId="54AF0167" w14:textId="77777777">
      <w:pPr>
        <w:pStyle w:val="Heading3"/>
        <w:spacing w:before="0" w:line="269" w:lineRule="auto"/>
        <w:rPr>
          <w:rtl/>
        </w:rPr>
      </w:pPr>
      <w:r w:rsidRPr="006644FD">
        <w:rPr>
          <w:rFonts w:hint="eastAsia"/>
          <w:rtl/>
        </w:rPr>
        <w:t>דיווח</w:t>
      </w:r>
      <w:r w:rsidRPr="006644FD">
        <w:rPr>
          <w:rtl/>
        </w:rPr>
        <w:t xml:space="preserve"> </w:t>
      </w:r>
      <w:r w:rsidRPr="006644FD">
        <w:rPr>
          <w:rFonts w:hint="eastAsia"/>
          <w:rtl/>
        </w:rPr>
        <w:t>תאגידי</w:t>
      </w:r>
      <w:r w:rsidRPr="006644FD">
        <w:rPr>
          <w:rtl/>
        </w:rPr>
        <w:t xml:space="preserve"> </w:t>
      </w:r>
      <w:r w:rsidRPr="006644FD">
        <w:rPr>
          <w:rFonts w:hint="eastAsia"/>
          <w:rtl/>
        </w:rPr>
        <w:t>המים</w:t>
      </w:r>
      <w:r w:rsidRPr="006644FD">
        <w:rPr>
          <w:rtl/>
        </w:rPr>
        <w:t xml:space="preserve"> </w:t>
      </w:r>
      <w:r w:rsidRPr="006644FD">
        <w:rPr>
          <w:rFonts w:hint="eastAsia"/>
          <w:rtl/>
        </w:rPr>
        <w:t>והביוב</w:t>
      </w:r>
      <w:r w:rsidRPr="006644FD">
        <w:rPr>
          <w:rtl/>
        </w:rPr>
        <w:t xml:space="preserve"> </w:t>
      </w:r>
      <w:r w:rsidRPr="006644FD">
        <w:rPr>
          <w:rFonts w:hint="eastAsia"/>
          <w:rtl/>
        </w:rPr>
        <w:t>לציבור</w:t>
      </w:r>
      <w:r w:rsidRPr="006644FD">
        <w:rPr>
          <w:rtl/>
        </w:rPr>
        <w:t xml:space="preserve"> </w:t>
      </w:r>
      <w:r w:rsidRPr="006644FD">
        <w:rPr>
          <w:rFonts w:hint="eastAsia"/>
          <w:rtl/>
        </w:rPr>
        <w:t>בנושא</w:t>
      </w:r>
      <w:r w:rsidRPr="006644FD">
        <w:rPr>
          <w:rtl/>
        </w:rPr>
        <w:t xml:space="preserve"> </w:t>
      </w:r>
      <w:r w:rsidRPr="006644FD">
        <w:rPr>
          <w:rFonts w:hint="eastAsia"/>
          <w:rtl/>
        </w:rPr>
        <w:t>מנגנון</w:t>
      </w:r>
      <w:r w:rsidRPr="006644FD">
        <w:rPr>
          <w:rtl/>
        </w:rPr>
        <w:t xml:space="preserve"> </w:t>
      </w:r>
      <w:r w:rsidRPr="006644FD">
        <w:rPr>
          <w:rFonts w:hint="eastAsia"/>
          <w:rtl/>
        </w:rPr>
        <w:t>הסיוע</w:t>
      </w:r>
      <w:r w:rsidRPr="006644FD">
        <w:rPr>
          <w:rtl/>
        </w:rPr>
        <w:t xml:space="preserve"> </w:t>
      </w:r>
      <w:r w:rsidRPr="006644FD">
        <w:rPr>
          <w:rFonts w:hint="eastAsia"/>
          <w:rtl/>
        </w:rPr>
        <w:t>לאוכלוסיות</w:t>
      </w:r>
      <w:r w:rsidRPr="006644FD">
        <w:rPr>
          <w:rtl/>
        </w:rPr>
        <w:t xml:space="preserve"> </w:t>
      </w:r>
      <w:r w:rsidRPr="006644FD">
        <w:rPr>
          <w:rFonts w:hint="eastAsia"/>
          <w:rtl/>
        </w:rPr>
        <w:t>חלשות</w:t>
      </w:r>
    </w:p>
    <w:p w:rsidR="003D3BEF" w:rsidP="003D3BEF" w14:paraId="58D5BCE2" w14:textId="77777777">
      <w:pPr>
        <w:pStyle w:val="a"/>
        <w:rPr>
          <w:rtl/>
        </w:rPr>
      </w:pPr>
    </w:p>
    <w:p w:rsidR="003D3BEF" w:rsidP="003D3BEF" w14:paraId="1ABC1C98" w14:textId="77777777">
      <w:pPr>
        <w:spacing w:line="269" w:lineRule="auto"/>
        <w:rPr>
          <w:rtl/>
        </w:rPr>
      </w:pPr>
      <w:r>
        <w:rPr>
          <w:rFonts w:hint="cs"/>
          <w:rtl/>
        </w:rPr>
        <w:t>הוראת סעיף 1</w:t>
      </w:r>
      <w:r w:rsidRPr="00C50FC4">
        <w:rPr>
          <w:rtl/>
        </w:rPr>
        <w:t>(ד)</w:t>
      </w:r>
      <w:r>
        <w:rPr>
          <w:rFonts w:hint="cs"/>
          <w:rtl/>
        </w:rPr>
        <w:t xml:space="preserve"> לתקנות ההפחתה קובעת כי "</w:t>
      </w:r>
      <w:r w:rsidRPr="00C50FC4">
        <w:rPr>
          <w:rtl/>
        </w:rPr>
        <w:t>החברה תפרסם, אחת לשנה, בעלון המידע המצורף לחשבון המים או במסגרת חשבון המים, מידע כללי בדבר הז</w:t>
      </w:r>
      <w:r>
        <w:rPr>
          <w:rtl/>
        </w:rPr>
        <w:t>כאות לתשלום מופחת לפי תקנות אלה</w:t>
      </w:r>
      <w:r>
        <w:rPr>
          <w:rFonts w:hint="cs"/>
          <w:rtl/>
        </w:rPr>
        <w:t xml:space="preserve">". </w:t>
      </w:r>
    </w:p>
    <w:p w:rsidR="003D3BEF" w:rsidP="003D3BEF" w14:paraId="3DA1BBAD" w14:textId="77777777">
      <w:pPr>
        <w:pStyle w:val="a"/>
        <w:spacing w:line="269" w:lineRule="auto"/>
        <w:rPr>
          <w:rtl/>
        </w:rPr>
      </w:pPr>
    </w:p>
    <w:p w:rsidR="003D3BEF" w:rsidP="003D3BEF" w14:paraId="00A9A821" w14:textId="77777777">
      <w:pPr>
        <w:spacing w:line="269" w:lineRule="auto"/>
        <w:rPr>
          <w:rtl/>
        </w:rPr>
      </w:pPr>
      <w:r w:rsidRPr="006621CB">
        <w:rPr>
          <w:rtl/>
        </w:rPr>
        <w:t xml:space="preserve">בפברואר 2020 </w:t>
      </w:r>
      <w:r>
        <w:rPr>
          <w:rFonts w:hint="cs"/>
          <w:rtl/>
        </w:rPr>
        <w:t xml:space="preserve">בדק </w:t>
      </w:r>
      <w:r w:rsidRPr="006621CB">
        <w:rPr>
          <w:rtl/>
        </w:rPr>
        <w:t>משרד מבקר המדינ</w:t>
      </w:r>
      <w:r>
        <w:rPr>
          <w:rFonts w:hint="cs"/>
          <w:rtl/>
        </w:rPr>
        <w:t>ה</w:t>
      </w:r>
      <w:r w:rsidRPr="006621CB">
        <w:rPr>
          <w:rtl/>
        </w:rPr>
        <w:t xml:space="preserve"> </w:t>
      </w:r>
      <w:r>
        <w:rPr>
          <w:rtl/>
        </w:rPr>
        <w:t>ב-</w:t>
      </w:r>
      <w:r w:rsidRPr="006621CB">
        <w:rPr>
          <w:rtl/>
        </w:rPr>
        <w:t>20 תאגידים</w:t>
      </w:r>
      <w:r>
        <w:rPr>
          <w:rtl/>
        </w:rPr>
        <w:t xml:space="preserve"> </w:t>
      </w:r>
      <w:r w:rsidRPr="006621CB">
        <w:rPr>
          <w:rtl/>
        </w:rPr>
        <w:t>אם המידע הנוגע לזכאות לתשלום מופחת מופיע בדוח השנתי לתושב לשנת 2018 שפורסם באתר ה</w:t>
      </w:r>
      <w:r>
        <w:rPr>
          <w:rFonts w:hint="cs"/>
          <w:rtl/>
        </w:rPr>
        <w:t>מרשתת</w:t>
      </w:r>
      <w:r w:rsidRPr="006621CB">
        <w:rPr>
          <w:rtl/>
        </w:rPr>
        <w:t xml:space="preserve"> של אותם תאגידים.</w:t>
      </w:r>
      <w:r>
        <w:rPr>
          <w:rFonts w:hint="cs"/>
          <w:rtl/>
        </w:rPr>
        <w:t xml:space="preserve">להלן פילוח התוצאות: </w:t>
      </w:r>
    </w:p>
    <w:p w:rsidR="003D3BEF" w:rsidP="003D3BEF" w14:paraId="07A3AA05" w14:textId="77777777">
      <w:pPr>
        <w:pStyle w:val="a"/>
        <w:spacing w:line="269" w:lineRule="auto"/>
        <w:rPr>
          <w:b/>
          <w:bCs/>
          <w:rtl/>
        </w:rPr>
      </w:pPr>
    </w:p>
    <w:p w:rsidR="003D3BEF" w:rsidP="003D3BEF" w14:paraId="2CBE45DB" w14:textId="77777777">
      <w:pPr>
        <w:spacing w:line="269" w:lineRule="auto"/>
        <w:jc w:val="center"/>
        <w:rPr>
          <w:rtl/>
        </w:rPr>
      </w:pPr>
      <w:r>
        <w:rPr>
          <w:rFonts w:hint="cs"/>
          <w:b/>
          <w:bCs/>
          <w:rtl/>
        </w:rPr>
        <w:t>תרשים 44:</w:t>
      </w:r>
      <w:r w:rsidRPr="00E406C0">
        <w:rPr>
          <w:rFonts w:hint="cs"/>
          <w:b/>
          <w:bCs/>
          <w:rtl/>
        </w:rPr>
        <w:t xml:space="preserve"> </w:t>
      </w:r>
      <w:r w:rsidRPr="001715B4">
        <w:rPr>
          <w:rFonts w:hint="cs"/>
          <w:b/>
          <w:bCs/>
          <w:rtl/>
        </w:rPr>
        <w:t>פרסום המידע</w:t>
      </w:r>
      <w:r>
        <w:rPr>
          <w:rFonts w:hint="cs"/>
          <w:b/>
          <w:bCs/>
          <w:rtl/>
        </w:rPr>
        <w:t xml:space="preserve"> לציבור בנושא </w:t>
      </w:r>
      <w:r w:rsidRPr="001715B4">
        <w:rPr>
          <w:rFonts w:hint="cs"/>
          <w:b/>
          <w:bCs/>
          <w:rtl/>
        </w:rPr>
        <w:t>זכאות לתשלום מופחת</w:t>
      </w:r>
      <w:r>
        <w:rPr>
          <w:rFonts w:hint="cs"/>
          <w:b/>
          <w:bCs/>
          <w:rtl/>
        </w:rPr>
        <w:t>,</w:t>
      </w:r>
      <w:r w:rsidRPr="001715B4">
        <w:rPr>
          <w:rFonts w:hint="cs"/>
          <w:b/>
          <w:bCs/>
          <w:rtl/>
        </w:rPr>
        <w:t xml:space="preserve"> </w:t>
      </w:r>
      <w:r>
        <w:rPr>
          <w:rFonts w:hint="cs"/>
          <w:b/>
          <w:bCs/>
          <w:rtl/>
        </w:rPr>
        <w:t>2018</w:t>
      </w:r>
    </w:p>
    <w:p w:rsidR="003D3BEF" w:rsidP="00061045" w14:paraId="1A8A9ED7" w14:textId="77777777">
      <w:pPr>
        <w:spacing w:before="120" w:after="120" w:line="269" w:lineRule="auto"/>
        <w:jc w:val="center"/>
        <w:rPr>
          <w:rtl/>
        </w:rPr>
      </w:pPr>
      <w:r>
        <w:rPr>
          <w:noProof/>
          <w:rtl/>
        </w:rPr>
        <w:drawing>
          <wp:inline distT="0" distB="0" distL="0" distR="0">
            <wp:extent cx="2764542" cy="2535941"/>
            <wp:effectExtent l="0" t="0" r="0" b="0"/>
            <wp:docPr id="780323284" name="תמונה 7803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9276" name="water-corporations-g-44.png"/>
                    <pic:cNvPicPr/>
                  </pic:nvPicPr>
                  <pic:blipFill>
                    <a:blip xmlns:r="http://schemas.openxmlformats.org/officeDocument/2006/relationships" r:embed="rId5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64542" cy="2535941"/>
                    </a:xfrm>
                    <a:prstGeom prst="rect">
                      <a:avLst/>
                    </a:prstGeom>
                  </pic:spPr>
                </pic:pic>
              </a:graphicData>
            </a:graphic>
          </wp:inline>
        </w:drawing>
      </w:r>
    </w:p>
    <w:p w:rsidR="003D3BEF" w:rsidP="003D3BEF" w14:paraId="52FC69BF" w14:textId="77777777">
      <w:pPr>
        <w:spacing w:line="269" w:lineRule="auto"/>
        <w:jc w:val="center"/>
        <w:rPr>
          <w:sz w:val="22"/>
          <w:szCs w:val="22"/>
          <w:rtl/>
        </w:rPr>
      </w:pPr>
      <w:r w:rsidRPr="00684E93">
        <w:rPr>
          <w:rFonts w:hint="eastAsia"/>
          <w:sz w:val="22"/>
          <w:szCs w:val="22"/>
          <w:rtl/>
        </w:rPr>
        <w:t>על</w:t>
      </w:r>
      <w:r w:rsidRPr="00684E93">
        <w:rPr>
          <w:sz w:val="22"/>
          <w:szCs w:val="22"/>
          <w:rtl/>
        </w:rPr>
        <w:t xml:space="preserve"> פי </w:t>
      </w:r>
      <w:r w:rsidRPr="00684E93">
        <w:rPr>
          <w:rFonts w:hint="cs"/>
          <w:sz w:val="22"/>
          <w:szCs w:val="22"/>
          <w:rtl/>
        </w:rPr>
        <w:t xml:space="preserve">נתוני </w:t>
      </w:r>
      <w:r w:rsidRPr="00684E93">
        <w:rPr>
          <w:rFonts w:hint="eastAsia"/>
          <w:sz w:val="22"/>
          <w:szCs w:val="22"/>
          <w:rtl/>
        </w:rPr>
        <w:t>רשות</w:t>
      </w:r>
      <w:r w:rsidRPr="00684E93">
        <w:rPr>
          <w:sz w:val="22"/>
          <w:szCs w:val="22"/>
          <w:rtl/>
        </w:rPr>
        <w:t xml:space="preserve"> </w:t>
      </w:r>
      <w:r w:rsidRPr="00684E93">
        <w:rPr>
          <w:rFonts w:hint="eastAsia"/>
          <w:sz w:val="22"/>
          <w:szCs w:val="22"/>
          <w:rtl/>
        </w:rPr>
        <w:t>המים</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sidRPr="00684E93">
        <w:rPr>
          <w:sz w:val="22"/>
          <w:szCs w:val="22"/>
          <w:rtl/>
        </w:rPr>
        <w:t>.</w:t>
      </w:r>
    </w:p>
    <w:p w:rsidR="003D3BEF" w:rsidP="003D3BEF" w14:paraId="38719918" w14:textId="77777777">
      <w:pPr>
        <w:pStyle w:val="a"/>
        <w:spacing w:line="269" w:lineRule="auto"/>
        <w:rPr>
          <w:rtl/>
        </w:rPr>
      </w:pPr>
    </w:p>
    <w:p w:rsidR="003D3BEF" w:rsidP="003D3BEF" w14:paraId="790B01A3" w14:textId="77777777">
      <w:pPr>
        <w:spacing w:line="269" w:lineRule="auto"/>
        <w:rPr>
          <w:rtl/>
        </w:rPr>
      </w:pPr>
      <w:r>
        <w:rPr>
          <w:rFonts w:hint="cs"/>
          <w:rtl/>
        </w:rPr>
        <w:t xml:space="preserve">מהאמור לעיל עולה כי למרות החובה המוטלת על כל תאגיד לפרסם מידע כללי לא פרסמו מרבית התאגידים שנבדקו הסבר על הזכאות להטבה. עם זאת, נמצא כי רשות המים מפרסמת באתר המרשתת שלה את התקנות כלשונן ללא מידע מפורט על סוגי הזכאים. </w:t>
      </w:r>
    </w:p>
    <w:p w:rsidR="003D3BEF" w:rsidP="003D3BEF" w14:paraId="364AB4D7" w14:textId="77777777">
      <w:pPr>
        <w:pStyle w:val="a"/>
        <w:spacing w:line="269" w:lineRule="auto"/>
        <w:rPr>
          <w:rtl/>
        </w:rPr>
      </w:pPr>
    </w:p>
    <w:p w:rsidR="003D3BEF" w:rsidP="003D3BEF" w14:paraId="6B0861DD" w14:textId="77777777">
      <w:pPr>
        <w:spacing w:line="269" w:lineRule="auto"/>
        <w:rPr>
          <w:b/>
          <w:bCs/>
          <w:rtl/>
        </w:rPr>
      </w:pPr>
      <w:r w:rsidRPr="00A62859">
        <w:rPr>
          <w:b/>
          <w:bCs/>
          <w:rtl/>
        </w:rPr>
        <w:t xml:space="preserve">על התאגידים להקפיד לכלול מידע </w:t>
      </w:r>
      <w:r>
        <w:rPr>
          <w:rFonts w:hint="cs"/>
          <w:b/>
          <w:bCs/>
          <w:rtl/>
        </w:rPr>
        <w:t>על</w:t>
      </w:r>
      <w:r w:rsidRPr="00A62859">
        <w:rPr>
          <w:b/>
          <w:bCs/>
          <w:rtl/>
        </w:rPr>
        <w:t xml:space="preserve"> הזכאות לתשלום מופחת בדוח השנתי לתושב ולפעול בדרכים נוספות להעברת המידע לאוכלוסיות הזכאיות.</w:t>
      </w:r>
    </w:p>
    <w:p w:rsidR="003D3BEF" w:rsidP="003D3BEF" w14:paraId="3B9F393F" w14:textId="77777777">
      <w:pPr>
        <w:pStyle w:val="a"/>
        <w:spacing w:line="269" w:lineRule="auto"/>
        <w:rPr>
          <w:rtl/>
        </w:rPr>
      </w:pPr>
    </w:p>
    <w:p w:rsidR="003D3BEF" w:rsidRPr="00A543E3" w:rsidP="003D3BEF" w14:paraId="6663F755" w14:textId="77777777">
      <w:pPr>
        <w:pStyle w:val="Heading3"/>
        <w:spacing w:before="0" w:line="269" w:lineRule="auto"/>
        <w:rPr>
          <w:rtl/>
        </w:rPr>
      </w:pPr>
      <w:r w:rsidRPr="004308DE">
        <w:rPr>
          <w:rtl/>
        </w:rPr>
        <w:t>ניתוקי מים</w:t>
      </w:r>
    </w:p>
    <w:p w:rsidR="003D3BEF" w:rsidP="003D3BEF" w14:paraId="241462BB" w14:textId="77777777">
      <w:pPr>
        <w:pStyle w:val="a"/>
        <w:rPr>
          <w:rtl/>
        </w:rPr>
      </w:pPr>
    </w:p>
    <w:p w:rsidR="003D3BEF" w:rsidP="003D3BEF" w14:paraId="3D1C5429" w14:textId="77777777">
      <w:pPr>
        <w:spacing w:line="269" w:lineRule="auto"/>
        <w:rPr>
          <w:rtl/>
        </w:rPr>
      </w:pPr>
      <w:r>
        <w:rPr>
          <w:rFonts w:hint="cs"/>
          <w:rtl/>
        </w:rPr>
        <w:t>ניתוק מים לצרכנים ביתיים הוא צעד קיצוני משום שהוא מונע צריכת מוצר בסיסי וחיוני. ניתוקים אלה פוגעים בעיקר באוכלוסיות חלשות</w:t>
      </w:r>
      <w:r>
        <w:rPr>
          <w:rStyle w:val="FootnoteReference"/>
          <w:rtl/>
        </w:rPr>
        <w:footnoteReference w:id="151"/>
      </w:r>
      <w:r>
        <w:rPr>
          <w:rFonts w:hint="cs"/>
          <w:rtl/>
        </w:rPr>
        <w:t xml:space="preserve">. </w:t>
      </w:r>
    </w:p>
    <w:p w:rsidR="003D3BEF" w:rsidP="003D3BEF" w14:paraId="02D57387" w14:textId="77777777">
      <w:pPr>
        <w:pStyle w:val="a"/>
        <w:spacing w:line="269" w:lineRule="auto"/>
        <w:rPr>
          <w:rtl/>
        </w:rPr>
      </w:pPr>
    </w:p>
    <w:p w:rsidR="003D3BEF" w:rsidP="003D3BEF" w14:paraId="51BDB239" w14:textId="77777777">
      <w:pPr>
        <w:pStyle w:val="ListParagraph"/>
        <w:numPr>
          <w:ilvl w:val="0"/>
          <w:numId w:val="21"/>
        </w:numPr>
        <w:spacing w:line="269" w:lineRule="auto"/>
        <w:ind w:left="312"/>
        <w:rPr>
          <w:rtl/>
        </w:rPr>
      </w:pPr>
      <w:r>
        <w:rPr>
          <w:rFonts w:hint="cs"/>
          <w:rtl/>
        </w:rPr>
        <w:t>הוראת סעיף 146 לחוק התאגידים, כפי שתוקנה כבר בשנת 2006</w:t>
      </w:r>
      <w:r>
        <w:rPr>
          <w:rStyle w:val="FootnoteReference"/>
          <w:rtl/>
        </w:rPr>
        <w:footnoteReference w:id="152"/>
      </w:r>
      <w:r>
        <w:rPr>
          <w:rFonts w:hint="cs"/>
          <w:rtl/>
        </w:rPr>
        <w:t xml:space="preserve">, הסמיכה את </w:t>
      </w:r>
      <w:r>
        <w:rPr>
          <w:rtl/>
        </w:rPr>
        <w:t>מועצת הרשות</w:t>
      </w:r>
      <w:r>
        <w:rPr>
          <w:rFonts w:hint="cs"/>
          <w:rtl/>
        </w:rPr>
        <w:t xml:space="preserve"> לקבוע </w:t>
      </w:r>
      <w:r>
        <w:rPr>
          <w:rtl/>
        </w:rPr>
        <w:t>בכללים את המקרים והתנאים</w:t>
      </w:r>
      <w:r>
        <w:rPr>
          <w:rFonts w:hint="cs"/>
          <w:rtl/>
        </w:rPr>
        <w:t>,</w:t>
      </w:r>
      <w:r>
        <w:rPr>
          <w:rtl/>
        </w:rPr>
        <w:t xml:space="preserve"> שבהם רשאי</w:t>
      </w:r>
      <w:r>
        <w:rPr>
          <w:rFonts w:hint="cs"/>
          <w:rtl/>
        </w:rPr>
        <w:t xml:space="preserve"> תאגיד מים וביוב </w:t>
      </w:r>
      <w:r>
        <w:rPr>
          <w:rtl/>
        </w:rPr>
        <w:t>להפסיק או לצמצם מתן שירותי מים וביוב לצרכן או למקרקעין, לרבות בשל אי</w:t>
      </w:r>
      <w:r>
        <w:rPr>
          <w:rFonts w:hint="cs"/>
          <w:rtl/>
        </w:rPr>
        <w:t>-</w:t>
      </w:r>
      <w:r>
        <w:rPr>
          <w:rtl/>
        </w:rPr>
        <w:t>תשלום תשלומים שדרשה ממנו</w:t>
      </w:r>
      <w:r>
        <w:rPr>
          <w:rStyle w:val="FootnoteReference"/>
          <w:rtl/>
        </w:rPr>
        <w:footnoteReference w:id="153"/>
      </w:r>
      <w:r>
        <w:rPr>
          <w:rtl/>
        </w:rPr>
        <w:t>.</w:t>
      </w:r>
      <w:r>
        <w:rPr>
          <w:rFonts w:hint="cs"/>
          <w:rtl/>
        </w:rPr>
        <w:t xml:space="preserve"> </w:t>
      </w:r>
    </w:p>
    <w:p w:rsidR="003D3BEF" w:rsidP="003D3BEF" w14:paraId="756B06AE" w14:textId="77777777">
      <w:pPr>
        <w:pStyle w:val="a"/>
        <w:spacing w:line="269" w:lineRule="auto"/>
        <w:rPr>
          <w:rtl/>
        </w:rPr>
      </w:pPr>
    </w:p>
    <w:p w:rsidR="003D3BEF" w:rsidP="003D3BEF" w14:paraId="25EC271E" w14:textId="77777777">
      <w:pPr>
        <w:spacing w:line="269" w:lineRule="auto"/>
        <w:ind w:left="312"/>
        <w:rPr>
          <w:rtl/>
        </w:rPr>
      </w:pPr>
      <w:r>
        <w:rPr>
          <w:rFonts w:hint="cs"/>
          <w:rtl/>
        </w:rPr>
        <w:t>אולם רק בשנת 2015, כתשע שנים לאחר שהוסמכה לכך בחוק, איסדרה מועצת רשות המים את הנושא ב</w:t>
      </w:r>
      <w:r w:rsidRPr="000230EE">
        <w:rPr>
          <w:rtl/>
        </w:rPr>
        <w:t xml:space="preserve">כללי תאגידי מים וביוב (ניתוק אספקת מים וביוב), </w:t>
      </w:r>
      <w:r>
        <w:rPr>
          <w:rFonts w:hint="cs"/>
          <w:rtl/>
        </w:rPr>
        <w:t>ה</w:t>
      </w:r>
      <w:r w:rsidRPr="000230EE">
        <w:rPr>
          <w:rtl/>
        </w:rPr>
        <w:t>תשע"ה-2015</w:t>
      </w:r>
      <w:r>
        <w:rPr>
          <w:rFonts w:hint="cs"/>
          <w:rtl/>
        </w:rPr>
        <w:t xml:space="preserve"> (להלן - כללי הניתוקים). </w:t>
      </w:r>
      <w:r>
        <w:rPr>
          <w:rtl/>
        </w:rPr>
        <w:t xml:space="preserve">מטרות </w:t>
      </w:r>
      <w:r>
        <w:rPr>
          <w:rFonts w:hint="cs"/>
          <w:rtl/>
        </w:rPr>
        <w:t>כללי הניתוקים</w:t>
      </w:r>
      <w:r>
        <w:rPr>
          <w:rtl/>
        </w:rPr>
        <w:t xml:space="preserve"> הן בין היתר</w:t>
      </w:r>
      <w:r>
        <w:rPr>
          <w:rFonts w:hint="cs"/>
          <w:rtl/>
        </w:rPr>
        <w:t xml:space="preserve"> "</w:t>
      </w:r>
      <w:r w:rsidRPr="000230EE">
        <w:rPr>
          <w:rtl/>
        </w:rPr>
        <w:t>להבטיח כי צרכן ביתי לא ינותק מאספקת המים בשל אי-תשלום חובו, אלא אם כן אישר זא</w:t>
      </w:r>
      <w:r>
        <w:rPr>
          <w:rtl/>
        </w:rPr>
        <w:t>ת מנהל הרשות, בהתאם לכללים אלה</w:t>
      </w:r>
      <w:r>
        <w:rPr>
          <w:rFonts w:hint="cs"/>
          <w:rtl/>
        </w:rPr>
        <w:t>"</w:t>
      </w:r>
      <w:r>
        <w:rPr>
          <w:rStyle w:val="FootnoteReference"/>
          <w:rtl/>
        </w:rPr>
        <w:footnoteReference w:id="154"/>
      </w:r>
      <w:r>
        <w:rPr>
          <w:rFonts w:hint="cs"/>
          <w:rtl/>
        </w:rPr>
        <w:t>.</w:t>
      </w:r>
      <w:r w:rsidRPr="000230EE">
        <w:rPr>
          <w:rtl/>
        </w:rPr>
        <w:t xml:space="preserve"> </w:t>
      </w:r>
    </w:p>
    <w:p w:rsidR="003D3BEF" w:rsidP="003D3BEF" w14:paraId="6FA55E92" w14:textId="77777777">
      <w:pPr>
        <w:pStyle w:val="a"/>
        <w:spacing w:line="269" w:lineRule="auto"/>
        <w:rPr>
          <w:rtl/>
        </w:rPr>
      </w:pPr>
    </w:p>
    <w:p w:rsidR="003D3BEF" w:rsidP="003D3BEF" w14:paraId="3629FB7B" w14:textId="77777777">
      <w:pPr>
        <w:spacing w:line="269" w:lineRule="auto"/>
        <w:ind w:left="312"/>
        <w:rPr>
          <w:rtl/>
        </w:rPr>
      </w:pPr>
      <w:r>
        <w:rPr>
          <w:rFonts w:hint="cs"/>
          <w:rtl/>
        </w:rPr>
        <w:t>עקב האסדרה כאמור הפך תהליך הניתוק מורכב, מפוקח וארוך יותר באופן משמעותי</w:t>
      </w:r>
      <w:r>
        <w:rPr>
          <w:rStyle w:val="FootnoteReference"/>
          <w:rtl/>
        </w:rPr>
        <w:footnoteReference w:id="155"/>
      </w:r>
      <w:r>
        <w:rPr>
          <w:rFonts w:hint="cs"/>
          <w:rtl/>
        </w:rPr>
        <w:t>. הכללים</w:t>
      </w:r>
      <w:r w:rsidRPr="000230EE">
        <w:rPr>
          <w:rtl/>
        </w:rPr>
        <w:t xml:space="preserve"> </w:t>
      </w:r>
      <w:r>
        <w:rPr>
          <w:rFonts w:hint="cs"/>
          <w:rtl/>
        </w:rPr>
        <w:t xml:space="preserve">קובעים כי ככלל, "צרכן ביתי לא ינותק מאספקת המים בנכסו בשל אי תשלום בעד אספקת מים או שירותי ביוב בנכס". אם, על אף האמור, תאגיד ירצה לנתק צרכן ביתי בשל חוב יהיה עליו לעמוד בתנאים </w:t>
      </w:r>
      <w:r>
        <w:rPr>
          <w:rtl/>
        </w:rPr>
        <w:t>ו</w:t>
      </w:r>
      <w:r>
        <w:rPr>
          <w:rFonts w:hint="cs"/>
          <w:rtl/>
        </w:rPr>
        <w:t>ב</w:t>
      </w:r>
      <w:r>
        <w:rPr>
          <w:rtl/>
        </w:rPr>
        <w:t>פרוצדור</w:t>
      </w:r>
      <w:r>
        <w:rPr>
          <w:rFonts w:hint="cs"/>
          <w:rtl/>
        </w:rPr>
        <w:t>ות, ועליו לקבל אישור לכך מהממונה על תאגידי המים והביוב, לאחר שהממונה יקבל המלצה בעניין מהוועדה המייעצת שהוקמה על פי כללי הניתוקים</w:t>
      </w:r>
      <w:r>
        <w:rPr>
          <w:rStyle w:val="FootnoteReference"/>
          <w:rtl/>
        </w:rPr>
        <w:footnoteReference w:id="156"/>
      </w:r>
      <w:r>
        <w:rPr>
          <w:rFonts w:hint="cs"/>
          <w:rtl/>
        </w:rPr>
        <w:t xml:space="preserve">. </w:t>
      </w:r>
    </w:p>
    <w:p w:rsidR="003D3BEF" w:rsidP="003D3BEF" w14:paraId="03A15BA7" w14:textId="77777777">
      <w:pPr>
        <w:pStyle w:val="a"/>
        <w:spacing w:line="269" w:lineRule="auto"/>
        <w:rPr>
          <w:rtl/>
        </w:rPr>
      </w:pPr>
    </w:p>
    <w:p w:rsidR="003D3BEF" w:rsidP="003D3BEF" w14:paraId="6045D176" w14:textId="77777777">
      <w:pPr>
        <w:spacing w:line="269" w:lineRule="auto"/>
        <w:ind w:left="312"/>
        <w:rPr>
          <w:rtl/>
        </w:rPr>
      </w:pPr>
      <w:r>
        <w:rPr>
          <w:rFonts w:hint="cs"/>
          <w:rtl/>
        </w:rPr>
        <w:t>בעניין התקנת הכללים אמר יו"ר ועדת הכלכלה של הכנסת בפברואר 2015</w:t>
      </w:r>
      <w:r w:rsidRPr="00F13B69">
        <w:rPr>
          <w:rtl/>
        </w:rPr>
        <w:t>: "אני שמח שסוף סוף שמנו קץ לחרפה של ניתוקי המים במדינת ישראל, שפוגעת לרוב באוכלוסיות חלשות כלכלית, שאין ביכולתן לעמוד בתשלומים החודשיים...</w:t>
      </w:r>
      <w:r>
        <w:rPr>
          <w:rFonts w:hint="cs"/>
          <w:rtl/>
        </w:rPr>
        <w:t xml:space="preserve"> </w:t>
      </w:r>
      <w:r w:rsidRPr="00F13B69">
        <w:rPr>
          <w:rtl/>
        </w:rPr>
        <w:t>אינני יכול לחשוב על זכות בסיסית יותר מאשר מים".</w:t>
      </w:r>
    </w:p>
    <w:p w:rsidR="003D3BEF" w:rsidP="003D3BEF" w14:paraId="718173C1" w14:textId="77777777">
      <w:pPr>
        <w:pStyle w:val="a"/>
        <w:spacing w:line="269" w:lineRule="auto"/>
        <w:rPr>
          <w:rtl/>
        </w:rPr>
      </w:pPr>
    </w:p>
    <w:p w:rsidR="003D3BEF" w:rsidP="003D3BEF" w14:paraId="0E42B5CB" w14:textId="77777777">
      <w:pPr>
        <w:spacing w:line="269" w:lineRule="auto"/>
        <w:ind w:left="312"/>
        <w:rPr>
          <w:rtl/>
        </w:rPr>
      </w:pPr>
      <w:r>
        <w:rPr>
          <w:rFonts w:hint="cs"/>
          <w:rtl/>
        </w:rPr>
        <w:t xml:space="preserve">רשות המים מסרה למשרד מבקר המדינה בתשובתה מינואר 2020 כי </w:t>
      </w:r>
      <w:r w:rsidRPr="00AE5D15">
        <w:rPr>
          <w:rtl/>
        </w:rPr>
        <w:t>"הכללים קבעו והגדירו הליכי פניה ותנאי סף מורכבים ליישום - בפועל מרבית תאגידי המים, כהחלטה רוחבית ומוצהרת של מדיניות, נמנעו ממהלך של פניה לוועדה ובחרו שלא לבצע ניתוקי מים באופן גורף"</w:t>
      </w:r>
      <w:r>
        <w:rPr>
          <w:rFonts w:hint="cs"/>
          <w:rtl/>
        </w:rPr>
        <w:t>. עוד מסרה כי האסדרה בכללי הניתוקים "סיימה למעשה את 'עידן הניתוקים'", וכי היקף הפניות לוועדה המייעצת הצטמצם, "ונדמה כי השוק למד 'להסתדר' ללא אמצעי הניתוק כאמצעי גביה".</w:t>
      </w:r>
    </w:p>
    <w:p w:rsidR="003D3BEF" w:rsidP="003D3BEF" w14:paraId="3044D7D5" w14:textId="77777777">
      <w:pPr>
        <w:pStyle w:val="a"/>
        <w:spacing w:line="269" w:lineRule="auto"/>
        <w:rPr>
          <w:rtl/>
        </w:rPr>
      </w:pPr>
    </w:p>
    <w:p w:rsidR="003D3BEF" w:rsidP="008930C4" w14:paraId="5C18CADD" w14:textId="77777777">
      <w:pPr>
        <w:spacing w:line="269" w:lineRule="auto"/>
        <w:ind w:left="312"/>
        <w:rPr>
          <w:rtl/>
        </w:rPr>
      </w:pPr>
      <w:r>
        <w:rPr>
          <w:rFonts w:hint="cs"/>
          <w:rtl/>
        </w:rPr>
        <w:t xml:space="preserve">הרשות הוסיפה </w:t>
      </w:r>
      <w:r>
        <w:rPr>
          <w:rtl/>
        </w:rPr>
        <w:t xml:space="preserve">כי היקפי הפניות המצומצמים לוועדה </w:t>
      </w:r>
      <w:r>
        <w:rPr>
          <w:rFonts w:hint="cs"/>
          <w:rtl/>
        </w:rPr>
        <w:t xml:space="preserve">המייעצת למנהל רשות המים עבור ניתוקי אספקת מים (להלן - הוועדה), </w:t>
      </w:r>
      <w:r>
        <w:rPr>
          <w:rtl/>
        </w:rPr>
        <w:t xml:space="preserve">הביאו לצמצום היקף פעילות הוועדה, </w:t>
      </w:r>
      <w:r>
        <w:rPr>
          <w:rFonts w:hint="cs"/>
          <w:rtl/>
        </w:rPr>
        <w:t>ו</w:t>
      </w:r>
      <w:r>
        <w:rPr>
          <w:rtl/>
        </w:rPr>
        <w:t>בשנת 2019 היא לא התכנסה כלל, וממילא לא אושרו ניתוקי מים לצרכנים.</w:t>
      </w:r>
      <w:r>
        <w:rPr>
          <w:rFonts w:hint="cs"/>
          <w:rtl/>
        </w:rPr>
        <w:t xml:space="preserve"> להלן הנתונים עבור השנים</w:t>
      </w:r>
      <w:r w:rsidR="008930C4">
        <w:rPr>
          <w:rFonts w:hint="cs"/>
          <w:rtl/>
        </w:rPr>
        <w:t xml:space="preserve"> 2017 - 2019:</w:t>
      </w:r>
    </w:p>
    <w:p w:rsidR="003D3BEF" w:rsidP="003D3BEF" w14:paraId="3E2B5AE0" w14:textId="77777777">
      <w:pPr>
        <w:pStyle w:val="a"/>
        <w:spacing w:line="269" w:lineRule="auto"/>
        <w:rPr>
          <w:rtl/>
        </w:rPr>
      </w:pPr>
    </w:p>
    <w:p w:rsidR="003D3BEF" w:rsidP="003D3BEF" w14:paraId="204A0E01" w14:textId="77777777">
      <w:pPr>
        <w:spacing w:line="269" w:lineRule="auto"/>
        <w:ind w:left="312"/>
        <w:rPr>
          <w:rtl/>
        </w:rPr>
      </w:pPr>
      <w:r w:rsidRPr="00B70DE1">
        <w:rPr>
          <w:rtl/>
        </w:rPr>
        <w:t xml:space="preserve">במהלך 2017 </w:t>
      </w:r>
      <w:r>
        <w:rPr>
          <w:rFonts w:hint="cs"/>
          <w:rtl/>
        </w:rPr>
        <w:t>כמעט ש</w:t>
      </w:r>
      <w:r w:rsidRPr="00B70DE1">
        <w:rPr>
          <w:rtl/>
        </w:rPr>
        <w:t xml:space="preserve">לא התכנסה הוועדה ופעילותה חודשה באוגוסט 2017. מתוך 47 הבקשות לניתוק שהוגשו לוועדה בשנת 2017, </w:t>
      </w:r>
      <w:r>
        <w:rPr>
          <w:rFonts w:hint="cs"/>
          <w:rtl/>
        </w:rPr>
        <w:t>החליטה</w:t>
      </w:r>
      <w:r w:rsidRPr="00B70DE1">
        <w:rPr>
          <w:rtl/>
        </w:rPr>
        <w:t xml:space="preserve"> ה</w:t>
      </w:r>
      <w:r>
        <w:rPr>
          <w:rFonts w:hint="cs"/>
          <w:rtl/>
        </w:rPr>
        <w:t>ו</w:t>
      </w:r>
      <w:r w:rsidRPr="00B70DE1">
        <w:rPr>
          <w:rtl/>
        </w:rPr>
        <w:t xml:space="preserve">ועדה להמליץ על ניתוק ב-10 </w:t>
      </w:r>
      <w:r>
        <w:rPr>
          <w:rFonts w:hint="cs"/>
          <w:rtl/>
        </w:rPr>
        <w:t>מה</w:t>
      </w:r>
      <w:r w:rsidRPr="00B70DE1">
        <w:rPr>
          <w:rtl/>
        </w:rPr>
        <w:t>בקשות. במהלך השנים 2018</w:t>
      </w:r>
      <w:r w:rsidRPr="00B70DE1">
        <w:rPr>
          <w:rFonts w:hint="cs"/>
          <w:rtl/>
        </w:rPr>
        <w:t xml:space="preserve"> - 2019</w:t>
      </w:r>
      <w:r w:rsidRPr="00B70DE1">
        <w:rPr>
          <w:rtl/>
        </w:rPr>
        <w:t xml:space="preserve"> </w:t>
      </w:r>
      <w:r>
        <w:rPr>
          <w:rFonts w:hint="cs"/>
          <w:rtl/>
        </w:rPr>
        <w:t xml:space="preserve">הצטמצמו </w:t>
      </w:r>
      <w:r w:rsidRPr="00B70DE1">
        <w:rPr>
          <w:rtl/>
        </w:rPr>
        <w:t xml:space="preserve">היקפי הפניות לוועדה באופן משמעותי </w:t>
      </w:r>
      <w:r>
        <w:rPr>
          <w:rFonts w:hint="cs"/>
          <w:rtl/>
        </w:rPr>
        <w:t>ו</w:t>
      </w:r>
      <w:r w:rsidRPr="00B70DE1">
        <w:rPr>
          <w:rtl/>
        </w:rPr>
        <w:t xml:space="preserve">בתקופה זו </w:t>
      </w:r>
      <w:r>
        <w:rPr>
          <w:rFonts w:hint="cs"/>
          <w:rtl/>
        </w:rPr>
        <w:t xml:space="preserve">אישרה הוועדה </w:t>
      </w:r>
      <w:r w:rsidRPr="00B70DE1">
        <w:rPr>
          <w:rtl/>
        </w:rPr>
        <w:t>ארבעה ניתוקי מים לצרכנים, וזאת כאשר במהלך 2019 לא התכנסה הו</w:t>
      </w:r>
      <w:r w:rsidRPr="00B70DE1">
        <w:rPr>
          <w:rFonts w:hint="cs"/>
          <w:rtl/>
        </w:rPr>
        <w:t>ו</w:t>
      </w:r>
      <w:r w:rsidRPr="00B70DE1">
        <w:rPr>
          <w:rtl/>
        </w:rPr>
        <w:t>עדה כלל.</w:t>
      </w:r>
      <w:r>
        <w:rPr>
          <w:rFonts w:hint="cs"/>
          <w:rtl/>
        </w:rPr>
        <w:t xml:space="preserve"> </w:t>
      </w:r>
    </w:p>
    <w:p w:rsidR="003D3BEF" w:rsidP="003D3BEF" w14:paraId="540812E8" w14:textId="77777777">
      <w:pPr>
        <w:pStyle w:val="a"/>
        <w:spacing w:line="269" w:lineRule="auto"/>
        <w:rPr>
          <w:rtl/>
        </w:rPr>
      </w:pPr>
    </w:p>
    <w:p w:rsidR="003D3BEF" w:rsidP="00061045" w14:paraId="54CA2040" w14:textId="77777777">
      <w:pPr>
        <w:pStyle w:val="ListParagraph"/>
        <w:numPr>
          <w:ilvl w:val="0"/>
          <w:numId w:val="21"/>
        </w:numPr>
        <w:spacing w:line="269" w:lineRule="auto"/>
        <w:ind w:left="312"/>
        <w:rPr>
          <w:rtl/>
        </w:rPr>
      </w:pPr>
      <w:r>
        <w:rPr>
          <w:rFonts w:hint="cs"/>
          <w:rtl/>
        </w:rPr>
        <w:t>משרד מבקר המדינה השווה בין מספר ניתוקי המים לצרכנים ביתיים בתחומם של חמישה תאגידים לפני חקיקת הכללים ולאחריהם.</w:t>
      </w:r>
    </w:p>
    <w:p w:rsidR="003D3BEF" w:rsidP="003D3BEF" w14:paraId="69442C83" w14:textId="77777777">
      <w:pPr>
        <w:spacing w:line="269" w:lineRule="auto"/>
        <w:jc w:val="center"/>
        <w:rPr>
          <w:b/>
          <w:bCs/>
          <w:rtl/>
        </w:rPr>
      </w:pPr>
    </w:p>
    <w:p w:rsidR="003D3BEF" w:rsidP="003D3BEF" w14:paraId="776C81B1" w14:textId="77777777">
      <w:pPr>
        <w:spacing w:line="269" w:lineRule="auto"/>
        <w:jc w:val="center"/>
        <w:rPr>
          <w:b/>
          <w:bCs/>
          <w:rtl/>
        </w:rPr>
      </w:pPr>
      <w:r>
        <w:rPr>
          <w:rFonts w:hint="cs"/>
          <w:b/>
          <w:bCs/>
          <w:rtl/>
        </w:rPr>
        <w:t>תרשים 45:</w:t>
      </w:r>
      <w:r w:rsidRPr="00E406C0">
        <w:rPr>
          <w:rFonts w:hint="cs"/>
          <w:b/>
          <w:bCs/>
          <w:rtl/>
        </w:rPr>
        <w:t xml:space="preserve"> </w:t>
      </w:r>
      <w:r>
        <w:rPr>
          <w:rFonts w:hint="cs"/>
          <w:b/>
          <w:bCs/>
          <w:rtl/>
        </w:rPr>
        <w:t xml:space="preserve">ניתוקי מים לצרכנים ביתיים בתחומי התאגידים שנבדקו </w:t>
      </w:r>
    </w:p>
    <w:p w:rsidR="003D3BEF" w:rsidRPr="007C0767" w:rsidP="00061045" w14:paraId="18B856EB" w14:textId="77777777">
      <w:pPr>
        <w:spacing w:before="120" w:after="120" w:line="269" w:lineRule="auto"/>
        <w:jc w:val="center"/>
        <w:rPr>
          <w:rtl/>
        </w:rPr>
      </w:pPr>
      <w:r>
        <w:rPr>
          <w:noProof/>
          <w:rtl/>
        </w:rPr>
        <w:drawing>
          <wp:inline distT="0" distB="0" distL="0" distR="0">
            <wp:extent cx="4322073" cy="2377445"/>
            <wp:effectExtent l="0" t="0" r="2540" b="3810"/>
            <wp:docPr id="780323286" name="תמונה 78032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91389" name="water-corporations-g-45.png"/>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77445"/>
                    </a:xfrm>
                    <a:prstGeom prst="rect">
                      <a:avLst/>
                    </a:prstGeom>
                  </pic:spPr>
                </pic:pic>
              </a:graphicData>
            </a:graphic>
          </wp:inline>
        </w:drawing>
      </w:r>
    </w:p>
    <w:p w:rsidR="003D3BEF" w:rsidRPr="00684E93" w:rsidP="003D3BEF" w14:paraId="72EB3356" w14:textId="77777777">
      <w:pPr>
        <w:spacing w:line="269" w:lineRule="auto"/>
        <w:jc w:val="center"/>
        <w:rPr>
          <w:sz w:val="22"/>
          <w:szCs w:val="22"/>
          <w:rtl/>
        </w:rPr>
      </w:pPr>
      <w:r w:rsidRPr="00684E93">
        <w:rPr>
          <w:rFonts w:hint="eastAsia"/>
          <w:sz w:val="22"/>
          <w:szCs w:val="22"/>
          <w:rtl/>
        </w:rPr>
        <w:t>על</w:t>
      </w:r>
      <w:r w:rsidRPr="00684E93">
        <w:rPr>
          <w:sz w:val="22"/>
          <w:szCs w:val="22"/>
          <w:rtl/>
        </w:rPr>
        <w:t xml:space="preserve"> </w:t>
      </w:r>
      <w:r w:rsidRPr="00684E93">
        <w:rPr>
          <w:rFonts w:hint="eastAsia"/>
          <w:sz w:val="22"/>
          <w:szCs w:val="22"/>
          <w:rtl/>
        </w:rPr>
        <w:t>פי</w:t>
      </w:r>
      <w:r w:rsidRPr="00684E93">
        <w:rPr>
          <w:sz w:val="22"/>
          <w:szCs w:val="22"/>
          <w:rtl/>
        </w:rPr>
        <w:t xml:space="preserve"> </w:t>
      </w:r>
      <w:r w:rsidRPr="00684E93">
        <w:rPr>
          <w:rFonts w:hint="eastAsia"/>
          <w:sz w:val="22"/>
          <w:szCs w:val="22"/>
          <w:rtl/>
        </w:rPr>
        <w:t>נתוני</w:t>
      </w:r>
      <w:r w:rsidRPr="00684E93">
        <w:rPr>
          <w:sz w:val="22"/>
          <w:szCs w:val="22"/>
          <w:rtl/>
        </w:rPr>
        <w:t xml:space="preserve"> </w:t>
      </w:r>
      <w:r w:rsidRPr="00684E93">
        <w:rPr>
          <w:rFonts w:hint="eastAsia"/>
          <w:sz w:val="22"/>
          <w:szCs w:val="22"/>
          <w:rtl/>
        </w:rPr>
        <w:t>התאגידים</w:t>
      </w:r>
      <w:r w:rsidRPr="00684E93">
        <w:rPr>
          <w:rFonts w:hint="cs"/>
          <w:sz w:val="22"/>
          <w:szCs w:val="22"/>
          <w:rtl/>
        </w:rPr>
        <w:t xml:space="preserve"> שנבדקו</w:t>
      </w:r>
      <w:r w:rsidRPr="00684E93">
        <w:rPr>
          <w:sz w:val="22"/>
          <w:szCs w:val="22"/>
          <w:rtl/>
        </w:rPr>
        <w:t xml:space="preserve">, </w:t>
      </w:r>
      <w:r w:rsidRPr="00684E93">
        <w:rPr>
          <w:rFonts w:hint="eastAsia"/>
          <w:sz w:val="22"/>
          <w:szCs w:val="22"/>
          <w:rtl/>
        </w:rPr>
        <w:t>בעיבוד</w:t>
      </w:r>
      <w:r w:rsidRPr="00684E93">
        <w:rPr>
          <w:sz w:val="22"/>
          <w:szCs w:val="22"/>
          <w:rtl/>
        </w:rPr>
        <w:t xml:space="preserve"> </w:t>
      </w:r>
      <w:r w:rsidRPr="00684E93">
        <w:rPr>
          <w:rFonts w:hint="eastAsia"/>
          <w:sz w:val="22"/>
          <w:szCs w:val="22"/>
          <w:rtl/>
        </w:rPr>
        <w:t>משרד</w:t>
      </w:r>
      <w:r w:rsidRPr="00684E93">
        <w:rPr>
          <w:sz w:val="22"/>
          <w:szCs w:val="22"/>
          <w:rtl/>
        </w:rPr>
        <w:t xml:space="preserve"> </w:t>
      </w:r>
      <w:r w:rsidRPr="00684E93">
        <w:rPr>
          <w:rFonts w:hint="eastAsia"/>
          <w:sz w:val="22"/>
          <w:szCs w:val="22"/>
          <w:rtl/>
        </w:rPr>
        <w:t>מבקר</w:t>
      </w:r>
      <w:r w:rsidRPr="00684E93">
        <w:rPr>
          <w:sz w:val="22"/>
          <w:szCs w:val="22"/>
          <w:rtl/>
        </w:rPr>
        <w:t xml:space="preserve"> </w:t>
      </w:r>
      <w:r w:rsidRPr="00684E93">
        <w:rPr>
          <w:rFonts w:hint="eastAsia"/>
          <w:sz w:val="22"/>
          <w:szCs w:val="22"/>
          <w:rtl/>
        </w:rPr>
        <w:t>המדינה</w:t>
      </w:r>
      <w:r>
        <w:rPr>
          <w:rStyle w:val="FootnoteReference"/>
          <w:sz w:val="22"/>
          <w:szCs w:val="22"/>
          <w:rtl/>
        </w:rPr>
        <w:footnoteReference w:id="157"/>
      </w:r>
      <w:r w:rsidRPr="00684E93">
        <w:rPr>
          <w:sz w:val="22"/>
          <w:szCs w:val="22"/>
          <w:rtl/>
        </w:rPr>
        <w:t>.</w:t>
      </w:r>
    </w:p>
    <w:p w:rsidR="003D3BEF" w:rsidRPr="00A07561" w:rsidP="003D3BEF" w14:paraId="441D4C66" w14:textId="77777777">
      <w:pPr>
        <w:pStyle w:val="a"/>
        <w:spacing w:line="269" w:lineRule="auto"/>
        <w:rPr>
          <w:rtl/>
        </w:rPr>
      </w:pPr>
    </w:p>
    <w:p w:rsidR="003D3BEF" w:rsidP="003D3BEF" w14:paraId="3308BD19" w14:textId="77777777">
      <w:pPr>
        <w:spacing w:line="269" w:lineRule="auto"/>
        <w:ind w:left="312"/>
        <w:rPr>
          <w:rtl/>
        </w:rPr>
      </w:pPr>
      <w:r>
        <w:rPr>
          <w:rFonts w:hint="cs"/>
          <w:rtl/>
        </w:rPr>
        <w:t>מהתרשים עולה</w:t>
      </w:r>
      <w:r w:rsidRPr="008C4E6B">
        <w:rPr>
          <w:rFonts w:hint="cs"/>
          <w:rtl/>
        </w:rPr>
        <w:t xml:space="preserve"> כי כמות הניתוקים ירדה באופן דרסטי עד כדי צמצום מוחלט בתאגידים אלה. ניתן לראות </w:t>
      </w:r>
      <w:r>
        <w:rPr>
          <w:rFonts w:hint="cs"/>
          <w:rtl/>
        </w:rPr>
        <w:t xml:space="preserve">כי </w:t>
      </w:r>
      <w:r w:rsidRPr="008C4E6B">
        <w:rPr>
          <w:rFonts w:hint="cs"/>
          <w:rtl/>
        </w:rPr>
        <w:t>בח</w:t>
      </w:r>
      <w:r>
        <w:rPr>
          <w:rFonts w:hint="cs"/>
          <w:rtl/>
        </w:rPr>
        <w:t>לק</w:t>
      </w:r>
      <w:r w:rsidRPr="008C4E6B">
        <w:rPr>
          <w:rFonts w:hint="cs"/>
          <w:rtl/>
        </w:rPr>
        <w:t xml:space="preserve"> </w:t>
      </w:r>
      <w:r>
        <w:rPr>
          <w:rFonts w:hint="cs"/>
          <w:rtl/>
        </w:rPr>
        <w:t>מ</w:t>
      </w:r>
      <w:r w:rsidRPr="008C4E6B">
        <w:rPr>
          <w:rFonts w:hint="cs"/>
          <w:rtl/>
        </w:rPr>
        <w:t>התאגידים</w:t>
      </w:r>
      <w:r>
        <w:rPr>
          <w:rFonts w:hint="cs"/>
          <w:rtl/>
        </w:rPr>
        <w:t xml:space="preserve"> שנבדקו</w:t>
      </w:r>
      <w:r w:rsidRPr="008C4E6B">
        <w:rPr>
          <w:rFonts w:hint="cs"/>
          <w:rtl/>
        </w:rPr>
        <w:t xml:space="preserve"> </w:t>
      </w:r>
      <w:r>
        <w:rPr>
          <w:rFonts w:hint="cs"/>
          <w:rtl/>
        </w:rPr>
        <w:t xml:space="preserve">בוצעו </w:t>
      </w:r>
      <w:r w:rsidRPr="008C4E6B">
        <w:rPr>
          <w:rFonts w:hint="cs"/>
          <w:rtl/>
        </w:rPr>
        <w:t>בשנים 2011-2014 מאות ניתוקים</w:t>
      </w:r>
      <w:r>
        <w:rPr>
          <w:rFonts w:hint="cs"/>
          <w:rtl/>
        </w:rPr>
        <w:t>, ואף אלפי ניתוקים,</w:t>
      </w:r>
      <w:r w:rsidRPr="008C4E6B">
        <w:rPr>
          <w:rFonts w:hint="cs"/>
          <w:rtl/>
        </w:rPr>
        <w:t xml:space="preserve"> לצרכנים ביתיים שלא שילמו את חובם, לעומת השנים 2015</w:t>
      </w:r>
      <w:r>
        <w:rPr>
          <w:rFonts w:hint="cs"/>
          <w:rtl/>
        </w:rPr>
        <w:t xml:space="preserve"> - </w:t>
      </w:r>
      <w:r w:rsidRPr="008C4E6B">
        <w:rPr>
          <w:rFonts w:hint="cs"/>
          <w:rtl/>
        </w:rPr>
        <w:t>2018</w:t>
      </w:r>
      <w:r>
        <w:rPr>
          <w:rFonts w:hint="cs"/>
          <w:rtl/>
        </w:rPr>
        <w:t>,</w:t>
      </w:r>
      <w:r w:rsidRPr="008C4E6B">
        <w:rPr>
          <w:rFonts w:hint="cs"/>
          <w:rtl/>
        </w:rPr>
        <w:t xml:space="preserve"> </w:t>
      </w:r>
      <w:r>
        <w:rPr>
          <w:rFonts w:hint="cs"/>
          <w:rtl/>
        </w:rPr>
        <w:t xml:space="preserve">דהיינו </w:t>
      </w:r>
      <w:r w:rsidRPr="008C4E6B">
        <w:rPr>
          <w:rFonts w:hint="cs"/>
          <w:rtl/>
        </w:rPr>
        <w:t xml:space="preserve">לאחר התקנת כללי הניתוקים, </w:t>
      </w:r>
      <w:r>
        <w:rPr>
          <w:rFonts w:hint="cs"/>
          <w:rtl/>
        </w:rPr>
        <w:t>ש</w:t>
      </w:r>
      <w:r w:rsidRPr="008C4E6B">
        <w:rPr>
          <w:rFonts w:hint="cs"/>
          <w:rtl/>
        </w:rPr>
        <w:t xml:space="preserve">בהן </w:t>
      </w:r>
      <w:r>
        <w:rPr>
          <w:rFonts w:hint="cs"/>
          <w:rtl/>
        </w:rPr>
        <w:t xml:space="preserve">כלל </w:t>
      </w:r>
      <w:r w:rsidRPr="008C4E6B">
        <w:rPr>
          <w:rFonts w:hint="cs"/>
          <w:rtl/>
        </w:rPr>
        <w:t xml:space="preserve">לא בוצעו ניתוקים. </w:t>
      </w:r>
    </w:p>
    <w:p w:rsidR="003D3BEF" w:rsidP="003D3BEF" w14:paraId="714B2BF7" w14:textId="77777777">
      <w:pPr>
        <w:pStyle w:val="a"/>
        <w:spacing w:line="269" w:lineRule="auto"/>
        <w:rPr>
          <w:rtl/>
        </w:rPr>
      </w:pPr>
    </w:p>
    <w:p w:rsidR="003D3BEF" w:rsidP="003D3BEF" w14:paraId="6BE2924C" w14:textId="77777777">
      <w:pPr>
        <w:spacing w:line="269" w:lineRule="auto"/>
        <w:ind w:left="84"/>
        <w:rPr>
          <w:szCs w:val="20"/>
          <w:rtl/>
        </w:rPr>
      </w:pPr>
      <w:r>
        <w:rPr>
          <w:rFonts w:hint="cs"/>
          <w:b/>
          <w:bCs/>
          <w:rtl/>
        </w:rPr>
        <w:t>משרד מבקר המדינה מציין לחיוב כי הכללים שקבעה הרשות בשנת 2015 הביאו להפחתה משמעותית, עד כדי ביטול הצורך בניתוקים ובכך תרמו לשמירה על זכויות בסיסיות של כלל צרכני המים.</w:t>
      </w:r>
    </w:p>
    <w:p w:rsidR="003D3BEF" w:rsidP="003D3BEF" w14:paraId="6E135947" w14:textId="77777777">
      <w:pPr>
        <w:pStyle w:val="a"/>
        <w:spacing w:line="269" w:lineRule="auto"/>
        <w:rPr>
          <w:rtl/>
        </w:rPr>
      </w:pPr>
    </w:p>
    <w:p w:rsidR="003D3BEF" w:rsidRPr="0001532E" w:rsidP="003D3BEF" w14:paraId="7754F9BE" w14:textId="77777777">
      <w:pPr>
        <w:pStyle w:val="Heading3"/>
        <w:spacing w:before="0" w:line="269" w:lineRule="auto"/>
        <w:rPr>
          <w:rtl/>
        </w:rPr>
      </w:pPr>
      <w:bookmarkStart w:id="12" w:name="_Toc47260082"/>
      <w:r w:rsidRPr="0001532E">
        <w:rPr>
          <w:rFonts w:hint="eastAsia"/>
          <w:rtl/>
        </w:rPr>
        <w:t>סיכום</w:t>
      </w:r>
      <w:bookmarkEnd w:id="12"/>
    </w:p>
    <w:p w:rsidR="003D3BEF" w:rsidP="003D3BEF" w14:paraId="11FDDF18" w14:textId="77777777">
      <w:pPr>
        <w:pStyle w:val="a"/>
        <w:rPr>
          <w:rtl/>
        </w:rPr>
      </w:pPr>
    </w:p>
    <w:p w:rsidR="003D3BEF" w:rsidP="003D3BEF" w14:paraId="536452F1" w14:textId="77777777">
      <w:pPr>
        <w:spacing w:line="269" w:lineRule="auto"/>
        <w:rPr>
          <w:b/>
          <w:bCs/>
          <w:rtl/>
        </w:rPr>
      </w:pPr>
      <w:r w:rsidRPr="002E22C7">
        <w:rPr>
          <w:rFonts w:hint="cs"/>
          <w:b/>
          <w:bCs/>
          <w:rtl/>
        </w:rPr>
        <w:t>רפורמת התאגידים שבמ</w:t>
      </w:r>
      <w:r>
        <w:rPr>
          <w:rFonts w:hint="cs"/>
          <w:b/>
          <w:bCs/>
          <w:rtl/>
        </w:rPr>
        <w:t>סגרתה</w:t>
      </w:r>
      <w:r w:rsidRPr="002E22C7">
        <w:rPr>
          <w:rFonts w:hint="cs"/>
          <w:b/>
          <w:bCs/>
          <w:rtl/>
        </w:rPr>
        <w:t xml:space="preserve"> ניהול משק המים והביוב הועבר לידי </w:t>
      </w:r>
      <w:r>
        <w:rPr>
          <w:rFonts w:hint="cs"/>
          <w:b/>
          <w:bCs/>
          <w:rtl/>
        </w:rPr>
        <w:t>ה</w:t>
      </w:r>
      <w:r w:rsidRPr="002E22C7">
        <w:rPr>
          <w:rFonts w:hint="cs"/>
          <w:b/>
          <w:bCs/>
          <w:rtl/>
        </w:rPr>
        <w:t>תאגידים, שמה לה למטרה</w:t>
      </w:r>
      <w:r>
        <w:rPr>
          <w:rFonts w:hint="cs"/>
          <w:b/>
          <w:bCs/>
          <w:rtl/>
        </w:rPr>
        <w:t xml:space="preserve"> בין היתר</w:t>
      </w:r>
      <w:r w:rsidRPr="002E22C7">
        <w:rPr>
          <w:rFonts w:hint="cs"/>
          <w:b/>
          <w:bCs/>
          <w:rtl/>
        </w:rPr>
        <w:t xml:space="preserve"> להבטיח רמת שירות נאותה וניהול עסקי ומקצועי בתחום זה, ולהבטיח ייעוד</w:t>
      </w:r>
      <w:r>
        <w:rPr>
          <w:rFonts w:hint="cs"/>
          <w:b/>
          <w:bCs/>
          <w:rtl/>
        </w:rPr>
        <w:t>ן</w:t>
      </w:r>
      <w:r w:rsidRPr="002E22C7">
        <w:rPr>
          <w:rFonts w:hint="cs"/>
          <w:b/>
          <w:bCs/>
          <w:rtl/>
        </w:rPr>
        <w:t xml:space="preserve"> של ההכנסות ממתן שירותים אל</w:t>
      </w:r>
      <w:r>
        <w:rPr>
          <w:rFonts w:hint="cs"/>
          <w:b/>
          <w:bCs/>
          <w:rtl/>
        </w:rPr>
        <w:t>ה</w:t>
      </w:r>
      <w:r w:rsidRPr="002E22C7">
        <w:rPr>
          <w:rFonts w:hint="cs"/>
          <w:b/>
          <w:bCs/>
          <w:rtl/>
        </w:rPr>
        <w:t xml:space="preserve"> להשקעות</w:t>
      </w:r>
      <w:r>
        <w:rPr>
          <w:rFonts w:hint="cs"/>
          <w:b/>
          <w:bCs/>
          <w:rtl/>
        </w:rPr>
        <w:t xml:space="preserve"> בתחום תשתיות המים והביוב</w:t>
      </w:r>
      <w:r w:rsidRPr="002E22C7">
        <w:rPr>
          <w:rFonts w:hint="cs"/>
          <w:b/>
          <w:bCs/>
          <w:rtl/>
        </w:rPr>
        <w:t>. רוב הרשויות המקומיות</w:t>
      </w:r>
      <w:r>
        <w:rPr>
          <w:rFonts w:hint="cs"/>
          <w:b/>
          <w:bCs/>
          <w:rtl/>
        </w:rPr>
        <w:t xml:space="preserve"> החייבות בתיאגוד</w:t>
      </w:r>
      <w:r w:rsidRPr="002E22C7">
        <w:rPr>
          <w:rFonts w:hint="cs"/>
          <w:b/>
          <w:bCs/>
          <w:rtl/>
        </w:rPr>
        <w:t xml:space="preserve"> העבירו את ניהול משק המים לידי תאגידים</w:t>
      </w:r>
      <w:r>
        <w:rPr>
          <w:rFonts w:hint="cs"/>
          <w:b/>
          <w:bCs/>
          <w:rtl/>
        </w:rPr>
        <w:t>, אך 24 רשויות מקומיות החייבות בתיאגוד טרם תואגדו</w:t>
      </w:r>
      <w:r w:rsidRPr="002E22C7">
        <w:rPr>
          <w:rFonts w:hint="cs"/>
          <w:b/>
          <w:bCs/>
          <w:rtl/>
        </w:rPr>
        <w:t xml:space="preserve">. </w:t>
      </w:r>
    </w:p>
    <w:p w:rsidR="003D3BEF" w:rsidP="003D3BEF" w14:paraId="4ACEBC5F" w14:textId="77777777">
      <w:pPr>
        <w:pStyle w:val="a"/>
        <w:spacing w:line="269" w:lineRule="auto"/>
        <w:rPr>
          <w:rtl/>
        </w:rPr>
      </w:pPr>
    </w:p>
    <w:p w:rsidR="003D3BEF" w:rsidP="003D3BEF" w14:paraId="781D53A9" w14:textId="77777777">
      <w:pPr>
        <w:spacing w:line="269" w:lineRule="auto"/>
        <w:rPr>
          <w:b/>
          <w:bCs/>
          <w:rtl/>
        </w:rPr>
      </w:pPr>
      <w:r>
        <w:rPr>
          <w:rFonts w:hint="cs"/>
          <w:b/>
          <w:bCs/>
          <w:rtl/>
        </w:rPr>
        <w:t>ממצאי דוח זה מלמדים כי אף שהרפורמה השיגה חלק מיעדיה, כך</w:t>
      </w:r>
      <w:r w:rsidRPr="002E22C7">
        <w:rPr>
          <w:rFonts w:hint="cs"/>
          <w:b/>
          <w:bCs/>
          <w:rtl/>
        </w:rPr>
        <w:t xml:space="preserve"> משנת 2011 </w:t>
      </w:r>
      <w:r>
        <w:rPr>
          <w:rFonts w:hint="cs"/>
          <w:b/>
          <w:bCs/>
          <w:rtl/>
        </w:rPr>
        <w:t xml:space="preserve">עד </w:t>
      </w:r>
      <w:r w:rsidRPr="002E22C7">
        <w:rPr>
          <w:rFonts w:hint="cs"/>
          <w:b/>
          <w:bCs/>
          <w:rtl/>
        </w:rPr>
        <w:t>2018 חל שיפור בממוצע המדדים שנבחנו בתאגידים בתחומי רווחיות, פחת מים, השקעות, פחת גבי</w:t>
      </w:r>
      <w:r>
        <w:rPr>
          <w:rFonts w:hint="cs"/>
          <w:b/>
          <w:bCs/>
          <w:rtl/>
        </w:rPr>
        <w:t>י</w:t>
      </w:r>
      <w:r w:rsidRPr="002E22C7">
        <w:rPr>
          <w:rFonts w:hint="cs"/>
          <w:b/>
          <w:bCs/>
          <w:rtl/>
        </w:rPr>
        <w:t>ה ועמידה בנורמות התפעול שקבעה רשות</w:t>
      </w:r>
      <w:r>
        <w:rPr>
          <w:rFonts w:hint="cs"/>
          <w:b/>
          <w:bCs/>
          <w:rtl/>
        </w:rPr>
        <w:t xml:space="preserve"> המים</w:t>
      </w:r>
      <w:r w:rsidRPr="002E22C7">
        <w:rPr>
          <w:rFonts w:hint="cs"/>
          <w:b/>
          <w:bCs/>
          <w:rtl/>
        </w:rPr>
        <w:t>.</w:t>
      </w:r>
      <w:r>
        <w:rPr>
          <w:rFonts w:hint="cs"/>
          <w:b/>
          <w:bCs/>
          <w:rtl/>
        </w:rPr>
        <w:t xml:space="preserve"> </w:t>
      </w:r>
      <w:r w:rsidRPr="002E22C7">
        <w:rPr>
          <w:rFonts w:hint="cs"/>
          <w:b/>
          <w:bCs/>
          <w:rtl/>
        </w:rPr>
        <w:t xml:space="preserve">עם זאת, </w:t>
      </w:r>
      <w:r>
        <w:rPr>
          <w:rFonts w:hint="cs"/>
          <w:b/>
          <w:bCs/>
          <w:rtl/>
        </w:rPr>
        <w:t xml:space="preserve">יעדים אחרים </w:t>
      </w:r>
      <w:r w:rsidRPr="00A07561">
        <w:rPr>
          <w:rFonts w:hint="cs"/>
          <w:b/>
          <w:bCs/>
          <w:rtl/>
        </w:rPr>
        <w:t xml:space="preserve">טרם הושגו. כך, בשנת 2018 ממוצעי פחת המים ופחת הגבייה של התאגידים עדיין חורגים מהנורמה. בשנת 2018 </w:t>
      </w:r>
      <w:r w:rsidRPr="00A07561">
        <w:rPr>
          <w:rFonts w:hint="eastAsia"/>
          <w:b/>
          <w:bCs/>
          <w:rtl/>
        </w:rPr>
        <w:t>הפער</w:t>
      </w:r>
      <w:r>
        <w:rPr>
          <w:rFonts w:hint="cs"/>
          <w:b/>
          <w:bCs/>
          <w:rtl/>
        </w:rPr>
        <w:t xml:space="preserve"> </w:t>
      </w:r>
      <w:r w:rsidRPr="00A07561">
        <w:rPr>
          <w:rFonts w:hint="cs"/>
          <w:b/>
          <w:bCs/>
          <w:rtl/>
        </w:rPr>
        <w:t>בפחת המים מסתכם בכ-69 מיליון ש"ח והחיובים שטרם נגבו לשנים 2018-2016 מסתכמים בכ-676 מיליוני ש"ח. נוסף על כך,</w:t>
      </w:r>
      <w:r>
        <w:rPr>
          <w:rFonts w:hint="cs"/>
          <w:b/>
          <w:bCs/>
          <w:rtl/>
        </w:rPr>
        <w:t xml:space="preserve"> </w:t>
      </w:r>
      <w:r w:rsidRPr="00A07561">
        <w:rPr>
          <w:rFonts w:hint="cs"/>
          <w:b/>
          <w:bCs/>
          <w:rtl/>
        </w:rPr>
        <w:t>נמצאו פערים משמעותיים בין התאגידים החלשים המשרתים את אוכלוסיית המיעוטים, המשתייכים לקבוצת התאגידים הזכאים, לבין יתר התאגידים. פערים</w:t>
      </w:r>
      <w:r>
        <w:rPr>
          <w:rFonts w:hint="cs"/>
          <w:b/>
          <w:bCs/>
          <w:rtl/>
        </w:rPr>
        <w:t xml:space="preserve"> אלה</w:t>
      </w:r>
      <w:r w:rsidRPr="002E22C7">
        <w:rPr>
          <w:rFonts w:hint="cs"/>
          <w:b/>
          <w:bCs/>
          <w:rtl/>
        </w:rPr>
        <w:t xml:space="preserve"> </w:t>
      </w:r>
      <w:r>
        <w:rPr>
          <w:rFonts w:hint="cs"/>
          <w:b/>
          <w:bCs/>
          <w:rtl/>
        </w:rPr>
        <w:t>קיימים</w:t>
      </w:r>
      <w:r w:rsidRPr="002E22C7">
        <w:rPr>
          <w:rFonts w:hint="cs"/>
          <w:b/>
          <w:bCs/>
          <w:rtl/>
        </w:rPr>
        <w:t xml:space="preserve"> בכל היבטי ה</w:t>
      </w:r>
      <w:r>
        <w:rPr>
          <w:rFonts w:hint="cs"/>
          <w:b/>
          <w:bCs/>
          <w:rtl/>
        </w:rPr>
        <w:t>פעילות וה</w:t>
      </w:r>
      <w:r w:rsidRPr="002E22C7">
        <w:rPr>
          <w:rFonts w:hint="cs"/>
          <w:b/>
          <w:bCs/>
          <w:rtl/>
        </w:rPr>
        <w:t>תפקוד: רווחיות, איתנות פיננסית, פחת מים, השקעות ופחת גבי</w:t>
      </w:r>
      <w:r>
        <w:rPr>
          <w:rFonts w:hint="cs"/>
          <w:b/>
          <w:bCs/>
          <w:rtl/>
        </w:rPr>
        <w:t>י</w:t>
      </w:r>
      <w:r w:rsidRPr="002E22C7">
        <w:rPr>
          <w:rFonts w:hint="cs"/>
          <w:b/>
          <w:bCs/>
          <w:rtl/>
        </w:rPr>
        <w:t>ה.</w:t>
      </w:r>
    </w:p>
    <w:p w:rsidR="003D3BEF" w:rsidP="003D3BEF" w14:paraId="181F81B8" w14:textId="77777777">
      <w:pPr>
        <w:pStyle w:val="a"/>
        <w:spacing w:line="269" w:lineRule="auto"/>
        <w:rPr>
          <w:rtl/>
        </w:rPr>
      </w:pPr>
    </w:p>
    <w:p w:rsidR="003D3BEF" w:rsidP="00061045" w14:paraId="0BC0251F" w14:textId="77777777">
      <w:pPr>
        <w:spacing w:line="269" w:lineRule="auto"/>
        <w:rPr>
          <w:b/>
          <w:bCs/>
          <w:sz w:val="24"/>
          <w:rtl/>
        </w:rPr>
      </w:pPr>
      <w:r w:rsidRPr="003E6BF6">
        <w:rPr>
          <w:rFonts w:hint="cs"/>
          <w:b/>
          <w:bCs/>
          <w:sz w:val="24"/>
          <w:rtl/>
        </w:rPr>
        <w:t xml:space="preserve">אף </w:t>
      </w:r>
      <w:r>
        <w:rPr>
          <w:rFonts w:hint="cs"/>
          <w:b/>
          <w:bCs/>
          <w:sz w:val="24"/>
          <w:rtl/>
        </w:rPr>
        <w:t>שהתאגידים הזכאים קיבלו "סל סיוע" באמצעות סבסוד צולב בתעריף ומענקים, וזאת על מנת ש</w:t>
      </w:r>
      <w:r w:rsidRPr="003E6BF6">
        <w:rPr>
          <w:rFonts w:hint="cs"/>
          <w:b/>
          <w:bCs/>
          <w:sz w:val="24"/>
          <w:rtl/>
        </w:rPr>
        <w:t>יוכלו</w:t>
      </w:r>
      <w:r>
        <w:rPr>
          <w:rFonts w:hint="cs"/>
          <w:b/>
          <w:bCs/>
          <w:sz w:val="24"/>
          <w:rtl/>
        </w:rPr>
        <w:t xml:space="preserve"> להמשיך ולהתקיים בכוחות עצמם</w:t>
      </w:r>
      <w:r w:rsidRPr="003E6BF6">
        <w:rPr>
          <w:rFonts w:hint="cs"/>
          <w:b/>
          <w:bCs/>
          <w:sz w:val="24"/>
          <w:rtl/>
        </w:rPr>
        <w:t xml:space="preserve"> ולעמוד בנורמות</w:t>
      </w:r>
      <w:r>
        <w:rPr>
          <w:rFonts w:hint="cs"/>
          <w:b/>
          <w:bCs/>
          <w:sz w:val="24"/>
          <w:rtl/>
        </w:rPr>
        <w:t xml:space="preserve"> שקבעה רשות המים, נכון לשנת 2018</w:t>
      </w:r>
      <w:r w:rsidRPr="003E6BF6">
        <w:rPr>
          <w:rFonts w:hint="cs"/>
          <w:b/>
          <w:bCs/>
          <w:sz w:val="24"/>
          <w:rtl/>
        </w:rPr>
        <w:t xml:space="preserve"> </w:t>
      </w:r>
      <w:r>
        <w:rPr>
          <w:rFonts w:hint="cs"/>
          <w:b/>
          <w:bCs/>
          <w:sz w:val="24"/>
          <w:rtl/>
        </w:rPr>
        <w:t>מטרה זו לא הושגה; עד שלא יטופלו הערכים הקיצוניים של פחת המים ופחת הגבייה בתאגידים אלה, אין בכוחו של סל הסיוע הכספי לבדו כדי לפתור את בעיותיהם ולהביאם לעצמאות כלכלית.</w:t>
      </w:r>
    </w:p>
    <w:p w:rsidR="003D3BEF" w:rsidP="003D3BEF" w14:paraId="655CCF5B" w14:textId="77777777">
      <w:pPr>
        <w:pStyle w:val="a"/>
        <w:spacing w:line="269" w:lineRule="auto"/>
        <w:rPr>
          <w:rtl/>
        </w:rPr>
      </w:pPr>
    </w:p>
    <w:p w:rsidR="003D3BEF" w:rsidP="003D3BEF" w14:paraId="348BBFA2" w14:textId="77777777">
      <w:pPr>
        <w:spacing w:line="269" w:lineRule="auto"/>
        <w:rPr>
          <w:b/>
          <w:bCs/>
          <w:sz w:val="24"/>
          <w:rtl/>
        </w:rPr>
      </w:pPr>
      <w:r>
        <w:rPr>
          <w:rFonts w:hint="cs"/>
          <w:b/>
          <w:bCs/>
          <w:sz w:val="24"/>
          <w:rtl/>
        </w:rPr>
        <w:t>מן הראוי כי משרדי האוצר והאנרגיה ורשות המים ישתפו פעולה ביניהם כדי למצוא פתרון לקשיים בהתמודדות עם הסוגיות הייחודיות לתאגידים החלשים על מנת לחתור לפתרון מערכתי שייתן מענה על תמהיל הבעיות המאפיינות תאגידים אלה.</w:t>
      </w:r>
      <w:r w:rsidRPr="00422F13">
        <w:rPr>
          <w:rFonts w:hint="cs"/>
          <w:b/>
          <w:bCs/>
          <w:sz w:val="24"/>
          <w:rtl/>
        </w:rPr>
        <w:t xml:space="preserve"> </w:t>
      </w:r>
    </w:p>
    <w:p w:rsidR="003D3BEF" w:rsidP="003D3BEF" w14:paraId="70438111" w14:textId="77777777">
      <w:pPr>
        <w:pStyle w:val="a"/>
        <w:spacing w:line="269" w:lineRule="auto"/>
        <w:rPr>
          <w:rtl/>
        </w:rPr>
      </w:pPr>
    </w:p>
    <w:p w:rsidR="003D3BEF" w:rsidP="003D3BEF" w14:paraId="68BB537F" w14:textId="77777777">
      <w:pPr>
        <w:spacing w:line="269" w:lineRule="auto"/>
        <w:rPr>
          <w:b/>
          <w:bCs/>
          <w:sz w:val="24"/>
          <w:rtl/>
        </w:rPr>
      </w:pPr>
      <w:r>
        <w:rPr>
          <w:rFonts w:hint="cs"/>
          <w:b/>
          <w:bCs/>
          <w:rtl/>
        </w:rPr>
        <w:t>תקציב הסיוע לאוכלוסיות חלשות אינו מנוצל במלואו.</w:t>
      </w:r>
      <w:r w:rsidRPr="00A239D2">
        <w:rPr>
          <w:rFonts w:hint="cs"/>
          <w:b/>
          <w:bCs/>
          <w:rtl/>
        </w:rPr>
        <w:t xml:space="preserve"> </w:t>
      </w:r>
      <w:r w:rsidRPr="00B26FC8">
        <w:rPr>
          <w:rFonts w:hint="cs"/>
          <w:b/>
          <w:bCs/>
          <w:rtl/>
        </w:rPr>
        <w:t xml:space="preserve">מנגנון הסיוע </w:t>
      </w:r>
      <w:r>
        <w:rPr>
          <w:rFonts w:hint="cs"/>
          <w:b/>
          <w:bCs/>
          <w:rtl/>
        </w:rPr>
        <w:t>הקיים</w:t>
      </w:r>
      <w:r w:rsidRPr="00B26FC8">
        <w:rPr>
          <w:rFonts w:hint="cs"/>
          <w:b/>
          <w:bCs/>
          <w:rtl/>
        </w:rPr>
        <w:t xml:space="preserve"> מאפשר לזכאים לנצל את ההטבה רק אם הצריכה שלהם</w:t>
      </w:r>
      <w:r>
        <w:rPr>
          <w:rFonts w:hint="cs"/>
          <w:b/>
          <w:bCs/>
          <w:rtl/>
        </w:rPr>
        <w:t xml:space="preserve"> הייתה יותר</w:t>
      </w:r>
      <w:r w:rsidRPr="00B26FC8">
        <w:rPr>
          <w:rFonts w:hint="cs"/>
          <w:b/>
          <w:bCs/>
          <w:rtl/>
        </w:rPr>
        <w:t xml:space="preserve"> </w:t>
      </w:r>
      <w:r>
        <w:rPr>
          <w:rFonts w:hint="cs"/>
          <w:b/>
          <w:bCs/>
          <w:rtl/>
        </w:rPr>
        <w:t>מ-</w:t>
      </w:r>
      <w:r w:rsidRPr="00B26FC8">
        <w:rPr>
          <w:rFonts w:hint="cs"/>
          <w:b/>
          <w:bCs/>
          <w:rtl/>
        </w:rPr>
        <w:t>3.5 מ"ק לחודש</w:t>
      </w:r>
      <w:r>
        <w:rPr>
          <w:rFonts w:hint="cs"/>
          <w:b/>
          <w:bCs/>
          <w:rtl/>
        </w:rPr>
        <w:t xml:space="preserve">. </w:t>
      </w:r>
      <w:r>
        <w:rPr>
          <w:rFonts w:hint="cs"/>
          <w:b/>
          <w:bCs/>
          <w:sz w:val="24"/>
          <w:rtl/>
        </w:rPr>
        <w:t xml:space="preserve">אף שחלפו יותר משנתיים וחצי מהמועד שבו הנחתה ועדת הכספים להכין מודל חדש לסיוע שיאפשר ניצולה של ההטבה מצריכת הקוב הראשון, </w:t>
      </w:r>
      <w:r w:rsidRPr="008E51B8">
        <w:rPr>
          <w:rFonts w:hint="cs"/>
          <w:b/>
          <w:bCs/>
          <w:sz w:val="24"/>
          <w:rtl/>
        </w:rPr>
        <w:t>טרם הגיש משרד האוצר ל</w:t>
      </w:r>
      <w:r>
        <w:rPr>
          <w:rFonts w:hint="cs"/>
          <w:b/>
          <w:bCs/>
          <w:sz w:val="24"/>
          <w:rtl/>
        </w:rPr>
        <w:t>ו</w:t>
      </w:r>
      <w:r w:rsidRPr="008E51B8">
        <w:rPr>
          <w:rFonts w:hint="cs"/>
          <w:b/>
          <w:bCs/>
          <w:sz w:val="24"/>
          <w:rtl/>
        </w:rPr>
        <w:t>ועדת הכספים</w:t>
      </w:r>
      <w:r>
        <w:rPr>
          <w:rFonts w:hint="cs"/>
          <w:b/>
          <w:bCs/>
          <w:sz w:val="24"/>
          <w:rtl/>
        </w:rPr>
        <w:t xml:space="preserve"> הצעת תיקון לתקנות</w:t>
      </w:r>
      <w:r w:rsidRPr="008E51B8">
        <w:rPr>
          <w:rFonts w:hint="cs"/>
          <w:b/>
          <w:bCs/>
          <w:sz w:val="24"/>
          <w:rtl/>
        </w:rPr>
        <w:t>, ומנגנון הסיוע נותר ללא שינוי.</w:t>
      </w:r>
      <w:r>
        <w:rPr>
          <w:rFonts w:hint="cs"/>
          <w:b/>
          <w:bCs/>
          <w:rtl/>
        </w:rPr>
        <w:t xml:space="preserve"> על משרד האוצר ועל רשות המים לשקול לפעול לשינוי מנגנון הסיוע ולהוספת קבוצות של מעוטי יכולת למקבלי הסיוע, ובכך לאפשר מימוש מלא של התקציב. </w:t>
      </w:r>
      <w:r>
        <w:rPr>
          <w:rFonts w:hint="cs"/>
          <w:b/>
          <w:bCs/>
          <w:sz w:val="24"/>
          <w:rtl/>
        </w:rPr>
        <w:t>עם זאת</w:t>
      </w:r>
      <w:r w:rsidRPr="009F52AF">
        <w:rPr>
          <w:b/>
          <w:bCs/>
          <w:sz w:val="24"/>
          <w:rtl/>
        </w:rPr>
        <w:t xml:space="preserve">, בעקבות התקנת כללי הניתוקים </w:t>
      </w:r>
      <w:r>
        <w:rPr>
          <w:rFonts w:hint="cs"/>
          <w:b/>
          <w:bCs/>
          <w:sz w:val="24"/>
          <w:rtl/>
        </w:rPr>
        <w:t xml:space="preserve">בידי </w:t>
      </w:r>
      <w:r w:rsidRPr="009F52AF">
        <w:rPr>
          <w:b/>
          <w:bCs/>
          <w:sz w:val="24"/>
          <w:rtl/>
        </w:rPr>
        <w:t>מועצת הרשות בשנת 2015 ופעולות</w:t>
      </w:r>
      <w:r>
        <w:rPr>
          <w:rFonts w:hint="cs"/>
          <w:b/>
          <w:bCs/>
          <w:sz w:val="24"/>
          <w:rtl/>
        </w:rPr>
        <w:t>יה של</w:t>
      </w:r>
      <w:r w:rsidRPr="009F52AF">
        <w:rPr>
          <w:b/>
          <w:bCs/>
          <w:sz w:val="24"/>
          <w:rtl/>
        </w:rPr>
        <w:t xml:space="preserve"> רשות המים ליישומם, חל שיפור משמעותי בנושא ניתוקי מים לצרכנים הביתיים </w:t>
      </w:r>
      <w:r>
        <w:rPr>
          <w:rFonts w:hint="cs"/>
          <w:b/>
          <w:bCs/>
          <w:sz w:val="24"/>
          <w:rtl/>
        </w:rPr>
        <w:t>ו</w:t>
      </w:r>
      <w:r w:rsidRPr="009F52AF">
        <w:rPr>
          <w:b/>
          <w:bCs/>
          <w:sz w:val="24"/>
          <w:rtl/>
        </w:rPr>
        <w:t>מספרם צומצם כמעט לחלוטין.</w:t>
      </w:r>
    </w:p>
    <w:p w:rsidR="003D3BEF" w:rsidRPr="009F52AF" w:rsidP="003D3BEF" w14:paraId="757F25BF" w14:textId="77777777">
      <w:pPr>
        <w:pStyle w:val="a"/>
        <w:spacing w:line="269" w:lineRule="auto"/>
        <w:rPr>
          <w:rtl/>
        </w:rPr>
      </w:pPr>
    </w:p>
    <w:p w:rsidR="003D3BEF" w:rsidP="003D3BEF" w14:paraId="29D7FED5" w14:textId="77777777">
      <w:pPr>
        <w:spacing w:line="269" w:lineRule="auto"/>
        <w:rPr>
          <w:b/>
          <w:bCs/>
          <w:sz w:val="24"/>
          <w:rtl/>
        </w:rPr>
      </w:pPr>
      <w:r w:rsidRPr="00662350">
        <w:rPr>
          <w:rFonts w:hint="cs"/>
          <w:b/>
          <w:bCs/>
          <w:sz w:val="24"/>
          <w:rtl/>
        </w:rPr>
        <w:t xml:space="preserve">קיימת חשיבות לכך שהגוף המאסדר </w:t>
      </w:r>
      <w:r>
        <w:rPr>
          <w:rFonts w:hint="cs"/>
          <w:b/>
          <w:bCs/>
          <w:sz w:val="24"/>
          <w:rtl/>
        </w:rPr>
        <w:t xml:space="preserve">יקבע </w:t>
      </w:r>
      <w:r w:rsidRPr="00662350">
        <w:rPr>
          <w:rFonts w:hint="cs"/>
          <w:b/>
          <w:bCs/>
          <w:sz w:val="24"/>
          <w:rtl/>
        </w:rPr>
        <w:t>כלים לחיזוק גורמי הבקרה בגוף המפוקח ולשיפור איכות ה</w:t>
      </w:r>
      <w:r>
        <w:rPr>
          <w:rFonts w:hint="cs"/>
          <w:b/>
          <w:bCs/>
          <w:sz w:val="24"/>
          <w:rtl/>
        </w:rPr>
        <w:t>בקרה</w:t>
      </w:r>
      <w:r w:rsidRPr="00662350">
        <w:rPr>
          <w:rFonts w:hint="cs"/>
          <w:b/>
          <w:bCs/>
          <w:sz w:val="24"/>
          <w:rtl/>
        </w:rPr>
        <w:t xml:space="preserve"> הפנימית. לפיכך, </w:t>
      </w:r>
      <w:r>
        <w:rPr>
          <w:rFonts w:hint="cs"/>
          <w:b/>
          <w:bCs/>
          <w:sz w:val="24"/>
          <w:rtl/>
        </w:rPr>
        <w:t xml:space="preserve">ראוי </w:t>
      </w:r>
      <w:r w:rsidRPr="00662350">
        <w:rPr>
          <w:rFonts w:hint="cs"/>
          <w:b/>
          <w:bCs/>
          <w:sz w:val="24"/>
          <w:rtl/>
        </w:rPr>
        <w:t>ש</w:t>
      </w:r>
      <w:r>
        <w:rPr>
          <w:rFonts w:hint="cs"/>
          <w:b/>
          <w:bCs/>
          <w:sz w:val="24"/>
          <w:rtl/>
        </w:rPr>
        <w:t>רשות המים כגוף מאסדר תיתן את הדעת לקביעת אסדרה בתחום הבקרה הפנימית, בהמשך להליך שהחלה בו ביולי 2017 והופסק אף שהוחלט להמשיכו במתכונת אחרת, ותעלה לדיון במועצה את הצעותיה לקביעת כללים בנושא.</w:t>
      </w:r>
    </w:p>
    <w:p w:rsidR="003D3BEF" w:rsidP="003D3BEF" w14:paraId="5E580153" w14:textId="77777777">
      <w:pPr>
        <w:pStyle w:val="a"/>
        <w:spacing w:line="269" w:lineRule="auto"/>
        <w:rPr>
          <w:rtl/>
        </w:rPr>
      </w:pPr>
    </w:p>
    <w:p w:rsidR="003D3BEF" w:rsidP="003D3BEF" w14:paraId="7137C615" w14:textId="77777777">
      <w:pPr>
        <w:spacing w:line="269" w:lineRule="auto"/>
        <w:rPr>
          <w:b/>
          <w:bCs/>
          <w:sz w:val="24"/>
          <w:rtl/>
        </w:rPr>
      </w:pPr>
      <w:r w:rsidRPr="002E22C7">
        <w:rPr>
          <w:rFonts w:hint="cs"/>
          <w:b/>
          <w:bCs/>
          <w:rtl/>
        </w:rPr>
        <w:t xml:space="preserve">משנת 2006 הייתה מדיניות הממשלה </w:t>
      </w:r>
      <w:r>
        <w:rPr>
          <w:rFonts w:hint="cs"/>
          <w:b/>
          <w:bCs/>
          <w:rtl/>
        </w:rPr>
        <w:t xml:space="preserve">בין היתר </w:t>
      </w:r>
      <w:r w:rsidRPr="002E22C7">
        <w:rPr>
          <w:rFonts w:hint="cs"/>
          <w:b/>
          <w:bCs/>
          <w:rtl/>
        </w:rPr>
        <w:t>ל</w:t>
      </w:r>
      <w:r>
        <w:rPr>
          <w:rFonts w:hint="cs"/>
          <w:b/>
          <w:bCs/>
          <w:rtl/>
        </w:rPr>
        <w:t xml:space="preserve">עודד תיאגוד אזורי. משנת 2013 נקבעה בחוק חובת תיאגוד אזורי, אך המועד ליישומה נדחה מדי פעם בפעם ולאחרונה הותלתה עד אפריל 2020. </w:t>
      </w:r>
      <w:r w:rsidRPr="00B35AE7">
        <w:rPr>
          <w:b/>
          <w:bCs/>
          <w:sz w:val="24"/>
          <w:rtl/>
        </w:rPr>
        <w:t>מאמצע 2013 עד סוף 2019, במשך כשש שנים</w:t>
      </w:r>
      <w:r w:rsidRPr="00D15179">
        <w:rPr>
          <w:b/>
          <w:bCs/>
          <w:sz w:val="24"/>
          <w:rtl/>
        </w:rPr>
        <w:t xml:space="preserve"> </w:t>
      </w:r>
      <w:r w:rsidRPr="00B35AE7">
        <w:rPr>
          <w:b/>
          <w:bCs/>
          <w:sz w:val="24"/>
          <w:rtl/>
        </w:rPr>
        <w:t xml:space="preserve">וחצי, ועל אף ניסיונות חוזרים ונשנים, </w:t>
      </w:r>
      <w:r>
        <w:rPr>
          <w:rFonts w:hint="cs"/>
          <w:b/>
          <w:bCs/>
          <w:sz w:val="24"/>
          <w:rtl/>
        </w:rPr>
        <w:t xml:space="preserve">ועל אף שהציעה מענקים לתיאגוד אזורי, </w:t>
      </w:r>
      <w:r w:rsidRPr="00B35AE7">
        <w:rPr>
          <w:b/>
          <w:bCs/>
          <w:sz w:val="24"/>
          <w:rtl/>
        </w:rPr>
        <w:t>לא הצליחה רשות המים להביא ל</w:t>
      </w:r>
      <w:r>
        <w:rPr>
          <w:rFonts w:hint="cs"/>
          <w:b/>
          <w:bCs/>
          <w:sz w:val="24"/>
          <w:rtl/>
        </w:rPr>
        <w:t xml:space="preserve">ידי </w:t>
      </w:r>
      <w:r w:rsidRPr="00B35AE7">
        <w:rPr>
          <w:b/>
          <w:bCs/>
          <w:sz w:val="24"/>
          <w:rtl/>
        </w:rPr>
        <w:t>יישום אף</w:t>
      </w:r>
      <w:r>
        <w:rPr>
          <w:rFonts w:hint="cs"/>
          <w:b/>
          <w:bCs/>
          <w:sz w:val="24"/>
          <w:rtl/>
        </w:rPr>
        <w:t xml:space="preserve"> לא</w:t>
      </w:r>
      <w:r w:rsidRPr="00B35AE7">
        <w:rPr>
          <w:b/>
          <w:bCs/>
          <w:sz w:val="24"/>
          <w:rtl/>
        </w:rPr>
        <w:t xml:space="preserve"> אחד מ</w:t>
      </w:r>
      <w:r>
        <w:rPr>
          <w:b/>
          <w:bCs/>
          <w:sz w:val="24"/>
          <w:rtl/>
        </w:rPr>
        <w:t>מתווי התיאגוד האזורי שהציעה</w:t>
      </w:r>
      <w:r>
        <w:rPr>
          <w:rFonts w:hint="cs"/>
          <w:b/>
          <w:bCs/>
          <w:sz w:val="24"/>
          <w:rtl/>
        </w:rPr>
        <w:t>, וזאת בשל התנגדותם של</w:t>
      </w:r>
      <w:r w:rsidRPr="00D215F8">
        <w:rPr>
          <w:rFonts w:hint="cs"/>
          <w:b/>
          <w:bCs/>
          <w:rtl/>
        </w:rPr>
        <w:t xml:space="preserve"> </w:t>
      </w:r>
      <w:r>
        <w:rPr>
          <w:rFonts w:hint="cs"/>
          <w:b/>
          <w:bCs/>
          <w:rtl/>
        </w:rPr>
        <w:t>רוב הרשויות המקומיות והתאגידים ושל מרכז השלטון המקומי.</w:t>
      </w:r>
    </w:p>
    <w:p w:rsidR="003D3BEF" w:rsidP="003D3BEF" w14:paraId="03B71A47" w14:textId="77777777">
      <w:pPr>
        <w:pStyle w:val="a"/>
        <w:spacing w:line="269" w:lineRule="auto"/>
        <w:rPr>
          <w:rtl/>
        </w:rPr>
      </w:pPr>
    </w:p>
    <w:p w:rsidR="003D3BEF" w:rsidP="003D3BEF" w14:paraId="2277D901" w14:textId="77777777">
      <w:pPr>
        <w:spacing w:line="269" w:lineRule="auto"/>
        <w:rPr>
          <w:b/>
          <w:bCs/>
          <w:sz w:val="24"/>
          <w:rtl/>
        </w:rPr>
      </w:pPr>
      <w:r w:rsidRPr="000D538F">
        <w:rPr>
          <w:rFonts w:hint="cs"/>
          <w:b/>
          <w:bCs/>
          <w:rtl/>
        </w:rPr>
        <w:t xml:space="preserve">לדעת משרד מבקר המדינה, כדי לבצע תיאגוד אזורי כנדרש על פי החוק, על משרד האוצר, </w:t>
      </w:r>
      <w:r>
        <w:rPr>
          <w:rFonts w:hint="cs"/>
          <w:b/>
          <w:bCs/>
          <w:rtl/>
        </w:rPr>
        <w:t xml:space="preserve">על </w:t>
      </w:r>
      <w:r w:rsidRPr="000D538F">
        <w:rPr>
          <w:rFonts w:hint="cs"/>
          <w:b/>
          <w:bCs/>
          <w:rtl/>
        </w:rPr>
        <w:t xml:space="preserve">רשות המים, </w:t>
      </w:r>
      <w:r>
        <w:rPr>
          <w:rFonts w:hint="cs"/>
          <w:b/>
          <w:bCs/>
          <w:rtl/>
        </w:rPr>
        <w:t xml:space="preserve">על </w:t>
      </w:r>
      <w:r w:rsidRPr="000D538F">
        <w:rPr>
          <w:rFonts w:hint="cs"/>
          <w:b/>
          <w:bCs/>
          <w:rtl/>
        </w:rPr>
        <w:t>הרשויות המקומיות ו</w:t>
      </w:r>
      <w:r>
        <w:rPr>
          <w:rFonts w:hint="cs"/>
          <w:b/>
          <w:bCs/>
          <w:rtl/>
        </w:rPr>
        <w:t>על מרכז השלטון המקומי</w:t>
      </w:r>
      <w:r w:rsidRPr="000D538F">
        <w:rPr>
          <w:rFonts w:hint="cs"/>
          <w:b/>
          <w:bCs/>
          <w:rtl/>
        </w:rPr>
        <w:t xml:space="preserve"> לפעול בשיתוף פעולה כדי לפתור את המחלוקות</w:t>
      </w:r>
      <w:r>
        <w:rPr>
          <w:rFonts w:hint="cs"/>
          <w:b/>
          <w:bCs/>
          <w:rtl/>
        </w:rPr>
        <w:t xml:space="preserve"> ביניהם</w:t>
      </w:r>
      <w:r w:rsidRPr="000D538F">
        <w:rPr>
          <w:rFonts w:hint="cs"/>
          <w:b/>
          <w:bCs/>
          <w:rtl/>
        </w:rPr>
        <w:t xml:space="preserve">. במסגרת זו יש לבחון </w:t>
      </w:r>
      <w:r>
        <w:rPr>
          <w:rFonts w:hint="cs"/>
          <w:b/>
          <w:bCs/>
          <w:rtl/>
        </w:rPr>
        <w:t xml:space="preserve">כיצד להתמודד עם </w:t>
      </w:r>
      <w:r w:rsidRPr="003F26AA">
        <w:rPr>
          <w:b/>
          <w:bCs/>
          <w:rtl/>
        </w:rPr>
        <w:t>ס</w:t>
      </w:r>
      <w:r>
        <w:rPr>
          <w:rFonts w:hint="cs"/>
          <w:b/>
          <w:bCs/>
          <w:rtl/>
        </w:rPr>
        <w:t>י</w:t>
      </w:r>
      <w:r w:rsidRPr="003F26AA">
        <w:rPr>
          <w:b/>
          <w:bCs/>
          <w:rtl/>
        </w:rPr>
        <w:t xml:space="preserve">רוב הרשויות המקומיות החזקות לסבסד את עלויות ההשקעות הנדרשות </w:t>
      </w:r>
      <w:r>
        <w:rPr>
          <w:rFonts w:hint="cs"/>
          <w:b/>
          <w:bCs/>
          <w:rtl/>
        </w:rPr>
        <w:t>בגלל</w:t>
      </w:r>
      <w:r w:rsidRPr="003F26AA">
        <w:rPr>
          <w:b/>
          <w:bCs/>
          <w:rtl/>
        </w:rPr>
        <w:t xml:space="preserve"> הזנחה </w:t>
      </w:r>
      <w:r>
        <w:rPr>
          <w:rFonts w:hint="cs"/>
          <w:b/>
          <w:bCs/>
          <w:rtl/>
        </w:rPr>
        <w:t xml:space="preserve">רבת </w:t>
      </w:r>
      <w:r w:rsidRPr="003F26AA">
        <w:rPr>
          <w:b/>
          <w:bCs/>
          <w:rtl/>
        </w:rPr>
        <w:t>שנים ברשויות</w:t>
      </w:r>
      <w:r>
        <w:rPr>
          <w:rFonts w:hint="cs"/>
          <w:b/>
          <w:bCs/>
          <w:rtl/>
        </w:rPr>
        <w:t xml:space="preserve"> המקומיות</w:t>
      </w:r>
      <w:r w:rsidRPr="003F26AA">
        <w:rPr>
          <w:b/>
          <w:bCs/>
          <w:rtl/>
        </w:rPr>
        <w:t xml:space="preserve"> החלשות. </w:t>
      </w:r>
    </w:p>
    <w:p w:rsidR="003D3BEF" w:rsidP="003D3BEF" w14:paraId="6ACCD294" w14:textId="77777777">
      <w:pPr>
        <w:pStyle w:val="a"/>
        <w:spacing w:line="269" w:lineRule="auto"/>
        <w:rPr>
          <w:rtl/>
        </w:rPr>
      </w:pPr>
    </w:p>
    <w:p w:rsidR="003D3BEF" w:rsidRPr="00684E93" w:rsidP="003D3BEF" w14:paraId="4EB76217" w14:textId="77777777">
      <w:pPr>
        <w:spacing w:line="269" w:lineRule="auto"/>
        <w:jc w:val="center"/>
        <w:rPr>
          <w:sz w:val="24"/>
          <w:rtl/>
        </w:rPr>
      </w:pPr>
    </w:p>
    <w:p w:rsidR="004766DB" w14:paraId="6C3ADC9A" w14:textId="77777777"/>
    <w:sectPr>
      <w:headerReference w:type="default" r:id="rId60"/>
      <w:footerReference w:type="default" r:id="rId61"/>
      <w:headerReference w:type="first" r:id="rId62"/>
      <w:footerReference w:type="first" r:id="rId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Ruehl">
    <w:panose1 w:val="020E0503060101010101"/>
    <w:charset w:val="B1"/>
    <w:family w:val="swiss"/>
    <w:pitch w:val="variable"/>
    <w:sig w:usb0="00000801" w:usb1="00000000" w:usb2="00000000" w:usb3="00000000" w:csb0="00000020" w:csb1="00000000"/>
  </w:font>
  <w:font w:name="Narkisim">
    <w:altName w:val="Times New Roman"/>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5389" w:rsidRPr="00B70DE1" w:rsidP="002B5389" w14:paraId="0E5B69E4" w14:textId="77777777">
    <w:pPr>
      <w:jc w:val="right"/>
      <w:rPr>
        <w:rtl/>
      </w:rPr>
    </w:pPr>
    <w:r w:rsidRPr="00B70DE1">
      <w:rPr>
        <w:rFonts w:hint="cs"/>
        <w:rtl/>
      </w:rPr>
      <w:t>תאגידי מים וביוב</w:t>
    </w:r>
    <w:r>
      <w:rPr>
        <w:rFonts w:hint="cs"/>
        <w:rtl/>
      </w:rPr>
      <w:t xml:space="preserve"> - אסדרה, ניהול ופיקוח</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5389" w:rsidRPr="00B70DE1" w:rsidP="002B5389" w14:paraId="400FB8D8" w14:textId="77777777">
    <w:pPr>
      <w:jc w:val="right"/>
      <w:rPr>
        <w:rtl/>
      </w:rPr>
    </w:pPr>
    <w:r w:rsidRPr="00B70DE1">
      <w:rPr>
        <w:rFonts w:hint="cs"/>
        <w:rtl/>
      </w:rPr>
      <w:t>תאגידי מים וביוב</w:t>
    </w:r>
    <w:r>
      <w:rPr>
        <w:rFonts w:hint="cs"/>
        <w:rtl/>
      </w:rPr>
      <w:t xml:space="preserve"> - אסדרה, ניהול ופיקוח</w:t>
    </w:r>
  </w:p>
  <w:p w:rsidR="002B5389" w14:paraId="36330153" w14:textId="77777777">
    <w:pPr>
      <w:pStyle w:val="Footer"/>
      <w:rPr>
        <w:rtl/>
      </w:rPr>
    </w:pPr>
    <w:r>
      <w:rPr>
        <w:rFonts w:hint="cs"/>
        <w:noProof/>
        <w:rtl/>
      </w:rPr>
      <mc:AlternateContent>
        <mc:Choice Requires="wps">
          <w:drawing>
            <wp:anchor distT="0" distB="0" distL="114300" distR="114300" simplePos="0" relativeHeight="251658240" behindDoc="0" locked="0" layoutInCell="1" allowOverlap="1">
              <wp:simplePos x="0" y="0"/>
              <wp:positionH relativeFrom="margin">
                <wp:posOffset>409575</wp:posOffset>
              </wp:positionH>
              <wp:positionV relativeFrom="paragraph">
                <wp:posOffset>13970</wp:posOffset>
              </wp:positionV>
              <wp:extent cx="3848100" cy="428625"/>
              <wp:effectExtent l="0" t="0" r="19050" b="28575"/>
              <wp:wrapNone/>
              <wp:docPr id="1"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3848100" cy="428625"/>
                      </a:xfrm>
                      <a:prstGeom prst="rect">
                        <a:avLst/>
                      </a:prstGeom>
                      <a:noFill/>
                      <a:ln w="6350">
                        <a:solidFill>
                          <a:srgbClr val="0000FF"/>
                        </a:solidFill>
                      </a:ln>
                    </wps:spPr>
                    <wps:txbx>
                      <w:txbxContent>
                        <w:p w:rsidR="002B5389" w:rsidP="002B5389"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2B5389" w:rsidRPr="00C61BCC" w:rsidP="002B5389"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WarningF" o:spid="_x0000_s2049" type="#_x0000_t202" style="width:303pt;height:33.75pt;margin-top:1.1pt;margin-left:32.25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2B5389" w:rsidP="002B5389" w14:paraId="35AB9056"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2B5389" w:rsidRPr="00C61BCC" w:rsidP="002B5389" w14:paraId="11CCF615" w14:textId="77777777">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p>
  <w:p w:rsidR="002B5389" w14:paraId="5DC6923C" w14:textId="77777777">
    <w:pPr>
      <w:pStyle w:val="Footer"/>
    </w:pPr>
    <w:bookmarkStart w:id="13" w:name="tempMark"/>
    <w:bookmarkEnd w:id="13"/>
  </w:p>
  <w:p w:rsidR="002B5389" w14:paraId="25E4F3C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43095" w:rsidP="003D3BEF" w14:paraId="218E04F8" w14:textId="77777777">
      <w:pPr>
        <w:spacing w:line="240" w:lineRule="auto"/>
      </w:pPr>
      <w:r>
        <w:separator/>
      </w:r>
    </w:p>
  </w:footnote>
  <w:footnote w:type="continuationSeparator" w:id="1">
    <w:p w:rsidR="00743095" w:rsidP="003D3BEF" w14:paraId="12CD90D5" w14:textId="77777777">
      <w:pPr>
        <w:spacing w:line="240" w:lineRule="auto"/>
      </w:pPr>
      <w:r>
        <w:continuationSeparator/>
      </w:r>
    </w:p>
  </w:footnote>
  <w:footnote w:id="2">
    <w:p w:rsidR="002B5389" w:rsidP="003D3BEF" w14:paraId="3869CC44" w14:textId="77777777">
      <w:pPr>
        <w:pStyle w:val="FootnoteText"/>
      </w:pPr>
      <w:r>
        <w:rPr>
          <w:rStyle w:val="FootnoteReference"/>
        </w:rPr>
        <w:footnoteRef/>
      </w:r>
      <w:r>
        <w:rPr>
          <w:rtl/>
        </w:rPr>
        <w:t xml:space="preserve"> </w:t>
      </w:r>
      <w:r>
        <w:rPr>
          <w:rtl/>
        </w:rPr>
        <w:tab/>
      </w:r>
      <w:r>
        <w:rPr>
          <w:rFonts w:hint="cs"/>
          <w:rtl/>
        </w:rPr>
        <w:t xml:space="preserve">מחירי שירותי המים והביוב נקבעים על פי עקרון העלות המוכרת הקבוע בחוק התאגידים. העלות המוכרת היא העלות שרשות המים מכירה בה לצורך חישוב התעריפים. </w:t>
      </w:r>
    </w:p>
  </w:footnote>
  <w:footnote w:id="3">
    <w:p w:rsidR="002B5389" w:rsidP="003D3BEF" w14:paraId="4DCE268B" w14:textId="77777777">
      <w:pPr>
        <w:pStyle w:val="FootnoteText"/>
      </w:pPr>
      <w:r>
        <w:rPr>
          <w:rStyle w:val="FootnoteReference"/>
        </w:rPr>
        <w:footnoteRef/>
      </w:r>
      <w:r>
        <w:rPr>
          <w:rtl/>
        </w:rPr>
        <w:t xml:space="preserve"> </w:t>
      </w:r>
      <w:r>
        <w:rPr>
          <w:rtl/>
        </w:rPr>
        <w:tab/>
      </w:r>
      <w:r>
        <w:rPr>
          <w:rFonts w:hint="cs"/>
          <w:rtl/>
        </w:rPr>
        <w:t>סעיף 124יז לחוק המים, התשי"ט-1959.</w:t>
      </w:r>
    </w:p>
  </w:footnote>
  <w:footnote w:id="4">
    <w:p w:rsidR="002B5389" w:rsidP="003D3BEF" w14:paraId="78A9742A" w14:textId="77777777">
      <w:pPr>
        <w:pStyle w:val="FootnoteText"/>
      </w:pPr>
      <w:r>
        <w:rPr>
          <w:rStyle w:val="FootnoteReference"/>
        </w:rPr>
        <w:footnoteRef/>
      </w:r>
      <w:r>
        <w:rPr>
          <w:rtl/>
        </w:rPr>
        <w:t xml:space="preserve"> </w:t>
      </w:r>
      <w:r>
        <w:rPr>
          <w:rtl/>
        </w:rPr>
        <w:tab/>
      </w:r>
      <w:r>
        <w:rPr>
          <w:rFonts w:hint="cs"/>
          <w:rtl/>
        </w:rPr>
        <w:t>חברי המועצה הם מנהל הרשות המשמש יו"ר המועצה, מנכ"ל משרד החקלאות ופיתוח הכפר, מנכ"ל המשרד להגנת הסביבה, מנכ"ל משרד הפנים, מנכ"ל משרד האנרגיה, הממונה על התקציבים במשרד האוצר, נציג ציבור אחד לפי המלצת שר האנרגיה ונציג ציבור אחד לפי המלצת שר החקלאות ופיתוח הכפר ושר הפנים לאחר שנועצו בשר האנרגיה. כל אחד מהחברים המנויים (פרט לנציגי ציבור) רשאי למנות נציג מטעמו שיהיה חבר במקומו, ובלבד שהוא עובד משרדו בדרגת סגן מנכ"ל ומעלה.</w:t>
      </w:r>
    </w:p>
  </w:footnote>
  <w:footnote w:id="5">
    <w:p w:rsidR="002B5389" w:rsidP="003D3BEF" w14:paraId="17DA6F03" w14:textId="77777777">
      <w:pPr>
        <w:pStyle w:val="FootnoteText"/>
      </w:pPr>
      <w:r>
        <w:rPr>
          <w:rStyle w:val="FootnoteReference"/>
        </w:rPr>
        <w:footnoteRef/>
      </w:r>
      <w:r>
        <w:rPr>
          <w:rtl/>
        </w:rPr>
        <w:t xml:space="preserve"> </w:t>
      </w:r>
      <w:r>
        <w:rPr>
          <w:rtl/>
        </w:rPr>
        <w:tab/>
      </w:r>
      <w:r w:rsidRPr="006D0CD4">
        <w:rPr>
          <w:rtl/>
        </w:rPr>
        <w:t>החלטה 3798 של הממשלה ה-32 "הסדרת יחסי השלטון המקומי ותאגידי המים והביוב" (6.11.2011).</w:t>
      </w:r>
    </w:p>
  </w:footnote>
  <w:footnote w:id="6">
    <w:p w:rsidR="002B5389" w:rsidP="003D3BEF" w14:paraId="31E19464" w14:textId="77777777">
      <w:pPr>
        <w:pStyle w:val="FootnoteText"/>
      </w:pPr>
      <w:r>
        <w:rPr>
          <w:rStyle w:val="FootnoteReference"/>
        </w:rPr>
        <w:footnoteRef/>
      </w:r>
      <w:r>
        <w:rPr>
          <w:rtl/>
        </w:rPr>
        <w:t xml:space="preserve"> </w:t>
      </w:r>
      <w:r>
        <w:rPr>
          <w:rtl/>
        </w:rPr>
        <w:tab/>
      </w:r>
      <w:r>
        <w:rPr>
          <w:rFonts w:hint="cs"/>
          <w:rtl/>
        </w:rPr>
        <w:t>סעיף 3(א) לחוק התאגידים.</w:t>
      </w:r>
    </w:p>
  </w:footnote>
  <w:footnote w:id="7">
    <w:p w:rsidR="002B5389" w:rsidP="003D3BEF" w14:paraId="3606930D" w14:textId="77777777">
      <w:pPr>
        <w:pStyle w:val="FootnoteText"/>
        <w:rPr>
          <w:rtl/>
        </w:rPr>
      </w:pPr>
      <w:r>
        <w:rPr>
          <w:rStyle w:val="FootnoteReference"/>
        </w:rPr>
        <w:footnoteRef/>
      </w:r>
      <w:r>
        <w:rPr>
          <w:rtl/>
        </w:rPr>
        <w:t xml:space="preserve"> </w:t>
      </w:r>
      <w:r>
        <w:rPr>
          <w:rtl/>
        </w:rPr>
        <w:tab/>
      </w:r>
      <w:r>
        <w:rPr>
          <w:rFonts w:hint="cs"/>
          <w:rtl/>
        </w:rPr>
        <w:t>סעיף 6א לחוק התאגידים.</w:t>
      </w:r>
    </w:p>
  </w:footnote>
  <w:footnote w:id="8">
    <w:p w:rsidR="002B5389" w:rsidP="003D3BEF" w14:paraId="35442194" w14:textId="77777777">
      <w:pPr>
        <w:pStyle w:val="FootnoteText"/>
      </w:pPr>
      <w:r>
        <w:rPr>
          <w:rStyle w:val="FootnoteReference"/>
        </w:rPr>
        <w:footnoteRef/>
      </w:r>
      <w:r>
        <w:rPr>
          <w:rtl/>
        </w:rPr>
        <w:t xml:space="preserve"> </w:t>
      </w:r>
      <w:r>
        <w:rPr>
          <w:rtl/>
        </w:rPr>
        <w:tab/>
      </w:r>
      <w:r>
        <w:rPr>
          <w:rFonts w:hint="cs"/>
          <w:rtl/>
        </w:rPr>
        <w:t>להוציא מועצות אזוריות שעליהן החוק אינו חל באופן אוטומטי, אך ניתן להחילו עליהן מתוקף צו של שר הפנים, שר האנרגייה ושר האוצר על פי הצעת מועצת הרשות, ובאישור ועדת הכלכלה של הכנסת.</w:t>
      </w:r>
    </w:p>
  </w:footnote>
  <w:footnote w:id="9">
    <w:p w:rsidR="002B5389" w:rsidP="003D3BEF" w14:paraId="11C90C07" w14:textId="77777777">
      <w:pPr>
        <w:pStyle w:val="FootnoteText"/>
        <w:rPr>
          <w:rtl/>
        </w:rPr>
      </w:pPr>
      <w:r>
        <w:rPr>
          <w:rStyle w:val="FootnoteReference"/>
        </w:rPr>
        <w:footnoteRef/>
      </w:r>
      <w:r>
        <w:rPr>
          <w:rtl/>
        </w:rPr>
        <w:t xml:space="preserve"> </w:t>
      </w:r>
      <w:r>
        <w:rPr>
          <w:rtl/>
        </w:rPr>
        <w:tab/>
      </w:r>
      <w:r>
        <w:rPr>
          <w:rFonts w:hint="cs"/>
          <w:rtl/>
        </w:rPr>
        <w:t xml:space="preserve">החלטה 3798 </w:t>
      </w:r>
      <w:r w:rsidRPr="006D0CD4">
        <w:rPr>
          <w:rtl/>
        </w:rPr>
        <w:t>של הממשלה ה-32 "הסדרת יחסי השלטון המקומי ותאגידי המים והביוב" (6.11.2011)</w:t>
      </w:r>
      <w:r>
        <w:rPr>
          <w:rFonts w:hint="cs"/>
          <w:rtl/>
        </w:rPr>
        <w:t>.</w:t>
      </w:r>
    </w:p>
  </w:footnote>
  <w:footnote w:id="10">
    <w:p w:rsidR="002B5389" w:rsidP="003D3BEF" w14:paraId="68DF132D" w14:textId="77777777">
      <w:pPr>
        <w:pStyle w:val="FootnoteText"/>
        <w:rPr>
          <w:rtl/>
        </w:rPr>
      </w:pPr>
      <w:r>
        <w:rPr>
          <w:rStyle w:val="FootnoteReference"/>
        </w:rPr>
        <w:footnoteRef/>
      </w:r>
      <w:r>
        <w:rPr>
          <w:rtl/>
        </w:rPr>
        <w:t xml:space="preserve"> </w:t>
      </w:r>
      <w:r>
        <w:rPr>
          <w:rtl/>
        </w:rPr>
        <w:tab/>
      </w:r>
      <w:r>
        <w:rPr>
          <w:rFonts w:hint="cs"/>
          <w:rtl/>
        </w:rPr>
        <w:t xml:space="preserve">הודעה </w:t>
      </w:r>
      <w:r w:rsidRPr="004652D0">
        <w:rPr>
          <w:rtl/>
        </w:rPr>
        <w:t>בדבר שיוך הרשויות המקומיות בישראל לקבוצות לפי חוק תאגידי מים וביוב, התשס"א 2001, י"פ התשע"ד 2581.</w:t>
      </w:r>
    </w:p>
  </w:footnote>
  <w:footnote w:id="11">
    <w:p w:rsidR="002B5389" w:rsidP="003D3BEF" w14:paraId="50EF8CBF" w14:textId="77777777">
      <w:pPr>
        <w:pStyle w:val="FootnoteText"/>
        <w:rPr>
          <w:rtl/>
        </w:rPr>
      </w:pPr>
      <w:r>
        <w:rPr>
          <w:rStyle w:val="FootnoteReference"/>
        </w:rPr>
        <w:footnoteRef/>
      </w:r>
      <w:r>
        <w:rPr>
          <w:rtl/>
        </w:rPr>
        <w:t xml:space="preserve"> </w:t>
      </w:r>
      <w:r>
        <w:rPr>
          <w:rtl/>
        </w:rPr>
        <w:tab/>
      </w:r>
      <w:r>
        <w:rPr>
          <w:rFonts w:hint="cs"/>
          <w:rtl/>
        </w:rPr>
        <w:t xml:space="preserve">הזמנה </w:t>
      </w:r>
      <w:r w:rsidRPr="004652D0">
        <w:rPr>
          <w:rtl/>
        </w:rPr>
        <w:t xml:space="preserve">לציבור להציע עמדתו בדבר הכוונה לתקן את מפת השיוך של הרשויות המקומיות לקבוצות של חברות אזוריות, לפי סעיף 6ג(א) לחוק תאגידי מים וביוב, התשס"א-2001, </w:t>
      </w:r>
      <w:r>
        <w:rPr>
          <w:rFonts w:hint="cs"/>
          <w:rtl/>
        </w:rPr>
        <w:t>ש</w:t>
      </w:r>
      <w:r w:rsidRPr="004652D0">
        <w:rPr>
          <w:rtl/>
        </w:rPr>
        <w:t xml:space="preserve">רשות המים </w:t>
      </w:r>
      <w:r>
        <w:rPr>
          <w:rFonts w:hint="cs"/>
          <w:rtl/>
        </w:rPr>
        <w:t>פרסמה ב</w:t>
      </w:r>
      <w:r w:rsidRPr="004652D0">
        <w:rPr>
          <w:rtl/>
        </w:rPr>
        <w:t>מרץ 2019.</w:t>
      </w:r>
    </w:p>
  </w:footnote>
  <w:footnote w:id="12">
    <w:p w:rsidR="002B5389" w:rsidP="003D3BEF" w14:paraId="10F76EB4" w14:textId="77777777">
      <w:pPr>
        <w:pStyle w:val="FootnoteText"/>
        <w:rPr>
          <w:rtl/>
        </w:rPr>
      </w:pPr>
      <w:r>
        <w:rPr>
          <w:rStyle w:val="FootnoteReference"/>
        </w:rPr>
        <w:footnoteRef/>
      </w:r>
      <w:r>
        <w:rPr>
          <w:rtl/>
        </w:rPr>
        <w:t xml:space="preserve"> </w:t>
      </w:r>
      <w:r>
        <w:rPr>
          <w:rtl/>
        </w:rPr>
        <w:tab/>
      </w:r>
      <w:r>
        <w:rPr>
          <w:rFonts w:hint="cs"/>
          <w:rtl/>
        </w:rPr>
        <w:t xml:space="preserve">הודעה </w:t>
      </w:r>
      <w:r w:rsidRPr="00C477D4">
        <w:rPr>
          <w:rtl/>
        </w:rPr>
        <w:t>על שיוך הרשויות המקומיות ל - 30 תאגידים אזוריים, י"פ התש"ף, עמ' 5819.</w:t>
      </w:r>
    </w:p>
  </w:footnote>
  <w:footnote w:id="13">
    <w:p w:rsidR="002B5389" w:rsidP="003D3BEF" w14:paraId="7F5EB7C5" w14:textId="77777777">
      <w:pPr>
        <w:pStyle w:val="FootnoteText"/>
        <w:rPr>
          <w:rtl/>
        </w:rPr>
      </w:pPr>
      <w:r>
        <w:rPr>
          <w:rStyle w:val="FootnoteReference"/>
        </w:rPr>
        <w:footnoteRef/>
      </w:r>
      <w:r>
        <w:rPr>
          <w:rtl/>
        </w:rPr>
        <w:t xml:space="preserve"> </w:t>
      </w:r>
      <w:r>
        <w:rPr>
          <w:rtl/>
        </w:rPr>
        <w:tab/>
      </w:r>
      <w:r>
        <w:rPr>
          <w:rFonts w:hint="cs"/>
          <w:rtl/>
        </w:rPr>
        <w:t xml:space="preserve">ראו </w:t>
      </w:r>
      <w:r w:rsidRPr="00C477D4">
        <w:rPr>
          <w:rtl/>
        </w:rPr>
        <w:t>להלן. מועד יישום החובה נדחה עד נובמבר 2019, ועל פי תזכיר הצעת חוק הוצע לדחותו</w:t>
      </w:r>
      <w:r>
        <w:rPr>
          <w:rtl/>
        </w:rPr>
        <w:t xml:space="preserve"> </w:t>
      </w:r>
      <w:r w:rsidRPr="00C477D4">
        <w:rPr>
          <w:rtl/>
        </w:rPr>
        <w:t xml:space="preserve">בהתאם לשלוש חלופות ובהן עד ספטמבר 2020.(ראו סעיף 6ב לחוק </w:t>
      </w:r>
      <w:r>
        <w:rPr>
          <w:rFonts w:hint="cs"/>
          <w:rtl/>
        </w:rPr>
        <w:t>ו</w:t>
      </w:r>
      <w:r w:rsidRPr="00C477D4">
        <w:rPr>
          <w:rtl/>
        </w:rPr>
        <w:t>הגדרת "המועד הקובע" בסעיף 1).</w:t>
      </w:r>
    </w:p>
  </w:footnote>
  <w:footnote w:id="14">
    <w:p w:rsidR="002B5389" w:rsidP="003D3BEF" w14:paraId="6FBCEC3C" w14:textId="77777777">
      <w:pPr>
        <w:pStyle w:val="FootnoteText"/>
        <w:rPr>
          <w:rtl/>
        </w:rPr>
      </w:pPr>
      <w:r>
        <w:rPr>
          <w:rStyle w:val="FootnoteReference"/>
        </w:rPr>
        <w:footnoteRef/>
      </w:r>
      <w:r>
        <w:rPr>
          <w:rtl/>
        </w:rPr>
        <w:t xml:space="preserve"> </w:t>
      </w:r>
      <w:r>
        <w:rPr>
          <w:rtl/>
        </w:rPr>
        <w:tab/>
      </w:r>
      <w:r>
        <w:rPr>
          <w:rFonts w:hint="cs"/>
          <w:rtl/>
        </w:rPr>
        <w:t>חוזר רשות המים - "עדכון נורמות פחת המים ופחת הגביה בתאגידי המים והביוב", 25.7.13; "דוח הוועדה המייעצת לאסדרת רגולציה כלכלית ארוכת טווח למשק המים", פברואר 2019.</w:t>
      </w:r>
    </w:p>
  </w:footnote>
  <w:footnote w:id="15">
    <w:p w:rsidR="002B5389" w:rsidP="003D3BEF" w14:paraId="3DBFBAC0" w14:textId="77777777">
      <w:pPr>
        <w:pStyle w:val="FootnoteText"/>
        <w:rPr>
          <w:rtl/>
        </w:rPr>
      </w:pPr>
      <w:r>
        <w:rPr>
          <w:rStyle w:val="FootnoteReference"/>
        </w:rPr>
        <w:footnoteRef/>
      </w:r>
      <w:r>
        <w:rPr>
          <w:rtl/>
        </w:rPr>
        <w:t xml:space="preserve"> </w:t>
      </w:r>
      <w:r>
        <w:rPr>
          <w:rtl/>
        </w:rPr>
        <w:tab/>
      </w:r>
      <w:r>
        <w:rPr>
          <w:rFonts w:hint="cs"/>
          <w:rtl/>
        </w:rPr>
        <w:t>במסגרת כללי תאגידי מים וביוב, (חישוב עלות שירותי מים וביוב והקמת מערכת מים או ביוב), התש"ע-2009.</w:t>
      </w:r>
    </w:p>
  </w:footnote>
  <w:footnote w:id="16">
    <w:p w:rsidR="002B5389" w:rsidP="003D3BEF" w14:paraId="7F6C2273" w14:textId="77777777">
      <w:pPr>
        <w:pStyle w:val="FootnoteText"/>
        <w:rPr>
          <w:rtl/>
        </w:rPr>
      </w:pPr>
      <w:r>
        <w:rPr>
          <w:rStyle w:val="FootnoteReference"/>
        </w:rPr>
        <w:footnoteRef/>
      </w:r>
      <w:r>
        <w:rPr>
          <w:rtl/>
        </w:rPr>
        <w:t xml:space="preserve"> </w:t>
      </w:r>
      <w:r>
        <w:rPr>
          <w:rtl/>
        </w:rPr>
        <w:tab/>
      </w:r>
      <w:r>
        <w:rPr>
          <w:rFonts w:hint="cs"/>
          <w:rtl/>
        </w:rPr>
        <w:t>הבדלי העלויות בין התאגידים נובעים בין היתר ממצב תשתיות המים והביוב ברשויות המקומיות, היקף ההשקעות הנדרש, מצפיפות היישובים וממבנה טופוגרפי (כך, ביישוב הררי נדרשות עלויות אנרגייה כדי לספק מים).</w:t>
      </w:r>
    </w:p>
  </w:footnote>
  <w:footnote w:id="17">
    <w:p w:rsidR="002B5389" w:rsidRPr="00BE6513" w:rsidP="003D3BEF" w14:paraId="727299A6" w14:textId="77777777">
      <w:pPr>
        <w:pStyle w:val="FootnoteText"/>
      </w:pPr>
      <w:r>
        <w:rPr>
          <w:rStyle w:val="FootnoteReference"/>
        </w:rPr>
        <w:footnoteRef/>
      </w:r>
      <w:r>
        <w:rPr>
          <w:rtl/>
        </w:rPr>
        <w:t xml:space="preserve"> </w:t>
      </w:r>
      <w:r>
        <w:rPr>
          <w:rtl/>
        </w:rPr>
        <w:tab/>
      </w:r>
      <w:r>
        <w:rPr>
          <w:rFonts w:hint="cs"/>
          <w:rtl/>
        </w:rPr>
        <w:t>התעריף נקבע באופן</w:t>
      </w:r>
      <w:r w:rsidRPr="00BE6513">
        <w:rPr>
          <w:rtl/>
        </w:rPr>
        <w:t xml:space="preserve"> שממוצע תעריפי המים שמקורות גובה מספקי המים יכסו את סך העלויות המוכרות למקורות.</w:t>
      </w:r>
    </w:p>
  </w:footnote>
  <w:footnote w:id="18">
    <w:p w:rsidR="002B5389" w:rsidP="003D3BEF" w14:paraId="317D6985" w14:textId="77777777">
      <w:pPr>
        <w:pStyle w:val="FootnoteText"/>
        <w:rPr>
          <w:rtl/>
        </w:rPr>
      </w:pPr>
      <w:r>
        <w:rPr>
          <w:rStyle w:val="FootnoteReference"/>
        </w:rPr>
        <w:footnoteRef/>
      </w:r>
      <w:r>
        <w:rPr>
          <w:rtl/>
        </w:rPr>
        <w:t xml:space="preserve"> </w:t>
      </w:r>
      <w:r>
        <w:rPr>
          <w:rtl/>
        </w:rPr>
        <w:tab/>
      </w:r>
      <w:r>
        <w:rPr>
          <w:rFonts w:hint="cs"/>
          <w:rtl/>
        </w:rPr>
        <w:t>העלות המוכרת לתאגידי המים והביוב מחושבת לפי כללי תאגידי מים וביוב (חישוב עלות שירותי מים וביוב והקמת מערכת מים או ביוב), התש"ע-2009.</w:t>
      </w:r>
    </w:p>
  </w:footnote>
  <w:footnote w:id="19">
    <w:p w:rsidR="002B5389" w:rsidP="003D3BEF" w14:paraId="3345E2AB" w14:textId="77777777">
      <w:pPr>
        <w:pStyle w:val="FootnoteText"/>
      </w:pPr>
      <w:r>
        <w:rPr>
          <w:rStyle w:val="FootnoteReference"/>
        </w:rPr>
        <w:footnoteRef/>
      </w:r>
      <w:r>
        <w:rPr>
          <w:rtl/>
        </w:rPr>
        <w:t xml:space="preserve"> </w:t>
      </w:r>
      <w:r>
        <w:rPr>
          <w:rtl/>
        </w:rPr>
        <w:tab/>
      </w:r>
      <w:r>
        <w:rPr>
          <w:rFonts w:hint="cs"/>
          <w:rtl/>
        </w:rPr>
        <w:t>עלות זו מתבססת על פחת הנכסים בתוספת תשואה על ההון, הפחת מתבסס על ערך הכינון של הנכסים כפי שחושב לכל תאגיד במפקד הנכסים שערכה רשות המים.</w:t>
      </w:r>
    </w:p>
  </w:footnote>
  <w:footnote w:id="20">
    <w:p w:rsidR="002B5389" w:rsidP="003D3BEF" w14:paraId="1B157B50" w14:textId="77777777">
      <w:pPr>
        <w:pStyle w:val="FootnoteText"/>
        <w:rPr>
          <w:rtl/>
        </w:rPr>
      </w:pPr>
      <w:r>
        <w:rPr>
          <w:rStyle w:val="FootnoteReference"/>
        </w:rPr>
        <w:footnoteRef/>
      </w:r>
      <w:r>
        <w:rPr>
          <w:rtl/>
        </w:rPr>
        <w:t xml:space="preserve"> </w:t>
      </w:r>
      <w:r>
        <w:rPr>
          <w:rtl/>
        </w:rPr>
        <w:tab/>
      </w:r>
      <w:r>
        <w:rPr>
          <w:rFonts w:hint="cs"/>
          <w:rtl/>
        </w:rPr>
        <w:t>פחת המים הוא הפער בין כמות המים הנרכשת (או מופקת) ומוזרמת למערכת לבין כמות המים המחויבת לצרכנים. פער זה מקורו מדלף במערכת ומים שלא שולם בגין צריכתם.</w:t>
      </w:r>
    </w:p>
  </w:footnote>
  <w:footnote w:id="21">
    <w:p w:rsidR="002B5389" w:rsidP="003D3BEF" w14:paraId="22286097" w14:textId="77777777">
      <w:pPr>
        <w:pStyle w:val="FootnoteText"/>
        <w:rPr>
          <w:rtl/>
        </w:rPr>
      </w:pPr>
      <w:r>
        <w:rPr>
          <w:rStyle w:val="FootnoteReference"/>
        </w:rPr>
        <w:footnoteRef/>
      </w:r>
      <w:r>
        <w:rPr>
          <w:rtl/>
        </w:rPr>
        <w:t xml:space="preserve"> </w:t>
      </w:r>
      <w:r>
        <w:rPr>
          <w:rtl/>
        </w:rPr>
        <w:tab/>
      </w:r>
      <w:r>
        <w:rPr>
          <w:rFonts w:hint="cs"/>
          <w:rtl/>
        </w:rPr>
        <w:t>פחת גבייה הוא ההפרש בין חיובי הצרכנים לסכומי חוב שלא נגבו.</w:t>
      </w:r>
    </w:p>
  </w:footnote>
  <w:footnote w:id="22">
    <w:p w:rsidR="002B5389" w:rsidP="00F803B1" w14:paraId="020E4100" w14:textId="77777777">
      <w:pPr>
        <w:pStyle w:val="FootnoteText"/>
        <w:rPr>
          <w:rtl/>
        </w:rPr>
      </w:pPr>
      <w:r>
        <w:rPr>
          <w:rStyle w:val="FootnoteReference"/>
        </w:rPr>
        <w:footnoteRef/>
      </w:r>
      <w:r>
        <w:rPr>
          <w:rFonts w:hint="cs"/>
          <w:rtl/>
        </w:rPr>
        <w:t xml:space="preserve"> </w:t>
      </w:r>
      <w:r>
        <w:rPr>
          <w:rtl/>
        </w:rPr>
        <w:tab/>
      </w:r>
      <w:r w:rsidRPr="00606067">
        <w:rPr>
          <w:rtl/>
        </w:rPr>
        <w:t xml:space="preserve">נוסף </w:t>
      </w:r>
      <w:r>
        <w:rPr>
          <w:rFonts w:hint="cs"/>
          <w:rtl/>
        </w:rPr>
        <w:t>על ה</w:t>
      </w:r>
      <w:r w:rsidRPr="00606067">
        <w:rPr>
          <w:rtl/>
        </w:rPr>
        <w:t xml:space="preserve">מרכיבים המוצגים בתרשים, קיימים גם הפרשים משנים קודמות וסבסודים בסך שלילי כולל של 0.17- </w:t>
      </w:r>
      <w:r w:rsidR="00F803B1">
        <w:rPr>
          <w:rFonts w:hint="cs"/>
          <w:rtl/>
        </w:rPr>
        <w:t>ש"ח</w:t>
      </w:r>
      <w:r w:rsidRPr="00606067">
        <w:rPr>
          <w:rtl/>
        </w:rPr>
        <w:t xml:space="preserve"> למ"ק.</w:t>
      </w:r>
    </w:p>
  </w:footnote>
  <w:footnote w:id="23">
    <w:p w:rsidR="002B5389" w:rsidP="003D3BEF" w14:paraId="77E03CB1" w14:textId="77777777">
      <w:pPr>
        <w:pStyle w:val="FootnoteText"/>
        <w:rPr>
          <w:rtl/>
        </w:rPr>
      </w:pPr>
      <w:r>
        <w:rPr>
          <w:rStyle w:val="FootnoteReference"/>
        </w:rPr>
        <w:footnoteRef/>
      </w:r>
      <w:r>
        <w:rPr>
          <w:rtl/>
        </w:rPr>
        <w:t xml:space="preserve"> </w:t>
      </w:r>
      <w:r>
        <w:rPr>
          <w:rtl/>
        </w:rPr>
        <w:tab/>
      </w:r>
      <w:r>
        <w:rPr>
          <w:rFonts w:hint="cs"/>
          <w:rtl/>
        </w:rPr>
        <w:t xml:space="preserve">יצוין כי </w:t>
      </w:r>
      <w:r w:rsidRPr="00987F8F">
        <w:rPr>
          <w:rtl/>
        </w:rPr>
        <w:t>לצורך קביעת העלויות הנורמטיביות סיווגה רשות המים את התאגידים ל</w:t>
      </w:r>
      <w:r>
        <w:rPr>
          <w:rFonts w:hint="cs"/>
          <w:rtl/>
        </w:rPr>
        <w:t xml:space="preserve">פי </w:t>
      </w:r>
      <w:r w:rsidRPr="00987F8F">
        <w:rPr>
          <w:rtl/>
        </w:rPr>
        <w:t>ארבע קבוצות: תאגידים חזקים (</w:t>
      </w:r>
      <w:r>
        <w:rPr>
          <w:rFonts w:hint="cs"/>
          <w:rtl/>
        </w:rPr>
        <w:t xml:space="preserve">תאגידים </w:t>
      </w:r>
      <w:r w:rsidRPr="00987F8F">
        <w:rPr>
          <w:rtl/>
        </w:rPr>
        <w:t>חד</w:t>
      </w:r>
      <w:r>
        <w:rPr>
          <w:rFonts w:hint="cs"/>
          <w:rtl/>
        </w:rPr>
        <w:t>-</w:t>
      </w:r>
      <w:r w:rsidRPr="00987F8F">
        <w:rPr>
          <w:rtl/>
        </w:rPr>
        <w:t xml:space="preserve">רשותיים </w:t>
      </w:r>
      <w:r>
        <w:rPr>
          <w:rFonts w:hint="cs"/>
          <w:rtl/>
        </w:rPr>
        <w:t>ו</w:t>
      </w:r>
      <w:r w:rsidRPr="00987F8F">
        <w:rPr>
          <w:rtl/>
        </w:rPr>
        <w:t>רב</w:t>
      </w:r>
      <w:r>
        <w:rPr>
          <w:rFonts w:hint="cs"/>
          <w:rtl/>
        </w:rPr>
        <w:t>-</w:t>
      </w:r>
      <w:r w:rsidRPr="00987F8F">
        <w:rPr>
          <w:rtl/>
        </w:rPr>
        <w:t>רשותיים), תאגידים בינוניים (</w:t>
      </w:r>
      <w:r>
        <w:rPr>
          <w:rFonts w:hint="cs"/>
          <w:rtl/>
        </w:rPr>
        <w:t>תאגידים</w:t>
      </w:r>
      <w:r w:rsidRPr="00987F8F">
        <w:rPr>
          <w:rtl/>
        </w:rPr>
        <w:t xml:space="preserve"> חד</w:t>
      </w:r>
      <w:r>
        <w:rPr>
          <w:rFonts w:hint="cs"/>
          <w:rtl/>
        </w:rPr>
        <w:t>-</w:t>
      </w:r>
      <w:r w:rsidRPr="00987F8F">
        <w:rPr>
          <w:rtl/>
        </w:rPr>
        <w:t xml:space="preserve">רשותיים </w:t>
      </w:r>
      <w:r>
        <w:rPr>
          <w:rFonts w:hint="cs"/>
          <w:rtl/>
        </w:rPr>
        <w:t>ו</w:t>
      </w:r>
      <w:r w:rsidRPr="00987F8F">
        <w:rPr>
          <w:rtl/>
        </w:rPr>
        <w:t>רב</w:t>
      </w:r>
      <w:r>
        <w:rPr>
          <w:rFonts w:hint="cs"/>
          <w:rtl/>
        </w:rPr>
        <w:t>-</w:t>
      </w:r>
      <w:r w:rsidRPr="00987F8F">
        <w:rPr>
          <w:rtl/>
        </w:rPr>
        <w:t>רשותיים), תאגידים רב</w:t>
      </w:r>
      <w:r>
        <w:rPr>
          <w:rFonts w:hint="cs"/>
          <w:rtl/>
        </w:rPr>
        <w:t>-</w:t>
      </w:r>
      <w:r w:rsidRPr="00987F8F">
        <w:rPr>
          <w:rtl/>
        </w:rPr>
        <w:t>רשותיים חלשים ותאגידים חד</w:t>
      </w:r>
      <w:r>
        <w:rPr>
          <w:rFonts w:hint="cs"/>
          <w:rtl/>
        </w:rPr>
        <w:t>-</w:t>
      </w:r>
      <w:r w:rsidRPr="00987F8F">
        <w:rPr>
          <w:rtl/>
        </w:rPr>
        <w:t>רשותיים חלשים.</w:t>
      </w:r>
    </w:p>
  </w:footnote>
  <w:footnote w:id="24">
    <w:p w:rsidR="002B5389" w:rsidP="003D3BEF" w14:paraId="70854C22" w14:textId="77777777">
      <w:pPr>
        <w:pStyle w:val="FootnoteText"/>
        <w:rPr>
          <w:rtl/>
        </w:rPr>
      </w:pPr>
      <w:r>
        <w:rPr>
          <w:rStyle w:val="FootnoteReference"/>
        </w:rPr>
        <w:footnoteRef/>
      </w:r>
      <w:r>
        <w:rPr>
          <w:rtl/>
        </w:rPr>
        <w:t xml:space="preserve"> </w:t>
      </w:r>
      <w:r>
        <w:rPr>
          <w:rtl/>
        </w:rPr>
        <w:tab/>
      </w:r>
      <w:r>
        <w:rPr>
          <w:rFonts w:hint="cs"/>
          <w:rtl/>
        </w:rPr>
        <w:t xml:space="preserve">רשות </w:t>
      </w:r>
      <w:r w:rsidRPr="00B4197D">
        <w:rPr>
          <w:rtl/>
        </w:rPr>
        <w:t xml:space="preserve">המים ציינה בתשובתה ממאי 2020 כי בשנת 2000 כל המים השפירים בישראל הופקו ממקורות טבעיים, </w:t>
      </w:r>
      <w:r>
        <w:rPr>
          <w:rFonts w:hint="cs"/>
          <w:rtl/>
        </w:rPr>
        <w:t xml:space="preserve">ואילו </w:t>
      </w:r>
      <w:r w:rsidRPr="00B4197D">
        <w:rPr>
          <w:rtl/>
        </w:rPr>
        <w:t>בשנת 2020 כ-50% מכלל המים השפירים בישראל וכ-80% מהמים המשמשים למטרות הבית ותעשייה, הם מים מותפלים, שעלות ייצורם גבוהה משמעותית מעלות ההפקה של מים ממקור טבעי.</w:t>
      </w:r>
    </w:p>
  </w:footnote>
  <w:footnote w:id="25">
    <w:p w:rsidR="002B5389" w:rsidP="003D3BEF" w14:paraId="44C6B29B" w14:textId="77777777">
      <w:pPr>
        <w:pStyle w:val="FootnoteText"/>
        <w:rPr>
          <w:rtl/>
        </w:rPr>
      </w:pPr>
      <w:r>
        <w:rPr>
          <w:rStyle w:val="FootnoteReference"/>
        </w:rPr>
        <w:footnoteRef/>
      </w:r>
      <w:r>
        <w:rPr>
          <w:rtl/>
        </w:rPr>
        <w:t xml:space="preserve"> </w:t>
      </w:r>
      <w:r>
        <w:rPr>
          <w:rtl/>
        </w:rPr>
        <w:tab/>
      </w:r>
      <w:r>
        <w:rPr>
          <w:rFonts w:hint="cs"/>
          <w:rtl/>
        </w:rPr>
        <w:t xml:space="preserve">רשות </w:t>
      </w:r>
      <w:r w:rsidRPr="00B4197D">
        <w:rPr>
          <w:rtl/>
        </w:rPr>
        <w:t xml:space="preserve">המים ציינה בתשובתה ממאי 2020 כי בשנת 2000 כל הקולחין בישראל היו ברמה ירודה או בסיסית, </w:t>
      </w:r>
      <w:r>
        <w:rPr>
          <w:rFonts w:hint="cs"/>
          <w:rtl/>
        </w:rPr>
        <w:t xml:space="preserve">ואילו </w:t>
      </w:r>
      <w:r w:rsidRPr="00B4197D">
        <w:rPr>
          <w:rtl/>
        </w:rPr>
        <w:t>בשנת 2020 רק 4% מהקולחין הם ברמה ירודה, ולמעלה מ - 60% מהקולחין מהם ברמת השקיה ללא הגבלות ואף באיכות הזרמה לנחל.</w:t>
      </w:r>
    </w:p>
  </w:footnote>
  <w:footnote w:id="26">
    <w:p w:rsidR="002B5389" w:rsidP="003D3BEF" w14:paraId="15BEC0B3" w14:textId="77777777">
      <w:pPr>
        <w:pStyle w:val="FootnoteText"/>
        <w:rPr>
          <w:rtl/>
        </w:rPr>
      </w:pPr>
      <w:r>
        <w:rPr>
          <w:rStyle w:val="FootnoteReference"/>
        </w:rPr>
        <w:footnoteRef/>
      </w:r>
      <w:r>
        <w:rPr>
          <w:rtl/>
        </w:rPr>
        <w:t xml:space="preserve"> </w:t>
      </w:r>
      <w:r>
        <w:rPr>
          <w:rtl/>
        </w:rPr>
        <w:tab/>
      </w:r>
      <w:r>
        <w:rPr>
          <w:rFonts w:hint="cs"/>
          <w:rtl/>
        </w:rPr>
        <w:t>אף שחוק התאגידים נחקק בשנת 2001, רוב התאגידים הוקמו בשנים 2011-2009.</w:t>
      </w:r>
    </w:p>
  </w:footnote>
  <w:footnote w:id="27">
    <w:p w:rsidR="002B5389" w:rsidP="003D3BEF" w14:paraId="51F34514" w14:textId="77777777">
      <w:pPr>
        <w:pStyle w:val="FootnoteText"/>
      </w:pPr>
      <w:r>
        <w:rPr>
          <w:rStyle w:val="FootnoteReference"/>
        </w:rPr>
        <w:footnoteRef/>
      </w:r>
      <w:r>
        <w:rPr>
          <w:rtl/>
        </w:rPr>
        <w:t xml:space="preserve"> </w:t>
      </w:r>
      <w:r>
        <w:rPr>
          <w:rtl/>
        </w:rPr>
        <w:tab/>
      </w:r>
      <w:r>
        <w:rPr>
          <w:rFonts w:hint="cs"/>
          <w:rtl/>
        </w:rPr>
        <w:t>דירוג חברתי-כלכלי של האוכלוסיי</w:t>
      </w:r>
      <w:r>
        <w:rPr>
          <w:rFonts w:hint="eastAsia"/>
          <w:rtl/>
        </w:rPr>
        <w:t>ה</w:t>
      </w:r>
      <w:r>
        <w:rPr>
          <w:rFonts w:hint="cs"/>
          <w:rtl/>
        </w:rPr>
        <w:t xml:space="preserve"> המקבלת שירות מהתאגיד, לפי נתוני הלשכה המרכזית לסטטיסטיקה.</w:t>
      </w:r>
    </w:p>
  </w:footnote>
  <w:footnote w:id="28">
    <w:p w:rsidR="002B5389" w:rsidP="003D3BEF" w14:paraId="7CADF6FD" w14:textId="77777777">
      <w:pPr>
        <w:pStyle w:val="FootnoteText"/>
      </w:pPr>
      <w:r>
        <w:rPr>
          <w:rStyle w:val="FootnoteReference"/>
        </w:rPr>
        <w:footnoteRef/>
      </w:r>
      <w:r>
        <w:rPr>
          <w:rtl/>
        </w:rPr>
        <w:t xml:space="preserve"> </w:t>
      </w:r>
      <w:r>
        <w:rPr>
          <w:rtl/>
        </w:rPr>
        <w:tab/>
      </w:r>
      <w:r>
        <w:rPr>
          <w:rFonts w:hint="cs"/>
          <w:rtl/>
        </w:rPr>
        <w:t>על פי נתוני אתר הלשכה המרכזית לסטיסטיקה לגבי הרשויות המקומיות בישראל לשנת 2017.</w:t>
      </w:r>
    </w:p>
  </w:footnote>
  <w:footnote w:id="29">
    <w:p w:rsidR="002B5389" w:rsidP="003D3BEF" w14:paraId="38E9493D" w14:textId="77777777">
      <w:pPr>
        <w:pStyle w:val="FootnoteText"/>
        <w:rPr>
          <w:rtl/>
        </w:rPr>
      </w:pPr>
      <w:r>
        <w:rPr>
          <w:rStyle w:val="FootnoteReference"/>
        </w:rPr>
        <w:footnoteRef/>
      </w:r>
      <w:r>
        <w:rPr>
          <w:rtl/>
        </w:rPr>
        <w:t xml:space="preserve"> </w:t>
      </w:r>
      <w:r>
        <w:rPr>
          <w:rtl/>
        </w:rPr>
        <w:tab/>
      </w:r>
      <w:r>
        <w:rPr>
          <w:rFonts w:hint="cs"/>
          <w:rtl/>
        </w:rPr>
        <w:t xml:space="preserve">דוח של </w:t>
      </w:r>
      <w:r>
        <w:rPr>
          <w:rFonts w:hint="cs"/>
        </w:rPr>
        <w:t>EUREAU - THE GOVERNANCE OF WATER SERVICES IN EUROPE</w:t>
      </w:r>
      <w:r>
        <w:rPr>
          <w:rFonts w:hint="cs"/>
          <w:rtl/>
        </w:rPr>
        <w:t>, המאגד נתונים שנוגעים ל-29 מדינות אירופיות החברות ב</w:t>
      </w:r>
      <w:r>
        <w:rPr>
          <w:rFonts w:hint="cs"/>
        </w:rPr>
        <w:t xml:space="preserve"> EUREAU</w:t>
      </w:r>
      <w:r>
        <w:t>-</w:t>
      </w:r>
      <w:r>
        <w:rPr>
          <w:rFonts w:hint="cs"/>
          <w:rtl/>
        </w:rPr>
        <w:t>.</w:t>
      </w:r>
    </w:p>
  </w:footnote>
  <w:footnote w:id="30">
    <w:p w:rsidR="002B5389" w:rsidP="003D3BEF" w14:paraId="68AB706A" w14:textId="77777777">
      <w:pPr>
        <w:pStyle w:val="FootnoteText"/>
      </w:pPr>
      <w:r>
        <w:rPr>
          <w:rStyle w:val="FootnoteReference"/>
        </w:rPr>
        <w:footnoteRef/>
      </w:r>
      <w:r>
        <w:rPr>
          <w:rtl/>
        </w:rPr>
        <w:t xml:space="preserve"> </w:t>
      </w:r>
      <w:r>
        <w:rPr>
          <w:rtl/>
        </w:rPr>
        <w:tab/>
      </w:r>
      <w:r>
        <w:rPr>
          <w:rFonts w:hint="cs"/>
          <w:rtl/>
        </w:rPr>
        <w:t>המונח במסמך המקור:</w:t>
      </w:r>
      <w:r>
        <w:t>Consumers-owned water service providers</w:t>
      </w:r>
      <w:r>
        <w:rPr>
          <w:rFonts w:hint="cs"/>
          <w:rtl/>
        </w:rPr>
        <w:t xml:space="preserve"> </w:t>
      </w:r>
    </w:p>
  </w:footnote>
  <w:footnote w:id="31">
    <w:p w:rsidR="002B5389" w:rsidP="003D3BEF" w14:paraId="140488BF" w14:textId="77777777">
      <w:pPr>
        <w:pStyle w:val="FootnoteText"/>
        <w:rPr>
          <w:rtl/>
        </w:rPr>
      </w:pPr>
      <w:r>
        <w:rPr>
          <w:rStyle w:val="FootnoteReference"/>
        </w:rPr>
        <w:footnoteRef/>
      </w:r>
      <w:r>
        <w:rPr>
          <w:rtl/>
        </w:rPr>
        <w:t xml:space="preserve"> </w:t>
      </w:r>
      <w:r>
        <w:rPr>
          <w:rtl/>
        </w:rPr>
        <w:tab/>
      </w:r>
      <w:r>
        <w:rPr>
          <w:rFonts w:hint="cs"/>
          <w:rtl/>
        </w:rPr>
        <w:t>דוח רשות המים, "תיאגוד אזורי של תאגידי מים וביוב בישראל הצעה למתווה ובחינת כדאיות כלכלית", אפריל 2013, עמ' 14. ( להלן - דוח 2013)</w:t>
      </w:r>
    </w:p>
  </w:footnote>
  <w:footnote w:id="32">
    <w:p w:rsidR="002B5389" w:rsidP="003D3BEF" w14:paraId="0CFED2FE" w14:textId="77777777">
      <w:pPr>
        <w:pStyle w:val="FootnoteText"/>
      </w:pPr>
      <w:r>
        <w:rPr>
          <w:rStyle w:val="FootnoteReference"/>
        </w:rPr>
        <w:footnoteRef/>
      </w:r>
      <w:r>
        <w:rPr>
          <w:rtl/>
        </w:rPr>
        <w:t xml:space="preserve"> </w:t>
      </w:r>
      <w:r>
        <w:rPr>
          <w:rtl/>
        </w:rPr>
        <w:tab/>
      </w:r>
      <w:r>
        <w:rPr>
          <w:rFonts w:hint="cs"/>
          <w:rtl/>
        </w:rPr>
        <w:t xml:space="preserve">על פי דוח 2013 חלוקת התאגידים נעשתה כדלקמן: "תאגיד קטן - תאגיד שסך הכנסותיו לא עלה על 45 מיליון ש"ח; תאגיד בינוני - תאגיד שסך הכנסותיו עמד בין 45 ל - 65 מיליון ש"ח; תאגיד גדול - תאגיד שסך הכנסותיו על על 65 מיליון ש"ח". </w:t>
      </w:r>
    </w:p>
  </w:footnote>
  <w:footnote w:id="33">
    <w:p w:rsidR="002B5389" w:rsidP="003D3BEF" w14:paraId="26F11851" w14:textId="77777777">
      <w:pPr>
        <w:pStyle w:val="FootnoteText"/>
      </w:pPr>
      <w:r>
        <w:rPr>
          <w:rStyle w:val="FootnoteReference"/>
        </w:rPr>
        <w:footnoteRef/>
      </w:r>
      <w:r>
        <w:rPr>
          <w:rtl/>
        </w:rPr>
        <w:t xml:space="preserve"> </w:t>
      </w:r>
      <w:r>
        <w:rPr>
          <w:rtl/>
        </w:rPr>
        <w:tab/>
      </w:r>
      <w:r>
        <w:rPr>
          <w:rFonts w:hint="cs"/>
          <w:rtl/>
        </w:rPr>
        <w:t>"דוח הוועדה המייעצת לאסדרת רגולציה כלכלית ארוכת טווח למשק המים</w:t>
      </w:r>
      <w:r w:rsidRPr="001E116C">
        <w:rPr>
          <w:rFonts w:hint="cs"/>
          <w:rtl/>
        </w:rPr>
        <w:t>"</w:t>
      </w:r>
      <w:r>
        <w:rPr>
          <w:rFonts w:hint="cs"/>
          <w:rtl/>
        </w:rPr>
        <w:t>, פברואר 2019, עמ' 59.</w:t>
      </w:r>
    </w:p>
  </w:footnote>
  <w:footnote w:id="34">
    <w:p w:rsidR="002B5389" w:rsidP="003D3BEF" w14:paraId="0A3E9E31" w14:textId="77777777">
      <w:pPr>
        <w:pStyle w:val="FootnoteText"/>
        <w:rPr>
          <w:rtl/>
        </w:rPr>
      </w:pPr>
      <w:r>
        <w:rPr>
          <w:rStyle w:val="FootnoteReference"/>
        </w:rPr>
        <w:footnoteRef/>
      </w:r>
      <w:r>
        <w:rPr>
          <w:rtl/>
        </w:rPr>
        <w:t xml:space="preserve"> </w:t>
      </w:r>
      <w:r>
        <w:rPr>
          <w:rtl/>
        </w:rPr>
        <w:tab/>
      </w:r>
      <w:r w:rsidRPr="005D02D4">
        <w:rPr>
          <w:rtl/>
        </w:rPr>
        <w:t xml:space="preserve">כללי תאגידי מים וביוב (קביעת תנאים ברישיון) (קיום רצף במתן שירותי מים וביוב ושעבודים), התשע"א-2011. מטרתם של הכללים היא לקבוע מתכונת אחידה של הוראות שיש לכלול ברישיון שניתן לחברה, הנוגעות להבטחת קיום רצף במתן שירותי מים וביוב ושמירה על איתנותה הפיננסית. המטרה היא להגביל </w:t>
      </w:r>
      <w:r>
        <w:rPr>
          <w:rFonts w:hint="cs"/>
          <w:rtl/>
        </w:rPr>
        <w:t xml:space="preserve">לקיחת </w:t>
      </w:r>
      <w:r w:rsidRPr="005D02D4">
        <w:rPr>
          <w:rtl/>
        </w:rPr>
        <w:t xml:space="preserve">הלוואות במקרים </w:t>
      </w:r>
      <w:r>
        <w:rPr>
          <w:rFonts w:hint="cs"/>
          <w:rtl/>
        </w:rPr>
        <w:t>ש</w:t>
      </w:r>
      <w:r w:rsidRPr="005D02D4">
        <w:rPr>
          <w:rtl/>
        </w:rPr>
        <w:t xml:space="preserve">בהם תאגיד צפוי </w:t>
      </w:r>
      <w:r>
        <w:rPr>
          <w:rFonts w:hint="cs"/>
          <w:rtl/>
        </w:rPr>
        <w:t>ש</w:t>
      </w:r>
      <w:r w:rsidRPr="005D02D4">
        <w:rPr>
          <w:rtl/>
        </w:rPr>
        <w:t>לא לעמוד באמות מידה פיננסיות מזעריות, וכן להגביל את סוג הנכסים שהתאגיד רשאי לשעבד.</w:t>
      </w:r>
    </w:p>
  </w:footnote>
  <w:footnote w:id="35">
    <w:p w:rsidR="002B5389" w:rsidP="003D3BEF" w14:paraId="1F476B36" w14:textId="77777777">
      <w:pPr>
        <w:pStyle w:val="FootnoteText"/>
      </w:pPr>
      <w:r>
        <w:rPr>
          <w:rStyle w:val="FootnoteReference"/>
        </w:rPr>
        <w:footnoteRef/>
      </w:r>
      <w:r>
        <w:rPr>
          <w:rtl/>
        </w:rPr>
        <w:t xml:space="preserve"> </w:t>
      </w:r>
      <w:r>
        <w:rPr>
          <w:rtl/>
        </w:rPr>
        <w:tab/>
      </w:r>
      <w:r>
        <w:rPr>
          <w:rFonts w:hint="cs"/>
          <w:rtl/>
        </w:rPr>
        <w:t xml:space="preserve">נקבע </w:t>
      </w:r>
      <w:r w:rsidRPr="005D02D4">
        <w:rPr>
          <w:rtl/>
        </w:rPr>
        <w:t>בתיקון לכללי תאגידי מים וביוב (קביעת תנאים ברישיון) (קיום רצף במתן שירותי מים וביוב ושעבודים), התשע"ח-2017, סעיף 4(א).</w:t>
      </w:r>
    </w:p>
  </w:footnote>
  <w:footnote w:id="36">
    <w:p w:rsidR="002B5389" w:rsidP="003D3BEF" w14:paraId="11E8ACF1" w14:textId="77777777">
      <w:pPr>
        <w:pStyle w:val="FootnoteText"/>
      </w:pPr>
      <w:r>
        <w:rPr>
          <w:rStyle w:val="FootnoteReference"/>
        </w:rPr>
        <w:footnoteRef/>
      </w:r>
      <w:r>
        <w:rPr>
          <w:rtl/>
        </w:rPr>
        <w:t xml:space="preserve"> </w:t>
      </w:r>
      <w:r>
        <w:rPr>
          <w:rtl/>
        </w:rPr>
        <w:tab/>
      </w:r>
      <w:r>
        <w:rPr>
          <w:rFonts w:hint="cs"/>
          <w:rtl/>
        </w:rPr>
        <w:t xml:space="preserve">היחס </w:t>
      </w:r>
      <w:r w:rsidRPr="009A1FB1">
        <w:rPr>
          <w:rtl/>
        </w:rPr>
        <w:t>שבין הרווח התפעולי המצטבר בחמש השנים שאליהן מתייחסת התכנית העסקית לבין הסכום המצטבר של הוצאות המימון והחלויות השוטפות באותה תקופה.</w:t>
      </w:r>
    </w:p>
  </w:footnote>
  <w:footnote w:id="37">
    <w:p w:rsidR="002B5389" w:rsidP="003D3BEF" w14:paraId="263F677A" w14:textId="77777777">
      <w:pPr>
        <w:pStyle w:val="FootnoteText"/>
        <w:rPr>
          <w:rtl/>
        </w:rPr>
      </w:pPr>
      <w:r>
        <w:rPr>
          <w:rStyle w:val="FootnoteReference"/>
        </w:rPr>
        <w:footnoteRef/>
      </w:r>
      <w:r>
        <w:rPr>
          <w:rtl/>
        </w:rPr>
        <w:t xml:space="preserve"> </w:t>
      </w:r>
      <w:r>
        <w:rPr>
          <w:rtl/>
        </w:rPr>
        <w:tab/>
      </w:r>
      <w:r>
        <w:rPr>
          <w:rFonts w:hint="cs"/>
          <w:rtl/>
        </w:rPr>
        <w:t xml:space="preserve">כללי </w:t>
      </w:r>
      <w:r w:rsidRPr="009A1FB1">
        <w:rPr>
          <w:rtl/>
        </w:rPr>
        <w:t>תאגידי מים וביוב (ייעוד רווחים), התשע"ד-2014. בדברי ההסבר נאמר כי התנאים נועדו להבטיח שחלוקת דיבידנדים לבעלי המניות לא תפגע ביציבותם הכלכלית של התאגידים ולא תגרום לזליגת כספים המיועדים לעמידה בסטנדרט שנקבע לתאגידים בחוק ובכלל זה, עמידה בתכנית ההשקעות ובנורמות התפעול.</w:t>
      </w:r>
    </w:p>
  </w:footnote>
  <w:footnote w:id="38">
    <w:p w:rsidR="002B5389" w:rsidP="003D3BEF" w14:paraId="69718990" w14:textId="77777777">
      <w:pPr>
        <w:pStyle w:val="FootnoteText"/>
        <w:rPr>
          <w:rtl/>
        </w:rPr>
      </w:pPr>
      <w:r>
        <w:rPr>
          <w:rStyle w:val="FootnoteReference"/>
        </w:rPr>
        <w:footnoteRef/>
      </w:r>
      <w:r>
        <w:rPr>
          <w:rtl/>
        </w:rPr>
        <w:t xml:space="preserve"> </w:t>
      </w:r>
      <w:r>
        <w:rPr>
          <w:rtl/>
        </w:rPr>
        <w:tab/>
      </w:r>
      <w:r>
        <w:rPr>
          <w:rFonts w:hint="cs"/>
          <w:rtl/>
        </w:rPr>
        <w:t xml:space="preserve">היחס </w:t>
      </w:r>
      <w:r w:rsidRPr="009A1FB1">
        <w:rPr>
          <w:rtl/>
        </w:rPr>
        <w:t>בין הרווח התפעולי לפני הוצאות מימון ופחת (</w:t>
      </w:r>
      <w:r w:rsidRPr="009A1FB1">
        <w:t>EBIDA</w:t>
      </w:r>
      <w:r w:rsidRPr="009A1FB1">
        <w:rPr>
          <w:rtl/>
        </w:rPr>
        <w:t xml:space="preserve">) </w:t>
      </w:r>
      <w:r>
        <w:rPr>
          <w:rFonts w:hint="cs"/>
          <w:rtl/>
        </w:rPr>
        <w:t>בניכוי</w:t>
      </w:r>
      <w:r w:rsidRPr="009A1FB1">
        <w:rPr>
          <w:rtl/>
        </w:rPr>
        <w:t xml:space="preserve"> ההשקעות הנדרשות בשיקום ובפיתוח תשתיות לרבות היטלי הפיתוח שנגבו בשנה הנבחנת, בתוספת הכנסות אחרות לרבות מענקי תיאגוד, הכנסות בגין טיהור שפכים והכנסות תפעוליות אחרות בעלות אופי מתמשך ובניכוי סכום הרווחים המבוקשים לחלוקה בין הוצאות מימון וחלויות שוטפות של השנה הנבחנת.</w:t>
      </w:r>
    </w:p>
  </w:footnote>
  <w:footnote w:id="39">
    <w:p w:rsidR="002B5389" w:rsidP="003D3BEF" w14:paraId="43B735C6" w14:textId="77777777">
      <w:pPr>
        <w:pStyle w:val="FootnoteText"/>
      </w:pPr>
      <w:r>
        <w:rPr>
          <w:rStyle w:val="FootnoteReference"/>
        </w:rPr>
        <w:footnoteRef/>
      </w:r>
      <w:r>
        <w:rPr>
          <w:rFonts w:hint="cs"/>
          <w:rtl/>
        </w:rPr>
        <w:t xml:space="preserve"> </w:t>
      </w:r>
      <w:r>
        <w:rPr>
          <w:rtl/>
        </w:rPr>
        <w:tab/>
      </w:r>
      <w:r w:rsidRPr="009A1FB1">
        <w:rPr>
          <w:rtl/>
        </w:rPr>
        <w:t>סעיף 6ו(א)</w:t>
      </w:r>
    </w:p>
  </w:footnote>
  <w:footnote w:id="40">
    <w:p w:rsidR="002B5389" w:rsidP="003D3BEF" w14:paraId="6696CC50" w14:textId="77777777">
      <w:pPr>
        <w:pStyle w:val="FootnoteText"/>
        <w:rPr>
          <w:rtl/>
        </w:rPr>
      </w:pPr>
      <w:r>
        <w:rPr>
          <w:rStyle w:val="FootnoteReference"/>
        </w:rPr>
        <w:footnoteRef/>
      </w:r>
      <w:r>
        <w:rPr>
          <w:rtl/>
        </w:rPr>
        <w:t xml:space="preserve"> </w:t>
      </w:r>
      <w:r>
        <w:rPr>
          <w:rtl/>
        </w:rPr>
        <w:tab/>
      </w:r>
      <w:r w:rsidR="00DB5F19">
        <w:rPr>
          <w:rtl/>
        </w:rPr>
        <w:t>בהתאם לסעיף 21א</w:t>
      </w:r>
      <w:r w:rsidRPr="009A1FB1">
        <w:rPr>
          <w:rtl/>
        </w:rPr>
        <w:t>(א) לחוק התאגידים</w:t>
      </w:r>
      <w:r>
        <w:rPr>
          <w:rFonts w:hint="cs"/>
          <w:rtl/>
        </w:rPr>
        <w:t xml:space="preserve"> </w:t>
      </w:r>
      <w:r w:rsidRPr="009A1FB1">
        <w:rPr>
          <w:rtl/>
        </w:rPr>
        <w:t>" מועצת הרשות תקבע כללים לעניין מתן רישיונות, קביעת תנאים בהם ושינוים, ולעניין ביטול רישיונות והגבלתם לרבות לעניין הגבלות על העברת רישיון, שעבוד ועיקול לפי סעיף 19, הבטחת האיתנות הפיננסית של חברה והתנהלות הנאותה"</w:t>
      </w:r>
      <w:r>
        <w:rPr>
          <w:rFonts w:hint="cs"/>
          <w:rtl/>
        </w:rPr>
        <w:t>.</w:t>
      </w:r>
    </w:p>
  </w:footnote>
  <w:footnote w:id="41">
    <w:p w:rsidR="002B5389" w:rsidP="003D3BEF" w14:paraId="4228FBAB" w14:textId="77777777">
      <w:pPr>
        <w:pStyle w:val="FootnoteText"/>
      </w:pPr>
      <w:r>
        <w:rPr>
          <w:rStyle w:val="FootnoteReference"/>
        </w:rPr>
        <w:footnoteRef/>
      </w:r>
      <w:r>
        <w:rPr>
          <w:rtl/>
        </w:rPr>
        <w:t xml:space="preserve"> </w:t>
      </w:r>
      <w:r>
        <w:rPr>
          <w:rtl/>
        </w:rPr>
        <w:tab/>
      </w:r>
      <w:r>
        <w:rPr>
          <w:rFonts w:hint="cs"/>
          <w:rtl/>
        </w:rPr>
        <w:t xml:space="preserve">יחס </w:t>
      </w:r>
      <w:r w:rsidRPr="009A1FB1">
        <w:rPr>
          <w:rtl/>
        </w:rPr>
        <w:t>כיסוי החוב</w:t>
      </w:r>
      <w:r>
        <w:rPr>
          <w:rtl/>
        </w:rPr>
        <w:t xml:space="preserve"> </w:t>
      </w:r>
      <w:r w:rsidRPr="009A1FB1">
        <w:rPr>
          <w:rtl/>
        </w:rPr>
        <w:t>הוגדר בתוספת כיחס שבין הרווח התפעולי המצטבר בחמש השנים שאליהן מתייחסת התכנית העסקית לבין הסכום המצטבר של הוצאות מימון והחלויות השוטפות באותה תקופה.</w:t>
      </w:r>
    </w:p>
  </w:footnote>
  <w:footnote w:id="42">
    <w:p w:rsidR="002B5389" w:rsidP="003D3BEF" w14:paraId="394BAA76" w14:textId="77777777">
      <w:pPr>
        <w:pStyle w:val="FootnoteText"/>
      </w:pPr>
      <w:r>
        <w:rPr>
          <w:rStyle w:val="FootnoteReference"/>
        </w:rPr>
        <w:footnoteRef/>
      </w:r>
      <w:r>
        <w:rPr>
          <w:rtl/>
        </w:rPr>
        <w:t xml:space="preserve"> </w:t>
      </w:r>
      <w:r>
        <w:rPr>
          <w:rtl/>
        </w:rPr>
        <w:tab/>
      </w:r>
      <w:r>
        <w:rPr>
          <w:rFonts w:hint="cs"/>
          <w:rtl/>
        </w:rPr>
        <w:t xml:space="preserve">סעיף </w:t>
      </w:r>
      <w:r w:rsidRPr="00DA6B1E">
        <w:rPr>
          <w:rtl/>
        </w:rPr>
        <w:t>6ו(ב) לחוק התאגידים.</w:t>
      </w:r>
    </w:p>
  </w:footnote>
  <w:footnote w:id="43">
    <w:p w:rsidR="002B5389" w:rsidP="003D3BEF" w14:paraId="26D73474" w14:textId="77777777">
      <w:pPr>
        <w:pStyle w:val="FootnoteText"/>
        <w:rPr>
          <w:rtl/>
        </w:rPr>
      </w:pPr>
      <w:r>
        <w:rPr>
          <w:rStyle w:val="FootnoteReference"/>
        </w:rPr>
        <w:footnoteRef/>
      </w:r>
      <w:r>
        <w:rPr>
          <w:rtl/>
        </w:rPr>
        <w:t xml:space="preserve"> </w:t>
      </w:r>
      <w:r>
        <w:rPr>
          <w:rtl/>
        </w:rPr>
        <w:tab/>
      </w:r>
      <w:r>
        <w:rPr>
          <w:rFonts w:hint="cs"/>
          <w:rtl/>
        </w:rPr>
        <w:t>לפי סיווג הרשות, כפי שמופיע ב"דוח הוועדה המייעצת להסדרת רגולציה כלכלית ארוכת טווח למשק המים", פברואר 2019, עמ' 44.</w:t>
      </w:r>
    </w:p>
  </w:footnote>
  <w:footnote w:id="44">
    <w:p w:rsidR="002B5389" w:rsidP="003D3BEF" w14:paraId="290419D6" w14:textId="77777777">
      <w:pPr>
        <w:pStyle w:val="FootnoteText"/>
        <w:rPr>
          <w:rtl/>
        </w:rPr>
      </w:pPr>
      <w:r>
        <w:rPr>
          <w:rStyle w:val="FootnoteReference"/>
        </w:rPr>
        <w:footnoteRef/>
      </w:r>
      <w:r>
        <w:rPr>
          <w:rtl/>
        </w:rPr>
        <w:t xml:space="preserve"> </w:t>
      </w:r>
      <w:r>
        <w:rPr>
          <w:rtl/>
        </w:rPr>
        <w:tab/>
      </w:r>
      <w:r>
        <w:rPr>
          <w:rFonts w:hint="cs"/>
          <w:rtl/>
        </w:rPr>
        <w:t>חוזר רשות המים - "עדכון נורמות פחת המים ופחת הגביה בתאגידי המים והביוב", יולי 2013.</w:t>
      </w:r>
    </w:p>
  </w:footnote>
  <w:footnote w:id="45">
    <w:p w:rsidR="002B5389" w:rsidP="003D3BEF" w14:paraId="1D5FFC76" w14:textId="77777777">
      <w:pPr>
        <w:pStyle w:val="FootnoteText"/>
        <w:rPr>
          <w:rtl/>
        </w:rPr>
      </w:pPr>
      <w:r>
        <w:rPr>
          <w:rStyle w:val="FootnoteReference"/>
        </w:rPr>
        <w:footnoteRef/>
      </w:r>
      <w:r>
        <w:rPr>
          <w:rtl/>
        </w:rPr>
        <w:t xml:space="preserve"> </w:t>
      </w:r>
      <w:r>
        <w:rPr>
          <w:rtl/>
        </w:rPr>
        <w:tab/>
      </w:r>
      <w:r>
        <w:rPr>
          <w:rFonts w:hint="cs"/>
          <w:rtl/>
        </w:rPr>
        <w:t xml:space="preserve">מתוך גיליון "תעריפים יולי 2018" שפרסמה רשות המים במרשתת. </w:t>
      </w:r>
    </w:p>
  </w:footnote>
  <w:footnote w:id="46">
    <w:p w:rsidR="002B5389" w:rsidP="003D3BEF" w14:paraId="06650CEB" w14:textId="77777777">
      <w:pPr>
        <w:pStyle w:val="FootnoteText"/>
        <w:rPr>
          <w:rtl/>
        </w:rPr>
      </w:pPr>
      <w:r>
        <w:rPr>
          <w:rStyle w:val="FootnoteReference"/>
        </w:rPr>
        <w:footnoteRef/>
      </w:r>
      <w:r>
        <w:rPr>
          <w:rtl/>
        </w:rPr>
        <w:t xml:space="preserve"> </w:t>
      </w:r>
      <w:r>
        <w:rPr>
          <w:rtl/>
        </w:rPr>
        <w:tab/>
      </w:r>
      <w:r>
        <w:rPr>
          <w:rFonts w:hint="cs"/>
          <w:rtl/>
        </w:rPr>
        <w:t xml:space="preserve">במונחי </w:t>
      </w:r>
      <w:r w:rsidRPr="00D64705">
        <w:rPr>
          <w:rtl/>
        </w:rPr>
        <w:t>מחירי תעריף גבוה לשנת 2018, בנטרול מע"מ.</w:t>
      </w:r>
      <w:r>
        <w:rPr>
          <w:rFonts w:hint="cs"/>
          <w:rtl/>
        </w:rPr>
        <w:t xml:space="preserve"> </w:t>
      </w:r>
      <w:r w:rsidRPr="00D64705">
        <w:rPr>
          <w:rtl/>
        </w:rPr>
        <w:t>הסכום כולל את התשלומים בגין מים וביוב</w:t>
      </w:r>
      <w:r>
        <w:rPr>
          <w:rFonts w:hint="cs"/>
          <w:rtl/>
        </w:rPr>
        <w:t>.</w:t>
      </w:r>
    </w:p>
  </w:footnote>
  <w:footnote w:id="47">
    <w:p w:rsidR="002B5389" w:rsidP="003D3BEF" w14:paraId="6DAD42E0" w14:textId="77777777">
      <w:pPr>
        <w:pStyle w:val="FootnoteText"/>
        <w:rPr>
          <w:rtl/>
        </w:rPr>
      </w:pPr>
      <w:r>
        <w:rPr>
          <w:rStyle w:val="FootnoteReference"/>
        </w:rPr>
        <w:footnoteRef/>
      </w:r>
      <w:r>
        <w:rPr>
          <w:rtl/>
        </w:rPr>
        <w:t xml:space="preserve"> </w:t>
      </w:r>
      <w:r>
        <w:rPr>
          <w:rtl/>
        </w:rPr>
        <w:tab/>
      </w:r>
      <w:r>
        <w:rPr>
          <w:rFonts w:hint="cs"/>
          <w:rtl/>
        </w:rPr>
        <w:t>ההפרש חושב כך: ההפרש בין כמות פחת המים בפועל בכלל התאגידים לשנת 2018 (57,968,124 מ"ק) לבין כמות פחת המים הנורמטיבית (47,910,077 מ"ק) מוכפל במרכיב המים בלבד בעריף ב' לכמות נוספת ( 6.893 ש"ח למ"</w:t>
      </w:r>
      <w:r w:rsidRPr="006A3F91">
        <w:rPr>
          <w:rFonts w:hint="cs"/>
          <w:rtl/>
        </w:rPr>
        <w:t>ק ללא מע"ם). הסכום כולל את התשלומים בגין מים בלבד.</w:t>
      </w:r>
    </w:p>
  </w:footnote>
  <w:footnote w:id="48">
    <w:p w:rsidR="002B5389" w:rsidP="003D3BEF" w14:paraId="2AEB6B5C" w14:textId="77777777">
      <w:pPr>
        <w:pStyle w:val="FootnoteText"/>
      </w:pPr>
      <w:r>
        <w:rPr>
          <w:rStyle w:val="FootnoteReference"/>
        </w:rPr>
        <w:footnoteRef/>
      </w:r>
      <w:r>
        <w:rPr>
          <w:rtl/>
        </w:rPr>
        <w:t xml:space="preserve"> </w:t>
      </w:r>
      <w:r>
        <w:rPr>
          <w:rtl/>
        </w:rPr>
        <w:tab/>
      </w:r>
      <w:r>
        <w:rPr>
          <w:rFonts w:hint="cs"/>
          <w:rtl/>
        </w:rPr>
        <w:t xml:space="preserve">ראו </w:t>
      </w:r>
      <w:r w:rsidRPr="004B00EA">
        <w:rPr>
          <w:rtl/>
        </w:rPr>
        <w:t>גם תשובת תאגיד נוה מדבר ב</w:t>
      </w:r>
      <w:r>
        <w:rPr>
          <w:rFonts w:hint="cs"/>
          <w:rtl/>
        </w:rPr>
        <w:t>תת-</w:t>
      </w:r>
      <w:r w:rsidRPr="004B00EA">
        <w:rPr>
          <w:rtl/>
        </w:rPr>
        <w:t xml:space="preserve">פרקים על </w:t>
      </w:r>
      <w:r>
        <w:rPr>
          <w:rFonts w:hint="cs"/>
          <w:rtl/>
        </w:rPr>
        <w:t>"</w:t>
      </w:r>
      <w:r w:rsidRPr="004B00EA">
        <w:rPr>
          <w:rtl/>
        </w:rPr>
        <w:t>מענקים</w:t>
      </w:r>
      <w:r>
        <w:rPr>
          <w:rFonts w:hint="cs"/>
          <w:rtl/>
        </w:rPr>
        <w:t>"</w:t>
      </w:r>
      <w:r w:rsidRPr="004B00EA">
        <w:rPr>
          <w:rtl/>
        </w:rPr>
        <w:t xml:space="preserve"> </w:t>
      </w:r>
      <w:r>
        <w:rPr>
          <w:rFonts w:hint="cs"/>
          <w:rtl/>
        </w:rPr>
        <w:t>ו"שיעור</w:t>
      </w:r>
      <w:r w:rsidRPr="004B00EA">
        <w:rPr>
          <w:rtl/>
        </w:rPr>
        <w:t xml:space="preserve"> הגב</w:t>
      </w:r>
      <w:r>
        <w:rPr>
          <w:rFonts w:hint="cs"/>
          <w:rtl/>
        </w:rPr>
        <w:t>י</w:t>
      </w:r>
      <w:r w:rsidRPr="004B00EA">
        <w:rPr>
          <w:rtl/>
        </w:rPr>
        <w:t>יה</w:t>
      </w:r>
      <w:r>
        <w:rPr>
          <w:rFonts w:hint="cs"/>
          <w:rtl/>
        </w:rPr>
        <w:t>"</w:t>
      </w:r>
      <w:r w:rsidRPr="004B00EA">
        <w:rPr>
          <w:rtl/>
        </w:rPr>
        <w:t>.</w:t>
      </w:r>
    </w:p>
  </w:footnote>
  <w:footnote w:id="49">
    <w:p w:rsidR="002B5389" w:rsidP="003D3BEF" w14:paraId="24827620" w14:textId="77777777">
      <w:pPr>
        <w:pStyle w:val="FootnoteText"/>
        <w:rPr>
          <w:rtl/>
        </w:rPr>
      </w:pPr>
      <w:r>
        <w:rPr>
          <w:rStyle w:val="FootnoteReference"/>
        </w:rPr>
        <w:footnoteRef/>
      </w:r>
      <w:r>
        <w:rPr>
          <w:rtl/>
        </w:rPr>
        <w:t xml:space="preserve"> </w:t>
      </w:r>
      <w:r>
        <w:rPr>
          <w:rtl/>
        </w:rPr>
        <w:tab/>
      </w:r>
      <w:r>
        <w:rPr>
          <w:rFonts w:hint="cs"/>
          <w:rtl/>
        </w:rPr>
        <w:t>חוזר רשות המים ומשרד האוצר, 6.12.09.</w:t>
      </w:r>
    </w:p>
  </w:footnote>
  <w:footnote w:id="50">
    <w:p w:rsidR="002B5389" w:rsidP="003D3BEF" w14:paraId="3BFA6AF7" w14:textId="77777777">
      <w:pPr>
        <w:pStyle w:val="FootnoteText"/>
      </w:pPr>
      <w:r>
        <w:rPr>
          <w:rStyle w:val="FootnoteReference"/>
        </w:rPr>
        <w:footnoteRef/>
      </w:r>
      <w:r>
        <w:rPr>
          <w:rtl/>
        </w:rPr>
        <w:t xml:space="preserve"> </w:t>
      </w:r>
      <w:r>
        <w:rPr>
          <w:rtl/>
        </w:rPr>
        <w:tab/>
      </w:r>
      <w:r>
        <w:rPr>
          <w:rFonts w:hint="cs"/>
          <w:sz w:val="24"/>
          <w:rtl/>
        </w:rPr>
        <w:t>הפערים בערכי פחת המים הם פן אחד של פערים בתחומים רבים בין יישובי מגזר המיעוטים לבין כלל היישובים במדינת ישראל. ממשלת ישראל התייחסה לפערים אלה בכמה החלטות ממשלה שמטרתן הייתה בין היתר צמצום הפערים בתחומים כמו תשתיות, תעשייה, תעסוקה, תחבורה, חינוך. למשל,</w:t>
      </w:r>
      <w:r>
        <w:rPr>
          <w:rFonts w:hint="cs"/>
          <w:rtl/>
        </w:rPr>
        <w:t xml:space="preserve"> החלטת הממשלה 1539 (21.3.10); החלטת הממשלה 2365 (21.12.14); והחלטת הממשלה 922 (31.12.15).</w:t>
      </w:r>
      <w:r w:rsidRPr="00F41449">
        <w:rPr>
          <w:rFonts w:hint="cs"/>
          <w:sz w:val="24"/>
          <w:rtl/>
        </w:rPr>
        <w:t xml:space="preserve"> </w:t>
      </w:r>
      <w:r>
        <w:rPr>
          <w:rFonts w:hint="cs"/>
          <w:sz w:val="24"/>
          <w:rtl/>
        </w:rPr>
        <w:t>יצוין כי חלק מהחלטות הממשלה</w:t>
      </w:r>
      <w:r w:rsidRPr="00F41449">
        <w:rPr>
          <w:rFonts w:hint="cs"/>
          <w:sz w:val="24"/>
          <w:rtl/>
        </w:rPr>
        <w:t xml:space="preserve"> </w:t>
      </w:r>
      <w:r>
        <w:rPr>
          <w:rFonts w:hint="cs"/>
          <w:sz w:val="24"/>
          <w:rtl/>
        </w:rPr>
        <w:t>יוחדו למגזר הבדואי המתאפיין אף בפערים גדולים יותר מהפערים הקיימים בין המגזר הערבי לכלל היישובים, למשל</w:t>
      </w:r>
      <w:r w:rsidRPr="00F41449">
        <w:rPr>
          <w:rtl/>
        </w:rPr>
        <w:t xml:space="preserve"> </w:t>
      </w:r>
      <w:r>
        <w:rPr>
          <w:rtl/>
        </w:rPr>
        <w:t>החלט</w:t>
      </w:r>
      <w:r>
        <w:rPr>
          <w:rFonts w:hint="cs"/>
          <w:rtl/>
        </w:rPr>
        <w:t>ת הממשל</w:t>
      </w:r>
      <w:r>
        <w:rPr>
          <w:rtl/>
        </w:rPr>
        <w:t xml:space="preserve">ה 3211 </w:t>
      </w:r>
      <w:r>
        <w:rPr>
          <w:rFonts w:hint="cs"/>
          <w:rtl/>
        </w:rPr>
        <w:t>(</w:t>
      </w:r>
      <w:r>
        <w:rPr>
          <w:rtl/>
        </w:rPr>
        <w:t>15.5.11</w:t>
      </w:r>
      <w:r>
        <w:rPr>
          <w:rFonts w:hint="cs"/>
          <w:rtl/>
        </w:rPr>
        <w:t xml:space="preserve">); </w:t>
      </w:r>
      <w:r w:rsidRPr="00F41449">
        <w:rPr>
          <w:rtl/>
        </w:rPr>
        <w:t>החלט</w:t>
      </w:r>
      <w:r>
        <w:rPr>
          <w:rFonts w:hint="cs"/>
          <w:rtl/>
        </w:rPr>
        <w:t>ת הממשלה</w:t>
      </w:r>
      <w:r w:rsidRPr="00F41449">
        <w:rPr>
          <w:rtl/>
        </w:rPr>
        <w:t xml:space="preserve"> 2397 </w:t>
      </w:r>
      <w:r>
        <w:rPr>
          <w:rFonts w:hint="cs"/>
          <w:rtl/>
        </w:rPr>
        <w:t>(</w:t>
      </w:r>
      <w:r w:rsidRPr="00F41449">
        <w:rPr>
          <w:rtl/>
        </w:rPr>
        <w:t>12.2.17</w:t>
      </w:r>
      <w:r>
        <w:rPr>
          <w:rFonts w:hint="cs"/>
          <w:rtl/>
        </w:rPr>
        <w:t>);</w:t>
      </w:r>
      <w:r w:rsidRPr="00F41449">
        <w:rPr>
          <w:rtl/>
        </w:rPr>
        <w:t xml:space="preserve"> </w:t>
      </w:r>
      <w:r>
        <w:rPr>
          <w:rFonts w:hint="cs"/>
          <w:rtl/>
        </w:rPr>
        <w:t>ו</w:t>
      </w:r>
      <w:r w:rsidRPr="00F41449">
        <w:rPr>
          <w:rtl/>
        </w:rPr>
        <w:t>החלט</w:t>
      </w:r>
      <w:r>
        <w:rPr>
          <w:rFonts w:hint="cs"/>
          <w:rtl/>
        </w:rPr>
        <w:t>ת הממשלה</w:t>
      </w:r>
      <w:r w:rsidRPr="00F41449">
        <w:rPr>
          <w:rtl/>
        </w:rPr>
        <w:t xml:space="preserve"> 2025 </w:t>
      </w:r>
      <w:r>
        <w:rPr>
          <w:rFonts w:hint="cs"/>
          <w:rtl/>
        </w:rPr>
        <w:t>(</w:t>
      </w:r>
      <w:r w:rsidRPr="00F41449">
        <w:rPr>
          <w:rtl/>
        </w:rPr>
        <w:t>23.9.14</w:t>
      </w:r>
      <w:r>
        <w:rPr>
          <w:rFonts w:hint="cs"/>
          <w:rtl/>
        </w:rPr>
        <w:t>)</w:t>
      </w:r>
      <w:r w:rsidRPr="00F41449">
        <w:rPr>
          <w:rtl/>
        </w:rPr>
        <w:t>.</w:t>
      </w:r>
    </w:p>
  </w:footnote>
  <w:footnote w:id="51">
    <w:p w:rsidR="002B5389" w:rsidP="003D3BEF" w14:paraId="10E64832" w14:textId="77777777">
      <w:pPr>
        <w:pStyle w:val="FootnoteText"/>
        <w:rPr>
          <w:rtl/>
        </w:rPr>
      </w:pPr>
      <w:r>
        <w:rPr>
          <w:rStyle w:val="FootnoteReference"/>
        </w:rPr>
        <w:footnoteRef/>
      </w:r>
      <w:r>
        <w:rPr>
          <w:rtl/>
        </w:rPr>
        <w:t xml:space="preserve"> </w:t>
      </w:r>
      <w:r>
        <w:rPr>
          <w:rtl/>
        </w:rPr>
        <w:tab/>
      </w:r>
      <w:r>
        <w:rPr>
          <w:rFonts w:hint="cs"/>
          <w:rtl/>
        </w:rPr>
        <w:t>דוח הוועדה המייעצת להסדרת רגולציה כלכלית ארוכת טווח למשק המים, פברואר 2019, עמ' 45.</w:t>
      </w:r>
    </w:p>
  </w:footnote>
  <w:footnote w:id="52">
    <w:p w:rsidR="002B5389" w:rsidP="003D3BEF" w14:paraId="6D6C5E0F" w14:textId="77777777">
      <w:pPr>
        <w:pStyle w:val="FootnoteText"/>
        <w:rPr>
          <w:rtl/>
        </w:rPr>
      </w:pPr>
      <w:r>
        <w:rPr>
          <w:rStyle w:val="FootnoteReference"/>
        </w:rPr>
        <w:footnoteRef/>
      </w:r>
      <w:r>
        <w:rPr>
          <w:rtl/>
        </w:rPr>
        <w:t xml:space="preserve"> </w:t>
      </w:r>
      <w:r>
        <w:rPr>
          <w:rtl/>
        </w:rPr>
        <w:tab/>
      </w:r>
      <w:r>
        <w:rPr>
          <w:rFonts w:hint="cs"/>
          <w:rtl/>
        </w:rPr>
        <w:t xml:space="preserve">סעיף 29 לכללי תאגידי מים וביוב (קביעת תנאים ברישיון לעניין אמות מידה הנדסיות), התשע"ז-2017. </w:t>
      </w:r>
    </w:p>
  </w:footnote>
  <w:footnote w:id="53">
    <w:p w:rsidR="002B5389" w:rsidP="003D3BEF" w14:paraId="7161529E" w14:textId="77777777">
      <w:pPr>
        <w:pStyle w:val="FootnoteText"/>
        <w:rPr>
          <w:rtl/>
        </w:rPr>
      </w:pPr>
      <w:r>
        <w:rPr>
          <w:rStyle w:val="FootnoteReference"/>
        </w:rPr>
        <w:footnoteRef/>
      </w:r>
      <w:r>
        <w:rPr>
          <w:rtl/>
        </w:rPr>
        <w:t xml:space="preserve"> </w:t>
      </w:r>
      <w:r>
        <w:rPr>
          <w:rtl/>
        </w:rPr>
        <w:tab/>
      </w:r>
      <w:r>
        <w:rPr>
          <w:rFonts w:hint="cs"/>
          <w:rtl/>
        </w:rPr>
        <w:t xml:space="preserve">שיעור זה נקבע כאחוז מערך הכינון המלא וכתלות ביחס הנכסים של התאגיד. </w:t>
      </w:r>
      <w:r w:rsidRPr="00CF7D49">
        <w:rPr>
          <w:rtl/>
        </w:rPr>
        <w:t xml:space="preserve">"ערך כינון מלא" של מערכת ביוב, של מערכת טיפול בשפכים או של מערכת מים </w:t>
      </w:r>
      <w:r>
        <w:rPr>
          <w:rFonts w:hint="cs"/>
          <w:rtl/>
        </w:rPr>
        <w:t>הוגדר ב</w:t>
      </w:r>
      <w:r w:rsidRPr="00CF7D49">
        <w:rPr>
          <w:rtl/>
        </w:rPr>
        <w:t xml:space="preserve">כללי תאגידי מים וביוב (חישוב עלות שירותי מם וביוב והקמת מערכת מים או ביוב), </w:t>
      </w:r>
      <w:r>
        <w:rPr>
          <w:rFonts w:hint="cs"/>
          <w:rtl/>
        </w:rPr>
        <w:t>ה</w:t>
      </w:r>
      <w:r w:rsidRPr="00CF7D49">
        <w:rPr>
          <w:rtl/>
        </w:rPr>
        <w:t>תש"ע-2009</w:t>
      </w:r>
      <w:r>
        <w:rPr>
          <w:rFonts w:hint="cs"/>
          <w:rtl/>
        </w:rPr>
        <w:t>,</w:t>
      </w:r>
      <w:r w:rsidRPr="00CF7D49">
        <w:rPr>
          <w:rtl/>
        </w:rPr>
        <w:t xml:space="preserve"> </w:t>
      </w:r>
      <w:r>
        <w:rPr>
          <w:rFonts w:hint="cs"/>
          <w:rtl/>
        </w:rPr>
        <w:t>כ"</w:t>
      </w:r>
      <w:r w:rsidRPr="00CF7D49">
        <w:rPr>
          <w:rtl/>
        </w:rPr>
        <w:t>סך כל ערכי הכינון של הנכסים הפעילים המשמשים למערכת הביוב לרבות אלה המשמשים להולכת ביוב, מערכת הטיפול בשפכים או מערכת המים, לפי העניין</w:t>
      </w:r>
      <w:r>
        <w:rPr>
          <w:rFonts w:hint="cs"/>
          <w:rtl/>
        </w:rPr>
        <w:t>". עוד נקבע כי "'</w:t>
      </w:r>
      <w:r w:rsidRPr="00CF7D49">
        <w:rPr>
          <w:rtl/>
        </w:rPr>
        <w:t>ערך כינון מלא של נכס פעיל</w:t>
      </w:r>
      <w:r>
        <w:rPr>
          <w:rFonts w:hint="cs"/>
          <w:rtl/>
        </w:rPr>
        <w:t>'</w:t>
      </w:r>
      <w:r w:rsidRPr="00CF7D49">
        <w:rPr>
          <w:rtl/>
        </w:rPr>
        <w:t xml:space="preserve"> – עלות נכס פעיל לפי עלות הקמתו, כפי שאישר הממונה במפקד הנכסים</w:t>
      </w:r>
      <w:r>
        <w:rPr>
          <w:rFonts w:hint="cs"/>
          <w:rtl/>
        </w:rPr>
        <w:t>". "יחס נכסים" מוגדר כיחס בין ערך כינון מופחת כולל לבין ערך כינון מלא של מערכות המים והביוב של התאגיד (</w:t>
      </w:r>
      <w:r w:rsidRPr="00CF7D49">
        <w:rPr>
          <w:rtl/>
        </w:rPr>
        <w:t>ל</w:t>
      </w:r>
      <w:r>
        <w:rPr>
          <w:rFonts w:hint="cs"/>
          <w:rtl/>
        </w:rPr>
        <w:t xml:space="preserve">פי </w:t>
      </w:r>
      <w:r w:rsidRPr="00CF7D49">
        <w:rPr>
          <w:rtl/>
        </w:rPr>
        <w:t xml:space="preserve">כללי תאגידי מים וביוב (קביעת תנאים ברישיון לעניין אמות מידה הנדסיות), </w:t>
      </w:r>
      <w:r>
        <w:rPr>
          <w:rFonts w:hint="cs"/>
          <w:rtl/>
        </w:rPr>
        <w:t>ה</w:t>
      </w:r>
      <w:r w:rsidRPr="00CF7D49">
        <w:rPr>
          <w:rtl/>
        </w:rPr>
        <w:t>תשע"ז-2017</w:t>
      </w:r>
      <w:r>
        <w:rPr>
          <w:rFonts w:hint="cs"/>
          <w:rtl/>
        </w:rPr>
        <w:t>).</w:t>
      </w:r>
    </w:p>
  </w:footnote>
  <w:footnote w:id="54">
    <w:p w:rsidR="002B5389" w:rsidP="003D3BEF" w14:paraId="3DAB6A44" w14:textId="77777777">
      <w:pPr>
        <w:pStyle w:val="FootnoteText"/>
        <w:rPr>
          <w:rtl/>
        </w:rPr>
      </w:pPr>
      <w:r>
        <w:rPr>
          <w:rStyle w:val="FootnoteReference"/>
        </w:rPr>
        <w:footnoteRef/>
      </w:r>
      <w:r>
        <w:rPr>
          <w:rtl/>
        </w:rPr>
        <w:t xml:space="preserve"> </w:t>
      </w:r>
      <w:r>
        <w:rPr>
          <w:rtl/>
        </w:rPr>
        <w:tab/>
      </w:r>
      <w:r>
        <w:rPr>
          <w:rFonts w:hint="cs"/>
          <w:rtl/>
        </w:rPr>
        <w:t>הבדיקה נעשתה במסגרת בדיקה רחבה יותר של עמידתם בתנאי הסף הנדרשים לקבלת פטור מתיאגוד אזורי.</w:t>
      </w:r>
    </w:p>
  </w:footnote>
  <w:footnote w:id="55">
    <w:p w:rsidR="002B5389" w:rsidP="003D3BEF" w14:paraId="741877B6" w14:textId="77777777">
      <w:pPr>
        <w:pStyle w:val="FootnoteText"/>
      </w:pPr>
      <w:r>
        <w:rPr>
          <w:rStyle w:val="FootnoteReference"/>
        </w:rPr>
        <w:footnoteRef/>
      </w:r>
      <w:r>
        <w:rPr>
          <w:rtl/>
        </w:rPr>
        <w:t xml:space="preserve"> </w:t>
      </w:r>
      <w:r>
        <w:rPr>
          <w:rtl/>
        </w:rPr>
        <w:tab/>
      </w:r>
      <w:r>
        <w:rPr>
          <w:rFonts w:hint="cs"/>
          <w:rtl/>
        </w:rPr>
        <w:t xml:space="preserve">סעיף 6ו(א)(1) לחוק התאגידים - אחד מהתנאים למתן פטור מתיאגוד אזורי הוא ביצוע תוכנית הפיתוח השנתית שאישר הממונה. </w:t>
      </w:r>
    </w:p>
  </w:footnote>
  <w:footnote w:id="56">
    <w:p w:rsidR="002B5389" w:rsidP="003D3BEF" w14:paraId="69B5661E" w14:textId="77777777">
      <w:pPr>
        <w:pStyle w:val="FootnoteText"/>
      </w:pPr>
      <w:r>
        <w:rPr>
          <w:rStyle w:val="FootnoteReference"/>
        </w:rPr>
        <w:footnoteRef/>
      </w:r>
      <w:r>
        <w:rPr>
          <w:rtl/>
        </w:rPr>
        <w:t xml:space="preserve"> </w:t>
      </w:r>
      <w:r>
        <w:rPr>
          <w:rtl/>
        </w:rPr>
        <w:tab/>
      </w:r>
      <w:r>
        <w:rPr>
          <w:rFonts w:hint="cs"/>
          <w:rtl/>
        </w:rPr>
        <w:t xml:space="preserve">בדיקות הרשות לצורך עמידה בתנאי הפטור של התאגידים כללו בדיקות </w:t>
      </w:r>
      <w:r w:rsidRPr="006802F5">
        <w:rPr>
          <w:rtl/>
        </w:rPr>
        <w:t>נוספות</w:t>
      </w:r>
      <w:r>
        <w:rPr>
          <w:rFonts w:hint="cs"/>
          <w:rtl/>
        </w:rPr>
        <w:t xml:space="preserve"> כמו</w:t>
      </w:r>
      <w:r w:rsidRPr="006802F5">
        <w:rPr>
          <w:rFonts w:hint="cs"/>
          <w:rtl/>
        </w:rPr>
        <w:t xml:space="preserve"> </w:t>
      </w:r>
      <w:r>
        <w:rPr>
          <w:rFonts w:hint="cs"/>
          <w:rtl/>
        </w:rPr>
        <w:t>בדיקות איתנות פיננסית ועמידה בהוראות ובאמות מידה לשירות.</w:t>
      </w:r>
    </w:p>
  </w:footnote>
  <w:footnote w:id="57">
    <w:p w:rsidR="002B5389" w:rsidP="003D3BEF" w14:paraId="6F1B8767" w14:textId="77777777">
      <w:pPr>
        <w:pStyle w:val="FootnoteText"/>
        <w:rPr>
          <w:rtl/>
        </w:rPr>
      </w:pPr>
      <w:r>
        <w:rPr>
          <w:rStyle w:val="FootnoteReference"/>
        </w:rPr>
        <w:footnoteRef/>
      </w:r>
      <w:r>
        <w:rPr>
          <w:rtl/>
        </w:rPr>
        <w:t xml:space="preserve"> </w:t>
      </w:r>
      <w:r>
        <w:rPr>
          <w:rtl/>
        </w:rPr>
        <w:tab/>
      </w:r>
      <w:r>
        <w:rPr>
          <w:rFonts w:hint="cs"/>
          <w:rtl/>
        </w:rPr>
        <w:t>בהתאם להודעה לתקשורת "ישראל במספרים ערב ראש השנה תש"ף נתונים נבחרים מהלוחות השנתיים 2019", שפורסמה באתר המרשתת של הלשכה המרכזית לסטטיסטיקה ב-26.9.19.</w:t>
      </w:r>
    </w:p>
  </w:footnote>
  <w:footnote w:id="58">
    <w:p w:rsidR="002B5389" w:rsidP="003D3BEF" w14:paraId="0E2679F3" w14:textId="77777777">
      <w:pPr>
        <w:pStyle w:val="FootnoteText"/>
      </w:pPr>
      <w:r>
        <w:rPr>
          <w:rStyle w:val="FootnoteReference"/>
        </w:rPr>
        <w:footnoteRef/>
      </w:r>
      <w:r>
        <w:rPr>
          <w:rtl/>
        </w:rPr>
        <w:t xml:space="preserve"> </w:t>
      </w:r>
      <w:r>
        <w:rPr>
          <w:rtl/>
        </w:rPr>
        <w:tab/>
      </w:r>
      <w:r>
        <w:rPr>
          <w:rFonts w:hint="cs"/>
          <w:rtl/>
        </w:rPr>
        <w:t xml:space="preserve">למשל, בחוזר רשות המים "סיוע לתאגידי מים וביוב אזוריים- סיכום תקציבי", 16.2.12, נכללו מענקי סיוע - "סיוע זה יעמיד לטובת תאגידים... מענקים לשם ביצוע פרויקטים שעניינם הפחתת פחת מים ופחת גביה וכן מענקים לשם הבטחת יציבותם של התאגידים האמורים בשנים הראשונות להקמתם". </w:t>
      </w:r>
    </w:p>
  </w:footnote>
  <w:footnote w:id="59">
    <w:p w:rsidR="002B5389" w:rsidP="003D3BEF" w14:paraId="752118BF" w14:textId="77777777">
      <w:pPr>
        <w:pStyle w:val="FootnoteText"/>
        <w:rPr>
          <w:rtl/>
        </w:rPr>
      </w:pPr>
      <w:r>
        <w:rPr>
          <w:rStyle w:val="FootnoteReference"/>
        </w:rPr>
        <w:footnoteRef/>
      </w:r>
      <w:r>
        <w:rPr>
          <w:rtl/>
        </w:rPr>
        <w:t xml:space="preserve"> </w:t>
      </w:r>
      <w:r>
        <w:rPr>
          <w:rtl/>
        </w:rPr>
        <w:tab/>
      </w:r>
      <w:r w:rsidRPr="00161C2D">
        <w:rPr>
          <w:rtl/>
        </w:rPr>
        <w:t xml:space="preserve">רשות המים ציינה בתשובתה </w:t>
      </w:r>
      <w:r>
        <w:rPr>
          <w:rFonts w:hint="cs"/>
          <w:rtl/>
        </w:rPr>
        <w:t xml:space="preserve">כי רק משנת 2014 היה זכאי </w:t>
      </w:r>
      <w:r w:rsidRPr="00161C2D">
        <w:rPr>
          <w:rtl/>
        </w:rPr>
        <w:t>תאגיד מי שבע לקבל מענקים עבור השקעות בעיר אופקים בלבד</w:t>
      </w:r>
      <w:r>
        <w:rPr>
          <w:rFonts w:hint="cs"/>
          <w:rtl/>
        </w:rPr>
        <w:t>.</w:t>
      </w:r>
      <w:r w:rsidRPr="00161C2D">
        <w:rPr>
          <w:rtl/>
        </w:rPr>
        <w:t xml:space="preserve"> המענקים לתאגיד מי ברק ולתאגיד מעיינות השרון אינם קשורים להורדת פחת מים או טיפול בתשתיות ביוב, אלא שימשו לעידוד חיבור רשויות מקומיות המצויות בקרבת אקוויפר החוף למערכת המים הארצית.</w:t>
      </w:r>
    </w:p>
  </w:footnote>
  <w:footnote w:id="60">
    <w:p w:rsidR="002B5389" w:rsidP="003D3BEF" w14:paraId="11BF3D71" w14:textId="77777777">
      <w:pPr>
        <w:pStyle w:val="FootnoteText"/>
      </w:pPr>
      <w:r>
        <w:rPr>
          <w:rStyle w:val="FootnoteReference"/>
        </w:rPr>
        <w:footnoteRef/>
      </w:r>
      <w:r>
        <w:rPr>
          <w:rtl/>
        </w:rPr>
        <w:t xml:space="preserve"> </w:t>
      </w:r>
      <w:r>
        <w:rPr>
          <w:rtl/>
        </w:rPr>
        <w:tab/>
      </w:r>
      <w:r>
        <w:rPr>
          <w:rFonts w:hint="cs"/>
          <w:rtl/>
        </w:rPr>
        <w:t>חלק מחוזרי המענקים מזכים במענק עבור תיאגוד רשויות מקומיות ולאו דווקא לתאגיד אזורי. עם זאת, קיימים מענקים מוגדלים עבור תיאגוד אזורי. כך, בחוזר רשות המים מ-16.12.15 הותנה מתן המענקים בהקמה של חברה אזורית או בצירוף רשות מקומית לחברה אזורית, בתנאי שלאחר ההקמה או האיחוד תשרת החברה האזורית לפחות 100,000 תושבים. בחוזר הרשות מפברואר 2012 גדל מענק ההצטרפות לרשויות המקומיות שבבעלותן תאגיד קיים ככל שהן מצרפות יותר רשויות מקומיות לתאגיד.</w:t>
      </w:r>
    </w:p>
  </w:footnote>
  <w:footnote w:id="61">
    <w:p w:rsidR="002B5389" w:rsidP="003D3BEF" w14:paraId="70A4DACF" w14:textId="77777777">
      <w:pPr>
        <w:pStyle w:val="FootnoteText"/>
      </w:pPr>
      <w:r>
        <w:rPr>
          <w:rStyle w:val="FootnoteReference"/>
        </w:rPr>
        <w:footnoteRef/>
      </w:r>
      <w:r>
        <w:rPr>
          <w:rtl/>
        </w:rPr>
        <w:t xml:space="preserve"> </w:t>
      </w:r>
      <w:r>
        <w:rPr>
          <w:rtl/>
        </w:rPr>
        <w:tab/>
      </w:r>
      <w:r>
        <w:rPr>
          <w:rFonts w:hint="cs"/>
          <w:rtl/>
        </w:rPr>
        <w:t>חוזר מענקים בנושא "סיכום תקציבי - מענקי מדינה נוספים בתחום תאגידי מים וביוב עפ"י חוק תאגידי מים וביוב התשס"א - 2001", 27.1.15.</w:t>
      </w:r>
    </w:p>
  </w:footnote>
  <w:footnote w:id="62">
    <w:p w:rsidR="002B5389" w:rsidP="003D3BEF" w14:paraId="7F6B3154" w14:textId="77777777">
      <w:pPr>
        <w:pStyle w:val="FootnoteText"/>
        <w:rPr>
          <w:rtl/>
        </w:rPr>
      </w:pPr>
      <w:r>
        <w:rPr>
          <w:rStyle w:val="FootnoteReference"/>
        </w:rPr>
        <w:footnoteRef/>
      </w:r>
      <w:r>
        <w:rPr>
          <w:rtl/>
        </w:rPr>
        <w:t xml:space="preserve"> </w:t>
      </w:r>
      <w:r>
        <w:rPr>
          <w:rtl/>
        </w:rPr>
        <w:tab/>
      </w:r>
      <w:r w:rsidRPr="00B90589">
        <w:rPr>
          <w:rtl/>
        </w:rPr>
        <w:t xml:space="preserve">לפי כללי תאגידי מים וביוב </w:t>
      </w:r>
      <w:r>
        <w:rPr>
          <w:rFonts w:hint="cs"/>
          <w:rtl/>
        </w:rPr>
        <w:t>(</w:t>
      </w:r>
      <w:r w:rsidRPr="00B90589">
        <w:rPr>
          <w:rtl/>
        </w:rPr>
        <w:t>חישוב עלות שירותי מים וביוב והקמת מערכת מים וביוב</w:t>
      </w:r>
      <w:r>
        <w:rPr>
          <w:rFonts w:hint="cs"/>
          <w:rtl/>
        </w:rPr>
        <w:t>)</w:t>
      </w:r>
      <w:r>
        <w:rPr>
          <w:rtl/>
        </w:rPr>
        <w:t>, התש"ע</w:t>
      </w:r>
      <w:r>
        <w:rPr>
          <w:rFonts w:hint="cs"/>
          <w:rtl/>
        </w:rPr>
        <w:t>-</w:t>
      </w:r>
      <w:r>
        <w:rPr>
          <w:rtl/>
        </w:rPr>
        <w:t>2009</w:t>
      </w:r>
      <w:r>
        <w:rPr>
          <w:rFonts w:hint="cs"/>
          <w:rtl/>
        </w:rPr>
        <w:t>.</w:t>
      </w:r>
    </w:p>
  </w:footnote>
  <w:footnote w:id="63">
    <w:p w:rsidR="002B5389" w:rsidP="003D3BEF" w14:paraId="4E5066B7" w14:textId="77777777">
      <w:pPr>
        <w:pStyle w:val="FootnoteText"/>
      </w:pPr>
      <w:r>
        <w:rPr>
          <w:rStyle w:val="FootnoteReference"/>
        </w:rPr>
        <w:footnoteRef/>
      </w:r>
      <w:r>
        <w:rPr>
          <w:rtl/>
        </w:rPr>
        <w:t xml:space="preserve"> </w:t>
      </w:r>
      <w:r>
        <w:rPr>
          <w:rtl/>
        </w:rPr>
        <w:tab/>
      </w:r>
      <w:r>
        <w:rPr>
          <w:rFonts w:hint="cs"/>
          <w:rtl/>
        </w:rPr>
        <w:t>חוזרים מ-19.4.09 ומ-9.11.11.</w:t>
      </w:r>
    </w:p>
  </w:footnote>
  <w:footnote w:id="64">
    <w:p w:rsidR="002B5389" w:rsidP="003D3BEF" w14:paraId="7D81566A" w14:textId="77777777">
      <w:pPr>
        <w:pStyle w:val="FootnoteText"/>
      </w:pPr>
      <w:r>
        <w:rPr>
          <w:rStyle w:val="FootnoteReference"/>
        </w:rPr>
        <w:footnoteRef/>
      </w:r>
      <w:r>
        <w:rPr>
          <w:rtl/>
        </w:rPr>
        <w:t xml:space="preserve"> </w:t>
      </w:r>
      <w:r>
        <w:rPr>
          <w:rtl/>
        </w:rPr>
        <w:tab/>
      </w:r>
      <w:r>
        <w:rPr>
          <w:rFonts w:hint="cs"/>
          <w:rtl/>
        </w:rPr>
        <w:t>יצוין כי אחת הסיבות לעיכוב התקנת מוני קר"מ בתאגידים המשרתים ציבור חרדי היא שאלת כשרות השימוש בהם בשבתות וחגים.</w:t>
      </w:r>
    </w:p>
  </w:footnote>
  <w:footnote w:id="65">
    <w:p w:rsidR="002B5389" w:rsidP="003D3BEF" w14:paraId="65DD1BD6" w14:textId="77777777">
      <w:pPr>
        <w:pStyle w:val="FootnoteText"/>
        <w:rPr>
          <w:rtl/>
        </w:rPr>
      </w:pPr>
      <w:r>
        <w:rPr>
          <w:rStyle w:val="FootnoteReference"/>
        </w:rPr>
        <w:footnoteRef/>
      </w:r>
      <w:r>
        <w:rPr>
          <w:rtl/>
        </w:rPr>
        <w:t xml:space="preserve"> </w:t>
      </w:r>
      <w:r>
        <w:rPr>
          <w:rtl/>
        </w:rPr>
        <w:tab/>
      </w:r>
      <w:r>
        <w:rPr>
          <w:rFonts w:hint="cs"/>
          <w:rtl/>
        </w:rPr>
        <w:t xml:space="preserve">מצד </w:t>
      </w:r>
      <w:r w:rsidRPr="00157AEB">
        <w:rPr>
          <w:rtl/>
        </w:rPr>
        <w:t>המגזר החרדי עולה הטענה כי התקנת מערכת קר"מ עלולה לגרום לחילול שבת, בין היתר מכיוון שהיא גורמת לשידורים רציפים של נתוני צריכה גם בשבת. ראו פרוטוקול מס' 12 מ-20.11.18 מישיבת הוועדה המשותפת לוועדת הכלכלה ולוועדת הפנים והגנת הסביבה לדיון בהצעת חוק תאגידי מים וביוב.</w:t>
      </w:r>
    </w:p>
  </w:footnote>
  <w:footnote w:id="66">
    <w:p w:rsidR="002B5389" w:rsidP="003D3BEF" w14:paraId="6E81E058" w14:textId="77777777">
      <w:pPr>
        <w:pStyle w:val="FootnoteText"/>
      </w:pPr>
      <w:r>
        <w:rPr>
          <w:rStyle w:val="FootnoteReference"/>
        </w:rPr>
        <w:footnoteRef/>
      </w:r>
      <w:r>
        <w:rPr>
          <w:rtl/>
        </w:rPr>
        <w:t xml:space="preserve"> </w:t>
      </w:r>
      <w:r>
        <w:rPr>
          <w:rtl/>
        </w:rPr>
        <w:tab/>
      </w:r>
      <w:r>
        <w:rPr>
          <w:rFonts w:hint="cs"/>
          <w:rtl/>
        </w:rPr>
        <w:t>סעיף 99 לחוק התאגידים כפי שתוקן בחוק תאגידי מים וביוב (תיקון מס' 12), התשע"ט-2018.</w:t>
      </w:r>
    </w:p>
  </w:footnote>
  <w:footnote w:id="67">
    <w:p w:rsidR="002B5389" w:rsidP="003D3BEF" w14:paraId="078876A0" w14:textId="77777777">
      <w:pPr>
        <w:pStyle w:val="FootnoteText"/>
        <w:rPr>
          <w:rtl/>
        </w:rPr>
      </w:pPr>
      <w:r>
        <w:rPr>
          <w:rStyle w:val="FootnoteReference"/>
        </w:rPr>
        <w:footnoteRef/>
      </w:r>
      <w:r>
        <w:rPr>
          <w:rtl/>
        </w:rPr>
        <w:t xml:space="preserve"> </w:t>
      </w:r>
      <w:r>
        <w:rPr>
          <w:rtl/>
        </w:rPr>
        <w:tab/>
      </w:r>
      <w:r>
        <w:rPr>
          <w:rFonts w:hint="cs"/>
          <w:rtl/>
        </w:rPr>
        <w:t>סעיף 102 לחוק התאגידים</w:t>
      </w:r>
      <w:r w:rsidRPr="00E11873">
        <w:rPr>
          <w:rFonts w:hint="cs"/>
          <w:rtl/>
        </w:rPr>
        <w:t xml:space="preserve"> </w:t>
      </w:r>
      <w:r>
        <w:rPr>
          <w:rFonts w:hint="cs"/>
          <w:rtl/>
        </w:rPr>
        <w:t>כפי שתוקן בחוק תאגידי מים וביוב (תיקון מס' 12), התשע"ט-2018.</w:t>
      </w:r>
    </w:p>
  </w:footnote>
  <w:footnote w:id="68">
    <w:p w:rsidR="002B5389" w:rsidP="003D3BEF" w14:paraId="193B85E9" w14:textId="77777777">
      <w:pPr>
        <w:pStyle w:val="FootnoteText"/>
        <w:rPr>
          <w:rtl/>
        </w:rPr>
      </w:pPr>
      <w:r>
        <w:rPr>
          <w:rStyle w:val="FootnoteReference"/>
        </w:rPr>
        <w:footnoteRef/>
      </w:r>
      <w:r>
        <w:rPr>
          <w:rtl/>
        </w:rPr>
        <w:t xml:space="preserve"> </w:t>
      </w:r>
      <w:r>
        <w:rPr>
          <w:rtl/>
        </w:rPr>
        <w:tab/>
      </w:r>
      <w:r>
        <w:rPr>
          <w:rFonts w:hint="cs"/>
          <w:rtl/>
        </w:rPr>
        <w:t>סעיף 109(א) לחוק התאגידים.</w:t>
      </w:r>
    </w:p>
  </w:footnote>
  <w:footnote w:id="69">
    <w:p w:rsidR="002B5389" w:rsidP="003D3BEF" w14:paraId="1B8CEE73" w14:textId="77777777">
      <w:pPr>
        <w:pStyle w:val="FootnoteText"/>
      </w:pPr>
      <w:r>
        <w:rPr>
          <w:rStyle w:val="FootnoteReference"/>
        </w:rPr>
        <w:footnoteRef/>
      </w:r>
      <w:r>
        <w:rPr>
          <w:rtl/>
        </w:rPr>
        <w:t xml:space="preserve"> </w:t>
      </w:r>
      <w:r>
        <w:rPr>
          <w:rtl/>
        </w:rPr>
        <w:tab/>
      </w:r>
      <w:r>
        <w:rPr>
          <w:rFonts w:hint="cs"/>
          <w:rtl/>
        </w:rPr>
        <w:t>ישיבת מועצה מס. 190 מ-12.9.19.</w:t>
      </w:r>
    </w:p>
  </w:footnote>
  <w:footnote w:id="70">
    <w:p w:rsidR="002B5389" w:rsidP="003D3BEF" w14:paraId="08A46B1A" w14:textId="77777777">
      <w:pPr>
        <w:pStyle w:val="FootnoteText"/>
        <w:rPr>
          <w:rtl/>
        </w:rPr>
      </w:pPr>
      <w:r>
        <w:rPr>
          <w:rStyle w:val="FootnoteReference"/>
        </w:rPr>
        <w:footnoteRef/>
      </w:r>
      <w:r>
        <w:rPr>
          <w:rtl/>
        </w:rPr>
        <w:t xml:space="preserve"> </w:t>
      </w:r>
      <w:r>
        <w:rPr>
          <w:rtl/>
        </w:rPr>
        <w:tab/>
      </w:r>
      <w:r>
        <w:rPr>
          <w:rFonts w:hint="cs"/>
          <w:rtl/>
        </w:rPr>
        <w:t xml:space="preserve">עוד </w:t>
      </w:r>
      <w:r w:rsidRPr="00EB3353">
        <w:rPr>
          <w:rtl/>
        </w:rPr>
        <w:t>יצויין כי על פי נתוני רשות המים "נכון לסוף 2019, מותקנים מדי קר"מ ב - 95 מתוך 160 רשויות מקומיות החברות בתאגידי מים וביוב וב - 20 רשויות מקומיות נוספות התקנת המערכות נמצאת בשלבי הקמה שונים</w:t>
      </w:r>
      <w:r>
        <w:rPr>
          <w:rFonts w:hint="cs"/>
          <w:rtl/>
        </w:rPr>
        <w:t>"</w:t>
      </w:r>
      <w:r w:rsidRPr="00EB3353">
        <w:rPr>
          <w:rtl/>
        </w:rPr>
        <w:t>.</w:t>
      </w:r>
    </w:p>
  </w:footnote>
  <w:footnote w:id="71">
    <w:p w:rsidR="002B5389" w:rsidP="003D3BEF" w14:paraId="26AD7633" w14:textId="77777777">
      <w:pPr>
        <w:pStyle w:val="FootnoteText"/>
      </w:pPr>
      <w:r>
        <w:rPr>
          <w:rStyle w:val="FootnoteReference"/>
        </w:rPr>
        <w:footnoteRef/>
      </w:r>
      <w:r>
        <w:rPr>
          <w:rtl/>
        </w:rPr>
        <w:t xml:space="preserve"> </w:t>
      </w:r>
      <w:r>
        <w:rPr>
          <w:rtl/>
        </w:rPr>
        <w:tab/>
      </w:r>
      <w:r>
        <w:rPr>
          <w:rFonts w:hint="cs"/>
          <w:rtl/>
        </w:rPr>
        <w:t xml:space="preserve">כללי </w:t>
      </w:r>
      <w:r w:rsidRPr="00D540E9">
        <w:rPr>
          <w:rtl/>
        </w:rPr>
        <w:t>תאגידי מים וביוב (חישוב עלות שירותי מים וביוב והקמת מערכת מים או ביוב) תש"ע-2009.</w:t>
      </w:r>
    </w:p>
  </w:footnote>
  <w:footnote w:id="72">
    <w:p w:rsidR="002B5389" w:rsidP="003D3BEF" w14:paraId="679C4D61" w14:textId="77777777">
      <w:pPr>
        <w:pStyle w:val="FootnoteText"/>
        <w:rPr>
          <w:rtl/>
        </w:rPr>
      </w:pPr>
      <w:r>
        <w:rPr>
          <w:rStyle w:val="FootnoteReference"/>
        </w:rPr>
        <w:footnoteRef/>
      </w:r>
      <w:r>
        <w:rPr>
          <w:rtl/>
        </w:rPr>
        <w:t xml:space="preserve"> </w:t>
      </w:r>
      <w:r>
        <w:rPr>
          <w:rtl/>
        </w:rPr>
        <w:tab/>
      </w:r>
      <w:r w:rsidRPr="00D540E9">
        <w:rPr>
          <w:rtl/>
        </w:rPr>
        <w:t>יצוין כי על פי חישוב הפחת השוטף, כשנקודת החתך היא 31 בדצמבר של כל שנה, לא נלקחות בחשבון הכנסות מגביית חיובים שנעשית לאחר תום השנה. לדוגמה לגבי חיובים שמועד פרעונם טרם הגיע וגבייה כתוצאה מפעולות אכיפה שנעשות לאחר תום השנה.</w:t>
      </w:r>
    </w:p>
  </w:footnote>
  <w:footnote w:id="73">
    <w:p w:rsidR="002B5389" w:rsidP="003D3BEF" w14:paraId="72516DAF" w14:textId="77777777">
      <w:pPr>
        <w:pStyle w:val="FootnoteText"/>
      </w:pPr>
      <w:r>
        <w:rPr>
          <w:rStyle w:val="FootnoteReference"/>
        </w:rPr>
        <w:footnoteRef/>
      </w:r>
      <w:r>
        <w:rPr>
          <w:rtl/>
        </w:rPr>
        <w:t xml:space="preserve"> </w:t>
      </w:r>
      <w:r>
        <w:rPr>
          <w:rtl/>
        </w:rPr>
        <w:tab/>
      </w:r>
      <w:r>
        <w:rPr>
          <w:rFonts w:hint="cs"/>
          <w:rtl/>
        </w:rPr>
        <w:t xml:space="preserve">ההשוואה </w:t>
      </w:r>
      <w:r w:rsidRPr="005467F4">
        <w:rPr>
          <w:rtl/>
        </w:rPr>
        <w:t>נעשתה בתאגידים שיש לגביהם נתונים לשנת 2011 בלבד - 8 תאגידים באשכול תאגידים רב-רשותיים חלשים, 4 תאגידים באשכול תאגידים חד-רשותיים חלשים, 11 תאגידים באשכול תאגידים בינוניים ו-7 תאגידים באשכול תאגידים חזקים. יצוין כי בתרשים לא כלולים נתונים לגבי התאגידים הבאים הכלולים בדו"ח</w:t>
      </w:r>
      <w:r>
        <w:rPr>
          <w:rFonts w:hint="cs"/>
          <w:rtl/>
        </w:rPr>
        <w:t xml:space="preserve"> זה</w:t>
      </w:r>
      <w:r w:rsidRPr="005467F4">
        <w:rPr>
          <w:rtl/>
        </w:rPr>
        <w:t>: מי שבע, נווה מדבר ומי רמת גן.</w:t>
      </w:r>
    </w:p>
  </w:footnote>
  <w:footnote w:id="74">
    <w:p w:rsidR="002B5389" w:rsidP="003D3BEF" w14:paraId="38E9BE8C" w14:textId="77777777">
      <w:pPr>
        <w:pStyle w:val="FootnoteText"/>
        <w:rPr>
          <w:rtl/>
        </w:rPr>
      </w:pPr>
      <w:r>
        <w:rPr>
          <w:rStyle w:val="FootnoteReference"/>
        </w:rPr>
        <w:footnoteRef/>
      </w:r>
      <w:r>
        <w:rPr>
          <w:rtl/>
        </w:rPr>
        <w:t xml:space="preserve"> </w:t>
      </w:r>
      <w:r>
        <w:rPr>
          <w:rtl/>
        </w:rPr>
        <w:tab/>
      </w:r>
      <w:r>
        <w:rPr>
          <w:rFonts w:hint="cs"/>
          <w:rtl/>
        </w:rPr>
        <w:t>בהנחה שיחס החובות בגין צריכת מים מכלל חובות הצרכנים זהה ליחס הכנסות התאגיד מצריכת מים מכלל הכנסות התאגיד. בתרשים מוצג ההפסד המיוחס לחובות בגין צריכת מים בלבד.</w:t>
      </w:r>
    </w:p>
  </w:footnote>
  <w:footnote w:id="75">
    <w:p w:rsidR="002B5389" w:rsidP="003D3BEF" w14:paraId="7A3FD0F4" w14:textId="77777777">
      <w:pPr>
        <w:pStyle w:val="FootnoteText"/>
        <w:rPr>
          <w:rtl/>
        </w:rPr>
      </w:pPr>
      <w:r>
        <w:rPr>
          <w:rStyle w:val="FootnoteReference"/>
        </w:rPr>
        <w:footnoteRef/>
      </w:r>
      <w:r>
        <w:rPr>
          <w:rtl/>
        </w:rPr>
        <w:t xml:space="preserve"> </w:t>
      </w:r>
      <w:r>
        <w:rPr>
          <w:rtl/>
        </w:rPr>
        <w:tab/>
      </w:r>
      <w:r>
        <w:rPr>
          <w:rFonts w:hint="cs"/>
          <w:rtl/>
        </w:rPr>
        <w:t>סכום המענקים חושב באמצעות נתונים מדוחות תזרימי המזומנים של התאגיד.</w:t>
      </w:r>
    </w:p>
  </w:footnote>
  <w:footnote w:id="76">
    <w:p w:rsidR="002B5389" w:rsidP="003D3BEF" w14:paraId="7D402782" w14:textId="77777777">
      <w:pPr>
        <w:pStyle w:val="FootnoteText"/>
        <w:rPr>
          <w:rtl/>
        </w:rPr>
      </w:pPr>
      <w:r>
        <w:rPr>
          <w:rStyle w:val="FootnoteReference"/>
        </w:rPr>
        <w:footnoteRef/>
      </w:r>
      <w:r>
        <w:rPr>
          <w:rtl/>
        </w:rPr>
        <w:t xml:space="preserve"> </w:t>
      </w:r>
      <w:r>
        <w:rPr>
          <w:rtl/>
        </w:rPr>
        <w:tab/>
      </w:r>
      <w:r>
        <w:rPr>
          <w:rFonts w:hint="cs"/>
          <w:rtl/>
        </w:rPr>
        <w:t>כאמור, יש 11 תאגידים שרשות המים הגדירה כתאגידים זכאים.</w:t>
      </w:r>
    </w:p>
  </w:footnote>
  <w:footnote w:id="77">
    <w:p w:rsidR="002B5389" w:rsidP="003D3BEF" w14:paraId="2138A4A2" w14:textId="77777777">
      <w:pPr>
        <w:pStyle w:val="FootnoteText"/>
      </w:pPr>
      <w:r>
        <w:rPr>
          <w:rStyle w:val="FootnoteReference"/>
        </w:rPr>
        <w:footnoteRef/>
      </w:r>
      <w:r>
        <w:rPr>
          <w:rtl/>
        </w:rPr>
        <w:t xml:space="preserve"> </w:t>
      </w:r>
      <w:r>
        <w:rPr>
          <w:rtl/>
        </w:rPr>
        <w:tab/>
      </w:r>
      <w:r>
        <w:rPr>
          <w:rFonts w:hint="cs"/>
          <w:rtl/>
        </w:rPr>
        <w:t>על פי דו"ח רשות המים "תיאגוד אזורי של תאגידי מים וביוב בישראל הצעה למתווה ובחינת כדאיות כלכלכית" אפריל 2013 .</w:t>
      </w:r>
    </w:p>
  </w:footnote>
  <w:footnote w:id="78">
    <w:p w:rsidR="002B5389" w:rsidP="003D3BEF" w14:paraId="15109ED1" w14:textId="77777777">
      <w:pPr>
        <w:pStyle w:val="FootnoteText"/>
        <w:rPr>
          <w:rtl/>
        </w:rPr>
      </w:pPr>
      <w:r>
        <w:rPr>
          <w:rStyle w:val="FootnoteReference"/>
        </w:rPr>
        <w:footnoteRef/>
      </w:r>
      <w:r>
        <w:rPr>
          <w:rtl/>
        </w:rPr>
        <w:t xml:space="preserve"> </w:t>
      </w:r>
      <w:r>
        <w:rPr>
          <w:rtl/>
        </w:rPr>
        <w:tab/>
      </w:r>
      <w:r>
        <w:rPr>
          <w:rFonts w:hint="cs"/>
          <w:rtl/>
        </w:rPr>
        <w:t>דוח הוועדה המייעצת להסדרת רגולציה כלכלית ארוכת טווח למשק המים, פברואר 2019, עמ' 104</w:t>
      </w:r>
    </w:p>
  </w:footnote>
  <w:footnote w:id="79">
    <w:p w:rsidR="002B5389" w:rsidP="003D3BEF" w14:paraId="39A961BD" w14:textId="77777777">
      <w:pPr>
        <w:pStyle w:val="FootnoteText"/>
        <w:rPr>
          <w:rtl/>
        </w:rPr>
      </w:pPr>
      <w:r>
        <w:rPr>
          <w:rStyle w:val="FootnoteReference"/>
        </w:rPr>
        <w:footnoteRef/>
      </w:r>
      <w:r>
        <w:rPr>
          <w:rtl/>
        </w:rPr>
        <w:t xml:space="preserve"> </w:t>
      </w:r>
      <w:r>
        <w:rPr>
          <w:rtl/>
        </w:rPr>
        <w:tab/>
      </w:r>
      <w:r w:rsidRPr="00E11873">
        <w:rPr>
          <w:rFonts w:hint="cs"/>
          <w:rtl/>
        </w:rPr>
        <w:t xml:space="preserve">החלטת 161 </w:t>
      </w:r>
      <w:r>
        <w:rPr>
          <w:rFonts w:hint="cs"/>
          <w:rtl/>
        </w:rPr>
        <w:t xml:space="preserve">של הממשלה ה-33 "ייעול מקטע החלוקה במשק המים והביוב העירוני" </w:t>
      </w:r>
      <w:r w:rsidRPr="00E11873">
        <w:rPr>
          <w:rFonts w:hint="cs"/>
          <w:rtl/>
        </w:rPr>
        <w:t xml:space="preserve">(13.5.13); תיקון מס' 6 </w:t>
      </w:r>
      <w:r w:rsidRPr="00E11873">
        <w:rPr>
          <w:rFonts w:hint="eastAsia"/>
          <w:rtl/>
        </w:rPr>
        <w:t>לחוק</w:t>
      </w:r>
      <w:r w:rsidRPr="00E11873">
        <w:rPr>
          <w:rFonts w:hint="cs"/>
          <w:rtl/>
        </w:rPr>
        <w:t xml:space="preserve"> התאגידים</w:t>
      </w:r>
      <w:r>
        <w:rPr>
          <w:rFonts w:hint="cs"/>
          <w:rtl/>
        </w:rPr>
        <w:t xml:space="preserve"> במסגרת סעיף 59 לחוק לשינוי סדרי עדיפות לאומיים (תיקוני חקיקה להשגת יעדי התקציב לשנים 2013 ו-2014), התשע"ג-2013, ס"ח 174-116.</w:t>
      </w:r>
    </w:p>
  </w:footnote>
  <w:footnote w:id="80">
    <w:p w:rsidR="002B5389" w:rsidRPr="00544E35" w:rsidP="003D3BEF" w14:paraId="321750C6" w14:textId="77777777">
      <w:pPr>
        <w:pStyle w:val="FootnoteText"/>
        <w:rPr>
          <w:rtl/>
        </w:rPr>
      </w:pPr>
      <w:r w:rsidRPr="00E11873">
        <w:rPr>
          <w:rStyle w:val="FootnoteReference"/>
        </w:rPr>
        <w:footnoteRef/>
      </w:r>
      <w:r w:rsidRPr="00E11873">
        <w:rPr>
          <w:rtl/>
        </w:rPr>
        <w:t xml:space="preserve"> </w:t>
      </w:r>
      <w:r w:rsidRPr="00E11873">
        <w:rPr>
          <w:rtl/>
        </w:rPr>
        <w:tab/>
      </w:r>
      <w:r>
        <w:rPr>
          <w:rFonts w:hint="cs"/>
          <w:rtl/>
        </w:rPr>
        <w:t>דוח הוועדה המייעצת להסדרת רגולציה כלכלית ארוכת טווח למשק המים, פברואר 2019, עמ' 71.</w:t>
      </w:r>
    </w:p>
  </w:footnote>
  <w:footnote w:id="81">
    <w:p w:rsidR="002B5389" w:rsidP="003D3BEF" w14:paraId="43828FD9" w14:textId="77777777">
      <w:pPr>
        <w:pStyle w:val="FootnoteText"/>
        <w:rPr>
          <w:rtl/>
        </w:rPr>
      </w:pPr>
      <w:r>
        <w:rPr>
          <w:rStyle w:val="FootnoteReference"/>
        </w:rPr>
        <w:footnoteRef/>
      </w:r>
      <w:r>
        <w:rPr>
          <w:rtl/>
        </w:rPr>
        <w:t xml:space="preserve"> </w:t>
      </w:r>
      <w:r>
        <w:rPr>
          <w:rtl/>
        </w:rPr>
        <w:tab/>
      </w:r>
      <w:r>
        <w:rPr>
          <w:rFonts w:hint="cs"/>
          <w:rtl/>
        </w:rPr>
        <w:t xml:space="preserve">דוח </w:t>
      </w:r>
      <w:r w:rsidRPr="0073124F">
        <w:rPr>
          <w:rtl/>
        </w:rPr>
        <w:t>ועדת בלניקוב 2019, עמ' 35.</w:t>
      </w:r>
    </w:p>
  </w:footnote>
  <w:footnote w:id="82">
    <w:p w:rsidR="002B5389" w:rsidP="003D3BEF" w14:paraId="02D56276" w14:textId="77777777">
      <w:pPr>
        <w:pStyle w:val="FootnoteText"/>
        <w:rPr>
          <w:rtl/>
        </w:rPr>
      </w:pPr>
      <w:r>
        <w:rPr>
          <w:rStyle w:val="FootnoteReference"/>
        </w:rPr>
        <w:footnoteRef/>
      </w:r>
      <w:r>
        <w:rPr>
          <w:rtl/>
        </w:rPr>
        <w:t xml:space="preserve"> </w:t>
      </w:r>
      <w:r>
        <w:rPr>
          <w:rtl/>
        </w:rPr>
        <w:tab/>
      </w:r>
      <w:r>
        <w:rPr>
          <w:rFonts w:hint="cs"/>
          <w:rtl/>
        </w:rPr>
        <w:t xml:space="preserve">דוח </w:t>
      </w:r>
      <w:r w:rsidRPr="0073124F">
        <w:rPr>
          <w:rFonts w:ascii="Tahoma" w:hAnsi="Tahoma"/>
          <w:rtl/>
        </w:rPr>
        <w:t xml:space="preserve">שהגיש יועץ א' מטעם רשות המים בשנת 2011, בנושא "תאגידי מים וביוב בישראל - ניתוח הפריסה האופטימאלית"; מבקר המדינה, </w:t>
      </w:r>
      <w:r w:rsidRPr="0073124F">
        <w:rPr>
          <w:rFonts w:ascii="Tahoma" w:hAnsi="Tahoma"/>
          <w:b/>
          <w:bCs/>
          <w:rtl/>
        </w:rPr>
        <w:t>דוח שנתי 63א</w:t>
      </w:r>
      <w:r w:rsidRPr="0073124F">
        <w:rPr>
          <w:rFonts w:ascii="Tahoma" w:hAnsi="Tahoma"/>
          <w:rtl/>
        </w:rPr>
        <w:t xml:space="preserve"> (2012), "הרשות הממשלתית למים וביוב", עמ' 241.</w:t>
      </w:r>
    </w:p>
  </w:footnote>
  <w:footnote w:id="83">
    <w:p w:rsidR="002B5389" w:rsidP="003D3BEF" w14:paraId="4F2EE830" w14:textId="77777777">
      <w:pPr>
        <w:pStyle w:val="FootnoteText"/>
      </w:pPr>
      <w:r>
        <w:rPr>
          <w:rStyle w:val="FootnoteReference"/>
        </w:rPr>
        <w:footnoteRef/>
      </w:r>
      <w:r>
        <w:rPr>
          <w:rtl/>
        </w:rPr>
        <w:t xml:space="preserve"> </w:t>
      </w:r>
      <w:r>
        <w:rPr>
          <w:rtl/>
        </w:rPr>
        <w:tab/>
      </w:r>
      <w:r>
        <w:rPr>
          <w:rFonts w:hint="cs"/>
          <w:rtl/>
        </w:rPr>
        <w:t xml:space="preserve">מבקר </w:t>
      </w:r>
      <w:r w:rsidRPr="0073124F">
        <w:rPr>
          <w:rFonts w:ascii="Tahoma" w:hAnsi="Tahoma"/>
          <w:rtl/>
        </w:rPr>
        <w:t>המדינה, דוח שנתי 63א, (2012)</w:t>
      </w:r>
      <w:r w:rsidRPr="0073124F">
        <w:rPr>
          <w:rFonts w:ascii="Tahoma" w:hAnsi="Tahoma"/>
        </w:rPr>
        <w:t>,</w:t>
      </w:r>
      <w:r w:rsidRPr="0073124F">
        <w:rPr>
          <w:rFonts w:ascii="Tahoma" w:hAnsi="Tahoma"/>
          <w:rtl/>
        </w:rPr>
        <w:t xml:space="preserve"> עמ' 241, 274; דוח שנתי 64א (2013), "יחסי גומלין בין תאגידי המים והביוב לרשויות המקומיות", עמ' 763, 789.</w:t>
      </w:r>
    </w:p>
  </w:footnote>
  <w:footnote w:id="84">
    <w:p w:rsidR="002B5389" w:rsidP="003D3BEF" w14:paraId="558E506E" w14:textId="77777777">
      <w:pPr>
        <w:pStyle w:val="FootnoteText"/>
      </w:pPr>
      <w:r>
        <w:rPr>
          <w:rStyle w:val="FootnoteReference"/>
        </w:rPr>
        <w:footnoteRef/>
      </w:r>
      <w:r>
        <w:rPr>
          <w:rtl/>
        </w:rPr>
        <w:t xml:space="preserve"> </w:t>
      </w:r>
      <w:r>
        <w:rPr>
          <w:rtl/>
        </w:rPr>
        <w:tab/>
      </w:r>
      <w:r>
        <w:rPr>
          <w:rFonts w:hint="cs"/>
          <w:rtl/>
        </w:rPr>
        <w:t>החלטת הממשלה 2447, "הקמת תאגידי מים וביוב" (15.8.04).</w:t>
      </w:r>
    </w:p>
  </w:footnote>
  <w:footnote w:id="85">
    <w:p w:rsidR="002B5389" w:rsidP="003D3BEF" w14:paraId="4FB07862" w14:textId="77777777">
      <w:pPr>
        <w:pStyle w:val="FootnoteText"/>
        <w:rPr>
          <w:rtl/>
        </w:rPr>
      </w:pPr>
      <w:r>
        <w:rPr>
          <w:rStyle w:val="FootnoteReference"/>
        </w:rPr>
        <w:footnoteRef/>
      </w:r>
      <w:r>
        <w:rPr>
          <w:rtl/>
        </w:rPr>
        <w:t xml:space="preserve"> </w:t>
      </w:r>
      <w:r>
        <w:rPr>
          <w:rtl/>
        </w:rPr>
        <w:tab/>
      </w:r>
      <w:r>
        <w:rPr>
          <w:rFonts w:hint="cs"/>
          <w:rtl/>
        </w:rPr>
        <w:t xml:space="preserve">החלטת הממשלה 464, "יישום הרפורמה במשק המים העירוני" (12.9.06). </w:t>
      </w:r>
    </w:p>
  </w:footnote>
  <w:footnote w:id="86">
    <w:p w:rsidR="002B5389" w:rsidP="003D3BEF" w14:paraId="40071B12" w14:textId="77777777">
      <w:pPr>
        <w:pStyle w:val="FootnoteText"/>
        <w:rPr>
          <w:rtl/>
        </w:rPr>
      </w:pPr>
      <w:r>
        <w:rPr>
          <w:rStyle w:val="FootnoteReference"/>
        </w:rPr>
        <w:footnoteRef/>
      </w:r>
      <w:r>
        <w:rPr>
          <w:rtl/>
        </w:rPr>
        <w:t xml:space="preserve"> </w:t>
      </w:r>
      <w:r>
        <w:rPr>
          <w:rtl/>
        </w:rPr>
        <w:tab/>
      </w:r>
      <w:r>
        <w:rPr>
          <w:rFonts w:hint="cs"/>
          <w:rtl/>
        </w:rPr>
        <w:t>החלטת הממשלה 2020, "הגברת ההשקעות בתשתיות מים וביוב" (15.7.10).</w:t>
      </w:r>
    </w:p>
  </w:footnote>
  <w:footnote w:id="87">
    <w:p w:rsidR="002B5389" w:rsidP="003D3BEF" w14:paraId="6BA668B7" w14:textId="77777777">
      <w:pPr>
        <w:pStyle w:val="FootnoteText"/>
      </w:pPr>
      <w:r>
        <w:rPr>
          <w:rStyle w:val="FootnoteReference"/>
        </w:rPr>
        <w:footnoteRef/>
      </w:r>
      <w:r>
        <w:rPr>
          <w:rtl/>
        </w:rPr>
        <w:t xml:space="preserve"> </w:t>
      </w:r>
      <w:r>
        <w:rPr>
          <w:rtl/>
        </w:rPr>
        <w:tab/>
      </w:r>
      <w:r>
        <w:rPr>
          <w:rFonts w:hint="cs"/>
          <w:rtl/>
        </w:rPr>
        <w:t xml:space="preserve">החלטת </w:t>
      </w:r>
      <w:r>
        <w:rPr>
          <w:rFonts w:ascii="Tahoma" w:hAnsi="Tahoma"/>
          <w:rtl/>
        </w:rPr>
        <w:t>ממשלה 3798,</w:t>
      </w:r>
      <w:r w:rsidRPr="00456CB5">
        <w:rPr>
          <w:rFonts w:ascii="Tahoma" w:hAnsi="Tahoma"/>
          <w:rtl/>
        </w:rPr>
        <w:t>"הסדרת יחסי השלטון המקומי ותאגידי המים והביוב" (6.11.11). (החלטה זו למעשה ישמה את המלצות ועדת ניסן שכללו נסיגה מעיקרון ההפרדה המוחלטת בין הרשויות המקומיות לתאגידי המים, ואפשרות לממשקיות בין הרשות המקומית לבין התאגיד בשורה של נושאים רבים כגון</w:t>
      </w:r>
      <w:r>
        <w:rPr>
          <w:rFonts w:ascii="Tahoma" w:hAnsi="Tahoma" w:hint="cs"/>
          <w:rtl/>
        </w:rPr>
        <w:t xml:space="preserve"> </w:t>
      </w:r>
      <w:r w:rsidRPr="00456CB5">
        <w:rPr>
          <w:rFonts w:ascii="Tahoma" w:hAnsi="Tahoma"/>
          <w:rtl/>
        </w:rPr>
        <w:t>השאלת עובדים, הסכמי פיתוח משותפים, מכרזיםוגבייה. לכל הנוגע לתיאגוד אזורי קבעה הוועדה כי על רשויות מקומיות שטרם הקימו תאגידי מים וביוב, להעביר את משק המים והביוב בתחומן לתאגיד הקיים, למעט במקרים חריגים שבהם התאפשר לרשות המקומית להקים תאגיד עצמאי בתחומה וגם זאת בתוך תקופה של שישה חודשים ובכפוף לעמידה בתנאים המצביעים על קיומו של משק מים וביוב מיטבי.</w:t>
      </w:r>
      <w:r>
        <w:rPr>
          <w:rFonts w:ascii="Tahoma" w:hAnsi="Tahoma"/>
          <w:rtl/>
        </w:rPr>
        <w:t xml:space="preserve"> </w:t>
      </w:r>
      <w:r w:rsidRPr="00456CB5">
        <w:rPr>
          <w:rFonts w:ascii="Tahoma" w:hAnsi="Tahoma"/>
          <w:rtl/>
        </w:rPr>
        <w:t>ראו גם דו"ח ועדת בלניקוב 2</w:t>
      </w:r>
      <w:r>
        <w:rPr>
          <w:rFonts w:ascii="Tahoma" w:hAnsi="Tahoma"/>
          <w:rtl/>
        </w:rPr>
        <w:t>019, עמ' 37 -38</w:t>
      </w:r>
      <w:r w:rsidRPr="00456CB5">
        <w:rPr>
          <w:rFonts w:ascii="Tahoma" w:hAnsi="Tahoma"/>
          <w:rtl/>
        </w:rPr>
        <w:t>.</w:t>
      </w:r>
    </w:p>
  </w:footnote>
  <w:footnote w:id="88">
    <w:p w:rsidR="002B5389" w:rsidRPr="00456CB5" w:rsidP="003D3BEF" w14:paraId="6A0C12E3" w14:textId="77777777">
      <w:pPr>
        <w:pStyle w:val="FootnoteText"/>
        <w:rPr>
          <w:rFonts w:ascii="Tahoma" w:hAnsi="Tahoma"/>
          <w:rtl/>
        </w:rPr>
      </w:pPr>
      <w:r w:rsidRPr="00456CB5">
        <w:rPr>
          <w:rStyle w:val="FootnoteReference"/>
          <w:rFonts w:ascii="Tahoma" w:hAnsi="Tahoma"/>
        </w:rPr>
        <w:footnoteRef/>
      </w:r>
      <w:r w:rsidR="004B5DBE">
        <w:rPr>
          <w:rFonts w:ascii="Tahoma" w:hAnsi="Tahoma"/>
          <w:rtl/>
        </w:rPr>
        <w:t xml:space="preserve"> </w:t>
      </w:r>
      <w:r w:rsidR="004B5DBE">
        <w:rPr>
          <w:rFonts w:ascii="Tahoma" w:hAnsi="Tahoma"/>
          <w:rtl/>
        </w:rPr>
        <w:tab/>
      </w:r>
      <w:r w:rsidRPr="00456CB5">
        <w:rPr>
          <w:rFonts w:ascii="Tahoma" w:hAnsi="Tahoma"/>
          <w:rtl/>
        </w:rPr>
        <w:t>החלטת ממשלה 161, "ייעול מקטע החלוקה במשק המים והביוב העירוני" (13.5.13).</w:t>
      </w:r>
    </w:p>
  </w:footnote>
  <w:footnote w:id="89">
    <w:p w:rsidR="002B5389" w:rsidP="003D3BEF" w14:paraId="6C3D8992" w14:textId="77777777">
      <w:pPr>
        <w:pStyle w:val="FootnoteText"/>
        <w:rPr>
          <w:rtl/>
        </w:rPr>
      </w:pPr>
      <w:r>
        <w:rPr>
          <w:rStyle w:val="FootnoteReference"/>
        </w:rPr>
        <w:footnoteRef/>
      </w:r>
      <w:r>
        <w:rPr>
          <w:rtl/>
        </w:rPr>
        <w:t xml:space="preserve"> </w:t>
      </w:r>
      <w:r>
        <w:rPr>
          <w:rtl/>
        </w:rPr>
        <w:tab/>
      </w:r>
      <w:r>
        <w:rPr>
          <w:rFonts w:hint="cs"/>
          <w:rtl/>
        </w:rPr>
        <w:t xml:space="preserve">תחילת </w:t>
      </w:r>
      <w:r w:rsidRPr="00456CB5">
        <w:rPr>
          <w:rFonts w:ascii="Tahoma" w:hAnsi="Tahoma"/>
          <w:rtl/>
        </w:rPr>
        <w:t>היישום עבור רשות מקומית בלי חברה - 30.11.19, עבור תאגידים שהוקמו עד 30.1.14 - 1.12.19 ועבור תאגידים שהוקמו מ-1.2.15 עד</w:t>
      </w:r>
      <w:r>
        <w:rPr>
          <w:rFonts w:ascii="Tahoma" w:hAnsi="Tahoma"/>
          <w:rtl/>
        </w:rPr>
        <w:t xml:space="preserve"> </w:t>
      </w:r>
      <w:r w:rsidRPr="00456CB5">
        <w:rPr>
          <w:rFonts w:ascii="Tahoma" w:hAnsi="Tahoma"/>
          <w:rtl/>
        </w:rPr>
        <w:t>30.6.19 - 1.12.20.</w:t>
      </w:r>
    </w:p>
  </w:footnote>
  <w:footnote w:id="90">
    <w:p w:rsidR="002B5389" w:rsidP="003D3BEF" w14:paraId="0FD39097" w14:textId="77777777">
      <w:pPr>
        <w:pStyle w:val="FootnoteText"/>
        <w:rPr>
          <w:rtl/>
        </w:rPr>
      </w:pPr>
      <w:r>
        <w:rPr>
          <w:rStyle w:val="FootnoteReference"/>
        </w:rPr>
        <w:footnoteRef/>
      </w:r>
      <w:r>
        <w:rPr>
          <w:rtl/>
        </w:rPr>
        <w:t xml:space="preserve"> </w:t>
      </w:r>
      <w:r>
        <w:rPr>
          <w:rtl/>
        </w:rPr>
        <w:tab/>
      </w:r>
      <w:r>
        <w:rPr>
          <w:rFonts w:hint="cs"/>
          <w:rtl/>
        </w:rPr>
        <w:t xml:space="preserve">טיוטת </w:t>
      </w:r>
      <w:r w:rsidRPr="00456CB5">
        <w:rPr>
          <w:rFonts w:ascii="Tahoma" w:hAnsi="Tahoma"/>
          <w:rtl/>
        </w:rPr>
        <w:t>תזכיר חוק תאגידי מים וביוב (תיקון מס' 139, התש"ף-2020) פורסמה ב-13.3.20 להערות הציבור באתר החקיקה הממשלתי במרשתת.</w:t>
      </w:r>
    </w:p>
  </w:footnote>
  <w:footnote w:id="91">
    <w:p w:rsidR="002B5389" w:rsidP="003D3BEF" w14:paraId="425EAFB8" w14:textId="77777777">
      <w:pPr>
        <w:pStyle w:val="FootnoteText"/>
      </w:pPr>
      <w:r>
        <w:rPr>
          <w:rStyle w:val="FootnoteReference"/>
        </w:rPr>
        <w:footnoteRef/>
      </w:r>
      <w:r>
        <w:rPr>
          <w:rtl/>
        </w:rPr>
        <w:t xml:space="preserve"> </w:t>
      </w:r>
      <w:r>
        <w:rPr>
          <w:rtl/>
        </w:rPr>
        <w:tab/>
      </w:r>
      <w:r>
        <w:rPr>
          <w:rFonts w:hint="cs"/>
          <w:rtl/>
        </w:rPr>
        <w:t xml:space="preserve">על פי </w:t>
      </w:r>
      <w:r w:rsidRPr="00456CB5">
        <w:rPr>
          <w:rFonts w:ascii="Tahoma" w:hAnsi="Tahoma"/>
          <w:rtl/>
        </w:rPr>
        <w:t>הודעה בדבר שיוך הרשויות המקומיות בישראל לקבוצות לפי חוק תאגידי מים וביוב שפורסמה לציבור במאי 2020, 24 הרשויות המקומיות החייבות בתיאגוד וטרם התאגדו הן: להבים, מיתר, עומר, שדרות, קריית יערים, באר יעקב, שוהם, גבעת שמואל, סביון, כפר שמריהו, קלנסווה, פרדס חנ</w:t>
      </w:r>
      <w:r>
        <w:rPr>
          <w:rFonts w:ascii="Tahoma" w:hAnsi="Tahoma"/>
          <w:rtl/>
        </w:rPr>
        <w:t>ה-</w:t>
      </w:r>
      <w:r w:rsidRPr="00456CB5">
        <w:rPr>
          <w:rFonts w:ascii="Tahoma" w:hAnsi="Tahoma"/>
          <w:rtl/>
        </w:rPr>
        <w:t>כרכור, אור עקיבא, בנימינה-גבעת עדה, ג'יסר א-זרקא, חריש, אליכין, פורידיס, נשר, בית שאן, כפר תבור, נהריה, מיעיליא וראש פינה. ראו י"פ התש"ף, עמ' 5819.</w:t>
      </w:r>
    </w:p>
  </w:footnote>
  <w:footnote w:id="92">
    <w:p w:rsidR="002B5389" w:rsidRPr="00456CB5" w:rsidP="003D3BEF" w14:paraId="45880EE5" w14:textId="77777777">
      <w:pPr>
        <w:pStyle w:val="FootnoteText"/>
        <w:rPr>
          <w:rtl/>
        </w:rPr>
      </w:pPr>
      <w:r w:rsidRPr="00456CB5">
        <w:rPr>
          <w:rStyle w:val="FootnoteReference"/>
          <w:rFonts w:ascii="Tahoma" w:hAnsi="Tahoma"/>
        </w:rPr>
        <w:footnoteRef/>
      </w:r>
      <w:r w:rsidRPr="00456CB5">
        <w:rPr>
          <w:rFonts w:ascii="Tahoma" w:hAnsi="Tahoma"/>
          <w:rtl/>
        </w:rPr>
        <w:t xml:space="preserve"> </w:t>
      </w:r>
      <w:r w:rsidRPr="00456CB5">
        <w:rPr>
          <w:rFonts w:ascii="Tahoma" w:hAnsi="Tahoma"/>
          <w:rtl/>
        </w:rPr>
        <w:tab/>
        <w:t>דוח ועדת בלניקוב 2019, עמ' 40.</w:t>
      </w:r>
    </w:p>
  </w:footnote>
  <w:footnote w:id="93">
    <w:p w:rsidR="002B5389" w:rsidP="003D3BEF" w14:paraId="0FB033FF" w14:textId="77777777">
      <w:pPr>
        <w:pStyle w:val="FootnoteText"/>
      </w:pPr>
      <w:r>
        <w:rPr>
          <w:rStyle w:val="FootnoteReference"/>
        </w:rPr>
        <w:footnoteRef/>
      </w:r>
      <w:r>
        <w:rPr>
          <w:rtl/>
        </w:rPr>
        <w:t xml:space="preserve"> </w:t>
      </w:r>
      <w:r>
        <w:rPr>
          <w:rtl/>
        </w:rPr>
        <w:tab/>
      </w:r>
      <w:r>
        <w:rPr>
          <w:rFonts w:hint="cs"/>
          <w:rtl/>
        </w:rPr>
        <w:t>מ-91% ל-90%.</w:t>
      </w:r>
    </w:p>
  </w:footnote>
  <w:footnote w:id="94">
    <w:p w:rsidR="002B5389" w:rsidP="003D3BEF" w14:paraId="75C77814" w14:textId="77777777">
      <w:pPr>
        <w:pStyle w:val="FootnoteText"/>
        <w:rPr>
          <w:rtl/>
        </w:rPr>
      </w:pPr>
      <w:r>
        <w:rPr>
          <w:rStyle w:val="FootnoteReference"/>
        </w:rPr>
        <w:footnoteRef/>
      </w:r>
      <w:r>
        <w:rPr>
          <w:rtl/>
        </w:rPr>
        <w:t xml:space="preserve"> </w:t>
      </w:r>
      <w:r>
        <w:rPr>
          <w:rtl/>
        </w:rPr>
        <w:tab/>
      </w:r>
      <w:r>
        <w:rPr>
          <w:rFonts w:hint="cs"/>
          <w:rtl/>
        </w:rPr>
        <w:t xml:space="preserve">עד </w:t>
      </w:r>
      <w:r w:rsidRPr="00456CB5">
        <w:rPr>
          <w:rFonts w:ascii="Tahoma" w:hAnsi="Tahoma"/>
          <w:rtl/>
        </w:rPr>
        <w:t>מועד סיום הביקורת, 24 רשויות מקומיות החייבות בתיאגוד טרם התאגדו.</w:t>
      </w:r>
    </w:p>
  </w:footnote>
  <w:footnote w:id="95">
    <w:p w:rsidR="002B5389" w:rsidP="003D3BEF" w14:paraId="00568B2F" w14:textId="77777777">
      <w:pPr>
        <w:pStyle w:val="FootnoteText"/>
      </w:pPr>
      <w:r>
        <w:rPr>
          <w:rStyle w:val="FootnoteReference"/>
        </w:rPr>
        <w:footnoteRef/>
      </w:r>
      <w:r>
        <w:rPr>
          <w:rtl/>
        </w:rPr>
        <w:t xml:space="preserve"> </w:t>
      </w:r>
      <w:r>
        <w:rPr>
          <w:rtl/>
        </w:rPr>
        <w:tab/>
      </w:r>
      <w:r>
        <w:rPr>
          <w:rFonts w:hint="cs"/>
          <w:rtl/>
        </w:rPr>
        <w:t xml:space="preserve">דוח </w:t>
      </w:r>
      <w:r w:rsidRPr="0073124F">
        <w:rPr>
          <w:rFonts w:ascii="Tahoma" w:hAnsi="Tahoma"/>
          <w:rtl/>
        </w:rPr>
        <w:t>ועדת בלניקוב 2019, עמ' 82.</w:t>
      </w:r>
    </w:p>
  </w:footnote>
  <w:footnote w:id="96">
    <w:p w:rsidR="002B5389" w:rsidP="003D3BEF" w14:paraId="13263D8E" w14:textId="77777777">
      <w:pPr>
        <w:pStyle w:val="FootnoteText"/>
      </w:pPr>
      <w:r>
        <w:rPr>
          <w:rStyle w:val="FootnoteReference"/>
        </w:rPr>
        <w:footnoteRef/>
      </w:r>
      <w:r>
        <w:rPr>
          <w:rtl/>
        </w:rPr>
        <w:t xml:space="preserve"> </w:t>
      </w:r>
      <w:r>
        <w:rPr>
          <w:rtl/>
        </w:rPr>
        <w:tab/>
      </w:r>
      <w:r>
        <w:rPr>
          <w:rFonts w:hint="cs"/>
          <w:rtl/>
        </w:rPr>
        <w:t xml:space="preserve">על </w:t>
      </w:r>
      <w:r w:rsidRPr="00456CB5">
        <w:rPr>
          <w:rFonts w:ascii="Tahoma" w:hAnsi="Tahoma"/>
          <w:rtl/>
        </w:rPr>
        <w:t>פי החוק, יש להקים עד 30 תאגידים אזוריים. מאחר שהמתווה הציג 28 תאגידים סברה רשות המים שניתן לתת פטור רק לשני תאגידים.</w:t>
      </w:r>
    </w:p>
  </w:footnote>
  <w:footnote w:id="97">
    <w:p w:rsidR="002B5389" w:rsidRPr="00695B6B" w:rsidP="003D3BEF" w14:paraId="3D141BE5" w14:textId="77777777">
      <w:pPr>
        <w:pStyle w:val="FootnoteText"/>
      </w:pPr>
      <w:r w:rsidRPr="003A4194">
        <w:rPr>
          <w:rStyle w:val="FootnoteReference"/>
          <w:rFonts w:ascii="Tahoma" w:hAnsi="Tahoma" w:cs="Tahoma"/>
          <w:sz w:val="16"/>
          <w:szCs w:val="16"/>
        </w:rPr>
        <w:footnoteRef/>
      </w:r>
      <w:r w:rsidRPr="003A4194">
        <w:rPr>
          <w:rFonts w:ascii="Tahoma" w:hAnsi="Tahoma" w:cs="Tahoma"/>
          <w:sz w:val="16"/>
          <w:szCs w:val="16"/>
          <w:rtl/>
        </w:rPr>
        <w:t xml:space="preserve"> </w:t>
      </w:r>
      <w:r w:rsidRPr="003A4194">
        <w:rPr>
          <w:rFonts w:ascii="Tahoma" w:hAnsi="Tahoma" w:cs="Tahoma"/>
          <w:sz w:val="16"/>
          <w:szCs w:val="16"/>
          <w:rtl/>
        </w:rPr>
        <w:tab/>
      </w:r>
      <w:r w:rsidRPr="0073124F">
        <w:rPr>
          <w:rFonts w:ascii="Tahoma" w:hAnsi="Tahoma"/>
          <w:rtl/>
        </w:rPr>
        <w:t>ראו הודעת יו"ר רשות המים מ-24.10.19. הרשות המליצה לתת פטור לתאגיד הגיחון, בכפוף לצירוף קריית יערים לתאגיד.</w:t>
      </w:r>
    </w:p>
  </w:footnote>
  <w:footnote w:id="98">
    <w:p w:rsidR="002B5389" w:rsidP="003D3BEF" w14:paraId="477F07F3" w14:textId="77777777">
      <w:pPr>
        <w:pStyle w:val="FootnoteText"/>
        <w:rPr>
          <w:rtl/>
        </w:rPr>
      </w:pPr>
      <w:r>
        <w:rPr>
          <w:rStyle w:val="FootnoteReference"/>
        </w:rPr>
        <w:footnoteRef/>
      </w:r>
      <w:r>
        <w:rPr>
          <w:rtl/>
        </w:rPr>
        <w:t xml:space="preserve"> </w:t>
      </w:r>
      <w:r>
        <w:rPr>
          <w:rtl/>
        </w:rPr>
        <w:tab/>
      </w:r>
      <w:r w:rsidRPr="00320972">
        <w:rPr>
          <w:rFonts w:ascii="Tahoma" w:hAnsi="Tahoma"/>
          <w:rtl/>
        </w:rPr>
        <w:t>הודעה על התליית שיוך הרשויות המקומיות לקבוצות, י"פ התש"ף 4619.</w:t>
      </w:r>
    </w:p>
  </w:footnote>
  <w:footnote w:id="99">
    <w:p w:rsidR="002B5389" w:rsidP="003D3BEF" w14:paraId="6F60C692" w14:textId="77777777">
      <w:pPr>
        <w:pStyle w:val="FootnoteText"/>
        <w:rPr>
          <w:rtl/>
        </w:rPr>
      </w:pPr>
      <w:r>
        <w:rPr>
          <w:rStyle w:val="FootnoteReference"/>
        </w:rPr>
        <w:footnoteRef/>
      </w:r>
      <w:r>
        <w:rPr>
          <w:rtl/>
        </w:rPr>
        <w:t xml:space="preserve"> </w:t>
      </w:r>
      <w:r>
        <w:rPr>
          <w:rtl/>
        </w:rPr>
        <w:tab/>
      </w:r>
      <w:r w:rsidRPr="00320972">
        <w:rPr>
          <w:rFonts w:ascii="Tahoma" w:hAnsi="Tahoma"/>
          <w:rtl/>
        </w:rPr>
        <w:t>בינואר 2020 ציינה רשות המים כי סוכם עם משרדי האנרג</w:t>
      </w:r>
      <w:r w:rsidRPr="00320972">
        <w:rPr>
          <w:rFonts w:ascii="Tahoma" w:hAnsi="Tahoma" w:hint="cs"/>
          <w:rtl/>
        </w:rPr>
        <w:t>י</w:t>
      </w:r>
      <w:r w:rsidRPr="00320972">
        <w:rPr>
          <w:rFonts w:ascii="Tahoma" w:hAnsi="Tahoma"/>
          <w:rtl/>
        </w:rPr>
        <w:t>יה והמשפטים כי הם יפעלו לתיקון החוק באופן שידחה את המועד לתחילת ביצוע התיאגוד האזורי.</w:t>
      </w:r>
    </w:p>
  </w:footnote>
  <w:footnote w:id="100">
    <w:p w:rsidR="002B5389" w:rsidRPr="00320972" w:rsidP="003D3BEF" w14:paraId="6EAED250" w14:textId="77777777">
      <w:pPr>
        <w:pStyle w:val="FootnoteText"/>
        <w:rPr>
          <w:rtl/>
        </w:rPr>
      </w:pPr>
      <w:r>
        <w:rPr>
          <w:rStyle w:val="FootnoteReference"/>
        </w:rPr>
        <w:footnoteRef/>
      </w:r>
      <w:r>
        <w:rPr>
          <w:rtl/>
        </w:rPr>
        <w:t xml:space="preserve"> </w:t>
      </w:r>
      <w:r>
        <w:rPr>
          <w:rtl/>
        </w:rPr>
        <w:tab/>
      </w:r>
      <w:r w:rsidRPr="00320972">
        <w:rPr>
          <w:rtl/>
        </w:rPr>
        <w:t>המועד האחרון להגשת עמדות הציבור נקבע ל-23.2.20. ראו הזמנה לציבור להציע עמדתו בדבר הכוונה לתקן</w:t>
      </w:r>
      <w:r>
        <w:rPr>
          <w:rtl/>
        </w:rPr>
        <w:t xml:space="preserve"> </w:t>
      </w:r>
      <w:r w:rsidRPr="00320972">
        <w:rPr>
          <w:rtl/>
        </w:rPr>
        <w:t xml:space="preserve">את מפת השיוך של הרשויות המקומיות לקבוצות של חברות אזוריות, לפי סעיף 6ג(א) לחוק תאגידי מים </w:t>
      </w:r>
      <w:r w:rsidRPr="00320972">
        <w:rPr>
          <w:rFonts w:hint="cs"/>
          <w:rtl/>
        </w:rPr>
        <w:t>וביוב התשנ"א-2001</w:t>
      </w:r>
      <w:r>
        <w:rPr>
          <w:rtl/>
        </w:rPr>
        <w:t xml:space="preserve"> </w:t>
      </w:r>
    </w:p>
    <w:p w:rsidR="002B5389" w:rsidP="003D3BEF" w14:paraId="43C729E5" w14:textId="77777777">
      <w:pPr>
        <w:pStyle w:val="FootnoteText"/>
        <w:bidi w:val="0"/>
        <w:rPr>
          <w:rtl/>
        </w:rPr>
      </w:pPr>
      <w:r>
        <w:t xml:space="preserve"> </w:t>
      </w:r>
      <w:r w:rsidRPr="00320972">
        <w:t>http://www.water.gov.il/Hebrew/about-reshut-hamaim/Authority-Board/Pages/local-23.2.20.aspx</w:t>
      </w:r>
    </w:p>
  </w:footnote>
  <w:footnote w:id="101">
    <w:p w:rsidR="002B5389" w:rsidP="003D3BEF" w14:paraId="4A9F0025" w14:textId="77777777">
      <w:pPr>
        <w:pStyle w:val="FootnoteText"/>
      </w:pPr>
      <w:r>
        <w:rPr>
          <w:rStyle w:val="FootnoteReference"/>
        </w:rPr>
        <w:footnoteRef/>
      </w:r>
      <w:r>
        <w:rPr>
          <w:rtl/>
        </w:rPr>
        <w:t xml:space="preserve"> </w:t>
      </w:r>
      <w:r>
        <w:rPr>
          <w:rtl/>
        </w:rPr>
        <w:tab/>
      </w:r>
      <w:r w:rsidRPr="00E63833">
        <w:rPr>
          <w:rtl/>
        </w:rPr>
        <w:t>הודעה בדבר שיוך הרשויות המקומיות בישראל לקבוצות לפי חוק תאגידי מים וביוב, י"פ התש"ף 5819.</w:t>
      </w:r>
    </w:p>
  </w:footnote>
  <w:footnote w:id="102">
    <w:p w:rsidR="002B5389" w:rsidP="003D3BEF" w14:paraId="50D56FFF" w14:textId="77777777">
      <w:pPr>
        <w:pStyle w:val="FootnoteText"/>
        <w:rPr>
          <w:rtl/>
        </w:rPr>
      </w:pPr>
      <w:r>
        <w:rPr>
          <w:rStyle w:val="FootnoteReference"/>
        </w:rPr>
        <w:footnoteRef/>
      </w:r>
      <w:r>
        <w:rPr>
          <w:rtl/>
        </w:rPr>
        <w:t xml:space="preserve"> </w:t>
      </w:r>
      <w:r>
        <w:rPr>
          <w:rtl/>
        </w:rPr>
        <w:tab/>
      </w:r>
      <w:r>
        <w:rPr>
          <w:rFonts w:hint="cs"/>
          <w:rtl/>
        </w:rPr>
        <w:t>קיצור של חוק</w:t>
      </w:r>
      <w:r w:rsidRPr="003800CC">
        <w:t>Sarbanes-Oxley (SOX) Act of 2002</w:t>
      </w:r>
      <w:r>
        <w:t xml:space="preserve"> </w:t>
      </w:r>
    </w:p>
  </w:footnote>
  <w:footnote w:id="103">
    <w:p w:rsidR="002B5389" w:rsidP="003D3BEF" w14:paraId="27365A56" w14:textId="77777777">
      <w:pPr>
        <w:pStyle w:val="FootnoteText"/>
      </w:pPr>
      <w:r>
        <w:rPr>
          <w:rStyle w:val="FootnoteReference"/>
        </w:rPr>
        <w:footnoteRef/>
      </w:r>
      <w:r>
        <w:rPr>
          <w:rFonts w:hint="cs"/>
          <w:rtl/>
        </w:rPr>
        <w:t xml:space="preserve"> </w:t>
      </w:r>
      <w:r>
        <w:rPr>
          <w:rtl/>
        </w:rPr>
        <w:tab/>
      </w:r>
      <w:r w:rsidRPr="005E5B83">
        <w:rPr>
          <w:rtl/>
        </w:rPr>
        <w:t>מימון פעילותם של תאגידי המים והביוב נעשה בעיקר מכספי ציבור צרכני המים והביוב.</w:t>
      </w:r>
    </w:p>
  </w:footnote>
  <w:footnote w:id="104">
    <w:p w:rsidR="002B5389" w:rsidP="003D3BEF" w14:paraId="6B3460C5" w14:textId="77777777">
      <w:pPr>
        <w:pStyle w:val="FootnoteText"/>
      </w:pPr>
      <w:r>
        <w:rPr>
          <w:rStyle w:val="FootnoteReference"/>
        </w:rPr>
        <w:footnoteRef/>
      </w:r>
      <w:r>
        <w:rPr>
          <w:rtl/>
        </w:rPr>
        <w:t xml:space="preserve"> </w:t>
      </w:r>
      <w:r>
        <w:rPr>
          <w:rtl/>
        </w:rPr>
        <w:tab/>
      </w:r>
      <w:r>
        <w:rPr>
          <w:rFonts w:hint="cs"/>
          <w:rtl/>
        </w:rPr>
        <w:t xml:space="preserve">לשכת </w:t>
      </w:r>
      <w:r w:rsidRPr="005E5B83">
        <w:rPr>
          <w:rtl/>
        </w:rPr>
        <w:t>רו"ח, תקן ביקורת (ישראל) 315 בדבר הבנה של הגוף המבוקר וסביבתו, והערכת הסיכונים המתייחסים להצגה מוטעית מהותית.</w:t>
      </w:r>
    </w:p>
  </w:footnote>
  <w:footnote w:id="105">
    <w:p w:rsidR="002B5389" w:rsidP="003D3BEF" w14:paraId="53714300" w14:textId="77777777">
      <w:pPr>
        <w:pStyle w:val="FootnoteText"/>
        <w:rPr>
          <w:rtl/>
        </w:rPr>
      </w:pPr>
      <w:r>
        <w:rPr>
          <w:rStyle w:val="FootnoteReference"/>
        </w:rPr>
        <w:footnoteRef/>
      </w:r>
      <w:r>
        <w:rPr>
          <w:rtl/>
        </w:rPr>
        <w:t xml:space="preserve"> </w:t>
      </w:r>
      <w:r>
        <w:rPr>
          <w:rtl/>
        </w:rPr>
        <w:tab/>
      </w:r>
      <w:r>
        <w:rPr>
          <w:rFonts w:hint="cs"/>
          <w:rtl/>
        </w:rPr>
        <w:t xml:space="preserve">משרד </w:t>
      </w:r>
      <w:r w:rsidRPr="00A60795">
        <w:rPr>
          <w:rtl/>
        </w:rPr>
        <w:t>הפנים, אגף בכיר לביקורת ברשויות המקומיות, הנחיות מקצועיות לרואה החשבון ביקורת חשבונות ברשויות המקומיות.</w:t>
      </w:r>
    </w:p>
  </w:footnote>
  <w:footnote w:id="106">
    <w:p w:rsidR="002B5389" w:rsidP="003D3BEF" w14:paraId="3B244452" w14:textId="77777777">
      <w:pPr>
        <w:pStyle w:val="FootnoteText"/>
      </w:pPr>
      <w:r>
        <w:rPr>
          <w:rStyle w:val="FootnoteReference"/>
        </w:rPr>
        <w:footnoteRef/>
      </w:r>
      <w:r>
        <w:rPr>
          <w:rtl/>
        </w:rPr>
        <w:t xml:space="preserve"> </w:t>
      </w:r>
      <w:r>
        <w:rPr>
          <w:rtl/>
        </w:rPr>
        <w:tab/>
      </w:r>
      <w:r>
        <w:rPr>
          <w:rFonts w:hint="cs"/>
          <w:rtl/>
        </w:rPr>
        <w:t>סעיף 44</w:t>
      </w:r>
      <w:r w:rsidR="004B5DBE">
        <w:rPr>
          <w:rFonts w:hint="cs"/>
          <w:rtl/>
        </w:rPr>
        <w:t>(</w:t>
      </w:r>
      <w:r>
        <w:rPr>
          <w:rFonts w:hint="cs"/>
          <w:rtl/>
        </w:rPr>
        <w:t>א) לחוק החברות הממשלתיות, התשל"ה-1975.</w:t>
      </w:r>
    </w:p>
  </w:footnote>
  <w:footnote w:id="107">
    <w:p w:rsidR="002B5389" w:rsidP="003D3BEF" w14:paraId="795DD826" w14:textId="77777777">
      <w:pPr>
        <w:pStyle w:val="FootnoteText"/>
      </w:pPr>
      <w:r>
        <w:rPr>
          <w:rStyle w:val="FootnoteReference"/>
        </w:rPr>
        <w:footnoteRef/>
      </w:r>
      <w:r>
        <w:rPr>
          <w:rtl/>
        </w:rPr>
        <w:t xml:space="preserve"> </w:t>
      </w:r>
      <w:r>
        <w:rPr>
          <w:rtl/>
        </w:rPr>
        <w:tab/>
      </w:r>
      <w:r>
        <w:rPr>
          <w:rFonts w:hint="cs"/>
          <w:rtl/>
        </w:rPr>
        <w:t>כללי החברות הממשלתיות (מינוי רואי חשבון ושכרם), התשנ"ד-1994.</w:t>
      </w:r>
    </w:p>
  </w:footnote>
  <w:footnote w:id="108">
    <w:p w:rsidR="002B5389" w:rsidP="003D3BEF" w14:paraId="203A2C42" w14:textId="77777777">
      <w:pPr>
        <w:pStyle w:val="FootnoteText"/>
      </w:pPr>
      <w:r>
        <w:rPr>
          <w:rStyle w:val="FootnoteReference"/>
        </w:rPr>
        <w:footnoteRef/>
      </w:r>
      <w:r>
        <w:rPr>
          <w:rtl/>
        </w:rPr>
        <w:t xml:space="preserve"> </w:t>
      </w:r>
      <w:r>
        <w:rPr>
          <w:rtl/>
        </w:rPr>
        <w:tab/>
      </w:r>
      <w:r>
        <w:rPr>
          <w:rFonts w:hint="cs"/>
          <w:rtl/>
        </w:rPr>
        <w:t>חוזר רשות החברות - "הסדרת הממשק בין רו"ח המבקר חברות ממשלתיות לבין רשות החברות הממשלתיו</w:t>
      </w:r>
      <w:r>
        <w:rPr>
          <w:rFonts w:hint="eastAsia"/>
          <w:rtl/>
        </w:rPr>
        <w:t>ת</w:t>
      </w:r>
      <w:r>
        <w:rPr>
          <w:rFonts w:hint="cs"/>
          <w:rtl/>
        </w:rPr>
        <w:t xml:space="preserve"> לבין החברות הממשלתיות", מרץ 2014.</w:t>
      </w:r>
    </w:p>
  </w:footnote>
  <w:footnote w:id="109">
    <w:p w:rsidR="002B5389" w:rsidP="003D3BEF" w14:paraId="72C09C97" w14:textId="77777777">
      <w:pPr>
        <w:pStyle w:val="FootnoteText"/>
      </w:pPr>
      <w:r>
        <w:rPr>
          <w:rStyle w:val="FootnoteReference"/>
        </w:rPr>
        <w:footnoteRef/>
      </w:r>
      <w:r>
        <w:rPr>
          <w:rtl/>
        </w:rPr>
        <w:t xml:space="preserve"> </w:t>
      </w:r>
      <w:r>
        <w:rPr>
          <w:rtl/>
        </w:rPr>
        <w:tab/>
      </w:r>
      <w:r>
        <w:rPr>
          <w:rFonts w:hint="cs"/>
          <w:rtl/>
        </w:rPr>
        <w:t xml:space="preserve">משרד הפנים, אגף בכיר לביקורת ברשויות המקומיות, הנחיות מקצועיות לרואה החשבון, ביקורת חשבונות ברשויות המקומיות לשנת 2016. </w:t>
      </w:r>
    </w:p>
  </w:footnote>
  <w:footnote w:id="110">
    <w:p w:rsidR="002B5389" w:rsidP="003D3BEF" w14:paraId="62444B08" w14:textId="77777777">
      <w:pPr>
        <w:pStyle w:val="FootnoteText"/>
        <w:rPr>
          <w:rtl/>
        </w:rPr>
      </w:pPr>
      <w:r>
        <w:rPr>
          <w:rStyle w:val="FootnoteReference"/>
        </w:rPr>
        <w:footnoteRef/>
      </w:r>
      <w:r>
        <w:rPr>
          <w:rtl/>
        </w:rPr>
        <w:t xml:space="preserve"> </w:t>
      </w:r>
      <w:r>
        <w:rPr>
          <w:rtl/>
        </w:rPr>
        <w:tab/>
      </w:r>
      <w:r w:rsidRPr="009652A8">
        <w:rPr>
          <w:rtl/>
        </w:rPr>
        <w:t>בהתאם למסמך עקרונות יסוד וקווים מנחים שפרסם משרד הפנים.</w:t>
      </w:r>
    </w:p>
  </w:footnote>
  <w:footnote w:id="111">
    <w:p w:rsidR="002B5389" w:rsidP="003D3BEF" w14:paraId="70FF6D9C" w14:textId="77777777">
      <w:pPr>
        <w:pStyle w:val="FootnoteText"/>
      </w:pPr>
      <w:r>
        <w:rPr>
          <w:rStyle w:val="FootnoteReference"/>
        </w:rPr>
        <w:footnoteRef/>
      </w:r>
      <w:r>
        <w:rPr>
          <w:rtl/>
        </w:rPr>
        <w:t xml:space="preserve"> </w:t>
      </w:r>
      <w:r>
        <w:rPr>
          <w:rtl/>
        </w:rPr>
        <w:tab/>
      </w:r>
      <w:r>
        <w:rPr>
          <w:rFonts w:hint="cs"/>
          <w:rtl/>
        </w:rPr>
        <w:t>משרד הפנים, אגף בכיר לביקורת ברשויות המקומיות, הנחיות מקצועיות לרואה החשבון, ביקורת חשבונות ברשויות המקומיות לשנת 2016, סעיף 20.</w:t>
      </w:r>
    </w:p>
  </w:footnote>
  <w:footnote w:id="112">
    <w:p w:rsidR="002B5389" w:rsidP="003D3BEF" w14:paraId="121CF59B" w14:textId="77777777">
      <w:pPr>
        <w:pStyle w:val="FootnoteText"/>
      </w:pPr>
      <w:r>
        <w:rPr>
          <w:rStyle w:val="FootnoteReference"/>
        </w:rPr>
        <w:footnoteRef/>
      </w:r>
      <w:r>
        <w:rPr>
          <w:rtl/>
        </w:rPr>
        <w:t xml:space="preserve"> </w:t>
      </w:r>
      <w:r>
        <w:rPr>
          <w:rtl/>
        </w:rPr>
        <w:tab/>
      </w:r>
      <w:r>
        <w:rPr>
          <w:rFonts w:hint="cs"/>
          <w:rtl/>
        </w:rPr>
        <w:t xml:space="preserve">חוזר </w:t>
      </w:r>
      <w:r w:rsidRPr="009652A8">
        <w:rPr>
          <w:rtl/>
        </w:rPr>
        <w:t>רשות החברות הממשלתיות 2014-4-4 - מ-22.5.2014 בעניין "מינוי מבקר פנימי ובדיקת איכות הביקורת הפנימית בחברות ממשלתיות"</w:t>
      </w:r>
      <w:r>
        <w:rPr>
          <w:rFonts w:hint="cs"/>
          <w:rtl/>
        </w:rPr>
        <w:t>.</w:t>
      </w:r>
    </w:p>
  </w:footnote>
  <w:footnote w:id="113">
    <w:p w:rsidR="002B5389" w:rsidP="003D3BEF" w14:paraId="7C06FF91" w14:textId="77777777">
      <w:pPr>
        <w:pStyle w:val="FootnoteText"/>
      </w:pPr>
      <w:r>
        <w:rPr>
          <w:rStyle w:val="FootnoteReference"/>
        </w:rPr>
        <w:footnoteRef/>
      </w:r>
      <w:r>
        <w:rPr>
          <w:rtl/>
        </w:rPr>
        <w:t xml:space="preserve"> </w:t>
      </w:r>
      <w:r>
        <w:rPr>
          <w:rtl/>
        </w:rPr>
        <w:tab/>
      </w:r>
      <w:r w:rsidRPr="009652A8">
        <w:rPr>
          <w:rtl/>
        </w:rPr>
        <w:t>חברות שנבחרות בידי רשות החברות, אשר לגביהן קיים חשש לליקויים מהותיים שטרם תוקנו, או חברות שלא קיימו הליכים ממשיים לתיקון ליקויים מהותיים תוך זמן סביר.</w:t>
      </w:r>
    </w:p>
  </w:footnote>
  <w:footnote w:id="114">
    <w:p w:rsidR="002B5389" w:rsidP="003D3BEF" w14:paraId="338749B9" w14:textId="77777777">
      <w:pPr>
        <w:pStyle w:val="FootnoteText"/>
        <w:rPr>
          <w:rtl/>
        </w:rPr>
      </w:pPr>
      <w:r>
        <w:rPr>
          <w:rStyle w:val="FootnoteReference"/>
        </w:rPr>
        <w:footnoteRef/>
      </w:r>
      <w:r>
        <w:rPr>
          <w:rtl/>
        </w:rPr>
        <w:t xml:space="preserve"> </w:t>
      </w:r>
      <w:r>
        <w:rPr>
          <w:rtl/>
        </w:rPr>
        <w:tab/>
      </w:r>
      <w:r>
        <w:rPr>
          <w:rFonts w:hint="cs"/>
          <w:rtl/>
        </w:rPr>
        <w:t xml:space="preserve">בהתאם </w:t>
      </w:r>
      <w:r w:rsidRPr="009652A8">
        <w:rPr>
          <w:rtl/>
        </w:rPr>
        <w:t>לסעיף 3.8 בחוזר בעניין "מינוי מבקר פנימי ובדיקת איכות הביקורת הפנימית בחברות ממשלתיות".</w:t>
      </w:r>
    </w:p>
  </w:footnote>
  <w:footnote w:id="115">
    <w:p w:rsidR="002B5389" w:rsidP="003D3BEF" w14:paraId="68241559" w14:textId="77777777">
      <w:pPr>
        <w:pStyle w:val="FootnoteText"/>
        <w:rPr>
          <w:rtl/>
        </w:rPr>
      </w:pPr>
      <w:r>
        <w:rPr>
          <w:rStyle w:val="FootnoteReference"/>
        </w:rPr>
        <w:footnoteRef/>
      </w:r>
      <w:r>
        <w:rPr>
          <w:rtl/>
        </w:rPr>
        <w:t xml:space="preserve"> </w:t>
      </w:r>
      <w:r>
        <w:rPr>
          <w:rtl/>
        </w:rPr>
        <w:tab/>
      </w:r>
      <w:r w:rsidRPr="009652A8">
        <w:rPr>
          <w:rtl/>
        </w:rPr>
        <w:t>חוזר רשות החברות מיום 29.1.2019 בעניין "מערך הביקורת הפנימית בחברות הממשלתיות וחברות בת ממשלתיות".</w:t>
      </w:r>
    </w:p>
  </w:footnote>
  <w:footnote w:id="116">
    <w:p w:rsidR="002B5389" w:rsidRPr="00D650ED" w:rsidP="003D3BEF" w14:paraId="4B53DAB0" w14:textId="77777777">
      <w:pPr>
        <w:pStyle w:val="FootnoteText"/>
      </w:pPr>
      <w:r w:rsidRPr="00D650ED">
        <w:rPr>
          <w:rStyle w:val="FootnoteReference"/>
        </w:rPr>
        <w:footnoteRef/>
      </w:r>
      <w:r w:rsidRPr="00D650ED">
        <w:rPr>
          <w:rtl/>
        </w:rPr>
        <w:t xml:space="preserve"> </w:t>
      </w:r>
      <w:r w:rsidRPr="00D650ED">
        <w:rPr>
          <w:rtl/>
        </w:rPr>
        <w:tab/>
        <w:t>בין היתר, חוזר רשות החברות הממשלתיות - "הסדרת הממשק בין רואה החשבון המבקר חברות ממשלתיות לבין רשות החברת הממשלתיות לבין החברות הממשלתיות".</w:t>
      </w:r>
    </w:p>
  </w:footnote>
  <w:footnote w:id="117">
    <w:p w:rsidR="002B5389" w:rsidP="003D3BEF" w14:paraId="6AF9663B" w14:textId="77777777">
      <w:pPr>
        <w:pStyle w:val="FootnoteText"/>
      </w:pPr>
      <w:r w:rsidRPr="00D650ED">
        <w:rPr>
          <w:rStyle w:val="FootnoteReference"/>
        </w:rPr>
        <w:footnoteRef/>
      </w:r>
      <w:r w:rsidRPr="00D650ED">
        <w:rPr>
          <w:rtl/>
        </w:rPr>
        <w:t xml:space="preserve"> </w:t>
      </w:r>
      <w:r w:rsidRPr="00D650ED">
        <w:rPr>
          <w:rtl/>
        </w:rPr>
        <w:tab/>
      </w:r>
      <w:r w:rsidRPr="00D650ED">
        <w:rPr>
          <w:rFonts w:hint="cs"/>
          <w:rtl/>
        </w:rPr>
        <w:t xml:space="preserve">חולשה מהותית - </w:t>
      </w:r>
      <w:r w:rsidRPr="00D650ED">
        <w:rPr>
          <w:rFonts w:hint="cs"/>
          <w:u w:val="single"/>
          <w:rtl/>
        </w:rPr>
        <w:t>ליקוי בקרה</w:t>
      </w:r>
      <w:r w:rsidRPr="00D650ED">
        <w:rPr>
          <w:rFonts w:hint="cs"/>
          <w:rtl/>
        </w:rPr>
        <w:t>, או צירוף של ליקויי בקרה, המשפיע לרעה על יכולת החברה ליזום, לתת הרשאה, לתעד, לעבד או לדווח על מידע כספי לגורמי חוץ באופן מהימן, על פי כללי חשבונאות מקובלים</w:t>
      </w:r>
      <w:r>
        <w:rPr>
          <w:rFonts w:hint="cs"/>
          <w:rtl/>
        </w:rPr>
        <w:t xml:space="preserve"> והוראות החוק, שכתוצאה ממנו קיימת אפשרות סבירה שבדוחות הכספיים לא תימנע ולא תתגלה הצגה מוטעית מהותית. לעניין זה, </w:t>
      </w:r>
      <w:r w:rsidRPr="003F48ED">
        <w:rPr>
          <w:rFonts w:hint="cs"/>
          <w:u w:val="single"/>
          <w:rtl/>
        </w:rPr>
        <w:t>"ליקוי בקרה"</w:t>
      </w:r>
      <w:r w:rsidRPr="0049585F">
        <w:rPr>
          <w:rtl/>
        </w:rPr>
        <w:t xml:space="preserve"> </w:t>
      </w:r>
      <w:r>
        <w:rPr>
          <w:rFonts w:hint="cs"/>
          <w:rtl/>
        </w:rPr>
        <w:t>הוא ליקוי בתכנון של בקרה פנימית על דיווח כספי או בהפעלתה, שאינו מאפשר לדירקטורים או לעובדי החברה, במהלך ביצוע שוטף של משימותיהם, למנוע או לגלות במועד הצגה מוטעית בדיווח הכספי של החברה.</w:t>
      </w:r>
    </w:p>
  </w:footnote>
  <w:footnote w:id="118">
    <w:p w:rsidR="002B5389" w:rsidP="003D3BEF" w14:paraId="7CD3CC88" w14:textId="77777777">
      <w:pPr>
        <w:pStyle w:val="FootnoteText"/>
      </w:pPr>
      <w:r>
        <w:rPr>
          <w:rStyle w:val="FootnoteReference"/>
        </w:rPr>
        <w:footnoteRef/>
      </w:r>
      <w:r>
        <w:rPr>
          <w:rtl/>
        </w:rPr>
        <w:t xml:space="preserve"> </w:t>
      </w:r>
      <w:r>
        <w:rPr>
          <w:rtl/>
        </w:rPr>
        <w:tab/>
      </w:r>
      <w:r>
        <w:rPr>
          <w:rFonts w:hint="cs"/>
          <w:rtl/>
        </w:rPr>
        <w:t>דין וחשבון על החברות הממשלתיות לשנת 2017, עמ' 180.</w:t>
      </w:r>
    </w:p>
  </w:footnote>
  <w:footnote w:id="119">
    <w:p w:rsidR="002B5389" w:rsidP="003D3BEF" w14:paraId="645A7B35" w14:textId="77777777">
      <w:pPr>
        <w:pStyle w:val="FootnoteText"/>
      </w:pPr>
      <w:r>
        <w:rPr>
          <w:rStyle w:val="FootnoteReference"/>
        </w:rPr>
        <w:footnoteRef/>
      </w:r>
      <w:r>
        <w:rPr>
          <w:rtl/>
        </w:rPr>
        <w:t xml:space="preserve"> </w:t>
      </w:r>
      <w:r>
        <w:rPr>
          <w:rtl/>
        </w:rPr>
        <w:tab/>
      </w:r>
      <w:r>
        <w:rPr>
          <w:rFonts w:hint="cs"/>
          <w:rtl/>
        </w:rPr>
        <w:t>משרד הפנים, אגף בכיר לביקורת ברשויות המקומיות, הנחיות מקצועיות לרואה החשבון, ביקורת חשבונות ברשויות המקומיות לשנת 2016.</w:t>
      </w:r>
    </w:p>
  </w:footnote>
  <w:footnote w:id="120">
    <w:p w:rsidR="002B5389" w:rsidP="003D3BEF" w14:paraId="7E359F8E" w14:textId="77777777">
      <w:pPr>
        <w:pStyle w:val="FootnoteText"/>
        <w:rPr>
          <w:rtl/>
        </w:rPr>
      </w:pPr>
      <w:r>
        <w:rPr>
          <w:rStyle w:val="FootnoteReference"/>
        </w:rPr>
        <w:footnoteRef/>
      </w:r>
      <w:r>
        <w:rPr>
          <w:rtl/>
        </w:rPr>
        <w:t xml:space="preserve"> </w:t>
      </w:r>
      <w:r>
        <w:rPr>
          <w:rtl/>
        </w:rPr>
        <w:tab/>
      </w:r>
      <w:r>
        <w:rPr>
          <w:rFonts w:hint="cs"/>
          <w:rtl/>
        </w:rPr>
        <w:t>תקנות החברות הממשלתיות (דוח נוסף בדבר הפעולות שננקטו והמצגים שניתנו להבטחת נכונות הדוחות הכספיים ודוח הדירקטוריון), התשס"ו-2005.</w:t>
      </w:r>
    </w:p>
  </w:footnote>
  <w:footnote w:id="121">
    <w:p w:rsidR="002B5389" w:rsidP="003D3BEF" w14:paraId="6A36FBBA" w14:textId="77777777">
      <w:pPr>
        <w:pStyle w:val="FootnoteText"/>
        <w:rPr>
          <w:rtl/>
        </w:rPr>
      </w:pPr>
      <w:r>
        <w:rPr>
          <w:rStyle w:val="FootnoteReference"/>
        </w:rPr>
        <w:footnoteRef/>
      </w:r>
      <w:r>
        <w:rPr>
          <w:rtl/>
        </w:rPr>
        <w:t xml:space="preserve"> </w:t>
      </w:r>
      <w:r>
        <w:rPr>
          <w:rtl/>
        </w:rPr>
        <w:tab/>
      </w:r>
      <w:r>
        <w:rPr>
          <w:rFonts w:hint="cs"/>
          <w:rtl/>
        </w:rPr>
        <w:t>סעיף 4 לכללי תאגידי מים וביוב (דוחות תקופתיים ומידיים) התש"ע-2010 הכללים מחילים על התאגידים הגשת הצהרת מנהלים בנוסח שנקבע בתקנות החברות (דוח נוסף בדבר הפעולות שננקטו והמצגים שניתנו להבטחת נכונות הדוחות הכספיים ודוח הדירקטוריון), התשס"ו-2005.</w:t>
      </w:r>
    </w:p>
  </w:footnote>
  <w:footnote w:id="122">
    <w:p w:rsidR="002B5389" w:rsidP="003D3BEF" w14:paraId="5A63F333" w14:textId="77777777">
      <w:pPr>
        <w:pStyle w:val="FootnoteText"/>
        <w:rPr>
          <w:rtl/>
        </w:rPr>
      </w:pPr>
      <w:r>
        <w:rPr>
          <w:rStyle w:val="FootnoteReference"/>
        </w:rPr>
        <w:footnoteRef/>
      </w:r>
      <w:r>
        <w:rPr>
          <w:rtl/>
        </w:rPr>
        <w:t xml:space="preserve"> </w:t>
      </w:r>
      <w:r>
        <w:rPr>
          <w:rtl/>
        </w:rPr>
        <w:tab/>
      </w:r>
      <w:r>
        <w:rPr>
          <w:rFonts w:hint="cs"/>
          <w:rtl/>
        </w:rPr>
        <w:t xml:space="preserve">הבדיקה נעשתה לגבי הדוחות הכספיים </w:t>
      </w:r>
      <w:r w:rsidRPr="00E44CEC">
        <w:rPr>
          <w:rtl/>
        </w:rPr>
        <w:t>שהרשות מפרסמת לציבור באתר</w:t>
      </w:r>
      <w:r>
        <w:rPr>
          <w:rFonts w:hint="cs"/>
          <w:rtl/>
        </w:rPr>
        <w:t xml:space="preserve"> שלה במרשתת</w:t>
      </w:r>
      <w:r w:rsidRPr="00E44CEC">
        <w:rPr>
          <w:rtl/>
        </w:rPr>
        <w:t>.</w:t>
      </w:r>
    </w:p>
  </w:footnote>
  <w:footnote w:id="123">
    <w:p w:rsidR="002B5389" w:rsidP="003D3BEF" w14:paraId="4775C331" w14:textId="77777777">
      <w:pPr>
        <w:pStyle w:val="FootnoteText"/>
        <w:rPr>
          <w:rtl/>
        </w:rPr>
      </w:pPr>
      <w:r>
        <w:rPr>
          <w:rStyle w:val="FootnoteReference"/>
        </w:rPr>
        <w:footnoteRef/>
      </w:r>
      <w:r>
        <w:rPr>
          <w:rtl/>
        </w:rPr>
        <w:t xml:space="preserve"> </w:t>
      </w:r>
      <w:r>
        <w:rPr>
          <w:rtl/>
        </w:rPr>
        <w:tab/>
      </w:r>
      <w:r>
        <w:rPr>
          <w:rFonts w:hint="cs"/>
          <w:rtl/>
        </w:rPr>
        <w:t>ראו כללי דוחות כספיים.</w:t>
      </w:r>
    </w:p>
  </w:footnote>
  <w:footnote w:id="124">
    <w:p w:rsidR="002B5389" w:rsidP="003D3BEF" w14:paraId="0BCE1C93" w14:textId="77777777">
      <w:pPr>
        <w:pStyle w:val="FootnoteText"/>
        <w:rPr>
          <w:rtl/>
        </w:rPr>
      </w:pPr>
      <w:r>
        <w:rPr>
          <w:rStyle w:val="FootnoteReference"/>
        </w:rPr>
        <w:footnoteRef/>
      </w:r>
      <w:r>
        <w:rPr>
          <w:rtl/>
        </w:rPr>
        <w:t xml:space="preserve"> </w:t>
      </w:r>
      <w:r>
        <w:rPr>
          <w:rtl/>
        </w:rPr>
        <w:tab/>
      </w:r>
      <w:r>
        <w:rPr>
          <w:rFonts w:hint="cs"/>
          <w:rtl/>
        </w:rPr>
        <w:t>סעיף 109 לחוק התאגידים.</w:t>
      </w:r>
    </w:p>
  </w:footnote>
  <w:footnote w:id="125">
    <w:p w:rsidR="002B5389" w:rsidP="003D3BEF" w14:paraId="7D2AEAD9" w14:textId="77777777">
      <w:pPr>
        <w:pStyle w:val="FootnoteText"/>
      </w:pPr>
      <w:r w:rsidRPr="00320972">
        <w:rPr>
          <w:rStyle w:val="FootnoteReference"/>
        </w:rPr>
        <w:footnoteRef/>
      </w:r>
      <w:r w:rsidRPr="00320972">
        <w:rPr>
          <w:rtl/>
        </w:rPr>
        <w:t xml:space="preserve"> </w:t>
      </w:r>
      <w:r w:rsidRPr="00320972">
        <w:rPr>
          <w:rtl/>
        </w:rPr>
        <w:tab/>
      </w:r>
      <w:r w:rsidRPr="00320972">
        <w:rPr>
          <w:rFonts w:hint="eastAsia"/>
          <w:rtl/>
        </w:rPr>
        <w:t>צריכה</w:t>
      </w:r>
      <w:r w:rsidRPr="00320972">
        <w:rPr>
          <w:rtl/>
        </w:rPr>
        <w:t xml:space="preserve"> חריגה היא כמות המים שנמדדה במד מים ראשי או במד מים משויך, השווה או העולה על 150%</w:t>
      </w:r>
      <w:r w:rsidRPr="007764A2">
        <w:rPr>
          <w:rtl/>
        </w:rPr>
        <w:t xml:space="preserve"> מהצריכה הרגילה.</w:t>
      </w:r>
    </w:p>
  </w:footnote>
  <w:footnote w:id="126">
    <w:p w:rsidR="002B5389" w:rsidP="003D3BEF" w14:paraId="7280708E" w14:textId="77777777">
      <w:pPr>
        <w:pStyle w:val="FootnoteText"/>
        <w:rPr>
          <w:rtl/>
        </w:rPr>
      </w:pPr>
      <w:r>
        <w:rPr>
          <w:rStyle w:val="FootnoteReference"/>
        </w:rPr>
        <w:footnoteRef/>
      </w:r>
      <w:r>
        <w:rPr>
          <w:rtl/>
        </w:rPr>
        <w:t xml:space="preserve"> </w:t>
      </w:r>
      <w:r>
        <w:rPr>
          <w:rtl/>
        </w:rPr>
        <w:tab/>
      </w:r>
      <w:r>
        <w:rPr>
          <w:rFonts w:hint="cs"/>
          <w:rtl/>
        </w:rPr>
        <w:t>סעיף 102(א) לחוק התאגידים - "</w:t>
      </w:r>
      <w:r w:rsidRPr="00E46B31">
        <w:rPr>
          <w:rtl/>
        </w:rPr>
        <w:t>מועצת הרשות תקבע את התעריפים לתשלומים שתגבה חברה מצרכניה בעד שירותי מים ובעד שירותי ביוב</w:t>
      </w:r>
      <w:r>
        <w:rPr>
          <w:rFonts w:hint="cs"/>
          <w:rtl/>
        </w:rPr>
        <w:t xml:space="preserve">... </w:t>
      </w:r>
      <w:r w:rsidRPr="00E46B31">
        <w:rPr>
          <w:rtl/>
        </w:rPr>
        <w:t>וכן תקבע תעריפים מופחתים לתשלום שתגבה חברה מצרכניה בעד צריכת מים למטרת צורכי בית שהוכרה כנזילה, ורשאית היא לקבוע תעריפים מופחתים, בין השאר בהתחשב בהיקף הנזילה</w:t>
      </w:r>
      <w:r>
        <w:rPr>
          <w:rFonts w:hint="cs"/>
          <w:rtl/>
        </w:rPr>
        <w:t>"</w:t>
      </w:r>
      <w:r w:rsidRPr="00E46B31">
        <w:rPr>
          <w:rtl/>
        </w:rPr>
        <w:t>.</w:t>
      </w:r>
    </w:p>
  </w:footnote>
  <w:footnote w:id="127">
    <w:p w:rsidR="002B5389" w:rsidP="003D3BEF" w14:paraId="446ADCD0" w14:textId="77777777">
      <w:pPr>
        <w:pStyle w:val="FootnoteText"/>
      </w:pPr>
      <w:r>
        <w:rPr>
          <w:rStyle w:val="FootnoteReference"/>
        </w:rPr>
        <w:footnoteRef/>
      </w:r>
      <w:r>
        <w:rPr>
          <w:rtl/>
        </w:rPr>
        <w:t xml:space="preserve"> </w:t>
      </w:r>
      <w:r>
        <w:rPr>
          <w:rtl/>
        </w:rPr>
        <w:tab/>
      </w:r>
      <w:r>
        <w:rPr>
          <w:rFonts w:hint="cs"/>
          <w:rtl/>
        </w:rPr>
        <w:t>סעיף 52 לכללי אמות מידה לשירות.</w:t>
      </w:r>
    </w:p>
  </w:footnote>
  <w:footnote w:id="128">
    <w:p w:rsidR="002B5389" w:rsidRPr="00320972" w:rsidP="003D3BEF" w14:paraId="52A600B0"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בג"ץ 366/03 </w:t>
      </w:r>
      <w:r w:rsidRPr="00320972">
        <w:rPr>
          <w:rFonts w:ascii="Tahoma" w:hAnsi="Tahoma"/>
          <w:b/>
          <w:bCs/>
          <w:rtl/>
        </w:rPr>
        <w:t>עמותת מחויבות לשלום וצדק חברתי נ' שר האוצר</w:t>
      </w:r>
      <w:r w:rsidRPr="00320972">
        <w:rPr>
          <w:rFonts w:ascii="Tahoma" w:hAnsi="Tahoma"/>
          <w:rtl/>
        </w:rPr>
        <w:t xml:space="preserve"> פ"ד ס(3) 464, 483-482, (2005), פסקה 16 לפסק דינו של השופט ברק.</w:t>
      </w:r>
    </w:p>
  </w:footnote>
  <w:footnote w:id="129">
    <w:p w:rsidR="002B5389" w:rsidRPr="00320972" w:rsidP="003D3BEF" w14:paraId="457533B5"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תקנות תאגידי מים וביוב (אמות מידה ורשימת זכאים להפחתה בתשלום לשנת הכספים 2014), התשע"ד</w:t>
      </w:r>
      <w:r w:rsidRPr="00320972">
        <w:rPr>
          <w:rFonts w:ascii="Tahoma" w:hAnsi="Tahoma"/>
        </w:rPr>
        <w:t xml:space="preserve"> -</w:t>
      </w:r>
      <w:r w:rsidRPr="00320972">
        <w:rPr>
          <w:rFonts w:ascii="Tahoma" w:hAnsi="Tahoma"/>
          <w:rtl/>
        </w:rPr>
        <w:t>2014.</w:t>
      </w:r>
    </w:p>
  </w:footnote>
  <w:footnote w:id="130">
    <w:p w:rsidR="002B5389" w:rsidRPr="00320972" w:rsidP="003D3BEF" w14:paraId="3C4D8371" w14:textId="77777777">
      <w:pPr>
        <w:pStyle w:val="FootnoteText"/>
        <w:rPr>
          <w:rFonts w:ascii="Tahoma" w:hAnsi="Tahoma"/>
          <w:b/>
          <w:bCs/>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כפי שטען יו"ר ועדת הכספים בדיון כבר בשנת 2015: "יש סוג אנשים שבגלל מוגבלותם, בגלל נכותם, הם צריכים להשתמש במים הרבה יותר מהממוצע. הם לא מבזבזים את המים, הם צריכים את זה בשביל הבריאות" </w:t>
      </w:r>
      <w:r w:rsidRPr="00320972">
        <w:rPr>
          <w:rFonts w:ascii="Tahoma" w:hAnsi="Tahoma"/>
          <w:b/>
          <w:bCs/>
          <w:rtl/>
        </w:rPr>
        <w:t>(ראו פרוטוקול מס' 32 מישיבת ועדת הכספים מ-7.7.15, עמ' 20)</w:t>
      </w:r>
      <w:r w:rsidRPr="00320972">
        <w:rPr>
          <w:rFonts w:ascii="Tahoma" w:hAnsi="Tahoma"/>
          <w:rtl/>
        </w:rPr>
        <w:t>. הוא המשיך בדיון בשנת 2017 שם הבהיר כי "</w:t>
      </w:r>
      <w:r w:rsidRPr="00320972">
        <w:rPr>
          <w:rFonts w:ascii="Tahoma" w:hAnsi="Tahoma"/>
          <w:rtl/>
          <w:lang w:eastAsia="he-IL"/>
        </w:rPr>
        <w:t>יש חולים כאלה שהמים אצלם הוא דבר חיוני. אני לא רוצה לפגוע בעניין הזה" (</w:t>
      </w:r>
      <w:r w:rsidRPr="00320972">
        <w:rPr>
          <w:rFonts w:ascii="Tahoma" w:hAnsi="Tahoma"/>
          <w:b/>
          <w:bCs/>
          <w:rtl/>
        </w:rPr>
        <w:t>ראו פרוטוקול מס' 705 מישיבת ועדת הכספים מ-17.5.17, עמ' 12).</w:t>
      </w:r>
      <w:r w:rsidRPr="00320972">
        <w:rPr>
          <w:rFonts w:ascii="Tahoma" w:hAnsi="Tahoma"/>
          <w:b/>
          <w:bCs/>
          <w:rtl/>
          <w:lang w:eastAsia="he-IL"/>
        </w:rPr>
        <w:t xml:space="preserve"> </w:t>
      </w:r>
      <w:r w:rsidRPr="00320972">
        <w:rPr>
          <w:rFonts w:ascii="Tahoma" w:hAnsi="Tahoma"/>
          <w:rtl/>
        </w:rPr>
        <w:t xml:space="preserve">פלח אוכלוסייה זה נזקק למים, וזאת בשונה מפלח האוכלוסייה הזקוק לסיוע בצריכת מים משיקולים כלכליים. קיימים סוגי אנשים שבגלל מוגבלותם ונכותם זקוקים לצריכת מים בכמות גבוהה, כגון נכים שאינם שולטים בצרכיהם, נכים בעלי בעיות עור, נכים מרותקים לכיסא גלגלים, והם אלה הזקוקים לצריכת מים גבוהה ללא קשר לשיעור אחוזי הנכות שלהם. </w:t>
      </w:r>
      <w:r w:rsidRPr="00320972">
        <w:rPr>
          <w:rFonts w:ascii="Tahoma" w:hAnsi="Tahoma"/>
          <w:b/>
          <w:bCs/>
          <w:u w:val="single"/>
          <w:rtl/>
        </w:rPr>
        <w:t>(</w:t>
      </w:r>
      <w:r w:rsidRPr="00320972">
        <w:rPr>
          <w:rFonts w:ascii="Tahoma" w:hAnsi="Tahoma"/>
          <w:b/>
          <w:bCs/>
          <w:rtl/>
        </w:rPr>
        <w:t>ראו פרוטוקול מס' 32 מישיבת ועדת הכספים מ-7.7.15, עמ' 10 (דברי ח"כ אורי מקלב) ועמ' 17 (דברי נעמי מורביה - יו"ר, מטה מאבק הנכים בישראל).</w:t>
      </w:r>
    </w:p>
  </w:footnote>
  <w:footnote w:id="131">
    <w:p w:rsidR="002B5389" w:rsidRPr="00320972" w:rsidP="003D3BEF" w14:paraId="04B853FB"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תופעת אי־מיצוי זכויות מתייחסת למצב שבו הזכאים לקצבאות ולשירותים מסוימים אינם מממשים בפועל ובאופן מרבי את זכותם לקבלת הקצבה או השירות.</w:t>
      </w:r>
    </w:p>
  </w:footnote>
  <w:footnote w:id="132">
    <w:p w:rsidR="002B5389" w:rsidRPr="00320972" w:rsidP="003D3BEF" w14:paraId="2E7A7410"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דוח פעילות רשות המים לשנת 2017, עמ' 89.</w:t>
      </w:r>
      <w:r w:rsidRPr="00320972">
        <w:rPr>
          <w:rFonts w:hint="cs"/>
          <w:rtl/>
        </w:rPr>
        <w:t xml:space="preserve"> </w:t>
      </w:r>
    </w:p>
  </w:footnote>
  <w:footnote w:id="133">
    <w:p w:rsidR="002B5389" w:rsidRPr="00320972" w:rsidP="003D3BEF" w14:paraId="2AC36647"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דוח תשלום מקבלי ההטבה, 2019. </w:t>
      </w:r>
    </w:p>
  </w:footnote>
  <w:footnote w:id="134">
    <w:p w:rsidR="002B5389" w:rsidRPr="00320972" w:rsidP="003D3BEF" w14:paraId="25376AD1"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3.5 מ"ק בתעריף א' + 0.8 מ"ק בתעריף מופחת בגין ההטבה.</w:t>
      </w:r>
    </w:p>
  </w:footnote>
  <w:footnote w:id="135">
    <w:p w:rsidR="002B5389" w:rsidRPr="00320972" w:rsidP="003D3BEF" w14:paraId="5A09902B" w14:textId="77777777">
      <w:pPr>
        <w:pStyle w:val="FootnoteText"/>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תקציב הוצאה נטו מתוך תקציבי המדינה עבור כל אחת מהשנים 2015 - 2018.</w:t>
      </w:r>
    </w:p>
  </w:footnote>
  <w:footnote w:id="136">
    <w:p w:rsidR="002B5389" w:rsidRPr="00320972" w:rsidP="003D3BEF" w14:paraId="3BEC9CF6"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לדוגמה, פרוטוקול מס' 32 מישיבת ועדת הכספים מ-7.7.15, עמ' 10 - 11; פרוטוקול מס' 246 מישיבת ועדת הכספים מ-18.1.16 עמ' 4; פרוטוקול מס' 705 מישיבת ועדת הכספים מ-17.5.17.</w:t>
      </w:r>
    </w:p>
  </w:footnote>
  <w:footnote w:id="137">
    <w:p w:rsidR="002B5389" w:rsidRPr="00320972" w:rsidP="003D3BEF" w14:paraId="7F4E4CF3"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פרוטוקול מס' 246 מישיבת ועדת הכספים מ-18.1.16.</w:t>
      </w:r>
    </w:p>
  </w:footnote>
  <w:footnote w:id="138">
    <w:p w:rsidR="002B5389" w:rsidRPr="00320972" w:rsidP="003D3BEF" w14:paraId="79EB0055"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שם, עמ' 3 - 4.</w:t>
      </w:r>
    </w:p>
  </w:footnote>
  <w:footnote w:id="139">
    <w:p w:rsidR="002B5389" w:rsidRPr="00320972" w:rsidP="003D3BEF" w14:paraId="4778B909"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פרוטוקול מס' 705 מישיבת ועדת הכספים, מיום 17.5.17.</w:t>
      </w:r>
    </w:p>
  </w:footnote>
  <w:footnote w:id="140">
    <w:p w:rsidR="002B5389" w:rsidRPr="00320972" w:rsidP="003D3BEF" w14:paraId="7D5F675B"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מבקר המדינה, </w:t>
      </w:r>
      <w:r w:rsidRPr="00320972">
        <w:rPr>
          <w:rFonts w:ascii="Tahoma" w:hAnsi="Tahoma"/>
          <w:b/>
          <w:bCs/>
          <w:rtl/>
        </w:rPr>
        <w:t>דוח שנתי 65ג</w:t>
      </w:r>
      <w:r w:rsidRPr="00320972">
        <w:rPr>
          <w:rFonts w:ascii="Tahoma" w:hAnsi="Tahoma"/>
          <w:rtl/>
        </w:rPr>
        <w:t xml:space="preserve"> (2015), "משרד הבינוי - סיוע בדיור לזכאים", עמ' 459. </w:t>
      </w:r>
    </w:p>
  </w:footnote>
  <w:footnote w:id="141">
    <w:p w:rsidR="002B5389" w:rsidRPr="00320972" w:rsidP="003D3BEF" w14:paraId="500D0D23" w14:textId="77777777">
      <w:pPr>
        <w:pStyle w:val="FootnoteText"/>
        <w:rPr>
          <w:rFonts w:asciiTheme="minorHAnsi" w:hAnsiTheme="minorHAnsi"/>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מיצוי זכויות עוסק בשאלה אם כל מי שזקוק לסיוע אכן מקבלו. כלומר, עד כמה אוכלוסיית היעד אכן מממשת הלכה למעשה את זכותה באופן המרבי והמיטבי ומקבלת את מרב הסיוע האפשרי. ראו ג'וני גל, "על חשיבות מיצוי זכויות", </w:t>
      </w:r>
      <w:r w:rsidRPr="00320972">
        <w:rPr>
          <w:rFonts w:ascii="Tahoma" w:hAnsi="Tahoma"/>
          <w:b/>
          <w:bCs/>
          <w:rtl/>
        </w:rPr>
        <w:t>ביטחון סוציאלי</w:t>
      </w:r>
      <w:r w:rsidRPr="00320972">
        <w:rPr>
          <w:rFonts w:ascii="Tahoma" w:hAnsi="Tahoma"/>
          <w:rtl/>
        </w:rPr>
        <w:t xml:space="preserve"> 73 (2007), עמ' 5.</w:t>
      </w:r>
    </w:p>
  </w:footnote>
  <w:footnote w:id="142">
    <w:p w:rsidR="002B5389" w:rsidRPr="00320972" w:rsidP="003D3BEF" w14:paraId="1FBDD3F4"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מפתח הנתונים שעל פיו נעשית הבדיקה הוא מספר תעודת הזהות שהתאמה בו מאפשרת לתאגיד להעניק את הזכאות להנחה לצרכן בעל חשבון מים בתאגיד. ראו דברי סמנכ"ל בכיר כלכלה של רשות המים, פרוטוקול מס' 32 מישיבת ועדת הכספים מ-7.7.15, עמ'</w:t>
      </w:r>
      <w:r>
        <w:rPr>
          <w:rFonts w:ascii="Tahoma" w:hAnsi="Tahoma"/>
          <w:rtl/>
        </w:rPr>
        <w:t xml:space="preserve"> </w:t>
      </w:r>
      <w:r w:rsidRPr="00320972">
        <w:rPr>
          <w:rFonts w:ascii="Tahoma" w:hAnsi="Tahoma"/>
          <w:rtl/>
        </w:rPr>
        <w:t>3.</w:t>
      </w:r>
    </w:p>
  </w:footnote>
  <w:footnote w:id="143">
    <w:p w:rsidR="002B5389" w:rsidRPr="00320972" w:rsidP="003D3BEF" w14:paraId="5079021E"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דוח יישום ההטבה במים לאוכלוסיות זכאיות בהתאם לסעיף 1(ה) בתקנות שר האוצר, מרץ 2019, שהוגש לוועדת הכספים, עמ' 1; דברי מנהל אגף כלכלה של רשות המים, פרוטוקול מס' 705 מישיבת ועדת הכספים מ-17.5.17 עמ' 4. </w:t>
      </w:r>
    </w:p>
  </w:footnote>
  <w:footnote w:id="144">
    <w:p w:rsidR="002B5389" w:rsidRPr="00320972" w:rsidP="003D3BEF" w14:paraId="4D5327DE"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דברי היועצת המשפטית בפועל הקודמת של רשות המים, פרוטוקול מס' 305 מישיבת ועדת הכספים מ-4.3.14, עמ' 73 - 74.</w:t>
      </w:r>
    </w:p>
  </w:footnote>
  <w:footnote w:id="145">
    <w:p w:rsidR="002B5389" w:rsidRPr="00320972" w:rsidP="003D3BEF" w14:paraId="0A2D49DE"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בג"ץ 366/03 </w:t>
      </w:r>
      <w:r w:rsidRPr="00320972">
        <w:rPr>
          <w:rFonts w:ascii="Tahoma" w:hAnsi="Tahoma"/>
          <w:b/>
          <w:bCs/>
          <w:rtl/>
        </w:rPr>
        <w:t>עמותת מחויבות לשלום וצדק חברתי נ' שר האוצר</w:t>
      </w:r>
      <w:r w:rsidRPr="00320972">
        <w:rPr>
          <w:rFonts w:ascii="Tahoma" w:hAnsi="Tahoma"/>
          <w:rtl/>
        </w:rPr>
        <w:t xml:space="preserve"> פ"ד ס(3) 464, 480 - 482 פסקה 15 לפסק דינו של השופט ברק.</w:t>
      </w:r>
    </w:p>
  </w:footnote>
  <w:footnote w:id="146">
    <w:p w:rsidR="002B5389" w:rsidRPr="00320972" w:rsidP="003D3BEF" w14:paraId="06777170" w14:textId="77777777">
      <w:pPr>
        <w:pStyle w:val="FootnoteText"/>
        <w:rPr>
          <w:rFonts w:ascii="Tahoma" w:hAnsi="Tahoma"/>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בג"ץ 161/94 </w:t>
      </w:r>
      <w:r w:rsidRPr="00320972">
        <w:rPr>
          <w:rFonts w:ascii="Tahoma" w:hAnsi="Tahoma"/>
          <w:b/>
          <w:bCs/>
          <w:rtl/>
        </w:rPr>
        <w:t>אטרי נ' מדינת ישראל</w:t>
      </w:r>
      <w:r w:rsidRPr="00320972">
        <w:rPr>
          <w:rFonts w:ascii="Tahoma" w:hAnsi="Tahoma"/>
          <w:rtl/>
        </w:rPr>
        <w:t>(פורסם במאגר ממוחשב, 1.3.94).</w:t>
      </w:r>
      <w:r>
        <w:rPr>
          <w:rFonts w:ascii="Tahoma" w:hAnsi="Tahoma"/>
          <w:rtl/>
        </w:rPr>
        <w:t xml:space="preserve"> </w:t>
      </w:r>
      <w:r w:rsidRPr="00320972">
        <w:rPr>
          <w:rFonts w:ascii="Tahoma" w:hAnsi="Tahoma"/>
          <w:rtl/>
        </w:rPr>
        <w:t xml:space="preserve">העותר ביקש להורות למשרד הבריאות להתקין תקנות שיאפשרו מכירת איברים להשתלה, זאת כדי שיוכל למכור את כלייתו. העתירה נדחתה ונקבע כי ההסדר הראוי צריך להיות בחקיקה ראשית. </w:t>
      </w:r>
      <w:r w:rsidRPr="00320972">
        <w:rPr>
          <w:rFonts w:ascii="Tahoma" w:hAnsi="Tahoma"/>
          <w:b/>
          <w:bCs/>
          <w:rtl/>
        </w:rPr>
        <w:t>באמרת אגב</w:t>
      </w:r>
      <w:r w:rsidRPr="00320972">
        <w:rPr>
          <w:rFonts w:ascii="Tahoma" w:hAnsi="Tahoma"/>
          <w:rtl/>
        </w:rPr>
        <w:t xml:space="preserve"> נכתב בסוף פסה"ד: "כבודו של העותר כאדם מחייב דאגה לקיום המינימלי כאנוש".</w:t>
      </w:r>
    </w:p>
  </w:footnote>
  <w:footnote w:id="147">
    <w:p w:rsidR="002B5389" w:rsidRPr="00320972" w:rsidP="003D3BEF" w14:paraId="2F479A79"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רע"א 4905/98 </w:t>
      </w:r>
      <w:r w:rsidRPr="00320972">
        <w:rPr>
          <w:rFonts w:ascii="Tahoma" w:hAnsi="Tahoma"/>
          <w:b/>
          <w:bCs/>
          <w:rtl/>
        </w:rPr>
        <w:t>גמזו נ' ישעיהו</w:t>
      </w:r>
      <w:r w:rsidRPr="00320972">
        <w:rPr>
          <w:rFonts w:ascii="Tahoma" w:hAnsi="Tahoma"/>
          <w:rtl/>
        </w:rPr>
        <w:t>, פ"ד נה(3) 360, 375 - 376.</w:t>
      </w:r>
    </w:p>
  </w:footnote>
  <w:footnote w:id="148">
    <w:p w:rsidR="002B5389" w:rsidRPr="00320972" w:rsidP="003D3BEF" w14:paraId="68FDE40E"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תקנות ההפחתה קבעו קריטריונים למתן הטבה למעוטי יכולת לאחר גיל פרישה, אך לא קבעו קריטריונים למתן הטבה למעוטי יכולת שלפני גיל פרישה.</w:t>
      </w:r>
    </w:p>
  </w:footnote>
  <w:footnote w:id="149">
    <w:p w:rsidR="002B5389" w:rsidRPr="00320972" w:rsidP="003D3BEF" w14:paraId="6F22CD97"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סעיף 1 לתקנות משק החשמל (תשלום מופחת לזכאים שונים), התשע"א-2011, ופסקאות 5 - 6 לתוספת.</w:t>
      </w:r>
    </w:p>
  </w:footnote>
  <w:footnote w:id="150">
    <w:p w:rsidR="002B5389" w:rsidRPr="00320972" w:rsidP="003D3BEF" w14:paraId="25361843" w14:textId="77777777">
      <w:pPr>
        <w:pStyle w:val="FootnoteText"/>
      </w:pPr>
      <w:r w:rsidRPr="00320972">
        <w:rPr>
          <w:rStyle w:val="FootnoteReference"/>
          <w:rFonts w:ascii="Tahoma" w:hAnsi="Tahoma"/>
        </w:rPr>
        <w:footnoteRef/>
      </w:r>
      <w:r>
        <w:rPr>
          <w:rFonts w:ascii="Tahoma" w:hAnsi="Tahoma"/>
          <w:rtl/>
        </w:rPr>
        <w:t xml:space="preserve"> </w:t>
      </w:r>
      <w:r>
        <w:rPr>
          <w:rFonts w:ascii="Tahoma" w:hAnsi="Tahoma"/>
          <w:rtl/>
        </w:rPr>
        <w:tab/>
      </w:r>
      <w:r w:rsidRPr="00320972">
        <w:rPr>
          <w:rFonts w:ascii="Tahoma" w:hAnsi="Tahoma"/>
          <w:rtl/>
        </w:rPr>
        <w:t xml:space="preserve">יצויין כי למדינה קיימים מנגנונים שונים המסייעים לאוכלוסיות מעוטות יכולת </w:t>
      </w:r>
      <w:r w:rsidRPr="00320972">
        <w:rPr>
          <w:rFonts w:ascii="Tahoma" w:hAnsi="Tahoma" w:hint="eastAsia"/>
          <w:rtl/>
        </w:rPr>
        <w:t>כגון</w:t>
      </w:r>
      <w:r w:rsidRPr="00320972">
        <w:rPr>
          <w:rFonts w:ascii="Tahoma" w:hAnsi="Tahoma"/>
          <w:rtl/>
        </w:rPr>
        <w:t xml:space="preserve"> </w:t>
      </w:r>
      <w:r w:rsidRPr="00320972">
        <w:rPr>
          <w:rFonts w:ascii="Tahoma" w:hAnsi="Tahoma" w:hint="eastAsia"/>
          <w:rtl/>
        </w:rPr>
        <w:t>מנגנון</w:t>
      </w:r>
      <w:r w:rsidRPr="00320972">
        <w:rPr>
          <w:rFonts w:ascii="Tahoma" w:hAnsi="Tahoma"/>
          <w:rtl/>
        </w:rPr>
        <w:t xml:space="preserve"> למתן קצבאות ומענקים </w:t>
      </w:r>
      <w:r w:rsidRPr="00320972">
        <w:rPr>
          <w:rFonts w:ascii="Tahoma" w:hAnsi="Tahoma" w:hint="eastAsia"/>
          <w:rtl/>
        </w:rPr>
        <w:t>על</w:t>
      </w:r>
      <w:r w:rsidRPr="00320972">
        <w:rPr>
          <w:rFonts w:ascii="Tahoma" w:hAnsi="Tahoma"/>
          <w:rtl/>
        </w:rPr>
        <w:t xml:space="preserve"> </w:t>
      </w:r>
      <w:r w:rsidRPr="00320972">
        <w:rPr>
          <w:rFonts w:ascii="Tahoma" w:hAnsi="Tahoma" w:hint="eastAsia"/>
          <w:rtl/>
        </w:rPr>
        <w:t>ידי</w:t>
      </w:r>
      <w:r w:rsidRPr="00320972">
        <w:rPr>
          <w:rFonts w:ascii="Tahoma" w:hAnsi="Tahoma"/>
          <w:rtl/>
        </w:rPr>
        <w:t xml:space="preserve"> </w:t>
      </w:r>
      <w:r w:rsidRPr="00320972">
        <w:rPr>
          <w:rFonts w:ascii="Tahoma" w:hAnsi="Tahoma" w:hint="eastAsia"/>
          <w:rtl/>
        </w:rPr>
        <w:t>המוסד</w:t>
      </w:r>
      <w:r w:rsidRPr="00320972">
        <w:rPr>
          <w:rFonts w:ascii="Tahoma" w:hAnsi="Tahoma"/>
          <w:rtl/>
        </w:rPr>
        <w:t xml:space="preserve"> </w:t>
      </w:r>
      <w:r w:rsidRPr="00320972">
        <w:rPr>
          <w:rFonts w:ascii="Tahoma" w:hAnsi="Tahoma" w:hint="eastAsia"/>
          <w:rtl/>
        </w:rPr>
        <w:t>לביטוח</w:t>
      </w:r>
      <w:r w:rsidRPr="00320972">
        <w:rPr>
          <w:rFonts w:ascii="Tahoma" w:hAnsi="Tahoma"/>
          <w:rtl/>
        </w:rPr>
        <w:t xml:space="preserve"> </w:t>
      </w:r>
      <w:r w:rsidRPr="00320972">
        <w:rPr>
          <w:rFonts w:ascii="Tahoma" w:hAnsi="Tahoma" w:hint="eastAsia"/>
          <w:rtl/>
        </w:rPr>
        <w:t>לאומי</w:t>
      </w:r>
      <w:r w:rsidRPr="00320972">
        <w:rPr>
          <w:rFonts w:ascii="Tahoma" w:hAnsi="Tahoma"/>
          <w:rtl/>
        </w:rPr>
        <w:t xml:space="preserve"> .</w:t>
      </w:r>
    </w:p>
  </w:footnote>
  <w:footnote w:id="151">
    <w:p w:rsidR="002B5389" w:rsidRPr="00320972" w:rsidP="003D3BEF" w14:paraId="274D864D" w14:textId="77777777">
      <w:pPr>
        <w:pStyle w:val="FootnoteText"/>
        <w:rPr>
          <w:rtl/>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דברי יו"ר ועדת הכלכלה של הכנסת, אבישי ברוורמן, כפי שצוטטו בהודעת ועדת הכלכלה מ-12.2.15.</w:t>
      </w:r>
    </w:p>
  </w:footnote>
  <w:footnote w:id="152">
    <w:p w:rsidR="002B5389" w:rsidP="003D3BEF" w14:paraId="64260825" w14:textId="77777777">
      <w:pPr>
        <w:pStyle w:val="FootnoteText"/>
        <w:rPr>
          <w:rtl/>
        </w:rPr>
      </w:pPr>
      <w:r>
        <w:rPr>
          <w:rStyle w:val="FootnoteReference"/>
        </w:rPr>
        <w:footnoteRef/>
      </w:r>
      <w:r>
        <w:rPr>
          <w:rtl/>
        </w:rPr>
        <w:t xml:space="preserve"> </w:t>
      </w:r>
      <w:r>
        <w:rPr>
          <w:rtl/>
        </w:rPr>
        <w:tab/>
      </w:r>
      <w:r>
        <w:rPr>
          <w:rFonts w:hint="cs"/>
          <w:rtl/>
        </w:rPr>
        <w:t xml:space="preserve">תיקון </w:t>
      </w:r>
      <w:r w:rsidRPr="00320972">
        <w:rPr>
          <w:rFonts w:ascii="Tahoma" w:hAnsi="Tahoma"/>
          <w:rtl/>
        </w:rPr>
        <w:t>מס' 4 לחוק תאגידי מים וביוב שפורסם במסגרת חוק ההסדרים במשק המדינה (תיקוני חקיקה להשגת יעדי התקציב והמדיניות הכלכלית לשנת הכספים 2006), התשס"</w:t>
      </w:r>
      <w:r>
        <w:rPr>
          <w:rFonts w:ascii="Tahoma" w:hAnsi="Tahoma"/>
          <w:rtl/>
        </w:rPr>
        <w:t>ו-</w:t>
      </w:r>
      <w:r w:rsidRPr="00320972">
        <w:rPr>
          <w:rFonts w:ascii="Tahoma" w:hAnsi="Tahoma"/>
          <w:rtl/>
        </w:rPr>
        <w:t>2006, ס"ח 306, 348.</w:t>
      </w:r>
    </w:p>
  </w:footnote>
  <w:footnote w:id="153">
    <w:p w:rsidR="002B5389" w:rsidRPr="00320972" w:rsidP="003D3BEF" w14:paraId="22135AEB"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עוד נקבע כי כל עוד לא קבעה מועצת הרשות כללים בעניין יחולו ההסדרים שהיו בתוקף בתחומו של כל אחד מהתאגידים לפני תחילת פעילותו (סעיף 152 לחוק התאגידים).</w:t>
      </w:r>
    </w:p>
  </w:footnote>
  <w:footnote w:id="154">
    <w:p w:rsidR="002B5389" w:rsidRPr="00320972" w:rsidP="003D3BEF" w14:paraId="5B93BD4A"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סעיף 1(2) לכללי תאגידי מים וביוב (ניתוק אספקת מים וביוב), התשע"ה-2015.</w:t>
      </w:r>
    </w:p>
  </w:footnote>
  <w:footnote w:id="155">
    <w:p w:rsidR="002B5389" w:rsidRPr="00320972" w:rsidP="003D3BEF" w14:paraId="4DD1AA81" w14:textId="77777777">
      <w:pPr>
        <w:pStyle w:val="FootnoteText"/>
        <w:rPr>
          <w:rFonts w:ascii="Tahoma" w:hAnsi="Tahoma"/>
        </w:rPr>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ס' 6 - 8. לכללי תאגידי מים וביוב (ניתוק אספקת מים וביוב), התשע"ה-2015. </w:t>
      </w:r>
    </w:p>
  </w:footnote>
  <w:footnote w:id="156">
    <w:p w:rsidR="002B5389" w:rsidRPr="00320972" w:rsidP="003D3BEF" w14:paraId="7F8702E8" w14:textId="77777777">
      <w:pPr>
        <w:pStyle w:val="FootnoteText"/>
      </w:pPr>
      <w:r w:rsidRPr="00320972">
        <w:rPr>
          <w:rStyle w:val="FootnoteReference"/>
          <w:rFonts w:ascii="Tahoma" w:hAnsi="Tahoma"/>
        </w:rPr>
        <w:footnoteRef/>
      </w:r>
      <w:r w:rsidRPr="00320972">
        <w:rPr>
          <w:rFonts w:ascii="Tahoma" w:hAnsi="Tahoma"/>
          <w:rtl/>
        </w:rPr>
        <w:t xml:space="preserve"> </w:t>
      </w:r>
      <w:r w:rsidRPr="00320972">
        <w:rPr>
          <w:rFonts w:ascii="Tahoma" w:hAnsi="Tahoma"/>
          <w:rtl/>
        </w:rPr>
        <w:tab/>
        <w:t xml:space="preserve">על פי כללי הניתוקים, תכלול הוועדה המייעצת שני נציגי ציבור בעלי מומחיות בתחום השירותים החברתיים שאחד מהם הוא עובד סוציאלי כהגדרתו בחוק העובדים הסוציאליים, נציג ציבור בעל ניסיון בתחום כלכלת המשפחה, ובכלל זה בעריכת מבחני הכנסה, נציג הרשות הממשלתית בעל ניסיון בטיפול בפניות הציבור ונציג הרשות הממשלתית שהוא משפטן הכשיר לשמש שופט של בית משפט שלום. </w:t>
      </w:r>
    </w:p>
  </w:footnote>
  <w:footnote w:id="157">
    <w:p w:rsidR="002B5389" w:rsidRPr="00320972" w:rsidP="003D3BEF" w14:paraId="79877BA2" w14:textId="77777777">
      <w:pPr>
        <w:pStyle w:val="FootnoteText"/>
        <w:rPr>
          <w:rtl/>
        </w:rPr>
      </w:pPr>
      <w:r w:rsidRPr="00320972">
        <w:rPr>
          <w:rStyle w:val="FootnoteReference"/>
        </w:rPr>
        <w:footnoteRef/>
      </w:r>
      <w:r w:rsidRPr="00320972">
        <w:rPr>
          <w:rtl/>
        </w:rPr>
        <w:t xml:space="preserve"> </w:t>
      </w:r>
      <w:r w:rsidRPr="00320972">
        <w:rPr>
          <w:rtl/>
        </w:rPr>
        <w:tab/>
      </w:r>
      <w:r w:rsidRPr="00320972">
        <w:rPr>
          <w:rFonts w:hint="cs"/>
          <w:rtl/>
        </w:rPr>
        <w:t>הגרפים של תאגיד מי רמת-גן ותאגיד מעיינות השרון הינם חופפים. בשני התאגידים לא בוצעו ניתוקי מים לצרכנים ביתיים בין השנים 2011 - 2018.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5389" w:rsidP="002B5389" w14:paraId="71A5DEF8" w14:textId="63D85049">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ED07BF">
      <w:rPr>
        <w:noProof/>
        <w:rtl/>
      </w:rPr>
      <w:t>7</w:t>
    </w:r>
    <w:r>
      <w:rPr>
        <w:rtl/>
      </w:rPr>
      <w:fldChar w:fldCharType="end"/>
    </w:r>
    <w:r>
      <w:t xml:space="preserve"> - </w:t>
    </w:r>
  </w:p>
  <w:p w:rsidR="002B5389" w:rsidP="002B5389" w14:paraId="0367BAA5" w14:textId="77777777">
    <w:pPr>
      <w:pStyle w:val="Header"/>
      <w:jc w:val="right"/>
    </w:pPr>
    <w:r>
      <w:rPr>
        <w:rFonts w:hint="cs"/>
        <w:rtl/>
      </w:rPr>
      <w:t>דוח 71א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B5389" w:rsidP="002B5389" w14:paraId="07696F84" w14:textId="77777777">
    <w:pPr>
      <w:pStyle w:val="Header"/>
      <w:jc w:val="right"/>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0574AE4"/>
    <w:multiLevelType w:val="hybridMultilevel"/>
    <w:tmpl w:val="882A5B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C5770A"/>
    <w:multiLevelType w:val="hybridMultilevel"/>
    <w:tmpl w:val="E7FEB7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755A92"/>
    <w:multiLevelType w:val="hybridMultilevel"/>
    <w:tmpl w:val="E3B410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C8164DD"/>
    <w:multiLevelType w:val="hybridMultilevel"/>
    <w:tmpl w:val="65DC0490"/>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134B4C9E"/>
    <w:multiLevelType w:val="multilevel"/>
    <w:tmpl w:val="0D387E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8077032"/>
    <w:multiLevelType w:val="hybridMultilevel"/>
    <w:tmpl w:val="E452DD3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E3476D3"/>
    <w:multiLevelType w:val="hybridMultilevel"/>
    <w:tmpl w:val="3C588314"/>
    <w:lvl w:ilvl="0">
      <w:start w:val="1"/>
      <w:numFmt w:val="decimal"/>
      <w:lvlText w:val="%1."/>
      <w:lvlJc w:val="left"/>
      <w:pPr>
        <w:ind w:left="36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E64D33"/>
    <w:multiLevelType w:val="hybridMultilevel"/>
    <w:tmpl w:val="F6D4BA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6699458C"/>
    <w:multiLevelType w:val="hybridMultilevel"/>
    <w:tmpl w:val="29366340"/>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677A0986"/>
    <w:multiLevelType w:val="hybridMultilevel"/>
    <w:tmpl w:val="76FE667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97216C1"/>
    <w:multiLevelType w:val="hybridMultilevel"/>
    <w:tmpl w:val="831664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CDD36BE"/>
    <w:multiLevelType w:val="hybridMultilevel"/>
    <w:tmpl w:val="6E2AD08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FB847BF"/>
    <w:multiLevelType w:val="hybridMultilevel"/>
    <w:tmpl w:val="ADF669EC"/>
    <w:lvl w:ilvl="0">
      <w:start w:val="1"/>
      <w:numFmt w:val="decimal"/>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4">
    <w:nsid w:val="78BD4CEF"/>
    <w:multiLevelType w:val="hybridMultilevel"/>
    <w:tmpl w:val="74487C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5"/>
  </w:num>
  <w:num w:numId="5">
    <w:abstractNumId w:val="1"/>
  </w:num>
  <w:num w:numId="6">
    <w:abstractNumId w:val="7"/>
  </w:num>
  <w:num w:numId="7">
    <w:abstractNumId w:val="13"/>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6"/>
  </w:num>
  <w:num w:numId="18">
    <w:abstractNumId w:val="0"/>
  </w:num>
  <w:num w:numId="19">
    <w:abstractNumId w:val="10"/>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BEF"/>
    <w:rsid w:val="00005FA4"/>
    <w:rsid w:val="000061AB"/>
    <w:rsid w:val="0001532E"/>
    <w:rsid w:val="00016C3C"/>
    <w:rsid w:val="000230EE"/>
    <w:rsid w:val="00025894"/>
    <w:rsid w:val="00040236"/>
    <w:rsid w:val="00052CC7"/>
    <w:rsid w:val="00060C41"/>
    <w:rsid w:val="00061045"/>
    <w:rsid w:val="00061DAC"/>
    <w:rsid w:val="00074024"/>
    <w:rsid w:val="00083E4F"/>
    <w:rsid w:val="00094347"/>
    <w:rsid w:val="000943B8"/>
    <w:rsid w:val="00096DC8"/>
    <w:rsid w:val="00097AB1"/>
    <w:rsid w:val="000A1447"/>
    <w:rsid w:val="000A4310"/>
    <w:rsid w:val="000A6379"/>
    <w:rsid w:val="000A72AB"/>
    <w:rsid w:val="000B0B01"/>
    <w:rsid w:val="000B1BE8"/>
    <w:rsid w:val="000D3E99"/>
    <w:rsid w:val="000D538F"/>
    <w:rsid w:val="000F3134"/>
    <w:rsid w:val="000F474F"/>
    <w:rsid w:val="0011449A"/>
    <w:rsid w:val="00153794"/>
    <w:rsid w:val="00157AEB"/>
    <w:rsid w:val="00161C2D"/>
    <w:rsid w:val="0016614C"/>
    <w:rsid w:val="001715B4"/>
    <w:rsid w:val="001C2270"/>
    <w:rsid w:val="001E116C"/>
    <w:rsid w:val="001F02F3"/>
    <w:rsid w:val="001F1DA8"/>
    <w:rsid w:val="001F3FE3"/>
    <w:rsid w:val="001F547F"/>
    <w:rsid w:val="001F55EA"/>
    <w:rsid w:val="00223B6F"/>
    <w:rsid w:val="0022548E"/>
    <w:rsid w:val="00240029"/>
    <w:rsid w:val="00247184"/>
    <w:rsid w:val="00266924"/>
    <w:rsid w:val="00282624"/>
    <w:rsid w:val="0028487D"/>
    <w:rsid w:val="002A2E33"/>
    <w:rsid w:val="002A399D"/>
    <w:rsid w:val="002B1446"/>
    <w:rsid w:val="002B27C0"/>
    <w:rsid w:val="002B3B21"/>
    <w:rsid w:val="002B5389"/>
    <w:rsid w:val="002D3A7E"/>
    <w:rsid w:val="002E22C7"/>
    <w:rsid w:val="002E6BAE"/>
    <w:rsid w:val="002E7086"/>
    <w:rsid w:val="00301A77"/>
    <w:rsid w:val="0031708A"/>
    <w:rsid w:val="00320972"/>
    <w:rsid w:val="00337F41"/>
    <w:rsid w:val="003652BB"/>
    <w:rsid w:val="00370434"/>
    <w:rsid w:val="003800CC"/>
    <w:rsid w:val="00380ACE"/>
    <w:rsid w:val="00386266"/>
    <w:rsid w:val="00390E99"/>
    <w:rsid w:val="003938C8"/>
    <w:rsid w:val="003A1013"/>
    <w:rsid w:val="003A4194"/>
    <w:rsid w:val="003A5F2D"/>
    <w:rsid w:val="003B0C90"/>
    <w:rsid w:val="003D0F32"/>
    <w:rsid w:val="003D171B"/>
    <w:rsid w:val="003D3BEF"/>
    <w:rsid w:val="003D3D72"/>
    <w:rsid w:val="003E6BF6"/>
    <w:rsid w:val="003F26AA"/>
    <w:rsid w:val="003F34AE"/>
    <w:rsid w:val="003F48ED"/>
    <w:rsid w:val="0040128D"/>
    <w:rsid w:val="00410CC2"/>
    <w:rsid w:val="00411013"/>
    <w:rsid w:val="004218B9"/>
    <w:rsid w:val="00422F13"/>
    <w:rsid w:val="00430327"/>
    <w:rsid w:val="004308DE"/>
    <w:rsid w:val="00433EBC"/>
    <w:rsid w:val="00436C37"/>
    <w:rsid w:val="00437C15"/>
    <w:rsid w:val="00440336"/>
    <w:rsid w:val="00456CB5"/>
    <w:rsid w:val="00461BA8"/>
    <w:rsid w:val="004652D0"/>
    <w:rsid w:val="0047043A"/>
    <w:rsid w:val="004766DB"/>
    <w:rsid w:val="004814A7"/>
    <w:rsid w:val="0049585F"/>
    <w:rsid w:val="004B00EA"/>
    <w:rsid w:val="004B3C65"/>
    <w:rsid w:val="004B5851"/>
    <w:rsid w:val="004B5DBE"/>
    <w:rsid w:val="004C08A5"/>
    <w:rsid w:val="004C3C06"/>
    <w:rsid w:val="004C737B"/>
    <w:rsid w:val="004E4608"/>
    <w:rsid w:val="004E485C"/>
    <w:rsid w:val="00510578"/>
    <w:rsid w:val="00515844"/>
    <w:rsid w:val="0052132B"/>
    <w:rsid w:val="00532B90"/>
    <w:rsid w:val="0053570F"/>
    <w:rsid w:val="00544E35"/>
    <w:rsid w:val="005467F4"/>
    <w:rsid w:val="0054783C"/>
    <w:rsid w:val="00555767"/>
    <w:rsid w:val="00572552"/>
    <w:rsid w:val="005761F1"/>
    <w:rsid w:val="005800E9"/>
    <w:rsid w:val="00585B98"/>
    <w:rsid w:val="00594DBB"/>
    <w:rsid w:val="00597487"/>
    <w:rsid w:val="00597704"/>
    <w:rsid w:val="005A2810"/>
    <w:rsid w:val="005C1231"/>
    <w:rsid w:val="005C221C"/>
    <w:rsid w:val="005C3F06"/>
    <w:rsid w:val="005C741B"/>
    <w:rsid w:val="005D02D4"/>
    <w:rsid w:val="005D0E84"/>
    <w:rsid w:val="005D42B1"/>
    <w:rsid w:val="005D6DCE"/>
    <w:rsid w:val="005E5B83"/>
    <w:rsid w:val="005F0CCE"/>
    <w:rsid w:val="005F69C6"/>
    <w:rsid w:val="00606067"/>
    <w:rsid w:val="00634092"/>
    <w:rsid w:val="00642405"/>
    <w:rsid w:val="00646C3C"/>
    <w:rsid w:val="0064738E"/>
    <w:rsid w:val="00647710"/>
    <w:rsid w:val="006621CB"/>
    <w:rsid w:val="00662350"/>
    <w:rsid w:val="00664398"/>
    <w:rsid w:val="006644FD"/>
    <w:rsid w:val="00667F0B"/>
    <w:rsid w:val="006719E7"/>
    <w:rsid w:val="00672783"/>
    <w:rsid w:val="00674FA6"/>
    <w:rsid w:val="006802F5"/>
    <w:rsid w:val="00680D17"/>
    <w:rsid w:val="00683066"/>
    <w:rsid w:val="00684E93"/>
    <w:rsid w:val="00695B6B"/>
    <w:rsid w:val="00697606"/>
    <w:rsid w:val="006A3F91"/>
    <w:rsid w:val="006D0CD4"/>
    <w:rsid w:val="006D3ADF"/>
    <w:rsid w:val="007002BE"/>
    <w:rsid w:val="00701F8D"/>
    <w:rsid w:val="007073AD"/>
    <w:rsid w:val="0073124F"/>
    <w:rsid w:val="00737926"/>
    <w:rsid w:val="00742867"/>
    <w:rsid w:val="00743095"/>
    <w:rsid w:val="0076190E"/>
    <w:rsid w:val="007634DF"/>
    <w:rsid w:val="00765218"/>
    <w:rsid w:val="007723A7"/>
    <w:rsid w:val="007764A2"/>
    <w:rsid w:val="00783AED"/>
    <w:rsid w:val="00786E87"/>
    <w:rsid w:val="007941D5"/>
    <w:rsid w:val="007970F7"/>
    <w:rsid w:val="007B21F7"/>
    <w:rsid w:val="007B3366"/>
    <w:rsid w:val="007C0513"/>
    <w:rsid w:val="007C0767"/>
    <w:rsid w:val="007C33DA"/>
    <w:rsid w:val="007D62F7"/>
    <w:rsid w:val="007D6EA5"/>
    <w:rsid w:val="007D7AB0"/>
    <w:rsid w:val="007E04C2"/>
    <w:rsid w:val="007E6A66"/>
    <w:rsid w:val="007F426A"/>
    <w:rsid w:val="008051BB"/>
    <w:rsid w:val="00811E2E"/>
    <w:rsid w:val="008147DA"/>
    <w:rsid w:val="00824A0D"/>
    <w:rsid w:val="00833712"/>
    <w:rsid w:val="00866373"/>
    <w:rsid w:val="00871763"/>
    <w:rsid w:val="00872868"/>
    <w:rsid w:val="00876395"/>
    <w:rsid w:val="008819F9"/>
    <w:rsid w:val="00882B3A"/>
    <w:rsid w:val="00886CF6"/>
    <w:rsid w:val="008905E8"/>
    <w:rsid w:val="008930C4"/>
    <w:rsid w:val="00897054"/>
    <w:rsid w:val="008A2D6B"/>
    <w:rsid w:val="008A5AA5"/>
    <w:rsid w:val="008B56DA"/>
    <w:rsid w:val="008C4E6B"/>
    <w:rsid w:val="008E51B8"/>
    <w:rsid w:val="008F5B9B"/>
    <w:rsid w:val="00900E30"/>
    <w:rsid w:val="00902044"/>
    <w:rsid w:val="00905D39"/>
    <w:rsid w:val="00906E0D"/>
    <w:rsid w:val="00910700"/>
    <w:rsid w:val="00917CB5"/>
    <w:rsid w:val="0092321F"/>
    <w:rsid w:val="0093199D"/>
    <w:rsid w:val="00944009"/>
    <w:rsid w:val="009523E7"/>
    <w:rsid w:val="00952A51"/>
    <w:rsid w:val="009652A8"/>
    <w:rsid w:val="009714CA"/>
    <w:rsid w:val="00987F8F"/>
    <w:rsid w:val="009907F8"/>
    <w:rsid w:val="009A1FB1"/>
    <w:rsid w:val="009B2DC6"/>
    <w:rsid w:val="009C650D"/>
    <w:rsid w:val="009C6992"/>
    <w:rsid w:val="009D0F84"/>
    <w:rsid w:val="009D5C23"/>
    <w:rsid w:val="009E2836"/>
    <w:rsid w:val="009F1AC0"/>
    <w:rsid w:val="009F4C0A"/>
    <w:rsid w:val="009F52AF"/>
    <w:rsid w:val="009F7CEC"/>
    <w:rsid w:val="00A07561"/>
    <w:rsid w:val="00A165E0"/>
    <w:rsid w:val="00A17053"/>
    <w:rsid w:val="00A22027"/>
    <w:rsid w:val="00A239D2"/>
    <w:rsid w:val="00A27378"/>
    <w:rsid w:val="00A350BA"/>
    <w:rsid w:val="00A5211A"/>
    <w:rsid w:val="00A543E3"/>
    <w:rsid w:val="00A60795"/>
    <w:rsid w:val="00A62859"/>
    <w:rsid w:val="00A8671F"/>
    <w:rsid w:val="00A94ABA"/>
    <w:rsid w:val="00AE5D15"/>
    <w:rsid w:val="00AF0238"/>
    <w:rsid w:val="00AF61BA"/>
    <w:rsid w:val="00B0159C"/>
    <w:rsid w:val="00B041DC"/>
    <w:rsid w:val="00B11486"/>
    <w:rsid w:val="00B11C20"/>
    <w:rsid w:val="00B21A79"/>
    <w:rsid w:val="00B26FC8"/>
    <w:rsid w:val="00B34705"/>
    <w:rsid w:val="00B35AE7"/>
    <w:rsid w:val="00B4197D"/>
    <w:rsid w:val="00B4370D"/>
    <w:rsid w:val="00B479B8"/>
    <w:rsid w:val="00B521D9"/>
    <w:rsid w:val="00B55F01"/>
    <w:rsid w:val="00B56846"/>
    <w:rsid w:val="00B64263"/>
    <w:rsid w:val="00B70DE1"/>
    <w:rsid w:val="00B90589"/>
    <w:rsid w:val="00B91359"/>
    <w:rsid w:val="00BA14B0"/>
    <w:rsid w:val="00BA3FB8"/>
    <w:rsid w:val="00BB24F4"/>
    <w:rsid w:val="00BB35F1"/>
    <w:rsid w:val="00BD433B"/>
    <w:rsid w:val="00BD476E"/>
    <w:rsid w:val="00BD7120"/>
    <w:rsid w:val="00BE289E"/>
    <w:rsid w:val="00BE51AC"/>
    <w:rsid w:val="00BE6513"/>
    <w:rsid w:val="00BF4090"/>
    <w:rsid w:val="00C31173"/>
    <w:rsid w:val="00C477D4"/>
    <w:rsid w:val="00C50FC4"/>
    <w:rsid w:val="00C61BCC"/>
    <w:rsid w:val="00C70881"/>
    <w:rsid w:val="00C71108"/>
    <w:rsid w:val="00C76F92"/>
    <w:rsid w:val="00C82318"/>
    <w:rsid w:val="00C844A0"/>
    <w:rsid w:val="00C862EE"/>
    <w:rsid w:val="00CB6FF9"/>
    <w:rsid w:val="00CC2953"/>
    <w:rsid w:val="00CC7B12"/>
    <w:rsid w:val="00CD0497"/>
    <w:rsid w:val="00CD2F7F"/>
    <w:rsid w:val="00CF4CD6"/>
    <w:rsid w:val="00CF781D"/>
    <w:rsid w:val="00CF7D49"/>
    <w:rsid w:val="00D019BF"/>
    <w:rsid w:val="00D02B39"/>
    <w:rsid w:val="00D10D35"/>
    <w:rsid w:val="00D15179"/>
    <w:rsid w:val="00D17814"/>
    <w:rsid w:val="00D215F8"/>
    <w:rsid w:val="00D2702C"/>
    <w:rsid w:val="00D53928"/>
    <w:rsid w:val="00D540E9"/>
    <w:rsid w:val="00D552E3"/>
    <w:rsid w:val="00D617E4"/>
    <w:rsid w:val="00D63C84"/>
    <w:rsid w:val="00D64705"/>
    <w:rsid w:val="00D650ED"/>
    <w:rsid w:val="00D66544"/>
    <w:rsid w:val="00D7567D"/>
    <w:rsid w:val="00D84F04"/>
    <w:rsid w:val="00D9026C"/>
    <w:rsid w:val="00D950A8"/>
    <w:rsid w:val="00DA6B1E"/>
    <w:rsid w:val="00DB5F19"/>
    <w:rsid w:val="00DC7FFE"/>
    <w:rsid w:val="00DD313B"/>
    <w:rsid w:val="00DD638A"/>
    <w:rsid w:val="00DE161E"/>
    <w:rsid w:val="00DF20BB"/>
    <w:rsid w:val="00E0263C"/>
    <w:rsid w:val="00E11873"/>
    <w:rsid w:val="00E2111F"/>
    <w:rsid w:val="00E26506"/>
    <w:rsid w:val="00E321E2"/>
    <w:rsid w:val="00E406C0"/>
    <w:rsid w:val="00E44CEC"/>
    <w:rsid w:val="00E46B31"/>
    <w:rsid w:val="00E54FD2"/>
    <w:rsid w:val="00E63833"/>
    <w:rsid w:val="00E665D5"/>
    <w:rsid w:val="00E8473D"/>
    <w:rsid w:val="00E87C5F"/>
    <w:rsid w:val="00E91192"/>
    <w:rsid w:val="00EB3353"/>
    <w:rsid w:val="00EC0CF5"/>
    <w:rsid w:val="00EC242B"/>
    <w:rsid w:val="00EC36A1"/>
    <w:rsid w:val="00ED07BF"/>
    <w:rsid w:val="00F13273"/>
    <w:rsid w:val="00F13B69"/>
    <w:rsid w:val="00F211C5"/>
    <w:rsid w:val="00F4047A"/>
    <w:rsid w:val="00F413F2"/>
    <w:rsid w:val="00F41449"/>
    <w:rsid w:val="00F53988"/>
    <w:rsid w:val="00F549B4"/>
    <w:rsid w:val="00F7297B"/>
    <w:rsid w:val="00F72C72"/>
    <w:rsid w:val="00F7525C"/>
    <w:rsid w:val="00F80342"/>
    <w:rsid w:val="00F803B1"/>
    <w:rsid w:val="00F84851"/>
    <w:rsid w:val="00F90DC9"/>
    <w:rsid w:val="00F914C0"/>
    <w:rsid w:val="00FA5CF1"/>
    <w:rsid w:val="00FB2073"/>
    <w:rsid w:val="00FB2D54"/>
    <w:rsid w:val="00FB6894"/>
    <w:rsid w:val="00FC1926"/>
    <w:rsid w:val="00FC3E19"/>
    <w:rsid w:val="00FC4100"/>
    <w:rsid w:val="00FC5FD6"/>
    <w:rsid w:val="00FE56DB"/>
  </w:rsids>
  <w:docVars>
    <w:docVar w:name="sivug" w:val="0"/>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39FDF2B-346C-4CF9-A18D-A511FF053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BEF"/>
    <w:pPr>
      <w:bidi/>
      <w:spacing w:after="0" w:line="312" w:lineRule="auto"/>
      <w:jc w:val="both"/>
    </w:pPr>
    <w:rPr>
      <w:rFonts w:ascii="Times New Roman" w:hAnsi="Times New Roman" w:cs="David"/>
      <w:sz w:val="20"/>
      <w:szCs w:val="24"/>
    </w:rPr>
  </w:style>
  <w:style w:type="paragraph" w:styleId="Heading1">
    <w:name w:val="heading 1"/>
    <w:basedOn w:val="Normal"/>
    <w:next w:val="Normal"/>
    <w:link w:val="1"/>
    <w:uiPriority w:val="1"/>
    <w:qFormat/>
    <w:rsid w:val="003D3BEF"/>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3D3BEF"/>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3D3BEF"/>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3D3BEF"/>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3D3BEF"/>
    <w:pPr>
      <w:keepNext/>
      <w:keepLines/>
      <w:outlineLvl w:val="4"/>
    </w:pPr>
    <w:rPr>
      <w:rFonts w:eastAsiaTheme="majorEastAsia"/>
      <w:bCs/>
      <w:spacing w:val="40"/>
    </w:rPr>
  </w:style>
  <w:style w:type="paragraph" w:styleId="Heading6">
    <w:name w:val="heading 6"/>
    <w:basedOn w:val="Normal"/>
    <w:next w:val="Normal"/>
    <w:link w:val="6"/>
    <w:uiPriority w:val="1"/>
    <w:qFormat/>
    <w:rsid w:val="003D3BEF"/>
    <w:pPr>
      <w:keepNext/>
      <w:keepLines/>
      <w:outlineLvl w:val="5"/>
    </w:pPr>
    <w:rPr>
      <w:rFonts w:eastAsiaTheme="majorEastAsia"/>
      <w:spacing w:val="40"/>
    </w:rPr>
  </w:style>
  <w:style w:type="paragraph" w:styleId="Heading7">
    <w:name w:val="heading 7"/>
    <w:basedOn w:val="Normal"/>
    <w:next w:val="Normal"/>
    <w:link w:val="7"/>
    <w:uiPriority w:val="1"/>
    <w:qFormat/>
    <w:rsid w:val="003D3BEF"/>
    <w:pPr>
      <w:keepNext/>
      <w:keepLines/>
      <w:outlineLvl w:val="6"/>
    </w:pPr>
    <w:rPr>
      <w:rFonts w:eastAsiaTheme="majorEastAsia"/>
      <w:bCs/>
      <w:spacing w:val="40"/>
    </w:rPr>
  </w:style>
  <w:style w:type="paragraph" w:styleId="Heading8">
    <w:name w:val="heading 8"/>
    <w:basedOn w:val="Normal"/>
    <w:next w:val="Normal"/>
    <w:link w:val="8"/>
    <w:uiPriority w:val="1"/>
    <w:qFormat/>
    <w:rsid w:val="003D3BEF"/>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3D3BEF"/>
    <w:rPr>
      <w:rFonts w:ascii="Times New Roman" w:hAnsi="Times New Roman" w:eastAsiaTheme="majorEastAsia" w:cs="David"/>
      <w:bCs/>
      <w:sz w:val="20"/>
      <w:szCs w:val="36"/>
      <w:u w:val="single"/>
    </w:rPr>
  </w:style>
  <w:style w:type="character" w:customStyle="1" w:styleId="2">
    <w:name w:val="כותרת 2 תו"/>
    <w:basedOn w:val="DefaultParagraphFont"/>
    <w:link w:val="Heading2"/>
    <w:uiPriority w:val="1"/>
    <w:rsid w:val="003D3BEF"/>
    <w:rPr>
      <w:rFonts w:ascii="Times New Roman" w:hAnsi="Times New Roman" w:eastAsiaTheme="majorEastAsia" w:cs="David"/>
      <w:bCs/>
      <w:sz w:val="20"/>
      <w:szCs w:val="32"/>
    </w:rPr>
  </w:style>
  <w:style w:type="character" w:customStyle="1" w:styleId="3">
    <w:name w:val="כותרת 3 תו"/>
    <w:basedOn w:val="DefaultParagraphFont"/>
    <w:link w:val="Heading3"/>
    <w:uiPriority w:val="1"/>
    <w:rsid w:val="003D3BEF"/>
    <w:rPr>
      <w:rFonts w:ascii="Times New Roman" w:hAnsi="Times New Roman" w:eastAsiaTheme="majorEastAsia" w:cs="David"/>
      <w:bCs/>
      <w:sz w:val="20"/>
      <w:szCs w:val="28"/>
      <w:u w:val="single"/>
    </w:rPr>
  </w:style>
  <w:style w:type="character" w:customStyle="1" w:styleId="4">
    <w:name w:val="כותרת 4 תו"/>
    <w:basedOn w:val="DefaultParagraphFont"/>
    <w:link w:val="Heading4"/>
    <w:uiPriority w:val="1"/>
    <w:rsid w:val="003D3BEF"/>
    <w:rPr>
      <w:rFonts w:ascii="Times New Roman" w:hAnsi="Times New Roman" w:eastAsiaTheme="majorEastAsia" w:cs="David"/>
      <w:bCs/>
      <w:sz w:val="20"/>
      <w:szCs w:val="26"/>
    </w:rPr>
  </w:style>
  <w:style w:type="character" w:customStyle="1" w:styleId="5">
    <w:name w:val="כותרת 5 תו"/>
    <w:basedOn w:val="DefaultParagraphFont"/>
    <w:link w:val="Heading5"/>
    <w:uiPriority w:val="1"/>
    <w:rsid w:val="003D3BEF"/>
    <w:rPr>
      <w:rFonts w:ascii="Times New Roman" w:hAnsi="Times New Roman" w:eastAsiaTheme="majorEastAsia" w:cs="David"/>
      <w:bCs/>
      <w:spacing w:val="40"/>
      <w:sz w:val="20"/>
      <w:szCs w:val="24"/>
    </w:rPr>
  </w:style>
  <w:style w:type="character" w:customStyle="1" w:styleId="6">
    <w:name w:val="כותרת 6 תו"/>
    <w:basedOn w:val="DefaultParagraphFont"/>
    <w:link w:val="Heading6"/>
    <w:uiPriority w:val="1"/>
    <w:rsid w:val="003D3BEF"/>
    <w:rPr>
      <w:rFonts w:ascii="Times New Roman" w:hAnsi="Times New Roman" w:eastAsiaTheme="majorEastAsia" w:cs="David"/>
      <w:spacing w:val="40"/>
      <w:sz w:val="20"/>
      <w:szCs w:val="24"/>
    </w:rPr>
  </w:style>
  <w:style w:type="character" w:customStyle="1" w:styleId="7">
    <w:name w:val="כותרת 7 תו"/>
    <w:basedOn w:val="DefaultParagraphFont"/>
    <w:link w:val="Heading7"/>
    <w:uiPriority w:val="1"/>
    <w:rsid w:val="003D3BEF"/>
    <w:rPr>
      <w:rFonts w:ascii="Times New Roman" w:hAnsi="Times New Roman" w:eastAsiaTheme="majorEastAsia" w:cs="David"/>
      <w:bCs/>
      <w:spacing w:val="40"/>
      <w:sz w:val="20"/>
      <w:szCs w:val="24"/>
    </w:rPr>
  </w:style>
  <w:style w:type="character" w:customStyle="1" w:styleId="8">
    <w:name w:val="כותרת 8 תו"/>
    <w:basedOn w:val="DefaultParagraphFont"/>
    <w:link w:val="Heading8"/>
    <w:uiPriority w:val="1"/>
    <w:rsid w:val="003D3BEF"/>
    <w:rPr>
      <w:rFonts w:ascii="Times New Roman" w:hAnsi="Times New Roman" w:eastAsiaTheme="majorEastAsia" w:cs="David"/>
      <w:spacing w:val="40"/>
      <w:sz w:val="20"/>
      <w:szCs w:val="24"/>
    </w:rPr>
  </w:style>
  <w:style w:type="paragraph" w:customStyle="1" w:styleId="a">
    <w:name w:val="נבנצאל"/>
    <w:basedOn w:val="Normal"/>
    <w:next w:val="Normal"/>
    <w:link w:val="a0"/>
    <w:uiPriority w:val="99"/>
    <w:rsid w:val="003D3BEF"/>
    <w:pPr>
      <w:ind w:left="-567"/>
    </w:pPr>
    <w:rPr>
      <w:szCs w:val="20"/>
    </w:rPr>
  </w:style>
  <w:style w:type="character" w:customStyle="1" w:styleId="a0">
    <w:name w:val="נבנצאל תו"/>
    <w:basedOn w:val="DefaultParagraphFont"/>
    <w:link w:val="a"/>
    <w:uiPriority w:val="99"/>
    <w:rsid w:val="003D3BEF"/>
    <w:rPr>
      <w:rFonts w:ascii="Times New Roman" w:hAnsi="Times New Roman" w:cs="David"/>
      <w:sz w:val="20"/>
      <w:szCs w:val="20"/>
    </w:rPr>
  </w:style>
  <w:style w:type="paragraph" w:styleId="Header">
    <w:name w:val="header"/>
    <w:basedOn w:val="Normal"/>
    <w:link w:val="a1"/>
    <w:uiPriority w:val="99"/>
    <w:unhideWhenUsed/>
    <w:rsid w:val="003D3BEF"/>
    <w:pPr>
      <w:tabs>
        <w:tab w:val="center" w:pos="4153"/>
        <w:tab w:val="right" w:pos="8306"/>
      </w:tabs>
      <w:spacing w:line="240" w:lineRule="auto"/>
    </w:pPr>
  </w:style>
  <w:style w:type="character" w:customStyle="1" w:styleId="a1">
    <w:name w:val="כותרת עליונה תו"/>
    <w:basedOn w:val="DefaultParagraphFont"/>
    <w:link w:val="Header"/>
    <w:uiPriority w:val="99"/>
    <w:rsid w:val="003D3BEF"/>
    <w:rPr>
      <w:rFonts w:ascii="Times New Roman" w:hAnsi="Times New Roman" w:cs="David"/>
      <w:sz w:val="20"/>
      <w:szCs w:val="24"/>
    </w:rPr>
  </w:style>
  <w:style w:type="paragraph" w:styleId="Footer">
    <w:name w:val="footer"/>
    <w:basedOn w:val="Normal"/>
    <w:link w:val="a2"/>
    <w:uiPriority w:val="99"/>
    <w:unhideWhenUsed/>
    <w:rsid w:val="003D3BEF"/>
    <w:pPr>
      <w:tabs>
        <w:tab w:val="center" w:pos="4153"/>
        <w:tab w:val="right" w:pos="8306"/>
      </w:tabs>
      <w:spacing w:line="240" w:lineRule="auto"/>
    </w:pPr>
  </w:style>
  <w:style w:type="character" w:customStyle="1" w:styleId="a2">
    <w:name w:val="כותרת תחתונה תו"/>
    <w:basedOn w:val="DefaultParagraphFont"/>
    <w:link w:val="Footer"/>
    <w:uiPriority w:val="99"/>
    <w:rsid w:val="003D3BEF"/>
    <w:rPr>
      <w:rFonts w:ascii="Times New Roman" w:hAnsi="Times New Roman" w:cs="David"/>
      <w:sz w:val="20"/>
      <w:szCs w:val="24"/>
    </w:rPr>
  </w:style>
  <w:style w:type="paragraph" w:styleId="Date">
    <w:name w:val="Date"/>
    <w:basedOn w:val="Normal"/>
    <w:next w:val="Normal"/>
    <w:link w:val="a3"/>
    <w:uiPriority w:val="99"/>
    <w:unhideWhenUsed/>
    <w:rsid w:val="003D3BEF"/>
    <w:pPr>
      <w:spacing w:before="120" w:line="240" w:lineRule="auto"/>
    </w:pPr>
  </w:style>
  <w:style w:type="character" w:customStyle="1" w:styleId="a3">
    <w:name w:val="תאריך תו"/>
    <w:basedOn w:val="DefaultParagraphFont"/>
    <w:link w:val="Date"/>
    <w:uiPriority w:val="99"/>
    <w:rsid w:val="003D3BEF"/>
    <w:rPr>
      <w:rFonts w:ascii="Times New Roman" w:hAnsi="Times New Roman" w:cs="David"/>
      <w:sz w:val="20"/>
      <w:szCs w:val="24"/>
    </w:rPr>
  </w:style>
  <w:style w:type="paragraph" w:styleId="FootnoteText">
    <w:name w:val="footnote text"/>
    <w:basedOn w:val="Normal"/>
    <w:link w:val="a4"/>
    <w:uiPriority w:val="99"/>
    <w:rsid w:val="003D3BEF"/>
    <w:pPr>
      <w:spacing w:line="240" w:lineRule="auto"/>
      <w:ind w:left="720" w:hanging="720"/>
    </w:pPr>
    <w:rPr>
      <w:szCs w:val="20"/>
    </w:rPr>
  </w:style>
  <w:style w:type="character" w:customStyle="1" w:styleId="a4">
    <w:name w:val="טקסט הערת שוליים תו"/>
    <w:basedOn w:val="DefaultParagraphFont"/>
    <w:link w:val="FootnoteText"/>
    <w:uiPriority w:val="99"/>
    <w:rsid w:val="003D3BEF"/>
    <w:rPr>
      <w:rFonts w:ascii="Times New Roman" w:hAnsi="Times New Roman" w:cs="David"/>
      <w:sz w:val="20"/>
      <w:szCs w:val="20"/>
    </w:rPr>
  </w:style>
  <w:style w:type="character" w:styleId="FootnoteReference">
    <w:name w:val="footnote reference"/>
    <w:basedOn w:val="DefaultParagraphFont"/>
    <w:uiPriority w:val="99"/>
    <w:semiHidden/>
    <w:unhideWhenUsed/>
    <w:rsid w:val="003D3BEF"/>
    <w:rPr>
      <w:vertAlign w:val="superscript"/>
    </w:rPr>
  </w:style>
  <w:style w:type="character" w:styleId="CommentReference">
    <w:name w:val="annotation reference"/>
    <w:basedOn w:val="DefaultParagraphFont"/>
    <w:uiPriority w:val="99"/>
    <w:semiHidden/>
    <w:unhideWhenUsed/>
    <w:rsid w:val="003D3BEF"/>
    <w:rPr>
      <w:sz w:val="16"/>
      <w:szCs w:val="16"/>
    </w:rPr>
  </w:style>
  <w:style w:type="paragraph" w:styleId="CommentText">
    <w:name w:val="annotation text"/>
    <w:basedOn w:val="Normal"/>
    <w:link w:val="a5"/>
    <w:uiPriority w:val="99"/>
    <w:unhideWhenUsed/>
    <w:rsid w:val="003D3BEF"/>
    <w:pPr>
      <w:spacing w:line="240" w:lineRule="auto"/>
    </w:pPr>
    <w:rPr>
      <w:szCs w:val="20"/>
    </w:rPr>
  </w:style>
  <w:style w:type="character" w:customStyle="1" w:styleId="a5">
    <w:name w:val="טקסט הערה תו"/>
    <w:basedOn w:val="DefaultParagraphFont"/>
    <w:link w:val="CommentText"/>
    <w:uiPriority w:val="99"/>
    <w:rsid w:val="003D3BEF"/>
    <w:rPr>
      <w:rFonts w:ascii="Times New Roman" w:hAnsi="Times New Roman" w:cs="David"/>
      <w:sz w:val="20"/>
      <w:szCs w:val="20"/>
    </w:rPr>
  </w:style>
  <w:style w:type="paragraph" w:styleId="BalloonText">
    <w:name w:val="Balloon Text"/>
    <w:basedOn w:val="Normal"/>
    <w:link w:val="a6"/>
    <w:uiPriority w:val="99"/>
    <w:semiHidden/>
    <w:unhideWhenUsed/>
    <w:rsid w:val="003D3BEF"/>
    <w:pPr>
      <w:spacing w:line="240" w:lineRule="auto"/>
    </w:pPr>
    <w:rPr>
      <w:rFonts w:ascii="Tahoma" w:hAnsi="Tahoma" w:cs="Tahoma"/>
      <w:sz w:val="18"/>
      <w:szCs w:val="18"/>
    </w:rPr>
  </w:style>
  <w:style w:type="character" w:customStyle="1" w:styleId="a6">
    <w:name w:val="טקסט בלונים תו"/>
    <w:basedOn w:val="DefaultParagraphFont"/>
    <w:link w:val="BalloonText"/>
    <w:uiPriority w:val="99"/>
    <w:semiHidden/>
    <w:rsid w:val="003D3BEF"/>
    <w:rPr>
      <w:rFonts w:ascii="Tahoma" w:hAnsi="Tahoma" w:cs="Tahoma"/>
      <w:sz w:val="18"/>
      <w:szCs w:val="18"/>
    </w:rPr>
  </w:style>
  <w:style w:type="table" w:styleId="TableGrid">
    <w:name w:val="Table Grid"/>
    <w:basedOn w:val="TableNormal"/>
    <w:uiPriority w:val="59"/>
    <w:rsid w:val="003D3BEF"/>
    <w:pPr>
      <w:spacing w:after="0" w:line="240" w:lineRule="auto"/>
      <w:jc w:val="both"/>
    </w:pPr>
    <w:rPr>
      <w:rFonts w:ascii="Times New Roman" w:hAnsi="Times New Roman"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3BEF"/>
    <w:pPr>
      <w:ind w:left="720"/>
      <w:contextualSpacing/>
    </w:pPr>
  </w:style>
  <w:style w:type="paragraph" w:styleId="CommentSubject">
    <w:name w:val="annotation subject"/>
    <w:basedOn w:val="CommentText"/>
    <w:next w:val="CommentText"/>
    <w:link w:val="a7"/>
    <w:uiPriority w:val="99"/>
    <w:semiHidden/>
    <w:unhideWhenUsed/>
    <w:rsid w:val="003D3BEF"/>
    <w:rPr>
      <w:b/>
      <w:bCs/>
    </w:rPr>
  </w:style>
  <w:style w:type="character" w:customStyle="1" w:styleId="a7">
    <w:name w:val="נושא הערה תו"/>
    <w:basedOn w:val="a5"/>
    <w:link w:val="CommentSubject"/>
    <w:uiPriority w:val="99"/>
    <w:semiHidden/>
    <w:rsid w:val="003D3BEF"/>
    <w:rPr>
      <w:rFonts w:ascii="Times New Roman" w:hAnsi="Times New Roman" w:cs="David"/>
      <w:b/>
      <w:bCs/>
      <w:sz w:val="20"/>
      <w:szCs w:val="20"/>
    </w:rPr>
  </w:style>
  <w:style w:type="table" w:customStyle="1" w:styleId="4-61">
    <w:name w:val="טבלת רשת 4 - הדגשה 61"/>
    <w:basedOn w:val="TableNormal"/>
    <w:uiPriority w:val="49"/>
    <w:rsid w:val="003D3BEF"/>
    <w:pPr>
      <w:spacing w:after="0" w:line="240" w:lineRule="auto"/>
      <w:jc w:val="both"/>
    </w:pPr>
    <w:rPr>
      <w:rFonts w:ascii="Times New Roman" w:hAnsi="Times New Roman" w:cs="David"/>
      <w:sz w:val="20"/>
      <w:szCs w:val="24"/>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
    <w:name w:val="Hyperlink"/>
    <w:basedOn w:val="DefaultParagraphFont"/>
    <w:uiPriority w:val="99"/>
    <w:unhideWhenUsed/>
    <w:rsid w:val="003D3BEF"/>
    <w:rPr>
      <w:color w:val="0000FF" w:themeColor="hyperlink"/>
      <w:u w:val="single"/>
    </w:rPr>
  </w:style>
  <w:style w:type="paragraph" w:styleId="TOCHeading">
    <w:name w:val="TOC Heading"/>
    <w:basedOn w:val="Heading1"/>
    <w:next w:val="Normal"/>
    <w:uiPriority w:val="39"/>
    <w:unhideWhenUsed/>
    <w:qFormat/>
    <w:rsid w:val="003D3BEF"/>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1">
    <w:name w:val="toc 1"/>
    <w:basedOn w:val="Normal"/>
    <w:next w:val="Normal"/>
    <w:autoRedefine/>
    <w:uiPriority w:val="39"/>
    <w:unhideWhenUsed/>
    <w:rsid w:val="003D3BEF"/>
    <w:pPr>
      <w:tabs>
        <w:tab w:val="right" w:leader="dot" w:pos="8211"/>
      </w:tabs>
      <w:spacing w:after="100"/>
    </w:pPr>
  </w:style>
  <w:style w:type="paragraph" w:styleId="TOC2">
    <w:name w:val="toc 2"/>
    <w:basedOn w:val="Normal"/>
    <w:next w:val="Normal"/>
    <w:autoRedefine/>
    <w:uiPriority w:val="39"/>
    <w:unhideWhenUsed/>
    <w:rsid w:val="003D3BEF"/>
    <w:pPr>
      <w:tabs>
        <w:tab w:val="left" w:pos="880"/>
        <w:tab w:val="right" w:leader="dot" w:pos="8211"/>
      </w:tabs>
      <w:spacing w:after="100"/>
      <w:ind w:left="200"/>
    </w:pPr>
    <w:rPr>
      <w:noProof/>
    </w:rPr>
  </w:style>
  <w:style w:type="paragraph" w:styleId="TOC3">
    <w:name w:val="toc 3"/>
    <w:basedOn w:val="Normal"/>
    <w:next w:val="Normal"/>
    <w:autoRedefine/>
    <w:uiPriority w:val="39"/>
    <w:unhideWhenUsed/>
    <w:rsid w:val="003D3BEF"/>
    <w:pPr>
      <w:spacing w:after="100"/>
      <w:ind w:left="400"/>
    </w:pPr>
  </w:style>
  <w:style w:type="paragraph" w:styleId="Revision">
    <w:name w:val="Revision"/>
    <w:hidden/>
    <w:uiPriority w:val="99"/>
    <w:semiHidden/>
    <w:rsid w:val="003D3BEF"/>
    <w:pPr>
      <w:spacing w:after="0" w:line="240" w:lineRule="auto"/>
    </w:pPr>
    <w:rPr>
      <w:rFonts w:ascii="Times New Roman" w:hAnsi="Times New Roman" w:cs="David"/>
      <w:sz w:val="20"/>
      <w:szCs w:val="24"/>
    </w:rPr>
  </w:style>
  <w:style w:type="paragraph" w:customStyle="1" w:styleId="P00">
    <w:name w:val="P00"/>
    <w:link w:val="P000"/>
    <w:rsid w:val="003D3BE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paragraph" w:customStyle="1" w:styleId="P22">
    <w:name w:val="P22"/>
    <w:basedOn w:val="P00"/>
    <w:rsid w:val="003D3BEF"/>
    <w:pPr>
      <w:tabs>
        <w:tab w:val="clear" w:pos="624"/>
        <w:tab w:val="clear" w:pos="1021"/>
      </w:tabs>
      <w:ind w:right="1021"/>
    </w:pPr>
  </w:style>
  <w:style w:type="character" w:customStyle="1" w:styleId="default">
    <w:name w:val="default"/>
    <w:rsid w:val="003D3BEF"/>
    <w:rPr>
      <w:rFonts w:ascii="Times New Roman" w:hAnsi="Times New Roman" w:cs="Times New Roman"/>
      <w:sz w:val="20"/>
      <w:szCs w:val="26"/>
    </w:rPr>
  </w:style>
  <w:style w:type="character" w:customStyle="1" w:styleId="P000">
    <w:name w:val="P00 תו"/>
    <w:link w:val="P00"/>
    <w:rsid w:val="003D3BEF"/>
    <w:rPr>
      <w:rFonts w:ascii="Times New Roman" w:eastAsia="Times New Roman" w:hAnsi="Times New Roman" w:cs="FrankRuehl"/>
      <w:noProof/>
      <w:sz w:val="20"/>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footer" Target="footer2.xml"/><Relationship Id="rId68" Type="http://schemas.openxmlformats.org/officeDocument/2006/relationships/customXml" Target="../customXml/item3.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styles" Target="styles.xml"/><Relationship Id="rId5" Type="http://schemas.openxmlformats.org/officeDocument/2006/relationships/customXml" Target="../customXml/item1.xml"/><Relationship Id="rId61" Type="http://schemas.openxmlformats.org/officeDocument/2006/relationships/footer" Target="footer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69" Type="http://schemas.openxmlformats.org/officeDocument/2006/relationships/customXml" Target="../customXml/item4.xml"/><Relationship Id="rId51" Type="http://schemas.openxmlformats.org/officeDocument/2006/relationships/image" Target="media/image46.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customXml" Target="../customXml/item2.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eader" Target="header2.xml"/><Relationship Id="rId1" Type="http://schemas.openxmlformats.org/officeDocument/2006/relationships/footnotes" Target="footnot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eader" Target="header1.xml"/><Relationship Id="rId65"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s>
</file>

<file path=word/_rels/numbering.xml.rels>&#65279;<?xml version="1.0" encoding="utf-8" standalone="yes"?><Relationships xmlns="http://schemas.openxmlformats.org/package/2006/relationships"><Relationship Id="rId1" Type="http://schemas.openxmlformats.org/officeDocument/2006/relationships/image" Target="media/image55.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8D1AEB-D219-4C85-B614-25538257E27B}">
  <ds:schemaRefs>
    <ds:schemaRef ds:uri="http://schemas.openxmlformats.org/officeDocument/2006/bibliography"/>
  </ds:schemaRefs>
</ds:datastoreItem>
</file>

<file path=customXml/itemProps2.xml><?xml version="1.0" encoding="utf-8"?>
<ds:datastoreItem xmlns:ds="http://schemas.openxmlformats.org/officeDocument/2006/customXml" ds:itemID="{7E07C21C-69A9-4AD8-A4F9-DC767BC74FA5}"/>
</file>

<file path=customXml/itemProps3.xml><?xml version="1.0" encoding="utf-8"?>
<ds:datastoreItem xmlns:ds="http://schemas.openxmlformats.org/officeDocument/2006/customXml" ds:itemID="{EECEFE02-86EB-4183-A565-E3968FBE58B0}"/>
</file>

<file path=customXml/itemProps4.xml><?xml version="1.0" encoding="utf-8"?>
<ds:datastoreItem xmlns:ds="http://schemas.openxmlformats.org/officeDocument/2006/customXml" ds:itemID="{2C7D5811-0C89-410F-9E17-014A8B8DD0C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