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1565DA" w:rsidRPr="002B5E33" w:rsidP="00ED5C0D">
      <w:pPr>
        <w:pStyle w:val="Heading1"/>
        <w:spacing w:line="269" w:lineRule="auto"/>
        <w:rPr>
          <w:rtl/>
        </w:rPr>
      </w:pPr>
      <w:r w:rsidRPr="002B5E33">
        <w:rPr>
          <w:rFonts w:hint="cs"/>
          <w:rtl/>
        </w:rPr>
        <w:t>אסדרת שוק ביטוחי הבריאות המסחריים</w:t>
      </w:r>
    </w:p>
    <w:p w:rsidR="00494B2B" w:rsidP="00494B2B">
      <w:pPr>
        <w:rPr>
          <w:rtl/>
        </w:rPr>
      </w:pPr>
    </w:p>
    <w:p w:rsidR="00494B2B" w:rsidRPr="00494B2B" w:rsidP="00494B2B">
      <w:pPr>
        <w:rPr>
          <w:rtl/>
        </w:rPr>
      </w:pPr>
    </w:p>
    <w:p w:rsidR="00B132F4" w:rsidRPr="002B5E33" w:rsidP="00ED5C0D">
      <w:pPr>
        <w:pStyle w:val="Heading3"/>
        <w:spacing w:before="0" w:line="269" w:lineRule="auto"/>
        <w:rPr>
          <w:rtl/>
        </w:rPr>
      </w:pPr>
      <w:r w:rsidRPr="002B5E33">
        <w:rPr>
          <w:rFonts w:hint="cs"/>
          <w:rtl/>
        </w:rPr>
        <w:t>מבוא</w:t>
      </w:r>
    </w:p>
    <w:p w:rsidR="007E06A8" w:rsidP="00ED5C0D">
      <w:pPr>
        <w:pStyle w:val="a"/>
        <w:spacing w:line="269" w:lineRule="auto"/>
        <w:rPr>
          <w:rtl/>
        </w:rPr>
      </w:pPr>
    </w:p>
    <w:p w:rsidR="00B132F4" w:rsidRPr="002B5E33" w:rsidP="00ED5C0D">
      <w:pPr>
        <w:spacing w:line="269" w:lineRule="auto"/>
        <w:rPr>
          <w:rFonts w:ascii="David" w:hAnsi="David"/>
          <w:sz w:val="24"/>
          <w:rtl/>
        </w:rPr>
      </w:pPr>
      <w:r w:rsidRPr="002B5E33">
        <w:rPr>
          <w:rFonts w:ascii="David" w:hAnsi="David"/>
          <w:sz w:val="24"/>
          <w:rtl/>
        </w:rPr>
        <w:t xml:space="preserve">ביטוח בריאות </w:t>
      </w:r>
      <w:r w:rsidRPr="002B5E33">
        <w:rPr>
          <w:rFonts w:ascii="David" w:hAnsi="David" w:hint="cs"/>
          <w:sz w:val="24"/>
          <w:rtl/>
        </w:rPr>
        <w:t>נועד</w:t>
      </w:r>
      <w:r w:rsidRPr="002B5E33">
        <w:rPr>
          <w:rFonts w:ascii="David" w:hAnsi="David"/>
          <w:sz w:val="24"/>
          <w:rtl/>
        </w:rPr>
        <w:t xml:space="preserve"> לצמצום הנזק הכספי הנגרם למבוטח עקב בעיה בריאותית. במהותו הוא ת</w:t>
      </w:r>
      <w:r w:rsidRPr="002B5E33">
        <w:rPr>
          <w:rFonts w:ascii="David" w:hAnsi="David" w:hint="cs"/>
          <w:sz w:val="24"/>
          <w:rtl/>
        </w:rPr>
        <w:t>ו</w:t>
      </w:r>
      <w:r w:rsidRPr="002B5E33">
        <w:rPr>
          <w:rFonts w:ascii="David" w:hAnsi="David"/>
          <w:sz w:val="24"/>
          <w:rtl/>
        </w:rPr>
        <w:t>כנית לכיסוי ומימון של הוצאות רפואיות עתידיות באמצעות צד ג' (חברת הביטוח). הסיוע ניתן באמצעיים כספיים או באספקה ישירה של שירותי בריאות. המבוטח משלם פרמיות חודשיות</w:t>
      </w:r>
      <w:r w:rsidRPr="002B5E33">
        <w:rPr>
          <w:rFonts w:ascii="David" w:hAnsi="David" w:hint="cs"/>
          <w:sz w:val="24"/>
          <w:rtl/>
        </w:rPr>
        <w:t>,</w:t>
      </w:r>
      <w:r w:rsidRPr="002B5E33">
        <w:rPr>
          <w:rFonts w:ascii="David" w:hAnsi="David"/>
          <w:sz w:val="24"/>
          <w:rtl/>
        </w:rPr>
        <w:t xml:space="preserve"> בהנחה שבעת קרות מקרה הביטוח לא יידרש לשאת בהוצאה כספית ניכרת. </w:t>
      </w:r>
    </w:p>
    <w:p w:rsidR="00B132F4" w:rsidRPr="002B5E33" w:rsidP="00ED5C0D">
      <w:pPr>
        <w:pStyle w:val="a"/>
        <w:spacing w:line="269" w:lineRule="auto"/>
        <w:rPr>
          <w:rFonts w:ascii="David" w:hAnsi="David"/>
          <w:rtl/>
        </w:rPr>
      </w:pPr>
    </w:p>
    <w:p w:rsidR="00B132F4" w:rsidRPr="002B5E33" w:rsidP="00ED5C0D">
      <w:pPr>
        <w:spacing w:line="269" w:lineRule="auto"/>
      </w:pPr>
      <w:r w:rsidRPr="002B5E33">
        <w:rPr>
          <w:rFonts w:ascii="David" w:hAnsi="David" w:hint="cs"/>
          <w:sz w:val="24"/>
          <w:rtl/>
        </w:rPr>
        <w:t xml:space="preserve">כיסויי </w:t>
      </w:r>
      <w:r w:rsidRPr="002B5E33">
        <w:rPr>
          <w:rFonts w:ascii="David" w:hAnsi="David"/>
          <w:sz w:val="24"/>
          <w:rtl/>
        </w:rPr>
        <w:t xml:space="preserve">הבריאות </w:t>
      </w:r>
      <w:r w:rsidRPr="002B5E33">
        <w:rPr>
          <w:rFonts w:ascii="David" w:hAnsi="David" w:hint="cs"/>
          <w:sz w:val="24"/>
          <w:rtl/>
        </w:rPr>
        <w:t>הפרטיים בישראל,</w:t>
      </w:r>
      <w:r w:rsidRPr="002B5E33">
        <w:rPr>
          <w:rFonts w:ascii="David" w:hAnsi="David"/>
          <w:sz w:val="24"/>
          <w:rtl/>
        </w:rPr>
        <w:t xml:space="preserve"> </w:t>
      </w:r>
      <w:r w:rsidRPr="002B5E33">
        <w:rPr>
          <w:rFonts w:ascii="David" w:hAnsi="David" w:hint="cs"/>
          <w:sz w:val="24"/>
          <w:rtl/>
        </w:rPr>
        <w:t>ה</w:t>
      </w:r>
      <w:r w:rsidRPr="002B5E33">
        <w:rPr>
          <w:rFonts w:ascii="David" w:hAnsi="David"/>
          <w:sz w:val="24"/>
          <w:rtl/>
        </w:rPr>
        <w:t xml:space="preserve">מוצעים נוסף </w:t>
      </w:r>
      <w:r w:rsidRPr="002B5E33">
        <w:rPr>
          <w:rFonts w:ascii="David" w:hAnsi="David" w:hint="cs"/>
          <w:sz w:val="24"/>
          <w:rtl/>
        </w:rPr>
        <w:t>ע</w:t>
      </w:r>
      <w:r w:rsidRPr="002B5E33">
        <w:rPr>
          <w:rFonts w:ascii="David" w:hAnsi="David"/>
          <w:sz w:val="24"/>
          <w:rtl/>
        </w:rPr>
        <w:t>ל</w:t>
      </w:r>
      <w:r w:rsidRPr="002B5E33">
        <w:rPr>
          <w:rFonts w:ascii="David" w:hAnsi="David" w:hint="cs"/>
          <w:sz w:val="24"/>
          <w:rtl/>
        </w:rPr>
        <w:t xml:space="preserve"> ה</w:t>
      </w:r>
      <w:r w:rsidRPr="002B5E33">
        <w:rPr>
          <w:rFonts w:ascii="David" w:hAnsi="David"/>
          <w:sz w:val="24"/>
          <w:rtl/>
        </w:rPr>
        <w:t xml:space="preserve">כיסויים </w:t>
      </w:r>
      <w:r w:rsidRPr="002B5E33">
        <w:rPr>
          <w:rFonts w:ascii="David" w:hAnsi="David" w:hint="cs"/>
          <w:sz w:val="24"/>
          <w:rtl/>
        </w:rPr>
        <w:t>הנובעים מ</w:t>
      </w:r>
      <w:r w:rsidRPr="002B5E33">
        <w:rPr>
          <w:rFonts w:ascii="David" w:hAnsi="David"/>
          <w:sz w:val="24"/>
          <w:rtl/>
        </w:rPr>
        <w:t>חוק ביטוח בריאות ממלכתי</w:t>
      </w:r>
      <w:r w:rsidRPr="002B5E33" w:rsidR="00B21ECD">
        <w:rPr>
          <w:rFonts w:ascii="David" w:hAnsi="David" w:hint="cs"/>
          <w:sz w:val="24"/>
          <w:rtl/>
        </w:rPr>
        <w:t>, הת</w:t>
      </w:r>
      <w:r w:rsidRPr="002B5E33" w:rsidR="00B21ECD">
        <w:rPr>
          <w:rFonts w:asciiTheme="minorHAnsi" w:hAnsiTheme="minorHAnsi" w:hint="cs"/>
          <w:sz w:val="24"/>
          <w:rtl/>
        </w:rPr>
        <w:t>שנ"ד-1994</w:t>
      </w:r>
      <w:r>
        <w:rPr>
          <w:rStyle w:val="FootnoteReference"/>
          <w:rFonts w:ascii="David" w:hAnsi="David"/>
          <w:sz w:val="24"/>
          <w:rtl/>
        </w:rPr>
        <w:footnoteReference w:id="3"/>
      </w:r>
      <w:r w:rsidRPr="002B5E33" w:rsidR="00F250CB">
        <w:rPr>
          <w:rFonts w:ascii="David" w:hAnsi="David" w:hint="cs"/>
          <w:sz w:val="24"/>
          <w:rtl/>
        </w:rPr>
        <w:t>,</w:t>
      </w:r>
      <w:r w:rsidRPr="002B5E33" w:rsidR="00053331">
        <w:rPr>
          <w:rFonts w:ascii="David" w:hAnsi="David" w:hint="cs"/>
          <w:sz w:val="24"/>
          <w:rtl/>
        </w:rPr>
        <w:t xml:space="preserve"> </w:t>
      </w:r>
      <w:r w:rsidRPr="002B5E33">
        <w:rPr>
          <w:rFonts w:ascii="David" w:hAnsi="David" w:hint="cs"/>
          <w:sz w:val="24"/>
          <w:rtl/>
        </w:rPr>
        <w:t>ניתנים על ידי שירותי הבריאות הנוספים של קופות החולים (להלן - תוכניות השב"ן או שב"ן)</w:t>
      </w:r>
      <w:r>
        <w:rPr>
          <w:rStyle w:val="FootnoteReference"/>
          <w:rFonts w:ascii="David" w:hAnsi="David"/>
          <w:sz w:val="24"/>
          <w:rtl/>
        </w:rPr>
        <w:footnoteReference w:id="4"/>
      </w:r>
      <w:r w:rsidRPr="002B5E33">
        <w:rPr>
          <w:rFonts w:ascii="David" w:hAnsi="David"/>
          <w:sz w:val="24"/>
          <w:rtl/>
        </w:rPr>
        <w:t xml:space="preserve"> </w:t>
      </w:r>
      <w:r w:rsidRPr="002B5E33">
        <w:rPr>
          <w:rFonts w:ascii="David" w:hAnsi="David" w:hint="cs"/>
          <w:sz w:val="24"/>
          <w:rtl/>
        </w:rPr>
        <w:t xml:space="preserve">ועל ידי ביטוחים </w:t>
      </w:r>
      <w:r w:rsidRPr="002B5E33">
        <w:rPr>
          <w:rFonts w:ascii="David" w:hAnsi="David"/>
          <w:sz w:val="24"/>
          <w:rtl/>
        </w:rPr>
        <w:t>מסחריים</w:t>
      </w:r>
      <w:r w:rsidRPr="002B5E33">
        <w:rPr>
          <w:rFonts w:ascii="David" w:hAnsi="David" w:hint="cs"/>
          <w:sz w:val="24"/>
          <w:rtl/>
        </w:rPr>
        <w:t xml:space="preserve">, של חברות הביטוח המסחריות (להלן - ביטוח מסחרי). מכיוון שביטוחים אלו מספקים </w:t>
      </w:r>
      <w:r w:rsidRPr="002B5E33">
        <w:rPr>
          <w:rFonts w:ascii="David" w:hAnsi="David"/>
          <w:sz w:val="24"/>
          <w:rtl/>
        </w:rPr>
        <w:t>רובד שני ושלישי של כיסוי</w:t>
      </w:r>
      <w:r w:rsidRPr="002B5E33">
        <w:rPr>
          <w:rFonts w:ascii="David" w:hAnsi="David" w:hint="cs"/>
          <w:sz w:val="24"/>
          <w:rtl/>
        </w:rPr>
        <w:t>,</w:t>
      </w:r>
      <w:r w:rsidRPr="002B5E33">
        <w:rPr>
          <w:rFonts w:ascii="David" w:hAnsi="David"/>
          <w:sz w:val="24"/>
          <w:rtl/>
        </w:rPr>
        <w:t xml:space="preserve"> חשיבותם </w:t>
      </w:r>
      <w:r w:rsidRPr="002B5E33">
        <w:rPr>
          <w:rFonts w:ascii="David" w:hAnsi="David" w:hint="cs"/>
          <w:sz w:val="24"/>
          <w:rtl/>
        </w:rPr>
        <w:t xml:space="preserve">היא </w:t>
      </w:r>
      <w:r w:rsidRPr="002B5E33">
        <w:rPr>
          <w:rFonts w:ascii="David" w:hAnsi="David"/>
          <w:sz w:val="24"/>
          <w:rtl/>
        </w:rPr>
        <w:t>בכך שהם מאפשרים לאזרח</w:t>
      </w:r>
      <w:r w:rsidRPr="002B5E33">
        <w:rPr>
          <w:rFonts w:ascii="David" w:hAnsi="David" w:hint="cs"/>
          <w:sz w:val="24"/>
          <w:rtl/>
        </w:rPr>
        <w:t xml:space="preserve">ים </w:t>
      </w:r>
      <w:r w:rsidRPr="002B5E33">
        <w:rPr>
          <w:rFonts w:ascii="David" w:hAnsi="David"/>
          <w:sz w:val="24"/>
          <w:rtl/>
        </w:rPr>
        <w:t>לבטח את עצמ</w:t>
      </w:r>
      <w:r w:rsidRPr="002B5E33">
        <w:rPr>
          <w:rFonts w:ascii="David" w:hAnsi="David" w:hint="cs"/>
          <w:sz w:val="24"/>
          <w:rtl/>
        </w:rPr>
        <w:t>ם</w:t>
      </w:r>
      <w:r w:rsidRPr="002B5E33">
        <w:rPr>
          <w:rFonts w:ascii="David" w:hAnsi="David"/>
          <w:sz w:val="24"/>
          <w:rtl/>
        </w:rPr>
        <w:t xml:space="preserve"> מעבר לכיסויים הקיימים</w:t>
      </w:r>
      <w:r w:rsidRPr="002B5E33">
        <w:rPr>
          <w:rFonts w:ascii="David" w:hAnsi="David" w:hint="cs"/>
          <w:sz w:val="24"/>
          <w:rtl/>
        </w:rPr>
        <w:t xml:space="preserve"> מכוח החוק</w:t>
      </w:r>
      <w:r w:rsidRPr="002B5E33">
        <w:rPr>
          <w:rFonts w:ascii="David" w:hAnsi="David"/>
          <w:sz w:val="24"/>
          <w:rtl/>
        </w:rPr>
        <w:t xml:space="preserve">, </w:t>
      </w:r>
      <w:r w:rsidRPr="002B5E33">
        <w:rPr>
          <w:rFonts w:ascii="David" w:hAnsi="David" w:hint="cs"/>
          <w:sz w:val="24"/>
          <w:rtl/>
        </w:rPr>
        <w:t xml:space="preserve">מפני </w:t>
      </w:r>
      <w:r w:rsidRPr="002B5E33">
        <w:rPr>
          <w:rFonts w:ascii="David" w:hAnsi="David"/>
          <w:sz w:val="24"/>
          <w:rtl/>
        </w:rPr>
        <w:t>סיכו</w:t>
      </w:r>
      <w:r w:rsidRPr="002B5E33">
        <w:rPr>
          <w:rFonts w:ascii="David" w:hAnsi="David" w:hint="cs"/>
          <w:sz w:val="24"/>
          <w:rtl/>
        </w:rPr>
        <w:t xml:space="preserve">ן </w:t>
      </w:r>
      <w:r w:rsidRPr="002B5E33">
        <w:rPr>
          <w:rFonts w:ascii="David" w:hAnsi="David"/>
          <w:sz w:val="24"/>
          <w:rtl/>
        </w:rPr>
        <w:t>עתידי להוצאה כספית חריגה ובלתי צפויה מראש.</w:t>
      </w:r>
    </w:p>
    <w:p w:rsidR="00B132F4" w:rsidRPr="002B5E33" w:rsidP="00ED5C0D">
      <w:pPr>
        <w:pStyle w:val="a"/>
        <w:spacing w:line="269" w:lineRule="auto"/>
        <w:rPr>
          <w:rtl/>
        </w:rPr>
      </w:pPr>
    </w:p>
    <w:p w:rsidR="00B132F4" w:rsidRPr="002B5E33" w:rsidP="00ED5C0D">
      <w:pPr>
        <w:spacing w:line="269" w:lineRule="auto"/>
        <w:rPr>
          <w:rFonts w:ascii="David" w:hAnsi="David"/>
          <w:sz w:val="24"/>
          <w:rtl/>
        </w:rPr>
      </w:pPr>
      <w:r w:rsidRPr="002B5E33">
        <w:rPr>
          <w:rFonts w:ascii="David" w:hAnsi="David" w:hint="cs"/>
          <w:sz w:val="24"/>
          <w:rtl/>
        </w:rPr>
        <w:t>להבדיל מת</w:t>
      </w:r>
      <w:r w:rsidRPr="002B5E33" w:rsidR="005C0AD0">
        <w:rPr>
          <w:rFonts w:ascii="David" w:hAnsi="David" w:hint="cs"/>
          <w:sz w:val="24"/>
          <w:rtl/>
        </w:rPr>
        <w:t>ו</w:t>
      </w:r>
      <w:r w:rsidRPr="002B5E33">
        <w:rPr>
          <w:rFonts w:ascii="David" w:hAnsi="David" w:hint="cs"/>
          <w:sz w:val="24"/>
          <w:rtl/>
        </w:rPr>
        <w:t>כניות השב"ן</w:t>
      </w:r>
      <w:r>
        <w:rPr>
          <w:rStyle w:val="FootnoteReference"/>
          <w:rFonts w:ascii="David" w:hAnsi="David"/>
          <w:sz w:val="24"/>
          <w:rtl/>
        </w:rPr>
        <w:footnoteReference w:id="5"/>
      </w:r>
      <w:r w:rsidRPr="002B5E33">
        <w:rPr>
          <w:rFonts w:ascii="David" w:hAnsi="David" w:hint="cs"/>
          <w:sz w:val="24"/>
          <w:rtl/>
        </w:rPr>
        <w:t xml:space="preserve">, שוק הביטוחים המסחריים בישראל מתאפיין בכך </w:t>
      </w:r>
      <w:r w:rsidRPr="002B5E33">
        <w:rPr>
          <w:rFonts w:ascii="David" w:hAnsi="David"/>
          <w:sz w:val="24"/>
          <w:rtl/>
        </w:rPr>
        <w:t xml:space="preserve">שהוא פועל </w:t>
      </w:r>
      <w:r w:rsidRPr="002B5E33">
        <w:rPr>
          <w:rFonts w:ascii="David" w:hAnsi="David" w:hint="cs"/>
          <w:sz w:val="24"/>
          <w:rtl/>
        </w:rPr>
        <w:t xml:space="preserve">מתוקף חוזה ביטוח ועל בסיס </w:t>
      </w:r>
      <w:r w:rsidRPr="002B5E33">
        <w:rPr>
          <w:rFonts w:ascii="David" w:hAnsi="David"/>
          <w:sz w:val="24"/>
          <w:rtl/>
        </w:rPr>
        <w:t>עסקי טהור, למטרת השאת רווחים; אין בו מחויבות לעקרונות "חברתיים" כגון ערבות הדדית; האקטואריה היא על בסיס הסיכון הב</w:t>
      </w:r>
      <w:r w:rsidRPr="002B5E33">
        <w:rPr>
          <w:rFonts w:ascii="David" w:hAnsi="David" w:hint="cs"/>
          <w:sz w:val="24"/>
          <w:rtl/>
        </w:rPr>
        <w:t>י</w:t>
      </w:r>
      <w:r w:rsidRPr="002B5E33">
        <w:rPr>
          <w:rFonts w:ascii="David" w:hAnsi="David"/>
          <w:sz w:val="24"/>
          <w:rtl/>
        </w:rPr>
        <w:t>טוחי של הפרט/הקבוצה; ולרוב קיים בו הליך חיתום רפואי, המאפשר לחברות הביטוח לסנן</w:t>
      </w:r>
      <w:r w:rsidRPr="002B5E33">
        <w:rPr>
          <w:rFonts w:ascii="David" w:hAnsi="David" w:hint="cs"/>
          <w:sz w:val="24"/>
          <w:rtl/>
        </w:rPr>
        <w:t xml:space="preserve"> סיכונים ו</w:t>
      </w:r>
      <w:r w:rsidRPr="002B5E33">
        <w:rPr>
          <w:rFonts w:ascii="David" w:hAnsi="David"/>
          <w:sz w:val="24"/>
          <w:rtl/>
        </w:rPr>
        <w:t>מבוטחים שאינם רצויים (</w:t>
      </w:r>
      <w:r w:rsidRPr="002B5E33">
        <w:rPr>
          <w:rFonts w:ascii="David" w:hAnsi="David"/>
          <w:sz w:val="24"/>
        </w:rPr>
        <w:t>bad risk</w:t>
      </w:r>
      <w:r w:rsidRPr="002B5E33">
        <w:rPr>
          <w:rFonts w:ascii="David" w:hAnsi="David"/>
          <w:sz w:val="24"/>
          <w:rtl/>
        </w:rPr>
        <w:t xml:space="preserve">) לחברת הביטוח נוכח הסיכון </w:t>
      </w:r>
      <w:r w:rsidRPr="002B5E33">
        <w:rPr>
          <w:rFonts w:ascii="David" w:hAnsi="David" w:hint="cs"/>
          <w:sz w:val="24"/>
          <w:rtl/>
        </w:rPr>
        <w:t xml:space="preserve">הכספי </w:t>
      </w:r>
      <w:r w:rsidRPr="002B5E33">
        <w:rPr>
          <w:rFonts w:ascii="David" w:hAnsi="David"/>
          <w:sz w:val="24"/>
          <w:rtl/>
        </w:rPr>
        <w:t xml:space="preserve">הגלום </w:t>
      </w:r>
      <w:r w:rsidRPr="002B5E33">
        <w:rPr>
          <w:rFonts w:ascii="David" w:hAnsi="David" w:hint="cs"/>
          <w:sz w:val="24"/>
          <w:rtl/>
        </w:rPr>
        <w:t>בביטוחם</w:t>
      </w:r>
      <w:r w:rsidRPr="002B5E33">
        <w:rPr>
          <w:rFonts w:ascii="David" w:hAnsi="David"/>
          <w:sz w:val="24"/>
          <w:rtl/>
        </w:rPr>
        <w:t xml:space="preserve">. </w:t>
      </w:r>
    </w:p>
    <w:p w:rsidR="00B132F4" w:rsidRPr="002B5E33" w:rsidP="00ED5C0D">
      <w:pPr>
        <w:pStyle w:val="a"/>
        <w:spacing w:line="269" w:lineRule="auto"/>
        <w:rPr>
          <w:rtl/>
        </w:rPr>
      </w:pPr>
    </w:p>
    <w:p w:rsidR="00B132F4" w:rsidRPr="002B5E33" w:rsidP="00ED5C0D">
      <w:pPr>
        <w:spacing w:line="269" w:lineRule="auto"/>
        <w:rPr>
          <w:rFonts w:ascii="David" w:hAnsi="David"/>
          <w:sz w:val="24"/>
          <w:rtl/>
        </w:rPr>
      </w:pPr>
      <w:r w:rsidRPr="002B5E33">
        <w:rPr>
          <w:rFonts w:ascii="David" w:hAnsi="David" w:hint="cs"/>
          <w:sz w:val="24"/>
          <w:rtl/>
        </w:rPr>
        <w:t>האסדרה</w:t>
      </w:r>
      <w:r w:rsidRPr="002B5E33">
        <w:rPr>
          <w:rFonts w:ascii="David" w:hAnsi="David"/>
          <w:sz w:val="24"/>
          <w:rtl/>
        </w:rPr>
        <w:t xml:space="preserve"> בשוק </w:t>
      </w:r>
      <w:r w:rsidRPr="002B5E33">
        <w:rPr>
          <w:rFonts w:ascii="David" w:hAnsi="David" w:hint="cs"/>
          <w:sz w:val="24"/>
          <w:rtl/>
        </w:rPr>
        <w:t>הביטוחים המסחריים</w:t>
      </w:r>
      <w:r w:rsidRPr="002B5E33">
        <w:rPr>
          <w:rFonts w:ascii="David" w:hAnsi="David"/>
          <w:sz w:val="24"/>
          <w:rtl/>
        </w:rPr>
        <w:t xml:space="preserve"> מבוצעת </w:t>
      </w:r>
      <w:r w:rsidRPr="002B5E33">
        <w:rPr>
          <w:rFonts w:ascii="David" w:hAnsi="David" w:hint="cs"/>
          <w:sz w:val="24"/>
          <w:rtl/>
        </w:rPr>
        <w:t xml:space="preserve">על </w:t>
      </w:r>
      <w:r w:rsidRPr="002B5E33">
        <w:rPr>
          <w:rFonts w:ascii="David" w:hAnsi="David"/>
          <w:sz w:val="24"/>
          <w:rtl/>
        </w:rPr>
        <w:t>ידי הממונה על רשות שוק ההון, ביטוח וחיסכון (להלן - הרשות</w:t>
      </w:r>
      <w:r w:rsidRPr="002B5E33">
        <w:rPr>
          <w:rFonts w:ascii="David" w:hAnsi="David" w:hint="cs"/>
          <w:sz w:val="24"/>
          <w:rtl/>
        </w:rPr>
        <w:t xml:space="preserve"> או רשות שוק ההון</w:t>
      </w:r>
      <w:r w:rsidRPr="002B5E33">
        <w:rPr>
          <w:rFonts w:ascii="David" w:hAnsi="David"/>
          <w:sz w:val="24"/>
          <w:rtl/>
        </w:rPr>
        <w:t>)</w:t>
      </w:r>
      <w:r>
        <w:rPr>
          <w:rStyle w:val="FootnoteReference"/>
          <w:rFonts w:ascii="David" w:hAnsi="David"/>
          <w:sz w:val="24"/>
          <w:rtl/>
        </w:rPr>
        <w:footnoteReference w:id="6"/>
      </w:r>
      <w:r w:rsidRPr="002B5E33">
        <w:rPr>
          <w:rFonts w:ascii="David" w:hAnsi="David"/>
          <w:sz w:val="24"/>
          <w:rtl/>
        </w:rPr>
        <w:t xml:space="preserve">. הרשות היא יחידה עצמאית </w:t>
      </w:r>
      <w:r w:rsidRPr="002B5E33">
        <w:rPr>
          <w:rFonts w:ascii="David" w:hAnsi="David" w:hint="cs"/>
          <w:sz w:val="24"/>
          <w:rtl/>
        </w:rPr>
        <w:t>ה</w:t>
      </w:r>
      <w:r w:rsidRPr="002B5E33">
        <w:rPr>
          <w:rFonts w:ascii="David" w:hAnsi="David"/>
          <w:sz w:val="24"/>
          <w:rtl/>
        </w:rPr>
        <w:t>אחראית להסדרה ולפיקוח בתחומי שירותים פיננסיים בישראל, בעיקר בשוק החיסכון הפנסיוני, הביטוח והשירותים הפיננסיים המוסדרים</w:t>
      </w:r>
      <w:r>
        <w:rPr>
          <w:rStyle w:val="FootnoteReference"/>
          <w:rFonts w:ascii="David" w:hAnsi="David"/>
          <w:sz w:val="24"/>
          <w:rtl/>
        </w:rPr>
        <w:footnoteReference w:id="7"/>
      </w:r>
      <w:r w:rsidRPr="002B5E33">
        <w:rPr>
          <w:rFonts w:ascii="David" w:hAnsi="David"/>
          <w:color w:val="464646"/>
          <w:sz w:val="21"/>
          <w:szCs w:val="21"/>
          <w:shd w:val="clear" w:color="auto" w:fill="FFFFFF"/>
        </w:rPr>
        <w:t>.</w:t>
      </w:r>
      <w:r w:rsidRPr="002B5E33">
        <w:rPr>
          <w:rFonts w:ascii="David" w:hAnsi="David"/>
          <w:sz w:val="24"/>
          <w:rtl/>
        </w:rPr>
        <w:t xml:space="preserve"> על פי חוק, תפקידי הרשות, הם להגן ולשמור על עניינם של המבוטחים והחוסכים, להבטיח את יציבותם של הגופים המוסדיים כדי שיוכלו לעמוד בהתחייבויותיהם כלפי ציבור לקוחותיהם, לקדם </w:t>
      </w:r>
      <w:hyperlink r:id="rId6" w:tooltip="תחרות" w:history="1">
        <w:r w:rsidRPr="002B5E33">
          <w:rPr>
            <w:rFonts w:ascii="David" w:hAnsi="David"/>
            <w:sz w:val="24"/>
            <w:rtl/>
          </w:rPr>
          <w:t>תחרות</w:t>
        </w:r>
      </w:hyperlink>
      <w:r w:rsidRPr="002B5E33">
        <w:rPr>
          <w:rFonts w:ascii="David" w:hAnsi="David"/>
          <w:sz w:val="24"/>
        </w:rPr>
        <w:t> </w:t>
      </w:r>
      <w:r w:rsidRPr="002B5E33">
        <w:rPr>
          <w:rFonts w:ascii="David" w:hAnsi="David"/>
          <w:sz w:val="24"/>
          <w:rtl/>
        </w:rPr>
        <w:t>ולעודד חדשנות טכנולוגית.</w:t>
      </w:r>
    </w:p>
    <w:p w:rsidR="00B132F4" w:rsidRPr="002B5E33" w:rsidP="00ED5C0D">
      <w:pPr>
        <w:pStyle w:val="a"/>
        <w:spacing w:line="269" w:lineRule="auto"/>
      </w:pPr>
    </w:p>
    <w:p w:rsidR="00B132F4" w:rsidRPr="002B5E33" w:rsidP="00ED5C0D">
      <w:pPr>
        <w:spacing w:line="269" w:lineRule="auto"/>
        <w:rPr>
          <w:rFonts w:ascii="David" w:hAnsi="David"/>
          <w:sz w:val="24"/>
          <w:rtl/>
        </w:rPr>
      </w:pPr>
      <w:r w:rsidRPr="002B5E33">
        <w:rPr>
          <w:rFonts w:ascii="David" w:hAnsi="David" w:hint="cs"/>
          <w:sz w:val="24"/>
          <w:rtl/>
        </w:rPr>
        <w:t xml:space="preserve">כפי שעולה מתרשים 1 </w:t>
      </w:r>
      <w:r w:rsidRPr="002B5E33" w:rsidR="005C0AD0">
        <w:rPr>
          <w:rFonts w:ascii="David" w:hAnsi="David" w:hint="cs"/>
          <w:sz w:val="24"/>
          <w:rtl/>
        </w:rPr>
        <w:t>ש</w:t>
      </w:r>
      <w:r w:rsidRPr="002B5E33">
        <w:rPr>
          <w:rFonts w:ascii="David" w:hAnsi="David" w:hint="cs"/>
          <w:sz w:val="24"/>
          <w:rtl/>
        </w:rPr>
        <w:t xml:space="preserve">להלן, </w:t>
      </w:r>
      <w:r w:rsidRPr="002B5E33">
        <w:rPr>
          <w:rFonts w:ascii="David" w:hAnsi="David"/>
          <w:sz w:val="24"/>
          <w:rtl/>
        </w:rPr>
        <w:t>מתחילת שנות ה</w:t>
      </w:r>
      <w:r w:rsidRPr="002B5E33" w:rsidR="005C0AD0">
        <w:rPr>
          <w:rFonts w:ascii="David" w:hAnsi="David" w:hint="cs"/>
          <w:sz w:val="24"/>
          <w:rtl/>
        </w:rPr>
        <w:t>אלפיים</w:t>
      </w:r>
      <w:r w:rsidR="007E06A8">
        <w:rPr>
          <w:rFonts w:ascii="David" w:hAnsi="David" w:hint="cs"/>
          <w:sz w:val="24"/>
          <w:rtl/>
        </w:rPr>
        <w:t>,</w:t>
      </w:r>
      <w:r w:rsidRPr="002B5E33">
        <w:rPr>
          <w:rFonts w:ascii="David" w:hAnsi="David"/>
          <w:sz w:val="24"/>
          <w:rtl/>
        </w:rPr>
        <w:t xml:space="preserve"> צמח</w:t>
      </w:r>
      <w:r w:rsidRPr="002B5E33">
        <w:rPr>
          <w:rFonts w:ascii="David" w:hAnsi="David" w:hint="cs"/>
          <w:sz w:val="24"/>
          <w:rtl/>
        </w:rPr>
        <w:t xml:space="preserve"> </w:t>
      </w:r>
      <w:r w:rsidRPr="002B5E33">
        <w:rPr>
          <w:rFonts w:ascii="David" w:hAnsi="David"/>
          <w:sz w:val="24"/>
          <w:rtl/>
        </w:rPr>
        <w:t>היקף הפרמיות המשולמות</w:t>
      </w:r>
      <w:r w:rsidRPr="002B5E33">
        <w:rPr>
          <w:rFonts w:ascii="David" w:hAnsi="David" w:hint="cs"/>
          <w:sz w:val="24"/>
          <w:rtl/>
        </w:rPr>
        <w:t xml:space="preserve"> לכיסויי בריאות פרטיים וולונטריים (ת</w:t>
      </w:r>
      <w:r w:rsidRPr="002B5E33" w:rsidR="005C0AD0">
        <w:rPr>
          <w:rFonts w:ascii="David" w:hAnsi="David" w:hint="cs"/>
          <w:sz w:val="24"/>
          <w:rtl/>
        </w:rPr>
        <w:t>ו</w:t>
      </w:r>
      <w:r w:rsidRPr="002B5E33">
        <w:rPr>
          <w:rFonts w:ascii="David" w:hAnsi="David" w:hint="cs"/>
          <w:sz w:val="24"/>
          <w:rtl/>
        </w:rPr>
        <w:t xml:space="preserve">כניות השב"ן והביטוחים המסחריים - להלן "כיסויי בריאות פרטיים") </w:t>
      </w:r>
      <w:r w:rsidRPr="002B5E33">
        <w:rPr>
          <w:rFonts w:ascii="David" w:hAnsi="David"/>
          <w:sz w:val="24"/>
          <w:rtl/>
        </w:rPr>
        <w:t>מכ-</w:t>
      </w:r>
      <w:r w:rsidRPr="002B5E33">
        <w:rPr>
          <w:rFonts w:ascii="David" w:hAnsi="David" w:hint="cs"/>
          <w:sz w:val="24"/>
          <w:rtl/>
        </w:rPr>
        <w:t xml:space="preserve">3.3 </w:t>
      </w:r>
      <w:r w:rsidRPr="002B5E33">
        <w:rPr>
          <w:rFonts w:ascii="David" w:hAnsi="David"/>
          <w:sz w:val="24"/>
          <w:rtl/>
        </w:rPr>
        <w:t>מיליארד ש"ח בשנת 200</w:t>
      </w:r>
      <w:r w:rsidRPr="002B5E33">
        <w:rPr>
          <w:rFonts w:ascii="David" w:hAnsi="David" w:hint="cs"/>
          <w:sz w:val="24"/>
          <w:rtl/>
        </w:rPr>
        <w:t>5</w:t>
      </w:r>
      <w:r w:rsidRPr="002B5E33">
        <w:rPr>
          <w:rFonts w:ascii="David" w:hAnsi="David"/>
          <w:sz w:val="24"/>
          <w:rtl/>
        </w:rPr>
        <w:t xml:space="preserve"> לכ-</w:t>
      </w:r>
      <w:r w:rsidRPr="002B5E33">
        <w:rPr>
          <w:rFonts w:ascii="David" w:hAnsi="David" w:hint="cs"/>
          <w:sz w:val="24"/>
          <w:rtl/>
        </w:rPr>
        <w:t xml:space="preserve">11 </w:t>
      </w:r>
      <w:r w:rsidRPr="002B5E33">
        <w:rPr>
          <w:rFonts w:ascii="David" w:hAnsi="David"/>
          <w:sz w:val="24"/>
          <w:rtl/>
        </w:rPr>
        <w:t>מיליארד ש"ח ב-201</w:t>
      </w:r>
      <w:r w:rsidRPr="002B5E33">
        <w:rPr>
          <w:rFonts w:ascii="David" w:hAnsi="David" w:hint="cs"/>
          <w:sz w:val="24"/>
          <w:rtl/>
        </w:rPr>
        <w:t>8. כמו כן</w:t>
      </w:r>
      <w:r w:rsidRPr="002B5E33">
        <w:rPr>
          <w:rFonts w:ascii="David" w:hAnsi="David"/>
          <w:sz w:val="24"/>
          <w:rtl/>
        </w:rPr>
        <w:t xml:space="preserve"> סקר הוצאות משקי הבית שמפרס</w:t>
      </w:r>
      <w:r w:rsidRPr="002B5E33">
        <w:rPr>
          <w:rFonts w:ascii="David" w:hAnsi="David" w:hint="cs"/>
          <w:sz w:val="24"/>
          <w:rtl/>
        </w:rPr>
        <w:t>מת הלשכה המרכזית לסטטיסטיק</w:t>
      </w:r>
      <w:r w:rsidRPr="002B5E33">
        <w:rPr>
          <w:rFonts w:ascii="David" w:hAnsi="David" w:hint="eastAsia"/>
          <w:sz w:val="24"/>
          <w:rtl/>
        </w:rPr>
        <w:t>ה</w:t>
      </w:r>
      <w:r w:rsidRPr="002B5E33">
        <w:rPr>
          <w:rFonts w:ascii="David" w:hAnsi="David" w:hint="cs"/>
          <w:sz w:val="24"/>
          <w:rtl/>
        </w:rPr>
        <w:t xml:space="preserve"> (להלן -</w:t>
      </w:r>
      <w:r w:rsidRPr="002B5E33" w:rsidR="005C0AD0">
        <w:rPr>
          <w:rFonts w:ascii="David" w:hAnsi="David" w:hint="cs"/>
          <w:sz w:val="24"/>
          <w:rtl/>
        </w:rPr>
        <w:t xml:space="preserve"> </w:t>
      </w:r>
      <w:r w:rsidRPr="002B5E33">
        <w:rPr>
          <w:rFonts w:ascii="David" w:hAnsi="David" w:hint="cs"/>
          <w:sz w:val="24"/>
          <w:rtl/>
        </w:rPr>
        <w:t xml:space="preserve">הלמ"ס) </w:t>
      </w:r>
      <w:r w:rsidRPr="002B5E33" w:rsidR="005C0AD0">
        <w:rPr>
          <w:rFonts w:ascii="David" w:hAnsi="David" w:hint="cs"/>
          <w:sz w:val="24"/>
          <w:rtl/>
        </w:rPr>
        <w:t>מלמד</w:t>
      </w:r>
      <w:r w:rsidRPr="002B5E33" w:rsidR="005C0AD0">
        <w:rPr>
          <w:rFonts w:ascii="David" w:hAnsi="David"/>
          <w:sz w:val="24"/>
          <w:rtl/>
        </w:rPr>
        <w:t xml:space="preserve"> </w:t>
      </w:r>
      <w:r w:rsidRPr="002B5E33">
        <w:rPr>
          <w:rFonts w:ascii="David" w:hAnsi="David"/>
          <w:sz w:val="24"/>
          <w:rtl/>
        </w:rPr>
        <w:t xml:space="preserve">כי החלק היחסי בהוצאת משקי הבית על </w:t>
      </w:r>
      <w:r w:rsidRPr="002B5E33">
        <w:rPr>
          <w:rFonts w:ascii="David" w:hAnsi="David" w:hint="cs"/>
          <w:sz w:val="24"/>
          <w:rtl/>
        </w:rPr>
        <w:t>כיסויי</w:t>
      </w:r>
      <w:r w:rsidRPr="002B5E33">
        <w:rPr>
          <w:rFonts w:ascii="David" w:hAnsi="David"/>
          <w:sz w:val="24"/>
          <w:rtl/>
        </w:rPr>
        <w:t xml:space="preserve"> בריאות</w:t>
      </w:r>
      <w:r w:rsidRPr="002B5E33">
        <w:rPr>
          <w:rFonts w:ascii="David" w:hAnsi="David" w:hint="cs"/>
          <w:sz w:val="24"/>
          <w:rtl/>
        </w:rPr>
        <w:t xml:space="preserve"> פרטיים (לרבות ביטוח סיעודי) עלה</w:t>
      </w:r>
      <w:r w:rsidRPr="002B5E33">
        <w:rPr>
          <w:rFonts w:ascii="David" w:hAnsi="David"/>
          <w:sz w:val="24"/>
          <w:rtl/>
        </w:rPr>
        <w:t xml:space="preserve"> מ</w:t>
      </w:r>
      <w:r w:rsidRPr="002B5E33">
        <w:rPr>
          <w:rFonts w:ascii="David" w:hAnsi="David" w:hint="cs"/>
          <w:sz w:val="24"/>
          <w:rtl/>
        </w:rPr>
        <w:t>-1.3%</w:t>
      </w:r>
      <w:r w:rsidRPr="002B5E33">
        <w:rPr>
          <w:rFonts w:ascii="David" w:hAnsi="David"/>
          <w:sz w:val="24"/>
          <w:rtl/>
        </w:rPr>
        <w:t xml:space="preserve"> בשנת </w:t>
      </w:r>
      <w:r w:rsidRPr="002B5E33">
        <w:rPr>
          <w:rFonts w:ascii="David" w:hAnsi="David" w:hint="cs"/>
          <w:sz w:val="24"/>
          <w:rtl/>
        </w:rPr>
        <w:t>2005</w:t>
      </w:r>
      <w:r w:rsidRPr="002B5E33">
        <w:rPr>
          <w:rFonts w:ascii="David" w:hAnsi="David"/>
          <w:sz w:val="24"/>
          <w:rtl/>
        </w:rPr>
        <w:t xml:space="preserve"> </w:t>
      </w:r>
      <w:r w:rsidRPr="002B5E33">
        <w:rPr>
          <w:rFonts w:ascii="David" w:hAnsi="David" w:hint="cs"/>
          <w:sz w:val="24"/>
          <w:rtl/>
        </w:rPr>
        <w:t>ל-2.1%</w:t>
      </w:r>
      <w:r w:rsidRPr="002B5E33">
        <w:rPr>
          <w:rFonts w:ascii="David" w:hAnsi="David"/>
          <w:sz w:val="24"/>
          <w:rtl/>
        </w:rPr>
        <w:t xml:space="preserve"> בשנת </w:t>
      </w:r>
      <w:r w:rsidRPr="002B5E33">
        <w:rPr>
          <w:rFonts w:ascii="David" w:hAnsi="David" w:hint="cs"/>
          <w:sz w:val="24"/>
          <w:rtl/>
        </w:rPr>
        <w:t>2017</w:t>
      </w:r>
      <w:r>
        <w:rPr>
          <w:rStyle w:val="FootnoteReference"/>
          <w:rFonts w:ascii="David" w:hAnsi="David"/>
          <w:sz w:val="24"/>
          <w:rtl/>
        </w:rPr>
        <w:footnoteReference w:id="8"/>
      </w:r>
      <w:r w:rsidRPr="002B5E33">
        <w:rPr>
          <w:rFonts w:ascii="David" w:hAnsi="David"/>
          <w:sz w:val="24"/>
          <w:rtl/>
        </w:rPr>
        <w:t xml:space="preserve">. יש לציין כי מדובר בשיעור הגידול </w:t>
      </w:r>
      <w:r w:rsidRPr="002B5E33">
        <w:rPr>
          <w:rFonts w:ascii="David" w:hAnsi="David" w:hint="cs"/>
          <w:sz w:val="24"/>
          <w:rtl/>
        </w:rPr>
        <w:t xml:space="preserve">הגבוה </w:t>
      </w:r>
      <w:r w:rsidRPr="002B5E33">
        <w:rPr>
          <w:rFonts w:ascii="David" w:hAnsi="David"/>
          <w:sz w:val="24"/>
          <w:rtl/>
        </w:rPr>
        <w:t>ביותר שהתרחש בסל ההוצאה של משקי הבית בתקופה זו</w:t>
      </w:r>
      <w:r w:rsidRPr="002B5E33">
        <w:rPr>
          <w:rFonts w:ascii="David" w:hAnsi="David" w:hint="cs"/>
          <w:sz w:val="24"/>
          <w:rtl/>
        </w:rPr>
        <w:t>.</w:t>
      </w:r>
    </w:p>
    <w:p w:rsidR="00B132F4" w:rsidRPr="002B5E33" w:rsidP="00ED5C0D">
      <w:pPr>
        <w:pStyle w:val="a"/>
        <w:spacing w:line="269" w:lineRule="auto"/>
        <w:rPr>
          <w:rtl/>
        </w:rPr>
      </w:pPr>
    </w:p>
    <w:p w:rsidR="00B132F4" w:rsidRPr="002B5E33" w:rsidP="00FF3629">
      <w:pPr>
        <w:spacing w:line="269" w:lineRule="auto"/>
        <w:jc w:val="center"/>
        <w:rPr>
          <w:b/>
          <w:bCs/>
          <w:rtl/>
        </w:rPr>
      </w:pPr>
      <w:r w:rsidRPr="002B5E33">
        <w:rPr>
          <w:b/>
          <w:bCs/>
          <w:rtl/>
        </w:rPr>
        <w:t>תרשים 1</w:t>
      </w:r>
      <w:r w:rsidR="00FF3629">
        <w:rPr>
          <w:rFonts w:hint="cs"/>
          <w:b/>
          <w:bCs/>
          <w:rtl/>
        </w:rPr>
        <w:t xml:space="preserve">: </w:t>
      </w:r>
      <w:r w:rsidRPr="002B5E33">
        <w:rPr>
          <w:b/>
          <w:bCs/>
          <w:rtl/>
        </w:rPr>
        <w:t>הגידול ב</w:t>
      </w:r>
      <w:r w:rsidRPr="002B5E33">
        <w:rPr>
          <w:rFonts w:hint="cs"/>
          <w:b/>
          <w:bCs/>
          <w:rtl/>
        </w:rPr>
        <w:t>כיסויי הבריאות הפרטיים (</w:t>
      </w:r>
      <w:r w:rsidRPr="002B5E33">
        <w:rPr>
          <w:b/>
          <w:bCs/>
          <w:rtl/>
        </w:rPr>
        <w:t>ביטוחי</w:t>
      </w:r>
      <w:r w:rsidRPr="002B5E33">
        <w:rPr>
          <w:rFonts w:hint="cs"/>
          <w:b/>
          <w:bCs/>
          <w:rtl/>
        </w:rPr>
        <w:t>ם</w:t>
      </w:r>
      <w:r w:rsidRPr="002B5E33">
        <w:rPr>
          <w:b/>
          <w:bCs/>
          <w:rtl/>
        </w:rPr>
        <w:t xml:space="preserve"> </w:t>
      </w:r>
      <w:r w:rsidRPr="002B5E33">
        <w:rPr>
          <w:rFonts w:hint="cs"/>
          <w:b/>
          <w:bCs/>
          <w:rtl/>
        </w:rPr>
        <w:t>מסחריים ותוכניות השב"ן)</w:t>
      </w:r>
      <w:r w:rsidRPr="002B5E33">
        <w:rPr>
          <w:b/>
          <w:bCs/>
          <w:rtl/>
        </w:rPr>
        <w:t xml:space="preserve"> בישראל ושיעורם מסך ההוצאה של משקי הבית בישרא</w:t>
      </w:r>
      <w:r w:rsidRPr="002B5E33">
        <w:rPr>
          <w:rFonts w:hint="eastAsia"/>
          <w:b/>
          <w:bCs/>
          <w:rtl/>
        </w:rPr>
        <w:t>ל</w:t>
      </w:r>
      <w:r w:rsidRPr="002B5E33">
        <w:rPr>
          <w:b/>
          <w:bCs/>
          <w:rtl/>
        </w:rPr>
        <w:t xml:space="preserve"> (</w:t>
      </w:r>
      <w:r w:rsidRPr="002B5E33">
        <w:rPr>
          <w:rFonts w:hint="cs"/>
          <w:b/>
          <w:bCs/>
          <w:rtl/>
        </w:rPr>
        <w:t>ב</w:t>
      </w:r>
      <w:r w:rsidRPr="002B5E33">
        <w:rPr>
          <w:b/>
          <w:bCs/>
          <w:rtl/>
        </w:rPr>
        <w:t>מיליארדי ש"ח)</w:t>
      </w:r>
      <w:r w:rsidRPr="002B5E33">
        <w:rPr>
          <w:rFonts w:hint="cs"/>
          <w:b/>
          <w:bCs/>
          <w:rtl/>
        </w:rPr>
        <w:t>.</w:t>
      </w:r>
    </w:p>
    <w:p w:rsidR="00B132F4" w:rsidRPr="002B5E33" w:rsidP="004B7C2E">
      <w:pPr>
        <w:spacing w:before="120" w:after="120" w:line="269" w:lineRule="auto"/>
        <w:jc w:val="center"/>
        <w:rPr>
          <w:szCs w:val="20"/>
          <w:rtl/>
        </w:rPr>
      </w:pPr>
      <w:r>
        <w:rPr>
          <w:noProof/>
          <w:szCs w:val="20"/>
          <w:rtl/>
        </w:rPr>
        <w:drawing>
          <wp:inline distT="0" distB="0" distL="0" distR="0">
            <wp:extent cx="4322073" cy="2200660"/>
            <wp:effectExtent l="0" t="0" r="2540" b="952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28150" name="commercial-health-insurance-g-1.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200660"/>
                    </a:xfrm>
                    <a:prstGeom prst="rect">
                      <a:avLst/>
                    </a:prstGeom>
                  </pic:spPr>
                </pic:pic>
              </a:graphicData>
            </a:graphic>
          </wp:inline>
        </w:drawing>
      </w:r>
    </w:p>
    <w:p w:rsidR="008C6824" w:rsidRPr="009C255D" w:rsidP="008B4D75">
      <w:pPr>
        <w:spacing w:before="120" w:line="269" w:lineRule="auto"/>
        <w:jc w:val="left"/>
        <w:rPr>
          <w:rFonts w:ascii="David" w:hAnsi="David"/>
          <w:sz w:val="14"/>
          <w:szCs w:val="14"/>
          <w:rtl/>
        </w:rPr>
      </w:pPr>
      <w:r w:rsidRPr="009C255D">
        <w:rPr>
          <w:rFonts w:ascii="David" w:hAnsi="David"/>
          <w:sz w:val="22"/>
          <w:szCs w:val="22"/>
          <w:rtl/>
        </w:rPr>
        <w:t xml:space="preserve">מקור: הלמ"ס, </w:t>
      </w:r>
      <w:r w:rsidRPr="009C255D">
        <w:rPr>
          <w:rFonts w:ascii="David" w:hAnsi="David"/>
          <w:b/>
          <w:bCs/>
          <w:sz w:val="22"/>
          <w:szCs w:val="22"/>
          <w:rtl/>
        </w:rPr>
        <w:t xml:space="preserve">ההוצאה הלאומית לבריאות 2018 וסקר הוצאות משק הבית, </w:t>
      </w:r>
      <w:r w:rsidRPr="009C255D">
        <w:rPr>
          <w:rFonts w:ascii="David" w:hAnsi="David"/>
          <w:sz w:val="22"/>
          <w:szCs w:val="22"/>
          <w:rtl/>
        </w:rPr>
        <w:t>בעיבוד משרד מבקר המדינה</w:t>
      </w:r>
      <w:r>
        <w:rPr>
          <w:rStyle w:val="FootnoteReference"/>
          <w:rFonts w:ascii="David" w:hAnsi="David"/>
          <w:szCs w:val="20"/>
          <w:rtl/>
        </w:rPr>
        <w:footnoteReference w:id="9"/>
      </w:r>
      <w:r w:rsidRPr="009C255D">
        <w:rPr>
          <w:rFonts w:ascii="David" w:hAnsi="David"/>
          <w:sz w:val="14"/>
          <w:szCs w:val="14"/>
          <w:rtl/>
        </w:rPr>
        <w:t>.</w:t>
      </w:r>
    </w:p>
    <w:p w:rsidR="00B132F4" w:rsidRPr="002B5E33" w:rsidP="00ED5C0D">
      <w:pPr>
        <w:pStyle w:val="a"/>
        <w:spacing w:line="269" w:lineRule="auto"/>
        <w:rPr>
          <w:rtl/>
        </w:rPr>
      </w:pPr>
    </w:p>
    <w:p w:rsidR="00B132F4" w:rsidP="00FF3629">
      <w:pPr>
        <w:spacing w:line="269" w:lineRule="auto"/>
        <w:jc w:val="center"/>
        <w:rPr>
          <w:b/>
          <w:bCs/>
          <w:rtl/>
        </w:rPr>
      </w:pPr>
      <w:r w:rsidRPr="002B5E33">
        <w:rPr>
          <w:b/>
          <w:bCs/>
          <w:rtl/>
        </w:rPr>
        <w:t xml:space="preserve">תרשים </w:t>
      </w:r>
      <w:r w:rsidRPr="002B5E33">
        <w:rPr>
          <w:rFonts w:hint="cs"/>
          <w:b/>
          <w:bCs/>
          <w:rtl/>
        </w:rPr>
        <w:t>2</w:t>
      </w:r>
      <w:r w:rsidR="00FF3629">
        <w:rPr>
          <w:rFonts w:hint="cs"/>
          <w:b/>
          <w:bCs/>
          <w:rtl/>
        </w:rPr>
        <w:t xml:space="preserve">: </w:t>
      </w:r>
      <w:r w:rsidRPr="002B5E33">
        <w:rPr>
          <w:rFonts w:hint="cs"/>
          <w:b/>
          <w:bCs/>
          <w:rtl/>
        </w:rPr>
        <w:t xml:space="preserve">שיעור ההוצאה הלאומית לבריאות כחלק מהתמ"ג במדינות </w:t>
      </w:r>
      <w:r w:rsidRPr="002B5E33">
        <w:rPr>
          <w:rFonts w:hint="cs"/>
          <w:b/>
          <w:bCs/>
        </w:rPr>
        <w:t>OECD</w:t>
      </w:r>
      <w:r w:rsidRPr="002B5E33">
        <w:rPr>
          <w:rFonts w:hint="cs"/>
          <w:b/>
          <w:bCs/>
          <w:rtl/>
        </w:rPr>
        <w:t xml:space="preserve"> לפי סוג מימון, 2018 (באחוזי</w:t>
      </w:r>
      <w:r w:rsidRPr="002B5E33" w:rsidR="0068224C">
        <w:rPr>
          <w:rFonts w:hint="cs"/>
          <w:b/>
          <w:bCs/>
          <w:rtl/>
        </w:rPr>
        <w:t>ם)</w:t>
      </w:r>
    </w:p>
    <w:p w:rsidR="004B7C2E" w:rsidRPr="002B5E33" w:rsidP="004B7C2E">
      <w:pPr>
        <w:spacing w:before="120" w:after="120" w:line="269" w:lineRule="auto"/>
        <w:jc w:val="center"/>
      </w:pPr>
      <w:r>
        <w:rPr>
          <w:noProof/>
        </w:rPr>
        <w:drawing>
          <wp:inline distT="0" distB="0" distL="0" distR="0">
            <wp:extent cx="4325121" cy="2414021"/>
            <wp:effectExtent l="0" t="0" r="0" b="5715"/>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97708" name="commercial-health-insurance-g-2.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14021"/>
                    </a:xfrm>
                    <a:prstGeom prst="rect">
                      <a:avLst/>
                    </a:prstGeom>
                  </pic:spPr>
                </pic:pic>
              </a:graphicData>
            </a:graphic>
          </wp:inline>
        </w:drawing>
      </w:r>
    </w:p>
    <w:p w:rsidR="00494B2B" w:rsidRPr="00494B2B" w:rsidP="00494B2B">
      <w:pPr>
        <w:spacing w:line="269" w:lineRule="auto"/>
        <w:jc w:val="left"/>
        <w:rPr>
          <w:rtl/>
        </w:rPr>
      </w:pPr>
      <w:r>
        <w:rPr>
          <w:rFonts w:hint="cs"/>
          <w:sz w:val="22"/>
          <w:szCs w:val="22"/>
          <w:rtl/>
        </w:rPr>
        <w:t xml:space="preserve">מקור: </w:t>
      </w:r>
      <w:r w:rsidRPr="008A65D5">
        <w:rPr>
          <w:rFonts w:hint="cs"/>
          <w:sz w:val="22"/>
          <w:szCs w:val="22"/>
          <w:rtl/>
        </w:rPr>
        <w:t xml:space="preserve">הלמ"ס, </w:t>
      </w:r>
      <w:r>
        <w:rPr>
          <w:rFonts w:hint="cs"/>
          <w:b/>
          <w:bCs/>
          <w:sz w:val="22"/>
          <w:szCs w:val="22"/>
          <w:rtl/>
        </w:rPr>
        <w:t>מבט על הבריאות 2019.</w:t>
      </w:r>
    </w:p>
    <w:p w:rsidR="00494B2B">
      <w:pPr>
        <w:bidi w:val="0"/>
        <w:spacing w:after="200" w:line="276" w:lineRule="auto"/>
        <w:rPr>
          <w:b/>
          <w:bCs/>
          <w:rtl/>
        </w:rPr>
      </w:pPr>
      <w:r>
        <w:rPr>
          <w:b/>
          <w:bCs/>
          <w:rtl/>
        </w:rPr>
        <w:br w:type="page"/>
      </w:r>
    </w:p>
    <w:p w:rsidR="00B132F4" w:rsidRPr="002B5E33" w:rsidP="00FF3629">
      <w:pPr>
        <w:spacing w:line="269" w:lineRule="auto"/>
        <w:jc w:val="center"/>
        <w:rPr>
          <w:b/>
          <w:bCs/>
          <w:rtl/>
        </w:rPr>
      </w:pPr>
      <w:r w:rsidRPr="002B5E33">
        <w:rPr>
          <w:b/>
          <w:bCs/>
          <w:rtl/>
        </w:rPr>
        <w:t xml:space="preserve">תרשים </w:t>
      </w:r>
      <w:r w:rsidRPr="002B5E33">
        <w:rPr>
          <w:rFonts w:hint="cs"/>
          <w:b/>
          <w:bCs/>
          <w:rtl/>
        </w:rPr>
        <w:t>3</w:t>
      </w:r>
      <w:r w:rsidR="00FF3629">
        <w:rPr>
          <w:rFonts w:hint="cs"/>
          <w:b/>
          <w:bCs/>
          <w:rtl/>
        </w:rPr>
        <w:t xml:space="preserve">: </w:t>
      </w:r>
      <w:r w:rsidRPr="002B5E33">
        <w:rPr>
          <w:rFonts w:hint="cs"/>
          <w:b/>
          <w:bCs/>
          <w:rtl/>
        </w:rPr>
        <w:t>שיעור ההוצאה הפרטית מסך ההוצאה הלאומית על בריאות, 1995 - 2018</w:t>
      </w:r>
    </w:p>
    <w:p w:rsidR="00B132F4" w:rsidRPr="002B5E33" w:rsidP="004B7C2E">
      <w:pPr>
        <w:spacing w:before="120" w:after="120" w:line="269" w:lineRule="auto"/>
        <w:jc w:val="center"/>
        <w:rPr>
          <w:rtl/>
        </w:rPr>
      </w:pPr>
      <w:r>
        <w:rPr>
          <w:noProof/>
          <w:rtl/>
        </w:rPr>
        <w:drawing>
          <wp:inline distT="0" distB="0" distL="0" distR="0">
            <wp:extent cx="4219575" cy="2255598"/>
            <wp:effectExtent l="0" t="0" r="0" b="0"/>
            <wp:docPr id="1493377088" name="תמונה 149337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05945" name="commercial-health-insurance-g-3.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17353" cy="2254410"/>
                    </a:xfrm>
                    <a:prstGeom prst="rect">
                      <a:avLst/>
                    </a:prstGeom>
                  </pic:spPr>
                </pic:pic>
              </a:graphicData>
            </a:graphic>
          </wp:inline>
        </w:drawing>
      </w:r>
    </w:p>
    <w:p w:rsidR="00B132F4" w:rsidRPr="002B5E33" w:rsidP="004B7C2E">
      <w:pPr>
        <w:spacing w:line="269" w:lineRule="auto"/>
        <w:rPr>
          <w:rtl/>
        </w:rPr>
      </w:pPr>
      <w:r w:rsidRPr="002B5E33">
        <w:rPr>
          <w:rFonts w:hint="eastAsia"/>
          <w:sz w:val="22"/>
          <w:szCs w:val="22"/>
          <w:rtl/>
        </w:rPr>
        <w:t>מקור</w:t>
      </w:r>
      <w:r w:rsidRPr="002B5E33">
        <w:rPr>
          <w:sz w:val="22"/>
          <w:szCs w:val="22"/>
          <w:rtl/>
        </w:rPr>
        <w:t xml:space="preserve">: </w:t>
      </w:r>
      <w:r w:rsidR="007E06A8">
        <w:rPr>
          <w:rFonts w:hint="cs"/>
          <w:sz w:val="22"/>
          <w:szCs w:val="22"/>
          <w:rtl/>
        </w:rPr>
        <w:t>ה-</w:t>
      </w:r>
      <w:r w:rsidR="008C6824">
        <w:rPr>
          <w:rFonts w:hint="cs"/>
          <w:sz w:val="22"/>
          <w:szCs w:val="22"/>
        </w:rPr>
        <w:t>OECD</w:t>
      </w:r>
      <w:r>
        <w:rPr>
          <w:rFonts w:hint="cs"/>
          <w:sz w:val="22"/>
          <w:szCs w:val="22"/>
          <w:rtl/>
        </w:rPr>
        <w:t xml:space="preserve"> </w:t>
      </w:r>
    </w:p>
    <w:p w:rsidR="004B7C2E" w:rsidP="004B7C2E">
      <w:pPr>
        <w:spacing w:before="180" w:line="269" w:lineRule="auto"/>
        <w:rPr>
          <w:sz w:val="24"/>
          <w:rtl/>
        </w:rPr>
      </w:pPr>
      <w:r w:rsidRPr="002B5E33">
        <w:rPr>
          <w:rFonts w:hint="cs"/>
          <w:sz w:val="24"/>
          <w:rtl/>
        </w:rPr>
        <w:t xml:space="preserve">מתרשים 2 עולה כי </w:t>
      </w:r>
      <w:r w:rsidRPr="002B5E33">
        <w:rPr>
          <w:rFonts w:ascii="David" w:hAnsi="David" w:hint="eastAsia"/>
          <w:rtl/>
        </w:rPr>
        <w:t>סך</w:t>
      </w:r>
      <w:r w:rsidRPr="002B5E33">
        <w:rPr>
          <w:rFonts w:ascii="David" w:hAnsi="David"/>
          <w:rtl/>
        </w:rPr>
        <w:t xml:space="preserve"> </w:t>
      </w:r>
      <w:r w:rsidRPr="002B5E33">
        <w:rPr>
          <w:rFonts w:ascii="David" w:hAnsi="David" w:hint="eastAsia"/>
          <w:rtl/>
        </w:rPr>
        <w:t>ההוצאה</w:t>
      </w:r>
      <w:r w:rsidRPr="002B5E33">
        <w:rPr>
          <w:rFonts w:ascii="David" w:hAnsi="David"/>
          <w:rtl/>
        </w:rPr>
        <w:t xml:space="preserve"> על בריאות בשנת 2018 בישראל הייתה 7.5% </w:t>
      </w:r>
      <w:r w:rsidRPr="002B5E33">
        <w:rPr>
          <w:rFonts w:ascii="David" w:hAnsi="David" w:hint="eastAsia"/>
          <w:rtl/>
        </w:rPr>
        <w:t>מהתמ</w:t>
      </w:r>
      <w:r w:rsidRPr="002B5E33">
        <w:rPr>
          <w:rFonts w:ascii="David" w:hAnsi="David"/>
          <w:rtl/>
        </w:rPr>
        <w:t xml:space="preserve">"ג, </w:t>
      </w:r>
      <w:r w:rsidRPr="002B5E33">
        <w:rPr>
          <w:rFonts w:ascii="David" w:hAnsi="David" w:hint="eastAsia"/>
          <w:rtl/>
        </w:rPr>
        <w:t>לעומת</w:t>
      </w:r>
      <w:r w:rsidRPr="002B5E33">
        <w:rPr>
          <w:rFonts w:ascii="David" w:hAnsi="David"/>
          <w:rtl/>
        </w:rPr>
        <w:t xml:space="preserve"> -8.8% </w:t>
      </w:r>
      <w:r w:rsidRPr="002B5E33">
        <w:rPr>
          <w:rFonts w:ascii="David" w:hAnsi="David" w:hint="cs"/>
          <w:rtl/>
        </w:rPr>
        <w:t>ב</w:t>
      </w:r>
      <w:r w:rsidRPr="002B5E33">
        <w:rPr>
          <w:rFonts w:ascii="David" w:hAnsi="David"/>
          <w:rtl/>
        </w:rPr>
        <w:t xml:space="preserve">ממוצע </w:t>
      </w:r>
      <w:r w:rsidRPr="002B5E33">
        <w:rPr>
          <w:rFonts w:ascii="David" w:hAnsi="David" w:hint="eastAsia"/>
          <w:rtl/>
        </w:rPr>
        <w:t>מדינות</w:t>
      </w:r>
      <w:r w:rsidRPr="002B5E33">
        <w:rPr>
          <w:rFonts w:ascii="David" w:hAnsi="David"/>
          <w:rtl/>
        </w:rPr>
        <w:t xml:space="preserve"> </w:t>
      </w:r>
      <w:r w:rsidRPr="002B5E33">
        <w:rPr>
          <w:rFonts w:ascii="David" w:hAnsi="David" w:hint="eastAsia"/>
          <w:rtl/>
        </w:rPr>
        <w:t>ה</w:t>
      </w:r>
      <w:r w:rsidRPr="002B5E33">
        <w:rPr>
          <w:rFonts w:ascii="David" w:hAnsi="David"/>
          <w:rtl/>
        </w:rPr>
        <w:t>-</w:t>
      </w:r>
      <w:r w:rsidRPr="002B5E33">
        <w:rPr>
          <w:rFonts w:ascii="David" w:hAnsi="David"/>
        </w:rPr>
        <w:t>OECD</w:t>
      </w:r>
      <w:r>
        <w:rPr>
          <w:rStyle w:val="FootnoteReference"/>
          <w:sz w:val="24"/>
          <w:rtl/>
        </w:rPr>
        <w:footnoteReference w:id="10"/>
      </w:r>
      <w:r w:rsidRPr="002B5E33">
        <w:rPr>
          <w:rFonts w:ascii="David" w:hAnsi="David" w:hint="cs"/>
          <w:rtl/>
        </w:rPr>
        <w:t xml:space="preserve">. כמו כן, מתרשים 3 עולה כי משנת 1995, </w:t>
      </w:r>
      <w:r w:rsidRPr="002B5E33">
        <w:rPr>
          <w:rFonts w:hint="cs"/>
          <w:sz w:val="24"/>
          <w:rtl/>
        </w:rPr>
        <w:t>חל שינוי בחלקה של ההוצאה הפרטית על בריאות מכלל ההוצאה הלאומית בישראל, והוא עלה משיעור של 32% בשנים 1995 - 1997 ל</w:t>
      </w:r>
      <w:r w:rsidR="007E06A8">
        <w:rPr>
          <w:rFonts w:hint="cs"/>
          <w:sz w:val="24"/>
          <w:rtl/>
        </w:rPr>
        <w:t>כ-</w:t>
      </w:r>
      <w:r w:rsidRPr="002B5E33">
        <w:rPr>
          <w:rFonts w:hint="cs"/>
          <w:sz w:val="24"/>
          <w:rtl/>
        </w:rPr>
        <w:t xml:space="preserve">40% בשנים 2009-2005, וכי משנת 2011 ואילך קיימת מגמת התייצבות על </w:t>
      </w:r>
      <w:r w:rsidR="007E06A8">
        <w:rPr>
          <w:rFonts w:hint="cs"/>
          <w:sz w:val="24"/>
          <w:rtl/>
        </w:rPr>
        <w:t>כ-</w:t>
      </w:r>
      <w:r w:rsidRPr="002B5E33">
        <w:rPr>
          <w:rFonts w:hint="cs"/>
          <w:sz w:val="24"/>
          <w:rtl/>
        </w:rPr>
        <w:t>36%. בהשוואה בין-לאומית, ניתן לראות כי ההוצאה</w:t>
      </w:r>
      <w:r>
        <w:rPr>
          <w:rFonts w:hint="cs"/>
          <w:sz w:val="24"/>
          <w:rtl/>
        </w:rPr>
        <w:t xml:space="preserve"> הפרטית בישראל גבוהה באופן עקבי </w:t>
      </w:r>
      <w:r w:rsidRPr="002B5E33">
        <w:rPr>
          <w:rFonts w:hint="cs"/>
          <w:sz w:val="24"/>
          <w:rtl/>
        </w:rPr>
        <w:t xml:space="preserve">ביחס לממוצע </w:t>
      </w:r>
      <w:r w:rsidR="007E06A8">
        <w:rPr>
          <w:rFonts w:hint="cs"/>
          <w:sz w:val="24"/>
          <w:rtl/>
        </w:rPr>
        <w:t>ה-</w:t>
      </w:r>
      <w:r w:rsidRPr="002B5E33">
        <w:rPr>
          <w:rFonts w:hint="cs"/>
          <w:sz w:val="24"/>
        </w:rPr>
        <w:t>OECD</w:t>
      </w:r>
      <w:r w:rsidRPr="002B5E33">
        <w:rPr>
          <w:rFonts w:hint="cs"/>
          <w:sz w:val="24"/>
          <w:rtl/>
        </w:rPr>
        <w:t>, וכי משנת 2000 הפער הולך וגדל.</w:t>
      </w:r>
    </w:p>
    <w:p w:rsidR="00B132F4" w:rsidRPr="002B5E33" w:rsidP="004B7C2E">
      <w:pPr>
        <w:spacing w:before="180" w:line="269" w:lineRule="auto"/>
        <w:rPr>
          <w:sz w:val="24"/>
          <w:rtl/>
        </w:rPr>
      </w:pPr>
      <w:r w:rsidRPr="002B5E33">
        <w:rPr>
          <w:rFonts w:hint="eastAsia"/>
          <w:sz w:val="24"/>
          <w:rtl/>
        </w:rPr>
        <w:t>ההוצאה</w:t>
      </w:r>
      <w:r w:rsidRPr="002B5E33">
        <w:rPr>
          <w:sz w:val="24"/>
          <w:rtl/>
        </w:rPr>
        <w:t xml:space="preserve"> הפרטית הגבוהה </w:t>
      </w:r>
      <w:r w:rsidRPr="002B5E33">
        <w:rPr>
          <w:rFonts w:hint="eastAsia"/>
          <w:sz w:val="24"/>
          <w:rtl/>
        </w:rPr>
        <w:t>בישראל</w:t>
      </w:r>
      <w:r w:rsidRPr="002B5E33">
        <w:rPr>
          <w:sz w:val="24"/>
          <w:rtl/>
        </w:rPr>
        <w:t xml:space="preserve"> </w:t>
      </w:r>
      <w:r w:rsidRPr="002B5E33">
        <w:rPr>
          <w:rFonts w:hint="eastAsia"/>
          <w:sz w:val="24"/>
          <w:rtl/>
        </w:rPr>
        <w:t>בתחום</w:t>
      </w:r>
      <w:r w:rsidRPr="002B5E33">
        <w:rPr>
          <w:sz w:val="24"/>
          <w:rtl/>
        </w:rPr>
        <w:t xml:space="preserve"> </w:t>
      </w:r>
      <w:r w:rsidRPr="002B5E33">
        <w:rPr>
          <w:rFonts w:hint="cs"/>
          <w:sz w:val="24"/>
          <w:rtl/>
        </w:rPr>
        <w:t>כיסויי</w:t>
      </w:r>
      <w:r w:rsidRPr="002B5E33">
        <w:rPr>
          <w:sz w:val="24"/>
          <w:rtl/>
        </w:rPr>
        <w:t xml:space="preserve"> הבריאות באה לידי ביטוי גם </w:t>
      </w:r>
      <w:r w:rsidRPr="002B5E33">
        <w:rPr>
          <w:rFonts w:hint="eastAsia"/>
          <w:sz w:val="24"/>
          <w:rtl/>
        </w:rPr>
        <w:t>בהשוואה</w:t>
      </w:r>
      <w:r w:rsidRPr="002B5E33">
        <w:rPr>
          <w:sz w:val="24"/>
          <w:rtl/>
        </w:rPr>
        <w:t xml:space="preserve"> </w:t>
      </w:r>
      <w:r w:rsidRPr="002B5E33">
        <w:rPr>
          <w:rFonts w:hint="eastAsia"/>
          <w:sz w:val="24"/>
          <w:rtl/>
        </w:rPr>
        <w:t>ליתר</w:t>
      </w:r>
      <w:r w:rsidRPr="002B5E33">
        <w:rPr>
          <w:sz w:val="24"/>
          <w:rtl/>
        </w:rPr>
        <w:t xml:space="preserve"> </w:t>
      </w:r>
      <w:r w:rsidRPr="002B5E33">
        <w:rPr>
          <w:rFonts w:hint="eastAsia"/>
          <w:sz w:val="24"/>
          <w:rtl/>
        </w:rPr>
        <w:t>מדינות</w:t>
      </w:r>
      <w:r w:rsidRPr="002B5E33">
        <w:rPr>
          <w:sz w:val="24"/>
          <w:rtl/>
        </w:rPr>
        <w:t xml:space="preserve"> </w:t>
      </w:r>
      <w:r w:rsidR="007E06A8">
        <w:rPr>
          <w:rFonts w:hint="eastAsia"/>
          <w:sz w:val="24"/>
          <w:rtl/>
        </w:rPr>
        <w:t>ה-</w:t>
      </w:r>
      <w:r w:rsidRPr="002B5E33">
        <w:rPr>
          <w:sz w:val="24"/>
        </w:rPr>
        <w:t>OECD</w:t>
      </w:r>
      <w:r w:rsidRPr="002B5E33">
        <w:rPr>
          <w:rFonts w:hint="cs"/>
          <w:sz w:val="24"/>
          <w:rtl/>
        </w:rPr>
        <w:t>, כמוצג בתרשים להלן</w:t>
      </w:r>
      <w:r w:rsidRPr="002B5E33">
        <w:rPr>
          <w:sz w:val="24"/>
          <w:rtl/>
        </w:rPr>
        <w:t>.</w:t>
      </w:r>
      <w:r w:rsidRPr="002B5E33">
        <w:rPr>
          <w:rFonts w:hint="cs"/>
          <w:sz w:val="24"/>
          <w:rtl/>
        </w:rPr>
        <w:t xml:space="preserve"> </w:t>
      </w:r>
    </w:p>
    <w:p w:rsidR="00B132F4" w:rsidRPr="002B5E33" w:rsidP="00ED5C0D">
      <w:pPr>
        <w:pStyle w:val="a"/>
        <w:spacing w:line="269" w:lineRule="auto"/>
        <w:rPr>
          <w:rtl/>
        </w:rPr>
      </w:pPr>
    </w:p>
    <w:p w:rsidR="00B132F4" w:rsidRPr="002B5E33" w:rsidP="00FF3629">
      <w:pPr>
        <w:spacing w:line="269" w:lineRule="auto"/>
        <w:jc w:val="center"/>
        <w:rPr>
          <w:b/>
          <w:bCs/>
          <w:rtl/>
        </w:rPr>
      </w:pPr>
      <w:r w:rsidRPr="002B5E33">
        <w:rPr>
          <w:b/>
          <w:bCs/>
          <w:rtl/>
        </w:rPr>
        <w:t xml:space="preserve">תרשים </w:t>
      </w:r>
      <w:r w:rsidRPr="002B5E33">
        <w:rPr>
          <w:rFonts w:hint="cs"/>
          <w:b/>
          <w:bCs/>
          <w:rtl/>
        </w:rPr>
        <w:t>4</w:t>
      </w:r>
      <w:r w:rsidR="00FF3629">
        <w:rPr>
          <w:rFonts w:hint="cs"/>
          <w:b/>
          <w:bCs/>
          <w:rtl/>
        </w:rPr>
        <w:t xml:space="preserve">: </w:t>
      </w:r>
      <w:r w:rsidRPr="002B5E33">
        <w:rPr>
          <w:rFonts w:hint="cs"/>
          <w:b/>
          <w:bCs/>
          <w:rtl/>
        </w:rPr>
        <w:t>אחוז מבוטחים בכיסויי בריאות פרטיים</w:t>
      </w:r>
      <w:r>
        <w:rPr>
          <w:rStyle w:val="FootnoteReference"/>
          <w:rFonts w:ascii="David" w:hAnsi="David"/>
          <w:sz w:val="24"/>
          <w:rtl/>
        </w:rPr>
        <w:footnoteReference w:id="11"/>
      </w:r>
      <w:r w:rsidRPr="002B5E33">
        <w:rPr>
          <w:rFonts w:hint="cs"/>
          <w:b/>
          <w:bCs/>
          <w:rtl/>
        </w:rPr>
        <w:t>,</w:t>
      </w:r>
      <w:r w:rsidRPr="002B5E33">
        <w:rPr>
          <w:rFonts w:ascii="David" w:hAnsi="David"/>
          <w:sz w:val="24"/>
          <w:rtl/>
        </w:rPr>
        <w:t xml:space="preserve"> </w:t>
      </w:r>
      <w:r w:rsidRPr="002B5E33">
        <w:rPr>
          <w:rFonts w:hint="cs"/>
          <w:b/>
          <w:bCs/>
          <w:rtl/>
        </w:rPr>
        <w:t>מדינות ה-</w:t>
      </w:r>
      <w:r w:rsidRPr="002B5E33">
        <w:rPr>
          <w:rFonts w:hint="cs"/>
          <w:b/>
          <w:bCs/>
        </w:rPr>
        <w:t>OECD</w:t>
      </w:r>
      <w:r w:rsidRPr="002B5E33">
        <w:rPr>
          <w:b/>
          <w:bCs/>
          <w:rtl/>
        </w:rPr>
        <w:t>, 2017</w:t>
      </w:r>
    </w:p>
    <w:p w:rsidR="00B132F4" w:rsidRPr="002B5E33" w:rsidP="004B7C2E">
      <w:pPr>
        <w:pStyle w:val="Para"/>
        <w:bidi/>
        <w:spacing w:line="269" w:lineRule="auto"/>
        <w:jc w:val="center"/>
        <w:rPr>
          <w:rFonts w:ascii="Arial" w:hAnsi="Arial" w:cs="Arial"/>
          <w:sz w:val="24"/>
          <w:szCs w:val="24"/>
          <w:rtl/>
          <w:lang w:val="en-US" w:bidi="he-IL"/>
        </w:rPr>
      </w:pPr>
      <w:r>
        <w:rPr>
          <w:rFonts w:ascii="Arial" w:hAnsi="Arial" w:cs="Arial"/>
          <w:noProof/>
          <w:sz w:val="24"/>
          <w:szCs w:val="24"/>
          <w:rtl/>
          <w:lang w:val="en-US" w:bidi="he-IL"/>
        </w:rPr>
        <w:drawing>
          <wp:inline distT="0" distB="0" distL="0" distR="0">
            <wp:extent cx="4257675" cy="2352373"/>
            <wp:effectExtent l="0" t="0" r="0" b="0"/>
            <wp:docPr id="1493377091" name="תמונה 149337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63782" name="commercial-health-insurance-g-4.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58434" cy="2352792"/>
                    </a:xfrm>
                    <a:prstGeom prst="rect">
                      <a:avLst/>
                    </a:prstGeom>
                  </pic:spPr>
                </pic:pic>
              </a:graphicData>
            </a:graphic>
          </wp:inline>
        </w:drawing>
      </w:r>
    </w:p>
    <w:p w:rsidR="00B132F4" w:rsidRPr="002B5E33" w:rsidP="004B7C2E">
      <w:pPr>
        <w:spacing w:line="269" w:lineRule="auto"/>
        <w:rPr>
          <w:sz w:val="22"/>
          <w:szCs w:val="22"/>
          <w:rtl/>
        </w:rPr>
      </w:pPr>
      <w:r w:rsidRPr="002B5E33">
        <w:rPr>
          <w:rFonts w:hint="eastAsia"/>
          <w:sz w:val="22"/>
          <w:szCs w:val="22"/>
          <w:rtl/>
        </w:rPr>
        <w:t>מקור</w:t>
      </w:r>
      <w:r w:rsidR="004B7C2E">
        <w:rPr>
          <w:rFonts w:hint="cs"/>
          <w:sz w:val="22"/>
          <w:szCs w:val="22"/>
          <w:rtl/>
        </w:rPr>
        <w:t xml:space="preserve">: </w:t>
      </w:r>
      <w:r w:rsidRPr="002B5E33" w:rsidR="00602DF1">
        <w:rPr>
          <w:sz w:val="22"/>
          <w:szCs w:val="22"/>
          <w:rtl/>
        </w:rPr>
        <w:t xml:space="preserve"> </w:t>
      </w:r>
      <w:r w:rsidR="007E06A8">
        <w:rPr>
          <w:sz w:val="22"/>
          <w:szCs w:val="22"/>
          <w:rtl/>
        </w:rPr>
        <w:t>ה-</w:t>
      </w:r>
      <w:r w:rsidRPr="002B5E33">
        <w:rPr>
          <w:sz w:val="22"/>
          <w:szCs w:val="22"/>
        </w:rPr>
        <w:t>OECD</w:t>
      </w:r>
    </w:p>
    <w:p w:rsidR="00B132F4" w:rsidRPr="002B5E33" w:rsidP="00ED5C0D">
      <w:pPr>
        <w:pStyle w:val="a"/>
        <w:spacing w:line="269" w:lineRule="auto"/>
      </w:pPr>
    </w:p>
    <w:p w:rsidR="00B132F4" w:rsidRPr="002B5E33" w:rsidP="00ED5C0D">
      <w:pPr>
        <w:spacing w:line="269" w:lineRule="auto"/>
        <w:rPr>
          <w:rtl/>
        </w:rPr>
      </w:pPr>
      <w:r w:rsidRPr="002B5E33">
        <w:rPr>
          <w:rFonts w:hint="eastAsia"/>
          <w:sz w:val="24"/>
          <w:rtl/>
        </w:rPr>
        <w:t>מהתרשים</w:t>
      </w:r>
      <w:r w:rsidRPr="002B5E33">
        <w:rPr>
          <w:sz w:val="24"/>
          <w:rtl/>
        </w:rPr>
        <w:t xml:space="preserve"> לעיל עולה כי שיעור המבוטחים</w:t>
      </w:r>
      <w:r w:rsidRPr="002B5E33">
        <w:rPr>
          <w:rFonts w:hint="cs"/>
          <w:sz w:val="24"/>
          <w:rtl/>
        </w:rPr>
        <w:t xml:space="preserve"> בכיסויי בריאות פרטיים בישראל</w:t>
      </w:r>
      <w:r w:rsidRPr="002B5E33">
        <w:rPr>
          <w:sz w:val="24"/>
          <w:rtl/>
        </w:rPr>
        <w:t xml:space="preserve"> </w:t>
      </w:r>
      <w:r w:rsidRPr="002B5E33">
        <w:rPr>
          <w:rFonts w:hint="eastAsia"/>
          <w:sz w:val="24"/>
          <w:rtl/>
        </w:rPr>
        <w:t>עומד</w:t>
      </w:r>
      <w:r w:rsidRPr="002B5E33">
        <w:rPr>
          <w:sz w:val="24"/>
          <w:rtl/>
        </w:rPr>
        <w:t xml:space="preserve"> על </w:t>
      </w:r>
      <w:r w:rsidRPr="002B5E33">
        <w:rPr>
          <w:rFonts w:hint="cs"/>
          <w:sz w:val="24"/>
          <w:rtl/>
        </w:rPr>
        <w:t>כ-</w:t>
      </w:r>
      <w:r w:rsidRPr="002B5E33">
        <w:rPr>
          <w:sz w:val="24"/>
          <w:rtl/>
        </w:rPr>
        <w:t>85%</w:t>
      </w:r>
      <w:r w:rsidRPr="002B5E33">
        <w:rPr>
          <w:rFonts w:hint="cs"/>
          <w:sz w:val="24"/>
          <w:rtl/>
        </w:rPr>
        <w:t>,</w:t>
      </w:r>
      <w:r w:rsidRPr="002B5E33">
        <w:rPr>
          <w:sz w:val="24"/>
          <w:rtl/>
        </w:rPr>
        <w:t xml:space="preserve"> שיעור </w:t>
      </w:r>
      <w:r w:rsidRPr="002B5E33">
        <w:rPr>
          <w:rFonts w:hint="eastAsia"/>
          <w:sz w:val="24"/>
          <w:rtl/>
        </w:rPr>
        <w:t>גבוה</w:t>
      </w:r>
      <w:r w:rsidRPr="002B5E33">
        <w:rPr>
          <w:sz w:val="24"/>
          <w:rtl/>
        </w:rPr>
        <w:t xml:space="preserve"> מאוד </w:t>
      </w:r>
      <w:r w:rsidRPr="002B5E33">
        <w:rPr>
          <w:rFonts w:hint="cs"/>
          <w:sz w:val="24"/>
          <w:rtl/>
        </w:rPr>
        <w:t>ביחס ליתר המדינות</w:t>
      </w:r>
      <w:r>
        <w:rPr>
          <w:rStyle w:val="FootnoteReference"/>
          <w:sz w:val="24"/>
          <w:rtl/>
        </w:rPr>
        <w:footnoteReference w:id="12"/>
      </w:r>
      <w:r w:rsidRPr="002B5E33">
        <w:rPr>
          <w:rFonts w:hint="cs"/>
          <w:sz w:val="24"/>
          <w:rtl/>
        </w:rPr>
        <w:t xml:space="preserve">. </w:t>
      </w:r>
    </w:p>
    <w:p w:rsidR="00B132F4" w:rsidRPr="002B5E33" w:rsidP="00ED5C0D">
      <w:pPr>
        <w:pStyle w:val="a"/>
        <w:spacing w:line="269" w:lineRule="auto"/>
        <w:rPr>
          <w:rtl/>
        </w:rPr>
      </w:pPr>
    </w:p>
    <w:p w:rsidR="00B132F4" w:rsidRPr="002B5E33" w:rsidP="00ED5C0D">
      <w:pPr>
        <w:spacing w:line="269" w:lineRule="auto"/>
        <w:rPr>
          <w:rtl/>
        </w:rPr>
      </w:pPr>
      <w:r w:rsidRPr="002B5E33">
        <w:rPr>
          <w:rFonts w:hint="cs"/>
          <w:rtl/>
        </w:rPr>
        <w:t xml:space="preserve">במסגרת דוח זה התמקד משרד מבקר המדינה בניתוח שוק ביטוחי הבריאות המסחריים בישראל על רקע המאפיינים הייחודים למערכת הבריאות בישראל </w:t>
      </w:r>
      <w:r w:rsidRPr="002B5E33" w:rsidR="00602DF1">
        <w:rPr>
          <w:rFonts w:hint="cs"/>
          <w:rtl/>
        </w:rPr>
        <w:t>ולנוכח</w:t>
      </w:r>
      <w:r w:rsidRPr="002B5E33" w:rsidR="00602DF1">
        <w:rPr>
          <w:rtl/>
        </w:rPr>
        <w:t xml:space="preserve"> </w:t>
      </w:r>
      <w:r w:rsidRPr="002B5E33">
        <w:rPr>
          <w:rFonts w:hint="cs"/>
          <w:rtl/>
        </w:rPr>
        <w:t>הרפורמה</w:t>
      </w:r>
      <w:r w:rsidRPr="002B5E33">
        <w:rPr>
          <w:rtl/>
        </w:rPr>
        <w:t xml:space="preserve"> </w:t>
      </w:r>
      <w:r w:rsidRPr="002B5E33">
        <w:rPr>
          <w:rFonts w:hint="cs"/>
          <w:rtl/>
        </w:rPr>
        <w:t>שהונהגה</w:t>
      </w:r>
      <w:r w:rsidRPr="002B5E33">
        <w:rPr>
          <w:rtl/>
        </w:rPr>
        <w:t xml:space="preserve"> </w:t>
      </w:r>
      <w:r w:rsidRPr="002B5E33">
        <w:rPr>
          <w:rFonts w:hint="cs"/>
          <w:rtl/>
        </w:rPr>
        <w:t>בתחום</w:t>
      </w:r>
      <w:r w:rsidRPr="002B5E33">
        <w:rPr>
          <w:rtl/>
        </w:rPr>
        <w:t xml:space="preserve"> </w:t>
      </w:r>
      <w:r w:rsidRPr="002B5E33">
        <w:rPr>
          <w:rFonts w:hint="cs"/>
          <w:rtl/>
        </w:rPr>
        <w:t>בשנת</w:t>
      </w:r>
      <w:r w:rsidRPr="002B5E33">
        <w:rPr>
          <w:rtl/>
        </w:rPr>
        <w:t xml:space="preserve"> 2016, </w:t>
      </w:r>
      <w:r w:rsidRPr="002B5E33">
        <w:rPr>
          <w:rFonts w:hint="cs"/>
          <w:rtl/>
        </w:rPr>
        <w:t>על</w:t>
      </w:r>
      <w:r w:rsidRPr="002B5E33">
        <w:rPr>
          <w:rtl/>
        </w:rPr>
        <w:t xml:space="preserve">-ידי </w:t>
      </w:r>
      <w:r w:rsidRPr="002B5E33">
        <w:rPr>
          <w:rFonts w:hint="cs"/>
          <w:rtl/>
        </w:rPr>
        <w:t>רשות</w:t>
      </w:r>
      <w:r w:rsidRPr="002B5E33">
        <w:rPr>
          <w:rtl/>
        </w:rPr>
        <w:t xml:space="preserve"> </w:t>
      </w:r>
      <w:r w:rsidRPr="002B5E33">
        <w:rPr>
          <w:rFonts w:hint="cs"/>
          <w:rtl/>
        </w:rPr>
        <w:t>שוק</w:t>
      </w:r>
      <w:r w:rsidRPr="002B5E33">
        <w:rPr>
          <w:rtl/>
        </w:rPr>
        <w:t xml:space="preserve"> </w:t>
      </w:r>
      <w:r w:rsidRPr="002B5E33">
        <w:rPr>
          <w:rFonts w:hint="cs"/>
          <w:rtl/>
        </w:rPr>
        <w:t>ההון</w:t>
      </w:r>
      <w:r w:rsidRPr="002B5E33">
        <w:rPr>
          <w:rtl/>
        </w:rPr>
        <w:t xml:space="preserve"> </w:t>
      </w:r>
      <w:r w:rsidRPr="002B5E33">
        <w:rPr>
          <w:rFonts w:hint="cs"/>
          <w:rtl/>
        </w:rPr>
        <w:t>במטרה</w:t>
      </w:r>
      <w:r w:rsidRPr="002B5E33">
        <w:rPr>
          <w:rtl/>
        </w:rPr>
        <w:t xml:space="preserve"> להגביר את התחרות בשוק ביטוחי הבריאות </w:t>
      </w:r>
      <w:r w:rsidRPr="002B5E33">
        <w:rPr>
          <w:rFonts w:hint="cs"/>
          <w:rtl/>
        </w:rPr>
        <w:t>ולהעצים</w:t>
      </w:r>
      <w:r w:rsidRPr="002B5E33">
        <w:rPr>
          <w:rtl/>
        </w:rPr>
        <w:t xml:space="preserve"> את כוחו של המבוטח אל מול חברות הביטוח (להלן - רפורמת 2016 או הרפורמה).</w:t>
      </w:r>
    </w:p>
    <w:p w:rsidR="00B132F4" w:rsidP="008B4D75">
      <w:pPr>
        <w:pStyle w:val="a"/>
        <w:rPr>
          <w:rtl/>
        </w:rPr>
      </w:pPr>
    </w:p>
    <w:p w:rsidR="008B4D75" w:rsidRPr="002B5E33" w:rsidP="008B4D75">
      <w:pPr>
        <w:pStyle w:val="a"/>
        <w:rPr>
          <w:rtl/>
        </w:rPr>
      </w:pPr>
    </w:p>
    <w:p w:rsidR="00B132F4" w:rsidP="00ED5C0D">
      <w:pPr>
        <w:pStyle w:val="Heading3"/>
        <w:spacing w:before="0" w:line="269" w:lineRule="auto"/>
        <w:rPr>
          <w:rtl/>
        </w:rPr>
      </w:pPr>
      <w:r w:rsidRPr="002B5E33">
        <w:rPr>
          <w:rFonts w:hint="cs"/>
          <w:rtl/>
        </w:rPr>
        <w:t>פעולות הביקורת</w:t>
      </w:r>
    </w:p>
    <w:p w:rsidR="00E87557" w:rsidRPr="00E87557" w:rsidP="00456310">
      <w:pPr>
        <w:pStyle w:val="a"/>
        <w:rPr>
          <w:rtl/>
        </w:rPr>
      </w:pPr>
    </w:p>
    <w:p w:rsidR="00B132F4" w:rsidP="00ED5C0D">
      <w:pPr>
        <w:spacing w:line="269" w:lineRule="auto"/>
        <w:rPr>
          <w:sz w:val="24"/>
          <w:rtl/>
        </w:rPr>
      </w:pPr>
      <w:r w:rsidRPr="002B5E33">
        <w:rPr>
          <w:rFonts w:hint="eastAsia"/>
          <w:sz w:val="24"/>
          <w:rtl/>
        </w:rPr>
        <w:t>בחודשים</w:t>
      </w:r>
      <w:r w:rsidRPr="002B5E33">
        <w:rPr>
          <w:sz w:val="24"/>
          <w:rtl/>
        </w:rPr>
        <w:t xml:space="preserve"> </w:t>
      </w:r>
      <w:r w:rsidRPr="002B5E33">
        <w:rPr>
          <w:rFonts w:hint="cs"/>
          <w:sz w:val="24"/>
          <w:rtl/>
        </w:rPr>
        <w:t xml:space="preserve">מרץ </w:t>
      </w:r>
      <w:r w:rsidRPr="002B5E33">
        <w:rPr>
          <w:sz w:val="24"/>
          <w:rtl/>
        </w:rPr>
        <w:t xml:space="preserve">- </w:t>
      </w:r>
      <w:r w:rsidRPr="002B5E33">
        <w:rPr>
          <w:rFonts w:hint="cs"/>
          <w:sz w:val="24"/>
          <w:rtl/>
        </w:rPr>
        <w:t xml:space="preserve">דצמבר 2019, לסירוגין, </w:t>
      </w:r>
      <w:r w:rsidRPr="002B5E33">
        <w:rPr>
          <w:rFonts w:hint="eastAsia"/>
          <w:sz w:val="24"/>
          <w:rtl/>
        </w:rPr>
        <w:t>בדק</w:t>
      </w:r>
      <w:r w:rsidRPr="002B5E33">
        <w:rPr>
          <w:sz w:val="24"/>
          <w:rtl/>
        </w:rPr>
        <w:t xml:space="preserve"> </w:t>
      </w:r>
      <w:r w:rsidRPr="002B5E33">
        <w:rPr>
          <w:rFonts w:hint="eastAsia"/>
          <w:sz w:val="24"/>
          <w:rtl/>
        </w:rPr>
        <w:t>משרד</w:t>
      </w:r>
      <w:r w:rsidRPr="002B5E33">
        <w:rPr>
          <w:sz w:val="24"/>
          <w:rtl/>
        </w:rPr>
        <w:t xml:space="preserve"> </w:t>
      </w:r>
      <w:r w:rsidRPr="002B5E33">
        <w:rPr>
          <w:rFonts w:hint="eastAsia"/>
          <w:sz w:val="24"/>
          <w:rtl/>
        </w:rPr>
        <w:t>מבקר</w:t>
      </w:r>
      <w:r w:rsidRPr="002B5E33">
        <w:rPr>
          <w:sz w:val="24"/>
          <w:rtl/>
        </w:rPr>
        <w:t xml:space="preserve"> </w:t>
      </w:r>
      <w:r w:rsidRPr="002B5E33">
        <w:rPr>
          <w:rFonts w:hint="eastAsia"/>
          <w:sz w:val="24"/>
          <w:rtl/>
        </w:rPr>
        <w:t>המדינה</w:t>
      </w:r>
      <w:r w:rsidRPr="002B5E33">
        <w:rPr>
          <w:rFonts w:hint="cs"/>
          <w:sz w:val="24"/>
          <w:rtl/>
        </w:rPr>
        <w:t xml:space="preserve"> מגוון היבטים בתחום ביטוחי הבריאות המסחריים בנושאים שלהלן: היבטים כלכליים וצרכניים בפיקוח רשות שוק ההון על פוליסות ביטוחי הבריאות; הטיפול בפניות ציבור בתחום ביטוחי הבריאות; הסדרת פעילותם של סוכני הביטוח בתחום ביטוחי הבריאות המסחריים; השירות לציבור בביטוחי בריאות ופרסום מדדי שירות</w:t>
      </w:r>
      <w:r w:rsidRPr="002B5E33">
        <w:rPr>
          <w:sz w:val="24"/>
          <w:rtl/>
        </w:rPr>
        <w:t xml:space="preserve">. </w:t>
      </w:r>
      <w:r w:rsidRPr="002B5E33">
        <w:rPr>
          <w:rFonts w:hint="eastAsia"/>
          <w:sz w:val="24"/>
          <w:rtl/>
        </w:rPr>
        <w:t>הביקורת</w:t>
      </w:r>
      <w:r w:rsidRPr="002B5E33">
        <w:rPr>
          <w:sz w:val="24"/>
          <w:rtl/>
        </w:rPr>
        <w:t xml:space="preserve"> </w:t>
      </w:r>
      <w:r w:rsidRPr="002B5E33">
        <w:rPr>
          <w:rFonts w:hint="eastAsia"/>
          <w:sz w:val="24"/>
          <w:rtl/>
        </w:rPr>
        <w:t>נערכה</w:t>
      </w:r>
      <w:r w:rsidRPr="002B5E33">
        <w:rPr>
          <w:sz w:val="24"/>
          <w:rtl/>
        </w:rPr>
        <w:t xml:space="preserve"> </w:t>
      </w:r>
      <w:r w:rsidRPr="002B5E33">
        <w:rPr>
          <w:rFonts w:hint="cs"/>
          <w:sz w:val="24"/>
          <w:rtl/>
        </w:rPr>
        <w:t>ברשות שוק ההון, ביטוח וחיסכון.</w:t>
      </w:r>
    </w:p>
    <w:p w:rsidR="00E87557" w:rsidP="008B4D75">
      <w:pPr>
        <w:pStyle w:val="a"/>
        <w:rPr>
          <w:rtl/>
        </w:rPr>
      </w:pPr>
    </w:p>
    <w:p w:rsidR="008B4D75" w:rsidRPr="002B5E33" w:rsidP="008B4D75">
      <w:pPr>
        <w:pStyle w:val="a"/>
        <w:rPr>
          <w:rtl/>
        </w:rPr>
      </w:pPr>
    </w:p>
    <w:p w:rsidR="00B132F4" w:rsidRPr="002B5E33" w:rsidP="00ED5C0D">
      <w:pPr>
        <w:pStyle w:val="Heading3"/>
        <w:spacing w:before="0" w:line="269" w:lineRule="auto"/>
        <w:rPr>
          <w:rtl/>
        </w:rPr>
      </w:pPr>
      <w:r w:rsidRPr="002B5E33">
        <w:rPr>
          <w:rFonts w:hint="cs"/>
          <w:rtl/>
        </w:rPr>
        <w:t>פוליסות ביטוחי בריאות - היבטים כלכליים וצרכניים בפיקוח רשות שוק ההון</w:t>
      </w:r>
    </w:p>
    <w:p w:rsidR="004E18EC" w:rsidP="008B4D75">
      <w:pPr>
        <w:pStyle w:val="a"/>
        <w:rPr>
          <w:rtl/>
        </w:rPr>
      </w:pPr>
    </w:p>
    <w:p w:rsidR="00B132F4" w:rsidRPr="002B5E33" w:rsidP="00ED5C0D">
      <w:pPr>
        <w:pStyle w:val="Heading4"/>
        <w:spacing w:before="0" w:line="269" w:lineRule="auto"/>
        <w:rPr>
          <w:rtl/>
        </w:rPr>
      </w:pPr>
      <w:r w:rsidRPr="002B5E33">
        <w:rPr>
          <w:rFonts w:hint="cs"/>
          <w:rtl/>
        </w:rPr>
        <w:t>איסוף וניתוח נתונים</w:t>
      </w:r>
    </w:p>
    <w:p w:rsidR="00B132F4" w:rsidRPr="002B5E33" w:rsidP="00ED5C0D">
      <w:pPr>
        <w:pStyle w:val="a"/>
        <w:spacing w:line="269" w:lineRule="auto"/>
        <w:rPr>
          <w:rtl/>
        </w:rPr>
      </w:pPr>
    </w:p>
    <w:p w:rsidR="007651C2" w:rsidRPr="002B5E33" w:rsidP="00ED5C0D">
      <w:pPr>
        <w:spacing w:line="269" w:lineRule="auto"/>
        <w:rPr>
          <w:rStyle w:val="Strong"/>
          <w:rtl/>
        </w:rPr>
      </w:pPr>
      <w:r w:rsidRPr="002B5E33">
        <w:rPr>
          <w:rFonts w:hint="eastAsia"/>
          <w:sz w:val="24"/>
          <w:rtl/>
        </w:rPr>
        <w:t>בשנים</w:t>
      </w:r>
      <w:r w:rsidRPr="002B5E33">
        <w:rPr>
          <w:sz w:val="24"/>
          <w:rtl/>
        </w:rPr>
        <w:t xml:space="preserve"> </w:t>
      </w:r>
      <w:r w:rsidRPr="002B5E33">
        <w:rPr>
          <w:rFonts w:hint="eastAsia"/>
          <w:sz w:val="24"/>
          <w:rtl/>
        </w:rPr>
        <w:t>האחרונות</w:t>
      </w:r>
      <w:r w:rsidRPr="002B5E33">
        <w:rPr>
          <w:sz w:val="24"/>
          <w:rtl/>
        </w:rPr>
        <w:t xml:space="preserve"> </w:t>
      </w:r>
      <w:r w:rsidRPr="002B5E33">
        <w:rPr>
          <w:rFonts w:hint="eastAsia"/>
          <w:sz w:val="24"/>
          <w:rtl/>
        </w:rPr>
        <w:t>חלה</w:t>
      </w:r>
      <w:r w:rsidRPr="002B5E33">
        <w:rPr>
          <w:sz w:val="24"/>
          <w:rtl/>
        </w:rPr>
        <w:t xml:space="preserve"> </w:t>
      </w:r>
      <w:r w:rsidRPr="002B5E33">
        <w:rPr>
          <w:rFonts w:hint="eastAsia"/>
          <w:sz w:val="24"/>
          <w:rtl/>
        </w:rPr>
        <w:t>עליה</w:t>
      </w:r>
      <w:r w:rsidRPr="002B5E33">
        <w:rPr>
          <w:sz w:val="24"/>
          <w:rtl/>
        </w:rPr>
        <w:t xml:space="preserve"> </w:t>
      </w:r>
      <w:r w:rsidRPr="002B5E33">
        <w:rPr>
          <w:rFonts w:hint="eastAsia"/>
          <w:sz w:val="24"/>
          <w:rtl/>
        </w:rPr>
        <w:t>בשיעור</w:t>
      </w:r>
      <w:r w:rsidRPr="002B5E33">
        <w:rPr>
          <w:sz w:val="24"/>
          <w:rtl/>
        </w:rPr>
        <w:t xml:space="preserve"> </w:t>
      </w:r>
      <w:r w:rsidRPr="002B5E33">
        <w:rPr>
          <w:rFonts w:hint="eastAsia"/>
          <w:sz w:val="24"/>
          <w:rtl/>
        </w:rPr>
        <w:t>ההוצאה</w:t>
      </w:r>
      <w:r w:rsidRPr="002B5E33">
        <w:rPr>
          <w:sz w:val="24"/>
          <w:rtl/>
        </w:rPr>
        <w:t xml:space="preserve"> </w:t>
      </w:r>
      <w:r w:rsidRPr="002B5E33">
        <w:rPr>
          <w:rFonts w:hint="eastAsia"/>
          <w:sz w:val="24"/>
          <w:rtl/>
        </w:rPr>
        <w:t>הפרטית</w:t>
      </w:r>
      <w:r w:rsidRPr="002B5E33">
        <w:rPr>
          <w:sz w:val="24"/>
          <w:rtl/>
        </w:rPr>
        <w:t xml:space="preserve"> </w:t>
      </w:r>
      <w:r w:rsidRPr="002B5E33">
        <w:rPr>
          <w:rFonts w:hint="eastAsia"/>
          <w:sz w:val="24"/>
          <w:rtl/>
        </w:rPr>
        <w:t>על</w:t>
      </w:r>
      <w:r w:rsidRPr="002B5E33">
        <w:rPr>
          <w:sz w:val="24"/>
          <w:rtl/>
        </w:rPr>
        <w:t xml:space="preserve"> </w:t>
      </w:r>
      <w:r w:rsidRPr="002B5E33">
        <w:rPr>
          <w:rFonts w:hint="eastAsia"/>
          <w:sz w:val="24"/>
          <w:rtl/>
        </w:rPr>
        <w:t>בריאות</w:t>
      </w:r>
      <w:r w:rsidRPr="002B5E33">
        <w:rPr>
          <w:sz w:val="24"/>
          <w:rtl/>
        </w:rPr>
        <w:t xml:space="preserve"> </w:t>
      </w:r>
      <w:r w:rsidRPr="002B5E33">
        <w:rPr>
          <w:rFonts w:hint="eastAsia"/>
          <w:sz w:val="24"/>
          <w:rtl/>
        </w:rPr>
        <w:t>בישראל</w:t>
      </w:r>
      <w:r w:rsidRPr="002B5E33">
        <w:rPr>
          <w:rStyle w:val="Strong"/>
          <w:rFonts w:hint="cs"/>
          <w:b w:val="0"/>
          <w:rtl/>
        </w:rPr>
        <w:t xml:space="preserve">. </w:t>
      </w:r>
      <w:r w:rsidRPr="002B5E33">
        <w:rPr>
          <w:rStyle w:val="Strong"/>
          <w:rFonts w:hint="cs"/>
          <w:bCs w:val="0"/>
          <w:rtl/>
        </w:rPr>
        <w:t>עם זאת,</w:t>
      </w:r>
      <w:r w:rsidRPr="002B5E33">
        <w:rPr>
          <w:rStyle w:val="Strong"/>
          <w:rtl/>
        </w:rPr>
        <w:t xml:space="preserve"> </w:t>
      </w:r>
      <w:r w:rsidRPr="002B5E33">
        <w:rPr>
          <w:rStyle w:val="Strong"/>
          <w:rFonts w:hint="eastAsia"/>
          <w:b w:val="0"/>
          <w:bCs w:val="0"/>
          <w:rtl/>
        </w:rPr>
        <w:t>למרות</w:t>
      </w:r>
      <w:r w:rsidRPr="002B5E33">
        <w:rPr>
          <w:rStyle w:val="Strong"/>
          <w:b w:val="0"/>
          <w:bCs w:val="0"/>
          <w:rtl/>
        </w:rPr>
        <w:t xml:space="preserve"> התמורות והגידול </w:t>
      </w:r>
      <w:r w:rsidRPr="002B5E33">
        <w:rPr>
          <w:rStyle w:val="Strong"/>
          <w:rFonts w:hint="eastAsia"/>
          <w:b w:val="0"/>
          <w:bCs w:val="0"/>
          <w:rtl/>
        </w:rPr>
        <w:t>בתחום</w:t>
      </w:r>
      <w:r w:rsidRPr="002B5E33">
        <w:rPr>
          <w:rStyle w:val="Strong"/>
          <w:b w:val="0"/>
          <w:bCs w:val="0"/>
          <w:rtl/>
        </w:rPr>
        <w:t xml:space="preserve">, רשות שוק ההון אינה מבצעת </w:t>
      </w:r>
      <w:r w:rsidRPr="002B5E33">
        <w:rPr>
          <w:rStyle w:val="Strong"/>
          <w:rFonts w:hint="eastAsia"/>
          <w:b w:val="0"/>
          <w:bCs w:val="0"/>
          <w:rtl/>
        </w:rPr>
        <w:t>די</w:t>
      </w:r>
      <w:r w:rsidRPr="002B5E33">
        <w:rPr>
          <w:rStyle w:val="Strong"/>
          <w:b w:val="0"/>
          <w:bCs w:val="0"/>
          <w:rtl/>
        </w:rPr>
        <w:t xml:space="preserve"> </w:t>
      </w:r>
      <w:r w:rsidRPr="002B5E33">
        <w:rPr>
          <w:rStyle w:val="Strong"/>
          <w:rFonts w:hint="eastAsia"/>
          <w:b w:val="0"/>
          <w:bCs w:val="0"/>
          <w:rtl/>
        </w:rPr>
        <w:t>הצורך</w:t>
      </w:r>
      <w:r w:rsidRPr="002B5E33">
        <w:rPr>
          <w:rStyle w:val="Strong"/>
          <w:b w:val="0"/>
          <w:bCs w:val="0"/>
          <w:rtl/>
        </w:rPr>
        <w:t xml:space="preserve"> ניתוחים עיתיים המתבססים על נתונים בסיסיים מהימנים ועדכניים</w:t>
      </w:r>
      <w:r w:rsidRPr="002B5E33">
        <w:rPr>
          <w:rStyle w:val="Strong"/>
          <w:rtl/>
        </w:rPr>
        <w:t xml:space="preserve">. </w:t>
      </w:r>
    </w:p>
    <w:p w:rsidR="00B132F4" w:rsidRPr="002B5E33" w:rsidP="00ED5C0D">
      <w:pPr>
        <w:pStyle w:val="a"/>
        <w:spacing w:line="269" w:lineRule="auto"/>
        <w:rPr>
          <w:b/>
          <w:rtl/>
        </w:rPr>
      </w:pPr>
    </w:p>
    <w:p w:rsidR="00B132F4" w:rsidRPr="002B5E33" w:rsidP="00ED5C0D">
      <w:pPr>
        <w:spacing w:line="269" w:lineRule="auto"/>
        <w:rPr>
          <w:rtl/>
        </w:rPr>
      </w:pPr>
      <w:r w:rsidRPr="002B5E33">
        <w:rPr>
          <w:rStyle w:val="Strong"/>
          <w:rFonts w:hint="eastAsia"/>
          <w:b w:val="0"/>
          <w:bCs w:val="0"/>
          <w:rtl/>
        </w:rPr>
        <w:t>בתשובת</w:t>
      </w:r>
      <w:r w:rsidRPr="002B5E33">
        <w:rPr>
          <w:rStyle w:val="Strong"/>
          <w:b w:val="0"/>
          <w:bCs w:val="0"/>
          <w:rtl/>
        </w:rPr>
        <w:t xml:space="preserve"> הרשות ממאי 2020 (להלן</w:t>
      </w:r>
      <w:r w:rsidRPr="002B5E33">
        <w:rPr>
          <w:rStyle w:val="Strong"/>
          <w:rFonts w:hint="cs"/>
          <w:b w:val="0"/>
          <w:bCs w:val="0"/>
          <w:rtl/>
        </w:rPr>
        <w:t xml:space="preserve"> </w:t>
      </w:r>
      <w:r w:rsidRPr="002B5E33">
        <w:rPr>
          <w:rStyle w:val="Strong"/>
          <w:b w:val="0"/>
          <w:bCs w:val="0"/>
          <w:rtl/>
        </w:rPr>
        <w:t>- תשובת הרשות) ציינה הרשות כי היא מבצעת ניתוחים שו</w:t>
      </w:r>
      <w:r w:rsidRPr="002B5E33">
        <w:rPr>
          <w:rStyle w:val="Strong"/>
          <w:rFonts w:hint="eastAsia"/>
          <w:b w:val="0"/>
          <w:bCs w:val="0"/>
          <w:rtl/>
        </w:rPr>
        <w:t>טפים</w:t>
      </w:r>
      <w:r w:rsidRPr="002B5E33">
        <w:rPr>
          <w:rStyle w:val="Strong"/>
          <w:b w:val="0"/>
          <w:bCs w:val="0"/>
          <w:rtl/>
        </w:rPr>
        <w:t xml:space="preserve"> </w:t>
      </w:r>
      <w:r w:rsidRPr="002B5E33">
        <w:rPr>
          <w:rStyle w:val="Strong"/>
          <w:rFonts w:hint="eastAsia"/>
          <w:b w:val="0"/>
          <w:bCs w:val="0"/>
          <w:rtl/>
        </w:rPr>
        <w:t>של</w:t>
      </w:r>
      <w:r w:rsidRPr="002B5E33">
        <w:rPr>
          <w:rStyle w:val="Strong"/>
          <w:b w:val="0"/>
          <w:bCs w:val="0"/>
          <w:rtl/>
        </w:rPr>
        <w:t xml:space="preserve"> </w:t>
      </w:r>
      <w:r w:rsidRPr="002B5E33">
        <w:rPr>
          <w:rStyle w:val="Strong"/>
          <w:rFonts w:hint="eastAsia"/>
          <w:b w:val="0"/>
          <w:bCs w:val="0"/>
          <w:rtl/>
        </w:rPr>
        <w:t>נתוני</w:t>
      </w:r>
      <w:r w:rsidRPr="002B5E33">
        <w:rPr>
          <w:rStyle w:val="Strong"/>
          <w:b w:val="0"/>
          <w:bCs w:val="0"/>
          <w:rtl/>
        </w:rPr>
        <w:t xml:space="preserve"> </w:t>
      </w:r>
      <w:r w:rsidRPr="002B5E33">
        <w:rPr>
          <w:rStyle w:val="Strong"/>
          <w:rFonts w:hint="eastAsia"/>
          <w:b w:val="0"/>
          <w:bCs w:val="0"/>
          <w:rtl/>
        </w:rPr>
        <w:t>השוק</w:t>
      </w:r>
      <w:r w:rsidRPr="002B5E33">
        <w:rPr>
          <w:rStyle w:val="Strong"/>
          <w:b w:val="0"/>
          <w:bCs w:val="0"/>
          <w:rtl/>
        </w:rPr>
        <w:t xml:space="preserve"> </w:t>
      </w:r>
      <w:r w:rsidRPr="002B5E33">
        <w:rPr>
          <w:rStyle w:val="Strong"/>
          <w:rFonts w:hint="eastAsia"/>
          <w:b w:val="0"/>
          <w:bCs w:val="0"/>
          <w:rtl/>
        </w:rPr>
        <w:t>לשימושים</w:t>
      </w:r>
      <w:r w:rsidRPr="002B5E33">
        <w:rPr>
          <w:rStyle w:val="Strong"/>
          <w:b w:val="0"/>
          <w:bCs w:val="0"/>
          <w:rtl/>
        </w:rPr>
        <w:t xml:space="preserve"> </w:t>
      </w:r>
      <w:r w:rsidRPr="002B5E33">
        <w:rPr>
          <w:rStyle w:val="Strong"/>
          <w:rFonts w:hint="eastAsia"/>
          <w:b w:val="0"/>
          <w:bCs w:val="0"/>
          <w:rtl/>
        </w:rPr>
        <w:t>פנימיים</w:t>
      </w:r>
      <w:r w:rsidRPr="002B5E33">
        <w:rPr>
          <w:rStyle w:val="Strong"/>
          <w:b w:val="0"/>
          <w:bCs w:val="0"/>
          <w:rtl/>
        </w:rPr>
        <w:t xml:space="preserve"> </w:t>
      </w:r>
      <w:r w:rsidRPr="002B5E33">
        <w:rPr>
          <w:rStyle w:val="Strong"/>
          <w:rFonts w:hint="eastAsia"/>
          <w:b w:val="0"/>
          <w:bCs w:val="0"/>
          <w:rtl/>
        </w:rPr>
        <w:t>וכן</w:t>
      </w:r>
      <w:r w:rsidRPr="002B5E33">
        <w:rPr>
          <w:rStyle w:val="Strong"/>
          <w:b w:val="0"/>
          <w:bCs w:val="0"/>
          <w:rtl/>
        </w:rPr>
        <w:t xml:space="preserve"> מפרסמת נתונים וחישובים עדכניים מדי שנה בדוח הממונה על שוק ההון. עוד </w:t>
      </w:r>
      <w:r w:rsidRPr="002B5E33">
        <w:rPr>
          <w:rStyle w:val="Strong"/>
          <w:rFonts w:hint="cs"/>
          <w:b w:val="0"/>
          <w:bCs w:val="0"/>
          <w:rtl/>
        </w:rPr>
        <w:t>ציינה,</w:t>
      </w:r>
      <w:r w:rsidRPr="002B5E33">
        <w:rPr>
          <w:rStyle w:val="Strong"/>
          <w:b w:val="0"/>
          <w:bCs w:val="0"/>
          <w:rtl/>
        </w:rPr>
        <w:t xml:space="preserve"> </w:t>
      </w:r>
      <w:r w:rsidRPr="002B5E33">
        <w:rPr>
          <w:rStyle w:val="Strong"/>
          <w:rFonts w:hint="eastAsia"/>
          <w:b w:val="0"/>
          <w:bCs w:val="0"/>
          <w:rtl/>
        </w:rPr>
        <w:t>כי</w:t>
      </w:r>
      <w:r w:rsidRPr="002B5E33">
        <w:rPr>
          <w:rStyle w:val="Strong"/>
          <w:b w:val="0"/>
          <w:bCs w:val="0"/>
          <w:rtl/>
        </w:rPr>
        <w:t xml:space="preserve"> </w:t>
      </w:r>
      <w:r w:rsidRPr="002B5E33">
        <w:rPr>
          <w:rStyle w:val="Strong"/>
          <w:rFonts w:hint="eastAsia"/>
          <w:b w:val="0"/>
          <w:bCs w:val="0"/>
          <w:rtl/>
        </w:rPr>
        <w:t>מתוך</w:t>
      </w:r>
      <w:r w:rsidRPr="002B5E33">
        <w:rPr>
          <w:rStyle w:val="Strong"/>
          <w:b w:val="0"/>
          <w:bCs w:val="0"/>
          <w:rtl/>
        </w:rPr>
        <w:t xml:space="preserve"> </w:t>
      </w:r>
      <w:r w:rsidRPr="002B5E33">
        <w:rPr>
          <w:rStyle w:val="Strong"/>
          <w:rFonts w:hint="eastAsia"/>
          <w:b w:val="0"/>
          <w:bCs w:val="0"/>
          <w:rtl/>
        </w:rPr>
        <w:t>רצון</w:t>
      </w:r>
      <w:r w:rsidRPr="002B5E33">
        <w:rPr>
          <w:rStyle w:val="Strong"/>
          <w:b w:val="0"/>
          <w:bCs w:val="0"/>
          <w:rtl/>
        </w:rPr>
        <w:t xml:space="preserve"> </w:t>
      </w:r>
      <w:r w:rsidRPr="002B5E33">
        <w:rPr>
          <w:rStyle w:val="Strong"/>
          <w:rFonts w:hint="eastAsia"/>
          <w:b w:val="0"/>
          <w:bCs w:val="0"/>
          <w:rtl/>
        </w:rPr>
        <w:t>לשפר</w:t>
      </w:r>
      <w:r w:rsidRPr="002B5E33">
        <w:rPr>
          <w:rStyle w:val="Strong"/>
          <w:b w:val="0"/>
          <w:bCs w:val="0"/>
          <w:rtl/>
        </w:rPr>
        <w:t xml:space="preserve"> </w:t>
      </w:r>
      <w:r w:rsidRPr="002B5E33">
        <w:rPr>
          <w:rStyle w:val="Strong"/>
          <w:rFonts w:hint="eastAsia"/>
          <w:b w:val="0"/>
          <w:bCs w:val="0"/>
          <w:rtl/>
        </w:rPr>
        <w:t>את</w:t>
      </w:r>
      <w:r w:rsidRPr="002B5E33">
        <w:rPr>
          <w:rStyle w:val="Strong"/>
          <w:b w:val="0"/>
          <w:bCs w:val="0"/>
          <w:rtl/>
        </w:rPr>
        <w:t xml:space="preserve"> </w:t>
      </w:r>
      <w:r w:rsidRPr="002B5E33">
        <w:rPr>
          <w:rStyle w:val="Strong"/>
          <w:rFonts w:hint="eastAsia"/>
          <w:b w:val="0"/>
          <w:bCs w:val="0"/>
          <w:rtl/>
        </w:rPr>
        <w:t>הפיקוח</w:t>
      </w:r>
      <w:r w:rsidRPr="002B5E33">
        <w:rPr>
          <w:rStyle w:val="Strong"/>
          <w:b w:val="0"/>
          <w:bCs w:val="0"/>
          <w:rtl/>
        </w:rPr>
        <w:t xml:space="preserve"> </w:t>
      </w:r>
      <w:r w:rsidRPr="002B5E33">
        <w:rPr>
          <w:rStyle w:val="Strong"/>
          <w:rFonts w:hint="eastAsia"/>
          <w:b w:val="0"/>
          <w:bCs w:val="0"/>
          <w:rtl/>
        </w:rPr>
        <w:t>על</w:t>
      </w:r>
      <w:r w:rsidRPr="002B5E33">
        <w:rPr>
          <w:rStyle w:val="Strong"/>
          <w:b w:val="0"/>
          <w:bCs w:val="0"/>
          <w:rtl/>
        </w:rPr>
        <w:t xml:space="preserve"> </w:t>
      </w:r>
      <w:r w:rsidRPr="002B5E33">
        <w:rPr>
          <w:rStyle w:val="Strong"/>
          <w:rFonts w:hint="eastAsia"/>
          <w:b w:val="0"/>
          <w:bCs w:val="0"/>
          <w:rtl/>
        </w:rPr>
        <w:t>השוק</w:t>
      </w:r>
      <w:r w:rsidRPr="002B5E33">
        <w:rPr>
          <w:rStyle w:val="Strong"/>
          <w:b w:val="0"/>
          <w:bCs w:val="0"/>
          <w:rtl/>
        </w:rPr>
        <w:t xml:space="preserve"> </w:t>
      </w:r>
      <w:r w:rsidRPr="002B5E33">
        <w:rPr>
          <w:rStyle w:val="Strong"/>
          <w:rFonts w:hint="eastAsia"/>
          <w:b w:val="0"/>
          <w:bCs w:val="0"/>
          <w:rtl/>
        </w:rPr>
        <w:t>באופן</w:t>
      </w:r>
      <w:r w:rsidRPr="002B5E33">
        <w:rPr>
          <w:rStyle w:val="Strong"/>
          <w:b w:val="0"/>
          <w:bCs w:val="0"/>
          <w:rtl/>
        </w:rPr>
        <w:t xml:space="preserve"> </w:t>
      </w:r>
      <w:r w:rsidRPr="002B5E33">
        <w:rPr>
          <w:rStyle w:val="Strong"/>
          <w:rFonts w:hint="eastAsia"/>
          <w:b w:val="0"/>
          <w:bCs w:val="0"/>
          <w:rtl/>
        </w:rPr>
        <w:t>תמידי</w:t>
      </w:r>
      <w:r w:rsidRPr="002B5E33">
        <w:rPr>
          <w:rStyle w:val="Strong"/>
          <w:b w:val="0"/>
          <w:bCs w:val="0"/>
          <w:rtl/>
        </w:rPr>
        <w:t xml:space="preserve">, </w:t>
      </w:r>
      <w:r w:rsidRPr="002B5E33">
        <w:rPr>
          <w:rStyle w:val="Strong"/>
          <w:rFonts w:hint="eastAsia"/>
          <w:b w:val="0"/>
          <w:bCs w:val="0"/>
          <w:rtl/>
        </w:rPr>
        <w:t>בימים</w:t>
      </w:r>
      <w:r w:rsidRPr="002B5E33">
        <w:rPr>
          <w:rStyle w:val="Strong"/>
          <w:b w:val="0"/>
          <w:bCs w:val="0"/>
          <w:rtl/>
        </w:rPr>
        <w:t xml:space="preserve"> אל</w:t>
      </w:r>
      <w:r w:rsidRPr="002B5E33">
        <w:rPr>
          <w:rStyle w:val="Strong"/>
          <w:rFonts w:hint="cs"/>
          <w:b w:val="0"/>
          <w:bCs w:val="0"/>
          <w:rtl/>
        </w:rPr>
        <w:t>ו</w:t>
      </w:r>
      <w:r w:rsidRPr="002B5E33">
        <w:rPr>
          <w:rStyle w:val="Strong"/>
          <w:b w:val="0"/>
          <w:bCs w:val="0"/>
          <w:rtl/>
        </w:rPr>
        <w:t xml:space="preserve"> היא משלימה הליך </w:t>
      </w:r>
      <w:r w:rsidRPr="002B5E33">
        <w:rPr>
          <w:rStyle w:val="Strong"/>
          <w:rFonts w:hint="cs"/>
          <w:b w:val="0"/>
          <w:bCs w:val="0"/>
          <w:rtl/>
        </w:rPr>
        <w:t xml:space="preserve">שאותו </w:t>
      </w:r>
      <w:r w:rsidRPr="002B5E33">
        <w:rPr>
          <w:rStyle w:val="Strong"/>
          <w:b w:val="0"/>
          <w:bCs w:val="0"/>
          <w:rtl/>
        </w:rPr>
        <w:t>החל</w:t>
      </w:r>
      <w:r w:rsidRPr="002B5E33">
        <w:rPr>
          <w:rStyle w:val="Strong"/>
          <w:rFonts w:hint="cs"/>
          <w:b w:val="0"/>
          <w:bCs w:val="0"/>
          <w:rtl/>
        </w:rPr>
        <w:t>ה</w:t>
      </w:r>
      <w:r w:rsidRPr="002B5E33">
        <w:rPr>
          <w:rStyle w:val="Strong"/>
          <w:b w:val="0"/>
          <w:bCs w:val="0"/>
          <w:rtl/>
        </w:rPr>
        <w:t xml:space="preserve"> בשנת 2016</w:t>
      </w:r>
      <w:r>
        <w:rPr>
          <w:rStyle w:val="FootnoteReference"/>
          <w:rtl/>
        </w:rPr>
        <w:footnoteReference w:id="13"/>
      </w:r>
      <w:r w:rsidRPr="002B5E33">
        <w:rPr>
          <w:rStyle w:val="Strong"/>
          <w:rFonts w:hint="cs"/>
          <w:b w:val="0"/>
          <w:bCs w:val="0"/>
          <w:rtl/>
        </w:rPr>
        <w:t>,</w:t>
      </w:r>
      <w:r w:rsidRPr="002B5E33">
        <w:rPr>
          <w:rStyle w:val="FootnoteReference"/>
          <w:rtl/>
        </w:rPr>
        <w:t xml:space="preserve"> </w:t>
      </w:r>
      <w:r w:rsidRPr="002B5E33">
        <w:rPr>
          <w:rStyle w:val="Strong"/>
          <w:rFonts w:hint="eastAsia"/>
          <w:b w:val="0"/>
          <w:bCs w:val="0"/>
          <w:rtl/>
        </w:rPr>
        <w:t>ובסופו</w:t>
      </w:r>
      <w:r w:rsidRPr="002B5E33">
        <w:rPr>
          <w:rStyle w:val="Strong"/>
          <w:b w:val="0"/>
          <w:bCs w:val="0"/>
          <w:rtl/>
        </w:rPr>
        <w:t xml:space="preserve"> יהיו בידי</w:t>
      </w:r>
      <w:r w:rsidRPr="002B5E33">
        <w:rPr>
          <w:rStyle w:val="Strong"/>
          <w:rFonts w:hint="cs"/>
          <w:b w:val="0"/>
          <w:bCs w:val="0"/>
          <w:rtl/>
        </w:rPr>
        <w:t xml:space="preserve">ה </w:t>
      </w:r>
      <w:r w:rsidRPr="002B5E33">
        <w:rPr>
          <w:rStyle w:val="Strong"/>
          <w:rFonts w:hint="eastAsia"/>
          <w:b w:val="0"/>
          <w:bCs w:val="0"/>
          <w:rtl/>
        </w:rPr>
        <w:t>נתונים</w:t>
      </w:r>
      <w:r w:rsidRPr="002B5E33">
        <w:rPr>
          <w:rStyle w:val="Strong"/>
          <w:b w:val="0"/>
          <w:bCs w:val="0"/>
          <w:rtl/>
        </w:rPr>
        <w:t xml:space="preserve"> בהיקף רב יותר מבעבר, </w:t>
      </w:r>
      <w:r w:rsidRPr="002B5E33">
        <w:rPr>
          <w:rStyle w:val="Strong"/>
          <w:rFonts w:hint="eastAsia"/>
          <w:b w:val="0"/>
          <w:bCs w:val="0"/>
          <w:rtl/>
        </w:rPr>
        <w:t>אשר</w:t>
      </w:r>
      <w:r w:rsidRPr="002B5E33">
        <w:rPr>
          <w:rStyle w:val="Strong"/>
          <w:b w:val="0"/>
          <w:bCs w:val="0"/>
          <w:rtl/>
        </w:rPr>
        <w:t xml:space="preserve"> יאפשרו לה לבצע ניתוחים מפורטים יותר </w:t>
      </w:r>
      <w:r w:rsidRPr="002B5E33">
        <w:rPr>
          <w:rStyle w:val="Strong"/>
          <w:rFonts w:hint="eastAsia"/>
          <w:b w:val="0"/>
          <w:bCs w:val="0"/>
          <w:rtl/>
        </w:rPr>
        <w:t>ש</w:t>
      </w:r>
      <w:r w:rsidRPr="002B5E33">
        <w:rPr>
          <w:rStyle w:val="Strong"/>
          <w:b w:val="0"/>
          <w:bCs w:val="0"/>
          <w:rtl/>
        </w:rPr>
        <w:t xml:space="preserve">יגדילו את </w:t>
      </w:r>
      <w:r w:rsidRPr="002B5E33">
        <w:rPr>
          <w:rStyle w:val="Strong"/>
          <w:rFonts w:hint="eastAsia"/>
          <w:b w:val="0"/>
          <w:bCs w:val="0"/>
          <w:rtl/>
        </w:rPr>
        <w:t>היקף</w:t>
      </w:r>
      <w:r w:rsidRPr="002B5E33">
        <w:rPr>
          <w:rStyle w:val="Strong"/>
          <w:b w:val="0"/>
          <w:bCs w:val="0"/>
          <w:rtl/>
        </w:rPr>
        <w:t xml:space="preserve"> </w:t>
      </w:r>
      <w:r w:rsidRPr="002B5E33">
        <w:rPr>
          <w:rStyle w:val="Strong"/>
          <w:rFonts w:hint="eastAsia"/>
          <w:b w:val="0"/>
          <w:bCs w:val="0"/>
          <w:rtl/>
        </w:rPr>
        <w:t>המידע</w:t>
      </w:r>
      <w:r w:rsidRPr="002B5E33">
        <w:rPr>
          <w:rStyle w:val="Strong"/>
          <w:b w:val="0"/>
          <w:bCs w:val="0"/>
          <w:rtl/>
        </w:rPr>
        <w:t xml:space="preserve"> </w:t>
      </w:r>
      <w:r w:rsidRPr="002B5E33">
        <w:rPr>
          <w:rStyle w:val="Strong"/>
          <w:rFonts w:hint="eastAsia"/>
          <w:b w:val="0"/>
          <w:bCs w:val="0"/>
          <w:rtl/>
        </w:rPr>
        <w:t>הנגיש</w:t>
      </w:r>
      <w:r w:rsidRPr="002B5E33">
        <w:rPr>
          <w:rStyle w:val="Strong"/>
          <w:b w:val="0"/>
          <w:bCs w:val="0"/>
          <w:rtl/>
        </w:rPr>
        <w:t xml:space="preserve"> לציבור במסגרת דוח הממונה. </w:t>
      </w:r>
      <w:r w:rsidRPr="002B5E33">
        <w:rPr>
          <w:rStyle w:val="Strong"/>
          <w:rFonts w:hint="eastAsia"/>
          <w:b w:val="0"/>
          <w:bCs w:val="0"/>
          <w:rtl/>
        </w:rPr>
        <w:t>זאת</w:t>
      </w:r>
      <w:r w:rsidRPr="002B5E33">
        <w:rPr>
          <w:rStyle w:val="Strong"/>
          <w:b w:val="0"/>
          <w:bCs w:val="0"/>
          <w:rtl/>
        </w:rPr>
        <w:t xml:space="preserve"> במטרה להגדיל את השקיפות </w:t>
      </w:r>
      <w:r w:rsidRPr="002B5E33">
        <w:rPr>
          <w:rStyle w:val="Strong"/>
          <w:rFonts w:hint="cs"/>
          <w:b w:val="0"/>
          <w:bCs w:val="0"/>
          <w:rtl/>
        </w:rPr>
        <w:t xml:space="preserve">שתשפר </w:t>
      </w:r>
      <w:r w:rsidRPr="002B5E33">
        <w:rPr>
          <w:rStyle w:val="Strong"/>
          <w:b w:val="0"/>
          <w:bCs w:val="0"/>
          <w:rtl/>
        </w:rPr>
        <w:t>את הבנת הציבור ותאפשר לגופים להשתמש במידע</w:t>
      </w:r>
      <w:r w:rsidRPr="002B5E33">
        <w:rPr>
          <w:rStyle w:val="Strong"/>
          <w:rFonts w:hint="cs"/>
          <w:b w:val="0"/>
          <w:bCs w:val="0"/>
          <w:rtl/>
        </w:rPr>
        <w:t xml:space="preserve"> הרלוונטי להם</w:t>
      </w:r>
      <w:r w:rsidRPr="002B5E33">
        <w:rPr>
          <w:rStyle w:val="Strong"/>
          <w:b w:val="0"/>
          <w:bCs w:val="0"/>
          <w:rtl/>
        </w:rPr>
        <w:t>.</w:t>
      </w:r>
    </w:p>
    <w:p w:rsidR="00B132F4" w:rsidRPr="002B5E33" w:rsidP="00ED5C0D">
      <w:pPr>
        <w:pStyle w:val="a"/>
        <w:spacing w:line="269" w:lineRule="auto"/>
        <w:rPr>
          <w:rtl/>
        </w:rPr>
      </w:pPr>
    </w:p>
    <w:p w:rsidR="00B132F4" w:rsidRPr="002B5E33" w:rsidP="00ED5C0D">
      <w:pPr>
        <w:spacing w:line="269" w:lineRule="auto"/>
        <w:rPr>
          <w:rFonts w:ascii="David" w:hAnsi="David"/>
          <w:b/>
          <w:bCs/>
          <w:sz w:val="24"/>
          <w:rtl/>
        </w:rPr>
      </w:pPr>
      <w:r w:rsidRPr="002B5E33">
        <w:rPr>
          <w:rFonts w:ascii="David" w:hAnsi="David" w:hint="cs"/>
          <w:b/>
          <w:bCs/>
          <w:sz w:val="24"/>
          <w:rtl/>
        </w:rPr>
        <w:t xml:space="preserve">פעילות </w:t>
      </w:r>
      <w:r w:rsidRPr="002B5E33">
        <w:rPr>
          <w:rFonts w:ascii="David" w:hAnsi="David"/>
          <w:b/>
          <w:bCs/>
          <w:sz w:val="24"/>
          <w:rtl/>
        </w:rPr>
        <w:t xml:space="preserve">הרשות להרחבת בסיס המידע שברשותה </w:t>
      </w:r>
      <w:r w:rsidRPr="002B5E33">
        <w:rPr>
          <w:rFonts w:ascii="David" w:hAnsi="David" w:hint="cs"/>
          <w:b/>
          <w:bCs/>
          <w:sz w:val="24"/>
          <w:rtl/>
        </w:rPr>
        <w:t xml:space="preserve">היא מהלך חיובי אשר עשוי עם השלמתו לסייע לה בפעולות </w:t>
      </w:r>
      <w:r w:rsidRPr="002B5E33">
        <w:rPr>
          <w:rFonts w:ascii="David" w:hAnsi="David"/>
          <w:b/>
          <w:bCs/>
          <w:sz w:val="24"/>
          <w:rtl/>
        </w:rPr>
        <w:t xml:space="preserve">הבקרה והפיקוח </w:t>
      </w:r>
      <w:r w:rsidRPr="002B5E33">
        <w:rPr>
          <w:rFonts w:ascii="David" w:hAnsi="David" w:hint="cs"/>
          <w:b/>
          <w:bCs/>
          <w:sz w:val="24"/>
          <w:rtl/>
        </w:rPr>
        <w:t>על תחום ביטוחי הבריאות</w:t>
      </w:r>
      <w:r w:rsidRPr="002B5E33">
        <w:rPr>
          <w:rFonts w:ascii="David" w:hAnsi="David"/>
          <w:b/>
          <w:bCs/>
          <w:sz w:val="24"/>
          <w:rtl/>
        </w:rPr>
        <w:t xml:space="preserve">. </w:t>
      </w:r>
      <w:r w:rsidRPr="002B5E33">
        <w:rPr>
          <w:rFonts w:ascii="David" w:hAnsi="David" w:hint="cs"/>
          <w:b/>
          <w:bCs/>
          <w:sz w:val="24"/>
          <w:rtl/>
        </w:rPr>
        <w:t>בהתאם</w:t>
      </w:r>
      <w:r w:rsidRPr="002B5E33">
        <w:rPr>
          <w:rFonts w:ascii="David" w:hAnsi="David"/>
          <w:b/>
          <w:bCs/>
          <w:sz w:val="24"/>
          <w:rtl/>
        </w:rPr>
        <w:t xml:space="preserve">, </w:t>
      </w:r>
      <w:r w:rsidRPr="002B5E33">
        <w:rPr>
          <w:rFonts w:ascii="David" w:hAnsi="David" w:hint="cs"/>
          <w:b/>
          <w:bCs/>
          <w:sz w:val="24"/>
          <w:rtl/>
        </w:rPr>
        <w:t>משרד מבקר המדינה ממליץ ל</w:t>
      </w:r>
      <w:r w:rsidRPr="002B5E33">
        <w:rPr>
          <w:rFonts w:ascii="David" w:hAnsi="David" w:hint="eastAsia"/>
          <w:b/>
          <w:bCs/>
          <w:sz w:val="24"/>
          <w:rtl/>
        </w:rPr>
        <w:t>רשות</w:t>
      </w:r>
      <w:r w:rsidRPr="002B5E33">
        <w:rPr>
          <w:rFonts w:ascii="David" w:hAnsi="David"/>
          <w:b/>
          <w:bCs/>
          <w:sz w:val="24"/>
          <w:rtl/>
        </w:rPr>
        <w:t xml:space="preserve"> </w:t>
      </w:r>
      <w:r w:rsidRPr="002B5E33">
        <w:rPr>
          <w:rFonts w:ascii="David" w:hAnsi="David" w:hint="eastAsia"/>
          <w:b/>
          <w:bCs/>
          <w:sz w:val="24"/>
          <w:rtl/>
        </w:rPr>
        <w:t>ל</w:t>
      </w:r>
      <w:r w:rsidRPr="002B5E33">
        <w:rPr>
          <w:rFonts w:ascii="David" w:hAnsi="David" w:hint="cs"/>
          <w:b/>
          <w:bCs/>
          <w:sz w:val="24"/>
          <w:rtl/>
        </w:rPr>
        <w:t xml:space="preserve">עדכן </w:t>
      </w:r>
      <w:r w:rsidRPr="002B5E33">
        <w:rPr>
          <w:rFonts w:ascii="David" w:hAnsi="David" w:hint="eastAsia"/>
          <w:b/>
          <w:bCs/>
          <w:sz w:val="24"/>
          <w:rtl/>
        </w:rPr>
        <w:t>את</w:t>
      </w:r>
      <w:r w:rsidRPr="002B5E33">
        <w:rPr>
          <w:rFonts w:ascii="David" w:hAnsi="David"/>
          <w:b/>
          <w:bCs/>
          <w:sz w:val="24"/>
          <w:rtl/>
        </w:rPr>
        <w:t xml:space="preserve"> </w:t>
      </w:r>
      <w:r w:rsidRPr="002B5E33">
        <w:rPr>
          <w:rFonts w:ascii="David" w:hAnsi="David" w:hint="eastAsia"/>
          <w:b/>
          <w:bCs/>
          <w:sz w:val="24"/>
          <w:rtl/>
        </w:rPr>
        <w:t>דרישו</w:t>
      </w:r>
      <w:r w:rsidRPr="002B5E33">
        <w:rPr>
          <w:rFonts w:ascii="David" w:hAnsi="David" w:hint="cs"/>
          <w:b/>
          <w:bCs/>
          <w:sz w:val="24"/>
          <w:rtl/>
        </w:rPr>
        <w:t xml:space="preserve">ת הנתונים השוטפות מחברות הביטוח וליצור באמצעותם בסיס נתונים רחב ומעודכן אשר יאפשר בחינה מלאה ותדירה של השינויים בשוק. </w:t>
      </w:r>
    </w:p>
    <w:p w:rsidR="00B132F4" w:rsidRPr="002B5E33" w:rsidP="00ED5C0D">
      <w:pPr>
        <w:pStyle w:val="a"/>
        <w:spacing w:line="269" w:lineRule="auto"/>
        <w:rPr>
          <w:rtl/>
        </w:rPr>
      </w:pPr>
    </w:p>
    <w:p w:rsidR="00B132F4" w:rsidRPr="002B5E33" w:rsidP="00ED5C0D">
      <w:pPr>
        <w:spacing w:line="269" w:lineRule="auto"/>
        <w:rPr>
          <w:rStyle w:val="Strong"/>
          <w:bCs w:val="0"/>
          <w:rtl/>
        </w:rPr>
      </w:pPr>
      <w:r w:rsidRPr="002B5E33">
        <w:rPr>
          <w:rStyle w:val="Strong"/>
          <w:bCs w:val="0"/>
          <w:rtl/>
        </w:rPr>
        <w:t>להלן דוגמ</w:t>
      </w:r>
      <w:r w:rsidRPr="002B5E33">
        <w:rPr>
          <w:rStyle w:val="Strong"/>
          <w:rFonts w:hint="cs"/>
          <w:bCs w:val="0"/>
          <w:rtl/>
        </w:rPr>
        <w:t>א</w:t>
      </w:r>
      <w:r w:rsidRPr="002B5E33">
        <w:rPr>
          <w:rStyle w:val="Strong"/>
          <w:bCs w:val="0"/>
          <w:rtl/>
        </w:rPr>
        <w:t>ות של ניתוחים מהותיים לעבודת המאסדר אשר</w:t>
      </w:r>
      <w:r w:rsidRPr="002B5E33" w:rsidR="00602DF1">
        <w:rPr>
          <w:rStyle w:val="Strong"/>
          <w:rFonts w:hint="cs"/>
          <w:bCs w:val="0"/>
          <w:rtl/>
        </w:rPr>
        <w:t xml:space="preserve"> אף</w:t>
      </w:r>
      <w:r w:rsidRPr="002B5E33">
        <w:rPr>
          <w:rStyle w:val="Strong"/>
          <w:bCs w:val="0"/>
          <w:rtl/>
        </w:rPr>
        <w:t xml:space="preserve"> </w:t>
      </w:r>
      <w:r w:rsidRPr="002B5E33" w:rsidR="00602DF1">
        <w:rPr>
          <w:rStyle w:val="Strong"/>
          <w:rFonts w:hint="cs"/>
          <w:bCs w:val="0"/>
          <w:rtl/>
        </w:rPr>
        <w:t>ש</w:t>
      </w:r>
      <w:r w:rsidRPr="002B5E33">
        <w:rPr>
          <w:rStyle w:val="Strong"/>
          <w:rFonts w:hint="cs"/>
          <w:bCs w:val="0"/>
          <w:rtl/>
        </w:rPr>
        <w:t xml:space="preserve">היה אפשר לבצע </w:t>
      </w:r>
      <w:r w:rsidRPr="002B5E33" w:rsidR="00602DF1">
        <w:rPr>
          <w:rStyle w:val="Strong"/>
          <w:rFonts w:hint="cs"/>
          <w:bCs w:val="0"/>
          <w:rtl/>
        </w:rPr>
        <w:t xml:space="preserve">אותם </w:t>
      </w:r>
      <w:r w:rsidRPr="002B5E33">
        <w:rPr>
          <w:rStyle w:val="Strong"/>
          <w:rFonts w:hint="eastAsia"/>
          <w:bCs w:val="0"/>
          <w:rtl/>
        </w:rPr>
        <w:t>באופן</w:t>
      </w:r>
      <w:r w:rsidRPr="002B5E33">
        <w:rPr>
          <w:rStyle w:val="Strong"/>
          <w:bCs w:val="0"/>
          <w:rtl/>
        </w:rPr>
        <w:t xml:space="preserve"> שוטף ברשות שוק ההון</w:t>
      </w:r>
      <w:r w:rsidRPr="002B5E33" w:rsidR="00602DF1">
        <w:rPr>
          <w:rStyle w:val="Strong"/>
          <w:rFonts w:hint="cs"/>
          <w:bCs w:val="0"/>
          <w:rtl/>
        </w:rPr>
        <w:t xml:space="preserve">, הם </w:t>
      </w:r>
      <w:r w:rsidRPr="002B5E33">
        <w:rPr>
          <w:rStyle w:val="Strong"/>
          <w:rFonts w:hint="eastAsia"/>
          <w:bCs w:val="0"/>
          <w:rtl/>
        </w:rPr>
        <w:t>לא</w:t>
      </w:r>
      <w:r w:rsidRPr="002B5E33">
        <w:rPr>
          <w:rStyle w:val="Strong"/>
          <w:bCs w:val="0"/>
          <w:rtl/>
        </w:rPr>
        <w:t xml:space="preserve"> </w:t>
      </w:r>
      <w:r w:rsidRPr="002B5E33">
        <w:rPr>
          <w:rStyle w:val="Strong"/>
          <w:rFonts w:hint="eastAsia"/>
          <w:bCs w:val="0"/>
          <w:rtl/>
        </w:rPr>
        <w:t>נעשו</w:t>
      </w:r>
      <w:r w:rsidRPr="002B5E33">
        <w:rPr>
          <w:rStyle w:val="Strong"/>
          <w:rFonts w:hint="cs"/>
          <w:bCs w:val="0"/>
          <w:rtl/>
        </w:rPr>
        <w:t>:</w:t>
      </w:r>
    </w:p>
    <w:p w:rsidR="00AE17EB" w:rsidP="00ED5C0D">
      <w:pPr>
        <w:pStyle w:val="Heading5"/>
        <w:spacing w:line="269" w:lineRule="auto"/>
        <w:rPr>
          <w:rtl/>
        </w:rPr>
      </w:pPr>
      <w:r>
        <w:rPr>
          <w:rtl/>
        </w:rPr>
        <w:br w:type="page"/>
      </w:r>
    </w:p>
    <w:p w:rsidR="00B132F4" w:rsidRPr="002B5E33" w:rsidP="00ED5C0D">
      <w:pPr>
        <w:pStyle w:val="Heading5"/>
        <w:spacing w:line="269" w:lineRule="auto"/>
        <w:rPr>
          <w:rtl/>
        </w:rPr>
      </w:pPr>
      <w:r w:rsidRPr="002B5E33">
        <w:rPr>
          <w:rFonts w:hint="eastAsia"/>
          <w:rtl/>
        </w:rPr>
        <w:t>בחינ</w:t>
      </w:r>
      <w:r w:rsidRPr="002B5E33">
        <w:rPr>
          <w:rFonts w:hint="cs"/>
          <w:rtl/>
        </w:rPr>
        <w:t>ה</w:t>
      </w:r>
      <w:r w:rsidRPr="002B5E33">
        <w:rPr>
          <w:rtl/>
        </w:rPr>
        <w:t xml:space="preserve"> </w:t>
      </w:r>
      <w:r w:rsidRPr="002B5E33">
        <w:rPr>
          <w:rFonts w:hint="cs"/>
          <w:rtl/>
        </w:rPr>
        <w:t xml:space="preserve">מפורטת של </w:t>
      </w:r>
      <w:r w:rsidRPr="002B5E33">
        <w:rPr>
          <w:rFonts w:hint="eastAsia"/>
          <w:rtl/>
        </w:rPr>
        <w:t>ה</w:t>
      </w:r>
      <w:r w:rsidRPr="002B5E33">
        <w:rPr>
          <w:rtl/>
        </w:rPr>
        <w:t xml:space="preserve">שינויים </w:t>
      </w:r>
      <w:r w:rsidRPr="002B5E33">
        <w:rPr>
          <w:rFonts w:hint="eastAsia"/>
          <w:rtl/>
        </w:rPr>
        <w:t>בשוק</w:t>
      </w:r>
      <w:r w:rsidRPr="002B5E33">
        <w:rPr>
          <w:rtl/>
        </w:rPr>
        <w:t xml:space="preserve"> </w:t>
      </w:r>
    </w:p>
    <w:p w:rsidR="00B132F4" w:rsidRPr="002B5E33" w:rsidP="00456310">
      <w:pPr>
        <w:pStyle w:val="a"/>
        <w:rPr>
          <w:rtl/>
        </w:rPr>
      </w:pPr>
    </w:p>
    <w:p w:rsidR="00B132F4" w:rsidRPr="002B5E33" w:rsidP="00ED5C0D">
      <w:pPr>
        <w:spacing w:line="269" w:lineRule="auto"/>
        <w:rPr>
          <w:rFonts w:ascii="David" w:hAnsi="David"/>
          <w:sz w:val="24"/>
          <w:rtl/>
        </w:rPr>
      </w:pPr>
      <w:r w:rsidRPr="002B5E33">
        <w:rPr>
          <w:rFonts w:ascii="David" w:hAnsi="David"/>
          <w:sz w:val="24"/>
          <w:rtl/>
        </w:rPr>
        <w:t xml:space="preserve">מכיוון שהרשות מקבלת דיווחים פיננסיים שוטפים המפרטים את ההכנסות וההוצאות של חברות הביטוח, עיבוד המידע עם מספר המבוטחים והפוליסות היה מאפשר לרשות לבצע </w:t>
      </w:r>
      <w:r w:rsidRPr="002B5E33">
        <w:rPr>
          <w:rFonts w:ascii="David" w:hAnsi="David" w:hint="cs"/>
          <w:sz w:val="24"/>
          <w:rtl/>
        </w:rPr>
        <w:t xml:space="preserve">באופן תדיר </w:t>
      </w:r>
      <w:r w:rsidRPr="002B5E33">
        <w:rPr>
          <w:rFonts w:ascii="David" w:hAnsi="David"/>
          <w:sz w:val="24"/>
          <w:rtl/>
        </w:rPr>
        <w:t>עיבודי נתונים</w:t>
      </w:r>
      <w:r w:rsidRPr="002B5E33">
        <w:rPr>
          <w:rFonts w:ascii="David" w:hAnsi="David" w:hint="cs"/>
          <w:sz w:val="24"/>
          <w:rtl/>
        </w:rPr>
        <w:t xml:space="preserve"> מפורטים (בפוליסות השונות)</w:t>
      </w:r>
      <w:r w:rsidRPr="002B5E33">
        <w:rPr>
          <w:rFonts w:ascii="David" w:hAnsi="David"/>
          <w:sz w:val="24"/>
          <w:rtl/>
        </w:rPr>
        <w:t xml:space="preserve"> כגון: מחיר הפוליסה הממוצע, התפלגות המבוטחים, השוואה של מחיר הפוליסה הממוצע בקבוצות שונות (פרט מול קבוצתי לדוגמ</w:t>
      </w:r>
      <w:r w:rsidRPr="002B5E33">
        <w:rPr>
          <w:rFonts w:ascii="David" w:hAnsi="David" w:hint="cs"/>
          <w:sz w:val="24"/>
          <w:rtl/>
        </w:rPr>
        <w:t>ה</w:t>
      </w:r>
      <w:r w:rsidRPr="002B5E33">
        <w:rPr>
          <w:rFonts w:ascii="David" w:hAnsi="David"/>
          <w:sz w:val="24"/>
          <w:rtl/>
        </w:rPr>
        <w:t>), השתנות מחיר הפוליסה הממוצע</w:t>
      </w:r>
      <w:r w:rsidRPr="002B5E33">
        <w:rPr>
          <w:rFonts w:ascii="David" w:hAnsi="David" w:hint="cs"/>
          <w:sz w:val="24"/>
          <w:rtl/>
        </w:rPr>
        <w:t xml:space="preserve"> </w:t>
      </w:r>
      <w:r w:rsidRPr="002B5E33">
        <w:rPr>
          <w:rFonts w:ascii="David" w:hAnsi="David"/>
          <w:sz w:val="24"/>
          <w:rtl/>
        </w:rPr>
        <w:t>לאורך זמן ועוד</w:t>
      </w:r>
      <w:r>
        <w:rPr>
          <w:rStyle w:val="FootnoteReference"/>
          <w:rFonts w:ascii="David" w:hAnsi="David"/>
          <w:sz w:val="24"/>
          <w:rtl/>
        </w:rPr>
        <w:footnoteReference w:id="14"/>
      </w:r>
      <w:r w:rsidRPr="002B5E33">
        <w:rPr>
          <w:rFonts w:ascii="David" w:hAnsi="David"/>
          <w:sz w:val="24"/>
          <w:rtl/>
        </w:rPr>
        <w:t xml:space="preserve">. </w:t>
      </w:r>
      <w:r w:rsidRPr="002B5E33">
        <w:rPr>
          <w:rFonts w:ascii="David" w:hAnsi="David" w:hint="cs"/>
          <w:sz w:val="24"/>
          <w:rtl/>
        </w:rPr>
        <w:t>ניתוח</w:t>
      </w:r>
      <w:r w:rsidRPr="002B5E33">
        <w:rPr>
          <w:rFonts w:ascii="David" w:hAnsi="David"/>
          <w:sz w:val="24"/>
          <w:rtl/>
        </w:rPr>
        <w:t xml:space="preserve"> מסוג זה יכול </w:t>
      </w:r>
      <w:r w:rsidRPr="002B5E33">
        <w:rPr>
          <w:rFonts w:ascii="David" w:hAnsi="David" w:hint="cs"/>
          <w:sz w:val="24"/>
          <w:rtl/>
        </w:rPr>
        <w:t>לספק מידע בדבר השפעת צעדי המדיניות של הרשות בתחום וכן</w:t>
      </w:r>
      <w:r w:rsidRPr="002B5E33">
        <w:rPr>
          <w:rFonts w:ascii="David" w:hAnsi="David"/>
          <w:sz w:val="24"/>
          <w:rtl/>
        </w:rPr>
        <w:t xml:space="preserve"> </w:t>
      </w:r>
      <w:r w:rsidRPr="002B5E33">
        <w:rPr>
          <w:rFonts w:ascii="David" w:hAnsi="David" w:hint="cs"/>
          <w:sz w:val="24"/>
          <w:rtl/>
        </w:rPr>
        <w:t>בחינת הגורמים שהובילו ל</w:t>
      </w:r>
      <w:r w:rsidRPr="002B5E33">
        <w:rPr>
          <w:rFonts w:ascii="David" w:hAnsi="David"/>
          <w:sz w:val="24"/>
          <w:rtl/>
        </w:rPr>
        <w:t xml:space="preserve">גידול </w:t>
      </w:r>
      <w:r w:rsidRPr="002B5E33">
        <w:rPr>
          <w:rFonts w:ascii="David" w:hAnsi="David" w:hint="cs"/>
          <w:sz w:val="24"/>
          <w:rtl/>
        </w:rPr>
        <w:t xml:space="preserve">המהיר </w:t>
      </w:r>
      <w:r w:rsidRPr="002B5E33">
        <w:rPr>
          <w:rFonts w:ascii="David" w:hAnsi="David"/>
          <w:sz w:val="24"/>
          <w:rtl/>
        </w:rPr>
        <w:t xml:space="preserve">בסך </w:t>
      </w:r>
      <w:r w:rsidRPr="002B5E33">
        <w:rPr>
          <w:rFonts w:ascii="David" w:hAnsi="David" w:hint="cs"/>
          <w:sz w:val="24"/>
          <w:rtl/>
        </w:rPr>
        <w:t>תשלומי ה</w:t>
      </w:r>
      <w:r w:rsidRPr="002B5E33">
        <w:rPr>
          <w:rFonts w:ascii="David" w:hAnsi="David"/>
          <w:sz w:val="24"/>
          <w:rtl/>
        </w:rPr>
        <w:t xml:space="preserve">פרמיות </w:t>
      </w:r>
      <w:r w:rsidRPr="002B5E33">
        <w:rPr>
          <w:rFonts w:ascii="David" w:hAnsi="David" w:hint="cs"/>
          <w:sz w:val="24"/>
          <w:rtl/>
        </w:rPr>
        <w:t xml:space="preserve">לביטוח המסחרי </w:t>
      </w:r>
      <w:r w:rsidRPr="002B5E33">
        <w:rPr>
          <w:rFonts w:ascii="David" w:hAnsi="David"/>
          <w:sz w:val="24"/>
          <w:rtl/>
        </w:rPr>
        <w:t>בישראל</w:t>
      </w:r>
      <w:r w:rsidRPr="002B5E33">
        <w:rPr>
          <w:rFonts w:ascii="David" w:hAnsi="David" w:hint="cs"/>
          <w:sz w:val="24"/>
          <w:rtl/>
        </w:rPr>
        <w:t xml:space="preserve"> אשר הוכפל בעשור האחרון. </w:t>
      </w:r>
    </w:p>
    <w:p w:rsidR="00B132F4" w:rsidRPr="002B5E33" w:rsidP="00ED5C0D">
      <w:pPr>
        <w:pStyle w:val="a"/>
        <w:spacing w:line="269" w:lineRule="auto"/>
        <w:rPr>
          <w:rtl/>
        </w:rPr>
      </w:pPr>
    </w:p>
    <w:p w:rsidR="00B132F4" w:rsidRPr="002B5E33" w:rsidP="00ED5C0D">
      <w:pPr>
        <w:spacing w:line="269" w:lineRule="auto"/>
        <w:rPr>
          <w:rFonts w:ascii="David" w:hAnsi="David"/>
        </w:rPr>
      </w:pPr>
      <w:r w:rsidRPr="002B5E33">
        <w:rPr>
          <w:rFonts w:hint="cs"/>
          <w:rtl/>
        </w:rPr>
        <w:t>הרשות ציינה בתשובתה כי היא בוחנת כל העת דרכים לשיפור ו</w:t>
      </w:r>
      <w:r w:rsidRPr="002B5E33" w:rsidR="00602DF1">
        <w:rPr>
          <w:rFonts w:hint="cs"/>
          <w:rtl/>
        </w:rPr>
        <w:t>ל</w:t>
      </w:r>
      <w:r w:rsidRPr="002B5E33">
        <w:rPr>
          <w:rFonts w:hint="cs"/>
          <w:rtl/>
        </w:rPr>
        <w:t xml:space="preserve">פרסום המידע </w:t>
      </w:r>
      <w:r w:rsidRPr="002B5E33" w:rsidR="00602DF1">
        <w:rPr>
          <w:rFonts w:hint="cs"/>
          <w:rtl/>
        </w:rPr>
        <w:t xml:space="preserve">שהיא אוספת וכי </w:t>
      </w:r>
      <w:r w:rsidRPr="002B5E33">
        <w:rPr>
          <w:rFonts w:hint="cs"/>
          <w:rtl/>
        </w:rPr>
        <w:t xml:space="preserve">הציגה נתונים ובדיקות </w:t>
      </w:r>
      <w:r w:rsidRPr="002B5E33" w:rsidR="00602DF1">
        <w:rPr>
          <w:rFonts w:hint="cs"/>
          <w:rtl/>
        </w:rPr>
        <w:t xml:space="preserve">שביצעה </w:t>
      </w:r>
      <w:r w:rsidRPr="002B5E33">
        <w:rPr>
          <w:rFonts w:hint="cs"/>
          <w:rtl/>
        </w:rPr>
        <w:t>לבחינת השוק: סקירת הרפורמה בביטוח הבריאות (נעשתה בשנת 2017) ו</w:t>
      </w:r>
      <w:r w:rsidRPr="002B5E33" w:rsidR="00602DF1">
        <w:rPr>
          <w:rFonts w:hint="cs"/>
          <w:rtl/>
        </w:rPr>
        <w:t>ש</w:t>
      </w:r>
      <w:r w:rsidRPr="002B5E33">
        <w:rPr>
          <w:rFonts w:hint="cs"/>
          <w:rtl/>
        </w:rPr>
        <w:t>בה בחנה הרשות שינויים במחיר הפוליסה הממוצעת שבוצעו לאחר הרפורמה של 2016</w:t>
      </w:r>
      <w:r>
        <w:rPr>
          <w:rStyle w:val="FootnoteReference"/>
          <w:rFonts w:ascii="David" w:hAnsi="David"/>
          <w:b/>
          <w:bCs/>
          <w:sz w:val="24"/>
          <w:rtl/>
        </w:rPr>
        <w:footnoteReference w:id="15"/>
      </w:r>
      <w:r w:rsidRPr="002B5E33">
        <w:rPr>
          <w:rFonts w:ascii="David" w:hAnsi="David"/>
          <w:b/>
          <w:bCs/>
          <w:sz w:val="24"/>
          <w:rtl/>
        </w:rPr>
        <w:t xml:space="preserve"> </w:t>
      </w:r>
      <w:r w:rsidRPr="002B5E33">
        <w:rPr>
          <w:rFonts w:hint="cs"/>
          <w:rtl/>
        </w:rPr>
        <w:t xml:space="preserve">; </w:t>
      </w:r>
      <w:r w:rsidRPr="002B5E33" w:rsidR="00602DF1">
        <w:rPr>
          <w:rFonts w:hint="cs"/>
          <w:rtl/>
        </w:rPr>
        <w:t>ה</w:t>
      </w:r>
      <w:r w:rsidRPr="002B5E33">
        <w:rPr>
          <w:rFonts w:hint="cs"/>
          <w:rtl/>
        </w:rPr>
        <w:t xml:space="preserve">דוח </w:t>
      </w:r>
      <w:r w:rsidRPr="002B5E33" w:rsidR="00602DF1">
        <w:rPr>
          <w:rFonts w:hint="cs"/>
          <w:rtl/>
        </w:rPr>
        <w:t xml:space="preserve">השנתי של </w:t>
      </w:r>
      <w:r w:rsidRPr="002B5E33">
        <w:rPr>
          <w:rFonts w:hint="cs"/>
          <w:rtl/>
        </w:rPr>
        <w:t>הממונה</w:t>
      </w:r>
      <w:r w:rsidRPr="002B5E33" w:rsidR="00602DF1">
        <w:rPr>
          <w:rFonts w:hint="cs"/>
          <w:rtl/>
        </w:rPr>
        <w:t xml:space="preserve"> על הרשות</w:t>
      </w:r>
      <w:r w:rsidR="00944242">
        <w:rPr>
          <w:rFonts w:hint="cs"/>
          <w:rtl/>
        </w:rPr>
        <w:t xml:space="preserve"> </w:t>
      </w:r>
      <w:r w:rsidRPr="002B5E33">
        <w:rPr>
          <w:rFonts w:hint="cs"/>
          <w:rtl/>
        </w:rPr>
        <w:t xml:space="preserve">המציג </w:t>
      </w:r>
      <w:r w:rsidRPr="002B5E33">
        <w:rPr>
          <w:rFonts w:ascii="David" w:hAnsi="David" w:hint="eastAsia"/>
          <w:rtl/>
        </w:rPr>
        <w:t>את</w:t>
      </w:r>
      <w:r w:rsidRPr="002B5E33">
        <w:rPr>
          <w:rFonts w:ascii="David" w:hAnsi="David"/>
          <w:rtl/>
        </w:rPr>
        <w:t xml:space="preserve"> </w:t>
      </w:r>
      <w:r w:rsidRPr="002B5E33">
        <w:rPr>
          <w:rFonts w:ascii="David" w:hAnsi="David" w:hint="eastAsia"/>
          <w:rtl/>
        </w:rPr>
        <w:t>שיעור</w:t>
      </w:r>
      <w:r w:rsidRPr="002B5E33">
        <w:rPr>
          <w:rFonts w:ascii="David" w:hAnsi="David"/>
          <w:rtl/>
        </w:rPr>
        <w:t xml:space="preserve"> </w:t>
      </w:r>
      <w:r w:rsidRPr="002B5E33">
        <w:rPr>
          <w:rFonts w:ascii="David" w:hAnsi="David" w:hint="cs"/>
          <w:rtl/>
        </w:rPr>
        <w:t>ההפסד</w:t>
      </w:r>
      <w:r w:rsidRPr="002B5E33">
        <w:rPr>
          <w:rFonts w:ascii="David" w:hAnsi="David"/>
          <w:rtl/>
        </w:rPr>
        <w:t xml:space="preserve">, </w:t>
      </w:r>
      <w:r w:rsidRPr="002B5E33">
        <w:rPr>
          <w:rFonts w:ascii="David" w:hAnsi="David" w:hint="eastAsia"/>
          <w:rtl/>
        </w:rPr>
        <w:t>מדדי</w:t>
      </w:r>
      <w:r w:rsidRPr="002B5E33">
        <w:rPr>
          <w:rFonts w:ascii="David" w:hAnsi="David"/>
          <w:rtl/>
        </w:rPr>
        <w:t xml:space="preserve"> </w:t>
      </w:r>
      <w:r w:rsidRPr="002B5E33">
        <w:rPr>
          <w:rFonts w:ascii="David" w:hAnsi="David" w:hint="eastAsia"/>
          <w:rtl/>
        </w:rPr>
        <w:t>תחרות</w:t>
      </w:r>
      <w:r w:rsidRPr="002B5E33">
        <w:rPr>
          <w:rFonts w:ascii="David" w:hAnsi="David"/>
          <w:rtl/>
        </w:rPr>
        <w:t xml:space="preserve">, </w:t>
      </w:r>
      <w:r w:rsidRPr="002B5E33">
        <w:rPr>
          <w:rFonts w:ascii="David" w:hAnsi="David" w:hint="eastAsia"/>
          <w:rtl/>
        </w:rPr>
        <w:t>נתח</w:t>
      </w:r>
      <w:r w:rsidRPr="002B5E33">
        <w:rPr>
          <w:rFonts w:ascii="David" w:hAnsi="David"/>
          <w:rtl/>
        </w:rPr>
        <w:t xml:space="preserve"> </w:t>
      </w:r>
      <w:r w:rsidRPr="002B5E33">
        <w:rPr>
          <w:rFonts w:ascii="David" w:hAnsi="David" w:hint="eastAsia"/>
          <w:rtl/>
        </w:rPr>
        <w:t>שוק</w:t>
      </w:r>
      <w:r w:rsidRPr="002B5E33">
        <w:rPr>
          <w:rFonts w:ascii="David" w:hAnsi="David"/>
          <w:rtl/>
        </w:rPr>
        <w:t xml:space="preserve"> </w:t>
      </w:r>
      <w:r w:rsidRPr="002B5E33">
        <w:rPr>
          <w:rFonts w:ascii="David" w:hAnsi="David" w:hint="eastAsia"/>
          <w:rtl/>
        </w:rPr>
        <w:t>ונתונים</w:t>
      </w:r>
      <w:r w:rsidRPr="002B5E33">
        <w:rPr>
          <w:rFonts w:ascii="David" w:hAnsi="David"/>
          <w:rtl/>
        </w:rPr>
        <w:t xml:space="preserve"> </w:t>
      </w:r>
      <w:r w:rsidRPr="002B5E33">
        <w:rPr>
          <w:rFonts w:ascii="David" w:hAnsi="David" w:hint="eastAsia"/>
          <w:rtl/>
        </w:rPr>
        <w:t>אחרים</w:t>
      </w:r>
      <w:r w:rsidRPr="002B5E33">
        <w:rPr>
          <w:rFonts w:ascii="David" w:hAnsi="David"/>
          <w:rtl/>
        </w:rPr>
        <w:t>;</w:t>
      </w:r>
      <w:r w:rsidRPr="002B5E33">
        <w:rPr>
          <w:rtl/>
        </w:rPr>
        <w:t xml:space="preserve"> אתר "</w:t>
      </w:r>
      <w:r w:rsidRPr="002B5E33">
        <w:rPr>
          <w:rFonts w:hint="cs"/>
          <w:rtl/>
        </w:rPr>
        <w:t>הר הביטוח</w:t>
      </w:r>
      <w:r w:rsidRPr="002B5E33">
        <w:rPr>
          <w:rtl/>
        </w:rPr>
        <w:t xml:space="preserve">" </w:t>
      </w:r>
      <w:r w:rsidRPr="002B5E33">
        <w:rPr>
          <w:rFonts w:hint="cs"/>
          <w:rtl/>
        </w:rPr>
        <w:t>ש</w:t>
      </w:r>
      <w:r w:rsidRPr="002B5E33">
        <w:rPr>
          <w:rtl/>
        </w:rPr>
        <w:t xml:space="preserve">בו זמין מידע בדבר </w:t>
      </w:r>
      <w:r w:rsidRPr="002B5E33">
        <w:rPr>
          <w:rFonts w:ascii="David" w:hAnsi="David" w:hint="eastAsia"/>
          <w:rtl/>
        </w:rPr>
        <w:t>מחירי</w:t>
      </w:r>
      <w:r w:rsidRPr="002B5E33">
        <w:rPr>
          <w:rFonts w:ascii="David" w:hAnsi="David"/>
          <w:rtl/>
        </w:rPr>
        <w:t xml:space="preserve"> </w:t>
      </w:r>
      <w:r w:rsidRPr="002B5E33">
        <w:rPr>
          <w:rFonts w:ascii="David" w:hAnsi="David" w:hint="eastAsia"/>
          <w:rtl/>
        </w:rPr>
        <w:t>הפרמיות</w:t>
      </w:r>
      <w:r w:rsidRPr="002B5E33">
        <w:rPr>
          <w:rFonts w:ascii="David" w:hAnsi="David"/>
          <w:rtl/>
        </w:rPr>
        <w:t xml:space="preserve"> בפוליסות מרכזיות </w:t>
      </w:r>
      <w:r w:rsidRPr="002B5E33">
        <w:rPr>
          <w:rFonts w:ascii="David" w:hAnsi="David" w:hint="eastAsia"/>
          <w:rtl/>
        </w:rPr>
        <w:t>באופן</w:t>
      </w:r>
      <w:r w:rsidRPr="002B5E33">
        <w:rPr>
          <w:rFonts w:ascii="David" w:hAnsi="David"/>
          <w:rtl/>
        </w:rPr>
        <w:t xml:space="preserve"> </w:t>
      </w:r>
      <w:r w:rsidRPr="002B5E33">
        <w:rPr>
          <w:rFonts w:ascii="David" w:hAnsi="David" w:hint="eastAsia"/>
          <w:rtl/>
        </w:rPr>
        <w:t>ספציפי</w:t>
      </w:r>
      <w:r w:rsidRPr="002B5E33">
        <w:rPr>
          <w:rFonts w:ascii="David" w:hAnsi="David"/>
          <w:rtl/>
        </w:rPr>
        <w:t xml:space="preserve"> </w:t>
      </w:r>
      <w:r w:rsidRPr="002B5E33">
        <w:rPr>
          <w:rFonts w:ascii="David" w:hAnsi="David" w:hint="eastAsia"/>
          <w:rtl/>
        </w:rPr>
        <w:t>לפי</w:t>
      </w:r>
      <w:r w:rsidRPr="002B5E33">
        <w:rPr>
          <w:rFonts w:ascii="David" w:hAnsi="David"/>
          <w:rtl/>
        </w:rPr>
        <w:t xml:space="preserve"> </w:t>
      </w:r>
      <w:r w:rsidRPr="002B5E33">
        <w:rPr>
          <w:rFonts w:ascii="David" w:hAnsi="David" w:hint="eastAsia"/>
          <w:rtl/>
        </w:rPr>
        <w:t>גיל</w:t>
      </w:r>
      <w:r w:rsidRPr="002B5E33">
        <w:rPr>
          <w:rFonts w:ascii="David" w:hAnsi="David"/>
          <w:rtl/>
        </w:rPr>
        <w:t xml:space="preserve"> </w:t>
      </w:r>
      <w:r w:rsidRPr="002B5E33">
        <w:rPr>
          <w:rFonts w:ascii="David" w:hAnsi="David" w:hint="eastAsia"/>
          <w:rtl/>
        </w:rPr>
        <w:t>ומין</w:t>
      </w:r>
      <w:r w:rsidRPr="002B5E33">
        <w:rPr>
          <w:rFonts w:ascii="David" w:hAnsi="David"/>
          <w:rtl/>
        </w:rPr>
        <w:t xml:space="preserve">. </w:t>
      </w:r>
    </w:p>
    <w:p w:rsidR="00B132F4" w:rsidRPr="002B5E33" w:rsidP="00ED5C0D">
      <w:pPr>
        <w:pStyle w:val="a"/>
        <w:spacing w:line="269" w:lineRule="auto"/>
        <w:rPr>
          <w:rtl/>
        </w:rPr>
      </w:pPr>
    </w:p>
    <w:p w:rsidR="00B132F4" w:rsidRPr="002B5E33" w:rsidP="00ED5C0D">
      <w:pPr>
        <w:spacing w:line="269" w:lineRule="auto"/>
        <w:rPr>
          <w:rFonts w:ascii="David" w:hAnsi="David"/>
          <w:b/>
          <w:bCs/>
          <w:sz w:val="24"/>
          <w:rtl/>
        </w:rPr>
      </w:pPr>
      <w:r w:rsidRPr="002B5E33">
        <w:rPr>
          <w:rFonts w:ascii="David" w:hAnsi="David" w:hint="eastAsia"/>
          <w:b/>
          <w:bCs/>
          <w:sz w:val="24"/>
          <w:rtl/>
        </w:rPr>
        <w:t>משרד</w:t>
      </w:r>
      <w:r w:rsidRPr="002B5E33">
        <w:rPr>
          <w:rFonts w:ascii="David" w:hAnsi="David"/>
          <w:b/>
          <w:bCs/>
          <w:sz w:val="24"/>
          <w:rtl/>
        </w:rPr>
        <w:t xml:space="preserve"> מבקר המדינה מציין כי </w:t>
      </w:r>
      <w:r w:rsidRPr="002B5E33">
        <w:rPr>
          <w:rFonts w:ascii="David" w:hAnsi="David" w:hint="eastAsia"/>
          <w:b/>
          <w:bCs/>
          <w:sz w:val="24"/>
          <w:rtl/>
        </w:rPr>
        <w:t>ככל</w:t>
      </w:r>
      <w:r w:rsidRPr="002B5E33">
        <w:rPr>
          <w:rFonts w:ascii="David" w:hAnsi="David"/>
          <w:b/>
          <w:bCs/>
          <w:sz w:val="24"/>
          <w:rtl/>
        </w:rPr>
        <w:t xml:space="preserve"> שהנתונים </w:t>
      </w:r>
      <w:r w:rsidRPr="002B5E33">
        <w:rPr>
          <w:rFonts w:ascii="David" w:hAnsi="David" w:hint="eastAsia"/>
          <w:b/>
          <w:bCs/>
          <w:sz w:val="24"/>
          <w:rtl/>
        </w:rPr>
        <w:t>הזמינים</w:t>
      </w:r>
      <w:r w:rsidRPr="002B5E33">
        <w:rPr>
          <w:rFonts w:ascii="David" w:hAnsi="David"/>
          <w:b/>
          <w:bCs/>
          <w:sz w:val="24"/>
          <w:rtl/>
        </w:rPr>
        <w:t xml:space="preserve"> לרשות </w:t>
      </w:r>
      <w:r w:rsidRPr="002B5E33">
        <w:rPr>
          <w:rFonts w:ascii="David" w:hAnsi="David" w:hint="cs"/>
          <w:b/>
          <w:bCs/>
          <w:sz w:val="24"/>
          <w:rtl/>
        </w:rPr>
        <w:t>י</w:t>
      </w:r>
      <w:r w:rsidRPr="002B5E33">
        <w:rPr>
          <w:rFonts w:ascii="David" w:hAnsi="David" w:hint="eastAsia"/>
          <w:b/>
          <w:bCs/>
          <w:sz w:val="24"/>
          <w:rtl/>
        </w:rPr>
        <w:t>היו</w:t>
      </w:r>
      <w:r w:rsidRPr="002B5E33">
        <w:rPr>
          <w:rFonts w:ascii="David" w:hAnsi="David"/>
          <w:b/>
          <w:bCs/>
          <w:sz w:val="24"/>
          <w:rtl/>
        </w:rPr>
        <w:t xml:space="preserve"> ברמת פירוט גבוהה יותר</w:t>
      </w:r>
      <w:r w:rsidRPr="002B5E33">
        <w:rPr>
          <w:rFonts w:ascii="David" w:hAnsi="David" w:hint="cs"/>
          <w:b/>
          <w:bCs/>
          <w:sz w:val="24"/>
          <w:rtl/>
        </w:rPr>
        <w:t xml:space="preserve"> ויתקבלו </w:t>
      </w:r>
      <w:r w:rsidRPr="002B5E33">
        <w:rPr>
          <w:rFonts w:ascii="David" w:hAnsi="David" w:hint="eastAsia"/>
          <w:b/>
          <w:bCs/>
          <w:sz w:val="24"/>
          <w:rtl/>
        </w:rPr>
        <w:t>באופן</w:t>
      </w:r>
      <w:r w:rsidRPr="002B5E33">
        <w:rPr>
          <w:rFonts w:ascii="David" w:hAnsi="David"/>
          <w:b/>
          <w:bCs/>
          <w:sz w:val="24"/>
          <w:rtl/>
        </w:rPr>
        <w:t xml:space="preserve"> </w:t>
      </w:r>
      <w:r w:rsidRPr="002B5E33">
        <w:rPr>
          <w:rFonts w:ascii="David" w:hAnsi="David" w:hint="eastAsia"/>
          <w:b/>
          <w:bCs/>
          <w:sz w:val="24"/>
          <w:rtl/>
        </w:rPr>
        <w:t>שוטף</w:t>
      </w:r>
      <w:r w:rsidRPr="002B5E33">
        <w:rPr>
          <w:rFonts w:ascii="David" w:hAnsi="David" w:hint="cs"/>
          <w:b/>
          <w:bCs/>
          <w:sz w:val="24"/>
          <w:rtl/>
        </w:rPr>
        <w:t xml:space="preserve"> וקבוע מחברות הביטוח,</w:t>
      </w:r>
      <w:r w:rsidRPr="002B5E33">
        <w:rPr>
          <w:rFonts w:ascii="David" w:hAnsi="David"/>
          <w:b/>
          <w:bCs/>
          <w:sz w:val="24"/>
          <w:rtl/>
        </w:rPr>
        <w:t xml:space="preserve"> כך </w:t>
      </w:r>
      <w:r w:rsidRPr="002B5E33">
        <w:rPr>
          <w:rFonts w:ascii="David" w:hAnsi="David" w:hint="eastAsia"/>
          <w:b/>
          <w:bCs/>
          <w:sz w:val="24"/>
          <w:rtl/>
        </w:rPr>
        <w:t>יהיו</w:t>
      </w:r>
      <w:r w:rsidRPr="002B5E33">
        <w:rPr>
          <w:rFonts w:ascii="David" w:hAnsi="David"/>
          <w:b/>
          <w:bCs/>
          <w:sz w:val="24"/>
          <w:rtl/>
        </w:rPr>
        <w:t xml:space="preserve"> </w:t>
      </w:r>
      <w:r w:rsidRPr="002B5E33">
        <w:rPr>
          <w:rFonts w:ascii="David" w:hAnsi="David" w:hint="eastAsia"/>
          <w:b/>
          <w:bCs/>
          <w:sz w:val="24"/>
          <w:rtl/>
        </w:rPr>
        <w:t>בידיה</w:t>
      </w:r>
      <w:r w:rsidRPr="002B5E33">
        <w:rPr>
          <w:rFonts w:ascii="David" w:hAnsi="David"/>
          <w:b/>
          <w:bCs/>
          <w:sz w:val="24"/>
          <w:rtl/>
        </w:rPr>
        <w:t xml:space="preserve"> </w:t>
      </w:r>
      <w:r w:rsidRPr="002B5E33">
        <w:rPr>
          <w:rFonts w:ascii="David" w:hAnsi="David" w:hint="eastAsia"/>
          <w:b/>
          <w:bCs/>
          <w:sz w:val="24"/>
          <w:rtl/>
        </w:rPr>
        <w:t>הכלים</w:t>
      </w:r>
      <w:r w:rsidRPr="002B5E33">
        <w:rPr>
          <w:rFonts w:ascii="David" w:hAnsi="David"/>
          <w:b/>
          <w:bCs/>
          <w:sz w:val="24"/>
          <w:rtl/>
        </w:rPr>
        <w:t xml:space="preserve"> </w:t>
      </w:r>
      <w:r w:rsidRPr="002B5E33">
        <w:rPr>
          <w:rFonts w:ascii="David" w:hAnsi="David" w:hint="eastAsia"/>
          <w:b/>
          <w:bCs/>
          <w:sz w:val="24"/>
          <w:rtl/>
        </w:rPr>
        <w:t>המלאים</w:t>
      </w:r>
      <w:r w:rsidRPr="002B5E33">
        <w:rPr>
          <w:rFonts w:ascii="David" w:hAnsi="David"/>
          <w:b/>
          <w:bCs/>
          <w:sz w:val="24"/>
          <w:rtl/>
        </w:rPr>
        <w:t xml:space="preserve"> </w:t>
      </w:r>
      <w:r w:rsidRPr="002B5E33">
        <w:rPr>
          <w:rFonts w:ascii="David" w:hAnsi="David" w:hint="eastAsia"/>
          <w:b/>
          <w:bCs/>
          <w:sz w:val="24"/>
          <w:rtl/>
        </w:rPr>
        <w:t>לבחינת</w:t>
      </w:r>
      <w:r w:rsidRPr="002B5E33">
        <w:rPr>
          <w:rFonts w:ascii="David" w:hAnsi="David"/>
          <w:b/>
          <w:bCs/>
          <w:sz w:val="24"/>
          <w:rtl/>
        </w:rPr>
        <w:t xml:space="preserve"> השינוי</w:t>
      </w:r>
      <w:r w:rsidRPr="002B5E33">
        <w:rPr>
          <w:rFonts w:ascii="David" w:hAnsi="David" w:hint="eastAsia"/>
          <w:b/>
          <w:bCs/>
          <w:sz w:val="24"/>
          <w:rtl/>
        </w:rPr>
        <w:t>ים</w:t>
      </w:r>
      <w:r w:rsidRPr="002B5E33">
        <w:rPr>
          <w:rFonts w:ascii="David" w:hAnsi="David"/>
          <w:b/>
          <w:bCs/>
          <w:sz w:val="24"/>
          <w:rtl/>
        </w:rPr>
        <w:t xml:space="preserve"> </w:t>
      </w:r>
      <w:r w:rsidRPr="002B5E33">
        <w:rPr>
          <w:rFonts w:ascii="David" w:hAnsi="David" w:hint="eastAsia"/>
          <w:b/>
          <w:bCs/>
          <w:sz w:val="24"/>
          <w:rtl/>
        </w:rPr>
        <w:t>בפוליסות</w:t>
      </w:r>
      <w:r w:rsidRPr="002B5E33">
        <w:rPr>
          <w:rFonts w:ascii="David" w:hAnsi="David"/>
          <w:b/>
          <w:bCs/>
          <w:sz w:val="24"/>
          <w:rtl/>
        </w:rPr>
        <w:t xml:space="preserve"> </w:t>
      </w:r>
      <w:r w:rsidRPr="002B5E33">
        <w:rPr>
          <w:rFonts w:ascii="David" w:hAnsi="David" w:hint="eastAsia"/>
          <w:b/>
          <w:bCs/>
          <w:sz w:val="24"/>
          <w:rtl/>
        </w:rPr>
        <w:t>למיניהן</w:t>
      </w:r>
      <w:r w:rsidRPr="002B5E33">
        <w:rPr>
          <w:rFonts w:ascii="David" w:hAnsi="David"/>
          <w:b/>
          <w:bCs/>
          <w:sz w:val="24"/>
          <w:rtl/>
        </w:rPr>
        <w:t xml:space="preserve"> ומידת ההשפעה של </w:t>
      </w:r>
      <w:r w:rsidRPr="002B5E33">
        <w:rPr>
          <w:rFonts w:ascii="David" w:hAnsi="David" w:hint="cs"/>
          <w:b/>
          <w:bCs/>
          <w:sz w:val="24"/>
          <w:rtl/>
        </w:rPr>
        <w:t xml:space="preserve">מגוון </w:t>
      </w:r>
      <w:r w:rsidRPr="002B5E33">
        <w:rPr>
          <w:rFonts w:ascii="David" w:hAnsi="David"/>
          <w:b/>
          <w:bCs/>
          <w:sz w:val="24"/>
          <w:rtl/>
        </w:rPr>
        <w:t xml:space="preserve">הפרמטרים בתחום. בחינה תדירה מסוג זה תאפשר זיהוי מגמות ובחינת מידת ההשפעה של הגורמים השונים על התחום. </w:t>
      </w:r>
      <w:r w:rsidRPr="002B5E33">
        <w:rPr>
          <w:rFonts w:ascii="David" w:hAnsi="David" w:hint="eastAsia"/>
          <w:b/>
          <w:bCs/>
          <w:sz w:val="24"/>
          <w:rtl/>
        </w:rPr>
        <w:t>כך</w:t>
      </w:r>
      <w:r w:rsidRPr="002B5E33">
        <w:rPr>
          <w:rFonts w:ascii="David" w:hAnsi="David"/>
          <w:b/>
          <w:bCs/>
          <w:sz w:val="24"/>
          <w:rtl/>
        </w:rPr>
        <w:t xml:space="preserve"> לדוגמה, </w:t>
      </w:r>
      <w:r w:rsidRPr="002B5E33">
        <w:rPr>
          <w:rFonts w:ascii="David" w:hAnsi="David" w:hint="eastAsia"/>
          <w:b/>
          <w:bCs/>
          <w:sz w:val="24"/>
          <w:rtl/>
        </w:rPr>
        <w:t>בחינת</w:t>
      </w:r>
      <w:r w:rsidRPr="002B5E33">
        <w:rPr>
          <w:rFonts w:ascii="David" w:hAnsi="David"/>
          <w:b/>
          <w:bCs/>
          <w:sz w:val="24"/>
          <w:rtl/>
        </w:rPr>
        <w:t xml:space="preserve"> רפורמ</w:t>
      </w:r>
      <w:r w:rsidRPr="002B5E33">
        <w:rPr>
          <w:rFonts w:ascii="David" w:hAnsi="David" w:hint="cs"/>
          <w:b/>
          <w:bCs/>
          <w:sz w:val="24"/>
          <w:rtl/>
        </w:rPr>
        <w:t xml:space="preserve">ת </w:t>
      </w:r>
      <w:r w:rsidRPr="002B5E33">
        <w:rPr>
          <w:rFonts w:ascii="David" w:hAnsi="David"/>
          <w:b/>
          <w:bCs/>
          <w:sz w:val="24"/>
          <w:rtl/>
        </w:rPr>
        <w:t>2016 (</w:t>
      </w:r>
      <w:r w:rsidRPr="002B5E33">
        <w:rPr>
          <w:rFonts w:ascii="David" w:hAnsi="David" w:hint="eastAsia"/>
          <w:b/>
          <w:bCs/>
          <w:sz w:val="24"/>
          <w:rtl/>
        </w:rPr>
        <w:t>שצוינה</w:t>
      </w:r>
      <w:r w:rsidRPr="002B5E33">
        <w:rPr>
          <w:rFonts w:ascii="David" w:hAnsi="David"/>
          <w:b/>
          <w:bCs/>
          <w:sz w:val="24"/>
          <w:rtl/>
        </w:rPr>
        <w:t xml:space="preserve"> בתשובת הרשות </w:t>
      </w:r>
      <w:r w:rsidRPr="002B5E33">
        <w:rPr>
          <w:rFonts w:ascii="David" w:hAnsi="David" w:hint="eastAsia"/>
          <w:b/>
          <w:bCs/>
          <w:sz w:val="24"/>
          <w:rtl/>
        </w:rPr>
        <w:t>לעיל</w:t>
      </w:r>
      <w:r w:rsidRPr="002B5E33">
        <w:rPr>
          <w:rFonts w:ascii="David" w:hAnsi="David"/>
          <w:b/>
          <w:bCs/>
          <w:sz w:val="24"/>
          <w:rtl/>
        </w:rPr>
        <w:t xml:space="preserve">) </w:t>
      </w:r>
      <w:r w:rsidRPr="002B5E33">
        <w:rPr>
          <w:rFonts w:ascii="David" w:hAnsi="David" w:hint="eastAsia"/>
          <w:b/>
          <w:bCs/>
          <w:sz w:val="24"/>
          <w:rtl/>
        </w:rPr>
        <w:t>אשר</w:t>
      </w:r>
      <w:r w:rsidRPr="002B5E33">
        <w:rPr>
          <w:rFonts w:ascii="David" w:hAnsi="David"/>
          <w:b/>
          <w:bCs/>
          <w:sz w:val="24"/>
          <w:rtl/>
        </w:rPr>
        <w:t xml:space="preserve"> </w:t>
      </w:r>
      <w:r w:rsidRPr="002B5E33">
        <w:rPr>
          <w:rFonts w:ascii="David" w:hAnsi="David" w:hint="eastAsia"/>
          <w:b/>
          <w:bCs/>
          <w:sz w:val="24"/>
          <w:rtl/>
        </w:rPr>
        <w:t>בוצעה</w:t>
      </w:r>
      <w:r w:rsidRPr="002B5E33">
        <w:rPr>
          <w:rFonts w:ascii="David" w:hAnsi="David"/>
          <w:b/>
          <w:bCs/>
          <w:sz w:val="24"/>
          <w:rtl/>
        </w:rPr>
        <w:t xml:space="preserve"> </w:t>
      </w:r>
      <w:r w:rsidRPr="002B5E33">
        <w:rPr>
          <w:rFonts w:ascii="David" w:hAnsi="David" w:hint="eastAsia"/>
          <w:b/>
          <w:bCs/>
          <w:sz w:val="24"/>
          <w:rtl/>
        </w:rPr>
        <w:t>על</w:t>
      </w:r>
      <w:r w:rsidRPr="002B5E33">
        <w:rPr>
          <w:rFonts w:ascii="David" w:hAnsi="David"/>
          <w:b/>
          <w:bCs/>
          <w:sz w:val="24"/>
          <w:rtl/>
        </w:rPr>
        <w:t xml:space="preserve"> בסיס דרישת נתונים </w:t>
      </w:r>
      <w:r w:rsidRPr="002B5E33">
        <w:rPr>
          <w:rFonts w:ascii="David" w:hAnsi="David" w:hint="eastAsia"/>
          <w:b/>
          <w:bCs/>
          <w:sz w:val="24"/>
          <w:rtl/>
        </w:rPr>
        <w:t>ייעודית</w:t>
      </w:r>
      <w:r w:rsidRPr="002B5E33">
        <w:rPr>
          <w:rFonts w:ascii="David" w:hAnsi="David"/>
          <w:b/>
          <w:bCs/>
          <w:sz w:val="24"/>
          <w:rtl/>
        </w:rPr>
        <w:t xml:space="preserve"> </w:t>
      </w:r>
      <w:r w:rsidRPr="002B5E33">
        <w:rPr>
          <w:rFonts w:ascii="David" w:hAnsi="David" w:hint="eastAsia"/>
          <w:b/>
          <w:bCs/>
          <w:sz w:val="24"/>
          <w:rtl/>
        </w:rPr>
        <w:t>שנשלחה</w:t>
      </w:r>
      <w:r w:rsidRPr="002B5E33">
        <w:rPr>
          <w:rFonts w:ascii="David" w:hAnsi="David"/>
          <w:b/>
          <w:bCs/>
          <w:sz w:val="24"/>
          <w:rtl/>
        </w:rPr>
        <w:t xml:space="preserve"> </w:t>
      </w:r>
      <w:r w:rsidRPr="002B5E33">
        <w:rPr>
          <w:rFonts w:ascii="David" w:hAnsi="David" w:hint="eastAsia"/>
          <w:b/>
          <w:bCs/>
          <w:sz w:val="24"/>
          <w:rtl/>
        </w:rPr>
        <w:t>באופן</w:t>
      </w:r>
      <w:r w:rsidRPr="002B5E33">
        <w:rPr>
          <w:rFonts w:ascii="David" w:hAnsi="David"/>
          <w:b/>
          <w:bCs/>
          <w:sz w:val="24"/>
          <w:rtl/>
        </w:rPr>
        <w:t xml:space="preserve"> חד</w:t>
      </w:r>
      <w:r w:rsidRPr="002B5E33">
        <w:rPr>
          <w:rFonts w:ascii="David" w:hAnsi="David" w:hint="cs"/>
          <w:b/>
          <w:bCs/>
          <w:sz w:val="24"/>
          <w:rtl/>
        </w:rPr>
        <w:t>-</w:t>
      </w:r>
      <w:r w:rsidRPr="002B5E33">
        <w:rPr>
          <w:rFonts w:ascii="David" w:hAnsi="David"/>
          <w:b/>
          <w:bCs/>
          <w:sz w:val="24"/>
          <w:rtl/>
        </w:rPr>
        <w:t xml:space="preserve">פעמי </w:t>
      </w:r>
      <w:r w:rsidRPr="002B5E33">
        <w:rPr>
          <w:rFonts w:ascii="David" w:hAnsi="David" w:hint="eastAsia"/>
          <w:b/>
          <w:bCs/>
          <w:sz w:val="24"/>
          <w:rtl/>
        </w:rPr>
        <w:t>לחברות</w:t>
      </w:r>
      <w:r w:rsidRPr="002B5E33">
        <w:rPr>
          <w:rFonts w:ascii="David" w:hAnsi="David"/>
          <w:b/>
          <w:bCs/>
          <w:sz w:val="24"/>
          <w:rtl/>
        </w:rPr>
        <w:t xml:space="preserve">, </w:t>
      </w:r>
      <w:r w:rsidRPr="002B5E33">
        <w:rPr>
          <w:rFonts w:ascii="David" w:hAnsi="David" w:hint="eastAsia"/>
          <w:b/>
          <w:bCs/>
          <w:sz w:val="24"/>
          <w:rtl/>
        </w:rPr>
        <w:t>יכולה</w:t>
      </w:r>
      <w:r w:rsidRPr="002B5E33">
        <w:rPr>
          <w:rFonts w:ascii="David" w:hAnsi="David"/>
          <w:b/>
          <w:bCs/>
          <w:sz w:val="24"/>
          <w:rtl/>
        </w:rPr>
        <w:t xml:space="preserve"> להתבצע באופן שוטף ולספק תמונת מצב ארוכת טווח של התחום. באופן דומה, המידע יכול לשמש את הרשות לבחינה שוטפת </w:t>
      </w:r>
      <w:r w:rsidRPr="002B5E33">
        <w:rPr>
          <w:rFonts w:ascii="David" w:hAnsi="David" w:hint="eastAsia"/>
          <w:b/>
          <w:bCs/>
          <w:sz w:val="24"/>
          <w:rtl/>
        </w:rPr>
        <w:t>ומדויקת</w:t>
      </w:r>
      <w:r w:rsidRPr="002B5E33">
        <w:rPr>
          <w:rFonts w:ascii="David" w:hAnsi="David"/>
          <w:b/>
          <w:bCs/>
          <w:sz w:val="24"/>
          <w:rtl/>
        </w:rPr>
        <w:t xml:space="preserve"> של </w:t>
      </w:r>
      <w:r w:rsidRPr="002B5E33">
        <w:rPr>
          <w:rFonts w:ascii="David" w:hAnsi="David" w:hint="eastAsia"/>
          <w:b/>
          <w:bCs/>
          <w:sz w:val="24"/>
          <w:rtl/>
        </w:rPr>
        <w:t>גובה</w:t>
      </w:r>
      <w:r w:rsidRPr="002B5E33">
        <w:rPr>
          <w:rFonts w:ascii="David" w:hAnsi="David"/>
          <w:b/>
          <w:bCs/>
          <w:sz w:val="24"/>
          <w:rtl/>
        </w:rPr>
        <w:t xml:space="preserve"> </w:t>
      </w:r>
      <w:r w:rsidRPr="002B5E33">
        <w:rPr>
          <w:rFonts w:ascii="David" w:hAnsi="David" w:hint="eastAsia"/>
          <w:b/>
          <w:bCs/>
          <w:sz w:val="24"/>
          <w:rtl/>
        </w:rPr>
        <w:t>השפעת</w:t>
      </w:r>
      <w:r w:rsidRPr="002B5E33">
        <w:rPr>
          <w:rFonts w:ascii="David" w:hAnsi="David"/>
          <w:b/>
          <w:bCs/>
          <w:sz w:val="24"/>
          <w:rtl/>
        </w:rPr>
        <w:t xml:space="preserve"> </w:t>
      </w:r>
      <w:r w:rsidRPr="002B5E33">
        <w:rPr>
          <w:rFonts w:ascii="David" w:hAnsi="David" w:hint="eastAsia"/>
          <w:b/>
          <w:bCs/>
          <w:sz w:val="24"/>
          <w:rtl/>
        </w:rPr>
        <w:t>הפרמטרים</w:t>
      </w:r>
      <w:r w:rsidRPr="002B5E33">
        <w:rPr>
          <w:rFonts w:ascii="David" w:hAnsi="David"/>
          <w:b/>
          <w:bCs/>
          <w:sz w:val="24"/>
          <w:rtl/>
        </w:rPr>
        <w:t xml:space="preserve"> </w:t>
      </w:r>
      <w:r w:rsidRPr="002B5E33">
        <w:rPr>
          <w:rFonts w:ascii="David" w:hAnsi="David" w:hint="eastAsia"/>
          <w:b/>
          <w:bCs/>
          <w:sz w:val="24"/>
          <w:rtl/>
        </w:rPr>
        <w:t>העיקריים</w:t>
      </w:r>
      <w:r w:rsidRPr="002B5E33">
        <w:rPr>
          <w:rFonts w:ascii="David" w:hAnsi="David"/>
          <w:b/>
          <w:bCs/>
          <w:sz w:val="24"/>
          <w:rtl/>
        </w:rPr>
        <w:t xml:space="preserve"> </w:t>
      </w:r>
      <w:r w:rsidRPr="002B5E33">
        <w:rPr>
          <w:rFonts w:ascii="David" w:hAnsi="David" w:hint="eastAsia"/>
          <w:b/>
          <w:bCs/>
          <w:sz w:val="24"/>
          <w:rtl/>
        </w:rPr>
        <w:t>על</w:t>
      </w:r>
      <w:r w:rsidRPr="002B5E33">
        <w:rPr>
          <w:rFonts w:ascii="David" w:hAnsi="David"/>
          <w:b/>
          <w:bCs/>
          <w:sz w:val="24"/>
          <w:rtl/>
        </w:rPr>
        <w:t xml:space="preserve"> </w:t>
      </w:r>
      <w:r w:rsidRPr="002B5E33">
        <w:rPr>
          <w:rFonts w:ascii="David" w:hAnsi="David" w:hint="eastAsia"/>
          <w:b/>
          <w:bCs/>
          <w:sz w:val="24"/>
          <w:rtl/>
        </w:rPr>
        <w:t>הגידול</w:t>
      </w:r>
      <w:r w:rsidRPr="002B5E33">
        <w:rPr>
          <w:rFonts w:ascii="David" w:hAnsi="David"/>
          <w:b/>
          <w:bCs/>
          <w:sz w:val="24"/>
          <w:rtl/>
        </w:rPr>
        <w:t xml:space="preserve"> </w:t>
      </w:r>
      <w:r w:rsidRPr="002B5E33">
        <w:rPr>
          <w:rFonts w:ascii="David" w:hAnsi="David" w:hint="eastAsia"/>
          <w:b/>
          <w:bCs/>
          <w:sz w:val="24"/>
          <w:rtl/>
        </w:rPr>
        <w:t>בסך</w:t>
      </w:r>
      <w:r w:rsidRPr="002B5E33">
        <w:rPr>
          <w:rFonts w:ascii="David" w:hAnsi="David"/>
          <w:b/>
          <w:bCs/>
          <w:sz w:val="24"/>
          <w:rtl/>
        </w:rPr>
        <w:t xml:space="preserve"> </w:t>
      </w:r>
      <w:r w:rsidRPr="002B5E33">
        <w:rPr>
          <w:rFonts w:ascii="David" w:hAnsi="David" w:hint="eastAsia"/>
          <w:b/>
          <w:bCs/>
          <w:sz w:val="24"/>
          <w:rtl/>
        </w:rPr>
        <w:t>הפרמיות</w:t>
      </w:r>
      <w:r>
        <w:rPr>
          <w:rStyle w:val="FootnoteReference"/>
          <w:rFonts w:ascii="David" w:hAnsi="David"/>
          <w:b/>
          <w:bCs/>
          <w:sz w:val="24"/>
          <w:rtl/>
        </w:rPr>
        <w:footnoteReference w:id="16"/>
      </w:r>
      <w:r w:rsidRPr="002B5E33">
        <w:rPr>
          <w:rFonts w:ascii="David" w:hAnsi="David" w:hint="cs"/>
          <w:b/>
          <w:bCs/>
          <w:sz w:val="24"/>
          <w:rtl/>
        </w:rPr>
        <w:t xml:space="preserve">. </w:t>
      </w:r>
    </w:p>
    <w:p w:rsidR="00B132F4" w:rsidRPr="002B5E33" w:rsidP="00ED5C0D">
      <w:pPr>
        <w:pStyle w:val="a"/>
        <w:spacing w:line="269" w:lineRule="auto"/>
        <w:rPr>
          <w:rtl/>
        </w:rPr>
      </w:pPr>
    </w:p>
    <w:p w:rsidR="00B132F4" w:rsidRPr="002B5E33" w:rsidP="00ED5C0D">
      <w:pPr>
        <w:spacing w:line="269" w:lineRule="auto"/>
        <w:rPr>
          <w:rFonts w:ascii="David" w:hAnsi="David"/>
          <w:rtl/>
        </w:rPr>
      </w:pPr>
      <w:r w:rsidRPr="002B5E33">
        <w:rPr>
          <w:rFonts w:ascii="David" w:hAnsi="David" w:hint="cs"/>
          <w:rtl/>
        </w:rPr>
        <w:t>ל</w:t>
      </w:r>
      <w:r w:rsidRPr="002B5E33">
        <w:rPr>
          <w:rFonts w:ascii="David" w:hAnsi="David" w:hint="eastAsia"/>
          <w:rtl/>
        </w:rPr>
        <w:t>טענ</w:t>
      </w:r>
      <w:r w:rsidRPr="002B5E33">
        <w:rPr>
          <w:rFonts w:ascii="David" w:hAnsi="David" w:hint="cs"/>
          <w:rtl/>
        </w:rPr>
        <w:t>ת</w:t>
      </w:r>
      <w:r w:rsidRPr="002B5E33">
        <w:rPr>
          <w:rFonts w:ascii="David" w:hAnsi="David"/>
          <w:rtl/>
        </w:rPr>
        <w:t xml:space="preserve"> </w:t>
      </w:r>
      <w:r w:rsidRPr="002B5E33">
        <w:rPr>
          <w:rFonts w:ascii="David" w:hAnsi="David" w:hint="eastAsia"/>
          <w:rtl/>
        </w:rPr>
        <w:t>הרשות</w:t>
      </w:r>
      <w:r w:rsidRPr="002B5E33">
        <w:rPr>
          <w:rFonts w:ascii="David" w:hAnsi="David" w:hint="cs"/>
          <w:rtl/>
        </w:rPr>
        <w:t>,</w:t>
      </w:r>
      <w:r w:rsidRPr="002B5E33">
        <w:rPr>
          <w:rFonts w:ascii="David" w:hAnsi="David"/>
          <w:rtl/>
        </w:rPr>
        <w:t xml:space="preserve"> </w:t>
      </w:r>
      <w:r w:rsidRPr="002B5E33">
        <w:rPr>
          <w:rFonts w:ascii="David" w:hAnsi="David" w:hint="eastAsia"/>
          <w:rtl/>
        </w:rPr>
        <w:t>לאור</w:t>
      </w:r>
      <w:r w:rsidRPr="002B5E33">
        <w:rPr>
          <w:rFonts w:ascii="David" w:hAnsi="David"/>
          <w:rtl/>
        </w:rPr>
        <w:t xml:space="preserve"> </w:t>
      </w:r>
      <w:r w:rsidRPr="002B5E33">
        <w:rPr>
          <w:rFonts w:ascii="David" w:hAnsi="David" w:hint="cs"/>
          <w:rtl/>
        </w:rPr>
        <w:t>העובדה</w:t>
      </w:r>
      <w:r w:rsidRPr="002B5E33">
        <w:rPr>
          <w:rFonts w:ascii="David" w:hAnsi="David"/>
          <w:rtl/>
        </w:rPr>
        <w:t xml:space="preserve"> שמשנת 2016 לא אישר הממונה </w:t>
      </w:r>
      <w:r w:rsidRPr="002B5E33">
        <w:rPr>
          <w:rFonts w:ascii="David" w:hAnsi="David" w:hint="cs"/>
          <w:rtl/>
        </w:rPr>
        <w:t>שום</w:t>
      </w:r>
      <w:r w:rsidRPr="002B5E33">
        <w:rPr>
          <w:rFonts w:ascii="David" w:hAnsi="David"/>
          <w:rtl/>
        </w:rPr>
        <w:t xml:space="preserve"> </w:t>
      </w:r>
      <w:r w:rsidRPr="002B5E33">
        <w:rPr>
          <w:rFonts w:ascii="David" w:hAnsi="David" w:hint="eastAsia"/>
          <w:rtl/>
        </w:rPr>
        <w:t>בקשה</w:t>
      </w:r>
      <w:r w:rsidRPr="002B5E33">
        <w:rPr>
          <w:rFonts w:ascii="David" w:hAnsi="David"/>
          <w:rtl/>
        </w:rPr>
        <w:t xml:space="preserve"> </w:t>
      </w:r>
      <w:r w:rsidRPr="002B5E33">
        <w:rPr>
          <w:rFonts w:ascii="David" w:hAnsi="David" w:hint="eastAsia"/>
          <w:rtl/>
        </w:rPr>
        <w:t>להעלאת</w:t>
      </w:r>
      <w:r w:rsidRPr="002B5E33">
        <w:rPr>
          <w:rFonts w:ascii="David" w:hAnsi="David"/>
          <w:rtl/>
        </w:rPr>
        <w:t xml:space="preserve"> תעריף בפוליסות הוצאות רפואיות, ניתן </w:t>
      </w:r>
      <w:r w:rsidRPr="002B5E33">
        <w:rPr>
          <w:rFonts w:ascii="David" w:hAnsi="David" w:hint="eastAsia"/>
          <w:rtl/>
        </w:rPr>
        <w:t>להעריך</w:t>
      </w:r>
      <w:r w:rsidRPr="002B5E33">
        <w:rPr>
          <w:rFonts w:ascii="David" w:hAnsi="David"/>
          <w:rtl/>
        </w:rPr>
        <w:t xml:space="preserve"> כי </w:t>
      </w:r>
      <w:r w:rsidRPr="002B5E33">
        <w:rPr>
          <w:rFonts w:ascii="David" w:hAnsi="David" w:hint="eastAsia"/>
          <w:rtl/>
        </w:rPr>
        <w:t>הגידול</w:t>
      </w:r>
      <w:r w:rsidRPr="002B5E33">
        <w:rPr>
          <w:rFonts w:ascii="David" w:hAnsi="David"/>
          <w:rtl/>
        </w:rPr>
        <w:t xml:space="preserve"> </w:t>
      </w:r>
      <w:r w:rsidRPr="002B5E33">
        <w:rPr>
          <w:rFonts w:ascii="David" w:hAnsi="David" w:hint="eastAsia"/>
          <w:rtl/>
        </w:rPr>
        <w:t>בסך</w:t>
      </w:r>
      <w:r w:rsidRPr="002B5E33">
        <w:rPr>
          <w:rFonts w:ascii="David" w:hAnsi="David"/>
          <w:rtl/>
        </w:rPr>
        <w:t xml:space="preserve"> </w:t>
      </w:r>
      <w:r w:rsidRPr="002B5E33">
        <w:rPr>
          <w:rFonts w:ascii="David" w:hAnsi="David" w:hint="eastAsia"/>
          <w:rtl/>
        </w:rPr>
        <w:t>הפרמיות</w:t>
      </w:r>
      <w:r w:rsidRPr="002B5E33">
        <w:rPr>
          <w:rFonts w:ascii="David" w:hAnsi="David"/>
          <w:rtl/>
        </w:rPr>
        <w:t xml:space="preserve"> </w:t>
      </w:r>
      <w:r w:rsidRPr="002B5E33">
        <w:rPr>
          <w:rFonts w:ascii="David" w:hAnsi="David" w:hint="eastAsia"/>
          <w:rtl/>
        </w:rPr>
        <w:t>נובע</w:t>
      </w:r>
      <w:r w:rsidRPr="002B5E33">
        <w:rPr>
          <w:rFonts w:ascii="David" w:hAnsi="David"/>
          <w:rtl/>
        </w:rPr>
        <w:t xml:space="preserve"> </w:t>
      </w:r>
      <w:r w:rsidRPr="002B5E33">
        <w:rPr>
          <w:rFonts w:ascii="David" w:hAnsi="David" w:hint="eastAsia"/>
          <w:rtl/>
        </w:rPr>
        <w:t>מהסיבות</w:t>
      </w:r>
      <w:r w:rsidRPr="002B5E33">
        <w:rPr>
          <w:rFonts w:ascii="David" w:hAnsi="David"/>
          <w:rtl/>
        </w:rPr>
        <w:t xml:space="preserve"> </w:t>
      </w:r>
      <w:r w:rsidRPr="002B5E33">
        <w:rPr>
          <w:rFonts w:ascii="David" w:hAnsi="David" w:hint="cs"/>
          <w:rtl/>
        </w:rPr>
        <w:t>אלה</w:t>
      </w:r>
      <w:r w:rsidRPr="002B5E33">
        <w:rPr>
          <w:rFonts w:ascii="David" w:hAnsi="David"/>
          <w:rtl/>
        </w:rPr>
        <w:t xml:space="preserve">: </w:t>
      </w:r>
      <w:r w:rsidRPr="002B5E33">
        <w:rPr>
          <w:rFonts w:ascii="David" w:hAnsi="David" w:hint="eastAsia"/>
          <w:rtl/>
        </w:rPr>
        <w:t>צירוף</w:t>
      </w:r>
      <w:r w:rsidRPr="002B5E33">
        <w:rPr>
          <w:rFonts w:ascii="David" w:hAnsi="David"/>
          <w:rtl/>
        </w:rPr>
        <w:t xml:space="preserve"> </w:t>
      </w:r>
      <w:r w:rsidRPr="002B5E33">
        <w:rPr>
          <w:rFonts w:ascii="David" w:hAnsi="David" w:hint="eastAsia"/>
          <w:rtl/>
        </w:rPr>
        <w:t>מבוטחים</w:t>
      </w:r>
      <w:r w:rsidRPr="002B5E33">
        <w:rPr>
          <w:rFonts w:ascii="David" w:hAnsi="David"/>
          <w:rtl/>
        </w:rPr>
        <w:t xml:space="preserve"> </w:t>
      </w:r>
      <w:r w:rsidRPr="002B5E33">
        <w:rPr>
          <w:rFonts w:ascii="David" w:hAnsi="David" w:hint="eastAsia"/>
          <w:rtl/>
        </w:rPr>
        <w:t>חדשים</w:t>
      </w:r>
      <w:r w:rsidRPr="002B5E33">
        <w:rPr>
          <w:rFonts w:ascii="David" w:hAnsi="David"/>
          <w:rtl/>
        </w:rPr>
        <w:t xml:space="preserve">; </w:t>
      </w:r>
      <w:r w:rsidRPr="002B5E33">
        <w:rPr>
          <w:rFonts w:ascii="David" w:hAnsi="David" w:hint="eastAsia"/>
          <w:rtl/>
        </w:rPr>
        <w:t>הרחבת</w:t>
      </w:r>
      <w:r w:rsidRPr="002B5E33">
        <w:rPr>
          <w:rFonts w:ascii="David" w:hAnsi="David"/>
          <w:rtl/>
        </w:rPr>
        <w:t xml:space="preserve"> </w:t>
      </w:r>
      <w:r w:rsidRPr="002B5E33">
        <w:rPr>
          <w:rFonts w:ascii="David" w:hAnsi="David" w:hint="eastAsia"/>
          <w:rtl/>
        </w:rPr>
        <w:t>הכיסוי</w:t>
      </w:r>
      <w:r w:rsidRPr="002B5E33">
        <w:rPr>
          <w:rFonts w:ascii="David" w:hAnsi="David"/>
          <w:rtl/>
        </w:rPr>
        <w:t xml:space="preserve"> </w:t>
      </w:r>
      <w:r w:rsidRPr="002B5E33">
        <w:rPr>
          <w:rFonts w:ascii="David" w:hAnsi="David" w:hint="eastAsia"/>
          <w:rtl/>
        </w:rPr>
        <w:t>למבוטחים</w:t>
      </w:r>
      <w:r w:rsidRPr="002B5E33">
        <w:rPr>
          <w:rFonts w:ascii="David" w:hAnsi="David"/>
          <w:rtl/>
        </w:rPr>
        <w:t xml:space="preserve"> </w:t>
      </w:r>
      <w:r w:rsidRPr="002B5E33">
        <w:rPr>
          <w:rFonts w:ascii="David" w:hAnsi="David" w:hint="eastAsia"/>
          <w:rtl/>
        </w:rPr>
        <w:t>קיימים</w:t>
      </w:r>
      <w:r w:rsidRPr="002B5E33">
        <w:rPr>
          <w:rFonts w:ascii="David" w:hAnsi="David"/>
          <w:rtl/>
        </w:rPr>
        <w:t xml:space="preserve">; </w:t>
      </w:r>
      <w:r w:rsidRPr="002B5E33">
        <w:rPr>
          <w:rFonts w:ascii="David" w:hAnsi="David" w:hint="cs"/>
          <w:rtl/>
        </w:rPr>
        <w:t xml:space="preserve">ייקור הפרמיות בשל </w:t>
      </w:r>
      <w:r w:rsidRPr="002B5E33">
        <w:rPr>
          <w:rFonts w:ascii="David" w:hAnsi="David" w:hint="eastAsia"/>
          <w:rtl/>
        </w:rPr>
        <w:t>מעבר</w:t>
      </w:r>
      <w:r w:rsidRPr="002B5E33">
        <w:rPr>
          <w:rFonts w:ascii="David" w:hAnsi="David"/>
          <w:rtl/>
        </w:rPr>
        <w:t xml:space="preserve"> </w:t>
      </w:r>
      <w:r w:rsidRPr="002B5E33">
        <w:rPr>
          <w:rFonts w:ascii="David" w:hAnsi="David" w:hint="cs"/>
          <w:rtl/>
        </w:rPr>
        <w:t xml:space="preserve">של </w:t>
      </w:r>
      <w:r w:rsidRPr="002B5E33">
        <w:rPr>
          <w:rFonts w:ascii="David" w:hAnsi="David" w:hint="eastAsia"/>
          <w:rtl/>
        </w:rPr>
        <w:t>מבוטחים</w:t>
      </w:r>
      <w:r w:rsidRPr="002B5E33">
        <w:rPr>
          <w:rFonts w:ascii="David" w:hAnsi="David"/>
          <w:rtl/>
        </w:rPr>
        <w:t xml:space="preserve"> </w:t>
      </w:r>
      <w:r w:rsidRPr="002B5E33">
        <w:rPr>
          <w:rFonts w:ascii="David" w:hAnsi="David" w:hint="eastAsia"/>
          <w:rtl/>
        </w:rPr>
        <w:t>קיימים</w:t>
      </w:r>
      <w:r w:rsidRPr="002B5E33">
        <w:rPr>
          <w:rFonts w:ascii="David" w:hAnsi="David"/>
          <w:rtl/>
        </w:rPr>
        <w:t xml:space="preserve"> </w:t>
      </w:r>
      <w:r w:rsidRPr="002B5E33">
        <w:rPr>
          <w:rFonts w:ascii="David" w:hAnsi="David" w:hint="eastAsia"/>
          <w:rtl/>
        </w:rPr>
        <w:t>בין</w:t>
      </w:r>
      <w:r w:rsidRPr="002B5E33">
        <w:rPr>
          <w:rFonts w:ascii="David" w:hAnsi="David"/>
          <w:rtl/>
        </w:rPr>
        <w:t xml:space="preserve"> </w:t>
      </w:r>
      <w:r w:rsidRPr="002B5E33">
        <w:rPr>
          <w:rFonts w:ascii="David" w:hAnsi="David" w:hint="eastAsia"/>
          <w:rtl/>
        </w:rPr>
        <w:t>קבוצות</w:t>
      </w:r>
      <w:r w:rsidRPr="002B5E33">
        <w:rPr>
          <w:rFonts w:ascii="David" w:hAnsi="David"/>
          <w:rtl/>
        </w:rPr>
        <w:t xml:space="preserve"> </w:t>
      </w:r>
      <w:r w:rsidRPr="002B5E33">
        <w:rPr>
          <w:rFonts w:ascii="David" w:hAnsi="David" w:hint="eastAsia"/>
          <w:rtl/>
        </w:rPr>
        <w:t>גיל</w:t>
      </w:r>
      <w:r w:rsidRPr="002B5E33">
        <w:rPr>
          <w:rFonts w:ascii="David" w:hAnsi="David"/>
          <w:rtl/>
        </w:rPr>
        <w:t xml:space="preserve"> (למשל </w:t>
      </w:r>
      <w:r w:rsidRPr="002B5E33">
        <w:rPr>
          <w:rFonts w:ascii="David" w:hAnsi="David" w:hint="eastAsia"/>
          <w:rtl/>
        </w:rPr>
        <w:t>בעת</w:t>
      </w:r>
      <w:r w:rsidRPr="002B5E33">
        <w:rPr>
          <w:rFonts w:ascii="David" w:hAnsi="David"/>
          <w:rtl/>
        </w:rPr>
        <w:t xml:space="preserve"> </w:t>
      </w:r>
      <w:r w:rsidRPr="002B5E33">
        <w:rPr>
          <w:rFonts w:ascii="David" w:hAnsi="David" w:hint="eastAsia"/>
          <w:rtl/>
        </w:rPr>
        <w:t>מעבר</w:t>
      </w:r>
      <w:r w:rsidRPr="002B5E33">
        <w:rPr>
          <w:rFonts w:ascii="David" w:hAnsi="David"/>
          <w:rtl/>
        </w:rPr>
        <w:t xml:space="preserve"> </w:t>
      </w:r>
      <w:r w:rsidRPr="002B5E33">
        <w:rPr>
          <w:rFonts w:ascii="David" w:hAnsi="David" w:hint="eastAsia"/>
          <w:rtl/>
        </w:rPr>
        <w:t>מגיל</w:t>
      </w:r>
      <w:r w:rsidRPr="002B5E33">
        <w:rPr>
          <w:rFonts w:ascii="David" w:hAnsi="David"/>
          <w:rtl/>
        </w:rPr>
        <w:t xml:space="preserve"> 29 </w:t>
      </w:r>
      <w:r w:rsidR="007E06A8">
        <w:rPr>
          <w:rFonts w:ascii="David" w:hAnsi="David" w:hint="eastAsia"/>
          <w:rtl/>
        </w:rPr>
        <w:t>ל-</w:t>
      </w:r>
      <w:r w:rsidRPr="002B5E33">
        <w:rPr>
          <w:rFonts w:ascii="David" w:hAnsi="David"/>
          <w:rtl/>
        </w:rPr>
        <w:t>30).</w:t>
      </w:r>
    </w:p>
    <w:p w:rsidR="00B132F4" w:rsidRPr="002B5E33" w:rsidP="00ED5C0D">
      <w:pPr>
        <w:pStyle w:val="a"/>
        <w:spacing w:line="269" w:lineRule="auto"/>
        <w:rPr>
          <w:rtl/>
        </w:rPr>
      </w:pPr>
    </w:p>
    <w:p w:rsidR="00B132F4" w:rsidRPr="002B5E33" w:rsidP="00ED5C0D">
      <w:pPr>
        <w:pStyle w:val="Heading5"/>
        <w:spacing w:line="269" w:lineRule="auto"/>
        <w:rPr>
          <w:rtl/>
        </w:rPr>
      </w:pPr>
      <w:r w:rsidRPr="002B5E33">
        <w:rPr>
          <w:rtl/>
        </w:rPr>
        <w:t>מאפייני האוכלוסייה הרוכשת ביטוחי הבריאות</w:t>
      </w:r>
    </w:p>
    <w:p w:rsidR="00B132F4" w:rsidRPr="002B5E33" w:rsidP="00456310">
      <w:pPr>
        <w:pStyle w:val="a"/>
        <w:rPr>
          <w:rtl/>
        </w:rPr>
      </w:pPr>
    </w:p>
    <w:p w:rsidR="00B132F4" w:rsidRPr="002B5E33" w:rsidP="00ED5C0D">
      <w:pPr>
        <w:spacing w:line="269" w:lineRule="auto"/>
        <w:rPr>
          <w:rFonts w:ascii="David" w:hAnsi="David"/>
          <w:b/>
          <w:bCs/>
          <w:sz w:val="24"/>
          <w:rtl/>
        </w:rPr>
      </w:pPr>
      <w:r w:rsidRPr="002B5E33">
        <w:rPr>
          <w:rFonts w:ascii="David" w:hAnsi="David"/>
          <w:sz w:val="24"/>
          <w:rtl/>
        </w:rPr>
        <w:t xml:space="preserve">כיום בידי הרשות יש נתונים חלקיים בלבד על מאפייני האוכלוסייה הרוכשת את ביטוחי הבריאות המסחריים. נתונים אלו מבוססים על סקרי הלמ"ס ומכוני מחקר נוספים, אשר בוחנים את התפלגות המבוטחים בהתאם להכנסה, </w:t>
      </w:r>
      <w:r w:rsidRPr="002B5E33">
        <w:rPr>
          <w:rFonts w:ascii="David" w:hAnsi="David" w:hint="cs"/>
          <w:sz w:val="24"/>
          <w:rtl/>
        </w:rPr>
        <w:t>ל</w:t>
      </w:r>
      <w:r w:rsidRPr="002B5E33">
        <w:rPr>
          <w:rFonts w:ascii="David" w:hAnsi="David"/>
          <w:sz w:val="24"/>
          <w:rtl/>
        </w:rPr>
        <w:t xml:space="preserve">גיל, </w:t>
      </w:r>
      <w:r w:rsidRPr="002B5E33">
        <w:rPr>
          <w:rFonts w:ascii="David" w:hAnsi="David" w:hint="cs"/>
          <w:sz w:val="24"/>
          <w:rtl/>
        </w:rPr>
        <w:t>ל</w:t>
      </w:r>
      <w:r w:rsidRPr="002B5E33">
        <w:rPr>
          <w:rFonts w:ascii="David" w:hAnsi="David"/>
          <w:sz w:val="24"/>
          <w:rtl/>
        </w:rPr>
        <w:t>אזור מגורים, מצב משפחתי ועוד. מידע זה משמש את מקבלי ההחלטות לצורך הבנה מעמיקה של התחום.</w:t>
      </w:r>
      <w:r w:rsidRPr="002B5E33">
        <w:rPr>
          <w:rFonts w:ascii="David" w:hAnsi="David"/>
          <w:b/>
          <w:bCs/>
          <w:sz w:val="24"/>
          <w:rtl/>
        </w:rPr>
        <w:t xml:space="preserve"> </w:t>
      </w:r>
    </w:p>
    <w:p w:rsidR="00B132F4" w:rsidRPr="002B5E33" w:rsidP="00ED5C0D">
      <w:pPr>
        <w:pStyle w:val="a"/>
        <w:spacing w:line="269" w:lineRule="auto"/>
        <w:rPr>
          <w:rtl/>
        </w:rPr>
      </w:pPr>
    </w:p>
    <w:p w:rsidR="00B132F4" w:rsidRPr="002B5E33" w:rsidP="00ED5C0D">
      <w:pPr>
        <w:spacing w:line="269" w:lineRule="auto"/>
        <w:rPr>
          <w:rFonts w:ascii="David" w:hAnsi="David"/>
          <w:sz w:val="24"/>
          <w:rtl/>
        </w:rPr>
      </w:pPr>
      <w:r w:rsidRPr="002B5E33">
        <w:rPr>
          <w:rFonts w:ascii="David" w:hAnsi="David" w:hint="cs"/>
          <w:sz w:val="24"/>
          <w:rtl/>
        </w:rPr>
        <w:t xml:space="preserve">כך לדוגמה, </w:t>
      </w:r>
      <w:r w:rsidRPr="002B5E33">
        <w:rPr>
          <w:rFonts w:ascii="David" w:hAnsi="David"/>
          <w:sz w:val="24"/>
          <w:rtl/>
        </w:rPr>
        <w:t>מנתוני הלמ"ס</w:t>
      </w:r>
      <w:r w:rsidRPr="002B5E33">
        <w:rPr>
          <w:rFonts w:ascii="David" w:hAnsi="David" w:hint="cs"/>
          <w:sz w:val="24"/>
          <w:rtl/>
        </w:rPr>
        <w:t>, כפי שיוצגו בתרשימים שלהלן,</w:t>
      </w:r>
      <w:r w:rsidRPr="002B5E33">
        <w:rPr>
          <w:rFonts w:ascii="David" w:hAnsi="David"/>
          <w:sz w:val="24"/>
          <w:rtl/>
        </w:rPr>
        <w:t xml:space="preserve"> </w:t>
      </w:r>
      <w:r w:rsidRPr="002B5E33">
        <w:rPr>
          <w:rFonts w:ascii="David" w:hAnsi="David" w:hint="cs"/>
          <w:sz w:val="24"/>
          <w:rtl/>
        </w:rPr>
        <w:t xml:space="preserve">עולה </w:t>
      </w:r>
      <w:r w:rsidRPr="002B5E33">
        <w:rPr>
          <w:rFonts w:ascii="David" w:hAnsi="David"/>
          <w:sz w:val="24"/>
          <w:rtl/>
        </w:rPr>
        <w:t xml:space="preserve">כי רכישת </w:t>
      </w:r>
      <w:r w:rsidRPr="002B5E33">
        <w:rPr>
          <w:rFonts w:ascii="David" w:hAnsi="David" w:hint="cs"/>
          <w:sz w:val="24"/>
          <w:rtl/>
        </w:rPr>
        <w:t>הכיסויים הפרטיים (ה</w:t>
      </w:r>
      <w:r w:rsidRPr="002B5E33">
        <w:rPr>
          <w:rFonts w:ascii="David" w:hAnsi="David"/>
          <w:sz w:val="24"/>
          <w:rtl/>
        </w:rPr>
        <w:t xml:space="preserve">ביטוחים </w:t>
      </w:r>
      <w:r w:rsidRPr="002B5E33">
        <w:rPr>
          <w:rFonts w:ascii="David" w:hAnsi="David" w:hint="cs"/>
          <w:sz w:val="24"/>
          <w:rtl/>
        </w:rPr>
        <w:t>המסחריים ותוכניות השב"ן) נעשית</w:t>
      </w:r>
      <w:r w:rsidRPr="002B5E33">
        <w:rPr>
          <w:rFonts w:ascii="David" w:hAnsi="David"/>
          <w:sz w:val="24"/>
          <w:rtl/>
        </w:rPr>
        <w:t xml:space="preserve"> בעיקר במשקי הבית מהמעמד </w:t>
      </w:r>
      <w:r w:rsidRPr="002B5E33">
        <w:rPr>
          <w:rFonts w:ascii="David" w:hAnsi="David" w:hint="cs"/>
          <w:sz w:val="24"/>
          <w:rtl/>
        </w:rPr>
        <w:t>החברתי-כלכלי</w:t>
      </w:r>
      <w:r w:rsidRPr="002B5E33">
        <w:rPr>
          <w:rFonts w:ascii="David" w:hAnsi="David"/>
          <w:sz w:val="24"/>
          <w:rtl/>
        </w:rPr>
        <w:t xml:space="preserve"> הגבוה, </w:t>
      </w:r>
      <w:r w:rsidRPr="002B5E33">
        <w:rPr>
          <w:rFonts w:ascii="David" w:hAnsi="David" w:hint="cs"/>
          <w:sz w:val="24"/>
          <w:rtl/>
        </w:rPr>
        <w:t>דבר</w:t>
      </w:r>
      <w:r w:rsidRPr="002B5E33">
        <w:rPr>
          <w:rFonts w:ascii="David" w:hAnsi="David"/>
          <w:sz w:val="24"/>
          <w:rtl/>
        </w:rPr>
        <w:t xml:space="preserve"> </w:t>
      </w:r>
      <w:r w:rsidRPr="002B5E33">
        <w:rPr>
          <w:rFonts w:ascii="David" w:hAnsi="David" w:hint="cs"/>
          <w:sz w:val="24"/>
          <w:rtl/>
        </w:rPr>
        <w:t>ה</w:t>
      </w:r>
      <w:r w:rsidRPr="002B5E33">
        <w:rPr>
          <w:rFonts w:ascii="David" w:hAnsi="David"/>
          <w:sz w:val="24"/>
          <w:rtl/>
        </w:rPr>
        <w:t>ת</w:t>
      </w:r>
      <w:r w:rsidRPr="002B5E33">
        <w:rPr>
          <w:rFonts w:ascii="David" w:hAnsi="David" w:hint="cs"/>
          <w:sz w:val="24"/>
          <w:rtl/>
        </w:rPr>
        <w:t>ו</w:t>
      </w:r>
      <w:r w:rsidRPr="002B5E33">
        <w:rPr>
          <w:rFonts w:ascii="David" w:hAnsi="David"/>
          <w:sz w:val="24"/>
          <w:rtl/>
        </w:rPr>
        <w:t xml:space="preserve">רם לאי-שוויון </w:t>
      </w:r>
      <w:r w:rsidRPr="002B5E33">
        <w:rPr>
          <w:rFonts w:ascii="David" w:hAnsi="David" w:hint="cs"/>
          <w:sz w:val="24"/>
          <w:rtl/>
        </w:rPr>
        <w:t xml:space="preserve">בולט </w:t>
      </w:r>
      <w:r w:rsidRPr="002B5E33">
        <w:rPr>
          <w:rFonts w:ascii="David" w:hAnsi="David"/>
          <w:sz w:val="24"/>
          <w:rtl/>
        </w:rPr>
        <w:t>בתחום</w:t>
      </w:r>
      <w:r>
        <w:rPr>
          <w:sz w:val="24"/>
          <w:vertAlign w:val="superscript"/>
          <w:rtl/>
        </w:rPr>
        <w:footnoteReference w:id="17"/>
      </w:r>
      <w:r w:rsidRPr="002B5E33">
        <w:rPr>
          <w:rFonts w:ascii="David" w:hAnsi="David" w:hint="cs"/>
          <w:sz w:val="24"/>
          <w:rtl/>
        </w:rPr>
        <w:t xml:space="preserve">. </w:t>
      </w:r>
    </w:p>
    <w:p w:rsidR="00B132F4" w:rsidRPr="002B5E33" w:rsidP="00ED5C0D">
      <w:pPr>
        <w:pStyle w:val="a"/>
        <w:spacing w:line="269" w:lineRule="auto"/>
        <w:rPr>
          <w:rtl/>
        </w:rPr>
      </w:pPr>
    </w:p>
    <w:p w:rsidR="00870BAF" w:rsidP="00ED5C0D">
      <w:pPr>
        <w:spacing w:line="269" w:lineRule="auto"/>
        <w:jc w:val="center"/>
        <w:rPr>
          <w:b/>
          <w:bCs/>
          <w:rtl/>
        </w:rPr>
      </w:pPr>
    </w:p>
    <w:p w:rsidR="00870BAF" w:rsidP="00ED5C0D">
      <w:pPr>
        <w:spacing w:line="269" w:lineRule="auto"/>
        <w:jc w:val="center"/>
        <w:rPr>
          <w:b/>
          <w:bCs/>
          <w:rtl/>
        </w:rPr>
      </w:pPr>
    </w:p>
    <w:p w:rsidR="00B132F4" w:rsidRPr="002B5E33" w:rsidP="00870BAF">
      <w:pPr>
        <w:spacing w:line="269" w:lineRule="auto"/>
        <w:jc w:val="center"/>
        <w:rPr>
          <w:b/>
          <w:bCs/>
          <w:rtl/>
        </w:rPr>
      </w:pPr>
      <w:r w:rsidRPr="002B5E33">
        <w:rPr>
          <w:b/>
          <w:bCs/>
          <w:rtl/>
        </w:rPr>
        <w:t xml:space="preserve">תרשים </w:t>
      </w:r>
      <w:r w:rsidRPr="002B5E33">
        <w:rPr>
          <w:rFonts w:hint="cs"/>
          <w:b/>
          <w:bCs/>
          <w:rtl/>
        </w:rPr>
        <w:t>5</w:t>
      </w:r>
      <w:r w:rsidR="00870BAF">
        <w:rPr>
          <w:rFonts w:hint="cs"/>
          <w:b/>
          <w:bCs/>
          <w:rtl/>
        </w:rPr>
        <w:t xml:space="preserve">: </w:t>
      </w:r>
      <w:r w:rsidRPr="002B5E33">
        <w:rPr>
          <w:rFonts w:hint="cs"/>
          <w:b/>
          <w:bCs/>
          <w:rtl/>
        </w:rPr>
        <w:t>שיעור בני 20 ומעלה בישראל המבוטחים בביטוחי בריאות לפי מאפיינים נבחרים</w:t>
      </w:r>
      <w:r w:rsidRPr="002B5E33">
        <w:rPr>
          <w:b/>
          <w:bCs/>
          <w:rtl/>
        </w:rPr>
        <w:t>,</w:t>
      </w:r>
      <w:r w:rsidRPr="002B5E33">
        <w:rPr>
          <w:rFonts w:hint="cs"/>
          <w:b/>
          <w:bCs/>
          <w:rtl/>
        </w:rPr>
        <w:t xml:space="preserve"> </w:t>
      </w:r>
      <w:r w:rsidRPr="002B5E33">
        <w:rPr>
          <w:b/>
          <w:bCs/>
          <w:rtl/>
        </w:rPr>
        <w:t>2017</w:t>
      </w:r>
      <w:r w:rsidRPr="002B5E33">
        <w:rPr>
          <w:rFonts w:hint="cs"/>
          <w:b/>
          <w:bCs/>
          <w:rtl/>
        </w:rPr>
        <w:t>,(</w:t>
      </w:r>
      <w:r w:rsidRPr="002B5E33">
        <w:rPr>
          <w:b/>
          <w:bCs/>
          <w:rtl/>
        </w:rPr>
        <w:t>אחוזים</w:t>
      </w:r>
      <w:r w:rsidRPr="002B5E33">
        <w:rPr>
          <w:rFonts w:hint="cs"/>
          <w:b/>
          <w:bCs/>
          <w:rtl/>
        </w:rPr>
        <w:t>)</w:t>
      </w:r>
    </w:p>
    <w:p w:rsidR="00870BAF" w:rsidP="00870BAF">
      <w:pPr>
        <w:pStyle w:val="a"/>
        <w:spacing w:before="120" w:after="120" w:line="269" w:lineRule="auto"/>
        <w:jc w:val="center"/>
        <w:rPr>
          <w:rFonts w:ascii="David" w:hAnsi="David"/>
          <w:sz w:val="22"/>
          <w:szCs w:val="22"/>
          <w:rtl/>
        </w:rPr>
      </w:pPr>
      <w:r>
        <w:rPr>
          <w:rFonts w:ascii="David" w:hAnsi="David" w:hint="cs"/>
          <w:noProof/>
          <w:sz w:val="22"/>
          <w:szCs w:val="22"/>
          <w:rtl/>
        </w:rPr>
        <w:drawing>
          <wp:inline distT="0" distB="0" distL="0" distR="0">
            <wp:extent cx="4328169" cy="2474981"/>
            <wp:effectExtent l="0" t="0" r="0" b="1905"/>
            <wp:docPr id="1493377093" name="תמונה 149337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71507" name="commercial-health-insurance-g-5.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74981"/>
                    </a:xfrm>
                    <a:prstGeom prst="rect">
                      <a:avLst/>
                    </a:prstGeom>
                  </pic:spPr>
                </pic:pic>
              </a:graphicData>
            </a:graphic>
          </wp:inline>
        </w:drawing>
      </w:r>
    </w:p>
    <w:p w:rsidR="00B132F4" w:rsidRPr="002B5E33" w:rsidP="00870BAF">
      <w:pPr>
        <w:pStyle w:val="a"/>
        <w:spacing w:line="269" w:lineRule="auto"/>
        <w:rPr>
          <w:rFonts w:ascii="David" w:hAnsi="David"/>
          <w:sz w:val="22"/>
          <w:szCs w:val="22"/>
          <w:rtl/>
        </w:rPr>
      </w:pPr>
      <w:r>
        <w:rPr>
          <w:rFonts w:ascii="David" w:hAnsi="David" w:hint="cs"/>
          <w:sz w:val="22"/>
          <w:szCs w:val="22"/>
          <w:rtl/>
        </w:rPr>
        <w:t>מקור</w:t>
      </w:r>
      <w:r w:rsidRPr="002B5E33">
        <w:rPr>
          <w:rFonts w:ascii="David" w:hAnsi="David"/>
          <w:sz w:val="22"/>
          <w:szCs w:val="22"/>
          <w:rtl/>
        </w:rPr>
        <w:t xml:space="preserve">: </w:t>
      </w:r>
      <w:r w:rsidRPr="002B5E33">
        <w:rPr>
          <w:rFonts w:ascii="David" w:hAnsi="David" w:hint="eastAsia"/>
          <w:sz w:val="22"/>
          <w:szCs w:val="22"/>
          <w:rtl/>
        </w:rPr>
        <w:t>הלמ</w:t>
      </w:r>
      <w:r w:rsidRPr="002B5E33">
        <w:rPr>
          <w:rFonts w:ascii="David" w:hAnsi="David"/>
          <w:sz w:val="22"/>
          <w:szCs w:val="22"/>
          <w:rtl/>
        </w:rPr>
        <w:t>"ס</w:t>
      </w:r>
      <w:r w:rsidRPr="002B5E33">
        <w:rPr>
          <w:rFonts w:ascii="David" w:hAnsi="David"/>
          <w:b/>
          <w:bCs/>
          <w:sz w:val="22"/>
          <w:szCs w:val="22"/>
          <w:rtl/>
        </w:rPr>
        <w:t xml:space="preserve">, </w:t>
      </w:r>
      <w:r w:rsidRPr="002B5E33" w:rsidR="008B5F88">
        <w:rPr>
          <w:rFonts w:ascii="David" w:hAnsi="David" w:hint="eastAsia"/>
          <w:b/>
          <w:bCs/>
          <w:sz w:val="22"/>
          <w:szCs w:val="22"/>
          <w:rtl/>
        </w:rPr>
        <w:t>ה</w:t>
      </w:r>
      <w:r w:rsidRPr="002B5E33">
        <w:rPr>
          <w:rFonts w:ascii="David" w:hAnsi="David" w:hint="eastAsia"/>
          <w:b/>
          <w:bCs/>
          <w:sz w:val="22"/>
          <w:szCs w:val="22"/>
          <w:rtl/>
        </w:rPr>
        <w:t>סקר</w:t>
      </w:r>
      <w:r w:rsidRPr="002B5E33">
        <w:rPr>
          <w:rFonts w:ascii="David" w:hAnsi="David"/>
          <w:b/>
          <w:bCs/>
          <w:sz w:val="22"/>
          <w:szCs w:val="22"/>
          <w:rtl/>
        </w:rPr>
        <w:t xml:space="preserve"> </w:t>
      </w:r>
      <w:r w:rsidRPr="002B5E33" w:rsidR="008B5F88">
        <w:rPr>
          <w:rFonts w:ascii="David" w:hAnsi="David" w:hint="eastAsia"/>
          <w:b/>
          <w:bCs/>
          <w:sz w:val="22"/>
          <w:szCs w:val="22"/>
          <w:rtl/>
        </w:rPr>
        <w:t>ה</w:t>
      </w:r>
      <w:r w:rsidRPr="002B5E33">
        <w:rPr>
          <w:rFonts w:ascii="David" w:hAnsi="David" w:hint="eastAsia"/>
          <w:b/>
          <w:bCs/>
          <w:sz w:val="22"/>
          <w:szCs w:val="22"/>
          <w:rtl/>
        </w:rPr>
        <w:t>חברתי</w:t>
      </w:r>
      <w:r w:rsidRPr="002B5E33">
        <w:rPr>
          <w:rFonts w:ascii="David" w:hAnsi="David"/>
          <w:b/>
          <w:bCs/>
          <w:sz w:val="22"/>
          <w:szCs w:val="22"/>
          <w:rtl/>
        </w:rPr>
        <w:t xml:space="preserve"> 2017</w:t>
      </w:r>
      <w:r w:rsidRPr="002B5E33">
        <w:rPr>
          <w:rFonts w:ascii="David" w:hAnsi="David"/>
          <w:sz w:val="22"/>
          <w:szCs w:val="22"/>
          <w:rtl/>
        </w:rPr>
        <w:t xml:space="preserve">, </w:t>
      </w:r>
      <w:r w:rsidRPr="002B5E33">
        <w:rPr>
          <w:rFonts w:ascii="David" w:hAnsi="David" w:hint="eastAsia"/>
          <w:sz w:val="22"/>
          <w:szCs w:val="22"/>
          <w:rtl/>
        </w:rPr>
        <w:t>בעיבוד</w:t>
      </w:r>
      <w:r w:rsidRPr="002B5E33">
        <w:rPr>
          <w:rFonts w:ascii="David" w:hAnsi="David"/>
          <w:sz w:val="22"/>
          <w:szCs w:val="22"/>
          <w:rtl/>
        </w:rPr>
        <w:t xml:space="preserve"> </w:t>
      </w:r>
      <w:r w:rsidRPr="002B5E33">
        <w:rPr>
          <w:rFonts w:ascii="David" w:hAnsi="David" w:hint="eastAsia"/>
          <w:sz w:val="22"/>
          <w:szCs w:val="22"/>
          <w:rtl/>
        </w:rPr>
        <w:t>משרד</w:t>
      </w:r>
      <w:r w:rsidRPr="002B5E33">
        <w:rPr>
          <w:rFonts w:ascii="David" w:hAnsi="David"/>
          <w:sz w:val="22"/>
          <w:szCs w:val="22"/>
          <w:rtl/>
        </w:rPr>
        <w:t xml:space="preserve"> </w:t>
      </w:r>
      <w:r w:rsidRPr="002B5E33">
        <w:rPr>
          <w:rFonts w:ascii="David" w:hAnsi="David" w:hint="eastAsia"/>
          <w:sz w:val="22"/>
          <w:szCs w:val="22"/>
          <w:rtl/>
        </w:rPr>
        <w:t>מבקר</w:t>
      </w:r>
      <w:r w:rsidRPr="002B5E33">
        <w:rPr>
          <w:rFonts w:ascii="David" w:hAnsi="David"/>
          <w:sz w:val="22"/>
          <w:szCs w:val="22"/>
          <w:rtl/>
        </w:rPr>
        <w:t xml:space="preserve"> </w:t>
      </w:r>
      <w:r w:rsidRPr="002B5E33">
        <w:rPr>
          <w:rFonts w:ascii="David" w:hAnsi="David" w:hint="eastAsia"/>
          <w:sz w:val="22"/>
          <w:szCs w:val="22"/>
          <w:rtl/>
        </w:rPr>
        <w:t>המדינה</w:t>
      </w:r>
      <w:r w:rsidR="00114ABC">
        <w:rPr>
          <w:rFonts w:ascii="David" w:hAnsi="David" w:hint="cs"/>
          <w:sz w:val="22"/>
          <w:szCs w:val="22"/>
          <w:rtl/>
        </w:rPr>
        <w:t>.</w:t>
      </w:r>
    </w:p>
    <w:p w:rsidR="00494B2B" w:rsidP="00FF3629">
      <w:pPr>
        <w:spacing w:line="269" w:lineRule="auto"/>
        <w:jc w:val="center"/>
        <w:rPr>
          <w:b/>
          <w:bCs/>
          <w:rtl/>
        </w:rPr>
      </w:pPr>
    </w:p>
    <w:p w:rsidR="00B132F4" w:rsidRPr="002B5E33" w:rsidP="00FF3629">
      <w:pPr>
        <w:spacing w:line="269" w:lineRule="auto"/>
        <w:jc w:val="center"/>
        <w:rPr>
          <w:b/>
          <w:bCs/>
          <w:rtl/>
        </w:rPr>
      </w:pPr>
      <w:r w:rsidRPr="002B5E33">
        <w:rPr>
          <w:b/>
          <w:bCs/>
          <w:rtl/>
        </w:rPr>
        <w:t xml:space="preserve">תרשים </w:t>
      </w:r>
      <w:r w:rsidR="00097E59">
        <w:rPr>
          <w:rFonts w:hint="cs"/>
          <w:b/>
          <w:bCs/>
          <w:rtl/>
        </w:rPr>
        <w:t>6</w:t>
      </w:r>
      <w:r w:rsidR="00FF3629">
        <w:rPr>
          <w:rFonts w:hint="cs"/>
          <w:b/>
          <w:bCs/>
          <w:rtl/>
        </w:rPr>
        <w:t xml:space="preserve">: </w:t>
      </w:r>
      <w:r w:rsidRPr="002B5E33">
        <w:rPr>
          <w:rFonts w:hint="cs"/>
          <w:b/>
          <w:bCs/>
          <w:rtl/>
        </w:rPr>
        <w:t>שיעור בני 20 ומעלה בישראל המבוטחים בביטוחי בריאות לפי ה</w:t>
      </w:r>
      <w:r w:rsidRPr="002B5E33">
        <w:rPr>
          <w:b/>
          <w:bCs/>
          <w:rtl/>
        </w:rPr>
        <w:t>כנסה ממוצעת לנפש</w:t>
      </w:r>
      <w:r w:rsidR="00971967">
        <w:rPr>
          <w:rFonts w:hint="cs"/>
          <w:b/>
          <w:bCs/>
          <w:rtl/>
        </w:rPr>
        <w:t xml:space="preserve"> </w:t>
      </w:r>
      <w:r w:rsidRPr="002B5E33">
        <w:rPr>
          <w:b/>
          <w:bCs/>
          <w:rtl/>
        </w:rPr>
        <w:t>במשק בית (ברוטו לחודש), 2017</w:t>
      </w:r>
      <w:r w:rsidRPr="002B5E33">
        <w:rPr>
          <w:rFonts w:hint="cs"/>
          <w:b/>
          <w:bCs/>
          <w:rtl/>
        </w:rPr>
        <w:t xml:space="preserve"> (</w:t>
      </w:r>
      <w:r w:rsidRPr="002B5E33" w:rsidR="008B5F88">
        <w:rPr>
          <w:rFonts w:hint="cs"/>
          <w:b/>
          <w:bCs/>
          <w:rtl/>
        </w:rPr>
        <w:t>ב</w:t>
      </w:r>
      <w:r w:rsidRPr="002B5E33">
        <w:rPr>
          <w:rFonts w:hint="cs"/>
          <w:b/>
          <w:bCs/>
          <w:rtl/>
        </w:rPr>
        <w:t>אחוזים)</w:t>
      </w:r>
    </w:p>
    <w:p w:rsidR="00B132F4" w:rsidRPr="002B5E33" w:rsidP="00870BAF">
      <w:pPr>
        <w:spacing w:before="120" w:after="120" w:line="269" w:lineRule="auto"/>
        <w:jc w:val="center"/>
        <w:rPr>
          <w:rtl/>
        </w:rPr>
      </w:pPr>
      <w:r>
        <w:rPr>
          <w:noProof/>
          <w:rtl/>
        </w:rPr>
        <w:drawing>
          <wp:inline distT="0" distB="0" distL="0" distR="0">
            <wp:extent cx="4934722" cy="2654813"/>
            <wp:effectExtent l="0" t="0" r="0" b="0"/>
            <wp:docPr id="1493377094" name="תמונה 149337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2967" name="commercial-health-insurance-g-6.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4722" cy="2654813"/>
                    </a:xfrm>
                    <a:prstGeom prst="rect">
                      <a:avLst/>
                    </a:prstGeom>
                  </pic:spPr>
                </pic:pic>
              </a:graphicData>
            </a:graphic>
          </wp:inline>
        </w:drawing>
      </w:r>
    </w:p>
    <w:p w:rsidR="00B132F4" w:rsidRPr="002B5E33" w:rsidP="00870BAF">
      <w:pPr>
        <w:pStyle w:val="a"/>
        <w:spacing w:line="269" w:lineRule="auto"/>
        <w:jc w:val="left"/>
        <w:rPr>
          <w:rFonts w:ascii="David" w:hAnsi="David"/>
          <w:rtl/>
        </w:rPr>
      </w:pPr>
      <w:r>
        <w:rPr>
          <w:rFonts w:ascii="David" w:hAnsi="David" w:hint="cs"/>
          <w:sz w:val="22"/>
          <w:szCs w:val="22"/>
          <w:rtl/>
        </w:rPr>
        <w:t>מקור</w:t>
      </w:r>
      <w:r w:rsidRPr="002B5E33" w:rsidR="008B5F88">
        <w:rPr>
          <w:rFonts w:ascii="David" w:hAnsi="David" w:hint="cs"/>
          <w:sz w:val="22"/>
          <w:szCs w:val="22"/>
          <w:rtl/>
        </w:rPr>
        <w:t>: הלמ"ס</w:t>
      </w:r>
      <w:r w:rsidRPr="002B5E33" w:rsidR="008B5F88">
        <w:rPr>
          <w:rFonts w:ascii="David" w:hAnsi="David" w:hint="cs"/>
          <w:b/>
          <w:bCs/>
          <w:sz w:val="22"/>
          <w:szCs w:val="22"/>
          <w:rtl/>
        </w:rPr>
        <w:t>, הסקר החברתי 2017</w:t>
      </w:r>
      <w:r w:rsidRPr="002B5E33" w:rsidR="008B5F88">
        <w:rPr>
          <w:rFonts w:ascii="David" w:hAnsi="David" w:hint="cs"/>
          <w:sz w:val="22"/>
          <w:szCs w:val="22"/>
          <w:rtl/>
        </w:rPr>
        <w:t>, בעיבוד משרד מבקר המדינה</w:t>
      </w:r>
      <w:r w:rsidR="00114ABC">
        <w:rPr>
          <w:rFonts w:ascii="David" w:hAnsi="David" w:hint="cs"/>
          <w:sz w:val="22"/>
          <w:szCs w:val="22"/>
          <w:rtl/>
        </w:rPr>
        <w:t>.</w:t>
      </w:r>
    </w:p>
    <w:p w:rsidR="00B132F4" w:rsidRPr="002B5E33" w:rsidP="00ED5C0D">
      <w:pPr>
        <w:pStyle w:val="a"/>
        <w:spacing w:line="269" w:lineRule="auto"/>
        <w:rPr>
          <w:rtl/>
        </w:rPr>
      </w:pPr>
    </w:p>
    <w:p w:rsidR="00B132F4" w:rsidRPr="002B5E33" w:rsidP="00ED5C0D">
      <w:pPr>
        <w:spacing w:line="269" w:lineRule="auto"/>
        <w:rPr>
          <w:rFonts w:ascii="David" w:hAnsi="David"/>
          <w:sz w:val="24"/>
          <w:rtl/>
        </w:rPr>
      </w:pPr>
      <w:r w:rsidRPr="002B5E33">
        <w:rPr>
          <w:rFonts w:ascii="David" w:hAnsi="David" w:hint="cs"/>
          <w:sz w:val="24"/>
          <w:rtl/>
        </w:rPr>
        <w:t>מהתרשימי</w:t>
      </w:r>
      <w:r w:rsidRPr="002B5E33">
        <w:rPr>
          <w:rFonts w:ascii="David" w:hAnsi="David" w:hint="eastAsia"/>
          <w:sz w:val="24"/>
          <w:rtl/>
        </w:rPr>
        <w:t>ם</w:t>
      </w:r>
      <w:r w:rsidRPr="002B5E33">
        <w:rPr>
          <w:rFonts w:ascii="David" w:hAnsi="David"/>
          <w:sz w:val="24"/>
          <w:rtl/>
        </w:rPr>
        <w:t xml:space="preserve"> </w:t>
      </w:r>
      <w:r w:rsidRPr="002B5E33">
        <w:rPr>
          <w:rFonts w:ascii="David" w:hAnsi="David" w:hint="eastAsia"/>
          <w:sz w:val="24"/>
          <w:rtl/>
        </w:rPr>
        <w:t>לעיל</w:t>
      </w:r>
      <w:r w:rsidRPr="002B5E33">
        <w:rPr>
          <w:rFonts w:ascii="David" w:hAnsi="David"/>
          <w:sz w:val="24"/>
          <w:rtl/>
        </w:rPr>
        <w:t xml:space="preserve"> עולה כי </w:t>
      </w:r>
      <w:r w:rsidRPr="002B5E33">
        <w:rPr>
          <w:rFonts w:ascii="David" w:hAnsi="David" w:hint="cs"/>
          <w:sz w:val="24"/>
          <w:rtl/>
        </w:rPr>
        <w:t>יש פערים ניכרים ב</w:t>
      </w:r>
      <w:r w:rsidRPr="002B5E33">
        <w:rPr>
          <w:rFonts w:ascii="David" w:hAnsi="David"/>
          <w:sz w:val="24"/>
          <w:rtl/>
        </w:rPr>
        <w:t>שיעור</w:t>
      </w:r>
      <w:r w:rsidRPr="002B5E33">
        <w:rPr>
          <w:rFonts w:ascii="David" w:hAnsi="David" w:hint="cs"/>
          <w:sz w:val="24"/>
          <w:rtl/>
        </w:rPr>
        <w:t>י</w:t>
      </w:r>
      <w:r w:rsidRPr="002B5E33">
        <w:rPr>
          <w:rFonts w:ascii="David" w:hAnsi="David"/>
          <w:sz w:val="24"/>
          <w:rtl/>
        </w:rPr>
        <w:t xml:space="preserve"> האוכלוסייה </w:t>
      </w:r>
      <w:r w:rsidRPr="002B5E33">
        <w:rPr>
          <w:rFonts w:ascii="David" w:hAnsi="David" w:hint="cs"/>
          <w:sz w:val="24"/>
          <w:rtl/>
        </w:rPr>
        <w:t>שמחזיקה</w:t>
      </w:r>
      <w:r w:rsidRPr="002B5E33">
        <w:rPr>
          <w:rFonts w:ascii="David" w:hAnsi="David"/>
          <w:sz w:val="24"/>
          <w:rtl/>
        </w:rPr>
        <w:t xml:space="preserve"> </w:t>
      </w:r>
      <w:r w:rsidRPr="002B5E33">
        <w:rPr>
          <w:rFonts w:ascii="David" w:hAnsi="David" w:hint="cs"/>
          <w:sz w:val="24"/>
          <w:rtl/>
        </w:rPr>
        <w:t>בכיסויי בריאות</w:t>
      </w:r>
      <w:r w:rsidRPr="002B5E33">
        <w:rPr>
          <w:rFonts w:ascii="David" w:hAnsi="David"/>
          <w:sz w:val="24"/>
          <w:rtl/>
        </w:rPr>
        <w:t xml:space="preserve"> </w:t>
      </w:r>
      <w:r w:rsidRPr="002B5E33">
        <w:rPr>
          <w:rFonts w:ascii="David" w:hAnsi="David" w:hint="cs"/>
          <w:sz w:val="24"/>
          <w:rtl/>
        </w:rPr>
        <w:t>פרטיים, פערים הקשורים במגוון מאפיינים. כך לדוגמה</w:t>
      </w:r>
      <w:r w:rsidRPr="002B5E33">
        <w:rPr>
          <w:rFonts w:ascii="David" w:hAnsi="David"/>
          <w:sz w:val="24"/>
          <w:rtl/>
        </w:rPr>
        <w:t>,</w:t>
      </w:r>
      <w:r w:rsidRPr="002B5E33">
        <w:rPr>
          <w:rFonts w:ascii="David" w:hAnsi="David" w:hint="cs"/>
          <w:sz w:val="24"/>
          <w:rtl/>
        </w:rPr>
        <w:t xml:space="preserve"> שיעור האזרחים היהודים המחזיקים ביטוח רפואי מסחרי גבוה פי 4 מהשיעור המקובל בחברה הערבית. ניתן לראות גם פערים ניכרים בין אקדמאים לחסרי השכלה אקדמית. משתנה נוסף משמעותי הוא ההכנסה לנפש במשק בית. אפשר לראות כי שיעור הביטוחים המסחריים במשקי הבית בעלי הכנסה לנפש גבוהה גבוה פי 5 מאלה עם הכנסה לנפש נמוכה.</w:t>
      </w:r>
      <w:r w:rsidRPr="002B5E33">
        <w:rPr>
          <w:rFonts w:ascii="David" w:hAnsi="David"/>
          <w:sz w:val="24"/>
          <w:rtl/>
        </w:rPr>
        <w:t xml:space="preserve"> </w:t>
      </w:r>
    </w:p>
    <w:p w:rsidR="00B132F4" w:rsidRPr="002B5E33" w:rsidP="00ED5C0D">
      <w:pPr>
        <w:pStyle w:val="a"/>
        <w:spacing w:line="269" w:lineRule="auto"/>
        <w:rPr>
          <w:rtl/>
        </w:rPr>
      </w:pPr>
    </w:p>
    <w:p w:rsidR="00B132F4" w:rsidRPr="002B5E33" w:rsidP="00ED5C0D">
      <w:pPr>
        <w:spacing w:line="269" w:lineRule="auto"/>
        <w:rPr>
          <w:rFonts w:ascii="David" w:hAnsi="David"/>
          <w:sz w:val="24"/>
          <w:rtl/>
        </w:rPr>
      </w:pPr>
      <w:r w:rsidRPr="002B5E33">
        <w:rPr>
          <w:rStyle w:val="Strong"/>
          <w:rFonts w:hint="cs"/>
          <w:rtl/>
        </w:rPr>
        <w:t>הנתונים מעידים שהעלייה הדרמטית ברכישת ביטוחי הבריאות המסחריים בישראל ניכרת בעיקר בקרב האוכלוסייה האמידה והמשכילה במדינה</w:t>
      </w:r>
      <w:r>
        <w:rPr>
          <w:rStyle w:val="FootnoteReference"/>
          <w:b/>
          <w:bCs/>
          <w:rtl/>
        </w:rPr>
        <w:footnoteReference w:id="18"/>
      </w:r>
      <w:r w:rsidRPr="002B5E33">
        <w:rPr>
          <w:rStyle w:val="Strong"/>
          <w:rFonts w:hint="cs"/>
          <w:rtl/>
        </w:rPr>
        <w:t>.</w:t>
      </w:r>
      <w:r w:rsidRPr="002B5E33">
        <w:rPr>
          <w:rFonts w:ascii="David" w:hAnsi="David" w:hint="cs"/>
          <w:sz w:val="24"/>
          <w:rtl/>
        </w:rPr>
        <w:t xml:space="preserve"> </w:t>
      </w:r>
      <w:r w:rsidRPr="002B5E33">
        <w:rPr>
          <w:rStyle w:val="Strong"/>
          <w:rtl/>
        </w:rPr>
        <w:t>עקב חשיבות המידע</w:t>
      </w:r>
      <w:r w:rsidRPr="002B5E33">
        <w:rPr>
          <w:rStyle w:val="Strong"/>
          <w:rFonts w:hint="cs"/>
          <w:rtl/>
        </w:rPr>
        <w:t xml:space="preserve">, </w:t>
      </w:r>
      <w:r w:rsidRPr="002B5E33">
        <w:rPr>
          <w:rStyle w:val="Strong"/>
          <w:rFonts w:hint="eastAsia"/>
          <w:rtl/>
        </w:rPr>
        <w:t>משרד</w:t>
      </w:r>
      <w:r w:rsidRPr="002B5E33">
        <w:rPr>
          <w:rStyle w:val="Strong"/>
          <w:rtl/>
        </w:rPr>
        <w:t xml:space="preserve"> מבקר </w:t>
      </w:r>
      <w:r w:rsidRPr="002B5E33">
        <w:rPr>
          <w:rStyle w:val="Strong"/>
          <w:rFonts w:hint="eastAsia"/>
          <w:rtl/>
        </w:rPr>
        <w:t>המדינה</w:t>
      </w:r>
      <w:r w:rsidRPr="002B5E33">
        <w:rPr>
          <w:rStyle w:val="Strong"/>
          <w:rtl/>
        </w:rPr>
        <w:t xml:space="preserve"> </w:t>
      </w:r>
      <w:r w:rsidRPr="002B5E33">
        <w:rPr>
          <w:rStyle w:val="Strong"/>
          <w:rFonts w:hint="cs"/>
          <w:rtl/>
        </w:rPr>
        <w:t xml:space="preserve">ממליץ </w:t>
      </w:r>
      <w:r w:rsidRPr="002B5E33">
        <w:rPr>
          <w:rStyle w:val="Strong"/>
          <w:rtl/>
        </w:rPr>
        <w:t>לרשות שוק ההון</w:t>
      </w:r>
      <w:r w:rsidRPr="002B5E33">
        <w:rPr>
          <w:rStyle w:val="Strong"/>
          <w:rFonts w:hint="cs"/>
          <w:rtl/>
        </w:rPr>
        <w:t>, לבחון את הסיבות וההשלכות של הפערים בשיעורי ההחזקה בביטוחים המסחריי</w:t>
      </w:r>
      <w:r w:rsidRPr="002B5E33">
        <w:rPr>
          <w:rStyle w:val="Strong"/>
          <w:rFonts w:hint="eastAsia"/>
          <w:rtl/>
        </w:rPr>
        <w:t>ם</w:t>
      </w:r>
      <w:r w:rsidRPr="002B5E33">
        <w:rPr>
          <w:rStyle w:val="Strong"/>
          <w:rFonts w:hint="cs"/>
          <w:rtl/>
        </w:rPr>
        <w:t xml:space="preserve"> בין האוכלוסיות השונות במדינה. </w:t>
      </w:r>
    </w:p>
    <w:p w:rsidR="00B132F4" w:rsidRPr="002B5E33" w:rsidP="00ED5C0D">
      <w:pPr>
        <w:pStyle w:val="a"/>
        <w:spacing w:line="269" w:lineRule="auto"/>
        <w:rPr>
          <w:rtl/>
        </w:rPr>
      </w:pPr>
    </w:p>
    <w:p w:rsidR="00B132F4" w:rsidRPr="002B5E33" w:rsidP="00ED5C0D">
      <w:pPr>
        <w:spacing w:line="269" w:lineRule="auto"/>
        <w:rPr>
          <w:rtl/>
        </w:rPr>
      </w:pPr>
      <w:r w:rsidRPr="002B5E33">
        <w:rPr>
          <w:rFonts w:hint="cs"/>
          <w:rtl/>
        </w:rPr>
        <w:t xml:space="preserve">בתשובת הרשות </w:t>
      </w:r>
      <w:r w:rsidRPr="002B5E33" w:rsidR="00067F7F">
        <w:rPr>
          <w:rFonts w:hint="cs"/>
          <w:rtl/>
        </w:rPr>
        <w:t>צוין</w:t>
      </w:r>
      <w:r w:rsidRPr="002B5E33">
        <w:rPr>
          <w:rFonts w:hint="cs"/>
          <w:rtl/>
        </w:rPr>
        <w:t xml:space="preserve"> כי גם על פי המידע שבידה, קיימת בעולם מגמה של קיום מתאם בין שיעור ההכנסה לבין שיעור ההחזקה בביטוח בריאות מסחרי. עוד ציינה הרשות כי היא פועלת להנגשת הביטוחים המסחריים לאוכלוסיות שונות על-ידי פישוט מבנה הפוליסות ופירוקן ליחידות בסיס הניתנות לרכישה בנפרד</w:t>
      </w:r>
      <w:r>
        <w:rPr>
          <w:rStyle w:val="FootnoteReference"/>
          <w:rtl/>
        </w:rPr>
        <w:footnoteReference w:id="19"/>
      </w:r>
      <w:r w:rsidRPr="002B5E33">
        <w:rPr>
          <w:rFonts w:hint="cs"/>
          <w:rtl/>
        </w:rPr>
        <w:t xml:space="preserve">. כן ציינה </w:t>
      </w:r>
      <w:r w:rsidRPr="002B5E33" w:rsidR="00067F7F">
        <w:rPr>
          <w:rFonts w:hint="cs"/>
          <w:rtl/>
        </w:rPr>
        <w:t xml:space="preserve">הרשות </w:t>
      </w:r>
      <w:r w:rsidRPr="002B5E33">
        <w:rPr>
          <w:rFonts w:hint="cs"/>
          <w:rtl/>
        </w:rPr>
        <w:t>כי היא פועלת להגברת האוריינות הפיננסית של המבוטחים ולהנגשת המידע הנדרש עבורם.</w:t>
      </w:r>
    </w:p>
    <w:p w:rsidR="00B132F4" w:rsidRPr="002B5E33" w:rsidP="00ED5C0D">
      <w:pPr>
        <w:pStyle w:val="a"/>
        <w:spacing w:line="269" w:lineRule="auto"/>
        <w:rPr>
          <w:rtl/>
        </w:rPr>
      </w:pPr>
    </w:p>
    <w:p w:rsidR="002D3C09" w:rsidRPr="002B5E33" w:rsidP="00ED5C0D">
      <w:pPr>
        <w:spacing w:line="269" w:lineRule="auto"/>
        <w:rPr>
          <w:rStyle w:val="Strong"/>
          <w:rtl/>
        </w:rPr>
      </w:pPr>
      <w:r w:rsidRPr="002B5E33">
        <w:rPr>
          <w:rStyle w:val="Strong"/>
          <w:rFonts w:hint="eastAsia"/>
          <w:rtl/>
        </w:rPr>
        <w:t>משרד</w:t>
      </w:r>
      <w:r w:rsidRPr="002B5E33">
        <w:rPr>
          <w:rStyle w:val="Strong"/>
          <w:rtl/>
        </w:rPr>
        <w:t xml:space="preserve"> מבקר המדינה מציין כי </w:t>
      </w:r>
      <w:r w:rsidRPr="002B5E33">
        <w:rPr>
          <w:rStyle w:val="Strong"/>
          <w:rFonts w:hint="eastAsia"/>
          <w:rtl/>
        </w:rPr>
        <w:t>הפערים</w:t>
      </w:r>
      <w:r w:rsidRPr="002B5E33">
        <w:rPr>
          <w:rStyle w:val="Strong"/>
          <w:rtl/>
        </w:rPr>
        <w:t xml:space="preserve"> </w:t>
      </w:r>
      <w:r w:rsidRPr="002B5E33">
        <w:rPr>
          <w:rStyle w:val="Strong"/>
          <w:rFonts w:hint="eastAsia"/>
          <w:rtl/>
        </w:rPr>
        <w:t>האמורים</w:t>
      </w:r>
      <w:r w:rsidRPr="002B5E33">
        <w:rPr>
          <w:rStyle w:val="Strong"/>
          <w:rtl/>
        </w:rPr>
        <w:t xml:space="preserve"> </w:t>
      </w:r>
      <w:r w:rsidRPr="002B5E33">
        <w:rPr>
          <w:rStyle w:val="Strong"/>
          <w:rFonts w:hint="eastAsia"/>
          <w:rtl/>
        </w:rPr>
        <w:t>מחדדים</w:t>
      </w:r>
      <w:r w:rsidRPr="002B5E33">
        <w:rPr>
          <w:rStyle w:val="Strong"/>
          <w:rtl/>
        </w:rPr>
        <w:t xml:space="preserve"> </w:t>
      </w:r>
      <w:r w:rsidRPr="002B5E33">
        <w:rPr>
          <w:rStyle w:val="Strong"/>
          <w:rFonts w:hint="cs"/>
          <w:rtl/>
        </w:rPr>
        <w:t xml:space="preserve">את </w:t>
      </w:r>
      <w:r w:rsidRPr="002B5E33">
        <w:rPr>
          <w:rStyle w:val="Strong"/>
          <w:rFonts w:hint="eastAsia"/>
          <w:rtl/>
        </w:rPr>
        <w:t>הצורך</w:t>
      </w:r>
      <w:r w:rsidRPr="002B5E33">
        <w:rPr>
          <w:rStyle w:val="Strong"/>
          <w:rtl/>
        </w:rPr>
        <w:t xml:space="preserve"> </w:t>
      </w:r>
      <w:r w:rsidRPr="002B5E33">
        <w:rPr>
          <w:rStyle w:val="Strong"/>
          <w:rFonts w:hint="cs"/>
          <w:rtl/>
        </w:rPr>
        <w:t xml:space="preserve">את </w:t>
      </w:r>
      <w:r w:rsidRPr="002B5E33">
        <w:rPr>
          <w:rStyle w:val="Strong"/>
          <w:rFonts w:hint="eastAsia"/>
          <w:rtl/>
        </w:rPr>
        <w:t>של</w:t>
      </w:r>
      <w:r w:rsidRPr="002B5E33">
        <w:rPr>
          <w:rStyle w:val="Strong"/>
          <w:rtl/>
        </w:rPr>
        <w:t xml:space="preserve"> הרשות לבחון </w:t>
      </w:r>
      <w:r w:rsidRPr="002B5E33">
        <w:rPr>
          <w:rStyle w:val="Strong"/>
          <w:rFonts w:hint="eastAsia"/>
          <w:rtl/>
        </w:rPr>
        <w:t>את</w:t>
      </w:r>
      <w:r w:rsidRPr="002B5E33">
        <w:rPr>
          <w:rStyle w:val="Strong"/>
          <w:rtl/>
        </w:rPr>
        <w:t xml:space="preserve"> האמצעים העומדים לרשותה </w:t>
      </w:r>
      <w:r w:rsidRPr="002B5E33">
        <w:rPr>
          <w:rStyle w:val="Strong"/>
          <w:rFonts w:hint="cs"/>
          <w:rtl/>
        </w:rPr>
        <w:t xml:space="preserve">לשם </w:t>
      </w:r>
      <w:r w:rsidRPr="002B5E33">
        <w:rPr>
          <w:rStyle w:val="Strong"/>
          <w:rFonts w:hint="eastAsia"/>
          <w:rtl/>
        </w:rPr>
        <w:t>גיבוש</w:t>
      </w:r>
      <w:r w:rsidRPr="002B5E33">
        <w:rPr>
          <w:rStyle w:val="Strong"/>
          <w:rtl/>
        </w:rPr>
        <w:t xml:space="preserve"> מדיניות</w:t>
      </w:r>
      <w:r w:rsidRPr="002B5E33">
        <w:rPr>
          <w:rStyle w:val="Strong"/>
          <w:rFonts w:hint="cs"/>
          <w:rtl/>
        </w:rPr>
        <w:t xml:space="preserve">, ובכלל זה הקמת מסד </w:t>
      </w:r>
      <w:r w:rsidRPr="002B5E33">
        <w:rPr>
          <w:rStyle w:val="Strong"/>
          <w:rtl/>
        </w:rPr>
        <w:t xml:space="preserve">נתונים מקיף ומהימן, </w:t>
      </w:r>
      <w:r w:rsidRPr="002B5E33">
        <w:rPr>
          <w:rStyle w:val="Strong"/>
          <w:rFonts w:hint="cs"/>
          <w:rtl/>
        </w:rPr>
        <w:t xml:space="preserve">אשר יבנה, </w:t>
      </w:r>
      <w:r w:rsidRPr="002B5E33">
        <w:rPr>
          <w:rStyle w:val="Strong"/>
          <w:rFonts w:hint="eastAsia"/>
          <w:rtl/>
        </w:rPr>
        <w:t>בין</w:t>
      </w:r>
      <w:r w:rsidRPr="002B5E33">
        <w:rPr>
          <w:rStyle w:val="Strong"/>
          <w:rtl/>
        </w:rPr>
        <w:t xml:space="preserve"> </w:t>
      </w:r>
      <w:r w:rsidRPr="002B5E33">
        <w:rPr>
          <w:rStyle w:val="Strong"/>
          <w:rFonts w:hint="eastAsia"/>
          <w:rtl/>
        </w:rPr>
        <w:t>היתר</w:t>
      </w:r>
      <w:r w:rsidRPr="002B5E33">
        <w:rPr>
          <w:rStyle w:val="Strong"/>
          <w:rtl/>
        </w:rPr>
        <w:t xml:space="preserve"> </w:t>
      </w:r>
      <w:r w:rsidRPr="002B5E33">
        <w:rPr>
          <w:rStyle w:val="Strong"/>
          <w:rFonts w:hint="cs"/>
          <w:rtl/>
        </w:rPr>
        <w:t xml:space="preserve">באמצעות </w:t>
      </w:r>
      <w:r w:rsidRPr="002B5E33">
        <w:rPr>
          <w:rStyle w:val="Strong"/>
          <w:rtl/>
        </w:rPr>
        <w:t>קבלת המידע הרלוונטי ישיר</w:t>
      </w:r>
      <w:r w:rsidRPr="002B5E33">
        <w:rPr>
          <w:rStyle w:val="Strong"/>
          <w:rFonts w:hint="cs"/>
          <w:rtl/>
        </w:rPr>
        <w:t>ות</w:t>
      </w:r>
      <w:r w:rsidRPr="002B5E33">
        <w:rPr>
          <w:rStyle w:val="Strong"/>
          <w:rtl/>
        </w:rPr>
        <w:t xml:space="preserve"> מחברות הביטוח.</w:t>
      </w:r>
      <w:r w:rsidRPr="002B5E33">
        <w:rPr>
          <w:rStyle w:val="Strong"/>
          <w:rFonts w:hint="cs"/>
          <w:rtl/>
        </w:rPr>
        <w:t xml:space="preserve"> </w:t>
      </w:r>
    </w:p>
    <w:p w:rsidR="00067F7F" w:rsidRPr="002B5E33" w:rsidP="00ED5C0D">
      <w:pPr>
        <w:spacing w:line="269" w:lineRule="auto"/>
        <w:rPr>
          <w:rStyle w:val="Strong"/>
          <w:rtl/>
        </w:rPr>
      </w:pPr>
    </w:p>
    <w:p w:rsidR="00B132F4" w:rsidRPr="002B5E33" w:rsidP="00ED5C0D">
      <w:pPr>
        <w:pStyle w:val="Heading5"/>
        <w:spacing w:line="269" w:lineRule="auto"/>
        <w:rPr>
          <w:rtl/>
        </w:rPr>
      </w:pPr>
      <w:r w:rsidRPr="002B5E33">
        <w:rPr>
          <w:rFonts w:hint="cs"/>
          <w:rtl/>
        </w:rPr>
        <w:t>תופעת כפל ביטוח</w:t>
      </w:r>
    </w:p>
    <w:p w:rsidR="00B132F4" w:rsidRPr="002B5E33" w:rsidP="00ED5C0D">
      <w:pPr>
        <w:pStyle w:val="a"/>
        <w:spacing w:line="269" w:lineRule="auto"/>
        <w:rPr>
          <w:rtl/>
        </w:rPr>
      </w:pPr>
    </w:p>
    <w:p w:rsidR="00B132F4" w:rsidRPr="002B5E33" w:rsidP="00ED5C0D">
      <w:pPr>
        <w:spacing w:line="269" w:lineRule="auto"/>
        <w:rPr>
          <w:rFonts w:ascii="David" w:hAnsi="David"/>
          <w:sz w:val="24"/>
          <w:rtl/>
        </w:rPr>
      </w:pPr>
      <w:r w:rsidRPr="002B5E33">
        <w:rPr>
          <w:rFonts w:ascii="David" w:hAnsi="David" w:hint="eastAsia"/>
          <w:rtl/>
        </w:rPr>
        <w:t>בדברי</w:t>
      </w:r>
      <w:r w:rsidRPr="002B5E33">
        <w:rPr>
          <w:rFonts w:ascii="David" w:hAnsi="David"/>
          <w:rtl/>
        </w:rPr>
        <w:t xml:space="preserve"> </w:t>
      </w:r>
      <w:r w:rsidRPr="002B5E33">
        <w:rPr>
          <w:rFonts w:ascii="David" w:hAnsi="David" w:hint="eastAsia"/>
          <w:rtl/>
        </w:rPr>
        <w:t>ההסבר</w:t>
      </w:r>
      <w:r w:rsidRPr="002B5E33">
        <w:rPr>
          <w:rFonts w:ascii="David" w:hAnsi="David"/>
          <w:rtl/>
        </w:rPr>
        <w:t xml:space="preserve"> </w:t>
      </w:r>
      <w:r w:rsidRPr="002B5E33">
        <w:rPr>
          <w:rFonts w:ascii="David" w:hAnsi="David" w:hint="eastAsia"/>
          <w:rtl/>
        </w:rPr>
        <w:t>לחוזר</w:t>
      </w:r>
      <w:r w:rsidRPr="002B5E33">
        <w:rPr>
          <w:rFonts w:ascii="David" w:hAnsi="David" w:hint="cs"/>
          <w:rtl/>
        </w:rPr>
        <w:t xml:space="preserve"> הרשות בנושא </w:t>
      </w:r>
      <w:r w:rsidRPr="002B5E33">
        <w:rPr>
          <w:rFonts w:ascii="David" w:hAnsi="David"/>
          <w:rtl/>
        </w:rPr>
        <w:t xml:space="preserve">חובת </w:t>
      </w:r>
      <w:r w:rsidRPr="002B5E33">
        <w:rPr>
          <w:rFonts w:ascii="David" w:hAnsi="David" w:hint="eastAsia"/>
          <w:rtl/>
        </w:rPr>
        <w:t>הצעת</w:t>
      </w:r>
      <w:r w:rsidRPr="002B5E33">
        <w:rPr>
          <w:rFonts w:ascii="David" w:hAnsi="David"/>
          <w:rtl/>
        </w:rPr>
        <w:t xml:space="preserve"> </w:t>
      </w:r>
      <w:r w:rsidRPr="002B5E33">
        <w:rPr>
          <w:rFonts w:ascii="David" w:hAnsi="David" w:hint="eastAsia"/>
          <w:rtl/>
        </w:rPr>
        <w:t>תכנית</w:t>
      </w:r>
      <w:r w:rsidRPr="002B5E33">
        <w:rPr>
          <w:rFonts w:ascii="David" w:hAnsi="David"/>
          <w:rtl/>
        </w:rPr>
        <w:t xml:space="preserve"> </w:t>
      </w:r>
      <w:r w:rsidRPr="002B5E33">
        <w:rPr>
          <w:rFonts w:ascii="David" w:hAnsi="David" w:hint="eastAsia"/>
          <w:rtl/>
        </w:rPr>
        <w:t>בעלת</w:t>
      </w:r>
      <w:r w:rsidRPr="002B5E33">
        <w:rPr>
          <w:rFonts w:ascii="David" w:hAnsi="David"/>
          <w:rtl/>
        </w:rPr>
        <w:t xml:space="preserve"> </w:t>
      </w:r>
      <w:r w:rsidRPr="002B5E33">
        <w:rPr>
          <w:rFonts w:ascii="David" w:hAnsi="David" w:hint="eastAsia"/>
          <w:rtl/>
        </w:rPr>
        <w:t>כיסוי</w:t>
      </w:r>
      <w:r w:rsidRPr="002B5E33">
        <w:rPr>
          <w:rFonts w:ascii="David" w:hAnsi="David"/>
          <w:rtl/>
        </w:rPr>
        <w:t xml:space="preserve"> </w:t>
      </w:r>
      <w:r w:rsidRPr="002B5E33">
        <w:rPr>
          <w:rFonts w:ascii="David" w:hAnsi="David" w:hint="eastAsia"/>
          <w:rtl/>
        </w:rPr>
        <w:t>ביטוחי</w:t>
      </w:r>
      <w:r w:rsidRPr="002B5E33">
        <w:rPr>
          <w:rFonts w:ascii="David" w:hAnsi="David"/>
          <w:rtl/>
        </w:rPr>
        <w:t xml:space="preserve"> </w:t>
      </w:r>
      <w:r w:rsidRPr="002B5E33">
        <w:rPr>
          <w:rFonts w:ascii="David" w:hAnsi="David" w:hint="eastAsia"/>
          <w:rtl/>
        </w:rPr>
        <w:t>משלים</w:t>
      </w:r>
      <w:r w:rsidRPr="002B5E33">
        <w:rPr>
          <w:rFonts w:ascii="David" w:hAnsi="David"/>
          <w:rtl/>
        </w:rPr>
        <w:t xml:space="preserve"> </w:t>
      </w:r>
      <w:r w:rsidRPr="002B5E33">
        <w:rPr>
          <w:rFonts w:ascii="David" w:hAnsi="David" w:hint="eastAsia"/>
          <w:rtl/>
        </w:rPr>
        <w:t>לניתוחים</w:t>
      </w:r>
      <w:r w:rsidRPr="002B5E33">
        <w:rPr>
          <w:rFonts w:ascii="David" w:hAnsi="David" w:hint="cs"/>
          <w:rtl/>
        </w:rPr>
        <w:t xml:space="preserve"> שפורסם בשנת 2007</w:t>
      </w:r>
      <w:r>
        <w:rPr>
          <w:rStyle w:val="FootnoteReference"/>
          <w:rFonts w:ascii="David" w:hAnsi="David"/>
          <w:rtl/>
        </w:rPr>
        <w:footnoteReference w:id="20"/>
      </w:r>
      <w:r w:rsidRPr="002B5E33">
        <w:rPr>
          <w:rFonts w:ascii="David" w:hAnsi="David"/>
          <w:rtl/>
        </w:rPr>
        <w:t xml:space="preserve">, </w:t>
      </w:r>
      <w:r w:rsidRPr="002B5E33">
        <w:rPr>
          <w:rFonts w:ascii="David" w:hAnsi="David" w:hint="eastAsia"/>
          <w:rtl/>
        </w:rPr>
        <w:t>הרשות</w:t>
      </w:r>
      <w:r w:rsidRPr="002B5E33">
        <w:rPr>
          <w:rFonts w:ascii="David" w:hAnsi="David"/>
          <w:rtl/>
        </w:rPr>
        <w:t xml:space="preserve"> </w:t>
      </w:r>
      <w:r w:rsidRPr="002B5E33">
        <w:rPr>
          <w:rFonts w:ascii="David" w:hAnsi="David" w:hint="cs"/>
          <w:rtl/>
        </w:rPr>
        <w:t>ציינה</w:t>
      </w:r>
      <w:r w:rsidRPr="002B5E33">
        <w:rPr>
          <w:rFonts w:ascii="David" w:hAnsi="David"/>
          <w:rtl/>
        </w:rPr>
        <w:t xml:space="preserve"> </w:t>
      </w:r>
      <w:r w:rsidRPr="002B5E33">
        <w:rPr>
          <w:rFonts w:ascii="David" w:hAnsi="David" w:hint="eastAsia"/>
          <w:rtl/>
        </w:rPr>
        <w:t>כי</w:t>
      </w:r>
      <w:r w:rsidRPr="002B5E33">
        <w:rPr>
          <w:rFonts w:ascii="David" w:hAnsi="David"/>
          <w:rtl/>
        </w:rPr>
        <w:t xml:space="preserve"> </w:t>
      </w:r>
      <w:r w:rsidRPr="002B5E33">
        <w:rPr>
          <w:rFonts w:ascii="David" w:hAnsi="David" w:hint="eastAsia"/>
          <w:rtl/>
        </w:rPr>
        <w:t>מבנה</w:t>
      </w:r>
      <w:r w:rsidRPr="002B5E33">
        <w:rPr>
          <w:rFonts w:ascii="David" w:hAnsi="David"/>
          <w:rtl/>
        </w:rPr>
        <w:t xml:space="preserve"> </w:t>
      </w:r>
      <w:r w:rsidRPr="002B5E33">
        <w:rPr>
          <w:rFonts w:ascii="David" w:hAnsi="David" w:hint="eastAsia"/>
          <w:rtl/>
        </w:rPr>
        <w:t>שוק</w:t>
      </w:r>
      <w:r w:rsidRPr="002B5E33">
        <w:rPr>
          <w:rFonts w:ascii="David" w:hAnsi="David"/>
          <w:rtl/>
        </w:rPr>
        <w:t xml:space="preserve"> </w:t>
      </w:r>
      <w:r w:rsidRPr="002B5E33">
        <w:rPr>
          <w:rFonts w:ascii="David" w:hAnsi="David" w:hint="eastAsia"/>
          <w:rtl/>
        </w:rPr>
        <w:t>ביטוחי</w:t>
      </w:r>
      <w:r w:rsidRPr="002B5E33">
        <w:rPr>
          <w:rFonts w:ascii="David" w:hAnsi="David"/>
          <w:rtl/>
        </w:rPr>
        <w:t xml:space="preserve"> </w:t>
      </w:r>
      <w:r w:rsidRPr="002B5E33">
        <w:rPr>
          <w:rFonts w:ascii="David" w:hAnsi="David" w:hint="eastAsia"/>
          <w:rtl/>
        </w:rPr>
        <w:t>הבריאות</w:t>
      </w:r>
      <w:r w:rsidRPr="002B5E33">
        <w:rPr>
          <w:rFonts w:ascii="David" w:hAnsi="David"/>
          <w:rtl/>
        </w:rPr>
        <w:t xml:space="preserve"> </w:t>
      </w:r>
      <w:r w:rsidRPr="002B5E33">
        <w:rPr>
          <w:rFonts w:ascii="David" w:hAnsi="David" w:hint="eastAsia"/>
          <w:rtl/>
        </w:rPr>
        <w:t>יוצר</w:t>
      </w:r>
      <w:r w:rsidRPr="002B5E33">
        <w:rPr>
          <w:rFonts w:ascii="David" w:hAnsi="David"/>
          <w:rtl/>
        </w:rPr>
        <w:t xml:space="preserve"> </w:t>
      </w:r>
      <w:r w:rsidRPr="002B5E33">
        <w:rPr>
          <w:rFonts w:ascii="David" w:hAnsi="David" w:hint="eastAsia"/>
          <w:rtl/>
        </w:rPr>
        <w:t>לעיתים</w:t>
      </w:r>
      <w:r w:rsidRPr="002B5E33">
        <w:rPr>
          <w:rFonts w:ascii="David" w:hAnsi="David"/>
          <w:rtl/>
        </w:rPr>
        <w:t xml:space="preserve"> </w:t>
      </w:r>
      <w:r w:rsidRPr="002B5E33">
        <w:rPr>
          <w:rFonts w:ascii="David" w:hAnsi="David" w:hint="eastAsia"/>
          <w:rtl/>
        </w:rPr>
        <w:t>כפל</w:t>
      </w:r>
      <w:r w:rsidRPr="002B5E33">
        <w:rPr>
          <w:rFonts w:ascii="David" w:hAnsi="David"/>
          <w:rtl/>
        </w:rPr>
        <w:t xml:space="preserve"> </w:t>
      </w:r>
      <w:r w:rsidRPr="002B5E33">
        <w:rPr>
          <w:rFonts w:ascii="David" w:hAnsi="David" w:hint="eastAsia"/>
          <w:rtl/>
        </w:rPr>
        <w:t>כיסוי</w:t>
      </w:r>
      <w:r w:rsidRPr="002B5E33">
        <w:rPr>
          <w:rFonts w:ascii="David" w:hAnsi="David"/>
          <w:rtl/>
        </w:rPr>
        <w:t xml:space="preserve"> </w:t>
      </w:r>
      <w:r w:rsidRPr="002B5E33">
        <w:rPr>
          <w:rFonts w:ascii="David" w:hAnsi="David" w:hint="eastAsia"/>
          <w:rtl/>
        </w:rPr>
        <w:t>ביטוחי</w:t>
      </w:r>
      <w:r w:rsidRPr="002B5E33">
        <w:rPr>
          <w:rFonts w:ascii="David" w:hAnsi="David"/>
          <w:rtl/>
        </w:rPr>
        <w:t xml:space="preserve">, </w:t>
      </w:r>
      <w:r w:rsidRPr="002B5E33">
        <w:rPr>
          <w:rFonts w:ascii="David" w:hAnsi="David" w:hint="eastAsia"/>
          <w:rtl/>
        </w:rPr>
        <w:t>בין</w:t>
      </w:r>
      <w:r w:rsidRPr="002B5E33">
        <w:rPr>
          <w:rFonts w:ascii="David" w:hAnsi="David"/>
          <w:rtl/>
        </w:rPr>
        <w:t xml:space="preserve"> </w:t>
      </w:r>
      <w:r w:rsidRPr="002B5E33">
        <w:rPr>
          <w:rFonts w:ascii="David" w:hAnsi="David" w:hint="eastAsia"/>
          <w:rtl/>
        </w:rPr>
        <w:t>היתר</w:t>
      </w:r>
      <w:r w:rsidRPr="002B5E33">
        <w:rPr>
          <w:rFonts w:ascii="David" w:hAnsi="David"/>
          <w:rtl/>
        </w:rPr>
        <w:t xml:space="preserve"> </w:t>
      </w:r>
      <w:r w:rsidRPr="002B5E33">
        <w:rPr>
          <w:rFonts w:ascii="David" w:hAnsi="David" w:hint="eastAsia"/>
          <w:rtl/>
        </w:rPr>
        <w:t>עקב</w:t>
      </w:r>
      <w:r w:rsidRPr="002B5E33">
        <w:rPr>
          <w:rFonts w:ascii="David" w:hAnsi="David"/>
          <w:rtl/>
        </w:rPr>
        <w:t xml:space="preserve"> </w:t>
      </w:r>
      <w:r w:rsidRPr="002B5E33">
        <w:rPr>
          <w:rFonts w:ascii="David" w:hAnsi="David" w:hint="eastAsia"/>
          <w:rtl/>
        </w:rPr>
        <w:t>אי</w:t>
      </w:r>
      <w:r w:rsidRPr="002B5E33">
        <w:rPr>
          <w:rFonts w:ascii="David" w:hAnsi="David" w:hint="cs"/>
          <w:rtl/>
        </w:rPr>
        <w:t>-</w:t>
      </w:r>
      <w:r w:rsidRPr="002B5E33">
        <w:rPr>
          <w:rFonts w:ascii="David" w:hAnsi="David" w:hint="eastAsia"/>
          <w:rtl/>
        </w:rPr>
        <w:t>ידיע</w:t>
      </w:r>
      <w:r w:rsidRPr="002B5E33">
        <w:rPr>
          <w:rFonts w:ascii="David" w:hAnsi="David" w:hint="cs"/>
          <w:rtl/>
        </w:rPr>
        <w:t xml:space="preserve">ה של המבוטחים בדבר </w:t>
      </w:r>
      <w:r w:rsidRPr="002B5E33">
        <w:rPr>
          <w:rFonts w:ascii="David" w:hAnsi="David" w:hint="eastAsia"/>
          <w:rtl/>
        </w:rPr>
        <w:t>הזכויות</w:t>
      </w:r>
      <w:r w:rsidRPr="002B5E33">
        <w:rPr>
          <w:rFonts w:ascii="David" w:hAnsi="David"/>
          <w:rtl/>
        </w:rPr>
        <w:t xml:space="preserve"> </w:t>
      </w:r>
      <w:r w:rsidRPr="002B5E33">
        <w:rPr>
          <w:rFonts w:ascii="David" w:hAnsi="David" w:hint="eastAsia"/>
          <w:rtl/>
        </w:rPr>
        <w:t>המוקנות</w:t>
      </w:r>
      <w:r w:rsidRPr="002B5E33">
        <w:rPr>
          <w:rFonts w:ascii="David" w:hAnsi="David"/>
          <w:rtl/>
        </w:rPr>
        <w:t xml:space="preserve"> </w:t>
      </w:r>
      <w:r w:rsidRPr="002B5E33">
        <w:rPr>
          <w:rFonts w:ascii="David" w:hAnsi="David" w:hint="eastAsia"/>
          <w:rtl/>
        </w:rPr>
        <w:t>להם</w:t>
      </w:r>
      <w:r w:rsidRPr="002B5E33">
        <w:rPr>
          <w:rFonts w:ascii="David" w:hAnsi="David"/>
          <w:rtl/>
        </w:rPr>
        <w:t xml:space="preserve"> </w:t>
      </w:r>
      <w:r w:rsidRPr="002B5E33">
        <w:rPr>
          <w:rFonts w:ascii="David" w:hAnsi="David" w:hint="eastAsia"/>
          <w:rtl/>
        </w:rPr>
        <w:t>ברבדים</w:t>
      </w:r>
      <w:r w:rsidRPr="002B5E33">
        <w:rPr>
          <w:rFonts w:ascii="David" w:hAnsi="David"/>
          <w:rtl/>
        </w:rPr>
        <w:t xml:space="preserve"> </w:t>
      </w:r>
      <w:r w:rsidRPr="002B5E33">
        <w:rPr>
          <w:rFonts w:ascii="David" w:hAnsi="David" w:hint="eastAsia"/>
          <w:rtl/>
        </w:rPr>
        <w:t>השונים</w:t>
      </w:r>
      <w:r w:rsidRPr="002B5E33">
        <w:rPr>
          <w:rFonts w:ascii="David" w:hAnsi="David" w:hint="cs"/>
          <w:sz w:val="24"/>
          <w:rtl/>
        </w:rPr>
        <w:t xml:space="preserve"> וכן בדבר </w:t>
      </w:r>
      <w:r w:rsidRPr="002B5E33">
        <w:rPr>
          <w:rFonts w:ascii="David" w:hAnsi="David"/>
          <w:sz w:val="24"/>
          <w:rtl/>
        </w:rPr>
        <w:t xml:space="preserve">הפוליסות </w:t>
      </w:r>
      <w:r w:rsidRPr="002B5E33">
        <w:rPr>
          <w:rFonts w:ascii="David" w:hAnsi="David" w:hint="cs"/>
          <w:sz w:val="24"/>
          <w:rtl/>
        </w:rPr>
        <w:t>ש</w:t>
      </w:r>
      <w:r w:rsidRPr="002B5E33">
        <w:rPr>
          <w:rFonts w:ascii="David" w:hAnsi="David"/>
          <w:sz w:val="24"/>
          <w:rtl/>
        </w:rPr>
        <w:t>בהן</w:t>
      </w:r>
      <w:r w:rsidRPr="002B5E33">
        <w:rPr>
          <w:rFonts w:ascii="David" w:hAnsi="David" w:hint="cs"/>
          <w:sz w:val="24"/>
          <w:rtl/>
        </w:rPr>
        <w:t xml:space="preserve"> הם מבוטחים</w:t>
      </w:r>
      <w:r w:rsidRPr="002B5E33">
        <w:rPr>
          <w:rFonts w:ascii="David" w:hAnsi="David"/>
          <w:rtl/>
        </w:rPr>
        <w:t>.</w:t>
      </w:r>
      <w:r w:rsidRPr="002B5E33">
        <w:rPr>
          <w:rFonts w:ascii="David" w:hAnsi="David" w:hint="cs"/>
          <w:sz w:val="24"/>
          <w:rtl/>
        </w:rPr>
        <w:t xml:space="preserve"> </w:t>
      </w:r>
      <w:r w:rsidRPr="002B5E33">
        <w:rPr>
          <w:rFonts w:ascii="David" w:hAnsi="David"/>
          <w:sz w:val="24"/>
          <w:rtl/>
        </w:rPr>
        <w:t xml:space="preserve">מצב זה מביא </w:t>
      </w:r>
      <w:r w:rsidRPr="002B5E33">
        <w:rPr>
          <w:rFonts w:ascii="David" w:hAnsi="David" w:hint="cs"/>
          <w:sz w:val="24"/>
          <w:rtl/>
        </w:rPr>
        <w:t>לפגיעה במיצוי זכויותיהם ו</w:t>
      </w:r>
      <w:r w:rsidRPr="002B5E33">
        <w:rPr>
          <w:rFonts w:ascii="David" w:hAnsi="David"/>
          <w:sz w:val="24"/>
          <w:rtl/>
        </w:rPr>
        <w:t>לכך</w:t>
      </w:r>
      <w:r w:rsidRPr="002B5E33">
        <w:rPr>
          <w:rFonts w:ascii="David" w:hAnsi="David" w:hint="cs"/>
          <w:sz w:val="24"/>
          <w:rtl/>
        </w:rPr>
        <w:t xml:space="preserve"> שהם</w:t>
      </w:r>
      <w:r w:rsidRPr="002B5E33">
        <w:rPr>
          <w:rFonts w:ascii="David" w:hAnsi="David"/>
          <w:sz w:val="24"/>
          <w:rtl/>
        </w:rPr>
        <w:t xml:space="preserve"> משלמים לעתים פעמיים </w:t>
      </w:r>
      <w:r w:rsidRPr="002B5E33">
        <w:rPr>
          <w:rFonts w:ascii="David" w:hAnsi="David" w:hint="cs"/>
          <w:sz w:val="24"/>
          <w:rtl/>
        </w:rPr>
        <w:t xml:space="preserve">ויותר </w:t>
      </w:r>
      <w:r w:rsidRPr="002B5E33">
        <w:rPr>
          <w:rFonts w:ascii="David" w:hAnsi="David"/>
          <w:sz w:val="24"/>
          <w:rtl/>
        </w:rPr>
        <w:t>עבור אותו כיסוי ביטוחי</w:t>
      </w:r>
      <w:r w:rsidRPr="002B5E33">
        <w:rPr>
          <w:rFonts w:ascii="David" w:hAnsi="David" w:hint="cs"/>
          <w:sz w:val="24"/>
          <w:rtl/>
        </w:rPr>
        <w:t>.</w:t>
      </w:r>
      <w:r w:rsidRPr="002B5E33">
        <w:rPr>
          <w:rFonts w:ascii="David" w:hAnsi="David"/>
          <w:sz w:val="24"/>
          <w:rtl/>
        </w:rPr>
        <w:t xml:space="preserve"> </w:t>
      </w:r>
    </w:p>
    <w:p w:rsidR="00B132F4" w:rsidRPr="002B5E33" w:rsidP="00ED5C0D">
      <w:pPr>
        <w:pStyle w:val="a"/>
        <w:spacing w:line="269" w:lineRule="auto"/>
        <w:rPr>
          <w:rtl/>
        </w:rPr>
      </w:pPr>
    </w:p>
    <w:p w:rsidR="00B132F4" w:rsidRPr="002B5E33" w:rsidP="00ED5C0D">
      <w:pPr>
        <w:spacing w:line="269" w:lineRule="auto"/>
        <w:rPr>
          <w:rFonts w:ascii="David" w:hAnsi="David"/>
          <w:sz w:val="24"/>
          <w:rtl/>
        </w:rPr>
      </w:pPr>
      <w:r w:rsidRPr="002B5E33">
        <w:rPr>
          <w:rFonts w:ascii="David" w:hAnsi="David" w:hint="cs"/>
          <w:sz w:val="24"/>
          <w:rtl/>
        </w:rPr>
        <w:t xml:space="preserve">בחלק מביטוחי הבריאות מנגנון הכיסוי הוא פיצוי כספי, ובחלקם מנגנון הכיסוי הוא באמצעות שיפוי - כלומר החזרת המבוטח למצבו ערב קרות המקרה בלבד. לדוגמה, בביטוחי הבריאות מסוג כיסוי ניתוחים והשתלות אף אם למבוטח יש </w:t>
      </w:r>
      <w:r w:rsidRPr="002B5E33">
        <w:rPr>
          <w:rFonts w:ascii="David" w:hAnsi="David" w:hint="eastAsia"/>
          <w:sz w:val="24"/>
          <w:rtl/>
        </w:rPr>
        <w:t>כמה</w:t>
      </w:r>
      <w:r w:rsidRPr="002B5E33">
        <w:rPr>
          <w:rFonts w:ascii="David" w:hAnsi="David"/>
          <w:sz w:val="24"/>
          <w:rtl/>
        </w:rPr>
        <w:t xml:space="preserve"> פוליסות שונות בכמה חברות, במקרה הצורך הוא יבצע רק ניתוח אחד או השתלה אחת ועל כן ישופה בגין </w:t>
      </w:r>
      <w:r w:rsidRPr="002B5E33">
        <w:rPr>
          <w:rFonts w:ascii="David" w:hAnsi="David" w:hint="eastAsia"/>
          <w:sz w:val="24"/>
          <w:rtl/>
        </w:rPr>
        <w:t>ההוצאות</w:t>
      </w:r>
      <w:r w:rsidRPr="002B5E33">
        <w:rPr>
          <w:rFonts w:ascii="David" w:hAnsi="David"/>
          <w:sz w:val="24"/>
          <w:rtl/>
        </w:rPr>
        <w:t xml:space="preserve"> הרפואיות של </w:t>
      </w:r>
      <w:r w:rsidRPr="002B5E33">
        <w:rPr>
          <w:rFonts w:ascii="David" w:hAnsi="David" w:hint="eastAsia"/>
          <w:sz w:val="24"/>
          <w:rtl/>
        </w:rPr>
        <w:t>פוליסה</w:t>
      </w:r>
      <w:r w:rsidRPr="002B5E33">
        <w:rPr>
          <w:rFonts w:ascii="David" w:hAnsi="David"/>
          <w:sz w:val="24"/>
          <w:rtl/>
        </w:rPr>
        <w:t xml:space="preserve"> </w:t>
      </w:r>
      <w:r w:rsidRPr="002B5E33">
        <w:rPr>
          <w:rFonts w:ascii="David" w:hAnsi="David" w:hint="eastAsia"/>
          <w:sz w:val="24"/>
          <w:rtl/>
        </w:rPr>
        <w:t>אחת</w:t>
      </w:r>
      <w:r w:rsidRPr="002B5E33">
        <w:rPr>
          <w:rFonts w:ascii="David" w:hAnsi="David"/>
          <w:sz w:val="24"/>
          <w:rtl/>
        </w:rPr>
        <w:t xml:space="preserve"> </w:t>
      </w:r>
      <w:r w:rsidRPr="002B5E33">
        <w:rPr>
          <w:rFonts w:ascii="David" w:hAnsi="David" w:hint="eastAsia"/>
          <w:sz w:val="24"/>
          <w:rtl/>
        </w:rPr>
        <w:t>בלבד</w:t>
      </w:r>
      <w:r w:rsidRPr="002B5E33">
        <w:rPr>
          <w:rFonts w:ascii="David" w:hAnsi="David"/>
          <w:sz w:val="24"/>
          <w:rtl/>
        </w:rPr>
        <w:t>.</w:t>
      </w:r>
      <w:r w:rsidRPr="002B5E33">
        <w:rPr>
          <w:rFonts w:ascii="David" w:hAnsi="David" w:hint="cs"/>
          <w:sz w:val="24"/>
          <w:rtl/>
        </w:rPr>
        <w:t xml:space="preserve"> </w:t>
      </w:r>
      <w:r w:rsidRPr="002B5E33">
        <w:rPr>
          <w:rFonts w:ascii="David" w:hAnsi="David" w:hint="cs"/>
          <w:rtl/>
        </w:rPr>
        <w:t>לעומת זאת, בפוליסת ביטוח מסוג פיצוי</w:t>
      </w:r>
      <w:r w:rsidRPr="002B5E33">
        <w:rPr>
          <w:rFonts w:ascii="David" w:hAnsi="David"/>
          <w:rtl/>
        </w:rPr>
        <w:t>, המקנה תגמולי ביטוח קבועים מראש, המשולמים בקרות מקרה</w:t>
      </w:r>
      <w:r w:rsidRPr="002B5E33">
        <w:rPr>
          <w:rFonts w:ascii="David" w:hAnsi="David" w:hint="cs"/>
          <w:rtl/>
        </w:rPr>
        <w:t xml:space="preserve"> </w:t>
      </w:r>
      <w:r w:rsidRPr="002B5E33">
        <w:rPr>
          <w:rFonts w:ascii="David" w:hAnsi="David"/>
          <w:rtl/>
        </w:rPr>
        <w:t>הביטוח</w:t>
      </w:r>
      <w:r w:rsidRPr="002B5E33">
        <w:rPr>
          <w:rFonts w:ascii="David" w:hAnsi="David" w:hint="cs"/>
          <w:rtl/>
        </w:rPr>
        <w:t>,</w:t>
      </w:r>
      <w:r w:rsidRPr="002B5E33">
        <w:rPr>
          <w:rFonts w:ascii="David" w:hAnsi="David"/>
          <w:rtl/>
        </w:rPr>
        <w:t xml:space="preserve"> וללא תלות כלשהי בהוצאות שהוציא המבוטח</w:t>
      </w:r>
      <w:r w:rsidRPr="002B5E33">
        <w:rPr>
          <w:rFonts w:ascii="David" w:hAnsi="David" w:hint="cs"/>
          <w:rtl/>
        </w:rPr>
        <w:t>, לא מתקיים כפל ביטוח אף אם המבוטח מחזיק בכמה פוליסות זהות, וזאת בתנאי שהמבוטח יפוצה באופן מלא בגין כל אחת מהפוליסות</w:t>
      </w:r>
      <w:r w:rsidRPr="002B5E33">
        <w:rPr>
          <w:rFonts w:ascii="David" w:hAnsi="David"/>
        </w:rPr>
        <w:t>.</w:t>
      </w:r>
    </w:p>
    <w:p w:rsidR="00B132F4" w:rsidRPr="002B5E33" w:rsidP="00ED5C0D">
      <w:pPr>
        <w:pStyle w:val="a"/>
        <w:spacing w:line="269" w:lineRule="auto"/>
        <w:rPr>
          <w:rtl/>
        </w:rPr>
      </w:pPr>
    </w:p>
    <w:p w:rsidR="00B132F4" w:rsidRPr="002B5E33" w:rsidP="00ED5C0D">
      <w:pPr>
        <w:spacing w:line="269" w:lineRule="auto"/>
        <w:rPr>
          <w:rFonts w:ascii="David" w:hAnsi="David"/>
          <w:sz w:val="24"/>
          <w:rtl/>
        </w:rPr>
      </w:pPr>
      <w:r w:rsidRPr="002B5E33">
        <w:rPr>
          <w:rFonts w:ascii="David" w:hAnsi="David" w:hint="cs"/>
          <w:sz w:val="24"/>
          <w:rtl/>
        </w:rPr>
        <w:t>במבנה שוק ביטוחי הבריאות בישראל קיים, נוסף על כפל הביטוח המסחרי שנוצר מרכישה של שני כיסויים חופפים בשתי פוליסות מסחריות שונות</w:t>
      </w:r>
      <w:r>
        <w:rPr>
          <w:rStyle w:val="FootnoteReference"/>
          <w:rFonts w:ascii="David" w:hAnsi="David"/>
          <w:sz w:val="24"/>
          <w:rtl/>
        </w:rPr>
        <w:footnoteReference w:id="21"/>
      </w:r>
      <w:r w:rsidRPr="002B5E33">
        <w:rPr>
          <w:rFonts w:ascii="David" w:hAnsi="David" w:hint="cs"/>
          <w:sz w:val="24"/>
          <w:rtl/>
        </w:rPr>
        <w:t xml:space="preserve"> (להלן - </w:t>
      </w:r>
      <w:r w:rsidRPr="002B5E33">
        <w:rPr>
          <w:rFonts w:ascii="David" w:hAnsi="David" w:hint="eastAsia"/>
          <w:sz w:val="24"/>
          <w:rtl/>
        </w:rPr>
        <w:t>כפל</w:t>
      </w:r>
      <w:r w:rsidRPr="002B5E33">
        <w:rPr>
          <w:rFonts w:ascii="David" w:hAnsi="David"/>
          <w:sz w:val="24"/>
          <w:rtl/>
        </w:rPr>
        <w:t xml:space="preserve"> </w:t>
      </w:r>
      <w:r w:rsidRPr="002B5E33">
        <w:rPr>
          <w:rFonts w:ascii="David" w:hAnsi="David" w:hint="eastAsia"/>
          <w:sz w:val="24"/>
          <w:rtl/>
        </w:rPr>
        <w:t>ביטוח</w:t>
      </w:r>
      <w:r w:rsidRPr="002B5E33">
        <w:rPr>
          <w:rFonts w:ascii="David" w:hAnsi="David"/>
          <w:sz w:val="24"/>
          <w:rtl/>
        </w:rPr>
        <w:t xml:space="preserve"> </w:t>
      </w:r>
      <w:r w:rsidRPr="002B5E33">
        <w:rPr>
          <w:rFonts w:ascii="David" w:hAnsi="David" w:hint="eastAsia"/>
          <w:sz w:val="24"/>
          <w:rtl/>
        </w:rPr>
        <w:t>מסחרי</w:t>
      </w:r>
      <w:r w:rsidR="001E01F4">
        <w:rPr>
          <w:rFonts w:ascii="David" w:hAnsi="David" w:hint="cs"/>
          <w:sz w:val="24"/>
          <w:rtl/>
        </w:rPr>
        <w:t>),</w:t>
      </w:r>
      <w:r w:rsidRPr="002B5E33">
        <w:rPr>
          <w:rFonts w:ascii="David" w:hAnsi="David" w:hint="cs"/>
          <w:sz w:val="24"/>
          <w:rtl/>
        </w:rPr>
        <w:t xml:space="preserve"> גם כפל הנובע מחפיפה בכיסויים ש</w:t>
      </w:r>
      <w:r w:rsidRPr="002B5E33">
        <w:rPr>
          <w:rFonts w:hint="cs"/>
          <w:rtl/>
        </w:rPr>
        <w:t>בין ת</w:t>
      </w:r>
      <w:r w:rsidRPr="002B5E33" w:rsidR="00FA243B">
        <w:rPr>
          <w:rFonts w:hint="cs"/>
          <w:rtl/>
        </w:rPr>
        <w:t>ו</w:t>
      </w:r>
      <w:r w:rsidRPr="002B5E33">
        <w:rPr>
          <w:rFonts w:hint="cs"/>
          <w:rtl/>
        </w:rPr>
        <w:t>כניות השב"ן לבין הביטוח המסחרי (להלן - שב"ן מסחרי)</w:t>
      </w:r>
      <w:r>
        <w:rPr>
          <w:rStyle w:val="FootnoteReference"/>
          <w:rFonts w:ascii="David" w:hAnsi="David"/>
          <w:sz w:val="24"/>
          <w:rtl/>
        </w:rPr>
        <w:footnoteReference w:id="22"/>
      </w:r>
      <w:r w:rsidRPr="002B5E33">
        <w:rPr>
          <w:rFonts w:ascii="David" w:hAnsi="David" w:hint="cs"/>
          <w:sz w:val="24"/>
          <w:rtl/>
        </w:rPr>
        <w:t>.</w:t>
      </w:r>
    </w:p>
    <w:p w:rsidR="00B132F4" w:rsidRPr="002B5E33" w:rsidP="00ED5C0D">
      <w:pPr>
        <w:pStyle w:val="a"/>
        <w:spacing w:line="269" w:lineRule="auto"/>
        <w:rPr>
          <w:rtl/>
        </w:rPr>
      </w:pPr>
    </w:p>
    <w:p w:rsidR="00B132F4" w:rsidRPr="002B5E33" w:rsidP="00ED5C0D">
      <w:pPr>
        <w:spacing w:line="269" w:lineRule="auto"/>
        <w:rPr>
          <w:rFonts w:ascii="David" w:hAnsi="David"/>
          <w:b/>
          <w:bCs/>
          <w:sz w:val="24"/>
          <w:rtl/>
        </w:rPr>
      </w:pPr>
      <w:r w:rsidRPr="002B5E33">
        <w:rPr>
          <w:rFonts w:ascii="David" w:hAnsi="David"/>
          <w:b/>
          <w:bCs/>
          <w:sz w:val="24"/>
          <w:rtl/>
        </w:rPr>
        <w:t>ריבוי המידע</w:t>
      </w:r>
      <w:r w:rsidRPr="002B5E33">
        <w:rPr>
          <w:rFonts w:ascii="David" w:hAnsi="David" w:hint="cs"/>
          <w:b/>
          <w:bCs/>
          <w:sz w:val="24"/>
          <w:rtl/>
        </w:rPr>
        <w:t xml:space="preserve">, </w:t>
      </w:r>
      <w:r w:rsidRPr="002B5E33">
        <w:rPr>
          <w:rFonts w:ascii="David" w:hAnsi="David"/>
          <w:b/>
          <w:bCs/>
          <w:sz w:val="24"/>
          <w:rtl/>
        </w:rPr>
        <w:t xml:space="preserve">השוני במרכיבי הפוליסות של חברות הביטוח </w:t>
      </w:r>
      <w:r w:rsidRPr="002B5E33">
        <w:rPr>
          <w:rFonts w:ascii="David" w:hAnsi="David" w:hint="cs"/>
          <w:b/>
          <w:bCs/>
          <w:sz w:val="24"/>
          <w:rtl/>
        </w:rPr>
        <w:t xml:space="preserve">והיעדר האחידות בפוליסות </w:t>
      </w:r>
      <w:r w:rsidRPr="002B5E33">
        <w:rPr>
          <w:rFonts w:ascii="David" w:hAnsi="David"/>
          <w:b/>
          <w:bCs/>
          <w:sz w:val="24"/>
          <w:rtl/>
        </w:rPr>
        <w:t>מקש</w:t>
      </w:r>
      <w:r w:rsidRPr="002B5E33">
        <w:rPr>
          <w:rFonts w:ascii="David" w:hAnsi="David" w:hint="cs"/>
          <w:b/>
          <w:bCs/>
          <w:sz w:val="24"/>
          <w:rtl/>
        </w:rPr>
        <w:t>ים</w:t>
      </w:r>
      <w:r w:rsidRPr="002B5E33">
        <w:rPr>
          <w:rFonts w:ascii="David" w:hAnsi="David"/>
          <w:b/>
          <w:bCs/>
          <w:sz w:val="24"/>
          <w:rtl/>
        </w:rPr>
        <w:t xml:space="preserve"> על </w:t>
      </w:r>
      <w:r w:rsidRPr="002B5E33">
        <w:rPr>
          <w:rFonts w:ascii="David" w:hAnsi="David" w:hint="cs"/>
          <w:b/>
          <w:bCs/>
          <w:sz w:val="24"/>
          <w:rtl/>
        </w:rPr>
        <w:t>הציבור לבחון את מיד</w:t>
      </w:r>
      <w:r w:rsidRPr="002B5E33">
        <w:rPr>
          <w:rFonts w:ascii="David" w:hAnsi="David" w:hint="eastAsia"/>
          <w:b/>
          <w:bCs/>
          <w:sz w:val="24"/>
          <w:rtl/>
        </w:rPr>
        <w:t>ת</w:t>
      </w:r>
      <w:r w:rsidRPr="002B5E33">
        <w:rPr>
          <w:rFonts w:ascii="David" w:hAnsi="David"/>
          <w:b/>
          <w:bCs/>
          <w:sz w:val="24"/>
          <w:rtl/>
        </w:rPr>
        <w:t xml:space="preserve"> </w:t>
      </w:r>
      <w:r w:rsidRPr="002B5E33">
        <w:rPr>
          <w:rFonts w:ascii="David" w:hAnsi="David" w:hint="eastAsia"/>
          <w:b/>
          <w:bCs/>
          <w:sz w:val="24"/>
          <w:rtl/>
        </w:rPr>
        <w:t>החפיפה</w:t>
      </w:r>
      <w:r w:rsidRPr="002B5E33">
        <w:rPr>
          <w:rFonts w:ascii="David" w:hAnsi="David"/>
          <w:b/>
          <w:bCs/>
          <w:sz w:val="24"/>
          <w:rtl/>
        </w:rPr>
        <w:t xml:space="preserve"> </w:t>
      </w:r>
      <w:r w:rsidRPr="002B5E33">
        <w:rPr>
          <w:rFonts w:ascii="David" w:hAnsi="David" w:hint="eastAsia"/>
          <w:b/>
          <w:bCs/>
          <w:sz w:val="24"/>
          <w:rtl/>
        </w:rPr>
        <w:t>בין</w:t>
      </w:r>
      <w:r w:rsidRPr="002B5E33">
        <w:rPr>
          <w:rFonts w:ascii="David" w:hAnsi="David"/>
          <w:b/>
          <w:bCs/>
          <w:sz w:val="24"/>
          <w:rtl/>
        </w:rPr>
        <w:t xml:space="preserve"> </w:t>
      </w:r>
      <w:r w:rsidRPr="002B5E33">
        <w:rPr>
          <w:rFonts w:ascii="David" w:hAnsi="David" w:hint="eastAsia"/>
          <w:b/>
          <w:bCs/>
          <w:sz w:val="24"/>
          <w:rtl/>
        </w:rPr>
        <w:t>הביטוחים</w:t>
      </w:r>
      <w:r w:rsidRPr="002B5E33">
        <w:rPr>
          <w:rFonts w:ascii="David" w:hAnsi="David"/>
          <w:b/>
          <w:bCs/>
          <w:sz w:val="24"/>
          <w:rtl/>
        </w:rPr>
        <w:t xml:space="preserve"> </w:t>
      </w:r>
      <w:r w:rsidRPr="002B5E33">
        <w:rPr>
          <w:rFonts w:ascii="David" w:hAnsi="David" w:hint="eastAsia"/>
          <w:b/>
          <w:bCs/>
          <w:sz w:val="24"/>
          <w:rtl/>
        </w:rPr>
        <w:t>השונים</w:t>
      </w:r>
      <w:r w:rsidRPr="002B5E33">
        <w:rPr>
          <w:rFonts w:ascii="David" w:hAnsi="David"/>
          <w:b/>
          <w:bCs/>
          <w:sz w:val="24"/>
          <w:rtl/>
        </w:rPr>
        <w:t xml:space="preserve">. </w:t>
      </w:r>
      <w:r w:rsidRPr="002B5E33">
        <w:rPr>
          <w:rFonts w:ascii="David" w:hAnsi="David" w:hint="cs"/>
          <w:b/>
          <w:bCs/>
          <w:sz w:val="24"/>
          <w:rtl/>
        </w:rPr>
        <w:t xml:space="preserve">בפרט, קיים קושי להבחין בין כיסוי ביטוחי נוסף שיכול להיטיב עם המבוטח, לבין כיסוי ביטוחי כפול שהוא מיותר ומשית על המבוטח עלויות מיותרות. </w:t>
      </w:r>
      <w:r w:rsidRPr="002B5E33" w:rsidR="00324BCC">
        <w:rPr>
          <w:rFonts w:ascii="David" w:hAnsi="David" w:hint="eastAsia"/>
          <w:b/>
          <w:bCs/>
          <w:sz w:val="24"/>
          <w:rtl/>
        </w:rPr>
        <w:t>בהתאם</w:t>
      </w:r>
      <w:r w:rsidRPr="002B5E33" w:rsidR="00324BCC">
        <w:rPr>
          <w:rFonts w:ascii="David" w:hAnsi="David"/>
          <w:b/>
          <w:bCs/>
          <w:sz w:val="24"/>
          <w:rtl/>
        </w:rPr>
        <w:t xml:space="preserve">, </w:t>
      </w:r>
      <w:r w:rsidRPr="002B5E33" w:rsidR="00845BA8">
        <w:rPr>
          <w:rFonts w:ascii="David" w:hAnsi="David" w:hint="eastAsia"/>
          <w:b/>
          <w:bCs/>
          <w:sz w:val="24"/>
          <w:rtl/>
        </w:rPr>
        <w:t>מומלץ</w:t>
      </w:r>
      <w:r w:rsidRPr="002B5E33" w:rsidR="00F80E6B">
        <w:rPr>
          <w:rFonts w:ascii="David" w:hAnsi="David"/>
          <w:b/>
          <w:bCs/>
          <w:sz w:val="24"/>
          <w:rtl/>
        </w:rPr>
        <w:t xml:space="preserve"> שהרשות תפעל להפחית ככל שניתן את תופעת כפל הביטוח</w:t>
      </w:r>
      <w:r w:rsidRPr="002B5E33" w:rsidR="00461F37">
        <w:rPr>
          <w:rFonts w:ascii="David" w:hAnsi="David"/>
          <w:b/>
          <w:bCs/>
          <w:sz w:val="24"/>
          <w:rtl/>
        </w:rPr>
        <w:t xml:space="preserve">. </w:t>
      </w:r>
    </w:p>
    <w:p w:rsidR="00B132F4" w:rsidRPr="002B5E33" w:rsidP="00ED5C0D">
      <w:pPr>
        <w:pStyle w:val="a"/>
        <w:spacing w:line="269" w:lineRule="auto"/>
        <w:rPr>
          <w:rtl/>
        </w:rPr>
      </w:pPr>
    </w:p>
    <w:p w:rsidR="00F26849" w:rsidRPr="002B5E33" w:rsidP="00ED5C0D">
      <w:pPr>
        <w:spacing w:line="269" w:lineRule="auto"/>
        <w:rPr>
          <w:rFonts w:ascii="David" w:hAnsi="David"/>
          <w:sz w:val="24"/>
          <w:rtl/>
        </w:rPr>
      </w:pPr>
      <w:r w:rsidRPr="002B5E33">
        <w:rPr>
          <w:rFonts w:ascii="David" w:hAnsi="David" w:hint="cs"/>
          <w:sz w:val="24"/>
          <w:rtl/>
        </w:rPr>
        <w:t xml:space="preserve">הרשות השיבה לעניין זה כי היא זיהתה את כפל הביטוח ופעלה במטרה לצמצמו ולאפשר למבוטחים לרכוש כיסוי ראוי על פי העדפות הסיכון שלהם וללא כפל ביטוח מיותר (למעט במקרים של רכישה מיודעת ומושכלת). כך לדוגמא הרשות ציינה את: </w:t>
      </w:r>
      <w:r w:rsidRPr="002B5E33">
        <w:rPr>
          <w:rFonts w:ascii="David" w:hAnsi="David"/>
          <w:sz w:val="24"/>
          <w:rtl/>
        </w:rPr>
        <w:t>חוזר דיווח שנתי</w:t>
      </w:r>
      <w:r w:rsidRPr="002B5E33">
        <w:rPr>
          <w:rFonts w:ascii="David" w:hAnsi="David" w:hint="cs"/>
          <w:sz w:val="24"/>
          <w:rtl/>
        </w:rPr>
        <w:t xml:space="preserve"> ה</w:t>
      </w:r>
      <w:r w:rsidRPr="002B5E33">
        <w:rPr>
          <w:rFonts w:ascii="David" w:hAnsi="David"/>
          <w:sz w:val="24"/>
          <w:rtl/>
        </w:rPr>
        <w:t>קובע כללים לעדכונים השנתיים שמקבלים המבוטחים בביטוח בריאות</w:t>
      </w:r>
      <w:r w:rsidRPr="002B5E33">
        <w:rPr>
          <w:rFonts w:ascii="David" w:hAnsi="David" w:hint="cs"/>
          <w:sz w:val="24"/>
          <w:rtl/>
        </w:rPr>
        <w:t xml:space="preserve">; אתר </w:t>
      </w:r>
      <w:r w:rsidRPr="002B5E33">
        <w:rPr>
          <w:rFonts w:ascii="David" w:hAnsi="David"/>
          <w:sz w:val="24"/>
          <w:rtl/>
        </w:rPr>
        <w:t>"</w:t>
      </w:r>
      <w:r w:rsidRPr="002B5E33">
        <w:rPr>
          <w:rFonts w:ascii="David" w:hAnsi="David" w:hint="cs"/>
          <w:sz w:val="24"/>
          <w:rtl/>
        </w:rPr>
        <w:t>הר הביטוח</w:t>
      </w:r>
      <w:r w:rsidRPr="002B5E33">
        <w:rPr>
          <w:rFonts w:ascii="David" w:hAnsi="David"/>
          <w:sz w:val="24"/>
          <w:rtl/>
        </w:rPr>
        <w:t>" לאיתור מוצרי הביטוח</w:t>
      </w:r>
      <w:r w:rsidRPr="002B5E33">
        <w:rPr>
          <w:rFonts w:ascii="David" w:hAnsi="David" w:hint="cs"/>
          <w:sz w:val="24"/>
          <w:rtl/>
        </w:rPr>
        <w:t xml:space="preserve">, אשר באמצעותו ניתן לאתר גם מקרים של כפל ביטוח; </w:t>
      </w:r>
      <w:r w:rsidRPr="002B5E33">
        <w:rPr>
          <w:rFonts w:ascii="David" w:hAnsi="David"/>
          <w:sz w:val="24"/>
          <w:rtl/>
        </w:rPr>
        <w:t xml:space="preserve">חוזר ביטוח 2015-1-12 "צירוף לביטוח" קבע כללים ברורים להליך הצירוף </w:t>
      </w:r>
      <w:r w:rsidRPr="002B5E33">
        <w:rPr>
          <w:rFonts w:ascii="David" w:hAnsi="David" w:hint="cs"/>
          <w:sz w:val="24"/>
          <w:rtl/>
        </w:rPr>
        <w:t xml:space="preserve">כדי </w:t>
      </w:r>
      <w:r w:rsidRPr="002B5E33">
        <w:rPr>
          <w:rFonts w:ascii="David" w:hAnsi="David"/>
          <w:sz w:val="24"/>
          <w:rtl/>
        </w:rPr>
        <w:t>שישוקף למבוטחים באופן מלא הליך המכירה ותוכן המוצר הנמכר וכן מסירת מידע שעשוי למנוע כפל ביטוח</w:t>
      </w:r>
      <w:r w:rsidRPr="002B5E33">
        <w:rPr>
          <w:rFonts w:ascii="David" w:hAnsi="David" w:hint="cs"/>
          <w:sz w:val="24"/>
          <w:rtl/>
        </w:rPr>
        <w:t xml:space="preserve">; </w:t>
      </w:r>
      <w:r w:rsidRPr="002B5E33">
        <w:rPr>
          <w:rFonts w:ascii="David" w:hAnsi="David"/>
          <w:sz w:val="24"/>
          <w:rtl/>
        </w:rPr>
        <w:t xml:space="preserve">חוזר ביטוח 2007-1-6 </w:t>
      </w:r>
      <w:r w:rsidRPr="002B5E33">
        <w:rPr>
          <w:rFonts w:ascii="David" w:hAnsi="David" w:hint="cs"/>
          <w:sz w:val="24"/>
          <w:rtl/>
        </w:rPr>
        <w:t xml:space="preserve">- </w:t>
      </w:r>
      <w:r w:rsidRPr="002B5E33">
        <w:rPr>
          <w:rFonts w:ascii="David" w:hAnsi="David"/>
          <w:sz w:val="24"/>
          <w:rtl/>
        </w:rPr>
        <w:t xml:space="preserve">חוזר משלים שב"ן הגדיר חובת הצעה של פוליסה זו, </w:t>
      </w:r>
      <w:r w:rsidRPr="002B5E33">
        <w:rPr>
          <w:rFonts w:ascii="David" w:hAnsi="David" w:hint="cs"/>
          <w:sz w:val="24"/>
          <w:rtl/>
        </w:rPr>
        <w:t xml:space="preserve">במטרה </w:t>
      </w:r>
      <w:r w:rsidRPr="002B5E33">
        <w:rPr>
          <w:rFonts w:ascii="David" w:hAnsi="David"/>
          <w:sz w:val="24"/>
          <w:rtl/>
        </w:rPr>
        <w:t xml:space="preserve">לוודא שהאפשרות להימנע מכפל </w:t>
      </w:r>
      <w:r w:rsidRPr="002B5E33">
        <w:rPr>
          <w:rFonts w:ascii="David" w:hAnsi="David" w:hint="cs"/>
          <w:sz w:val="24"/>
          <w:rtl/>
        </w:rPr>
        <w:t xml:space="preserve">ביטוח </w:t>
      </w:r>
      <w:r w:rsidRPr="002B5E33">
        <w:rPr>
          <w:rFonts w:ascii="David" w:hAnsi="David"/>
          <w:sz w:val="24"/>
          <w:rtl/>
        </w:rPr>
        <w:t>מוצגת למבוטחים</w:t>
      </w:r>
      <w:r w:rsidRPr="002B5E33">
        <w:rPr>
          <w:rFonts w:ascii="David" w:hAnsi="David" w:hint="cs"/>
          <w:sz w:val="24"/>
          <w:rtl/>
        </w:rPr>
        <w:t xml:space="preserve">; </w:t>
      </w:r>
      <w:r w:rsidRPr="002B5E33">
        <w:rPr>
          <w:rFonts w:ascii="David" w:hAnsi="David"/>
          <w:sz w:val="24"/>
          <w:rtl/>
        </w:rPr>
        <w:t xml:space="preserve">תיקון הוראות החוזר המאוחד "גילוי ודיווח למבוטח בביטוח בריאות" </w:t>
      </w:r>
      <w:r w:rsidRPr="002B5E33">
        <w:rPr>
          <w:rFonts w:ascii="David" w:hAnsi="David" w:hint="cs"/>
          <w:sz w:val="24"/>
          <w:rtl/>
        </w:rPr>
        <w:t xml:space="preserve">לצורך </w:t>
      </w:r>
      <w:r w:rsidRPr="002B5E33">
        <w:rPr>
          <w:rFonts w:ascii="David" w:hAnsi="David"/>
          <w:sz w:val="24"/>
          <w:rtl/>
        </w:rPr>
        <w:t xml:space="preserve">שיפור המידע שמקבל המבוטח על ביטוחים </w:t>
      </w:r>
      <w:r w:rsidRPr="002B5E33">
        <w:rPr>
          <w:rFonts w:ascii="David" w:hAnsi="David" w:hint="cs"/>
          <w:sz w:val="24"/>
          <w:rtl/>
        </w:rPr>
        <w:t>ש</w:t>
      </w:r>
      <w:r w:rsidRPr="002B5E33">
        <w:rPr>
          <w:rFonts w:ascii="David" w:hAnsi="David"/>
          <w:sz w:val="24"/>
          <w:rtl/>
        </w:rPr>
        <w:t>בהם הוא מבוטח</w:t>
      </w:r>
      <w:r w:rsidRPr="002B5E33">
        <w:rPr>
          <w:rFonts w:ascii="David" w:hAnsi="David" w:hint="cs"/>
          <w:sz w:val="24"/>
          <w:rtl/>
        </w:rPr>
        <w:t>,</w:t>
      </w:r>
      <w:r w:rsidRPr="002B5E33">
        <w:rPr>
          <w:rFonts w:ascii="David" w:hAnsi="David"/>
          <w:sz w:val="24"/>
          <w:rtl/>
        </w:rPr>
        <w:t xml:space="preserve"> בהיבט של תדירות העדכונים ואופן המשלוח שלהם</w:t>
      </w:r>
      <w:r w:rsidRPr="002B5E33">
        <w:rPr>
          <w:rFonts w:ascii="David" w:hAnsi="David" w:hint="cs"/>
          <w:sz w:val="24"/>
          <w:rtl/>
        </w:rPr>
        <w:t>.</w:t>
      </w:r>
    </w:p>
    <w:p w:rsidR="00477B44" w:rsidRPr="002B5E33" w:rsidP="00ED5C0D">
      <w:pPr>
        <w:pStyle w:val="a"/>
        <w:spacing w:line="269" w:lineRule="auto"/>
        <w:rPr>
          <w:rtl/>
        </w:rPr>
      </w:pPr>
    </w:p>
    <w:p w:rsidR="00B132F4" w:rsidRPr="002B5E33" w:rsidP="00ED5C0D">
      <w:pPr>
        <w:spacing w:line="269" w:lineRule="auto"/>
        <w:rPr>
          <w:rFonts w:ascii="David" w:hAnsi="David"/>
          <w:sz w:val="24"/>
          <w:rtl/>
        </w:rPr>
      </w:pPr>
      <w:r w:rsidRPr="002B5E33">
        <w:rPr>
          <w:rFonts w:ascii="David" w:hAnsi="David" w:hint="cs"/>
          <w:sz w:val="24"/>
          <w:rtl/>
        </w:rPr>
        <w:t xml:space="preserve">הפעילות שיזמה הרשות כאמור נועדה למבוטחים חדשים ולא למבוטחים קיימים המחזיקים בפוליסות ישנות, שכן הרשות סבורה כי תופעת כפל הביטוח בקרבם נובעת מקיומם של </w:t>
      </w:r>
      <w:r w:rsidRPr="002B5E33">
        <w:rPr>
          <w:rFonts w:ascii="David" w:hAnsi="David" w:hint="eastAsia"/>
          <w:sz w:val="24"/>
          <w:rtl/>
        </w:rPr>
        <w:t>תנאים</w:t>
      </w:r>
      <w:r w:rsidRPr="002B5E33">
        <w:rPr>
          <w:rFonts w:ascii="David" w:hAnsi="David"/>
          <w:sz w:val="24"/>
          <w:rtl/>
        </w:rPr>
        <w:t xml:space="preserve"> </w:t>
      </w:r>
      <w:r w:rsidRPr="002B5E33">
        <w:rPr>
          <w:rFonts w:ascii="David" w:hAnsi="David" w:hint="eastAsia"/>
          <w:sz w:val="24"/>
          <w:rtl/>
        </w:rPr>
        <w:t>שונים</w:t>
      </w:r>
      <w:r w:rsidRPr="002B5E33">
        <w:rPr>
          <w:rFonts w:ascii="David" w:hAnsi="David" w:hint="cs"/>
          <w:sz w:val="24"/>
          <w:rtl/>
        </w:rPr>
        <w:t>, בחלק מהמקרים,</w:t>
      </w:r>
      <w:r w:rsidRPr="002B5E33">
        <w:rPr>
          <w:rFonts w:ascii="David" w:hAnsi="David"/>
          <w:sz w:val="24"/>
          <w:rtl/>
        </w:rPr>
        <w:t xml:space="preserve"> </w:t>
      </w:r>
      <w:r w:rsidRPr="002B5E33">
        <w:rPr>
          <w:rFonts w:ascii="David" w:hAnsi="David" w:hint="eastAsia"/>
          <w:sz w:val="24"/>
          <w:rtl/>
        </w:rPr>
        <w:t>אשר</w:t>
      </w:r>
      <w:r w:rsidRPr="002B5E33">
        <w:rPr>
          <w:rFonts w:ascii="David" w:hAnsi="David"/>
          <w:sz w:val="24"/>
          <w:rtl/>
        </w:rPr>
        <w:t xml:space="preserve"> </w:t>
      </w:r>
      <w:r w:rsidRPr="002B5E33">
        <w:rPr>
          <w:rFonts w:ascii="David" w:hAnsi="David" w:hint="eastAsia"/>
          <w:sz w:val="24"/>
          <w:rtl/>
        </w:rPr>
        <w:t>ברצון</w:t>
      </w:r>
      <w:r w:rsidRPr="002B5E33">
        <w:rPr>
          <w:rFonts w:ascii="David" w:hAnsi="David"/>
          <w:sz w:val="24"/>
          <w:rtl/>
        </w:rPr>
        <w:t xml:space="preserve"> </w:t>
      </w:r>
      <w:r w:rsidRPr="002B5E33">
        <w:rPr>
          <w:rFonts w:ascii="David" w:hAnsi="David" w:hint="eastAsia"/>
          <w:sz w:val="24"/>
          <w:rtl/>
        </w:rPr>
        <w:t>המבוטחים</w:t>
      </w:r>
      <w:r w:rsidRPr="002B5E33">
        <w:rPr>
          <w:rFonts w:ascii="David" w:hAnsi="David"/>
          <w:sz w:val="24"/>
          <w:rtl/>
        </w:rPr>
        <w:t xml:space="preserve"> </w:t>
      </w:r>
      <w:r w:rsidRPr="002B5E33">
        <w:rPr>
          <w:rFonts w:ascii="David" w:hAnsi="David" w:hint="eastAsia"/>
          <w:sz w:val="24"/>
          <w:rtl/>
        </w:rPr>
        <w:t>לשמר</w:t>
      </w:r>
      <w:r w:rsidRPr="002B5E33">
        <w:rPr>
          <w:rFonts w:ascii="David" w:hAnsi="David" w:hint="cs"/>
          <w:sz w:val="24"/>
          <w:rtl/>
        </w:rPr>
        <w:t>.</w:t>
      </w:r>
    </w:p>
    <w:p w:rsidR="00B132F4" w:rsidRPr="002B5E33" w:rsidP="00ED5C0D">
      <w:pPr>
        <w:pStyle w:val="a"/>
        <w:spacing w:line="269" w:lineRule="auto"/>
        <w:rPr>
          <w:rtl/>
        </w:rPr>
      </w:pPr>
    </w:p>
    <w:p w:rsidR="002D3C09" w:rsidRPr="002B5E33" w:rsidP="00ED5C0D">
      <w:pPr>
        <w:spacing w:line="269" w:lineRule="auto"/>
        <w:rPr>
          <w:rFonts w:ascii="David" w:hAnsi="David"/>
          <w:b/>
          <w:bCs/>
          <w:sz w:val="24"/>
          <w:rtl/>
        </w:rPr>
      </w:pPr>
      <w:r w:rsidRPr="002B5E33">
        <w:rPr>
          <w:rFonts w:ascii="David" w:hAnsi="David"/>
          <w:b/>
          <w:bCs/>
          <w:sz w:val="24"/>
          <w:rtl/>
        </w:rPr>
        <w:t>משרד מבקר</w:t>
      </w:r>
      <w:r w:rsidRPr="002B5E33" w:rsidR="00C47DCA">
        <w:rPr>
          <w:rFonts w:ascii="David" w:hAnsi="David" w:hint="cs"/>
          <w:b/>
          <w:bCs/>
          <w:sz w:val="24"/>
          <w:rtl/>
        </w:rPr>
        <w:t xml:space="preserve"> המדינה</w:t>
      </w:r>
      <w:r w:rsidRPr="002B5E33">
        <w:rPr>
          <w:rFonts w:ascii="David" w:hAnsi="David"/>
          <w:b/>
          <w:bCs/>
          <w:sz w:val="24"/>
          <w:rtl/>
        </w:rPr>
        <w:t xml:space="preserve"> ממליץ לרשות </w:t>
      </w:r>
      <w:r w:rsidRPr="002B5E33">
        <w:rPr>
          <w:rFonts w:ascii="David" w:hAnsi="David" w:hint="eastAsia"/>
          <w:b/>
          <w:bCs/>
          <w:sz w:val="24"/>
          <w:rtl/>
        </w:rPr>
        <w:t>ל</w:t>
      </w:r>
      <w:r w:rsidRPr="002B5E33">
        <w:rPr>
          <w:rFonts w:ascii="David" w:hAnsi="David" w:hint="cs"/>
          <w:b/>
          <w:bCs/>
          <w:sz w:val="24"/>
          <w:rtl/>
        </w:rPr>
        <w:t>המשיך לפעול בנושא ול</w:t>
      </w:r>
      <w:r w:rsidRPr="002B5E33">
        <w:rPr>
          <w:rFonts w:ascii="David" w:hAnsi="David" w:hint="eastAsia"/>
          <w:b/>
          <w:bCs/>
          <w:sz w:val="24"/>
          <w:rtl/>
        </w:rPr>
        <w:t>הגדיר</w:t>
      </w:r>
      <w:r w:rsidRPr="002B5E33">
        <w:rPr>
          <w:rFonts w:ascii="David" w:hAnsi="David" w:hint="cs"/>
          <w:b/>
          <w:bCs/>
          <w:sz w:val="24"/>
          <w:rtl/>
        </w:rPr>
        <w:t xml:space="preserve"> </w:t>
      </w:r>
      <w:r w:rsidRPr="002B5E33">
        <w:rPr>
          <w:rFonts w:ascii="David" w:hAnsi="David"/>
          <w:b/>
          <w:bCs/>
          <w:sz w:val="24"/>
          <w:rtl/>
        </w:rPr>
        <w:t xml:space="preserve">מהו כפל ביטוח </w:t>
      </w:r>
      <w:r w:rsidRPr="002B5E33">
        <w:rPr>
          <w:rFonts w:ascii="David" w:hAnsi="David" w:hint="eastAsia"/>
          <w:b/>
          <w:bCs/>
          <w:sz w:val="24"/>
          <w:rtl/>
        </w:rPr>
        <w:t>מיותר</w:t>
      </w:r>
      <w:r w:rsidRPr="002B5E33">
        <w:rPr>
          <w:rFonts w:ascii="David" w:hAnsi="David"/>
          <w:b/>
          <w:bCs/>
          <w:sz w:val="24"/>
          <w:rtl/>
        </w:rPr>
        <w:t xml:space="preserve"> שיש להימנע ממנו, </w:t>
      </w:r>
      <w:r w:rsidRPr="002B5E33">
        <w:rPr>
          <w:rFonts w:ascii="David" w:hAnsi="David" w:hint="eastAsia"/>
          <w:b/>
          <w:bCs/>
          <w:sz w:val="24"/>
          <w:rtl/>
        </w:rPr>
        <w:t>למדוד</w:t>
      </w:r>
      <w:r w:rsidRPr="002B5E33">
        <w:rPr>
          <w:rFonts w:ascii="David" w:hAnsi="David"/>
          <w:b/>
          <w:bCs/>
          <w:sz w:val="24"/>
          <w:rtl/>
        </w:rPr>
        <w:t xml:space="preserve"> </w:t>
      </w:r>
      <w:r w:rsidRPr="002B5E33">
        <w:rPr>
          <w:rFonts w:ascii="David" w:hAnsi="David" w:hint="cs"/>
          <w:b/>
          <w:bCs/>
          <w:sz w:val="24"/>
          <w:rtl/>
        </w:rPr>
        <w:t xml:space="preserve">את היקף התופעה </w:t>
      </w:r>
      <w:r w:rsidRPr="002B5E33">
        <w:rPr>
          <w:rFonts w:ascii="David" w:hAnsi="David"/>
          <w:b/>
          <w:bCs/>
          <w:sz w:val="24"/>
          <w:rtl/>
        </w:rPr>
        <w:t>וליידע את ציבור המבוטחים</w:t>
      </w:r>
      <w:r w:rsidRPr="002B5E33">
        <w:rPr>
          <w:rFonts w:ascii="David" w:hAnsi="David" w:hint="cs"/>
          <w:b/>
          <w:bCs/>
          <w:sz w:val="24"/>
          <w:rtl/>
        </w:rPr>
        <w:t xml:space="preserve"> בעניינה.</w:t>
      </w:r>
      <w:r w:rsidR="00944242">
        <w:rPr>
          <w:rFonts w:ascii="David" w:hAnsi="David" w:hint="cs"/>
          <w:b/>
          <w:bCs/>
          <w:sz w:val="24"/>
          <w:rtl/>
        </w:rPr>
        <w:t xml:space="preserve"> </w:t>
      </w:r>
      <w:r w:rsidRPr="002B5E33">
        <w:rPr>
          <w:rFonts w:ascii="David" w:hAnsi="David" w:hint="cs"/>
          <w:b/>
          <w:bCs/>
          <w:sz w:val="24"/>
          <w:rtl/>
        </w:rPr>
        <w:t xml:space="preserve">כמו </w:t>
      </w:r>
      <w:r w:rsidRPr="002B5E33">
        <w:rPr>
          <w:rFonts w:ascii="David" w:hAnsi="David"/>
          <w:b/>
          <w:bCs/>
          <w:sz w:val="24"/>
          <w:rtl/>
        </w:rPr>
        <w:t>כן</w:t>
      </w:r>
      <w:r w:rsidRPr="002B5E33">
        <w:rPr>
          <w:rFonts w:ascii="David" w:hAnsi="David" w:hint="cs"/>
          <w:b/>
          <w:bCs/>
          <w:sz w:val="24"/>
          <w:rtl/>
        </w:rPr>
        <w:t>, משרד מבקר המדינה ממליץ</w:t>
      </w:r>
      <w:r w:rsidRPr="002B5E33">
        <w:rPr>
          <w:rFonts w:ascii="David" w:hAnsi="David"/>
          <w:b/>
          <w:bCs/>
          <w:sz w:val="24"/>
          <w:rtl/>
        </w:rPr>
        <w:t xml:space="preserve"> </w:t>
      </w:r>
      <w:r w:rsidRPr="002B5E33">
        <w:rPr>
          <w:rFonts w:ascii="David" w:hAnsi="David" w:hint="cs"/>
          <w:b/>
          <w:bCs/>
          <w:sz w:val="24"/>
          <w:rtl/>
        </w:rPr>
        <w:t xml:space="preserve">לבחון </w:t>
      </w:r>
      <w:r w:rsidRPr="002B5E33">
        <w:rPr>
          <w:rFonts w:ascii="David" w:hAnsi="David" w:hint="eastAsia"/>
          <w:b/>
          <w:bCs/>
          <w:sz w:val="24"/>
          <w:rtl/>
        </w:rPr>
        <w:t>כלים</w:t>
      </w:r>
      <w:r w:rsidRPr="002B5E33">
        <w:rPr>
          <w:rFonts w:ascii="David" w:hAnsi="David"/>
          <w:b/>
          <w:bCs/>
          <w:sz w:val="24"/>
          <w:rtl/>
        </w:rPr>
        <w:t xml:space="preserve"> נוספים </w:t>
      </w:r>
      <w:r w:rsidRPr="002B5E33">
        <w:rPr>
          <w:rFonts w:ascii="David" w:hAnsi="David" w:hint="eastAsia"/>
          <w:b/>
          <w:bCs/>
          <w:sz w:val="24"/>
          <w:rtl/>
        </w:rPr>
        <w:t>להתמודד</w:t>
      </w:r>
      <w:r w:rsidRPr="002B5E33">
        <w:rPr>
          <w:rFonts w:ascii="David" w:hAnsi="David"/>
          <w:b/>
          <w:bCs/>
          <w:sz w:val="24"/>
          <w:rtl/>
        </w:rPr>
        <w:t xml:space="preserve"> </w:t>
      </w:r>
      <w:r w:rsidRPr="002B5E33">
        <w:rPr>
          <w:rFonts w:ascii="David" w:hAnsi="David" w:hint="eastAsia"/>
          <w:b/>
          <w:bCs/>
          <w:sz w:val="24"/>
          <w:rtl/>
        </w:rPr>
        <w:t>עם</w:t>
      </w:r>
      <w:r w:rsidRPr="002B5E33">
        <w:rPr>
          <w:rFonts w:ascii="David" w:hAnsi="David"/>
          <w:b/>
          <w:bCs/>
          <w:sz w:val="24"/>
          <w:rtl/>
        </w:rPr>
        <w:t xml:space="preserve"> </w:t>
      </w:r>
      <w:r w:rsidRPr="002B5E33">
        <w:rPr>
          <w:rFonts w:ascii="David" w:hAnsi="David" w:hint="eastAsia"/>
          <w:b/>
          <w:bCs/>
          <w:sz w:val="24"/>
          <w:rtl/>
        </w:rPr>
        <w:t>התופעה</w:t>
      </w:r>
      <w:r w:rsidRPr="002B5E33">
        <w:rPr>
          <w:rFonts w:ascii="David" w:hAnsi="David"/>
          <w:b/>
          <w:bCs/>
          <w:sz w:val="24"/>
          <w:rtl/>
        </w:rPr>
        <w:t xml:space="preserve"> </w:t>
      </w:r>
      <w:r w:rsidRPr="002B5E33">
        <w:rPr>
          <w:rFonts w:ascii="David" w:hAnsi="David" w:hint="eastAsia"/>
          <w:b/>
          <w:bCs/>
          <w:sz w:val="24"/>
          <w:rtl/>
        </w:rPr>
        <w:t>במסגרת</w:t>
      </w:r>
      <w:r w:rsidRPr="002B5E33">
        <w:rPr>
          <w:rFonts w:ascii="David" w:hAnsi="David"/>
          <w:b/>
          <w:bCs/>
          <w:sz w:val="24"/>
          <w:rtl/>
        </w:rPr>
        <w:t xml:space="preserve"> </w:t>
      </w:r>
      <w:r w:rsidRPr="002B5E33">
        <w:rPr>
          <w:rFonts w:ascii="David" w:hAnsi="David" w:hint="eastAsia"/>
          <w:b/>
          <w:bCs/>
          <w:sz w:val="24"/>
          <w:rtl/>
        </w:rPr>
        <w:t>הכלים</w:t>
      </w:r>
      <w:r w:rsidRPr="002B5E33">
        <w:rPr>
          <w:rFonts w:ascii="David" w:hAnsi="David"/>
          <w:b/>
          <w:bCs/>
          <w:sz w:val="24"/>
          <w:rtl/>
        </w:rPr>
        <w:t xml:space="preserve"> </w:t>
      </w:r>
      <w:r w:rsidRPr="002B5E33">
        <w:rPr>
          <w:rFonts w:ascii="David" w:hAnsi="David" w:hint="eastAsia"/>
          <w:b/>
          <w:bCs/>
          <w:sz w:val="24"/>
          <w:rtl/>
        </w:rPr>
        <w:t>המוקנים</w:t>
      </w:r>
      <w:r w:rsidRPr="002B5E33">
        <w:rPr>
          <w:rFonts w:ascii="David" w:hAnsi="David"/>
          <w:b/>
          <w:bCs/>
          <w:sz w:val="24"/>
          <w:rtl/>
        </w:rPr>
        <w:t xml:space="preserve"> לה בחוק </w:t>
      </w:r>
      <w:r w:rsidRPr="002B5E33">
        <w:rPr>
          <w:rFonts w:ascii="David" w:hAnsi="David" w:hint="eastAsia"/>
          <w:b/>
          <w:bCs/>
          <w:sz w:val="24"/>
          <w:rtl/>
        </w:rPr>
        <w:t>כמאסדרת</w:t>
      </w:r>
      <w:r w:rsidRPr="002B5E33">
        <w:rPr>
          <w:rFonts w:ascii="David" w:hAnsi="David"/>
          <w:b/>
          <w:bCs/>
          <w:sz w:val="24"/>
          <w:rtl/>
        </w:rPr>
        <w:t xml:space="preserve"> התחום. </w:t>
      </w:r>
    </w:p>
    <w:p w:rsidR="00B132F4" w:rsidRPr="002B5E33" w:rsidP="00ED5C0D">
      <w:pPr>
        <w:spacing w:line="269" w:lineRule="auto"/>
        <w:rPr>
          <w:rFonts w:eastAsiaTheme="majorEastAsia"/>
          <w:spacing w:val="40"/>
          <w:rtl/>
        </w:rPr>
      </w:pPr>
    </w:p>
    <w:p w:rsidR="00B132F4" w:rsidRPr="002B5E33" w:rsidP="00ED5C0D">
      <w:pPr>
        <w:pStyle w:val="Heading6"/>
        <w:spacing w:line="269" w:lineRule="auto"/>
        <w:rPr>
          <w:rtl/>
        </w:rPr>
      </w:pPr>
      <w:r w:rsidRPr="002B5E33">
        <w:rPr>
          <w:rFonts w:hint="cs"/>
          <w:rtl/>
        </w:rPr>
        <w:t>חפיפה בין ת</w:t>
      </w:r>
      <w:r w:rsidRPr="002B5E33" w:rsidR="00FA243B">
        <w:rPr>
          <w:rFonts w:hint="cs"/>
          <w:rtl/>
        </w:rPr>
        <w:t>ו</w:t>
      </w:r>
      <w:r w:rsidRPr="002B5E33">
        <w:rPr>
          <w:rFonts w:hint="cs"/>
          <w:rtl/>
        </w:rPr>
        <w:t>כניות השב"ן לביטוח המסחרי</w:t>
      </w:r>
    </w:p>
    <w:p w:rsidR="00B132F4" w:rsidRPr="002B5E33" w:rsidP="00ED5C0D">
      <w:pPr>
        <w:pStyle w:val="a"/>
        <w:spacing w:line="269" w:lineRule="auto"/>
        <w:rPr>
          <w:rtl/>
        </w:rPr>
      </w:pPr>
    </w:p>
    <w:p w:rsidR="00B132F4" w:rsidRPr="002B5E33" w:rsidP="00ED5C0D">
      <w:pPr>
        <w:shd w:val="clear" w:color="auto" w:fill="FFFFFF"/>
        <w:spacing w:line="269" w:lineRule="auto"/>
        <w:rPr>
          <w:rFonts w:ascii="David" w:hAnsi="David"/>
          <w:sz w:val="24"/>
          <w:rtl/>
        </w:rPr>
      </w:pPr>
      <w:r w:rsidRPr="002B5E33">
        <w:rPr>
          <w:rFonts w:ascii="David" w:hAnsi="David" w:hint="cs"/>
          <w:sz w:val="24"/>
          <w:rtl/>
        </w:rPr>
        <w:t>ת</w:t>
      </w:r>
      <w:r w:rsidRPr="002B5E33" w:rsidR="00FA243B">
        <w:rPr>
          <w:rFonts w:ascii="David" w:hAnsi="David" w:hint="cs"/>
          <w:sz w:val="24"/>
          <w:rtl/>
        </w:rPr>
        <w:t>ו</w:t>
      </w:r>
      <w:r w:rsidRPr="002B5E33">
        <w:rPr>
          <w:rFonts w:ascii="David" w:hAnsi="David" w:hint="cs"/>
          <w:sz w:val="24"/>
          <w:rtl/>
        </w:rPr>
        <w:t xml:space="preserve">כניות הכיסוי הבריאותי של השב"ן מקיפות יותר מ-50 תחומי כיסוי, המוצעים לרכישה כחבילה אחת. בין השירותים שמציעות תוכניות אלו </w:t>
      </w:r>
      <w:r w:rsidRPr="002B5E33" w:rsidR="00FA243B">
        <w:rPr>
          <w:rFonts w:ascii="David" w:hAnsi="David" w:hint="cs"/>
          <w:sz w:val="24"/>
          <w:rtl/>
        </w:rPr>
        <w:t xml:space="preserve">למבוטחים </w:t>
      </w:r>
      <w:r w:rsidRPr="002B5E33">
        <w:rPr>
          <w:rFonts w:ascii="David" w:hAnsi="David" w:hint="cs"/>
          <w:sz w:val="24"/>
          <w:rtl/>
        </w:rPr>
        <w:t>- אפשרות לבחור מנתח, השתתפות ברכישת תרופות ואביזרים, מימון טיפולים רפואיים בחו"ל, רפואה משלימה, קבלת חוות דעת מרופאים מומחים, רפואת שיניים, ייעוץ דיאטני ועוד</w:t>
      </w:r>
      <w:r>
        <w:rPr>
          <w:rFonts w:ascii="David" w:hAnsi="David" w:hint="cs"/>
          <w:sz w:val="24"/>
          <w:vertAlign w:val="superscript"/>
          <w:rtl/>
        </w:rPr>
        <w:footnoteReference w:id="23"/>
      </w:r>
      <w:r w:rsidRPr="002B5E33">
        <w:rPr>
          <w:rFonts w:ascii="David" w:hAnsi="David" w:hint="cs"/>
          <w:sz w:val="24"/>
          <w:rtl/>
        </w:rPr>
        <w:t xml:space="preserve">. </w:t>
      </w:r>
      <w:r w:rsidRPr="002B5E33">
        <w:rPr>
          <w:rFonts w:ascii="David" w:hAnsi="David" w:hint="eastAsia"/>
          <w:sz w:val="24"/>
          <w:rtl/>
        </w:rPr>
        <w:t>התשלום</w:t>
      </w:r>
      <w:r w:rsidRPr="002B5E33">
        <w:rPr>
          <w:rFonts w:ascii="David" w:hAnsi="David"/>
          <w:sz w:val="24"/>
          <w:rtl/>
        </w:rPr>
        <w:t xml:space="preserve"> </w:t>
      </w:r>
      <w:r w:rsidRPr="002B5E33">
        <w:rPr>
          <w:rFonts w:ascii="David" w:hAnsi="David" w:hint="eastAsia"/>
          <w:sz w:val="24"/>
          <w:rtl/>
        </w:rPr>
        <w:t>החודשי</w:t>
      </w:r>
      <w:r w:rsidRPr="002B5E33">
        <w:rPr>
          <w:rFonts w:ascii="David" w:hAnsi="David"/>
          <w:sz w:val="24"/>
          <w:rtl/>
        </w:rPr>
        <w:t xml:space="preserve"> </w:t>
      </w:r>
      <w:r w:rsidRPr="002B5E33">
        <w:rPr>
          <w:rFonts w:ascii="David" w:hAnsi="David" w:hint="eastAsia"/>
          <w:sz w:val="24"/>
          <w:rtl/>
        </w:rPr>
        <w:t>נקבע</w:t>
      </w:r>
      <w:r w:rsidRPr="002B5E33">
        <w:rPr>
          <w:rFonts w:ascii="David" w:hAnsi="David"/>
          <w:sz w:val="24"/>
          <w:rtl/>
        </w:rPr>
        <w:t xml:space="preserve"> </w:t>
      </w:r>
      <w:r w:rsidRPr="002B5E33">
        <w:rPr>
          <w:rFonts w:ascii="David" w:hAnsi="David" w:hint="eastAsia"/>
          <w:sz w:val="24"/>
          <w:rtl/>
        </w:rPr>
        <w:t>על</w:t>
      </w:r>
      <w:r w:rsidRPr="002B5E33">
        <w:rPr>
          <w:rFonts w:ascii="David" w:hAnsi="David"/>
          <w:sz w:val="24"/>
          <w:rtl/>
        </w:rPr>
        <w:t xml:space="preserve"> </w:t>
      </w:r>
      <w:r w:rsidRPr="002B5E33">
        <w:rPr>
          <w:rFonts w:ascii="David" w:hAnsi="David" w:hint="eastAsia"/>
          <w:sz w:val="24"/>
          <w:rtl/>
        </w:rPr>
        <w:t>ידי</w:t>
      </w:r>
      <w:r w:rsidRPr="002B5E33">
        <w:rPr>
          <w:rFonts w:ascii="David" w:hAnsi="David"/>
          <w:sz w:val="24"/>
          <w:rtl/>
        </w:rPr>
        <w:t xml:space="preserve"> </w:t>
      </w:r>
      <w:r w:rsidRPr="002B5E33">
        <w:rPr>
          <w:rFonts w:ascii="David" w:hAnsi="David" w:hint="eastAsia"/>
          <w:sz w:val="24"/>
          <w:rtl/>
        </w:rPr>
        <w:t>קופות</w:t>
      </w:r>
      <w:r w:rsidRPr="002B5E33">
        <w:rPr>
          <w:rFonts w:ascii="David" w:hAnsi="David"/>
          <w:sz w:val="24"/>
          <w:rtl/>
        </w:rPr>
        <w:t xml:space="preserve"> </w:t>
      </w:r>
      <w:r w:rsidRPr="002B5E33">
        <w:rPr>
          <w:rFonts w:ascii="David" w:hAnsi="David" w:hint="eastAsia"/>
          <w:sz w:val="24"/>
          <w:rtl/>
        </w:rPr>
        <w:t>החולים</w:t>
      </w:r>
      <w:r w:rsidRPr="002B5E33">
        <w:rPr>
          <w:rFonts w:ascii="David" w:hAnsi="David"/>
          <w:sz w:val="24"/>
          <w:rtl/>
        </w:rPr>
        <w:t xml:space="preserve">, </w:t>
      </w:r>
      <w:r w:rsidRPr="002B5E33">
        <w:rPr>
          <w:rFonts w:ascii="David" w:hAnsi="David" w:hint="eastAsia"/>
          <w:sz w:val="24"/>
          <w:rtl/>
        </w:rPr>
        <w:t>לפי</w:t>
      </w:r>
      <w:r w:rsidRPr="002B5E33">
        <w:rPr>
          <w:rFonts w:ascii="David" w:hAnsi="David"/>
          <w:sz w:val="24"/>
          <w:rtl/>
        </w:rPr>
        <w:t xml:space="preserve"> </w:t>
      </w:r>
      <w:r w:rsidRPr="002B5E33">
        <w:rPr>
          <w:rFonts w:ascii="David" w:hAnsi="David" w:hint="eastAsia"/>
          <w:sz w:val="24"/>
          <w:rtl/>
        </w:rPr>
        <w:t>קבוצות</w:t>
      </w:r>
      <w:r w:rsidRPr="002B5E33">
        <w:rPr>
          <w:rFonts w:ascii="David" w:hAnsi="David"/>
          <w:sz w:val="24"/>
          <w:rtl/>
        </w:rPr>
        <w:t xml:space="preserve"> </w:t>
      </w:r>
      <w:r w:rsidRPr="002B5E33">
        <w:rPr>
          <w:rFonts w:ascii="David" w:hAnsi="David" w:hint="eastAsia"/>
          <w:sz w:val="24"/>
          <w:rtl/>
        </w:rPr>
        <w:t>גיל</w:t>
      </w:r>
      <w:r w:rsidRPr="002B5E33">
        <w:rPr>
          <w:rFonts w:ascii="David" w:hAnsi="David"/>
          <w:sz w:val="24"/>
          <w:rtl/>
        </w:rPr>
        <w:t xml:space="preserve"> ו</w:t>
      </w:r>
      <w:r w:rsidRPr="002B5E33">
        <w:rPr>
          <w:rFonts w:ascii="David" w:hAnsi="David" w:hint="eastAsia"/>
          <w:sz w:val="24"/>
          <w:rtl/>
        </w:rPr>
        <w:t>קופת</w:t>
      </w:r>
      <w:r w:rsidRPr="002B5E33">
        <w:rPr>
          <w:rFonts w:ascii="David" w:hAnsi="David"/>
          <w:sz w:val="24"/>
          <w:rtl/>
        </w:rPr>
        <w:t xml:space="preserve"> החולים מחויבת לצרף לת</w:t>
      </w:r>
      <w:r w:rsidRPr="002B5E33" w:rsidR="00FA243B">
        <w:rPr>
          <w:rFonts w:ascii="David" w:hAnsi="David" w:hint="cs"/>
          <w:sz w:val="24"/>
          <w:rtl/>
        </w:rPr>
        <w:t>ו</w:t>
      </w:r>
      <w:r w:rsidRPr="002B5E33">
        <w:rPr>
          <w:rFonts w:ascii="David" w:hAnsi="David"/>
          <w:sz w:val="24"/>
          <w:rtl/>
        </w:rPr>
        <w:t xml:space="preserve">כנית כל חבר המעוניין בכך, בלא קשר למצבו הבריאותי. </w:t>
      </w:r>
      <w:r w:rsidRPr="002B5E33">
        <w:rPr>
          <w:rFonts w:ascii="David" w:hAnsi="David" w:hint="eastAsia"/>
          <w:sz w:val="24"/>
          <w:rtl/>
        </w:rPr>
        <w:t>יצוין</w:t>
      </w:r>
      <w:r w:rsidRPr="002B5E33">
        <w:rPr>
          <w:rFonts w:ascii="David" w:hAnsi="David"/>
          <w:sz w:val="24"/>
          <w:rtl/>
        </w:rPr>
        <w:t xml:space="preserve"> </w:t>
      </w:r>
      <w:r w:rsidRPr="002B5E33">
        <w:rPr>
          <w:rFonts w:ascii="David" w:hAnsi="David" w:hint="eastAsia"/>
          <w:sz w:val="24"/>
          <w:rtl/>
        </w:rPr>
        <w:t>ששירותי</w:t>
      </w:r>
      <w:r w:rsidRPr="002B5E33">
        <w:rPr>
          <w:rFonts w:ascii="David" w:hAnsi="David"/>
          <w:sz w:val="24"/>
          <w:rtl/>
        </w:rPr>
        <w:t xml:space="preserve"> </w:t>
      </w:r>
      <w:r w:rsidRPr="002B5E33">
        <w:rPr>
          <w:rFonts w:ascii="David" w:hAnsi="David" w:hint="eastAsia"/>
          <w:sz w:val="24"/>
          <w:rtl/>
        </w:rPr>
        <w:t>השב</w:t>
      </w:r>
      <w:r w:rsidRPr="002B5E33">
        <w:rPr>
          <w:rFonts w:ascii="David" w:hAnsi="David"/>
          <w:sz w:val="24"/>
          <w:rtl/>
        </w:rPr>
        <w:t xml:space="preserve">"ן </w:t>
      </w:r>
      <w:r w:rsidRPr="002B5E33">
        <w:rPr>
          <w:rFonts w:ascii="David" w:hAnsi="David" w:hint="eastAsia"/>
          <w:sz w:val="24"/>
          <w:rtl/>
        </w:rPr>
        <w:t>עשויים</w:t>
      </w:r>
      <w:r w:rsidRPr="002B5E33">
        <w:rPr>
          <w:rFonts w:ascii="David" w:hAnsi="David"/>
          <w:sz w:val="24"/>
          <w:rtl/>
        </w:rPr>
        <w:t xml:space="preserve"> </w:t>
      </w:r>
      <w:r w:rsidRPr="002B5E33">
        <w:rPr>
          <w:rFonts w:ascii="David" w:hAnsi="David" w:hint="eastAsia"/>
          <w:sz w:val="24"/>
          <w:rtl/>
        </w:rPr>
        <w:t>להשתנות</w:t>
      </w:r>
      <w:r w:rsidRPr="002B5E33">
        <w:rPr>
          <w:rFonts w:ascii="David" w:hAnsi="David"/>
          <w:sz w:val="24"/>
          <w:rtl/>
        </w:rPr>
        <w:t xml:space="preserve"> </w:t>
      </w:r>
      <w:r w:rsidRPr="002B5E33" w:rsidR="00FA243B">
        <w:rPr>
          <w:rFonts w:ascii="David" w:hAnsi="David" w:hint="cs"/>
          <w:sz w:val="24"/>
          <w:rtl/>
        </w:rPr>
        <w:t>מדי פעם בפעם</w:t>
      </w:r>
      <w:r w:rsidRPr="002B5E33">
        <w:rPr>
          <w:rFonts w:ascii="David" w:hAnsi="David"/>
          <w:sz w:val="24"/>
          <w:rtl/>
        </w:rPr>
        <w:t xml:space="preserve">, </w:t>
      </w:r>
      <w:r w:rsidRPr="002B5E33">
        <w:rPr>
          <w:rFonts w:ascii="David" w:hAnsi="David" w:hint="eastAsia"/>
          <w:sz w:val="24"/>
          <w:rtl/>
        </w:rPr>
        <w:t>גם</w:t>
      </w:r>
      <w:r w:rsidRPr="002B5E33">
        <w:rPr>
          <w:rFonts w:ascii="David" w:hAnsi="David"/>
          <w:sz w:val="24"/>
          <w:rtl/>
        </w:rPr>
        <w:t xml:space="preserve"> </w:t>
      </w:r>
      <w:r w:rsidRPr="002B5E33" w:rsidR="00FA243B">
        <w:rPr>
          <w:rFonts w:ascii="David" w:hAnsi="David" w:hint="cs"/>
          <w:sz w:val="24"/>
          <w:rtl/>
        </w:rPr>
        <w:t>בנוגע למבוטחים</w:t>
      </w:r>
      <w:r w:rsidRPr="002B5E33">
        <w:rPr>
          <w:rFonts w:ascii="David" w:hAnsi="David"/>
          <w:sz w:val="24"/>
          <w:rtl/>
        </w:rPr>
        <w:t xml:space="preserve"> </w:t>
      </w:r>
      <w:r w:rsidRPr="002B5E33">
        <w:rPr>
          <w:rFonts w:ascii="David" w:hAnsi="David" w:hint="eastAsia"/>
          <w:sz w:val="24"/>
          <w:rtl/>
        </w:rPr>
        <w:t>שכבר</w:t>
      </w:r>
      <w:r w:rsidRPr="002B5E33">
        <w:rPr>
          <w:rFonts w:ascii="David" w:hAnsi="David"/>
          <w:sz w:val="24"/>
          <w:rtl/>
        </w:rPr>
        <w:t xml:space="preserve"> </w:t>
      </w:r>
      <w:r w:rsidRPr="002B5E33">
        <w:rPr>
          <w:rFonts w:ascii="David" w:hAnsi="David" w:hint="eastAsia"/>
          <w:sz w:val="24"/>
          <w:rtl/>
        </w:rPr>
        <w:t>הצטרפו</w:t>
      </w:r>
      <w:r w:rsidRPr="002B5E33">
        <w:rPr>
          <w:rFonts w:ascii="David" w:hAnsi="David"/>
          <w:sz w:val="24"/>
          <w:rtl/>
        </w:rPr>
        <w:t xml:space="preserve"> </w:t>
      </w:r>
      <w:r w:rsidRPr="002B5E33">
        <w:rPr>
          <w:rFonts w:ascii="David" w:hAnsi="David" w:hint="eastAsia"/>
          <w:sz w:val="24"/>
          <w:rtl/>
        </w:rPr>
        <w:t>לת</w:t>
      </w:r>
      <w:r w:rsidRPr="002B5E33" w:rsidR="00FA243B">
        <w:rPr>
          <w:rFonts w:ascii="David" w:hAnsi="David" w:hint="cs"/>
          <w:sz w:val="24"/>
          <w:rtl/>
        </w:rPr>
        <w:t>ו</w:t>
      </w:r>
      <w:r w:rsidRPr="002B5E33">
        <w:rPr>
          <w:rFonts w:ascii="David" w:hAnsi="David" w:hint="eastAsia"/>
          <w:sz w:val="24"/>
          <w:rtl/>
        </w:rPr>
        <w:t>כנית</w:t>
      </w:r>
      <w:r w:rsidRPr="002B5E33">
        <w:rPr>
          <w:rFonts w:ascii="David" w:hAnsi="David"/>
          <w:sz w:val="24"/>
          <w:rtl/>
        </w:rPr>
        <w:t xml:space="preserve">, </w:t>
      </w:r>
      <w:r w:rsidRPr="002B5E33">
        <w:rPr>
          <w:rFonts w:ascii="David" w:hAnsi="David" w:hint="eastAsia"/>
          <w:sz w:val="24"/>
          <w:rtl/>
        </w:rPr>
        <w:t>בכפוף</w:t>
      </w:r>
      <w:r w:rsidRPr="002B5E33">
        <w:rPr>
          <w:rFonts w:ascii="David" w:hAnsi="David"/>
          <w:sz w:val="24"/>
          <w:rtl/>
        </w:rPr>
        <w:t xml:space="preserve"> </w:t>
      </w:r>
      <w:r w:rsidRPr="002B5E33">
        <w:rPr>
          <w:rFonts w:ascii="David" w:hAnsi="David" w:hint="eastAsia"/>
          <w:sz w:val="24"/>
          <w:rtl/>
        </w:rPr>
        <w:t>לאישור</w:t>
      </w:r>
      <w:r w:rsidRPr="002B5E33">
        <w:rPr>
          <w:rFonts w:ascii="David" w:hAnsi="David"/>
          <w:sz w:val="24"/>
          <w:rtl/>
        </w:rPr>
        <w:t xml:space="preserve"> </w:t>
      </w:r>
      <w:r w:rsidRPr="002B5E33">
        <w:rPr>
          <w:rFonts w:ascii="David" w:hAnsi="David" w:hint="eastAsia"/>
          <w:sz w:val="24"/>
          <w:rtl/>
        </w:rPr>
        <w:t>משרד</w:t>
      </w:r>
      <w:r w:rsidRPr="002B5E33">
        <w:rPr>
          <w:rFonts w:ascii="David" w:hAnsi="David"/>
          <w:sz w:val="24"/>
          <w:rtl/>
        </w:rPr>
        <w:t xml:space="preserve"> </w:t>
      </w:r>
      <w:r w:rsidRPr="002B5E33">
        <w:rPr>
          <w:rFonts w:ascii="David" w:hAnsi="David" w:hint="eastAsia"/>
          <w:sz w:val="24"/>
          <w:rtl/>
        </w:rPr>
        <w:t>הבריאות</w:t>
      </w:r>
      <w:r w:rsidRPr="002B5E33">
        <w:rPr>
          <w:rFonts w:ascii="David" w:hAnsi="David"/>
          <w:sz w:val="24"/>
          <w:rtl/>
        </w:rPr>
        <w:t xml:space="preserve"> </w:t>
      </w:r>
      <w:r w:rsidRPr="002B5E33">
        <w:rPr>
          <w:rFonts w:ascii="David" w:hAnsi="David" w:hint="eastAsia"/>
          <w:sz w:val="24"/>
          <w:rtl/>
        </w:rPr>
        <w:t>והתראו</w:t>
      </w:r>
      <w:r w:rsidRPr="002B5E33">
        <w:rPr>
          <w:rFonts w:ascii="David" w:hAnsi="David" w:hint="cs"/>
          <w:sz w:val="24"/>
          <w:rtl/>
        </w:rPr>
        <w:t>ת</w:t>
      </w:r>
      <w:r w:rsidRPr="002B5E33">
        <w:rPr>
          <w:rFonts w:ascii="David" w:hAnsi="David"/>
          <w:sz w:val="24"/>
          <w:rtl/>
        </w:rPr>
        <w:t xml:space="preserve"> מראש למבוטחים, </w:t>
      </w:r>
      <w:r w:rsidRPr="002B5E33" w:rsidR="00FA243B">
        <w:rPr>
          <w:rFonts w:ascii="David" w:hAnsi="David" w:hint="cs"/>
          <w:sz w:val="24"/>
          <w:rtl/>
        </w:rPr>
        <w:t xml:space="preserve">ובהקשר זה קבע </w:t>
      </w:r>
      <w:r w:rsidRPr="002B5E33">
        <w:rPr>
          <w:rFonts w:ascii="David" w:hAnsi="David"/>
          <w:sz w:val="24"/>
          <w:rtl/>
        </w:rPr>
        <w:t>בית המשפט העליון כי ת</w:t>
      </w:r>
      <w:r w:rsidRPr="002B5E33" w:rsidR="00FA243B">
        <w:rPr>
          <w:rFonts w:ascii="David" w:hAnsi="David" w:hint="cs"/>
          <w:sz w:val="24"/>
          <w:rtl/>
        </w:rPr>
        <w:t>ו</w:t>
      </w:r>
      <w:r w:rsidRPr="002B5E33">
        <w:rPr>
          <w:rFonts w:ascii="David" w:hAnsi="David"/>
          <w:sz w:val="24"/>
          <w:rtl/>
        </w:rPr>
        <w:t>כנית השב"ן אינה "חוזה ביטוח"</w:t>
      </w:r>
      <w:r w:rsidRPr="002B5E33" w:rsidR="00FA243B">
        <w:rPr>
          <w:rFonts w:ascii="David" w:hAnsi="David" w:hint="cs"/>
          <w:sz w:val="24"/>
          <w:rtl/>
        </w:rPr>
        <w:t>,</w:t>
      </w:r>
      <w:r w:rsidRPr="002B5E33">
        <w:rPr>
          <w:rFonts w:ascii="David" w:hAnsi="David"/>
          <w:sz w:val="24"/>
          <w:rtl/>
        </w:rPr>
        <w:t xml:space="preserve"> אף כי יש לה מאפיינים של חוזה ביטוח</w:t>
      </w:r>
      <w:r>
        <w:rPr>
          <w:rFonts w:ascii="David" w:hAnsi="David"/>
          <w:sz w:val="24"/>
          <w:vertAlign w:val="superscript"/>
          <w:rtl/>
        </w:rPr>
        <w:footnoteReference w:id="24"/>
      </w:r>
      <w:r w:rsidRPr="002B5E33">
        <w:rPr>
          <w:rFonts w:ascii="David" w:hAnsi="David"/>
          <w:sz w:val="24"/>
          <w:rtl/>
        </w:rPr>
        <w:t xml:space="preserve">. </w:t>
      </w:r>
    </w:p>
    <w:p w:rsidR="00B132F4" w:rsidRPr="002B5E33" w:rsidP="00ED5C0D">
      <w:pPr>
        <w:pStyle w:val="a"/>
        <w:spacing w:line="269" w:lineRule="auto"/>
        <w:rPr>
          <w:rtl/>
        </w:rPr>
      </w:pPr>
    </w:p>
    <w:p w:rsidR="00B132F4" w:rsidRPr="002B5E33" w:rsidP="00ED5C0D">
      <w:pPr>
        <w:shd w:val="clear" w:color="auto" w:fill="FFFFFF"/>
        <w:spacing w:line="269" w:lineRule="auto"/>
        <w:rPr>
          <w:rFonts w:ascii="David" w:hAnsi="David"/>
          <w:sz w:val="24"/>
          <w:rtl/>
        </w:rPr>
      </w:pPr>
      <w:r w:rsidRPr="002B5E33">
        <w:rPr>
          <w:rFonts w:ascii="David" w:eastAsia="Times New Roman" w:hAnsi="David" w:hint="cs"/>
          <w:sz w:val="24"/>
          <w:rtl/>
        </w:rPr>
        <w:t xml:space="preserve">במקביל, </w:t>
      </w:r>
      <w:r w:rsidRPr="002B5E33">
        <w:rPr>
          <w:rFonts w:ascii="David" w:hAnsi="David" w:hint="cs"/>
          <w:sz w:val="24"/>
          <w:rtl/>
        </w:rPr>
        <w:t xml:space="preserve">חברות הביטוח המסחריות מציעות שני סוגי כיסויים עיקריים </w:t>
      </w:r>
      <w:r w:rsidRPr="002B5E33" w:rsidR="008F195F">
        <w:rPr>
          <w:rFonts w:ascii="David" w:hAnsi="David" w:hint="cs"/>
          <w:sz w:val="24"/>
          <w:rtl/>
        </w:rPr>
        <w:t>ש</w:t>
      </w:r>
      <w:r w:rsidRPr="002B5E33">
        <w:rPr>
          <w:rFonts w:ascii="David" w:hAnsi="David" w:hint="cs"/>
          <w:sz w:val="24"/>
          <w:rtl/>
        </w:rPr>
        <w:t>ל</w:t>
      </w:r>
      <w:r w:rsidRPr="002B5E33" w:rsidR="008F195F">
        <w:rPr>
          <w:rFonts w:ascii="David" w:hAnsi="David" w:hint="cs"/>
          <w:sz w:val="24"/>
          <w:rtl/>
        </w:rPr>
        <w:t xml:space="preserve"> </w:t>
      </w:r>
      <w:r w:rsidRPr="002B5E33">
        <w:rPr>
          <w:rFonts w:ascii="David" w:hAnsi="David" w:hint="cs"/>
          <w:sz w:val="24"/>
          <w:rtl/>
        </w:rPr>
        <w:t xml:space="preserve">ביטוח בריאות: </w:t>
      </w:r>
      <w:r w:rsidRPr="002B5E33">
        <w:rPr>
          <w:rStyle w:val="Strong"/>
          <w:rFonts w:ascii="David" w:hAnsi="David" w:hint="eastAsia"/>
          <w:b w:val="0"/>
          <w:bCs w:val="0"/>
          <w:sz w:val="24"/>
          <w:rtl/>
        </w:rPr>
        <w:t>כיסוי</w:t>
      </w:r>
      <w:r w:rsidRPr="002B5E33">
        <w:rPr>
          <w:rStyle w:val="Strong"/>
          <w:rFonts w:ascii="David" w:hAnsi="David"/>
          <w:b w:val="0"/>
          <w:bCs w:val="0"/>
          <w:sz w:val="24"/>
          <w:rtl/>
        </w:rPr>
        <w:t xml:space="preserve"> תחליפי</w:t>
      </w:r>
      <w:r w:rsidRPr="002B5E33">
        <w:rPr>
          <w:rStyle w:val="Strong"/>
          <w:rFonts w:ascii="David" w:hAnsi="David" w:hint="cs"/>
          <w:b w:val="0"/>
          <w:bCs w:val="0"/>
          <w:sz w:val="24"/>
          <w:rtl/>
        </w:rPr>
        <w:t xml:space="preserve"> </w:t>
      </w:r>
      <w:r w:rsidRPr="002B5E33">
        <w:rPr>
          <w:rStyle w:val="Strong"/>
          <w:rFonts w:ascii="David" w:hAnsi="David"/>
          <w:b w:val="0"/>
          <w:bCs w:val="0"/>
          <w:sz w:val="24"/>
          <w:rtl/>
        </w:rPr>
        <w:t xml:space="preserve">- </w:t>
      </w:r>
      <w:r w:rsidRPr="002B5E33">
        <w:rPr>
          <w:rFonts w:ascii="David" w:hAnsi="David" w:hint="cs"/>
          <w:sz w:val="24"/>
          <w:rtl/>
        </w:rPr>
        <w:t>כיסוי המחליף את השירותים הכלולים בסל הבסיסי או בשב"ן, כגון כיסוי עבור ניתוחים</w:t>
      </w:r>
      <w:r>
        <w:rPr>
          <w:rStyle w:val="FootnoteReference"/>
          <w:rFonts w:ascii="David" w:hAnsi="David"/>
          <w:sz w:val="24"/>
        </w:rPr>
        <w:footnoteReference w:id="25"/>
      </w:r>
      <w:r w:rsidRPr="002B5E33">
        <w:rPr>
          <w:rStyle w:val="Strong"/>
          <w:rFonts w:ascii="David" w:hAnsi="David" w:hint="cs"/>
          <w:b w:val="0"/>
          <w:bCs w:val="0"/>
          <w:sz w:val="24"/>
          <w:rtl/>
        </w:rPr>
        <w:t>; ו</w:t>
      </w:r>
      <w:r w:rsidRPr="002B5E33">
        <w:rPr>
          <w:rStyle w:val="Strong"/>
          <w:rFonts w:ascii="David" w:hAnsi="David" w:hint="eastAsia"/>
          <w:b w:val="0"/>
          <w:bCs w:val="0"/>
          <w:sz w:val="24"/>
          <w:rtl/>
        </w:rPr>
        <w:t>כיסוי</w:t>
      </w:r>
      <w:r w:rsidRPr="002B5E33">
        <w:rPr>
          <w:rStyle w:val="Strong"/>
          <w:rFonts w:ascii="David" w:hAnsi="David"/>
          <w:b w:val="0"/>
          <w:bCs w:val="0"/>
          <w:sz w:val="24"/>
          <w:rtl/>
        </w:rPr>
        <w:t xml:space="preserve"> </w:t>
      </w:r>
      <w:r w:rsidRPr="002B5E33">
        <w:rPr>
          <w:rStyle w:val="Strong"/>
          <w:rFonts w:ascii="David" w:hAnsi="David" w:hint="eastAsia"/>
          <w:b w:val="0"/>
          <w:bCs w:val="0"/>
          <w:sz w:val="24"/>
          <w:rtl/>
        </w:rPr>
        <w:t>משלים</w:t>
      </w:r>
      <w:r w:rsidRPr="002B5E33">
        <w:rPr>
          <w:rStyle w:val="Strong"/>
          <w:rFonts w:ascii="David" w:hAnsi="David" w:hint="cs"/>
          <w:b w:val="0"/>
          <w:bCs w:val="0"/>
          <w:sz w:val="24"/>
          <w:rtl/>
        </w:rPr>
        <w:t xml:space="preserve"> שב"ן</w:t>
      </w:r>
      <w:r>
        <w:rPr>
          <w:rFonts w:ascii="David" w:hAnsi="David" w:hint="cs"/>
          <w:sz w:val="24"/>
          <w:vertAlign w:val="superscript"/>
          <w:rtl/>
        </w:rPr>
        <w:footnoteReference w:id="26"/>
      </w:r>
      <w:r w:rsidRPr="002B5E33">
        <w:rPr>
          <w:rStyle w:val="Strong"/>
          <w:rFonts w:ascii="David" w:hAnsi="David" w:hint="eastAsia"/>
          <w:b w:val="0"/>
          <w:bCs w:val="0"/>
          <w:sz w:val="24"/>
          <w:rtl/>
        </w:rPr>
        <w:t> </w:t>
      </w:r>
      <w:r w:rsidRPr="002B5E33">
        <w:rPr>
          <w:rStyle w:val="Strong"/>
          <w:rFonts w:ascii="David" w:hAnsi="David"/>
          <w:b w:val="0"/>
          <w:bCs w:val="0"/>
          <w:sz w:val="24"/>
          <w:rtl/>
        </w:rPr>
        <w:t xml:space="preserve">- </w:t>
      </w:r>
      <w:r w:rsidRPr="002B5E33">
        <w:rPr>
          <w:rFonts w:ascii="David" w:hAnsi="David" w:hint="cs"/>
          <w:sz w:val="24"/>
          <w:rtl/>
        </w:rPr>
        <w:t>כיסוי המשלים כיסויים הניתנים בסל הבסיסי או בשב"ן</w:t>
      </w:r>
      <w:r>
        <w:rPr>
          <w:rStyle w:val="FootnoteReference"/>
          <w:rFonts w:ascii="David" w:hAnsi="David" w:hint="cs"/>
          <w:sz w:val="24"/>
          <w:rtl/>
        </w:rPr>
        <w:footnoteReference w:id="27"/>
      </w:r>
      <w:r w:rsidRPr="002B5E33">
        <w:rPr>
          <w:rFonts w:ascii="David" w:hAnsi="David" w:hint="cs"/>
          <w:sz w:val="24"/>
          <w:rtl/>
        </w:rPr>
        <w:t xml:space="preserve">. בתרשים </w:t>
      </w:r>
      <w:r w:rsidRPr="002B5E33" w:rsidR="008F195F">
        <w:rPr>
          <w:rFonts w:ascii="David" w:hAnsi="David" w:hint="cs"/>
          <w:sz w:val="24"/>
          <w:rtl/>
        </w:rPr>
        <w:t>ש</w:t>
      </w:r>
      <w:r w:rsidRPr="002B5E33">
        <w:rPr>
          <w:rFonts w:ascii="David" w:hAnsi="David" w:hint="eastAsia"/>
          <w:sz w:val="24"/>
          <w:rtl/>
        </w:rPr>
        <w:t>להלן</w:t>
      </w:r>
      <w:r w:rsidRPr="002B5E33">
        <w:rPr>
          <w:rFonts w:ascii="David" w:hAnsi="David"/>
          <w:sz w:val="24"/>
          <w:rtl/>
        </w:rPr>
        <w:t xml:space="preserve"> פילוח של </w:t>
      </w:r>
      <w:r w:rsidRPr="002B5E33">
        <w:rPr>
          <w:rFonts w:ascii="David" w:hAnsi="David" w:hint="cs"/>
          <w:sz w:val="24"/>
          <w:rtl/>
        </w:rPr>
        <w:t xml:space="preserve">שיעור </w:t>
      </w:r>
      <w:r w:rsidRPr="002B5E33">
        <w:rPr>
          <w:rFonts w:ascii="David" w:hAnsi="David"/>
          <w:sz w:val="24"/>
          <w:rtl/>
        </w:rPr>
        <w:t xml:space="preserve">המבוטחים </w:t>
      </w:r>
      <w:r w:rsidRPr="002B5E33">
        <w:rPr>
          <w:rFonts w:ascii="David" w:hAnsi="David" w:hint="eastAsia"/>
          <w:sz w:val="24"/>
          <w:rtl/>
        </w:rPr>
        <w:t>בביטוחים</w:t>
      </w:r>
      <w:r w:rsidRPr="002B5E33">
        <w:rPr>
          <w:rFonts w:ascii="David" w:hAnsi="David"/>
          <w:sz w:val="24"/>
          <w:rtl/>
        </w:rPr>
        <w:t xml:space="preserve"> מסחריים ובת</w:t>
      </w:r>
      <w:r w:rsidRPr="002B5E33">
        <w:rPr>
          <w:rFonts w:ascii="David" w:hAnsi="David" w:hint="cs"/>
          <w:sz w:val="24"/>
          <w:rtl/>
        </w:rPr>
        <w:t>ו</w:t>
      </w:r>
      <w:r w:rsidRPr="002B5E33">
        <w:rPr>
          <w:rFonts w:ascii="David" w:hAnsi="David"/>
          <w:sz w:val="24"/>
          <w:rtl/>
        </w:rPr>
        <w:t xml:space="preserve">כניות </w:t>
      </w:r>
      <w:r w:rsidRPr="002B5E33">
        <w:rPr>
          <w:rFonts w:ascii="David" w:hAnsi="David" w:hint="eastAsia"/>
          <w:sz w:val="24"/>
          <w:rtl/>
        </w:rPr>
        <w:t>השב</w:t>
      </w:r>
      <w:r w:rsidRPr="002B5E33">
        <w:rPr>
          <w:rFonts w:ascii="David" w:hAnsi="David"/>
          <w:sz w:val="24"/>
          <w:rtl/>
        </w:rPr>
        <w:t>"ן.</w:t>
      </w:r>
    </w:p>
    <w:p w:rsidR="00B132F4" w:rsidRPr="002B5E33" w:rsidP="00ED5C0D">
      <w:pPr>
        <w:pStyle w:val="a"/>
        <w:spacing w:line="269" w:lineRule="auto"/>
        <w:rPr>
          <w:rtl/>
        </w:rPr>
      </w:pPr>
    </w:p>
    <w:p w:rsidR="00B132F4" w:rsidRPr="00FF3629" w:rsidP="00FF3629">
      <w:pPr>
        <w:pStyle w:val="ListParagraph"/>
        <w:spacing w:after="0" w:line="269" w:lineRule="auto"/>
        <w:ind w:left="-1"/>
        <w:jc w:val="center"/>
        <w:rPr>
          <w:rFonts w:cs="David"/>
          <w:b/>
          <w:bCs/>
          <w:sz w:val="24"/>
          <w:szCs w:val="24"/>
          <w:rtl/>
        </w:rPr>
      </w:pPr>
      <w:r w:rsidRPr="00971967">
        <w:rPr>
          <w:rFonts w:ascii="David" w:hAnsi="David" w:cs="David"/>
          <w:b/>
          <w:bCs/>
          <w:sz w:val="24"/>
          <w:szCs w:val="24"/>
          <w:rtl/>
        </w:rPr>
        <w:t xml:space="preserve">תרשים </w:t>
      </w:r>
      <w:r w:rsidRPr="00971967" w:rsidR="00111CA4">
        <w:rPr>
          <w:rFonts w:ascii="David" w:hAnsi="David" w:cs="David"/>
          <w:b/>
          <w:bCs/>
          <w:sz w:val="24"/>
          <w:szCs w:val="24"/>
          <w:rtl/>
        </w:rPr>
        <w:t>7</w:t>
      </w:r>
      <w:r w:rsidRPr="00971967" w:rsidR="00FF3629">
        <w:rPr>
          <w:rFonts w:ascii="David" w:hAnsi="David" w:cs="David"/>
          <w:b/>
          <w:bCs/>
          <w:sz w:val="24"/>
          <w:szCs w:val="24"/>
          <w:rtl/>
        </w:rPr>
        <w:t xml:space="preserve">: </w:t>
      </w:r>
      <w:r w:rsidRPr="00971967">
        <w:rPr>
          <w:rFonts w:ascii="David" w:hAnsi="David" w:cs="David"/>
          <w:b/>
          <w:bCs/>
          <w:sz w:val="24"/>
          <w:szCs w:val="24"/>
          <w:rtl/>
        </w:rPr>
        <w:t>שיעור בני 20 ומעלה בישראל המבוטחים בביטוחים מסחריים, בתוכניות השב"ן ובסל הבריאות הממלכתי, 2017</w:t>
      </w:r>
      <w:r>
        <w:rPr>
          <w:rStyle w:val="FootnoteReference"/>
          <w:rFonts w:ascii="David" w:hAnsi="David" w:cs="David"/>
          <w:b/>
          <w:bCs/>
          <w:rtl/>
        </w:rPr>
        <w:footnoteReference w:id="28"/>
      </w:r>
      <w:r w:rsidRPr="00971967">
        <w:rPr>
          <w:rFonts w:ascii="David" w:hAnsi="David" w:cs="David"/>
          <w:b/>
          <w:bCs/>
          <w:rtl/>
        </w:rPr>
        <w:t xml:space="preserve"> </w:t>
      </w:r>
      <w:r w:rsidRPr="00971967">
        <w:rPr>
          <w:rFonts w:ascii="David" w:hAnsi="David" w:cs="David"/>
          <w:b/>
          <w:bCs/>
          <w:sz w:val="24"/>
          <w:szCs w:val="24"/>
          <w:rtl/>
        </w:rPr>
        <w:t>(באחוזים)</w:t>
      </w:r>
    </w:p>
    <w:p w:rsidR="00B132F4" w:rsidRPr="002B5E33" w:rsidP="009B24CF">
      <w:pPr>
        <w:spacing w:before="240" w:after="120" w:line="269" w:lineRule="auto"/>
        <w:jc w:val="center"/>
        <w:rPr>
          <w:rFonts w:ascii="David" w:hAnsi="David"/>
          <w:sz w:val="24"/>
          <w:rtl/>
        </w:rPr>
      </w:pPr>
      <w:r>
        <w:rPr>
          <w:rFonts w:ascii="David" w:hAnsi="David"/>
          <w:noProof/>
          <w:sz w:val="24"/>
          <w:rtl/>
        </w:rPr>
        <w:drawing>
          <wp:inline distT="0" distB="0" distL="0" distR="0">
            <wp:extent cx="2883414" cy="2502413"/>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28308" name="commercial-health-insurance-g-7.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14" cy="2502413"/>
                    </a:xfrm>
                    <a:prstGeom prst="rect">
                      <a:avLst/>
                    </a:prstGeom>
                  </pic:spPr>
                </pic:pic>
              </a:graphicData>
            </a:graphic>
          </wp:inline>
        </w:drawing>
      </w:r>
    </w:p>
    <w:p w:rsidR="008861B3" w:rsidRPr="002B5E33" w:rsidP="009B24CF">
      <w:pPr>
        <w:pStyle w:val="a"/>
        <w:spacing w:line="269" w:lineRule="auto"/>
        <w:ind w:firstLine="567"/>
        <w:jc w:val="left"/>
        <w:rPr>
          <w:rFonts w:ascii="David" w:hAnsi="David"/>
          <w:sz w:val="22"/>
          <w:szCs w:val="22"/>
          <w:rtl/>
        </w:rPr>
      </w:pPr>
      <w:r>
        <w:rPr>
          <w:rFonts w:ascii="David" w:hAnsi="David" w:hint="cs"/>
          <w:sz w:val="22"/>
          <w:szCs w:val="22"/>
          <w:rtl/>
        </w:rPr>
        <w:t>מקור</w:t>
      </w:r>
      <w:r w:rsidRPr="002B5E33" w:rsidR="0015155F">
        <w:rPr>
          <w:rFonts w:ascii="David" w:hAnsi="David" w:hint="cs"/>
          <w:sz w:val="22"/>
          <w:szCs w:val="22"/>
          <w:rtl/>
        </w:rPr>
        <w:t>: הלמ"ס</w:t>
      </w:r>
      <w:r w:rsidRPr="002B5E33" w:rsidR="0015155F">
        <w:rPr>
          <w:rFonts w:ascii="David" w:hAnsi="David" w:hint="cs"/>
          <w:b/>
          <w:bCs/>
          <w:sz w:val="22"/>
          <w:szCs w:val="22"/>
          <w:rtl/>
        </w:rPr>
        <w:t>, הסקר החברתי 2017</w:t>
      </w:r>
      <w:r w:rsidRPr="002B5E33" w:rsidR="0015155F">
        <w:rPr>
          <w:rFonts w:ascii="David" w:hAnsi="David" w:hint="cs"/>
          <w:sz w:val="22"/>
          <w:szCs w:val="22"/>
          <w:rtl/>
        </w:rPr>
        <w:t>, בעיבוד משרד מבקר המדינ</w:t>
      </w:r>
      <w:r w:rsidRPr="002B5E33">
        <w:rPr>
          <w:rFonts w:ascii="David" w:hAnsi="David" w:hint="cs"/>
          <w:sz w:val="22"/>
          <w:szCs w:val="22"/>
          <w:rtl/>
        </w:rPr>
        <w:t>ה</w:t>
      </w:r>
      <w:r w:rsidR="00114ABC">
        <w:rPr>
          <w:rFonts w:ascii="David" w:hAnsi="David" w:hint="cs"/>
          <w:sz w:val="22"/>
          <w:szCs w:val="22"/>
          <w:rtl/>
        </w:rPr>
        <w:t>.</w:t>
      </w:r>
    </w:p>
    <w:p w:rsidR="00B132F4" w:rsidRPr="002B5E33" w:rsidP="00ED5C0D">
      <w:pPr>
        <w:pStyle w:val="a"/>
        <w:spacing w:line="269" w:lineRule="auto"/>
        <w:ind w:hanging="1"/>
        <w:rPr>
          <w:rtl/>
          <w:lang w:eastAsia="he-IL"/>
        </w:rPr>
      </w:pPr>
    </w:p>
    <w:p w:rsidR="00B132F4" w:rsidRPr="002B5E33" w:rsidP="00ED5C0D">
      <w:pPr>
        <w:spacing w:line="269" w:lineRule="auto"/>
        <w:rPr>
          <w:rtl/>
          <w:lang w:eastAsia="he-IL"/>
        </w:rPr>
      </w:pPr>
      <w:r w:rsidRPr="002B5E33">
        <w:rPr>
          <w:rFonts w:ascii="David" w:hAnsi="David" w:hint="cs"/>
          <w:sz w:val="24"/>
          <w:rtl/>
        </w:rPr>
        <w:t>מהתרשים עולה כי ל-20% מ</w:t>
      </w:r>
      <w:r w:rsidRPr="002B5E33" w:rsidR="0015155F">
        <w:rPr>
          <w:rFonts w:ascii="David" w:hAnsi="David" w:hint="cs"/>
          <w:sz w:val="24"/>
          <w:rtl/>
        </w:rPr>
        <w:t xml:space="preserve">מי שהם בני יותר מ-20 </w:t>
      </w:r>
      <w:r w:rsidRPr="002B5E33">
        <w:rPr>
          <w:rFonts w:ascii="David" w:hAnsi="David" w:hint="cs"/>
          <w:sz w:val="24"/>
          <w:rtl/>
        </w:rPr>
        <w:t>אין כיסוי פרטי</w:t>
      </w:r>
      <w:r w:rsidRPr="002B5E33" w:rsidR="0015155F">
        <w:rPr>
          <w:rFonts w:ascii="David" w:hAnsi="David" w:hint="cs"/>
          <w:sz w:val="24"/>
          <w:rtl/>
        </w:rPr>
        <w:t xml:space="preserve"> נוסף</w:t>
      </w:r>
      <w:r w:rsidRPr="002B5E33">
        <w:rPr>
          <w:rFonts w:ascii="David" w:hAnsi="David" w:hint="cs"/>
          <w:sz w:val="24"/>
          <w:rtl/>
        </w:rPr>
        <w:t xml:space="preserve"> על הכיסוי הממלכתי. </w:t>
      </w:r>
      <w:r w:rsidRPr="002B5E33" w:rsidR="0015155F">
        <w:rPr>
          <w:rFonts w:ascii="David" w:hAnsi="David" w:hint="cs"/>
          <w:sz w:val="24"/>
          <w:rtl/>
        </w:rPr>
        <w:t>לעומת זאת</w:t>
      </w:r>
      <w:r w:rsidRPr="002B5E33">
        <w:rPr>
          <w:rFonts w:ascii="David" w:hAnsi="David" w:hint="cs"/>
          <w:sz w:val="24"/>
          <w:rtl/>
        </w:rPr>
        <w:t>, 32% מחזיקים נוסף</w:t>
      </w:r>
      <w:r w:rsidRPr="002B5E33" w:rsidR="0015155F">
        <w:rPr>
          <w:rFonts w:ascii="David" w:hAnsi="David" w:hint="cs"/>
          <w:sz w:val="24"/>
          <w:rtl/>
        </w:rPr>
        <w:t xml:space="preserve"> על</w:t>
      </w:r>
      <w:r w:rsidR="00944242">
        <w:rPr>
          <w:rFonts w:ascii="David" w:hAnsi="David" w:hint="cs"/>
          <w:sz w:val="24"/>
          <w:rtl/>
        </w:rPr>
        <w:t xml:space="preserve"> </w:t>
      </w:r>
      <w:r w:rsidRPr="002B5E33" w:rsidR="0015155F">
        <w:rPr>
          <w:rFonts w:ascii="David" w:hAnsi="David" w:hint="cs"/>
          <w:sz w:val="24"/>
          <w:rtl/>
        </w:rPr>
        <w:t>ה</w:t>
      </w:r>
      <w:r w:rsidRPr="002B5E33">
        <w:rPr>
          <w:rFonts w:ascii="David" w:hAnsi="David" w:hint="cs"/>
          <w:sz w:val="24"/>
          <w:rtl/>
        </w:rPr>
        <w:t>רובד הבסיסי גם בביטוח בריאות מסחרי</w:t>
      </w:r>
      <w:r w:rsidRPr="002B5E33" w:rsidR="0015155F">
        <w:rPr>
          <w:rFonts w:ascii="David" w:hAnsi="David" w:hint="cs"/>
          <w:sz w:val="24"/>
          <w:rtl/>
        </w:rPr>
        <w:t>, וכן</w:t>
      </w:r>
      <w:r w:rsidRPr="002B5E33">
        <w:rPr>
          <w:rFonts w:ascii="David" w:hAnsi="David" w:hint="cs"/>
          <w:sz w:val="24"/>
          <w:rtl/>
        </w:rPr>
        <w:t xml:space="preserve"> חברים בתוכניות השב"ן. </w:t>
      </w:r>
      <w:r w:rsidRPr="002B5E33">
        <w:rPr>
          <w:rFonts w:ascii="David" w:hAnsi="David" w:hint="eastAsia"/>
          <w:sz w:val="24"/>
          <w:rtl/>
        </w:rPr>
        <w:t>כלומר</w:t>
      </w:r>
      <w:r w:rsidRPr="002B5E33">
        <w:rPr>
          <w:rFonts w:ascii="David" w:hAnsi="David"/>
          <w:sz w:val="24"/>
          <w:rtl/>
        </w:rPr>
        <w:t xml:space="preserve"> </w:t>
      </w:r>
      <w:r w:rsidRPr="002B5E33">
        <w:rPr>
          <w:rFonts w:ascii="David" w:hAnsi="David" w:hint="cs"/>
          <w:sz w:val="24"/>
          <w:rtl/>
        </w:rPr>
        <w:t xml:space="preserve">יותר </w:t>
      </w:r>
      <w:r w:rsidRPr="002B5E33">
        <w:rPr>
          <w:rFonts w:ascii="David" w:hAnsi="David" w:hint="eastAsia"/>
          <w:sz w:val="24"/>
          <w:rtl/>
        </w:rPr>
        <w:t>מ</w:t>
      </w:r>
      <w:r w:rsidRPr="002B5E33">
        <w:rPr>
          <w:rFonts w:ascii="David" w:hAnsi="David"/>
          <w:sz w:val="24"/>
          <w:rtl/>
        </w:rPr>
        <w:t xml:space="preserve">-90% </w:t>
      </w:r>
      <w:r w:rsidRPr="002B5E33">
        <w:rPr>
          <w:rFonts w:ascii="David" w:hAnsi="David" w:hint="eastAsia"/>
          <w:sz w:val="24"/>
          <w:rtl/>
        </w:rPr>
        <w:t>מהמבוטחים</w:t>
      </w:r>
      <w:r w:rsidRPr="002B5E33">
        <w:rPr>
          <w:rFonts w:ascii="David" w:hAnsi="David"/>
          <w:sz w:val="24"/>
          <w:rtl/>
        </w:rPr>
        <w:t xml:space="preserve"> בביטוח בריאות מסחרי </w:t>
      </w:r>
      <w:r w:rsidRPr="002B5E33">
        <w:rPr>
          <w:rFonts w:ascii="David" w:hAnsi="David" w:hint="cs"/>
          <w:sz w:val="24"/>
          <w:rtl/>
        </w:rPr>
        <w:t xml:space="preserve">חברים גם בתוכניות השב"ן של קופות החולים </w:t>
      </w:r>
      <w:r w:rsidRPr="002B5E33">
        <w:rPr>
          <w:rFonts w:ascii="David" w:hAnsi="David"/>
          <w:sz w:val="24"/>
          <w:rtl/>
        </w:rPr>
        <w:t xml:space="preserve">(32% </w:t>
      </w:r>
      <w:r w:rsidRPr="002B5E33">
        <w:rPr>
          <w:rFonts w:ascii="David" w:hAnsi="David" w:hint="eastAsia"/>
          <w:sz w:val="24"/>
          <w:rtl/>
        </w:rPr>
        <w:t>מתוך</w:t>
      </w:r>
      <w:r w:rsidRPr="002B5E33">
        <w:rPr>
          <w:rFonts w:ascii="David" w:hAnsi="David"/>
          <w:sz w:val="24"/>
          <w:rtl/>
        </w:rPr>
        <w:t xml:space="preserve"> 35%</w:t>
      </w:r>
      <w:r>
        <w:rPr>
          <w:rStyle w:val="FootnoteReference"/>
          <w:rFonts w:ascii="David" w:hAnsi="David"/>
          <w:sz w:val="24"/>
          <w:rtl/>
        </w:rPr>
        <w:footnoteReference w:id="29"/>
      </w:r>
      <w:r w:rsidRPr="002B5E33">
        <w:rPr>
          <w:rFonts w:ascii="David" w:hAnsi="David"/>
          <w:sz w:val="24"/>
          <w:rtl/>
        </w:rPr>
        <w:t>)</w:t>
      </w:r>
      <w:r w:rsidRPr="002B5E33">
        <w:rPr>
          <w:rFonts w:ascii="David" w:hAnsi="David" w:hint="cs"/>
          <w:sz w:val="24"/>
          <w:rtl/>
        </w:rPr>
        <w:t>.</w:t>
      </w:r>
      <w:r w:rsidRPr="002B5E33" w:rsidR="004F34A5">
        <w:rPr>
          <w:rFonts w:hint="cs"/>
          <w:rtl/>
          <w:lang w:eastAsia="he-IL"/>
        </w:rPr>
        <w:t xml:space="preserve"> </w:t>
      </w:r>
    </w:p>
    <w:p w:rsidR="00B132F4" w:rsidRPr="002B5E33" w:rsidP="00ED5C0D">
      <w:pPr>
        <w:pStyle w:val="a"/>
        <w:spacing w:line="269" w:lineRule="auto"/>
        <w:rPr>
          <w:rtl/>
        </w:rPr>
      </w:pPr>
    </w:p>
    <w:p w:rsidR="00B132F4" w:rsidRPr="002B5E33" w:rsidP="00ED5C0D">
      <w:pPr>
        <w:spacing w:line="269" w:lineRule="auto"/>
        <w:rPr>
          <w:rFonts w:ascii="David" w:hAnsi="David"/>
          <w:sz w:val="24"/>
          <w:rtl/>
        </w:rPr>
      </w:pPr>
      <w:r w:rsidRPr="002B5E33">
        <w:rPr>
          <w:rFonts w:ascii="David" w:hAnsi="David" w:hint="cs"/>
          <w:sz w:val="24"/>
          <w:rtl/>
        </w:rPr>
        <w:t xml:space="preserve">כאמור, </w:t>
      </w:r>
      <w:r w:rsidRPr="002B5E33">
        <w:rPr>
          <w:rFonts w:ascii="David" w:hAnsi="David"/>
          <w:sz w:val="24"/>
          <w:rtl/>
        </w:rPr>
        <w:t>ריבוי המידע</w:t>
      </w:r>
      <w:r w:rsidRPr="002B5E33">
        <w:rPr>
          <w:rFonts w:ascii="David" w:hAnsi="David" w:hint="cs"/>
          <w:sz w:val="24"/>
          <w:rtl/>
        </w:rPr>
        <w:t xml:space="preserve">, </w:t>
      </w:r>
      <w:r w:rsidRPr="002B5E33">
        <w:rPr>
          <w:rFonts w:ascii="David" w:hAnsi="David"/>
          <w:sz w:val="24"/>
          <w:rtl/>
        </w:rPr>
        <w:t xml:space="preserve">השוני במרכיבי הפוליסות של חברות הביטוח </w:t>
      </w:r>
      <w:r w:rsidRPr="002B5E33">
        <w:rPr>
          <w:rFonts w:ascii="David" w:hAnsi="David" w:hint="cs"/>
          <w:sz w:val="24"/>
          <w:rtl/>
        </w:rPr>
        <w:t xml:space="preserve">והיעדר האחידות בפוליסות השב"ן </w:t>
      </w:r>
      <w:r w:rsidRPr="002B5E33">
        <w:rPr>
          <w:rFonts w:ascii="David" w:hAnsi="David"/>
          <w:sz w:val="24"/>
          <w:rtl/>
        </w:rPr>
        <w:t>מקש</w:t>
      </w:r>
      <w:r w:rsidRPr="002B5E33">
        <w:rPr>
          <w:rFonts w:ascii="David" w:hAnsi="David" w:hint="cs"/>
          <w:sz w:val="24"/>
          <w:rtl/>
        </w:rPr>
        <w:t>ים</w:t>
      </w:r>
      <w:r w:rsidRPr="002B5E33">
        <w:rPr>
          <w:rFonts w:ascii="David" w:hAnsi="David"/>
          <w:sz w:val="24"/>
          <w:rtl/>
        </w:rPr>
        <w:t xml:space="preserve"> על </w:t>
      </w:r>
      <w:r w:rsidRPr="002B5E33">
        <w:rPr>
          <w:rFonts w:ascii="David" w:hAnsi="David" w:hint="cs"/>
          <w:sz w:val="24"/>
          <w:rtl/>
        </w:rPr>
        <w:t xml:space="preserve">בחינת מידת החפיפה בין הכיסויים למיניהם. לדוגמה, מכיוון שהשב"ן אינו חוזה ביטוח שכן תנאיו משתנים </w:t>
      </w:r>
      <w:r w:rsidRPr="002B5E33" w:rsidR="006228E1">
        <w:rPr>
          <w:rFonts w:ascii="David" w:hAnsi="David" w:hint="cs"/>
          <w:sz w:val="24"/>
          <w:rtl/>
        </w:rPr>
        <w:t>מדי פעם לפעם</w:t>
      </w:r>
      <w:r w:rsidRPr="002B5E33">
        <w:rPr>
          <w:rFonts w:ascii="David" w:hAnsi="David" w:hint="cs"/>
          <w:sz w:val="24"/>
          <w:rtl/>
        </w:rPr>
        <w:t>, רמת החפיפה בין הכיסויים יכולה להשתנות</w:t>
      </w:r>
      <w:r w:rsidRPr="002B5E33" w:rsidR="006228E1">
        <w:rPr>
          <w:rFonts w:ascii="David" w:hAnsi="David" w:hint="cs"/>
          <w:sz w:val="24"/>
          <w:rtl/>
        </w:rPr>
        <w:t xml:space="preserve"> גם היא במשך הזמן. אשר ל</w:t>
      </w:r>
      <w:r w:rsidRPr="002B5E33">
        <w:rPr>
          <w:rFonts w:ascii="David" w:hAnsi="David" w:hint="cs"/>
          <w:sz w:val="24"/>
          <w:rtl/>
        </w:rPr>
        <w:t>פוליסה המסחרית מסוג "משלים שב"ן"</w:t>
      </w:r>
      <w:r w:rsidRPr="002B5E33" w:rsidR="006228E1">
        <w:rPr>
          <w:rFonts w:ascii="David" w:hAnsi="David" w:hint="cs"/>
          <w:sz w:val="24"/>
          <w:rtl/>
        </w:rPr>
        <w:t>, אין</w:t>
      </w:r>
      <w:r w:rsidR="00944242">
        <w:rPr>
          <w:rFonts w:ascii="David" w:hAnsi="David" w:hint="cs"/>
          <w:sz w:val="24"/>
          <w:rtl/>
        </w:rPr>
        <w:t xml:space="preserve"> </w:t>
      </w:r>
      <w:r w:rsidRPr="002B5E33">
        <w:rPr>
          <w:rFonts w:ascii="David" w:hAnsi="David" w:hint="cs"/>
          <w:sz w:val="24"/>
          <w:rtl/>
        </w:rPr>
        <w:t>חפיפה</w:t>
      </w:r>
      <w:r w:rsidRPr="002B5E33" w:rsidR="006228E1">
        <w:rPr>
          <w:rFonts w:ascii="David" w:hAnsi="David" w:hint="cs"/>
          <w:sz w:val="24"/>
          <w:rtl/>
        </w:rPr>
        <w:t xml:space="preserve"> בינה ובין </w:t>
      </w:r>
      <w:r w:rsidRPr="002B5E33">
        <w:rPr>
          <w:rFonts w:ascii="David" w:hAnsi="David" w:hint="cs"/>
          <w:sz w:val="24"/>
          <w:rtl/>
        </w:rPr>
        <w:t xml:space="preserve">תוכניות השב"ן, ועל כן המבוטח </w:t>
      </w:r>
      <w:r w:rsidRPr="002B5E33" w:rsidR="006228E1">
        <w:rPr>
          <w:rFonts w:ascii="David" w:hAnsi="David" w:hint="cs"/>
          <w:sz w:val="24"/>
          <w:rtl/>
        </w:rPr>
        <w:t>בה אינו</w:t>
      </w:r>
      <w:r w:rsidRPr="002B5E33">
        <w:rPr>
          <w:rFonts w:ascii="David" w:hAnsi="David" w:hint="cs"/>
          <w:sz w:val="24"/>
          <w:rtl/>
        </w:rPr>
        <w:t xml:space="preserve"> נמצא במצב של כפל כיסוי. </w:t>
      </w:r>
      <w:r w:rsidRPr="002B5E33" w:rsidR="006228E1">
        <w:rPr>
          <w:rFonts w:ascii="David" w:hAnsi="David" w:hint="cs"/>
          <w:sz w:val="24"/>
          <w:rtl/>
        </w:rPr>
        <w:t xml:space="preserve">לעומת </w:t>
      </w:r>
      <w:r w:rsidRPr="002B5E33">
        <w:rPr>
          <w:rFonts w:ascii="David" w:hAnsi="David" w:hint="cs"/>
          <w:sz w:val="24"/>
          <w:rtl/>
        </w:rPr>
        <w:t>זאת, יש נתונים המצביעים על</w:t>
      </w:r>
      <w:r w:rsidRPr="002B5E33" w:rsidR="006228E1">
        <w:rPr>
          <w:rFonts w:ascii="David" w:hAnsi="David" w:hint="cs"/>
          <w:sz w:val="24"/>
          <w:rtl/>
        </w:rPr>
        <w:t xml:space="preserve"> כך שבעיני הלקוח יש</w:t>
      </w:r>
      <w:r w:rsidRPr="002B5E33">
        <w:rPr>
          <w:rFonts w:ascii="David" w:hAnsi="David" w:hint="cs"/>
          <w:sz w:val="24"/>
          <w:rtl/>
        </w:rPr>
        <w:t xml:space="preserve"> רמ</w:t>
      </w:r>
      <w:r w:rsidRPr="002B5E33" w:rsidR="006228E1">
        <w:rPr>
          <w:rFonts w:ascii="David" w:hAnsi="David" w:hint="cs"/>
          <w:sz w:val="24"/>
          <w:rtl/>
        </w:rPr>
        <w:t>ה גבוהה של</w:t>
      </w:r>
      <w:r w:rsidRPr="002B5E33">
        <w:rPr>
          <w:rFonts w:ascii="David" w:hAnsi="David" w:hint="cs"/>
          <w:sz w:val="24"/>
          <w:rtl/>
        </w:rPr>
        <w:t xml:space="preserve"> חפיפה ותחלופה </w:t>
      </w:r>
      <w:r w:rsidRPr="002B5E33" w:rsidR="006228E1">
        <w:rPr>
          <w:rFonts w:ascii="David" w:hAnsi="David" w:hint="cs"/>
          <w:sz w:val="24"/>
          <w:rtl/>
        </w:rPr>
        <w:t xml:space="preserve">לפחות </w:t>
      </w:r>
      <w:r w:rsidRPr="002B5E33">
        <w:rPr>
          <w:rFonts w:ascii="David" w:hAnsi="David" w:hint="cs"/>
          <w:sz w:val="24"/>
          <w:rtl/>
        </w:rPr>
        <w:t>בחלק מהכיסויים, בין תוכניות השב"ן ובין הביטוחים המסחריים.</w:t>
      </w:r>
    </w:p>
    <w:p w:rsidR="00B132F4" w:rsidRPr="002B5E33" w:rsidP="00ED5C0D">
      <w:pPr>
        <w:pStyle w:val="a"/>
        <w:spacing w:line="269" w:lineRule="auto"/>
        <w:rPr>
          <w:rtl/>
        </w:rPr>
      </w:pPr>
    </w:p>
    <w:p w:rsidR="00B132F4" w:rsidRPr="002B5E33" w:rsidP="00ED5C0D">
      <w:pPr>
        <w:spacing w:line="269" w:lineRule="auto"/>
        <w:rPr>
          <w:rFonts w:ascii="David" w:hAnsi="David"/>
          <w:sz w:val="24"/>
          <w:rtl/>
        </w:rPr>
      </w:pPr>
      <w:r w:rsidRPr="002B5E33">
        <w:rPr>
          <w:rFonts w:ascii="David" w:hAnsi="David" w:hint="cs"/>
          <w:sz w:val="24"/>
          <w:rtl/>
        </w:rPr>
        <w:t xml:space="preserve">מנתונים שהציגה הרשות </w:t>
      </w:r>
      <w:r w:rsidRPr="002B5E33" w:rsidR="00D0608B">
        <w:rPr>
          <w:rFonts w:ascii="David" w:hAnsi="David" w:hint="cs"/>
          <w:sz w:val="24"/>
          <w:rtl/>
        </w:rPr>
        <w:t>ל</w:t>
      </w:r>
      <w:r w:rsidRPr="002B5E33">
        <w:rPr>
          <w:rFonts w:ascii="David" w:hAnsi="David" w:hint="cs"/>
          <w:sz w:val="24"/>
          <w:rtl/>
        </w:rPr>
        <w:t>וועדה המייעצת לחיזוק מערכת הבריאות הציבורית בראשות שרת הבריאות דאז, יעל גרמן (להלן- ועדת גרמן)</w:t>
      </w:r>
      <w:r>
        <w:rPr>
          <w:rStyle w:val="FootnoteReference"/>
          <w:rFonts w:ascii="David" w:hAnsi="David"/>
          <w:sz w:val="24"/>
          <w:rtl/>
        </w:rPr>
        <w:footnoteReference w:id="30"/>
      </w:r>
      <w:r w:rsidRPr="002B5E33">
        <w:rPr>
          <w:rFonts w:ascii="David" w:hAnsi="David" w:hint="cs"/>
          <w:sz w:val="24"/>
          <w:rtl/>
        </w:rPr>
        <w:t xml:space="preserve"> </w:t>
      </w:r>
      <w:r w:rsidRPr="002B5E33">
        <w:rPr>
          <w:rFonts w:ascii="David" w:hAnsi="David" w:hint="eastAsia"/>
          <w:sz w:val="24"/>
          <w:rtl/>
        </w:rPr>
        <w:t>עולה</w:t>
      </w:r>
      <w:r w:rsidRPr="002B5E33">
        <w:rPr>
          <w:rFonts w:ascii="David" w:hAnsi="David"/>
          <w:sz w:val="24"/>
          <w:rtl/>
        </w:rPr>
        <w:t xml:space="preserve"> כי החדירה של פוליסות משלימות </w:t>
      </w:r>
      <w:r w:rsidRPr="002B5E33">
        <w:rPr>
          <w:rFonts w:ascii="David" w:hAnsi="David" w:hint="eastAsia"/>
          <w:sz w:val="24"/>
          <w:rtl/>
        </w:rPr>
        <w:t>שב</w:t>
      </w:r>
      <w:r w:rsidRPr="002B5E33">
        <w:rPr>
          <w:rFonts w:ascii="David" w:hAnsi="David"/>
          <w:sz w:val="24"/>
          <w:rtl/>
        </w:rPr>
        <w:t>"ן</w:t>
      </w:r>
      <w:r w:rsidRPr="002B5E33" w:rsidR="00624617">
        <w:rPr>
          <w:rFonts w:ascii="David" w:hAnsi="David" w:hint="cs"/>
          <w:sz w:val="24"/>
          <w:rtl/>
        </w:rPr>
        <w:t xml:space="preserve"> לשוק</w:t>
      </w:r>
      <w:r w:rsidRPr="002B5E33">
        <w:rPr>
          <w:rFonts w:ascii="David" w:hAnsi="David"/>
          <w:sz w:val="24"/>
          <w:rtl/>
        </w:rPr>
        <w:t xml:space="preserve"> נמוכה </w:t>
      </w:r>
      <w:r w:rsidRPr="002B5E33">
        <w:rPr>
          <w:rFonts w:ascii="David" w:hAnsi="David" w:hint="cs"/>
          <w:sz w:val="24"/>
          <w:rtl/>
        </w:rPr>
        <w:t>יחסית</w:t>
      </w:r>
      <w:r w:rsidRPr="002B5E33" w:rsidR="00624617">
        <w:rPr>
          <w:rFonts w:ascii="David" w:hAnsi="David" w:hint="cs"/>
          <w:sz w:val="24"/>
          <w:rtl/>
        </w:rPr>
        <w:t xml:space="preserve"> - </w:t>
      </w:r>
      <w:r w:rsidRPr="002B5E33">
        <w:rPr>
          <w:rFonts w:ascii="David" w:hAnsi="David"/>
          <w:sz w:val="24"/>
          <w:rtl/>
        </w:rPr>
        <w:t>בשנת</w:t>
      </w:r>
      <w:r w:rsidR="00944242">
        <w:rPr>
          <w:rFonts w:ascii="David" w:hAnsi="David"/>
          <w:sz w:val="24"/>
          <w:rtl/>
        </w:rPr>
        <w:t xml:space="preserve"> </w:t>
      </w:r>
      <w:r w:rsidRPr="002B5E33">
        <w:rPr>
          <w:rFonts w:ascii="David" w:hAnsi="David"/>
          <w:sz w:val="24"/>
          <w:rtl/>
        </w:rPr>
        <w:t>2012</w:t>
      </w:r>
      <w:r w:rsidRPr="002B5E33" w:rsidR="00624617">
        <w:rPr>
          <w:rFonts w:ascii="David" w:hAnsi="David" w:hint="cs"/>
          <w:sz w:val="24"/>
          <w:rtl/>
        </w:rPr>
        <w:t xml:space="preserve"> היה שיעור הפוליסות משלימות שב"ן בכלל פוליסות הפרט </w:t>
      </w:r>
      <w:r w:rsidRPr="002B5E33">
        <w:rPr>
          <w:rFonts w:ascii="David" w:hAnsi="David" w:hint="eastAsia"/>
          <w:sz w:val="24"/>
          <w:rtl/>
        </w:rPr>
        <w:t>כ</w:t>
      </w:r>
      <w:r w:rsidRPr="002B5E33">
        <w:rPr>
          <w:rFonts w:ascii="David" w:hAnsi="David"/>
          <w:sz w:val="24"/>
          <w:rtl/>
        </w:rPr>
        <w:t>-1</w:t>
      </w:r>
      <w:r w:rsidRPr="002B5E33">
        <w:rPr>
          <w:rFonts w:ascii="David" w:hAnsi="David" w:hint="cs"/>
          <w:sz w:val="24"/>
          <w:rtl/>
        </w:rPr>
        <w:t>3</w:t>
      </w:r>
      <w:r w:rsidRPr="002B5E33">
        <w:rPr>
          <w:rFonts w:ascii="David" w:hAnsi="David"/>
          <w:sz w:val="24"/>
          <w:rtl/>
        </w:rPr>
        <w:t xml:space="preserve">% </w:t>
      </w:r>
      <w:r w:rsidRPr="002B5E33">
        <w:rPr>
          <w:rFonts w:ascii="David" w:hAnsi="David" w:hint="eastAsia"/>
          <w:sz w:val="24"/>
          <w:rtl/>
        </w:rPr>
        <w:t>בלבד</w:t>
      </w:r>
      <w:r w:rsidRPr="002B5E33">
        <w:rPr>
          <w:rFonts w:ascii="David" w:hAnsi="David" w:hint="cs"/>
          <w:sz w:val="24"/>
          <w:rtl/>
        </w:rPr>
        <w:t xml:space="preserve">. </w:t>
      </w:r>
    </w:p>
    <w:p w:rsidR="00B132F4" w:rsidRPr="002B5E33" w:rsidP="00ED5C0D">
      <w:pPr>
        <w:pStyle w:val="a"/>
        <w:spacing w:line="269" w:lineRule="auto"/>
        <w:rPr>
          <w:rtl/>
        </w:rPr>
      </w:pPr>
    </w:p>
    <w:p w:rsidR="00B132F4" w:rsidRPr="002B5E33" w:rsidP="00ED5C0D">
      <w:pPr>
        <w:spacing w:line="269" w:lineRule="auto"/>
        <w:rPr>
          <w:rFonts w:ascii="David" w:hAnsi="David"/>
          <w:sz w:val="24"/>
          <w:rtl/>
        </w:rPr>
      </w:pPr>
      <w:r w:rsidRPr="002B5E33">
        <w:rPr>
          <w:rFonts w:ascii="David" w:hAnsi="David" w:hint="cs"/>
          <w:sz w:val="24"/>
          <w:rtl/>
        </w:rPr>
        <w:t>בסקר</w:t>
      </w:r>
      <w:r w:rsidRPr="002B5E33">
        <w:rPr>
          <w:rFonts w:ascii="David" w:hAnsi="David"/>
          <w:sz w:val="24"/>
          <w:rtl/>
        </w:rPr>
        <w:t xml:space="preserve"> </w:t>
      </w:r>
      <w:r w:rsidRPr="002B5E33">
        <w:rPr>
          <w:rFonts w:ascii="David" w:hAnsi="David" w:hint="cs"/>
          <w:sz w:val="24"/>
          <w:rtl/>
        </w:rPr>
        <w:t>החברתי</w:t>
      </w:r>
      <w:r w:rsidRPr="002B5E33">
        <w:rPr>
          <w:rFonts w:ascii="David" w:hAnsi="David"/>
          <w:sz w:val="24"/>
          <w:rtl/>
        </w:rPr>
        <w:t xml:space="preserve"> </w:t>
      </w:r>
      <w:r w:rsidRPr="002B5E33">
        <w:rPr>
          <w:rFonts w:ascii="David" w:hAnsi="David" w:hint="cs"/>
          <w:sz w:val="24"/>
          <w:rtl/>
        </w:rPr>
        <w:t>של</w:t>
      </w:r>
      <w:r w:rsidRPr="002B5E33">
        <w:rPr>
          <w:rFonts w:ascii="David" w:hAnsi="David"/>
          <w:sz w:val="24"/>
          <w:rtl/>
        </w:rPr>
        <w:t xml:space="preserve"> </w:t>
      </w:r>
      <w:r w:rsidRPr="002B5E33">
        <w:rPr>
          <w:rFonts w:ascii="David" w:hAnsi="David" w:hint="cs"/>
          <w:sz w:val="24"/>
          <w:rtl/>
        </w:rPr>
        <w:t>הלמ</w:t>
      </w:r>
      <w:r w:rsidRPr="002B5E33">
        <w:rPr>
          <w:rFonts w:ascii="David" w:hAnsi="David"/>
          <w:sz w:val="24"/>
          <w:rtl/>
        </w:rPr>
        <w:t>"ס (</w:t>
      </w:r>
      <w:r w:rsidRPr="002B5E33" w:rsidR="00D0608B">
        <w:rPr>
          <w:rFonts w:ascii="David" w:hAnsi="David" w:hint="cs"/>
          <w:sz w:val="24"/>
          <w:rtl/>
        </w:rPr>
        <w:t xml:space="preserve">לשנת </w:t>
      </w:r>
      <w:r w:rsidRPr="002B5E33">
        <w:rPr>
          <w:rFonts w:ascii="David" w:hAnsi="David"/>
          <w:sz w:val="24"/>
          <w:rtl/>
        </w:rPr>
        <w:t xml:space="preserve">2017) </w:t>
      </w:r>
      <w:r w:rsidRPr="002B5E33" w:rsidR="00D0608B">
        <w:rPr>
          <w:rFonts w:ascii="David" w:hAnsi="David" w:hint="cs"/>
          <w:sz w:val="24"/>
          <w:rtl/>
        </w:rPr>
        <w:t xml:space="preserve">צוין </w:t>
      </w:r>
      <w:r w:rsidRPr="002B5E33">
        <w:rPr>
          <w:rFonts w:ascii="David" w:hAnsi="David" w:hint="cs"/>
          <w:sz w:val="24"/>
          <w:rtl/>
        </w:rPr>
        <w:t>ש</w:t>
      </w:r>
      <w:r w:rsidRPr="002B5E33">
        <w:rPr>
          <w:rFonts w:ascii="David" w:hAnsi="David"/>
          <w:sz w:val="24"/>
          <w:rtl/>
        </w:rPr>
        <w:t xml:space="preserve">-25% </w:t>
      </w:r>
      <w:r w:rsidRPr="002B5E33">
        <w:rPr>
          <w:rFonts w:ascii="David" w:hAnsi="David" w:hint="cs"/>
          <w:sz w:val="24"/>
          <w:rtl/>
        </w:rPr>
        <w:t xml:space="preserve">מבני 20 ומעלה רכשו פוליסת ביטוח לניתוחים פרטיים או ביטוח להתייעצות עם רופאים. </w:t>
      </w:r>
      <w:r w:rsidRPr="002B5E33" w:rsidR="004037F3">
        <w:rPr>
          <w:rFonts w:ascii="David" w:hAnsi="David" w:hint="cs"/>
          <w:sz w:val="24"/>
          <w:rtl/>
        </w:rPr>
        <w:t>מ</w:t>
      </w:r>
      <w:r w:rsidRPr="002B5E33">
        <w:rPr>
          <w:rFonts w:ascii="David" w:hAnsi="David" w:hint="cs"/>
          <w:sz w:val="24"/>
          <w:rtl/>
        </w:rPr>
        <w:t xml:space="preserve">הצלבת נתון זה עם </w:t>
      </w:r>
      <w:r w:rsidRPr="002B5E33" w:rsidR="004037F3">
        <w:rPr>
          <w:rFonts w:ascii="David" w:hAnsi="David" w:hint="cs"/>
          <w:sz w:val="24"/>
          <w:rtl/>
        </w:rPr>
        <w:t xml:space="preserve">המצוין </w:t>
      </w:r>
      <w:r w:rsidRPr="002B5E33" w:rsidR="00EE1248">
        <w:rPr>
          <w:rFonts w:ascii="David" w:hAnsi="David" w:hint="cs"/>
          <w:sz w:val="24"/>
          <w:rtl/>
        </w:rPr>
        <w:t>ב</w:t>
      </w:r>
      <w:r w:rsidRPr="002B5E33">
        <w:rPr>
          <w:rFonts w:ascii="David" w:hAnsi="David" w:hint="cs"/>
          <w:sz w:val="24"/>
          <w:rtl/>
        </w:rPr>
        <w:t>דוח הציבורי המסכם על ת</w:t>
      </w:r>
      <w:r w:rsidRPr="002B5E33" w:rsidR="00EE1248">
        <w:rPr>
          <w:rFonts w:ascii="David" w:hAnsi="David" w:hint="cs"/>
          <w:sz w:val="24"/>
          <w:rtl/>
        </w:rPr>
        <w:t>ו</w:t>
      </w:r>
      <w:r w:rsidRPr="002B5E33">
        <w:rPr>
          <w:rFonts w:ascii="David" w:hAnsi="David" w:hint="cs"/>
          <w:sz w:val="24"/>
          <w:rtl/>
        </w:rPr>
        <w:t>כניות לשירותי בריאות נוספים,</w:t>
      </w:r>
      <w:r w:rsidRPr="002B5E33" w:rsidR="009A66DD">
        <w:rPr>
          <w:rFonts w:ascii="David" w:hAnsi="David" w:hint="cs"/>
          <w:sz w:val="24"/>
          <w:rtl/>
        </w:rPr>
        <w:t xml:space="preserve"> </w:t>
      </w:r>
      <w:r w:rsidRPr="002B5E33" w:rsidR="00EE1248">
        <w:rPr>
          <w:rFonts w:ascii="David" w:hAnsi="David" w:hint="cs"/>
          <w:sz w:val="24"/>
          <w:rtl/>
        </w:rPr>
        <w:t>לשנת</w:t>
      </w:r>
      <w:r w:rsidR="00FB26EC">
        <w:rPr>
          <w:rFonts w:ascii="David" w:hAnsi="David" w:hint="cs"/>
          <w:sz w:val="24"/>
          <w:rtl/>
        </w:rPr>
        <w:t xml:space="preserve"> 2018 </w:t>
      </w:r>
      <w:r w:rsidRPr="002B5E33">
        <w:rPr>
          <w:rFonts w:ascii="David" w:hAnsi="David" w:hint="cs"/>
          <w:sz w:val="24"/>
          <w:rtl/>
        </w:rPr>
        <w:t xml:space="preserve">שלפיו כשליש מההוצאות בשב"ן הן על סעיפים של ניתוחים והתייעצות עם רופא, </w:t>
      </w:r>
      <w:r w:rsidRPr="002B5E33" w:rsidR="00EE1248">
        <w:rPr>
          <w:rFonts w:ascii="David" w:hAnsi="David" w:hint="cs"/>
          <w:sz w:val="24"/>
          <w:rtl/>
        </w:rPr>
        <w:t>עולה כי יש</w:t>
      </w:r>
      <w:r w:rsidR="00944242">
        <w:rPr>
          <w:rFonts w:ascii="David" w:hAnsi="David" w:hint="cs"/>
          <w:sz w:val="24"/>
          <w:rtl/>
        </w:rPr>
        <w:t xml:space="preserve"> </w:t>
      </w:r>
      <w:r w:rsidRPr="002B5E33">
        <w:rPr>
          <w:rFonts w:ascii="David" w:hAnsi="David" w:hint="cs"/>
          <w:sz w:val="24"/>
          <w:rtl/>
        </w:rPr>
        <w:t>חפיפה גבוהה בין השב"ן ובין הביטוח המסחרי. יתרה מזו, מנתוני משרד הבריאות לשנת 2018 עולה כי לכ-50% מהחברים בשב"ן יש כיסוי ברובד העליון שאותו מציעה הקופה, המכסה מגוון רחב עוד יותר של טיפולים, ועל כן החפיפה עם ביטוחי הבריאות המסחריים אף גבוהה יותר</w:t>
      </w:r>
      <w:r>
        <w:rPr>
          <w:vertAlign w:val="superscript"/>
          <w:rtl/>
        </w:rPr>
        <w:footnoteReference w:id="31"/>
      </w:r>
      <w:r w:rsidRPr="002B5E33">
        <w:rPr>
          <w:rFonts w:ascii="David" w:hAnsi="David" w:hint="cs"/>
          <w:sz w:val="24"/>
          <w:rtl/>
        </w:rPr>
        <w:t>.</w:t>
      </w:r>
    </w:p>
    <w:p w:rsidR="00B132F4" w:rsidRPr="002B5E33" w:rsidP="00ED5C0D">
      <w:pPr>
        <w:pStyle w:val="a"/>
        <w:spacing w:line="269" w:lineRule="auto"/>
        <w:rPr>
          <w:rtl/>
        </w:rPr>
      </w:pPr>
    </w:p>
    <w:p w:rsidR="00B132F4" w:rsidRPr="002B5E33" w:rsidP="00ED5C0D">
      <w:pPr>
        <w:spacing w:line="269" w:lineRule="auto"/>
        <w:rPr>
          <w:rFonts w:ascii="David" w:hAnsi="David"/>
          <w:sz w:val="24"/>
          <w:rtl/>
        </w:rPr>
      </w:pPr>
      <w:r w:rsidRPr="002B5E33">
        <w:rPr>
          <w:rFonts w:ascii="David" w:hAnsi="David" w:hint="cs"/>
          <w:sz w:val="24"/>
          <w:rtl/>
        </w:rPr>
        <w:t xml:space="preserve">כלומר, אף שהסקר של הלמ"ס לא בחן את רמת החפיפה בפוליסות השונות, קיימים נתונים בעלי משקל המצביעים על כך שמבוטחים רבים משלמים עבור כיסויים ביטוחיים חופפים לשני גורמים שונים, וכשעולה הצורך מקבלים החזר רק מאחד מהם. כך שלמעשה מדובר בתשלום </w:t>
      </w:r>
      <w:r w:rsidRPr="002B5E33">
        <w:rPr>
          <w:rFonts w:ascii="David" w:hAnsi="David" w:hint="eastAsia"/>
          <w:sz w:val="24"/>
          <w:rtl/>
        </w:rPr>
        <w:t>עודף</w:t>
      </w:r>
      <w:r w:rsidRPr="002B5E33">
        <w:rPr>
          <w:rFonts w:ascii="David" w:hAnsi="David"/>
          <w:sz w:val="24"/>
          <w:rtl/>
        </w:rPr>
        <w:t xml:space="preserve"> </w:t>
      </w:r>
      <w:r w:rsidRPr="002B5E33">
        <w:rPr>
          <w:rFonts w:ascii="David" w:hAnsi="David" w:hint="cs"/>
          <w:sz w:val="24"/>
          <w:rtl/>
        </w:rPr>
        <w:t xml:space="preserve">של ציבור המבוטחים, העומד לכל הפחות על </w:t>
      </w:r>
      <w:r w:rsidRPr="002B5E33">
        <w:rPr>
          <w:rFonts w:ascii="David" w:hAnsi="David" w:hint="eastAsia"/>
          <w:sz w:val="24"/>
          <w:rtl/>
        </w:rPr>
        <w:t>מאות</w:t>
      </w:r>
      <w:r w:rsidRPr="002B5E33">
        <w:rPr>
          <w:rFonts w:ascii="David" w:hAnsi="David"/>
          <w:sz w:val="24"/>
          <w:rtl/>
        </w:rPr>
        <w:t xml:space="preserve"> </w:t>
      </w:r>
      <w:r w:rsidRPr="002B5E33">
        <w:rPr>
          <w:rFonts w:ascii="David" w:hAnsi="David" w:hint="eastAsia"/>
          <w:sz w:val="24"/>
          <w:rtl/>
        </w:rPr>
        <w:t>מיליוני</w:t>
      </w:r>
      <w:r w:rsidRPr="002B5E33">
        <w:rPr>
          <w:rFonts w:ascii="David" w:hAnsi="David"/>
          <w:sz w:val="24"/>
          <w:rtl/>
        </w:rPr>
        <w:t xml:space="preserve"> </w:t>
      </w:r>
      <w:r w:rsidRPr="002B5E33">
        <w:rPr>
          <w:rFonts w:ascii="David" w:hAnsi="David" w:hint="eastAsia"/>
          <w:sz w:val="24"/>
          <w:rtl/>
        </w:rPr>
        <w:t>שקלים</w:t>
      </w:r>
      <w:r w:rsidRPr="002B5E33">
        <w:rPr>
          <w:rFonts w:ascii="David" w:hAnsi="David"/>
          <w:sz w:val="24"/>
          <w:rtl/>
        </w:rPr>
        <w:t xml:space="preserve"> </w:t>
      </w:r>
      <w:r w:rsidRPr="002B5E33">
        <w:rPr>
          <w:rFonts w:ascii="David" w:hAnsi="David" w:hint="eastAsia"/>
          <w:sz w:val="24"/>
          <w:rtl/>
        </w:rPr>
        <w:t>בשנה</w:t>
      </w:r>
      <w:r w:rsidRPr="002B5E33">
        <w:rPr>
          <w:rFonts w:ascii="David" w:hAnsi="David" w:hint="cs"/>
          <w:sz w:val="24"/>
          <w:rtl/>
        </w:rPr>
        <w:t xml:space="preserve">. </w:t>
      </w:r>
    </w:p>
    <w:p w:rsidR="00B132F4" w:rsidRPr="002B5E33" w:rsidP="00ED5C0D">
      <w:pPr>
        <w:pStyle w:val="a"/>
        <w:spacing w:line="269" w:lineRule="auto"/>
        <w:rPr>
          <w:rtl/>
        </w:rPr>
      </w:pPr>
    </w:p>
    <w:p w:rsidR="00B132F4" w:rsidRPr="002B5E33" w:rsidP="00ED5C0D">
      <w:pPr>
        <w:spacing w:line="269" w:lineRule="auto"/>
        <w:rPr>
          <w:rtl/>
        </w:rPr>
      </w:pPr>
      <w:r w:rsidRPr="002B5E33">
        <w:rPr>
          <w:rFonts w:hint="eastAsia"/>
          <w:rtl/>
        </w:rPr>
        <w:t>בתשובת</w:t>
      </w:r>
      <w:r w:rsidRPr="002B5E33">
        <w:rPr>
          <w:rtl/>
        </w:rPr>
        <w:t xml:space="preserve"> </w:t>
      </w:r>
      <w:r w:rsidRPr="002B5E33">
        <w:rPr>
          <w:rFonts w:hint="cs"/>
          <w:rtl/>
        </w:rPr>
        <w:t xml:space="preserve">התאחדות חברות לביטוח חיים בע"מ ואגוד חברות הביטוח בישראל </w:t>
      </w:r>
      <w:r w:rsidRPr="002B5E33">
        <w:rPr>
          <w:rtl/>
        </w:rPr>
        <w:t>ממאי 2020 לטיוטת דוח הביקורת (להלן</w:t>
      </w:r>
      <w:r w:rsidRPr="002B5E33">
        <w:rPr>
          <w:rFonts w:hint="cs"/>
          <w:rtl/>
        </w:rPr>
        <w:t xml:space="preserve"> </w:t>
      </w:r>
      <w:r w:rsidRPr="002B5E33">
        <w:rPr>
          <w:rtl/>
        </w:rPr>
        <w:t xml:space="preserve">- תשובת </w:t>
      </w:r>
      <w:r w:rsidRPr="002B5E33">
        <w:rPr>
          <w:rFonts w:hint="cs"/>
          <w:rtl/>
        </w:rPr>
        <w:t>איגוד חברות הביטוח</w:t>
      </w:r>
      <w:r w:rsidRPr="002B5E33">
        <w:rPr>
          <w:rtl/>
        </w:rPr>
        <w:t>)</w:t>
      </w:r>
      <w:r w:rsidRPr="002B5E33">
        <w:rPr>
          <w:rFonts w:hint="cs"/>
          <w:rtl/>
        </w:rPr>
        <w:t xml:space="preserve"> </w:t>
      </w:r>
      <w:r w:rsidRPr="002B5E33" w:rsidR="001320AB">
        <w:rPr>
          <w:rFonts w:hint="eastAsia"/>
          <w:rtl/>
        </w:rPr>
        <w:t>נמסר</w:t>
      </w:r>
      <w:r w:rsidRPr="002B5E33">
        <w:rPr>
          <w:rFonts w:hint="cs"/>
          <w:rtl/>
        </w:rPr>
        <w:t xml:space="preserve"> כי השב"ן אינו בגדר חלופה לביטוח המסחרי ואין בו כדי ליצור כפל ביטוח. הסיבה לכך היא שתנאי השב"ן אינם מובטחים, הן בהיבט של העלויות והן בהיבט של הכיסויים שהוא מספק, והוא יכול להשתנות בכל עת, לרבות בהפסקת כיסויים מלאים, ללא הסכמת החבר (שיכול רק לפרוש) ובאישור משרד הבריאות. עוד </w:t>
      </w:r>
      <w:r w:rsidRPr="002B5E33" w:rsidR="001320AB">
        <w:rPr>
          <w:rFonts w:hint="eastAsia"/>
          <w:rtl/>
        </w:rPr>
        <w:t>מסרו</w:t>
      </w:r>
      <w:r w:rsidRPr="002B5E33" w:rsidR="001320AB">
        <w:rPr>
          <w:rFonts w:hint="cs"/>
          <w:rtl/>
        </w:rPr>
        <w:t xml:space="preserve"> </w:t>
      </w:r>
      <w:r w:rsidRPr="002B5E33">
        <w:rPr>
          <w:rFonts w:hint="cs"/>
          <w:rtl/>
        </w:rPr>
        <w:t>החברות כי גם אם בפועל קיימת חפיפה בין שירות מסוים של השב"ן לבין כיסוי בביטוח המסחרי, אין בכך פסול, שכן חלק מהשיקולים ברכישת כיסוי בריאות הם רכישת אופציה עתידית לבחור את הטיפול המתאים למצב רפואי, ובעת הרכישה המבוטח אינו יכול לדעת לאיזה מצב רפואי ייקלע ולאיזו מערכת יזדקק.</w:t>
      </w:r>
    </w:p>
    <w:p w:rsidR="00B132F4" w:rsidRPr="002B5E33" w:rsidP="00ED5C0D">
      <w:pPr>
        <w:pStyle w:val="a"/>
        <w:spacing w:line="269" w:lineRule="auto"/>
        <w:rPr>
          <w:rtl/>
        </w:rPr>
      </w:pPr>
    </w:p>
    <w:p w:rsidR="00B132F4" w:rsidRPr="002B5E33" w:rsidP="00ED5C0D">
      <w:pPr>
        <w:spacing w:line="269" w:lineRule="auto"/>
        <w:rPr>
          <w:rtl/>
        </w:rPr>
      </w:pPr>
      <w:r w:rsidRPr="002B5E33">
        <w:rPr>
          <w:rFonts w:hint="cs"/>
          <w:rtl/>
        </w:rPr>
        <w:t xml:space="preserve">הרשות </w:t>
      </w:r>
      <w:r w:rsidRPr="002B5E33" w:rsidR="001320AB">
        <w:rPr>
          <w:rFonts w:hint="eastAsia"/>
          <w:rtl/>
        </w:rPr>
        <w:t>מסרה</w:t>
      </w:r>
      <w:r w:rsidRPr="002B5E33">
        <w:rPr>
          <w:rFonts w:hint="cs"/>
          <w:rtl/>
        </w:rPr>
        <w:t xml:space="preserve"> בתשובתה כי היא רואה בכפל הביטוח של הביטוח המסחרי ושב"ן בעיה, והיא מזהה את עיקר החפיפה הקיימת בכיסוי ניתוחים וכיסוי התייעצות (אמבולטורי). עם זאת, היא ציינה כי ג</w:t>
      </w:r>
      <w:r w:rsidRPr="002B5E33">
        <w:rPr>
          <w:rFonts w:hint="eastAsia"/>
          <w:rtl/>
        </w:rPr>
        <w:t>ם</w:t>
      </w:r>
      <w:r w:rsidRPr="002B5E33">
        <w:rPr>
          <w:rtl/>
        </w:rPr>
        <w:t xml:space="preserve"> </w:t>
      </w:r>
      <w:r w:rsidRPr="002B5E33">
        <w:rPr>
          <w:rFonts w:hint="eastAsia"/>
          <w:rtl/>
        </w:rPr>
        <w:t>במקרים</w:t>
      </w:r>
      <w:r w:rsidRPr="002B5E33">
        <w:rPr>
          <w:rtl/>
        </w:rPr>
        <w:t xml:space="preserve"> </w:t>
      </w:r>
      <w:r w:rsidRPr="002B5E33">
        <w:rPr>
          <w:rFonts w:hint="cs"/>
          <w:rtl/>
        </w:rPr>
        <w:t>ש</w:t>
      </w:r>
      <w:r w:rsidRPr="002B5E33">
        <w:rPr>
          <w:rFonts w:hint="eastAsia"/>
          <w:rtl/>
        </w:rPr>
        <w:t>קיימת</w:t>
      </w:r>
      <w:r w:rsidRPr="002B5E33">
        <w:rPr>
          <w:rtl/>
        </w:rPr>
        <w:t xml:space="preserve"> </w:t>
      </w:r>
      <w:r w:rsidRPr="002B5E33">
        <w:rPr>
          <w:rFonts w:hint="eastAsia"/>
          <w:rtl/>
        </w:rPr>
        <w:t>חפיפה</w:t>
      </w:r>
      <w:r w:rsidRPr="002B5E33">
        <w:rPr>
          <w:rtl/>
        </w:rPr>
        <w:t xml:space="preserve"> </w:t>
      </w:r>
      <w:r w:rsidRPr="002B5E33">
        <w:rPr>
          <w:rFonts w:hint="cs"/>
          <w:rtl/>
        </w:rPr>
        <w:t xml:space="preserve">בין הכיסויים </w:t>
      </w:r>
      <w:r w:rsidRPr="002B5E33">
        <w:rPr>
          <w:rtl/>
        </w:rPr>
        <w:t xml:space="preserve">ישנם מצבים </w:t>
      </w:r>
      <w:r w:rsidRPr="002B5E33">
        <w:rPr>
          <w:rFonts w:hint="cs"/>
          <w:rtl/>
        </w:rPr>
        <w:t>ש</w:t>
      </w:r>
      <w:r w:rsidRPr="002B5E33">
        <w:rPr>
          <w:rtl/>
        </w:rPr>
        <w:t xml:space="preserve">בהם </w:t>
      </w:r>
      <w:r w:rsidRPr="002B5E33">
        <w:rPr>
          <w:rFonts w:hint="cs"/>
          <w:rtl/>
        </w:rPr>
        <w:t>ה</w:t>
      </w:r>
      <w:r w:rsidRPr="002B5E33">
        <w:rPr>
          <w:rFonts w:hint="eastAsia"/>
          <w:rtl/>
        </w:rPr>
        <w:t>ביטוח</w:t>
      </w:r>
      <w:r w:rsidRPr="002B5E33">
        <w:rPr>
          <w:rtl/>
        </w:rPr>
        <w:t xml:space="preserve"> </w:t>
      </w:r>
      <w:r w:rsidRPr="002B5E33">
        <w:rPr>
          <w:rFonts w:hint="eastAsia"/>
          <w:rtl/>
        </w:rPr>
        <w:t>הפרטי</w:t>
      </w:r>
      <w:r w:rsidRPr="002B5E33">
        <w:rPr>
          <w:rFonts w:hint="cs"/>
          <w:rtl/>
        </w:rPr>
        <w:t xml:space="preserve"> מקנה ערך מוסף</w:t>
      </w:r>
      <w:r w:rsidRPr="002B5E33">
        <w:rPr>
          <w:rtl/>
        </w:rPr>
        <w:t>, שכן בשב"ן ישנ</w:t>
      </w:r>
      <w:r w:rsidRPr="002B5E33">
        <w:rPr>
          <w:rFonts w:hint="eastAsia"/>
          <w:rtl/>
        </w:rPr>
        <w:t>ן</w:t>
      </w:r>
      <w:r w:rsidRPr="002B5E33">
        <w:rPr>
          <w:rtl/>
        </w:rPr>
        <w:t xml:space="preserve"> </w:t>
      </w:r>
      <w:r w:rsidRPr="002B5E33">
        <w:rPr>
          <w:rFonts w:hint="cs"/>
          <w:rtl/>
        </w:rPr>
        <w:t xml:space="preserve">מגבלות שאינן קיימות בביטוח המסחרי, ובהן: </w:t>
      </w:r>
      <w:r w:rsidRPr="002B5E33">
        <w:rPr>
          <w:rtl/>
        </w:rPr>
        <w:t>חובת השתתפות עצמית</w:t>
      </w:r>
      <w:r w:rsidRPr="002B5E33">
        <w:rPr>
          <w:rFonts w:hint="cs"/>
          <w:rtl/>
        </w:rPr>
        <w:t>;</w:t>
      </w:r>
      <w:r w:rsidRPr="002B5E33">
        <w:rPr>
          <w:rtl/>
        </w:rPr>
        <w:t xml:space="preserve"> </w:t>
      </w:r>
      <w:r w:rsidRPr="002B5E33">
        <w:rPr>
          <w:rFonts w:hint="eastAsia"/>
          <w:rtl/>
        </w:rPr>
        <w:t>רשימת</w:t>
      </w:r>
      <w:r w:rsidRPr="002B5E33">
        <w:rPr>
          <w:rtl/>
        </w:rPr>
        <w:t xml:space="preserve"> </w:t>
      </w:r>
      <w:r w:rsidRPr="002B5E33">
        <w:rPr>
          <w:rFonts w:hint="eastAsia"/>
          <w:rtl/>
        </w:rPr>
        <w:t>ספקים</w:t>
      </w:r>
      <w:r w:rsidRPr="002B5E33">
        <w:rPr>
          <w:rtl/>
        </w:rPr>
        <w:t xml:space="preserve"> </w:t>
      </w:r>
      <w:r w:rsidRPr="002B5E33">
        <w:rPr>
          <w:rFonts w:hint="eastAsia"/>
          <w:rtl/>
        </w:rPr>
        <w:t>מוגבלת</w:t>
      </w:r>
      <w:r w:rsidRPr="002B5E33">
        <w:rPr>
          <w:rFonts w:hint="cs"/>
          <w:rtl/>
        </w:rPr>
        <w:t>, במרבית המקרים,</w:t>
      </w:r>
      <w:r w:rsidRPr="002B5E33">
        <w:rPr>
          <w:rtl/>
        </w:rPr>
        <w:t xml:space="preserve"> </w:t>
      </w:r>
      <w:r w:rsidRPr="002B5E33">
        <w:rPr>
          <w:rFonts w:hint="cs"/>
          <w:rtl/>
        </w:rPr>
        <w:t>לעומת זו של חברות הביטוח</w:t>
      </w:r>
      <w:r w:rsidRPr="002B5E33">
        <w:rPr>
          <w:rtl/>
        </w:rPr>
        <w:t>; מגבל</w:t>
      </w:r>
      <w:r w:rsidRPr="002B5E33">
        <w:rPr>
          <w:rFonts w:hint="cs"/>
          <w:rtl/>
        </w:rPr>
        <w:t xml:space="preserve">ות בחלק מהמקרים </w:t>
      </w:r>
      <w:r w:rsidRPr="002B5E33">
        <w:rPr>
          <w:rtl/>
        </w:rPr>
        <w:t xml:space="preserve">על שתלים מסוימים - </w:t>
      </w:r>
      <w:r w:rsidRPr="002B5E33">
        <w:rPr>
          <w:rFonts w:hint="eastAsia"/>
          <w:rtl/>
        </w:rPr>
        <w:t>בשב</w:t>
      </w:r>
      <w:r w:rsidRPr="002B5E33">
        <w:rPr>
          <w:rtl/>
        </w:rPr>
        <w:t xml:space="preserve">"ן ניתן סטנדרט מסוים </w:t>
      </w:r>
      <w:r w:rsidRPr="002B5E33">
        <w:rPr>
          <w:rFonts w:hint="cs"/>
          <w:rtl/>
        </w:rPr>
        <w:t xml:space="preserve">לעומת אפשרות בחירה רחבה יותר שניתנה </w:t>
      </w:r>
      <w:r w:rsidRPr="002B5E33">
        <w:rPr>
          <w:rtl/>
        </w:rPr>
        <w:t>בביטוח הפרטי</w:t>
      </w:r>
      <w:r w:rsidRPr="002B5E33">
        <w:rPr>
          <w:rFonts w:hint="cs"/>
          <w:rtl/>
        </w:rPr>
        <w:t>;</w:t>
      </w:r>
      <w:r w:rsidRPr="002B5E33">
        <w:rPr>
          <w:rtl/>
        </w:rPr>
        <w:t xml:space="preserve"> </w:t>
      </w:r>
      <w:r w:rsidRPr="002B5E33">
        <w:rPr>
          <w:rFonts w:hint="cs"/>
          <w:rtl/>
        </w:rPr>
        <w:t>וכן</w:t>
      </w:r>
      <w:r w:rsidRPr="002B5E33">
        <w:rPr>
          <w:rtl/>
        </w:rPr>
        <w:t xml:space="preserve"> מגבל</w:t>
      </w:r>
      <w:r w:rsidRPr="002B5E33">
        <w:rPr>
          <w:rFonts w:hint="cs"/>
          <w:rtl/>
        </w:rPr>
        <w:t xml:space="preserve">ות </w:t>
      </w:r>
      <w:r w:rsidRPr="002B5E33">
        <w:rPr>
          <w:rtl/>
        </w:rPr>
        <w:t xml:space="preserve">על פרוצדורות מסוימות - </w:t>
      </w:r>
      <w:r w:rsidRPr="002B5E33">
        <w:rPr>
          <w:rFonts w:hint="eastAsia"/>
          <w:rtl/>
        </w:rPr>
        <w:t>בשב</w:t>
      </w:r>
      <w:r w:rsidRPr="002B5E33">
        <w:rPr>
          <w:rtl/>
        </w:rPr>
        <w:t>"ן חלקן יאושרו רק למצבים או גילים מסוימים בעוד שבביטוח הפרטי יאושרו במקרים רבים יותר ובקבוצות גיל רחבות יותר.</w:t>
      </w:r>
    </w:p>
    <w:p w:rsidR="00B132F4" w:rsidRPr="002B5E33" w:rsidP="00ED5C0D">
      <w:pPr>
        <w:pStyle w:val="a"/>
        <w:spacing w:line="269" w:lineRule="auto"/>
        <w:rPr>
          <w:rtl/>
          <w:lang w:eastAsia="he-IL"/>
        </w:rPr>
      </w:pPr>
    </w:p>
    <w:p w:rsidR="00262444" w:rsidRPr="002B5E33" w:rsidP="00ED5C0D">
      <w:pPr>
        <w:shd w:val="clear" w:color="auto" w:fill="FFFFFF"/>
        <w:spacing w:line="269" w:lineRule="auto"/>
        <w:rPr>
          <w:rStyle w:val="Strong"/>
          <w:rtl/>
        </w:rPr>
      </w:pPr>
      <w:r w:rsidRPr="002B5E33">
        <w:rPr>
          <w:rStyle w:val="Strong"/>
          <w:rFonts w:hint="cs"/>
          <w:rtl/>
        </w:rPr>
        <w:t>נמצא כי לרשות שוק ההון אין נתונים מדויקים ומפורטים בדבר היקף סוגי הפוליסות בהם קיי</w:t>
      </w:r>
      <w:r w:rsidRPr="002B5E33" w:rsidR="001F0799">
        <w:rPr>
          <w:rStyle w:val="Strong"/>
          <w:rFonts w:hint="cs"/>
          <w:rtl/>
        </w:rPr>
        <w:t>מת חפיפה מסוג</w:t>
      </w:r>
      <w:r w:rsidR="00944242">
        <w:rPr>
          <w:rStyle w:val="Strong"/>
          <w:rFonts w:hint="cs"/>
          <w:rtl/>
        </w:rPr>
        <w:t xml:space="preserve"> </w:t>
      </w:r>
      <w:r w:rsidRPr="002B5E33">
        <w:rPr>
          <w:rStyle w:val="Strong"/>
          <w:rFonts w:hint="cs"/>
          <w:rtl/>
        </w:rPr>
        <w:t xml:space="preserve">מסחרי-שב"ן, זאת על אף שמסתמן שמדובר בתופעה נרחבת ומשמעותית בתחום. כמו-כן, הרשות לא אוספת באופן תדיר נתונים בדבר היקף החדירה של הפוליסות מסוג משלימת שב"ן. עוד נמצא, כי </w:t>
      </w:r>
      <w:r w:rsidRPr="002B5E33">
        <w:rPr>
          <w:rStyle w:val="Strong"/>
          <w:rFonts w:hint="eastAsia"/>
          <w:rtl/>
        </w:rPr>
        <w:t>הנתונים</w:t>
      </w:r>
      <w:r w:rsidRPr="002B5E33">
        <w:rPr>
          <w:rStyle w:val="Strong"/>
          <w:rtl/>
        </w:rPr>
        <w:t xml:space="preserve"> האישיים המופיעים בהר הביטוח</w:t>
      </w:r>
      <w:r w:rsidRPr="002B5E33" w:rsidR="0055267A">
        <w:rPr>
          <w:rStyle w:val="Strong"/>
          <w:rFonts w:hint="cs"/>
          <w:rtl/>
        </w:rPr>
        <w:t xml:space="preserve"> </w:t>
      </w:r>
      <w:r w:rsidRPr="002B5E33">
        <w:rPr>
          <w:rStyle w:val="Strong"/>
          <w:rFonts w:hint="eastAsia"/>
          <w:rtl/>
        </w:rPr>
        <w:t>אינם</w:t>
      </w:r>
      <w:r w:rsidRPr="002B5E33">
        <w:rPr>
          <w:rStyle w:val="Strong"/>
          <w:rtl/>
        </w:rPr>
        <w:t xml:space="preserve"> כוללים את המידע בדבר </w:t>
      </w:r>
      <w:r w:rsidRPr="002B5E33" w:rsidR="00F96E0C">
        <w:rPr>
          <w:rStyle w:val="Strong"/>
          <w:rFonts w:hint="cs"/>
          <w:rtl/>
        </w:rPr>
        <w:t>התוכניות</w:t>
      </w:r>
      <w:r w:rsidRPr="002B5E33">
        <w:rPr>
          <w:rStyle w:val="Strong"/>
          <w:rtl/>
        </w:rPr>
        <w:t xml:space="preserve"> </w:t>
      </w:r>
      <w:r w:rsidRPr="002B5E33">
        <w:rPr>
          <w:rStyle w:val="Strong"/>
          <w:rFonts w:hint="eastAsia"/>
          <w:rtl/>
        </w:rPr>
        <w:t>בשב</w:t>
      </w:r>
      <w:r w:rsidRPr="002B5E33">
        <w:rPr>
          <w:rStyle w:val="Strong"/>
          <w:rtl/>
        </w:rPr>
        <w:t xml:space="preserve">"ן ולכן המידע בדבר </w:t>
      </w:r>
      <w:r w:rsidRPr="002B5E33" w:rsidR="00F96E0C">
        <w:rPr>
          <w:rStyle w:val="Strong"/>
          <w:rFonts w:hint="cs"/>
          <w:rtl/>
        </w:rPr>
        <w:t>החפיפה</w:t>
      </w:r>
      <w:r w:rsidRPr="002B5E33">
        <w:rPr>
          <w:rStyle w:val="Strong"/>
          <w:rtl/>
        </w:rPr>
        <w:t xml:space="preserve"> </w:t>
      </w:r>
      <w:r w:rsidRPr="002B5E33">
        <w:rPr>
          <w:rStyle w:val="Strong"/>
          <w:rFonts w:hint="eastAsia"/>
          <w:rtl/>
        </w:rPr>
        <w:t>בין</w:t>
      </w:r>
      <w:r w:rsidRPr="002B5E33">
        <w:rPr>
          <w:rStyle w:val="Strong"/>
          <w:rtl/>
        </w:rPr>
        <w:t xml:space="preserve"> הביטוחים המסחריים </w:t>
      </w:r>
      <w:r w:rsidRPr="002B5E33" w:rsidR="00F96E0C">
        <w:rPr>
          <w:rStyle w:val="Strong"/>
          <w:rFonts w:hint="cs"/>
          <w:rtl/>
        </w:rPr>
        <w:t>לתוכניות</w:t>
      </w:r>
      <w:r w:rsidRPr="002B5E33">
        <w:rPr>
          <w:rStyle w:val="Strong"/>
          <w:rtl/>
        </w:rPr>
        <w:t xml:space="preserve"> </w:t>
      </w:r>
      <w:r w:rsidRPr="002B5E33">
        <w:rPr>
          <w:rStyle w:val="Strong"/>
          <w:rFonts w:hint="eastAsia"/>
          <w:rtl/>
        </w:rPr>
        <w:t>השב</w:t>
      </w:r>
      <w:r w:rsidRPr="002B5E33">
        <w:rPr>
          <w:rStyle w:val="Strong"/>
          <w:rtl/>
        </w:rPr>
        <w:t xml:space="preserve">"ן, </w:t>
      </w:r>
      <w:r w:rsidRPr="002B5E33">
        <w:rPr>
          <w:rStyle w:val="Strong"/>
          <w:rFonts w:hint="eastAsia"/>
          <w:rtl/>
        </w:rPr>
        <w:t>של</w:t>
      </w:r>
      <w:r w:rsidRPr="002B5E33">
        <w:rPr>
          <w:rStyle w:val="Strong"/>
          <w:rtl/>
        </w:rPr>
        <w:t xml:space="preserve"> המבוטח </w:t>
      </w:r>
      <w:r w:rsidRPr="002B5E33">
        <w:rPr>
          <w:rStyle w:val="Strong"/>
          <w:rFonts w:hint="eastAsia"/>
          <w:rtl/>
        </w:rPr>
        <w:t>גם</w:t>
      </w:r>
      <w:r w:rsidRPr="002B5E33">
        <w:rPr>
          <w:rStyle w:val="Strong"/>
          <w:rtl/>
        </w:rPr>
        <w:t xml:space="preserve"> </w:t>
      </w:r>
      <w:r w:rsidRPr="002B5E33">
        <w:rPr>
          <w:rStyle w:val="Strong"/>
          <w:rFonts w:hint="eastAsia"/>
          <w:rtl/>
        </w:rPr>
        <w:t>אינו</w:t>
      </w:r>
      <w:r w:rsidRPr="002B5E33">
        <w:rPr>
          <w:rStyle w:val="Strong"/>
          <w:rtl/>
        </w:rPr>
        <w:t xml:space="preserve"> מונגש </w:t>
      </w:r>
      <w:r w:rsidRPr="002B5E33">
        <w:rPr>
          <w:rStyle w:val="Strong"/>
          <w:rFonts w:hint="eastAsia"/>
          <w:rtl/>
        </w:rPr>
        <w:t>לציבור</w:t>
      </w:r>
      <w:r w:rsidRPr="002B5E33">
        <w:rPr>
          <w:rStyle w:val="Strong"/>
          <w:rtl/>
        </w:rPr>
        <w:t>.</w:t>
      </w:r>
      <w:r w:rsidRPr="002B5E33">
        <w:rPr>
          <w:rStyle w:val="Strong"/>
          <w:rFonts w:hint="cs"/>
          <w:rtl/>
        </w:rPr>
        <w:t xml:space="preserve"> </w:t>
      </w:r>
    </w:p>
    <w:p w:rsidR="00B132F4" w:rsidRPr="002B5E33" w:rsidP="00ED5C0D">
      <w:pPr>
        <w:pStyle w:val="a"/>
        <w:spacing w:line="269" w:lineRule="auto"/>
        <w:rPr>
          <w:rtl/>
          <w:lang w:eastAsia="he-IL"/>
        </w:rPr>
      </w:pPr>
    </w:p>
    <w:p w:rsidR="00B132F4" w:rsidRPr="002B5E33" w:rsidP="00ED5C0D">
      <w:pPr>
        <w:shd w:val="clear" w:color="auto" w:fill="FFFFFF"/>
        <w:spacing w:line="269" w:lineRule="auto"/>
        <w:rPr>
          <w:rStyle w:val="Strong"/>
          <w:rtl/>
        </w:rPr>
      </w:pPr>
      <w:r w:rsidRPr="002B5E33">
        <w:rPr>
          <w:rStyle w:val="Strong"/>
          <w:rFonts w:hint="eastAsia"/>
          <w:rtl/>
        </w:rPr>
        <w:t>משרד</w:t>
      </w:r>
      <w:r w:rsidRPr="002B5E33">
        <w:rPr>
          <w:rStyle w:val="Strong"/>
          <w:rtl/>
        </w:rPr>
        <w:t xml:space="preserve"> </w:t>
      </w:r>
      <w:r w:rsidRPr="002B5E33">
        <w:rPr>
          <w:rStyle w:val="Strong"/>
          <w:rFonts w:hint="eastAsia"/>
          <w:rtl/>
        </w:rPr>
        <w:t>מבקר</w:t>
      </w:r>
      <w:r w:rsidRPr="002B5E33">
        <w:rPr>
          <w:rStyle w:val="Strong"/>
          <w:rFonts w:hint="cs"/>
          <w:rtl/>
        </w:rPr>
        <w:t xml:space="preserve"> המדינה</w:t>
      </w:r>
      <w:r w:rsidRPr="002B5E33">
        <w:rPr>
          <w:rStyle w:val="Strong"/>
          <w:rtl/>
        </w:rPr>
        <w:t xml:space="preserve">, </w:t>
      </w:r>
      <w:r w:rsidRPr="002B5E33">
        <w:rPr>
          <w:rStyle w:val="Strong"/>
          <w:rFonts w:hint="cs"/>
          <w:rtl/>
        </w:rPr>
        <w:t xml:space="preserve">ממליץ </w:t>
      </w:r>
      <w:r w:rsidRPr="002B5E33">
        <w:rPr>
          <w:rStyle w:val="Strong"/>
          <w:rFonts w:hint="eastAsia"/>
          <w:rtl/>
        </w:rPr>
        <w:t>שרשות</w:t>
      </w:r>
      <w:r w:rsidRPr="002B5E33">
        <w:rPr>
          <w:rStyle w:val="Strong"/>
          <w:rtl/>
        </w:rPr>
        <w:t xml:space="preserve"> </w:t>
      </w:r>
      <w:r w:rsidRPr="002B5E33">
        <w:rPr>
          <w:rStyle w:val="Strong"/>
          <w:rFonts w:hint="eastAsia"/>
          <w:rtl/>
        </w:rPr>
        <w:t>שוק</w:t>
      </w:r>
      <w:r w:rsidRPr="002B5E33">
        <w:rPr>
          <w:rStyle w:val="Strong"/>
          <w:rtl/>
        </w:rPr>
        <w:t xml:space="preserve"> </w:t>
      </w:r>
      <w:r w:rsidRPr="002B5E33">
        <w:rPr>
          <w:rStyle w:val="Strong"/>
          <w:rFonts w:hint="eastAsia"/>
          <w:rtl/>
        </w:rPr>
        <w:t>ההון</w:t>
      </w:r>
      <w:r w:rsidRPr="002B5E33">
        <w:rPr>
          <w:rStyle w:val="Strong"/>
          <w:rtl/>
        </w:rPr>
        <w:t xml:space="preserve"> </w:t>
      </w:r>
      <w:r w:rsidRPr="002B5E33">
        <w:rPr>
          <w:rStyle w:val="Strong"/>
          <w:rFonts w:hint="eastAsia"/>
          <w:rtl/>
        </w:rPr>
        <w:t>ומשרד</w:t>
      </w:r>
      <w:r w:rsidRPr="002B5E33">
        <w:rPr>
          <w:rStyle w:val="Strong"/>
          <w:rtl/>
        </w:rPr>
        <w:t xml:space="preserve"> </w:t>
      </w:r>
      <w:r w:rsidRPr="002B5E33">
        <w:rPr>
          <w:rStyle w:val="Strong"/>
          <w:rFonts w:hint="eastAsia"/>
          <w:rtl/>
        </w:rPr>
        <w:t>הבריאות</w:t>
      </w:r>
      <w:r w:rsidRPr="002B5E33">
        <w:rPr>
          <w:rStyle w:val="Strong"/>
          <w:rtl/>
        </w:rPr>
        <w:t xml:space="preserve"> </w:t>
      </w:r>
      <w:r w:rsidRPr="002B5E33">
        <w:rPr>
          <w:rStyle w:val="Strong"/>
          <w:rFonts w:hint="eastAsia"/>
          <w:rtl/>
        </w:rPr>
        <w:t>יבחנו</w:t>
      </w:r>
      <w:r w:rsidRPr="002B5E33">
        <w:rPr>
          <w:rStyle w:val="Strong"/>
          <w:rtl/>
        </w:rPr>
        <w:t xml:space="preserve"> </w:t>
      </w:r>
      <w:r w:rsidRPr="002B5E33">
        <w:rPr>
          <w:rStyle w:val="Strong"/>
          <w:rFonts w:hint="eastAsia"/>
          <w:rtl/>
        </w:rPr>
        <w:t>את</w:t>
      </w:r>
      <w:r w:rsidRPr="002B5E33">
        <w:rPr>
          <w:rStyle w:val="Strong"/>
          <w:rtl/>
        </w:rPr>
        <w:t xml:space="preserve"> מידת החפיפה בין </w:t>
      </w:r>
      <w:r w:rsidRPr="002B5E33">
        <w:rPr>
          <w:rStyle w:val="Strong"/>
          <w:rFonts w:hint="cs"/>
          <w:rtl/>
        </w:rPr>
        <w:t xml:space="preserve">מגוון </w:t>
      </w:r>
      <w:r w:rsidRPr="002B5E33">
        <w:rPr>
          <w:rStyle w:val="Strong"/>
          <w:rtl/>
        </w:rPr>
        <w:t xml:space="preserve">הכיסויים </w:t>
      </w:r>
      <w:r w:rsidRPr="002B5E33">
        <w:rPr>
          <w:rStyle w:val="Strong"/>
          <w:rFonts w:hint="eastAsia"/>
          <w:rtl/>
        </w:rPr>
        <w:t>ויפעלו</w:t>
      </w:r>
      <w:r w:rsidRPr="002B5E33">
        <w:rPr>
          <w:rStyle w:val="Strong"/>
          <w:rtl/>
        </w:rPr>
        <w:t xml:space="preserve"> </w:t>
      </w:r>
      <w:r w:rsidRPr="002B5E33">
        <w:rPr>
          <w:rStyle w:val="Strong"/>
          <w:rFonts w:hint="eastAsia"/>
          <w:rtl/>
        </w:rPr>
        <w:t>לצמצ</w:t>
      </w:r>
      <w:r w:rsidRPr="002B5E33">
        <w:rPr>
          <w:rStyle w:val="Strong"/>
          <w:rFonts w:hint="cs"/>
          <w:rtl/>
        </w:rPr>
        <w:t>ו</w:t>
      </w:r>
      <w:r w:rsidRPr="002B5E33">
        <w:rPr>
          <w:rStyle w:val="Strong"/>
          <w:rFonts w:hint="eastAsia"/>
          <w:rtl/>
        </w:rPr>
        <w:t>ם</w:t>
      </w:r>
      <w:r w:rsidRPr="002B5E33">
        <w:rPr>
          <w:rStyle w:val="Strong"/>
          <w:rtl/>
        </w:rPr>
        <w:t xml:space="preserve"> הפגיעה הנגרמת לציבור כתוצאה מחפיפה זו</w:t>
      </w:r>
      <w:r w:rsidRPr="002B5E33" w:rsidR="00AD51B0">
        <w:rPr>
          <w:rStyle w:val="Strong"/>
          <w:rFonts w:hint="cs"/>
          <w:rtl/>
        </w:rPr>
        <w:t xml:space="preserve">, </w:t>
      </w:r>
      <w:r w:rsidRPr="002B5E33" w:rsidR="00AD51B0">
        <w:rPr>
          <w:rStyle w:val="Strong"/>
          <w:rFonts w:hint="eastAsia"/>
          <w:rtl/>
        </w:rPr>
        <w:t>לרבות</w:t>
      </w:r>
      <w:r w:rsidRPr="002B5E33" w:rsidR="00AD51B0">
        <w:rPr>
          <w:rStyle w:val="Strong"/>
          <w:rtl/>
        </w:rPr>
        <w:t xml:space="preserve"> </w:t>
      </w:r>
      <w:r w:rsidRPr="002B5E33" w:rsidR="00AD51B0">
        <w:rPr>
          <w:rStyle w:val="Strong"/>
          <w:rFonts w:hint="eastAsia"/>
          <w:rtl/>
        </w:rPr>
        <w:t>בדרך</w:t>
      </w:r>
      <w:r w:rsidRPr="002B5E33" w:rsidR="00AD51B0">
        <w:rPr>
          <w:rStyle w:val="Strong"/>
          <w:rtl/>
        </w:rPr>
        <w:t xml:space="preserve"> </w:t>
      </w:r>
      <w:r w:rsidRPr="002B5E33" w:rsidR="00AD51B0">
        <w:rPr>
          <w:rStyle w:val="Strong"/>
          <w:rFonts w:hint="eastAsia"/>
          <w:rtl/>
        </w:rPr>
        <w:t>של</w:t>
      </w:r>
      <w:r w:rsidRPr="002B5E33" w:rsidR="00AD51B0">
        <w:rPr>
          <w:rStyle w:val="Strong"/>
          <w:rtl/>
        </w:rPr>
        <w:t xml:space="preserve"> </w:t>
      </w:r>
      <w:r w:rsidRPr="002B5E33" w:rsidR="00AD51B0">
        <w:rPr>
          <w:rStyle w:val="Strong"/>
          <w:rFonts w:hint="eastAsia"/>
          <w:rtl/>
        </w:rPr>
        <w:t>פרסום</w:t>
      </w:r>
      <w:r w:rsidRPr="002B5E33" w:rsidR="00AD51B0">
        <w:rPr>
          <w:rStyle w:val="Strong"/>
          <w:rtl/>
        </w:rPr>
        <w:t xml:space="preserve"> </w:t>
      </w:r>
      <w:r w:rsidRPr="002B5E33" w:rsidR="00AD51B0">
        <w:rPr>
          <w:rStyle w:val="Strong"/>
          <w:rFonts w:hint="eastAsia"/>
          <w:rtl/>
        </w:rPr>
        <w:t>המידע</w:t>
      </w:r>
      <w:r w:rsidRPr="002B5E33" w:rsidR="00AD51B0">
        <w:rPr>
          <w:rStyle w:val="Strong"/>
          <w:rtl/>
        </w:rPr>
        <w:t xml:space="preserve"> </w:t>
      </w:r>
      <w:r w:rsidRPr="002B5E33" w:rsidR="00AD51B0">
        <w:rPr>
          <w:rStyle w:val="Strong"/>
          <w:rFonts w:hint="eastAsia"/>
          <w:rtl/>
        </w:rPr>
        <w:t>ב</w:t>
      </w:r>
      <w:r w:rsidRPr="002B5E33" w:rsidR="00AD51B0">
        <w:rPr>
          <w:rStyle w:val="Strong"/>
          <w:rtl/>
        </w:rPr>
        <w:t xml:space="preserve">"הר </w:t>
      </w:r>
      <w:r w:rsidRPr="002B5E33" w:rsidR="00AD51B0">
        <w:rPr>
          <w:rStyle w:val="Strong"/>
          <w:rFonts w:hint="eastAsia"/>
          <w:rtl/>
        </w:rPr>
        <w:t>הביטוח</w:t>
      </w:r>
      <w:r w:rsidRPr="002B5E33" w:rsidR="00AD51B0">
        <w:rPr>
          <w:rStyle w:val="Strong"/>
          <w:rtl/>
        </w:rPr>
        <w:t>"</w:t>
      </w:r>
      <w:r w:rsidRPr="002B5E33">
        <w:rPr>
          <w:rStyle w:val="Strong"/>
          <w:rtl/>
        </w:rPr>
        <w:t>.</w:t>
      </w:r>
    </w:p>
    <w:p w:rsidR="00B132F4" w:rsidRPr="002B5E33" w:rsidP="00ED5C0D">
      <w:pPr>
        <w:pStyle w:val="a"/>
        <w:spacing w:line="269" w:lineRule="auto"/>
        <w:rPr>
          <w:rStyle w:val="Strong"/>
          <w:szCs w:val="20"/>
          <w:rtl/>
        </w:rPr>
      </w:pPr>
    </w:p>
    <w:p w:rsidR="00B132F4" w:rsidRPr="002B5E33" w:rsidP="00ED5C0D">
      <w:pPr>
        <w:spacing w:line="269" w:lineRule="auto"/>
        <w:rPr>
          <w:rtl/>
        </w:rPr>
      </w:pPr>
      <w:r w:rsidRPr="002B5E33">
        <w:rPr>
          <w:rFonts w:hint="cs"/>
          <w:rtl/>
        </w:rPr>
        <w:t xml:space="preserve">הרשות ציינה בתשובתה כי לשיטתה, </w:t>
      </w:r>
      <w:r w:rsidRPr="002B5E33">
        <w:rPr>
          <w:rtl/>
        </w:rPr>
        <w:t>הדרך העיקרית לטפל בחפיפ</w:t>
      </w:r>
      <w:r w:rsidRPr="002B5E33">
        <w:rPr>
          <w:rFonts w:hint="cs"/>
          <w:rtl/>
        </w:rPr>
        <w:t xml:space="preserve">ת </w:t>
      </w:r>
      <w:r w:rsidRPr="002B5E33">
        <w:rPr>
          <w:rtl/>
        </w:rPr>
        <w:t xml:space="preserve">הכיסויים היא </w:t>
      </w:r>
      <w:r w:rsidRPr="002B5E33">
        <w:rPr>
          <w:rFonts w:hint="cs"/>
          <w:rtl/>
        </w:rPr>
        <w:t>באמצעות קידום המלצות ועדת גרמן</w:t>
      </w:r>
      <w:r>
        <w:rPr>
          <w:rStyle w:val="FootnoteReference"/>
          <w:rtl/>
        </w:rPr>
        <w:footnoteReference w:id="32"/>
      </w:r>
      <w:r w:rsidRPr="002B5E33">
        <w:rPr>
          <w:rFonts w:hint="cs"/>
          <w:rtl/>
        </w:rPr>
        <w:t xml:space="preserve"> משנת</w:t>
      </w:r>
      <w:r w:rsidRPr="002B5E33">
        <w:rPr>
          <w:rtl/>
        </w:rPr>
        <w:t xml:space="preserve"> 2014 </w:t>
      </w:r>
      <w:r w:rsidRPr="002B5E33">
        <w:rPr>
          <w:rFonts w:hint="cs"/>
          <w:rtl/>
        </w:rPr>
        <w:t>תוך</w:t>
      </w:r>
      <w:r w:rsidRPr="002B5E33">
        <w:rPr>
          <w:rtl/>
        </w:rPr>
        <w:t xml:space="preserve"> שיתוף פעולה בין הרשות למשרד הבריאות.</w:t>
      </w:r>
      <w:r w:rsidRPr="002B5E33">
        <w:rPr>
          <w:rFonts w:hint="cs"/>
          <w:rtl/>
        </w:rPr>
        <w:t xml:space="preserve"> כדי</w:t>
      </w:r>
      <w:r w:rsidRPr="002B5E33">
        <w:rPr>
          <w:rtl/>
        </w:rPr>
        <w:t xml:space="preserve"> לצמצם את התופעה</w:t>
      </w:r>
      <w:r w:rsidRPr="002B5E33">
        <w:rPr>
          <w:rFonts w:hint="cs"/>
          <w:rtl/>
        </w:rPr>
        <w:t xml:space="preserve"> הרשות בוחנת את הכיסויים הקיימים בחברות ופועלת באמצעות מתן מידע חיוני ואובייקטיבי לציבור. בהקשר זה </w:t>
      </w:r>
      <w:r w:rsidRPr="002B5E33">
        <w:rPr>
          <w:rtl/>
        </w:rPr>
        <w:t>ציינה הרשו</w:t>
      </w:r>
      <w:r w:rsidRPr="002B5E33">
        <w:rPr>
          <w:rFonts w:hint="cs"/>
          <w:rtl/>
        </w:rPr>
        <w:t>ת</w:t>
      </w:r>
      <w:r w:rsidRPr="002B5E33">
        <w:rPr>
          <w:rtl/>
        </w:rPr>
        <w:t xml:space="preserve"> כי היא מקדמת בשיתוף </w:t>
      </w:r>
      <w:r w:rsidRPr="002B5E33">
        <w:rPr>
          <w:rFonts w:hint="cs"/>
          <w:rtl/>
        </w:rPr>
        <w:t>"</w:t>
      </w:r>
      <w:r w:rsidRPr="002B5E33">
        <w:rPr>
          <w:rtl/>
        </w:rPr>
        <w:t>ישראל דיגיטלית</w:t>
      </w:r>
      <w:r w:rsidRPr="002B5E33">
        <w:rPr>
          <w:rFonts w:hint="cs"/>
          <w:rtl/>
        </w:rPr>
        <w:t>"</w:t>
      </w:r>
      <w:r w:rsidRPr="002B5E33">
        <w:rPr>
          <w:rtl/>
        </w:rPr>
        <w:t xml:space="preserve"> ומשרד הבריאות </w:t>
      </w:r>
      <w:r w:rsidRPr="002B5E33">
        <w:rPr>
          <w:rFonts w:hint="eastAsia"/>
          <w:rtl/>
        </w:rPr>
        <w:t>פרויקט</w:t>
      </w:r>
      <w:r w:rsidRPr="002B5E33">
        <w:rPr>
          <w:rtl/>
        </w:rPr>
        <w:t xml:space="preserve"> "כלי תומך החלטה בביטוח בריאות"</w:t>
      </w:r>
      <w:r w:rsidRPr="002B5E33">
        <w:rPr>
          <w:rFonts w:hint="cs"/>
          <w:rtl/>
        </w:rPr>
        <w:t xml:space="preserve">, </w:t>
      </w:r>
      <w:r w:rsidRPr="002B5E33">
        <w:rPr>
          <w:rFonts w:hint="eastAsia"/>
          <w:rtl/>
        </w:rPr>
        <w:t>אשר</w:t>
      </w:r>
      <w:r w:rsidRPr="002B5E33">
        <w:rPr>
          <w:rtl/>
        </w:rPr>
        <w:t xml:space="preserve"> </w:t>
      </w:r>
      <w:r w:rsidRPr="002B5E33">
        <w:rPr>
          <w:rFonts w:hint="cs"/>
          <w:rtl/>
        </w:rPr>
        <w:t>יציג</w:t>
      </w:r>
      <w:r w:rsidRPr="002B5E33">
        <w:rPr>
          <w:rtl/>
        </w:rPr>
        <w:t xml:space="preserve"> למבוטחים</w:t>
      </w:r>
      <w:r w:rsidRPr="002B5E33">
        <w:rPr>
          <w:rFonts w:hint="cs"/>
          <w:rtl/>
        </w:rPr>
        <w:t xml:space="preserve"> </w:t>
      </w:r>
      <w:r w:rsidRPr="002B5E33">
        <w:rPr>
          <w:rtl/>
        </w:rPr>
        <w:t xml:space="preserve">את כלל הכיסויים הרפואיים הקיימים - </w:t>
      </w:r>
      <w:r w:rsidRPr="002B5E33">
        <w:rPr>
          <w:rFonts w:hint="eastAsia"/>
          <w:rtl/>
        </w:rPr>
        <w:t>ב</w:t>
      </w:r>
      <w:r w:rsidRPr="002B5E33">
        <w:rPr>
          <w:rtl/>
        </w:rPr>
        <w:t xml:space="preserve">סל הבריאות, </w:t>
      </w:r>
      <w:r w:rsidRPr="002B5E33">
        <w:rPr>
          <w:rFonts w:hint="eastAsia"/>
          <w:rtl/>
        </w:rPr>
        <w:t>בשב</w:t>
      </w:r>
      <w:r w:rsidRPr="002B5E33">
        <w:rPr>
          <w:rtl/>
        </w:rPr>
        <w:t xml:space="preserve">"ן </w:t>
      </w:r>
      <w:r w:rsidRPr="002B5E33">
        <w:rPr>
          <w:rFonts w:hint="eastAsia"/>
          <w:rtl/>
        </w:rPr>
        <w:t>וב</w:t>
      </w:r>
      <w:r w:rsidRPr="002B5E33">
        <w:rPr>
          <w:rtl/>
        </w:rPr>
        <w:t xml:space="preserve">ביטוחים </w:t>
      </w:r>
      <w:r w:rsidRPr="002B5E33">
        <w:rPr>
          <w:rFonts w:hint="eastAsia"/>
          <w:rtl/>
        </w:rPr>
        <w:t>ה</w:t>
      </w:r>
      <w:r w:rsidRPr="002B5E33">
        <w:rPr>
          <w:rtl/>
        </w:rPr>
        <w:t xml:space="preserve">מסחריים. </w:t>
      </w:r>
      <w:r w:rsidRPr="002B5E33">
        <w:rPr>
          <w:rFonts w:hint="cs"/>
          <w:rtl/>
        </w:rPr>
        <w:t>ל</w:t>
      </w:r>
      <w:r w:rsidRPr="002B5E33" w:rsidR="00AD51B0">
        <w:rPr>
          <w:rFonts w:hint="eastAsia"/>
          <w:rtl/>
        </w:rPr>
        <w:t>דבריה</w:t>
      </w:r>
      <w:r w:rsidRPr="002B5E33">
        <w:rPr>
          <w:rtl/>
        </w:rPr>
        <w:t>, כאשר המידע יופיע ב"</w:t>
      </w:r>
      <w:r w:rsidRPr="002B5E33">
        <w:rPr>
          <w:rFonts w:hint="cs"/>
          <w:rtl/>
        </w:rPr>
        <w:t>הר הביטוח</w:t>
      </w:r>
      <w:r w:rsidRPr="002B5E33">
        <w:rPr>
          <w:rtl/>
        </w:rPr>
        <w:t>" תחול חובה על מבטחים ו</w:t>
      </w:r>
      <w:r w:rsidRPr="002B5E33">
        <w:rPr>
          <w:rFonts w:hint="cs"/>
          <w:rtl/>
        </w:rPr>
        <w:t xml:space="preserve">על </w:t>
      </w:r>
      <w:r w:rsidRPr="002B5E33">
        <w:rPr>
          <w:rtl/>
        </w:rPr>
        <w:t xml:space="preserve">סוכני הביטוח להתייחס לקיומו של </w:t>
      </w:r>
      <w:r w:rsidRPr="002B5E33">
        <w:rPr>
          <w:rFonts w:hint="eastAsia"/>
          <w:rtl/>
        </w:rPr>
        <w:t>השב</w:t>
      </w:r>
      <w:r w:rsidRPr="002B5E33">
        <w:rPr>
          <w:rtl/>
        </w:rPr>
        <w:t>"ן בעת צירוף לביטוח מסחרי</w:t>
      </w:r>
      <w:r w:rsidRPr="002B5E33">
        <w:rPr>
          <w:rFonts w:hint="cs"/>
          <w:rtl/>
        </w:rPr>
        <w:t>,</w:t>
      </w:r>
      <w:r w:rsidRPr="002B5E33">
        <w:rPr>
          <w:rtl/>
        </w:rPr>
        <w:t xml:space="preserve"> וזאת במסגרת הוראות חוזר צירוף לביטוח.</w:t>
      </w:r>
      <w:r w:rsidRPr="002B5E33">
        <w:rPr>
          <w:rFonts w:hint="cs"/>
          <w:rtl/>
        </w:rPr>
        <w:t xml:space="preserve"> הרשות ציינה כי באופן זה יוכלו המבוטחים להתאים את הכיסוי הביטוחי להעדפות הסיכון שלהם, על בסיס מידע אובייקטיבי וללא ייעוץ חיצוני. בכך יסייע </w:t>
      </w:r>
      <w:r w:rsidRPr="002B5E33" w:rsidR="003D20B8">
        <w:rPr>
          <w:rFonts w:hint="cs"/>
          <w:rtl/>
        </w:rPr>
        <w:t>"</w:t>
      </w:r>
      <w:r w:rsidRPr="002B5E33">
        <w:rPr>
          <w:rtl/>
        </w:rPr>
        <w:t>כלי</w:t>
      </w:r>
      <w:r w:rsidRPr="002B5E33" w:rsidR="003D20B8">
        <w:rPr>
          <w:rFonts w:hint="cs"/>
          <w:rtl/>
        </w:rPr>
        <w:t xml:space="preserve"> תומך החלטה בביטוח בריאות"</w:t>
      </w:r>
      <w:r w:rsidRPr="002B5E33">
        <w:rPr>
          <w:rtl/>
        </w:rPr>
        <w:t xml:space="preserve"> לצמצם את כפל הביטוח</w:t>
      </w:r>
      <w:r w:rsidRPr="002B5E33">
        <w:rPr>
          <w:rFonts w:hint="cs"/>
          <w:rtl/>
        </w:rPr>
        <w:t>,</w:t>
      </w:r>
      <w:r w:rsidRPr="002B5E33">
        <w:rPr>
          <w:rtl/>
        </w:rPr>
        <w:t xml:space="preserve"> שכן הוא יציג באופן ברור מהם המקרים המכוסים בכל כיסוי ואם </w:t>
      </w:r>
      <w:r w:rsidRPr="002B5E33">
        <w:rPr>
          <w:rFonts w:hint="eastAsia"/>
          <w:rtl/>
        </w:rPr>
        <w:t>אותו</w:t>
      </w:r>
      <w:r w:rsidRPr="002B5E33">
        <w:rPr>
          <w:rtl/>
        </w:rPr>
        <w:t xml:space="preserve"> </w:t>
      </w:r>
      <w:r w:rsidRPr="002B5E33">
        <w:rPr>
          <w:rFonts w:hint="eastAsia"/>
          <w:rtl/>
        </w:rPr>
        <w:t>כיסוי</w:t>
      </w:r>
      <w:r w:rsidRPr="002B5E33">
        <w:rPr>
          <w:rtl/>
        </w:rPr>
        <w:t xml:space="preserve"> קיים למבוטח</w:t>
      </w:r>
      <w:r w:rsidRPr="002B5E33">
        <w:rPr>
          <w:rFonts w:hint="cs"/>
          <w:rtl/>
        </w:rPr>
        <w:t xml:space="preserve">. יתרון נוסף של הכלי הוא בכך שהוא יאפשר לרשות לאמוד את היקף כפל הביטוח באופן מדויק יותר. </w:t>
      </w:r>
    </w:p>
    <w:p w:rsidR="00B132F4" w:rsidRPr="002B5E33" w:rsidP="00ED5C0D">
      <w:pPr>
        <w:pStyle w:val="a"/>
        <w:spacing w:line="269" w:lineRule="auto"/>
      </w:pPr>
    </w:p>
    <w:p w:rsidR="00B132F4" w:rsidRPr="002B5E33" w:rsidP="00ED5C0D">
      <w:pPr>
        <w:spacing w:line="269" w:lineRule="auto"/>
        <w:rPr>
          <w:rFonts w:ascii="David" w:eastAsia="Times New Roman" w:hAnsi="David"/>
          <w:spacing w:val="4"/>
          <w:sz w:val="24"/>
          <w:rtl/>
          <w:lang w:eastAsia="he-IL"/>
        </w:rPr>
      </w:pPr>
      <w:r w:rsidRPr="002B5E33">
        <w:rPr>
          <w:rFonts w:ascii="David" w:eastAsia="Times New Roman" w:hAnsi="David" w:hint="cs"/>
          <w:spacing w:val="4"/>
          <w:sz w:val="24"/>
          <w:rtl/>
          <w:lang w:eastAsia="he-IL"/>
        </w:rPr>
        <w:t>היבט נוסף של כפל הביטוח נוגע לאופן ההתחשבנות שבין קופות החולים לחברות הביטוח המסחריות. כיום, מלבד בנושא טיפולים יקרים בחו"ל, אין שיבוב</w:t>
      </w:r>
      <w:r>
        <w:rPr>
          <w:rStyle w:val="FootnoteReference"/>
          <w:rFonts w:ascii="David" w:eastAsia="Times New Roman" w:hAnsi="David"/>
          <w:spacing w:val="4"/>
          <w:sz w:val="24"/>
          <w:rtl/>
          <w:lang w:eastAsia="he-IL"/>
        </w:rPr>
        <w:footnoteReference w:id="33"/>
      </w:r>
      <w:r w:rsidRPr="002B5E33">
        <w:rPr>
          <w:rFonts w:ascii="David" w:eastAsia="Times New Roman" w:hAnsi="David" w:hint="cs"/>
          <w:spacing w:val="4"/>
          <w:sz w:val="24"/>
          <w:rtl/>
          <w:lang w:eastAsia="he-IL"/>
        </w:rPr>
        <w:t xml:space="preserve"> בין חברות הביטוח המסחריות לשב"ן</w:t>
      </w:r>
      <w:r>
        <w:rPr>
          <w:rStyle w:val="FootnoteReference"/>
          <w:rFonts w:ascii="David" w:eastAsia="Times New Roman" w:hAnsi="David"/>
          <w:spacing w:val="4"/>
          <w:sz w:val="24"/>
          <w:rtl/>
          <w:lang w:eastAsia="he-IL"/>
        </w:rPr>
        <w:footnoteReference w:id="34"/>
      </w:r>
      <w:r w:rsidRPr="002B5E33">
        <w:rPr>
          <w:rFonts w:ascii="David" w:eastAsia="Times New Roman" w:hAnsi="David" w:hint="cs"/>
          <w:spacing w:val="4"/>
          <w:sz w:val="24"/>
          <w:rtl/>
          <w:lang w:eastAsia="he-IL"/>
        </w:rPr>
        <w:t xml:space="preserve">. המשמעות היא שגם במצבים שבהם המבוטח רכש הן את תוכניות השב"ן והן ביטוח בחברת הביטוח המסחרי, הוא יכול להשתמש רק באחת מהפוליסות לצורך ביצוע פרוצדורה רפואית. במצב זה לכל אחד מהגופים המבטחים יש תמריץ כלכלי לכך שהמבוטח יבצע את הטיפול במסגרת הביטוחית של הגוף המקביל, שכן אז תושת מלוא העלות עליו בלבד (אם על קופת החולים ואם על חברת הביטוח המסחרית) ולא תהיה בין המבטחים התקזזות כספית. </w:t>
      </w:r>
    </w:p>
    <w:p w:rsidR="00B132F4" w:rsidRPr="002B5E33" w:rsidP="00ED5C0D">
      <w:pPr>
        <w:pStyle w:val="a"/>
        <w:spacing w:line="269" w:lineRule="auto"/>
        <w:rPr>
          <w:rtl/>
          <w:lang w:eastAsia="he-IL"/>
        </w:rPr>
      </w:pPr>
    </w:p>
    <w:p w:rsidR="00B132F4" w:rsidRPr="002B5E33" w:rsidP="00ED5C0D">
      <w:pPr>
        <w:spacing w:line="269" w:lineRule="auto"/>
        <w:rPr>
          <w:rtl/>
          <w:lang w:eastAsia="he-IL"/>
        </w:rPr>
      </w:pPr>
      <w:r w:rsidRPr="002B5E33">
        <w:rPr>
          <w:rFonts w:ascii="David" w:eastAsia="Times New Roman" w:hAnsi="David" w:hint="cs"/>
          <w:spacing w:val="4"/>
          <w:sz w:val="24"/>
          <w:rtl/>
          <w:lang w:eastAsia="he-IL"/>
        </w:rPr>
        <w:t>דוח ועדת גרמן</w:t>
      </w:r>
      <w:r w:rsidR="00944242">
        <w:rPr>
          <w:rFonts w:ascii="David" w:eastAsia="Times New Roman" w:hAnsi="David" w:hint="cs"/>
          <w:spacing w:val="4"/>
          <w:sz w:val="24"/>
          <w:rtl/>
          <w:lang w:eastAsia="he-IL"/>
        </w:rPr>
        <w:t xml:space="preserve"> </w:t>
      </w:r>
      <w:r w:rsidRPr="002B5E33">
        <w:rPr>
          <w:rFonts w:ascii="David" w:eastAsia="Times New Roman" w:hAnsi="David" w:hint="cs"/>
          <w:spacing w:val="4"/>
          <w:sz w:val="24"/>
          <w:rtl/>
          <w:lang w:eastAsia="he-IL"/>
        </w:rPr>
        <w:t>העלה כי חברות הביטוח המסחריות מנצלות מצב זה לטובתן ומתמרצות את המבוטחים להפעיל ראשית את הביטוח של קופת החולים ורק אחר מכן כך לפנות אליהן. כך לדוגמה, הוועדה הצביעה על פוליסות שנמכרו עד שנת 2014, בהן חברות הביטוח אפשרו למבוטחים לתבוע את השב"ן ולקבל בתמורה פיצוי כספי חלקי מחברת הביטוח</w:t>
      </w:r>
      <w:r>
        <w:rPr>
          <w:rStyle w:val="FootnoteReference"/>
          <w:rFonts w:ascii="David" w:eastAsia="Times New Roman" w:hAnsi="David"/>
          <w:spacing w:val="4"/>
          <w:sz w:val="24"/>
          <w:rtl/>
          <w:lang w:eastAsia="he-IL"/>
        </w:rPr>
        <w:footnoteReference w:id="35"/>
      </w:r>
      <w:r w:rsidRPr="002B5E33">
        <w:rPr>
          <w:rFonts w:ascii="David" w:eastAsia="Times New Roman" w:hAnsi="David" w:hint="cs"/>
          <w:spacing w:val="4"/>
          <w:sz w:val="24"/>
          <w:rtl/>
          <w:lang w:eastAsia="he-IL"/>
        </w:rPr>
        <w:t>. באופן זה, השב"ן נשא במלוא עלות הביטוח ואילו חברות הביטוח המסחריות שילמו תשלום נמוך באופן ניכר מעלות הטיפול הרפואי.</w:t>
      </w:r>
      <w:r w:rsidRPr="002B5E33">
        <w:rPr>
          <w:rFonts w:hint="cs"/>
          <w:rtl/>
          <w:lang w:eastAsia="he-IL"/>
        </w:rPr>
        <w:t xml:space="preserve"> </w:t>
      </w:r>
      <w:r w:rsidRPr="002B5E33">
        <w:rPr>
          <w:rFonts w:ascii="David" w:hAnsi="David" w:hint="cs"/>
          <w:rtl/>
        </w:rPr>
        <w:t>יש לציין שבעקבות פעולת רשות שוק ההון בנושא, כיום לא ניתן למכור פוליסות שיפוי המבטיחות פיצוי כספי במקרה שהמבוטח תובע את השב"ן, אך כלל זה אינו חל על הפוליסות שנקנו לפני שנת 2014.</w:t>
      </w:r>
    </w:p>
    <w:p w:rsidR="00B132F4" w:rsidRPr="002B5E33" w:rsidP="00ED5C0D">
      <w:pPr>
        <w:pStyle w:val="a"/>
        <w:spacing w:line="269" w:lineRule="auto"/>
        <w:rPr>
          <w:rtl/>
          <w:lang w:eastAsia="he-IL"/>
        </w:rPr>
      </w:pPr>
    </w:p>
    <w:p w:rsidR="00B132F4" w:rsidRPr="002B5E33" w:rsidP="00ED5C0D">
      <w:pPr>
        <w:spacing w:line="269" w:lineRule="auto"/>
        <w:rPr>
          <w:rtl/>
        </w:rPr>
      </w:pPr>
      <w:r w:rsidRPr="002B5E33">
        <w:rPr>
          <w:rFonts w:ascii="David" w:hAnsi="David" w:hint="cs"/>
          <w:sz w:val="24"/>
          <w:rtl/>
        </w:rPr>
        <w:t xml:space="preserve">בתשובתה ציינה הרשות כי </w:t>
      </w:r>
      <w:r w:rsidRPr="002B5E33">
        <w:rPr>
          <w:rFonts w:hint="cs"/>
          <w:rtl/>
        </w:rPr>
        <w:t>מכיוון שהחל מ</w:t>
      </w:r>
      <w:r w:rsidRPr="002B5E33">
        <w:rPr>
          <w:rFonts w:hint="eastAsia"/>
          <w:rtl/>
        </w:rPr>
        <w:t>שנת</w:t>
      </w:r>
      <w:r w:rsidRPr="002B5E33">
        <w:rPr>
          <w:rtl/>
        </w:rPr>
        <w:t xml:space="preserve"> 2014 </w:t>
      </w:r>
      <w:r w:rsidRPr="002B5E33">
        <w:rPr>
          <w:rFonts w:hint="cs"/>
          <w:rtl/>
        </w:rPr>
        <w:t xml:space="preserve">היא אסרה </w:t>
      </w:r>
      <w:r w:rsidRPr="002B5E33">
        <w:rPr>
          <w:rFonts w:hint="eastAsia"/>
          <w:rtl/>
        </w:rPr>
        <w:t>על</w:t>
      </w:r>
      <w:r w:rsidRPr="002B5E33">
        <w:rPr>
          <w:rtl/>
        </w:rPr>
        <w:t xml:space="preserve"> </w:t>
      </w:r>
      <w:r w:rsidRPr="002B5E33">
        <w:rPr>
          <w:rFonts w:hint="eastAsia"/>
          <w:rtl/>
        </w:rPr>
        <w:t>מכירת</w:t>
      </w:r>
      <w:r w:rsidRPr="002B5E33">
        <w:rPr>
          <w:rtl/>
        </w:rPr>
        <w:t xml:space="preserve"> </w:t>
      </w:r>
      <w:r w:rsidRPr="002B5E33">
        <w:rPr>
          <w:rFonts w:hint="eastAsia"/>
          <w:rtl/>
        </w:rPr>
        <w:t>פוליסות</w:t>
      </w:r>
      <w:r w:rsidRPr="002B5E33">
        <w:rPr>
          <w:rtl/>
        </w:rPr>
        <w:t xml:space="preserve"> </w:t>
      </w:r>
      <w:r w:rsidRPr="002B5E33">
        <w:rPr>
          <w:rFonts w:hint="eastAsia"/>
          <w:rtl/>
        </w:rPr>
        <w:t>המציעות</w:t>
      </w:r>
      <w:r w:rsidRPr="002B5E33">
        <w:rPr>
          <w:rtl/>
        </w:rPr>
        <w:t xml:space="preserve"> </w:t>
      </w:r>
      <w:r w:rsidRPr="002B5E33">
        <w:rPr>
          <w:rFonts w:hint="eastAsia"/>
          <w:rtl/>
        </w:rPr>
        <w:t>פיצוי</w:t>
      </w:r>
      <w:r w:rsidRPr="002B5E33">
        <w:rPr>
          <w:rtl/>
        </w:rPr>
        <w:t xml:space="preserve"> </w:t>
      </w:r>
      <w:r w:rsidRPr="002B5E33">
        <w:rPr>
          <w:rFonts w:hint="eastAsia"/>
          <w:rtl/>
        </w:rPr>
        <w:t>עבור</w:t>
      </w:r>
      <w:r w:rsidRPr="002B5E33">
        <w:rPr>
          <w:rtl/>
        </w:rPr>
        <w:t xml:space="preserve"> </w:t>
      </w:r>
      <w:r w:rsidRPr="002B5E33">
        <w:rPr>
          <w:rFonts w:hint="cs"/>
          <w:rtl/>
        </w:rPr>
        <w:t>ת</w:t>
      </w:r>
      <w:r w:rsidRPr="002B5E33" w:rsidR="003D20B8">
        <w:rPr>
          <w:rFonts w:hint="cs"/>
          <w:rtl/>
        </w:rPr>
        <w:t>ו</w:t>
      </w:r>
      <w:r w:rsidRPr="002B5E33">
        <w:rPr>
          <w:rFonts w:hint="cs"/>
          <w:rtl/>
        </w:rPr>
        <w:t>כניות ה</w:t>
      </w:r>
      <w:r w:rsidRPr="002B5E33">
        <w:rPr>
          <w:rFonts w:hint="eastAsia"/>
          <w:rtl/>
        </w:rPr>
        <w:t>שב</w:t>
      </w:r>
      <w:r w:rsidRPr="002B5E33">
        <w:rPr>
          <w:rtl/>
        </w:rPr>
        <w:t>"ן</w:t>
      </w:r>
      <w:r w:rsidRPr="002B5E33">
        <w:rPr>
          <w:rFonts w:hint="cs"/>
          <w:rtl/>
        </w:rPr>
        <w:t xml:space="preserve">, </w:t>
      </w:r>
      <w:r w:rsidRPr="002B5E33">
        <w:rPr>
          <w:rFonts w:hint="eastAsia"/>
          <w:rtl/>
        </w:rPr>
        <w:t>נכון</w:t>
      </w:r>
      <w:r w:rsidRPr="002B5E33">
        <w:rPr>
          <w:rtl/>
        </w:rPr>
        <w:t xml:space="preserve"> להיום אין ביד</w:t>
      </w:r>
      <w:r w:rsidRPr="002B5E33">
        <w:rPr>
          <w:rFonts w:hint="cs"/>
          <w:rtl/>
        </w:rPr>
        <w:t>ה</w:t>
      </w:r>
      <w:r w:rsidRPr="002B5E33">
        <w:rPr>
          <w:rtl/>
        </w:rPr>
        <w:t xml:space="preserve"> מידע אשר מצביע על כך שחברות </w:t>
      </w:r>
      <w:r w:rsidRPr="002B5E33">
        <w:rPr>
          <w:rFonts w:hint="cs"/>
          <w:rtl/>
        </w:rPr>
        <w:t xml:space="preserve">הביטוח </w:t>
      </w:r>
      <w:r w:rsidRPr="002B5E33">
        <w:rPr>
          <w:rtl/>
        </w:rPr>
        <w:t>דוחפות לניתוחים ב</w:t>
      </w:r>
      <w:r w:rsidRPr="002B5E33">
        <w:rPr>
          <w:rFonts w:hint="cs"/>
          <w:rtl/>
        </w:rPr>
        <w:t>מימון ה</w:t>
      </w:r>
      <w:r w:rsidRPr="002B5E33">
        <w:rPr>
          <w:rtl/>
        </w:rPr>
        <w:t xml:space="preserve">שב"ן. </w:t>
      </w:r>
      <w:r w:rsidRPr="002B5E33">
        <w:rPr>
          <w:rFonts w:hint="cs"/>
          <w:rtl/>
        </w:rPr>
        <w:t xml:space="preserve">עוד ציינה הרשות כי </w:t>
      </w:r>
      <w:r w:rsidRPr="002B5E33">
        <w:rPr>
          <w:rFonts w:hint="eastAsia"/>
          <w:rtl/>
        </w:rPr>
        <w:t>נושא</w:t>
      </w:r>
      <w:r w:rsidRPr="002B5E33">
        <w:rPr>
          <w:rtl/>
        </w:rPr>
        <w:t xml:space="preserve"> </w:t>
      </w:r>
      <w:r w:rsidRPr="002B5E33">
        <w:rPr>
          <w:rFonts w:hint="eastAsia"/>
          <w:rtl/>
        </w:rPr>
        <w:t>השיבוב</w:t>
      </w:r>
      <w:r w:rsidRPr="002B5E33">
        <w:rPr>
          <w:rtl/>
        </w:rPr>
        <w:t xml:space="preserve"> </w:t>
      </w:r>
      <w:r w:rsidRPr="002B5E33">
        <w:rPr>
          <w:rFonts w:hint="eastAsia"/>
          <w:rtl/>
        </w:rPr>
        <w:t>נבחן</w:t>
      </w:r>
      <w:r w:rsidRPr="002B5E33">
        <w:rPr>
          <w:rtl/>
        </w:rPr>
        <w:t xml:space="preserve"> </w:t>
      </w:r>
      <w:r w:rsidRPr="002B5E33">
        <w:rPr>
          <w:rFonts w:hint="eastAsia"/>
          <w:rtl/>
        </w:rPr>
        <w:t>בעבר</w:t>
      </w:r>
      <w:r w:rsidRPr="002B5E33">
        <w:rPr>
          <w:rFonts w:hint="cs"/>
          <w:rtl/>
        </w:rPr>
        <w:t xml:space="preserve"> בין הרשות למשרד הבריאות, וכי להערכתה במקרה של שיבוב תעבור </w:t>
      </w:r>
      <w:r w:rsidRPr="002B5E33">
        <w:rPr>
          <w:rtl/>
        </w:rPr>
        <w:t xml:space="preserve">מרבית הכסף מקופות החולים לחברות הביטוח, שכן מבוטח </w:t>
      </w:r>
      <w:r w:rsidRPr="002B5E33">
        <w:rPr>
          <w:rFonts w:hint="cs"/>
          <w:rtl/>
        </w:rPr>
        <w:t>ה</w:t>
      </w:r>
      <w:r w:rsidRPr="002B5E33">
        <w:rPr>
          <w:rtl/>
        </w:rPr>
        <w:t xml:space="preserve">מחזיק </w:t>
      </w:r>
      <w:r w:rsidRPr="002B5E33">
        <w:rPr>
          <w:rFonts w:hint="cs"/>
          <w:rtl/>
        </w:rPr>
        <w:t>ב</w:t>
      </w:r>
      <w:r w:rsidRPr="002B5E33">
        <w:rPr>
          <w:rtl/>
        </w:rPr>
        <w:t xml:space="preserve">ביטוח </w:t>
      </w:r>
      <w:r w:rsidRPr="002B5E33">
        <w:rPr>
          <w:rFonts w:hint="cs"/>
          <w:rtl/>
        </w:rPr>
        <w:t>מסחרי</w:t>
      </w:r>
      <w:r w:rsidRPr="002B5E33">
        <w:rPr>
          <w:rtl/>
        </w:rPr>
        <w:t xml:space="preserve"> </w:t>
      </w:r>
      <w:r w:rsidRPr="002B5E33">
        <w:rPr>
          <w:rFonts w:hint="eastAsia"/>
          <w:rtl/>
        </w:rPr>
        <w:t>ו</w:t>
      </w:r>
      <w:r w:rsidRPr="002B5E33">
        <w:rPr>
          <w:rFonts w:hint="cs"/>
          <w:rtl/>
        </w:rPr>
        <w:t>ב</w:t>
      </w:r>
      <w:r w:rsidRPr="002B5E33">
        <w:rPr>
          <w:rFonts w:hint="eastAsia"/>
          <w:rtl/>
        </w:rPr>
        <w:t>שב</w:t>
      </w:r>
      <w:r w:rsidRPr="002B5E33">
        <w:rPr>
          <w:rtl/>
        </w:rPr>
        <w:t>"ן יתבע במרבית המקרים את חברת הביטוח.</w:t>
      </w:r>
      <w:r w:rsidRPr="002B5E33">
        <w:rPr>
          <w:rFonts w:hint="cs"/>
          <w:rtl/>
        </w:rPr>
        <w:t xml:space="preserve"> </w:t>
      </w:r>
      <w:r w:rsidRPr="002B5E33">
        <w:rPr>
          <w:rFonts w:hint="eastAsia"/>
          <w:rtl/>
        </w:rPr>
        <w:t>לעמדת</w:t>
      </w:r>
      <w:r w:rsidRPr="002B5E33">
        <w:rPr>
          <w:rtl/>
        </w:rPr>
        <w:t xml:space="preserve"> רשות שוק ההון אופן הטיפול </w:t>
      </w:r>
      <w:r w:rsidRPr="002B5E33">
        <w:rPr>
          <w:rFonts w:hint="eastAsia"/>
          <w:rtl/>
        </w:rPr>
        <w:t>הנכון</w:t>
      </w:r>
      <w:r w:rsidRPr="002B5E33">
        <w:rPr>
          <w:rtl/>
        </w:rPr>
        <w:t xml:space="preserve"> בנושא כפל הביטוח </w:t>
      </w:r>
      <w:r w:rsidRPr="002B5E33">
        <w:rPr>
          <w:rFonts w:hint="eastAsia"/>
          <w:rtl/>
        </w:rPr>
        <w:t>הוא</w:t>
      </w:r>
      <w:r w:rsidRPr="002B5E33">
        <w:rPr>
          <w:rtl/>
        </w:rPr>
        <w:t xml:space="preserve"> </w:t>
      </w:r>
      <w:r w:rsidRPr="002B5E33">
        <w:rPr>
          <w:rFonts w:hint="cs"/>
          <w:rtl/>
        </w:rPr>
        <w:t>מזעורו</w:t>
      </w:r>
      <w:r w:rsidRPr="002B5E33">
        <w:rPr>
          <w:rtl/>
        </w:rPr>
        <w:t xml:space="preserve"> ולא ניהולו. </w:t>
      </w:r>
    </w:p>
    <w:p w:rsidR="00B132F4" w:rsidRPr="002B5E33" w:rsidP="00ED5C0D">
      <w:pPr>
        <w:pStyle w:val="a"/>
        <w:spacing w:line="269" w:lineRule="auto"/>
        <w:rPr>
          <w:rtl/>
          <w:lang w:eastAsia="he-IL"/>
        </w:rPr>
      </w:pPr>
    </w:p>
    <w:p w:rsidR="00B132F4" w:rsidRPr="002B5E33" w:rsidP="00ED5C0D">
      <w:pPr>
        <w:spacing w:line="269" w:lineRule="auto"/>
        <w:rPr>
          <w:rStyle w:val="Strong"/>
          <w:rtl/>
        </w:rPr>
      </w:pPr>
      <w:r w:rsidRPr="002B5E33">
        <w:rPr>
          <w:rStyle w:val="Strong"/>
          <w:rFonts w:hint="eastAsia"/>
          <w:rtl/>
        </w:rPr>
        <w:t>במבנה</w:t>
      </w:r>
      <w:r w:rsidRPr="002B5E33">
        <w:rPr>
          <w:rStyle w:val="Strong"/>
          <w:rtl/>
        </w:rPr>
        <w:t xml:space="preserve"> </w:t>
      </w:r>
      <w:r w:rsidRPr="002B5E33">
        <w:rPr>
          <w:rStyle w:val="Strong"/>
          <w:rFonts w:hint="eastAsia"/>
          <w:rtl/>
        </w:rPr>
        <w:t>שוק</w:t>
      </w:r>
      <w:r w:rsidRPr="002B5E33">
        <w:rPr>
          <w:rStyle w:val="Strong"/>
          <w:rtl/>
        </w:rPr>
        <w:t xml:space="preserve"> ביטוחי הבריאות הנוכחי קיים תמריץ כלכלי </w:t>
      </w:r>
      <w:r w:rsidRPr="002B5E33">
        <w:rPr>
          <w:rStyle w:val="Strong"/>
          <w:rFonts w:hint="eastAsia"/>
          <w:rtl/>
        </w:rPr>
        <w:t>הן</w:t>
      </w:r>
      <w:r w:rsidRPr="002B5E33">
        <w:rPr>
          <w:rStyle w:val="Strong"/>
          <w:rtl/>
        </w:rPr>
        <w:t xml:space="preserve"> לקופות החולים והן </w:t>
      </w:r>
      <w:r w:rsidRPr="002B5E33">
        <w:rPr>
          <w:rStyle w:val="Strong"/>
          <w:rFonts w:hint="eastAsia"/>
          <w:rtl/>
        </w:rPr>
        <w:t>לחברות</w:t>
      </w:r>
      <w:r w:rsidRPr="002B5E33">
        <w:rPr>
          <w:rStyle w:val="Strong"/>
          <w:rtl/>
        </w:rPr>
        <w:t xml:space="preserve"> </w:t>
      </w:r>
      <w:r w:rsidRPr="002B5E33">
        <w:rPr>
          <w:rStyle w:val="Strong"/>
          <w:rFonts w:hint="eastAsia"/>
          <w:rtl/>
        </w:rPr>
        <w:t>הביטוח</w:t>
      </w:r>
      <w:r w:rsidRPr="002B5E33">
        <w:rPr>
          <w:rStyle w:val="Strong"/>
          <w:rtl/>
        </w:rPr>
        <w:t xml:space="preserve"> </w:t>
      </w:r>
      <w:r w:rsidRPr="002B5E33">
        <w:rPr>
          <w:rStyle w:val="Strong"/>
          <w:rFonts w:hint="eastAsia"/>
          <w:rtl/>
        </w:rPr>
        <w:t>המסחריות</w:t>
      </w:r>
      <w:r w:rsidRPr="002B5E33">
        <w:rPr>
          <w:rStyle w:val="Strong"/>
          <w:rtl/>
        </w:rPr>
        <w:t xml:space="preserve"> </w:t>
      </w:r>
      <w:r w:rsidRPr="002B5E33">
        <w:rPr>
          <w:rStyle w:val="Strong"/>
          <w:rFonts w:hint="eastAsia"/>
          <w:rtl/>
        </w:rPr>
        <w:t>להפנות</w:t>
      </w:r>
      <w:r w:rsidRPr="002B5E33">
        <w:rPr>
          <w:rStyle w:val="Strong"/>
          <w:rtl/>
        </w:rPr>
        <w:t xml:space="preserve"> </w:t>
      </w:r>
      <w:r w:rsidRPr="002B5E33">
        <w:rPr>
          <w:rStyle w:val="Strong"/>
          <w:rFonts w:hint="eastAsia"/>
          <w:rtl/>
        </w:rPr>
        <w:t>את</w:t>
      </w:r>
      <w:r w:rsidRPr="002B5E33">
        <w:rPr>
          <w:rStyle w:val="Strong"/>
          <w:rtl/>
        </w:rPr>
        <w:t xml:space="preserve"> מבוטחיהם לקבל</w:t>
      </w:r>
      <w:r w:rsidRPr="002B5E33">
        <w:rPr>
          <w:rStyle w:val="Strong"/>
          <w:rFonts w:hint="eastAsia"/>
          <w:rtl/>
        </w:rPr>
        <w:t>ת</w:t>
      </w:r>
      <w:r w:rsidRPr="002B5E33">
        <w:rPr>
          <w:rStyle w:val="Strong"/>
          <w:rtl/>
        </w:rPr>
        <w:t xml:space="preserve"> </w:t>
      </w:r>
      <w:r w:rsidRPr="002B5E33">
        <w:rPr>
          <w:rStyle w:val="Strong"/>
          <w:rFonts w:hint="eastAsia"/>
          <w:rtl/>
        </w:rPr>
        <w:t>טיפול</w:t>
      </w:r>
      <w:r w:rsidRPr="002B5E33">
        <w:rPr>
          <w:rStyle w:val="Strong"/>
          <w:rtl/>
        </w:rPr>
        <w:t xml:space="preserve"> במסגרת </w:t>
      </w:r>
      <w:r w:rsidRPr="002B5E33">
        <w:rPr>
          <w:rStyle w:val="Strong"/>
          <w:rFonts w:hint="eastAsia"/>
          <w:rtl/>
        </w:rPr>
        <w:t>המקבילה</w:t>
      </w:r>
      <w:r w:rsidRPr="002B5E33">
        <w:rPr>
          <w:rStyle w:val="Strong"/>
          <w:rtl/>
        </w:rPr>
        <w:t xml:space="preserve">. </w:t>
      </w:r>
      <w:r w:rsidRPr="002B5E33">
        <w:rPr>
          <w:rStyle w:val="Strong"/>
          <w:rFonts w:hint="eastAsia"/>
          <w:rtl/>
        </w:rPr>
        <w:t>לצד</w:t>
      </w:r>
      <w:r w:rsidRPr="002B5E33">
        <w:rPr>
          <w:rStyle w:val="Strong"/>
          <w:rtl/>
        </w:rPr>
        <w:t xml:space="preserve"> </w:t>
      </w:r>
      <w:r w:rsidRPr="002B5E33">
        <w:rPr>
          <w:rStyle w:val="Strong"/>
          <w:rFonts w:hint="eastAsia"/>
          <w:rtl/>
        </w:rPr>
        <w:t>צעדי</w:t>
      </w:r>
      <w:r w:rsidRPr="002B5E33">
        <w:rPr>
          <w:rStyle w:val="Strong"/>
          <w:rtl/>
        </w:rPr>
        <w:t xml:space="preserve"> </w:t>
      </w:r>
      <w:r w:rsidRPr="002B5E33">
        <w:rPr>
          <w:rStyle w:val="Strong"/>
          <w:rFonts w:hint="eastAsia"/>
          <w:rtl/>
        </w:rPr>
        <w:t>הרשות</w:t>
      </w:r>
      <w:r w:rsidRPr="002B5E33">
        <w:rPr>
          <w:rStyle w:val="Strong"/>
          <w:rtl/>
        </w:rPr>
        <w:t xml:space="preserve"> </w:t>
      </w:r>
      <w:r w:rsidRPr="002B5E33">
        <w:rPr>
          <w:rStyle w:val="Strong"/>
          <w:rFonts w:hint="eastAsia"/>
          <w:rtl/>
        </w:rPr>
        <w:t>החיוביים</w:t>
      </w:r>
      <w:r w:rsidRPr="002B5E33">
        <w:rPr>
          <w:rStyle w:val="Strong"/>
          <w:rtl/>
        </w:rPr>
        <w:t xml:space="preserve"> </w:t>
      </w:r>
      <w:r w:rsidRPr="002B5E33">
        <w:rPr>
          <w:rStyle w:val="Strong"/>
          <w:rFonts w:hint="eastAsia"/>
          <w:rtl/>
        </w:rPr>
        <w:t>משנת</w:t>
      </w:r>
      <w:r w:rsidRPr="002B5E33" w:rsidR="003D20B8">
        <w:rPr>
          <w:rStyle w:val="Strong"/>
          <w:rFonts w:hint="cs"/>
          <w:rtl/>
        </w:rPr>
        <w:t>,</w:t>
      </w:r>
      <w:r w:rsidRPr="002B5E33" w:rsidR="00B928F4">
        <w:rPr>
          <w:rStyle w:val="Strong"/>
          <w:rFonts w:hint="cs"/>
          <w:rtl/>
        </w:rPr>
        <w:t xml:space="preserve"> </w:t>
      </w:r>
      <w:r w:rsidRPr="002B5E33">
        <w:rPr>
          <w:rStyle w:val="Strong"/>
          <w:rtl/>
        </w:rPr>
        <w:t xml:space="preserve">2014 אשר </w:t>
      </w:r>
      <w:r w:rsidRPr="002B5E33">
        <w:rPr>
          <w:rStyle w:val="Strong"/>
          <w:rFonts w:hint="eastAsia"/>
          <w:rtl/>
        </w:rPr>
        <w:t>אסרו</w:t>
      </w:r>
      <w:r w:rsidRPr="002B5E33">
        <w:rPr>
          <w:rStyle w:val="Strong"/>
          <w:rtl/>
        </w:rPr>
        <w:t xml:space="preserve"> את מכירת </w:t>
      </w:r>
      <w:r w:rsidRPr="002B5E33">
        <w:rPr>
          <w:rStyle w:val="Strong"/>
          <w:rFonts w:hint="eastAsia"/>
          <w:rtl/>
        </w:rPr>
        <w:t>הפוליסות</w:t>
      </w:r>
      <w:r w:rsidRPr="002B5E33">
        <w:rPr>
          <w:rStyle w:val="Strong"/>
          <w:rtl/>
        </w:rPr>
        <w:t xml:space="preserve"> </w:t>
      </w:r>
      <w:r w:rsidRPr="002B5E33">
        <w:rPr>
          <w:rStyle w:val="Strong"/>
          <w:rFonts w:hint="eastAsia"/>
          <w:rtl/>
        </w:rPr>
        <w:t>הכוללות</w:t>
      </w:r>
      <w:r w:rsidRPr="002B5E33">
        <w:rPr>
          <w:rStyle w:val="Strong"/>
          <w:rtl/>
        </w:rPr>
        <w:t xml:space="preserve"> רכיב </w:t>
      </w:r>
      <w:r w:rsidRPr="002B5E33">
        <w:rPr>
          <w:rStyle w:val="Strong"/>
          <w:rFonts w:hint="eastAsia"/>
          <w:rtl/>
        </w:rPr>
        <w:t>פיצוי</w:t>
      </w:r>
      <w:r w:rsidRPr="002B5E33">
        <w:rPr>
          <w:rStyle w:val="Strong"/>
          <w:rtl/>
        </w:rPr>
        <w:t xml:space="preserve"> </w:t>
      </w:r>
      <w:r w:rsidRPr="002B5E33">
        <w:rPr>
          <w:rFonts w:ascii="David" w:hAnsi="David" w:hint="eastAsia"/>
          <w:b/>
          <w:bCs/>
          <w:rtl/>
        </w:rPr>
        <w:t>במקרה</w:t>
      </w:r>
      <w:r w:rsidRPr="002B5E33">
        <w:rPr>
          <w:rFonts w:ascii="David" w:hAnsi="David"/>
          <w:b/>
          <w:bCs/>
          <w:rtl/>
        </w:rPr>
        <w:t xml:space="preserve"> </w:t>
      </w:r>
      <w:r w:rsidRPr="002B5E33">
        <w:rPr>
          <w:rFonts w:ascii="David" w:hAnsi="David" w:hint="eastAsia"/>
          <w:b/>
          <w:bCs/>
          <w:rtl/>
        </w:rPr>
        <w:t>שהמבוטח</w:t>
      </w:r>
      <w:r w:rsidRPr="002B5E33">
        <w:rPr>
          <w:rFonts w:ascii="David" w:hAnsi="David"/>
          <w:b/>
          <w:bCs/>
          <w:rtl/>
        </w:rPr>
        <w:t xml:space="preserve"> </w:t>
      </w:r>
      <w:r w:rsidRPr="002B5E33">
        <w:rPr>
          <w:rFonts w:ascii="David" w:hAnsi="David" w:hint="eastAsia"/>
          <w:b/>
          <w:bCs/>
          <w:rtl/>
        </w:rPr>
        <w:t>תובע</w:t>
      </w:r>
      <w:r w:rsidRPr="002B5E33">
        <w:rPr>
          <w:rFonts w:ascii="David" w:hAnsi="David"/>
          <w:b/>
          <w:bCs/>
          <w:rtl/>
        </w:rPr>
        <w:t xml:space="preserve"> </w:t>
      </w:r>
      <w:r w:rsidRPr="002B5E33">
        <w:rPr>
          <w:rFonts w:ascii="David" w:hAnsi="David" w:hint="eastAsia"/>
          <w:b/>
          <w:bCs/>
          <w:rtl/>
        </w:rPr>
        <w:t>את</w:t>
      </w:r>
      <w:r w:rsidRPr="002B5E33">
        <w:rPr>
          <w:rFonts w:ascii="David" w:hAnsi="David"/>
          <w:b/>
          <w:bCs/>
          <w:rtl/>
        </w:rPr>
        <w:t xml:space="preserve"> </w:t>
      </w:r>
      <w:r w:rsidRPr="002B5E33">
        <w:rPr>
          <w:rFonts w:ascii="David" w:hAnsi="David" w:hint="eastAsia"/>
          <w:b/>
          <w:bCs/>
          <w:rtl/>
        </w:rPr>
        <w:t>השב</w:t>
      </w:r>
      <w:r w:rsidRPr="002B5E33">
        <w:rPr>
          <w:rFonts w:ascii="David" w:hAnsi="David"/>
          <w:b/>
          <w:bCs/>
          <w:rtl/>
        </w:rPr>
        <w:t xml:space="preserve">"ן, </w:t>
      </w:r>
      <w:r w:rsidRPr="002B5E33">
        <w:rPr>
          <w:rStyle w:val="Strong"/>
          <w:rFonts w:hint="eastAsia"/>
          <w:rtl/>
        </w:rPr>
        <w:t>משרד</w:t>
      </w:r>
      <w:r w:rsidRPr="002B5E33">
        <w:rPr>
          <w:rStyle w:val="Strong"/>
          <w:rtl/>
        </w:rPr>
        <w:t xml:space="preserve"> מבקר המדינה </w:t>
      </w:r>
      <w:r w:rsidRPr="002B5E33">
        <w:rPr>
          <w:rStyle w:val="Strong"/>
          <w:rFonts w:hint="eastAsia"/>
          <w:rtl/>
        </w:rPr>
        <w:t>ממליץ</w:t>
      </w:r>
      <w:r w:rsidRPr="002B5E33">
        <w:rPr>
          <w:rStyle w:val="Strong"/>
          <w:rtl/>
        </w:rPr>
        <w:t xml:space="preserve"> לרשות שוק ההון </w:t>
      </w:r>
      <w:r w:rsidRPr="002B5E33">
        <w:rPr>
          <w:rStyle w:val="Strong"/>
          <w:rFonts w:hint="eastAsia"/>
          <w:rtl/>
        </w:rPr>
        <w:t>ולמשרד</w:t>
      </w:r>
      <w:r w:rsidRPr="002B5E33">
        <w:rPr>
          <w:rStyle w:val="Strong"/>
          <w:rtl/>
        </w:rPr>
        <w:t xml:space="preserve"> הבריאות </w:t>
      </w:r>
      <w:r w:rsidRPr="002B5E33" w:rsidR="00911E40">
        <w:rPr>
          <w:rStyle w:val="Strong"/>
          <w:rFonts w:hint="cs"/>
          <w:rtl/>
        </w:rPr>
        <w:t xml:space="preserve">להמשיך ולפעול </w:t>
      </w:r>
      <w:r w:rsidRPr="002B5E33">
        <w:rPr>
          <w:rStyle w:val="Strong"/>
          <w:rFonts w:hint="eastAsia"/>
          <w:rtl/>
        </w:rPr>
        <w:t>לצמצם</w:t>
      </w:r>
      <w:r w:rsidRPr="002B5E33">
        <w:rPr>
          <w:rStyle w:val="Strong"/>
          <w:rtl/>
        </w:rPr>
        <w:t xml:space="preserve"> </w:t>
      </w:r>
      <w:r w:rsidRPr="002B5E33">
        <w:rPr>
          <w:rStyle w:val="Strong"/>
          <w:rFonts w:hint="eastAsia"/>
          <w:rtl/>
        </w:rPr>
        <w:t>את</w:t>
      </w:r>
      <w:r w:rsidRPr="002B5E33">
        <w:rPr>
          <w:rStyle w:val="Strong"/>
          <w:rtl/>
        </w:rPr>
        <w:t xml:space="preserve"> </w:t>
      </w:r>
      <w:r w:rsidRPr="002B5E33">
        <w:rPr>
          <w:rStyle w:val="Strong"/>
          <w:rFonts w:hint="eastAsia"/>
          <w:rtl/>
        </w:rPr>
        <w:t>התמריץ</w:t>
      </w:r>
      <w:r w:rsidRPr="002B5E33">
        <w:rPr>
          <w:rStyle w:val="Strong"/>
          <w:rtl/>
        </w:rPr>
        <w:t xml:space="preserve"> הכלכלי </w:t>
      </w:r>
      <w:r w:rsidRPr="002B5E33">
        <w:rPr>
          <w:rStyle w:val="Strong"/>
          <w:rFonts w:hint="eastAsia"/>
          <w:rtl/>
        </w:rPr>
        <w:t>להפניית</w:t>
      </w:r>
      <w:r w:rsidRPr="002B5E33">
        <w:rPr>
          <w:rStyle w:val="Strong"/>
          <w:rtl/>
        </w:rPr>
        <w:t xml:space="preserve"> </w:t>
      </w:r>
      <w:r w:rsidRPr="002B5E33">
        <w:rPr>
          <w:rStyle w:val="Strong"/>
          <w:rFonts w:hint="eastAsia"/>
          <w:rtl/>
        </w:rPr>
        <w:t>מטופלים</w:t>
      </w:r>
      <w:r w:rsidRPr="002B5E33">
        <w:rPr>
          <w:rStyle w:val="Strong"/>
          <w:rtl/>
        </w:rPr>
        <w:t xml:space="preserve"> </w:t>
      </w:r>
      <w:r w:rsidRPr="002B5E33">
        <w:rPr>
          <w:rStyle w:val="Strong"/>
          <w:rFonts w:hint="eastAsia"/>
          <w:rtl/>
        </w:rPr>
        <w:t>לגורמים</w:t>
      </w:r>
      <w:r w:rsidRPr="002B5E33">
        <w:rPr>
          <w:rStyle w:val="Strong"/>
          <w:rtl/>
        </w:rPr>
        <w:t xml:space="preserve"> </w:t>
      </w:r>
      <w:r w:rsidRPr="002B5E33">
        <w:rPr>
          <w:rStyle w:val="Strong"/>
          <w:rFonts w:hint="eastAsia"/>
          <w:rtl/>
        </w:rPr>
        <w:t>מקבילים</w:t>
      </w:r>
      <w:r w:rsidRPr="002B5E33">
        <w:rPr>
          <w:rStyle w:val="Strong"/>
          <w:rtl/>
        </w:rPr>
        <w:t>.</w:t>
      </w:r>
    </w:p>
    <w:p w:rsidR="00494B2B">
      <w:pPr>
        <w:bidi w:val="0"/>
        <w:spacing w:after="200" w:line="276" w:lineRule="auto"/>
        <w:rPr>
          <w:rFonts w:eastAsiaTheme="majorEastAsia"/>
          <w:spacing w:val="40"/>
          <w:rtl/>
        </w:rPr>
      </w:pPr>
      <w:r>
        <w:rPr>
          <w:rtl/>
        </w:rPr>
        <w:br w:type="page"/>
      </w:r>
    </w:p>
    <w:p w:rsidR="00B132F4" w:rsidRPr="002B5E33" w:rsidP="00ED5C0D">
      <w:pPr>
        <w:pStyle w:val="Heading6"/>
        <w:spacing w:line="269" w:lineRule="auto"/>
        <w:rPr>
          <w:rtl/>
        </w:rPr>
      </w:pPr>
      <w:r w:rsidRPr="002B5E33">
        <w:rPr>
          <w:rFonts w:hint="cs"/>
          <w:rtl/>
        </w:rPr>
        <w:t>כפל ביטוח מסחרי</w:t>
      </w:r>
    </w:p>
    <w:p w:rsidR="00B132F4" w:rsidRPr="002B5E33" w:rsidP="00ED5C0D">
      <w:pPr>
        <w:pStyle w:val="a"/>
        <w:spacing w:line="269" w:lineRule="auto"/>
        <w:rPr>
          <w:rtl/>
        </w:rPr>
      </w:pPr>
    </w:p>
    <w:p w:rsidR="00B132F4" w:rsidRPr="002B5E33" w:rsidP="00ED5C0D">
      <w:pPr>
        <w:spacing w:line="269" w:lineRule="auto"/>
        <w:rPr>
          <w:rFonts w:ascii="David" w:hAnsi="David"/>
          <w:sz w:val="24"/>
          <w:rtl/>
        </w:rPr>
      </w:pPr>
      <w:r w:rsidRPr="002B5E33">
        <w:rPr>
          <w:rFonts w:ascii="David" w:hAnsi="David"/>
          <w:sz w:val="24"/>
          <w:rtl/>
        </w:rPr>
        <w:t>רשות שוק ההון</w:t>
      </w:r>
      <w:r w:rsidRPr="002B5E33">
        <w:rPr>
          <w:rFonts w:ascii="David" w:hAnsi="David"/>
          <w:sz w:val="24"/>
        </w:rPr>
        <w:t xml:space="preserve"> </w:t>
      </w:r>
      <w:r w:rsidRPr="002B5E33">
        <w:rPr>
          <w:rFonts w:ascii="David" w:hAnsi="David"/>
          <w:sz w:val="24"/>
          <w:rtl/>
        </w:rPr>
        <w:t>הצהירה לא פעם כי היא מזהה את תופעת "כפל הביטוח</w:t>
      </w:r>
      <w:r w:rsidRPr="002B5E33">
        <w:rPr>
          <w:rFonts w:ascii="David" w:hAnsi="David" w:hint="cs"/>
          <w:sz w:val="24"/>
          <w:rtl/>
        </w:rPr>
        <w:t xml:space="preserve"> המסחרי</w:t>
      </w:r>
      <w:r w:rsidRPr="002B5E33">
        <w:rPr>
          <w:rFonts w:ascii="David" w:hAnsi="David"/>
          <w:sz w:val="24"/>
          <w:rtl/>
        </w:rPr>
        <w:t xml:space="preserve">" </w:t>
      </w:r>
      <w:r w:rsidRPr="002B5E33">
        <w:rPr>
          <w:rFonts w:ascii="David" w:hAnsi="David" w:hint="cs"/>
          <w:sz w:val="24"/>
          <w:rtl/>
        </w:rPr>
        <w:t xml:space="preserve">והעדר שקיפותה לציבור הרחב, </w:t>
      </w:r>
      <w:r w:rsidRPr="002B5E33">
        <w:rPr>
          <w:rFonts w:ascii="David" w:hAnsi="David"/>
          <w:sz w:val="24"/>
          <w:rtl/>
        </w:rPr>
        <w:t xml:space="preserve">כאחד מהכשלים המרכזיים בתחום ביטוחי הבריאות, ואף יזמה צעדים </w:t>
      </w:r>
      <w:r w:rsidRPr="002B5E33">
        <w:rPr>
          <w:rFonts w:ascii="David" w:hAnsi="David" w:hint="cs"/>
          <w:sz w:val="24"/>
          <w:rtl/>
        </w:rPr>
        <w:t>לצמצום</w:t>
      </w:r>
      <w:r w:rsidRPr="002B5E33">
        <w:rPr>
          <w:rFonts w:ascii="David" w:hAnsi="David"/>
          <w:sz w:val="24"/>
          <w:rtl/>
        </w:rPr>
        <w:t xml:space="preserve"> התופעה</w:t>
      </w:r>
      <w:r>
        <w:rPr>
          <w:rStyle w:val="FootnoteReference"/>
          <w:rFonts w:ascii="David" w:hAnsi="David"/>
          <w:sz w:val="24"/>
          <w:rtl/>
        </w:rPr>
        <w:footnoteReference w:id="36"/>
      </w:r>
      <w:r w:rsidRPr="002B5E33">
        <w:rPr>
          <w:rFonts w:ascii="David" w:hAnsi="David"/>
          <w:sz w:val="24"/>
          <w:rtl/>
        </w:rPr>
        <w:t>. כך לדוגמה, ב</w:t>
      </w:r>
      <w:r w:rsidRPr="002B5E33">
        <w:rPr>
          <w:rFonts w:ascii="David" w:hAnsi="David" w:hint="cs"/>
          <w:sz w:val="24"/>
          <w:rtl/>
        </w:rPr>
        <w:t xml:space="preserve">יולי 2018 </w:t>
      </w:r>
      <w:r w:rsidRPr="002B5E33">
        <w:rPr>
          <w:rFonts w:ascii="David" w:hAnsi="David"/>
          <w:sz w:val="24"/>
          <w:rtl/>
        </w:rPr>
        <w:t>פרסמה הממונה דאז על הרשות, הוראה הקובעת כי חל איסור על חברות ו</w:t>
      </w:r>
      <w:r w:rsidRPr="002B5E33">
        <w:rPr>
          <w:rFonts w:ascii="David" w:hAnsi="David" w:hint="cs"/>
          <w:sz w:val="24"/>
          <w:rtl/>
        </w:rPr>
        <w:t xml:space="preserve">על </w:t>
      </w:r>
      <w:r w:rsidRPr="002B5E33">
        <w:rPr>
          <w:rFonts w:ascii="David" w:hAnsi="David"/>
          <w:sz w:val="24"/>
          <w:rtl/>
        </w:rPr>
        <w:t xml:space="preserve">סוכני הביטוח למכור מוצר ביטוח לאדם </w:t>
      </w:r>
      <w:r w:rsidRPr="002B5E33">
        <w:rPr>
          <w:rFonts w:ascii="David" w:hAnsi="David" w:hint="cs"/>
          <w:sz w:val="24"/>
          <w:rtl/>
        </w:rPr>
        <w:t>ה</w:t>
      </w:r>
      <w:r w:rsidRPr="002B5E33">
        <w:rPr>
          <w:rFonts w:ascii="David" w:hAnsi="David"/>
          <w:sz w:val="24"/>
          <w:rtl/>
        </w:rPr>
        <w:t>מחזיק ברשותו מוצר ביטוח דומה</w:t>
      </w:r>
      <w:r>
        <w:rPr>
          <w:rStyle w:val="FootnoteReference"/>
          <w:rFonts w:ascii="David" w:hAnsi="David"/>
          <w:sz w:val="24"/>
          <w:rtl/>
        </w:rPr>
        <w:footnoteReference w:id="37"/>
      </w:r>
      <w:r w:rsidRPr="002B5E33">
        <w:rPr>
          <w:rFonts w:ascii="David" w:hAnsi="David"/>
          <w:sz w:val="24"/>
        </w:rPr>
        <w:t>.</w:t>
      </w:r>
      <w:r w:rsidRPr="002B5E33">
        <w:rPr>
          <w:rFonts w:ascii="David" w:hAnsi="David"/>
          <w:sz w:val="24"/>
          <w:rtl/>
        </w:rPr>
        <w:t xml:space="preserve"> </w:t>
      </w:r>
    </w:p>
    <w:p w:rsidR="00B132F4" w:rsidRPr="002B5E33" w:rsidP="00ED5C0D">
      <w:pPr>
        <w:pStyle w:val="a"/>
        <w:spacing w:line="269" w:lineRule="auto"/>
        <w:rPr>
          <w:rFonts w:ascii="David" w:hAnsi="David"/>
          <w:rtl/>
        </w:rPr>
      </w:pPr>
    </w:p>
    <w:p w:rsidR="00B132F4" w:rsidRPr="002B5E33" w:rsidP="00ED5C0D">
      <w:pPr>
        <w:spacing w:line="269" w:lineRule="auto"/>
        <w:rPr>
          <w:rFonts w:ascii="David" w:hAnsi="David"/>
          <w:sz w:val="24"/>
          <w:rtl/>
        </w:rPr>
      </w:pPr>
      <w:r w:rsidRPr="002B5E33">
        <w:rPr>
          <w:rFonts w:ascii="David" w:hAnsi="David"/>
          <w:sz w:val="24"/>
          <w:rtl/>
        </w:rPr>
        <w:t>בדיון שנערך בוועדת הכספים ב</w:t>
      </w:r>
      <w:r w:rsidRPr="002B5E33">
        <w:rPr>
          <w:rFonts w:ascii="David" w:hAnsi="David" w:hint="cs"/>
          <w:sz w:val="24"/>
          <w:rtl/>
        </w:rPr>
        <w:t>יוני 2018</w:t>
      </w:r>
      <w:r w:rsidRPr="002B5E33">
        <w:rPr>
          <w:rFonts w:ascii="David" w:hAnsi="David"/>
          <w:sz w:val="24"/>
          <w:rtl/>
        </w:rPr>
        <w:t xml:space="preserve">, הציג סגן הממונה על הרשות נתונים בדבר כפל ביטוח </w:t>
      </w:r>
      <w:r w:rsidRPr="002B5E33">
        <w:rPr>
          <w:rFonts w:ascii="David" w:hAnsi="David" w:hint="cs"/>
          <w:sz w:val="24"/>
          <w:rtl/>
        </w:rPr>
        <w:t xml:space="preserve">מסחרי </w:t>
      </w:r>
      <w:r w:rsidRPr="002B5E33">
        <w:rPr>
          <w:rFonts w:ascii="David" w:hAnsi="David"/>
          <w:sz w:val="24"/>
          <w:rtl/>
        </w:rPr>
        <w:t xml:space="preserve">בחברות שונות </w:t>
      </w:r>
      <w:r w:rsidRPr="002B5E33">
        <w:rPr>
          <w:rFonts w:ascii="David" w:hAnsi="David" w:hint="cs"/>
          <w:sz w:val="24"/>
          <w:rtl/>
        </w:rPr>
        <w:t>לפיהם:</w:t>
      </w:r>
      <w:r w:rsidRPr="002B5E33">
        <w:rPr>
          <w:rFonts w:ascii="David" w:hAnsi="David"/>
          <w:sz w:val="24"/>
          <w:rtl/>
        </w:rPr>
        <w:t xml:space="preserve"> 40% מהכפילויות הן בגין ביטוחי ייעוץ ובדיקה, 17% בגין ביטוחי מבנה, 17% בגין ביטוחי סיעוד, 15% בגין ביטוחי מבנה ותכולה ו11% בגין ביטוחי חיים למקרי מוות</w:t>
      </w:r>
      <w:r w:rsidRPr="002B5E33">
        <w:rPr>
          <w:rFonts w:ascii="David" w:hAnsi="David"/>
          <w:sz w:val="24"/>
        </w:rPr>
        <w:t>.</w:t>
      </w:r>
    </w:p>
    <w:p w:rsidR="00B132F4" w:rsidRPr="002B5E33" w:rsidP="00ED5C0D">
      <w:pPr>
        <w:pStyle w:val="a"/>
        <w:spacing w:line="269" w:lineRule="auto"/>
        <w:rPr>
          <w:rFonts w:ascii="David" w:hAnsi="David"/>
          <w:rtl/>
        </w:rPr>
      </w:pPr>
    </w:p>
    <w:p w:rsidR="00B132F4" w:rsidRPr="002B5E33" w:rsidP="00ED5C0D">
      <w:pPr>
        <w:spacing w:line="269" w:lineRule="auto"/>
        <w:rPr>
          <w:rFonts w:ascii="David" w:hAnsi="David"/>
          <w:sz w:val="24"/>
          <w:rtl/>
        </w:rPr>
      </w:pPr>
      <w:r w:rsidRPr="002B5E33">
        <w:rPr>
          <w:rFonts w:ascii="David" w:hAnsi="David"/>
          <w:sz w:val="24"/>
          <w:rtl/>
        </w:rPr>
        <w:t xml:space="preserve">משרד מבקר המדינה פנה לרשות בבקשה לבחון את המידע </w:t>
      </w:r>
      <w:r w:rsidRPr="002B5E33">
        <w:rPr>
          <w:rFonts w:ascii="David" w:hAnsi="David" w:hint="cs"/>
          <w:sz w:val="24"/>
          <w:rtl/>
        </w:rPr>
        <w:t>ה</w:t>
      </w:r>
      <w:r w:rsidRPr="002B5E33">
        <w:rPr>
          <w:rFonts w:ascii="David" w:hAnsi="David"/>
          <w:sz w:val="24"/>
          <w:rtl/>
        </w:rPr>
        <w:t xml:space="preserve">עומד מאחורי הנתונים שהוצגו </w:t>
      </w:r>
      <w:r w:rsidRPr="002B5E33">
        <w:rPr>
          <w:rFonts w:ascii="David" w:hAnsi="David" w:hint="cs"/>
          <w:sz w:val="24"/>
          <w:rtl/>
        </w:rPr>
        <w:t>לוועד</w:t>
      </w:r>
      <w:r w:rsidRPr="002B5E33">
        <w:rPr>
          <w:rFonts w:ascii="David" w:hAnsi="David" w:hint="eastAsia"/>
          <w:sz w:val="24"/>
          <w:rtl/>
        </w:rPr>
        <w:t>ת</w:t>
      </w:r>
      <w:r w:rsidRPr="002B5E33">
        <w:rPr>
          <w:rFonts w:ascii="David" w:hAnsi="David"/>
          <w:sz w:val="24"/>
          <w:rtl/>
        </w:rPr>
        <w:t xml:space="preserve"> הכספים כאמור. אולם מתברר, כי אין בידי הרשות מידע מהימן </w:t>
      </w:r>
      <w:r w:rsidRPr="002B5E33">
        <w:rPr>
          <w:rFonts w:ascii="David" w:hAnsi="David" w:hint="cs"/>
          <w:sz w:val="24"/>
          <w:rtl/>
        </w:rPr>
        <w:t xml:space="preserve">ומלא </w:t>
      </w:r>
      <w:r w:rsidRPr="002B5E33">
        <w:rPr>
          <w:rFonts w:ascii="David" w:hAnsi="David"/>
          <w:sz w:val="24"/>
          <w:rtl/>
        </w:rPr>
        <w:t xml:space="preserve">בדבר היקף תופעת כפל הביטוח. עוד נמצא כי </w:t>
      </w:r>
      <w:r w:rsidRPr="002B5E33">
        <w:rPr>
          <w:rFonts w:ascii="David" w:hAnsi="David" w:hint="cs"/>
          <w:sz w:val="24"/>
          <w:rtl/>
        </w:rPr>
        <w:t>על אף דרישת מידע ששלחה הרשות במאי 2018 לחברות הביטוח בנושא, לא התקבל מידע זה ברשות במלואו.</w:t>
      </w:r>
      <w:r w:rsidRPr="002B5E33">
        <w:rPr>
          <w:rFonts w:ascii="David" w:hAnsi="David"/>
          <w:sz w:val="24"/>
          <w:rtl/>
        </w:rPr>
        <w:t xml:space="preserve"> </w:t>
      </w:r>
    </w:p>
    <w:p w:rsidR="00B132F4" w:rsidRPr="002B5E33" w:rsidP="00ED5C0D">
      <w:pPr>
        <w:pStyle w:val="a"/>
        <w:spacing w:line="269" w:lineRule="auto"/>
        <w:rPr>
          <w:rFonts w:ascii="David" w:hAnsi="David"/>
          <w:sz w:val="24"/>
          <w:rtl/>
        </w:rPr>
      </w:pPr>
    </w:p>
    <w:p w:rsidR="00B132F4" w:rsidRPr="002B5E33" w:rsidP="00ED5C0D">
      <w:pPr>
        <w:spacing w:line="269" w:lineRule="auto"/>
        <w:rPr>
          <w:rFonts w:ascii="David" w:hAnsi="David"/>
          <w:sz w:val="24"/>
        </w:rPr>
      </w:pPr>
      <w:r w:rsidRPr="002B5E33">
        <w:rPr>
          <w:rFonts w:ascii="David" w:hAnsi="David" w:hint="cs"/>
          <w:sz w:val="24"/>
          <w:rtl/>
        </w:rPr>
        <w:t>הרשות השיבה בתשובתה כי "</w:t>
      </w:r>
      <w:r w:rsidRPr="002B5E33">
        <w:rPr>
          <w:rFonts w:ascii="David" w:hAnsi="David" w:hint="eastAsia"/>
          <w:sz w:val="24"/>
          <w:rtl/>
        </w:rPr>
        <w:t>בנוגע</w:t>
      </w:r>
      <w:r w:rsidRPr="002B5E33">
        <w:rPr>
          <w:rFonts w:ascii="David" w:hAnsi="David"/>
          <w:sz w:val="24"/>
          <w:rtl/>
        </w:rPr>
        <w:t xml:space="preserve"> לשאלת אמינות הנתונים, </w:t>
      </w:r>
      <w:r w:rsidRPr="002B5E33">
        <w:rPr>
          <w:rFonts w:ascii="David" w:hAnsi="David" w:hint="eastAsia"/>
          <w:sz w:val="24"/>
          <w:rtl/>
        </w:rPr>
        <w:t>נציין</w:t>
      </w:r>
      <w:r w:rsidRPr="002B5E33">
        <w:rPr>
          <w:rFonts w:ascii="David" w:hAnsi="David"/>
          <w:sz w:val="24"/>
          <w:rtl/>
        </w:rPr>
        <w:t xml:space="preserve"> </w:t>
      </w:r>
      <w:r w:rsidRPr="002B5E33">
        <w:rPr>
          <w:rFonts w:ascii="David" w:hAnsi="David" w:hint="eastAsia"/>
          <w:sz w:val="24"/>
          <w:rtl/>
        </w:rPr>
        <w:t>ש</w:t>
      </w:r>
      <w:r w:rsidRPr="002B5E33">
        <w:rPr>
          <w:rFonts w:ascii="David" w:hAnsi="David"/>
          <w:sz w:val="24"/>
          <w:rtl/>
        </w:rPr>
        <w:t xml:space="preserve">צורת הרישום של חלק מהכיסויים הובילה לזיהוי כפל במקרים בהם היה מדובר בפוליסות שונות - לדוגמה הכיסוי </w:t>
      </w:r>
      <w:r w:rsidRPr="002B5E33">
        <w:rPr>
          <w:rFonts w:ascii="David" w:hAnsi="David" w:hint="cs"/>
          <w:sz w:val="24"/>
          <w:rtl/>
        </w:rPr>
        <w:t xml:space="preserve">בגין </w:t>
      </w:r>
      <w:r w:rsidRPr="002B5E33">
        <w:rPr>
          <w:rFonts w:ascii="David" w:hAnsi="David"/>
          <w:sz w:val="24"/>
          <w:rtl/>
        </w:rPr>
        <w:t xml:space="preserve">תרופות </w:t>
      </w:r>
      <w:r w:rsidRPr="002B5E33">
        <w:rPr>
          <w:rFonts w:ascii="David" w:hAnsi="David" w:hint="cs"/>
          <w:sz w:val="24"/>
          <w:rtl/>
        </w:rPr>
        <w:t xml:space="preserve">נספר </w:t>
      </w:r>
      <w:r w:rsidRPr="002B5E33">
        <w:rPr>
          <w:rFonts w:ascii="David" w:hAnsi="David"/>
          <w:sz w:val="24"/>
          <w:rtl/>
        </w:rPr>
        <w:t>לעיתים</w:t>
      </w:r>
      <w:r w:rsidR="00944242">
        <w:rPr>
          <w:rFonts w:ascii="David" w:hAnsi="David"/>
          <w:sz w:val="24"/>
          <w:rtl/>
        </w:rPr>
        <w:t xml:space="preserve"> </w:t>
      </w:r>
      <w:r w:rsidRPr="002B5E33">
        <w:rPr>
          <w:rFonts w:ascii="David" w:hAnsi="David"/>
          <w:sz w:val="24"/>
          <w:rtl/>
        </w:rPr>
        <w:t>ככפל אף במקרים בהם דובר בפוליסת הרחבה לכיסוי הבסיסי. אנו עובדים על תיקון ההגדרות על מנת שנוכל לערוך בדיקות מהימנות. הנושא מטופל והנתונים העדכניים יציגו נתונים מהימנים יותר</w:t>
      </w:r>
      <w:r w:rsidRPr="002B5E33">
        <w:rPr>
          <w:rFonts w:ascii="David" w:hAnsi="David" w:hint="cs"/>
          <w:sz w:val="24"/>
          <w:rtl/>
        </w:rPr>
        <w:t>".</w:t>
      </w:r>
    </w:p>
    <w:p w:rsidR="00B132F4" w:rsidRPr="002B5E33" w:rsidP="00ED5C0D">
      <w:pPr>
        <w:pStyle w:val="a"/>
        <w:spacing w:line="269" w:lineRule="auto"/>
        <w:rPr>
          <w:rtl/>
        </w:rPr>
      </w:pPr>
    </w:p>
    <w:p w:rsidR="00B132F4" w:rsidP="00ED5C0D">
      <w:pPr>
        <w:spacing w:line="269" w:lineRule="auto"/>
        <w:rPr>
          <w:rFonts w:ascii="David" w:hAnsi="David"/>
          <w:b/>
          <w:bCs/>
          <w:sz w:val="24"/>
          <w:rtl/>
        </w:rPr>
      </w:pPr>
      <w:r w:rsidRPr="002B5E33">
        <w:rPr>
          <w:rFonts w:ascii="David" w:hAnsi="David"/>
          <w:b/>
          <w:bCs/>
          <w:sz w:val="24"/>
          <w:rtl/>
        </w:rPr>
        <w:t xml:space="preserve">משרד מבקר המדינה </w:t>
      </w:r>
      <w:r w:rsidRPr="002B5E33">
        <w:rPr>
          <w:rFonts w:ascii="David" w:hAnsi="David" w:hint="cs"/>
          <w:b/>
          <w:bCs/>
          <w:sz w:val="24"/>
          <w:rtl/>
        </w:rPr>
        <w:t>ממליץ ל</w:t>
      </w:r>
      <w:r w:rsidRPr="002B5E33">
        <w:rPr>
          <w:rFonts w:ascii="David" w:hAnsi="David"/>
          <w:b/>
          <w:bCs/>
          <w:sz w:val="24"/>
          <w:rtl/>
        </w:rPr>
        <w:t xml:space="preserve">רשות </w:t>
      </w:r>
      <w:r w:rsidRPr="002B5E33">
        <w:rPr>
          <w:rFonts w:ascii="David" w:hAnsi="David" w:hint="eastAsia"/>
          <w:b/>
          <w:bCs/>
          <w:sz w:val="24"/>
          <w:rtl/>
        </w:rPr>
        <w:t>להשלים</w:t>
      </w:r>
      <w:r w:rsidRPr="002B5E33">
        <w:rPr>
          <w:rFonts w:ascii="David" w:hAnsi="David"/>
          <w:b/>
          <w:bCs/>
          <w:sz w:val="24"/>
          <w:rtl/>
        </w:rPr>
        <w:t xml:space="preserve"> </w:t>
      </w:r>
      <w:r w:rsidRPr="002B5E33">
        <w:rPr>
          <w:rFonts w:ascii="David" w:hAnsi="David" w:hint="cs"/>
          <w:b/>
          <w:bCs/>
          <w:sz w:val="24"/>
          <w:rtl/>
        </w:rPr>
        <w:t>את דרישת הנתונים שהופצה במאי 2018 ו</w:t>
      </w:r>
      <w:r w:rsidRPr="002B5E33">
        <w:rPr>
          <w:rFonts w:ascii="David" w:hAnsi="David"/>
          <w:b/>
          <w:bCs/>
          <w:sz w:val="24"/>
          <w:rtl/>
        </w:rPr>
        <w:t xml:space="preserve">לאסוף באופן שוטף את המידע </w:t>
      </w:r>
      <w:r w:rsidRPr="002B5E33">
        <w:rPr>
          <w:rFonts w:ascii="David" w:hAnsi="David" w:hint="cs"/>
          <w:b/>
          <w:bCs/>
          <w:sz w:val="24"/>
          <w:rtl/>
        </w:rPr>
        <w:t xml:space="preserve">הנדרש מחברות הביטוח. מידע זה יאפשר לדייק את הנתונים ולהבחין בין הפוליסות למיניהן, לרבות פוליסות הרחבה לכיסויים בסיסיים, באופן שיביא למדידה מדויקת של </w:t>
      </w:r>
      <w:r w:rsidRPr="002B5E33">
        <w:rPr>
          <w:rFonts w:ascii="David" w:hAnsi="David" w:hint="eastAsia"/>
          <w:b/>
          <w:bCs/>
          <w:sz w:val="24"/>
          <w:rtl/>
        </w:rPr>
        <w:t>תופעת</w:t>
      </w:r>
      <w:r w:rsidRPr="002B5E33">
        <w:rPr>
          <w:rFonts w:ascii="David" w:hAnsi="David"/>
          <w:b/>
          <w:bCs/>
          <w:sz w:val="24"/>
          <w:rtl/>
        </w:rPr>
        <w:t xml:space="preserve"> </w:t>
      </w:r>
      <w:r w:rsidRPr="002B5E33">
        <w:rPr>
          <w:rFonts w:ascii="David" w:hAnsi="David" w:hint="eastAsia"/>
          <w:b/>
          <w:bCs/>
          <w:sz w:val="24"/>
          <w:rtl/>
        </w:rPr>
        <w:t>כפל</w:t>
      </w:r>
      <w:r w:rsidRPr="002B5E33">
        <w:rPr>
          <w:rFonts w:ascii="David" w:hAnsi="David"/>
          <w:b/>
          <w:bCs/>
          <w:sz w:val="24"/>
          <w:rtl/>
        </w:rPr>
        <w:t xml:space="preserve"> </w:t>
      </w:r>
      <w:r w:rsidRPr="002B5E33">
        <w:rPr>
          <w:rFonts w:ascii="David" w:hAnsi="David" w:hint="eastAsia"/>
          <w:b/>
          <w:bCs/>
          <w:sz w:val="24"/>
          <w:rtl/>
        </w:rPr>
        <w:t>הביטוחים</w:t>
      </w:r>
      <w:r w:rsidRPr="002B5E33">
        <w:rPr>
          <w:rFonts w:ascii="David" w:hAnsi="David" w:hint="cs"/>
          <w:b/>
          <w:bCs/>
          <w:sz w:val="24"/>
          <w:rtl/>
        </w:rPr>
        <w:t xml:space="preserve">. </w:t>
      </w:r>
    </w:p>
    <w:p w:rsidR="00B132F4" w:rsidRPr="002B5E33" w:rsidP="009B24CF">
      <w:pPr>
        <w:pStyle w:val="a"/>
        <w:spacing w:line="269" w:lineRule="auto"/>
        <w:ind w:left="0"/>
        <w:rPr>
          <w:rFonts w:ascii="David" w:hAnsi="David"/>
          <w:rtl/>
        </w:rPr>
      </w:pPr>
    </w:p>
    <w:p w:rsidR="00B132F4" w:rsidRPr="002B5E33" w:rsidP="00ED5C0D">
      <w:pPr>
        <w:spacing w:line="269" w:lineRule="auto"/>
        <w:rPr>
          <w:rStyle w:val="Strong"/>
          <w:rFonts w:ascii="David" w:hAnsi="David"/>
          <w:sz w:val="24"/>
          <w:rtl/>
        </w:rPr>
      </w:pPr>
      <w:r w:rsidRPr="002B5E33">
        <w:rPr>
          <w:rStyle w:val="Strong"/>
          <w:rFonts w:hint="eastAsia"/>
          <w:b w:val="0"/>
          <w:bCs w:val="0"/>
          <w:color w:val="000000" w:themeColor="text1"/>
          <w:rtl/>
        </w:rPr>
        <w:t>לתופעת</w:t>
      </w:r>
      <w:r w:rsidRPr="002B5E33">
        <w:rPr>
          <w:rStyle w:val="Strong"/>
          <w:b w:val="0"/>
          <w:bCs w:val="0"/>
          <w:color w:val="000000" w:themeColor="text1"/>
          <w:rtl/>
        </w:rPr>
        <w:t xml:space="preserve"> כפל הביטוח</w:t>
      </w:r>
      <w:r w:rsidRPr="002B5E33" w:rsidR="003D20B8">
        <w:rPr>
          <w:rStyle w:val="Strong"/>
          <w:rFonts w:hint="cs"/>
          <w:b w:val="0"/>
          <w:bCs w:val="0"/>
          <w:color w:val="000000" w:themeColor="text1"/>
          <w:rtl/>
        </w:rPr>
        <w:t xml:space="preserve"> יש</w:t>
      </w:r>
      <w:r w:rsidRPr="002B5E33">
        <w:rPr>
          <w:rStyle w:val="Strong"/>
          <w:b w:val="0"/>
          <w:bCs w:val="0"/>
          <w:color w:val="000000" w:themeColor="text1"/>
          <w:rtl/>
        </w:rPr>
        <w:t xml:space="preserve"> השפעה </w:t>
      </w:r>
      <w:r w:rsidRPr="002B5E33">
        <w:rPr>
          <w:rStyle w:val="Strong"/>
          <w:rFonts w:hint="eastAsia"/>
          <w:b w:val="0"/>
          <w:bCs w:val="0"/>
          <w:color w:val="000000" w:themeColor="text1"/>
          <w:rtl/>
        </w:rPr>
        <w:t>על</w:t>
      </w:r>
      <w:r w:rsidRPr="002B5E33">
        <w:rPr>
          <w:rStyle w:val="Strong"/>
          <w:b w:val="0"/>
          <w:bCs w:val="0"/>
          <w:color w:val="000000" w:themeColor="text1"/>
          <w:rtl/>
        </w:rPr>
        <w:t xml:space="preserve"> </w:t>
      </w:r>
      <w:r w:rsidRPr="002B5E33">
        <w:rPr>
          <w:rStyle w:val="Strong"/>
          <w:rFonts w:hint="eastAsia"/>
          <w:b w:val="0"/>
          <w:bCs w:val="0"/>
          <w:color w:val="000000" w:themeColor="text1"/>
          <w:rtl/>
        </w:rPr>
        <w:t>מידת</w:t>
      </w:r>
      <w:r w:rsidRPr="002B5E33">
        <w:rPr>
          <w:rStyle w:val="Strong"/>
          <w:b w:val="0"/>
          <w:bCs w:val="0"/>
          <w:color w:val="000000" w:themeColor="text1"/>
          <w:rtl/>
        </w:rPr>
        <w:t xml:space="preserve"> </w:t>
      </w:r>
      <w:r w:rsidRPr="002B5E33">
        <w:rPr>
          <w:rStyle w:val="Strong"/>
          <w:rFonts w:hint="eastAsia"/>
          <w:b w:val="0"/>
          <w:bCs w:val="0"/>
          <w:color w:val="000000" w:themeColor="text1"/>
          <w:rtl/>
        </w:rPr>
        <w:t>מיצוי</w:t>
      </w:r>
      <w:r w:rsidRPr="002B5E33">
        <w:rPr>
          <w:rStyle w:val="Strong"/>
          <w:b w:val="0"/>
          <w:bCs w:val="0"/>
          <w:color w:val="000000" w:themeColor="text1"/>
          <w:rtl/>
        </w:rPr>
        <w:t xml:space="preserve"> </w:t>
      </w:r>
      <w:r w:rsidRPr="002B5E33">
        <w:rPr>
          <w:rStyle w:val="Strong"/>
          <w:rFonts w:hint="eastAsia"/>
          <w:b w:val="0"/>
          <w:bCs w:val="0"/>
          <w:color w:val="000000" w:themeColor="text1"/>
          <w:rtl/>
        </w:rPr>
        <w:t>הזכויות</w:t>
      </w:r>
      <w:r w:rsidRPr="002B5E33">
        <w:rPr>
          <w:rStyle w:val="Strong"/>
          <w:b w:val="0"/>
          <w:bCs w:val="0"/>
          <w:color w:val="000000" w:themeColor="text1"/>
          <w:rtl/>
        </w:rPr>
        <w:t xml:space="preserve"> </w:t>
      </w:r>
      <w:r w:rsidRPr="002B5E33">
        <w:rPr>
          <w:rStyle w:val="Strong"/>
          <w:rFonts w:hint="eastAsia"/>
          <w:b w:val="0"/>
          <w:bCs w:val="0"/>
          <w:color w:val="000000" w:themeColor="text1"/>
          <w:rtl/>
        </w:rPr>
        <w:t>של</w:t>
      </w:r>
      <w:r w:rsidRPr="002B5E33">
        <w:rPr>
          <w:rStyle w:val="Strong"/>
          <w:b w:val="0"/>
          <w:bCs w:val="0"/>
          <w:color w:val="000000" w:themeColor="text1"/>
          <w:rtl/>
        </w:rPr>
        <w:t xml:space="preserve"> המבוטחים. לדוגמא, </w:t>
      </w:r>
      <w:r w:rsidRPr="002B5E33">
        <w:rPr>
          <w:rStyle w:val="Strong"/>
          <w:rFonts w:hint="cs"/>
          <w:b w:val="0"/>
          <w:bCs w:val="0"/>
          <w:color w:val="000000" w:themeColor="text1"/>
          <w:rtl/>
        </w:rPr>
        <w:t>במצב של כפל ביטוחי של פוליסות מסוג שיפוי</w:t>
      </w:r>
      <w:r w:rsidRPr="002B5E33">
        <w:rPr>
          <w:rStyle w:val="Strong"/>
          <w:rFonts w:hint="cs"/>
          <w:color w:val="000000" w:themeColor="text1"/>
          <w:rtl/>
        </w:rPr>
        <w:t xml:space="preserve"> </w:t>
      </w:r>
      <w:r w:rsidRPr="002B5E33">
        <w:rPr>
          <w:rStyle w:val="Strong"/>
          <w:b w:val="0"/>
          <w:bCs w:val="0"/>
          <w:color w:val="000000" w:themeColor="text1"/>
          <w:rtl/>
        </w:rPr>
        <w:t xml:space="preserve">יכול </w:t>
      </w:r>
      <w:r w:rsidRPr="002B5E33" w:rsidR="003D20B8">
        <w:rPr>
          <w:rStyle w:val="Strong"/>
          <w:rFonts w:hint="cs"/>
          <w:b w:val="0"/>
          <w:bCs w:val="0"/>
          <w:color w:val="000000" w:themeColor="text1"/>
          <w:rtl/>
        </w:rPr>
        <w:t xml:space="preserve">המבוטח </w:t>
      </w:r>
      <w:r w:rsidRPr="002B5E33">
        <w:rPr>
          <w:rStyle w:val="Strong"/>
          <w:b w:val="0"/>
          <w:bCs w:val="0"/>
          <w:color w:val="000000" w:themeColor="text1"/>
          <w:rtl/>
        </w:rPr>
        <w:t>לתבוע פוליסה אחת בלבד. נוסף</w:t>
      </w:r>
      <w:r w:rsidRPr="002B5E33" w:rsidR="003D20B8">
        <w:rPr>
          <w:rStyle w:val="Strong"/>
          <w:rFonts w:hint="cs"/>
          <w:b w:val="0"/>
          <w:bCs w:val="0"/>
          <w:color w:val="000000" w:themeColor="text1"/>
          <w:rtl/>
        </w:rPr>
        <w:t xml:space="preserve"> על כך</w:t>
      </w:r>
      <w:r w:rsidRPr="002B5E33">
        <w:rPr>
          <w:rStyle w:val="Strong"/>
          <w:b w:val="0"/>
          <w:bCs w:val="0"/>
          <w:color w:val="000000" w:themeColor="text1"/>
          <w:rtl/>
        </w:rPr>
        <w:t xml:space="preserve">, ריבוי הכיסויים </w:t>
      </w:r>
      <w:r w:rsidRPr="002B5E33">
        <w:rPr>
          <w:rStyle w:val="Strong"/>
          <w:rFonts w:hint="eastAsia"/>
          <w:b w:val="0"/>
          <w:bCs w:val="0"/>
          <w:color w:val="000000" w:themeColor="text1"/>
          <w:rtl/>
        </w:rPr>
        <w:t>מגדיל</w:t>
      </w:r>
      <w:r w:rsidRPr="002B5E33">
        <w:rPr>
          <w:rStyle w:val="Strong"/>
          <w:b w:val="0"/>
          <w:bCs w:val="0"/>
          <w:color w:val="000000" w:themeColor="text1"/>
          <w:rtl/>
        </w:rPr>
        <w:t xml:space="preserve"> את הסיכוי ל</w:t>
      </w:r>
      <w:r w:rsidRPr="002B5E33">
        <w:rPr>
          <w:rStyle w:val="Strong"/>
          <w:rFonts w:hint="eastAsia"/>
          <w:b w:val="0"/>
          <w:bCs w:val="0"/>
          <w:color w:val="000000" w:themeColor="text1"/>
          <w:rtl/>
        </w:rPr>
        <w:t>אי</w:t>
      </w:r>
      <w:r w:rsidRPr="002B5E33">
        <w:rPr>
          <w:rStyle w:val="Strong"/>
          <w:b w:val="0"/>
          <w:bCs w:val="0"/>
          <w:color w:val="000000" w:themeColor="text1"/>
          <w:rtl/>
        </w:rPr>
        <w:t>-</w:t>
      </w:r>
      <w:r w:rsidRPr="002B5E33">
        <w:rPr>
          <w:rStyle w:val="Strong"/>
          <w:rFonts w:hint="eastAsia"/>
          <w:b w:val="0"/>
          <w:bCs w:val="0"/>
          <w:color w:val="000000" w:themeColor="text1"/>
          <w:rtl/>
        </w:rPr>
        <w:t>ידיעה</w:t>
      </w:r>
      <w:r w:rsidRPr="002B5E33">
        <w:rPr>
          <w:rStyle w:val="Strong"/>
          <w:b w:val="0"/>
          <w:bCs w:val="0"/>
          <w:color w:val="000000" w:themeColor="text1"/>
          <w:rtl/>
        </w:rPr>
        <w:t xml:space="preserve"> </w:t>
      </w:r>
      <w:r w:rsidRPr="002B5E33">
        <w:rPr>
          <w:rStyle w:val="Strong"/>
          <w:rFonts w:hint="eastAsia"/>
          <w:b w:val="0"/>
          <w:bCs w:val="0"/>
          <w:color w:val="000000" w:themeColor="text1"/>
          <w:rtl/>
        </w:rPr>
        <w:t>על</w:t>
      </w:r>
      <w:r w:rsidRPr="002B5E33">
        <w:rPr>
          <w:rStyle w:val="Strong"/>
          <w:b w:val="0"/>
          <w:bCs w:val="0"/>
          <w:color w:val="000000" w:themeColor="text1"/>
          <w:rtl/>
        </w:rPr>
        <w:t xml:space="preserve"> </w:t>
      </w:r>
      <w:r w:rsidRPr="002B5E33">
        <w:rPr>
          <w:rStyle w:val="Strong"/>
          <w:rFonts w:hint="eastAsia"/>
          <w:b w:val="0"/>
          <w:bCs w:val="0"/>
          <w:color w:val="000000" w:themeColor="text1"/>
          <w:rtl/>
        </w:rPr>
        <w:t>קיומם</w:t>
      </w:r>
      <w:r w:rsidRPr="002B5E33">
        <w:rPr>
          <w:rStyle w:val="Strong"/>
          <w:b w:val="0"/>
          <w:bCs w:val="0"/>
          <w:color w:val="000000" w:themeColor="text1"/>
          <w:rtl/>
        </w:rPr>
        <w:t xml:space="preserve"> </w:t>
      </w:r>
      <w:r w:rsidRPr="002B5E33">
        <w:rPr>
          <w:rStyle w:val="Strong"/>
          <w:rFonts w:hint="eastAsia"/>
          <w:b w:val="0"/>
          <w:bCs w:val="0"/>
          <w:color w:val="000000" w:themeColor="text1"/>
          <w:rtl/>
        </w:rPr>
        <w:t>והיקפם</w:t>
      </w:r>
      <w:r w:rsidRPr="002B5E33">
        <w:rPr>
          <w:rStyle w:val="Strong"/>
          <w:b w:val="0"/>
          <w:bCs w:val="0"/>
          <w:color w:val="000000" w:themeColor="text1"/>
          <w:rtl/>
        </w:rPr>
        <w:t xml:space="preserve"> </w:t>
      </w:r>
      <w:r w:rsidRPr="002B5E33">
        <w:rPr>
          <w:rStyle w:val="Strong"/>
          <w:rFonts w:hint="eastAsia"/>
          <w:b w:val="0"/>
          <w:bCs w:val="0"/>
          <w:color w:val="000000" w:themeColor="text1"/>
          <w:rtl/>
        </w:rPr>
        <w:t>של</w:t>
      </w:r>
      <w:r w:rsidRPr="002B5E33">
        <w:rPr>
          <w:rStyle w:val="Strong"/>
          <w:b w:val="0"/>
          <w:bCs w:val="0"/>
          <w:color w:val="000000" w:themeColor="text1"/>
          <w:rtl/>
        </w:rPr>
        <w:t xml:space="preserve"> </w:t>
      </w:r>
      <w:r w:rsidRPr="002B5E33">
        <w:rPr>
          <w:rStyle w:val="Strong"/>
          <w:rFonts w:hint="eastAsia"/>
          <w:b w:val="0"/>
          <w:bCs w:val="0"/>
          <w:color w:val="000000" w:themeColor="text1"/>
          <w:rtl/>
        </w:rPr>
        <w:t>הכיסויים</w:t>
      </w:r>
      <w:r w:rsidRPr="002B5E33">
        <w:rPr>
          <w:rStyle w:val="Strong"/>
          <w:b w:val="0"/>
          <w:bCs w:val="0"/>
          <w:color w:val="000000" w:themeColor="text1"/>
          <w:rtl/>
        </w:rPr>
        <w:t xml:space="preserve"> </w:t>
      </w:r>
      <w:r w:rsidRPr="002B5E33">
        <w:rPr>
          <w:rStyle w:val="Strong"/>
          <w:rFonts w:hint="eastAsia"/>
          <w:b w:val="0"/>
          <w:bCs w:val="0"/>
          <w:color w:val="000000" w:themeColor="text1"/>
          <w:rtl/>
        </w:rPr>
        <w:t>בפוליסות</w:t>
      </w:r>
      <w:r w:rsidRPr="002B5E33">
        <w:rPr>
          <w:rStyle w:val="Strong"/>
          <w:b w:val="0"/>
          <w:bCs w:val="0"/>
          <w:color w:val="000000" w:themeColor="text1"/>
          <w:rtl/>
        </w:rPr>
        <w:t xml:space="preserve"> </w:t>
      </w:r>
      <w:r w:rsidRPr="002B5E33">
        <w:rPr>
          <w:rStyle w:val="Strong"/>
          <w:rFonts w:hint="eastAsia"/>
          <w:b w:val="0"/>
          <w:bCs w:val="0"/>
          <w:color w:val="000000" w:themeColor="text1"/>
          <w:rtl/>
        </w:rPr>
        <w:t>הביטוח</w:t>
      </w:r>
      <w:r w:rsidRPr="002B5E33">
        <w:rPr>
          <w:rStyle w:val="Strong"/>
          <w:b w:val="0"/>
          <w:bCs w:val="0"/>
          <w:color w:val="000000" w:themeColor="text1"/>
          <w:rtl/>
        </w:rPr>
        <w:t xml:space="preserve"> הנוספות ו</w:t>
      </w:r>
      <w:r w:rsidRPr="002B5E33">
        <w:rPr>
          <w:rStyle w:val="Strong"/>
          <w:rFonts w:hint="eastAsia"/>
          <w:b w:val="0"/>
          <w:bCs w:val="0"/>
          <w:color w:val="000000" w:themeColor="text1"/>
          <w:rtl/>
        </w:rPr>
        <w:t>כן</w:t>
      </w:r>
      <w:r w:rsidRPr="002B5E33">
        <w:rPr>
          <w:rStyle w:val="Strong"/>
          <w:b w:val="0"/>
          <w:bCs w:val="0"/>
          <w:color w:val="000000" w:themeColor="text1"/>
          <w:rtl/>
        </w:rPr>
        <w:t xml:space="preserve"> </w:t>
      </w:r>
      <w:r w:rsidRPr="002B5E33">
        <w:rPr>
          <w:rStyle w:val="Strong"/>
          <w:rFonts w:hint="eastAsia"/>
          <w:b w:val="0"/>
          <w:bCs w:val="0"/>
          <w:color w:val="000000" w:themeColor="text1"/>
          <w:rtl/>
        </w:rPr>
        <w:t>את</w:t>
      </w:r>
      <w:r w:rsidRPr="002B5E33">
        <w:rPr>
          <w:rStyle w:val="Strong"/>
          <w:b w:val="0"/>
          <w:bCs w:val="0"/>
          <w:color w:val="000000" w:themeColor="text1"/>
          <w:rtl/>
        </w:rPr>
        <w:t xml:space="preserve"> </w:t>
      </w:r>
      <w:r w:rsidRPr="002B5E33">
        <w:rPr>
          <w:rStyle w:val="Strong"/>
          <w:rFonts w:hint="eastAsia"/>
          <w:b w:val="0"/>
          <w:bCs w:val="0"/>
          <w:color w:val="000000" w:themeColor="text1"/>
          <w:rtl/>
        </w:rPr>
        <w:t>הטרחה</w:t>
      </w:r>
      <w:r w:rsidRPr="002B5E33">
        <w:rPr>
          <w:rStyle w:val="Strong"/>
          <w:b w:val="0"/>
          <w:bCs w:val="0"/>
          <w:color w:val="000000" w:themeColor="text1"/>
          <w:rtl/>
        </w:rPr>
        <w:t xml:space="preserve"> </w:t>
      </w:r>
      <w:r w:rsidRPr="002B5E33">
        <w:rPr>
          <w:rStyle w:val="Strong"/>
          <w:rFonts w:hint="eastAsia"/>
          <w:b w:val="0"/>
          <w:bCs w:val="0"/>
          <w:color w:val="000000" w:themeColor="text1"/>
          <w:rtl/>
        </w:rPr>
        <w:t>הכרוכה</w:t>
      </w:r>
      <w:r w:rsidRPr="002B5E33">
        <w:rPr>
          <w:rStyle w:val="Strong"/>
          <w:b w:val="0"/>
          <w:bCs w:val="0"/>
          <w:color w:val="000000" w:themeColor="text1"/>
          <w:rtl/>
        </w:rPr>
        <w:t xml:space="preserve"> </w:t>
      </w:r>
      <w:r w:rsidRPr="002B5E33">
        <w:rPr>
          <w:rStyle w:val="Strong"/>
          <w:rFonts w:hint="eastAsia"/>
          <w:b w:val="0"/>
          <w:bCs w:val="0"/>
          <w:color w:val="000000" w:themeColor="text1"/>
          <w:rtl/>
        </w:rPr>
        <w:t>בהגשת</w:t>
      </w:r>
      <w:r w:rsidRPr="002B5E33">
        <w:rPr>
          <w:rStyle w:val="Strong"/>
          <w:b w:val="0"/>
          <w:bCs w:val="0"/>
          <w:color w:val="000000" w:themeColor="text1"/>
          <w:rtl/>
        </w:rPr>
        <w:t xml:space="preserve"> </w:t>
      </w:r>
      <w:r w:rsidRPr="002B5E33">
        <w:rPr>
          <w:rStyle w:val="Strong"/>
          <w:rFonts w:hint="eastAsia"/>
          <w:b w:val="0"/>
          <w:bCs w:val="0"/>
          <w:color w:val="000000" w:themeColor="text1"/>
          <w:rtl/>
        </w:rPr>
        <w:t>תביעה</w:t>
      </w:r>
      <w:r w:rsidRPr="002B5E33">
        <w:rPr>
          <w:rStyle w:val="Strong"/>
          <w:b w:val="0"/>
          <w:bCs w:val="0"/>
          <w:color w:val="000000" w:themeColor="text1"/>
          <w:rtl/>
        </w:rPr>
        <w:t xml:space="preserve"> נגד כלל הביטוחים. </w:t>
      </w:r>
    </w:p>
    <w:p w:rsidR="00B132F4" w:rsidRPr="002B5E33" w:rsidP="00ED5C0D">
      <w:pPr>
        <w:pStyle w:val="a"/>
        <w:spacing w:line="269" w:lineRule="auto"/>
        <w:rPr>
          <w:rtl/>
        </w:rPr>
      </w:pPr>
    </w:p>
    <w:p w:rsidR="00B132F4" w:rsidRPr="002B5E33" w:rsidP="00ED5C0D">
      <w:pPr>
        <w:spacing w:line="269" w:lineRule="auto"/>
        <w:rPr>
          <w:rFonts w:ascii="David" w:hAnsi="David"/>
          <w:u w:val="single"/>
          <w:rtl/>
        </w:rPr>
      </w:pPr>
      <w:r w:rsidRPr="002B5E33">
        <w:rPr>
          <w:rFonts w:ascii="David" w:hAnsi="David" w:hint="cs"/>
          <w:rtl/>
        </w:rPr>
        <w:t xml:space="preserve">בתשובתה ציינה הרשות כי היא </w:t>
      </w:r>
      <w:r w:rsidRPr="002B5E33">
        <w:rPr>
          <w:rFonts w:ascii="David" w:hAnsi="David" w:hint="eastAsia"/>
          <w:rtl/>
        </w:rPr>
        <w:t>פועלת</w:t>
      </w:r>
      <w:r w:rsidRPr="002B5E33">
        <w:rPr>
          <w:rFonts w:ascii="David" w:hAnsi="David"/>
          <w:rtl/>
        </w:rPr>
        <w:t xml:space="preserve"> </w:t>
      </w:r>
      <w:r w:rsidRPr="002B5E33">
        <w:rPr>
          <w:rFonts w:ascii="David" w:hAnsi="David" w:hint="eastAsia"/>
          <w:rtl/>
        </w:rPr>
        <w:t>רבות</w:t>
      </w:r>
      <w:r w:rsidRPr="002B5E33">
        <w:rPr>
          <w:rFonts w:ascii="David" w:hAnsi="David"/>
          <w:rtl/>
        </w:rPr>
        <w:t xml:space="preserve"> </w:t>
      </w:r>
      <w:r w:rsidRPr="002B5E33">
        <w:rPr>
          <w:rFonts w:ascii="David" w:hAnsi="David" w:hint="eastAsia"/>
          <w:rtl/>
        </w:rPr>
        <w:t>לסייע</w:t>
      </w:r>
      <w:r w:rsidRPr="002B5E33">
        <w:rPr>
          <w:rFonts w:ascii="David" w:hAnsi="David"/>
          <w:rtl/>
        </w:rPr>
        <w:t xml:space="preserve"> </w:t>
      </w:r>
      <w:r w:rsidRPr="002B5E33">
        <w:rPr>
          <w:rFonts w:ascii="David" w:hAnsi="David" w:hint="eastAsia"/>
          <w:rtl/>
        </w:rPr>
        <w:t>למבוטחים</w:t>
      </w:r>
      <w:r w:rsidRPr="002B5E33">
        <w:rPr>
          <w:rFonts w:ascii="David" w:hAnsi="David"/>
          <w:rtl/>
        </w:rPr>
        <w:t xml:space="preserve"> </w:t>
      </w:r>
      <w:r w:rsidRPr="002B5E33">
        <w:rPr>
          <w:rFonts w:ascii="David" w:hAnsi="David" w:hint="eastAsia"/>
          <w:rtl/>
        </w:rPr>
        <w:t>במיצוי</w:t>
      </w:r>
      <w:r w:rsidRPr="002B5E33">
        <w:rPr>
          <w:rFonts w:ascii="David" w:hAnsi="David"/>
          <w:rtl/>
        </w:rPr>
        <w:t xml:space="preserve"> </w:t>
      </w:r>
      <w:r w:rsidRPr="002B5E33">
        <w:rPr>
          <w:rFonts w:ascii="David" w:hAnsi="David" w:hint="eastAsia"/>
          <w:rtl/>
        </w:rPr>
        <w:t>זכויותיהם</w:t>
      </w:r>
      <w:r w:rsidRPr="002B5E33">
        <w:rPr>
          <w:rFonts w:ascii="David" w:hAnsi="David"/>
          <w:rtl/>
        </w:rPr>
        <w:t xml:space="preserve">, </w:t>
      </w:r>
      <w:r w:rsidRPr="002B5E33">
        <w:rPr>
          <w:rFonts w:ascii="David" w:hAnsi="David" w:hint="eastAsia"/>
          <w:rtl/>
        </w:rPr>
        <w:t>בין</w:t>
      </w:r>
      <w:r w:rsidRPr="002B5E33">
        <w:rPr>
          <w:rFonts w:ascii="David" w:hAnsi="David"/>
          <w:rtl/>
        </w:rPr>
        <w:t xml:space="preserve"> </w:t>
      </w:r>
      <w:r w:rsidRPr="002B5E33">
        <w:rPr>
          <w:rFonts w:ascii="David" w:hAnsi="David" w:hint="eastAsia"/>
          <w:rtl/>
        </w:rPr>
        <w:t>היתר</w:t>
      </w:r>
      <w:r w:rsidRPr="002B5E33">
        <w:rPr>
          <w:rFonts w:ascii="David" w:hAnsi="David"/>
          <w:rtl/>
        </w:rPr>
        <w:t xml:space="preserve"> </w:t>
      </w:r>
      <w:r w:rsidRPr="002B5E33">
        <w:rPr>
          <w:rFonts w:ascii="David" w:hAnsi="David" w:hint="cs"/>
          <w:rtl/>
        </w:rPr>
        <w:t>ב</w:t>
      </w:r>
      <w:r w:rsidRPr="002B5E33">
        <w:rPr>
          <w:rFonts w:ascii="David" w:hAnsi="David" w:hint="eastAsia"/>
          <w:rtl/>
        </w:rPr>
        <w:t>פרס</w:t>
      </w:r>
      <w:r w:rsidRPr="002B5E33">
        <w:rPr>
          <w:rFonts w:ascii="David" w:hAnsi="David" w:hint="cs"/>
          <w:rtl/>
        </w:rPr>
        <w:t>ום הוראות שמטרתן שיפור הידע של המבוטח על הפוליסות שבהן הוא מבוטח, יצירת כיסוי ברור הנותן מענה מהותי, וכן הקלות באופן התביעה</w:t>
      </w:r>
      <w:r>
        <w:rPr>
          <w:vertAlign w:val="superscript"/>
          <w:rtl/>
        </w:rPr>
        <w:footnoteReference w:id="38"/>
      </w:r>
      <w:r w:rsidRPr="002B5E33">
        <w:rPr>
          <w:rFonts w:ascii="David" w:hAnsi="David" w:hint="cs"/>
          <w:rtl/>
        </w:rPr>
        <w:t>. כל זאת לצד גיבוש "כלי תומך ההחלטה" והרחבת הנתונים המופיעים ב</w:t>
      </w:r>
      <w:r w:rsidRPr="002B5E33">
        <w:rPr>
          <w:rFonts w:ascii="David" w:hAnsi="David"/>
          <w:rtl/>
        </w:rPr>
        <w:t>"</w:t>
      </w:r>
      <w:r w:rsidRPr="002B5E33">
        <w:rPr>
          <w:rFonts w:ascii="David" w:hAnsi="David" w:hint="cs"/>
          <w:rtl/>
        </w:rPr>
        <w:t>הר הביטוח</w:t>
      </w:r>
      <w:r w:rsidRPr="002B5E33">
        <w:rPr>
          <w:rFonts w:ascii="David" w:hAnsi="David"/>
          <w:rtl/>
        </w:rPr>
        <w:t>"</w:t>
      </w:r>
      <w:r w:rsidRPr="002B5E33">
        <w:rPr>
          <w:rFonts w:ascii="David" w:hAnsi="David" w:hint="cs"/>
          <w:rtl/>
        </w:rPr>
        <w:t>.</w:t>
      </w:r>
    </w:p>
    <w:p w:rsidR="00B132F4" w:rsidRPr="002B5E33" w:rsidP="00ED5C0D">
      <w:pPr>
        <w:pStyle w:val="a"/>
        <w:spacing w:line="269" w:lineRule="auto"/>
        <w:rPr>
          <w:rStyle w:val="Strong"/>
          <w:b w:val="0"/>
          <w:bCs w:val="0"/>
          <w:color w:val="000000" w:themeColor="text1"/>
          <w:rtl/>
        </w:rPr>
      </w:pPr>
    </w:p>
    <w:p w:rsidR="00B132F4" w:rsidRPr="002B5E33" w:rsidP="00ED5C0D">
      <w:pPr>
        <w:spacing w:line="269" w:lineRule="auto"/>
        <w:rPr>
          <w:rFonts w:ascii="David" w:hAnsi="David"/>
          <w:b/>
          <w:bCs/>
          <w:sz w:val="24"/>
          <w:rtl/>
        </w:rPr>
      </w:pPr>
      <w:r w:rsidRPr="002B5E33">
        <w:rPr>
          <w:rStyle w:val="Strong"/>
          <w:rFonts w:hint="cs"/>
          <w:color w:val="000000" w:themeColor="text1"/>
          <w:rtl/>
        </w:rPr>
        <w:t xml:space="preserve">על מנת </w:t>
      </w:r>
      <w:r w:rsidRPr="002B5E33" w:rsidR="003D20B8">
        <w:rPr>
          <w:rStyle w:val="Strong"/>
          <w:rFonts w:hint="cs"/>
          <w:color w:val="000000" w:themeColor="text1"/>
          <w:rtl/>
        </w:rPr>
        <w:t xml:space="preserve">שמבוטחים יפיקו את מרב התועלת מפוליסות הביטוח </w:t>
      </w:r>
      <w:r w:rsidRPr="002B5E33">
        <w:rPr>
          <w:rStyle w:val="Strong"/>
          <w:rFonts w:hint="cs"/>
          <w:color w:val="000000" w:themeColor="text1"/>
          <w:rtl/>
        </w:rPr>
        <w:t xml:space="preserve">ישנה חשיבות להגדלת שיעור מיצוי זכויותיהם. לשם כך, על הרשות לטייב את הממשקים הקיימים בין הגורמים השונים ובין משרדי הממשלה השונים, ולהשלים בהקדם את פרויקט "כלי תומך החלטה". לצד זאת, על הרשות לוודא כי היא פועלת במלוא האמצעים העומדים לרשותה לצורך הנגשת מלוא המידע הנדרש לקהל המבוטחים, </w:t>
      </w:r>
      <w:r w:rsidRPr="002B5E33" w:rsidR="003D20B8">
        <w:rPr>
          <w:rStyle w:val="Strong"/>
          <w:rFonts w:hint="cs"/>
          <w:color w:val="000000" w:themeColor="text1"/>
          <w:rtl/>
        </w:rPr>
        <w:t xml:space="preserve">ולצורך יידוע המבוטחים </w:t>
      </w:r>
      <w:r w:rsidRPr="002B5E33">
        <w:rPr>
          <w:rStyle w:val="Strong"/>
          <w:rFonts w:hint="cs"/>
          <w:color w:val="000000" w:themeColor="text1"/>
          <w:rtl/>
        </w:rPr>
        <w:t xml:space="preserve">על זכויותיהם במסגרת הפוליסות </w:t>
      </w:r>
      <w:r w:rsidRPr="002B5E33" w:rsidR="003D20B8">
        <w:rPr>
          <w:rStyle w:val="Strong"/>
          <w:rFonts w:hint="cs"/>
          <w:color w:val="000000" w:themeColor="text1"/>
          <w:rtl/>
        </w:rPr>
        <w:t>שהם רכשו</w:t>
      </w:r>
      <w:r w:rsidRPr="002B5E33">
        <w:rPr>
          <w:rStyle w:val="Strong"/>
          <w:rFonts w:hint="cs"/>
          <w:color w:val="000000" w:themeColor="text1"/>
          <w:rtl/>
        </w:rPr>
        <w:t>, בבואם לקבל טיפול רפואי הן במערכות הבריאות הציבוריות והן במערכות הפרטיות</w:t>
      </w:r>
      <w:r>
        <w:rPr>
          <w:rStyle w:val="FootnoteReference"/>
          <w:b/>
          <w:bCs/>
          <w:color w:val="000000" w:themeColor="text1"/>
          <w:rtl/>
        </w:rPr>
        <w:footnoteReference w:id="39"/>
      </w:r>
      <w:r w:rsidRPr="002B5E33">
        <w:rPr>
          <w:rStyle w:val="Strong"/>
          <w:rFonts w:hint="cs"/>
          <w:color w:val="000000" w:themeColor="text1"/>
          <w:rtl/>
        </w:rPr>
        <w:t>.</w:t>
      </w:r>
      <w:r w:rsidRPr="002B5E33">
        <w:rPr>
          <w:rFonts w:ascii="David" w:hAnsi="David"/>
          <w:b/>
          <w:bCs/>
          <w:sz w:val="24"/>
          <w:rtl/>
        </w:rPr>
        <w:t xml:space="preserve"> </w:t>
      </w:r>
    </w:p>
    <w:p w:rsidR="00B132F4" w:rsidRPr="002B5E33" w:rsidP="00ED5C0D">
      <w:pPr>
        <w:spacing w:line="269" w:lineRule="auto"/>
        <w:rPr>
          <w:rFonts w:ascii="David" w:hAnsi="David"/>
          <w:b/>
          <w:bCs/>
          <w:sz w:val="24"/>
          <w:rtl/>
        </w:rPr>
      </w:pPr>
    </w:p>
    <w:p w:rsidR="00B132F4" w:rsidRPr="002B5E33" w:rsidP="00ED5C0D">
      <w:pPr>
        <w:keepNext/>
        <w:keepLines/>
        <w:spacing w:line="269" w:lineRule="auto"/>
        <w:outlineLvl w:val="3"/>
        <w:rPr>
          <w:rFonts w:eastAsiaTheme="majorEastAsia"/>
          <w:bCs/>
          <w:szCs w:val="26"/>
          <w:rtl/>
        </w:rPr>
      </w:pPr>
      <w:r w:rsidRPr="002B5E33">
        <w:rPr>
          <w:rFonts w:eastAsiaTheme="majorEastAsia"/>
          <w:bCs/>
          <w:szCs w:val="26"/>
          <w:rtl/>
        </w:rPr>
        <w:t>השימוש במדד ההפסד כמדד ההחזר</w:t>
      </w:r>
    </w:p>
    <w:p w:rsidR="00B132F4" w:rsidRPr="002B5E33" w:rsidP="00ED5C0D">
      <w:pPr>
        <w:spacing w:line="269" w:lineRule="auto"/>
        <w:ind w:left="-567"/>
        <w:rPr>
          <w:rFonts w:ascii="David" w:hAnsi="David"/>
          <w:szCs w:val="20"/>
          <w:rtl/>
        </w:rPr>
      </w:pPr>
    </w:p>
    <w:p w:rsidR="00B132F4" w:rsidRPr="002B5E33" w:rsidP="00362821">
      <w:pPr>
        <w:spacing w:line="269" w:lineRule="auto"/>
        <w:rPr>
          <w:rFonts w:ascii="David" w:hAnsi="David"/>
          <w:sz w:val="24"/>
          <w:rtl/>
        </w:rPr>
      </w:pPr>
      <w:r w:rsidRPr="002B5E33">
        <w:rPr>
          <w:rFonts w:ascii="David" w:hAnsi="David" w:hint="cs"/>
          <w:sz w:val="24"/>
          <w:rtl/>
        </w:rPr>
        <w:t xml:space="preserve">מדד שיעור ההפסד </w:t>
      </w:r>
      <w:r w:rsidRPr="002B5E33">
        <w:rPr>
          <w:rFonts w:ascii="David" w:hAnsi="David"/>
          <w:sz w:val="24"/>
          <w:rtl/>
        </w:rPr>
        <w:t>(</w:t>
      </w:r>
      <w:r w:rsidR="009B1122">
        <w:rPr>
          <w:rFonts w:ascii="David" w:hAnsi="David"/>
          <w:sz w:val="24"/>
        </w:rPr>
        <w:t>Loss R</w:t>
      </w:r>
      <w:r w:rsidRPr="002B5E33">
        <w:rPr>
          <w:rFonts w:ascii="David" w:hAnsi="David"/>
          <w:sz w:val="24"/>
        </w:rPr>
        <w:t>atio</w:t>
      </w:r>
      <w:r w:rsidRPr="002B5E33">
        <w:rPr>
          <w:rFonts w:ascii="David" w:hAnsi="David"/>
          <w:sz w:val="24"/>
          <w:rtl/>
        </w:rPr>
        <w:t xml:space="preserve">, </w:t>
      </w:r>
      <w:r w:rsidRPr="002B5E33">
        <w:rPr>
          <w:rFonts w:ascii="David" w:hAnsi="David"/>
          <w:sz w:val="24"/>
        </w:rPr>
        <w:t>LR</w:t>
      </w:r>
      <w:r w:rsidRPr="002B5E33">
        <w:rPr>
          <w:rFonts w:ascii="David" w:hAnsi="David"/>
          <w:sz w:val="24"/>
          <w:rtl/>
        </w:rPr>
        <w:t>)</w:t>
      </w:r>
      <w:r>
        <w:rPr>
          <w:rFonts w:ascii="David" w:hAnsi="David"/>
          <w:sz w:val="24"/>
          <w:vertAlign w:val="superscript"/>
          <w:rtl/>
        </w:rPr>
        <w:footnoteReference w:id="40"/>
      </w:r>
      <w:r w:rsidRPr="002B5E33">
        <w:rPr>
          <w:rFonts w:ascii="David" w:hAnsi="David" w:hint="cs"/>
          <w:sz w:val="24"/>
          <w:rtl/>
        </w:rPr>
        <w:t>, הוא</w:t>
      </w:r>
      <w:r w:rsidR="00944242">
        <w:rPr>
          <w:rFonts w:ascii="David" w:hAnsi="David" w:hint="cs"/>
          <w:sz w:val="24"/>
          <w:rtl/>
        </w:rPr>
        <w:t xml:space="preserve"> </w:t>
      </w:r>
      <w:r w:rsidRPr="002B5E33">
        <w:rPr>
          <w:rFonts w:ascii="David" w:hAnsi="David"/>
          <w:sz w:val="24"/>
          <w:rtl/>
        </w:rPr>
        <w:t>מדד מקובל בארץ ובעולם לבחינת יעילות ביטוח</w:t>
      </w:r>
      <w:r w:rsidRPr="002B5E33">
        <w:rPr>
          <w:rFonts w:ascii="David" w:hAnsi="David" w:hint="cs"/>
          <w:sz w:val="24"/>
          <w:rtl/>
        </w:rPr>
        <w:t>ים. המדד אשר מפורסם בדוחות הרשות כ"מדד ההחזר"</w:t>
      </w:r>
      <w:r w:rsidRPr="002B5E33">
        <w:rPr>
          <w:rFonts w:ascii="David" w:hAnsi="David"/>
          <w:sz w:val="24"/>
          <w:rtl/>
        </w:rPr>
        <w:t xml:space="preserve"> מבטא את היחס שבין סך הוצאות חברת הביטוח כנגד תביעות המבוטחים לבין סך הפרמיות </w:t>
      </w:r>
      <w:r w:rsidRPr="002B5E33">
        <w:rPr>
          <w:rFonts w:ascii="David" w:hAnsi="David" w:hint="cs"/>
          <w:sz w:val="24"/>
          <w:rtl/>
        </w:rPr>
        <w:t xml:space="preserve">שמשלמים </w:t>
      </w:r>
      <w:r w:rsidRPr="002B5E33">
        <w:rPr>
          <w:rFonts w:ascii="David" w:hAnsi="David"/>
          <w:sz w:val="24"/>
          <w:rtl/>
        </w:rPr>
        <w:t xml:space="preserve">המבוטחים </w:t>
      </w:r>
      <w:r w:rsidRPr="002B5E33">
        <w:rPr>
          <w:rFonts w:ascii="David" w:hAnsi="David" w:hint="cs"/>
          <w:sz w:val="24"/>
          <w:rtl/>
        </w:rPr>
        <w:t>(</w:t>
      </w:r>
      <w:r w:rsidRPr="002B5E33">
        <w:rPr>
          <w:rFonts w:ascii="David" w:hAnsi="David"/>
          <w:sz w:val="24"/>
          <w:rtl/>
        </w:rPr>
        <w:t>להלן - מדד ההפסד</w:t>
      </w:r>
      <w:r w:rsidRPr="002B5E33">
        <w:rPr>
          <w:rFonts w:ascii="David" w:hAnsi="David" w:hint="cs"/>
          <w:sz w:val="24"/>
          <w:rtl/>
        </w:rPr>
        <w:t xml:space="preserve"> או </w:t>
      </w:r>
      <w:r w:rsidRPr="002B5E33">
        <w:rPr>
          <w:rFonts w:ascii="David" w:hAnsi="David" w:hint="cs"/>
          <w:sz w:val="24"/>
        </w:rPr>
        <w:t>LR</w:t>
      </w:r>
      <w:r w:rsidRPr="002B5E33">
        <w:rPr>
          <w:rFonts w:ascii="David" w:hAnsi="David" w:hint="cs"/>
          <w:sz w:val="24"/>
          <w:rtl/>
        </w:rPr>
        <w:t xml:space="preserve"> או מדד ההחזר</w:t>
      </w:r>
      <w:r w:rsidRPr="002B5E33">
        <w:rPr>
          <w:rFonts w:ascii="David" w:hAnsi="David"/>
          <w:sz w:val="24"/>
          <w:rtl/>
        </w:rPr>
        <w:t>)</w:t>
      </w:r>
      <w:r>
        <w:rPr>
          <w:vertAlign w:val="superscript"/>
          <w:rtl/>
        </w:rPr>
        <w:footnoteReference w:id="41"/>
      </w:r>
      <w:r w:rsidRPr="002B5E33">
        <w:rPr>
          <w:rFonts w:hint="cs"/>
          <w:rtl/>
        </w:rPr>
        <w:t>.</w:t>
      </w:r>
      <w:r w:rsidRPr="002B5E33">
        <w:rPr>
          <w:rFonts w:ascii="David" w:hAnsi="David" w:hint="cs"/>
          <w:sz w:val="24"/>
          <w:rtl/>
        </w:rPr>
        <w:t xml:space="preserve"> על כן, מדד החזר גבוה אמור ללמד על החזר גבוה למבוטח לצד הוצאות נלוות</w:t>
      </w:r>
      <w:r>
        <w:rPr>
          <w:rStyle w:val="FootnoteReference"/>
          <w:rFonts w:ascii="David" w:hAnsi="David"/>
          <w:sz w:val="24"/>
          <w:rtl/>
        </w:rPr>
        <w:footnoteReference w:id="42"/>
      </w:r>
      <w:r w:rsidRPr="002B5E33">
        <w:rPr>
          <w:rFonts w:ascii="David" w:hAnsi="David" w:hint="cs"/>
          <w:sz w:val="24"/>
          <w:rtl/>
        </w:rPr>
        <w:t xml:space="preserve"> ושיעורי רווח נמוכים יחסית לחברת הביטוח</w:t>
      </w:r>
      <w:r>
        <w:rPr>
          <w:rStyle w:val="FootnoteReference"/>
          <w:rFonts w:ascii="David" w:hAnsi="David"/>
          <w:sz w:val="24"/>
          <w:rtl/>
        </w:rPr>
        <w:footnoteReference w:id="43"/>
      </w:r>
      <w:r w:rsidRPr="002B5E33">
        <w:rPr>
          <w:rFonts w:ascii="David" w:hAnsi="David" w:hint="cs"/>
          <w:sz w:val="24"/>
          <w:rtl/>
        </w:rPr>
        <w:t xml:space="preserve">. </w:t>
      </w:r>
    </w:p>
    <w:p w:rsidR="00B132F4" w:rsidRPr="002B5E33" w:rsidP="00ED5C0D">
      <w:pPr>
        <w:spacing w:line="269" w:lineRule="auto"/>
        <w:ind w:left="-567"/>
        <w:rPr>
          <w:szCs w:val="20"/>
          <w:rtl/>
        </w:rPr>
      </w:pPr>
    </w:p>
    <w:p w:rsidR="00B132F4" w:rsidRPr="002B5E33" w:rsidP="00ED5C0D">
      <w:pPr>
        <w:spacing w:line="269" w:lineRule="auto"/>
        <w:rPr>
          <w:rFonts w:ascii="David" w:hAnsi="David"/>
          <w:sz w:val="24"/>
          <w:rtl/>
        </w:rPr>
      </w:pPr>
      <w:r w:rsidRPr="002B5E33">
        <w:rPr>
          <w:rFonts w:ascii="David" w:hAnsi="David"/>
          <w:sz w:val="24"/>
          <w:rtl/>
        </w:rPr>
        <w:t xml:space="preserve">לדברי הרשות, מדד </w:t>
      </w:r>
      <w:r w:rsidRPr="002B5E33">
        <w:rPr>
          <w:rFonts w:ascii="David" w:hAnsi="David" w:hint="cs"/>
          <w:sz w:val="24"/>
          <w:rtl/>
        </w:rPr>
        <w:t xml:space="preserve">ההחזר </w:t>
      </w:r>
      <w:r w:rsidRPr="002B5E33">
        <w:rPr>
          <w:rFonts w:ascii="David" w:hAnsi="David"/>
          <w:sz w:val="24"/>
          <w:rtl/>
        </w:rPr>
        <w:t xml:space="preserve">משמש אותה באופן תדיר לבחינת מצב השוק </w:t>
      </w:r>
      <w:r w:rsidRPr="002B5E33">
        <w:rPr>
          <w:rFonts w:ascii="David" w:hAnsi="David" w:hint="cs"/>
          <w:sz w:val="24"/>
          <w:rtl/>
        </w:rPr>
        <w:t xml:space="preserve">במגוון </w:t>
      </w:r>
      <w:r w:rsidRPr="002B5E33">
        <w:rPr>
          <w:rFonts w:ascii="David" w:hAnsi="David"/>
          <w:sz w:val="24"/>
          <w:rtl/>
        </w:rPr>
        <w:t xml:space="preserve">תחומי הביטוח </w:t>
      </w:r>
      <w:r w:rsidRPr="002B5E33">
        <w:rPr>
          <w:rFonts w:ascii="David" w:hAnsi="David" w:hint="cs"/>
          <w:sz w:val="24"/>
          <w:rtl/>
        </w:rPr>
        <w:t xml:space="preserve">(לדוגמה לשם השוואה בין הפוליסות הקבוצתיות לפוליסות הפרט), </w:t>
      </w:r>
      <w:r w:rsidRPr="002B5E33">
        <w:rPr>
          <w:rFonts w:ascii="David" w:hAnsi="David"/>
          <w:sz w:val="24"/>
          <w:rtl/>
        </w:rPr>
        <w:t xml:space="preserve">והוא מפורסם באופן תדיר בדוחותיה השנתיים. </w:t>
      </w:r>
      <w:r w:rsidRPr="002B5E33">
        <w:rPr>
          <w:rFonts w:ascii="David" w:hAnsi="David"/>
          <w:rtl/>
        </w:rPr>
        <w:t>לשיטת ה</w:t>
      </w:r>
      <w:r w:rsidRPr="002B5E33">
        <w:rPr>
          <w:rFonts w:ascii="David" w:hAnsi="David" w:hint="eastAsia"/>
          <w:rtl/>
        </w:rPr>
        <w:t>רשות</w:t>
      </w:r>
      <w:r w:rsidRPr="002B5E33">
        <w:rPr>
          <w:rFonts w:ascii="David" w:hAnsi="David"/>
          <w:rtl/>
        </w:rPr>
        <w:t xml:space="preserve"> ישנן דרכים שונות לחשב </w:t>
      </w:r>
      <w:r w:rsidRPr="002B5E33">
        <w:rPr>
          <w:rFonts w:ascii="David" w:hAnsi="David" w:hint="cs"/>
          <w:rtl/>
        </w:rPr>
        <w:t xml:space="preserve">את </w:t>
      </w:r>
      <w:r w:rsidRPr="002B5E33">
        <w:rPr>
          <w:rFonts w:ascii="David" w:hAnsi="David"/>
          <w:rtl/>
        </w:rPr>
        <w:t>שיעור ההפסד במוצרי ביטוח, והן תלויות בצורך שהוביל לחישוב</w:t>
      </w:r>
      <w:r>
        <w:rPr>
          <w:rFonts w:ascii="David" w:hAnsi="David"/>
          <w:vertAlign w:val="superscript"/>
          <w:rtl/>
        </w:rPr>
        <w:footnoteReference w:id="44"/>
      </w:r>
      <w:r w:rsidRPr="002B5E33">
        <w:rPr>
          <w:rFonts w:ascii="David" w:hAnsi="David" w:hint="cs"/>
          <w:rtl/>
        </w:rPr>
        <w:t>.</w:t>
      </w:r>
      <w:r w:rsidRPr="002B5E33">
        <w:rPr>
          <w:rFonts w:ascii="David" w:hAnsi="David" w:hint="cs"/>
          <w:sz w:val="24"/>
          <w:rtl/>
        </w:rPr>
        <w:t xml:space="preserve"> למשל, לשם חישוב מדד ההחזר בתחום ביטוחי הבריאות, הרשות כוללת במרכיב ההוצאות </w:t>
      </w:r>
      <w:r w:rsidRPr="002B5E33">
        <w:rPr>
          <w:rFonts w:ascii="David" w:hAnsi="David"/>
          <w:rtl/>
        </w:rPr>
        <w:t xml:space="preserve">את הסעיפים </w:t>
      </w:r>
      <w:r w:rsidRPr="002B5E33">
        <w:rPr>
          <w:rFonts w:ascii="David" w:hAnsi="David" w:hint="cs"/>
          <w:rtl/>
        </w:rPr>
        <w:t>האלה</w:t>
      </w:r>
      <w:r w:rsidRPr="002B5E33">
        <w:rPr>
          <w:rFonts w:ascii="David" w:hAnsi="David"/>
          <w:rtl/>
        </w:rPr>
        <w:t>:</w:t>
      </w:r>
      <w:r w:rsidRPr="002B5E33">
        <w:rPr>
          <w:rFonts w:ascii="David" w:hAnsi="David" w:hint="cs"/>
          <w:rtl/>
        </w:rPr>
        <w:t xml:space="preserve"> </w:t>
      </w:r>
      <w:r w:rsidRPr="002B5E33">
        <w:rPr>
          <w:rFonts w:ascii="David" w:hAnsi="David"/>
          <w:rtl/>
        </w:rPr>
        <w:t>תביעות ששולמו</w:t>
      </w:r>
      <w:r w:rsidRPr="002B5E33">
        <w:rPr>
          <w:rFonts w:ascii="David" w:hAnsi="David" w:hint="cs"/>
          <w:rtl/>
        </w:rPr>
        <w:t xml:space="preserve"> ישירות למבוטחים; </w:t>
      </w:r>
      <w:r w:rsidRPr="002B5E33">
        <w:rPr>
          <w:rFonts w:ascii="David" w:hAnsi="David"/>
          <w:rtl/>
        </w:rPr>
        <w:t xml:space="preserve">הפרשה </w:t>
      </w:r>
      <w:r w:rsidRPr="002B5E33">
        <w:rPr>
          <w:rFonts w:ascii="David" w:hAnsi="David" w:hint="cs"/>
          <w:rtl/>
        </w:rPr>
        <w:t>ל</w:t>
      </w:r>
      <w:r w:rsidRPr="002B5E33">
        <w:rPr>
          <w:rFonts w:ascii="David" w:hAnsi="David"/>
          <w:rtl/>
        </w:rPr>
        <w:t xml:space="preserve">תביעות </w:t>
      </w:r>
      <w:r w:rsidRPr="002B5E33">
        <w:rPr>
          <w:rFonts w:ascii="David" w:hAnsi="David" w:hint="cs"/>
          <w:rtl/>
        </w:rPr>
        <w:t xml:space="preserve">מתמשכות </w:t>
      </w:r>
      <w:r w:rsidRPr="002B5E33">
        <w:rPr>
          <w:rFonts w:ascii="David" w:hAnsi="David"/>
          <w:rtl/>
        </w:rPr>
        <w:t>(</w:t>
      </w:r>
      <w:r w:rsidRPr="002B5E33">
        <w:rPr>
          <w:rFonts w:ascii="David" w:hAnsi="David" w:hint="cs"/>
          <w:rtl/>
        </w:rPr>
        <w:t>כת</w:t>
      </w:r>
      <w:r w:rsidRPr="002B5E33">
        <w:rPr>
          <w:rFonts w:ascii="David" w:hAnsi="David"/>
          <w:rtl/>
        </w:rPr>
        <w:t>רופות לאורך שנים)</w:t>
      </w:r>
      <w:r w:rsidRPr="002B5E33">
        <w:rPr>
          <w:rFonts w:ascii="David" w:hAnsi="David" w:hint="cs"/>
          <w:rtl/>
        </w:rPr>
        <w:t xml:space="preserve">; </w:t>
      </w:r>
      <w:r w:rsidRPr="002B5E33">
        <w:rPr>
          <w:rFonts w:ascii="David" w:hAnsi="David"/>
          <w:rtl/>
        </w:rPr>
        <w:t xml:space="preserve">הוצאות ליישוב </w:t>
      </w:r>
      <w:r w:rsidRPr="002B5E33">
        <w:rPr>
          <w:rFonts w:ascii="David" w:hAnsi="David" w:hint="cs"/>
          <w:rtl/>
        </w:rPr>
        <w:t xml:space="preserve">סכסוכים (להלן - </w:t>
      </w:r>
      <w:r w:rsidRPr="002B5E33">
        <w:rPr>
          <w:rFonts w:ascii="David" w:hAnsi="David" w:hint="eastAsia"/>
          <w:rtl/>
        </w:rPr>
        <w:t>הוצאות</w:t>
      </w:r>
      <w:r w:rsidRPr="002B5E33">
        <w:rPr>
          <w:rFonts w:ascii="David" w:hAnsi="David"/>
          <w:rtl/>
        </w:rPr>
        <w:t xml:space="preserve"> </w:t>
      </w:r>
      <w:r w:rsidRPr="002B5E33">
        <w:rPr>
          <w:rFonts w:ascii="David" w:hAnsi="David" w:hint="eastAsia"/>
          <w:rtl/>
        </w:rPr>
        <w:t>ליישוב</w:t>
      </w:r>
      <w:r w:rsidRPr="002B5E33">
        <w:rPr>
          <w:rFonts w:ascii="David" w:hAnsi="David"/>
          <w:rtl/>
        </w:rPr>
        <w:t xml:space="preserve"> </w:t>
      </w:r>
      <w:r w:rsidRPr="002B5E33">
        <w:rPr>
          <w:rFonts w:ascii="David" w:hAnsi="David" w:hint="eastAsia"/>
          <w:rtl/>
        </w:rPr>
        <w:t>סכסוכים</w:t>
      </w:r>
      <w:r w:rsidRPr="002B5E33">
        <w:rPr>
          <w:rFonts w:ascii="David" w:hAnsi="David" w:hint="cs"/>
          <w:rtl/>
        </w:rPr>
        <w:t>)</w:t>
      </w:r>
      <w:r>
        <w:rPr>
          <w:rFonts w:ascii="David" w:hAnsi="David"/>
          <w:vertAlign w:val="superscript"/>
          <w:rtl/>
        </w:rPr>
        <w:footnoteReference w:id="45"/>
      </w:r>
      <w:r w:rsidRPr="002B5E33">
        <w:rPr>
          <w:rFonts w:ascii="David" w:hAnsi="David"/>
          <w:rtl/>
        </w:rPr>
        <w:t>.</w:t>
      </w:r>
      <w:r w:rsidR="00944242">
        <w:rPr>
          <w:rFonts w:ascii="David" w:hAnsi="David" w:hint="cs"/>
          <w:rtl/>
        </w:rPr>
        <w:t xml:space="preserve"> </w:t>
      </w:r>
      <w:r w:rsidRPr="002B5E33">
        <w:rPr>
          <w:rFonts w:ascii="David" w:hAnsi="David" w:hint="eastAsia"/>
          <w:rtl/>
        </w:rPr>
        <w:t>כלומר</w:t>
      </w:r>
      <w:r w:rsidRPr="002B5E33">
        <w:rPr>
          <w:rFonts w:ascii="David" w:hAnsi="David"/>
          <w:rtl/>
        </w:rPr>
        <w:t xml:space="preserve">, </w:t>
      </w:r>
      <w:r w:rsidRPr="002B5E33">
        <w:rPr>
          <w:rFonts w:ascii="David" w:hAnsi="David" w:hint="eastAsia"/>
          <w:rtl/>
        </w:rPr>
        <w:t>אף</w:t>
      </w:r>
      <w:r w:rsidRPr="002B5E33">
        <w:rPr>
          <w:rFonts w:ascii="David" w:hAnsi="David"/>
          <w:rtl/>
        </w:rPr>
        <w:t xml:space="preserve"> </w:t>
      </w:r>
      <w:r w:rsidRPr="002B5E33">
        <w:rPr>
          <w:rFonts w:hint="eastAsia"/>
          <w:rtl/>
        </w:rPr>
        <w:t>ש</w:t>
      </w:r>
      <w:r w:rsidRPr="002B5E33">
        <w:rPr>
          <w:rtl/>
        </w:rPr>
        <w:t xml:space="preserve">הרשות </w:t>
      </w:r>
      <w:r w:rsidRPr="002B5E33">
        <w:rPr>
          <w:rFonts w:hint="eastAsia"/>
          <w:rtl/>
        </w:rPr>
        <w:t>עושה</w:t>
      </w:r>
      <w:r w:rsidRPr="002B5E33">
        <w:rPr>
          <w:rtl/>
        </w:rPr>
        <w:t xml:space="preserve"> שימוש בדוחותיה במונח "מדד ההחזר" כתרגום למונח </w:t>
      </w:r>
      <w:r w:rsidRPr="002B5E33">
        <w:rPr>
          <w:rFonts w:ascii="David" w:hAnsi="David"/>
          <w:sz w:val="24"/>
        </w:rPr>
        <w:t>Loss Ratio</w:t>
      </w:r>
      <w:r w:rsidRPr="002B5E33">
        <w:rPr>
          <w:rFonts w:ascii="David" w:hAnsi="David"/>
          <w:sz w:val="24"/>
          <w:rtl/>
        </w:rPr>
        <w:t xml:space="preserve">, בחישוב המדד היא כוללת כספים שאינם חוזרים </w:t>
      </w:r>
      <w:r w:rsidRPr="002B5E33">
        <w:rPr>
          <w:rFonts w:hint="eastAsia"/>
          <w:rtl/>
        </w:rPr>
        <w:t>ישירות</w:t>
      </w:r>
      <w:r w:rsidRPr="002B5E33">
        <w:rPr>
          <w:rtl/>
        </w:rPr>
        <w:t xml:space="preserve"> </w:t>
      </w:r>
      <w:r w:rsidRPr="002B5E33">
        <w:rPr>
          <w:rFonts w:hint="eastAsia"/>
          <w:rtl/>
        </w:rPr>
        <w:t>למבוטח</w:t>
      </w:r>
      <w:r w:rsidRPr="002B5E33">
        <w:rPr>
          <w:rtl/>
        </w:rPr>
        <w:t>.</w:t>
      </w:r>
    </w:p>
    <w:p w:rsidR="00B132F4" w:rsidRPr="002B5E33" w:rsidP="00ED5C0D">
      <w:pPr>
        <w:pStyle w:val="a"/>
        <w:spacing w:line="269" w:lineRule="auto"/>
        <w:rPr>
          <w:rtl/>
        </w:rPr>
      </w:pPr>
    </w:p>
    <w:p w:rsidR="00B132F4" w:rsidRPr="002B5E33" w:rsidP="00ED5C0D">
      <w:pPr>
        <w:spacing w:line="269" w:lineRule="auto"/>
        <w:rPr>
          <w:rFonts w:ascii="David" w:hAnsi="David"/>
          <w:sz w:val="24"/>
          <w:rtl/>
        </w:rPr>
      </w:pPr>
      <w:r w:rsidRPr="002B5E33">
        <w:rPr>
          <w:rFonts w:ascii="David" w:hAnsi="David" w:hint="cs"/>
          <w:sz w:val="24"/>
          <w:rtl/>
        </w:rPr>
        <w:t xml:space="preserve">לדוגמה, כספים שחברות הביטוח משלמות </w:t>
      </w:r>
      <w:r w:rsidRPr="002B5E33">
        <w:rPr>
          <w:rFonts w:ascii="David" w:hAnsi="David"/>
          <w:sz w:val="24"/>
          <w:rtl/>
        </w:rPr>
        <w:t>לחוקרים פרטיים ולעורכי דין</w:t>
      </w:r>
      <w:r w:rsidRPr="002B5E33">
        <w:rPr>
          <w:rFonts w:ascii="David" w:hAnsi="David" w:hint="cs"/>
          <w:sz w:val="24"/>
          <w:rtl/>
        </w:rPr>
        <w:t xml:space="preserve"> </w:t>
      </w:r>
      <w:r w:rsidRPr="002B5E33">
        <w:rPr>
          <w:rFonts w:ascii="David" w:hAnsi="David"/>
          <w:sz w:val="24"/>
          <w:rtl/>
        </w:rPr>
        <w:t>אשר מייצגים א</w:t>
      </w:r>
      <w:r w:rsidRPr="002B5E33">
        <w:rPr>
          <w:rFonts w:ascii="David" w:hAnsi="David" w:hint="cs"/>
          <w:sz w:val="24"/>
          <w:rtl/>
        </w:rPr>
        <w:t>ו</w:t>
      </w:r>
      <w:r w:rsidRPr="002B5E33">
        <w:rPr>
          <w:rFonts w:ascii="David" w:hAnsi="David"/>
          <w:sz w:val="24"/>
          <w:rtl/>
        </w:rPr>
        <w:t>ת</w:t>
      </w:r>
      <w:r w:rsidRPr="002B5E33">
        <w:rPr>
          <w:rFonts w:ascii="David" w:hAnsi="David" w:hint="cs"/>
          <w:sz w:val="24"/>
          <w:rtl/>
        </w:rPr>
        <w:t>ן</w:t>
      </w:r>
      <w:r w:rsidRPr="002B5E33">
        <w:rPr>
          <w:rFonts w:ascii="David" w:hAnsi="David"/>
          <w:sz w:val="24"/>
          <w:rtl/>
        </w:rPr>
        <w:t xml:space="preserve"> אל מול </w:t>
      </w:r>
      <w:r w:rsidRPr="002B5E33">
        <w:rPr>
          <w:rFonts w:ascii="David" w:hAnsi="David" w:hint="cs"/>
          <w:sz w:val="24"/>
          <w:rtl/>
        </w:rPr>
        <w:t>המבוטח, נכללים במדד ההחזר, כחלק מההחזר למבוטחים</w:t>
      </w:r>
      <w:r>
        <w:rPr>
          <w:rFonts w:ascii="David" w:hAnsi="David"/>
          <w:sz w:val="24"/>
          <w:vertAlign w:val="superscript"/>
          <w:rtl/>
        </w:rPr>
        <w:footnoteReference w:id="46"/>
      </w:r>
      <w:r w:rsidRPr="002B5E33">
        <w:rPr>
          <w:rFonts w:ascii="David" w:hAnsi="David" w:hint="cs"/>
          <w:sz w:val="24"/>
          <w:rtl/>
        </w:rPr>
        <w:t xml:space="preserve">. </w:t>
      </w:r>
      <w:r w:rsidRPr="002B5E33">
        <w:rPr>
          <w:rFonts w:ascii="David" w:hAnsi="David"/>
          <w:sz w:val="24"/>
          <w:rtl/>
        </w:rPr>
        <w:t xml:space="preserve">כך </w:t>
      </w:r>
      <w:r w:rsidRPr="002B5E33">
        <w:rPr>
          <w:rFonts w:ascii="David" w:hAnsi="David" w:hint="cs"/>
          <w:sz w:val="24"/>
          <w:rtl/>
        </w:rPr>
        <w:t xml:space="preserve">שאם יגדילו </w:t>
      </w:r>
      <w:r w:rsidRPr="002B5E33">
        <w:rPr>
          <w:rFonts w:ascii="David" w:hAnsi="David"/>
          <w:sz w:val="24"/>
          <w:rtl/>
        </w:rPr>
        <w:t xml:space="preserve">חברות הביטוח את היקף ההוצאה והשימוש בחוקרים פרטיים במטרה להפחית את התשלומים </w:t>
      </w:r>
      <w:r w:rsidRPr="002B5E33">
        <w:rPr>
          <w:rFonts w:ascii="David" w:hAnsi="David" w:hint="eastAsia"/>
          <w:sz w:val="24"/>
          <w:rtl/>
        </w:rPr>
        <w:t>הישירים</w:t>
      </w:r>
      <w:r w:rsidRPr="002B5E33">
        <w:rPr>
          <w:rFonts w:ascii="David" w:hAnsi="David"/>
          <w:sz w:val="24"/>
          <w:rtl/>
        </w:rPr>
        <w:t xml:space="preserve"> למבוטח</w:t>
      </w:r>
      <w:r w:rsidRPr="002B5E33" w:rsidR="00E833B2">
        <w:rPr>
          <w:rFonts w:ascii="David" w:hAnsi="David" w:hint="cs"/>
          <w:sz w:val="24"/>
          <w:rtl/>
        </w:rPr>
        <w:t xml:space="preserve"> - </w:t>
      </w:r>
      <w:r w:rsidRPr="002B5E33">
        <w:rPr>
          <w:rFonts w:ascii="David" w:hAnsi="David"/>
          <w:sz w:val="24"/>
          <w:rtl/>
        </w:rPr>
        <w:t>המדד ש</w:t>
      </w:r>
      <w:r w:rsidRPr="002B5E33">
        <w:rPr>
          <w:rFonts w:ascii="David" w:hAnsi="David" w:hint="eastAsia"/>
          <w:sz w:val="24"/>
          <w:rtl/>
        </w:rPr>
        <w:t>תציג</w:t>
      </w:r>
      <w:r w:rsidRPr="002B5E33">
        <w:rPr>
          <w:rFonts w:ascii="David" w:hAnsi="David"/>
          <w:sz w:val="24"/>
          <w:rtl/>
        </w:rPr>
        <w:t xml:space="preserve"> רשות שוק ההון</w:t>
      </w:r>
      <w:r w:rsidR="00BF6075">
        <w:rPr>
          <w:rFonts w:ascii="David" w:hAnsi="David" w:hint="cs"/>
          <w:sz w:val="24"/>
          <w:rtl/>
        </w:rPr>
        <w:t xml:space="preserve"> יגדל</w:t>
      </w:r>
      <w:r w:rsidRPr="002B5E33">
        <w:rPr>
          <w:rFonts w:ascii="David" w:hAnsi="David"/>
          <w:sz w:val="24"/>
          <w:rtl/>
        </w:rPr>
        <w:t xml:space="preserve"> </w:t>
      </w:r>
      <w:r w:rsidRPr="002B5E33">
        <w:rPr>
          <w:rFonts w:ascii="David" w:hAnsi="David" w:hint="eastAsia"/>
          <w:sz w:val="24"/>
          <w:rtl/>
        </w:rPr>
        <w:t>וישקף</w:t>
      </w:r>
      <w:r w:rsidRPr="002B5E33">
        <w:rPr>
          <w:rFonts w:ascii="David" w:hAnsi="David"/>
          <w:sz w:val="24"/>
          <w:rtl/>
        </w:rPr>
        <w:t xml:space="preserve"> </w:t>
      </w:r>
      <w:r w:rsidRPr="002B5E33">
        <w:rPr>
          <w:rFonts w:ascii="David" w:hAnsi="David" w:hint="eastAsia"/>
          <w:sz w:val="24"/>
          <w:rtl/>
        </w:rPr>
        <w:t>החזר</w:t>
      </w:r>
      <w:r w:rsidRPr="002B5E33">
        <w:rPr>
          <w:rFonts w:ascii="David" w:hAnsi="David"/>
          <w:sz w:val="24"/>
          <w:rtl/>
        </w:rPr>
        <w:t xml:space="preserve"> </w:t>
      </w:r>
      <w:r w:rsidRPr="002B5E33">
        <w:rPr>
          <w:rFonts w:ascii="David" w:hAnsi="David" w:hint="eastAsia"/>
          <w:sz w:val="24"/>
          <w:rtl/>
        </w:rPr>
        <w:t>גבוה</w:t>
      </w:r>
      <w:r w:rsidRPr="002B5E33">
        <w:rPr>
          <w:rFonts w:ascii="David" w:hAnsi="David"/>
          <w:sz w:val="24"/>
          <w:rtl/>
        </w:rPr>
        <w:t xml:space="preserve"> </w:t>
      </w:r>
      <w:r w:rsidRPr="002B5E33">
        <w:rPr>
          <w:rFonts w:ascii="David" w:hAnsi="David" w:hint="eastAsia"/>
          <w:sz w:val="24"/>
          <w:rtl/>
        </w:rPr>
        <w:t>כביכול</w:t>
      </w:r>
      <w:r w:rsidRPr="002B5E33">
        <w:rPr>
          <w:rFonts w:ascii="David" w:hAnsi="David"/>
          <w:sz w:val="24"/>
          <w:rtl/>
        </w:rPr>
        <w:t xml:space="preserve"> </w:t>
      </w:r>
      <w:r w:rsidRPr="002B5E33">
        <w:rPr>
          <w:rFonts w:ascii="David" w:hAnsi="David" w:hint="eastAsia"/>
          <w:sz w:val="24"/>
          <w:rtl/>
        </w:rPr>
        <w:t>למבוטחים</w:t>
      </w:r>
      <w:r w:rsidRPr="002B5E33">
        <w:rPr>
          <w:rFonts w:ascii="David" w:hAnsi="David"/>
          <w:sz w:val="24"/>
          <w:rtl/>
        </w:rPr>
        <w:t xml:space="preserve"> </w:t>
      </w:r>
      <w:r w:rsidRPr="002B5E33" w:rsidR="00E833B2">
        <w:rPr>
          <w:rFonts w:ascii="David" w:hAnsi="David" w:hint="cs"/>
          <w:sz w:val="24"/>
          <w:rtl/>
        </w:rPr>
        <w:t xml:space="preserve">לעומת </w:t>
      </w:r>
      <w:r w:rsidRPr="002B5E33">
        <w:rPr>
          <w:rFonts w:ascii="David" w:hAnsi="David" w:hint="eastAsia"/>
          <w:sz w:val="24"/>
          <w:rtl/>
        </w:rPr>
        <w:t>סך</w:t>
      </w:r>
      <w:r w:rsidRPr="002B5E33">
        <w:rPr>
          <w:rFonts w:ascii="David" w:hAnsi="David"/>
          <w:sz w:val="24"/>
          <w:rtl/>
        </w:rPr>
        <w:t xml:space="preserve"> </w:t>
      </w:r>
      <w:r w:rsidRPr="002B5E33">
        <w:rPr>
          <w:rFonts w:ascii="David" w:hAnsi="David" w:hint="eastAsia"/>
          <w:sz w:val="24"/>
          <w:rtl/>
        </w:rPr>
        <w:t>הפרמיות</w:t>
      </w:r>
      <w:r w:rsidRPr="002B5E33">
        <w:rPr>
          <w:rFonts w:ascii="David" w:hAnsi="David"/>
          <w:sz w:val="24"/>
          <w:rtl/>
        </w:rPr>
        <w:t xml:space="preserve"> </w:t>
      </w:r>
      <w:r w:rsidRPr="002B5E33">
        <w:rPr>
          <w:rFonts w:ascii="David" w:hAnsi="David" w:hint="eastAsia"/>
          <w:sz w:val="24"/>
          <w:rtl/>
        </w:rPr>
        <w:t>ששולמו</w:t>
      </w:r>
      <w:r w:rsidRPr="002B5E33">
        <w:rPr>
          <w:rFonts w:ascii="David" w:hAnsi="David"/>
          <w:sz w:val="24"/>
          <w:rtl/>
        </w:rPr>
        <w:t xml:space="preserve">. </w:t>
      </w:r>
    </w:p>
    <w:p w:rsidR="00B132F4" w:rsidRPr="002B5E33" w:rsidP="00ED5C0D">
      <w:pPr>
        <w:spacing w:line="269" w:lineRule="auto"/>
        <w:ind w:left="-567"/>
        <w:rPr>
          <w:szCs w:val="20"/>
          <w:rtl/>
        </w:rPr>
      </w:pPr>
    </w:p>
    <w:p w:rsidR="00B132F4" w:rsidRPr="002B5E33" w:rsidP="00ED5C0D">
      <w:pPr>
        <w:spacing w:line="269" w:lineRule="auto"/>
        <w:rPr>
          <w:rFonts w:ascii="David" w:hAnsi="David"/>
          <w:sz w:val="24"/>
          <w:rtl/>
        </w:rPr>
      </w:pPr>
      <w:r w:rsidRPr="002B5E33">
        <w:rPr>
          <w:rFonts w:ascii="David" w:hAnsi="David" w:hint="cs"/>
          <w:sz w:val="24"/>
          <w:rtl/>
        </w:rPr>
        <w:t>מבדיקה שערך משרד מבקר המדינה על תחום ביטוח הבריאות</w:t>
      </w:r>
      <w:r>
        <w:rPr>
          <w:rFonts w:ascii="David" w:hAnsi="David"/>
          <w:b/>
          <w:bCs/>
          <w:szCs w:val="20"/>
          <w:vertAlign w:val="superscript"/>
        </w:rPr>
        <w:footnoteReference w:id="47"/>
      </w:r>
      <w:r w:rsidRPr="002B5E33">
        <w:rPr>
          <w:rFonts w:ascii="David" w:hAnsi="David" w:hint="cs"/>
          <w:sz w:val="24"/>
          <w:rtl/>
        </w:rPr>
        <w:t xml:space="preserve"> עולה</w:t>
      </w:r>
      <w:r w:rsidRPr="002B5E33">
        <w:rPr>
          <w:rFonts w:ascii="David" w:hAnsi="David"/>
          <w:sz w:val="24"/>
          <w:rtl/>
        </w:rPr>
        <w:t xml:space="preserve"> </w:t>
      </w:r>
      <w:r w:rsidRPr="002B5E33">
        <w:rPr>
          <w:rFonts w:ascii="David" w:hAnsi="David" w:hint="cs"/>
          <w:sz w:val="24"/>
          <w:rtl/>
        </w:rPr>
        <w:t>ש</w:t>
      </w:r>
      <w:r w:rsidRPr="002B5E33">
        <w:rPr>
          <w:rFonts w:ascii="David" w:hAnsi="David"/>
          <w:sz w:val="24"/>
          <w:rtl/>
        </w:rPr>
        <w:t xml:space="preserve">ההוצאה השנתית של חברות הביטוח בסעיף ההוצאות </w:t>
      </w:r>
      <w:r w:rsidRPr="002B5E33">
        <w:rPr>
          <w:rFonts w:ascii="David" w:hAnsi="David" w:hint="cs"/>
          <w:sz w:val="24"/>
          <w:rtl/>
        </w:rPr>
        <w:t>ליישוב סכסוכים ו</w:t>
      </w:r>
      <w:r w:rsidRPr="002B5E33">
        <w:rPr>
          <w:rFonts w:ascii="David" w:hAnsi="David"/>
          <w:sz w:val="24"/>
          <w:rtl/>
        </w:rPr>
        <w:t>תביעות</w:t>
      </w:r>
      <w:r w:rsidRPr="002B5E33">
        <w:rPr>
          <w:rFonts w:ascii="David" w:hAnsi="David" w:hint="cs"/>
          <w:sz w:val="24"/>
          <w:rtl/>
        </w:rPr>
        <w:t xml:space="preserve"> (הכולל את ההוצאות לחוקרים פרטיים ועורכי דין)</w:t>
      </w:r>
      <w:r w:rsidRPr="002B5E33">
        <w:rPr>
          <w:rFonts w:ascii="David" w:hAnsi="David"/>
          <w:sz w:val="24"/>
          <w:rtl/>
        </w:rPr>
        <w:t xml:space="preserve">, עלתה באופן עקבי בשנים 2018-2009, </w:t>
      </w:r>
      <w:r w:rsidRPr="002B5E33">
        <w:rPr>
          <w:rFonts w:ascii="David" w:hAnsi="David" w:hint="cs"/>
          <w:sz w:val="24"/>
          <w:rtl/>
        </w:rPr>
        <w:t xml:space="preserve">ועמדה בשנת 2018 על </w:t>
      </w:r>
      <w:r w:rsidR="007E06A8">
        <w:rPr>
          <w:rFonts w:ascii="David" w:hAnsi="David" w:hint="cs"/>
          <w:sz w:val="24"/>
          <w:rtl/>
        </w:rPr>
        <w:t>כ-</w:t>
      </w:r>
      <w:r w:rsidRPr="002B5E33">
        <w:rPr>
          <w:rFonts w:ascii="David" w:hAnsi="David"/>
          <w:sz w:val="24"/>
          <w:rtl/>
        </w:rPr>
        <w:t>165 מיליון ש"ח</w:t>
      </w:r>
      <w:r w:rsidRPr="002B5E33">
        <w:rPr>
          <w:rFonts w:ascii="David" w:hAnsi="David" w:hint="cs"/>
          <w:sz w:val="24"/>
          <w:rtl/>
        </w:rPr>
        <w:t xml:space="preserve"> (כ4.9% מסך תשלומי התביעות למבוטחים)</w:t>
      </w:r>
      <w:r>
        <w:rPr>
          <w:rStyle w:val="FootnoteReference"/>
          <w:rFonts w:ascii="David" w:hAnsi="David"/>
          <w:sz w:val="24"/>
          <w:rtl/>
        </w:rPr>
        <w:footnoteReference w:id="48"/>
      </w:r>
      <w:r w:rsidRPr="002B5E33">
        <w:rPr>
          <w:rFonts w:ascii="David" w:hAnsi="David" w:hint="cs"/>
          <w:sz w:val="24"/>
          <w:rtl/>
        </w:rPr>
        <w:t>.</w:t>
      </w:r>
    </w:p>
    <w:p w:rsidR="00B132F4" w:rsidRPr="002B5E33" w:rsidP="00ED5C0D">
      <w:pPr>
        <w:spacing w:line="269" w:lineRule="auto"/>
        <w:ind w:left="-567"/>
        <w:rPr>
          <w:szCs w:val="20"/>
          <w:rtl/>
        </w:rPr>
      </w:pPr>
    </w:p>
    <w:p w:rsidR="00DA2933" w:rsidRPr="002B5E33" w:rsidP="00ED5C0D">
      <w:pPr>
        <w:spacing w:line="269" w:lineRule="auto"/>
        <w:rPr>
          <w:b/>
          <w:bCs/>
          <w:rtl/>
        </w:rPr>
      </w:pPr>
      <w:r w:rsidRPr="002B5E33">
        <w:rPr>
          <w:rStyle w:val="Strong"/>
          <w:rtl/>
        </w:rPr>
        <w:t xml:space="preserve">משרד </w:t>
      </w:r>
      <w:r w:rsidRPr="002B5E33">
        <w:rPr>
          <w:rStyle w:val="Strong"/>
          <w:rFonts w:hint="eastAsia"/>
          <w:rtl/>
        </w:rPr>
        <w:t>מבקר</w:t>
      </w:r>
      <w:r w:rsidRPr="002B5E33">
        <w:rPr>
          <w:rStyle w:val="Strong"/>
          <w:rtl/>
        </w:rPr>
        <w:t xml:space="preserve"> המדינה </w:t>
      </w:r>
      <w:r w:rsidRPr="002B5E33">
        <w:rPr>
          <w:rStyle w:val="Strong"/>
          <w:rFonts w:hint="eastAsia"/>
          <w:rtl/>
        </w:rPr>
        <w:t>ממליץ</w:t>
      </w:r>
      <w:r w:rsidRPr="002B5E33">
        <w:rPr>
          <w:rStyle w:val="Strong"/>
          <w:rtl/>
        </w:rPr>
        <w:t xml:space="preserve"> </w:t>
      </w:r>
      <w:r w:rsidRPr="002B5E33">
        <w:rPr>
          <w:rStyle w:val="Strong"/>
          <w:rFonts w:hint="eastAsia"/>
          <w:rtl/>
        </w:rPr>
        <w:t>ל</w:t>
      </w:r>
      <w:r w:rsidRPr="002B5E33">
        <w:rPr>
          <w:rStyle w:val="Strong"/>
          <w:rtl/>
        </w:rPr>
        <w:t>רשות ל</w:t>
      </w:r>
      <w:r w:rsidRPr="002B5E33">
        <w:rPr>
          <w:rStyle w:val="Strong"/>
          <w:rFonts w:hint="eastAsia"/>
          <w:rtl/>
        </w:rPr>
        <w:t>בחון</w:t>
      </w:r>
      <w:r w:rsidRPr="002B5E33">
        <w:rPr>
          <w:rStyle w:val="Strong"/>
          <w:rtl/>
        </w:rPr>
        <w:t xml:space="preserve"> </w:t>
      </w:r>
      <w:r w:rsidRPr="002B5E33">
        <w:rPr>
          <w:rStyle w:val="Strong"/>
          <w:rFonts w:hint="eastAsia"/>
          <w:rtl/>
        </w:rPr>
        <w:t>את</w:t>
      </w:r>
      <w:r w:rsidRPr="002B5E33">
        <w:rPr>
          <w:rStyle w:val="Strong"/>
          <w:rtl/>
        </w:rPr>
        <w:t xml:space="preserve"> המידע שהיא מציגה לציבור כך שיכלול לצד מדד ההפסד (</w:t>
      </w:r>
      <w:r w:rsidR="00DB386C">
        <w:rPr>
          <w:rStyle w:val="Strong"/>
        </w:rPr>
        <w:t>Loss R</w:t>
      </w:r>
      <w:r w:rsidRPr="002B5E33">
        <w:rPr>
          <w:rStyle w:val="Strong"/>
        </w:rPr>
        <w:t>atio</w:t>
      </w:r>
      <w:r w:rsidRPr="002B5E33">
        <w:rPr>
          <w:rStyle w:val="Strong"/>
          <w:rtl/>
        </w:rPr>
        <w:t xml:space="preserve">) של חברות הביטוח, שהוא מדד מקובל בעולם ויש לו חשיבות בפני עצמו, גם מדד </w:t>
      </w:r>
      <w:r w:rsidRPr="002B5E33">
        <w:rPr>
          <w:rStyle w:val="Strong"/>
          <w:rFonts w:hint="cs"/>
          <w:rtl/>
        </w:rPr>
        <w:t xml:space="preserve">אשר ישקף את התועלת הכלכלית של המבוטחים ויתמקד בהחזר הישיר למבוטח, בלי לכלול הוצאות נלוות כדוגמת הוצאות ליישוב סכסוכים. </w:t>
      </w:r>
    </w:p>
    <w:p w:rsidR="00B132F4" w:rsidRPr="002B5E33" w:rsidP="00ED5C0D">
      <w:pPr>
        <w:spacing w:line="269" w:lineRule="auto"/>
        <w:ind w:left="-567"/>
        <w:rPr>
          <w:szCs w:val="20"/>
          <w:rtl/>
        </w:rPr>
      </w:pPr>
    </w:p>
    <w:p w:rsidR="00B132F4" w:rsidRPr="002B5E33" w:rsidP="00ED5C0D">
      <w:pPr>
        <w:spacing w:line="269" w:lineRule="auto"/>
        <w:rPr>
          <w:rFonts w:ascii="David" w:hAnsi="David"/>
          <w:u w:val="single"/>
          <w:rtl/>
        </w:rPr>
      </w:pPr>
      <w:r w:rsidRPr="002B5E33">
        <w:rPr>
          <w:rFonts w:ascii="David" w:hAnsi="David" w:hint="cs"/>
          <w:rtl/>
        </w:rPr>
        <w:t xml:space="preserve">בתשובתה ציינה הרשות לעניין זה כי "הרשות סבורה </w:t>
      </w:r>
      <w:r w:rsidRPr="002B5E33">
        <w:rPr>
          <w:rFonts w:ascii="David" w:hAnsi="David" w:hint="eastAsia"/>
          <w:rtl/>
        </w:rPr>
        <w:t>שמדד</w:t>
      </w:r>
      <w:r w:rsidRPr="002B5E33">
        <w:rPr>
          <w:rFonts w:ascii="David" w:hAnsi="David"/>
          <w:rtl/>
        </w:rPr>
        <w:t xml:space="preserve"> </w:t>
      </w:r>
      <w:r w:rsidRPr="002B5E33">
        <w:rPr>
          <w:rFonts w:ascii="David" w:hAnsi="David" w:hint="eastAsia"/>
          <w:rtl/>
        </w:rPr>
        <w:t>ההפסד</w:t>
      </w:r>
      <w:r w:rsidRPr="002B5E33">
        <w:rPr>
          <w:rFonts w:ascii="David" w:hAnsi="David"/>
          <w:rtl/>
        </w:rPr>
        <w:t xml:space="preserve"> </w:t>
      </w:r>
      <w:r w:rsidRPr="002B5E33">
        <w:rPr>
          <w:rFonts w:ascii="David" w:hAnsi="David" w:hint="eastAsia"/>
          <w:rtl/>
        </w:rPr>
        <w:t>או</w:t>
      </w:r>
      <w:r w:rsidRPr="002B5E33">
        <w:rPr>
          <w:rFonts w:ascii="David" w:hAnsi="David"/>
          <w:rtl/>
        </w:rPr>
        <w:t xml:space="preserve"> </w:t>
      </w:r>
      <w:r w:rsidRPr="002B5E33">
        <w:rPr>
          <w:rFonts w:ascii="David" w:hAnsi="David" w:hint="eastAsia"/>
          <w:rtl/>
        </w:rPr>
        <w:t>שיעור</w:t>
      </w:r>
      <w:r w:rsidRPr="002B5E33">
        <w:rPr>
          <w:rFonts w:ascii="David" w:hAnsi="David"/>
          <w:rtl/>
        </w:rPr>
        <w:t xml:space="preserve"> </w:t>
      </w:r>
      <w:r w:rsidRPr="002B5E33">
        <w:rPr>
          <w:rFonts w:ascii="David" w:hAnsi="David" w:hint="eastAsia"/>
          <w:rtl/>
        </w:rPr>
        <w:t>ההחזר</w:t>
      </w:r>
      <w:r w:rsidRPr="002B5E33">
        <w:rPr>
          <w:rFonts w:ascii="David" w:hAnsi="David" w:hint="cs"/>
          <w:rtl/>
        </w:rPr>
        <w:t xml:space="preserve"> הוא מדד חשוב ולכן פעלה על מנת לפרסם מדד זה לציבור מדי שנה בשנה במסגרת דוחות הממונה. </w:t>
      </w:r>
      <w:r w:rsidRPr="002B5E33">
        <w:rPr>
          <w:rFonts w:ascii="David" w:hAnsi="David" w:hint="eastAsia"/>
          <w:rtl/>
        </w:rPr>
        <w:t>עם</w:t>
      </w:r>
      <w:r w:rsidRPr="002B5E33">
        <w:rPr>
          <w:rFonts w:ascii="David" w:hAnsi="David"/>
          <w:rtl/>
        </w:rPr>
        <w:t xml:space="preserve"> </w:t>
      </w:r>
      <w:r w:rsidRPr="002B5E33">
        <w:rPr>
          <w:rFonts w:ascii="David" w:hAnsi="David" w:hint="eastAsia"/>
          <w:rtl/>
        </w:rPr>
        <w:t>זאת</w:t>
      </w:r>
      <w:r w:rsidRPr="002B5E33">
        <w:rPr>
          <w:rFonts w:ascii="David" w:hAnsi="David"/>
          <w:rtl/>
        </w:rPr>
        <w:t xml:space="preserve">, </w:t>
      </w:r>
      <w:r w:rsidRPr="002B5E33">
        <w:rPr>
          <w:rFonts w:ascii="David" w:hAnsi="David" w:hint="eastAsia"/>
          <w:rtl/>
        </w:rPr>
        <w:t>וכפי</w:t>
      </w:r>
      <w:r w:rsidRPr="002B5E33">
        <w:rPr>
          <w:rFonts w:ascii="David" w:hAnsi="David"/>
          <w:rtl/>
        </w:rPr>
        <w:t xml:space="preserve"> </w:t>
      </w:r>
      <w:r w:rsidRPr="002B5E33">
        <w:rPr>
          <w:rFonts w:ascii="David" w:hAnsi="David" w:hint="eastAsia"/>
          <w:rtl/>
        </w:rPr>
        <w:t>שפורט</w:t>
      </w:r>
      <w:r w:rsidRPr="002B5E33">
        <w:rPr>
          <w:rFonts w:ascii="David" w:hAnsi="David"/>
          <w:rtl/>
        </w:rPr>
        <w:t xml:space="preserve"> </w:t>
      </w:r>
      <w:r w:rsidRPr="002B5E33">
        <w:rPr>
          <w:rFonts w:ascii="David" w:hAnsi="David" w:hint="eastAsia"/>
          <w:rtl/>
        </w:rPr>
        <w:t>לעיל</w:t>
      </w:r>
      <w:r w:rsidRPr="002B5E33">
        <w:rPr>
          <w:rFonts w:ascii="David" w:hAnsi="David"/>
          <w:rtl/>
        </w:rPr>
        <w:t xml:space="preserve"> </w:t>
      </w:r>
      <w:r w:rsidRPr="002B5E33">
        <w:rPr>
          <w:rFonts w:ascii="David" w:hAnsi="David" w:hint="eastAsia"/>
          <w:rtl/>
        </w:rPr>
        <w:t>הרשות</w:t>
      </w:r>
      <w:r w:rsidRPr="002B5E33">
        <w:rPr>
          <w:rFonts w:ascii="David" w:hAnsi="David"/>
          <w:rtl/>
        </w:rPr>
        <w:t xml:space="preserve"> </w:t>
      </w:r>
      <w:r w:rsidRPr="002B5E33">
        <w:rPr>
          <w:rFonts w:ascii="David" w:hAnsi="David" w:hint="eastAsia"/>
          <w:rtl/>
        </w:rPr>
        <w:t>סבורה</w:t>
      </w:r>
      <w:r w:rsidRPr="002B5E33">
        <w:rPr>
          <w:rFonts w:ascii="David" w:hAnsi="David"/>
          <w:rtl/>
        </w:rPr>
        <w:t xml:space="preserve"> </w:t>
      </w:r>
      <w:r w:rsidRPr="002B5E33">
        <w:rPr>
          <w:rFonts w:ascii="David" w:hAnsi="David" w:hint="eastAsia"/>
          <w:rtl/>
        </w:rPr>
        <w:t>שהמדד</w:t>
      </w:r>
      <w:r w:rsidRPr="002B5E33">
        <w:rPr>
          <w:rFonts w:ascii="David" w:hAnsi="David"/>
          <w:rtl/>
        </w:rPr>
        <w:t xml:space="preserve"> </w:t>
      </w:r>
      <w:r w:rsidRPr="002B5E33">
        <w:rPr>
          <w:rFonts w:ascii="David" w:hAnsi="David" w:hint="eastAsia"/>
          <w:rtl/>
        </w:rPr>
        <w:t>שמוצע</w:t>
      </w:r>
      <w:r w:rsidRPr="002B5E33">
        <w:rPr>
          <w:rFonts w:ascii="David" w:hAnsi="David"/>
          <w:rtl/>
        </w:rPr>
        <w:t xml:space="preserve"> </w:t>
      </w:r>
      <w:r w:rsidRPr="002B5E33">
        <w:rPr>
          <w:rFonts w:ascii="David" w:hAnsi="David" w:hint="eastAsia"/>
          <w:rtl/>
        </w:rPr>
        <w:t>בטיוטת</w:t>
      </w:r>
      <w:r w:rsidRPr="002B5E33">
        <w:rPr>
          <w:rFonts w:ascii="David" w:hAnsi="David"/>
          <w:rtl/>
        </w:rPr>
        <w:t xml:space="preserve"> </w:t>
      </w:r>
      <w:r w:rsidRPr="002B5E33">
        <w:rPr>
          <w:rFonts w:ascii="David" w:hAnsi="David" w:hint="eastAsia"/>
          <w:rtl/>
        </w:rPr>
        <w:t>הדוח</w:t>
      </w:r>
      <w:r w:rsidRPr="002B5E33">
        <w:rPr>
          <w:rFonts w:ascii="David" w:hAnsi="David"/>
          <w:rtl/>
        </w:rPr>
        <w:t xml:space="preserve"> </w:t>
      </w:r>
      <w:r w:rsidRPr="002B5E33">
        <w:rPr>
          <w:rFonts w:ascii="David" w:hAnsi="David" w:hint="eastAsia"/>
          <w:rtl/>
        </w:rPr>
        <w:t>אין</w:t>
      </w:r>
      <w:r w:rsidRPr="002B5E33">
        <w:rPr>
          <w:rFonts w:ascii="David" w:hAnsi="David"/>
          <w:rtl/>
        </w:rPr>
        <w:t xml:space="preserve"> </w:t>
      </w:r>
      <w:r w:rsidRPr="002B5E33">
        <w:rPr>
          <w:rFonts w:ascii="David" w:hAnsi="David" w:hint="eastAsia"/>
          <w:rtl/>
        </w:rPr>
        <w:t>לו</w:t>
      </w:r>
      <w:r w:rsidRPr="002B5E33">
        <w:rPr>
          <w:rFonts w:ascii="David" w:hAnsi="David"/>
          <w:rtl/>
        </w:rPr>
        <w:t xml:space="preserve"> </w:t>
      </w:r>
      <w:r w:rsidRPr="002B5E33">
        <w:rPr>
          <w:rFonts w:ascii="David" w:hAnsi="David" w:hint="eastAsia"/>
          <w:rtl/>
        </w:rPr>
        <w:t>על</w:t>
      </w:r>
      <w:r w:rsidRPr="002B5E33">
        <w:rPr>
          <w:rFonts w:ascii="David" w:hAnsi="David"/>
          <w:rtl/>
        </w:rPr>
        <w:t xml:space="preserve"> </w:t>
      </w:r>
      <w:r w:rsidRPr="002B5E33">
        <w:rPr>
          <w:rFonts w:ascii="David" w:hAnsi="David" w:hint="eastAsia"/>
          <w:rtl/>
        </w:rPr>
        <w:t>מה</w:t>
      </w:r>
      <w:r w:rsidRPr="002B5E33">
        <w:rPr>
          <w:rFonts w:ascii="David" w:hAnsi="David"/>
          <w:rtl/>
        </w:rPr>
        <w:t xml:space="preserve"> </w:t>
      </w:r>
      <w:r w:rsidRPr="002B5E33">
        <w:rPr>
          <w:rFonts w:ascii="David" w:hAnsi="David" w:hint="eastAsia"/>
          <w:rtl/>
        </w:rPr>
        <w:t>שיסתמך</w:t>
      </w:r>
      <w:r w:rsidRPr="002B5E33">
        <w:rPr>
          <w:rFonts w:ascii="David" w:hAnsi="David"/>
          <w:rtl/>
        </w:rPr>
        <w:t xml:space="preserve"> ואינו מקובל בעולם כמדד לחישוב ההחזר.</w:t>
      </w:r>
      <w:r w:rsidRPr="002B5E33">
        <w:rPr>
          <w:rFonts w:ascii="David" w:hAnsi="David" w:hint="cs"/>
          <w:rtl/>
        </w:rPr>
        <w:t xml:space="preserve"> </w:t>
      </w:r>
      <w:r w:rsidRPr="002B5E33">
        <w:rPr>
          <w:rFonts w:ascii="David" w:hAnsi="David"/>
          <w:rtl/>
        </w:rPr>
        <w:t xml:space="preserve">בכל מקום בו מוצג שיעור ההחזר בדו"ח הממונה (גם </w:t>
      </w:r>
      <w:r w:rsidRPr="002B5E33">
        <w:rPr>
          <w:rFonts w:ascii="David" w:hAnsi="David" w:hint="eastAsia"/>
          <w:rtl/>
        </w:rPr>
        <w:t>בענפי</w:t>
      </w:r>
      <w:r w:rsidRPr="002B5E33">
        <w:rPr>
          <w:rFonts w:ascii="David" w:hAnsi="David"/>
          <w:rtl/>
        </w:rPr>
        <w:t xml:space="preserve"> </w:t>
      </w:r>
      <w:r w:rsidRPr="002B5E33">
        <w:rPr>
          <w:rFonts w:ascii="David" w:hAnsi="David" w:hint="eastAsia"/>
          <w:rtl/>
        </w:rPr>
        <w:t>הביטוח</w:t>
      </w:r>
      <w:r w:rsidRPr="002B5E33">
        <w:rPr>
          <w:rFonts w:ascii="David" w:hAnsi="David"/>
          <w:rtl/>
        </w:rPr>
        <w:t xml:space="preserve"> </w:t>
      </w:r>
      <w:r w:rsidRPr="002B5E33">
        <w:rPr>
          <w:rFonts w:ascii="David" w:hAnsi="David" w:hint="eastAsia"/>
          <w:rtl/>
        </w:rPr>
        <w:t>הכללי</w:t>
      </w:r>
      <w:r w:rsidRPr="002B5E33">
        <w:rPr>
          <w:rFonts w:ascii="David" w:hAnsi="David"/>
          <w:rtl/>
        </w:rPr>
        <w:t xml:space="preserve"> </w:t>
      </w:r>
      <w:r w:rsidRPr="002B5E33">
        <w:rPr>
          <w:rFonts w:ascii="David" w:hAnsi="David" w:hint="eastAsia"/>
          <w:rtl/>
        </w:rPr>
        <w:t>וביטוח</w:t>
      </w:r>
      <w:r w:rsidRPr="002B5E33">
        <w:rPr>
          <w:rFonts w:ascii="David" w:hAnsi="David"/>
          <w:rtl/>
        </w:rPr>
        <w:t xml:space="preserve"> </w:t>
      </w:r>
      <w:r w:rsidRPr="002B5E33">
        <w:rPr>
          <w:rFonts w:ascii="David" w:hAnsi="David" w:hint="eastAsia"/>
          <w:rtl/>
        </w:rPr>
        <w:t>החיים</w:t>
      </w:r>
      <w:r w:rsidRPr="002B5E33">
        <w:rPr>
          <w:rFonts w:ascii="David" w:hAnsi="David"/>
          <w:rtl/>
        </w:rPr>
        <w:t xml:space="preserve">), </w:t>
      </w:r>
      <w:r w:rsidRPr="002B5E33">
        <w:rPr>
          <w:rFonts w:ascii="David" w:hAnsi="David" w:hint="eastAsia"/>
          <w:rtl/>
        </w:rPr>
        <w:t>החישוב</w:t>
      </w:r>
      <w:r w:rsidRPr="002B5E33">
        <w:rPr>
          <w:rFonts w:ascii="David" w:hAnsi="David"/>
          <w:rtl/>
        </w:rPr>
        <w:t xml:space="preserve"> </w:t>
      </w:r>
      <w:r w:rsidRPr="002B5E33">
        <w:rPr>
          <w:rFonts w:ascii="David" w:hAnsi="David" w:hint="eastAsia"/>
          <w:rtl/>
        </w:rPr>
        <w:t>כולל</w:t>
      </w:r>
      <w:r w:rsidRPr="002B5E33">
        <w:rPr>
          <w:rFonts w:ascii="David" w:hAnsi="David"/>
          <w:rtl/>
        </w:rPr>
        <w:t xml:space="preserve"> </w:t>
      </w:r>
      <w:r w:rsidRPr="002B5E33">
        <w:rPr>
          <w:rFonts w:ascii="David" w:hAnsi="David" w:hint="eastAsia"/>
          <w:rtl/>
        </w:rPr>
        <w:t>התייחסות</w:t>
      </w:r>
      <w:r w:rsidRPr="002B5E33">
        <w:rPr>
          <w:rFonts w:ascii="David" w:hAnsi="David"/>
          <w:rtl/>
        </w:rPr>
        <w:t xml:space="preserve"> </w:t>
      </w:r>
      <w:r w:rsidRPr="002B5E33">
        <w:rPr>
          <w:rFonts w:ascii="David" w:hAnsi="David" w:hint="eastAsia"/>
          <w:rtl/>
        </w:rPr>
        <w:t>להוצאות</w:t>
      </w:r>
      <w:r w:rsidRPr="002B5E33">
        <w:rPr>
          <w:rFonts w:ascii="David" w:hAnsi="David"/>
          <w:rtl/>
        </w:rPr>
        <w:t xml:space="preserve"> </w:t>
      </w:r>
      <w:r w:rsidRPr="002B5E33">
        <w:rPr>
          <w:rFonts w:ascii="David" w:hAnsi="David" w:hint="eastAsia"/>
          <w:rtl/>
        </w:rPr>
        <w:t>עקיפות</w:t>
      </w:r>
      <w:r w:rsidRPr="002B5E33">
        <w:rPr>
          <w:rFonts w:ascii="David" w:hAnsi="David"/>
          <w:rtl/>
        </w:rPr>
        <w:t xml:space="preserve"> </w:t>
      </w:r>
      <w:r w:rsidRPr="002B5E33">
        <w:rPr>
          <w:rFonts w:ascii="David" w:hAnsi="David" w:hint="eastAsia"/>
          <w:rtl/>
        </w:rPr>
        <w:t>ליישוב</w:t>
      </w:r>
      <w:r w:rsidRPr="002B5E33">
        <w:rPr>
          <w:rFonts w:ascii="David" w:hAnsi="David"/>
          <w:rtl/>
        </w:rPr>
        <w:t xml:space="preserve"> </w:t>
      </w:r>
      <w:r w:rsidRPr="002B5E33">
        <w:rPr>
          <w:rFonts w:ascii="David" w:hAnsi="David" w:hint="eastAsia"/>
          <w:rtl/>
        </w:rPr>
        <w:t>תביעה</w:t>
      </w:r>
      <w:r w:rsidRPr="002B5E33">
        <w:rPr>
          <w:rFonts w:ascii="David" w:hAnsi="David" w:hint="cs"/>
          <w:rtl/>
        </w:rPr>
        <w:t xml:space="preserve"> (הוצאות ליישוב סכסוכים) </w:t>
      </w:r>
      <w:r w:rsidRPr="002B5E33">
        <w:rPr>
          <w:rFonts w:ascii="David" w:hAnsi="David"/>
          <w:rtl/>
        </w:rPr>
        <w:t xml:space="preserve">. </w:t>
      </w:r>
      <w:r w:rsidRPr="002B5E33">
        <w:rPr>
          <w:rFonts w:ascii="David" w:hAnsi="David" w:hint="eastAsia"/>
          <w:rtl/>
        </w:rPr>
        <w:t>למיטב</w:t>
      </w:r>
      <w:r w:rsidRPr="002B5E33">
        <w:rPr>
          <w:rFonts w:ascii="David" w:hAnsi="David"/>
          <w:rtl/>
        </w:rPr>
        <w:t xml:space="preserve"> </w:t>
      </w:r>
      <w:r w:rsidRPr="002B5E33">
        <w:rPr>
          <w:rFonts w:ascii="David" w:hAnsi="David" w:hint="eastAsia"/>
          <w:rtl/>
        </w:rPr>
        <w:t>ידיע</w:t>
      </w:r>
      <w:r w:rsidRPr="002B5E33">
        <w:rPr>
          <w:rFonts w:ascii="David" w:hAnsi="David" w:hint="cs"/>
          <w:rtl/>
        </w:rPr>
        <w:t>ת</w:t>
      </w:r>
      <w:r w:rsidRPr="002B5E33">
        <w:rPr>
          <w:rFonts w:ascii="David" w:hAnsi="David" w:hint="eastAsia"/>
          <w:rtl/>
        </w:rPr>
        <w:t>נו</w:t>
      </w:r>
      <w:r w:rsidRPr="002B5E33">
        <w:rPr>
          <w:rFonts w:ascii="David" w:hAnsi="David"/>
          <w:rtl/>
        </w:rPr>
        <w:t xml:space="preserve"> </w:t>
      </w:r>
      <w:r w:rsidRPr="002B5E33">
        <w:rPr>
          <w:rFonts w:ascii="David" w:hAnsi="David" w:hint="eastAsia"/>
          <w:rtl/>
        </w:rPr>
        <w:t>זוהי</w:t>
      </w:r>
      <w:r w:rsidRPr="002B5E33">
        <w:rPr>
          <w:rFonts w:ascii="David" w:hAnsi="David"/>
          <w:rtl/>
        </w:rPr>
        <w:t xml:space="preserve"> </w:t>
      </w:r>
      <w:r w:rsidRPr="002B5E33">
        <w:rPr>
          <w:rFonts w:ascii="David" w:hAnsi="David" w:hint="eastAsia"/>
          <w:rtl/>
        </w:rPr>
        <w:t>גם</w:t>
      </w:r>
      <w:r w:rsidRPr="002B5E33">
        <w:rPr>
          <w:rFonts w:ascii="David" w:hAnsi="David"/>
          <w:rtl/>
        </w:rPr>
        <w:t xml:space="preserve"> </w:t>
      </w:r>
      <w:r w:rsidRPr="002B5E33">
        <w:rPr>
          <w:rFonts w:ascii="David" w:hAnsi="David" w:hint="eastAsia"/>
          <w:rtl/>
        </w:rPr>
        <w:t>הדרך</w:t>
      </w:r>
      <w:r w:rsidRPr="002B5E33">
        <w:rPr>
          <w:rFonts w:ascii="David" w:hAnsi="David"/>
          <w:rtl/>
        </w:rPr>
        <w:t xml:space="preserve"> </w:t>
      </w:r>
      <w:r w:rsidRPr="002B5E33">
        <w:rPr>
          <w:rFonts w:ascii="David" w:hAnsi="David" w:hint="eastAsia"/>
          <w:rtl/>
        </w:rPr>
        <w:t>הנהוגה</w:t>
      </w:r>
      <w:r w:rsidRPr="002B5E33">
        <w:rPr>
          <w:rFonts w:ascii="David" w:hAnsi="David"/>
          <w:rtl/>
        </w:rPr>
        <w:t xml:space="preserve"> </w:t>
      </w:r>
      <w:r w:rsidRPr="002B5E33">
        <w:rPr>
          <w:rFonts w:ascii="David" w:hAnsi="David" w:hint="eastAsia"/>
          <w:rtl/>
        </w:rPr>
        <w:t>בעולם</w:t>
      </w:r>
      <w:r w:rsidRPr="002B5E33">
        <w:rPr>
          <w:rFonts w:ascii="David" w:hAnsi="David"/>
          <w:rtl/>
        </w:rPr>
        <w:t xml:space="preserve"> </w:t>
      </w:r>
      <w:r w:rsidRPr="002B5E33">
        <w:rPr>
          <w:rFonts w:ascii="David" w:hAnsi="David" w:hint="eastAsia"/>
          <w:rtl/>
        </w:rPr>
        <w:t>לפרסום</w:t>
      </w:r>
      <w:r w:rsidRPr="002B5E33">
        <w:rPr>
          <w:rFonts w:ascii="David" w:hAnsi="David"/>
          <w:rtl/>
        </w:rPr>
        <w:t xml:space="preserve"> </w:t>
      </w:r>
      <w:r w:rsidRPr="002B5E33">
        <w:rPr>
          <w:rFonts w:ascii="David" w:hAnsi="David" w:hint="eastAsia"/>
          <w:rtl/>
        </w:rPr>
        <w:t>מדד</w:t>
      </w:r>
      <w:r w:rsidRPr="002B5E33">
        <w:rPr>
          <w:rFonts w:ascii="David" w:hAnsi="David"/>
          <w:rtl/>
        </w:rPr>
        <w:t xml:space="preserve"> </w:t>
      </w:r>
      <w:r w:rsidRPr="002B5E33">
        <w:rPr>
          <w:rFonts w:ascii="David" w:hAnsi="David" w:hint="eastAsia"/>
          <w:rtl/>
        </w:rPr>
        <w:t>זה</w:t>
      </w:r>
      <w:r w:rsidRPr="002B5E33">
        <w:rPr>
          <w:rFonts w:ascii="David" w:hAnsi="David"/>
          <w:rtl/>
        </w:rPr>
        <w:t xml:space="preserve">. </w:t>
      </w:r>
      <w:r w:rsidRPr="002B5E33">
        <w:rPr>
          <w:rFonts w:ascii="David" w:hAnsi="David" w:hint="eastAsia"/>
          <w:rtl/>
        </w:rPr>
        <w:t>ניתן</w:t>
      </w:r>
      <w:r w:rsidRPr="002B5E33">
        <w:rPr>
          <w:rFonts w:ascii="David" w:hAnsi="David"/>
          <w:rtl/>
        </w:rPr>
        <w:t xml:space="preserve"> </w:t>
      </w:r>
      <w:r w:rsidRPr="002B5E33">
        <w:rPr>
          <w:rFonts w:ascii="David" w:hAnsi="David" w:hint="eastAsia"/>
          <w:rtl/>
        </w:rPr>
        <w:t>לשקול</w:t>
      </w:r>
      <w:r w:rsidRPr="002B5E33">
        <w:rPr>
          <w:rFonts w:ascii="David" w:hAnsi="David"/>
          <w:rtl/>
        </w:rPr>
        <w:t xml:space="preserve"> </w:t>
      </w:r>
      <w:r w:rsidRPr="002B5E33">
        <w:rPr>
          <w:rFonts w:ascii="David" w:hAnsi="David" w:hint="cs"/>
          <w:rtl/>
        </w:rPr>
        <w:t>ל</w:t>
      </w:r>
      <w:r w:rsidRPr="002B5E33">
        <w:rPr>
          <w:rFonts w:ascii="David" w:hAnsi="David" w:hint="eastAsia"/>
          <w:rtl/>
        </w:rPr>
        <w:t>פרסם</w:t>
      </w:r>
      <w:r w:rsidRPr="002B5E33">
        <w:rPr>
          <w:rFonts w:ascii="David" w:hAnsi="David"/>
          <w:rtl/>
        </w:rPr>
        <w:t xml:space="preserve"> </w:t>
      </w:r>
      <w:r w:rsidRPr="002B5E33">
        <w:rPr>
          <w:rFonts w:ascii="David" w:hAnsi="David" w:hint="eastAsia"/>
          <w:rtl/>
        </w:rPr>
        <w:t>את</w:t>
      </w:r>
      <w:r w:rsidRPr="002B5E33">
        <w:rPr>
          <w:rFonts w:ascii="David" w:hAnsi="David"/>
          <w:rtl/>
        </w:rPr>
        <w:t xml:space="preserve"> </w:t>
      </w:r>
      <w:r w:rsidRPr="002B5E33">
        <w:rPr>
          <w:rFonts w:ascii="David" w:hAnsi="David" w:hint="eastAsia"/>
          <w:rtl/>
        </w:rPr>
        <w:t>המדד</w:t>
      </w:r>
      <w:r w:rsidRPr="002B5E33">
        <w:rPr>
          <w:rFonts w:ascii="David" w:hAnsi="David"/>
          <w:rtl/>
        </w:rPr>
        <w:t xml:space="preserve"> </w:t>
      </w:r>
      <w:r w:rsidRPr="002B5E33">
        <w:rPr>
          <w:rFonts w:ascii="David" w:hAnsi="David" w:hint="eastAsia"/>
          <w:rtl/>
        </w:rPr>
        <w:t>בניכוי</w:t>
      </w:r>
      <w:r w:rsidRPr="002B5E33">
        <w:rPr>
          <w:rFonts w:ascii="David" w:hAnsi="David"/>
          <w:rtl/>
        </w:rPr>
        <w:t xml:space="preserve"> </w:t>
      </w:r>
      <w:r w:rsidRPr="002B5E33">
        <w:rPr>
          <w:rFonts w:ascii="David" w:hAnsi="David" w:hint="eastAsia"/>
          <w:rtl/>
        </w:rPr>
        <w:t>הוצאות</w:t>
      </w:r>
      <w:r w:rsidRPr="002B5E33">
        <w:rPr>
          <w:rFonts w:ascii="David" w:hAnsi="David"/>
          <w:rtl/>
        </w:rPr>
        <w:t xml:space="preserve"> </w:t>
      </w:r>
      <w:r w:rsidRPr="002B5E33">
        <w:rPr>
          <w:rFonts w:ascii="David" w:hAnsi="David" w:hint="eastAsia"/>
          <w:rtl/>
        </w:rPr>
        <w:t>ליישוב</w:t>
      </w:r>
      <w:r w:rsidRPr="002B5E33">
        <w:rPr>
          <w:rFonts w:ascii="David" w:hAnsi="David"/>
          <w:rtl/>
        </w:rPr>
        <w:t xml:space="preserve"> </w:t>
      </w:r>
      <w:r w:rsidRPr="002B5E33">
        <w:rPr>
          <w:rFonts w:ascii="David" w:hAnsi="David" w:hint="eastAsia"/>
          <w:rtl/>
        </w:rPr>
        <w:t>תביעה</w:t>
      </w:r>
      <w:r w:rsidRPr="002B5E33">
        <w:rPr>
          <w:rFonts w:ascii="David" w:hAnsi="David"/>
          <w:rtl/>
        </w:rPr>
        <w:t xml:space="preserve"> </w:t>
      </w:r>
      <w:r w:rsidRPr="002B5E33">
        <w:rPr>
          <w:rFonts w:ascii="David" w:hAnsi="David" w:hint="eastAsia"/>
          <w:rtl/>
        </w:rPr>
        <w:t>אך</w:t>
      </w:r>
      <w:r w:rsidRPr="002B5E33">
        <w:rPr>
          <w:rFonts w:ascii="David" w:hAnsi="David"/>
          <w:rtl/>
        </w:rPr>
        <w:t xml:space="preserve"> לצורך האחידות יש לעשות זאת לגבי כלל ענפי הביטוח.</w:t>
      </w:r>
      <w:r w:rsidRPr="002B5E33">
        <w:rPr>
          <w:rFonts w:ascii="David" w:hAnsi="David" w:hint="cs"/>
          <w:rtl/>
        </w:rPr>
        <w:t>"</w:t>
      </w:r>
    </w:p>
    <w:p w:rsidR="00B132F4" w:rsidRPr="002B5E33" w:rsidP="00ED5C0D">
      <w:pPr>
        <w:spacing w:line="269" w:lineRule="auto"/>
        <w:ind w:left="-567"/>
        <w:rPr>
          <w:szCs w:val="20"/>
          <w:rtl/>
        </w:rPr>
      </w:pPr>
    </w:p>
    <w:p w:rsidR="00B132F4" w:rsidRPr="002B5E33" w:rsidP="00ED5C0D">
      <w:pPr>
        <w:spacing w:line="269" w:lineRule="auto"/>
        <w:rPr>
          <w:rFonts w:ascii="David" w:hAnsi="David"/>
          <w:rtl/>
        </w:rPr>
      </w:pPr>
      <w:r w:rsidRPr="002B5E33">
        <w:rPr>
          <w:rFonts w:ascii="David" w:hAnsi="David" w:hint="cs"/>
          <w:rtl/>
        </w:rPr>
        <w:t xml:space="preserve">איגוד חברות </w:t>
      </w:r>
      <w:r w:rsidRPr="002B5E33">
        <w:rPr>
          <w:rFonts w:ascii="David" w:hAnsi="David" w:hint="eastAsia"/>
          <w:rtl/>
        </w:rPr>
        <w:t>הביטוח</w:t>
      </w:r>
      <w:r w:rsidRPr="002B5E33">
        <w:rPr>
          <w:rFonts w:ascii="David" w:hAnsi="David"/>
          <w:rtl/>
        </w:rPr>
        <w:t xml:space="preserve"> </w:t>
      </w:r>
      <w:r w:rsidRPr="002B5E33" w:rsidR="00EB2C0E">
        <w:rPr>
          <w:rFonts w:ascii="David" w:hAnsi="David" w:hint="eastAsia"/>
          <w:rtl/>
        </w:rPr>
        <w:t>מסרו</w:t>
      </w:r>
      <w:r w:rsidRPr="002B5E33" w:rsidR="00EB2C0E">
        <w:rPr>
          <w:rFonts w:ascii="David" w:hAnsi="David" w:hint="cs"/>
          <w:rtl/>
        </w:rPr>
        <w:t xml:space="preserve"> </w:t>
      </w:r>
      <w:r w:rsidRPr="002B5E33">
        <w:rPr>
          <w:rFonts w:ascii="David" w:hAnsi="David" w:hint="eastAsia"/>
          <w:rtl/>
        </w:rPr>
        <w:t>בתשובתם</w:t>
      </w:r>
      <w:r w:rsidRPr="002B5E33">
        <w:rPr>
          <w:rFonts w:ascii="David" w:hAnsi="David"/>
          <w:rtl/>
        </w:rPr>
        <w:t xml:space="preserve"> </w:t>
      </w:r>
      <w:r w:rsidRPr="002B5E33">
        <w:rPr>
          <w:rFonts w:ascii="David" w:hAnsi="David" w:hint="eastAsia"/>
          <w:rtl/>
        </w:rPr>
        <w:t>כי</w:t>
      </w:r>
      <w:r w:rsidRPr="002B5E33">
        <w:rPr>
          <w:rFonts w:ascii="David" w:hAnsi="David"/>
          <w:rtl/>
        </w:rPr>
        <w:t xml:space="preserve"> </w:t>
      </w:r>
      <w:r w:rsidRPr="002B5E33">
        <w:rPr>
          <w:rFonts w:ascii="David" w:hAnsi="David" w:hint="cs"/>
          <w:rtl/>
        </w:rPr>
        <w:t>שלא כמו ב</w:t>
      </w:r>
      <w:r w:rsidRPr="002B5E33">
        <w:rPr>
          <w:rFonts w:ascii="David" w:hAnsi="David" w:hint="eastAsia"/>
          <w:rtl/>
        </w:rPr>
        <w:t>שב</w:t>
      </w:r>
      <w:r w:rsidRPr="002B5E33">
        <w:rPr>
          <w:rFonts w:ascii="David" w:hAnsi="David"/>
          <w:rtl/>
        </w:rPr>
        <w:t xml:space="preserve">"ן, </w:t>
      </w:r>
      <w:r w:rsidRPr="002B5E33">
        <w:rPr>
          <w:rFonts w:ascii="David" w:hAnsi="David" w:hint="cs"/>
          <w:rtl/>
        </w:rPr>
        <w:t>ש</w:t>
      </w:r>
      <w:r w:rsidRPr="002B5E33">
        <w:rPr>
          <w:rFonts w:ascii="David" w:hAnsi="David" w:hint="eastAsia"/>
          <w:rtl/>
        </w:rPr>
        <w:t>בו</w:t>
      </w:r>
      <w:r w:rsidRPr="002B5E33">
        <w:rPr>
          <w:rFonts w:ascii="David" w:hAnsi="David"/>
          <w:rtl/>
        </w:rPr>
        <w:t xml:space="preserve"> </w:t>
      </w:r>
      <w:r w:rsidRPr="002B5E33">
        <w:rPr>
          <w:rFonts w:ascii="David" w:hAnsi="David" w:hint="eastAsia"/>
          <w:rtl/>
        </w:rPr>
        <w:t>מודדים</w:t>
      </w:r>
      <w:r w:rsidRPr="002B5E33">
        <w:rPr>
          <w:rFonts w:ascii="David" w:hAnsi="David"/>
          <w:rtl/>
        </w:rPr>
        <w:t xml:space="preserve"> </w:t>
      </w:r>
      <w:r w:rsidRPr="002B5E33">
        <w:rPr>
          <w:rFonts w:ascii="David" w:hAnsi="David" w:hint="eastAsia"/>
          <w:rtl/>
        </w:rPr>
        <w:t>בכל</w:t>
      </w:r>
      <w:r w:rsidRPr="002B5E33">
        <w:rPr>
          <w:rFonts w:ascii="David" w:hAnsi="David"/>
          <w:rtl/>
        </w:rPr>
        <w:t xml:space="preserve"> </w:t>
      </w:r>
      <w:r w:rsidRPr="002B5E33">
        <w:rPr>
          <w:rFonts w:ascii="David" w:hAnsi="David" w:hint="eastAsia"/>
          <w:rtl/>
        </w:rPr>
        <w:t>תום</w:t>
      </w:r>
      <w:r w:rsidRPr="002B5E33">
        <w:rPr>
          <w:rFonts w:ascii="David" w:hAnsi="David"/>
          <w:rtl/>
        </w:rPr>
        <w:t xml:space="preserve"> </w:t>
      </w:r>
      <w:r w:rsidRPr="002B5E33">
        <w:rPr>
          <w:rFonts w:ascii="David" w:hAnsi="David" w:hint="eastAsia"/>
          <w:rtl/>
        </w:rPr>
        <w:t>שנה</w:t>
      </w:r>
      <w:r w:rsidRPr="002B5E33">
        <w:rPr>
          <w:rFonts w:ascii="David" w:hAnsi="David"/>
          <w:rtl/>
        </w:rPr>
        <w:t xml:space="preserve"> </w:t>
      </w:r>
      <w:r w:rsidRPr="002B5E33">
        <w:rPr>
          <w:rFonts w:ascii="David" w:hAnsi="David" w:hint="eastAsia"/>
          <w:rtl/>
        </w:rPr>
        <w:t>כמה</w:t>
      </w:r>
      <w:r w:rsidRPr="002B5E33">
        <w:rPr>
          <w:rFonts w:ascii="David" w:hAnsi="David"/>
          <w:rtl/>
        </w:rPr>
        <w:t xml:space="preserve"> </w:t>
      </w:r>
      <w:r w:rsidRPr="002B5E33">
        <w:rPr>
          <w:rFonts w:ascii="David" w:hAnsi="David" w:hint="eastAsia"/>
          <w:rtl/>
        </w:rPr>
        <w:t>מתוך</w:t>
      </w:r>
      <w:r w:rsidRPr="002B5E33">
        <w:rPr>
          <w:rFonts w:ascii="David" w:hAnsi="David"/>
          <w:rtl/>
        </w:rPr>
        <w:t xml:space="preserve"> </w:t>
      </w:r>
      <w:r w:rsidRPr="002B5E33">
        <w:rPr>
          <w:rFonts w:ascii="David" w:hAnsi="David" w:hint="eastAsia"/>
          <w:rtl/>
        </w:rPr>
        <w:t>סך</w:t>
      </w:r>
      <w:r w:rsidRPr="002B5E33">
        <w:rPr>
          <w:rFonts w:ascii="David" w:hAnsi="David"/>
          <w:rtl/>
        </w:rPr>
        <w:t xml:space="preserve"> </w:t>
      </w:r>
      <w:r w:rsidRPr="002B5E33">
        <w:rPr>
          <w:rFonts w:ascii="David" w:hAnsi="David" w:hint="eastAsia"/>
          <w:rtl/>
        </w:rPr>
        <w:t>תשלומי</w:t>
      </w:r>
      <w:r w:rsidRPr="002B5E33">
        <w:rPr>
          <w:rFonts w:ascii="David" w:hAnsi="David"/>
          <w:rtl/>
        </w:rPr>
        <w:t xml:space="preserve"> </w:t>
      </w:r>
      <w:r w:rsidRPr="002B5E33">
        <w:rPr>
          <w:rFonts w:ascii="David" w:hAnsi="David" w:hint="eastAsia"/>
          <w:rtl/>
        </w:rPr>
        <w:t>הפרמיה</w:t>
      </w:r>
      <w:r w:rsidRPr="002B5E33">
        <w:rPr>
          <w:rFonts w:ascii="David" w:hAnsi="David"/>
          <w:rtl/>
        </w:rPr>
        <w:t xml:space="preserve"> של המבוטח "חזר אליו" בדרך של תשלום תביעות, בביטוח </w:t>
      </w:r>
      <w:r w:rsidRPr="002B5E33">
        <w:rPr>
          <w:rFonts w:ascii="David" w:hAnsi="David" w:hint="eastAsia"/>
          <w:rtl/>
        </w:rPr>
        <w:t>המסחרי</w:t>
      </w:r>
      <w:r w:rsidRPr="002B5E33">
        <w:rPr>
          <w:rFonts w:ascii="David" w:hAnsi="David"/>
          <w:rtl/>
        </w:rPr>
        <w:t xml:space="preserve"> </w:t>
      </w:r>
      <w:r w:rsidRPr="002B5E33">
        <w:rPr>
          <w:rFonts w:ascii="David" w:hAnsi="David" w:hint="eastAsia"/>
          <w:rtl/>
        </w:rPr>
        <w:t>נדרש</w:t>
      </w:r>
      <w:r w:rsidRPr="002B5E33">
        <w:rPr>
          <w:rFonts w:ascii="David" w:hAnsi="David" w:hint="cs"/>
          <w:rtl/>
        </w:rPr>
        <w:t xml:space="preserve">ות חברות הביטוח להפרשות נוספות בהיקפים כספיים ניכרים שמטרתן </w:t>
      </w:r>
      <w:r w:rsidRPr="002B5E33">
        <w:rPr>
          <w:rFonts w:ascii="David" w:hAnsi="David" w:hint="eastAsia"/>
          <w:rtl/>
        </w:rPr>
        <w:t>להבטיח</w:t>
      </w:r>
      <w:r w:rsidRPr="002B5E33">
        <w:rPr>
          <w:rFonts w:ascii="David" w:hAnsi="David"/>
          <w:rtl/>
        </w:rPr>
        <w:t xml:space="preserve"> </w:t>
      </w:r>
      <w:r w:rsidRPr="002B5E33">
        <w:rPr>
          <w:rFonts w:ascii="David" w:hAnsi="David" w:hint="eastAsia"/>
          <w:rtl/>
        </w:rPr>
        <w:t>את</w:t>
      </w:r>
      <w:r w:rsidRPr="002B5E33">
        <w:rPr>
          <w:rFonts w:ascii="David" w:hAnsi="David"/>
          <w:rtl/>
        </w:rPr>
        <w:t xml:space="preserve"> </w:t>
      </w:r>
      <w:r w:rsidRPr="002B5E33">
        <w:rPr>
          <w:rFonts w:ascii="David" w:hAnsi="David" w:hint="eastAsia"/>
          <w:rtl/>
        </w:rPr>
        <w:t>זכויות</w:t>
      </w:r>
      <w:r w:rsidRPr="002B5E33">
        <w:rPr>
          <w:rFonts w:ascii="David" w:hAnsi="David"/>
          <w:rtl/>
        </w:rPr>
        <w:t xml:space="preserve"> </w:t>
      </w:r>
      <w:r w:rsidRPr="002B5E33">
        <w:rPr>
          <w:rFonts w:ascii="David" w:hAnsi="David" w:hint="eastAsia"/>
          <w:rtl/>
        </w:rPr>
        <w:t>המבוטחים</w:t>
      </w:r>
      <w:r w:rsidRPr="002B5E33">
        <w:rPr>
          <w:rFonts w:ascii="David" w:hAnsi="David"/>
          <w:rtl/>
        </w:rPr>
        <w:t xml:space="preserve"> </w:t>
      </w:r>
      <w:r w:rsidRPr="002B5E33">
        <w:rPr>
          <w:rFonts w:ascii="David" w:hAnsi="David" w:hint="eastAsia"/>
          <w:rtl/>
        </w:rPr>
        <w:t>בטווח</w:t>
      </w:r>
      <w:r w:rsidRPr="002B5E33">
        <w:rPr>
          <w:rFonts w:ascii="David" w:hAnsi="David"/>
          <w:rtl/>
        </w:rPr>
        <w:t xml:space="preserve"> </w:t>
      </w:r>
      <w:r w:rsidRPr="002B5E33">
        <w:rPr>
          <w:rFonts w:ascii="David" w:hAnsi="David" w:hint="eastAsia"/>
          <w:rtl/>
        </w:rPr>
        <w:t>הארוך</w:t>
      </w:r>
      <w:r>
        <w:rPr>
          <w:rFonts w:ascii="David" w:hAnsi="David"/>
          <w:vertAlign w:val="superscript"/>
          <w:rtl/>
        </w:rPr>
        <w:footnoteReference w:id="49"/>
      </w:r>
      <w:r w:rsidRPr="002B5E33">
        <w:rPr>
          <w:rFonts w:ascii="David" w:hAnsi="David" w:hint="cs"/>
          <w:rtl/>
        </w:rPr>
        <w:t xml:space="preserve">, אך </w:t>
      </w:r>
      <w:r w:rsidRPr="002B5E33">
        <w:rPr>
          <w:rFonts w:ascii="David" w:hAnsi="David" w:hint="eastAsia"/>
          <w:rtl/>
        </w:rPr>
        <w:t>הם</w:t>
      </w:r>
      <w:r w:rsidRPr="002B5E33">
        <w:rPr>
          <w:rFonts w:ascii="David" w:hAnsi="David"/>
          <w:rtl/>
        </w:rPr>
        <w:t xml:space="preserve"> </w:t>
      </w:r>
      <w:r w:rsidRPr="002B5E33">
        <w:rPr>
          <w:rFonts w:ascii="David" w:hAnsi="David" w:hint="eastAsia"/>
          <w:rtl/>
        </w:rPr>
        <w:t>אינם</w:t>
      </w:r>
      <w:r w:rsidRPr="002B5E33">
        <w:rPr>
          <w:rFonts w:ascii="David" w:hAnsi="David"/>
          <w:rtl/>
        </w:rPr>
        <w:t xml:space="preserve"> </w:t>
      </w:r>
      <w:r w:rsidRPr="002B5E33">
        <w:rPr>
          <w:rFonts w:ascii="David" w:hAnsi="David" w:hint="eastAsia"/>
          <w:rtl/>
        </w:rPr>
        <w:t>נכללים</w:t>
      </w:r>
      <w:r w:rsidRPr="002B5E33">
        <w:rPr>
          <w:rFonts w:ascii="David" w:hAnsi="David"/>
          <w:rtl/>
        </w:rPr>
        <w:t xml:space="preserve"> </w:t>
      </w:r>
      <w:r w:rsidRPr="002B5E33">
        <w:rPr>
          <w:rFonts w:ascii="David" w:hAnsi="David" w:hint="cs"/>
          <w:rtl/>
        </w:rPr>
        <w:t>ב</w:t>
      </w:r>
      <w:r w:rsidRPr="002B5E33">
        <w:rPr>
          <w:rFonts w:ascii="David" w:hAnsi="David" w:hint="eastAsia"/>
          <w:rtl/>
        </w:rPr>
        <w:t>מדד</w:t>
      </w:r>
      <w:r w:rsidRPr="002B5E33">
        <w:rPr>
          <w:rFonts w:ascii="David" w:hAnsi="David"/>
          <w:rtl/>
        </w:rPr>
        <w:t xml:space="preserve"> </w:t>
      </w:r>
      <w:r w:rsidR="007E06A8">
        <w:rPr>
          <w:rFonts w:ascii="David" w:hAnsi="David" w:hint="eastAsia"/>
          <w:rtl/>
        </w:rPr>
        <w:t>ה-</w:t>
      </w:r>
      <w:r w:rsidRPr="002B5E33">
        <w:rPr>
          <w:rFonts w:ascii="David" w:hAnsi="David"/>
        </w:rPr>
        <w:t>LR</w:t>
      </w:r>
      <w:r w:rsidRPr="002B5E33">
        <w:rPr>
          <w:rFonts w:ascii="David" w:hAnsi="David" w:hint="cs"/>
          <w:rtl/>
        </w:rPr>
        <w:t xml:space="preserve"> שמפרסמת הרשות</w:t>
      </w:r>
      <w:r w:rsidRPr="002B5E33">
        <w:rPr>
          <w:rFonts w:ascii="David" w:hAnsi="David"/>
          <w:rtl/>
        </w:rPr>
        <w:t>.</w:t>
      </w:r>
      <w:r w:rsidRPr="002B5E33">
        <w:rPr>
          <w:rFonts w:ascii="David" w:hAnsi="David" w:hint="cs"/>
          <w:rtl/>
        </w:rPr>
        <w:t xml:space="preserve"> </w:t>
      </w:r>
    </w:p>
    <w:p w:rsidR="00B132F4" w:rsidRPr="002B5E33" w:rsidP="00ED5C0D">
      <w:pPr>
        <w:pStyle w:val="a"/>
        <w:spacing w:line="269" w:lineRule="auto"/>
        <w:rPr>
          <w:rtl/>
        </w:rPr>
      </w:pPr>
    </w:p>
    <w:p w:rsidR="00B132F4" w:rsidRPr="002B5E33" w:rsidP="00ED5C0D">
      <w:pPr>
        <w:spacing w:line="269" w:lineRule="auto"/>
        <w:rPr>
          <w:rFonts w:ascii="David" w:hAnsi="David"/>
          <w:b/>
          <w:bCs/>
          <w:rtl/>
        </w:rPr>
      </w:pPr>
      <w:r w:rsidRPr="002B5E33">
        <w:rPr>
          <w:rFonts w:ascii="David" w:hAnsi="David" w:hint="eastAsia"/>
          <w:b/>
          <w:bCs/>
          <w:rtl/>
        </w:rPr>
        <w:t>יצוין</w:t>
      </w:r>
      <w:r w:rsidRPr="002B5E33">
        <w:rPr>
          <w:rFonts w:ascii="David" w:hAnsi="David"/>
          <w:b/>
          <w:bCs/>
          <w:rtl/>
        </w:rPr>
        <w:t xml:space="preserve"> כי </w:t>
      </w:r>
      <w:r w:rsidRPr="002B5E33">
        <w:rPr>
          <w:rFonts w:ascii="David" w:hAnsi="David" w:hint="cs"/>
          <w:b/>
          <w:bCs/>
          <w:rtl/>
        </w:rPr>
        <w:t xml:space="preserve">במצב כיום, </w:t>
      </w:r>
      <w:r w:rsidRPr="002B5E33">
        <w:rPr>
          <w:rFonts w:ascii="David" w:hAnsi="David" w:hint="eastAsia"/>
          <w:b/>
          <w:bCs/>
          <w:rtl/>
        </w:rPr>
        <w:t>מדד</w:t>
      </w:r>
      <w:r w:rsidRPr="002B5E33">
        <w:rPr>
          <w:rFonts w:ascii="David" w:hAnsi="David"/>
          <w:b/>
          <w:bCs/>
          <w:rtl/>
        </w:rPr>
        <w:t xml:space="preserve"> </w:t>
      </w:r>
      <w:r w:rsidRPr="002B5E33">
        <w:rPr>
          <w:rFonts w:ascii="David" w:hAnsi="David" w:hint="eastAsia"/>
          <w:b/>
          <w:bCs/>
          <w:rtl/>
        </w:rPr>
        <w:t>הפסד</w:t>
      </w:r>
      <w:r w:rsidRPr="002B5E33">
        <w:rPr>
          <w:rFonts w:ascii="David" w:hAnsi="David"/>
          <w:b/>
          <w:bCs/>
          <w:rtl/>
        </w:rPr>
        <w:t xml:space="preserve"> (</w:t>
      </w:r>
      <w:r w:rsidRPr="002B5E33">
        <w:rPr>
          <w:rFonts w:ascii="David" w:hAnsi="David"/>
          <w:b/>
          <w:bCs/>
        </w:rPr>
        <w:t>LR</w:t>
      </w:r>
      <w:r w:rsidRPr="002B5E33">
        <w:rPr>
          <w:rFonts w:ascii="David" w:hAnsi="David"/>
          <w:b/>
          <w:bCs/>
          <w:rtl/>
        </w:rPr>
        <w:t>)</w:t>
      </w:r>
      <w:r w:rsidRPr="002B5E33">
        <w:rPr>
          <w:rFonts w:ascii="David" w:hAnsi="David" w:hint="cs"/>
          <w:b/>
          <w:bCs/>
          <w:rtl/>
        </w:rPr>
        <w:t xml:space="preserve"> גבוה</w:t>
      </w:r>
      <w:r w:rsidRPr="002B5E33" w:rsidR="00862C4A">
        <w:rPr>
          <w:rFonts w:ascii="David" w:hAnsi="David" w:hint="cs"/>
          <w:b/>
          <w:bCs/>
          <w:rtl/>
        </w:rPr>
        <w:t xml:space="preserve"> </w:t>
      </w:r>
      <w:r w:rsidRPr="002B5E33" w:rsidR="00F12CBE">
        <w:rPr>
          <w:rFonts w:ascii="David" w:hAnsi="David" w:hint="cs"/>
          <w:b/>
          <w:bCs/>
          <w:rtl/>
        </w:rPr>
        <w:t xml:space="preserve">עלול לנבוע </w:t>
      </w:r>
      <w:r w:rsidRPr="002B5E33" w:rsidR="00F12CBE">
        <w:rPr>
          <w:rFonts w:ascii="David" w:hAnsi="David"/>
          <w:b/>
          <w:bCs/>
          <w:rtl/>
        </w:rPr>
        <w:t>דווקא</w:t>
      </w:r>
      <w:r w:rsidRPr="002B5E33" w:rsidR="00F12CBE">
        <w:rPr>
          <w:rFonts w:ascii="David" w:hAnsi="David" w:hint="cs"/>
          <w:b/>
          <w:bCs/>
          <w:rtl/>
        </w:rPr>
        <w:t xml:space="preserve"> מהוצאות גבוהות ליישוב סכסוכים ו</w:t>
      </w:r>
      <w:r w:rsidRPr="002B5E33" w:rsidR="00862C4A">
        <w:rPr>
          <w:rFonts w:ascii="David" w:hAnsi="David" w:hint="cs"/>
          <w:b/>
          <w:bCs/>
          <w:rtl/>
        </w:rPr>
        <w:t>אינו מעיד בהכרח על שיעור גבוה של תגמולים למבוטחים</w:t>
      </w:r>
      <w:r>
        <w:rPr>
          <w:rStyle w:val="FootnoteReference"/>
          <w:rFonts w:ascii="David" w:hAnsi="David"/>
          <w:b/>
          <w:bCs/>
          <w:rtl/>
        </w:rPr>
        <w:footnoteReference w:id="50"/>
      </w:r>
      <w:r w:rsidRPr="002B5E33">
        <w:rPr>
          <w:rFonts w:ascii="David" w:hAnsi="David"/>
          <w:b/>
          <w:bCs/>
          <w:rtl/>
        </w:rPr>
        <w:t>.</w:t>
      </w:r>
      <w:r w:rsidRPr="002B5E33">
        <w:rPr>
          <w:rFonts w:hint="cs"/>
          <w:rtl/>
        </w:rPr>
        <w:t xml:space="preserve"> </w:t>
      </w:r>
      <w:r w:rsidRPr="002B5E33" w:rsidR="000F407E">
        <w:rPr>
          <w:rFonts w:ascii="David" w:hAnsi="David" w:hint="cs"/>
          <w:b/>
          <w:bCs/>
          <w:rtl/>
        </w:rPr>
        <w:t>לפיכך</w:t>
      </w:r>
      <w:r w:rsidRPr="002B5E33">
        <w:rPr>
          <w:rFonts w:ascii="David" w:hAnsi="David"/>
          <w:b/>
          <w:bCs/>
          <w:rtl/>
        </w:rPr>
        <w:t xml:space="preserve">, </w:t>
      </w:r>
      <w:r w:rsidRPr="002B5E33" w:rsidR="00A81E4A">
        <w:rPr>
          <w:rFonts w:ascii="David" w:hAnsi="David" w:hint="cs"/>
          <w:b/>
          <w:bCs/>
          <w:rtl/>
        </w:rPr>
        <w:t>מומלץ ל</w:t>
      </w:r>
      <w:r w:rsidRPr="002B5E33" w:rsidR="00E23146">
        <w:rPr>
          <w:rFonts w:ascii="David" w:hAnsi="David" w:hint="cs"/>
          <w:b/>
          <w:bCs/>
          <w:rtl/>
        </w:rPr>
        <w:t>בחון</w:t>
      </w:r>
      <w:r w:rsidRPr="002B5E33" w:rsidR="00A81E4A">
        <w:rPr>
          <w:rFonts w:ascii="David" w:hAnsi="David" w:hint="cs"/>
          <w:b/>
          <w:bCs/>
          <w:rtl/>
        </w:rPr>
        <w:t xml:space="preserve"> </w:t>
      </w:r>
      <w:r w:rsidRPr="002B5E33" w:rsidR="00F12CBE">
        <w:rPr>
          <w:rFonts w:ascii="David" w:hAnsi="David" w:hint="cs"/>
          <w:b/>
          <w:bCs/>
          <w:rtl/>
        </w:rPr>
        <w:t xml:space="preserve">את </w:t>
      </w:r>
      <w:r w:rsidRPr="002B5E33" w:rsidR="00A81E4A">
        <w:rPr>
          <w:rFonts w:ascii="David" w:hAnsi="David" w:hint="cs"/>
          <w:b/>
          <w:bCs/>
          <w:rtl/>
        </w:rPr>
        <w:t xml:space="preserve">גיבושו </w:t>
      </w:r>
      <w:r w:rsidRPr="002B5E33">
        <w:rPr>
          <w:rFonts w:ascii="David" w:hAnsi="David" w:hint="eastAsia"/>
          <w:b/>
          <w:bCs/>
          <w:rtl/>
        </w:rPr>
        <w:t>של</w:t>
      </w:r>
      <w:r w:rsidRPr="002B5E33">
        <w:rPr>
          <w:rFonts w:ascii="David" w:hAnsi="David"/>
          <w:b/>
          <w:bCs/>
          <w:rtl/>
        </w:rPr>
        <w:t xml:space="preserve"> </w:t>
      </w:r>
      <w:r w:rsidRPr="002B5E33">
        <w:rPr>
          <w:rFonts w:ascii="David" w:hAnsi="David" w:hint="eastAsia"/>
          <w:b/>
          <w:bCs/>
          <w:rtl/>
        </w:rPr>
        <w:t>מדד</w:t>
      </w:r>
      <w:r w:rsidRPr="002B5E33">
        <w:rPr>
          <w:rFonts w:ascii="David" w:hAnsi="David"/>
          <w:b/>
          <w:bCs/>
          <w:rtl/>
        </w:rPr>
        <w:t xml:space="preserve"> </w:t>
      </w:r>
      <w:r w:rsidRPr="002B5E33" w:rsidR="000F407E">
        <w:rPr>
          <w:rFonts w:ascii="David" w:hAnsi="David" w:hint="cs"/>
          <w:b/>
          <w:bCs/>
          <w:rtl/>
        </w:rPr>
        <w:t xml:space="preserve">נוסף </w:t>
      </w:r>
      <w:r w:rsidRPr="002B5E33">
        <w:rPr>
          <w:rFonts w:ascii="David" w:hAnsi="David" w:hint="eastAsia"/>
          <w:b/>
          <w:bCs/>
          <w:rtl/>
        </w:rPr>
        <w:t>ש</w:t>
      </w:r>
      <w:r w:rsidRPr="002B5E33" w:rsidR="00A81E4A">
        <w:rPr>
          <w:rFonts w:ascii="David" w:hAnsi="David" w:hint="cs"/>
          <w:b/>
          <w:bCs/>
          <w:rtl/>
        </w:rPr>
        <w:t xml:space="preserve">ישקף </w:t>
      </w:r>
      <w:r w:rsidRPr="002B5E33">
        <w:rPr>
          <w:rFonts w:ascii="David" w:hAnsi="David" w:hint="eastAsia"/>
          <w:b/>
          <w:bCs/>
          <w:rtl/>
        </w:rPr>
        <w:t>את</w:t>
      </w:r>
      <w:r w:rsidRPr="002B5E33">
        <w:rPr>
          <w:rFonts w:ascii="David" w:hAnsi="David"/>
          <w:b/>
          <w:bCs/>
          <w:rtl/>
        </w:rPr>
        <w:t xml:space="preserve"> </w:t>
      </w:r>
      <w:r w:rsidRPr="002B5E33">
        <w:rPr>
          <w:rFonts w:ascii="David" w:hAnsi="David" w:hint="eastAsia"/>
          <w:b/>
          <w:bCs/>
          <w:rtl/>
        </w:rPr>
        <w:t>התועלת</w:t>
      </w:r>
      <w:r w:rsidRPr="002B5E33">
        <w:rPr>
          <w:rFonts w:ascii="David" w:hAnsi="David"/>
          <w:b/>
          <w:bCs/>
          <w:rtl/>
        </w:rPr>
        <w:t xml:space="preserve"> </w:t>
      </w:r>
      <w:r w:rsidRPr="002B5E33">
        <w:rPr>
          <w:rFonts w:ascii="David" w:hAnsi="David" w:hint="eastAsia"/>
          <w:b/>
          <w:bCs/>
          <w:rtl/>
        </w:rPr>
        <w:t>לציבור</w:t>
      </w:r>
      <w:r w:rsidRPr="002B5E33">
        <w:rPr>
          <w:rFonts w:ascii="David" w:hAnsi="David"/>
          <w:b/>
          <w:bCs/>
          <w:rtl/>
        </w:rPr>
        <w:t xml:space="preserve"> </w:t>
      </w:r>
      <w:r w:rsidRPr="002B5E33">
        <w:rPr>
          <w:rFonts w:ascii="David" w:hAnsi="David" w:hint="eastAsia"/>
          <w:b/>
          <w:bCs/>
          <w:rtl/>
        </w:rPr>
        <w:t>המבוטחים</w:t>
      </w:r>
      <w:r w:rsidRPr="002B5E33">
        <w:rPr>
          <w:rFonts w:ascii="David" w:hAnsi="David"/>
          <w:b/>
          <w:bCs/>
          <w:rtl/>
        </w:rPr>
        <w:t xml:space="preserve">, </w:t>
      </w:r>
      <w:r w:rsidRPr="002B5E33">
        <w:rPr>
          <w:rFonts w:ascii="David" w:hAnsi="David" w:hint="eastAsia"/>
          <w:b/>
          <w:bCs/>
          <w:rtl/>
        </w:rPr>
        <w:t>בדומה</w:t>
      </w:r>
      <w:r w:rsidRPr="002B5E33">
        <w:rPr>
          <w:rFonts w:ascii="David" w:hAnsi="David"/>
          <w:b/>
          <w:bCs/>
          <w:rtl/>
        </w:rPr>
        <w:t xml:space="preserve"> </w:t>
      </w:r>
      <w:r w:rsidRPr="002B5E33">
        <w:rPr>
          <w:rFonts w:ascii="David" w:hAnsi="David" w:hint="eastAsia"/>
          <w:b/>
          <w:bCs/>
          <w:rtl/>
        </w:rPr>
        <w:t>למדד</w:t>
      </w:r>
      <w:r w:rsidRPr="002B5E33">
        <w:rPr>
          <w:rFonts w:ascii="David" w:hAnsi="David"/>
          <w:b/>
          <w:bCs/>
          <w:rtl/>
        </w:rPr>
        <w:t xml:space="preserve"> </w:t>
      </w:r>
      <w:r w:rsidRPr="002B5E33">
        <w:rPr>
          <w:rFonts w:ascii="David" w:hAnsi="David" w:hint="eastAsia"/>
          <w:b/>
          <w:bCs/>
          <w:rtl/>
        </w:rPr>
        <w:t>הקיים</w:t>
      </w:r>
      <w:r w:rsidRPr="002B5E33">
        <w:rPr>
          <w:rFonts w:ascii="David" w:hAnsi="David"/>
          <w:b/>
          <w:bCs/>
          <w:rtl/>
        </w:rPr>
        <w:t xml:space="preserve"> </w:t>
      </w:r>
      <w:r w:rsidRPr="002B5E33">
        <w:rPr>
          <w:rFonts w:ascii="David" w:hAnsi="David" w:hint="eastAsia"/>
          <w:b/>
          <w:bCs/>
          <w:rtl/>
        </w:rPr>
        <w:t>בדוחות</w:t>
      </w:r>
      <w:r w:rsidRPr="002B5E33">
        <w:rPr>
          <w:rFonts w:ascii="David" w:hAnsi="David"/>
          <w:b/>
          <w:bCs/>
          <w:rtl/>
        </w:rPr>
        <w:t xml:space="preserve"> </w:t>
      </w:r>
      <w:r w:rsidRPr="002B5E33">
        <w:rPr>
          <w:rFonts w:ascii="David" w:hAnsi="David" w:hint="eastAsia"/>
          <w:b/>
          <w:bCs/>
          <w:rtl/>
        </w:rPr>
        <w:t>השב</w:t>
      </w:r>
      <w:r w:rsidRPr="002B5E33">
        <w:rPr>
          <w:rFonts w:ascii="David" w:hAnsi="David"/>
          <w:b/>
          <w:bCs/>
          <w:rtl/>
        </w:rPr>
        <w:t>"ן</w:t>
      </w:r>
      <w:r w:rsidRPr="002B5E33">
        <w:rPr>
          <w:rtl/>
        </w:rPr>
        <w:t xml:space="preserve">, </w:t>
      </w:r>
      <w:r w:rsidRPr="002B5E33">
        <w:rPr>
          <w:rFonts w:ascii="David" w:hAnsi="David" w:hint="eastAsia"/>
          <w:b/>
          <w:bCs/>
          <w:rtl/>
        </w:rPr>
        <w:t>לצורך</w:t>
      </w:r>
      <w:r w:rsidRPr="002B5E33">
        <w:rPr>
          <w:rFonts w:ascii="David" w:hAnsi="David"/>
          <w:b/>
          <w:bCs/>
          <w:rtl/>
        </w:rPr>
        <w:t xml:space="preserve"> </w:t>
      </w:r>
      <w:r w:rsidRPr="002B5E33">
        <w:rPr>
          <w:rFonts w:ascii="David" w:hAnsi="David" w:hint="eastAsia"/>
          <w:b/>
          <w:bCs/>
          <w:rtl/>
        </w:rPr>
        <w:t>שקיפות</w:t>
      </w:r>
      <w:r w:rsidRPr="002B5E33">
        <w:rPr>
          <w:rFonts w:ascii="David" w:hAnsi="David"/>
          <w:b/>
          <w:bCs/>
          <w:rtl/>
        </w:rPr>
        <w:t xml:space="preserve"> </w:t>
      </w:r>
      <w:r w:rsidRPr="002B5E33">
        <w:rPr>
          <w:rFonts w:ascii="David" w:hAnsi="David" w:hint="eastAsia"/>
          <w:b/>
          <w:bCs/>
          <w:rtl/>
        </w:rPr>
        <w:t>ובהירות</w:t>
      </w:r>
      <w:r w:rsidRPr="002B5E33" w:rsidR="00F12CBE">
        <w:rPr>
          <w:rFonts w:ascii="David" w:hAnsi="David" w:hint="cs"/>
          <w:b/>
          <w:bCs/>
          <w:rtl/>
        </w:rPr>
        <w:t xml:space="preserve"> של</w:t>
      </w:r>
      <w:r w:rsidRPr="002B5E33">
        <w:rPr>
          <w:rFonts w:ascii="David" w:hAnsi="David"/>
          <w:b/>
          <w:bCs/>
          <w:rtl/>
        </w:rPr>
        <w:t xml:space="preserve"> </w:t>
      </w:r>
      <w:r w:rsidRPr="002B5E33">
        <w:rPr>
          <w:rFonts w:ascii="David" w:hAnsi="David" w:hint="eastAsia"/>
          <w:b/>
          <w:bCs/>
          <w:rtl/>
        </w:rPr>
        <w:t>המידע</w:t>
      </w:r>
      <w:r w:rsidRPr="002B5E33" w:rsidR="00F12CBE">
        <w:rPr>
          <w:rFonts w:ascii="David" w:hAnsi="David" w:hint="cs"/>
          <w:b/>
          <w:bCs/>
          <w:rtl/>
        </w:rPr>
        <w:t xml:space="preserve"> המוצג</w:t>
      </w:r>
      <w:r w:rsidRPr="002B5E33">
        <w:rPr>
          <w:rFonts w:ascii="David" w:hAnsi="David"/>
          <w:b/>
          <w:bCs/>
          <w:rtl/>
        </w:rPr>
        <w:t xml:space="preserve"> </w:t>
      </w:r>
      <w:r w:rsidRPr="002B5E33">
        <w:rPr>
          <w:rFonts w:ascii="David" w:hAnsi="David" w:hint="eastAsia"/>
          <w:b/>
          <w:bCs/>
          <w:rtl/>
        </w:rPr>
        <w:t>לציבור</w:t>
      </w:r>
      <w:r w:rsidRPr="002B5E33">
        <w:rPr>
          <w:rFonts w:ascii="David" w:hAnsi="David"/>
          <w:b/>
          <w:bCs/>
          <w:rtl/>
        </w:rPr>
        <w:t xml:space="preserve"> </w:t>
      </w:r>
      <w:r w:rsidRPr="002B5E33">
        <w:rPr>
          <w:rFonts w:ascii="David" w:hAnsi="David" w:hint="eastAsia"/>
          <w:b/>
          <w:bCs/>
          <w:rtl/>
        </w:rPr>
        <w:t>הרחב</w:t>
      </w:r>
      <w:r w:rsidRPr="002B5E33">
        <w:rPr>
          <w:rFonts w:ascii="David" w:hAnsi="David"/>
          <w:b/>
          <w:bCs/>
          <w:rtl/>
        </w:rPr>
        <w:t>.</w:t>
      </w:r>
    </w:p>
    <w:p w:rsidR="00DA2933" w:rsidRPr="002B5E33" w:rsidP="00ED5C0D">
      <w:pPr>
        <w:spacing w:line="269" w:lineRule="auto"/>
        <w:rPr>
          <w:rtl/>
        </w:rPr>
      </w:pPr>
    </w:p>
    <w:p w:rsidR="00B132F4" w:rsidRPr="002B5E33" w:rsidP="00ED5C0D">
      <w:pPr>
        <w:spacing w:line="269" w:lineRule="auto"/>
        <w:rPr>
          <w:rFonts w:eastAsiaTheme="majorEastAsia"/>
          <w:bCs/>
          <w:szCs w:val="26"/>
          <w:rtl/>
        </w:rPr>
      </w:pPr>
      <w:r w:rsidRPr="002B5E33">
        <w:rPr>
          <w:rFonts w:eastAsiaTheme="majorEastAsia" w:hint="cs"/>
          <w:bCs/>
          <w:szCs w:val="26"/>
          <w:rtl/>
        </w:rPr>
        <w:t xml:space="preserve">השוואה בין </w:t>
      </w:r>
      <w:r w:rsidRPr="002B5E33">
        <w:rPr>
          <w:rFonts w:eastAsiaTheme="majorEastAsia"/>
          <w:bCs/>
          <w:szCs w:val="26"/>
          <w:rtl/>
        </w:rPr>
        <w:t xml:space="preserve">ביטוחי הפרט </w:t>
      </w:r>
      <w:r w:rsidRPr="002B5E33">
        <w:rPr>
          <w:rFonts w:eastAsiaTheme="majorEastAsia" w:hint="cs"/>
          <w:bCs/>
          <w:szCs w:val="26"/>
          <w:rtl/>
        </w:rPr>
        <w:t>ל</w:t>
      </w:r>
      <w:r w:rsidRPr="002B5E33">
        <w:rPr>
          <w:rFonts w:eastAsiaTheme="majorEastAsia"/>
          <w:bCs/>
          <w:szCs w:val="26"/>
          <w:rtl/>
        </w:rPr>
        <w:t>ביטוחים הקבוצתיים</w:t>
      </w:r>
    </w:p>
    <w:p w:rsidR="00B132F4" w:rsidRPr="002B5E33" w:rsidP="00ED5C0D">
      <w:pPr>
        <w:spacing w:line="269" w:lineRule="auto"/>
        <w:ind w:left="-568"/>
        <w:rPr>
          <w:rFonts w:ascii="David" w:hAnsi="David"/>
          <w:szCs w:val="20"/>
          <w:rtl/>
        </w:rPr>
      </w:pPr>
    </w:p>
    <w:p w:rsidR="00494B2B" w:rsidP="00494B2B">
      <w:pPr>
        <w:spacing w:line="269" w:lineRule="auto"/>
        <w:rPr>
          <w:rFonts w:ascii="David" w:hAnsi="David"/>
          <w:sz w:val="24"/>
          <w:rtl/>
        </w:rPr>
      </w:pPr>
      <w:r w:rsidRPr="002B5E33">
        <w:rPr>
          <w:rFonts w:ascii="David" w:hAnsi="David"/>
          <w:sz w:val="24"/>
          <w:rtl/>
        </w:rPr>
        <w:t>חלוקה מקובלת בתחום ביטוחי הבריאות, היא סיווג הביטוחים לשתי קבוצות עיקריות - ביטוחי פרט וביטוחים קבוצתיים. בביטוחי פרט המבוטח רוכש פוליסת ביטוח מחברת ביטוח עבור עצמו או עבור בני משפחתו</w:t>
      </w:r>
      <w:r w:rsidRPr="002B5E33">
        <w:rPr>
          <w:rFonts w:ascii="David" w:hAnsi="David" w:hint="cs"/>
          <w:sz w:val="24"/>
          <w:rtl/>
        </w:rPr>
        <w:t xml:space="preserve"> לרוב </w:t>
      </w:r>
      <w:r w:rsidRPr="002B5E33">
        <w:rPr>
          <w:rFonts w:ascii="David" w:hAnsi="David"/>
          <w:sz w:val="24"/>
          <w:rtl/>
        </w:rPr>
        <w:t>באמצעות סוכן ביטוח</w:t>
      </w:r>
      <w:r w:rsidRPr="002B5E33">
        <w:rPr>
          <w:rFonts w:ascii="David" w:hAnsi="David" w:hint="cs"/>
          <w:sz w:val="24"/>
          <w:rtl/>
        </w:rPr>
        <w:t>.</w:t>
      </w:r>
      <w:r w:rsidRPr="002B5E33">
        <w:rPr>
          <w:rFonts w:ascii="David" w:hAnsi="David"/>
          <w:sz w:val="24"/>
          <w:rtl/>
        </w:rPr>
        <w:t xml:space="preserve"> ביטוחים קבוצתיים </w:t>
      </w:r>
      <w:r w:rsidRPr="002B5E33">
        <w:rPr>
          <w:rFonts w:ascii="David" w:hAnsi="David" w:hint="cs"/>
          <w:sz w:val="24"/>
          <w:rtl/>
        </w:rPr>
        <w:t>נעשים עבור</w:t>
      </w:r>
      <w:r w:rsidRPr="002B5E33">
        <w:rPr>
          <w:rFonts w:ascii="David" w:hAnsi="David"/>
          <w:sz w:val="24"/>
          <w:rtl/>
        </w:rPr>
        <w:t xml:space="preserve"> קבוצה של לפחות 50 מבוטחים בעלי מכנה משותף, כגון עובדים במקום עבודה אחד או חברים בארגון. מדוח רשות שוק ההון </w:t>
      </w:r>
      <w:r w:rsidRPr="002B5E33">
        <w:rPr>
          <w:rFonts w:ascii="David" w:hAnsi="David" w:hint="cs"/>
          <w:sz w:val="24"/>
          <w:rtl/>
        </w:rPr>
        <w:t xml:space="preserve">לשנת 2018 </w:t>
      </w:r>
      <w:r w:rsidRPr="002B5E33">
        <w:rPr>
          <w:rFonts w:ascii="David" w:hAnsi="David"/>
          <w:sz w:val="24"/>
          <w:rtl/>
        </w:rPr>
        <w:t>עולה, כי בפוליסות מסוג "הוצאות רפואיות", סך תשלומי הפרמיות</w:t>
      </w:r>
      <w:r w:rsidRPr="002B5E33">
        <w:rPr>
          <w:rFonts w:ascii="David" w:hAnsi="David" w:hint="cs"/>
          <w:sz w:val="24"/>
          <w:rtl/>
        </w:rPr>
        <w:t xml:space="preserve"> אשר עמדו בשנת 2018</w:t>
      </w:r>
      <w:r w:rsidRPr="002B5E33">
        <w:rPr>
          <w:rFonts w:ascii="David" w:hAnsi="David"/>
          <w:sz w:val="24"/>
          <w:rtl/>
        </w:rPr>
        <w:t xml:space="preserve"> </w:t>
      </w:r>
      <w:r w:rsidRPr="002B5E33">
        <w:rPr>
          <w:rFonts w:ascii="David" w:hAnsi="David" w:hint="cs"/>
          <w:sz w:val="24"/>
          <w:rtl/>
        </w:rPr>
        <w:t>על 3.95 מיליארדי ש"ח,</w:t>
      </w:r>
      <w:r w:rsidRPr="002B5E33">
        <w:rPr>
          <w:rFonts w:ascii="David" w:hAnsi="David"/>
          <w:sz w:val="24"/>
          <w:rtl/>
        </w:rPr>
        <w:t xml:space="preserve"> מחולקים באופן עקבי</w:t>
      </w:r>
      <w:r w:rsidRPr="002B5E33">
        <w:rPr>
          <w:rFonts w:ascii="David" w:hAnsi="David" w:hint="cs"/>
          <w:sz w:val="24"/>
          <w:rtl/>
        </w:rPr>
        <w:t xml:space="preserve"> משנת 2011</w:t>
      </w:r>
      <w:r w:rsidRPr="002B5E33">
        <w:rPr>
          <w:rFonts w:ascii="David" w:hAnsi="David"/>
          <w:sz w:val="24"/>
          <w:rtl/>
        </w:rPr>
        <w:t xml:space="preserve"> ביחס של 35% </w:t>
      </w:r>
      <w:r w:rsidRPr="002B5E33">
        <w:rPr>
          <w:rFonts w:ascii="David" w:hAnsi="David" w:hint="cs"/>
          <w:sz w:val="24"/>
          <w:rtl/>
        </w:rPr>
        <w:t xml:space="preserve">במסגרת ביטוחים </w:t>
      </w:r>
      <w:r w:rsidRPr="002B5E33">
        <w:rPr>
          <w:rFonts w:ascii="David" w:hAnsi="David"/>
          <w:sz w:val="24"/>
          <w:rtl/>
        </w:rPr>
        <w:t>קבוצתי</w:t>
      </w:r>
      <w:r w:rsidRPr="002B5E33">
        <w:rPr>
          <w:rFonts w:ascii="David" w:hAnsi="David" w:hint="cs"/>
          <w:sz w:val="24"/>
          <w:rtl/>
        </w:rPr>
        <w:t>ים</w:t>
      </w:r>
      <w:r w:rsidRPr="002B5E33">
        <w:rPr>
          <w:rFonts w:ascii="David" w:hAnsi="David"/>
          <w:sz w:val="24"/>
          <w:rtl/>
        </w:rPr>
        <w:t xml:space="preserve"> </w:t>
      </w:r>
      <w:r w:rsidRPr="002B5E33">
        <w:rPr>
          <w:rFonts w:ascii="David" w:hAnsi="David" w:hint="cs"/>
          <w:sz w:val="24"/>
          <w:rtl/>
        </w:rPr>
        <w:t xml:space="preserve">לעומת </w:t>
      </w:r>
      <w:r w:rsidRPr="002B5E33">
        <w:rPr>
          <w:rFonts w:ascii="David" w:hAnsi="David"/>
          <w:sz w:val="24"/>
          <w:rtl/>
        </w:rPr>
        <w:t xml:space="preserve">65% </w:t>
      </w:r>
      <w:r w:rsidRPr="002B5E33">
        <w:rPr>
          <w:rFonts w:ascii="David" w:hAnsi="David" w:hint="cs"/>
          <w:sz w:val="24"/>
          <w:rtl/>
        </w:rPr>
        <w:t xml:space="preserve">בביטוחי </w:t>
      </w:r>
      <w:r w:rsidRPr="002B5E33">
        <w:rPr>
          <w:rFonts w:ascii="David" w:hAnsi="David"/>
          <w:sz w:val="24"/>
          <w:rtl/>
        </w:rPr>
        <w:t>פרט</w:t>
      </w:r>
      <w:r>
        <w:rPr>
          <w:rFonts w:ascii="David" w:hAnsi="David"/>
          <w:sz w:val="24"/>
          <w:vertAlign w:val="superscript"/>
          <w:rtl/>
        </w:rPr>
        <w:footnoteReference w:id="51"/>
      </w:r>
      <w:r w:rsidRPr="002B5E33">
        <w:rPr>
          <w:rFonts w:ascii="David" w:hAnsi="David"/>
          <w:sz w:val="24"/>
          <w:rtl/>
        </w:rPr>
        <w:t xml:space="preserve">. </w:t>
      </w:r>
      <w:r w:rsidRPr="002B5E33">
        <w:rPr>
          <w:rFonts w:ascii="David" w:hAnsi="David" w:hint="cs"/>
          <w:sz w:val="24"/>
          <w:rtl/>
        </w:rPr>
        <w:t xml:space="preserve">בלוח 1 </w:t>
      </w:r>
      <w:r w:rsidRPr="002B5E33">
        <w:rPr>
          <w:rFonts w:ascii="David" w:hAnsi="David"/>
          <w:sz w:val="24"/>
          <w:rtl/>
        </w:rPr>
        <w:t xml:space="preserve">להלן ההבדלים העיקריים בין פוליסות פרט לבין פוליסות קבוצתיות: </w:t>
      </w:r>
    </w:p>
    <w:p w:rsidR="00315762" w:rsidRPr="00494B2B" w:rsidP="00494B2B">
      <w:pPr>
        <w:spacing w:line="269" w:lineRule="auto"/>
        <w:rPr>
          <w:rFonts w:ascii="David" w:hAnsi="David"/>
          <w:sz w:val="24"/>
          <w:rtl/>
        </w:rPr>
      </w:pPr>
      <w:r>
        <w:rPr>
          <w:rFonts w:ascii="David" w:hAnsi="David" w:eastAsiaTheme="majorEastAsia"/>
          <w:b/>
          <w:bCs/>
          <w:rtl/>
        </w:rPr>
        <w:br w:type="page"/>
      </w:r>
    </w:p>
    <w:p w:rsidR="009B24CF" w:rsidP="009B24CF">
      <w:pPr>
        <w:spacing w:before="240" w:line="269" w:lineRule="auto"/>
        <w:jc w:val="center"/>
        <w:rPr>
          <w:rFonts w:ascii="David" w:hAnsi="David" w:eastAsiaTheme="majorEastAsia"/>
          <w:b/>
          <w:bCs/>
          <w:rtl/>
        </w:rPr>
      </w:pPr>
      <w:r w:rsidRPr="009B24CF">
        <w:rPr>
          <w:rFonts w:ascii="David" w:hAnsi="David" w:eastAsiaTheme="majorEastAsia" w:hint="cs"/>
          <w:b/>
          <w:bCs/>
          <w:rtl/>
        </w:rPr>
        <w:t>לוח</w:t>
      </w:r>
      <w:r w:rsidRPr="009B24CF">
        <w:rPr>
          <w:rFonts w:ascii="David" w:hAnsi="David" w:eastAsiaTheme="majorEastAsia"/>
          <w:b/>
          <w:bCs/>
          <w:rtl/>
        </w:rPr>
        <w:t xml:space="preserve"> </w:t>
      </w:r>
      <w:r w:rsidRPr="009B24CF">
        <w:rPr>
          <w:rFonts w:ascii="David" w:hAnsi="David" w:eastAsiaTheme="majorEastAsia" w:hint="cs"/>
          <w:b/>
          <w:bCs/>
          <w:rtl/>
        </w:rPr>
        <w:t xml:space="preserve">1: </w:t>
      </w:r>
      <w:r w:rsidRPr="009B24CF">
        <w:rPr>
          <w:rFonts w:ascii="David" w:hAnsi="David" w:eastAsiaTheme="majorEastAsia"/>
          <w:b/>
          <w:bCs/>
          <w:rtl/>
        </w:rPr>
        <w:t>עיקרי ההבדלים בין ביטוח פרט לביטוח קבוצתי</w:t>
      </w:r>
      <w:r>
        <w:rPr>
          <w:rFonts w:ascii="David" w:hAnsi="David"/>
          <w:b/>
          <w:bCs/>
          <w:sz w:val="24"/>
          <w:vertAlign w:val="superscript"/>
          <w:rtl/>
        </w:rPr>
        <w:footnoteReference w:id="52"/>
      </w:r>
    </w:p>
    <w:p w:rsidR="009B24CF" w:rsidRPr="009B24CF" w:rsidP="009B24CF">
      <w:pPr>
        <w:spacing w:line="240" w:lineRule="exact"/>
        <w:jc w:val="center"/>
        <w:rPr>
          <w:rFonts w:ascii="David" w:hAnsi="David" w:eastAsiaTheme="majorEastAsia"/>
          <w:b/>
          <w:bCs/>
          <w:rtl/>
        </w:rPr>
      </w:pPr>
    </w:p>
    <w:tbl>
      <w:tblPr>
        <w:tblStyle w:val="5-310"/>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6"/>
        <w:gridCol w:w="3135"/>
        <w:gridCol w:w="4055"/>
      </w:tblGrid>
      <w:tr w:rsidTr="00CB009B">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42"/>
        </w:trPr>
        <w:tc>
          <w:tcPr>
            <w:tcW w:w="0" w:type="auto"/>
            <w:tcBorders>
              <w:top w:val="none" w:sz="0" w:space="0" w:color="auto"/>
              <w:left w:val="none" w:sz="0" w:space="0" w:color="auto"/>
              <w:right w:val="none" w:sz="0" w:space="0" w:color="auto"/>
            </w:tcBorders>
            <w:shd w:val="clear" w:color="auto" w:fill="auto"/>
            <w:vAlign w:val="bottom"/>
          </w:tcPr>
          <w:p w:rsidR="00B132F4" w:rsidRPr="00C458CA" w:rsidP="00ED5C0D">
            <w:pPr>
              <w:spacing w:line="269" w:lineRule="auto"/>
              <w:rPr>
                <w:rFonts w:ascii="David" w:hAnsi="David"/>
                <w:sz w:val="22"/>
                <w:szCs w:val="22"/>
                <w:u w:val="single"/>
                <w:rtl/>
              </w:rPr>
            </w:pPr>
          </w:p>
        </w:tc>
        <w:tc>
          <w:tcPr>
            <w:tcW w:w="0" w:type="auto"/>
            <w:tcBorders>
              <w:top w:val="none" w:sz="0" w:space="0" w:color="auto"/>
              <w:left w:val="none" w:sz="0" w:space="0" w:color="auto"/>
              <w:right w:val="none" w:sz="0" w:space="0" w:color="auto"/>
            </w:tcBorders>
            <w:shd w:val="clear" w:color="auto" w:fill="auto"/>
            <w:vAlign w:val="bottom"/>
          </w:tcPr>
          <w:p w:rsidR="00B132F4" w:rsidRPr="00C458CA" w:rsidP="00ED5C0D">
            <w:pPr>
              <w:spacing w:line="269" w:lineRule="auto"/>
              <w:jc w:val="center"/>
              <w:rPr>
                <w:rFonts w:ascii="David" w:hAnsi="David"/>
                <w:sz w:val="22"/>
                <w:szCs w:val="22"/>
                <w:u w:val="single"/>
                <w:rtl/>
              </w:rPr>
            </w:pPr>
            <w:r w:rsidRPr="00C458CA">
              <w:rPr>
                <w:rFonts w:ascii="David" w:hAnsi="David"/>
                <w:color w:val="auto"/>
                <w:sz w:val="22"/>
                <w:szCs w:val="22"/>
                <w:rtl/>
              </w:rPr>
              <w:t>פרט</w:t>
            </w:r>
          </w:p>
        </w:tc>
        <w:tc>
          <w:tcPr>
            <w:tcW w:w="0" w:type="auto"/>
            <w:tcBorders>
              <w:top w:val="none" w:sz="0" w:space="0" w:color="auto"/>
              <w:left w:val="none" w:sz="0" w:space="0" w:color="auto"/>
              <w:right w:val="none" w:sz="0" w:space="0" w:color="auto"/>
            </w:tcBorders>
            <w:shd w:val="clear" w:color="auto" w:fill="auto"/>
            <w:vAlign w:val="bottom"/>
          </w:tcPr>
          <w:p w:rsidR="00B132F4" w:rsidRPr="00C458CA" w:rsidP="00ED5C0D">
            <w:pPr>
              <w:spacing w:line="269" w:lineRule="auto"/>
              <w:jc w:val="center"/>
              <w:rPr>
                <w:rFonts w:ascii="David" w:hAnsi="David"/>
                <w:sz w:val="22"/>
                <w:szCs w:val="22"/>
                <w:rtl/>
              </w:rPr>
            </w:pPr>
            <w:r w:rsidRPr="00C458CA">
              <w:rPr>
                <w:rFonts w:ascii="David" w:hAnsi="David"/>
                <w:color w:val="auto"/>
                <w:sz w:val="22"/>
                <w:szCs w:val="22"/>
                <w:rtl/>
              </w:rPr>
              <w:t>קבוצתי</w:t>
            </w:r>
          </w:p>
        </w:tc>
      </w:tr>
      <w:tr w:rsidTr="00CB009B">
        <w:tblPrEx>
          <w:tblW w:w="0" w:type="auto"/>
          <w:tblInd w:w="5" w:type="dxa"/>
          <w:tblLook w:val="04A0"/>
        </w:tblPrEx>
        <w:trPr>
          <w:trHeight w:val="20"/>
        </w:trPr>
        <w:tc>
          <w:tcPr>
            <w:tcW w:w="0" w:type="auto"/>
            <w:tcBorders>
              <w:left w:val="none" w:sz="0" w:space="0" w:color="auto"/>
            </w:tcBorders>
            <w:shd w:val="clear" w:color="auto" w:fill="auto"/>
          </w:tcPr>
          <w:p w:rsidR="00B132F4" w:rsidRPr="00C458CA" w:rsidP="001A469F">
            <w:pPr>
              <w:spacing w:before="30" w:after="30" w:line="240" w:lineRule="exact"/>
              <w:rPr>
                <w:rFonts w:ascii="David" w:hAnsi="David"/>
                <w:sz w:val="22"/>
                <w:szCs w:val="22"/>
                <w:u w:val="single"/>
                <w:rtl/>
              </w:rPr>
            </w:pPr>
            <w:r w:rsidRPr="00C458CA">
              <w:rPr>
                <w:rFonts w:ascii="David" w:hAnsi="David"/>
                <w:color w:val="auto"/>
                <w:sz w:val="22"/>
                <w:szCs w:val="22"/>
                <w:rtl/>
              </w:rPr>
              <w:t>היקף הכיסוי הביטוחי</w:t>
            </w:r>
            <w:r w:rsidRPr="00C458CA">
              <w:rPr>
                <w:rFonts w:ascii="Arial" w:hAnsi="Arial" w:cs="Arial"/>
                <w:color w:val="auto"/>
                <w:sz w:val="22"/>
                <w:szCs w:val="22"/>
              </w:rPr>
              <w:t>​</w:t>
            </w:r>
          </w:p>
        </w:tc>
        <w:tc>
          <w:tcPr>
            <w:tcW w:w="0" w:type="auto"/>
            <w:shd w:val="clear" w:color="auto" w:fill="auto"/>
          </w:tcPr>
          <w:p w:rsidR="00B132F4" w:rsidRPr="00C458CA" w:rsidP="001A469F">
            <w:pPr>
              <w:spacing w:before="30" w:after="30" w:line="240" w:lineRule="exact"/>
              <w:rPr>
                <w:rFonts w:ascii="David" w:hAnsi="David"/>
                <w:b/>
                <w:bCs/>
                <w:sz w:val="22"/>
                <w:szCs w:val="22"/>
                <w:u w:val="single"/>
                <w:rtl/>
              </w:rPr>
            </w:pPr>
            <w:r w:rsidRPr="00C458CA">
              <w:rPr>
                <w:rFonts w:ascii="David" w:hAnsi="David"/>
                <w:sz w:val="22"/>
                <w:szCs w:val="22"/>
                <w:rtl/>
              </w:rPr>
              <w:t>בהתאם לבחירת המבוטח ולהסכמת החברה</w:t>
            </w:r>
            <w:r w:rsidRPr="00C458CA">
              <w:rPr>
                <w:rFonts w:ascii="David" w:hAnsi="David"/>
                <w:sz w:val="22"/>
                <w:szCs w:val="22"/>
              </w:rPr>
              <w:t xml:space="preserve"> </w:t>
            </w:r>
            <w:r w:rsidRPr="00C458CA">
              <w:rPr>
                <w:rFonts w:ascii="Arial" w:hAnsi="Arial" w:cs="Arial"/>
                <w:sz w:val="22"/>
                <w:szCs w:val="22"/>
              </w:rPr>
              <w:t>​</w:t>
            </w:r>
          </w:p>
        </w:tc>
        <w:tc>
          <w:tcPr>
            <w:tcW w:w="0" w:type="auto"/>
            <w:shd w:val="clear" w:color="auto" w:fill="auto"/>
          </w:tcPr>
          <w:p w:rsidR="00B132F4" w:rsidRPr="00C458CA" w:rsidP="001A469F">
            <w:pPr>
              <w:spacing w:before="30" w:after="30" w:line="240" w:lineRule="exact"/>
              <w:rPr>
                <w:rFonts w:ascii="David" w:hAnsi="David"/>
                <w:sz w:val="22"/>
                <w:szCs w:val="22"/>
                <w:rtl/>
              </w:rPr>
            </w:pPr>
            <w:r w:rsidRPr="00C458CA">
              <w:rPr>
                <w:rFonts w:ascii="David" w:hAnsi="David"/>
                <w:sz w:val="22"/>
                <w:szCs w:val="22"/>
                <w:rtl/>
              </w:rPr>
              <w:t>בהתאם להסכם שבין חברת הביטוח לבעל הפוליסה (ועד העובדים, מקום העבודה, הארגון המאגד וכדומה). למבוטח הבודד אין כמעט יכולת השפעה על היקף הכיסוי, למעט בבחירת חבילות כיסויים</w:t>
            </w:r>
            <w:r w:rsidRPr="00C458CA" w:rsidR="00944242">
              <w:rPr>
                <w:rFonts w:ascii="David" w:hAnsi="David"/>
                <w:sz w:val="22"/>
                <w:szCs w:val="22"/>
                <w:rtl/>
              </w:rPr>
              <w:t xml:space="preserve"> </w:t>
            </w:r>
            <w:r w:rsidRPr="00C458CA">
              <w:rPr>
                <w:rFonts w:ascii="David" w:hAnsi="David"/>
                <w:sz w:val="22"/>
                <w:szCs w:val="22"/>
                <w:rtl/>
              </w:rPr>
              <w:t xml:space="preserve">הניתנים במסגרת הביטוח הקבוצתי. </w:t>
            </w:r>
          </w:p>
        </w:tc>
      </w:tr>
      <w:tr w:rsidTr="00CB009B">
        <w:tblPrEx>
          <w:tblW w:w="0" w:type="auto"/>
          <w:tblInd w:w="5" w:type="dxa"/>
          <w:tblLook w:val="04A0"/>
        </w:tblPrEx>
        <w:trPr>
          <w:trHeight w:val="20"/>
        </w:trPr>
        <w:tc>
          <w:tcPr>
            <w:tcW w:w="0" w:type="auto"/>
            <w:tcBorders>
              <w:left w:val="none" w:sz="0" w:space="0" w:color="auto"/>
            </w:tcBorders>
            <w:shd w:val="clear" w:color="auto" w:fill="auto"/>
          </w:tcPr>
          <w:p w:rsidR="00B132F4" w:rsidRPr="00C458CA" w:rsidP="001A469F">
            <w:pPr>
              <w:spacing w:before="30" w:after="30" w:line="240" w:lineRule="exact"/>
              <w:rPr>
                <w:rFonts w:ascii="David" w:hAnsi="David"/>
                <w:sz w:val="22"/>
                <w:szCs w:val="22"/>
                <w:u w:val="single"/>
                <w:rtl/>
              </w:rPr>
            </w:pPr>
            <w:r w:rsidRPr="00C458CA">
              <w:rPr>
                <w:rFonts w:ascii="David" w:hAnsi="David"/>
                <w:color w:val="auto"/>
                <w:sz w:val="22"/>
                <w:szCs w:val="22"/>
                <w:rtl/>
              </w:rPr>
              <w:t>חיתום רפואי</w:t>
            </w:r>
            <w:r w:rsidRPr="00C458CA">
              <w:rPr>
                <w:rFonts w:ascii="Arial" w:hAnsi="Arial" w:cs="Arial"/>
                <w:color w:val="auto"/>
                <w:sz w:val="22"/>
                <w:szCs w:val="22"/>
              </w:rPr>
              <w:t>​</w:t>
            </w:r>
          </w:p>
        </w:tc>
        <w:tc>
          <w:tcPr>
            <w:tcW w:w="0" w:type="auto"/>
            <w:shd w:val="clear" w:color="auto" w:fill="auto"/>
          </w:tcPr>
          <w:p w:rsidR="00B132F4" w:rsidRPr="00C458CA" w:rsidP="001A469F">
            <w:pPr>
              <w:spacing w:before="30" w:after="30" w:line="240" w:lineRule="exact"/>
              <w:rPr>
                <w:rFonts w:ascii="David" w:hAnsi="David"/>
                <w:b/>
                <w:bCs/>
                <w:sz w:val="22"/>
                <w:szCs w:val="22"/>
                <w:u w:val="single"/>
              </w:rPr>
            </w:pPr>
            <w:r w:rsidRPr="00C458CA">
              <w:rPr>
                <w:rFonts w:ascii="David" w:hAnsi="David"/>
                <w:sz w:val="22"/>
                <w:szCs w:val="22"/>
                <w:rtl/>
              </w:rPr>
              <w:t>המבוטח עובר בדרך כלל תהליך חיתום רפואי במועד ההצטרפות לביטוח</w:t>
            </w:r>
            <w:r w:rsidRPr="00C458CA">
              <w:rPr>
                <w:rFonts w:ascii="David" w:hAnsi="David"/>
                <w:sz w:val="22"/>
                <w:szCs w:val="22"/>
              </w:rPr>
              <w:t>.</w:t>
            </w:r>
            <w:r w:rsidRPr="00C458CA">
              <w:rPr>
                <w:rFonts w:ascii="Arial" w:hAnsi="Arial" w:cs="Arial"/>
                <w:sz w:val="22"/>
                <w:szCs w:val="22"/>
              </w:rPr>
              <w:t>​</w:t>
            </w:r>
          </w:p>
        </w:tc>
        <w:tc>
          <w:tcPr>
            <w:tcW w:w="0" w:type="auto"/>
            <w:shd w:val="clear" w:color="auto" w:fill="auto"/>
          </w:tcPr>
          <w:p w:rsidR="00B132F4" w:rsidRPr="00C458CA" w:rsidP="001A469F">
            <w:pPr>
              <w:spacing w:before="30" w:after="30" w:line="240" w:lineRule="exact"/>
              <w:rPr>
                <w:rFonts w:ascii="David" w:hAnsi="David"/>
                <w:b/>
                <w:bCs/>
                <w:sz w:val="22"/>
                <w:szCs w:val="22"/>
                <w:u w:val="single"/>
                <w:rtl/>
              </w:rPr>
            </w:pPr>
            <w:r w:rsidRPr="00C458CA">
              <w:rPr>
                <w:rFonts w:ascii="David" w:hAnsi="David"/>
                <w:sz w:val="22"/>
                <w:szCs w:val="22"/>
                <w:rtl/>
              </w:rPr>
              <w:t>על-פי רוב, ההצטרפות היא בלא חיתום</w:t>
            </w:r>
            <w:r w:rsidRPr="00C458CA">
              <w:rPr>
                <w:rFonts w:ascii="David" w:hAnsi="David"/>
                <w:sz w:val="22"/>
                <w:szCs w:val="22"/>
              </w:rPr>
              <w:t>.</w:t>
            </w:r>
            <w:r w:rsidRPr="00C458CA">
              <w:rPr>
                <w:rFonts w:ascii="Arial" w:hAnsi="Arial" w:cs="Arial"/>
                <w:sz w:val="22"/>
                <w:szCs w:val="22"/>
              </w:rPr>
              <w:t>​</w:t>
            </w:r>
          </w:p>
        </w:tc>
      </w:tr>
      <w:tr w:rsidTr="00CB009B">
        <w:tblPrEx>
          <w:tblW w:w="0" w:type="auto"/>
          <w:tblInd w:w="5" w:type="dxa"/>
          <w:tblLook w:val="04A0"/>
        </w:tblPrEx>
        <w:trPr>
          <w:trHeight w:val="20"/>
        </w:trPr>
        <w:tc>
          <w:tcPr>
            <w:tcW w:w="0" w:type="auto"/>
            <w:tcBorders>
              <w:left w:val="none" w:sz="0" w:space="0" w:color="auto"/>
            </w:tcBorders>
            <w:shd w:val="clear" w:color="auto" w:fill="auto"/>
          </w:tcPr>
          <w:p w:rsidR="00B132F4" w:rsidRPr="00C458CA" w:rsidP="001A469F">
            <w:pPr>
              <w:spacing w:before="30" w:after="30" w:line="240" w:lineRule="exact"/>
              <w:rPr>
                <w:rFonts w:ascii="David" w:hAnsi="David"/>
                <w:sz w:val="22"/>
                <w:szCs w:val="22"/>
                <w:u w:val="single"/>
                <w:rtl/>
              </w:rPr>
            </w:pPr>
            <w:r w:rsidRPr="00C458CA">
              <w:rPr>
                <w:rFonts w:ascii="David" w:hAnsi="David"/>
                <w:color w:val="auto"/>
                <w:sz w:val="22"/>
                <w:szCs w:val="22"/>
                <w:rtl/>
              </w:rPr>
              <w:t>פרמיה</w:t>
            </w:r>
          </w:p>
        </w:tc>
        <w:tc>
          <w:tcPr>
            <w:tcW w:w="0" w:type="auto"/>
            <w:shd w:val="clear" w:color="auto" w:fill="auto"/>
          </w:tcPr>
          <w:p w:rsidR="00B132F4" w:rsidRPr="00C458CA" w:rsidP="001A469F">
            <w:pPr>
              <w:spacing w:before="30" w:after="30" w:line="240" w:lineRule="exact"/>
              <w:rPr>
                <w:rFonts w:ascii="David" w:hAnsi="David"/>
                <w:b/>
                <w:bCs/>
                <w:sz w:val="22"/>
                <w:szCs w:val="22"/>
                <w:u w:val="single"/>
              </w:rPr>
            </w:pPr>
            <w:r w:rsidRPr="00C458CA">
              <w:rPr>
                <w:rFonts w:ascii="David" w:hAnsi="David"/>
                <w:sz w:val="22"/>
                <w:szCs w:val="22"/>
                <w:rtl/>
              </w:rPr>
              <w:t>לרוב, גבוהה יותר מזו שבפוליסה קבוצתית</w:t>
            </w:r>
            <w:r w:rsidRPr="00C458CA">
              <w:rPr>
                <w:rFonts w:ascii="David" w:hAnsi="David"/>
                <w:sz w:val="22"/>
                <w:szCs w:val="22"/>
              </w:rPr>
              <w:t>.</w:t>
            </w:r>
            <w:r w:rsidRPr="00C458CA">
              <w:rPr>
                <w:rFonts w:ascii="Arial" w:hAnsi="Arial" w:cs="Arial"/>
                <w:sz w:val="22"/>
                <w:szCs w:val="22"/>
              </w:rPr>
              <w:t>​</w:t>
            </w:r>
          </w:p>
        </w:tc>
        <w:tc>
          <w:tcPr>
            <w:tcW w:w="0" w:type="auto"/>
            <w:shd w:val="clear" w:color="auto" w:fill="auto"/>
          </w:tcPr>
          <w:p w:rsidR="00B132F4" w:rsidRPr="00C458CA" w:rsidP="001A469F">
            <w:pPr>
              <w:spacing w:before="30" w:after="30" w:line="240" w:lineRule="exact"/>
              <w:rPr>
                <w:rFonts w:ascii="David" w:hAnsi="David"/>
                <w:b/>
                <w:bCs/>
                <w:sz w:val="22"/>
                <w:szCs w:val="22"/>
                <w:u w:val="single"/>
              </w:rPr>
            </w:pPr>
            <w:r w:rsidRPr="00C458CA">
              <w:rPr>
                <w:rFonts w:ascii="David" w:hAnsi="David"/>
                <w:sz w:val="22"/>
                <w:szCs w:val="22"/>
                <w:rtl/>
              </w:rPr>
              <w:t>לרוב, נמוכה יותר מזו שבפוליסת פרט. אולם, אין הבטחה כי לאחר חידוש הפוליסה לתקופת ביטוח נוספת יישאר גובה הפרמיה בעינו</w:t>
            </w:r>
            <w:r w:rsidRPr="00C458CA">
              <w:rPr>
                <w:rFonts w:ascii="David" w:hAnsi="David"/>
                <w:sz w:val="22"/>
                <w:szCs w:val="22"/>
              </w:rPr>
              <w:t>.</w:t>
            </w:r>
            <w:r w:rsidRPr="00C458CA">
              <w:rPr>
                <w:rFonts w:ascii="Arial" w:hAnsi="Arial" w:cs="Arial"/>
                <w:sz w:val="22"/>
                <w:szCs w:val="22"/>
              </w:rPr>
              <w:t>​</w:t>
            </w:r>
          </w:p>
        </w:tc>
      </w:tr>
      <w:tr w:rsidTr="00CB009B">
        <w:tblPrEx>
          <w:tblW w:w="0" w:type="auto"/>
          <w:tblInd w:w="5" w:type="dxa"/>
          <w:tblLook w:val="04A0"/>
        </w:tblPrEx>
        <w:trPr>
          <w:trHeight w:val="20"/>
        </w:trPr>
        <w:tc>
          <w:tcPr>
            <w:tcW w:w="0" w:type="auto"/>
            <w:tcBorders>
              <w:left w:val="none" w:sz="0" w:space="0" w:color="auto"/>
              <w:bottom w:val="none" w:sz="0" w:space="0" w:color="auto"/>
            </w:tcBorders>
            <w:shd w:val="clear" w:color="auto" w:fill="auto"/>
          </w:tcPr>
          <w:p w:rsidR="00B132F4" w:rsidRPr="00C458CA" w:rsidP="001A469F">
            <w:pPr>
              <w:spacing w:before="30" w:after="30" w:line="240" w:lineRule="exact"/>
              <w:rPr>
                <w:rFonts w:ascii="David" w:hAnsi="David"/>
                <w:sz w:val="22"/>
                <w:szCs w:val="22"/>
                <w:u w:val="single"/>
                <w:rtl/>
              </w:rPr>
            </w:pPr>
            <w:r w:rsidRPr="00C458CA">
              <w:rPr>
                <w:rFonts w:ascii="David" w:hAnsi="David"/>
                <w:color w:val="auto"/>
                <w:sz w:val="22"/>
                <w:szCs w:val="22"/>
                <w:rtl/>
              </w:rPr>
              <w:t>תקופת ביטוח</w:t>
            </w:r>
            <w:r w:rsidRPr="00C458CA">
              <w:rPr>
                <w:rFonts w:ascii="Arial" w:hAnsi="Arial" w:cs="Arial"/>
                <w:color w:val="auto"/>
                <w:sz w:val="22"/>
                <w:szCs w:val="22"/>
              </w:rPr>
              <w:t>​</w:t>
            </w:r>
          </w:p>
        </w:tc>
        <w:tc>
          <w:tcPr>
            <w:tcW w:w="0" w:type="auto"/>
            <w:shd w:val="clear" w:color="auto" w:fill="auto"/>
          </w:tcPr>
          <w:p w:rsidR="00B132F4" w:rsidRPr="00C458CA" w:rsidP="001A469F">
            <w:pPr>
              <w:spacing w:before="30" w:after="30" w:line="240" w:lineRule="exact"/>
              <w:rPr>
                <w:rFonts w:ascii="David" w:hAnsi="David"/>
                <w:b/>
                <w:bCs/>
                <w:sz w:val="22"/>
                <w:szCs w:val="22"/>
                <w:u w:val="single"/>
                <w:rtl/>
              </w:rPr>
            </w:pPr>
            <w:r w:rsidRPr="00C458CA">
              <w:rPr>
                <w:rFonts w:ascii="David" w:hAnsi="David"/>
                <w:sz w:val="22"/>
                <w:szCs w:val="22"/>
                <w:rtl/>
              </w:rPr>
              <w:t>בהתאם לרפורמת 2016, נקבע כי ביטוחי הבריאות</w:t>
            </w:r>
            <w:r>
              <w:rPr>
                <w:rFonts w:ascii="David" w:hAnsi="David"/>
                <w:sz w:val="22"/>
                <w:szCs w:val="22"/>
                <w:vertAlign w:val="superscript"/>
                <w:rtl/>
              </w:rPr>
              <w:footnoteReference w:id="53"/>
            </w:r>
            <w:r w:rsidRPr="00C458CA">
              <w:rPr>
                <w:rFonts w:ascii="David" w:hAnsi="David"/>
                <w:sz w:val="22"/>
                <w:szCs w:val="22"/>
                <w:rtl/>
              </w:rPr>
              <w:t xml:space="preserve"> יתחדשו מאליהם אחת לשנתיים לכלל המבוטחים בביטוחים אלו, ללא בחינה מחודשת של המצב הרפואי בעת החידוש, ותוך עדכון התנאים בביטוחים אלו לתנאים העדכניים המשווקים על ידי חברת הביטוח באותה העת, אם נדרש.</w:t>
            </w:r>
          </w:p>
        </w:tc>
        <w:tc>
          <w:tcPr>
            <w:tcW w:w="0" w:type="auto"/>
            <w:shd w:val="clear" w:color="auto" w:fill="auto"/>
          </w:tcPr>
          <w:p w:rsidR="00B132F4" w:rsidRPr="00C458CA" w:rsidP="001A469F">
            <w:pPr>
              <w:spacing w:before="30" w:after="30" w:line="240" w:lineRule="exact"/>
              <w:rPr>
                <w:rFonts w:ascii="David" w:hAnsi="David"/>
                <w:b/>
                <w:bCs/>
                <w:sz w:val="22"/>
                <w:szCs w:val="22"/>
                <w:u w:val="single"/>
                <w:rtl/>
              </w:rPr>
            </w:pPr>
            <w:r w:rsidRPr="00C458CA">
              <w:rPr>
                <w:rFonts w:ascii="David" w:hAnsi="David"/>
                <w:sz w:val="22"/>
                <w:szCs w:val="22"/>
                <w:rtl/>
              </w:rPr>
              <w:t>תקופת הביטוח בפוליסה הקבוצתית קצרה יחסית, בהתאם לתקופת ההסכם שנקבעה בין בעל הפוליסה לבין חברת הביטוח - בדרך כלל שלוש עד חמש שנים. בתום תקופת הביטוח עשויה הפוליסה להתחדש באותה חברת ביטוח או בחברה אחרת. עם זאת, אין ודאות כי הפוליסה תחודש לתקופה נוספת. רוב הפוליסות הקבוצתיות כוללות תנאי המחייב את חברת הביטוח לספק המשכיות לפוליסת פרט</w:t>
            </w:r>
            <w:r w:rsidRPr="00C458CA">
              <w:rPr>
                <w:rFonts w:ascii="David" w:hAnsi="David"/>
                <w:sz w:val="22"/>
                <w:szCs w:val="22"/>
              </w:rPr>
              <w:t>.</w:t>
            </w:r>
            <w:r w:rsidRPr="00C458CA">
              <w:rPr>
                <w:rFonts w:ascii="Arial" w:hAnsi="Arial" w:cs="Arial"/>
                <w:sz w:val="22"/>
                <w:szCs w:val="22"/>
              </w:rPr>
              <w:t>​</w:t>
            </w:r>
          </w:p>
        </w:tc>
      </w:tr>
    </w:tbl>
    <w:p w:rsidR="00B132F4" w:rsidRPr="002B5E33" w:rsidP="00ED5C0D">
      <w:pPr>
        <w:keepNext/>
        <w:keepLines/>
        <w:spacing w:line="269" w:lineRule="auto"/>
        <w:outlineLvl w:val="4"/>
        <w:rPr>
          <w:szCs w:val="20"/>
          <w:rtl/>
        </w:rPr>
      </w:pPr>
    </w:p>
    <w:p w:rsidR="00B132F4" w:rsidRPr="002B5E33" w:rsidP="00ED5C0D">
      <w:pPr>
        <w:keepNext/>
        <w:keepLines/>
        <w:spacing w:line="269" w:lineRule="auto"/>
        <w:outlineLvl w:val="4"/>
        <w:rPr>
          <w:szCs w:val="20"/>
          <w:rtl/>
        </w:rPr>
      </w:pPr>
    </w:p>
    <w:p w:rsidR="00B132F4" w:rsidRPr="002B5E33" w:rsidP="00ED5C0D">
      <w:pPr>
        <w:keepNext/>
        <w:keepLines/>
        <w:spacing w:line="269" w:lineRule="auto"/>
        <w:outlineLvl w:val="4"/>
        <w:rPr>
          <w:rFonts w:eastAsiaTheme="majorEastAsia"/>
          <w:bCs/>
          <w:spacing w:val="40"/>
          <w:rtl/>
        </w:rPr>
      </w:pPr>
      <w:r w:rsidRPr="002B5E33">
        <w:rPr>
          <w:rFonts w:eastAsiaTheme="majorEastAsia"/>
          <w:bCs/>
          <w:spacing w:val="40"/>
          <w:rtl/>
        </w:rPr>
        <w:t>הפערים בשיעורי ההחזר</w:t>
      </w:r>
      <w:r w:rsidR="009C255D">
        <w:rPr>
          <w:rFonts w:eastAsiaTheme="majorEastAsia" w:hint="cs"/>
          <w:bCs/>
          <w:spacing w:val="40"/>
          <w:rtl/>
        </w:rPr>
        <w:t xml:space="preserve"> (</w:t>
      </w:r>
      <w:r w:rsidRPr="002B5E33">
        <w:rPr>
          <w:rFonts w:eastAsiaTheme="majorEastAsia"/>
          <w:bCs/>
          <w:spacing w:val="40"/>
        </w:rPr>
        <w:t>LR</w:t>
      </w:r>
      <w:r w:rsidRPr="002B5E33">
        <w:rPr>
          <w:rFonts w:eastAsiaTheme="majorEastAsia" w:hint="cs"/>
          <w:bCs/>
          <w:spacing w:val="40"/>
          <w:rtl/>
        </w:rPr>
        <w:t>)</w:t>
      </w:r>
      <w:r w:rsidRPr="002B5E33">
        <w:rPr>
          <w:rFonts w:eastAsiaTheme="majorEastAsia"/>
          <w:bCs/>
          <w:spacing w:val="40"/>
          <w:rtl/>
        </w:rPr>
        <w:t xml:space="preserve"> </w:t>
      </w:r>
    </w:p>
    <w:p w:rsidR="00B132F4" w:rsidRPr="002B5E33" w:rsidP="00ED5C0D">
      <w:pPr>
        <w:spacing w:line="269" w:lineRule="auto"/>
        <w:ind w:left="-567"/>
        <w:rPr>
          <w:rFonts w:ascii="David" w:hAnsi="David"/>
          <w:sz w:val="24"/>
          <w:rtl/>
        </w:rPr>
      </w:pPr>
    </w:p>
    <w:p w:rsidR="00B132F4" w:rsidRPr="002B5E33" w:rsidP="00ED5C0D">
      <w:pPr>
        <w:spacing w:line="269" w:lineRule="auto"/>
        <w:rPr>
          <w:rFonts w:ascii="David" w:hAnsi="David"/>
          <w:sz w:val="24"/>
          <w:rtl/>
        </w:rPr>
      </w:pPr>
      <w:r w:rsidRPr="002B5E33">
        <w:rPr>
          <w:rFonts w:ascii="David" w:hAnsi="David"/>
          <w:sz w:val="24"/>
          <w:rtl/>
        </w:rPr>
        <w:t xml:space="preserve">בהתאם לדוח הממונה על רשות שוק ההון לשנת </w:t>
      </w:r>
      <w:r w:rsidRPr="002B5E33">
        <w:rPr>
          <w:rFonts w:ascii="David" w:hAnsi="David" w:hint="cs"/>
          <w:sz w:val="24"/>
          <w:rtl/>
        </w:rPr>
        <w:t>2018</w:t>
      </w:r>
      <w:r w:rsidRPr="002B5E33">
        <w:rPr>
          <w:rFonts w:ascii="David" w:hAnsi="David"/>
          <w:sz w:val="24"/>
          <w:rtl/>
        </w:rPr>
        <w:t xml:space="preserve"> המציג את מדדי ההחזר</w:t>
      </w:r>
      <w:r>
        <w:rPr>
          <w:rFonts w:ascii="David" w:hAnsi="David" w:eastAsiaTheme="majorEastAsia"/>
          <w:bCs/>
          <w:spacing w:val="40"/>
          <w:sz w:val="24"/>
          <w:vertAlign w:val="superscript"/>
          <w:rtl/>
        </w:rPr>
        <w:footnoteReference w:id="54"/>
      </w:r>
      <w:r w:rsidRPr="002B5E33">
        <w:rPr>
          <w:rFonts w:eastAsiaTheme="majorEastAsia"/>
          <w:bCs/>
          <w:spacing w:val="40"/>
          <w:rtl/>
        </w:rPr>
        <w:t xml:space="preserve"> </w:t>
      </w:r>
      <w:r w:rsidRPr="002B5E33">
        <w:rPr>
          <w:rFonts w:ascii="David" w:hAnsi="David"/>
          <w:sz w:val="24"/>
          <w:rtl/>
        </w:rPr>
        <w:t xml:space="preserve">בענפי הביטוח השונים ניתן לראות כי קיימת </w:t>
      </w:r>
      <w:r w:rsidRPr="002B5E33">
        <w:rPr>
          <w:rFonts w:ascii="David" w:hAnsi="David" w:hint="cs"/>
          <w:sz w:val="24"/>
          <w:rtl/>
        </w:rPr>
        <w:t xml:space="preserve">ביניהם </w:t>
      </w:r>
      <w:r w:rsidRPr="002B5E33">
        <w:rPr>
          <w:rFonts w:ascii="David" w:hAnsi="David"/>
          <w:sz w:val="24"/>
          <w:rtl/>
        </w:rPr>
        <w:t>שונות גבוהה</w:t>
      </w:r>
      <w:r w:rsidRPr="002B5E33">
        <w:rPr>
          <w:rFonts w:ascii="David" w:hAnsi="David" w:hint="cs"/>
          <w:sz w:val="24"/>
          <w:rtl/>
        </w:rPr>
        <w:t>.</w:t>
      </w:r>
      <w:r w:rsidRPr="002B5E33">
        <w:rPr>
          <w:rFonts w:ascii="David" w:hAnsi="David"/>
          <w:sz w:val="24"/>
          <w:rtl/>
        </w:rPr>
        <w:t xml:space="preserve"> עוד ניכר כי בביטוחי הבריאות, שיעור ההחזר בפוליסות קבוצתיות גבוה </w:t>
      </w:r>
      <w:r w:rsidRPr="002B5E33" w:rsidR="005957CF">
        <w:rPr>
          <w:rFonts w:ascii="David" w:hAnsi="David" w:hint="cs"/>
          <w:sz w:val="24"/>
          <w:rtl/>
        </w:rPr>
        <w:t xml:space="preserve">במידה </w:t>
      </w:r>
      <w:r w:rsidRPr="002B5E33">
        <w:rPr>
          <w:rFonts w:ascii="David" w:hAnsi="David" w:hint="cs"/>
          <w:sz w:val="24"/>
          <w:rtl/>
        </w:rPr>
        <w:t>ניכר</w:t>
      </w:r>
      <w:r w:rsidRPr="002B5E33" w:rsidR="005957CF">
        <w:rPr>
          <w:rFonts w:ascii="David" w:hAnsi="David" w:hint="cs"/>
          <w:sz w:val="24"/>
          <w:rtl/>
        </w:rPr>
        <w:t>ת</w:t>
      </w:r>
      <w:r w:rsidRPr="002B5E33">
        <w:rPr>
          <w:rFonts w:ascii="David" w:hAnsi="David" w:hint="cs"/>
          <w:sz w:val="24"/>
          <w:rtl/>
        </w:rPr>
        <w:t xml:space="preserve"> </w:t>
      </w:r>
      <w:r w:rsidRPr="002B5E33" w:rsidR="005957CF">
        <w:rPr>
          <w:rFonts w:ascii="David" w:hAnsi="David" w:hint="cs"/>
          <w:sz w:val="24"/>
          <w:rtl/>
        </w:rPr>
        <w:t>לעומת</w:t>
      </w:r>
      <w:r w:rsidRPr="002B5E33" w:rsidR="005957CF">
        <w:rPr>
          <w:rFonts w:ascii="David" w:hAnsi="David"/>
          <w:sz w:val="24"/>
          <w:rtl/>
        </w:rPr>
        <w:t xml:space="preserve"> </w:t>
      </w:r>
      <w:r w:rsidRPr="002B5E33">
        <w:rPr>
          <w:rFonts w:ascii="David" w:hAnsi="David"/>
          <w:sz w:val="24"/>
          <w:rtl/>
        </w:rPr>
        <w:t>פוליסות הפרט</w:t>
      </w:r>
      <w:r>
        <w:rPr>
          <w:rFonts w:ascii="David" w:hAnsi="David"/>
          <w:sz w:val="24"/>
          <w:vertAlign w:val="superscript"/>
          <w:rtl/>
        </w:rPr>
        <w:footnoteReference w:id="55"/>
      </w:r>
      <w:r w:rsidRPr="002B5E33">
        <w:rPr>
          <w:rFonts w:ascii="David" w:hAnsi="David"/>
          <w:sz w:val="24"/>
          <w:rtl/>
        </w:rPr>
        <w:t xml:space="preserve">. </w:t>
      </w:r>
      <w:r w:rsidRPr="002B5E33">
        <w:rPr>
          <w:rFonts w:ascii="David" w:hAnsi="David" w:hint="cs"/>
          <w:sz w:val="24"/>
          <w:rtl/>
        </w:rPr>
        <w:t xml:space="preserve">למשל, בשנת 2018 </w:t>
      </w:r>
      <w:r w:rsidRPr="002B5E33">
        <w:rPr>
          <w:rFonts w:ascii="David" w:hAnsi="David"/>
          <w:sz w:val="24"/>
          <w:rtl/>
        </w:rPr>
        <w:t xml:space="preserve">שיעור ההחזר הממוצע </w:t>
      </w:r>
      <w:r w:rsidRPr="002B5E33">
        <w:rPr>
          <w:rFonts w:ascii="David" w:hAnsi="David" w:hint="cs"/>
          <w:sz w:val="24"/>
          <w:rtl/>
        </w:rPr>
        <w:t>בענף מחלות ואשפוז</w:t>
      </w:r>
      <w:r>
        <w:rPr>
          <w:rStyle w:val="FootnoteReference"/>
          <w:rFonts w:ascii="David" w:hAnsi="David"/>
          <w:sz w:val="24"/>
          <w:rtl/>
        </w:rPr>
        <w:footnoteReference w:id="56"/>
      </w:r>
      <w:r w:rsidRPr="002B5E33">
        <w:rPr>
          <w:rFonts w:ascii="David" w:hAnsi="David" w:hint="cs"/>
          <w:sz w:val="24"/>
          <w:rtl/>
        </w:rPr>
        <w:t xml:space="preserve"> </w:t>
      </w:r>
      <w:r w:rsidRPr="002B5E33">
        <w:rPr>
          <w:rFonts w:ascii="David" w:hAnsi="David"/>
          <w:sz w:val="24"/>
          <w:rtl/>
        </w:rPr>
        <w:t>מסוג פרט עומד על 4</w:t>
      </w:r>
      <w:r w:rsidRPr="002B5E33">
        <w:rPr>
          <w:rFonts w:ascii="David" w:hAnsi="David" w:hint="cs"/>
          <w:sz w:val="24"/>
          <w:rtl/>
        </w:rPr>
        <w:t>5</w:t>
      </w:r>
      <w:r w:rsidRPr="002B5E33">
        <w:rPr>
          <w:rFonts w:ascii="David" w:hAnsi="David"/>
          <w:sz w:val="24"/>
          <w:rtl/>
        </w:rPr>
        <w:t xml:space="preserve">% לעומת </w:t>
      </w:r>
      <w:r w:rsidRPr="002B5E33">
        <w:rPr>
          <w:rFonts w:ascii="David" w:hAnsi="David" w:hint="cs"/>
          <w:sz w:val="24"/>
          <w:rtl/>
        </w:rPr>
        <w:t>89</w:t>
      </w:r>
      <w:r w:rsidRPr="002B5E33">
        <w:rPr>
          <w:rFonts w:ascii="David" w:hAnsi="David"/>
          <w:sz w:val="24"/>
          <w:rtl/>
        </w:rPr>
        <w:t>% בביטוחים הקבוצתיים</w:t>
      </w:r>
      <w:r w:rsidRPr="002B5E33">
        <w:rPr>
          <w:rFonts w:ascii="David" w:hAnsi="David" w:hint="cs"/>
          <w:sz w:val="24"/>
          <w:rtl/>
        </w:rPr>
        <w:t>.</w:t>
      </w:r>
      <w:r w:rsidR="00944242">
        <w:rPr>
          <w:rFonts w:ascii="David" w:hAnsi="David"/>
          <w:sz w:val="24"/>
          <w:rtl/>
        </w:rPr>
        <w:t xml:space="preserve"> </w:t>
      </w:r>
    </w:p>
    <w:p w:rsidR="00494B2B">
      <w:pPr>
        <w:bidi w:val="0"/>
        <w:spacing w:after="200" w:line="276" w:lineRule="auto"/>
        <w:rPr>
          <w:b/>
          <w:bCs/>
          <w:rtl/>
        </w:rPr>
      </w:pPr>
      <w:r>
        <w:rPr>
          <w:b/>
          <w:bCs/>
          <w:rtl/>
        </w:rPr>
        <w:br w:type="page"/>
      </w:r>
    </w:p>
    <w:p w:rsidR="00B132F4" w:rsidRPr="002B5E33" w:rsidP="001A469F">
      <w:pPr>
        <w:spacing w:line="269" w:lineRule="auto"/>
        <w:jc w:val="center"/>
        <w:rPr>
          <w:b/>
          <w:bCs/>
        </w:rPr>
      </w:pPr>
      <w:r w:rsidRPr="002B5E33">
        <w:rPr>
          <w:b/>
          <w:bCs/>
          <w:rtl/>
        </w:rPr>
        <w:t xml:space="preserve">תרשים </w:t>
      </w:r>
      <w:r w:rsidRPr="002B5E33">
        <w:rPr>
          <w:rFonts w:hint="cs"/>
          <w:b/>
          <w:bCs/>
          <w:rtl/>
        </w:rPr>
        <w:t>8</w:t>
      </w:r>
      <w:r w:rsidR="001A469F">
        <w:rPr>
          <w:rFonts w:hint="cs"/>
          <w:b/>
          <w:bCs/>
          <w:rtl/>
        </w:rPr>
        <w:t xml:space="preserve">: </w:t>
      </w:r>
      <w:r w:rsidRPr="002B5E33">
        <w:rPr>
          <w:b/>
          <w:bCs/>
          <w:rtl/>
        </w:rPr>
        <w:t>שיעור ההחזר</w:t>
      </w:r>
      <w:r w:rsidRPr="002B5E33" w:rsidR="00B928F4">
        <w:rPr>
          <w:rFonts w:hint="cs"/>
          <w:b/>
          <w:bCs/>
          <w:rtl/>
        </w:rPr>
        <w:t xml:space="preserve"> (</w:t>
      </w:r>
      <w:r w:rsidRPr="002B5E33" w:rsidR="00B928F4">
        <w:rPr>
          <w:rFonts w:hint="cs"/>
          <w:b/>
          <w:bCs/>
        </w:rPr>
        <w:t>LR</w:t>
      </w:r>
      <w:r w:rsidRPr="002B5E33" w:rsidR="00B928F4">
        <w:rPr>
          <w:rFonts w:hint="cs"/>
          <w:b/>
          <w:bCs/>
          <w:rtl/>
        </w:rPr>
        <w:t>)</w:t>
      </w:r>
      <w:r w:rsidRPr="002B5E33">
        <w:rPr>
          <w:b/>
          <w:bCs/>
          <w:rtl/>
        </w:rPr>
        <w:t xml:space="preserve"> לשנת </w:t>
      </w:r>
      <w:r w:rsidRPr="002B5E33">
        <w:rPr>
          <w:rFonts w:hint="cs"/>
          <w:b/>
          <w:bCs/>
          <w:rtl/>
        </w:rPr>
        <w:t>2018</w:t>
      </w:r>
      <w:r w:rsidRPr="002B5E33" w:rsidR="00A22C8A">
        <w:rPr>
          <w:rFonts w:hint="cs"/>
          <w:b/>
          <w:bCs/>
          <w:rtl/>
        </w:rPr>
        <w:t xml:space="preserve"> (באחוזים)</w:t>
      </w:r>
    </w:p>
    <w:p w:rsidR="00B132F4" w:rsidRPr="001A469F" w:rsidP="001A469F">
      <w:pPr>
        <w:spacing w:before="120" w:after="240" w:line="269" w:lineRule="auto"/>
        <w:ind w:firstLine="567"/>
        <w:jc w:val="center"/>
        <w:rPr>
          <w:rFonts w:ascii="David" w:hAnsi="David"/>
          <w:szCs w:val="20"/>
          <w:rtl/>
        </w:rPr>
      </w:pPr>
      <w:r>
        <w:rPr>
          <w:rFonts w:ascii="David" w:hAnsi="David"/>
          <w:noProof/>
          <w:szCs w:val="20"/>
          <w:rtl/>
        </w:rPr>
        <w:drawing>
          <wp:inline distT="0" distB="0" distL="0" distR="0">
            <wp:extent cx="4325121" cy="2334773"/>
            <wp:effectExtent l="0" t="0" r="0" b="8890"/>
            <wp:docPr id="1493377096" name="תמונה 149337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22295" name="commercial-health-insurance-g-8.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34773"/>
                    </a:xfrm>
                    <a:prstGeom prst="rect">
                      <a:avLst/>
                    </a:prstGeom>
                  </pic:spPr>
                </pic:pic>
              </a:graphicData>
            </a:graphic>
          </wp:inline>
        </w:drawing>
      </w:r>
    </w:p>
    <w:p w:rsidR="00262267" w:rsidRPr="002B5E33" w:rsidP="001A469F">
      <w:pPr>
        <w:spacing w:before="120" w:after="120" w:line="269" w:lineRule="auto"/>
        <w:ind w:left="-567" w:firstLine="567"/>
        <w:jc w:val="left"/>
        <w:rPr>
          <w:rFonts w:ascii="David" w:hAnsi="David"/>
          <w:sz w:val="22"/>
          <w:szCs w:val="22"/>
        </w:rPr>
      </w:pPr>
      <w:r>
        <w:rPr>
          <w:rFonts w:ascii="David" w:hAnsi="David" w:hint="cs"/>
          <w:sz w:val="22"/>
          <w:szCs w:val="22"/>
          <w:rtl/>
        </w:rPr>
        <w:t>מקור:</w:t>
      </w:r>
      <w:r w:rsidRPr="002B5E33">
        <w:rPr>
          <w:rFonts w:ascii="David" w:hAnsi="David"/>
          <w:sz w:val="22"/>
          <w:szCs w:val="22"/>
          <w:rtl/>
        </w:rPr>
        <w:t xml:space="preserve"> נתוני רשות שוק ההון,</w:t>
      </w:r>
      <w:r>
        <w:rPr>
          <w:rFonts w:ascii="David" w:hAnsi="David" w:hint="cs"/>
          <w:sz w:val="22"/>
          <w:szCs w:val="22"/>
          <w:rtl/>
        </w:rPr>
        <w:t xml:space="preserve"> </w:t>
      </w:r>
      <w:r>
        <w:rPr>
          <w:rFonts w:ascii="David" w:hAnsi="David" w:hint="cs"/>
          <w:b/>
          <w:bCs/>
          <w:sz w:val="22"/>
          <w:szCs w:val="22"/>
          <w:rtl/>
        </w:rPr>
        <w:t>דוח הממונה על רשות שוק ההון 2018.</w:t>
      </w:r>
    </w:p>
    <w:p w:rsidR="00B132F4" w:rsidRPr="002B5E33" w:rsidP="00ED5C0D">
      <w:pPr>
        <w:spacing w:line="269" w:lineRule="auto"/>
        <w:rPr>
          <w:rFonts w:ascii="David" w:hAnsi="David"/>
          <w:sz w:val="22"/>
          <w:szCs w:val="22"/>
          <w:rtl/>
        </w:rPr>
      </w:pPr>
      <w:r w:rsidRPr="002B5E33">
        <w:rPr>
          <w:rFonts w:ascii="David" w:hAnsi="David"/>
          <w:sz w:val="22"/>
          <w:szCs w:val="22"/>
          <w:rtl/>
        </w:rPr>
        <w:t xml:space="preserve">* </w:t>
      </w:r>
      <w:r w:rsidRPr="002B5E33">
        <w:rPr>
          <w:rFonts w:ascii="David" w:hAnsi="David" w:hint="eastAsia"/>
          <w:sz w:val="22"/>
          <w:szCs w:val="22"/>
          <w:rtl/>
        </w:rPr>
        <w:t>ענף</w:t>
      </w:r>
      <w:r w:rsidRPr="002B5E33">
        <w:rPr>
          <w:rFonts w:ascii="David" w:hAnsi="David"/>
          <w:sz w:val="22"/>
          <w:szCs w:val="22"/>
          <w:rtl/>
        </w:rPr>
        <w:t xml:space="preserve"> המחלות והאשפוז כולל את תתי-הענפים </w:t>
      </w:r>
      <w:r w:rsidRPr="002B5E33">
        <w:rPr>
          <w:rFonts w:ascii="David" w:hAnsi="David" w:hint="eastAsia"/>
          <w:sz w:val="22"/>
          <w:szCs w:val="22"/>
          <w:rtl/>
        </w:rPr>
        <w:t>אלה</w:t>
      </w:r>
      <w:r w:rsidRPr="002B5E33">
        <w:rPr>
          <w:rFonts w:ascii="David" w:hAnsi="David"/>
          <w:sz w:val="22"/>
          <w:szCs w:val="22"/>
          <w:rtl/>
        </w:rPr>
        <w:t>: ביטוח הוצאות רפואיות (דוגמת</w:t>
      </w:r>
      <w:r w:rsidR="00944242">
        <w:rPr>
          <w:rFonts w:ascii="David" w:hAnsi="David"/>
          <w:sz w:val="22"/>
          <w:szCs w:val="22"/>
          <w:rtl/>
        </w:rPr>
        <w:t xml:space="preserve"> </w:t>
      </w:r>
      <w:r w:rsidRPr="002B5E33">
        <w:rPr>
          <w:rFonts w:ascii="David" w:hAnsi="David"/>
          <w:sz w:val="22"/>
          <w:szCs w:val="22"/>
          <w:rtl/>
        </w:rPr>
        <w:t>ניתוחים, תרופות והשתלות) ביטוח</w:t>
      </w:r>
      <w:r w:rsidR="00944242">
        <w:rPr>
          <w:rFonts w:ascii="David" w:hAnsi="David"/>
          <w:sz w:val="22"/>
          <w:szCs w:val="22"/>
          <w:rtl/>
        </w:rPr>
        <w:t xml:space="preserve"> </w:t>
      </w:r>
      <w:r w:rsidRPr="002B5E33">
        <w:rPr>
          <w:rFonts w:ascii="David" w:hAnsi="David"/>
          <w:sz w:val="22"/>
          <w:szCs w:val="22"/>
          <w:rtl/>
        </w:rPr>
        <w:t>סיעודי, ביטוח מחלות</w:t>
      </w:r>
      <w:r w:rsidR="00944242">
        <w:rPr>
          <w:rFonts w:ascii="David" w:hAnsi="David"/>
          <w:sz w:val="22"/>
          <w:szCs w:val="22"/>
          <w:rtl/>
        </w:rPr>
        <w:t xml:space="preserve"> </w:t>
      </w:r>
      <w:r w:rsidRPr="002B5E33">
        <w:rPr>
          <w:rFonts w:ascii="David" w:hAnsi="David"/>
          <w:sz w:val="22"/>
          <w:szCs w:val="22"/>
          <w:rtl/>
        </w:rPr>
        <w:t>קשות, ביטוחי שיניים, ביטוחי נכות, ביטוח נסיעות לחו"ל וביטוח בריאות לעובדים זר</w:t>
      </w:r>
      <w:r w:rsidRPr="002B5E33">
        <w:rPr>
          <w:rFonts w:ascii="David" w:hAnsi="David" w:hint="eastAsia"/>
          <w:sz w:val="22"/>
          <w:szCs w:val="22"/>
          <w:rtl/>
        </w:rPr>
        <w:t>ים</w:t>
      </w:r>
      <w:r w:rsidRPr="002B5E33">
        <w:rPr>
          <w:rFonts w:ascii="David" w:hAnsi="David"/>
          <w:sz w:val="22"/>
          <w:szCs w:val="22"/>
          <w:rtl/>
        </w:rPr>
        <w:t>.</w:t>
      </w:r>
    </w:p>
    <w:p w:rsidR="00B132F4" w:rsidRPr="002B5E33" w:rsidP="00ED5C0D">
      <w:pPr>
        <w:spacing w:line="269" w:lineRule="auto"/>
        <w:ind w:left="-567"/>
        <w:rPr>
          <w:rFonts w:ascii="David" w:hAnsi="David"/>
          <w:szCs w:val="20"/>
          <w:rtl/>
        </w:rPr>
      </w:pPr>
    </w:p>
    <w:p w:rsidR="00B132F4" w:rsidRPr="002B5E33" w:rsidP="00ED5C0D">
      <w:pPr>
        <w:spacing w:line="269" w:lineRule="auto"/>
        <w:contextualSpacing/>
        <w:rPr>
          <w:rFonts w:ascii="David" w:hAnsi="David"/>
          <w:sz w:val="24"/>
          <w:rtl/>
        </w:rPr>
      </w:pPr>
      <w:r w:rsidRPr="002B5E33">
        <w:rPr>
          <w:rFonts w:ascii="David" w:hAnsi="David" w:hint="cs"/>
          <w:sz w:val="24"/>
          <w:rtl/>
        </w:rPr>
        <w:t>להלן בתרשים 9 פירוט</w:t>
      </w:r>
      <w:r w:rsidR="00944242">
        <w:rPr>
          <w:rFonts w:ascii="David" w:hAnsi="David" w:hint="cs"/>
          <w:sz w:val="24"/>
          <w:rtl/>
        </w:rPr>
        <w:t xml:space="preserve"> </w:t>
      </w:r>
      <w:r w:rsidRPr="002B5E33">
        <w:rPr>
          <w:rFonts w:ascii="David" w:hAnsi="David"/>
          <w:sz w:val="24"/>
          <w:rtl/>
        </w:rPr>
        <w:t xml:space="preserve">נתוני שיעורי ההחזר (בהתאם </w:t>
      </w:r>
      <w:r w:rsidRPr="002B5E33">
        <w:rPr>
          <w:rFonts w:ascii="David" w:hAnsi="David" w:hint="eastAsia"/>
          <w:sz w:val="24"/>
          <w:rtl/>
        </w:rPr>
        <w:t>לשיטת</w:t>
      </w:r>
      <w:r w:rsidRPr="002B5E33">
        <w:rPr>
          <w:rFonts w:ascii="David" w:hAnsi="David"/>
          <w:sz w:val="24"/>
          <w:rtl/>
        </w:rPr>
        <w:t xml:space="preserve"> </w:t>
      </w:r>
      <w:r w:rsidRPr="002B5E33">
        <w:rPr>
          <w:rFonts w:ascii="David" w:hAnsi="David" w:hint="eastAsia"/>
          <w:sz w:val="24"/>
          <w:rtl/>
        </w:rPr>
        <w:t>החישוב</w:t>
      </w:r>
      <w:r w:rsidRPr="002B5E33">
        <w:rPr>
          <w:rFonts w:ascii="David" w:hAnsi="David"/>
          <w:sz w:val="24"/>
          <w:rtl/>
        </w:rPr>
        <w:t xml:space="preserve"> </w:t>
      </w:r>
      <w:r w:rsidRPr="002B5E33">
        <w:rPr>
          <w:rFonts w:ascii="David" w:hAnsi="David" w:hint="eastAsia"/>
          <w:sz w:val="24"/>
          <w:rtl/>
        </w:rPr>
        <w:t>הנהוגה</w:t>
      </w:r>
      <w:r w:rsidRPr="002B5E33">
        <w:rPr>
          <w:rFonts w:ascii="David" w:hAnsi="David"/>
          <w:sz w:val="24"/>
          <w:rtl/>
        </w:rPr>
        <w:t xml:space="preserve"> </w:t>
      </w:r>
      <w:r w:rsidRPr="002B5E33">
        <w:rPr>
          <w:rFonts w:ascii="David" w:hAnsi="David" w:hint="eastAsia"/>
          <w:sz w:val="24"/>
          <w:rtl/>
        </w:rPr>
        <w:t>בדוחות</w:t>
      </w:r>
      <w:r w:rsidRPr="002B5E33">
        <w:rPr>
          <w:rFonts w:ascii="David" w:hAnsi="David"/>
          <w:sz w:val="24"/>
          <w:rtl/>
        </w:rPr>
        <w:t xml:space="preserve"> </w:t>
      </w:r>
      <w:r w:rsidRPr="002B5E33">
        <w:rPr>
          <w:rFonts w:ascii="David" w:hAnsi="David" w:hint="eastAsia"/>
          <w:sz w:val="24"/>
          <w:rtl/>
        </w:rPr>
        <w:t>הרשות</w:t>
      </w:r>
      <w:r w:rsidRPr="002B5E33">
        <w:rPr>
          <w:rFonts w:ascii="David" w:hAnsi="David"/>
          <w:sz w:val="24"/>
          <w:rtl/>
        </w:rPr>
        <w:t xml:space="preserve">) של המבוטחים בביטוחי הפרט ובביטוחים הקבוצתיים, </w:t>
      </w:r>
      <w:r w:rsidRPr="002B5E33">
        <w:rPr>
          <w:rFonts w:ascii="David" w:hAnsi="David" w:hint="eastAsia"/>
          <w:sz w:val="24"/>
          <w:rtl/>
        </w:rPr>
        <w:t>בפוליסות</w:t>
      </w:r>
      <w:r w:rsidRPr="002B5E33">
        <w:rPr>
          <w:rFonts w:ascii="David" w:hAnsi="David"/>
          <w:sz w:val="24"/>
          <w:rtl/>
        </w:rPr>
        <w:t xml:space="preserve"> </w:t>
      </w:r>
      <w:r w:rsidRPr="002B5E33">
        <w:rPr>
          <w:rFonts w:ascii="David" w:hAnsi="David" w:hint="eastAsia"/>
          <w:sz w:val="24"/>
          <w:rtl/>
        </w:rPr>
        <w:t>מסוג</w:t>
      </w:r>
      <w:r w:rsidRPr="002B5E33">
        <w:rPr>
          <w:rFonts w:ascii="David" w:hAnsi="David"/>
          <w:sz w:val="24"/>
          <w:rtl/>
        </w:rPr>
        <w:t xml:space="preserve"> </w:t>
      </w:r>
      <w:r w:rsidRPr="002B5E33">
        <w:rPr>
          <w:rFonts w:ascii="David" w:hAnsi="David" w:hint="eastAsia"/>
          <w:sz w:val="24"/>
          <w:rtl/>
        </w:rPr>
        <w:t>הוצאות</w:t>
      </w:r>
      <w:r w:rsidRPr="002B5E33">
        <w:rPr>
          <w:rFonts w:ascii="David" w:hAnsi="David"/>
          <w:sz w:val="24"/>
          <w:rtl/>
        </w:rPr>
        <w:t xml:space="preserve"> </w:t>
      </w:r>
      <w:r w:rsidRPr="002B5E33">
        <w:rPr>
          <w:rFonts w:ascii="David" w:hAnsi="David" w:hint="eastAsia"/>
          <w:sz w:val="24"/>
          <w:rtl/>
        </w:rPr>
        <w:t>רפואיות</w:t>
      </w:r>
      <w:r w:rsidRPr="002B5E33">
        <w:rPr>
          <w:rFonts w:ascii="David" w:hAnsi="David" w:hint="cs"/>
          <w:sz w:val="24"/>
          <w:rtl/>
        </w:rPr>
        <w:t xml:space="preserve"> בשנים 2018-2009</w:t>
      </w:r>
      <w:r w:rsidRPr="002B5E33">
        <w:rPr>
          <w:rFonts w:ascii="David" w:hAnsi="David"/>
          <w:sz w:val="24"/>
          <w:rtl/>
        </w:rPr>
        <w:t xml:space="preserve">. </w:t>
      </w:r>
    </w:p>
    <w:p w:rsidR="00B132F4" w:rsidRPr="002B5E33" w:rsidP="00ED5C0D">
      <w:pPr>
        <w:pStyle w:val="a"/>
        <w:spacing w:line="269" w:lineRule="auto"/>
        <w:rPr>
          <w:sz w:val="24"/>
          <w:szCs w:val="22"/>
          <w:rtl/>
        </w:rPr>
      </w:pPr>
    </w:p>
    <w:p w:rsidR="001A469F" w:rsidP="001A469F">
      <w:pPr>
        <w:spacing w:line="269" w:lineRule="auto"/>
        <w:jc w:val="center"/>
        <w:rPr>
          <w:b/>
          <w:bCs/>
          <w:rtl/>
        </w:rPr>
      </w:pPr>
      <w:r w:rsidRPr="002B5E33">
        <w:rPr>
          <w:b/>
          <w:bCs/>
          <w:rtl/>
        </w:rPr>
        <w:t xml:space="preserve">תרשים </w:t>
      </w:r>
      <w:r w:rsidRPr="002B5E33">
        <w:rPr>
          <w:rFonts w:hint="cs"/>
          <w:b/>
          <w:bCs/>
          <w:rtl/>
        </w:rPr>
        <w:t>9</w:t>
      </w:r>
      <w:r>
        <w:rPr>
          <w:rFonts w:hint="cs"/>
          <w:b/>
          <w:bCs/>
          <w:rtl/>
        </w:rPr>
        <w:t xml:space="preserve">: </w:t>
      </w:r>
      <w:r w:rsidRPr="002B5E33">
        <w:rPr>
          <w:rFonts w:hint="cs"/>
          <w:b/>
          <w:bCs/>
          <w:rtl/>
        </w:rPr>
        <w:t xml:space="preserve">פוליסות </w:t>
      </w:r>
      <w:r w:rsidRPr="002B5E33">
        <w:rPr>
          <w:b/>
          <w:bCs/>
          <w:rtl/>
        </w:rPr>
        <w:t xml:space="preserve">פרט </w:t>
      </w:r>
      <w:r w:rsidRPr="002B5E33">
        <w:rPr>
          <w:rFonts w:hint="cs"/>
          <w:b/>
          <w:bCs/>
          <w:rtl/>
        </w:rPr>
        <w:t>לעומת ביטוחים</w:t>
      </w:r>
      <w:r w:rsidRPr="002B5E33">
        <w:rPr>
          <w:b/>
          <w:bCs/>
          <w:rtl/>
        </w:rPr>
        <w:t xml:space="preserve"> קבוצתי</w:t>
      </w:r>
      <w:r w:rsidRPr="002B5E33">
        <w:rPr>
          <w:rFonts w:hint="cs"/>
          <w:b/>
          <w:bCs/>
          <w:rtl/>
        </w:rPr>
        <w:t>ים</w:t>
      </w:r>
      <w:r w:rsidRPr="002B5E33">
        <w:rPr>
          <w:b/>
          <w:bCs/>
          <w:rtl/>
        </w:rPr>
        <w:t xml:space="preserve"> </w:t>
      </w:r>
      <w:r w:rsidRPr="002B5E33">
        <w:rPr>
          <w:rFonts w:hint="cs"/>
          <w:b/>
          <w:bCs/>
          <w:rtl/>
        </w:rPr>
        <w:t xml:space="preserve">בענף ההוצאות הרפואיות </w:t>
      </w:r>
      <w:r>
        <w:rPr>
          <w:b/>
          <w:bCs/>
          <w:rtl/>
        </w:rPr>
        <w:t>–</w:t>
      </w:r>
      <w:r w:rsidRPr="002B5E33">
        <w:rPr>
          <w:b/>
          <w:bCs/>
          <w:rtl/>
        </w:rPr>
        <w:t xml:space="preserve"> </w:t>
      </w:r>
    </w:p>
    <w:p w:rsidR="00B132F4" w:rsidRPr="001A469F" w:rsidP="001A469F">
      <w:pPr>
        <w:spacing w:line="269" w:lineRule="auto"/>
        <w:jc w:val="center"/>
        <w:rPr>
          <w:b/>
          <w:bCs/>
          <w:rtl/>
        </w:rPr>
      </w:pPr>
      <w:r w:rsidRPr="002B5E33">
        <w:rPr>
          <w:rFonts w:hint="cs"/>
          <w:b/>
          <w:bCs/>
          <w:rtl/>
        </w:rPr>
        <w:t xml:space="preserve">שיעור ההחזר </w:t>
      </w:r>
      <w:r w:rsidRPr="002B5E33" w:rsidR="00B928F4">
        <w:rPr>
          <w:rFonts w:hint="cs"/>
          <w:b/>
          <w:bCs/>
          <w:rtl/>
        </w:rPr>
        <w:t>(</w:t>
      </w:r>
      <w:r w:rsidRPr="002B5E33" w:rsidR="00B928F4">
        <w:rPr>
          <w:rFonts w:hint="cs"/>
          <w:b/>
          <w:bCs/>
        </w:rPr>
        <w:t>LR</w:t>
      </w:r>
      <w:r w:rsidRPr="002B5E33" w:rsidR="00B928F4">
        <w:rPr>
          <w:rFonts w:hint="cs"/>
          <w:b/>
          <w:bCs/>
          <w:rtl/>
        </w:rPr>
        <w:t xml:space="preserve">) </w:t>
      </w:r>
      <w:r w:rsidRPr="002B5E33">
        <w:rPr>
          <w:b/>
          <w:bCs/>
          <w:rtl/>
        </w:rPr>
        <w:t>למבוטחים מסך</w:t>
      </w:r>
      <w:r w:rsidRPr="002B5E33">
        <w:rPr>
          <w:rFonts w:ascii="David" w:hAnsi="David"/>
          <w:b/>
          <w:bCs/>
          <w:rtl/>
        </w:rPr>
        <w:t xml:space="preserve"> </w:t>
      </w:r>
      <w:r w:rsidRPr="002B5E33">
        <w:rPr>
          <w:rFonts w:ascii="David" w:hAnsi="David" w:hint="cs"/>
          <w:b/>
          <w:bCs/>
          <w:rtl/>
        </w:rPr>
        <w:t>ה</w:t>
      </w:r>
      <w:r w:rsidRPr="002B5E33">
        <w:rPr>
          <w:rFonts w:ascii="David" w:hAnsi="David"/>
          <w:b/>
          <w:bCs/>
          <w:rtl/>
        </w:rPr>
        <w:t>הכנסות</w:t>
      </w:r>
      <w:r w:rsidRPr="002B5E33">
        <w:rPr>
          <w:rFonts w:ascii="David" w:hAnsi="David" w:hint="cs"/>
          <w:b/>
          <w:bCs/>
          <w:rtl/>
        </w:rPr>
        <w:t xml:space="preserve"> (באחוזים)</w:t>
      </w:r>
      <w:r>
        <w:rPr>
          <w:rFonts w:ascii="David" w:hAnsi="David"/>
          <w:b/>
          <w:bCs/>
          <w:vertAlign w:val="superscript"/>
        </w:rPr>
        <w:footnoteReference w:id="57"/>
      </w:r>
      <w:r w:rsidRPr="002B5E33">
        <w:rPr>
          <w:rFonts w:ascii="David" w:hAnsi="David" w:hint="cs"/>
          <w:b/>
          <w:bCs/>
          <w:rtl/>
        </w:rPr>
        <w:t xml:space="preserve"> </w:t>
      </w:r>
    </w:p>
    <w:p w:rsidR="00B132F4" w:rsidRPr="002B5E33" w:rsidP="001A469F">
      <w:pPr>
        <w:spacing w:before="120" w:after="120" w:line="269" w:lineRule="auto"/>
        <w:jc w:val="center"/>
        <w:rPr>
          <w:rFonts w:ascii="David" w:hAnsi="David"/>
          <w:b/>
          <w:bCs/>
          <w:rtl/>
        </w:rPr>
      </w:pPr>
      <w:r>
        <w:rPr>
          <w:rFonts w:ascii="David" w:hAnsi="David"/>
          <w:b/>
          <w:bCs/>
          <w:noProof/>
          <w:rtl/>
        </w:rPr>
        <w:drawing>
          <wp:inline distT="0" distB="0" distL="0" distR="0">
            <wp:extent cx="4328169" cy="2432309"/>
            <wp:effectExtent l="0" t="0" r="0" b="6350"/>
            <wp:docPr id="1493377097" name="תמונה 149337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56208" name="commercial-health-insurance-g-9.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32309"/>
                    </a:xfrm>
                    <a:prstGeom prst="rect">
                      <a:avLst/>
                    </a:prstGeom>
                  </pic:spPr>
                </pic:pic>
              </a:graphicData>
            </a:graphic>
          </wp:inline>
        </w:drawing>
      </w:r>
    </w:p>
    <w:p w:rsidR="00760648" w:rsidRPr="002B5E33" w:rsidP="001A469F">
      <w:pPr>
        <w:spacing w:before="120" w:line="269" w:lineRule="auto"/>
        <w:ind w:left="-567" w:firstLine="567"/>
        <w:jc w:val="left"/>
        <w:rPr>
          <w:rFonts w:ascii="David" w:hAnsi="David"/>
          <w:sz w:val="22"/>
          <w:szCs w:val="22"/>
        </w:rPr>
      </w:pPr>
      <w:r>
        <w:rPr>
          <w:rFonts w:ascii="David" w:hAnsi="David" w:hint="cs"/>
          <w:sz w:val="22"/>
          <w:szCs w:val="22"/>
          <w:rtl/>
        </w:rPr>
        <w:t>מקור:</w:t>
      </w:r>
      <w:r w:rsidRPr="002B5E33">
        <w:rPr>
          <w:rFonts w:ascii="David" w:hAnsi="David" w:hint="cs"/>
          <w:sz w:val="22"/>
          <w:szCs w:val="22"/>
          <w:rtl/>
        </w:rPr>
        <w:t xml:space="preserve"> </w:t>
      </w:r>
      <w:r w:rsidRPr="002B5E33">
        <w:rPr>
          <w:rFonts w:ascii="David" w:hAnsi="David"/>
          <w:sz w:val="22"/>
          <w:szCs w:val="22"/>
          <w:rtl/>
        </w:rPr>
        <w:t xml:space="preserve">נתוני רשות שוק ההון, </w:t>
      </w:r>
      <w:r w:rsidRPr="002B5E33" w:rsidR="00724221">
        <w:rPr>
          <w:rFonts w:ascii="David" w:hAnsi="David" w:hint="cs"/>
          <w:sz w:val="22"/>
          <w:szCs w:val="22"/>
          <w:rtl/>
        </w:rPr>
        <w:t>ב</w:t>
      </w:r>
      <w:r w:rsidRPr="002B5E33">
        <w:rPr>
          <w:rFonts w:ascii="David" w:hAnsi="David"/>
          <w:sz w:val="22"/>
          <w:szCs w:val="22"/>
          <w:rtl/>
        </w:rPr>
        <w:t>עיבוד משרד מבקר המדינה</w:t>
      </w:r>
      <w:r w:rsidR="00114ABC">
        <w:rPr>
          <w:rFonts w:ascii="David" w:hAnsi="David" w:hint="cs"/>
          <w:sz w:val="22"/>
          <w:szCs w:val="22"/>
          <w:rtl/>
        </w:rPr>
        <w:t>.</w:t>
      </w:r>
    </w:p>
    <w:p w:rsidR="00B132F4" w:rsidRPr="002B5E33" w:rsidP="00ED5C0D">
      <w:pPr>
        <w:spacing w:line="269" w:lineRule="auto"/>
        <w:ind w:left="-567"/>
        <w:rPr>
          <w:rFonts w:ascii="David" w:hAnsi="David"/>
          <w:szCs w:val="20"/>
          <w:rtl/>
        </w:rPr>
      </w:pPr>
    </w:p>
    <w:p w:rsidR="00B132F4" w:rsidRPr="002B5E33" w:rsidP="00ED5C0D">
      <w:pPr>
        <w:spacing w:line="269" w:lineRule="auto"/>
        <w:contextualSpacing/>
        <w:rPr>
          <w:rFonts w:ascii="David" w:hAnsi="David"/>
          <w:sz w:val="24"/>
          <w:rtl/>
        </w:rPr>
      </w:pPr>
      <w:r w:rsidRPr="002B5E33">
        <w:rPr>
          <w:rFonts w:ascii="David" w:hAnsi="David"/>
          <w:sz w:val="24"/>
          <w:rtl/>
        </w:rPr>
        <w:t>כפי שעולה מ</w:t>
      </w:r>
      <w:r w:rsidRPr="002B5E33">
        <w:rPr>
          <w:rFonts w:ascii="David" w:hAnsi="David" w:hint="cs"/>
          <w:sz w:val="24"/>
          <w:rtl/>
        </w:rPr>
        <w:t>ה</w:t>
      </w:r>
      <w:r w:rsidRPr="002B5E33">
        <w:rPr>
          <w:rFonts w:ascii="David" w:hAnsi="David"/>
          <w:sz w:val="24"/>
          <w:rtl/>
        </w:rPr>
        <w:t xml:space="preserve">תרשים, קיים פער </w:t>
      </w:r>
      <w:r w:rsidRPr="002B5E33">
        <w:rPr>
          <w:rFonts w:ascii="David" w:hAnsi="David" w:hint="cs"/>
          <w:sz w:val="24"/>
          <w:rtl/>
        </w:rPr>
        <w:t xml:space="preserve">בולט ויציב </w:t>
      </w:r>
      <w:r w:rsidRPr="002B5E33">
        <w:rPr>
          <w:rFonts w:ascii="David" w:hAnsi="David"/>
          <w:sz w:val="24"/>
          <w:rtl/>
        </w:rPr>
        <w:t xml:space="preserve">בין </w:t>
      </w:r>
      <w:r w:rsidRPr="002B5E33">
        <w:rPr>
          <w:rFonts w:ascii="David" w:hAnsi="David" w:hint="cs"/>
          <w:sz w:val="24"/>
          <w:rtl/>
        </w:rPr>
        <w:t xml:space="preserve">שיעורי ההחזר בגין </w:t>
      </w:r>
      <w:r w:rsidRPr="002B5E33">
        <w:rPr>
          <w:rFonts w:ascii="David" w:hAnsi="David"/>
          <w:sz w:val="24"/>
          <w:rtl/>
        </w:rPr>
        <w:t xml:space="preserve">פוליסות הפרט והפוליסות הקבוצתיות. כך לדוגמה, בין השנים </w:t>
      </w:r>
      <w:r w:rsidRPr="002B5E33">
        <w:rPr>
          <w:rFonts w:ascii="David" w:hAnsi="David" w:hint="cs"/>
          <w:sz w:val="24"/>
          <w:rtl/>
        </w:rPr>
        <w:t>2009</w:t>
      </w:r>
      <w:r w:rsidRPr="002B5E33">
        <w:rPr>
          <w:rFonts w:ascii="David" w:hAnsi="David"/>
          <w:sz w:val="24"/>
          <w:rtl/>
        </w:rPr>
        <w:t xml:space="preserve"> ל-2018, שיעור ההחזר</w:t>
      </w:r>
      <w:r w:rsidRPr="002B5E33">
        <w:rPr>
          <w:rFonts w:ascii="David" w:hAnsi="David" w:hint="cs"/>
          <w:sz w:val="24"/>
          <w:rtl/>
        </w:rPr>
        <w:t xml:space="preserve"> </w:t>
      </w:r>
      <w:r w:rsidRPr="002B5E33">
        <w:rPr>
          <w:rFonts w:ascii="David" w:hAnsi="David"/>
          <w:sz w:val="24"/>
          <w:rtl/>
        </w:rPr>
        <w:t>הממוצע למבוטחים בפוליסות הקבוצתיות עמד על כ-8</w:t>
      </w:r>
      <w:r w:rsidRPr="002B5E33">
        <w:rPr>
          <w:rFonts w:ascii="David" w:hAnsi="David" w:hint="cs"/>
          <w:sz w:val="24"/>
          <w:rtl/>
        </w:rPr>
        <w:t>7</w:t>
      </w:r>
      <w:r w:rsidRPr="002B5E33">
        <w:rPr>
          <w:rFonts w:ascii="David" w:hAnsi="David"/>
          <w:sz w:val="24"/>
          <w:rtl/>
        </w:rPr>
        <w:t>%, לעומת כ-3</w:t>
      </w:r>
      <w:r w:rsidRPr="002B5E33">
        <w:rPr>
          <w:rFonts w:ascii="David" w:hAnsi="David" w:hint="cs"/>
          <w:sz w:val="24"/>
          <w:rtl/>
        </w:rPr>
        <w:t>9</w:t>
      </w:r>
      <w:r w:rsidRPr="002B5E33">
        <w:rPr>
          <w:rFonts w:ascii="David" w:hAnsi="David"/>
          <w:sz w:val="24"/>
          <w:rtl/>
        </w:rPr>
        <w:t>% בלבד שהועברו למבוטחי הפוליסות הפרטיות.</w:t>
      </w:r>
      <w:r w:rsidRPr="002B5E33">
        <w:rPr>
          <w:rFonts w:ascii="David" w:hAnsi="David" w:hint="cs"/>
          <w:sz w:val="24"/>
          <w:rtl/>
        </w:rPr>
        <w:t xml:space="preserve"> </w:t>
      </w:r>
    </w:p>
    <w:p w:rsidR="00B132F4" w:rsidRPr="002B5E33" w:rsidP="00ED5C0D">
      <w:pPr>
        <w:pStyle w:val="a"/>
        <w:spacing w:line="269" w:lineRule="auto"/>
        <w:rPr>
          <w:rtl/>
        </w:rPr>
      </w:pPr>
    </w:p>
    <w:p w:rsidR="00B132F4" w:rsidRPr="002B5E33" w:rsidP="00ED5C0D">
      <w:pPr>
        <w:spacing w:line="269" w:lineRule="auto"/>
        <w:contextualSpacing/>
        <w:rPr>
          <w:rFonts w:ascii="David" w:hAnsi="David"/>
          <w:sz w:val="24"/>
          <w:rtl/>
        </w:rPr>
      </w:pPr>
      <w:r w:rsidRPr="002B5E33">
        <w:rPr>
          <w:rFonts w:ascii="David" w:hAnsi="David" w:hint="cs"/>
          <w:sz w:val="24"/>
          <w:rtl/>
        </w:rPr>
        <w:t>לשם המחשה, בהינתן שמבוטח מפוליסות הפרט היה עובר בשנת 2009 לפוליסה קבוצתית הוא היה עשוי לכאורה לחסוך סכום הנאמד בכ-500 ש"ח בשנה</w:t>
      </w:r>
      <w:r>
        <w:rPr>
          <w:rFonts w:ascii="David" w:hAnsi="David"/>
          <w:sz w:val="24"/>
          <w:vertAlign w:val="superscript"/>
          <w:rtl/>
        </w:rPr>
        <w:footnoteReference w:id="58"/>
      </w:r>
      <w:r w:rsidRPr="002B5E33">
        <w:rPr>
          <w:rFonts w:ascii="David" w:hAnsi="David" w:hint="cs"/>
          <w:sz w:val="24"/>
          <w:rtl/>
        </w:rPr>
        <w:t>. מאחר ושאוכלוסיית המבוטחים בפוליסות הפרט בביטוחי הבריאות עומדת על כ-2.4 מיליון מבוטחים, ומאחר שישנם מרכיבים נוספים העשויים להשתנות</w:t>
      </w:r>
      <w:r>
        <w:rPr>
          <w:rFonts w:ascii="David" w:hAnsi="David"/>
          <w:sz w:val="24"/>
          <w:vertAlign w:val="superscript"/>
          <w:rtl/>
        </w:rPr>
        <w:footnoteReference w:id="59"/>
      </w:r>
      <w:r w:rsidRPr="002B5E33">
        <w:rPr>
          <w:rFonts w:ascii="David" w:hAnsi="David" w:hint="cs"/>
          <w:sz w:val="24"/>
          <w:rtl/>
        </w:rPr>
        <w:t xml:space="preserve">, הרי שניתן להעריך את הפער המצטבר במאות מיליוני ש"ח בשנה. </w:t>
      </w:r>
    </w:p>
    <w:p w:rsidR="00B132F4" w:rsidRPr="002B5E33" w:rsidP="00ED5C0D">
      <w:pPr>
        <w:spacing w:line="269" w:lineRule="auto"/>
        <w:ind w:left="-567"/>
        <w:rPr>
          <w:szCs w:val="20"/>
          <w:rtl/>
        </w:rPr>
      </w:pPr>
    </w:p>
    <w:p w:rsidR="00B132F4" w:rsidP="00ED5C0D">
      <w:pPr>
        <w:spacing w:line="269" w:lineRule="auto"/>
        <w:rPr>
          <w:rtl/>
        </w:rPr>
      </w:pPr>
      <w:r w:rsidRPr="002B5E33">
        <w:rPr>
          <w:rFonts w:ascii="David" w:hAnsi="David" w:hint="cs"/>
          <w:sz w:val="24"/>
          <w:rtl/>
        </w:rPr>
        <w:t xml:space="preserve">חברות הביטוח </w:t>
      </w:r>
      <w:r w:rsidRPr="002B5E33" w:rsidR="000B0533">
        <w:rPr>
          <w:rFonts w:ascii="David" w:hAnsi="David" w:hint="eastAsia"/>
          <w:sz w:val="24"/>
          <w:rtl/>
        </w:rPr>
        <w:t>מסרו</w:t>
      </w:r>
      <w:r w:rsidRPr="002B5E33" w:rsidR="000B0533">
        <w:rPr>
          <w:rFonts w:ascii="David" w:hAnsi="David" w:hint="cs"/>
          <w:sz w:val="24"/>
          <w:rtl/>
        </w:rPr>
        <w:t xml:space="preserve"> </w:t>
      </w:r>
      <w:r w:rsidRPr="002B5E33">
        <w:rPr>
          <w:rFonts w:ascii="David" w:hAnsi="David" w:hint="cs"/>
          <w:sz w:val="24"/>
          <w:rtl/>
        </w:rPr>
        <w:t>בתשובתם כי מדד ה-</w:t>
      </w:r>
      <w:r w:rsidRPr="002B5E33">
        <w:rPr>
          <w:rFonts w:ascii="David" w:hAnsi="David" w:hint="cs"/>
          <w:sz w:val="24"/>
        </w:rPr>
        <w:t>LR</w:t>
      </w:r>
      <w:r w:rsidRPr="002B5E33">
        <w:rPr>
          <w:rFonts w:ascii="David" w:hAnsi="David" w:hint="cs"/>
          <w:sz w:val="24"/>
          <w:rtl/>
        </w:rPr>
        <w:t xml:space="preserve"> אינו מדד מהימן לקביעת רווחיות בביטוח בריאות מסחרי וכי אופן הצגת הדברים בנוגע לפערים בשיעור ההחזר הישיר בין פוליסות הפרט לפוליסות הקבוצתיות יוצר רושם מוטעה של רווחיות מופרזת בענף, אשר עלול ליצור ניכור כללי כלפי חברות הביטוח, ללא הצדקה עניינית לכך.</w:t>
      </w:r>
    </w:p>
    <w:p w:rsidR="00B132F4" w:rsidRPr="002B5E33" w:rsidP="00ED5C0D">
      <w:pPr>
        <w:spacing w:line="269" w:lineRule="auto"/>
        <w:ind w:left="-567"/>
        <w:rPr>
          <w:szCs w:val="20"/>
          <w:rtl/>
        </w:rPr>
      </w:pPr>
    </w:p>
    <w:p w:rsidR="00B132F4" w:rsidRPr="002B5E33" w:rsidP="00ED5C0D">
      <w:pPr>
        <w:spacing w:line="269" w:lineRule="auto"/>
        <w:contextualSpacing/>
        <w:rPr>
          <w:rFonts w:ascii="David" w:hAnsi="David"/>
          <w:sz w:val="24"/>
          <w:rtl/>
        </w:rPr>
      </w:pPr>
      <w:r w:rsidRPr="002B5E33">
        <w:rPr>
          <w:rFonts w:ascii="David" w:hAnsi="David" w:hint="eastAsia"/>
          <w:sz w:val="24"/>
          <w:rtl/>
        </w:rPr>
        <w:t>יובהר</w:t>
      </w:r>
      <w:r w:rsidRPr="002B5E33">
        <w:rPr>
          <w:rFonts w:ascii="David" w:hAnsi="David"/>
          <w:sz w:val="24"/>
          <w:rtl/>
        </w:rPr>
        <w:t xml:space="preserve"> כי </w:t>
      </w:r>
      <w:r w:rsidRPr="002B5E33">
        <w:rPr>
          <w:rFonts w:ascii="David" w:hAnsi="David" w:hint="eastAsia"/>
          <w:sz w:val="24"/>
          <w:rtl/>
        </w:rPr>
        <w:t>מדד</w:t>
      </w:r>
      <w:r w:rsidRPr="002B5E33">
        <w:rPr>
          <w:rFonts w:ascii="David" w:hAnsi="David"/>
          <w:sz w:val="24"/>
          <w:rtl/>
        </w:rPr>
        <w:t xml:space="preserve"> </w:t>
      </w:r>
      <w:r w:rsidRPr="002B5E33">
        <w:rPr>
          <w:rFonts w:ascii="David" w:hAnsi="David" w:hint="eastAsia"/>
          <w:sz w:val="24"/>
          <w:rtl/>
        </w:rPr>
        <w:t>ה</w:t>
      </w:r>
      <w:r w:rsidRPr="002B5E33">
        <w:rPr>
          <w:rFonts w:ascii="David" w:hAnsi="David" w:hint="cs"/>
          <w:sz w:val="24"/>
          <w:rtl/>
        </w:rPr>
        <w:t>החזר (</w:t>
      </w:r>
      <w:r w:rsidRPr="002B5E33">
        <w:rPr>
          <w:rFonts w:ascii="David" w:hAnsi="David"/>
          <w:sz w:val="24"/>
        </w:rPr>
        <w:t>LR</w:t>
      </w:r>
      <w:r w:rsidRPr="002B5E33">
        <w:rPr>
          <w:rFonts w:ascii="David" w:hAnsi="David" w:hint="cs"/>
          <w:sz w:val="24"/>
          <w:rtl/>
        </w:rPr>
        <w:t>)</w:t>
      </w:r>
      <w:r w:rsidRPr="002B5E33">
        <w:rPr>
          <w:rFonts w:ascii="David" w:hAnsi="David"/>
          <w:sz w:val="24"/>
          <w:rtl/>
        </w:rPr>
        <w:t xml:space="preserve"> </w:t>
      </w:r>
      <w:r w:rsidRPr="002B5E33">
        <w:rPr>
          <w:rFonts w:ascii="David" w:hAnsi="David" w:hint="eastAsia"/>
          <w:sz w:val="24"/>
          <w:rtl/>
        </w:rPr>
        <w:t>אכן</w:t>
      </w:r>
      <w:r w:rsidRPr="002B5E33">
        <w:rPr>
          <w:rFonts w:ascii="David" w:hAnsi="David"/>
          <w:sz w:val="24"/>
          <w:rtl/>
        </w:rPr>
        <w:t xml:space="preserve"> לא נועד </w:t>
      </w:r>
      <w:r w:rsidRPr="002B5E33">
        <w:rPr>
          <w:rFonts w:ascii="David" w:hAnsi="David" w:hint="eastAsia"/>
          <w:sz w:val="24"/>
          <w:rtl/>
        </w:rPr>
        <w:t>לקביעת</w:t>
      </w:r>
      <w:r w:rsidRPr="002B5E33">
        <w:rPr>
          <w:rFonts w:ascii="David" w:hAnsi="David"/>
          <w:sz w:val="24"/>
          <w:rtl/>
        </w:rPr>
        <w:t xml:space="preserve"> </w:t>
      </w:r>
      <w:r w:rsidRPr="002B5E33">
        <w:rPr>
          <w:rFonts w:ascii="David" w:hAnsi="David" w:hint="eastAsia"/>
          <w:sz w:val="24"/>
          <w:rtl/>
        </w:rPr>
        <w:t>רווחיות</w:t>
      </w:r>
      <w:r w:rsidRPr="002B5E33">
        <w:rPr>
          <w:rFonts w:ascii="David" w:hAnsi="David"/>
          <w:sz w:val="24"/>
          <w:rtl/>
        </w:rPr>
        <w:t xml:space="preserve"> </w:t>
      </w:r>
      <w:r w:rsidRPr="002B5E33">
        <w:rPr>
          <w:rFonts w:ascii="David" w:hAnsi="David" w:hint="eastAsia"/>
          <w:sz w:val="24"/>
          <w:rtl/>
        </w:rPr>
        <w:t>חברות</w:t>
      </w:r>
      <w:r w:rsidRPr="002B5E33">
        <w:rPr>
          <w:rFonts w:ascii="David" w:hAnsi="David"/>
          <w:sz w:val="24"/>
          <w:rtl/>
        </w:rPr>
        <w:t xml:space="preserve"> </w:t>
      </w:r>
      <w:r w:rsidRPr="002B5E33">
        <w:rPr>
          <w:rFonts w:ascii="David" w:hAnsi="David" w:hint="eastAsia"/>
          <w:sz w:val="24"/>
          <w:rtl/>
        </w:rPr>
        <w:t>הביטוח</w:t>
      </w:r>
      <w:r w:rsidRPr="002B5E33">
        <w:rPr>
          <w:rFonts w:ascii="David" w:hAnsi="David"/>
          <w:sz w:val="24"/>
          <w:rtl/>
        </w:rPr>
        <w:t>, אלא</w:t>
      </w:r>
      <w:r w:rsidRPr="002B5E33">
        <w:rPr>
          <w:rFonts w:ascii="David" w:hAnsi="David" w:hint="cs"/>
          <w:sz w:val="24"/>
          <w:rtl/>
        </w:rPr>
        <w:t xml:space="preserve"> הוא</w:t>
      </w:r>
      <w:r w:rsidRPr="002B5E33">
        <w:rPr>
          <w:rFonts w:ascii="David" w:hAnsi="David"/>
          <w:sz w:val="24"/>
          <w:rtl/>
        </w:rPr>
        <w:t xml:space="preserve"> מושפע </w:t>
      </w:r>
      <w:r w:rsidRPr="002B5E33">
        <w:rPr>
          <w:rFonts w:ascii="David" w:hAnsi="David" w:hint="eastAsia"/>
          <w:sz w:val="24"/>
          <w:rtl/>
        </w:rPr>
        <w:t>מגורמים</w:t>
      </w:r>
      <w:r w:rsidRPr="002B5E33">
        <w:rPr>
          <w:rFonts w:ascii="David" w:hAnsi="David"/>
          <w:sz w:val="24"/>
          <w:rtl/>
        </w:rPr>
        <w:t xml:space="preserve"> </w:t>
      </w:r>
      <w:r w:rsidRPr="002B5E33">
        <w:rPr>
          <w:rFonts w:ascii="David" w:hAnsi="David" w:hint="eastAsia"/>
          <w:sz w:val="24"/>
          <w:rtl/>
        </w:rPr>
        <w:t>רבים</w:t>
      </w:r>
      <w:r w:rsidRPr="002B5E33">
        <w:rPr>
          <w:rFonts w:ascii="David" w:hAnsi="David" w:hint="cs"/>
          <w:sz w:val="24"/>
          <w:rtl/>
        </w:rPr>
        <w:t>,</w:t>
      </w:r>
      <w:r w:rsidRPr="002B5E33">
        <w:rPr>
          <w:rFonts w:ascii="David" w:hAnsi="David"/>
          <w:sz w:val="24"/>
          <w:rtl/>
        </w:rPr>
        <w:t xml:space="preserve"> ובהם </w:t>
      </w:r>
      <w:r w:rsidRPr="002B5E33">
        <w:rPr>
          <w:rFonts w:ascii="David" w:hAnsi="David" w:hint="eastAsia"/>
          <w:sz w:val="24"/>
          <w:rtl/>
        </w:rPr>
        <w:t>גם</w:t>
      </w:r>
      <w:r w:rsidRPr="002B5E33">
        <w:rPr>
          <w:rFonts w:ascii="David" w:hAnsi="David"/>
          <w:sz w:val="24"/>
          <w:rtl/>
        </w:rPr>
        <w:t xml:space="preserve"> </w:t>
      </w:r>
      <w:r w:rsidRPr="002B5E33">
        <w:rPr>
          <w:rFonts w:ascii="David" w:hAnsi="David" w:hint="eastAsia"/>
          <w:sz w:val="24"/>
          <w:rtl/>
        </w:rPr>
        <w:t>מרמת</w:t>
      </w:r>
      <w:r w:rsidRPr="002B5E33">
        <w:rPr>
          <w:rFonts w:ascii="David" w:hAnsi="David"/>
          <w:sz w:val="24"/>
          <w:rtl/>
        </w:rPr>
        <w:t xml:space="preserve"> </w:t>
      </w:r>
      <w:r w:rsidRPr="002B5E33">
        <w:rPr>
          <w:rFonts w:ascii="David" w:hAnsi="David" w:hint="eastAsia"/>
          <w:sz w:val="24"/>
          <w:rtl/>
        </w:rPr>
        <w:t>הרווחיות</w:t>
      </w:r>
      <w:r w:rsidRPr="002B5E33">
        <w:rPr>
          <w:rFonts w:ascii="David" w:hAnsi="David"/>
          <w:sz w:val="24"/>
          <w:rtl/>
        </w:rPr>
        <w:t>.</w:t>
      </w:r>
    </w:p>
    <w:p w:rsidR="00B132F4" w:rsidRPr="002B5E33" w:rsidP="00ED5C0D">
      <w:pPr>
        <w:spacing w:line="269" w:lineRule="auto"/>
        <w:ind w:left="-567"/>
        <w:rPr>
          <w:szCs w:val="20"/>
          <w:rtl/>
        </w:rPr>
      </w:pPr>
    </w:p>
    <w:p w:rsidR="00B132F4" w:rsidRPr="002B5E33" w:rsidP="00ED5C0D">
      <w:pPr>
        <w:spacing w:line="269" w:lineRule="auto"/>
        <w:contextualSpacing/>
        <w:rPr>
          <w:rFonts w:ascii="David" w:hAnsi="David"/>
          <w:sz w:val="24"/>
          <w:rtl/>
        </w:rPr>
      </w:pPr>
      <w:r w:rsidRPr="002B5E33">
        <w:rPr>
          <w:rFonts w:ascii="David" w:hAnsi="David" w:hint="cs"/>
          <w:sz w:val="24"/>
          <w:rtl/>
        </w:rPr>
        <w:t xml:space="preserve">ניתן להסביר את הפערים בשיעורי ההחזר בין פוליסות הפרט לפוליסות הקבוצתיות </w:t>
      </w:r>
      <w:r w:rsidRPr="002B5E33" w:rsidR="00724221">
        <w:rPr>
          <w:rFonts w:ascii="David" w:hAnsi="David" w:hint="cs"/>
          <w:sz w:val="24"/>
          <w:rtl/>
        </w:rPr>
        <w:t>ב</w:t>
      </w:r>
      <w:r w:rsidRPr="002B5E33">
        <w:rPr>
          <w:rFonts w:ascii="David" w:hAnsi="David" w:hint="cs"/>
          <w:sz w:val="24"/>
          <w:rtl/>
        </w:rPr>
        <w:t xml:space="preserve">מגוון </w:t>
      </w:r>
      <w:r w:rsidRPr="002B5E33" w:rsidR="00724221">
        <w:rPr>
          <w:rFonts w:ascii="David" w:hAnsi="David" w:hint="cs"/>
          <w:sz w:val="24"/>
          <w:rtl/>
        </w:rPr>
        <w:t>סיבות,</w:t>
      </w:r>
      <w:r w:rsidRPr="002B5E33">
        <w:rPr>
          <w:rFonts w:ascii="David" w:hAnsi="David" w:hint="cs"/>
          <w:sz w:val="24"/>
          <w:rtl/>
        </w:rPr>
        <w:t xml:space="preserve"> ובה</w:t>
      </w:r>
      <w:r w:rsidRPr="002B5E33" w:rsidR="00724221">
        <w:rPr>
          <w:rFonts w:ascii="David" w:hAnsi="David" w:hint="cs"/>
          <w:sz w:val="24"/>
          <w:rtl/>
        </w:rPr>
        <w:t>ן</w:t>
      </w:r>
      <w:r w:rsidRPr="002B5E33">
        <w:rPr>
          <w:rFonts w:ascii="David" w:hAnsi="David" w:hint="cs"/>
          <w:sz w:val="24"/>
          <w:rtl/>
        </w:rPr>
        <w:t>: הבדלים מובנים בין סוגי הפוליסות</w:t>
      </w:r>
      <w:r>
        <w:rPr>
          <w:rFonts w:ascii="David" w:hAnsi="David"/>
          <w:sz w:val="24"/>
          <w:vertAlign w:val="superscript"/>
          <w:rtl/>
        </w:rPr>
        <w:footnoteReference w:id="60"/>
      </w:r>
      <w:r w:rsidRPr="002B5E33">
        <w:rPr>
          <w:rFonts w:ascii="David" w:hAnsi="David" w:hint="cs"/>
          <w:sz w:val="24"/>
          <w:rtl/>
        </w:rPr>
        <w:t>, יעילות כלכלית, מבנה ההוצאות בתחום (לדוגמה - עלויות נמוכות של עמלת סוכן הנובעות מיתרונות לגודל הקבוצה), ופערים בתשלומי הפרמיות (כוח שוק של רוכשי הפוליסה הקבוצתית)</w:t>
      </w:r>
      <w:r>
        <w:rPr>
          <w:rFonts w:ascii="David" w:hAnsi="David"/>
          <w:sz w:val="24"/>
          <w:vertAlign w:val="superscript"/>
          <w:rtl/>
        </w:rPr>
        <w:footnoteReference w:id="61"/>
      </w:r>
      <w:r w:rsidRPr="002B5E33">
        <w:rPr>
          <w:rFonts w:ascii="David" w:hAnsi="David" w:hint="cs"/>
          <w:sz w:val="24"/>
          <w:rtl/>
        </w:rPr>
        <w:t>. אם קיימים, סכומים עודפים,</w:t>
      </w:r>
      <w:r w:rsidRPr="002B5E33" w:rsidR="00724221">
        <w:rPr>
          <w:rFonts w:ascii="David" w:hAnsi="David" w:hint="cs"/>
          <w:sz w:val="24"/>
          <w:rtl/>
        </w:rPr>
        <w:t xml:space="preserve"> אשר אינם מוסברים על ידי גורמים אלו</w:t>
      </w:r>
      <w:r w:rsidRPr="002B5E33" w:rsidR="00C631CC">
        <w:rPr>
          <w:rFonts w:ascii="David" w:hAnsi="David" w:hint="cs"/>
          <w:sz w:val="24"/>
          <w:rtl/>
        </w:rPr>
        <w:t>,</w:t>
      </w:r>
      <w:r w:rsidR="00944242">
        <w:rPr>
          <w:rFonts w:ascii="David" w:hAnsi="David" w:hint="cs"/>
          <w:sz w:val="24"/>
          <w:rtl/>
        </w:rPr>
        <w:t xml:space="preserve"> </w:t>
      </w:r>
      <w:r w:rsidRPr="002B5E33">
        <w:rPr>
          <w:rFonts w:ascii="David" w:hAnsi="David"/>
          <w:sz w:val="24"/>
          <w:rtl/>
        </w:rPr>
        <w:t xml:space="preserve">הדבר </w:t>
      </w:r>
      <w:r w:rsidRPr="002B5E33">
        <w:rPr>
          <w:rFonts w:ascii="David" w:hAnsi="David" w:hint="cs"/>
          <w:sz w:val="24"/>
          <w:rtl/>
        </w:rPr>
        <w:t>עשוי לה</w:t>
      </w:r>
      <w:r w:rsidRPr="002B5E33">
        <w:rPr>
          <w:rFonts w:ascii="David" w:hAnsi="David"/>
          <w:sz w:val="24"/>
          <w:rtl/>
        </w:rPr>
        <w:t xml:space="preserve">צביע </w:t>
      </w:r>
      <w:r w:rsidRPr="002B5E33">
        <w:rPr>
          <w:rFonts w:ascii="David" w:hAnsi="David" w:hint="cs"/>
          <w:sz w:val="24"/>
          <w:rtl/>
        </w:rPr>
        <w:t xml:space="preserve">על כשלים בתחום אשר מתורגמים לרווח של חברות הביטוח. </w:t>
      </w:r>
    </w:p>
    <w:p w:rsidR="00B132F4" w:rsidRPr="002B5E33" w:rsidP="00ED5C0D">
      <w:pPr>
        <w:spacing w:line="269" w:lineRule="auto"/>
        <w:ind w:left="-567"/>
        <w:rPr>
          <w:szCs w:val="20"/>
          <w:rtl/>
        </w:rPr>
      </w:pPr>
    </w:p>
    <w:p w:rsidR="00B132F4" w:rsidRPr="002B5E33" w:rsidP="00ED5C0D">
      <w:pPr>
        <w:spacing w:line="269" w:lineRule="auto"/>
        <w:contextualSpacing/>
        <w:rPr>
          <w:rFonts w:ascii="David" w:hAnsi="David"/>
          <w:sz w:val="24"/>
          <w:vertAlign w:val="superscript"/>
          <w:rtl/>
        </w:rPr>
      </w:pPr>
      <w:r w:rsidRPr="002B5E33">
        <w:rPr>
          <w:rFonts w:ascii="David" w:hAnsi="David" w:hint="cs"/>
          <w:sz w:val="24"/>
          <w:rtl/>
        </w:rPr>
        <w:t xml:space="preserve">בסקירת העומק שפרסמה רשות שוק ההון על </w:t>
      </w:r>
      <w:r w:rsidRPr="002B5E33">
        <w:rPr>
          <w:rFonts w:ascii="David" w:hAnsi="David"/>
          <w:sz w:val="24"/>
          <w:rtl/>
        </w:rPr>
        <w:t>רפורמ</w:t>
      </w:r>
      <w:r w:rsidRPr="002B5E33">
        <w:rPr>
          <w:rFonts w:ascii="David" w:hAnsi="David" w:hint="cs"/>
          <w:sz w:val="24"/>
          <w:rtl/>
        </w:rPr>
        <w:t>ת</w:t>
      </w:r>
      <w:r w:rsidRPr="002B5E33">
        <w:rPr>
          <w:rFonts w:ascii="David" w:hAnsi="David"/>
          <w:sz w:val="24"/>
          <w:rtl/>
        </w:rPr>
        <w:t xml:space="preserve"> 2016</w:t>
      </w:r>
      <w:r>
        <w:rPr>
          <w:rFonts w:ascii="David" w:hAnsi="David"/>
          <w:sz w:val="24"/>
          <w:vertAlign w:val="superscript"/>
          <w:rtl/>
        </w:rPr>
        <w:footnoteReference w:id="62"/>
      </w:r>
      <w:r w:rsidRPr="002B5E33">
        <w:rPr>
          <w:rFonts w:ascii="David" w:hAnsi="David"/>
          <w:sz w:val="24"/>
          <w:rtl/>
        </w:rPr>
        <w:t xml:space="preserve"> </w:t>
      </w:r>
      <w:r w:rsidRPr="002B5E33">
        <w:rPr>
          <w:rFonts w:ascii="David" w:hAnsi="David" w:hint="cs"/>
          <w:sz w:val="24"/>
          <w:rtl/>
        </w:rPr>
        <w:t xml:space="preserve">צוין כי כשלים שנמצאו על ידה ערב הרפורמה בעריכת פוליסות הפרט הובילו לשיעור החזר נמוך למבוטח בביטוחי הפרט. כך לדוגמה, בין הכשלים שזוהו בתחום ניתן למנות </w:t>
      </w:r>
      <w:r w:rsidRPr="002B5E33">
        <w:rPr>
          <w:rFonts w:ascii="David" w:hAnsi="David"/>
          <w:sz w:val="24"/>
          <w:rtl/>
        </w:rPr>
        <w:t>רמת תחרותיות נמוכה</w:t>
      </w:r>
      <w:r w:rsidRPr="002B5E33">
        <w:rPr>
          <w:rFonts w:ascii="David" w:hAnsi="David" w:hint="cs"/>
          <w:sz w:val="24"/>
          <w:rtl/>
        </w:rPr>
        <w:t xml:space="preserve">, </w:t>
      </w:r>
      <w:r w:rsidRPr="002B5E33">
        <w:rPr>
          <w:rFonts w:ascii="David" w:hAnsi="David"/>
          <w:sz w:val="24"/>
          <w:rtl/>
        </w:rPr>
        <w:t xml:space="preserve">חסמי מעבר גבוהים בין הפוליסות, יתרון מובנה </w:t>
      </w:r>
      <w:r w:rsidRPr="002B5E33">
        <w:rPr>
          <w:rFonts w:ascii="David" w:hAnsi="David" w:hint="eastAsia"/>
          <w:sz w:val="24"/>
          <w:rtl/>
        </w:rPr>
        <w:t>של</w:t>
      </w:r>
      <w:r w:rsidRPr="002B5E33">
        <w:rPr>
          <w:rFonts w:ascii="David" w:hAnsi="David"/>
          <w:sz w:val="24"/>
          <w:rtl/>
        </w:rPr>
        <w:t xml:space="preserve"> החברות על פני המבוטח</w:t>
      </w:r>
      <w:r w:rsidRPr="002B5E33">
        <w:rPr>
          <w:rFonts w:ascii="David" w:hAnsi="David" w:hint="cs"/>
          <w:sz w:val="24"/>
          <w:rtl/>
        </w:rPr>
        <w:t xml:space="preserve">, </w:t>
      </w:r>
      <w:r w:rsidRPr="002B5E33">
        <w:rPr>
          <w:rFonts w:ascii="David" w:hAnsi="David" w:hint="eastAsia"/>
          <w:sz w:val="24"/>
          <w:rtl/>
        </w:rPr>
        <w:t>תופעת</w:t>
      </w:r>
      <w:r w:rsidRPr="002B5E33">
        <w:rPr>
          <w:rFonts w:ascii="David" w:hAnsi="David"/>
          <w:sz w:val="24"/>
          <w:rtl/>
        </w:rPr>
        <w:t xml:space="preserve"> כפל הביטוח</w:t>
      </w:r>
      <w:r w:rsidRPr="002B5E33">
        <w:rPr>
          <w:rFonts w:ascii="David" w:hAnsi="David" w:hint="cs"/>
          <w:sz w:val="24"/>
          <w:rtl/>
        </w:rPr>
        <w:t>,</w:t>
      </w:r>
      <w:r w:rsidRPr="002B5E33">
        <w:rPr>
          <w:rFonts w:ascii="David" w:hAnsi="David"/>
          <w:sz w:val="24"/>
          <w:rtl/>
        </w:rPr>
        <w:t xml:space="preserve"> ועוד</w:t>
      </w:r>
      <w:r>
        <w:rPr>
          <w:rFonts w:ascii="David" w:hAnsi="David"/>
          <w:sz w:val="24"/>
          <w:vertAlign w:val="superscript"/>
          <w:rtl/>
        </w:rPr>
        <w:footnoteReference w:id="63"/>
      </w:r>
      <w:r w:rsidRPr="002B5E33">
        <w:rPr>
          <w:rFonts w:ascii="David" w:hAnsi="David" w:hint="cs"/>
          <w:sz w:val="24"/>
          <w:rtl/>
        </w:rPr>
        <w:t xml:space="preserve">. </w:t>
      </w:r>
    </w:p>
    <w:p w:rsidR="00B132F4" w:rsidRPr="002B5E33" w:rsidP="00ED5C0D">
      <w:pPr>
        <w:spacing w:line="269" w:lineRule="auto"/>
        <w:ind w:left="-567"/>
        <w:rPr>
          <w:szCs w:val="20"/>
          <w:rtl/>
        </w:rPr>
      </w:pPr>
    </w:p>
    <w:p w:rsidR="00B132F4" w:rsidRPr="002B5E33" w:rsidP="00ED5C0D">
      <w:pPr>
        <w:spacing w:line="269" w:lineRule="auto"/>
        <w:rPr>
          <w:rFonts w:ascii="David" w:hAnsi="David"/>
          <w:sz w:val="24"/>
          <w:rtl/>
        </w:rPr>
      </w:pPr>
      <w:r w:rsidRPr="002B5E33">
        <w:rPr>
          <w:rFonts w:ascii="David" w:hAnsi="David" w:hint="cs"/>
          <w:sz w:val="24"/>
          <w:rtl/>
        </w:rPr>
        <w:t xml:space="preserve">לצורך בחינת הסיבות לפערים בשיעורי ההחזר בין פוליסות הפרט לפוליסות הקבוצתיות, בחן משרד מבקר </w:t>
      </w:r>
      <w:r w:rsidRPr="002B5E33" w:rsidR="00D62799">
        <w:rPr>
          <w:rFonts w:ascii="David" w:hAnsi="David" w:hint="cs"/>
          <w:sz w:val="24"/>
          <w:rtl/>
        </w:rPr>
        <w:t xml:space="preserve">המדינה </w:t>
      </w:r>
      <w:r w:rsidRPr="002B5E33">
        <w:rPr>
          <w:rFonts w:ascii="David" w:hAnsi="David" w:hint="cs"/>
          <w:sz w:val="24"/>
          <w:rtl/>
        </w:rPr>
        <w:t xml:space="preserve">את מבנה ההוצאות של חברות הביטוח וכן את </w:t>
      </w:r>
      <w:r w:rsidRPr="002B5E33" w:rsidR="00D62799">
        <w:rPr>
          <w:rFonts w:ascii="David" w:hAnsi="David" w:hint="cs"/>
          <w:sz w:val="24"/>
          <w:rtl/>
        </w:rPr>
        <w:t xml:space="preserve">הסכומים העודפים הבלתי מוסברים שנותרו </w:t>
      </w:r>
      <w:r w:rsidRPr="002B5E33">
        <w:rPr>
          <w:rFonts w:ascii="David" w:hAnsi="David" w:hint="cs"/>
          <w:sz w:val="24"/>
          <w:rtl/>
        </w:rPr>
        <w:t xml:space="preserve">מניכוי ההוצאות מסך פרמיות שנתקבלו בתחום (להלן- הסכום העודף). </w:t>
      </w:r>
    </w:p>
    <w:p w:rsidR="00B132F4" w:rsidRPr="002B5E33" w:rsidP="00ED5C0D">
      <w:pPr>
        <w:pStyle w:val="a"/>
        <w:spacing w:line="269" w:lineRule="auto"/>
        <w:rPr>
          <w:sz w:val="16"/>
          <w:rtl/>
        </w:rPr>
      </w:pPr>
    </w:p>
    <w:p w:rsidR="00720E2B" w:rsidRPr="001A469F" w:rsidP="001A469F">
      <w:pPr>
        <w:spacing w:line="269" w:lineRule="auto"/>
        <w:rPr>
          <w:rFonts w:ascii="David" w:hAnsi="David"/>
          <w:sz w:val="24"/>
          <w:rtl/>
        </w:rPr>
      </w:pPr>
      <w:r w:rsidRPr="002B5E33">
        <w:rPr>
          <w:rFonts w:ascii="David" w:hAnsi="David" w:hint="cs"/>
          <w:sz w:val="24"/>
          <w:rtl/>
        </w:rPr>
        <w:t xml:space="preserve">יובהר כי על-מנת למקד את הבחינה בליבת פעילות הביטוח, </w:t>
      </w:r>
      <w:r w:rsidRPr="002B5E33" w:rsidR="00D62799">
        <w:rPr>
          <w:rFonts w:ascii="David" w:hAnsi="David" w:hint="cs"/>
          <w:sz w:val="24"/>
          <w:rtl/>
        </w:rPr>
        <w:t xml:space="preserve">בחן </w:t>
      </w:r>
      <w:r w:rsidRPr="002B5E33">
        <w:rPr>
          <w:rFonts w:ascii="David" w:hAnsi="David" w:hint="cs"/>
          <w:sz w:val="24"/>
          <w:rtl/>
        </w:rPr>
        <w:t xml:space="preserve">משרד מבקר </w:t>
      </w:r>
      <w:r w:rsidRPr="002B5E33" w:rsidR="00D62799">
        <w:rPr>
          <w:rFonts w:ascii="David" w:hAnsi="David" w:hint="cs"/>
          <w:sz w:val="24"/>
          <w:rtl/>
        </w:rPr>
        <w:t xml:space="preserve">המדינה </w:t>
      </w:r>
      <w:r w:rsidRPr="002B5E33">
        <w:rPr>
          <w:rFonts w:ascii="David" w:hAnsi="David" w:hint="cs"/>
          <w:sz w:val="24"/>
          <w:rtl/>
        </w:rPr>
        <w:t>את ההוצאות וההכנסות הישירות בלבד. לדוגמ</w:t>
      </w:r>
      <w:r w:rsidRPr="002B5E33" w:rsidR="00D62799">
        <w:rPr>
          <w:rFonts w:ascii="David" w:hAnsi="David" w:hint="cs"/>
          <w:sz w:val="24"/>
          <w:rtl/>
        </w:rPr>
        <w:t>ה</w:t>
      </w:r>
      <w:r w:rsidRPr="002B5E33">
        <w:rPr>
          <w:rFonts w:ascii="David" w:hAnsi="David" w:hint="cs"/>
          <w:sz w:val="24"/>
          <w:rtl/>
        </w:rPr>
        <w:t xml:space="preserve">, </w:t>
      </w:r>
      <w:r w:rsidRPr="002B5E33">
        <w:rPr>
          <w:rFonts w:ascii="David" w:hAnsi="David" w:hint="cs"/>
          <w:rtl/>
        </w:rPr>
        <w:t xml:space="preserve">לא נכללו בבדיקה </w:t>
      </w:r>
      <w:r w:rsidRPr="002B5E33">
        <w:rPr>
          <w:rFonts w:ascii="David" w:hAnsi="David"/>
          <w:rtl/>
        </w:rPr>
        <w:t xml:space="preserve">רווחים שנצברו </w:t>
      </w:r>
      <w:r w:rsidRPr="002B5E33" w:rsidR="00D62799">
        <w:rPr>
          <w:rFonts w:ascii="David" w:hAnsi="David" w:hint="cs"/>
          <w:rtl/>
        </w:rPr>
        <w:t xml:space="preserve">עקב </w:t>
      </w:r>
      <w:r w:rsidRPr="002B5E33">
        <w:rPr>
          <w:rFonts w:ascii="David" w:hAnsi="David"/>
          <w:rtl/>
        </w:rPr>
        <w:t xml:space="preserve">השקעת עתודות ועודפים של חברות הביטוח במכשירי השקעה פיננסיים בשוק ההון; </w:t>
      </w:r>
      <w:r w:rsidRPr="002B5E33">
        <w:rPr>
          <w:rFonts w:ascii="David" w:hAnsi="David" w:hint="eastAsia"/>
          <w:rtl/>
        </w:rPr>
        <w:t>ומנגד</w:t>
      </w:r>
      <w:r w:rsidRPr="002B5E33">
        <w:rPr>
          <w:rFonts w:ascii="David" w:hAnsi="David"/>
          <w:rtl/>
        </w:rPr>
        <w:t xml:space="preserve">, </w:t>
      </w:r>
      <w:r w:rsidRPr="002B5E33" w:rsidR="00FA7D2C">
        <w:rPr>
          <w:rFonts w:ascii="David" w:hAnsi="David" w:hint="cs"/>
          <w:rtl/>
        </w:rPr>
        <w:t xml:space="preserve">לא נכללו בבדיקה </w:t>
      </w:r>
      <w:r w:rsidRPr="002B5E33">
        <w:rPr>
          <w:rFonts w:ascii="David" w:hAnsi="David"/>
          <w:rtl/>
        </w:rPr>
        <w:t>הוצאות כלליות כגון הוצאות הנהלה וכלליות, מימון ואחרות</w:t>
      </w:r>
      <w:r>
        <w:rPr>
          <w:rStyle w:val="FootnoteReference"/>
          <w:rFonts w:ascii="David" w:hAnsi="David"/>
          <w:rtl/>
        </w:rPr>
        <w:footnoteReference w:id="64"/>
      </w:r>
      <w:r w:rsidRPr="002B5E33" w:rsidR="00FA7D2C">
        <w:rPr>
          <w:rFonts w:hint="cs"/>
          <w:vertAlign w:val="superscript"/>
          <w:rtl/>
        </w:rPr>
        <w:t>.</w:t>
      </w:r>
      <w:r w:rsidRPr="002B5E33" w:rsidR="00FA7D2C">
        <w:rPr>
          <w:rFonts w:ascii="David" w:hAnsi="David" w:hint="cs"/>
          <w:rtl/>
        </w:rPr>
        <w:t xml:space="preserve">. כמו </w:t>
      </w:r>
      <w:r w:rsidRPr="002B5E33">
        <w:rPr>
          <w:rFonts w:ascii="David" w:hAnsi="David" w:hint="cs"/>
          <w:sz w:val="24"/>
          <w:rtl/>
        </w:rPr>
        <w:t>כן ניכויים נוספים כדוגמת מיסוי על רווחי החברה</w:t>
      </w:r>
      <w:r w:rsidRPr="002B5E33">
        <w:rPr>
          <w:rFonts w:ascii="David" w:hAnsi="David" w:hint="cs"/>
          <w:rtl/>
        </w:rPr>
        <w:t xml:space="preserve"> לא נכללו אף הם</w:t>
      </w:r>
      <w:r w:rsidRPr="002B5E33">
        <w:rPr>
          <w:rFonts w:ascii="David" w:hAnsi="David" w:hint="cs"/>
          <w:sz w:val="24"/>
          <w:rtl/>
        </w:rPr>
        <w:t xml:space="preserve">. על כן, הסכום העודף </w:t>
      </w:r>
      <w:r w:rsidRPr="002B5E33">
        <w:rPr>
          <w:rFonts w:ascii="David" w:hAnsi="David"/>
          <w:sz w:val="24"/>
          <w:rtl/>
        </w:rPr>
        <w:t>אינו</w:t>
      </w:r>
      <w:r w:rsidRPr="002B5E33">
        <w:rPr>
          <w:rFonts w:ascii="David" w:hAnsi="David"/>
          <w:sz w:val="24"/>
        </w:rPr>
        <w:t xml:space="preserve"> </w:t>
      </w:r>
      <w:r w:rsidRPr="002B5E33">
        <w:rPr>
          <w:rFonts w:ascii="David" w:hAnsi="David"/>
          <w:sz w:val="24"/>
          <w:rtl/>
        </w:rPr>
        <w:t>מציג</w:t>
      </w:r>
      <w:r w:rsidRPr="002B5E33">
        <w:rPr>
          <w:rFonts w:ascii="David" w:hAnsi="David"/>
          <w:sz w:val="24"/>
        </w:rPr>
        <w:t xml:space="preserve"> </w:t>
      </w:r>
      <w:r w:rsidRPr="002B5E33">
        <w:rPr>
          <w:rFonts w:ascii="David" w:hAnsi="David"/>
          <w:sz w:val="24"/>
          <w:rtl/>
        </w:rPr>
        <w:t>את</w:t>
      </w:r>
      <w:r w:rsidRPr="002B5E33">
        <w:rPr>
          <w:rFonts w:ascii="David" w:hAnsi="David" w:hint="cs"/>
          <w:sz w:val="24"/>
          <w:rtl/>
        </w:rPr>
        <w:t xml:space="preserve"> </w:t>
      </w:r>
      <w:r w:rsidRPr="002B5E33">
        <w:rPr>
          <w:rFonts w:ascii="David" w:hAnsi="David"/>
          <w:sz w:val="24"/>
          <w:rtl/>
        </w:rPr>
        <w:t>הרווח</w:t>
      </w:r>
      <w:r w:rsidRPr="002B5E33">
        <w:rPr>
          <w:rFonts w:ascii="David" w:hAnsi="David"/>
          <w:sz w:val="24"/>
        </w:rPr>
        <w:t xml:space="preserve"> </w:t>
      </w:r>
      <w:r w:rsidRPr="002B5E33">
        <w:rPr>
          <w:rFonts w:ascii="David" w:hAnsi="David"/>
          <w:sz w:val="24"/>
          <w:rtl/>
        </w:rPr>
        <w:t>של</w:t>
      </w:r>
      <w:r w:rsidRPr="002B5E33">
        <w:rPr>
          <w:rFonts w:ascii="David" w:hAnsi="David"/>
          <w:sz w:val="24"/>
        </w:rPr>
        <w:t xml:space="preserve"> </w:t>
      </w:r>
      <w:r w:rsidRPr="002B5E33">
        <w:rPr>
          <w:rFonts w:ascii="David" w:hAnsi="David"/>
          <w:sz w:val="24"/>
          <w:rtl/>
        </w:rPr>
        <w:t>חברת</w:t>
      </w:r>
      <w:r w:rsidRPr="002B5E33">
        <w:rPr>
          <w:rFonts w:ascii="David" w:hAnsi="David"/>
          <w:sz w:val="24"/>
        </w:rPr>
        <w:t xml:space="preserve"> </w:t>
      </w:r>
      <w:r w:rsidRPr="002B5E33">
        <w:rPr>
          <w:rFonts w:ascii="David" w:hAnsi="David"/>
          <w:sz w:val="24"/>
          <w:rtl/>
        </w:rPr>
        <w:t>הביטוח</w:t>
      </w:r>
      <w:r w:rsidRPr="002B5E33">
        <w:rPr>
          <w:rFonts w:ascii="David" w:hAnsi="David"/>
          <w:sz w:val="24"/>
        </w:rPr>
        <w:t xml:space="preserve"> </w:t>
      </w:r>
      <w:r w:rsidRPr="002B5E33">
        <w:rPr>
          <w:rFonts w:ascii="David" w:hAnsi="David"/>
          <w:sz w:val="24"/>
          <w:rtl/>
        </w:rPr>
        <w:t>הלכה</w:t>
      </w:r>
      <w:r w:rsidRPr="002B5E33">
        <w:rPr>
          <w:rFonts w:ascii="David" w:hAnsi="David"/>
          <w:sz w:val="24"/>
        </w:rPr>
        <w:t xml:space="preserve"> </w:t>
      </w:r>
      <w:r w:rsidRPr="002B5E33">
        <w:rPr>
          <w:rFonts w:ascii="David" w:hAnsi="David"/>
          <w:sz w:val="24"/>
          <w:rtl/>
        </w:rPr>
        <w:t>למעשה</w:t>
      </w:r>
      <w:r w:rsidRPr="002B5E33">
        <w:rPr>
          <w:rFonts w:ascii="David" w:hAnsi="David" w:hint="cs"/>
          <w:sz w:val="24"/>
          <w:rtl/>
        </w:rPr>
        <w:t>.</w:t>
      </w:r>
    </w:p>
    <w:p w:rsidR="00B132F4" w:rsidRPr="002B5E33" w:rsidP="00ED5C0D">
      <w:pPr>
        <w:pStyle w:val="a"/>
        <w:spacing w:line="269" w:lineRule="auto"/>
        <w:rPr>
          <w:rtl/>
        </w:rPr>
      </w:pPr>
    </w:p>
    <w:p w:rsidR="001A469F" w:rsidP="001A469F">
      <w:pPr>
        <w:spacing w:line="269" w:lineRule="auto"/>
        <w:ind w:left="-567"/>
        <w:jc w:val="center"/>
        <w:rPr>
          <w:b/>
          <w:bCs/>
          <w:rtl/>
        </w:rPr>
      </w:pPr>
      <w:r w:rsidRPr="002B5E33">
        <w:rPr>
          <w:b/>
          <w:bCs/>
          <w:sz w:val="24"/>
          <w:rtl/>
        </w:rPr>
        <w:t>תרשים</w:t>
      </w:r>
      <w:r w:rsidRPr="002B5E33">
        <w:rPr>
          <w:b/>
          <w:bCs/>
          <w:szCs w:val="20"/>
          <w:rtl/>
        </w:rPr>
        <w:t xml:space="preserve"> </w:t>
      </w:r>
      <w:r w:rsidRPr="002B5E33">
        <w:rPr>
          <w:rFonts w:hint="cs"/>
          <w:b/>
          <w:bCs/>
          <w:sz w:val="24"/>
          <w:rtl/>
        </w:rPr>
        <w:t>10</w:t>
      </w:r>
      <w:r>
        <w:rPr>
          <w:rFonts w:hint="cs"/>
          <w:b/>
          <w:bCs/>
          <w:szCs w:val="20"/>
          <w:rtl/>
        </w:rPr>
        <w:t xml:space="preserve">: </w:t>
      </w:r>
      <w:r w:rsidRPr="002B5E33">
        <w:rPr>
          <w:rFonts w:hint="cs"/>
          <w:b/>
          <w:bCs/>
          <w:rtl/>
        </w:rPr>
        <w:t xml:space="preserve">התפלגות </w:t>
      </w:r>
      <w:r w:rsidRPr="002B5E33">
        <w:rPr>
          <w:b/>
          <w:bCs/>
          <w:rtl/>
        </w:rPr>
        <w:t xml:space="preserve">ההוצאות </w:t>
      </w:r>
      <w:r w:rsidRPr="002B5E33">
        <w:rPr>
          <w:rFonts w:hint="cs"/>
          <w:b/>
          <w:bCs/>
          <w:rtl/>
        </w:rPr>
        <w:t>והסכום העודף של חברות הביטוח בענף</w:t>
      </w:r>
      <w:r w:rsidR="00944242">
        <w:rPr>
          <w:rFonts w:hint="cs"/>
          <w:b/>
          <w:bCs/>
          <w:rtl/>
        </w:rPr>
        <w:t xml:space="preserve"> </w:t>
      </w:r>
      <w:r w:rsidRPr="002B5E33">
        <w:rPr>
          <w:rFonts w:hint="cs"/>
          <w:b/>
          <w:bCs/>
          <w:rtl/>
        </w:rPr>
        <w:t xml:space="preserve">הוצאות רפואיות </w:t>
      </w:r>
      <w:r>
        <w:rPr>
          <w:b/>
          <w:bCs/>
          <w:rtl/>
        </w:rPr>
        <w:t>–</w:t>
      </w:r>
      <w:r w:rsidRPr="002B5E33">
        <w:rPr>
          <w:b/>
          <w:bCs/>
          <w:rtl/>
        </w:rPr>
        <w:t xml:space="preserve"> </w:t>
      </w:r>
    </w:p>
    <w:p w:rsidR="00B132F4" w:rsidRPr="001A469F" w:rsidP="001A469F">
      <w:pPr>
        <w:spacing w:line="269" w:lineRule="auto"/>
        <w:ind w:left="-567"/>
        <w:jc w:val="center"/>
        <w:rPr>
          <w:b/>
          <w:bCs/>
          <w:szCs w:val="20"/>
          <w:rtl/>
        </w:rPr>
      </w:pPr>
      <w:r w:rsidRPr="002B5E33">
        <w:rPr>
          <w:b/>
          <w:bCs/>
          <w:rtl/>
        </w:rPr>
        <w:t xml:space="preserve">פרט </w:t>
      </w:r>
      <w:r w:rsidRPr="002B5E33" w:rsidR="00FA7D2C">
        <w:rPr>
          <w:rFonts w:hint="cs"/>
          <w:b/>
          <w:bCs/>
          <w:rtl/>
        </w:rPr>
        <w:t>לעומת</w:t>
      </w:r>
      <w:r w:rsidRPr="002B5E33" w:rsidR="00FA7D2C">
        <w:rPr>
          <w:b/>
          <w:bCs/>
          <w:rtl/>
        </w:rPr>
        <w:t xml:space="preserve"> </w:t>
      </w:r>
      <w:r w:rsidRPr="002B5E33">
        <w:rPr>
          <w:b/>
          <w:bCs/>
          <w:rtl/>
        </w:rPr>
        <w:t>קבוצתי</w:t>
      </w:r>
      <w:r w:rsidRPr="002B5E33">
        <w:rPr>
          <w:rFonts w:hint="cs"/>
          <w:b/>
          <w:bCs/>
          <w:rtl/>
        </w:rPr>
        <w:t>, 2009 - 2018</w:t>
      </w:r>
    </w:p>
    <w:p w:rsidR="00296201" w:rsidRPr="002B5E33" w:rsidP="001A469F">
      <w:pPr>
        <w:spacing w:before="120" w:after="120" w:line="269" w:lineRule="auto"/>
        <w:jc w:val="center"/>
        <w:rPr>
          <w:b/>
          <w:bCs/>
          <w:rtl/>
        </w:rPr>
      </w:pPr>
      <w:r>
        <w:rPr>
          <w:b/>
          <w:bCs/>
          <w:noProof/>
          <w:rtl/>
        </w:rPr>
        <w:drawing>
          <wp:inline distT="0" distB="0" distL="0" distR="0">
            <wp:extent cx="5220335" cy="3862705"/>
            <wp:effectExtent l="0" t="0" r="0" b="4445"/>
            <wp:docPr id="1493377098" name="תמונה 149337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70160" name="ביטוחי בריאות אור.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3862705"/>
                    </a:xfrm>
                    <a:prstGeom prst="rect">
                      <a:avLst/>
                    </a:prstGeom>
                  </pic:spPr>
                </pic:pic>
              </a:graphicData>
            </a:graphic>
          </wp:inline>
        </w:drawing>
      </w:r>
    </w:p>
    <w:p w:rsidR="00760648" w:rsidRPr="002B5E33" w:rsidP="001A469F">
      <w:pPr>
        <w:spacing w:line="269" w:lineRule="auto"/>
        <w:ind w:left="-567" w:firstLine="567"/>
        <w:jc w:val="left"/>
        <w:rPr>
          <w:rFonts w:ascii="David" w:hAnsi="David"/>
          <w:sz w:val="22"/>
          <w:szCs w:val="22"/>
        </w:rPr>
      </w:pPr>
      <w:r>
        <w:rPr>
          <w:rFonts w:ascii="David" w:hAnsi="David" w:hint="cs"/>
          <w:sz w:val="22"/>
          <w:szCs w:val="22"/>
          <w:rtl/>
        </w:rPr>
        <w:t>מקור:</w:t>
      </w:r>
      <w:r w:rsidRPr="002B5E33">
        <w:rPr>
          <w:rFonts w:ascii="David" w:hAnsi="David" w:hint="cs"/>
          <w:sz w:val="22"/>
          <w:szCs w:val="22"/>
          <w:rtl/>
        </w:rPr>
        <w:t xml:space="preserve"> </w:t>
      </w:r>
      <w:r w:rsidRPr="002B5E33">
        <w:rPr>
          <w:rFonts w:ascii="David" w:hAnsi="David"/>
          <w:sz w:val="22"/>
          <w:szCs w:val="22"/>
          <w:rtl/>
        </w:rPr>
        <w:t xml:space="preserve">נתוני רשות שוק ההון, </w:t>
      </w:r>
      <w:r w:rsidR="00114ABC">
        <w:rPr>
          <w:rFonts w:ascii="David" w:hAnsi="David" w:hint="cs"/>
          <w:sz w:val="22"/>
          <w:szCs w:val="22"/>
          <w:rtl/>
        </w:rPr>
        <w:t>ב</w:t>
      </w:r>
      <w:r w:rsidRPr="002B5E33">
        <w:rPr>
          <w:rFonts w:ascii="David" w:hAnsi="David"/>
          <w:sz w:val="22"/>
          <w:szCs w:val="22"/>
          <w:rtl/>
        </w:rPr>
        <w:t>עיבוד משרד מבקר המדינה</w:t>
      </w:r>
      <w:r w:rsidR="00114ABC">
        <w:rPr>
          <w:rFonts w:ascii="David" w:hAnsi="David" w:hint="cs"/>
          <w:sz w:val="22"/>
          <w:szCs w:val="22"/>
          <w:rtl/>
        </w:rPr>
        <w:t>.</w:t>
      </w:r>
    </w:p>
    <w:p w:rsidR="00B132F4" w:rsidRPr="002B5E33" w:rsidP="00ED5C0D">
      <w:pPr>
        <w:spacing w:line="269" w:lineRule="auto"/>
        <w:ind w:left="-567"/>
        <w:rPr>
          <w:rFonts w:ascii="David" w:hAnsi="David"/>
          <w:szCs w:val="20"/>
          <w:rtl/>
        </w:rPr>
      </w:pPr>
    </w:p>
    <w:p w:rsidR="00B132F4" w:rsidRPr="002B5E33" w:rsidP="00ED5C0D">
      <w:pPr>
        <w:spacing w:line="269" w:lineRule="auto"/>
        <w:rPr>
          <w:rtl/>
        </w:rPr>
      </w:pPr>
      <w:r w:rsidRPr="002B5E33">
        <w:rPr>
          <w:rFonts w:hint="cs"/>
          <w:rtl/>
        </w:rPr>
        <w:t>כפי שעולה מהתרשים, בממוצע קיים פער של 45 נקודות האחוז</w:t>
      </w:r>
      <w:r w:rsidRPr="002B5E33" w:rsidR="006E578B">
        <w:rPr>
          <w:rFonts w:hint="cs"/>
          <w:rtl/>
        </w:rPr>
        <w:t xml:space="preserve"> בין פוליסות הפרט ובין הפוליסות הקבוצתיות (37% בפרט לעומת 82% בקבוצתי) בנוגע ל</w:t>
      </w:r>
      <w:r w:rsidRPr="002B5E33">
        <w:rPr>
          <w:rFonts w:hint="cs"/>
          <w:rtl/>
        </w:rPr>
        <w:t>שיעור התשלום הישיר</w:t>
      </w:r>
      <w:r>
        <w:rPr>
          <w:rFonts w:ascii="David" w:hAnsi="David"/>
          <w:sz w:val="24"/>
          <w:vertAlign w:val="superscript"/>
          <w:rtl/>
        </w:rPr>
        <w:footnoteReference w:id="65"/>
      </w:r>
      <w:r w:rsidRPr="002B5E33">
        <w:rPr>
          <w:rFonts w:hint="cs"/>
          <w:rtl/>
        </w:rPr>
        <w:t xml:space="preserve"> למבוטח כנגד תביעות בין פוליסות הפרט ובין הפוליסות קבוצתיות. עוד עולה כי אף שרוב הפער (58%) מוסבר </w:t>
      </w:r>
      <w:r w:rsidRPr="002B5E33" w:rsidR="00721884">
        <w:rPr>
          <w:rFonts w:hint="cs"/>
          <w:rtl/>
        </w:rPr>
        <w:t>ב</w:t>
      </w:r>
      <w:r w:rsidRPr="002B5E33">
        <w:rPr>
          <w:rFonts w:hint="cs"/>
          <w:rtl/>
        </w:rPr>
        <w:t>הבדלים תפעוליים בין הפוליסות (סוכנים</w:t>
      </w:r>
      <w:r>
        <w:rPr>
          <w:rFonts w:ascii="David" w:hAnsi="David"/>
          <w:sz w:val="24"/>
          <w:vertAlign w:val="superscript"/>
          <w:rtl/>
        </w:rPr>
        <w:footnoteReference w:id="66"/>
      </w:r>
      <w:r w:rsidRPr="002B5E33">
        <w:rPr>
          <w:rFonts w:hint="cs"/>
          <w:rtl/>
        </w:rPr>
        <w:t xml:space="preserve"> וההפרשות כנגד סיכונים)</w:t>
      </w:r>
      <w:r>
        <w:rPr>
          <w:rStyle w:val="FootnoteReference"/>
          <w:rtl/>
        </w:rPr>
        <w:footnoteReference w:id="67"/>
      </w:r>
      <w:r w:rsidRPr="002B5E33">
        <w:rPr>
          <w:rFonts w:hint="cs"/>
          <w:rtl/>
        </w:rPr>
        <w:t xml:space="preserve">, חלק ניכר ממנו (42%) מוסבר </w:t>
      </w:r>
      <w:r w:rsidRPr="002B5E33" w:rsidR="00721884">
        <w:rPr>
          <w:rFonts w:hint="cs"/>
          <w:rtl/>
        </w:rPr>
        <w:t>ב</w:t>
      </w:r>
      <w:r w:rsidRPr="002B5E33">
        <w:rPr>
          <w:rFonts w:hint="cs"/>
          <w:rtl/>
        </w:rPr>
        <w:t xml:space="preserve">הבדל בשיעור הסכום העודף (19 נקודות </w:t>
      </w:r>
      <w:r w:rsidRPr="002B5E33" w:rsidR="00374145">
        <w:rPr>
          <w:rFonts w:hint="cs"/>
          <w:rtl/>
        </w:rPr>
        <w:t>ה</w:t>
      </w:r>
      <w:r w:rsidRPr="002B5E33">
        <w:rPr>
          <w:rFonts w:hint="cs"/>
          <w:rtl/>
        </w:rPr>
        <w:t xml:space="preserve">אחוז </w:t>
      </w:r>
      <w:r w:rsidR="007E06A8">
        <w:rPr>
          <w:rFonts w:hint="cs"/>
          <w:rtl/>
        </w:rPr>
        <w:t>מ-</w:t>
      </w:r>
      <w:r w:rsidRPr="002B5E33">
        <w:rPr>
          <w:rFonts w:hint="cs"/>
          <w:rtl/>
        </w:rPr>
        <w:t xml:space="preserve">45 נקודות </w:t>
      </w:r>
      <w:r w:rsidRPr="002B5E33" w:rsidR="00374145">
        <w:rPr>
          <w:rFonts w:hint="cs"/>
          <w:rtl/>
        </w:rPr>
        <w:t>ה</w:t>
      </w:r>
      <w:r w:rsidRPr="002B5E33">
        <w:rPr>
          <w:rFonts w:hint="cs"/>
          <w:rtl/>
        </w:rPr>
        <w:t>אחוז). יש לציין כי ממצאים אלה דומים לאלו העולים מניתוח</w:t>
      </w:r>
      <w:r w:rsidRPr="002B5E33" w:rsidR="00374145">
        <w:rPr>
          <w:rFonts w:hint="cs"/>
          <w:rtl/>
        </w:rPr>
        <w:t xml:space="preserve"> שביצעה</w:t>
      </w:r>
      <w:r w:rsidRPr="002B5E33">
        <w:rPr>
          <w:rFonts w:hint="cs"/>
          <w:rtl/>
        </w:rPr>
        <w:t xml:space="preserve"> הרשות בשנת 2012</w:t>
      </w:r>
      <w:r>
        <w:rPr>
          <w:vertAlign w:val="superscript"/>
          <w:rtl/>
        </w:rPr>
        <w:footnoteReference w:id="68"/>
      </w:r>
      <w:r w:rsidRPr="002B5E33">
        <w:rPr>
          <w:rtl/>
        </w:rPr>
        <w:t>.</w:t>
      </w:r>
    </w:p>
    <w:p w:rsidR="00B132F4" w:rsidRPr="002B5E33" w:rsidP="00ED5C0D">
      <w:pPr>
        <w:spacing w:line="269" w:lineRule="auto"/>
        <w:ind w:left="-567"/>
        <w:rPr>
          <w:rFonts w:ascii="David" w:hAnsi="David"/>
          <w:szCs w:val="20"/>
          <w:rtl/>
        </w:rPr>
      </w:pPr>
    </w:p>
    <w:p w:rsidR="00B132F4" w:rsidP="00ED5C0D">
      <w:pPr>
        <w:spacing w:line="269" w:lineRule="auto"/>
        <w:rPr>
          <w:rFonts w:ascii="Arial" w:hAnsi="Arial"/>
          <w:b/>
          <w:bCs/>
          <w:sz w:val="24"/>
          <w:rtl/>
        </w:rPr>
      </w:pPr>
      <w:r w:rsidRPr="002B5E33">
        <w:rPr>
          <w:rFonts w:ascii="Arial" w:hAnsi="Arial" w:hint="eastAsia"/>
          <w:b/>
          <w:bCs/>
          <w:sz w:val="24"/>
          <w:rtl/>
        </w:rPr>
        <w:t>על</w:t>
      </w:r>
      <w:r w:rsidRPr="002B5E33">
        <w:rPr>
          <w:rFonts w:ascii="Arial" w:hAnsi="Arial"/>
          <w:b/>
          <w:bCs/>
          <w:sz w:val="24"/>
          <w:rtl/>
        </w:rPr>
        <w:t xml:space="preserve"> </w:t>
      </w:r>
      <w:r w:rsidRPr="002B5E33">
        <w:rPr>
          <w:rFonts w:ascii="Arial" w:hAnsi="Arial" w:hint="eastAsia"/>
          <w:b/>
          <w:bCs/>
          <w:sz w:val="24"/>
          <w:rtl/>
        </w:rPr>
        <w:t>אף</w:t>
      </w:r>
      <w:r w:rsidRPr="002B5E33">
        <w:rPr>
          <w:rFonts w:ascii="Arial" w:hAnsi="Arial"/>
          <w:b/>
          <w:bCs/>
          <w:sz w:val="24"/>
          <w:rtl/>
        </w:rPr>
        <w:t xml:space="preserve"> </w:t>
      </w:r>
      <w:r w:rsidRPr="002B5E33">
        <w:rPr>
          <w:rFonts w:ascii="Arial" w:hAnsi="Arial" w:hint="eastAsia"/>
          <w:b/>
          <w:bCs/>
          <w:sz w:val="24"/>
          <w:rtl/>
        </w:rPr>
        <w:t>שהרשות</w:t>
      </w:r>
      <w:r w:rsidRPr="002B5E33">
        <w:rPr>
          <w:rFonts w:ascii="Arial" w:hAnsi="Arial"/>
          <w:b/>
          <w:bCs/>
          <w:sz w:val="24"/>
          <w:rtl/>
        </w:rPr>
        <w:t xml:space="preserve"> </w:t>
      </w:r>
      <w:r w:rsidRPr="002B5E33">
        <w:rPr>
          <w:rFonts w:ascii="Arial" w:hAnsi="Arial" w:hint="eastAsia"/>
          <w:b/>
          <w:bCs/>
          <w:sz w:val="24"/>
          <w:rtl/>
        </w:rPr>
        <w:t>זיהתה</w:t>
      </w:r>
      <w:r w:rsidRPr="002B5E33">
        <w:rPr>
          <w:rFonts w:ascii="Arial" w:hAnsi="Arial"/>
          <w:b/>
          <w:bCs/>
          <w:sz w:val="24"/>
          <w:rtl/>
        </w:rPr>
        <w:t xml:space="preserve"> </w:t>
      </w:r>
      <w:r w:rsidRPr="002B5E33">
        <w:rPr>
          <w:rFonts w:ascii="Arial" w:hAnsi="Arial" w:hint="eastAsia"/>
          <w:b/>
          <w:bCs/>
          <w:sz w:val="24"/>
          <w:rtl/>
        </w:rPr>
        <w:t>את</w:t>
      </w:r>
      <w:r w:rsidRPr="002B5E33">
        <w:rPr>
          <w:rFonts w:ascii="Arial" w:hAnsi="Arial"/>
          <w:b/>
          <w:bCs/>
          <w:sz w:val="24"/>
          <w:rtl/>
        </w:rPr>
        <w:t xml:space="preserve"> </w:t>
      </w:r>
      <w:r w:rsidRPr="002B5E33">
        <w:rPr>
          <w:rFonts w:ascii="Arial" w:hAnsi="Arial" w:hint="eastAsia"/>
          <w:b/>
          <w:bCs/>
          <w:sz w:val="24"/>
          <w:rtl/>
        </w:rPr>
        <w:t>שיעור</w:t>
      </w:r>
      <w:r w:rsidRPr="002B5E33">
        <w:rPr>
          <w:rFonts w:ascii="Arial" w:hAnsi="Arial"/>
          <w:b/>
          <w:bCs/>
          <w:sz w:val="24"/>
          <w:rtl/>
        </w:rPr>
        <w:t xml:space="preserve"> </w:t>
      </w:r>
      <w:r w:rsidRPr="002B5E33">
        <w:rPr>
          <w:rFonts w:ascii="Arial" w:hAnsi="Arial" w:hint="eastAsia"/>
          <w:b/>
          <w:bCs/>
          <w:sz w:val="24"/>
          <w:rtl/>
        </w:rPr>
        <w:t>ההחזר</w:t>
      </w:r>
      <w:r w:rsidRPr="002B5E33">
        <w:rPr>
          <w:rFonts w:ascii="Arial" w:hAnsi="Arial"/>
          <w:b/>
          <w:bCs/>
          <w:sz w:val="24"/>
          <w:rtl/>
        </w:rPr>
        <w:t xml:space="preserve"> </w:t>
      </w:r>
      <w:r w:rsidRPr="002B5E33">
        <w:rPr>
          <w:rFonts w:ascii="Arial" w:hAnsi="Arial" w:hint="eastAsia"/>
          <w:b/>
          <w:bCs/>
          <w:sz w:val="24"/>
          <w:rtl/>
        </w:rPr>
        <w:t>הנמוך</w:t>
      </w:r>
      <w:r w:rsidRPr="002B5E33">
        <w:rPr>
          <w:rFonts w:ascii="Arial" w:hAnsi="Arial"/>
          <w:b/>
          <w:bCs/>
          <w:sz w:val="24"/>
          <w:rtl/>
        </w:rPr>
        <w:t xml:space="preserve"> בפוליסות הפרט ככשל מרכזי בתחום ואף הציגה את הפער בכל דוחותיה השנתיים, </w:t>
      </w:r>
      <w:r w:rsidRPr="002B5E33" w:rsidR="00CA4D7F">
        <w:rPr>
          <w:rFonts w:ascii="Arial" w:hAnsi="Arial"/>
          <w:b/>
          <w:bCs/>
          <w:sz w:val="24"/>
          <w:rtl/>
        </w:rPr>
        <w:t>היא</w:t>
      </w:r>
      <w:r w:rsidRPr="002B5E33">
        <w:rPr>
          <w:rFonts w:ascii="Arial" w:hAnsi="Arial"/>
          <w:b/>
          <w:bCs/>
          <w:sz w:val="24"/>
          <w:rtl/>
        </w:rPr>
        <w:t xml:space="preserve"> לא </w:t>
      </w:r>
      <w:r w:rsidRPr="002B5E33" w:rsidR="00324BCC">
        <w:rPr>
          <w:rFonts w:ascii="Arial" w:hAnsi="Arial"/>
          <w:b/>
          <w:bCs/>
          <w:sz w:val="24"/>
          <w:rtl/>
        </w:rPr>
        <w:t>בחנה משנת 2012 את</w:t>
      </w:r>
      <w:r w:rsidRPr="002B5E33">
        <w:rPr>
          <w:rFonts w:ascii="Arial" w:hAnsi="Arial"/>
          <w:b/>
          <w:bCs/>
          <w:sz w:val="24"/>
          <w:rtl/>
        </w:rPr>
        <w:t xml:space="preserve"> הגורמים לפערים </w:t>
      </w:r>
      <w:r w:rsidRPr="002B5E33" w:rsidR="00324BCC">
        <w:rPr>
          <w:rFonts w:ascii="Arial" w:hAnsi="Arial"/>
          <w:b/>
          <w:bCs/>
          <w:sz w:val="24"/>
          <w:rtl/>
        </w:rPr>
        <w:t>ואת</w:t>
      </w:r>
      <w:r w:rsidRPr="002B5E33">
        <w:rPr>
          <w:rFonts w:ascii="Arial" w:hAnsi="Arial"/>
          <w:b/>
          <w:bCs/>
          <w:sz w:val="24"/>
          <w:rtl/>
        </w:rPr>
        <w:t xml:space="preserve"> הרווחיות בתחום.</w:t>
      </w:r>
    </w:p>
    <w:p w:rsidR="00543C8C" w:rsidRPr="002B5E33" w:rsidP="00ED5C0D">
      <w:pPr>
        <w:spacing w:line="269" w:lineRule="auto"/>
        <w:rPr>
          <w:rFonts w:ascii="Arial" w:hAnsi="Arial"/>
          <w:b/>
          <w:bCs/>
          <w:sz w:val="24"/>
          <w:rtl/>
        </w:rPr>
      </w:pPr>
    </w:p>
    <w:p w:rsidR="00B132F4" w:rsidRPr="002B5E33" w:rsidP="00ED5C0D">
      <w:pPr>
        <w:spacing w:line="269" w:lineRule="auto"/>
        <w:ind w:left="-567"/>
        <w:rPr>
          <w:rFonts w:ascii="David" w:hAnsi="David"/>
          <w:szCs w:val="20"/>
          <w:rtl/>
        </w:rPr>
      </w:pPr>
    </w:p>
    <w:p w:rsidR="00B132F4" w:rsidRPr="002B5E33" w:rsidP="00ED5C0D">
      <w:pPr>
        <w:spacing w:line="269" w:lineRule="auto"/>
        <w:rPr>
          <w:rFonts w:ascii="David" w:hAnsi="David"/>
          <w:sz w:val="24"/>
          <w:rtl/>
        </w:rPr>
      </w:pPr>
      <w:r w:rsidRPr="002B5E33">
        <w:rPr>
          <w:rFonts w:ascii="David" w:hAnsi="David" w:hint="eastAsia"/>
          <w:sz w:val="24"/>
          <w:rtl/>
        </w:rPr>
        <w:t>בחינת</w:t>
      </w:r>
      <w:r w:rsidRPr="002B5E33">
        <w:rPr>
          <w:rFonts w:ascii="David" w:hAnsi="David"/>
          <w:sz w:val="24"/>
          <w:rtl/>
        </w:rPr>
        <w:t xml:space="preserve"> </w:t>
      </w:r>
      <w:r w:rsidRPr="002B5E33">
        <w:rPr>
          <w:rFonts w:ascii="David" w:hAnsi="David" w:hint="cs"/>
          <w:sz w:val="24"/>
          <w:rtl/>
        </w:rPr>
        <w:t xml:space="preserve">הסכומים העודפים ושיעורם מסך הפרמיות שנגבו </w:t>
      </w:r>
      <w:r w:rsidRPr="002B5E33">
        <w:rPr>
          <w:rFonts w:ascii="David" w:hAnsi="David"/>
          <w:sz w:val="24"/>
          <w:rtl/>
        </w:rPr>
        <w:t>מעלה כי רמת</w:t>
      </w:r>
      <w:r w:rsidRPr="002B5E33">
        <w:rPr>
          <w:rFonts w:ascii="David" w:hAnsi="David" w:hint="cs"/>
          <w:sz w:val="24"/>
          <w:rtl/>
        </w:rPr>
        <w:t>ם</w:t>
      </w:r>
      <w:r w:rsidRPr="002B5E33">
        <w:rPr>
          <w:rFonts w:ascii="David" w:hAnsi="David"/>
          <w:sz w:val="24"/>
          <w:rtl/>
        </w:rPr>
        <w:t xml:space="preserve"> בביטוחי הפרט</w:t>
      </w:r>
      <w:r w:rsidRPr="002B5E33">
        <w:rPr>
          <w:rFonts w:ascii="David" w:hAnsi="David" w:hint="cs"/>
          <w:sz w:val="24"/>
          <w:rtl/>
        </w:rPr>
        <w:t xml:space="preserve"> יציבה יחסית ו</w:t>
      </w:r>
      <w:r w:rsidRPr="002B5E33">
        <w:rPr>
          <w:rFonts w:ascii="David" w:hAnsi="David" w:hint="eastAsia"/>
          <w:sz w:val="24"/>
          <w:rtl/>
        </w:rPr>
        <w:t>גבוהה</w:t>
      </w:r>
      <w:r w:rsidRPr="002B5E33">
        <w:rPr>
          <w:rFonts w:ascii="David" w:hAnsi="David"/>
          <w:sz w:val="24"/>
          <w:rtl/>
        </w:rPr>
        <w:t xml:space="preserve"> </w:t>
      </w:r>
      <w:r w:rsidRPr="002B5E33">
        <w:rPr>
          <w:rFonts w:ascii="David" w:hAnsi="David" w:hint="eastAsia"/>
          <w:sz w:val="24"/>
          <w:rtl/>
        </w:rPr>
        <w:t>מזו</w:t>
      </w:r>
      <w:r w:rsidRPr="002B5E33">
        <w:rPr>
          <w:rFonts w:ascii="David" w:hAnsi="David"/>
          <w:sz w:val="24"/>
          <w:rtl/>
        </w:rPr>
        <w:t xml:space="preserve"> המקובלת </w:t>
      </w:r>
      <w:r w:rsidRPr="002B5E33">
        <w:rPr>
          <w:rFonts w:ascii="David" w:hAnsi="David" w:hint="eastAsia"/>
          <w:sz w:val="24"/>
          <w:rtl/>
        </w:rPr>
        <w:t>בביטוחים</w:t>
      </w:r>
      <w:r w:rsidRPr="002B5E33">
        <w:rPr>
          <w:rFonts w:ascii="David" w:hAnsi="David"/>
          <w:sz w:val="24"/>
          <w:rtl/>
        </w:rPr>
        <w:t xml:space="preserve"> הקבוצתיים</w:t>
      </w:r>
      <w:r w:rsidRPr="002B5E33" w:rsidR="00374145">
        <w:rPr>
          <w:rFonts w:ascii="David" w:hAnsi="David" w:hint="cs"/>
          <w:sz w:val="24"/>
          <w:rtl/>
        </w:rPr>
        <w:t>,</w:t>
      </w:r>
      <w:r w:rsidRPr="002B5E33">
        <w:rPr>
          <w:rFonts w:ascii="David" w:hAnsi="David" w:hint="cs"/>
          <w:sz w:val="24"/>
          <w:rtl/>
        </w:rPr>
        <w:t xml:space="preserve"> כמוצג בתרשים 11 </w:t>
      </w:r>
      <w:r w:rsidRPr="002B5E33" w:rsidR="00374145">
        <w:rPr>
          <w:rFonts w:ascii="David" w:hAnsi="David" w:hint="cs"/>
          <w:sz w:val="24"/>
          <w:rtl/>
        </w:rPr>
        <w:t>ש</w:t>
      </w:r>
      <w:r w:rsidRPr="002B5E33">
        <w:rPr>
          <w:rFonts w:ascii="David" w:hAnsi="David" w:hint="cs"/>
          <w:sz w:val="24"/>
          <w:rtl/>
        </w:rPr>
        <w:t>להלן</w:t>
      </w:r>
      <w:r w:rsidRPr="002B5E33">
        <w:rPr>
          <w:rFonts w:ascii="David" w:hAnsi="David"/>
          <w:sz w:val="24"/>
          <w:rtl/>
        </w:rPr>
        <w:t>.</w:t>
      </w:r>
    </w:p>
    <w:p w:rsidR="00B132F4" w:rsidRPr="002B5E33" w:rsidP="00ED5C0D">
      <w:pPr>
        <w:spacing w:line="269" w:lineRule="auto"/>
        <w:ind w:left="-567"/>
        <w:rPr>
          <w:rFonts w:ascii="David" w:hAnsi="David"/>
          <w:szCs w:val="20"/>
          <w:rtl/>
        </w:rPr>
      </w:pPr>
    </w:p>
    <w:p w:rsidR="00B132F4" w:rsidP="00FF3629">
      <w:pPr>
        <w:spacing w:line="269" w:lineRule="auto"/>
        <w:jc w:val="center"/>
        <w:rPr>
          <w:b/>
          <w:bCs/>
          <w:rtl/>
        </w:rPr>
      </w:pPr>
      <w:r w:rsidRPr="002B5E33">
        <w:rPr>
          <w:b/>
          <w:bCs/>
          <w:rtl/>
        </w:rPr>
        <w:t xml:space="preserve">תרשים </w:t>
      </w:r>
      <w:r w:rsidRPr="002B5E33">
        <w:rPr>
          <w:rFonts w:hint="cs"/>
          <w:b/>
          <w:bCs/>
          <w:rtl/>
        </w:rPr>
        <w:t>11</w:t>
      </w:r>
      <w:r w:rsidR="00FF3629">
        <w:rPr>
          <w:rFonts w:hint="cs"/>
          <w:b/>
          <w:bCs/>
          <w:rtl/>
        </w:rPr>
        <w:t xml:space="preserve">: </w:t>
      </w:r>
      <w:r w:rsidRPr="002B5E33">
        <w:rPr>
          <w:rFonts w:hint="cs"/>
          <w:b/>
          <w:bCs/>
          <w:rtl/>
        </w:rPr>
        <w:t xml:space="preserve">הסכום העודף </w:t>
      </w:r>
      <w:r w:rsidRPr="002B5E33">
        <w:rPr>
          <w:b/>
          <w:bCs/>
          <w:rtl/>
        </w:rPr>
        <w:t>ושיעור</w:t>
      </w:r>
      <w:r w:rsidRPr="002B5E33">
        <w:rPr>
          <w:rFonts w:hint="cs"/>
          <w:b/>
          <w:bCs/>
          <w:rtl/>
        </w:rPr>
        <w:t>ו מהפרמיות</w:t>
      </w:r>
      <w:r w:rsidRPr="002B5E33">
        <w:rPr>
          <w:b/>
          <w:bCs/>
          <w:rtl/>
        </w:rPr>
        <w:t>: קבוצתי ופרט</w:t>
      </w:r>
      <w:r w:rsidRPr="002B5E33" w:rsidR="00374145">
        <w:rPr>
          <w:rFonts w:hint="cs"/>
          <w:b/>
          <w:bCs/>
          <w:rtl/>
        </w:rPr>
        <w:t>י</w:t>
      </w:r>
      <w:r w:rsidRPr="002B5E33">
        <w:rPr>
          <w:rFonts w:hint="cs"/>
          <w:b/>
          <w:bCs/>
          <w:rtl/>
        </w:rPr>
        <w:t xml:space="preserve"> (באלפי </w:t>
      </w:r>
      <w:r w:rsidR="009B00FE">
        <w:rPr>
          <w:rFonts w:hint="cs"/>
          <w:b/>
          <w:bCs/>
          <w:rtl/>
        </w:rPr>
        <w:t xml:space="preserve">ש"ח </w:t>
      </w:r>
      <w:r w:rsidRPr="002B5E33" w:rsidR="00374145">
        <w:rPr>
          <w:rFonts w:hint="cs"/>
          <w:b/>
          <w:bCs/>
          <w:rtl/>
        </w:rPr>
        <w:t>ובאחוזים</w:t>
      </w:r>
      <w:r w:rsidRPr="002B5E33">
        <w:rPr>
          <w:rFonts w:hint="cs"/>
          <w:b/>
          <w:bCs/>
          <w:rtl/>
        </w:rPr>
        <w:t>)</w:t>
      </w:r>
    </w:p>
    <w:p w:rsidR="00F174CB" w:rsidP="00F174CB">
      <w:pPr>
        <w:spacing w:before="120" w:after="120" w:line="269" w:lineRule="auto"/>
        <w:ind w:left="-567" w:firstLine="567"/>
        <w:jc w:val="center"/>
        <w:rPr>
          <w:rFonts w:ascii="David" w:hAnsi="David"/>
          <w:sz w:val="22"/>
          <w:szCs w:val="22"/>
          <w:rtl/>
        </w:rPr>
      </w:pPr>
      <w:r>
        <w:rPr>
          <w:rFonts w:ascii="David" w:hAnsi="David" w:hint="cs"/>
          <w:noProof/>
          <w:sz w:val="22"/>
          <w:szCs w:val="22"/>
          <w:rtl/>
        </w:rPr>
        <w:drawing>
          <wp:inline distT="0" distB="0" distL="0" distR="0">
            <wp:extent cx="4322073" cy="2310389"/>
            <wp:effectExtent l="0" t="0" r="2540" b="0"/>
            <wp:docPr id="1493377099" name="תמונה 149337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01804" name="commercial-health-insurance-g-11.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310389"/>
                    </a:xfrm>
                    <a:prstGeom prst="rect">
                      <a:avLst/>
                    </a:prstGeom>
                  </pic:spPr>
                </pic:pic>
              </a:graphicData>
            </a:graphic>
          </wp:inline>
        </w:drawing>
      </w:r>
    </w:p>
    <w:p w:rsidR="00760648" w:rsidRPr="002B5E33" w:rsidP="00F174CB">
      <w:pPr>
        <w:spacing w:line="269" w:lineRule="auto"/>
        <w:ind w:left="-567" w:firstLine="567"/>
        <w:jc w:val="left"/>
        <w:rPr>
          <w:rFonts w:ascii="David" w:hAnsi="David"/>
          <w:sz w:val="22"/>
          <w:szCs w:val="22"/>
        </w:rPr>
      </w:pPr>
      <w:r>
        <w:rPr>
          <w:rFonts w:ascii="David" w:hAnsi="David" w:hint="cs"/>
          <w:sz w:val="22"/>
          <w:szCs w:val="22"/>
          <w:rtl/>
        </w:rPr>
        <w:t>מקור:</w:t>
      </w:r>
      <w:r w:rsidRPr="002B5E33">
        <w:rPr>
          <w:rFonts w:ascii="David" w:hAnsi="David" w:hint="cs"/>
          <w:sz w:val="22"/>
          <w:szCs w:val="22"/>
          <w:rtl/>
        </w:rPr>
        <w:t xml:space="preserve"> </w:t>
      </w:r>
      <w:r w:rsidRPr="002B5E33">
        <w:rPr>
          <w:rFonts w:ascii="David" w:hAnsi="David"/>
          <w:sz w:val="22"/>
          <w:szCs w:val="22"/>
          <w:rtl/>
        </w:rPr>
        <w:t xml:space="preserve">נתוני רשות שוק ההון, </w:t>
      </w:r>
      <w:r w:rsidR="00114ABC">
        <w:rPr>
          <w:rFonts w:ascii="David" w:hAnsi="David" w:hint="cs"/>
          <w:sz w:val="22"/>
          <w:szCs w:val="22"/>
          <w:rtl/>
        </w:rPr>
        <w:t>ב</w:t>
      </w:r>
      <w:r w:rsidRPr="002B5E33">
        <w:rPr>
          <w:rFonts w:ascii="David" w:hAnsi="David"/>
          <w:sz w:val="22"/>
          <w:szCs w:val="22"/>
          <w:rtl/>
        </w:rPr>
        <w:t>עיבוד משרד מבקר המדינה</w:t>
      </w:r>
      <w:r w:rsidR="00114ABC">
        <w:rPr>
          <w:rFonts w:ascii="David" w:hAnsi="David" w:hint="cs"/>
          <w:sz w:val="22"/>
          <w:szCs w:val="22"/>
          <w:rtl/>
        </w:rPr>
        <w:t>.</w:t>
      </w:r>
    </w:p>
    <w:p w:rsidR="00B132F4" w:rsidRPr="002B5E33" w:rsidP="00ED5C0D">
      <w:pPr>
        <w:spacing w:line="269" w:lineRule="auto"/>
        <w:ind w:left="-567"/>
        <w:rPr>
          <w:szCs w:val="20"/>
          <w:rtl/>
        </w:rPr>
      </w:pPr>
    </w:p>
    <w:p w:rsidR="00B132F4" w:rsidRPr="002B5E33" w:rsidP="00ED5C0D">
      <w:pPr>
        <w:autoSpaceDE w:val="0"/>
        <w:autoSpaceDN w:val="0"/>
        <w:adjustRightInd w:val="0"/>
        <w:spacing w:line="269" w:lineRule="auto"/>
        <w:rPr>
          <w:rFonts w:ascii="David" w:hAnsi="David"/>
          <w:sz w:val="24"/>
          <w:rtl/>
        </w:rPr>
      </w:pPr>
      <w:r w:rsidRPr="002B5E33">
        <w:rPr>
          <w:rFonts w:ascii="David" w:hAnsi="David" w:hint="cs"/>
          <w:sz w:val="24"/>
          <w:rtl/>
        </w:rPr>
        <w:t xml:space="preserve">מהתרשים עולה כי </w:t>
      </w:r>
      <w:r w:rsidRPr="002B5E33">
        <w:rPr>
          <w:rFonts w:ascii="David" w:hAnsi="David"/>
          <w:sz w:val="24"/>
          <w:rtl/>
        </w:rPr>
        <w:t>בשנים 2009</w:t>
      </w:r>
      <w:r w:rsidRPr="002B5E33">
        <w:rPr>
          <w:rFonts w:ascii="David" w:hAnsi="David" w:hint="cs"/>
          <w:sz w:val="24"/>
          <w:rtl/>
        </w:rPr>
        <w:t xml:space="preserve"> </w:t>
      </w:r>
      <w:r w:rsidRPr="002B5E33">
        <w:rPr>
          <w:rFonts w:ascii="David" w:hAnsi="David"/>
          <w:sz w:val="24"/>
          <w:rtl/>
        </w:rPr>
        <w:t>-</w:t>
      </w:r>
      <w:r w:rsidRPr="002B5E33">
        <w:rPr>
          <w:rFonts w:ascii="David" w:hAnsi="David" w:hint="cs"/>
          <w:sz w:val="24"/>
          <w:rtl/>
        </w:rPr>
        <w:t xml:space="preserve"> </w:t>
      </w:r>
      <w:r w:rsidRPr="002B5E33">
        <w:rPr>
          <w:rFonts w:ascii="David" w:hAnsi="David"/>
          <w:sz w:val="24"/>
          <w:rtl/>
        </w:rPr>
        <w:t xml:space="preserve">2018 </w:t>
      </w:r>
      <w:r w:rsidRPr="002B5E33">
        <w:rPr>
          <w:rFonts w:ascii="David" w:hAnsi="David" w:hint="cs"/>
          <w:sz w:val="24"/>
          <w:rtl/>
        </w:rPr>
        <w:t xml:space="preserve">הסכום העודף שהצטבר בממוצע </w:t>
      </w:r>
      <w:r w:rsidRPr="002B5E33" w:rsidR="00374145">
        <w:rPr>
          <w:rFonts w:ascii="David" w:hAnsi="David" w:hint="cs"/>
          <w:sz w:val="24"/>
          <w:rtl/>
        </w:rPr>
        <w:t>ב</w:t>
      </w:r>
      <w:r w:rsidRPr="002B5E33">
        <w:rPr>
          <w:rFonts w:ascii="David" w:hAnsi="David"/>
          <w:sz w:val="24"/>
          <w:rtl/>
        </w:rPr>
        <w:t>חברות הביטוח, מתחום ביטוחי הפרט</w:t>
      </w:r>
      <w:r w:rsidRPr="002B5E33" w:rsidR="00374145">
        <w:rPr>
          <w:rFonts w:ascii="David" w:hAnsi="David" w:hint="cs"/>
          <w:sz w:val="24"/>
          <w:rtl/>
        </w:rPr>
        <w:t xml:space="preserve"> היה</w:t>
      </w:r>
      <w:r w:rsidRPr="002B5E33">
        <w:rPr>
          <w:rFonts w:ascii="David" w:hAnsi="David"/>
          <w:sz w:val="24"/>
          <w:rtl/>
        </w:rPr>
        <w:t xml:space="preserve"> כ-</w:t>
      </w:r>
      <w:r w:rsidRPr="002B5E33">
        <w:rPr>
          <w:rFonts w:ascii="David" w:hAnsi="David" w:hint="cs"/>
          <w:sz w:val="24"/>
          <w:rtl/>
        </w:rPr>
        <w:t>330</w:t>
      </w:r>
      <w:r w:rsidRPr="002B5E33">
        <w:rPr>
          <w:rFonts w:ascii="David" w:hAnsi="David"/>
          <w:sz w:val="24"/>
          <w:rtl/>
        </w:rPr>
        <w:t xml:space="preserve"> </w:t>
      </w:r>
      <w:r w:rsidRPr="002B5E33">
        <w:rPr>
          <w:rFonts w:ascii="David" w:hAnsi="David" w:hint="cs"/>
          <w:sz w:val="24"/>
          <w:rtl/>
        </w:rPr>
        <w:t xml:space="preserve">מיליון ש"ח </w:t>
      </w:r>
      <w:r w:rsidRPr="002B5E33">
        <w:rPr>
          <w:rFonts w:ascii="David" w:hAnsi="David"/>
          <w:sz w:val="24"/>
          <w:rtl/>
        </w:rPr>
        <w:t>בשנה</w:t>
      </w:r>
      <w:r w:rsidRPr="002B5E33" w:rsidR="00374145">
        <w:rPr>
          <w:rFonts w:ascii="David" w:hAnsi="David" w:hint="cs"/>
          <w:sz w:val="24"/>
          <w:rtl/>
        </w:rPr>
        <w:t>,</w:t>
      </w:r>
      <w:r w:rsidRPr="002B5E33">
        <w:rPr>
          <w:rFonts w:ascii="David" w:hAnsi="David" w:hint="cs"/>
          <w:sz w:val="24"/>
          <w:rtl/>
        </w:rPr>
        <w:t xml:space="preserve"> ושיעורו מסך הפרמיות היה קבוע יחסית </w:t>
      </w:r>
      <w:r w:rsidRPr="002B5E33" w:rsidR="00374145">
        <w:rPr>
          <w:rFonts w:ascii="David" w:hAnsi="David" w:hint="cs"/>
          <w:sz w:val="24"/>
          <w:rtl/>
        </w:rPr>
        <w:t xml:space="preserve">- </w:t>
      </w:r>
      <w:r w:rsidR="007E06A8">
        <w:rPr>
          <w:rFonts w:ascii="David" w:hAnsi="David" w:hint="cs"/>
          <w:sz w:val="24"/>
          <w:rtl/>
        </w:rPr>
        <w:t>כ-</w:t>
      </w:r>
      <w:r w:rsidRPr="002B5E33">
        <w:rPr>
          <w:rFonts w:ascii="David" w:hAnsi="David" w:hint="cs"/>
          <w:sz w:val="24"/>
          <w:rtl/>
        </w:rPr>
        <w:t xml:space="preserve">20% בשנה. בפוליסות הקבוצתיות יש </w:t>
      </w:r>
      <w:r w:rsidRPr="002B5E33" w:rsidR="00374145">
        <w:rPr>
          <w:rFonts w:ascii="David" w:hAnsi="David" w:hint="cs"/>
          <w:sz w:val="24"/>
          <w:rtl/>
        </w:rPr>
        <w:t xml:space="preserve">שונות </w:t>
      </w:r>
      <w:r w:rsidRPr="002B5E33">
        <w:rPr>
          <w:rFonts w:ascii="David" w:hAnsi="David" w:hint="cs"/>
          <w:sz w:val="24"/>
          <w:rtl/>
        </w:rPr>
        <w:t>גבוהה בשיעור הסכום העודף מהפרמיות (נע בין 20% למינוס 20%)</w:t>
      </w:r>
      <w:r w:rsidRPr="002B5E33" w:rsidR="00374145">
        <w:rPr>
          <w:rFonts w:ascii="David" w:hAnsi="David" w:hint="cs"/>
          <w:sz w:val="24"/>
          <w:rtl/>
        </w:rPr>
        <w:t>,</w:t>
      </w:r>
      <w:r w:rsidRPr="002B5E33">
        <w:rPr>
          <w:rFonts w:ascii="David" w:hAnsi="David" w:hint="cs"/>
          <w:sz w:val="24"/>
          <w:rtl/>
        </w:rPr>
        <w:t xml:space="preserve"> העומד בממוצע על </w:t>
      </w:r>
      <w:r w:rsidR="003A0565">
        <w:rPr>
          <w:rFonts w:ascii="David" w:hAnsi="David" w:hint="cs"/>
          <w:sz w:val="24"/>
          <w:rtl/>
        </w:rPr>
        <w:t>כ</w:t>
      </w:r>
      <w:r w:rsidRPr="002B5E33">
        <w:rPr>
          <w:rFonts w:ascii="David" w:hAnsi="David" w:hint="cs"/>
          <w:sz w:val="24"/>
          <w:rtl/>
        </w:rPr>
        <w:t xml:space="preserve">אפס. </w:t>
      </w:r>
    </w:p>
    <w:p w:rsidR="00B132F4" w:rsidRPr="002B5E33" w:rsidP="00ED5C0D">
      <w:pPr>
        <w:spacing w:line="269" w:lineRule="auto"/>
        <w:ind w:left="-567"/>
        <w:rPr>
          <w:rFonts w:asciiTheme="minorHAnsi" w:hAnsiTheme="minorHAnsi"/>
          <w:szCs w:val="20"/>
          <w:rtl/>
        </w:rPr>
      </w:pPr>
    </w:p>
    <w:p w:rsidR="00B132F4" w:rsidRPr="002B5E33" w:rsidP="00ED5C0D">
      <w:pPr>
        <w:autoSpaceDE w:val="0"/>
        <w:autoSpaceDN w:val="0"/>
        <w:adjustRightInd w:val="0"/>
        <w:spacing w:line="269" w:lineRule="auto"/>
        <w:rPr>
          <w:rFonts w:ascii="David" w:hAnsi="David"/>
          <w:sz w:val="24"/>
          <w:rtl/>
        </w:rPr>
      </w:pPr>
      <w:r w:rsidRPr="002B5E33">
        <w:rPr>
          <w:rFonts w:ascii="David" w:hAnsi="David" w:hint="eastAsia"/>
          <w:b/>
          <w:bCs/>
          <w:sz w:val="24"/>
          <w:rtl/>
        </w:rPr>
        <w:t>השוואת</w:t>
      </w:r>
      <w:r w:rsidRPr="002B5E33">
        <w:rPr>
          <w:rFonts w:ascii="David" w:hAnsi="David"/>
          <w:b/>
          <w:bCs/>
          <w:sz w:val="24"/>
          <w:rtl/>
        </w:rPr>
        <w:t xml:space="preserve"> התפלגות </w:t>
      </w:r>
      <w:r w:rsidRPr="002B5E33">
        <w:rPr>
          <w:rFonts w:ascii="David" w:hAnsi="David" w:hint="cs"/>
          <w:b/>
          <w:bCs/>
          <w:sz w:val="24"/>
          <w:rtl/>
        </w:rPr>
        <w:t>ה</w:t>
      </w:r>
      <w:r w:rsidRPr="002B5E33">
        <w:rPr>
          <w:rFonts w:ascii="David" w:hAnsi="David"/>
          <w:b/>
          <w:bCs/>
          <w:sz w:val="24"/>
          <w:rtl/>
        </w:rPr>
        <w:t xml:space="preserve">הוצאות ושיעורי </w:t>
      </w:r>
      <w:r w:rsidRPr="002B5E33">
        <w:rPr>
          <w:rFonts w:ascii="David" w:hAnsi="David" w:hint="cs"/>
          <w:b/>
          <w:bCs/>
          <w:sz w:val="24"/>
          <w:rtl/>
        </w:rPr>
        <w:t>הסכום העודף</w:t>
      </w:r>
      <w:r w:rsidRPr="002B5E33">
        <w:rPr>
          <w:rFonts w:ascii="David" w:hAnsi="David"/>
          <w:b/>
          <w:bCs/>
          <w:sz w:val="24"/>
          <w:rtl/>
        </w:rPr>
        <w:t xml:space="preserve"> </w:t>
      </w:r>
      <w:r w:rsidRPr="002B5E33">
        <w:rPr>
          <w:rFonts w:ascii="David" w:hAnsi="David" w:hint="cs"/>
          <w:b/>
          <w:bCs/>
          <w:sz w:val="24"/>
          <w:rtl/>
        </w:rPr>
        <w:t xml:space="preserve">בין הביטוחים הקבוצתיים לבין ביטוחי הפרט, </w:t>
      </w:r>
      <w:r w:rsidRPr="002B5E33">
        <w:rPr>
          <w:rFonts w:ascii="David" w:hAnsi="David" w:hint="eastAsia"/>
          <w:b/>
          <w:bCs/>
          <w:sz w:val="24"/>
          <w:rtl/>
        </w:rPr>
        <w:t>מעלה</w:t>
      </w:r>
      <w:r w:rsidRPr="002B5E33">
        <w:rPr>
          <w:rFonts w:ascii="David" w:hAnsi="David"/>
          <w:b/>
          <w:bCs/>
          <w:sz w:val="24"/>
          <w:rtl/>
        </w:rPr>
        <w:t xml:space="preserve"> כי הפער</w:t>
      </w:r>
      <w:r w:rsidRPr="002B5E33">
        <w:rPr>
          <w:rFonts w:ascii="David" w:hAnsi="David" w:hint="cs"/>
          <w:b/>
          <w:bCs/>
          <w:sz w:val="24"/>
          <w:rtl/>
        </w:rPr>
        <w:t xml:space="preserve"> העקבי </w:t>
      </w:r>
      <w:r w:rsidRPr="002B5E33" w:rsidR="00995609">
        <w:rPr>
          <w:rFonts w:ascii="David" w:hAnsi="David" w:hint="cs"/>
          <w:b/>
          <w:bCs/>
          <w:sz w:val="24"/>
          <w:rtl/>
        </w:rPr>
        <w:t>ה</w:t>
      </w:r>
      <w:r w:rsidRPr="002B5E33">
        <w:rPr>
          <w:rFonts w:ascii="David" w:hAnsi="David" w:hint="cs"/>
          <w:b/>
          <w:bCs/>
          <w:sz w:val="24"/>
          <w:rtl/>
        </w:rPr>
        <w:t xml:space="preserve">ניכר </w:t>
      </w:r>
      <w:r w:rsidRPr="002B5E33">
        <w:rPr>
          <w:rFonts w:ascii="David" w:hAnsi="David"/>
          <w:b/>
          <w:bCs/>
          <w:sz w:val="24"/>
          <w:rtl/>
        </w:rPr>
        <w:t>ב</w:t>
      </w:r>
      <w:r w:rsidRPr="002B5E33">
        <w:rPr>
          <w:rFonts w:ascii="Arial" w:hAnsi="Arial" w:hint="cs"/>
          <w:b/>
          <w:bCs/>
          <w:sz w:val="24"/>
          <w:rtl/>
        </w:rPr>
        <w:t>שיעור התשלום הישיר למבוטחים</w:t>
      </w:r>
      <w:r>
        <w:rPr>
          <w:rFonts w:ascii="David" w:hAnsi="David"/>
          <w:b/>
          <w:bCs/>
          <w:sz w:val="24"/>
          <w:vertAlign w:val="superscript"/>
          <w:rtl/>
        </w:rPr>
        <w:footnoteReference w:id="69"/>
      </w:r>
      <w:r w:rsidRPr="002B5E33">
        <w:rPr>
          <w:rFonts w:ascii="David" w:hAnsi="David" w:hint="cs"/>
          <w:b/>
          <w:bCs/>
          <w:sz w:val="24"/>
          <w:rtl/>
        </w:rPr>
        <w:t xml:space="preserve"> </w:t>
      </w:r>
      <w:r w:rsidRPr="002B5E33">
        <w:rPr>
          <w:rFonts w:ascii="David" w:hAnsi="David" w:hint="eastAsia"/>
          <w:b/>
          <w:bCs/>
          <w:sz w:val="24"/>
          <w:rtl/>
        </w:rPr>
        <w:t>בין</w:t>
      </w:r>
      <w:r w:rsidRPr="002B5E33">
        <w:rPr>
          <w:rFonts w:ascii="David" w:hAnsi="David"/>
          <w:b/>
          <w:bCs/>
          <w:sz w:val="24"/>
          <w:rtl/>
        </w:rPr>
        <w:t xml:space="preserve"> </w:t>
      </w:r>
      <w:r w:rsidRPr="002B5E33">
        <w:rPr>
          <w:rFonts w:ascii="David" w:hAnsi="David" w:hint="cs"/>
          <w:b/>
          <w:bCs/>
          <w:sz w:val="24"/>
          <w:rtl/>
        </w:rPr>
        <w:t>סוגי ה</w:t>
      </w:r>
      <w:r w:rsidRPr="002B5E33">
        <w:rPr>
          <w:rFonts w:ascii="David" w:hAnsi="David"/>
          <w:b/>
          <w:bCs/>
          <w:sz w:val="24"/>
          <w:rtl/>
        </w:rPr>
        <w:t>פוליסות</w:t>
      </w:r>
      <w:r w:rsidR="00944242">
        <w:rPr>
          <w:rFonts w:ascii="David" w:hAnsi="David"/>
          <w:b/>
          <w:bCs/>
          <w:sz w:val="24"/>
          <w:rtl/>
        </w:rPr>
        <w:t xml:space="preserve"> </w:t>
      </w:r>
      <w:r w:rsidRPr="002B5E33">
        <w:rPr>
          <w:rFonts w:ascii="David" w:hAnsi="David" w:hint="cs"/>
          <w:b/>
          <w:bCs/>
          <w:sz w:val="24"/>
          <w:rtl/>
        </w:rPr>
        <w:t xml:space="preserve">מוסבר במידה רבה </w:t>
      </w:r>
      <w:r w:rsidRPr="002B5E33" w:rsidR="006E112D">
        <w:rPr>
          <w:rFonts w:ascii="David" w:hAnsi="David" w:hint="cs"/>
          <w:b/>
          <w:bCs/>
          <w:sz w:val="24"/>
          <w:rtl/>
        </w:rPr>
        <w:t>ב</w:t>
      </w:r>
      <w:r w:rsidRPr="002B5E33">
        <w:rPr>
          <w:rFonts w:ascii="David" w:hAnsi="David" w:hint="cs"/>
          <w:b/>
          <w:bCs/>
          <w:sz w:val="24"/>
          <w:rtl/>
        </w:rPr>
        <w:t xml:space="preserve">שיעור העודף הגבוה יותר </w:t>
      </w:r>
      <w:r w:rsidRPr="002B5E33">
        <w:rPr>
          <w:rFonts w:ascii="David" w:hAnsi="David" w:hint="eastAsia"/>
          <w:b/>
          <w:bCs/>
          <w:sz w:val="24"/>
          <w:rtl/>
        </w:rPr>
        <w:t>של</w:t>
      </w:r>
      <w:r w:rsidRPr="002B5E33">
        <w:rPr>
          <w:rFonts w:ascii="David" w:hAnsi="David"/>
          <w:b/>
          <w:bCs/>
          <w:sz w:val="24"/>
          <w:rtl/>
        </w:rPr>
        <w:t xml:space="preserve"> </w:t>
      </w:r>
      <w:r w:rsidRPr="002B5E33">
        <w:rPr>
          <w:rFonts w:ascii="David" w:hAnsi="David" w:hint="eastAsia"/>
          <w:b/>
          <w:bCs/>
          <w:sz w:val="24"/>
          <w:rtl/>
        </w:rPr>
        <w:t>החברות</w:t>
      </w:r>
      <w:r w:rsidRPr="002B5E33">
        <w:rPr>
          <w:rFonts w:ascii="David" w:hAnsi="David"/>
          <w:b/>
          <w:bCs/>
          <w:sz w:val="24"/>
          <w:rtl/>
        </w:rPr>
        <w:t xml:space="preserve"> </w:t>
      </w:r>
      <w:r w:rsidRPr="002B5E33">
        <w:rPr>
          <w:rFonts w:ascii="David" w:hAnsi="David" w:hint="cs"/>
          <w:b/>
          <w:bCs/>
          <w:sz w:val="24"/>
          <w:rtl/>
        </w:rPr>
        <w:t xml:space="preserve">בפוליסות הפרט לעומת </w:t>
      </w:r>
      <w:r w:rsidRPr="002B5E33" w:rsidR="006E112D">
        <w:rPr>
          <w:rFonts w:ascii="David" w:hAnsi="David" w:hint="cs"/>
          <w:b/>
          <w:bCs/>
          <w:sz w:val="24"/>
          <w:rtl/>
        </w:rPr>
        <w:t xml:space="preserve">הפוליסות </w:t>
      </w:r>
      <w:r w:rsidRPr="002B5E33">
        <w:rPr>
          <w:rFonts w:ascii="David" w:hAnsi="David"/>
          <w:b/>
          <w:bCs/>
          <w:sz w:val="24"/>
          <w:rtl/>
        </w:rPr>
        <w:t>ה</w:t>
      </w:r>
      <w:r w:rsidRPr="002B5E33">
        <w:rPr>
          <w:rFonts w:ascii="David" w:hAnsi="David" w:hint="cs"/>
          <w:b/>
          <w:bCs/>
          <w:sz w:val="24"/>
          <w:rtl/>
        </w:rPr>
        <w:t>קבוצתיות</w:t>
      </w:r>
      <w:r w:rsidRPr="002B5E33">
        <w:rPr>
          <w:rFonts w:ascii="David" w:hAnsi="David" w:hint="cs"/>
          <w:sz w:val="24"/>
          <w:rtl/>
        </w:rPr>
        <w:t xml:space="preserve">. </w:t>
      </w:r>
    </w:p>
    <w:p w:rsidR="00B132F4" w:rsidRPr="002B5E33" w:rsidP="00ED5C0D">
      <w:pPr>
        <w:spacing w:line="269" w:lineRule="auto"/>
        <w:ind w:left="-567"/>
        <w:rPr>
          <w:szCs w:val="20"/>
          <w:rtl/>
        </w:rPr>
      </w:pPr>
    </w:p>
    <w:p w:rsidR="00B132F4" w:rsidRPr="002B5E33" w:rsidP="00ED5C0D">
      <w:pPr>
        <w:autoSpaceDE w:val="0"/>
        <w:autoSpaceDN w:val="0"/>
        <w:adjustRightInd w:val="0"/>
        <w:spacing w:line="269" w:lineRule="auto"/>
        <w:rPr>
          <w:rFonts w:ascii="David" w:hAnsi="David"/>
          <w:sz w:val="24"/>
          <w:rtl/>
        </w:rPr>
      </w:pPr>
      <w:r w:rsidRPr="002B5E33">
        <w:rPr>
          <w:rFonts w:ascii="David" w:hAnsi="David" w:hint="cs"/>
          <w:sz w:val="24"/>
          <w:rtl/>
        </w:rPr>
        <w:t>חברות הביטוח ציינו בתשובתם כי "הדו"ח מתייחס להפרש בשיעור ה-</w:t>
      </w:r>
      <w:r w:rsidRPr="002B5E33">
        <w:rPr>
          <w:rFonts w:ascii="David" w:hAnsi="David" w:hint="cs"/>
          <w:sz w:val="24"/>
        </w:rPr>
        <w:t>LR</w:t>
      </w:r>
      <w:r w:rsidRPr="002B5E33">
        <w:rPr>
          <w:rFonts w:ascii="David" w:hAnsi="David" w:hint="cs"/>
          <w:sz w:val="24"/>
          <w:rtl/>
        </w:rPr>
        <w:t xml:space="preserve"> בין הביטוח הקבוצתי לבין הביטוח הפרטי, ומסיק מכך שאפשר להעלות את שיעור ה-</w:t>
      </w:r>
      <w:r w:rsidRPr="002B5E33">
        <w:rPr>
          <w:rFonts w:ascii="David" w:hAnsi="David" w:hint="cs"/>
          <w:sz w:val="24"/>
        </w:rPr>
        <w:t>LR</w:t>
      </w:r>
      <w:r w:rsidRPr="002B5E33">
        <w:rPr>
          <w:rFonts w:ascii="David" w:hAnsi="David" w:hint="cs"/>
          <w:sz w:val="24"/>
          <w:rtl/>
        </w:rPr>
        <w:t xml:space="preserve"> בביטוח הפרטי. זו גישה מוטעית לכל הדעות, משום שאלו שני מוצרים שונים". עוד טענו החברות </w:t>
      </w:r>
      <w:r w:rsidRPr="002B5E33">
        <w:rPr>
          <w:rFonts w:hint="cs"/>
          <w:rtl/>
        </w:rPr>
        <w:t>כי השונות העיקרית היא בכך שתקופת הביטוח בביטוח הקבוצתי היא 3 - 6 שנים ואילו בביטוח הפרטי היא לכל החיים</w:t>
      </w:r>
      <w:r>
        <w:rPr>
          <w:rFonts w:ascii="David" w:hAnsi="David"/>
          <w:b/>
          <w:bCs/>
          <w:sz w:val="24"/>
          <w:vertAlign w:val="superscript"/>
          <w:rtl/>
        </w:rPr>
        <w:footnoteReference w:id="70"/>
      </w:r>
      <w:r w:rsidR="00944242">
        <w:rPr>
          <w:rFonts w:ascii="David" w:hAnsi="David" w:hint="cs"/>
          <w:sz w:val="24"/>
          <w:rtl/>
        </w:rPr>
        <w:t xml:space="preserve"> </w:t>
      </w:r>
      <w:r w:rsidRPr="002B5E33">
        <w:rPr>
          <w:rFonts w:hint="cs"/>
          <w:rtl/>
        </w:rPr>
        <w:t>ונוסף על כך הוצאות החיתום והשיווק בביטוח הקבוצתי נמוכות לעומת הוצאות אלו בביטוח הפרטי.</w:t>
      </w:r>
      <w:r w:rsidRPr="002B5E33">
        <w:rPr>
          <w:rFonts w:ascii="David" w:hAnsi="David" w:hint="cs"/>
          <w:sz w:val="24"/>
          <w:rtl/>
        </w:rPr>
        <w:t xml:space="preserve"> לטענת החברות, השּונות בין הפוליסות ובמיוחד תקופת הביטוח הקצרה יותר בביטוח הקבוצתי מנטרלת את הסיכונים העתידים בביטוח האישי ארוך הטווח שמהם נובע הפער ב-</w:t>
      </w:r>
      <w:r w:rsidRPr="002B5E33">
        <w:rPr>
          <w:rFonts w:ascii="David" w:hAnsi="David" w:hint="cs"/>
          <w:sz w:val="24"/>
        </w:rPr>
        <w:t>LR</w:t>
      </w:r>
      <w:r w:rsidRPr="002B5E33">
        <w:rPr>
          <w:rFonts w:ascii="David" w:hAnsi="David" w:hint="cs"/>
          <w:sz w:val="24"/>
          <w:rtl/>
        </w:rPr>
        <w:t>. לפיכך, אין מקום להסיק לגבי הרווחיות בביטוח האישי ממצב ה-</w:t>
      </w:r>
      <w:r w:rsidRPr="002B5E33">
        <w:rPr>
          <w:rFonts w:ascii="David" w:hAnsi="David" w:hint="cs"/>
          <w:sz w:val="24"/>
        </w:rPr>
        <w:t>LR</w:t>
      </w:r>
      <w:r w:rsidRPr="002B5E33">
        <w:rPr>
          <w:rFonts w:ascii="David" w:hAnsi="David" w:hint="cs"/>
          <w:sz w:val="24"/>
          <w:rtl/>
        </w:rPr>
        <w:t xml:space="preserve"> בביטוח הקבוצתי.</w:t>
      </w:r>
    </w:p>
    <w:p w:rsidR="00B132F4" w:rsidRPr="002B5E33" w:rsidP="00ED5C0D">
      <w:pPr>
        <w:spacing w:line="269" w:lineRule="auto"/>
        <w:ind w:left="-567"/>
        <w:rPr>
          <w:szCs w:val="20"/>
          <w:rtl/>
        </w:rPr>
      </w:pPr>
    </w:p>
    <w:p w:rsidR="00B132F4" w:rsidRPr="002B5E33" w:rsidP="00ED5C0D">
      <w:pPr>
        <w:autoSpaceDE w:val="0"/>
        <w:autoSpaceDN w:val="0"/>
        <w:adjustRightInd w:val="0"/>
        <w:spacing w:line="269" w:lineRule="auto"/>
        <w:rPr>
          <w:rFonts w:ascii="David" w:hAnsi="David"/>
          <w:sz w:val="24"/>
          <w:rtl/>
        </w:rPr>
      </w:pPr>
      <w:r w:rsidRPr="002B5E33">
        <w:rPr>
          <w:rFonts w:ascii="David" w:hAnsi="David" w:hint="cs"/>
          <w:sz w:val="24"/>
          <w:rtl/>
        </w:rPr>
        <w:t>יצוין</w:t>
      </w:r>
      <w:r w:rsidRPr="002B5E33">
        <w:rPr>
          <w:rFonts w:ascii="David" w:hAnsi="David"/>
          <w:sz w:val="24"/>
          <w:rtl/>
        </w:rPr>
        <w:t xml:space="preserve"> כי </w:t>
      </w:r>
      <w:r w:rsidRPr="002B5E33">
        <w:rPr>
          <w:rFonts w:ascii="David" w:hAnsi="David" w:hint="eastAsia"/>
          <w:sz w:val="24"/>
          <w:rtl/>
        </w:rPr>
        <w:t>כעולה</w:t>
      </w:r>
      <w:r w:rsidRPr="002B5E33">
        <w:rPr>
          <w:rFonts w:ascii="David" w:hAnsi="David"/>
          <w:sz w:val="24"/>
          <w:rtl/>
        </w:rPr>
        <w:t xml:space="preserve"> </w:t>
      </w:r>
      <w:r w:rsidRPr="002B5E33">
        <w:rPr>
          <w:rFonts w:ascii="David" w:hAnsi="David" w:hint="eastAsia"/>
          <w:sz w:val="24"/>
          <w:rtl/>
        </w:rPr>
        <w:t>מתרשים</w:t>
      </w:r>
      <w:r w:rsidRPr="002B5E33">
        <w:rPr>
          <w:rFonts w:ascii="David" w:hAnsi="David"/>
          <w:sz w:val="24"/>
          <w:rtl/>
        </w:rPr>
        <w:t xml:space="preserve"> 10 </w:t>
      </w:r>
      <w:r w:rsidRPr="002B5E33">
        <w:rPr>
          <w:rFonts w:ascii="David" w:hAnsi="David" w:hint="eastAsia"/>
          <w:sz w:val="24"/>
          <w:rtl/>
        </w:rPr>
        <w:t>לעיל</w:t>
      </w:r>
      <w:r w:rsidRPr="002B5E33">
        <w:rPr>
          <w:rFonts w:ascii="David" w:hAnsi="David"/>
          <w:sz w:val="24"/>
          <w:rtl/>
        </w:rPr>
        <w:t xml:space="preserve">, </w:t>
      </w:r>
      <w:r w:rsidRPr="002B5E33">
        <w:rPr>
          <w:rFonts w:ascii="David" w:hAnsi="David" w:hint="eastAsia"/>
          <w:sz w:val="24"/>
          <w:rtl/>
        </w:rPr>
        <w:t>להפרשות</w:t>
      </w:r>
      <w:r w:rsidRPr="002B5E33">
        <w:rPr>
          <w:rFonts w:ascii="David" w:hAnsi="David"/>
          <w:sz w:val="24"/>
          <w:rtl/>
        </w:rPr>
        <w:t xml:space="preserve"> </w:t>
      </w:r>
      <w:r w:rsidRPr="002B5E33">
        <w:rPr>
          <w:rFonts w:ascii="David" w:hAnsi="David" w:hint="eastAsia"/>
          <w:sz w:val="24"/>
          <w:rtl/>
        </w:rPr>
        <w:t>ההון</w:t>
      </w:r>
      <w:r w:rsidRPr="002B5E33">
        <w:rPr>
          <w:rFonts w:ascii="David" w:hAnsi="David"/>
          <w:sz w:val="24"/>
          <w:rtl/>
        </w:rPr>
        <w:t xml:space="preserve"> </w:t>
      </w:r>
      <w:r w:rsidRPr="002B5E33">
        <w:rPr>
          <w:rFonts w:ascii="David" w:hAnsi="David" w:hint="eastAsia"/>
          <w:sz w:val="24"/>
          <w:rtl/>
        </w:rPr>
        <w:t>של</w:t>
      </w:r>
      <w:r w:rsidRPr="002B5E33">
        <w:rPr>
          <w:rFonts w:ascii="David" w:hAnsi="David"/>
          <w:sz w:val="24"/>
          <w:rtl/>
        </w:rPr>
        <w:t xml:space="preserve"> </w:t>
      </w:r>
      <w:r w:rsidRPr="002B5E33">
        <w:rPr>
          <w:rFonts w:ascii="David" w:hAnsi="David" w:hint="eastAsia"/>
          <w:sz w:val="24"/>
          <w:rtl/>
        </w:rPr>
        <w:t>חברות</w:t>
      </w:r>
      <w:r w:rsidRPr="002B5E33">
        <w:rPr>
          <w:rFonts w:ascii="David" w:hAnsi="David"/>
          <w:sz w:val="24"/>
          <w:rtl/>
        </w:rPr>
        <w:t xml:space="preserve"> </w:t>
      </w:r>
      <w:r w:rsidRPr="002B5E33">
        <w:rPr>
          <w:rFonts w:ascii="David" w:hAnsi="David" w:hint="eastAsia"/>
          <w:sz w:val="24"/>
          <w:rtl/>
        </w:rPr>
        <w:t>הביטוח</w:t>
      </w:r>
      <w:r w:rsidRPr="002B5E33" w:rsidR="000B5A5B">
        <w:rPr>
          <w:rFonts w:ascii="David" w:hAnsi="David" w:hint="cs"/>
          <w:sz w:val="24"/>
          <w:rtl/>
        </w:rPr>
        <w:t xml:space="preserve"> יש</w:t>
      </w:r>
      <w:r w:rsidRPr="002B5E33">
        <w:rPr>
          <w:rFonts w:ascii="David" w:hAnsi="David"/>
          <w:sz w:val="24"/>
          <w:rtl/>
        </w:rPr>
        <w:t xml:space="preserve"> </w:t>
      </w:r>
      <w:r w:rsidRPr="002B5E33">
        <w:rPr>
          <w:rFonts w:ascii="David" w:hAnsi="David" w:hint="eastAsia"/>
          <w:sz w:val="24"/>
          <w:rtl/>
        </w:rPr>
        <w:t>השפעה</w:t>
      </w:r>
      <w:r w:rsidRPr="002B5E33">
        <w:rPr>
          <w:rFonts w:ascii="David" w:hAnsi="David"/>
          <w:sz w:val="24"/>
          <w:rtl/>
        </w:rPr>
        <w:t xml:space="preserve"> </w:t>
      </w:r>
      <w:r w:rsidRPr="002B5E33">
        <w:rPr>
          <w:rFonts w:ascii="David" w:hAnsi="David" w:hint="eastAsia"/>
          <w:sz w:val="24"/>
          <w:rtl/>
        </w:rPr>
        <w:t>זניחה</w:t>
      </w:r>
      <w:r w:rsidRPr="002B5E33">
        <w:rPr>
          <w:rFonts w:ascii="David" w:hAnsi="David"/>
          <w:sz w:val="24"/>
          <w:rtl/>
        </w:rPr>
        <w:t xml:space="preserve"> בלבד על הפערים </w:t>
      </w:r>
      <w:r w:rsidRPr="002B5E33">
        <w:rPr>
          <w:rFonts w:ascii="David" w:hAnsi="David" w:hint="eastAsia"/>
          <w:sz w:val="24"/>
          <w:rtl/>
        </w:rPr>
        <w:t>שנמצאו</w:t>
      </w:r>
      <w:r w:rsidRPr="002B5E33">
        <w:rPr>
          <w:rFonts w:ascii="David" w:hAnsi="David"/>
          <w:sz w:val="24"/>
          <w:rtl/>
        </w:rPr>
        <w:t xml:space="preserve"> </w:t>
      </w:r>
      <w:r w:rsidRPr="002B5E33">
        <w:rPr>
          <w:rFonts w:ascii="David" w:hAnsi="David" w:hint="eastAsia"/>
          <w:sz w:val="24"/>
          <w:rtl/>
        </w:rPr>
        <w:t>בשיעור</w:t>
      </w:r>
      <w:r w:rsidRPr="002B5E33">
        <w:rPr>
          <w:rFonts w:ascii="David" w:hAnsi="David"/>
          <w:sz w:val="24"/>
          <w:rtl/>
        </w:rPr>
        <w:t xml:space="preserve"> </w:t>
      </w:r>
      <w:r w:rsidRPr="002B5E33">
        <w:rPr>
          <w:rFonts w:ascii="David" w:hAnsi="David" w:hint="eastAsia"/>
          <w:sz w:val="24"/>
          <w:rtl/>
        </w:rPr>
        <w:t>התשלום</w:t>
      </w:r>
      <w:r w:rsidRPr="002B5E33">
        <w:rPr>
          <w:rFonts w:ascii="David" w:hAnsi="David"/>
          <w:sz w:val="24"/>
          <w:rtl/>
        </w:rPr>
        <w:t xml:space="preserve"> </w:t>
      </w:r>
      <w:r w:rsidRPr="002B5E33">
        <w:rPr>
          <w:rFonts w:ascii="David" w:hAnsi="David" w:hint="eastAsia"/>
          <w:sz w:val="24"/>
          <w:rtl/>
        </w:rPr>
        <w:t>הישיר</w:t>
      </w:r>
      <w:r w:rsidRPr="002B5E33">
        <w:rPr>
          <w:rFonts w:ascii="David" w:hAnsi="David"/>
          <w:sz w:val="24"/>
          <w:rtl/>
        </w:rPr>
        <w:t xml:space="preserve"> </w:t>
      </w:r>
      <w:r w:rsidRPr="002B5E33">
        <w:rPr>
          <w:rFonts w:ascii="David" w:hAnsi="David" w:hint="eastAsia"/>
          <w:sz w:val="24"/>
          <w:rtl/>
        </w:rPr>
        <w:t>למבוטחים</w:t>
      </w:r>
      <w:r w:rsidRPr="002B5E33">
        <w:rPr>
          <w:rFonts w:ascii="David" w:hAnsi="David"/>
          <w:sz w:val="24"/>
          <w:rtl/>
        </w:rPr>
        <w:t xml:space="preserve">. </w:t>
      </w:r>
    </w:p>
    <w:p w:rsidR="00B132F4" w:rsidRPr="002B5E33" w:rsidP="00ED5C0D">
      <w:pPr>
        <w:spacing w:line="269" w:lineRule="auto"/>
        <w:ind w:left="-567"/>
        <w:rPr>
          <w:szCs w:val="20"/>
          <w:rtl/>
        </w:rPr>
      </w:pPr>
    </w:p>
    <w:p w:rsidR="00B132F4" w:rsidRPr="002B5E33" w:rsidP="00ED5C0D">
      <w:pPr>
        <w:autoSpaceDE w:val="0"/>
        <w:autoSpaceDN w:val="0"/>
        <w:adjustRightInd w:val="0"/>
        <w:spacing w:line="269" w:lineRule="auto"/>
        <w:rPr>
          <w:rtl/>
        </w:rPr>
      </w:pPr>
      <w:r w:rsidRPr="002B5E33">
        <w:rPr>
          <w:rFonts w:hint="eastAsia"/>
          <w:rtl/>
        </w:rPr>
        <w:t>הרשות</w:t>
      </w:r>
      <w:r w:rsidRPr="002B5E33" w:rsidR="000E1A71">
        <w:rPr>
          <w:rtl/>
        </w:rPr>
        <w:t xml:space="preserve"> מסרה </w:t>
      </w:r>
      <w:r w:rsidRPr="002B5E33" w:rsidR="000E1A71">
        <w:rPr>
          <w:rFonts w:hint="eastAsia"/>
          <w:rtl/>
        </w:rPr>
        <w:t>כי</w:t>
      </w:r>
      <w:r w:rsidRPr="002B5E33">
        <w:rPr>
          <w:rFonts w:hint="cs"/>
          <w:rtl/>
        </w:rPr>
        <w:t xml:space="preserve"> היא בחנה </w:t>
      </w:r>
      <w:r w:rsidRPr="002B5E33">
        <w:rPr>
          <w:rFonts w:hint="eastAsia"/>
          <w:rtl/>
        </w:rPr>
        <w:t>לאורך</w:t>
      </w:r>
      <w:r w:rsidRPr="002B5E33">
        <w:rPr>
          <w:rtl/>
        </w:rPr>
        <w:t xml:space="preserve"> </w:t>
      </w:r>
      <w:r w:rsidRPr="002B5E33">
        <w:rPr>
          <w:rFonts w:hint="eastAsia"/>
          <w:rtl/>
        </w:rPr>
        <w:t>שנים</w:t>
      </w:r>
      <w:r w:rsidRPr="002B5E33">
        <w:rPr>
          <w:rtl/>
        </w:rPr>
        <w:t xml:space="preserve"> </w:t>
      </w:r>
      <w:r w:rsidRPr="002B5E33">
        <w:rPr>
          <w:rFonts w:hint="eastAsia"/>
          <w:rtl/>
        </w:rPr>
        <w:t>את</w:t>
      </w:r>
      <w:r w:rsidRPr="002B5E33">
        <w:rPr>
          <w:rtl/>
        </w:rPr>
        <w:t xml:space="preserve"> </w:t>
      </w:r>
      <w:r w:rsidRPr="002B5E33">
        <w:rPr>
          <w:rFonts w:hint="eastAsia"/>
          <w:rtl/>
        </w:rPr>
        <w:t>הסיבות</w:t>
      </w:r>
      <w:r w:rsidRPr="002B5E33">
        <w:rPr>
          <w:rtl/>
        </w:rPr>
        <w:t xml:space="preserve"> </w:t>
      </w:r>
      <w:r w:rsidRPr="002B5E33">
        <w:rPr>
          <w:rFonts w:hint="eastAsia"/>
          <w:rtl/>
        </w:rPr>
        <w:t>לפערים</w:t>
      </w:r>
      <w:r w:rsidRPr="002B5E33">
        <w:rPr>
          <w:rtl/>
        </w:rPr>
        <w:t xml:space="preserve"> </w:t>
      </w:r>
      <w:r w:rsidRPr="002B5E33">
        <w:rPr>
          <w:rFonts w:hint="eastAsia"/>
          <w:rtl/>
        </w:rPr>
        <w:t>שפורטו</w:t>
      </w:r>
      <w:r w:rsidRPr="002B5E33">
        <w:rPr>
          <w:rtl/>
        </w:rPr>
        <w:t xml:space="preserve"> </w:t>
      </w:r>
      <w:r w:rsidRPr="002B5E33">
        <w:rPr>
          <w:rFonts w:hint="eastAsia"/>
          <w:rtl/>
        </w:rPr>
        <w:t>לעיל</w:t>
      </w:r>
      <w:r w:rsidRPr="002B5E33">
        <w:rPr>
          <w:rFonts w:hint="cs"/>
          <w:rtl/>
        </w:rPr>
        <w:t xml:space="preserve">, וכן עקבה באופן שוטף אחר הרווחיות בתחום. כן ציינה כי </w:t>
      </w:r>
      <w:r w:rsidRPr="002B5E33">
        <w:rPr>
          <w:rFonts w:hint="eastAsia"/>
          <w:rtl/>
        </w:rPr>
        <w:t>בעקבות</w:t>
      </w:r>
      <w:r w:rsidRPr="002B5E33">
        <w:rPr>
          <w:rtl/>
        </w:rPr>
        <w:t xml:space="preserve"> </w:t>
      </w:r>
      <w:r w:rsidRPr="002B5E33">
        <w:rPr>
          <w:rFonts w:hint="eastAsia"/>
          <w:rtl/>
        </w:rPr>
        <w:t>הבחינה</w:t>
      </w:r>
      <w:r w:rsidRPr="002B5E33">
        <w:rPr>
          <w:rtl/>
        </w:rPr>
        <w:t xml:space="preserve"> </w:t>
      </w:r>
      <w:r w:rsidRPr="002B5E33">
        <w:rPr>
          <w:rFonts w:hint="eastAsia"/>
          <w:rtl/>
        </w:rPr>
        <w:t>פורסמה</w:t>
      </w:r>
      <w:r w:rsidRPr="002B5E33">
        <w:rPr>
          <w:rtl/>
        </w:rPr>
        <w:t xml:space="preserve"> </w:t>
      </w:r>
      <w:r w:rsidRPr="002B5E33">
        <w:rPr>
          <w:rFonts w:hint="eastAsia"/>
          <w:rtl/>
        </w:rPr>
        <w:t>הרפורמה</w:t>
      </w:r>
      <w:r w:rsidRPr="002B5E33">
        <w:rPr>
          <w:rtl/>
        </w:rPr>
        <w:t xml:space="preserve"> </w:t>
      </w:r>
      <w:r w:rsidRPr="002B5E33">
        <w:rPr>
          <w:rFonts w:hint="eastAsia"/>
          <w:rtl/>
        </w:rPr>
        <w:t>בביטוחי</w:t>
      </w:r>
      <w:r w:rsidRPr="002B5E33">
        <w:rPr>
          <w:rtl/>
        </w:rPr>
        <w:t xml:space="preserve"> </w:t>
      </w:r>
      <w:r w:rsidRPr="002B5E33">
        <w:rPr>
          <w:rFonts w:hint="cs"/>
          <w:rtl/>
        </w:rPr>
        <w:t>ה</w:t>
      </w:r>
      <w:r w:rsidRPr="002B5E33">
        <w:rPr>
          <w:rFonts w:hint="eastAsia"/>
          <w:rtl/>
        </w:rPr>
        <w:t>בריאות</w:t>
      </w:r>
      <w:r w:rsidRPr="002B5E33">
        <w:rPr>
          <w:rFonts w:hint="cs"/>
          <w:rtl/>
        </w:rPr>
        <w:t>,</w:t>
      </w:r>
      <w:r w:rsidRPr="002B5E33">
        <w:rPr>
          <w:rtl/>
        </w:rPr>
        <w:t xml:space="preserve"> </w:t>
      </w:r>
      <w:r w:rsidRPr="002B5E33">
        <w:rPr>
          <w:rFonts w:hint="eastAsia"/>
          <w:rtl/>
        </w:rPr>
        <w:t>שאחת</w:t>
      </w:r>
      <w:r w:rsidRPr="002B5E33">
        <w:rPr>
          <w:rtl/>
        </w:rPr>
        <w:t xml:space="preserve"> </w:t>
      </w:r>
      <w:r w:rsidRPr="002B5E33">
        <w:rPr>
          <w:rFonts w:hint="eastAsia"/>
          <w:rtl/>
        </w:rPr>
        <w:t>ממטרותיה</w:t>
      </w:r>
      <w:r w:rsidRPr="002B5E33">
        <w:rPr>
          <w:rtl/>
        </w:rPr>
        <w:t xml:space="preserve"> העיקריות היא הגברת התחרות בתחום ביטוחי הפרט וצמצום הפערים בין הביטוח הפרטי ל</w:t>
      </w:r>
      <w:r w:rsidRPr="002B5E33">
        <w:rPr>
          <w:rFonts w:hint="cs"/>
          <w:rtl/>
        </w:rPr>
        <w:t>ביטוח ה</w:t>
      </w:r>
      <w:r w:rsidRPr="002B5E33">
        <w:rPr>
          <w:rtl/>
        </w:rPr>
        <w:t>קבוצתי ככל שניתן.</w:t>
      </w:r>
    </w:p>
    <w:p w:rsidR="00B132F4" w:rsidRPr="002B5E33" w:rsidP="00ED5C0D">
      <w:pPr>
        <w:spacing w:line="269" w:lineRule="auto"/>
        <w:ind w:left="-567"/>
        <w:rPr>
          <w:szCs w:val="20"/>
          <w:rtl/>
        </w:rPr>
      </w:pPr>
    </w:p>
    <w:p w:rsidR="00B132F4" w:rsidRPr="002B5E33" w:rsidP="00ED5C0D">
      <w:pPr>
        <w:spacing w:line="269" w:lineRule="auto"/>
        <w:rPr>
          <w:b/>
          <w:bCs/>
          <w:rtl/>
        </w:rPr>
      </w:pPr>
      <w:r w:rsidRPr="002B5E33">
        <w:rPr>
          <w:rFonts w:hint="eastAsia"/>
          <w:b/>
          <w:bCs/>
          <w:rtl/>
        </w:rPr>
        <w:t>משרד</w:t>
      </w:r>
      <w:r w:rsidRPr="002B5E33">
        <w:rPr>
          <w:b/>
          <w:bCs/>
          <w:rtl/>
        </w:rPr>
        <w:t xml:space="preserve"> </w:t>
      </w:r>
      <w:r w:rsidRPr="002B5E33">
        <w:rPr>
          <w:rFonts w:hint="eastAsia"/>
          <w:b/>
          <w:bCs/>
          <w:rtl/>
        </w:rPr>
        <w:t>מבקר</w:t>
      </w:r>
      <w:r w:rsidRPr="002B5E33">
        <w:rPr>
          <w:b/>
          <w:bCs/>
          <w:rtl/>
        </w:rPr>
        <w:t xml:space="preserve"> </w:t>
      </w:r>
      <w:r w:rsidRPr="002B5E33">
        <w:rPr>
          <w:rFonts w:hint="eastAsia"/>
          <w:b/>
          <w:bCs/>
          <w:rtl/>
        </w:rPr>
        <w:t>המדינה</w:t>
      </w:r>
      <w:r w:rsidRPr="002B5E33">
        <w:rPr>
          <w:b/>
          <w:bCs/>
          <w:rtl/>
        </w:rPr>
        <w:t xml:space="preserve"> </w:t>
      </w:r>
      <w:r w:rsidRPr="002B5E33">
        <w:rPr>
          <w:rFonts w:hint="eastAsia"/>
          <w:b/>
          <w:bCs/>
          <w:rtl/>
        </w:rPr>
        <w:t>ממליץ</w:t>
      </w:r>
      <w:r w:rsidRPr="002B5E33">
        <w:rPr>
          <w:rFonts w:hint="cs"/>
          <w:b/>
          <w:bCs/>
          <w:rtl/>
        </w:rPr>
        <w:t xml:space="preserve"> כי ה</w:t>
      </w:r>
      <w:r w:rsidRPr="002B5E33">
        <w:rPr>
          <w:b/>
          <w:bCs/>
          <w:rtl/>
        </w:rPr>
        <w:t xml:space="preserve">רשות </w:t>
      </w:r>
      <w:r w:rsidRPr="002B5E33" w:rsidR="00BF38EC">
        <w:rPr>
          <w:rFonts w:hint="cs"/>
          <w:b/>
          <w:bCs/>
          <w:rtl/>
        </w:rPr>
        <w:t>תבחן</w:t>
      </w:r>
      <w:r w:rsidRPr="002B5E33">
        <w:rPr>
          <w:rFonts w:hint="cs"/>
          <w:b/>
          <w:bCs/>
          <w:rtl/>
        </w:rPr>
        <w:t xml:space="preserve"> את התפלגות מבנה ההוצאות של חברות הביטוח, באופן עתי ובפרט לאחר ביצוע שינויים מהותיים בתחום, כדוגמת רפורמה 2016. כן, מומלץ שהרשות תשקול להציג </w:t>
      </w:r>
      <w:r w:rsidRPr="002B5E33">
        <w:rPr>
          <w:b/>
          <w:bCs/>
          <w:rtl/>
        </w:rPr>
        <w:t xml:space="preserve">נורמה </w:t>
      </w:r>
      <w:r w:rsidRPr="002B5E33">
        <w:rPr>
          <w:rFonts w:hint="eastAsia"/>
          <w:b/>
          <w:bCs/>
          <w:rtl/>
        </w:rPr>
        <w:t>פנים</w:t>
      </w:r>
      <w:r w:rsidRPr="002B5E33" w:rsidR="0094009D">
        <w:rPr>
          <w:rFonts w:hint="cs"/>
          <w:b/>
          <w:bCs/>
          <w:rtl/>
        </w:rPr>
        <w:t>-</w:t>
      </w:r>
      <w:r w:rsidRPr="002B5E33">
        <w:rPr>
          <w:b/>
          <w:bCs/>
          <w:rtl/>
        </w:rPr>
        <w:t>משרדית המגדיר</w:t>
      </w:r>
      <w:r w:rsidRPr="002B5E33">
        <w:rPr>
          <w:rFonts w:hint="eastAsia"/>
          <w:b/>
          <w:bCs/>
          <w:rtl/>
        </w:rPr>
        <w:t>ה</w:t>
      </w:r>
      <w:r w:rsidRPr="002B5E33">
        <w:rPr>
          <w:b/>
          <w:bCs/>
          <w:rtl/>
        </w:rPr>
        <w:t xml:space="preserve"> </w:t>
      </w:r>
      <w:r w:rsidRPr="002B5E33">
        <w:rPr>
          <w:rFonts w:hint="cs"/>
          <w:b/>
          <w:bCs/>
          <w:rtl/>
        </w:rPr>
        <w:t>את</w:t>
      </w:r>
      <w:r w:rsidRPr="002B5E33">
        <w:rPr>
          <w:b/>
          <w:bCs/>
          <w:rtl/>
        </w:rPr>
        <w:t xml:space="preserve"> </w:t>
      </w:r>
      <w:r w:rsidRPr="002B5E33">
        <w:rPr>
          <w:rFonts w:hint="cs"/>
          <w:b/>
          <w:bCs/>
          <w:rtl/>
        </w:rPr>
        <w:t xml:space="preserve">שיעור הסכומים העודפים ואת </w:t>
      </w:r>
      <w:r w:rsidRPr="002B5E33">
        <w:rPr>
          <w:rFonts w:ascii="Arial" w:hAnsi="Arial" w:hint="cs"/>
          <w:b/>
          <w:bCs/>
          <w:sz w:val="24"/>
          <w:rtl/>
        </w:rPr>
        <w:t>שיעור התשלום הישיר למבוטחים</w:t>
      </w:r>
      <w:r w:rsidRPr="002B5E33">
        <w:rPr>
          <w:rFonts w:hint="eastAsia"/>
          <w:rtl/>
        </w:rPr>
        <w:t xml:space="preserve"> </w:t>
      </w:r>
      <w:r w:rsidRPr="002B5E33">
        <w:rPr>
          <w:rFonts w:hint="cs"/>
          <w:b/>
          <w:bCs/>
          <w:rtl/>
        </w:rPr>
        <w:t xml:space="preserve">המחייבים את בדיקתה לשם שמירה על ציבור המבוטחים. </w:t>
      </w:r>
      <w:r w:rsidRPr="002B5E33" w:rsidR="0094009D">
        <w:rPr>
          <w:rFonts w:hint="cs"/>
          <w:b/>
          <w:bCs/>
          <w:rtl/>
        </w:rPr>
        <w:t xml:space="preserve">נוסף על כך, </w:t>
      </w:r>
      <w:r w:rsidRPr="002B5E33">
        <w:rPr>
          <w:rFonts w:hint="cs"/>
          <w:b/>
          <w:bCs/>
          <w:rtl/>
        </w:rPr>
        <w:t>על הרשות לבחון את מידת ההשפעה של הכשלים שזוהו על</w:t>
      </w:r>
      <w:r w:rsidRPr="002B5E33" w:rsidR="0094009D">
        <w:rPr>
          <w:rFonts w:hint="cs"/>
          <w:b/>
          <w:bCs/>
          <w:rtl/>
        </w:rPr>
        <w:t xml:space="preserve"> </w:t>
      </w:r>
      <w:r w:rsidRPr="002B5E33">
        <w:rPr>
          <w:rFonts w:hint="cs"/>
          <w:b/>
          <w:bCs/>
          <w:rtl/>
        </w:rPr>
        <w:t xml:space="preserve">ידה על רמת שיעור הסכום העודף ושיעורי ההחזר למבוטחים ולפעול בנושאים אלו לשיפור מצבם של המבוטחים. </w:t>
      </w:r>
    </w:p>
    <w:p w:rsidR="003C14C0" w:rsidP="00ED5C0D">
      <w:pPr>
        <w:pStyle w:val="Heading4"/>
        <w:spacing w:before="0" w:line="269" w:lineRule="auto"/>
        <w:rPr>
          <w:rtl/>
        </w:rPr>
      </w:pPr>
    </w:p>
    <w:p w:rsidR="00B132F4" w:rsidRPr="002B5E33" w:rsidP="00ED5C0D">
      <w:pPr>
        <w:pStyle w:val="Heading4"/>
        <w:spacing w:before="0" w:line="269" w:lineRule="auto"/>
        <w:rPr>
          <w:rtl/>
        </w:rPr>
      </w:pPr>
      <w:r w:rsidRPr="002B5E33">
        <w:rPr>
          <w:rtl/>
        </w:rPr>
        <w:t xml:space="preserve">הרפורמה </w:t>
      </w:r>
      <w:r w:rsidRPr="002B5E33">
        <w:rPr>
          <w:rFonts w:hint="cs"/>
          <w:rtl/>
        </w:rPr>
        <w:t xml:space="preserve">משנת 2016 </w:t>
      </w:r>
      <w:r w:rsidRPr="002B5E33">
        <w:rPr>
          <w:rtl/>
        </w:rPr>
        <w:t xml:space="preserve">בביטוחי הבריאות </w:t>
      </w:r>
      <w:r w:rsidRPr="002B5E33">
        <w:rPr>
          <w:rFonts w:hint="cs"/>
          <w:rtl/>
        </w:rPr>
        <w:t>המסחריים</w:t>
      </w:r>
      <w:r w:rsidRPr="002B5E33">
        <w:rPr>
          <w:rtl/>
        </w:rPr>
        <w:t xml:space="preserve"> </w:t>
      </w:r>
    </w:p>
    <w:p w:rsidR="00B132F4" w:rsidRPr="002B5E33" w:rsidP="00ED5C0D">
      <w:pPr>
        <w:pStyle w:val="a"/>
        <w:spacing w:line="269" w:lineRule="auto"/>
        <w:rPr>
          <w:rStyle w:val="Strong"/>
          <w:b w:val="0"/>
          <w:bCs w:val="0"/>
          <w:rtl/>
        </w:rPr>
      </w:pPr>
    </w:p>
    <w:p w:rsidR="00B132F4" w:rsidRPr="002B5E33" w:rsidP="00ED5C0D">
      <w:pPr>
        <w:spacing w:line="269" w:lineRule="auto"/>
        <w:rPr>
          <w:rFonts w:ascii="David" w:hAnsi="David"/>
          <w:sz w:val="24"/>
          <w:rtl/>
        </w:rPr>
      </w:pPr>
      <w:r w:rsidRPr="002B5E33">
        <w:rPr>
          <w:rFonts w:ascii="David" w:hAnsi="David" w:hint="cs"/>
          <w:sz w:val="24"/>
          <w:rtl/>
        </w:rPr>
        <w:t>בתחילת</w:t>
      </w:r>
      <w:r w:rsidRPr="002B5E33">
        <w:rPr>
          <w:rFonts w:ascii="David" w:hAnsi="David"/>
          <w:sz w:val="24"/>
          <w:rtl/>
        </w:rPr>
        <w:t xml:space="preserve"> 2016 נכנסה לתוקפה הרפורמה בביטוחי הבריאות</w:t>
      </w:r>
      <w:r>
        <w:rPr>
          <w:rStyle w:val="FootnoteReference"/>
          <w:rFonts w:ascii="David" w:hAnsi="David"/>
          <w:sz w:val="24"/>
          <w:rtl/>
        </w:rPr>
        <w:footnoteReference w:id="71"/>
      </w:r>
      <w:r w:rsidRPr="002B5E33">
        <w:rPr>
          <w:rFonts w:ascii="David" w:hAnsi="David"/>
          <w:sz w:val="24"/>
          <w:rtl/>
        </w:rPr>
        <w:t xml:space="preserve">. מטרת הרפורמה הייתה להגביר את התחרות בשוק ביטוחי הבריאות </w:t>
      </w:r>
      <w:r w:rsidRPr="002B5E33">
        <w:rPr>
          <w:rFonts w:ascii="David" w:hAnsi="David" w:hint="cs"/>
          <w:sz w:val="24"/>
          <w:rtl/>
        </w:rPr>
        <w:t xml:space="preserve">ולהעצים את </w:t>
      </w:r>
      <w:r w:rsidRPr="002B5E33">
        <w:rPr>
          <w:rFonts w:ascii="David" w:hAnsi="David"/>
          <w:sz w:val="24"/>
          <w:rtl/>
        </w:rPr>
        <w:t>כוחו של המבוטח אל מול חברות הביטוח</w:t>
      </w:r>
      <w:r w:rsidRPr="002B5E33">
        <w:rPr>
          <w:rFonts w:ascii="David" w:hAnsi="David" w:hint="cs"/>
          <w:sz w:val="24"/>
          <w:rtl/>
        </w:rPr>
        <w:t>,</w:t>
      </w:r>
      <w:r w:rsidRPr="002B5E33">
        <w:rPr>
          <w:rFonts w:ascii="David" w:hAnsi="David"/>
          <w:sz w:val="24"/>
          <w:rtl/>
        </w:rPr>
        <w:t xml:space="preserve"> באמצעות הפיכתם של מוצרי הביטוח לפשוטים, ברורים וב</w:t>
      </w:r>
      <w:r w:rsidRPr="002B5E33">
        <w:rPr>
          <w:rFonts w:ascii="David" w:hAnsi="David" w:hint="cs"/>
          <w:sz w:val="24"/>
          <w:rtl/>
        </w:rPr>
        <w:t>ני</w:t>
      </w:r>
      <w:r w:rsidRPr="002B5E33">
        <w:rPr>
          <w:rFonts w:ascii="David" w:hAnsi="David"/>
          <w:sz w:val="24"/>
          <w:rtl/>
        </w:rPr>
        <w:t xml:space="preserve"> השוואה</w:t>
      </w:r>
      <w:r>
        <w:rPr>
          <w:rStyle w:val="FootnoteReference"/>
          <w:rFonts w:ascii="David" w:hAnsi="David"/>
          <w:sz w:val="24"/>
          <w:rtl/>
        </w:rPr>
        <w:footnoteReference w:id="72"/>
      </w:r>
      <w:r w:rsidRPr="002B5E33">
        <w:rPr>
          <w:rFonts w:ascii="David" w:hAnsi="David"/>
          <w:sz w:val="24"/>
          <w:rtl/>
        </w:rPr>
        <w:t>.</w:t>
      </w:r>
    </w:p>
    <w:p w:rsidR="00B132F4" w:rsidRPr="002B5E33" w:rsidP="00ED5C0D">
      <w:pPr>
        <w:pStyle w:val="a"/>
        <w:spacing w:line="269" w:lineRule="auto"/>
        <w:rPr>
          <w:rFonts w:ascii="David" w:hAnsi="David"/>
        </w:rPr>
      </w:pPr>
    </w:p>
    <w:p w:rsidR="00B132F4" w:rsidRPr="002B5E33" w:rsidP="00ED5C0D">
      <w:pPr>
        <w:spacing w:line="269" w:lineRule="auto"/>
        <w:rPr>
          <w:rFonts w:ascii="David" w:hAnsi="David"/>
          <w:rtl/>
        </w:rPr>
      </w:pPr>
      <w:r w:rsidRPr="002B5E33">
        <w:rPr>
          <w:rFonts w:ascii="David" w:hAnsi="David"/>
          <w:sz w:val="24"/>
          <w:rtl/>
        </w:rPr>
        <w:t xml:space="preserve">הרפורמה התמודדה עם </w:t>
      </w:r>
      <w:r w:rsidRPr="002B5E33">
        <w:rPr>
          <w:rFonts w:ascii="David" w:hAnsi="David" w:hint="cs"/>
          <w:sz w:val="24"/>
          <w:rtl/>
        </w:rPr>
        <w:t>כמה</w:t>
      </w:r>
      <w:r w:rsidRPr="002B5E33">
        <w:rPr>
          <w:rFonts w:ascii="David" w:hAnsi="David"/>
          <w:sz w:val="24"/>
          <w:rtl/>
        </w:rPr>
        <w:t xml:space="preserve"> כשלים עיקריים </w:t>
      </w:r>
      <w:r w:rsidRPr="002B5E33">
        <w:rPr>
          <w:rFonts w:ascii="David" w:hAnsi="David" w:hint="cs"/>
          <w:sz w:val="24"/>
          <w:rtl/>
        </w:rPr>
        <w:t xml:space="preserve">שזיהתה </w:t>
      </w:r>
      <w:r w:rsidRPr="002B5E33">
        <w:rPr>
          <w:rFonts w:ascii="David" w:hAnsi="David"/>
          <w:sz w:val="24"/>
          <w:rtl/>
        </w:rPr>
        <w:t>רשות שוק ההון</w:t>
      </w:r>
      <w:r w:rsidRPr="002B5E33">
        <w:rPr>
          <w:rFonts w:ascii="David" w:hAnsi="David" w:hint="cs"/>
          <w:sz w:val="24"/>
          <w:rtl/>
        </w:rPr>
        <w:t xml:space="preserve">, ובהם </w:t>
      </w:r>
      <w:r w:rsidRPr="002B5E33">
        <w:rPr>
          <w:rFonts w:ascii="David" w:hAnsi="David"/>
          <w:sz w:val="24"/>
          <w:rtl/>
        </w:rPr>
        <w:t>רמת תחרותיות נמוכה וחסמי מעבר גבוהים בין הפוליסות וחברות הביטוח</w:t>
      </w:r>
      <w:r>
        <w:rPr>
          <w:rStyle w:val="FootnoteReference"/>
          <w:rFonts w:ascii="David" w:hAnsi="David"/>
          <w:sz w:val="24"/>
          <w:rtl/>
        </w:rPr>
        <w:footnoteReference w:id="73"/>
      </w:r>
      <w:r w:rsidRPr="002B5E33">
        <w:rPr>
          <w:rFonts w:ascii="David" w:hAnsi="David" w:hint="cs"/>
          <w:sz w:val="24"/>
          <w:rtl/>
        </w:rPr>
        <w:t xml:space="preserve">. </w:t>
      </w:r>
      <w:r w:rsidRPr="002B5E33">
        <w:rPr>
          <w:rFonts w:ascii="David" w:hAnsi="David"/>
          <w:sz w:val="24"/>
          <w:rtl/>
        </w:rPr>
        <w:t xml:space="preserve">כך לדוגמה, הרשות זיהתה כי קיים קושי של המבוטחים בהבנת הפוליסות </w:t>
      </w:r>
      <w:r w:rsidRPr="002B5E33">
        <w:rPr>
          <w:rFonts w:ascii="David" w:hAnsi="David" w:hint="cs"/>
          <w:sz w:val="24"/>
          <w:rtl/>
        </w:rPr>
        <w:t>המסחריות</w:t>
      </w:r>
      <w:r w:rsidRPr="002B5E33">
        <w:rPr>
          <w:rFonts w:ascii="David" w:hAnsi="David"/>
          <w:sz w:val="24"/>
          <w:rtl/>
        </w:rPr>
        <w:t xml:space="preserve"> וההשוואה ביניהן ובין הכיסויים המוצעים בסל הבריאות הממלכתי ו/או השב"ן. עוד ציינה הרשות כי תקופת הביטוח הארוכה, מכירת חבילות הביטוח וכן חסמי מעבר נוספים</w:t>
      </w:r>
      <w:r>
        <w:rPr>
          <w:rStyle w:val="FootnoteReference"/>
          <w:rFonts w:ascii="David" w:hAnsi="David"/>
          <w:sz w:val="24"/>
          <w:rtl/>
        </w:rPr>
        <w:footnoteReference w:id="74"/>
      </w:r>
      <w:r w:rsidRPr="002B5E33">
        <w:rPr>
          <w:rFonts w:ascii="David" w:hAnsi="David"/>
          <w:sz w:val="24"/>
          <w:rtl/>
        </w:rPr>
        <w:t xml:space="preserve"> יוצרים לחברות הביטוח יתרון מובנה על פני המבוטח. </w:t>
      </w:r>
      <w:r w:rsidRPr="002B5E33">
        <w:rPr>
          <w:rFonts w:ascii="David" w:hAnsi="David" w:hint="eastAsia"/>
          <w:sz w:val="24"/>
          <w:rtl/>
        </w:rPr>
        <w:t>הרשות</w:t>
      </w:r>
      <w:r w:rsidRPr="002B5E33">
        <w:rPr>
          <w:rFonts w:ascii="David" w:hAnsi="David"/>
          <w:sz w:val="24"/>
          <w:rtl/>
        </w:rPr>
        <w:t xml:space="preserve"> ציינה כי קביעת</w:t>
      </w:r>
      <w:r w:rsidRPr="002B5E33">
        <w:rPr>
          <w:rFonts w:ascii="David" w:hAnsi="David"/>
          <w:sz w:val="24"/>
        </w:rPr>
        <w:t xml:space="preserve"> </w:t>
      </w:r>
      <w:r w:rsidRPr="002B5E33">
        <w:rPr>
          <w:rFonts w:ascii="David" w:hAnsi="David"/>
          <w:sz w:val="24"/>
          <w:rtl/>
        </w:rPr>
        <w:t>תנאי</w:t>
      </w:r>
      <w:r w:rsidRPr="002B5E33">
        <w:rPr>
          <w:rFonts w:ascii="David" w:hAnsi="David"/>
          <w:sz w:val="24"/>
        </w:rPr>
        <w:t xml:space="preserve"> </w:t>
      </w:r>
      <w:r w:rsidRPr="002B5E33">
        <w:rPr>
          <w:rFonts w:ascii="David" w:hAnsi="David"/>
          <w:sz w:val="24"/>
          <w:rtl/>
        </w:rPr>
        <w:t>הביטוח</w:t>
      </w:r>
      <w:r w:rsidRPr="002B5E33">
        <w:rPr>
          <w:rFonts w:ascii="David" w:hAnsi="David"/>
          <w:sz w:val="24"/>
        </w:rPr>
        <w:t xml:space="preserve"> </w:t>
      </w:r>
      <w:r w:rsidRPr="002B5E33">
        <w:rPr>
          <w:rFonts w:ascii="David" w:hAnsi="David"/>
          <w:sz w:val="24"/>
          <w:rtl/>
        </w:rPr>
        <w:t>מראש</w:t>
      </w:r>
      <w:r w:rsidRPr="002B5E33">
        <w:rPr>
          <w:rFonts w:ascii="David" w:hAnsi="David"/>
          <w:sz w:val="24"/>
        </w:rPr>
        <w:t xml:space="preserve"> </w:t>
      </w:r>
      <w:r w:rsidRPr="002B5E33">
        <w:rPr>
          <w:rFonts w:ascii="David" w:hAnsi="David"/>
          <w:sz w:val="24"/>
          <w:rtl/>
        </w:rPr>
        <w:t>לכל</w:t>
      </w:r>
      <w:r w:rsidRPr="002B5E33">
        <w:rPr>
          <w:rFonts w:ascii="David" w:hAnsi="David"/>
          <w:sz w:val="24"/>
        </w:rPr>
        <w:t xml:space="preserve"> </w:t>
      </w:r>
      <w:r w:rsidRPr="002B5E33">
        <w:rPr>
          <w:rFonts w:ascii="David" w:hAnsi="David"/>
          <w:sz w:val="24"/>
          <w:rtl/>
        </w:rPr>
        <w:t>חיי</w:t>
      </w:r>
      <w:r w:rsidRPr="002B5E33">
        <w:rPr>
          <w:rFonts w:ascii="David" w:hAnsi="David"/>
          <w:sz w:val="24"/>
        </w:rPr>
        <w:t xml:space="preserve"> </w:t>
      </w:r>
      <w:r w:rsidRPr="002B5E33">
        <w:rPr>
          <w:rFonts w:ascii="David" w:hAnsi="David"/>
          <w:sz w:val="24"/>
          <w:rtl/>
        </w:rPr>
        <w:t>המבוטח</w:t>
      </w:r>
      <w:r w:rsidRPr="002B5E33">
        <w:rPr>
          <w:rFonts w:ascii="David" w:hAnsi="David"/>
          <w:sz w:val="24"/>
        </w:rPr>
        <w:t xml:space="preserve"> </w:t>
      </w:r>
      <w:r w:rsidRPr="002B5E33">
        <w:rPr>
          <w:rFonts w:ascii="David" w:hAnsi="David"/>
          <w:sz w:val="24"/>
          <w:rtl/>
        </w:rPr>
        <w:t>הוביל</w:t>
      </w:r>
      <w:r w:rsidRPr="002B5E33">
        <w:rPr>
          <w:rFonts w:ascii="David" w:hAnsi="David" w:hint="cs"/>
          <w:sz w:val="24"/>
          <w:rtl/>
        </w:rPr>
        <w:t>ה</w:t>
      </w:r>
      <w:r w:rsidRPr="002B5E33">
        <w:rPr>
          <w:rFonts w:ascii="David" w:hAnsi="David"/>
          <w:sz w:val="24"/>
        </w:rPr>
        <w:t xml:space="preserve"> </w:t>
      </w:r>
      <w:r w:rsidRPr="002B5E33">
        <w:rPr>
          <w:rFonts w:ascii="David" w:hAnsi="David"/>
          <w:sz w:val="24"/>
          <w:rtl/>
        </w:rPr>
        <w:t>לייקור</w:t>
      </w:r>
      <w:r w:rsidRPr="002B5E33">
        <w:rPr>
          <w:rFonts w:ascii="David" w:hAnsi="David"/>
          <w:sz w:val="24"/>
        </w:rPr>
        <w:t xml:space="preserve"> </w:t>
      </w:r>
      <w:r w:rsidRPr="002B5E33">
        <w:rPr>
          <w:rFonts w:ascii="David" w:hAnsi="David"/>
          <w:sz w:val="24"/>
          <w:rtl/>
        </w:rPr>
        <w:t>עלות</w:t>
      </w:r>
      <w:r w:rsidRPr="002B5E33">
        <w:rPr>
          <w:rFonts w:ascii="David" w:hAnsi="David"/>
          <w:sz w:val="24"/>
        </w:rPr>
        <w:t xml:space="preserve"> </w:t>
      </w:r>
      <w:r w:rsidRPr="002B5E33">
        <w:rPr>
          <w:rFonts w:ascii="David" w:hAnsi="David"/>
          <w:sz w:val="24"/>
          <w:rtl/>
        </w:rPr>
        <w:t>הביטוח</w:t>
      </w:r>
      <w:r w:rsidRPr="002B5E33">
        <w:rPr>
          <w:rFonts w:ascii="David" w:hAnsi="David"/>
          <w:sz w:val="24"/>
        </w:rPr>
        <w:t xml:space="preserve"> </w:t>
      </w:r>
      <w:r w:rsidRPr="002B5E33">
        <w:rPr>
          <w:rFonts w:ascii="David" w:hAnsi="David" w:hint="cs"/>
          <w:sz w:val="24"/>
          <w:rtl/>
        </w:rPr>
        <w:t>(</w:t>
      </w:r>
      <w:r w:rsidRPr="002B5E33">
        <w:rPr>
          <w:rFonts w:ascii="David" w:hAnsi="David"/>
          <w:sz w:val="24"/>
          <w:rtl/>
        </w:rPr>
        <w:t>על</w:t>
      </w:r>
      <w:r w:rsidRPr="002B5E33">
        <w:rPr>
          <w:rFonts w:ascii="David" w:hAnsi="David"/>
          <w:sz w:val="24"/>
        </w:rPr>
        <w:t xml:space="preserve"> </w:t>
      </w:r>
      <w:r w:rsidRPr="002B5E33">
        <w:rPr>
          <w:rFonts w:ascii="David" w:hAnsi="David"/>
          <w:sz w:val="24"/>
          <w:rtl/>
        </w:rPr>
        <w:t>מנת</w:t>
      </w:r>
      <w:r w:rsidRPr="002B5E33">
        <w:rPr>
          <w:rFonts w:ascii="David" w:hAnsi="David"/>
          <w:sz w:val="24"/>
        </w:rPr>
        <w:t xml:space="preserve"> </w:t>
      </w:r>
      <w:r w:rsidRPr="002B5E33">
        <w:rPr>
          <w:rFonts w:ascii="David" w:hAnsi="David"/>
          <w:sz w:val="24"/>
          <w:rtl/>
        </w:rPr>
        <w:t>לבסס</w:t>
      </w:r>
      <w:r w:rsidRPr="002B5E33">
        <w:rPr>
          <w:rFonts w:ascii="David" w:hAnsi="David"/>
          <w:sz w:val="24"/>
        </w:rPr>
        <w:t xml:space="preserve"> </w:t>
      </w:r>
      <w:r w:rsidRPr="002B5E33">
        <w:rPr>
          <w:rFonts w:ascii="David" w:hAnsi="David"/>
          <w:sz w:val="24"/>
          <w:rtl/>
        </w:rPr>
        <w:t>כריות</w:t>
      </w:r>
      <w:r w:rsidRPr="002B5E33">
        <w:rPr>
          <w:rFonts w:ascii="David" w:hAnsi="David"/>
          <w:sz w:val="24"/>
        </w:rPr>
        <w:t xml:space="preserve"> </w:t>
      </w:r>
      <w:r w:rsidRPr="002B5E33">
        <w:rPr>
          <w:rFonts w:ascii="David" w:hAnsi="David"/>
          <w:sz w:val="24"/>
          <w:rtl/>
        </w:rPr>
        <w:t>ביטחון</w:t>
      </w:r>
      <w:r w:rsidRPr="002B5E33">
        <w:rPr>
          <w:rFonts w:ascii="David" w:hAnsi="David"/>
          <w:sz w:val="24"/>
        </w:rPr>
        <w:t xml:space="preserve"> </w:t>
      </w:r>
      <w:r w:rsidRPr="002B5E33">
        <w:rPr>
          <w:rFonts w:ascii="David" w:hAnsi="David"/>
          <w:sz w:val="24"/>
          <w:rtl/>
        </w:rPr>
        <w:t>לסיכונים העלולים</w:t>
      </w:r>
      <w:r w:rsidRPr="002B5E33">
        <w:rPr>
          <w:rFonts w:ascii="David" w:hAnsi="David"/>
          <w:sz w:val="24"/>
        </w:rPr>
        <w:t xml:space="preserve"> </w:t>
      </w:r>
      <w:r w:rsidRPr="002B5E33">
        <w:rPr>
          <w:rFonts w:ascii="David" w:hAnsi="David"/>
          <w:sz w:val="24"/>
          <w:rtl/>
        </w:rPr>
        <w:t>להתפת</w:t>
      </w:r>
      <w:r w:rsidRPr="002B5E33">
        <w:rPr>
          <w:rFonts w:ascii="David" w:hAnsi="David" w:hint="eastAsia"/>
          <w:sz w:val="24"/>
          <w:rtl/>
        </w:rPr>
        <w:t>ח</w:t>
      </w:r>
      <w:r w:rsidRPr="002B5E33">
        <w:rPr>
          <w:rFonts w:ascii="David" w:hAnsi="David" w:hint="cs"/>
          <w:sz w:val="24"/>
          <w:rtl/>
        </w:rPr>
        <w:t>) ו</w:t>
      </w:r>
      <w:r w:rsidRPr="002B5E33">
        <w:rPr>
          <w:rFonts w:ascii="David" w:hAnsi="David" w:hint="eastAsia"/>
          <w:sz w:val="24"/>
          <w:rtl/>
        </w:rPr>
        <w:t>ל</w:t>
      </w:r>
      <w:r w:rsidRPr="002B5E33">
        <w:rPr>
          <w:rFonts w:ascii="David" w:hAnsi="David"/>
          <w:sz w:val="24"/>
          <w:rtl/>
        </w:rPr>
        <w:t>שיעור</w:t>
      </w:r>
      <w:r w:rsidRPr="002B5E33">
        <w:rPr>
          <w:rFonts w:ascii="David" w:hAnsi="David"/>
          <w:sz w:val="24"/>
        </w:rPr>
        <w:t xml:space="preserve"> </w:t>
      </w:r>
      <w:r w:rsidRPr="002B5E33">
        <w:rPr>
          <w:rFonts w:ascii="David" w:hAnsi="David"/>
          <w:sz w:val="24"/>
          <w:rtl/>
        </w:rPr>
        <w:t>החזר</w:t>
      </w:r>
      <w:r w:rsidRPr="002B5E33">
        <w:rPr>
          <w:rFonts w:ascii="David" w:hAnsi="David"/>
          <w:sz w:val="24"/>
        </w:rPr>
        <w:t xml:space="preserve"> </w:t>
      </w:r>
      <w:r w:rsidRPr="002B5E33">
        <w:rPr>
          <w:rFonts w:ascii="David" w:hAnsi="David"/>
          <w:sz w:val="24"/>
          <w:rtl/>
        </w:rPr>
        <w:t>נמוך</w:t>
      </w:r>
      <w:r w:rsidRPr="002B5E33">
        <w:rPr>
          <w:rFonts w:ascii="David" w:hAnsi="David"/>
          <w:sz w:val="24"/>
        </w:rPr>
        <w:t xml:space="preserve"> </w:t>
      </w:r>
      <w:r w:rsidRPr="002B5E33">
        <w:rPr>
          <w:rFonts w:ascii="David" w:hAnsi="David"/>
          <w:sz w:val="24"/>
          <w:rtl/>
        </w:rPr>
        <w:t>למבוטח</w:t>
      </w:r>
      <w:r>
        <w:rPr>
          <w:rStyle w:val="FootnoteReference"/>
          <w:rFonts w:ascii="David" w:hAnsi="David"/>
          <w:sz w:val="24"/>
          <w:rtl/>
        </w:rPr>
        <w:footnoteReference w:id="75"/>
      </w:r>
      <w:r w:rsidRPr="002B5E33">
        <w:rPr>
          <w:rFonts w:ascii="David" w:hAnsi="David"/>
          <w:sz w:val="24"/>
          <w:rtl/>
        </w:rPr>
        <w:t>.</w:t>
      </w:r>
      <w:r w:rsidRPr="002B5E33">
        <w:rPr>
          <w:rFonts w:ascii="David" w:hAnsi="David"/>
          <w:rtl/>
        </w:rPr>
        <w:t xml:space="preserve"> </w:t>
      </w:r>
    </w:p>
    <w:p w:rsidR="00B132F4" w:rsidRPr="002B5E33" w:rsidP="00ED5C0D">
      <w:pPr>
        <w:pStyle w:val="a"/>
        <w:spacing w:line="269" w:lineRule="auto"/>
        <w:rPr>
          <w:rtl/>
        </w:rPr>
      </w:pPr>
    </w:p>
    <w:p w:rsidR="00B132F4" w:rsidRPr="002B5E33" w:rsidP="00ED5C0D">
      <w:pPr>
        <w:spacing w:line="269" w:lineRule="auto"/>
        <w:rPr>
          <w:rFonts w:ascii="David" w:hAnsi="David"/>
          <w:sz w:val="24"/>
        </w:rPr>
      </w:pPr>
      <w:r w:rsidRPr="002B5E33">
        <w:rPr>
          <w:rFonts w:ascii="David" w:hAnsi="David" w:hint="cs"/>
          <w:sz w:val="24"/>
          <w:rtl/>
        </w:rPr>
        <w:t xml:space="preserve">ועדת גרמן </w:t>
      </w:r>
      <w:r w:rsidRPr="002B5E33">
        <w:rPr>
          <w:rFonts w:ascii="David" w:hAnsi="David"/>
          <w:sz w:val="24"/>
          <w:rtl/>
        </w:rPr>
        <w:t xml:space="preserve">ראתה </w:t>
      </w:r>
      <w:r w:rsidRPr="002B5E33">
        <w:rPr>
          <w:rFonts w:ascii="David" w:hAnsi="David" w:hint="cs"/>
          <w:sz w:val="24"/>
          <w:rtl/>
        </w:rPr>
        <w:t xml:space="preserve">אף היא את הצורך בביצוע </w:t>
      </w:r>
      <w:r w:rsidRPr="002B5E33">
        <w:rPr>
          <w:rFonts w:ascii="David" w:hAnsi="David" w:hint="eastAsia"/>
          <w:sz w:val="24"/>
          <w:rtl/>
        </w:rPr>
        <w:t>האחדה</w:t>
      </w:r>
      <w:r w:rsidRPr="002B5E33">
        <w:rPr>
          <w:rFonts w:ascii="David" w:hAnsi="David"/>
          <w:sz w:val="24"/>
          <w:rtl/>
        </w:rPr>
        <w:t xml:space="preserve"> וקיצור </w:t>
      </w:r>
      <w:r w:rsidRPr="002B5E33">
        <w:rPr>
          <w:rFonts w:ascii="David" w:hAnsi="David" w:hint="cs"/>
          <w:sz w:val="24"/>
          <w:rtl/>
        </w:rPr>
        <w:t xml:space="preserve">של </w:t>
      </w:r>
      <w:r w:rsidRPr="002B5E33">
        <w:rPr>
          <w:rFonts w:ascii="David" w:hAnsi="David" w:hint="eastAsia"/>
          <w:sz w:val="24"/>
          <w:rtl/>
        </w:rPr>
        <w:t>פוליס</w:t>
      </w:r>
      <w:r w:rsidRPr="002B5E33">
        <w:rPr>
          <w:rFonts w:ascii="David" w:hAnsi="David" w:hint="cs"/>
          <w:sz w:val="24"/>
          <w:rtl/>
        </w:rPr>
        <w:t>ת הפרט בתחום ביטוחי הבריאות</w:t>
      </w:r>
      <w:r w:rsidRPr="002B5E33">
        <w:rPr>
          <w:rFonts w:ascii="David" w:hAnsi="David"/>
          <w:sz w:val="24"/>
          <w:rtl/>
        </w:rPr>
        <w:t xml:space="preserve">, </w:t>
      </w:r>
      <w:r w:rsidRPr="002B5E33">
        <w:rPr>
          <w:rFonts w:ascii="David" w:hAnsi="David" w:hint="cs"/>
          <w:sz w:val="24"/>
          <w:rtl/>
        </w:rPr>
        <w:t xml:space="preserve">לשם הגברת </w:t>
      </w:r>
      <w:r w:rsidRPr="002B5E33">
        <w:rPr>
          <w:rFonts w:ascii="David" w:hAnsi="David" w:hint="eastAsia"/>
          <w:sz w:val="24"/>
          <w:rtl/>
        </w:rPr>
        <w:t>התחרות</w:t>
      </w:r>
      <w:r w:rsidRPr="002B5E33">
        <w:rPr>
          <w:rFonts w:ascii="David" w:hAnsi="David" w:hint="cs"/>
          <w:sz w:val="24"/>
          <w:rtl/>
        </w:rPr>
        <w:t>, ה</w:t>
      </w:r>
      <w:r w:rsidRPr="002B5E33">
        <w:rPr>
          <w:rFonts w:ascii="David" w:hAnsi="David" w:hint="eastAsia"/>
          <w:sz w:val="24"/>
          <w:rtl/>
        </w:rPr>
        <w:t>פח</w:t>
      </w:r>
      <w:r w:rsidRPr="002B5E33">
        <w:rPr>
          <w:rFonts w:ascii="David" w:hAnsi="David" w:hint="cs"/>
          <w:sz w:val="24"/>
          <w:rtl/>
        </w:rPr>
        <w:t>ת</w:t>
      </w:r>
      <w:r w:rsidRPr="002B5E33">
        <w:rPr>
          <w:rFonts w:ascii="David" w:hAnsi="David" w:hint="eastAsia"/>
          <w:sz w:val="24"/>
          <w:rtl/>
        </w:rPr>
        <w:t>ת</w:t>
      </w:r>
      <w:r w:rsidRPr="002B5E33">
        <w:rPr>
          <w:rFonts w:ascii="David" w:hAnsi="David"/>
          <w:sz w:val="24"/>
          <w:rtl/>
        </w:rPr>
        <w:t xml:space="preserve"> </w:t>
      </w:r>
      <w:r w:rsidRPr="002B5E33">
        <w:rPr>
          <w:rFonts w:ascii="David" w:hAnsi="David" w:hint="eastAsia"/>
          <w:sz w:val="24"/>
          <w:rtl/>
        </w:rPr>
        <w:t>הפרמי</w:t>
      </w:r>
      <w:r w:rsidRPr="002B5E33">
        <w:rPr>
          <w:rFonts w:ascii="David" w:hAnsi="David" w:hint="cs"/>
          <w:sz w:val="24"/>
          <w:rtl/>
        </w:rPr>
        <w:t>ות</w:t>
      </w:r>
      <w:r w:rsidRPr="002B5E33">
        <w:rPr>
          <w:rFonts w:ascii="David" w:hAnsi="David"/>
          <w:sz w:val="24"/>
          <w:rtl/>
        </w:rPr>
        <w:t xml:space="preserve"> ו</w:t>
      </w:r>
      <w:r w:rsidRPr="002B5E33">
        <w:rPr>
          <w:rFonts w:ascii="David" w:hAnsi="David" w:hint="cs"/>
          <w:sz w:val="24"/>
          <w:rtl/>
        </w:rPr>
        <w:t>ה</w:t>
      </w:r>
      <w:r w:rsidRPr="002B5E33">
        <w:rPr>
          <w:rFonts w:ascii="David" w:hAnsi="David" w:hint="eastAsia"/>
          <w:sz w:val="24"/>
          <w:rtl/>
        </w:rPr>
        <w:t>גדל</w:t>
      </w:r>
      <w:r w:rsidRPr="002B5E33">
        <w:rPr>
          <w:rFonts w:ascii="David" w:hAnsi="David" w:hint="cs"/>
          <w:sz w:val="24"/>
          <w:rtl/>
        </w:rPr>
        <w:t>ת</w:t>
      </w:r>
      <w:r w:rsidRPr="002B5E33">
        <w:rPr>
          <w:rFonts w:ascii="David" w:hAnsi="David"/>
          <w:sz w:val="24"/>
          <w:rtl/>
        </w:rPr>
        <w:t xml:space="preserve"> שיעור ההחזר למבוטחים. על כן המליצה הוועדה על פעולות </w:t>
      </w:r>
      <w:r w:rsidRPr="002B5E33">
        <w:rPr>
          <w:rFonts w:ascii="David" w:hAnsi="David" w:hint="cs"/>
          <w:sz w:val="24"/>
          <w:rtl/>
        </w:rPr>
        <w:t>אלה</w:t>
      </w:r>
      <w:r w:rsidRPr="002B5E33">
        <w:rPr>
          <w:rFonts w:ascii="David" w:hAnsi="David"/>
          <w:sz w:val="24"/>
          <w:rtl/>
        </w:rPr>
        <w:t xml:space="preserve"> ואף המליצה כי רשות שוק ההון תבחן את שיעור ההחזר לאחר הרפורמה ותב</w:t>
      </w:r>
      <w:r w:rsidRPr="002B5E33">
        <w:rPr>
          <w:rFonts w:ascii="David" w:hAnsi="David" w:hint="cs"/>
          <w:sz w:val="24"/>
          <w:rtl/>
        </w:rPr>
        <w:t xml:space="preserve">דוק דרכי התערבות </w:t>
      </w:r>
      <w:r w:rsidRPr="002B5E33">
        <w:rPr>
          <w:rFonts w:ascii="David" w:hAnsi="David"/>
          <w:sz w:val="24"/>
          <w:rtl/>
        </w:rPr>
        <w:t>בהתאם לממצאים שיעלו</w:t>
      </w:r>
      <w:r w:rsidRPr="002B5E33">
        <w:rPr>
          <w:rFonts w:ascii="David" w:hAnsi="David" w:hint="cs"/>
          <w:sz w:val="24"/>
          <w:rtl/>
        </w:rPr>
        <w:t>.</w:t>
      </w:r>
      <w:r w:rsidRPr="002B5E33">
        <w:rPr>
          <w:rFonts w:ascii="David" w:hAnsi="David"/>
          <w:sz w:val="24"/>
          <w:rtl/>
        </w:rPr>
        <w:t xml:space="preserve"> </w:t>
      </w:r>
    </w:p>
    <w:p w:rsidR="00B132F4" w:rsidRPr="002B5E33" w:rsidP="00ED5C0D">
      <w:pPr>
        <w:spacing w:line="269" w:lineRule="auto"/>
        <w:rPr>
          <w:rFonts w:ascii="David" w:hAnsi="David"/>
          <w:sz w:val="24"/>
          <w:rtl/>
        </w:rPr>
      </w:pPr>
    </w:p>
    <w:p w:rsidR="0078749E" w:rsidP="00ED5C0D">
      <w:pPr>
        <w:spacing w:line="269" w:lineRule="auto"/>
        <w:rPr>
          <w:rFonts w:ascii="David" w:hAnsi="David"/>
          <w:sz w:val="24"/>
          <w:rtl/>
        </w:rPr>
      </w:pPr>
    </w:p>
    <w:p w:rsidR="00B132F4" w:rsidRPr="002B5E33" w:rsidP="00ED5C0D">
      <w:pPr>
        <w:spacing w:line="269" w:lineRule="auto"/>
        <w:rPr>
          <w:rFonts w:ascii="David" w:hAnsi="David"/>
          <w:sz w:val="24"/>
          <w:rtl/>
        </w:rPr>
      </w:pPr>
      <w:r w:rsidRPr="002B5E33">
        <w:rPr>
          <w:rFonts w:ascii="David" w:hAnsi="David"/>
          <w:sz w:val="24"/>
          <w:rtl/>
        </w:rPr>
        <w:t>ניתן לחלק את הפעולות שב</w:t>
      </w:r>
      <w:r w:rsidRPr="002B5E33">
        <w:rPr>
          <w:rFonts w:ascii="David" w:hAnsi="David" w:hint="cs"/>
          <w:sz w:val="24"/>
          <w:rtl/>
        </w:rPr>
        <w:t xml:space="preserve">יצעה </w:t>
      </w:r>
      <w:r w:rsidRPr="002B5E33">
        <w:rPr>
          <w:rFonts w:ascii="David" w:hAnsi="David"/>
          <w:sz w:val="24"/>
          <w:rtl/>
        </w:rPr>
        <w:t xml:space="preserve">הרשות במסגרת הרפורמה לשני תחומים עיקריים: </w:t>
      </w:r>
    </w:p>
    <w:p w:rsidR="00B132F4" w:rsidRPr="002B5E33" w:rsidP="00ED5C0D">
      <w:pPr>
        <w:pStyle w:val="a"/>
        <w:spacing w:line="269" w:lineRule="auto"/>
        <w:rPr>
          <w:rtl/>
        </w:rPr>
      </w:pPr>
    </w:p>
    <w:p w:rsidR="00B132F4" w:rsidRPr="002B5E33" w:rsidP="00C458CA">
      <w:pPr>
        <w:pStyle w:val="Heading5"/>
        <w:numPr>
          <w:ilvl w:val="0"/>
          <w:numId w:val="1"/>
        </w:numPr>
        <w:spacing w:line="269" w:lineRule="auto"/>
        <w:rPr>
          <w:rtl/>
        </w:rPr>
      </w:pPr>
      <w:r w:rsidRPr="002B5E33">
        <w:rPr>
          <w:rtl/>
        </w:rPr>
        <w:t xml:space="preserve">פעולות </w:t>
      </w:r>
      <w:r w:rsidRPr="002B5E33">
        <w:rPr>
          <w:rFonts w:hint="cs"/>
          <w:rtl/>
        </w:rPr>
        <w:t>לפישוט</w:t>
      </w:r>
      <w:r w:rsidRPr="002B5E33">
        <w:rPr>
          <w:rtl/>
        </w:rPr>
        <w:t xml:space="preserve"> המוצרים והפיכתם למוצרי</w:t>
      </w:r>
      <w:r w:rsidRPr="002B5E33">
        <w:rPr>
          <w:rFonts w:hint="cs"/>
          <w:rtl/>
        </w:rPr>
        <w:t>ם</w:t>
      </w:r>
      <w:r w:rsidRPr="002B5E33">
        <w:rPr>
          <w:rtl/>
        </w:rPr>
        <w:t xml:space="preserve"> ב</w:t>
      </w:r>
      <w:r w:rsidRPr="002B5E33">
        <w:rPr>
          <w:rFonts w:hint="cs"/>
          <w:rtl/>
        </w:rPr>
        <w:t>ני</w:t>
      </w:r>
      <w:r w:rsidRPr="002B5E33">
        <w:rPr>
          <w:rtl/>
        </w:rPr>
        <w:t xml:space="preserve"> השוואה ותחליפיים</w:t>
      </w:r>
    </w:p>
    <w:p w:rsidR="00B132F4" w:rsidRPr="002B5E33" w:rsidP="003C14C0">
      <w:pPr>
        <w:pStyle w:val="a"/>
        <w:rPr>
          <w:rtl/>
        </w:rPr>
      </w:pPr>
    </w:p>
    <w:p w:rsidR="003C14C0" w:rsidRPr="00F174CB" w:rsidP="00F174CB">
      <w:pPr>
        <w:pStyle w:val="ListParagraph"/>
        <w:numPr>
          <w:ilvl w:val="1"/>
          <w:numId w:val="1"/>
        </w:numPr>
        <w:spacing w:after="0" w:line="269" w:lineRule="auto"/>
        <w:jc w:val="both"/>
        <w:rPr>
          <w:rFonts w:ascii="David" w:hAnsi="David" w:cs="David"/>
          <w:sz w:val="24"/>
          <w:szCs w:val="24"/>
        </w:rPr>
      </w:pPr>
      <w:r w:rsidRPr="002B5E33">
        <w:rPr>
          <w:rStyle w:val="6"/>
          <w:rFonts w:cs="David"/>
          <w:sz w:val="24"/>
          <w:szCs w:val="24"/>
          <w:rtl/>
        </w:rPr>
        <w:t>קביעת כיסוי אחיד בת</w:t>
      </w:r>
      <w:r w:rsidRPr="002B5E33">
        <w:rPr>
          <w:rStyle w:val="6"/>
          <w:rFonts w:cs="David" w:hint="cs"/>
          <w:sz w:val="24"/>
          <w:szCs w:val="24"/>
          <w:rtl/>
        </w:rPr>
        <w:t>ו</w:t>
      </w:r>
      <w:r w:rsidRPr="002B5E33">
        <w:rPr>
          <w:rStyle w:val="6"/>
          <w:rFonts w:cs="David"/>
          <w:sz w:val="24"/>
          <w:szCs w:val="24"/>
          <w:rtl/>
        </w:rPr>
        <w:t>כניות לניתוחים פרטיים בישראל</w:t>
      </w:r>
      <w:r w:rsidR="00C458CA">
        <w:rPr>
          <w:rFonts w:ascii="David" w:hAnsi="David" w:cs="David" w:hint="cs"/>
          <w:b/>
          <w:bCs/>
          <w:sz w:val="24"/>
          <w:szCs w:val="24"/>
          <w:rtl/>
        </w:rPr>
        <w:t>:</w:t>
      </w:r>
      <w:r w:rsidRPr="002B5E33">
        <w:rPr>
          <w:rFonts w:ascii="David" w:hAnsi="David" w:cs="David"/>
          <w:b/>
          <w:bCs/>
          <w:sz w:val="24"/>
          <w:szCs w:val="24"/>
          <w:rtl/>
        </w:rPr>
        <w:t xml:space="preserve"> </w:t>
      </w:r>
      <w:r w:rsidRPr="002B5E33">
        <w:rPr>
          <w:rFonts w:ascii="David" w:hAnsi="David" w:cs="David"/>
          <w:sz w:val="24"/>
          <w:szCs w:val="24"/>
          <w:rtl/>
        </w:rPr>
        <w:t>הפוליסה האחידה כללה את עיקר הכיסויים הנוגעים לניתוחים ולתחליפי ניתוח (לדוגמה התייעצויות עם מומחים).</w:t>
      </w:r>
    </w:p>
    <w:p w:rsidR="00B132F4" w:rsidRPr="002B5E33" w:rsidP="00ED5C0D">
      <w:pPr>
        <w:pStyle w:val="a"/>
        <w:spacing w:line="269" w:lineRule="auto"/>
      </w:pPr>
    </w:p>
    <w:p w:rsidR="00B132F4" w:rsidRPr="002B5E33" w:rsidP="00C458CA">
      <w:pPr>
        <w:pStyle w:val="ListParagraph"/>
        <w:numPr>
          <w:ilvl w:val="1"/>
          <w:numId w:val="1"/>
        </w:numPr>
        <w:spacing w:after="0" w:line="269" w:lineRule="auto"/>
        <w:jc w:val="both"/>
        <w:rPr>
          <w:rFonts w:ascii="David" w:hAnsi="David" w:cs="David"/>
        </w:rPr>
      </w:pPr>
      <w:r w:rsidRPr="002B5E33">
        <w:rPr>
          <w:rStyle w:val="6"/>
          <w:rFonts w:cs="David"/>
          <w:sz w:val="24"/>
          <w:szCs w:val="24"/>
          <w:rtl/>
        </w:rPr>
        <w:t xml:space="preserve">פוליסה </w:t>
      </w:r>
      <w:r w:rsidRPr="002B5E33">
        <w:rPr>
          <w:rStyle w:val="6"/>
          <w:rFonts w:cs="David" w:hint="cs"/>
          <w:sz w:val="24"/>
          <w:szCs w:val="24"/>
          <w:rtl/>
        </w:rPr>
        <w:t>ה</w:t>
      </w:r>
      <w:r w:rsidRPr="002B5E33">
        <w:rPr>
          <w:rStyle w:val="6"/>
          <w:rFonts w:cs="David"/>
          <w:sz w:val="24"/>
          <w:szCs w:val="24"/>
          <w:rtl/>
        </w:rPr>
        <w:t>מתחדשת מאליה אחת לשנתיים</w:t>
      </w:r>
      <w:r w:rsidR="00C458CA">
        <w:rPr>
          <w:rFonts w:ascii="David" w:hAnsi="David" w:cs="David" w:hint="cs"/>
          <w:b/>
          <w:bCs/>
          <w:sz w:val="24"/>
          <w:szCs w:val="24"/>
          <w:rtl/>
        </w:rPr>
        <w:t>:</w:t>
      </w:r>
      <w:r w:rsidRPr="002B5E33">
        <w:rPr>
          <w:rFonts w:ascii="David" w:hAnsi="David" w:cs="David"/>
          <w:sz w:val="24"/>
          <w:szCs w:val="24"/>
          <w:rtl/>
        </w:rPr>
        <w:t xml:space="preserve"> נקבע כי ביטוחי הבריאות</w:t>
      </w:r>
      <w:r>
        <w:rPr>
          <w:rStyle w:val="FootnoteReference"/>
          <w:rFonts w:ascii="David" w:hAnsi="David" w:cs="David"/>
          <w:sz w:val="24"/>
          <w:szCs w:val="24"/>
          <w:rtl/>
        </w:rPr>
        <w:footnoteReference w:id="76"/>
      </w:r>
      <w:r w:rsidRPr="002B5E33">
        <w:rPr>
          <w:rFonts w:ascii="David" w:hAnsi="David" w:cs="David"/>
          <w:sz w:val="24"/>
          <w:szCs w:val="24"/>
          <w:rtl/>
        </w:rPr>
        <w:t xml:space="preserve"> יתחדשו מאליהם אחת לשנתיים לכלל המבוטחים בביטוחים אלו, ללא בחינה מחודשת של </w:t>
      </w:r>
      <w:r w:rsidRPr="002B5E33">
        <w:rPr>
          <w:rFonts w:ascii="David" w:hAnsi="David" w:cs="David" w:hint="cs"/>
          <w:sz w:val="24"/>
          <w:szCs w:val="24"/>
          <w:rtl/>
        </w:rPr>
        <w:t>ה</w:t>
      </w:r>
      <w:r w:rsidRPr="002B5E33">
        <w:rPr>
          <w:rFonts w:ascii="David" w:hAnsi="David" w:cs="David"/>
          <w:sz w:val="24"/>
          <w:szCs w:val="24"/>
          <w:rtl/>
        </w:rPr>
        <w:t xml:space="preserve">מצב </w:t>
      </w:r>
      <w:r w:rsidRPr="002B5E33">
        <w:rPr>
          <w:rFonts w:ascii="David" w:hAnsi="David" w:cs="David" w:hint="cs"/>
          <w:sz w:val="24"/>
          <w:szCs w:val="24"/>
          <w:rtl/>
        </w:rPr>
        <w:t>ה</w:t>
      </w:r>
      <w:r w:rsidRPr="002B5E33">
        <w:rPr>
          <w:rFonts w:ascii="David" w:hAnsi="David" w:cs="David"/>
          <w:sz w:val="24"/>
          <w:szCs w:val="24"/>
          <w:rtl/>
        </w:rPr>
        <w:t>רפואי בעת החידוש ותוך עדכון התנאים בביטוחים אלו לתנאים העדכניים המשווקים על ידי חברת הביטוח באותה העת, אם נדרש.</w:t>
      </w:r>
    </w:p>
    <w:p w:rsidR="00B132F4" w:rsidRPr="002B5E33" w:rsidP="00ED5C0D">
      <w:pPr>
        <w:pStyle w:val="a"/>
        <w:spacing w:line="269" w:lineRule="auto"/>
      </w:pPr>
    </w:p>
    <w:p w:rsidR="00B132F4" w:rsidRPr="009C255D" w:rsidP="00CC7255">
      <w:pPr>
        <w:pStyle w:val="ListParagraph"/>
        <w:numPr>
          <w:ilvl w:val="1"/>
          <w:numId w:val="1"/>
        </w:numPr>
        <w:spacing w:after="0" w:line="269" w:lineRule="auto"/>
        <w:jc w:val="both"/>
        <w:rPr>
          <w:rFonts w:ascii="David" w:hAnsi="David" w:cs="David"/>
          <w:sz w:val="24"/>
          <w:szCs w:val="24"/>
        </w:rPr>
      </w:pPr>
      <w:r w:rsidRPr="009C255D">
        <w:rPr>
          <w:rStyle w:val="6"/>
          <w:rFonts w:ascii="David" w:hAnsi="David" w:cs="David"/>
          <w:sz w:val="24"/>
          <w:szCs w:val="24"/>
          <w:rtl/>
        </w:rPr>
        <w:t>הפרדת הכיסויים הביטוחיים (</w:t>
      </w:r>
      <w:r w:rsidRPr="009C255D">
        <w:rPr>
          <w:rStyle w:val="6"/>
          <w:rFonts w:ascii="David" w:hAnsi="David" w:cs="David"/>
          <w:sz w:val="24"/>
          <w:szCs w:val="24"/>
        </w:rPr>
        <w:t>unbundling</w:t>
      </w:r>
      <w:r w:rsidRPr="009C255D">
        <w:rPr>
          <w:rStyle w:val="6"/>
          <w:rFonts w:ascii="David" w:hAnsi="David" w:cs="David"/>
          <w:sz w:val="24"/>
          <w:szCs w:val="24"/>
          <w:rtl/>
        </w:rPr>
        <w:t>)</w:t>
      </w:r>
      <w:r w:rsidRPr="009C255D" w:rsidR="00C458CA">
        <w:rPr>
          <w:rFonts w:ascii="David" w:hAnsi="David" w:cs="David"/>
          <w:b/>
          <w:bCs/>
          <w:sz w:val="24"/>
          <w:szCs w:val="24"/>
          <w:rtl/>
        </w:rPr>
        <w:t>:</w:t>
      </w:r>
      <w:r w:rsidRPr="009C255D" w:rsidR="00284424">
        <w:rPr>
          <w:rFonts w:ascii="David" w:hAnsi="David" w:cs="David"/>
          <w:b/>
          <w:bCs/>
          <w:sz w:val="24"/>
          <w:szCs w:val="24"/>
          <w:rtl/>
        </w:rPr>
        <w:t xml:space="preserve"> </w:t>
      </w:r>
      <w:r w:rsidRPr="009C255D">
        <w:rPr>
          <w:rFonts w:ascii="David" w:hAnsi="David" w:cs="David"/>
          <w:sz w:val="24"/>
          <w:szCs w:val="24"/>
          <w:rtl/>
        </w:rPr>
        <w:t>מתן אפשרות לצרכן להצטרף לכל כיסוי בנפרד, ללא תלות בכיסויים אחרים, וזאת לאחר שהוצגה לו העלות של כל כיסוי בנפרד.</w:t>
      </w:r>
    </w:p>
    <w:p w:rsidR="00B132F4" w:rsidRPr="009C255D" w:rsidP="00ED5C0D">
      <w:pPr>
        <w:pStyle w:val="a"/>
        <w:spacing w:line="269" w:lineRule="auto"/>
        <w:rPr>
          <w:rFonts w:ascii="David" w:hAnsi="David"/>
        </w:rPr>
      </w:pPr>
    </w:p>
    <w:p w:rsidR="00B132F4" w:rsidRPr="009C255D" w:rsidP="00ED5C0D">
      <w:pPr>
        <w:pStyle w:val="Heading5"/>
        <w:numPr>
          <w:ilvl w:val="0"/>
          <w:numId w:val="1"/>
        </w:numPr>
        <w:spacing w:line="269" w:lineRule="auto"/>
        <w:rPr>
          <w:rFonts w:ascii="David" w:hAnsi="David"/>
          <w:rtl/>
        </w:rPr>
      </w:pPr>
      <w:r w:rsidRPr="009C255D">
        <w:rPr>
          <w:rFonts w:ascii="David" w:hAnsi="David"/>
          <w:rtl/>
        </w:rPr>
        <w:t>הנגשת המידע הרלוונטי למבוטח</w:t>
      </w:r>
    </w:p>
    <w:p w:rsidR="00B132F4" w:rsidRPr="009C255D" w:rsidP="003C14C0">
      <w:pPr>
        <w:pStyle w:val="a"/>
        <w:rPr>
          <w:rFonts w:ascii="David" w:hAnsi="David"/>
          <w:rtl/>
        </w:rPr>
      </w:pPr>
    </w:p>
    <w:p w:rsidR="00B132F4" w:rsidRPr="009C255D" w:rsidP="00C458CA">
      <w:pPr>
        <w:pStyle w:val="ListParagraph"/>
        <w:numPr>
          <w:ilvl w:val="1"/>
          <w:numId w:val="1"/>
        </w:numPr>
        <w:spacing w:after="0" w:line="269" w:lineRule="auto"/>
        <w:jc w:val="both"/>
        <w:rPr>
          <w:rFonts w:ascii="David" w:hAnsi="David" w:cs="David"/>
          <w:sz w:val="24"/>
          <w:szCs w:val="24"/>
        </w:rPr>
      </w:pPr>
      <w:r w:rsidRPr="009C255D">
        <w:rPr>
          <w:rStyle w:val="6"/>
          <w:rFonts w:ascii="David" w:hAnsi="David" w:cs="David"/>
          <w:sz w:val="24"/>
          <w:szCs w:val="24"/>
          <w:rtl/>
        </w:rPr>
        <w:t>מחשבון אינטרנטי להשוואת ביטוחי בריאות</w:t>
      </w:r>
      <w:r w:rsidRPr="009C255D" w:rsidR="00C458CA">
        <w:rPr>
          <w:rFonts w:ascii="David" w:hAnsi="David" w:cs="David"/>
          <w:b/>
          <w:bCs/>
          <w:sz w:val="24"/>
          <w:szCs w:val="24"/>
          <w:rtl/>
        </w:rPr>
        <w:t xml:space="preserve">: </w:t>
      </w:r>
      <w:r w:rsidRPr="009C255D">
        <w:rPr>
          <w:rFonts w:ascii="David" w:hAnsi="David" w:cs="David"/>
          <w:sz w:val="24"/>
          <w:szCs w:val="24"/>
          <w:rtl/>
        </w:rPr>
        <w:t>המחשבון מאפשר השוואה של עיקרי הכיסויים הנמכרים במסגרת ביטוחי בריאות, בין כל חברות הביטוח המשווקות כיסויים אלו. המחשבון כולל השוואה של עלותם של ביטוחי השתלות, תרופות וניתוחים בנפרד ובחבילה, וכן של הציון של כל חברת הביטוח במדד השירות שלה.</w:t>
      </w:r>
    </w:p>
    <w:p w:rsidR="00B132F4" w:rsidRPr="009C255D" w:rsidP="00ED5C0D">
      <w:pPr>
        <w:pStyle w:val="a"/>
        <w:spacing w:line="269" w:lineRule="auto"/>
        <w:rPr>
          <w:rFonts w:ascii="David" w:hAnsi="David"/>
        </w:rPr>
      </w:pPr>
    </w:p>
    <w:p w:rsidR="00B132F4" w:rsidRPr="009C255D" w:rsidP="00713415">
      <w:pPr>
        <w:pStyle w:val="ListParagraph"/>
        <w:numPr>
          <w:ilvl w:val="1"/>
          <w:numId w:val="1"/>
        </w:numPr>
        <w:spacing w:after="0" w:line="269" w:lineRule="auto"/>
        <w:jc w:val="both"/>
        <w:rPr>
          <w:rFonts w:ascii="David" w:hAnsi="David" w:cs="David"/>
          <w:b/>
          <w:bCs/>
          <w:sz w:val="24"/>
          <w:szCs w:val="24"/>
        </w:rPr>
      </w:pPr>
      <w:r w:rsidRPr="009C255D">
        <w:rPr>
          <w:rStyle w:val="6"/>
          <w:rFonts w:ascii="David" w:hAnsi="David" w:cs="David"/>
          <w:sz w:val="24"/>
          <w:szCs w:val="24"/>
          <w:rtl/>
        </w:rPr>
        <w:t>אחזור מידע, "הר הביטוח" ושיפור הדיווחים למבוטח</w:t>
      </w:r>
      <w:r w:rsidRPr="009C255D" w:rsidR="00713415">
        <w:rPr>
          <w:rFonts w:ascii="David" w:hAnsi="David" w:cs="David"/>
          <w:b/>
          <w:bCs/>
          <w:sz w:val="24"/>
          <w:szCs w:val="24"/>
          <w:rtl/>
        </w:rPr>
        <w:t>:</w:t>
      </w:r>
      <w:r w:rsidRPr="009C255D" w:rsidR="00713415">
        <w:rPr>
          <w:rFonts w:ascii="David" w:hAnsi="David" w:cs="David"/>
          <w:sz w:val="24"/>
          <w:szCs w:val="24"/>
          <w:rtl/>
        </w:rPr>
        <w:t xml:space="preserve"> </w:t>
      </w:r>
      <w:r w:rsidRPr="009C255D">
        <w:rPr>
          <w:rFonts w:ascii="David" w:hAnsi="David" w:cs="David"/>
          <w:sz w:val="24"/>
          <w:szCs w:val="24"/>
          <w:rtl/>
        </w:rPr>
        <w:t>הרשות פעלה בכמה דרכים כדי להנגיש את המידע הרלוונטי למבוטחים. באמצעות כניסה לאתר "הר הביטוח" ניתן לאחזר מידע אישי הנוגע לפוליסות הקיימות של המבוטח וכן להשוות למוצרי ביטוח תחליפיים.</w:t>
      </w:r>
    </w:p>
    <w:p w:rsidR="00B132F4" w:rsidRPr="009C255D" w:rsidP="00ED5C0D">
      <w:pPr>
        <w:pStyle w:val="a"/>
        <w:spacing w:line="269" w:lineRule="auto"/>
        <w:rPr>
          <w:rFonts w:ascii="David" w:hAnsi="David"/>
        </w:rPr>
      </w:pPr>
    </w:p>
    <w:p w:rsidR="00B132F4" w:rsidRPr="009C255D" w:rsidP="00713415">
      <w:pPr>
        <w:pStyle w:val="ListParagraph"/>
        <w:numPr>
          <w:ilvl w:val="1"/>
          <w:numId w:val="1"/>
        </w:numPr>
        <w:spacing w:after="0" w:line="269" w:lineRule="auto"/>
        <w:jc w:val="both"/>
        <w:rPr>
          <w:rFonts w:ascii="David" w:hAnsi="David" w:cs="David"/>
          <w:b/>
          <w:bCs/>
        </w:rPr>
      </w:pPr>
      <w:r w:rsidRPr="009C255D">
        <w:rPr>
          <w:rStyle w:val="6"/>
          <w:rFonts w:ascii="David" w:hAnsi="David" w:cs="David"/>
          <w:sz w:val="24"/>
          <w:szCs w:val="24"/>
          <w:rtl/>
        </w:rPr>
        <w:t>פרסום מדדי שירות</w:t>
      </w:r>
      <w:r w:rsidRPr="009C255D" w:rsidR="00713415">
        <w:rPr>
          <w:rFonts w:ascii="David" w:hAnsi="David" w:cs="David"/>
          <w:b/>
          <w:bCs/>
          <w:sz w:val="24"/>
          <w:szCs w:val="24"/>
          <w:rtl/>
        </w:rPr>
        <w:t>:</w:t>
      </w:r>
      <w:r w:rsidRPr="009C255D" w:rsidR="00713415">
        <w:rPr>
          <w:rFonts w:ascii="David" w:hAnsi="David" w:cs="David"/>
          <w:sz w:val="24"/>
          <w:szCs w:val="24"/>
          <w:rtl/>
        </w:rPr>
        <w:t xml:space="preserve"> </w:t>
      </w:r>
      <w:r w:rsidRPr="009C255D">
        <w:rPr>
          <w:rFonts w:ascii="David" w:hAnsi="David" w:cs="David"/>
          <w:sz w:val="24"/>
          <w:szCs w:val="24"/>
          <w:rtl/>
        </w:rPr>
        <w:t>משנת 2014, רשות שוק ההון מפרסמת את מדד השירות לביטוח בריאות, המשקף את השירות של החברות בענף באמצעות שקלול אופן תשלום התביעות</w:t>
      </w:r>
      <w:r w:rsidRPr="009C255D">
        <w:rPr>
          <w:rFonts w:ascii="David" w:hAnsi="David" w:cs="David"/>
          <w:rtl/>
        </w:rPr>
        <w:t xml:space="preserve">, </w:t>
      </w:r>
      <w:r w:rsidRPr="009C255D">
        <w:rPr>
          <w:rFonts w:ascii="David" w:hAnsi="David" w:cs="David"/>
          <w:sz w:val="24"/>
          <w:szCs w:val="24"/>
          <w:rtl/>
        </w:rPr>
        <w:t>שביעות הרצון והמלצת הלקוחות</w:t>
      </w:r>
      <w:r w:rsidRPr="009C255D">
        <w:rPr>
          <w:rFonts w:ascii="David" w:hAnsi="David" w:cs="David"/>
          <w:rtl/>
        </w:rPr>
        <w:t xml:space="preserve">, </w:t>
      </w:r>
      <w:r w:rsidRPr="009C255D">
        <w:rPr>
          <w:rFonts w:ascii="David" w:hAnsi="David" w:cs="David"/>
          <w:sz w:val="24"/>
          <w:szCs w:val="24"/>
          <w:rtl/>
        </w:rPr>
        <w:t>תלונות הציבור</w:t>
      </w:r>
      <w:r w:rsidRPr="009C255D">
        <w:rPr>
          <w:rFonts w:ascii="David" w:hAnsi="David" w:cs="David"/>
          <w:rtl/>
        </w:rPr>
        <w:t xml:space="preserve"> </w:t>
      </w:r>
      <w:r w:rsidRPr="009C255D">
        <w:rPr>
          <w:rFonts w:ascii="David" w:hAnsi="David" w:cs="David"/>
          <w:sz w:val="24"/>
          <w:szCs w:val="24"/>
          <w:rtl/>
        </w:rPr>
        <w:t>וזמני ההמתנה מענה טלפוני</w:t>
      </w:r>
      <w:r>
        <w:rPr>
          <w:rStyle w:val="FootnoteReference"/>
          <w:rFonts w:ascii="David" w:hAnsi="David" w:cs="David"/>
          <w:sz w:val="24"/>
          <w:szCs w:val="24"/>
          <w:rtl/>
        </w:rPr>
        <w:footnoteReference w:id="77"/>
      </w:r>
      <w:r w:rsidRPr="009C255D">
        <w:rPr>
          <w:rFonts w:ascii="David" w:hAnsi="David" w:cs="David"/>
          <w:rtl/>
        </w:rPr>
        <w:t>.</w:t>
      </w:r>
    </w:p>
    <w:p w:rsidR="00B132F4" w:rsidRPr="009C255D" w:rsidP="00ED5C0D">
      <w:pPr>
        <w:pStyle w:val="a"/>
        <w:spacing w:line="269" w:lineRule="auto"/>
        <w:rPr>
          <w:rFonts w:ascii="David" w:hAnsi="David"/>
          <w:rtl/>
        </w:rPr>
      </w:pPr>
    </w:p>
    <w:p w:rsidR="00A2680C" w:rsidRPr="009C255D" w:rsidP="00ED5C0D">
      <w:pPr>
        <w:spacing w:line="269" w:lineRule="auto"/>
        <w:rPr>
          <w:rFonts w:ascii="David" w:hAnsi="David"/>
          <w:sz w:val="24"/>
          <w:rtl/>
        </w:rPr>
      </w:pPr>
      <w:r w:rsidRPr="009C255D">
        <w:rPr>
          <w:rFonts w:ascii="David" w:hAnsi="David"/>
          <w:sz w:val="24"/>
          <w:rtl/>
        </w:rPr>
        <w:t>בנובמבר 2017 הפיקה רשות שוק ההון סקירת עומק, הבוחנת את תוצאות הרפורמה (להלן: הסקירה). הסקירה הציגה ירידה של מעל 20% בממוצע במחירי הספר</w:t>
      </w:r>
      <w:r>
        <w:rPr>
          <w:rStyle w:val="FootnoteReference"/>
          <w:rFonts w:ascii="David" w:hAnsi="David"/>
          <w:sz w:val="24"/>
          <w:rtl/>
        </w:rPr>
        <w:footnoteReference w:id="78"/>
      </w:r>
      <w:r w:rsidRPr="009C255D">
        <w:rPr>
          <w:rFonts w:ascii="David" w:hAnsi="David"/>
          <w:sz w:val="24"/>
          <w:rtl/>
        </w:rPr>
        <w:t xml:space="preserve"> בכל אחת מקבוצות הגיל</w:t>
      </w:r>
      <w:r w:rsidRPr="009C255D" w:rsidR="00944242">
        <w:rPr>
          <w:rFonts w:ascii="David" w:hAnsi="David"/>
          <w:sz w:val="24"/>
          <w:rtl/>
        </w:rPr>
        <w:t xml:space="preserve"> </w:t>
      </w:r>
      <w:r w:rsidRPr="009C255D">
        <w:rPr>
          <w:rFonts w:ascii="David" w:hAnsi="David"/>
          <w:sz w:val="24"/>
          <w:rtl/>
        </w:rPr>
        <w:t>ואינדיקציות ראשוניות להגדלת התחרות בתחום כגון, הגדלת ההשקעה של חברות הביטוח הקטנות בפרסום וכן פעילות גוברת במיזמי תיווך מבוססי כלים טכנולוגיים</w:t>
      </w:r>
      <w:r w:rsidRPr="009C255D" w:rsidR="003E011A">
        <w:rPr>
          <w:rFonts w:ascii="David" w:hAnsi="David"/>
          <w:sz w:val="24"/>
          <w:rtl/>
        </w:rPr>
        <w:t>.</w:t>
      </w:r>
    </w:p>
    <w:p w:rsidR="00B132F4" w:rsidRPr="009C255D" w:rsidP="00ED5C0D">
      <w:pPr>
        <w:spacing w:line="269" w:lineRule="auto"/>
        <w:ind w:left="-568"/>
        <w:rPr>
          <w:rFonts w:ascii="David" w:hAnsi="David"/>
          <w:szCs w:val="20"/>
          <w:rtl/>
        </w:rPr>
      </w:pPr>
    </w:p>
    <w:p w:rsidR="00121F06" w:rsidRPr="002B5E33" w:rsidP="00ED5C0D">
      <w:pPr>
        <w:spacing w:line="269" w:lineRule="auto"/>
        <w:rPr>
          <w:rFonts w:ascii="David" w:hAnsi="David"/>
          <w:b/>
          <w:bCs/>
          <w:sz w:val="24"/>
          <w:rtl/>
        </w:rPr>
      </w:pPr>
      <w:bookmarkStart w:id="0" w:name="_GoBack"/>
      <w:bookmarkEnd w:id="0"/>
      <w:r w:rsidRPr="002B5E33">
        <w:rPr>
          <w:rFonts w:ascii="David" w:hAnsi="David" w:hint="cs"/>
          <w:b/>
          <w:bCs/>
          <w:sz w:val="24"/>
          <w:rtl/>
        </w:rPr>
        <w:t>נמצא כי על אף שהרשות הגדירה את שיעור ההחזר (</w:t>
      </w:r>
      <w:r w:rsidRPr="002B5E33">
        <w:rPr>
          <w:rFonts w:ascii="David" w:hAnsi="David" w:hint="cs"/>
          <w:b/>
          <w:bCs/>
          <w:sz w:val="24"/>
        </w:rPr>
        <w:t>LR</w:t>
      </w:r>
      <w:r w:rsidRPr="002B5E33">
        <w:rPr>
          <w:rFonts w:ascii="David" w:hAnsi="David" w:hint="cs"/>
          <w:b/>
          <w:bCs/>
          <w:sz w:val="24"/>
          <w:rtl/>
        </w:rPr>
        <w:t xml:space="preserve">) הנמוך ככשל אשר יקבל מענה במסגרת הרפורמה וכמדד משמעותי לבחינת מצב השוק, לא נמצאה בסקירה כל התייחסות לשינויים שחלו במדד זה. כמו כן, הרשות לא בחנה את הסכומים העודפים של חברות הביטוח ואת ההפרשה לעתודות ההון, אף על פי </w:t>
      </w:r>
      <w:r w:rsidRPr="002B5E33" w:rsidR="00A2680C">
        <w:rPr>
          <w:rFonts w:ascii="David" w:hAnsi="David" w:hint="cs"/>
          <w:b/>
          <w:bCs/>
          <w:sz w:val="24"/>
          <w:rtl/>
        </w:rPr>
        <w:t xml:space="preserve">שמטרת הרפורמה הייתה </w:t>
      </w:r>
      <w:r w:rsidRPr="002B5E33">
        <w:rPr>
          <w:rFonts w:ascii="David" w:hAnsi="David" w:hint="cs"/>
          <w:b/>
          <w:bCs/>
          <w:sz w:val="24"/>
          <w:rtl/>
        </w:rPr>
        <w:t xml:space="preserve">להגביר את התחרות בשוק ביטוח הבריאות ולהעצים את כוחו של המבוטח. </w:t>
      </w:r>
    </w:p>
    <w:p w:rsidR="00121F06" w:rsidRPr="002B5E33" w:rsidP="00ED5C0D">
      <w:pPr>
        <w:pStyle w:val="a"/>
        <w:spacing w:line="269" w:lineRule="auto"/>
        <w:rPr>
          <w:rtl/>
        </w:rPr>
      </w:pPr>
    </w:p>
    <w:p w:rsidR="00DA2933" w:rsidRPr="002B5E33" w:rsidP="00ED5C0D">
      <w:pPr>
        <w:spacing w:line="269" w:lineRule="auto"/>
        <w:rPr>
          <w:rStyle w:val="Strong"/>
          <w:rtl/>
        </w:rPr>
      </w:pPr>
      <w:r w:rsidRPr="002B5E33">
        <w:rPr>
          <w:rFonts w:ascii="David" w:hAnsi="David"/>
          <w:b/>
          <w:bCs/>
          <w:sz w:val="24"/>
          <w:rtl/>
        </w:rPr>
        <w:t>על</w:t>
      </w:r>
      <w:r w:rsidRPr="002B5E33" w:rsidR="00B132F4">
        <w:rPr>
          <w:rFonts w:ascii="David" w:hAnsi="David"/>
          <w:b/>
          <w:bCs/>
          <w:sz w:val="24"/>
          <w:rtl/>
        </w:rPr>
        <w:t xml:space="preserve"> מנת לבחון </w:t>
      </w:r>
      <w:r w:rsidRPr="002B5E33" w:rsidR="00A2680C">
        <w:rPr>
          <w:rFonts w:ascii="David" w:hAnsi="David" w:hint="cs"/>
          <w:b/>
          <w:bCs/>
          <w:sz w:val="24"/>
          <w:rtl/>
        </w:rPr>
        <w:t>את השפעת הרפורמה במבחן הזמן</w:t>
      </w:r>
      <w:r w:rsidRPr="002B5E33" w:rsidR="00257804">
        <w:rPr>
          <w:rFonts w:ascii="David" w:hAnsi="David" w:hint="cs"/>
          <w:b/>
          <w:bCs/>
          <w:sz w:val="24"/>
          <w:rtl/>
        </w:rPr>
        <w:t>,</w:t>
      </w:r>
      <w:r w:rsidRPr="002B5E33" w:rsidR="00A2680C">
        <w:rPr>
          <w:rFonts w:ascii="David" w:hAnsi="David" w:hint="cs"/>
          <w:b/>
          <w:bCs/>
          <w:sz w:val="24"/>
          <w:rtl/>
        </w:rPr>
        <w:t xml:space="preserve"> </w:t>
      </w:r>
      <w:r w:rsidRPr="002B5E33" w:rsidR="00A2680C">
        <w:rPr>
          <w:rFonts w:hint="eastAsia"/>
          <w:b/>
          <w:bCs/>
          <w:rtl/>
        </w:rPr>
        <w:t>משרד</w:t>
      </w:r>
      <w:r w:rsidRPr="002B5E33" w:rsidR="00A2680C">
        <w:rPr>
          <w:b/>
          <w:bCs/>
          <w:rtl/>
        </w:rPr>
        <w:t xml:space="preserve"> </w:t>
      </w:r>
      <w:r w:rsidRPr="002B5E33" w:rsidR="00A2680C">
        <w:rPr>
          <w:rFonts w:hint="eastAsia"/>
          <w:b/>
          <w:bCs/>
          <w:rtl/>
        </w:rPr>
        <w:t>מבקר</w:t>
      </w:r>
      <w:r w:rsidRPr="002B5E33" w:rsidR="00A2680C">
        <w:rPr>
          <w:b/>
          <w:bCs/>
          <w:rtl/>
        </w:rPr>
        <w:t xml:space="preserve"> </w:t>
      </w:r>
      <w:r w:rsidRPr="002B5E33" w:rsidR="00A2680C">
        <w:rPr>
          <w:rFonts w:hint="eastAsia"/>
          <w:b/>
          <w:bCs/>
          <w:rtl/>
        </w:rPr>
        <w:t>המדינה</w:t>
      </w:r>
      <w:r w:rsidRPr="002B5E33" w:rsidR="00A2680C">
        <w:rPr>
          <w:b/>
          <w:bCs/>
          <w:rtl/>
        </w:rPr>
        <w:t xml:space="preserve"> </w:t>
      </w:r>
      <w:r w:rsidRPr="002B5E33" w:rsidR="00A2680C">
        <w:rPr>
          <w:rFonts w:hint="eastAsia"/>
          <w:b/>
          <w:bCs/>
          <w:rtl/>
        </w:rPr>
        <w:t>ממליץ</w:t>
      </w:r>
      <w:r w:rsidRPr="002B5E33" w:rsidR="00A2680C">
        <w:rPr>
          <w:rFonts w:hint="cs"/>
          <w:b/>
          <w:bCs/>
          <w:rtl/>
        </w:rPr>
        <w:t xml:space="preserve"> לרשות שוק ההון </w:t>
      </w:r>
      <w:r w:rsidRPr="002B5E33" w:rsidR="00A2680C">
        <w:rPr>
          <w:rFonts w:ascii="David" w:hAnsi="David"/>
          <w:b/>
          <w:bCs/>
          <w:sz w:val="24"/>
          <w:rtl/>
        </w:rPr>
        <w:t xml:space="preserve">לבחון </w:t>
      </w:r>
      <w:r w:rsidRPr="002B5E33" w:rsidR="00933177">
        <w:rPr>
          <w:rFonts w:ascii="David" w:hAnsi="David" w:hint="eastAsia"/>
          <w:b/>
          <w:bCs/>
          <w:sz w:val="24"/>
          <w:rtl/>
        </w:rPr>
        <w:t>לאורך</w:t>
      </w:r>
      <w:r w:rsidRPr="002B5E33" w:rsidR="00933177">
        <w:rPr>
          <w:rFonts w:ascii="David" w:hAnsi="David"/>
          <w:b/>
          <w:bCs/>
          <w:sz w:val="24"/>
          <w:rtl/>
        </w:rPr>
        <w:t xml:space="preserve"> </w:t>
      </w:r>
      <w:r w:rsidRPr="002B5E33" w:rsidR="00933177">
        <w:rPr>
          <w:rFonts w:ascii="David" w:hAnsi="David" w:hint="eastAsia"/>
          <w:b/>
          <w:bCs/>
          <w:sz w:val="24"/>
          <w:rtl/>
        </w:rPr>
        <w:t>זמן</w:t>
      </w:r>
      <w:r w:rsidRPr="002B5E33" w:rsidR="00933177">
        <w:rPr>
          <w:rFonts w:ascii="David" w:hAnsi="David"/>
          <w:b/>
          <w:bCs/>
          <w:sz w:val="24"/>
          <w:rtl/>
        </w:rPr>
        <w:t xml:space="preserve"> </w:t>
      </w:r>
      <w:r w:rsidRPr="002B5E33" w:rsidR="00933177">
        <w:rPr>
          <w:rFonts w:ascii="David" w:hAnsi="David" w:hint="eastAsia"/>
          <w:b/>
          <w:bCs/>
          <w:sz w:val="24"/>
          <w:rtl/>
        </w:rPr>
        <w:t>ובאופן</w:t>
      </w:r>
      <w:r w:rsidRPr="002B5E33" w:rsidR="00933177">
        <w:rPr>
          <w:rFonts w:ascii="David" w:hAnsi="David"/>
          <w:b/>
          <w:bCs/>
          <w:sz w:val="24"/>
          <w:rtl/>
        </w:rPr>
        <w:t xml:space="preserve"> </w:t>
      </w:r>
      <w:r w:rsidRPr="002B5E33" w:rsidR="00933177">
        <w:rPr>
          <w:rFonts w:ascii="David" w:hAnsi="David" w:hint="eastAsia"/>
          <w:b/>
          <w:bCs/>
          <w:sz w:val="24"/>
          <w:rtl/>
        </w:rPr>
        <w:t>שוטף</w:t>
      </w:r>
      <w:r w:rsidRPr="002B5E33" w:rsidR="00933177">
        <w:rPr>
          <w:rFonts w:ascii="David" w:hAnsi="David" w:hint="cs"/>
          <w:b/>
          <w:bCs/>
          <w:sz w:val="24"/>
          <w:rtl/>
        </w:rPr>
        <w:t xml:space="preserve"> </w:t>
      </w:r>
      <w:r w:rsidRPr="002B5E33" w:rsidR="00A2680C">
        <w:rPr>
          <w:rFonts w:ascii="David" w:hAnsi="David" w:hint="eastAsia"/>
          <w:b/>
          <w:bCs/>
          <w:sz w:val="24"/>
          <w:rtl/>
        </w:rPr>
        <w:t>את</w:t>
      </w:r>
      <w:r w:rsidRPr="002B5E33" w:rsidR="00A2680C">
        <w:rPr>
          <w:rFonts w:ascii="David" w:hAnsi="David"/>
          <w:b/>
          <w:bCs/>
          <w:sz w:val="24"/>
          <w:rtl/>
        </w:rPr>
        <w:t xml:space="preserve"> </w:t>
      </w:r>
      <w:r w:rsidRPr="002B5E33" w:rsidR="00A2680C">
        <w:rPr>
          <w:rFonts w:ascii="David" w:hAnsi="David" w:hint="eastAsia"/>
          <w:b/>
          <w:bCs/>
          <w:sz w:val="24"/>
          <w:rtl/>
        </w:rPr>
        <w:t>מחירי</w:t>
      </w:r>
      <w:r w:rsidRPr="002B5E33" w:rsidR="00A2680C">
        <w:rPr>
          <w:rFonts w:ascii="David" w:hAnsi="David"/>
          <w:b/>
          <w:bCs/>
          <w:sz w:val="24"/>
          <w:rtl/>
        </w:rPr>
        <w:t xml:space="preserve"> הפוליסות</w:t>
      </w:r>
      <w:r w:rsidRPr="002B5E33" w:rsidR="00A2680C">
        <w:rPr>
          <w:rFonts w:ascii="David" w:hAnsi="David" w:hint="cs"/>
          <w:b/>
          <w:bCs/>
          <w:sz w:val="24"/>
          <w:rtl/>
        </w:rPr>
        <w:t>, שיעור התשלום הישיר למבוטחים, הסכום העודף</w:t>
      </w:r>
      <w:r w:rsidRPr="002B5E33" w:rsidR="00933177">
        <w:rPr>
          <w:rFonts w:ascii="David" w:hAnsi="David" w:hint="cs"/>
          <w:b/>
          <w:bCs/>
          <w:sz w:val="24"/>
          <w:rtl/>
        </w:rPr>
        <w:t xml:space="preserve"> ומבנה ההוצאות של חברות הביטוח</w:t>
      </w:r>
      <w:r w:rsidRPr="002B5E33" w:rsidR="005E6809">
        <w:rPr>
          <w:rFonts w:hint="cs"/>
          <w:b/>
          <w:bCs/>
          <w:rtl/>
        </w:rPr>
        <w:t>,</w:t>
      </w:r>
      <w:r w:rsidRPr="002B5E33" w:rsidR="005E6809">
        <w:rPr>
          <w:rStyle w:val="Strong"/>
          <w:rtl/>
        </w:rPr>
        <w:t xml:space="preserve"> </w:t>
      </w:r>
      <w:r w:rsidRPr="002B5E33">
        <w:rPr>
          <w:rStyle w:val="Strong"/>
          <w:rtl/>
        </w:rPr>
        <w:t xml:space="preserve">תוך </w:t>
      </w:r>
      <w:r w:rsidRPr="002B5E33">
        <w:rPr>
          <w:rStyle w:val="Strong"/>
          <w:rFonts w:hint="cs"/>
          <w:rtl/>
        </w:rPr>
        <w:t>ה</w:t>
      </w:r>
      <w:r w:rsidRPr="002B5E33">
        <w:rPr>
          <w:rStyle w:val="Strong"/>
          <w:rtl/>
        </w:rPr>
        <w:t xml:space="preserve">בחנה בין מועדי הקמת הפוליסות. בחינה </w:t>
      </w:r>
      <w:r w:rsidRPr="002B5E33">
        <w:rPr>
          <w:rStyle w:val="Strong"/>
          <w:rFonts w:hint="cs"/>
          <w:rtl/>
        </w:rPr>
        <w:t>כזאת</w:t>
      </w:r>
      <w:r w:rsidRPr="002B5E33">
        <w:rPr>
          <w:rStyle w:val="Strong"/>
          <w:rtl/>
        </w:rPr>
        <w:t xml:space="preserve"> תאפשר לרשות לבחון את צעדי המדיניות שלה בתחום ו</w:t>
      </w:r>
      <w:r w:rsidRPr="002B5E33">
        <w:rPr>
          <w:rStyle w:val="Strong"/>
          <w:rFonts w:hint="cs"/>
          <w:rtl/>
        </w:rPr>
        <w:t xml:space="preserve">את </w:t>
      </w:r>
      <w:r w:rsidRPr="002B5E33">
        <w:rPr>
          <w:rStyle w:val="Strong"/>
          <w:rtl/>
        </w:rPr>
        <w:t xml:space="preserve">השפעתם הישירה על רווחתו של המבוטח. </w:t>
      </w:r>
    </w:p>
    <w:p w:rsidR="00B132F4" w:rsidRPr="002B5E33" w:rsidP="00ED5C0D">
      <w:pPr>
        <w:pStyle w:val="a"/>
        <w:spacing w:line="269" w:lineRule="auto"/>
        <w:rPr>
          <w:rtl/>
        </w:rPr>
      </w:pPr>
    </w:p>
    <w:p w:rsidR="00B132F4" w:rsidP="00ED5C0D">
      <w:pPr>
        <w:spacing w:line="269" w:lineRule="auto"/>
        <w:rPr>
          <w:rFonts w:ascii="David" w:hAnsi="David"/>
          <w:sz w:val="24"/>
          <w:rtl/>
        </w:rPr>
      </w:pPr>
      <w:r w:rsidRPr="002B5E33">
        <w:rPr>
          <w:rFonts w:ascii="David" w:hAnsi="David" w:hint="cs"/>
          <w:sz w:val="24"/>
          <w:rtl/>
        </w:rPr>
        <w:t>ב</w:t>
      </w:r>
      <w:r w:rsidRPr="002B5E33">
        <w:rPr>
          <w:rFonts w:ascii="David" w:hAnsi="David" w:hint="eastAsia"/>
          <w:sz w:val="24"/>
          <w:rtl/>
        </w:rPr>
        <w:t>תשובת</w:t>
      </w:r>
      <w:r w:rsidRPr="002B5E33">
        <w:rPr>
          <w:rFonts w:ascii="David" w:hAnsi="David" w:hint="cs"/>
          <w:sz w:val="24"/>
          <w:rtl/>
        </w:rPr>
        <w:t xml:space="preserve">ה ציינה </w:t>
      </w:r>
      <w:r w:rsidRPr="002B5E33">
        <w:rPr>
          <w:rFonts w:ascii="David" w:hAnsi="David" w:hint="eastAsia"/>
          <w:sz w:val="24"/>
          <w:rtl/>
        </w:rPr>
        <w:t>הרשות</w:t>
      </w:r>
      <w:r w:rsidRPr="002B5E33">
        <w:rPr>
          <w:rFonts w:ascii="David" w:hAnsi="David"/>
          <w:sz w:val="24"/>
          <w:rtl/>
        </w:rPr>
        <w:t xml:space="preserve"> </w:t>
      </w:r>
      <w:r w:rsidRPr="002B5E33">
        <w:rPr>
          <w:rFonts w:ascii="David" w:hAnsi="David" w:hint="eastAsia"/>
          <w:sz w:val="24"/>
          <w:rtl/>
        </w:rPr>
        <w:t>כי</w:t>
      </w:r>
      <w:r w:rsidRPr="002B5E33">
        <w:rPr>
          <w:rFonts w:ascii="David" w:hAnsi="David"/>
          <w:sz w:val="24"/>
          <w:rtl/>
        </w:rPr>
        <w:t xml:space="preserve"> </w:t>
      </w:r>
      <w:r w:rsidRPr="002B5E33">
        <w:rPr>
          <w:rFonts w:ascii="David" w:hAnsi="David" w:hint="cs"/>
          <w:sz w:val="24"/>
          <w:rtl/>
        </w:rPr>
        <w:t xml:space="preserve">בסקירה שביצעה היא ניתחה את המחירים בפועל, וכי היא </w:t>
      </w:r>
      <w:r w:rsidRPr="002B5E33">
        <w:rPr>
          <w:rFonts w:ascii="David" w:hAnsi="David" w:hint="eastAsia"/>
          <w:sz w:val="24"/>
          <w:rtl/>
        </w:rPr>
        <w:t>פועלת</w:t>
      </w:r>
      <w:r w:rsidRPr="002B5E33">
        <w:rPr>
          <w:rFonts w:ascii="David" w:hAnsi="David"/>
          <w:sz w:val="24"/>
          <w:rtl/>
        </w:rPr>
        <w:t xml:space="preserve"> </w:t>
      </w:r>
      <w:r w:rsidRPr="002B5E33">
        <w:rPr>
          <w:rFonts w:ascii="David" w:hAnsi="David" w:hint="eastAsia"/>
          <w:sz w:val="24"/>
          <w:rtl/>
        </w:rPr>
        <w:t>לקבל</w:t>
      </w:r>
      <w:r w:rsidRPr="002B5E33">
        <w:rPr>
          <w:rFonts w:ascii="David" w:hAnsi="David"/>
          <w:sz w:val="24"/>
          <w:rtl/>
        </w:rPr>
        <w:t xml:space="preserve"> </w:t>
      </w:r>
      <w:r w:rsidRPr="002B5E33">
        <w:rPr>
          <w:rFonts w:ascii="David" w:hAnsi="David" w:hint="eastAsia"/>
          <w:sz w:val="24"/>
          <w:rtl/>
        </w:rPr>
        <w:t>באופן</w:t>
      </w:r>
      <w:r w:rsidRPr="002B5E33">
        <w:rPr>
          <w:rFonts w:ascii="David" w:hAnsi="David"/>
          <w:sz w:val="24"/>
          <w:rtl/>
        </w:rPr>
        <w:t xml:space="preserve"> </w:t>
      </w:r>
      <w:r w:rsidRPr="002B5E33">
        <w:rPr>
          <w:rFonts w:ascii="David" w:hAnsi="David" w:hint="eastAsia"/>
          <w:sz w:val="24"/>
          <w:rtl/>
        </w:rPr>
        <w:t>שוטף</w:t>
      </w:r>
      <w:r w:rsidRPr="002B5E33">
        <w:rPr>
          <w:rFonts w:ascii="David" w:hAnsi="David"/>
          <w:sz w:val="24"/>
          <w:rtl/>
        </w:rPr>
        <w:t xml:space="preserve"> </w:t>
      </w:r>
      <w:r w:rsidRPr="002B5E33">
        <w:rPr>
          <w:rFonts w:ascii="David" w:hAnsi="David" w:hint="eastAsia"/>
          <w:sz w:val="24"/>
          <w:rtl/>
        </w:rPr>
        <w:t>את</w:t>
      </w:r>
      <w:r w:rsidRPr="002B5E33">
        <w:rPr>
          <w:rFonts w:ascii="David" w:hAnsi="David"/>
          <w:sz w:val="24"/>
          <w:rtl/>
        </w:rPr>
        <w:t xml:space="preserve"> </w:t>
      </w:r>
      <w:r w:rsidRPr="002B5E33">
        <w:rPr>
          <w:rFonts w:ascii="David" w:hAnsi="David" w:hint="eastAsia"/>
          <w:sz w:val="24"/>
          <w:rtl/>
        </w:rPr>
        <w:t>המידע</w:t>
      </w:r>
      <w:r w:rsidRPr="002B5E33">
        <w:rPr>
          <w:rFonts w:ascii="David" w:hAnsi="David"/>
          <w:sz w:val="24"/>
          <w:rtl/>
        </w:rPr>
        <w:t xml:space="preserve"> </w:t>
      </w:r>
      <w:r w:rsidRPr="002B5E33">
        <w:rPr>
          <w:rFonts w:ascii="David" w:hAnsi="David" w:hint="eastAsia"/>
          <w:sz w:val="24"/>
          <w:rtl/>
        </w:rPr>
        <w:t>הדרוש</w:t>
      </w:r>
      <w:r w:rsidRPr="002B5E33">
        <w:rPr>
          <w:rFonts w:ascii="David" w:hAnsi="David"/>
          <w:sz w:val="24"/>
          <w:rtl/>
        </w:rPr>
        <w:t xml:space="preserve"> </w:t>
      </w:r>
      <w:r w:rsidRPr="002B5E33">
        <w:rPr>
          <w:rFonts w:ascii="David" w:hAnsi="David" w:hint="eastAsia"/>
          <w:sz w:val="24"/>
          <w:rtl/>
        </w:rPr>
        <w:t>מחברות</w:t>
      </w:r>
      <w:r w:rsidRPr="002B5E33">
        <w:rPr>
          <w:rFonts w:ascii="David" w:hAnsi="David"/>
          <w:sz w:val="24"/>
          <w:rtl/>
        </w:rPr>
        <w:t xml:space="preserve"> </w:t>
      </w:r>
      <w:r w:rsidRPr="002B5E33">
        <w:rPr>
          <w:rFonts w:ascii="David" w:hAnsi="David" w:hint="eastAsia"/>
          <w:sz w:val="24"/>
          <w:rtl/>
        </w:rPr>
        <w:t>הביטוח</w:t>
      </w:r>
      <w:r w:rsidRPr="002B5E33">
        <w:rPr>
          <w:rFonts w:ascii="David" w:hAnsi="David" w:hint="cs"/>
          <w:sz w:val="24"/>
          <w:rtl/>
        </w:rPr>
        <w:t xml:space="preserve">. הרשות הוסיפה כי </w:t>
      </w:r>
      <w:r w:rsidRPr="002B5E33">
        <w:rPr>
          <w:rFonts w:ascii="David" w:hAnsi="David" w:hint="eastAsia"/>
          <w:sz w:val="24"/>
          <w:rtl/>
        </w:rPr>
        <w:t>בכוונתה</w:t>
      </w:r>
      <w:r w:rsidRPr="002B5E33">
        <w:rPr>
          <w:rFonts w:ascii="David" w:hAnsi="David"/>
          <w:sz w:val="24"/>
          <w:rtl/>
        </w:rPr>
        <w:t xml:space="preserve"> לעדכן את הבחינה האמורה.</w:t>
      </w:r>
    </w:p>
    <w:p w:rsidR="003C14C0" w:rsidRPr="002B5E33" w:rsidP="00ED5C0D">
      <w:pPr>
        <w:spacing w:line="269" w:lineRule="auto"/>
        <w:rPr>
          <w:rFonts w:ascii="David" w:hAnsi="David"/>
          <w:sz w:val="24"/>
          <w:rtl/>
        </w:rPr>
      </w:pPr>
    </w:p>
    <w:p w:rsidR="00B132F4" w:rsidRPr="002B5E33" w:rsidP="00ED5C0D">
      <w:pPr>
        <w:spacing w:line="269" w:lineRule="auto"/>
        <w:rPr>
          <w:rFonts w:ascii="David" w:hAnsi="David"/>
          <w:sz w:val="24"/>
          <w:rtl/>
        </w:rPr>
      </w:pPr>
      <w:r w:rsidRPr="002B5E33">
        <w:rPr>
          <w:rFonts w:ascii="David" w:hAnsi="David"/>
          <w:sz w:val="24"/>
          <w:rtl/>
        </w:rPr>
        <w:t>לצורך בחינת השפעת הרפורמה על התחום בחן משרד מבקר המדינה את התפלגות ההוצאות</w:t>
      </w:r>
      <w:r w:rsidRPr="002B5E33">
        <w:rPr>
          <w:rFonts w:ascii="David" w:hAnsi="David" w:hint="cs"/>
          <w:sz w:val="24"/>
          <w:rtl/>
        </w:rPr>
        <w:t xml:space="preserve"> הישירות ו</w:t>
      </w:r>
      <w:r w:rsidRPr="002B5E33" w:rsidR="00966DAD">
        <w:rPr>
          <w:rFonts w:ascii="David" w:hAnsi="David" w:hint="cs"/>
          <w:sz w:val="24"/>
          <w:rtl/>
        </w:rPr>
        <w:t>את ה</w:t>
      </w:r>
      <w:r w:rsidRPr="002B5E33">
        <w:rPr>
          <w:rFonts w:ascii="David" w:hAnsi="David" w:hint="cs"/>
          <w:sz w:val="24"/>
          <w:rtl/>
        </w:rPr>
        <w:t xml:space="preserve">סכום העודף </w:t>
      </w:r>
      <w:r w:rsidRPr="002B5E33">
        <w:rPr>
          <w:rFonts w:ascii="David" w:hAnsi="David"/>
          <w:sz w:val="24"/>
          <w:rtl/>
        </w:rPr>
        <w:t>של חברות הביטוח</w:t>
      </w:r>
      <w:r w:rsidRPr="002B5E33">
        <w:rPr>
          <w:rFonts w:ascii="David" w:hAnsi="David" w:hint="cs"/>
          <w:sz w:val="24"/>
          <w:rtl/>
        </w:rPr>
        <w:t xml:space="preserve">. </w:t>
      </w:r>
      <w:r w:rsidRPr="002B5E33">
        <w:rPr>
          <w:rFonts w:ascii="David" w:hAnsi="David"/>
          <w:sz w:val="24"/>
          <w:rtl/>
        </w:rPr>
        <w:t xml:space="preserve">בתרשים </w:t>
      </w:r>
      <w:r w:rsidRPr="002B5E33">
        <w:rPr>
          <w:rFonts w:ascii="David" w:hAnsi="David" w:hint="cs"/>
          <w:sz w:val="24"/>
          <w:rtl/>
        </w:rPr>
        <w:t xml:space="preserve">12 </w:t>
      </w:r>
      <w:r w:rsidRPr="002B5E33" w:rsidR="00966DAD">
        <w:rPr>
          <w:rFonts w:ascii="David" w:hAnsi="David" w:hint="cs"/>
          <w:sz w:val="24"/>
          <w:rtl/>
        </w:rPr>
        <w:t>ש</w:t>
      </w:r>
      <w:r w:rsidRPr="002B5E33">
        <w:rPr>
          <w:rFonts w:ascii="David" w:hAnsi="David"/>
          <w:sz w:val="24"/>
          <w:rtl/>
        </w:rPr>
        <w:t>להלן מוצגת השוואה של מבנה ההוצאות של חברות הביטוח בגין ביטוחי פרט בין הנתונים הממוצעים</w:t>
      </w:r>
      <w:r w:rsidR="00944242">
        <w:rPr>
          <w:rFonts w:ascii="David" w:hAnsi="David"/>
          <w:sz w:val="24"/>
          <w:rtl/>
        </w:rPr>
        <w:t xml:space="preserve"> </w:t>
      </w:r>
      <w:r w:rsidRPr="002B5E33">
        <w:rPr>
          <w:rFonts w:ascii="David" w:hAnsi="David"/>
          <w:sz w:val="24"/>
          <w:rtl/>
        </w:rPr>
        <w:t>בשנים 2014</w:t>
      </w:r>
      <w:r w:rsidRPr="002B5E33">
        <w:rPr>
          <w:rFonts w:ascii="David" w:hAnsi="David" w:hint="cs"/>
          <w:sz w:val="24"/>
          <w:rtl/>
        </w:rPr>
        <w:t xml:space="preserve"> </w:t>
      </w:r>
      <w:r w:rsidRPr="002B5E33">
        <w:rPr>
          <w:rFonts w:ascii="David" w:hAnsi="David"/>
          <w:sz w:val="24"/>
          <w:rtl/>
        </w:rPr>
        <w:t>-</w:t>
      </w:r>
      <w:r w:rsidRPr="002B5E33">
        <w:rPr>
          <w:rFonts w:ascii="David" w:hAnsi="David" w:hint="cs"/>
          <w:sz w:val="24"/>
          <w:rtl/>
        </w:rPr>
        <w:t xml:space="preserve"> </w:t>
      </w:r>
      <w:r w:rsidRPr="002B5E33">
        <w:rPr>
          <w:rFonts w:ascii="David" w:hAnsi="David"/>
          <w:sz w:val="24"/>
          <w:rtl/>
        </w:rPr>
        <w:t>2017</w:t>
      </w:r>
      <w:r w:rsidRPr="002B5E33">
        <w:rPr>
          <w:rFonts w:ascii="David" w:hAnsi="David" w:hint="cs"/>
          <w:sz w:val="24"/>
          <w:rtl/>
        </w:rPr>
        <w:t xml:space="preserve"> (טרם יישום הרפורמה), ל</w:t>
      </w:r>
      <w:r w:rsidRPr="002B5E33">
        <w:rPr>
          <w:rFonts w:ascii="David" w:hAnsi="David"/>
          <w:sz w:val="24"/>
          <w:rtl/>
        </w:rPr>
        <w:t>בין</w:t>
      </w:r>
      <w:r w:rsidRPr="002B5E33">
        <w:rPr>
          <w:rFonts w:ascii="David" w:hAnsi="David" w:hint="cs"/>
          <w:sz w:val="24"/>
          <w:rtl/>
        </w:rPr>
        <w:t xml:space="preserve"> </w:t>
      </w:r>
      <w:r w:rsidRPr="002B5E33">
        <w:rPr>
          <w:rFonts w:ascii="David" w:hAnsi="David"/>
          <w:sz w:val="24"/>
          <w:rtl/>
        </w:rPr>
        <w:t xml:space="preserve">נתוני שנת 2018 </w:t>
      </w:r>
      <w:r w:rsidRPr="002B5E33">
        <w:rPr>
          <w:rFonts w:ascii="David" w:hAnsi="David" w:hint="cs"/>
          <w:sz w:val="24"/>
          <w:rtl/>
        </w:rPr>
        <w:t>(</w:t>
      </w:r>
      <w:r w:rsidRPr="002B5E33">
        <w:rPr>
          <w:rFonts w:ascii="David" w:hAnsi="David"/>
          <w:sz w:val="24"/>
          <w:rtl/>
        </w:rPr>
        <w:t>לאחר יישו</w:t>
      </w:r>
      <w:r w:rsidRPr="002B5E33">
        <w:rPr>
          <w:rFonts w:ascii="David" w:hAnsi="David" w:hint="cs"/>
          <w:sz w:val="24"/>
          <w:rtl/>
        </w:rPr>
        <w:t>מ</w:t>
      </w:r>
      <w:r w:rsidRPr="002B5E33">
        <w:rPr>
          <w:rFonts w:ascii="David" w:hAnsi="David"/>
          <w:sz w:val="24"/>
          <w:rtl/>
        </w:rPr>
        <w:t>ה</w:t>
      </w:r>
      <w:r w:rsidRPr="002B5E33">
        <w:rPr>
          <w:rFonts w:ascii="David" w:hAnsi="David" w:hint="cs"/>
          <w:sz w:val="24"/>
          <w:rtl/>
        </w:rPr>
        <w:t>)</w:t>
      </w:r>
      <w:r>
        <w:rPr>
          <w:rStyle w:val="FootnoteReference"/>
          <w:rFonts w:ascii="David" w:hAnsi="David"/>
          <w:sz w:val="24"/>
          <w:rtl/>
        </w:rPr>
        <w:footnoteReference w:id="79"/>
      </w:r>
      <w:r w:rsidRPr="002B5E33">
        <w:rPr>
          <w:rFonts w:ascii="David" w:hAnsi="David" w:hint="cs"/>
          <w:sz w:val="24"/>
          <w:rtl/>
        </w:rPr>
        <w:t>.</w:t>
      </w:r>
      <w:r w:rsidR="00944242">
        <w:rPr>
          <w:rFonts w:ascii="David" w:hAnsi="David" w:hint="cs"/>
          <w:sz w:val="24"/>
          <w:rtl/>
        </w:rPr>
        <w:t xml:space="preserve"> </w:t>
      </w:r>
    </w:p>
    <w:p w:rsidR="00B132F4" w:rsidRPr="002B5E33" w:rsidP="00ED5C0D">
      <w:pPr>
        <w:pStyle w:val="a"/>
        <w:spacing w:line="269" w:lineRule="auto"/>
        <w:rPr>
          <w:b/>
          <w:bCs/>
          <w:u w:val="single"/>
          <w:rtl/>
        </w:rPr>
      </w:pPr>
    </w:p>
    <w:p w:rsidR="00B132F4" w:rsidRPr="002B5E33" w:rsidP="00E17951">
      <w:pPr>
        <w:spacing w:line="269" w:lineRule="auto"/>
        <w:jc w:val="center"/>
        <w:rPr>
          <w:b/>
          <w:bCs/>
          <w:rtl/>
        </w:rPr>
      </w:pPr>
      <w:r w:rsidRPr="002B5E33">
        <w:rPr>
          <w:b/>
          <w:bCs/>
          <w:rtl/>
        </w:rPr>
        <w:t xml:space="preserve">תרשים </w:t>
      </w:r>
      <w:r w:rsidRPr="002B5E33">
        <w:rPr>
          <w:rFonts w:hint="cs"/>
          <w:b/>
          <w:bCs/>
          <w:rtl/>
        </w:rPr>
        <w:t>12</w:t>
      </w:r>
      <w:r w:rsidR="00E17951">
        <w:rPr>
          <w:rFonts w:hint="cs"/>
          <w:b/>
          <w:bCs/>
          <w:rtl/>
        </w:rPr>
        <w:t xml:space="preserve">: </w:t>
      </w:r>
      <w:r w:rsidRPr="002B5E33">
        <w:rPr>
          <w:rFonts w:hint="cs"/>
          <w:b/>
          <w:bCs/>
          <w:rtl/>
        </w:rPr>
        <w:t xml:space="preserve">התפלגות </w:t>
      </w:r>
      <w:r w:rsidRPr="002B5E33">
        <w:rPr>
          <w:b/>
          <w:bCs/>
          <w:rtl/>
        </w:rPr>
        <w:t xml:space="preserve">ההוצאות </w:t>
      </w:r>
      <w:r w:rsidRPr="002B5E33">
        <w:rPr>
          <w:rFonts w:hint="cs"/>
          <w:b/>
          <w:bCs/>
          <w:rtl/>
        </w:rPr>
        <w:t>והסכום העודף</w:t>
      </w:r>
      <w:r w:rsidRPr="002B5E33">
        <w:rPr>
          <w:b/>
          <w:bCs/>
          <w:rtl/>
        </w:rPr>
        <w:t xml:space="preserve"> </w:t>
      </w:r>
      <w:r w:rsidRPr="002B5E33">
        <w:rPr>
          <w:rFonts w:hint="cs"/>
          <w:b/>
          <w:bCs/>
          <w:rtl/>
        </w:rPr>
        <w:t xml:space="preserve">של חברות הביטוח (בענף ההוצאות הרפואיות, ביטוחי פרט) לפני הרפורמה ולאחריה </w:t>
      </w:r>
    </w:p>
    <w:p w:rsidR="00E92656" w:rsidRPr="002B5E33" w:rsidP="00E17951">
      <w:pPr>
        <w:spacing w:before="120" w:after="120" w:line="269" w:lineRule="auto"/>
        <w:jc w:val="center"/>
        <w:rPr>
          <w:b/>
          <w:bCs/>
          <w:rtl/>
        </w:rPr>
      </w:pPr>
      <w:r>
        <w:rPr>
          <w:b/>
          <w:bCs/>
          <w:noProof/>
          <w:rtl/>
        </w:rPr>
        <w:drawing>
          <wp:inline distT="0" distB="0" distL="0" distR="0">
            <wp:extent cx="4837972" cy="3452079"/>
            <wp:effectExtent l="0" t="0" r="1270" b="0"/>
            <wp:docPr id="1493377101" name="תמונה 149337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45287" name="ביטוחי בריאות אור2.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65698" cy="3471863"/>
                    </a:xfrm>
                    <a:prstGeom prst="rect">
                      <a:avLst/>
                    </a:prstGeom>
                  </pic:spPr>
                </pic:pic>
              </a:graphicData>
            </a:graphic>
          </wp:inline>
        </w:drawing>
      </w:r>
    </w:p>
    <w:p w:rsidR="00760648" w:rsidRPr="002B5E33" w:rsidP="00E17951">
      <w:pPr>
        <w:spacing w:line="269" w:lineRule="auto"/>
        <w:ind w:left="-567" w:firstLine="567"/>
        <w:jc w:val="left"/>
        <w:rPr>
          <w:rFonts w:ascii="David" w:hAnsi="David"/>
          <w:sz w:val="22"/>
          <w:szCs w:val="22"/>
        </w:rPr>
      </w:pPr>
      <w:r>
        <w:rPr>
          <w:rFonts w:ascii="David" w:hAnsi="David" w:hint="cs"/>
          <w:sz w:val="22"/>
          <w:szCs w:val="22"/>
          <w:rtl/>
        </w:rPr>
        <w:t>מקור:</w:t>
      </w:r>
      <w:r w:rsidRPr="002B5E33">
        <w:rPr>
          <w:rFonts w:ascii="David" w:hAnsi="David" w:hint="cs"/>
          <w:sz w:val="22"/>
          <w:szCs w:val="22"/>
          <w:rtl/>
        </w:rPr>
        <w:t xml:space="preserve"> </w:t>
      </w:r>
      <w:r w:rsidRPr="002B5E33">
        <w:rPr>
          <w:rFonts w:ascii="David" w:hAnsi="David"/>
          <w:sz w:val="22"/>
          <w:szCs w:val="22"/>
          <w:rtl/>
        </w:rPr>
        <w:t xml:space="preserve">נתוני רשות שוק ההון, </w:t>
      </w:r>
      <w:r w:rsidR="00114ABC">
        <w:rPr>
          <w:rFonts w:ascii="David" w:hAnsi="David" w:hint="cs"/>
          <w:sz w:val="22"/>
          <w:szCs w:val="22"/>
          <w:rtl/>
        </w:rPr>
        <w:t>ב</w:t>
      </w:r>
      <w:r w:rsidRPr="002B5E33">
        <w:rPr>
          <w:rFonts w:ascii="David" w:hAnsi="David"/>
          <w:sz w:val="22"/>
          <w:szCs w:val="22"/>
          <w:rtl/>
        </w:rPr>
        <w:t>עיבוד משרד מבקר המדינה</w:t>
      </w:r>
      <w:r w:rsidR="00114ABC">
        <w:rPr>
          <w:rFonts w:ascii="David" w:hAnsi="David" w:hint="cs"/>
          <w:sz w:val="22"/>
          <w:szCs w:val="22"/>
          <w:rtl/>
        </w:rPr>
        <w:t>.</w:t>
      </w:r>
    </w:p>
    <w:p w:rsidR="00B132F4" w:rsidRPr="002B5E33" w:rsidP="00ED5C0D">
      <w:pPr>
        <w:pStyle w:val="a"/>
        <w:spacing w:line="269" w:lineRule="auto"/>
        <w:rPr>
          <w:rtl/>
        </w:rPr>
      </w:pPr>
    </w:p>
    <w:p w:rsidR="00B132F4" w:rsidRPr="002B5E33" w:rsidP="00ED5C0D">
      <w:pPr>
        <w:spacing w:line="269" w:lineRule="auto"/>
        <w:rPr>
          <w:rFonts w:ascii="David" w:hAnsi="David"/>
          <w:sz w:val="24"/>
          <w:rtl/>
        </w:rPr>
      </w:pPr>
      <w:r w:rsidRPr="002B5E33">
        <w:rPr>
          <w:rFonts w:ascii="David" w:hAnsi="David" w:hint="cs"/>
          <w:rtl/>
        </w:rPr>
        <w:t xml:space="preserve">יצוין כי מכיוון </w:t>
      </w:r>
      <w:r w:rsidRPr="002B5E33">
        <w:rPr>
          <w:rFonts w:ascii="David" w:hAnsi="David"/>
          <w:rtl/>
        </w:rPr>
        <w:t xml:space="preserve">שהנתונים </w:t>
      </w:r>
      <w:r w:rsidRPr="002B5E33">
        <w:rPr>
          <w:rFonts w:ascii="David" w:hAnsi="David" w:hint="cs"/>
          <w:rtl/>
        </w:rPr>
        <w:t xml:space="preserve">המצויים ברשות שוק ההון הם </w:t>
      </w:r>
      <w:r w:rsidRPr="002B5E33">
        <w:rPr>
          <w:rFonts w:ascii="David" w:hAnsi="David"/>
          <w:rtl/>
        </w:rPr>
        <w:t>אגר</w:t>
      </w:r>
      <w:r w:rsidRPr="002B5E33">
        <w:rPr>
          <w:rFonts w:ascii="David" w:hAnsi="David" w:hint="cs"/>
          <w:rtl/>
        </w:rPr>
        <w:t>ג</w:t>
      </w:r>
      <w:r w:rsidRPr="002B5E33">
        <w:rPr>
          <w:rFonts w:ascii="David" w:hAnsi="David"/>
          <w:rtl/>
        </w:rPr>
        <w:t>טיב</w:t>
      </w:r>
      <w:r w:rsidRPr="002B5E33">
        <w:rPr>
          <w:rFonts w:ascii="David" w:hAnsi="David" w:hint="cs"/>
          <w:rtl/>
        </w:rPr>
        <w:t>י</w:t>
      </w:r>
      <w:r w:rsidRPr="002B5E33">
        <w:rPr>
          <w:rFonts w:ascii="David" w:hAnsi="David"/>
          <w:rtl/>
        </w:rPr>
        <w:t xml:space="preserve">ים </w:t>
      </w:r>
      <w:r w:rsidRPr="002B5E33">
        <w:rPr>
          <w:rFonts w:ascii="David" w:hAnsi="David" w:hint="cs"/>
          <w:rtl/>
        </w:rPr>
        <w:t xml:space="preserve">ואינם </w:t>
      </w:r>
      <w:r w:rsidRPr="002B5E33">
        <w:rPr>
          <w:rFonts w:ascii="David" w:hAnsi="David"/>
          <w:rtl/>
        </w:rPr>
        <w:t>מפרידים בין הפוליסות ש</w:t>
      </w:r>
      <w:r w:rsidRPr="002B5E33">
        <w:rPr>
          <w:rFonts w:ascii="David" w:hAnsi="David" w:hint="cs"/>
          <w:rtl/>
        </w:rPr>
        <w:t xml:space="preserve">נרכשו </w:t>
      </w:r>
      <w:r w:rsidRPr="002B5E33">
        <w:rPr>
          <w:rFonts w:ascii="David" w:hAnsi="David"/>
          <w:rtl/>
        </w:rPr>
        <w:t xml:space="preserve">לפני </w:t>
      </w:r>
      <w:r w:rsidRPr="002B5E33">
        <w:rPr>
          <w:rFonts w:ascii="David" w:hAnsi="David" w:hint="cs"/>
          <w:rtl/>
        </w:rPr>
        <w:t xml:space="preserve">הרפורמה ולאחריה, וכן בשל הזמן הקצר שחלף מאז כניסתה של הרפורמה לתוקף והשיעור הנמוך יחסית של הפוליסות החדשות, קיים קושי בביצוע </w:t>
      </w:r>
      <w:r w:rsidRPr="002B5E33">
        <w:rPr>
          <w:rFonts w:ascii="David" w:hAnsi="David" w:hint="eastAsia"/>
          <w:sz w:val="24"/>
          <w:rtl/>
        </w:rPr>
        <w:t>בחינ</w:t>
      </w:r>
      <w:r w:rsidRPr="002B5E33">
        <w:rPr>
          <w:rFonts w:ascii="David" w:hAnsi="David" w:hint="cs"/>
          <w:sz w:val="24"/>
          <w:rtl/>
        </w:rPr>
        <w:t>ה</w:t>
      </w:r>
      <w:r w:rsidRPr="002B5E33">
        <w:rPr>
          <w:rFonts w:ascii="David" w:hAnsi="David"/>
          <w:sz w:val="24"/>
          <w:rtl/>
        </w:rPr>
        <w:t xml:space="preserve"> </w:t>
      </w:r>
      <w:r w:rsidRPr="002B5E33">
        <w:rPr>
          <w:rFonts w:ascii="David" w:hAnsi="David" w:hint="cs"/>
          <w:sz w:val="24"/>
          <w:rtl/>
        </w:rPr>
        <w:t xml:space="preserve">מלאה של </w:t>
      </w:r>
      <w:r w:rsidRPr="002B5E33" w:rsidR="00257804">
        <w:rPr>
          <w:rFonts w:ascii="David" w:hAnsi="David" w:hint="cs"/>
          <w:sz w:val="24"/>
          <w:rtl/>
        </w:rPr>
        <w:t>תוצאותי</w:t>
      </w:r>
      <w:r w:rsidRPr="002B5E33" w:rsidR="00257804">
        <w:rPr>
          <w:rFonts w:ascii="David" w:hAnsi="David" w:hint="eastAsia"/>
          <w:sz w:val="24"/>
          <w:rtl/>
        </w:rPr>
        <w:t>ה</w:t>
      </w:r>
      <w:r w:rsidRPr="002B5E33">
        <w:rPr>
          <w:rFonts w:ascii="David" w:hAnsi="David" w:hint="cs"/>
          <w:rtl/>
        </w:rPr>
        <w:t xml:space="preserve">. </w:t>
      </w:r>
      <w:r w:rsidRPr="002B5E33">
        <w:rPr>
          <w:rFonts w:ascii="David" w:hAnsi="David" w:hint="cs"/>
          <w:sz w:val="24"/>
          <w:rtl/>
        </w:rPr>
        <w:t xml:space="preserve">כך לדוגמה, כפי שצוין בסקירת הרשות, </w:t>
      </w:r>
      <w:r w:rsidRPr="002B5E33">
        <w:rPr>
          <w:rFonts w:ascii="David" w:hAnsi="David" w:hint="eastAsia"/>
          <w:sz w:val="24"/>
          <w:rtl/>
        </w:rPr>
        <w:t>מכיוון</w:t>
      </w:r>
      <w:r w:rsidRPr="002B5E33">
        <w:rPr>
          <w:rFonts w:ascii="David" w:hAnsi="David"/>
          <w:sz w:val="24"/>
          <w:rtl/>
        </w:rPr>
        <w:t xml:space="preserve"> </w:t>
      </w:r>
      <w:r w:rsidRPr="002B5E33">
        <w:rPr>
          <w:rFonts w:ascii="David" w:hAnsi="David" w:hint="eastAsia"/>
          <w:sz w:val="24"/>
          <w:rtl/>
        </w:rPr>
        <w:t>שבפוליסות</w:t>
      </w:r>
      <w:r w:rsidRPr="002B5E33">
        <w:rPr>
          <w:rFonts w:ascii="David" w:hAnsi="David"/>
          <w:sz w:val="24"/>
          <w:rtl/>
        </w:rPr>
        <w:t xml:space="preserve"> </w:t>
      </w:r>
      <w:r w:rsidRPr="002B5E33">
        <w:rPr>
          <w:rFonts w:ascii="David" w:hAnsi="David" w:hint="eastAsia"/>
          <w:sz w:val="24"/>
          <w:rtl/>
        </w:rPr>
        <w:t>החדשות</w:t>
      </w:r>
      <w:r w:rsidRPr="002B5E33">
        <w:rPr>
          <w:rFonts w:ascii="David" w:hAnsi="David"/>
          <w:sz w:val="24"/>
          <w:rtl/>
        </w:rPr>
        <w:t xml:space="preserve">, </w:t>
      </w:r>
      <w:r w:rsidRPr="002B5E33">
        <w:rPr>
          <w:rFonts w:ascii="David" w:hAnsi="David" w:hint="eastAsia"/>
          <w:sz w:val="24"/>
          <w:rtl/>
        </w:rPr>
        <w:t>המבוטחים</w:t>
      </w:r>
      <w:r w:rsidRPr="002B5E33">
        <w:rPr>
          <w:rFonts w:ascii="David" w:hAnsi="David"/>
          <w:sz w:val="24"/>
          <w:rtl/>
        </w:rPr>
        <w:t xml:space="preserve"> </w:t>
      </w:r>
      <w:r w:rsidRPr="002B5E33">
        <w:rPr>
          <w:rFonts w:ascii="David" w:hAnsi="David" w:hint="eastAsia"/>
          <w:sz w:val="24"/>
          <w:rtl/>
        </w:rPr>
        <w:t>נמצאים</w:t>
      </w:r>
      <w:r w:rsidRPr="002B5E33">
        <w:rPr>
          <w:rFonts w:ascii="David" w:hAnsi="David"/>
          <w:sz w:val="24"/>
          <w:rtl/>
        </w:rPr>
        <w:t xml:space="preserve"> </w:t>
      </w:r>
      <w:r w:rsidRPr="002B5E33">
        <w:rPr>
          <w:rFonts w:ascii="David" w:hAnsi="David" w:hint="cs"/>
          <w:sz w:val="24"/>
          <w:rtl/>
        </w:rPr>
        <w:t>בתקופה הסמוכה לביצוע</w:t>
      </w:r>
      <w:r w:rsidRPr="002B5E33">
        <w:rPr>
          <w:rFonts w:ascii="David" w:hAnsi="David"/>
          <w:sz w:val="24"/>
          <w:rtl/>
        </w:rPr>
        <w:t xml:space="preserve"> </w:t>
      </w:r>
      <w:r w:rsidRPr="002B5E33">
        <w:rPr>
          <w:rFonts w:ascii="David" w:hAnsi="David" w:hint="eastAsia"/>
          <w:sz w:val="24"/>
          <w:rtl/>
        </w:rPr>
        <w:t>החיתום</w:t>
      </w:r>
      <w:r w:rsidRPr="002B5E33">
        <w:rPr>
          <w:rFonts w:ascii="David" w:hAnsi="David"/>
          <w:sz w:val="24"/>
          <w:rtl/>
        </w:rPr>
        <w:t xml:space="preserve"> </w:t>
      </w:r>
      <w:r w:rsidRPr="002B5E33">
        <w:rPr>
          <w:rFonts w:ascii="David" w:hAnsi="David" w:hint="eastAsia"/>
          <w:sz w:val="24"/>
          <w:rtl/>
        </w:rPr>
        <w:t>הרפואי</w:t>
      </w:r>
      <w:r w:rsidRPr="002B5E33">
        <w:rPr>
          <w:rFonts w:ascii="David" w:hAnsi="David" w:hint="cs"/>
          <w:sz w:val="24"/>
          <w:rtl/>
        </w:rPr>
        <w:t xml:space="preserve">, </w:t>
      </w:r>
      <w:r w:rsidRPr="002B5E33">
        <w:rPr>
          <w:rFonts w:ascii="David" w:hAnsi="David" w:hint="eastAsia"/>
          <w:sz w:val="24"/>
          <w:rtl/>
        </w:rPr>
        <w:t>סביר</w:t>
      </w:r>
      <w:r w:rsidRPr="002B5E33">
        <w:rPr>
          <w:rFonts w:ascii="David" w:hAnsi="David"/>
          <w:sz w:val="24"/>
          <w:rtl/>
        </w:rPr>
        <w:t xml:space="preserve"> </w:t>
      </w:r>
      <w:r w:rsidRPr="002B5E33">
        <w:rPr>
          <w:rFonts w:ascii="David" w:hAnsi="David" w:hint="eastAsia"/>
          <w:sz w:val="24"/>
          <w:rtl/>
        </w:rPr>
        <w:t>שיוגשו</w:t>
      </w:r>
      <w:r w:rsidRPr="002B5E33">
        <w:rPr>
          <w:rFonts w:ascii="David" w:hAnsi="David"/>
          <w:sz w:val="24"/>
          <w:rtl/>
        </w:rPr>
        <w:t xml:space="preserve"> </w:t>
      </w:r>
      <w:r w:rsidRPr="002B5E33">
        <w:rPr>
          <w:rFonts w:ascii="David" w:hAnsi="David" w:hint="eastAsia"/>
          <w:sz w:val="24"/>
          <w:rtl/>
        </w:rPr>
        <w:t>בשנים</w:t>
      </w:r>
      <w:r w:rsidRPr="002B5E33">
        <w:rPr>
          <w:rFonts w:ascii="David" w:hAnsi="David"/>
          <w:sz w:val="24"/>
          <w:rtl/>
        </w:rPr>
        <w:t xml:space="preserve"> </w:t>
      </w:r>
      <w:r w:rsidRPr="002B5E33">
        <w:rPr>
          <w:rFonts w:ascii="David" w:hAnsi="David" w:hint="eastAsia"/>
          <w:sz w:val="24"/>
          <w:rtl/>
        </w:rPr>
        <w:t>הראשונות</w:t>
      </w:r>
      <w:r w:rsidRPr="002B5E33">
        <w:rPr>
          <w:rFonts w:ascii="David" w:hAnsi="David"/>
          <w:sz w:val="24"/>
          <w:rtl/>
        </w:rPr>
        <w:t xml:space="preserve"> </w:t>
      </w:r>
      <w:r w:rsidRPr="002B5E33">
        <w:rPr>
          <w:rFonts w:ascii="David" w:hAnsi="David" w:hint="eastAsia"/>
          <w:sz w:val="24"/>
          <w:rtl/>
        </w:rPr>
        <w:t>פחות</w:t>
      </w:r>
      <w:r w:rsidRPr="002B5E33">
        <w:rPr>
          <w:rFonts w:ascii="David" w:hAnsi="David"/>
          <w:sz w:val="24"/>
          <w:rtl/>
        </w:rPr>
        <w:t xml:space="preserve"> </w:t>
      </w:r>
      <w:r w:rsidRPr="002B5E33">
        <w:rPr>
          <w:rFonts w:ascii="David" w:hAnsi="David" w:hint="eastAsia"/>
          <w:sz w:val="24"/>
          <w:rtl/>
        </w:rPr>
        <w:t>תביעות</w:t>
      </w:r>
      <w:r w:rsidRPr="002B5E33">
        <w:rPr>
          <w:rFonts w:ascii="David" w:hAnsi="David" w:hint="cs"/>
          <w:sz w:val="24"/>
          <w:rtl/>
        </w:rPr>
        <w:t xml:space="preserve"> באופן שיש בו להשפיע על שיעור התשלום הישיר למבוטח</w:t>
      </w:r>
      <w:r w:rsidRPr="002B5E33">
        <w:rPr>
          <w:rFonts w:ascii="David" w:hAnsi="David"/>
          <w:sz w:val="24"/>
          <w:rtl/>
        </w:rPr>
        <w:t>.</w:t>
      </w:r>
    </w:p>
    <w:p w:rsidR="00B132F4" w:rsidRPr="002B5E33" w:rsidP="00ED5C0D">
      <w:pPr>
        <w:pStyle w:val="a"/>
        <w:spacing w:line="269" w:lineRule="auto"/>
        <w:rPr>
          <w:rtl/>
        </w:rPr>
      </w:pPr>
    </w:p>
    <w:p w:rsidR="00B132F4" w:rsidRPr="007B4117" w:rsidP="007B4117">
      <w:pPr>
        <w:spacing w:line="269" w:lineRule="auto"/>
        <w:rPr>
          <w:rFonts w:ascii="David" w:hAnsi="David"/>
          <w:spacing w:val="4"/>
          <w:sz w:val="24"/>
          <w:rtl/>
        </w:rPr>
      </w:pPr>
      <w:r w:rsidRPr="007B4117">
        <w:rPr>
          <w:rFonts w:ascii="David" w:hAnsi="David" w:hint="cs"/>
          <w:spacing w:val="4"/>
          <w:sz w:val="24"/>
          <w:rtl/>
        </w:rPr>
        <w:t xml:space="preserve">כפי שעולה מהתרשים בשנת 2018, כשנתיים לאחר כניסת הרפורמה לתוקף </w:t>
      </w:r>
      <w:r w:rsidRPr="007B4117">
        <w:rPr>
          <w:rFonts w:ascii="David" w:hAnsi="David"/>
          <w:spacing w:val="4"/>
          <w:sz w:val="24"/>
          <w:rtl/>
        </w:rPr>
        <w:t>וקיצור משך זמן פוליסות הפרט</w:t>
      </w:r>
      <w:r w:rsidRPr="007B4117">
        <w:rPr>
          <w:rFonts w:ascii="David" w:hAnsi="David" w:hint="cs"/>
          <w:spacing w:val="4"/>
          <w:sz w:val="24"/>
          <w:rtl/>
        </w:rPr>
        <w:t>,</w:t>
      </w:r>
      <w:r w:rsidRPr="007B4117">
        <w:rPr>
          <w:rFonts w:ascii="David" w:hAnsi="David"/>
          <w:spacing w:val="4"/>
          <w:sz w:val="24"/>
          <w:rtl/>
        </w:rPr>
        <w:t xml:space="preserve"> הפחיתו </w:t>
      </w:r>
      <w:r w:rsidRPr="007B4117">
        <w:rPr>
          <w:rFonts w:ascii="David" w:hAnsi="David" w:hint="cs"/>
          <w:spacing w:val="4"/>
          <w:sz w:val="24"/>
          <w:rtl/>
        </w:rPr>
        <w:t xml:space="preserve">חברות הביטוח בשיעור ניכר </w:t>
      </w:r>
      <w:r w:rsidRPr="007B4117">
        <w:rPr>
          <w:rFonts w:ascii="David" w:hAnsi="David"/>
          <w:spacing w:val="4"/>
          <w:sz w:val="24"/>
          <w:rtl/>
        </w:rPr>
        <w:t>את שיעור ההפרשות לעתודות ההון</w:t>
      </w:r>
      <w:r w:rsidRPr="007B4117">
        <w:rPr>
          <w:rFonts w:ascii="David" w:hAnsi="David" w:hint="cs"/>
          <w:spacing w:val="4"/>
          <w:sz w:val="24"/>
          <w:rtl/>
        </w:rPr>
        <w:t xml:space="preserve"> (מ-13% ל-5%)</w:t>
      </w:r>
      <w:r>
        <w:rPr>
          <w:rStyle w:val="FootnoteReference"/>
          <w:rFonts w:ascii="David" w:hAnsi="David"/>
          <w:spacing w:val="4"/>
          <w:sz w:val="24"/>
          <w:rtl/>
        </w:rPr>
        <w:footnoteReference w:id="80"/>
      </w:r>
      <w:r w:rsidRPr="007B4117">
        <w:rPr>
          <w:rFonts w:ascii="David" w:hAnsi="David"/>
          <w:spacing w:val="4"/>
          <w:sz w:val="24"/>
          <w:rtl/>
        </w:rPr>
        <w:t>,</w:t>
      </w:r>
      <w:r w:rsidRPr="007B4117">
        <w:rPr>
          <w:rFonts w:ascii="David" w:hAnsi="David" w:hint="cs"/>
          <w:spacing w:val="4"/>
          <w:sz w:val="24"/>
          <w:rtl/>
        </w:rPr>
        <w:t xml:space="preserve"> והגדילו בשיעור ניכר את שיעור הסכומים העודפים (מ-13% ל-22%)</w:t>
      </w:r>
      <w:r>
        <w:rPr>
          <w:rStyle w:val="FootnoteReference"/>
          <w:rFonts w:ascii="David" w:hAnsi="David"/>
          <w:spacing w:val="4"/>
          <w:sz w:val="24"/>
          <w:rtl/>
        </w:rPr>
        <w:footnoteReference w:id="81"/>
      </w:r>
      <w:r w:rsidRPr="007B4117">
        <w:rPr>
          <w:rFonts w:ascii="David" w:hAnsi="David" w:hint="cs"/>
          <w:spacing w:val="4"/>
          <w:sz w:val="24"/>
          <w:rtl/>
        </w:rPr>
        <w:t>. לעומת זאת, ב</w:t>
      </w:r>
      <w:r w:rsidRPr="007B4117">
        <w:rPr>
          <w:rFonts w:ascii="David" w:hAnsi="David" w:hint="eastAsia"/>
          <w:spacing w:val="4"/>
          <w:sz w:val="24"/>
          <w:rtl/>
        </w:rPr>
        <w:t>שיעור</w:t>
      </w:r>
      <w:r w:rsidRPr="007B4117">
        <w:rPr>
          <w:rFonts w:ascii="David" w:hAnsi="David"/>
          <w:spacing w:val="4"/>
          <w:sz w:val="24"/>
          <w:rtl/>
        </w:rPr>
        <w:t xml:space="preserve"> </w:t>
      </w:r>
      <w:r w:rsidRPr="007B4117">
        <w:rPr>
          <w:rFonts w:ascii="David" w:hAnsi="David" w:hint="eastAsia"/>
          <w:spacing w:val="4"/>
          <w:sz w:val="24"/>
          <w:rtl/>
        </w:rPr>
        <w:t>התשלום</w:t>
      </w:r>
      <w:r w:rsidRPr="007B4117">
        <w:rPr>
          <w:rFonts w:ascii="David" w:hAnsi="David"/>
          <w:spacing w:val="4"/>
          <w:sz w:val="24"/>
          <w:rtl/>
        </w:rPr>
        <w:t xml:space="preserve"> </w:t>
      </w:r>
      <w:r w:rsidRPr="007B4117">
        <w:rPr>
          <w:rFonts w:ascii="David" w:hAnsi="David" w:hint="eastAsia"/>
          <w:spacing w:val="4"/>
          <w:sz w:val="24"/>
          <w:rtl/>
        </w:rPr>
        <w:t>הישיר</w:t>
      </w:r>
      <w:r w:rsidRPr="007B4117">
        <w:rPr>
          <w:rFonts w:ascii="David" w:hAnsi="David"/>
          <w:spacing w:val="4"/>
          <w:sz w:val="24"/>
          <w:rtl/>
        </w:rPr>
        <w:t xml:space="preserve"> </w:t>
      </w:r>
      <w:r w:rsidRPr="007B4117">
        <w:rPr>
          <w:rFonts w:ascii="David" w:hAnsi="David" w:hint="eastAsia"/>
          <w:spacing w:val="4"/>
          <w:sz w:val="24"/>
          <w:rtl/>
        </w:rPr>
        <w:t>למבוטחים</w:t>
      </w:r>
      <w:r w:rsidRPr="007B4117">
        <w:rPr>
          <w:rFonts w:ascii="David" w:hAnsi="David" w:hint="cs"/>
          <w:spacing w:val="4"/>
          <w:sz w:val="24"/>
          <w:rtl/>
        </w:rPr>
        <w:t xml:space="preserve"> כמעט לא חל שינוי והוא אף ירד במקצת (</w:t>
      </w:r>
      <w:r w:rsidRPr="007B4117" w:rsidR="007E06A8">
        <w:rPr>
          <w:rFonts w:ascii="David" w:hAnsi="David" w:hint="cs"/>
          <w:spacing w:val="4"/>
          <w:sz w:val="24"/>
          <w:rtl/>
        </w:rPr>
        <w:t>מ-</w:t>
      </w:r>
      <w:r w:rsidRPr="007B4117">
        <w:rPr>
          <w:rFonts w:ascii="David" w:hAnsi="David" w:hint="cs"/>
          <w:spacing w:val="4"/>
          <w:sz w:val="24"/>
          <w:rtl/>
        </w:rPr>
        <w:t>39% ל-38%).</w:t>
      </w:r>
    </w:p>
    <w:p w:rsidR="00114D85" w:rsidRPr="002B5E33" w:rsidP="00ED5C0D">
      <w:pPr>
        <w:pStyle w:val="a"/>
        <w:spacing w:line="269" w:lineRule="auto"/>
        <w:rPr>
          <w:rtl/>
        </w:rPr>
      </w:pPr>
    </w:p>
    <w:p w:rsidR="002D3C09" w:rsidRPr="002B5E33" w:rsidP="00ED5C0D">
      <w:pPr>
        <w:spacing w:line="269" w:lineRule="auto"/>
        <w:rPr>
          <w:rStyle w:val="Strong"/>
          <w:rtl/>
        </w:rPr>
      </w:pPr>
      <w:r w:rsidRPr="002B5E33">
        <w:rPr>
          <w:rStyle w:val="Strong"/>
          <w:rFonts w:hint="cs"/>
          <w:rtl/>
        </w:rPr>
        <w:t xml:space="preserve">מסתמן </w:t>
      </w:r>
      <w:r w:rsidRPr="002B5E33" w:rsidR="00A6100C">
        <w:rPr>
          <w:rStyle w:val="Strong"/>
          <w:rFonts w:hint="cs"/>
          <w:rtl/>
        </w:rPr>
        <w:t>אפוא כי על בסיס</w:t>
      </w:r>
      <w:r w:rsidR="00C507DD">
        <w:rPr>
          <w:rStyle w:val="Strong"/>
          <w:rFonts w:hint="cs"/>
          <w:rtl/>
        </w:rPr>
        <w:t xml:space="preserve"> הנתונים הראשונים לאחר הרפורמה, </w:t>
      </w:r>
      <w:r w:rsidRPr="002B5E33">
        <w:rPr>
          <w:rStyle w:val="Strong"/>
          <w:rFonts w:hint="cs"/>
          <w:rtl/>
        </w:rPr>
        <w:t>פעולות הרשות הבי</w:t>
      </w:r>
      <w:r w:rsidRPr="002B5E33" w:rsidR="00257804">
        <w:rPr>
          <w:rStyle w:val="Strong"/>
          <w:rFonts w:hint="cs"/>
          <w:rtl/>
        </w:rPr>
        <w:t>או</w:t>
      </w:r>
      <w:r w:rsidRPr="002B5E33">
        <w:rPr>
          <w:rStyle w:val="Strong"/>
          <w:rFonts w:hint="cs"/>
          <w:rtl/>
        </w:rPr>
        <w:t xml:space="preserve"> להפחתה בשיעור ההפרשה לעתודות ההון ובכך יצרו לחברות הביטוח הוזלה בעלויות. במקביל להפחתה בעלויות עלה שיעור הסכום העודף ושיעור התשלום הישיר למבוטח נותר ללא שינוי. על כן, נראה </w:t>
      </w:r>
      <w:r w:rsidRPr="002B5E33">
        <w:rPr>
          <w:rStyle w:val="Strong"/>
          <w:rtl/>
        </w:rPr>
        <w:t>כי פע</w:t>
      </w:r>
      <w:r w:rsidRPr="002B5E33">
        <w:rPr>
          <w:rStyle w:val="Strong"/>
          <w:rFonts w:hint="cs"/>
          <w:rtl/>
        </w:rPr>
        <w:t>ולות הרשות שנעשו במסגרת רפורמ</w:t>
      </w:r>
      <w:r w:rsidRPr="002B5E33" w:rsidR="00257804">
        <w:rPr>
          <w:rStyle w:val="Strong"/>
          <w:rFonts w:hint="cs"/>
          <w:rtl/>
        </w:rPr>
        <w:t>ת</w:t>
      </w:r>
      <w:r w:rsidRPr="002B5E33">
        <w:rPr>
          <w:rStyle w:val="Strong"/>
          <w:rFonts w:hint="cs"/>
          <w:rtl/>
        </w:rPr>
        <w:t xml:space="preserve"> 2016, אכן יצרו הפחתה בעלויות לחברות הביטוח. אולם, </w:t>
      </w:r>
      <w:r w:rsidRPr="002B5E33" w:rsidR="00A6100C">
        <w:rPr>
          <w:rStyle w:val="Strong"/>
          <w:rFonts w:hint="cs"/>
          <w:rtl/>
        </w:rPr>
        <w:t xml:space="preserve">בשלב זה נראה כי </w:t>
      </w:r>
      <w:r w:rsidRPr="002B5E33">
        <w:rPr>
          <w:rStyle w:val="Strong"/>
          <w:rFonts w:hint="cs"/>
          <w:rtl/>
        </w:rPr>
        <w:t xml:space="preserve">הפחתה זו לא תורגמה להגדלת שיעור התשלום הישיר למבוטחים אלא להגדלת שיעור הסכום העודף של החברות בתחום. </w:t>
      </w:r>
      <w:r w:rsidRPr="002B5E33">
        <w:rPr>
          <w:rStyle w:val="Strong"/>
          <w:rFonts w:hint="eastAsia"/>
          <w:rtl/>
        </w:rPr>
        <w:t>ממצאים</w:t>
      </w:r>
      <w:r w:rsidRPr="002B5E33">
        <w:rPr>
          <w:rStyle w:val="Strong"/>
          <w:rtl/>
        </w:rPr>
        <w:t xml:space="preserve"> </w:t>
      </w:r>
      <w:r w:rsidRPr="002B5E33">
        <w:rPr>
          <w:rStyle w:val="Strong"/>
          <w:rFonts w:hint="cs"/>
          <w:rtl/>
        </w:rPr>
        <w:t xml:space="preserve">אלו מעידים על קושי של הרפורמה לתת מענה מלא לכל הכשלים בתחום, ובהם שיפור רווחתו של המבוטח, </w:t>
      </w:r>
      <w:r w:rsidRPr="002B5E33">
        <w:rPr>
          <w:rStyle w:val="Strong"/>
          <w:rFonts w:hint="eastAsia"/>
          <w:rtl/>
        </w:rPr>
        <w:t>ו</w:t>
      </w:r>
      <w:r w:rsidRPr="002B5E33">
        <w:rPr>
          <w:rStyle w:val="Strong"/>
          <w:rFonts w:hint="cs"/>
          <w:rtl/>
        </w:rPr>
        <w:t xml:space="preserve">על כן </w:t>
      </w:r>
      <w:r w:rsidRPr="002B5E33">
        <w:rPr>
          <w:rStyle w:val="Strong"/>
          <w:rFonts w:hint="eastAsia"/>
          <w:rtl/>
        </w:rPr>
        <w:t>מחייבים</w:t>
      </w:r>
      <w:r w:rsidRPr="002B5E33">
        <w:rPr>
          <w:rStyle w:val="Strong"/>
          <w:rtl/>
        </w:rPr>
        <w:t xml:space="preserve"> </w:t>
      </w:r>
      <w:r w:rsidRPr="002B5E33">
        <w:rPr>
          <w:rStyle w:val="Strong"/>
          <w:rFonts w:hint="eastAsia"/>
          <w:rtl/>
        </w:rPr>
        <w:t>את</w:t>
      </w:r>
      <w:r w:rsidRPr="002B5E33">
        <w:rPr>
          <w:rStyle w:val="Strong"/>
          <w:rtl/>
        </w:rPr>
        <w:t xml:space="preserve"> </w:t>
      </w:r>
      <w:r w:rsidRPr="002B5E33">
        <w:rPr>
          <w:rStyle w:val="Strong"/>
          <w:rFonts w:hint="eastAsia"/>
          <w:rtl/>
        </w:rPr>
        <w:t>בדיקתה</w:t>
      </w:r>
      <w:r w:rsidRPr="002B5E33">
        <w:rPr>
          <w:rStyle w:val="Strong"/>
          <w:rtl/>
        </w:rPr>
        <w:t xml:space="preserve"> </w:t>
      </w:r>
      <w:r w:rsidRPr="002B5E33">
        <w:rPr>
          <w:rStyle w:val="Strong"/>
          <w:rFonts w:hint="eastAsia"/>
          <w:rtl/>
        </w:rPr>
        <w:t>השוטפת</w:t>
      </w:r>
      <w:r w:rsidRPr="002B5E33">
        <w:rPr>
          <w:rStyle w:val="Strong"/>
          <w:rtl/>
        </w:rPr>
        <w:t xml:space="preserve"> </w:t>
      </w:r>
      <w:r w:rsidRPr="002B5E33">
        <w:rPr>
          <w:rStyle w:val="Strong"/>
          <w:rFonts w:hint="eastAsia"/>
          <w:rtl/>
        </w:rPr>
        <w:t>של</w:t>
      </w:r>
      <w:r w:rsidRPr="002B5E33">
        <w:rPr>
          <w:rStyle w:val="Strong"/>
          <w:rtl/>
        </w:rPr>
        <w:t xml:space="preserve"> </w:t>
      </w:r>
      <w:r w:rsidRPr="002B5E33">
        <w:rPr>
          <w:rStyle w:val="Strong"/>
          <w:rFonts w:hint="eastAsia"/>
          <w:rtl/>
        </w:rPr>
        <w:t>הרשות</w:t>
      </w:r>
      <w:r w:rsidRPr="002B5E33">
        <w:rPr>
          <w:rStyle w:val="Strong"/>
          <w:rtl/>
        </w:rPr>
        <w:t>.</w:t>
      </w:r>
      <w:r w:rsidR="00944242">
        <w:rPr>
          <w:rStyle w:val="Strong"/>
          <w:rFonts w:hint="cs"/>
          <w:rtl/>
        </w:rPr>
        <w:t xml:space="preserve"> </w:t>
      </w:r>
    </w:p>
    <w:p w:rsidR="003C14C0" w:rsidRPr="003C14C0" w:rsidP="003C14C0">
      <w:pPr>
        <w:pStyle w:val="a"/>
        <w:rPr>
          <w:b/>
          <w:bCs/>
          <w:rtl/>
        </w:rPr>
      </w:pPr>
    </w:p>
    <w:p w:rsidR="00114D85" w:rsidRPr="002B5E33" w:rsidP="00ED5C0D">
      <w:pPr>
        <w:spacing w:line="269" w:lineRule="auto"/>
        <w:rPr>
          <w:rFonts w:ascii="David" w:hAnsi="David"/>
          <w:rtl/>
        </w:rPr>
      </w:pPr>
      <w:r w:rsidRPr="002B5E33">
        <w:rPr>
          <w:rFonts w:ascii="David" w:hAnsi="David" w:hint="cs"/>
          <w:rtl/>
        </w:rPr>
        <w:t>הרשות ציינה בתשובתה כי</w:t>
      </w:r>
      <w:r w:rsidR="00944242">
        <w:rPr>
          <w:rFonts w:ascii="David" w:hAnsi="David" w:hint="cs"/>
          <w:rtl/>
        </w:rPr>
        <w:t xml:space="preserve"> </w:t>
      </w:r>
      <w:r w:rsidRPr="002B5E33">
        <w:rPr>
          <w:rFonts w:ascii="David" w:hAnsi="David"/>
          <w:rtl/>
        </w:rPr>
        <w:t>מכיוון שהפוליסות שנמכרו בשנת 2016 ואילך</w:t>
      </w:r>
      <w:r w:rsidRPr="002B5E33">
        <w:rPr>
          <w:rFonts w:ascii="David" w:hAnsi="David" w:hint="cs"/>
          <w:rtl/>
        </w:rPr>
        <w:t xml:space="preserve"> </w:t>
      </w:r>
      <w:r w:rsidRPr="002B5E33">
        <w:rPr>
          <w:rFonts w:ascii="David" w:hAnsi="David"/>
          <w:rtl/>
        </w:rPr>
        <w:t>נמ</w:t>
      </w:r>
      <w:r w:rsidRPr="002B5E33">
        <w:rPr>
          <w:rFonts w:ascii="David" w:hAnsi="David" w:hint="eastAsia"/>
          <w:rtl/>
        </w:rPr>
        <w:t>צאות</w:t>
      </w:r>
      <w:r w:rsidRPr="002B5E33">
        <w:rPr>
          <w:rFonts w:ascii="David" w:hAnsi="David"/>
          <w:rtl/>
        </w:rPr>
        <w:t xml:space="preserve"> עדיין באפקט החיתום</w:t>
      </w:r>
      <w:r>
        <w:rPr>
          <w:rStyle w:val="FootnoteReference"/>
          <w:rFonts w:ascii="David" w:hAnsi="David"/>
          <w:rtl/>
        </w:rPr>
        <w:footnoteReference w:id="82"/>
      </w:r>
      <w:r w:rsidRPr="002B5E33">
        <w:rPr>
          <w:rStyle w:val="Strong"/>
          <w:rFonts w:hint="cs"/>
          <w:rtl/>
        </w:rPr>
        <w:t xml:space="preserve"> </w:t>
      </w:r>
      <w:r w:rsidRPr="002B5E33">
        <w:rPr>
          <w:rFonts w:ascii="David" w:hAnsi="David" w:hint="eastAsia"/>
          <w:rtl/>
        </w:rPr>
        <w:t>יש</w:t>
      </w:r>
      <w:r w:rsidRPr="002B5E33">
        <w:rPr>
          <w:rFonts w:ascii="David" w:hAnsi="David"/>
          <w:rtl/>
        </w:rPr>
        <w:t xml:space="preserve"> </w:t>
      </w:r>
      <w:r w:rsidRPr="002B5E33">
        <w:rPr>
          <w:rFonts w:ascii="David" w:hAnsi="David" w:hint="eastAsia"/>
          <w:rtl/>
        </w:rPr>
        <w:t>לנקוט</w:t>
      </w:r>
      <w:r w:rsidRPr="002B5E33">
        <w:rPr>
          <w:rFonts w:ascii="David" w:hAnsi="David"/>
          <w:rtl/>
        </w:rPr>
        <w:t xml:space="preserve"> </w:t>
      </w:r>
      <w:r w:rsidRPr="002B5E33">
        <w:rPr>
          <w:rFonts w:ascii="David" w:hAnsi="David" w:hint="eastAsia"/>
          <w:rtl/>
        </w:rPr>
        <w:t>זהירות</w:t>
      </w:r>
      <w:r w:rsidRPr="002B5E33">
        <w:rPr>
          <w:rFonts w:ascii="David" w:hAnsi="David"/>
          <w:rtl/>
        </w:rPr>
        <w:t xml:space="preserve"> </w:t>
      </w:r>
      <w:r w:rsidRPr="002B5E33">
        <w:rPr>
          <w:rFonts w:ascii="David" w:hAnsi="David" w:hint="eastAsia"/>
          <w:rtl/>
        </w:rPr>
        <w:t>בהשוואת</w:t>
      </w:r>
      <w:r w:rsidRPr="002B5E33">
        <w:rPr>
          <w:rFonts w:ascii="David" w:hAnsi="David"/>
          <w:rtl/>
        </w:rPr>
        <w:t xml:space="preserve"> נתוני שיעור ההחזר</w:t>
      </w:r>
      <w:r w:rsidRPr="002B5E33">
        <w:rPr>
          <w:rFonts w:ascii="David" w:hAnsi="David" w:hint="cs"/>
          <w:rtl/>
        </w:rPr>
        <w:t xml:space="preserve"> (</w:t>
      </w:r>
      <w:r w:rsidRPr="002B5E33">
        <w:rPr>
          <w:rFonts w:ascii="David" w:hAnsi="David" w:hint="cs"/>
        </w:rPr>
        <w:t>LR</w:t>
      </w:r>
      <w:r w:rsidRPr="002B5E33">
        <w:rPr>
          <w:rFonts w:ascii="David" w:hAnsi="David" w:hint="cs"/>
          <w:rtl/>
        </w:rPr>
        <w:t>), שיעורי הרווח ועתודות ההון.</w:t>
      </w:r>
      <w:r w:rsidRPr="002B5E33">
        <w:rPr>
          <w:rFonts w:ascii="David" w:hAnsi="David"/>
          <w:rtl/>
        </w:rPr>
        <w:t xml:space="preserve"> </w:t>
      </w:r>
      <w:r w:rsidRPr="002B5E33">
        <w:rPr>
          <w:rFonts w:ascii="David" w:hAnsi="David" w:hint="eastAsia"/>
          <w:rtl/>
        </w:rPr>
        <w:t>מסיבה</w:t>
      </w:r>
      <w:r w:rsidRPr="002B5E33">
        <w:rPr>
          <w:rFonts w:ascii="David" w:hAnsi="David"/>
          <w:rtl/>
        </w:rPr>
        <w:t xml:space="preserve"> זו </w:t>
      </w:r>
      <w:r w:rsidRPr="002B5E33">
        <w:rPr>
          <w:rFonts w:ascii="David" w:hAnsi="David" w:hint="cs"/>
          <w:rtl/>
        </w:rPr>
        <w:t>ה</w:t>
      </w:r>
      <w:r w:rsidRPr="002B5E33" w:rsidR="00795344">
        <w:rPr>
          <w:rFonts w:ascii="David" w:hAnsi="David" w:hint="cs"/>
          <w:rtl/>
        </w:rPr>
        <w:t>כינה ה</w:t>
      </w:r>
      <w:r w:rsidRPr="002B5E33">
        <w:rPr>
          <w:rFonts w:ascii="David" w:hAnsi="David" w:hint="cs"/>
          <w:rtl/>
        </w:rPr>
        <w:t xml:space="preserve">רשות </w:t>
      </w:r>
      <w:r w:rsidRPr="002B5E33">
        <w:rPr>
          <w:rFonts w:ascii="David" w:hAnsi="David"/>
          <w:rtl/>
        </w:rPr>
        <w:t>טופס</w:t>
      </w:r>
      <w:r w:rsidRPr="002B5E33">
        <w:rPr>
          <w:rFonts w:ascii="David" w:hAnsi="David" w:hint="cs"/>
          <w:rtl/>
        </w:rPr>
        <w:t xml:space="preserve"> עדכני לקבלת המידע הרלוונטי מחברות הביטוח באופן שיא</w:t>
      </w:r>
      <w:r w:rsidRPr="002B5E33">
        <w:rPr>
          <w:rFonts w:ascii="David" w:hAnsi="David" w:hint="eastAsia"/>
          <w:rtl/>
        </w:rPr>
        <w:t>פשר</w:t>
      </w:r>
      <w:r w:rsidRPr="002B5E33">
        <w:rPr>
          <w:rFonts w:ascii="David" w:hAnsi="David"/>
          <w:rtl/>
        </w:rPr>
        <w:t xml:space="preserve"> מעקב לפי שנת חיתום</w:t>
      </w:r>
      <w:r w:rsidRPr="002B5E33" w:rsidR="00795344">
        <w:rPr>
          <w:rFonts w:ascii="David" w:hAnsi="David" w:hint="cs"/>
          <w:rtl/>
        </w:rPr>
        <w:t>,</w:t>
      </w:r>
      <w:r w:rsidRPr="002B5E33">
        <w:rPr>
          <w:rFonts w:ascii="David" w:hAnsi="David"/>
          <w:rtl/>
        </w:rPr>
        <w:t xml:space="preserve"> וזאת </w:t>
      </w:r>
      <w:r w:rsidRPr="002B5E33">
        <w:rPr>
          <w:rFonts w:ascii="David" w:hAnsi="David" w:hint="cs"/>
          <w:rtl/>
        </w:rPr>
        <w:t>כדי</w:t>
      </w:r>
      <w:r w:rsidRPr="002B5E33">
        <w:rPr>
          <w:rFonts w:ascii="David" w:hAnsi="David"/>
          <w:rtl/>
        </w:rPr>
        <w:t xml:space="preserve"> להעריך את שיעור ההחזר למבוטחים בתום אפקט זה. </w:t>
      </w:r>
      <w:r w:rsidRPr="002B5E33">
        <w:rPr>
          <w:rFonts w:ascii="David" w:hAnsi="David" w:hint="cs"/>
          <w:rtl/>
        </w:rPr>
        <w:t>עוד ציינה הרשות, כאמור לעיל, כי בכוונתה לעדכן את הבחינה האמורה.</w:t>
      </w:r>
      <w:r w:rsidRPr="002B5E33">
        <w:rPr>
          <w:rFonts w:ascii="David" w:hAnsi="David"/>
          <w:rtl/>
        </w:rPr>
        <w:t xml:space="preserve"> הרשות </w:t>
      </w:r>
      <w:r w:rsidRPr="002B5E33">
        <w:rPr>
          <w:rFonts w:ascii="David" w:hAnsi="David" w:hint="cs"/>
          <w:rtl/>
        </w:rPr>
        <w:t xml:space="preserve">הוסיפה כי היא </w:t>
      </w:r>
      <w:r w:rsidRPr="002B5E33">
        <w:rPr>
          <w:rFonts w:ascii="David" w:hAnsi="David"/>
          <w:rtl/>
        </w:rPr>
        <w:t>בוחנת צעדים נוספים שישפרו את מצב המבוטח ויגבירו</w:t>
      </w:r>
      <w:r w:rsidRPr="002B5E33" w:rsidR="00795344">
        <w:rPr>
          <w:rFonts w:ascii="David" w:hAnsi="David" w:hint="cs"/>
          <w:rtl/>
        </w:rPr>
        <w:t xml:space="preserve"> את</w:t>
      </w:r>
      <w:r w:rsidRPr="002B5E33">
        <w:rPr>
          <w:rFonts w:ascii="David" w:hAnsi="David"/>
          <w:rtl/>
        </w:rPr>
        <w:t xml:space="preserve"> </w:t>
      </w:r>
      <w:r w:rsidRPr="002B5E33" w:rsidR="00795344">
        <w:rPr>
          <w:rFonts w:ascii="David" w:hAnsi="David" w:hint="cs"/>
          <w:rtl/>
        </w:rPr>
        <w:t>ה</w:t>
      </w:r>
      <w:r w:rsidRPr="002B5E33">
        <w:rPr>
          <w:rFonts w:ascii="David" w:hAnsi="David"/>
          <w:rtl/>
        </w:rPr>
        <w:t>תחרות בשוק ביטוחי הפרט</w:t>
      </w:r>
      <w:r w:rsidRPr="002B5E33">
        <w:rPr>
          <w:rFonts w:ascii="David" w:hAnsi="David" w:hint="cs"/>
          <w:rtl/>
        </w:rPr>
        <w:t xml:space="preserve"> לרבות בסיוע של רשות התחרות</w:t>
      </w:r>
      <w:r w:rsidRPr="002B5E33">
        <w:rPr>
          <w:rFonts w:ascii="David" w:hAnsi="David"/>
          <w:rtl/>
        </w:rPr>
        <w:t xml:space="preserve">. </w:t>
      </w:r>
    </w:p>
    <w:p w:rsidR="00647D4C" w:rsidRPr="003C14C0" w:rsidP="003C14C0">
      <w:pPr>
        <w:spacing w:line="269" w:lineRule="auto"/>
        <w:jc w:val="center"/>
        <w:rPr>
          <w:rFonts w:ascii="Arial" w:hAnsi="Arial" w:cs="Arial"/>
          <w:sz w:val="36"/>
        </w:rPr>
      </w:pPr>
      <w:r>
        <w:rPr>
          <w:rFonts w:ascii="Segoe UI Symbol" w:hAnsi="Segoe UI Symbol" w:cs="Segoe UI Symbol" w:hint="cs"/>
          <w:sz w:val="36"/>
          <w:rtl/>
        </w:rPr>
        <w:t>✰</w:t>
      </w:r>
    </w:p>
    <w:p w:rsidR="00B132F4" w:rsidRPr="002B5E33" w:rsidP="00ED5C0D">
      <w:pPr>
        <w:pStyle w:val="a"/>
        <w:spacing w:line="269" w:lineRule="auto"/>
        <w:rPr>
          <w:rFonts w:ascii="David" w:hAnsi="David"/>
          <w:rtl/>
        </w:rPr>
      </w:pPr>
    </w:p>
    <w:p w:rsidR="00B132F4" w:rsidRPr="002B5E33" w:rsidP="00ED5C0D">
      <w:pPr>
        <w:spacing w:line="269" w:lineRule="auto"/>
        <w:rPr>
          <w:rFonts w:ascii="David" w:hAnsi="David"/>
          <w:sz w:val="24"/>
          <w:rtl/>
        </w:rPr>
      </w:pPr>
      <w:r w:rsidRPr="002B5E33">
        <w:rPr>
          <w:rFonts w:ascii="David" w:hAnsi="David"/>
          <w:sz w:val="24"/>
          <w:rtl/>
        </w:rPr>
        <w:t xml:space="preserve">תחום ביטוחי הבריאות </w:t>
      </w:r>
      <w:r w:rsidRPr="002B5E33">
        <w:rPr>
          <w:rFonts w:ascii="David" w:hAnsi="David" w:hint="cs"/>
          <w:sz w:val="24"/>
          <w:rtl/>
        </w:rPr>
        <w:t>המסחריים</w:t>
      </w:r>
      <w:r w:rsidRPr="002B5E33">
        <w:rPr>
          <w:rFonts w:ascii="David" w:hAnsi="David"/>
          <w:sz w:val="24"/>
          <w:rtl/>
        </w:rPr>
        <w:t xml:space="preserve"> בישראל נמצא בעלייה דרמטית זה כשני עשורים, ותופס שיעור הולך וגדל מסל ההוצאה של משקי הבית. לאור זאת, </w:t>
      </w:r>
      <w:r w:rsidRPr="002B5E33">
        <w:rPr>
          <w:rFonts w:ascii="David" w:hAnsi="David" w:hint="cs"/>
          <w:sz w:val="24"/>
          <w:rtl/>
        </w:rPr>
        <w:t xml:space="preserve">גוברת </w:t>
      </w:r>
      <w:r w:rsidRPr="002B5E33">
        <w:rPr>
          <w:rFonts w:ascii="David" w:hAnsi="David"/>
          <w:sz w:val="24"/>
          <w:rtl/>
        </w:rPr>
        <w:t xml:space="preserve">חשיבותה של רשות שוק ההון, </w:t>
      </w:r>
      <w:r w:rsidRPr="002B5E33">
        <w:rPr>
          <w:rFonts w:ascii="David" w:hAnsi="David" w:hint="cs"/>
          <w:sz w:val="24"/>
          <w:rtl/>
        </w:rPr>
        <w:t>כמאסדר</w:t>
      </w:r>
      <w:r w:rsidRPr="002B5E33" w:rsidR="00DA2933">
        <w:rPr>
          <w:rFonts w:ascii="David" w:hAnsi="David" w:hint="cs"/>
          <w:sz w:val="24"/>
          <w:rtl/>
        </w:rPr>
        <w:t>ת</w:t>
      </w:r>
      <w:r w:rsidRPr="002B5E33">
        <w:rPr>
          <w:rFonts w:ascii="David" w:hAnsi="David"/>
          <w:sz w:val="24"/>
          <w:rtl/>
        </w:rPr>
        <w:t xml:space="preserve"> האחרא</w:t>
      </w:r>
      <w:r w:rsidRPr="002B5E33" w:rsidR="00DA2933">
        <w:rPr>
          <w:rFonts w:ascii="David" w:hAnsi="David"/>
          <w:sz w:val="24"/>
          <w:rtl/>
        </w:rPr>
        <w:t>י</w:t>
      </w:r>
      <w:r w:rsidRPr="002B5E33" w:rsidR="00DA2933">
        <w:rPr>
          <w:rFonts w:ascii="David" w:hAnsi="David" w:hint="cs"/>
          <w:sz w:val="24"/>
          <w:rtl/>
        </w:rPr>
        <w:t>ת</w:t>
      </w:r>
      <w:r w:rsidRPr="002B5E33">
        <w:rPr>
          <w:rFonts w:ascii="David" w:hAnsi="David"/>
          <w:sz w:val="24"/>
          <w:rtl/>
        </w:rPr>
        <w:t xml:space="preserve"> לתחום. </w:t>
      </w:r>
    </w:p>
    <w:p w:rsidR="00B132F4" w:rsidRPr="002B5E33" w:rsidP="00ED5C0D">
      <w:pPr>
        <w:pStyle w:val="a"/>
        <w:spacing w:line="269" w:lineRule="auto"/>
        <w:rPr>
          <w:rtl/>
        </w:rPr>
      </w:pPr>
    </w:p>
    <w:p w:rsidR="00632F5E" w:rsidP="00ED5C0D">
      <w:pPr>
        <w:spacing w:line="269" w:lineRule="auto"/>
        <w:rPr>
          <w:rStyle w:val="Strong"/>
          <w:bCs w:val="0"/>
          <w:rtl/>
        </w:rPr>
      </w:pPr>
      <w:r w:rsidRPr="002B5E33">
        <w:rPr>
          <w:rStyle w:val="Strong"/>
          <w:b w:val="0"/>
          <w:rtl/>
        </w:rPr>
        <w:t>משרד מבקר המדינה רואה בחיוב את פעילות הרשות שבוצעה במסגרת הרפורמה ו</w:t>
      </w:r>
      <w:r w:rsidRPr="002B5E33">
        <w:rPr>
          <w:rStyle w:val="Strong"/>
          <w:rFonts w:hint="eastAsia"/>
          <w:b w:val="0"/>
          <w:rtl/>
        </w:rPr>
        <w:t>ביישום</w:t>
      </w:r>
      <w:r w:rsidRPr="002B5E33">
        <w:rPr>
          <w:rStyle w:val="Strong"/>
          <w:b w:val="0"/>
          <w:rtl/>
        </w:rPr>
        <w:t xml:space="preserve"> המלצות ועדות מקצועיות בתחום </w:t>
      </w:r>
      <w:r w:rsidRPr="002B5E33">
        <w:rPr>
          <w:rStyle w:val="Strong"/>
          <w:rFonts w:hint="eastAsia"/>
          <w:b w:val="0"/>
          <w:rtl/>
        </w:rPr>
        <w:t>תוך</w:t>
      </w:r>
      <w:r w:rsidRPr="002B5E33">
        <w:rPr>
          <w:rStyle w:val="Strong"/>
          <w:b w:val="0"/>
          <w:rtl/>
        </w:rPr>
        <w:t xml:space="preserve"> איתור כשלים בתחום ביטוחי הבריאות, בניסיון הטיפול בהם, ובמעקב שהיא מבצעת אחר הפעולות בהם נקטה. עם זאת, כפי ש</w:t>
      </w:r>
      <w:r w:rsidRPr="002B5E33">
        <w:rPr>
          <w:rStyle w:val="Strong"/>
          <w:rFonts w:hint="eastAsia"/>
          <w:b w:val="0"/>
          <w:rtl/>
        </w:rPr>
        <w:t>מ</w:t>
      </w:r>
      <w:r w:rsidRPr="002B5E33">
        <w:rPr>
          <w:rStyle w:val="Strong"/>
          <w:b w:val="0"/>
          <w:rtl/>
        </w:rPr>
        <w:t xml:space="preserve">תואר </w:t>
      </w:r>
      <w:r w:rsidRPr="002B5E33">
        <w:rPr>
          <w:rStyle w:val="Strong"/>
          <w:rFonts w:hint="eastAsia"/>
          <w:b w:val="0"/>
          <w:rtl/>
        </w:rPr>
        <w:t>ב</w:t>
      </w:r>
      <w:r w:rsidRPr="002B5E33">
        <w:rPr>
          <w:rStyle w:val="Strong"/>
          <w:b w:val="0"/>
          <w:rtl/>
        </w:rPr>
        <w:t xml:space="preserve">דוח, נמצאו ליקויים </w:t>
      </w:r>
      <w:r w:rsidRPr="002B5E33">
        <w:rPr>
          <w:rStyle w:val="Strong"/>
          <w:rFonts w:hint="eastAsia"/>
          <w:b w:val="0"/>
          <w:rtl/>
        </w:rPr>
        <w:t>אשר</w:t>
      </w:r>
      <w:r w:rsidRPr="002B5E33">
        <w:rPr>
          <w:rStyle w:val="Strong"/>
          <w:b w:val="0"/>
          <w:rtl/>
        </w:rPr>
        <w:t xml:space="preserve"> הרשות, והרפורמה אותה יישמה, לא סיפקו </w:t>
      </w:r>
      <w:r w:rsidRPr="002B5E33">
        <w:rPr>
          <w:rStyle w:val="Strong"/>
          <w:rFonts w:hint="eastAsia"/>
          <w:b w:val="0"/>
          <w:rtl/>
        </w:rPr>
        <w:t>להם</w:t>
      </w:r>
      <w:r w:rsidRPr="002B5E33">
        <w:rPr>
          <w:rStyle w:val="Strong"/>
          <w:b w:val="0"/>
          <w:rtl/>
        </w:rPr>
        <w:t xml:space="preserve"> מענה הולם, </w:t>
      </w:r>
      <w:r w:rsidRPr="002B5E33">
        <w:rPr>
          <w:rStyle w:val="Strong"/>
          <w:rFonts w:hint="eastAsia"/>
          <w:b w:val="0"/>
          <w:rtl/>
        </w:rPr>
        <w:t>ואף</w:t>
      </w:r>
      <w:r w:rsidRPr="002B5E33">
        <w:rPr>
          <w:rStyle w:val="Strong"/>
          <w:b w:val="0"/>
          <w:rtl/>
        </w:rPr>
        <w:t xml:space="preserve"> </w:t>
      </w:r>
      <w:r w:rsidRPr="002B5E33">
        <w:rPr>
          <w:rStyle w:val="Strong"/>
          <w:rFonts w:hint="eastAsia"/>
          <w:b w:val="0"/>
          <w:rtl/>
        </w:rPr>
        <w:t>בחינת</w:t>
      </w:r>
      <w:r w:rsidRPr="002B5E33">
        <w:rPr>
          <w:rStyle w:val="Strong"/>
          <w:b w:val="0"/>
          <w:rtl/>
        </w:rPr>
        <w:t xml:space="preserve"> </w:t>
      </w:r>
      <w:r w:rsidRPr="002B5E33">
        <w:rPr>
          <w:rStyle w:val="Strong"/>
          <w:rFonts w:hint="eastAsia"/>
          <w:b w:val="0"/>
          <w:rtl/>
        </w:rPr>
        <w:t>תוצאות</w:t>
      </w:r>
      <w:r w:rsidRPr="002B5E33">
        <w:rPr>
          <w:rStyle w:val="Strong"/>
          <w:b w:val="0"/>
          <w:rtl/>
        </w:rPr>
        <w:t xml:space="preserve"> הרפורמה </w:t>
      </w:r>
      <w:r w:rsidRPr="002B5E33">
        <w:rPr>
          <w:rStyle w:val="Strong"/>
          <w:rFonts w:hint="eastAsia"/>
          <w:b w:val="0"/>
          <w:rtl/>
        </w:rPr>
        <w:t>בוצעה</w:t>
      </w:r>
      <w:r w:rsidRPr="002B5E33">
        <w:rPr>
          <w:rStyle w:val="Strong"/>
          <w:b w:val="0"/>
          <w:rtl/>
        </w:rPr>
        <w:t xml:space="preserve"> </w:t>
      </w:r>
      <w:r w:rsidRPr="002B5E33">
        <w:rPr>
          <w:rStyle w:val="Strong"/>
          <w:rFonts w:hint="eastAsia"/>
          <w:b w:val="0"/>
          <w:rtl/>
        </w:rPr>
        <w:t>באופן</w:t>
      </w:r>
      <w:r w:rsidRPr="002B5E33">
        <w:rPr>
          <w:rStyle w:val="Strong"/>
          <w:b w:val="0"/>
          <w:rtl/>
        </w:rPr>
        <w:t xml:space="preserve"> </w:t>
      </w:r>
      <w:r w:rsidRPr="002B5E33">
        <w:rPr>
          <w:rStyle w:val="Strong"/>
          <w:rFonts w:hint="eastAsia"/>
          <w:b w:val="0"/>
          <w:rtl/>
        </w:rPr>
        <w:t>חלקי</w:t>
      </w:r>
      <w:r w:rsidRPr="002B5E33">
        <w:rPr>
          <w:rStyle w:val="Strong"/>
          <w:b w:val="0"/>
          <w:rtl/>
        </w:rPr>
        <w:t>.</w:t>
      </w:r>
      <w:r w:rsidRPr="002B5E33">
        <w:rPr>
          <w:rStyle w:val="Strong"/>
          <w:bCs w:val="0"/>
          <w:rtl/>
        </w:rPr>
        <w:t xml:space="preserve"> </w:t>
      </w:r>
    </w:p>
    <w:p w:rsidR="0078749E" w:rsidP="00ED5C0D">
      <w:pPr>
        <w:spacing w:line="269" w:lineRule="auto"/>
        <w:rPr>
          <w:rStyle w:val="Strong"/>
          <w:bCs w:val="0"/>
          <w:rtl/>
        </w:rPr>
      </w:pPr>
    </w:p>
    <w:p w:rsidR="00257804" w:rsidRPr="002B5E33" w:rsidP="00ED5C0D">
      <w:pPr>
        <w:spacing w:line="269" w:lineRule="auto"/>
        <w:rPr>
          <w:rFonts w:ascii="David" w:hAnsi="David"/>
          <w:sz w:val="24"/>
          <w:rtl/>
        </w:rPr>
      </w:pPr>
      <w:r w:rsidRPr="002B5E33">
        <w:rPr>
          <w:rStyle w:val="Strong"/>
          <w:rFonts w:hint="cs"/>
          <w:bCs w:val="0"/>
          <w:rtl/>
        </w:rPr>
        <w:t xml:space="preserve">לדוגמה, </w:t>
      </w:r>
      <w:r w:rsidRPr="002B5E33">
        <w:rPr>
          <w:rFonts w:ascii="David" w:hAnsi="David" w:hint="cs"/>
          <w:sz w:val="24"/>
          <w:rtl/>
        </w:rPr>
        <w:t xml:space="preserve">הרשות לא בחנה את השפעת הרפורמה על שיעורי ההחזר למבוטחים, על הסכומים העודפים ועל שיעורי הרווח של החברות. כמו כן, </w:t>
      </w:r>
      <w:r w:rsidRPr="002B5E33">
        <w:rPr>
          <w:rFonts w:ascii="David" w:hAnsi="David"/>
          <w:sz w:val="24"/>
          <w:rtl/>
        </w:rPr>
        <w:t xml:space="preserve">הרשות </w:t>
      </w:r>
      <w:r w:rsidRPr="002B5E33">
        <w:rPr>
          <w:rFonts w:ascii="David" w:hAnsi="David" w:hint="cs"/>
          <w:sz w:val="24"/>
          <w:rtl/>
        </w:rPr>
        <w:t>אינה</w:t>
      </w:r>
      <w:r w:rsidRPr="002B5E33">
        <w:rPr>
          <w:rFonts w:ascii="David" w:hAnsi="David"/>
          <w:sz w:val="24"/>
          <w:rtl/>
        </w:rPr>
        <w:t xml:space="preserve"> אוספת</w:t>
      </w:r>
      <w:r w:rsidRPr="002B5E33">
        <w:rPr>
          <w:rFonts w:ascii="David" w:hAnsi="David" w:hint="cs"/>
          <w:sz w:val="24"/>
          <w:rtl/>
        </w:rPr>
        <w:t xml:space="preserve"> ומנתחת באופן תדיר</w:t>
      </w:r>
      <w:r w:rsidRPr="002B5E33">
        <w:rPr>
          <w:rFonts w:ascii="David" w:hAnsi="David"/>
          <w:sz w:val="24"/>
          <w:rtl/>
        </w:rPr>
        <w:t xml:space="preserve"> את כל</w:t>
      </w:r>
      <w:r w:rsidRPr="002B5E33">
        <w:rPr>
          <w:rFonts w:ascii="David" w:hAnsi="David" w:hint="cs"/>
          <w:sz w:val="24"/>
          <w:rtl/>
        </w:rPr>
        <w:t>ל</w:t>
      </w:r>
      <w:r w:rsidRPr="002B5E33">
        <w:rPr>
          <w:rFonts w:ascii="David" w:hAnsi="David"/>
          <w:sz w:val="24"/>
          <w:rtl/>
        </w:rPr>
        <w:t xml:space="preserve"> הנתונים הנדרשים לעבודתה</w:t>
      </w:r>
      <w:r w:rsidRPr="002B5E33">
        <w:rPr>
          <w:rFonts w:ascii="David" w:hAnsi="David" w:hint="cs"/>
          <w:sz w:val="24"/>
          <w:rtl/>
        </w:rPr>
        <w:t xml:space="preserve"> דוגמת מחיר הפרמיה הממוצעת והיקף תופעת כפל הביטוח. הרשות גם לא </w:t>
      </w:r>
      <w:r w:rsidRPr="002B5E33">
        <w:rPr>
          <w:rFonts w:ascii="David" w:hAnsi="David"/>
          <w:sz w:val="24"/>
          <w:rtl/>
        </w:rPr>
        <w:t xml:space="preserve">כימתה את </w:t>
      </w:r>
      <w:r w:rsidRPr="002B5E33">
        <w:rPr>
          <w:rFonts w:ascii="David" w:hAnsi="David" w:hint="cs"/>
          <w:sz w:val="24"/>
          <w:rtl/>
        </w:rPr>
        <w:t xml:space="preserve">הסכום העודף </w:t>
      </w:r>
      <w:r w:rsidRPr="002B5E33">
        <w:rPr>
          <w:rFonts w:ascii="David" w:hAnsi="David"/>
          <w:sz w:val="24"/>
          <w:rtl/>
        </w:rPr>
        <w:t xml:space="preserve">של חברות הביטוח </w:t>
      </w:r>
      <w:r w:rsidRPr="002B5E33">
        <w:rPr>
          <w:rFonts w:ascii="David" w:hAnsi="David" w:hint="cs"/>
          <w:sz w:val="24"/>
          <w:rtl/>
        </w:rPr>
        <w:t xml:space="preserve">שהתקבל </w:t>
      </w:r>
      <w:r w:rsidRPr="002B5E33">
        <w:rPr>
          <w:rFonts w:ascii="David" w:hAnsi="David"/>
          <w:sz w:val="24"/>
          <w:rtl/>
        </w:rPr>
        <w:t>מתחום ביטוחי הפרט</w:t>
      </w:r>
      <w:r w:rsidRPr="002B5E33">
        <w:rPr>
          <w:rFonts w:ascii="David" w:hAnsi="David" w:hint="cs"/>
          <w:sz w:val="24"/>
          <w:rtl/>
        </w:rPr>
        <w:t xml:space="preserve"> לעומת </w:t>
      </w:r>
      <w:r w:rsidRPr="002B5E33">
        <w:rPr>
          <w:rFonts w:ascii="David" w:hAnsi="David"/>
          <w:sz w:val="24"/>
          <w:rtl/>
        </w:rPr>
        <w:t xml:space="preserve">הסכום העודף </w:t>
      </w:r>
      <w:r w:rsidRPr="002B5E33">
        <w:rPr>
          <w:rFonts w:ascii="David" w:hAnsi="David" w:hint="cs"/>
          <w:sz w:val="24"/>
          <w:rtl/>
        </w:rPr>
        <w:t>שהתקבל מהביטוחים הקבוצתיים,</w:t>
      </w:r>
      <w:r w:rsidRPr="002B5E33">
        <w:rPr>
          <w:rFonts w:ascii="David" w:hAnsi="David"/>
          <w:sz w:val="24"/>
          <w:rtl/>
        </w:rPr>
        <w:t xml:space="preserve"> ולא ניתחה את הגורמים </w:t>
      </w:r>
      <w:r w:rsidRPr="002B5E33">
        <w:rPr>
          <w:rFonts w:ascii="David" w:hAnsi="David" w:hint="cs"/>
          <w:sz w:val="24"/>
          <w:rtl/>
        </w:rPr>
        <w:t>להבדל.</w:t>
      </w:r>
      <w:r w:rsidR="00944242">
        <w:rPr>
          <w:rFonts w:ascii="David" w:hAnsi="David" w:hint="cs"/>
          <w:sz w:val="24"/>
          <w:rtl/>
        </w:rPr>
        <w:t xml:space="preserve"> </w:t>
      </w:r>
    </w:p>
    <w:p w:rsidR="00B132F4" w:rsidRPr="002B5E33" w:rsidP="00ED5C0D">
      <w:pPr>
        <w:pStyle w:val="a"/>
        <w:spacing w:line="269" w:lineRule="auto"/>
        <w:rPr>
          <w:rFonts w:ascii="David" w:hAnsi="David"/>
          <w:rtl/>
        </w:rPr>
      </w:pPr>
    </w:p>
    <w:p w:rsidR="00257804" w:rsidRPr="002B5E33" w:rsidP="00ED5C0D">
      <w:pPr>
        <w:spacing w:line="269" w:lineRule="auto"/>
        <w:rPr>
          <w:b/>
          <w:bCs/>
          <w:rtl/>
        </w:rPr>
      </w:pPr>
      <w:r w:rsidRPr="002B5E33">
        <w:rPr>
          <w:rFonts w:ascii="David" w:hAnsi="David" w:hint="cs"/>
          <w:b/>
          <w:bCs/>
          <w:sz w:val="24"/>
          <w:rtl/>
        </w:rPr>
        <w:t>משרד מבקר המדינה ממליץ ל</w:t>
      </w:r>
      <w:r w:rsidRPr="002B5E33">
        <w:rPr>
          <w:rFonts w:ascii="David" w:hAnsi="David"/>
          <w:b/>
          <w:bCs/>
          <w:sz w:val="24"/>
          <w:rtl/>
        </w:rPr>
        <w:t xml:space="preserve">רשות שוק ההון </w:t>
      </w:r>
      <w:r w:rsidRPr="002B5E33">
        <w:rPr>
          <w:rFonts w:ascii="David" w:hAnsi="David" w:hint="eastAsia"/>
          <w:b/>
          <w:bCs/>
          <w:sz w:val="24"/>
          <w:rtl/>
        </w:rPr>
        <w:t>לבחון</w:t>
      </w:r>
      <w:r w:rsidRPr="002B5E33">
        <w:rPr>
          <w:rFonts w:ascii="David" w:hAnsi="David"/>
          <w:b/>
          <w:bCs/>
          <w:sz w:val="24"/>
          <w:rtl/>
        </w:rPr>
        <w:t xml:space="preserve"> </w:t>
      </w:r>
      <w:r w:rsidRPr="002B5E33">
        <w:rPr>
          <w:rFonts w:ascii="David" w:hAnsi="David" w:hint="eastAsia"/>
          <w:b/>
          <w:bCs/>
          <w:sz w:val="24"/>
          <w:rtl/>
        </w:rPr>
        <w:t>אם</w:t>
      </w:r>
      <w:r w:rsidRPr="002B5E33">
        <w:rPr>
          <w:rFonts w:ascii="David" w:hAnsi="David"/>
          <w:b/>
          <w:bCs/>
          <w:sz w:val="24"/>
          <w:rtl/>
        </w:rPr>
        <w:t xml:space="preserve"> </w:t>
      </w:r>
      <w:r w:rsidRPr="002B5E33">
        <w:rPr>
          <w:rFonts w:ascii="David" w:hAnsi="David" w:hint="eastAsia"/>
          <w:b/>
          <w:bCs/>
          <w:sz w:val="24"/>
          <w:rtl/>
        </w:rPr>
        <w:t>הרפורמה</w:t>
      </w:r>
      <w:r w:rsidRPr="002B5E33">
        <w:rPr>
          <w:rFonts w:ascii="David" w:hAnsi="David"/>
          <w:b/>
          <w:bCs/>
          <w:sz w:val="24"/>
          <w:rtl/>
        </w:rPr>
        <w:t xml:space="preserve"> </w:t>
      </w:r>
      <w:r w:rsidRPr="002B5E33">
        <w:rPr>
          <w:rFonts w:ascii="David" w:hAnsi="David" w:hint="cs"/>
          <w:b/>
          <w:bCs/>
          <w:sz w:val="24"/>
          <w:rtl/>
        </w:rPr>
        <w:t>שביצעה</w:t>
      </w:r>
      <w:r w:rsidRPr="002B5E33">
        <w:rPr>
          <w:rFonts w:ascii="David" w:hAnsi="David"/>
          <w:b/>
          <w:bCs/>
          <w:sz w:val="24"/>
          <w:rtl/>
        </w:rPr>
        <w:t xml:space="preserve"> </w:t>
      </w:r>
      <w:r w:rsidRPr="002B5E33">
        <w:rPr>
          <w:rFonts w:ascii="David" w:hAnsi="David" w:hint="eastAsia"/>
          <w:b/>
          <w:bCs/>
          <w:sz w:val="24"/>
          <w:rtl/>
        </w:rPr>
        <w:t>אכן</w:t>
      </w:r>
      <w:r w:rsidRPr="002B5E33">
        <w:rPr>
          <w:rFonts w:ascii="David" w:hAnsi="David"/>
          <w:b/>
          <w:bCs/>
          <w:sz w:val="24"/>
          <w:rtl/>
        </w:rPr>
        <w:t xml:space="preserve"> </w:t>
      </w:r>
      <w:r w:rsidRPr="002B5E33">
        <w:rPr>
          <w:rFonts w:ascii="David" w:hAnsi="David" w:hint="eastAsia"/>
          <w:b/>
          <w:bCs/>
          <w:sz w:val="24"/>
          <w:rtl/>
        </w:rPr>
        <w:t>הביאה</w:t>
      </w:r>
      <w:r w:rsidRPr="002B5E33">
        <w:rPr>
          <w:rFonts w:ascii="David" w:hAnsi="David"/>
          <w:b/>
          <w:bCs/>
          <w:sz w:val="24"/>
          <w:rtl/>
        </w:rPr>
        <w:t xml:space="preserve"> לפתרון</w:t>
      </w:r>
      <w:r w:rsidRPr="002B5E33">
        <w:rPr>
          <w:rFonts w:ascii="David" w:hAnsi="David" w:hint="cs"/>
          <w:b/>
          <w:bCs/>
          <w:sz w:val="24"/>
          <w:rtl/>
        </w:rPr>
        <w:t xml:space="preserve"> ה</w:t>
      </w:r>
      <w:r w:rsidRPr="002B5E33">
        <w:rPr>
          <w:rFonts w:ascii="David" w:hAnsi="David"/>
          <w:b/>
          <w:bCs/>
          <w:sz w:val="24"/>
          <w:rtl/>
        </w:rPr>
        <w:t xml:space="preserve">כשלים </w:t>
      </w:r>
      <w:r w:rsidRPr="002B5E33">
        <w:rPr>
          <w:rFonts w:ascii="David" w:hAnsi="David" w:hint="cs"/>
          <w:b/>
          <w:bCs/>
          <w:sz w:val="24"/>
          <w:rtl/>
        </w:rPr>
        <w:t>שעימם היא</w:t>
      </w:r>
      <w:r w:rsidRPr="002B5E33">
        <w:rPr>
          <w:rFonts w:ascii="David" w:hAnsi="David"/>
          <w:b/>
          <w:bCs/>
          <w:sz w:val="24"/>
          <w:rtl/>
        </w:rPr>
        <w:t xml:space="preserve"> </w:t>
      </w:r>
      <w:r w:rsidRPr="002B5E33">
        <w:rPr>
          <w:rFonts w:ascii="David" w:hAnsi="David" w:hint="cs"/>
          <w:b/>
          <w:bCs/>
          <w:sz w:val="24"/>
          <w:rtl/>
        </w:rPr>
        <w:t>נועדה</w:t>
      </w:r>
      <w:r w:rsidRPr="002B5E33">
        <w:rPr>
          <w:rFonts w:ascii="David" w:hAnsi="David"/>
          <w:b/>
          <w:bCs/>
          <w:sz w:val="24"/>
          <w:rtl/>
        </w:rPr>
        <w:t xml:space="preserve"> להתמודד</w:t>
      </w:r>
      <w:r w:rsidRPr="002B5E33">
        <w:rPr>
          <w:rFonts w:ascii="David" w:hAnsi="David" w:hint="cs"/>
          <w:b/>
          <w:bCs/>
          <w:sz w:val="24"/>
          <w:rtl/>
        </w:rPr>
        <w:t>,</w:t>
      </w:r>
      <w:r w:rsidRPr="002B5E33">
        <w:rPr>
          <w:rFonts w:ascii="David" w:hAnsi="David"/>
          <w:b/>
          <w:bCs/>
          <w:sz w:val="24"/>
          <w:rtl/>
        </w:rPr>
        <w:t xml:space="preserve"> </w:t>
      </w:r>
      <w:r w:rsidRPr="002B5E33">
        <w:rPr>
          <w:rFonts w:ascii="David" w:hAnsi="David" w:hint="eastAsia"/>
          <w:b/>
          <w:bCs/>
          <w:sz w:val="24"/>
          <w:rtl/>
        </w:rPr>
        <w:t>ובמידת</w:t>
      </w:r>
      <w:r w:rsidRPr="002B5E33">
        <w:rPr>
          <w:rFonts w:ascii="David" w:hAnsi="David"/>
          <w:b/>
          <w:bCs/>
          <w:sz w:val="24"/>
          <w:rtl/>
        </w:rPr>
        <w:t xml:space="preserve"> הצורך </w:t>
      </w:r>
      <w:r w:rsidRPr="002B5E33">
        <w:rPr>
          <w:rFonts w:ascii="David" w:hAnsi="David" w:hint="eastAsia"/>
          <w:b/>
          <w:bCs/>
          <w:sz w:val="24"/>
          <w:rtl/>
        </w:rPr>
        <w:t>לנקוט</w:t>
      </w:r>
      <w:r w:rsidRPr="002B5E33">
        <w:rPr>
          <w:rFonts w:ascii="David" w:hAnsi="David"/>
          <w:b/>
          <w:bCs/>
          <w:sz w:val="24"/>
          <w:rtl/>
        </w:rPr>
        <w:t xml:space="preserve"> צעדים נוספים </w:t>
      </w:r>
      <w:r w:rsidRPr="002B5E33">
        <w:rPr>
          <w:rFonts w:ascii="David" w:hAnsi="David" w:hint="eastAsia"/>
          <w:b/>
          <w:bCs/>
          <w:sz w:val="24"/>
          <w:rtl/>
        </w:rPr>
        <w:t>כדי</w:t>
      </w:r>
      <w:r w:rsidRPr="002B5E33">
        <w:rPr>
          <w:rFonts w:ascii="David" w:hAnsi="David"/>
          <w:b/>
          <w:bCs/>
          <w:sz w:val="24"/>
          <w:rtl/>
        </w:rPr>
        <w:t xml:space="preserve"> </w:t>
      </w:r>
      <w:r w:rsidRPr="002B5E33">
        <w:rPr>
          <w:rFonts w:ascii="David" w:hAnsi="David" w:hint="eastAsia"/>
          <w:b/>
          <w:bCs/>
          <w:sz w:val="24"/>
          <w:rtl/>
        </w:rPr>
        <w:t>למזער</w:t>
      </w:r>
      <w:r w:rsidRPr="002B5E33">
        <w:rPr>
          <w:rFonts w:ascii="David" w:hAnsi="David"/>
          <w:b/>
          <w:bCs/>
          <w:sz w:val="24"/>
          <w:rtl/>
        </w:rPr>
        <w:t xml:space="preserve"> </w:t>
      </w:r>
      <w:r w:rsidRPr="002B5E33">
        <w:rPr>
          <w:rFonts w:ascii="David" w:hAnsi="David" w:hint="eastAsia"/>
          <w:b/>
          <w:bCs/>
          <w:sz w:val="24"/>
          <w:rtl/>
        </w:rPr>
        <w:t>את</w:t>
      </w:r>
      <w:r w:rsidRPr="002B5E33">
        <w:rPr>
          <w:rFonts w:ascii="David" w:hAnsi="David"/>
          <w:b/>
          <w:bCs/>
          <w:sz w:val="24"/>
          <w:rtl/>
        </w:rPr>
        <w:t xml:space="preserve"> </w:t>
      </w:r>
      <w:r w:rsidRPr="002B5E33">
        <w:rPr>
          <w:rFonts w:ascii="David" w:hAnsi="David" w:hint="eastAsia"/>
          <w:b/>
          <w:bCs/>
          <w:sz w:val="24"/>
          <w:rtl/>
        </w:rPr>
        <w:t>הכשלים</w:t>
      </w:r>
      <w:r w:rsidRPr="002B5E33">
        <w:rPr>
          <w:rFonts w:ascii="David" w:hAnsi="David"/>
          <w:b/>
          <w:bCs/>
          <w:sz w:val="24"/>
          <w:rtl/>
        </w:rPr>
        <w:t xml:space="preserve"> </w:t>
      </w:r>
      <w:r w:rsidRPr="002B5E33">
        <w:rPr>
          <w:rFonts w:ascii="David" w:hAnsi="David" w:hint="eastAsia"/>
          <w:b/>
          <w:bCs/>
          <w:sz w:val="24"/>
          <w:rtl/>
        </w:rPr>
        <w:t>הקיימים</w:t>
      </w:r>
      <w:r w:rsidRPr="002B5E33">
        <w:rPr>
          <w:rFonts w:ascii="David" w:hAnsi="David"/>
          <w:b/>
          <w:bCs/>
          <w:sz w:val="24"/>
          <w:rtl/>
        </w:rPr>
        <w:t xml:space="preserve"> </w:t>
      </w:r>
      <w:r w:rsidRPr="002B5E33">
        <w:rPr>
          <w:rFonts w:ascii="David" w:hAnsi="David" w:hint="eastAsia"/>
          <w:b/>
          <w:bCs/>
          <w:sz w:val="24"/>
          <w:rtl/>
        </w:rPr>
        <w:t>בתחום</w:t>
      </w:r>
      <w:r w:rsidRPr="002B5E33">
        <w:rPr>
          <w:rFonts w:ascii="David" w:hAnsi="David"/>
          <w:b/>
          <w:bCs/>
          <w:sz w:val="24"/>
          <w:rtl/>
        </w:rPr>
        <w:t xml:space="preserve"> </w:t>
      </w:r>
      <w:r w:rsidRPr="002B5E33">
        <w:rPr>
          <w:rFonts w:ascii="David" w:hAnsi="David" w:hint="eastAsia"/>
          <w:b/>
          <w:bCs/>
          <w:sz w:val="24"/>
          <w:rtl/>
        </w:rPr>
        <w:t>ביטוחי</w:t>
      </w:r>
      <w:r w:rsidRPr="002B5E33">
        <w:rPr>
          <w:rFonts w:ascii="David" w:hAnsi="David"/>
          <w:b/>
          <w:bCs/>
          <w:sz w:val="24"/>
          <w:rtl/>
        </w:rPr>
        <w:t xml:space="preserve"> </w:t>
      </w:r>
      <w:r w:rsidRPr="002B5E33">
        <w:rPr>
          <w:rFonts w:ascii="David" w:hAnsi="David" w:hint="eastAsia"/>
          <w:b/>
          <w:bCs/>
          <w:sz w:val="24"/>
          <w:rtl/>
        </w:rPr>
        <w:t>הבריאות</w:t>
      </w:r>
      <w:r w:rsidRPr="002B5E33">
        <w:rPr>
          <w:rFonts w:ascii="David" w:hAnsi="David" w:hint="cs"/>
          <w:b/>
          <w:bCs/>
          <w:sz w:val="24"/>
          <w:rtl/>
        </w:rPr>
        <w:t xml:space="preserve">. </w:t>
      </w:r>
      <w:r w:rsidRPr="002B5E33">
        <w:rPr>
          <w:rFonts w:ascii="David" w:hAnsi="David"/>
          <w:b/>
          <w:bCs/>
          <w:sz w:val="24"/>
          <w:rtl/>
        </w:rPr>
        <w:t xml:space="preserve">על </w:t>
      </w:r>
      <w:r w:rsidRPr="002B5E33">
        <w:rPr>
          <w:rFonts w:ascii="David" w:hAnsi="David" w:hint="cs"/>
          <w:b/>
          <w:bCs/>
          <w:sz w:val="24"/>
          <w:rtl/>
        </w:rPr>
        <w:t>ה</w:t>
      </w:r>
      <w:r w:rsidRPr="002B5E33">
        <w:rPr>
          <w:rFonts w:ascii="David" w:hAnsi="David"/>
          <w:b/>
          <w:bCs/>
          <w:sz w:val="24"/>
          <w:rtl/>
        </w:rPr>
        <w:t>רשות לשקול להגדיר בת</w:t>
      </w:r>
      <w:r w:rsidRPr="002B5E33">
        <w:rPr>
          <w:rFonts w:ascii="David" w:hAnsi="David" w:hint="cs"/>
          <w:b/>
          <w:bCs/>
          <w:sz w:val="24"/>
          <w:rtl/>
        </w:rPr>
        <w:t>ו</w:t>
      </w:r>
      <w:r w:rsidRPr="002B5E33">
        <w:rPr>
          <w:rFonts w:ascii="David" w:hAnsi="David"/>
          <w:b/>
          <w:bCs/>
          <w:sz w:val="24"/>
          <w:rtl/>
        </w:rPr>
        <w:t xml:space="preserve">כנית העבודה שלה יעדים מדידים לפרמטרים </w:t>
      </w:r>
      <w:r w:rsidRPr="002B5E33">
        <w:rPr>
          <w:rFonts w:ascii="David" w:hAnsi="David" w:hint="cs"/>
          <w:b/>
          <w:bCs/>
          <w:sz w:val="24"/>
          <w:rtl/>
        </w:rPr>
        <w:t>בעלי חשיבות,</w:t>
      </w:r>
      <w:r w:rsidRPr="002B5E33">
        <w:rPr>
          <w:rFonts w:ascii="David" w:hAnsi="David"/>
          <w:b/>
          <w:bCs/>
          <w:sz w:val="24"/>
          <w:rtl/>
        </w:rPr>
        <w:t xml:space="preserve"> כגון שיעור ה</w:t>
      </w:r>
      <w:r w:rsidRPr="002B5E33" w:rsidR="00A0668B">
        <w:rPr>
          <w:rFonts w:ascii="David" w:hAnsi="David" w:hint="cs"/>
          <w:b/>
          <w:bCs/>
          <w:sz w:val="24"/>
          <w:rtl/>
        </w:rPr>
        <w:t xml:space="preserve">תשלום הישיר </w:t>
      </w:r>
      <w:r w:rsidRPr="002B5E33">
        <w:rPr>
          <w:rFonts w:ascii="David" w:hAnsi="David"/>
          <w:b/>
          <w:bCs/>
          <w:sz w:val="24"/>
          <w:rtl/>
        </w:rPr>
        <w:t>למבוטח</w:t>
      </w:r>
      <w:r w:rsidRPr="002B5E33">
        <w:rPr>
          <w:rFonts w:ascii="David" w:hAnsi="David" w:hint="cs"/>
          <w:b/>
          <w:bCs/>
          <w:sz w:val="24"/>
          <w:rtl/>
        </w:rPr>
        <w:t xml:space="preserve"> ו</w:t>
      </w:r>
      <w:r w:rsidRPr="002B5E33">
        <w:rPr>
          <w:rFonts w:ascii="David" w:hAnsi="David"/>
          <w:b/>
          <w:bCs/>
          <w:sz w:val="24"/>
          <w:rtl/>
        </w:rPr>
        <w:t xml:space="preserve">שיעור </w:t>
      </w:r>
      <w:r w:rsidRPr="002B5E33">
        <w:rPr>
          <w:rFonts w:ascii="David" w:hAnsi="David" w:hint="cs"/>
          <w:b/>
          <w:bCs/>
          <w:sz w:val="24"/>
          <w:rtl/>
        </w:rPr>
        <w:t>הסכומים העודפים של החברות, תוך בחינה שיטתית ועקבית של הגורמים המשפיעים עליהם.</w:t>
      </w:r>
      <w:r w:rsidRPr="002B5E33">
        <w:rPr>
          <w:rFonts w:ascii="David" w:hAnsi="David"/>
          <w:b/>
          <w:bCs/>
          <w:sz w:val="24"/>
          <w:rtl/>
        </w:rPr>
        <w:t xml:space="preserve"> באופן זה הרשות תוכל לבחון את השפעת צעדיה בתחום ולמדוד את </w:t>
      </w:r>
      <w:r w:rsidRPr="002B5E33">
        <w:rPr>
          <w:rFonts w:ascii="David" w:hAnsi="David" w:hint="eastAsia"/>
          <w:b/>
          <w:bCs/>
          <w:sz w:val="24"/>
          <w:rtl/>
        </w:rPr>
        <w:t>טיב</w:t>
      </w:r>
      <w:r w:rsidRPr="002B5E33">
        <w:rPr>
          <w:rFonts w:ascii="David" w:hAnsi="David"/>
          <w:b/>
          <w:bCs/>
          <w:sz w:val="24"/>
          <w:rtl/>
        </w:rPr>
        <w:t xml:space="preserve"> </w:t>
      </w:r>
      <w:r w:rsidRPr="002B5E33">
        <w:rPr>
          <w:rFonts w:ascii="David" w:hAnsi="David" w:hint="eastAsia"/>
          <w:b/>
          <w:bCs/>
          <w:sz w:val="24"/>
          <w:rtl/>
        </w:rPr>
        <w:t>השירות</w:t>
      </w:r>
      <w:r w:rsidRPr="002B5E33" w:rsidR="00192E1D">
        <w:rPr>
          <w:rFonts w:ascii="David" w:hAnsi="David" w:hint="cs"/>
          <w:b/>
          <w:bCs/>
          <w:sz w:val="24"/>
          <w:rtl/>
        </w:rPr>
        <w:t xml:space="preserve"> </w:t>
      </w:r>
      <w:r w:rsidRPr="002B5E33" w:rsidR="00192E1D">
        <w:rPr>
          <w:rFonts w:ascii="David" w:hAnsi="David" w:hint="eastAsia"/>
          <w:b/>
          <w:bCs/>
          <w:sz w:val="24"/>
          <w:rtl/>
        </w:rPr>
        <w:t>למבוטחים</w:t>
      </w:r>
      <w:r w:rsidRPr="002B5E33">
        <w:rPr>
          <w:rFonts w:ascii="David" w:hAnsi="David"/>
          <w:b/>
          <w:bCs/>
          <w:sz w:val="24"/>
          <w:rtl/>
        </w:rPr>
        <w:t xml:space="preserve"> </w:t>
      </w:r>
      <w:r w:rsidRPr="002B5E33">
        <w:rPr>
          <w:rFonts w:ascii="David" w:hAnsi="David" w:hint="cs"/>
          <w:b/>
          <w:bCs/>
          <w:sz w:val="24"/>
          <w:rtl/>
        </w:rPr>
        <w:t xml:space="preserve">ואת </w:t>
      </w:r>
      <w:r w:rsidRPr="002B5E33">
        <w:rPr>
          <w:rFonts w:ascii="David" w:hAnsi="David"/>
          <w:b/>
          <w:bCs/>
          <w:sz w:val="24"/>
          <w:rtl/>
        </w:rPr>
        <w:t xml:space="preserve">החיסכון הכספי שנוצר לאזרחי ישראל </w:t>
      </w:r>
      <w:r w:rsidRPr="002B5E33">
        <w:rPr>
          <w:rFonts w:ascii="David" w:hAnsi="David" w:hint="cs"/>
          <w:b/>
          <w:bCs/>
          <w:sz w:val="24"/>
          <w:rtl/>
        </w:rPr>
        <w:t xml:space="preserve">עקב </w:t>
      </w:r>
      <w:r w:rsidRPr="002B5E33">
        <w:rPr>
          <w:rFonts w:ascii="David" w:hAnsi="David"/>
          <w:b/>
          <w:bCs/>
          <w:sz w:val="24"/>
          <w:rtl/>
        </w:rPr>
        <w:t xml:space="preserve">כך. </w:t>
      </w:r>
    </w:p>
    <w:p w:rsidR="00696C12" w:rsidP="00ED5C0D">
      <w:pPr>
        <w:pStyle w:val="a"/>
        <w:spacing w:line="269" w:lineRule="auto"/>
        <w:rPr>
          <w:rtl/>
        </w:rPr>
      </w:pPr>
    </w:p>
    <w:p w:rsidR="003F7589" w:rsidRPr="003F7589" w:rsidP="003F7589">
      <w:pPr>
        <w:pStyle w:val="a"/>
        <w:rPr>
          <w:rtl/>
        </w:rPr>
      </w:pPr>
    </w:p>
    <w:p w:rsidR="00FA3E7D" w:rsidRPr="002B5E33" w:rsidP="00FA3E7D">
      <w:pPr>
        <w:pStyle w:val="Heading3"/>
        <w:spacing w:before="0" w:line="269" w:lineRule="auto"/>
        <w:rPr>
          <w:szCs w:val="32"/>
        </w:rPr>
      </w:pPr>
      <w:r w:rsidRPr="002B5E33">
        <w:rPr>
          <w:rFonts w:hint="cs"/>
          <w:rtl/>
        </w:rPr>
        <w:t>הטיפול בפניות הציבור בתחום ביטוחי הבריאות</w:t>
      </w:r>
    </w:p>
    <w:p w:rsidR="00FA3E7D" w:rsidRPr="003C14C0" w:rsidP="00FA3E7D">
      <w:pPr>
        <w:pStyle w:val="a"/>
        <w:rPr>
          <w:rtl/>
        </w:rPr>
      </w:pPr>
    </w:p>
    <w:p w:rsidR="00FA3E7D" w:rsidRPr="002B5E33" w:rsidP="00FA3E7D">
      <w:pPr>
        <w:spacing w:line="269" w:lineRule="auto"/>
        <w:rPr>
          <w:b/>
          <w:bCs/>
          <w:sz w:val="24"/>
          <w:u w:val="single"/>
          <w:rtl/>
        </w:rPr>
      </w:pPr>
      <w:r w:rsidRPr="002B5E33">
        <w:rPr>
          <w:rFonts w:hint="cs"/>
          <w:rtl/>
        </w:rPr>
        <w:t>בין תפקידיה של רשות שוק ההון</w:t>
      </w:r>
      <w:r w:rsidRPr="002B5E33">
        <w:rPr>
          <w:rFonts w:eastAsiaTheme="majorEastAsia" w:hint="cs"/>
          <w:b/>
          <w:sz w:val="16"/>
          <w:rtl/>
        </w:rPr>
        <w:t xml:space="preserve"> המוסדרים בחוק הפיקוח על שירותים פיננסיים (ביטוח), התשמ"א- 1981 (להלן - חוק הפיקוח), נכללות הגנה ושמירה על עניינם של המבוטחים.</w:t>
      </w:r>
      <w:r w:rsidRPr="002B5E33">
        <w:rPr>
          <w:rFonts w:hint="cs"/>
          <w:rtl/>
        </w:rPr>
        <w:t xml:space="preserve">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נוסף על תלונות הציבור שבהן מטפלת רשות שוק ההון בהתאם לסמכותה על פי חוק, מופנות אליה גם פניות המסווגות על ידה כ"פניות שאלה"</w:t>
      </w:r>
      <w:r>
        <w:rPr>
          <w:rStyle w:val="FootnoteReference"/>
          <w:rtl/>
        </w:rPr>
        <w:footnoteReference w:id="83"/>
      </w:r>
      <w:r w:rsidRPr="002B5E33">
        <w:rPr>
          <w:rFonts w:hint="cs"/>
          <w:rtl/>
        </w:rPr>
        <w:t xml:space="preserve"> וכ"פניות העתק" (להלן: פניות אחרות)</w:t>
      </w:r>
      <w:r>
        <w:rPr>
          <w:rStyle w:val="FootnoteReference"/>
          <w:sz w:val="24"/>
          <w:rtl/>
        </w:rPr>
        <w:footnoteReference w:id="84"/>
      </w:r>
      <w:r w:rsidRPr="002B5E33">
        <w:rPr>
          <w:rFonts w:hint="cs"/>
          <w:rtl/>
        </w:rPr>
        <w:t>. בשנת 2018 התקבלו ברשות שוק ההון 14,741 פניות ציבור, ומהן 11,446 תלונות, רובן המכריע נוגע לגופים המפוקחים על ידה. כ-68.5% מהפניות התייחסו לתחום הביטוח, כ-20.1% לתחום הפנסיה, וכ-9.8% לתחום הגמל. יתר הפניות נגעו לתחום המסלקה הפנסיונית ולשירותים פיננסיים. מתוך הפניות שהוגשו לרשות שוק ההון בשנת 2018 – 2,258 פניות, שהן כ-15.3% מסך הפניות, ובהן 1,631 תלונות, שהן כ-14.2% מסך התלונות –</w:t>
      </w:r>
      <w:r>
        <w:rPr>
          <w:rFonts w:hint="cs"/>
          <w:rtl/>
        </w:rPr>
        <w:t xml:space="preserve"> </w:t>
      </w:r>
      <w:r w:rsidRPr="002B5E33">
        <w:rPr>
          <w:rFonts w:hint="cs"/>
          <w:rtl/>
        </w:rPr>
        <w:t>נגעו לתחום ביטוחי הבריאות</w:t>
      </w:r>
      <w:r>
        <w:rPr>
          <w:rStyle w:val="FootnoteReference"/>
          <w:sz w:val="24"/>
          <w:rtl/>
        </w:rPr>
        <w:footnoteReference w:id="85"/>
      </w:r>
      <w:r w:rsidRPr="002B5E33">
        <w:rPr>
          <w:rFonts w:hint="cs"/>
          <w:sz w:val="24"/>
          <w:rtl/>
        </w:rPr>
        <w:t>.</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דוח הוועדה הציבורית לבחינת עתיד ענף הביטוח (להלן </w:t>
      </w:r>
      <w:r w:rsidRPr="002B5E33">
        <w:rPr>
          <w:rtl/>
        </w:rPr>
        <w:t>–</w:t>
      </w:r>
      <w:r w:rsidRPr="002B5E33">
        <w:rPr>
          <w:rFonts w:hint="cs"/>
          <w:rtl/>
        </w:rPr>
        <w:t xml:space="preserve"> דוח הוועדה הציבורית)</w:t>
      </w:r>
      <w:r>
        <w:rPr>
          <w:rStyle w:val="FootnoteReference"/>
          <w:rtl/>
        </w:rPr>
        <w:footnoteReference w:id="86"/>
      </w:r>
      <w:r w:rsidRPr="002B5E33">
        <w:rPr>
          <w:rFonts w:hint="cs"/>
          <w:rtl/>
        </w:rPr>
        <w:t xml:space="preserve"> התריע, בין היתר, על כך שמבוטחים אינם ממצים את זכויותיהם </w:t>
      </w:r>
      <w:r w:rsidRPr="002B5E33">
        <w:rPr>
          <w:rFonts w:hint="cs"/>
          <w:sz w:val="24"/>
          <w:rtl/>
        </w:rPr>
        <w:t xml:space="preserve">בשל: חוסר מודעות, רמת שירות נמוכה, המאמץ הכרוך בהתמודדות עם נושאים שאינם נהירים להם והעלות הכרוכה בהליך. </w:t>
      </w:r>
      <w:r w:rsidRPr="002B5E33">
        <w:rPr>
          <w:rFonts w:hint="cs"/>
          <w:rtl/>
        </w:rPr>
        <w:t xml:space="preserve">לפיכך, ובשל פערי הכוחות ופערי הידע הניכרים בין הגופים המוסדיים ובין הציבור, והמורכבות הקיימת לעיתים בניהול הליכים מול גופים אלו </w:t>
      </w:r>
      <w:r w:rsidRPr="002B5E33">
        <w:rPr>
          <w:rFonts w:hint="eastAsia"/>
          <w:rtl/>
        </w:rPr>
        <w:t xml:space="preserve">– </w:t>
      </w:r>
      <w:r w:rsidRPr="002B5E33">
        <w:rPr>
          <w:rFonts w:hint="cs"/>
          <w:rtl/>
        </w:rPr>
        <w:t>לטיפול של רשות שוק ההון בפניות הציבור יש חשיבות רבה.</w:t>
      </w:r>
    </w:p>
    <w:p w:rsidR="00FA3E7D" w:rsidRPr="002B5E33" w:rsidP="00FA3E7D">
      <w:pPr>
        <w:pStyle w:val="a"/>
        <w:spacing w:line="269" w:lineRule="auto"/>
        <w:rPr>
          <w:rtl/>
        </w:rPr>
      </w:pPr>
    </w:p>
    <w:p w:rsidR="00FA3E7D" w:rsidRPr="00D63BD9" w:rsidP="00D63BD9">
      <w:pPr>
        <w:spacing w:line="269" w:lineRule="auto"/>
        <w:rPr>
          <w:sz w:val="24"/>
          <w:rtl/>
        </w:rPr>
      </w:pPr>
      <w:r w:rsidRPr="002B5E33">
        <w:rPr>
          <w:rFonts w:hint="cs"/>
          <w:rtl/>
        </w:rPr>
        <w:t>בתשובת רשות שוק ההון נכתב כי מודעות הציבור לאפשרות הגשת תלונה לרשות שוק ההון הולכת וגדלה עם השנים, בין היתר בשל פסקה המופיעה בכל מכתב דחיית תביעה של חברות הביטוח למבוטחים, שבה מצוינת אפשרות זו.</w:t>
      </w:r>
    </w:p>
    <w:p w:rsidR="00D63BD9" w:rsidP="00D63BD9">
      <w:pPr>
        <w:pStyle w:val="Heading4"/>
        <w:spacing w:before="0" w:line="269" w:lineRule="auto"/>
        <w:rPr>
          <w:rtl/>
        </w:rPr>
      </w:pPr>
    </w:p>
    <w:p w:rsidR="00D63BD9" w:rsidP="00D63BD9">
      <w:pPr>
        <w:pStyle w:val="Heading4"/>
        <w:spacing w:before="0" w:line="269" w:lineRule="auto"/>
        <w:rPr>
          <w:rtl/>
        </w:rPr>
      </w:pPr>
      <w:r>
        <w:rPr>
          <w:rtl/>
        </w:rPr>
        <w:br w:type="page"/>
      </w:r>
    </w:p>
    <w:p w:rsidR="00FA3E7D" w:rsidP="00D63BD9">
      <w:pPr>
        <w:pStyle w:val="Heading4"/>
        <w:spacing w:before="0" w:line="269" w:lineRule="auto"/>
        <w:rPr>
          <w:rtl/>
        </w:rPr>
      </w:pPr>
      <w:r w:rsidRPr="002B5E33">
        <w:rPr>
          <w:rFonts w:hint="cs"/>
          <w:rtl/>
        </w:rPr>
        <w:t>סמכות רשות שוק ההון לטיפול בפניות הציבור</w:t>
      </w:r>
    </w:p>
    <w:p w:rsidR="00D63BD9" w:rsidP="00FA3E7D">
      <w:pPr>
        <w:spacing w:line="269" w:lineRule="auto"/>
        <w:rPr>
          <w:rtl/>
        </w:rPr>
      </w:pPr>
    </w:p>
    <w:p w:rsidR="00FA3E7D" w:rsidP="00FA3E7D">
      <w:pPr>
        <w:spacing w:line="269" w:lineRule="auto"/>
        <w:rPr>
          <w:rtl/>
        </w:rPr>
      </w:pPr>
      <w:r w:rsidRPr="002B5E33">
        <w:rPr>
          <w:rFonts w:hint="cs"/>
          <w:rtl/>
        </w:rPr>
        <w:t>לפי סעיף 60(א) לחוק הפיקוח, הממונה על שוק ההון מוסמך לברר "תלונות הציבור שראה בהן ממש בדבר פעולה של מבטח או של סוכן ביטוח בענייני ביטוח"</w:t>
      </w:r>
      <w:r>
        <w:rPr>
          <w:rStyle w:val="FootnoteReference"/>
          <w:rtl/>
        </w:rPr>
        <w:footnoteReference w:id="87"/>
      </w:r>
      <w:r w:rsidRPr="002B5E33">
        <w:rPr>
          <w:rFonts w:hint="cs"/>
          <w:rtl/>
        </w:rPr>
        <w:t>. החלטתו של הממונה על שוק ההון בתלונה מחייבת את הגופים המפוקחים. כנגד החלטת הממונה ניתן לעתור לבית המשפט המחוזי בשבתו כבית משפט לעניינים מינהליים</w:t>
      </w:r>
      <w:r>
        <w:rPr>
          <w:rStyle w:val="FootnoteReference"/>
          <w:rtl/>
        </w:rPr>
        <w:footnoteReference w:id="88"/>
      </w:r>
      <w:r w:rsidRPr="002B5E33">
        <w:rPr>
          <w:rFonts w:hint="cs"/>
          <w:rtl/>
        </w:rPr>
        <w:t xml:space="preserve">. החלטתו של הממונה אינה כובלת את ידי מגיש התלונה מלנקוט אמצעים משפטיים אחרים.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בצד הסמכות המוקנית לרשות שוק ההון להורות לגוף מפוקח לתקן ליקוי שנמצא אגב בירור תלונה, נתונה לה גם הסמכות בחלק קטן בלבד מהמקרים להטיל על הגוף המפוקח עיצום כספי, שיש בו כדי לשמש כסנקציה עונשית בעלת אפקט מרתיע</w:t>
      </w:r>
      <w:r>
        <w:rPr>
          <w:rStyle w:val="FootnoteReference"/>
          <w:rtl/>
        </w:rPr>
        <w:footnoteReference w:id="89"/>
      </w:r>
      <w:r w:rsidRPr="002B5E33">
        <w:rPr>
          <w:rFonts w:hint="cs"/>
          <w:rtl/>
        </w:rPr>
        <w:t>. יצוין כי עד לאוקטובר 2019 לא הוטלו עיצומים כספיים כתוצאה ישירה של תלונות ציבור</w:t>
      </w:r>
      <w:r>
        <w:rPr>
          <w:rStyle w:val="FootnoteReference"/>
          <w:rtl/>
        </w:rPr>
        <w:footnoteReference w:id="90"/>
      </w:r>
      <w:r w:rsidRPr="002B5E33">
        <w:rPr>
          <w:rFonts w:hint="cs"/>
          <w:rtl/>
        </w:rPr>
        <w:t>.</w:t>
      </w:r>
    </w:p>
    <w:p w:rsidR="00FA3E7D" w:rsidRPr="002B5E33" w:rsidP="00FA3E7D">
      <w:pPr>
        <w:pStyle w:val="a"/>
        <w:spacing w:line="269" w:lineRule="auto"/>
      </w:pPr>
    </w:p>
    <w:p w:rsidR="00FA3E7D" w:rsidRPr="002B5E33" w:rsidP="00FA3E7D">
      <w:pPr>
        <w:spacing w:line="269" w:lineRule="auto"/>
        <w:rPr>
          <w:rtl/>
        </w:rPr>
      </w:pPr>
      <w:r w:rsidRPr="002B5E33">
        <w:rPr>
          <w:rFonts w:hint="cs"/>
          <w:rtl/>
        </w:rPr>
        <w:t>בתגובת רשות שוק ההון נכתב כי בעבר הביאו פניות ציבור שהוגשו לרשות להסדרת כשלים שאותרו ובעקבות הפרות של הסדרות כאלה גם הוטלו עיצומים כספיים.</w:t>
      </w:r>
    </w:p>
    <w:p w:rsidR="00FA3E7D" w:rsidRPr="002B5E33" w:rsidP="00FA3E7D">
      <w:pPr>
        <w:pStyle w:val="a"/>
        <w:spacing w:line="269" w:lineRule="auto"/>
        <w:rPr>
          <w:rtl/>
        </w:rPr>
      </w:pPr>
    </w:p>
    <w:p w:rsidR="00FA3E7D" w:rsidRPr="002B5E33" w:rsidP="00FA3E7D">
      <w:pPr>
        <w:pStyle w:val="Heading4"/>
        <w:spacing w:before="0" w:line="269" w:lineRule="auto"/>
        <w:rPr>
          <w:rtl/>
        </w:rPr>
      </w:pPr>
      <w:r w:rsidRPr="002B5E33">
        <w:rPr>
          <w:rFonts w:hint="cs"/>
          <w:rtl/>
        </w:rPr>
        <w:t xml:space="preserve">גידול בהיקף פניות הציבור </w:t>
      </w:r>
    </w:p>
    <w:p w:rsidR="00FA3E7D" w:rsidP="00FA3E7D">
      <w:pPr>
        <w:pStyle w:val="a"/>
        <w:rPr>
          <w:rtl/>
        </w:rPr>
      </w:pPr>
    </w:p>
    <w:p w:rsidR="00FA3E7D" w:rsidRPr="002B5E33" w:rsidP="00FA3E7D">
      <w:pPr>
        <w:spacing w:line="269" w:lineRule="auto"/>
        <w:rPr>
          <w:rtl/>
        </w:rPr>
      </w:pPr>
      <w:r w:rsidRPr="002B5E33">
        <w:rPr>
          <w:rtl/>
        </w:rPr>
        <w:t>בשנ</w:t>
      </w:r>
      <w:r w:rsidRPr="002B5E33">
        <w:rPr>
          <w:rFonts w:hint="eastAsia"/>
          <w:rtl/>
        </w:rPr>
        <w:t>ים</w:t>
      </w:r>
      <w:r w:rsidRPr="002B5E33">
        <w:rPr>
          <w:rtl/>
        </w:rPr>
        <w:t xml:space="preserve"> 2017 - 2018 הוגשו לרשות 12,204 ו-11,446 </w:t>
      </w:r>
      <w:r w:rsidRPr="002B5E33">
        <w:rPr>
          <w:rFonts w:hint="eastAsia"/>
          <w:rtl/>
        </w:rPr>
        <w:t>תלונות</w:t>
      </w:r>
      <w:r w:rsidRPr="002B5E33">
        <w:rPr>
          <w:rtl/>
        </w:rPr>
        <w:t xml:space="preserve"> בהתאמה</w:t>
      </w:r>
      <w:r w:rsidRPr="002B5E33">
        <w:rPr>
          <w:rFonts w:hint="cs"/>
          <w:rtl/>
        </w:rPr>
        <w:t>,</w:t>
      </w:r>
      <w:r w:rsidRPr="002B5E33">
        <w:rPr>
          <w:rtl/>
        </w:rPr>
        <w:t xml:space="preserve"> בכל התחומים; 2,362 </w:t>
      </w:r>
      <w:r w:rsidRPr="002B5E33">
        <w:rPr>
          <w:rFonts w:hint="eastAsia"/>
          <w:rtl/>
        </w:rPr>
        <w:t>ו</w:t>
      </w:r>
      <w:r w:rsidRPr="002B5E33">
        <w:rPr>
          <w:rtl/>
        </w:rPr>
        <w:t xml:space="preserve">-2,904 </w:t>
      </w:r>
      <w:r w:rsidRPr="002B5E33">
        <w:rPr>
          <w:rFonts w:hint="eastAsia"/>
          <w:rtl/>
        </w:rPr>
        <w:t>פניות</w:t>
      </w:r>
      <w:r w:rsidRPr="002B5E33">
        <w:rPr>
          <w:rtl/>
        </w:rPr>
        <w:t xml:space="preserve"> </w:t>
      </w:r>
      <w:r w:rsidRPr="002B5E33">
        <w:rPr>
          <w:rFonts w:hint="eastAsia"/>
          <w:rtl/>
        </w:rPr>
        <w:t>שאלה</w:t>
      </w:r>
      <w:r w:rsidRPr="002B5E33">
        <w:rPr>
          <w:rtl/>
        </w:rPr>
        <w:t xml:space="preserve"> בהתאמה; </w:t>
      </w:r>
      <w:r w:rsidRPr="002B5E33">
        <w:rPr>
          <w:rFonts w:hint="eastAsia"/>
          <w:rtl/>
        </w:rPr>
        <w:t>ו</w:t>
      </w:r>
      <w:r w:rsidRPr="002B5E33">
        <w:rPr>
          <w:rtl/>
        </w:rPr>
        <w:t xml:space="preserve">-375 </w:t>
      </w:r>
      <w:r w:rsidRPr="002B5E33">
        <w:rPr>
          <w:rFonts w:hint="eastAsia"/>
          <w:rtl/>
        </w:rPr>
        <w:t>ו</w:t>
      </w:r>
      <w:r w:rsidRPr="002B5E33">
        <w:rPr>
          <w:rtl/>
        </w:rPr>
        <w:t xml:space="preserve">-105 </w:t>
      </w:r>
      <w:r w:rsidRPr="002B5E33">
        <w:rPr>
          <w:rFonts w:hint="eastAsia"/>
          <w:rtl/>
        </w:rPr>
        <w:t>פניות</w:t>
      </w:r>
      <w:r w:rsidRPr="002B5E33">
        <w:rPr>
          <w:rtl/>
        </w:rPr>
        <w:t xml:space="preserve"> </w:t>
      </w:r>
      <w:r w:rsidRPr="002B5E33">
        <w:rPr>
          <w:rFonts w:hint="eastAsia"/>
          <w:rtl/>
        </w:rPr>
        <w:t>אחרות</w:t>
      </w:r>
      <w:r w:rsidRPr="002B5E33">
        <w:rPr>
          <w:rtl/>
        </w:rPr>
        <w:t xml:space="preserve"> בהתאמה.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העלייה בהיקף פניות השאלה משקפת מגמה מתמשכת בין השנים 2015 - 2018.</w:t>
      </w:r>
      <w:r w:rsidRPr="002B5E33">
        <w:rPr>
          <w:rtl/>
        </w:rPr>
        <w:t xml:space="preserve"> </w:t>
      </w:r>
      <w:r w:rsidRPr="002B5E33">
        <w:rPr>
          <w:rFonts w:hint="eastAsia"/>
          <w:rtl/>
        </w:rPr>
        <w:t>נתון</w:t>
      </w:r>
      <w:r w:rsidRPr="002B5E33">
        <w:rPr>
          <w:rtl/>
        </w:rPr>
        <w:t xml:space="preserve"> </w:t>
      </w:r>
      <w:r w:rsidRPr="002B5E33">
        <w:rPr>
          <w:rFonts w:hint="eastAsia"/>
          <w:rtl/>
        </w:rPr>
        <w:t>זה</w:t>
      </w:r>
      <w:r w:rsidRPr="002B5E33">
        <w:rPr>
          <w:rtl/>
        </w:rPr>
        <w:t xml:space="preserve"> </w:t>
      </w:r>
      <w:r w:rsidRPr="002B5E33">
        <w:rPr>
          <w:rFonts w:hint="eastAsia"/>
          <w:rtl/>
        </w:rPr>
        <w:t>עשוי</w:t>
      </w:r>
      <w:r w:rsidRPr="002B5E33">
        <w:rPr>
          <w:rtl/>
        </w:rPr>
        <w:t xml:space="preserve"> </w:t>
      </w:r>
      <w:r w:rsidRPr="002B5E33">
        <w:rPr>
          <w:rFonts w:hint="eastAsia"/>
          <w:rtl/>
        </w:rPr>
        <w:t>ללמד</w:t>
      </w:r>
      <w:r w:rsidRPr="002B5E33">
        <w:rPr>
          <w:rtl/>
        </w:rPr>
        <w:t xml:space="preserve"> </w:t>
      </w:r>
      <w:r w:rsidRPr="002B5E33">
        <w:rPr>
          <w:rFonts w:hint="eastAsia"/>
          <w:rtl/>
        </w:rPr>
        <w:t>כי</w:t>
      </w:r>
      <w:r w:rsidRPr="002B5E33">
        <w:rPr>
          <w:rtl/>
        </w:rPr>
        <w:t xml:space="preserve"> </w:t>
      </w:r>
      <w:r w:rsidRPr="002B5E33">
        <w:rPr>
          <w:rFonts w:hint="eastAsia"/>
          <w:rtl/>
        </w:rPr>
        <w:t>הציבור</w:t>
      </w:r>
      <w:r w:rsidRPr="002B5E33">
        <w:rPr>
          <w:rtl/>
        </w:rPr>
        <w:t xml:space="preserve"> </w:t>
      </w:r>
      <w:r w:rsidRPr="002B5E33">
        <w:rPr>
          <w:rFonts w:hint="eastAsia"/>
          <w:rtl/>
        </w:rPr>
        <w:t>נתקל</w:t>
      </w:r>
      <w:r w:rsidRPr="002B5E33">
        <w:rPr>
          <w:rtl/>
        </w:rPr>
        <w:t xml:space="preserve"> </w:t>
      </w:r>
      <w:r w:rsidRPr="002B5E33">
        <w:rPr>
          <w:rFonts w:hint="eastAsia"/>
          <w:rtl/>
        </w:rPr>
        <w:t>בחוסר</w:t>
      </w:r>
      <w:r w:rsidRPr="002B5E33">
        <w:rPr>
          <w:rtl/>
        </w:rPr>
        <w:t xml:space="preserve"> </w:t>
      </w:r>
      <w:r w:rsidRPr="002B5E33">
        <w:rPr>
          <w:rFonts w:hint="eastAsia"/>
          <w:rtl/>
        </w:rPr>
        <w:t>מידע</w:t>
      </w:r>
      <w:r w:rsidRPr="002B5E33">
        <w:rPr>
          <w:rtl/>
        </w:rPr>
        <w:t xml:space="preserve"> </w:t>
      </w:r>
      <w:r w:rsidRPr="002B5E33">
        <w:rPr>
          <w:rFonts w:hint="eastAsia"/>
          <w:rtl/>
        </w:rPr>
        <w:t>מספק</w:t>
      </w:r>
      <w:r w:rsidRPr="002B5E33">
        <w:rPr>
          <w:rtl/>
        </w:rPr>
        <w:t xml:space="preserve"> </w:t>
      </w:r>
      <w:r w:rsidRPr="002B5E33">
        <w:rPr>
          <w:rFonts w:hint="eastAsia"/>
          <w:rtl/>
        </w:rPr>
        <w:t>ובקשיים</w:t>
      </w:r>
      <w:r w:rsidRPr="002B5E33">
        <w:rPr>
          <w:rtl/>
        </w:rPr>
        <w:t xml:space="preserve"> </w:t>
      </w:r>
      <w:r w:rsidRPr="002B5E33">
        <w:rPr>
          <w:rFonts w:hint="eastAsia"/>
          <w:rtl/>
        </w:rPr>
        <w:t>בקבלת</w:t>
      </w:r>
      <w:r w:rsidRPr="002B5E33">
        <w:rPr>
          <w:rtl/>
        </w:rPr>
        <w:t xml:space="preserve"> </w:t>
      </w:r>
      <w:r w:rsidRPr="002B5E33">
        <w:rPr>
          <w:rFonts w:hint="eastAsia"/>
          <w:rtl/>
        </w:rPr>
        <w:t>מידע</w:t>
      </w:r>
      <w:r w:rsidRPr="002B5E33">
        <w:rPr>
          <w:rtl/>
        </w:rPr>
        <w:t xml:space="preserve"> </w:t>
      </w:r>
      <w:r w:rsidRPr="002B5E33">
        <w:rPr>
          <w:rFonts w:hint="eastAsia"/>
          <w:rtl/>
        </w:rPr>
        <w:t>בתחומים</w:t>
      </w:r>
      <w:r w:rsidRPr="002B5E33">
        <w:rPr>
          <w:rtl/>
        </w:rPr>
        <w:t xml:space="preserve"> </w:t>
      </w:r>
      <w:r w:rsidRPr="002B5E33">
        <w:rPr>
          <w:rFonts w:hint="eastAsia"/>
          <w:rtl/>
        </w:rPr>
        <w:t>המצויים</w:t>
      </w:r>
      <w:r w:rsidRPr="002B5E33">
        <w:rPr>
          <w:rtl/>
        </w:rPr>
        <w:t xml:space="preserve"> </w:t>
      </w:r>
      <w:r w:rsidRPr="002B5E33">
        <w:rPr>
          <w:rFonts w:hint="eastAsia"/>
          <w:rtl/>
        </w:rPr>
        <w:t>באחריותה</w:t>
      </w:r>
      <w:r w:rsidRPr="002B5E33">
        <w:rPr>
          <w:rtl/>
        </w:rPr>
        <w:t xml:space="preserve"> </w:t>
      </w:r>
      <w:r w:rsidRPr="002B5E33">
        <w:rPr>
          <w:rFonts w:hint="eastAsia"/>
          <w:rtl/>
        </w:rPr>
        <w:t>ובסמכותה</w:t>
      </w:r>
      <w:r w:rsidRPr="002B5E33">
        <w:rPr>
          <w:rtl/>
        </w:rPr>
        <w:t xml:space="preserve"> </w:t>
      </w:r>
      <w:r w:rsidRPr="002B5E33">
        <w:rPr>
          <w:rFonts w:hint="eastAsia"/>
          <w:rtl/>
        </w:rPr>
        <w:t>של</w:t>
      </w:r>
      <w:r w:rsidRPr="002B5E33">
        <w:rPr>
          <w:rtl/>
        </w:rPr>
        <w:t xml:space="preserve"> </w:t>
      </w:r>
      <w:r w:rsidRPr="002B5E33">
        <w:rPr>
          <w:rFonts w:hint="eastAsia"/>
          <w:rtl/>
        </w:rPr>
        <w:t>רשות</w:t>
      </w:r>
      <w:r w:rsidRPr="002B5E33">
        <w:rPr>
          <w:rtl/>
        </w:rPr>
        <w:t xml:space="preserve"> </w:t>
      </w:r>
      <w:r w:rsidRPr="002B5E33">
        <w:rPr>
          <w:rFonts w:hint="eastAsia"/>
          <w:rtl/>
        </w:rPr>
        <w:t>שוק</w:t>
      </w:r>
      <w:r w:rsidRPr="002B5E33">
        <w:rPr>
          <w:rtl/>
        </w:rPr>
        <w:t xml:space="preserve"> </w:t>
      </w:r>
      <w:r w:rsidRPr="002B5E33">
        <w:rPr>
          <w:rFonts w:hint="eastAsia"/>
          <w:rtl/>
        </w:rPr>
        <w:t>ההון</w:t>
      </w:r>
      <w:r w:rsidRPr="002B5E33">
        <w:rPr>
          <w:rtl/>
        </w:rPr>
        <w:t>.</w:t>
      </w:r>
      <w:r w:rsidRPr="002B5E33">
        <w:rPr>
          <w:rFonts w:hint="cs"/>
          <w:rtl/>
        </w:rPr>
        <w:t xml:space="preserve"> </w:t>
      </w:r>
      <w:r w:rsidRPr="002B5E33">
        <w:rPr>
          <w:rFonts w:hint="eastAsia"/>
          <w:rtl/>
        </w:rPr>
        <w:t>מנגד</w:t>
      </w:r>
      <w:r w:rsidRPr="002B5E33">
        <w:rPr>
          <w:rFonts w:hint="cs"/>
          <w:b/>
          <w:bCs/>
          <w:rtl/>
        </w:rPr>
        <w:t xml:space="preserve"> </w:t>
      </w:r>
      <w:r w:rsidRPr="002B5E33">
        <w:rPr>
          <w:rFonts w:hint="cs"/>
          <w:rtl/>
        </w:rPr>
        <w:t xml:space="preserve">נמצא כי </w:t>
      </w:r>
      <w:r w:rsidRPr="002B5E33">
        <w:rPr>
          <w:rFonts w:hint="eastAsia"/>
          <w:rtl/>
        </w:rPr>
        <w:t>רשות</w:t>
      </w:r>
      <w:r w:rsidRPr="002B5E33">
        <w:rPr>
          <w:rtl/>
        </w:rPr>
        <w:t xml:space="preserve"> </w:t>
      </w:r>
      <w:r w:rsidRPr="002B5E33">
        <w:rPr>
          <w:rFonts w:hint="eastAsia"/>
          <w:rtl/>
        </w:rPr>
        <w:t>שוק</w:t>
      </w:r>
      <w:r w:rsidRPr="002B5E33">
        <w:rPr>
          <w:rtl/>
        </w:rPr>
        <w:t xml:space="preserve"> </w:t>
      </w:r>
      <w:r w:rsidRPr="002B5E33">
        <w:rPr>
          <w:rFonts w:hint="eastAsia"/>
          <w:rtl/>
        </w:rPr>
        <w:t>ההון</w:t>
      </w:r>
      <w:r w:rsidRPr="002B5E33">
        <w:rPr>
          <w:rtl/>
        </w:rPr>
        <w:t xml:space="preserve"> </w:t>
      </w:r>
      <w:r w:rsidRPr="002B5E33">
        <w:rPr>
          <w:rFonts w:hint="eastAsia"/>
          <w:rtl/>
        </w:rPr>
        <w:t>לא</w:t>
      </w:r>
      <w:r w:rsidRPr="002B5E33">
        <w:rPr>
          <w:rtl/>
        </w:rPr>
        <w:t xml:space="preserve"> </w:t>
      </w:r>
      <w:r w:rsidRPr="002B5E33">
        <w:rPr>
          <w:rFonts w:hint="eastAsia"/>
          <w:rtl/>
        </w:rPr>
        <w:t>קבעה</w:t>
      </w:r>
      <w:r w:rsidRPr="002B5E33">
        <w:rPr>
          <w:rtl/>
        </w:rPr>
        <w:t xml:space="preserve"> </w:t>
      </w:r>
      <w:r w:rsidRPr="002B5E33">
        <w:rPr>
          <w:rFonts w:hint="eastAsia"/>
          <w:rtl/>
        </w:rPr>
        <w:t>כל</w:t>
      </w:r>
      <w:r w:rsidRPr="002B5E33">
        <w:rPr>
          <w:rtl/>
        </w:rPr>
        <w:t xml:space="preserve"> </w:t>
      </w:r>
      <w:r w:rsidRPr="002B5E33">
        <w:rPr>
          <w:rFonts w:hint="eastAsia"/>
          <w:rtl/>
        </w:rPr>
        <w:t>תהליך</w:t>
      </w:r>
      <w:r w:rsidRPr="002B5E33">
        <w:rPr>
          <w:rtl/>
        </w:rPr>
        <w:t xml:space="preserve"> </w:t>
      </w:r>
      <w:r w:rsidRPr="002B5E33">
        <w:rPr>
          <w:rFonts w:hint="eastAsia"/>
          <w:rtl/>
        </w:rPr>
        <w:t>סדור</w:t>
      </w:r>
      <w:r w:rsidRPr="002B5E33">
        <w:rPr>
          <w:rtl/>
        </w:rPr>
        <w:t xml:space="preserve"> </w:t>
      </w:r>
      <w:r w:rsidRPr="002B5E33">
        <w:rPr>
          <w:rFonts w:hint="eastAsia"/>
          <w:rtl/>
        </w:rPr>
        <w:t>לניתוח</w:t>
      </w:r>
      <w:r w:rsidRPr="002B5E33">
        <w:rPr>
          <w:rtl/>
        </w:rPr>
        <w:t xml:space="preserve"> </w:t>
      </w:r>
      <w:r w:rsidRPr="002B5E33">
        <w:rPr>
          <w:rFonts w:hint="eastAsia"/>
          <w:rtl/>
        </w:rPr>
        <w:t>פניות</w:t>
      </w:r>
      <w:r w:rsidRPr="002B5E33">
        <w:rPr>
          <w:rtl/>
        </w:rPr>
        <w:t xml:space="preserve"> </w:t>
      </w:r>
      <w:r w:rsidRPr="002B5E33">
        <w:rPr>
          <w:rFonts w:hint="eastAsia"/>
          <w:rtl/>
        </w:rPr>
        <w:t>השאלה</w:t>
      </w:r>
      <w:r w:rsidRPr="002B5E33">
        <w:rPr>
          <w:rtl/>
        </w:rPr>
        <w:t xml:space="preserve"> </w:t>
      </w:r>
      <w:r w:rsidRPr="002B5E33">
        <w:rPr>
          <w:rFonts w:hint="eastAsia"/>
          <w:rtl/>
        </w:rPr>
        <w:t>ולהסקת</w:t>
      </w:r>
      <w:r w:rsidRPr="002B5E33">
        <w:rPr>
          <w:rtl/>
        </w:rPr>
        <w:t xml:space="preserve"> </w:t>
      </w:r>
      <w:r w:rsidRPr="002B5E33">
        <w:rPr>
          <w:rFonts w:hint="eastAsia"/>
          <w:rtl/>
        </w:rPr>
        <w:t>מסקנות</w:t>
      </w:r>
      <w:r w:rsidRPr="002B5E33">
        <w:rPr>
          <w:rtl/>
        </w:rPr>
        <w:t xml:space="preserve"> </w:t>
      </w:r>
      <w:r w:rsidRPr="002B5E33">
        <w:rPr>
          <w:rFonts w:hint="eastAsia"/>
          <w:rtl/>
        </w:rPr>
        <w:t>אופרטיביות</w:t>
      </w:r>
      <w:r w:rsidRPr="002B5E33">
        <w:rPr>
          <w:rtl/>
        </w:rPr>
        <w:t xml:space="preserve"> </w:t>
      </w:r>
      <w:r w:rsidRPr="002B5E33">
        <w:rPr>
          <w:rFonts w:hint="eastAsia"/>
          <w:rtl/>
        </w:rPr>
        <w:t>בדבר</w:t>
      </w:r>
      <w:r w:rsidRPr="002B5E33">
        <w:rPr>
          <w:rtl/>
        </w:rPr>
        <w:t xml:space="preserve"> </w:t>
      </w:r>
      <w:r w:rsidRPr="002B5E33">
        <w:rPr>
          <w:rFonts w:hint="eastAsia"/>
          <w:rtl/>
        </w:rPr>
        <w:t>הצעדים</w:t>
      </w:r>
      <w:r w:rsidRPr="002B5E33">
        <w:rPr>
          <w:rtl/>
        </w:rPr>
        <w:t xml:space="preserve"> </w:t>
      </w:r>
      <w:r w:rsidRPr="002B5E33">
        <w:rPr>
          <w:rFonts w:hint="eastAsia"/>
          <w:rtl/>
        </w:rPr>
        <w:t>הדרושים</w:t>
      </w:r>
      <w:r w:rsidRPr="002B5E33">
        <w:rPr>
          <w:rtl/>
        </w:rPr>
        <w:t xml:space="preserve"> </w:t>
      </w:r>
      <w:r w:rsidRPr="002B5E33">
        <w:rPr>
          <w:rFonts w:hint="cs"/>
          <w:rtl/>
        </w:rPr>
        <w:t>לפתרון הסוגיות העולות ב</w:t>
      </w:r>
      <w:r w:rsidRPr="002B5E33">
        <w:rPr>
          <w:rFonts w:hint="eastAsia"/>
          <w:rtl/>
        </w:rPr>
        <w:t>פניות</w:t>
      </w:r>
      <w:r w:rsidRPr="002B5E33">
        <w:rPr>
          <w:rtl/>
        </w:rPr>
        <w:t xml:space="preserve"> </w:t>
      </w:r>
      <w:r w:rsidRPr="002B5E33">
        <w:rPr>
          <w:rFonts w:hint="eastAsia"/>
          <w:rtl/>
        </w:rPr>
        <w:t>אלו</w:t>
      </w:r>
      <w:r w:rsidRPr="002B5E33">
        <w:rPr>
          <w:rtl/>
        </w:rPr>
        <w:t>.</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בתשובתה, ציינה הרשות כי פניות הציבור המטופלות על ידי המחלקות המקצועיות מעלות את הצורך בהסדרה בתחומים שונים, ומחלקות אלו בוחנות את אופן יישום ההסדרה במקרים הרלוונטיים.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b/>
          <w:bCs/>
          <w:rtl/>
        </w:rPr>
        <w:t>משרד מבקר המדינה ממליץ כי רשות שוק ההון תקבע תוכנית פעולה סדורה לניתוח פניות השאלה המופנות אליה ותבחן את הנושאים הדורשים ריכוז מאמץ לשם העמקת הידע בקרב הציבור.</w:t>
      </w:r>
    </w:p>
    <w:p w:rsidR="00713415">
      <w:pPr>
        <w:bidi w:val="0"/>
        <w:spacing w:after="200" w:line="276" w:lineRule="auto"/>
        <w:rPr>
          <w:szCs w:val="20"/>
          <w:rtl/>
        </w:rPr>
      </w:pPr>
      <w:r>
        <w:rPr>
          <w:rtl/>
        </w:rPr>
        <w:br w:type="page"/>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בתרשים שלהלן מצוין מספר התלונות, פניות השאלה והפניות האחרות בתחום ביטוחי הבריאות שהטיפול בהן הסתיים בשנים 2015 - 2018 (לרבות השתלות, מחלות קשות, ניתוחים, תרופות, ונושאים אחרים שלא סווגו במערכות המידע של הרשות, ולמעט סיעוד ותחום העובדים הזרים).</w:t>
      </w:r>
    </w:p>
    <w:p w:rsidR="00FA3E7D" w:rsidRPr="002B5E33" w:rsidP="00FA3E7D">
      <w:pPr>
        <w:pStyle w:val="a"/>
        <w:spacing w:line="269" w:lineRule="auto"/>
        <w:rPr>
          <w:rtl/>
        </w:rPr>
      </w:pPr>
    </w:p>
    <w:p w:rsidR="00FA3E7D" w:rsidRPr="002B5E33" w:rsidP="00FB2614">
      <w:pPr>
        <w:bidi w:val="0"/>
        <w:spacing w:line="269" w:lineRule="auto"/>
        <w:jc w:val="center"/>
        <w:rPr>
          <w:b/>
          <w:bCs/>
        </w:rPr>
      </w:pPr>
      <w:r w:rsidRPr="002B5E33">
        <w:rPr>
          <w:rFonts w:hint="cs"/>
          <w:b/>
          <w:bCs/>
          <w:rtl/>
        </w:rPr>
        <w:t>תרשים 13</w:t>
      </w:r>
      <w:r w:rsidR="00FB2614">
        <w:rPr>
          <w:rFonts w:hint="cs"/>
          <w:b/>
          <w:bCs/>
          <w:rtl/>
        </w:rPr>
        <w:t xml:space="preserve">: </w:t>
      </w:r>
      <w:r w:rsidRPr="002B5E33">
        <w:rPr>
          <w:rFonts w:hint="eastAsia"/>
          <w:b/>
          <w:bCs/>
          <w:rtl/>
        </w:rPr>
        <w:t>תלונות</w:t>
      </w:r>
      <w:r w:rsidRPr="002B5E33">
        <w:rPr>
          <w:b/>
          <w:bCs/>
          <w:rtl/>
        </w:rPr>
        <w:t xml:space="preserve">, </w:t>
      </w:r>
      <w:r w:rsidRPr="002B5E33">
        <w:rPr>
          <w:rFonts w:hint="eastAsia"/>
          <w:b/>
          <w:bCs/>
          <w:rtl/>
        </w:rPr>
        <w:t>פניות</w:t>
      </w:r>
      <w:r w:rsidRPr="002B5E33">
        <w:rPr>
          <w:b/>
          <w:bCs/>
          <w:rtl/>
        </w:rPr>
        <w:t xml:space="preserve"> </w:t>
      </w:r>
      <w:r w:rsidRPr="002B5E33">
        <w:rPr>
          <w:rFonts w:hint="eastAsia"/>
          <w:b/>
          <w:bCs/>
          <w:rtl/>
        </w:rPr>
        <w:t>שאלה</w:t>
      </w:r>
      <w:r w:rsidRPr="002B5E33">
        <w:rPr>
          <w:b/>
          <w:bCs/>
          <w:rtl/>
        </w:rPr>
        <w:t xml:space="preserve"> </w:t>
      </w:r>
      <w:r w:rsidRPr="002B5E33">
        <w:rPr>
          <w:rFonts w:hint="eastAsia"/>
          <w:b/>
          <w:bCs/>
          <w:rtl/>
        </w:rPr>
        <w:t>ופניות</w:t>
      </w:r>
      <w:r w:rsidRPr="002B5E33">
        <w:rPr>
          <w:b/>
          <w:bCs/>
          <w:rtl/>
        </w:rPr>
        <w:t xml:space="preserve"> </w:t>
      </w:r>
      <w:r w:rsidRPr="002B5E33">
        <w:rPr>
          <w:rFonts w:hint="eastAsia"/>
          <w:b/>
          <w:bCs/>
          <w:rtl/>
        </w:rPr>
        <w:t>אחרות</w:t>
      </w:r>
      <w:r w:rsidRPr="002B5E33">
        <w:rPr>
          <w:b/>
          <w:bCs/>
          <w:rtl/>
        </w:rPr>
        <w:t xml:space="preserve"> </w:t>
      </w:r>
      <w:r w:rsidRPr="002B5E33">
        <w:rPr>
          <w:rFonts w:hint="eastAsia"/>
          <w:b/>
          <w:bCs/>
          <w:rtl/>
        </w:rPr>
        <w:t>לרשות</w:t>
      </w:r>
      <w:r w:rsidRPr="002B5E33">
        <w:rPr>
          <w:b/>
          <w:bCs/>
          <w:rtl/>
        </w:rPr>
        <w:t xml:space="preserve"> </w:t>
      </w:r>
      <w:r w:rsidRPr="002B5E33">
        <w:rPr>
          <w:rFonts w:hint="eastAsia"/>
          <w:b/>
          <w:bCs/>
          <w:rtl/>
        </w:rPr>
        <w:t>בתחום</w:t>
      </w:r>
      <w:r w:rsidRPr="002B5E33">
        <w:rPr>
          <w:b/>
          <w:bCs/>
          <w:rtl/>
        </w:rPr>
        <w:t xml:space="preserve"> </w:t>
      </w:r>
      <w:r w:rsidRPr="002B5E33">
        <w:rPr>
          <w:rFonts w:hint="eastAsia"/>
          <w:b/>
          <w:bCs/>
          <w:rtl/>
        </w:rPr>
        <w:t>ביטוחי</w:t>
      </w:r>
      <w:r w:rsidRPr="002B5E33">
        <w:rPr>
          <w:b/>
          <w:bCs/>
          <w:rtl/>
        </w:rPr>
        <w:t xml:space="preserve"> </w:t>
      </w:r>
      <w:r w:rsidRPr="002B5E33">
        <w:rPr>
          <w:rFonts w:hint="eastAsia"/>
          <w:b/>
          <w:bCs/>
          <w:rtl/>
        </w:rPr>
        <w:t>הבריאות</w:t>
      </w:r>
      <w:r>
        <w:rPr>
          <w:rStyle w:val="FootnoteReference"/>
          <w:b/>
          <w:bCs/>
          <w:rtl/>
        </w:rPr>
        <w:footnoteReference w:id="91"/>
      </w:r>
      <w:r w:rsidRPr="002B5E33">
        <w:rPr>
          <w:b/>
          <w:bCs/>
          <w:rtl/>
        </w:rPr>
        <w:t xml:space="preserve"> </w:t>
      </w:r>
      <w:r w:rsidR="00FB2614">
        <w:rPr>
          <w:rFonts w:hint="cs"/>
          <w:b/>
          <w:bCs/>
          <w:rtl/>
        </w:rPr>
        <w:t xml:space="preserve"> </w:t>
      </w:r>
      <w:r w:rsidRPr="002B5E33">
        <w:rPr>
          <w:b/>
          <w:bCs/>
          <w:rtl/>
        </w:rPr>
        <w:t>שהטיפול בהן הסתיים בשנים 201</w:t>
      </w:r>
      <w:r w:rsidRPr="002B5E33">
        <w:rPr>
          <w:rFonts w:hint="cs"/>
          <w:b/>
          <w:bCs/>
          <w:rtl/>
        </w:rPr>
        <w:t>5</w:t>
      </w:r>
      <w:r w:rsidRPr="002B5E33">
        <w:rPr>
          <w:b/>
          <w:bCs/>
          <w:rtl/>
        </w:rPr>
        <w:t>-201</w:t>
      </w:r>
      <w:r w:rsidRPr="002B5E33">
        <w:rPr>
          <w:rFonts w:hint="cs"/>
          <w:b/>
          <w:bCs/>
          <w:rtl/>
        </w:rPr>
        <w:t>8</w:t>
      </w:r>
    </w:p>
    <w:p w:rsidR="00FA3E7D" w:rsidP="00FB2614">
      <w:pPr>
        <w:spacing w:before="120" w:after="120" w:line="269" w:lineRule="auto"/>
        <w:jc w:val="center"/>
        <w:rPr>
          <w:rtl/>
        </w:rPr>
      </w:pPr>
      <w:r>
        <w:rPr>
          <w:noProof/>
          <w:rtl/>
        </w:rPr>
        <w:drawing>
          <wp:inline distT="0" distB="0" distL="0" distR="0">
            <wp:extent cx="4325121" cy="2340869"/>
            <wp:effectExtent l="0" t="0" r="0" b="254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17242" name="commercial-health-insurance-g-13.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40869"/>
                    </a:xfrm>
                    <a:prstGeom prst="rect">
                      <a:avLst/>
                    </a:prstGeom>
                  </pic:spPr>
                </pic:pic>
              </a:graphicData>
            </a:graphic>
          </wp:inline>
        </w:drawing>
      </w:r>
    </w:p>
    <w:p w:rsidR="00FA3E7D" w:rsidRPr="00F13852" w:rsidP="00FB2614">
      <w:pPr>
        <w:spacing w:line="269" w:lineRule="auto"/>
        <w:rPr>
          <w:sz w:val="22"/>
          <w:szCs w:val="22"/>
          <w:rtl/>
        </w:rPr>
      </w:pPr>
      <w:r w:rsidRPr="00F13852">
        <w:rPr>
          <w:rFonts w:hint="cs"/>
          <w:sz w:val="22"/>
          <w:szCs w:val="22"/>
          <w:rtl/>
        </w:rPr>
        <w:t>מקור: נתוני רשות שוק ההון, בעיבוד משרד מבקר המדינה.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מ</w:t>
      </w:r>
      <w:r w:rsidRPr="002B5E33">
        <w:rPr>
          <w:rFonts w:hint="cs"/>
          <w:rtl/>
        </w:rPr>
        <w:t>ה</w:t>
      </w:r>
      <w:r w:rsidRPr="002B5E33">
        <w:rPr>
          <w:rFonts w:hint="eastAsia"/>
          <w:rtl/>
        </w:rPr>
        <w:t>תרשים</w:t>
      </w:r>
      <w:r w:rsidRPr="002B5E33">
        <w:rPr>
          <w:rtl/>
        </w:rPr>
        <w:t xml:space="preserve"> </w:t>
      </w:r>
      <w:r w:rsidRPr="002B5E33">
        <w:rPr>
          <w:rFonts w:hint="eastAsia"/>
          <w:rtl/>
        </w:rPr>
        <w:t>עולה</w:t>
      </w:r>
      <w:r w:rsidRPr="002B5E33">
        <w:rPr>
          <w:rtl/>
        </w:rPr>
        <w:t xml:space="preserve"> </w:t>
      </w:r>
      <w:r w:rsidRPr="002B5E33">
        <w:rPr>
          <w:rFonts w:hint="eastAsia"/>
          <w:rtl/>
        </w:rPr>
        <w:t>כי</w:t>
      </w:r>
      <w:r w:rsidRPr="002B5E33">
        <w:rPr>
          <w:rtl/>
        </w:rPr>
        <w:t xml:space="preserve"> </w:t>
      </w:r>
      <w:r w:rsidRPr="002B5E33">
        <w:rPr>
          <w:rFonts w:hint="cs"/>
          <w:rtl/>
        </w:rPr>
        <w:t xml:space="preserve">בשנת 2018 חלה עלייה ניכרת במספר התלונות בתחום ביטוחי הבריאות שהרשות סיימה את הטיפול בהן.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רשות שוק ההון כתבה בתשובתה למשרד מבקר המדינה כי העלייה במספר התלונות נובעת מעליה ברכישת מוצרי ביטוח הבריאות, ממודעות גוברת של המבוטחים לאפשרות הגשת התלונה, ממבוטחים השבים ומתלוננים לרשות במחלוקות אחרות מול מבטחים, ומחשיפה תקשורתית לאפשרות הפנייה לרשות.</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נוכח הגידול בהיקף תלונות בתחום הבריאות,</w:t>
      </w:r>
      <w:r>
        <w:rPr>
          <w:rFonts w:hint="cs"/>
          <w:b/>
          <w:bCs/>
          <w:rtl/>
        </w:rPr>
        <w:t xml:space="preserve"> </w:t>
      </w:r>
      <w:r w:rsidRPr="002B5E33">
        <w:rPr>
          <w:rFonts w:hint="eastAsia"/>
          <w:b/>
          <w:bCs/>
          <w:rtl/>
        </w:rPr>
        <w:t>משרד</w:t>
      </w:r>
      <w:r w:rsidRPr="002B5E33">
        <w:rPr>
          <w:b/>
          <w:bCs/>
          <w:rtl/>
        </w:rPr>
        <w:t xml:space="preserve"> </w:t>
      </w:r>
      <w:r w:rsidRPr="002B5E33">
        <w:rPr>
          <w:rFonts w:hint="eastAsia"/>
          <w:b/>
          <w:bCs/>
          <w:rtl/>
        </w:rPr>
        <w:t>מבקר</w:t>
      </w:r>
      <w:r w:rsidRPr="002B5E33">
        <w:rPr>
          <w:b/>
          <w:bCs/>
          <w:rtl/>
        </w:rPr>
        <w:t xml:space="preserve"> </w:t>
      </w:r>
      <w:r w:rsidRPr="002B5E33">
        <w:rPr>
          <w:rFonts w:hint="eastAsia"/>
          <w:b/>
          <w:bCs/>
          <w:rtl/>
        </w:rPr>
        <w:t>המדינה</w:t>
      </w:r>
      <w:r w:rsidRPr="002B5E33">
        <w:rPr>
          <w:b/>
          <w:bCs/>
          <w:rtl/>
        </w:rPr>
        <w:t xml:space="preserve"> </w:t>
      </w:r>
      <w:r w:rsidRPr="002B5E33">
        <w:rPr>
          <w:rFonts w:hint="eastAsia"/>
          <w:b/>
          <w:bCs/>
          <w:rtl/>
        </w:rPr>
        <w:t>ממליץ</w:t>
      </w:r>
      <w:r w:rsidRPr="002B5E33">
        <w:rPr>
          <w:b/>
          <w:bCs/>
          <w:rtl/>
        </w:rPr>
        <w:t xml:space="preserve"> </w:t>
      </w:r>
      <w:r w:rsidRPr="002B5E33">
        <w:rPr>
          <w:rFonts w:hint="eastAsia"/>
          <w:b/>
          <w:bCs/>
          <w:rtl/>
        </w:rPr>
        <w:t>ל</w:t>
      </w:r>
      <w:r w:rsidRPr="002B5E33">
        <w:rPr>
          <w:b/>
          <w:bCs/>
          <w:rtl/>
        </w:rPr>
        <w:t xml:space="preserve">רשות שוק ההון לבחון </w:t>
      </w:r>
      <w:r w:rsidRPr="002B5E33">
        <w:rPr>
          <w:rFonts w:hint="cs"/>
          <w:b/>
          <w:bCs/>
          <w:rtl/>
        </w:rPr>
        <w:t xml:space="preserve">את מהות </w:t>
      </w:r>
      <w:r w:rsidRPr="002B5E33">
        <w:rPr>
          <w:rFonts w:hint="eastAsia"/>
          <w:b/>
          <w:bCs/>
          <w:rtl/>
        </w:rPr>
        <w:t>התלונות</w:t>
      </w:r>
      <w:r w:rsidRPr="002B5E33">
        <w:rPr>
          <w:b/>
          <w:bCs/>
          <w:rtl/>
        </w:rPr>
        <w:t xml:space="preserve"> </w:t>
      </w:r>
      <w:r w:rsidRPr="002B5E33">
        <w:rPr>
          <w:rFonts w:hint="eastAsia"/>
          <w:b/>
          <w:bCs/>
          <w:rtl/>
        </w:rPr>
        <w:t>שטופלו</w:t>
      </w:r>
      <w:r w:rsidRPr="002B5E33">
        <w:rPr>
          <w:b/>
          <w:bCs/>
          <w:rtl/>
        </w:rPr>
        <w:t xml:space="preserve"> </w:t>
      </w:r>
      <w:r w:rsidRPr="002B5E33">
        <w:rPr>
          <w:rFonts w:hint="eastAsia"/>
          <w:b/>
          <w:bCs/>
          <w:rtl/>
        </w:rPr>
        <w:t>בתחום</w:t>
      </w:r>
      <w:r w:rsidRPr="002B5E33">
        <w:rPr>
          <w:b/>
          <w:bCs/>
          <w:rtl/>
        </w:rPr>
        <w:t xml:space="preserve"> </w:t>
      </w:r>
      <w:r w:rsidRPr="002B5E33">
        <w:rPr>
          <w:rFonts w:hint="eastAsia"/>
          <w:b/>
          <w:bCs/>
          <w:rtl/>
        </w:rPr>
        <w:t>הבריאות</w:t>
      </w:r>
      <w:r w:rsidRPr="002B5E33">
        <w:rPr>
          <w:b/>
          <w:bCs/>
          <w:rtl/>
        </w:rPr>
        <w:t xml:space="preserve"> </w:t>
      </w:r>
      <w:r w:rsidRPr="002B5E33">
        <w:rPr>
          <w:rFonts w:hint="eastAsia"/>
          <w:b/>
          <w:bCs/>
          <w:rtl/>
        </w:rPr>
        <w:t>בשנים</w:t>
      </w:r>
      <w:r w:rsidRPr="002B5E33">
        <w:rPr>
          <w:b/>
          <w:bCs/>
          <w:rtl/>
        </w:rPr>
        <w:t xml:space="preserve"> </w:t>
      </w:r>
      <w:r w:rsidRPr="002B5E33">
        <w:rPr>
          <w:rFonts w:hint="eastAsia"/>
          <w:b/>
          <w:bCs/>
          <w:rtl/>
        </w:rPr>
        <w:t>האחרונות</w:t>
      </w:r>
      <w:r w:rsidRPr="002B5E33">
        <w:rPr>
          <w:rFonts w:hint="cs"/>
          <w:b/>
          <w:bCs/>
          <w:rtl/>
        </w:rPr>
        <w:t xml:space="preserve"> לצורך ייעול הפעילות</w:t>
      </w:r>
      <w:r w:rsidRPr="002B5E33">
        <w:rPr>
          <w:b/>
          <w:bCs/>
          <w:rtl/>
        </w:rPr>
        <w:t>.</w:t>
      </w:r>
    </w:p>
    <w:p w:rsidR="00FA3E7D" w:rsidRPr="002B5E33" w:rsidP="00FA3E7D">
      <w:pPr>
        <w:pStyle w:val="a"/>
        <w:spacing w:line="269" w:lineRule="auto"/>
        <w:rPr>
          <w:rtl/>
        </w:rPr>
      </w:pPr>
    </w:p>
    <w:p w:rsidR="00FA3E7D" w:rsidRPr="002B5E33" w:rsidP="00FA3E7D">
      <w:pPr>
        <w:pStyle w:val="Heading4"/>
        <w:spacing w:before="0" w:line="269" w:lineRule="auto"/>
        <w:rPr>
          <w:rtl/>
        </w:rPr>
      </w:pPr>
      <w:r w:rsidRPr="002B5E33">
        <w:rPr>
          <w:rFonts w:hint="cs"/>
          <w:rtl/>
        </w:rPr>
        <w:t>פעולות להקמת מוסד ליישוב סכסוכים בין חברות הביטוח לבין מבוטחים</w:t>
      </w:r>
    </w:p>
    <w:p w:rsidR="00FA3E7D" w:rsidRPr="002B5E33" w:rsidP="00FA3E7D">
      <w:pPr>
        <w:pStyle w:val="a"/>
        <w:rPr>
          <w:rtl/>
        </w:rPr>
      </w:pPr>
    </w:p>
    <w:p w:rsidR="00FA3E7D" w:rsidP="00FA3E7D">
      <w:pPr>
        <w:spacing w:line="269" w:lineRule="auto"/>
        <w:rPr>
          <w:sz w:val="24"/>
          <w:rtl/>
        </w:rPr>
      </w:pPr>
      <w:r w:rsidRPr="002B5E33">
        <w:rPr>
          <w:rFonts w:hint="cs"/>
          <w:sz w:val="24"/>
          <w:rtl/>
        </w:rPr>
        <w:t>בינואר 2018 קיבלה הממשלה החלטה</w:t>
      </w:r>
      <w:r>
        <w:rPr>
          <w:rStyle w:val="FootnoteReference"/>
          <w:sz w:val="24"/>
          <w:rtl/>
        </w:rPr>
        <w:footnoteReference w:id="92"/>
      </w:r>
      <w:r w:rsidRPr="002B5E33">
        <w:rPr>
          <w:rFonts w:hint="cs"/>
          <w:sz w:val="24"/>
          <w:rtl/>
        </w:rPr>
        <w:t xml:space="preserve"> בדבר "הקמת מוסד ליישוב סכסוכים בין חברות הביטוח לבין מבוטחים" (להלן - החלטת הממשלה). בהתאם להחלטה, הוטל על שר האוצר "לתקן את חוק הפיקוח על שירותים פיננסיים (ביטוח), התשמ"א</w:t>
      </w:r>
      <w:r w:rsidRPr="002B5E33">
        <w:rPr>
          <w:sz w:val="24"/>
          <w:rtl/>
        </w:rPr>
        <w:t>–</w:t>
      </w:r>
      <w:r w:rsidRPr="002B5E33">
        <w:rPr>
          <w:rFonts w:hint="cs"/>
          <w:sz w:val="24"/>
          <w:rtl/>
        </w:rPr>
        <w:t>1981, כך שיוקם מוסד לבירור תביעות בתחום הביטוח (להלן - המוסד) במסגרת רשות שוק ההון, ביטוח וחיסכון". במסגרת התיקון לחוק נועדו להיקבע הוראות לעניין מינוי מבררי התלונות וכישוריהם; הוראות לעניין הליך בירור התביעה; עילות הערעור על החלטות מברר וסמכות להתקין תקנות לגבי שכרו של מברר; ואגרות שיוטלו על פונה ועל גוף מפוקח למימון בירור התביעה.</w:t>
      </w:r>
    </w:p>
    <w:p w:rsidR="00FA3E7D" w:rsidRPr="002B5E33" w:rsidP="00FA3E7D">
      <w:pPr>
        <w:pStyle w:val="a"/>
        <w:spacing w:line="269" w:lineRule="auto"/>
        <w:rPr>
          <w:rtl/>
        </w:rPr>
      </w:pPr>
    </w:p>
    <w:p w:rsidR="00FA3E7D" w:rsidRPr="002B5E33" w:rsidP="00FA3E7D">
      <w:pPr>
        <w:spacing w:line="269" w:lineRule="auto"/>
        <w:rPr>
          <w:sz w:val="24"/>
          <w:rtl/>
        </w:rPr>
      </w:pPr>
      <w:r w:rsidRPr="002B5E33">
        <w:rPr>
          <w:rFonts w:hint="cs"/>
          <w:sz w:val="24"/>
          <w:rtl/>
        </w:rPr>
        <w:t>סמוך להחלטת הממשלה פורסם תזכיר חוק הפיקוח על שירותים פיננסיים (ביטוח) (מוסד ליישוב סכסוכים), התשע"ח-2017. בדברי ההסבר של תזכיר הצעת החוק נכתב כי "יצוין כי אין בהקמת המוסד כדי לייתר את הליך בירור פניות הציבור שעליו אמונה הממונה בהתאם לסמכותה לפי סעיף 62-60 לחוק הפיקוח על הביטוח. הליך בירור פניות הציבור מהווה מסלול נוסף בפני הפונה שאינו מעוניין לפנות לבית המשפט או שאינו מעוניין לפנות למוסד. בנוסף, להליך בירור פניות הציבור קיימת משמעות רבה מבחינת הרשות שכן חלק לא מבוטל מההסדרה של הרשות נעשה בעקבות כשלים שמתגלים במסגרת ההליך".</w:t>
      </w:r>
    </w:p>
    <w:p w:rsidR="00FA3E7D" w:rsidRPr="002B5E33" w:rsidP="00FA3E7D">
      <w:pPr>
        <w:pStyle w:val="a"/>
        <w:spacing w:line="269" w:lineRule="auto"/>
        <w:rPr>
          <w:rtl/>
        </w:rPr>
      </w:pPr>
    </w:p>
    <w:p w:rsidR="00FA3E7D" w:rsidRPr="002B5E33" w:rsidP="00FA3E7D">
      <w:pPr>
        <w:spacing w:line="269" w:lineRule="auto"/>
        <w:rPr>
          <w:sz w:val="24"/>
          <w:rtl/>
        </w:rPr>
      </w:pPr>
      <w:r w:rsidRPr="002B5E33">
        <w:rPr>
          <w:rFonts w:hint="cs"/>
          <w:sz w:val="24"/>
          <w:rtl/>
        </w:rPr>
        <w:t>בדברי ההסבר לתזכיר החוק נכתב, בין היתר, כי "עולה מנתוני הרשות כי קיימת מגמה של גידול גם במספר התביעות המגיעות לבתי המשפט בתחומי הביטוח והחיסכון הפנסיוני: בשנת 2014 הוגשו לבתי המשפט 36,356 תביעות; בשנת 2015 הוגשו לבתי המשפט 42,767 תביעות; ובשנת 2016 הוגשו לבתי המשפט 45,352 תביעות. מתוך התביעות שהתבררו בבתי המשפט בשנת 2016, בכ-10 אלפים תביעות, ניתן פסק דין לטובת המבוטחים, בכ-5,500 תביעות ניתן פסק דין לטובת חברות הביטוח, כ-28,500 תביעות הסתיימו בפשרה וכאלף תביעות הסתיימו בסטטוס אחר (לדוגמא תביעות שבוטלו). מספר התביעות הרב מעלה את החשש כי גם פונים המחליטים לתבוע גוף מפוקח בבית משפט, נאלצים להסכים לפשרה מול הגוף המפוקח, וזאת מבלי למצות את מלוא זכויותיהם, על מנת להביא לסיום ההליך בצורה מהירה יותר".</w:t>
      </w:r>
    </w:p>
    <w:p w:rsidR="00FA3E7D" w:rsidRPr="002B5E33" w:rsidP="00FA3E7D">
      <w:pPr>
        <w:pStyle w:val="a"/>
        <w:spacing w:line="269" w:lineRule="auto"/>
        <w:rPr>
          <w:rtl/>
        </w:rPr>
      </w:pPr>
    </w:p>
    <w:p w:rsidR="00FA3E7D" w:rsidRPr="002B5E33" w:rsidP="00FA3E7D">
      <w:pPr>
        <w:spacing w:line="269" w:lineRule="auto"/>
        <w:rPr>
          <w:b/>
          <w:bCs/>
          <w:sz w:val="24"/>
          <w:rtl/>
        </w:rPr>
      </w:pPr>
      <w:r w:rsidRPr="002B5E33">
        <w:rPr>
          <w:rFonts w:hint="cs"/>
          <w:b/>
          <w:bCs/>
          <w:sz w:val="24"/>
          <w:rtl/>
        </w:rPr>
        <w:t xml:space="preserve">עד מועד סיום הביקורת, לא קודם תיקון החוק כאמור בהחלטת הממשלה, מעבר לאמור לעיל, בין היתר בשל קיומן של כמה מערכות בחירות. </w:t>
      </w:r>
    </w:p>
    <w:p w:rsidR="00FA3E7D" w:rsidRPr="002B5E33" w:rsidP="00FA3E7D">
      <w:pPr>
        <w:pStyle w:val="a"/>
        <w:spacing w:line="269" w:lineRule="auto"/>
      </w:pPr>
    </w:p>
    <w:p w:rsidR="00FA3E7D" w:rsidRPr="002B5E33" w:rsidP="00FA3E7D">
      <w:pPr>
        <w:spacing w:line="269" w:lineRule="auto"/>
        <w:rPr>
          <w:sz w:val="24"/>
          <w:rtl/>
        </w:rPr>
      </w:pPr>
      <w:r w:rsidRPr="002B5E33">
        <w:rPr>
          <w:sz w:val="24"/>
          <w:rtl/>
        </w:rPr>
        <w:t xml:space="preserve">בתשובת התאחדות חברות לביטוח חיים בע"מ ואגוד חברות הביטוח בישראל, ממרץ 2020 (להלן - תשובת איגוד חברות הביטוח), נכתב כי קידום תזכיר החוק נזנח בשל הסתייגות הנהלת בתי המשפט ומשרד המשפטים, בין היתר מטעמים </w:t>
      </w:r>
      <w:r w:rsidRPr="002B5E33">
        <w:rPr>
          <w:rFonts w:hint="cs"/>
          <w:sz w:val="24"/>
          <w:rtl/>
        </w:rPr>
        <w:t>אלה</w:t>
      </w:r>
      <w:r w:rsidRPr="002B5E33">
        <w:rPr>
          <w:sz w:val="24"/>
          <w:rtl/>
        </w:rPr>
        <w:t xml:space="preserve">: (1) - אין מקום להכרעה במחלוקת שלא לפי הדין המהותי, במקום בו חוזה הביטוח מושתת על יחסים חוזיים עם המבוטח, או בהעדר הופעה של בעלי הדין, וללא שמיעת עדים ומומחים; (2) - קיים קושי חוקתי בהסמכת הרשות המבצעת, הקובעת חלק ניכר מהדין (רשות שוק ההון), לנהל מוסד </w:t>
      </w:r>
      <w:r w:rsidRPr="002B5E33">
        <w:rPr>
          <w:rFonts w:hint="cs"/>
          <w:sz w:val="24"/>
          <w:rtl/>
        </w:rPr>
        <w:t>חלופי</w:t>
      </w:r>
      <w:r w:rsidRPr="002B5E33">
        <w:rPr>
          <w:sz w:val="24"/>
          <w:rtl/>
        </w:rPr>
        <w:t xml:space="preserve"> לבתי המשפט; (3) - הקמת מוסד ליישוב סכסוכים תפגע בזכות הגישה לערכאות של המתדיינים, כמו גם בחופש העיסוק וזכות הקניין. עוד נכתב בתשובת איגוד חברות הביטוח כי גם מבחינה </w:t>
      </w:r>
      <w:r w:rsidRPr="002B5E33">
        <w:rPr>
          <w:rFonts w:hint="cs"/>
          <w:sz w:val="24"/>
          <w:rtl/>
        </w:rPr>
        <w:t>מעשית</w:t>
      </w:r>
      <w:r w:rsidRPr="002B5E33">
        <w:rPr>
          <w:sz w:val="24"/>
          <w:rtl/>
        </w:rPr>
        <w:t xml:space="preserve"> אין צורך בתזכיר החוק לאור הסמכות הנתונה לממונה לברר ולהכריע בתלונות ציבור נגד מבטחים ונגד סוכני ביטוח.</w:t>
      </w:r>
    </w:p>
    <w:p w:rsidR="00FA3E7D" w:rsidRPr="002B5E33" w:rsidP="00FA3E7D">
      <w:pPr>
        <w:pStyle w:val="a"/>
        <w:spacing w:line="269" w:lineRule="auto"/>
        <w:rPr>
          <w:rtl/>
        </w:rPr>
      </w:pPr>
    </w:p>
    <w:p w:rsidR="00FA3E7D" w:rsidRPr="002B5E33" w:rsidP="00FA3E7D">
      <w:pPr>
        <w:spacing w:line="269" w:lineRule="auto"/>
        <w:rPr>
          <w:sz w:val="24"/>
          <w:rtl/>
        </w:rPr>
      </w:pPr>
      <w:r w:rsidRPr="002B5E33">
        <w:rPr>
          <w:rFonts w:hint="cs"/>
          <w:sz w:val="24"/>
          <w:rtl/>
        </w:rPr>
        <w:t>משרד המשפטים השיב למשרד מבקר המדינה ביוני 2020 כי משהחליטה הממשלה על הקמת מוסד ליישוב סכסוכים בנושאי ביטוח מחוץ לכותלי בית המשפט, הדרג המקצועי במשרד המשפטים לא התנגד לקידום התזכיר שכלל את העקרונות שעליהם החליטה הממשלה. הנהלת בתי המשפט השיבה למשרד מבקר המדינה ביוני 2020 כי לא הסתייגה מתזכיר החוק כנטען בתשובת איגוד חברות הביטוח, וזאת מבלי להביע עמדה לגופו של עניין.</w:t>
      </w:r>
    </w:p>
    <w:p w:rsidR="00FA3E7D" w:rsidRPr="002B5E33" w:rsidP="00FA3E7D">
      <w:pPr>
        <w:pStyle w:val="a"/>
        <w:spacing w:line="269" w:lineRule="auto"/>
      </w:pPr>
    </w:p>
    <w:p w:rsidR="00FA3E7D" w:rsidRPr="002B5E33" w:rsidP="00FA3E7D">
      <w:pPr>
        <w:spacing w:line="269" w:lineRule="auto"/>
        <w:rPr>
          <w:sz w:val="24"/>
          <w:rtl/>
        </w:rPr>
      </w:pPr>
      <w:r w:rsidRPr="002B5E33">
        <w:rPr>
          <w:rFonts w:hint="cs"/>
          <w:sz w:val="24"/>
          <w:rtl/>
        </w:rPr>
        <w:t>בתשובת רשות שוק ההון נכתב כי תיקון החוק אמנם לא קודם בשל קיומן של כמה מערכות בחירות, וכי הרשות מתכוונת להמשיך בקידום הקמת מוסד ליישוב סכסוכים בין חברות הביטוח למבוטחים, תוך הבטחה כי מוסד זה ישמור על פעולה אובייקטיבית ונטרול כוחם של גורמים המורגלים בקיום הליכים משפטיים, ולא יפגע בזכויות המבוטחים, לרבות זכותם להגיש תובענות ייצוגיות, המשמשות כלי אכיפה אזרחי יעיל.</w:t>
      </w:r>
    </w:p>
    <w:p w:rsidR="00FA3E7D" w:rsidRPr="002B5E33" w:rsidP="00FA3E7D">
      <w:pPr>
        <w:pStyle w:val="a"/>
        <w:spacing w:line="269" w:lineRule="auto"/>
        <w:rPr>
          <w:rtl/>
        </w:rPr>
      </w:pPr>
    </w:p>
    <w:p w:rsidR="00FA3E7D" w:rsidRPr="002B5E33" w:rsidP="00FA3E7D">
      <w:pPr>
        <w:spacing w:line="269" w:lineRule="auto"/>
        <w:rPr>
          <w:b/>
          <w:bCs/>
          <w:sz w:val="24"/>
          <w:rtl/>
        </w:rPr>
      </w:pPr>
      <w:r w:rsidRPr="002B5E33">
        <w:rPr>
          <w:rFonts w:hint="eastAsia"/>
          <w:b/>
          <w:bCs/>
          <w:sz w:val="24"/>
          <w:rtl/>
        </w:rPr>
        <w:t>משרד</w:t>
      </w:r>
      <w:r w:rsidRPr="002B5E33">
        <w:rPr>
          <w:b/>
          <w:bCs/>
          <w:sz w:val="24"/>
          <w:rtl/>
        </w:rPr>
        <w:t xml:space="preserve"> מבקר המדינה ממליץ לרשות שוק ההון ל</w:t>
      </w:r>
      <w:r w:rsidRPr="002B5E33">
        <w:rPr>
          <w:rFonts w:hint="eastAsia"/>
          <w:b/>
          <w:bCs/>
          <w:sz w:val="24"/>
          <w:rtl/>
        </w:rPr>
        <w:t>השלים</w:t>
      </w:r>
      <w:r w:rsidRPr="002B5E33">
        <w:rPr>
          <w:b/>
          <w:bCs/>
          <w:sz w:val="24"/>
          <w:rtl/>
        </w:rPr>
        <w:t xml:space="preserve"> </w:t>
      </w:r>
      <w:r w:rsidRPr="002B5E33">
        <w:rPr>
          <w:rFonts w:hint="eastAsia"/>
          <w:b/>
          <w:bCs/>
          <w:sz w:val="24"/>
          <w:rtl/>
        </w:rPr>
        <w:t>קידום</w:t>
      </w:r>
      <w:r w:rsidRPr="002B5E33">
        <w:rPr>
          <w:b/>
          <w:bCs/>
          <w:sz w:val="24"/>
          <w:rtl/>
        </w:rPr>
        <w:t xml:space="preserve"> </w:t>
      </w:r>
      <w:r w:rsidRPr="002B5E33">
        <w:rPr>
          <w:rFonts w:hint="eastAsia"/>
          <w:b/>
          <w:bCs/>
          <w:sz w:val="24"/>
          <w:rtl/>
        </w:rPr>
        <w:t>תזכיר</w:t>
      </w:r>
      <w:r w:rsidRPr="002B5E33">
        <w:rPr>
          <w:b/>
          <w:bCs/>
          <w:sz w:val="24"/>
          <w:rtl/>
        </w:rPr>
        <w:t xml:space="preserve"> </w:t>
      </w:r>
      <w:r w:rsidRPr="002B5E33">
        <w:rPr>
          <w:rFonts w:hint="eastAsia"/>
          <w:b/>
          <w:bCs/>
          <w:sz w:val="24"/>
          <w:rtl/>
        </w:rPr>
        <w:t>החוק</w:t>
      </w:r>
      <w:r w:rsidRPr="002B5E33">
        <w:rPr>
          <w:b/>
          <w:bCs/>
          <w:sz w:val="24"/>
          <w:rtl/>
        </w:rPr>
        <w:t xml:space="preserve"> </w:t>
      </w:r>
      <w:r w:rsidRPr="002B5E33">
        <w:rPr>
          <w:rFonts w:hint="eastAsia"/>
          <w:b/>
          <w:bCs/>
          <w:sz w:val="24"/>
          <w:rtl/>
        </w:rPr>
        <w:t>בהתאם</w:t>
      </w:r>
      <w:r w:rsidRPr="002B5E33">
        <w:rPr>
          <w:b/>
          <w:bCs/>
          <w:sz w:val="24"/>
          <w:rtl/>
        </w:rPr>
        <w:t xml:space="preserve"> </w:t>
      </w:r>
      <w:r w:rsidRPr="002B5E33">
        <w:rPr>
          <w:rFonts w:hint="eastAsia"/>
          <w:b/>
          <w:bCs/>
          <w:sz w:val="24"/>
          <w:rtl/>
        </w:rPr>
        <w:t>להחלטת</w:t>
      </w:r>
      <w:r w:rsidRPr="002B5E33">
        <w:rPr>
          <w:b/>
          <w:bCs/>
          <w:sz w:val="24"/>
          <w:rtl/>
        </w:rPr>
        <w:t xml:space="preserve"> </w:t>
      </w:r>
      <w:r w:rsidRPr="002B5E33">
        <w:rPr>
          <w:rFonts w:hint="eastAsia"/>
          <w:b/>
          <w:bCs/>
          <w:sz w:val="24"/>
          <w:rtl/>
        </w:rPr>
        <w:t>הממשלה</w:t>
      </w:r>
      <w:r w:rsidRPr="002B5E33">
        <w:rPr>
          <w:b/>
          <w:bCs/>
          <w:sz w:val="24"/>
          <w:rtl/>
        </w:rPr>
        <w:t xml:space="preserve">, </w:t>
      </w:r>
      <w:r w:rsidRPr="002B5E33">
        <w:rPr>
          <w:rFonts w:hint="eastAsia"/>
          <w:b/>
          <w:bCs/>
          <w:sz w:val="24"/>
          <w:rtl/>
        </w:rPr>
        <w:t>תוך</w:t>
      </w:r>
      <w:r w:rsidRPr="002B5E33">
        <w:rPr>
          <w:b/>
          <w:bCs/>
          <w:sz w:val="24"/>
          <w:rtl/>
        </w:rPr>
        <w:t xml:space="preserve"> </w:t>
      </w:r>
      <w:r w:rsidRPr="002B5E33">
        <w:rPr>
          <w:rFonts w:hint="eastAsia"/>
          <w:b/>
          <w:bCs/>
          <w:sz w:val="24"/>
          <w:rtl/>
        </w:rPr>
        <w:t>התייחסות</w:t>
      </w:r>
      <w:r w:rsidRPr="002B5E33">
        <w:rPr>
          <w:b/>
          <w:bCs/>
          <w:sz w:val="24"/>
          <w:rtl/>
        </w:rPr>
        <w:t xml:space="preserve"> </w:t>
      </w:r>
      <w:r w:rsidRPr="002B5E33">
        <w:rPr>
          <w:rFonts w:hint="eastAsia"/>
          <w:b/>
          <w:bCs/>
          <w:sz w:val="24"/>
          <w:rtl/>
        </w:rPr>
        <w:t>לעמדות</w:t>
      </w:r>
      <w:r w:rsidRPr="002B5E33">
        <w:rPr>
          <w:b/>
          <w:bCs/>
          <w:sz w:val="24"/>
          <w:rtl/>
        </w:rPr>
        <w:t xml:space="preserve"> </w:t>
      </w:r>
      <w:r w:rsidRPr="002B5E33">
        <w:rPr>
          <w:rFonts w:hint="eastAsia"/>
          <w:b/>
          <w:bCs/>
          <w:sz w:val="24"/>
          <w:rtl/>
        </w:rPr>
        <w:t>השונות</w:t>
      </w:r>
      <w:r w:rsidRPr="002B5E33">
        <w:rPr>
          <w:b/>
          <w:bCs/>
          <w:sz w:val="24"/>
          <w:rtl/>
        </w:rPr>
        <w:t>.</w:t>
      </w:r>
      <w:r w:rsidRPr="002B5E33">
        <w:rPr>
          <w:rFonts w:hint="cs"/>
          <w:b/>
          <w:bCs/>
          <w:sz w:val="24"/>
          <w:rtl/>
        </w:rPr>
        <w:t xml:space="preserve"> </w:t>
      </w:r>
    </w:p>
    <w:p w:rsidR="00FA3E7D" w:rsidRPr="002B5E33" w:rsidP="00FA3E7D">
      <w:pPr>
        <w:pStyle w:val="a"/>
        <w:spacing w:line="269" w:lineRule="auto"/>
        <w:rPr>
          <w:rtl/>
        </w:rPr>
      </w:pPr>
    </w:p>
    <w:p w:rsidR="00FA3E7D" w:rsidRPr="002B5E33" w:rsidP="00FA3E7D">
      <w:pPr>
        <w:pStyle w:val="Heading4"/>
        <w:spacing w:before="0" w:line="269" w:lineRule="auto"/>
        <w:rPr>
          <w:rtl/>
        </w:rPr>
      </w:pPr>
      <w:r w:rsidRPr="002B5E33">
        <w:rPr>
          <w:rFonts w:hint="cs"/>
          <w:rtl/>
        </w:rPr>
        <w:t>שינוי ארגוני ברשות שוק ההון בנושא הטיפול בפניות הציבור</w:t>
      </w:r>
    </w:p>
    <w:p w:rsidR="00FA3E7D" w:rsidRPr="002B5E33" w:rsidP="00FA3E7D">
      <w:pPr>
        <w:pStyle w:val="a"/>
        <w:rPr>
          <w:rtl/>
        </w:rPr>
      </w:pPr>
    </w:p>
    <w:p w:rsidR="00FA3E7D" w:rsidRPr="002B5E33" w:rsidP="00FA3E7D">
      <w:pPr>
        <w:spacing w:line="269" w:lineRule="auto"/>
        <w:rPr>
          <w:rtl/>
        </w:rPr>
      </w:pPr>
      <w:r w:rsidRPr="002B5E33">
        <w:rPr>
          <w:rFonts w:hint="cs"/>
          <w:rtl/>
        </w:rPr>
        <w:t>עד לשנת 2013 טופלו פניות הציבור לרשות שוק ההון באמצעות מחלקה נפרדת, ובה היה צוות מינהלי שטיפל בקליטת הפניות וניתובן לגורמים הרלוונטיים, וצוות מקצועי אשר עסק בבירור התלונות שנדרשו לבירור מקצועי.</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בשנת 2014 הוחלט ברשות שוק ההון על ביצוע שינוי ארגוני, שבמסגרתו שולב הצוות המקצועי של מחלקת פניות הציבור במחלקות המקצועיות של הרשות (פנסיה, גמל, ביטוח), ובאופן זה בירור התלונות משולב בעבודה המקצועית הרגילה של מחלקות אלו. השינוי האמור נועד לצורך הידוק שיתוף הפעולה באגף בין תחום האסדרה, תחום הביקורת ותחום הטיפול בפניות הציבור, ולצורך שיפור וייעול העבודה תוך שימור הידע והניסיון שנצבר.</w:t>
      </w:r>
      <w:r w:rsidRPr="002B5E33">
        <w:rPr>
          <w:rtl/>
        </w:rPr>
        <w:t xml:space="preserve">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בתשובת רשות שוק ההון נכתב כי הרשות ומחלקת פניות הציבור בוחנים כל העת את יעילות ומקצועיות המענה שניתן לאזרחים, וכי השינוי המבני "העלה ביתר שאת את המודעות של המחלקות המקצועיות לנושא". הרשות הוסיפה כי העברת הטיפול בפניות הציבור למחלקות המקצועיות מאפשרת לרשות לפקח על התנהלות הגופים בצורה אפקטיבית וצמודה.</w:t>
      </w:r>
    </w:p>
    <w:p w:rsidR="00FA3E7D" w:rsidRPr="002B5E33" w:rsidP="00FA3E7D">
      <w:pPr>
        <w:pStyle w:val="a"/>
        <w:spacing w:line="269" w:lineRule="auto"/>
      </w:pPr>
    </w:p>
    <w:p w:rsidR="00FA3E7D" w:rsidRPr="002B5E33" w:rsidP="00FA3E7D">
      <w:pPr>
        <w:spacing w:line="269" w:lineRule="auto"/>
      </w:pPr>
      <w:r w:rsidRPr="002B5E33">
        <w:rPr>
          <w:rFonts w:hint="cs"/>
          <w:rtl/>
        </w:rPr>
        <w:t>להלן, ניתוח של מספר הפניות הפתוחות ברשות בתחום ביטוחי הבריאות בתקופה שבין ינואר 2015 וינואר 2019, אשר בוצע על ידי משרד מבקר המדינה בהתבסס על נתוני סגירת התיקים ברשות בתקופה זו</w:t>
      </w:r>
      <w:r>
        <w:rPr>
          <w:rStyle w:val="FootnoteReference"/>
          <w:rtl/>
        </w:rPr>
        <w:footnoteReference w:id="93"/>
      </w:r>
      <w:r w:rsidRPr="002B5E33">
        <w:rPr>
          <w:rFonts w:hint="cs"/>
          <w:rtl/>
        </w:rPr>
        <w:t>.</w:t>
      </w:r>
    </w:p>
    <w:p w:rsidR="00FA3E7D" w:rsidRPr="002B5E33" w:rsidP="00FA3E7D">
      <w:pPr>
        <w:spacing w:line="269" w:lineRule="auto"/>
        <w:rPr>
          <w:rtl/>
        </w:rPr>
      </w:pPr>
    </w:p>
    <w:p w:rsidR="00FA3E7D" w:rsidRPr="002B5E33" w:rsidP="00FB2614">
      <w:pPr>
        <w:spacing w:line="269" w:lineRule="auto"/>
        <w:jc w:val="center"/>
        <w:rPr>
          <w:b/>
          <w:bCs/>
        </w:rPr>
      </w:pPr>
      <w:r w:rsidRPr="002B5E33">
        <w:rPr>
          <w:rFonts w:hint="cs"/>
          <w:b/>
          <w:bCs/>
          <w:rtl/>
        </w:rPr>
        <w:t>תרשים 14</w:t>
      </w:r>
      <w:r w:rsidR="00FB2614">
        <w:rPr>
          <w:rFonts w:hint="cs"/>
          <w:b/>
          <w:bCs/>
          <w:rtl/>
        </w:rPr>
        <w:t xml:space="preserve">: </w:t>
      </w:r>
      <w:r w:rsidRPr="002B5E33">
        <w:rPr>
          <w:rFonts w:hint="eastAsia"/>
          <w:b/>
          <w:bCs/>
          <w:rtl/>
        </w:rPr>
        <w:t>מספר</w:t>
      </w:r>
      <w:r w:rsidRPr="002B5E33">
        <w:rPr>
          <w:b/>
          <w:bCs/>
          <w:rtl/>
        </w:rPr>
        <w:t xml:space="preserve"> </w:t>
      </w:r>
      <w:r w:rsidRPr="002B5E33">
        <w:rPr>
          <w:rFonts w:hint="cs"/>
          <w:b/>
          <w:bCs/>
          <w:rtl/>
        </w:rPr>
        <w:t>ה</w:t>
      </w:r>
      <w:r w:rsidRPr="002B5E33">
        <w:rPr>
          <w:rFonts w:hint="eastAsia"/>
          <w:b/>
          <w:bCs/>
          <w:rtl/>
        </w:rPr>
        <w:t>פניות</w:t>
      </w:r>
      <w:r w:rsidRPr="002B5E33">
        <w:rPr>
          <w:b/>
          <w:bCs/>
          <w:rtl/>
        </w:rPr>
        <w:t xml:space="preserve"> </w:t>
      </w:r>
      <w:r w:rsidRPr="002B5E33">
        <w:rPr>
          <w:rFonts w:hint="cs"/>
          <w:b/>
          <w:bCs/>
          <w:rtl/>
        </w:rPr>
        <w:t>ה</w:t>
      </w:r>
      <w:r w:rsidRPr="002B5E33">
        <w:rPr>
          <w:rFonts w:hint="eastAsia"/>
          <w:b/>
          <w:bCs/>
          <w:rtl/>
        </w:rPr>
        <w:t>פתוחות</w:t>
      </w:r>
      <w:r w:rsidRPr="002B5E33">
        <w:rPr>
          <w:b/>
          <w:bCs/>
          <w:rtl/>
        </w:rPr>
        <w:t xml:space="preserve"> במערכת המידע של הרשות </w:t>
      </w:r>
      <w:r w:rsidRPr="002B5E33">
        <w:rPr>
          <w:rFonts w:hint="cs"/>
          <w:b/>
          <w:bCs/>
          <w:rtl/>
        </w:rPr>
        <w:t xml:space="preserve">מינואר 2015 עד ינואר 2019 </w:t>
      </w:r>
      <w:r w:rsidRPr="002B5E33">
        <w:rPr>
          <w:rFonts w:hint="eastAsia"/>
          <w:b/>
          <w:bCs/>
          <w:rtl/>
        </w:rPr>
        <w:t>בתחום</w:t>
      </w:r>
      <w:r w:rsidRPr="002B5E33">
        <w:rPr>
          <w:b/>
          <w:bCs/>
          <w:rtl/>
        </w:rPr>
        <w:t xml:space="preserve"> </w:t>
      </w:r>
      <w:r w:rsidRPr="002B5E33">
        <w:rPr>
          <w:rFonts w:hint="eastAsia"/>
          <w:b/>
          <w:bCs/>
          <w:rtl/>
        </w:rPr>
        <w:t>ביטוח</w:t>
      </w:r>
      <w:r w:rsidRPr="002B5E33">
        <w:rPr>
          <w:b/>
          <w:bCs/>
          <w:rtl/>
        </w:rPr>
        <w:t xml:space="preserve"> </w:t>
      </w:r>
      <w:r w:rsidRPr="002B5E33">
        <w:rPr>
          <w:rFonts w:hint="eastAsia"/>
          <w:b/>
          <w:bCs/>
          <w:rtl/>
        </w:rPr>
        <w:t>הבריאות</w:t>
      </w:r>
      <w:r>
        <w:rPr>
          <w:rStyle w:val="FootnoteReference"/>
          <w:b/>
          <w:bCs/>
          <w:rtl/>
        </w:rPr>
        <w:footnoteReference w:id="94"/>
      </w:r>
      <w:r w:rsidRPr="002B5E33">
        <w:rPr>
          <w:b/>
          <w:bCs/>
          <w:rtl/>
        </w:rPr>
        <w:t xml:space="preserve"> (כלל שלבי הטיפול בפני</w:t>
      </w:r>
      <w:r w:rsidRPr="002B5E33">
        <w:rPr>
          <w:rFonts w:hint="cs"/>
          <w:b/>
          <w:bCs/>
          <w:rtl/>
        </w:rPr>
        <w:t>י</w:t>
      </w:r>
      <w:r w:rsidRPr="002B5E33">
        <w:rPr>
          <w:rFonts w:hint="eastAsia"/>
          <w:b/>
          <w:bCs/>
          <w:rtl/>
        </w:rPr>
        <w:t>ה</w:t>
      </w:r>
      <w:r w:rsidRPr="002B5E33">
        <w:rPr>
          <w:b/>
          <w:bCs/>
          <w:rtl/>
        </w:rPr>
        <w:t>)</w:t>
      </w:r>
    </w:p>
    <w:p w:rsidR="00FA3E7D" w:rsidRPr="002B5E33" w:rsidP="00FB2614">
      <w:pPr>
        <w:spacing w:before="120" w:after="120" w:line="269" w:lineRule="auto"/>
        <w:jc w:val="center"/>
        <w:rPr>
          <w:rtl/>
        </w:rPr>
      </w:pPr>
      <w:r>
        <w:rPr>
          <w:noProof/>
          <w:rtl/>
        </w:rPr>
        <w:drawing>
          <wp:inline distT="0" distB="0" distL="0" distR="0">
            <wp:extent cx="4322073" cy="2359157"/>
            <wp:effectExtent l="0" t="0" r="2540" b="3175"/>
            <wp:docPr id="1493377104" name="תמונה 149337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33962" name="commercial-health-insurance-g-14.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359157"/>
                    </a:xfrm>
                    <a:prstGeom prst="rect">
                      <a:avLst/>
                    </a:prstGeom>
                  </pic:spPr>
                </pic:pic>
              </a:graphicData>
            </a:graphic>
          </wp:inline>
        </w:drawing>
      </w:r>
    </w:p>
    <w:p w:rsidR="00FA3E7D" w:rsidRPr="00F13852" w:rsidP="00FB2614">
      <w:pPr>
        <w:spacing w:line="269" w:lineRule="auto"/>
        <w:jc w:val="left"/>
        <w:rPr>
          <w:sz w:val="22"/>
          <w:szCs w:val="22"/>
          <w:rtl/>
        </w:rPr>
      </w:pPr>
      <w:r w:rsidRPr="00F13852">
        <w:rPr>
          <w:rFonts w:hint="cs"/>
          <w:sz w:val="22"/>
          <w:szCs w:val="22"/>
          <w:rtl/>
        </w:rPr>
        <w:t>מקור: נתוני רשות שוק ההון, בעיבוד משרד מבקר המדינה.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מהתרשים שלעיל עולה כי בין נובמבר 2016 לינואר 2018 מספר הפניות הפתוחות ברשות בתחום ביטוחי הבריאות עלה במידה ניכרת, וכי מינואר 2018 חלה ירידה מתמשכת במספר התיקים הפתוחים. לפי הסברי הרשות, העלייה שחלה בתקופה האמורה נבעה מהחלפת חלק ממערכת המידע שלה, דבר שהביא להצטברות תיקים שהגיעו לרשות לפני קליטתם במערכת, ואשר חייב זמן הסתגלות והטמעה. בתשובת הרשות נמסר כי "החל מחודש יולי 2017 הרשות קולטת את פניות הציבור שמתקבלות ביום שהן מגיעות או ביום למחרת מהרגע שהפנייה מתקבלת".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b/>
          <w:bCs/>
          <w:rtl/>
        </w:rPr>
        <w:t xml:space="preserve">העיכוב בקליטת הפניות שהתקבלו ברשות אל מערכת המידע, גרם לעיכוב בטיפול בהם, וכתוצאה </w:t>
      </w:r>
      <w:r w:rsidRPr="002B5E33">
        <w:rPr>
          <w:b/>
          <w:bCs/>
          <w:rtl/>
        </w:rPr>
        <w:t xml:space="preserve">להתארכות הטיפול </w:t>
      </w:r>
      <w:r w:rsidRPr="002B5E33">
        <w:rPr>
          <w:rFonts w:hint="eastAsia"/>
          <w:b/>
          <w:bCs/>
          <w:rtl/>
        </w:rPr>
        <w:t>בפ</w:t>
      </w:r>
      <w:r w:rsidRPr="002B5E33">
        <w:rPr>
          <w:rFonts w:hint="cs"/>
          <w:b/>
          <w:bCs/>
          <w:rtl/>
        </w:rPr>
        <w:t>ניי</w:t>
      </w:r>
      <w:r w:rsidRPr="002B5E33">
        <w:rPr>
          <w:rFonts w:hint="eastAsia"/>
          <w:b/>
          <w:bCs/>
          <w:rtl/>
        </w:rPr>
        <w:t>ה</w:t>
      </w:r>
      <w:r w:rsidRPr="002B5E33">
        <w:rPr>
          <w:b/>
          <w:bCs/>
          <w:rtl/>
        </w:rPr>
        <w:t xml:space="preserve">, </w:t>
      </w:r>
      <w:r w:rsidRPr="002B5E33">
        <w:rPr>
          <w:rFonts w:hint="cs"/>
          <w:b/>
          <w:bCs/>
          <w:rtl/>
        </w:rPr>
        <w:t>אף כי</w:t>
      </w:r>
      <w:r w:rsidRPr="002B5E33">
        <w:rPr>
          <w:b/>
          <w:bCs/>
          <w:rtl/>
        </w:rPr>
        <w:t xml:space="preserve"> </w:t>
      </w:r>
      <w:r w:rsidRPr="002B5E33">
        <w:rPr>
          <w:rFonts w:hint="eastAsia"/>
          <w:b/>
          <w:bCs/>
          <w:rtl/>
        </w:rPr>
        <w:t>זמן</w:t>
      </w:r>
      <w:r w:rsidRPr="002B5E33">
        <w:rPr>
          <w:b/>
          <w:bCs/>
          <w:rtl/>
        </w:rPr>
        <w:t xml:space="preserve"> זה </w:t>
      </w:r>
      <w:r w:rsidRPr="002B5E33">
        <w:rPr>
          <w:rFonts w:hint="cs"/>
          <w:b/>
          <w:bCs/>
          <w:rtl/>
        </w:rPr>
        <w:t xml:space="preserve">לא </w:t>
      </w:r>
      <w:r w:rsidRPr="002B5E33">
        <w:rPr>
          <w:b/>
          <w:bCs/>
          <w:rtl/>
        </w:rPr>
        <w:t xml:space="preserve">נספר כחלק מזמן הטיפול מבחינתה של הרשות. </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שילוב</w:t>
      </w:r>
      <w:r w:rsidRPr="002B5E33">
        <w:rPr>
          <w:rtl/>
        </w:rPr>
        <w:t xml:space="preserve"> </w:t>
      </w:r>
      <w:r w:rsidRPr="002B5E33">
        <w:rPr>
          <w:rFonts w:hint="eastAsia"/>
          <w:rtl/>
        </w:rPr>
        <w:t>עבודת</w:t>
      </w:r>
      <w:r w:rsidRPr="002B5E33">
        <w:rPr>
          <w:rtl/>
        </w:rPr>
        <w:t xml:space="preserve"> </w:t>
      </w:r>
      <w:r w:rsidRPr="002B5E33">
        <w:rPr>
          <w:rFonts w:hint="cs"/>
          <w:rtl/>
        </w:rPr>
        <w:t xml:space="preserve">מתן </w:t>
      </w:r>
      <w:r w:rsidRPr="002B5E33">
        <w:rPr>
          <w:rtl/>
        </w:rPr>
        <w:t xml:space="preserve">המענה לפניות הציבור בעבודה המקצועית של </w:t>
      </w:r>
      <w:r w:rsidRPr="002B5E33">
        <w:rPr>
          <w:rFonts w:hint="eastAsia"/>
          <w:rtl/>
        </w:rPr>
        <w:t>המחלקות</w:t>
      </w:r>
      <w:r w:rsidRPr="002B5E33">
        <w:rPr>
          <w:rtl/>
        </w:rPr>
        <w:t xml:space="preserve"> </w:t>
      </w:r>
      <w:r w:rsidRPr="002B5E33">
        <w:rPr>
          <w:rFonts w:hint="cs"/>
          <w:rtl/>
        </w:rPr>
        <w:t xml:space="preserve">השונות </w:t>
      </w:r>
      <w:r w:rsidRPr="002B5E33">
        <w:rPr>
          <w:rFonts w:hint="eastAsia"/>
          <w:rtl/>
        </w:rPr>
        <w:t>ב</w:t>
      </w:r>
      <w:r w:rsidRPr="002B5E33">
        <w:rPr>
          <w:rtl/>
        </w:rPr>
        <w:t xml:space="preserve">רשות שוק ההון מחייב </w:t>
      </w:r>
      <w:r w:rsidRPr="002B5E33">
        <w:rPr>
          <w:rFonts w:hint="eastAsia"/>
          <w:rtl/>
        </w:rPr>
        <w:t>נקיטת</w:t>
      </w:r>
      <w:r w:rsidRPr="002B5E33">
        <w:rPr>
          <w:rtl/>
        </w:rPr>
        <w:t xml:space="preserve"> </w:t>
      </w:r>
      <w:r w:rsidRPr="002B5E33">
        <w:rPr>
          <w:rFonts w:hint="eastAsia"/>
          <w:rtl/>
        </w:rPr>
        <w:t>צעדים</w:t>
      </w:r>
      <w:r w:rsidRPr="002B5E33">
        <w:rPr>
          <w:rtl/>
        </w:rPr>
        <w:t xml:space="preserve"> </w:t>
      </w:r>
      <w:r w:rsidRPr="002B5E33">
        <w:rPr>
          <w:rFonts w:hint="cs"/>
          <w:rtl/>
        </w:rPr>
        <w:t xml:space="preserve">שמטרתם </w:t>
      </w:r>
      <w:r w:rsidRPr="002B5E33">
        <w:rPr>
          <w:rFonts w:hint="eastAsia"/>
          <w:rtl/>
        </w:rPr>
        <w:t>לוודא</w:t>
      </w:r>
      <w:r w:rsidRPr="002B5E33">
        <w:rPr>
          <w:rtl/>
        </w:rPr>
        <w:t xml:space="preserve"> </w:t>
      </w:r>
      <w:r w:rsidRPr="002B5E33">
        <w:rPr>
          <w:rFonts w:hint="eastAsia"/>
          <w:rtl/>
        </w:rPr>
        <w:t>שהטיפול</w:t>
      </w:r>
      <w:r w:rsidRPr="002B5E33">
        <w:rPr>
          <w:rtl/>
        </w:rPr>
        <w:t xml:space="preserve"> בפניות הציבור אינו נדחק לקרן זווית </w:t>
      </w:r>
      <w:r w:rsidRPr="002B5E33">
        <w:rPr>
          <w:rFonts w:hint="eastAsia"/>
          <w:rtl/>
        </w:rPr>
        <w:t>בשל</w:t>
      </w:r>
      <w:r w:rsidRPr="002B5E33">
        <w:rPr>
          <w:rtl/>
        </w:rPr>
        <w:t xml:space="preserve"> צ</w:t>
      </w:r>
      <w:r w:rsidRPr="002B5E33">
        <w:rPr>
          <w:rFonts w:hint="cs"/>
          <w:rtl/>
        </w:rPr>
        <w:t>ו</w:t>
      </w:r>
      <w:r w:rsidRPr="002B5E33">
        <w:rPr>
          <w:rtl/>
        </w:rPr>
        <w:t xml:space="preserve">רכי העבודה השוטפת, וכי </w:t>
      </w:r>
      <w:r w:rsidRPr="002B5E33">
        <w:rPr>
          <w:rFonts w:hint="cs"/>
          <w:rtl/>
        </w:rPr>
        <w:t xml:space="preserve">הוא </w:t>
      </w:r>
      <w:r w:rsidRPr="002B5E33">
        <w:rPr>
          <w:rtl/>
        </w:rPr>
        <w:t xml:space="preserve">זוכה לתעדוף ראוי במסגרת כלל המשימות המקצועיות של עובדי </w:t>
      </w:r>
      <w:r w:rsidRPr="002B5E33">
        <w:rPr>
          <w:rFonts w:hint="cs"/>
          <w:rtl/>
        </w:rPr>
        <w:t>הרשות. על כן חשוב כי לצד קביעת יעדים כמותיים ובחינת יכולת כוח האדם המקצועי במחלקות להתמודד עם היקף הפניות תיבחן איכות הטיפול בתלונות לאחר השינוי הארגוני.</w:t>
      </w:r>
      <w:r>
        <w:rPr>
          <w:rFonts w:hint="cs"/>
          <w:rtl/>
        </w:rPr>
        <w:t xml:space="preserve">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רשות שוק ההון השיבה למשרד מבקר המדינה כי מחלקת פניות הציבור מקדמת את הטיפול בפניות מול רפרנט פניות ציבור שקיים בכל מחלקה מקצועית. עוד השיבה הרשות כי "עובדי ומנהלי המחלקות המקצועיות מכירים בחשיבות פניות הציבור הן לאזרח והן ככלי פיקוחי, כך שהטיפול בפניות הציבור מהווה חלק משמעותי בעבודת המחלקות".</w:t>
      </w:r>
      <w:r>
        <w:rPr>
          <w:rFonts w:hint="cs"/>
          <w:rtl/>
        </w:rPr>
        <w:t xml:space="preserve"> </w:t>
      </w:r>
      <w:r w:rsidRPr="002B5E33">
        <w:rPr>
          <w:rFonts w:hint="cs"/>
          <w:rtl/>
        </w:rPr>
        <w:t>הרשות הוסיפה כי הרפרנט האחראי על טיפול בפניות הציבור במחלקה המקצועית מפקח על התשובות הנשלחות לפונים, ומכשיר עובדים חדשים למענה לפניות הציבור.</w:t>
      </w:r>
    </w:p>
    <w:p w:rsidR="00FA3E7D" w:rsidRPr="002B5E33" w:rsidP="00FA3E7D">
      <w:pPr>
        <w:pStyle w:val="a"/>
        <w:spacing w:line="269" w:lineRule="auto"/>
        <w:rPr>
          <w:rtl/>
        </w:rPr>
      </w:pPr>
    </w:p>
    <w:p w:rsidR="00FA3E7D" w:rsidRPr="001F141F" w:rsidP="00FA3E7D">
      <w:pPr>
        <w:spacing w:line="269" w:lineRule="auto"/>
        <w:rPr>
          <w:b/>
          <w:bCs/>
          <w:rtl/>
        </w:rPr>
      </w:pPr>
      <w:r w:rsidRPr="001F141F">
        <w:rPr>
          <w:rFonts w:hint="cs"/>
          <w:b/>
          <w:bCs/>
          <w:rtl/>
        </w:rPr>
        <w:t xml:space="preserve">אף שחלפו כחמש שנים מביצוע השינוי הארגוני במחלקת פניות הציבור ברשות שוק ההון, </w:t>
      </w:r>
      <w:r w:rsidRPr="001F141F">
        <w:rPr>
          <w:rFonts w:hint="eastAsia"/>
          <w:b/>
          <w:bCs/>
          <w:rtl/>
        </w:rPr>
        <w:t>טרם</w:t>
      </w:r>
      <w:r w:rsidRPr="001F141F">
        <w:rPr>
          <w:b/>
          <w:bCs/>
          <w:rtl/>
        </w:rPr>
        <w:t xml:space="preserve"> בחנה הרשות את </w:t>
      </w:r>
      <w:r w:rsidRPr="001F141F">
        <w:rPr>
          <w:rFonts w:hint="eastAsia"/>
          <w:b/>
          <w:bCs/>
          <w:rtl/>
        </w:rPr>
        <w:t>תוצאות</w:t>
      </w:r>
      <w:r w:rsidRPr="001F141F">
        <w:rPr>
          <w:b/>
          <w:bCs/>
          <w:rtl/>
        </w:rPr>
        <w:t xml:space="preserve"> </w:t>
      </w:r>
      <w:r w:rsidRPr="001F141F">
        <w:rPr>
          <w:rFonts w:hint="eastAsia"/>
          <w:b/>
          <w:bCs/>
          <w:rtl/>
        </w:rPr>
        <w:t>השינוי</w:t>
      </w:r>
      <w:r w:rsidRPr="001F141F">
        <w:rPr>
          <w:b/>
          <w:bCs/>
          <w:rtl/>
        </w:rPr>
        <w:t xml:space="preserve"> </w:t>
      </w:r>
      <w:r w:rsidRPr="001F141F">
        <w:rPr>
          <w:rFonts w:hint="eastAsia"/>
          <w:b/>
          <w:bCs/>
          <w:rtl/>
        </w:rPr>
        <w:t>הארגוני</w:t>
      </w:r>
      <w:r w:rsidRPr="001F141F">
        <w:rPr>
          <w:b/>
          <w:bCs/>
          <w:rtl/>
        </w:rPr>
        <w:t xml:space="preserve">, </w:t>
      </w:r>
      <w:r w:rsidRPr="001F141F">
        <w:rPr>
          <w:rFonts w:hint="eastAsia"/>
          <w:b/>
          <w:bCs/>
          <w:rtl/>
        </w:rPr>
        <w:t>את</w:t>
      </w:r>
      <w:r w:rsidRPr="001F141F">
        <w:rPr>
          <w:b/>
          <w:bCs/>
          <w:rtl/>
        </w:rPr>
        <w:t xml:space="preserve"> </w:t>
      </w:r>
      <w:r w:rsidRPr="001F141F">
        <w:rPr>
          <w:rFonts w:hint="eastAsia"/>
          <w:b/>
          <w:bCs/>
          <w:rtl/>
        </w:rPr>
        <w:t>מידת</w:t>
      </w:r>
      <w:r w:rsidRPr="001F141F">
        <w:rPr>
          <w:b/>
          <w:bCs/>
          <w:rtl/>
        </w:rPr>
        <w:t xml:space="preserve"> ההצלחה ביישומו, </w:t>
      </w:r>
      <w:r w:rsidRPr="001F141F">
        <w:rPr>
          <w:rFonts w:hint="eastAsia"/>
          <w:b/>
          <w:bCs/>
          <w:rtl/>
        </w:rPr>
        <w:t>ולא</w:t>
      </w:r>
      <w:r w:rsidRPr="001F141F">
        <w:rPr>
          <w:b/>
          <w:bCs/>
          <w:rtl/>
        </w:rPr>
        <w:t xml:space="preserve"> </w:t>
      </w:r>
      <w:r w:rsidRPr="001F141F">
        <w:rPr>
          <w:rFonts w:hint="eastAsia"/>
          <w:b/>
          <w:bCs/>
          <w:rtl/>
        </w:rPr>
        <w:t>הפיקה</w:t>
      </w:r>
      <w:r w:rsidRPr="001F141F">
        <w:rPr>
          <w:b/>
          <w:bCs/>
          <w:rtl/>
        </w:rPr>
        <w:t xml:space="preserve"> לקחים משיטת העבודה הקיימת בטיפול בתלונות. מומלץ כי הרשות תבצע הליך בחינה </w:t>
      </w:r>
      <w:r w:rsidRPr="001F141F">
        <w:rPr>
          <w:rFonts w:hint="eastAsia"/>
          <w:b/>
          <w:bCs/>
          <w:rtl/>
        </w:rPr>
        <w:t>בדבר</w:t>
      </w:r>
      <w:r w:rsidRPr="001F141F">
        <w:rPr>
          <w:b/>
          <w:bCs/>
          <w:rtl/>
        </w:rPr>
        <w:t xml:space="preserve"> מידת הצלחת השינוי הארגוני לרבות טיב המענה שניתן לפונים לרשות על ידי המחלקות המקצועיות (זאת בין היתר על ידי הליך של היזון חוזר מול הפונים), </w:t>
      </w:r>
      <w:r w:rsidRPr="001F141F">
        <w:rPr>
          <w:rFonts w:hint="eastAsia"/>
          <w:b/>
          <w:bCs/>
          <w:rtl/>
        </w:rPr>
        <w:t>ו</w:t>
      </w:r>
      <w:r w:rsidRPr="001F141F">
        <w:rPr>
          <w:rFonts w:hint="cs"/>
          <w:b/>
          <w:bCs/>
          <w:rtl/>
        </w:rPr>
        <w:t>ת</w:t>
      </w:r>
      <w:r w:rsidRPr="001F141F">
        <w:rPr>
          <w:rFonts w:hint="eastAsia"/>
          <w:b/>
          <w:bCs/>
          <w:rtl/>
        </w:rPr>
        <w:t>נקוט</w:t>
      </w:r>
      <w:r w:rsidRPr="001F141F">
        <w:rPr>
          <w:b/>
          <w:bCs/>
          <w:rtl/>
        </w:rPr>
        <w:t xml:space="preserve"> </w:t>
      </w:r>
      <w:r w:rsidRPr="001F141F">
        <w:rPr>
          <w:rFonts w:hint="eastAsia"/>
          <w:b/>
          <w:bCs/>
          <w:rtl/>
        </w:rPr>
        <w:t>בצעדים</w:t>
      </w:r>
      <w:r w:rsidRPr="001F141F">
        <w:rPr>
          <w:b/>
          <w:bCs/>
          <w:rtl/>
        </w:rPr>
        <w:t xml:space="preserve"> הנדרשים בהתאם לתוצאות בחינה ז</w:t>
      </w:r>
      <w:r w:rsidRPr="001F141F">
        <w:rPr>
          <w:rFonts w:hint="eastAsia"/>
          <w:b/>
          <w:bCs/>
          <w:rtl/>
        </w:rPr>
        <w:t>ו</w:t>
      </w:r>
      <w:r w:rsidRPr="001F141F">
        <w:rPr>
          <w:b/>
          <w:bCs/>
          <w:rtl/>
        </w:rPr>
        <w:t>.</w:t>
      </w:r>
    </w:p>
    <w:p w:rsidR="00FA3E7D" w:rsidRPr="002B5E33" w:rsidP="00FA3E7D">
      <w:pPr>
        <w:pStyle w:val="a"/>
        <w:spacing w:line="269" w:lineRule="auto"/>
        <w:rPr>
          <w:rtl/>
        </w:rPr>
      </w:pPr>
    </w:p>
    <w:p w:rsidR="00FA3E7D" w:rsidRPr="002B5E33" w:rsidP="00FA3E7D">
      <w:pPr>
        <w:pStyle w:val="Heading5"/>
        <w:bidi w:val="0"/>
        <w:spacing w:line="269" w:lineRule="auto"/>
        <w:jc w:val="right"/>
      </w:pPr>
      <w:r w:rsidRPr="002B5E33">
        <w:rPr>
          <w:rFonts w:hint="eastAsia"/>
          <w:rtl/>
        </w:rPr>
        <w:t>נוהל</w:t>
      </w:r>
      <w:r w:rsidRPr="002B5E33">
        <w:rPr>
          <w:rtl/>
        </w:rPr>
        <w:t xml:space="preserve"> </w:t>
      </w:r>
      <w:r w:rsidRPr="002B5E33">
        <w:rPr>
          <w:rFonts w:hint="eastAsia"/>
          <w:rtl/>
        </w:rPr>
        <w:t>לטיפול</w:t>
      </w:r>
      <w:r w:rsidRPr="002B5E33">
        <w:rPr>
          <w:rtl/>
        </w:rPr>
        <w:t xml:space="preserve"> </w:t>
      </w:r>
      <w:r w:rsidRPr="002B5E33">
        <w:rPr>
          <w:rFonts w:hint="eastAsia"/>
          <w:rtl/>
        </w:rPr>
        <w:t>בפניות</w:t>
      </w:r>
      <w:r w:rsidRPr="002B5E33">
        <w:rPr>
          <w:rtl/>
        </w:rPr>
        <w:t xml:space="preserve"> </w:t>
      </w:r>
      <w:r w:rsidRPr="002B5E33">
        <w:rPr>
          <w:rFonts w:hint="eastAsia"/>
          <w:rtl/>
        </w:rPr>
        <w:t>ציבור</w:t>
      </w:r>
    </w:p>
    <w:p w:rsidR="00FA3E7D" w:rsidP="00FA3E7D">
      <w:pPr>
        <w:pStyle w:val="a"/>
        <w:rPr>
          <w:rtl/>
        </w:rPr>
      </w:pPr>
    </w:p>
    <w:p w:rsidR="00FA3E7D" w:rsidRPr="002B5E33" w:rsidP="00FA3E7D">
      <w:pPr>
        <w:spacing w:line="269" w:lineRule="auto"/>
        <w:rPr>
          <w:rtl/>
        </w:rPr>
      </w:pPr>
      <w:r w:rsidRPr="002B5E33">
        <w:rPr>
          <w:rFonts w:hint="cs"/>
          <w:rtl/>
        </w:rPr>
        <w:t>במסגרת ביצוע השינוי הארגוני בתחום הטיפול בפניות הציבור ברשות שוק ההון, נקבעו בשנת 2014 נוהל לטיפול בפניות ציבור במחלקות המקצועיות של הרשות ובמחלקת פניות הציבור המטפלת בקליטת התלונות ובניתובן, וכן נוהל שנועד להסדיר את תהליך העבודה של המטפלים בפניות הציבור.</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הנהלים</w:t>
      </w:r>
      <w:r w:rsidRPr="002B5E33">
        <w:rPr>
          <w:rtl/>
        </w:rPr>
        <w:t xml:space="preserve"> </w:t>
      </w:r>
      <w:r w:rsidRPr="002B5E33">
        <w:rPr>
          <w:rFonts w:hint="cs"/>
          <w:rtl/>
        </w:rPr>
        <w:t>האמורים</w:t>
      </w:r>
      <w:r w:rsidRPr="002B5E33">
        <w:rPr>
          <w:rtl/>
        </w:rPr>
        <w:t xml:space="preserve"> חלקיים</w:t>
      </w:r>
      <w:r w:rsidRPr="002B5E33">
        <w:rPr>
          <w:rFonts w:hint="cs"/>
          <w:rtl/>
        </w:rPr>
        <w:t>,</w:t>
      </w:r>
      <w:r w:rsidRPr="002B5E33">
        <w:rPr>
          <w:rtl/>
        </w:rPr>
        <w:t xml:space="preserve"> אינם מתייחסים לתהליך עבודה שלם בנושא הטיפול בפניות הציבור, אינם </w:t>
      </w:r>
      <w:r w:rsidRPr="002B5E33">
        <w:rPr>
          <w:rFonts w:hint="cs"/>
          <w:rtl/>
        </w:rPr>
        <w:t>תואמים את אופן פעילות בירור התלונות של הרשות</w:t>
      </w:r>
      <w:r w:rsidRPr="002B5E33">
        <w:rPr>
          <w:rtl/>
        </w:rPr>
        <w:t xml:space="preserve"> ואין בהם התייחסות לשינויים במערכת הממוחשבת של הרשות לטיפול בפניות </w:t>
      </w:r>
      <w:r w:rsidRPr="002B5E33">
        <w:rPr>
          <w:rFonts w:hint="eastAsia"/>
          <w:rtl/>
        </w:rPr>
        <w:t>ציבור</w:t>
      </w:r>
      <w:r w:rsidRPr="002B5E33">
        <w:rPr>
          <w:rtl/>
        </w:rPr>
        <w:t xml:space="preserve">. </w:t>
      </w:r>
      <w:r w:rsidRPr="002B5E33">
        <w:rPr>
          <w:rFonts w:hint="eastAsia"/>
          <w:rtl/>
        </w:rPr>
        <w:t>בשיחות</w:t>
      </w:r>
      <w:r w:rsidRPr="002B5E33">
        <w:rPr>
          <w:rtl/>
        </w:rPr>
        <w:t xml:space="preserve"> עם גורמי הרשות נמסר שהנהלים אכן אינם רל</w:t>
      </w:r>
      <w:r w:rsidRPr="002B5E33">
        <w:rPr>
          <w:rFonts w:hint="cs"/>
          <w:rtl/>
        </w:rPr>
        <w:t>וו</w:t>
      </w:r>
      <w:r w:rsidRPr="002B5E33">
        <w:rPr>
          <w:rtl/>
        </w:rPr>
        <w:t xml:space="preserve">נטיים, וכי כיום עובדים על נהלים חדשים. </w:t>
      </w:r>
    </w:p>
    <w:p w:rsidR="00FA3E7D" w:rsidRPr="002B5E33" w:rsidP="00FA3E7D">
      <w:pPr>
        <w:pStyle w:val="a"/>
        <w:spacing w:line="269" w:lineRule="auto"/>
        <w:rPr>
          <w:rtl/>
        </w:rPr>
      </w:pPr>
    </w:p>
    <w:p w:rsidR="00FA3E7D" w:rsidP="00FA3E7D">
      <w:pPr>
        <w:spacing w:line="269" w:lineRule="auto"/>
        <w:rPr>
          <w:b/>
          <w:bCs/>
          <w:rtl/>
        </w:rPr>
      </w:pPr>
      <w:r w:rsidRPr="002B5E33">
        <w:rPr>
          <w:rFonts w:hint="cs"/>
          <w:b/>
          <w:bCs/>
          <w:rtl/>
        </w:rPr>
        <w:t>על רשות שוק ההון לקבוע נהלים עדכניים לטיפול בפניות הציבור. בין היתר מוצע שייקבעו בהם אופן הגשת הפניות, לרבות פרטים הכרחיים שהצוות המינהלי ברשות יידרש לוודא את קיומם ותקינותם; אופן השלמת פרטים חסרים וקבלת מידע נוסף; זיהוי פניות דחופות וטיפול בהן; בחינה מקצועית מקדמית של תלונות שאינן ראויות לבירור; דרכי שמירה על מדיניות אחידה בהחלטות הרשות; העיתוי והאופן של ההסתייעות במומחים מקצועיים; דרכי תיעוד שיחות טלפוניות עם מתלוננים וגופים מפוקחים; העברת דוחות מעקב על מצבת התלונות והטיפול בהן לממונה על שוק ההון; קביעת יעדים תקופתיים לטיפול בתלונות ומעקב אחר העמידה בהם; קביעת זמני תקן לטיפול בתלונות; קיום תהליכים סדורים לאיתור ליקויים רוחביים, למתן הוראה לתיקונם ולמעקב אחרי התיקונים ונושאים נוספים שהרשות תמצא לנכון.</w:t>
      </w:r>
    </w:p>
    <w:p w:rsidR="00FA3E7D" w:rsidRPr="002B5E33" w:rsidP="00FA3E7D">
      <w:pPr>
        <w:spacing w:line="269" w:lineRule="auto"/>
        <w:rPr>
          <w:b/>
          <w:bCs/>
          <w:rtl/>
        </w:rPr>
      </w:pP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בתשובת רשות שוק ההון נכתב כי הנהלים לטיפול בפניות ציבור הוטמעו במערכת פניות הציבור החדשה, וכי "אנו עובדים בימים אלה על כתיבת נוהל חדש ומקיף לטיפול בפניות ציבור שישקף את דרך הפעולה של הרשות", אשר יוגש לאישור הממונה על שוק הון, ביטוח וחיסכון.</w:t>
      </w:r>
    </w:p>
    <w:p w:rsidR="003F7589">
      <w:pPr>
        <w:bidi w:val="0"/>
        <w:spacing w:after="200" w:line="276" w:lineRule="auto"/>
        <w:rPr>
          <w:szCs w:val="20"/>
          <w:rtl/>
        </w:rPr>
      </w:pPr>
      <w:r>
        <w:rPr>
          <w:bCs/>
          <w:szCs w:val="20"/>
          <w:rtl/>
        </w:rPr>
        <w:br w:type="page"/>
      </w:r>
    </w:p>
    <w:p w:rsidR="00FA3E7D" w:rsidRPr="002B5E33" w:rsidP="00FA3E7D">
      <w:pPr>
        <w:pStyle w:val="Heading4"/>
        <w:spacing w:before="0" w:line="269" w:lineRule="auto"/>
        <w:rPr>
          <w:rtl/>
        </w:rPr>
      </w:pPr>
      <w:r w:rsidRPr="002B5E33">
        <w:rPr>
          <w:rFonts w:hint="cs"/>
          <w:rtl/>
        </w:rPr>
        <w:t>תהליך הגשת פניות לרשות שוק ההון</w:t>
      </w:r>
    </w:p>
    <w:p w:rsidR="00FA3E7D" w:rsidP="00FA3E7D">
      <w:pPr>
        <w:pStyle w:val="a"/>
        <w:rPr>
          <w:rtl/>
        </w:rPr>
      </w:pPr>
    </w:p>
    <w:p w:rsidR="00FA3E7D" w:rsidRPr="002B5E33" w:rsidP="00FA3E7D">
      <w:pPr>
        <w:spacing w:line="269" w:lineRule="auto"/>
        <w:rPr>
          <w:rtl/>
        </w:rPr>
      </w:pPr>
      <w:r w:rsidRPr="002B5E33">
        <w:rPr>
          <w:rFonts w:hint="cs"/>
          <w:rtl/>
        </w:rPr>
        <w:t xml:space="preserve">הגשת תלונה או פנייה לרשות שוק ההון בנוגע לפעילות של גורם מפוקח, ניתנת לביצוע באמצעות מערכת פניות מקוונת, בפקסימיליה או בדואר רגיל. </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רשות</w:t>
      </w:r>
      <w:r w:rsidRPr="002B5E33">
        <w:rPr>
          <w:rtl/>
        </w:rPr>
        <w:t xml:space="preserve"> שוק ההון </w:t>
      </w:r>
      <w:r w:rsidRPr="002B5E33">
        <w:rPr>
          <w:rFonts w:hint="eastAsia"/>
          <w:rtl/>
        </w:rPr>
        <w:t>אינה</w:t>
      </w:r>
      <w:r w:rsidRPr="002B5E33">
        <w:rPr>
          <w:rtl/>
        </w:rPr>
        <w:t xml:space="preserve"> מציגה באתר </w:t>
      </w:r>
      <w:r w:rsidRPr="002B5E33">
        <w:rPr>
          <w:rFonts w:hint="cs"/>
          <w:rtl/>
        </w:rPr>
        <w:t>המרשתת</w:t>
      </w:r>
      <w:r w:rsidRPr="002B5E33">
        <w:rPr>
          <w:rtl/>
        </w:rPr>
        <w:t xml:space="preserve"> </w:t>
      </w:r>
      <w:r w:rsidRPr="002B5E33">
        <w:rPr>
          <w:rFonts w:hint="cs"/>
          <w:rtl/>
        </w:rPr>
        <w:t>הייעודי להגשת פניות</w:t>
      </w:r>
      <w:r>
        <w:rPr>
          <w:rStyle w:val="FootnoteReference"/>
          <w:rtl/>
        </w:rPr>
        <w:footnoteReference w:id="95"/>
      </w:r>
      <w:r w:rsidRPr="002B5E33">
        <w:rPr>
          <w:rtl/>
        </w:rPr>
        <w:t xml:space="preserve"> כתובת דואר אלקטרוני כאחת מהדרכים האפשריות להגשת תלונה, </w:t>
      </w:r>
      <w:r w:rsidRPr="002B5E33">
        <w:rPr>
          <w:rFonts w:hint="eastAsia"/>
          <w:rtl/>
        </w:rPr>
        <w:t>החל</w:t>
      </w:r>
      <w:r w:rsidRPr="002B5E33">
        <w:rPr>
          <w:rtl/>
        </w:rPr>
        <w:t xml:space="preserve"> </w:t>
      </w:r>
      <w:r w:rsidRPr="002B5E33">
        <w:rPr>
          <w:rFonts w:hint="eastAsia"/>
          <w:rtl/>
        </w:rPr>
        <w:t>ממועד</w:t>
      </w:r>
      <w:r w:rsidRPr="002B5E33">
        <w:rPr>
          <w:rtl/>
        </w:rPr>
        <w:t xml:space="preserve"> </w:t>
      </w:r>
      <w:r w:rsidRPr="002B5E33">
        <w:rPr>
          <w:rFonts w:hint="eastAsia"/>
          <w:rtl/>
        </w:rPr>
        <w:t>הפעלת</w:t>
      </w:r>
      <w:r w:rsidRPr="002B5E33">
        <w:rPr>
          <w:rtl/>
        </w:rPr>
        <w:t xml:space="preserve"> </w:t>
      </w:r>
      <w:r w:rsidRPr="002B5E33">
        <w:rPr>
          <w:rFonts w:hint="eastAsia"/>
          <w:rtl/>
        </w:rPr>
        <w:t>המערכת</w:t>
      </w:r>
      <w:r w:rsidRPr="002B5E33">
        <w:rPr>
          <w:rtl/>
        </w:rPr>
        <w:t xml:space="preserve"> </w:t>
      </w:r>
      <w:r w:rsidRPr="002B5E33">
        <w:rPr>
          <w:rFonts w:hint="eastAsia"/>
          <w:rtl/>
        </w:rPr>
        <w:t>הממוחשבת</w:t>
      </w:r>
      <w:r w:rsidRPr="002B5E33">
        <w:rPr>
          <w:rtl/>
        </w:rPr>
        <w:t xml:space="preserve"> </w:t>
      </w:r>
      <w:r w:rsidRPr="002B5E33">
        <w:rPr>
          <w:rFonts w:hint="eastAsia"/>
          <w:rtl/>
        </w:rPr>
        <w:t>החדשה</w:t>
      </w:r>
      <w:r w:rsidRPr="002B5E33">
        <w:rPr>
          <w:rtl/>
        </w:rPr>
        <w:t xml:space="preserve"> </w:t>
      </w:r>
      <w:r w:rsidRPr="002B5E33">
        <w:rPr>
          <w:rFonts w:hint="eastAsia"/>
          <w:rtl/>
        </w:rPr>
        <w:t>בנובמבר</w:t>
      </w:r>
      <w:r w:rsidRPr="002B5E33">
        <w:rPr>
          <w:rtl/>
        </w:rPr>
        <w:t xml:space="preserve"> 2015, אף שייתכן כי חלק מהציבור </w:t>
      </w:r>
      <w:r w:rsidRPr="002B5E33">
        <w:rPr>
          <w:rFonts w:hint="cs"/>
          <w:rtl/>
        </w:rPr>
        <w:t xml:space="preserve">מעדיף להגיש תלונה באמצעות דואר אלקטרוני, </w:t>
      </w:r>
      <w:r w:rsidRPr="002B5E33">
        <w:rPr>
          <w:rFonts w:hint="eastAsia"/>
          <w:rtl/>
        </w:rPr>
        <w:t>מתקשה</w:t>
      </w:r>
      <w:r w:rsidRPr="002B5E33">
        <w:rPr>
          <w:rtl/>
        </w:rPr>
        <w:t xml:space="preserve"> </w:t>
      </w:r>
      <w:r w:rsidRPr="002B5E33">
        <w:rPr>
          <w:rFonts w:hint="eastAsia"/>
          <w:rtl/>
        </w:rPr>
        <w:t>בהגשת</w:t>
      </w:r>
      <w:r w:rsidRPr="002B5E33">
        <w:rPr>
          <w:rtl/>
        </w:rPr>
        <w:t xml:space="preserve"> </w:t>
      </w:r>
      <w:r w:rsidRPr="002B5E33">
        <w:rPr>
          <w:rFonts w:hint="eastAsia"/>
          <w:rtl/>
        </w:rPr>
        <w:t>תלונה</w:t>
      </w:r>
      <w:r w:rsidRPr="002B5E33">
        <w:rPr>
          <w:rtl/>
        </w:rPr>
        <w:t xml:space="preserve"> </w:t>
      </w:r>
      <w:r w:rsidRPr="002B5E33">
        <w:rPr>
          <w:rFonts w:hint="eastAsia"/>
          <w:rtl/>
        </w:rPr>
        <w:t>מקוונת</w:t>
      </w:r>
      <w:r w:rsidRPr="002B5E33">
        <w:rPr>
          <w:rtl/>
        </w:rPr>
        <w:t xml:space="preserve"> </w:t>
      </w:r>
      <w:r w:rsidRPr="002B5E33">
        <w:rPr>
          <w:rFonts w:hint="eastAsia"/>
          <w:rtl/>
        </w:rPr>
        <w:t>באופן</w:t>
      </w:r>
      <w:r w:rsidRPr="002B5E33">
        <w:rPr>
          <w:rtl/>
        </w:rPr>
        <w:t xml:space="preserve"> </w:t>
      </w:r>
      <w:r w:rsidRPr="002B5E33">
        <w:rPr>
          <w:rFonts w:hint="eastAsia"/>
          <w:rtl/>
        </w:rPr>
        <w:t>המחייב</w:t>
      </w:r>
      <w:r w:rsidRPr="002B5E33">
        <w:rPr>
          <w:rtl/>
        </w:rPr>
        <w:t xml:space="preserve"> </w:t>
      </w:r>
      <w:r w:rsidRPr="002B5E33">
        <w:rPr>
          <w:rFonts w:hint="eastAsia"/>
          <w:rtl/>
        </w:rPr>
        <w:t>רישום</w:t>
      </w:r>
      <w:r w:rsidRPr="002B5E33">
        <w:rPr>
          <w:rtl/>
        </w:rPr>
        <w:t xml:space="preserve"> </w:t>
      </w:r>
      <w:r w:rsidRPr="002B5E33">
        <w:rPr>
          <w:rFonts w:hint="eastAsia"/>
          <w:rtl/>
        </w:rPr>
        <w:t>מלא</w:t>
      </w:r>
      <w:r w:rsidRPr="002B5E33">
        <w:rPr>
          <w:rtl/>
        </w:rPr>
        <w:t xml:space="preserve"> </w:t>
      </w:r>
      <w:r w:rsidRPr="002B5E33">
        <w:rPr>
          <w:rFonts w:hint="eastAsia"/>
          <w:rtl/>
        </w:rPr>
        <w:t>למערכת</w:t>
      </w:r>
      <w:r w:rsidRPr="002B5E33">
        <w:rPr>
          <w:rtl/>
        </w:rPr>
        <w:t xml:space="preserve"> </w:t>
      </w:r>
      <w:r w:rsidRPr="002B5E33">
        <w:rPr>
          <w:rFonts w:hint="eastAsia"/>
          <w:rtl/>
        </w:rPr>
        <w:t>הממוחשבת</w:t>
      </w:r>
      <w:r w:rsidRPr="002B5E33">
        <w:rPr>
          <w:rtl/>
        </w:rPr>
        <w:t xml:space="preserve"> או נרתע מכך מסיבה אחרת.</w:t>
      </w:r>
      <w:r w:rsidRPr="002B5E33">
        <w:rPr>
          <w:rFonts w:hint="cs"/>
          <w:rtl/>
        </w:rPr>
        <w:t xml:space="preserve"> כמו כן, הרשות אינה מציגה בעמוד הראשי של מערכת הפניות במרשתת מספר טלפון לקבלת סיוע בהגשת תלונה באמצעות המערכת הממוחשבת למתקשים בכך.</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בתשובת רשות שוק ההון נכתב כי הגשת תלונה בדואר אלקטרוני מתאפשרת במקרים מיוחדים כאשר הפונים מתקשים להגיש תלונות בדרכים האחרות: בדואר, דרך אתר הרשות או בפקס. הרשות הטעימה כי "כאשר פונה מגיש פנייה באמצעות דואר אלקטרוני הרבה פעמים הוא נותן פרטים חלקיים בלבד שלא מאפשרים לטפל בפנייתו. לפיכך, הוחלט ברשות כי הדרך העיקרית לפתיחת פניות, לטובת המבוטחים ולצורך טיפול יעיל ומהיר בפנייתם, תהיה הגשת פניה באמצעות האתר האינטרנטי. לעניין מספר הטלפון של מוקד פניות הציבור - הוא מופיע הן באתר פניות הציבור והן בתהליך הגשת הפניה (בסרטון ההדרכה)".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בדיקת</w:t>
      </w:r>
      <w:r w:rsidRPr="002B5E33">
        <w:rPr>
          <w:rtl/>
        </w:rPr>
        <w:t xml:space="preserve"> משרד מבקר המדינה העלתה כי מספר הטלפון של מוקד פניות הציבור מופיע בדף מידע לציבור באתר הרשות, </w:t>
      </w:r>
      <w:r w:rsidRPr="002B5E33">
        <w:rPr>
          <w:rFonts w:hint="eastAsia"/>
          <w:rtl/>
        </w:rPr>
        <w:t>ובסרטון</w:t>
      </w:r>
      <w:r w:rsidRPr="002B5E33">
        <w:rPr>
          <w:rtl/>
        </w:rPr>
        <w:t xml:space="preserve"> </w:t>
      </w:r>
      <w:r w:rsidRPr="002B5E33">
        <w:rPr>
          <w:rFonts w:hint="eastAsia"/>
          <w:rtl/>
        </w:rPr>
        <w:t>הדרכה</w:t>
      </w:r>
      <w:r w:rsidRPr="002B5E33">
        <w:rPr>
          <w:rtl/>
        </w:rPr>
        <w:t xml:space="preserve"> </w:t>
      </w:r>
      <w:r w:rsidRPr="002B5E33">
        <w:rPr>
          <w:rFonts w:hint="eastAsia"/>
          <w:rtl/>
        </w:rPr>
        <w:t>במערכת</w:t>
      </w:r>
      <w:r w:rsidRPr="002B5E33">
        <w:rPr>
          <w:rtl/>
        </w:rPr>
        <w:t xml:space="preserve"> </w:t>
      </w:r>
      <w:r w:rsidRPr="002B5E33">
        <w:rPr>
          <w:rFonts w:hint="eastAsia"/>
          <w:rtl/>
        </w:rPr>
        <w:t>פניות</w:t>
      </w:r>
      <w:r w:rsidRPr="002B5E33">
        <w:rPr>
          <w:rtl/>
        </w:rPr>
        <w:t xml:space="preserve"> </w:t>
      </w:r>
      <w:r w:rsidRPr="002B5E33">
        <w:rPr>
          <w:rFonts w:hint="eastAsia"/>
          <w:rtl/>
        </w:rPr>
        <w:t>הציבור</w:t>
      </w:r>
      <w:r w:rsidRPr="002B5E33">
        <w:rPr>
          <w:rtl/>
        </w:rPr>
        <w:t xml:space="preserve">, אולם אינו מופיע </w:t>
      </w:r>
      <w:r w:rsidRPr="002B5E33">
        <w:rPr>
          <w:rFonts w:hint="eastAsia"/>
          <w:rtl/>
        </w:rPr>
        <w:t>בדף</w:t>
      </w:r>
      <w:r w:rsidRPr="002B5E33">
        <w:rPr>
          <w:rtl/>
        </w:rPr>
        <w:t xml:space="preserve"> הכניסה של המערכת עצמה. </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משרד מבקר המדינה ממליץ לרשות שוק ההון להציג באתר המרשתת המיועד להגשת פניות לרשות גם כתובת דואר אלקטרוני לפנייה לרשות, כדי להקל על המתקשים בהגשת תלונה באמצעות המערכת הממוחשבת, וכן לפרסם בדף הכניסה למערכת פניות הציבור</w:t>
      </w:r>
      <w:r>
        <w:rPr>
          <w:rStyle w:val="FootnoteReference"/>
          <w:b/>
          <w:bCs/>
          <w:rtl/>
        </w:rPr>
        <w:footnoteReference w:id="96"/>
      </w:r>
      <w:r w:rsidRPr="002B5E33">
        <w:rPr>
          <w:rFonts w:hint="cs"/>
          <w:b/>
          <w:bCs/>
          <w:rtl/>
        </w:rPr>
        <w:t xml:space="preserve"> מספר טלפון לקבלת סיוע בהגשת פנייה לרשות. </w:t>
      </w:r>
    </w:p>
    <w:p w:rsidR="00FA3E7D" w:rsidRPr="002B5E33" w:rsidP="00FA3E7D">
      <w:pPr>
        <w:pStyle w:val="a"/>
        <w:spacing w:line="269" w:lineRule="auto"/>
        <w:rPr>
          <w:rtl/>
        </w:rPr>
      </w:pPr>
    </w:p>
    <w:p w:rsidR="00FA3E7D" w:rsidRPr="002B5E33" w:rsidP="00FA3E7D">
      <w:pPr>
        <w:pStyle w:val="Heading4"/>
        <w:spacing w:before="0" w:line="269" w:lineRule="auto"/>
        <w:rPr>
          <w:rtl/>
        </w:rPr>
      </w:pPr>
      <w:r w:rsidRPr="002B5E33">
        <w:rPr>
          <w:rFonts w:hint="cs"/>
          <w:rtl/>
        </w:rPr>
        <w:t>המערכת הממוחשבת לטיפול בפניות לרשות שוק ההון</w:t>
      </w:r>
    </w:p>
    <w:p w:rsidR="00FA3E7D" w:rsidP="00FA3E7D">
      <w:pPr>
        <w:pStyle w:val="a"/>
        <w:rPr>
          <w:rtl/>
        </w:rPr>
      </w:pPr>
    </w:p>
    <w:p w:rsidR="00FA3E7D" w:rsidRPr="002B5E33" w:rsidP="00FA3E7D">
      <w:pPr>
        <w:spacing w:line="269" w:lineRule="auto"/>
        <w:rPr>
          <w:rtl/>
        </w:rPr>
      </w:pPr>
      <w:r w:rsidRPr="002B5E33">
        <w:rPr>
          <w:rFonts w:hint="cs"/>
          <w:rtl/>
        </w:rPr>
        <w:t>תהליך בירור התלונה ברשות נעשה בכמה שלבים, החל מקליטת התלונה ברשות שוק ההון, דרך העברתה לגוף המפוקח לקבלת עמדתו, והעברת התגובה להתייחסות המתלונן, וכלה בקבלת עמדתו והכרעה בתלונה. לפיכך בתהליך האמור עשויים להיות מעורבים כמה גורמים ברשות שוק ההון ומחוץ לה.</w:t>
      </w:r>
    </w:p>
    <w:p w:rsidR="00FA3E7D" w:rsidRPr="002B5E33" w:rsidP="00FA3E7D">
      <w:pPr>
        <w:pStyle w:val="a"/>
        <w:spacing w:line="269" w:lineRule="auto"/>
        <w:rPr>
          <w:rtl/>
        </w:rPr>
      </w:pPr>
    </w:p>
    <w:p w:rsidR="00FA3E7D" w:rsidRPr="002B5E33" w:rsidP="00FA3E7D">
      <w:pPr>
        <w:spacing w:line="269" w:lineRule="auto"/>
        <w:rPr>
          <w:sz w:val="24"/>
          <w:rtl/>
        </w:rPr>
      </w:pPr>
      <w:r w:rsidRPr="002B5E33">
        <w:rPr>
          <w:rFonts w:hint="eastAsia"/>
          <w:rtl/>
        </w:rPr>
        <w:t>בביקורת</w:t>
      </w:r>
      <w:r w:rsidRPr="002B5E33">
        <w:rPr>
          <w:rtl/>
        </w:rPr>
        <w:t xml:space="preserve"> נמצא כי </w:t>
      </w:r>
      <w:r w:rsidRPr="002B5E33">
        <w:rPr>
          <w:rFonts w:hint="eastAsia"/>
          <w:rtl/>
        </w:rPr>
        <w:t>המערכת</w:t>
      </w:r>
      <w:r w:rsidRPr="002B5E33">
        <w:rPr>
          <w:rtl/>
        </w:rPr>
        <w:t xml:space="preserve"> </w:t>
      </w:r>
      <w:r w:rsidRPr="002B5E33">
        <w:rPr>
          <w:rFonts w:hint="eastAsia"/>
          <w:rtl/>
        </w:rPr>
        <w:t>לטיפול</w:t>
      </w:r>
      <w:r w:rsidRPr="002B5E33">
        <w:rPr>
          <w:rtl/>
        </w:rPr>
        <w:t xml:space="preserve"> </w:t>
      </w:r>
      <w:r w:rsidRPr="002B5E33">
        <w:rPr>
          <w:rFonts w:hint="eastAsia"/>
          <w:rtl/>
        </w:rPr>
        <w:t>בפניות</w:t>
      </w:r>
      <w:r w:rsidRPr="002B5E33">
        <w:rPr>
          <w:rtl/>
        </w:rPr>
        <w:t xml:space="preserve"> הציבור </w:t>
      </w:r>
      <w:r w:rsidRPr="002B5E33">
        <w:rPr>
          <w:rFonts w:hint="cs"/>
          <w:rtl/>
        </w:rPr>
        <w:t>ה</w:t>
      </w:r>
      <w:r w:rsidRPr="002B5E33">
        <w:rPr>
          <w:rFonts w:hint="eastAsia"/>
          <w:rtl/>
        </w:rPr>
        <w:t>קיימת</w:t>
      </w:r>
      <w:r w:rsidRPr="002B5E33">
        <w:rPr>
          <w:rtl/>
        </w:rPr>
        <w:t xml:space="preserve"> ברשות שוק ההון </w:t>
      </w:r>
      <w:r w:rsidRPr="002B5E33">
        <w:rPr>
          <w:rFonts w:hint="cs"/>
          <w:rtl/>
        </w:rPr>
        <w:t xml:space="preserve">מאפשרת מעקב אחר שלבי הטיפול בכל אחת מהתלונות ודרך הטיפול בה, אולם </w:t>
      </w:r>
      <w:r w:rsidRPr="002B5E33">
        <w:rPr>
          <w:rFonts w:hint="eastAsia"/>
          <w:rtl/>
        </w:rPr>
        <w:t>אינה</w:t>
      </w:r>
      <w:r w:rsidRPr="002B5E33">
        <w:rPr>
          <w:rtl/>
        </w:rPr>
        <w:t xml:space="preserve"> </w:t>
      </w:r>
      <w:r w:rsidRPr="002B5E33">
        <w:rPr>
          <w:rFonts w:hint="eastAsia"/>
          <w:rtl/>
        </w:rPr>
        <w:t>נותנת</w:t>
      </w:r>
      <w:r w:rsidRPr="002B5E33">
        <w:rPr>
          <w:rtl/>
        </w:rPr>
        <w:t xml:space="preserve"> </w:t>
      </w:r>
      <w:r w:rsidRPr="002B5E33">
        <w:rPr>
          <w:rFonts w:hint="eastAsia"/>
          <w:rtl/>
        </w:rPr>
        <w:t>מענה</w:t>
      </w:r>
      <w:r w:rsidRPr="002B5E33">
        <w:rPr>
          <w:rtl/>
        </w:rPr>
        <w:t xml:space="preserve"> </w:t>
      </w:r>
      <w:r w:rsidRPr="002B5E33">
        <w:rPr>
          <w:rFonts w:hint="cs"/>
          <w:rtl/>
        </w:rPr>
        <w:t xml:space="preserve">ניהולי </w:t>
      </w:r>
      <w:r w:rsidRPr="002B5E33">
        <w:rPr>
          <w:rFonts w:hint="eastAsia"/>
          <w:rtl/>
        </w:rPr>
        <w:t>מספיק</w:t>
      </w:r>
      <w:r w:rsidRPr="002B5E33">
        <w:rPr>
          <w:rtl/>
        </w:rPr>
        <w:t xml:space="preserve"> </w:t>
      </w:r>
      <w:r w:rsidRPr="002B5E33">
        <w:rPr>
          <w:rFonts w:hint="cs"/>
          <w:rtl/>
        </w:rPr>
        <w:t>ל</w:t>
      </w:r>
      <w:r w:rsidRPr="002B5E33">
        <w:rPr>
          <w:rFonts w:hint="eastAsia"/>
          <w:rtl/>
        </w:rPr>
        <w:t>תלונות</w:t>
      </w:r>
      <w:r w:rsidRPr="002B5E33">
        <w:rPr>
          <w:rtl/>
        </w:rPr>
        <w:t xml:space="preserve"> </w:t>
      </w:r>
      <w:r w:rsidRPr="002B5E33">
        <w:rPr>
          <w:rFonts w:hint="eastAsia"/>
          <w:rtl/>
        </w:rPr>
        <w:t>המתקבלות</w:t>
      </w:r>
      <w:r w:rsidRPr="002B5E33">
        <w:rPr>
          <w:rtl/>
        </w:rPr>
        <w:t xml:space="preserve"> </w:t>
      </w:r>
      <w:r w:rsidRPr="002B5E33">
        <w:rPr>
          <w:rFonts w:hint="eastAsia"/>
          <w:rtl/>
        </w:rPr>
        <w:t>ברשות</w:t>
      </w:r>
      <w:r w:rsidRPr="002B5E33">
        <w:rPr>
          <w:rtl/>
        </w:rPr>
        <w:t xml:space="preserve">, </w:t>
      </w:r>
      <w:r w:rsidRPr="002B5E33">
        <w:rPr>
          <w:rFonts w:hint="eastAsia"/>
          <w:rtl/>
        </w:rPr>
        <w:t>ובמיוחד</w:t>
      </w:r>
      <w:r w:rsidRPr="002B5E33">
        <w:rPr>
          <w:rtl/>
        </w:rPr>
        <w:t xml:space="preserve"> </w:t>
      </w:r>
      <w:r w:rsidRPr="002B5E33">
        <w:rPr>
          <w:rFonts w:hint="eastAsia"/>
          <w:rtl/>
        </w:rPr>
        <w:t>בתחום</w:t>
      </w:r>
      <w:r w:rsidRPr="002B5E33">
        <w:rPr>
          <w:rtl/>
        </w:rPr>
        <w:t xml:space="preserve"> </w:t>
      </w:r>
      <w:r w:rsidRPr="002B5E33">
        <w:rPr>
          <w:rFonts w:hint="eastAsia"/>
          <w:rtl/>
        </w:rPr>
        <w:t>המעקב</w:t>
      </w:r>
      <w:r w:rsidRPr="002B5E33">
        <w:rPr>
          <w:rtl/>
        </w:rPr>
        <w:t xml:space="preserve"> </w:t>
      </w:r>
      <w:r w:rsidRPr="002B5E33">
        <w:rPr>
          <w:rFonts w:hint="eastAsia"/>
          <w:rtl/>
        </w:rPr>
        <w:t>אחר</w:t>
      </w:r>
      <w:r w:rsidRPr="002B5E33">
        <w:rPr>
          <w:rtl/>
        </w:rPr>
        <w:t xml:space="preserve"> </w:t>
      </w:r>
      <w:r w:rsidRPr="002B5E33">
        <w:rPr>
          <w:rFonts w:hint="eastAsia"/>
          <w:rtl/>
        </w:rPr>
        <w:t>מצבת</w:t>
      </w:r>
      <w:r w:rsidRPr="002B5E33">
        <w:rPr>
          <w:rtl/>
        </w:rPr>
        <w:t xml:space="preserve"> </w:t>
      </w:r>
      <w:r w:rsidRPr="002B5E33">
        <w:rPr>
          <w:rFonts w:hint="eastAsia"/>
          <w:rtl/>
        </w:rPr>
        <w:t>התלונות</w:t>
      </w:r>
      <w:r w:rsidRPr="002B5E33">
        <w:rPr>
          <w:rFonts w:hint="cs"/>
          <w:rtl/>
        </w:rPr>
        <w:t>.</w:t>
      </w:r>
      <w:r w:rsidRPr="002B5E33">
        <w:rPr>
          <w:rtl/>
        </w:rPr>
        <w:t xml:space="preserve"> </w:t>
      </w:r>
      <w:r w:rsidRPr="002B5E33">
        <w:rPr>
          <w:rFonts w:hint="cs"/>
          <w:sz w:val="24"/>
          <w:rtl/>
        </w:rPr>
        <w:t>כמו כן חסרים</w:t>
      </w:r>
      <w:r w:rsidRPr="002B5E33">
        <w:rPr>
          <w:sz w:val="24"/>
          <w:rtl/>
        </w:rPr>
        <w:t xml:space="preserve"> </w:t>
      </w:r>
      <w:r w:rsidRPr="002B5E33">
        <w:rPr>
          <w:rFonts w:hint="eastAsia"/>
          <w:sz w:val="24"/>
          <w:rtl/>
        </w:rPr>
        <w:t>דוחות</w:t>
      </w:r>
      <w:r w:rsidRPr="002B5E33">
        <w:rPr>
          <w:sz w:val="24"/>
          <w:rtl/>
        </w:rPr>
        <w:t xml:space="preserve"> </w:t>
      </w:r>
      <w:r w:rsidRPr="002B5E33">
        <w:rPr>
          <w:rFonts w:hint="cs"/>
          <w:sz w:val="24"/>
          <w:rtl/>
        </w:rPr>
        <w:t>רוחביים על אודות פעולות הרשות או הגופים הנילונים בהתייחס לטיפול בתלונות כחלק מהמעקב אחר אופן הטיפול בפניות</w:t>
      </w:r>
      <w:r>
        <w:rPr>
          <w:rStyle w:val="FootnoteReference"/>
          <w:sz w:val="24"/>
          <w:rtl/>
        </w:rPr>
        <w:footnoteReference w:id="97"/>
      </w:r>
      <w:r w:rsidRPr="002B5E33">
        <w:rPr>
          <w:rFonts w:hint="cs"/>
          <w:sz w:val="24"/>
          <w:rtl/>
        </w:rPr>
        <w:t>. נוסף על כך המערכת אינה מאפשרת קבלת מידע מלא ומפורט לניתוח משך הטיפול בתלונות הציבור, בחתכים שונים של סיווגי תלונות והכרעה בהן, בנושאים שונים של תלונות ובשלבי הביניים של הטיפול בהן.</w:t>
      </w:r>
    </w:p>
    <w:p w:rsidR="00FA3E7D" w:rsidRPr="002B5E33" w:rsidP="00FA3E7D">
      <w:pPr>
        <w:pStyle w:val="a"/>
        <w:spacing w:line="269" w:lineRule="auto"/>
        <w:rPr>
          <w:rtl/>
        </w:rPr>
      </w:pPr>
    </w:p>
    <w:p w:rsidR="00FA3E7D" w:rsidRPr="002B5E33" w:rsidP="00FA3E7D">
      <w:pPr>
        <w:spacing w:line="269" w:lineRule="auto"/>
        <w:rPr>
          <w:sz w:val="24"/>
          <w:rtl/>
        </w:rPr>
      </w:pPr>
      <w:r w:rsidRPr="002B5E33">
        <w:rPr>
          <w:rFonts w:hint="cs"/>
          <w:sz w:val="24"/>
          <w:rtl/>
        </w:rPr>
        <w:t xml:space="preserve">בתשובת רשות שוק ההון נכתב כי המערכת לטיפול בפניות ציבור מאפשרת להפיק דוחות ניהוליים מגוונים, וכי במהלך השנים בוצעו שינויים ותוספות בדוחות. </w:t>
      </w:r>
    </w:p>
    <w:p w:rsidR="00FA3E7D" w:rsidRPr="002B5E33" w:rsidP="00FA3E7D">
      <w:pPr>
        <w:pStyle w:val="a"/>
        <w:spacing w:line="269" w:lineRule="auto"/>
        <w:rPr>
          <w:rtl/>
        </w:rPr>
      </w:pPr>
    </w:p>
    <w:p w:rsidR="00FA3E7D" w:rsidRPr="002B5E33" w:rsidP="00FA3E7D">
      <w:pPr>
        <w:spacing w:line="269" w:lineRule="auto"/>
        <w:rPr>
          <w:rStyle w:val="CommentReference"/>
          <w:rtl/>
        </w:rPr>
      </w:pPr>
      <w:r w:rsidRPr="002B5E33">
        <w:rPr>
          <w:rFonts w:hint="cs"/>
          <w:b/>
          <w:bCs/>
          <w:sz w:val="24"/>
          <w:rtl/>
        </w:rPr>
        <w:t>מומלץ כי</w:t>
      </w:r>
      <w:r>
        <w:rPr>
          <w:rFonts w:hint="cs"/>
          <w:b/>
          <w:bCs/>
          <w:sz w:val="24"/>
          <w:rtl/>
        </w:rPr>
        <w:t xml:space="preserve"> </w:t>
      </w:r>
      <w:r w:rsidRPr="002B5E33">
        <w:rPr>
          <w:rFonts w:hint="cs"/>
          <w:b/>
          <w:bCs/>
          <w:sz w:val="24"/>
          <w:rtl/>
        </w:rPr>
        <w:t xml:space="preserve">רשות שוק ההון </w:t>
      </w:r>
      <w:r w:rsidRPr="002B5E33">
        <w:rPr>
          <w:rFonts w:hint="eastAsia"/>
          <w:b/>
          <w:bCs/>
          <w:sz w:val="24"/>
          <w:rtl/>
        </w:rPr>
        <w:t>תפעל</w:t>
      </w:r>
      <w:r w:rsidRPr="002B5E33">
        <w:rPr>
          <w:rFonts w:hint="cs"/>
          <w:b/>
          <w:bCs/>
          <w:sz w:val="24"/>
          <w:rtl/>
        </w:rPr>
        <w:t xml:space="preserve"> להמשיך ולשפר את מערכת המידע לטיפול בפניות הציבור, באופן שיחזק את יכולת הניהול והבקרה הרוחביים על הטיפול בהן, בכדי לאתר מקרים בהם הטיפול בפניות אינו עומד בנוהלי הטיפול וביעדים הכמותיים שיש לשלב במערכת</w:t>
      </w:r>
      <w:r w:rsidRPr="002B5E33">
        <w:rPr>
          <w:rStyle w:val="CommentReference"/>
          <w:rFonts w:hint="cs"/>
          <w:rtl/>
        </w:rPr>
        <w:t>.</w:t>
      </w:r>
      <w:r w:rsidRPr="002B5E33">
        <w:rPr>
          <w:rStyle w:val="CommentReference"/>
          <w:rtl/>
        </w:rPr>
        <w:t xml:space="preserve"> </w:t>
      </w:r>
    </w:p>
    <w:p w:rsidR="00FA3E7D" w:rsidRPr="002B5E33" w:rsidP="00FA3E7D">
      <w:pPr>
        <w:pStyle w:val="a"/>
        <w:spacing w:line="269" w:lineRule="auto"/>
        <w:rPr>
          <w:rtl/>
        </w:rPr>
      </w:pPr>
    </w:p>
    <w:p w:rsidR="00FA3E7D" w:rsidRPr="002B5E33" w:rsidP="00FA3E7D">
      <w:pPr>
        <w:pStyle w:val="Heading4"/>
        <w:spacing w:before="0" w:line="269" w:lineRule="auto"/>
        <w:rPr>
          <w:rtl/>
        </w:rPr>
      </w:pPr>
      <w:r w:rsidRPr="002B5E33">
        <w:rPr>
          <w:rFonts w:hint="cs"/>
          <w:rtl/>
        </w:rPr>
        <w:t>סיווג מהות התלונות</w:t>
      </w:r>
    </w:p>
    <w:p w:rsidR="00FA3E7D" w:rsidP="00FA3E7D">
      <w:pPr>
        <w:pStyle w:val="a"/>
        <w:rPr>
          <w:rtl/>
        </w:rPr>
      </w:pPr>
    </w:p>
    <w:p w:rsidR="00FA3E7D" w:rsidRPr="002B5E33" w:rsidP="00FA3E7D">
      <w:pPr>
        <w:spacing w:line="269" w:lineRule="auto"/>
      </w:pPr>
      <w:r w:rsidRPr="002B5E33">
        <w:rPr>
          <w:rFonts w:hint="cs"/>
          <w:rtl/>
        </w:rPr>
        <w:t xml:space="preserve">התלונות המוגשות לרשות, מסווגות במערכת הממוחשבת של הרשות בהתאם למהות התלונה. כל תלונה יכולה להיות מסווגת ליותר מסיווג מהותי אחד. הוספת או הסרת סיווג מתבצעת על ידי מנהלת מחלקת פניות הציבור בתיאום מול המחלקה המקצועית הרלוונטית. סיווג תלונות באופן יעיל עשוי לסייע לרשות בניתוח כמותי של הנושאים עליהם מוגשות התלונות ובהסקת מסקנות שישפרו את הטיפול בתלונות מחד ואת תהליכי ההסדרה בתחומים שבאחריות הרשות מאידך. </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eastAsia"/>
          <w:b/>
          <w:bCs/>
          <w:rtl/>
        </w:rPr>
        <w:t>בנהלי</w:t>
      </w:r>
      <w:r w:rsidRPr="002B5E33">
        <w:rPr>
          <w:b/>
          <w:bCs/>
          <w:rtl/>
        </w:rPr>
        <w:t xml:space="preserve"> העבודה של רשות שוק ההון אין התייחסות לקביעת </w:t>
      </w:r>
      <w:r w:rsidRPr="002B5E33">
        <w:rPr>
          <w:rFonts w:hint="eastAsia"/>
          <w:b/>
          <w:bCs/>
          <w:rtl/>
        </w:rPr>
        <w:t>סיווג</w:t>
      </w:r>
      <w:r w:rsidRPr="002B5E33">
        <w:rPr>
          <w:b/>
          <w:bCs/>
          <w:rtl/>
        </w:rPr>
        <w:t xml:space="preserve"> </w:t>
      </w:r>
      <w:r w:rsidRPr="002B5E33">
        <w:rPr>
          <w:rFonts w:hint="eastAsia"/>
          <w:b/>
          <w:bCs/>
          <w:rtl/>
        </w:rPr>
        <w:t>למהות</w:t>
      </w:r>
      <w:r w:rsidRPr="002B5E33">
        <w:rPr>
          <w:b/>
          <w:bCs/>
          <w:rtl/>
        </w:rPr>
        <w:t xml:space="preserve"> </w:t>
      </w:r>
      <w:r w:rsidRPr="002B5E33">
        <w:rPr>
          <w:rFonts w:hint="eastAsia"/>
          <w:b/>
          <w:bCs/>
          <w:rtl/>
        </w:rPr>
        <w:t>התלונות</w:t>
      </w:r>
      <w:r w:rsidRPr="002B5E33">
        <w:rPr>
          <w:b/>
          <w:bCs/>
          <w:rtl/>
        </w:rPr>
        <w:t xml:space="preserve">, </w:t>
      </w:r>
      <w:r w:rsidRPr="002B5E33">
        <w:rPr>
          <w:rFonts w:hint="eastAsia"/>
          <w:b/>
          <w:bCs/>
          <w:rtl/>
        </w:rPr>
        <w:t>לגורמים</w:t>
      </w:r>
      <w:r w:rsidRPr="002B5E33">
        <w:rPr>
          <w:b/>
          <w:bCs/>
          <w:rtl/>
        </w:rPr>
        <w:t xml:space="preserve"> </w:t>
      </w:r>
      <w:r w:rsidRPr="002B5E33">
        <w:rPr>
          <w:rFonts w:hint="eastAsia"/>
          <w:b/>
          <w:bCs/>
          <w:rtl/>
        </w:rPr>
        <w:t>המוסמכים</w:t>
      </w:r>
      <w:r w:rsidRPr="002B5E33">
        <w:rPr>
          <w:b/>
          <w:bCs/>
          <w:rtl/>
        </w:rPr>
        <w:t xml:space="preserve"> </w:t>
      </w:r>
      <w:r w:rsidRPr="002B5E33">
        <w:rPr>
          <w:rFonts w:hint="eastAsia"/>
          <w:b/>
          <w:bCs/>
          <w:rtl/>
        </w:rPr>
        <w:t>להגדיר</w:t>
      </w:r>
      <w:r w:rsidRPr="002B5E33">
        <w:rPr>
          <w:b/>
          <w:bCs/>
          <w:rtl/>
        </w:rPr>
        <w:t xml:space="preserve"> </w:t>
      </w:r>
      <w:r w:rsidRPr="002B5E33">
        <w:rPr>
          <w:rFonts w:hint="eastAsia"/>
          <w:b/>
          <w:bCs/>
          <w:rtl/>
        </w:rPr>
        <w:t>באילו</w:t>
      </w:r>
      <w:r w:rsidRPr="002B5E33">
        <w:rPr>
          <w:b/>
          <w:bCs/>
          <w:rtl/>
        </w:rPr>
        <w:t xml:space="preserve"> </w:t>
      </w:r>
      <w:r w:rsidRPr="002B5E33">
        <w:rPr>
          <w:rFonts w:hint="eastAsia"/>
          <w:b/>
          <w:bCs/>
          <w:rtl/>
        </w:rPr>
        <w:t>סיווגי</w:t>
      </w:r>
      <w:r w:rsidRPr="002B5E33">
        <w:rPr>
          <w:b/>
          <w:bCs/>
          <w:rtl/>
        </w:rPr>
        <w:t xml:space="preserve"> מהות </w:t>
      </w:r>
      <w:r w:rsidRPr="002B5E33">
        <w:rPr>
          <w:rFonts w:hint="eastAsia"/>
          <w:b/>
          <w:bCs/>
          <w:rtl/>
        </w:rPr>
        <w:t>ניתן</w:t>
      </w:r>
      <w:r w:rsidRPr="002B5E33">
        <w:rPr>
          <w:b/>
          <w:bCs/>
          <w:rtl/>
        </w:rPr>
        <w:t xml:space="preserve"> לסווג תלונות. </w:t>
      </w:r>
      <w:r w:rsidRPr="002B5E33">
        <w:rPr>
          <w:rFonts w:hint="eastAsia"/>
          <w:b/>
          <w:bCs/>
          <w:rtl/>
        </w:rPr>
        <w:t>לא</w:t>
      </w:r>
      <w:r w:rsidRPr="002B5E33">
        <w:rPr>
          <w:b/>
          <w:bCs/>
          <w:rtl/>
        </w:rPr>
        <w:t xml:space="preserve"> נמצא מסמך המנחה את עובדי הרשות בדבר הפרשנות של כל אחד מהסיווגים</w:t>
      </w:r>
      <w:r w:rsidRPr="002B5E33">
        <w:rPr>
          <w:rFonts w:hint="cs"/>
          <w:b/>
          <w:bCs/>
          <w:rtl/>
        </w:rPr>
        <w:t xml:space="preserve">, ומסביר </w:t>
      </w:r>
      <w:r w:rsidRPr="002B5E33">
        <w:rPr>
          <w:b/>
          <w:bCs/>
          <w:rtl/>
        </w:rPr>
        <w:t xml:space="preserve">כיצד נקבעו סיווגי מהויות התלונות, </w:t>
      </w:r>
      <w:r w:rsidRPr="002B5E33">
        <w:rPr>
          <w:rFonts w:hint="eastAsia"/>
          <w:b/>
          <w:bCs/>
          <w:rtl/>
        </w:rPr>
        <w:t>מתי</w:t>
      </w:r>
      <w:r w:rsidRPr="002B5E33">
        <w:rPr>
          <w:b/>
          <w:bCs/>
          <w:rtl/>
        </w:rPr>
        <w:t xml:space="preserve"> </w:t>
      </w:r>
      <w:r w:rsidRPr="002B5E33">
        <w:rPr>
          <w:rFonts w:hint="eastAsia"/>
          <w:b/>
          <w:bCs/>
          <w:rtl/>
        </w:rPr>
        <w:t>נקבעו</w:t>
      </w:r>
      <w:r w:rsidRPr="002B5E33">
        <w:rPr>
          <w:b/>
          <w:bCs/>
          <w:rtl/>
        </w:rPr>
        <w:t xml:space="preserve"> </w:t>
      </w:r>
      <w:r w:rsidRPr="002B5E33">
        <w:rPr>
          <w:rFonts w:hint="eastAsia"/>
          <w:b/>
          <w:bCs/>
          <w:rtl/>
        </w:rPr>
        <w:t>ועל</w:t>
      </w:r>
      <w:r w:rsidRPr="002B5E33">
        <w:rPr>
          <w:b/>
          <w:bCs/>
          <w:rtl/>
        </w:rPr>
        <w:t xml:space="preserve"> </w:t>
      </w:r>
      <w:r w:rsidRPr="002B5E33">
        <w:rPr>
          <w:rFonts w:hint="eastAsia"/>
          <w:b/>
          <w:bCs/>
          <w:rtl/>
        </w:rPr>
        <w:t>ידי</w:t>
      </w:r>
      <w:r w:rsidRPr="002B5E33">
        <w:rPr>
          <w:b/>
          <w:bCs/>
          <w:rtl/>
        </w:rPr>
        <w:t xml:space="preserve"> </w:t>
      </w:r>
      <w:r w:rsidRPr="002B5E33">
        <w:rPr>
          <w:rFonts w:hint="eastAsia"/>
          <w:b/>
          <w:bCs/>
          <w:rtl/>
        </w:rPr>
        <w:t>מי</w:t>
      </w:r>
      <w:r w:rsidRPr="002B5E33">
        <w:rPr>
          <w:b/>
          <w:bCs/>
          <w:rtl/>
        </w:rPr>
        <w:t>.</w:t>
      </w:r>
      <w:r w:rsidRPr="002B5E33">
        <w:rPr>
          <w:rFonts w:hint="cs"/>
          <w:rtl/>
        </w:rPr>
        <w:t xml:space="preserve">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בשנת </w:t>
      </w:r>
      <w:r w:rsidRPr="002B5E33">
        <w:rPr>
          <w:rFonts w:ascii="David" w:hAnsi="David"/>
          <w:sz w:val="24"/>
        </w:rPr>
        <w:t>2018</w:t>
      </w:r>
      <w:r w:rsidRPr="002B5E33">
        <w:rPr>
          <w:rFonts w:hint="cs"/>
          <w:rtl/>
        </w:rPr>
        <w:t xml:space="preserve"> סווגו התלונות שהטיפול בהן הסתיים ל-</w:t>
      </w:r>
      <w:r w:rsidRPr="002B5E33">
        <w:rPr>
          <w:rFonts w:ascii="David" w:hAnsi="David"/>
          <w:sz w:val="24"/>
        </w:rPr>
        <w:t>172</w:t>
      </w:r>
      <w:r w:rsidRPr="002B5E33">
        <w:rPr>
          <w:rFonts w:hint="cs"/>
          <w:rtl/>
        </w:rPr>
        <w:t xml:space="preserve"> סיווגי מהות שונים.</w:t>
      </w:r>
    </w:p>
    <w:p w:rsidR="00FA3E7D" w:rsidRPr="002B5E33" w:rsidP="00FA3E7D">
      <w:pPr>
        <w:pStyle w:val="a"/>
        <w:spacing w:line="269" w:lineRule="auto"/>
        <w:rPr>
          <w:rtl/>
        </w:rPr>
      </w:pPr>
    </w:p>
    <w:p w:rsidR="00FA3E7D" w:rsidRPr="00FF3629" w:rsidP="003F7589">
      <w:pPr>
        <w:spacing w:after="120" w:line="269" w:lineRule="auto"/>
        <w:jc w:val="center"/>
        <w:rPr>
          <w:b/>
          <w:bCs/>
          <w:rtl/>
        </w:rPr>
      </w:pPr>
      <w:r w:rsidRPr="00713415">
        <w:rPr>
          <w:rFonts w:hint="cs"/>
          <w:b/>
          <w:bCs/>
          <w:rtl/>
        </w:rPr>
        <w:t>לוח 2</w:t>
      </w:r>
      <w:r w:rsidR="00FF3629">
        <w:rPr>
          <w:rFonts w:hint="cs"/>
          <w:b/>
          <w:bCs/>
          <w:rtl/>
        </w:rPr>
        <w:t xml:space="preserve">: </w:t>
      </w:r>
      <w:r w:rsidRPr="002B5E33">
        <w:rPr>
          <w:rFonts w:ascii="David" w:hAnsi="David"/>
          <w:b/>
          <w:bCs/>
          <w:sz w:val="24"/>
          <w:rtl/>
        </w:rPr>
        <w:t xml:space="preserve">סיווג התלונות </w:t>
      </w:r>
      <w:r w:rsidRPr="002B5E33">
        <w:rPr>
          <w:rFonts w:ascii="David" w:hAnsi="David" w:hint="eastAsia"/>
          <w:b/>
          <w:bCs/>
          <w:sz w:val="24"/>
          <w:rtl/>
        </w:rPr>
        <w:t>בתחום</w:t>
      </w:r>
      <w:r w:rsidRPr="002B5E33">
        <w:rPr>
          <w:rFonts w:ascii="David" w:hAnsi="David"/>
          <w:b/>
          <w:bCs/>
          <w:sz w:val="24"/>
          <w:rtl/>
        </w:rPr>
        <w:t xml:space="preserve"> ביטוחי הבריאות שהטיפול בהן הסתיים בשנת </w:t>
      </w:r>
      <w:r w:rsidRPr="002B5E33">
        <w:rPr>
          <w:rFonts w:ascii="David" w:hAnsi="David"/>
          <w:b/>
          <w:bCs/>
          <w:sz w:val="24"/>
        </w:rPr>
        <w:t>2018</w:t>
      </w:r>
      <w:r w:rsidR="00FF3629">
        <w:rPr>
          <w:rFonts w:ascii="David" w:hAnsi="David" w:hint="cs"/>
          <w:b/>
          <w:bCs/>
          <w:sz w:val="24"/>
          <w:rtl/>
        </w:rPr>
        <w:br/>
      </w:r>
      <w:r w:rsidRPr="002B5E33">
        <w:rPr>
          <w:rFonts w:ascii="David" w:hAnsi="David"/>
          <w:b/>
          <w:bCs/>
          <w:sz w:val="24"/>
          <w:rtl/>
        </w:rPr>
        <w:t>(</w:t>
      </w:r>
      <w:r w:rsidRPr="002B5E33">
        <w:rPr>
          <w:rFonts w:ascii="David" w:hAnsi="David" w:hint="cs"/>
          <w:b/>
          <w:bCs/>
          <w:sz w:val="24"/>
          <w:rtl/>
        </w:rPr>
        <w:t xml:space="preserve">עשרת </w:t>
      </w:r>
      <w:r w:rsidRPr="002B5E33">
        <w:rPr>
          <w:rFonts w:ascii="David" w:hAnsi="David"/>
          <w:b/>
          <w:bCs/>
          <w:sz w:val="24"/>
          <w:rtl/>
        </w:rPr>
        <w:t>הסיווגים העיקריים)</w:t>
      </w:r>
    </w:p>
    <w:tbl>
      <w:tblPr>
        <w:tblStyle w:val="1-310"/>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0"/>
        <w:gridCol w:w="2335"/>
        <w:gridCol w:w="1944"/>
        <w:gridCol w:w="2164"/>
      </w:tblGrid>
      <w:tr w:rsidTr="00CB009B">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05"/>
        </w:trPr>
        <w:tc>
          <w:tcPr>
            <w:tcW w:w="1701" w:type="dxa"/>
            <w:tcBorders>
              <w:bottom w:val="none" w:sz="0" w:space="0" w:color="auto"/>
            </w:tcBorders>
          </w:tcPr>
          <w:p w:rsidR="00FA3E7D" w:rsidRPr="00FB2614" w:rsidP="00FB2614">
            <w:pPr>
              <w:spacing w:before="30" w:after="30" w:line="240" w:lineRule="exact"/>
              <w:ind w:left="33"/>
              <w:jc w:val="center"/>
              <w:rPr>
                <w:sz w:val="22"/>
                <w:szCs w:val="22"/>
              </w:rPr>
            </w:pPr>
            <w:r w:rsidRPr="00FB2614">
              <w:rPr>
                <w:rFonts w:hint="cs"/>
                <w:sz w:val="22"/>
                <w:szCs w:val="22"/>
                <w:rtl/>
              </w:rPr>
              <w:t>כמות התלונות</w:t>
            </w:r>
          </w:p>
        </w:tc>
        <w:tc>
          <w:tcPr>
            <w:tcW w:w="2410" w:type="dxa"/>
            <w:tcBorders>
              <w:bottom w:val="none" w:sz="0" w:space="0" w:color="auto"/>
            </w:tcBorders>
          </w:tcPr>
          <w:p w:rsidR="00FA3E7D" w:rsidRPr="00FB2614" w:rsidP="00FB2614">
            <w:pPr>
              <w:spacing w:before="30" w:after="30" w:line="240" w:lineRule="exact"/>
              <w:ind w:left="312"/>
              <w:jc w:val="center"/>
              <w:rPr>
                <w:sz w:val="22"/>
                <w:szCs w:val="22"/>
              </w:rPr>
            </w:pPr>
            <w:r w:rsidRPr="00FB2614">
              <w:rPr>
                <w:rFonts w:hint="cs"/>
                <w:sz w:val="22"/>
                <w:szCs w:val="22"/>
                <w:rtl/>
              </w:rPr>
              <w:t>סיווג</w:t>
            </w:r>
          </w:p>
        </w:tc>
        <w:tc>
          <w:tcPr>
            <w:tcW w:w="1985" w:type="dxa"/>
            <w:tcBorders>
              <w:bottom w:val="none" w:sz="0" w:space="0" w:color="auto"/>
            </w:tcBorders>
          </w:tcPr>
          <w:p w:rsidR="00FA3E7D" w:rsidRPr="00FB2614" w:rsidP="00FB2614">
            <w:pPr>
              <w:spacing w:before="30" w:after="30" w:line="240" w:lineRule="exact"/>
              <w:ind w:left="312"/>
              <w:jc w:val="center"/>
              <w:rPr>
                <w:sz w:val="22"/>
                <w:szCs w:val="22"/>
              </w:rPr>
            </w:pPr>
            <w:r w:rsidRPr="00FB2614">
              <w:rPr>
                <w:rFonts w:hint="cs"/>
                <w:sz w:val="22"/>
                <w:szCs w:val="22"/>
                <w:rtl/>
              </w:rPr>
              <w:t>כמות התלונות</w:t>
            </w:r>
          </w:p>
        </w:tc>
        <w:tc>
          <w:tcPr>
            <w:tcW w:w="2233" w:type="dxa"/>
            <w:tcBorders>
              <w:bottom w:val="none" w:sz="0" w:space="0" w:color="auto"/>
            </w:tcBorders>
          </w:tcPr>
          <w:p w:rsidR="00FA3E7D" w:rsidRPr="00FB2614" w:rsidP="00FB2614">
            <w:pPr>
              <w:spacing w:before="30" w:after="30" w:line="240" w:lineRule="exact"/>
              <w:jc w:val="left"/>
              <w:rPr>
                <w:sz w:val="22"/>
                <w:szCs w:val="22"/>
              </w:rPr>
            </w:pPr>
            <w:r w:rsidRPr="00FB2614">
              <w:rPr>
                <w:rFonts w:hint="cs"/>
                <w:sz w:val="22"/>
                <w:szCs w:val="22"/>
                <w:rtl/>
              </w:rPr>
              <w:t>סיווג</w:t>
            </w:r>
          </w:p>
        </w:tc>
      </w:tr>
      <w:tr w:rsidTr="00CB009B">
        <w:tblPrEx>
          <w:tblW w:w="0" w:type="auto"/>
          <w:tblInd w:w="108" w:type="dxa"/>
          <w:tblLook w:val="04A0"/>
        </w:tblPrEx>
        <w:tc>
          <w:tcPr>
            <w:tcW w:w="1701" w:type="dxa"/>
          </w:tcPr>
          <w:p w:rsidR="00FA3E7D" w:rsidRPr="00695DDF" w:rsidP="00FB2614">
            <w:pPr>
              <w:spacing w:before="30" w:after="30" w:line="240" w:lineRule="exact"/>
              <w:ind w:left="34"/>
              <w:jc w:val="center"/>
              <w:rPr>
                <w:rFonts w:ascii="David" w:hAnsi="David"/>
                <w:sz w:val="22"/>
                <w:szCs w:val="22"/>
              </w:rPr>
            </w:pPr>
            <w:r w:rsidRPr="00695DDF">
              <w:rPr>
                <w:rFonts w:ascii="David" w:hAnsi="David" w:hint="cs"/>
                <w:b w:val="0"/>
                <w:bCs w:val="0"/>
                <w:color w:val="000000"/>
                <w:sz w:val="22"/>
                <w:szCs w:val="22"/>
              </w:rPr>
              <w:t>400</w:t>
            </w:r>
          </w:p>
        </w:tc>
        <w:tc>
          <w:tcPr>
            <w:tcW w:w="2410" w:type="dxa"/>
          </w:tcPr>
          <w:p w:rsidR="00FA3E7D" w:rsidRPr="00695DDF" w:rsidP="00FB2614">
            <w:pPr>
              <w:spacing w:before="30" w:after="30" w:line="240" w:lineRule="exact"/>
              <w:ind w:left="34"/>
              <w:jc w:val="left"/>
              <w:rPr>
                <w:rFonts w:ascii="David" w:hAnsi="David"/>
                <w:sz w:val="22"/>
                <w:szCs w:val="22"/>
                <w:rtl/>
              </w:rPr>
            </w:pPr>
            <w:r w:rsidRPr="00695DDF">
              <w:rPr>
                <w:rFonts w:ascii="Arial" w:hAnsi="Arial"/>
                <w:color w:val="000000"/>
                <w:sz w:val="22"/>
                <w:szCs w:val="22"/>
                <w:rtl/>
              </w:rPr>
              <w:t>החזר פרמיה</w:t>
            </w:r>
          </w:p>
        </w:tc>
        <w:tc>
          <w:tcPr>
            <w:tcW w:w="1985" w:type="dxa"/>
          </w:tcPr>
          <w:p w:rsidR="00FA3E7D" w:rsidRPr="00695DDF" w:rsidP="00FB2614">
            <w:pPr>
              <w:spacing w:before="30" w:after="30" w:line="240" w:lineRule="exact"/>
              <w:ind w:left="34"/>
              <w:jc w:val="center"/>
              <w:rPr>
                <w:rFonts w:ascii="David" w:hAnsi="David"/>
                <w:sz w:val="22"/>
                <w:szCs w:val="22"/>
              </w:rPr>
            </w:pPr>
            <w:r w:rsidRPr="00695DDF">
              <w:rPr>
                <w:rFonts w:ascii="David" w:hAnsi="David" w:hint="cs"/>
                <w:color w:val="000000"/>
                <w:sz w:val="22"/>
                <w:szCs w:val="22"/>
              </w:rPr>
              <w:t>1442</w:t>
            </w:r>
          </w:p>
        </w:tc>
        <w:tc>
          <w:tcPr>
            <w:tcW w:w="2233" w:type="dxa"/>
          </w:tcPr>
          <w:p w:rsidR="00FA3E7D" w:rsidRPr="00F13C67" w:rsidP="00FB2614">
            <w:pPr>
              <w:spacing w:before="30" w:after="30" w:line="240" w:lineRule="exact"/>
              <w:jc w:val="left"/>
              <w:rPr>
                <w:rFonts w:ascii="David" w:hAnsi="David"/>
                <w:sz w:val="22"/>
                <w:szCs w:val="22"/>
              </w:rPr>
            </w:pPr>
            <w:r w:rsidRPr="00F13C67">
              <w:rPr>
                <w:rFonts w:ascii="Arial" w:hAnsi="Arial"/>
                <w:color w:val="000000"/>
                <w:sz w:val="22"/>
                <w:szCs w:val="22"/>
                <w:rtl/>
              </w:rPr>
              <w:t>שירות לקוי</w:t>
            </w:r>
          </w:p>
        </w:tc>
      </w:tr>
      <w:tr w:rsidTr="00CB009B">
        <w:tblPrEx>
          <w:tblW w:w="0" w:type="auto"/>
          <w:tblInd w:w="108" w:type="dxa"/>
          <w:tblLook w:val="04A0"/>
        </w:tblPrEx>
        <w:tc>
          <w:tcPr>
            <w:tcW w:w="1701" w:type="dxa"/>
          </w:tcPr>
          <w:p w:rsidR="00FA3E7D" w:rsidRPr="00695DDF" w:rsidP="00FB2614">
            <w:pPr>
              <w:spacing w:before="30" w:after="30" w:line="240" w:lineRule="exact"/>
              <w:ind w:left="34"/>
              <w:jc w:val="center"/>
              <w:rPr>
                <w:rFonts w:ascii="David" w:hAnsi="David"/>
                <w:sz w:val="22"/>
                <w:szCs w:val="22"/>
              </w:rPr>
            </w:pPr>
            <w:r w:rsidRPr="00695DDF">
              <w:rPr>
                <w:rFonts w:ascii="David" w:hAnsi="David" w:hint="cs"/>
                <w:b w:val="0"/>
                <w:bCs w:val="0"/>
                <w:color w:val="000000"/>
                <w:sz w:val="22"/>
                <w:szCs w:val="22"/>
              </w:rPr>
              <w:t>193</w:t>
            </w:r>
          </w:p>
        </w:tc>
        <w:tc>
          <w:tcPr>
            <w:tcW w:w="2410" w:type="dxa"/>
          </w:tcPr>
          <w:p w:rsidR="00FA3E7D" w:rsidRPr="00695DDF" w:rsidP="00FB2614">
            <w:pPr>
              <w:spacing w:before="30" w:after="30" w:line="240" w:lineRule="exact"/>
              <w:ind w:left="34"/>
              <w:jc w:val="left"/>
              <w:rPr>
                <w:rFonts w:ascii="David" w:hAnsi="David"/>
                <w:sz w:val="22"/>
                <w:szCs w:val="22"/>
                <w:rtl/>
              </w:rPr>
            </w:pPr>
            <w:r w:rsidRPr="00695DDF">
              <w:rPr>
                <w:rFonts w:ascii="Arial" w:hAnsi="Arial"/>
                <w:color w:val="000000"/>
                <w:sz w:val="22"/>
                <w:szCs w:val="22"/>
                <w:rtl/>
              </w:rPr>
              <w:t>עיכוב בתשובה למבוטח/ היעדר תגובה לפנייה</w:t>
            </w:r>
          </w:p>
        </w:tc>
        <w:tc>
          <w:tcPr>
            <w:tcW w:w="1985" w:type="dxa"/>
          </w:tcPr>
          <w:p w:rsidR="00FA3E7D" w:rsidRPr="00695DDF" w:rsidP="00FB2614">
            <w:pPr>
              <w:spacing w:before="30" w:after="30" w:line="240" w:lineRule="exact"/>
              <w:ind w:left="34"/>
              <w:jc w:val="center"/>
              <w:rPr>
                <w:rFonts w:ascii="David" w:hAnsi="David"/>
                <w:sz w:val="22"/>
                <w:szCs w:val="22"/>
              </w:rPr>
            </w:pPr>
            <w:r w:rsidRPr="00695DDF">
              <w:rPr>
                <w:rFonts w:ascii="David" w:hAnsi="David" w:hint="cs"/>
                <w:color w:val="000000"/>
                <w:sz w:val="22"/>
                <w:szCs w:val="22"/>
              </w:rPr>
              <w:t>962</w:t>
            </w:r>
          </w:p>
        </w:tc>
        <w:tc>
          <w:tcPr>
            <w:tcW w:w="2233" w:type="dxa"/>
          </w:tcPr>
          <w:p w:rsidR="00FA3E7D" w:rsidRPr="00F13C67" w:rsidP="00FB2614">
            <w:pPr>
              <w:spacing w:before="30" w:after="30" w:line="240" w:lineRule="exact"/>
              <w:jc w:val="left"/>
              <w:rPr>
                <w:rFonts w:ascii="David" w:hAnsi="David"/>
                <w:sz w:val="22"/>
                <w:szCs w:val="22"/>
              </w:rPr>
            </w:pPr>
            <w:r w:rsidRPr="00F13C67">
              <w:rPr>
                <w:rFonts w:ascii="Arial" w:hAnsi="Arial"/>
                <w:color w:val="000000"/>
                <w:sz w:val="22"/>
                <w:szCs w:val="22"/>
                <w:rtl/>
              </w:rPr>
              <w:t>דחיית תביעה</w:t>
            </w:r>
          </w:p>
        </w:tc>
      </w:tr>
      <w:tr w:rsidTr="00CB009B">
        <w:tblPrEx>
          <w:tblW w:w="0" w:type="auto"/>
          <w:tblInd w:w="108" w:type="dxa"/>
          <w:tblLook w:val="04A0"/>
        </w:tblPrEx>
        <w:tc>
          <w:tcPr>
            <w:tcW w:w="1701" w:type="dxa"/>
          </w:tcPr>
          <w:p w:rsidR="00FA3E7D" w:rsidRPr="00695DDF" w:rsidP="00FB2614">
            <w:pPr>
              <w:spacing w:before="30" w:after="30" w:line="240" w:lineRule="exact"/>
              <w:ind w:left="34"/>
              <w:jc w:val="center"/>
              <w:rPr>
                <w:rFonts w:asciiTheme="minorHAnsi" w:hAnsiTheme="minorHAnsi"/>
                <w:sz w:val="22"/>
                <w:szCs w:val="22"/>
              </w:rPr>
            </w:pPr>
            <w:r w:rsidRPr="00695DDF">
              <w:rPr>
                <w:rFonts w:ascii="David" w:hAnsi="David" w:hint="cs"/>
                <w:b w:val="0"/>
                <w:bCs w:val="0"/>
                <w:color w:val="000000"/>
                <w:sz w:val="22"/>
                <w:szCs w:val="22"/>
              </w:rPr>
              <w:t>150</w:t>
            </w:r>
          </w:p>
        </w:tc>
        <w:tc>
          <w:tcPr>
            <w:tcW w:w="2410" w:type="dxa"/>
          </w:tcPr>
          <w:p w:rsidR="00FA3E7D" w:rsidRPr="00695DDF" w:rsidP="00FB2614">
            <w:pPr>
              <w:spacing w:before="30" w:after="30" w:line="240" w:lineRule="exact"/>
              <w:ind w:left="34"/>
              <w:jc w:val="left"/>
              <w:rPr>
                <w:rFonts w:ascii="David" w:hAnsi="David"/>
                <w:sz w:val="22"/>
                <w:szCs w:val="22"/>
                <w:rtl/>
              </w:rPr>
            </w:pPr>
            <w:r w:rsidRPr="00695DDF">
              <w:rPr>
                <w:rFonts w:ascii="Arial" w:hAnsi="Arial"/>
                <w:color w:val="000000"/>
                <w:sz w:val="22"/>
                <w:szCs w:val="22"/>
                <w:rtl/>
              </w:rPr>
              <w:t>אי</w:t>
            </w:r>
            <w:r w:rsidRPr="00695DDF">
              <w:rPr>
                <w:rFonts w:ascii="Arial" w:hAnsi="Arial" w:hint="cs"/>
                <w:color w:val="000000"/>
                <w:sz w:val="22"/>
                <w:szCs w:val="22"/>
                <w:rtl/>
              </w:rPr>
              <w:t>-</w:t>
            </w:r>
            <w:r w:rsidRPr="00695DDF">
              <w:rPr>
                <w:rFonts w:ascii="Arial" w:hAnsi="Arial"/>
                <w:color w:val="000000"/>
                <w:sz w:val="22"/>
                <w:szCs w:val="22"/>
                <w:rtl/>
              </w:rPr>
              <w:t>גילוי נאות של מבטח</w:t>
            </w:r>
          </w:p>
        </w:tc>
        <w:tc>
          <w:tcPr>
            <w:tcW w:w="1985" w:type="dxa"/>
          </w:tcPr>
          <w:p w:rsidR="00FA3E7D" w:rsidRPr="00695DDF" w:rsidP="00FB2614">
            <w:pPr>
              <w:spacing w:before="30" w:after="30" w:line="240" w:lineRule="exact"/>
              <w:ind w:left="34"/>
              <w:jc w:val="center"/>
              <w:rPr>
                <w:rFonts w:ascii="David" w:hAnsi="David"/>
                <w:sz w:val="22"/>
                <w:szCs w:val="22"/>
              </w:rPr>
            </w:pPr>
            <w:r w:rsidRPr="00695DDF">
              <w:rPr>
                <w:rFonts w:ascii="David" w:hAnsi="David" w:hint="cs"/>
                <w:color w:val="000000"/>
                <w:sz w:val="22"/>
                <w:szCs w:val="22"/>
              </w:rPr>
              <w:t>863</w:t>
            </w:r>
          </w:p>
        </w:tc>
        <w:tc>
          <w:tcPr>
            <w:tcW w:w="2233" w:type="dxa"/>
          </w:tcPr>
          <w:p w:rsidR="00FA3E7D" w:rsidRPr="00F13C67" w:rsidP="00FB2614">
            <w:pPr>
              <w:spacing w:before="30" w:after="30" w:line="240" w:lineRule="exact"/>
              <w:jc w:val="left"/>
              <w:rPr>
                <w:rFonts w:ascii="David" w:hAnsi="David"/>
                <w:sz w:val="22"/>
                <w:szCs w:val="22"/>
              </w:rPr>
            </w:pPr>
            <w:r w:rsidRPr="00F13C67">
              <w:rPr>
                <w:rFonts w:ascii="Arial" w:hAnsi="Arial"/>
                <w:color w:val="000000"/>
                <w:sz w:val="22"/>
                <w:szCs w:val="22"/>
                <w:rtl/>
              </w:rPr>
              <w:t>אופן יישוב תביעות</w:t>
            </w:r>
          </w:p>
        </w:tc>
      </w:tr>
      <w:tr w:rsidTr="00CB009B">
        <w:tblPrEx>
          <w:tblW w:w="0" w:type="auto"/>
          <w:tblInd w:w="108" w:type="dxa"/>
          <w:tblLook w:val="04A0"/>
        </w:tblPrEx>
        <w:tc>
          <w:tcPr>
            <w:tcW w:w="1701" w:type="dxa"/>
          </w:tcPr>
          <w:p w:rsidR="00FA3E7D" w:rsidRPr="00695DDF" w:rsidP="00FB2614">
            <w:pPr>
              <w:spacing w:before="30" w:after="30" w:line="240" w:lineRule="exact"/>
              <w:ind w:left="34"/>
              <w:jc w:val="center"/>
              <w:rPr>
                <w:rFonts w:ascii="David" w:hAnsi="David"/>
                <w:sz w:val="22"/>
                <w:szCs w:val="22"/>
              </w:rPr>
            </w:pPr>
            <w:r w:rsidRPr="00695DDF">
              <w:rPr>
                <w:rFonts w:ascii="David" w:hAnsi="David" w:hint="cs"/>
                <w:b w:val="0"/>
                <w:bCs w:val="0"/>
                <w:color w:val="000000"/>
                <w:sz w:val="22"/>
                <w:szCs w:val="22"/>
              </w:rPr>
              <w:t>146</w:t>
            </w:r>
          </w:p>
        </w:tc>
        <w:tc>
          <w:tcPr>
            <w:tcW w:w="2410" w:type="dxa"/>
          </w:tcPr>
          <w:p w:rsidR="00FA3E7D" w:rsidRPr="00695DDF" w:rsidP="00FB2614">
            <w:pPr>
              <w:spacing w:before="30" w:after="30" w:line="240" w:lineRule="exact"/>
              <w:ind w:left="34"/>
              <w:jc w:val="left"/>
              <w:rPr>
                <w:rFonts w:ascii="David" w:hAnsi="David"/>
                <w:sz w:val="22"/>
                <w:szCs w:val="22"/>
                <w:rtl/>
              </w:rPr>
            </w:pPr>
            <w:r w:rsidRPr="00695DDF">
              <w:rPr>
                <w:rFonts w:ascii="Arial" w:hAnsi="Arial"/>
                <w:color w:val="000000"/>
                <w:sz w:val="22"/>
                <w:szCs w:val="22"/>
                <w:rtl/>
              </w:rPr>
              <w:t>פרמיה</w:t>
            </w:r>
          </w:p>
        </w:tc>
        <w:tc>
          <w:tcPr>
            <w:tcW w:w="1985" w:type="dxa"/>
          </w:tcPr>
          <w:p w:rsidR="00FA3E7D" w:rsidRPr="00695DDF" w:rsidP="00FB2614">
            <w:pPr>
              <w:spacing w:before="30" w:after="30" w:line="240" w:lineRule="exact"/>
              <w:ind w:left="34"/>
              <w:jc w:val="center"/>
              <w:rPr>
                <w:rFonts w:ascii="David" w:hAnsi="David"/>
                <w:sz w:val="22"/>
                <w:szCs w:val="22"/>
              </w:rPr>
            </w:pPr>
            <w:r w:rsidRPr="00695DDF">
              <w:rPr>
                <w:rFonts w:ascii="David" w:hAnsi="David" w:hint="cs"/>
                <w:color w:val="000000"/>
                <w:sz w:val="22"/>
                <w:szCs w:val="22"/>
              </w:rPr>
              <w:t>497</w:t>
            </w:r>
          </w:p>
        </w:tc>
        <w:tc>
          <w:tcPr>
            <w:tcW w:w="2233" w:type="dxa"/>
          </w:tcPr>
          <w:p w:rsidR="00FA3E7D" w:rsidRPr="00F13C67" w:rsidP="00FB2614">
            <w:pPr>
              <w:spacing w:before="30" w:after="30" w:line="240" w:lineRule="exact"/>
              <w:jc w:val="left"/>
              <w:rPr>
                <w:rFonts w:ascii="David" w:hAnsi="David"/>
                <w:sz w:val="22"/>
                <w:szCs w:val="22"/>
              </w:rPr>
            </w:pPr>
            <w:r w:rsidRPr="00F13C67">
              <w:rPr>
                <w:rFonts w:ascii="Arial" w:hAnsi="Arial"/>
                <w:color w:val="000000"/>
                <w:sz w:val="22"/>
                <w:szCs w:val="22"/>
                <w:rtl/>
              </w:rPr>
              <w:t>ביטול הפוליסה</w:t>
            </w:r>
          </w:p>
        </w:tc>
      </w:tr>
      <w:tr w:rsidTr="00CB009B">
        <w:tblPrEx>
          <w:tblW w:w="0" w:type="auto"/>
          <w:tblInd w:w="108" w:type="dxa"/>
          <w:tblLook w:val="04A0"/>
        </w:tblPrEx>
        <w:tc>
          <w:tcPr>
            <w:tcW w:w="1701" w:type="dxa"/>
          </w:tcPr>
          <w:p w:rsidR="00FA3E7D" w:rsidRPr="00695DDF" w:rsidP="00FB2614">
            <w:pPr>
              <w:spacing w:before="30" w:after="30" w:line="240" w:lineRule="exact"/>
              <w:ind w:left="34"/>
              <w:jc w:val="center"/>
              <w:rPr>
                <w:rFonts w:ascii="David" w:hAnsi="David"/>
                <w:sz w:val="22"/>
                <w:szCs w:val="22"/>
              </w:rPr>
            </w:pPr>
            <w:r w:rsidRPr="00695DDF">
              <w:rPr>
                <w:rFonts w:ascii="David" w:hAnsi="David" w:hint="cs"/>
                <w:b w:val="0"/>
                <w:bCs w:val="0"/>
                <w:color w:val="000000"/>
                <w:sz w:val="22"/>
                <w:szCs w:val="22"/>
              </w:rPr>
              <w:t>146</w:t>
            </w:r>
          </w:p>
        </w:tc>
        <w:tc>
          <w:tcPr>
            <w:tcW w:w="2410" w:type="dxa"/>
          </w:tcPr>
          <w:p w:rsidR="00FA3E7D" w:rsidRPr="00695DDF" w:rsidP="00FB2614">
            <w:pPr>
              <w:spacing w:before="30" w:after="30" w:line="240" w:lineRule="exact"/>
              <w:ind w:left="34"/>
              <w:jc w:val="left"/>
              <w:rPr>
                <w:rFonts w:ascii="David" w:hAnsi="David"/>
                <w:sz w:val="22"/>
                <w:szCs w:val="22"/>
                <w:rtl/>
              </w:rPr>
            </w:pPr>
            <w:r w:rsidRPr="00695DDF">
              <w:rPr>
                <w:rFonts w:ascii="Arial" w:hAnsi="Arial"/>
                <w:color w:val="000000"/>
                <w:sz w:val="22"/>
                <w:szCs w:val="22"/>
                <w:rtl/>
              </w:rPr>
              <w:t>ליקוי בטיפול הסוכן</w:t>
            </w:r>
          </w:p>
        </w:tc>
        <w:tc>
          <w:tcPr>
            <w:tcW w:w="1985" w:type="dxa"/>
          </w:tcPr>
          <w:p w:rsidR="00FA3E7D" w:rsidRPr="00695DDF" w:rsidP="00FB2614">
            <w:pPr>
              <w:spacing w:before="30" w:after="30" w:line="240" w:lineRule="exact"/>
              <w:ind w:left="34"/>
              <w:jc w:val="center"/>
              <w:rPr>
                <w:rFonts w:ascii="David" w:hAnsi="David"/>
                <w:sz w:val="22"/>
                <w:szCs w:val="22"/>
              </w:rPr>
            </w:pPr>
            <w:r w:rsidRPr="00695DDF">
              <w:rPr>
                <w:rFonts w:ascii="David" w:hAnsi="David" w:hint="cs"/>
                <w:color w:val="000000"/>
                <w:sz w:val="22"/>
                <w:szCs w:val="22"/>
              </w:rPr>
              <w:t>434</w:t>
            </w:r>
          </w:p>
        </w:tc>
        <w:tc>
          <w:tcPr>
            <w:tcW w:w="2233" w:type="dxa"/>
          </w:tcPr>
          <w:p w:rsidR="00FA3E7D" w:rsidRPr="00F13C67" w:rsidP="00FB2614">
            <w:pPr>
              <w:spacing w:before="30" w:after="30" w:line="240" w:lineRule="exact"/>
              <w:jc w:val="left"/>
              <w:rPr>
                <w:rFonts w:ascii="David" w:hAnsi="David"/>
                <w:sz w:val="22"/>
                <w:szCs w:val="22"/>
              </w:rPr>
            </w:pPr>
            <w:r w:rsidRPr="00F13C67">
              <w:rPr>
                <w:rFonts w:ascii="Arial" w:hAnsi="Arial"/>
                <w:color w:val="000000"/>
                <w:sz w:val="22"/>
                <w:szCs w:val="22"/>
                <w:rtl/>
              </w:rPr>
              <w:t>עיכוב בטיפול בתביעה ותשלום תגמולי הביטוח</w:t>
            </w:r>
          </w:p>
        </w:tc>
      </w:tr>
    </w:tbl>
    <w:p w:rsidR="00FA3E7D" w:rsidRPr="00F13852" w:rsidP="00FB2614">
      <w:pPr>
        <w:spacing w:before="120" w:line="269" w:lineRule="auto"/>
        <w:rPr>
          <w:sz w:val="22"/>
          <w:szCs w:val="22"/>
          <w:rtl/>
        </w:rPr>
      </w:pPr>
      <w:r w:rsidRPr="00F13852">
        <w:rPr>
          <w:rFonts w:hint="cs"/>
          <w:sz w:val="22"/>
          <w:szCs w:val="22"/>
          <w:rtl/>
        </w:rPr>
        <w:t>מקור: נתוני רשות שוק ההון, בעיבוד משרד מבקר המדינה.</w:t>
      </w:r>
    </w:p>
    <w:p w:rsidR="00FA3E7D" w:rsidRPr="002B5E33" w:rsidP="00FA3E7D">
      <w:pPr>
        <w:pStyle w:val="a"/>
        <w:spacing w:line="269" w:lineRule="auto"/>
        <w:rPr>
          <w:rtl/>
        </w:rPr>
      </w:pPr>
    </w:p>
    <w:p w:rsidR="00FA3E7D" w:rsidP="00FA3E7D">
      <w:pPr>
        <w:spacing w:line="269" w:lineRule="auto"/>
        <w:rPr>
          <w:rtl/>
        </w:rPr>
      </w:pPr>
      <w:r w:rsidRPr="002B5E33">
        <w:rPr>
          <w:rFonts w:hint="cs"/>
          <w:rtl/>
        </w:rPr>
        <w:t xml:space="preserve">בחינת סיווגי מהות התלונות העלתה בנוגע לחלקם כי ספק אם הם יכולים לספק מידע מועיל לרשות או לציבור, שכן חלקם כוללניים ועמומים, חלקם אינם משקפים את מהות התלונה אלא מאפיין של המוצר כגון "פרמיה", וחלקם כפולים - כגון "כפל ביטוח" ו"ביטוח כפל". יתרה מזאת, בביקורת נמצא כי בשנת 2018, מתוך 2,358 תלונות בתחום ביטוחי הבריאות שהטיפול בהן הסתיים, 55 לא סווגו בשום סיווג המשקף את מהות התלונה. </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על רשות שוק ההון להקפיד על סיווג נכון, אחיד ומלא של כל אחת מהתלונות שבהן היא מטפלת, כדי לאפשר לנתח את מהותן ולהפיק מכך מידע מועיל לצורכי פעילות הרשות. משרד מבקר המדינה ממליץ לרשות להגביל את מספר הסיווגים האפשריים במערכת.</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הצגה</w:t>
      </w:r>
      <w:r w:rsidRPr="002B5E33">
        <w:rPr>
          <w:rtl/>
        </w:rPr>
        <w:t xml:space="preserve"> </w:t>
      </w:r>
      <w:r w:rsidRPr="002B5E33">
        <w:rPr>
          <w:rFonts w:hint="eastAsia"/>
          <w:rtl/>
        </w:rPr>
        <w:t>לציבור</w:t>
      </w:r>
      <w:r w:rsidRPr="002B5E33">
        <w:rPr>
          <w:rtl/>
        </w:rPr>
        <w:t xml:space="preserve"> </w:t>
      </w:r>
      <w:r w:rsidRPr="002B5E33">
        <w:rPr>
          <w:rFonts w:hint="eastAsia"/>
          <w:rtl/>
        </w:rPr>
        <w:t>של</w:t>
      </w:r>
      <w:r w:rsidRPr="002B5E33">
        <w:rPr>
          <w:rtl/>
        </w:rPr>
        <w:t xml:space="preserve"> </w:t>
      </w:r>
      <w:r w:rsidRPr="002B5E33">
        <w:rPr>
          <w:rFonts w:hint="eastAsia"/>
          <w:rtl/>
        </w:rPr>
        <w:t>הנושאים</w:t>
      </w:r>
      <w:r w:rsidRPr="002B5E33">
        <w:rPr>
          <w:rtl/>
        </w:rPr>
        <w:t xml:space="preserve"> </w:t>
      </w:r>
      <w:r w:rsidRPr="002B5E33">
        <w:rPr>
          <w:rFonts w:hint="eastAsia"/>
          <w:rtl/>
        </w:rPr>
        <w:t>המרכזיים</w:t>
      </w:r>
      <w:r w:rsidRPr="002B5E33">
        <w:rPr>
          <w:rtl/>
        </w:rPr>
        <w:t xml:space="preserve"> </w:t>
      </w:r>
      <w:r w:rsidRPr="002B5E33">
        <w:rPr>
          <w:rFonts w:hint="cs"/>
          <w:rtl/>
        </w:rPr>
        <w:t>ש</w:t>
      </w:r>
      <w:r w:rsidRPr="002B5E33">
        <w:rPr>
          <w:rFonts w:hint="eastAsia"/>
          <w:rtl/>
        </w:rPr>
        <w:t>עליה</w:t>
      </w:r>
      <w:r w:rsidRPr="002B5E33">
        <w:rPr>
          <w:rFonts w:hint="cs"/>
          <w:rtl/>
        </w:rPr>
        <w:t>ם</w:t>
      </w:r>
      <w:r w:rsidRPr="002B5E33">
        <w:rPr>
          <w:rtl/>
        </w:rPr>
        <w:t xml:space="preserve"> </w:t>
      </w:r>
      <w:r w:rsidRPr="002B5E33">
        <w:rPr>
          <w:rFonts w:hint="eastAsia"/>
          <w:rtl/>
        </w:rPr>
        <w:t>נסבות</w:t>
      </w:r>
      <w:r w:rsidRPr="002B5E33">
        <w:rPr>
          <w:rtl/>
        </w:rPr>
        <w:t xml:space="preserve"> </w:t>
      </w:r>
      <w:r w:rsidRPr="002B5E33">
        <w:rPr>
          <w:rFonts w:hint="eastAsia"/>
          <w:rtl/>
        </w:rPr>
        <w:t>התלונות</w:t>
      </w:r>
      <w:r w:rsidRPr="002B5E33">
        <w:rPr>
          <w:rtl/>
        </w:rPr>
        <w:t xml:space="preserve">, </w:t>
      </w:r>
      <w:r w:rsidRPr="002B5E33">
        <w:rPr>
          <w:rFonts w:hint="eastAsia"/>
          <w:rtl/>
        </w:rPr>
        <w:t>בשילוב</w:t>
      </w:r>
      <w:r w:rsidRPr="002B5E33">
        <w:rPr>
          <w:rtl/>
        </w:rPr>
        <w:t xml:space="preserve"> </w:t>
      </w:r>
      <w:r w:rsidRPr="002B5E33">
        <w:rPr>
          <w:rFonts w:hint="eastAsia"/>
          <w:rtl/>
        </w:rPr>
        <w:t>הצג</w:t>
      </w:r>
      <w:r w:rsidRPr="002B5E33">
        <w:rPr>
          <w:rFonts w:hint="cs"/>
          <w:rtl/>
        </w:rPr>
        <w:t>ת</w:t>
      </w:r>
      <w:r w:rsidRPr="002B5E33">
        <w:rPr>
          <w:rtl/>
        </w:rPr>
        <w:t xml:space="preserve"> </w:t>
      </w:r>
      <w:r w:rsidRPr="002B5E33">
        <w:rPr>
          <w:rFonts w:hint="eastAsia"/>
          <w:rtl/>
        </w:rPr>
        <w:t>הגופים</w:t>
      </w:r>
      <w:r w:rsidRPr="002B5E33">
        <w:rPr>
          <w:rtl/>
        </w:rPr>
        <w:t xml:space="preserve"> </w:t>
      </w:r>
      <w:r w:rsidRPr="002B5E33">
        <w:rPr>
          <w:rFonts w:hint="cs"/>
          <w:rtl/>
        </w:rPr>
        <w:t>שכלפיהם</w:t>
      </w:r>
      <w:r w:rsidRPr="002B5E33">
        <w:rPr>
          <w:rtl/>
        </w:rPr>
        <w:t xml:space="preserve"> </w:t>
      </w:r>
      <w:r w:rsidRPr="002B5E33">
        <w:rPr>
          <w:rFonts w:hint="eastAsia"/>
          <w:rtl/>
        </w:rPr>
        <w:t>הוגשו</w:t>
      </w:r>
      <w:r w:rsidRPr="002B5E33">
        <w:rPr>
          <w:rtl/>
        </w:rPr>
        <w:t xml:space="preserve"> </w:t>
      </w:r>
      <w:r w:rsidRPr="002B5E33">
        <w:rPr>
          <w:rFonts w:hint="eastAsia"/>
          <w:rtl/>
        </w:rPr>
        <w:t>תלונות</w:t>
      </w:r>
      <w:r w:rsidRPr="002B5E33">
        <w:rPr>
          <w:rtl/>
        </w:rPr>
        <w:t xml:space="preserve"> </w:t>
      </w:r>
      <w:r w:rsidRPr="002B5E33">
        <w:rPr>
          <w:rFonts w:hint="eastAsia"/>
          <w:rtl/>
        </w:rPr>
        <w:t>והאופן</w:t>
      </w:r>
      <w:r w:rsidRPr="002B5E33">
        <w:rPr>
          <w:rtl/>
        </w:rPr>
        <w:t xml:space="preserve"> </w:t>
      </w:r>
      <w:r w:rsidRPr="002B5E33">
        <w:rPr>
          <w:rFonts w:hint="cs"/>
          <w:rtl/>
        </w:rPr>
        <w:t>ש</w:t>
      </w:r>
      <w:r w:rsidRPr="002B5E33">
        <w:rPr>
          <w:rFonts w:hint="eastAsia"/>
          <w:rtl/>
        </w:rPr>
        <w:t>בו</w:t>
      </w:r>
      <w:r w:rsidRPr="002B5E33">
        <w:rPr>
          <w:rtl/>
        </w:rPr>
        <w:t xml:space="preserve"> </w:t>
      </w:r>
      <w:r w:rsidRPr="002B5E33">
        <w:rPr>
          <w:rFonts w:hint="eastAsia"/>
          <w:rtl/>
        </w:rPr>
        <w:t>הכריעה</w:t>
      </w:r>
      <w:r w:rsidRPr="002B5E33">
        <w:rPr>
          <w:rtl/>
        </w:rPr>
        <w:t xml:space="preserve"> </w:t>
      </w:r>
      <w:r w:rsidRPr="002B5E33">
        <w:rPr>
          <w:rFonts w:hint="eastAsia"/>
          <w:rtl/>
        </w:rPr>
        <w:t>הרשות</w:t>
      </w:r>
      <w:r w:rsidRPr="002B5E33">
        <w:rPr>
          <w:rtl/>
        </w:rPr>
        <w:t xml:space="preserve"> </w:t>
      </w:r>
      <w:r w:rsidRPr="002B5E33">
        <w:rPr>
          <w:rFonts w:hint="eastAsia"/>
          <w:rtl/>
        </w:rPr>
        <w:t>בתלונות</w:t>
      </w:r>
      <w:r w:rsidRPr="002B5E33">
        <w:rPr>
          <w:rtl/>
        </w:rPr>
        <w:t xml:space="preserve"> </w:t>
      </w:r>
      <w:r w:rsidRPr="002B5E33">
        <w:rPr>
          <w:rFonts w:hint="cs"/>
          <w:rtl/>
        </w:rPr>
        <w:t>בזיקה למהות התלונות וזהות הגופים הנילונים</w:t>
      </w:r>
      <w:r w:rsidRPr="002B5E33">
        <w:rPr>
          <w:rtl/>
        </w:rPr>
        <w:t xml:space="preserve">, </w:t>
      </w:r>
      <w:r w:rsidRPr="002B5E33">
        <w:rPr>
          <w:rFonts w:hint="eastAsia"/>
          <w:rtl/>
        </w:rPr>
        <w:t>חשובים</w:t>
      </w:r>
      <w:r w:rsidRPr="002B5E33">
        <w:rPr>
          <w:rtl/>
        </w:rPr>
        <w:t xml:space="preserve"> </w:t>
      </w:r>
      <w:r w:rsidRPr="002B5E33">
        <w:rPr>
          <w:rFonts w:hint="cs"/>
          <w:rtl/>
        </w:rPr>
        <w:t>להגברת</w:t>
      </w:r>
      <w:r w:rsidRPr="002B5E33">
        <w:rPr>
          <w:rtl/>
        </w:rPr>
        <w:t xml:space="preserve"> </w:t>
      </w:r>
      <w:r w:rsidRPr="002B5E33">
        <w:rPr>
          <w:rFonts w:hint="eastAsia"/>
          <w:rtl/>
        </w:rPr>
        <w:t>אמון</w:t>
      </w:r>
      <w:r w:rsidRPr="002B5E33">
        <w:rPr>
          <w:rtl/>
        </w:rPr>
        <w:t xml:space="preserve"> </w:t>
      </w:r>
      <w:r w:rsidRPr="002B5E33">
        <w:rPr>
          <w:rFonts w:hint="eastAsia"/>
          <w:rtl/>
        </w:rPr>
        <w:t>הציבור</w:t>
      </w:r>
      <w:r w:rsidRPr="002B5E33">
        <w:rPr>
          <w:rtl/>
        </w:rPr>
        <w:t xml:space="preserve"> </w:t>
      </w:r>
      <w:r w:rsidRPr="002B5E33">
        <w:rPr>
          <w:rFonts w:hint="eastAsia"/>
          <w:rtl/>
        </w:rPr>
        <w:t>בפעילות</w:t>
      </w:r>
      <w:r>
        <w:rPr>
          <w:rtl/>
        </w:rPr>
        <w:t xml:space="preserve"> </w:t>
      </w:r>
      <w:r w:rsidRPr="002B5E33">
        <w:rPr>
          <w:rFonts w:hint="eastAsia"/>
          <w:rtl/>
        </w:rPr>
        <w:t>הרשות</w:t>
      </w:r>
      <w:r w:rsidRPr="002B5E33">
        <w:rPr>
          <w:rtl/>
        </w:rPr>
        <w:t xml:space="preserve">, </w:t>
      </w:r>
      <w:r w:rsidRPr="002B5E33">
        <w:rPr>
          <w:rFonts w:hint="eastAsia"/>
          <w:rtl/>
        </w:rPr>
        <w:t>וכדי</w:t>
      </w:r>
      <w:r w:rsidRPr="002B5E33">
        <w:rPr>
          <w:rtl/>
        </w:rPr>
        <w:t xml:space="preserve"> </w:t>
      </w:r>
      <w:r w:rsidRPr="002B5E33">
        <w:rPr>
          <w:rFonts w:hint="eastAsia"/>
          <w:rtl/>
        </w:rPr>
        <w:t>לאפשר</w:t>
      </w:r>
      <w:r w:rsidRPr="002B5E33">
        <w:rPr>
          <w:rtl/>
        </w:rPr>
        <w:t xml:space="preserve"> </w:t>
      </w:r>
      <w:r w:rsidRPr="002B5E33">
        <w:rPr>
          <w:rFonts w:hint="eastAsia"/>
          <w:rtl/>
        </w:rPr>
        <w:t>ל</w:t>
      </w:r>
      <w:r w:rsidRPr="002B5E33">
        <w:rPr>
          <w:rFonts w:hint="cs"/>
          <w:rtl/>
        </w:rPr>
        <w:t>ו</w:t>
      </w:r>
      <w:r w:rsidRPr="002B5E33">
        <w:rPr>
          <w:rtl/>
        </w:rPr>
        <w:t xml:space="preserve"> </w:t>
      </w:r>
      <w:r w:rsidRPr="002B5E33">
        <w:rPr>
          <w:rFonts w:hint="eastAsia"/>
          <w:rtl/>
        </w:rPr>
        <w:t>לעשות</w:t>
      </w:r>
      <w:r w:rsidRPr="002B5E33">
        <w:rPr>
          <w:rtl/>
        </w:rPr>
        <w:t xml:space="preserve"> </w:t>
      </w:r>
      <w:r w:rsidRPr="002B5E33">
        <w:rPr>
          <w:rFonts w:hint="eastAsia"/>
          <w:rtl/>
        </w:rPr>
        <w:t>שימוש</w:t>
      </w:r>
      <w:r w:rsidRPr="002B5E33">
        <w:rPr>
          <w:rtl/>
        </w:rPr>
        <w:t xml:space="preserve"> </w:t>
      </w:r>
      <w:r w:rsidRPr="002B5E33">
        <w:rPr>
          <w:rFonts w:hint="eastAsia"/>
          <w:rtl/>
        </w:rPr>
        <w:t>בנתונים</w:t>
      </w:r>
      <w:r w:rsidRPr="002B5E33">
        <w:rPr>
          <w:rtl/>
        </w:rPr>
        <w:t xml:space="preserve"> </w:t>
      </w:r>
      <w:r w:rsidRPr="002B5E33">
        <w:rPr>
          <w:rFonts w:hint="eastAsia"/>
          <w:rtl/>
        </w:rPr>
        <w:t>ככלי</w:t>
      </w:r>
      <w:r w:rsidRPr="002B5E33">
        <w:rPr>
          <w:rtl/>
        </w:rPr>
        <w:t xml:space="preserve"> </w:t>
      </w:r>
      <w:r w:rsidRPr="002B5E33">
        <w:rPr>
          <w:rFonts w:hint="eastAsia"/>
          <w:rtl/>
        </w:rPr>
        <w:t>לקבלת</w:t>
      </w:r>
      <w:r w:rsidRPr="002B5E33">
        <w:rPr>
          <w:rtl/>
        </w:rPr>
        <w:t xml:space="preserve"> </w:t>
      </w:r>
      <w:r w:rsidRPr="002B5E33">
        <w:rPr>
          <w:rFonts w:hint="eastAsia"/>
          <w:rtl/>
        </w:rPr>
        <w:t>החלטות</w:t>
      </w:r>
      <w:r w:rsidRPr="002B5E33">
        <w:rPr>
          <w:rtl/>
        </w:rPr>
        <w:t xml:space="preserve"> </w:t>
      </w:r>
      <w:r w:rsidRPr="002B5E33">
        <w:rPr>
          <w:rFonts w:hint="eastAsia"/>
          <w:rtl/>
        </w:rPr>
        <w:t>בעניין</w:t>
      </w:r>
      <w:r w:rsidRPr="002B5E33">
        <w:rPr>
          <w:rtl/>
        </w:rPr>
        <w:t xml:space="preserve"> </w:t>
      </w:r>
      <w:r w:rsidRPr="002B5E33">
        <w:rPr>
          <w:rFonts w:hint="eastAsia"/>
          <w:rtl/>
        </w:rPr>
        <w:t>התקשרות</w:t>
      </w:r>
      <w:r w:rsidRPr="002B5E33">
        <w:rPr>
          <w:rtl/>
        </w:rPr>
        <w:t xml:space="preserve"> </w:t>
      </w:r>
      <w:r w:rsidRPr="002B5E33">
        <w:rPr>
          <w:rFonts w:hint="eastAsia"/>
          <w:rtl/>
        </w:rPr>
        <w:t>עם</w:t>
      </w:r>
      <w:r w:rsidRPr="002B5E33">
        <w:rPr>
          <w:rtl/>
        </w:rPr>
        <w:t xml:space="preserve"> </w:t>
      </w:r>
      <w:r w:rsidRPr="002B5E33">
        <w:rPr>
          <w:rFonts w:hint="eastAsia"/>
          <w:rtl/>
        </w:rPr>
        <w:t>הגופים</w:t>
      </w:r>
      <w:r w:rsidRPr="002B5E33">
        <w:rPr>
          <w:rtl/>
        </w:rPr>
        <w:t xml:space="preserve"> </w:t>
      </w:r>
      <w:r w:rsidRPr="002B5E33">
        <w:rPr>
          <w:rFonts w:hint="eastAsia"/>
          <w:rtl/>
        </w:rPr>
        <w:t>המפוקחים</w:t>
      </w:r>
      <w:r w:rsidRPr="002B5E33">
        <w:rPr>
          <w:rtl/>
        </w:rPr>
        <w:t xml:space="preserve">. </w:t>
      </w:r>
      <w:r w:rsidRPr="002B5E33">
        <w:rPr>
          <w:rFonts w:hint="cs"/>
          <w:rtl/>
        </w:rPr>
        <w:t xml:space="preserve">ואולם, </w:t>
      </w:r>
      <w:r w:rsidRPr="002B5E33">
        <w:rPr>
          <w:rFonts w:hint="eastAsia"/>
          <w:rtl/>
        </w:rPr>
        <w:t>נמצא</w:t>
      </w:r>
      <w:r w:rsidRPr="002B5E33">
        <w:rPr>
          <w:rtl/>
        </w:rPr>
        <w:t xml:space="preserve"> כי </w:t>
      </w:r>
      <w:r w:rsidRPr="002B5E33">
        <w:rPr>
          <w:rFonts w:hint="eastAsia"/>
          <w:rtl/>
        </w:rPr>
        <w:t>רשות</w:t>
      </w:r>
      <w:r w:rsidRPr="002B5E33">
        <w:rPr>
          <w:rtl/>
        </w:rPr>
        <w:t xml:space="preserve"> שוק ההון אינה מפרסמת לציבור כל מידע </w:t>
      </w:r>
      <w:r w:rsidRPr="002B5E33">
        <w:rPr>
          <w:rFonts w:hint="eastAsia"/>
          <w:rtl/>
        </w:rPr>
        <w:t>סטטיסטי</w:t>
      </w:r>
      <w:r w:rsidRPr="002B5E33">
        <w:rPr>
          <w:rtl/>
        </w:rPr>
        <w:t xml:space="preserve"> </w:t>
      </w:r>
      <w:r w:rsidRPr="002B5E33">
        <w:rPr>
          <w:rFonts w:hint="cs"/>
          <w:rtl/>
        </w:rPr>
        <w:t>בנושאים אלו.</w:t>
      </w:r>
    </w:p>
    <w:p w:rsidR="00FA3E7D" w:rsidRPr="002B5E33" w:rsidP="00FA3E7D">
      <w:pPr>
        <w:pStyle w:val="a"/>
        <w:spacing w:line="269" w:lineRule="auto"/>
      </w:pPr>
    </w:p>
    <w:p w:rsidR="00FA3E7D" w:rsidRPr="002B5E33" w:rsidP="00FA3E7D">
      <w:pPr>
        <w:spacing w:line="269" w:lineRule="auto"/>
        <w:rPr>
          <w:rFonts w:ascii="David" w:eastAsia="Times New Roman" w:hAnsi="David"/>
          <w:b/>
          <w:bCs/>
          <w:sz w:val="24"/>
          <w:rtl/>
        </w:rPr>
      </w:pPr>
      <w:r w:rsidRPr="002B5E33">
        <w:rPr>
          <w:rFonts w:ascii="David" w:eastAsia="Times New Roman" w:hAnsi="David"/>
          <w:b/>
          <w:bCs/>
          <w:sz w:val="24"/>
          <w:rtl/>
        </w:rPr>
        <w:t xml:space="preserve">על רשות שוק ההון לפרסם לציבור באופן קבוע את הנושאים המרכזיים </w:t>
      </w:r>
      <w:r w:rsidRPr="002B5E33">
        <w:rPr>
          <w:rFonts w:ascii="David" w:eastAsia="Times New Roman" w:hAnsi="David" w:hint="cs"/>
          <w:b/>
          <w:bCs/>
          <w:sz w:val="24"/>
          <w:rtl/>
        </w:rPr>
        <w:t>ש</w:t>
      </w:r>
      <w:r w:rsidRPr="002B5E33">
        <w:rPr>
          <w:rFonts w:ascii="David" w:eastAsia="Times New Roman" w:hAnsi="David"/>
          <w:b/>
          <w:bCs/>
          <w:sz w:val="24"/>
          <w:rtl/>
        </w:rPr>
        <w:t xml:space="preserve">עליהם נסבות התלונות, ולשקול גם לפרסם את זהותם של הגופים </w:t>
      </w:r>
      <w:r w:rsidRPr="002B5E33">
        <w:rPr>
          <w:rFonts w:ascii="David" w:eastAsia="Times New Roman" w:hAnsi="David" w:hint="cs"/>
          <w:b/>
          <w:bCs/>
          <w:sz w:val="24"/>
          <w:rtl/>
        </w:rPr>
        <w:t xml:space="preserve">הנילונים </w:t>
      </w:r>
      <w:r w:rsidRPr="002B5E33">
        <w:rPr>
          <w:rFonts w:ascii="David" w:eastAsia="Times New Roman" w:hAnsi="David"/>
          <w:b/>
          <w:bCs/>
          <w:sz w:val="24"/>
          <w:rtl/>
        </w:rPr>
        <w:t xml:space="preserve">המרכזיים . </w:t>
      </w:r>
      <w:r w:rsidRPr="002B5E33">
        <w:rPr>
          <w:rFonts w:ascii="David" w:eastAsia="Times New Roman" w:hAnsi="David" w:hint="eastAsia"/>
          <w:b/>
          <w:bCs/>
          <w:sz w:val="24"/>
          <w:rtl/>
        </w:rPr>
        <w:t>כן</w:t>
      </w:r>
      <w:r w:rsidRPr="002B5E33">
        <w:rPr>
          <w:rFonts w:ascii="David" w:eastAsia="Times New Roman" w:hAnsi="David"/>
          <w:b/>
          <w:bCs/>
          <w:sz w:val="24"/>
          <w:rtl/>
        </w:rPr>
        <w:t xml:space="preserve"> </w:t>
      </w:r>
      <w:r w:rsidRPr="002B5E33">
        <w:rPr>
          <w:rFonts w:ascii="David" w:eastAsia="Times New Roman" w:hAnsi="David" w:hint="eastAsia"/>
          <w:b/>
          <w:bCs/>
          <w:sz w:val="24"/>
          <w:rtl/>
        </w:rPr>
        <w:t>מוצע</w:t>
      </w:r>
      <w:r w:rsidRPr="002B5E33">
        <w:rPr>
          <w:rFonts w:ascii="David" w:eastAsia="Times New Roman" w:hAnsi="David"/>
          <w:b/>
          <w:bCs/>
          <w:sz w:val="24"/>
          <w:rtl/>
        </w:rPr>
        <w:t xml:space="preserve"> </w:t>
      </w:r>
      <w:r w:rsidRPr="002B5E33">
        <w:rPr>
          <w:rFonts w:ascii="David" w:eastAsia="Times New Roman" w:hAnsi="David" w:hint="eastAsia"/>
          <w:b/>
          <w:bCs/>
          <w:sz w:val="24"/>
          <w:rtl/>
        </w:rPr>
        <w:t>כי</w:t>
      </w:r>
      <w:r w:rsidRPr="002B5E33">
        <w:rPr>
          <w:rFonts w:ascii="David" w:eastAsia="Times New Roman" w:hAnsi="David"/>
          <w:b/>
          <w:bCs/>
          <w:sz w:val="24"/>
          <w:rtl/>
        </w:rPr>
        <w:t xml:space="preserve"> </w:t>
      </w:r>
      <w:r w:rsidRPr="002B5E33">
        <w:rPr>
          <w:rFonts w:ascii="David" w:eastAsia="Times New Roman" w:hAnsi="David" w:hint="eastAsia"/>
          <w:b/>
          <w:bCs/>
          <w:sz w:val="24"/>
          <w:rtl/>
        </w:rPr>
        <w:t>הרשות</w:t>
      </w:r>
      <w:r w:rsidRPr="002B5E33">
        <w:rPr>
          <w:rFonts w:ascii="David" w:eastAsia="Times New Roman" w:hAnsi="David"/>
          <w:b/>
          <w:bCs/>
          <w:sz w:val="24"/>
          <w:rtl/>
        </w:rPr>
        <w:t xml:space="preserve"> </w:t>
      </w:r>
      <w:r w:rsidRPr="002B5E33">
        <w:rPr>
          <w:rFonts w:ascii="David" w:eastAsia="Times New Roman" w:hAnsi="David" w:hint="cs"/>
          <w:b/>
          <w:bCs/>
          <w:sz w:val="24"/>
          <w:rtl/>
        </w:rPr>
        <w:t>תפעל בשיתוף פעולה</w:t>
      </w:r>
      <w:r w:rsidRPr="002B5E33">
        <w:rPr>
          <w:rFonts w:ascii="David" w:eastAsia="Times New Roman" w:hAnsi="David"/>
          <w:b/>
          <w:bCs/>
          <w:sz w:val="24"/>
          <w:rtl/>
        </w:rPr>
        <w:t xml:space="preserve"> </w:t>
      </w:r>
      <w:r w:rsidRPr="002B5E33">
        <w:rPr>
          <w:rFonts w:ascii="David" w:eastAsia="Times New Roman" w:hAnsi="David" w:hint="eastAsia"/>
          <w:b/>
          <w:bCs/>
          <w:sz w:val="24"/>
          <w:rtl/>
        </w:rPr>
        <w:t>עם</w:t>
      </w:r>
      <w:r w:rsidRPr="002B5E33">
        <w:rPr>
          <w:rFonts w:ascii="David" w:eastAsia="Times New Roman" w:hAnsi="David"/>
          <w:b/>
          <w:bCs/>
          <w:sz w:val="24"/>
          <w:rtl/>
        </w:rPr>
        <w:t xml:space="preserve"> </w:t>
      </w:r>
      <w:r w:rsidRPr="002B5E33">
        <w:rPr>
          <w:rFonts w:ascii="David" w:eastAsia="Times New Roman" w:hAnsi="David" w:hint="eastAsia"/>
          <w:b/>
          <w:bCs/>
          <w:sz w:val="24"/>
          <w:rtl/>
        </w:rPr>
        <w:t>הגופים</w:t>
      </w:r>
      <w:r w:rsidRPr="002B5E33">
        <w:rPr>
          <w:rFonts w:ascii="David" w:eastAsia="Times New Roman" w:hAnsi="David"/>
          <w:b/>
          <w:bCs/>
          <w:sz w:val="24"/>
          <w:rtl/>
        </w:rPr>
        <w:t xml:space="preserve"> </w:t>
      </w:r>
      <w:r w:rsidRPr="002B5E33">
        <w:rPr>
          <w:rFonts w:ascii="David" w:eastAsia="Times New Roman" w:hAnsi="David" w:hint="eastAsia"/>
          <w:b/>
          <w:bCs/>
          <w:sz w:val="24"/>
          <w:rtl/>
        </w:rPr>
        <w:t>הנילונים</w:t>
      </w:r>
      <w:r w:rsidRPr="002B5E33">
        <w:rPr>
          <w:rFonts w:ascii="David" w:eastAsia="Times New Roman" w:hAnsi="David"/>
          <w:b/>
          <w:bCs/>
          <w:sz w:val="24"/>
          <w:rtl/>
        </w:rPr>
        <w:t xml:space="preserve"> </w:t>
      </w:r>
      <w:r w:rsidRPr="002B5E33">
        <w:rPr>
          <w:rFonts w:ascii="David" w:eastAsia="Times New Roman" w:hAnsi="David" w:hint="eastAsia"/>
          <w:b/>
          <w:bCs/>
          <w:sz w:val="24"/>
          <w:rtl/>
        </w:rPr>
        <w:t>לשם</w:t>
      </w:r>
      <w:r w:rsidRPr="002B5E33">
        <w:rPr>
          <w:rFonts w:ascii="David" w:eastAsia="Times New Roman" w:hAnsi="David"/>
          <w:b/>
          <w:bCs/>
          <w:sz w:val="24"/>
          <w:rtl/>
        </w:rPr>
        <w:t xml:space="preserve"> </w:t>
      </w:r>
      <w:r w:rsidRPr="002B5E33">
        <w:rPr>
          <w:rFonts w:ascii="David" w:eastAsia="Times New Roman" w:hAnsi="David" w:hint="eastAsia"/>
          <w:b/>
          <w:bCs/>
          <w:sz w:val="24"/>
          <w:rtl/>
        </w:rPr>
        <w:t>טיוב</w:t>
      </w:r>
      <w:r w:rsidRPr="002B5E33">
        <w:rPr>
          <w:rFonts w:ascii="David" w:eastAsia="Times New Roman" w:hAnsi="David"/>
          <w:b/>
          <w:bCs/>
          <w:sz w:val="24"/>
          <w:rtl/>
        </w:rPr>
        <w:t xml:space="preserve"> </w:t>
      </w:r>
      <w:r w:rsidRPr="002B5E33">
        <w:rPr>
          <w:rFonts w:ascii="David" w:eastAsia="Times New Roman" w:hAnsi="David" w:hint="eastAsia"/>
          <w:b/>
          <w:bCs/>
          <w:sz w:val="24"/>
          <w:rtl/>
        </w:rPr>
        <w:t>פעולותיהם</w:t>
      </w:r>
      <w:r w:rsidRPr="002B5E33">
        <w:rPr>
          <w:rFonts w:ascii="David" w:eastAsia="Times New Roman" w:hAnsi="David"/>
          <w:b/>
          <w:bCs/>
          <w:sz w:val="24"/>
          <w:rtl/>
        </w:rPr>
        <w:t xml:space="preserve"> </w:t>
      </w:r>
      <w:r w:rsidRPr="002B5E33">
        <w:rPr>
          <w:rFonts w:ascii="David" w:eastAsia="Times New Roman" w:hAnsi="David" w:hint="eastAsia"/>
          <w:b/>
          <w:bCs/>
          <w:sz w:val="24"/>
          <w:rtl/>
        </w:rPr>
        <w:t>בהתבסס</w:t>
      </w:r>
      <w:r w:rsidRPr="002B5E33">
        <w:rPr>
          <w:rFonts w:ascii="David" w:eastAsia="Times New Roman" w:hAnsi="David"/>
          <w:b/>
          <w:bCs/>
          <w:sz w:val="24"/>
          <w:rtl/>
        </w:rPr>
        <w:t xml:space="preserve"> </w:t>
      </w:r>
      <w:r w:rsidRPr="002B5E33">
        <w:rPr>
          <w:rFonts w:ascii="David" w:eastAsia="Times New Roman" w:hAnsi="David" w:hint="eastAsia"/>
          <w:b/>
          <w:bCs/>
          <w:sz w:val="24"/>
          <w:rtl/>
        </w:rPr>
        <w:t>בין</w:t>
      </w:r>
      <w:r w:rsidRPr="002B5E33">
        <w:rPr>
          <w:rFonts w:ascii="David" w:eastAsia="Times New Roman" w:hAnsi="David"/>
          <w:b/>
          <w:bCs/>
          <w:sz w:val="24"/>
          <w:rtl/>
        </w:rPr>
        <w:t xml:space="preserve"> </w:t>
      </w:r>
      <w:r w:rsidRPr="002B5E33">
        <w:rPr>
          <w:rFonts w:ascii="David" w:eastAsia="Times New Roman" w:hAnsi="David" w:hint="eastAsia"/>
          <w:b/>
          <w:bCs/>
          <w:sz w:val="24"/>
          <w:rtl/>
        </w:rPr>
        <w:t>היתר</w:t>
      </w:r>
      <w:r w:rsidRPr="002B5E33">
        <w:rPr>
          <w:rFonts w:ascii="David" w:eastAsia="Times New Roman" w:hAnsi="David"/>
          <w:b/>
          <w:bCs/>
          <w:sz w:val="24"/>
          <w:rtl/>
        </w:rPr>
        <w:t xml:space="preserve">, </w:t>
      </w:r>
      <w:r w:rsidRPr="002B5E33">
        <w:rPr>
          <w:rFonts w:ascii="David" w:eastAsia="Times New Roman" w:hAnsi="David" w:hint="eastAsia"/>
          <w:b/>
          <w:bCs/>
          <w:sz w:val="24"/>
          <w:rtl/>
        </w:rPr>
        <w:t>על</w:t>
      </w:r>
      <w:r w:rsidRPr="002B5E33">
        <w:rPr>
          <w:rFonts w:ascii="David" w:eastAsia="Times New Roman" w:hAnsi="David"/>
          <w:b/>
          <w:bCs/>
          <w:sz w:val="24"/>
          <w:rtl/>
        </w:rPr>
        <w:t xml:space="preserve"> </w:t>
      </w:r>
      <w:r w:rsidRPr="002B5E33">
        <w:rPr>
          <w:rFonts w:ascii="David" w:eastAsia="Times New Roman" w:hAnsi="David" w:hint="eastAsia"/>
          <w:b/>
          <w:bCs/>
          <w:sz w:val="24"/>
          <w:rtl/>
        </w:rPr>
        <w:t>התלונות</w:t>
      </w:r>
      <w:r w:rsidRPr="002B5E33">
        <w:rPr>
          <w:rFonts w:ascii="David" w:eastAsia="Times New Roman" w:hAnsi="David"/>
          <w:b/>
          <w:bCs/>
          <w:sz w:val="24"/>
          <w:rtl/>
        </w:rPr>
        <w:t xml:space="preserve"> </w:t>
      </w:r>
      <w:r w:rsidRPr="002B5E33">
        <w:rPr>
          <w:rFonts w:ascii="David" w:eastAsia="Times New Roman" w:hAnsi="David" w:hint="eastAsia"/>
          <w:b/>
          <w:bCs/>
          <w:sz w:val="24"/>
          <w:rtl/>
        </w:rPr>
        <w:t>שהתקבלו</w:t>
      </w:r>
      <w:r w:rsidRPr="002B5E33">
        <w:rPr>
          <w:rFonts w:ascii="David" w:eastAsia="Times New Roman" w:hAnsi="David"/>
          <w:b/>
          <w:bCs/>
          <w:sz w:val="24"/>
          <w:rtl/>
        </w:rPr>
        <w:t xml:space="preserve"> </w:t>
      </w:r>
      <w:r w:rsidRPr="002B5E33">
        <w:rPr>
          <w:rFonts w:ascii="David" w:eastAsia="Times New Roman" w:hAnsi="David" w:hint="eastAsia"/>
          <w:b/>
          <w:bCs/>
          <w:sz w:val="24"/>
          <w:rtl/>
        </w:rPr>
        <w:t>בעניינם</w:t>
      </w:r>
      <w:r w:rsidRPr="002B5E33">
        <w:rPr>
          <w:rFonts w:ascii="David" w:eastAsia="Times New Roman" w:hAnsi="David"/>
          <w:b/>
          <w:bCs/>
          <w:sz w:val="24"/>
          <w:rtl/>
        </w:rPr>
        <w:t>.</w:t>
      </w:r>
      <w:r w:rsidRPr="002B5E33">
        <w:rPr>
          <w:rFonts w:ascii="David" w:eastAsia="Times New Roman" w:hAnsi="David" w:hint="cs"/>
          <w:b/>
          <w:bCs/>
          <w:sz w:val="24"/>
          <w:rtl/>
        </w:rPr>
        <w:t xml:space="preserve"> </w:t>
      </w:r>
    </w:p>
    <w:p w:rsidR="00FA3E7D" w:rsidRPr="002B5E33" w:rsidP="00FA3E7D">
      <w:pPr>
        <w:pStyle w:val="a"/>
        <w:spacing w:line="269" w:lineRule="auto"/>
        <w:rPr>
          <w:rtl/>
        </w:rPr>
      </w:pPr>
    </w:p>
    <w:p w:rsidR="00FA3E7D" w:rsidRPr="002B5E33" w:rsidP="00FA3E7D">
      <w:pPr>
        <w:spacing w:line="269" w:lineRule="auto"/>
        <w:rPr>
          <w:rFonts w:ascii="David" w:eastAsia="Times New Roman" w:hAnsi="David"/>
          <w:sz w:val="24"/>
          <w:rtl/>
        </w:rPr>
      </w:pPr>
      <w:r w:rsidRPr="002B5E33">
        <w:rPr>
          <w:rFonts w:ascii="David" w:eastAsia="Times New Roman" w:hAnsi="David" w:hint="cs"/>
          <w:sz w:val="24"/>
          <w:rtl/>
        </w:rPr>
        <w:t>בתשובת רשות שוק ההון נכתב כי "בהתאם להמלצת המבקר, נשקול פרסום הפניות בפורמט הנגיש בצורה ישירה שלא דרך הדוח".</w:t>
      </w:r>
    </w:p>
    <w:p w:rsidR="00FA3E7D" w:rsidRPr="002B5E33" w:rsidP="00FA3E7D">
      <w:pPr>
        <w:pStyle w:val="a"/>
        <w:spacing w:line="269" w:lineRule="auto"/>
      </w:pPr>
    </w:p>
    <w:p w:rsidR="00FA3E7D" w:rsidRPr="002B5E33" w:rsidP="00FA3E7D">
      <w:pPr>
        <w:pStyle w:val="Heading4"/>
        <w:spacing w:before="0" w:line="269" w:lineRule="auto"/>
        <w:rPr>
          <w:rtl/>
        </w:rPr>
      </w:pPr>
      <w:r w:rsidRPr="002B5E33">
        <w:rPr>
          <w:rFonts w:hint="cs"/>
          <w:rtl/>
        </w:rPr>
        <w:t>דרכי בירור התלונות ברשות שוק ההון</w:t>
      </w:r>
    </w:p>
    <w:p w:rsidR="00FA3E7D" w:rsidP="00FA3E7D">
      <w:pPr>
        <w:pStyle w:val="a"/>
        <w:rPr>
          <w:rtl/>
        </w:rPr>
      </w:pPr>
    </w:p>
    <w:p w:rsidR="00FA3E7D" w:rsidRPr="002B5E33" w:rsidP="00FA3E7D">
      <w:pPr>
        <w:spacing w:line="269" w:lineRule="auto"/>
        <w:rPr>
          <w:sz w:val="24"/>
          <w:rtl/>
        </w:rPr>
      </w:pPr>
      <w:r w:rsidRPr="002B5E33">
        <w:rPr>
          <w:rFonts w:hint="cs"/>
          <w:sz w:val="24"/>
          <w:rtl/>
        </w:rPr>
        <w:t xml:space="preserve">המסלול שבו מתברר הרוב המכריע של התלונות מכונה ברשות שוק ההון "מסלול מיצוי הליכים" (להלן </w:t>
      </w:r>
      <w:r w:rsidRPr="002B5E33">
        <w:rPr>
          <w:sz w:val="24"/>
          <w:rtl/>
        </w:rPr>
        <w:t>–</w:t>
      </w:r>
      <w:r w:rsidRPr="002B5E33">
        <w:rPr>
          <w:rFonts w:hint="cs"/>
          <w:sz w:val="24"/>
          <w:rtl/>
        </w:rPr>
        <w:t xml:space="preserve"> מצ"ה). במסלול זה, לאחר קליטת התלונה במערכת הממוחשבת של הרשות</w:t>
      </w:r>
      <w:r>
        <w:rPr>
          <w:rStyle w:val="FootnoteReference"/>
          <w:sz w:val="24"/>
          <w:rtl/>
        </w:rPr>
        <w:footnoteReference w:id="98"/>
      </w:r>
      <w:r w:rsidRPr="002B5E33">
        <w:rPr>
          <w:rFonts w:hint="cs"/>
          <w:sz w:val="24"/>
          <w:rtl/>
        </w:rPr>
        <w:t xml:space="preserve"> היא מועברת על ידי הצוות המינהלי של הרשות אל הגוף המפוקח, וזה נדרש להתייחס לתלונה.</w:t>
      </w:r>
    </w:p>
    <w:p w:rsidR="00FA3E7D" w:rsidRPr="002B5E33" w:rsidP="00FA3E7D">
      <w:pPr>
        <w:pStyle w:val="a"/>
        <w:spacing w:line="269" w:lineRule="auto"/>
        <w:rPr>
          <w:rtl/>
        </w:rPr>
      </w:pPr>
    </w:p>
    <w:p w:rsidR="00FA3E7D" w:rsidRPr="002B5E33" w:rsidP="00FA3E7D">
      <w:pPr>
        <w:spacing w:line="269" w:lineRule="auto"/>
        <w:rPr>
          <w:sz w:val="24"/>
          <w:rtl/>
        </w:rPr>
      </w:pPr>
      <w:r w:rsidRPr="002B5E33">
        <w:rPr>
          <w:rFonts w:hint="cs"/>
          <w:sz w:val="24"/>
          <w:rtl/>
        </w:rPr>
        <w:t>תגובת הגוף המפוקח מועברת אל רשות שוק ההון ואל המתלונן. אם המתלונן אינו שבע רצון ממנה הוא רשאי לשוב ולפנות אל הרשות תוך התייחסות לתשובת הגוף המפוקח. במקרה כזה התלונה מופנית לבירור ולהכרעה לגורם מקצועי במחלקה הרלוונטית ברשות שוק ההון.</w:t>
      </w:r>
    </w:p>
    <w:p w:rsidR="00FA3E7D" w:rsidRPr="002B5E33" w:rsidP="00FA3E7D">
      <w:pPr>
        <w:pStyle w:val="a"/>
        <w:spacing w:line="269" w:lineRule="auto"/>
        <w:rPr>
          <w:rtl/>
        </w:rPr>
      </w:pPr>
    </w:p>
    <w:p w:rsidR="00FA3E7D" w:rsidRPr="002B5E33" w:rsidP="00FA3E7D">
      <w:pPr>
        <w:spacing w:line="269" w:lineRule="auto"/>
        <w:rPr>
          <w:sz w:val="24"/>
          <w:rtl/>
        </w:rPr>
      </w:pPr>
      <w:r w:rsidRPr="002B5E33">
        <w:rPr>
          <w:rFonts w:hint="cs"/>
          <w:sz w:val="24"/>
          <w:rtl/>
        </w:rPr>
        <w:t>ההכרעות האפשריות בתלונות מסווגות לקטגוריות שלהלן:</w:t>
      </w:r>
    </w:p>
    <w:p w:rsidR="00FA3E7D" w:rsidRPr="002B5E33" w:rsidP="00FA3E7D">
      <w:pPr>
        <w:pStyle w:val="a"/>
        <w:spacing w:line="269" w:lineRule="auto"/>
        <w:rPr>
          <w:rtl/>
        </w:rPr>
      </w:pPr>
    </w:p>
    <w:p w:rsidR="00FA3E7D" w:rsidRPr="002B5E33" w:rsidP="00FA3E7D">
      <w:pPr>
        <w:pStyle w:val="ListParagraph"/>
        <w:numPr>
          <w:ilvl w:val="0"/>
          <w:numId w:val="9"/>
        </w:numPr>
        <w:spacing w:after="0" w:line="269" w:lineRule="auto"/>
        <w:jc w:val="both"/>
        <w:rPr>
          <w:rFonts w:cs="David"/>
          <w:sz w:val="24"/>
          <w:szCs w:val="24"/>
        </w:rPr>
      </w:pPr>
      <w:r w:rsidRPr="002B5E33">
        <w:rPr>
          <w:rStyle w:val="6"/>
          <w:rFonts w:cs="David" w:hint="cs"/>
          <w:sz w:val="24"/>
          <w:szCs w:val="24"/>
          <w:rtl/>
        </w:rPr>
        <w:t>תלונות שנמצא בהן ממש</w:t>
      </w:r>
      <w:r>
        <w:rPr>
          <w:rFonts w:ascii="David" w:hAnsi="David" w:cs="David" w:hint="cs"/>
          <w:b/>
          <w:bCs/>
          <w:sz w:val="24"/>
          <w:szCs w:val="24"/>
          <w:rtl/>
        </w:rPr>
        <w:t xml:space="preserve">: </w:t>
      </w:r>
      <w:r w:rsidRPr="002B5E33">
        <w:rPr>
          <w:rFonts w:cs="David" w:hint="cs"/>
          <w:sz w:val="24"/>
          <w:szCs w:val="24"/>
          <w:rtl/>
        </w:rPr>
        <w:t>תלונות שבהן ניתן סעד כלשהו למתלונן</w:t>
      </w:r>
      <w:r>
        <w:rPr>
          <w:rStyle w:val="FootnoteReference"/>
          <w:rFonts w:cs="David"/>
          <w:sz w:val="24"/>
          <w:szCs w:val="24"/>
          <w:rtl/>
        </w:rPr>
        <w:footnoteReference w:id="99"/>
      </w:r>
      <w:r w:rsidRPr="002B5E33">
        <w:rPr>
          <w:rFonts w:cs="David" w:hint="cs"/>
          <w:sz w:val="24"/>
          <w:szCs w:val="24"/>
          <w:rtl/>
        </w:rPr>
        <w:t xml:space="preserve">; </w:t>
      </w:r>
    </w:p>
    <w:p w:rsidR="00FA3E7D" w:rsidRPr="002B5E33" w:rsidP="00713415">
      <w:pPr>
        <w:pStyle w:val="ListParagraph"/>
        <w:numPr>
          <w:ilvl w:val="0"/>
          <w:numId w:val="9"/>
        </w:numPr>
        <w:spacing w:after="0" w:line="269" w:lineRule="auto"/>
        <w:jc w:val="both"/>
        <w:rPr>
          <w:rFonts w:cs="David"/>
          <w:sz w:val="24"/>
          <w:szCs w:val="24"/>
          <w:rtl/>
        </w:rPr>
      </w:pPr>
      <w:r w:rsidRPr="002B5E33">
        <w:rPr>
          <w:rStyle w:val="6"/>
          <w:rFonts w:cs="David" w:hint="cs"/>
          <w:sz w:val="24"/>
          <w:szCs w:val="24"/>
          <w:rtl/>
        </w:rPr>
        <w:t>תלונות שבהן לא נמצא מקום להתערבות הרשות</w:t>
      </w:r>
      <w:r>
        <w:rPr>
          <w:rFonts w:ascii="David" w:hAnsi="David" w:cs="David" w:hint="cs"/>
          <w:b/>
          <w:bCs/>
          <w:sz w:val="24"/>
          <w:szCs w:val="24"/>
          <w:rtl/>
        </w:rPr>
        <w:t>:</w:t>
      </w:r>
      <w:r w:rsidR="00713415">
        <w:rPr>
          <w:rFonts w:cs="David" w:hint="cs"/>
          <w:sz w:val="24"/>
          <w:szCs w:val="24"/>
          <w:rtl/>
        </w:rPr>
        <w:t xml:space="preserve"> </w:t>
      </w:r>
      <w:r w:rsidRPr="002B5E33">
        <w:rPr>
          <w:rFonts w:cs="David" w:hint="cs"/>
          <w:sz w:val="24"/>
          <w:szCs w:val="24"/>
          <w:rtl/>
        </w:rPr>
        <w:t>תלונות שבהן קבעה הרשות כי הגורם המפוקח נהג בעניינו של המתלונן על פי דין;</w:t>
      </w:r>
    </w:p>
    <w:p w:rsidR="00FA3E7D" w:rsidRPr="002B5E33" w:rsidP="00FA3E7D">
      <w:pPr>
        <w:pStyle w:val="ListParagraph"/>
        <w:numPr>
          <w:ilvl w:val="0"/>
          <w:numId w:val="9"/>
        </w:numPr>
        <w:spacing w:after="0" w:line="269" w:lineRule="auto"/>
        <w:jc w:val="both"/>
        <w:rPr>
          <w:rFonts w:cs="David"/>
          <w:sz w:val="24"/>
          <w:szCs w:val="24"/>
          <w:rtl/>
        </w:rPr>
      </w:pPr>
      <w:r w:rsidRPr="002B5E33">
        <w:rPr>
          <w:rStyle w:val="6"/>
          <w:rFonts w:cs="David" w:hint="cs"/>
          <w:sz w:val="24"/>
          <w:szCs w:val="24"/>
          <w:rtl/>
        </w:rPr>
        <w:t>תלונות שנסגרו מאחר שהמתלונן לא חלק על עמדת הגוף המפוקח;</w:t>
      </w:r>
      <w:r w:rsidRPr="002B5E33">
        <w:rPr>
          <w:rFonts w:cs="David" w:hint="cs"/>
          <w:sz w:val="24"/>
          <w:szCs w:val="24"/>
          <w:rtl/>
        </w:rPr>
        <w:t xml:space="preserve"> </w:t>
      </w:r>
    </w:p>
    <w:p w:rsidR="00FA3E7D" w:rsidRPr="002B5E33" w:rsidP="00713415">
      <w:pPr>
        <w:pStyle w:val="ListParagraph"/>
        <w:numPr>
          <w:ilvl w:val="0"/>
          <w:numId w:val="9"/>
        </w:numPr>
        <w:spacing w:after="0" w:line="269" w:lineRule="auto"/>
        <w:jc w:val="both"/>
        <w:rPr>
          <w:rFonts w:cs="David"/>
          <w:sz w:val="24"/>
          <w:szCs w:val="24"/>
        </w:rPr>
      </w:pPr>
      <w:r w:rsidRPr="002B5E33">
        <w:rPr>
          <w:rStyle w:val="6"/>
          <w:rFonts w:cs="David" w:hint="eastAsia"/>
          <w:sz w:val="24"/>
          <w:szCs w:val="24"/>
          <w:rtl/>
        </w:rPr>
        <w:t>תלונות</w:t>
      </w:r>
      <w:r w:rsidRPr="002B5E33">
        <w:rPr>
          <w:rStyle w:val="6"/>
          <w:rFonts w:cs="David"/>
          <w:sz w:val="24"/>
          <w:szCs w:val="24"/>
          <w:rtl/>
        </w:rPr>
        <w:t xml:space="preserve"> שלא ניתן היה להכריע בהן</w:t>
      </w:r>
      <w:r>
        <w:rPr>
          <w:rFonts w:ascii="David" w:hAnsi="David" w:cs="David" w:hint="cs"/>
          <w:b/>
          <w:bCs/>
          <w:sz w:val="24"/>
          <w:szCs w:val="24"/>
          <w:rtl/>
        </w:rPr>
        <w:t xml:space="preserve">: </w:t>
      </w:r>
      <w:r w:rsidRPr="002B5E33">
        <w:rPr>
          <w:rFonts w:cs="David"/>
          <w:sz w:val="24"/>
          <w:szCs w:val="24"/>
          <w:rtl/>
        </w:rPr>
        <w:t>תלונות שבירורן הסתיים בלי שנקבעה בהן עמדה</w:t>
      </w:r>
      <w:r w:rsidRPr="002B5E33">
        <w:rPr>
          <w:rFonts w:cs="David" w:hint="cs"/>
          <w:sz w:val="24"/>
          <w:szCs w:val="24"/>
          <w:rtl/>
        </w:rPr>
        <w:t xml:space="preserve">; </w:t>
      </w:r>
    </w:p>
    <w:p w:rsidR="00FA3E7D" w:rsidRPr="002B5E33" w:rsidP="00FA3E7D">
      <w:pPr>
        <w:pStyle w:val="ListParagraph"/>
        <w:numPr>
          <w:ilvl w:val="0"/>
          <w:numId w:val="9"/>
        </w:numPr>
        <w:spacing w:after="0" w:line="269" w:lineRule="auto"/>
        <w:jc w:val="both"/>
        <w:rPr>
          <w:rFonts w:cs="David"/>
          <w:sz w:val="24"/>
          <w:szCs w:val="24"/>
        </w:rPr>
      </w:pPr>
      <w:r w:rsidRPr="002B5E33">
        <w:rPr>
          <w:rStyle w:val="6"/>
          <w:rFonts w:cs="David" w:hint="eastAsia"/>
          <w:sz w:val="24"/>
          <w:szCs w:val="24"/>
          <w:rtl/>
        </w:rPr>
        <w:t>תלונות</w:t>
      </w:r>
      <w:r w:rsidRPr="002B5E33">
        <w:rPr>
          <w:rStyle w:val="6"/>
          <w:rFonts w:cs="David"/>
          <w:sz w:val="24"/>
          <w:szCs w:val="24"/>
          <w:rtl/>
        </w:rPr>
        <w:t xml:space="preserve"> שהטיפול בהן הסתיים עקב מחלוקת עובדתית</w:t>
      </w:r>
      <w:r>
        <w:rPr>
          <w:rFonts w:ascii="David" w:hAnsi="David" w:cs="David" w:hint="cs"/>
          <w:b/>
          <w:bCs/>
          <w:sz w:val="24"/>
          <w:szCs w:val="24"/>
          <w:rtl/>
        </w:rPr>
        <w:t>:</w:t>
      </w:r>
      <w:r>
        <w:rPr>
          <w:rFonts w:cs="David" w:hint="cs"/>
          <w:sz w:val="24"/>
          <w:szCs w:val="24"/>
          <w:rtl/>
        </w:rPr>
        <w:t xml:space="preserve"> </w:t>
      </w:r>
      <w:r w:rsidRPr="002B5E33">
        <w:rPr>
          <w:rFonts w:cs="David"/>
          <w:sz w:val="24"/>
          <w:szCs w:val="24"/>
          <w:rtl/>
        </w:rPr>
        <w:t xml:space="preserve">תלונות שבהן קיימת מחלוקת </w:t>
      </w:r>
      <w:r w:rsidRPr="002B5E33">
        <w:rPr>
          <w:rFonts w:cs="David" w:hint="cs"/>
          <w:sz w:val="24"/>
          <w:szCs w:val="24"/>
          <w:rtl/>
        </w:rPr>
        <w:t>על העובדות עצמן</w:t>
      </w:r>
      <w:r w:rsidRPr="002B5E33">
        <w:rPr>
          <w:rFonts w:cs="David"/>
          <w:sz w:val="24"/>
          <w:szCs w:val="24"/>
          <w:rtl/>
        </w:rPr>
        <w:t xml:space="preserve"> בין המתלונן ובין הגוף המפוקח, </w:t>
      </w:r>
      <w:r w:rsidRPr="002B5E33">
        <w:rPr>
          <w:rFonts w:cs="David" w:hint="cs"/>
          <w:sz w:val="24"/>
          <w:szCs w:val="24"/>
          <w:rtl/>
        </w:rPr>
        <w:t>ו</w:t>
      </w:r>
      <w:r w:rsidRPr="002B5E33">
        <w:rPr>
          <w:rFonts w:cs="David"/>
          <w:sz w:val="24"/>
          <w:szCs w:val="24"/>
          <w:rtl/>
        </w:rPr>
        <w:t>ב</w:t>
      </w:r>
      <w:r w:rsidRPr="002B5E33">
        <w:rPr>
          <w:rFonts w:cs="David" w:hint="cs"/>
          <w:sz w:val="24"/>
          <w:szCs w:val="24"/>
          <w:rtl/>
        </w:rPr>
        <w:t>הן</w:t>
      </w:r>
      <w:r w:rsidRPr="002B5E33">
        <w:rPr>
          <w:rFonts w:cs="David"/>
          <w:sz w:val="24"/>
          <w:szCs w:val="24"/>
          <w:rtl/>
        </w:rPr>
        <w:t xml:space="preserve"> אין הרשות יכולה להכריע מבלי להעדיף גרסה </w:t>
      </w:r>
      <w:r w:rsidRPr="002B5E33">
        <w:rPr>
          <w:rFonts w:cs="David" w:hint="cs"/>
          <w:sz w:val="24"/>
          <w:szCs w:val="24"/>
          <w:rtl/>
        </w:rPr>
        <w:t xml:space="preserve">של אחד מהצדדים; </w:t>
      </w:r>
    </w:p>
    <w:p w:rsidR="00FA3E7D" w:rsidRPr="002B5E33" w:rsidP="00FA3E7D">
      <w:pPr>
        <w:pStyle w:val="ListParagraph"/>
        <w:numPr>
          <w:ilvl w:val="0"/>
          <w:numId w:val="9"/>
        </w:numPr>
        <w:spacing w:after="0" w:line="269" w:lineRule="auto"/>
        <w:jc w:val="both"/>
        <w:rPr>
          <w:rFonts w:cs="David"/>
          <w:sz w:val="24"/>
          <w:szCs w:val="24"/>
        </w:rPr>
      </w:pPr>
      <w:r w:rsidRPr="002B5E33">
        <w:rPr>
          <w:rStyle w:val="6"/>
          <w:rFonts w:cs="David" w:hint="cs"/>
          <w:sz w:val="24"/>
          <w:szCs w:val="24"/>
          <w:rtl/>
        </w:rPr>
        <w:t>תלונות שנדונו בבתי משפט</w:t>
      </w:r>
      <w:r>
        <w:rPr>
          <w:rFonts w:ascii="David" w:hAnsi="David" w:cs="David" w:hint="cs"/>
          <w:b/>
          <w:bCs/>
          <w:sz w:val="24"/>
          <w:szCs w:val="24"/>
          <w:rtl/>
        </w:rPr>
        <w:t>:</w:t>
      </w:r>
      <w:r>
        <w:rPr>
          <w:rFonts w:cs="David" w:hint="cs"/>
          <w:sz w:val="24"/>
          <w:szCs w:val="24"/>
          <w:rtl/>
        </w:rPr>
        <w:t xml:space="preserve"> </w:t>
      </w:r>
      <w:r w:rsidRPr="002B5E33">
        <w:rPr>
          <w:rFonts w:cs="David" w:hint="cs"/>
          <w:sz w:val="24"/>
          <w:szCs w:val="24"/>
          <w:rtl/>
        </w:rPr>
        <w:t xml:space="preserve">תלונות שהטיפול בהן הסתיים עקב דיון שהחל בערכאות משפטיות בין המתלונן לגוף המפוקח; </w:t>
      </w:r>
    </w:p>
    <w:p w:rsidR="00FA3E7D" w:rsidRPr="002B5E33" w:rsidP="00FA3E7D">
      <w:pPr>
        <w:pStyle w:val="ListParagraph"/>
        <w:numPr>
          <w:ilvl w:val="0"/>
          <w:numId w:val="9"/>
        </w:numPr>
        <w:spacing w:after="0" w:line="269" w:lineRule="auto"/>
        <w:jc w:val="both"/>
        <w:rPr>
          <w:rFonts w:cs="David"/>
          <w:sz w:val="24"/>
          <w:szCs w:val="24"/>
        </w:rPr>
      </w:pPr>
      <w:r w:rsidRPr="002B5E33">
        <w:rPr>
          <w:rStyle w:val="6"/>
          <w:rFonts w:cs="David" w:hint="cs"/>
          <w:sz w:val="24"/>
          <w:szCs w:val="24"/>
          <w:rtl/>
        </w:rPr>
        <w:t>תלונות בנושאים שאינם באחריות רשות שוק ההון</w:t>
      </w:r>
      <w:r>
        <w:rPr>
          <w:rFonts w:ascii="David" w:hAnsi="David" w:cs="David" w:hint="cs"/>
          <w:b/>
          <w:bCs/>
          <w:sz w:val="24"/>
          <w:szCs w:val="24"/>
          <w:rtl/>
        </w:rPr>
        <w:t>:</w:t>
      </w:r>
      <w:r>
        <w:rPr>
          <w:rFonts w:cs="David" w:hint="cs"/>
          <w:sz w:val="24"/>
          <w:szCs w:val="24"/>
          <w:rtl/>
        </w:rPr>
        <w:t xml:space="preserve"> </w:t>
      </w:r>
      <w:r w:rsidRPr="002B5E33">
        <w:rPr>
          <w:rFonts w:cs="David" w:hint="cs"/>
          <w:sz w:val="24"/>
          <w:szCs w:val="24"/>
          <w:rtl/>
        </w:rPr>
        <w:t xml:space="preserve">תלונות אלו מועברות לטיפול הרשות המוסמכת; </w:t>
      </w:r>
    </w:p>
    <w:p w:rsidR="00FA3E7D" w:rsidRPr="002B5E33" w:rsidP="00FA3E7D">
      <w:pPr>
        <w:pStyle w:val="ListParagraph"/>
        <w:numPr>
          <w:ilvl w:val="0"/>
          <w:numId w:val="9"/>
        </w:numPr>
        <w:spacing w:after="0" w:line="269" w:lineRule="auto"/>
        <w:jc w:val="both"/>
        <w:rPr>
          <w:rFonts w:cs="David"/>
          <w:sz w:val="24"/>
          <w:szCs w:val="24"/>
        </w:rPr>
      </w:pPr>
      <w:r w:rsidRPr="002B5E33">
        <w:rPr>
          <w:rStyle w:val="6"/>
          <w:rFonts w:cs="David" w:hint="cs"/>
          <w:sz w:val="24"/>
          <w:szCs w:val="24"/>
          <w:rtl/>
        </w:rPr>
        <w:t>תלונות שנסגרו עקב חוסר מעש של המתלונן</w:t>
      </w:r>
      <w:r>
        <w:rPr>
          <w:rFonts w:ascii="David" w:hAnsi="David" w:cs="David" w:hint="cs"/>
          <w:b/>
          <w:bCs/>
          <w:sz w:val="24"/>
          <w:szCs w:val="24"/>
          <w:rtl/>
        </w:rPr>
        <w:t>:</w:t>
      </w:r>
      <w:r w:rsidRPr="002B5E33">
        <w:rPr>
          <w:rFonts w:ascii="David" w:hAnsi="David" w:cs="David"/>
          <w:b/>
          <w:bCs/>
          <w:sz w:val="24"/>
          <w:szCs w:val="24"/>
          <w:rtl/>
        </w:rPr>
        <w:t xml:space="preserve"> </w:t>
      </w:r>
      <w:r w:rsidRPr="002B5E33">
        <w:rPr>
          <w:rFonts w:cs="David" w:hint="cs"/>
          <w:sz w:val="24"/>
          <w:szCs w:val="24"/>
          <w:rtl/>
        </w:rPr>
        <w:t>תלונות שבהן המתלונן לא המציא לרשות מסמכים נוספים לצורך בירור התלונה</w:t>
      </w:r>
      <w:r w:rsidRPr="002B5E33">
        <w:rPr>
          <w:rFonts w:ascii="David" w:hAnsi="David" w:cs="David" w:hint="cs"/>
          <w:sz w:val="24"/>
          <w:szCs w:val="24"/>
          <w:rtl/>
        </w:rPr>
        <w:t xml:space="preserve"> </w:t>
      </w:r>
      <w:r w:rsidRPr="002B5E33">
        <w:rPr>
          <w:rFonts w:cs="David" w:hint="cs"/>
          <w:sz w:val="24"/>
          <w:szCs w:val="24"/>
          <w:rtl/>
        </w:rPr>
        <w:t xml:space="preserve">אף שהתבקש לעשות זאת; </w:t>
      </w:r>
    </w:p>
    <w:p w:rsidR="00FA3E7D" w:rsidRPr="002B5E33" w:rsidP="00FA3E7D">
      <w:pPr>
        <w:pStyle w:val="ListParagraph"/>
        <w:numPr>
          <w:ilvl w:val="0"/>
          <w:numId w:val="9"/>
        </w:numPr>
        <w:spacing w:after="0" w:line="269" w:lineRule="auto"/>
        <w:jc w:val="both"/>
        <w:rPr>
          <w:rFonts w:cs="David"/>
          <w:sz w:val="24"/>
          <w:szCs w:val="24"/>
          <w:rtl/>
        </w:rPr>
      </w:pPr>
      <w:r w:rsidRPr="002B5E33">
        <w:rPr>
          <w:rStyle w:val="6"/>
          <w:rFonts w:cs="David" w:hint="cs"/>
          <w:sz w:val="24"/>
          <w:szCs w:val="24"/>
          <w:rtl/>
        </w:rPr>
        <w:t>תלונות שנסגרו מסיבות אחרות</w:t>
      </w:r>
      <w:r>
        <w:rPr>
          <w:rFonts w:ascii="David" w:hAnsi="David" w:cs="David" w:hint="cs"/>
          <w:b/>
          <w:bCs/>
          <w:sz w:val="24"/>
          <w:szCs w:val="24"/>
          <w:rtl/>
        </w:rPr>
        <w:t xml:space="preserve">: </w:t>
      </w:r>
      <w:r w:rsidRPr="002B5E33">
        <w:rPr>
          <w:rFonts w:cs="David" w:hint="cs"/>
          <w:sz w:val="24"/>
          <w:szCs w:val="24"/>
          <w:rtl/>
        </w:rPr>
        <w:t>תלונות שנסגרו מסיבות מנהליות</w:t>
      </w:r>
      <w:r>
        <w:rPr>
          <w:rStyle w:val="FootnoteReference"/>
          <w:rFonts w:cs="David"/>
          <w:sz w:val="24"/>
          <w:szCs w:val="24"/>
          <w:rtl/>
        </w:rPr>
        <w:footnoteReference w:id="100"/>
      </w:r>
      <w:r w:rsidRPr="002B5E33">
        <w:rPr>
          <w:rFonts w:cs="David" w:hint="cs"/>
          <w:sz w:val="24"/>
          <w:szCs w:val="24"/>
          <w:rtl/>
        </w:rPr>
        <w:t>.</w:t>
      </w:r>
    </w:p>
    <w:p w:rsidR="00FA3E7D" w:rsidRPr="002B5E33" w:rsidP="00FA3E7D">
      <w:pPr>
        <w:pStyle w:val="a"/>
        <w:spacing w:line="269" w:lineRule="auto"/>
        <w:rPr>
          <w:rtl/>
        </w:rPr>
      </w:pPr>
    </w:p>
    <w:p w:rsidR="00FA3E7D" w:rsidRPr="002B5E33" w:rsidP="00FA3E7D">
      <w:pPr>
        <w:bidi w:val="0"/>
        <w:spacing w:line="269" w:lineRule="auto"/>
        <w:jc w:val="right"/>
      </w:pPr>
      <w:r w:rsidRPr="002B5E33">
        <w:rPr>
          <w:rFonts w:hint="cs"/>
          <w:rtl/>
        </w:rPr>
        <w:t>בתרשים שלהלן מוצגים נתונים על דרכי סגירת התלונות בתחום ביטוחי הבריאות ברשות שוק ההון בשנים 2015 - 2018:</w:t>
      </w:r>
    </w:p>
    <w:p w:rsidR="00FA3E7D" w:rsidRPr="002B5E33" w:rsidP="00FA3E7D">
      <w:pPr>
        <w:pStyle w:val="a"/>
        <w:spacing w:line="269" w:lineRule="auto"/>
        <w:rPr>
          <w:rtl/>
        </w:rPr>
      </w:pPr>
    </w:p>
    <w:p w:rsidR="00FB2614" w:rsidP="00FB2614">
      <w:pPr>
        <w:spacing w:line="269" w:lineRule="auto"/>
        <w:jc w:val="center"/>
        <w:rPr>
          <w:b/>
          <w:bCs/>
          <w:sz w:val="24"/>
          <w:rtl/>
        </w:rPr>
      </w:pPr>
    </w:p>
    <w:p w:rsidR="00FA3E7D" w:rsidRPr="002B5E33" w:rsidP="00FB2614">
      <w:pPr>
        <w:spacing w:line="269" w:lineRule="auto"/>
        <w:jc w:val="center"/>
        <w:rPr>
          <w:b/>
          <w:bCs/>
          <w:sz w:val="24"/>
          <w:rtl/>
        </w:rPr>
      </w:pPr>
      <w:r w:rsidRPr="002B5E33">
        <w:rPr>
          <w:rFonts w:hint="cs"/>
          <w:b/>
          <w:bCs/>
          <w:sz w:val="24"/>
          <w:rtl/>
        </w:rPr>
        <w:t>תרשים 15</w:t>
      </w:r>
      <w:r w:rsidR="00FB2614">
        <w:rPr>
          <w:rFonts w:hint="cs"/>
          <w:b/>
          <w:bCs/>
          <w:sz w:val="24"/>
          <w:rtl/>
        </w:rPr>
        <w:t xml:space="preserve">: </w:t>
      </w:r>
      <w:r w:rsidRPr="002B5E33">
        <w:rPr>
          <w:rFonts w:hint="cs"/>
          <w:b/>
          <w:bCs/>
          <w:sz w:val="24"/>
          <w:rtl/>
        </w:rPr>
        <w:t>התפלגות התלונות</w:t>
      </w:r>
      <w:r>
        <w:rPr>
          <w:rFonts w:hint="cs"/>
          <w:b/>
          <w:bCs/>
          <w:sz w:val="24"/>
          <w:rtl/>
        </w:rPr>
        <w:t xml:space="preserve"> </w:t>
      </w:r>
      <w:r w:rsidRPr="002B5E33">
        <w:rPr>
          <w:rFonts w:hint="cs"/>
          <w:b/>
          <w:bCs/>
          <w:sz w:val="24"/>
          <w:rtl/>
        </w:rPr>
        <w:t>לרשות שוק ההון בתחומי ביטוח הבריאות והתאונות האישיות שהטיפול בהן הסתיים בשנים 2018-2015 על פי סיווג אופן סיום הטיפול בהן (באחוזים)</w:t>
      </w:r>
    </w:p>
    <w:p w:rsidR="00FA3E7D" w:rsidRPr="002B5E33" w:rsidP="00E755DE">
      <w:pPr>
        <w:spacing w:before="120" w:after="120" w:line="269" w:lineRule="auto"/>
        <w:jc w:val="center"/>
        <w:rPr>
          <w:b/>
          <w:bCs/>
          <w:sz w:val="24"/>
        </w:rPr>
      </w:pPr>
      <w:r>
        <w:rPr>
          <w:b/>
          <w:bCs/>
          <w:noProof/>
          <w:sz w:val="24"/>
        </w:rPr>
        <w:drawing>
          <wp:inline distT="0" distB="0" distL="0" distR="0">
            <wp:extent cx="5220335" cy="581279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15689" name="ביטוחי בריאות גל2.jp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5812790"/>
                    </a:xfrm>
                    <a:prstGeom prst="rect">
                      <a:avLst/>
                    </a:prstGeom>
                  </pic:spPr>
                </pic:pic>
              </a:graphicData>
            </a:graphic>
          </wp:inline>
        </w:drawing>
      </w:r>
    </w:p>
    <w:p w:rsidR="00FA3E7D" w:rsidRPr="00F13852" w:rsidP="00E755DE">
      <w:pPr>
        <w:spacing w:line="269" w:lineRule="auto"/>
        <w:jc w:val="left"/>
        <w:rPr>
          <w:sz w:val="22"/>
          <w:szCs w:val="22"/>
        </w:rPr>
      </w:pPr>
      <w:r w:rsidRPr="00F13852">
        <w:rPr>
          <w:rFonts w:hint="eastAsia"/>
          <w:sz w:val="22"/>
          <w:szCs w:val="22"/>
          <w:rtl/>
        </w:rPr>
        <w:t>מקור</w:t>
      </w:r>
      <w:r w:rsidRPr="00F13852">
        <w:rPr>
          <w:sz w:val="22"/>
          <w:szCs w:val="22"/>
          <w:rtl/>
        </w:rPr>
        <w:t xml:space="preserve">: </w:t>
      </w:r>
      <w:r w:rsidRPr="00F13852">
        <w:rPr>
          <w:rFonts w:hint="eastAsia"/>
          <w:sz w:val="22"/>
          <w:szCs w:val="22"/>
          <w:rtl/>
        </w:rPr>
        <w:t>נתוני</w:t>
      </w:r>
      <w:r w:rsidRPr="00F13852">
        <w:rPr>
          <w:sz w:val="22"/>
          <w:szCs w:val="22"/>
          <w:rtl/>
        </w:rPr>
        <w:t xml:space="preserve"> </w:t>
      </w:r>
      <w:r w:rsidRPr="00F13852">
        <w:rPr>
          <w:rFonts w:hint="eastAsia"/>
          <w:sz w:val="22"/>
          <w:szCs w:val="22"/>
          <w:rtl/>
        </w:rPr>
        <w:t>רשות</w:t>
      </w:r>
      <w:r w:rsidRPr="00F13852">
        <w:rPr>
          <w:sz w:val="22"/>
          <w:szCs w:val="22"/>
          <w:rtl/>
        </w:rPr>
        <w:t xml:space="preserve"> </w:t>
      </w:r>
      <w:r w:rsidRPr="00F13852">
        <w:rPr>
          <w:rFonts w:hint="eastAsia"/>
          <w:sz w:val="22"/>
          <w:szCs w:val="22"/>
          <w:rtl/>
        </w:rPr>
        <w:t>שוק</w:t>
      </w:r>
      <w:r w:rsidRPr="00F13852">
        <w:rPr>
          <w:sz w:val="22"/>
          <w:szCs w:val="22"/>
          <w:rtl/>
        </w:rPr>
        <w:t xml:space="preserve"> </w:t>
      </w:r>
      <w:r w:rsidRPr="00F13852">
        <w:rPr>
          <w:rFonts w:hint="eastAsia"/>
          <w:sz w:val="22"/>
          <w:szCs w:val="22"/>
          <w:rtl/>
        </w:rPr>
        <w:t>ההון</w:t>
      </w:r>
      <w:r w:rsidRPr="00F13852">
        <w:rPr>
          <w:sz w:val="22"/>
          <w:szCs w:val="22"/>
          <w:rtl/>
        </w:rPr>
        <w:t xml:space="preserve">, </w:t>
      </w:r>
      <w:r w:rsidRPr="00F13852">
        <w:rPr>
          <w:rFonts w:hint="eastAsia"/>
          <w:sz w:val="22"/>
          <w:szCs w:val="22"/>
          <w:rtl/>
        </w:rPr>
        <w:t>בעיבוד</w:t>
      </w:r>
      <w:r w:rsidRPr="00F13852">
        <w:rPr>
          <w:sz w:val="22"/>
          <w:szCs w:val="22"/>
          <w:rtl/>
        </w:rPr>
        <w:t xml:space="preserve"> </w:t>
      </w:r>
      <w:r w:rsidRPr="00F13852">
        <w:rPr>
          <w:rFonts w:hint="eastAsia"/>
          <w:sz w:val="22"/>
          <w:szCs w:val="22"/>
          <w:rtl/>
        </w:rPr>
        <w:t>משרד</w:t>
      </w:r>
      <w:r w:rsidRPr="00F13852">
        <w:rPr>
          <w:sz w:val="22"/>
          <w:szCs w:val="22"/>
          <w:rtl/>
        </w:rPr>
        <w:t xml:space="preserve"> </w:t>
      </w:r>
      <w:r w:rsidRPr="00F13852">
        <w:rPr>
          <w:rFonts w:hint="eastAsia"/>
          <w:sz w:val="22"/>
          <w:szCs w:val="22"/>
          <w:rtl/>
        </w:rPr>
        <w:t>מבקר</w:t>
      </w:r>
      <w:r w:rsidRPr="00F13852">
        <w:rPr>
          <w:sz w:val="22"/>
          <w:szCs w:val="22"/>
          <w:rtl/>
        </w:rPr>
        <w:t xml:space="preserve"> </w:t>
      </w:r>
      <w:r w:rsidRPr="00F13852">
        <w:rPr>
          <w:rFonts w:hint="eastAsia"/>
          <w:sz w:val="22"/>
          <w:szCs w:val="22"/>
          <w:rtl/>
        </w:rPr>
        <w:t>המדינה</w:t>
      </w:r>
      <w:r w:rsidRPr="00F13852">
        <w:rPr>
          <w:rFonts w:hint="cs"/>
          <w:sz w:val="22"/>
          <w:szCs w:val="22"/>
          <w:rtl/>
        </w:rPr>
        <w:t>.</w:t>
      </w:r>
    </w:p>
    <w:p w:rsidR="00FA3E7D" w:rsidRPr="002B5E33" w:rsidP="00FA3E7D">
      <w:pPr>
        <w:pStyle w:val="a"/>
        <w:spacing w:line="269" w:lineRule="auto"/>
        <w:rPr>
          <w:rtl/>
        </w:rPr>
      </w:pPr>
    </w:p>
    <w:p w:rsidR="00FA3E7D" w:rsidRPr="002B5E33" w:rsidP="00FA3E7D">
      <w:pPr>
        <w:spacing w:line="269" w:lineRule="auto"/>
        <w:rPr>
          <w:b/>
          <w:bCs/>
          <w:sz w:val="24"/>
          <w:rtl/>
        </w:rPr>
      </w:pPr>
      <w:r w:rsidRPr="002B5E33">
        <w:rPr>
          <w:rFonts w:hint="eastAsia"/>
          <w:b/>
          <w:bCs/>
          <w:sz w:val="24"/>
          <w:rtl/>
        </w:rPr>
        <w:t>עולה</w:t>
      </w:r>
      <w:r w:rsidRPr="002B5E33">
        <w:rPr>
          <w:b/>
          <w:bCs/>
          <w:sz w:val="24"/>
          <w:rtl/>
        </w:rPr>
        <w:t xml:space="preserve"> כי </w:t>
      </w:r>
      <w:r w:rsidRPr="002B5E33">
        <w:rPr>
          <w:rFonts w:hint="eastAsia"/>
          <w:b/>
          <w:bCs/>
          <w:sz w:val="24"/>
          <w:rtl/>
        </w:rPr>
        <w:t>רק</w:t>
      </w:r>
      <w:r w:rsidRPr="002B5E33">
        <w:rPr>
          <w:b/>
          <w:bCs/>
          <w:sz w:val="24"/>
          <w:rtl/>
        </w:rPr>
        <w:t xml:space="preserve"> בחלק קטן מאוד מהתלונות מסתיים הטיפול בהכרעה </w:t>
      </w:r>
      <w:r w:rsidRPr="002B5E33">
        <w:rPr>
          <w:rFonts w:hint="cs"/>
          <w:b/>
          <w:bCs/>
          <w:sz w:val="24"/>
          <w:rtl/>
        </w:rPr>
        <w:t xml:space="preserve">בין אם </w:t>
      </w:r>
      <w:r w:rsidRPr="002B5E33">
        <w:rPr>
          <w:b/>
          <w:bCs/>
          <w:sz w:val="24"/>
          <w:rtl/>
        </w:rPr>
        <w:t xml:space="preserve">לטובת המתלונן (תלונות שנמצא כי יש בהן ממש) </w:t>
      </w:r>
      <w:r w:rsidRPr="002B5E33">
        <w:rPr>
          <w:rFonts w:hint="cs"/>
          <w:b/>
          <w:bCs/>
          <w:sz w:val="24"/>
          <w:rtl/>
        </w:rPr>
        <w:t xml:space="preserve">ובין אם </w:t>
      </w:r>
      <w:r w:rsidRPr="002B5E33">
        <w:rPr>
          <w:b/>
          <w:bCs/>
          <w:sz w:val="24"/>
          <w:rtl/>
        </w:rPr>
        <w:t xml:space="preserve">תלונות </w:t>
      </w:r>
      <w:r w:rsidRPr="002B5E33">
        <w:rPr>
          <w:rFonts w:hint="eastAsia"/>
          <w:b/>
          <w:bCs/>
          <w:sz w:val="24"/>
          <w:rtl/>
        </w:rPr>
        <w:t>שבהן</w:t>
      </w:r>
      <w:r w:rsidRPr="002B5E33">
        <w:rPr>
          <w:b/>
          <w:bCs/>
          <w:sz w:val="24"/>
          <w:rtl/>
        </w:rPr>
        <w:t xml:space="preserve"> </w:t>
      </w:r>
      <w:r w:rsidRPr="002B5E33">
        <w:rPr>
          <w:rFonts w:hint="eastAsia"/>
          <w:b/>
          <w:bCs/>
          <w:sz w:val="24"/>
          <w:rtl/>
        </w:rPr>
        <w:t>לא</w:t>
      </w:r>
      <w:r w:rsidRPr="002B5E33">
        <w:rPr>
          <w:b/>
          <w:bCs/>
          <w:sz w:val="24"/>
          <w:rtl/>
        </w:rPr>
        <w:t xml:space="preserve"> </w:t>
      </w:r>
      <w:r w:rsidRPr="002B5E33">
        <w:rPr>
          <w:rFonts w:hint="eastAsia"/>
          <w:b/>
          <w:bCs/>
          <w:sz w:val="24"/>
          <w:rtl/>
        </w:rPr>
        <w:t>נמצא</w:t>
      </w:r>
      <w:r w:rsidRPr="002B5E33">
        <w:rPr>
          <w:b/>
          <w:bCs/>
          <w:sz w:val="24"/>
          <w:rtl/>
        </w:rPr>
        <w:t xml:space="preserve"> </w:t>
      </w:r>
      <w:r w:rsidRPr="002B5E33">
        <w:rPr>
          <w:rFonts w:hint="eastAsia"/>
          <w:b/>
          <w:bCs/>
          <w:sz w:val="24"/>
          <w:rtl/>
        </w:rPr>
        <w:t>מקום</w:t>
      </w:r>
      <w:r w:rsidRPr="002B5E33">
        <w:rPr>
          <w:b/>
          <w:bCs/>
          <w:sz w:val="24"/>
          <w:rtl/>
        </w:rPr>
        <w:t xml:space="preserve"> </w:t>
      </w:r>
      <w:r w:rsidRPr="002B5E33">
        <w:rPr>
          <w:rFonts w:hint="eastAsia"/>
          <w:b/>
          <w:bCs/>
          <w:sz w:val="24"/>
          <w:rtl/>
        </w:rPr>
        <w:t>להתערבות</w:t>
      </w:r>
      <w:r w:rsidRPr="002B5E33">
        <w:rPr>
          <w:b/>
          <w:bCs/>
          <w:sz w:val="24"/>
          <w:rtl/>
        </w:rPr>
        <w:t xml:space="preserve"> </w:t>
      </w:r>
      <w:r w:rsidRPr="002B5E33">
        <w:rPr>
          <w:rFonts w:hint="eastAsia"/>
          <w:b/>
          <w:bCs/>
          <w:sz w:val="24"/>
          <w:rtl/>
        </w:rPr>
        <w:t>הרשות</w:t>
      </w:r>
      <w:r w:rsidRPr="002B5E33">
        <w:rPr>
          <w:b/>
          <w:bCs/>
          <w:sz w:val="24"/>
          <w:rtl/>
        </w:rPr>
        <w:t xml:space="preserve">. </w:t>
      </w:r>
      <w:r w:rsidRPr="002B5E33">
        <w:rPr>
          <w:rFonts w:hint="eastAsia"/>
          <w:b/>
          <w:bCs/>
          <w:sz w:val="24"/>
          <w:rtl/>
        </w:rPr>
        <w:t>שיעור</w:t>
      </w:r>
      <w:r w:rsidRPr="002B5E33">
        <w:rPr>
          <w:b/>
          <w:bCs/>
          <w:sz w:val="24"/>
          <w:rtl/>
        </w:rPr>
        <w:t xml:space="preserve"> התלונות בתחום ביטוחי הבריאות שהגורמים המקצועיים ברשות </w:t>
      </w:r>
      <w:r w:rsidRPr="002B5E33">
        <w:rPr>
          <w:rFonts w:hint="eastAsia"/>
          <w:b/>
          <w:bCs/>
          <w:sz w:val="24"/>
          <w:rtl/>
        </w:rPr>
        <w:t>קבעו</w:t>
      </w:r>
      <w:r w:rsidRPr="002B5E33">
        <w:rPr>
          <w:b/>
          <w:bCs/>
          <w:sz w:val="24"/>
          <w:rtl/>
        </w:rPr>
        <w:t xml:space="preserve"> </w:t>
      </w:r>
      <w:r w:rsidRPr="002B5E33">
        <w:rPr>
          <w:rFonts w:hint="eastAsia"/>
          <w:b/>
          <w:bCs/>
          <w:sz w:val="24"/>
          <w:rtl/>
        </w:rPr>
        <w:t>כי</w:t>
      </w:r>
      <w:r w:rsidRPr="002B5E33">
        <w:rPr>
          <w:b/>
          <w:bCs/>
          <w:sz w:val="24"/>
          <w:rtl/>
        </w:rPr>
        <w:t xml:space="preserve"> </w:t>
      </w:r>
      <w:r w:rsidRPr="002B5E33">
        <w:rPr>
          <w:rFonts w:hint="eastAsia"/>
          <w:b/>
          <w:bCs/>
          <w:sz w:val="24"/>
          <w:rtl/>
        </w:rPr>
        <w:t>הן</w:t>
      </w:r>
      <w:r w:rsidRPr="002B5E33">
        <w:rPr>
          <w:b/>
          <w:bCs/>
          <w:sz w:val="24"/>
          <w:rtl/>
        </w:rPr>
        <w:t xml:space="preserve"> </w:t>
      </w:r>
      <w:r w:rsidRPr="002B5E33">
        <w:rPr>
          <w:rFonts w:hint="eastAsia"/>
          <w:b/>
          <w:bCs/>
          <w:sz w:val="24"/>
          <w:rtl/>
        </w:rPr>
        <w:t>מוצדקות</w:t>
      </w:r>
      <w:r w:rsidRPr="002B5E33">
        <w:rPr>
          <w:b/>
          <w:bCs/>
          <w:sz w:val="24"/>
          <w:rtl/>
        </w:rPr>
        <w:t xml:space="preserve"> </w:t>
      </w:r>
      <w:r w:rsidRPr="002B5E33">
        <w:rPr>
          <w:rFonts w:hint="eastAsia"/>
          <w:b/>
          <w:bCs/>
          <w:sz w:val="24"/>
          <w:rtl/>
        </w:rPr>
        <w:t>או</w:t>
      </w:r>
      <w:r w:rsidRPr="002B5E33">
        <w:rPr>
          <w:b/>
          <w:bCs/>
          <w:sz w:val="24"/>
          <w:rtl/>
        </w:rPr>
        <w:t xml:space="preserve"> </w:t>
      </w:r>
      <w:r w:rsidRPr="002B5E33">
        <w:rPr>
          <w:rFonts w:hint="eastAsia"/>
          <w:b/>
          <w:bCs/>
          <w:sz w:val="24"/>
          <w:rtl/>
        </w:rPr>
        <w:t>בלתי</w:t>
      </w:r>
      <w:r w:rsidRPr="002B5E33">
        <w:rPr>
          <w:b/>
          <w:bCs/>
          <w:sz w:val="24"/>
          <w:rtl/>
        </w:rPr>
        <w:t xml:space="preserve"> </w:t>
      </w:r>
      <w:r w:rsidRPr="002B5E33">
        <w:rPr>
          <w:rFonts w:hint="eastAsia"/>
          <w:b/>
          <w:bCs/>
          <w:sz w:val="24"/>
          <w:rtl/>
        </w:rPr>
        <w:t>מוצדקות</w:t>
      </w:r>
      <w:r w:rsidRPr="002B5E33">
        <w:rPr>
          <w:b/>
          <w:bCs/>
          <w:sz w:val="24"/>
          <w:rtl/>
        </w:rPr>
        <w:t xml:space="preserve">, בין השנים 2015 ל-2018 עמד על כ-8.7% בלבד מכלל התלונות. </w:t>
      </w:r>
    </w:p>
    <w:p w:rsidR="00E755DE" w:rsidP="00FA3E7D">
      <w:pPr>
        <w:pStyle w:val="Heading5"/>
        <w:spacing w:line="269" w:lineRule="auto"/>
        <w:rPr>
          <w:rtl/>
        </w:rPr>
      </w:pPr>
      <w:r>
        <w:rPr>
          <w:rtl/>
        </w:rPr>
        <w:br w:type="page"/>
      </w:r>
    </w:p>
    <w:p w:rsidR="00FA3E7D" w:rsidRPr="002B5E33" w:rsidP="00FA3E7D">
      <w:pPr>
        <w:pStyle w:val="Heading5"/>
        <w:spacing w:line="269" w:lineRule="auto"/>
        <w:rPr>
          <w:rtl/>
        </w:rPr>
      </w:pPr>
      <w:r w:rsidRPr="002B5E33">
        <w:rPr>
          <w:rFonts w:hint="cs"/>
          <w:rtl/>
        </w:rPr>
        <w:t>משך הטיפול בתלונות במסלול מיצוי הליכים</w:t>
      </w:r>
    </w:p>
    <w:p w:rsidR="00FA3E7D" w:rsidP="00FA3E7D">
      <w:pPr>
        <w:pStyle w:val="a"/>
        <w:rPr>
          <w:rtl/>
        </w:rPr>
      </w:pPr>
    </w:p>
    <w:p w:rsidR="00FA3E7D" w:rsidRPr="002B5E33" w:rsidP="00FA3E7D">
      <w:pPr>
        <w:spacing w:line="269" w:lineRule="auto"/>
        <w:rPr>
          <w:rtl/>
        </w:rPr>
      </w:pPr>
      <w:r w:rsidRPr="002B5E33">
        <w:rPr>
          <w:rFonts w:hint="cs"/>
          <w:rtl/>
        </w:rPr>
        <w:t xml:space="preserve">בשנים 2018-2015 נסגרו </w:t>
      </w:r>
      <w:r w:rsidRPr="002B5E33">
        <w:rPr>
          <w:rFonts w:ascii="David" w:hAnsi="David" w:hint="eastAsia"/>
          <w:sz w:val="24"/>
          <w:rtl/>
        </w:rPr>
        <w:t>מרבית</w:t>
      </w:r>
      <w:r w:rsidRPr="002B5E33">
        <w:rPr>
          <w:rFonts w:ascii="David" w:hAnsi="David"/>
          <w:sz w:val="24"/>
          <w:rtl/>
        </w:rPr>
        <w:t xml:space="preserve"> התלונות בסיווג "סולק </w:t>
      </w:r>
      <w:r w:rsidRPr="002B5E33">
        <w:rPr>
          <w:rFonts w:ascii="David" w:hAnsi="David" w:hint="eastAsia"/>
          <w:sz w:val="24"/>
          <w:rtl/>
        </w:rPr>
        <w:t>במצ</w:t>
      </w:r>
      <w:r w:rsidRPr="002B5E33">
        <w:rPr>
          <w:rFonts w:ascii="David" w:hAnsi="David"/>
          <w:sz w:val="24"/>
          <w:rtl/>
        </w:rPr>
        <w:t>"ה"</w:t>
      </w:r>
      <w:r>
        <w:rPr>
          <w:rStyle w:val="FootnoteReference"/>
          <w:rFonts w:ascii="David" w:hAnsi="David"/>
          <w:sz w:val="24"/>
          <w:rtl/>
        </w:rPr>
        <w:footnoteReference w:id="101"/>
      </w:r>
      <w:r w:rsidRPr="002B5E33">
        <w:rPr>
          <w:rFonts w:ascii="David" w:hAnsi="David"/>
          <w:sz w:val="24"/>
          <w:rtl/>
        </w:rPr>
        <w:t xml:space="preserve">. </w:t>
      </w:r>
      <w:r w:rsidRPr="002B5E33">
        <w:rPr>
          <w:rFonts w:ascii="David" w:hAnsi="David" w:hint="eastAsia"/>
          <w:sz w:val="24"/>
          <w:rtl/>
        </w:rPr>
        <w:t>בתרשים</w:t>
      </w:r>
      <w:r w:rsidRPr="002B5E33">
        <w:rPr>
          <w:rFonts w:ascii="David" w:hAnsi="David"/>
          <w:sz w:val="24"/>
          <w:rtl/>
        </w:rPr>
        <w:t xml:space="preserve"> להלן, </w:t>
      </w:r>
      <w:r w:rsidRPr="002B5E33">
        <w:rPr>
          <w:rFonts w:ascii="David" w:hAnsi="David" w:hint="eastAsia"/>
          <w:sz w:val="24"/>
          <w:rtl/>
        </w:rPr>
        <w:t>מידע</w:t>
      </w:r>
      <w:r w:rsidRPr="002B5E33">
        <w:rPr>
          <w:rFonts w:ascii="David" w:hAnsi="David"/>
          <w:sz w:val="24"/>
          <w:rtl/>
        </w:rPr>
        <w:t xml:space="preserve"> </w:t>
      </w:r>
      <w:r w:rsidRPr="002B5E33">
        <w:rPr>
          <w:rFonts w:ascii="David" w:hAnsi="David" w:hint="cs"/>
          <w:sz w:val="24"/>
          <w:rtl/>
        </w:rPr>
        <w:t>על</w:t>
      </w:r>
      <w:r w:rsidRPr="002B5E33">
        <w:rPr>
          <w:rFonts w:ascii="David" w:hAnsi="David"/>
          <w:sz w:val="24"/>
          <w:rtl/>
        </w:rPr>
        <w:t xml:space="preserve"> </w:t>
      </w:r>
      <w:r w:rsidRPr="002B5E33">
        <w:rPr>
          <w:rFonts w:ascii="David" w:hAnsi="David" w:hint="eastAsia"/>
          <w:sz w:val="24"/>
          <w:rtl/>
        </w:rPr>
        <w:t>משך</w:t>
      </w:r>
      <w:r w:rsidRPr="002B5E33">
        <w:rPr>
          <w:rFonts w:ascii="David" w:hAnsi="David"/>
          <w:sz w:val="24"/>
          <w:rtl/>
        </w:rPr>
        <w:t xml:space="preserve"> </w:t>
      </w:r>
      <w:r w:rsidRPr="002B5E33">
        <w:rPr>
          <w:rFonts w:ascii="David" w:hAnsi="David" w:hint="eastAsia"/>
          <w:sz w:val="24"/>
          <w:rtl/>
        </w:rPr>
        <w:t>הטיפול</w:t>
      </w:r>
      <w:r w:rsidRPr="002B5E33">
        <w:rPr>
          <w:rFonts w:ascii="David" w:hAnsi="David"/>
          <w:sz w:val="24"/>
          <w:rtl/>
        </w:rPr>
        <w:t xml:space="preserve"> </w:t>
      </w:r>
      <w:r w:rsidRPr="002B5E33">
        <w:rPr>
          <w:rFonts w:ascii="David" w:hAnsi="David" w:hint="eastAsia"/>
          <w:sz w:val="24"/>
          <w:rtl/>
        </w:rPr>
        <w:t>בתלונות</w:t>
      </w:r>
      <w:r w:rsidRPr="002B5E33">
        <w:rPr>
          <w:rFonts w:ascii="David" w:hAnsi="David"/>
          <w:sz w:val="24"/>
          <w:rtl/>
        </w:rPr>
        <w:t xml:space="preserve"> </w:t>
      </w:r>
      <w:r w:rsidRPr="002B5E33">
        <w:rPr>
          <w:rFonts w:ascii="David" w:hAnsi="David" w:hint="cs"/>
          <w:sz w:val="24"/>
          <w:rtl/>
        </w:rPr>
        <w:t xml:space="preserve">בתחום ביטוחי הבריאות </w:t>
      </w:r>
      <w:r w:rsidRPr="002B5E33">
        <w:rPr>
          <w:rFonts w:ascii="David" w:hAnsi="David" w:hint="eastAsia"/>
          <w:sz w:val="24"/>
          <w:rtl/>
        </w:rPr>
        <w:t>שנסגרו</w:t>
      </w:r>
      <w:r w:rsidRPr="002B5E33">
        <w:rPr>
          <w:rFonts w:ascii="David" w:hAnsi="David"/>
          <w:sz w:val="24"/>
          <w:rtl/>
        </w:rPr>
        <w:t xml:space="preserve"> </w:t>
      </w:r>
      <w:r w:rsidRPr="002B5E33">
        <w:rPr>
          <w:rFonts w:ascii="David" w:hAnsi="David" w:hint="cs"/>
          <w:sz w:val="24"/>
          <w:rtl/>
        </w:rPr>
        <w:t>בסיווג זה</w:t>
      </w:r>
      <w:r w:rsidRPr="002B5E33">
        <w:rPr>
          <w:rFonts w:hint="cs"/>
          <w:rtl/>
        </w:rPr>
        <w:t>, בשנים האמורות:</w:t>
      </w:r>
    </w:p>
    <w:p w:rsidR="00FA3E7D" w:rsidRPr="002B5E33" w:rsidP="00FA3E7D">
      <w:pPr>
        <w:pStyle w:val="a"/>
        <w:spacing w:line="269" w:lineRule="auto"/>
        <w:rPr>
          <w:rtl/>
        </w:rPr>
      </w:pPr>
    </w:p>
    <w:p w:rsidR="00FA3E7D" w:rsidRPr="002B5E33" w:rsidP="00FA3E7D">
      <w:pPr>
        <w:spacing w:line="269" w:lineRule="auto"/>
        <w:ind w:left="312"/>
        <w:jc w:val="center"/>
        <w:rPr>
          <w:rFonts w:ascii="David" w:hAnsi="David"/>
          <w:b/>
          <w:bCs/>
          <w:sz w:val="24"/>
          <w:rtl/>
        </w:rPr>
      </w:pPr>
    </w:p>
    <w:p w:rsidR="00FA3E7D" w:rsidRPr="00CC69AB" w:rsidP="00CC69AB">
      <w:pPr>
        <w:spacing w:line="269" w:lineRule="auto"/>
        <w:jc w:val="center"/>
        <w:rPr>
          <w:rFonts w:ascii="David" w:hAnsi="David"/>
          <w:b/>
          <w:bCs/>
          <w:sz w:val="24"/>
          <w:rtl/>
        </w:rPr>
      </w:pPr>
      <w:r w:rsidRPr="002B5E33">
        <w:rPr>
          <w:rFonts w:ascii="David" w:hAnsi="David" w:hint="eastAsia"/>
          <w:b/>
          <w:bCs/>
          <w:sz w:val="24"/>
          <w:rtl/>
        </w:rPr>
        <w:t>תרשים</w:t>
      </w:r>
      <w:r w:rsidRPr="002B5E33">
        <w:rPr>
          <w:rFonts w:ascii="David" w:hAnsi="David"/>
          <w:b/>
          <w:bCs/>
          <w:sz w:val="24"/>
          <w:rtl/>
        </w:rPr>
        <w:t xml:space="preserve"> </w:t>
      </w:r>
      <w:r w:rsidRPr="002B5E33">
        <w:rPr>
          <w:rFonts w:ascii="David" w:hAnsi="David" w:hint="cs"/>
          <w:b/>
          <w:bCs/>
          <w:sz w:val="24"/>
          <w:rtl/>
        </w:rPr>
        <w:t>16</w:t>
      </w:r>
      <w:r w:rsidR="00CC69AB">
        <w:rPr>
          <w:rFonts w:ascii="David" w:hAnsi="David" w:hint="cs"/>
          <w:b/>
          <w:bCs/>
          <w:sz w:val="24"/>
          <w:rtl/>
        </w:rPr>
        <w:t xml:space="preserve">: </w:t>
      </w:r>
      <w:r w:rsidRPr="002B5E33">
        <w:rPr>
          <w:rFonts w:hint="eastAsia"/>
          <w:b/>
          <w:bCs/>
          <w:rtl/>
        </w:rPr>
        <w:t>משך</w:t>
      </w:r>
      <w:r w:rsidRPr="002B5E33">
        <w:rPr>
          <w:b/>
          <w:bCs/>
          <w:rtl/>
        </w:rPr>
        <w:t xml:space="preserve"> </w:t>
      </w:r>
      <w:r w:rsidRPr="002B5E33">
        <w:rPr>
          <w:rFonts w:hint="eastAsia"/>
          <w:b/>
          <w:bCs/>
          <w:rtl/>
        </w:rPr>
        <w:t>הטיפול</w:t>
      </w:r>
      <w:r w:rsidRPr="002B5E33">
        <w:rPr>
          <w:b/>
          <w:bCs/>
          <w:rtl/>
        </w:rPr>
        <w:t xml:space="preserve"> </w:t>
      </w:r>
      <w:r w:rsidRPr="002B5E33">
        <w:rPr>
          <w:rFonts w:hint="eastAsia"/>
          <w:b/>
          <w:bCs/>
          <w:rtl/>
        </w:rPr>
        <w:t>בתלונות</w:t>
      </w:r>
      <w:r w:rsidRPr="002B5E33">
        <w:rPr>
          <w:b/>
          <w:bCs/>
          <w:rtl/>
        </w:rPr>
        <w:t xml:space="preserve"> </w:t>
      </w:r>
      <w:r w:rsidRPr="002B5E33">
        <w:rPr>
          <w:rFonts w:hint="eastAsia"/>
          <w:b/>
          <w:bCs/>
          <w:rtl/>
        </w:rPr>
        <w:t>בתחום</w:t>
      </w:r>
      <w:r w:rsidRPr="002B5E33">
        <w:rPr>
          <w:b/>
          <w:bCs/>
          <w:rtl/>
        </w:rPr>
        <w:t xml:space="preserve"> </w:t>
      </w:r>
      <w:r w:rsidRPr="002B5E33">
        <w:rPr>
          <w:rFonts w:hint="eastAsia"/>
          <w:b/>
          <w:bCs/>
          <w:rtl/>
        </w:rPr>
        <w:t>ביטוחי</w:t>
      </w:r>
      <w:r w:rsidRPr="002B5E33">
        <w:rPr>
          <w:b/>
          <w:bCs/>
          <w:rtl/>
        </w:rPr>
        <w:t xml:space="preserve"> </w:t>
      </w:r>
      <w:r w:rsidRPr="002B5E33">
        <w:rPr>
          <w:rFonts w:hint="eastAsia"/>
          <w:b/>
          <w:bCs/>
          <w:rtl/>
        </w:rPr>
        <w:t>הבריאות</w:t>
      </w:r>
      <w:r w:rsidRPr="002B5E33">
        <w:rPr>
          <w:b/>
          <w:bCs/>
          <w:rtl/>
        </w:rPr>
        <w:t xml:space="preserve"> </w:t>
      </w:r>
      <w:r w:rsidRPr="002B5E33">
        <w:rPr>
          <w:rFonts w:hint="eastAsia"/>
          <w:b/>
          <w:bCs/>
          <w:rtl/>
        </w:rPr>
        <w:t>שנסגרו</w:t>
      </w:r>
      <w:r w:rsidRPr="002B5E33">
        <w:rPr>
          <w:b/>
          <w:bCs/>
          <w:rtl/>
        </w:rPr>
        <w:t xml:space="preserve"> </w:t>
      </w:r>
      <w:r w:rsidRPr="002B5E33">
        <w:rPr>
          <w:rFonts w:hint="eastAsia"/>
          <w:b/>
          <w:bCs/>
          <w:rtl/>
        </w:rPr>
        <w:t>בסיווג</w:t>
      </w:r>
      <w:r w:rsidRPr="002B5E33">
        <w:rPr>
          <w:b/>
          <w:bCs/>
          <w:rtl/>
        </w:rPr>
        <w:t xml:space="preserve"> "סולק </w:t>
      </w:r>
      <w:r w:rsidRPr="002B5E33">
        <w:rPr>
          <w:rFonts w:hint="eastAsia"/>
          <w:b/>
          <w:bCs/>
          <w:rtl/>
        </w:rPr>
        <w:t>במצ</w:t>
      </w:r>
      <w:r w:rsidRPr="002B5E33">
        <w:rPr>
          <w:b/>
          <w:bCs/>
          <w:rtl/>
        </w:rPr>
        <w:t xml:space="preserve">"ה" </w:t>
      </w:r>
      <w:r w:rsidRPr="002B5E33">
        <w:rPr>
          <w:rFonts w:hint="eastAsia"/>
          <w:b/>
          <w:bCs/>
          <w:rtl/>
        </w:rPr>
        <w:t>בשנים</w:t>
      </w:r>
      <w:r w:rsidRPr="002B5E33">
        <w:rPr>
          <w:b/>
          <w:bCs/>
          <w:rtl/>
        </w:rPr>
        <w:t xml:space="preserve"> 2015</w:t>
      </w:r>
      <w:r w:rsidRPr="002B5E33">
        <w:rPr>
          <w:rFonts w:hint="cs"/>
          <w:b/>
          <w:bCs/>
          <w:rtl/>
        </w:rPr>
        <w:t xml:space="preserve"> - 2018</w:t>
      </w:r>
      <w:r>
        <w:rPr>
          <w:rFonts w:hint="cs"/>
          <w:b/>
          <w:bCs/>
          <w:rtl/>
        </w:rPr>
        <w:t xml:space="preserve"> </w:t>
      </w:r>
    </w:p>
    <w:p w:rsidR="00CC69AB" w:rsidP="00CC69AB">
      <w:pPr>
        <w:spacing w:before="120" w:after="120" w:line="269" w:lineRule="auto"/>
        <w:jc w:val="center"/>
        <w:rPr>
          <w:sz w:val="22"/>
          <w:szCs w:val="22"/>
          <w:rtl/>
        </w:rPr>
      </w:pPr>
      <w:r>
        <w:rPr>
          <w:rFonts w:hint="eastAsia"/>
          <w:noProof/>
          <w:sz w:val="22"/>
          <w:szCs w:val="22"/>
          <w:rtl/>
        </w:rPr>
        <w:drawing>
          <wp:inline distT="0" distB="0" distL="0" distR="0">
            <wp:extent cx="4322073" cy="2322581"/>
            <wp:effectExtent l="0" t="0" r="2540" b="1905"/>
            <wp:docPr id="1493377106" name="תמונה 149337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54965" name="commercial-health-insurance-g-16.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322581"/>
                    </a:xfrm>
                    <a:prstGeom prst="rect">
                      <a:avLst/>
                    </a:prstGeom>
                  </pic:spPr>
                </pic:pic>
              </a:graphicData>
            </a:graphic>
          </wp:inline>
        </w:drawing>
      </w:r>
    </w:p>
    <w:p w:rsidR="00FA3E7D" w:rsidRPr="00F13852" w:rsidP="00CC69AB">
      <w:pPr>
        <w:spacing w:line="269" w:lineRule="auto"/>
        <w:jc w:val="left"/>
        <w:rPr>
          <w:sz w:val="22"/>
          <w:szCs w:val="22"/>
          <w:rtl/>
        </w:rPr>
      </w:pPr>
      <w:r w:rsidRPr="00F13852">
        <w:rPr>
          <w:rFonts w:hint="eastAsia"/>
          <w:sz w:val="22"/>
          <w:szCs w:val="22"/>
          <w:rtl/>
        </w:rPr>
        <w:t>מקור</w:t>
      </w:r>
      <w:r w:rsidRPr="00F13852">
        <w:rPr>
          <w:sz w:val="22"/>
          <w:szCs w:val="22"/>
          <w:rtl/>
        </w:rPr>
        <w:t xml:space="preserve">: </w:t>
      </w:r>
      <w:r w:rsidRPr="00F13852">
        <w:rPr>
          <w:rFonts w:hint="eastAsia"/>
          <w:sz w:val="22"/>
          <w:szCs w:val="22"/>
          <w:rtl/>
        </w:rPr>
        <w:t>נתוני</w:t>
      </w:r>
      <w:r w:rsidRPr="00F13852">
        <w:rPr>
          <w:sz w:val="22"/>
          <w:szCs w:val="22"/>
          <w:rtl/>
        </w:rPr>
        <w:t xml:space="preserve"> </w:t>
      </w:r>
      <w:r w:rsidRPr="00F13852">
        <w:rPr>
          <w:rFonts w:hint="eastAsia"/>
          <w:sz w:val="22"/>
          <w:szCs w:val="22"/>
          <w:rtl/>
        </w:rPr>
        <w:t>רשות</w:t>
      </w:r>
      <w:r w:rsidRPr="00F13852">
        <w:rPr>
          <w:sz w:val="22"/>
          <w:szCs w:val="22"/>
          <w:rtl/>
        </w:rPr>
        <w:t xml:space="preserve"> </w:t>
      </w:r>
      <w:r w:rsidRPr="00F13852">
        <w:rPr>
          <w:rFonts w:hint="eastAsia"/>
          <w:sz w:val="22"/>
          <w:szCs w:val="22"/>
          <w:rtl/>
        </w:rPr>
        <w:t>שוק</w:t>
      </w:r>
      <w:r w:rsidRPr="00F13852">
        <w:rPr>
          <w:sz w:val="22"/>
          <w:szCs w:val="22"/>
          <w:rtl/>
        </w:rPr>
        <w:t xml:space="preserve"> </w:t>
      </w:r>
      <w:r w:rsidRPr="00F13852">
        <w:rPr>
          <w:rFonts w:hint="eastAsia"/>
          <w:sz w:val="22"/>
          <w:szCs w:val="22"/>
          <w:rtl/>
        </w:rPr>
        <w:t>ההון</w:t>
      </w:r>
      <w:r w:rsidRPr="00F13852">
        <w:rPr>
          <w:sz w:val="22"/>
          <w:szCs w:val="22"/>
          <w:rtl/>
        </w:rPr>
        <w:t xml:space="preserve">, </w:t>
      </w:r>
      <w:r w:rsidRPr="00F13852">
        <w:rPr>
          <w:rFonts w:hint="eastAsia"/>
          <w:sz w:val="22"/>
          <w:szCs w:val="22"/>
          <w:rtl/>
        </w:rPr>
        <w:t>בעיבוד</w:t>
      </w:r>
      <w:r w:rsidRPr="00F13852">
        <w:rPr>
          <w:sz w:val="22"/>
          <w:szCs w:val="22"/>
          <w:rtl/>
        </w:rPr>
        <w:t xml:space="preserve"> </w:t>
      </w:r>
      <w:r w:rsidRPr="00F13852">
        <w:rPr>
          <w:rFonts w:hint="eastAsia"/>
          <w:sz w:val="22"/>
          <w:szCs w:val="22"/>
          <w:rtl/>
        </w:rPr>
        <w:t>משרד</w:t>
      </w:r>
      <w:r w:rsidRPr="00F13852">
        <w:rPr>
          <w:sz w:val="22"/>
          <w:szCs w:val="22"/>
          <w:rtl/>
        </w:rPr>
        <w:t xml:space="preserve"> </w:t>
      </w:r>
      <w:r w:rsidRPr="00F13852">
        <w:rPr>
          <w:rFonts w:hint="eastAsia"/>
          <w:sz w:val="22"/>
          <w:szCs w:val="22"/>
          <w:rtl/>
        </w:rPr>
        <w:t>מבקר</w:t>
      </w:r>
      <w:r w:rsidRPr="00F13852">
        <w:rPr>
          <w:sz w:val="22"/>
          <w:szCs w:val="22"/>
          <w:rtl/>
        </w:rPr>
        <w:t xml:space="preserve"> </w:t>
      </w:r>
      <w:r w:rsidRPr="00F13852">
        <w:rPr>
          <w:rFonts w:hint="eastAsia"/>
          <w:sz w:val="22"/>
          <w:szCs w:val="22"/>
          <w:rtl/>
        </w:rPr>
        <w:t>המדינה</w:t>
      </w:r>
      <w:r w:rsidRPr="00F13852">
        <w:rPr>
          <w:rFonts w:hint="cs"/>
          <w:sz w:val="22"/>
          <w:szCs w:val="22"/>
          <w:rtl/>
        </w:rPr>
        <w:t>.</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מניתוח נתוני תרשים זה עולה מגמה של התארכות ממשית במשך הטיפול בתלונות, אשר הגיע עד כדי 78 ימים בממוצע בשנת 2018 (זאת למרות שבשנת 2018 חלה ירידה בשיעור התלונות שמשך בירורן התארך מעבר ל-60 ימים). מגמה זו תואמת מגמה של התארכות משך זמן הטיפול בתלונות בכלל התחומים המפוקחים על ידי הרשות.</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מומלץ כי רשות שוק ההון תבצע בחינה יסודית לזיהוי הסיבות להתארכות הטיפול בתלונות המטופלות בהליך מצ"ה, ותנקוט בכל הפעולות הנדרשות על מנת לצמצם זמן זה.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בתשובת הרשות הוסבר כי הסיווג "סולק במצ"ה" "משמש גם את המטפלים במחלקות המקצועיות כדי לסווג פניות שנמצא בהן ממש/ניתן בהן סעד" ולכן מגמת ההתארכות שהוצגה במשך הטיפול מעוותת. הרשות הוסיפה כי "מערכת המחשוב במשרדנו קיבלה הנחיה בימים אלו להוסיף סיווג נפרד ל'סולקה לאחר הליך מצ"ה', זאת על מנת למנוע עיוותים בדוחות המופקים ע"י הרשות". הרשות הודיעה למשרד מבקר המדינה כי היא "מתכוונת לבצע בחינה להערכת יעילות הטיפול בפניות הציבור בהליך מצ"ה, בין היתר מהיבטי יעילות וטובת המבוטח".</w:t>
      </w:r>
    </w:p>
    <w:p w:rsidR="00632F5E" w:rsidP="00FA3E7D">
      <w:pPr>
        <w:pStyle w:val="Heading5"/>
        <w:spacing w:line="269" w:lineRule="auto"/>
        <w:rPr>
          <w:rtl/>
        </w:rPr>
      </w:pPr>
    </w:p>
    <w:p w:rsidR="00632F5E">
      <w:pPr>
        <w:bidi w:val="0"/>
        <w:spacing w:after="200" w:line="276" w:lineRule="auto"/>
        <w:rPr>
          <w:rFonts w:eastAsiaTheme="majorEastAsia"/>
          <w:bCs/>
          <w:spacing w:val="40"/>
          <w:rtl/>
        </w:rPr>
      </w:pPr>
      <w:r>
        <w:rPr>
          <w:rtl/>
        </w:rPr>
        <w:br w:type="page"/>
      </w:r>
    </w:p>
    <w:p w:rsidR="00FA3E7D" w:rsidP="00632F5E">
      <w:pPr>
        <w:pStyle w:val="Heading5"/>
        <w:spacing w:line="269" w:lineRule="auto"/>
        <w:rPr>
          <w:rtl/>
        </w:rPr>
      </w:pPr>
      <w:r w:rsidRPr="002B5E33">
        <w:rPr>
          <w:rFonts w:hint="cs"/>
          <w:rtl/>
        </w:rPr>
        <w:t>תלונות שסווגו כתלונות ש"היה בהן ממש"</w:t>
      </w:r>
    </w:p>
    <w:p w:rsidR="00632F5E" w:rsidRPr="00632F5E" w:rsidP="00632F5E">
      <w:pPr>
        <w:rPr>
          <w:rtl/>
        </w:rPr>
      </w:pPr>
    </w:p>
    <w:p w:rsidR="00FA3E7D" w:rsidRPr="002B5E33" w:rsidP="00FA3E7D">
      <w:pPr>
        <w:spacing w:line="269" w:lineRule="auto"/>
        <w:rPr>
          <w:rtl/>
        </w:rPr>
      </w:pPr>
      <w:r w:rsidRPr="002B5E33">
        <w:rPr>
          <w:rFonts w:hint="cs"/>
          <w:rtl/>
        </w:rPr>
        <w:t>בסיווג "תלונות שהיה בהן ממש" נכללות אלה שבהן קיבל המתלונן סעד כלשהו מהגוף המפוקח, וכן התלונות שנדחו על ידי הגוף המפוקח ובתגובה לכך דרש המתלונן את הכרעת רשות שוק ההון, וזו אומנם הכריעה לטובתו, באופן חלקי או מלא.</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נמצא</w:t>
      </w:r>
      <w:r w:rsidRPr="002B5E33">
        <w:rPr>
          <w:rtl/>
        </w:rPr>
        <w:t xml:space="preserve"> כי בסיווג </w:t>
      </w:r>
      <w:r w:rsidRPr="002B5E33">
        <w:rPr>
          <w:rFonts w:hint="cs"/>
          <w:rtl/>
        </w:rPr>
        <w:t>תלונות כ</w:t>
      </w:r>
      <w:r w:rsidRPr="002B5E33">
        <w:rPr>
          <w:rtl/>
        </w:rPr>
        <w:t>"</w:t>
      </w:r>
      <w:r w:rsidRPr="002B5E33">
        <w:rPr>
          <w:rFonts w:hint="cs"/>
          <w:rtl/>
        </w:rPr>
        <w:t>תלונות ש</w:t>
      </w:r>
      <w:r w:rsidRPr="002B5E33">
        <w:rPr>
          <w:rtl/>
        </w:rPr>
        <w:t>היה בהן ממש" אי</w:t>
      </w:r>
      <w:r w:rsidRPr="002B5E33">
        <w:rPr>
          <w:rFonts w:hint="cs"/>
          <w:rtl/>
        </w:rPr>
        <w:t>ן</w:t>
      </w:r>
      <w:r w:rsidRPr="002B5E33">
        <w:rPr>
          <w:rtl/>
        </w:rPr>
        <w:t xml:space="preserve"> </w:t>
      </w:r>
      <w:r w:rsidRPr="002B5E33">
        <w:rPr>
          <w:rFonts w:hint="cs"/>
          <w:rtl/>
        </w:rPr>
        <w:t>ה</w:t>
      </w:r>
      <w:r w:rsidRPr="002B5E33">
        <w:rPr>
          <w:rtl/>
        </w:rPr>
        <w:t>תייחס</w:t>
      </w:r>
      <w:r w:rsidRPr="002B5E33">
        <w:rPr>
          <w:rFonts w:hint="cs"/>
          <w:rtl/>
        </w:rPr>
        <w:t>ו</w:t>
      </w:r>
      <w:r w:rsidRPr="002B5E33">
        <w:rPr>
          <w:rtl/>
        </w:rPr>
        <w:t xml:space="preserve">ת כלל למשקל החלק בתלונה שנמצא מוצדק או למשקל הסעד שניתן </w:t>
      </w:r>
      <w:r w:rsidRPr="002B5E33">
        <w:rPr>
          <w:rFonts w:hint="cs"/>
          <w:rtl/>
        </w:rPr>
        <w:t>בהשוואה ל</w:t>
      </w:r>
      <w:r w:rsidRPr="002B5E33">
        <w:rPr>
          <w:rtl/>
        </w:rPr>
        <w:t xml:space="preserve">סעד שנתבקש. </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היעדר פילוח היקף הסעד שניתן למתלונן מתוך התלונה כולה עלול ליצור מצג שלפיו בשיעור ניכר מהתלונות קיבל המתלונן את מבוקשו, אף שבפועל ייתכן כי לא ניתן כמעט מענה לתלונה או שניתן לה מענה חלקי בלבד.</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רשות</w:t>
      </w:r>
      <w:r w:rsidRPr="002B5E33">
        <w:rPr>
          <w:rtl/>
        </w:rPr>
        <w:t xml:space="preserve"> </w:t>
      </w:r>
      <w:r w:rsidRPr="002B5E33">
        <w:rPr>
          <w:rFonts w:hint="eastAsia"/>
          <w:rtl/>
        </w:rPr>
        <w:t>שוק</w:t>
      </w:r>
      <w:r w:rsidRPr="002B5E33">
        <w:rPr>
          <w:rtl/>
        </w:rPr>
        <w:t xml:space="preserve"> </w:t>
      </w:r>
      <w:r w:rsidRPr="002B5E33">
        <w:rPr>
          <w:rFonts w:hint="eastAsia"/>
          <w:rtl/>
        </w:rPr>
        <w:t>ההון</w:t>
      </w:r>
      <w:r w:rsidRPr="002B5E33">
        <w:rPr>
          <w:rtl/>
        </w:rPr>
        <w:t xml:space="preserve"> </w:t>
      </w:r>
      <w:r w:rsidRPr="002B5E33">
        <w:rPr>
          <w:rFonts w:hint="eastAsia"/>
          <w:rtl/>
        </w:rPr>
        <w:t>מסרה</w:t>
      </w:r>
      <w:r w:rsidRPr="002B5E33">
        <w:rPr>
          <w:rtl/>
        </w:rPr>
        <w:t xml:space="preserve"> </w:t>
      </w:r>
      <w:r w:rsidRPr="002B5E33">
        <w:rPr>
          <w:rFonts w:hint="eastAsia"/>
          <w:rtl/>
        </w:rPr>
        <w:t>בתשובתה</w:t>
      </w:r>
      <w:r w:rsidRPr="002B5E33">
        <w:rPr>
          <w:rtl/>
        </w:rPr>
        <w:t xml:space="preserve"> </w:t>
      </w:r>
      <w:r w:rsidRPr="002B5E33">
        <w:rPr>
          <w:rFonts w:hint="eastAsia"/>
          <w:rtl/>
        </w:rPr>
        <w:t>כי</w:t>
      </w:r>
      <w:r w:rsidRPr="002B5E33">
        <w:rPr>
          <w:rtl/>
        </w:rPr>
        <w:t xml:space="preserve"> "בשנה </w:t>
      </w:r>
      <w:r w:rsidRPr="002B5E33">
        <w:rPr>
          <w:rFonts w:hint="eastAsia"/>
          <w:rtl/>
        </w:rPr>
        <w:t>האחרונה</w:t>
      </w:r>
      <w:r w:rsidRPr="002B5E33">
        <w:rPr>
          <w:rtl/>
        </w:rPr>
        <w:t xml:space="preserve"> </w:t>
      </w:r>
      <w:r w:rsidRPr="002B5E33">
        <w:rPr>
          <w:rFonts w:hint="eastAsia"/>
          <w:rtl/>
        </w:rPr>
        <w:t>הגופים</w:t>
      </w:r>
      <w:r w:rsidRPr="002B5E33">
        <w:rPr>
          <w:rtl/>
        </w:rPr>
        <w:t xml:space="preserve"> </w:t>
      </w:r>
      <w:r w:rsidRPr="002B5E33">
        <w:rPr>
          <w:rFonts w:hint="eastAsia"/>
          <w:rtl/>
        </w:rPr>
        <w:t>המוסדיים</w:t>
      </w:r>
      <w:r w:rsidRPr="002B5E33">
        <w:rPr>
          <w:rtl/>
        </w:rPr>
        <w:t xml:space="preserve"> </w:t>
      </w:r>
      <w:r w:rsidRPr="002B5E33">
        <w:rPr>
          <w:rFonts w:hint="eastAsia"/>
          <w:rtl/>
        </w:rPr>
        <w:t>נדרשים</w:t>
      </w:r>
      <w:r w:rsidRPr="002B5E33">
        <w:rPr>
          <w:rtl/>
        </w:rPr>
        <w:t xml:space="preserve"> </w:t>
      </w:r>
      <w:r w:rsidRPr="002B5E33">
        <w:rPr>
          <w:rFonts w:hint="eastAsia"/>
          <w:rtl/>
        </w:rPr>
        <w:t>לציין</w:t>
      </w:r>
      <w:r w:rsidRPr="002B5E33">
        <w:rPr>
          <w:rtl/>
        </w:rPr>
        <w:t xml:space="preserve"> </w:t>
      </w:r>
      <w:r w:rsidRPr="002B5E33">
        <w:rPr>
          <w:rFonts w:hint="eastAsia"/>
          <w:rtl/>
        </w:rPr>
        <w:t>בכל</w:t>
      </w:r>
      <w:r w:rsidRPr="002B5E33">
        <w:rPr>
          <w:rtl/>
        </w:rPr>
        <w:t xml:space="preserve"> </w:t>
      </w:r>
      <w:r w:rsidRPr="002B5E33">
        <w:rPr>
          <w:rFonts w:hint="eastAsia"/>
          <w:rtl/>
        </w:rPr>
        <w:t>תיק</w:t>
      </w:r>
      <w:r w:rsidRPr="002B5E33">
        <w:rPr>
          <w:rtl/>
        </w:rPr>
        <w:t xml:space="preserve"> </w:t>
      </w:r>
      <w:r w:rsidRPr="002B5E33">
        <w:rPr>
          <w:rFonts w:hint="eastAsia"/>
          <w:rtl/>
        </w:rPr>
        <w:t>אם</w:t>
      </w:r>
      <w:r w:rsidRPr="002B5E33">
        <w:rPr>
          <w:rtl/>
        </w:rPr>
        <w:t xml:space="preserve"> </w:t>
      </w:r>
      <w:r w:rsidRPr="002B5E33">
        <w:rPr>
          <w:rFonts w:hint="eastAsia"/>
          <w:rtl/>
        </w:rPr>
        <w:t>ניתן</w:t>
      </w:r>
      <w:r w:rsidRPr="002B5E33">
        <w:rPr>
          <w:rtl/>
        </w:rPr>
        <w:t xml:space="preserve"> </w:t>
      </w:r>
      <w:r w:rsidRPr="002B5E33">
        <w:rPr>
          <w:rFonts w:hint="eastAsia"/>
          <w:rtl/>
        </w:rPr>
        <w:t>סעד</w:t>
      </w:r>
      <w:r w:rsidRPr="002B5E33">
        <w:rPr>
          <w:rtl/>
        </w:rPr>
        <w:t xml:space="preserve"> </w:t>
      </w:r>
      <w:r w:rsidRPr="002B5E33">
        <w:rPr>
          <w:rFonts w:hint="eastAsia"/>
          <w:rtl/>
        </w:rPr>
        <w:t>כלשהו</w:t>
      </w:r>
      <w:r w:rsidRPr="002B5E33">
        <w:rPr>
          <w:rtl/>
        </w:rPr>
        <w:t xml:space="preserve"> </w:t>
      </w:r>
      <w:r w:rsidRPr="002B5E33">
        <w:rPr>
          <w:rFonts w:hint="eastAsia"/>
          <w:rtl/>
        </w:rPr>
        <w:t>לפונה</w:t>
      </w:r>
      <w:r w:rsidRPr="002B5E33">
        <w:rPr>
          <w:rtl/>
        </w:rPr>
        <w:t xml:space="preserve"> </w:t>
      </w:r>
      <w:r w:rsidRPr="002B5E33">
        <w:rPr>
          <w:rFonts w:hint="eastAsia"/>
          <w:rtl/>
        </w:rPr>
        <w:t>וכן</w:t>
      </w:r>
      <w:r w:rsidRPr="002B5E33">
        <w:rPr>
          <w:rtl/>
        </w:rPr>
        <w:t xml:space="preserve"> </w:t>
      </w:r>
      <w:r w:rsidRPr="002B5E33">
        <w:rPr>
          <w:rFonts w:hint="eastAsia"/>
          <w:rtl/>
        </w:rPr>
        <w:t>לפרט</w:t>
      </w:r>
      <w:r w:rsidRPr="002B5E33">
        <w:rPr>
          <w:rtl/>
        </w:rPr>
        <w:t xml:space="preserve"> </w:t>
      </w:r>
      <w:r w:rsidRPr="002B5E33">
        <w:rPr>
          <w:rFonts w:hint="eastAsia"/>
          <w:rtl/>
        </w:rPr>
        <w:t>איזה</w:t>
      </w:r>
      <w:r w:rsidRPr="002B5E33">
        <w:rPr>
          <w:rtl/>
        </w:rPr>
        <w:t xml:space="preserve"> </w:t>
      </w:r>
      <w:r w:rsidRPr="002B5E33">
        <w:rPr>
          <w:rFonts w:hint="eastAsia"/>
          <w:rtl/>
        </w:rPr>
        <w:t>סעד</w:t>
      </w:r>
      <w:r w:rsidRPr="002B5E33">
        <w:rPr>
          <w:rtl/>
        </w:rPr>
        <w:t xml:space="preserve"> </w:t>
      </w:r>
      <w:r w:rsidRPr="002B5E33">
        <w:rPr>
          <w:rFonts w:hint="eastAsia"/>
          <w:rtl/>
        </w:rPr>
        <w:t>ניתן</w:t>
      </w:r>
      <w:r w:rsidRPr="002B5E33">
        <w:rPr>
          <w:rtl/>
        </w:rPr>
        <w:t xml:space="preserve"> (כספי </w:t>
      </w:r>
      <w:r w:rsidRPr="002B5E33">
        <w:rPr>
          <w:rFonts w:hint="eastAsia"/>
          <w:rtl/>
        </w:rPr>
        <w:t>או</w:t>
      </w:r>
      <w:r w:rsidRPr="002B5E33">
        <w:rPr>
          <w:rtl/>
        </w:rPr>
        <w:t xml:space="preserve"> </w:t>
      </w:r>
      <w:r w:rsidRPr="002B5E33">
        <w:rPr>
          <w:rFonts w:hint="eastAsia"/>
          <w:rtl/>
        </w:rPr>
        <w:t>אחר</w:t>
      </w:r>
      <w:r w:rsidRPr="002B5E33">
        <w:rPr>
          <w:rtl/>
        </w:rPr>
        <w:t xml:space="preserve">), </w:t>
      </w:r>
      <w:r w:rsidRPr="002B5E33">
        <w:rPr>
          <w:rFonts w:hint="eastAsia"/>
          <w:rtl/>
        </w:rPr>
        <w:t>במידה</w:t>
      </w:r>
      <w:r w:rsidRPr="002B5E33">
        <w:rPr>
          <w:rtl/>
        </w:rPr>
        <w:t xml:space="preserve"> </w:t>
      </w:r>
      <w:r w:rsidRPr="002B5E33">
        <w:rPr>
          <w:rFonts w:hint="eastAsia"/>
          <w:rtl/>
        </w:rPr>
        <w:t>וניתן</w:t>
      </w:r>
      <w:r w:rsidRPr="002B5E33">
        <w:rPr>
          <w:rtl/>
        </w:rPr>
        <w:t xml:space="preserve"> </w:t>
      </w:r>
      <w:r w:rsidRPr="002B5E33">
        <w:rPr>
          <w:rFonts w:hint="eastAsia"/>
          <w:rtl/>
        </w:rPr>
        <w:t>סעד</w:t>
      </w:r>
      <w:r w:rsidRPr="002B5E33">
        <w:rPr>
          <w:rtl/>
        </w:rPr>
        <w:t xml:space="preserve"> </w:t>
      </w:r>
      <w:r w:rsidRPr="002B5E33">
        <w:rPr>
          <w:rFonts w:hint="eastAsia"/>
          <w:rtl/>
        </w:rPr>
        <w:t>כספי</w:t>
      </w:r>
      <w:r w:rsidRPr="002B5E33">
        <w:rPr>
          <w:rtl/>
        </w:rPr>
        <w:t xml:space="preserve"> </w:t>
      </w:r>
      <w:r w:rsidRPr="002B5E33">
        <w:rPr>
          <w:rFonts w:hint="eastAsia"/>
          <w:rtl/>
        </w:rPr>
        <w:t>לפרט</w:t>
      </w:r>
      <w:r w:rsidRPr="002B5E33">
        <w:rPr>
          <w:rtl/>
        </w:rPr>
        <w:t xml:space="preserve"> </w:t>
      </w:r>
      <w:r w:rsidRPr="002B5E33">
        <w:rPr>
          <w:rFonts w:hint="eastAsia"/>
          <w:rtl/>
        </w:rPr>
        <w:t>את</w:t>
      </w:r>
      <w:r w:rsidRPr="002B5E33">
        <w:rPr>
          <w:rtl/>
        </w:rPr>
        <w:t xml:space="preserve"> </w:t>
      </w:r>
      <w:r w:rsidRPr="002B5E33">
        <w:rPr>
          <w:rFonts w:hint="eastAsia"/>
          <w:rtl/>
        </w:rPr>
        <w:t>הסכום</w:t>
      </w:r>
      <w:r w:rsidRPr="002B5E33">
        <w:rPr>
          <w:rtl/>
        </w:rPr>
        <w:t xml:space="preserve"> </w:t>
      </w:r>
      <w:r w:rsidRPr="002B5E33">
        <w:rPr>
          <w:rFonts w:hint="eastAsia"/>
          <w:rtl/>
        </w:rPr>
        <w:t>ועוד</w:t>
      </w:r>
      <w:r w:rsidRPr="002B5E33">
        <w:rPr>
          <w:rtl/>
        </w:rPr>
        <w:t xml:space="preserve">. </w:t>
      </w:r>
      <w:r w:rsidRPr="002B5E33">
        <w:rPr>
          <w:rFonts w:hint="eastAsia"/>
          <w:rtl/>
        </w:rPr>
        <w:t>נתון</w:t>
      </w:r>
      <w:r w:rsidRPr="002B5E33">
        <w:rPr>
          <w:rtl/>
        </w:rPr>
        <w:t xml:space="preserve"> </w:t>
      </w:r>
      <w:r w:rsidRPr="002B5E33">
        <w:rPr>
          <w:rFonts w:hint="eastAsia"/>
          <w:rtl/>
        </w:rPr>
        <w:t>זה</w:t>
      </w:r>
      <w:r w:rsidRPr="002B5E33">
        <w:rPr>
          <w:rtl/>
        </w:rPr>
        <w:t xml:space="preserve"> </w:t>
      </w:r>
      <w:r w:rsidRPr="002B5E33">
        <w:rPr>
          <w:rFonts w:hint="eastAsia"/>
          <w:rtl/>
        </w:rPr>
        <w:t>יעזור</w:t>
      </w:r>
      <w:r w:rsidRPr="002B5E33">
        <w:rPr>
          <w:rtl/>
        </w:rPr>
        <w:t xml:space="preserve"> </w:t>
      </w:r>
      <w:r w:rsidRPr="002B5E33">
        <w:rPr>
          <w:rFonts w:hint="eastAsia"/>
          <w:rtl/>
        </w:rPr>
        <w:t>לנו</w:t>
      </w:r>
      <w:r w:rsidRPr="002B5E33">
        <w:rPr>
          <w:rtl/>
        </w:rPr>
        <w:t xml:space="preserve"> </w:t>
      </w:r>
      <w:r w:rsidRPr="002B5E33">
        <w:rPr>
          <w:rFonts w:hint="eastAsia"/>
          <w:rtl/>
        </w:rPr>
        <w:t>לפלח</w:t>
      </w:r>
      <w:r w:rsidRPr="002B5E33">
        <w:rPr>
          <w:rtl/>
        </w:rPr>
        <w:t xml:space="preserve"> </w:t>
      </w:r>
      <w:r w:rsidRPr="002B5E33">
        <w:rPr>
          <w:rFonts w:hint="eastAsia"/>
          <w:rtl/>
        </w:rPr>
        <w:t>את</w:t>
      </w:r>
      <w:r w:rsidRPr="002B5E33">
        <w:rPr>
          <w:rtl/>
        </w:rPr>
        <w:t xml:space="preserve"> </w:t>
      </w:r>
      <w:r w:rsidRPr="002B5E33">
        <w:rPr>
          <w:rFonts w:hint="eastAsia"/>
          <w:rtl/>
        </w:rPr>
        <w:t>התלונות</w:t>
      </w:r>
      <w:r w:rsidRPr="002B5E33">
        <w:rPr>
          <w:rtl/>
        </w:rPr>
        <w:t xml:space="preserve"> </w:t>
      </w:r>
      <w:r w:rsidRPr="002B5E33">
        <w:rPr>
          <w:rFonts w:hint="eastAsia"/>
          <w:rtl/>
        </w:rPr>
        <w:t>באופן</w:t>
      </w:r>
      <w:r w:rsidRPr="002B5E33">
        <w:rPr>
          <w:rtl/>
        </w:rPr>
        <w:t xml:space="preserve"> </w:t>
      </w:r>
      <w:r w:rsidRPr="002B5E33">
        <w:rPr>
          <w:rFonts w:hint="eastAsia"/>
          <w:rtl/>
        </w:rPr>
        <w:t>מדויק</w:t>
      </w:r>
      <w:r w:rsidRPr="002B5E33">
        <w:rPr>
          <w:rtl/>
        </w:rPr>
        <w:t xml:space="preserve"> </w:t>
      </w:r>
      <w:r w:rsidRPr="002B5E33">
        <w:rPr>
          <w:rFonts w:hint="eastAsia"/>
          <w:rtl/>
        </w:rPr>
        <w:t>ונכון</w:t>
      </w:r>
      <w:r w:rsidRPr="002B5E33">
        <w:rPr>
          <w:rtl/>
        </w:rPr>
        <w:t xml:space="preserve"> </w:t>
      </w:r>
      <w:r w:rsidRPr="002B5E33">
        <w:rPr>
          <w:rFonts w:hint="eastAsia"/>
          <w:rtl/>
        </w:rPr>
        <w:t>יותר</w:t>
      </w:r>
      <w:r w:rsidRPr="002B5E33">
        <w:rPr>
          <w:rtl/>
        </w:rPr>
        <w:t>"</w:t>
      </w:r>
      <w:r w:rsidRPr="002B5E33">
        <w:rPr>
          <w:rFonts w:hint="cs"/>
          <w:rtl/>
        </w:rPr>
        <w:t>.</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נמצא </w:t>
      </w:r>
      <w:r w:rsidRPr="002B5E33">
        <w:rPr>
          <w:rtl/>
        </w:rPr>
        <w:t xml:space="preserve">כי </w:t>
      </w:r>
      <w:r w:rsidRPr="002B5E33">
        <w:rPr>
          <w:rFonts w:hint="eastAsia"/>
          <w:rtl/>
        </w:rPr>
        <w:t>בשנים</w:t>
      </w:r>
      <w:r w:rsidRPr="002B5E33">
        <w:rPr>
          <w:rFonts w:hint="cs"/>
          <w:rtl/>
        </w:rPr>
        <w:t xml:space="preserve"> 2015 - 2018</w:t>
      </w:r>
      <w:r w:rsidRPr="002B5E33">
        <w:rPr>
          <w:rtl/>
        </w:rPr>
        <w:t xml:space="preserve">, רק </w:t>
      </w:r>
      <w:r w:rsidRPr="002B5E33">
        <w:rPr>
          <w:rFonts w:hint="cs"/>
          <w:rtl/>
        </w:rPr>
        <w:t xml:space="preserve">767 </w:t>
      </w:r>
      <w:r w:rsidRPr="002B5E33">
        <w:rPr>
          <w:rFonts w:hint="eastAsia"/>
          <w:rtl/>
        </w:rPr>
        <w:t>תלונות</w:t>
      </w:r>
      <w:r w:rsidRPr="002B5E33">
        <w:rPr>
          <w:rtl/>
        </w:rPr>
        <w:t xml:space="preserve">, </w:t>
      </w:r>
      <w:r w:rsidRPr="002B5E33">
        <w:rPr>
          <w:rFonts w:hint="cs"/>
          <w:rtl/>
        </w:rPr>
        <w:t>שהן</w:t>
      </w:r>
      <w:r w:rsidRPr="002B5E33">
        <w:rPr>
          <w:rtl/>
        </w:rPr>
        <w:t xml:space="preserve"> </w:t>
      </w:r>
      <w:r>
        <w:rPr>
          <w:rtl/>
        </w:rPr>
        <w:t>כ-</w:t>
      </w:r>
      <w:r w:rsidRPr="002B5E33">
        <w:rPr>
          <w:rFonts w:hint="cs"/>
          <w:rtl/>
        </w:rPr>
        <w:t>8.7%</w:t>
      </w:r>
      <w:r w:rsidRPr="002B5E33">
        <w:rPr>
          <w:rtl/>
        </w:rPr>
        <w:t xml:space="preserve"> מהתלונות שהוגשו לרשות </w:t>
      </w:r>
      <w:r w:rsidRPr="002B5E33">
        <w:rPr>
          <w:rFonts w:hint="cs"/>
          <w:rtl/>
        </w:rPr>
        <w:t>בתחום ביטוח הבריאות, נקבעו מוצדקות או בלתי מוצדקות על ידי</w:t>
      </w:r>
      <w:r>
        <w:rPr>
          <w:rFonts w:hint="cs"/>
          <w:rtl/>
        </w:rPr>
        <w:t xml:space="preserve"> </w:t>
      </w:r>
      <w:r w:rsidRPr="002B5E33">
        <w:rPr>
          <w:rFonts w:hint="cs"/>
          <w:rtl/>
        </w:rPr>
        <w:t>גורמים מקצועיים ברשות, ומהן רק ב-11.9% התקבלה באופן חלקי או מלא עמדת המתלונן</w:t>
      </w:r>
      <w:r w:rsidRPr="002B5E33">
        <w:rPr>
          <w:rtl/>
        </w:rPr>
        <w:t xml:space="preserve">. </w:t>
      </w:r>
      <w:r w:rsidRPr="002B5E33">
        <w:rPr>
          <w:rFonts w:hint="cs"/>
          <w:rtl/>
        </w:rPr>
        <w:t xml:space="preserve">מרבית </w:t>
      </w:r>
      <w:r w:rsidRPr="002B5E33">
        <w:rPr>
          <w:rtl/>
        </w:rPr>
        <w:t xml:space="preserve">התלונות המסתיימות במתן סעד למתלונן, </w:t>
      </w:r>
      <w:r w:rsidRPr="002B5E33">
        <w:rPr>
          <w:rFonts w:hint="eastAsia"/>
          <w:rtl/>
        </w:rPr>
        <w:t>כ</w:t>
      </w:r>
      <w:r w:rsidRPr="002B5E33">
        <w:rPr>
          <w:rtl/>
        </w:rPr>
        <w:t>-</w:t>
      </w:r>
      <w:r w:rsidRPr="002B5E33">
        <w:rPr>
          <w:rFonts w:hint="cs"/>
          <w:rtl/>
        </w:rPr>
        <w:t xml:space="preserve">31% </w:t>
      </w:r>
      <w:r w:rsidRPr="002B5E33">
        <w:rPr>
          <w:rtl/>
        </w:rPr>
        <w:t>בממוצע ר</w:t>
      </w:r>
      <w:r>
        <w:rPr>
          <w:rtl/>
        </w:rPr>
        <w:t>ב-</w:t>
      </w:r>
      <w:r w:rsidRPr="002B5E33">
        <w:rPr>
          <w:rtl/>
        </w:rPr>
        <w:t>שנתי לשנים</w:t>
      </w:r>
      <w:r w:rsidRPr="002B5E33">
        <w:rPr>
          <w:rFonts w:hint="cs"/>
          <w:rtl/>
        </w:rPr>
        <w:t xml:space="preserve"> האמורות</w:t>
      </w:r>
      <w:r w:rsidRPr="002B5E33">
        <w:rPr>
          <w:rtl/>
        </w:rPr>
        <w:t xml:space="preserve">, </w:t>
      </w:r>
      <w:r w:rsidRPr="002B5E33">
        <w:rPr>
          <w:rFonts w:hint="eastAsia"/>
          <w:rtl/>
        </w:rPr>
        <w:t>אינן</w:t>
      </w:r>
      <w:r w:rsidRPr="002B5E33">
        <w:rPr>
          <w:rtl/>
        </w:rPr>
        <w:t xml:space="preserve"> מגיעות כלל לבחינת הגורמים המקצועיים ברשות, שכן </w:t>
      </w:r>
      <w:r w:rsidRPr="002B5E33">
        <w:rPr>
          <w:rFonts w:hint="cs"/>
          <w:rtl/>
        </w:rPr>
        <w:t>הן</w:t>
      </w:r>
      <w:r w:rsidRPr="002B5E33">
        <w:rPr>
          <w:rtl/>
        </w:rPr>
        <w:t xml:space="preserve"> נסגרות בשלב תגובת הגוף המפוקח לתלונה.</w:t>
      </w:r>
      <w:r>
        <w:rPr>
          <w:rtl/>
        </w:rPr>
        <w:t xml:space="preserve">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b/>
          <w:bCs/>
          <w:rtl/>
        </w:rPr>
        <w:t>משרד מבקר המדינה ממליץ לרשות לבחון דרכים להרחבת בחינת התלונות על ידי הגורמים המקצועיים ברשות, ובפרט תלונות שניתן בהן סעד לפונים על ידי הגופים המפוקחים. הדבר נדרש לצורך מתן מענה מקצועי לפונה וכן כדי למנף את הטיפול הנקודתי בפניות לטיפול בבעיות מערכתיות העולות מהן</w:t>
      </w:r>
      <w:r w:rsidRPr="002B5E33">
        <w:rPr>
          <w:rFonts w:hint="cs"/>
          <w:rtl/>
        </w:rPr>
        <w:t>.</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בתרשים שלהלן פירוט משך הטיפול בתלונות שהרשות הכריעה כי הן מוצדקות, בכלל נושאי הטיפול של הרשות ובתחום ביטוחי הבריאות. </w:t>
      </w:r>
    </w:p>
    <w:p w:rsidR="00FA3E7D" w:rsidRPr="002B5E33" w:rsidP="00FA3E7D">
      <w:pPr>
        <w:pStyle w:val="a"/>
        <w:spacing w:line="269" w:lineRule="auto"/>
        <w:rPr>
          <w:rtl/>
        </w:rPr>
      </w:pPr>
    </w:p>
    <w:p w:rsidR="00FA3E7D" w:rsidRPr="002B5E33" w:rsidP="00CC69AB">
      <w:pPr>
        <w:spacing w:line="269" w:lineRule="auto"/>
        <w:rPr>
          <w:b/>
          <w:bCs/>
          <w:rtl/>
        </w:rPr>
      </w:pPr>
      <w:r w:rsidRPr="002B5E33">
        <w:rPr>
          <w:rFonts w:hint="cs"/>
          <w:b/>
          <w:bCs/>
          <w:rtl/>
        </w:rPr>
        <w:t>תרשים 17</w:t>
      </w:r>
      <w:r w:rsidR="00CC69AB">
        <w:rPr>
          <w:rFonts w:hint="cs"/>
          <w:b/>
          <w:bCs/>
          <w:rtl/>
        </w:rPr>
        <w:t xml:space="preserve">: </w:t>
      </w:r>
      <w:r w:rsidRPr="002B5E33">
        <w:rPr>
          <w:rFonts w:hint="eastAsia"/>
          <w:b/>
          <w:bCs/>
          <w:rtl/>
        </w:rPr>
        <w:t>משך</w:t>
      </w:r>
      <w:r w:rsidRPr="002B5E33">
        <w:rPr>
          <w:b/>
          <w:bCs/>
          <w:rtl/>
        </w:rPr>
        <w:t xml:space="preserve"> </w:t>
      </w:r>
      <w:r w:rsidRPr="002B5E33">
        <w:rPr>
          <w:rFonts w:hint="eastAsia"/>
          <w:b/>
          <w:bCs/>
          <w:rtl/>
        </w:rPr>
        <w:t>הטיפול</w:t>
      </w:r>
      <w:r w:rsidRPr="002B5E33">
        <w:rPr>
          <w:b/>
          <w:bCs/>
          <w:rtl/>
        </w:rPr>
        <w:t xml:space="preserve"> </w:t>
      </w:r>
      <w:r w:rsidRPr="002B5E33">
        <w:rPr>
          <w:rFonts w:hint="eastAsia"/>
          <w:b/>
          <w:bCs/>
          <w:rtl/>
        </w:rPr>
        <w:t>בתלונות</w:t>
      </w:r>
      <w:r w:rsidRPr="002B5E33">
        <w:rPr>
          <w:b/>
          <w:bCs/>
          <w:rtl/>
        </w:rPr>
        <w:t xml:space="preserve"> </w:t>
      </w:r>
      <w:r w:rsidRPr="002B5E33">
        <w:rPr>
          <w:rFonts w:hint="eastAsia"/>
          <w:b/>
          <w:bCs/>
          <w:rtl/>
        </w:rPr>
        <w:t>שהוכרע</w:t>
      </w:r>
      <w:r w:rsidRPr="002B5E33">
        <w:rPr>
          <w:b/>
          <w:bCs/>
          <w:rtl/>
        </w:rPr>
        <w:t xml:space="preserve"> </w:t>
      </w:r>
      <w:r w:rsidRPr="002B5E33">
        <w:rPr>
          <w:rFonts w:hint="eastAsia"/>
          <w:b/>
          <w:bCs/>
          <w:rtl/>
        </w:rPr>
        <w:t>ברשות</w:t>
      </w:r>
      <w:r w:rsidRPr="002B5E33">
        <w:rPr>
          <w:b/>
          <w:bCs/>
          <w:rtl/>
        </w:rPr>
        <w:t xml:space="preserve"> </w:t>
      </w:r>
      <w:r w:rsidRPr="002B5E33">
        <w:rPr>
          <w:rFonts w:hint="eastAsia"/>
          <w:b/>
          <w:bCs/>
          <w:rtl/>
        </w:rPr>
        <w:t>כי</w:t>
      </w:r>
      <w:r w:rsidRPr="002B5E33">
        <w:rPr>
          <w:b/>
          <w:bCs/>
          <w:rtl/>
        </w:rPr>
        <w:t xml:space="preserve"> </w:t>
      </w:r>
      <w:r w:rsidRPr="002B5E33">
        <w:rPr>
          <w:rFonts w:hint="eastAsia"/>
          <w:b/>
          <w:bCs/>
          <w:rtl/>
        </w:rPr>
        <w:t>הן</w:t>
      </w:r>
      <w:r w:rsidRPr="002B5E33">
        <w:rPr>
          <w:b/>
          <w:bCs/>
          <w:rtl/>
        </w:rPr>
        <w:t xml:space="preserve"> </w:t>
      </w:r>
      <w:r w:rsidRPr="002B5E33">
        <w:rPr>
          <w:rFonts w:hint="eastAsia"/>
          <w:b/>
          <w:bCs/>
          <w:rtl/>
        </w:rPr>
        <w:t>מוצדקות</w:t>
      </w:r>
      <w:r w:rsidRPr="002B5E33">
        <w:rPr>
          <w:b/>
          <w:bCs/>
          <w:rtl/>
        </w:rPr>
        <w:t xml:space="preserve"> (בימים) </w:t>
      </w:r>
      <w:r w:rsidRPr="002B5E33">
        <w:rPr>
          <w:rFonts w:hint="eastAsia"/>
          <w:b/>
          <w:bCs/>
          <w:rtl/>
        </w:rPr>
        <w:t>בשנים</w:t>
      </w:r>
      <w:r w:rsidRPr="002B5E33">
        <w:rPr>
          <w:b/>
          <w:bCs/>
          <w:rtl/>
        </w:rPr>
        <w:t xml:space="preserve"> 2018-2015</w:t>
      </w:r>
    </w:p>
    <w:p w:rsidR="00FA3E7D" w:rsidRPr="002B5E33" w:rsidP="00CC69AB">
      <w:pPr>
        <w:spacing w:before="120" w:after="120" w:line="269" w:lineRule="auto"/>
        <w:ind w:left="312"/>
        <w:jc w:val="center"/>
        <w:rPr>
          <w:rtl/>
        </w:rPr>
      </w:pPr>
      <w:r>
        <w:rPr>
          <w:noProof/>
          <w:rtl/>
        </w:rPr>
        <w:drawing>
          <wp:inline distT="0" distB="0" distL="0" distR="0">
            <wp:extent cx="4328169" cy="2474981"/>
            <wp:effectExtent l="0" t="0" r="0" b="1905"/>
            <wp:docPr id="1493377107" name="תמונה 149337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6664" name="commercial-health-insurance-g-17.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74981"/>
                    </a:xfrm>
                    <a:prstGeom prst="rect">
                      <a:avLst/>
                    </a:prstGeom>
                  </pic:spPr>
                </pic:pic>
              </a:graphicData>
            </a:graphic>
          </wp:inline>
        </w:drawing>
      </w:r>
    </w:p>
    <w:p w:rsidR="00FA3E7D" w:rsidRPr="00555D55" w:rsidP="003F7589">
      <w:pPr>
        <w:spacing w:line="269" w:lineRule="auto"/>
        <w:ind w:hanging="1"/>
        <w:jc w:val="left"/>
        <w:rPr>
          <w:sz w:val="22"/>
          <w:szCs w:val="22"/>
          <w:rtl/>
        </w:rPr>
      </w:pPr>
      <w:r w:rsidRPr="00555D55">
        <w:rPr>
          <w:rFonts w:hint="eastAsia"/>
          <w:sz w:val="22"/>
          <w:szCs w:val="22"/>
          <w:rtl/>
        </w:rPr>
        <w:t>מקור</w:t>
      </w:r>
      <w:r w:rsidRPr="00555D55">
        <w:rPr>
          <w:sz w:val="22"/>
          <w:szCs w:val="22"/>
          <w:rtl/>
        </w:rPr>
        <w:t xml:space="preserve">: </w:t>
      </w:r>
      <w:r w:rsidRPr="00555D55">
        <w:rPr>
          <w:rFonts w:hint="eastAsia"/>
          <w:sz w:val="22"/>
          <w:szCs w:val="22"/>
          <w:rtl/>
        </w:rPr>
        <w:t>נתוני</w:t>
      </w:r>
      <w:r w:rsidRPr="00555D55">
        <w:rPr>
          <w:sz w:val="22"/>
          <w:szCs w:val="22"/>
          <w:rtl/>
        </w:rPr>
        <w:t xml:space="preserve"> </w:t>
      </w:r>
      <w:r w:rsidRPr="00555D55">
        <w:rPr>
          <w:rFonts w:hint="eastAsia"/>
          <w:sz w:val="22"/>
          <w:szCs w:val="22"/>
          <w:rtl/>
        </w:rPr>
        <w:t>רשות</w:t>
      </w:r>
      <w:r w:rsidRPr="00555D55">
        <w:rPr>
          <w:sz w:val="22"/>
          <w:szCs w:val="22"/>
          <w:rtl/>
        </w:rPr>
        <w:t xml:space="preserve"> </w:t>
      </w:r>
      <w:r w:rsidRPr="00555D55">
        <w:rPr>
          <w:rFonts w:hint="eastAsia"/>
          <w:sz w:val="22"/>
          <w:szCs w:val="22"/>
          <w:rtl/>
        </w:rPr>
        <w:t>שוק</w:t>
      </w:r>
      <w:r w:rsidRPr="00555D55">
        <w:rPr>
          <w:sz w:val="22"/>
          <w:szCs w:val="22"/>
          <w:rtl/>
        </w:rPr>
        <w:t xml:space="preserve"> </w:t>
      </w:r>
      <w:r w:rsidRPr="00555D55">
        <w:rPr>
          <w:rFonts w:hint="eastAsia"/>
          <w:sz w:val="22"/>
          <w:szCs w:val="22"/>
          <w:rtl/>
        </w:rPr>
        <w:t>ההון</w:t>
      </w:r>
      <w:r w:rsidRPr="00555D55">
        <w:rPr>
          <w:sz w:val="22"/>
          <w:szCs w:val="22"/>
          <w:rtl/>
        </w:rPr>
        <w:t xml:space="preserve">, </w:t>
      </w:r>
      <w:r w:rsidRPr="00555D55">
        <w:rPr>
          <w:rFonts w:hint="eastAsia"/>
          <w:sz w:val="22"/>
          <w:szCs w:val="22"/>
          <w:rtl/>
        </w:rPr>
        <w:t>בעיבוד</w:t>
      </w:r>
      <w:r w:rsidRPr="00555D55">
        <w:rPr>
          <w:sz w:val="22"/>
          <w:szCs w:val="22"/>
          <w:rtl/>
        </w:rPr>
        <w:t xml:space="preserve"> </w:t>
      </w:r>
      <w:r w:rsidRPr="00555D55">
        <w:rPr>
          <w:rFonts w:hint="eastAsia"/>
          <w:sz w:val="22"/>
          <w:szCs w:val="22"/>
          <w:rtl/>
        </w:rPr>
        <w:t>משרד</w:t>
      </w:r>
      <w:r w:rsidRPr="00555D55">
        <w:rPr>
          <w:sz w:val="22"/>
          <w:szCs w:val="22"/>
          <w:rtl/>
        </w:rPr>
        <w:t xml:space="preserve"> </w:t>
      </w:r>
      <w:r w:rsidRPr="00555D55">
        <w:rPr>
          <w:rFonts w:hint="eastAsia"/>
          <w:sz w:val="22"/>
          <w:szCs w:val="22"/>
          <w:rtl/>
        </w:rPr>
        <w:t>מבקר</w:t>
      </w:r>
      <w:r w:rsidRPr="00555D55">
        <w:rPr>
          <w:sz w:val="22"/>
          <w:szCs w:val="22"/>
          <w:rtl/>
        </w:rPr>
        <w:t xml:space="preserve"> </w:t>
      </w:r>
      <w:r w:rsidRPr="00555D55">
        <w:rPr>
          <w:rFonts w:hint="eastAsia"/>
          <w:sz w:val="22"/>
          <w:szCs w:val="22"/>
          <w:rtl/>
        </w:rPr>
        <w:t>המדינה</w:t>
      </w:r>
      <w:r w:rsidR="007D53AF">
        <w:rPr>
          <w:rFonts w:hint="cs"/>
          <w:sz w:val="22"/>
          <w:szCs w:val="22"/>
          <w:rtl/>
        </w:rPr>
        <w:t>.</w:t>
      </w:r>
    </w:p>
    <w:p w:rsidR="005F40C7">
      <w:pPr>
        <w:bidi w:val="0"/>
        <w:spacing w:after="200" w:line="276" w:lineRule="auto"/>
        <w:rPr>
          <w:szCs w:val="20"/>
          <w:rtl/>
        </w:rPr>
      </w:pPr>
      <w:r>
        <w:rPr>
          <w:szCs w:val="20"/>
          <w:rtl/>
        </w:rPr>
        <w:br w:type="page"/>
      </w:r>
    </w:p>
    <w:p w:rsidR="00FA3E7D" w:rsidRPr="002B5E33" w:rsidP="00FA3E7D">
      <w:pPr>
        <w:spacing w:line="269" w:lineRule="auto"/>
        <w:rPr>
          <w:b/>
          <w:bCs/>
          <w:rtl/>
        </w:rPr>
      </w:pPr>
      <w:r w:rsidRPr="002B5E33">
        <w:rPr>
          <w:rFonts w:hint="eastAsia"/>
          <w:b/>
          <w:bCs/>
          <w:rtl/>
        </w:rPr>
        <w:t>משך</w:t>
      </w:r>
      <w:r w:rsidRPr="002B5E33">
        <w:rPr>
          <w:b/>
          <w:bCs/>
          <w:rtl/>
        </w:rPr>
        <w:t xml:space="preserve"> </w:t>
      </w:r>
      <w:r w:rsidRPr="002B5E33">
        <w:rPr>
          <w:rFonts w:hint="eastAsia"/>
          <w:b/>
          <w:bCs/>
          <w:rtl/>
        </w:rPr>
        <w:t>טיפול</w:t>
      </w:r>
      <w:r w:rsidRPr="002B5E33">
        <w:rPr>
          <w:b/>
          <w:bCs/>
          <w:rtl/>
        </w:rPr>
        <w:t xml:space="preserve"> של </w:t>
      </w:r>
      <w:r>
        <w:rPr>
          <w:b/>
          <w:bCs/>
          <w:rtl/>
        </w:rPr>
        <w:t>כ-</w:t>
      </w:r>
      <w:r w:rsidRPr="002B5E33">
        <w:rPr>
          <w:b/>
          <w:bCs/>
          <w:rtl/>
        </w:rPr>
        <w:t xml:space="preserve">260 </w:t>
      </w:r>
      <w:r w:rsidRPr="002B5E33">
        <w:rPr>
          <w:rFonts w:hint="eastAsia"/>
          <w:b/>
          <w:bCs/>
          <w:rtl/>
        </w:rPr>
        <w:t>ימים</w:t>
      </w:r>
      <w:r w:rsidRPr="002B5E33">
        <w:rPr>
          <w:b/>
          <w:bCs/>
          <w:rtl/>
        </w:rPr>
        <w:t xml:space="preserve"> </w:t>
      </w:r>
      <w:r w:rsidRPr="002B5E33">
        <w:rPr>
          <w:rFonts w:hint="eastAsia"/>
          <w:b/>
          <w:bCs/>
          <w:rtl/>
        </w:rPr>
        <w:t>בכלל</w:t>
      </w:r>
      <w:r w:rsidRPr="002B5E33">
        <w:rPr>
          <w:b/>
          <w:bCs/>
          <w:rtl/>
        </w:rPr>
        <w:t xml:space="preserve"> תחומי הטיפול של הרשות ושל כ-290 ימים בתחום ביטוחי הבריאות </w:t>
      </w:r>
      <w:r w:rsidRPr="002B5E33">
        <w:rPr>
          <w:rFonts w:hint="cs"/>
          <w:b/>
          <w:bCs/>
          <w:rtl/>
        </w:rPr>
        <w:t xml:space="preserve">עלול לפגוע במידת האמון שהציבור רוחש לרשות. כמו כן, בשל מיעוט התלונות המגיעות לטיפולם של הגורמים המקצועיים ברשות לא מתבצעת באופן מיטבי </w:t>
      </w:r>
      <w:r w:rsidRPr="002B5E33">
        <w:rPr>
          <w:rFonts w:hint="eastAsia"/>
          <w:b/>
          <w:bCs/>
          <w:rtl/>
        </w:rPr>
        <w:t>הפקת</w:t>
      </w:r>
      <w:r w:rsidRPr="002B5E33">
        <w:rPr>
          <w:b/>
          <w:bCs/>
          <w:rtl/>
        </w:rPr>
        <w:t xml:space="preserve"> תועלת </w:t>
      </w:r>
      <w:r w:rsidRPr="002B5E33">
        <w:rPr>
          <w:rFonts w:hint="cs"/>
          <w:b/>
          <w:bCs/>
          <w:rtl/>
        </w:rPr>
        <w:t>בראייה מערכתית של כלל התלונות.</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בתשובתה</w:t>
      </w:r>
      <w:r w:rsidRPr="002B5E33">
        <w:rPr>
          <w:rtl/>
        </w:rPr>
        <w:t xml:space="preserve"> </w:t>
      </w:r>
      <w:r w:rsidRPr="002B5E33">
        <w:rPr>
          <w:rFonts w:hint="eastAsia"/>
          <w:rtl/>
        </w:rPr>
        <w:t>כתבה</w:t>
      </w:r>
      <w:r w:rsidRPr="002B5E33">
        <w:rPr>
          <w:rtl/>
        </w:rPr>
        <w:t xml:space="preserve"> </w:t>
      </w:r>
      <w:r w:rsidRPr="002B5E33">
        <w:rPr>
          <w:rFonts w:hint="eastAsia"/>
          <w:rtl/>
        </w:rPr>
        <w:t>הרשות</w:t>
      </w:r>
      <w:r w:rsidRPr="002B5E33">
        <w:rPr>
          <w:rtl/>
        </w:rPr>
        <w:t xml:space="preserve"> </w:t>
      </w:r>
      <w:r w:rsidRPr="002B5E33">
        <w:rPr>
          <w:rFonts w:hint="eastAsia"/>
          <w:rtl/>
        </w:rPr>
        <w:t>כי</w:t>
      </w:r>
      <w:r w:rsidRPr="002B5E33">
        <w:rPr>
          <w:rtl/>
        </w:rPr>
        <w:t xml:space="preserve"> </w:t>
      </w:r>
      <w:r w:rsidRPr="002B5E33">
        <w:rPr>
          <w:rFonts w:hint="eastAsia"/>
          <w:rtl/>
        </w:rPr>
        <w:t>היא</w:t>
      </w:r>
      <w:r w:rsidRPr="002B5E33">
        <w:rPr>
          <w:rtl/>
        </w:rPr>
        <w:t xml:space="preserve"> </w:t>
      </w:r>
      <w:r w:rsidRPr="002B5E33">
        <w:rPr>
          <w:rFonts w:hint="eastAsia"/>
          <w:rtl/>
        </w:rPr>
        <w:t>שואפת</w:t>
      </w:r>
      <w:r w:rsidRPr="002B5E33">
        <w:rPr>
          <w:rtl/>
        </w:rPr>
        <w:t xml:space="preserve"> </w:t>
      </w:r>
      <w:r w:rsidRPr="002B5E33">
        <w:rPr>
          <w:rFonts w:hint="eastAsia"/>
          <w:rtl/>
        </w:rPr>
        <w:t>לקצר</w:t>
      </w:r>
      <w:r w:rsidRPr="002B5E33">
        <w:rPr>
          <w:rtl/>
        </w:rPr>
        <w:t xml:space="preserve"> </w:t>
      </w:r>
      <w:r w:rsidRPr="002B5E33">
        <w:rPr>
          <w:rFonts w:hint="eastAsia"/>
          <w:rtl/>
        </w:rPr>
        <w:t>את</w:t>
      </w:r>
      <w:r w:rsidRPr="002B5E33">
        <w:rPr>
          <w:rtl/>
        </w:rPr>
        <w:t xml:space="preserve"> </w:t>
      </w:r>
      <w:r w:rsidRPr="002B5E33">
        <w:rPr>
          <w:rFonts w:hint="eastAsia"/>
          <w:rtl/>
        </w:rPr>
        <w:t>הזמן</w:t>
      </w:r>
      <w:r w:rsidRPr="002B5E33">
        <w:rPr>
          <w:rtl/>
        </w:rPr>
        <w:t xml:space="preserve"> </w:t>
      </w:r>
      <w:r w:rsidRPr="002B5E33">
        <w:rPr>
          <w:rFonts w:hint="eastAsia"/>
          <w:rtl/>
        </w:rPr>
        <w:t>הנדרש</w:t>
      </w:r>
      <w:r w:rsidRPr="002B5E33">
        <w:rPr>
          <w:rtl/>
        </w:rPr>
        <w:t xml:space="preserve"> </w:t>
      </w:r>
      <w:r w:rsidRPr="002B5E33">
        <w:rPr>
          <w:rFonts w:hint="eastAsia"/>
          <w:rtl/>
        </w:rPr>
        <w:t>לבירור</w:t>
      </w:r>
      <w:r w:rsidRPr="002B5E33">
        <w:rPr>
          <w:rtl/>
        </w:rPr>
        <w:t xml:space="preserve"> </w:t>
      </w:r>
      <w:r w:rsidRPr="002B5E33">
        <w:rPr>
          <w:rFonts w:hint="eastAsia"/>
          <w:rtl/>
        </w:rPr>
        <w:t>הפניות</w:t>
      </w:r>
      <w:r w:rsidRPr="002B5E33">
        <w:rPr>
          <w:rtl/>
        </w:rPr>
        <w:t xml:space="preserve">, </w:t>
      </w:r>
      <w:r w:rsidRPr="002B5E33">
        <w:rPr>
          <w:rFonts w:hint="eastAsia"/>
          <w:rtl/>
        </w:rPr>
        <w:t>אך</w:t>
      </w:r>
      <w:r w:rsidRPr="002B5E33">
        <w:rPr>
          <w:rtl/>
        </w:rPr>
        <w:t xml:space="preserve"> </w:t>
      </w:r>
      <w:r w:rsidRPr="002B5E33">
        <w:rPr>
          <w:rFonts w:hint="cs"/>
          <w:rtl/>
        </w:rPr>
        <w:t xml:space="preserve">אלה </w:t>
      </w:r>
      <w:r w:rsidRPr="002B5E33">
        <w:rPr>
          <w:rFonts w:hint="eastAsia"/>
          <w:rtl/>
        </w:rPr>
        <w:t>שיש</w:t>
      </w:r>
      <w:r w:rsidRPr="002B5E33">
        <w:rPr>
          <w:rtl/>
        </w:rPr>
        <w:t xml:space="preserve"> </w:t>
      </w:r>
      <w:r w:rsidRPr="002B5E33">
        <w:rPr>
          <w:rFonts w:hint="eastAsia"/>
          <w:rtl/>
        </w:rPr>
        <w:t>בהן</w:t>
      </w:r>
      <w:r w:rsidRPr="002B5E33">
        <w:rPr>
          <w:rtl/>
        </w:rPr>
        <w:t xml:space="preserve"> </w:t>
      </w:r>
      <w:r w:rsidRPr="002B5E33">
        <w:rPr>
          <w:rFonts w:hint="eastAsia"/>
          <w:rtl/>
        </w:rPr>
        <w:t>ממש</w:t>
      </w:r>
      <w:r w:rsidRPr="002B5E33">
        <w:rPr>
          <w:rtl/>
        </w:rPr>
        <w:t xml:space="preserve"> </w:t>
      </w:r>
      <w:r w:rsidRPr="002B5E33">
        <w:rPr>
          <w:rFonts w:hint="eastAsia"/>
          <w:rtl/>
        </w:rPr>
        <w:t>מורכבות</w:t>
      </w:r>
      <w:r w:rsidRPr="002B5E33">
        <w:rPr>
          <w:rtl/>
        </w:rPr>
        <w:t xml:space="preserve"> </w:t>
      </w:r>
      <w:r w:rsidRPr="002B5E33">
        <w:rPr>
          <w:rFonts w:hint="eastAsia"/>
          <w:rtl/>
        </w:rPr>
        <w:t>במהותן</w:t>
      </w:r>
      <w:r w:rsidRPr="002B5E33">
        <w:rPr>
          <w:rtl/>
        </w:rPr>
        <w:t xml:space="preserve">, </w:t>
      </w:r>
      <w:r w:rsidRPr="002B5E33">
        <w:rPr>
          <w:rFonts w:hint="eastAsia"/>
          <w:rtl/>
        </w:rPr>
        <w:t>ובירורן</w:t>
      </w:r>
      <w:r w:rsidRPr="002B5E33">
        <w:rPr>
          <w:rtl/>
        </w:rPr>
        <w:t xml:space="preserve"> </w:t>
      </w:r>
      <w:r w:rsidRPr="002B5E33">
        <w:rPr>
          <w:rFonts w:hint="eastAsia"/>
          <w:rtl/>
        </w:rPr>
        <w:t>כרוך</w:t>
      </w:r>
      <w:r w:rsidRPr="002B5E33">
        <w:rPr>
          <w:rtl/>
        </w:rPr>
        <w:t xml:space="preserve"> </w:t>
      </w:r>
      <w:r w:rsidRPr="002B5E33">
        <w:rPr>
          <w:rFonts w:hint="eastAsia"/>
          <w:rtl/>
        </w:rPr>
        <w:t>ב</w:t>
      </w:r>
      <w:r w:rsidRPr="002B5E33">
        <w:rPr>
          <w:rFonts w:hint="cs"/>
          <w:rtl/>
        </w:rPr>
        <w:t>כמה</w:t>
      </w:r>
      <w:r w:rsidRPr="002B5E33">
        <w:rPr>
          <w:rtl/>
        </w:rPr>
        <w:t xml:space="preserve"> </w:t>
      </w:r>
      <w:r w:rsidRPr="002B5E33">
        <w:rPr>
          <w:rFonts w:hint="eastAsia"/>
          <w:rtl/>
        </w:rPr>
        <w:t>שלבי</w:t>
      </w:r>
      <w:r w:rsidRPr="002B5E33">
        <w:rPr>
          <w:rtl/>
        </w:rPr>
        <w:t xml:space="preserve"> </w:t>
      </w:r>
      <w:r w:rsidRPr="002B5E33">
        <w:rPr>
          <w:rFonts w:hint="eastAsia"/>
          <w:rtl/>
        </w:rPr>
        <w:t>טיפול</w:t>
      </w:r>
      <w:r w:rsidRPr="002B5E33">
        <w:rPr>
          <w:rtl/>
        </w:rPr>
        <w:t xml:space="preserve"> </w:t>
      </w:r>
      <w:r w:rsidRPr="002B5E33">
        <w:rPr>
          <w:rFonts w:hint="eastAsia"/>
          <w:rtl/>
        </w:rPr>
        <w:t>מול</w:t>
      </w:r>
      <w:r w:rsidRPr="002B5E33">
        <w:rPr>
          <w:rtl/>
        </w:rPr>
        <w:t xml:space="preserve"> </w:t>
      </w:r>
      <w:r w:rsidRPr="002B5E33">
        <w:rPr>
          <w:rFonts w:hint="eastAsia"/>
          <w:rtl/>
        </w:rPr>
        <w:t>הגוף</w:t>
      </w:r>
      <w:r w:rsidRPr="002B5E33">
        <w:rPr>
          <w:rtl/>
        </w:rPr>
        <w:t xml:space="preserve"> </w:t>
      </w:r>
      <w:r w:rsidRPr="002B5E33">
        <w:rPr>
          <w:rFonts w:hint="eastAsia"/>
          <w:rtl/>
        </w:rPr>
        <w:t>המוסדי</w:t>
      </w:r>
      <w:r w:rsidRPr="002B5E33">
        <w:rPr>
          <w:rtl/>
        </w:rPr>
        <w:t xml:space="preserve"> </w:t>
      </w:r>
      <w:r w:rsidRPr="002B5E33">
        <w:rPr>
          <w:rFonts w:hint="eastAsia"/>
          <w:rtl/>
        </w:rPr>
        <w:t>הנילון</w:t>
      </w:r>
      <w:r w:rsidRPr="002B5E33">
        <w:rPr>
          <w:rtl/>
        </w:rPr>
        <w:t xml:space="preserve"> </w:t>
      </w:r>
      <w:r w:rsidRPr="002B5E33">
        <w:rPr>
          <w:rFonts w:hint="cs"/>
          <w:rtl/>
        </w:rPr>
        <w:t>ו</w:t>
      </w:r>
      <w:r w:rsidRPr="002B5E33">
        <w:rPr>
          <w:rtl/>
        </w:rPr>
        <w:t xml:space="preserve">מול המתלונן, </w:t>
      </w:r>
      <w:r w:rsidRPr="002B5E33">
        <w:rPr>
          <w:rFonts w:hint="eastAsia"/>
          <w:rtl/>
        </w:rPr>
        <w:t>תוך</w:t>
      </w:r>
      <w:r w:rsidRPr="002B5E33">
        <w:rPr>
          <w:rtl/>
        </w:rPr>
        <w:t xml:space="preserve"> </w:t>
      </w:r>
      <w:r w:rsidRPr="002B5E33">
        <w:rPr>
          <w:rFonts w:hint="eastAsia"/>
          <w:rtl/>
        </w:rPr>
        <w:t>קבלת</w:t>
      </w:r>
      <w:r w:rsidRPr="002B5E33">
        <w:rPr>
          <w:rtl/>
        </w:rPr>
        <w:t xml:space="preserve"> </w:t>
      </w:r>
      <w:r w:rsidRPr="002B5E33">
        <w:rPr>
          <w:rFonts w:hint="eastAsia"/>
          <w:rtl/>
        </w:rPr>
        <w:t>י</w:t>
      </w:r>
      <w:r w:rsidRPr="002B5E33">
        <w:rPr>
          <w:rFonts w:hint="cs"/>
          <w:rtl/>
        </w:rPr>
        <w:t>י</w:t>
      </w:r>
      <w:r w:rsidRPr="002B5E33">
        <w:rPr>
          <w:rFonts w:hint="eastAsia"/>
          <w:rtl/>
        </w:rPr>
        <w:t>עוץ</w:t>
      </w:r>
      <w:r w:rsidRPr="002B5E33">
        <w:rPr>
          <w:rtl/>
        </w:rPr>
        <w:t xml:space="preserve"> </w:t>
      </w:r>
      <w:r w:rsidRPr="002B5E33">
        <w:rPr>
          <w:rFonts w:hint="eastAsia"/>
          <w:rtl/>
        </w:rPr>
        <w:t>מגורמים</w:t>
      </w:r>
      <w:r w:rsidRPr="002B5E33">
        <w:rPr>
          <w:rtl/>
        </w:rPr>
        <w:t xml:space="preserve"> </w:t>
      </w:r>
      <w:r w:rsidRPr="002B5E33">
        <w:rPr>
          <w:rFonts w:hint="eastAsia"/>
          <w:rtl/>
        </w:rPr>
        <w:t>מקצועיים</w:t>
      </w:r>
      <w:r w:rsidRPr="002B5E33">
        <w:rPr>
          <w:rtl/>
        </w:rPr>
        <w:t xml:space="preserve"> </w:t>
      </w:r>
      <w:r w:rsidRPr="002B5E33">
        <w:rPr>
          <w:rFonts w:hint="eastAsia"/>
          <w:rtl/>
        </w:rPr>
        <w:t>ברשות</w:t>
      </w:r>
      <w:r w:rsidRPr="002B5E33">
        <w:rPr>
          <w:rtl/>
        </w:rPr>
        <w:t xml:space="preserve"> </w:t>
      </w:r>
      <w:r w:rsidRPr="002B5E33">
        <w:rPr>
          <w:rFonts w:hint="eastAsia"/>
          <w:rtl/>
        </w:rPr>
        <w:t>ומחוץ</w:t>
      </w:r>
      <w:r w:rsidRPr="002B5E33">
        <w:rPr>
          <w:rtl/>
        </w:rPr>
        <w:t xml:space="preserve"> </w:t>
      </w:r>
      <w:r w:rsidRPr="002B5E33">
        <w:rPr>
          <w:rFonts w:hint="eastAsia"/>
          <w:rtl/>
        </w:rPr>
        <w:t>לה</w:t>
      </w:r>
      <w:r w:rsidRPr="002B5E33">
        <w:rPr>
          <w:rtl/>
        </w:rPr>
        <w:t xml:space="preserve">, </w:t>
      </w:r>
      <w:r w:rsidRPr="002B5E33">
        <w:rPr>
          <w:rFonts w:hint="eastAsia"/>
          <w:rtl/>
        </w:rPr>
        <w:t>ותוך</w:t>
      </w:r>
      <w:r w:rsidRPr="002B5E33">
        <w:rPr>
          <w:rtl/>
        </w:rPr>
        <w:t xml:space="preserve"> </w:t>
      </w:r>
      <w:r w:rsidRPr="002B5E33">
        <w:rPr>
          <w:rFonts w:hint="eastAsia"/>
          <w:rtl/>
        </w:rPr>
        <w:t>הקפדה</w:t>
      </w:r>
      <w:r w:rsidRPr="002B5E33">
        <w:rPr>
          <w:rtl/>
        </w:rPr>
        <w:t xml:space="preserve"> </w:t>
      </w:r>
      <w:r w:rsidRPr="002B5E33">
        <w:rPr>
          <w:rFonts w:hint="eastAsia"/>
          <w:rtl/>
        </w:rPr>
        <w:t>על</w:t>
      </w:r>
      <w:r w:rsidRPr="002B5E33">
        <w:rPr>
          <w:rtl/>
        </w:rPr>
        <w:t xml:space="preserve"> </w:t>
      </w:r>
      <w:r w:rsidRPr="002B5E33">
        <w:rPr>
          <w:rFonts w:hint="eastAsia"/>
          <w:rtl/>
        </w:rPr>
        <w:t>קיום</w:t>
      </w:r>
      <w:r w:rsidRPr="002B5E33">
        <w:rPr>
          <w:rtl/>
        </w:rPr>
        <w:t xml:space="preserve"> </w:t>
      </w:r>
      <w:r w:rsidRPr="002B5E33">
        <w:rPr>
          <w:rFonts w:hint="eastAsia"/>
          <w:rtl/>
        </w:rPr>
        <w:t>תהליכים</w:t>
      </w:r>
      <w:r w:rsidRPr="002B5E33">
        <w:rPr>
          <w:rtl/>
        </w:rPr>
        <w:t xml:space="preserve"> </w:t>
      </w:r>
      <w:r w:rsidRPr="002B5E33">
        <w:rPr>
          <w:rFonts w:hint="eastAsia"/>
          <w:rtl/>
        </w:rPr>
        <w:t>נדרשים</w:t>
      </w:r>
      <w:r w:rsidRPr="002B5E33">
        <w:rPr>
          <w:rtl/>
        </w:rPr>
        <w:t xml:space="preserve"> </w:t>
      </w:r>
      <w:r w:rsidRPr="002B5E33">
        <w:rPr>
          <w:rFonts w:hint="eastAsia"/>
          <w:rtl/>
        </w:rPr>
        <w:t>בהיבט</w:t>
      </w:r>
      <w:r w:rsidRPr="002B5E33">
        <w:rPr>
          <w:rtl/>
        </w:rPr>
        <w:t xml:space="preserve"> </w:t>
      </w:r>
      <w:r w:rsidRPr="002B5E33">
        <w:rPr>
          <w:rFonts w:hint="eastAsia"/>
          <w:rtl/>
        </w:rPr>
        <w:t>המ</w:t>
      </w:r>
      <w:r w:rsidRPr="002B5E33">
        <w:rPr>
          <w:rFonts w:hint="cs"/>
          <w:rtl/>
        </w:rPr>
        <w:t>י</w:t>
      </w:r>
      <w:r w:rsidRPr="002B5E33">
        <w:rPr>
          <w:rFonts w:hint="eastAsia"/>
          <w:rtl/>
        </w:rPr>
        <w:t>נהלי</w:t>
      </w:r>
      <w:r w:rsidRPr="002B5E33">
        <w:rPr>
          <w:rtl/>
        </w:rPr>
        <w:t xml:space="preserve"> </w:t>
      </w:r>
      <w:r w:rsidRPr="002B5E33">
        <w:rPr>
          <w:rFonts w:hint="eastAsia"/>
          <w:rtl/>
        </w:rPr>
        <w:t>של</w:t>
      </w:r>
      <w:r w:rsidRPr="002B5E33">
        <w:rPr>
          <w:rtl/>
        </w:rPr>
        <w:t xml:space="preserve"> </w:t>
      </w:r>
      <w:r w:rsidRPr="002B5E33">
        <w:rPr>
          <w:rFonts w:hint="eastAsia"/>
          <w:rtl/>
        </w:rPr>
        <w:t>ההליך</w:t>
      </w:r>
      <w:r w:rsidRPr="002B5E33">
        <w:rPr>
          <w:rtl/>
        </w:rPr>
        <w:t xml:space="preserve"> </w:t>
      </w:r>
      <w:r w:rsidRPr="002B5E33">
        <w:rPr>
          <w:rFonts w:hint="eastAsia"/>
          <w:rtl/>
        </w:rPr>
        <w:t>המעין</w:t>
      </w:r>
      <w:r w:rsidRPr="002B5E33">
        <w:rPr>
          <w:rFonts w:hint="cs"/>
          <w:rtl/>
        </w:rPr>
        <w:t>-</w:t>
      </w:r>
      <w:r w:rsidRPr="002B5E33">
        <w:rPr>
          <w:rFonts w:hint="eastAsia"/>
          <w:rtl/>
        </w:rPr>
        <w:t>שיפוטי</w:t>
      </w:r>
      <w:r w:rsidRPr="002B5E33">
        <w:rPr>
          <w:rtl/>
        </w:rPr>
        <w:t>.</w:t>
      </w:r>
    </w:p>
    <w:p w:rsidR="00FA3E7D" w:rsidRPr="002B5E33" w:rsidP="00FA3E7D">
      <w:pPr>
        <w:spacing w:line="269" w:lineRule="auto"/>
        <w:rPr>
          <w:rtl/>
        </w:rPr>
      </w:pPr>
    </w:p>
    <w:p w:rsidR="00FA3E7D" w:rsidRPr="002B5E33" w:rsidP="00FA3E7D">
      <w:pPr>
        <w:pStyle w:val="Heading5"/>
        <w:spacing w:line="269" w:lineRule="auto"/>
      </w:pPr>
      <w:r w:rsidRPr="002B5E33">
        <w:rPr>
          <w:rFonts w:hint="cs"/>
          <w:rtl/>
        </w:rPr>
        <w:t>תלונות שבהן המתלונן לא חלק על עמדת הגוף המפוקח</w:t>
      </w:r>
    </w:p>
    <w:p w:rsidR="00FA3E7D" w:rsidP="00FA3E7D">
      <w:pPr>
        <w:pStyle w:val="a"/>
        <w:rPr>
          <w:rtl/>
        </w:rPr>
      </w:pPr>
    </w:p>
    <w:p w:rsidR="00FA3E7D" w:rsidRPr="002B5E33" w:rsidP="00FA3E7D">
      <w:pPr>
        <w:spacing w:line="269" w:lineRule="auto"/>
        <w:rPr>
          <w:rtl/>
        </w:rPr>
      </w:pPr>
      <w:r w:rsidRPr="002B5E33">
        <w:rPr>
          <w:rFonts w:hint="cs"/>
          <w:rtl/>
        </w:rPr>
        <w:t>ביותר משליש מסך התלונות שהוגשו בשנים 2017-2014, הייתה סיבת הסגירה אי השגה של המתלונן על עמדת הגוף הנילון, גם לאחר שהרשות הבהירה לו, כי אם הוא חולק על תשובת הגוף הנילון עליו להודיע על כך לרשות.</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העובדה כי המתלונן לא חלק על עמדת הגוף המפוקח, כשלעצמה, מבלי להתייחס לסיבות לכך, אין בה כדי להסיק מסקנות בדבר קיומו או היעדר קיומו של בסיס לתלונה. לאי-התייחסות מצד המתלונן לדחיית תלונתו על ידי הגוף המפוקח יכולות להיות מגוון סיבות</w:t>
      </w:r>
      <w:r>
        <w:rPr>
          <w:rStyle w:val="FootnoteReference"/>
          <w:rtl/>
        </w:rPr>
        <w:footnoteReference w:id="102"/>
      </w:r>
      <w:r w:rsidRPr="002B5E33">
        <w:rPr>
          <w:rFonts w:hint="cs"/>
          <w:rtl/>
        </w:rPr>
        <w:t>.</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b/>
          <w:bCs/>
          <w:rtl/>
        </w:rPr>
        <w:t xml:space="preserve">משרד מבקר המדינה ממליץ לרשות שוק ההון לבחון - אם </w:t>
      </w:r>
      <w:r w:rsidRPr="002B5E33">
        <w:rPr>
          <w:b/>
          <w:bCs/>
          <w:rtl/>
        </w:rPr>
        <w:t xml:space="preserve">באמצעות בדיקה מדגמית </w:t>
      </w:r>
      <w:r w:rsidRPr="002B5E33">
        <w:rPr>
          <w:rFonts w:hint="eastAsia"/>
          <w:b/>
          <w:bCs/>
          <w:rtl/>
        </w:rPr>
        <w:t>ו</w:t>
      </w:r>
      <w:r w:rsidRPr="002B5E33">
        <w:rPr>
          <w:rFonts w:hint="cs"/>
          <w:b/>
          <w:bCs/>
          <w:rtl/>
        </w:rPr>
        <w:t>אם</w:t>
      </w:r>
      <w:r w:rsidRPr="002B5E33">
        <w:rPr>
          <w:b/>
          <w:bCs/>
          <w:rtl/>
        </w:rPr>
        <w:t xml:space="preserve"> בדרך </w:t>
      </w:r>
      <w:r w:rsidRPr="002B5E33">
        <w:rPr>
          <w:rFonts w:hint="eastAsia"/>
          <w:b/>
          <w:bCs/>
          <w:rtl/>
        </w:rPr>
        <w:t>אחרת</w:t>
      </w:r>
      <w:r w:rsidRPr="002B5E33">
        <w:rPr>
          <w:rFonts w:hint="cs"/>
          <w:b/>
          <w:bCs/>
          <w:rtl/>
        </w:rPr>
        <w:t xml:space="preserve"> - את הסיבות לשיעור הנמוך של פניות חוזרות אליה לאחר קבלת עמדת הגופים המפוקחים על ידי המתלוננים, כדי לבחון את מידת יעילותה של שיטת בירור התלונות במסגרתה. </w:t>
      </w:r>
    </w:p>
    <w:p w:rsidR="00FA3E7D" w:rsidRPr="002B5E33" w:rsidP="00FA3E7D">
      <w:pPr>
        <w:pStyle w:val="a"/>
        <w:spacing w:line="269" w:lineRule="auto"/>
        <w:rPr>
          <w:rtl/>
        </w:rPr>
      </w:pPr>
    </w:p>
    <w:p w:rsidR="00FA3E7D" w:rsidRPr="002B5E33" w:rsidP="00FA3E7D">
      <w:pPr>
        <w:spacing w:line="269" w:lineRule="auto"/>
      </w:pPr>
      <w:r w:rsidRPr="002B5E33">
        <w:rPr>
          <w:rFonts w:hint="cs"/>
          <w:rtl/>
        </w:rPr>
        <w:t>רשות שוק ההון ציינה</w:t>
      </w:r>
      <w:r>
        <w:rPr>
          <w:rFonts w:hint="cs"/>
          <w:rtl/>
        </w:rPr>
        <w:t xml:space="preserve"> </w:t>
      </w:r>
      <w:r w:rsidRPr="002B5E33">
        <w:rPr>
          <w:rFonts w:hint="cs"/>
          <w:rtl/>
        </w:rPr>
        <w:t>בתשובתה כי היא עומדת לסיים פיילוט ביקורת להליך מצ"ה, שנועד לבדוק את הפניות שאינן מגיעות לטיפול המחלקות המקצועיות, ואת התנהלות הגופים המוסדיים בפניות אלו. לאחר סיום הפיילוט, בכוונת הרשות לערוך ביקורות מקיפות בנושא תלונות שלא היה אפשר להכריע בהן ותלונות שהטיפול בהן הסתיים עקב מחלוקת על העובדות</w:t>
      </w:r>
      <w:r>
        <w:rPr>
          <w:rFonts w:hint="cs"/>
          <w:rtl/>
        </w:rPr>
        <w:t>.</w:t>
      </w:r>
    </w:p>
    <w:p w:rsidR="00FA3E7D" w:rsidP="00FA3E7D">
      <w:pPr>
        <w:pStyle w:val="a"/>
        <w:rPr>
          <w:rtl/>
        </w:rPr>
      </w:pPr>
    </w:p>
    <w:p w:rsidR="00FA3E7D" w:rsidRPr="002B5E33" w:rsidP="00FA3E7D">
      <w:pPr>
        <w:spacing w:line="269" w:lineRule="auto"/>
        <w:rPr>
          <w:rtl/>
        </w:rPr>
      </w:pPr>
      <w:r w:rsidRPr="002B5E33">
        <w:rPr>
          <w:rFonts w:hint="cs"/>
          <w:rtl/>
        </w:rPr>
        <w:t>מנתוני רשות שוק ההון עולה כי יותר מ-9% מהתלונות בתחום ביטוחי הבריאות, שהטיפול בהן הסתיים בשנים 2018-2015, לא הוכרעו לגופן, אם בשל מחלוקת בין הצדדים בנוגע לעובדות ואם מסיבות אחרות. נתון דומה נרשם בכלל נושאי התלונות שהוגשו לרשות.</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נמצא כי הרשות אינה מודיעה לפונים אליה עם קבלת פנייתם כי במקרה של מחלוקת על העובדות כאמור היא אינה צפויה להכריע.</w:t>
      </w:r>
    </w:p>
    <w:p w:rsidR="00FA3E7D" w:rsidRPr="002B5E33" w:rsidP="00FA3E7D">
      <w:pPr>
        <w:pStyle w:val="a"/>
        <w:spacing w:line="269" w:lineRule="auto"/>
        <w:rPr>
          <w:rtl/>
        </w:rPr>
      </w:pPr>
    </w:p>
    <w:p w:rsidR="00FA3E7D" w:rsidRPr="002B5E33" w:rsidP="00FA3E7D">
      <w:pPr>
        <w:spacing w:line="269" w:lineRule="auto"/>
      </w:pPr>
      <w:r w:rsidRPr="002B5E33">
        <w:rPr>
          <w:rFonts w:hint="eastAsia"/>
          <w:rtl/>
        </w:rPr>
        <w:t>בביקורת</w:t>
      </w:r>
      <w:r w:rsidRPr="002B5E33">
        <w:rPr>
          <w:rtl/>
        </w:rPr>
        <w:t xml:space="preserve"> נמצא, כי משך הטיפול הממוצע בתלונות </w:t>
      </w:r>
      <w:r w:rsidRPr="002B5E33">
        <w:rPr>
          <w:rFonts w:hint="eastAsia"/>
          <w:rtl/>
        </w:rPr>
        <w:t>בתחום</w:t>
      </w:r>
      <w:r w:rsidRPr="002B5E33">
        <w:rPr>
          <w:rtl/>
        </w:rPr>
        <w:t xml:space="preserve"> ביטוחי הבריאות </w:t>
      </w:r>
      <w:r w:rsidRPr="002B5E33">
        <w:rPr>
          <w:rFonts w:hint="eastAsia"/>
          <w:rtl/>
        </w:rPr>
        <w:t>שנסגרו</w:t>
      </w:r>
      <w:r w:rsidRPr="002B5E33">
        <w:rPr>
          <w:rtl/>
        </w:rPr>
        <w:t xml:space="preserve"> </w:t>
      </w:r>
      <w:r w:rsidRPr="002B5E33">
        <w:rPr>
          <w:rFonts w:hint="eastAsia"/>
          <w:rtl/>
        </w:rPr>
        <w:t>בשנים</w:t>
      </w:r>
      <w:r w:rsidRPr="002B5E33">
        <w:rPr>
          <w:rtl/>
        </w:rPr>
        <w:t xml:space="preserve"> 2015 - 2018 </w:t>
      </w:r>
      <w:r w:rsidRPr="002B5E33">
        <w:rPr>
          <w:rFonts w:hint="eastAsia"/>
          <w:rtl/>
        </w:rPr>
        <w:t>בשל</w:t>
      </w:r>
      <w:r w:rsidRPr="002B5E33">
        <w:rPr>
          <w:rtl/>
        </w:rPr>
        <w:t xml:space="preserve"> </w:t>
      </w:r>
      <w:r w:rsidRPr="002B5E33">
        <w:rPr>
          <w:rFonts w:hint="eastAsia"/>
          <w:rtl/>
        </w:rPr>
        <w:t>מחלוקת</w:t>
      </w:r>
      <w:r w:rsidRPr="002B5E33">
        <w:rPr>
          <w:rtl/>
        </w:rPr>
        <w:t xml:space="preserve"> </w:t>
      </w:r>
      <w:r w:rsidRPr="002B5E33">
        <w:rPr>
          <w:rFonts w:hint="cs"/>
          <w:rtl/>
        </w:rPr>
        <w:t>על עובדות</w:t>
      </w:r>
      <w:r w:rsidRPr="002B5E33">
        <w:rPr>
          <w:rtl/>
        </w:rPr>
        <w:t xml:space="preserve"> </w:t>
      </w:r>
      <w:r w:rsidRPr="002B5E33">
        <w:rPr>
          <w:rFonts w:hint="eastAsia"/>
          <w:rtl/>
        </w:rPr>
        <w:t>היה</w:t>
      </w:r>
      <w:r w:rsidRPr="002B5E33">
        <w:rPr>
          <w:rtl/>
        </w:rPr>
        <w:t xml:space="preserve"> </w:t>
      </w:r>
      <w:r w:rsidRPr="002B5E33">
        <w:rPr>
          <w:rFonts w:hint="eastAsia"/>
          <w:rtl/>
        </w:rPr>
        <w:t>כ</w:t>
      </w:r>
      <w:r w:rsidRPr="002B5E33">
        <w:rPr>
          <w:rtl/>
        </w:rPr>
        <w:t xml:space="preserve">-114 </w:t>
      </w:r>
      <w:r w:rsidRPr="002B5E33">
        <w:rPr>
          <w:rFonts w:hint="eastAsia"/>
          <w:rtl/>
        </w:rPr>
        <w:t>ימים</w:t>
      </w:r>
      <w:r w:rsidRPr="002B5E33">
        <w:rPr>
          <w:rtl/>
        </w:rPr>
        <w:t xml:space="preserve"> </w:t>
      </w:r>
      <w:r w:rsidRPr="002B5E33">
        <w:rPr>
          <w:rFonts w:hint="eastAsia"/>
          <w:rtl/>
        </w:rPr>
        <w:t>בשנת</w:t>
      </w:r>
      <w:r w:rsidRPr="002B5E33">
        <w:rPr>
          <w:rtl/>
        </w:rPr>
        <w:t xml:space="preserve"> 2015, </w:t>
      </w:r>
      <w:r w:rsidRPr="002B5E33">
        <w:rPr>
          <w:rFonts w:hint="eastAsia"/>
          <w:rtl/>
        </w:rPr>
        <w:t>כ</w:t>
      </w:r>
      <w:r w:rsidRPr="002B5E33">
        <w:rPr>
          <w:rtl/>
        </w:rPr>
        <w:t xml:space="preserve">-113 </w:t>
      </w:r>
      <w:r w:rsidRPr="002B5E33">
        <w:rPr>
          <w:rFonts w:hint="eastAsia"/>
          <w:rtl/>
        </w:rPr>
        <w:t>ימים</w:t>
      </w:r>
      <w:r w:rsidRPr="002B5E33">
        <w:rPr>
          <w:rtl/>
        </w:rPr>
        <w:t xml:space="preserve"> </w:t>
      </w:r>
      <w:r w:rsidRPr="002B5E33">
        <w:rPr>
          <w:rFonts w:hint="eastAsia"/>
          <w:rtl/>
        </w:rPr>
        <w:t>בשנת</w:t>
      </w:r>
      <w:r w:rsidRPr="002B5E33">
        <w:rPr>
          <w:rtl/>
        </w:rPr>
        <w:t xml:space="preserve"> 2016, </w:t>
      </w:r>
      <w:r w:rsidRPr="002B5E33">
        <w:rPr>
          <w:rFonts w:hint="eastAsia"/>
          <w:rtl/>
        </w:rPr>
        <w:t>כ</w:t>
      </w:r>
      <w:r w:rsidRPr="002B5E33">
        <w:rPr>
          <w:rtl/>
        </w:rPr>
        <w:t xml:space="preserve">-194 </w:t>
      </w:r>
      <w:r w:rsidRPr="002B5E33">
        <w:rPr>
          <w:rFonts w:hint="eastAsia"/>
          <w:rtl/>
        </w:rPr>
        <w:t>ימים</w:t>
      </w:r>
      <w:r w:rsidRPr="002B5E33">
        <w:rPr>
          <w:rtl/>
        </w:rPr>
        <w:t xml:space="preserve"> </w:t>
      </w:r>
      <w:r w:rsidRPr="002B5E33">
        <w:rPr>
          <w:rFonts w:hint="eastAsia"/>
          <w:rtl/>
        </w:rPr>
        <w:t>בשנת</w:t>
      </w:r>
      <w:r w:rsidRPr="002B5E33">
        <w:rPr>
          <w:rtl/>
        </w:rPr>
        <w:t xml:space="preserve"> 2017 </w:t>
      </w:r>
      <w:r w:rsidRPr="002B5E33">
        <w:rPr>
          <w:rFonts w:hint="eastAsia"/>
          <w:rtl/>
        </w:rPr>
        <w:t>וכ</w:t>
      </w:r>
      <w:r w:rsidRPr="002B5E33">
        <w:rPr>
          <w:rtl/>
        </w:rPr>
        <w:t xml:space="preserve">-245 </w:t>
      </w:r>
      <w:r w:rsidRPr="002B5E33">
        <w:rPr>
          <w:rFonts w:hint="eastAsia"/>
          <w:rtl/>
        </w:rPr>
        <w:t>ימים</w:t>
      </w:r>
      <w:r w:rsidRPr="002B5E33">
        <w:rPr>
          <w:rtl/>
        </w:rPr>
        <w:t xml:space="preserve"> </w:t>
      </w:r>
      <w:r w:rsidRPr="002B5E33">
        <w:rPr>
          <w:rFonts w:hint="eastAsia"/>
          <w:rtl/>
        </w:rPr>
        <w:t>בשנת</w:t>
      </w:r>
      <w:r w:rsidRPr="002B5E33">
        <w:rPr>
          <w:rtl/>
        </w:rPr>
        <w:t xml:space="preserve"> 2018.</w:t>
      </w:r>
    </w:p>
    <w:p w:rsidR="00FA3E7D" w:rsidRPr="002B5E33" w:rsidP="00FA3E7D">
      <w:pPr>
        <w:pStyle w:val="a"/>
        <w:spacing w:line="269" w:lineRule="auto"/>
        <w:rPr>
          <w:rtl/>
        </w:rPr>
      </w:pPr>
    </w:p>
    <w:p w:rsidR="00FA3E7D" w:rsidP="00FA3E7D">
      <w:pPr>
        <w:spacing w:line="269" w:lineRule="auto"/>
        <w:rPr>
          <w:b/>
          <w:bCs/>
          <w:sz w:val="24"/>
          <w:rtl/>
        </w:rPr>
      </w:pPr>
      <w:r w:rsidRPr="002B5E33">
        <w:rPr>
          <w:rFonts w:hint="eastAsia"/>
          <w:b/>
          <w:bCs/>
          <w:rtl/>
        </w:rPr>
        <w:t>על</w:t>
      </w:r>
      <w:r w:rsidRPr="002B5E33">
        <w:rPr>
          <w:b/>
          <w:bCs/>
          <w:rtl/>
        </w:rPr>
        <w:t xml:space="preserve"> הרשות להודיע מראש לפונים </w:t>
      </w:r>
      <w:r w:rsidRPr="002B5E33">
        <w:rPr>
          <w:rFonts w:hint="cs"/>
          <w:b/>
          <w:bCs/>
          <w:rtl/>
        </w:rPr>
        <w:t>אליה</w:t>
      </w:r>
      <w:r w:rsidRPr="002B5E33">
        <w:rPr>
          <w:b/>
          <w:bCs/>
          <w:rtl/>
        </w:rPr>
        <w:t xml:space="preserve"> בדבר הימנעותה </w:t>
      </w:r>
      <w:r w:rsidRPr="002B5E33">
        <w:rPr>
          <w:rFonts w:hint="eastAsia"/>
          <w:b/>
          <w:bCs/>
          <w:rtl/>
        </w:rPr>
        <w:t>מהכרעה</w:t>
      </w:r>
      <w:r w:rsidRPr="002B5E33">
        <w:rPr>
          <w:b/>
          <w:bCs/>
          <w:rtl/>
        </w:rPr>
        <w:t xml:space="preserve"> במחלוקות </w:t>
      </w:r>
      <w:r w:rsidRPr="002B5E33">
        <w:rPr>
          <w:rFonts w:hint="eastAsia"/>
          <w:b/>
          <w:bCs/>
          <w:rtl/>
        </w:rPr>
        <w:t>על</w:t>
      </w:r>
      <w:r w:rsidRPr="002B5E33">
        <w:rPr>
          <w:b/>
          <w:bCs/>
          <w:rtl/>
        </w:rPr>
        <w:t xml:space="preserve"> </w:t>
      </w:r>
      <w:r w:rsidRPr="002B5E33">
        <w:rPr>
          <w:rFonts w:hint="eastAsia"/>
          <w:b/>
          <w:bCs/>
          <w:rtl/>
        </w:rPr>
        <w:t>עובדות</w:t>
      </w:r>
      <w:r w:rsidRPr="002B5E33">
        <w:rPr>
          <w:b/>
          <w:bCs/>
          <w:rtl/>
        </w:rPr>
        <w:t xml:space="preserve"> על מנת </w:t>
      </w:r>
      <w:r w:rsidRPr="002B5E33">
        <w:rPr>
          <w:rFonts w:hint="cs"/>
          <w:b/>
          <w:bCs/>
          <w:rtl/>
        </w:rPr>
        <w:t>שלא לגרום</w:t>
      </w:r>
      <w:r>
        <w:rPr>
          <w:b/>
          <w:bCs/>
          <w:rtl/>
        </w:rPr>
        <w:t xml:space="preserve"> </w:t>
      </w:r>
      <w:r w:rsidRPr="002B5E33">
        <w:rPr>
          <w:b/>
          <w:bCs/>
          <w:rtl/>
        </w:rPr>
        <w:t xml:space="preserve">למתלוננים טרחת שווא, </w:t>
      </w:r>
      <w:r w:rsidRPr="002B5E33">
        <w:rPr>
          <w:rFonts w:hint="eastAsia"/>
          <w:b/>
          <w:bCs/>
          <w:rtl/>
        </w:rPr>
        <w:t>של</w:t>
      </w:r>
      <w:r w:rsidRPr="002B5E33">
        <w:rPr>
          <w:b/>
          <w:bCs/>
          <w:rtl/>
        </w:rPr>
        <w:t xml:space="preserve"> </w:t>
      </w:r>
      <w:r w:rsidRPr="002B5E33">
        <w:rPr>
          <w:rFonts w:hint="eastAsia"/>
          <w:b/>
          <w:bCs/>
          <w:rtl/>
        </w:rPr>
        <w:t>עיכוב</w:t>
      </w:r>
      <w:r w:rsidRPr="002B5E33">
        <w:rPr>
          <w:b/>
          <w:bCs/>
          <w:rtl/>
        </w:rPr>
        <w:t xml:space="preserve"> בבירור תלונותיהם ופגיעה ביכולתם </w:t>
      </w:r>
      <w:r w:rsidRPr="002B5E33">
        <w:rPr>
          <w:rFonts w:hint="eastAsia"/>
          <w:b/>
          <w:bCs/>
          <w:rtl/>
        </w:rPr>
        <w:t>לבררן</w:t>
      </w:r>
      <w:r w:rsidRPr="002B5E33">
        <w:rPr>
          <w:b/>
          <w:bCs/>
          <w:rtl/>
        </w:rPr>
        <w:t xml:space="preserve"> </w:t>
      </w:r>
      <w:r w:rsidRPr="002B5E33">
        <w:rPr>
          <w:rFonts w:hint="eastAsia"/>
          <w:b/>
          <w:bCs/>
          <w:rtl/>
        </w:rPr>
        <w:t>באמצעות</w:t>
      </w:r>
      <w:r w:rsidRPr="002B5E33">
        <w:rPr>
          <w:b/>
          <w:bCs/>
          <w:rtl/>
        </w:rPr>
        <w:t xml:space="preserve"> תביעה לבית המשפט. </w:t>
      </w:r>
    </w:p>
    <w:p w:rsidR="00FA3E7D" w:rsidRPr="002B5E33" w:rsidP="00FA3E7D">
      <w:pPr>
        <w:pStyle w:val="a"/>
        <w:rPr>
          <w:sz w:val="24"/>
          <w:rtl/>
        </w:rPr>
      </w:pPr>
    </w:p>
    <w:p w:rsidR="00FA3E7D" w:rsidRPr="002B5E33" w:rsidP="00FA3E7D">
      <w:pPr>
        <w:spacing w:line="269" w:lineRule="auto"/>
        <w:rPr>
          <w:rtl/>
        </w:rPr>
      </w:pPr>
      <w:r w:rsidRPr="002B5E33">
        <w:rPr>
          <w:rFonts w:hint="eastAsia"/>
          <w:rtl/>
        </w:rPr>
        <w:t>רשות</w:t>
      </w:r>
      <w:r w:rsidRPr="002B5E33">
        <w:rPr>
          <w:rtl/>
        </w:rPr>
        <w:t xml:space="preserve"> </w:t>
      </w:r>
      <w:r w:rsidRPr="002B5E33">
        <w:rPr>
          <w:rFonts w:hint="eastAsia"/>
          <w:rtl/>
        </w:rPr>
        <w:t>שוק</w:t>
      </w:r>
      <w:r w:rsidRPr="002B5E33">
        <w:rPr>
          <w:rtl/>
        </w:rPr>
        <w:t xml:space="preserve"> </w:t>
      </w:r>
      <w:r w:rsidRPr="002B5E33">
        <w:rPr>
          <w:rFonts w:hint="eastAsia"/>
          <w:rtl/>
        </w:rPr>
        <w:t>ההון</w:t>
      </w:r>
      <w:r w:rsidRPr="002B5E33">
        <w:rPr>
          <w:rtl/>
        </w:rPr>
        <w:t xml:space="preserve"> </w:t>
      </w:r>
      <w:r w:rsidRPr="002B5E33">
        <w:rPr>
          <w:rFonts w:hint="eastAsia"/>
          <w:rtl/>
        </w:rPr>
        <w:t>הודיעה</w:t>
      </w:r>
      <w:r w:rsidRPr="002B5E33">
        <w:rPr>
          <w:rtl/>
        </w:rPr>
        <w:t xml:space="preserve"> </w:t>
      </w:r>
      <w:r w:rsidRPr="002B5E33">
        <w:rPr>
          <w:rFonts w:hint="eastAsia"/>
          <w:rtl/>
        </w:rPr>
        <w:t>בתשובתה</w:t>
      </w:r>
      <w:r w:rsidRPr="002B5E33">
        <w:rPr>
          <w:rtl/>
        </w:rPr>
        <w:t xml:space="preserve"> </w:t>
      </w:r>
      <w:r w:rsidRPr="002B5E33">
        <w:rPr>
          <w:rFonts w:hint="eastAsia"/>
          <w:rtl/>
        </w:rPr>
        <w:t>כי</w:t>
      </w:r>
      <w:r w:rsidRPr="002B5E33">
        <w:rPr>
          <w:rtl/>
        </w:rPr>
        <w:t xml:space="preserve"> </w:t>
      </w:r>
      <w:r w:rsidRPr="002B5E33">
        <w:rPr>
          <w:rFonts w:hint="eastAsia"/>
          <w:rtl/>
        </w:rPr>
        <w:t>היא</w:t>
      </w:r>
      <w:r w:rsidRPr="002B5E33">
        <w:rPr>
          <w:rtl/>
        </w:rPr>
        <w:t xml:space="preserve"> </w:t>
      </w:r>
      <w:r w:rsidRPr="002B5E33">
        <w:rPr>
          <w:rFonts w:hint="eastAsia"/>
          <w:rtl/>
        </w:rPr>
        <w:t>מקבלת</w:t>
      </w:r>
      <w:r w:rsidRPr="002B5E33">
        <w:rPr>
          <w:rtl/>
        </w:rPr>
        <w:t xml:space="preserve"> </w:t>
      </w:r>
      <w:r w:rsidRPr="002B5E33">
        <w:rPr>
          <w:rFonts w:hint="eastAsia"/>
          <w:rtl/>
        </w:rPr>
        <w:t>את</w:t>
      </w:r>
      <w:r w:rsidRPr="002B5E33">
        <w:rPr>
          <w:rtl/>
        </w:rPr>
        <w:t xml:space="preserve"> </w:t>
      </w:r>
      <w:r w:rsidRPr="002B5E33">
        <w:rPr>
          <w:rFonts w:hint="eastAsia"/>
          <w:rtl/>
        </w:rPr>
        <w:t>הערת</w:t>
      </w:r>
      <w:r w:rsidRPr="002B5E33">
        <w:rPr>
          <w:rtl/>
        </w:rPr>
        <w:t xml:space="preserve"> </w:t>
      </w:r>
      <w:r w:rsidRPr="002B5E33">
        <w:rPr>
          <w:rFonts w:hint="eastAsia"/>
          <w:rtl/>
        </w:rPr>
        <w:t>משרד</w:t>
      </w:r>
      <w:r w:rsidRPr="002B5E33">
        <w:rPr>
          <w:rtl/>
        </w:rPr>
        <w:t xml:space="preserve"> </w:t>
      </w:r>
      <w:r w:rsidRPr="002B5E33">
        <w:rPr>
          <w:rFonts w:hint="eastAsia"/>
          <w:rtl/>
        </w:rPr>
        <w:t>מבקר</w:t>
      </w:r>
      <w:r w:rsidRPr="002B5E33">
        <w:rPr>
          <w:rtl/>
        </w:rPr>
        <w:t xml:space="preserve"> </w:t>
      </w:r>
      <w:r w:rsidRPr="002B5E33">
        <w:rPr>
          <w:rFonts w:hint="eastAsia"/>
          <w:rtl/>
        </w:rPr>
        <w:t>המדינה</w:t>
      </w:r>
      <w:r w:rsidRPr="002B5E33">
        <w:rPr>
          <w:rtl/>
        </w:rPr>
        <w:t xml:space="preserve"> </w:t>
      </w:r>
      <w:r w:rsidRPr="002B5E33">
        <w:rPr>
          <w:rFonts w:hint="eastAsia"/>
          <w:rtl/>
        </w:rPr>
        <w:t>כי</w:t>
      </w:r>
      <w:r w:rsidRPr="002B5E33">
        <w:rPr>
          <w:rtl/>
        </w:rPr>
        <w:t xml:space="preserve"> </w:t>
      </w:r>
      <w:r w:rsidRPr="002B5E33">
        <w:rPr>
          <w:rFonts w:hint="eastAsia"/>
          <w:rtl/>
        </w:rPr>
        <w:t>יש</w:t>
      </w:r>
      <w:r w:rsidRPr="002B5E33">
        <w:rPr>
          <w:rtl/>
        </w:rPr>
        <w:t xml:space="preserve"> </w:t>
      </w:r>
      <w:r w:rsidRPr="002B5E33">
        <w:rPr>
          <w:rFonts w:hint="eastAsia"/>
          <w:rtl/>
        </w:rPr>
        <w:t>להבהיר</w:t>
      </w:r>
      <w:r w:rsidRPr="002B5E33">
        <w:rPr>
          <w:rtl/>
        </w:rPr>
        <w:t xml:space="preserve"> </w:t>
      </w:r>
      <w:r w:rsidRPr="002B5E33">
        <w:rPr>
          <w:rFonts w:hint="eastAsia"/>
          <w:rtl/>
        </w:rPr>
        <w:t>מראש</w:t>
      </w:r>
      <w:r w:rsidRPr="002B5E33">
        <w:rPr>
          <w:rtl/>
        </w:rPr>
        <w:t xml:space="preserve"> </w:t>
      </w:r>
      <w:r w:rsidRPr="002B5E33">
        <w:rPr>
          <w:rFonts w:hint="eastAsia"/>
          <w:rtl/>
        </w:rPr>
        <w:t>לפונים</w:t>
      </w:r>
      <w:r w:rsidRPr="002B5E33">
        <w:rPr>
          <w:rtl/>
        </w:rPr>
        <w:t xml:space="preserve"> </w:t>
      </w:r>
      <w:r w:rsidRPr="002B5E33">
        <w:rPr>
          <w:rFonts w:hint="eastAsia"/>
          <w:rtl/>
        </w:rPr>
        <w:t>כי</w:t>
      </w:r>
      <w:r w:rsidRPr="002B5E33">
        <w:rPr>
          <w:rtl/>
        </w:rPr>
        <w:t xml:space="preserve"> </w:t>
      </w:r>
      <w:r w:rsidRPr="002B5E33">
        <w:rPr>
          <w:rFonts w:hint="eastAsia"/>
          <w:rtl/>
        </w:rPr>
        <w:t>היא</w:t>
      </w:r>
      <w:r w:rsidRPr="002B5E33">
        <w:rPr>
          <w:rtl/>
        </w:rPr>
        <w:t xml:space="preserve"> </w:t>
      </w:r>
      <w:r w:rsidRPr="002B5E33">
        <w:rPr>
          <w:rFonts w:hint="eastAsia"/>
          <w:rtl/>
        </w:rPr>
        <w:t>אינה</w:t>
      </w:r>
      <w:r w:rsidRPr="002B5E33">
        <w:rPr>
          <w:rtl/>
        </w:rPr>
        <w:t xml:space="preserve"> </w:t>
      </w:r>
      <w:r w:rsidRPr="002B5E33">
        <w:rPr>
          <w:rFonts w:hint="eastAsia"/>
          <w:rtl/>
        </w:rPr>
        <w:t>מטפלת</w:t>
      </w:r>
      <w:r w:rsidRPr="002B5E33">
        <w:rPr>
          <w:rtl/>
        </w:rPr>
        <w:t xml:space="preserve"> </w:t>
      </w:r>
      <w:r w:rsidRPr="002B5E33">
        <w:rPr>
          <w:rFonts w:hint="eastAsia"/>
          <w:rtl/>
        </w:rPr>
        <w:t>בפניות</w:t>
      </w:r>
      <w:r w:rsidRPr="002B5E33">
        <w:rPr>
          <w:rtl/>
        </w:rPr>
        <w:t xml:space="preserve"> </w:t>
      </w:r>
      <w:r w:rsidRPr="002B5E33">
        <w:rPr>
          <w:rFonts w:hint="eastAsia"/>
          <w:rtl/>
        </w:rPr>
        <w:t>שבהן</w:t>
      </w:r>
      <w:r w:rsidRPr="002B5E33">
        <w:rPr>
          <w:rtl/>
        </w:rPr>
        <w:t xml:space="preserve"> </w:t>
      </w:r>
      <w:r w:rsidRPr="002B5E33">
        <w:rPr>
          <w:rFonts w:hint="eastAsia"/>
          <w:rtl/>
        </w:rPr>
        <w:t>מתעוררות</w:t>
      </w:r>
      <w:r w:rsidRPr="002B5E33">
        <w:rPr>
          <w:rtl/>
        </w:rPr>
        <w:t xml:space="preserve"> </w:t>
      </w:r>
      <w:r w:rsidRPr="002B5E33">
        <w:rPr>
          <w:rFonts w:hint="eastAsia"/>
          <w:rtl/>
        </w:rPr>
        <w:t>מחלוקות</w:t>
      </w:r>
      <w:r w:rsidRPr="002B5E33">
        <w:rPr>
          <w:rtl/>
        </w:rPr>
        <w:t xml:space="preserve"> </w:t>
      </w:r>
      <w:r w:rsidRPr="002B5E33">
        <w:rPr>
          <w:rFonts w:hint="eastAsia"/>
          <w:rtl/>
        </w:rPr>
        <w:t>על</w:t>
      </w:r>
      <w:r w:rsidRPr="002B5E33">
        <w:rPr>
          <w:rtl/>
        </w:rPr>
        <w:t xml:space="preserve"> </w:t>
      </w:r>
      <w:r w:rsidRPr="002B5E33">
        <w:rPr>
          <w:rFonts w:hint="eastAsia"/>
          <w:rtl/>
        </w:rPr>
        <w:t>העובדות</w:t>
      </w:r>
      <w:r w:rsidRPr="002B5E33">
        <w:rPr>
          <w:rtl/>
        </w:rPr>
        <w:t xml:space="preserve">, </w:t>
      </w:r>
      <w:r w:rsidRPr="002B5E33">
        <w:rPr>
          <w:rFonts w:hint="eastAsia"/>
          <w:rtl/>
        </w:rPr>
        <w:t>הדורשות</w:t>
      </w:r>
      <w:r w:rsidRPr="002B5E33">
        <w:rPr>
          <w:rtl/>
        </w:rPr>
        <w:t xml:space="preserve"> </w:t>
      </w:r>
      <w:r w:rsidRPr="002B5E33">
        <w:rPr>
          <w:rFonts w:hint="eastAsia"/>
          <w:rtl/>
        </w:rPr>
        <w:t>זימון</w:t>
      </w:r>
      <w:r w:rsidRPr="002B5E33">
        <w:rPr>
          <w:rtl/>
        </w:rPr>
        <w:t xml:space="preserve"> </w:t>
      </w:r>
      <w:r w:rsidRPr="002B5E33">
        <w:rPr>
          <w:rFonts w:hint="eastAsia"/>
          <w:rtl/>
        </w:rPr>
        <w:t>עדים</w:t>
      </w:r>
      <w:r w:rsidRPr="002B5E33">
        <w:rPr>
          <w:rtl/>
        </w:rPr>
        <w:t xml:space="preserve"> </w:t>
      </w:r>
      <w:r w:rsidRPr="002B5E33">
        <w:rPr>
          <w:rFonts w:hint="eastAsia"/>
          <w:rtl/>
        </w:rPr>
        <w:t>וכדומה</w:t>
      </w:r>
      <w:r w:rsidRPr="002B5E33">
        <w:rPr>
          <w:rtl/>
        </w:rPr>
        <w:t xml:space="preserve">, </w:t>
      </w:r>
      <w:r w:rsidRPr="002B5E33">
        <w:rPr>
          <w:rFonts w:hint="eastAsia"/>
          <w:rtl/>
        </w:rPr>
        <w:t>וכן</w:t>
      </w:r>
      <w:r w:rsidRPr="002B5E33">
        <w:rPr>
          <w:rtl/>
        </w:rPr>
        <w:t xml:space="preserve"> </w:t>
      </w:r>
      <w:r w:rsidRPr="002B5E33">
        <w:rPr>
          <w:rFonts w:hint="eastAsia"/>
          <w:rtl/>
        </w:rPr>
        <w:t>כי</w:t>
      </w:r>
      <w:r w:rsidRPr="002B5E33">
        <w:rPr>
          <w:rtl/>
        </w:rPr>
        <w:t xml:space="preserve"> </w:t>
      </w:r>
      <w:r w:rsidRPr="002B5E33">
        <w:rPr>
          <w:rFonts w:hint="eastAsia"/>
          <w:rtl/>
        </w:rPr>
        <w:t>המוסד</w:t>
      </w:r>
      <w:r w:rsidRPr="002B5E33">
        <w:rPr>
          <w:rtl/>
        </w:rPr>
        <w:t xml:space="preserve"> </w:t>
      </w:r>
      <w:r w:rsidRPr="002B5E33">
        <w:rPr>
          <w:rFonts w:hint="eastAsia"/>
          <w:rtl/>
        </w:rPr>
        <w:t>ליישוב</w:t>
      </w:r>
      <w:r w:rsidRPr="002B5E33">
        <w:rPr>
          <w:rtl/>
        </w:rPr>
        <w:t xml:space="preserve"> </w:t>
      </w:r>
      <w:r w:rsidRPr="002B5E33">
        <w:rPr>
          <w:rFonts w:hint="eastAsia"/>
          <w:rtl/>
        </w:rPr>
        <w:t>סכסוכים</w:t>
      </w:r>
      <w:r w:rsidRPr="002B5E33">
        <w:rPr>
          <w:rtl/>
        </w:rPr>
        <w:t xml:space="preserve"> </w:t>
      </w:r>
      <w:r w:rsidRPr="002B5E33">
        <w:rPr>
          <w:rFonts w:hint="eastAsia"/>
          <w:rtl/>
        </w:rPr>
        <w:t>שהרשות</w:t>
      </w:r>
      <w:r w:rsidRPr="002B5E33">
        <w:rPr>
          <w:rtl/>
        </w:rPr>
        <w:t xml:space="preserve"> </w:t>
      </w:r>
      <w:r w:rsidRPr="002B5E33">
        <w:rPr>
          <w:rFonts w:hint="eastAsia"/>
          <w:rtl/>
        </w:rPr>
        <w:t>מקדמת</w:t>
      </w:r>
      <w:r w:rsidRPr="002B5E33">
        <w:rPr>
          <w:rtl/>
        </w:rPr>
        <w:t xml:space="preserve"> </w:t>
      </w:r>
      <w:r w:rsidRPr="002B5E33">
        <w:rPr>
          <w:rFonts w:hint="eastAsia"/>
          <w:rtl/>
        </w:rPr>
        <w:t>את</w:t>
      </w:r>
      <w:r w:rsidRPr="002B5E33">
        <w:rPr>
          <w:rtl/>
        </w:rPr>
        <w:t xml:space="preserve"> </w:t>
      </w:r>
      <w:r w:rsidRPr="002B5E33">
        <w:rPr>
          <w:rFonts w:hint="eastAsia"/>
          <w:rtl/>
        </w:rPr>
        <w:t>הקמתו</w:t>
      </w:r>
      <w:r w:rsidRPr="002B5E33">
        <w:rPr>
          <w:rtl/>
        </w:rPr>
        <w:t xml:space="preserve"> </w:t>
      </w:r>
      <w:r w:rsidRPr="002B5E33">
        <w:rPr>
          <w:rFonts w:hint="eastAsia"/>
          <w:rtl/>
        </w:rPr>
        <w:t>אמור</w:t>
      </w:r>
      <w:r w:rsidRPr="002B5E33">
        <w:rPr>
          <w:rtl/>
        </w:rPr>
        <w:t xml:space="preserve"> </w:t>
      </w:r>
      <w:r w:rsidRPr="002B5E33">
        <w:rPr>
          <w:rFonts w:hint="eastAsia"/>
          <w:rtl/>
        </w:rPr>
        <w:t>לטפל</w:t>
      </w:r>
      <w:r w:rsidRPr="002B5E33">
        <w:rPr>
          <w:rtl/>
        </w:rPr>
        <w:t xml:space="preserve"> </w:t>
      </w:r>
      <w:r w:rsidRPr="002B5E33">
        <w:rPr>
          <w:rFonts w:hint="eastAsia"/>
          <w:rtl/>
        </w:rPr>
        <w:t>בסוגיות</w:t>
      </w:r>
      <w:r w:rsidRPr="002B5E33">
        <w:rPr>
          <w:rtl/>
        </w:rPr>
        <w:t xml:space="preserve"> </w:t>
      </w:r>
      <w:r w:rsidRPr="002B5E33">
        <w:rPr>
          <w:rFonts w:hint="eastAsia"/>
          <w:rtl/>
        </w:rPr>
        <w:t>המערבות</w:t>
      </w:r>
      <w:r w:rsidRPr="002B5E33">
        <w:rPr>
          <w:rtl/>
        </w:rPr>
        <w:t xml:space="preserve"> </w:t>
      </w:r>
      <w:r w:rsidRPr="002B5E33">
        <w:rPr>
          <w:rFonts w:hint="eastAsia"/>
          <w:rtl/>
        </w:rPr>
        <w:t>מחלוקות</w:t>
      </w:r>
      <w:r w:rsidRPr="002B5E33">
        <w:rPr>
          <w:rtl/>
        </w:rPr>
        <w:t xml:space="preserve"> </w:t>
      </w:r>
      <w:r w:rsidRPr="002B5E33">
        <w:rPr>
          <w:rFonts w:hint="eastAsia"/>
          <w:rtl/>
        </w:rPr>
        <w:t>פשוטות</w:t>
      </w:r>
      <w:r w:rsidRPr="002B5E33">
        <w:rPr>
          <w:rtl/>
        </w:rPr>
        <w:t xml:space="preserve"> </w:t>
      </w:r>
      <w:r w:rsidRPr="002B5E33">
        <w:rPr>
          <w:rFonts w:hint="eastAsia"/>
          <w:rtl/>
        </w:rPr>
        <w:t>על</w:t>
      </w:r>
      <w:r w:rsidRPr="002B5E33">
        <w:rPr>
          <w:rtl/>
        </w:rPr>
        <w:t xml:space="preserve"> </w:t>
      </w:r>
      <w:r w:rsidRPr="002B5E33">
        <w:rPr>
          <w:rFonts w:hint="eastAsia"/>
          <w:rtl/>
        </w:rPr>
        <w:t>עובדות</w:t>
      </w:r>
      <w:r w:rsidRPr="002B5E33">
        <w:rPr>
          <w:rtl/>
        </w:rPr>
        <w:t>.</w:t>
      </w:r>
    </w:p>
    <w:p w:rsidR="00FA3E7D" w:rsidRPr="002B5E33" w:rsidP="00FA3E7D">
      <w:pPr>
        <w:pStyle w:val="a"/>
        <w:spacing w:line="269" w:lineRule="auto"/>
        <w:rPr>
          <w:rtl/>
        </w:rPr>
      </w:pPr>
    </w:p>
    <w:p w:rsidR="00FA3E7D" w:rsidRPr="002B5E33" w:rsidP="00FA3E7D">
      <w:pPr>
        <w:spacing w:line="269" w:lineRule="auto"/>
        <w:rPr>
          <w:b/>
          <w:bCs/>
          <w:sz w:val="24"/>
          <w:rtl/>
        </w:rPr>
      </w:pPr>
      <w:r w:rsidRPr="002B5E33">
        <w:rPr>
          <w:rFonts w:hint="cs"/>
          <w:b/>
          <w:bCs/>
          <w:sz w:val="24"/>
          <w:rtl/>
        </w:rPr>
        <w:t xml:space="preserve">עוד </w:t>
      </w:r>
      <w:r w:rsidRPr="002B5E33">
        <w:rPr>
          <w:rFonts w:hint="eastAsia"/>
          <w:b/>
          <w:bCs/>
          <w:sz w:val="24"/>
          <w:rtl/>
        </w:rPr>
        <w:t>מומלץ</w:t>
      </w:r>
      <w:r w:rsidRPr="002B5E33">
        <w:rPr>
          <w:b/>
          <w:bCs/>
          <w:sz w:val="24"/>
          <w:rtl/>
        </w:rPr>
        <w:t xml:space="preserve"> </w:t>
      </w:r>
      <w:r w:rsidRPr="002B5E33">
        <w:rPr>
          <w:rFonts w:hint="eastAsia"/>
          <w:b/>
          <w:bCs/>
          <w:sz w:val="24"/>
          <w:rtl/>
        </w:rPr>
        <w:t>כי</w:t>
      </w:r>
      <w:r w:rsidRPr="002B5E33">
        <w:rPr>
          <w:b/>
          <w:bCs/>
          <w:sz w:val="24"/>
          <w:rtl/>
        </w:rPr>
        <w:t xml:space="preserve"> </w:t>
      </w:r>
      <w:r w:rsidRPr="002B5E33">
        <w:rPr>
          <w:rFonts w:hint="eastAsia"/>
          <w:b/>
          <w:bCs/>
          <w:sz w:val="24"/>
          <w:rtl/>
        </w:rPr>
        <w:t>הממונה</w:t>
      </w:r>
      <w:r w:rsidRPr="002B5E33">
        <w:rPr>
          <w:b/>
          <w:bCs/>
          <w:sz w:val="24"/>
          <w:rtl/>
        </w:rPr>
        <w:t xml:space="preserve"> </w:t>
      </w:r>
      <w:r w:rsidRPr="002B5E33">
        <w:rPr>
          <w:rFonts w:hint="eastAsia"/>
          <w:b/>
          <w:bCs/>
          <w:sz w:val="24"/>
          <w:rtl/>
        </w:rPr>
        <w:t>על</w:t>
      </w:r>
      <w:r w:rsidRPr="002B5E33">
        <w:rPr>
          <w:b/>
          <w:bCs/>
          <w:sz w:val="24"/>
          <w:rtl/>
        </w:rPr>
        <w:t xml:space="preserve"> </w:t>
      </w:r>
      <w:r w:rsidRPr="002B5E33">
        <w:rPr>
          <w:rFonts w:hint="eastAsia"/>
          <w:b/>
          <w:bCs/>
          <w:sz w:val="24"/>
          <w:rtl/>
        </w:rPr>
        <w:t>שוק</w:t>
      </w:r>
      <w:r w:rsidRPr="002B5E33">
        <w:rPr>
          <w:b/>
          <w:bCs/>
          <w:sz w:val="24"/>
          <w:rtl/>
        </w:rPr>
        <w:t xml:space="preserve"> </w:t>
      </w:r>
      <w:r w:rsidRPr="002B5E33">
        <w:rPr>
          <w:rFonts w:hint="eastAsia"/>
          <w:b/>
          <w:bCs/>
          <w:sz w:val="24"/>
          <w:rtl/>
        </w:rPr>
        <w:t>ההון</w:t>
      </w:r>
      <w:r w:rsidRPr="002B5E33">
        <w:rPr>
          <w:b/>
          <w:bCs/>
          <w:sz w:val="24"/>
          <w:rtl/>
        </w:rPr>
        <w:t xml:space="preserve"> </w:t>
      </w:r>
      <w:r w:rsidRPr="002B5E33">
        <w:rPr>
          <w:rFonts w:hint="eastAsia"/>
          <w:b/>
          <w:bCs/>
          <w:sz w:val="24"/>
          <w:rtl/>
        </w:rPr>
        <w:t>יקבע</w:t>
      </w:r>
      <w:r w:rsidRPr="002B5E33">
        <w:rPr>
          <w:b/>
          <w:bCs/>
          <w:sz w:val="24"/>
          <w:rtl/>
        </w:rPr>
        <w:t xml:space="preserve"> </w:t>
      </w:r>
      <w:r w:rsidRPr="002B5E33">
        <w:rPr>
          <w:rFonts w:hint="eastAsia"/>
          <w:b/>
          <w:bCs/>
          <w:sz w:val="24"/>
          <w:rtl/>
        </w:rPr>
        <w:t>סדרי</w:t>
      </w:r>
      <w:r w:rsidRPr="002B5E33">
        <w:rPr>
          <w:b/>
          <w:bCs/>
          <w:sz w:val="24"/>
          <w:rtl/>
        </w:rPr>
        <w:t xml:space="preserve"> </w:t>
      </w:r>
      <w:r w:rsidRPr="002B5E33">
        <w:rPr>
          <w:rFonts w:hint="eastAsia"/>
          <w:b/>
          <w:bCs/>
          <w:sz w:val="24"/>
          <w:rtl/>
        </w:rPr>
        <w:t>דין</w:t>
      </w:r>
      <w:r w:rsidRPr="002B5E33">
        <w:rPr>
          <w:b/>
          <w:bCs/>
          <w:sz w:val="24"/>
          <w:rtl/>
        </w:rPr>
        <w:t xml:space="preserve"> </w:t>
      </w:r>
      <w:r w:rsidRPr="002B5E33">
        <w:rPr>
          <w:rFonts w:hint="eastAsia"/>
          <w:b/>
          <w:bCs/>
          <w:sz w:val="24"/>
          <w:rtl/>
        </w:rPr>
        <w:t>שיאפשרו</w:t>
      </w:r>
      <w:r w:rsidRPr="002B5E33">
        <w:rPr>
          <w:b/>
          <w:bCs/>
          <w:sz w:val="24"/>
          <w:rtl/>
        </w:rPr>
        <w:t xml:space="preserve">, </w:t>
      </w:r>
      <w:r w:rsidRPr="002B5E33">
        <w:rPr>
          <w:rFonts w:hint="eastAsia"/>
          <w:b/>
          <w:bCs/>
          <w:sz w:val="24"/>
          <w:rtl/>
        </w:rPr>
        <w:t>ככל</w:t>
      </w:r>
      <w:r w:rsidRPr="002B5E33">
        <w:rPr>
          <w:b/>
          <w:bCs/>
          <w:sz w:val="24"/>
          <w:rtl/>
        </w:rPr>
        <w:t xml:space="preserve"> </w:t>
      </w:r>
      <w:r w:rsidRPr="002B5E33">
        <w:rPr>
          <w:rFonts w:hint="eastAsia"/>
          <w:b/>
          <w:bCs/>
          <w:sz w:val="24"/>
          <w:rtl/>
        </w:rPr>
        <w:t>הניתן</w:t>
      </w:r>
      <w:r w:rsidRPr="002B5E33">
        <w:rPr>
          <w:b/>
          <w:bCs/>
          <w:sz w:val="24"/>
          <w:rtl/>
        </w:rPr>
        <w:t xml:space="preserve">, </w:t>
      </w:r>
      <w:r w:rsidRPr="002B5E33">
        <w:rPr>
          <w:rFonts w:hint="eastAsia"/>
          <w:b/>
          <w:bCs/>
          <w:sz w:val="24"/>
          <w:rtl/>
        </w:rPr>
        <w:t>להכריע</w:t>
      </w:r>
      <w:r w:rsidRPr="002B5E33">
        <w:rPr>
          <w:b/>
          <w:bCs/>
          <w:sz w:val="24"/>
          <w:rtl/>
        </w:rPr>
        <w:t xml:space="preserve"> גם במקרים של מחלוקות </w:t>
      </w:r>
      <w:r w:rsidRPr="002B5E33">
        <w:rPr>
          <w:rFonts w:hint="eastAsia"/>
          <w:b/>
          <w:bCs/>
          <w:sz w:val="24"/>
          <w:rtl/>
        </w:rPr>
        <w:t>על</w:t>
      </w:r>
      <w:r w:rsidRPr="002B5E33">
        <w:rPr>
          <w:b/>
          <w:bCs/>
          <w:sz w:val="24"/>
          <w:rtl/>
        </w:rPr>
        <w:t xml:space="preserve"> </w:t>
      </w:r>
      <w:r w:rsidRPr="002B5E33">
        <w:rPr>
          <w:rFonts w:hint="eastAsia"/>
          <w:b/>
          <w:bCs/>
          <w:sz w:val="24"/>
          <w:rtl/>
        </w:rPr>
        <w:t>עובדות</w:t>
      </w:r>
      <w:r w:rsidRPr="002B5E33">
        <w:rPr>
          <w:b/>
          <w:bCs/>
          <w:sz w:val="24"/>
          <w:rtl/>
        </w:rPr>
        <w:t xml:space="preserve">, </w:t>
      </w:r>
      <w:r w:rsidRPr="002B5E33">
        <w:rPr>
          <w:rFonts w:hint="eastAsia"/>
          <w:b/>
          <w:bCs/>
          <w:sz w:val="24"/>
          <w:rtl/>
        </w:rPr>
        <w:t>או</w:t>
      </w:r>
      <w:r w:rsidRPr="002B5E33">
        <w:rPr>
          <w:b/>
          <w:bCs/>
          <w:sz w:val="24"/>
          <w:rtl/>
        </w:rPr>
        <w:t xml:space="preserve"> </w:t>
      </w:r>
      <w:r w:rsidRPr="002B5E33">
        <w:rPr>
          <w:rFonts w:hint="eastAsia"/>
          <w:b/>
          <w:bCs/>
          <w:sz w:val="24"/>
          <w:rtl/>
        </w:rPr>
        <w:t>יבחן</w:t>
      </w:r>
      <w:r w:rsidRPr="002B5E33">
        <w:rPr>
          <w:b/>
          <w:bCs/>
          <w:sz w:val="24"/>
          <w:rtl/>
        </w:rPr>
        <w:t xml:space="preserve"> </w:t>
      </w:r>
      <w:r w:rsidRPr="002B5E33">
        <w:rPr>
          <w:rFonts w:hint="eastAsia"/>
          <w:b/>
          <w:bCs/>
          <w:sz w:val="24"/>
          <w:rtl/>
        </w:rPr>
        <w:t>את</w:t>
      </w:r>
      <w:r w:rsidRPr="002B5E33">
        <w:rPr>
          <w:b/>
          <w:bCs/>
          <w:sz w:val="24"/>
          <w:rtl/>
        </w:rPr>
        <w:t xml:space="preserve"> </w:t>
      </w:r>
      <w:r w:rsidRPr="002B5E33">
        <w:rPr>
          <w:rFonts w:hint="eastAsia"/>
          <w:b/>
          <w:bCs/>
          <w:sz w:val="24"/>
          <w:rtl/>
        </w:rPr>
        <w:t>המשך</w:t>
      </w:r>
      <w:r w:rsidRPr="002B5E33">
        <w:rPr>
          <w:b/>
          <w:bCs/>
          <w:sz w:val="24"/>
          <w:rtl/>
        </w:rPr>
        <w:t xml:space="preserve"> </w:t>
      </w:r>
      <w:r w:rsidRPr="002B5E33">
        <w:rPr>
          <w:rFonts w:hint="eastAsia"/>
          <w:b/>
          <w:bCs/>
          <w:sz w:val="24"/>
          <w:rtl/>
        </w:rPr>
        <w:t>קידום</w:t>
      </w:r>
      <w:r w:rsidRPr="002B5E33">
        <w:rPr>
          <w:b/>
          <w:bCs/>
          <w:sz w:val="24"/>
          <w:rtl/>
        </w:rPr>
        <w:t xml:space="preserve"> </w:t>
      </w:r>
      <w:r w:rsidRPr="002B5E33">
        <w:rPr>
          <w:rFonts w:hint="eastAsia"/>
          <w:b/>
          <w:bCs/>
          <w:sz w:val="24"/>
          <w:rtl/>
        </w:rPr>
        <w:t>המוסד</w:t>
      </w:r>
      <w:r w:rsidRPr="002B5E33">
        <w:rPr>
          <w:b/>
          <w:bCs/>
          <w:sz w:val="24"/>
          <w:rtl/>
        </w:rPr>
        <w:t xml:space="preserve"> </w:t>
      </w:r>
      <w:r w:rsidRPr="002B5E33">
        <w:rPr>
          <w:rFonts w:hint="eastAsia"/>
          <w:b/>
          <w:bCs/>
          <w:sz w:val="24"/>
          <w:rtl/>
        </w:rPr>
        <w:t>לישוב</w:t>
      </w:r>
      <w:r w:rsidRPr="002B5E33">
        <w:rPr>
          <w:b/>
          <w:bCs/>
          <w:sz w:val="24"/>
          <w:rtl/>
        </w:rPr>
        <w:t xml:space="preserve"> </w:t>
      </w:r>
      <w:r w:rsidRPr="002B5E33">
        <w:rPr>
          <w:rFonts w:hint="eastAsia"/>
          <w:b/>
          <w:bCs/>
          <w:sz w:val="24"/>
          <w:rtl/>
        </w:rPr>
        <w:t>סכסוכים</w:t>
      </w:r>
      <w:r w:rsidRPr="002B5E33">
        <w:rPr>
          <w:b/>
          <w:bCs/>
          <w:sz w:val="24"/>
          <w:rtl/>
        </w:rPr>
        <w:t xml:space="preserve">, </w:t>
      </w:r>
      <w:r w:rsidRPr="002B5E33">
        <w:rPr>
          <w:rFonts w:hint="eastAsia"/>
          <w:b/>
          <w:bCs/>
          <w:sz w:val="24"/>
          <w:rtl/>
        </w:rPr>
        <w:t>כאמור</w:t>
      </w:r>
      <w:r w:rsidRPr="002B5E33">
        <w:rPr>
          <w:b/>
          <w:bCs/>
          <w:sz w:val="24"/>
          <w:rtl/>
        </w:rPr>
        <w:t xml:space="preserve"> </w:t>
      </w:r>
      <w:r w:rsidRPr="002B5E33">
        <w:rPr>
          <w:rFonts w:hint="eastAsia"/>
          <w:b/>
          <w:bCs/>
          <w:sz w:val="24"/>
          <w:rtl/>
        </w:rPr>
        <w:t>בתשובת</w:t>
      </w:r>
      <w:r w:rsidRPr="002B5E33">
        <w:rPr>
          <w:b/>
          <w:bCs/>
          <w:sz w:val="24"/>
          <w:rtl/>
        </w:rPr>
        <w:t xml:space="preserve"> </w:t>
      </w:r>
      <w:r w:rsidRPr="002B5E33">
        <w:rPr>
          <w:rFonts w:hint="eastAsia"/>
          <w:b/>
          <w:bCs/>
          <w:sz w:val="24"/>
          <w:rtl/>
        </w:rPr>
        <w:t>הרשות</w:t>
      </w:r>
      <w:r w:rsidRPr="002B5E33">
        <w:rPr>
          <w:b/>
          <w:bCs/>
          <w:sz w:val="24"/>
          <w:rtl/>
        </w:rPr>
        <w:t>.</w:t>
      </w:r>
    </w:p>
    <w:p w:rsidR="00FA3E7D" w:rsidRPr="002B5E33" w:rsidP="00FA3E7D">
      <w:pPr>
        <w:pStyle w:val="a"/>
        <w:spacing w:line="269" w:lineRule="auto"/>
        <w:rPr>
          <w:rtl/>
        </w:rPr>
      </w:pPr>
    </w:p>
    <w:p w:rsidR="00FA3E7D" w:rsidRPr="002B5E33" w:rsidP="00FA3E7D">
      <w:pPr>
        <w:spacing w:line="269" w:lineRule="auto"/>
      </w:pPr>
      <w:r w:rsidRPr="002B5E33">
        <w:rPr>
          <w:rtl/>
        </w:rPr>
        <w:t>בתשובת איגוד חברות הביטוח נכתב כי לרשות שוק ההון אין כלים ויכולות להכריע בענייני עובד</w:t>
      </w:r>
      <w:r w:rsidRPr="002B5E33">
        <w:rPr>
          <w:rFonts w:hint="eastAsia"/>
          <w:rtl/>
        </w:rPr>
        <w:t>ו</w:t>
      </w:r>
      <w:r w:rsidRPr="002B5E33">
        <w:rPr>
          <w:rtl/>
        </w:rPr>
        <w:t>ת, בניגוד לבתי המשפט הפועלים לפי כללי סדרי דין המאפשרים את בירור</w:t>
      </w:r>
      <w:r w:rsidRPr="002B5E33">
        <w:rPr>
          <w:rFonts w:hint="eastAsia"/>
          <w:rtl/>
        </w:rPr>
        <w:t>ן</w:t>
      </w:r>
      <w:r w:rsidRPr="002B5E33">
        <w:rPr>
          <w:rtl/>
        </w:rPr>
        <w:t>.</w:t>
      </w:r>
    </w:p>
    <w:p w:rsidR="00FA3E7D" w:rsidRPr="002B5E33" w:rsidP="00FA3E7D">
      <w:pPr>
        <w:pStyle w:val="a"/>
        <w:spacing w:line="269" w:lineRule="auto"/>
        <w:rPr>
          <w:rtl/>
        </w:rPr>
      </w:pPr>
    </w:p>
    <w:p w:rsidR="00FA3E7D" w:rsidRPr="002B5E33" w:rsidP="00FA3E7D">
      <w:pPr>
        <w:pStyle w:val="Heading5"/>
        <w:spacing w:line="269" w:lineRule="auto"/>
        <w:rPr>
          <w:rtl/>
        </w:rPr>
      </w:pPr>
      <w:r w:rsidRPr="002B5E33">
        <w:rPr>
          <w:rFonts w:hint="cs"/>
          <w:rtl/>
        </w:rPr>
        <w:t xml:space="preserve">תלונות שנסגרו עקב חוסר מעש של המתלונן </w:t>
      </w:r>
    </w:p>
    <w:p w:rsidR="00FA3E7D" w:rsidP="00FA3E7D">
      <w:pPr>
        <w:pStyle w:val="a"/>
        <w:rPr>
          <w:rtl/>
        </w:rPr>
      </w:pPr>
    </w:p>
    <w:p w:rsidR="00FA3E7D" w:rsidRPr="002B5E33" w:rsidP="00FA3E7D">
      <w:pPr>
        <w:spacing w:line="269" w:lineRule="auto"/>
        <w:rPr>
          <w:rFonts w:ascii="David" w:hAnsi="David"/>
          <w:sz w:val="24"/>
          <w:rtl/>
        </w:rPr>
      </w:pPr>
      <w:r w:rsidRPr="002B5E33">
        <w:rPr>
          <w:rFonts w:ascii="David" w:hAnsi="David" w:hint="cs"/>
          <w:sz w:val="24"/>
          <w:rtl/>
        </w:rPr>
        <w:t xml:space="preserve">כ-4.6% </w:t>
      </w:r>
      <w:r w:rsidRPr="002B5E33">
        <w:rPr>
          <w:rFonts w:hint="cs"/>
          <w:rtl/>
        </w:rPr>
        <w:t xml:space="preserve">מהתלונות שהוגשו </w:t>
      </w:r>
      <w:r w:rsidRPr="002B5E33">
        <w:rPr>
          <w:rFonts w:ascii="David" w:hAnsi="David" w:hint="eastAsia"/>
          <w:sz w:val="24"/>
          <w:rtl/>
        </w:rPr>
        <w:t>לרשות</w:t>
      </w:r>
      <w:r w:rsidRPr="002B5E33">
        <w:rPr>
          <w:rFonts w:ascii="David" w:hAnsi="David"/>
          <w:sz w:val="24"/>
          <w:rtl/>
        </w:rPr>
        <w:t xml:space="preserve"> שוק ההון בשנים 2018-2014</w:t>
      </w:r>
      <w:r w:rsidRPr="002B5E33">
        <w:rPr>
          <w:rFonts w:hint="cs"/>
          <w:rtl/>
        </w:rPr>
        <w:t xml:space="preserve"> בתחום ביטוחי הבריאות</w:t>
      </w:r>
      <w:r w:rsidRPr="002B5E33">
        <w:rPr>
          <w:rFonts w:ascii="David" w:hAnsi="David"/>
          <w:sz w:val="24"/>
          <w:rtl/>
        </w:rPr>
        <w:t xml:space="preserve"> נסגרו לאחר שהמתלונן ל</w:t>
      </w:r>
      <w:r w:rsidRPr="002B5E33">
        <w:rPr>
          <w:rFonts w:ascii="David" w:hAnsi="David" w:hint="cs"/>
          <w:sz w:val="24"/>
          <w:rtl/>
        </w:rPr>
        <w:t xml:space="preserve">א </w:t>
      </w:r>
      <w:r w:rsidRPr="002B5E33">
        <w:rPr>
          <w:rFonts w:ascii="David" w:hAnsi="David"/>
          <w:sz w:val="24"/>
          <w:rtl/>
        </w:rPr>
        <w:t>המציא לרשות חומר נוסף לצורך בירור התלונה</w:t>
      </w:r>
      <w:r w:rsidRPr="002B5E33">
        <w:rPr>
          <w:rFonts w:ascii="David" w:hAnsi="David" w:hint="cs"/>
          <w:sz w:val="24"/>
          <w:rtl/>
        </w:rPr>
        <w:t xml:space="preserve"> אף שהתבקש</w:t>
      </w:r>
      <w:r w:rsidRPr="002B5E33">
        <w:rPr>
          <w:rFonts w:ascii="David" w:hAnsi="David"/>
          <w:sz w:val="24"/>
          <w:rtl/>
        </w:rPr>
        <w:t xml:space="preserve">. </w:t>
      </w:r>
      <w:r w:rsidRPr="002B5E33">
        <w:rPr>
          <w:rFonts w:ascii="David" w:hAnsi="David" w:hint="eastAsia"/>
          <w:sz w:val="24"/>
          <w:rtl/>
        </w:rPr>
        <w:t>בשנת</w:t>
      </w:r>
      <w:r w:rsidRPr="002B5E33">
        <w:rPr>
          <w:rFonts w:ascii="David" w:hAnsi="David"/>
          <w:sz w:val="24"/>
          <w:rtl/>
        </w:rPr>
        <w:t xml:space="preserve"> </w:t>
      </w:r>
      <w:r w:rsidRPr="002B5E33">
        <w:rPr>
          <w:rFonts w:ascii="David" w:hAnsi="David"/>
          <w:sz w:val="24"/>
        </w:rPr>
        <w:t>2018</w:t>
      </w:r>
      <w:r w:rsidRPr="002B5E33">
        <w:rPr>
          <w:rFonts w:ascii="David" w:hAnsi="David"/>
          <w:sz w:val="24"/>
          <w:rtl/>
        </w:rPr>
        <w:t xml:space="preserve">, </w:t>
      </w:r>
      <w:r w:rsidRPr="002B5E33">
        <w:rPr>
          <w:rFonts w:ascii="David" w:hAnsi="David" w:hint="eastAsia"/>
          <w:sz w:val="24"/>
          <w:rtl/>
        </w:rPr>
        <w:t>ממוצע</w:t>
      </w:r>
      <w:r w:rsidRPr="002B5E33">
        <w:rPr>
          <w:rFonts w:ascii="David" w:hAnsi="David"/>
          <w:sz w:val="24"/>
          <w:rtl/>
        </w:rPr>
        <w:t xml:space="preserve"> </w:t>
      </w:r>
      <w:r w:rsidRPr="002B5E33">
        <w:rPr>
          <w:rFonts w:ascii="David" w:hAnsi="David" w:hint="eastAsia"/>
          <w:sz w:val="24"/>
          <w:rtl/>
        </w:rPr>
        <w:t>משך</w:t>
      </w:r>
      <w:r w:rsidRPr="002B5E33">
        <w:rPr>
          <w:rFonts w:ascii="David" w:hAnsi="David"/>
          <w:sz w:val="24"/>
          <w:rtl/>
        </w:rPr>
        <w:t xml:space="preserve"> </w:t>
      </w:r>
      <w:r w:rsidRPr="002B5E33">
        <w:rPr>
          <w:rFonts w:ascii="David" w:hAnsi="David" w:hint="eastAsia"/>
          <w:sz w:val="24"/>
          <w:rtl/>
        </w:rPr>
        <w:t>הטיפול</w:t>
      </w:r>
      <w:r w:rsidRPr="002B5E33">
        <w:rPr>
          <w:rFonts w:ascii="David" w:hAnsi="David"/>
          <w:sz w:val="24"/>
          <w:rtl/>
        </w:rPr>
        <w:t xml:space="preserve"> </w:t>
      </w:r>
      <w:r w:rsidRPr="002B5E33">
        <w:rPr>
          <w:rFonts w:ascii="David" w:hAnsi="David" w:hint="eastAsia"/>
          <w:sz w:val="24"/>
          <w:rtl/>
        </w:rPr>
        <w:t>בתלונה</w:t>
      </w:r>
      <w:r w:rsidRPr="002B5E33">
        <w:rPr>
          <w:rFonts w:ascii="David" w:hAnsi="David"/>
          <w:sz w:val="24"/>
          <w:rtl/>
        </w:rPr>
        <w:t xml:space="preserve"> </w:t>
      </w:r>
      <w:r w:rsidRPr="002B5E33">
        <w:rPr>
          <w:rFonts w:ascii="David" w:hAnsi="David" w:hint="eastAsia"/>
          <w:sz w:val="24"/>
          <w:rtl/>
        </w:rPr>
        <w:t>שנסגרה</w:t>
      </w:r>
      <w:r w:rsidRPr="002B5E33">
        <w:rPr>
          <w:rFonts w:ascii="David" w:hAnsi="David"/>
          <w:sz w:val="24"/>
          <w:rtl/>
        </w:rPr>
        <w:t xml:space="preserve"> </w:t>
      </w:r>
      <w:r w:rsidRPr="002B5E33">
        <w:rPr>
          <w:rFonts w:ascii="David" w:hAnsi="David" w:hint="eastAsia"/>
          <w:sz w:val="24"/>
          <w:rtl/>
        </w:rPr>
        <w:t>בשל</w:t>
      </w:r>
      <w:r w:rsidRPr="002B5E33">
        <w:rPr>
          <w:rFonts w:ascii="David" w:hAnsi="David"/>
          <w:sz w:val="24"/>
          <w:rtl/>
        </w:rPr>
        <w:t xml:space="preserve"> </w:t>
      </w:r>
      <w:r w:rsidRPr="002B5E33">
        <w:rPr>
          <w:rFonts w:ascii="David" w:hAnsi="David" w:hint="eastAsia"/>
          <w:sz w:val="24"/>
          <w:rtl/>
        </w:rPr>
        <w:t>חוסר</w:t>
      </w:r>
      <w:r w:rsidRPr="002B5E33">
        <w:rPr>
          <w:rFonts w:ascii="David" w:hAnsi="David"/>
          <w:sz w:val="24"/>
          <w:rtl/>
        </w:rPr>
        <w:t xml:space="preserve"> </w:t>
      </w:r>
      <w:r w:rsidRPr="002B5E33">
        <w:rPr>
          <w:rFonts w:ascii="David" w:hAnsi="David" w:hint="eastAsia"/>
          <w:sz w:val="24"/>
          <w:rtl/>
        </w:rPr>
        <w:t>מעש</w:t>
      </w:r>
      <w:r w:rsidRPr="002B5E33">
        <w:rPr>
          <w:rFonts w:ascii="David" w:hAnsi="David"/>
          <w:sz w:val="24"/>
          <w:rtl/>
        </w:rPr>
        <w:t xml:space="preserve"> </w:t>
      </w:r>
      <w:r w:rsidRPr="002B5E33">
        <w:rPr>
          <w:rFonts w:ascii="David" w:hAnsi="David" w:hint="eastAsia"/>
          <w:sz w:val="24"/>
          <w:rtl/>
        </w:rPr>
        <w:t>של</w:t>
      </w:r>
      <w:r w:rsidRPr="002B5E33">
        <w:rPr>
          <w:rFonts w:ascii="David" w:hAnsi="David"/>
          <w:sz w:val="24"/>
          <w:rtl/>
        </w:rPr>
        <w:t xml:space="preserve"> </w:t>
      </w:r>
      <w:r w:rsidRPr="002B5E33">
        <w:rPr>
          <w:rFonts w:ascii="David" w:hAnsi="David" w:hint="eastAsia"/>
          <w:sz w:val="24"/>
          <w:rtl/>
        </w:rPr>
        <w:t>המתלונן</w:t>
      </w:r>
      <w:r w:rsidRPr="002B5E33">
        <w:rPr>
          <w:rFonts w:ascii="David" w:hAnsi="David"/>
          <w:sz w:val="24"/>
          <w:rtl/>
        </w:rPr>
        <w:t xml:space="preserve"> </w:t>
      </w:r>
      <w:r w:rsidRPr="002B5E33">
        <w:rPr>
          <w:rFonts w:ascii="David" w:hAnsi="David" w:hint="cs"/>
          <w:sz w:val="24"/>
          <w:rtl/>
        </w:rPr>
        <w:t xml:space="preserve">עמד על 77 </w:t>
      </w:r>
      <w:r w:rsidRPr="002B5E33">
        <w:rPr>
          <w:rFonts w:ascii="David" w:hAnsi="David" w:hint="eastAsia"/>
          <w:sz w:val="24"/>
          <w:rtl/>
        </w:rPr>
        <w:t>ימים</w:t>
      </w:r>
      <w:r w:rsidRPr="002B5E33">
        <w:rPr>
          <w:rFonts w:ascii="David" w:hAnsi="David"/>
          <w:sz w:val="24"/>
          <w:rtl/>
        </w:rPr>
        <w:t>. לבד מפני</w:t>
      </w:r>
      <w:r w:rsidRPr="002B5E33">
        <w:rPr>
          <w:rFonts w:ascii="David" w:hAnsi="David" w:hint="cs"/>
          <w:sz w:val="24"/>
          <w:rtl/>
        </w:rPr>
        <w:t>י</w:t>
      </w:r>
      <w:r w:rsidRPr="002B5E33">
        <w:rPr>
          <w:rFonts w:ascii="David" w:hAnsi="David"/>
          <w:sz w:val="24"/>
          <w:rtl/>
        </w:rPr>
        <w:t xml:space="preserve">ה </w:t>
      </w:r>
      <w:r w:rsidRPr="002B5E33">
        <w:rPr>
          <w:rFonts w:ascii="David" w:hAnsi="David" w:hint="eastAsia"/>
          <w:sz w:val="24"/>
          <w:rtl/>
        </w:rPr>
        <w:t>בכתב</w:t>
      </w:r>
      <w:r w:rsidRPr="002B5E33">
        <w:rPr>
          <w:rFonts w:ascii="David" w:hAnsi="David"/>
          <w:sz w:val="24"/>
          <w:rtl/>
        </w:rPr>
        <w:t xml:space="preserve"> למתלונן, הרשות </w:t>
      </w:r>
      <w:r w:rsidRPr="002B5E33">
        <w:rPr>
          <w:rFonts w:ascii="David" w:hAnsi="David" w:hint="cs"/>
          <w:sz w:val="24"/>
          <w:rtl/>
        </w:rPr>
        <w:t xml:space="preserve">אינה נוקטת </w:t>
      </w:r>
      <w:r w:rsidRPr="002B5E33">
        <w:rPr>
          <w:rFonts w:ascii="David" w:hAnsi="David"/>
          <w:sz w:val="24"/>
          <w:rtl/>
        </w:rPr>
        <w:t xml:space="preserve">פעולה נוספת </w:t>
      </w:r>
      <w:r w:rsidRPr="002B5E33">
        <w:rPr>
          <w:rFonts w:ascii="David" w:hAnsi="David" w:hint="eastAsia"/>
          <w:sz w:val="24"/>
          <w:rtl/>
        </w:rPr>
        <w:t>כדי</w:t>
      </w:r>
      <w:r w:rsidRPr="002B5E33">
        <w:rPr>
          <w:rFonts w:ascii="David" w:hAnsi="David"/>
          <w:sz w:val="24"/>
          <w:rtl/>
        </w:rPr>
        <w:t xml:space="preserve"> </w:t>
      </w:r>
      <w:r w:rsidRPr="002B5E33">
        <w:rPr>
          <w:rFonts w:ascii="David" w:hAnsi="David" w:hint="eastAsia"/>
          <w:sz w:val="24"/>
          <w:rtl/>
        </w:rPr>
        <w:t>לעודד</w:t>
      </w:r>
      <w:r w:rsidRPr="002B5E33">
        <w:rPr>
          <w:rFonts w:ascii="David" w:hAnsi="David"/>
          <w:sz w:val="24"/>
          <w:rtl/>
        </w:rPr>
        <w:t xml:space="preserve"> </w:t>
      </w:r>
      <w:r w:rsidRPr="002B5E33">
        <w:rPr>
          <w:rFonts w:ascii="David" w:hAnsi="David" w:hint="eastAsia"/>
          <w:sz w:val="24"/>
          <w:rtl/>
        </w:rPr>
        <w:t>את</w:t>
      </w:r>
      <w:r w:rsidRPr="002B5E33">
        <w:rPr>
          <w:rFonts w:ascii="David" w:hAnsi="David"/>
          <w:sz w:val="24"/>
          <w:rtl/>
        </w:rPr>
        <w:t xml:space="preserve"> </w:t>
      </w:r>
      <w:r w:rsidRPr="002B5E33">
        <w:rPr>
          <w:rFonts w:ascii="David" w:hAnsi="David" w:hint="eastAsia"/>
          <w:sz w:val="24"/>
          <w:rtl/>
        </w:rPr>
        <w:t>המתלונן</w:t>
      </w:r>
      <w:r w:rsidRPr="002B5E33">
        <w:rPr>
          <w:rFonts w:ascii="David" w:hAnsi="David"/>
          <w:sz w:val="24"/>
          <w:rtl/>
        </w:rPr>
        <w:t xml:space="preserve"> </w:t>
      </w:r>
      <w:r w:rsidRPr="002B5E33">
        <w:rPr>
          <w:rFonts w:ascii="David" w:hAnsi="David" w:hint="eastAsia"/>
          <w:sz w:val="24"/>
          <w:rtl/>
        </w:rPr>
        <w:t>להמציא</w:t>
      </w:r>
      <w:r w:rsidRPr="002B5E33">
        <w:rPr>
          <w:rFonts w:ascii="David" w:hAnsi="David"/>
          <w:sz w:val="24"/>
          <w:rtl/>
        </w:rPr>
        <w:t xml:space="preserve"> </w:t>
      </w:r>
      <w:r w:rsidRPr="002B5E33">
        <w:rPr>
          <w:rFonts w:ascii="David" w:hAnsi="David" w:hint="eastAsia"/>
          <w:sz w:val="24"/>
          <w:rtl/>
        </w:rPr>
        <w:t>ל</w:t>
      </w:r>
      <w:r w:rsidRPr="002B5E33">
        <w:rPr>
          <w:rFonts w:ascii="David" w:hAnsi="David" w:hint="cs"/>
          <w:sz w:val="24"/>
          <w:rtl/>
        </w:rPr>
        <w:t>ה</w:t>
      </w:r>
      <w:r w:rsidRPr="002B5E33">
        <w:rPr>
          <w:rFonts w:ascii="David" w:hAnsi="David"/>
          <w:sz w:val="24"/>
          <w:rtl/>
        </w:rPr>
        <w:t xml:space="preserve"> </w:t>
      </w:r>
      <w:r w:rsidRPr="002B5E33">
        <w:rPr>
          <w:rFonts w:ascii="David" w:hAnsi="David" w:hint="eastAsia"/>
          <w:sz w:val="24"/>
          <w:rtl/>
        </w:rPr>
        <w:t>את</w:t>
      </w:r>
      <w:r w:rsidRPr="002B5E33">
        <w:rPr>
          <w:rFonts w:ascii="David" w:hAnsi="David"/>
          <w:sz w:val="24"/>
          <w:rtl/>
        </w:rPr>
        <w:t xml:space="preserve"> </w:t>
      </w:r>
      <w:r w:rsidRPr="002B5E33">
        <w:rPr>
          <w:rFonts w:ascii="David" w:hAnsi="David" w:hint="eastAsia"/>
          <w:sz w:val="24"/>
          <w:rtl/>
        </w:rPr>
        <w:t>החומר</w:t>
      </w:r>
      <w:r w:rsidRPr="002B5E33">
        <w:rPr>
          <w:rFonts w:ascii="David" w:hAnsi="David"/>
          <w:sz w:val="24"/>
          <w:rtl/>
        </w:rPr>
        <w:t xml:space="preserve"> </w:t>
      </w:r>
      <w:r w:rsidRPr="002B5E33">
        <w:rPr>
          <w:rFonts w:ascii="David" w:hAnsi="David" w:hint="eastAsia"/>
          <w:sz w:val="24"/>
          <w:rtl/>
        </w:rPr>
        <w:t>המבוקש</w:t>
      </w:r>
      <w:r w:rsidRPr="002B5E33">
        <w:rPr>
          <w:rFonts w:ascii="David" w:hAnsi="David"/>
          <w:sz w:val="24"/>
          <w:rtl/>
        </w:rPr>
        <w:t>.</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רשות</w:t>
      </w:r>
      <w:r w:rsidRPr="002B5E33">
        <w:rPr>
          <w:rtl/>
        </w:rPr>
        <w:t xml:space="preserve"> שוק ההון לא ערכה בדיקה </w:t>
      </w:r>
      <w:r w:rsidRPr="002B5E33">
        <w:rPr>
          <w:rFonts w:hint="cs"/>
          <w:rtl/>
        </w:rPr>
        <w:t>של</w:t>
      </w:r>
      <w:r w:rsidRPr="002B5E33">
        <w:rPr>
          <w:rtl/>
        </w:rPr>
        <w:t xml:space="preserve"> הסיבות שבעטיין </w:t>
      </w:r>
      <w:r w:rsidRPr="002B5E33">
        <w:rPr>
          <w:rFonts w:hint="cs"/>
          <w:rtl/>
        </w:rPr>
        <w:t>מתלוננים אינם</w:t>
      </w:r>
      <w:r w:rsidRPr="002B5E33">
        <w:rPr>
          <w:rtl/>
        </w:rPr>
        <w:t xml:space="preserve"> ממציאים את החומר הנוסף הנדרש </w:t>
      </w:r>
      <w:r w:rsidRPr="002B5E33">
        <w:rPr>
          <w:rFonts w:hint="cs"/>
          <w:rtl/>
        </w:rPr>
        <w:t>ל</w:t>
      </w:r>
      <w:r w:rsidRPr="002B5E33">
        <w:rPr>
          <w:rtl/>
        </w:rPr>
        <w:t xml:space="preserve">בירור התלונה, </w:t>
      </w:r>
      <w:r w:rsidRPr="002B5E33">
        <w:rPr>
          <w:rFonts w:hint="eastAsia"/>
          <w:rtl/>
        </w:rPr>
        <w:t>ו</w:t>
      </w:r>
      <w:r w:rsidRPr="002B5E33">
        <w:rPr>
          <w:rFonts w:hint="cs"/>
          <w:rtl/>
        </w:rPr>
        <w:t xml:space="preserve">לא בחנה </w:t>
      </w:r>
      <w:r w:rsidRPr="002B5E33">
        <w:rPr>
          <w:rFonts w:hint="eastAsia"/>
          <w:rtl/>
        </w:rPr>
        <w:t>אם</w:t>
      </w:r>
      <w:r w:rsidRPr="002B5E33">
        <w:rPr>
          <w:rtl/>
        </w:rPr>
        <w:t xml:space="preserve"> </w:t>
      </w:r>
      <w:r w:rsidRPr="002B5E33">
        <w:rPr>
          <w:rFonts w:hint="eastAsia"/>
          <w:rtl/>
        </w:rPr>
        <w:t>לפערי</w:t>
      </w:r>
      <w:r w:rsidRPr="002B5E33">
        <w:rPr>
          <w:rtl/>
        </w:rPr>
        <w:t xml:space="preserve"> </w:t>
      </w:r>
      <w:r w:rsidRPr="002B5E33">
        <w:rPr>
          <w:rFonts w:hint="eastAsia"/>
          <w:rtl/>
        </w:rPr>
        <w:t>הידע</w:t>
      </w:r>
      <w:r w:rsidRPr="002B5E33">
        <w:rPr>
          <w:rtl/>
        </w:rPr>
        <w:t xml:space="preserve"> </w:t>
      </w:r>
      <w:r w:rsidRPr="002B5E33">
        <w:rPr>
          <w:rFonts w:hint="eastAsia"/>
          <w:rtl/>
        </w:rPr>
        <w:t>הקיימים</w:t>
      </w:r>
      <w:r w:rsidRPr="002B5E33">
        <w:rPr>
          <w:rtl/>
        </w:rPr>
        <w:t xml:space="preserve"> </w:t>
      </w:r>
      <w:r w:rsidRPr="002B5E33">
        <w:rPr>
          <w:rFonts w:hint="eastAsia"/>
          <w:rtl/>
        </w:rPr>
        <w:t>בין</w:t>
      </w:r>
      <w:r w:rsidRPr="002B5E33">
        <w:rPr>
          <w:rtl/>
        </w:rPr>
        <w:t xml:space="preserve"> </w:t>
      </w:r>
      <w:r w:rsidRPr="002B5E33">
        <w:rPr>
          <w:rFonts w:hint="eastAsia"/>
          <w:rtl/>
        </w:rPr>
        <w:t>המתלוננים</w:t>
      </w:r>
      <w:r w:rsidRPr="002B5E33">
        <w:rPr>
          <w:rtl/>
        </w:rPr>
        <w:t xml:space="preserve"> </w:t>
      </w:r>
      <w:r w:rsidRPr="002B5E33">
        <w:rPr>
          <w:rFonts w:hint="eastAsia"/>
          <w:rtl/>
        </w:rPr>
        <w:t>לבין</w:t>
      </w:r>
      <w:r w:rsidRPr="002B5E33">
        <w:rPr>
          <w:rtl/>
        </w:rPr>
        <w:t xml:space="preserve"> </w:t>
      </w:r>
      <w:r w:rsidRPr="002B5E33">
        <w:rPr>
          <w:rFonts w:hint="eastAsia"/>
          <w:rtl/>
        </w:rPr>
        <w:t>חברות</w:t>
      </w:r>
      <w:r w:rsidRPr="002B5E33">
        <w:rPr>
          <w:rtl/>
        </w:rPr>
        <w:t xml:space="preserve"> </w:t>
      </w:r>
      <w:r w:rsidRPr="002B5E33">
        <w:rPr>
          <w:rFonts w:hint="eastAsia"/>
          <w:rtl/>
        </w:rPr>
        <w:t>הביטוח</w:t>
      </w:r>
      <w:r w:rsidRPr="002B5E33">
        <w:rPr>
          <w:rtl/>
        </w:rPr>
        <w:t xml:space="preserve"> </w:t>
      </w:r>
      <w:r w:rsidRPr="002B5E33">
        <w:rPr>
          <w:rFonts w:hint="cs"/>
          <w:rtl/>
        </w:rPr>
        <w:t xml:space="preserve">יש </w:t>
      </w:r>
      <w:r w:rsidRPr="002B5E33">
        <w:rPr>
          <w:rFonts w:hint="eastAsia"/>
          <w:rtl/>
        </w:rPr>
        <w:t>השפעה</w:t>
      </w:r>
      <w:r w:rsidRPr="002B5E33">
        <w:rPr>
          <w:rtl/>
        </w:rPr>
        <w:t xml:space="preserve"> </w:t>
      </w:r>
      <w:r w:rsidRPr="002B5E33">
        <w:rPr>
          <w:rFonts w:hint="eastAsia"/>
          <w:rtl/>
        </w:rPr>
        <w:t>על</w:t>
      </w:r>
      <w:r w:rsidRPr="002B5E33">
        <w:rPr>
          <w:rtl/>
        </w:rPr>
        <w:t xml:space="preserve"> </w:t>
      </w:r>
      <w:r w:rsidRPr="002B5E33">
        <w:rPr>
          <w:rFonts w:hint="eastAsia"/>
          <w:rtl/>
        </w:rPr>
        <w:t>כך</w:t>
      </w:r>
      <w:r w:rsidRPr="002B5E33">
        <w:rPr>
          <w:rtl/>
        </w:rPr>
        <w:t xml:space="preserve">. </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הרשות</w:t>
      </w:r>
      <w:r w:rsidRPr="002B5E33">
        <w:rPr>
          <w:rtl/>
        </w:rPr>
        <w:t xml:space="preserve"> השיבה למשרד מבקר המדינה כי </w:t>
      </w:r>
      <w:r w:rsidRPr="002B5E33">
        <w:rPr>
          <w:rFonts w:hint="eastAsia"/>
          <w:rtl/>
        </w:rPr>
        <w:t>במקרים</w:t>
      </w:r>
      <w:r w:rsidRPr="002B5E33">
        <w:rPr>
          <w:rtl/>
        </w:rPr>
        <w:t xml:space="preserve"> </w:t>
      </w:r>
      <w:r w:rsidRPr="002B5E33">
        <w:rPr>
          <w:rFonts w:hint="cs"/>
          <w:rtl/>
        </w:rPr>
        <w:t>ש</w:t>
      </w:r>
      <w:r w:rsidRPr="002B5E33">
        <w:rPr>
          <w:rFonts w:hint="eastAsia"/>
          <w:rtl/>
        </w:rPr>
        <w:t>בהם</w:t>
      </w:r>
      <w:r w:rsidRPr="002B5E33">
        <w:rPr>
          <w:rtl/>
        </w:rPr>
        <w:t xml:space="preserve"> </w:t>
      </w:r>
      <w:r w:rsidRPr="002B5E33">
        <w:rPr>
          <w:rFonts w:hint="eastAsia"/>
          <w:rtl/>
        </w:rPr>
        <w:t>לא</w:t>
      </w:r>
      <w:r w:rsidRPr="002B5E33">
        <w:rPr>
          <w:rtl/>
        </w:rPr>
        <w:t xml:space="preserve"> </w:t>
      </w:r>
      <w:r w:rsidRPr="002B5E33">
        <w:rPr>
          <w:rFonts w:hint="eastAsia"/>
          <w:rtl/>
        </w:rPr>
        <w:t>ניתן</w:t>
      </w:r>
      <w:r w:rsidRPr="002B5E33">
        <w:rPr>
          <w:rtl/>
        </w:rPr>
        <w:t xml:space="preserve"> </w:t>
      </w:r>
      <w:r w:rsidRPr="002B5E33">
        <w:rPr>
          <w:rFonts w:hint="eastAsia"/>
          <w:rtl/>
        </w:rPr>
        <w:t>לברר</w:t>
      </w:r>
      <w:r w:rsidRPr="002B5E33">
        <w:rPr>
          <w:rFonts w:hint="cs"/>
          <w:rtl/>
        </w:rPr>
        <w:t xml:space="preserve"> תלונ</w:t>
      </w:r>
      <w:r w:rsidRPr="002B5E33">
        <w:rPr>
          <w:rFonts w:hint="eastAsia"/>
          <w:rtl/>
        </w:rPr>
        <w:t>ה</w:t>
      </w:r>
      <w:r w:rsidRPr="002B5E33">
        <w:rPr>
          <w:rtl/>
        </w:rPr>
        <w:t xml:space="preserve"> </w:t>
      </w:r>
      <w:r w:rsidRPr="002B5E33">
        <w:rPr>
          <w:rFonts w:hint="eastAsia"/>
          <w:rtl/>
        </w:rPr>
        <w:t>בשל</w:t>
      </w:r>
      <w:r w:rsidRPr="002B5E33">
        <w:rPr>
          <w:rtl/>
        </w:rPr>
        <w:t xml:space="preserve"> </w:t>
      </w:r>
      <w:r w:rsidRPr="002B5E33">
        <w:rPr>
          <w:rFonts w:hint="eastAsia"/>
          <w:rtl/>
        </w:rPr>
        <w:t>חוסר</w:t>
      </w:r>
      <w:r w:rsidRPr="002B5E33">
        <w:rPr>
          <w:rtl/>
        </w:rPr>
        <w:t xml:space="preserve"> </w:t>
      </w:r>
      <w:r w:rsidRPr="002B5E33">
        <w:rPr>
          <w:rFonts w:hint="eastAsia"/>
          <w:rtl/>
        </w:rPr>
        <w:t>בפרטים</w:t>
      </w:r>
      <w:r w:rsidRPr="002B5E33">
        <w:rPr>
          <w:rtl/>
        </w:rPr>
        <w:t xml:space="preserve">, </w:t>
      </w:r>
      <w:r w:rsidRPr="002B5E33">
        <w:rPr>
          <w:rFonts w:hint="eastAsia"/>
          <w:rtl/>
        </w:rPr>
        <w:t>הרשות</w:t>
      </w:r>
      <w:r w:rsidRPr="002B5E33">
        <w:rPr>
          <w:rtl/>
        </w:rPr>
        <w:t xml:space="preserve"> </w:t>
      </w:r>
      <w:r w:rsidRPr="002B5E33">
        <w:rPr>
          <w:rFonts w:hint="eastAsia"/>
          <w:rtl/>
        </w:rPr>
        <w:t>פונה</w:t>
      </w:r>
      <w:r w:rsidRPr="002B5E33">
        <w:rPr>
          <w:rtl/>
        </w:rPr>
        <w:t xml:space="preserve"> </w:t>
      </w:r>
      <w:r w:rsidRPr="002B5E33">
        <w:rPr>
          <w:rFonts w:hint="eastAsia"/>
          <w:rtl/>
        </w:rPr>
        <w:t>אל</w:t>
      </w:r>
      <w:r w:rsidRPr="002B5E33">
        <w:rPr>
          <w:rFonts w:hint="cs"/>
          <w:rtl/>
        </w:rPr>
        <w:t xml:space="preserve"> המתלונן</w:t>
      </w:r>
      <w:r w:rsidRPr="002B5E33">
        <w:rPr>
          <w:rtl/>
        </w:rPr>
        <w:t xml:space="preserve"> </w:t>
      </w:r>
      <w:r w:rsidRPr="002B5E33">
        <w:rPr>
          <w:rFonts w:hint="eastAsia"/>
          <w:rtl/>
        </w:rPr>
        <w:t>בבקשה</w:t>
      </w:r>
      <w:r w:rsidRPr="002B5E33">
        <w:rPr>
          <w:rtl/>
        </w:rPr>
        <w:t xml:space="preserve"> </w:t>
      </w:r>
      <w:r w:rsidRPr="002B5E33">
        <w:rPr>
          <w:rFonts w:hint="cs"/>
          <w:rtl/>
        </w:rPr>
        <w:t>שי</w:t>
      </w:r>
      <w:r w:rsidRPr="002B5E33">
        <w:rPr>
          <w:rFonts w:hint="eastAsia"/>
          <w:rtl/>
        </w:rPr>
        <w:t>מציא</w:t>
      </w:r>
      <w:r w:rsidRPr="002B5E33">
        <w:rPr>
          <w:rtl/>
        </w:rPr>
        <w:t xml:space="preserve"> </w:t>
      </w:r>
      <w:r w:rsidRPr="002B5E33">
        <w:rPr>
          <w:rFonts w:hint="eastAsia"/>
          <w:rtl/>
        </w:rPr>
        <w:t>את</w:t>
      </w:r>
      <w:r w:rsidRPr="002B5E33">
        <w:rPr>
          <w:rtl/>
        </w:rPr>
        <w:t xml:space="preserve"> </w:t>
      </w:r>
      <w:r w:rsidRPr="002B5E33">
        <w:rPr>
          <w:rFonts w:hint="eastAsia"/>
          <w:rtl/>
        </w:rPr>
        <w:t>הפרטים</w:t>
      </w:r>
      <w:r w:rsidRPr="002B5E33">
        <w:rPr>
          <w:rtl/>
        </w:rPr>
        <w:t xml:space="preserve"> </w:t>
      </w:r>
      <w:r w:rsidRPr="002B5E33">
        <w:rPr>
          <w:rFonts w:hint="eastAsia"/>
          <w:rtl/>
        </w:rPr>
        <w:t>החסרים</w:t>
      </w:r>
      <w:r w:rsidRPr="002B5E33">
        <w:rPr>
          <w:rtl/>
        </w:rPr>
        <w:t xml:space="preserve">, </w:t>
      </w:r>
      <w:r w:rsidRPr="002B5E33">
        <w:rPr>
          <w:rFonts w:hint="eastAsia"/>
          <w:rtl/>
        </w:rPr>
        <w:t>אולם</w:t>
      </w:r>
      <w:r w:rsidRPr="002B5E33">
        <w:rPr>
          <w:rtl/>
        </w:rPr>
        <w:t xml:space="preserve"> </w:t>
      </w:r>
      <w:r w:rsidRPr="002B5E33">
        <w:rPr>
          <w:rFonts w:hint="eastAsia"/>
          <w:rtl/>
        </w:rPr>
        <w:t>אינה</w:t>
      </w:r>
      <w:r w:rsidRPr="002B5E33">
        <w:rPr>
          <w:rtl/>
        </w:rPr>
        <w:t xml:space="preserve"> </w:t>
      </w:r>
      <w:r w:rsidRPr="002B5E33">
        <w:rPr>
          <w:rFonts w:hint="eastAsia"/>
          <w:rtl/>
        </w:rPr>
        <w:t>מוצאת</w:t>
      </w:r>
      <w:r w:rsidRPr="002B5E33">
        <w:rPr>
          <w:rtl/>
        </w:rPr>
        <w:t xml:space="preserve"> </w:t>
      </w:r>
      <w:r w:rsidRPr="002B5E33">
        <w:rPr>
          <w:rFonts w:hint="eastAsia"/>
          <w:rtl/>
        </w:rPr>
        <w:t>טעם</w:t>
      </w:r>
      <w:r w:rsidRPr="002B5E33">
        <w:rPr>
          <w:rtl/>
        </w:rPr>
        <w:t xml:space="preserve"> </w:t>
      </w:r>
      <w:r w:rsidRPr="002B5E33">
        <w:rPr>
          <w:rFonts w:hint="eastAsia"/>
          <w:rtl/>
        </w:rPr>
        <w:t>בבירור</w:t>
      </w:r>
      <w:r w:rsidRPr="002B5E33">
        <w:rPr>
          <w:rtl/>
        </w:rPr>
        <w:t xml:space="preserve"> </w:t>
      </w:r>
      <w:r w:rsidRPr="002B5E33">
        <w:rPr>
          <w:rFonts w:hint="cs"/>
          <w:rtl/>
        </w:rPr>
        <w:t>הסיבות לכך ש</w:t>
      </w:r>
      <w:r w:rsidRPr="002B5E33">
        <w:rPr>
          <w:rFonts w:hint="eastAsia"/>
          <w:rtl/>
        </w:rPr>
        <w:t>הפונה</w:t>
      </w:r>
      <w:r w:rsidRPr="002B5E33">
        <w:rPr>
          <w:rtl/>
        </w:rPr>
        <w:t xml:space="preserve"> </w:t>
      </w:r>
      <w:r w:rsidRPr="002B5E33">
        <w:rPr>
          <w:rFonts w:hint="eastAsia"/>
          <w:rtl/>
        </w:rPr>
        <w:t>לא</w:t>
      </w:r>
      <w:r w:rsidRPr="002B5E33">
        <w:rPr>
          <w:rtl/>
        </w:rPr>
        <w:t xml:space="preserve"> </w:t>
      </w:r>
      <w:r w:rsidRPr="002B5E33">
        <w:rPr>
          <w:rFonts w:hint="eastAsia"/>
          <w:rtl/>
        </w:rPr>
        <w:t>השלים</w:t>
      </w:r>
      <w:r w:rsidRPr="002B5E33">
        <w:rPr>
          <w:rtl/>
        </w:rPr>
        <w:t xml:space="preserve"> </w:t>
      </w:r>
      <w:r w:rsidRPr="002B5E33">
        <w:rPr>
          <w:rFonts w:hint="eastAsia"/>
          <w:rtl/>
        </w:rPr>
        <w:t>את</w:t>
      </w:r>
      <w:r w:rsidRPr="002B5E33">
        <w:rPr>
          <w:rtl/>
        </w:rPr>
        <w:t xml:space="preserve"> </w:t>
      </w:r>
      <w:r w:rsidRPr="002B5E33">
        <w:rPr>
          <w:rFonts w:hint="eastAsia"/>
          <w:rtl/>
        </w:rPr>
        <w:t>התהליך</w:t>
      </w:r>
      <w:r w:rsidRPr="002B5E33">
        <w:rPr>
          <w:rtl/>
        </w:rPr>
        <w:t xml:space="preserve"> </w:t>
      </w:r>
      <w:r w:rsidRPr="002B5E33">
        <w:rPr>
          <w:rFonts w:hint="eastAsia"/>
          <w:rtl/>
        </w:rPr>
        <w:t>לאחר</w:t>
      </w:r>
      <w:r w:rsidRPr="002B5E33">
        <w:rPr>
          <w:rtl/>
        </w:rPr>
        <w:t xml:space="preserve"> </w:t>
      </w:r>
      <w:r w:rsidRPr="002B5E33">
        <w:rPr>
          <w:rFonts w:hint="eastAsia"/>
          <w:rtl/>
        </w:rPr>
        <w:t>שהובא</w:t>
      </w:r>
      <w:r w:rsidRPr="002B5E33">
        <w:rPr>
          <w:rtl/>
        </w:rPr>
        <w:t xml:space="preserve"> </w:t>
      </w:r>
      <w:r w:rsidRPr="002B5E33">
        <w:rPr>
          <w:rFonts w:hint="eastAsia"/>
          <w:rtl/>
        </w:rPr>
        <w:t>לידיעתו</w:t>
      </w:r>
      <w:r w:rsidRPr="002B5E33">
        <w:rPr>
          <w:rtl/>
        </w:rPr>
        <w:t xml:space="preserve"> </w:t>
      </w:r>
      <w:r w:rsidRPr="002B5E33">
        <w:rPr>
          <w:rFonts w:hint="eastAsia"/>
          <w:rtl/>
        </w:rPr>
        <w:t>כי</w:t>
      </w:r>
      <w:r w:rsidRPr="002B5E33">
        <w:rPr>
          <w:rtl/>
        </w:rPr>
        <w:t xml:space="preserve"> </w:t>
      </w:r>
      <w:r w:rsidRPr="002B5E33">
        <w:rPr>
          <w:rFonts w:hint="cs"/>
          <w:rtl/>
        </w:rPr>
        <w:t>הדבר נדרש להתחלת הבירור</w:t>
      </w:r>
      <w:r w:rsidRPr="002B5E33">
        <w:rPr>
          <w:rtl/>
        </w:rPr>
        <w:t>.</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eastAsia"/>
          <w:b/>
          <w:bCs/>
          <w:rtl/>
        </w:rPr>
        <w:t>מומלץ</w:t>
      </w:r>
      <w:r w:rsidRPr="002B5E33">
        <w:rPr>
          <w:b/>
          <w:bCs/>
          <w:rtl/>
        </w:rPr>
        <w:t xml:space="preserve"> כי רשות שוק ההון</w:t>
      </w:r>
      <w:r>
        <w:rPr>
          <w:b/>
          <w:bCs/>
          <w:rtl/>
        </w:rPr>
        <w:t xml:space="preserve"> </w:t>
      </w:r>
      <w:r w:rsidRPr="002B5E33">
        <w:rPr>
          <w:b/>
          <w:bCs/>
          <w:rtl/>
        </w:rPr>
        <w:t xml:space="preserve">תבחן דרכים לתזכר מתלוננים הנדרשים להמציא חומר נוסף לצורך בירור תלונתם, </w:t>
      </w:r>
      <w:r w:rsidRPr="002B5E33">
        <w:rPr>
          <w:rFonts w:hint="eastAsia"/>
          <w:b/>
          <w:bCs/>
          <w:rtl/>
        </w:rPr>
        <w:t>לרבות</w:t>
      </w:r>
      <w:r w:rsidRPr="002B5E33">
        <w:rPr>
          <w:b/>
          <w:bCs/>
          <w:rtl/>
        </w:rPr>
        <w:t xml:space="preserve"> </w:t>
      </w:r>
      <w:r w:rsidRPr="002B5E33">
        <w:rPr>
          <w:rFonts w:hint="eastAsia"/>
          <w:b/>
          <w:bCs/>
          <w:rtl/>
        </w:rPr>
        <w:t>האפשרות</w:t>
      </w:r>
      <w:r w:rsidRPr="002B5E33">
        <w:rPr>
          <w:b/>
          <w:bCs/>
          <w:rtl/>
        </w:rPr>
        <w:t xml:space="preserve"> </w:t>
      </w:r>
      <w:r w:rsidRPr="002B5E33">
        <w:rPr>
          <w:rFonts w:hint="eastAsia"/>
          <w:b/>
          <w:bCs/>
          <w:rtl/>
        </w:rPr>
        <w:t>להסביר</w:t>
      </w:r>
      <w:r w:rsidRPr="002B5E33">
        <w:rPr>
          <w:b/>
          <w:bCs/>
          <w:rtl/>
        </w:rPr>
        <w:t xml:space="preserve"> להם </w:t>
      </w:r>
      <w:r w:rsidRPr="002B5E33">
        <w:rPr>
          <w:rFonts w:hint="eastAsia"/>
          <w:b/>
          <w:bCs/>
          <w:rtl/>
        </w:rPr>
        <w:t>את</w:t>
      </w:r>
      <w:r w:rsidRPr="002B5E33">
        <w:rPr>
          <w:b/>
          <w:bCs/>
          <w:rtl/>
        </w:rPr>
        <w:t xml:space="preserve"> </w:t>
      </w:r>
      <w:r w:rsidRPr="002B5E33">
        <w:rPr>
          <w:rFonts w:hint="eastAsia"/>
          <w:b/>
          <w:bCs/>
          <w:rtl/>
        </w:rPr>
        <w:t>מהות</w:t>
      </w:r>
      <w:r w:rsidRPr="002B5E33">
        <w:rPr>
          <w:b/>
          <w:bCs/>
          <w:rtl/>
        </w:rPr>
        <w:t xml:space="preserve"> </w:t>
      </w:r>
      <w:r w:rsidRPr="002B5E33">
        <w:rPr>
          <w:rFonts w:hint="eastAsia"/>
          <w:b/>
          <w:bCs/>
          <w:rtl/>
        </w:rPr>
        <w:t>הדרישה</w:t>
      </w:r>
      <w:r w:rsidRPr="002B5E33">
        <w:rPr>
          <w:b/>
          <w:bCs/>
          <w:rtl/>
        </w:rPr>
        <w:t xml:space="preserve"> </w:t>
      </w:r>
      <w:r w:rsidRPr="002B5E33">
        <w:rPr>
          <w:rFonts w:hint="eastAsia"/>
          <w:b/>
          <w:bCs/>
          <w:rtl/>
        </w:rPr>
        <w:t>לחומר</w:t>
      </w:r>
      <w:r w:rsidRPr="002B5E33">
        <w:rPr>
          <w:b/>
          <w:bCs/>
          <w:rtl/>
        </w:rPr>
        <w:t xml:space="preserve"> </w:t>
      </w:r>
      <w:r w:rsidRPr="002B5E33">
        <w:rPr>
          <w:rFonts w:hint="eastAsia"/>
          <w:b/>
          <w:bCs/>
          <w:rtl/>
        </w:rPr>
        <w:t>הנוסף</w:t>
      </w:r>
      <w:r w:rsidRPr="002B5E33">
        <w:rPr>
          <w:b/>
          <w:bCs/>
          <w:rtl/>
        </w:rPr>
        <w:t xml:space="preserve"> ולהדגיש בפניהם </w:t>
      </w:r>
      <w:r w:rsidRPr="002B5E33">
        <w:rPr>
          <w:rFonts w:hint="eastAsia"/>
          <w:b/>
          <w:bCs/>
          <w:rtl/>
        </w:rPr>
        <w:t>כי</w:t>
      </w:r>
      <w:r w:rsidRPr="002B5E33">
        <w:rPr>
          <w:b/>
          <w:bCs/>
          <w:rtl/>
        </w:rPr>
        <w:t xml:space="preserve"> </w:t>
      </w:r>
      <w:r w:rsidRPr="002B5E33">
        <w:rPr>
          <w:rFonts w:hint="eastAsia"/>
          <w:b/>
          <w:bCs/>
          <w:rtl/>
        </w:rPr>
        <w:t>בירור</w:t>
      </w:r>
      <w:r w:rsidRPr="002B5E33">
        <w:rPr>
          <w:b/>
          <w:bCs/>
          <w:rtl/>
        </w:rPr>
        <w:t xml:space="preserve"> התלונה </w:t>
      </w:r>
      <w:r w:rsidRPr="002B5E33">
        <w:rPr>
          <w:rFonts w:hint="eastAsia"/>
          <w:b/>
          <w:bCs/>
          <w:rtl/>
        </w:rPr>
        <w:t>לא</w:t>
      </w:r>
      <w:r w:rsidRPr="002B5E33">
        <w:rPr>
          <w:b/>
          <w:bCs/>
          <w:rtl/>
        </w:rPr>
        <w:t xml:space="preserve"> יתאפשר </w:t>
      </w:r>
      <w:r w:rsidRPr="002B5E33">
        <w:rPr>
          <w:rFonts w:hint="eastAsia"/>
          <w:b/>
          <w:bCs/>
          <w:rtl/>
        </w:rPr>
        <w:t>ללא</w:t>
      </w:r>
      <w:r w:rsidRPr="002B5E33">
        <w:rPr>
          <w:b/>
          <w:bCs/>
          <w:rtl/>
        </w:rPr>
        <w:t xml:space="preserve"> המצאת </w:t>
      </w:r>
      <w:r w:rsidRPr="002B5E33">
        <w:rPr>
          <w:rFonts w:hint="eastAsia"/>
          <w:b/>
          <w:bCs/>
          <w:rtl/>
        </w:rPr>
        <w:t>חומרים</w:t>
      </w:r>
      <w:r w:rsidRPr="002B5E33">
        <w:rPr>
          <w:b/>
          <w:bCs/>
          <w:rtl/>
        </w:rPr>
        <w:t xml:space="preserve"> </w:t>
      </w:r>
      <w:r w:rsidRPr="002B5E33">
        <w:rPr>
          <w:rFonts w:hint="eastAsia"/>
          <w:b/>
          <w:bCs/>
          <w:rtl/>
        </w:rPr>
        <w:t>אלו</w:t>
      </w:r>
      <w:r w:rsidRPr="002B5E33">
        <w:rPr>
          <w:b/>
          <w:bCs/>
          <w:rtl/>
        </w:rPr>
        <w:t>.</w:t>
      </w:r>
    </w:p>
    <w:p w:rsidR="00FA3E7D" w:rsidRPr="002B5E33" w:rsidP="00FA3E7D">
      <w:pPr>
        <w:pStyle w:val="a"/>
        <w:spacing w:line="269" w:lineRule="auto"/>
        <w:rPr>
          <w:rtl/>
        </w:rPr>
      </w:pPr>
    </w:p>
    <w:p w:rsidR="00FA3E7D" w:rsidRPr="002B5E33" w:rsidP="00FA3E7D">
      <w:pPr>
        <w:pStyle w:val="Heading4"/>
        <w:spacing w:before="0" w:line="269" w:lineRule="auto"/>
      </w:pPr>
      <w:r w:rsidRPr="002B5E33">
        <w:rPr>
          <w:rFonts w:hint="cs"/>
          <w:rtl/>
        </w:rPr>
        <w:t>הליכי השגה על החלטות רשות שוק ההון בבירור תלונות</w:t>
      </w:r>
    </w:p>
    <w:p w:rsidR="00FA3E7D" w:rsidP="00FA3E7D">
      <w:pPr>
        <w:pStyle w:val="a"/>
        <w:rPr>
          <w:rtl/>
        </w:rPr>
      </w:pPr>
    </w:p>
    <w:p w:rsidR="00FA3E7D" w:rsidRPr="002B5E33" w:rsidP="00FA3E7D">
      <w:pPr>
        <w:spacing w:line="269" w:lineRule="auto"/>
        <w:rPr>
          <w:rtl/>
        </w:rPr>
      </w:pPr>
      <w:r w:rsidRPr="002B5E33">
        <w:rPr>
          <w:rFonts w:hint="cs"/>
          <w:rtl/>
        </w:rPr>
        <w:t>על פי המידע המפורסם לציבור באתר המרשתת של רשות שוק ההון, וכן על פי הדוחות השנתיים של הרשות, מכריעה הרשות בתלונתו של פונה לאחר קבלת עמדת הגוף הנילון והתייחסות הפונה, והחלטתה זו היא סופית.</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נמצא</w:t>
      </w:r>
      <w:r w:rsidRPr="002B5E33">
        <w:rPr>
          <w:rtl/>
        </w:rPr>
        <w:t xml:space="preserve"> </w:t>
      </w:r>
      <w:r w:rsidRPr="002B5E33">
        <w:rPr>
          <w:rFonts w:hint="eastAsia"/>
          <w:rtl/>
        </w:rPr>
        <w:t>כי</w:t>
      </w:r>
      <w:r w:rsidRPr="002B5E33">
        <w:rPr>
          <w:rtl/>
        </w:rPr>
        <w:t xml:space="preserve"> </w:t>
      </w:r>
      <w:r w:rsidRPr="002B5E33">
        <w:rPr>
          <w:rFonts w:hint="eastAsia"/>
          <w:rtl/>
        </w:rPr>
        <w:t>הרשות</w:t>
      </w:r>
      <w:r w:rsidRPr="002B5E33">
        <w:rPr>
          <w:rtl/>
        </w:rPr>
        <w:t xml:space="preserve"> </w:t>
      </w:r>
      <w:r w:rsidRPr="002B5E33">
        <w:rPr>
          <w:rFonts w:hint="eastAsia"/>
          <w:rtl/>
        </w:rPr>
        <w:t>מקיימת</w:t>
      </w:r>
      <w:r w:rsidRPr="002B5E33">
        <w:rPr>
          <w:rtl/>
        </w:rPr>
        <w:t xml:space="preserve"> </w:t>
      </w:r>
      <w:r w:rsidRPr="002B5E33">
        <w:rPr>
          <w:rFonts w:hint="eastAsia"/>
          <w:rtl/>
        </w:rPr>
        <w:t>גם</w:t>
      </w:r>
      <w:r w:rsidRPr="002B5E33">
        <w:rPr>
          <w:rtl/>
        </w:rPr>
        <w:t xml:space="preserve"> </w:t>
      </w:r>
      <w:r w:rsidRPr="002B5E33">
        <w:rPr>
          <w:rFonts w:hint="eastAsia"/>
          <w:rtl/>
        </w:rPr>
        <w:t>הליך</w:t>
      </w:r>
      <w:r w:rsidRPr="002B5E33">
        <w:rPr>
          <w:rtl/>
        </w:rPr>
        <w:t xml:space="preserve"> </w:t>
      </w:r>
      <w:r w:rsidRPr="002B5E33">
        <w:rPr>
          <w:rFonts w:hint="eastAsia"/>
          <w:rtl/>
        </w:rPr>
        <w:t>של</w:t>
      </w:r>
      <w:r w:rsidRPr="002B5E33">
        <w:rPr>
          <w:rtl/>
        </w:rPr>
        <w:t xml:space="preserve"> </w:t>
      </w:r>
      <w:r w:rsidRPr="002B5E33">
        <w:rPr>
          <w:rFonts w:hint="eastAsia"/>
          <w:rtl/>
        </w:rPr>
        <w:t>השגה</w:t>
      </w:r>
      <w:r w:rsidRPr="002B5E33">
        <w:rPr>
          <w:rtl/>
        </w:rPr>
        <w:t xml:space="preserve">, </w:t>
      </w:r>
      <w:r w:rsidRPr="002B5E33">
        <w:rPr>
          <w:rFonts w:hint="eastAsia"/>
          <w:rtl/>
        </w:rPr>
        <w:t>אשר</w:t>
      </w:r>
      <w:r w:rsidRPr="002B5E33">
        <w:rPr>
          <w:rtl/>
        </w:rPr>
        <w:t xml:space="preserve"> </w:t>
      </w:r>
      <w:r w:rsidRPr="002B5E33">
        <w:rPr>
          <w:rFonts w:hint="eastAsia"/>
          <w:rtl/>
        </w:rPr>
        <w:t>איננו</w:t>
      </w:r>
      <w:r w:rsidRPr="002B5E33">
        <w:rPr>
          <w:rtl/>
        </w:rPr>
        <w:t xml:space="preserve"> </w:t>
      </w:r>
      <w:r w:rsidRPr="002B5E33">
        <w:rPr>
          <w:rFonts w:hint="eastAsia"/>
          <w:rtl/>
        </w:rPr>
        <w:t>מוסדר</w:t>
      </w:r>
      <w:r w:rsidRPr="002B5E33">
        <w:rPr>
          <w:rtl/>
        </w:rPr>
        <w:t xml:space="preserve"> </w:t>
      </w:r>
      <w:r w:rsidRPr="002B5E33">
        <w:rPr>
          <w:rFonts w:hint="eastAsia"/>
          <w:rtl/>
        </w:rPr>
        <w:t>בנוהל</w:t>
      </w:r>
      <w:r w:rsidRPr="002B5E33">
        <w:rPr>
          <w:rtl/>
        </w:rPr>
        <w:t xml:space="preserve"> </w:t>
      </w:r>
      <w:r w:rsidRPr="002B5E33">
        <w:rPr>
          <w:rFonts w:hint="eastAsia"/>
          <w:rtl/>
        </w:rPr>
        <w:t>כלשהו</w:t>
      </w:r>
      <w:r w:rsidRPr="002B5E33">
        <w:rPr>
          <w:rtl/>
        </w:rPr>
        <w:t xml:space="preserve"> </w:t>
      </w:r>
      <w:r w:rsidRPr="002B5E33">
        <w:rPr>
          <w:rFonts w:hint="eastAsia"/>
          <w:rtl/>
        </w:rPr>
        <w:t>של</w:t>
      </w:r>
      <w:r w:rsidRPr="002B5E33">
        <w:rPr>
          <w:rFonts w:hint="cs"/>
          <w:rtl/>
        </w:rPr>
        <w:t>ה</w:t>
      </w:r>
      <w:r w:rsidRPr="002B5E33">
        <w:rPr>
          <w:rtl/>
        </w:rPr>
        <w:t xml:space="preserve">, </w:t>
      </w:r>
      <w:r w:rsidRPr="002B5E33">
        <w:rPr>
          <w:rFonts w:hint="eastAsia"/>
          <w:rtl/>
        </w:rPr>
        <w:t>ואינו</w:t>
      </w:r>
      <w:r w:rsidRPr="002B5E33">
        <w:rPr>
          <w:rtl/>
        </w:rPr>
        <w:t xml:space="preserve"> </w:t>
      </w:r>
      <w:r w:rsidRPr="002B5E33">
        <w:rPr>
          <w:rFonts w:hint="eastAsia"/>
          <w:rtl/>
        </w:rPr>
        <w:t>מפורסם</w:t>
      </w:r>
      <w:r w:rsidRPr="002B5E33">
        <w:rPr>
          <w:rtl/>
        </w:rPr>
        <w:t xml:space="preserve"> </w:t>
      </w:r>
      <w:r w:rsidRPr="002B5E33">
        <w:rPr>
          <w:rFonts w:hint="eastAsia"/>
          <w:rtl/>
        </w:rPr>
        <w:t>לציבור</w:t>
      </w:r>
      <w:r w:rsidRPr="002B5E33">
        <w:rPr>
          <w:rtl/>
        </w:rPr>
        <w:t xml:space="preserve">, </w:t>
      </w:r>
      <w:r w:rsidRPr="002B5E33">
        <w:rPr>
          <w:rFonts w:hint="eastAsia"/>
          <w:rtl/>
        </w:rPr>
        <w:t>ובמסגרתו</w:t>
      </w:r>
      <w:r w:rsidRPr="002B5E33">
        <w:rPr>
          <w:rtl/>
        </w:rPr>
        <w:t xml:space="preserve"> </w:t>
      </w:r>
      <w:r w:rsidRPr="002B5E33">
        <w:rPr>
          <w:rFonts w:hint="eastAsia"/>
          <w:rtl/>
        </w:rPr>
        <w:t>גורם</w:t>
      </w:r>
      <w:r w:rsidRPr="002B5E33">
        <w:rPr>
          <w:rtl/>
        </w:rPr>
        <w:t xml:space="preserve"> </w:t>
      </w:r>
      <w:r w:rsidRPr="002B5E33">
        <w:rPr>
          <w:rFonts w:hint="eastAsia"/>
          <w:rtl/>
        </w:rPr>
        <w:t>נוסף</w:t>
      </w:r>
      <w:r w:rsidRPr="002B5E33">
        <w:rPr>
          <w:rtl/>
        </w:rPr>
        <w:t xml:space="preserve"> </w:t>
      </w:r>
      <w:r w:rsidRPr="002B5E33">
        <w:rPr>
          <w:rFonts w:hint="eastAsia"/>
          <w:rtl/>
        </w:rPr>
        <w:t>ברשות</w:t>
      </w:r>
      <w:r w:rsidRPr="002B5E33">
        <w:rPr>
          <w:rtl/>
        </w:rPr>
        <w:t xml:space="preserve"> </w:t>
      </w:r>
      <w:r w:rsidRPr="002B5E33">
        <w:rPr>
          <w:rFonts w:hint="eastAsia"/>
          <w:rtl/>
        </w:rPr>
        <w:t>בוחן</w:t>
      </w:r>
      <w:r w:rsidRPr="002B5E33">
        <w:rPr>
          <w:rtl/>
        </w:rPr>
        <w:t xml:space="preserve"> </w:t>
      </w:r>
      <w:r w:rsidRPr="002B5E33">
        <w:rPr>
          <w:rFonts w:hint="eastAsia"/>
          <w:rtl/>
        </w:rPr>
        <w:t>הכרעה</w:t>
      </w:r>
      <w:r w:rsidRPr="002B5E33">
        <w:rPr>
          <w:rtl/>
        </w:rPr>
        <w:t xml:space="preserve"> </w:t>
      </w:r>
      <w:r w:rsidRPr="002B5E33">
        <w:rPr>
          <w:rFonts w:hint="eastAsia"/>
          <w:rtl/>
        </w:rPr>
        <w:t>שניתנה</w:t>
      </w:r>
      <w:r w:rsidRPr="002B5E33">
        <w:rPr>
          <w:rtl/>
        </w:rPr>
        <w:t xml:space="preserve"> </w:t>
      </w:r>
      <w:r w:rsidRPr="002B5E33">
        <w:rPr>
          <w:rFonts w:hint="eastAsia"/>
          <w:rtl/>
        </w:rPr>
        <w:t>על</w:t>
      </w:r>
      <w:r w:rsidRPr="002B5E33">
        <w:rPr>
          <w:rtl/>
        </w:rPr>
        <w:t xml:space="preserve"> </w:t>
      </w:r>
      <w:r w:rsidRPr="002B5E33">
        <w:rPr>
          <w:rFonts w:hint="eastAsia"/>
          <w:rtl/>
        </w:rPr>
        <w:t>יד</w:t>
      </w:r>
      <w:r w:rsidRPr="002B5E33">
        <w:rPr>
          <w:rFonts w:hint="cs"/>
          <w:rtl/>
        </w:rPr>
        <w:t>ה</w:t>
      </w:r>
      <w:r w:rsidRPr="002B5E33">
        <w:rPr>
          <w:rtl/>
        </w:rPr>
        <w:t xml:space="preserve"> </w:t>
      </w:r>
      <w:r w:rsidRPr="002B5E33">
        <w:rPr>
          <w:rFonts w:hint="eastAsia"/>
          <w:rtl/>
        </w:rPr>
        <w:t>כאשר</w:t>
      </w:r>
      <w:r w:rsidRPr="002B5E33">
        <w:rPr>
          <w:rtl/>
        </w:rPr>
        <w:t xml:space="preserve"> </w:t>
      </w:r>
      <w:r w:rsidRPr="002B5E33">
        <w:rPr>
          <w:rFonts w:hint="eastAsia"/>
          <w:rtl/>
        </w:rPr>
        <w:t>מוגשת</w:t>
      </w:r>
      <w:r w:rsidRPr="002B5E33">
        <w:rPr>
          <w:rtl/>
        </w:rPr>
        <w:t xml:space="preserve"> </w:t>
      </w:r>
      <w:r w:rsidRPr="002B5E33">
        <w:rPr>
          <w:rFonts w:hint="eastAsia"/>
          <w:rtl/>
        </w:rPr>
        <w:t>השגה</w:t>
      </w:r>
      <w:r w:rsidRPr="002B5E33">
        <w:rPr>
          <w:rtl/>
        </w:rPr>
        <w:t xml:space="preserve"> </w:t>
      </w:r>
      <w:r w:rsidRPr="002B5E33">
        <w:rPr>
          <w:rFonts w:hint="eastAsia"/>
          <w:rtl/>
        </w:rPr>
        <w:t>על</w:t>
      </w:r>
      <w:r w:rsidRPr="002B5E33">
        <w:rPr>
          <w:rtl/>
        </w:rPr>
        <w:t xml:space="preserve"> </w:t>
      </w:r>
      <w:r w:rsidRPr="002B5E33">
        <w:rPr>
          <w:rFonts w:hint="eastAsia"/>
          <w:rtl/>
        </w:rPr>
        <w:t>ידי</w:t>
      </w:r>
      <w:r w:rsidRPr="002B5E33">
        <w:rPr>
          <w:rtl/>
        </w:rPr>
        <w:t xml:space="preserve"> </w:t>
      </w:r>
      <w:r w:rsidRPr="002B5E33">
        <w:rPr>
          <w:rFonts w:hint="eastAsia"/>
          <w:rtl/>
        </w:rPr>
        <w:t>מתלונן</w:t>
      </w:r>
      <w:r w:rsidRPr="002B5E33">
        <w:rPr>
          <w:rtl/>
        </w:rPr>
        <w:t>.</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בניתוח 425 השגות שהוגשו לרשות בשנים 2015- 2018 בתחום ביטוחי הבריאות, נמצא כי הרשות הכריעה לגבי כ-64% מההשגות כי הן אינן מוצדקות, ורק לגבי 2% מההשגות שהן מוצדקות. בתרשים שלהלן, פירוט החלטות הרשות בנוגע להשגות בשנים 2015 - 2018.</w:t>
      </w:r>
    </w:p>
    <w:p w:rsidR="00FA3E7D" w:rsidRPr="002B5E33" w:rsidP="00FA3E7D">
      <w:pPr>
        <w:pStyle w:val="a"/>
        <w:spacing w:line="269" w:lineRule="auto"/>
        <w:rPr>
          <w:rtl/>
        </w:rPr>
      </w:pPr>
    </w:p>
    <w:p w:rsidR="00FA3E7D" w:rsidRPr="002B5E33" w:rsidP="00FA3E7D">
      <w:pPr>
        <w:bidi w:val="0"/>
        <w:spacing w:line="269" w:lineRule="auto"/>
        <w:jc w:val="center"/>
        <w:rPr>
          <w:b/>
          <w:bCs/>
        </w:rPr>
      </w:pPr>
    </w:p>
    <w:p w:rsidR="00C466DF" w:rsidP="00871E10">
      <w:pPr>
        <w:bidi w:val="0"/>
        <w:spacing w:line="269" w:lineRule="auto"/>
        <w:jc w:val="center"/>
        <w:rPr>
          <w:b/>
          <w:bCs/>
          <w:rtl/>
        </w:rPr>
      </w:pPr>
      <w:r w:rsidRPr="002B5E33">
        <w:rPr>
          <w:rFonts w:hint="cs"/>
          <w:b/>
          <w:bCs/>
          <w:rtl/>
        </w:rPr>
        <w:t>תרשים 18</w:t>
      </w:r>
      <w:r w:rsidR="00871E10">
        <w:rPr>
          <w:rFonts w:hint="cs"/>
          <w:b/>
          <w:bCs/>
          <w:rtl/>
        </w:rPr>
        <w:t xml:space="preserve">: </w:t>
      </w:r>
      <w:r w:rsidRPr="002B5E33">
        <w:rPr>
          <w:rFonts w:hint="eastAsia"/>
          <w:b/>
          <w:bCs/>
          <w:rtl/>
        </w:rPr>
        <w:t>החלטות</w:t>
      </w:r>
      <w:r w:rsidRPr="002B5E33">
        <w:rPr>
          <w:b/>
          <w:bCs/>
          <w:rtl/>
        </w:rPr>
        <w:t xml:space="preserve"> הרשות </w:t>
      </w:r>
      <w:r w:rsidRPr="002B5E33">
        <w:rPr>
          <w:rFonts w:hint="cs"/>
          <w:b/>
          <w:bCs/>
          <w:rtl/>
        </w:rPr>
        <w:t>בנוגע ל</w:t>
      </w:r>
      <w:r w:rsidRPr="002B5E33">
        <w:rPr>
          <w:rFonts w:hint="eastAsia"/>
          <w:b/>
          <w:bCs/>
          <w:rtl/>
        </w:rPr>
        <w:t>השגות</w:t>
      </w:r>
      <w:r w:rsidRPr="002B5E33">
        <w:rPr>
          <w:b/>
          <w:bCs/>
          <w:rtl/>
        </w:rPr>
        <w:t xml:space="preserve"> בתחום ביטוחי הבריאות בשנים 2015</w:t>
      </w:r>
      <w:r w:rsidRPr="002B5E33">
        <w:rPr>
          <w:rFonts w:hint="cs"/>
          <w:b/>
          <w:bCs/>
          <w:rtl/>
        </w:rPr>
        <w:t xml:space="preserve"> - 2018</w:t>
      </w:r>
      <w:r w:rsidRPr="002B5E33">
        <w:rPr>
          <w:b/>
          <w:bCs/>
          <w:rtl/>
        </w:rPr>
        <w:t>,</w:t>
      </w:r>
    </w:p>
    <w:p w:rsidR="00FA3E7D" w:rsidRPr="002B5E33" w:rsidP="00C466DF">
      <w:pPr>
        <w:bidi w:val="0"/>
        <w:spacing w:line="269" w:lineRule="auto"/>
        <w:jc w:val="center"/>
        <w:rPr>
          <w:b/>
          <w:bCs/>
          <w:rtl/>
        </w:rPr>
      </w:pPr>
      <w:r w:rsidRPr="002B5E33">
        <w:rPr>
          <w:b/>
          <w:bCs/>
          <w:rtl/>
        </w:rPr>
        <w:t xml:space="preserve"> </w:t>
      </w:r>
      <w:r w:rsidRPr="002B5E33">
        <w:rPr>
          <w:rFonts w:hint="eastAsia"/>
          <w:b/>
          <w:bCs/>
          <w:rtl/>
        </w:rPr>
        <w:t>לפי</w:t>
      </w:r>
      <w:r w:rsidRPr="002B5E33">
        <w:rPr>
          <w:b/>
          <w:bCs/>
          <w:rtl/>
        </w:rPr>
        <w:t xml:space="preserve"> </w:t>
      </w:r>
      <w:r w:rsidRPr="002B5E33">
        <w:rPr>
          <w:rFonts w:hint="eastAsia"/>
          <w:b/>
          <w:bCs/>
          <w:rtl/>
        </w:rPr>
        <w:t>סוג</w:t>
      </w:r>
      <w:r w:rsidRPr="002B5E33">
        <w:rPr>
          <w:b/>
          <w:bCs/>
          <w:rtl/>
        </w:rPr>
        <w:t xml:space="preserve"> </w:t>
      </w:r>
      <w:r w:rsidRPr="002B5E33">
        <w:rPr>
          <w:rFonts w:hint="eastAsia"/>
          <w:b/>
          <w:bCs/>
          <w:rtl/>
        </w:rPr>
        <w:t>הכרעה</w:t>
      </w:r>
      <w:r w:rsidRPr="002B5E33">
        <w:rPr>
          <w:b/>
          <w:bCs/>
          <w:rtl/>
        </w:rPr>
        <w:t xml:space="preserve"> </w:t>
      </w:r>
      <w:r w:rsidRPr="002B5E33">
        <w:rPr>
          <w:rFonts w:hint="eastAsia"/>
          <w:b/>
          <w:bCs/>
          <w:rtl/>
        </w:rPr>
        <w:t>ושנה</w:t>
      </w:r>
    </w:p>
    <w:p w:rsidR="00FA3E7D" w:rsidRPr="002B5E33" w:rsidP="00C466DF">
      <w:pPr>
        <w:bidi w:val="0"/>
        <w:spacing w:after="120" w:line="269" w:lineRule="auto"/>
        <w:jc w:val="right"/>
        <w:rPr>
          <w:szCs w:val="20"/>
          <w:rtl/>
        </w:rPr>
      </w:pPr>
      <w:r>
        <w:rPr>
          <w:rFonts w:hint="eastAsia"/>
          <w:noProof/>
          <w:sz w:val="22"/>
          <w:szCs w:val="22"/>
          <w:rtl/>
        </w:rPr>
        <w:drawing>
          <wp:inline distT="0" distB="0" distL="0" distR="0">
            <wp:extent cx="5220335" cy="3132455"/>
            <wp:effectExtent l="0" t="0" r="0" b="0"/>
            <wp:docPr id="1493377108" name="תמונה 149337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94024" name="ביטוחי בריאות גל3.jp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3132455"/>
                    </a:xfrm>
                    <a:prstGeom prst="rect">
                      <a:avLst/>
                    </a:prstGeom>
                  </pic:spPr>
                </pic:pic>
              </a:graphicData>
            </a:graphic>
          </wp:inline>
        </w:drawing>
      </w:r>
      <w:r w:rsidRPr="00555D55" w:rsidR="009B24CF">
        <w:rPr>
          <w:rFonts w:hint="eastAsia"/>
          <w:sz w:val="22"/>
          <w:szCs w:val="22"/>
          <w:rtl/>
        </w:rPr>
        <w:t>מקור</w:t>
      </w:r>
      <w:r w:rsidRPr="00555D55" w:rsidR="009B24CF">
        <w:rPr>
          <w:sz w:val="22"/>
          <w:szCs w:val="22"/>
          <w:rtl/>
        </w:rPr>
        <w:t xml:space="preserve">: </w:t>
      </w:r>
      <w:r w:rsidRPr="00555D55" w:rsidR="009B24CF">
        <w:rPr>
          <w:rFonts w:hint="eastAsia"/>
          <w:sz w:val="22"/>
          <w:szCs w:val="22"/>
          <w:rtl/>
        </w:rPr>
        <w:t>נתוני</w:t>
      </w:r>
      <w:r w:rsidRPr="00555D55" w:rsidR="009B24CF">
        <w:rPr>
          <w:sz w:val="22"/>
          <w:szCs w:val="22"/>
          <w:rtl/>
        </w:rPr>
        <w:t xml:space="preserve"> </w:t>
      </w:r>
      <w:r w:rsidRPr="00555D55" w:rsidR="009B24CF">
        <w:rPr>
          <w:rFonts w:hint="eastAsia"/>
          <w:sz w:val="22"/>
          <w:szCs w:val="22"/>
          <w:rtl/>
        </w:rPr>
        <w:t>רשות</w:t>
      </w:r>
      <w:r w:rsidRPr="00555D55" w:rsidR="009B24CF">
        <w:rPr>
          <w:sz w:val="22"/>
          <w:szCs w:val="22"/>
          <w:rtl/>
        </w:rPr>
        <w:t xml:space="preserve"> </w:t>
      </w:r>
      <w:r w:rsidRPr="00555D55" w:rsidR="009B24CF">
        <w:rPr>
          <w:rFonts w:hint="eastAsia"/>
          <w:sz w:val="22"/>
          <w:szCs w:val="22"/>
          <w:rtl/>
        </w:rPr>
        <w:t>שוק</w:t>
      </w:r>
      <w:r w:rsidRPr="00555D55" w:rsidR="009B24CF">
        <w:rPr>
          <w:sz w:val="22"/>
          <w:szCs w:val="22"/>
          <w:rtl/>
        </w:rPr>
        <w:t xml:space="preserve"> </w:t>
      </w:r>
      <w:r w:rsidRPr="00555D55" w:rsidR="009B24CF">
        <w:rPr>
          <w:rFonts w:hint="eastAsia"/>
          <w:sz w:val="22"/>
          <w:szCs w:val="22"/>
          <w:rtl/>
        </w:rPr>
        <w:t>ההון</w:t>
      </w:r>
      <w:r w:rsidRPr="00555D55" w:rsidR="009B24CF">
        <w:rPr>
          <w:sz w:val="22"/>
          <w:szCs w:val="22"/>
          <w:rtl/>
        </w:rPr>
        <w:t xml:space="preserve">, </w:t>
      </w:r>
      <w:r w:rsidRPr="00555D55" w:rsidR="009B24CF">
        <w:rPr>
          <w:rFonts w:hint="eastAsia"/>
          <w:sz w:val="22"/>
          <w:szCs w:val="22"/>
          <w:rtl/>
        </w:rPr>
        <w:t>בעיבוד</w:t>
      </w:r>
      <w:r w:rsidRPr="00555D55" w:rsidR="009B24CF">
        <w:rPr>
          <w:sz w:val="22"/>
          <w:szCs w:val="22"/>
          <w:rtl/>
        </w:rPr>
        <w:t xml:space="preserve"> </w:t>
      </w:r>
      <w:r w:rsidRPr="00555D55" w:rsidR="009B24CF">
        <w:rPr>
          <w:rFonts w:hint="eastAsia"/>
          <w:sz w:val="22"/>
          <w:szCs w:val="22"/>
          <w:rtl/>
        </w:rPr>
        <w:t>משרד</w:t>
      </w:r>
      <w:r w:rsidRPr="00555D55" w:rsidR="009B24CF">
        <w:rPr>
          <w:sz w:val="22"/>
          <w:szCs w:val="22"/>
          <w:rtl/>
        </w:rPr>
        <w:t xml:space="preserve"> </w:t>
      </w:r>
      <w:r w:rsidRPr="00555D55" w:rsidR="009B24CF">
        <w:rPr>
          <w:rFonts w:hint="eastAsia"/>
          <w:sz w:val="22"/>
          <w:szCs w:val="22"/>
          <w:rtl/>
        </w:rPr>
        <w:t>מבקר</w:t>
      </w:r>
      <w:r w:rsidRPr="00555D55" w:rsidR="009B24CF">
        <w:rPr>
          <w:sz w:val="22"/>
          <w:szCs w:val="22"/>
          <w:rtl/>
        </w:rPr>
        <w:t xml:space="preserve"> </w:t>
      </w:r>
      <w:r w:rsidRPr="00555D55" w:rsidR="009B24CF">
        <w:rPr>
          <w:rFonts w:hint="eastAsia"/>
          <w:sz w:val="22"/>
          <w:szCs w:val="22"/>
          <w:rtl/>
        </w:rPr>
        <w:t>המדינה</w:t>
      </w:r>
      <w:r w:rsidRPr="00555D55" w:rsidR="009B24CF">
        <w:rPr>
          <w:sz w:val="22"/>
          <w:szCs w:val="22"/>
          <w:rtl/>
        </w:rPr>
        <w:t>.</w:t>
      </w:r>
    </w:p>
    <w:p w:rsidR="00FA3E7D" w:rsidRPr="002B5E33" w:rsidP="00FA3E7D">
      <w:pPr>
        <w:pStyle w:val="a"/>
        <w:spacing w:line="269" w:lineRule="auto"/>
        <w:rPr>
          <w:rtl/>
        </w:rPr>
      </w:pPr>
    </w:p>
    <w:p w:rsidR="00FA3E7D" w:rsidP="00FA3E7D">
      <w:pPr>
        <w:spacing w:line="269" w:lineRule="auto"/>
        <w:rPr>
          <w:rtl/>
        </w:rPr>
      </w:pPr>
      <w:r w:rsidRPr="002B5E33">
        <w:rPr>
          <w:rFonts w:hint="cs"/>
          <w:rtl/>
        </w:rPr>
        <w:t>מניתוח רב-שנתי של ההכרעות בנוגע להשגות, עולה כי בשנים 2017 - 2018 חל גידול ניכר בשיעור ההשגות בתחום ביטוחי הבריאות שנסתיימו ללא הכרעה.</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 xml:space="preserve">משרד מבקר המדינה רואה בחיוב את קיום הליך ההשגה על החלטותיה של הרשות אך מציין כי </w:t>
      </w:r>
      <w:r w:rsidRPr="002B5E33">
        <w:rPr>
          <w:rFonts w:hint="eastAsia"/>
          <w:b/>
          <w:bCs/>
          <w:rtl/>
        </w:rPr>
        <w:t>על</w:t>
      </w:r>
      <w:r w:rsidRPr="002B5E33">
        <w:rPr>
          <w:rFonts w:hint="cs"/>
          <w:b/>
          <w:bCs/>
          <w:rtl/>
        </w:rPr>
        <w:t>יה</w:t>
      </w:r>
      <w:r w:rsidRPr="002B5E33">
        <w:rPr>
          <w:b/>
          <w:bCs/>
          <w:rtl/>
        </w:rPr>
        <w:t xml:space="preserve"> </w:t>
      </w:r>
      <w:r w:rsidRPr="002B5E33">
        <w:rPr>
          <w:rFonts w:hint="eastAsia"/>
          <w:b/>
          <w:bCs/>
          <w:rtl/>
        </w:rPr>
        <w:t>להסדיר</w:t>
      </w:r>
      <w:r w:rsidRPr="002B5E33">
        <w:rPr>
          <w:b/>
          <w:bCs/>
          <w:rtl/>
        </w:rPr>
        <w:t xml:space="preserve"> </w:t>
      </w:r>
      <w:r w:rsidRPr="002B5E33">
        <w:rPr>
          <w:rFonts w:hint="cs"/>
          <w:b/>
          <w:bCs/>
          <w:rtl/>
        </w:rPr>
        <w:t xml:space="preserve">הליך זה </w:t>
      </w:r>
      <w:r w:rsidRPr="002B5E33">
        <w:rPr>
          <w:rFonts w:hint="eastAsia"/>
          <w:b/>
          <w:bCs/>
          <w:rtl/>
        </w:rPr>
        <w:t>בנוהל</w:t>
      </w:r>
      <w:r w:rsidRPr="002B5E33">
        <w:rPr>
          <w:b/>
          <w:bCs/>
          <w:rtl/>
        </w:rPr>
        <w:t xml:space="preserve"> </w:t>
      </w:r>
      <w:r w:rsidRPr="002B5E33">
        <w:rPr>
          <w:rFonts w:hint="cs"/>
          <w:b/>
          <w:bCs/>
          <w:rtl/>
        </w:rPr>
        <w:t xml:space="preserve">וליידע את הציבור בדבר זכותו להשיג על החלטותיה. כמו </w:t>
      </w:r>
      <w:r w:rsidRPr="002B5E33">
        <w:rPr>
          <w:rFonts w:hint="eastAsia"/>
          <w:b/>
          <w:bCs/>
          <w:rtl/>
        </w:rPr>
        <w:t>כן</w:t>
      </w:r>
      <w:r w:rsidRPr="002B5E33">
        <w:rPr>
          <w:b/>
          <w:bCs/>
          <w:rtl/>
        </w:rPr>
        <w:t xml:space="preserve"> </w:t>
      </w:r>
      <w:r w:rsidRPr="002B5E33">
        <w:rPr>
          <w:rFonts w:hint="eastAsia"/>
          <w:b/>
          <w:bCs/>
          <w:rtl/>
        </w:rPr>
        <w:t>על</w:t>
      </w:r>
      <w:r w:rsidRPr="002B5E33">
        <w:rPr>
          <w:rFonts w:hint="cs"/>
          <w:b/>
          <w:bCs/>
          <w:rtl/>
        </w:rPr>
        <w:t xml:space="preserve"> הרשות</w:t>
      </w:r>
      <w:r w:rsidRPr="002B5E33">
        <w:rPr>
          <w:b/>
          <w:bCs/>
          <w:rtl/>
        </w:rPr>
        <w:t xml:space="preserve"> </w:t>
      </w:r>
      <w:r w:rsidRPr="002B5E33">
        <w:rPr>
          <w:rFonts w:hint="eastAsia"/>
          <w:b/>
          <w:bCs/>
          <w:rtl/>
        </w:rPr>
        <w:t>לדאוג</w:t>
      </w:r>
      <w:r w:rsidRPr="002B5E33">
        <w:rPr>
          <w:b/>
          <w:bCs/>
          <w:rtl/>
        </w:rPr>
        <w:t xml:space="preserve"> </w:t>
      </w:r>
      <w:r w:rsidRPr="002B5E33">
        <w:rPr>
          <w:rFonts w:hint="eastAsia"/>
          <w:b/>
          <w:bCs/>
          <w:rtl/>
        </w:rPr>
        <w:t>לכך</w:t>
      </w:r>
      <w:r w:rsidRPr="002B5E33">
        <w:rPr>
          <w:b/>
          <w:bCs/>
          <w:rtl/>
        </w:rPr>
        <w:t xml:space="preserve"> </w:t>
      </w:r>
      <w:r w:rsidRPr="002B5E33">
        <w:rPr>
          <w:rFonts w:hint="eastAsia"/>
          <w:b/>
          <w:bCs/>
          <w:rtl/>
        </w:rPr>
        <w:t>שכל</w:t>
      </w:r>
      <w:r w:rsidRPr="002B5E33">
        <w:rPr>
          <w:b/>
          <w:bCs/>
          <w:rtl/>
        </w:rPr>
        <w:t xml:space="preserve"> </w:t>
      </w:r>
      <w:r w:rsidRPr="002B5E33">
        <w:rPr>
          <w:rFonts w:hint="eastAsia"/>
          <w:b/>
          <w:bCs/>
          <w:rtl/>
        </w:rPr>
        <w:t>אחת</w:t>
      </w:r>
      <w:r w:rsidRPr="002B5E33">
        <w:rPr>
          <w:b/>
          <w:bCs/>
          <w:rtl/>
        </w:rPr>
        <w:t xml:space="preserve"> </w:t>
      </w:r>
      <w:r w:rsidRPr="002B5E33">
        <w:rPr>
          <w:rFonts w:hint="eastAsia"/>
          <w:b/>
          <w:bCs/>
          <w:rtl/>
        </w:rPr>
        <w:t>מההשגות</w:t>
      </w:r>
      <w:r w:rsidRPr="002B5E33">
        <w:rPr>
          <w:b/>
          <w:bCs/>
          <w:rtl/>
        </w:rPr>
        <w:t xml:space="preserve"> </w:t>
      </w:r>
      <w:r w:rsidRPr="002B5E33">
        <w:rPr>
          <w:rFonts w:hint="cs"/>
          <w:b/>
          <w:bCs/>
          <w:rtl/>
        </w:rPr>
        <w:t>תסתיים בהכרעה ברורה המקבלת או דוחה את ההשגה.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בתשובת</w:t>
      </w:r>
      <w:r w:rsidRPr="002B5E33">
        <w:rPr>
          <w:rtl/>
        </w:rPr>
        <w:t xml:space="preserve"> </w:t>
      </w:r>
      <w:r w:rsidRPr="002B5E33">
        <w:rPr>
          <w:rFonts w:hint="eastAsia"/>
          <w:rtl/>
        </w:rPr>
        <w:t>הרשות</w:t>
      </w:r>
      <w:r w:rsidRPr="002B5E33">
        <w:rPr>
          <w:rtl/>
        </w:rPr>
        <w:t xml:space="preserve"> </w:t>
      </w:r>
      <w:r w:rsidRPr="002B5E33">
        <w:rPr>
          <w:rFonts w:hint="eastAsia"/>
          <w:rtl/>
        </w:rPr>
        <w:t>נכתב</w:t>
      </w:r>
      <w:r w:rsidRPr="002B5E33">
        <w:rPr>
          <w:rtl/>
        </w:rPr>
        <w:t xml:space="preserve"> </w:t>
      </w:r>
      <w:r w:rsidRPr="002B5E33">
        <w:rPr>
          <w:rFonts w:hint="eastAsia"/>
          <w:rtl/>
        </w:rPr>
        <w:t>כי</w:t>
      </w:r>
      <w:r w:rsidRPr="002B5E33">
        <w:rPr>
          <w:rtl/>
        </w:rPr>
        <w:t xml:space="preserve"> </w:t>
      </w:r>
      <w:r w:rsidRPr="002B5E33">
        <w:rPr>
          <w:rFonts w:hint="cs"/>
          <w:rtl/>
        </w:rPr>
        <w:t>היא</w:t>
      </w:r>
      <w:r w:rsidRPr="002B5E33">
        <w:rPr>
          <w:rtl/>
        </w:rPr>
        <w:t xml:space="preserve"> </w:t>
      </w:r>
      <w:r w:rsidRPr="002B5E33">
        <w:rPr>
          <w:rFonts w:hint="eastAsia"/>
          <w:rtl/>
        </w:rPr>
        <w:t>מקבלת</w:t>
      </w:r>
      <w:r w:rsidRPr="002B5E33">
        <w:rPr>
          <w:rtl/>
        </w:rPr>
        <w:t xml:space="preserve"> </w:t>
      </w:r>
      <w:r w:rsidRPr="002B5E33">
        <w:rPr>
          <w:rFonts w:hint="eastAsia"/>
          <w:rtl/>
        </w:rPr>
        <w:t>את</w:t>
      </w:r>
      <w:r w:rsidRPr="002B5E33">
        <w:rPr>
          <w:rtl/>
        </w:rPr>
        <w:t xml:space="preserve"> </w:t>
      </w:r>
      <w:r w:rsidRPr="002B5E33">
        <w:rPr>
          <w:rFonts w:hint="eastAsia"/>
          <w:rtl/>
        </w:rPr>
        <w:t>עמדת</w:t>
      </w:r>
      <w:r w:rsidRPr="002B5E33">
        <w:rPr>
          <w:rtl/>
        </w:rPr>
        <w:t xml:space="preserve"> </w:t>
      </w:r>
      <w:r w:rsidRPr="002B5E33">
        <w:rPr>
          <w:rFonts w:hint="eastAsia"/>
          <w:rtl/>
        </w:rPr>
        <w:t>מבקר</w:t>
      </w:r>
      <w:r w:rsidRPr="002B5E33">
        <w:rPr>
          <w:rtl/>
        </w:rPr>
        <w:t xml:space="preserve"> </w:t>
      </w:r>
      <w:r w:rsidRPr="002B5E33">
        <w:rPr>
          <w:rFonts w:hint="eastAsia"/>
          <w:rtl/>
        </w:rPr>
        <w:t>המדינה</w:t>
      </w:r>
      <w:r w:rsidRPr="002B5E33">
        <w:rPr>
          <w:rtl/>
        </w:rPr>
        <w:t xml:space="preserve"> </w:t>
      </w:r>
      <w:r w:rsidRPr="002B5E33">
        <w:rPr>
          <w:rFonts w:hint="eastAsia"/>
          <w:rtl/>
        </w:rPr>
        <w:t>ומתכוונת</w:t>
      </w:r>
      <w:r w:rsidRPr="002B5E33">
        <w:rPr>
          <w:rtl/>
        </w:rPr>
        <w:t xml:space="preserve"> </w:t>
      </w:r>
      <w:r w:rsidRPr="002B5E33">
        <w:rPr>
          <w:rFonts w:hint="eastAsia"/>
          <w:rtl/>
        </w:rPr>
        <w:t>לפרסם</w:t>
      </w:r>
      <w:r w:rsidRPr="002B5E33">
        <w:rPr>
          <w:rtl/>
        </w:rPr>
        <w:t xml:space="preserve"> </w:t>
      </w:r>
      <w:r w:rsidRPr="002B5E33">
        <w:rPr>
          <w:rFonts w:hint="eastAsia"/>
          <w:rtl/>
        </w:rPr>
        <w:t>באתר</w:t>
      </w:r>
      <w:r w:rsidRPr="002B5E33">
        <w:rPr>
          <w:rtl/>
        </w:rPr>
        <w:t xml:space="preserve"> </w:t>
      </w:r>
      <w:r w:rsidRPr="002B5E33">
        <w:rPr>
          <w:rFonts w:hint="cs"/>
          <w:rtl/>
        </w:rPr>
        <w:t>המרשתת</w:t>
      </w:r>
      <w:r w:rsidRPr="002B5E33">
        <w:rPr>
          <w:rtl/>
        </w:rPr>
        <w:t xml:space="preserve"> </w:t>
      </w:r>
      <w:r w:rsidRPr="002B5E33">
        <w:rPr>
          <w:rFonts w:hint="eastAsia"/>
          <w:rtl/>
        </w:rPr>
        <w:t>של</w:t>
      </w:r>
      <w:r w:rsidRPr="002B5E33">
        <w:rPr>
          <w:rFonts w:hint="cs"/>
          <w:rtl/>
        </w:rPr>
        <w:t>ה</w:t>
      </w:r>
      <w:r w:rsidRPr="002B5E33">
        <w:rPr>
          <w:rtl/>
        </w:rPr>
        <w:t xml:space="preserve"> </w:t>
      </w:r>
      <w:r w:rsidRPr="002B5E33">
        <w:rPr>
          <w:rFonts w:hint="eastAsia"/>
          <w:rtl/>
        </w:rPr>
        <w:t>את</w:t>
      </w:r>
      <w:r w:rsidRPr="002B5E33">
        <w:rPr>
          <w:rtl/>
        </w:rPr>
        <w:t xml:space="preserve"> </w:t>
      </w:r>
      <w:r w:rsidRPr="002B5E33">
        <w:rPr>
          <w:rFonts w:hint="eastAsia"/>
          <w:rtl/>
        </w:rPr>
        <w:t>האפשרות</w:t>
      </w:r>
      <w:r w:rsidRPr="002B5E33">
        <w:rPr>
          <w:rtl/>
        </w:rPr>
        <w:t xml:space="preserve"> </w:t>
      </w:r>
      <w:r w:rsidRPr="002B5E33">
        <w:rPr>
          <w:rFonts w:hint="cs"/>
          <w:rtl/>
        </w:rPr>
        <w:t>להשיג על החלטותיה</w:t>
      </w:r>
      <w:r w:rsidRPr="002B5E33">
        <w:rPr>
          <w:rtl/>
        </w:rPr>
        <w:t>.</w:t>
      </w:r>
    </w:p>
    <w:p w:rsidR="00FA3E7D" w:rsidRPr="002B5E33" w:rsidP="00FA3E7D">
      <w:pPr>
        <w:pStyle w:val="a"/>
        <w:spacing w:line="269" w:lineRule="auto"/>
        <w:rPr>
          <w:rtl/>
        </w:rPr>
      </w:pPr>
    </w:p>
    <w:p w:rsidR="00FA3E7D" w:rsidRPr="002B5E33" w:rsidP="00FA3E7D">
      <w:pPr>
        <w:pStyle w:val="Heading4"/>
        <w:spacing w:before="0" w:line="269" w:lineRule="auto"/>
        <w:rPr>
          <w:rtl/>
        </w:rPr>
      </w:pPr>
      <w:r w:rsidRPr="002B5E33">
        <w:rPr>
          <w:rFonts w:hint="cs"/>
          <w:rtl/>
        </w:rPr>
        <w:t>הסדרת פעולת הגופים המפוקחים במסגרת בירור תלונות הציבור</w:t>
      </w:r>
    </w:p>
    <w:p w:rsidR="00FA3E7D" w:rsidP="00FA3E7D">
      <w:pPr>
        <w:pStyle w:val="a"/>
        <w:rPr>
          <w:rtl/>
        </w:rPr>
      </w:pPr>
    </w:p>
    <w:p w:rsidR="00FA3E7D" w:rsidRPr="002B5E33" w:rsidP="00FA3E7D">
      <w:pPr>
        <w:spacing w:line="269" w:lineRule="auto"/>
        <w:rPr>
          <w:rtl/>
        </w:rPr>
      </w:pPr>
      <w:r w:rsidRPr="002B5E33">
        <w:rPr>
          <w:rFonts w:hint="cs"/>
          <w:rtl/>
        </w:rPr>
        <w:t>בשנת 2009 פרסמה רשות שוק ההון חוזר המסדיר את אופן פעולת הגופים המפוקחים במסגרת בירור תלונות הציבור</w:t>
      </w:r>
      <w:r>
        <w:rPr>
          <w:rStyle w:val="FootnoteReference"/>
          <w:rtl/>
        </w:rPr>
        <w:footnoteReference w:id="103"/>
      </w:r>
      <w:r w:rsidRPr="002B5E33">
        <w:rPr>
          <w:rFonts w:hint="cs"/>
          <w:rtl/>
        </w:rPr>
        <w:t>. בחוזר נקבעו הוראות לגופים המפוקחים בדבר הפעולות שעליהם לנקוט לאחר שרשות שוק ההון מעבירה להתייחסותם תלונת ציבור.</w:t>
      </w:r>
    </w:p>
    <w:p w:rsidR="00FA3E7D" w:rsidRPr="002B5E33" w:rsidP="00FA3E7D">
      <w:pPr>
        <w:pStyle w:val="a"/>
        <w:spacing w:line="269" w:lineRule="auto"/>
        <w:rPr>
          <w:rtl/>
        </w:rPr>
      </w:pPr>
    </w:p>
    <w:p w:rsidR="00FA3E7D" w:rsidRPr="002B5E33" w:rsidP="00FA3E7D">
      <w:pPr>
        <w:pStyle w:val="ListParagraph"/>
        <w:numPr>
          <w:ilvl w:val="0"/>
          <w:numId w:val="8"/>
        </w:numPr>
        <w:spacing w:after="0" w:line="269" w:lineRule="auto"/>
        <w:ind w:left="360"/>
        <w:jc w:val="both"/>
        <w:rPr>
          <w:rFonts w:cs="David"/>
          <w:sz w:val="24"/>
          <w:szCs w:val="24"/>
          <w:rtl/>
        </w:rPr>
      </w:pPr>
      <w:r w:rsidRPr="002B5E33">
        <w:rPr>
          <w:rFonts w:cs="David" w:hint="cs"/>
          <w:sz w:val="24"/>
          <w:szCs w:val="24"/>
          <w:rtl/>
        </w:rPr>
        <w:t>בחוזר נקבע כי על הגוף המפוקח להשיב לרשות שוק ההון בכתב, בתוך 30 יום מקבלת התלונה, באופן מנומק ומפורט, ובצירוף כל המסמכים אשר נוגעים לבירור הפנייה. עוד נקבע כי המפוקח ישיב באופן מנומק ומפורט גם לפונה, אם הורה כך הממונה על שוק ההון. עם זאת, קובע החוזר כי "סבר המפוקח כי על מידע או מסמכים... חל חיסיון, יעביר לממונה את המידע או המסמכים, לפי העניין, בנפרד, ויציין כי חל עליהם חיסיון ועל כן אין להעבירם לפונה"</w:t>
      </w:r>
      <w:r>
        <w:rPr>
          <w:rStyle w:val="FootnoteReference"/>
          <w:rFonts w:cs="David"/>
          <w:sz w:val="24"/>
          <w:szCs w:val="24"/>
          <w:rtl/>
        </w:rPr>
        <w:footnoteReference w:id="104"/>
      </w:r>
      <w:r w:rsidRPr="002B5E33">
        <w:rPr>
          <w:rFonts w:cs="David" w:hint="cs"/>
          <w:sz w:val="24"/>
          <w:szCs w:val="24"/>
          <w:rtl/>
        </w:rPr>
        <w:t>.</w:t>
      </w:r>
    </w:p>
    <w:p w:rsidR="00FA3E7D" w:rsidRPr="002B5E33" w:rsidP="00FA3E7D">
      <w:pPr>
        <w:pStyle w:val="a"/>
        <w:spacing w:line="269" w:lineRule="auto"/>
        <w:rPr>
          <w:rtl/>
        </w:rPr>
      </w:pPr>
    </w:p>
    <w:p w:rsidR="00FA3E7D" w:rsidRPr="002B5E33" w:rsidP="00FA3E7D">
      <w:pPr>
        <w:spacing w:line="269" w:lineRule="auto"/>
        <w:ind w:left="312"/>
        <w:rPr>
          <w:rtl/>
        </w:rPr>
      </w:pPr>
      <w:r w:rsidRPr="002B5E33">
        <w:rPr>
          <w:rFonts w:hint="eastAsia"/>
          <w:rtl/>
        </w:rPr>
        <w:t>רשות</w:t>
      </w:r>
      <w:r w:rsidRPr="002B5E33">
        <w:rPr>
          <w:rtl/>
        </w:rPr>
        <w:t xml:space="preserve"> </w:t>
      </w:r>
      <w:r w:rsidRPr="002B5E33">
        <w:rPr>
          <w:rFonts w:hint="eastAsia"/>
          <w:rtl/>
        </w:rPr>
        <w:t>שוק</w:t>
      </w:r>
      <w:r w:rsidRPr="002B5E33">
        <w:rPr>
          <w:rtl/>
        </w:rPr>
        <w:t xml:space="preserve"> </w:t>
      </w:r>
      <w:r w:rsidRPr="002B5E33">
        <w:rPr>
          <w:rFonts w:hint="eastAsia"/>
          <w:rtl/>
        </w:rPr>
        <w:t>ההון</w:t>
      </w:r>
      <w:r w:rsidRPr="002B5E33">
        <w:rPr>
          <w:rtl/>
        </w:rPr>
        <w:t xml:space="preserve"> </w:t>
      </w:r>
      <w:r w:rsidRPr="002B5E33">
        <w:rPr>
          <w:rFonts w:hint="eastAsia"/>
          <w:rtl/>
        </w:rPr>
        <w:t>לא</w:t>
      </w:r>
      <w:r w:rsidRPr="002B5E33">
        <w:rPr>
          <w:rtl/>
        </w:rPr>
        <w:t xml:space="preserve"> </w:t>
      </w:r>
      <w:r w:rsidRPr="002B5E33">
        <w:rPr>
          <w:rFonts w:hint="eastAsia"/>
          <w:rtl/>
        </w:rPr>
        <w:t>קבעה</w:t>
      </w:r>
      <w:r w:rsidRPr="002B5E33">
        <w:rPr>
          <w:rtl/>
        </w:rPr>
        <w:t xml:space="preserve"> </w:t>
      </w:r>
      <w:r w:rsidRPr="002B5E33">
        <w:rPr>
          <w:rFonts w:hint="cs"/>
          <w:rtl/>
        </w:rPr>
        <w:t xml:space="preserve">כללים </w:t>
      </w:r>
      <w:r w:rsidRPr="002B5E33">
        <w:rPr>
          <w:rFonts w:hint="eastAsia"/>
          <w:rtl/>
        </w:rPr>
        <w:t>כלשהם</w:t>
      </w:r>
      <w:r w:rsidRPr="002B5E33">
        <w:rPr>
          <w:rtl/>
        </w:rPr>
        <w:t xml:space="preserve"> </w:t>
      </w:r>
      <w:r w:rsidRPr="002B5E33">
        <w:rPr>
          <w:rFonts w:hint="eastAsia"/>
          <w:rtl/>
        </w:rPr>
        <w:t>לסיווג</w:t>
      </w:r>
      <w:r w:rsidRPr="002B5E33">
        <w:rPr>
          <w:rtl/>
        </w:rPr>
        <w:t xml:space="preserve"> </w:t>
      </w:r>
      <w:r w:rsidRPr="002B5E33">
        <w:rPr>
          <w:rFonts w:hint="eastAsia"/>
          <w:rtl/>
        </w:rPr>
        <w:t>מידע</w:t>
      </w:r>
      <w:r w:rsidRPr="002B5E33">
        <w:rPr>
          <w:rtl/>
        </w:rPr>
        <w:t xml:space="preserve"> </w:t>
      </w:r>
      <w:r w:rsidRPr="002B5E33">
        <w:rPr>
          <w:rFonts w:hint="cs"/>
          <w:rtl/>
        </w:rPr>
        <w:t xml:space="preserve">המצוי בידי </w:t>
      </w:r>
      <w:r w:rsidRPr="002B5E33">
        <w:rPr>
          <w:rFonts w:hint="eastAsia"/>
          <w:rtl/>
        </w:rPr>
        <w:t>הגופים</w:t>
      </w:r>
      <w:r w:rsidRPr="002B5E33">
        <w:rPr>
          <w:rtl/>
        </w:rPr>
        <w:t xml:space="preserve"> </w:t>
      </w:r>
      <w:r w:rsidRPr="002B5E33">
        <w:rPr>
          <w:rFonts w:hint="eastAsia"/>
          <w:rtl/>
        </w:rPr>
        <w:t>המפוקחים</w:t>
      </w:r>
      <w:r w:rsidRPr="002B5E33">
        <w:rPr>
          <w:rtl/>
        </w:rPr>
        <w:t xml:space="preserve"> </w:t>
      </w:r>
      <w:r w:rsidRPr="002B5E33">
        <w:rPr>
          <w:rFonts w:hint="eastAsia"/>
          <w:rtl/>
        </w:rPr>
        <w:t>כמידע</w:t>
      </w:r>
      <w:r w:rsidRPr="002B5E33">
        <w:rPr>
          <w:rtl/>
        </w:rPr>
        <w:t xml:space="preserve"> </w:t>
      </w:r>
      <w:r w:rsidRPr="002B5E33">
        <w:rPr>
          <w:rFonts w:hint="eastAsia"/>
          <w:rtl/>
        </w:rPr>
        <w:t>חסוי</w:t>
      </w:r>
      <w:r w:rsidRPr="002B5E33">
        <w:rPr>
          <w:rtl/>
        </w:rPr>
        <w:t xml:space="preserve"> </w:t>
      </w:r>
      <w:r w:rsidRPr="002B5E33">
        <w:rPr>
          <w:rFonts w:hint="cs"/>
          <w:rtl/>
        </w:rPr>
        <w:t xml:space="preserve">שאין להעבירו </w:t>
      </w:r>
      <w:r w:rsidRPr="002B5E33">
        <w:rPr>
          <w:rFonts w:hint="eastAsia"/>
          <w:rtl/>
        </w:rPr>
        <w:t>למתלונן</w:t>
      </w:r>
      <w:r w:rsidRPr="002B5E33">
        <w:rPr>
          <w:rtl/>
        </w:rPr>
        <w:t xml:space="preserve">. </w:t>
      </w:r>
      <w:r w:rsidRPr="002B5E33">
        <w:rPr>
          <w:rFonts w:hint="cs"/>
          <w:rtl/>
        </w:rPr>
        <w:t xml:space="preserve">כמו כן, </w:t>
      </w:r>
      <w:r w:rsidRPr="002B5E33">
        <w:rPr>
          <w:rFonts w:hint="eastAsia"/>
          <w:rtl/>
        </w:rPr>
        <w:t>אין</w:t>
      </w:r>
      <w:r w:rsidRPr="002B5E33">
        <w:rPr>
          <w:rtl/>
        </w:rPr>
        <w:t xml:space="preserve"> </w:t>
      </w:r>
      <w:r w:rsidRPr="002B5E33">
        <w:rPr>
          <w:rFonts w:hint="cs"/>
          <w:rtl/>
        </w:rPr>
        <w:t>בידי ה</w:t>
      </w:r>
      <w:r w:rsidRPr="002B5E33">
        <w:rPr>
          <w:rFonts w:hint="eastAsia"/>
          <w:rtl/>
        </w:rPr>
        <w:t>רשות</w:t>
      </w:r>
      <w:r w:rsidRPr="002B5E33">
        <w:rPr>
          <w:rtl/>
        </w:rPr>
        <w:t xml:space="preserve"> </w:t>
      </w:r>
      <w:r w:rsidRPr="002B5E33">
        <w:rPr>
          <w:rFonts w:hint="eastAsia"/>
          <w:rtl/>
        </w:rPr>
        <w:t>נתונים</w:t>
      </w:r>
      <w:r w:rsidRPr="002B5E33">
        <w:rPr>
          <w:rtl/>
        </w:rPr>
        <w:t xml:space="preserve"> </w:t>
      </w:r>
      <w:r w:rsidRPr="002B5E33">
        <w:rPr>
          <w:rFonts w:hint="eastAsia"/>
          <w:rtl/>
        </w:rPr>
        <w:t>מפורטים</w:t>
      </w:r>
      <w:r w:rsidRPr="002B5E33">
        <w:rPr>
          <w:rtl/>
        </w:rPr>
        <w:t xml:space="preserve"> </w:t>
      </w:r>
      <w:r w:rsidRPr="002B5E33">
        <w:rPr>
          <w:rFonts w:hint="eastAsia"/>
          <w:rtl/>
        </w:rPr>
        <w:t>בדבר</w:t>
      </w:r>
      <w:r w:rsidRPr="002B5E33">
        <w:rPr>
          <w:rtl/>
        </w:rPr>
        <w:t xml:space="preserve"> </w:t>
      </w:r>
      <w:r w:rsidRPr="002B5E33">
        <w:rPr>
          <w:rFonts w:hint="eastAsia"/>
          <w:rtl/>
        </w:rPr>
        <w:t>שיעור</w:t>
      </w:r>
      <w:r w:rsidRPr="002B5E33">
        <w:rPr>
          <w:rtl/>
        </w:rPr>
        <w:t xml:space="preserve"> </w:t>
      </w:r>
      <w:r w:rsidRPr="002B5E33">
        <w:rPr>
          <w:rFonts w:hint="eastAsia"/>
          <w:rtl/>
        </w:rPr>
        <w:t>התלונות</w:t>
      </w:r>
      <w:r w:rsidRPr="002B5E33">
        <w:rPr>
          <w:rtl/>
        </w:rPr>
        <w:t xml:space="preserve"> </w:t>
      </w:r>
      <w:r w:rsidRPr="002B5E33">
        <w:rPr>
          <w:rFonts w:hint="eastAsia"/>
          <w:rtl/>
        </w:rPr>
        <w:t>שלגביה</w:t>
      </w:r>
      <w:r w:rsidRPr="002B5E33">
        <w:rPr>
          <w:rFonts w:hint="cs"/>
          <w:rtl/>
        </w:rPr>
        <w:t>ן</w:t>
      </w:r>
      <w:r w:rsidRPr="002B5E33">
        <w:rPr>
          <w:rtl/>
        </w:rPr>
        <w:t xml:space="preserve"> </w:t>
      </w:r>
      <w:r w:rsidRPr="002B5E33">
        <w:rPr>
          <w:rFonts w:hint="eastAsia"/>
          <w:rtl/>
        </w:rPr>
        <w:t>נטענ</w:t>
      </w:r>
      <w:r w:rsidRPr="002B5E33">
        <w:rPr>
          <w:rFonts w:hint="cs"/>
          <w:rtl/>
        </w:rPr>
        <w:t>ה</w:t>
      </w:r>
      <w:r w:rsidRPr="002B5E33">
        <w:rPr>
          <w:rtl/>
        </w:rPr>
        <w:t xml:space="preserve"> </w:t>
      </w:r>
      <w:r w:rsidRPr="002B5E33">
        <w:rPr>
          <w:rFonts w:hint="eastAsia"/>
          <w:rtl/>
        </w:rPr>
        <w:t>טענת</w:t>
      </w:r>
      <w:r w:rsidRPr="002B5E33">
        <w:rPr>
          <w:rtl/>
        </w:rPr>
        <w:t xml:space="preserve"> </w:t>
      </w:r>
      <w:r w:rsidRPr="002B5E33">
        <w:rPr>
          <w:rFonts w:hint="eastAsia"/>
          <w:rtl/>
        </w:rPr>
        <w:t>ח</w:t>
      </w:r>
      <w:r w:rsidRPr="002B5E33">
        <w:rPr>
          <w:rFonts w:hint="cs"/>
          <w:rtl/>
        </w:rPr>
        <w:t>י</w:t>
      </w:r>
      <w:r w:rsidRPr="002B5E33">
        <w:rPr>
          <w:rFonts w:hint="eastAsia"/>
          <w:rtl/>
        </w:rPr>
        <w:t>סיון</w:t>
      </w:r>
      <w:r w:rsidRPr="002B5E33">
        <w:rPr>
          <w:rtl/>
        </w:rPr>
        <w:t xml:space="preserve">, </w:t>
      </w:r>
      <w:r w:rsidRPr="002B5E33">
        <w:rPr>
          <w:rFonts w:hint="cs"/>
          <w:rtl/>
        </w:rPr>
        <w:t>ו</w:t>
      </w:r>
      <w:r w:rsidRPr="002B5E33">
        <w:rPr>
          <w:rFonts w:hint="eastAsia"/>
          <w:rtl/>
        </w:rPr>
        <w:t>גם</w:t>
      </w:r>
      <w:r w:rsidRPr="002B5E33">
        <w:rPr>
          <w:rtl/>
        </w:rPr>
        <w:t xml:space="preserve"> </w:t>
      </w:r>
      <w:r w:rsidRPr="002B5E33">
        <w:rPr>
          <w:rFonts w:hint="cs"/>
          <w:rtl/>
        </w:rPr>
        <w:t xml:space="preserve">לא </w:t>
      </w:r>
      <w:r w:rsidRPr="002B5E33">
        <w:rPr>
          <w:rFonts w:hint="eastAsia"/>
          <w:rtl/>
        </w:rPr>
        <w:t>נתונים</w:t>
      </w:r>
      <w:r w:rsidRPr="002B5E33">
        <w:rPr>
          <w:rtl/>
        </w:rPr>
        <w:t xml:space="preserve"> </w:t>
      </w:r>
      <w:r w:rsidRPr="002B5E33">
        <w:rPr>
          <w:rFonts w:hint="eastAsia"/>
          <w:rtl/>
        </w:rPr>
        <w:t>בדבר</w:t>
      </w:r>
      <w:r w:rsidRPr="002B5E33">
        <w:rPr>
          <w:rtl/>
        </w:rPr>
        <w:t xml:space="preserve"> </w:t>
      </w:r>
      <w:r w:rsidRPr="002B5E33">
        <w:rPr>
          <w:rFonts w:hint="eastAsia"/>
          <w:rtl/>
        </w:rPr>
        <w:t>שיעור</w:t>
      </w:r>
      <w:r w:rsidRPr="002B5E33">
        <w:rPr>
          <w:rtl/>
        </w:rPr>
        <w:t xml:space="preserve"> </w:t>
      </w:r>
      <w:r w:rsidRPr="002B5E33">
        <w:rPr>
          <w:rFonts w:hint="eastAsia"/>
          <w:rtl/>
        </w:rPr>
        <w:t>התלונות</w:t>
      </w:r>
      <w:r w:rsidRPr="002B5E33">
        <w:rPr>
          <w:rtl/>
        </w:rPr>
        <w:t xml:space="preserve"> </w:t>
      </w:r>
      <w:r w:rsidRPr="002B5E33">
        <w:rPr>
          <w:rFonts w:hint="eastAsia"/>
          <w:rtl/>
        </w:rPr>
        <w:t>שהוכרע</w:t>
      </w:r>
      <w:r w:rsidRPr="002B5E33">
        <w:rPr>
          <w:rtl/>
        </w:rPr>
        <w:t xml:space="preserve"> </w:t>
      </w:r>
      <w:r w:rsidRPr="002B5E33">
        <w:rPr>
          <w:rFonts w:hint="eastAsia"/>
          <w:rtl/>
        </w:rPr>
        <w:t>בהן</w:t>
      </w:r>
      <w:r w:rsidRPr="002B5E33">
        <w:rPr>
          <w:rtl/>
        </w:rPr>
        <w:t xml:space="preserve"> </w:t>
      </w:r>
      <w:r w:rsidRPr="002B5E33">
        <w:rPr>
          <w:rFonts w:hint="eastAsia"/>
          <w:rtl/>
        </w:rPr>
        <w:t>נגד</w:t>
      </w:r>
      <w:r w:rsidRPr="002B5E33">
        <w:rPr>
          <w:rtl/>
        </w:rPr>
        <w:t xml:space="preserve"> </w:t>
      </w:r>
      <w:r w:rsidRPr="002B5E33">
        <w:rPr>
          <w:rFonts w:hint="eastAsia"/>
          <w:rtl/>
        </w:rPr>
        <w:t>המתלונן</w:t>
      </w:r>
      <w:r w:rsidRPr="002B5E33">
        <w:rPr>
          <w:rtl/>
        </w:rPr>
        <w:t xml:space="preserve"> </w:t>
      </w:r>
      <w:r w:rsidRPr="002B5E33">
        <w:rPr>
          <w:rFonts w:hint="eastAsia"/>
          <w:rtl/>
        </w:rPr>
        <w:t>בהסתמך</w:t>
      </w:r>
      <w:r w:rsidRPr="002B5E33">
        <w:rPr>
          <w:rtl/>
        </w:rPr>
        <w:t xml:space="preserve"> </w:t>
      </w:r>
      <w:r w:rsidRPr="002B5E33">
        <w:rPr>
          <w:rFonts w:hint="eastAsia"/>
          <w:rtl/>
        </w:rPr>
        <w:t>על</w:t>
      </w:r>
      <w:r w:rsidRPr="002B5E33">
        <w:rPr>
          <w:rtl/>
        </w:rPr>
        <w:t xml:space="preserve"> </w:t>
      </w:r>
      <w:r w:rsidRPr="002B5E33">
        <w:rPr>
          <w:rFonts w:hint="eastAsia"/>
          <w:rtl/>
        </w:rPr>
        <w:t>מידע</w:t>
      </w:r>
      <w:r w:rsidRPr="002B5E33">
        <w:rPr>
          <w:rtl/>
        </w:rPr>
        <w:t xml:space="preserve"> </w:t>
      </w:r>
      <w:r w:rsidRPr="002B5E33">
        <w:rPr>
          <w:rFonts w:hint="eastAsia"/>
          <w:rtl/>
        </w:rPr>
        <w:t>שנטענה</w:t>
      </w:r>
      <w:r w:rsidRPr="002B5E33">
        <w:rPr>
          <w:rtl/>
        </w:rPr>
        <w:t xml:space="preserve"> </w:t>
      </w:r>
      <w:r w:rsidRPr="002B5E33">
        <w:rPr>
          <w:rFonts w:hint="eastAsia"/>
          <w:rtl/>
        </w:rPr>
        <w:t>לגביו</w:t>
      </w:r>
      <w:r w:rsidRPr="002B5E33">
        <w:rPr>
          <w:rtl/>
        </w:rPr>
        <w:t xml:space="preserve"> </w:t>
      </w:r>
      <w:r w:rsidRPr="002B5E33">
        <w:rPr>
          <w:rFonts w:hint="eastAsia"/>
          <w:rtl/>
        </w:rPr>
        <w:t>טענת</w:t>
      </w:r>
      <w:r w:rsidRPr="002B5E33">
        <w:rPr>
          <w:rtl/>
        </w:rPr>
        <w:t xml:space="preserve"> </w:t>
      </w:r>
      <w:r w:rsidRPr="002B5E33">
        <w:rPr>
          <w:rFonts w:hint="eastAsia"/>
          <w:rtl/>
        </w:rPr>
        <w:t>ח</w:t>
      </w:r>
      <w:r w:rsidRPr="002B5E33">
        <w:rPr>
          <w:rFonts w:hint="cs"/>
          <w:rtl/>
        </w:rPr>
        <w:t>י</w:t>
      </w:r>
      <w:r w:rsidRPr="002B5E33">
        <w:rPr>
          <w:rFonts w:hint="eastAsia"/>
          <w:rtl/>
        </w:rPr>
        <w:t>סיון</w:t>
      </w:r>
      <w:r w:rsidRPr="002B5E33">
        <w:rPr>
          <w:rtl/>
        </w:rPr>
        <w:t>.</w:t>
      </w:r>
    </w:p>
    <w:p w:rsidR="00FA3E7D" w:rsidRPr="002B5E33" w:rsidP="00FA3E7D">
      <w:pPr>
        <w:pStyle w:val="a"/>
        <w:spacing w:line="269" w:lineRule="auto"/>
        <w:rPr>
          <w:rtl/>
        </w:rPr>
      </w:pPr>
    </w:p>
    <w:p w:rsidR="00FA3E7D" w:rsidRPr="002B5E33" w:rsidP="00FA3E7D">
      <w:pPr>
        <w:spacing w:line="269" w:lineRule="auto"/>
        <w:ind w:left="312"/>
        <w:rPr>
          <w:rtl/>
        </w:rPr>
      </w:pPr>
      <w:r w:rsidRPr="002B5E33">
        <w:rPr>
          <w:rFonts w:hint="cs"/>
          <w:rtl/>
        </w:rPr>
        <w:t>רשות שוק ההון ציינה בתשובתה כי כאשר נטענת טענת חיסיון, היא נבדקת על ידי המטפל בתיק בהתאם להכרעות קודמות של הרשות, ובמידת הצורך תוך קבלת ייעוץ משפטי ובדיקה עם גורמים מקצועיים ברשות. הרשות ציינה כי "מכיוון שהפניות מטופלות ע"י המחלקות המקצועיות עצמן ישנה אחידות במענה".</w:t>
      </w:r>
    </w:p>
    <w:p w:rsidR="00FA3E7D" w:rsidRPr="002B5E33" w:rsidP="00FA3E7D">
      <w:pPr>
        <w:pStyle w:val="a"/>
        <w:spacing w:line="269" w:lineRule="auto"/>
        <w:rPr>
          <w:rtl/>
        </w:rPr>
      </w:pPr>
    </w:p>
    <w:p w:rsidR="00FA3E7D" w:rsidRPr="002B5E33" w:rsidP="00FA3E7D">
      <w:pPr>
        <w:spacing w:line="269" w:lineRule="auto"/>
        <w:ind w:left="312"/>
        <w:rPr>
          <w:b/>
          <w:bCs/>
          <w:rtl/>
        </w:rPr>
      </w:pPr>
      <w:r w:rsidRPr="002B5E33">
        <w:rPr>
          <w:rFonts w:hint="cs"/>
          <w:b/>
          <w:bCs/>
          <w:rtl/>
        </w:rPr>
        <w:t>מומלץ כי רשות שוק ההון תבחן את אופן הטיפול בטענות חיסיון ותקבע כללים לקבלת טענת חיסיון ולטיפול במקרים שבהם נטענת טענה כזו.</w:t>
      </w:r>
    </w:p>
    <w:p w:rsidR="00FA3E7D" w:rsidRPr="002B5E33" w:rsidP="00FA3E7D">
      <w:pPr>
        <w:pStyle w:val="a"/>
        <w:spacing w:line="269" w:lineRule="auto"/>
        <w:rPr>
          <w:rtl/>
        </w:rPr>
      </w:pPr>
    </w:p>
    <w:p w:rsidR="00FA3E7D" w:rsidRPr="002B5E33" w:rsidP="00FA3E7D">
      <w:pPr>
        <w:pStyle w:val="ListParagraph"/>
        <w:numPr>
          <w:ilvl w:val="0"/>
          <w:numId w:val="8"/>
        </w:numPr>
        <w:spacing w:after="0" w:line="269" w:lineRule="auto"/>
        <w:ind w:left="312"/>
        <w:jc w:val="both"/>
        <w:rPr>
          <w:rFonts w:cs="David"/>
          <w:sz w:val="24"/>
          <w:szCs w:val="24"/>
          <w:rtl/>
        </w:rPr>
      </w:pPr>
      <w:r w:rsidRPr="002B5E33">
        <w:rPr>
          <w:rFonts w:cs="David" w:hint="cs"/>
          <w:sz w:val="24"/>
          <w:szCs w:val="24"/>
          <w:rtl/>
        </w:rPr>
        <w:t xml:space="preserve">חלק מהתלונות המופנות לתגובתם של הגופים המפוקחים מתייחסות לנושאים עקרוניים, החוזרים על עצמם, והחורגים מעניינו של המתלונן הספציפי. לדוגמה, פרשנות משפטית הנהוגה אצל הגורם המפוקח לתנאי פוליסה. </w:t>
      </w:r>
      <w:r w:rsidRPr="002B5E33">
        <w:rPr>
          <w:rFonts w:cs="David" w:hint="eastAsia"/>
          <w:sz w:val="24"/>
          <w:szCs w:val="24"/>
          <w:rtl/>
        </w:rPr>
        <w:t>בחוזר</w:t>
      </w:r>
      <w:r w:rsidRPr="002B5E33">
        <w:rPr>
          <w:rFonts w:cs="David"/>
          <w:sz w:val="24"/>
          <w:szCs w:val="24"/>
          <w:rtl/>
        </w:rPr>
        <w:t xml:space="preserve"> </w:t>
      </w:r>
      <w:r w:rsidRPr="002B5E33">
        <w:rPr>
          <w:rFonts w:cs="David" w:hint="eastAsia"/>
          <w:sz w:val="24"/>
          <w:szCs w:val="24"/>
          <w:rtl/>
        </w:rPr>
        <w:t>בדבר</w:t>
      </w:r>
      <w:r w:rsidRPr="002B5E33">
        <w:rPr>
          <w:rFonts w:cs="David"/>
          <w:sz w:val="24"/>
          <w:szCs w:val="24"/>
          <w:rtl/>
        </w:rPr>
        <w:t xml:space="preserve"> </w:t>
      </w:r>
      <w:r w:rsidRPr="002B5E33">
        <w:rPr>
          <w:rFonts w:cs="David" w:hint="eastAsia"/>
          <w:sz w:val="24"/>
          <w:szCs w:val="24"/>
          <w:rtl/>
        </w:rPr>
        <w:t>בירור</w:t>
      </w:r>
      <w:r w:rsidRPr="002B5E33">
        <w:rPr>
          <w:rFonts w:cs="David"/>
          <w:sz w:val="24"/>
          <w:szCs w:val="24"/>
          <w:rtl/>
        </w:rPr>
        <w:t xml:space="preserve"> </w:t>
      </w:r>
      <w:r w:rsidRPr="002B5E33">
        <w:rPr>
          <w:rFonts w:cs="David" w:hint="eastAsia"/>
          <w:sz w:val="24"/>
          <w:szCs w:val="24"/>
          <w:rtl/>
        </w:rPr>
        <w:t>ויישוב</w:t>
      </w:r>
      <w:r w:rsidRPr="002B5E33">
        <w:rPr>
          <w:rFonts w:cs="David"/>
          <w:sz w:val="24"/>
          <w:szCs w:val="24"/>
          <w:rtl/>
        </w:rPr>
        <w:t xml:space="preserve"> </w:t>
      </w:r>
      <w:r w:rsidRPr="002B5E33">
        <w:rPr>
          <w:rFonts w:cs="David" w:hint="eastAsia"/>
          <w:sz w:val="24"/>
          <w:szCs w:val="24"/>
          <w:rtl/>
        </w:rPr>
        <w:t>תביעות</w:t>
      </w:r>
      <w:r w:rsidRPr="002B5E33">
        <w:rPr>
          <w:rFonts w:cs="David"/>
          <w:sz w:val="24"/>
          <w:szCs w:val="24"/>
          <w:rtl/>
        </w:rPr>
        <w:t xml:space="preserve"> </w:t>
      </w:r>
      <w:r w:rsidRPr="002B5E33">
        <w:rPr>
          <w:rFonts w:cs="David" w:hint="eastAsia"/>
          <w:sz w:val="24"/>
          <w:szCs w:val="24"/>
          <w:rtl/>
        </w:rPr>
        <w:t>וטיפול</w:t>
      </w:r>
      <w:r w:rsidRPr="002B5E33">
        <w:rPr>
          <w:rFonts w:cs="David"/>
          <w:sz w:val="24"/>
          <w:szCs w:val="24"/>
          <w:rtl/>
        </w:rPr>
        <w:t xml:space="preserve"> </w:t>
      </w:r>
      <w:r w:rsidRPr="002B5E33">
        <w:rPr>
          <w:rFonts w:cs="David" w:hint="eastAsia"/>
          <w:sz w:val="24"/>
          <w:szCs w:val="24"/>
          <w:rtl/>
        </w:rPr>
        <w:t>בפניות</w:t>
      </w:r>
      <w:r w:rsidRPr="002B5E33">
        <w:rPr>
          <w:rFonts w:cs="David"/>
          <w:sz w:val="24"/>
          <w:szCs w:val="24"/>
          <w:rtl/>
        </w:rPr>
        <w:t xml:space="preserve"> </w:t>
      </w:r>
      <w:r w:rsidRPr="002B5E33">
        <w:rPr>
          <w:rFonts w:cs="David" w:hint="eastAsia"/>
          <w:sz w:val="24"/>
          <w:szCs w:val="24"/>
          <w:rtl/>
        </w:rPr>
        <w:t>ציבור</w:t>
      </w:r>
      <w:r>
        <w:rPr>
          <w:rStyle w:val="FootnoteReference"/>
          <w:rFonts w:cs="David"/>
          <w:sz w:val="24"/>
          <w:szCs w:val="24"/>
          <w:rtl/>
        </w:rPr>
        <w:footnoteReference w:id="105"/>
      </w:r>
      <w:r w:rsidRPr="002B5E33">
        <w:rPr>
          <w:rFonts w:cs="David"/>
          <w:sz w:val="24"/>
          <w:szCs w:val="24"/>
          <w:rtl/>
        </w:rPr>
        <w:t xml:space="preserve"> נקבע</w:t>
      </w:r>
      <w:r w:rsidRPr="002B5E33">
        <w:rPr>
          <w:rFonts w:cs="David" w:hint="cs"/>
          <w:sz w:val="24"/>
          <w:szCs w:val="24"/>
          <w:rtl/>
        </w:rPr>
        <w:t>,</w:t>
      </w:r>
      <w:r w:rsidRPr="002B5E33">
        <w:rPr>
          <w:rFonts w:cs="David"/>
          <w:sz w:val="24"/>
          <w:szCs w:val="24"/>
          <w:rtl/>
        </w:rPr>
        <w:t xml:space="preserve"> בין היתר, כי אם במסגרת הליך בירור התלונה "מצא הגוף המוסדי שהיה ליקוי בהתנהלותו או בהתנהלות מי מטעמו ואותו הליקוי שנמצא מצביע על היותו ליקוי מערכתי, יערוך הגוף המוסדי בדיקה לאיתור מקרים דומים שבהם אירע הליקוי המערכתי; מצא הגוף המוסדי ליקויים דומים יפיק לקחים ממקרים אלו ויפעל לתיקונם בתוך זמן סביר".</w:t>
      </w:r>
    </w:p>
    <w:p w:rsidR="00FA3E7D" w:rsidRPr="002B5E33" w:rsidP="00FA3E7D">
      <w:pPr>
        <w:pStyle w:val="a"/>
        <w:spacing w:line="269" w:lineRule="auto"/>
        <w:rPr>
          <w:rtl/>
        </w:rPr>
      </w:pPr>
    </w:p>
    <w:p w:rsidR="00FA3E7D" w:rsidRPr="002B5E33" w:rsidP="00FA3E7D">
      <w:pPr>
        <w:spacing w:line="269" w:lineRule="auto"/>
        <w:ind w:left="312"/>
        <w:rPr>
          <w:sz w:val="24"/>
          <w:rtl/>
        </w:rPr>
      </w:pPr>
      <w:r w:rsidRPr="002B5E33">
        <w:rPr>
          <w:rFonts w:asciiTheme="minorHAnsi" w:hAnsiTheme="minorHAnsi" w:hint="eastAsia"/>
          <w:sz w:val="24"/>
          <w:rtl/>
        </w:rPr>
        <w:t>כאמור</w:t>
      </w:r>
      <w:r w:rsidRPr="002B5E33">
        <w:rPr>
          <w:rFonts w:hint="cs"/>
          <w:sz w:val="24"/>
          <w:rtl/>
        </w:rPr>
        <w:t xml:space="preserve"> לעיל, שיטת העבודה הנהוגה בבירור תלונות ברשות שוק ההון מביאה לכך שתלונות שבעניינן מעניק הגוף המפוקח סעד כלשהו למתלונן, והמתלונן מסתפק בסעד זה שניתן לו, כלל אינן מגיעות לבירור ולהכרעה אצל גורם מקצועי במחלקות הרשות. בשל כך - ייתכן כי הרשות אינה מנצלת באופן מיטבי את הסמכות הנתונה לה להורות לגופים המפוקחים לתקן את הליקויים שנמצאו ונוגעים גם לציבור שלא התלונן על ליקוי זהה בפעולת הגוף המפוקח.</w:t>
      </w:r>
    </w:p>
    <w:p w:rsidR="00FA3E7D" w:rsidRPr="002B5E33" w:rsidP="00FA3E7D">
      <w:pPr>
        <w:pStyle w:val="a"/>
        <w:spacing w:line="269" w:lineRule="auto"/>
        <w:rPr>
          <w:rtl/>
        </w:rPr>
      </w:pPr>
    </w:p>
    <w:p w:rsidR="00FA3E7D" w:rsidRPr="002B5E33" w:rsidP="00FA3E7D">
      <w:pPr>
        <w:spacing w:line="269" w:lineRule="auto"/>
        <w:ind w:left="312"/>
        <w:rPr>
          <w:sz w:val="24"/>
          <w:rtl/>
        </w:rPr>
      </w:pPr>
      <w:r w:rsidRPr="002B5E33">
        <w:rPr>
          <w:rFonts w:hint="cs"/>
          <w:sz w:val="24"/>
          <w:rtl/>
        </w:rPr>
        <w:t>רשות שוק ההון השיבה כי שלחה במרץ 2019 דרישת מידע לגופים המוסדיים ובה הם נדרשו הגופים לדווח על אודות הליקויים שעלו אגב הטיפול בפניות הציבור, וכי היא בחנה את התוצאות ושוקלת להרחיב ולערוך ביקורת בנושא.</w:t>
      </w:r>
    </w:p>
    <w:p w:rsidR="00FA3E7D" w:rsidRPr="002B5E33" w:rsidP="00FA3E7D">
      <w:pPr>
        <w:pStyle w:val="a"/>
        <w:spacing w:line="269" w:lineRule="auto"/>
        <w:rPr>
          <w:rtl/>
        </w:rPr>
      </w:pPr>
    </w:p>
    <w:p w:rsidR="00FA3E7D" w:rsidRPr="002B5E33" w:rsidP="00FA3E7D">
      <w:pPr>
        <w:spacing w:line="269" w:lineRule="auto"/>
        <w:ind w:left="312"/>
        <w:rPr>
          <w:b/>
          <w:bCs/>
          <w:rtl/>
        </w:rPr>
      </w:pPr>
      <w:r w:rsidRPr="002B5E33">
        <w:rPr>
          <w:rFonts w:hint="cs"/>
          <w:b/>
          <w:bCs/>
          <w:rtl/>
        </w:rPr>
        <w:t>נמצא כי הרשות לא קבעה הוראה שעל פיה על הגופים המפוקחים לדווח לה באופן שגרתי על מקרים שעקב בירורם נמצאו ליקויים בעלי השלכה רוחבית. על רשות שוק ההון לשקול אפשרות של הוספת הוראה כאמור, כדי שתוכל לזהות ליקויים רוחביים בהתנהלות גופים מפוקחים ובכך להגן על ציבור רחב של מבוטחים.</w:t>
      </w:r>
    </w:p>
    <w:p w:rsidR="005F40C7" w:rsidP="005F40C7">
      <w:pPr>
        <w:pStyle w:val="a"/>
        <w:rPr>
          <w:rtl/>
        </w:rPr>
      </w:pPr>
    </w:p>
    <w:p w:rsidR="00FA3E7D" w:rsidRPr="003053A7" w:rsidP="00FA3E7D">
      <w:pPr>
        <w:spacing w:line="269" w:lineRule="auto"/>
        <w:jc w:val="center"/>
        <w:rPr>
          <w:rFonts w:ascii="Arial" w:hAnsi="Arial" w:cs="Arial"/>
          <w:b/>
          <w:bCs/>
          <w:sz w:val="36"/>
        </w:rPr>
      </w:pPr>
      <w:r>
        <w:rPr>
          <w:rFonts w:ascii="Segoe UI Symbol" w:hAnsi="Segoe UI Symbol" w:cs="Segoe UI Symbol" w:hint="cs"/>
          <w:b/>
          <w:bCs/>
          <w:sz w:val="36"/>
          <w:rtl/>
        </w:rPr>
        <w:t>✰</w:t>
      </w:r>
    </w:p>
    <w:p w:rsidR="00FA3E7D" w:rsidP="00FA3E7D">
      <w:pPr>
        <w:pStyle w:val="a"/>
        <w:rPr>
          <w:rtl/>
        </w:rPr>
      </w:pPr>
    </w:p>
    <w:p w:rsidR="00C466DF" w:rsidP="00632F5E">
      <w:pPr>
        <w:spacing w:line="269" w:lineRule="auto"/>
        <w:rPr>
          <w:b/>
          <w:bCs/>
          <w:rtl/>
        </w:rPr>
      </w:pPr>
      <w:r w:rsidRPr="002B5E33">
        <w:rPr>
          <w:rFonts w:hint="cs"/>
          <w:b/>
          <w:bCs/>
          <w:rtl/>
        </w:rPr>
        <w:t xml:space="preserve">לפעילות רשות שוק ההון בתחום פניות הציבור חשיבות רבה בשמירה על זכויותיהם של המבוטחים, בסוגיות הנובעות לא אחת מפערי ידע וכוחות בין הגופים המוסדיים ובין הציבור. לשם כך הכרחי כי פעילות הרשות בתחום תיעשה על פי נוהלי עבודה מוסדרים, בפרקי זמן סבירים ובשקיפות מרבית. </w:t>
      </w:r>
    </w:p>
    <w:p w:rsidR="00631037" w:rsidRPr="00632F5E" w:rsidP="00632F5E">
      <w:pPr>
        <w:spacing w:line="269" w:lineRule="auto"/>
        <w:rPr>
          <w:b/>
          <w:bCs/>
          <w:rtl/>
        </w:rPr>
      </w:pPr>
    </w:p>
    <w:p w:rsidR="00FA3E7D" w:rsidRPr="002B5E33" w:rsidP="00FA3E7D">
      <w:pPr>
        <w:pStyle w:val="Heading3"/>
        <w:spacing w:before="0" w:line="269" w:lineRule="auto"/>
        <w:rPr>
          <w:rtl/>
        </w:rPr>
      </w:pPr>
      <w:r w:rsidRPr="002B5E33">
        <w:rPr>
          <w:rFonts w:hint="cs"/>
          <w:rtl/>
        </w:rPr>
        <w:t>הסדרת פעילותם של סוכני הביטוח בתחום ביטוחי הבריאות המסחריים</w:t>
      </w:r>
    </w:p>
    <w:p w:rsidR="00FA3E7D" w:rsidRPr="002B5E33" w:rsidP="00FA3E7D">
      <w:pPr>
        <w:pStyle w:val="a"/>
        <w:rPr>
          <w:rtl/>
        </w:rPr>
      </w:pPr>
    </w:p>
    <w:p w:rsidR="00FA3E7D" w:rsidRPr="002B5E33" w:rsidP="00FA3E7D">
      <w:pPr>
        <w:spacing w:line="269" w:lineRule="auto"/>
        <w:rPr>
          <w:rtl/>
        </w:rPr>
      </w:pPr>
      <w:r w:rsidRPr="002B5E33">
        <w:rPr>
          <w:rFonts w:hint="cs"/>
          <w:rtl/>
        </w:rPr>
        <w:t xml:space="preserve">התקשרויות חוזיות שבין הציבור הרחב ובין גופים פיננסיים, לרבות עסקאות בתחום הביטוח, הן מהמורכבות והקשות ביותר להבנה. חשיבותן של עסקאות בתחום הביטוח נובעת מכך שחלק ניכר מהן נוגע לביטחון הסוציאלי הבסיסי שהאדם מבקש להקנות לעצמו ולמשפחתו. הקושי בניתוח הכדאיות הכלכלית הטמונה בחוזה הביטוח עולה ככל שמשך חיי החוזה ארוך יותר וככל שהתשלומים מתפרסים למשך זמן רב יותר. יתר על כן, העובדה שהתמורה בחוזי הביטוח אינה ודאית, ועשויה להיות תלויה בתנאים שאינם בשליטת המבוטח, הקושי בהבנת חוזי הביטוח מבחינה משפטית, השינויים הרגולטוריים התכופים בתחום, המחסום הפסיכולוגי הקיים בהתמודדות עם נושאים כלכליים ודרכי השיווק של הפוליסות - כל אלו יוצרים חוסר איזון בולט בין חברות הביטוח ובין הציבור המבקש להתקשר בחוזה ביטוח.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ההתקשרות בחוזי ביטוח יכולה להתקיים במישרין, בין חברת הביטוח למבוטח, או באמצעות מתווך. מרבית המתווכים הפועלים בשוק הביטוח הם סוכני ביטוח, יחידים או תאגידים, שחובתם העיקרית היא להתאים את המוצר הביטוחי ללקוח, בהתאם למאפייניו ולצרכיו. כעולה מהדוח השנתי של רשות שוק ההון, בשנת 2018 פעלו בישראל 6,306 סוכנים יחידים בעלי רישיון ביטוח כללי (הכולל גם את תחום ביטוחי הבריאות), עליה של כ-0.6% ממספרם בשנת 2015. בשנה זו</w:t>
      </w:r>
      <w:r>
        <w:rPr>
          <w:rFonts w:hint="cs"/>
          <w:rtl/>
        </w:rPr>
        <w:t xml:space="preserve"> </w:t>
      </w:r>
      <w:r w:rsidRPr="002B5E33">
        <w:rPr>
          <w:rFonts w:hint="cs"/>
          <w:rtl/>
        </w:rPr>
        <w:t>פעלו בישראל 1,166 סוכנויות בענף הביטוח הכללי</w:t>
      </w:r>
      <w:r>
        <w:rPr>
          <w:rStyle w:val="FootnoteReference"/>
          <w:rtl/>
        </w:rPr>
        <w:footnoteReference w:id="106"/>
      </w:r>
      <w:r w:rsidRPr="002B5E33">
        <w:rPr>
          <w:rFonts w:hint="cs"/>
          <w:rtl/>
        </w:rPr>
        <w:t xml:space="preserve">, עלייה של כ-3.5% ממספרן בשנת 2015.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אוריינות פיננסית נמוכה</w:t>
      </w:r>
      <w:r>
        <w:rPr>
          <w:rStyle w:val="FootnoteReference"/>
          <w:rtl/>
        </w:rPr>
        <w:footnoteReference w:id="107"/>
      </w:r>
      <w:r w:rsidRPr="002B5E33">
        <w:rPr>
          <w:rFonts w:hint="cs"/>
          <w:rtl/>
        </w:rPr>
        <w:t xml:space="preserve"> בקרב הציבור הרחב היא אחד הגורמים המרכזיים לעלויות יתר שהציבור נושא בהן ברכישת שירותים פיננסיים</w:t>
      </w:r>
      <w:r>
        <w:rPr>
          <w:rStyle w:val="FootnoteReference"/>
          <w:rtl/>
        </w:rPr>
        <w:footnoteReference w:id="108"/>
      </w:r>
      <w:r w:rsidRPr="002B5E33">
        <w:rPr>
          <w:rFonts w:hint="cs"/>
          <w:rtl/>
        </w:rPr>
        <w:t>. סקר אוריינות פיננסית שערכה הלשכה המרכזית לסטטיסטיקה בשנת 2012, בהזמנת המועצה הלאומית לכלכלה ובשיתוף משרד האוצר ובנק ישראל, הציג ממצאים המעידים כי רמת האוריינות הפיננסית של הציבור בישראל נמוכה מאוד</w:t>
      </w:r>
      <w:r>
        <w:rPr>
          <w:rStyle w:val="FootnoteReference"/>
          <w:rtl/>
        </w:rPr>
        <w:footnoteReference w:id="109"/>
      </w:r>
      <w:r w:rsidRPr="002B5E33">
        <w:rPr>
          <w:rFonts w:hint="cs"/>
          <w:rtl/>
        </w:rPr>
        <w:t>.</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לשכת סוכני ביטוח בישראל (להלן - לשכת סוכני הביטוח), כתבה בתשובתה למשרד מבקר המדינה מאפריל 2020 כי "את הפער באוריינות הפיננסית ניתן לסגור באמצעות סוכני הביטוח... כל סוכן ביטוח אשר עוסק בתחום הבריאות, מתמחה ועובר הכשרות מקצועיות על מנת שידע לגשר על הפער בין הלקוח לבין תנאי הפוליסה".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במחקר שנערך בישראל נמצא כי להמלצת סוכן הביטוח יש השפעה ניכרת על קבלת ההחלטות של הצרכנים גם בקרב בעלי אוריינות פיננסית גבוהה, ואף לאחר שקיבלו גילוי נאות בדבר ניגודי אינטרסים שסוכן הביטוח נתון בהם</w:t>
      </w:r>
      <w:r>
        <w:rPr>
          <w:rStyle w:val="FootnoteReference"/>
          <w:rtl/>
        </w:rPr>
        <w:footnoteReference w:id="110"/>
      </w:r>
      <w:r w:rsidRPr="002B5E33">
        <w:rPr>
          <w:rFonts w:hint="cs"/>
          <w:rtl/>
        </w:rPr>
        <w:t>. לשכת סוכני הביטוח ציינה כי היא "תומכת ומחזקת את הממצאים כי הציבור פועל על פי המלצות סוכן הביטוח שכן זו תכלית עבודתו, לספק המלצה ראויה למבוטחים".</w:t>
      </w:r>
    </w:p>
    <w:p w:rsidR="00FA3E7D" w:rsidRPr="002B5E33" w:rsidP="00FA3E7D">
      <w:pPr>
        <w:pStyle w:val="a"/>
        <w:spacing w:line="269" w:lineRule="auto"/>
      </w:pPr>
    </w:p>
    <w:p w:rsidR="00FA3E7D" w:rsidRPr="002B5E33" w:rsidP="00FA3E7D">
      <w:pPr>
        <w:spacing w:line="269" w:lineRule="auto"/>
        <w:rPr>
          <w:rtl/>
        </w:rPr>
      </w:pPr>
      <w:r w:rsidRPr="002B5E33">
        <w:rPr>
          <w:rFonts w:hint="cs"/>
          <w:rtl/>
        </w:rPr>
        <w:t xml:space="preserve">בתחום ביטוחי הבריאות, נוסף על פערי הידע הקיימים בין חברות הביטוח ובין הציבור הרחב בתחום הביטוח, קיימים בין הצדדים גם פערי ידע גדולים בתחום הרפואי.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בעבודת מטה שעשתה רשות שוק ההון בשנים 2013-2012 (להלן - עבודת המטה משנת 2013), נכתב כי "החלטה על חיסכון פנסיוני או על תוכניות ביטוח היא החלטה מורכבת, שלתוצאותיה השלכות משמעותיות על עתידו הכלכלי של אדם. מורכבות זו מקשה בבחירת מוצרים ויצרנים, וגורמת לכך שרבים נזקקים לעצת סוכן ביטוח או יועץ פנסיוני...בבחירת מוצר ויצרן המתאימים להם. למעשה, לרוב הצרכן אינו זה שבוחר עצמאית, אלא מפיץ ממליץ לו על מוצרים ויצרנים. לכן, חשוב להבטיח שלמפיץ, המתווך בין לקוחות ליצרנים, לא יהיו שיקולים זרים והוא יפעל בשקיפות ראויה כלפי לקוחותיו לגבי קשריו עם יצרנים שונים".</w:t>
      </w:r>
    </w:p>
    <w:p w:rsidR="00FA3E7D" w:rsidRPr="002B5E33" w:rsidP="00FA3E7D">
      <w:pPr>
        <w:pStyle w:val="a"/>
        <w:spacing w:line="269" w:lineRule="auto"/>
        <w:rPr>
          <w:rtl/>
        </w:rPr>
      </w:pPr>
    </w:p>
    <w:p w:rsidR="00FA3E7D" w:rsidRPr="002B5E33" w:rsidP="00FA3E7D">
      <w:pPr>
        <w:pStyle w:val="Heading4"/>
        <w:spacing w:before="0" w:line="269" w:lineRule="auto"/>
        <w:rPr>
          <w:rtl/>
        </w:rPr>
      </w:pPr>
      <w:r w:rsidRPr="002B5E33">
        <w:rPr>
          <w:rFonts w:hint="cs"/>
          <w:rtl/>
        </w:rPr>
        <w:t>הסדרה מפורטת בחקיקה של מעמדם ואחריותם של סוכני הביטוח בתחום ביטוחי הבריאות</w:t>
      </w:r>
    </w:p>
    <w:p w:rsidR="00FA3E7D" w:rsidRPr="002B5E33" w:rsidP="00FA3E7D">
      <w:pPr>
        <w:pStyle w:val="a"/>
        <w:rPr>
          <w:rtl/>
        </w:rPr>
      </w:pPr>
    </w:p>
    <w:p w:rsidR="00FA3E7D" w:rsidRPr="002B5E33" w:rsidP="00FA3E7D">
      <w:pPr>
        <w:spacing w:line="269" w:lineRule="auto"/>
        <w:rPr>
          <w:rtl/>
        </w:rPr>
      </w:pPr>
      <w:r w:rsidRPr="002B5E33">
        <w:rPr>
          <w:rFonts w:hint="cs"/>
          <w:rtl/>
        </w:rPr>
        <w:t>כבר לפני כמעט כ-30 שנים כתב משרד מבקר המדינה בדוח בעניין "רישוי סוכני ביטוח והפיקוח עליהם"</w:t>
      </w:r>
      <w:r>
        <w:rPr>
          <w:rStyle w:val="FootnoteReference"/>
          <w:rtl/>
        </w:rPr>
        <w:footnoteReference w:id="111"/>
      </w:r>
      <w:r w:rsidRPr="002B5E33">
        <w:rPr>
          <w:rFonts w:hint="cs"/>
          <w:rtl/>
        </w:rPr>
        <w:t xml:space="preserve"> כי: "הסוכנים, ובפרט הסוכנים הגדולים, הם הגורם הבלעדי כמעט העומד מול המבוטחים הפרטיים שלהם, וגם מול רבים אחרים המבוטחים באמצעותם. אף על פי כן הדגש בתחיקה הוא על המבטחים עצמם, ואין הוראות רבות, חוקיות או מינהליות, העוסקות בסוכנים, ביחסים ביניהם לבין המבטחים שאותם הם מייצגים, ובפיקוח עליהם מטעם המפקח".</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בין ההוראות הכלליות הקבועות בחקיקה, החלות על כל סוכני הביטוח, ניתן למנות את הוראות סעיפים 33-35 לחוק חוזה הביטוח, התשמ"א-1981, הקובעות כי סוכן הביטוח ייחשב לשלוח של חברת הביטוח לעניין המשא ומתן לקראת כריתתו של חוזה הביטוח ולעניין כריתתו, לעניין חובת הגילוי בכריתת חוזה הביטוח ולעניין קבלת דמי הביטוח והודעות הנמסרות בקשר עם חוזה הביטוח. חוק הפיקוח מסדיר את דרך מתן הרישיונות לסוכני הביטוח, אוסר על הטעיית הציבור בפרסום או בתיאור של עסקת ביטוח וכן אוסר להתנות עשיית ביטוח בענף אחד בקניית שירות אחר או בעשיית ביטוח בענף אחר. סעיף 58 לחוק הפיקוח קובע כי "לא יעשה מבטח או סוכן ביטוח </w:t>
      </w:r>
      <w:r w:rsidRPr="002B5E33">
        <w:rPr>
          <w:rtl/>
        </w:rPr>
        <w:t>–</w:t>
      </w:r>
      <w:r w:rsidRPr="002B5E33">
        <w:rPr>
          <w:rFonts w:hint="cs"/>
          <w:rtl/>
        </w:rPr>
        <w:t xml:space="preserve"> במעשה או במחדל, בכתב, בעל פה או בכל דרך אחרת </w:t>
      </w:r>
      <w:r w:rsidRPr="002B5E33">
        <w:rPr>
          <w:rtl/>
        </w:rPr>
        <w:t>–</w:t>
      </w:r>
      <w:r w:rsidRPr="002B5E33">
        <w:rPr>
          <w:rFonts w:hint="cs"/>
          <w:rtl/>
        </w:rPr>
        <w:t xml:space="preserve"> דבר שיש בו משום ניצול מצוקתו של מבוטח, חולשתו השכלית או הגופנית, בורותו, אי ידיעתו את השפה או חוסר נסיונו, או הפעלת השפעה בלתי הוגנת עליו, הכל כדי לקשור עסקה של ביטוח בתנאים בלתי סבירים או כדי לקבל תמורה העולה על התמורה המקובלת". בהעדר קביעה בחוק המסדירה את חובת הנאמנות הכללית של סוכן הביטוח, ביססו לרוב בתי המשפט את החובה על הוראות חוק כלליות</w:t>
      </w:r>
      <w:r>
        <w:rPr>
          <w:rStyle w:val="FootnoteReference"/>
          <w:rtl/>
        </w:rPr>
        <w:footnoteReference w:id="112"/>
      </w:r>
      <w:r w:rsidRPr="002B5E33">
        <w:rPr>
          <w:rFonts w:hint="cs"/>
          <w:rtl/>
        </w:rPr>
        <w:t>.</w:t>
      </w:r>
      <w:r>
        <w:rPr>
          <w:rFonts w:hint="cs"/>
          <w:rtl/>
        </w:rPr>
        <w:t xml:space="preserve"> </w:t>
      </w:r>
      <w:r w:rsidRPr="002B5E33">
        <w:rPr>
          <w:rFonts w:hint="cs"/>
          <w:rtl/>
        </w:rPr>
        <w:t>ואולם אף שבנוגע לסוכנים המשווקים ביטוחים פנסיוניים יש הוראות מפורטות המחייבות את הסוכן לפעול לטובת לקוחותיו באמונה ובשקידה ולהימנע מניגוד עניינים אפשרי, אין הוראות כאלה בנוגע לסוכני הביטוח בתחומים האחרים.</w:t>
      </w:r>
      <w:r>
        <w:rPr>
          <w:rFonts w:hint="cs"/>
          <w:rtl/>
        </w:rPr>
        <w:t xml:space="preserve"> </w:t>
      </w:r>
    </w:p>
    <w:p w:rsidR="00FA3E7D" w:rsidRPr="002B5E33" w:rsidP="00FA3E7D">
      <w:pPr>
        <w:pStyle w:val="a"/>
        <w:spacing w:line="269" w:lineRule="auto"/>
        <w:rPr>
          <w:rtl/>
        </w:rPr>
      </w:pPr>
    </w:p>
    <w:p w:rsidR="00FA3E7D" w:rsidP="00FA3E7D">
      <w:pPr>
        <w:spacing w:line="269" w:lineRule="auto"/>
        <w:rPr>
          <w:rtl/>
        </w:rPr>
      </w:pPr>
      <w:r w:rsidRPr="002B5E33">
        <w:rPr>
          <w:rFonts w:hint="cs"/>
          <w:rtl/>
        </w:rPr>
        <w:t>על אף האחריות הרבה המוטלת על סוכני הביטוח, ההסדרה הקיימת בחקיקה ביחס לאחריותם נוגעת במהותה לסוכני ביטוח פנסיוני, ואילו עיקר ההוראות הנוגעות להסדרת התנהלות הסוכנים בהקשר של מכירת מוצרי ביטוח אחרים, מוסדרות בחוזרים ובהוראות שפרסמה הרשות</w:t>
      </w:r>
      <w:r>
        <w:rPr>
          <w:rStyle w:val="FootnoteReference"/>
          <w:rtl/>
        </w:rPr>
        <w:footnoteReference w:id="113"/>
      </w:r>
      <w:r w:rsidRPr="002B5E33">
        <w:rPr>
          <w:rFonts w:hint="cs"/>
          <w:rtl/>
        </w:rPr>
        <w:t>.</w:t>
      </w:r>
    </w:p>
    <w:p w:rsidR="00631037" w:rsidRPr="002B5E33" w:rsidP="00FA3E7D">
      <w:pPr>
        <w:spacing w:line="269" w:lineRule="auto"/>
        <w:rPr>
          <w:rtl/>
        </w:rPr>
      </w:pPr>
    </w:p>
    <w:p w:rsidR="00FA3E7D" w:rsidRPr="002B5E33" w:rsidP="00FA3E7D">
      <w:pPr>
        <w:pStyle w:val="Heading4"/>
        <w:spacing w:before="0" w:line="269" w:lineRule="auto"/>
        <w:rPr>
          <w:rtl/>
        </w:rPr>
      </w:pPr>
      <w:r w:rsidRPr="002B5E33">
        <w:rPr>
          <w:rFonts w:hint="cs"/>
          <w:rtl/>
        </w:rPr>
        <w:t>עמלות המשולמות לסוכני הביטוח בגין מכירת ביטוחי בריאות</w:t>
      </w:r>
    </w:p>
    <w:p w:rsidR="00FA3E7D" w:rsidRPr="002B5E33" w:rsidP="00FA3E7D">
      <w:pPr>
        <w:pStyle w:val="a"/>
        <w:rPr>
          <w:rtl/>
        </w:rPr>
      </w:pPr>
    </w:p>
    <w:p w:rsidR="00FA3E7D" w:rsidRPr="002B5E33" w:rsidP="00FA3E7D">
      <w:pPr>
        <w:spacing w:line="269" w:lineRule="auto"/>
        <w:rPr>
          <w:rtl/>
        </w:rPr>
      </w:pPr>
      <w:r w:rsidRPr="002B5E33">
        <w:rPr>
          <w:rFonts w:hint="cs"/>
          <w:rtl/>
        </w:rPr>
        <w:t>שיווק ביטוחי הבריאות נעשה בעיקרו באמצעות סוכני ביטוח, המקבלים מחברות הביטוח עמלות בגין מכירת הפוליסות. מנתוני רשות שוק ההון עולה מגמה רציפה בשנים האחרונות, של עלייה בסך העמלות המשולמות לסוכנויות ולסוכנים.</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בתרשים להלן פירוט סך העמלות לבעלי רישיון לשנים 2013- 2018:</w:t>
      </w:r>
    </w:p>
    <w:p w:rsidR="00FA3E7D" w:rsidP="00FA3E7D">
      <w:pPr>
        <w:pStyle w:val="a"/>
        <w:rPr>
          <w:rtl/>
        </w:rPr>
      </w:pPr>
    </w:p>
    <w:p w:rsidR="00FA3E7D" w:rsidRPr="00C466DF" w:rsidP="00C466DF">
      <w:pPr>
        <w:spacing w:line="269" w:lineRule="auto"/>
        <w:jc w:val="center"/>
        <w:rPr>
          <w:b/>
          <w:bCs/>
          <w:rtl/>
        </w:rPr>
      </w:pPr>
      <w:r w:rsidRPr="002B5E33">
        <w:rPr>
          <w:rFonts w:hint="eastAsia"/>
          <w:b/>
          <w:bCs/>
          <w:rtl/>
        </w:rPr>
        <w:t>תרשים</w:t>
      </w:r>
      <w:r w:rsidRPr="002B5E33">
        <w:rPr>
          <w:rFonts w:hint="cs"/>
          <w:b/>
          <w:bCs/>
          <w:rtl/>
        </w:rPr>
        <w:t xml:space="preserve"> 19</w:t>
      </w:r>
      <w:r w:rsidRPr="002B5E33">
        <w:rPr>
          <w:b/>
          <w:bCs/>
          <w:rtl/>
        </w:rPr>
        <w:t xml:space="preserve"> </w:t>
      </w:r>
      <w:r w:rsidR="00C466DF">
        <w:rPr>
          <w:rFonts w:hint="cs"/>
          <w:b/>
          <w:bCs/>
          <w:rtl/>
        </w:rPr>
        <w:t xml:space="preserve">: </w:t>
      </w:r>
      <w:r w:rsidRPr="002B5E33">
        <w:rPr>
          <w:rFonts w:hint="eastAsia"/>
          <w:b/>
          <w:bCs/>
          <w:rtl/>
        </w:rPr>
        <w:t>עמלות</w:t>
      </w:r>
      <w:r w:rsidRPr="002B5E33">
        <w:rPr>
          <w:b/>
          <w:bCs/>
          <w:rtl/>
        </w:rPr>
        <w:t xml:space="preserve"> </w:t>
      </w:r>
      <w:r w:rsidRPr="002B5E33">
        <w:rPr>
          <w:rFonts w:hint="eastAsia"/>
          <w:b/>
          <w:bCs/>
          <w:rtl/>
        </w:rPr>
        <w:t>ששולמו</w:t>
      </w:r>
      <w:r w:rsidRPr="002B5E33">
        <w:rPr>
          <w:b/>
          <w:bCs/>
          <w:rtl/>
        </w:rPr>
        <w:t xml:space="preserve"> </w:t>
      </w:r>
      <w:r w:rsidRPr="002B5E33">
        <w:rPr>
          <w:rFonts w:hint="eastAsia"/>
          <w:b/>
          <w:bCs/>
          <w:rtl/>
        </w:rPr>
        <w:t>לבעלי</w:t>
      </w:r>
      <w:r w:rsidRPr="002B5E33">
        <w:rPr>
          <w:b/>
          <w:bCs/>
          <w:rtl/>
        </w:rPr>
        <w:t xml:space="preserve"> </w:t>
      </w:r>
      <w:r w:rsidRPr="002B5E33">
        <w:rPr>
          <w:rFonts w:hint="eastAsia"/>
          <w:b/>
          <w:bCs/>
          <w:rtl/>
        </w:rPr>
        <w:t>רישיון</w:t>
      </w:r>
      <w:r w:rsidRPr="002B5E33">
        <w:rPr>
          <w:b/>
          <w:bCs/>
          <w:rtl/>
        </w:rPr>
        <w:t xml:space="preserve"> (סוכנויות </w:t>
      </w:r>
      <w:r w:rsidRPr="002B5E33">
        <w:rPr>
          <w:rFonts w:hint="eastAsia"/>
          <w:b/>
          <w:bCs/>
          <w:rtl/>
        </w:rPr>
        <w:t>וסוכנים</w:t>
      </w:r>
      <w:r w:rsidRPr="002B5E33">
        <w:rPr>
          <w:b/>
          <w:bCs/>
          <w:rtl/>
        </w:rPr>
        <w:t xml:space="preserve">) </w:t>
      </w:r>
      <w:r w:rsidRPr="002B5E33">
        <w:rPr>
          <w:rFonts w:hint="eastAsia"/>
          <w:b/>
          <w:bCs/>
          <w:rtl/>
        </w:rPr>
        <w:t>בגין</w:t>
      </w:r>
      <w:r w:rsidRPr="002B5E33">
        <w:rPr>
          <w:b/>
          <w:bCs/>
          <w:rtl/>
        </w:rPr>
        <w:t xml:space="preserve"> </w:t>
      </w:r>
      <w:r w:rsidRPr="002B5E33">
        <w:rPr>
          <w:rFonts w:hint="eastAsia"/>
          <w:b/>
          <w:bCs/>
          <w:rtl/>
        </w:rPr>
        <w:t>מכירת</w:t>
      </w:r>
      <w:r w:rsidRPr="002B5E33">
        <w:rPr>
          <w:b/>
          <w:bCs/>
          <w:rtl/>
        </w:rPr>
        <w:t xml:space="preserve"> </w:t>
      </w:r>
      <w:r w:rsidRPr="002B5E33">
        <w:rPr>
          <w:rFonts w:hint="eastAsia"/>
          <w:b/>
          <w:bCs/>
          <w:rtl/>
        </w:rPr>
        <w:t>ביטוחי</w:t>
      </w:r>
      <w:r w:rsidRPr="002B5E33">
        <w:rPr>
          <w:b/>
          <w:bCs/>
          <w:rtl/>
        </w:rPr>
        <w:t xml:space="preserve"> </w:t>
      </w:r>
      <w:r w:rsidRPr="002B5E33">
        <w:rPr>
          <w:rFonts w:hint="eastAsia"/>
          <w:b/>
          <w:bCs/>
          <w:rtl/>
        </w:rPr>
        <w:t>בריאות</w:t>
      </w:r>
      <w:r w:rsidRPr="002B5E33">
        <w:rPr>
          <w:b/>
          <w:bCs/>
          <w:rtl/>
        </w:rPr>
        <w:t xml:space="preserve"> ופרמיות ברוטו בביטוח בריאות (מחלות ואשפוז), </w:t>
      </w:r>
      <w:r w:rsidRPr="002B5E33">
        <w:rPr>
          <w:rFonts w:hint="eastAsia"/>
          <w:b/>
          <w:bCs/>
          <w:rtl/>
        </w:rPr>
        <w:t>בשנים</w:t>
      </w:r>
      <w:r w:rsidRPr="002B5E33">
        <w:rPr>
          <w:b/>
          <w:bCs/>
          <w:rtl/>
        </w:rPr>
        <w:t xml:space="preserve"> 2013</w:t>
      </w:r>
      <w:r w:rsidRPr="002B5E33">
        <w:rPr>
          <w:rFonts w:hint="cs"/>
          <w:b/>
          <w:bCs/>
          <w:rtl/>
        </w:rPr>
        <w:t xml:space="preserve"> - 2018</w:t>
      </w:r>
      <w:r w:rsidRPr="002B5E33">
        <w:rPr>
          <w:b/>
          <w:bCs/>
          <w:rtl/>
        </w:rPr>
        <w:t xml:space="preserve"> (</w:t>
      </w:r>
      <w:r w:rsidRPr="002B5E33">
        <w:rPr>
          <w:rFonts w:hint="eastAsia"/>
          <w:b/>
          <w:bCs/>
          <w:rtl/>
        </w:rPr>
        <w:t>במיליוני</w:t>
      </w:r>
      <w:r w:rsidRPr="002B5E33">
        <w:rPr>
          <w:b/>
          <w:bCs/>
          <w:rtl/>
        </w:rPr>
        <w:t xml:space="preserve"> </w:t>
      </w:r>
      <w:r w:rsidRPr="002B5E33">
        <w:rPr>
          <w:rFonts w:hint="eastAsia"/>
          <w:b/>
          <w:bCs/>
          <w:rtl/>
        </w:rPr>
        <w:t>ש</w:t>
      </w:r>
      <w:r w:rsidRPr="002B5E33">
        <w:rPr>
          <w:b/>
          <w:bCs/>
          <w:rtl/>
        </w:rPr>
        <w:t>"ח)</w:t>
      </w:r>
    </w:p>
    <w:p w:rsidR="00FA3E7D" w:rsidRPr="002B5E33" w:rsidP="00C466DF">
      <w:pPr>
        <w:spacing w:before="120" w:after="120" w:line="269" w:lineRule="auto"/>
        <w:jc w:val="center"/>
        <w:rPr>
          <w:b/>
          <w:bCs/>
          <w:u w:val="single"/>
          <w:rtl/>
        </w:rPr>
      </w:pPr>
      <w:r>
        <w:rPr>
          <w:b/>
          <w:bCs/>
          <w:noProof/>
          <w:u w:val="single"/>
          <w:rtl/>
        </w:rPr>
        <w:drawing>
          <wp:inline distT="0" distB="0" distL="0" distR="0">
            <wp:extent cx="4322073" cy="2383541"/>
            <wp:effectExtent l="0" t="0" r="2540" b="0"/>
            <wp:docPr id="1493377109" name="תמונה 149337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71070" name="commercial-health-insurance-g-19.pn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383541"/>
                    </a:xfrm>
                    <a:prstGeom prst="rect">
                      <a:avLst/>
                    </a:prstGeom>
                  </pic:spPr>
                </pic:pic>
              </a:graphicData>
            </a:graphic>
          </wp:inline>
        </w:drawing>
      </w:r>
    </w:p>
    <w:p w:rsidR="00FA3E7D" w:rsidRPr="009D4A2C" w:rsidP="00C466DF">
      <w:pPr>
        <w:spacing w:line="269" w:lineRule="auto"/>
        <w:jc w:val="left"/>
        <w:rPr>
          <w:sz w:val="22"/>
          <w:szCs w:val="22"/>
          <w:rtl/>
        </w:rPr>
      </w:pPr>
      <w:r w:rsidRPr="009D4A2C">
        <w:rPr>
          <w:rFonts w:hint="cs"/>
          <w:sz w:val="22"/>
          <w:szCs w:val="22"/>
          <w:rtl/>
        </w:rPr>
        <w:t>מקור: דוחות שנתיים של רשות שוק ההון, בעיבוד משרד מבקר המדינה</w:t>
      </w:r>
      <w:r w:rsidRPr="009D4A2C" w:rsidR="007D53AF">
        <w:rPr>
          <w:rFonts w:hint="cs"/>
          <w:sz w:val="22"/>
          <w:szCs w:val="22"/>
          <w:rtl/>
        </w:rPr>
        <w:t>.</w:t>
      </w:r>
    </w:p>
    <w:p w:rsidR="00FA3E7D" w:rsidRPr="002B5E33" w:rsidP="00FA3E7D">
      <w:pPr>
        <w:pStyle w:val="a"/>
        <w:spacing w:line="269" w:lineRule="auto"/>
        <w:rPr>
          <w:rtl/>
        </w:rPr>
      </w:pPr>
    </w:p>
    <w:p w:rsidR="00C466DF" w:rsidP="00C466DF">
      <w:pPr>
        <w:spacing w:line="269" w:lineRule="auto"/>
        <w:rPr>
          <w:rtl/>
        </w:rPr>
      </w:pPr>
      <w:r w:rsidRPr="002B5E33">
        <w:rPr>
          <w:rFonts w:hint="cs"/>
          <w:rtl/>
        </w:rPr>
        <w:t>בביטוחי בריאות פרטיים חברות הביטוח משלמות לסוכני הביטוח שני סוגים מרכזיים של עמלות: (1) עמלה הנקבעת בהתאם להיקף המכירה של פוליסות חדשות (להלן - עמלת היקף); (2) עמלה המשולמת באופן שוטף לאורך חיי הפוליסה (להלן - עמלת נפרעים). עמלת ההיקף המקובלת היא בגובה של 50% - 60%</w:t>
      </w:r>
      <w:r>
        <w:rPr>
          <w:rFonts w:hint="cs"/>
          <w:rtl/>
        </w:rPr>
        <w:t xml:space="preserve"> </w:t>
      </w:r>
      <w:r w:rsidRPr="002B5E33">
        <w:rPr>
          <w:rFonts w:hint="cs"/>
          <w:rtl/>
        </w:rPr>
        <w:t>מדמי הביטוח המשולמים בשנה הראשונה, ועמלת הנפרעים היא בגובה של 15% - 25% מגובה הפרמיה, מדי שנה. נוסף עליהן משלמות חברות הביטוח לסוכנים, בכסף ובשווי כסף, תשלומים נוספים במסגרת מבצעי מכירות בקרב הסוכנים</w:t>
      </w:r>
      <w:r>
        <w:rPr>
          <w:rStyle w:val="FootnoteReference"/>
          <w:rtl/>
        </w:rPr>
        <w:footnoteReference w:id="114"/>
      </w:r>
      <w:r w:rsidRPr="002B5E33">
        <w:rPr>
          <w:rFonts w:hint="cs"/>
          <w:rtl/>
        </w:rPr>
        <w:t>.</w:t>
      </w:r>
    </w:p>
    <w:p w:rsidR="00C466DF" w:rsidP="00C466DF">
      <w:pPr>
        <w:pStyle w:val="a"/>
        <w:spacing w:line="269" w:lineRule="auto"/>
        <w:rPr>
          <w:rtl/>
        </w:rPr>
      </w:pPr>
    </w:p>
    <w:p w:rsidR="00FA3E7D" w:rsidRPr="00C466DF" w:rsidP="00C466DF">
      <w:pPr>
        <w:bidi w:val="0"/>
        <w:spacing w:after="200" w:line="276" w:lineRule="auto"/>
        <w:jc w:val="right"/>
        <w:rPr>
          <w:szCs w:val="20"/>
          <w:rtl/>
        </w:rPr>
      </w:pPr>
      <w:r w:rsidRPr="002B5E33">
        <w:rPr>
          <w:rFonts w:hint="cs"/>
          <w:rtl/>
        </w:rPr>
        <w:t>להלן בתרשים פירוט העמלות ומספר המבוטחים בביטוחי פרט ובביטוחים קבוצתיים בתחום ההוצאות הרפואיות לשנים 2013 - 2018:</w:t>
      </w:r>
    </w:p>
    <w:p w:rsidR="00FA3E7D" w:rsidRPr="002B5E33" w:rsidP="00FA3E7D">
      <w:pPr>
        <w:pStyle w:val="a"/>
        <w:spacing w:line="269" w:lineRule="auto"/>
        <w:rPr>
          <w:rtl/>
        </w:rPr>
      </w:pPr>
    </w:p>
    <w:p w:rsidR="00C466DF" w:rsidP="00FA3E7D">
      <w:pPr>
        <w:spacing w:line="269" w:lineRule="auto"/>
        <w:jc w:val="center"/>
        <w:rPr>
          <w:b/>
          <w:bCs/>
          <w:rtl/>
        </w:rPr>
      </w:pPr>
      <w:r>
        <w:rPr>
          <w:b/>
          <w:bCs/>
          <w:rtl/>
        </w:rPr>
        <w:br w:type="page"/>
      </w:r>
    </w:p>
    <w:p w:rsidR="00FA3E7D" w:rsidRPr="00C466DF" w:rsidP="00C466DF">
      <w:pPr>
        <w:spacing w:line="269" w:lineRule="auto"/>
        <w:jc w:val="center"/>
        <w:rPr>
          <w:b/>
          <w:bCs/>
          <w:rtl/>
        </w:rPr>
      </w:pPr>
      <w:r w:rsidRPr="002B5E33">
        <w:rPr>
          <w:rFonts w:hint="eastAsia"/>
          <w:b/>
          <w:bCs/>
          <w:rtl/>
        </w:rPr>
        <w:t>תרשים</w:t>
      </w:r>
      <w:r w:rsidRPr="002B5E33">
        <w:rPr>
          <w:b/>
          <w:bCs/>
          <w:rtl/>
        </w:rPr>
        <w:t xml:space="preserve"> </w:t>
      </w:r>
      <w:r w:rsidRPr="002B5E33">
        <w:rPr>
          <w:rFonts w:hint="cs"/>
          <w:b/>
          <w:bCs/>
          <w:rtl/>
        </w:rPr>
        <w:t>20</w:t>
      </w:r>
      <w:r w:rsidR="00C466DF">
        <w:rPr>
          <w:rFonts w:hint="cs"/>
          <w:b/>
          <w:bCs/>
          <w:rtl/>
        </w:rPr>
        <w:t xml:space="preserve">: </w:t>
      </w:r>
      <w:r w:rsidRPr="002B5E33">
        <w:rPr>
          <w:rFonts w:hint="cs"/>
          <w:b/>
          <w:bCs/>
          <w:rtl/>
        </w:rPr>
        <w:t>סכום</w:t>
      </w:r>
      <w:r w:rsidRPr="002B5E33">
        <w:rPr>
          <w:b/>
          <w:bCs/>
          <w:rtl/>
        </w:rPr>
        <w:t xml:space="preserve"> </w:t>
      </w:r>
      <w:r w:rsidRPr="002B5E33">
        <w:rPr>
          <w:rFonts w:hint="eastAsia"/>
          <w:b/>
          <w:bCs/>
          <w:rtl/>
        </w:rPr>
        <w:t>העמלות</w:t>
      </w:r>
      <w:r w:rsidRPr="002B5E33">
        <w:rPr>
          <w:b/>
          <w:bCs/>
          <w:rtl/>
        </w:rPr>
        <w:t xml:space="preserve"> </w:t>
      </w:r>
      <w:r w:rsidRPr="002B5E33">
        <w:rPr>
          <w:rFonts w:hint="eastAsia"/>
          <w:b/>
          <w:bCs/>
          <w:rtl/>
        </w:rPr>
        <w:t>בביטוחי</w:t>
      </w:r>
      <w:r w:rsidRPr="002B5E33">
        <w:rPr>
          <w:b/>
          <w:bCs/>
          <w:rtl/>
        </w:rPr>
        <w:t xml:space="preserve"> </w:t>
      </w:r>
      <w:r w:rsidRPr="002B5E33">
        <w:rPr>
          <w:rFonts w:hint="eastAsia"/>
          <w:b/>
          <w:bCs/>
          <w:rtl/>
        </w:rPr>
        <w:t>פרט</w:t>
      </w:r>
      <w:r w:rsidRPr="002B5E33">
        <w:rPr>
          <w:b/>
          <w:bCs/>
          <w:rtl/>
        </w:rPr>
        <w:t xml:space="preserve"> </w:t>
      </w:r>
      <w:r w:rsidRPr="002B5E33">
        <w:rPr>
          <w:rFonts w:hint="eastAsia"/>
          <w:b/>
          <w:bCs/>
          <w:rtl/>
        </w:rPr>
        <w:t>ובביטוחים</w:t>
      </w:r>
      <w:r w:rsidRPr="002B5E33">
        <w:rPr>
          <w:b/>
          <w:bCs/>
          <w:rtl/>
        </w:rPr>
        <w:t xml:space="preserve"> </w:t>
      </w:r>
      <w:r w:rsidRPr="002B5E33">
        <w:rPr>
          <w:rFonts w:hint="eastAsia"/>
          <w:b/>
          <w:bCs/>
          <w:rtl/>
        </w:rPr>
        <w:t>קבוצתיים</w:t>
      </w:r>
      <w:r w:rsidRPr="002B5E33">
        <w:rPr>
          <w:b/>
          <w:bCs/>
          <w:rtl/>
        </w:rPr>
        <w:t xml:space="preserve"> (ב</w:t>
      </w:r>
      <w:r w:rsidRPr="002B5E33">
        <w:rPr>
          <w:rFonts w:hint="eastAsia"/>
          <w:b/>
          <w:bCs/>
          <w:rtl/>
        </w:rPr>
        <w:t>מיליוני</w:t>
      </w:r>
      <w:r w:rsidRPr="002B5E33">
        <w:rPr>
          <w:rFonts w:hint="cs"/>
          <w:b/>
          <w:bCs/>
          <w:rtl/>
        </w:rPr>
        <w:t xml:space="preserve"> ש"ח</w:t>
      </w:r>
      <w:r w:rsidRPr="002B5E33">
        <w:rPr>
          <w:b/>
          <w:bCs/>
          <w:rtl/>
        </w:rPr>
        <w:t xml:space="preserve">) </w:t>
      </w:r>
      <w:r w:rsidRPr="002B5E33">
        <w:rPr>
          <w:rFonts w:hint="eastAsia"/>
          <w:b/>
          <w:bCs/>
          <w:rtl/>
        </w:rPr>
        <w:t>בתחום</w:t>
      </w:r>
      <w:r w:rsidRPr="002B5E33">
        <w:rPr>
          <w:b/>
          <w:bCs/>
          <w:rtl/>
        </w:rPr>
        <w:t xml:space="preserve"> </w:t>
      </w:r>
      <w:r w:rsidRPr="002B5E33">
        <w:rPr>
          <w:rFonts w:hint="eastAsia"/>
          <w:b/>
          <w:bCs/>
          <w:rtl/>
        </w:rPr>
        <w:t>הוצאות</w:t>
      </w:r>
      <w:r w:rsidRPr="002B5E33">
        <w:rPr>
          <w:b/>
          <w:bCs/>
          <w:rtl/>
        </w:rPr>
        <w:t xml:space="preserve"> </w:t>
      </w:r>
      <w:r w:rsidRPr="002B5E33">
        <w:rPr>
          <w:rFonts w:hint="eastAsia"/>
          <w:b/>
          <w:bCs/>
          <w:rtl/>
        </w:rPr>
        <w:t>רפואיות</w:t>
      </w:r>
      <w:r>
        <w:rPr>
          <w:rStyle w:val="FootnoteReference"/>
          <w:b/>
          <w:bCs/>
          <w:rtl/>
        </w:rPr>
        <w:footnoteReference w:id="115"/>
      </w:r>
      <w:r w:rsidRPr="002B5E33">
        <w:rPr>
          <w:b/>
          <w:bCs/>
          <w:rtl/>
        </w:rPr>
        <w:t xml:space="preserve">, ומספר </w:t>
      </w:r>
      <w:r w:rsidRPr="002B5E33">
        <w:rPr>
          <w:rFonts w:hint="eastAsia"/>
          <w:b/>
          <w:bCs/>
          <w:rtl/>
        </w:rPr>
        <w:t>המבוטחים</w:t>
      </w:r>
      <w:r w:rsidRPr="002B5E33">
        <w:rPr>
          <w:b/>
          <w:bCs/>
          <w:rtl/>
        </w:rPr>
        <w:t xml:space="preserve"> </w:t>
      </w:r>
      <w:r w:rsidRPr="002B5E33">
        <w:rPr>
          <w:rFonts w:hint="eastAsia"/>
          <w:b/>
          <w:bCs/>
          <w:rtl/>
        </w:rPr>
        <w:t>בביטוחי</w:t>
      </w:r>
      <w:r w:rsidRPr="002B5E33">
        <w:rPr>
          <w:b/>
          <w:bCs/>
          <w:rtl/>
        </w:rPr>
        <w:t xml:space="preserve"> </w:t>
      </w:r>
      <w:r w:rsidRPr="002B5E33">
        <w:rPr>
          <w:rFonts w:hint="eastAsia"/>
          <w:b/>
          <w:bCs/>
          <w:rtl/>
        </w:rPr>
        <w:t>פרט</w:t>
      </w:r>
      <w:r w:rsidRPr="002B5E33">
        <w:rPr>
          <w:b/>
          <w:bCs/>
          <w:rtl/>
        </w:rPr>
        <w:t xml:space="preserve"> </w:t>
      </w:r>
      <w:r w:rsidRPr="002B5E33">
        <w:rPr>
          <w:rFonts w:hint="eastAsia"/>
          <w:b/>
          <w:bCs/>
          <w:rtl/>
        </w:rPr>
        <w:t>ובביטוחים</w:t>
      </w:r>
      <w:r w:rsidRPr="002B5E33">
        <w:rPr>
          <w:b/>
          <w:bCs/>
          <w:rtl/>
        </w:rPr>
        <w:t xml:space="preserve"> </w:t>
      </w:r>
      <w:r w:rsidRPr="002B5E33">
        <w:rPr>
          <w:rFonts w:hint="eastAsia"/>
          <w:b/>
          <w:bCs/>
          <w:rtl/>
        </w:rPr>
        <w:t>קבוצתיים</w:t>
      </w:r>
      <w:r w:rsidRPr="002B5E33">
        <w:rPr>
          <w:b/>
          <w:bCs/>
          <w:rtl/>
        </w:rPr>
        <w:t xml:space="preserve"> </w:t>
      </w:r>
      <w:r w:rsidRPr="002B5E33">
        <w:rPr>
          <w:rFonts w:hint="eastAsia"/>
          <w:b/>
          <w:bCs/>
          <w:rtl/>
        </w:rPr>
        <w:t>בשנים</w:t>
      </w:r>
      <w:r w:rsidRPr="002B5E33">
        <w:rPr>
          <w:b/>
          <w:bCs/>
          <w:rtl/>
        </w:rPr>
        <w:t xml:space="preserve"> 2018-2013</w:t>
      </w:r>
    </w:p>
    <w:p w:rsidR="00FA3E7D" w:rsidRPr="002B5E33" w:rsidP="00C466DF">
      <w:pPr>
        <w:spacing w:before="120" w:after="120" w:line="269" w:lineRule="auto"/>
        <w:jc w:val="center"/>
        <w:rPr>
          <w:rtl/>
        </w:rPr>
      </w:pPr>
      <w:r>
        <w:rPr>
          <w:noProof/>
          <w:rtl/>
        </w:rPr>
        <w:drawing>
          <wp:inline distT="0" distB="0" distL="0" distR="0">
            <wp:extent cx="4937770" cy="2801118"/>
            <wp:effectExtent l="0" t="0" r="0" b="0"/>
            <wp:docPr id="1493377110" name="תמונה 149337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20931" name="commercial-health-insurance-g-20.pn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70" cy="2801118"/>
                    </a:xfrm>
                    <a:prstGeom prst="rect">
                      <a:avLst/>
                    </a:prstGeom>
                  </pic:spPr>
                </pic:pic>
              </a:graphicData>
            </a:graphic>
          </wp:inline>
        </w:drawing>
      </w:r>
    </w:p>
    <w:p w:rsidR="00FA3E7D" w:rsidRPr="00AA5FE2" w:rsidP="00C466DF">
      <w:pPr>
        <w:spacing w:line="269" w:lineRule="auto"/>
        <w:jc w:val="left"/>
        <w:rPr>
          <w:sz w:val="22"/>
          <w:szCs w:val="22"/>
          <w:rtl/>
        </w:rPr>
      </w:pPr>
      <w:r w:rsidRPr="00AA5FE2">
        <w:rPr>
          <w:rFonts w:hint="cs"/>
          <w:sz w:val="22"/>
          <w:szCs w:val="22"/>
          <w:rtl/>
        </w:rPr>
        <w:t>מקור: נתוני רשות שוק ההון, בעיבוד משרד מבקר המדינה</w:t>
      </w:r>
      <w:r w:rsidR="007D53AF">
        <w:rPr>
          <w:rFonts w:hint="cs"/>
          <w:sz w:val="22"/>
          <w:szCs w:val="22"/>
          <w:rtl/>
        </w:rPr>
        <w:t>.</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מהתרשים לעיל עולה מגמה רציפה של גידול בסך העמלות ובמספר המבוטחים בביטוח הוצאות רפואיות בשנים 2018-2013. בעוד שמספר המבוטחים בביטוחים הפרטיים בשנת 2018, בתחום ההוצאות הרפואיות, עמד על כ-2.4 מיליון ועל היקף עמלות בסך של למעלה מ-726 מיליון ש"ח, בביטוחים הקבוצתיים בתחום זה היו באותה השנה </w:t>
      </w:r>
      <w:r>
        <w:rPr>
          <w:rFonts w:hint="cs"/>
          <w:rtl/>
        </w:rPr>
        <w:t>כ-</w:t>
      </w:r>
      <w:r w:rsidRPr="002B5E33">
        <w:rPr>
          <w:rFonts w:hint="cs"/>
          <w:rtl/>
        </w:rPr>
        <w:t>1.9 מיליון מבוטחים והיקף העמלות עמד על כ-94 מיליון ש"ח בלבד. חלוקת סך העמלות במספר המבוטחים מלמדת כי בשנים 2018-2013 עלתה העמלה הממוצעת המשולמת בגין מבוטח בביטוח פרטי מכ-276 ש"ח לשנה ל-303 ש"ח לשנה, ואילו בביטוחים הקבוצתיים עלתה העמלה הממוצעת למבוטח מכ-41 ש"ח בשנה לכ-47.4 ש"ח לשנה.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בתשובת רשות שוק ההון ציינה הרשות כי הגידול במספר המבוטחים ובסכומי העמלות נובע, בין היתר, מעלייה במודעות הציבור לחשיבות ביטוחי הבריאות הפרטיים ומגידול טבעי, וכן בשל העובדה שמכירה ושיווק של מוצרי ביטוח בריאות נעשית באמצעות אסטרטגיית שיווק אקטיבי.</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להלן התפתחות שיעור העמלות הממוצע בביטוח פרט ובביטוח קבוצתי מתוך הפרמיות ברוטו בענף הוצאות רפואיות בשנים 2013 - 2018:</w:t>
      </w:r>
    </w:p>
    <w:p w:rsidR="00C466DF" w:rsidP="00C466DF">
      <w:pPr>
        <w:spacing w:line="269" w:lineRule="auto"/>
        <w:jc w:val="center"/>
        <w:rPr>
          <w:b/>
          <w:bCs/>
          <w:rtl/>
        </w:rPr>
      </w:pPr>
      <w:r>
        <w:rPr>
          <w:b/>
          <w:bCs/>
          <w:rtl/>
        </w:rPr>
        <w:br w:type="page"/>
      </w:r>
    </w:p>
    <w:p w:rsidR="00FA3E7D" w:rsidRPr="002B5E33" w:rsidP="00C466DF">
      <w:pPr>
        <w:spacing w:line="269" w:lineRule="auto"/>
        <w:jc w:val="center"/>
        <w:rPr>
          <w:b/>
          <w:bCs/>
          <w:rtl/>
        </w:rPr>
      </w:pPr>
      <w:r w:rsidRPr="002B5E33">
        <w:rPr>
          <w:rFonts w:hint="eastAsia"/>
          <w:b/>
          <w:bCs/>
          <w:rtl/>
        </w:rPr>
        <w:t>תרשים</w:t>
      </w:r>
      <w:r w:rsidRPr="002B5E33">
        <w:rPr>
          <w:b/>
          <w:bCs/>
          <w:rtl/>
        </w:rPr>
        <w:t xml:space="preserve"> </w:t>
      </w:r>
      <w:r w:rsidRPr="002B5E33">
        <w:rPr>
          <w:rFonts w:hint="cs"/>
          <w:b/>
          <w:bCs/>
          <w:rtl/>
        </w:rPr>
        <w:t>21</w:t>
      </w:r>
      <w:r w:rsidR="00C466DF">
        <w:rPr>
          <w:rFonts w:hint="cs"/>
          <w:b/>
          <w:bCs/>
          <w:rtl/>
        </w:rPr>
        <w:t xml:space="preserve">: </w:t>
      </w:r>
      <w:r w:rsidRPr="002B5E33">
        <w:rPr>
          <w:rFonts w:hint="eastAsia"/>
          <w:b/>
          <w:bCs/>
          <w:rtl/>
        </w:rPr>
        <w:t>שיעור</w:t>
      </w:r>
      <w:r w:rsidRPr="002B5E33">
        <w:rPr>
          <w:b/>
          <w:bCs/>
          <w:rtl/>
        </w:rPr>
        <w:t xml:space="preserve"> </w:t>
      </w:r>
      <w:r w:rsidRPr="002B5E33">
        <w:rPr>
          <w:rFonts w:hint="eastAsia"/>
          <w:b/>
          <w:bCs/>
          <w:rtl/>
        </w:rPr>
        <w:t>העמלות הממוצע</w:t>
      </w:r>
      <w:r w:rsidRPr="002B5E33">
        <w:rPr>
          <w:b/>
          <w:bCs/>
          <w:rtl/>
        </w:rPr>
        <w:t xml:space="preserve"> בביטוח פרט ובביטוח קבוצתי </w:t>
      </w:r>
      <w:r w:rsidRPr="002B5E33">
        <w:rPr>
          <w:rFonts w:hint="eastAsia"/>
          <w:b/>
          <w:bCs/>
          <w:rtl/>
        </w:rPr>
        <w:t>מתוך</w:t>
      </w:r>
      <w:r w:rsidRPr="002B5E33">
        <w:rPr>
          <w:b/>
          <w:bCs/>
          <w:rtl/>
        </w:rPr>
        <w:t xml:space="preserve"> </w:t>
      </w:r>
      <w:r w:rsidRPr="002B5E33">
        <w:rPr>
          <w:rFonts w:hint="eastAsia"/>
          <w:b/>
          <w:bCs/>
          <w:rtl/>
        </w:rPr>
        <w:t>הפרמיות</w:t>
      </w:r>
      <w:r w:rsidRPr="002B5E33">
        <w:rPr>
          <w:b/>
          <w:bCs/>
          <w:rtl/>
        </w:rPr>
        <w:t xml:space="preserve"> </w:t>
      </w:r>
      <w:r w:rsidRPr="002B5E33">
        <w:rPr>
          <w:rFonts w:hint="eastAsia"/>
          <w:b/>
          <w:bCs/>
          <w:rtl/>
        </w:rPr>
        <w:t>ברוטו</w:t>
      </w:r>
    </w:p>
    <w:p w:rsidR="00FA3E7D" w:rsidRPr="002B5E33" w:rsidP="00FA3E7D">
      <w:pPr>
        <w:spacing w:line="269" w:lineRule="auto"/>
        <w:jc w:val="center"/>
        <w:rPr>
          <w:rtl/>
        </w:rPr>
      </w:pPr>
      <w:r w:rsidRPr="002B5E33">
        <w:rPr>
          <w:rFonts w:hint="eastAsia"/>
          <w:b/>
          <w:bCs/>
          <w:rtl/>
        </w:rPr>
        <w:t>בענף</w:t>
      </w:r>
      <w:r w:rsidRPr="002B5E33">
        <w:rPr>
          <w:b/>
          <w:bCs/>
          <w:rtl/>
        </w:rPr>
        <w:t xml:space="preserve"> </w:t>
      </w:r>
      <w:r w:rsidRPr="002B5E33">
        <w:rPr>
          <w:rFonts w:hint="eastAsia"/>
          <w:b/>
          <w:bCs/>
          <w:rtl/>
        </w:rPr>
        <w:t>הוצאות</w:t>
      </w:r>
      <w:r w:rsidRPr="002B5E33">
        <w:rPr>
          <w:b/>
          <w:bCs/>
          <w:rtl/>
        </w:rPr>
        <w:t xml:space="preserve"> </w:t>
      </w:r>
      <w:r w:rsidRPr="002B5E33">
        <w:rPr>
          <w:rFonts w:hint="eastAsia"/>
          <w:b/>
          <w:bCs/>
          <w:rtl/>
        </w:rPr>
        <w:t>רפואיות</w:t>
      </w:r>
      <w:r w:rsidRPr="002B5E33">
        <w:rPr>
          <w:b/>
          <w:bCs/>
          <w:rtl/>
        </w:rPr>
        <w:t xml:space="preserve"> </w:t>
      </w:r>
      <w:r w:rsidRPr="002B5E33">
        <w:rPr>
          <w:rFonts w:hint="eastAsia"/>
          <w:b/>
          <w:bCs/>
          <w:rtl/>
        </w:rPr>
        <w:t>בשנים</w:t>
      </w:r>
      <w:r w:rsidRPr="002B5E33">
        <w:rPr>
          <w:b/>
          <w:bCs/>
          <w:rtl/>
        </w:rPr>
        <w:t xml:space="preserve"> 2013</w:t>
      </w:r>
      <w:r w:rsidRPr="002B5E33">
        <w:rPr>
          <w:rFonts w:hint="cs"/>
          <w:b/>
          <w:bCs/>
          <w:rtl/>
        </w:rPr>
        <w:t xml:space="preserve"> - 2018</w:t>
      </w:r>
    </w:p>
    <w:p w:rsidR="00FA3E7D" w:rsidRPr="002B5E33" w:rsidP="00BC512A">
      <w:pPr>
        <w:spacing w:before="120" w:after="120" w:line="269" w:lineRule="auto"/>
        <w:jc w:val="center"/>
        <w:rPr>
          <w:rtl/>
        </w:rPr>
      </w:pPr>
      <w:r>
        <w:rPr>
          <w:noProof/>
          <w:rtl/>
        </w:rPr>
        <w:drawing>
          <wp:inline distT="0" distB="0" distL="0" distR="0">
            <wp:extent cx="4328169" cy="2450597"/>
            <wp:effectExtent l="0" t="0" r="0" b="6985"/>
            <wp:docPr id="1493377111" name="תמונה 149337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09107" name="commercial-health-insurance-g-21.pn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50597"/>
                    </a:xfrm>
                    <a:prstGeom prst="rect">
                      <a:avLst/>
                    </a:prstGeom>
                  </pic:spPr>
                </pic:pic>
              </a:graphicData>
            </a:graphic>
          </wp:inline>
        </w:drawing>
      </w:r>
    </w:p>
    <w:p w:rsidR="00FA3E7D" w:rsidRPr="00AA5FE2" w:rsidP="00BC512A">
      <w:pPr>
        <w:spacing w:line="269" w:lineRule="auto"/>
        <w:jc w:val="left"/>
        <w:rPr>
          <w:sz w:val="22"/>
          <w:szCs w:val="22"/>
          <w:rtl/>
        </w:rPr>
      </w:pPr>
      <w:r w:rsidRPr="00AA5FE2">
        <w:rPr>
          <w:rFonts w:hint="cs"/>
          <w:sz w:val="22"/>
          <w:szCs w:val="22"/>
          <w:rtl/>
        </w:rPr>
        <w:t>מקור: דיווחי חברות הביטוח לרשות שוק ההון לשנים 2018-2013, בעיבוד משרד מבקר המדינה.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עולה כי במהלך השנים 2018-2013 השיעור הממוצע של העמלות הישירות המשולמות בגין ביטוחי פרט בענף הוצאות רפואיות עמד על 28.6% עד 32.4%, גבוה פּי 4 לערך משיעור העמלות הממוצע בביטוחים קבוצתיים.</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eastAsia"/>
          <w:b/>
          <w:bCs/>
          <w:rtl/>
        </w:rPr>
        <w:t>נמצא</w:t>
      </w:r>
      <w:r w:rsidRPr="002B5E33">
        <w:rPr>
          <w:b/>
          <w:bCs/>
          <w:rtl/>
        </w:rPr>
        <w:t xml:space="preserve"> כי </w:t>
      </w:r>
      <w:r w:rsidRPr="002B5E33">
        <w:rPr>
          <w:rFonts w:hint="eastAsia"/>
          <w:b/>
          <w:bCs/>
          <w:rtl/>
        </w:rPr>
        <w:t>כשליש</w:t>
      </w:r>
      <w:r w:rsidRPr="002B5E33">
        <w:rPr>
          <w:b/>
          <w:bCs/>
          <w:rtl/>
        </w:rPr>
        <w:t xml:space="preserve"> </w:t>
      </w:r>
      <w:r w:rsidRPr="002B5E33">
        <w:rPr>
          <w:rFonts w:hint="eastAsia"/>
          <w:b/>
          <w:bCs/>
          <w:rtl/>
        </w:rPr>
        <w:t>מהפרמיות</w:t>
      </w:r>
      <w:r w:rsidRPr="002B5E33">
        <w:rPr>
          <w:b/>
          <w:bCs/>
          <w:rtl/>
        </w:rPr>
        <w:t xml:space="preserve"> </w:t>
      </w:r>
      <w:r w:rsidRPr="002B5E33">
        <w:rPr>
          <w:rFonts w:hint="eastAsia"/>
          <w:b/>
          <w:bCs/>
          <w:rtl/>
        </w:rPr>
        <w:t>שהמבוטחים</w:t>
      </w:r>
      <w:r w:rsidRPr="002B5E33">
        <w:rPr>
          <w:b/>
          <w:bCs/>
          <w:rtl/>
        </w:rPr>
        <w:t xml:space="preserve"> </w:t>
      </w:r>
      <w:r w:rsidRPr="002B5E33">
        <w:rPr>
          <w:rFonts w:hint="eastAsia"/>
          <w:b/>
          <w:bCs/>
          <w:rtl/>
        </w:rPr>
        <w:t>בענף</w:t>
      </w:r>
      <w:r w:rsidRPr="002B5E33">
        <w:rPr>
          <w:b/>
          <w:bCs/>
          <w:rtl/>
        </w:rPr>
        <w:t xml:space="preserve"> </w:t>
      </w:r>
      <w:r w:rsidRPr="002B5E33">
        <w:rPr>
          <w:rFonts w:hint="eastAsia"/>
          <w:b/>
          <w:bCs/>
          <w:rtl/>
        </w:rPr>
        <w:t>הוצאות</w:t>
      </w:r>
      <w:r w:rsidRPr="002B5E33">
        <w:rPr>
          <w:b/>
          <w:bCs/>
          <w:rtl/>
        </w:rPr>
        <w:t xml:space="preserve"> </w:t>
      </w:r>
      <w:r w:rsidRPr="002B5E33">
        <w:rPr>
          <w:rFonts w:hint="eastAsia"/>
          <w:b/>
          <w:bCs/>
          <w:rtl/>
        </w:rPr>
        <w:t>רפואיות</w:t>
      </w:r>
      <w:r w:rsidRPr="002B5E33">
        <w:rPr>
          <w:b/>
          <w:bCs/>
          <w:rtl/>
        </w:rPr>
        <w:t xml:space="preserve"> </w:t>
      </w:r>
      <w:r w:rsidRPr="002B5E33">
        <w:rPr>
          <w:rFonts w:hint="eastAsia"/>
          <w:b/>
          <w:bCs/>
          <w:rtl/>
        </w:rPr>
        <w:t>בביטוחי</w:t>
      </w:r>
      <w:r w:rsidRPr="002B5E33">
        <w:rPr>
          <w:b/>
          <w:bCs/>
          <w:rtl/>
        </w:rPr>
        <w:t xml:space="preserve"> </w:t>
      </w:r>
      <w:r w:rsidRPr="002B5E33">
        <w:rPr>
          <w:rFonts w:hint="eastAsia"/>
          <w:b/>
          <w:bCs/>
          <w:rtl/>
        </w:rPr>
        <w:t>פרט</w:t>
      </w:r>
      <w:r w:rsidRPr="002B5E33">
        <w:rPr>
          <w:b/>
          <w:bCs/>
          <w:rtl/>
        </w:rPr>
        <w:t xml:space="preserve"> </w:t>
      </w:r>
      <w:r w:rsidRPr="002B5E33">
        <w:rPr>
          <w:rFonts w:hint="eastAsia"/>
          <w:b/>
          <w:bCs/>
          <w:rtl/>
        </w:rPr>
        <w:t>שילמו</w:t>
      </w:r>
      <w:r w:rsidRPr="002B5E33">
        <w:rPr>
          <w:b/>
          <w:bCs/>
          <w:rtl/>
        </w:rPr>
        <w:t xml:space="preserve"> </w:t>
      </w:r>
      <w:r w:rsidRPr="002B5E33">
        <w:rPr>
          <w:rFonts w:hint="eastAsia"/>
          <w:b/>
          <w:bCs/>
          <w:rtl/>
        </w:rPr>
        <w:t>לחברות</w:t>
      </w:r>
      <w:r w:rsidRPr="002B5E33">
        <w:rPr>
          <w:b/>
          <w:bCs/>
          <w:rtl/>
        </w:rPr>
        <w:t xml:space="preserve"> </w:t>
      </w:r>
      <w:r w:rsidRPr="002B5E33">
        <w:rPr>
          <w:rFonts w:hint="eastAsia"/>
          <w:b/>
          <w:bCs/>
          <w:rtl/>
        </w:rPr>
        <w:t>הביטוח</w:t>
      </w:r>
      <w:r w:rsidRPr="002B5E33">
        <w:rPr>
          <w:b/>
          <w:bCs/>
          <w:rtl/>
        </w:rPr>
        <w:t xml:space="preserve"> </w:t>
      </w:r>
      <w:r w:rsidRPr="002B5E33">
        <w:rPr>
          <w:rFonts w:hint="eastAsia"/>
          <w:b/>
          <w:bCs/>
          <w:rtl/>
        </w:rPr>
        <w:t>הועברו</w:t>
      </w:r>
      <w:r w:rsidRPr="002B5E33">
        <w:rPr>
          <w:b/>
          <w:bCs/>
          <w:rtl/>
        </w:rPr>
        <w:t xml:space="preserve"> </w:t>
      </w:r>
      <w:r w:rsidRPr="002B5E33">
        <w:rPr>
          <w:rFonts w:hint="eastAsia"/>
          <w:b/>
          <w:bCs/>
          <w:rtl/>
        </w:rPr>
        <w:t>לסוכני</w:t>
      </w:r>
      <w:r w:rsidRPr="002B5E33">
        <w:rPr>
          <w:b/>
          <w:bCs/>
          <w:rtl/>
        </w:rPr>
        <w:t xml:space="preserve"> </w:t>
      </w:r>
      <w:r w:rsidRPr="002B5E33">
        <w:rPr>
          <w:rFonts w:hint="eastAsia"/>
          <w:b/>
          <w:bCs/>
          <w:rtl/>
        </w:rPr>
        <w:t>הביטוח</w:t>
      </w:r>
      <w:r w:rsidRPr="002B5E33">
        <w:rPr>
          <w:b/>
          <w:bCs/>
          <w:rtl/>
        </w:rPr>
        <w:t xml:space="preserve"> </w:t>
      </w:r>
      <w:r w:rsidRPr="002B5E33">
        <w:rPr>
          <w:rFonts w:hint="eastAsia"/>
          <w:b/>
          <w:bCs/>
          <w:rtl/>
        </w:rPr>
        <w:t>כעמל</w:t>
      </w:r>
      <w:r w:rsidRPr="002B5E33">
        <w:rPr>
          <w:rFonts w:hint="cs"/>
          <w:b/>
          <w:bCs/>
          <w:rtl/>
        </w:rPr>
        <w:t>ה</w:t>
      </w:r>
      <w:r w:rsidRPr="002B5E33">
        <w:rPr>
          <w:b/>
          <w:bCs/>
          <w:rtl/>
        </w:rPr>
        <w:t xml:space="preserve">, דבר </w:t>
      </w:r>
      <w:r w:rsidRPr="002B5E33">
        <w:rPr>
          <w:rFonts w:hint="cs"/>
          <w:b/>
          <w:bCs/>
          <w:rtl/>
        </w:rPr>
        <w:t>ה</w:t>
      </w:r>
      <w:r w:rsidRPr="002B5E33">
        <w:rPr>
          <w:b/>
          <w:bCs/>
          <w:rtl/>
        </w:rPr>
        <w:t>משפיע אף על שיעור ההחזר למבוטחים.</w:t>
      </w:r>
      <w:r>
        <w:rPr>
          <w:b/>
          <w:bCs/>
          <w:rtl/>
        </w:rPr>
        <w:t xml:space="preserve"> </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לשכת</w:t>
      </w:r>
      <w:r w:rsidRPr="002B5E33">
        <w:rPr>
          <w:rtl/>
        </w:rPr>
        <w:t xml:space="preserve"> סוכני הביטוח ציינה בתשובתה, כי "תיאור העמלות כמשקף מעל 30% הינו שגוי, ואינו משקף את שיעור העמלה בפועל למוצרי הבריאות"</w:t>
      </w:r>
      <w:r w:rsidRPr="002B5E33">
        <w:rPr>
          <w:rFonts w:hint="cs"/>
          <w:rtl/>
        </w:rPr>
        <w:t xml:space="preserve">.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משרד מבקר המדינה מציין כי היקפי העמלות מבוססים על </w:t>
      </w:r>
      <w:r w:rsidRPr="002B5E33">
        <w:rPr>
          <w:rFonts w:hint="eastAsia"/>
          <w:rtl/>
        </w:rPr>
        <w:t>דיווחי</w:t>
      </w:r>
      <w:r w:rsidRPr="002B5E33">
        <w:rPr>
          <w:rtl/>
        </w:rPr>
        <w:t xml:space="preserve"> </w:t>
      </w:r>
      <w:r w:rsidRPr="002B5E33">
        <w:rPr>
          <w:rFonts w:hint="eastAsia"/>
          <w:rtl/>
        </w:rPr>
        <w:t>חברות</w:t>
      </w:r>
      <w:r w:rsidRPr="002B5E33">
        <w:rPr>
          <w:rtl/>
        </w:rPr>
        <w:t xml:space="preserve"> </w:t>
      </w:r>
      <w:r w:rsidRPr="002B5E33">
        <w:rPr>
          <w:rFonts w:hint="eastAsia"/>
          <w:rtl/>
        </w:rPr>
        <w:t>הביטוח</w:t>
      </w:r>
      <w:r w:rsidRPr="002B5E33">
        <w:rPr>
          <w:rtl/>
        </w:rPr>
        <w:t xml:space="preserve"> </w:t>
      </w:r>
      <w:r w:rsidRPr="002B5E33">
        <w:rPr>
          <w:rFonts w:hint="cs"/>
          <w:rtl/>
        </w:rPr>
        <w:t>ה</w:t>
      </w:r>
      <w:r w:rsidRPr="002B5E33">
        <w:rPr>
          <w:rFonts w:hint="eastAsia"/>
          <w:rtl/>
        </w:rPr>
        <w:t>מפורט</w:t>
      </w:r>
      <w:r w:rsidRPr="002B5E33">
        <w:rPr>
          <w:rFonts w:hint="cs"/>
          <w:rtl/>
        </w:rPr>
        <w:t>ים</w:t>
      </w:r>
      <w:r w:rsidRPr="002B5E33">
        <w:rPr>
          <w:rtl/>
        </w:rPr>
        <w:t xml:space="preserve"> </w:t>
      </w:r>
      <w:r w:rsidRPr="002B5E33">
        <w:rPr>
          <w:rFonts w:hint="eastAsia"/>
          <w:rtl/>
        </w:rPr>
        <w:t>לעיל</w:t>
      </w:r>
      <w:r w:rsidRPr="002B5E33">
        <w:rPr>
          <w:rFonts w:hint="cs"/>
          <w:rtl/>
        </w:rPr>
        <w:t xml:space="preserve"> בתרשים 21.</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רשות</w:t>
      </w:r>
      <w:r w:rsidRPr="002B5E33">
        <w:rPr>
          <w:rtl/>
        </w:rPr>
        <w:t xml:space="preserve"> </w:t>
      </w:r>
      <w:r w:rsidRPr="002B5E33">
        <w:rPr>
          <w:rFonts w:hint="eastAsia"/>
          <w:rtl/>
        </w:rPr>
        <w:t>שוק</w:t>
      </w:r>
      <w:r w:rsidRPr="002B5E33">
        <w:rPr>
          <w:rtl/>
        </w:rPr>
        <w:t xml:space="preserve"> </w:t>
      </w:r>
      <w:r w:rsidRPr="002B5E33">
        <w:rPr>
          <w:rFonts w:hint="eastAsia"/>
          <w:rtl/>
        </w:rPr>
        <w:t>ההון</w:t>
      </w:r>
      <w:r w:rsidRPr="002B5E33">
        <w:rPr>
          <w:rtl/>
        </w:rPr>
        <w:t xml:space="preserve"> </w:t>
      </w:r>
      <w:r w:rsidRPr="002B5E33">
        <w:rPr>
          <w:rFonts w:hint="eastAsia"/>
          <w:rtl/>
        </w:rPr>
        <w:t>כתבה</w:t>
      </w:r>
      <w:r w:rsidRPr="002B5E33">
        <w:rPr>
          <w:rtl/>
        </w:rPr>
        <w:t xml:space="preserve"> </w:t>
      </w:r>
      <w:r w:rsidRPr="002B5E33">
        <w:rPr>
          <w:rFonts w:hint="eastAsia"/>
          <w:rtl/>
        </w:rPr>
        <w:t>בתשובתה</w:t>
      </w:r>
      <w:r w:rsidRPr="002B5E33">
        <w:rPr>
          <w:rtl/>
        </w:rPr>
        <w:t xml:space="preserve"> </w:t>
      </w:r>
      <w:r w:rsidRPr="002B5E33">
        <w:rPr>
          <w:rFonts w:hint="eastAsia"/>
          <w:rtl/>
        </w:rPr>
        <w:t>כי</w:t>
      </w:r>
      <w:r w:rsidRPr="002B5E33">
        <w:rPr>
          <w:rtl/>
        </w:rPr>
        <w:t xml:space="preserve"> </w:t>
      </w:r>
      <w:r w:rsidRPr="002B5E33">
        <w:rPr>
          <w:rFonts w:hint="eastAsia"/>
          <w:rtl/>
        </w:rPr>
        <w:t>במסגרת</w:t>
      </w:r>
      <w:r w:rsidRPr="002B5E33">
        <w:rPr>
          <w:rtl/>
        </w:rPr>
        <w:t xml:space="preserve"> </w:t>
      </w:r>
      <w:r w:rsidRPr="002B5E33">
        <w:rPr>
          <w:rFonts w:hint="eastAsia"/>
          <w:rtl/>
        </w:rPr>
        <w:t>שינויי</w:t>
      </w:r>
      <w:r w:rsidRPr="002B5E33">
        <w:rPr>
          <w:rtl/>
        </w:rPr>
        <w:t xml:space="preserve"> </w:t>
      </w:r>
      <w:r w:rsidRPr="002B5E33">
        <w:rPr>
          <w:rFonts w:hint="eastAsia"/>
          <w:rtl/>
        </w:rPr>
        <w:t>הרגולציה</w:t>
      </w:r>
      <w:r w:rsidRPr="002B5E33">
        <w:rPr>
          <w:rtl/>
        </w:rPr>
        <w:t xml:space="preserve"> </w:t>
      </w:r>
      <w:r w:rsidRPr="002B5E33">
        <w:rPr>
          <w:rFonts w:hint="eastAsia"/>
          <w:rtl/>
        </w:rPr>
        <w:t>שהיא</w:t>
      </w:r>
      <w:r w:rsidRPr="002B5E33">
        <w:rPr>
          <w:rtl/>
        </w:rPr>
        <w:t xml:space="preserve"> </w:t>
      </w:r>
      <w:r w:rsidRPr="002B5E33">
        <w:rPr>
          <w:rFonts w:hint="eastAsia"/>
          <w:rtl/>
        </w:rPr>
        <w:t>בוחנת</w:t>
      </w:r>
      <w:r w:rsidRPr="002B5E33">
        <w:rPr>
          <w:rtl/>
        </w:rPr>
        <w:t xml:space="preserve"> </w:t>
      </w:r>
      <w:r w:rsidRPr="002B5E33">
        <w:rPr>
          <w:rFonts w:hint="eastAsia"/>
          <w:rtl/>
        </w:rPr>
        <w:t>כעת</w:t>
      </w:r>
      <w:r w:rsidRPr="002B5E33">
        <w:rPr>
          <w:rtl/>
        </w:rPr>
        <w:t xml:space="preserve">, </w:t>
      </w:r>
      <w:r w:rsidRPr="002B5E33">
        <w:rPr>
          <w:rFonts w:hint="eastAsia"/>
          <w:rtl/>
        </w:rPr>
        <w:t>נבחן</w:t>
      </w:r>
      <w:r w:rsidRPr="002B5E33">
        <w:rPr>
          <w:rtl/>
        </w:rPr>
        <w:t xml:space="preserve"> </w:t>
      </w:r>
      <w:r w:rsidRPr="002B5E33">
        <w:rPr>
          <w:rFonts w:hint="eastAsia"/>
          <w:rtl/>
        </w:rPr>
        <w:t>גם</w:t>
      </w:r>
      <w:r w:rsidRPr="002B5E33">
        <w:rPr>
          <w:rtl/>
        </w:rPr>
        <w:t xml:space="preserve"> </w:t>
      </w:r>
      <w:r w:rsidRPr="002B5E33">
        <w:rPr>
          <w:rFonts w:hint="eastAsia"/>
          <w:rtl/>
        </w:rPr>
        <w:t>נושא</w:t>
      </w:r>
      <w:r w:rsidRPr="002B5E33">
        <w:rPr>
          <w:rtl/>
        </w:rPr>
        <w:t xml:space="preserve"> </w:t>
      </w:r>
      <w:r w:rsidRPr="002B5E33">
        <w:rPr>
          <w:rFonts w:hint="eastAsia"/>
          <w:rtl/>
        </w:rPr>
        <w:t>העמלות</w:t>
      </w:r>
      <w:r w:rsidRPr="002B5E33">
        <w:rPr>
          <w:rtl/>
        </w:rPr>
        <w:t xml:space="preserve"> </w:t>
      </w:r>
      <w:r w:rsidRPr="002B5E33">
        <w:rPr>
          <w:rFonts w:hint="eastAsia"/>
          <w:rtl/>
        </w:rPr>
        <w:t>והתמהיל</w:t>
      </w:r>
      <w:r w:rsidRPr="002B5E33">
        <w:rPr>
          <w:rtl/>
        </w:rPr>
        <w:t xml:space="preserve"> </w:t>
      </w:r>
      <w:r w:rsidRPr="002B5E33">
        <w:rPr>
          <w:rFonts w:hint="eastAsia"/>
          <w:rtl/>
        </w:rPr>
        <w:t>הראוי</w:t>
      </w:r>
      <w:r w:rsidRPr="002B5E33">
        <w:rPr>
          <w:rtl/>
        </w:rPr>
        <w:t xml:space="preserve"> </w:t>
      </w:r>
      <w:r w:rsidRPr="002B5E33">
        <w:rPr>
          <w:rFonts w:hint="cs"/>
          <w:rtl/>
        </w:rPr>
        <w:t>לקביעתן</w:t>
      </w:r>
      <w:r w:rsidRPr="002B5E33">
        <w:rPr>
          <w:rtl/>
        </w:rPr>
        <w:t>.</w:t>
      </w:r>
    </w:p>
    <w:p w:rsidR="00FA3E7D" w:rsidRPr="002B5E33" w:rsidP="00FA3E7D">
      <w:pPr>
        <w:pStyle w:val="a"/>
        <w:spacing w:line="269" w:lineRule="auto"/>
        <w:rPr>
          <w:rtl/>
        </w:rPr>
      </w:pPr>
    </w:p>
    <w:p w:rsidR="00FA3E7D" w:rsidRPr="002B5E33" w:rsidP="00FA3E7D">
      <w:pPr>
        <w:pStyle w:val="Heading4"/>
        <w:spacing w:before="0" w:line="269" w:lineRule="auto"/>
        <w:rPr>
          <w:rtl/>
        </w:rPr>
      </w:pPr>
      <w:r w:rsidRPr="002B5E33">
        <w:rPr>
          <w:rFonts w:hint="cs"/>
          <w:rtl/>
        </w:rPr>
        <w:t>ריכוזיות של פעילות מכירת ביטוחי בריאות בסוכנויות הביטוח</w:t>
      </w:r>
    </w:p>
    <w:p w:rsidR="00FA3E7D" w:rsidRPr="002B5E33" w:rsidP="00FA3E7D">
      <w:pPr>
        <w:pStyle w:val="a"/>
        <w:rPr>
          <w:rtl/>
        </w:rPr>
      </w:pPr>
    </w:p>
    <w:p w:rsidR="00FA3E7D" w:rsidRPr="002B5E33" w:rsidP="00FA3E7D">
      <w:pPr>
        <w:spacing w:line="269" w:lineRule="auto"/>
        <w:rPr>
          <w:rtl/>
        </w:rPr>
      </w:pPr>
      <w:r w:rsidRPr="002B5E33">
        <w:rPr>
          <w:rFonts w:hint="cs"/>
          <w:rtl/>
        </w:rPr>
        <w:t>בשנים 2017 - 2018 פעלו בישראל יותר מ-1,500 סוכנויות ביטוח בתחום ביטוחי הבריאות</w:t>
      </w:r>
      <w:r>
        <w:rPr>
          <w:rStyle w:val="FootnoteReference"/>
          <w:rtl/>
        </w:rPr>
        <w:footnoteReference w:id="116"/>
      </w:r>
      <w:r w:rsidRPr="002B5E33">
        <w:rPr>
          <w:rFonts w:hint="cs"/>
          <w:rtl/>
        </w:rPr>
        <w:t>. ניתוח נתוני התפלגות ההכנסות של הסוכנויות, ושינויי ההתפלגות במשך השנים, כמפורט להלן, עשויים ללמד על ריכוזיות הקיימת בתחום.</w:t>
      </w:r>
    </w:p>
    <w:p w:rsidR="00FA3E7D" w:rsidP="00FA3E7D">
      <w:pPr>
        <w:bidi w:val="0"/>
        <w:spacing w:after="200" w:line="276" w:lineRule="auto"/>
        <w:rPr>
          <w:szCs w:val="20"/>
          <w:rtl/>
        </w:rPr>
      </w:pPr>
      <w:r>
        <w:rPr>
          <w:rtl/>
        </w:rPr>
        <w:br w:type="page"/>
      </w:r>
    </w:p>
    <w:p w:rsidR="00BC512A" w:rsidP="00BC512A">
      <w:pPr>
        <w:spacing w:line="269" w:lineRule="auto"/>
        <w:jc w:val="center"/>
        <w:rPr>
          <w:b/>
          <w:bCs/>
          <w:rtl/>
        </w:rPr>
      </w:pPr>
      <w:r w:rsidRPr="002B5E33">
        <w:rPr>
          <w:rFonts w:hint="eastAsia"/>
          <w:b/>
          <w:bCs/>
          <w:rtl/>
        </w:rPr>
        <w:t>תרשים</w:t>
      </w:r>
      <w:r w:rsidRPr="002B5E33">
        <w:rPr>
          <w:b/>
          <w:bCs/>
          <w:rtl/>
        </w:rPr>
        <w:t xml:space="preserve"> </w:t>
      </w:r>
      <w:r w:rsidRPr="002B5E33">
        <w:rPr>
          <w:rFonts w:hint="cs"/>
          <w:b/>
          <w:bCs/>
          <w:rtl/>
        </w:rPr>
        <w:t>22</w:t>
      </w:r>
      <w:r>
        <w:rPr>
          <w:rFonts w:hint="cs"/>
          <w:b/>
          <w:bCs/>
          <w:rtl/>
        </w:rPr>
        <w:t xml:space="preserve">: </w:t>
      </w:r>
      <w:r w:rsidRPr="002B5E33">
        <w:rPr>
          <w:rFonts w:hint="eastAsia"/>
          <w:b/>
          <w:bCs/>
          <w:rtl/>
        </w:rPr>
        <w:t>ריכוזיות</w:t>
      </w:r>
      <w:r w:rsidRPr="002B5E33">
        <w:rPr>
          <w:b/>
          <w:bCs/>
          <w:rtl/>
        </w:rPr>
        <w:t xml:space="preserve"> </w:t>
      </w:r>
      <w:r w:rsidRPr="002B5E33">
        <w:rPr>
          <w:rFonts w:hint="eastAsia"/>
          <w:b/>
          <w:bCs/>
          <w:rtl/>
        </w:rPr>
        <w:t>חלוקת</w:t>
      </w:r>
      <w:r w:rsidRPr="002B5E33">
        <w:rPr>
          <w:b/>
          <w:bCs/>
          <w:rtl/>
        </w:rPr>
        <w:t xml:space="preserve"> </w:t>
      </w:r>
      <w:r w:rsidRPr="002B5E33">
        <w:rPr>
          <w:rFonts w:hint="eastAsia"/>
          <w:b/>
          <w:bCs/>
          <w:rtl/>
        </w:rPr>
        <w:t>עמלות</w:t>
      </w:r>
      <w:r w:rsidRPr="002B5E33">
        <w:rPr>
          <w:b/>
          <w:bCs/>
          <w:rtl/>
        </w:rPr>
        <w:t xml:space="preserve"> </w:t>
      </w:r>
      <w:r w:rsidRPr="002B5E33">
        <w:rPr>
          <w:rFonts w:hint="eastAsia"/>
          <w:b/>
          <w:bCs/>
          <w:rtl/>
        </w:rPr>
        <w:t>בגין</w:t>
      </w:r>
      <w:r w:rsidRPr="002B5E33">
        <w:rPr>
          <w:b/>
          <w:bCs/>
          <w:rtl/>
        </w:rPr>
        <w:t xml:space="preserve"> </w:t>
      </w:r>
      <w:r w:rsidRPr="002B5E33">
        <w:rPr>
          <w:rFonts w:hint="eastAsia"/>
          <w:b/>
          <w:bCs/>
          <w:rtl/>
        </w:rPr>
        <w:t>מכירת</w:t>
      </w:r>
      <w:r w:rsidRPr="002B5E33">
        <w:rPr>
          <w:b/>
          <w:bCs/>
          <w:rtl/>
        </w:rPr>
        <w:t xml:space="preserve"> </w:t>
      </w:r>
      <w:r w:rsidRPr="002B5E33">
        <w:rPr>
          <w:rFonts w:hint="eastAsia"/>
          <w:b/>
          <w:bCs/>
          <w:rtl/>
        </w:rPr>
        <w:t>ביטוחי</w:t>
      </w:r>
      <w:r w:rsidRPr="002B5E33">
        <w:rPr>
          <w:b/>
          <w:bCs/>
          <w:rtl/>
        </w:rPr>
        <w:t xml:space="preserve"> </w:t>
      </w:r>
      <w:r w:rsidRPr="002B5E33">
        <w:rPr>
          <w:rFonts w:hint="eastAsia"/>
          <w:b/>
          <w:bCs/>
          <w:rtl/>
        </w:rPr>
        <w:t>בריאות</w:t>
      </w:r>
      <w:r w:rsidRPr="002B5E33">
        <w:rPr>
          <w:b/>
          <w:bCs/>
          <w:rtl/>
        </w:rPr>
        <w:t xml:space="preserve"> </w:t>
      </w:r>
      <w:r w:rsidRPr="002B5E33">
        <w:rPr>
          <w:rFonts w:hint="eastAsia"/>
          <w:b/>
          <w:bCs/>
          <w:rtl/>
        </w:rPr>
        <w:t>בידי</w:t>
      </w:r>
      <w:r w:rsidRPr="002B5E33">
        <w:rPr>
          <w:b/>
          <w:bCs/>
          <w:rtl/>
        </w:rPr>
        <w:t xml:space="preserve"> </w:t>
      </w:r>
      <w:r w:rsidRPr="002B5E33">
        <w:rPr>
          <w:rFonts w:hint="eastAsia"/>
          <w:b/>
          <w:bCs/>
          <w:rtl/>
        </w:rPr>
        <w:t>סוכנויות</w:t>
      </w:r>
      <w:r w:rsidRPr="002B5E33">
        <w:rPr>
          <w:b/>
          <w:bCs/>
          <w:rtl/>
        </w:rPr>
        <w:t xml:space="preserve"> </w:t>
      </w:r>
      <w:r w:rsidRPr="002B5E33">
        <w:rPr>
          <w:rFonts w:hint="eastAsia"/>
          <w:b/>
          <w:bCs/>
          <w:rtl/>
        </w:rPr>
        <w:t>ביטוח</w:t>
      </w:r>
      <w:r w:rsidRPr="002B5E33">
        <w:rPr>
          <w:b/>
          <w:bCs/>
          <w:rtl/>
        </w:rPr>
        <w:t xml:space="preserve"> </w:t>
      </w:r>
    </w:p>
    <w:p w:rsidR="00FA3E7D" w:rsidRPr="00BC512A" w:rsidP="00BC512A">
      <w:pPr>
        <w:spacing w:line="269" w:lineRule="auto"/>
        <w:jc w:val="center"/>
        <w:rPr>
          <w:b/>
          <w:bCs/>
          <w:rtl/>
        </w:rPr>
      </w:pPr>
      <w:r w:rsidRPr="002B5E33">
        <w:rPr>
          <w:rFonts w:hint="eastAsia"/>
          <w:b/>
          <w:bCs/>
          <w:rtl/>
        </w:rPr>
        <w:t>בשנים</w:t>
      </w:r>
      <w:r w:rsidRPr="002B5E33">
        <w:rPr>
          <w:b/>
          <w:bCs/>
          <w:rtl/>
        </w:rPr>
        <w:t xml:space="preserve"> 2018-2017</w:t>
      </w:r>
    </w:p>
    <w:p w:rsidR="00BC512A" w:rsidP="00BC512A">
      <w:pPr>
        <w:spacing w:before="120" w:after="120" w:line="269" w:lineRule="auto"/>
        <w:jc w:val="center"/>
        <w:rPr>
          <w:sz w:val="22"/>
          <w:szCs w:val="22"/>
          <w:rtl/>
        </w:rPr>
      </w:pPr>
      <w:r>
        <w:rPr>
          <w:rFonts w:hint="cs"/>
          <w:noProof/>
          <w:sz w:val="22"/>
          <w:szCs w:val="22"/>
          <w:rtl/>
        </w:rPr>
        <w:drawing>
          <wp:inline distT="0" distB="0" distL="0" distR="0">
            <wp:extent cx="4322073" cy="2395733"/>
            <wp:effectExtent l="0" t="0" r="2540" b="5080"/>
            <wp:docPr id="1493377112" name="תמונה 149337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80026" name="commercial-health-insurance-g-22.pn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395733"/>
                    </a:xfrm>
                    <a:prstGeom prst="rect">
                      <a:avLst/>
                    </a:prstGeom>
                  </pic:spPr>
                </pic:pic>
              </a:graphicData>
            </a:graphic>
          </wp:inline>
        </w:drawing>
      </w:r>
    </w:p>
    <w:p w:rsidR="00FA3E7D" w:rsidRPr="00AA5FE2" w:rsidP="00BC512A">
      <w:pPr>
        <w:spacing w:before="120" w:after="120" w:line="269" w:lineRule="auto"/>
        <w:jc w:val="center"/>
        <w:rPr>
          <w:sz w:val="22"/>
          <w:szCs w:val="22"/>
          <w:rtl/>
        </w:rPr>
      </w:pPr>
      <w:r w:rsidRPr="00AA5FE2">
        <w:rPr>
          <w:rFonts w:hint="cs"/>
          <w:sz w:val="22"/>
          <w:szCs w:val="22"/>
          <w:rtl/>
        </w:rPr>
        <w:t>מקור: דיווחי חברות הביטוח לרשות שוק ההון, בעיבוד משרד מבקר המדינה.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מהתרשים שלעיל עולה כי בשנת 2018, קיבלו 15 הסוכנויות הגדולות ביותר כ-40% מכלל העמלות בתחום, ו-130 הסוכנויות הגדולות קיבלו כ-70% מהעמלות. כמו כן עולה מהגרף התחזקות של מגמת הריכוזיות בחלוקת ההכנסות של הסוכנויות מעמלות בשנת 2018 בהשוואה לשנת 2017.</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מניתוח שביצע משרד מבקר המדינה עולה כי כ-35% מסוכנויות הביטוח מקבלות את כל העמלות בתחום ביטוחי הבריאות מחברה אחת בלבד, וכי אצל 80% מסוכנויות הביטוח, מתקבלות לפחות 80% מהעמלות בתחום ביטוחי הבריאות משתי חברות לכל היותר.</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בתרשימים שלהלן מוצגת התפלגות הסוכנויות לפי שיעור הכנסותיהן מעמלות שהתקבלו מחברת ביטוח אחת ומשתי חברות ביטוח (בהתאמה) בשנת 2018 בתחום ביטוחי הבריאות:</w:t>
      </w:r>
    </w:p>
    <w:p w:rsidR="00FA3E7D" w:rsidP="00FA3E7D">
      <w:pPr>
        <w:bidi w:val="0"/>
        <w:spacing w:after="200" w:line="276" w:lineRule="auto"/>
        <w:rPr>
          <w:szCs w:val="20"/>
        </w:rPr>
      </w:pPr>
      <w:r>
        <w:rPr>
          <w:rtl/>
        </w:rPr>
        <w:br w:type="page"/>
      </w:r>
    </w:p>
    <w:p w:rsidR="00FA3E7D" w:rsidRPr="002B5E33" w:rsidP="00FA3E7D">
      <w:pPr>
        <w:pStyle w:val="a"/>
        <w:spacing w:line="269" w:lineRule="auto"/>
        <w:rPr>
          <w:rtl/>
        </w:rPr>
      </w:pPr>
    </w:p>
    <w:p w:rsidR="00FA3E7D" w:rsidRPr="002B5E33" w:rsidP="00BC512A">
      <w:pPr>
        <w:spacing w:line="269" w:lineRule="auto"/>
        <w:jc w:val="center"/>
        <w:rPr>
          <w:b/>
          <w:bCs/>
          <w:rtl/>
        </w:rPr>
      </w:pPr>
      <w:r w:rsidRPr="002B5E33">
        <w:rPr>
          <w:rFonts w:hint="eastAsia"/>
          <w:b/>
          <w:bCs/>
          <w:rtl/>
        </w:rPr>
        <w:t>תרשים</w:t>
      </w:r>
      <w:r w:rsidRPr="002B5E33">
        <w:rPr>
          <w:b/>
          <w:bCs/>
          <w:rtl/>
        </w:rPr>
        <w:t xml:space="preserve"> </w:t>
      </w:r>
      <w:r w:rsidRPr="002B5E33">
        <w:rPr>
          <w:rFonts w:hint="cs"/>
          <w:b/>
          <w:bCs/>
          <w:rtl/>
        </w:rPr>
        <w:t>23</w:t>
      </w:r>
      <w:r w:rsidR="00BC512A">
        <w:rPr>
          <w:rFonts w:hint="cs"/>
          <w:b/>
          <w:bCs/>
          <w:rtl/>
        </w:rPr>
        <w:t xml:space="preserve">: </w:t>
      </w:r>
      <w:r w:rsidRPr="002B5E33">
        <w:rPr>
          <w:rFonts w:hint="eastAsia"/>
          <w:b/>
          <w:bCs/>
          <w:rtl/>
        </w:rPr>
        <w:t>התפלגות</w:t>
      </w:r>
      <w:r w:rsidRPr="002B5E33">
        <w:rPr>
          <w:b/>
          <w:bCs/>
          <w:rtl/>
        </w:rPr>
        <w:t xml:space="preserve"> </w:t>
      </w:r>
      <w:r w:rsidRPr="002B5E33">
        <w:rPr>
          <w:rFonts w:hint="eastAsia"/>
          <w:b/>
          <w:bCs/>
          <w:rtl/>
        </w:rPr>
        <w:t>הסוכנויות</w:t>
      </w:r>
      <w:r w:rsidRPr="002B5E33">
        <w:rPr>
          <w:b/>
          <w:bCs/>
          <w:rtl/>
        </w:rPr>
        <w:t xml:space="preserve"> </w:t>
      </w:r>
      <w:r w:rsidRPr="002B5E33">
        <w:rPr>
          <w:rFonts w:hint="eastAsia"/>
          <w:b/>
          <w:bCs/>
          <w:rtl/>
        </w:rPr>
        <w:t>לפי</w:t>
      </w:r>
      <w:r w:rsidRPr="002B5E33">
        <w:rPr>
          <w:b/>
          <w:bCs/>
          <w:rtl/>
        </w:rPr>
        <w:t xml:space="preserve"> </w:t>
      </w:r>
      <w:r w:rsidRPr="002B5E33">
        <w:rPr>
          <w:rFonts w:hint="eastAsia"/>
          <w:b/>
          <w:bCs/>
          <w:rtl/>
        </w:rPr>
        <w:t>השיעור</w:t>
      </w:r>
      <w:r w:rsidRPr="002B5E33">
        <w:rPr>
          <w:b/>
          <w:bCs/>
          <w:rtl/>
        </w:rPr>
        <w:t xml:space="preserve"> </w:t>
      </w:r>
      <w:r w:rsidRPr="002B5E33">
        <w:rPr>
          <w:rFonts w:hint="eastAsia"/>
          <w:b/>
          <w:bCs/>
          <w:rtl/>
        </w:rPr>
        <w:t>מהכנסותיהן</w:t>
      </w:r>
      <w:r w:rsidRPr="002B5E33">
        <w:rPr>
          <w:b/>
          <w:bCs/>
          <w:rtl/>
        </w:rPr>
        <w:t xml:space="preserve"> מעמלות שהתקבלו מחברת ביטוח אחת בשנת 2018 בתחום ביטוחי הבריאות</w:t>
      </w:r>
    </w:p>
    <w:p w:rsidR="00FA3E7D" w:rsidRPr="002B5E33" w:rsidP="00BC512A">
      <w:pPr>
        <w:spacing w:before="120" w:after="120" w:line="269" w:lineRule="auto"/>
        <w:jc w:val="center"/>
        <w:rPr>
          <w:rtl/>
        </w:rPr>
      </w:pPr>
      <w:r>
        <w:rPr>
          <w:noProof/>
          <w:rtl/>
        </w:rPr>
        <w:drawing>
          <wp:inline distT="0" distB="0" distL="0" distR="0">
            <wp:extent cx="2883414" cy="2755398"/>
            <wp:effectExtent l="0" t="0" r="0" b="6985"/>
            <wp:docPr id="1493377113" name="תמונה 149337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36793" name="commercial-health-insurance-g-23.pn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14" cy="2755398"/>
                    </a:xfrm>
                    <a:prstGeom prst="rect">
                      <a:avLst/>
                    </a:prstGeom>
                  </pic:spPr>
                </pic:pic>
              </a:graphicData>
            </a:graphic>
          </wp:inline>
        </w:drawing>
      </w:r>
    </w:p>
    <w:p w:rsidR="00FA3E7D" w:rsidRPr="00AA5FE2" w:rsidP="00BC512A">
      <w:pPr>
        <w:spacing w:line="269" w:lineRule="auto"/>
        <w:jc w:val="left"/>
        <w:rPr>
          <w:sz w:val="22"/>
          <w:szCs w:val="22"/>
          <w:rtl/>
        </w:rPr>
      </w:pPr>
      <w:r w:rsidRPr="00AA5FE2">
        <w:rPr>
          <w:rFonts w:hint="cs"/>
          <w:sz w:val="22"/>
          <w:szCs w:val="22"/>
          <w:rtl/>
        </w:rPr>
        <w:t>מקור: דיווחי חברות הביטוח לרשות שוק ההון, בעיבוד משרד מבקר המדינה.</w:t>
      </w:r>
    </w:p>
    <w:p w:rsidR="00FA3E7D" w:rsidRPr="002B5E33" w:rsidP="00FA3E7D">
      <w:pPr>
        <w:pStyle w:val="a"/>
        <w:spacing w:line="269" w:lineRule="auto"/>
        <w:rPr>
          <w:rtl/>
        </w:rPr>
      </w:pPr>
    </w:p>
    <w:p w:rsidR="00BC512A" w:rsidP="00FA3E7D">
      <w:pPr>
        <w:spacing w:line="269" w:lineRule="auto"/>
        <w:jc w:val="center"/>
        <w:rPr>
          <w:b/>
          <w:bCs/>
          <w:rtl/>
        </w:rPr>
      </w:pPr>
    </w:p>
    <w:p w:rsidR="00FA3E7D" w:rsidRPr="00FF3629" w:rsidP="00FF3629">
      <w:pPr>
        <w:spacing w:line="269" w:lineRule="auto"/>
        <w:jc w:val="center"/>
        <w:rPr>
          <w:b/>
          <w:bCs/>
        </w:rPr>
      </w:pPr>
      <w:r w:rsidRPr="002B5E33">
        <w:rPr>
          <w:rFonts w:hint="eastAsia"/>
          <w:b/>
          <w:bCs/>
          <w:rtl/>
        </w:rPr>
        <w:t>תרשים</w:t>
      </w:r>
      <w:r w:rsidRPr="002B5E33">
        <w:rPr>
          <w:b/>
          <w:bCs/>
          <w:rtl/>
        </w:rPr>
        <w:t xml:space="preserve"> </w:t>
      </w:r>
      <w:r w:rsidRPr="002B5E33">
        <w:rPr>
          <w:rFonts w:hint="cs"/>
          <w:b/>
          <w:bCs/>
          <w:rtl/>
        </w:rPr>
        <w:t>24</w:t>
      </w:r>
      <w:r w:rsidR="00FF3629">
        <w:rPr>
          <w:rFonts w:hint="cs"/>
          <w:b/>
          <w:bCs/>
          <w:rtl/>
        </w:rPr>
        <w:t xml:space="preserve">: </w:t>
      </w:r>
      <w:r w:rsidRPr="002B5E33">
        <w:rPr>
          <w:rFonts w:hint="eastAsia"/>
          <w:b/>
          <w:bCs/>
          <w:rtl/>
        </w:rPr>
        <w:t>התפלגות</w:t>
      </w:r>
      <w:r w:rsidRPr="002B5E33">
        <w:rPr>
          <w:b/>
          <w:bCs/>
          <w:rtl/>
        </w:rPr>
        <w:t xml:space="preserve"> </w:t>
      </w:r>
      <w:r w:rsidRPr="002B5E33">
        <w:rPr>
          <w:rFonts w:hint="eastAsia"/>
          <w:b/>
          <w:bCs/>
          <w:rtl/>
        </w:rPr>
        <w:t>הסוכנויות</w:t>
      </w:r>
      <w:r w:rsidRPr="002B5E33">
        <w:rPr>
          <w:b/>
          <w:bCs/>
          <w:rtl/>
        </w:rPr>
        <w:t xml:space="preserve"> </w:t>
      </w:r>
      <w:r w:rsidRPr="002B5E33">
        <w:rPr>
          <w:rFonts w:hint="eastAsia"/>
          <w:b/>
          <w:bCs/>
          <w:rtl/>
        </w:rPr>
        <w:t>לפי</w:t>
      </w:r>
      <w:r w:rsidRPr="002B5E33">
        <w:rPr>
          <w:b/>
          <w:bCs/>
          <w:rtl/>
        </w:rPr>
        <w:t xml:space="preserve"> </w:t>
      </w:r>
      <w:r w:rsidRPr="002B5E33">
        <w:rPr>
          <w:rFonts w:hint="eastAsia"/>
          <w:b/>
          <w:bCs/>
          <w:rtl/>
        </w:rPr>
        <w:t>השיעור</w:t>
      </w:r>
      <w:r w:rsidRPr="002B5E33">
        <w:rPr>
          <w:b/>
          <w:bCs/>
          <w:rtl/>
        </w:rPr>
        <w:t xml:space="preserve"> </w:t>
      </w:r>
      <w:r w:rsidRPr="002B5E33">
        <w:rPr>
          <w:rFonts w:hint="eastAsia"/>
          <w:b/>
          <w:bCs/>
          <w:rtl/>
        </w:rPr>
        <w:t>מהכנסותיהן</w:t>
      </w:r>
      <w:r w:rsidRPr="002B5E33">
        <w:rPr>
          <w:b/>
          <w:bCs/>
          <w:rtl/>
        </w:rPr>
        <w:t xml:space="preserve"> </w:t>
      </w:r>
      <w:r w:rsidRPr="002B5E33">
        <w:rPr>
          <w:rFonts w:hint="eastAsia"/>
          <w:b/>
          <w:bCs/>
          <w:rtl/>
        </w:rPr>
        <w:t>מעמלות</w:t>
      </w:r>
      <w:r w:rsidRPr="002B5E33">
        <w:rPr>
          <w:b/>
          <w:bCs/>
          <w:rtl/>
        </w:rPr>
        <w:t xml:space="preserve"> </w:t>
      </w:r>
      <w:r w:rsidRPr="002B5E33">
        <w:rPr>
          <w:rFonts w:hint="eastAsia"/>
          <w:b/>
          <w:bCs/>
          <w:rtl/>
        </w:rPr>
        <w:t>שהתקבלו</w:t>
      </w:r>
      <w:r w:rsidRPr="002B5E33">
        <w:rPr>
          <w:b/>
          <w:bCs/>
          <w:rtl/>
        </w:rPr>
        <w:t xml:space="preserve"> </w:t>
      </w:r>
      <w:r w:rsidRPr="002B5E33">
        <w:rPr>
          <w:rFonts w:hint="eastAsia"/>
          <w:b/>
          <w:bCs/>
          <w:rtl/>
        </w:rPr>
        <w:t>משתי</w:t>
      </w:r>
      <w:r w:rsidRPr="002B5E33">
        <w:rPr>
          <w:b/>
          <w:bCs/>
          <w:rtl/>
        </w:rPr>
        <w:t xml:space="preserve"> </w:t>
      </w:r>
      <w:r w:rsidRPr="002B5E33">
        <w:rPr>
          <w:rFonts w:hint="eastAsia"/>
          <w:b/>
          <w:bCs/>
          <w:rtl/>
        </w:rPr>
        <w:t>חברות</w:t>
      </w:r>
      <w:r w:rsidRPr="002B5E33">
        <w:rPr>
          <w:b/>
          <w:bCs/>
          <w:rtl/>
        </w:rPr>
        <w:t xml:space="preserve"> </w:t>
      </w:r>
      <w:r w:rsidRPr="002B5E33">
        <w:rPr>
          <w:rFonts w:hint="eastAsia"/>
          <w:b/>
          <w:bCs/>
          <w:rtl/>
        </w:rPr>
        <w:t>ביטוח</w:t>
      </w:r>
      <w:r w:rsidRPr="002B5E33">
        <w:rPr>
          <w:b/>
          <w:bCs/>
          <w:rtl/>
        </w:rPr>
        <w:t xml:space="preserve"> </w:t>
      </w:r>
      <w:r w:rsidRPr="002B5E33">
        <w:rPr>
          <w:rFonts w:hint="eastAsia"/>
          <w:b/>
          <w:bCs/>
          <w:rtl/>
        </w:rPr>
        <w:t>בשנת</w:t>
      </w:r>
      <w:r w:rsidRPr="002B5E33">
        <w:rPr>
          <w:b/>
          <w:bCs/>
          <w:rtl/>
        </w:rPr>
        <w:t xml:space="preserve"> 2018 </w:t>
      </w:r>
      <w:r w:rsidRPr="002B5E33">
        <w:rPr>
          <w:rFonts w:hint="eastAsia"/>
          <w:b/>
          <w:bCs/>
          <w:rtl/>
        </w:rPr>
        <w:t>בתחום</w:t>
      </w:r>
      <w:r w:rsidRPr="002B5E33">
        <w:rPr>
          <w:b/>
          <w:bCs/>
          <w:rtl/>
        </w:rPr>
        <w:t xml:space="preserve"> </w:t>
      </w:r>
      <w:r w:rsidRPr="002B5E33">
        <w:rPr>
          <w:rFonts w:hint="eastAsia"/>
          <w:b/>
          <w:bCs/>
          <w:rtl/>
        </w:rPr>
        <w:t>ביטוחי</w:t>
      </w:r>
      <w:r w:rsidRPr="002B5E33">
        <w:rPr>
          <w:b/>
          <w:bCs/>
          <w:rtl/>
        </w:rPr>
        <w:t xml:space="preserve"> </w:t>
      </w:r>
      <w:r w:rsidRPr="002B5E33">
        <w:rPr>
          <w:rFonts w:hint="eastAsia"/>
          <w:b/>
          <w:bCs/>
          <w:rtl/>
        </w:rPr>
        <w:t>הבריאות</w:t>
      </w:r>
    </w:p>
    <w:p w:rsidR="00BC512A" w:rsidP="00BC512A">
      <w:pPr>
        <w:spacing w:before="120" w:after="120" w:line="269" w:lineRule="auto"/>
        <w:jc w:val="center"/>
        <w:rPr>
          <w:rtl/>
        </w:rPr>
      </w:pPr>
      <w:r>
        <w:rPr>
          <w:rFonts w:hint="cs"/>
          <w:noProof/>
          <w:rtl/>
        </w:rPr>
        <w:drawing>
          <wp:inline distT="0" distB="0" distL="0" distR="0">
            <wp:extent cx="2883414" cy="2523749"/>
            <wp:effectExtent l="0" t="0" r="0" b="0"/>
            <wp:docPr id="1493377114" name="תמונה 149337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77074" name="commercial-health-insurance-g-24.pn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14" cy="2523749"/>
                    </a:xfrm>
                    <a:prstGeom prst="rect">
                      <a:avLst/>
                    </a:prstGeom>
                  </pic:spPr>
                </pic:pic>
              </a:graphicData>
            </a:graphic>
          </wp:inline>
        </w:drawing>
      </w:r>
    </w:p>
    <w:p w:rsidR="00FA3E7D" w:rsidRPr="00AA5FE2" w:rsidP="007D53AF">
      <w:pPr>
        <w:spacing w:line="269" w:lineRule="auto"/>
        <w:rPr>
          <w:sz w:val="22"/>
          <w:szCs w:val="22"/>
          <w:rtl/>
        </w:rPr>
      </w:pPr>
      <w:r w:rsidRPr="00AA5FE2">
        <w:rPr>
          <w:rFonts w:hint="cs"/>
          <w:sz w:val="22"/>
          <w:szCs w:val="22"/>
          <w:rtl/>
        </w:rPr>
        <w:t>מקור: דיווחי חברות הביטוח לרשות שוק ההון, בעיבוד משרד מבקר המדינה.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מהתרשימים שלעיל עולה כי במרבית סוכנויות הביטוח עיקר ההכנסות מעמלות מתקבל מחברת ביטוח אחת או לכל היותר שתיים. הדבר עלול לגרום למתן עדיפות של סוכני ביטוח לחברה שעימה הם קשורים, גם אם העדפה זו אינה עולה בקנה אחד עם האינטרסים של הצרכן.</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בתשובת לשכת סוכני הביטוח טענה הלשכה כי סוכנויות ביטוח שבבעלות חברות ביטוח מוכרות לרוב ביטוחים של החברה המחזיקה בהן, ועל כן, בניכוי הסוכנויות שבבעלות, הריכוזיות בתחום נמוכה יותר.</w:t>
      </w:r>
    </w:p>
    <w:p w:rsidR="00FA3E7D" w:rsidRPr="002B5E33" w:rsidP="00FA3E7D">
      <w:pPr>
        <w:spacing w:line="269" w:lineRule="auto"/>
        <w:rPr>
          <w:b/>
          <w:bCs/>
          <w:rtl/>
        </w:rPr>
      </w:pPr>
      <w:r w:rsidRPr="002B5E33">
        <w:rPr>
          <w:rFonts w:hint="cs"/>
          <w:b/>
          <w:bCs/>
          <w:rtl/>
        </w:rPr>
        <w:t>על רשות שוק ההון לעקוב באופן שוטף אחר מגמת הריכוזיות בחלוקת ההכנסות מעמלות של סוכנויות הביטוח. ריכוזיות גוברת של חלוקת ההכנסות מעמלות עשויה להצריך התערבות במערכת היחסים שבין חברות הביטוח לסוכנויות המקבלות את מרבית העמלות, במטרה לוודא שמאזן הכוחות שבין סוכנויות</w:t>
      </w:r>
      <w:r w:rsidRPr="002B5E33">
        <w:rPr>
          <w:b/>
          <w:bCs/>
        </w:rPr>
        <w:t xml:space="preserve"> </w:t>
      </w:r>
      <w:r w:rsidRPr="002B5E33">
        <w:rPr>
          <w:rFonts w:hint="cs"/>
          <w:b/>
          <w:bCs/>
          <w:rtl/>
        </w:rPr>
        <w:t>אלו ובין חברות הביטוח אינו מביא לפגיעה אפשרית בציבור המבוטחים ובתחרות בין סוכנויות הביטוח.</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רשות</w:t>
      </w:r>
      <w:r w:rsidRPr="002B5E33">
        <w:rPr>
          <w:rtl/>
        </w:rPr>
        <w:t xml:space="preserve"> </w:t>
      </w:r>
      <w:r w:rsidRPr="002B5E33">
        <w:rPr>
          <w:rFonts w:hint="eastAsia"/>
          <w:rtl/>
        </w:rPr>
        <w:t>שוק</w:t>
      </w:r>
      <w:r w:rsidRPr="002B5E33">
        <w:rPr>
          <w:rtl/>
        </w:rPr>
        <w:t xml:space="preserve"> </w:t>
      </w:r>
      <w:r w:rsidRPr="002B5E33">
        <w:rPr>
          <w:rFonts w:hint="eastAsia"/>
          <w:rtl/>
        </w:rPr>
        <w:t>ההון</w:t>
      </w:r>
      <w:r w:rsidRPr="002B5E33">
        <w:rPr>
          <w:rtl/>
        </w:rPr>
        <w:t xml:space="preserve"> </w:t>
      </w:r>
      <w:r w:rsidRPr="002B5E33">
        <w:rPr>
          <w:rFonts w:hint="eastAsia"/>
          <w:rtl/>
        </w:rPr>
        <w:t>השיבה</w:t>
      </w:r>
      <w:r w:rsidRPr="002B5E33">
        <w:rPr>
          <w:rtl/>
        </w:rPr>
        <w:t xml:space="preserve"> </w:t>
      </w:r>
      <w:r w:rsidRPr="002B5E33">
        <w:rPr>
          <w:rFonts w:hint="eastAsia"/>
          <w:rtl/>
        </w:rPr>
        <w:t>למשרד</w:t>
      </w:r>
      <w:r w:rsidRPr="002B5E33">
        <w:rPr>
          <w:rtl/>
        </w:rPr>
        <w:t xml:space="preserve"> </w:t>
      </w:r>
      <w:r w:rsidRPr="002B5E33">
        <w:rPr>
          <w:rFonts w:hint="eastAsia"/>
          <w:rtl/>
        </w:rPr>
        <w:t>מבקר</w:t>
      </w:r>
      <w:r w:rsidRPr="002B5E33">
        <w:rPr>
          <w:rtl/>
        </w:rPr>
        <w:t xml:space="preserve"> </w:t>
      </w:r>
      <w:r w:rsidRPr="002B5E33">
        <w:rPr>
          <w:rFonts w:hint="eastAsia"/>
          <w:rtl/>
        </w:rPr>
        <w:t>המדינה</w:t>
      </w:r>
      <w:r w:rsidRPr="002B5E33">
        <w:rPr>
          <w:rtl/>
        </w:rPr>
        <w:t xml:space="preserve"> </w:t>
      </w:r>
      <w:r w:rsidRPr="002B5E33">
        <w:rPr>
          <w:rFonts w:hint="eastAsia"/>
          <w:rtl/>
        </w:rPr>
        <w:t>כי</w:t>
      </w:r>
      <w:r w:rsidRPr="002B5E33">
        <w:rPr>
          <w:rtl/>
        </w:rPr>
        <w:t xml:space="preserve"> </w:t>
      </w:r>
      <w:r w:rsidRPr="002B5E33">
        <w:rPr>
          <w:rFonts w:hint="eastAsia"/>
          <w:rtl/>
        </w:rPr>
        <w:t>החל</w:t>
      </w:r>
      <w:r w:rsidRPr="002B5E33">
        <w:rPr>
          <w:rtl/>
        </w:rPr>
        <w:t xml:space="preserve"> </w:t>
      </w:r>
      <w:r w:rsidRPr="002B5E33">
        <w:rPr>
          <w:rFonts w:hint="eastAsia"/>
          <w:rtl/>
        </w:rPr>
        <w:t>משנת</w:t>
      </w:r>
      <w:r w:rsidRPr="002B5E33">
        <w:rPr>
          <w:rtl/>
        </w:rPr>
        <w:t xml:space="preserve"> 2017 </w:t>
      </w:r>
      <w:r w:rsidRPr="002B5E33">
        <w:rPr>
          <w:rFonts w:hint="eastAsia"/>
          <w:rtl/>
        </w:rPr>
        <w:t>היא</w:t>
      </w:r>
      <w:r w:rsidRPr="002B5E33">
        <w:rPr>
          <w:rtl/>
        </w:rPr>
        <w:t xml:space="preserve"> </w:t>
      </w:r>
      <w:r w:rsidRPr="002B5E33">
        <w:rPr>
          <w:rFonts w:hint="eastAsia"/>
          <w:rtl/>
        </w:rPr>
        <w:t>עוקבת</w:t>
      </w:r>
      <w:r w:rsidRPr="002B5E33">
        <w:rPr>
          <w:rtl/>
        </w:rPr>
        <w:t xml:space="preserve"> </w:t>
      </w:r>
      <w:r w:rsidRPr="002B5E33">
        <w:rPr>
          <w:rFonts w:hint="eastAsia"/>
          <w:rtl/>
        </w:rPr>
        <w:t>אחר</w:t>
      </w:r>
      <w:r w:rsidRPr="002B5E33">
        <w:rPr>
          <w:rtl/>
        </w:rPr>
        <w:t xml:space="preserve"> </w:t>
      </w:r>
      <w:r w:rsidRPr="002B5E33">
        <w:rPr>
          <w:rFonts w:hint="eastAsia"/>
          <w:rtl/>
        </w:rPr>
        <w:t>התפלגות</w:t>
      </w:r>
      <w:r w:rsidRPr="002B5E33">
        <w:rPr>
          <w:rtl/>
        </w:rPr>
        <w:t xml:space="preserve"> </w:t>
      </w:r>
      <w:r w:rsidRPr="002B5E33">
        <w:rPr>
          <w:rFonts w:hint="cs"/>
          <w:rtl/>
        </w:rPr>
        <w:t>העמלות</w:t>
      </w:r>
      <w:r w:rsidRPr="002B5E33">
        <w:rPr>
          <w:rtl/>
        </w:rPr>
        <w:t xml:space="preserve"> </w:t>
      </w:r>
      <w:r w:rsidRPr="002B5E33">
        <w:rPr>
          <w:rFonts w:hint="eastAsia"/>
          <w:rtl/>
        </w:rPr>
        <w:t>בין</w:t>
      </w:r>
      <w:r w:rsidRPr="002B5E33">
        <w:rPr>
          <w:rtl/>
        </w:rPr>
        <w:t xml:space="preserve"> </w:t>
      </w:r>
      <w:r w:rsidRPr="002B5E33">
        <w:rPr>
          <w:rFonts w:hint="eastAsia"/>
          <w:rtl/>
        </w:rPr>
        <w:t>הסוכנויות</w:t>
      </w:r>
      <w:r w:rsidRPr="002B5E33">
        <w:rPr>
          <w:rtl/>
        </w:rPr>
        <w:t xml:space="preserve"> </w:t>
      </w:r>
      <w:r w:rsidRPr="002B5E33">
        <w:rPr>
          <w:rFonts w:hint="eastAsia"/>
          <w:rtl/>
        </w:rPr>
        <w:t>והסוכנים</w:t>
      </w:r>
      <w:r w:rsidRPr="002B5E33">
        <w:rPr>
          <w:rtl/>
        </w:rPr>
        <w:t xml:space="preserve">, </w:t>
      </w:r>
      <w:r w:rsidRPr="002B5E33">
        <w:rPr>
          <w:rFonts w:hint="eastAsia"/>
          <w:rtl/>
        </w:rPr>
        <w:t>וכי</w:t>
      </w:r>
      <w:r w:rsidRPr="002B5E33">
        <w:rPr>
          <w:rtl/>
        </w:rPr>
        <w:t xml:space="preserve"> </w:t>
      </w:r>
      <w:r w:rsidRPr="002B5E33">
        <w:rPr>
          <w:rFonts w:hint="eastAsia"/>
          <w:rtl/>
        </w:rPr>
        <w:t>במסגרת</w:t>
      </w:r>
      <w:r w:rsidRPr="002B5E33">
        <w:rPr>
          <w:rtl/>
        </w:rPr>
        <w:t xml:space="preserve"> </w:t>
      </w:r>
      <w:r w:rsidRPr="002B5E33">
        <w:rPr>
          <w:rFonts w:hint="eastAsia"/>
          <w:rtl/>
        </w:rPr>
        <w:t>שינויי</w:t>
      </w:r>
      <w:r w:rsidRPr="002B5E33">
        <w:rPr>
          <w:rtl/>
        </w:rPr>
        <w:t xml:space="preserve"> </w:t>
      </w:r>
      <w:r w:rsidRPr="002B5E33">
        <w:rPr>
          <w:rFonts w:hint="eastAsia"/>
          <w:rtl/>
        </w:rPr>
        <w:t>הרגולציה</w:t>
      </w:r>
      <w:r w:rsidRPr="002B5E33">
        <w:rPr>
          <w:rtl/>
        </w:rPr>
        <w:t xml:space="preserve"> </w:t>
      </w:r>
      <w:r w:rsidRPr="002B5E33">
        <w:rPr>
          <w:rFonts w:hint="eastAsia"/>
          <w:rtl/>
        </w:rPr>
        <w:t>העתידיים</w:t>
      </w:r>
      <w:r w:rsidRPr="002B5E33">
        <w:rPr>
          <w:rtl/>
        </w:rPr>
        <w:t xml:space="preserve"> </w:t>
      </w:r>
      <w:r w:rsidRPr="002B5E33">
        <w:rPr>
          <w:rFonts w:hint="eastAsia"/>
          <w:rtl/>
        </w:rPr>
        <w:t>ברפורמת</w:t>
      </w:r>
      <w:r w:rsidRPr="002B5E33">
        <w:rPr>
          <w:rtl/>
        </w:rPr>
        <w:t xml:space="preserve"> </w:t>
      </w:r>
      <w:r w:rsidRPr="002B5E33">
        <w:rPr>
          <w:rFonts w:hint="eastAsia"/>
          <w:rtl/>
        </w:rPr>
        <w:t>הסוכן</w:t>
      </w:r>
      <w:r w:rsidRPr="002B5E33">
        <w:rPr>
          <w:rtl/>
        </w:rPr>
        <w:t xml:space="preserve"> </w:t>
      </w:r>
      <w:r w:rsidRPr="002B5E33">
        <w:rPr>
          <w:rFonts w:hint="eastAsia"/>
          <w:rtl/>
        </w:rPr>
        <w:t>האובייקטיבי</w:t>
      </w:r>
      <w:r w:rsidRPr="002B5E33">
        <w:rPr>
          <w:rtl/>
        </w:rPr>
        <w:t xml:space="preserve">, </w:t>
      </w:r>
      <w:r w:rsidRPr="002B5E33">
        <w:rPr>
          <w:rFonts w:hint="eastAsia"/>
          <w:rtl/>
        </w:rPr>
        <w:t>בכוונת</w:t>
      </w:r>
      <w:r w:rsidRPr="002B5E33">
        <w:rPr>
          <w:rtl/>
        </w:rPr>
        <w:t xml:space="preserve"> </w:t>
      </w:r>
      <w:r w:rsidRPr="002B5E33">
        <w:rPr>
          <w:rFonts w:hint="eastAsia"/>
          <w:rtl/>
        </w:rPr>
        <w:t>הרשות</w:t>
      </w:r>
      <w:r w:rsidRPr="002B5E33">
        <w:rPr>
          <w:rtl/>
        </w:rPr>
        <w:t xml:space="preserve"> </w:t>
      </w:r>
      <w:r w:rsidRPr="002B5E33">
        <w:rPr>
          <w:rFonts w:hint="eastAsia"/>
          <w:rtl/>
        </w:rPr>
        <w:t>לטפל</w:t>
      </w:r>
      <w:r w:rsidRPr="002B5E33">
        <w:rPr>
          <w:rtl/>
        </w:rPr>
        <w:t xml:space="preserve"> </w:t>
      </w:r>
      <w:r w:rsidRPr="002B5E33">
        <w:rPr>
          <w:rFonts w:hint="eastAsia"/>
          <w:rtl/>
        </w:rPr>
        <w:t>גם</w:t>
      </w:r>
      <w:r w:rsidRPr="002B5E33">
        <w:rPr>
          <w:rtl/>
        </w:rPr>
        <w:t xml:space="preserve"> </w:t>
      </w:r>
      <w:r w:rsidRPr="002B5E33">
        <w:rPr>
          <w:rFonts w:hint="eastAsia"/>
          <w:rtl/>
        </w:rPr>
        <w:t>בנושא</w:t>
      </w:r>
      <w:r w:rsidRPr="002B5E33">
        <w:rPr>
          <w:rtl/>
        </w:rPr>
        <w:t xml:space="preserve"> </w:t>
      </w:r>
      <w:r w:rsidRPr="002B5E33">
        <w:rPr>
          <w:rFonts w:hint="eastAsia"/>
          <w:rtl/>
        </w:rPr>
        <w:t>הטיית</w:t>
      </w:r>
      <w:r w:rsidRPr="002B5E33">
        <w:rPr>
          <w:rtl/>
        </w:rPr>
        <w:t xml:space="preserve"> </w:t>
      </w:r>
      <w:r w:rsidRPr="002B5E33">
        <w:rPr>
          <w:rFonts w:hint="eastAsia"/>
          <w:rtl/>
        </w:rPr>
        <w:t>הסוכן</w:t>
      </w:r>
      <w:r w:rsidRPr="002B5E33">
        <w:rPr>
          <w:rtl/>
        </w:rPr>
        <w:t xml:space="preserve"> </w:t>
      </w:r>
      <w:r w:rsidRPr="002B5E33">
        <w:rPr>
          <w:rFonts w:hint="eastAsia"/>
          <w:rtl/>
        </w:rPr>
        <w:t>או</w:t>
      </w:r>
      <w:r w:rsidRPr="002B5E33">
        <w:rPr>
          <w:rtl/>
        </w:rPr>
        <w:t xml:space="preserve"> </w:t>
      </w:r>
      <w:r w:rsidRPr="002B5E33">
        <w:rPr>
          <w:rFonts w:hint="eastAsia"/>
          <w:rtl/>
        </w:rPr>
        <w:t>הסוכנות</w:t>
      </w:r>
      <w:r w:rsidRPr="002B5E33">
        <w:rPr>
          <w:rtl/>
        </w:rPr>
        <w:t xml:space="preserve"> </w:t>
      </w:r>
      <w:r w:rsidRPr="002B5E33">
        <w:rPr>
          <w:rFonts w:hint="eastAsia"/>
          <w:rtl/>
        </w:rPr>
        <w:t>למספר</w:t>
      </w:r>
      <w:r w:rsidRPr="002B5E33">
        <w:rPr>
          <w:rtl/>
        </w:rPr>
        <w:t xml:space="preserve"> </w:t>
      </w:r>
      <w:r w:rsidRPr="002B5E33">
        <w:rPr>
          <w:rFonts w:hint="eastAsia"/>
          <w:rtl/>
        </w:rPr>
        <w:t>מצומצם</w:t>
      </w:r>
      <w:r w:rsidRPr="002B5E33">
        <w:rPr>
          <w:rtl/>
        </w:rPr>
        <w:t xml:space="preserve"> </w:t>
      </w:r>
      <w:r w:rsidRPr="002B5E33">
        <w:rPr>
          <w:rFonts w:hint="eastAsia"/>
          <w:rtl/>
        </w:rPr>
        <w:t>של</w:t>
      </w:r>
      <w:r w:rsidRPr="002B5E33">
        <w:rPr>
          <w:rtl/>
        </w:rPr>
        <w:t xml:space="preserve"> </w:t>
      </w:r>
      <w:r w:rsidRPr="002B5E33">
        <w:rPr>
          <w:rFonts w:hint="eastAsia"/>
          <w:rtl/>
        </w:rPr>
        <w:t>חברות</w:t>
      </w:r>
      <w:r w:rsidRPr="002B5E33">
        <w:rPr>
          <w:rtl/>
        </w:rPr>
        <w:t xml:space="preserve"> </w:t>
      </w:r>
      <w:r w:rsidRPr="002B5E33">
        <w:rPr>
          <w:rFonts w:hint="eastAsia"/>
          <w:rtl/>
        </w:rPr>
        <w:t>ואף</w:t>
      </w:r>
      <w:r w:rsidRPr="002B5E33">
        <w:rPr>
          <w:rtl/>
        </w:rPr>
        <w:t xml:space="preserve"> </w:t>
      </w:r>
      <w:r w:rsidRPr="002B5E33">
        <w:rPr>
          <w:rFonts w:hint="eastAsia"/>
          <w:rtl/>
        </w:rPr>
        <w:t>להסדיר</w:t>
      </w:r>
      <w:r w:rsidRPr="002B5E33">
        <w:rPr>
          <w:rtl/>
        </w:rPr>
        <w:t xml:space="preserve"> </w:t>
      </w:r>
      <w:r w:rsidRPr="002B5E33">
        <w:rPr>
          <w:rFonts w:hint="eastAsia"/>
          <w:rtl/>
        </w:rPr>
        <w:t>את</w:t>
      </w:r>
      <w:r w:rsidRPr="002B5E33">
        <w:rPr>
          <w:rtl/>
        </w:rPr>
        <w:t xml:space="preserve"> </w:t>
      </w:r>
      <w:r w:rsidRPr="002B5E33">
        <w:rPr>
          <w:rFonts w:hint="eastAsia"/>
          <w:rtl/>
        </w:rPr>
        <w:t>נושא</w:t>
      </w:r>
      <w:r w:rsidRPr="002B5E33">
        <w:rPr>
          <w:rtl/>
        </w:rPr>
        <w:t xml:space="preserve"> </w:t>
      </w:r>
      <w:r w:rsidRPr="002B5E33">
        <w:rPr>
          <w:rFonts w:hint="eastAsia"/>
          <w:rtl/>
        </w:rPr>
        <w:t>הגילוי</w:t>
      </w:r>
      <w:r w:rsidRPr="002B5E33">
        <w:rPr>
          <w:rtl/>
        </w:rPr>
        <w:t xml:space="preserve"> </w:t>
      </w:r>
      <w:r w:rsidRPr="002B5E33">
        <w:rPr>
          <w:rFonts w:hint="cs"/>
          <w:rtl/>
        </w:rPr>
        <w:t xml:space="preserve">על </w:t>
      </w:r>
      <w:r w:rsidRPr="002B5E33">
        <w:rPr>
          <w:rFonts w:hint="eastAsia"/>
          <w:rtl/>
        </w:rPr>
        <w:t>אודות</w:t>
      </w:r>
      <w:r w:rsidRPr="002B5E33">
        <w:rPr>
          <w:rtl/>
        </w:rPr>
        <w:t xml:space="preserve"> </w:t>
      </w:r>
      <w:r w:rsidRPr="002B5E33">
        <w:rPr>
          <w:rFonts w:hint="eastAsia"/>
          <w:rtl/>
        </w:rPr>
        <w:t>התלות</w:t>
      </w:r>
      <w:r w:rsidRPr="002B5E33">
        <w:rPr>
          <w:rtl/>
        </w:rPr>
        <w:t xml:space="preserve"> </w:t>
      </w:r>
      <w:r w:rsidRPr="002B5E33">
        <w:rPr>
          <w:rFonts w:hint="eastAsia"/>
          <w:rtl/>
        </w:rPr>
        <w:t>העסקית</w:t>
      </w:r>
      <w:r w:rsidRPr="002B5E33">
        <w:rPr>
          <w:rtl/>
        </w:rPr>
        <w:t xml:space="preserve"> </w:t>
      </w:r>
      <w:r w:rsidRPr="002B5E33">
        <w:rPr>
          <w:rFonts w:hint="eastAsia"/>
          <w:rtl/>
        </w:rPr>
        <w:t>למבוטח</w:t>
      </w:r>
      <w:r w:rsidRPr="002B5E33">
        <w:rPr>
          <w:rtl/>
        </w:rPr>
        <w:t>.</w:t>
      </w:r>
    </w:p>
    <w:p w:rsidR="00FA3E7D" w:rsidRPr="002B5E33" w:rsidP="00FA3E7D">
      <w:pPr>
        <w:pStyle w:val="a"/>
        <w:spacing w:line="269" w:lineRule="auto"/>
        <w:rPr>
          <w:rtl/>
        </w:rPr>
      </w:pPr>
    </w:p>
    <w:p w:rsidR="00FA3E7D" w:rsidRPr="002B5E33" w:rsidP="00FA3E7D">
      <w:pPr>
        <w:pStyle w:val="Heading4"/>
        <w:spacing w:before="0" w:line="269" w:lineRule="auto"/>
        <w:rPr>
          <w:rtl/>
        </w:rPr>
      </w:pPr>
      <w:r w:rsidRPr="002B5E33">
        <w:rPr>
          <w:rFonts w:hint="cs"/>
          <w:rtl/>
        </w:rPr>
        <w:t>פעולות למניעת ניגודי עניינים אפשריים בפעילות סוכני הביטוח</w:t>
      </w:r>
    </w:p>
    <w:p w:rsidR="00FA3E7D" w:rsidRPr="002B5E33" w:rsidP="00FA3E7D">
      <w:pPr>
        <w:pStyle w:val="a"/>
        <w:rPr>
          <w:rtl/>
        </w:rPr>
      </w:pPr>
    </w:p>
    <w:p w:rsidR="00FA3E7D" w:rsidRPr="002B5E33" w:rsidP="00FA3E7D">
      <w:pPr>
        <w:spacing w:line="269" w:lineRule="auto"/>
        <w:rPr>
          <w:rtl/>
        </w:rPr>
      </w:pPr>
      <w:r w:rsidRPr="002B5E33">
        <w:rPr>
          <w:rFonts w:hint="cs"/>
          <w:rtl/>
        </w:rPr>
        <w:t>שיטת התגמול המקובלת לסוכני הביטוח, המבוססת על עמלות מחברות הביטוח הנקבעות בהתאם להיקף המכירות, עלולה ליצור ניגוד עניינים מובנה בין טובת הלקוח לטובת סוכן הביטוח, בכמה היבטים:</w:t>
      </w:r>
    </w:p>
    <w:p w:rsidR="00FA3E7D" w:rsidRPr="002B5E33" w:rsidP="00FA3E7D">
      <w:pPr>
        <w:pStyle w:val="a"/>
        <w:spacing w:line="269" w:lineRule="auto"/>
        <w:rPr>
          <w:rtl/>
        </w:rPr>
      </w:pPr>
    </w:p>
    <w:p w:rsidR="00FA3E7D" w:rsidRPr="002B5E33" w:rsidP="00FA3E7D">
      <w:pPr>
        <w:pStyle w:val="ListParagraph"/>
        <w:numPr>
          <w:ilvl w:val="0"/>
          <w:numId w:val="7"/>
        </w:numPr>
        <w:spacing w:after="0" w:line="269" w:lineRule="auto"/>
        <w:ind w:left="312"/>
        <w:jc w:val="both"/>
        <w:rPr>
          <w:rFonts w:cs="David"/>
          <w:sz w:val="24"/>
          <w:szCs w:val="24"/>
        </w:rPr>
      </w:pPr>
      <w:r w:rsidRPr="002B5E33">
        <w:rPr>
          <w:rFonts w:cs="David" w:hint="cs"/>
          <w:sz w:val="24"/>
          <w:szCs w:val="24"/>
          <w:rtl/>
        </w:rPr>
        <w:t>שיטת התגמול הקיימת, המבוססת על עמלת היקף ועמלת נפרעים, קושרת בין היקף הפרמיות בביטוחים הנמכרים על ידי הסוכן ובין התגמול לסוכן. בעוד שמחד גיסא הסוכן נדרש להתאים את המוצר לצורכי הלקוח, יש לו מאידך גיסא תמריץ חומרי מובהק להגדיל את היקף המכירות ככל הניתן, גם כשהדבר אינו עולה בקנה אחד עם צורכי הלקוח. מודל תגמול זה עלול לעודד את סוכני הביטוח לבצע עסקאות טוויסטינג (החלפת ביטוח קיים בביטוח חדש), גם במקרים שבהם ההחלפה פוגעת בזכויות המבוטח.</w:t>
      </w:r>
    </w:p>
    <w:p w:rsidR="00FA3E7D" w:rsidRPr="002B5E33" w:rsidP="00FA3E7D">
      <w:pPr>
        <w:pStyle w:val="a"/>
        <w:spacing w:line="269" w:lineRule="auto"/>
        <w:rPr>
          <w:rtl/>
        </w:rPr>
      </w:pPr>
    </w:p>
    <w:p w:rsidR="00FA3E7D" w:rsidRPr="002B5E33" w:rsidP="00FA3E7D">
      <w:pPr>
        <w:pStyle w:val="ListParagraph"/>
        <w:numPr>
          <w:ilvl w:val="0"/>
          <w:numId w:val="7"/>
        </w:numPr>
        <w:spacing w:after="0" w:line="269" w:lineRule="auto"/>
        <w:ind w:left="312"/>
        <w:jc w:val="both"/>
        <w:rPr>
          <w:rFonts w:cs="David"/>
          <w:sz w:val="24"/>
          <w:szCs w:val="24"/>
        </w:rPr>
      </w:pPr>
      <w:r w:rsidRPr="002B5E33">
        <w:rPr>
          <w:rFonts w:cs="David" w:hint="cs"/>
          <w:sz w:val="24"/>
          <w:szCs w:val="24"/>
          <w:rtl/>
        </w:rPr>
        <w:t>קיים חשש שסוכן הביטוח ימליץ ללקוח על המוצר שעבורו הוא מקבל עמלה גבוהה יותר, או על פוליסות ביטוח של חברה המשלמת עמלות גבוהות יותר, או המתגמלת את הסוכן בפרסים כספיים ובשווה כסף</w:t>
      </w:r>
      <w:r>
        <w:rPr>
          <w:rStyle w:val="FootnoteReference"/>
          <w:rFonts w:cs="David"/>
          <w:sz w:val="24"/>
          <w:szCs w:val="24"/>
          <w:rtl/>
        </w:rPr>
        <w:footnoteReference w:id="117"/>
      </w:r>
      <w:r w:rsidRPr="002B5E33">
        <w:rPr>
          <w:rFonts w:cs="David" w:hint="cs"/>
          <w:sz w:val="24"/>
          <w:szCs w:val="24"/>
          <w:rtl/>
        </w:rPr>
        <w:t>.</w:t>
      </w:r>
    </w:p>
    <w:p w:rsidR="00FA3E7D" w:rsidRPr="002B5E33" w:rsidP="00FA3E7D">
      <w:pPr>
        <w:pStyle w:val="a"/>
        <w:spacing w:line="269" w:lineRule="auto"/>
        <w:rPr>
          <w:rtl/>
        </w:rPr>
      </w:pPr>
    </w:p>
    <w:p w:rsidR="00FA3E7D" w:rsidRPr="002B5E33" w:rsidP="00FA3E7D">
      <w:pPr>
        <w:pStyle w:val="ListParagraph"/>
        <w:spacing w:after="0" w:line="269" w:lineRule="auto"/>
        <w:ind w:left="312"/>
        <w:jc w:val="both"/>
        <w:rPr>
          <w:rFonts w:cs="David"/>
          <w:sz w:val="24"/>
          <w:szCs w:val="24"/>
          <w:rtl/>
        </w:rPr>
      </w:pPr>
      <w:r w:rsidRPr="002B5E33">
        <w:rPr>
          <w:rFonts w:cs="David" w:hint="cs"/>
          <w:sz w:val="24"/>
          <w:szCs w:val="24"/>
          <w:rtl/>
        </w:rPr>
        <w:t>בתשובת לשכת סוכני הביטוח נכתב כי "החששות [בדבר ניגוד עניינים]... לא עולים בקנה אחד עם העובדה כי החל מפברואר 2016 מדובר על פוליסת בריאות אחידה, אשר הוגדרה על ידי המאסדר בצורה ברורה ומפורשת לשיווק לכלל הציבור (בדומה לביטוחים על פי מבנה מוגדר) ולסוכני הביטוח אין שיקול דעת בעניין, כך שאף עובדה זו מייתרת את ניגוד העניינים"</w:t>
      </w:r>
      <w:r>
        <w:rPr>
          <w:rFonts w:cs="David" w:hint="cs"/>
          <w:sz w:val="24"/>
          <w:szCs w:val="24"/>
          <w:rtl/>
        </w:rPr>
        <w:t>.</w:t>
      </w:r>
    </w:p>
    <w:p w:rsidR="00FA3E7D" w:rsidRPr="002B5E33" w:rsidP="00FA3E7D">
      <w:pPr>
        <w:pStyle w:val="a"/>
        <w:spacing w:line="269" w:lineRule="auto"/>
        <w:rPr>
          <w:rtl/>
        </w:rPr>
      </w:pPr>
    </w:p>
    <w:p w:rsidR="00FA3E7D" w:rsidRPr="002B5E33" w:rsidP="00FA3E7D">
      <w:pPr>
        <w:pStyle w:val="ListParagraph"/>
        <w:spacing w:after="0" w:line="269" w:lineRule="auto"/>
        <w:ind w:left="312"/>
        <w:jc w:val="both"/>
        <w:rPr>
          <w:rFonts w:cs="David"/>
          <w:b/>
          <w:bCs/>
          <w:sz w:val="24"/>
          <w:szCs w:val="24"/>
        </w:rPr>
      </w:pPr>
      <w:r w:rsidRPr="002B5E33">
        <w:rPr>
          <w:rFonts w:cs="David" w:hint="cs"/>
          <w:b/>
          <w:bCs/>
          <w:sz w:val="24"/>
          <w:szCs w:val="24"/>
          <w:rtl/>
        </w:rPr>
        <w:t>י</w:t>
      </w:r>
      <w:r w:rsidRPr="002B5E33">
        <w:rPr>
          <w:rFonts w:cs="David" w:hint="eastAsia"/>
          <w:b/>
          <w:bCs/>
          <w:sz w:val="24"/>
          <w:szCs w:val="24"/>
          <w:rtl/>
        </w:rPr>
        <w:t>צ</w:t>
      </w:r>
      <w:r w:rsidRPr="002B5E33">
        <w:rPr>
          <w:rFonts w:cs="David" w:hint="cs"/>
          <w:b/>
          <w:bCs/>
          <w:sz w:val="24"/>
          <w:szCs w:val="24"/>
          <w:rtl/>
        </w:rPr>
        <w:t>ו</w:t>
      </w:r>
      <w:r w:rsidRPr="002B5E33">
        <w:rPr>
          <w:rFonts w:cs="David" w:hint="eastAsia"/>
          <w:b/>
          <w:bCs/>
          <w:sz w:val="24"/>
          <w:szCs w:val="24"/>
          <w:rtl/>
        </w:rPr>
        <w:t>ין</w:t>
      </w:r>
      <w:r w:rsidRPr="002B5E33">
        <w:rPr>
          <w:rFonts w:cs="David"/>
          <w:b/>
          <w:bCs/>
          <w:sz w:val="24"/>
          <w:szCs w:val="24"/>
          <w:rtl/>
        </w:rPr>
        <w:t xml:space="preserve"> </w:t>
      </w:r>
      <w:r w:rsidRPr="002B5E33">
        <w:rPr>
          <w:rFonts w:cs="David" w:hint="eastAsia"/>
          <w:b/>
          <w:bCs/>
          <w:sz w:val="24"/>
          <w:szCs w:val="24"/>
          <w:rtl/>
        </w:rPr>
        <w:t>בהמשך</w:t>
      </w:r>
      <w:r w:rsidRPr="002B5E33">
        <w:rPr>
          <w:rFonts w:cs="David"/>
          <w:b/>
          <w:bCs/>
          <w:sz w:val="24"/>
          <w:szCs w:val="24"/>
          <w:rtl/>
        </w:rPr>
        <w:t xml:space="preserve"> </w:t>
      </w:r>
      <w:r w:rsidRPr="002B5E33">
        <w:rPr>
          <w:rFonts w:cs="David" w:hint="eastAsia"/>
          <w:b/>
          <w:bCs/>
          <w:sz w:val="24"/>
          <w:szCs w:val="24"/>
          <w:rtl/>
        </w:rPr>
        <w:t>לתשובת</w:t>
      </w:r>
      <w:r w:rsidRPr="002B5E33">
        <w:rPr>
          <w:rFonts w:cs="David"/>
          <w:b/>
          <w:bCs/>
          <w:sz w:val="24"/>
          <w:szCs w:val="24"/>
          <w:rtl/>
        </w:rPr>
        <w:t xml:space="preserve"> לשכת סוכני הביטוח</w:t>
      </w:r>
      <w:r>
        <w:rPr>
          <w:rFonts w:cs="David"/>
          <w:b/>
          <w:bCs/>
          <w:sz w:val="24"/>
          <w:szCs w:val="24"/>
          <w:rtl/>
        </w:rPr>
        <w:t xml:space="preserve"> </w:t>
      </w:r>
      <w:r w:rsidRPr="002B5E33">
        <w:rPr>
          <w:rFonts w:cs="David"/>
          <w:b/>
          <w:bCs/>
          <w:sz w:val="24"/>
          <w:szCs w:val="24"/>
          <w:rtl/>
        </w:rPr>
        <w:t xml:space="preserve">כי </w:t>
      </w:r>
      <w:r w:rsidRPr="002B5E33">
        <w:rPr>
          <w:rFonts w:cs="David" w:hint="eastAsia"/>
          <w:b/>
          <w:bCs/>
          <w:sz w:val="24"/>
          <w:szCs w:val="24"/>
          <w:rtl/>
        </w:rPr>
        <w:t>הרפורמה</w:t>
      </w:r>
      <w:r w:rsidRPr="002B5E33">
        <w:rPr>
          <w:rFonts w:cs="David"/>
          <w:b/>
          <w:bCs/>
          <w:sz w:val="24"/>
          <w:szCs w:val="24"/>
          <w:rtl/>
        </w:rPr>
        <w:t xml:space="preserve"> </w:t>
      </w:r>
      <w:r w:rsidRPr="002B5E33">
        <w:rPr>
          <w:rFonts w:cs="David" w:hint="eastAsia"/>
          <w:b/>
          <w:bCs/>
          <w:sz w:val="24"/>
          <w:szCs w:val="24"/>
          <w:rtl/>
        </w:rPr>
        <w:t>שנערכה</w:t>
      </w:r>
      <w:r w:rsidRPr="002B5E33">
        <w:rPr>
          <w:rFonts w:cs="David"/>
          <w:b/>
          <w:bCs/>
          <w:sz w:val="24"/>
          <w:szCs w:val="24"/>
          <w:rtl/>
        </w:rPr>
        <w:t xml:space="preserve"> </w:t>
      </w:r>
      <w:r w:rsidRPr="002B5E33">
        <w:rPr>
          <w:rFonts w:cs="David" w:hint="eastAsia"/>
          <w:b/>
          <w:bCs/>
          <w:sz w:val="24"/>
          <w:szCs w:val="24"/>
          <w:rtl/>
        </w:rPr>
        <w:t>בשנת</w:t>
      </w:r>
      <w:r w:rsidRPr="002B5E33">
        <w:rPr>
          <w:rFonts w:cs="David"/>
          <w:b/>
          <w:bCs/>
          <w:sz w:val="24"/>
          <w:szCs w:val="24"/>
          <w:rtl/>
        </w:rPr>
        <w:t xml:space="preserve"> 2016, </w:t>
      </w:r>
      <w:r w:rsidRPr="002B5E33">
        <w:rPr>
          <w:rFonts w:cs="David" w:hint="eastAsia"/>
          <w:b/>
          <w:bCs/>
          <w:sz w:val="24"/>
          <w:szCs w:val="24"/>
          <w:rtl/>
        </w:rPr>
        <w:t>שבמסגרתה</w:t>
      </w:r>
      <w:r w:rsidRPr="002B5E33">
        <w:rPr>
          <w:rFonts w:cs="David"/>
          <w:b/>
          <w:bCs/>
          <w:sz w:val="24"/>
          <w:szCs w:val="24"/>
          <w:rtl/>
        </w:rPr>
        <w:t xml:space="preserve"> </w:t>
      </w:r>
      <w:r w:rsidRPr="002B5E33">
        <w:rPr>
          <w:rFonts w:cs="David" w:hint="eastAsia"/>
          <w:b/>
          <w:bCs/>
          <w:sz w:val="24"/>
          <w:szCs w:val="24"/>
          <w:rtl/>
        </w:rPr>
        <w:t>הופחתו</w:t>
      </w:r>
      <w:r w:rsidRPr="002B5E33">
        <w:rPr>
          <w:rFonts w:cs="David"/>
          <w:b/>
          <w:bCs/>
          <w:sz w:val="24"/>
          <w:szCs w:val="24"/>
          <w:rtl/>
        </w:rPr>
        <w:t xml:space="preserve"> </w:t>
      </w:r>
      <w:r w:rsidRPr="002B5E33">
        <w:rPr>
          <w:rFonts w:cs="David" w:hint="eastAsia"/>
          <w:b/>
          <w:bCs/>
          <w:sz w:val="24"/>
          <w:szCs w:val="24"/>
          <w:rtl/>
        </w:rPr>
        <w:t>הפערים</w:t>
      </w:r>
      <w:r w:rsidRPr="002B5E33">
        <w:rPr>
          <w:rFonts w:cs="David"/>
          <w:b/>
          <w:bCs/>
          <w:sz w:val="24"/>
          <w:szCs w:val="24"/>
          <w:rtl/>
        </w:rPr>
        <w:t xml:space="preserve"> </w:t>
      </w:r>
      <w:r w:rsidRPr="002B5E33">
        <w:rPr>
          <w:rFonts w:cs="David" w:hint="eastAsia"/>
          <w:b/>
          <w:bCs/>
          <w:sz w:val="24"/>
          <w:szCs w:val="24"/>
          <w:rtl/>
        </w:rPr>
        <w:t>שבין</w:t>
      </w:r>
      <w:r w:rsidRPr="002B5E33">
        <w:rPr>
          <w:rFonts w:cs="David"/>
          <w:b/>
          <w:bCs/>
          <w:sz w:val="24"/>
          <w:szCs w:val="24"/>
          <w:rtl/>
        </w:rPr>
        <w:t xml:space="preserve"> </w:t>
      </w:r>
      <w:r w:rsidRPr="002B5E33">
        <w:rPr>
          <w:rFonts w:cs="David" w:hint="eastAsia"/>
          <w:b/>
          <w:bCs/>
          <w:sz w:val="24"/>
          <w:szCs w:val="24"/>
          <w:rtl/>
        </w:rPr>
        <w:t>הכיסויים</w:t>
      </w:r>
      <w:r w:rsidRPr="002B5E33">
        <w:rPr>
          <w:rFonts w:cs="David"/>
          <w:b/>
          <w:bCs/>
          <w:sz w:val="24"/>
          <w:szCs w:val="24"/>
          <w:rtl/>
        </w:rPr>
        <w:t xml:space="preserve"> </w:t>
      </w:r>
      <w:r w:rsidRPr="002B5E33">
        <w:rPr>
          <w:rFonts w:cs="David" w:hint="eastAsia"/>
          <w:b/>
          <w:bCs/>
          <w:sz w:val="24"/>
          <w:szCs w:val="24"/>
          <w:rtl/>
        </w:rPr>
        <w:t>הביטוחיים</w:t>
      </w:r>
      <w:r w:rsidRPr="002B5E33">
        <w:rPr>
          <w:rFonts w:cs="David"/>
          <w:b/>
          <w:bCs/>
          <w:sz w:val="24"/>
          <w:szCs w:val="24"/>
          <w:rtl/>
        </w:rPr>
        <w:t xml:space="preserve"> </w:t>
      </w:r>
      <w:r w:rsidRPr="002B5E33">
        <w:rPr>
          <w:rFonts w:cs="David" w:hint="eastAsia"/>
          <w:b/>
          <w:bCs/>
          <w:sz w:val="24"/>
          <w:szCs w:val="24"/>
          <w:rtl/>
        </w:rPr>
        <w:t>בפוליסות</w:t>
      </w:r>
      <w:r w:rsidRPr="002B5E33">
        <w:rPr>
          <w:rFonts w:cs="David"/>
          <w:b/>
          <w:bCs/>
          <w:sz w:val="24"/>
          <w:szCs w:val="24"/>
          <w:rtl/>
        </w:rPr>
        <w:t xml:space="preserve"> </w:t>
      </w:r>
      <w:r w:rsidRPr="002B5E33">
        <w:rPr>
          <w:rFonts w:cs="David" w:hint="eastAsia"/>
          <w:b/>
          <w:bCs/>
          <w:sz w:val="24"/>
          <w:szCs w:val="24"/>
          <w:rtl/>
        </w:rPr>
        <w:t>ביטוחי</w:t>
      </w:r>
      <w:r w:rsidRPr="002B5E33">
        <w:rPr>
          <w:rFonts w:cs="David"/>
          <w:b/>
          <w:bCs/>
          <w:sz w:val="24"/>
          <w:szCs w:val="24"/>
          <w:rtl/>
        </w:rPr>
        <w:t xml:space="preserve"> </w:t>
      </w:r>
      <w:r w:rsidRPr="002B5E33">
        <w:rPr>
          <w:rFonts w:cs="David" w:hint="eastAsia"/>
          <w:b/>
          <w:bCs/>
          <w:sz w:val="24"/>
          <w:szCs w:val="24"/>
          <w:rtl/>
        </w:rPr>
        <w:t>הבריאות</w:t>
      </w:r>
      <w:r w:rsidRPr="002B5E33">
        <w:rPr>
          <w:rFonts w:cs="David"/>
          <w:b/>
          <w:bCs/>
          <w:sz w:val="24"/>
          <w:szCs w:val="24"/>
          <w:rtl/>
        </w:rPr>
        <w:t xml:space="preserve">, </w:t>
      </w:r>
      <w:r w:rsidRPr="002B5E33">
        <w:rPr>
          <w:rFonts w:cs="David" w:hint="eastAsia"/>
          <w:b/>
          <w:bCs/>
          <w:sz w:val="24"/>
          <w:szCs w:val="24"/>
          <w:rtl/>
        </w:rPr>
        <w:t>לא</w:t>
      </w:r>
      <w:r w:rsidRPr="002B5E33">
        <w:rPr>
          <w:rFonts w:cs="David"/>
          <w:b/>
          <w:bCs/>
          <w:sz w:val="24"/>
          <w:szCs w:val="24"/>
          <w:rtl/>
        </w:rPr>
        <w:t xml:space="preserve"> </w:t>
      </w:r>
      <w:r w:rsidRPr="002B5E33">
        <w:rPr>
          <w:rFonts w:cs="David" w:hint="eastAsia"/>
          <w:b/>
          <w:bCs/>
          <w:sz w:val="24"/>
          <w:szCs w:val="24"/>
          <w:rtl/>
        </w:rPr>
        <w:t>שללה</w:t>
      </w:r>
      <w:r w:rsidRPr="002B5E33">
        <w:rPr>
          <w:rFonts w:cs="David"/>
          <w:b/>
          <w:bCs/>
          <w:sz w:val="24"/>
          <w:szCs w:val="24"/>
          <w:rtl/>
        </w:rPr>
        <w:t xml:space="preserve"> </w:t>
      </w:r>
      <w:r w:rsidRPr="002B5E33">
        <w:rPr>
          <w:rFonts w:cs="David" w:hint="eastAsia"/>
          <w:b/>
          <w:bCs/>
          <w:sz w:val="24"/>
          <w:szCs w:val="24"/>
          <w:rtl/>
        </w:rPr>
        <w:t>מסוכני</w:t>
      </w:r>
      <w:r w:rsidRPr="002B5E33">
        <w:rPr>
          <w:rFonts w:cs="David"/>
          <w:b/>
          <w:bCs/>
          <w:sz w:val="24"/>
          <w:szCs w:val="24"/>
          <w:rtl/>
        </w:rPr>
        <w:t xml:space="preserve"> </w:t>
      </w:r>
      <w:r w:rsidRPr="002B5E33">
        <w:rPr>
          <w:rFonts w:cs="David" w:hint="eastAsia"/>
          <w:b/>
          <w:bCs/>
          <w:sz w:val="24"/>
          <w:szCs w:val="24"/>
          <w:rtl/>
        </w:rPr>
        <w:t>הביטוח</w:t>
      </w:r>
      <w:r w:rsidRPr="002B5E33">
        <w:rPr>
          <w:rFonts w:cs="David"/>
          <w:b/>
          <w:bCs/>
          <w:sz w:val="24"/>
          <w:szCs w:val="24"/>
          <w:rtl/>
        </w:rPr>
        <w:t xml:space="preserve"> </w:t>
      </w:r>
      <w:r w:rsidRPr="002B5E33">
        <w:rPr>
          <w:rFonts w:cs="David" w:hint="eastAsia"/>
          <w:b/>
          <w:bCs/>
          <w:sz w:val="24"/>
          <w:szCs w:val="24"/>
          <w:rtl/>
        </w:rPr>
        <w:t>את</w:t>
      </w:r>
      <w:r w:rsidRPr="002B5E33">
        <w:rPr>
          <w:rFonts w:cs="David"/>
          <w:b/>
          <w:bCs/>
          <w:sz w:val="24"/>
          <w:szCs w:val="24"/>
          <w:rtl/>
        </w:rPr>
        <w:t xml:space="preserve"> </w:t>
      </w:r>
      <w:r w:rsidRPr="002B5E33">
        <w:rPr>
          <w:rFonts w:cs="David" w:hint="eastAsia"/>
          <w:b/>
          <w:bCs/>
          <w:sz w:val="24"/>
          <w:szCs w:val="24"/>
          <w:rtl/>
        </w:rPr>
        <w:t>השפעתם</w:t>
      </w:r>
      <w:r w:rsidRPr="002B5E33">
        <w:rPr>
          <w:rFonts w:cs="David"/>
          <w:b/>
          <w:bCs/>
          <w:sz w:val="24"/>
          <w:szCs w:val="24"/>
          <w:rtl/>
        </w:rPr>
        <w:t xml:space="preserve"> </w:t>
      </w:r>
      <w:r w:rsidRPr="002B5E33">
        <w:rPr>
          <w:rFonts w:cs="David" w:hint="eastAsia"/>
          <w:b/>
          <w:bCs/>
          <w:sz w:val="24"/>
          <w:szCs w:val="24"/>
          <w:rtl/>
        </w:rPr>
        <w:t>על</w:t>
      </w:r>
      <w:r w:rsidRPr="002B5E33">
        <w:rPr>
          <w:rFonts w:cs="David"/>
          <w:b/>
          <w:bCs/>
          <w:sz w:val="24"/>
          <w:szCs w:val="24"/>
          <w:rtl/>
        </w:rPr>
        <w:t xml:space="preserve"> </w:t>
      </w:r>
      <w:r w:rsidRPr="002B5E33">
        <w:rPr>
          <w:rFonts w:cs="David" w:hint="eastAsia"/>
          <w:b/>
          <w:bCs/>
          <w:sz w:val="24"/>
          <w:szCs w:val="24"/>
          <w:rtl/>
        </w:rPr>
        <w:t>הציבור</w:t>
      </w:r>
      <w:r w:rsidRPr="002B5E33">
        <w:rPr>
          <w:rFonts w:cs="David"/>
          <w:b/>
          <w:bCs/>
          <w:sz w:val="24"/>
          <w:szCs w:val="24"/>
          <w:rtl/>
        </w:rPr>
        <w:t xml:space="preserve"> </w:t>
      </w:r>
      <w:r w:rsidRPr="002B5E33">
        <w:rPr>
          <w:rFonts w:cs="David" w:hint="eastAsia"/>
          <w:b/>
          <w:bCs/>
          <w:sz w:val="24"/>
          <w:szCs w:val="24"/>
          <w:rtl/>
        </w:rPr>
        <w:t>ביחס</w:t>
      </w:r>
      <w:r w:rsidRPr="002B5E33">
        <w:rPr>
          <w:rFonts w:cs="David"/>
          <w:b/>
          <w:bCs/>
          <w:sz w:val="24"/>
          <w:szCs w:val="24"/>
          <w:rtl/>
        </w:rPr>
        <w:t xml:space="preserve"> </w:t>
      </w:r>
      <w:r w:rsidRPr="002B5E33">
        <w:rPr>
          <w:rFonts w:cs="David" w:hint="eastAsia"/>
          <w:b/>
          <w:bCs/>
          <w:sz w:val="24"/>
          <w:szCs w:val="24"/>
          <w:rtl/>
        </w:rPr>
        <w:t>לזהות</w:t>
      </w:r>
      <w:r w:rsidRPr="002B5E33">
        <w:rPr>
          <w:rFonts w:cs="David"/>
          <w:b/>
          <w:bCs/>
          <w:sz w:val="24"/>
          <w:szCs w:val="24"/>
          <w:rtl/>
        </w:rPr>
        <w:t xml:space="preserve"> </w:t>
      </w:r>
      <w:r w:rsidRPr="002B5E33">
        <w:rPr>
          <w:rFonts w:cs="David" w:hint="eastAsia"/>
          <w:b/>
          <w:bCs/>
          <w:sz w:val="24"/>
          <w:szCs w:val="24"/>
          <w:rtl/>
        </w:rPr>
        <w:t>החברה</w:t>
      </w:r>
      <w:r w:rsidRPr="002B5E33">
        <w:rPr>
          <w:rFonts w:cs="David"/>
          <w:b/>
          <w:bCs/>
          <w:sz w:val="24"/>
          <w:szCs w:val="24"/>
          <w:rtl/>
        </w:rPr>
        <w:t xml:space="preserve"> </w:t>
      </w:r>
      <w:r w:rsidRPr="002B5E33">
        <w:rPr>
          <w:rFonts w:cs="David" w:hint="eastAsia"/>
          <w:b/>
          <w:bCs/>
          <w:sz w:val="24"/>
          <w:szCs w:val="24"/>
          <w:rtl/>
        </w:rPr>
        <w:t>שעימה</w:t>
      </w:r>
      <w:r w:rsidRPr="002B5E33">
        <w:rPr>
          <w:rFonts w:cs="David"/>
          <w:b/>
          <w:bCs/>
          <w:sz w:val="24"/>
          <w:szCs w:val="24"/>
          <w:rtl/>
        </w:rPr>
        <w:t xml:space="preserve"> </w:t>
      </w:r>
      <w:r w:rsidRPr="002B5E33">
        <w:rPr>
          <w:rFonts w:cs="David" w:hint="eastAsia"/>
          <w:b/>
          <w:bCs/>
          <w:sz w:val="24"/>
          <w:szCs w:val="24"/>
          <w:rtl/>
        </w:rPr>
        <w:t>כדאי</w:t>
      </w:r>
      <w:r w:rsidRPr="002B5E33">
        <w:rPr>
          <w:rFonts w:cs="David"/>
          <w:b/>
          <w:bCs/>
          <w:sz w:val="24"/>
          <w:szCs w:val="24"/>
          <w:rtl/>
        </w:rPr>
        <w:t xml:space="preserve"> </w:t>
      </w:r>
      <w:r w:rsidRPr="002B5E33">
        <w:rPr>
          <w:rFonts w:cs="David" w:hint="eastAsia"/>
          <w:b/>
          <w:bCs/>
          <w:sz w:val="24"/>
          <w:szCs w:val="24"/>
          <w:rtl/>
        </w:rPr>
        <w:t>לו</w:t>
      </w:r>
      <w:r w:rsidRPr="002B5E33">
        <w:rPr>
          <w:rFonts w:cs="David"/>
          <w:b/>
          <w:bCs/>
          <w:sz w:val="24"/>
          <w:szCs w:val="24"/>
          <w:rtl/>
        </w:rPr>
        <w:t xml:space="preserve"> </w:t>
      </w:r>
      <w:r w:rsidRPr="002B5E33">
        <w:rPr>
          <w:rFonts w:cs="David" w:hint="eastAsia"/>
          <w:b/>
          <w:bCs/>
          <w:sz w:val="24"/>
          <w:szCs w:val="24"/>
          <w:rtl/>
        </w:rPr>
        <w:t>להתקשר</w:t>
      </w:r>
      <w:r w:rsidRPr="002B5E33">
        <w:rPr>
          <w:rFonts w:cs="David"/>
          <w:b/>
          <w:bCs/>
          <w:sz w:val="24"/>
          <w:szCs w:val="24"/>
          <w:rtl/>
        </w:rPr>
        <w:t xml:space="preserve"> (למשל - </w:t>
      </w:r>
      <w:r w:rsidRPr="002B5E33">
        <w:rPr>
          <w:rFonts w:cs="David" w:hint="eastAsia"/>
          <w:b/>
          <w:bCs/>
          <w:sz w:val="24"/>
          <w:szCs w:val="24"/>
          <w:rtl/>
        </w:rPr>
        <w:t>בהיבטי</w:t>
      </w:r>
      <w:r w:rsidRPr="002B5E33">
        <w:rPr>
          <w:rFonts w:cs="David"/>
          <w:b/>
          <w:bCs/>
          <w:sz w:val="24"/>
          <w:szCs w:val="24"/>
          <w:rtl/>
        </w:rPr>
        <w:t xml:space="preserve"> </w:t>
      </w:r>
      <w:r w:rsidRPr="002B5E33">
        <w:rPr>
          <w:rFonts w:cs="David" w:hint="eastAsia"/>
          <w:b/>
          <w:bCs/>
          <w:sz w:val="24"/>
          <w:szCs w:val="24"/>
          <w:rtl/>
        </w:rPr>
        <w:t>מחיר</w:t>
      </w:r>
      <w:r w:rsidRPr="002B5E33">
        <w:rPr>
          <w:rFonts w:cs="David"/>
          <w:b/>
          <w:bCs/>
          <w:sz w:val="24"/>
          <w:szCs w:val="24"/>
          <w:rtl/>
        </w:rPr>
        <w:t xml:space="preserve"> </w:t>
      </w:r>
      <w:r w:rsidRPr="002B5E33">
        <w:rPr>
          <w:rFonts w:cs="David" w:hint="eastAsia"/>
          <w:b/>
          <w:bCs/>
          <w:sz w:val="24"/>
          <w:szCs w:val="24"/>
          <w:rtl/>
        </w:rPr>
        <w:t>הפוליסה</w:t>
      </w:r>
      <w:r w:rsidRPr="002B5E33">
        <w:rPr>
          <w:rFonts w:cs="David"/>
          <w:b/>
          <w:bCs/>
          <w:sz w:val="24"/>
          <w:szCs w:val="24"/>
          <w:rtl/>
        </w:rPr>
        <w:t xml:space="preserve"> </w:t>
      </w:r>
      <w:r w:rsidRPr="002B5E33">
        <w:rPr>
          <w:rFonts w:cs="David" w:hint="eastAsia"/>
          <w:b/>
          <w:bCs/>
          <w:sz w:val="24"/>
          <w:szCs w:val="24"/>
          <w:rtl/>
        </w:rPr>
        <w:t>והשירות</w:t>
      </w:r>
      <w:r w:rsidRPr="002B5E33">
        <w:rPr>
          <w:rFonts w:cs="David"/>
          <w:b/>
          <w:bCs/>
          <w:sz w:val="24"/>
          <w:szCs w:val="24"/>
          <w:rtl/>
        </w:rPr>
        <w:t xml:space="preserve">), </w:t>
      </w:r>
      <w:r w:rsidRPr="002B5E33">
        <w:rPr>
          <w:rFonts w:cs="David" w:hint="eastAsia"/>
          <w:b/>
          <w:bCs/>
          <w:sz w:val="24"/>
          <w:szCs w:val="24"/>
          <w:rtl/>
        </w:rPr>
        <w:t>בהיבטי</w:t>
      </w:r>
      <w:r w:rsidRPr="002B5E33">
        <w:rPr>
          <w:rFonts w:cs="David"/>
          <w:b/>
          <w:bCs/>
          <w:sz w:val="24"/>
          <w:szCs w:val="24"/>
          <w:rtl/>
        </w:rPr>
        <w:t xml:space="preserve"> </w:t>
      </w:r>
      <w:r w:rsidRPr="002B5E33">
        <w:rPr>
          <w:rFonts w:cs="David" w:hint="eastAsia"/>
          <w:b/>
          <w:bCs/>
          <w:sz w:val="24"/>
          <w:szCs w:val="24"/>
          <w:rtl/>
        </w:rPr>
        <w:t>רכיבי</w:t>
      </w:r>
      <w:r w:rsidRPr="002B5E33">
        <w:rPr>
          <w:rFonts w:cs="David"/>
          <w:b/>
          <w:bCs/>
          <w:sz w:val="24"/>
          <w:szCs w:val="24"/>
          <w:rtl/>
        </w:rPr>
        <w:t xml:space="preserve"> </w:t>
      </w:r>
      <w:r w:rsidRPr="002B5E33">
        <w:rPr>
          <w:rFonts w:cs="David" w:hint="eastAsia"/>
          <w:b/>
          <w:bCs/>
          <w:sz w:val="24"/>
          <w:szCs w:val="24"/>
          <w:rtl/>
        </w:rPr>
        <w:t>הביטוח</w:t>
      </w:r>
      <w:r w:rsidRPr="002B5E33">
        <w:rPr>
          <w:rFonts w:cs="David"/>
          <w:b/>
          <w:bCs/>
          <w:sz w:val="24"/>
          <w:szCs w:val="24"/>
          <w:rtl/>
        </w:rPr>
        <w:t xml:space="preserve"> </w:t>
      </w:r>
      <w:r w:rsidRPr="002B5E33">
        <w:rPr>
          <w:rFonts w:cs="David" w:hint="eastAsia"/>
          <w:b/>
          <w:bCs/>
          <w:sz w:val="24"/>
          <w:szCs w:val="24"/>
          <w:rtl/>
        </w:rPr>
        <w:t>הנרכשים</w:t>
      </w:r>
      <w:r w:rsidRPr="002B5E33">
        <w:rPr>
          <w:rFonts w:cs="David"/>
          <w:b/>
          <w:bCs/>
          <w:sz w:val="24"/>
          <w:szCs w:val="24"/>
          <w:rtl/>
        </w:rPr>
        <w:t xml:space="preserve"> </w:t>
      </w:r>
      <w:r w:rsidRPr="002B5E33">
        <w:rPr>
          <w:rFonts w:cs="David" w:hint="eastAsia"/>
          <w:b/>
          <w:bCs/>
          <w:sz w:val="24"/>
          <w:szCs w:val="24"/>
          <w:rtl/>
        </w:rPr>
        <w:t>ועוד</w:t>
      </w:r>
      <w:r w:rsidRPr="002B5E33">
        <w:rPr>
          <w:rFonts w:cs="David"/>
          <w:b/>
          <w:bCs/>
          <w:sz w:val="24"/>
          <w:szCs w:val="24"/>
          <w:rtl/>
        </w:rPr>
        <w:t>.</w:t>
      </w:r>
    </w:p>
    <w:p w:rsidR="00FA3E7D" w:rsidRPr="002B5E33" w:rsidP="00FA3E7D">
      <w:pPr>
        <w:pStyle w:val="a"/>
        <w:spacing w:line="269" w:lineRule="auto"/>
        <w:rPr>
          <w:rtl/>
        </w:rPr>
      </w:pPr>
    </w:p>
    <w:p w:rsidR="00FA3E7D" w:rsidP="00FA3E7D">
      <w:pPr>
        <w:pStyle w:val="ListParagraph"/>
        <w:numPr>
          <w:ilvl w:val="0"/>
          <w:numId w:val="7"/>
        </w:numPr>
        <w:spacing w:after="0" w:line="269" w:lineRule="auto"/>
        <w:ind w:left="312"/>
        <w:jc w:val="both"/>
        <w:rPr>
          <w:rFonts w:cs="David"/>
          <w:sz w:val="24"/>
          <w:szCs w:val="24"/>
        </w:rPr>
      </w:pPr>
      <w:r w:rsidRPr="002B5E33">
        <w:rPr>
          <w:rFonts w:cs="David" w:hint="cs"/>
          <w:sz w:val="24"/>
          <w:szCs w:val="24"/>
          <w:rtl/>
        </w:rPr>
        <w:t>מרבית סוכנויות הביטוח הגדולות בישראל הן בבעלות חברות הביטוח, ומחזיקות בנתח שוק גדול. לפי ניתוח שבוצע ברשות שוק ההון, סוכנויות אלו מוטות למכירת מוצרי חברות הביטוח המחזיקות בהן. לשכת סוכני הביטוח מסרה אף היא בתשובתה כי סוכנויות בבעלות חברות הביטוח נוטות למכור פוליסות של החברה המחזיקה בהן.</w:t>
      </w:r>
    </w:p>
    <w:p w:rsidR="00FA3E7D" w:rsidRPr="002F11EC" w:rsidP="00FA3E7D">
      <w:pPr>
        <w:spacing w:line="269" w:lineRule="auto"/>
        <w:rPr>
          <w:sz w:val="24"/>
        </w:rPr>
      </w:pPr>
    </w:p>
    <w:p w:rsidR="00FA3E7D" w:rsidRPr="002B5E33" w:rsidP="00FA3E7D">
      <w:pPr>
        <w:pStyle w:val="a"/>
        <w:spacing w:line="269" w:lineRule="auto"/>
        <w:rPr>
          <w:rtl/>
        </w:rPr>
      </w:pPr>
    </w:p>
    <w:p w:rsidR="00FA3E7D" w:rsidRPr="002B5E33" w:rsidP="00FA3E7D">
      <w:pPr>
        <w:spacing w:line="269" w:lineRule="auto"/>
        <w:ind w:left="312"/>
        <w:rPr>
          <w:b/>
          <w:bCs/>
          <w:rtl/>
        </w:rPr>
      </w:pPr>
      <w:r w:rsidRPr="002B5E33">
        <w:rPr>
          <w:rFonts w:hint="cs"/>
          <w:b/>
          <w:bCs/>
          <w:rtl/>
        </w:rPr>
        <w:t>משרד מבקר המדינה ממליץ לרשות לשקול לפעול להסדרת פעילותן של סוכנויות בבעלות חברות הביטוח במטרה למנוע חשש לפגיעה בלקוחות</w:t>
      </w:r>
      <w:r>
        <w:rPr>
          <w:rStyle w:val="FootnoteReference"/>
          <w:b/>
          <w:bCs/>
          <w:rtl/>
        </w:rPr>
        <w:footnoteReference w:id="118"/>
      </w:r>
      <w:r w:rsidRPr="002B5E33">
        <w:rPr>
          <w:rFonts w:hint="cs"/>
          <w:b/>
          <w:bCs/>
          <w:rtl/>
        </w:rPr>
        <w:t>.</w:t>
      </w:r>
    </w:p>
    <w:p w:rsidR="00FA3E7D" w:rsidRPr="002B5E33" w:rsidP="00FA3E7D">
      <w:pPr>
        <w:pStyle w:val="a"/>
        <w:spacing w:line="269" w:lineRule="auto"/>
        <w:rPr>
          <w:rtl/>
        </w:rPr>
      </w:pPr>
    </w:p>
    <w:p w:rsidR="00FA3E7D" w:rsidRPr="002B5E33" w:rsidP="00FA3E7D">
      <w:pPr>
        <w:spacing w:line="269" w:lineRule="auto"/>
        <w:ind w:left="312"/>
        <w:rPr>
          <w:rtl/>
        </w:rPr>
      </w:pPr>
      <w:r w:rsidRPr="002B5E33">
        <w:rPr>
          <w:rFonts w:hint="eastAsia"/>
          <w:rtl/>
        </w:rPr>
        <w:t>בתשובת</w:t>
      </w:r>
      <w:r w:rsidRPr="002B5E33">
        <w:rPr>
          <w:rtl/>
        </w:rPr>
        <w:t xml:space="preserve"> </w:t>
      </w:r>
      <w:r w:rsidRPr="002B5E33">
        <w:rPr>
          <w:rFonts w:hint="eastAsia"/>
          <w:rtl/>
        </w:rPr>
        <w:t>רשות</w:t>
      </w:r>
      <w:r w:rsidRPr="002B5E33">
        <w:rPr>
          <w:rtl/>
        </w:rPr>
        <w:t xml:space="preserve"> </w:t>
      </w:r>
      <w:r w:rsidRPr="002B5E33">
        <w:rPr>
          <w:rFonts w:hint="eastAsia"/>
          <w:rtl/>
        </w:rPr>
        <w:t>שוק</w:t>
      </w:r>
      <w:r w:rsidRPr="002B5E33">
        <w:rPr>
          <w:rtl/>
        </w:rPr>
        <w:t xml:space="preserve"> </w:t>
      </w:r>
      <w:r w:rsidRPr="002B5E33">
        <w:rPr>
          <w:rFonts w:hint="eastAsia"/>
          <w:rtl/>
        </w:rPr>
        <w:t>ההון</w:t>
      </w:r>
      <w:r w:rsidRPr="002B5E33">
        <w:rPr>
          <w:rtl/>
        </w:rPr>
        <w:t xml:space="preserve"> </w:t>
      </w:r>
      <w:r w:rsidRPr="002B5E33">
        <w:rPr>
          <w:rFonts w:hint="eastAsia"/>
          <w:rtl/>
        </w:rPr>
        <w:t>נכתב</w:t>
      </w:r>
      <w:r w:rsidRPr="002B5E33">
        <w:rPr>
          <w:rtl/>
        </w:rPr>
        <w:t xml:space="preserve"> </w:t>
      </w:r>
      <w:r w:rsidRPr="002B5E33">
        <w:rPr>
          <w:rFonts w:hint="eastAsia"/>
          <w:rtl/>
        </w:rPr>
        <w:t>כי</w:t>
      </w:r>
      <w:r w:rsidRPr="002B5E33">
        <w:rPr>
          <w:rtl/>
        </w:rPr>
        <w:t xml:space="preserve"> </w:t>
      </w:r>
      <w:r w:rsidRPr="002B5E33">
        <w:rPr>
          <w:rFonts w:hint="eastAsia"/>
          <w:rtl/>
        </w:rPr>
        <w:t>נוסף</w:t>
      </w:r>
      <w:r w:rsidRPr="002B5E33">
        <w:rPr>
          <w:rtl/>
        </w:rPr>
        <w:t xml:space="preserve"> </w:t>
      </w:r>
      <w:r w:rsidRPr="002B5E33">
        <w:rPr>
          <w:rFonts w:hint="cs"/>
          <w:rtl/>
        </w:rPr>
        <w:t>ע</w:t>
      </w:r>
      <w:r w:rsidRPr="002B5E33">
        <w:rPr>
          <w:rFonts w:hint="eastAsia"/>
          <w:rtl/>
        </w:rPr>
        <w:t>ל</w:t>
      </w:r>
      <w:r w:rsidRPr="002B5E33">
        <w:rPr>
          <w:rFonts w:hint="cs"/>
          <w:rtl/>
        </w:rPr>
        <w:t xml:space="preserve"> </w:t>
      </w:r>
      <w:r w:rsidRPr="002B5E33">
        <w:rPr>
          <w:rFonts w:hint="eastAsia"/>
          <w:rtl/>
        </w:rPr>
        <w:t>חוזרים</w:t>
      </w:r>
      <w:r w:rsidRPr="002B5E33">
        <w:rPr>
          <w:rtl/>
        </w:rPr>
        <w:t xml:space="preserve"> </w:t>
      </w:r>
      <w:r w:rsidRPr="002B5E33">
        <w:rPr>
          <w:rFonts w:hint="eastAsia"/>
          <w:rtl/>
        </w:rPr>
        <w:t>שפרסמה</w:t>
      </w:r>
      <w:r w:rsidRPr="002B5E33">
        <w:rPr>
          <w:rFonts w:hint="cs"/>
          <w:rtl/>
        </w:rPr>
        <w:t>,</w:t>
      </w:r>
      <w:r w:rsidRPr="002B5E33">
        <w:rPr>
          <w:rtl/>
        </w:rPr>
        <w:t xml:space="preserve"> </w:t>
      </w:r>
      <w:r w:rsidRPr="002B5E33">
        <w:rPr>
          <w:rFonts w:hint="eastAsia"/>
          <w:rtl/>
        </w:rPr>
        <w:t>שמטרתם</w:t>
      </w:r>
      <w:r w:rsidRPr="002B5E33">
        <w:rPr>
          <w:rtl/>
        </w:rPr>
        <w:t xml:space="preserve"> </w:t>
      </w:r>
      <w:r w:rsidRPr="002B5E33">
        <w:rPr>
          <w:rFonts w:hint="eastAsia"/>
          <w:rtl/>
        </w:rPr>
        <w:t>לוודא</w:t>
      </w:r>
      <w:r w:rsidRPr="002B5E33">
        <w:rPr>
          <w:rtl/>
        </w:rPr>
        <w:t xml:space="preserve"> </w:t>
      </w:r>
      <w:r w:rsidRPr="002B5E33">
        <w:rPr>
          <w:rFonts w:hint="eastAsia"/>
          <w:rtl/>
        </w:rPr>
        <w:t>שסוכני</w:t>
      </w:r>
      <w:r w:rsidRPr="002B5E33">
        <w:rPr>
          <w:rtl/>
        </w:rPr>
        <w:t xml:space="preserve"> </w:t>
      </w:r>
      <w:r w:rsidRPr="002B5E33">
        <w:rPr>
          <w:rFonts w:hint="eastAsia"/>
          <w:rtl/>
        </w:rPr>
        <w:t>הביטוח</w:t>
      </w:r>
      <w:r w:rsidRPr="002B5E33">
        <w:rPr>
          <w:rtl/>
        </w:rPr>
        <w:t xml:space="preserve"> </w:t>
      </w:r>
      <w:r w:rsidRPr="002B5E33">
        <w:rPr>
          <w:rFonts w:hint="eastAsia"/>
          <w:rtl/>
        </w:rPr>
        <w:t>יפעלו</w:t>
      </w:r>
      <w:r w:rsidRPr="002B5E33">
        <w:rPr>
          <w:rtl/>
        </w:rPr>
        <w:t xml:space="preserve"> </w:t>
      </w:r>
      <w:r w:rsidRPr="002B5E33">
        <w:rPr>
          <w:rFonts w:hint="eastAsia"/>
          <w:rtl/>
        </w:rPr>
        <w:t>בהגינות</w:t>
      </w:r>
      <w:r w:rsidRPr="002B5E33">
        <w:rPr>
          <w:rtl/>
        </w:rPr>
        <w:t xml:space="preserve">, </w:t>
      </w:r>
      <w:r w:rsidRPr="002B5E33">
        <w:rPr>
          <w:rFonts w:hint="eastAsia"/>
          <w:rtl/>
        </w:rPr>
        <w:t>בשקיפות</w:t>
      </w:r>
      <w:r w:rsidRPr="002B5E33">
        <w:rPr>
          <w:rtl/>
        </w:rPr>
        <w:t xml:space="preserve"> </w:t>
      </w:r>
      <w:r w:rsidRPr="002B5E33">
        <w:rPr>
          <w:rFonts w:hint="eastAsia"/>
          <w:rtl/>
        </w:rPr>
        <w:t>ולטובת</w:t>
      </w:r>
      <w:r w:rsidRPr="002B5E33">
        <w:rPr>
          <w:rtl/>
        </w:rPr>
        <w:t xml:space="preserve"> </w:t>
      </w:r>
      <w:r w:rsidRPr="002B5E33">
        <w:rPr>
          <w:rFonts w:hint="eastAsia"/>
          <w:rtl/>
        </w:rPr>
        <w:t>הלקוח</w:t>
      </w:r>
      <w:r w:rsidRPr="002B5E33">
        <w:rPr>
          <w:rtl/>
        </w:rPr>
        <w:t xml:space="preserve">, </w:t>
      </w:r>
      <w:r w:rsidRPr="002B5E33">
        <w:rPr>
          <w:rFonts w:hint="eastAsia"/>
          <w:rtl/>
        </w:rPr>
        <w:t>בכוונתה</w:t>
      </w:r>
      <w:r w:rsidRPr="002B5E33">
        <w:rPr>
          <w:rtl/>
        </w:rPr>
        <w:t xml:space="preserve"> </w:t>
      </w:r>
      <w:r w:rsidRPr="002B5E33">
        <w:rPr>
          <w:rFonts w:hint="eastAsia"/>
          <w:rtl/>
        </w:rPr>
        <w:t>לטפל</w:t>
      </w:r>
      <w:r w:rsidRPr="002B5E33">
        <w:rPr>
          <w:rtl/>
        </w:rPr>
        <w:t xml:space="preserve"> </w:t>
      </w:r>
      <w:r w:rsidRPr="002B5E33">
        <w:rPr>
          <w:rFonts w:hint="eastAsia"/>
          <w:rtl/>
        </w:rPr>
        <w:t>במסגרת</w:t>
      </w:r>
      <w:r w:rsidRPr="002B5E33">
        <w:rPr>
          <w:rtl/>
        </w:rPr>
        <w:t xml:space="preserve"> </w:t>
      </w:r>
      <w:r w:rsidRPr="002B5E33">
        <w:rPr>
          <w:rFonts w:hint="eastAsia"/>
          <w:rtl/>
        </w:rPr>
        <w:t>שינויי</w:t>
      </w:r>
      <w:r w:rsidRPr="002B5E33">
        <w:rPr>
          <w:rtl/>
        </w:rPr>
        <w:t xml:space="preserve"> </w:t>
      </w:r>
      <w:r w:rsidRPr="002B5E33">
        <w:rPr>
          <w:rFonts w:hint="eastAsia"/>
          <w:rtl/>
        </w:rPr>
        <w:t>הרגולציה</w:t>
      </w:r>
      <w:r w:rsidRPr="002B5E33">
        <w:rPr>
          <w:rtl/>
        </w:rPr>
        <w:t xml:space="preserve"> </w:t>
      </w:r>
      <w:r w:rsidRPr="002B5E33">
        <w:rPr>
          <w:rFonts w:hint="eastAsia"/>
          <w:rtl/>
        </w:rPr>
        <w:t>העתידיים</w:t>
      </w:r>
      <w:r w:rsidRPr="002B5E33">
        <w:rPr>
          <w:rtl/>
        </w:rPr>
        <w:t xml:space="preserve"> </w:t>
      </w:r>
      <w:r w:rsidRPr="002B5E33">
        <w:rPr>
          <w:rFonts w:hint="eastAsia"/>
          <w:rtl/>
        </w:rPr>
        <w:t>בחשש</w:t>
      </w:r>
      <w:r w:rsidRPr="002B5E33">
        <w:rPr>
          <w:rtl/>
        </w:rPr>
        <w:t xml:space="preserve"> </w:t>
      </w:r>
      <w:r w:rsidRPr="002B5E33">
        <w:rPr>
          <w:rFonts w:hint="eastAsia"/>
          <w:rtl/>
        </w:rPr>
        <w:t>לניגודי</w:t>
      </w:r>
      <w:r w:rsidRPr="002B5E33">
        <w:rPr>
          <w:rtl/>
        </w:rPr>
        <w:t xml:space="preserve"> </w:t>
      </w:r>
      <w:r w:rsidRPr="002B5E33">
        <w:rPr>
          <w:rFonts w:hint="eastAsia"/>
          <w:rtl/>
        </w:rPr>
        <w:t>העניינים</w:t>
      </w:r>
      <w:r w:rsidRPr="002B5E33">
        <w:rPr>
          <w:rtl/>
        </w:rPr>
        <w:t xml:space="preserve"> </w:t>
      </w:r>
      <w:r w:rsidRPr="002B5E33">
        <w:rPr>
          <w:rFonts w:hint="eastAsia"/>
          <w:rtl/>
        </w:rPr>
        <w:t>הקיימים</w:t>
      </w:r>
      <w:r w:rsidRPr="002B5E33">
        <w:rPr>
          <w:rtl/>
        </w:rPr>
        <w:t xml:space="preserve"> </w:t>
      </w:r>
      <w:r w:rsidRPr="002B5E33">
        <w:rPr>
          <w:rFonts w:hint="eastAsia"/>
          <w:rtl/>
        </w:rPr>
        <w:t>כעת</w:t>
      </w:r>
      <w:r w:rsidRPr="002B5E33">
        <w:rPr>
          <w:rFonts w:hint="cs"/>
          <w:rtl/>
        </w:rPr>
        <w:t>,</w:t>
      </w:r>
      <w:r w:rsidRPr="002B5E33">
        <w:rPr>
          <w:rtl/>
        </w:rPr>
        <w:t xml:space="preserve"> </w:t>
      </w:r>
      <w:r w:rsidRPr="002B5E33">
        <w:rPr>
          <w:rFonts w:hint="eastAsia"/>
          <w:rtl/>
        </w:rPr>
        <w:t>ובכלל</w:t>
      </w:r>
      <w:r w:rsidRPr="002B5E33">
        <w:rPr>
          <w:rtl/>
        </w:rPr>
        <w:t xml:space="preserve"> </w:t>
      </w:r>
      <w:r w:rsidRPr="002B5E33">
        <w:rPr>
          <w:rFonts w:hint="eastAsia"/>
          <w:rtl/>
        </w:rPr>
        <w:t>זה</w:t>
      </w:r>
      <w:r w:rsidRPr="002B5E33">
        <w:rPr>
          <w:rtl/>
        </w:rPr>
        <w:t xml:space="preserve"> </w:t>
      </w:r>
      <w:r w:rsidRPr="002B5E33">
        <w:rPr>
          <w:rFonts w:hint="eastAsia"/>
          <w:rtl/>
        </w:rPr>
        <w:t>בנושא</w:t>
      </w:r>
      <w:r w:rsidRPr="002B5E33">
        <w:rPr>
          <w:rtl/>
        </w:rPr>
        <w:t xml:space="preserve"> </w:t>
      </w:r>
      <w:r w:rsidRPr="002B5E33">
        <w:rPr>
          <w:rFonts w:hint="eastAsia"/>
          <w:rtl/>
        </w:rPr>
        <w:t>תגמול</w:t>
      </w:r>
      <w:r w:rsidRPr="002B5E33">
        <w:rPr>
          <w:rtl/>
        </w:rPr>
        <w:t xml:space="preserve"> </w:t>
      </w:r>
      <w:r w:rsidRPr="002B5E33">
        <w:rPr>
          <w:rFonts w:hint="eastAsia"/>
          <w:rtl/>
        </w:rPr>
        <w:t>הסוכנים</w:t>
      </w:r>
      <w:r w:rsidRPr="002B5E33">
        <w:rPr>
          <w:rtl/>
        </w:rPr>
        <w:t xml:space="preserve">, </w:t>
      </w:r>
      <w:r w:rsidRPr="002B5E33">
        <w:rPr>
          <w:rFonts w:hint="eastAsia"/>
          <w:rtl/>
        </w:rPr>
        <w:t>הטיית</w:t>
      </w:r>
      <w:r w:rsidRPr="002B5E33">
        <w:rPr>
          <w:rtl/>
        </w:rPr>
        <w:t xml:space="preserve"> </w:t>
      </w:r>
      <w:r w:rsidRPr="002B5E33">
        <w:rPr>
          <w:rFonts w:hint="eastAsia"/>
          <w:rtl/>
        </w:rPr>
        <w:t>הסוכן</w:t>
      </w:r>
      <w:r w:rsidRPr="002B5E33">
        <w:rPr>
          <w:rtl/>
        </w:rPr>
        <w:t xml:space="preserve"> </w:t>
      </w:r>
      <w:r w:rsidRPr="002B5E33">
        <w:rPr>
          <w:rFonts w:hint="eastAsia"/>
          <w:rtl/>
        </w:rPr>
        <w:t>לחברה</w:t>
      </w:r>
      <w:r w:rsidRPr="002B5E33">
        <w:rPr>
          <w:rtl/>
        </w:rPr>
        <w:t xml:space="preserve"> </w:t>
      </w:r>
      <w:r w:rsidRPr="002B5E33">
        <w:rPr>
          <w:rFonts w:hint="eastAsia"/>
          <w:rtl/>
        </w:rPr>
        <w:t>וסוכנויות</w:t>
      </w:r>
      <w:r w:rsidRPr="002B5E33">
        <w:rPr>
          <w:rtl/>
        </w:rPr>
        <w:t xml:space="preserve"> </w:t>
      </w:r>
      <w:r w:rsidRPr="002B5E33">
        <w:rPr>
          <w:rFonts w:hint="eastAsia"/>
          <w:rtl/>
        </w:rPr>
        <w:t>בבעלות</w:t>
      </w:r>
      <w:r w:rsidRPr="002B5E33">
        <w:rPr>
          <w:rtl/>
        </w:rPr>
        <w:t xml:space="preserve">, </w:t>
      </w:r>
      <w:r w:rsidRPr="002B5E33">
        <w:rPr>
          <w:rFonts w:hint="eastAsia"/>
          <w:rtl/>
        </w:rPr>
        <w:t>וזאת</w:t>
      </w:r>
      <w:r w:rsidRPr="002B5E33">
        <w:rPr>
          <w:rtl/>
        </w:rPr>
        <w:t xml:space="preserve"> </w:t>
      </w:r>
      <w:r w:rsidRPr="002B5E33">
        <w:rPr>
          <w:rFonts w:hint="eastAsia"/>
          <w:rtl/>
        </w:rPr>
        <w:t>לצד</w:t>
      </w:r>
      <w:r w:rsidRPr="002B5E33">
        <w:rPr>
          <w:rtl/>
        </w:rPr>
        <w:t xml:space="preserve"> </w:t>
      </w:r>
      <w:r w:rsidRPr="002B5E33">
        <w:rPr>
          <w:rFonts w:hint="eastAsia"/>
          <w:rtl/>
        </w:rPr>
        <w:t>הטלת</w:t>
      </w:r>
      <w:r w:rsidRPr="002B5E33">
        <w:rPr>
          <w:rtl/>
        </w:rPr>
        <w:t xml:space="preserve"> </w:t>
      </w:r>
      <w:r w:rsidRPr="002B5E33">
        <w:rPr>
          <w:rFonts w:hint="eastAsia"/>
          <w:rtl/>
        </w:rPr>
        <w:t>חובות</w:t>
      </w:r>
      <w:r w:rsidRPr="002B5E33">
        <w:rPr>
          <w:rtl/>
        </w:rPr>
        <w:t xml:space="preserve"> </w:t>
      </w:r>
      <w:r w:rsidRPr="002B5E33">
        <w:rPr>
          <w:rFonts w:hint="eastAsia"/>
          <w:rtl/>
        </w:rPr>
        <w:t>גילוי</w:t>
      </w:r>
      <w:r w:rsidRPr="002B5E33">
        <w:rPr>
          <w:rtl/>
        </w:rPr>
        <w:t xml:space="preserve"> </w:t>
      </w:r>
      <w:r w:rsidRPr="002B5E33">
        <w:rPr>
          <w:rFonts w:hint="eastAsia"/>
          <w:rtl/>
        </w:rPr>
        <w:t>על</w:t>
      </w:r>
      <w:r w:rsidRPr="002B5E33">
        <w:rPr>
          <w:rtl/>
        </w:rPr>
        <w:t xml:space="preserve"> </w:t>
      </w:r>
      <w:r w:rsidRPr="002B5E33">
        <w:rPr>
          <w:rFonts w:hint="eastAsia"/>
          <w:rtl/>
        </w:rPr>
        <w:t>סוכנים</w:t>
      </w:r>
      <w:r w:rsidRPr="002B5E33">
        <w:rPr>
          <w:rtl/>
        </w:rPr>
        <w:t xml:space="preserve"> </w:t>
      </w:r>
      <w:r w:rsidRPr="002B5E33">
        <w:rPr>
          <w:rFonts w:hint="cs"/>
          <w:rtl/>
        </w:rPr>
        <w:t xml:space="preserve">לשם הגברת </w:t>
      </w:r>
      <w:r w:rsidRPr="002B5E33">
        <w:rPr>
          <w:rFonts w:hint="eastAsia"/>
          <w:rtl/>
        </w:rPr>
        <w:t>השקיפות</w:t>
      </w:r>
      <w:r w:rsidRPr="002B5E33">
        <w:rPr>
          <w:rtl/>
        </w:rPr>
        <w:t>.</w:t>
      </w:r>
    </w:p>
    <w:p w:rsidR="00FA3E7D" w:rsidRPr="002B5E33" w:rsidP="00FA3E7D">
      <w:pPr>
        <w:spacing w:line="269" w:lineRule="auto"/>
        <w:rPr>
          <w:b/>
          <w:bCs/>
          <w:rtl/>
        </w:rPr>
      </w:pPr>
    </w:p>
    <w:p w:rsidR="00FA3E7D" w:rsidRPr="002B5E33" w:rsidP="00FA3E7D">
      <w:pPr>
        <w:pStyle w:val="Heading5"/>
        <w:spacing w:line="269" w:lineRule="auto"/>
        <w:rPr>
          <w:rtl/>
        </w:rPr>
      </w:pPr>
      <w:r w:rsidRPr="002B5E33">
        <w:rPr>
          <w:rFonts w:hint="cs"/>
          <w:rtl/>
        </w:rPr>
        <w:t>שקיפות של האינטרסים של סוכני הביטוח ואפקטיביות הגילוי הנאות</w:t>
      </w:r>
    </w:p>
    <w:p w:rsidR="00FA3E7D" w:rsidRPr="002B5E33" w:rsidP="00FA3E7D">
      <w:pPr>
        <w:pStyle w:val="a"/>
        <w:rPr>
          <w:rtl/>
        </w:rPr>
      </w:pPr>
    </w:p>
    <w:p w:rsidR="00FA3E7D" w:rsidRPr="002B5E33" w:rsidP="00FA3E7D">
      <w:pPr>
        <w:spacing w:line="269" w:lineRule="auto"/>
        <w:rPr>
          <w:rtl/>
        </w:rPr>
      </w:pPr>
      <w:r w:rsidRPr="002B5E33">
        <w:rPr>
          <w:rFonts w:hint="cs"/>
          <w:rtl/>
        </w:rPr>
        <w:t>ההתקשרות בחוזי ביטוח בתיווכו של סוכן הביטוח אינה שקופה לציבור בכל הנוגע למודל התגמול של הסוכן, להיקף העמלה המשולמת לו מתוך הפרמיה, לניגודי העניינים שבהם מצוי הסוכן ולזיקתו לחברת הביטוח. כאמור, במחקר שנערך בישראל נמצא כי מרבית הצרכנים נוטים לקבל את המלצת סוכן הביטוח גם כאשר קיים גילוי נאות בדבר ניגוד העניינים שבו הוא מצוי</w:t>
      </w:r>
      <w:r>
        <w:rPr>
          <w:rStyle w:val="FootnoteReference"/>
          <w:rtl/>
        </w:rPr>
        <w:footnoteReference w:id="119"/>
      </w:r>
      <w:r w:rsidRPr="002B5E33">
        <w:rPr>
          <w:rFonts w:hint="cs"/>
          <w:rtl/>
        </w:rPr>
        <w:t>, כלומר הגילוי הנאות האמור אינו כלי אפקטיבי לצמצום הפגיעה האפשרית בצרכנים.</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בדוח הקודם, כתב משרד מבקר המדינה, כי קיומו של גילוי נאות בדבר ניגוד עניינים אפשריים בתחום הביטוח הפנסיוני, באמצעות מסמך הנמקה "אינו פותר את בעיית ניגוד העניינים המובנה בה מצוי סוכן הביטוח ונוכח רמת האוריינות הפיננסית הנמוכה של האוכלוסייה בישראל אינו אפקטיבי להגנה על ציבור החוסכים. לפיכך על אגף שוק ההון, לא להסתפק בגילוי הנאות בלבד, ועל הביקורת של הגוף המוסדי על יישומו, ולבחון דרכים נוספות להתמודד עם ניגודי העניינים".</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eastAsia"/>
          <w:b/>
          <w:bCs/>
          <w:rtl/>
        </w:rPr>
        <w:t>מומלץ</w:t>
      </w:r>
      <w:r w:rsidRPr="002B5E33">
        <w:rPr>
          <w:b/>
          <w:bCs/>
          <w:rtl/>
        </w:rPr>
        <w:t xml:space="preserve"> כי </w:t>
      </w:r>
      <w:r w:rsidRPr="002B5E33">
        <w:rPr>
          <w:rFonts w:hint="eastAsia"/>
          <w:b/>
          <w:bCs/>
          <w:rtl/>
        </w:rPr>
        <w:t>רשות</w:t>
      </w:r>
      <w:r w:rsidRPr="002B5E33">
        <w:rPr>
          <w:b/>
          <w:bCs/>
          <w:rtl/>
        </w:rPr>
        <w:t xml:space="preserve"> שוק ההון </w:t>
      </w:r>
      <w:r w:rsidRPr="002B5E33">
        <w:rPr>
          <w:rFonts w:hint="eastAsia"/>
          <w:b/>
          <w:bCs/>
          <w:rtl/>
        </w:rPr>
        <w:t>תביא</w:t>
      </w:r>
      <w:r w:rsidRPr="002B5E33">
        <w:rPr>
          <w:b/>
          <w:bCs/>
          <w:rtl/>
        </w:rPr>
        <w:t xml:space="preserve"> בחשבון, בהסדרה עתידית של מעמדם של סוכני הביטוח, לנוכח מורכבות תחום ביטוחי הבריאות, ולנוכח פערי הידע הקיימים בין הציבור ובין סוכני הביטוח,</w:t>
      </w:r>
      <w:r>
        <w:rPr>
          <w:b/>
          <w:bCs/>
          <w:rtl/>
        </w:rPr>
        <w:t xml:space="preserve"> </w:t>
      </w:r>
      <w:r w:rsidRPr="002B5E33">
        <w:rPr>
          <w:b/>
          <w:bCs/>
          <w:rtl/>
        </w:rPr>
        <w:t xml:space="preserve">את נושא </w:t>
      </w:r>
      <w:r w:rsidRPr="002B5E33">
        <w:rPr>
          <w:rFonts w:hint="eastAsia"/>
          <w:b/>
          <w:bCs/>
          <w:rtl/>
        </w:rPr>
        <w:t>הסדרת</w:t>
      </w:r>
      <w:r w:rsidRPr="002B5E33">
        <w:rPr>
          <w:b/>
          <w:bCs/>
          <w:rtl/>
        </w:rPr>
        <w:t xml:space="preserve"> </w:t>
      </w:r>
      <w:r w:rsidRPr="002B5E33">
        <w:rPr>
          <w:rFonts w:hint="eastAsia"/>
          <w:b/>
          <w:bCs/>
          <w:rtl/>
        </w:rPr>
        <w:t>ניגודי</w:t>
      </w:r>
      <w:r w:rsidRPr="002B5E33">
        <w:rPr>
          <w:b/>
          <w:bCs/>
          <w:rtl/>
        </w:rPr>
        <w:t xml:space="preserve"> </w:t>
      </w:r>
      <w:r w:rsidRPr="002B5E33">
        <w:rPr>
          <w:rFonts w:hint="eastAsia"/>
          <w:b/>
          <w:bCs/>
          <w:rtl/>
        </w:rPr>
        <w:t>העניינים</w:t>
      </w:r>
      <w:r w:rsidRPr="002B5E33">
        <w:rPr>
          <w:b/>
          <w:bCs/>
          <w:rtl/>
        </w:rPr>
        <w:t xml:space="preserve"> </w:t>
      </w:r>
      <w:r w:rsidRPr="002B5E33">
        <w:rPr>
          <w:rFonts w:hint="eastAsia"/>
          <w:b/>
          <w:bCs/>
          <w:rtl/>
        </w:rPr>
        <w:t>לרבות</w:t>
      </w:r>
      <w:r w:rsidRPr="002B5E33">
        <w:rPr>
          <w:b/>
          <w:bCs/>
          <w:rtl/>
        </w:rPr>
        <w:t xml:space="preserve"> </w:t>
      </w:r>
      <w:r w:rsidRPr="002B5E33">
        <w:rPr>
          <w:rFonts w:hint="eastAsia"/>
          <w:b/>
          <w:bCs/>
          <w:rtl/>
        </w:rPr>
        <w:t>אפקטיביות</w:t>
      </w:r>
      <w:r w:rsidRPr="002B5E33">
        <w:rPr>
          <w:b/>
          <w:bCs/>
          <w:rtl/>
        </w:rPr>
        <w:t xml:space="preserve"> </w:t>
      </w:r>
      <w:r w:rsidRPr="002B5E33">
        <w:rPr>
          <w:rFonts w:hint="eastAsia"/>
          <w:b/>
          <w:bCs/>
          <w:rtl/>
        </w:rPr>
        <w:t>הגילוי</w:t>
      </w:r>
      <w:r w:rsidRPr="002B5E33">
        <w:rPr>
          <w:b/>
          <w:bCs/>
          <w:rtl/>
        </w:rPr>
        <w:t xml:space="preserve"> </w:t>
      </w:r>
      <w:r w:rsidRPr="002B5E33">
        <w:rPr>
          <w:rFonts w:hint="eastAsia"/>
          <w:b/>
          <w:bCs/>
          <w:rtl/>
        </w:rPr>
        <w:t>הנאות</w:t>
      </w:r>
      <w:r w:rsidRPr="002B5E33">
        <w:rPr>
          <w:b/>
          <w:bCs/>
          <w:rtl/>
        </w:rPr>
        <w:t xml:space="preserve"> </w:t>
      </w:r>
      <w:r w:rsidRPr="002B5E33">
        <w:rPr>
          <w:rFonts w:hint="eastAsia"/>
          <w:b/>
          <w:bCs/>
          <w:rtl/>
        </w:rPr>
        <w:t>ודרכים</w:t>
      </w:r>
      <w:r w:rsidRPr="002B5E33">
        <w:rPr>
          <w:b/>
          <w:bCs/>
          <w:rtl/>
        </w:rPr>
        <w:t xml:space="preserve"> </w:t>
      </w:r>
      <w:r w:rsidRPr="002B5E33">
        <w:rPr>
          <w:rFonts w:hint="eastAsia"/>
          <w:b/>
          <w:bCs/>
          <w:rtl/>
        </w:rPr>
        <w:t>חילופיות</w:t>
      </w:r>
      <w:r w:rsidRPr="002B5E33">
        <w:rPr>
          <w:b/>
          <w:bCs/>
          <w:rtl/>
        </w:rPr>
        <w:t xml:space="preserve"> </w:t>
      </w:r>
      <w:r w:rsidRPr="002B5E33">
        <w:rPr>
          <w:rFonts w:hint="eastAsia"/>
          <w:b/>
          <w:bCs/>
          <w:rtl/>
        </w:rPr>
        <w:t>להתמודד</w:t>
      </w:r>
      <w:r w:rsidRPr="002B5E33">
        <w:rPr>
          <w:b/>
          <w:bCs/>
          <w:rtl/>
        </w:rPr>
        <w:t xml:space="preserve"> </w:t>
      </w:r>
      <w:r w:rsidRPr="002B5E33">
        <w:rPr>
          <w:rFonts w:hint="eastAsia"/>
          <w:b/>
          <w:bCs/>
          <w:rtl/>
        </w:rPr>
        <w:t>עם</w:t>
      </w:r>
      <w:r w:rsidRPr="002B5E33">
        <w:rPr>
          <w:b/>
          <w:bCs/>
          <w:rtl/>
        </w:rPr>
        <w:t xml:space="preserve"> </w:t>
      </w:r>
      <w:r w:rsidRPr="002B5E33">
        <w:rPr>
          <w:rFonts w:hint="eastAsia"/>
          <w:b/>
          <w:bCs/>
          <w:rtl/>
        </w:rPr>
        <w:t>הנושא</w:t>
      </w:r>
      <w:r w:rsidRPr="002B5E33">
        <w:rPr>
          <w:b/>
          <w:bCs/>
          <w:rtl/>
        </w:rPr>
        <w:t>.</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rtl/>
        </w:rPr>
        <w:t>בתשובת רשות שוק ההון נכתב כי הרשות מודעת לשאלות המורכבות המתעוררות בנוגע לחובת הגילוי, והאם חובת הגילוי מסייעת למבוטח בשלב קבלת ההחלטות, אולם לעמדתה מדובר בפעולה נדרשת כחלק ממכלול שלם של פעולות לשם צמצום החשש לניגוד עניינים והגברת השקיפות למבוטח כדי שמועמד לביטוח יוכל לקבל החלטה מושכלת.</w:t>
      </w:r>
    </w:p>
    <w:p w:rsidR="00FA3E7D" w:rsidRPr="002B5E33" w:rsidP="00FA3E7D">
      <w:pPr>
        <w:pStyle w:val="a"/>
        <w:spacing w:line="269" w:lineRule="auto"/>
        <w:rPr>
          <w:rtl/>
        </w:rPr>
      </w:pPr>
    </w:p>
    <w:p w:rsidR="00FA3E7D" w:rsidRPr="002B5E33" w:rsidP="00FA3E7D">
      <w:pPr>
        <w:pStyle w:val="Heading5"/>
        <w:spacing w:line="269" w:lineRule="auto"/>
        <w:rPr>
          <w:rtl/>
        </w:rPr>
      </w:pPr>
      <w:r w:rsidRPr="002B5E33">
        <w:rPr>
          <w:rFonts w:hint="cs"/>
          <w:rtl/>
        </w:rPr>
        <w:t>הצורך בהסדרת חלוקת ההטבות הניתנות לסוכני ביטוח בתמורה לעמידה ביעדי מכירות</w:t>
      </w:r>
    </w:p>
    <w:p w:rsidR="00FA3E7D" w:rsidRPr="002B5E33" w:rsidP="00FA3E7D">
      <w:pPr>
        <w:pStyle w:val="a"/>
        <w:spacing w:line="269" w:lineRule="auto"/>
      </w:pPr>
    </w:p>
    <w:p w:rsidR="00FA3E7D" w:rsidRPr="002B5E33" w:rsidP="00FA3E7D">
      <w:pPr>
        <w:spacing w:line="269" w:lineRule="auto"/>
        <w:rPr>
          <w:rtl/>
        </w:rPr>
      </w:pPr>
      <w:r w:rsidRPr="002B5E33">
        <w:rPr>
          <w:rFonts w:hint="cs"/>
          <w:rtl/>
        </w:rPr>
        <w:t>נוסף על עמלות המשולמות לסוכני הביטוח באופן שוטף, חברות הביטוח נוהגות לקיים מבצעי קידום מכירות בין סוכניהן, בעיקר משני סוגים: (1) מתן תגמול בכסף או בשווה כסף לסוכנים העומדים ביעדים אישיים שקובעת חברת הביטוח; (2) קיום תחרויות בין סוכנים, המזכות את הסוכנים המוכרים פוליסות בסכומים הגבוהים ביותר בפרסים כספיים או בשווה כסף.</w:t>
      </w:r>
    </w:p>
    <w:p w:rsidR="00FA3E7D" w:rsidRPr="002B5E33" w:rsidP="00FA3E7D">
      <w:pPr>
        <w:pStyle w:val="a"/>
        <w:spacing w:line="269" w:lineRule="auto"/>
        <w:rPr>
          <w:rtl/>
        </w:rPr>
      </w:pPr>
    </w:p>
    <w:p w:rsidR="00FA3E7D" w:rsidRPr="002B5E33" w:rsidP="00FA3E7D">
      <w:pPr>
        <w:spacing w:line="269" w:lineRule="auto"/>
        <w:rPr>
          <w:sz w:val="24"/>
        </w:rPr>
      </w:pPr>
      <w:r w:rsidRPr="002B5E33">
        <w:rPr>
          <w:rFonts w:hint="cs"/>
          <w:rtl/>
        </w:rPr>
        <w:t xml:space="preserve">התגמול שמחלקות חברות הביטוח לסוכניהן במסגרת מבצעי קידום המכירות כולל בין היתר: פרסים כספיים בשווי של עד עשרות אלפי שקלים לסוכן, תווי קנייה, נסיעות לחו"ל, חופשות בארץ, שוברים להופעות ולאירועי חוויה, תוספות לעמלות המכירה </w:t>
      </w:r>
      <w:r w:rsidRPr="002B5E33">
        <w:rPr>
          <w:rFonts w:hint="cs"/>
          <w:sz w:val="24"/>
          <w:rtl/>
        </w:rPr>
        <w:t xml:space="preserve">הרגילות, טלפונים סלולריים, מוצרי חשמל ועוד. </w:t>
      </w:r>
    </w:p>
    <w:p w:rsidR="00FA3E7D" w:rsidRPr="002B5E33" w:rsidP="00FA3E7D">
      <w:pPr>
        <w:pStyle w:val="a"/>
        <w:spacing w:line="269" w:lineRule="auto"/>
        <w:rPr>
          <w:rtl/>
        </w:rPr>
      </w:pPr>
    </w:p>
    <w:p w:rsidR="00FA3E7D" w:rsidRPr="002B5E33" w:rsidP="00FA3E7D">
      <w:pPr>
        <w:spacing w:line="269" w:lineRule="auto"/>
        <w:rPr>
          <w:b/>
          <w:bCs/>
          <w:sz w:val="24"/>
        </w:rPr>
      </w:pPr>
      <w:r w:rsidRPr="002B5E33">
        <w:rPr>
          <w:rFonts w:hint="cs"/>
          <w:b/>
          <w:bCs/>
          <w:sz w:val="24"/>
          <w:rtl/>
        </w:rPr>
        <w:t>קיום מבצעי מכירות בקרב סוכני הביטוח בתחום ביטוחי הבריאות מעלה חשש לפגיעה בלקוחות בשל ניגודי עניינים אפשריים של הסוכנים בין טובת הלקוחות לבין ההטבות והתועלת שהם עצמם עשויים להפיק ממכירת הביטוח.</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sz w:val="24"/>
          <w:rtl/>
        </w:rPr>
        <w:t>כדי להגביר את שקיפות המידע העומד לרשות המבוטחים והציבור הרחב ביחס להטבות הניתנות לסוכני ביטוח במסגרת מבצעי מכירות פרסמה רשות שוק ההון חוזר בדבר "מידע נדרש באתר אינטרנט של גוף מוסדי"</w:t>
      </w:r>
      <w:r>
        <w:rPr>
          <w:rStyle w:val="FootnoteReference"/>
          <w:sz w:val="24"/>
          <w:rtl/>
        </w:rPr>
        <w:footnoteReference w:id="120"/>
      </w:r>
      <w:r w:rsidRPr="002B5E33">
        <w:rPr>
          <w:rFonts w:hint="cs"/>
          <w:sz w:val="24"/>
          <w:rtl/>
        </w:rPr>
        <w:t xml:space="preserve">, ובו הנחיות לפרסום מידע בדבר תגמול שמציע גוף מוסדי לבעל רישיון תמורת עמידה בתנאי מבצע קידום מכירות.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במחקר שערכה הרשות לפיקוח על שווקים פיננסיים בניו זילנד, ושתוצאותיו פורסמו במאי 2018</w:t>
      </w:r>
      <w:r>
        <w:rPr>
          <w:rStyle w:val="FootnoteReference"/>
          <w:rtl/>
        </w:rPr>
        <w:footnoteReference w:id="121"/>
      </w:r>
      <w:r w:rsidRPr="002B5E33">
        <w:rPr>
          <w:rFonts w:hint="cs"/>
          <w:rtl/>
        </w:rPr>
        <w:t>, נמצא כי קיים ספק אם יש בגילוי ההטבות הניתנות לסוכנים בתמורה לעמידה ביעדי מכירות כדי להתמודד עם ניגודי העניינים שבהם מצויים הסוכנים בין טובתם האישית לטובת הלקוחות.</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בתחום השיווק הפנסיוני התקבל בשנת 2005 תיקון חקיקה</w:t>
      </w:r>
      <w:r>
        <w:rPr>
          <w:rStyle w:val="FootnoteReference"/>
          <w:rtl/>
        </w:rPr>
        <w:footnoteReference w:id="122"/>
      </w:r>
      <w:r w:rsidRPr="002B5E33">
        <w:rPr>
          <w:rFonts w:hint="cs"/>
          <w:rtl/>
        </w:rPr>
        <w:t xml:space="preserve"> אשר אסר על גוף מוסדי לתת לסוכן ביטוח פנסיוני כל טובת הנאה, במישרין או בעקיפין, בקשר לייעוץ פנסיוני, למעט תשלום עמלת הפצה. ואולם לא הוטלה כל מגבלה על מבצעי קידום מכירות לסוכני ביטוח בתחומי ביטוח אחרים, כביטוחי בריאות</w:t>
      </w:r>
      <w:r>
        <w:rPr>
          <w:rStyle w:val="FootnoteReference"/>
          <w:rtl/>
        </w:rPr>
        <w:footnoteReference w:id="123"/>
      </w:r>
      <w:r w:rsidRPr="002B5E33">
        <w:rPr>
          <w:rFonts w:hint="cs"/>
          <w:rtl/>
        </w:rPr>
        <w:t>.</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 xml:space="preserve">מומלץ כי רשות שוק ההון תשקול, במסגרת הסדרת המודלים השונים לפעילותם של סוכני הביטוח, את סוגית קיום מבצעי מכירות </w:t>
      </w:r>
      <w:r w:rsidRPr="002B5E33">
        <w:rPr>
          <w:rFonts w:hint="eastAsia"/>
          <w:b/>
          <w:bCs/>
          <w:rtl/>
        </w:rPr>
        <w:t>ואת</w:t>
      </w:r>
      <w:r w:rsidRPr="002B5E33">
        <w:rPr>
          <w:b/>
          <w:bCs/>
          <w:rtl/>
        </w:rPr>
        <w:t xml:space="preserve"> </w:t>
      </w:r>
      <w:r w:rsidRPr="002B5E33">
        <w:rPr>
          <w:rFonts w:hint="eastAsia"/>
          <w:b/>
          <w:bCs/>
          <w:rtl/>
        </w:rPr>
        <w:t>מתכונת</w:t>
      </w:r>
      <w:r w:rsidRPr="002B5E33">
        <w:rPr>
          <w:b/>
          <w:bCs/>
          <w:rtl/>
        </w:rPr>
        <w:t xml:space="preserve"> </w:t>
      </w:r>
      <w:r w:rsidRPr="002B5E33">
        <w:rPr>
          <w:rFonts w:hint="eastAsia"/>
          <w:b/>
          <w:bCs/>
          <w:rtl/>
        </w:rPr>
        <w:t>הפרטים</w:t>
      </w:r>
      <w:r w:rsidRPr="002B5E33">
        <w:rPr>
          <w:b/>
          <w:bCs/>
          <w:rtl/>
        </w:rPr>
        <w:t xml:space="preserve"> </w:t>
      </w:r>
      <w:r w:rsidRPr="002B5E33">
        <w:rPr>
          <w:rFonts w:hint="eastAsia"/>
          <w:b/>
          <w:bCs/>
          <w:rtl/>
        </w:rPr>
        <w:t>של</w:t>
      </w:r>
      <w:r w:rsidRPr="002B5E33">
        <w:rPr>
          <w:b/>
          <w:bCs/>
          <w:rtl/>
        </w:rPr>
        <w:t xml:space="preserve"> </w:t>
      </w:r>
      <w:r w:rsidRPr="002B5E33">
        <w:rPr>
          <w:rFonts w:hint="eastAsia"/>
          <w:b/>
          <w:bCs/>
          <w:rtl/>
        </w:rPr>
        <w:t>מבצע</w:t>
      </w:r>
      <w:r w:rsidRPr="002B5E33">
        <w:rPr>
          <w:rFonts w:hint="cs"/>
          <w:b/>
          <w:bCs/>
          <w:rtl/>
        </w:rPr>
        <w:t>י</w:t>
      </w:r>
      <w:r w:rsidRPr="002B5E33">
        <w:rPr>
          <w:b/>
          <w:bCs/>
          <w:rtl/>
        </w:rPr>
        <w:t xml:space="preserve"> </w:t>
      </w:r>
      <w:r w:rsidRPr="002B5E33">
        <w:rPr>
          <w:rFonts w:hint="eastAsia"/>
          <w:b/>
          <w:bCs/>
          <w:rtl/>
        </w:rPr>
        <w:t>מכירות</w:t>
      </w:r>
      <w:r w:rsidRPr="002B5E33">
        <w:rPr>
          <w:b/>
          <w:bCs/>
          <w:rtl/>
        </w:rPr>
        <w:t xml:space="preserve"> </w:t>
      </w:r>
      <w:r w:rsidRPr="002B5E33">
        <w:rPr>
          <w:rFonts w:hint="eastAsia"/>
          <w:b/>
          <w:bCs/>
          <w:rtl/>
        </w:rPr>
        <w:t>אלו</w:t>
      </w:r>
      <w:r w:rsidRPr="002B5E33">
        <w:rPr>
          <w:rFonts w:hint="cs"/>
          <w:b/>
          <w:bCs/>
          <w:rtl/>
        </w:rPr>
        <w:t>, לרבות הבאתם לידיעת הלקוחות</w:t>
      </w:r>
      <w:r>
        <w:rPr>
          <w:rStyle w:val="FootnoteReference"/>
          <w:b/>
          <w:bCs/>
          <w:rtl/>
        </w:rPr>
        <w:footnoteReference w:id="124"/>
      </w:r>
      <w:r w:rsidRPr="002B5E33">
        <w:rPr>
          <w:rFonts w:hint="cs"/>
          <w:b/>
          <w:bCs/>
          <w:rtl/>
        </w:rPr>
        <w:t>.</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רשות שוק ההון הסבירה</w:t>
      </w:r>
      <w:r>
        <w:rPr>
          <w:rFonts w:hint="cs"/>
          <w:rtl/>
        </w:rPr>
        <w:t xml:space="preserve"> </w:t>
      </w:r>
      <w:r w:rsidRPr="002B5E33">
        <w:rPr>
          <w:rFonts w:hint="cs"/>
          <w:rtl/>
        </w:rPr>
        <w:t>בתשובתה כי במסגרת שינויי הרגולציה העתידיים היא תסדיר גם את נושא התגמול העקיף שסוכן מקבל מחברת הביטוח. הרשות רואה בנושא הגבלת התגמול העקיף לסוכנים, בהמשך להסדרת נושא מתן מתנות למבוטחים שפורסמה בחוזר, צעד משלים לצמצום הטיית הסוכן לחברה, ולהענקת אפשרות למבוטח לבחירה אובייקטיבית במוצר ביטוחי ללא גורמים מטים.</w:t>
      </w:r>
    </w:p>
    <w:p w:rsidR="00FA3E7D" w:rsidRPr="002B5E33" w:rsidP="00FA3E7D">
      <w:pPr>
        <w:spacing w:line="269" w:lineRule="auto"/>
        <w:rPr>
          <w:rtl/>
        </w:rPr>
      </w:pPr>
    </w:p>
    <w:p w:rsidR="00FA3E7D" w:rsidRPr="002B5E33" w:rsidP="00FA3E7D">
      <w:pPr>
        <w:pStyle w:val="Heading5"/>
        <w:spacing w:line="269" w:lineRule="auto"/>
      </w:pPr>
      <w:r w:rsidRPr="002B5E33">
        <w:rPr>
          <w:rFonts w:hint="cs"/>
          <w:rtl/>
        </w:rPr>
        <w:t>איסוף נתונים על החלפת פוליסות</w:t>
      </w:r>
    </w:p>
    <w:p w:rsidR="00FA3E7D" w:rsidRPr="002B5E33" w:rsidP="00FA3E7D">
      <w:pPr>
        <w:pStyle w:val="a"/>
        <w:rPr>
          <w:rtl/>
        </w:rPr>
      </w:pPr>
    </w:p>
    <w:p w:rsidR="00FA3E7D" w:rsidP="00FA3E7D">
      <w:pPr>
        <w:spacing w:line="269" w:lineRule="auto"/>
        <w:rPr>
          <w:rtl/>
        </w:rPr>
      </w:pPr>
      <w:r w:rsidRPr="002B5E33">
        <w:rPr>
          <w:rFonts w:hint="cs"/>
          <w:rtl/>
        </w:rPr>
        <w:t>אחד מגורמי אי הוודאות הבאים לידי ביטוי בעלויות פוליסות הביטוח, ובפרט בפוליסות ארוכות טווח כפוליסות ביטוחי בריאות, הוא שיעור הביטולים של פוליסות קיימות</w:t>
      </w:r>
      <w:r>
        <w:rPr>
          <w:rStyle w:val="FootnoteReference"/>
          <w:rtl/>
        </w:rPr>
        <w:footnoteReference w:id="125"/>
      </w:r>
      <w:r w:rsidRPr="002B5E33">
        <w:rPr>
          <w:rFonts w:hint="cs"/>
          <w:rtl/>
        </w:rPr>
        <w:t xml:space="preserve">. ביטולי פוליסות עשויים לנבוע מכמה סיבות, למשל ביוזמת החברה עקב הפסקת תשלום הפרמיות, או ביוזמת המבוטח, לרבות במקרים של החלפת פוליסה בפוליסה של חברה אחרת. </w:t>
      </w:r>
    </w:p>
    <w:p w:rsidR="00FA3E7D" w:rsidP="00FA3E7D">
      <w:pPr>
        <w:pStyle w:val="a"/>
        <w:spacing w:line="269" w:lineRule="auto"/>
        <w:rPr>
          <w:rtl/>
        </w:rPr>
      </w:pP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תופעת החלפת הפוליסות (טוויסטינג) מוכרת בתחום הביטוח כאחד מהסיכונים המרכזיים לפגיעה בזכויותיהם של מבוטחים הנובעת ממבנה התגמול של סוכני הביטוח. במדינות רבות בארה"ב, החלפת פוליסות ביטוח תוך פגיעה בצרכנים מוכרת כעבירה פלילית</w:t>
      </w:r>
      <w:r>
        <w:rPr>
          <w:rStyle w:val="FootnoteReference"/>
          <w:rtl/>
        </w:rPr>
        <w:footnoteReference w:id="126"/>
      </w:r>
      <w:r w:rsidRPr="002B5E33">
        <w:rPr>
          <w:rFonts w:hint="cs"/>
          <w:rtl/>
        </w:rPr>
        <w:t xml:space="preserve">.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להלן שיעור ביטולי פוליסות ביטוח בריאות בשנים 2016 - 2018 (לחברות בעלות נתח השוק הגדול בתחום ביטוחי הבריאות):</w:t>
      </w:r>
    </w:p>
    <w:p w:rsidR="00FA3E7D" w:rsidRPr="002B5E33" w:rsidP="00FA3E7D">
      <w:pPr>
        <w:pStyle w:val="a"/>
        <w:spacing w:line="269" w:lineRule="auto"/>
        <w:rPr>
          <w:rtl/>
        </w:rPr>
      </w:pPr>
    </w:p>
    <w:p w:rsidR="00FA3E7D" w:rsidRPr="00B63867" w:rsidP="00B63867">
      <w:pPr>
        <w:spacing w:after="120" w:line="269" w:lineRule="auto"/>
        <w:jc w:val="center"/>
        <w:rPr>
          <w:b/>
          <w:bCs/>
          <w:rtl/>
        </w:rPr>
      </w:pPr>
      <w:r w:rsidRPr="002B5E33">
        <w:rPr>
          <w:rFonts w:hint="eastAsia"/>
          <w:b/>
          <w:bCs/>
          <w:rtl/>
        </w:rPr>
        <w:t>לוח</w:t>
      </w:r>
      <w:r w:rsidRPr="002B5E33">
        <w:rPr>
          <w:b/>
          <w:bCs/>
          <w:rtl/>
        </w:rPr>
        <w:t xml:space="preserve"> </w:t>
      </w:r>
      <w:r w:rsidRPr="002B5E33">
        <w:rPr>
          <w:rFonts w:hint="cs"/>
          <w:b/>
          <w:bCs/>
          <w:rtl/>
        </w:rPr>
        <w:t>3</w:t>
      </w:r>
      <w:r w:rsidR="00B63867">
        <w:rPr>
          <w:rFonts w:hint="cs"/>
          <w:b/>
          <w:bCs/>
          <w:rtl/>
        </w:rPr>
        <w:t xml:space="preserve">: </w:t>
      </w:r>
      <w:r w:rsidRPr="002B5E33">
        <w:rPr>
          <w:rFonts w:hint="eastAsia"/>
          <w:b/>
          <w:bCs/>
          <w:rtl/>
        </w:rPr>
        <w:t>שיעור</w:t>
      </w:r>
      <w:r w:rsidRPr="002B5E33">
        <w:rPr>
          <w:b/>
          <w:bCs/>
          <w:rtl/>
        </w:rPr>
        <w:t xml:space="preserve"> </w:t>
      </w:r>
      <w:r w:rsidRPr="002B5E33">
        <w:rPr>
          <w:rFonts w:hint="eastAsia"/>
          <w:b/>
          <w:bCs/>
          <w:rtl/>
        </w:rPr>
        <w:t>ביטולי</w:t>
      </w:r>
      <w:r w:rsidRPr="002B5E33">
        <w:rPr>
          <w:b/>
          <w:bCs/>
          <w:rtl/>
        </w:rPr>
        <w:t xml:space="preserve"> </w:t>
      </w:r>
      <w:r w:rsidRPr="002B5E33">
        <w:rPr>
          <w:rFonts w:hint="eastAsia"/>
          <w:b/>
          <w:bCs/>
          <w:rtl/>
        </w:rPr>
        <w:t>פוליסות</w:t>
      </w:r>
      <w:r w:rsidRPr="002B5E33">
        <w:rPr>
          <w:b/>
          <w:bCs/>
          <w:rtl/>
        </w:rPr>
        <w:t xml:space="preserve"> </w:t>
      </w:r>
      <w:r w:rsidRPr="002B5E33">
        <w:rPr>
          <w:rFonts w:hint="eastAsia"/>
          <w:b/>
          <w:bCs/>
          <w:rtl/>
        </w:rPr>
        <w:t>ביטוח</w:t>
      </w:r>
      <w:r w:rsidRPr="002B5E33">
        <w:rPr>
          <w:b/>
          <w:bCs/>
          <w:rtl/>
        </w:rPr>
        <w:t xml:space="preserve"> </w:t>
      </w:r>
      <w:r w:rsidRPr="002B5E33">
        <w:rPr>
          <w:rFonts w:hint="eastAsia"/>
          <w:b/>
          <w:bCs/>
          <w:rtl/>
        </w:rPr>
        <w:t>בריאות</w:t>
      </w:r>
      <w:r w:rsidRPr="002B5E33">
        <w:rPr>
          <w:b/>
          <w:bCs/>
          <w:rtl/>
        </w:rPr>
        <w:t xml:space="preserve"> </w:t>
      </w:r>
      <w:r w:rsidRPr="002B5E33">
        <w:rPr>
          <w:rFonts w:hint="eastAsia"/>
          <w:b/>
          <w:bCs/>
          <w:rtl/>
        </w:rPr>
        <w:t>של</w:t>
      </w:r>
      <w:r w:rsidRPr="002B5E33">
        <w:rPr>
          <w:b/>
          <w:bCs/>
          <w:rtl/>
        </w:rPr>
        <w:t xml:space="preserve"> </w:t>
      </w:r>
      <w:r w:rsidRPr="002B5E33">
        <w:rPr>
          <w:rFonts w:hint="eastAsia"/>
          <w:b/>
          <w:bCs/>
          <w:rtl/>
        </w:rPr>
        <w:t>חברות</w:t>
      </w:r>
      <w:r w:rsidRPr="002B5E33">
        <w:rPr>
          <w:b/>
          <w:bCs/>
          <w:rtl/>
        </w:rPr>
        <w:t xml:space="preserve"> </w:t>
      </w:r>
      <w:r w:rsidRPr="002B5E33">
        <w:rPr>
          <w:rFonts w:hint="eastAsia"/>
          <w:b/>
          <w:bCs/>
          <w:rtl/>
        </w:rPr>
        <w:t>הביטוח</w:t>
      </w:r>
      <w:r w:rsidRPr="002B5E33">
        <w:rPr>
          <w:b/>
          <w:bCs/>
          <w:rtl/>
        </w:rPr>
        <w:t xml:space="preserve"> </w:t>
      </w:r>
      <w:r w:rsidRPr="002B5E33">
        <w:rPr>
          <w:rFonts w:hint="eastAsia"/>
          <w:b/>
          <w:bCs/>
          <w:rtl/>
        </w:rPr>
        <w:t>הגדולות</w:t>
      </w:r>
      <w:r w:rsidRPr="002B5E33">
        <w:rPr>
          <w:b/>
          <w:bCs/>
          <w:rtl/>
        </w:rPr>
        <w:t xml:space="preserve"> </w:t>
      </w:r>
      <w:r w:rsidRPr="002B5E33">
        <w:rPr>
          <w:rFonts w:hint="eastAsia"/>
          <w:b/>
          <w:bCs/>
          <w:rtl/>
        </w:rPr>
        <w:t>בעלות</w:t>
      </w:r>
      <w:r w:rsidRPr="002B5E33">
        <w:rPr>
          <w:b/>
          <w:bCs/>
          <w:rtl/>
        </w:rPr>
        <w:t xml:space="preserve"> </w:t>
      </w:r>
      <w:r w:rsidRPr="002B5E33">
        <w:rPr>
          <w:rFonts w:hint="eastAsia"/>
          <w:b/>
          <w:bCs/>
          <w:rtl/>
        </w:rPr>
        <w:t>נתח</w:t>
      </w:r>
      <w:r w:rsidRPr="002B5E33">
        <w:rPr>
          <w:b/>
          <w:bCs/>
          <w:rtl/>
        </w:rPr>
        <w:t xml:space="preserve"> </w:t>
      </w:r>
      <w:r w:rsidRPr="002B5E33">
        <w:rPr>
          <w:rFonts w:hint="eastAsia"/>
          <w:b/>
          <w:bCs/>
          <w:rtl/>
        </w:rPr>
        <w:t>השוק</w:t>
      </w:r>
      <w:r w:rsidRPr="002B5E33">
        <w:rPr>
          <w:b/>
          <w:bCs/>
          <w:rtl/>
        </w:rPr>
        <w:t xml:space="preserve"> </w:t>
      </w:r>
      <w:r w:rsidRPr="002B5E33">
        <w:rPr>
          <w:rFonts w:hint="eastAsia"/>
          <w:b/>
          <w:bCs/>
          <w:rtl/>
        </w:rPr>
        <w:t>הגדול</w:t>
      </w:r>
      <w:r w:rsidRPr="002B5E33">
        <w:rPr>
          <w:b/>
          <w:bCs/>
          <w:rtl/>
        </w:rPr>
        <w:t xml:space="preserve"> </w:t>
      </w:r>
      <w:r w:rsidRPr="002B5E33">
        <w:rPr>
          <w:rFonts w:hint="eastAsia"/>
          <w:b/>
          <w:bCs/>
          <w:rtl/>
        </w:rPr>
        <w:t>בתחום</w:t>
      </w:r>
      <w:r w:rsidRPr="002B5E33">
        <w:rPr>
          <w:b/>
          <w:bCs/>
          <w:rtl/>
        </w:rPr>
        <w:t xml:space="preserve"> </w:t>
      </w:r>
      <w:r w:rsidRPr="002B5E33">
        <w:rPr>
          <w:rFonts w:hint="eastAsia"/>
          <w:b/>
          <w:bCs/>
          <w:rtl/>
        </w:rPr>
        <w:t>ביטוחי</w:t>
      </w:r>
      <w:r w:rsidRPr="002B5E33">
        <w:rPr>
          <w:b/>
          <w:bCs/>
          <w:rtl/>
        </w:rPr>
        <w:t xml:space="preserve"> </w:t>
      </w:r>
      <w:r w:rsidRPr="002B5E33">
        <w:rPr>
          <w:rFonts w:hint="eastAsia"/>
          <w:b/>
          <w:bCs/>
          <w:rtl/>
        </w:rPr>
        <w:t>הבריאות</w:t>
      </w:r>
      <w:r w:rsidRPr="002B5E33">
        <w:rPr>
          <w:b/>
          <w:bCs/>
          <w:rtl/>
        </w:rPr>
        <w:t xml:space="preserve">, </w:t>
      </w:r>
      <w:r w:rsidRPr="002B5E33">
        <w:rPr>
          <w:rFonts w:hint="eastAsia"/>
          <w:b/>
          <w:bCs/>
          <w:rtl/>
        </w:rPr>
        <w:t>בשנים</w:t>
      </w:r>
      <w:r w:rsidRPr="002B5E33">
        <w:rPr>
          <w:b/>
          <w:bCs/>
          <w:rtl/>
        </w:rPr>
        <w:t xml:space="preserve"> 2018-2016</w:t>
      </w:r>
    </w:p>
    <w:tbl>
      <w:tblPr>
        <w:tblStyle w:val="5-31"/>
        <w:bidiVisual/>
        <w:tblW w:w="5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8"/>
        <w:gridCol w:w="1437"/>
        <w:gridCol w:w="1437"/>
        <w:gridCol w:w="1437"/>
      </w:tblGrid>
      <w:tr w:rsidTr="00CB009B">
        <w:tblPrEx>
          <w:tblW w:w="5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498" w:type="dxa"/>
            <w:tcBorders>
              <w:top w:val="none" w:sz="0" w:space="0" w:color="auto"/>
              <w:left w:val="none" w:sz="0" w:space="0" w:color="auto"/>
              <w:right w:val="none" w:sz="0" w:space="0" w:color="auto"/>
            </w:tcBorders>
            <w:shd w:val="clear" w:color="auto" w:fill="auto"/>
            <w:vAlign w:val="center"/>
          </w:tcPr>
          <w:p w:rsidR="00FA3E7D" w:rsidRPr="00CB11EF" w:rsidP="00B63867">
            <w:pPr>
              <w:spacing w:before="30" w:after="30" w:line="240" w:lineRule="exact"/>
              <w:rPr>
                <w:sz w:val="22"/>
                <w:szCs w:val="22"/>
                <w:rtl/>
              </w:rPr>
            </w:pPr>
            <w:r w:rsidRPr="00CB11EF">
              <w:rPr>
                <w:rFonts w:hint="cs"/>
                <w:color w:val="auto"/>
                <w:sz w:val="22"/>
                <w:szCs w:val="22"/>
                <w:rtl/>
              </w:rPr>
              <w:t>חברה</w:t>
            </w:r>
          </w:p>
        </w:tc>
        <w:tc>
          <w:tcPr>
            <w:tcW w:w="1437" w:type="dxa"/>
            <w:tcBorders>
              <w:top w:val="none" w:sz="0" w:space="0" w:color="auto"/>
              <w:left w:val="none" w:sz="0" w:space="0" w:color="auto"/>
              <w:right w:val="none" w:sz="0" w:space="0" w:color="auto"/>
            </w:tcBorders>
            <w:shd w:val="clear" w:color="auto" w:fill="auto"/>
            <w:vAlign w:val="center"/>
          </w:tcPr>
          <w:p w:rsidR="00FA3E7D" w:rsidRPr="00CB11EF" w:rsidP="00983060">
            <w:pPr>
              <w:spacing w:before="30" w:after="30" w:line="240" w:lineRule="exact"/>
              <w:jc w:val="center"/>
              <w:rPr>
                <w:sz w:val="22"/>
                <w:szCs w:val="22"/>
                <w:rtl/>
              </w:rPr>
            </w:pPr>
            <w:r w:rsidRPr="00CB11EF">
              <w:rPr>
                <w:rFonts w:hint="cs"/>
                <w:color w:val="auto"/>
                <w:sz w:val="22"/>
                <w:szCs w:val="22"/>
                <w:rtl/>
              </w:rPr>
              <w:t>2016</w:t>
            </w:r>
          </w:p>
        </w:tc>
        <w:tc>
          <w:tcPr>
            <w:tcW w:w="1437" w:type="dxa"/>
            <w:tcBorders>
              <w:top w:val="none" w:sz="0" w:space="0" w:color="auto"/>
              <w:left w:val="none" w:sz="0" w:space="0" w:color="auto"/>
              <w:right w:val="none" w:sz="0" w:space="0" w:color="auto"/>
            </w:tcBorders>
            <w:shd w:val="clear" w:color="auto" w:fill="auto"/>
            <w:vAlign w:val="center"/>
          </w:tcPr>
          <w:p w:rsidR="00FA3E7D" w:rsidRPr="00CB11EF" w:rsidP="00983060">
            <w:pPr>
              <w:spacing w:before="30" w:after="30" w:line="240" w:lineRule="exact"/>
              <w:jc w:val="center"/>
              <w:rPr>
                <w:sz w:val="22"/>
                <w:szCs w:val="22"/>
                <w:rtl/>
              </w:rPr>
            </w:pPr>
            <w:r w:rsidRPr="00CB11EF">
              <w:rPr>
                <w:rFonts w:hint="cs"/>
                <w:color w:val="auto"/>
                <w:sz w:val="22"/>
                <w:szCs w:val="22"/>
                <w:rtl/>
              </w:rPr>
              <w:t>2017</w:t>
            </w:r>
          </w:p>
        </w:tc>
        <w:tc>
          <w:tcPr>
            <w:tcW w:w="1437" w:type="dxa"/>
            <w:tcBorders>
              <w:top w:val="none" w:sz="0" w:space="0" w:color="auto"/>
              <w:left w:val="none" w:sz="0" w:space="0" w:color="auto"/>
              <w:right w:val="none" w:sz="0" w:space="0" w:color="auto"/>
            </w:tcBorders>
            <w:shd w:val="clear" w:color="auto" w:fill="auto"/>
            <w:vAlign w:val="center"/>
          </w:tcPr>
          <w:p w:rsidR="00FA3E7D" w:rsidRPr="00CB11EF" w:rsidP="00983060">
            <w:pPr>
              <w:spacing w:before="30" w:after="30" w:line="240" w:lineRule="exact"/>
              <w:jc w:val="center"/>
              <w:rPr>
                <w:sz w:val="22"/>
                <w:szCs w:val="22"/>
                <w:rtl/>
              </w:rPr>
            </w:pPr>
            <w:r w:rsidRPr="00CB11EF">
              <w:rPr>
                <w:rFonts w:hint="cs"/>
                <w:color w:val="auto"/>
                <w:sz w:val="22"/>
                <w:szCs w:val="22"/>
                <w:rtl/>
              </w:rPr>
              <w:t>2018</w:t>
            </w:r>
          </w:p>
        </w:tc>
      </w:tr>
      <w:tr w:rsidTr="00CB009B">
        <w:tblPrEx>
          <w:tblW w:w="5809" w:type="dxa"/>
          <w:jc w:val="center"/>
          <w:tblLook w:val="04A0"/>
        </w:tblPrEx>
        <w:trPr>
          <w:jc w:val="center"/>
        </w:trPr>
        <w:tc>
          <w:tcPr>
            <w:tcW w:w="1498" w:type="dxa"/>
            <w:tcBorders>
              <w:left w:val="none" w:sz="0" w:space="0" w:color="auto"/>
            </w:tcBorders>
            <w:shd w:val="clear" w:color="auto" w:fill="auto"/>
            <w:vAlign w:val="center"/>
          </w:tcPr>
          <w:p w:rsidR="00FA3E7D" w:rsidRPr="00CB11EF" w:rsidP="00B63867">
            <w:pPr>
              <w:spacing w:before="30" w:after="30" w:line="240" w:lineRule="exact"/>
              <w:rPr>
                <w:rFonts w:ascii="Arial" w:hAnsi="Arial"/>
                <w:sz w:val="22"/>
                <w:szCs w:val="22"/>
              </w:rPr>
            </w:pPr>
            <w:r w:rsidRPr="00CB11EF">
              <w:rPr>
                <w:rFonts w:ascii="Arial" w:hAnsi="Arial" w:hint="cs"/>
                <w:color w:val="auto"/>
                <w:sz w:val="22"/>
                <w:szCs w:val="22"/>
                <w:rtl/>
              </w:rPr>
              <w:t>חברה א'</w:t>
            </w:r>
          </w:p>
        </w:tc>
        <w:tc>
          <w:tcPr>
            <w:tcW w:w="1437" w:type="dxa"/>
            <w:shd w:val="clear" w:color="auto" w:fill="auto"/>
            <w:vAlign w:val="center"/>
          </w:tcPr>
          <w:p w:rsidR="00FA3E7D" w:rsidRPr="00CB11EF" w:rsidP="00B63867">
            <w:pPr>
              <w:bidi w:val="0"/>
              <w:spacing w:before="30" w:after="30" w:line="240" w:lineRule="exact"/>
              <w:jc w:val="right"/>
              <w:rPr>
                <w:rFonts w:ascii="Arial" w:hAnsi="Arial"/>
                <w:sz w:val="22"/>
                <w:szCs w:val="22"/>
                <w:rtl/>
              </w:rPr>
            </w:pPr>
            <w:r w:rsidRPr="00CB11EF">
              <w:rPr>
                <w:rFonts w:ascii="Arial" w:hAnsi="Arial"/>
                <w:sz w:val="22"/>
                <w:szCs w:val="22"/>
              </w:rPr>
              <w:t>13.90%</w:t>
            </w:r>
          </w:p>
        </w:tc>
        <w:tc>
          <w:tcPr>
            <w:tcW w:w="1437" w:type="dxa"/>
            <w:shd w:val="clear" w:color="auto" w:fill="auto"/>
            <w:vAlign w:val="center"/>
          </w:tcPr>
          <w:p w:rsidR="00FA3E7D" w:rsidRPr="00CB11EF" w:rsidP="00B63867">
            <w:pPr>
              <w:bidi w:val="0"/>
              <w:spacing w:before="30" w:after="30" w:line="240" w:lineRule="exact"/>
              <w:jc w:val="right"/>
              <w:rPr>
                <w:rFonts w:ascii="Arial" w:hAnsi="Arial"/>
                <w:sz w:val="22"/>
                <w:szCs w:val="22"/>
              </w:rPr>
            </w:pPr>
            <w:r w:rsidRPr="00CB11EF">
              <w:rPr>
                <w:rFonts w:ascii="Arial" w:hAnsi="Arial"/>
                <w:sz w:val="22"/>
                <w:szCs w:val="22"/>
              </w:rPr>
              <w:t>14.40%</w:t>
            </w:r>
          </w:p>
        </w:tc>
        <w:tc>
          <w:tcPr>
            <w:tcW w:w="1437" w:type="dxa"/>
            <w:shd w:val="clear" w:color="auto" w:fill="auto"/>
            <w:vAlign w:val="center"/>
          </w:tcPr>
          <w:p w:rsidR="00FA3E7D" w:rsidRPr="00CB11EF" w:rsidP="00B63867">
            <w:pPr>
              <w:bidi w:val="0"/>
              <w:spacing w:before="30" w:after="30" w:line="240" w:lineRule="exact"/>
              <w:jc w:val="right"/>
              <w:rPr>
                <w:rFonts w:ascii="Arial" w:hAnsi="Arial"/>
                <w:sz w:val="22"/>
                <w:szCs w:val="22"/>
              </w:rPr>
            </w:pPr>
            <w:r w:rsidRPr="00CB11EF">
              <w:rPr>
                <w:rFonts w:ascii="Arial" w:hAnsi="Arial"/>
                <w:sz w:val="22"/>
                <w:szCs w:val="22"/>
              </w:rPr>
              <w:t>15%</w:t>
            </w:r>
          </w:p>
        </w:tc>
      </w:tr>
      <w:tr w:rsidTr="00CB009B">
        <w:tblPrEx>
          <w:tblW w:w="5809" w:type="dxa"/>
          <w:jc w:val="center"/>
          <w:tblLook w:val="04A0"/>
        </w:tblPrEx>
        <w:trPr>
          <w:jc w:val="center"/>
        </w:trPr>
        <w:tc>
          <w:tcPr>
            <w:tcW w:w="1498" w:type="dxa"/>
            <w:tcBorders>
              <w:left w:val="none" w:sz="0" w:space="0" w:color="auto"/>
            </w:tcBorders>
            <w:shd w:val="clear" w:color="auto" w:fill="auto"/>
            <w:vAlign w:val="center"/>
          </w:tcPr>
          <w:p w:rsidR="00FA3E7D" w:rsidRPr="00CB11EF" w:rsidP="00B63867">
            <w:pPr>
              <w:spacing w:before="30" w:after="30" w:line="240" w:lineRule="exact"/>
              <w:rPr>
                <w:rFonts w:ascii="Arial" w:hAnsi="Arial"/>
                <w:sz w:val="22"/>
                <w:szCs w:val="22"/>
              </w:rPr>
            </w:pPr>
            <w:r w:rsidRPr="00CB11EF">
              <w:rPr>
                <w:rFonts w:ascii="Arial" w:hAnsi="Arial" w:hint="cs"/>
                <w:color w:val="auto"/>
                <w:sz w:val="22"/>
                <w:szCs w:val="22"/>
                <w:rtl/>
              </w:rPr>
              <w:t>חברה ב'</w:t>
            </w:r>
          </w:p>
        </w:tc>
        <w:tc>
          <w:tcPr>
            <w:tcW w:w="1437" w:type="dxa"/>
            <w:shd w:val="clear" w:color="auto" w:fill="auto"/>
            <w:vAlign w:val="center"/>
          </w:tcPr>
          <w:p w:rsidR="00FA3E7D" w:rsidRPr="00CB11EF" w:rsidP="00B63867">
            <w:pPr>
              <w:bidi w:val="0"/>
              <w:spacing w:before="30" w:after="30" w:line="240" w:lineRule="exact"/>
              <w:jc w:val="right"/>
              <w:rPr>
                <w:rFonts w:ascii="Arial" w:hAnsi="Arial"/>
                <w:sz w:val="22"/>
                <w:szCs w:val="22"/>
                <w:rtl/>
              </w:rPr>
            </w:pPr>
            <w:r w:rsidRPr="00CB11EF">
              <w:rPr>
                <w:rFonts w:ascii="Arial" w:hAnsi="Arial"/>
                <w:sz w:val="22"/>
                <w:szCs w:val="22"/>
              </w:rPr>
              <w:t>8.82%</w:t>
            </w:r>
          </w:p>
        </w:tc>
        <w:tc>
          <w:tcPr>
            <w:tcW w:w="1437" w:type="dxa"/>
            <w:shd w:val="clear" w:color="auto" w:fill="auto"/>
            <w:vAlign w:val="center"/>
          </w:tcPr>
          <w:p w:rsidR="00FA3E7D" w:rsidRPr="00CB11EF" w:rsidP="00B63867">
            <w:pPr>
              <w:bidi w:val="0"/>
              <w:spacing w:before="30" w:after="30" w:line="240" w:lineRule="exact"/>
              <w:jc w:val="right"/>
              <w:rPr>
                <w:rFonts w:ascii="Arial" w:hAnsi="Arial"/>
                <w:sz w:val="22"/>
                <w:szCs w:val="22"/>
              </w:rPr>
            </w:pPr>
            <w:r w:rsidRPr="00CB11EF">
              <w:rPr>
                <w:rFonts w:ascii="Arial" w:hAnsi="Arial"/>
                <w:sz w:val="22"/>
                <w:szCs w:val="22"/>
              </w:rPr>
              <w:t>8.70%</w:t>
            </w:r>
          </w:p>
        </w:tc>
        <w:tc>
          <w:tcPr>
            <w:tcW w:w="1437" w:type="dxa"/>
            <w:shd w:val="clear" w:color="auto" w:fill="auto"/>
            <w:vAlign w:val="center"/>
          </w:tcPr>
          <w:p w:rsidR="00FA3E7D" w:rsidRPr="00CB11EF" w:rsidP="00B63867">
            <w:pPr>
              <w:bidi w:val="0"/>
              <w:spacing w:before="30" w:after="30" w:line="240" w:lineRule="exact"/>
              <w:jc w:val="right"/>
              <w:rPr>
                <w:rFonts w:ascii="Arial" w:hAnsi="Arial"/>
                <w:sz w:val="22"/>
                <w:szCs w:val="22"/>
              </w:rPr>
            </w:pPr>
            <w:r w:rsidRPr="00CB11EF">
              <w:rPr>
                <w:rFonts w:ascii="Arial" w:hAnsi="Arial"/>
                <w:sz w:val="22"/>
                <w:szCs w:val="22"/>
              </w:rPr>
              <w:t>10.30%</w:t>
            </w:r>
          </w:p>
        </w:tc>
      </w:tr>
      <w:tr w:rsidTr="00CB009B">
        <w:tblPrEx>
          <w:tblW w:w="5809" w:type="dxa"/>
          <w:jc w:val="center"/>
          <w:tblLook w:val="04A0"/>
        </w:tblPrEx>
        <w:trPr>
          <w:jc w:val="center"/>
        </w:trPr>
        <w:tc>
          <w:tcPr>
            <w:tcW w:w="1498" w:type="dxa"/>
            <w:tcBorders>
              <w:left w:val="none" w:sz="0" w:space="0" w:color="auto"/>
            </w:tcBorders>
            <w:shd w:val="clear" w:color="auto" w:fill="auto"/>
            <w:vAlign w:val="center"/>
          </w:tcPr>
          <w:p w:rsidR="00FA3E7D" w:rsidRPr="00CB11EF" w:rsidP="00B63867">
            <w:pPr>
              <w:spacing w:before="30" w:after="30" w:line="240" w:lineRule="exact"/>
              <w:rPr>
                <w:rFonts w:ascii="Arial" w:hAnsi="Arial"/>
                <w:sz w:val="22"/>
                <w:szCs w:val="22"/>
              </w:rPr>
            </w:pPr>
            <w:r w:rsidRPr="00CB11EF">
              <w:rPr>
                <w:rFonts w:ascii="Arial" w:hAnsi="Arial" w:hint="cs"/>
                <w:color w:val="auto"/>
                <w:sz w:val="22"/>
                <w:szCs w:val="22"/>
                <w:rtl/>
              </w:rPr>
              <w:t>חברה ג'</w:t>
            </w:r>
            <w:r w:rsidRPr="00CB11EF">
              <w:rPr>
                <w:rFonts w:ascii="Arial" w:hAnsi="Arial"/>
                <w:color w:val="auto"/>
                <w:sz w:val="22"/>
                <w:szCs w:val="22"/>
                <w:rtl/>
              </w:rPr>
              <w:t xml:space="preserve"> </w:t>
            </w:r>
          </w:p>
        </w:tc>
        <w:tc>
          <w:tcPr>
            <w:tcW w:w="1437" w:type="dxa"/>
            <w:shd w:val="clear" w:color="auto" w:fill="auto"/>
            <w:vAlign w:val="center"/>
          </w:tcPr>
          <w:p w:rsidR="00FA3E7D" w:rsidRPr="00CB11EF" w:rsidP="00B63867">
            <w:pPr>
              <w:bidi w:val="0"/>
              <w:spacing w:before="30" w:after="30" w:line="240" w:lineRule="exact"/>
              <w:jc w:val="right"/>
              <w:rPr>
                <w:rFonts w:ascii="Arial" w:hAnsi="Arial"/>
                <w:sz w:val="22"/>
                <w:szCs w:val="22"/>
                <w:rtl/>
              </w:rPr>
            </w:pPr>
            <w:r w:rsidRPr="00CB11EF">
              <w:rPr>
                <w:rFonts w:ascii="Arial" w:hAnsi="Arial"/>
                <w:sz w:val="22"/>
                <w:szCs w:val="22"/>
              </w:rPr>
              <w:t>8.20%</w:t>
            </w:r>
          </w:p>
        </w:tc>
        <w:tc>
          <w:tcPr>
            <w:tcW w:w="1437" w:type="dxa"/>
            <w:shd w:val="clear" w:color="auto" w:fill="auto"/>
            <w:vAlign w:val="center"/>
          </w:tcPr>
          <w:p w:rsidR="00FA3E7D" w:rsidRPr="00CB11EF" w:rsidP="00B63867">
            <w:pPr>
              <w:bidi w:val="0"/>
              <w:spacing w:before="30" w:after="30" w:line="240" w:lineRule="exact"/>
              <w:jc w:val="right"/>
              <w:rPr>
                <w:rFonts w:ascii="Arial" w:hAnsi="Arial"/>
                <w:sz w:val="22"/>
                <w:szCs w:val="22"/>
              </w:rPr>
            </w:pPr>
            <w:r w:rsidRPr="00CB11EF">
              <w:rPr>
                <w:rFonts w:ascii="Arial" w:hAnsi="Arial"/>
                <w:sz w:val="22"/>
                <w:szCs w:val="22"/>
              </w:rPr>
              <w:t>9.40%</w:t>
            </w:r>
          </w:p>
        </w:tc>
        <w:tc>
          <w:tcPr>
            <w:tcW w:w="1437" w:type="dxa"/>
            <w:shd w:val="clear" w:color="auto" w:fill="auto"/>
            <w:vAlign w:val="center"/>
          </w:tcPr>
          <w:p w:rsidR="00FA3E7D" w:rsidRPr="00CB11EF" w:rsidP="00B63867">
            <w:pPr>
              <w:bidi w:val="0"/>
              <w:spacing w:before="30" w:after="30" w:line="240" w:lineRule="exact"/>
              <w:jc w:val="right"/>
              <w:rPr>
                <w:rFonts w:ascii="Arial" w:hAnsi="Arial"/>
                <w:sz w:val="22"/>
                <w:szCs w:val="22"/>
              </w:rPr>
            </w:pPr>
            <w:r w:rsidRPr="00CB11EF">
              <w:rPr>
                <w:rFonts w:ascii="Arial" w:hAnsi="Arial"/>
                <w:sz w:val="22"/>
                <w:szCs w:val="22"/>
              </w:rPr>
              <w:t>12%</w:t>
            </w:r>
          </w:p>
        </w:tc>
      </w:tr>
      <w:tr w:rsidTr="00CB009B">
        <w:tblPrEx>
          <w:tblW w:w="5809" w:type="dxa"/>
          <w:jc w:val="center"/>
          <w:tblLook w:val="04A0"/>
        </w:tblPrEx>
        <w:trPr>
          <w:jc w:val="center"/>
        </w:trPr>
        <w:tc>
          <w:tcPr>
            <w:tcW w:w="1498" w:type="dxa"/>
            <w:tcBorders>
              <w:left w:val="none" w:sz="0" w:space="0" w:color="auto"/>
            </w:tcBorders>
            <w:shd w:val="clear" w:color="auto" w:fill="auto"/>
            <w:vAlign w:val="center"/>
          </w:tcPr>
          <w:p w:rsidR="00FA3E7D" w:rsidRPr="00CB11EF" w:rsidP="00B63867">
            <w:pPr>
              <w:spacing w:before="30" w:after="30" w:line="240" w:lineRule="exact"/>
              <w:rPr>
                <w:rFonts w:ascii="Arial" w:hAnsi="Arial"/>
                <w:sz w:val="22"/>
                <w:szCs w:val="22"/>
              </w:rPr>
            </w:pPr>
            <w:r w:rsidRPr="00CB11EF">
              <w:rPr>
                <w:rFonts w:ascii="Arial" w:hAnsi="Arial" w:hint="cs"/>
                <w:color w:val="auto"/>
                <w:sz w:val="22"/>
                <w:szCs w:val="22"/>
                <w:rtl/>
              </w:rPr>
              <w:t>חברה ד'</w:t>
            </w:r>
          </w:p>
        </w:tc>
        <w:tc>
          <w:tcPr>
            <w:tcW w:w="1437" w:type="dxa"/>
            <w:shd w:val="clear" w:color="auto" w:fill="auto"/>
            <w:vAlign w:val="center"/>
          </w:tcPr>
          <w:p w:rsidR="00FA3E7D" w:rsidRPr="00CB11EF" w:rsidP="00B63867">
            <w:pPr>
              <w:bidi w:val="0"/>
              <w:spacing w:before="30" w:after="30" w:line="240" w:lineRule="exact"/>
              <w:jc w:val="right"/>
              <w:rPr>
                <w:rFonts w:ascii="Arial" w:hAnsi="Arial"/>
                <w:sz w:val="22"/>
                <w:szCs w:val="22"/>
                <w:rtl/>
              </w:rPr>
            </w:pPr>
            <w:r w:rsidRPr="00CB11EF">
              <w:rPr>
                <w:rFonts w:ascii="Arial" w:hAnsi="Arial"/>
                <w:sz w:val="22"/>
                <w:szCs w:val="22"/>
              </w:rPr>
              <w:t>10%</w:t>
            </w:r>
          </w:p>
        </w:tc>
        <w:tc>
          <w:tcPr>
            <w:tcW w:w="1437" w:type="dxa"/>
            <w:shd w:val="clear" w:color="auto" w:fill="auto"/>
            <w:vAlign w:val="center"/>
          </w:tcPr>
          <w:p w:rsidR="00FA3E7D" w:rsidRPr="00CB11EF" w:rsidP="00B63867">
            <w:pPr>
              <w:bidi w:val="0"/>
              <w:spacing w:before="30" w:after="30" w:line="240" w:lineRule="exact"/>
              <w:jc w:val="right"/>
              <w:rPr>
                <w:rFonts w:ascii="Arial" w:hAnsi="Arial"/>
                <w:sz w:val="22"/>
                <w:szCs w:val="22"/>
              </w:rPr>
            </w:pPr>
            <w:r w:rsidRPr="00CB11EF">
              <w:rPr>
                <w:rFonts w:ascii="Arial" w:hAnsi="Arial"/>
                <w:sz w:val="22"/>
                <w:szCs w:val="22"/>
              </w:rPr>
              <w:t>10.50%</w:t>
            </w:r>
          </w:p>
        </w:tc>
        <w:tc>
          <w:tcPr>
            <w:tcW w:w="1437" w:type="dxa"/>
            <w:shd w:val="clear" w:color="auto" w:fill="auto"/>
            <w:vAlign w:val="center"/>
          </w:tcPr>
          <w:p w:rsidR="00FA3E7D" w:rsidRPr="00CB11EF" w:rsidP="00B63867">
            <w:pPr>
              <w:bidi w:val="0"/>
              <w:spacing w:before="30" w:after="30" w:line="240" w:lineRule="exact"/>
              <w:jc w:val="right"/>
              <w:rPr>
                <w:rFonts w:ascii="Arial" w:hAnsi="Arial"/>
                <w:sz w:val="22"/>
                <w:szCs w:val="22"/>
              </w:rPr>
            </w:pPr>
            <w:r w:rsidRPr="00CB11EF">
              <w:rPr>
                <w:rFonts w:ascii="Arial" w:hAnsi="Arial"/>
                <w:sz w:val="22"/>
                <w:szCs w:val="22"/>
              </w:rPr>
              <w:t>12.10%</w:t>
            </w:r>
          </w:p>
        </w:tc>
      </w:tr>
      <w:tr w:rsidTr="00CB009B">
        <w:tblPrEx>
          <w:tblW w:w="5809" w:type="dxa"/>
          <w:jc w:val="center"/>
          <w:tblLook w:val="04A0"/>
        </w:tblPrEx>
        <w:trPr>
          <w:jc w:val="center"/>
        </w:trPr>
        <w:tc>
          <w:tcPr>
            <w:tcW w:w="1498" w:type="dxa"/>
            <w:tcBorders>
              <w:left w:val="none" w:sz="0" w:space="0" w:color="auto"/>
              <w:bottom w:val="none" w:sz="0" w:space="0" w:color="auto"/>
            </w:tcBorders>
            <w:shd w:val="clear" w:color="auto" w:fill="auto"/>
            <w:vAlign w:val="center"/>
          </w:tcPr>
          <w:p w:rsidR="00FA3E7D" w:rsidRPr="00CB11EF" w:rsidP="00B63867">
            <w:pPr>
              <w:spacing w:before="30" w:after="30" w:line="240" w:lineRule="exact"/>
              <w:rPr>
                <w:rFonts w:ascii="Arial" w:hAnsi="Arial"/>
                <w:sz w:val="22"/>
                <w:szCs w:val="22"/>
              </w:rPr>
            </w:pPr>
            <w:r w:rsidRPr="00CB11EF">
              <w:rPr>
                <w:rFonts w:ascii="Arial" w:hAnsi="Arial" w:hint="cs"/>
                <w:color w:val="auto"/>
                <w:sz w:val="22"/>
                <w:szCs w:val="22"/>
                <w:rtl/>
              </w:rPr>
              <w:t>חברה ה'</w:t>
            </w:r>
          </w:p>
        </w:tc>
        <w:tc>
          <w:tcPr>
            <w:tcW w:w="1437" w:type="dxa"/>
            <w:shd w:val="clear" w:color="auto" w:fill="auto"/>
            <w:vAlign w:val="center"/>
          </w:tcPr>
          <w:p w:rsidR="00FA3E7D" w:rsidRPr="00CB11EF" w:rsidP="00B63867">
            <w:pPr>
              <w:bidi w:val="0"/>
              <w:spacing w:before="30" w:after="30" w:line="240" w:lineRule="exact"/>
              <w:jc w:val="right"/>
              <w:rPr>
                <w:rFonts w:ascii="Arial" w:hAnsi="Arial"/>
                <w:sz w:val="22"/>
                <w:szCs w:val="22"/>
                <w:rtl/>
              </w:rPr>
            </w:pPr>
            <w:r w:rsidRPr="00CB11EF">
              <w:rPr>
                <w:rFonts w:ascii="Arial" w:hAnsi="Arial"/>
                <w:sz w:val="22"/>
                <w:szCs w:val="22"/>
              </w:rPr>
              <w:t>5.90%</w:t>
            </w:r>
          </w:p>
        </w:tc>
        <w:tc>
          <w:tcPr>
            <w:tcW w:w="1437" w:type="dxa"/>
            <w:shd w:val="clear" w:color="auto" w:fill="auto"/>
            <w:vAlign w:val="center"/>
          </w:tcPr>
          <w:p w:rsidR="00FA3E7D" w:rsidRPr="00CB11EF" w:rsidP="00B63867">
            <w:pPr>
              <w:bidi w:val="0"/>
              <w:spacing w:before="30" w:after="30" w:line="240" w:lineRule="exact"/>
              <w:jc w:val="right"/>
              <w:rPr>
                <w:rFonts w:ascii="Arial" w:hAnsi="Arial"/>
                <w:sz w:val="22"/>
                <w:szCs w:val="22"/>
              </w:rPr>
            </w:pPr>
            <w:r w:rsidRPr="00CB11EF">
              <w:rPr>
                <w:rFonts w:ascii="Arial" w:hAnsi="Arial"/>
                <w:sz w:val="22"/>
                <w:szCs w:val="22"/>
              </w:rPr>
              <w:t>6.90%</w:t>
            </w:r>
          </w:p>
        </w:tc>
        <w:tc>
          <w:tcPr>
            <w:tcW w:w="1437" w:type="dxa"/>
            <w:shd w:val="clear" w:color="auto" w:fill="auto"/>
            <w:vAlign w:val="center"/>
          </w:tcPr>
          <w:p w:rsidR="00FA3E7D" w:rsidRPr="00CB11EF" w:rsidP="00B63867">
            <w:pPr>
              <w:bidi w:val="0"/>
              <w:spacing w:before="30" w:after="30" w:line="240" w:lineRule="exact"/>
              <w:jc w:val="right"/>
              <w:rPr>
                <w:rFonts w:ascii="Arial" w:hAnsi="Arial"/>
                <w:sz w:val="22"/>
                <w:szCs w:val="22"/>
              </w:rPr>
            </w:pPr>
            <w:r w:rsidRPr="00CB11EF">
              <w:rPr>
                <w:rFonts w:ascii="Arial" w:hAnsi="Arial"/>
                <w:sz w:val="22"/>
                <w:szCs w:val="22"/>
              </w:rPr>
              <w:t>10.50%</w:t>
            </w:r>
          </w:p>
        </w:tc>
      </w:tr>
    </w:tbl>
    <w:p w:rsidR="00FA3E7D" w:rsidRPr="00AA5FE2" w:rsidP="00B63867">
      <w:pPr>
        <w:spacing w:before="240" w:line="269" w:lineRule="auto"/>
        <w:jc w:val="left"/>
        <w:rPr>
          <w:sz w:val="22"/>
          <w:szCs w:val="22"/>
          <w:rtl/>
        </w:rPr>
      </w:pPr>
      <w:r w:rsidRPr="00AA5FE2">
        <w:rPr>
          <w:rFonts w:hint="cs"/>
          <w:sz w:val="22"/>
          <w:szCs w:val="22"/>
          <w:rtl/>
        </w:rPr>
        <w:t>מקור: דוחות כספיים של חברות הביטוח.</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מהלוח לעיל ניכרת מגמה של עלייה בשיעור הביטולים בשנים 2018-2016.</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כאמור, החלפת פוליסות ביטוח בריאות נעשית לעיתים בהמלצת סוכן ביטוח, שעלולה להיות מושפעת מאינטרסים כלכליים שלו בביצוע ההחלפה, כדי לזכות בעמלת ההיקף שהזכאות לה מתהווה במועד מכירת הפוליסה החדשה (טוויסטינג). אף שהחלפת פוליסת ביטוח היא פעולה רצויה במקרים שבהם היא משרתת את טובת המבוטח, הרי שייתכנו מקרים שבהם היא תביא דווקא לפגיעה בזכויותיו.</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כדי להגביר את ההגנה על המבוטחים במקרים של החלפת פוליסה קבעה הרשות כבר בשנת 2004 בחוזר הוראות שמטרתן לקבוע עקרונות, חובות וכללים להסדרת פעולות מבטחים וסוכני ביטוח בעת ביצוע החלפה של פוליסות, לשם הגנה על טובת ציבור המבוטחים</w:t>
      </w:r>
      <w:r>
        <w:rPr>
          <w:rStyle w:val="FootnoteReference"/>
          <w:rtl/>
        </w:rPr>
        <w:footnoteReference w:id="127"/>
      </w:r>
      <w:r w:rsidRPr="002B5E33">
        <w:rPr>
          <w:rFonts w:hint="cs"/>
          <w:rtl/>
        </w:rPr>
        <w:t xml:space="preserve">.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רשות שוק ההון הסבירה כי היא עורכת ביקורות בסוכנויות כדי לבחון את התנהגות הסוכנים בצירוף לקוחות לביטוח, וכי נושא זה עלה בפניה גם במסגרת פניות ציבור.</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eastAsia"/>
          <w:b/>
          <w:bCs/>
          <w:rtl/>
        </w:rPr>
        <w:t>מומלץ</w:t>
      </w:r>
      <w:r w:rsidRPr="002B5E33">
        <w:rPr>
          <w:b/>
          <w:bCs/>
          <w:rtl/>
        </w:rPr>
        <w:t xml:space="preserve"> </w:t>
      </w:r>
      <w:r w:rsidRPr="002B5E33">
        <w:rPr>
          <w:rFonts w:hint="eastAsia"/>
          <w:b/>
          <w:bCs/>
          <w:rtl/>
        </w:rPr>
        <w:t>כי</w:t>
      </w:r>
      <w:r w:rsidRPr="002B5E33">
        <w:rPr>
          <w:b/>
          <w:bCs/>
          <w:rtl/>
        </w:rPr>
        <w:t xml:space="preserve"> </w:t>
      </w:r>
      <w:r w:rsidRPr="002B5E33">
        <w:rPr>
          <w:rFonts w:hint="eastAsia"/>
          <w:b/>
          <w:bCs/>
          <w:rtl/>
        </w:rPr>
        <w:t>רשות</w:t>
      </w:r>
      <w:r w:rsidRPr="002B5E33">
        <w:rPr>
          <w:b/>
          <w:bCs/>
          <w:rtl/>
        </w:rPr>
        <w:t xml:space="preserve"> </w:t>
      </w:r>
      <w:r w:rsidRPr="002B5E33">
        <w:rPr>
          <w:rFonts w:hint="eastAsia"/>
          <w:b/>
          <w:bCs/>
          <w:rtl/>
        </w:rPr>
        <w:t>שוק</w:t>
      </w:r>
      <w:r w:rsidRPr="002B5E33">
        <w:rPr>
          <w:b/>
          <w:bCs/>
          <w:rtl/>
        </w:rPr>
        <w:t xml:space="preserve"> </w:t>
      </w:r>
      <w:r w:rsidRPr="002B5E33">
        <w:rPr>
          <w:rFonts w:hint="eastAsia"/>
          <w:b/>
          <w:bCs/>
          <w:rtl/>
        </w:rPr>
        <w:t>ההון</w:t>
      </w:r>
      <w:r w:rsidRPr="002B5E33">
        <w:rPr>
          <w:b/>
          <w:bCs/>
          <w:rtl/>
        </w:rPr>
        <w:t xml:space="preserve"> </w:t>
      </w:r>
      <w:r w:rsidRPr="002B5E33">
        <w:rPr>
          <w:rFonts w:hint="eastAsia"/>
          <w:b/>
          <w:bCs/>
          <w:rtl/>
        </w:rPr>
        <w:t>תמשיך</w:t>
      </w:r>
      <w:r w:rsidRPr="002B5E33">
        <w:rPr>
          <w:b/>
          <w:bCs/>
          <w:rtl/>
        </w:rPr>
        <w:t xml:space="preserve"> לערוך </w:t>
      </w:r>
      <w:r w:rsidRPr="002B5E33">
        <w:rPr>
          <w:rFonts w:hint="eastAsia"/>
          <w:b/>
          <w:bCs/>
          <w:rtl/>
        </w:rPr>
        <w:t>ביקורות</w:t>
      </w:r>
      <w:r w:rsidRPr="002B5E33">
        <w:rPr>
          <w:b/>
          <w:bCs/>
          <w:rtl/>
        </w:rPr>
        <w:t xml:space="preserve"> על קיום הוראות החוזר, </w:t>
      </w:r>
      <w:r w:rsidRPr="002B5E33">
        <w:rPr>
          <w:rFonts w:hint="eastAsia"/>
          <w:b/>
          <w:bCs/>
          <w:rtl/>
        </w:rPr>
        <w:t>לצד</w:t>
      </w:r>
      <w:r w:rsidRPr="002B5E33">
        <w:rPr>
          <w:b/>
          <w:bCs/>
          <w:rtl/>
        </w:rPr>
        <w:t xml:space="preserve"> </w:t>
      </w:r>
      <w:r w:rsidRPr="002B5E33">
        <w:rPr>
          <w:rFonts w:hint="eastAsia"/>
          <w:b/>
          <w:bCs/>
          <w:rtl/>
        </w:rPr>
        <w:t>ניתוח</w:t>
      </w:r>
      <w:r w:rsidRPr="002B5E33">
        <w:rPr>
          <w:b/>
          <w:bCs/>
          <w:rtl/>
        </w:rPr>
        <w:t xml:space="preserve"> </w:t>
      </w:r>
      <w:r w:rsidRPr="002B5E33">
        <w:rPr>
          <w:rFonts w:hint="eastAsia"/>
          <w:b/>
          <w:bCs/>
          <w:rtl/>
        </w:rPr>
        <w:t>המגמות</w:t>
      </w:r>
      <w:r w:rsidRPr="002B5E33">
        <w:rPr>
          <w:b/>
          <w:bCs/>
          <w:rtl/>
        </w:rPr>
        <w:t xml:space="preserve"> </w:t>
      </w:r>
      <w:r w:rsidRPr="002B5E33">
        <w:rPr>
          <w:rFonts w:hint="eastAsia"/>
          <w:b/>
          <w:bCs/>
          <w:rtl/>
        </w:rPr>
        <w:t>והסיבות</w:t>
      </w:r>
      <w:r w:rsidRPr="002B5E33">
        <w:rPr>
          <w:b/>
          <w:bCs/>
          <w:rtl/>
        </w:rPr>
        <w:t xml:space="preserve"> </w:t>
      </w:r>
      <w:r w:rsidRPr="002B5E33">
        <w:rPr>
          <w:rFonts w:hint="eastAsia"/>
          <w:b/>
          <w:bCs/>
          <w:rtl/>
        </w:rPr>
        <w:t>להחלפת</w:t>
      </w:r>
      <w:r w:rsidRPr="002B5E33">
        <w:rPr>
          <w:b/>
          <w:bCs/>
          <w:rtl/>
        </w:rPr>
        <w:t xml:space="preserve"> פוליסות על ידי ציבור המבוטחים. </w:t>
      </w:r>
    </w:p>
    <w:p w:rsidR="00FA3E7D" w:rsidRPr="002B5E33" w:rsidP="00FA3E7D">
      <w:pPr>
        <w:pStyle w:val="a"/>
        <w:spacing w:line="269" w:lineRule="auto"/>
        <w:rPr>
          <w:rtl/>
        </w:rPr>
      </w:pPr>
    </w:p>
    <w:p w:rsidR="00FA3E7D" w:rsidRPr="002B5E33" w:rsidP="00FA3E7D">
      <w:pPr>
        <w:pStyle w:val="Heading4"/>
        <w:spacing w:before="0" w:line="269" w:lineRule="auto"/>
      </w:pPr>
      <w:r w:rsidRPr="002B5E33">
        <w:rPr>
          <w:rFonts w:hint="cs"/>
          <w:rtl/>
        </w:rPr>
        <w:t>הצורך בקידום פעולות לעידוד תחרות בתחום השירות בפוליסות קיימות</w:t>
      </w:r>
    </w:p>
    <w:p w:rsidR="00FA3E7D" w:rsidRPr="002B5E33" w:rsidP="00FA3E7D">
      <w:pPr>
        <w:pStyle w:val="a"/>
        <w:rPr>
          <w:rtl/>
        </w:rPr>
      </w:pPr>
    </w:p>
    <w:p w:rsidR="00FA3E7D" w:rsidRPr="002B5E33" w:rsidP="00FA3E7D">
      <w:pPr>
        <w:spacing w:line="269" w:lineRule="auto"/>
        <w:rPr>
          <w:rtl/>
        </w:rPr>
      </w:pPr>
      <w:r w:rsidRPr="002B5E33">
        <w:rPr>
          <w:rFonts w:hint="cs"/>
          <w:rtl/>
        </w:rPr>
        <w:t>אחד ההבדלים בין סוגי הביטוח נוגע למועד מתן עיקר השירות על ידי סוכני הביטוח. בסוגי ביטוח מסוימים, כגון ביטוח חיים (ריסק), מחלות קשות, סיעוד, אובדן כושר עבודה, עיקר השירות ניתן בעת מכירת הפוליסה, וחלקו של השירות הניתן באופן שוטף לאורך חיי הפוליסה הוא קטן באופן יחסי (עד למועד קרות האירוע הביטוחי). לעומת זאת, בביטוחי בריאות, חלק משמעותי יותר של השירות ניתן על ידי הסוכן במהלך חיי הפוליסה, למשל - במקרים של ביקור אצל רופאים מומחים, ניתוחים פרטיים ועוד</w:t>
      </w:r>
      <w:r>
        <w:rPr>
          <w:rStyle w:val="FootnoteReference"/>
          <w:rtl/>
        </w:rPr>
        <w:footnoteReference w:id="128"/>
      </w:r>
      <w:r w:rsidRPr="002B5E33">
        <w:rPr>
          <w:rFonts w:hint="cs"/>
          <w:rtl/>
        </w:rPr>
        <w:t xml:space="preserve">.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לטיב השירות שמקבל המבוטח מסוכן הביטוח יש חשיבות רבה, אלא שפעמים רבות המבוטחים אינם יודעים להעריך מראש גורם זה, ובמהלך חיי הפוליסה הם עשויים לרצות לקבל שירות מסוכן אחר, שאינו בהכרח הסוכן שהיה מעורב במכירת הפוליסה. יתר על כן, נוכח שיעור העמלות הגבוה בתחום ביטוחי הבריאות, ייתכן שאילו היו המבוטחים יכולים להוזיל את הפוליסה באמצעות מעבר לסוכן אחר המסתפק בעמלה נמוכה יותר, היה חלקם מעדיף אפשרות זו אף בלי קשר לטיב השירות שמעניק הסוכן. כל זאת לאור האפשרות של המבוטחים להתנהל במימוש זכויותיהם במישרין עם חברת הביטוח.</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אף</w:t>
      </w:r>
      <w:r w:rsidRPr="002B5E33">
        <w:rPr>
          <w:rtl/>
        </w:rPr>
        <w:t xml:space="preserve"> שלא קיימת כיום מגבלה חוקית המונעת העברת פוליסות ביטוח קיימות לסוכן אחר מזה שהיה מעורב במכירת פוליסה, הרי שהדבר אינו נפוץ. </w:t>
      </w:r>
      <w:r w:rsidRPr="002B5E33">
        <w:rPr>
          <w:rFonts w:hint="eastAsia"/>
          <w:rtl/>
        </w:rPr>
        <w:t>כמו</w:t>
      </w:r>
      <w:r w:rsidRPr="002B5E33">
        <w:rPr>
          <w:rtl/>
        </w:rPr>
        <w:t xml:space="preserve"> כן, </w:t>
      </w:r>
      <w:r w:rsidRPr="002B5E33">
        <w:rPr>
          <w:rFonts w:hint="eastAsia"/>
          <w:rtl/>
        </w:rPr>
        <w:t>לרשות</w:t>
      </w:r>
      <w:r w:rsidRPr="002B5E33">
        <w:rPr>
          <w:rtl/>
        </w:rPr>
        <w:t xml:space="preserve"> </w:t>
      </w:r>
      <w:r w:rsidRPr="002B5E33">
        <w:rPr>
          <w:rFonts w:hint="eastAsia"/>
          <w:rtl/>
        </w:rPr>
        <w:t>שוק</w:t>
      </w:r>
      <w:r w:rsidRPr="002B5E33">
        <w:rPr>
          <w:rtl/>
        </w:rPr>
        <w:t xml:space="preserve"> </w:t>
      </w:r>
      <w:r w:rsidRPr="002B5E33">
        <w:rPr>
          <w:rFonts w:hint="eastAsia"/>
          <w:rtl/>
        </w:rPr>
        <w:t>ההון</w:t>
      </w:r>
      <w:r w:rsidRPr="002B5E33">
        <w:rPr>
          <w:rtl/>
        </w:rPr>
        <w:t xml:space="preserve"> </w:t>
      </w:r>
      <w:r w:rsidRPr="002B5E33">
        <w:rPr>
          <w:rFonts w:hint="eastAsia"/>
          <w:rtl/>
        </w:rPr>
        <w:t>אין</w:t>
      </w:r>
      <w:r w:rsidRPr="002B5E33">
        <w:rPr>
          <w:rtl/>
        </w:rPr>
        <w:t xml:space="preserve"> </w:t>
      </w:r>
      <w:r w:rsidRPr="002B5E33">
        <w:rPr>
          <w:rFonts w:hint="eastAsia"/>
          <w:rtl/>
        </w:rPr>
        <w:t>נתונים</w:t>
      </w:r>
      <w:r w:rsidRPr="002B5E33">
        <w:rPr>
          <w:rtl/>
        </w:rPr>
        <w:t xml:space="preserve"> </w:t>
      </w:r>
      <w:r w:rsidRPr="002B5E33">
        <w:rPr>
          <w:rFonts w:hint="eastAsia"/>
          <w:rtl/>
        </w:rPr>
        <w:t>על</w:t>
      </w:r>
      <w:r w:rsidRPr="002B5E33">
        <w:rPr>
          <w:rtl/>
        </w:rPr>
        <w:t xml:space="preserve"> </w:t>
      </w:r>
      <w:r w:rsidRPr="002B5E33">
        <w:rPr>
          <w:rFonts w:hint="eastAsia"/>
          <w:rtl/>
        </w:rPr>
        <w:t>שיעור</w:t>
      </w:r>
      <w:r w:rsidRPr="002B5E33">
        <w:rPr>
          <w:rtl/>
        </w:rPr>
        <w:t xml:space="preserve"> </w:t>
      </w:r>
      <w:r w:rsidRPr="002B5E33">
        <w:rPr>
          <w:rFonts w:hint="eastAsia"/>
          <w:rtl/>
        </w:rPr>
        <w:t>מקרי</w:t>
      </w:r>
      <w:r w:rsidRPr="002B5E33">
        <w:rPr>
          <w:rtl/>
        </w:rPr>
        <w:t xml:space="preserve"> </w:t>
      </w:r>
      <w:r w:rsidRPr="002B5E33">
        <w:rPr>
          <w:rFonts w:hint="eastAsia"/>
          <w:rtl/>
        </w:rPr>
        <w:t>העבר</w:t>
      </w:r>
      <w:r w:rsidRPr="002B5E33">
        <w:rPr>
          <w:rFonts w:hint="cs"/>
          <w:rtl/>
        </w:rPr>
        <w:t>ת</w:t>
      </w:r>
      <w:r w:rsidRPr="002B5E33">
        <w:rPr>
          <w:rtl/>
        </w:rPr>
        <w:t xml:space="preserve"> </w:t>
      </w:r>
      <w:r w:rsidRPr="002B5E33">
        <w:rPr>
          <w:rFonts w:hint="eastAsia"/>
          <w:rtl/>
        </w:rPr>
        <w:t>פוליסות</w:t>
      </w:r>
      <w:r w:rsidRPr="002B5E33">
        <w:rPr>
          <w:rtl/>
        </w:rPr>
        <w:t xml:space="preserve"> </w:t>
      </w:r>
      <w:r w:rsidRPr="002B5E33">
        <w:rPr>
          <w:rFonts w:hint="eastAsia"/>
          <w:rtl/>
        </w:rPr>
        <w:t>בריאות</w:t>
      </w:r>
      <w:r w:rsidRPr="002B5E33">
        <w:rPr>
          <w:rtl/>
        </w:rPr>
        <w:t xml:space="preserve"> </w:t>
      </w:r>
      <w:r w:rsidRPr="002B5E33">
        <w:rPr>
          <w:rFonts w:hint="eastAsia"/>
          <w:rtl/>
        </w:rPr>
        <w:t>קיימות</w:t>
      </w:r>
      <w:r w:rsidRPr="002B5E33">
        <w:rPr>
          <w:rtl/>
        </w:rPr>
        <w:t xml:space="preserve"> </w:t>
      </w:r>
      <w:r w:rsidRPr="002B5E33">
        <w:rPr>
          <w:rFonts w:hint="eastAsia"/>
          <w:rtl/>
        </w:rPr>
        <w:t>בין</w:t>
      </w:r>
      <w:r w:rsidRPr="002B5E33">
        <w:rPr>
          <w:rtl/>
        </w:rPr>
        <w:t xml:space="preserve"> </w:t>
      </w:r>
      <w:r w:rsidRPr="002B5E33">
        <w:rPr>
          <w:rFonts w:hint="eastAsia"/>
          <w:rtl/>
        </w:rPr>
        <w:t>סוכני</w:t>
      </w:r>
      <w:r w:rsidRPr="002B5E33">
        <w:rPr>
          <w:rtl/>
        </w:rPr>
        <w:t xml:space="preserve"> </w:t>
      </w:r>
      <w:r w:rsidRPr="002B5E33">
        <w:rPr>
          <w:rFonts w:hint="eastAsia"/>
          <w:rtl/>
        </w:rPr>
        <w:t>ביטוח</w:t>
      </w:r>
      <w:r w:rsidRPr="002B5E33">
        <w:rPr>
          <w:rtl/>
        </w:rPr>
        <w:t xml:space="preserve">, </w:t>
      </w:r>
      <w:r w:rsidRPr="002B5E33">
        <w:rPr>
          <w:rFonts w:hint="eastAsia"/>
          <w:rtl/>
        </w:rPr>
        <w:t>ובאילו</w:t>
      </w:r>
      <w:r w:rsidRPr="002B5E33">
        <w:rPr>
          <w:rtl/>
        </w:rPr>
        <w:t xml:space="preserve"> </w:t>
      </w:r>
      <w:r w:rsidRPr="002B5E33">
        <w:rPr>
          <w:rFonts w:hint="eastAsia"/>
          <w:rtl/>
        </w:rPr>
        <w:t>נסיבות</w:t>
      </w:r>
      <w:r w:rsidRPr="002B5E33">
        <w:rPr>
          <w:rtl/>
        </w:rPr>
        <w:t xml:space="preserve"> </w:t>
      </w:r>
      <w:r w:rsidRPr="002B5E33">
        <w:rPr>
          <w:rFonts w:hint="cs"/>
          <w:rtl/>
        </w:rPr>
        <w:t xml:space="preserve">הן </w:t>
      </w:r>
      <w:r w:rsidRPr="002B5E33">
        <w:rPr>
          <w:rFonts w:hint="eastAsia"/>
          <w:rtl/>
        </w:rPr>
        <w:t>בוצע</w:t>
      </w:r>
      <w:r w:rsidRPr="002B5E33">
        <w:rPr>
          <w:rFonts w:hint="cs"/>
          <w:rtl/>
        </w:rPr>
        <w:t>ו</w:t>
      </w:r>
      <w:r w:rsidRPr="002B5E33">
        <w:rPr>
          <w:rtl/>
        </w:rPr>
        <w:t>.</w:t>
      </w:r>
    </w:p>
    <w:p w:rsidR="00FA3E7D" w:rsidRPr="002B5E33" w:rsidP="00FA3E7D">
      <w:pPr>
        <w:pStyle w:val="a"/>
        <w:spacing w:line="269" w:lineRule="auto"/>
        <w:rPr>
          <w:rtl/>
        </w:rPr>
      </w:pPr>
    </w:p>
    <w:p w:rsidR="00FA3E7D" w:rsidRPr="002B5E33" w:rsidP="00FA3E7D">
      <w:pPr>
        <w:spacing w:line="269" w:lineRule="auto"/>
        <w:rPr>
          <w:sz w:val="24"/>
        </w:rPr>
      </w:pPr>
      <w:r w:rsidRPr="002B5E33">
        <w:rPr>
          <w:rFonts w:hint="eastAsia"/>
          <w:b/>
          <w:bCs/>
          <w:rtl/>
        </w:rPr>
        <w:t>עידוד</w:t>
      </w:r>
      <w:r w:rsidRPr="002B5E33">
        <w:rPr>
          <w:b/>
          <w:bCs/>
          <w:rtl/>
        </w:rPr>
        <w:t xml:space="preserve"> התחרות בין סוכני הביטוח עשוי לשפר את איכות השירות הניתן ללקוחות ולהביא להפחתת </w:t>
      </w:r>
      <w:r w:rsidRPr="002B5E33">
        <w:rPr>
          <w:rFonts w:hint="eastAsia"/>
          <w:b/>
          <w:bCs/>
          <w:sz w:val="24"/>
          <w:rtl/>
        </w:rPr>
        <w:t>הפרמיות</w:t>
      </w:r>
      <w:r w:rsidRPr="002B5E33">
        <w:rPr>
          <w:b/>
          <w:bCs/>
          <w:sz w:val="24"/>
          <w:rtl/>
        </w:rPr>
        <w:t xml:space="preserve"> </w:t>
      </w:r>
      <w:r w:rsidRPr="002B5E33">
        <w:rPr>
          <w:rFonts w:hint="eastAsia"/>
          <w:b/>
          <w:bCs/>
          <w:sz w:val="24"/>
          <w:rtl/>
        </w:rPr>
        <w:t>שמשלמים</w:t>
      </w:r>
      <w:r w:rsidRPr="002B5E33">
        <w:rPr>
          <w:b/>
          <w:bCs/>
          <w:sz w:val="24"/>
          <w:rtl/>
        </w:rPr>
        <w:t xml:space="preserve"> </w:t>
      </w:r>
      <w:r w:rsidRPr="002B5E33">
        <w:rPr>
          <w:rFonts w:hint="eastAsia"/>
          <w:b/>
          <w:bCs/>
          <w:sz w:val="24"/>
          <w:rtl/>
        </w:rPr>
        <w:t>המבוטחים</w:t>
      </w:r>
      <w:r w:rsidRPr="002B5E33">
        <w:rPr>
          <w:b/>
          <w:bCs/>
          <w:sz w:val="24"/>
          <w:rtl/>
        </w:rPr>
        <w:t>. מ</w:t>
      </w:r>
      <w:r w:rsidRPr="002B5E33">
        <w:rPr>
          <w:rFonts w:hint="eastAsia"/>
          <w:b/>
          <w:bCs/>
          <w:sz w:val="24"/>
          <w:rtl/>
        </w:rPr>
        <w:t>שרד</w:t>
      </w:r>
      <w:r w:rsidRPr="002B5E33">
        <w:rPr>
          <w:b/>
          <w:bCs/>
          <w:sz w:val="24"/>
          <w:rtl/>
        </w:rPr>
        <w:t xml:space="preserve"> מבקר המדינה ממליץ לרשות לבחון דרכים לעידוד התחרות </w:t>
      </w:r>
      <w:r w:rsidRPr="002B5E33">
        <w:rPr>
          <w:rFonts w:hint="eastAsia"/>
          <w:b/>
          <w:bCs/>
          <w:sz w:val="24"/>
          <w:rtl/>
        </w:rPr>
        <w:t>בין</w:t>
      </w:r>
      <w:r w:rsidRPr="002B5E33">
        <w:rPr>
          <w:b/>
          <w:bCs/>
          <w:sz w:val="24"/>
          <w:rtl/>
        </w:rPr>
        <w:t xml:space="preserve"> סוכני הביטוח, </w:t>
      </w:r>
      <w:r w:rsidRPr="002B5E33">
        <w:rPr>
          <w:rFonts w:hint="eastAsia"/>
          <w:b/>
          <w:bCs/>
          <w:sz w:val="24"/>
          <w:rtl/>
        </w:rPr>
        <w:t>לטובתם</w:t>
      </w:r>
      <w:r w:rsidRPr="002B5E33">
        <w:rPr>
          <w:b/>
          <w:bCs/>
          <w:sz w:val="24"/>
          <w:rtl/>
        </w:rPr>
        <w:t xml:space="preserve"> של המבוטחים.</w:t>
      </w:r>
      <w:r>
        <w:rPr>
          <w:b/>
          <w:bCs/>
          <w:sz w:val="24"/>
          <w:rtl/>
        </w:rPr>
        <w:t xml:space="preserve"> </w:t>
      </w:r>
    </w:p>
    <w:p w:rsidR="00FA3E7D" w:rsidRPr="002B5E33" w:rsidP="00FA3E7D">
      <w:pPr>
        <w:pStyle w:val="a"/>
        <w:spacing w:line="269" w:lineRule="auto"/>
      </w:pPr>
    </w:p>
    <w:p w:rsidR="00FA3E7D" w:rsidRPr="002B5E33" w:rsidP="00FA3E7D">
      <w:pPr>
        <w:pStyle w:val="Heading4"/>
        <w:spacing w:before="0" w:line="269" w:lineRule="auto"/>
        <w:rPr>
          <w:rtl/>
        </w:rPr>
      </w:pPr>
      <w:r w:rsidRPr="002B5E33">
        <w:rPr>
          <w:rFonts w:hint="cs"/>
          <w:rtl/>
        </w:rPr>
        <w:t>פעולות לסיווג סוכני הביטוח וגורמים נוספים בתחום</w:t>
      </w:r>
    </w:p>
    <w:p w:rsidR="00FA3E7D" w:rsidRPr="002B5E33" w:rsidP="00FA3E7D">
      <w:pPr>
        <w:pStyle w:val="a"/>
        <w:rPr>
          <w:rtl/>
        </w:rPr>
      </w:pPr>
    </w:p>
    <w:p w:rsidR="00FA3E7D" w:rsidRPr="002B5E33" w:rsidP="00FA3E7D">
      <w:pPr>
        <w:spacing w:line="269" w:lineRule="auto"/>
        <w:rPr>
          <w:rtl/>
        </w:rPr>
      </w:pPr>
      <w:r w:rsidRPr="002B5E33">
        <w:rPr>
          <w:rFonts w:hint="cs"/>
          <w:rtl/>
        </w:rPr>
        <w:t>סעיף 24 לחוק הפיקוח קובע כי נאסר על כל אדם לעסוק בתיווך לעניין ביטוח בין אדם לבין מבטח, אלא אם הוא בעל רישיון סוכן ביטוח או סוכן תאגיד (או יועץ פנסיוני כחלק מייעוץ פנסיוני). סעיף 41 לחוק אוסר על מבטח או סוכן ביטוח לקבל עסקי ביטוח בתיווכו של אדם שאינו סוכן, ואוסר על תשלום דמי עמילות אלא למי שבידו רישיון סוכן.</w:t>
      </w:r>
    </w:p>
    <w:p w:rsidR="00FA3E7D" w:rsidRPr="002B5E33" w:rsidP="00FA3E7D">
      <w:pPr>
        <w:pStyle w:val="a"/>
        <w:spacing w:line="269" w:lineRule="auto"/>
        <w:rPr>
          <w:rtl/>
        </w:rPr>
      </w:pPr>
    </w:p>
    <w:p w:rsidR="00FA3E7D" w:rsidRPr="002B5E33" w:rsidP="00FA3E7D">
      <w:pPr>
        <w:spacing w:line="269" w:lineRule="auto"/>
      </w:pPr>
      <w:r w:rsidRPr="002B5E33">
        <w:rPr>
          <w:rFonts w:hint="cs"/>
          <w:rtl/>
        </w:rPr>
        <w:t>בחוזר משנת 2015, על תיקוניו</w:t>
      </w:r>
      <w:r>
        <w:rPr>
          <w:rStyle w:val="FootnoteReference"/>
          <w:rtl/>
        </w:rPr>
        <w:footnoteReference w:id="129"/>
      </w:r>
      <w:r w:rsidRPr="002B5E33">
        <w:rPr>
          <w:rFonts w:hint="cs"/>
          <w:rtl/>
        </w:rPr>
        <w:t>, קבעה הרשות הוראות בעניין מעורבות של גופים חיצוניים שאינם בעלי רישיון, בשיווק ובמכירת מוצרי ביטוח. בחוזר נקבעו הפעולות שגוף חיצוני רשאי לבצע מבלי שהדבר ייחשב כתיווך בביטוח. עם זאת, לפי מידע של רשות שוק ההון, בחלק מהמקרים, במיוחד בביטוחים קבוצתיים, מתקיימים קשרים בין יועצים חיצוניים ובין סוכני ביטוח, באופן שהיועצים מקבלים תמורה גם מהסוכן שאליו הם מפנים את המבוטח או את בעל הפוליסה בפוליסה קבוצתית.</w:t>
      </w:r>
    </w:p>
    <w:p w:rsidR="00FA3E7D" w:rsidRPr="002B5E33" w:rsidP="00FA3E7D">
      <w:pPr>
        <w:pStyle w:val="a"/>
        <w:spacing w:line="269" w:lineRule="auto"/>
        <w:rPr>
          <w:rtl/>
        </w:rPr>
      </w:pPr>
    </w:p>
    <w:p w:rsidR="00FA3E7D" w:rsidP="00FA3E7D">
      <w:pPr>
        <w:spacing w:line="269" w:lineRule="auto"/>
        <w:rPr>
          <w:rtl/>
        </w:rPr>
      </w:pPr>
      <w:r w:rsidRPr="002B5E33">
        <w:rPr>
          <w:rFonts w:hint="cs"/>
          <w:rtl/>
        </w:rPr>
        <w:t>בדוח הוועדה הציבורית לבחינת ענף הביטוח נכתב כי הוועדה סבורה שיש למיין מחדש בין סוגי הסוכנים על פי רישיונותיהם. במסגרת זו המליצה הוועדה על יצירת מעמד נפרד ל"סוכן קשור" ולסוכן הנמצא בבעלות חברת ביטוח, המחייב גילוי נאות לגבי הגדרת חובת הנאמנות של הסוכן לחברה שהוא מייצג, אשר ימכור את מוצרי הביטוח של החברה שהוא מייצג ויהיה פטור מחובת הנמקה. סוג שני של הגדרת פעילות סוכן שעליו המליצה הוועדה הוא סוכן עצמאי (ברוקר) אשר לא ייצג באופן בלעדי שום חברת ביטוח, הגדרת חובת נאמנותו תהיה ללקוח והוא יידרש להציע ללקוח את העסקה הטובה ביותר עבורו, תוך הנמקה מלאה וייעוץ מיטבי. הוועדה המליצה עוד כי לשכת סוכני הביטוח תביא לידיעת הציבור את מעמדו ומידת תלותו של כל סוכן כיום בחברת הביטוח: האם הוא מייצגה הבלעדי, סוכן בבעלות חברה או שהוא סוכן עצמאי ובלתי תלוי.</w:t>
      </w:r>
    </w:p>
    <w:p w:rsidR="00FA3E7D" w:rsidRPr="002B5E33" w:rsidP="00FA3E7D">
      <w:pPr>
        <w:spacing w:line="269" w:lineRule="auto"/>
        <w:rPr>
          <w:rtl/>
        </w:rPr>
      </w:pPr>
    </w:p>
    <w:p w:rsidR="00FA3E7D" w:rsidRPr="002B5E33" w:rsidP="00FA3E7D">
      <w:pPr>
        <w:spacing w:line="269" w:lineRule="auto"/>
        <w:rPr>
          <w:sz w:val="24"/>
          <w:rtl/>
        </w:rPr>
      </w:pPr>
      <w:r w:rsidRPr="002B5E33">
        <w:rPr>
          <w:rFonts w:hint="cs"/>
          <w:rtl/>
        </w:rPr>
        <w:t>במסגרת עבודת מטה של רשות שוק ההון בשנת 2018 נבחנה האפשרות להסדיר את פעילות סוכני הביטוח באמצעות יצירת מדרג של מתווכים בביטוח, השונים זה מזה במידת הקשר שלהם לחברות הביטוח, ובמטרה ליצור אובייקטיביות בפעילותם. רשות שוק ההון בחנה את האפשרות להגדיר חמישה סוגי מתווכים בביטוח: יועץ ביטוח</w:t>
      </w:r>
      <w:r>
        <w:rPr>
          <w:rStyle w:val="FootnoteReference"/>
          <w:rtl/>
        </w:rPr>
        <w:footnoteReference w:id="130"/>
      </w:r>
      <w:r w:rsidRPr="002B5E33">
        <w:rPr>
          <w:rFonts w:hint="cs"/>
          <w:rtl/>
        </w:rPr>
        <w:t>, ברוקר</w:t>
      </w:r>
      <w:r>
        <w:rPr>
          <w:rStyle w:val="FootnoteReference"/>
          <w:rtl/>
        </w:rPr>
        <w:footnoteReference w:id="131"/>
      </w:r>
      <w:r w:rsidRPr="002B5E33">
        <w:rPr>
          <w:rFonts w:hint="cs"/>
          <w:rtl/>
        </w:rPr>
        <w:t>, סוכן קשור</w:t>
      </w:r>
      <w:r>
        <w:rPr>
          <w:rStyle w:val="FootnoteReference"/>
          <w:rtl/>
        </w:rPr>
        <w:footnoteReference w:id="132"/>
      </w:r>
      <w:r w:rsidRPr="002B5E33">
        <w:rPr>
          <w:rFonts w:hint="cs"/>
          <w:rtl/>
        </w:rPr>
        <w:t>, מוכרן</w:t>
      </w:r>
      <w:r>
        <w:rPr>
          <w:rStyle w:val="FootnoteReference"/>
          <w:rtl/>
        </w:rPr>
        <w:footnoteReference w:id="133"/>
      </w:r>
      <w:r w:rsidRPr="002B5E33">
        <w:rPr>
          <w:rFonts w:hint="cs"/>
          <w:rtl/>
        </w:rPr>
        <w:t xml:space="preserve"> ומתווך </w:t>
      </w:r>
      <w:r w:rsidRPr="002B5E33">
        <w:rPr>
          <w:rFonts w:hint="cs"/>
          <w:sz w:val="24"/>
          <w:rtl/>
        </w:rPr>
        <w:t>דיגיטלי</w:t>
      </w:r>
      <w:r>
        <w:rPr>
          <w:rStyle w:val="FootnoteReference"/>
          <w:sz w:val="24"/>
          <w:rtl/>
        </w:rPr>
        <w:footnoteReference w:id="134"/>
      </w:r>
      <w:r w:rsidRPr="002B5E33">
        <w:rPr>
          <w:rFonts w:hint="cs"/>
          <w:sz w:val="24"/>
          <w:rtl/>
        </w:rPr>
        <w:t>.</w:t>
      </w:r>
    </w:p>
    <w:p w:rsidR="00FA3E7D" w:rsidRPr="002B5E33" w:rsidP="00FA3E7D">
      <w:pPr>
        <w:pStyle w:val="a"/>
        <w:spacing w:line="269" w:lineRule="auto"/>
        <w:rPr>
          <w:rtl/>
        </w:rPr>
      </w:pPr>
    </w:p>
    <w:p w:rsidR="00FA3E7D" w:rsidRPr="002B5E33" w:rsidP="00FA3E7D">
      <w:pPr>
        <w:spacing w:line="269" w:lineRule="auto"/>
        <w:rPr>
          <w:sz w:val="24"/>
          <w:rtl/>
        </w:rPr>
      </w:pPr>
      <w:r w:rsidRPr="002B5E33">
        <w:rPr>
          <w:rFonts w:hint="cs"/>
          <w:sz w:val="24"/>
          <w:rtl/>
        </w:rPr>
        <w:t>רשות שוק ההון ציינה בתשובתה כי היא "בוחנת בימים אלה את מעמדו והגדרתו של הסוכן בתחום הביטוח, מעמדם של מוכרנים, יועצים ועוד. נציין כי הרשות עתידה גם לטפל בנושא הגדרה מחודשת של השחקנים בשוק במסגרת שינויי הרגולציה העתידיים".</w:t>
      </w:r>
    </w:p>
    <w:p w:rsidR="00FA3E7D" w:rsidRPr="002B5E33" w:rsidP="00FA3E7D">
      <w:pPr>
        <w:pStyle w:val="a"/>
        <w:spacing w:line="269" w:lineRule="auto"/>
        <w:rPr>
          <w:rtl/>
        </w:rPr>
      </w:pPr>
    </w:p>
    <w:p w:rsidR="00FA3E7D" w:rsidRPr="002B5E33" w:rsidP="00FA3E7D">
      <w:pPr>
        <w:spacing w:line="269" w:lineRule="auto"/>
        <w:rPr>
          <w:sz w:val="24"/>
          <w:rtl/>
        </w:rPr>
      </w:pPr>
      <w:r w:rsidRPr="002B5E33">
        <w:rPr>
          <w:rFonts w:hint="cs"/>
          <w:sz w:val="24"/>
          <w:rtl/>
        </w:rPr>
        <w:t>לשכת סוכני ביטוח בישראל ציינה בתשובתה כי לעמדתה אין מקום להסדרה נפרדת של מעמד הסוכנים בתחום ביטוחי הבריאות, שהעיסוק בו הוא חלק מהעיסוק בענף הביטוח הכללי. הלשכה ציינה כי "אין מקום להסדרה בתחום ביטוחי הבריאות הואיל והתנהלות סוכני הביטוח בתחום מוסדרים במסגרת חוק חוזה הביטוח והפסיקה אשר התפתחה לאורך השנים ביחס לחוק זה".</w:t>
      </w:r>
    </w:p>
    <w:p w:rsidR="00FA3E7D" w:rsidRPr="002B5E33" w:rsidP="00FA3E7D">
      <w:pPr>
        <w:pStyle w:val="a"/>
        <w:spacing w:line="269" w:lineRule="auto"/>
        <w:rPr>
          <w:rtl/>
        </w:rPr>
      </w:pPr>
    </w:p>
    <w:p w:rsidR="00FA3E7D" w:rsidRPr="002B5E33" w:rsidP="00FA3E7D">
      <w:pPr>
        <w:spacing w:line="269" w:lineRule="auto"/>
        <w:rPr>
          <w:b/>
          <w:bCs/>
          <w:sz w:val="24"/>
        </w:rPr>
      </w:pPr>
      <w:r w:rsidRPr="002B5E33">
        <w:rPr>
          <w:rFonts w:hint="cs"/>
          <w:b/>
          <w:bCs/>
          <w:sz w:val="24"/>
          <w:rtl/>
        </w:rPr>
        <w:t>פסיקת בתי המשפט אומנם התייחסה באופן נרחב לפעילותם של סוכני ביטוח בתחום הביטוח הכללי, והשלימה את החסר בחקיקה בתחום זה</w:t>
      </w:r>
      <w:r>
        <w:rPr>
          <w:rStyle w:val="FootnoteReference"/>
          <w:b/>
          <w:bCs/>
          <w:sz w:val="24"/>
          <w:rtl/>
        </w:rPr>
        <w:footnoteReference w:id="135"/>
      </w:r>
      <w:r w:rsidRPr="002B5E33">
        <w:rPr>
          <w:rFonts w:hint="cs"/>
          <w:b/>
          <w:bCs/>
          <w:sz w:val="24"/>
          <w:rtl/>
        </w:rPr>
        <w:t>. עם זאת, מן הראוי לבחון את הצורך בהסדרה של כללים מתאימים, כפי שנקבעו בתחום הביטוח הפנסיוני</w:t>
      </w:r>
      <w:r w:rsidRPr="002B5E33">
        <w:rPr>
          <w:b/>
          <w:bCs/>
          <w:sz w:val="24"/>
          <w:rtl/>
        </w:rPr>
        <w:t xml:space="preserve"> לכל אחד מתחומי הביטוח.</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b/>
          <w:bCs/>
          <w:rtl/>
        </w:rPr>
        <w:t xml:space="preserve">רשות שוק ההון טרם קידמה את המהלכים להסדרת מעמדם של סוכני הביטוח בהמשך לעבודת המטה שערכה. </w:t>
      </w:r>
      <w:r w:rsidRPr="002B5E33">
        <w:rPr>
          <w:rFonts w:hint="eastAsia"/>
          <w:b/>
          <w:bCs/>
          <w:rtl/>
        </w:rPr>
        <w:t>התנהלותם</w:t>
      </w:r>
      <w:r w:rsidRPr="002B5E33">
        <w:rPr>
          <w:b/>
          <w:bCs/>
          <w:rtl/>
        </w:rPr>
        <w:t xml:space="preserve"> של הסוכנים</w:t>
      </w:r>
      <w:r w:rsidRPr="002B5E33">
        <w:rPr>
          <w:rFonts w:hint="cs"/>
          <w:b/>
          <w:bCs/>
          <w:rtl/>
        </w:rPr>
        <w:t>,</w:t>
      </w:r>
      <w:r w:rsidRPr="002B5E33">
        <w:rPr>
          <w:b/>
          <w:bCs/>
          <w:rtl/>
        </w:rPr>
        <w:t xml:space="preserve"> </w:t>
      </w:r>
      <w:r w:rsidRPr="002B5E33">
        <w:rPr>
          <w:rFonts w:hint="cs"/>
          <w:b/>
          <w:bCs/>
          <w:rtl/>
        </w:rPr>
        <w:t>שיעור העמלות</w:t>
      </w:r>
      <w:r w:rsidRPr="002B5E33">
        <w:rPr>
          <w:b/>
          <w:bCs/>
          <w:rtl/>
        </w:rPr>
        <w:t xml:space="preserve"> בביטוחים הפרטיים</w:t>
      </w:r>
      <w:r w:rsidRPr="002B5E33">
        <w:rPr>
          <w:rFonts w:hint="cs"/>
          <w:b/>
          <w:bCs/>
          <w:rtl/>
        </w:rPr>
        <w:t>,</w:t>
      </w:r>
      <w:r w:rsidRPr="002B5E33">
        <w:rPr>
          <w:b/>
          <w:bCs/>
          <w:rtl/>
        </w:rPr>
        <w:t xml:space="preserve"> ו</w:t>
      </w:r>
      <w:r w:rsidRPr="002B5E33">
        <w:rPr>
          <w:rFonts w:hint="eastAsia"/>
          <w:b/>
          <w:bCs/>
          <w:rtl/>
        </w:rPr>
        <w:t>ההטבות</w:t>
      </w:r>
      <w:r w:rsidRPr="002B5E33">
        <w:rPr>
          <w:b/>
          <w:bCs/>
          <w:rtl/>
        </w:rPr>
        <w:t xml:space="preserve"> </w:t>
      </w:r>
      <w:r w:rsidRPr="002B5E33">
        <w:rPr>
          <w:rFonts w:hint="cs"/>
          <w:b/>
          <w:bCs/>
          <w:rtl/>
        </w:rPr>
        <w:t>ש</w:t>
      </w:r>
      <w:r w:rsidRPr="002B5E33">
        <w:rPr>
          <w:rFonts w:hint="eastAsia"/>
          <w:b/>
          <w:bCs/>
          <w:rtl/>
        </w:rPr>
        <w:t>חברות</w:t>
      </w:r>
      <w:r w:rsidRPr="002B5E33">
        <w:rPr>
          <w:b/>
          <w:bCs/>
          <w:rtl/>
        </w:rPr>
        <w:t xml:space="preserve"> </w:t>
      </w:r>
      <w:r w:rsidRPr="002B5E33">
        <w:rPr>
          <w:rFonts w:hint="eastAsia"/>
          <w:b/>
          <w:bCs/>
          <w:rtl/>
        </w:rPr>
        <w:t xml:space="preserve">הביטוח </w:t>
      </w:r>
      <w:r w:rsidRPr="002B5E33">
        <w:rPr>
          <w:rFonts w:hint="cs"/>
          <w:b/>
          <w:bCs/>
          <w:rtl/>
        </w:rPr>
        <w:t xml:space="preserve">מעניקות </w:t>
      </w:r>
      <w:r w:rsidRPr="002B5E33">
        <w:rPr>
          <w:rFonts w:hint="eastAsia"/>
          <w:b/>
          <w:bCs/>
          <w:rtl/>
        </w:rPr>
        <w:t>לסוכנים</w:t>
      </w:r>
      <w:r w:rsidRPr="002B5E33">
        <w:rPr>
          <w:b/>
          <w:bCs/>
          <w:rtl/>
        </w:rPr>
        <w:t xml:space="preserve">, </w:t>
      </w:r>
      <w:r w:rsidRPr="002B5E33">
        <w:rPr>
          <w:rFonts w:hint="cs"/>
          <w:b/>
          <w:bCs/>
          <w:rtl/>
        </w:rPr>
        <w:t>מלמדים</w:t>
      </w:r>
      <w:r w:rsidRPr="002B5E33">
        <w:rPr>
          <w:b/>
          <w:bCs/>
          <w:rtl/>
        </w:rPr>
        <w:t xml:space="preserve"> שלסוכנים </w:t>
      </w:r>
      <w:r w:rsidRPr="002B5E33">
        <w:rPr>
          <w:rFonts w:hint="cs"/>
          <w:b/>
          <w:bCs/>
          <w:rtl/>
        </w:rPr>
        <w:t>יש השפעה</w:t>
      </w:r>
      <w:r w:rsidRPr="002B5E33">
        <w:rPr>
          <w:b/>
          <w:bCs/>
          <w:rtl/>
        </w:rPr>
        <w:t xml:space="preserve"> </w:t>
      </w:r>
      <w:r w:rsidRPr="002B5E33">
        <w:rPr>
          <w:rFonts w:hint="cs"/>
          <w:b/>
          <w:bCs/>
          <w:rtl/>
        </w:rPr>
        <w:t>רבה בבחירת חברת הביטוח</w:t>
      </w:r>
      <w:r w:rsidRPr="002B5E33">
        <w:rPr>
          <w:b/>
          <w:bCs/>
          <w:rtl/>
        </w:rPr>
        <w:t xml:space="preserve"> </w:t>
      </w:r>
      <w:r w:rsidRPr="002B5E33">
        <w:rPr>
          <w:rFonts w:hint="cs"/>
          <w:b/>
          <w:bCs/>
          <w:rtl/>
        </w:rPr>
        <w:t>על ידי המבוטח, ו</w:t>
      </w:r>
      <w:r w:rsidRPr="002B5E33">
        <w:rPr>
          <w:b/>
          <w:bCs/>
          <w:rtl/>
        </w:rPr>
        <w:t xml:space="preserve">בתהליך ההתקשרות בין המבוטח לחברת הביטוח. </w:t>
      </w:r>
      <w:r w:rsidRPr="002B5E33">
        <w:rPr>
          <w:rFonts w:hint="cs"/>
          <w:b/>
          <w:bCs/>
          <w:rtl/>
        </w:rPr>
        <w:t xml:space="preserve">הממצאים העולים מפרק זה </w:t>
      </w:r>
      <w:r w:rsidRPr="002B5E33">
        <w:rPr>
          <w:b/>
          <w:bCs/>
          <w:rtl/>
        </w:rPr>
        <w:t>–</w:t>
      </w:r>
      <w:r w:rsidRPr="002B5E33">
        <w:rPr>
          <w:rFonts w:hint="cs"/>
          <w:b/>
          <w:bCs/>
          <w:rtl/>
        </w:rPr>
        <w:t xml:space="preserve"> ובהם: </w:t>
      </w:r>
      <w:r w:rsidRPr="002B5E33">
        <w:rPr>
          <w:rFonts w:hint="eastAsia"/>
          <w:b/>
          <w:bCs/>
          <w:rtl/>
        </w:rPr>
        <w:t>חוסר</w:t>
      </w:r>
      <w:r w:rsidRPr="002B5E33">
        <w:rPr>
          <w:b/>
          <w:bCs/>
          <w:rtl/>
        </w:rPr>
        <w:t xml:space="preserve"> </w:t>
      </w:r>
      <w:r w:rsidRPr="002B5E33">
        <w:rPr>
          <w:rFonts w:hint="cs"/>
          <w:b/>
          <w:bCs/>
          <w:rtl/>
        </w:rPr>
        <w:t>אפקטיביות הגילוי הנאות</w:t>
      </w:r>
      <w:r w:rsidRPr="002B5E33">
        <w:rPr>
          <w:b/>
          <w:bCs/>
          <w:rtl/>
        </w:rPr>
        <w:t>;</w:t>
      </w:r>
      <w:r w:rsidRPr="002B5E33">
        <w:rPr>
          <w:rFonts w:hint="cs"/>
          <w:b/>
          <w:bCs/>
          <w:rtl/>
        </w:rPr>
        <w:t xml:space="preserve"> אי-</w:t>
      </w:r>
      <w:r w:rsidRPr="002B5E33">
        <w:rPr>
          <w:rFonts w:hint="eastAsia"/>
          <w:b/>
          <w:bCs/>
          <w:rtl/>
        </w:rPr>
        <w:t>איסוף</w:t>
      </w:r>
      <w:r w:rsidRPr="002B5E33">
        <w:rPr>
          <w:b/>
          <w:bCs/>
          <w:rtl/>
        </w:rPr>
        <w:t xml:space="preserve"> </w:t>
      </w:r>
      <w:r w:rsidRPr="002B5E33">
        <w:rPr>
          <w:rFonts w:hint="eastAsia"/>
          <w:b/>
          <w:bCs/>
          <w:rtl/>
        </w:rPr>
        <w:t>נתונים</w:t>
      </w:r>
      <w:r w:rsidRPr="002B5E33">
        <w:rPr>
          <w:b/>
          <w:bCs/>
          <w:rtl/>
        </w:rPr>
        <w:t xml:space="preserve"> </w:t>
      </w:r>
      <w:r w:rsidRPr="002B5E33">
        <w:rPr>
          <w:rFonts w:hint="eastAsia"/>
          <w:b/>
          <w:bCs/>
          <w:rtl/>
        </w:rPr>
        <w:t>על</w:t>
      </w:r>
      <w:r w:rsidRPr="002B5E33">
        <w:rPr>
          <w:b/>
          <w:bCs/>
          <w:rtl/>
        </w:rPr>
        <w:t xml:space="preserve"> </w:t>
      </w:r>
      <w:r w:rsidRPr="002B5E33">
        <w:rPr>
          <w:rFonts w:hint="eastAsia"/>
          <w:b/>
          <w:bCs/>
          <w:rtl/>
        </w:rPr>
        <w:t>היקף</w:t>
      </w:r>
      <w:r w:rsidRPr="002B5E33">
        <w:rPr>
          <w:b/>
          <w:bCs/>
          <w:rtl/>
        </w:rPr>
        <w:t xml:space="preserve"> </w:t>
      </w:r>
      <w:r w:rsidRPr="002B5E33">
        <w:rPr>
          <w:rFonts w:hint="eastAsia"/>
          <w:b/>
          <w:bCs/>
          <w:rtl/>
        </w:rPr>
        <w:t>תופעת</w:t>
      </w:r>
      <w:r w:rsidRPr="002B5E33">
        <w:rPr>
          <w:b/>
          <w:bCs/>
          <w:rtl/>
        </w:rPr>
        <w:t xml:space="preserve"> </w:t>
      </w:r>
      <w:r w:rsidRPr="002B5E33">
        <w:rPr>
          <w:rFonts w:hint="eastAsia"/>
          <w:b/>
          <w:bCs/>
          <w:rtl/>
        </w:rPr>
        <w:t>תחלופת</w:t>
      </w:r>
      <w:r w:rsidRPr="002B5E33">
        <w:rPr>
          <w:b/>
          <w:bCs/>
          <w:rtl/>
        </w:rPr>
        <w:t xml:space="preserve"> </w:t>
      </w:r>
      <w:r w:rsidRPr="002B5E33">
        <w:rPr>
          <w:rFonts w:hint="eastAsia"/>
          <w:b/>
          <w:bCs/>
          <w:rtl/>
        </w:rPr>
        <w:t>פוליסות</w:t>
      </w:r>
      <w:r w:rsidRPr="002B5E33">
        <w:rPr>
          <w:b/>
          <w:bCs/>
          <w:rtl/>
        </w:rPr>
        <w:t xml:space="preserve"> </w:t>
      </w:r>
      <w:r w:rsidRPr="002B5E33">
        <w:rPr>
          <w:rFonts w:hint="eastAsia"/>
          <w:b/>
          <w:bCs/>
          <w:rtl/>
        </w:rPr>
        <w:t>והסיבות</w:t>
      </w:r>
      <w:r w:rsidRPr="002B5E33">
        <w:rPr>
          <w:b/>
          <w:bCs/>
          <w:rtl/>
        </w:rPr>
        <w:t xml:space="preserve"> </w:t>
      </w:r>
      <w:r w:rsidRPr="002B5E33">
        <w:rPr>
          <w:rFonts w:hint="eastAsia"/>
          <w:b/>
          <w:bCs/>
          <w:rtl/>
        </w:rPr>
        <w:t>לכך</w:t>
      </w:r>
      <w:r w:rsidRPr="002B5E33">
        <w:rPr>
          <w:b/>
          <w:bCs/>
          <w:rtl/>
        </w:rPr>
        <w:t xml:space="preserve">; </w:t>
      </w:r>
      <w:r w:rsidRPr="002B5E33">
        <w:rPr>
          <w:rFonts w:hint="cs"/>
          <w:b/>
          <w:bCs/>
          <w:rtl/>
        </w:rPr>
        <w:t>ה</w:t>
      </w:r>
      <w:r w:rsidRPr="002B5E33">
        <w:rPr>
          <w:rFonts w:hint="eastAsia"/>
          <w:b/>
          <w:bCs/>
          <w:rtl/>
        </w:rPr>
        <w:t>מעבר</w:t>
      </w:r>
      <w:r w:rsidRPr="002B5E33">
        <w:rPr>
          <w:b/>
          <w:bCs/>
          <w:rtl/>
        </w:rPr>
        <w:t xml:space="preserve"> </w:t>
      </w:r>
      <w:r w:rsidRPr="002B5E33">
        <w:rPr>
          <w:rFonts w:hint="cs"/>
          <w:b/>
          <w:bCs/>
          <w:rtl/>
        </w:rPr>
        <w:t xml:space="preserve">המזערי </w:t>
      </w:r>
      <w:r w:rsidRPr="002B5E33">
        <w:rPr>
          <w:rFonts w:hint="eastAsia"/>
          <w:b/>
          <w:bCs/>
          <w:rtl/>
        </w:rPr>
        <w:t>של</w:t>
      </w:r>
      <w:r w:rsidRPr="002B5E33">
        <w:rPr>
          <w:b/>
          <w:bCs/>
          <w:rtl/>
        </w:rPr>
        <w:t xml:space="preserve"> </w:t>
      </w:r>
      <w:r w:rsidRPr="002B5E33">
        <w:rPr>
          <w:rFonts w:hint="eastAsia"/>
          <w:b/>
          <w:bCs/>
          <w:rtl/>
        </w:rPr>
        <w:t>פוליסות</w:t>
      </w:r>
      <w:r w:rsidRPr="002B5E33">
        <w:rPr>
          <w:b/>
          <w:bCs/>
          <w:rtl/>
        </w:rPr>
        <w:t xml:space="preserve"> </w:t>
      </w:r>
      <w:r w:rsidRPr="002B5E33">
        <w:rPr>
          <w:rFonts w:hint="eastAsia"/>
          <w:b/>
          <w:bCs/>
          <w:rtl/>
        </w:rPr>
        <w:t>בין</w:t>
      </w:r>
      <w:r w:rsidRPr="002B5E33">
        <w:rPr>
          <w:b/>
          <w:bCs/>
          <w:rtl/>
        </w:rPr>
        <w:t xml:space="preserve"> </w:t>
      </w:r>
      <w:r w:rsidRPr="002B5E33">
        <w:rPr>
          <w:rFonts w:hint="eastAsia"/>
          <w:b/>
          <w:bCs/>
          <w:rtl/>
        </w:rPr>
        <w:t>סוכנים</w:t>
      </w:r>
      <w:r w:rsidRPr="002B5E33">
        <w:rPr>
          <w:rFonts w:hint="cs"/>
          <w:b/>
          <w:bCs/>
          <w:rtl/>
        </w:rPr>
        <w:t xml:space="preserve"> - </w:t>
      </w:r>
      <w:r w:rsidRPr="002B5E33">
        <w:rPr>
          <w:b/>
          <w:bCs/>
          <w:rtl/>
        </w:rPr>
        <w:t xml:space="preserve">ממחישים </w:t>
      </w:r>
      <w:r w:rsidRPr="002B5E33">
        <w:rPr>
          <w:rFonts w:hint="cs"/>
          <w:b/>
          <w:bCs/>
          <w:rtl/>
        </w:rPr>
        <w:t xml:space="preserve">ביתר שאת </w:t>
      </w:r>
      <w:r w:rsidRPr="002B5E33">
        <w:rPr>
          <w:b/>
          <w:bCs/>
          <w:rtl/>
        </w:rPr>
        <w:t xml:space="preserve">את </w:t>
      </w:r>
      <w:r w:rsidRPr="002B5E33">
        <w:rPr>
          <w:rFonts w:hint="eastAsia"/>
          <w:b/>
          <w:bCs/>
          <w:rtl/>
        </w:rPr>
        <w:t>החשיבות</w:t>
      </w:r>
      <w:r w:rsidRPr="002B5E33">
        <w:rPr>
          <w:b/>
          <w:bCs/>
          <w:rtl/>
        </w:rPr>
        <w:t xml:space="preserve"> </w:t>
      </w:r>
      <w:r w:rsidRPr="002B5E33">
        <w:rPr>
          <w:rFonts w:hint="eastAsia"/>
          <w:b/>
          <w:bCs/>
          <w:rtl/>
        </w:rPr>
        <w:t>של</w:t>
      </w:r>
      <w:r w:rsidRPr="002B5E33">
        <w:rPr>
          <w:b/>
          <w:bCs/>
          <w:rtl/>
        </w:rPr>
        <w:t xml:space="preserve"> </w:t>
      </w:r>
      <w:r w:rsidRPr="002B5E33">
        <w:rPr>
          <w:rFonts w:hint="eastAsia"/>
          <w:b/>
          <w:bCs/>
          <w:rtl/>
        </w:rPr>
        <w:t>אסדרת</w:t>
      </w:r>
      <w:r w:rsidRPr="002B5E33">
        <w:rPr>
          <w:b/>
          <w:bCs/>
          <w:rtl/>
        </w:rPr>
        <w:t xml:space="preserve"> </w:t>
      </w:r>
      <w:r w:rsidRPr="002B5E33">
        <w:rPr>
          <w:rFonts w:hint="eastAsia"/>
          <w:b/>
          <w:bCs/>
          <w:rtl/>
        </w:rPr>
        <w:t>תחום</w:t>
      </w:r>
      <w:r w:rsidRPr="002B5E33">
        <w:rPr>
          <w:b/>
          <w:bCs/>
          <w:rtl/>
        </w:rPr>
        <w:t xml:space="preserve"> </w:t>
      </w:r>
      <w:r w:rsidRPr="002B5E33">
        <w:rPr>
          <w:rFonts w:hint="eastAsia"/>
          <w:b/>
          <w:bCs/>
          <w:rtl/>
        </w:rPr>
        <w:t>סוכני</w:t>
      </w:r>
      <w:r w:rsidRPr="002B5E33">
        <w:rPr>
          <w:b/>
          <w:bCs/>
          <w:rtl/>
        </w:rPr>
        <w:t xml:space="preserve"> </w:t>
      </w:r>
      <w:r w:rsidRPr="002B5E33">
        <w:rPr>
          <w:rFonts w:hint="eastAsia"/>
          <w:b/>
          <w:bCs/>
          <w:rtl/>
        </w:rPr>
        <w:t>הביטוח</w:t>
      </w:r>
      <w:r w:rsidRPr="002B5E33">
        <w:rPr>
          <w:b/>
          <w:bCs/>
          <w:rtl/>
        </w:rPr>
        <w:t xml:space="preserve">. </w:t>
      </w:r>
      <w:r w:rsidRPr="002B5E33">
        <w:rPr>
          <w:rFonts w:hint="cs"/>
          <w:b/>
          <w:bCs/>
          <w:rtl/>
        </w:rPr>
        <w:t xml:space="preserve">לפיכך, </w:t>
      </w:r>
      <w:r w:rsidRPr="002B5E33">
        <w:rPr>
          <w:rFonts w:hint="eastAsia"/>
          <w:b/>
          <w:bCs/>
          <w:rtl/>
        </w:rPr>
        <w:t>מומלץ</w:t>
      </w:r>
      <w:r w:rsidRPr="002B5E33">
        <w:rPr>
          <w:b/>
          <w:bCs/>
          <w:rtl/>
        </w:rPr>
        <w:t xml:space="preserve"> כי הרשות תבחן את הסדרת מעמדם של </w:t>
      </w:r>
      <w:r w:rsidRPr="002B5E33">
        <w:rPr>
          <w:rFonts w:hint="cs"/>
          <w:b/>
          <w:bCs/>
          <w:rtl/>
        </w:rPr>
        <w:t xml:space="preserve">סוכני הביטוח וכן של </w:t>
      </w:r>
      <w:r w:rsidRPr="002B5E33">
        <w:rPr>
          <w:b/>
          <w:bCs/>
          <w:rtl/>
        </w:rPr>
        <w:t xml:space="preserve">גורמים שאינם </w:t>
      </w:r>
      <w:r w:rsidRPr="002B5E33">
        <w:rPr>
          <w:rFonts w:hint="eastAsia"/>
          <w:b/>
          <w:bCs/>
          <w:rtl/>
        </w:rPr>
        <w:t>סוכני</w:t>
      </w:r>
      <w:r w:rsidRPr="002B5E33">
        <w:rPr>
          <w:b/>
          <w:bCs/>
          <w:rtl/>
        </w:rPr>
        <w:t xml:space="preserve"> </w:t>
      </w:r>
      <w:r w:rsidRPr="002B5E33">
        <w:rPr>
          <w:rFonts w:hint="eastAsia"/>
          <w:b/>
          <w:bCs/>
          <w:rtl/>
        </w:rPr>
        <w:t>ביטוח</w:t>
      </w:r>
      <w:r w:rsidRPr="002B5E33">
        <w:rPr>
          <w:b/>
          <w:bCs/>
          <w:rtl/>
        </w:rPr>
        <w:t xml:space="preserve"> </w:t>
      </w:r>
      <w:r w:rsidRPr="002B5E33">
        <w:rPr>
          <w:rFonts w:hint="eastAsia"/>
          <w:b/>
          <w:bCs/>
          <w:rtl/>
        </w:rPr>
        <w:t>בתחום</w:t>
      </w:r>
      <w:r w:rsidRPr="002B5E33">
        <w:rPr>
          <w:b/>
          <w:bCs/>
          <w:rtl/>
        </w:rPr>
        <w:t xml:space="preserve"> </w:t>
      </w:r>
      <w:r w:rsidRPr="002B5E33">
        <w:rPr>
          <w:rFonts w:hint="eastAsia"/>
          <w:b/>
          <w:bCs/>
          <w:rtl/>
        </w:rPr>
        <w:t>מכירת</w:t>
      </w:r>
      <w:r w:rsidRPr="002B5E33">
        <w:rPr>
          <w:b/>
          <w:bCs/>
          <w:rtl/>
        </w:rPr>
        <w:t xml:space="preserve"> </w:t>
      </w:r>
      <w:r w:rsidRPr="002B5E33">
        <w:rPr>
          <w:rFonts w:hint="eastAsia"/>
          <w:b/>
          <w:bCs/>
          <w:rtl/>
        </w:rPr>
        <w:t>ביטוחי</w:t>
      </w:r>
      <w:r w:rsidRPr="002B5E33">
        <w:rPr>
          <w:b/>
          <w:bCs/>
          <w:rtl/>
        </w:rPr>
        <w:t xml:space="preserve"> </w:t>
      </w:r>
      <w:r w:rsidRPr="002B5E33">
        <w:rPr>
          <w:rFonts w:hint="eastAsia"/>
          <w:b/>
          <w:bCs/>
          <w:rtl/>
        </w:rPr>
        <w:t>הבריאות</w:t>
      </w:r>
      <w:r w:rsidRPr="002B5E33">
        <w:rPr>
          <w:b/>
          <w:bCs/>
          <w:rtl/>
        </w:rPr>
        <w:t xml:space="preserve"> </w:t>
      </w:r>
      <w:r w:rsidRPr="002B5E33">
        <w:rPr>
          <w:rFonts w:hint="eastAsia"/>
          <w:b/>
          <w:bCs/>
          <w:rtl/>
        </w:rPr>
        <w:t>כמוכרנים</w:t>
      </w:r>
      <w:r w:rsidRPr="002B5E33">
        <w:rPr>
          <w:b/>
          <w:bCs/>
          <w:rtl/>
        </w:rPr>
        <w:t xml:space="preserve"> ו</w:t>
      </w:r>
      <w:r w:rsidRPr="002B5E33">
        <w:rPr>
          <w:rFonts w:hint="cs"/>
          <w:b/>
          <w:bCs/>
          <w:rtl/>
        </w:rPr>
        <w:t>כ</w:t>
      </w:r>
      <w:r w:rsidRPr="002B5E33">
        <w:rPr>
          <w:b/>
          <w:bCs/>
          <w:rtl/>
        </w:rPr>
        <w:t xml:space="preserve">יועצים </w:t>
      </w:r>
      <w:r w:rsidRPr="002B5E33">
        <w:rPr>
          <w:rFonts w:hint="cs"/>
          <w:b/>
          <w:bCs/>
          <w:rtl/>
        </w:rPr>
        <w:t xml:space="preserve">לא </w:t>
      </w:r>
      <w:r w:rsidRPr="002B5E33">
        <w:rPr>
          <w:b/>
          <w:bCs/>
          <w:rtl/>
        </w:rPr>
        <w:t>מורשים.</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rtl/>
        </w:rPr>
        <w:t>רשות שוק ההון כתבה בתשובתה כי היא "</w:t>
      </w:r>
      <w:r w:rsidRPr="002B5E33">
        <w:rPr>
          <w:rtl/>
        </w:rPr>
        <w:t>עובדת בימים אלו על שינוי הרגולציה הקיימת בשוק ההפצה והתיווך, שמטרתה לפעול לשם צמצום החשש לניגוד העניינים של סוכן הביטוח כך שיהפוך לסוכן אובייקטיבי למבוטח. בשינוי הרגולציה, נבקש להסדיר את מודל התגמול של הסוכן, להגדיר את תפקידו ולהטיל עליו חובות בנוגע לשקיפות וגילוי למבוטח בעת רכישת מוצר ביטוחי. בשינויי הרגולציה הללו אנו מבקשים להטות את שוק התיווך וההפצה בתחום הביטוח לכיוון הלקוח, כך שיקבל ייעוץ אובייקטיבי וחסר פניות מהסוכן, ואנו מאמינים כי באמצעותו, נפתור את הכשלים שנמצאו במהלך הביקורת, ואף יותר</w:t>
      </w:r>
      <w:r w:rsidRPr="002B5E33">
        <w:rPr>
          <w:rFonts w:hint="cs"/>
          <w:rtl/>
        </w:rPr>
        <w:t>".</w:t>
      </w:r>
    </w:p>
    <w:p w:rsidR="00FA3E7D" w:rsidRPr="002B5E33" w:rsidP="00FA3E7D">
      <w:pPr>
        <w:spacing w:line="269" w:lineRule="auto"/>
        <w:rPr>
          <w:b/>
          <w:bCs/>
          <w:rtl/>
        </w:rPr>
      </w:pPr>
    </w:p>
    <w:p w:rsidR="00FA3E7D" w:rsidRPr="00B61335" w:rsidP="00FA3E7D">
      <w:pPr>
        <w:jc w:val="center"/>
        <w:rPr>
          <w:rFonts w:ascii="Arial" w:hAnsi="Arial" w:cs="Arial"/>
          <w:sz w:val="36"/>
          <w:rtl/>
        </w:rPr>
      </w:pPr>
      <w:r>
        <w:rPr>
          <w:rFonts w:ascii="Segoe UI Symbol" w:hAnsi="Segoe UI Symbol" w:cs="Segoe UI Symbol" w:hint="cs"/>
          <w:sz w:val="36"/>
          <w:rtl/>
        </w:rPr>
        <w:t>✰</w:t>
      </w:r>
    </w:p>
    <w:p w:rsidR="00FA3E7D" w:rsidP="00FA3E7D">
      <w:pPr>
        <w:pStyle w:val="a"/>
        <w:spacing w:line="269" w:lineRule="auto"/>
        <w:rPr>
          <w:rtl/>
        </w:rPr>
      </w:pPr>
    </w:p>
    <w:p w:rsidR="00FA3E7D" w:rsidRPr="002B5E33" w:rsidP="00FA3E7D">
      <w:pPr>
        <w:spacing w:line="269" w:lineRule="auto"/>
        <w:rPr>
          <w:b/>
          <w:bCs/>
          <w:rtl/>
        </w:rPr>
      </w:pPr>
      <w:r w:rsidRPr="002B5E33">
        <w:rPr>
          <w:rFonts w:hint="eastAsia"/>
          <w:b/>
          <w:bCs/>
          <w:rtl/>
        </w:rPr>
        <w:t>לסוכני</w:t>
      </w:r>
      <w:r w:rsidRPr="002B5E33">
        <w:rPr>
          <w:b/>
          <w:bCs/>
          <w:rtl/>
        </w:rPr>
        <w:t xml:space="preserve"> </w:t>
      </w:r>
      <w:r w:rsidRPr="002B5E33">
        <w:rPr>
          <w:rFonts w:hint="eastAsia"/>
          <w:b/>
          <w:bCs/>
          <w:rtl/>
        </w:rPr>
        <w:t>הביטוח</w:t>
      </w:r>
      <w:r w:rsidRPr="002B5E33">
        <w:rPr>
          <w:b/>
          <w:bCs/>
          <w:rtl/>
        </w:rPr>
        <w:t xml:space="preserve"> חשיבות כמגשרים בין ציבור הצרכנים לחברות הביטוח, ואולם המבנה הקיים של פעילות סוכני הביטוח בענף </w:t>
      </w:r>
      <w:r w:rsidRPr="002B5E33">
        <w:rPr>
          <w:rFonts w:hint="eastAsia"/>
          <w:b/>
          <w:bCs/>
          <w:rtl/>
        </w:rPr>
        <w:t>עשוי</w:t>
      </w:r>
      <w:r w:rsidRPr="002B5E33">
        <w:rPr>
          <w:b/>
          <w:bCs/>
          <w:rtl/>
        </w:rPr>
        <w:t xml:space="preserve"> </w:t>
      </w:r>
      <w:r w:rsidRPr="002B5E33">
        <w:rPr>
          <w:rFonts w:hint="eastAsia"/>
          <w:b/>
          <w:bCs/>
          <w:rtl/>
        </w:rPr>
        <w:t>ליצור</w:t>
      </w:r>
      <w:r w:rsidRPr="002B5E33">
        <w:rPr>
          <w:b/>
          <w:bCs/>
          <w:rtl/>
        </w:rPr>
        <w:t xml:space="preserve"> </w:t>
      </w:r>
      <w:r w:rsidRPr="002B5E33">
        <w:rPr>
          <w:rFonts w:hint="eastAsia"/>
          <w:b/>
          <w:bCs/>
          <w:rtl/>
        </w:rPr>
        <w:t>ניגוד</w:t>
      </w:r>
      <w:r w:rsidRPr="002B5E33">
        <w:rPr>
          <w:b/>
          <w:bCs/>
          <w:rtl/>
        </w:rPr>
        <w:t xml:space="preserve"> </w:t>
      </w:r>
      <w:r w:rsidRPr="002B5E33">
        <w:rPr>
          <w:rFonts w:hint="eastAsia"/>
          <w:b/>
          <w:bCs/>
          <w:rtl/>
        </w:rPr>
        <w:t>עניינים</w:t>
      </w:r>
      <w:r w:rsidRPr="002B5E33">
        <w:rPr>
          <w:b/>
          <w:bCs/>
          <w:rtl/>
        </w:rPr>
        <w:t xml:space="preserve"> </w:t>
      </w:r>
      <w:r w:rsidRPr="002B5E33">
        <w:rPr>
          <w:rFonts w:hint="eastAsia"/>
          <w:b/>
          <w:bCs/>
          <w:rtl/>
        </w:rPr>
        <w:t>בפעילותם</w:t>
      </w:r>
      <w:r w:rsidRPr="002B5E33">
        <w:rPr>
          <w:b/>
          <w:bCs/>
          <w:rtl/>
        </w:rPr>
        <w:t>. על הרשות</w:t>
      </w:r>
      <w:r>
        <w:rPr>
          <w:b/>
          <w:bCs/>
          <w:rtl/>
        </w:rPr>
        <w:t xml:space="preserve"> </w:t>
      </w:r>
      <w:r w:rsidRPr="002B5E33">
        <w:rPr>
          <w:b/>
          <w:bCs/>
          <w:rtl/>
        </w:rPr>
        <w:t>לבחון את</w:t>
      </w:r>
      <w:r>
        <w:rPr>
          <w:b/>
          <w:bCs/>
          <w:rtl/>
        </w:rPr>
        <w:t xml:space="preserve"> </w:t>
      </w:r>
      <w:r w:rsidRPr="002B5E33">
        <w:rPr>
          <w:b/>
          <w:bCs/>
          <w:rtl/>
        </w:rPr>
        <w:t xml:space="preserve">קידום </w:t>
      </w:r>
      <w:r w:rsidRPr="002B5E33">
        <w:rPr>
          <w:rFonts w:hint="eastAsia"/>
          <w:b/>
          <w:bCs/>
          <w:rtl/>
        </w:rPr>
        <w:t>אפשרות</w:t>
      </w:r>
      <w:r w:rsidRPr="002B5E33">
        <w:rPr>
          <w:rFonts w:hint="cs"/>
          <w:b/>
          <w:bCs/>
          <w:rtl/>
        </w:rPr>
        <w:t xml:space="preserve"> הסדרת מעמד סוכני הביטוח, הסדרת חובת הנאמנות שלהם ופעילותם בחלוקה על פי סוגי רישיון, ולפעול לעידוד התחרות בקרב הסוכנים לטובת צרכני הביטוח.</w:t>
      </w:r>
    </w:p>
    <w:p w:rsidR="00FA3E7D" w:rsidRPr="002B5E33" w:rsidP="00FA3E7D">
      <w:pPr>
        <w:spacing w:line="269" w:lineRule="auto"/>
        <w:rPr>
          <w:rtl/>
        </w:rPr>
      </w:pPr>
    </w:p>
    <w:p w:rsidR="00FA3E7D" w:rsidRPr="002B5E33" w:rsidP="00FA3E7D">
      <w:pPr>
        <w:pStyle w:val="Heading3"/>
        <w:spacing w:before="0" w:line="269" w:lineRule="auto"/>
        <w:rPr>
          <w:u w:val="none"/>
          <w:rtl/>
        </w:rPr>
      </w:pPr>
      <w:r w:rsidRPr="002B5E33">
        <w:rPr>
          <w:rFonts w:hint="cs"/>
          <w:rtl/>
        </w:rPr>
        <w:t>השירות לציבור בביטוחי בריאות ופרסום מדדי שירות</w:t>
      </w:r>
    </w:p>
    <w:p w:rsidR="00FA3E7D" w:rsidRPr="002B5E33" w:rsidP="00FA3E7D">
      <w:pPr>
        <w:pStyle w:val="a"/>
        <w:rPr>
          <w:rtl/>
        </w:rPr>
      </w:pPr>
    </w:p>
    <w:p w:rsidR="00FA3E7D" w:rsidRPr="002B5E33" w:rsidP="00FA3E7D">
      <w:pPr>
        <w:spacing w:line="269" w:lineRule="auto"/>
      </w:pPr>
      <w:r w:rsidRPr="002B5E33">
        <w:rPr>
          <w:rFonts w:hint="cs"/>
          <w:rtl/>
        </w:rPr>
        <w:t xml:space="preserve">בשנת 2014 החלה רשות שוק ההון לפרסם, אחת לשנה, באתר המרשתת שלה, וכן בדוח השנתי של הממונה על שוק ההון, מדדי שירות הנוגעים לפעילות חברות הביטוח במגוון תחומי ביטוח, ובהם ביטוח בריאות, במטרה לסייע למבוטחים בבחירת חברת ביטוח ובכדי לתמרץ את החברות לשפר את השירות לציבור. חלק מרכיבי מדדי השירות מבוסס על דיווחים של חברות הביטוח מכוח חוזר שפרסמה הרשות, שלפיו נדרשים גופים מוסדיים להעביר לרשות מידע בדבר פעילותם (להלן - חוזר איסוף מידע סטטיסטי). </w:t>
      </w:r>
    </w:p>
    <w:p w:rsidR="00FA3E7D" w:rsidRPr="002B5E33" w:rsidP="00FA3E7D">
      <w:pPr>
        <w:pStyle w:val="a"/>
        <w:spacing w:line="269" w:lineRule="auto"/>
      </w:pPr>
    </w:p>
    <w:p w:rsidR="00FA3E7D" w:rsidRPr="002B5E33" w:rsidP="00FA3E7D">
      <w:pPr>
        <w:spacing w:line="269" w:lineRule="auto"/>
        <w:rPr>
          <w:rtl/>
        </w:rPr>
      </w:pPr>
      <w:r w:rsidRPr="002B5E33">
        <w:rPr>
          <w:rFonts w:hint="cs"/>
          <w:rtl/>
        </w:rPr>
        <w:t xml:space="preserve">מדדי השירות מפורסמים ביחס לתחומי ביטוח שונים המפוקחים על ידי רשות שוק ההון. כך, בשנת 2018 פורסמו מדדי שירות לגבי התחומים שלהלן: בריאות, רכב חובה, רכב רכוש, דירות, תאונות אישיות, ביטוח סיעודי, נסיעות לחו"ל, אובדן כושר עבודה, חיים (ריסק). ככלל, על אף השוני הקיים בין התחומים והביטוחים למיניהם, ואף כי אין תלות ביניהם, לכל אחד מהתחומים נבדקים רכיבי מדדי שירות זהים (אם כי אופן בדיקתם עשוי להיות שונה בין תחום לתחום).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בתשובת הרשות נמסר כי מדדי השירות גובשו בראייה רוחבית של כל מוצרי הביטוח הנמדדים, וכי "החלטות התקבלו בהתאם למדיניות זו, המחייבת לעיתים התחשבות במאפיינים שונים של המוצרים על מנת לייצר קנה מידה ומדידה אחידים". הרשות ציינה עוד כי "למרות קיומם של הבדלים משמעותיים בין המוצרים, המדד נועד לאפשר מדידה אחידה לבחינת טיב השירות אשר יתרונו הגדול </w:t>
      </w:r>
      <w:r w:rsidRPr="002B5E33">
        <w:rPr>
          <w:rtl/>
        </w:rPr>
        <w:t>–</w:t>
      </w:r>
      <w:r w:rsidRPr="002B5E33">
        <w:rPr>
          <w:rFonts w:hint="cs"/>
          <w:rtl/>
        </w:rPr>
        <w:t xml:space="preserve"> במתן ציון אחיד לכל המוצרים המצויים תחת פיקוחה של רשות שוק ההון. ציון זה מהווה כלי פשוט ויעיל בו יוכלו הצרכנים להיעזר בבחירת כל אחד ממוצרי הביטוח שהם מעוניינים לרכוש במהלך חייהם </w:t>
      </w:r>
      <w:r w:rsidRPr="002B5E33">
        <w:rPr>
          <w:rtl/>
        </w:rPr>
        <w:t>–</w:t>
      </w:r>
      <w:r w:rsidRPr="002B5E33">
        <w:rPr>
          <w:rFonts w:hint="cs"/>
          <w:rtl/>
        </w:rPr>
        <w:t xml:space="preserve"> ביטוח רכב, קופת גמל, ביטוח בריאות, ובהמשך ביטוח חיים </w:t>
      </w:r>
      <w:r w:rsidRPr="002B5E33">
        <w:rPr>
          <w:rtl/>
        </w:rPr>
        <w:t>–</w:t>
      </w:r>
      <w:r w:rsidRPr="002B5E33">
        <w:rPr>
          <w:rFonts w:hint="cs"/>
          <w:rtl/>
        </w:rPr>
        <w:t xml:space="preserve"> ללא כל הבדל בממשק או במשמעות הכלי אותו מנגישה להם הרשות, כלומר, ציון מדד השירות".</w:t>
      </w:r>
    </w:p>
    <w:p w:rsidR="00FA3E7D" w:rsidRPr="002B5E33" w:rsidP="00FA3E7D">
      <w:pPr>
        <w:pStyle w:val="a"/>
        <w:spacing w:line="269" w:lineRule="auto"/>
        <w:rPr>
          <w:rtl/>
        </w:rPr>
      </w:pPr>
    </w:p>
    <w:p w:rsidR="00FA3E7D" w:rsidRPr="002B5E33" w:rsidP="00FA3E7D">
      <w:pPr>
        <w:spacing w:line="269" w:lineRule="auto"/>
        <w:rPr>
          <w:b/>
          <w:bCs/>
        </w:rPr>
      </w:pPr>
      <w:r w:rsidRPr="002B5E33">
        <w:rPr>
          <w:rFonts w:hint="cs"/>
          <w:b/>
          <w:bCs/>
          <w:rtl/>
        </w:rPr>
        <w:t>במסגרת עבודת המטה לקראת חישוב ופרסום מדדי שירות, רשות שוק ההון לא ביצעה סקר בקרב סוכני הביטוח והציבור הרחב שיסייע בהבנת השיקולים המשפיעים על הבחירה בביטוח בריאות בחברת ביטוח מסוימת, לשם בחירת המרכיבים הראויים לשמש חלק ממדדי השירות ולקביעת משקלם הראוי. בפרט, הרשות לא בחנה אם פרסום מדדי שירות ישפיע על המלצותיהם של סוכני ביטוח על חברת ביטוח מסוימת, ואיזה שיעור מכלל פוליסות ביטוחי הבריאות שרוכש הציבור נרכש על סמך שיקולים נוספים, מעבר להמלצה של סוכן הביטוח. זאת, אף שלרשות היה ידוע על קיומו של כשל בתחום הפצת מוצרי הביטוח, שעיקרו בנטייה של חלק ניכר מסוכני הביטוח להמליץ על מוצרי ביטוח של חברה שעימה הם קשורים</w:t>
      </w:r>
      <w:r>
        <w:rPr>
          <w:rStyle w:val="FootnoteReference"/>
          <w:b/>
          <w:bCs/>
          <w:rtl/>
        </w:rPr>
        <w:footnoteReference w:id="136"/>
      </w:r>
      <w:r w:rsidRPr="002B5E33">
        <w:rPr>
          <w:rFonts w:hint="cs"/>
          <w:b/>
          <w:bCs/>
          <w:rtl/>
        </w:rPr>
        <w:t xml:space="preserve">. </w:t>
      </w:r>
    </w:p>
    <w:p w:rsidR="00FA3E7D" w:rsidRPr="002B5E33" w:rsidP="00FA3E7D">
      <w:pPr>
        <w:pStyle w:val="a"/>
        <w:spacing w:line="269" w:lineRule="auto"/>
      </w:pPr>
    </w:p>
    <w:p w:rsidR="00FA3E7D" w:rsidRPr="002B5E33" w:rsidP="00FA3E7D">
      <w:pPr>
        <w:spacing w:line="269" w:lineRule="auto"/>
        <w:rPr>
          <w:rtl/>
        </w:rPr>
      </w:pPr>
      <w:r w:rsidRPr="002B5E33">
        <w:rPr>
          <w:rFonts w:hint="cs"/>
          <w:rtl/>
        </w:rPr>
        <w:t>רשות שוק ההון השיבה למשרד מבקר המדינה כי המידע בדבר מדדי השירות "יאפשר ללקוחות לנהל שיח מושכל יותר עם חברת ביטוח או סוכן ביטוח המציעים להם מוצר כזה או אחר".</w:t>
      </w:r>
    </w:p>
    <w:p w:rsidR="00FA3E7D" w:rsidRPr="002B5E33" w:rsidP="00FA3E7D">
      <w:pPr>
        <w:pStyle w:val="a"/>
        <w:spacing w:line="269" w:lineRule="auto"/>
      </w:pPr>
    </w:p>
    <w:p w:rsidR="00FA3E7D" w:rsidP="00FA3E7D">
      <w:pPr>
        <w:spacing w:line="269" w:lineRule="auto"/>
        <w:rPr>
          <w:rtl/>
        </w:rPr>
      </w:pPr>
      <w:r w:rsidRPr="002B5E33">
        <w:rPr>
          <w:rFonts w:hint="cs"/>
          <w:rtl/>
        </w:rPr>
        <w:t>בשנת 2018 התבססו מדדי השירות בתחום ביטוחי הבריאות על נתונים אלו: תשלום תביעות (שיעור תשלום התביעות ומהירות הטיפול בתביעות); טיפול בלקוחות; תלונות הציבור; זמן המענה הטלפוני; כלים דיגיטליים. הרשות מפרסמת מדי שנה הן את הציון שמקבלת כל חברה ברכיבי כל אחד ממדדי השירות בנפרד, והן את הציון המשוקלל שלהם. בשנים 2018-2014 ביצעה רשות שוק ההון פעמיים שינויים ברכיבי מדדי השירות בתחום הבריאות, ובמשקלם היחסי.</w:t>
      </w:r>
    </w:p>
    <w:p w:rsidR="005F40C7" w:rsidP="00FA3E7D">
      <w:pPr>
        <w:spacing w:line="269" w:lineRule="auto"/>
        <w:rPr>
          <w:rtl/>
        </w:rPr>
      </w:pPr>
    </w:p>
    <w:p w:rsidR="00FA3E7D" w:rsidRPr="002B5E33" w:rsidP="00FA3E7D">
      <w:pPr>
        <w:spacing w:line="269" w:lineRule="auto"/>
        <w:rPr>
          <w:rtl/>
        </w:rPr>
      </w:pPr>
      <w:r w:rsidRPr="002B5E33">
        <w:rPr>
          <w:rFonts w:hint="cs"/>
          <w:rtl/>
        </w:rPr>
        <w:t>התרשים שלהלן מציג את ההרכב של מדדי השירות ומשקלם היחסי נכון לשנת 2018.</w:t>
      </w:r>
    </w:p>
    <w:p w:rsidR="00FA3E7D" w:rsidRPr="002B5E33" w:rsidP="00FA3E7D">
      <w:pPr>
        <w:pStyle w:val="a"/>
        <w:spacing w:line="269" w:lineRule="auto"/>
        <w:rPr>
          <w:rtl/>
        </w:rPr>
      </w:pPr>
    </w:p>
    <w:p w:rsidR="00FA3E7D" w:rsidRPr="002B5E33" w:rsidP="00BE1FDD">
      <w:pPr>
        <w:spacing w:line="269" w:lineRule="auto"/>
        <w:jc w:val="center"/>
        <w:rPr>
          <w:b/>
          <w:bCs/>
          <w:rtl/>
        </w:rPr>
      </w:pPr>
      <w:r w:rsidRPr="002B5E33">
        <w:rPr>
          <w:rFonts w:hint="cs"/>
          <w:b/>
          <w:bCs/>
          <w:rtl/>
        </w:rPr>
        <w:t>תרשים 25</w:t>
      </w:r>
      <w:r w:rsidR="00BE1FDD">
        <w:rPr>
          <w:rFonts w:hint="cs"/>
          <w:b/>
          <w:bCs/>
          <w:rtl/>
        </w:rPr>
        <w:t xml:space="preserve">: </w:t>
      </w:r>
      <w:r w:rsidRPr="002B5E33">
        <w:rPr>
          <w:rFonts w:hint="eastAsia"/>
          <w:b/>
          <w:bCs/>
          <w:rtl/>
        </w:rPr>
        <w:t>הרכב</w:t>
      </w:r>
      <w:r w:rsidRPr="002B5E33">
        <w:rPr>
          <w:b/>
          <w:bCs/>
          <w:rtl/>
        </w:rPr>
        <w:t xml:space="preserve"> </w:t>
      </w:r>
      <w:r w:rsidRPr="002B5E33">
        <w:rPr>
          <w:rFonts w:hint="eastAsia"/>
          <w:b/>
          <w:bCs/>
          <w:rtl/>
        </w:rPr>
        <w:t>מדדי</w:t>
      </w:r>
      <w:r w:rsidRPr="002B5E33">
        <w:rPr>
          <w:b/>
          <w:bCs/>
          <w:rtl/>
        </w:rPr>
        <w:t xml:space="preserve"> </w:t>
      </w:r>
      <w:r w:rsidRPr="002B5E33">
        <w:rPr>
          <w:rFonts w:hint="eastAsia"/>
          <w:b/>
          <w:bCs/>
          <w:rtl/>
        </w:rPr>
        <w:t>השירות</w:t>
      </w:r>
      <w:r w:rsidRPr="002B5E33">
        <w:rPr>
          <w:b/>
          <w:bCs/>
          <w:rtl/>
        </w:rPr>
        <w:t xml:space="preserve"> </w:t>
      </w:r>
      <w:r w:rsidRPr="002B5E33">
        <w:rPr>
          <w:rFonts w:hint="cs"/>
          <w:b/>
          <w:bCs/>
          <w:rtl/>
        </w:rPr>
        <w:t>ומשקלם היחסי ב</w:t>
      </w:r>
      <w:r w:rsidRPr="002B5E33">
        <w:rPr>
          <w:rFonts w:hint="eastAsia"/>
          <w:b/>
          <w:bCs/>
          <w:rtl/>
        </w:rPr>
        <w:t>שנת</w:t>
      </w:r>
      <w:r w:rsidRPr="002B5E33">
        <w:rPr>
          <w:b/>
          <w:bCs/>
          <w:rtl/>
        </w:rPr>
        <w:t xml:space="preserve"> 2018</w:t>
      </w:r>
    </w:p>
    <w:p w:rsidR="00FA3E7D" w:rsidRPr="002B5E33" w:rsidP="00561379">
      <w:pPr>
        <w:spacing w:before="120" w:after="120" w:line="269" w:lineRule="auto"/>
        <w:jc w:val="center"/>
        <w:rPr>
          <w:rtl/>
        </w:rPr>
      </w:pPr>
      <w:r>
        <w:rPr>
          <w:noProof/>
          <w:rtl/>
        </w:rPr>
        <w:drawing>
          <wp:inline distT="0" distB="0" distL="0" distR="0">
            <wp:extent cx="2880366" cy="2566421"/>
            <wp:effectExtent l="0" t="0" r="0" b="571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91008" name="commercial-health-insurance-g-25.pn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366" cy="2566421"/>
                    </a:xfrm>
                    <a:prstGeom prst="rect">
                      <a:avLst/>
                    </a:prstGeom>
                  </pic:spPr>
                </pic:pic>
              </a:graphicData>
            </a:graphic>
          </wp:inline>
        </w:drawing>
      </w:r>
    </w:p>
    <w:p w:rsidR="00FA3E7D" w:rsidRPr="00555D55" w:rsidP="00555D55">
      <w:pPr>
        <w:spacing w:line="269" w:lineRule="auto"/>
        <w:jc w:val="left"/>
        <w:rPr>
          <w:sz w:val="22"/>
          <w:szCs w:val="22"/>
          <w:rtl/>
        </w:rPr>
      </w:pPr>
      <w:r w:rsidRPr="00555D55">
        <w:rPr>
          <w:rFonts w:hint="eastAsia"/>
          <w:sz w:val="22"/>
          <w:szCs w:val="22"/>
          <w:rtl/>
        </w:rPr>
        <w:t>מקור</w:t>
      </w:r>
      <w:r w:rsidRPr="00555D55">
        <w:rPr>
          <w:sz w:val="22"/>
          <w:szCs w:val="22"/>
          <w:rtl/>
        </w:rPr>
        <w:t xml:space="preserve">: </w:t>
      </w:r>
      <w:r w:rsidRPr="00555D55">
        <w:rPr>
          <w:rFonts w:hint="eastAsia"/>
          <w:sz w:val="22"/>
          <w:szCs w:val="22"/>
          <w:rtl/>
        </w:rPr>
        <w:t>נתוני</w:t>
      </w:r>
      <w:r w:rsidRPr="00555D55">
        <w:rPr>
          <w:sz w:val="22"/>
          <w:szCs w:val="22"/>
          <w:rtl/>
        </w:rPr>
        <w:t xml:space="preserve"> </w:t>
      </w:r>
      <w:r w:rsidRPr="00555D55">
        <w:rPr>
          <w:rFonts w:hint="eastAsia"/>
          <w:sz w:val="22"/>
          <w:szCs w:val="22"/>
          <w:rtl/>
        </w:rPr>
        <w:t>רשות</w:t>
      </w:r>
      <w:r w:rsidRPr="00555D55">
        <w:rPr>
          <w:sz w:val="22"/>
          <w:szCs w:val="22"/>
          <w:rtl/>
        </w:rPr>
        <w:t xml:space="preserve"> </w:t>
      </w:r>
      <w:r w:rsidRPr="00555D55">
        <w:rPr>
          <w:rFonts w:hint="eastAsia"/>
          <w:sz w:val="22"/>
          <w:szCs w:val="22"/>
          <w:rtl/>
        </w:rPr>
        <w:t>שוק</w:t>
      </w:r>
      <w:r w:rsidRPr="00555D55">
        <w:rPr>
          <w:sz w:val="22"/>
          <w:szCs w:val="22"/>
          <w:rtl/>
        </w:rPr>
        <w:t xml:space="preserve"> </w:t>
      </w:r>
      <w:r w:rsidRPr="00555D55">
        <w:rPr>
          <w:rFonts w:hint="eastAsia"/>
          <w:sz w:val="22"/>
          <w:szCs w:val="22"/>
          <w:rtl/>
        </w:rPr>
        <w:t>ההון</w:t>
      </w:r>
      <w:r w:rsidRPr="00555D55">
        <w:rPr>
          <w:sz w:val="22"/>
          <w:szCs w:val="22"/>
          <w:rtl/>
        </w:rPr>
        <w:t>.</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משרד מבקר המדינה מציין לחיוב את יוזמת הרשות לפרסום מדדי שרות, שמצביעה על החשיבות שהיא מייחסת לשיפור השירות שנותנות חברות הביטוח לציבור. מומלץ כי הרשות תבחן מעת לעת, באופן סדיר, בעבודת מטה ובשילוב סקרי לקוחות לפי צורך, את רכיבי המדד, משקלם היחסי והשפעתם על הלקוחות.</w:t>
      </w:r>
    </w:p>
    <w:p w:rsidR="00FA3E7D" w:rsidRPr="002B5E33" w:rsidP="00FA3E7D">
      <w:pPr>
        <w:pStyle w:val="a"/>
        <w:spacing w:line="269" w:lineRule="auto"/>
        <w:rPr>
          <w:rtl/>
        </w:rPr>
      </w:pPr>
    </w:p>
    <w:p w:rsidR="00FA3E7D" w:rsidRPr="002B5E33" w:rsidP="00FA3E7D">
      <w:pPr>
        <w:pStyle w:val="Heading5"/>
        <w:spacing w:line="269" w:lineRule="auto"/>
        <w:rPr>
          <w:rtl/>
        </w:rPr>
      </w:pPr>
      <w:r w:rsidRPr="002B5E33">
        <w:rPr>
          <w:rFonts w:hint="cs"/>
          <w:rtl/>
        </w:rPr>
        <w:t>מועילות הצגת מדדי שירות בביטוחי בריאות לצורך בחירת חברת ביטוח על ידי הצרכן</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כאמור, ביטוחי הבריאות הפרטיים מתאפיינים בכך שהם נעשים לזמן ארוך מאוד של עשרות שנים, ובכך שמידת הניידות של המבוטחים בין החברות נמוכה (בעיקר בשל דרישת החיתום ושינויים במצב הרפואי של המבוטחים, קיומן של תקופות אכשרה והחשש להעדר כיסוי בתקופות אלו, ומגמה כללית של עלייה במחירי ביטוחי הבריאות במשך השנים). נוסף על כך, דרישת החיתום גורמת לכך שבדרך כלל הפניות לחברות הביטוח ומספר התביעות המוגשות הולך ועולה בחלוף הזמן</w:t>
      </w:r>
      <w:r>
        <w:rPr>
          <w:rStyle w:val="FootnoteReference"/>
          <w:rtl/>
        </w:rPr>
        <w:footnoteReference w:id="137"/>
      </w:r>
      <w:r w:rsidRPr="002B5E33">
        <w:rPr>
          <w:rFonts w:hint="cs"/>
          <w:rtl/>
        </w:rPr>
        <w:t xml:space="preserve">. </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מיקומה של חברה בהשוואה בין החברות בתחום מדדי השירות בשנה האחרונה אינו יכול לנבא את טיב השירות של החברה בעתיד הבינוני והארוך, ובמיוחד אינו יכול לנבא את מיקומה היחסי בין החברות בעתיד. זאת במיוחד עקב היעדר שונות משמעותית בין החברות במרבית רכיבי המדד, הבא לידי ביטוי בדירוג המשתנה תכופות של החברות</w:t>
      </w:r>
      <w:r>
        <w:rPr>
          <w:rStyle w:val="FootnoteReference"/>
          <w:b/>
          <w:bCs/>
          <w:rtl/>
        </w:rPr>
        <w:footnoteReference w:id="138"/>
      </w:r>
      <w:r w:rsidRPr="002B5E33">
        <w:rPr>
          <w:rFonts w:hint="cs"/>
          <w:b/>
          <w:bCs/>
          <w:rtl/>
        </w:rPr>
        <w:t>. לפיכך, קיימת מועילות מוגבלת למדידה כמותית של שירות שנתנה חברת ביטוח בשנה האחרונה, ודירוג המיקום שבו היא נמצאת ביחס לחברות אחרות, בבואו של הציבור לבחור בחברת ביטוח שממנה ירכוש פוליסות ביטוחי בריאות הנערכות לטווח של עשרות שנים.</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רשות שוק ההון ביקשה להבהיר כי "הרשות אינה מתיימרת לנבא את העתיד אלא אך לשקף את תמונת המצב מבחינת רמת השירות בגופים הנמדדים... מדדי השירות נועדו לסייע ללקוח בבואו לרכוש מוצר ביטוחי. כמו כן המדד יכול לסייע למבוטחים להחליט אם ברצונם להתנייד במידה שאינם שבעי רצון מהשירות הניתן להם על ידי הגוף המוסדי בו הם מבוטחים".</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eastAsia"/>
          <w:b/>
          <w:bCs/>
          <w:rtl/>
        </w:rPr>
        <w:t>משרד</w:t>
      </w:r>
      <w:r w:rsidRPr="002B5E33">
        <w:rPr>
          <w:b/>
          <w:bCs/>
          <w:rtl/>
        </w:rPr>
        <w:t xml:space="preserve"> </w:t>
      </w:r>
      <w:r w:rsidRPr="002B5E33">
        <w:rPr>
          <w:rFonts w:hint="eastAsia"/>
          <w:b/>
          <w:bCs/>
          <w:rtl/>
        </w:rPr>
        <w:t>מבקר</w:t>
      </w:r>
      <w:r w:rsidRPr="002B5E33">
        <w:rPr>
          <w:b/>
          <w:bCs/>
          <w:rtl/>
        </w:rPr>
        <w:t xml:space="preserve"> </w:t>
      </w:r>
      <w:r w:rsidRPr="002B5E33">
        <w:rPr>
          <w:rFonts w:hint="eastAsia"/>
          <w:b/>
          <w:bCs/>
          <w:rtl/>
        </w:rPr>
        <w:t>המדינה</w:t>
      </w:r>
      <w:r w:rsidRPr="002B5E33">
        <w:rPr>
          <w:b/>
          <w:bCs/>
          <w:rtl/>
        </w:rPr>
        <w:t xml:space="preserve"> </w:t>
      </w:r>
      <w:r w:rsidRPr="002B5E33">
        <w:rPr>
          <w:rFonts w:hint="eastAsia"/>
          <w:b/>
          <w:bCs/>
          <w:rtl/>
        </w:rPr>
        <w:t>ממליץ</w:t>
      </w:r>
      <w:r w:rsidRPr="002B5E33">
        <w:rPr>
          <w:b/>
          <w:bCs/>
          <w:rtl/>
        </w:rPr>
        <w:t xml:space="preserve"> </w:t>
      </w:r>
      <w:r w:rsidRPr="002B5E33">
        <w:rPr>
          <w:rFonts w:hint="eastAsia"/>
          <w:b/>
          <w:bCs/>
          <w:rtl/>
        </w:rPr>
        <w:t>לרשות</w:t>
      </w:r>
      <w:r w:rsidRPr="002B5E33">
        <w:rPr>
          <w:b/>
          <w:bCs/>
          <w:rtl/>
        </w:rPr>
        <w:t xml:space="preserve"> </w:t>
      </w:r>
      <w:r w:rsidRPr="002B5E33">
        <w:rPr>
          <w:rFonts w:hint="eastAsia"/>
          <w:b/>
          <w:bCs/>
          <w:rtl/>
        </w:rPr>
        <w:t>שוק</w:t>
      </w:r>
      <w:r w:rsidRPr="002B5E33">
        <w:rPr>
          <w:b/>
          <w:bCs/>
          <w:rtl/>
        </w:rPr>
        <w:t xml:space="preserve"> </w:t>
      </w:r>
      <w:r w:rsidRPr="002B5E33">
        <w:rPr>
          <w:rFonts w:hint="eastAsia"/>
          <w:b/>
          <w:bCs/>
          <w:rtl/>
        </w:rPr>
        <w:t>ההון</w:t>
      </w:r>
      <w:r w:rsidRPr="002B5E33">
        <w:rPr>
          <w:b/>
          <w:bCs/>
          <w:rtl/>
        </w:rPr>
        <w:t xml:space="preserve"> </w:t>
      </w:r>
      <w:r w:rsidRPr="002B5E33">
        <w:rPr>
          <w:rFonts w:hint="eastAsia"/>
          <w:b/>
          <w:bCs/>
          <w:rtl/>
        </w:rPr>
        <w:t>לבחון</w:t>
      </w:r>
      <w:r w:rsidRPr="002B5E33">
        <w:rPr>
          <w:b/>
          <w:bCs/>
          <w:rtl/>
        </w:rPr>
        <w:t xml:space="preserve"> </w:t>
      </w:r>
      <w:r w:rsidRPr="002B5E33">
        <w:rPr>
          <w:rFonts w:hint="eastAsia"/>
          <w:b/>
          <w:bCs/>
          <w:rtl/>
        </w:rPr>
        <w:t>אילו</w:t>
      </w:r>
      <w:r w:rsidRPr="002B5E33">
        <w:rPr>
          <w:b/>
          <w:bCs/>
          <w:rtl/>
        </w:rPr>
        <w:t xml:space="preserve"> </w:t>
      </w:r>
      <w:r w:rsidRPr="002B5E33">
        <w:rPr>
          <w:rFonts w:hint="eastAsia"/>
          <w:b/>
          <w:bCs/>
          <w:rtl/>
        </w:rPr>
        <w:t>השלכות</w:t>
      </w:r>
      <w:r w:rsidRPr="002B5E33">
        <w:rPr>
          <w:b/>
          <w:bCs/>
          <w:rtl/>
        </w:rPr>
        <w:t xml:space="preserve"> </w:t>
      </w:r>
      <w:r w:rsidRPr="002B5E33">
        <w:rPr>
          <w:rFonts w:hint="eastAsia"/>
          <w:b/>
          <w:bCs/>
          <w:rtl/>
        </w:rPr>
        <w:t>קיימות</w:t>
      </w:r>
      <w:r w:rsidRPr="002B5E33">
        <w:rPr>
          <w:b/>
          <w:bCs/>
          <w:rtl/>
        </w:rPr>
        <w:t xml:space="preserve"> </w:t>
      </w:r>
      <w:r w:rsidRPr="002B5E33">
        <w:rPr>
          <w:rFonts w:hint="eastAsia"/>
          <w:b/>
          <w:bCs/>
          <w:rtl/>
        </w:rPr>
        <w:t>לעניין</w:t>
      </w:r>
      <w:r w:rsidRPr="002B5E33">
        <w:rPr>
          <w:b/>
          <w:bCs/>
          <w:rtl/>
        </w:rPr>
        <w:t xml:space="preserve"> </w:t>
      </w:r>
      <w:r w:rsidRPr="002B5E33">
        <w:rPr>
          <w:rFonts w:hint="eastAsia"/>
          <w:b/>
          <w:bCs/>
          <w:rtl/>
        </w:rPr>
        <w:t>מבנה</w:t>
      </w:r>
      <w:r w:rsidRPr="002B5E33">
        <w:rPr>
          <w:b/>
          <w:bCs/>
          <w:rtl/>
        </w:rPr>
        <w:t xml:space="preserve"> </w:t>
      </w:r>
      <w:r w:rsidRPr="002B5E33">
        <w:rPr>
          <w:rFonts w:hint="eastAsia"/>
          <w:b/>
          <w:bCs/>
          <w:rtl/>
        </w:rPr>
        <w:t>מדדי</w:t>
      </w:r>
      <w:r w:rsidRPr="002B5E33">
        <w:rPr>
          <w:b/>
          <w:bCs/>
          <w:rtl/>
        </w:rPr>
        <w:t xml:space="preserve"> </w:t>
      </w:r>
      <w:r w:rsidRPr="002B5E33">
        <w:rPr>
          <w:rFonts w:hint="eastAsia"/>
          <w:b/>
          <w:bCs/>
          <w:rtl/>
        </w:rPr>
        <w:t>השירות</w:t>
      </w:r>
      <w:r w:rsidRPr="002B5E33">
        <w:rPr>
          <w:b/>
          <w:bCs/>
          <w:rtl/>
        </w:rPr>
        <w:t xml:space="preserve"> </w:t>
      </w:r>
      <w:r w:rsidRPr="002B5E33">
        <w:rPr>
          <w:rFonts w:hint="eastAsia"/>
          <w:b/>
          <w:bCs/>
          <w:rtl/>
        </w:rPr>
        <w:t>לביטוחים</w:t>
      </w:r>
      <w:r w:rsidRPr="002B5E33">
        <w:rPr>
          <w:b/>
          <w:bCs/>
          <w:rtl/>
        </w:rPr>
        <w:t xml:space="preserve"> </w:t>
      </w:r>
      <w:r w:rsidRPr="002B5E33">
        <w:rPr>
          <w:rFonts w:hint="eastAsia"/>
          <w:b/>
          <w:bCs/>
          <w:rtl/>
        </w:rPr>
        <w:t>ארוכי</w:t>
      </w:r>
      <w:r w:rsidRPr="002B5E33">
        <w:rPr>
          <w:b/>
          <w:bCs/>
          <w:rtl/>
        </w:rPr>
        <w:t xml:space="preserve"> </w:t>
      </w:r>
      <w:r w:rsidRPr="002B5E33">
        <w:rPr>
          <w:rFonts w:hint="eastAsia"/>
          <w:b/>
          <w:bCs/>
          <w:rtl/>
        </w:rPr>
        <w:t>טווח</w:t>
      </w:r>
      <w:r w:rsidRPr="002B5E33">
        <w:rPr>
          <w:b/>
          <w:bCs/>
          <w:rtl/>
        </w:rPr>
        <w:t xml:space="preserve"> </w:t>
      </w:r>
      <w:r w:rsidRPr="002B5E33">
        <w:rPr>
          <w:rFonts w:hint="eastAsia"/>
          <w:b/>
          <w:bCs/>
          <w:rtl/>
        </w:rPr>
        <w:t>לעומת</w:t>
      </w:r>
      <w:r w:rsidRPr="002B5E33">
        <w:rPr>
          <w:b/>
          <w:bCs/>
          <w:rtl/>
        </w:rPr>
        <w:t xml:space="preserve"> </w:t>
      </w:r>
      <w:r w:rsidRPr="002B5E33">
        <w:rPr>
          <w:rFonts w:hint="eastAsia"/>
          <w:b/>
          <w:bCs/>
          <w:rtl/>
        </w:rPr>
        <w:t>ביטוחים</w:t>
      </w:r>
      <w:r w:rsidRPr="002B5E33">
        <w:rPr>
          <w:b/>
          <w:bCs/>
          <w:rtl/>
        </w:rPr>
        <w:t xml:space="preserve"> </w:t>
      </w:r>
      <w:r w:rsidRPr="002B5E33">
        <w:rPr>
          <w:rFonts w:hint="eastAsia"/>
          <w:b/>
          <w:bCs/>
          <w:rtl/>
        </w:rPr>
        <w:t>קצרי</w:t>
      </w:r>
      <w:r w:rsidRPr="002B5E33">
        <w:rPr>
          <w:b/>
          <w:bCs/>
          <w:rtl/>
        </w:rPr>
        <w:t xml:space="preserve"> </w:t>
      </w:r>
      <w:r w:rsidRPr="002B5E33">
        <w:rPr>
          <w:rFonts w:hint="eastAsia"/>
          <w:b/>
          <w:bCs/>
          <w:rtl/>
        </w:rPr>
        <w:t>טווח</w:t>
      </w:r>
      <w:r w:rsidRPr="002B5E33">
        <w:rPr>
          <w:b/>
          <w:bCs/>
          <w:rtl/>
        </w:rPr>
        <w:t xml:space="preserve">, </w:t>
      </w:r>
      <w:r w:rsidRPr="002B5E33">
        <w:rPr>
          <w:rFonts w:hint="eastAsia"/>
          <w:b/>
          <w:bCs/>
          <w:rtl/>
        </w:rPr>
        <w:t>להציג</w:t>
      </w:r>
      <w:r w:rsidRPr="002B5E33">
        <w:rPr>
          <w:b/>
          <w:bCs/>
          <w:rtl/>
        </w:rPr>
        <w:t xml:space="preserve"> </w:t>
      </w:r>
      <w:r w:rsidRPr="002B5E33">
        <w:rPr>
          <w:rFonts w:hint="eastAsia"/>
          <w:b/>
          <w:bCs/>
          <w:rtl/>
        </w:rPr>
        <w:t>השוואה</w:t>
      </w:r>
      <w:r w:rsidRPr="002B5E33">
        <w:rPr>
          <w:b/>
          <w:bCs/>
          <w:rtl/>
        </w:rPr>
        <w:t xml:space="preserve"> </w:t>
      </w:r>
      <w:r w:rsidRPr="002B5E33">
        <w:rPr>
          <w:rFonts w:hint="eastAsia"/>
          <w:b/>
          <w:bCs/>
          <w:rtl/>
        </w:rPr>
        <w:t>רב</w:t>
      </w:r>
      <w:r w:rsidRPr="002B5E33">
        <w:rPr>
          <w:rFonts w:hint="cs"/>
          <w:b/>
          <w:bCs/>
          <w:rtl/>
        </w:rPr>
        <w:t>-</w:t>
      </w:r>
      <w:r w:rsidRPr="002B5E33">
        <w:rPr>
          <w:rFonts w:hint="eastAsia"/>
          <w:b/>
          <w:bCs/>
          <w:rtl/>
        </w:rPr>
        <w:t>שנתית</w:t>
      </w:r>
      <w:r w:rsidRPr="002B5E33">
        <w:rPr>
          <w:b/>
          <w:bCs/>
          <w:rtl/>
        </w:rPr>
        <w:t xml:space="preserve"> </w:t>
      </w:r>
      <w:r w:rsidRPr="002B5E33">
        <w:rPr>
          <w:rFonts w:hint="eastAsia"/>
          <w:b/>
          <w:bCs/>
          <w:rtl/>
        </w:rPr>
        <w:t>של</w:t>
      </w:r>
      <w:r w:rsidRPr="002B5E33">
        <w:rPr>
          <w:b/>
          <w:bCs/>
          <w:rtl/>
        </w:rPr>
        <w:t xml:space="preserve"> </w:t>
      </w:r>
      <w:r w:rsidRPr="002B5E33">
        <w:rPr>
          <w:rFonts w:hint="eastAsia"/>
          <w:b/>
          <w:bCs/>
          <w:rtl/>
        </w:rPr>
        <w:t>מדדי</w:t>
      </w:r>
      <w:r w:rsidRPr="002B5E33">
        <w:rPr>
          <w:b/>
          <w:bCs/>
          <w:rtl/>
        </w:rPr>
        <w:t xml:space="preserve"> </w:t>
      </w:r>
      <w:r w:rsidRPr="002B5E33">
        <w:rPr>
          <w:rFonts w:hint="eastAsia"/>
          <w:b/>
          <w:bCs/>
          <w:rtl/>
        </w:rPr>
        <w:t>השירות</w:t>
      </w:r>
      <w:r w:rsidRPr="002B5E33">
        <w:rPr>
          <w:b/>
          <w:bCs/>
          <w:rtl/>
        </w:rPr>
        <w:t xml:space="preserve"> </w:t>
      </w:r>
      <w:r w:rsidRPr="002B5E33">
        <w:rPr>
          <w:rFonts w:hint="eastAsia"/>
          <w:b/>
          <w:bCs/>
          <w:rtl/>
        </w:rPr>
        <w:t>לכל</w:t>
      </w:r>
      <w:r w:rsidRPr="002B5E33">
        <w:rPr>
          <w:b/>
          <w:bCs/>
          <w:rtl/>
        </w:rPr>
        <w:t xml:space="preserve"> </w:t>
      </w:r>
      <w:r w:rsidRPr="002B5E33">
        <w:rPr>
          <w:rFonts w:hint="eastAsia"/>
          <w:b/>
          <w:bCs/>
          <w:rtl/>
        </w:rPr>
        <w:t>חברה</w:t>
      </w:r>
      <w:r w:rsidRPr="002B5E33">
        <w:rPr>
          <w:rFonts w:hint="cs"/>
          <w:b/>
          <w:bCs/>
          <w:rtl/>
        </w:rPr>
        <w:t>,</w:t>
      </w:r>
      <w:r w:rsidRPr="002B5E33">
        <w:rPr>
          <w:b/>
          <w:bCs/>
          <w:rtl/>
        </w:rPr>
        <w:t xml:space="preserve"> </w:t>
      </w:r>
      <w:r w:rsidRPr="002B5E33">
        <w:rPr>
          <w:rFonts w:hint="eastAsia"/>
          <w:b/>
          <w:bCs/>
          <w:rtl/>
        </w:rPr>
        <w:t>ולהדגיש</w:t>
      </w:r>
      <w:r w:rsidRPr="002B5E33">
        <w:rPr>
          <w:b/>
          <w:bCs/>
          <w:rtl/>
        </w:rPr>
        <w:t xml:space="preserve"> </w:t>
      </w:r>
      <w:r w:rsidRPr="002B5E33">
        <w:rPr>
          <w:rFonts w:hint="eastAsia"/>
          <w:b/>
          <w:bCs/>
          <w:rtl/>
        </w:rPr>
        <w:t>בפני</w:t>
      </w:r>
      <w:r w:rsidRPr="002B5E33">
        <w:rPr>
          <w:b/>
          <w:bCs/>
          <w:rtl/>
        </w:rPr>
        <w:t xml:space="preserve"> </w:t>
      </w:r>
      <w:r w:rsidRPr="002B5E33">
        <w:rPr>
          <w:rFonts w:hint="eastAsia"/>
          <w:b/>
          <w:bCs/>
          <w:rtl/>
        </w:rPr>
        <w:t>הלקוחות</w:t>
      </w:r>
      <w:r w:rsidRPr="002B5E33">
        <w:rPr>
          <w:b/>
          <w:bCs/>
          <w:rtl/>
        </w:rPr>
        <w:t xml:space="preserve"> </w:t>
      </w:r>
      <w:r w:rsidRPr="002B5E33">
        <w:rPr>
          <w:rFonts w:hint="eastAsia"/>
          <w:b/>
          <w:bCs/>
          <w:rtl/>
        </w:rPr>
        <w:t>את</w:t>
      </w:r>
      <w:r w:rsidRPr="002B5E33">
        <w:rPr>
          <w:b/>
          <w:bCs/>
          <w:rtl/>
        </w:rPr>
        <w:t xml:space="preserve"> </w:t>
      </w:r>
      <w:r w:rsidRPr="002B5E33">
        <w:rPr>
          <w:rFonts w:hint="eastAsia"/>
          <w:b/>
          <w:bCs/>
          <w:rtl/>
        </w:rPr>
        <w:t>החשיבות</w:t>
      </w:r>
      <w:r w:rsidRPr="002B5E33">
        <w:rPr>
          <w:b/>
          <w:bCs/>
          <w:rtl/>
        </w:rPr>
        <w:t xml:space="preserve"> </w:t>
      </w:r>
      <w:r w:rsidRPr="002B5E33">
        <w:rPr>
          <w:rFonts w:hint="eastAsia"/>
          <w:b/>
          <w:bCs/>
          <w:rtl/>
        </w:rPr>
        <w:t>בהשוואת</w:t>
      </w:r>
      <w:r w:rsidRPr="002B5E33">
        <w:rPr>
          <w:b/>
          <w:bCs/>
          <w:rtl/>
        </w:rPr>
        <w:t xml:space="preserve"> </w:t>
      </w:r>
      <w:r w:rsidRPr="002B5E33">
        <w:rPr>
          <w:rFonts w:hint="eastAsia"/>
          <w:b/>
          <w:bCs/>
          <w:rtl/>
        </w:rPr>
        <w:t>מחירי</w:t>
      </w:r>
      <w:r w:rsidRPr="002B5E33">
        <w:rPr>
          <w:b/>
          <w:bCs/>
          <w:rtl/>
        </w:rPr>
        <w:t xml:space="preserve"> </w:t>
      </w:r>
      <w:r w:rsidRPr="002B5E33">
        <w:rPr>
          <w:rFonts w:hint="eastAsia"/>
          <w:b/>
          <w:bCs/>
          <w:rtl/>
        </w:rPr>
        <w:t>הביטוח</w:t>
      </w:r>
      <w:r w:rsidRPr="002B5E33">
        <w:rPr>
          <w:b/>
          <w:bCs/>
          <w:rtl/>
        </w:rPr>
        <w:t>.</w:t>
      </w:r>
      <w:r w:rsidRPr="002B5E33">
        <w:rPr>
          <w:rFonts w:hint="cs"/>
          <w:b/>
          <w:bCs/>
          <w:rtl/>
        </w:rPr>
        <w:t xml:space="preserve"> </w:t>
      </w:r>
    </w:p>
    <w:p w:rsidR="00FA3E7D" w:rsidRPr="002B5E33" w:rsidP="00FA3E7D">
      <w:pPr>
        <w:pStyle w:val="a"/>
        <w:spacing w:line="269" w:lineRule="auto"/>
        <w:rPr>
          <w:rtl/>
        </w:rPr>
      </w:pPr>
    </w:p>
    <w:p w:rsidR="00FA3E7D" w:rsidRPr="002B5E33" w:rsidP="00FA3E7D">
      <w:pPr>
        <w:pStyle w:val="Heading4"/>
        <w:spacing w:before="0" w:line="269" w:lineRule="auto"/>
        <w:rPr>
          <w:rtl/>
        </w:rPr>
      </w:pPr>
      <w:r w:rsidRPr="002B5E33">
        <w:rPr>
          <w:rFonts w:hint="cs"/>
          <w:rtl/>
        </w:rPr>
        <w:t>רכיב תשלום תביעות במדדי השירות</w:t>
      </w:r>
    </w:p>
    <w:p w:rsidR="00FA3E7D" w:rsidP="00FA3E7D">
      <w:pPr>
        <w:pStyle w:val="a"/>
        <w:rPr>
          <w:rtl/>
        </w:rPr>
      </w:pPr>
    </w:p>
    <w:p w:rsidR="00FA3E7D" w:rsidRPr="002B5E33" w:rsidP="00FA3E7D">
      <w:pPr>
        <w:spacing w:line="269" w:lineRule="auto"/>
        <w:rPr>
          <w:rtl/>
        </w:rPr>
      </w:pPr>
      <w:r w:rsidRPr="002B5E33">
        <w:rPr>
          <w:rFonts w:hint="cs"/>
          <w:rtl/>
        </w:rPr>
        <w:t>ציון רכיב "תשלום התביעות" מהווה, החל משנת 2015, 40% מהמשקל הכולל של מדדי השירות בתחום ביטוח הבריאות. רכיב זה מורכב למעשה משני רכיבי משנה שמשקלם זהה: שיעור תשלום התביעות, ומהירות הטיפול בתביעות.</w:t>
      </w:r>
    </w:p>
    <w:p w:rsidR="00FA3E7D" w:rsidRPr="002B5E33" w:rsidP="00FA3E7D">
      <w:pPr>
        <w:pStyle w:val="a"/>
        <w:spacing w:line="269" w:lineRule="auto"/>
        <w:rPr>
          <w:rtl/>
        </w:rPr>
      </w:pPr>
    </w:p>
    <w:p w:rsidR="00FA3E7D" w:rsidRPr="002B5E33" w:rsidP="00FA3E7D">
      <w:pPr>
        <w:pStyle w:val="Heading5"/>
        <w:spacing w:line="269" w:lineRule="auto"/>
        <w:ind w:left="312"/>
        <w:rPr>
          <w:rtl/>
        </w:rPr>
      </w:pPr>
      <w:r w:rsidRPr="002B5E33">
        <w:rPr>
          <w:rFonts w:hint="cs"/>
          <w:rtl/>
        </w:rPr>
        <w:t>שיעור תשלום התביעות</w:t>
      </w:r>
    </w:p>
    <w:p w:rsidR="00FA3E7D" w:rsidP="00FA3E7D">
      <w:pPr>
        <w:pStyle w:val="a"/>
        <w:rPr>
          <w:rtl/>
        </w:rPr>
      </w:pPr>
    </w:p>
    <w:p w:rsidR="00FA3E7D" w:rsidRPr="002B5E33" w:rsidP="00FA3E7D">
      <w:pPr>
        <w:spacing w:line="269" w:lineRule="auto"/>
        <w:ind w:left="312"/>
        <w:rPr>
          <w:rtl/>
        </w:rPr>
      </w:pPr>
      <w:r w:rsidRPr="002B5E33">
        <w:rPr>
          <w:rFonts w:hint="cs"/>
          <w:rtl/>
        </w:rPr>
        <w:t xml:space="preserve">רכיב המשנה "שיעור תשלום תביעות" מחושב על פי שיעור התביעות שחברת הביטוח שילמה בהם תגמולי ביטוח לתובע, מתוך מספר התביעות שנסגרו במהלך השנה הרלוונטית בביטוחי פרט בלבד. </w:t>
      </w:r>
    </w:p>
    <w:p w:rsidR="00FA3E7D" w:rsidRPr="002B5E33" w:rsidP="00FA3E7D">
      <w:pPr>
        <w:pStyle w:val="a"/>
        <w:spacing w:line="269" w:lineRule="auto"/>
        <w:rPr>
          <w:rtl/>
        </w:rPr>
      </w:pPr>
    </w:p>
    <w:p w:rsidR="00FA3E7D" w:rsidRPr="002B5E33" w:rsidP="00FA3E7D">
      <w:pPr>
        <w:spacing w:line="269" w:lineRule="auto"/>
        <w:ind w:left="312"/>
        <w:rPr>
          <w:rtl/>
        </w:rPr>
      </w:pPr>
      <w:r w:rsidRPr="002B5E33">
        <w:rPr>
          <w:rFonts w:hint="cs"/>
          <w:rtl/>
        </w:rPr>
        <w:t>מבחינה רב-שנתית של רכיב שיעור תשלום התביעות, עולה כי קיימת מגמה כללית של התכנסות שיעור התשלום בתחום ביטוחי הבריאות אצל החברות השונות, וכי השונות ביניהן נמוכה יחסית לעבר, כפי שעולה מהתרשים שלהלן:</w:t>
      </w:r>
    </w:p>
    <w:p w:rsidR="00FA3E7D" w:rsidRPr="002B5E33" w:rsidP="00FA3E7D">
      <w:pPr>
        <w:pStyle w:val="a"/>
        <w:spacing w:line="269" w:lineRule="auto"/>
        <w:rPr>
          <w:rtl/>
        </w:rPr>
      </w:pPr>
    </w:p>
    <w:p w:rsidR="00FA3E7D" w:rsidP="00B02EE3">
      <w:pPr>
        <w:spacing w:before="120" w:after="120" w:line="269" w:lineRule="auto"/>
        <w:ind w:left="-1"/>
        <w:jc w:val="center"/>
        <w:rPr>
          <w:b/>
          <w:bCs/>
          <w:rtl/>
        </w:rPr>
      </w:pPr>
      <w:r w:rsidRPr="002B5E33">
        <w:rPr>
          <w:rFonts w:hint="eastAsia"/>
          <w:b/>
          <w:bCs/>
          <w:rtl/>
        </w:rPr>
        <w:t>תרשים</w:t>
      </w:r>
      <w:r w:rsidRPr="002B5E33">
        <w:rPr>
          <w:b/>
          <w:bCs/>
          <w:rtl/>
        </w:rPr>
        <w:t xml:space="preserve"> </w:t>
      </w:r>
      <w:r w:rsidRPr="002B5E33">
        <w:rPr>
          <w:rFonts w:hint="cs"/>
          <w:b/>
          <w:bCs/>
          <w:rtl/>
        </w:rPr>
        <w:t>26</w:t>
      </w:r>
      <w:r w:rsidR="00BE1FDD">
        <w:rPr>
          <w:rFonts w:hint="cs"/>
          <w:b/>
          <w:bCs/>
          <w:rtl/>
        </w:rPr>
        <w:t xml:space="preserve">: </w:t>
      </w:r>
      <w:r w:rsidRPr="002B5E33">
        <w:rPr>
          <w:rFonts w:hint="eastAsia"/>
          <w:b/>
          <w:bCs/>
          <w:rtl/>
        </w:rPr>
        <w:t>ניקוד</w:t>
      </w:r>
      <w:r w:rsidRPr="002B5E33">
        <w:rPr>
          <w:b/>
          <w:bCs/>
          <w:rtl/>
        </w:rPr>
        <w:t xml:space="preserve"> </w:t>
      </w:r>
      <w:r w:rsidRPr="002B5E33">
        <w:rPr>
          <w:rFonts w:hint="eastAsia"/>
          <w:b/>
          <w:bCs/>
          <w:rtl/>
        </w:rPr>
        <w:t>חברות</w:t>
      </w:r>
      <w:r w:rsidRPr="002B5E33">
        <w:rPr>
          <w:b/>
          <w:bCs/>
          <w:rtl/>
        </w:rPr>
        <w:t xml:space="preserve"> </w:t>
      </w:r>
      <w:r w:rsidRPr="002B5E33">
        <w:rPr>
          <w:rFonts w:hint="eastAsia"/>
          <w:b/>
          <w:bCs/>
          <w:rtl/>
        </w:rPr>
        <w:t>הביטוח</w:t>
      </w:r>
      <w:r w:rsidRPr="002B5E33">
        <w:rPr>
          <w:b/>
          <w:bCs/>
          <w:rtl/>
        </w:rPr>
        <w:t xml:space="preserve"> </w:t>
      </w:r>
      <w:r w:rsidRPr="002B5E33">
        <w:rPr>
          <w:rFonts w:hint="eastAsia"/>
          <w:b/>
          <w:bCs/>
          <w:rtl/>
        </w:rPr>
        <w:t>ברכיב</w:t>
      </w:r>
      <w:r w:rsidRPr="002B5E33">
        <w:rPr>
          <w:b/>
          <w:bCs/>
          <w:rtl/>
        </w:rPr>
        <w:t xml:space="preserve"> </w:t>
      </w:r>
      <w:r w:rsidRPr="002B5E33">
        <w:rPr>
          <w:rFonts w:hint="eastAsia"/>
          <w:b/>
          <w:bCs/>
          <w:rtl/>
        </w:rPr>
        <w:t>שיעור</w:t>
      </w:r>
      <w:r w:rsidRPr="002B5E33">
        <w:rPr>
          <w:b/>
          <w:bCs/>
          <w:rtl/>
        </w:rPr>
        <w:t xml:space="preserve"> </w:t>
      </w:r>
      <w:r w:rsidRPr="002B5E33">
        <w:rPr>
          <w:rFonts w:hint="eastAsia"/>
          <w:b/>
          <w:bCs/>
          <w:rtl/>
        </w:rPr>
        <w:t>תשלום</w:t>
      </w:r>
      <w:r w:rsidRPr="002B5E33">
        <w:rPr>
          <w:b/>
          <w:bCs/>
          <w:rtl/>
        </w:rPr>
        <w:t xml:space="preserve"> </w:t>
      </w:r>
      <w:r w:rsidRPr="002B5E33">
        <w:rPr>
          <w:rFonts w:hint="cs"/>
          <w:b/>
          <w:bCs/>
          <w:rtl/>
        </w:rPr>
        <w:t xml:space="preserve">התביעות </w:t>
      </w:r>
      <w:r w:rsidRPr="002B5E33">
        <w:rPr>
          <w:rFonts w:hint="eastAsia"/>
          <w:b/>
          <w:bCs/>
          <w:rtl/>
        </w:rPr>
        <w:t>במדדי</w:t>
      </w:r>
      <w:r w:rsidRPr="002B5E33">
        <w:rPr>
          <w:b/>
          <w:bCs/>
          <w:rtl/>
        </w:rPr>
        <w:t xml:space="preserve"> השירות </w:t>
      </w:r>
      <w:r w:rsidR="00BE1FDD">
        <w:rPr>
          <w:b/>
          <w:bCs/>
          <w:rtl/>
        </w:rPr>
        <w:br/>
      </w:r>
      <w:r w:rsidRPr="002B5E33">
        <w:rPr>
          <w:rFonts w:hint="eastAsia"/>
          <w:b/>
          <w:bCs/>
          <w:rtl/>
        </w:rPr>
        <w:t>בביטוחי</w:t>
      </w:r>
      <w:r w:rsidRPr="002B5E33">
        <w:rPr>
          <w:b/>
          <w:bCs/>
          <w:rtl/>
        </w:rPr>
        <w:t xml:space="preserve"> </w:t>
      </w:r>
      <w:r w:rsidRPr="002B5E33">
        <w:rPr>
          <w:rFonts w:hint="eastAsia"/>
          <w:b/>
          <w:bCs/>
          <w:rtl/>
        </w:rPr>
        <w:t>בריאות</w:t>
      </w:r>
      <w:r w:rsidRPr="002B5E33">
        <w:rPr>
          <w:b/>
          <w:bCs/>
          <w:rtl/>
        </w:rPr>
        <w:t xml:space="preserve"> </w:t>
      </w:r>
      <w:r w:rsidRPr="002B5E33">
        <w:rPr>
          <w:rFonts w:hint="eastAsia"/>
          <w:b/>
          <w:bCs/>
          <w:rtl/>
        </w:rPr>
        <w:t>בשנים</w:t>
      </w:r>
      <w:r w:rsidRPr="002B5E33">
        <w:rPr>
          <w:b/>
          <w:bCs/>
          <w:rtl/>
        </w:rPr>
        <w:t xml:space="preserve"> 2018-2014</w:t>
      </w:r>
    </w:p>
    <w:p w:rsidR="00B02EE3" w:rsidRPr="002B5E33" w:rsidP="00B02EE3">
      <w:pPr>
        <w:spacing w:before="120" w:after="120" w:line="269" w:lineRule="auto"/>
        <w:ind w:left="-1"/>
        <w:jc w:val="center"/>
        <w:rPr>
          <w:szCs w:val="20"/>
          <w:rtl/>
        </w:rPr>
      </w:pPr>
      <w:r>
        <w:rPr>
          <w:noProof/>
          <w:szCs w:val="20"/>
          <w:rtl/>
        </w:rPr>
        <w:drawing>
          <wp:inline distT="0" distB="0" distL="0" distR="0">
            <wp:extent cx="4404369" cy="2359157"/>
            <wp:effectExtent l="0" t="0" r="0" b="317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38404" name="commercial-health-insurance-g-26.png"/>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04369" cy="2359157"/>
                    </a:xfrm>
                    <a:prstGeom prst="rect">
                      <a:avLst/>
                    </a:prstGeom>
                  </pic:spPr>
                </pic:pic>
              </a:graphicData>
            </a:graphic>
          </wp:inline>
        </w:drawing>
      </w:r>
    </w:p>
    <w:p w:rsidR="00FA3E7D" w:rsidRPr="00AA5FE2" w:rsidP="00BE1FDD">
      <w:pPr>
        <w:spacing w:before="120" w:line="269" w:lineRule="auto"/>
        <w:ind w:left="312"/>
        <w:jc w:val="left"/>
        <w:rPr>
          <w:sz w:val="22"/>
          <w:szCs w:val="22"/>
          <w:rtl/>
        </w:rPr>
      </w:pPr>
      <w:r w:rsidRPr="00AA5FE2">
        <w:rPr>
          <w:rFonts w:hint="cs"/>
          <w:sz w:val="22"/>
          <w:szCs w:val="22"/>
          <w:rtl/>
        </w:rPr>
        <w:t>מקור: נתוני רשות שוק ההון, בעיבוד משרד מבקר המדינה.</w:t>
      </w:r>
    </w:p>
    <w:p w:rsidR="00FA3E7D" w:rsidRPr="002B5E33" w:rsidP="00FA3E7D">
      <w:pPr>
        <w:pStyle w:val="a"/>
        <w:spacing w:line="269" w:lineRule="auto"/>
        <w:rPr>
          <w:rtl/>
        </w:rPr>
      </w:pPr>
    </w:p>
    <w:p w:rsidR="00FA3E7D" w:rsidP="00FA3E7D">
      <w:pPr>
        <w:spacing w:line="269" w:lineRule="auto"/>
        <w:ind w:left="312"/>
        <w:rPr>
          <w:rtl/>
        </w:rPr>
      </w:pPr>
      <w:r w:rsidRPr="002B5E33">
        <w:rPr>
          <w:rFonts w:hint="cs"/>
          <w:rtl/>
        </w:rPr>
        <w:t>מהתרשים עולה, כי בשנים 2018-2014 חלו שינויים בדירוג החברות. יצוין כי אף שבממוצע שיעור התשלום של החברות חלה עלייה של כאחוז בשנים 2014 - 2018, אין בכך כדי להעיד על שיפור שיעור התשלום בתחום ביטוחי הבריאות שכן ממוצע זה אינו מתחשב בחלקה היחסי של כל חברה בסך התביעות.</w:t>
      </w:r>
    </w:p>
    <w:p w:rsidR="00FA3E7D" w:rsidP="00FA3E7D">
      <w:pPr>
        <w:spacing w:line="269" w:lineRule="auto"/>
        <w:ind w:left="312"/>
        <w:rPr>
          <w:rtl/>
        </w:rPr>
      </w:pPr>
    </w:p>
    <w:p w:rsidR="00FA3E7D" w:rsidRPr="002B5E33" w:rsidP="00FA3E7D">
      <w:pPr>
        <w:pStyle w:val="a"/>
        <w:spacing w:line="269" w:lineRule="auto"/>
        <w:rPr>
          <w:rtl/>
        </w:rPr>
      </w:pPr>
    </w:p>
    <w:p w:rsidR="00FA3E7D" w:rsidRPr="002B5E33" w:rsidP="00FA3E7D">
      <w:pPr>
        <w:spacing w:line="269" w:lineRule="auto"/>
        <w:ind w:left="312"/>
        <w:rPr>
          <w:rtl/>
        </w:rPr>
      </w:pPr>
      <w:r w:rsidRPr="002B5E33">
        <w:rPr>
          <w:rFonts w:hint="cs"/>
          <w:rtl/>
        </w:rPr>
        <w:t>ארבעת מוצרי ביטוח הבריאות שלפיהם מחושב הרכיב של שיעור תשלום התביעות הם: ניתוחים בארץ ובחו"ל, השתלות בארץ ובחו"ל, מחלות קשות ותרופות. להלן פירוט שיעור מוצרי הבריאות כחלק מהתביעות שהטיפול בהן הסתיים בשנת 2018:</w:t>
      </w:r>
    </w:p>
    <w:p w:rsidR="00FA3E7D" w:rsidRPr="002B5E33" w:rsidP="00FA3E7D">
      <w:pPr>
        <w:pStyle w:val="a"/>
        <w:spacing w:line="269" w:lineRule="auto"/>
        <w:rPr>
          <w:rtl/>
        </w:rPr>
      </w:pPr>
    </w:p>
    <w:p w:rsidR="00FA3E7D" w:rsidRPr="002B5E33" w:rsidP="00B02EE3">
      <w:pPr>
        <w:spacing w:line="269" w:lineRule="auto"/>
        <w:ind w:left="312"/>
        <w:jc w:val="center"/>
        <w:rPr>
          <w:b/>
          <w:bCs/>
          <w:rtl/>
        </w:rPr>
      </w:pPr>
      <w:r w:rsidRPr="002B5E33">
        <w:rPr>
          <w:rFonts w:hint="eastAsia"/>
          <w:b/>
          <w:bCs/>
          <w:rtl/>
        </w:rPr>
        <w:t>תרשים</w:t>
      </w:r>
      <w:r w:rsidRPr="002B5E33">
        <w:rPr>
          <w:b/>
          <w:bCs/>
          <w:rtl/>
        </w:rPr>
        <w:t xml:space="preserve"> </w:t>
      </w:r>
      <w:r w:rsidRPr="002B5E33">
        <w:rPr>
          <w:rFonts w:hint="cs"/>
          <w:b/>
          <w:bCs/>
          <w:rtl/>
        </w:rPr>
        <w:t>27</w:t>
      </w:r>
      <w:r w:rsidR="00B02EE3">
        <w:rPr>
          <w:rFonts w:hint="cs"/>
          <w:b/>
          <w:bCs/>
          <w:rtl/>
        </w:rPr>
        <w:t xml:space="preserve">: </w:t>
      </w:r>
      <w:r w:rsidRPr="002B5E33">
        <w:rPr>
          <w:rFonts w:hint="eastAsia"/>
          <w:b/>
          <w:bCs/>
          <w:rtl/>
        </w:rPr>
        <w:t>שיעור</w:t>
      </w:r>
      <w:r w:rsidRPr="002B5E33">
        <w:rPr>
          <w:b/>
          <w:bCs/>
          <w:rtl/>
        </w:rPr>
        <w:t xml:space="preserve"> </w:t>
      </w:r>
      <w:r w:rsidRPr="002B5E33">
        <w:rPr>
          <w:rFonts w:hint="eastAsia"/>
          <w:b/>
          <w:bCs/>
          <w:rtl/>
        </w:rPr>
        <w:t>מוצרי</w:t>
      </w:r>
      <w:r w:rsidRPr="002B5E33">
        <w:rPr>
          <w:b/>
          <w:bCs/>
          <w:rtl/>
        </w:rPr>
        <w:t xml:space="preserve"> </w:t>
      </w:r>
      <w:r w:rsidRPr="002B5E33">
        <w:rPr>
          <w:rFonts w:hint="eastAsia"/>
          <w:b/>
          <w:bCs/>
          <w:rtl/>
        </w:rPr>
        <w:t>ביטוח</w:t>
      </w:r>
      <w:r w:rsidRPr="002B5E33">
        <w:rPr>
          <w:b/>
          <w:bCs/>
          <w:rtl/>
        </w:rPr>
        <w:t xml:space="preserve"> </w:t>
      </w:r>
      <w:r w:rsidRPr="002B5E33">
        <w:rPr>
          <w:rFonts w:hint="eastAsia"/>
          <w:b/>
          <w:bCs/>
          <w:rtl/>
        </w:rPr>
        <w:t>הבריאות</w:t>
      </w:r>
      <w:r w:rsidRPr="002B5E33">
        <w:rPr>
          <w:b/>
          <w:bCs/>
          <w:rtl/>
        </w:rPr>
        <w:t xml:space="preserve"> </w:t>
      </w:r>
      <w:r w:rsidRPr="002B5E33">
        <w:rPr>
          <w:rFonts w:hint="eastAsia"/>
          <w:b/>
          <w:bCs/>
          <w:rtl/>
        </w:rPr>
        <w:t>מכלל</w:t>
      </w:r>
      <w:r w:rsidRPr="002B5E33">
        <w:rPr>
          <w:b/>
          <w:bCs/>
          <w:rtl/>
        </w:rPr>
        <w:t xml:space="preserve"> </w:t>
      </w:r>
      <w:r w:rsidRPr="002B5E33">
        <w:rPr>
          <w:rFonts w:hint="eastAsia"/>
          <w:b/>
          <w:bCs/>
          <w:rtl/>
        </w:rPr>
        <w:t>התביעות</w:t>
      </w:r>
      <w:r w:rsidRPr="002B5E33">
        <w:rPr>
          <w:b/>
          <w:bCs/>
          <w:rtl/>
        </w:rPr>
        <w:t xml:space="preserve"> </w:t>
      </w:r>
      <w:r w:rsidRPr="002B5E33">
        <w:rPr>
          <w:rFonts w:hint="cs"/>
          <w:b/>
          <w:bCs/>
          <w:rtl/>
        </w:rPr>
        <w:t>שהטיפול בהן הסתיים</w:t>
      </w:r>
      <w:r w:rsidRPr="002B5E33">
        <w:rPr>
          <w:b/>
          <w:bCs/>
          <w:rtl/>
        </w:rPr>
        <w:t xml:space="preserve"> </w:t>
      </w:r>
      <w:r w:rsidRPr="002B5E33">
        <w:rPr>
          <w:rFonts w:hint="eastAsia"/>
          <w:b/>
          <w:bCs/>
          <w:rtl/>
        </w:rPr>
        <w:t>בשנת</w:t>
      </w:r>
      <w:r w:rsidRPr="002B5E33">
        <w:rPr>
          <w:b/>
          <w:bCs/>
          <w:rtl/>
        </w:rPr>
        <w:t xml:space="preserve"> 2018 בתחום ביטוח</w:t>
      </w:r>
      <w:r w:rsidRPr="002B5E33">
        <w:rPr>
          <w:rFonts w:hint="cs"/>
          <w:b/>
          <w:bCs/>
          <w:rtl/>
        </w:rPr>
        <w:t>י</w:t>
      </w:r>
      <w:r w:rsidRPr="002B5E33">
        <w:rPr>
          <w:b/>
          <w:bCs/>
          <w:rtl/>
        </w:rPr>
        <w:t xml:space="preserve"> הבריאות</w:t>
      </w:r>
    </w:p>
    <w:p w:rsidR="00FA3E7D" w:rsidRPr="002B5E33" w:rsidP="00B02EE3">
      <w:pPr>
        <w:spacing w:before="180" w:after="120" w:line="269" w:lineRule="auto"/>
        <w:ind w:left="312"/>
        <w:jc w:val="center"/>
        <w:rPr>
          <w:rtl/>
        </w:rPr>
      </w:pPr>
      <w:r>
        <w:rPr>
          <w:noProof/>
          <w:rtl/>
        </w:rPr>
        <w:drawing>
          <wp:inline distT="0" distB="0" distL="0" distR="0">
            <wp:extent cx="2880366" cy="299619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02556" name="commercial-health-insurance-g-27.png"/>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366" cy="2996190"/>
                    </a:xfrm>
                    <a:prstGeom prst="rect">
                      <a:avLst/>
                    </a:prstGeom>
                  </pic:spPr>
                </pic:pic>
              </a:graphicData>
            </a:graphic>
          </wp:inline>
        </w:drawing>
      </w:r>
    </w:p>
    <w:p w:rsidR="00FA3E7D" w:rsidRPr="00AA5FE2" w:rsidP="00B02EE3">
      <w:pPr>
        <w:spacing w:line="269" w:lineRule="auto"/>
        <w:ind w:left="312"/>
        <w:jc w:val="left"/>
        <w:rPr>
          <w:sz w:val="22"/>
          <w:szCs w:val="22"/>
          <w:rtl/>
        </w:rPr>
      </w:pPr>
      <w:r w:rsidRPr="00AA5FE2">
        <w:rPr>
          <w:rFonts w:hint="cs"/>
          <w:sz w:val="22"/>
          <w:szCs w:val="22"/>
          <w:rtl/>
        </w:rPr>
        <w:t>מקור: נתוני רשות שוק ההון, בעיבוד משרד מבקר המדינה.</w:t>
      </w:r>
    </w:p>
    <w:p w:rsidR="00FA3E7D" w:rsidRPr="002B5E33" w:rsidP="00FA3E7D">
      <w:pPr>
        <w:pStyle w:val="a"/>
        <w:spacing w:line="269" w:lineRule="auto"/>
        <w:rPr>
          <w:rtl/>
        </w:rPr>
      </w:pPr>
    </w:p>
    <w:p w:rsidR="00FA3E7D" w:rsidRPr="002B5E33" w:rsidP="00FA3E7D">
      <w:pPr>
        <w:spacing w:line="269" w:lineRule="auto"/>
        <w:ind w:left="312"/>
        <w:rPr>
          <w:rtl/>
        </w:rPr>
      </w:pPr>
      <w:r w:rsidRPr="002B5E33">
        <w:rPr>
          <w:rFonts w:hint="eastAsia"/>
          <w:rtl/>
        </w:rPr>
        <w:t>בעבודת</w:t>
      </w:r>
      <w:r w:rsidRPr="002B5E33">
        <w:rPr>
          <w:rtl/>
        </w:rPr>
        <w:t xml:space="preserve"> </w:t>
      </w:r>
      <w:r w:rsidRPr="002B5E33">
        <w:rPr>
          <w:rFonts w:hint="eastAsia"/>
          <w:rtl/>
        </w:rPr>
        <w:t>המטה</w:t>
      </w:r>
      <w:r w:rsidRPr="002B5E33">
        <w:rPr>
          <w:rtl/>
        </w:rPr>
        <w:t xml:space="preserve"> </w:t>
      </w:r>
      <w:r w:rsidRPr="002B5E33">
        <w:rPr>
          <w:rFonts w:hint="eastAsia"/>
          <w:rtl/>
        </w:rPr>
        <w:t>שבוצעה</w:t>
      </w:r>
      <w:r w:rsidRPr="002B5E33">
        <w:rPr>
          <w:rtl/>
        </w:rPr>
        <w:t xml:space="preserve"> </w:t>
      </w:r>
      <w:r w:rsidRPr="002B5E33">
        <w:rPr>
          <w:rFonts w:hint="eastAsia"/>
          <w:rtl/>
        </w:rPr>
        <w:t>בשנת</w:t>
      </w:r>
      <w:r w:rsidRPr="002B5E33">
        <w:rPr>
          <w:rtl/>
        </w:rPr>
        <w:t xml:space="preserve"> 2013</w:t>
      </w:r>
      <w:r>
        <w:rPr>
          <w:rStyle w:val="FootnoteReference"/>
          <w:rtl/>
        </w:rPr>
        <w:footnoteReference w:id="139"/>
      </w:r>
      <w:r w:rsidRPr="002B5E33">
        <w:rPr>
          <w:rtl/>
        </w:rPr>
        <w:t xml:space="preserve"> עבור הרשות</w:t>
      </w:r>
      <w:r w:rsidRPr="002B5E33">
        <w:rPr>
          <w:rFonts w:hint="cs"/>
          <w:rtl/>
        </w:rPr>
        <w:t>,</w:t>
      </w:r>
      <w:r w:rsidRPr="002B5E33">
        <w:rPr>
          <w:rtl/>
        </w:rPr>
        <w:t xml:space="preserve"> אשר בחנה את שילוב שיעור תשלום התביעות במדד השירות</w:t>
      </w:r>
      <w:r w:rsidRPr="002B5E33">
        <w:rPr>
          <w:rFonts w:hint="cs"/>
          <w:rtl/>
        </w:rPr>
        <w:t>,</w:t>
      </w:r>
      <w:r w:rsidRPr="002B5E33">
        <w:rPr>
          <w:rtl/>
        </w:rPr>
        <w:t xml:space="preserve"> נמצא כי במרבית המוצרים </w:t>
      </w:r>
      <w:r w:rsidRPr="002B5E33">
        <w:rPr>
          <w:rFonts w:hint="cs"/>
          <w:rtl/>
        </w:rPr>
        <w:t xml:space="preserve">שהם </w:t>
      </w:r>
      <w:r w:rsidRPr="002B5E33">
        <w:rPr>
          <w:rtl/>
        </w:rPr>
        <w:t>חלק ממדד שיעור תשלום התביעות אין יציבות במדרג החברות בין המוצרים</w:t>
      </w:r>
      <w:r w:rsidRPr="002B5E33">
        <w:rPr>
          <w:rFonts w:hint="cs"/>
          <w:rtl/>
        </w:rPr>
        <w:t xml:space="preserve"> למיניהם</w:t>
      </w:r>
      <w:r w:rsidRPr="002B5E33">
        <w:rPr>
          <w:rtl/>
        </w:rPr>
        <w:t>. מכאן ששונות בנתח השוק של החברות במוצרים השונים עלולה להוביל להטיה של תוצאות המדד</w:t>
      </w:r>
      <w:r w:rsidRPr="002B5E33">
        <w:rPr>
          <w:rFonts w:hint="cs"/>
          <w:rtl/>
        </w:rPr>
        <w:t>,</w:t>
      </w:r>
      <w:r w:rsidRPr="002B5E33">
        <w:rPr>
          <w:rtl/>
        </w:rPr>
        <w:t xml:space="preserve"> שלא ישקף את דירוג החברות בכל מוצר בנפרד.</w:t>
      </w:r>
    </w:p>
    <w:p w:rsidR="00FA3E7D" w:rsidRPr="002B5E33" w:rsidP="00FA3E7D">
      <w:pPr>
        <w:pStyle w:val="a"/>
        <w:spacing w:line="269" w:lineRule="auto"/>
        <w:rPr>
          <w:rtl/>
        </w:rPr>
      </w:pPr>
    </w:p>
    <w:p w:rsidR="00FA3E7D" w:rsidRPr="002B5E33" w:rsidP="00FA3E7D">
      <w:pPr>
        <w:spacing w:line="269" w:lineRule="auto"/>
        <w:ind w:left="312"/>
        <w:rPr>
          <w:rtl/>
        </w:rPr>
      </w:pPr>
      <w:r w:rsidRPr="002B5E33">
        <w:rPr>
          <w:rFonts w:hint="cs"/>
          <w:rtl/>
        </w:rPr>
        <w:t>מניתוח שביצע משרד מבקר המדינה לנתוני התביעות שהסתיימו בשנת 2018</w:t>
      </w:r>
      <w:r>
        <w:rPr>
          <w:rStyle w:val="FootnoteReference"/>
          <w:rtl/>
        </w:rPr>
        <w:footnoteReference w:id="140"/>
      </w:r>
      <w:r w:rsidRPr="002B5E33">
        <w:rPr>
          <w:rFonts w:hint="cs"/>
          <w:rtl/>
        </w:rPr>
        <w:t>, עולה כי בתביעות בגין ניתוחים היה שיעור התשלום בקרב החברות בין 82.4% ל-91.3%; בתביעות בגין השתלות היה שיעור התשלום של החברות בין 27.1% ל-63.75%; בתביעות בגין מחלות קשות היה שיעור התשלום בין 54.3% ל-83.1%; ובתביעות בגין תרופות היה שיעור התשלום בין 29.6% ל-75.8%. עוד נמצא כי בכל אחד מתתי-הענפים שלעיל מובילות חברות אחרות בשיעור התשלום.</w:t>
      </w:r>
    </w:p>
    <w:p w:rsidR="00FA3E7D" w:rsidRPr="002B5E33" w:rsidP="00FA3E7D">
      <w:pPr>
        <w:pStyle w:val="a"/>
        <w:spacing w:line="269" w:lineRule="auto"/>
        <w:rPr>
          <w:rtl/>
        </w:rPr>
      </w:pPr>
    </w:p>
    <w:p w:rsidR="00FA3E7D" w:rsidP="00FA3E7D">
      <w:pPr>
        <w:spacing w:line="269" w:lineRule="auto"/>
        <w:ind w:left="312"/>
        <w:rPr>
          <w:b/>
          <w:bCs/>
          <w:rtl/>
        </w:rPr>
      </w:pPr>
      <w:r w:rsidRPr="002B5E33">
        <w:rPr>
          <w:rFonts w:hint="cs"/>
          <w:b/>
          <w:bCs/>
          <w:rtl/>
        </w:rPr>
        <w:t xml:space="preserve">מניתוח זה עולה כי קיימת שונות גדולה הרבה יותר בשיעור התשלום בין החברות במוצרי התרופות, המחלות הקשות וההשתלות, בהשוואה לניתוחים. ואולם, העובדה כי כפי שעולה מהתרשים לעיל, התביעות בגין ניתוחים הן כ-90% מכלל התביעות במדד שיעור תשלום התביעות של הרשות, אינה מביאה לידי ביטוי את השונות הקיימת בין החברות באישור התביעות במוצרים האחרים, שהן בדרך כלל תביעות </w:t>
      </w:r>
      <w:r w:rsidRPr="002B5E33">
        <w:rPr>
          <w:rFonts w:hint="eastAsia"/>
          <w:b/>
          <w:bCs/>
          <w:rtl/>
        </w:rPr>
        <w:t>גדולות</w:t>
      </w:r>
      <w:r w:rsidRPr="002B5E33">
        <w:rPr>
          <w:b/>
          <w:bCs/>
          <w:rtl/>
        </w:rPr>
        <w:t xml:space="preserve"> </w:t>
      </w:r>
      <w:r w:rsidRPr="002B5E33">
        <w:rPr>
          <w:rFonts w:hint="eastAsia"/>
          <w:b/>
          <w:bCs/>
          <w:rtl/>
        </w:rPr>
        <w:t>ומשמעותיות</w:t>
      </w:r>
      <w:r w:rsidRPr="002B5E33">
        <w:rPr>
          <w:rFonts w:hint="cs"/>
          <w:b/>
          <w:bCs/>
          <w:rtl/>
        </w:rPr>
        <w:t xml:space="preserve"> מבחינה כספית.</w:t>
      </w:r>
    </w:p>
    <w:p w:rsidR="00FA3E7D" w:rsidRPr="002B5E33" w:rsidP="00FA3E7D">
      <w:pPr>
        <w:pStyle w:val="a"/>
        <w:spacing w:line="269" w:lineRule="auto"/>
        <w:rPr>
          <w:rtl/>
        </w:rPr>
      </w:pPr>
    </w:p>
    <w:p w:rsidR="00FA3E7D" w:rsidRPr="002B5E33" w:rsidP="00FA3E7D">
      <w:pPr>
        <w:spacing w:line="269" w:lineRule="auto"/>
        <w:ind w:left="312"/>
        <w:rPr>
          <w:b/>
          <w:bCs/>
          <w:rtl/>
        </w:rPr>
      </w:pPr>
      <w:r w:rsidRPr="002B5E33">
        <w:rPr>
          <w:rFonts w:hint="cs"/>
          <w:b/>
          <w:bCs/>
          <w:rtl/>
        </w:rPr>
        <w:t xml:space="preserve">עוד נמצא כי ברכיב שיעור תשלום התביעות לא בא לידי ביטוי החלק היחסי מהתביעה ששילמה חברת הביטוח, כלומר גם אם חברת הביטוח שילמה חלק קטן מאוד מהתביעה היא תיחשב כתביעה ששולמה במלואה. </w:t>
      </w:r>
    </w:p>
    <w:p w:rsidR="00FA3E7D" w:rsidRPr="002B5E33" w:rsidP="00FA3E7D">
      <w:pPr>
        <w:pStyle w:val="a"/>
        <w:spacing w:line="269" w:lineRule="auto"/>
        <w:rPr>
          <w:rtl/>
        </w:rPr>
      </w:pPr>
    </w:p>
    <w:p w:rsidR="00FA3E7D" w:rsidRPr="002B5E33" w:rsidP="00FA3E7D">
      <w:pPr>
        <w:spacing w:line="269" w:lineRule="auto"/>
        <w:ind w:left="312"/>
        <w:rPr>
          <w:rtl/>
        </w:rPr>
      </w:pPr>
      <w:r w:rsidRPr="002B5E33">
        <w:rPr>
          <w:rFonts w:hint="cs"/>
          <w:rtl/>
        </w:rPr>
        <w:t>מספר התביעות שנסגרו מדווח על ידי חברות הביטוח לרשות שוק ההון מדי שנה, במסגרת דיווח מכוח חוזר איסוף מידע סטטיסטי. מספר התביעות שנסגרו כולל תביעות שאושרו</w:t>
      </w:r>
      <w:r>
        <w:rPr>
          <w:rStyle w:val="FootnoteReference"/>
          <w:rtl/>
        </w:rPr>
        <w:footnoteReference w:id="141"/>
      </w:r>
      <w:r w:rsidRPr="002B5E33">
        <w:rPr>
          <w:rFonts w:hint="cs"/>
          <w:rtl/>
        </w:rPr>
        <w:t>, תביעות שנדחו</w:t>
      </w:r>
      <w:r>
        <w:rPr>
          <w:rStyle w:val="FootnoteReference"/>
          <w:rtl/>
        </w:rPr>
        <w:footnoteReference w:id="142"/>
      </w:r>
      <w:r w:rsidRPr="002B5E33">
        <w:rPr>
          <w:rFonts w:hint="cs"/>
          <w:rtl/>
        </w:rPr>
        <w:t>, תביעות שנסגרו בפשרה</w:t>
      </w:r>
      <w:r>
        <w:rPr>
          <w:rStyle w:val="FootnoteReference"/>
          <w:rtl/>
        </w:rPr>
        <w:footnoteReference w:id="143"/>
      </w:r>
      <w:r w:rsidRPr="002B5E33">
        <w:rPr>
          <w:rFonts w:hint="cs"/>
          <w:rtl/>
        </w:rPr>
        <w:t xml:space="preserve"> ותביעות שבוטלו</w:t>
      </w:r>
      <w:r>
        <w:rPr>
          <w:rStyle w:val="FootnoteReference"/>
          <w:rtl/>
        </w:rPr>
        <w:footnoteReference w:id="144"/>
      </w:r>
      <w:r w:rsidRPr="002B5E33">
        <w:rPr>
          <w:rFonts w:hint="cs"/>
          <w:rtl/>
        </w:rPr>
        <w:t xml:space="preserve">. </w:t>
      </w:r>
    </w:p>
    <w:p w:rsidR="00FA3E7D" w:rsidRPr="002B5E33" w:rsidP="00FA3E7D">
      <w:pPr>
        <w:pStyle w:val="a"/>
        <w:spacing w:line="269" w:lineRule="auto"/>
        <w:rPr>
          <w:rtl/>
        </w:rPr>
      </w:pPr>
    </w:p>
    <w:p w:rsidR="00FA3E7D" w:rsidRPr="002B5E33" w:rsidP="00FA3E7D">
      <w:pPr>
        <w:spacing w:line="269" w:lineRule="auto"/>
        <w:ind w:left="312"/>
        <w:rPr>
          <w:b/>
          <w:bCs/>
          <w:rtl/>
        </w:rPr>
      </w:pPr>
      <w:r w:rsidRPr="002B5E33">
        <w:rPr>
          <w:rFonts w:hint="cs"/>
          <w:b/>
          <w:bCs/>
          <w:rtl/>
        </w:rPr>
        <w:t>נמצא כי תביעות שבוטלו נכללות בתביעות שנסגרו בחישוב שיעור תשלום התביעות</w:t>
      </w:r>
      <w:r>
        <w:rPr>
          <w:rStyle w:val="FootnoteReference"/>
          <w:b/>
          <w:bCs/>
          <w:rtl/>
        </w:rPr>
        <w:footnoteReference w:id="145"/>
      </w:r>
      <w:r w:rsidRPr="002B5E33">
        <w:rPr>
          <w:rFonts w:hint="cs"/>
          <w:b/>
          <w:bCs/>
          <w:rtl/>
        </w:rPr>
        <w:t xml:space="preserve">. בדרך חישוב זו קיימת הטיה כלפי מטה של שיעור התשלום של כל החברות שתביעות שהוגשו להן בוטלו. יתר על כן, הפערים המהותיים הקיימים בהיקף ביטול התביעות בין החברות השונות מטים את הדירוג היחסי של החברות לרעת חברות ששיעור הביטול אצלן גבוה יותר. </w:t>
      </w:r>
    </w:p>
    <w:p w:rsidR="00FA3E7D" w:rsidRPr="002B5E33" w:rsidP="00FA3E7D">
      <w:pPr>
        <w:pStyle w:val="a"/>
        <w:spacing w:line="269" w:lineRule="auto"/>
        <w:rPr>
          <w:rtl/>
        </w:rPr>
      </w:pPr>
    </w:p>
    <w:p w:rsidR="00FA3E7D" w:rsidRPr="00FF3629" w:rsidP="00FF3629">
      <w:pPr>
        <w:spacing w:line="269" w:lineRule="auto"/>
        <w:ind w:left="312"/>
        <w:jc w:val="center"/>
        <w:rPr>
          <w:b/>
          <w:bCs/>
          <w:rtl/>
        </w:rPr>
      </w:pPr>
      <w:r w:rsidRPr="002B5E33">
        <w:rPr>
          <w:rFonts w:hint="eastAsia"/>
          <w:b/>
          <w:bCs/>
          <w:rtl/>
        </w:rPr>
        <w:t>לוח</w:t>
      </w:r>
      <w:r w:rsidRPr="002B5E33">
        <w:rPr>
          <w:b/>
          <w:bCs/>
          <w:rtl/>
        </w:rPr>
        <w:t xml:space="preserve"> </w:t>
      </w:r>
      <w:r w:rsidRPr="002B5E33">
        <w:rPr>
          <w:rFonts w:hint="cs"/>
          <w:b/>
          <w:bCs/>
          <w:rtl/>
        </w:rPr>
        <w:t>4</w:t>
      </w:r>
      <w:r w:rsidR="00FF3629">
        <w:rPr>
          <w:rFonts w:hint="cs"/>
          <w:b/>
          <w:bCs/>
          <w:rtl/>
        </w:rPr>
        <w:t xml:space="preserve">: </w:t>
      </w:r>
      <w:r w:rsidRPr="002B5E33">
        <w:rPr>
          <w:rFonts w:hint="eastAsia"/>
          <w:b/>
          <w:bCs/>
          <w:rtl/>
        </w:rPr>
        <w:t>שיעור</w:t>
      </w:r>
      <w:r w:rsidRPr="002B5E33">
        <w:rPr>
          <w:b/>
          <w:bCs/>
          <w:rtl/>
        </w:rPr>
        <w:t xml:space="preserve"> </w:t>
      </w:r>
      <w:r w:rsidRPr="002B5E33">
        <w:rPr>
          <w:rFonts w:hint="eastAsia"/>
          <w:b/>
          <w:bCs/>
          <w:rtl/>
        </w:rPr>
        <w:t>ביטול</w:t>
      </w:r>
      <w:r w:rsidRPr="002B5E33">
        <w:rPr>
          <w:b/>
          <w:bCs/>
          <w:rtl/>
        </w:rPr>
        <w:t xml:space="preserve"> </w:t>
      </w:r>
      <w:r w:rsidRPr="002B5E33">
        <w:rPr>
          <w:rFonts w:hint="eastAsia"/>
          <w:b/>
          <w:bCs/>
          <w:rtl/>
        </w:rPr>
        <w:t>התביעות</w:t>
      </w:r>
      <w:r w:rsidRPr="002B5E33">
        <w:rPr>
          <w:b/>
          <w:bCs/>
          <w:rtl/>
        </w:rPr>
        <w:t xml:space="preserve"> </w:t>
      </w:r>
      <w:r w:rsidRPr="002B5E33">
        <w:rPr>
          <w:rFonts w:hint="eastAsia"/>
          <w:b/>
          <w:bCs/>
          <w:rtl/>
        </w:rPr>
        <w:t>בתת</w:t>
      </w:r>
      <w:r w:rsidRPr="002B5E33">
        <w:rPr>
          <w:rFonts w:hint="cs"/>
          <w:b/>
          <w:bCs/>
          <w:rtl/>
        </w:rPr>
        <w:t>-</w:t>
      </w:r>
      <w:r w:rsidRPr="002B5E33">
        <w:rPr>
          <w:rFonts w:hint="eastAsia"/>
          <w:b/>
          <w:bCs/>
          <w:rtl/>
        </w:rPr>
        <w:t>ענפים</w:t>
      </w:r>
      <w:r w:rsidRPr="002B5E33">
        <w:rPr>
          <w:b/>
          <w:bCs/>
          <w:rtl/>
        </w:rPr>
        <w:t xml:space="preserve"> </w:t>
      </w:r>
      <w:r w:rsidRPr="002B5E33">
        <w:rPr>
          <w:rFonts w:hint="eastAsia"/>
          <w:b/>
          <w:bCs/>
          <w:rtl/>
        </w:rPr>
        <w:t>של</w:t>
      </w:r>
      <w:r w:rsidRPr="002B5E33">
        <w:rPr>
          <w:b/>
          <w:bCs/>
          <w:rtl/>
        </w:rPr>
        <w:t xml:space="preserve"> </w:t>
      </w:r>
      <w:r w:rsidRPr="002B5E33">
        <w:rPr>
          <w:rFonts w:hint="eastAsia"/>
          <w:b/>
          <w:bCs/>
          <w:rtl/>
        </w:rPr>
        <w:t>ביטוח</w:t>
      </w:r>
      <w:r w:rsidRPr="002B5E33">
        <w:rPr>
          <w:b/>
          <w:bCs/>
          <w:rtl/>
        </w:rPr>
        <w:t xml:space="preserve"> </w:t>
      </w:r>
      <w:r w:rsidRPr="002B5E33">
        <w:rPr>
          <w:rFonts w:hint="eastAsia"/>
          <w:b/>
          <w:bCs/>
          <w:rtl/>
        </w:rPr>
        <w:t>בריאות</w:t>
      </w:r>
      <w:r w:rsidRPr="002B5E33">
        <w:rPr>
          <w:b/>
          <w:bCs/>
          <w:rtl/>
        </w:rPr>
        <w:t xml:space="preserve"> </w:t>
      </w:r>
      <w:r w:rsidRPr="002B5E33">
        <w:rPr>
          <w:rFonts w:hint="eastAsia"/>
          <w:b/>
          <w:bCs/>
          <w:rtl/>
        </w:rPr>
        <w:t>בשנת</w:t>
      </w:r>
      <w:r w:rsidRPr="002B5E33">
        <w:rPr>
          <w:b/>
          <w:bCs/>
          <w:rtl/>
        </w:rPr>
        <w:t xml:space="preserve"> 2018 </w:t>
      </w:r>
      <w:r w:rsidRPr="002B5E33">
        <w:rPr>
          <w:rFonts w:hint="eastAsia"/>
          <w:b/>
          <w:bCs/>
          <w:rtl/>
        </w:rPr>
        <w:t>לפי</w:t>
      </w:r>
      <w:r w:rsidRPr="002B5E33">
        <w:rPr>
          <w:b/>
          <w:bCs/>
          <w:rtl/>
        </w:rPr>
        <w:t xml:space="preserve"> </w:t>
      </w:r>
      <w:r w:rsidRPr="002B5E33">
        <w:rPr>
          <w:rFonts w:hint="eastAsia"/>
          <w:b/>
          <w:bCs/>
          <w:rtl/>
        </w:rPr>
        <w:t>חברה</w:t>
      </w:r>
    </w:p>
    <w:p w:rsidR="00FA3E7D" w:rsidRPr="002B5E33" w:rsidP="00FA3E7D">
      <w:pPr>
        <w:pStyle w:val="a"/>
        <w:spacing w:line="269" w:lineRule="auto"/>
        <w:rPr>
          <w:rtl/>
        </w:rPr>
      </w:pPr>
    </w:p>
    <w:tbl>
      <w:tblPr>
        <w:tblStyle w:val="5-31"/>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513"/>
        <w:gridCol w:w="1701"/>
        <w:gridCol w:w="1713"/>
        <w:gridCol w:w="1418"/>
      </w:tblGrid>
      <w:tr w:rsidTr="00CB009B">
        <w:tblPrEx>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right"/>
        </w:trPr>
        <w:tc>
          <w:tcPr>
            <w:tcW w:w="1701" w:type="dxa"/>
            <w:tcBorders>
              <w:top w:val="single" w:sz="4" w:space="0" w:color="auto"/>
              <w:left w:val="single" w:sz="4" w:space="0" w:color="auto"/>
              <w:right w:val="single" w:sz="4" w:space="0" w:color="auto"/>
            </w:tcBorders>
            <w:shd w:val="clear" w:color="auto" w:fill="auto"/>
            <w:vAlign w:val="bottom"/>
          </w:tcPr>
          <w:p w:rsidR="00FA3E7D" w:rsidRPr="00DB1826" w:rsidP="00B02EE3">
            <w:pPr>
              <w:spacing w:before="30" w:after="30" w:line="240" w:lineRule="exact"/>
              <w:jc w:val="left"/>
              <w:rPr>
                <w:rFonts w:ascii="David" w:hAnsi="David"/>
                <w:sz w:val="22"/>
                <w:szCs w:val="22"/>
                <w:rtl/>
              </w:rPr>
            </w:pPr>
            <w:r w:rsidRPr="00DB1826">
              <w:rPr>
                <w:rFonts w:ascii="David" w:hAnsi="David" w:hint="cs"/>
                <w:color w:val="auto"/>
                <w:sz w:val="22"/>
                <w:szCs w:val="22"/>
                <w:rtl/>
              </w:rPr>
              <w:t>החברה/תת -הענף</w:t>
            </w:r>
          </w:p>
        </w:tc>
        <w:tc>
          <w:tcPr>
            <w:tcW w:w="1513" w:type="dxa"/>
            <w:tcBorders>
              <w:top w:val="single" w:sz="4" w:space="0" w:color="auto"/>
              <w:left w:val="single" w:sz="4" w:space="0" w:color="auto"/>
              <w:right w:val="single" w:sz="4" w:space="0" w:color="auto"/>
            </w:tcBorders>
            <w:shd w:val="clear" w:color="auto" w:fill="auto"/>
            <w:vAlign w:val="bottom"/>
          </w:tcPr>
          <w:p w:rsidR="00FA3E7D" w:rsidRPr="00DB1826" w:rsidP="00B02EE3">
            <w:pPr>
              <w:spacing w:before="30" w:after="30" w:line="240" w:lineRule="exact"/>
              <w:jc w:val="left"/>
              <w:rPr>
                <w:rFonts w:ascii="David" w:hAnsi="David"/>
                <w:sz w:val="22"/>
                <w:szCs w:val="22"/>
                <w:rtl/>
              </w:rPr>
            </w:pPr>
            <w:r w:rsidRPr="00DB1826">
              <w:rPr>
                <w:rFonts w:ascii="David" w:hAnsi="David" w:hint="cs"/>
                <w:color w:val="auto"/>
                <w:sz w:val="22"/>
                <w:szCs w:val="22"/>
                <w:rtl/>
              </w:rPr>
              <w:t>ניתוחים בארץ ובחו"ל</w:t>
            </w:r>
          </w:p>
        </w:tc>
        <w:tc>
          <w:tcPr>
            <w:tcW w:w="1701" w:type="dxa"/>
            <w:tcBorders>
              <w:top w:val="single" w:sz="4" w:space="0" w:color="auto"/>
              <w:left w:val="single" w:sz="4" w:space="0" w:color="auto"/>
              <w:right w:val="single" w:sz="4" w:space="0" w:color="auto"/>
            </w:tcBorders>
            <w:shd w:val="clear" w:color="auto" w:fill="auto"/>
            <w:vAlign w:val="bottom"/>
          </w:tcPr>
          <w:p w:rsidR="00FA3E7D" w:rsidRPr="00DB1826" w:rsidP="00B02EE3">
            <w:pPr>
              <w:spacing w:before="30" w:after="30" w:line="240" w:lineRule="exact"/>
              <w:jc w:val="left"/>
              <w:rPr>
                <w:rFonts w:ascii="David" w:hAnsi="David"/>
                <w:sz w:val="22"/>
                <w:szCs w:val="22"/>
                <w:rtl/>
              </w:rPr>
            </w:pPr>
            <w:r w:rsidRPr="00DB1826">
              <w:rPr>
                <w:rFonts w:ascii="David" w:hAnsi="David" w:hint="cs"/>
                <w:color w:val="auto"/>
                <w:sz w:val="22"/>
                <w:szCs w:val="22"/>
                <w:rtl/>
              </w:rPr>
              <w:t>השתלות בארץ ובחו"ל</w:t>
            </w:r>
          </w:p>
        </w:tc>
        <w:tc>
          <w:tcPr>
            <w:tcW w:w="1713" w:type="dxa"/>
            <w:tcBorders>
              <w:top w:val="single" w:sz="4" w:space="0" w:color="auto"/>
              <w:left w:val="single" w:sz="4" w:space="0" w:color="auto"/>
              <w:right w:val="single" w:sz="4" w:space="0" w:color="auto"/>
            </w:tcBorders>
            <w:shd w:val="clear" w:color="auto" w:fill="auto"/>
            <w:vAlign w:val="bottom"/>
          </w:tcPr>
          <w:p w:rsidR="00FA3E7D" w:rsidRPr="00DB1826" w:rsidP="00B02EE3">
            <w:pPr>
              <w:spacing w:before="30" w:after="30" w:line="240" w:lineRule="exact"/>
              <w:jc w:val="left"/>
              <w:rPr>
                <w:rFonts w:ascii="David" w:hAnsi="David"/>
                <w:sz w:val="22"/>
                <w:szCs w:val="22"/>
                <w:rtl/>
              </w:rPr>
            </w:pPr>
            <w:r w:rsidRPr="00DB1826">
              <w:rPr>
                <w:rFonts w:ascii="David" w:hAnsi="David" w:hint="cs"/>
                <w:color w:val="auto"/>
                <w:sz w:val="22"/>
                <w:szCs w:val="22"/>
                <w:rtl/>
              </w:rPr>
              <w:t>מחלות קשות</w:t>
            </w:r>
          </w:p>
        </w:tc>
        <w:tc>
          <w:tcPr>
            <w:tcW w:w="1418" w:type="dxa"/>
            <w:tcBorders>
              <w:top w:val="single" w:sz="4" w:space="0" w:color="auto"/>
              <w:left w:val="single" w:sz="4" w:space="0" w:color="auto"/>
              <w:right w:val="single" w:sz="4" w:space="0" w:color="auto"/>
            </w:tcBorders>
            <w:shd w:val="clear" w:color="auto" w:fill="auto"/>
            <w:vAlign w:val="bottom"/>
          </w:tcPr>
          <w:p w:rsidR="00FA3E7D" w:rsidRPr="00DB1826" w:rsidP="00B02EE3">
            <w:pPr>
              <w:spacing w:before="30" w:after="30" w:line="240" w:lineRule="exact"/>
              <w:jc w:val="left"/>
              <w:rPr>
                <w:rFonts w:ascii="David" w:hAnsi="David"/>
                <w:sz w:val="22"/>
                <w:szCs w:val="22"/>
                <w:rtl/>
              </w:rPr>
            </w:pPr>
            <w:r w:rsidRPr="00DB1826">
              <w:rPr>
                <w:rFonts w:ascii="David" w:hAnsi="David" w:hint="cs"/>
                <w:color w:val="auto"/>
                <w:sz w:val="22"/>
                <w:szCs w:val="22"/>
                <w:rtl/>
              </w:rPr>
              <w:t>תרופות</w:t>
            </w:r>
          </w:p>
        </w:tc>
      </w:tr>
      <w:tr w:rsidTr="00CB009B">
        <w:tblPrEx>
          <w:tblW w:w="0" w:type="auto"/>
          <w:jc w:val="right"/>
          <w:tblLook w:val="04A0"/>
        </w:tblPrEx>
        <w:trPr>
          <w:jc w:val="right"/>
        </w:trPr>
        <w:tc>
          <w:tcPr>
            <w:tcW w:w="1701" w:type="dxa"/>
            <w:tcBorders>
              <w:left w:val="none" w:sz="0" w:space="0" w:color="auto"/>
            </w:tcBorders>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color w:val="auto"/>
                <w:sz w:val="22"/>
                <w:szCs w:val="22"/>
                <w:rtl/>
              </w:rPr>
              <w:t>חברה א'</w:t>
            </w:r>
          </w:p>
        </w:tc>
        <w:tc>
          <w:tcPr>
            <w:tcW w:w="1513" w:type="dxa"/>
            <w:shd w:val="clear" w:color="auto" w:fill="auto"/>
          </w:tcPr>
          <w:p w:rsidR="00FA3E7D" w:rsidRPr="00DB1826" w:rsidP="00B02EE3">
            <w:pPr>
              <w:spacing w:before="30" w:after="30" w:line="240" w:lineRule="exact"/>
              <w:rPr>
                <w:sz w:val="22"/>
                <w:szCs w:val="22"/>
              </w:rPr>
            </w:pPr>
            <w:r w:rsidRPr="00DB1826">
              <w:rPr>
                <w:rFonts w:ascii="David" w:hAnsi="David" w:hint="cs"/>
                <w:sz w:val="22"/>
                <w:szCs w:val="22"/>
              </w:rPr>
              <w:t>0%</w:t>
            </w:r>
          </w:p>
        </w:tc>
        <w:tc>
          <w:tcPr>
            <w:tcW w:w="1701"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tl/>
              </w:rPr>
              <w:t>לא פורסם</w:t>
            </w:r>
          </w:p>
        </w:tc>
        <w:tc>
          <w:tcPr>
            <w:tcW w:w="1713" w:type="dxa"/>
            <w:shd w:val="clear" w:color="auto" w:fill="auto"/>
          </w:tcPr>
          <w:p w:rsidR="00FA3E7D" w:rsidRPr="00DB1826" w:rsidP="00B02EE3">
            <w:pPr>
              <w:spacing w:before="30" w:after="30" w:line="240" w:lineRule="exact"/>
              <w:rPr>
                <w:rFonts w:ascii="David" w:hAnsi="David"/>
                <w:sz w:val="22"/>
                <w:szCs w:val="22"/>
                <w:rtl/>
              </w:rPr>
            </w:pPr>
            <w:r w:rsidRPr="00DB1826">
              <w:rPr>
                <w:rFonts w:ascii="David" w:hAnsi="David" w:hint="cs"/>
                <w:sz w:val="22"/>
                <w:szCs w:val="22"/>
              </w:rPr>
              <w:t>0%</w:t>
            </w:r>
          </w:p>
        </w:tc>
        <w:tc>
          <w:tcPr>
            <w:tcW w:w="1418"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tl/>
              </w:rPr>
              <w:t>לא פורסם</w:t>
            </w:r>
          </w:p>
        </w:tc>
      </w:tr>
      <w:tr w:rsidTr="00CB009B">
        <w:tblPrEx>
          <w:tblW w:w="0" w:type="auto"/>
          <w:jc w:val="right"/>
          <w:tblLook w:val="04A0"/>
        </w:tblPrEx>
        <w:trPr>
          <w:jc w:val="right"/>
        </w:trPr>
        <w:tc>
          <w:tcPr>
            <w:tcW w:w="1701" w:type="dxa"/>
            <w:tcBorders>
              <w:left w:val="none" w:sz="0" w:space="0" w:color="auto"/>
            </w:tcBorders>
            <w:shd w:val="clear" w:color="auto" w:fill="auto"/>
          </w:tcPr>
          <w:p w:rsidR="00FA3E7D" w:rsidRPr="00DB1826" w:rsidP="00B02EE3">
            <w:pPr>
              <w:spacing w:before="30" w:after="30" w:line="240" w:lineRule="exact"/>
              <w:rPr>
                <w:rFonts w:ascii="David" w:hAnsi="David"/>
                <w:sz w:val="22"/>
                <w:szCs w:val="22"/>
                <w:rtl/>
              </w:rPr>
            </w:pPr>
            <w:r w:rsidRPr="00DB1826">
              <w:rPr>
                <w:rFonts w:ascii="David" w:hAnsi="David" w:hint="cs"/>
                <w:color w:val="auto"/>
                <w:sz w:val="22"/>
                <w:szCs w:val="22"/>
                <w:rtl/>
              </w:rPr>
              <w:t>חברה ב'</w:t>
            </w:r>
          </w:p>
        </w:tc>
        <w:tc>
          <w:tcPr>
            <w:tcW w:w="1513" w:type="dxa"/>
            <w:shd w:val="clear" w:color="auto" w:fill="auto"/>
          </w:tcPr>
          <w:p w:rsidR="00FA3E7D" w:rsidRPr="00DB1826" w:rsidP="00B02EE3">
            <w:pPr>
              <w:spacing w:before="30" w:after="30" w:line="240" w:lineRule="exact"/>
              <w:rPr>
                <w:rFonts w:ascii="David" w:hAnsi="David"/>
                <w:sz w:val="22"/>
                <w:szCs w:val="22"/>
                <w:rtl/>
              </w:rPr>
            </w:pPr>
            <w:r w:rsidRPr="00DB1826">
              <w:rPr>
                <w:rFonts w:ascii="David" w:hAnsi="David" w:hint="cs"/>
                <w:sz w:val="22"/>
                <w:szCs w:val="22"/>
              </w:rPr>
              <w:t>0.8%</w:t>
            </w:r>
          </w:p>
        </w:tc>
        <w:tc>
          <w:tcPr>
            <w:tcW w:w="1701"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Pr>
              <w:t>0.0%</w:t>
            </w:r>
          </w:p>
        </w:tc>
        <w:tc>
          <w:tcPr>
            <w:tcW w:w="1713"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Pr>
              <w:t>0.0%</w:t>
            </w:r>
          </w:p>
        </w:tc>
        <w:tc>
          <w:tcPr>
            <w:tcW w:w="1418"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Pr>
              <w:t>0.2%</w:t>
            </w:r>
          </w:p>
        </w:tc>
      </w:tr>
      <w:tr w:rsidTr="00CB009B">
        <w:tblPrEx>
          <w:tblW w:w="0" w:type="auto"/>
          <w:jc w:val="right"/>
          <w:tblLook w:val="04A0"/>
        </w:tblPrEx>
        <w:trPr>
          <w:jc w:val="right"/>
        </w:trPr>
        <w:tc>
          <w:tcPr>
            <w:tcW w:w="1701" w:type="dxa"/>
            <w:tcBorders>
              <w:left w:val="none" w:sz="0" w:space="0" w:color="auto"/>
            </w:tcBorders>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color w:val="auto"/>
                <w:sz w:val="22"/>
                <w:szCs w:val="22"/>
                <w:rtl/>
              </w:rPr>
              <w:t>חברה ג'</w:t>
            </w:r>
          </w:p>
        </w:tc>
        <w:tc>
          <w:tcPr>
            <w:tcW w:w="1513" w:type="dxa"/>
            <w:shd w:val="clear" w:color="auto" w:fill="auto"/>
          </w:tcPr>
          <w:p w:rsidR="00FA3E7D" w:rsidRPr="00DB1826" w:rsidP="00B02EE3">
            <w:pPr>
              <w:spacing w:before="30" w:after="30" w:line="240" w:lineRule="exact"/>
              <w:rPr>
                <w:rFonts w:ascii="David" w:hAnsi="David"/>
                <w:sz w:val="22"/>
                <w:szCs w:val="22"/>
                <w:rtl/>
              </w:rPr>
            </w:pPr>
            <w:r w:rsidRPr="00DB1826">
              <w:rPr>
                <w:rFonts w:ascii="David" w:hAnsi="David" w:hint="cs"/>
                <w:sz w:val="22"/>
                <w:szCs w:val="22"/>
              </w:rPr>
              <w:t>10.2%</w:t>
            </w:r>
          </w:p>
        </w:tc>
        <w:tc>
          <w:tcPr>
            <w:tcW w:w="1701" w:type="dxa"/>
            <w:shd w:val="clear" w:color="auto" w:fill="auto"/>
          </w:tcPr>
          <w:p w:rsidR="00FA3E7D" w:rsidRPr="00DB1826" w:rsidP="00B02EE3">
            <w:pPr>
              <w:spacing w:before="30" w:after="30" w:line="240" w:lineRule="exact"/>
              <w:rPr>
                <w:rFonts w:ascii="David" w:hAnsi="David"/>
                <w:sz w:val="22"/>
                <w:szCs w:val="22"/>
                <w:rtl/>
              </w:rPr>
            </w:pPr>
            <w:r w:rsidRPr="00DB1826">
              <w:rPr>
                <w:rFonts w:ascii="David" w:hAnsi="David" w:hint="cs"/>
                <w:sz w:val="22"/>
                <w:szCs w:val="22"/>
              </w:rPr>
              <w:t>100.0%</w:t>
            </w:r>
          </w:p>
        </w:tc>
        <w:tc>
          <w:tcPr>
            <w:tcW w:w="1713" w:type="dxa"/>
            <w:shd w:val="clear" w:color="auto" w:fill="auto"/>
          </w:tcPr>
          <w:p w:rsidR="00FA3E7D" w:rsidRPr="00DB1826" w:rsidP="00B02EE3">
            <w:pPr>
              <w:spacing w:before="30" w:after="30" w:line="240" w:lineRule="exact"/>
              <w:rPr>
                <w:sz w:val="22"/>
                <w:szCs w:val="22"/>
              </w:rPr>
            </w:pPr>
            <w:r w:rsidRPr="00DB1826">
              <w:rPr>
                <w:rFonts w:ascii="David" w:hAnsi="David" w:hint="cs"/>
                <w:sz w:val="22"/>
                <w:szCs w:val="22"/>
              </w:rPr>
              <w:t>0.0%</w:t>
            </w:r>
          </w:p>
        </w:tc>
        <w:tc>
          <w:tcPr>
            <w:tcW w:w="1418"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Pr>
              <w:t>24.2%</w:t>
            </w:r>
          </w:p>
        </w:tc>
      </w:tr>
      <w:tr w:rsidTr="00CB009B">
        <w:tblPrEx>
          <w:tblW w:w="0" w:type="auto"/>
          <w:jc w:val="right"/>
          <w:tblLook w:val="04A0"/>
        </w:tblPrEx>
        <w:trPr>
          <w:jc w:val="right"/>
        </w:trPr>
        <w:tc>
          <w:tcPr>
            <w:tcW w:w="1701" w:type="dxa"/>
            <w:tcBorders>
              <w:left w:val="none" w:sz="0" w:space="0" w:color="auto"/>
            </w:tcBorders>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color w:val="auto"/>
                <w:sz w:val="22"/>
                <w:szCs w:val="22"/>
                <w:rtl/>
              </w:rPr>
              <w:t>חברה ד'</w:t>
            </w:r>
          </w:p>
        </w:tc>
        <w:tc>
          <w:tcPr>
            <w:tcW w:w="1513" w:type="dxa"/>
            <w:shd w:val="clear" w:color="auto" w:fill="auto"/>
          </w:tcPr>
          <w:p w:rsidR="00FA3E7D" w:rsidRPr="00DB1826" w:rsidP="00B02EE3">
            <w:pPr>
              <w:spacing w:before="30" w:after="30" w:line="240" w:lineRule="exact"/>
              <w:rPr>
                <w:rFonts w:ascii="David" w:hAnsi="David"/>
                <w:sz w:val="22"/>
                <w:szCs w:val="22"/>
                <w:rtl/>
              </w:rPr>
            </w:pPr>
            <w:r w:rsidRPr="00DB1826">
              <w:rPr>
                <w:rFonts w:ascii="David" w:hAnsi="David" w:hint="cs"/>
                <w:sz w:val="22"/>
                <w:szCs w:val="22"/>
              </w:rPr>
              <w:t>0.8%</w:t>
            </w:r>
          </w:p>
        </w:tc>
        <w:tc>
          <w:tcPr>
            <w:tcW w:w="1701"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Pr>
              <w:t>19.0%</w:t>
            </w:r>
          </w:p>
        </w:tc>
        <w:tc>
          <w:tcPr>
            <w:tcW w:w="1713"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Pr>
              <w:t>1.4%</w:t>
            </w:r>
          </w:p>
        </w:tc>
        <w:tc>
          <w:tcPr>
            <w:tcW w:w="1418"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Pr>
              <w:t>4.5%</w:t>
            </w:r>
          </w:p>
        </w:tc>
      </w:tr>
      <w:tr w:rsidTr="00CB009B">
        <w:tblPrEx>
          <w:tblW w:w="0" w:type="auto"/>
          <w:jc w:val="right"/>
          <w:tblLook w:val="04A0"/>
        </w:tblPrEx>
        <w:trPr>
          <w:jc w:val="right"/>
        </w:trPr>
        <w:tc>
          <w:tcPr>
            <w:tcW w:w="1701" w:type="dxa"/>
            <w:tcBorders>
              <w:left w:val="none" w:sz="0" w:space="0" w:color="auto"/>
            </w:tcBorders>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color w:val="auto"/>
                <w:sz w:val="22"/>
                <w:szCs w:val="22"/>
                <w:rtl/>
              </w:rPr>
              <w:t>חברה ה'</w:t>
            </w:r>
          </w:p>
        </w:tc>
        <w:tc>
          <w:tcPr>
            <w:tcW w:w="1513" w:type="dxa"/>
            <w:shd w:val="clear" w:color="auto" w:fill="auto"/>
          </w:tcPr>
          <w:p w:rsidR="00FA3E7D" w:rsidRPr="00DB1826" w:rsidP="00B02EE3">
            <w:pPr>
              <w:spacing w:before="30" w:after="30" w:line="240" w:lineRule="exact"/>
              <w:rPr>
                <w:rFonts w:ascii="David" w:hAnsi="David"/>
                <w:sz w:val="22"/>
                <w:szCs w:val="22"/>
                <w:rtl/>
              </w:rPr>
            </w:pPr>
            <w:r w:rsidRPr="00DB1826">
              <w:rPr>
                <w:rFonts w:ascii="David" w:hAnsi="David" w:hint="cs"/>
                <w:sz w:val="22"/>
                <w:szCs w:val="22"/>
              </w:rPr>
              <w:t>5.5%</w:t>
            </w:r>
          </w:p>
        </w:tc>
        <w:tc>
          <w:tcPr>
            <w:tcW w:w="1701"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Pr>
              <w:t>6.8%</w:t>
            </w:r>
          </w:p>
        </w:tc>
        <w:tc>
          <w:tcPr>
            <w:tcW w:w="1713"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Pr>
              <w:t>3.5%</w:t>
            </w:r>
          </w:p>
        </w:tc>
        <w:tc>
          <w:tcPr>
            <w:tcW w:w="1418"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Pr>
              <w:t>10.9%</w:t>
            </w:r>
          </w:p>
        </w:tc>
      </w:tr>
      <w:tr w:rsidTr="00CB009B">
        <w:tblPrEx>
          <w:tblW w:w="0" w:type="auto"/>
          <w:jc w:val="right"/>
          <w:tblLook w:val="04A0"/>
        </w:tblPrEx>
        <w:trPr>
          <w:jc w:val="right"/>
        </w:trPr>
        <w:tc>
          <w:tcPr>
            <w:tcW w:w="1701" w:type="dxa"/>
            <w:tcBorders>
              <w:left w:val="none" w:sz="0" w:space="0" w:color="auto"/>
            </w:tcBorders>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color w:val="auto"/>
                <w:sz w:val="22"/>
                <w:szCs w:val="22"/>
                <w:rtl/>
              </w:rPr>
              <w:t>חברה ו'</w:t>
            </w:r>
          </w:p>
        </w:tc>
        <w:tc>
          <w:tcPr>
            <w:tcW w:w="1513" w:type="dxa"/>
            <w:shd w:val="clear" w:color="auto" w:fill="auto"/>
          </w:tcPr>
          <w:p w:rsidR="00FA3E7D" w:rsidRPr="00DB1826" w:rsidP="00B02EE3">
            <w:pPr>
              <w:spacing w:before="30" w:after="30" w:line="240" w:lineRule="exact"/>
              <w:rPr>
                <w:rFonts w:ascii="David" w:hAnsi="David"/>
                <w:sz w:val="22"/>
                <w:szCs w:val="22"/>
                <w:rtl/>
              </w:rPr>
            </w:pPr>
            <w:r w:rsidRPr="00DB1826">
              <w:rPr>
                <w:rFonts w:ascii="David" w:hAnsi="David" w:hint="cs"/>
                <w:sz w:val="22"/>
                <w:szCs w:val="22"/>
              </w:rPr>
              <w:t>6.4%</w:t>
            </w:r>
          </w:p>
        </w:tc>
        <w:tc>
          <w:tcPr>
            <w:tcW w:w="1701"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Pr>
              <w:t>25.0%</w:t>
            </w:r>
          </w:p>
        </w:tc>
        <w:tc>
          <w:tcPr>
            <w:tcW w:w="1713"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Pr>
              <w:t>4.3%</w:t>
            </w:r>
          </w:p>
        </w:tc>
        <w:tc>
          <w:tcPr>
            <w:tcW w:w="1418"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Pr>
              <w:t>22.9%</w:t>
            </w:r>
          </w:p>
        </w:tc>
      </w:tr>
      <w:tr w:rsidTr="00CB009B">
        <w:tblPrEx>
          <w:tblW w:w="0" w:type="auto"/>
          <w:jc w:val="right"/>
          <w:tblLook w:val="04A0"/>
        </w:tblPrEx>
        <w:trPr>
          <w:jc w:val="right"/>
        </w:trPr>
        <w:tc>
          <w:tcPr>
            <w:tcW w:w="1701" w:type="dxa"/>
            <w:tcBorders>
              <w:left w:val="none" w:sz="0" w:space="0" w:color="auto"/>
            </w:tcBorders>
            <w:shd w:val="clear" w:color="auto" w:fill="auto"/>
          </w:tcPr>
          <w:p w:rsidR="00FA3E7D" w:rsidRPr="00DB1826" w:rsidP="00B02EE3">
            <w:pPr>
              <w:spacing w:before="30" w:after="30" w:line="240" w:lineRule="exact"/>
              <w:rPr>
                <w:rFonts w:ascii="David" w:hAnsi="David"/>
                <w:sz w:val="22"/>
                <w:szCs w:val="22"/>
                <w:rtl/>
              </w:rPr>
            </w:pPr>
            <w:r w:rsidRPr="00DB1826">
              <w:rPr>
                <w:rFonts w:ascii="David" w:hAnsi="David" w:hint="cs"/>
                <w:color w:val="auto"/>
                <w:sz w:val="22"/>
                <w:szCs w:val="22"/>
                <w:rtl/>
              </w:rPr>
              <w:t>חברה ז'</w:t>
            </w:r>
          </w:p>
        </w:tc>
        <w:tc>
          <w:tcPr>
            <w:tcW w:w="1513" w:type="dxa"/>
            <w:shd w:val="clear" w:color="auto" w:fill="auto"/>
          </w:tcPr>
          <w:p w:rsidR="00FA3E7D" w:rsidRPr="00DB1826" w:rsidP="00B02EE3">
            <w:pPr>
              <w:spacing w:before="30" w:after="30" w:line="240" w:lineRule="exact"/>
              <w:rPr>
                <w:rFonts w:ascii="David" w:hAnsi="David"/>
                <w:sz w:val="22"/>
                <w:szCs w:val="22"/>
                <w:rtl/>
              </w:rPr>
            </w:pPr>
            <w:r w:rsidRPr="00DB1826">
              <w:rPr>
                <w:rFonts w:ascii="David" w:hAnsi="David" w:hint="cs"/>
                <w:sz w:val="22"/>
                <w:szCs w:val="22"/>
              </w:rPr>
              <w:t>8.4%</w:t>
            </w:r>
          </w:p>
        </w:tc>
        <w:tc>
          <w:tcPr>
            <w:tcW w:w="1701"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Pr>
              <w:t>32.4%</w:t>
            </w:r>
          </w:p>
        </w:tc>
        <w:tc>
          <w:tcPr>
            <w:tcW w:w="1713"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Pr>
              <w:t>3.5%</w:t>
            </w:r>
          </w:p>
        </w:tc>
        <w:tc>
          <w:tcPr>
            <w:tcW w:w="1418" w:type="dxa"/>
            <w:shd w:val="clear" w:color="auto" w:fill="auto"/>
          </w:tcPr>
          <w:p w:rsidR="00FA3E7D" w:rsidRPr="00DB1826" w:rsidP="00B02EE3">
            <w:pPr>
              <w:spacing w:before="30" w:after="30" w:line="240" w:lineRule="exact"/>
              <w:rPr>
                <w:rFonts w:asciiTheme="minorHAnsi" w:hAnsiTheme="minorHAnsi"/>
                <w:sz w:val="22"/>
                <w:szCs w:val="22"/>
              </w:rPr>
            </w:pPr>
            <w:r w:rsidRPr="00DB1826">
              <w:rPr>
                <w:rFonts w:ascii="David" w:hAnsi="David" w:hint="cs"/>
                <w:sz w:val="22"/>
                <w:szCs w:val="22"/>
              </w:rPr>
              <w:t>24.3%</w:t>
            </w:r>
          </w:p>
        </w:tc>
      </w:tr>
      <w:tr w:rsidTr="00CB009B">
        <w:tblPrEx>
          <w:tblW w:w="0" w:type="auto"/>
          <w:jc w:val="right"/>
          <w:tblLook w:val="04A0"/>
        </w:tblPrEx>
        <w:trPr>
          <w:jc w:val="right"/>
        </w:trPr>
        <w:tc>
          <w:tcPr>
            <w:tcW w:w="1701" w:type="dxa"/>
            <w:tcBorders>
              <w:left w:val="none" w:sz="0" w:space="0" w:color="auto"/>
              <w:bottom w:val="none" w:sz="0" w:space="0" w:color="auto"/>
            </w:tcBorders>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color w:val="auto"/>
                <w:sz w:val="22"/>
                <w:szCs w:val="22"/>
                <w:rtl/>
              </w:rPr>
              <w:t>חברה ח'</w:t>
            </w:r>
          </w:p>
        </w:tc>
        <w:tc>
          <w:tcPr>
            <w:tcW w:w="1513" w:type="dxa"/>
            <w:shd w:val="clear" w:color="auto" w:fill="auto"/>
          </w:tcPr>
          <w:p w:rsidR="00FA3E7D" w:rsidRPr="00DB1826" w:rsidP="00B02EE3">
            <w:pPr>
              <w:spacing w:before="30" w:after="30" w:line="240" w:lineRule="exact"/>
              <w:rPr>
                <w:rFonts w:ascii="David" w:hAnsi="David"/>
                <w:sz w:val="22"/>
                <w:szCs w:val="22"/>
                <w:rtl/>
              </w:rPr>
            </w:pPr>
            <w:r w:rsidRPr="00DB1826">
              <w:rPr>
                <w:rFonts w:ascii="David" w:hAnsi="David" w:hint="cs"/>
                <w:sz w:val="22"/>
                <w:szCs w:val="22"/>
              </w:rPr>
              <w:t>4.5%</w:t>
            </w:r>
          </w:p>
        </w:tc>
        <w:tc>
          <w:tcPr>
            <w:tcW w:w="1701"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Pr>
              <w:t>4.9%</w:t>
            </w:r>
          </w:p>
        </w:tc>
        <w:tc>
          <w:tcPr>
            <w:tcW w:w="1713"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Pr>
              <w:t>5.2%</w:t>
            </w:r>
          </w:p>
        </w:tc>
        <w:tc>
          <w:tcPr>
            <w:tcW w:w="1418" w:type="dxa"/>
            <w:shd w:val="clear" w:color="auto" w:fill="auto"/>
          </w:tcPr>
          <w:p w:rsidR="00FA3E7D" w:rsidRPr="00DB1826" w:rsidP="00B02EE3">
            <w:pPr>
              <w:spacing w:before="30" w:after="30" w:line="240" w:lineRule="exact"/>
              <w:rPr>
                <w:rFonts w:ascii="David" w:hAnsi="David"/>
                <w:sz w:val="22"/>
                <w:szCs w:val="22"/>
              </w:rPr>
            </w:pPr>
            <w:r w:rsidRPr="00DB1826">
              <w:rPr>
                <w:rFonts w:ascii="David" w:hAnsi="David" w:hint="cs"/>
                <w:sz w:val="22"/>
                <w:szCs w:val="22"/>
              </w:rPr>
              <w:t>10.9%</w:t>
            </w:r>
          </w:p>
        </w:tc>
      </w:tr>
    </w:tbl>
    <w:p w:rsidR="00FA3E7D" w:rsidRPr="00F13852" w:rsidP="00B02EE3">
      <w:pPr>
        <w:spacing w:before="120" w:line="269" w:lineRule="auto"/>
        <w:ind w:left="312"/>
        <w:rPr>
          <w:sz w:val="22"/>
          <w:szCs w:val="22"/>
          <w:rtl/>
        </w:rPr>
      </w:pPr>
      <w:r w:rsidRPr="00F13852">
        <w:rPr>
          <w:rFonts w:hint="cs"/>
          <w:sz w:val="22"/>
          <w:szCs w:val="22"/>
          <w:rtl/>
        </w:rPr>
        <w:t>מקור: פרסומי חברות הביטוח באתרי המרשתת של החברות.</w:t>
      </w:r>
    </w:p>
    <w:p w:rsidR="00FA3E7D" w:rsidRPr="002B5E33" w:rsidP="00FA3E7D">
      <w:pPr>
        <w:pStyle w:val="a"/>
        <w:spacing w:line="269" w:lineRule="auto"/>
        <w:rPr>
          <w:rtl/>
        </w:rPr>
      </w:pPr>
    </w:p>
    <w:p w:rsidR="00FA3E7D" w:rsidRPr="002B5E33" w:rsidP="00FA3E7D">
      <w:pPr>
        <w:spacing w:line="269" w:lineRule="auto"/>
        <w:ind w:left="312"/>
        <w:rPr>
          <w:rtl/>
        </w:rPr>
      </w:pPr>
      <w:r w:rsidRPr="002B5E33">
        <w:rPr>
          <w:rFonts w:hint="cs"/>
          <w:rtl/>
        </w:rPr>
        <w:t>מנתוני הלוח עולה כי קיימים פערים גדולים בין שיעורי ביטולי התביעות בחברות השונות, ולפיכך, להכללת תביעות שבוטלו בחישוב מדד השירות הנוגע לשיעור תשלום התביעות עשויה להיות השפעה של ממש על ציון החברות ודירוגן היחסי.</w:t>
      </w:r>
    </w:p>
    <w:p w:rsidR="00FA3E7D" w:rsidRPr="002B5E33" w:rsidP="00FA3E7D">
      <w:pPr>
        <w:pStyle w:val="a"/>
        <w:spacing w:line="269" w:lineRule="auto"/>
        <w:rPr>
          <w:rtl/>
        </w:rPr>
      </w:pPr>
    </w:p>
    <w:p w:rsidR="00FA3E7D" w:rsidP="00FA3E7D">
      <w:pPr>
        <w:spacing w:line="269" w:lineRule="auto"/>
        <w:ind w:left="312"/>
        <w:rPr>
          <w:rtl/>
        </w:rPr>
      </w:pPr>
      <w:r w:rsidRPr="002B5E33">
        <w:rPr>
          <w:rFonts w:hint="eastAsia"/>
          <w:rtl/>
        </w:rPr>
        <w:t>הרשות</w:t>
      </w:r>
      <w:r w:rsidRPr="002B5E33">
        <w:rPr>
          <w:rtl/>
        </w:rPr>
        <w:t xml:space="preserve"> </w:t>
      </w:r>
      <w:r w:rsidRPr="002B5E33">
        <w:rPr>
          <w:rFonts w:hint="eastAsia"/>
          <w:rtl/>
        </w:rPr>
        <w:t>מסרה</w:t>
      </w:r>
      <w:r w:rsidRPr="002B5E33">
        <w:rPr>
          <w:rFonts w:hint="cs"/>
          <w:rtl/>
        </w:rPr>
        <w:t xml:space="preserve"> בתשובתה כי חברות הביטוח טענו בפניה כי אין לכלול בחישוב את התביעות שבוטלו, אולם לאחר שטענותיהן נדונו, ובהתאם לעמדת יועצי הרשות, הוחלט לכלול תביעות שבוטלו בחישוב המדד. בין הנימוקים לכך, לפי הרשות: תביעות שבוטלו כוללות תביעות שננטשו, המעידות על אופן סילוק תביעות פחות יעיל, ואין מקום להשמיטן; השמטת תביעות שבוטלו תפגע באפשרות למדוד את הסיכוי שתביעה שהוגשה לרשות תאושר על ידה; בתחילת הדרך, לפני שהרשות פרסמה הבהרה, היה פער באופן שבו חברות הביטוח השונות התייחסו לתביעות שנדחו ולתביעות שבוטלו, כך שבלא התחשבות בתביעות שבוטלו הייתה נוצרת הטיה.</w:t>
      </w:r>
    </w:p>
    <w:p w:rsidR="00FA3E7D" w:rsidRPr="002B5E33" w:rsidP="00FA3E7D">
      <w:pPr>
        <w:pStyle w:val="a"/>
        <w:spacing w:line="269" w:lineRule="auto"/>
        <w:rPr>
          <w:rtl/>
        </w:rPr>
      </w:pPr>
    </w:p>
    <w:p w:rsidR="00FA3E7D" w:rsidRPr="002B5E33" w:rsidP="00FA3E7D">
      <w:pPr>
        <w:spacing w:line="269" w:lineRule="auto"/>
        <w:ind w:left="312"/>
        <w:rPr>
          <w:rtl/>
        </w:rPr>
      </w:pPr>
      <w:r w:rsidRPr="002B5E33">
        <w:rPr>
          <w:rFonts w:hint="eastAsia"/>
          <w:rtl/>
        </w:rPr>
        <w:t>יצוין</w:t>
      </w:r>
      <w:r w:rsidRPr="002B5E33">
        <w:rPr>
          <w:rtl/>
        </w:rPr>
        <w:t xml:space="preserve"> כי </w:t>
      </w:r>
      <w:r w:rsidRPr="002B5E33">
        <w:rPr>
          <w:rFonts w:hint="eastAsia"/>
          <w:rtl/>
        </w:rPr>
        <w:t>הדמיית</w:t>
      </w:r>
      <w:r w:rsidRPr="002B5E33">
        <w:rPr>
          <w:rFonts w:hint="cs"/>
          <w:rtl/>
        </w:rPr>
        <w:t xml:space="preserve"> חישוב מדד שביצע משרד מבקר המדינה על בסיס נתוני שנת 2018</w:t>
      </w:r>
      <w:r>
        <w:rPr>
          <w:rStyle w:val="FootnoteReference"/>
          <w:rtl/>
        </w:rPr>
        <w:footnoteReference w:id="146"/>
      </w:r>
      <w:r w:rsidRPr="002B5E33">
        <w:rPr>
          <w:rFonts w:hint="cs"/>
          <w:rtl/>
        </w:rPr>
        <w:t xml:space="preserve"> העלתה כי שימוש ביחס תביעות שנדחו לתביעות שאושרו, יכול להציג לציבור נתונים מובהקים ומשמעותיים יותר לגבי ההסתברות הקיימת בדבר דחיית תביעה על ידי חברות הביטוח. על פי הנתונים, היחס שבין תביעות שנדחו לתביעות שאושרו עמד על בין 4.4% ל-26% בחברות השונות, ודירוג החברות היה שונה משמעותית בהשוואה לחישוב שביצעה הרשות בהסתמך על תביעות ששולמו מכלל התביעות שנסגרו.</w:t>
      </w:r>
    </w:p>
    <w:p w:rsidR="00FA3E7D" w:rsidRPr="002B5E33" w:rsidP="00FA3E7D">
      <w:pPr>
        <w:pStyle w:val="a"/>
        <w:spacing w:line="269" w:lineRule="auto"/>
        <w:rPr>
          <w:rtl/>
        </w:rPr>
      </w:pPr>
    </w:p>
    <w:p w:rsidR="00FA3E7D" w:rsidRPr="002B5E33" w:rsidP="00FA3E7D">
      <w:pPr>
        <w:pStyle w:val="Heading5"/>
        <w:spacing w:line="269" w:lineRule="auto"/>
        <w:ind w:left="312"/>
        <w:rPr>
          <w:rtl/>
        </w:rPr>
      </w:pPr>
      <w:r w:rsidRPr="002B5E33">
        <w:rPr>
          <w:rFonts w:hint="cs"/>
          <w:rtl/>
        </w:rPr>
        <w:t>מהירות הטיפול בתביעות</w:t>
      </w:r>
    </w:p>
    <w:p w:rsidR="00FA3E7D" w:rsidP="00FA3E7D">
      <w:pPr>
        <w:pStyle w:val="a"/>
        <w:rPr>
          <w:rtl/>
        </w:rPr>
      </w:pPr>
    </w:p>
    <w:p w:rsidR="00FA3E7D" w:rsidRPr="002B5E33" w:rsidP="00FA3E7D">
      <w:pPr>
        <w:spacing w:line="269" w:lineRule="auto"/>
        <w:ind w:left="312"/>
        <w:rPr>
          <w:rtl/>
        </w:rPr>
      </w:pPr>
      <w:r w:rsidRPr="002B5E33">
        <w:rPr>
          <w:rFonts w:hint="cs"/>
          <w:rtl/>
        </w:rPr>
        <w:t>רכיב המשנה השני של "תשלום תביעות" הוא "מהירות טיפול בתביעות". המדד ברכיב זה מחושב על פי שקלול שיעור התביעות שהטיפול בהן הסתיים בתוך 30 יום ומחצית התביעות שהטיפול בהן הסתיים לאחר 31 עד 60 ימים, מכלל התביעות שהסתיימו, לפי דיווחי החברות.</w:t>
      </w:r>
    </w:p>
    <w:p w:rsidR="00FA3E7D" w:rsidRPr="002B5E33" w:rsidP="00FA3E7D">
      <w:pPr>
        <w:pStyle w:val="a"/>
        <w:spacing w:line="269" w:lineRule="auto"/>
        <w:rPr>
          <w:rtl/>
        </w:rPr>
      </w:pPr>
    </w:p>
    <w:p w:rsidR="00FA3E7D" w:rsidRPr="002B5E33" w:rsidP="00FA3E7D">
      <w:pPr>
        <w:spacing w:line="269" w:lineRule="auto"/>
        <w:ind w:left="312"/>
        <w:rPr>
          <w:rtl/>
        </w:rPr>
      </w:pPr>
      <w:r w:rsidRPr="002B5E33">
        <w:rPr>
          <w:rFonts w:hint="cs"/>
          <w:rtl/>
        </w:rPr>
        <w:t xml:space="preserve">מעבודת המטה שבוצעה עבור הרשות בשנת 2013 עולה כי שיטת המדידה של רכיב מהירות הטיפול בתביעות הוגדרה כאחוז המקרים שבהם עמדה חברת הביטוח בזמן הטיפול, אשר נקבע לאחר בחירת זמן טיפול תקני עבור כל מוצר ביטוח. </w:t>
      </w:r>
    </w:p>
    <w:p w:rsidR="00FA3E7D" w:rsidRPr="002B5E33" w:rsidP="00FA3E7D">
      <w:pPr>
        <w:pStyle w:val="a"/>
        <w:spacing w:line="269" w:lineRule="auto"/>
        <w:rPr>
          <w:rtl/>
        </w:rPr>
      </w:pPr>
    </w:p>
    <w:p w:rsidR="00FA3E7D" w:rsidRPr="002B5E33" w:rsidP="00FA3E7D">
      <w:pPr>
        <w:spacing w:line="269" w:lineRule="auto"/>
        <w:ind w:left="312"/>
        <w:rPr>
          <w:b/>
          <w:bCs/>
          <w:rtl/>
        </w:rPr>
      </w:pPr>
      <w:r w:rsidRPr="002B5E33">
        <w:rPr>
          <w:rFonts w:hint="cs"/>
          <w:b/>
          <w:bCs/>
          <w:rtl/>
        </w:rPr>
        <w:t>בחירת שיטת המדידה והחישוב לא בוצעה לאחר בחינה כמותית בנוגע לאופן שבו משך זמן הטיפול בתביעה עשוי להשפיע על בחירת הציבור בחברת ביטוח ומבלי לבחון חלופות אפשריות מסוימות</w:t>
      </w:r>
      <w:r>
        <w:rPr>
          <w:rStyle w:val="FootnoteReference"/>
          <w:b/>
          <w:bCs/>
          <w:rtl/>
        </w:rPr>
        <w:footnoteReference w:id="147"/>
      </w:r>
      <w:r w:rsidRPr="002B5E33">
        <w:rPr>
          <w:rFonts w:hint="cs"/>
          <w:b/>
          <w:bCs/>
          <w:rtl/>
        </w:rPr>
        <w:t xml:space="preserve">. </w:t>
      </w:r>
    </w:p>
    <w:p w:rsidR="00FA3E7D" w:rsidRPr="002B5E33" w:rsidP="00FA3E7D">
      <w:pPr>
        <w:pStyle w:val="a"/>
        <w:spacing w:line="269" w:lineRule="auto"/>
        <w:rPr>
          <w:rtl/>
        </w:rPr>
      </w:pPr>
    </w:p>
    <w:p w:rsidR="00FA3E7D" w:rsidRPr="002B5E33" w:rsidP="00FA3E7D">
      <w:pPr>
        <w:spacing w:line="269" w:lineRule="auto"/>
        <w:ind w:left="312"/>
        <w:rPr>
          <w:rtl/>
        </w:rPr>
      </w:pPr>
      <w:r w:rsidRPr="002B5E33">
        <w:rPr>
          <w:rFonts w:hint="cs"/>
          <w:rtl/>
        </w:rPr>
        <w:t>רשות שוק ההון ציינה בתשובתה כי המדד היה בעל</w:t>
      </w:r>
      <w:r>
        <w:rPr>
          <w:rFonts w:hint="cs"/>
          <w:rtl/>
        </w:rPr>
        <w:t xml:space="preserve"> </w:t>
      </w:r>
      <w:r w:rsidRPr="002B5E33">
        <w:rPr>
          <w:rFonts w:hint="cs"/>
          <w:rtl/>
        </w:rPr>
        <w:t>אפקט משמעותי ושיפר את מצבו של הציבור "עם ובלי קשר לציפיות הראשוניות שלו". עוד ציינה הרשות כי היא בחנה באופן מקיף את כל החלופות האפשריות, וכי "השינוי המוצע נשקל על ידי הרשות ובכוונתה ליישמו במסגרת המכרז החדש באופן אחראי ומקצועי - כלומר בליווי הייעוץ המקצועי של הספק שייבחר".</w:t>
      </w:r>
    </w:p>
    <w:p w:rsidR="00FA3E7D" w:rsidRPr="002B5E33" w:rsidP="00FA3E7D">
      <w:pPr>
        <w:pStyle w:val="a"/>
        <w:spacing w:line="269" w:lineRule="auto"/>
        <w:rPr>
          <w:rtl/>
        </w:rPr>
      </w:pPr>
    </w:p>
    <w:p w:rsidR="00FA3E7D" w:rsidRPr="002B5E33" w:rsidP="00FA3E7D">
      <w:pPr>
        <w:spacing w:line="269" w:lineRule="auto"/>
        <w:ind w:left="312"/>
        <w:rPr>
          <w:rtl/>
        </w:rPr>
      </w:pPr>
      <w:r w:rsidRPr="002B5E33">
        <w:rPr>
          <w:rFonts w:hint="cs"/>
          <w:rtl/>
        </w:rPr>
        <w:t>אופן חישוב המועדים והגדרת המונחים הרלוונטיים מפורטים בחוזר איסוף מידע סטטיסטי. בחוזר זה, מוגדר "משך זמן טיפול בתביעה" כ"משך הזמן מהמועד שבו תובע הציג לראשונה תביעה ועד למועד מסירת הודעת תשלום, הודעת תשלום חלקי, או הודעת דחייה, לפי העניין, לתובע או עד למועד שבו אישר התובע את הודעת הפשרה. הצגה לראשונה של תביעה תתאפשר, בין היתר, באחת מהדרכים הבאות: טלפון, פקס או דואר אלקטרוני אלא אם אישר המבוטח במפורש כי אין לראות בפנייתו דרישה למימוש זכויות לפי תנאי הפוליסה בשלב זה והחברה תיעדה אישור זה".</w:t>
      </w:r>
    </w:p>
    <w:p w:rsidR="00FA3E7D" w:rsidRPr="002B5E33" w:rsidP="00FA3E7D">
      <w:pPr>
        <w:pStyle w:val="a"/>
        <w:spacing w:line="269" w:lineRule="auto"/>
        <w:rPr>
          <w:rtl/>
        </w:rPr>
      </w:pPr>
    </w:p>
    <w:p w:rsidR="00FA3E7D" w:rsidRPr="002B5E33" w:rsidP="00FA3E7D">
      <w:pPr>
        <w:spacing w:line="269" w:lineRule="auto"/>
        <w:ind w:left="312"/>
        <w:rPr>
          <w:b/>
          <w:bCs/>
          <w:rtl/>
        </w:rPr>
      </w:pPr>
      <w:r w:rsidRPr="002B5E33">
        <w:rPr>
          <w:rFonts w:hint="cs"/>
          <w:b/>
          <w:bCs/>
          <w:rtl/>
        </w:rPr>
        <w:t>הגדרת משך זמן הטיפול בתביעה יוצרת כמה פרשנויות אפשריות, וחברות הביטוח עשויות לבחור בפרשנויות שונות. במצב זה עלולה להיפגע אפשרות ההשוואה בין חברות הביטוח</w:t>
      </w:r>
      <w:r>
        <w:rPr>
          <w:rStyle w:val="FootnoteReference"/>
          <w:b/>
          <w:bCs/>
          <w:rtl/>
        </w:rPr>
        <w:footnoteReference w:id="148"/>
      </w:r>
      <w:r w:rsidRPr="002B5E33">
        <w:rPr>
          <w:rFonts w:hint="cs"/>
          <w:b/>
          <w:bCs/>
          <w:rtl/>
        </w:rPr>
        <w:t xml:space="preserve">. </w:t>
      </w:r>
    </w:p>
    <w:p w:rsidR="00FA3E7D" w:rsidRPr="002B5E33" w:rsidP="00FA3E7D">
      <w:pPr>
        <w:pStyle w:val="a"/>
        <w:spacing w:line="269" w:lineRule="auto"/>
        <w:rPr>
          <w:rtl/>
        </w:rPr>
      </w:pPr>
    </w:p>
    <w:p w:rsidR="00FA3E7D" w:rsidRPr="002B5E33" w:rsidP="00FA3E7D">
      <w:pPr>
        <w:spacing w:line="269" w:lineRule="auto"/>
        <w:ind w:left="312"/>
        <w:rPr>
          <w:rtl/>
        </w:rPr>
      </w:pPr>
      <w:r w:rsidRPr="002B5E33">
        <w:rPr>
          <w:rFonts w:hint="cs"/>
          <w:rtl/>
        </w:rPr>
        <w:t xml:space="preserve">בתשובת רשות שוק ההון ציינה הרשות כי "על אף טענות החברות השונות בנושא </w:t>
      </w:r>
      <w:r w:rsidRPr="002B5E33">
        <w:rPr>
          <w:rtl/>
        </w:rPr>
        <w:t>–</w:t>
      </w:r>
      <w:r w:rsidRPr="002B5E33">
        <w:rPr>
          <w:rFonts w:hint="cs"/>
          <w:rtl/>
        </w:rPr>
        <w:t xml:space="preserve"> לא עלתה הצעה שמגלמת שיטה טובה יותר המשקפת באופן נאמן יותר ושוויוני את המציאות... תביעה שלא צורפו אליה כל המסמכים צריכה להיפתח, בהתאם להוראות החוזר, ביום בו תובע הציג דרישה למימוש זכויות </w:t>
      </w:r>
      <w:r w:rsidRPr="002B5E33">
        <w:rPr>
          <w:rtl/>
        </w:rPr>
        <w:t>–</w:t>
      </w:r>
      <w:r w:rsidRPr="002B5E33">
        <w:rPr>
          <w:rFonts w:hint="cs"/>
          <w:rtl/>
        </w:rPr>
        <w:t xml:space="preserve"> כהגדרת מונחים אלה בחוזר".</w:t>
      </w:r>
    </w:p>
    <w:p w:rsidR="00FA3E7D" w:rsidRPr="002B5E33" w:rsidP="00FA3E7D">
      <w:pPr>
        <w:pStyle w:val="a"/>
        <w:spacing w:line="269" w:lineRule="auto"/>
        <w:rPr>
          <w:rtl/>
        </w:rPr>
      </w:pPr>
    </w:p>
    <w:p w:rsidR="00FA3E7D" w:rsidRPr="002B5E33" w:rsidP="00FA3E7D">
      <w:pPr>
        <w:spacing w:line="269" w:lineRule="auto"/>
        <w:ind w:left="312"/>
        <w:rPr>
          <w:b/>
          <w:bCs/>
          <w:sz w:val="24"/>
        </w:rPr>
      </w:pPr>
      <w:r w:rsidRPr="002B5E33">
        <w:rPr>
          <w:rFonts w:hint="eastAsia"/>
          <w:b/>
          <w:bCs/>
          <w:sz w:val="24"/>
          <w:rtl/>
        </w:rPr>
        <w:t>מומלץ</w:t>
      </w:r>
      <w:r w:rsidRPr="002B5E33">
        <w:rPr>
          <w:b/>
          <w:bCs/>
          <w:sz w:val="24"/>
          <w:rtl/>
        </w:rPr>
        <w:t xml:space="preserve"> כי </w:t>
      </w:r>
      <w:r w:rsidRPr="002B5E33">
        <w:rPr>
          <w:rFonts w:hint="eastAsia"/>
          <w:b/>
          <w:bCs/>
          <w:sz w:val="24"/>
          <w:rtl/>
        </w:rPr>
        <w:t>הרשות</w:t>
      </w:r>
      <w:r w:rsidRPr="002B5E33">
        <w:rPr>
          <w:b/>
          <w:bCs/>
          <w:sz w:val="24"/>
          <w:rtl/>
        </w:rPr>
        <w:t xml:space="preserve"> </w:t>
      </w:r>
      <w:r w:rsidRPr="002B5E33">
        <w:rPr>
          <w:rFonts w:hint="eastAsia"/>
          <w:b/>
          <w:bCs/>
          <w:sz w:val="24"/>
          <w:rtl/>
        </w:rPr>
        <w:t>תקבע</w:t>
      </w:r>
      <w:r w:rsidRPr="002B5E33">
        <w:rPr>
          <w:b/>
          <w:bCs/>
          <w:sz w:val="24"/>
          <w:rtl/>
        </w:rPr>
        <w:t xml:space="preserve"> </w:t>
      </w:r>
      <w:r w:rsidRPr="002B5E33">
        <w:rPr>
          <w:rFonts w:hint="eastAsia"/>
          <w:b/>
          <w:bCs/>
          <w:sz w:val="24"/>
          <w:rtl/>
        </w:rPr>
        <w:t>לחברות</w:t>
      </w:r>
      <w:r w:rsidRPr="002B5E33">
        <w:rPr>
          <w:b/>
          <w:bCs/>
          <w:sz w:val="24"/>
          <w:rtl/>
        </w:rPr>
        <w:t xml:space="preserve"> </w:t>
      </w:r>
      <w:r w:rsidRPr="002B5E33">
        <w:rPr>
          <w:rFonts w:hint="eastAsia"/>
          <w:b/>
          <w:bCs/>
          <w:sz w:val="24"/>
          <w:rtl/>
        </w:rPr>
        <w:t>הביטוח</w:t>
      </w:r>
      <w:r w:rsidRPr="002B5E33">
        <w:rPr>
          <w:b/>
          <w:bCs/>
          <w:sz w:val="24"/>
          <w:rtl/>
        </w:rPr>
        <w:t xml:space="preserve"> </w:t>
      </w:r>
      <w:r w:rsidRPr="002B5E33">
        <w:rPr>
          <w:rFonts w:hint="eastAsia"/>
          <w:b/>
          <w:bCs/>
          <w:sz w:val="24"/>
          <w:rtl/>
        </w:rPr>
        <w:t>הוראות</w:t>
      </w:r>
      <w:r w:rsidRPr="002B5E33">
        <w:rPr>
          <w:b/>
          <w:bCs/>
          <w:sz w:val="24"/>
          <w:rtl/>
        </w:rPr>
        <w:t xml:space="preserve"> </w:t>
      </w:r>
      <w:r w:rsidRPr="002B5E33">
        <w:rPr>
          <w:rFonts w:hint="cs"/>
          <w:b/>
          <w:bCs/>
          <w:sz w:val="24"/>
          <w:rtl/>
        </w:rPr>
        <w:t>ברורות</w:t>
      </w:r>
      <w:r w:rsidRPr="002B5E33">
        <w:rPr>
          <w:b/>
          <w:bCs/>
          <w:sz w:val="24"/>
          <w:rtl/>
        </w:rPr>
        <w:t xml:space="preserve"> </w:t>
      </w:r>
      <w:r w:rsidRPr="002B5E33">
        <w:rPr>
          <w:rFonts w:hint="eastAsia"/>
          <w:b/>
          <w:bCs/>
          <w:sz w:val="24"/>
          <w:rtl/>
        </w:rPr>
        <w:t>ביחס</w:t>
      </w:r>
      <w:r w:rsidRPr="002B5E33">
        <w:rPr>
          <w:b/>
          <w:bCs/>
          <w:sz w:val="24"/>
          <w:rtl/>
        </w:rPr>
        <w:t xml:space="preserve"> </w:t>
      </w:r>
      <w:r w:rsidRPr="002B5E33">
        <w:rPr>
          <w:rFonts w:hint="eastAsia"/>
          <w:b/>
          <w:bCs/>
          <w:sz w:val="24"/>
          <w:rtl/>
        </w:rPr>
        <w:t>למועד</w:t>
      </w:r>
      <w:r w:rsidRPr="002B5E33">
        <w:rPr>
          <w:b/>
          <w:bCs/>
          <w:sz w:val="24"/>
          <w:rtl/>
        </w:rPr>
        <w:t xml:space="preserve"> </w:t>
      </w:r>
      <w:r w:rsidRPr="002B5E33">
        <w:rPr>
          <w:rFonts w:hint="eastAsia"/>
          <w:b/>
          <w:bCs/>
          <w:sz w:val="24"/>
          <w:rtl/>
        </w:rPr>
        <w:t>תחילת</w:t>
      </w:r>
      <w:r w:rsidRPr="002B5E33">
        <w:rPr>
          <w:b/>
          <w:bCs/>
          <w:sz w:val="24"/>
          <w:rtl/>
        </w:rPr>
        <w:t xml:space="preserve"> </w:t>
      </w:r>
      <w:r w:rsidRPr="002B5E33">
        <w:rPr>
          <w:rFonts w:hint="eastAsia"/>
          <w:b/>
          <w:bCs/>
          <w:sz w:val="24"/>
          <w:rtl/>
        </w:rPr>
        <w:t>חישוב</w:t>
      </w:r>
      <w:r w:rsidRPr="002B5E33">
        <w:rPr>
          <w:b/>
          <w:bCs/>
          <w:sz w:val="24"/>
          <w:rtl/>
        </w:rPr>
        <w:t xml:space="preserve"> </w:t>
      </w:r>
      <w:r w:rsidRPr="002B5E33">
        <w:rPr>
          <w:rFonts w:hint="cs"/>
          <w:b/>
          <w:bCs/>
          <w:sz w:val="24"/>
          <w:rtl/>
        </w:rPr>
        <w:t xml:space="preserve">משך הטיפול בתביעת ביטוח </w:t>
      </w:r>
      <w:r w:rsidRPr="002B5E33">
        <w:rPr>
          <w:b/>
          <w:bCs/>
          <w:sz w:val="24"/>
          <w:rtl/>
        </w:rPr>
        <w:t>ו</w:t>
      </w:r>
      <w:r w:rsidRPr="002B5E33">
        <w:rPr>
          <w:rFonts w:hint="eastAsia"/>
          <w:b/>
          <w:bCs/>
          <w:sz w:val="24"/>
          <w:rtl/>
        </w:rPr>
        <w:t>תוודא</w:t>
      </w:r>
      <w:r w:rsidRPr="002B5E33">
        <w:rPr>
          <w:b/>
          <w:bCs/>
          <w:sz w:val="24"/>
          <w:rtl/>
        </w:rPr>
        <w:t xml:space="preserve"> </w:t>
      </w:r>
      <w:r w:rsidRPr="002B5E33">
        <w:rPr>
          <w:rFonts w:hint="eastAsia"/>
          <w:b/>
          <w:bCs/>
          <w:sz w:val="24"/>
          <w:rtl/>
        </w:rPr>
        <w:t>עמידתן</w:t>
      </w:r>
      <w:r w:rsidRPr="002B5E33">
        <w:rPr>
          <w:b/>
          <w:bCs/>
          <w:sz w:val="24"/>
          <w:rtl/>
        </w:rPr>
        <w:t xml:space="preserve"> </w:t>
      </w:r>
      <w:r w:rsidRPr="002B5E33">
        <w:rPr>
          <w:rFonts w:hint="eastAsia"/>
          <w:b/>
          <w:bCs/>
          <w:sz w:val="24"/>
          <w:rtl/>
        </w:rPr>
        <w:t>בהוראות</w:t>
      </w:r>
      <w:r w:rsidRPr="002B5E33">
        <w:rPr>
          <w:b/>
          <w:bCs/>
          <w:sz w:val="24"/>
          <w:rtl/>
        </w:rPr>
        <w:t xml:space="preserve"> </w:t>
      </w:r>
      <w:r w:rsidRPr="002B5E33">
        <w:rPr>
          <w:rFonts w:hint="eastAsia"/>
          <w:b/>
          <w:bCs/>
          <w:sz w:val="24"/>
          <w:rtl/>
        </w:rPr>
        <w:t>אלו</w:t>
      </w:r>
      <w:r w:rsidRPr="002B5E33">
        <w:rPr>
          <w:rFonts w:hint="cs"/>
          <w:b/>
          <w:bCs/>
          <w:sz w:val="24"/>
          <w:rtl/>
        </w:rPr>
        <w:t xml:space="preserve"> כדי למנוע פרשנויות שונות</w:t>
      </w:r>
      <w:r w:rsidRPr="002B5E33">
        <w:rPr>
          <w:b/>
          <w:bCs/>
          <w:sz w:val="24"/>
          <w:rtl/>
        </w:rPr>
        <w:t>.</w:t>
      </w:r>
    </w:p>
    <w:p w:rsidR="00FA3E7D" w:rsidRPr="002B5E33" w:rsidP="00FA3E7D">
      <w:pPr>
        <w:pStyle w:val="a"/>
        <w:spacing w:line="269" w:lineRule="auto"/>
        <w:rPr>
          <w:rtl/>
        </w:rPr>
      </w:pPr>
    </w:p>
    <w:p w:rsidR="00FA3E7D" w:rsidP="00FA3E7D">
      <w:pPr>
        <w:spacing w:line="269" w:lineRule="auto"/>
        <w:ind w:left="312"/>
        <w:rPr>
          <w:rtl/>
        </w:rPr>
      </w:pPr>
      <w:r w:rsidRPr="002B5E33">
        <w:rPr>
          <w:rFonts w:hint="cs"/>
          <w:rtl/>
        </w:rPr>
        <w:t xml:space="preserve">עוד נמצא כי </w:t>
      </w:r>
      <w:r w:rsidRPr="002B5E33">
        <w:rPr>
          <w:rFonts w:hint="eastAsia"/>
          <w:rtl/>
        </w:rPr>
        <w:t>חישוב</w:t>
      </w:r>
      <w:r w:rsidRPr="002B5E33">
        <w:rPr>
          <w:rtl/>
        </w:rPr>
        <w:t xml:space="preserve"> מהירות הטיפול בתביעות, כפי שפורט לעיל, מביא בחשבון גם תביעות שבוטלו ולא רק כאלו שהתקבלו או נדחו, וזאת </w:t>
      </w:r>
      <w:r w:rsidRPr="002B5E33">
        <w:rPr>
          <w:rFonts w:hint="cs"/>
          <w:rtl/>
        </w:rPr>
        <w:t>כפי שנעשה ב</w:t>
      </w:r>
      <w:r w:rsidRPr="002B5E33">
        <w:rPr>
          <w:rtl/>
        </w:rPr>
        <w:t xml:space="preserve">חישוב שיעור תשלום </w:t>
      </w:r>
      <w:r w:rsidRPr="002B5E33">
        <w:rPr>
          <w:rFonts w:hint="eastAsia"/>
          <w:rtl/>
        </w:rPr>
        <w:t>התביעות</w:t>
      </w:r>
      <w:r w:rsidRPr="002B5E33">
        <w:rPr>
          <w:rtl/>
        </w:rPr>
        <w:t>.</w:t>
      </w:r>
    </w:p>
    <w:p w:rsidR="00FA3E7D" w:rsidRPr="002B5E33" w:rsidP="00FA3E7D">
      <w:pPr>
        <w:pStyle w:val="a"/>
        <w:spacing w:line="269" w:lineRule="auto"/>
        <w:rPr>
          <w:rtl/>
        </w:rPr>
      </w:pPr>
    </w:p>
    <w:p w:rsidR="00FA3E7D" w:rsidRPr="002B5E33" w:rsidP="00FA3E7D">
      <w:pPr>
        <w:spacing w:line="269" w:lineRule="auto"/>
        <w:ind w:left="312"/>
        <w:rPr>
          <w:rtl/>
        </w:rPr>
      </w:pPr>
      <w:r w:rsidRPr="002B5E33">
        <w:rPr>
          <w:rFonts w:hint="cs"/>
          <w:rtl/>
        </w:rPr>
        <w:t>רשות שוק ההון השיבה למשרד מבקר המדינה כי משהוחלט לכלול תביעות שבוטלו בחישוב שיעור תשלום התביעות, יש לכלול אותן גם בחישובי מהירות הטיפול בתביעות.</w:t>
      </w:r>
    </w:p>
    <w:p w:rsidR="00FA3E7D" w:rsidRPr="002B5E33" w:rsidP="00FA3E7D">
      <w:pPr>
        <w:pStyle w:val="a"/>
        <w:spacing w:line="269" w:lineRule="auto"/>
        <w:rPr>
          <w:rtl/>
        </w:rPr>
      </w:pPr>
    </w:p>
    <w:p w:rsidR="00FA3E7D" w:rsidRPr="002B5E33" w:rsidP="00FA3E7D">
      <w:pPr>
        <w:spacing w:line="269" w:lineRule="auto"/>
        <w:ind w:left="312"/>
        <w:rPr>
          <w:b/>
          <w:bCs/>
          <w:rtl/>
        </w:rPr>
      </w:pPr>
      <w:r w:rsidRPr="002B5E33">
        <w:rPr>
          <w:rFonts w:hint="cs"/>
          <w:b/>
          <w:bCs/>
          <w:rtl/>
        </w:rPr>
        <w:t xml:space="preserve">מאחר שמדובר במצבים חריגים של תביעות שהופסקו, מוצע לבחון האם להשמיט תביעות שבוטלו מחישוב מהירות הטיפול בתביעות. </w:t>
      </w:r>
    </w:p>
    <w:p w:rsidR="00FA3E7D" w:rsidRPr="002B5E33" w:rsidP="00FA3E7D">
      <w:pPr>
        <w:pStyle w:val="a"/>
        <w:spacing w:line="269" w:lineRule="auto"/>
        <w:rPr>
          <w:rtl/>
        </w:rPr>
      </w:pPr>
    </w:p>
    <w:p w:rsidR="00FA3E7D" w:rsidRPr="00B02EE3" w:rsidP="00B02EE3">
      <w:pPr>
        <w:spacing w:line="269" w:lineRule="auto"/>
        <w:ind w:left="312"/>
        <w:jc w:val="center"/>
        <w:rPr>
          <w:b/>
          <w:bCs/>
          <w:rtl/>
        </w:rPr>
      </w:pPr>
      <w:r w:rsidRPr="002B5E33">
        <w:rPr>
          <w:rFonts w:hint="eastAsia"/>
          <w:b/>
          <w:bCs/>
          <w:rtl/>
        </w:rPr>
        <w:t>תרשים</w:t>
      </w:r>
      <w:r w:rsidRPr="002B5E33">
        <w:rPr>
          <w:b/>
          <w:bCs/>
          <w:rtl/>
        </w:rPr>
        <w:t xml:space="preserve"> </w:t>
      </w:r>
      <w:r w:rsidRPr="002B5E33">
        <w:rPr>
          <w:rFonts w:hint="cs"/>
          <w:b/>
          <w:bCs/>
          <w:rtl/>
        </w:rPr>
        <w:t>28</w:t>
      </w:r>
      <w:r w:rsidR="00B02EE3">
        <w:rPr>
          <w:rFonts w:hint="cs"/>
          <w:b/>
          <w:bCs/>
          <w:rtl/>
        </w:rPr>
        <w:t xml:space="preserve">: </w:t>
      </w:r>
      <w:r w:rsidRPr="002B5E33">
        <w:rPr>
          <w:rFonts w:hint="eastAsia"/>
          <w:b/>
          <w:bCs/>
          <w:rtl/>
        </w:rPr>
        <w:t>ניקוד</w:t>
      </w:r>
      <w:r w:rsidRPr="002B5E33">
        <w:rPr>
          <w:b/>
          <w:bCs/>
          <w:rtl/>
        </w:rPr>
        <w:t xml:space="preserve"> </w:t>
      </w:r>
      <w:r w:rsidRPr="002B5E33">
        <w:rPr>
          <w:rFonts w:hint="eastAsia"/>
          <w:b/>
          <w:bCs/>
          <w:rtl/>
        </w:rPr>
        <w:t>חברות</w:t>
      </w:r>
      <w:r w:rsidRPr="002B5E33">
        <w:rPr>
          <w:b/>
          <w:bCs/>
          <w:rtl/>
        </w:rPr>
        <w:t xml:space="preserve"> </w:t>
      </w:r>
      <w:r w:rsidRPr="002B5E33">
        <w:rPr>
          <w:rFonts w:hint="eastAsia"/>
          <w:b/>
          <w:bCs/>
          <w:rtl/>
        </w:rPr>
        <w:t>הביטוח</w:t>
      </w:r>
      <w:r w:rsidRPr="002B5E33">
        <w:rPr>
          <w:b/>
          <w:bCs/>
          <w:rtl/>
        </w:rPr>
        <w:t xml:space="preserve"> </w:t>
      </w:r>
      <w:r w:rsidRPr="002B5E33">
        <w:rPr>
          <w:rFonts w:hint="eastAsia"/>
          <w:b/>
          <w:bCs/>
          <w:rtl/>
        </w:rPr>
        <w:t>בשנים</w:t>
      </w:r>
      <w:r w:rsidRPr="002B5E33">
        <w:rPr>
          <w:b/>
          <w:bCs/>
          <w:rtl/>
        </w:rPr>
        <w:t xml:space="preserve"> 2018-2014 </w:t>
      </w:r>
      <w:r w:rsidRPr="002B5E33">
        <w:rPr>
          <w:rFonts w:hint="eastAsia"/>
          <w:b/>
          <w:bCs/>
          <w:rtl/>
        </w:rPr>
        <w:t>ברכיב</w:t>
      </w:r>
      <w:r w:rsidRPr="002B5E33">
        <w:rPr>
          <w:b/>
          <w:bCs/>
          <w:rtl/>
        </w:rPr>
        <w:t xml:space="preserve"> </w:t>
      </w:r>
      <w:r w:rsidRPr="002B5E33">
        <w:rPr>
          <w:rFonts w:hint="eastAsia"/>
          <w:b/>
          <w:bCs/>
          <w:rtl/>
        </w:rPr>
        <w:t>מהירות</w:t>
      </w:r>
      <w:r w:rsidRPr="002B5E33">
        <w:rPr>
          <w:b/>
          <w:bCs/>
          <w:rtl/>
        </w:rPr>
        <w:t xml:space="preserve"> </w:t>
      </w:r>
      <w:r w:rsidRPr="002B5E33">
        <w:rPr>
          <w:rFonts w:hint="eastAsia"/>
          <w:b/>
          <w:bCs/>
          <w:rtl/>
        </w:rPr>
        <w:t>הטיפול</w:t>
      </w:r>
      <w:r w:rsidRPr="002B5E33">
        <w:rPr>
          <w:b/>
          <w:bCs/>
          <w:rtl/>
        </w:rPr>
        <w:t xml:space="preserve"> </w:t>
      </w:r>
      <w:r w:rsidRPr="002B5E33">
        <w:rPr>
          <w:rFonts w:hint="eastAsia"/>
          <w:b/>
          <w:bCs/>
          <w:rtl/>
        </w:rPr>
        <w:t>בתביעות</w:t>
      </w:r>
      <w:r w:rsidRPr="002B5E33">
        <w:rPr>
          <w:b/>
          <w:bCs/>
          <w:rtl/>
        </w:rPr>
        <w:t xml:space="preserve"> </w:t>
      </w:r>
      <w:r w:rsidRPr="002B5E33">
        <w:rPr>
          <w:rFonts w:hint="eastAsia"/>
          <w:b/>
          <w:bCs/>
          <w:rtl/>
        </w:rPr>
        <w:t>ביטוח</w:t>
      </w:r>
      <w:r w:rsidRPr="002B5E33">
        <w:rPr>
          <w:b/>
          <w:bCs/>
          <w:rtl/>
        </w:rPr>
        <w:t xml:space="preserve"> </w:t>
      </w:r>
      <w:r w:rsidRPr="002B5E33">
        <w:rPr>
          <w:rFonts w:hint="eastAsia"/>
          <w:b/>
          <w:bCs/>
          <w:rtl/>
        </w:rPr>
        <w:t>בריאות</w:t>
      </w:r>
    </w:p>
    <w:p w:rsidR="00FA3E7D" w:rsidRPr="002B5E33" w:rsidP="00B02EE3">
      <w:pPr>
        <w:spacing w:before="120" w:after="120" w:line="269" w:lineRule="auto"/>
        <w:ind w:left="312"/>
        <w:jc w:val="center"/>
        <w:rPr>
          <w:rtl/>
        </w:rPr>
      </w:pPr>
      <w:r>
        <w:rPr>
          <w:noProof/>
          <w:rtl/>
        </w:rPr>
        <w:drawing>
          <wp:inline distT="0" distB="0" distL="0" distR="0">
            <wp:extent cx="4404369" cy="2359157"/>
            <wp:effectExtent l="0" t="0" r="0" b="317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7336" name="commercial-health-insurance-g-28.png"/>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04369" cy="2359157"/>
                    </a:xfrm>
                    <a:prstGeom prst="rect">
                      <a:avLst/>
                    </a:prstGeom>
                  </pic:spPr>
                </pic:pic>
              </a:graphicData>
            </a:graphic>
          </wp:inline>
        </w:drawing>
      </w:r>
    </w:p>
    <w:p w:rsidR="00FA3E7D" w:rsidRPr="00AA5FE2" w:rsidP="00B02EE3">
      <w:pPr>
        <w:spacing w:line="269" w:lineRule="auto"/>
        <w:ind w:left="312"/>
        <w:jc w:val="left"/>
        <w:rPr>
          <w:sz w:val="22"/>
          <w:szCs w:val="22"/>
          <w:rtl/>
        </w:rPr>
      </w:pPr>
      <w:r w:rsidRPr="00AA5FE2">
        <w:rPr>
          <w:rFonts w:hint="cs"/>
          <w:sz w:val="22"/>
          <w:szCs w:val="22"/>
          <w:rtl/>
        </w:rPr>
        <w:t>מקור: נתוני רשות שוק ההון, בעיבוד משרד מבקר המדינה</w:t>
      </w:r>
      <w:r w:rsidR="006C3FAD">
        <w:rPr>
          <w:rFonts w:hint="cs"/>
          <w:sz w:val="22"/>
          <w:szCs w:val="22"/>
          <w:rtl/>
        </w:rPr>
        <w:t>.</w:t>
      </w:r>
    </w:p>
    <w:p w:rsidR="00FA3E7D" w:rsidRPr="002B5E33" w:rsidP="00FA3E7D">
      <w:pPr>
        <w:pStyle w:val="a"/>
        <w:spacing w:line="269" w:lineRule="auto"/>
        <w:rPr>
          <w:rtl/>
        </w:rPr>
      </w:pPr>
    </w:p>
    <w:p w:rsidR="00FA3E7D" w:rsidRPr="002B5E33" w:rsidP="00FA3E7D">
      <w:pPr>
        <w:spacing w:line="269" w:lineRule="auto"/>
      </w:pPr>
      <w:r w:rsidRPr="002B5E33">
        <w:rPr>
          <w:rFonts w:hint="cs"/>
          <w:b/>
          <w:bCs/>
          <w:rtl/>
        </w:rPr>
        <w:t>אף שמבחינת הציונים לגבי מהירות הטיפול בתביעות של החברות בתחום ביטוחי הבריאות בשנים 2014 -</w:t>
      </w:r>
      <w:r w:rsidR="00466529">
        <w:rPr>
          <w:rFonts w:hint="cs"/>
          <w:b/>
          <w:bCs/>
          <w:rtl/>
        </w:rPr>
        <w:t xml:space="preserve"> </w:t>
      </w:r>
      <w:r w:rsidRPr="002B5E33">
        <w:rPr>
          <w:rFonts w:hint="cs"/>
          <w:b/>
          <w:bCs/>
          <w:rtl/>
        </w:rPr>
        <w:t xml:space="preserve">2018, עולה מגמת שיפור כללית, הבחינה גם מעלה חוסר יציבות של הדירוג היחסי של החברות משנה לשנה. עובדה זו, וכן ההטיות העלולות להיגרם בחישוב כאמור לעיל, מעצימות את הקושי להשתמש ברכיב זה במדד ככלי לבחירת חברת ביטוח לרכישת ביטוח בריאות, שנועד מלכתחילה לטווח ארוך. </w:t>
      </w:r>
    </w:p>
    <w:p w:rsidR="00FA3E7D" w:rsidRPr="002B5E33" w:rsidP="00FA3E7D">
      <w:pPr>
        <w:pStyle w:val="a"/>
        <w:spacing w:line="269" w:lineRule="auto"/>
        <w:rPr>
          <w:rtl/>
        </w:rPr>
      </w:pPr>
    </w:p>
    <w:p w:rsidR="00FA3E7D" w:rsidRPr="002B5E33" w:rsidP="00FA3E7D">
      <w:pPr>
        <w:pStyle w:val="Heading4"/>
        <w:spacing w:before="0" w:line="269" w:lineRule="auto"/>
        <w:rPr>
          <w:rtl/>
        </w:rPr>
      </w:pPr>
      <w:r w:rsidRPr="002B5E33">
        <w:rPr>
          <w:rFonts w:hint="cs"/>
          <w:rtl/>
        </w:rPr>
        <w:t>רכיב הטיפול בלקוחות</w:t>
      </w:r>
    </w:p>
    <w:p w:rsidR="00FA3E7D" w:rsidP="00FA3E7D">
      <w:pPr>
        <w:pStyle w:val="a"/>
        <w:rPr>
          <w:rtl/>
        </w:rPr>
      </w:pPr>
    </w:p>
    <w:p w:rsidR="00FA3E7D" w:rsidRPr="002B5E33" w:rsidP="00FA3E7D">
      <w:pPr>
        <w:spacing w:line="269" w:lineRule="auto"/>
        <w:rPr>
          <w:rtl/>
        </w:rPr>
      </w:pPr>
      <w:r w:rsidRPr="002B5E33">
        <w:rPr>
          <w:rFonts w:hint="cs"/>
          <w:rtl/>
        </w:rPr>
        <w:t xml:space="preserve">רכיב הטיפול בלקוחות מהווה, החל משנת 2015, 30% מהציון הסופי של חברות הביטוח במדד השירות. רכיב זה נועד לשקף את מידת שביעות הרצון של הלקוחות מטיפול חברת הביטוח בפניות אליה, ואת נכונותם להמליץ על החברה. המידע הרלוונטי נאסף על ידי חברה חיצונית הפועלת עבור רשות שוק ההון, ומבצעת סקר בקרב לקוחות שפנו לחברות הביטוח.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על פי הנחיית רשות שוק ההון, חברות הביטוח מעבירות, אחת לחודש, קובץ הכולל את פרטי הלקוחות שפנו לחברה או שבוצעה עבורם פעולה.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בתרשים להלן, ציוני רכיב הטיפול בלקוחות במדד השירות בתחום ביטוחי הבריאות בשנים 2018-2014:</w:t>
      </w:r>
    </w:p>
    <w:p w:rsidR="00FA3E7D" w:rsidRPr="002B5E33" w:rsidP="00FA3E7D">
      <w:pPr>
        <w:pStyle w:val="a"/>
        <w:spacing w:line="269" w:lineRule="auto"/>
        <w:rPr>
          <w:rtl/>
        </w:rPr>
      </w:pPr>
    </w:p>
    <w:p w:rsidR="00FA3E7D" w:rsidRPr="002B5E33" w:rsidP="00B02EE3">
      <w:pPr>
        <w:spacing w:line="269" w:lineRule="auto"/>
        <w:jc w:val="center"/>
        <w:rPr>
          <w:b/>
          <w:bCs/>
          <w:rtl/>
        </w:rPr>
      </w:pPr>
      <w:r w:rsidRPr="002B5E33">
        <w:rPr>
          <w:rFonts w:hint="eastAsia"/>
          <w:b/>
          <w:bCs/>
          <w:rtl/>
        </w:rPr>
        <w:t>תרשים</w:t>
      </w:r>
      <w:r w:rsidRPr="002B5E33">
        <w:rPr>
          <w:b/>
          <w:bCs/>
          <w:rtl/>
        </w:rPr>
        <w:t xml:space="preserve"> </w:t>
      </w:r>
      <w:r w:rsidRPr="002B5E33">
        <w:rPr>
          <w:rFonts w:hint="cs"/>
          <w:b/>
          <w:bCs/>
          <w:rtl/>
        </w:rPr>
        <w:t>29</w:t>
      </w:r>
      <w:r w:rsidR="00B02EE3">
        <w:rPr>
          <w:rFonts w:hint="cs"/>
          <w:b/>
          <w:bCs/>
          <w:rtl/>
        </w:rPr>
        <w:t xml:space="preserve">: </w:t>
      </w:r>
      <w:r w:rsidRPr="002B5E33">
        <w:rPr>
          <w:rFonts w:hint="eastAsia"/>
          <w:b/>
          <w:bCs/>
          <w:rtl/>
        </w:rPr>
        <w:t>ניקוד</w:t>
      </w:r>
      <w:r w:rsidRPr="002B5E33">
        <w:rPr>
          <w:b/>
          <w:bCs/>
          <w:rtl/>
        </w:rPr>
        <w:t xml:space="preserve"> </w:t>
      </w:r>
      <w:r w:rsidRPr="002B5E33">
        <w:rPr>
          <w:rFonts w:hint="eastAsia"/>
          <w:b/>
          <w:bCs/>
          <w:rtl/>
        </w:rPr>
        <w:t>חברות</w:t>
      </w:r>
      <w:r w:rsidRPr="002B5E33">
        <w:rPr>
          <w:b/>
          <w:bCs/>
          <w:rtl/>
        </w:rPr>
        <w:t xml:space="preserve"> </w:t>
      </w:r>
      <w:r w:rsidRPr="002B5E33">
        <w:rPr>
          <w:rFonts w:hint="eastAsia"/>
          <w:b/>
          <w:bCs/>
          <w:rtl/>
        </w:rPr>
        <w:t>הביטוח</w:t>
      </w:r>
      <w:r w:rsidRPr="002B5E33">
        <w:rPr>
          <w:b/>
          <w:bCs/>
          <w:rtl/>
        </w:rPr>
        <w:t xml:space="preserve"> </w:t>
      </w:r>
      <w:r w:rsidRPr="002B5E33">
        <w:rPr>
          <w:rFonts w:hint="eastAsia"/>
          <w:b/>
          <w:bCs/>
          <w:rtl/>
        </w:rPr>
        <w:t>ברכיב</w:t>
      </w:r>
      <w:r w:rsidRPr="002B5E33">
        <w:rPr>
          <w:b/>
          <w:bCs/>
          <w:rtl/>
        </w:rPr>
        <w:t xml:space="preserve"> </w:t>
      </w:r>
      <w:r w:rsidRPr="002B5E33">
        <w:rPr>
          <w:rFonts w:hint="cs"/>
          <w:b/>
          <w:bCs/>
          <w:rtl/>
        </w:rPr>
        <w:t>ה</w:t>
      </w:r>
      <w:r w:rsidRPr="002B5E33">
        <w:rPr>
          <w:rFonts w:hint="eastAsia"/>
          <w:b/>
          <w:bCs/>
          <w:rtl/>
        </w:rPr>
        <w:t>טיפול</w:t>
      </w:r>
      <w:r w:rsidRPr="002B5E33">
        <w:rPr>
          <w:b/>
          <w:bCs/>
          <w:rtl/>
        </w:rPr>
        <w:t xml:space="preserve"> </w:t>
      </w:r>
      <w:r w:rsidRPr="002B5E33">
        <w:rPr>
          <w:rFonts w:hint="eastAsia"/>
          <w:b/>
          <w:bCs/>
          <w:rtl/>
        </w:rPr>
        <w:t>בלקוחות</w:t>
      </w:r>
      <w:r w:rsidRPr="002B5E33">
        <w:rPr>
          <w:b/>
          <w:bCs/>
          <w:rtl/>
        </w:rPr>
        <w:t xml:space="preserve"> </w:t>
      </w:r>
      <w:r w:rsidRPr="002B5E33">
        <w:rPr>
          <w:rFonts w:hint="eastAsia"/>
          <w:b/>
          <w:bCs/>
          <w:rtl/>
        </w:rPr>
        <w:t>במדד</w:t>
      </w:r>
      <w:r w:rsidRPr="002B5E33">
        <w:rPr>
          <w:b/>
          <w:bCs/>
          <w:rtl/>
        </w:rPr>
        <w:t xml:space="preserve"> </w:t>
      </w:r>
      <w:r w:rsidRPr="002B5E33">
        <w:rPr>
          <w:rFonts w:hint="eastAsia"/>
          <w:b/>
          <w:bCs/>
          <w:rtl/>
        </w:rPr>
        <w:t>השירות</w:t>
      </w:r>
      <w:r w:rsidRPr="002B5E33">
        <w:rPr>
          <w:b/>
          <w:bCs/>
          <w:rtl/>
        </w:rPr>
        <w:t xml:space="preserve"> </w:t>
      </w:r>
    </w:p>
    <w:p w:rsidR="00FA3E7D" w:rsidP="00FA3E7D">
      <w:pPr>
        <w:spacing w:line="269" w:lineRule="auto"/>
        <w:jc w:val="center"/>
        <w:rPr>
          <w:noProof/>
          <w:rtl/>
        </w:rPr>
      </w:pPr>
      <w:r w:rsidRPr="002B5E33">
        <w:rPr>
          <w:rFonts w:hint="eastAsia"/>
          <w:b/>
          <w:bCs/>
          <w:rtl/>
        </w:rPr>
        <w:t>בתחום</w:t>
      </w:r>
      <w:r w:rsidRPr="002B5E33">
        <w:rPr>
          <w:b/>
          <w:bCs/>
          <w:rtl/>
        </w:rPr>
        <w:t xml:space="preserve"> </w:t>
      </w:r>
      <w:r w:rsidRPr="002B5E33">
        <w:rPr>
          <w:rFonts w:hint="eastAsia"/>
          <w:b/>
          <w:bCs/>
          <w:rtl/>
        </w:rPr>
        <w:t>ביטוחי</w:t>
      </w:r>
      <w:r w:rsidRPr="002B5E33">
        <w:rPr>
          <w:b/>
          <w:bCs/>
          <w:rtl/>
        </w:rPr>
        <w:t xml:space="preserve"> </w:t>
      </w:r>
      <w:r w:rsidRPr="002B5E33">
        <w:rPr>
          <w:rFonts w:hint="eastAsia"/>
          <w:b/>
          <w:bCs/>
          <w:rtl/>
        </w:rPr>
        <w:t>הבריאות</w:t>
      </w:r>
      <w:r w:rsidRPr="002B5E33">
        <w:rPr>
          <w:b/>
          <w:bCs/>
          <w:rtl/>
        </w:rPr>
        <w:t xml:space="preserve"> </w:t>
      </w:r>
      <w:r w:rsidRPr="002B5E33">
        <w:rPr>
          <w:rFonts w:hint="eastAsia"/>
          <w:b/>
          <w:bCs/>
          <w:rtl/>
        </w:rPr>
        <w:t>בשנים</w:t>
      </w:r>
      <w:r w:rsidRPr="002B5E33">
        <w:rPr>
          <w:b/>
          <w:bCs/>
          <w:rtl/>
        </w:rPr>
        <w:t xml:space="preserve"> 2018-2014</w:t>
      </w:r>
    </w:p>
    <w:p w:rsidR="00B02EE3" w:rsidRPr="002B5E33" w:rsidP="00B02EE3">
      <w:pPr>
        <w:spacing w:before="120" w:after="120" w:line="269" w:lineRule="auto"/>
        <w:jc w:val="center"/>
        <w:rPr>
          <w:rtl/>
        </w:rPr>
      </w:pPr>
      <w:r>
        <w:rPr>
          <w:noProof/>
          <w:rtl/>
        </w:rPr>
        <w:drawing>
          <wp:inline distT="0" distB="0" distL="0" distR="0">
            <wp:extent cx="4404369" cy="2359157"/>
            <wp:effectExtent l="0" t="0" r="0" b="317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62782" name="commercial-health-insurance-g-29.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04369" cy="2359157"/>
                    </a:xfrm>
                    <a:prstGeom prst="rect">
                      <a:avLst/>
                    </a:prstGeom>
                  </pic:spPr>
                </pic:pic>
              </a:graphicData>
            </a:graphic>
          </wp:inline>
        </w:drawing>
      </w:r>
    </w:p>
    <w:p w:rsidR="00FA3E7D" w:rsidRPr="00AA5FE2" w:rsidP="009D4A2C">
      <w:pPr>
        <w:spacing w:line="269" w:lineRule="auto"/>
        <w:jc w:val="center"/>
        <w:rPr>
          <w:sz w:val="22"/>
          <w:szCs w:val="22"/>
          <w:rtl/>
        </w:rPr>
      </w:pPr>
      <w:r w:rsidRPr="00AA5FE2">
        <w:rPr>
          <w:rFonts w:hint="cs"/>
          <w:sz w:val="22"/>
          <w:szCs w:val="22"/>
          <w:rtl/>
        </w:rPr>
        <w:t>מקור: דוחות שנתיים של רשות שוק ההון, בעיבוד משרד מבקר המדינה</w:t>
      </w:r>
      <w:r w:rsidR="006C3FAD">
        <w:rPr>
          <w:rFonts w:hint="cs"/>
          <w:sz w:val="22"/>
          <w:szCs w:val="22"/>
          <w:rtl/>
        </w:rPr>
        <w:t>.</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מהתרשים לעיל ניתן להתרשם כי קיימת לכאורה מגמת שיפור בציון שביעות הרצון של לקוחות חברות הביטוח בתחום ביטוחי הבריאות בשנים אלו. עם זאת, התמונה המוצגת בו מראה מגמה ברורה של אחידות באופי השינוי בציוני החברות משנה לשנה, כלומר מגמת העלייה או הירידה בציונים אחידה לכל החברות.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רשות שוק ההון ציינה בתגובתה כי במהלך השנים היא ביצעה שינויים באופן המדידה, שחלו על כל החברות באופן אחיד, בליווי ייעוץ מקצועי ובמטרה לנטרל הטיות של שיטת המדידה על התוצאות. לדברי הרשות שינויים אלו שיפרו את אמינות התוצאות, וכראיה לכך </w:t>
      </w:r>
      <w:r w:rsidRPr="002B5E33">
        <w:rPr>
          <w:rtl/>
        </w:rPr>
        <w:t>–</w:t>
      </w:r>
      <w:r w:rsidRPr="002B5E33">
        <w:rPr>
          <w:rFonts w:hint="cs"/>
          <w:rtl/>
        </w:rPr>
        <w:t xml:space="preserve"> טענה הרשות כי "עדיין רואים שינויים בדירוג בין החברות בשנים הנמדדות". הרשות טענה כי במהלך השנים מצאה "כי למדדי השירות אפקטיביות רבה ביותר והמדדים שיפרו משמעותית את איכות השירות".</w:t>
      </w:r>
    </w:p>
    <w:p w:rsidR="00FA3E7D" w:rsidRPr="002B5E33" w:rsidP="00FA3E7D">
      <w:pPr>
        <w:pStyle w:val="a"/>
        <w:spacing w:line="269" w:lineRule="auto"/>
        <w:rPr>
          <w:rtl/>
        </w:rPr>
      </w:pPr>
    </w:p>
    <w:p w:rsidR="00FA3E7D" w:rsidRPr="002B5E33" w:rsidP="00FA3E7D">
      <w:pPr>
        <w:pStyle w:val="Heading5"/>
        <w:spacing w:line="269" w:lineRule="auto"/>
        <w:rPr>
          <w:rtl/>
        </w:rPr>
      </w:pPr>
      <w:r w:rsidRPr="002B5E33">
        <w:rPr>
          <w:rFonts w:hint="cs"/>
          <w:rtl/>
        </w:rPr>
        <w:t>פערים בין המידע שמעבירות חברות הביטוח לחברה הסוקרת לבין המידע הנאסף במסגרת הסקר</w:t>
      </w:r>
    </w:p>
    <w:p w:rsidR="00FA3E7D" w:rsidP="00FA3E7D">
      <w:pPr>
        <w:pStyle w:val="a"/>
        <w:rPr>
          <w:rtl/>
        </w:rPr>
      </w:pPr>
    </w:p>
    <w:p w:rsidR="00FA3E7D" w:rsidRPr="002B5E33" w:rsidP="00FA3E7D">
      <w:pPr>
        <w:spacing w:line="269" w:lineRule="auto"/>
        <w:rPr>
          <w:rtl/>
        </w:rPr>
      </w:pPr>
      <w:r w:rsidRPr="002B5E33">
        <w:rPr>
          <w:rFonts w:hint="cs"/>
          <w:rtl/>
        </w:rPr>
        <w:t>חברות הביטוח מעבירות לחברה המבצעת את הסקר מידע בדבר הפעולה שביקש הלקוח לבצע, פרטיו האישיים ואופן ביצוע הפנייה לחברה. במסגרת הסקר, נוסף על שאלות בדבר מידת שביעות הרצון מהשירות שקיבלו, מתבקשים הנסקרים למסור מידע בדבר אופן פנייתם לחברה, מהות הפנייה, מספר הפעמים שפנו, ואם הטיפול בפנייתם הסתיים.</w:t>
      </w:r>
    </w:p>
    <w:p w:rsidR="00AA5FE2">
      <w:pPr>
        <w:bidi w:val="0"/>
        <w:spacing w:after="200" w:line="276" w:lineRule="auto"/>
        <w:rPr>
          <w:szCs w:val="20"/>
          <w:rtl/>
        </w:rPr>
      </w:pPr>
      <w:r>
        <w:rPr>
          <w:rtl/>
        </w:rPr>
        <w:br w:type="page"/>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בתרשים להלן, פירוט סוגי הפניות עליהם דיווחו הלקוחות שנסקרו בתחום ביטוחי הבריאות בשנת 2018.</w:t>
      </w:r>
    </w:p>
    <w:p w:rsidR="00FA3E7D" w:rsidRPr="002B5E33" w:rsidP="00FA3E7D">
      <w:pPr>
        <w:pStyle w:val="a"/>
        <w:spacing w:line="269" w:lineRule="auto"/>
        <w:rPr>
          <w:rtl/>
        </w:rPr>
      </w:pPr>
    </w:p>
    <w:p w:rsidR="00FA3E7D" w:rsidRPr="00FF3629" w:rsidP="00FF3629">
      <w:pPr>
        <w:spacing w:line="269" w:lineRule="auto"/>
        <w:ind w:left="360"/>
        <w:jc w:val="center"/>
        <w:rPr>
          <w:b/>
          <w:bCs/>
          <w:rtl/>
        </w:rPr>
      </w:pPr>
      <w:r w:rsidRPr="002B5E33">
        <w:rPr>
          <w:rFonts w:hint="cs"/>
          <w:b/>
          <w:bCs/>
          <w:rtl/>
        </w:rPr>
        <w:t>תרשים 30</w:t>
      </w:r>
      <w:r w:rsidR="00FF3629">
        <w:rPr>
          <w:rFonts w:hint="cs"/>
          <w:b/>
          <w:bCs/>
          <w:rtl/>
        </w:rPr>
        <w:t xml:space="preserve">: </w:t>
      </w:r>
      <w:r w:rsidRPr="002B5E33">
        <w:rPr>
          <w:rFonts w:hint="eastAsia"/>
          <w:b/>
          <w:bCs/>
          <w:rtl/>
        </w:rPr>
        <w:t>סוגי</w:t>
      </w:r>
      <w:r w:rsidRPr="002B5E33">
        <w:rPr>
          <w:b/>
          <w:bCs/>
          <w:rtl/>
        </w:rPr>
        <w:t xml:space="preserve"> </w:t>
      </w:r>
      <w:r w:rsidRPr="002B5E33">
        <w:rPr>
          <w:rFonts w:hint="cs"/>
          <w:b/>
          <w:bCs/>
          <w:rtl/>
        </w:rPr>
        <w:t>הפניות</w:t>
      </w:r>
      <w:r w:rsidRPr="002B5E33">
        <w:rPr>
          <w:b/>
          <w:bCs/>
          <w:rtl/>
        </w:rPr>
        <w:t xml:space="preserve"> </w:t>
      </w:r>
      <w:r w:rsidRPr="002B5E33">
        <w:rPr>
          <w:rFonts w:hint="eastAsia"/>
          <w:b/>
          <w:bCs/>
          <w:rtl/>
        </w:rPr>
        <w:t>שדווחו</w:t>
      </w:r>
      <w:r w:rsidRPr="002B5E33">
        <w:rPr>
          <w:b/>
          <w:bCs/>
          <w:rtl/>
        </w:rPr>
        <w:t xml:space="preserve"> </w:t>
      </w:r>
      <w:r w:rsidRPr="002B5E33">
        <w:rPr>
          <w:rFonts w:hint="eastAsia"/>
          <w:b/>
          <w:bCs/>
          <w:rtl/>
        </w:rPr>
        <w:t>על</w:t>
      </w:r>
      <w:r w:rsidRPr="002B5E33">
        <w:rPr>
          <w:b/>
          <w:bCs/>
          <w:rtl/>
        </w:rPr>
        <w:t xml:space="preserve"> </w:t>
      </w:r>
      <w:r w:rsidRPr="002B5E33">
        <w:rPr>
          <w:rFonts w:hint="eastAsia"/>
          <w:b/>
          <w:bCs/>
          <w:rtl/>
        </w:rPr>
        <w:t>ידי</w:t>
      </w:r>
      <w:r w:rsidRPr="002B5E33">
        <w:rPr>
          <w:b/>
          <w:bCs/>
          <w:rtl/>
        </w:rPr>
        <w:t xml:space="preserve"> </w:t>
      </w:r>
      <w:r w:rsidRPr="002B5E33">
        <w:rPr>
          <w:rFonts w:hint="eastAsia"/>
          <w:b/>
          <w:bCs/>
          <w:rtl/>
        </w:rPr>
        <w:t>לקוחות</w:t>
      </w:r>
      <w:r w:rsidRPr="002B5E33">
        <w:rPr>
          <w:b/>
          <w:bCs/>
          <w:rtl/>
        </w:rPr>
        <w:t xml:space="preserve"> </w:t>
      </w:r>
      <w:r w:rsidRPr="002B5E33">
        <w:rPr>
          <w:rFonts w:hint="eastAsia"/>
          <w:b/>
          <w:bCs/>
          <w:rtl/>
        </w:rPr>
        <w:t>שנסקרו</w:t>
      </w:r>
      <w:r w:rsidRPr="002B5E33">
        <w:rPr>
          <w:b/>
          <w:bCs/>
          <w:rtl/>
        </w:rPr>
        <w:t xml:space="preserve"> </w:t>
      </w:r>
      <w:r w:rsidRPr="002B5E33">
        <w:rPr>
          <w:rFonts w:hint="eastAsia"/>
          <w:b/>
          <w:bCs/>
          <w:rtl/>
        </w:rPr>
        <w:t>בתחום</w:t>
      </w:r>
      <w:r w:rsidRPr="002B5E33">
        <w:rPr>
          <w:b/>
          <w:bCs/>
          <w:rtl/>
        </w:rPr>
        <w:t xml:space="preserve"> </w:t>
      </w:r>
      <w:r w:rsidRPr="002B5E33">
        <w:rPr>
          <w:rFonts w:hint="eastAsia"/>
          <w:b/>
          <w:bCs/>
          <w:rtl/>
        </w:rPr>
        <w:t>ביטוחי</w:t>
      </w:r>
      <w:r w:rsidRPr="002B5E33">
        <w:rPr>
          <w:b/>
          <w:bCs/>
          <w:rtl/>
        </w:rPr>
        <w:t xml:space="preserve"> </w:t>
      </w:r>
      <w:r w:rsidRPr="002B5E33">
        <w:rPr>
          <w:rFonts w:hint="eastAsia"/>
          <w:b/>
          <w:bCs/>
          <w:rtl/>
        </w:rPr>
        <w:t>הבריאות</w:t>
      </w:r>
      <w:r w:rsidR="00FF3629">
        <w:rPr>
          <w:rFonts w:hint="cs"/>
          <w:b/>
          <w:bCs/>
          <w:rtl/>
        </w:rPr>
        <w:br/>
      </w:r>
      <w:r w:rsidRPr="002B5E33">
        <w:rPr>
          <w:rFonts w:hint="eastAsia"/>
          <w:b/>
          <w:bCs/>
          <w:rtl/>
        </w:rPr>
        <w:t>בשנת</w:t>
      </w:r>
      <w:r w:rsidRPr="002B5E33">
        <w:rPr>
          <w:b/>
          <w:bCs/>
          <w:rtl/>
        </w:rPr>
        <w:t xml:space="preserve"> 2018</w:t>
      </w:r>
    </w:p>
    <w:p w:rsidR="00FA3E7D" w:rsidRPr="002B5E33" w:rsidP="00FA3E7D">
      <w:pPr>
        <w:spacing w:line="269" w:lineRule="auto"/>
        <w:jc w:val="center"/>
        <w:rPr>
          <w:rtl/>
        </w:rPr>
      </w:pPr>
      <w:r>
        <w:rPr>
          <w:noProof/>
          <w:rtl/>
        </w:rPr>
        <w:drawing>
          <wp:inline distT="0" distB="0" distL="0" distR="0">
            <wp:extent cx="4104132" cy="6012180"/>
            <wp:effectExtent l="0" t="0" r="0" b="762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95135" name="ביטוחי בריאות גל.jp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04132" cy="6012180"/>
                    </a:xfrm>
                    <a:prstGeom prst="rect">
                      <a:avLst/>
                    </a:prstGeom>
                  </pic:spPr>
                </pic:pic>
              </a:graphicData>
            </a:graphic>
          </wp:inline>
        </w:drawing>
      </w:r>
    </w:p>
    <w:p w:rsidR="00FA3E7D" w:rsidRPr="00AA5FE2" w:rsidP="00E43766">
      <w:pPr>
        <w:spacing w:before="120" w:line="269" w:lineRule="auto"/>
        <w:jc w:val="left"/>
        <w:rPr>
          <w:sz w:val="22"/>
          <w:szCs w:val="22"/>
          <w:rtl/>
        </w:rPr>
      </w:pPr>
      <w:r w:rsidRPr="00AA5FE2">
        <w:rPr>
          <w:rFonts w:hint="cs"/>
          <w:sz w:val="22"/>
          <w:szCs w:val="22"/>
          <w:rtl/>
        </w:rPr>
        <w:t>מקור: נתוני רשות שוק ההון, בעיבוד משרד מבקר המדינה</w:t>
      </w:r>
      <w:r w:rsidR="006C3FAD">
        <w:rPr>
          <w:rFonts w:hint="cs"/>
          <w:sz w:val="22"/>
          <w:szCs w:val="22"/>
          <w:rtl/>
        </w:rPr>
        <w:t>.</w:t>
      </w:r>
    </w:p>
    <w:p w:rsidR="00FA3E7D" w:rsidRPr="002B5E33" w:rsidP="00FA3E7D">
      <w:pPr>
        <w:pStyle w:val="a"/>
        <w:spacing w:line="269" w:lineRule="auto"/>
        <w:rPr>
          <w:rtl/>
        </w:rPr>
      </w:pPr>
    </w:p>
    <w:p w:rsidR="00FA3E7D" w:rsidRPr="002B5E33" w:rsidP="00FA3E7D">
      <w:pPr>
        <w:pStyle w:val="ListParagraph"/>
        <w:spacing w:after="0" w:line="269" w:lineRule="auto"/>
        <w:ind w:left="0"/>
        <w:jc w:val="both"/>
        <w:rPr>
          <w:rFonts w:cs="David"/>
          <w:sz w:val="24"/>
          <w:szCs w:val="24"/>
        </w:rPr>
      </w:pPr>
      <w:r w:rsidRPr="002B5E33">
        <w:rPr>
          <w:rFonts w:cs="David" w:hint="cs"/>
          <w:sz w:val="24"/>
          <w:szCs w:val="24"/>
          <w:rtl/>
        </w:rPr>
        <w:t xml:space="preserve">תוצאות הסקר שערכה רשות שוק ההון בקרב לקוחות חברות הביטוח בתחום ביטוחי הבריאות בשנת 2018, נותחו על ידי משרד מבקר המדינה. הניתוח העלה כמה אי התאמות המעלות ספק בדבר נכונות הנתונים שהעבירו חברות הביטוח, או אלו שדווחו על ידי הלקוחות או שניהם גם יחד. </w:t>
      </w:r>
      <w:r w:rsidRPr="002B5E33">
        <w:rPr>
          <w:rFonts w:cs="David" w:hint="eastAsia"/>
          <w:sz w:val="24"/>
          <w:szCs w:val="24"/>
          <w:rtl/>
        </w:rPr>
        <w:t>כך</w:t>
      </w:r>
      <w:r w:rsidRPr="002B5E33">
        <w:rPr>
          <w:rFonts w:cs="David"/>
          <w:sz w:val="24"/>
          <w:szCs w:val="24"/>
          <w:rtl/>
        </w:rPr>
        <w:t xml:space="preserve"> </w:t>
      </w:r>
      <w:r w:rsidRPr="002B5E33">
        <w:rPr>
          <w:rFonts w:cs="David" w:hint="eastAsia"/>
          <w:sz w:val="24"/>
          <w:szCs w:val="24"/>
          <w:rtl/>
        </w:rPr>
        <w:t>לדוגמה</w:t>
      </w:r>
      <w:r w:rsidRPr="002B5E33">
        <w:rPr>
          <w:rFonts w:cs="David"/>
          <w:sz w:val="24"/>
          <w:szCs w:val="24"/>
          <w:rtl/>
        </w:rPr>
        <w:t xml:space="preserve">, מתוך 377 לקוחות שהחברות דיווחו כי פנו לשם פתיחת תביעה, 143 לקוחות דיווחו כי פנו לשם ביצוע פעולות אחרות; מתוך 272 לקוחות שדיווחו כי פנו לחברות לשם ביטול פוליסה, ב-146 מקרים דיווחו החברות כי מטרת הפנייה </w:t>
      </w:r>
      <w:r w:rsidRPr="002B5E33">
        <w:rPr>
          <w:rFonts w:cs="David" w:hint="eastAsia"/>
          <w:sz w:val="24"/>
          <w:szCs w:val="24"/>
          <w:rtl/>
        </w:rPr>
        <w:t>היתה</w:t>
      </w:r>
      <w:r w:rsidRPr="002B5E33">
        <w:rPr>
          <w:rFonts w:cs="David"/>
          <w:sz w:val="24"/>
          <w:szCs w:val="24"/>
          <w:rtl/>
        </w:rPr>
        <w:t xml:space="preserve"> שונה. מתוך 494 לקוחות שהחברות דיווחו כי </w:t>
      </w:r>
      <w:r w:rsidRPr="002B5E33">
        <w:rPr>
          <w:rFonts w:cs="David" w:hint="cs"/>
          <w:sz w:val="24"/>
          <w:szCs w:val="24"/>
          <w:rtl/>
        </w:rPr>
        <w:t>הפנייה אליהן נעשתה</w:t>
      </w:r>
      <w:r w:rsidRPr="002B5E33">
        <w:rPr>
          <w:rFonts w:cs="David"/>
          <w:sz w:val="24"/>
          <w:szCs w:val="24"/>
          <w:rtl/>
        </w:rPr>
        <w:t xml:space="preserve"> לשם ביצוע שינויים בפוליסה, 402 לקוחות דיווחו כי פנו לחברות למטרות אחרות</w:t>
      </w:r>
      <w:r w:rsidRPr="002B5E33">
        <w:rPr>
          <w:rFonts w:cs="David" w:hint="cs"/>
          <w:sz w:val="24"/>
          <w:szCs w:val="24"/>
          <w:rtl/>
        </w:rPr>
        <w:t>.</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בתשובת הרשות נכתב כי אי-ההתאמות בין דיווחי החברות לדיווחי הלקוחות נבדקים על ידי הרשות במסגרת הליך האזנה לשיחות מדי שנה, שבו מוזמנות החברות להקשיב לשיחות לדוגמה ולהעביר את המשוב שלהן על ליקויים באופן התשאול. הרשות ציינה כי "במהלך השנים </w:t>
      </w:r>
      <w:r w:rsidRPr="002B5E33">
        <w:rPr>
          <w:rtl/>
        </w:rPr>
        <w:t>–</w:t>
      </w:r>
      <w:r w:rsidRPr="002B5E33">
        <w:rPr>
          <w:rFonts w:hint="cs"/>
          <w:rtl/>
        </w:rPr>
        <w:t xml:space="preserve"> באופן עקבי, עולה, בין היתר, מתוך האזנה לשיחות, כי ישנם נשאלים אשר אינם יודעים את פרטי הפעולה שבוצעה עבורם: כך למשל, לקוחות של סוכנים לא פעם מופתעים לגלות שהם מבוטחים בחברה מסוימת שהעבירה את פרטיהם, לא מעט לקוחות אינם מכירים את המונחים המקצועיים המדויקים ואף טועים בשם הפוליסה שרכשו או הפעולה שביקשו לבצע, ישנם לקוחות שלא יודעים לומר בדיוק מה הפעולה שביצעו". הרשות הוסיפה כי יש לבחון את הרלוונטיות של אי-ההתאמות בין הדיווחים למטרת המדידה.</w:t>
      </w:r>
    </w:p>
    <w:p w:rsidR="00FA3E7D" w:rsidRPr="002B5E33" w:rsidP="00FA3E7D">
      <w:pPr>
        <w:pStyle w:val="a"/>
        <w:spacing w:line="269" w:lineRule="auto"/>
        <w:rPr>
          <w:rtl/>
        </w:rPr>
      </w:pPr>
    </w:p>
    <w:p w:rsidR="00FA3E7D" w:rsidRPr="002B5E33" w:rsidP="00FA3E7D">
      <w:pPr>
        <w:spacing w:line="269" w:lineRule="auto"/>
        <w:rPr>
          <w:sz w:val="24"/>
          <w:rtl/>
        </w:rPr>
      </w:pPr>
      <w:r w:rsidRPr="002B5E33">
        <w:rPr>
          <w:rFonts w:hint="cs"/>
          <w:rtl/>
        </w:rPr>
        <w:t xml:space="preserve">הרשות הוסיפה בתשובתה כי היא "פועלת מזה שנים על מנת להגביר את המודעות של הצרכנים בנוגע לזכויותיהם והידע המצוי בידיהם, וצודק המבקר בכך שקיימת עוד כברת דרך עד להשגת המטרה אך כיום לצורך המדדים הפיקוח בוחר להשתמש במידע האמין יותר שמצוי בידיו </w:t>
      </w:r>
      <w:r w:rsidRPr="002B5E33">
        <w:rPr>
          <w:rtl/>
        </w:rPr>
        <w:t>–</w:t>
      </w:r>
      <w:r w:rsidRPr="002B5E33">
        <w:rPr>
          <w:rFonts w:hint="cs"/>
          <w:rtl/>
        </w:rPr>
        <w:t xml:space="preserve"> דיווחי החברות".</w:t>
      </w:r>
    </w:p>
    <w:p w:rsidR="00FA3E7D" w:rsidRPr="002B5E33" w:rsidP="00FA3E7D">
      <w:pPr>
        <w:pStyle w:val="a"/>
        <w:spacing w:line="269" w:lineRule="auto"/>
      </w:pPr>
    </w:p>
    <w:p w:rsidR="00FA3E7D" w:rsidRPr="002B5E33" w:rsidP="00FA3E7D">
      <w:pPr>
        <w:spacing w:line="269" w:lineRule="auto"/>
        <w:rPr>
          <w:b/>
          <w:bCs/>
          <w:rtl/>
        </w:rPr>
      </w:pPr>
      <w:r w:rsidRPr="002B5E33">
        <w:rPr>
          <w:rFonts w:hint="cs"/>
          <w:b/>
          <w:bCs/>
          <w:rtl/>
        </w:rPr>
        <w:t>אי-התאמות כאמור</w:t>
      </w:r>
      <w:r>
        <w:rPr>
          <w:rFonts w:hint="cs"/>
          <w:b/>
          <w:bCs/>
          <w:rtl/>
        </w:rPr>
        <w:t xml:space="preserve"> </w:t>
      </w:r>
      <w:r w:rsidRPr="002B5E33">
        <w:rPr>
          <w:rFonts w:hint="cs"/>
          <w:b/>
          <w:bCs/>
          <w:rtl/>
        </w:rPr>
        <w:t>עלולות להעיד על כשל ברישום הפניות במערכות המידע של חברות הביטוח, או על דיווח לא מדויק של הלקוחות, או על כשל אחר בביצוע הסקר. משרד מבקר המדינה ממליץ</w:t>
      </w:r>
      <w:r>
        <w:rPr>
          <w:rFonts w:hint="cs"/>
          <w:b/>
          <w:bCs/>
          <w:rtl/>
        </w:rPr>
        <w:t xml:space="preserve"> </w:t>
      </w:r>
      <w:r w:rsidRPr="002B5E33">
        <w:rPr>
          <w:rFonts w:hint="cs"/>
          <w:b/>
          <w:bCs/>
          <w:rtl/>
        </w:rPr>
        <w:t xml:space="preserve">לרשות שוק ההון לפעול להתאמת הגדרת הפעולות הניתנות לדיווח על ידי חברות הביטוח והנסקרים, ולבחון </w:t>
      </w:r>
      <w:r w:rsidRPr="002B5E33">
        <w:rPr>
          <w:rFonts w:hint="eastAsia"/>
          <w:b/>
          <w:bCs/>
          <w:rtl/>
        </w:rPr>
        <w:t>את</w:t>
      </w:r>
      <w:r w:rsidRPr="002B5E33">
        <w:rPr>
          <w:rFonts w:hint="cs"/>
          <w:b/>
          <w:bCs/>
          <w:rtl/>
        </w:rPr>
        <w:t xml:space="preserve"> הסיבות לקיום פערים בין דיווחי החברות לדיווחי הלקוחות הנסקרים.</w:t>
      </w:r>
    </w:p>
    <w:p w:rsidR="00FA3E7D" w:rsidRPr="002B5E33" w:rsidP="00FA3E7D">
      <w:pPr>
        <w:pStyle w:val="a"/>
        <w:spacing w:line="269" w:lineRule="auto"/>
        <w:rPr>
          <w:rtl/>
        </w:rPr>
      </w:pPr>
    </w:p>
    <w:p w:rsidR="00FA3E7D" w:rsidRPr="002B5E33" w:rsidP="00FA3E7D">
      <w:pPr>
        <w:pStyle w:val="Heading5"/>
        <w:spacing w:line="269" w:lineRule="auto"/>
        <w:rPr>
          <w:rtl/>
        </w:rPr>
      </w:pPr>
      <w:r w:rsidRPr="002B5E33">
        <w:rPr>
          <w:rFonts w:hint="cs"/>
          <w:rtl/>
        </w:rPr>
        <w:t>הצגה מאוחדת של תוצאות הסקר של מבוטחים בביטוחי פרט ומבוטחים בביטוחים קבוצתיים</w:t>
      </w:r>
    </w:p>
    <w:p w:rsidR="00FA3E7D" w:rsidRPr="002B5E33" w:rsidP="00FA3E7D">
      <w:pPr>
        <w:pStyle w:val="a"/>
        <w:rPr>
          <w:rtl/>
        </w:rPr>
      </w:pPr>
    </w:p>
    <w:p w:rsidR="00FA3E7D" w:rsidRPr="002B5E33" w:rsidP="00FA3E7D">
      <w:pPr>
        <w:pStyle w:val="ListParagraph"/>
        <w:numPr>
          <w:ilvl w:val="0"/>
          <w:numId w:val="3"/>
        </w:numPr>
        <w:spacing w:after="0" w:line="269" w:lineRule="auto"/>
        <w:ind w:left="360"/>
        <w:jc w:val="both"/>
        <w:rPr>
          <w:rFonts w:cs="David"/>
          <w:sz w:val="24"/>
          <w:szCs w:val="24"/>
        </w:rPr>
      </w:pPr>
      <w:r w:rsidRPr="002B5E33">
        <w:rPr>
          <w:rFonts w:cs="David" w:hint="cs"/>
          <w:sz w:val="24"/>
          <w:szCs w:val="24"/>
          <w:rtl/>
        </w:rPr>
        <w:t>סקר שביעות הרצון שעל פיו נקבע ציון החברות ברכיב הטיפול בלקוחות מבוצע הן בקרב מבוטחים בביטוחי פרט והן בקרב מבוטחים בביטוחים קבוצתיים. בשנת 2018, מבין 2,506 מבוטחים שנסקרו, כ-69.8% מבוטחים היו מבוטחים בביטוחי פרט, כ-23.9% היו מבוטחים בביטוחים קבוצתיים, ול-6.2% מהמבוטחים לא נרשם מהו סוג הביטוח</w:t>
      </w:r>
      <w:r>
        <w:rPr>
          <w:rStyle w:val="FootnoteReference"/>
          <w:rFonts w:cs="David"/>
          <w:sz w:val="24"/>
          <w:szCs w:val="24"/>
          <w:rtl/>
        </w:rPr>
        <w:footnoteReference w:id="149"/>
      </w:r>
      <w:r w:rsidRPr="002B5E33">
        <w:rPr>
          <w:rFonts w:cs="David" w:hint="cs"/>
          <w:sz w:val="24"/>
          <w:szCs w:val="24"/>
          <w:rtl/>
        </w:rPr>
        <w:t>. יצוין כי לפי נתוני חברות הביטוח, מבין 175,296 תביעות ביטוח רפואי שבהן סיימו חברות הביטוח לטפל בשנת 2018, כ-50.9% היו של מבוטחים בביטוחי פרט ו-49.1% של מבוטחים בביטוחים קבוצתיים</w:t>
      </w:r>
      <w:r>
        <w:rPr>
          <w:rStyle w:val="FootnoteReference"/>
          <w:rFonts w:cs="David"/>
          <w:sz w:val="24"/>
          <w:szCs w:val="24"/>
          <w:rtl/>
        </w:rPr>
        <w:footnoteReference w:id="150"/>
      </w:r>
      <w:r w:rsidRPr="002B5E33">
        <w:rPr>
          <w:rFonts w:cs="David" w:hint="cs"/>
          <w:sz w:val="24"/>
          <w:szCs w:val="24"/>
          <w:rtl/>
        </w:rPr>
        <w:t>.</w:t>
      </w:r>
    </w:p>
    <w:p w:rsidR="00FA3E7D" w:rsidRPr="002B5E33" w:rsidP="00FA3E7D">
      <w:pPr>
        <w:pStyle w:val="a"/>
        <w:spacing w:line="269" w:lineRule="auto"/>
        <w:rPr>
          <w:rtl/>
        </w:rPr>
      </w:pPr>
    </w:p>
    <w:p w:rsidR="00FA3E7D" w:rsidRPr="002B5E33" w:rsidP="00FA3E7D">
      <w:pPr>
        <w:spacing w:line="269" w:lineRule="auto"/>
        <w:ind w:left="312"/>
        <w:rPr>
          <w:sz w:val="24"/>
          <w:rtl/>
        </w:rPr>
      </w:pPr>
      <w:r w:rsidRPr="002B5E33">
        <w:rPr>
          <w:rFonts w:hint="cs"/>
          <w:sz w:val="24"/>
          <w:rtl/>
        </w:rPr>
        <w:t>בתשובת הרשות נמסר כי בשנת 2018 מספר התביעות ששימש בסיס למדד השירות בתחום הבריאות היה 89,185, ולא נכללו בו תביעות בתחום ייעוץ ובדיקות "כיוון שהן תביעות קטנות שעשויות להטות את המדד".</w:t>
      </w:r>
    </w:p>
    <w:p w:rsidR="00FA3E7D" w:rsidRPr="002B5E33" w:rsidP="00FA3E7D">
      <w:pPr>
        <w:pStyle w:val="a"/>
        <w:spacing w:line="269" w:lineRule="auto"/>
        <w:rPr>
          <w:rtl/>
        </w:rPr>
      </w:pPr>
    </w:p>
    <w:p w:rsidR="00FA3E7D" w:rsidRPr="002B5E33" w:rsidP="00FA3E7D">
      <w:pPr>
        <w:pStyle w:val="ListParagraph"/>
        <w:numPr>
          <w:ilvl w:val="0"/>
          <w:numId w:val="3"/>
        </w:numPr>
        <w:spacing w:after="0" w:line="269" w:lineRule="auto"/>
        <w:ind w:left="360"/>
        <w:jc w:val="both"/>
        <w:rPr>
          <w:rFonts w:cs="David"/>
          <w:sz w:val="24"/>
          <w:szCs w:val="24"/>
          <w:rtl/>
        </w:rPr>
      </w:pPr>
      <w:r w:rsidRPr="002B5E33">
        <w:rPr>
          <w:rFonts w:cs="David" w:hint="cs"/>
          <w:sz w:val="24"/>
          <w:szCs w:val="24"/>
          <w:rtl/>
        </w:rPr>
        <w:t>אף שסביר כי קיים מתאם חיובי בין תוצאות פניית המבוטח לחברת הביטוח לבין מידת שביעות הרצון שלו, הדבר לא נבחן על ידי רשות שוק ההון</w:t>
      </w:r>
      <w:r>
        <w:rPr>
          <w:rStyle w:val="FootnoteReference"/>
          <w:rFonts w:cs="David"/>
          <w:sz w:val="24"/>
          <w:szCs w:val="24"/>
          <w:rtl/>
        </w:rPr>
        <w:footnoteReference w:id="151"/>
      </w:r>
      <w:r w:rsidRPr="002B5E33">
        <w:rPr>
          <w:rFonts w:cs="David" w:hint="cs"/>
          <w:sz w:val="24"/>
          <w:szCs w:val="24"/>
          <w:rtl/>
        </w:rPr>
        <w:t>. יש להניח כי לקוח שתביעתו מהחברה התקבלה יהיה שבע רצון במידה ניכרת יותר מלקוח שתביעתו</w:t>
      </w:r>
      <w:r>
        <w:rPr>
          <w:rFonts w:cs="David" w:hint="cs"/>
          <w:sz w:val="24"/>
          <w:szCs w:val="24"/>
          <w:rtl/>
        </w:rPr>
        <w:t xml:space="preserve"> </w:t>
      </w:r>
      <w:r w:rsidRPr="002B5E33">
        <w:rPr>
          <w:rFonts w:cs="David" w:hint="cs"/>
          <w:sz w:val="24"/>
          <w:szCs w:val="24"/>
          <w:rtl/>
        </w:rPr>
        <w:t>נדחתה. כמפורט בהמשך, מנתוני רשות שוק ההון עולה כי חברות הביטוח נוטות לאשר יותר תביעות בביטוחים קבוצתיים מאשר בביטוחים פרטיים.</w:t>
      </w:r>
    </w:p>
    <w:p w:rsidR="00FA3E7D" w:rsidRPr="002B5E33" w:rsidP="00FA3E7D">
      <w:pPr>
        <w:pStyle w:val="a"/>
        <w:spacing w:line="269" w:lineRule="auto"/>
        <w:rPr>
          <w:rtl/>
        </w:rPr>
      </w:pPr>
    </w:p>
    <w:p w:rsidR="00FA3E7D" w:rsidRPr="002B5E33" w:rsidP="00FA3E7D">
      <w:pPr>
        <w:spacing w:line="269" w:lineRule="auto"/>
        <w:ind w:left="312"/>
        <w:rPr>
          <w:rtl/>
        </w:rPr>
      </w:pPr>
      <w:r w:rsidRPr="002B5E33">
        <w:rPr>
          <w:rFonts w:hint="cs"/>
          <w:rtl/>
        </w:rPr>
        <w:t>בדיקת משרד מבקר המדינה העלתה כי בשנת 2018, מבין המבוטחים שפנו לחברות הביטוח לשם הגשת תביעה, בקרב מבוטחים בביטוחים קבוצתיים שביעות הרצון הייתה גבוהה (ציון ממוצע 5.4 מתוך 7) בהשוואה למבוטחים בביטוחי פרט (ציון ממוצע 5.1 מתוך 7), וכי בקרב אותה הקבוצה הנכונות להמליץ לחבר על החברה הייתה גדולה יותר (ציון ממוצע 5.33 מתוך 7) בהשוואה למבוטחים בביטוחי פרט (ציון ממוצע 5.06 מתוך 7).</w:t>
      </w:r>
    </w:p>
    <w:p w:rsidR="00FA3E7D" w:rsidRPr="002B5E33" w:rsidP="00FA3E7D">
      <w:pPr>
        <w:pStyle w:val="a"/>
        <w:spacing w:line="269" w:lineRule="auto"/>
        <w:rPr>
          <w:rtl/>
        </w:rPr>
      </w:pPr>
    </w:p>
    <w:p w:rsidR="00FA3E7D" w:rsidRPr="002B5E33" w:rsidP="00FA3E7D">
      <w:pPr>
        <w:spacing w:line="269" w:lineRule="auto"/>
        <w:ind w:left="312"/>
        <w:rPr>
          <w:rtl/>
        </w:rPr>
      </w:pPr>
      <w:r w:rsidRPr="002B5E33">
        <w:rPr>
          <w:rFonts w:hint="cs"/>
          <w:rtl/>
        </w:rPr>
        <w:t>רשות שוק ההון טענה בתשובתה כי הפערים בין שביעות הרצון של המבוטחים בביטוחים קבוצתיים לזו של המבוטחים בביטוחים פרטיים, כמפורט לעיל, אינם משפיעים בצורה קיצונית על ציוני שביעות הרצון. עוד העירה הרשות כי יש לבחון את כלל סוגי הפניות של המבוטחים ולא רק את אלו שפנו לשם הגשת תביעה.</w:t>
      </w:r>
    </w:p>
    <w:p w:rsidR="00FA3E7D" w:rsidRPr="002B5E33" w:rsidP="00FA3E7D">
      <w:pPr>
        <w:pStyle w:val="a"/>
        <w:spacing w:line="269" w:lineRule="auto"/>
        <w:rPr>
          <w:rtl/>
        </w:rPr>
      </w:pPr>
    </w:p>
    <w:p w:rsidR="00FA3E7D" w:rsidRPr="002B5E33" w:rsidP="00FA3E7D">
      <w:pPr>
        <w:spacing w:line="269" w:lineRule="auto"/>
        <w:rPr>
          <w:b/>
          <w:bCs/>
        </w:rPr>
      </w:pPr>
      <w:r w:rsidRPr="002B5E33">
        <w:rPr>
          <w:rFonts w:hint="cs"/>
          <w:b/>
          <w:bCs/>
          <w:rtl/>
        </w:rPr>
        <w:t>מומלץ לרשות לבחון את ההצדקה להצגה המאוחדת של נתוני שביעות רצון הלקוחות של מבוטחים בביטוחים פרטיים וביטוחים קבוצתיים כדי לספק מידע מועיל לציבור, הן ביחס לפונים לשם הגשת תביעה והן ביחס לשאר סוגי הפניות.</w:t>
      </w:r>
    </w:p>
    <w:p w:rsidR="00FA3E7D" w:rsidRPr="002B5E33" w:rsidP="00FA3E7D">
      <w:pPr>
        <w:pStyle w:val="a"/>
        <w:spacing w:line="269" w:lineRule="auto"/>
        <w:rPr>
          <w:rtl/>
        </w:rPr>
      </w:pPr>
    </w:p>
    <w:p w:rsidR="00FA3E7D" w:rsidRPr="002B5E33" w:rsidP="00FA3E7D">
      <w:pPr>
        <w:pStyle w:val="Heading5"/>
        <w:spacing w:line="269" w:lineRule="auto"/>
        <w:rPr>
          <w:rtl/>
        </w:rPr>
      </w:pPr>
      <w:r w:rsidRPr="002B5E33">
        <w:rPr>
          <w:rFonts w:hint="cs"/>
          <w:rtl/>
        </w:rPr>
        <w:t>הטיות סטטיסטיות אפשריות בתוצאות הסקר</w:t>
      </w:r>
    </w:p>
    <w:p w:rsidR="00FA3E7D" w:rsidRPr="002B5E33" w:rsidP="00FA3E7D">
      <w:pPr>
        <w:pStyle w:val="a"/>
        <w:rPr>
          <w:rtl/>
        </w:rPr>
      </w:pPr>
    </w:p>
    <w:p w:rsidR="00FA3E7D" w:rsidRPr="002B5E33" w:rsidP="00FA3E7D">
      <w:pPr>
        <w:spacing w:line="269" w:lineRule="auto"/>
        <w:rPr>
          <w:rtl/>
        </w:rPr>
      </w:pPr>
      <w:r w:rsidRPr="002B5E33">
        <w:rPr>
          <w:rFonts w:hint="cs"/>
          <w:rtl/>
        </w:rPr>
        <w:t>ניתוח נושאי הפנייה של הלקוחות שנסקרו בשנת 2018 העלה כי מרבית הפניות היו בנושאים האלה: הגשת תביעה (33.7%), רכישת פוליסה (11.6%), ביטול פוליסה (10.8%), עדכון פוליסה (9.2%), פניות בנושא גבייה או תשלומים (6.7%). עוד נמצא כי קיים קשר בין סוג פניית הלקוח ובין מידת שביעות רצונו מהחברה ונכונותו להמליץ עליה לאחרים.</w:t>
      </w:r>
    </w:p>
    <w:p w:rsidR="00FA3E7D" w:rsidRPr="002B5E33" w:rsidP="00FA3E7D">
      <w:pPr>
        <w:pStyle w:val="a"/>
        <w:spacing w:line="269" w:lineRule="auto"/>
        <w:rPr>
          <w:rtl/>
        </w:rPr>
      </w:pPr>
    </w:p>
    <w:p w:rsidR="00FA3E7D" w:rsidRPr="002B5E33" w:rsidP="00FA3E7D">
      <w:pPr>
        <w:spacing w:line="269" w:lineRule="auto"/>
        <w:jc w:val="center"/>
        <w:rPr>
          <w:b/>
          <w:bCs/>
          <w:rtl/>
        </w:rPr>
      </w:pPr>
    </w:p>
    <w:p w:rsidR="00FA3E7D" w:rsidRPr="00291546" w:rsidP="00291546">
      <w:pPr>
        <w:spacing w:line="269" w:lineRule="auto"/>
        <w:jc w:val="center"/>
        <w:rPr>
          <w:b/>
          <w:bCs/>
          <w:rtl/>
        </w:rPr>
      </w:pPr>
      <w:r w:rsidRPr="002B5E33">
        <w:rPr>
          <w:rFonts w:hint="eastAsia"/>
          <w:b/>
          <w:bCs/>
          <w:rtl/>
        </w:rPr>
        <w:t>תרשים</w:t>
      </w:r>
      <w:r w:rsidRPr="002B5E33">
        <w:rPr>
          <w:b/>
          <w:bCs/>
          <w:rtl/>
        </w:rPr>
        <w:t xml:space="preserve"> </w:t>
      </w:r>
      <w:r w:rsidRPr="002B5E33">
        <w:rPr>
          <w:rFonts w:hint="cs"/>
          <w:b/>
          <w:bCs/>
          <w:rtl/>
        </w:rPr>
        <w:t>31</w:t>
      </w:r>
      <w:r w:rsidR="00291546">
        <w:rPr>
          <w:rFonts w:hint="cs"/>
          <w:b/>
          <w:bCs/>
          <w:rtl/>
        </w:rPr>
        <w:t xml:space="preserve">: </w:t>
      </w:r>
      <w:r w:rsidRPr="002B5E33">
        <w:rPr>
          <w:rFonts w:hint="cs"/>
          <w:b/>
          <w:bCs/>
          <w:rtl/>
        </w:rPr>
        <w:t>מידת</w:t>
      </w:r>
      <w:r w:rsidRPr="002B5E33">
        <w:rPr>
          <w:b/>
          <w:bCs/>
          <w:rtl/>
        </w:rPr>
        <w:t xml:space="preserve"> </w:t>
      </w:r>
      <w:r w:rsidRPr="002B5E33">
        <w:rPr>
          <w:rFonts w:hint="eastAsia"/>
          <w:b/>
          <w:bCs/>
          <w:rtl/>
        </w:rPr>
        <w:t>שביעות</w:t>
      </w:r>
      <w:r w:rsidRPr="002B5E33">
        <w:rPr>
          <w:b/>
          <w:bCs/>
          <w:rtl/>
        </w:rPr>
        <w:t xml:space="preserve"> </w:t>
      </w:r>
      <w:r w:rsidRPr="002B5E33">
        <w:rPr>
          <w:rFonts w:hint="eastAsia"/>
          <w:b/>
          <w:bCs/>
          <w:rtl/>
        </w:rPr>
        <w:t>הרצון</w:t>
      </w:r>
      <w:r>
        <w:rPr>
          <w:rFonts w:hint="cs"/>
          <w:b/>
          <w:bCs/>
          <w:rtl/>
        </w:rPr>
        <w:t xml:space="preserve"> </w:t>
      </w:r>
      <w:r w:rsidRPr="002B5E33">
        <w:rPr>
          <w:rFonts w:hint="eastAsia"/>
          <w:b/>
          <w:bCs/>
          <w:rtl/>
        </w:rPr>
        <w:t>של</w:t>
      </w:r>
      <w:r w:rsidRPr="002B5E33">
        <w:rPr>
          <w:b/>
          <w:bCs/>
          <w:rtl/>
        </w:rPr>
        <w:t xml:space="preserve"> </w:t>
      </w:r>
      <w:r w:rsidRPr="002B5E33">
        <w:rPr>
          <w:rFonts w:hint="eastAsia"/>
          <w:b/>
          <w:bCs/>
          <w:rtl/>
        </w:rPr>
        <w:t>נסקרים</w:t>
      </w:r>
      <w:r w:rsidRPr="002B5E33">
        <w:rPr>
          <w:b/>
          <w:bCs/>
          <w:rtl/>
        </w:rPr>
        <w:t xml:space="preserve"> </w:t>
      </w:r>
      <w:r w:rsidRPr="002B5E33">
        <w:rPr>
          <w:rFonts w:hint="eastAsia"/>
          <w:b/>
          <w:bCs/>
          <w:rtl/>
        </w:rPr>
        <w:t>שביצעו</w:t>
      </w:r>
      <w:r w:rsidRPr="002B5E33">
        <w:rPr>
          <w:b/>
          <w:bCs/>
          <w:rtl/>
        </w:rPr>
        <w:t xml:space="preserve"> </w:t>
      </w:r>
      <w:r w:rsidRPr="002B5E33">
        <w:rPr>
          <w:rFonts w:hint="eastAsia"/>
          <w:b/>
          <w:bCs/>
          <w:rtl/>
        </w:rPr>
        <w:t>פעולות</w:t>
      </w:r>
      <w:r w:rsidRPr="002B5E33">
        <w:rPr>
          <w:b/>
          <w:bCs/>
          <w:rtl/>
        </w:rPr>
        <w:t xml:space="preserve"> </w:t>
      </w:r>
      <w:r w:rsidRPr="002B5E33">
        <w:rPr>
          <w:rFonts w:hint="eastAsia"/>
          <w:b/>
          <w:bCs/>
          <w:rtl/>
        </w:rPr>
        <w:t>בתחום</w:t>
      </w:r>
      <w:r w:rsidRPr="002B5E33">
        <w:rPr>
          <w:b/>
          <w:bCs/>
          <w:rtl/>
        </w:rPr>
        <w:t xml:space="preserve"> </w:t>
      </w:r>
      <w:r w:rsidRPr="002B5E33">
        <w:rPr>
          <w:rFonts w:hint="eastAsia"/>
          <w:b/>
          <w:bCs/>
          <w:rtl/>
        </w:rPr>
        <w:t>ביטוחי</w:t>
      </w:r>
      <w:r w:rsidRPr="002B5E33">
        <w:rPr>
          <w:b/>
          <w:bCs/>
          <w:rtl/>
        </w:rPr>
        <w:t xml:space="preserve"> </w:t>
      </w:r>
      <w:r w:rsidRPr="002B5E33">
        <w:rPr>
          <w:rFonts w:hint="eastAsia"/>
          <w:b/>
          <w:bCs/>
          <w:rtl/>
        </w:rPr>
        <w:t>הבריאות</w:t>
      </w:r>
      <w:r w:rsidRPr="002B5E33">
        <w:rPr>
          <w:b/>
          <w:bCs/>
          <w:rtl/>
        </w:rPr>
        <w:t xml:space="preserve"> </w:t>
      </w:r>
      <w:r w:rsidRPr="002B5E33">
        <w:rPr>
          <w:rFonts w:hint="eastAsia"/>
          <w:b/>
          <w:bCs/>
          <w:rtl/>
        </w:rPr>
        <w:t>בשנת</w:t>
      </w:r>
      <w:r w:rsidRPr="002B5E33">
        <w:rPr>
          <w:b/>
          <w:bCs/>
          <w:rtl/>
        </w:rPr>
        <w:t xml:space="preserve"> 2018, </w:t>
      </w:r>
      <w:r w:rsidRPr="002B5E33">
        <w:rPr>
          <w:rFonts w:hint="eastAsia"/>
          <w:b/>
          <w:bCs/>
          <w:rtl/>
        </w:rPr>
        <w:t>ומידת</w:t>
      </w:r>
      <w:r w:rsidRPr="002B5E33">
        <w:rPr>
          <w:b/>
          <w:bCs/>
          <w:rtl/>
        </w:rPr>
        <w:t xml:space="preserve"> </w:t>
      </w:r>
      <w:r w:rsidRPr="002B5E33">
        <w:rPr>
          <w:rFonts w:hint="cs"/>
          <w:b/>
          <w:bCs/>
          <w:rtl/>
        </w:rPr>
        <w:t xml:space="preserve">הנכונות להמליץ על החברה </w:t>
      </w:r>
      <w:r w:rsidRPr="002B5E33">
        <w:rPr>
          <w:rFonts w:hint="eastAsia"/>
          <w:b/>
          <w:bCs/>
          <w:rtl/>
        </w:rPr>
        <w:t>לאחר</w:t>
      </w:r>
      <w:r w:rsidRPr="002B5E33">
        <w:rPr>
          <w:rFonts w:hint="cs"/>
          <w:b/>
          <w:bCs/>
          <w:rtl/>
        </w:rPr>
        <w:t>,</w:t>
      </w:r>
      <w:r w:rsidRPr="002B5E33">
        <w:rPr>
          <w:rFonts w:hint="eastAsia"/>
          <w:b/>
          <w:bCs/>
          <w:rtl/>
        </w:rPr>
        <w:t xml:space="preserve"> לפי</w:t>
      </w:r>
      <w:r w:rsidRPr="002B5E33">
        <w:rPr>
          <w:b/>
          <w:bCs/>
          <w:rtl/>
        </w:rPr>
        <w:t xml:space="preserve"> </w:t>
      </w:r>
      <w:r w:rsidRPr="002B5E33">
        <w:rPr>
          <w:rFonts w:hint="eastAsia"/>
          <w:b/>
          <w:bCs/>
          <w:rtl/>
        </w:rPr>
        <w:t>סוג</w:t>
      </w:r>
      <w:r w:rsidRPr="002B5E33">
        <w:rPr>
          <w:b/>
          <w:bCs/>
          <w:rtl/>
        </w:rPr>
        <w:t xml:space="preserve"> </w:t>
      </w:r>
      <w:r w:rsidRPr="002B5E33">
        <w:rPr>
          <w:rFonts w:hint="cs"/>
          <w:b/>
          <w:bCs/>
          <w:rtl/>
        </w:rPr>
        <w:t>ה</w:t>
      </w:r>
      <w:r w:rsidRPr="002B5E33">
        <w:rPr>
          <w:rFonts w:hint="eastAsia"/>
          <w:b/>
          <w:bCs/>
          <w:rtl/>
        </w:rPr>
        <w:t>פעולה</w:t>
      </w:r>
      <w:r w:rsidRPr="002B5E33">
        <w:rPr>
          <w:b/>
          <w:bCs/>
          <w:rtl/>
        </w:rPr>
        <w:t xml:space="preserve"> (בסולם </w:t>
      </w:r>
      <w:r w:rsidRPr="002B5E33">
        <w:rPr>
          <w:rFonts w:hint="eastAsia"/>
          <w:b/>
          <w:bCs/>
          <w:rtl/>
        </w:rPr>
        <w:t>ניקוד</w:t>
      </w:r>
      <w:r w:rsidRPr="002B5E33">
        <w:rPr>
          <w:b/>
          <w:bCs/>
          <w:rtl/>
        </w:rPr>
        <w:t xml:space="preserve"> 0</w:t>
      </w:r>
      <w:r w:rsidRPr="002B5E33">
        <w:rPr>
          <w:rFonts w:hint="cs"/>
          <w:b/>
          <w:bCs/>
          <w:rtl/>
        </w:rPr>
        <w:t>- 100</w:t>
      </w:r>
      <w:r w:rsidRPr="002B5E33">
        <w:rPr>
          <w:b/>
          <w:bCs/>
          <w:rtl/>
        </w:rPr>
        <w:t>)</w:t>
      </w:r>
    </w:p>
    <w:p w:rsidR="00FA3E7D" w:rsidRPr="002B5E33" w:rsidP="00291546">
      <w:pPr>
        <w:spacing w:before="120" w:after="120" w:line="269" w:lineRule="auto"/>
        <w:jc w:val="center"/>
        <w:rPr>
          <w:rtl/>
        </w:rPr>
      </w:pPr>
      <w:r>
        <w:rPr>
          <w:noProof/>
          <w:rtl/>
        </w:rPr>
        <w:drawing>
          <wp:inline distT="0" distB="0" distL="0" distR="0">
            <wp:extent cx="4322073" cy="2319533"/>
            <wp:effectExtent l="0" t="0" r="2540" b="508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95867" name="commercial-health-insurance-g-31.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319533"/>
                    </a:xfrm>
                    <a:prstGeom prst="rect">
                      <a:avLst/>
                    </a:prstGeom>
                  </pic:spPr>
                </pic:pic>
              </a:graphicData>
            </a:graphic>
          </wp:inline>
        </w:drawing>
      </w:r>
    </w:p>
    <w:p w:rsidR="00FA3E7D" w:rsidRPr="00AA5FE2" w:rsidP="00291546">
      <w:pPr>
        <w:spacing w:line="269" w:lineRule="auto"/>
        <w:jc w:val="left"/>
        <w:rPr>
          <w:sz w:val="22"/>
          <w:szCs w:val="22"/>
          <w:rtl/>
        </w:rPr>
      </w:pPr>
      <w:r w:rsidRPr="00AA5FE2">
        <w:rPr>
          <w:rFonts w:hint="cs"/>
          <w:sz w:val="22"/>
          <w:szCs w:val="22"/>
          <w:rtl/>
        </w:rPr>
        <w:t>מקור: נתוני רשות שוק ההון, בעיבוד משרד מבקר המדינה</w:t>
      </w:r>
      <w:r w:rsidR="006C3FAD">
        <w:rPr>
          <w:rFonts w:hint="cs"/>
          <w:sz w:val="22"/>
          <w:szCs w:val="22"/>
          <w:rtl/>
        </w:rPr>
        <w:t>.</w:t>
      </w:r>
    </w:p>
    <w:p w:rsidR="00FA3E7D" w:rsidRPr="002B5E33" w:rsidP="00FA3E7D">
      <w:pPr>
        <w:pStyle w:val="a"/>
        <w:spacing w:line="269" w:lineRule="auto"/>
      </w:pPr>
    </w:p>
    <w:p w:rsidR="00FA3E7D" w:rsidRPr="002B5E33" w:rsidP="00FA3E7D">
      <w:pPr>
        <w:spacing w:line="269" w:lineRule="auto"/>
        <w:rPr>
          <w:rtl/>
        </w:rPr>
      </w:pPr>
      <w:r w:rsidRPr="002B5E33">
        <w:rPr>
          <w:rFonts w:hint="cs"/>
          <w:rtl/>
        </w:rPr>
        <w:t>מהתרשים לעיל עולה כי קיים קשר ברור בין מטרת הפנייה של הלקוח לחברת הביטוח, ובין מידת שביעות הרצון והנכונות להמליץ לאחר על החברה. ניתן להסביר את הנתונים בכך שפנייה לשם רכישת פוליסה נעשית בדרך כלל ללא מחלוקת עם החברה, ונתפסת כתהליך חיובי יותר מאשר סוגי פניות אחרות. פנייה לביטול פוליסה נעשית פעמים רבות לאחר חוויה שלילית מפעילות החברה, כגון דחיית תביעה, ולכן היא קשורה בהבעת עמדה שלילית על החברה.</w:t>
      </w:r>
    </w:p>
    <w:p w:rsidR="00B249F0">
      <w:pPr>
        <w:bidi w:val="0"/>
        <w:spacing w:after="200" w:line="276" w:lineRule="auto"/>
        <w:rPr>
          <w:szCs w:val="20"/>
          <w:rtl/>
        </w:rPr>
      </w:pPr>
      <w:r>
        <w:rPr>
          <w:rtl/>
        </w:rPr>
        <w:br w:type="page"/>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בתרשים שלהלן פירוט של התפלגות הפניות לחברות הביטוח, לפי סוגי הפנייה.</w:t>
      </w:r>
    </w:p>
    <w:p w:rsidR="00FA3E7D" w:rsidRPr="002B5E33" w:rsidP="00FA3E7D">
      <w:pPr>
        <w:pStyle w:val="a"/>
        <w:spacing w:line="269" w:lineRule="auto"/>
        <w:rPr>
          <w:b/>
          <w:bCs/>
          <w:u w:val="single"/>
          <w:rtl/>
        </w:rPr>
      </w:pPr>
    </w:p>
    <w:p w:rsidR="00FA3E7D" w:rsidRPr="00291546" w:rsidP="00291546">
      <w:pPr>
        <w:spacing w:line="269" w:lineRule="auto"/>
        <w:jc w:val="center"/>
        <w:rPr>
          <w:b/>
          <w:bCs/>
          <w:rtl/>
        </w:rPr>
      </w:pPr>
      <w:r w:rsidRPr="002B5E33">
        <w:rPr>
          <w:rFonts w:hint="eastAsia"/>
          <w:b/>
          <w:bCs/>
          <w:rtl/>
        </w:rPr>
        <w:t>תרשים</w:t>
      </w:r>
      <w:r w:rsidRPr="002B5E33">
        <w:rPr>
          <w:b/>
          <w:bCs/>
          <w:rtl/>
        </w:rPr>
        <w:t xml:space="preserve"> </w:t>
      </w:r>
      <w:r w:rsidRPr="002B5E33">
        <w:rPr>
          <w:rFonts w:hint="cs"/>
          <w:b/>
          <w:bCs/>
          <w:rtl/>
        </w:rPr>
        <w:t>32</w:t>
      </w:r>
      <w:r w:rsidR="00291546">
        <w:rPr>
          <w:rFonts w:hint="cs"/>
          <w:b/>
          <w:bCs/>
          <w:rtl/>
        </w:rPr>
        <w:t xml:space="preserve">: </w:t>
      </w:r>
      <w:r w:rsidRPr="002B5E33">
        <w:rPr>
          <w:rFonts w:hint="eastAsia"/>
          <w:b/>
          <w:bCs/>
          <w:rtl/>
        </w:rPr>
        <w:t>סוגי</w:t>
      </w:r>
      <w:r w:rsidRPr="002B5E33">
        <w:rPr>
          <w:b/>
          <w:bCs/>
          <w:rtl/>
        </w:rPr>
        <w:t xml:space="preserve"> </w:t>
      </w:r>
      <w:r w:rsidRPr="002B5E33">
        <w:rPr>
          <w:rFonts w:hint="eastAsia"/>
          <w:b/>
          <w:bCs/>
          <w:rtl/>
        </w:rPr>
        <w:t>פניות</w:t>
      </w:r>
      <w:r w:rsidRPr="002B5E33">
        <w:rPr>
          <w:b/>
          <w:bCs/>
          <w:rtl/>
        </w:rPr>
        <w:t xml:space="preserve"> </w:t>
      </w:r>
      <w:r w:rsidRPr="002B5E33">
        <w:rPr>
          <w:rFonts w:hint="eastAsia"/>
          <w:b/>
          <w:bCs/>
          <w:rtl/>
        </w:rPr>
        <w:t>הנסקרים</w:t>
      </w:r>
      <w:r w:rsidRPr="002B5E33">
        <w:rPr>
          <w:b/>
          <w:bCs/>
          <w:rtl/>
        </w:rPr>
        <w:t xml:space="preserve"> </w:t>
      </w:r>
      <w:r w:rsidRPr="002B5E33">
        <w:rPr>
          <w:rFonts w:hint="eastAsia"/>
          <w:b/>
          <w:bCs/>
          <w:rtl/>
        </w:rPr>
        <w:t>לחברות</w:t>
      </w:r>
      <w:r w:rsidRPr="002B5E33">
        <w:rPr>
          <w:b/>
          <w:bCs/>
          <w:rtl/>
        </w:rPr>
        <w:t xml:space="preserve"> </w:t>
      </w:r>
      <w:r w:rsidRPr="002B5E33">
        <w:rPr>
          <w:rFonts w:hint="eastAsia"/>
          <w:b/>
          <w:bCs/>
          <w:rtl/>
        </w:rPr>
        <w:t>הביטוח</w:t>
      </w:r>
      <w:r w:rsidRPr="002B5E33">
        <w:rPr>
          <w:b/>
          <w:bCs/>
          <w:rtl/>
        </w:rPr>
        <w:t xml:space="preserve"> </w:t>
      </w:r>
      <w:r w:rsidRPr="002B5E33">
        <w:rPr>
          <w:rFonts w:hint="eastAsia"/>
          <w:b/>
          <w:bCs/>
          <w:rtl/>
        </w:rPr>
        <w:t>בתחום</w:t>
      </w:r>
      <w:r w:rsidRPr="002B5E33">
        <w:rPr>
          <w:b/>
          <w:bCs/>
          <w:rtl/>
        </w:rPr>
        <w:t xml:space="preserve"> </w:t>
      </w:r>
      <w:r w:rsidRPr="002B5E33">
        <w:rPr>
          <w:rFonts w:hint="eastAsia"/>
          <w:b/>
          <w:bCs/>
          <w:rtl/>
        </w:rPr>
        <w:t>ביטוחי</w:t>
      </w:r>
      <w:r w:rsidRPr="002B5E33">
        <w:rPr>
          <w:b/>
          <w:bCs/>
          <w:rtl/>
        </w:rPr>
        <w:t xml:space="preserve"> </w:t>
      </w:r>
      <w:r w:rsidRPr="002B5E33">
        <w:rPr>
          <w:rFonts w:hint="eastAsia"/>
          <w:b/>
          <w:bCs/>
          <w:rtl/>
        </w:rPr>
        <w:t>הבריאות</w:t>
      </w:r>
      <w:r w:rsidRPr="002B5E33">
        <w:rPr>
          <w:b/>
          <w:bCs/>
          <w:rtl/>
        </w:rPr>
        <w:t xml:space="preserve"> </w:t>
      </w:r>
      <w:r w:rsidRPr="002B5E33">
        <w:rPr>
          <w:rFonts w:hint="eastAsia"/>
          <w:b/>
          <w:bCs/>
          <w:rtl/>
        </w:rPr>
        <w:t>בשנת</w:t>
      </w:r>
      <w:r w:rsidRPr="002B5E33">
        <w:rPr>
          <w:b/>
          <w:bCs/>
          <w:rtl/>
        </w:rPr>
        <w:t xml:space="preserve"> 2018 </w:t>
      </w:r>
      <w:r w:rsidRPr="002B5E33">
        <w:rPr>
          <w:rFonts w:hint="eastAsia"/>
          <w:b/>
          <w:bCs/>
          <w:rtl/>
        </w:rPr>
        <w:t>ושיעורם</w:t>
      </w:r>
      <w:r w:rsidRPr="002B5E33">
        <w:rPr>
          <w:b/>
          <w:bCs/>
          <w:rtl/>
        </w:rPr>
        <w:t xml:space="preserve"> </w:t>
      </w:r>
      <w:r w:rsidRPr="002B5E33">
        <w:rPr>
          <w:rFonts w:hint="eastAsia"/>
          <w:b/>
          <w:bCs/>
          <w:rtl/>
        </w:rPr>
        <w:t>מכלל</w:t>
      </w:r>
      <w:r w:rsidRPr="002B5E33">
        <w:rPr>
          <w:b/>
          <w:bCs/>
          <w:rtl/>
        </w:rPr>
        <w:t xml:space="preserve"> </w:t>
      </w:r>
      <w:r w:rsidRPr="002B5E33">
        <w:rPr>
          <w:rFonts w:hint="eastAsia"/>
          <w:b/>
          <w:bCs/>
          <w:rtl/>
        </w:rPr>
        <w:t>פניות</w:t>
      </w:r>
      <w:r w:rsidRPr="002B5E33">
        <w:rPr>
          <w:b/>
          <w:bCs/>
          <w:rtl/>
        </w:rPr>
        <w:t xml:space="preserve"> </w:t>
      </w:r>
      <w:r w:rsidRPr="002B5E33">
        <w:rPr>
          <w:rFonts w:hint="eastAsia"/>
          <w:b/>
          <w:bCs/>
          <w:rtl/>
        </w:rPr>
        <w:t>הנסקרים</w:t>
      </w:r>
      <w:r w:rsidRPr="002B5E33">
        <w:rPr>
          <w:b/>
          <w:bCs/>
          <w:rtl/>
        </w:rPr>
        <w:t xml:space="preserve"> </w:t>
      </w:r>
      <w:r w:rsidRPr="002B5E33">
        <w:rPr>
          <w:rFonts w:hint="eastAsia"/>
          <w:b/>
          <w:bCs/>
          <w:rtl/>
        </w:rPr>
        <w:t>לחברות</w:t>
      </w:r>
      <w:r w:rsidRPr="002B5E33">
        <w:rPr>
          <w:b/>
          <w:bCs/>
          <w:rtl/>
        </w:rPr>
        <w:t xml:space="preserve"> </w:t>
      </w:r>
      <w:r w:rsidRPr="002B5E33">
        <w:rPr>
          <w:rFonts w:hint="eastAsia"/>
          <w:b/>
          <w:bCs/>
          <w:rtl/>
        </w:rPr>
        <w:t>הביטוח</w:t>
      </w:r>
      <w:r w:rsidRPr="002B5E33">
        <w:rPr>
          <w:b/>
          <w:bCs/>
          <w:rtl/>
        </w:rPr>
        <w:t xml:space="preserve"> (לפי </w:t>
      </w:r>
      <w:r w:rsidRPr="002B5E33">
        <w:rPr>
          <w:rFonts w:hint="eastAsia"/>
          <w:b/>
          <w:bCs/>
          <w:rtl/>
        </w:rPr>
        <w:t>חברת</w:t>
      </w:r>
      <w:r w:rsidRPr="002B5E33">
        <w:rPr>
          <w:b/>
          <w:bCs/>
          <w:rtl/>
        </w:rPr>
        <w:t xml:space="preserve"> </w:t>
      </w:r>
      <w:r w:rsidRPr="002B5E33">
        <w:rPr>
          <w:rFonts w:hint="eastAsia"/>
          <w:b/>
          <w:bCs/>
          <w:rtl/>
        </w:rPr>
        <w:t>ביטוח</w:t>
      </w:r>
      <w:r w:rsidRPr="002B5E33">
        <w:rPr>
          <w:b/>
          <w:bCs/>
          <w:rtl/>
        </w:rPr>
        <w:t>)</w:t>
      </w:r>
    </w:p>
    <w:p w:rsidR="00FA3E7D" w:rsidRPr="002B5E33" w:rsidP="00291546">
      <w:pPr>
        <w:spacing w:before="120" w:after="120" w:line="269" w:lineRule="auto"/>
        <w:jc w:val="center"/>
        <w:rPr>
          <w:rtl/>
        </w:rPr>
      </w:pPr>
      <w:r>
        <w:rPr>
          <w:noProof/>
          <w:rtl/>
        </w:rPr>
        <w:drawing>
          <wp:inline distT="0" distB="0" distL="0" distR="0">
            <wp:extent cx="4325121" cy="2346965"/>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30350" name="commercial-health-insurance-g-32.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46965"/>
                    </a:xfrm>
                    <a:prstGeom prst="rect">
                      <a:avLst/>
                    </a:prstGeom>
                  </pic:spPr>
                </pic:pic>
              </a:graphicData>
            </a:graphic>
          </wp:inline>
        </w:drawing>
      </w:r>
    </w:p>
    <w:p w:rsidR="00FA3E7D" w:rsidRPr="00B249F0" w:rsidP="00291546">
      <w:pPr>
        <w:spacing w:line="269" w:lineRule="auto"/>
        <w:jc w:val="left"/>
        <w:rPr>
          <w:sz w:val="22"/>
          <w:szCs w:val="22"/>
          <w:rtl/>
        </w:rPr>
      </w:pPr>
      <w:r w:rsidRPr="00B249F0">
        <w:rPr>
          <w:rFonts w:hint="cs"/>
          <w:sz w:val="22"/>
          <w:szCs w:val="22"/>
          <w:rtl/>
        </w:rPr>
        <w:t>מקור: נתוני רשות שוק ההון, בעיבוד משרד מבקר המדינה.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מהתרשים שלעיל עולה כי קיימת שונות רבה בין שיעור הפעולות לסוגיהן שעליהן דיווחו הלקוחות בחברות הביטוח בתחום ביטוחי הבריאות, לרבות בפעולה של רכישת פוליסה (המתאפיינת בשביעות רצון גבוהה), וכן בפעולה של ביטול פוליסה (המתאפיינת בשביעות רצון נמוכה). </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מנתונים אלו עולה חשש כי התוצאות ברכיב השירות בתחום הטיפול בלקוחות מוטות כתוצאה מהבדלים בסוגי הפעולות שעליהם מדווחים הלקוחות, וקיים ספק אם אומנם הדיווח על אודות סוגי הפעולות משקף נכונה את הפעילות העסקית של חברות הביטוח בטווח הארוך. מומלץ כי רשות שוק ההון</w:t>
      </w:r>
      <w:r>
        <w:rPr>
          <w:rFonts w:hint="cs"/>
          <w:b/>
          <w:bCs/>
          <w:rtl/>
        </w:rPr>
        <w:t xml:space="preserve"> </w:t>
      </w:r>
      <w:r w:rsidRPr="002B5E33">
        <w:rPr>
          <w:rFonts w:hint="cs"/>
          <w:b/>
          <w:bCs/>
          <w:rtl/>
        </w:rPr>
        <w:t>תבחן את הסיבות והגורמים לשונות בסוגי הפעולות שעליהם מדווחים הלקוחות של החברות השונות, לרבות בחינה של שיטת הדגימה של הנסקרים מבין החברות השונות.</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רשות שוק ההון השיבה כי "השונות בציוני שביעות הרצון מפעולות שונות משקף בדיקה מקיפה ונכונה של איכות השירות בחברה לאורך כל חיי הפוליסה. ככל שתמהיל הפעולות בחברה שונה </w:t>
      </w:r>
      <w:r w:rsidRPr="002B5E33">
        <w:rPr>
          <w:rtl/>
        </w:rPr>
        <w:t>–</w:t>
      </w:r>
      <w:r w:rsidRPr="002B5E33">
        <w:rPr>
          <w:rFonts w:hint="cs"/>
          <w:rtl/>
        </w:rPr>
        <w:t xml:space="preserve"> אין בכך לשנות מהבדיקה הכוללת של איכות השירות... לגישת הרשות </w:t>
      </w:r>
      <w:r w:rsidRPr="002B5E33">
        <w:rPr>
          <w:rtl/>
        </w:rPr>
        <w:t>–</w:t>
      </w:r>
      <w:r w:rsidRPr="002B5E33">
        <w:rPr>
          <w:rFonts w:hint="cs"/>
          <w:rtl/>
        </w:rPr>
        <w:t xml:space="preserve"> יש למדוד ולשקף את השירות נכון לזמן מתן השירות"</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יצוין כי תשובת רשות שוק ההון מדגימה את הקושי שבפניו ניצב לקוח המבקש לרכוש ביטוח בריאות לטווח ארוך, שמוצגים בפניו נתונים נקודתיים של רמת השירות של החברות בשנה ספציפית, מבלי שהלקוח נחשף לנתונים שיש בהם להסביר כי הפערים בין החברות אינם משקפים את רמת השירות שלהן בטווח הארוך.</w:t>
      </w:r>
      <w:r w:rsidRPr="002B5E33">
        <w:rPr>
          <w:rStyle w:val="CommentReference"/>
          <w:rtl/>
        </w:rPr>
        <w:t xml:space="preserve">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הלקוחות הנסקרים מתבקשים עוד להשיב אם הטיפול בפנייתם הושלם על ידי החברה, או שטרם הסתיים. יצוין כי רשות שוק ההון החליטה כי סקר הלקוחות יבוצע גם בקרב לקוחות שהטיפול בפנייתם טרם הסתיים, כדי לקבל מידע על הטיפול בסמיכות לפניית הלקוח לחברה, ומתוך הנחה כי מידת שביעות הרצון מחברת הביטוח נמדדת ביתר דיוק סמוך למועד הפנייה אליה.</w:t>
      </w:r>
    </w:p>
    <w:p w:rsidR="00B249F0">
      <w:pPr>
        <w:bidi w:val="0"/>
        <w:spacing w:after="200" w:line="276" w:lineRule="auto"/>
        <w:rPr>
          <w:szCs w:val="20"/>
          <w:rtl/>
        </w:rPr>
      </w:pPr>
      <w:r>
        <w:rPr>
          <w:rtl/>
        </w:rPr>
        <w:br w:type="page"/>
      </w:r>
    </w:p>
    <w:p w:rsidR="00FA3E7D" w:rsidRPr="002B5E33" w:rsidP="00FA3E7D">
      <w:pPr>
        <w:pStyle w:val="a"/>
        <w:spacing w:line="269" w:lineRule="auto"/>
        <w:rPr>
          <w:rtl/>
        </w:rPr>
      </w:pPr>
    </w:p>
    <w:p w:rsidR="00FA3E7D" w:rsidRPr="00291546" w:rsidP="00291546">
      <w:pPr>
        <w:spacing w:line="269" w:lineRule="auto"/>
        <w:jc w:val="center"/>
        <w:rPr>
          <w:b/>
          <w:bCs/>
          <w:rtl/>
        </w:rPr>
      </w:pPr>
      <w:r w:rsidRPr="002B5E33">
        <w:rPr>
          <w:rFonts w:hint="eastAsia"/>
          <w:b/>
          <w:bCs/>
          <w:rtl/>
        </w:rPr>
        <w:t>תרשים</w:t>
      </w:r>
      <w:r w:rsidRPr="002B5E33">
        <w:rPr>
          <w:b/>
          <w:bCs/>
          <w:rtl/>
        </w:rPr>
        <w:t xml:space="preserve"> </w:t>
      </w:r>
      <w:r w:rsidRPr="002B5E33">
        <w:rPr>
          <w:rFonts w:hint="cs"/>
          <w:b/>
          <w:bCs/>
          <w:rtl/>
        </w:rPr>
        <w:t>33</w:t>
      </w:r>
      <w:r w:rsidR="00291546">
        <w:rPr>
          <w:rFonts w:hint="cs"/>
          <w:b/>
          <w:bCs/>
          <w:rtl/>
        </w:rPr>
        <w:t xml:space="preserve">: </w:t>
      </w:r>
      <w:r w:rsidRPr="002B5E33">
        <w:rPr>
          <w:rFonts w:hint="eastAsia"/>
          <w:b/>
          <w:bCs/>
          <w:rtl/>
        </w:rPr>
        <w:t>שיעור</w:t>
      </w:r>
      <w:r w:rsidRPr="002B5E33">
        <w:rPr>
          <w:b/>
          <w:bCs/>
          <w:rtl/>
        </w:rPr>
        <w:t xml:space="preserve"> </w:t>
      </w:r>
      <w:r w:rsidRPr="002B5E33">
        <w:rPr>
          <w:rFonts w:hint="eastAsia"/>
          <w:b/>
          <w:bCs/>
          <w:rtl/>
        </w:rPr>
        <w:t>הפעולות</w:t>
      </w:r>
      <w:r w:rsidRPr="002B5E33">
        <w:rPr>
          <w:b/>
          <w:bCs/>
          <w:rtl/>
        </w:rPr>
        <w:t xml:space="preserve"> </w:t>
      </w:r>
      <w:r w:rsidRPr="002B5E33">
        <w:rPr>
          <w:rFonts w:hint="eastAsia"/>
          <w:b/>
          <w:bCs/>
          <w:rtl/>
        </w:rPr>
        <w:t>שהסתיימו</w:t>
      </w:r>
      <w:r w:rsidRPr="002B5E33">
        <w:rPr>
          <w:b/>
          <w:bCs/>
          <w:rtl/>
        </w:rPr>
        <w:t xml:space="preserve"> </w:t>
      </w:r>
      <w:r w:rsidRPr="002B5E33">
        <w:rPr>
          <w:rFonts w:hint="eastAsia"/>
          <w:b/>
          <w:bCs/>
          <w:rtl/>
        </w:rPr>
        <w:t>ולא</w:t>
      </w:r>
      <w:r w:rsidRPr="002B5E33">
        <w:rPr>
          <w:b/>
          <w:bCs/>
          <w:rtl/>
        </w:rPr>
        <w:t xml:space="preserve"> </w:t>
      </w:r>
      <w:r w:rsidRPr="002B5E33">
        <w:rPr>
          <w:rFonts w:hint="eastAsia"/>
          <w:b/>
          <w:bCs/>
          <w:rtl/>
        </w:rPr>
        <w:t>הסתיימו</w:t>
      </w:r>
      <w:r w:rsidRPr="002B5E33">
        <w:rPr>
          <w:b/>
          <w:bCs/>
          <w:rtl/>
        </w:rPr>
        <w:t xml:space="preserve"> </w:t>
      </w:r>
      <w:r w:rsidRPr="002B5E33">
        <w:rPr>
          <w:rFonts w:hint="cs"/>
          <w:b/>
          <w:bCs/>
          <w:rtl/>
        </w:rPr>
        <w:t xml:space="preserve">לפי </w:t>
      </w:r>
      <w:r w:rsidRPr="002B5E33">
        <w:rPr>
          <w:rFonts w:hint="eastAsia"/>
          <w:b/>
          <w:bCs/>
          <w:rtl/>
        </w:rPr>
        <w:t>דיווח</w:t>
      </w:r>
      <w:r w:rsidRPr="002B5E33">
        <w:rPr>
          <w:b/>
          <w:bCs/>
          <w:rtl/>
        </w:rPr>
        <w:t xml:space="preserve"> </w:t>
      </w:r>
      <w:r w:rsidRPr="002B5E33">
        <w:rPr>
          <w:rFonts w:hint="eastAsia"/>
          <w:b/>
          <w:bCs/>
          <w:rtl/>
        </w:rPr>
        <w:t>הלקוחות</w:t>
      </w:r>
      <w:r w:rsidRPr="002B5E33">
        <w:rPr>
          <w:b/>
          <w:bCs/>
          <w:rtl/>
        </w:rPr>
        <w:t xml:space="preserve"> </w:t>
      </w:r>
      <w:r w:rsidRPr="002B5E33">
        <w:rPr>
          <w:rFonts w:hint="eastAsia"/>
          <w:b/>
          <w:bCs/>
          <w:rtl/>
        </w:rPr>
        <w:t>הנסקרים</w:t>
      </w:r>
      <w:r w:rsidRPr="002B5E33">
        <w:rPr>
          <w:b/>
          <w:bCs/>
          <w:rtl/>
        </w:rPr>
        <w:t xml:space="preserve"> </w:t>
      </w:r>
      <w:r w:rsidRPr="002B5E33">
        <w:rPr>
          <w:rFonts w:hint="eastAsia"/>
          <w:b/>
          <w:bCs/>
          <w:rtl/>
        </w:rPr>
        <w:t>בשנת</w:t>
      </w:r>
      <w:r w:rsidRPr="002B5E33">
        <w:rPr>
          <w:b/>
          <w:bCs/>
          <w:rtl/>
        </w:rPr>
        <w:t xml:space="preserve"> 2018 </w:t>
      </w:r>
      <w:r w:rsidRPr="002B5E33">
        <w:rPr>
          <w:rFonts w:hint="eastAsia"/>
          <w:b/>
          <w:bCs/>
          <w:rtl/>
        </w:rPr>
        <w:t>ומידת</w:t>
      </w:r>
      <w:r w:rsidRPr="002B5E33">
        <w:rPr>
          <w:b/>
          <w:bCs/>
          <w:rtl/>
        </w:rPr>
        <w:t xml:space="preserve"> </w:t>
      </w:r>
      <w:r w:rsidRPr="002B5E33">
        <w:rPr>
          <w:rFonts w:hint="eastAsia"/>
          <w:b/>
          <w:bCs/>
          <w:rtl/>
        </w:rPr>
        <w:t>שביעות</w:t>
      </w:r>
      <w:r w:rsidRPr="002B5E33">
        <w:rPr>
          <w:b/>
          <w:bCs/>
          <w:rtl/>
        </w:rPr>
        <w:t xml:space="preserve"> </w:t>
      </w:r>
      <w:r w:rsidRPr="002B5E33">
        <w:rPr>
          <w:rFonts w:hint="eastAsia"/>
          <w:b/>
          <w:bCs/>
          <w:rtl/>
        </w:rPr>
        <w:t>הרצון</w:t>
      </w:r>
      <w:r w:rsidRPr="002B5E33">
        <w:rPr>
          <w:rFonts w:hint="cs"/>
          <w:b/>
          <w:bCs/>
          <w:rtl/>
        </w:rPr>
        <w:t xml:space="preserve"> של הלקוחות מהחברות השונות</w:t>
      </w:r>
      <w:r w:rsidRPr="002B5E33">
        <w:rPr>
          <w:b/>
          <w:bCs/>
          <w:rtl/>
        </w:rPr>
        <w:t xml:space="preserve"> (בציון 0</w:t>
      </w:r>
      <w:r w:rsidRPr="002B5E33">
        <w:rPr>
          <w:rFonts w:hint="cs"/>
          <w:b/>
          <w:bCs/>
          <w:rtl/>
        </w:rPr>
        <w:t xml:space="preserve"> - 100</w:t>
      </w:r>
      <w:r w:rsidRPr="002B5E33">
        <w:rPr>
          <w:b/>
          <w:bCs/>
          <w:rtl/>
        </w:rPr>
        <w:t>)</w:t>
      </w:r>
    </w:p>
    <w:p w:rsidR="00FA3E7D" w:rsidRPr="002B5E33" w:rsidP="00291546">
      <w:pPr>
        <w:spacing w:before="120" w:after="120" w:line="269" w:lineRule="auto"/>
        <w:jc w:val="center"/>
        <w:rPr>
          <w:szCs w:val="20"/>
        </w:rPr>
      </w:pPr>
      <w:r>
        <w:rPr>
          <w:noProof/>
          <w:szCs w:val="20"/>
        </w:rPr>
        <w:drawing>
          <wp:inline distT="0" distB="0" distL="0" distR="0">
            <wp:extent cx="4322073" cy="2481077"/>
            <wp:effectExtent l="0" t="0" r="254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335" name="commercial-health-insurance-g-33.png"/>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481077"/>
                    </a:xfrm>
                    <a:prstGeom prst="rect">
                      <a:avLst/>
                    </a:prstGeom>
                  </pic:spPr>
                </pic:pic>
              </a:graphicData>
            </a:graphic>
          </wp:inline>
        </w:drawing>
      </w:r>
    </w:p>
    <w:p w:rsidR="00FA3E7D" w:rsidRPr="0088167D" w:rsidP="00291546">
      <w:pPr>
        <w:spacing w:line="269" w:lineRule="auto"/>
        <w:jc w:val="left"/>
        <w:rPr>
          <w:sz w:val="22"/>
          <w:szCs w:val="22"/>
          <w:rtl/>
        </w:rPr>
      </w:pPr>
      <w:r w:rsidRPr="0088167D">
        <w:rPr>
          <w:rFonts w:hint="cs"/>
          <w:sz w:val="22"/>
          <w:szCs w:val="22"/>
          <w:rtl/>
        </w:rPr>
        <w:t>מקור: נתוני רשות שוק ההון, בעיבוד משרד מבקר המדינה</w:t>
      </w:r>
      <w:r w:rsidR="006C3FAD">
        <w:rPr>
          <w:rFonts w:hint="cs"/>
          <w:sz w:val="22"/>
          <w:szCs w:val="22"/>
          <w:rtl/>
        </w:rPr>
        <w:t>.</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מהתרשים לעיל עולה כי בכל החברות קיים פער ניכר וברור בין מידת שביעות הרצון של לקוחות שהטיפול בפנייתם הסתיים, לבין מידת שביעות הרצון של לקוחות שהטיפול בפנייתם טרם הסתיים. עוד עולה מהתרשים כי אצל חלק מהחברות קיים הבדל ניכר בין שיעור הפעולות שהסתיימו ובין שיעור הפעולות שטרם הסתיימו מקרב הנסקרים. מכאן, שמידת שביעות הרצון הכוללת המחושבת עבור החברה כחלק מרכיב הטיפול בלקוחות, נקבעת במידה רבה על פי היחס שבין פניות לחברות שהטיפול בהן הסתיים לפניות שטרם הסתיים בהן הטיפול בקרב הנסקרים, ולאו דווקא על פי אופי הטיפול של החברה.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רשות שוק ההון ציינה בתשובתה כי "הרשות בוחנת אפשרות לקצר את משך הזמן בין פעולת השירות לבין ביצוע הסקר על מנת להקטין את השפעת עצם סיום הטיפול על מידת שביעות הרצון של הלקוח ולצמצם הטיות נוספות הנובעות מ'ריחוק' בין קבלת השירות לבין מילוי השאלון".</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eastAsia"/>
          <w:b/>
          <w:bCs/>
          <w:rtl/>
        </w:rPr>
        <w:t>מומלץ</w:t>
      </w:r>
      <w:r w:rsidRPr="002B5E33">
        <w:rPr>
          <w:b/>
          <w:bCs/>
          <w:rtl/>
        </w:rPr>
        <w:t xml:space="preserve"> כי </w:t>
      </w:r>
      <w:r w:rsidRPr="002B5E33">
        <w:rPr>
          <w:rFonts w:hint="eastAsia"/>
          <w:b/>
          <w:bCs/>
          <w:rtl/>
        </w:rPr>
        <w:t>הרשות</w:t>
      </w:r>
      <w:r w:rsidRPr="002B5E33">
        <w:rPr>
          <w:b/>
          <w:bCs/>
          <w:rtl/>
        </w:rPr>
        <w:t xml:space="preserve"> </w:t>
      </w:r>
      <w:r w:rsidRPr="002B5E33">
        <w:rPr>
          <w:rFonts w:hint="eastAsia"/>
          <w:b/>
          <w:bCs/>
          <w:rtl/>
        </w:rPr>
        <w:t>תבחן</w:t>
      </w:r>
      <w:r w:rsidRPr="002B5E33">
        <w:rPr>
          <w:b/>
          <w:bCs/>
          <w:rtl/>
        </w:rPr>
        <w:t xml:space="preserve"> </w:t>
      </w:r>
      <w:r w:rsidRPr="002B5E33">
        <w:rPr>
          <w:rFonts w:hint="eastAsia"/>
          <w:b/>
          <w:bCs/>
          <w:rtl/>
        </w:rPr>
        <w:t>שמירה</w:t>
      </w:r>
      <w:r w:rsidRPr="002B5E33">
        <w:rPr>
          <w:b/>
          <w:bCs/>
          <w:rtl/>
        </w:rPr>
        <w:t xml:space="preserve"> על יחס דומה בין חברות הביטוח של נדגמים שהסתיים הטיפול בפנייתם, לאלו שטרם הסתיים הטיפול בפנייתם, על מנת לשקף בסקר עמדות הנוגעות </w:t>
      </w:r>
      <w:r w:rsidRPr="002B5E33">
        <w:rPr>
          <w:rFonts w:hint="eastAsia"/>
          <w:b/>
          <w:bCs/>
          <w:rtl/>
        </w:rPr>
        <w:t>לשביעות</w:t>
      </w:r>
      <w:r w:rsidRPr="002B5E33">
        <w:rPr>
          <w:b/>
          <w:bCs/>
          <w:rtl/>
        </w:rPr>
        <w:t xml:space="preserve"> </w:t>
      </w:r>
      <w:r w:rsidRPr="002B5E33">
        <w:rPr>
          <w:rFonts w:hint="eastAsia"/>
          <w:b/>
          <w:bCs/>
          <w:rtl/>
        </w:rPr>
        <w:t>רצון</w:t>
      </w:r>
      <w:r w:rsidRPr="002B5E33">
        <w:rPr>
          <w:b/>
          <w:bCs/>
          <w:rtl/>
        </w:rPr>
        <w:t xml:space="preserve"> </w:t>
      </w:r>
      <w:r w:rsidRPr="002B5E33">
        <w:rPr>
          <w:rFonts w:hint="eastAsia"/>
          <w:b/>
          <w:bCs/>
          <w:rtl/>
        </w:rPr>
        <w:t>הנוגעת</w:t>
      </w:r>
      <w:r w:rsidRPr="002B5E33">
        <w:rPr>
          <w:b/>
          <w:bCs/>
          <w:rtl/>
        </w:rPr>
        <w:t xml:space="preserve"> </w:t>
      </w:r>
      <w:r w:rsidRPr="002B5E33">
        <w:rPr>
          <w:rFonts w:hint="eastAsia"/>
          <w:b/>
          <w:bCs/>
          <w:rtl/>
        </w:rPr>
        <w:t>לפעולת</w:t>
      </w:r>
      <w:r w:rsidRPr="002B5E33">
        <w:rPr>
          <w:b/>
          <w:bCs/>
          <w:rtl/>
        </w:rPr>
        <w:t xml:space="preserve"> </w:t>
      </w:r>
      <w:r w:rsidRPr="002B5E33">
        <w:rPr>
          <w:rFonts w:hint="eastAsia"/>
          <w:b/>
          <w:bCs/>
          <w:rtl/>
        </w:rPr>
        <w:t>השרות</w:t>
      </w:r>
      <w:r w:rsidRPr="002B5E33">
        <w:rPr>
          <w:b/>
          <w:bCs/>
          <w:rtl/>
        </w:rPr>
        <w:t xml:space="preserve"> </w:t>
      </w:r>
      <w:r w:rsidRPr="002B5E33">
        <w:rPr>
          <w:rFonts w:hint="eastAsia"/>
          <w:b/>
          <w:bCs/>
          <w:rtl/>
        </w:rPr>
        <w:t>מחד</w:t>
      </w:r>
      <w:r w:rsidRPr="002B5E33">
        <w:rPr>
          <w:b/>
          <w:bCs/>
          <w:rtl/>
        </w:rPr>
        <w:t xml:space="preserve"> </w:t>
      </w:r>
      <w:r w:rsidRPr="002B5E33">
        <w:rPr>
          <w:rFonts w:hint="eastAsia"/>
          <w:b/>
          <w:bCs/>
          <w:rtl/>
        </w:rPr>
        <w:t>ומאידך</w:t>
      </w:r>
      <w:r w:rsidRPr="002B5E33">
        <w:rPr>
          <w:b/>
          <w:bCs/>
          <w:rtl/>
        </w:rPr>
        <w:t xml:space="preserve"> </w:t>
      </w:r>
      <w:r w:rsidRPr="002B5E33">
        <w:rPr>
          <w:rFonts w:hint="eastAsia"/>
          <w:b/>
          <w:bCs/>
          <w:rtl/>
        </w:rPr>
        <w:t>שביעות</w:t>
      </w:r>
      <w:r w:rsidRPr="002B5E33">
        <w:rPr>
          <w:b/>
          <w:bCs/>
          <w:rtl/>
        </w:rPr>
        <w:t xml:space="preserve"> </w:t>
      </w:r>
      <w:r w:rsidRPr="002B5E33">
        <w:rPr>
          <w:rFonts w:hint="eastAsia"/>
          <w:b/>
          <w:bCs/>
          <w:rtl/>
        </w:rPr>
        <w:t>רצון</w:t>
      </w:r>
      <w:r w:rsidRPr="002B5E33">
        <w:rPr>
          <w:b/>
          <w:bCs/>
          <w:rtl/>
        </w:rPr>
        <w:t xml:space="preserve"> מתוצאת הטיפול.</w:t>
      </w:r>
      <w:r w:rsidRPr="002B5E33">
        <w:rPr>
          <w:rFonts w:hint="cs"/>
          <w:b/>
          <w:bCs/>
          <w:rtl/>
        </w:rPr>
        <w:t xml:space="preserve"> </w:t>
      </w:r>
    </w:p>
    <w:p w:rsidR="00FA3E7D" w:rsidRPr="002B5E33" w:rsidP="00FA3E7D">
      <w:pPr>
        <w:pStyle w:val="a"/>
        <w:spacing w:line="269" w:lineRule="auto"/>
        <w:rPr>
          <w:rtl/>
        </w:rPr>
      </w:pPr>
    </w:p>
    <w:p w:rsidR="00FA3E7D" w:rsidRPr="002B5E33" w:rsidP="00FA3E7D">
      <w:pPr>
        <w:pStyle w:val="Heading4"/>
        <w:spacing w:before="0" w:line="269" w:lineRule="auto"/>
        <w:rPr>
          <w:rtl/>
        </w:rPr>
      </w:pPr>
      <w:r w:rsidRPr="002B5E33">
        <w:rPr>
          <w:rFonts w:hint="cs"/>
          <w:rtl/>
        </w:rPr>
        <w:t>רכיב זמן ההמתנה למענה טלפוני</w:t>
      </w:r>
    </w:p>
    <w:p w:rsidR="00FA3E7D" w:rsidRPr="002B5E33" w:rsidP="00FA3E7D">
      <w:pPr>
        <w:pStyle w:val="a"/>
        <w:rPr>
          <w:rtl/>
        </w:rPr>
      </w:pPr>
    </w:p>
    <w:p w:rsidR="00FA3E7D" w:rsidRPr="002B5E33" w:rsidP="00FA3E7D">
      <w:pPr>
        <w:spacing w:line="269" w:lineRule="auto"/>
        <w:rPr>
          <w:rtl/>
        </w:rPr>
      </w:pPr>
      <w:r w:rsidRPr="002B5E33">
        <w:rPr>
          <w:rFonts w:hint="cs"/>
          <w:rtl/>
        </w:rPr>
        <w:t>משך זמן ההמתנה בפנייה טלפונית של לקוחות לחברות הביטוח הוא מרכיב במדד השירות המפורסם על ידי רשות שוק ההון, ומשקלו 10% מכלל המדד. מדידת משך הזמן עד למענה הטלפוני מבוצעת עבור רשות שוק ההון באמצעות חברה חיצונית, המתקשרת לחברות הביטוח כדי לבדוק את זמני ההמתנה למענה. לפי נתוני רשות שוק ההון, בשנת 2018 בוצעו בחברות הביטוח 5,659 בקרות זמני המתנה למענה טלפוני, מהן 1,447 בקרות בתחום ביטוחי הבריאות.</w:t>
      </w:r>
    </w:p>
    <w:p w:rsidR="0088167D" w:rsidP="00FA3E7D">
      <w:pPr>
        <w:pStyle w:val="a"/>
        <w:spacing w:line="269" w:lineRule="auto"/>
        <w:rPr>
          <w:rtl/>
        </w:rPr>
      </w:pPr>
    </w:p>
    <w:p w:rsidR="0088167D" w:rsidP="00FA3E7D">
      <w:pPr>
        <w:pStyle w:val="a"/>
        <w:spacing w:line="269" w:lineRule="auto"/>
        <w:rPr>
          <w:rtl/>
        </w:rPr>
      </w:pP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הציון הניתן לחברת ביטוח במדד משקף את שיעור השיחות שבהן ניתן מענה אנושי למתקשר, בתוך שלוש דקות מהיציאה מנתב השיחות של החברה ועד לקבלת מענה אנושי, מכלל השיחות שבוצעו למוקד הטלפוני של החברה.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על מנת שלקוחות אפשריים של חברות הביטוח יוכלו להתבסס על ציוני חברות הביטוח ברכיב זמן ההמתנה למענה טלפוני כשיקול בין כלל השיקולים בקבלת החלטת התקשרות עם חברה, ועל מנת שסוכני ביטוח יוכלו להמליץ על חברה מסוימת הנוהגת להשיב מהר יותר לשיחות, נדרשת יציבות יחסית על פני זמן בנתוניה של כל חברה בנפרד, ולפיכך גם בדירוג היחסי של החברות.</w:t>
      </w:r>
    </w:p>
    <w:p w:rsidR="00FA3E7D" w:rsidRPr="002B5E33" w:rsidP="00FA3E7D">
      <w:pPr>
        <w:pStyle w:val="a"/>
        <w:spacing w:line="269" w:lineRule="auto"/>
        <w:rPr>
          <w:rtl/>
        </w:rPr>
      </w:pPr>
    </w:p>
    <w:p w:rsidR="00FA3E7D" w:rsidRPr="002B5E33" w:rsidP="00291546">
      <w:pPr>
        <w:spacing w:line="269" w:lineRule="auto"/>
        <w:jc w:val="center"/>
        <w:rPr>
          <w:b/>
          <w:bCs/>
          <w:rtl/>
        </w:rPr>
      </w:pPr>
      <w:r w:rsidRPr="002B5E33">
        <w:rPr>
          <w:rFonts w:hint="eastAsia"/>
          <w:b/>
          <w:bCs/>
          <w:rtl/>
        </w:rPr>
        <w:t>תרשים</w:t>
      </w:r>
      <w:r w:rsidRPr="002B5E33">
        <w:rPr>
          <w:b/>
          <w:bCs/>
          <w:rtl/>
        </w:rPr>
        <w:t xml:space="preserve"> </w:t>
      </w:r>
      <w:r w:rsidRPr="002B5E33">
        <w:rPr>
          <w:rFonts w:hint="cs"/>
          <w:b/>
          <w:bCs/>
          <w:rtl/>
        </w:rPr>
        <w:t>34</w:t>
      </w:r>
      <w:r w:rsidR="00291546">
        <w:rPr>
          <w:rFonts w:hint="cs"/>
          <w:b/>
          <w:bCs/>
          <w:rtl/>
        </w:rPr>
        <w:t xml:space="preserve">: </w:t>
      </w:r>
      <w:r w:rsidRPr="002B5E33">
        <w:rPr>
          <w:rFonts w:hint="eastAsia"/>
          <w:b/>
          <w:bCs/>
          <w:rtl/>
        </w:rPr>
        <w:t>ניקוד</w:t>
      </w:r>
      <w:r w:rsidRPr="002B5E33">
        <w:rPr>
          <w:b/>
          <w:bCs/>
          <w:rtl/>
        </w:rPr>
        <w:t xml:space="preserve"> חברות הביטוח </w:t>
      </w:r>
      <w:r w:rsidRPr="002B5E33">
        <w:rPr>
          <w:rFonts w:hint="eastAsia"/>
          <w:b/>
          <w:bCs/>
          <w:rtl/>
        </w:rPr>
        <w:t>ברכיב</w:t>
      </w:r>
      <w:r w:rsidRPr="002B5E33">
        <w:rPr>
          <w:b/>
          <w:bCs/>
          <w:rtl/>
        </w:rPr>
        <w:t xml:space="preserve"> זמן </w:t>
      </w:r>
      <w:r w:rsidRPr="002B5E33">
        <w:rPr>
          <w:rFonts w:hint="cs"/>
          <w:b/>
          <w:bCs/>
          <w:rtl/>
        </w:rPr>
        <w:t>ההמתנה ל</w:t>
      </w:r>
      <w:r w:rsidRPr="002B5E33">
        <w:rPr>
          <w:b/>
          <w:bCs/>
          <w:rtl/>
        </w:rPr>
        <w:t xml:space="preserve">מענה טלפוני </w:t>
      </w:r>
      <w:r w:rsidRPr="002B5E33">
        <w:rPr>
          <w:rFonts w:hint="eastAsia"/>
          <w:b/>
          <w:bCs/>
          <w:rtl/>
        </w:rPr>
        <w:t>בתחום</w:t>
      </w:r>
      <w:r w:rsidRPr="002B5E33">
        <w:rPr>
          <w:b/>
          <w:bCs/>
          <w:rtl/>
        </w:rPr>
        <w:t xml:space="preserve"> </w:t>
      </w:r>
      <w:r w:rsidRPr="002B5E33">
        <w:rPr>
          <w:rFonts w:hint="eastAsia"/>
          <w:b/>
          <w:bCs/>
          <w:rtl/>
        </w:rPr>
        <w:t>ביטוחי</w:t>
      </w:r>
      <w:r w:rsidRPr="002B5E33">
        <w:rPr>
          <w:b/>
          <w:bCs/>
          <w:rtl/>
        </w:rPr>
        <w:t xml:space="preserve"> </w:t>
      </w:r>
      <w:r w:rsidRPr="002B5E33">
        <w:rPr>
          <w:rFonts w:hint="eastAsia"/>
          <w:b/>
          <w:bCs/>
          <w:rtl/>
        </w:rPr>
        <w:t>הבריאות</w:t>
      </w:r>
      <w:r w:rsidRPr="002B5E33">
        <w:rPr>
          <w:b/>
          <w:bCs/>
          <w:rtl/>
        </w:rPr>
        <w:t xml:space="preserve"> </w:t>
      </w:r>
    </w:p>
    <w:p w:rsidR="00FA3E7D" w:rsidRPr="002B5E33" w:rsidP="00FA3E7D">
      <w:pPr>
        <w:spacing w:line="269" w:lineRule="auto"/>
        <w:jc w:val="center"/>
        <w:rPr>
          <w:b/>
          <w:bCs/>
        </w:rPr>
      </w:pPr>
      <w:r w:rsidRPr="002B5E33">
        <w:rPr>
          <w:b/>
          <w:bCs/>
          <w:rtl/>
        </w:rPr>
        <w:t xml:space="preserve">(שיעור </w:t>
      </w:r>
      <w:r w:rsidRPr="002B5E33">
        <w:rPr>
          <w:rFonts w:hint="eastAsia"/>
          <w:b/>
          <w:bCs/>
          <w:rtl/>
        </w:rPr>
        <w:t>השיחות</w:t>
      </w:r>
      <w:r w:rsidRPr="002B5E33">
        <w:rPr>
          <w:b/>
          <w:bCs/>
          <w:rtl/>
        </w:rPr>
        <w:t xml:space="preserve"> </w:t>
      </w:r>
      <w:r w:rsidRPr="002B5E33">
        <w:rPr>
          <w:rFonts w:hint="eastAsia"/>
          <w:b/>
          <w:bCs/>
          <w:rtl/>
        </w:rPr>
        <w:t>הנענות</w:t>
      </w:r>
      <w:r w:rsidRPr="002B5E33">
        <w:rPr>
          <w:b/>
          <w:bCs/>
          <w:rtl/>
        </w:rPr>
        <w:t xml:space="preserve"> </w:t>
      </w:r>
      <w:r w:rsidRPr="002B5E33">
        <w:rPr>
          <w:rFonts w:hint="eastAsia"/>
          <w:b/>
          <w:bCs/>
          <w:rtl/>
        </w:rPr>
        <w:t>בתוך</w:t>
      </w:r>
      <w:r w:rsidRPr="002B5E33">
        <w:rPr>
          <w:b/>
          <w:bCs/>
          <w:rtl/>
        </w:rPr>
        <w:t xml:space="preserve"> </w:t>
      </w:r>
      <w:r w:rsidRPr="002B5E33">
        <w:rPr>
          <w:rFonts w:hint="cs"/>
          <w:b/>
          <w:bCs/>
          <w:rtl/>
        </w:rPr>
        <w:t xml:space="preserve">שלוש </w:t>
      </w:r>
      <w:r w:rsidRPr="002B5E33">
        <w:rPr>
          <w:rFonts w:hint="eastAsia"/>
          <w:b/>
          <w:bCs/>
          <w:rtl/>
        </w:rPr>
        <w:t>דקות</w:t>
      </w:r>
      <w:r w:rsidRPr="002B5E33">
        <w:rPr>
          <w:b/>
          <w:bCs/>
          <w:rtl/>
        </w:rPr>
        <w:t xml:space="preserve">) </w:t>
      </w:r>
      <w:r w:rsidRPr="002B5E33">
        <w:rPr>
          <w:rFonts w:hint="eastAsia"/>
          <w:b/>
          <w:bCs/>
          <w:rtl/>
        </w:rPr>
        <w:t>בשנים</w:t>
      </w:r>
      <w:r w:rsidRPr="002B5E33">
        <w:rPr>
          <w:b/>
          <w:bCs/>
          <w:rtl/>
        </w:rPr>
        <w:t xml:space="preserve"> 2018-2015</w:t>
      </w:r>
    </w:p>
    <w:p w:rsidR="00FA3E7D" w:rsidRPr="002B5E33" w:rsidP="00291546">
      <w:pPr>
        <w:spacing w:before="120" w:after="120" w:line="269" w:lineRule="auto"/>
        <w:jc w:val="center"/>
        <w:rPr>
          <w:b/>
          <w:bCs/>
        </w:rPr>
      </w:pPr>
      <w:r>
        <w:rPr>
          <w:b/>
          <w:bCs/>
          <w:noProof/>
        </w:rPr>
        <w:drawing>
          <wp:inline distT="0" distB="0" distL="0" distR="0">
            <wp:extent cx="4386081" cy="2340869"/>
            <wp:effectExtent l="0" t="0" r="0" b="254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72379" name="commercial-health-insurance-g-34.png"/>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86081" cy="2340869"/>
                    </a:xfrm>
                    <a:prstGeom prst="rect">
                      <a:avLst/>
                    </a:prstGeom>
                  </pic:spPr>
                </pic:pic>
              </a:graphicData>
            </a:graphic>
          </wp:inline>
        </w:drawing>
      </w:r>
    </w:p>
    <w:p w:rsidR="00FA3E7D" w:rsidRPr="0088167D" w:rsidP="00FA3E7D">
      <w:pPr>
        <w:spacing w:line="269" w:lineRule="auto"/>
        <w:rPr>
          <w:sz w:val="22"/>
          <w:szCs w:val="22"/>
          <w:rtl/>
        </w:rPr>
      </w:pPr>
      <w:r w:rsidRPr="0088167D">
        <w:rPr>
          <w:rFonts w:hint="cs"/>
          <w:sz w:val="22"/>
          <w:szCs w:val="22"/>
          <w:rtl/>
        </w:rPr>
        <w:t>מקור: נתוני רשות שוק ההון, בעיבוד משרד מבקר המדינה.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מנתוני התרשים לעיל עולה כי בשנים 2015 - 2018 חל שיפור בשיעור השיחות אל כלל חברות הביטוח (בתחום ביטוחי הבריאות), אשר נענו בתוך 3 דקות, מ-61.2% מהשיחות ל-67.6% מהשיחות בממוצע. עם זאת, עולה בבירור מהתרשים כי במהלך השנים חלו בנתוני מרבית החברות שינויים בולטים מאוד בציוני המענה לשיחות, לחיוב ולשלילה.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בעבודת המטה שהוכנה עבור רשות שוק ההון לקראת איסוף ופרסום המידע בנוגע למדדי שירות, נכתב כי "במוקדים הטלפוניים של חברות רבות ישנה הפרדה במענה ללקוחות פרטיים ומענה לסוכנים, מעסיקים וקולקטיביים, כאשר האחרונים זוכים לרמת שירות גבוהה יותר".</w:t>
      </w:r>
    </w:p>
    <w:p w:rsidR="00FA3E7D" w:rsidRPr="002B5E33" w:rsidP="00FA3E7D">
      <w:pPr>
        <w:pStyle w:val="a"/>
        <w:spacing w:line="269" w:lineRule="auto"/>
      </w:pPr>
    </w:p>
    <w:p w:rsidR="00FA3E7D" w:rsidRPr="002B5E33" w:rsidP="00FA3E7D">
      <w:pPr>
        <w:spacing w:line="269" w:lineRule="auto"/>
        <w:rPr>
          <w:b/>
          <w:bCs/>
          <w:rtl/>
        </w:rPr>
      </w:pPr>
      <w:r w:rsidRPr="002B5E33">
        <w:rPr>
          <w:rFonts w:hint="cs"/>
          <w:b/>
          <w:bCs/>
          <w:rtl/>
        </w:rPr>
        <w:t>נמצא כי במסגרת הבקרה על זמן ההמתנה למענה לשיחות, רשות שוק ההון אינה בוחנת אם קיים פער בזמן ההמתנה למענה בין לקוחות המבוטחים בפוליסה קבוצתית לבין כאלה המבוטחים בפוליסה פרטית, על אף ההבדלים הקיימים ברמת השירות של שתי הקבוצות, לפי עבודת המטה שהוכנה עבור הרשות.</w:t>
      </w:r>
    </w:p>
    <w:p w:rsidR="00FA3E7D" w:rsidRPr="002B5E33" w:rsidP="00FA3E7D">
      <w:pPr>
        <w:pStyle w:val="a"/>
        <w:spacing w:line="269" w:lineRule="auto"/>
        <w:rPr>
          <w:rtl/>
        </w:rPr>
      </w:pPr>
    </w:p>
    <w:p w:rsidR="00FA3E7D" w:rsidRPr="002B5E33" w:rsidP="00291546">
      <w:pPr>
        <w:spacing w:line="269" w:lineRule="auto"/>
        <w:rPr>
          <w:rtl/>
        </w:rPr>
      </w:pPr>
      <w:r w:rsidRPr="002B5E33">
        <w:rPr>
          <w:rFonts w:hint="cs"/>
          <w:rtl/>
        </w:rPr>
        <w:t>רשות שוק ההון כתבה בתשובתה כי "פילוח לפי סוגי הפוליסה (פרט או קבוצתי) אינו רלוונטי בהיבט זה ולכן אינו נבחן ברכיב זה, ככל שהשירות ניתן במוקד אחד".</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כחלק מהצורך בהתמחות של נציגי השירות הטלפוני בחברות הביטוח בתחום שירות מסוים, מנותבות לעיתים שיחות הטלפון לחברות הביטוח לנציגים שונים בהתאם לסוג הפעולה שהלקוח מבקש לבצע. גם שיקולים עסקיים עשויים להישקל על ידי חברות הביטוח, באופן שלקוח המבקש לרכוש פוליסת ביטוח, יקבל מענה טלפוני מהיר יותר מלקוח המבקש לבטל פוליסה קיימת.</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רשות שוק ההון מסרה למשרד מבקר המדינה כי לפי קביעתה ייעשו הבקרות הטלפוניות על פי מכסות קבועות מראש של סוגי פעולה, בהתאם לבחינה שערכה בשנת 2015. הרשות קבעה כי 40% מהבקרות יבחנו את משך ההמתנה למענה בעניין ביטול פוליסה; 40% יבחנו את משך ההמתנה למענה בעניין בירור פרטים; ו-20% יבחנו קריטריון זה בעניין הגשת תביעות.</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בדיקת משרד מבקר המדינה העלתה פער ניכר בין מכסות הבקרה שקבעה הרשות כאמור לעיל, בהשוואה לניתוח הפניות למוקדים הטלפוניים של חברות הביטוח כפי שעולה מנתוני סקר שביעות רצון שערכה הרשות בשנים 2018-2017.</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רשות שוק ההון כתבה בתשובתה כי לאחר קבלת ייעוץ מקצועי החליטה לבחון את זמני ההמתנה דווקא בפעולות שבהן אין לחברות הביטוח אינטרס מסחרי לקצר את זמני ההמתנה (ביטול פוליסה, בירור פרטים ותביעה). כמו כן ציינה הרשות כי היא מבצעת בקרות על עמידה במכסות שקבעה, "בהתאם לצורך".</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eastAsia"/>
          <w:b/>
          <w:bCs/>
          <w:rtl/>
        </w:rPr>
        <w:t>לנוכח</w:t>
      </w:r>
      <w:r w:rsidRPr="002B5E33">
        <w:rPr>
          <w:b/>
          <w:bCs/>
          <w:rtl/>
        </w:rPr>
        <w:t xml:space="preserve"> הפערים בין המכסות שקבעה הרשות לביצוע הבקרות ובין הבקרות בפועל, </w:t>
      </w:r>
      <w:r w:rsidRPr="002B5E33">
        <w:rPr>
          <w:rFonts w:hint="eastAsia"/>
          <w:b/>
          <w:bCs/>
          <w:rtl/>
        </w:rPr>
        <w:t>מומלץ</w:t>
      </w:r>
      <w:r w:rsidRPr="002B5E33">
        <w:rPr>
          <w:b/>
          <w:bCs/>
          <w:rtl/>
        </w:rPr>
        <w:t xml:space="preserve"> כי </w:t>
      </w:r>
      <w:r w:rsidRPr="002B5E33">
        <w:rPr>
          <w:rFonts w:hint="eastAsia"/>
          <w:b/>
          <w:bCs/>
          <w:rtl/>
        </w:rPr>
        <w:t>הרשות</w:t>
      </w:r>
      <w:r w:rsidRPr="002B5E33">
        <w:rPr>
          <w:b/>
          <w:bCs/>
          <w:rtl/>
        </w:rPr>
        <w:t xml:space="preserve"> </w:t>
      </w:r>
      <w:r w:rsidRPr="002B5E33">
        <w:rPr>
          <w:rFonts w:hint="eastAsia"/>
          <w:b/>
          <w:bCs/>
          <w:rtl/>
        </w:rPr>
        <w:t>תבצע</w:t>
      </w:r>
      <w:r w:rsidRPr="002B5E33">
        <w:rPr>
          <w:b/>
          <w:bCs/>
          <w:rtl/>
        </w:rPr>
        <w:t xml:space="preserve"> </w:t>
      </w:r>
      <w:r w:rsidRPr="002B5E33">
        <w:rPr>
          <w:rFonts w:hint="eastAsia"/>
          <w:b/>
          <w:bCs/>
          <w:rtl/>
        </w:rPr>
        <w:t>בקרה</w:t>
      </w:r>
      <w:r w:rsidRPr="002B5E33">
        <w:rPr>
          <w:b/>
          <w:bCs/>
          <w:rtl/>
        </w:rPr>
        <w:t xml:space="preserve"> </w:t>
      </w:r>
      <w:r w:rsidRPr="002B5E33">
        <w:rPr>
          <w:rFonts w:hint="eastAsia"/>
          <w:b/>
          <w:bCs/>
          <w:rtl/>
        </w:rPr>
        <w:t>שוטפת</w:t>
      </w:r>
      <w:r w:rsidRPr="002B5E33">
        <w:rPr>
          <w:b/>
          <w:bCs/>
          <w:rtl/>
        </w:rPr>
        <w:t xml:space="preserve"> </w:t>
      </w:r>
      <w:r w:rsidRPr="002B5E33">
        <w:rPr>
          <w:rFonts w:hint="eastAsia"/>
          <w:b/>
          <w:bCs/>
          <w:rtl/>
        </w:rPr>
        <w:t>על</w:t>
      </w:r>
      <w:r w:rsidRPr="002B5E33">
        <w:rPr>
          <w:b/>
          <w:bCs/>
          <w:rtl/>
        </w:rPr>
        <w:t xml:space="preserve"> </w:t>
      </w:r>
      <w:r w:rsidRPr="002B5E33">
        <w:rPr>
          <w:rFonts w:hint="eastAsia"/>
          <w:b/>
          <w:bCs/>
          <w:rtl/>
        </w:rPr>
        <w:t>עבודת</w:t>
      </w:r>
      <w:r w:rsidRPr="002B5E33">
        <w:rPr>
          <w:b/>
          <w:bCs/>
          <w:rtl/>
        </w:rPr>
        <w:t xml:space="preserve"> </w:t>
      </w:r>
      <w:r w:rsidRPr="002B5E33">
        <w:rPr>
          <w:rFonts w:hint="eastAsia"/>
          <w:b/>
          <w:bCs/>
          <w:rtl/>
        </w:rPr>
        <w:t>הספק</w:t>
      </w:r>
      <w:r w:rsidRPr="002B5E33">
        <w:rPr>
          <w:b/>
          <w:bCs/>
          <w:rtl/>
        </w:rPr>
        <w:t xml:space="preserve"> </w:t>
      </w:r>
      <w:r w:rsidRPr="002B5E33">
        <w:rPr>
          <w:rFonts w:hint="eastAsia"/>
          <w:b/>
          <w:bCs/>
          <w:rtl/>
        </w:rPr>
        <w:t>שנבחר</w:t>
      </w:r>
      <w:r w:rsidRPr="002B5E33">
        <w:rPr>
          <w:b/>
          <w:bCs/>
          <w:rtl/>
        </w:rPr>
        <w:t xml:space="preserve"> </w:t>
      </w:r>
      <w:r w:rsidRPr="002B5E33">
        <w:rPr>
          <w:rFonts w:hint="eastAsia"/>
          <w:b/>
          <w:bCs/>
          <w:rtl/>
        </w:rPr>
        <w:t>על</w:t>
      </w:r>
      <w:r w:rsidRPr="002B5E33">
        <w:rPr>
          <w:b/>
          <w:bCs/>
          <w:rtl/>
        </w:rPr>
        <w:t xml:space="preserve"> </w:t>
      </w:r>
      <w:r w:rsidRPr="002B5E33">
        <w:rPr>
          <w:rFonts w:hint="eastAsia"/>
          <w:b/>
          <w:bCs/>
          <w:rtl/>
        </w:rPr>
        <w:t>ידה</w:t>
      </w:r>
      <w:r w:rsidRPr="002B5E33">
        <w:rPr>
          <w:b/>
          <w:bCs/>
          <w:rtl/>
        </w:rPr>
        <w:t xml:space="preserve"> </w:t>
      </w:r>
      <w:r w:rsidRPr="002B5E33">
        <w:rPr>
          <w:rFonts w:hint="eastAsia"/>
          <w:b/>
          <w:bCs/>
          <w:rtl/>
        </w:rPr>
        <w:t>לביצוע</w:t>
      </w:r>
      <w:r w:rsidRPr="002B5E33">
        <w:rPr>
          <w:b/>
          <w:bCs/>
          <w:rtl/>
        </w:rPr>
        <w:t xml:space="preserve"> </w:t>
      </w:r>
      <w:r w:rsidRPr="002B5E33">
        <w:rPr>
          <w:rFonts w:hint="eastAsia"/>
          <w:b/>
          <w:bCs/>
          <w:rtl/>
        </w:rPr>
        <w:t>הבקרות</w:t>
      </w:r>
      <w:r w:rsidRPr="002B5E33">
        <w:rPr>
          <w:b/>
          <w:bCs/>
          <w:rtl/>
        </w:rPr>
        <w:t xml:space="preserve"> </w:t>
      </w:r>
      <w:r w:rsidRPr="002B5E33">
        <w:rPr>
          <w:rFonts w:hint="eastAsia"/>
          <w:b/>
          <w:bCs/>
          <w:rtl/>
        </w:rPr>
        <w:t>ו</w:t>
      </w:r>
      <w:r w:rsidRPr="002B5E33">
        <w:rPr>
          <w:rFonts w:hint="cs"/>
          <w:b/>
          <w:bCs/>
          <w:rtl/>
        </w:rPr>
        <w:t>ת</w:t>
      </w:r>
      <w:r w:rsidRPr="002B5E33">
        <w:rPr>
          <w:rFonts w:hint="eastAsia"/>
          <w:b/>
          <w:bCs/>
          <w:rtl/>
        </w:rPr>
        <w:t>וודא</w:t>
      </w:r>
      <w:r w:rsidRPr="002B5E33">
        <w:rPr>
          <w:b/>
          <w:bCs/>
          <w:rtl/>
        </w:rPr>
        <w:t xml:space="preserve"> </w:t>
      </w:r>
      <w:r w:rsidRPr="002B5E33">
        <w:rPr>
          <w:rFonts w:hint="eastAsia"/>
          <w:b/>
          <w:bCs/>
          <w:rtl/>
        </w:rPr>
        <w:t>כי</w:t>
      </w:r>
      <w:r w:rsidRPr="002B5E33">
        <w:rPr>
          <w:b/>
          <w:bCs/>
          <w:rtl/>
        </w:rPr>
        <w:t xml:space="preserve"> </w:t>
      </w:r>
      <w:r w:rsidRPr="002B5E33">
        <w:rPr>
          <w:rFonts w:hint="eastAsia"/>
          <w:b/>
          <w:bCs/>
          <w:rtl/>
        </w:rPr>
        <w:t>הוא</w:t>
      </w:r>
      <w:r w:rsidRPr="002B5E33">
        <w:rPr>
          <w:b/>
          <w:bCs/>
          <w:rtl/>
        </w:rPr>
        <w:t xml:space="preserve"> </w:t>
      </w:r>
      <w:r w:rsidRPr="002B5E33">
        <w:rPr>
          <w:rFonts w:hint="eastAsia"/>
          <w:b/>
          <w:bCs/>
          <w:rtl/>
        </w:rPr>
        <w:t>עומד</w:t>
      </w:r>
      <w:r w:rsidRPr="002B5E33">
        <w:rPr>
          <w:b/>
          <w:bCs/>
          <w:rtl/>
        </w:rPr>
        <w:t xml:space="preserve"> </w:t>
      </w:r>
      <w:r w:rsidRPr="002B5E33">
        <w:rPr>
          <w:rFonts w:hint="eastAsia"/>
          <w:b/>
          <w:bCs/>
          <w:rtl/>
        </w:rPr>
        <w:t>בהנחיות</w:t>
      </w:r>
      <w:r w:rsidRPr="002B5E33">
        <w:rPr>
          <w:b/>
          <w:bCs/>
          <w:rtl/>
        </w:rPr>
        <w:t xml:space="preserve"> </w:t>
      </w:r>
      <w:r w:rsidRPr="002B5E33">
        <w:rPr>
          <w:rFonts w:hint="eastAsia"/>
          <w:b/>
          <w:bCs/>
          <w:rtl/>
        </w:rPr>
        <w:t>שקבעה</w:t>
      </w:r>
      <w:r w:rsidRPr="002B5E33">
        <w:rPr>
          <w:b/>
          <w:bCs/>
          <w:rtl/>
        </w:rPr>
        <w:t>.</w:t>
      </w:r>
    </w:p>
    <w:p w:rsidR="00FA3E7D" w:rsidRPr="002B5E33" w:rsidP="00FA3E7D">
      <w:pPr>
        <w:pStyle w:val="a"/>
        <w:spacing w:line="269" w:lineRule="auto"/>
        <w:rPr>
          <w:rtl/>
        </w:rPr>
      </w:pPr>
    </w:p>
    <w:p w:rsidR="00FA3E7D" w:rsidRPr="002B5E33" w:rsidP="00FA3E7D">
      <w:pPr>
        <w:pStyle w:val="Heading5"/>
        <w:spacing w:line="269" w:lineRule="auto"/>
        <w:rPr>
          <w:rtl/>
        </w:rPr>
      </w:pPr>
      <w:r w:rsidRPr="002B5E33">
        <w:rPr>
          <w:rFonts w:hint="cs"/>
          <w:rtl/>
        </w:rPr>
        <w:t>התפלגות שיחות הבקרה</w:t>
      </w:r>
    </w:p>
    <w:p w:rsidR="00FA3E7D" w:rsidRPr="002B5E33" w:rsidP="00FA3E7D">
      <w:pPr>
        <w:pStyle w:val="a"/>
        <w:rPr>
          <w:rtl/>
        </w:rPr>
      </w:pPr>
    </w:p>
    <w:p w:rsidR="00FA3E7D" w:rsidRPr="002B5E33" w:rsidP="00FA3E7D">
      <w:pPr>
        <w:spacing w:line="269" w:lineRule="auto"/>
        <w:rPr>
          <w:rtl/>
        </w:rPr>
      </w:pPr>
      <w:r w:rsidRPr="002B5E33">
        <w:rPr>
          <w:rFonts w:hint="cs"/>
          <w:rtl/>
        </w:rPr>
        <w:t xml:space="preserve">זמני המענה במוקדים הטלפוניים של חברות הביטוח עשויים להיות מושפעים ממספר רב של גורמים, ובהם גורמים חיצוניים - כגון היום בשבוע (ייתכן כי קיים ריבוי מתקשרים בימי א', לאחר חופשת סוף השבוע), השעה ביום (ריבוי או מיעוט מתקשרים בשעות מסוימות), ימים שלאחר חגים (העשויים לגרור ריבוי פניות), ימים שלאחר הפצת דוח שנתי למבוטחים ועוד. נוסף על אלה ייתכנו גם גורמים פנימיים בחברות שישפיעו על זמני המענה, כגון היעדרות של מספר רב של עובדים בימי עבודה מסוימים </w:t>
      </w:r>
      <w:r w:rsidRPr="002B5E33">
        <w:rPr>
          <w:rtl/>
        </w:rPr>
        <w:t>–</w:t>
      </w:r>
      <w:r w:rsidRPr="002B5E33">
        <w:rPr>
          <w:rFonts w:hint="cs"/>
          <w:rtl/>
        </w:rPr>
        <w:t xml:space="preserve"> למשל בשל מחלה, חופש, או אירוע של החברה.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ריכוז</w:t>
      </w:r>
      <w:r w:rsidRPr="002B5E33">
        <w:rPr>
          <w:rtl/>
        </w:rPr>
        <w:t xml:space="preserve"> </w:t>
      </w:r>
      <w:r w:rsidRPr="002B5E33">
        <w:rPr>
          <w:rFonts w:hint="eastAsia"/>
          <w:rtl/>
        </w:rPr>
        <w:t>שיחות</w:t>
      </w:r>
      <w:r w:rsidRPr="002B5E33">
        <w:rPr>
          <w:rtl/>
        </w:rPr>
        <w:t xml:space="preserve"> </w:t>
      </w:r>
      <w:r w:rsidRPr="002B5E33">
        <w:rPr>
          <w:rFonts w:hint="eastAsia"/>
          <w:rtl/>
        </w:rPr>
        <w:t>הבקרה</w:t>
      </w:r>
      <w:r w:rsidRPr="002B5E33">
        <w:rPr>
          <w:rtl/>
        </w:rPr>
        <w:t xml:space="preserve"> </w:t>
      </w:r>
      <w:r w:rsidRPr="002B5E33">
        <w:rPr>
          <w:rFonts w:hint="eastAsia"/>
          <w:rtl/>
        </w:rPr>
        <w:t>בימים</w:t>
      </w:r>
      <w:r w:rsidRPr="002B5E33">
        <w:rPr>
          <w:rtl/>
        </w:rPr>
        <w:t xml:space="preserve"> </w:t>
      </w:r>
      <w:r w:rsidRPr="002B5E33">
        <w:rPr>
          <w:rFonts w:hint="eastAsia"/>
          <w:rtl/>
        </w:rPr>
        <w:t>ספציפיים</w:t>
      </w:r>
      <w:r w:rsidRPr="002B5E33">
        <w:rPr>
          <w:rtl/>
        </w:rPr>
        <w:t xml:space="preserve"> </w:t>
      </w:r>
      <w:r w:rsidRPr="002B5E33">
        <w:rPr>
          <w:rFonts w:hint="eastAsia"/>
          <w:rtl/>
        </w:rPr>
        <w:t>בחלק</w:t>
      </w:r>
      <w:r w:rsidRPr="002B5E33">
        <w:rPr>
          <w:rtl/>
        </w:rPr>
        <w:t xml:space="preserve"> </w:t>
      </w:r>
      <w:r w:rsidRPr="002B5E33">
        <w:rPr>
          <w:rFonts w:hint="eastAsia"/>
          <w:rtl/>
        </w:rPr>
        <w:t>מהחברות</w:t>
      </w:r>
      <w:r w:rsidRPr="002B5E33">
        <w:rPr>
          <w:rtl/>
        </w:rPr>
        <w:t xml:space="preserve"> </w:t>
      </w:r>
      <w:r w:rsidRPr="002B5E33">
        <w:rPr>
          <w:rFonts w:hint="eastAsia"/>
          <w:rtl/>
        </w:rPr>
        <w:t>ופיזורם</w:t>
      </w:r>
      <w:r w:rsidRPr="002B5E33">
        <w:rPr>
          <w:rtl/>
        </w:rPr>
        <w:t xml:space="preserve"> </w:t>
      </w:r>
      <w:r w:rsidRPr="002B5E33">
        <w:rPr>
          <w:rFonts w:hint="eastAsia"/>
          <w:rtl/>
        </w:rPr>
        <w:t>על</w:t>
      </w:r>
      <w:r w:rsidRPr="002B5E33">
        <w:rPr>
          <w:rtl/>
        </w:rPr>
        <w:t xml:space="preserve"> </w:t>
      </w:r>
      <w:r w:rsidRPr="002B5E33">
        <w:rPr>
          <w:rFonts w:hint="eastAsia"/>
          <w:rtl/>
        </w:rPr>
        <w:t>פני</w:t>
      </w:r>
      <w:r w:rsidRPr="002B5E33">
        <w:rPr>
          <w:rtl/>
        </w:rPr>
        <w:t xml:space="preserve"> </w:t>
      </w:r>
      <w:r w:rsidRPr="002B5E33">
        <w:rPr>
          <w:rFonts w:hint="eastAsia"/>
          <w:rtl/>
        </w:rPr>
        <w:t>מספר</w:t>
      </w:r>
      <w:r w:rsidRPr="002B5E33">
        <w:rPr>
          <w:rtl/>
        </w:rPr>
        <w:t xml:space="preserve"> </w:t>
      </w:r>
      <w:r w:rsidRPr="002B5E33">
        <w:rPr>
          <w:rFonts w:hint="eastAsia"/>
          <w:rtl/>
        </w:rPr>
        <w:t>ימים</w:t>
      </w:r>
      <w:r w:rsidRPr="002B5E33">
        <w:rPr>
          <w:rtl/>
        </w:rPr>
        <w:t xml:space="preserve"> </w:t>
      </w:r>
      <w:r w:rsidRPr="002B5E33">
        <w:rPr>
          <w:rFonts w:hint="eastAsia"/>
          <w:rtl/>
        </w:rPr>
        <w:t>רב</w:t>
      </w:r>
      <w:r w:rsidRPr="002B5E33">
        <w:rPr>
          <w:rtl/>
        </w:rPr>
        <w:t xml:space="preserve"> </w:t>
      </w:r>
      <w:r w:rsidRPr="002B5E33">
        <w:rPr>
          <w:rFonts w:hint="eastAsia"/>
          <w:rtl/>
        </w:rPr>
        <w:t>יותר</w:t>
      </w:r>
      <w:r w:rsidRPr="002B5E33">
        <w:rPr>
          <w:rtl/>
        </w:rPr>
        <w:t xml:space="preserve"> </w:t>
      </w:r>
      <w:r w:rsidRPr="002B5E33">
        <w:rPr>
          <w:rFonts w:hint="eastAsia"/>
          <w:rtl/>
        </w:rPr>
        <w:t>בחברות</w:t>
      </w:r>
      <w:r w:rsidRPr="002B5E33">
        <w:rPr>
          <w:rtl/>
        </w:rPr>
        <w:t xml:space="preserve"> </w:t>
      </w:r>
      <w:r w:rsidRPr="002B5E33">
        <w:rPr>
          <w:rFonts w:hint="eastAsia"/>
          <w:rtl/>
        </w:rPr>
        <w:t>אחרות</w:t>
      </w:r>
      <w:r w:rsidRPr="002B5E33">
        <w:rPr>
          <w:rtl/>
        </w:rPr>
        <w:t xml:space="preserve"> </w:t>
      </w:r>
      <w:r w:rsidRPr="002B5E33">
        <w:rPr>
          <w:rFonts w:hint="eastAsia"/>
          <w:rtl/>
        </w:rPr>
        <w:t>עלול</w:t>
      </w:r>
      <w:r w:rsidRPr="002B5E33">
        <w:rPr>
          <w:rtl/>
        </w:rPr>
        <w:t xml:space="preserve"> </w:t>
      </w:r>
      <w:r w:rsidRPr="002B5E33">
        <w:rPr>
          <w:rFonts w:hint="eastAsia"/>
          <w:rtl/>
        </w:rPr>
        <w:t>לגרום</w:t>
      </w:r>
      <w:r w:rsidRPr="002B5E33">
        <w:rPr>
          <w:rtl/>
        </w:rPr>
        <w:t xml:space="preserve"> </w:t>
      </w:r>
      <w:r w:rsidRPr="002B5E33">
        <w:rPr>
          <w:rFonts w:hint="eastAsia"/>
          <w:rtl/>
        </w:rPr>
        <w:t>להטיה</w:t>
      </w:r>
      <w:r w:rsidRPr="002B5E33">
        <w:rPr>
          <w:rtl/>
        </w:rPr>
        <w:t xml:space="preserve"> </w:t>
      </w:r>
      <w:r w:rsidRPr="002B5E33">
        <w:rPr>
          <w:rFonts w:hint="eastAsia"/>
          <w:rtl/>
        </w:rPr>
        <w:t>בתוצאות</w:t>
      </w:r>
      <w:r w:rsidRPr="002B5E33">
        <w:rPr>
          <w:rFonts w:hint="cs"/>
          <w:rtl/>
        </w:rPr>
        <w:t>,</w:t>
      </w:r>
      <w:r w:rsidRPr="002B5E33">
        <w:rPr>
          <w:rtl/>
        </w:rPr>
        <w:t xml:space="preserve"> </w:t>
      </w:r>
      <w:r w:rsidRPr="002B5E33">
        <w:rPr>
          <w:rFonts w:hint="eastAsia"/>
          <w:rtl/>
        </w:rPr>
        <w:t>הנובעת</w:t>
      </w:r>
      <w:r w:rsidRPr="002B5E33">
        <w:rPr>
          <w:rtl/>
        </w:rPr>
        <w:t xml:space="preserve"> </w:t>
      </w:r>
      <w:r w:rsidRPr="002B5E33">
        <w:rPr>
          <w:rFonts w:hint="eastAsia"/>
          <w:rtl/>
        </w:rPr>
        <w:t>מכך</w:t>
      </w:r>
      <w:r w:rsidRPr="002B5E33">
        <w:rPr>
          <w:rtl/>
        </w:rPr>
        <w:t xml:space="preserve"> </w:t>
      </w:r>
      <w:r w:rsidRPr="002B5E33">
        <w:rPr>
          <w:rFonts w:hint="eastAsia"/>
          <w:rtl/>
        </w:rPr>
        <w:t>שהשיחות</w:t>
      </w:r>
      <w:r w:rsidRPr="002B5E33">
        <w:rPr>
          <w:rtl/>
        </w:rPr>
        <w:t xml:space="preserve"> </w:t>
      </w:r>
      <w:r w:rsidRPr="002B5E33">
        <w:rPr>
          <w:rFonts w:hint="eastAsia"/>
          <w:rtl/>
        </w:rPr>
        <w:t>עלולות</w:t>
      </w:r>
      <w:r w:rsidRPr="002B5E33">
        <w:rPr>
          <w:rtl/>
        </w:rPr>
        <w:t xml:space="preserve"> </w:t>
      </w:r>
      <w:r w:rsidRPr="002B5E33">
        <w:rPr>
          <w:rFonts w:hint="eastAsia"/>
          <w:rtl/>
        </w:rPr>
        <w:t>להתרכז</w:t>
      </w:r>
      <w:r w:rsidRPr="002B5E33">
        <w:rPr>
          <w:rtl/>
        </w:rPr>
        <w:t xml:space="preserve"> </w:t>
      </w:r>
      <w:r w:rsidRPr="002B5E33">
        <w:rPr>
          <w:rFonts w:hint="eastAsia"/>
          <w:rtl/>
        </w:rPr>
        <w:t>דווקא</w:t>
      </w:r>
      <w:r w:rsidRPr="002B5E33">
        <w:rPr>
          <w:rtl/>
        </w:rPr>
        <w:t xml:space="preserve"> </w:t>
      </w:r>
      <w:r w:rsidRPr="002B5E33">
        <w:rPr>
          <w:rFonts w:hint="eastAsia"/>
          <w:rtl/>
        </w:rPr>
        <w:t>בימים</w:t>
      </w:r>
      <w:r w:rsidRPr="002B5E33">
        <w:rPr>
          <w:rtl/>
        </w:rPr>
        <w:t xml:space="preserve"> </w:t>
      </w:r>
      <w:r w:rsidRPr="002B5E33">
        <w:rPr>
          <w:rFonts w:hint="eastAsia"/>
          <w:rtl/>
        </w:rPr>
        <w:t>שבהם</w:t>
      </w:r>
      <w:r w:rsidRPr="002B5E33">
        <w:rPr>
          <w:rtl/>
        </w:rPr>
        <w:t xml:space="preserve"> </w:t>
      </w:r>
      <w:r w:rsidRPr="002B5E33">
        <w:rPr>
          <w:rFonts w:hint="cs"/>
          <w:rtl/>
        </w:rPr>
        <w:t>עומס הפונים אינו משקף את העומס האופייני</w:t>
      </w:r>
      <w:r>
        <w:rPr>
          <w:rFonts w:hint="cs"/>
          <w:rtl/>
        </w:rPr>
        <w:t xml:space="preserve"> </w:t>
      </w:r>
      <w:r w:rsidRPr="002B5E33">
        <w:rPr>
          <w:rFonts w:hint="eastAsia"/>
          <w:rtl/>
        </w:rPr>
        <w:t>בחברות</w:t>
      </w:r>
      <w:r w:rsidRPr="002B5E33">
        <w:rPr>
          <w:rtl/>
        </w:rPr>
        <w:t>.</w:t>
      </w:r>
      <w:r w:rsidRPr="002B5E33">
        <w:rPr>
          <w:rFonts w:hint="cs"/>
          <w:rtl/>
        </w:rPr>
        <w:t xml:space="preserve"> כדי לתת יתר תוקף לבקרה על זמני ההמתנה למענה טלפוני, יש צורך בנקיטת איזון מרבי בשיחות הבקרה וחלוקתן על פני כל ימי העבודה במהלך השנה, ובביצוע הבקרה באופן שוויוני בין החברות.</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בשנת 2018 בוצעו הבקרות על זמן ההמתנה למענה טלפוני בפניות בנושא ביטוח בריאות, על פני 189 ימים בשנה. </w:t>
      </w:r>
      <w:r w:rsidRPr="002B5E33">
        <w:rPr>
          <w:rtl/>
        </w:rPr>
        <w:t xml:space="preserve">נמצא כי </w:t>
      </w:r>
      <w:r w:rsidRPr="002B5E33">
        <w:rPr>
          <w:rFonts w:hint="eastAsia"/>
          <w:rtl/>
        </w:rPr>
        <w:t>רשות</w:t>
      </w:r>
      <w:r w:rsidRPr="002B5E33">
        <w:rPr>
          <w:rtl/>
        </w:rPr>
        <w:t xml:space="preserve"> </w:t>
      </w:r>
      <w:r w:rsidRPr="002B5E33">
        <w:rPr>
          <w:rFonts w:hint="eastAsia"/>
          <w:rtl/>
        </w:rPr>
        <w:t>שוק</w:t>
      </w:r>
      <w:r w:rsidRPr="002B5E33">
        <w:rPr>
          <w:rtl/>
        </w:rPr>
        <w:t xml:space="preserve"> </w:t>
      </w:r>
      <w:r w:rsidRPr="002B5E33">
        <w:rPr>
          <w:rFonts w:hint="eastAsia"/>
          <w:rtl/>
        </w:rPr>
        <w:t>ההון</w:t>
      </w:r>
      <w:r w:rsidRPr="002B5E33">
        <w:rPr>
          <w:rtl/>
        </w:rPr>
        <w:t xml:space="preserve"> </w:t>
      </w:r>
      <w:r w:rsidRPr="002B5E33">
        <w:rPr>
          <w:rFonts w:hint="eastAsia"/>
          <w:rtl/>
        </w:rPr>
        <w:t>לא</w:t>
      </w:r>
      <w:r w:rsidRPr="002B5E33">
        <w:rPr>
          <w:rtl/>
        </w:rPr>
        <w:t xml:space="preserve"> </w:t>
      </w:r>
      <w:r w:rsidRPr="002B5E33">
        <w:rPr>
          <w:rFonts w:hint="eastAsia"/>
          <w:rtl/>
        </w:rPr>
        <w:t>פעלה</w:t>
      </w:r>
      <w:r w:rsidRPr="002B5E33">
        <w:rPr>
          <w:rtl/>
        </w:rPr>
        <w:t xml:space="preserve"> </w:t>
      </w:r>
      <w:r w:rsidRPr="002B5E33">
        <w:rPr>
          <w:rFonts w:hint="eastAsia"/>
          <w:rtl/>
        </w:rPr>
        <w:t>לב</w:t>
      </w:r>
      <w:r w:rsidRPr="002B5E33">
        <w:rPr>
          <w:rFonts w:hint="cs"/>
          <w:rtl/>
        </w:rPr>
        <w:t>י</w:t>
      </w:r>
      <w:r w:rsidRPr="002B5E33">
        <w:rPr>
          <w:rFonts w:hint="eastAsia"/>
          <w:rtl/>
        </w:rPr>
        <w:t>צ</w:t>
      </w:r>
      <w:r w:rsidRPr="002B5E33">
        <w:rPr>
          <w:rFonts w:hint="cs"/>
          <w:rtl/>
        </w:rPr>
        <w:t>ו</w:t>
      </w:r>
      <w:r w:rsidRPr="002B5E33">
        <w:rPr>
          <w:rFonts w:hint="eastAsia"/>
          <w:rtl/>
        </w:rPr>
        <w:t>ע</w:t>
      </w:r>
      <w:r w:rsidRPr="002B5E33">
        <w:rPr>
          <w:rtl/>
        </w:rPr>
        <w:t xml:space="preserve"> </w:t>
      </w:r>
      <w:r w:rsidRPr="002B5E33">
        <w:rPr>
          <w:rFonts w:hint="eastAsia"/>
          <w:rtl/>
        </w:rPr>
        <w:t>הבקרה</w:t>
      </w:r>
      <w:r w:rsidRPr="002B5E33">
        <w:rPr>
          <w:rtl/>
        </w:rPr>
        <w:t xml:space="preserve"> </w:t>
      </w:r>
      <w:r w:rsidRPr="002B5E33">
        <w:rPr>
          <w:rFonts w:hint="cs"/>
          <w:rtl/>
        </w:rPr>
        <w:t xml:space="preserve">על </w:t>
      </w:r>
      <w:r w:rsidRPr="002B5E33">
        <w:rPr>
          <w:rFonts w:hint="eastAsia"/>
          <w:rtl/>
        </w:rPr>
        <w:t>החברות</w:t>
      </w:r>
      <w:r w:rsidRPr="002B5E33">
        <w:rPr>
          <w:rtl/>
        </w:rPr>
        <w:t xml:space="preserve"> </w:t>
      </w:r>
      <w:r w:rsidRPr="002B5E33">
        <w:rPr>
          <w:rFonts w:hint="eastAsia"/>
          <w:rtl/>
        </w:rPr>
        <w:t>באופן</w:t>
      </w:r>
      <w:r w:rsidRPr="002B5E33">
        <w:rPr>
          <w:rtl/>
        </w:rPr>
        <w:t xml:space="preserve"> </w:t>
      </w:r>
      <w:r w:rsidRPr="002B5E33">
        <w:rPr>
          <w:rFonts w:hint="eastAsia"/>
          <w:rtl/>
        </w:rPr>
        <w:t>שוויוני</w:t>
      </w:r>
      <w:r w:rsidRPr="002B5E33">
        <w:rPr>
          <w:rtl/>
        </w:rPr>
        <w:t xml:space="preserve"> </w:t>
      </w:r>
      <w:r w:rsidRPr="002B5E33">
        <w:rPr>
          <w:rFonts w:hint="cs"/>
          <w:rtl/>
        </w:rPr>
        <w:t xml:space="preserve">בהיבט של </w:t>
      </w:r>
      <w:r w:rsidRPr="002B5E33">
        <w:rPr>
          <w:rFonts w:hint="eastAsia"/>
          <w:rtl/>
        </w:rPr>
        <w:t>מספר</w:t>
      </w:r>
      <w:r w:rsidRPr="002B5E33">
        <w:rPr>
          <w:rtl/>
        </w:rPr>
        <w:t xml:space="preserve"> </w:t>
      </w:r>
      <w:r w:rsidRPr="002B5E33">
        <w:rPr>
          <w:rFonts w:hint="eastAsia"/>
          <w:rtl/>
        </w:rPr>
        <w:t>הימים</w:t>
      </w:r>
      <w:r w:rsidRPr="002B5E33">
        <w:rPr>
          <w:rtl/>
        </w:rPr>
        <w:t xml:space="preserve"> </w:t>
      </w:r>
      <w:r w:rsidRPr="002B5E33">
        <w:rPr>
          <w:rFonts w:hint="cs"/>
          <w:rtl/>
        </w:rPr>
        <w:t>ש</w:t>
      </w:r>
      <w:r w:rsidRPr="002B5E33">
        <w:rPr>
          <w:rFonts w:hint="eastAsia"/>
          <w:rtl/>
        </w:rPr>
        <w:t>בהם</w:t>
      </w:r>
      <w:r w:rsidRPr="002B5E33">
        <w:rPr>
          <w:rtl/>
        </w:rPr>
        <w:t xml:space="preserve"> </w:t>
      </w:r>
      <w:r w:rsidRPr="002B5E33">
        <w:rPr>
          <w:rFonts w:hint="eastAsia"/>
          <w:rtl/>
        </w:rPr>
        <w:t>מבוצעות</w:t>
      </w:r>
      <w:r w:rsidRPr="002B5E33">
        <w:rPr>
          <w:rtl/>
        </w:rPr>
        <w:t xml:space="preserve"> </w:t>
      </w:r>
      <w:r w:rsidRPr="002B5E33">
        <w:rPr>
          <w:rFonts w:hint="eastAsia"/>
          <w:rtl/>
        </w:rPr>
        <w:t>שיחות</w:t>
      </w:r>
      <w:r w:rsidRPr="002B5E33">
        <w:rPr>
          <w:rtl/>
        </w:rPr>
        <w:t xml:space="preserve"> </w:t>
      </w:r>
      <w:r w:rsidRPr="002B5E33">
        <w:rPr>
          <w:rFonts w:hint="eastAsia"/>
          <w:rtl/>
        </w:rPr>
        <w:t>הבקרה</w:t>
      </w:r>
      <w:r w:rsidRPr="002B5E33">
        <w:rPr>
          <w:rFonts w:hint="cs"/>
          <w:rtl/>
        </w:rPr>
        <w:t>.</w:t>
      </w:r>
      <w:r w:rsidRPr="002B5E33">
        <w:rPr>
          <w:rtl/>
        </w:rPr>
        <w:t xml:space="preserve"> </w:t>
      </w:r>
      <w:r w:rsidRPr="002B5E33">
        <w:rPr>
          <w:rFonts w:hint="cs"/>
          <w:rtl/>
        </w:rPr>
        <w:t xml:space="preserve">לדוגמה, </w:t>
      </w:r>
      <w:r w:rsidRPr="002B5E33">
        <w:rPr>
          <w:rtl/>
        </w:rPr>
        <w:t xml:space="preserve">שיחות בקרה </w:t>
      </w:r>
      <w:r w:rsidRPr="002B5E33">
        <w:rPr>
          <w:rFonts w:hint="cs"/>
          <w:rtl/>
        </w:rPr>
        <w:t>לאחת החברות בוצעו על פני 109</w:t>
      </w:r>
      <w:r w:rsidRPr="002B5E33">
        <w:rPr>
          <w:rtl/>
        </w:rPr>
        <w:t xml:space="preserve"> ימים</w:t>
      </w:r>
      <w:r w:rsidRPr="002B5E33">
        <w:rPr>
          <w:rFonts w:hint="cs"/>
          <w:rtl/>
        </w:rPr>
        <w:t>, ולחברה אחרת על פני 66</w:t>
      </w:r>
      <w:r w:rsidRPr="002B5E33">
        <w:rPr>
          <w:rtl/>
        </w:rPr>
        <w:t xml:space="preserve"> ימים</w:t>
      </w:r>
      <w:r w:rsidRPr="002B5E33">
        <w:rPr>
          <w:rFonts w:hint="cs"/>
          <w:rtl/>
        </w:rPr>
        <w:t xml:space="preserve"> בלבד</w:t>
      </w:r>
      <w:r w:rsidRPr="002B5E33">
        <w:rPr>
          <w:rtl/>
        </w:rPr>
        <w:t xml:space="preserve">. </w:t>
      </w:r>
    </w:p>
    <w:p w:rsidR="00FA3E7D" w:rsidRPr="002B5E33" w:rsidP="00FA3E7D">
      <w:pPr>
        <w:pStyle w:val="a"/>
        <w:spacing w:line="269" w:lineRule="auto"/>
        <w:rPr>
          <w:rtl/>
        </w:rPr>
      </w:pPr>
    </w:p>
    <w:p w:rsidR="00FA3E7D" w:rsidP="00FA3E7D">
      <w:pPr>
        <w:spacing w:line="269" w:lineRule="auto"/>
        <w:rPr>
          <w:rtl/>
        </w:rPr>
      </w:pPr>
      <w:r w:rsidRPr="002B5E33">
        <w:rPr>
          <w:rFonts w:hint="cs"/>
          <w:rtl/>
        </w:rPr>
        <w:t>מבדיקת ההתכתבות בין רשות שוק ההון ובין החברה המבצעת את בקרת זמני ההמתנה למענה טלפוני עלה כי הרשות הייתה מודעת לקיומם של פערים בין זמני ההמתנה למענה בימות השבוע השונים, וכי היא הנחתה את החברה המבצעת את הבקרות לדאוג לבקרה מאוזנת מבחינת מועדי הבקרה (לרבות בחלוקה לימות השבוע ולשעות המענה על פני היממה). ואולם, בחינת נתוני הבקרה בשנת 2018 ששימשו בחישוב רכיב זמן המענה ההמתנה לטלפוני מעלה כי למרות הנחיה זו נותר פער גדול בביצוע הבקרות בין ימי השבוע השונים, ובין שעות היממה השונות</w:t>
      </w:r>
      <w:r>
        <w:rPr>
          <w:rFonts w:hint="cs"/>
          <w:rtl/>
        </w:rPr>
        <w:t>.</w:t>
      </w:r>
    </w:p>
    <w:p w:rsidR="00FA3E7D" w:rsidRPr="002B5E33" w:rsidP="00291546">
      <w:pPr>
        <w:pStyle w:val="a"/>
        <w:spacing w:line="269" w:lineRule="auto"/>
        <w:ind w:left="0"/>
        <w:rPr>
          <w:rtl/>
        </w:rPr>
      </w:pPr>
    </w:p>
    <w:p w:rsidR="00FA3E7D" w:rsidRPr="002B5E33" w:rsidP="00FA3E7D">
      <w:pPr>
        <w:spacing w:line="269" w:lineRule="auto"/>
        <w:rPr>
          <w:b/>
          <w:bCs/>
          <w:rtl/>
        </w:rPr>
      </w:pPr>
      <w:r w:rsidRPr="002B5E33">
        <w:rPr>
          <w:rFonts w:hint="cs"/>
          <w:b/>
          <w:bCs/>
          <w:rtl/>
        </w:rPr>
        <w:t>משעמדה רשות שוק ההון על הצורך בעריכת בקרות על זמן ההמתנה למענה הטלפוני באופן מאוזן ושוויוני לאורך כל התקופה הנמדדת, והנחתה את החברה העורכת את הבקרה לקיימה באופן מאוזן, עליה לוודא כי הנחיותיה מתקיימות.</w:t>
      </w:r>
    </w:p>
    <w:p w:rsidR="00FA3E7D" w:rsidRPr="002B5E33" w:rsidP="00FA3E7D">
      <w:pPr>
        <w:pStyle w:val="a"/>
        <w:spacing w:line="269" w:lineRule="auto"/>
        <w:rPr>
          <w:rtl/>
        </w:rPr>
      </w:pPr>
    </w:p>
    <w:p w:rsidR="00632F5E" w:rsidP="00632F5E">
      <w:pPr>
        <w:spacing w:line="269" w:lineRule="auto"/>
        <w:rPr>
          <w:rtl/>
        </w:rPr>
      </w:pPr>
      <w:r w:rsidRPr="002B5E33">
        <w:rPr>
          <w:rFonts w:hint="cs"/>
          <w:rtl/>
        </w:rPr>
        <w:t>רשות שוק ההון מסרה כי "בשנת 2018 לא הצליח הספק לעמוד במכסות שנקבעו והרשות העירה על כך. עם זאת, ליקוי זה תוקן במהלך המדידה" וכי בשנת 2019 "היתה הקפדה יתרה על עמידה במכסות".</w:t>
      </w:r>
    </w:p>
    <w:p w:rsidR="00632F5E" w:rsidP="00632F5E">
      <w:pPr>
        <w:bidi w:val="0"/>
        <w:rPr>
          <w:rtl/>
        </w:rPr>
      </w:pPr>
      <w:r>
        <w:rPr>
          <w:rtl/>
        </w:rPr>
        <w:br w:type="page"/>
      </w:r>
    </w:p>
    <w:p w:rsidR="00FA3E7D" w:rsidRPr="002B5E33" w:rsidP="00FA3E7D">
      <w:pPr>
        <w:pStyle w:val="Heading4"/>
        <w:spacing w:before="0" w:line="269" w:lineRule="auto"/>
        <w:rPr>
          <w:rtl/>
        </w:rPr>
      </w:pPr>
      <w:r w:rsidRPr="002B5E33">
        <w:rPr>
          <w:rFonts w:hint="cs"/>
          <w:rtl/>
        </w:rPr>
        <w:t>רכיב תלונות ציבור במדדי השירות</w:t>
      </w:r>
    </w:p>
    <w:p w:rsidR="00FA3E7D" w:rsidRPr="002B5E33" w:rsidP="00FA3E7D">
      <w:pPr>
        <w:pStyle w:val="a"/>
        <w:rPr>
          <w:rtl/>
        </w:rPr>
      </w:pPr>
    </w:p>
    <w:p w:rsidR="00FA3E7D" w:rsidRPr="002B5E33" w:rsidP="00FA3E7D">
      <w:pPr>
        <w:spacing w:line="269" w:lineRule="auto"/>
        <w:rPr>
          <w:rtl/>
        </w:rPr>
      </w:pPr>
      <w:r w:rsidRPr="002B5E33">
        <w:rPr>
          <w:rFonts w:hint="cs"/>
          <w:rtl/>
        </w:rPr>
        <w:t xml:space="preserve">בעבודת המטה שהוכנה עבור רשות שוק ההון בנושא מדדי השירות צוין כי תלונות המבוטחים מייצגות מיעוט קטן מתופעה של חוסר שביעות הרצון מפעילות חברות הביטוח. כן צוין כי חלקן היחסי של התלונות הנוגע לאספקת השירות הוא נמוך. </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ניתוח נתוני התלונות לרשות שוק ההון, כפי שהובא לעיל בפרק בנושא הטיפול בפניות הציבור בתחום ביטוחי הבריאות, מעלה כי בניגוד לתוצאות שצוינו בעבודת המטה שנערכה עבור הרשות, שיעור התלונות הנוגע לאספקת השירות הוא גבוה מאוד.</w:t>
      </w:r>
      <w:r w:rsidRPr="002B5E33">
        <w:rPr>
          <w:b/>
          <w:bCs/>
          <w:rtl/>
        </w:rPr>
        <w:t xml:space="preserve">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באתר המרשתת של רשות שוק ההון נכתב כי הניקוד שניתן לחברות בשנת 2018 "חושב על בסיס תלונות הציבור בכל מוצר ביטוח, שהתקבלו ברשות בשנת 2018 או שבירורן הסתיים במהלך שנת 2018 ונמצא כי החברה התנהלה שלא כנדרש. לכל תלונה ניתן משקל שונה, בהתאם להתנהלות החברה ולפיצוי או הסעד שניתן לפונה. הציון משקלל את נתח השוק של כל חברה".</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 xml:space="preserve">תיאור חישוב הניקוד ברכיב תלונות הציבור באתר המרשתת של הרשות הוא חלקי ואינו מדויק. </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אופן</w:t>
      </w:r>
      <w:r w:rsidRPr="002B5E33">
        <w:rPr>
          <w:rtl/>
        </w:rPr>
        <w:t xml:space="preserve"> חישוב הניקוד </w:t>
      </w:r>
      <w:r w:rsidRPr="002B5E33">
        <w:rPr>
          <w:rFonts w:hint="eastAsia"/>
          <w:rtl/>
        </w:rPr>
        <w:t>ברכיב</w:t>
      </w:r>
      <w:r w:rsidRPr="002B5E33">
        <w:rPr>
          <w:rtl/>
        </w:rPr>
        <w:t xml:space="preserve"> תלונות הציבור </w:t>
      </w:r>
      <w:r w:rsidRPr="002B5E33">
        <w:rPr>
          <w:rFonts w:hint="eastAsia"/>
          <w:rtl/>
        </w:rPr>
        <w:t>מורכב</w:t>
      </w:r>
      <w:r w:rsidRPr="002B5E33">
        <w:rPr>
          <w:rtl/>
        </w:rPr>
        <w:t xml:space="preserve"> </w:t>
      </w:r>
      <w:r w:rsidRPr="002B5E33">
        <w:rPr>
          <w:rFonts w:hint="eastAsia"/>
          <w:rtl/>
        </w:rPr>
        <w:t>מא</w:t>
      </w:r>
      <w:r w:rsidRPr="002B5E33">
        <w:rPr>
          <w:rFonts w:hint="cs"/>
          <w:rtl/>
        </w:rPr>
        <w:t>ו</w:t>
      </w:r>
      <w:r w:rsidRPr="002B5E33">
        <w:rPr>
          <w:rFonts w:hint="eastAsia"/>
          <w:rtl/>
        </w:rPr>
        <w:t>ד</w:t>
      </w:r>
      <w:r w:rsidRPr="002B5E33">
        <w:rPr>
          <w:rFonts w:hint="cs"/>
          <w:rtl/>
        </w:rPr>
        <w:t xml:space="preserve"> </w:t>
      </w:r>
      <w:r w:rsidRPr="002B5E33">
        <w:rPr>
          <w:rFonts w:hint="eastAsia"/>
          <w:rtl/>
        </w:rPr>
        <w:t>וכ</w:t>
      </w:r>
      <w:r w:rsidRPr="002B5E33">
        <w:rPr>
          <w:rFonts w:hint="cs"/>
          <w:rtl/>
        </w:rPr>
        <w:t>ו</w:t>
      </w:r>
      <w:r w:rsidRPr="002B5E33">
        <w:rPr>
          <w:rFonts w:hint="eastAsia"/>
          <w:rtl/>
        </w:rPr>
        <w:t>לל</w:t>
      </w:r>
      <w:r w:rsidRPr="002B5E33">
        <w:rPr>
          <w:rtl/>
        </w:rPr>
        <w:t xml:space="preserve"> </w:t>
      </w:r>
      <w:r w:rsidRPr="002B5E33">
        <w:rPr>
          <w:rFonts w:hint="eastAsia"/>
          <w:rtl/>
        </w:rPr>
        <w:t>מספר</w:t>
      </w:r>
      <w:r w:rsidRPr="002B5E33">
        <w:rPr>
          <w:rtl/>
        </w:rPr>
        <w:t xml:space="preserve"> </w:t>
      </w:r>
      <w:r w:rsidRPr="002B5E33">
        <w:rPr>
          <w:rFonts w:hint="eastAsia"/>
          <w:rtl/>
        </w:rPr>
        <w:t>שלבים</w:t>
      </w:r>
      <w:r w:rsidRPr="002B5E33">
        <w:rPr>
          <w:rtl/>
        </w:rPr>
        <w:t xml:space="preserve"> </w:t>
      </w:r>
      <w:r w:rsidRPr="002B5E33">
        <w:rPr>
          <w:rFonts w:hint="eastAsia"/>
          <w:rtl/>
        </w:rPr>
        <w:t>שנמצאו</w:t>
      </w:r>
      <w:r w:rsidRPr="002B5E33">
        <w:rPr>
          <w:rtl/>
        </w:rPr>
        <w:t xml:space="preserve"> </w:t>
      </w:r>
      <w:r w:rsidRPr="002B5E33">
        <w:rPr>
          <w:rFonts w:hint="eastAsia"/>
          <w:rtl/>
        </w:rPr>
        <w:t>בהם</w:t>
      </w:r>
      <w:r w:rsidRPr="002B5E33">
        <w:rPr>
          <w:rtl/>
        </w:rPr>
        <w:t xml:space="preserve"> </w:t>
      </w:r>
      <w:r w:rsidRPr="002B5E33">
        <w:rPr>
          <w:rFonts w:hint="cs"/>
          <w:rtl/>
        </w:rPr>
        <w:t>כמה</w:t>
      </w:r>
      <w:r w:rsidRPr="002B5E33">
        <w:rPr>
          <w:rtl/>
        </w:rPr>
        <w:t xml:space="preserve"> </w:t>
      </w:r>
      <w:r w:rsidRPr="002B5E33">
        <w:rPr>
          <w:rFonts w:hint="eastAsia"/>
          <w:rtl/>
        </w:rPr>
        <w:t>ליקויים</w:t>
      </w:r>
      <w:r w:rsidRPr="002B5E33">
        <w:rPr>
          <w:rtl/>
        </w:rPr>
        <w:t>:</w:t>
      </w:r>
    </w:p>
    <w:p w:rsidR="00FA3E7D" w:rsidRPr="002B5E33" w:rsidP="00FA3E7D">
      <w:pPr>
        <w:pStyle w:val="a"/>
        <w:spacing w:line="269" w:lineRule="auto"/>
        <w:rPr>
          <w:rtl/>
        </w:rPr>
      </w:pPr>
    </w:p>
    <w:p w:rsidR="00FA3E7D" w:rsidRPr="002B5E33" w:rsidP="00FA3E7D">
      <w:pPr>
        <w:pStyle w:val="CommentText"/>
        <w:numPr>
          <w:ilvl w:val="0"/>
          <w:numId w:val="5"/>
        </w:numPr>
        <w:spacing w:line="269" w:lineRule="auto"/>
        <w:ind w:left="360"/>
        <w:rPr>
          <w:sz w:val="24"/>
          <w:szCs w:val="24"/>
        </w:rPr>
      </w:pPr>
      <w:r w:rsidRPr="002B5E33">
        <w:rPr>
          <w:rFonts w:hint="eastAsia"/>
          <w:sz w:val="24"/>
          <w:szCs w:val="24"/>
          <w:rtl/>
        </w:rPr>
        <w:t>מתן</w:t>
      </w:r>
      <w:r w:rsidRPr="002B5E33">
        <w:rPr>
          <w:sz w:val="24"/>
          <w:szCs w:val="24"/>
          <w:rtl/>
        </w:rPr>
        <w:t xml:space="preserve"> ניקוד שלילי על תלונות כנגד חברות ללא הבחנה בין פוליסות קבוצתיות לפרטיות על אף ההבדלים ביניה</w:t>
      </w:r>
      <w:r w:rsidRPr="002B5E33">
        <w:rPr>
          <w:rFonts w:hint="cs"/>
          <w:sz w:val="24"/>
          <w:szCs w:val="24"/>
          <w:rtl/>
        </w:rPr>
        <w:t>ן</w:t>
      </w:r>
      <w:r>
        <w:rPr>
          <w:rStyle w:val="FootnoteReference"/>
          <w:sz w:val="24"/>
          <w:szCs w:val="24"/>
          <w:rtl/>
        </w:rPr>
        <w:footnoteReference w:id="152"/>
      </w:r>
      <w:r w:rsidRPr="002B5E33">
        <w:rPr>
          <w:sz w:val="24"/>
          <w:szCs w:val="24"/>
          <w:rtl/>
        </w:rPr>
        <w:t xml:space="preserve">. </w:t>
      </w:r>
    </w:p>
    <w:p w:rsidR="00FA3E7D" w:rsidRPr="002B5E33" w:rsidP="00FA3E7D">
      <w:pPr>
        <w:pStyle w:val="a"/>
        <w:spacing w:line="269" w:lineRule="auto"/>
      </w:pPr>
    </w:p>
    <w:p w:rsidR="00FA3E7D" w:rsidRPr="002B5E33" w:rsidP="00FA3E7D">
      <w:pPr>
        <w:pStyle w:val="CommentText"/>
        <w:spacing w:line="269" w:lineRule="auto"/>
        <w:ind w:left="312"/>
        <w:rPr>
          <w:sz w:val="24"/>
          <w:szCs w:val="24"/>
          <w:rtl/>
        </w:rPr>
      </w:pPr>
      <w:r w:rsidRPr="002B5E33">
        <w:rPr>
          <w:rFonts w:hint="cs"/>
          <w:sz w:val="24"/>
          <w:szCs w:val="24"/>
          <w:rtl/>
        </w:rPr>
        <w:t>רשות שוק ההון ציינה בתשובתה כי במקרים שלא הייתה אפשרות להבחין בין נתוני ביטוחי פרט לביטוחים קבוצתיים בחלק מרכיבי המדידה, התקבלה החלטה לבסס את המדידה באופן דומה (על אותו מאגר פוליסות).</w:t>
      </w:r>
    </w:p>
    <w:p w:rsidR="00FA3E7D" w:rsidRPr="002B5E33" w:rsidP="00FA3E7D">
      <w:pPr>
        <w:pStyle w:val="a"/>
        <w:spacing w:line="269" w:lineRule="auto"/>
        <w:rPr>
          <w:rtl/>
        </w:rPr>
      </w:pPr>
    </w:p>
    <w:p w:rsidR="00FA3E7D" w:rsidRPr="002B5E33" w:rsidP="00FA3E7D">
      <w:pPr>
        <w:pStyle w:val="CommentText"/>
        <w:spacing w:line="269" w:lineRule="auto"/>
        <w:ind w:left="312"/>
        <w:rPr>
          <w:b/>
          <w:bCs/>
          <w:sz w:val="24"/>
          <w:szCs w:val="24"/>
        </w:rPr>
      </w:pPr>
      <w:r w:rsidRPr="002B5E33">
        <w:rPr>
          <w:rFonts w:hint="cs"/>
          <w:b/>
          <w:bCs/>
          <w:sz w:val="24"/>
          <w:szCs w:val="24"/>
          <w:rtl/>
        </w:rPr>
        <w:t xml:space="preserve">על רשות שוק ההון לשאוף ככל הניתן להציג בפני המבוטחים את המידע המדוייק והרלוונטי להם ביותר, לפי סוג הפוליסה אותה הם מעוניינים לרכוש. </w:t>
      </w:r>
    </w:p>
    <w:p w:rsidR="00FA3E7D" w:rsidRPr="002B5E33" w:rsidP="00FA3E7D">
      <w:pPr>
        <w:pStyle w:val="a"/>
        <w:spacing w:line="269" w:lineRule="auto"/>
      </w:pPr>
    </w:p>
    <w:p w:rsidR="00FA3E7D" w:rsidP="00FA3E7D">
      <w:pPr>
        <w:pStyle w:val="ListParagraph"/>
        <w:numPr>
          <w:ilvl w:val="0"/>
          <w:numId w:val="5"/>
        </w:numPr>
        <w:spacing w:after="0" w:line="269" w:lineRule="auto"/>
        <w:ind w:left="312"/>
        <w:rPr>
          <w:rFonts w:ascii="Times New Roman" w:hAnsi="Times New Roman" w:cs="David"/>
          <w:sz w:val="24"/>
          <w:szCs w:val="24"/>
        </w:rPr>
      </w:pPr>
      <w:r w:rsidRPr="001F141F">
        <w:rPr>
          <w:rFonts w:ascii="Times New Roman" w:hAnsi="Times New Roman" w:cs="David" w:hint="eastAsia"/>
          <w:sz w:val="24"/>
          <w:szCs w:val="24"/>
          <w:rtl/>
        </w:rPr>
        <w:t>ה</w:t>
      </w:r>
      <w:r w:rsidRPr="001F141F">
        <w:rPr>
          <w:rFonts w:ascii="Times New Roman" w:hAnsi="Times New Roman" w:cs="David" w:hint="cs"/>
          <w:sz w:val="24"/>
          <w:szCs w:val="24"/>
          <w:rtl/>
        </w:rPr>
        <w:t>י</w:t>
      </w:r>
      <w:r w:rsidRPr="001F141F">
        <w:rPr>
          <w:rFonts w:ascii="Times New Roman" w:hAnsi="Times New Roman" w:cs="David" w:hint="eastAsia"/>
          <w:sz w:val="24"/>
          <w:szCs w:val="24"/>
          <w:rtl/>
        </w:rPr>
        <w:t>עדר</w:t>
      </w:r>
      <w:r w:rsidRPr="001F141F">
        <w:rPr>
          <w:rFonts w:ascii="Times New Roman" w:hAnsi="Times New Roman" w:cs="David"/>
          <w:sz w:val="24"/>
          <w:szCs w:val="24"/>
          <w:rtl/>
        </w:rPr>
        <w:t xml:space="preserve"> </w:t>
      </w:r>
      <w:r w:rsidRPr="001F141F">
        <w:rPr>
          <w:rFonts w:ascii="Times New Roman" w:hAnsi="Times New Roman" w:cs="David" w:hint="cs"/>
          <w:sz w:val="24"/>
          <w:szCs w:val="24"/>
          <w:rtl/>
        </w:rPr>
        <w:t xml:space="preserve">עבודת מטה הכוללת הנמקה </w:t>
      </w:r>
      <w:r w:rsidRPr="001F141F">
        <w:rPr>
          <w:rFonts w:ascii="Times New Roman" w:hAnsi="Times New Roman" w:cs="David" w:hint="eastAsia"/>
          <w:sz w:val="24"/>
          <w:szCs w:val="24"/>
          <w:rtl/>
        </w:rPr>
        <w:t>לאופן</w:t>
      </w:r>
      <w:r w:rsidRPr="001F141F">
        <w:rPr>
          <w:rFonts w:ascii="Times New Roman" w:hAnsi="Times New Roman" w:cs="David"/>
          <w:sz w:val="24"/>
          <w:szCs w:val="24"/>
          <w:rtl/>
        </w:rPr>
        <w:t xml:space="preserve"> </w:t>
      </w:r>
      <w:r w:rsidRPr="001F141F">
        <w:rPr>
          <w:rFonts w:ascii="Times New Roman" w:hAnsi="Times New Roman" w:cs="David" w:hint="cs"/>
          <w:sz w:val="24"/>
          <w:szCs w:val="24"/>
          <w:rtl/>
        </w:rPr>
        <w:t xml:space="preserve">קביעת </w:t>
      </w:r>
      <w:r w:rsidRPr="001F141F">
        <w:rPr>
          <w:rFonts w:ascii="Times New Roman" w:hAnsi="Times New Roman" w:cs="David" w:hint="eastAsia"/>
          <w:sz w:val="24"/>
          <w:szCs w:val="24"/>
          <w:rtl/>
        </w:rPr>
        <w:t>מתכונת</w:t>
      </w:r>
      <w:r w:rsidRPr="001F141F">
        <w:rPr>
          <w:rFonts w:ascii="Times New Roman" w:hAnsi="Times New Roman" w:cs="David"/>
          <w:sz w:val="24"/>
          <w:szCs w:val="24"/>
          <w:rtl/>
        </w:rPr>
        <w:t xml:space="preserve"> </w:t>
      </w:r>
      <w:r w:rsidRPr="001F141F">
        <w:rPr>
          <w:rFonts w:ascii="Times New Roman" w:hAnsi="Times New Roman" w:cs="David" w:hint="eastAsia"/>
          <w:sz w:val="24"/>
          <w:szCs w:val="24"/>
          <w:rtl/>
        </w:rPr>
        <w:t>מתן</w:t>
      </w:r>
      <w:r w:rsidRPr="001F141F">
        <w:rPr>
          <w:rFonts w:ascii="Times New Roman" w:hAnsi="Times New Roman" w:cs="David"/>
          <w:sz w:val="24"/>
          <w:szCs w:val="24"/>
          <w:rtl/>
        </w:rPr>
        <w:t xml:space="preserve"> </w:t>
      </w:r>
      <w:r w:rsidRPr="001F141F">
        <w:rPr>
          <w:rFonts w:ascii="Times New Roman" w:hAnsi="Times New Roman" w:cs="David" w:hint="eastAsia"/>
          <w:sz w:val="24"/>
          <w:szCs w:val="24"/>
          <w:rtl/>
        </w:rPr>
        <w:t>הניקוד</w:t>
      </w:r>
      <w:r w:rsidRPr="001F141F">
        <w:rPr>
          <w:rFonts w:ascii="Times New Roman" w:hAnsi="Times New Roman" w:cs="David"/>
          <w:sz w:val="24"/>
          <w:szCs w:val="24"/>
          <w:rtl/>
        </w:rPr>
        <w:t xml:space="preserve"> השלי</w:t>
      </w:r>
      <w:r w:rsidRPr="001F141F">
        <w:rPr>
          <w:rFonts w:ascii="Times New Roman" w:hAnsi="Times New Roman" w:cs="David" w:hint="cs"/>
          <w:sz w:val="24"/>
          <w:szCs w:val="24"/>
          <w:rtl/>
        </w:rPr>
        <w:t>ל</w:t>
      </w:r>
      <w:r w:rsidRPr="001F141F">
        <w:rPr>
          <w:rFonts w:ascii="Times New Roman" w:hAnsi="Times New Roman" w:cs="David"/>
          <w:sz w:val="24"/>
          <w:szCs w:val="24"/>
          <w:rtl/>
        </w:rPr>
        <w:t>י בגין תלונות שהוגשו</w:t>
      </w:r>
      <w:r>
        <w:rPr>
          <w:rFonts w:ascii="Times New Roman" w:hAnsi="Times New Roman" w:cs="David"/>
          <w:vertAlign w:val="superscript"/>
          <w:rtl/>
        </w:rPr>
        <w:footnoteReference w:id="153"/>
      </w:r>
      <w:r w:rsidRPr="001F141F">
        <w:rPr>
          <w:rFonts w:ascii="Times New Roman" w:hAnsi="Times New Roman" w:cs="David"/>
          <w:sz w:val="24"/>
          <w:szCs w:val="24"/>
          <w:rtl/>
        </w:rPr>
        <w:t>.</w:t>
      </w:r>
    </w:p>
    <w:p w:rsidR="00FA3E7D" w:rsidRPr="002B5E33" w:rsidP="00291546">
      <w:pPr>
        <w:pStyle w:val="a"/>
        <w:spacing w:line="269" w:lineRule="auto"/>
        <w:ind w:left="0"/>
        <w:rPr>
          <w:rtl/>
        </w:rPr>
      </w:pPr>
    </w:p>
    <w:p w:rsidR="00FA3E7D" w:rsidRPr="002B5E33" w:rsidP="00FA3E7D">
      <w:pPr>
        <w:pStyle w:val="CommentText"/>
        <w:numPr>
          <w:ilvl w:val="0"/>
          <w:numId w:val="5"/>
        </w:numPr>
        <w:spacing w:line="269" w:lineRule="auto"/>
        <w:ind w:left="360"/>
        <w:rPr>
          <w:sz w:val="24"/>
          <w:szCs w:val="24"/>
        </w:rPr>
      </w:pPr>
      <w:r w:rsidRPr="002B5E33">
        <w:rPr>
          <w:rFonts w:hint="cs"/>
          <w:sz w:val="24"/>
          <w:szCs w:val="24"/>
          <w:rtl/>
        </w:rPr>
        <w:t>ברשות שוק ההון לא נמצא מסמך המסביר מדוע נבחרו דווקא הפרמיות ברוטו שגבו החברות, כנתון שבזיקה אליו ייבחן היקף התלונות כנגד כל חברה, ולא חלופות אחרות, כגון מספר המבוטחים בפוליסות, אשר עשויות לבסס מתאם רב יותר בין חלקה היחסי של פעילות החברה בתחום ובין מספר התלונות המוגשות לרשות</w:t>
      </w:r>
      <w:r>
        <w:rPr>
          <w:rStyle w:val="FootnoteReference"/>
          <w:sz w:val="24"/>
          <w:szCs w:val="24"/>
          <w:rtl/>
        </w:rPr>
        <w:footnoteReference w:id="154"/>
      </w:r>
      <w:r w:rsidRPr="002B5E33">
        <w:rPr>
          <w:rFonts w:hint="cs"/>
          <w:sz w:val="24"/>
          <w:szCs w:val="24"/>
          <w:rtl/>
        </w:rPr>
        <w:t>.</w:t>
      </w:r>
      <w:r>
        <w:rPr>
          <w:sz w:val="24"/>
          <w:szCs w:val="24"/>
          <w:rtl/>
        </w:rPr>
        <w:t xml:space="preserve"> </w:t>
      </w:r>
    </w:p>
    <w:p w:rsidR="00FA3E7D" w:rsidRPr="002B5E33" w:rsidP="00FA3E7D">
      <w:pPr>
        <w:pStyle w:val="a"/>
        <w:spacing w:line="269" w:lineRule="auto"/>
        <w:rPr>
          <w:rtl/>
        </w:rPr>
      </w:pPr>
    </w:p>
    <w:p w:rsidR="00FA3E7D" w:rsidRPr="002B5E33" w:rsidP="00FA3E7D">
      <w:pPr>
        <w:pStyle w:val="CommentText"/>
        <w:spacing w:line="269" w:lineRule="auto"/>
        <w:ind w:left="312"/>
        <w:rPr>
          <w:sz w:val="24"/>
          <w:szCs w:val="24"/>
          <w:rtl/>
        </w:rPr>
      </w:pPr>
      <w:r w:rsidRPr="002B5E33">
        <w:rPr>
          <w:rFonts w:hint="cs"/>
          <w:sz w:val="24"/>
          <w:szCs w:val="24"/>
          <w:rtl/>
        </w:rPr>
        <w:t>רשות שוק ההון השיבה למשרד מבקר המדינה כי לאחר קבלת ייעוץ מקצועי החליטה כי נתון הפרמיות ברוטו אינו מושלם אך הוא הרלוונטי ביותר וגורם להקטנת ההטיות האפשריות ביחס לחלופות האפשריות.</w:t>
      </w:r>
    </w:p>
    <w:p w:rsidR="00FA3E7D" w:rsidRPr="002B5E33" w:rsidP="00FA3E7D">
      <w:pPr>
        <w:pStyle w:val="a"/>
        <w:spacing w:line="269" w:lineRule="auto"/>
      </w:pPr>
    </w:p>
    <w:p w:rsidR="00FA3E7D" w:rsidRPr="002B5E33" w:rsidP="00FA3E7D">
      <w:pPr>
        <w:pStyle w:val="CommentText"/>
        <w:numPr>
          <w:ilvl w:val="0"/>
          <w:numId w:val="5"/>
        </w:numPr>
        <w:spacing w:line="269" w:lineRule="auto"/>
        <w:ind w:left="360"/>
        <w:rPr>
          <w:sz w:val="24"/>
          <w:szCs w:val="24"/>
        </w:rPr>
      </w:pPr>
      <w:r w:rsidRPr="002B5E33">
        <w:rPr>
          <w:sz w:val="24"/>
          <w:szCs w:val="24"/>
          <w:rtl/>
        </w:rPr>
        <w:t xml:space="preserve">כמו כן, נקבע כי היחס בין חלקה היחסי של החברה בתלונות </w:t>
      </w:r>
      <w:r w:rsidRPr="002B5E33">
        <w:rPr>
          <w:rFonts w:hint="cs"/>
          <w:sz w:val="24"/>
          <w:szCs w:val="24"/>
          <w:rtl/>
        </w:rPr>
        <w:t xml:space="preserve">ביחס </w:t>
      </w:r>
      <w:r w:rsidRPr="002B5E33">
        <w:rPr>
          <w:sz w:val="24"/>
          <w:szCs w:val="24"/>
          <w:rtl/>
        </w:rPr>
        <w:t>לחלקה בפרמיות של הענף יחושב לכל היותר כ-2, אף אם בפועל הוא גדול מכך</w:t>
      </w:r>
      <w:r>
        <w:rPr>
          <w:rStyle w:val="FootnoteReference"/>
          <w:sz w:val="24"/>
          <w:szCs w:val="24"/>
          <w:rtl/>
        </w:rPr>
        <w:footnoteReference w:id="155"/>
      </w:r>
      <w:r w:rsidRPr="002B5E33">
        <w:rPr>
          <w:rFonts w:hint="cs"/>
          <w:sz w:val="24"/>
          <w:szCs w:val="24"/>
          <w:rtl/>
        </w:rPr>
        <w:t>.</w:t>
      </w:r>
    </w:p>
    <w:p w:rsidR="00FA3E7D" w:rsidRPr="002B5E33" w:rsidP="00FA3E7D">
      <w:pPr>
        <w:pStyle w:val="a"/>
        <w:spacing w:line="269" w:lineRule="auto"/>
        <w:rPr>
          <w:rtl/>
        </w:rPr>
      </w:pPr>
    </w:p>
    <w:p w:rsidR="00FA3E7D" w:rsidRPr="002B5E33" w:rsidP="00FA3E7D">
      <w:pPr>
        <w:pStyle w:val="CommentText"/>
        <w:spacing w:line="269" w:lineRule="auto"/>
        <w:ind w:left="360"/>
        <w:rPr>
          <w:sz w:val="24"/>
          <w:szCs w:val="24"/>
          <w:rtl/>
        </w:rPr>
      </w:pPr>
      <w:r w:rsidRPr="002B5E33">
        <w:rPr>
          <w:rFonts w:hint="cs"/>
          <w:sz w:val="24"/>
          <w:szCs w:val="24"/>
          <w:rtl/>
        </w:rPr>
        <w:t>רשות שוק ההון הסבירה בתשובתה כי נקבע רף עליון לחלקה היחסי של חברה בתלונות ביחס לחלקה בפרמיות כדי שלא להציג מצב בו קיימת שונות נמוכה מדי בין חברות רבות כתוצאה מכך שחברה בודדת קיבלה ניקוד שלילי רב מאוד ביחס לנתח השוק.</w:t>
      </w:r>
    </w:p>
    <w:p w:rsidR="00FA3E7D" w:rsidRPr="002B5E33" w:rsidP="00FA3E7D">
      <w:pPr>
        <w:pStyle w:val="a"/>
        <w:spacing w:line="269" w:lineRule="auto"/>
        <w:rPr>
          <w:rtl/>
        </w:rPr>
      </w:pPr>
    </w:p>
    <w:p w:rsidR="00FA3E7D" w:rsidRPr="002B5E33" w:rsidP="00FA3E7D">
      <w:pPr>
        <w:pStyle w:val="CommentText"/>
        <w:spacing w:line="269" w:lineRule="auto"/>
        <w:ind w:left="312"/>
        <w:rPr>
          <w:b/>
          <w:bCs/>
          <w:sz w:val="24"/>
          <w:szCs w:val="24"/>
        </w:rPr>
      </w:pPr>
      <w:r w:rsidRPr="002B5E33">
        <w:rPr>
          <w:rFonts w:hint="eastAsia"/>
          <w:b/>
          <w:bCs/>
          <w:sz w:val="24"/>
          <w:szCs w:val="24"/>
          <w:rtl/>
        </w:rPr>
        <w:t>י</w:t>
      </w:r>
      <w:r w:rsidRPr="002B5E33">
        <w:rPr>
          <w:rFonts w:hint="cs"/>
          <w:b/>
          <w:bCs/>
          <w:sz w:val="24"/>
          <w:szCs w:val="24"/>
          <w:rtl/>
        </w:rPr>
        <w:t>צוי</w:t>
      </w:r>
      <w:r w:rsidRPr="002B5E33">
        <w:rPr>
          <w:rFonts w:hint="eastAsia"/>
          <w:b/>
          <w:bCs/>
          <w:sz w:val="24"/>
          <w:szCs w:val="24"/>
          <w:rtl/>
        </w:rPr>
        <w:t>ן</w:t>
      </w:r>
      <w:r w:rsidRPr="002B5E33">
        <w:rPr>
          <w:b/>
          <w:bCs/>
          <w:sz w:val="24"/>
          <w:szCs w:val="24"/>
          <w:rtl/>
        </w:rPr>
        <w:t xml:space="preserve"> כי </w:t>
      </w:r>
      <w:r w:rsidRPr="002B5E33">
        <w:rPr>
          <w:rFonts w:hint="eastAsia"/>
          <w:b/>
          <w:bCs/>
          <w:sz w:val="24"/>
          <w:szCs w:val="24"/>
          <w:rtl/>
        </w:rPr>
        <w:t>קביעת</w:t>
      </w:r>
      <w:r w:rsidRPr="002B5E33">
        <w:rPr>
          <w:b/>
          <w:bCs/>
          <w:sz w:val="24"/>
          <w:szCs w:val="24"/>
          <w:rtl/>
        </w:rPr>
        <w:t xml:space="preserve"> רף עליון </w:t>
      </w:r>
      <w:r w:rsidRPr="002B5E33">
        <w:rPr>
          <w:rFonts w:hint="eastAsia"/>
          <w:b/>
          <w:bCs/>
          <w:sz w:val="24"/>
          <w:szCs w:val="24"/>
          <w:rtl/>
        </w:rPr>
        <w:t>עלול</w:t>
      </w:r>
      <w:r w:rsidRPr="002B5E33">
        <w:rPr>
          <w:b/>
          <w:bCs/>
          <w:sz w:val="24"/>
          <w:szCs w:val="24"/>
          <w:rtl/>
        </w:rPr>
        <w:t xml:space="preserve"> </w:t>
      </w:r>
      <w:r w:rsidRPr="002B5E33">
        <w:rPr>
          <w:rFonts w:hint="eastAsia"/>
          <w:b/>
          <w:bCs/>
          <w:sz w:val="24"/>
          <w:szCs w:val="24"/>
          <w:rtl/>
        </w:rPr>
        <w:t>להביא</w:t>
      </w:r>
      <w:r w:rsidRPr="002B5E33">
        <w:rPr>
          <w:b/>
          <w:bCs/>
          <w:sz w:val="24"/>
          <w:szCs w:val="24"/>
          <w:rtl/>
        </w:rPr>
        <w:t xml:space="preserve"> </w:t>
      </w:r>
      <w:r w:rsidRPr="002B5E33">
        <w:rPr>
          <w:rFonts w:hint="eastAsia"/>
          <w:b/>
          <w:bCs/>
          <w:sz w:val="24"/>
          <w:szCs w:val="24"/>
          <w:rtl/>
        </w:rPr>
        <w:t>להצגה</w:t>
      </w:r>
      <w:r w:rsidRPr="002B5E33">
        <w:rPr>
          <w:b/>
          <w:bCs/>
          <w:sz w:val="24"/>
          <w:szCs w:val="24"/>
          <w:rtl/>
        </w:rPr>
        <w:t xml:space="preserve"> </w:t>
      </w:r>
      <w:r w:rsidRPr="002B5E33">
        <w:rPr>
          <w:rFonts w:hint="eastAsia"/>
          <w:b/>
          <w:bCs/>
          <w:sz w:val="24"/>
          <w:szCs w:val="24"/>
          <w:rtl/>
        </w:rPr>
        <w:t>לא</w:t>
      </w:r>
      <w:r w:rsidRPr="002B5E33">
        <w:rPr>
          <w:b/>
          <w:bCs/>
          <w:sz w:val="24"/>
          <w:szCs w:val="24"/>
          <w:rtl/>
        </w:rPr>
        <w:t xml:space="preserve"> </w:t>
      </w:r>
      <w:r w:rsidRPr="002B5E33">
        <w:rPr>
          <w:rFonts w:hint="eastAsia"/>
          <w:b/>
          <w:bCs/>
          <w:sz w:val="24"/>
          <w:szCs w:val="24"/>
          <w:rtl/>
        </w:rPr>
        <w:t>נכונה</w:t>
      </w:r>
      <w:r w:rsidRPr="002B5E33">
        <w:rPr>
          <w:b/>
          <w:bCs/>
          <w:sz w:val="24"/>
          <w:szCs w:val="24"/>
          <w:rtl/>
        </w:rPr>
        <w:t xml:space="preserve"> </w:t>
      </w:r>
      <w:r w:rsidRPr="002B5E33">
        <w:rPr>
          <w:rFonts w:hint="eastAsia"/>
          <w:b/>
          <w:bCs/>
          <w:sz w:val="24"/>
          <w:szCs w:val="24"/>
          <w:rtl/>
        </w:rPr>
        <w:t>של</w:t>
      </w:r>
      <w:r w:rsidRPr="002B5E33">
        <w:rPr>
          <w:b/>
          <w:bCs/>
          <w:sz w:val="24"/>
          <w:szCs w:val="24"/>
          <w:rtl/>
        </w:rPr>
        <w:t xml:space="preserve"> </w:t>
      </w:r>
      <w:r w:rsidRPr="002B5E33">
        <w:rPr>
          <w:rFonts w:hint="eastAsia"/>
          <w:b/>
          <w:bCs/>
          <w:sz w:val="24"/>
          <w:szCs w:val="24"/>
          <w:rtl/>
        </w:rPr>
        <w:t>נתוני</w:t>
      </w:r>
      <w:r w:rsidRPr="002B5E33">
        <w:rPr>
          <w:b/>
          <w:bCs/>
          <w:sz w:val="24"/>
          <w:szCs w:val="24"/>
          <w:rtl/>
        </w:rPr>
        <w:t xml:space="preserve"> </w:t>
      </w:r>
      <w:r w:rsidRPr="002B5E33">
        <w:rPr>
          <w:rFonts w:hint="eastAsia"/>
          <w:b/>
          <w:bCs/>
          <w:sz w:val="24"/>
          <w:szCs w:val="24"/>
          <w:rtl/>
        </w:rPr>
        <w:t>חברה</w:t>
      </w:r>
      <w:r w:rsidRPr="002B5E33">
        <w:rPr>
          <w:b/>
          <w:bCs/>
          <w:sz w:val="24"/>
          <w:szCs w:val="24"/>
          <w:rtl/>
        </w:rPr>
        <w:t xml:space="preserve"> </w:t>
      </w:r>
      <w:r w:rsidRPr="002B5E33">
        <w:rPr>
          <w:rFonts w:hint="eastAsia"/>
          <w:b/>
          <w:bCs/>
          <w:sz w:val="24"/>
          <w:szCs w:val="24"/>
          <w:rtl/>
        </w:rPr>
        <w:t>שכנגדה</w:t>
      </w:r>
      <w:r w:rsidRPr="002B5E33">
        <w:rPr>
          <w:b/>
          <w:bCs/>
          <w:sz w:val="24"/>
          <w:szCs w:val="24"/>
          <w:rtl/>
        </w:rPr>
        <w:t xml:space="preserve"> </w:t>
      </w:r>
      <w:r w:rsidRPr="002B5E33">
        <w:rPr>
          <w:rFonts w:hint="eastAsia"/>
          <w:b/>
          <w:bCs/>
          <w:sz w:val="24"/>
          <w:szCs w:val="24"/>
          <w:rtl/>
        </w:rPr>
        <w:t>הוגש</w:t>
      </w:r>
      <w:r w:rsidRPr="002B5E33">
        <w:rPr>
          <w:b/>
          <w:bCs/>
          <w:sz w:val="24"/>
          <w:szCs w:val="24"/>
          <w:rtl/>
        </w:rPr>
        <w:t xml:space="preserve"> </w:t>
      </w:r>
      <w:r w:rsidRPr="002B5E33">
        <w:rPr>
          <w:rFonts w:hint="eastAsia"/>
          <w:b/>
          <w:bCs/>
          <w:sz w:val="24"/>
          <w:szCs w:val="24"/>
          <w:rtl/>
        </w:rPr>
        <w:t>מספר</w:t>
      </w:r>
      <w:r w:rsidRPr="002B5E33">
        <w:rPr>
          <w:b/>
          <w:bCs/>
          <w:sz w:val="24"/>
          <w:szCs w:val="24"/>
          <w:rtl/>
        </w:rPr>
        <w:t xml:space="preserve"> </w:t>
      </w:r>
      <w:r w:rsidRPr="002B5E33">
        <w:rPr>
          <w:rFonts w:hint="eastAsia"/>
          <w:b/>
          <w:bCs/>
          <w:sz w:val="24"/>
          <w:szCs w:val="24"/>
          <w:rtl/>
        </w:rPr>
        <w:t>תלונות</w:t>
      </w:r>
      <w:r w:rsidRPr="002B5E33">
        <w:rPr>
          <w:b/>
          <w:bCs/>
          <w:sz w:val="24"/>
          <w:szCs w:val="24"/>
          <w:rtl/>
        </w:rPr>
        <w:t xml:space="preserve"> </w:t>
      </w:r>
      <w:r w:rsidRPr="002B5E33">
        <w:rPr>
          <w:rFonts w:hint="eastAsia"/>
          <w:b/>
          <w:bCs/>
          <w:sz w:val="24"/>
          <w:szCs w:val="24"/>
          <w:rtl/>
        </w:rPr>
        <w:t>רב</w:t>
      </w:r>
      <w:r w:rsidRPr="002B5E33">
        <w:rPr>
          <w:b/>
          <w:bCs/>
          <w:sz w:val="24"/>
          <w:szCs w:val="24"/>
          <w:rtl/>
        </w:rPr>
        <w:t xml:space="preserve"> </w:t>
      </w:r>
      <w:r w:rsidRPr="002B5E33">
        <w:rPr>
          <w:rFonts w:hint="eastAsia"/>
          <w:b/>
          <w:bCs/>
          <w:sz w:val="24"/>
          <w:szCs w:val="24"/>
          <w:rtl/>
        </w:rPr>
        <w:t>יחסית</w:t>
      </w:r>
      <w:r w:rsidRPr="002B5E33">
        <w:rPr>
          <w:b/>
          <w:bCs/>
          <w:sz w:val="24"/>
          <w:szCs w:val="24"/>
          <w:rtl/>
        </w:rPr>
        <w:t xml:space="preserve">. </w:t>
      </w:r>
    </w:p>
    <w:p w:rsidR="00FA3E7D" w:rsidRPr="002B5E33" w:rsidP="00FA3E7D">
      <w:pPr>
        <w:pStyle w:val="a"/>
        <w:spacing w:line="269" w:lineRule="auto"/>
        <w:rPr>
          <w:rtl/>
        </w:rPr>
      </w:pPr>
    </w:p>
    <w:p w:rsidR="00FA3E7D" w:rsidRPr="002B5E33" w:rsidP="00FA3E7D">
      <w:pPr>
        <w:pStyle w:val="ListParagraph"/>
        <w:numPr>
          <w:ilvl w:val="0"/>
          <w:numId w:val="5"/>
        </w:numPr>
        <w:spacing w:after="0" w:line="269" w:lineRule="auto"/>
        <w:ind w:left="360"/>
        <w:jc w:val="both"/>
        <w:rPr>
          <w:rFonts w:cs="David"/>
          <w:b/>
          <w:bCs/>
          <w:sz w:val="24"/>
          <w:rtl/>
        </w:rPr>
      </w:pPr>
      <w:r w:rsidRPr="002B5E33">
        <w:rPr>
          <w:rFonts w:cs="David" w:hint="eastAsia"/>
          <w:sz w:val="24"/>
          <w:szCs w:val="24"/>
          <w:rtl/>
        </w:rPr>
        <w:t>חישוב</w:t>
      </w:r>
      <w:r w:rsidRPr="002B5E33">
        <w:rPr>
          <w:rFonts w:cs="David"/>
          <w:sz w:val="24"/>
          <w:szCs w:val="24"/>
          <w:rtl/>
        </w:rPr>
        <w:t xml:space="preserve"> </w:t>
      </w:r>
      <w:r w:rsidRPr="002B5E33">
        <w:rPr>
          <w:rFonts w:cs="David" w:hint="eastAsia"/>
          <w:sz w:val="24"/>
          <w:szCs w:val="24"/>
          <w:rtl/>
        </w:rPr>
        <w:t>המדד</w:t>
      </w:r>
      <w:r w:rsidRPr="002B5E33">
        <w:rPr>
          <w:rFonts w:cs="David"/>
          <w:sz w:val="24"/>
          <w:szCs w:val="24"/>
          <w:rtl/>
        </w:rPr>
        <w:t xml:space="preserve"> </w:t>
      </w:r>
      <w:r w:rsidRPr="002B5E33">
        <w:rPr>
          <w:rFonts w:cs="David" w:hint="eastAsia"/>
          <w:sz w:val="24"/>
          <w:szCs w:val="24"/>
          <w:rtl/>
        </w:rPr>
        <w:t>מתבסס</w:t>
      </w:r>
      <w:r w:rsidRPr="002B5E33">
        <w:rPr>
          <w:rFonts w:cs="David"/>
          <w:sz w:val="24"/>
          <w:szCs w:val="24"/>
          <w:rtl/>
        </w:rPr>
        <w:t xml:space="preserve"> </w:t>
      </w:r>
      <w:r w:rsidRPr="002B5E33">
        <w:rPr>
          <w:rFonts w:cs="David" w:hint="eastAsia"/>
          <w:sz w:val="24"/>
          <w:szCs w:val="24"/>
          <w:rtl/>
        </w:rPr>
        <w:t>על</w:t>
      </w:r>
      <w:r w:rsidRPr="002B5E33">
        <w:rPr>
          <w:rFonts w:cs="David"/>
          <w:sz w:val="24"/>
          <w:szCs w:val="24"/>
          <w:rtl/>
        </w:rPr>
        <w:t xml:space="preserve"> </w:t>
      </w:r>
      <w:r w:rsidRPr="002B5E33">
        <w:rPr>
          <w:rFonts w:cs="David" w:hint="eastAsia"/>
          <w:sz w:val="24"/>
          <w:szCs w:val="24"/>
          <w:rtl/>
        </w:rPr>
        <w:t>חישוב</w:t>
      </w:r>
      <w:r w:rsidRPr="002B5E33">
        <w:rPr>
          <w:rFonts w:cs="David"/>
          <w:sz w:val="24"/>
          <w:szCs w:val="24"/>
          <w:rtl/>
        </w:rPr>
        <w:t xml:space="preserve"> </w:t>
      </w:r>
      <w:r w:rsidRPr="002B5E33">
        <w:rPr>
          <w:rFonts w:cs="David" w:hint="eastAsia"/>
          <w:sz w:val="24"/>
          <w:szCs w:val="24"/>
          <w:rtl/>
        </w:rPr>
        <w:t>מורכב</w:t>
      </w:r>
      <w:r w:rsidRPr="002B5E33">
        <w:rPr>
          <w:rFonts w:cs="David"/>
          <w:sz w:val="24"/>
          <w:szCs w:val="24"/>
          <w:rtl/>
        </w:rPr>
        <w:t xml:space="preserve"> </w:t>
      </w:r>
      <w:r w:rsidRPr="002B5E33">
        <w:rPr>
          <w:rFonts w:cs="David" w:hint="eastAsia"/>
          <w:sz w:val="24"/>
          <w:szCs w:val="24"/>
          <w:rtl/>
        </w:rPr>
        <w:t>המביא</w:t>
      </w:r>
      <w:r w:rsidRPr="002B5E33">
        <w:rPr>
          <w:rFonts w:cs="David"/>
          <w:sz w:val="24"/>
          <w:szCs w:val="24"/>
          <w:rtl/>
        </w:rPr>
        <w:t xml:space="preserve"> </w:t>
      </w:r>
      <w:r w:rsidRPr="002B5E33">
        <w:rPr>
          <w:rFonts w:cs="David" w:hint="eastAsia"/>
          <w:sz w:val="24"/>
          <w:szCs w:val="24"/>
          <w:rtl/>
        </w:rPr>
        <w:t>בחשבון</w:t>
      </w:r>
      <w:r w:rsidRPr="002B5E33">
        <w:rPr>
          <w:rFonts w:cs="David"/>
          <w:sz w:val="24"/>
          <w:szCs w:val="24"/>
          <w:rtl/>
        </w:rPr>
        <w:t xml:space="preserve"> </w:t>
      </w:r>
      <w:r w:rsidRPr="002B5E33">
        <w:rPr>
          <w:rFonts w:cs="David" w:hint="eastAsia"/>
          <w:sz w:val="24"/>
          <w:szCs w:val="24"/>
          <w:rtl/>
        </w:rPr>
        <w:t>כבסיס</w:t>
      </w:r>
      <w:r w:rsidRPr="002B5E33">
        <w:rPr>
          <w:rFonts w:cs="David"/>
          <w:sz w:val="24"/>
          <w:szCs w:val="24"/>
          <w:rtl/>
        </w:rPr>
        <w:t xml:space="preserve"> </w:t>
      </w:r>
      <w:r w:rsidRPr="002B5E33">
        <w:rPr>
          <w:rFonts w:cs="David" w:hint="eastAsia"/>
          <w:sz w:val="24"/>
          <w:szCs w:val="24"/>
          <w:rtl/>
        </w:rPr>
        <w:t>את</w:t>
      </w:r>
      <w:r w:rsidRPr="002B5E33">
        <w:rPr>
          <w:rFonts w:cs="David"/>
          <w:sz w:val="24"/>
          <w:szCs w:val="24"/>
          <w:rtl/>
        </w:rPr>
        <w:t xml:space="preserve"> </w:t>
      </w:r>
      <w:r w:rsidRPr="002B5E33">
        <w:rPr>
          <w:rFonts w:cs="David" w:hint="eastAsia"/>
          <w:sz w:val="24"/>
          <w:szCs w:val="24"/>
          <w:rtl/>
        </w:rPr>
        <w:t>הציון</w:t>
      </w:r>
      <w:r w:rsidRPr="002B5E33">
        <w:rPr>
          <w:rFonts w:cs="David"/>
          <w:sz w:val="24"/>
          <w:szCs w:val="24"/>
          <w:rtl/>
        </w:rPr>
        <w:t xml:space="preserve"> </w:t>
      </w:r>
      <w:r w:rsidRPr="002B5E33">
        <w:rPr>
          <w:rFonts w:cs="David" w:hint="eastAsia"/>
          <w:sz w:val="24"/>
          <w:szCs w:val="24"/>
          <w:rtl/>
        </w:rPr>
        <w:t>המשוקלל</w:t>
      </w:r>
      <w:r w:rsidRPr="002B5E33">
        <w:rPr>
          <w:rFonts w:cs="David"/>
          <w:sz w:val="24"/>
          <w:szCs w:val="24"/>
          <w:rtl/>
        </w:rPr>
        <w:t xml:space="preserve"> </w:t>
      </w:r>
      <w:r w:rsidRPr="002B5E33">
        <w:rPr>
          <w:rFonts w:cs="David" w:hint="eastAsia"/>
          <w:sz w:val="24"/>
          <w:szCs w:val="24"/>
          <w:rtl/>
        </w:rPr>
        <w:t>של</w:t>
      </w:r>
      <w:r w:rsidRPr="002B5E33">
        <w:rPr>
          <w:rFonts w:cs="David"/>
          <w:sz w:val="24"/>
          <w:szCs w:val="24"/>
          <w:rtl/>
        </w:rPr>
        <w:t xml:space="preserve"> </w:t>
      </w:r>
      <w:r w:rsidRPr="002B5E33">
        <w:rPr>
          <w:rFonts w:cs="David" w:hint="eastAsia"/>
          <w:sz w:val="24"/>
          <w:szCs w:val="24"/>
          <w:rtl/>
        </w:rPr>
        <w:t>רכיבי</w:t>
      </w:r>
      <w:r w:rsidRPr="002B5E33">
        <w:rPr>
          <w:rFonts w:cs="David"/>
          <w:sz w:val="24"/>
          <w:szCs w:val="24"/>
          <w:rtl/>
        </w:rPr>
        <w:t xml:space="preserve"> </w:t>
      </w:r>
      <w:r w:rsidRPr="002B5E33">
        <w:rPr>
          <w:rFonts w:cs="David" w:hint="eastAsia"/>
          <w:sz w:val="24"/>
          <w:szCs w:val="24"/>
          <w:rtl/>
        </w:rPr>
        <w:t>המדד</w:t>
      </w:r>
      <w:r w:rsidRPr="002B5E33">
        <w:rPr>
          <w:rFonts w:cs="David"/>
          <w:sz w:val="24"/>
          <w:szCs w:val="24"/>
          <w:rtl/>
        </w:rPr>
        <w:t xml:space="preserve"> </w:t>
      </w:r>
      <w:r w:rsidRPr="002B5E33">
        <w:rPr>
          <w:rFonts w:cs="David" w:hint="eastAsia"/>
          <w:sz w:val="24"/>
          <w:szCs w:val="24"/>
          <w:rtl/>
        </w:rPr>
        <w:t>האחרים</w:t>
      </w:r>
      <w:r w:rsidRPr="002B5E33">
        <w:rPr>
          <w:rFonts w:cs="David"/>
          <w:sz w:val="24"/>
          <w:szCs w:val="24"/>
          <w:rtl/>
        </w:rPr>
        <w:t xml:space="preserve"> </w:t>
      </w:r>
      <w:r w:rsidRPr="002B5E33">
        <w:rPr>
          <w:rFonts w:cs="David" w:hint="eastAsia"/>
          <w:sz w:val="24"/>
          <w:szCs w:val="24"/>
          <w:rtl/>
        </w:rPr>
        <w:t>של</w:t>
      </w:r>
      <w:r w:rsidRPr="002B5E33">
        <w:rPr>
          <w:rFonts w:cs="David"/>
          <w:sz w:val="24"/>
          <w:szCs w:val="24"/>
          <w:rtl/>
        </w:rPr>
        <w:t xml:space="preserve"> </w:t>
      </w:r>
      <w:r w:rsidRPr="002B5E33">
        <w:rPr>
          <w:rFonts w:cs="David" w:hint="eastAsia"/>
          <w:sz w:val="24"/>
          <w:szCs w:val="24"/>
          <w:rtl/>
        </w:rPr>
        <w:t>כלל</w:t>
      </w:r>
      <w:r w:rsidRPr="002B5E33">
        <w:rPr>
          <w:rFonts w:cs="David"/>
          <w:sz w:val="24"/>
          <w:szCs w:val="24"/>
          <w:rtl/>
        </w:rPr>
        <w:t xml:space="preserve"> </w:t>
      </w:r>
      <w:r w:rsidRPr="002B5E33">
        <w:rPr>
          <w:rFonts w:cs="David" w:hint="eastAsia"/>
          <w:sz w:val="24"/>
          <w:szCs w:val="24"/>
          <w:rtl/>
        </w:rPr>
        <w:t>החברות</w:t>
      </w:r>
      <w:r w:rsidRPr="002B5E33">
        <w:rPr>
          <w:rFonts w:cs="David"/>
          <w:sz w:val="24"/>
          <w:szCs w:val="24"/>
          <w:rtl/>
        </w:rPr>
        <w:t xml:space="preserve"> </w:t>
      </w:r>
      <w:r w:rsidRPr="002B5E33">
        <w:rPr>
          <w:rFonts w:cs="David" w:hint="eastAsia"/>
          <w:sz w:val="24"/>
          <w:szCs w:val="24"/>
          <w:rtl/>
        </w:rPr>
        <w:t>וכן</w:t>
      </w:r>
      <w:r w:rsidRPr="002B5E33">
        <w:rPr>
          <w:rFonts w:cs="David"/>
          <w:sz w:val="24"/>
          <w:szCs w:val="24"/>
          <w:rtl/>
        </w:rPr>
        <w:t xml:space="preserve"> </w:t>
      </w:r>
      <w:r w:rsidRPr="002B5E33">
        <w:rPr>
          <w:rFonts w:cs="David" w:hint="eastAsia"/>
          <w:sz w:val="24"/>
          <w:szCs w:val="24"/>
          <w:rtl/>
        </w:rPr>
        <w:t>את</w:t>
      </w:r>
      <w:r w:rsidRPr="002B5E33">
        <w:rPr>
          <w:rFonts w:cs="David"/>
          <w:sz w:val="24"/>
          <w:szCs w:val="24"/>
          <w:rtl/>
        </w:rPr>
        <w:t xml:space="preserve"> </w:t>
      </w:r>
      <w:r w:rsidRPr="002B5E33">
        <w:rPr>
          <w:rFonts w:cs="David" w:hint="eastAsia"/>
          <w:sz w:val="24"/>
          <w:szCs w:val="24"/>
          <w:rtl/>
        </w:rPr>
        <w:t>סטיית</w:t>
      </w:r>
      <w:r w:rsidRPr="002B5E33">
        <w:rPr>
          <w:rFonts w:cs="David"/>
          <w:sz w:val="24"/>
          <w:szCs w:val="24"/>
          <w:rtl/>
        </w:rPr>
        <w:t xml:space="preserve"> </w:t>
      </w:r>
      <w:r w:rsidRPr="002B5E33">
        <w:rPr>
          <w:rFonts w:cs="David" w:hint="eastAsia"/>
          <w:sz w:val="24"/>
          <w:szCs w:val="24"/>
          <w:rtl/>
        </w:rPr>
        <w:t>התקן</w:t>
      </w:r>
      <w:r w:rsidRPr="002B5E33">
        <w:rPr>
          <w:rFonts w:cs="David"/>
          <w:sz w:val="24"/>
          <w:szCs w:val="24"/>
          <w:rtl/>
        </w:rPr>
        <w:t xml:space="preserve"> </w:t>
      </w:r>
      <w:r w:rsidRPr="002B5E33">
        <w:rPr>
          <w:rFonts w:cs="David" w:hint="eastAsia"/>
          <w:sz w:val="24"/>
          <w:szCs w:val="24"/>
          <w:rtl/>
        </w:rPr>
        <w:t>המשוקללת</w:t>
      </w:r>
      <w:r w:rsidRPr="002B5E33">
        <w:rPr>
          <w:rFonts w:cs="David"/>
          <w:sz w:val="24"/>
          <w:szCs w:val="24"/>
          <w:rtl/>
        </w:rPr>
        <w:t xml:space="preserve"> </w:t>
      </w:r>
      <w:r w:rsidRPr="002B5E33">
        <w:rPr>
          <w:rFonts w:cs="David" w:hint="eastAsia"/>
          <w:sz w:val="24"/>
          <w:szCs w:val="24"/>
          <w:rtl/>
        </w:rPr>
        <w:t>של</w:t>
      </w:r>
      <w:r w:rsidRPr="002B5E33">
        <w:rPr>
          <w:rFonts w:cs="David"/>
          <w:sz w:val="24"/>
          <w:szCs w:val="24"/>
          <w:rtl/>
        </w:rPr>
        <w:t xml:space="preserve"> </w:t>
      </w:r>
      <w:r w:rsidRPr="002B5E33">
        <w:rPr>
          <w:rFonts w:cs="David" w:hint="eastAsia"/>
          <w:sz w:val="24"/>
          <w:szCs w:val="24"/>
          <w:rtl/>
        </w:rPr>
        <w:t>רכיבי</w:t>
      </w:r>
      <w:r w:rsidRPr="002B5E33">
        <w:rPr>
          <w:rFonts w:cs="David"/>
          <w:sz w:val="24"/>
          <w:szCs w:val="24"/>
          <w:rtl/>
        </w:rPr>
        <w:t xml:space="preserve"> </w:t>
      </w:r>
      <w:r w:rsidRPr="002B5E33">
        <w:rPr>
          <w:rFonts w:cs="David" w:hint="eastAsia"/>
          <w:sz w:val="24"/>
          <w:szCs w:val="24"/>
          <w:rtl/>
        </w:rPr>
        <w:t>המדד</w:t>
      </w:r>
      <w:r w:rsidRPr="002B5E33">
        <w:rPr>
          <w:rFonts w:cs="David"/>
          <w:sz w:val="24"/>
          <w:szCs w:val="24"/>
          <w:rtl/>
        </w:rPr>
        <w:t xml:space="preserve"> </w:t>
      </w:r>
      <w:r w:rsidRPr="002B5E33">
        <w:rPr>
          <w:rFonts w:cs="David" w:hint="eastAsia"/>
          <w:sz w:val="24"/>
          <w:szCs w:val="24"/>
          <w:rtl/>
        </w:rPr>
        <w:t>האחרים</w:t>
      </w:r>
      <w:r w:rsidRPr="002B5E33">
        <w:rPr>
          <w:rFonts w:cs="David"/>
          <w:sz w:val="24"/>
          <w:szCs w:val="24"/>
          <w:rtl/>
        </w:rPr>
        <w:t xml:space="preserve"> של כלל החברות. </w:t>
      </w:r>
      <w:r w:rsidRPr="002B5E33">
        <w:rPr>
          <w:rFonts w:cs="David" w:hint="eastAsia"/>
          <w:sz w:val="24"/>
          <w:szCs w:val="24"/>
          <w:rtl/>
        </w:rPr>
        <w:t>כתוצאה</w:t>
      </w:r>
      <w:r w:rsidRPr="002B5E33">
        <w:rPr>
          <w:rFonts w:cs="David"/>
          <w:sz w:val="24"/>
          <w:szCs w:val="24"/>
          <w:rtl/>
        </w:rPr>
        <w:t xml:space="preserve">, </w:t>
      </w:r>
      <w:r w:rsidRPr="002B5E33">
        <w:rPr>
          <w:rFonts w:cs="David" w:hint="eastAsia"/>
          <w:sz w:val="24"/>
          <w:szCs w:val="24"/>
          <w:rtl/>
        </w:rPr>
        <w:t>הניקוד</w:t>
      </w:r>
      <w:r w:rsidRPr="002B5E33">
        <w:rPr>
          <w:rFonts w:cs="David"/>
          <w:sz w:val="24"/>
          <w:szCs w:val="24"/>
          <w:rtl/>
        </w:rPr>
        <w:t xml:space="preserve"> </w:t>
      </w:r>
      <w:r w:rsidRPr="002B5E33">
        <w:rPr>
          <w:rFonts w:cs="David" w:hint="eastAsia"/>
          <w:sz w:val="24"/>
          <w:szCs w:val="24"/>
          <w:rtl/>
        </w:rPr>
        <w:t>לכל</w:t>
      </w:r>
      <w:r w:rsidRPr="002B5E33">
        <w:rPr>
          <w:rFonts w:cs="David"/>
          <w:sz w:val="24"/>
          <w:szCs w:val="24"/>
          <w:rtl/>
        </w:rPr>
        <w:t xml:space="preserve"> </w:t>
      </w:r>
      <w:r w:rsidRPr="002B5E33">
        <w:rPr>
          <w:rFonts w:cs="David" w:hint="eastAsia"/>
          <w:sz w:val="24"/>
          <w:szCs w:val="24"/>
          <w:rtl/>
        </w:rPr>
        <w:t>חברה</w:t>
      </w:r>
      <w:r w:rsidRPr="002B5E33">
        <w:rPr>
          <w:rFonts w:cs="David"/>
          <w:sz w:val="24"/>
          <w:szCs w:val="24"/>
          <w:rtl/>
        </w:rPr>
        <w:t xml:space="preserve"> </w:t>
      </w:r>
      <w:r w:rsidRPr="002B5E33">
        <w:rPr>
          <w:rFonts w:cs="David" w:hint="eastAsia"/>
          <w:sz w:val="24"/>
          <w:szCs w:val="24"/>
          <w:rtl/>
        </w:rPr>
        <w:t>מושפע</w:t>
      </w:r>
      <w:r w:rsidRPr="002B5E33">
        <w:rPr>
          <w:rFonts w:cs="David"/>
          <w:sz w:val="24"/>
          <w:szCs w:val="24"/>
          <w:rtl/>
        </w:rPr>
        <w:t xml:space="preserve"> </w:t>
      </w:r>
      <w:r w:rsidRPr="002B5E33">
        <w:rPr>
          <w:rFonts w:cs="David" w:hint="eastAsia"/>
          <w:sz w:val="24"/>
          <w:szCs w:val="24"/>
          <w:rtl/>
        </w:rPr>
        <w:t>מציוני</w:t>
      </w:r>
      <w:r w:rsidRPr="002B5E33">
        <w:rPr>
          <w:rFonts w:cs="David"/>
          <w:sz w:val="24"/>
          <w:szCs w:val="24"/>
          <w:rtl/>
        </w:rPr>
        <w:t xml:space="preserve"> </w:t>
      </w:r>
      <w:r w:rsidRPr="002B5E33">
        <w:rPr>
          <w:rFonts w:cs="David" w:hint="eastAsia"/>
          <w:sz w:val="24"/>
          <w:szCs w:val="24"/>
          <w:rtl/>
        </w:rPr>
        <w:t>יתר</w:t>
      </w:r>
      <w:r w:rsidRPr="002B5E33">
        <w:rPr>
          <w:rFonts w:cs="David"/>
          <w:sz w:val="24"/>
          <w:szCs w:val="24"/>
          <w:rtl/>
        </w:rPr>
        <w:t xml:space="preserve"> </w:t>
      </w:r>
      <w:r w:rsidRPr="002B5E33">
        <w:rPr>
          <w:rFonts w:cs="David" w:hint="eastAsia"/>
          <w:sz w:val="24"/>
          <w:szCs w:val="24"/>
          <w:rtl/>
        </w:rPr>
        <w:t>החברות</w:t>
      </w:r>
      <w:r w:rsidRPr="002B5E33">
        <w:rPr>
          <w:rFonts w:cs="David"/>
          <w:sz w:val="24"/>
          <w:szCs w:val="24"/>
          <w:rtl/>
        </w:rPr>
        <w:t xml:space="preserve"> </w:t>
      </w:r>
      <w:r w:rsidRPr="002B5E33">
        <w:rPr>
          <w:rFonts w:cs="David" w:hint="eastAsia"/>
          <w:sz w:val="24"/>
          <w:szCs w:val="24"/>
          <w:rtl/>
        </w:rPr>
        <w:t>בכל</w:t>
      </w:r>
      <w:r w:rsidRPr="002B5E33">
        <w:rPr>
          <w:rFonts w:cs="David"/>
          <w:sz w:val="24"/>
          <w:szCs w:val="24"/>
          <w:rtl/>
        </w:rPr>
        <w:t xml:space="preserve"> </w:t>
      </w:r>
      <w:r w:rsidRPr="002B5E33">
        <w:rPr>
          <w:rFonts w:cs="David" w:hint="eastAsia"/>
          <w:sz w:val="24"/>
          <w:szCs w:val="24"/>
          <w:rtl/>
        </w:rPr>
        <w:t>המדדים</w:t>
      </w:r>
      <w:r w:rsidRPr="002B5E33">
        <w:rPr>
          <w:rFonts w:cs="David"/>
          <w:sz w:val="24"/>
          <w:szCs w:val="24"/>
          <w:rtl/>
        </w:rPr>
        <w:t xml:space="preserve"> </w:t>
      </w:r>
      <w:r w:rsidRPr="002B5E33">
        <w:rPr>
          <w:rFonts w:cs="David" w:hint="eastAsia"/>
          <w:sz w:val="24"/>
          <w:szCs w:val="24"/>
          <w:rtl/>
        </w:rPr>
        <w:t>האחרים</w:t>
      </w:r>
      <w:r w:rsidRPr="002B5E33">
        <w:rPr>
          <w:rFonts w:cs="David"/>
          <w:sz w:val="24"/>
          <w:szCs w:val="24"/>
          <w:rtl/>
        </w:rPr>
        <w:t xml:space="preserve"> </w:t>
      </w:r>
      <w:r w:rsidRPr="002B5E33">
        <w:rPr>
          <w:rFonts w:cs="David" w:hint="eastAsia"/>
          <w:sz w:val="24"/>
          <w:szCs w:val="24"/>
          <w:rtl/>
        </w:rPr>
        <w:t>ולא</w:t>
      </w:r>
      <w:r w:rsidRPr="002B5E33">
        <w:rPr>
          <w:rFonts w:cs="David"/>
          <w:sz w:val="24"/>
          <w:szCs w:val="24"/>
          <w:rtl/>
        </w:rPr>
        <w:t xml:space="preserve"> </w:t>
      </w:r>
      <w:r w:rsidRPr="002B5E33">
        <w:rPr>
          <w:rFonts w:cs="David" w:hint="eastAsia"/>
          <w:sz w:val="24"/>
          <w:szCs w:val="24"/>
          <w:rtl/>
        </w:rPr>
        <w:t>מתאפשרת</w:t>
      </w:r>
      <w:r w:rsidRPr="002B5E33">
        <w:rPr>
          <w:rFonts w:cs="David"/>
          <w:sz w:val="24"/>
          <w:szCs w:val="24"/>
          <w:rtl/>
        </w:rPr>
        <w:t xml:space="preserve"> </w:t>
      </w:r>
      <w:r w:rsidRPr="002B5E33">
        <w:rPr>
          <w:rFonts w:cs="David" w:hint="eastAsia"/>
          <w:sz w:val="24"/>
          <w:szCs w:val="24"/>
          <w:rtl/>
        </w:rPr>
        <w:t>השוואה</w:t>
      </w:r>
      <w:r w:rsidRPr="002B5E33">
        <w:rPr>
          <w:rFonts w:cs="David"/>
          <w:sz w:val="24"/>
          <w:szCs w:val="24"/>
          <w:rtl/>
        </w:rPr>
        <w:t xml:space="preserve"> </w:t>
      </w:r>
      <w:r w:rsidRPr="002B5E33">
        <w:rPr>
          <w:rFonts w:cs="David" w:hint="eastAsia"/>
          <w:sz w:val="24"/>
          <w:szCs w:val="24"/>
          <w:rtl/>
        </w:rPr>
        <w:t>נכונה</w:t>
      </w:r>
      <w:r w:rsidRPr="002B5E33">
        <w:rPr>
          <w:rFonts w:cs="David"/>
          <w:sz w:val="24"/>
          <w:szCs w:val="24"/>
          <w:rtl/>
        </w:rPr>
        <w:t xml:space="preserve"> </w:t>
      </w:r>
      <w:r w:rsidRPr="002B5E33">
        <w:rPr>
          <w:rFonts w:cs="David" w:hint="eastAsia"/>
          <w:sz w:val="24"/>
          <w:szCs w:val="24"/>
          <w:rtl/>
        </w:rPr>
        <w:t>של</w:t>
      </w:r>
      <w:r w:rsidRPr="002B5E33">
        <w:rPr>
          <w:rFonts w:cs="David"/>
          <w:sz w:val="24"/>
          <w:szCs w:val="24"/>
          <w:rtl/>
        </w:rPr>
        <w:t xml:space="preserve"> </w:t>
      </w:r>
      <w:r w:rsidRPr="002B5E33">
        <w:rPr>
          <w:rFonts w:cs="David" w:hint="eastAsia"/>
          <w:sz w:val="24"/>
          <w:szCs w:val="24"/>
          <w:rtl/>
        </w:rPr>
        <w:t>השינוי</w:t>
      </w:r>
      <w:r w:rsidRPr="002B5E33">
        <w:rPr>
          <w:rFonts w:cs="David"/>
          <w:sz w:val="24"/>
          <w:szCs w:val="24"/>
          <w:rtl/>
        </w:rPr>
        <w:t xml:space="preserve"> </w:t>
      </w:r>
      <w:r w:rsidRPr="002B5E33">
        <w:rPr>
          <w:rFonts w:cs="David" w:hint="eastAsia"/>
          <w:sz w:val="24"/>
          <w:szCs w:val="24"/>
          <w:rtl/>
        </w:rPr>
        <w:t>בהתנהלות</w:t>
      </w:r>
      <w:r w:rsidRPr="002B5E33">
        <w:rPr>
          <w:rFonts w:cs="David"/>
          <w:sz w:val="24"/>
          <w:szCs w:val="24"/>
          <w:rtl/>
        </w:rPr>
        <w:t xml:space="preserve"> </w:t>
      </w:r>
      <w:r w:rsidRPr="002B5E33">
        <w:rPr>
          <w:rFonts w:cs="David" w:hint="eastAsia"/>
          <w:sz w:val="24"/>
          <w:szCs w:val="24"/>
          <w:rtl/>
        </w:rPr>
        <w:t>כל</w:t>
      </w:r>
      <w:r w:rsidRPr="002B5E33">
        <w:rPr>
          <w:rFonts w:cs="David"/>
          <w:sz w:val="24"/>
          <w:szCs w:val="24"/>
          <w:rtl/>
        </w:rPr>
        <w:t xml:space="preserve"> </w:t>
      </w:r>
      <w:r w:rsidRPr="002B5E33">
        <w:rPr>
          <w:rFonts w:cs="David" w:hint="eastAsia"/>
          <w:sz w:val="24"/>
          <w:szCs w:val="24"/>
          <w:rtl/>
        </w:rPr>
        <w:t>חברה</w:t>
      </w:r>
      <w:r w:rsidRPr="002B5E33">
        <w:rPr>
          <w:rFonts w:cs="David"/>
          <w:sz w:val="24"/>
          <w:szCs w:val="24"/>
          <w:rtl/>
        </w:rPr>
        <w:t xml:space="preserve"> </w:t>
      </w:r>
      <w:r w:rsidRPr="002B5E33">
        <w:rPr>
          <w:rFonts w:cs="David" w:hint="eastAsia"/>
          <w:sz w:val="24"/>
          <w:szCs w:val="24"/>
          <w:rtl/>
        </w:rPr>
        <w:t>בנושא</w:t>
      </w:r>
      <w:r w:rsidRPr="002B5E33">
        <w:rPr>
          <w:rFonts w:cs="David"/>
          <w:sz w:val="24"/>
          <w:szCs w:val="24"/>
          <w:rtl/>
        </w:rPr>
        <w:t xml:space="preserve"> </w:t>
      </w:r>
      <w:r w:rsidRPr="002B5E33">
        <w:rPr>
          <w:rFonts w:cs="David" w:hint="eastAsia"/>
          <w:sz w:val="24"/>
          <w:szCs w:val="24"/>
          <w:rtl/>
        </w:rPr>
        <w:t>תלונות</w:t>
      </w:r>
      <w:r w:rsidRPr="002B5E33">
        <w:rPr>
          <w:rFonts w:cs="David"/>
          <w:sz w:val="24"/>
          <w:szCs w:val="24"/>
          <w:rtl/>
        </w:rPr>
        <w:t xml:space="preserve"> </w:t>
      </w:r>
      <w:r w:rsidRPr="002B5E33">
        <w:rPr>
          <w:rFonts w:cs="David" w:hint="eastAsia"/>
          <w:sz w:val="24"/>
          <w:szCs w:val="24"/>
          <w:rtl/>
        </w:rPr>
        <w:t>הציבור</w:t>
      </w:r>
      <w:r w:rsidRPr="002B5E33">
        <w:rPr>
          <w:rFonts w:cs="David"/>
          <w:sz w:val="24"/>
          <w:szCs w:val="24"/>
          <w:rtl/>
        </w:rPr>
        <w:t xml:space="preserve"> </w:t>
      </w:r>
      <w:r w:rsidRPr="002B5E33">
        <w:rPr>
          <w:rFonts w:cs="David" w:hint="eastAsia"/>
          <w:sz w:val="24"/>
          <w:szCs w:val="24"/>
          <w:rtl/>
        </w:rPr>
        <w:t>משנה</w:t>
      </w:r>
      <w:r w:rsidRPr="002B5E33">
        <w:rPr>
          <w:rFonts w:cs="David"/>
          <w:sz w:val="24"/>
          <w:szCs w:val="24"/>
          <w:rtl/>
        </w:rPr>
        <w:t xml:space="preserve"> </w:t>
      </w:r>
      <w:r w:rsidRPr="002B5E33">
        <w:rPr>
          <w:rFonts w:cs="David" w:hint="eastAsia"/>
          <w:sz w:val="24"/>
          <w:szCs w:val="24"/>
          <w:rtl/>
        </w:rPr>
        <w:t>לשנה</w:t>
      </w:r>
      <w:r>
        <w:rPr>
          <w:rStyle w:val="FootnoteReference"/>
          <w:rFonts w:cs="David"/>
          <w:sz w:val="24"/>
          <w:rtl/>
        </w:rPr>
        <w:footnoteReference w:id="156"/>
      </w:r>
      <w:r w:rsidRPr="002B5E33">
        <w:rPr>
          <w:rFonts w:cs="David"/>
          <w:sz w:val="24"/>
          <w:rtl/>
        </w:rPr>
        <w:t>.</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לאור מורכבות חישוב ציון החברות ברכיב תלונות הציבור, מומלץ כי הרשות תבחן אם הוא אכן משקף את הערך שראוי היה להציג בפני הציבור - עד כמה התלונות המוגשות כנגד כל חברה מוצדקות, מה הדירוג היחסי של החברות ברכיב זה והפערים הנכונים ביניהן, ומהי המגמה ארוכת הטווח של כמות התלונות כנגד כל חברה.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בתרשים שלהלן ציוני חברות הביטוח בתחום תלונות הציבור בביטוחי בריאות:</w:t>
      </w:r>
    </w:p>
    <w:p w:rsidR="00FA3E7D" w:rsidRPr="002B5E33" w:rsidP="00FA3E7D">
      <w:pPr>
        <w:spacing w:line="269" w:lineRule="auto"/>
        <w:rPr>
          <w:rtl/>
        </w:rPr>
      </w:pPr>
    </w:p>
    <w:p w:rsidR="00FA3E7D" w:rsidP="00291546">
      <w:pPr>
        <w:spacing w:line="269" w:lineRule="auto"/>
        <w:jc w:val="center"/>
        <w:rPr>
          <w:b/>
          <w:bCs/>
          <w:rtl/>
        </w:rPr>
      </w:pPr>
      <w:r w:rsidRPr="002B5E33">
        <w:rPr>
          <w:rFonts w:hint="eastAsia"/>
          <w:b/>
          <w:bCs/>
          <w:rtl/>
        </w:rPr>
        <w:t>תרשים</w:t>
      </w:r>
      <w:r w:rsidRPr="002B5E33">
        <w:rPr>
          <w:b/>
          <w:bCs/>
          <w:rtl/>
        </w:rPr>
        <w:t xml:space="preserve"> </w:t>
      </w:r>
      <w:r w:rsidRPr="002B5E33">
        <w:rPr>
          <w:rFonts w:hint="cs"/>
          <w:b/>
          <w:bCs/>
          <w:rtl/>
        </w:rPr>
        <w:t>35</w:t>
      </w:r>
      <w:r w:rsidR="00291546">
        <w:rPr>
          <w:rFonts w:hint="cs"/>
          <w:b/>
          <w:bCs/>
          <w:rtl/>
        </w:rPr>
        <w:t xml:space="preserve">: </w:t>
      </w:r>
      <w:r w:rsidRPr="002B5E33">
        <w:rPr>
          <w:rFonts w:hint="eastAsia"/>
          <w:b/>
          <w:bCs/>
          <w:rtl/>
        </w:rPr>
        <w:t>ניקוד</w:t>
      </w:r>
      <w:r w:rsidRPr="002B5E33">
        <w:rPr>
          <w:b/>
          <w:bCs/>
          <w:rtl/>
        </w:rPr>
        <w:t xml:space="preserve"> </w:t>
      </w:r>
      <w:r w:rsidRPr="002B5E33">
        <w:rPr>
          <w:rFonts w:hint="eastAsia"/>
          <w:b/>
          <w:bCs/>
          <w:rtl/>
        </w:rPr>
        <w:t>חברות</w:t>
      </w:r>
      <w:r w:rsidRPr="002B5E33">
        <w:rPr>
          <w:b/>
          <w:bCs/>
          <w:rtl/>
        </w:rPr>
        <w:t xml:space="preserve"> </w:t>
      </w:r>
      <w:r w:rsidRPr="002B5E33">
        <w:rPr>
          <w:rFonts w:hint="eastAsia"/>
          <w:b/>
          <w:bCs/>
          <w:rtl/>
        </w:rPr>
        <w:t>הביטוח</w:t>
      </w:r>
      <w:r w:rsidRPr="002B5E33">
        <w:rPr>
          <w:b/>
          <w:bCs/>
          <w:rtl/>
        </w:rPr>
        <w:t xml:space="preserve"> </w:t>
      </w:r>
      <w:r w:rsidRPr="002B5E33">
        <w:rPr>
          <w:rFonts w:hint="eastAsia"/>
          <w:b/>
          <w:bCs/>
          <w:rtl/>
        </w:rPr>
        <w:t>ברכיב</w:t>
      </w:r>
      <w:r w:rsidRPr="002B5E33">
        <w:rPr>
          <w:b/>
          <w:bCs/>
          <w:rtl/>
        </w:rPr>
        <w:t xml:space="preserve"> </w:t>
      </w:r>
      <w:r w:rsidRPr="002B5E33">
        <w:rPr>
          <w:rFonts w:hint="eastAsia"/>
          <w:b/>
          <w:bCs/>
          <w:rtl/>
        </w:rPr>
        <w:t>תלונות</w:t>
      </w:r>
      <w:r w:rsidRPr="002B5E33">
        <w:rPr>
          <w:b/>
          <w:bCs/>
          <w:rtl/>
        </w:rPr>
        <w:t xml:space="preserve"> </w:t>
      </w:r>
      <w:r w:rsidRPr="002B5E33">
        <w:rPr>
          <w:rFonts w:hint="eastAsia"/>
          <w:b/>
          <w:bCs/>
          <w:rtl/>
        </w:rPr>
        <w:t>הציבור</w:t>
      </w:r>
      <w:r w:rsidRPr="002B5E33">
        <w:rPr>
          <w:b/>
          <w:bCs/>
          <w:rtl/>
        </w:rPr>
        <w:t xml:space="preserve"> </w:t>
      </w:r>
      <w:r w:rsidRPr="002B5E33">
        <w:rPr>
          <w:rFonts w:hint="eastAsia"/>
          <w:b/>
          <w:bCs/>
          <w:rtl/>
        </w:rPr>
        <w:t>בביטוחי</w:t>
      </w:r>
      <w:r w:rsidRPr="002B5E33">
        <w:rPr>
          <w:b/>
          <w:bCs/>
          <w:rtl/>
        </w:rPr>
        <w:t xml:space="preserve"> </w:t>
      </w:r>
      <w:r w:rsidRPr="002B5E33">
        <w:rPr>
          <w:rFonts w:hint="eastAsia"/>
          <w:b/>
          <w:bCs/>
          <w:rtl/>
        </w:rPr>
        <w:t>בריאות</w:t>
      </w:r>
      <w:r w:rsidRPr="002B5E33">
        <w:rPr>
          <w:b/>
          <w:bCs/>
          <w:rtl/>
        </w:rPr>
        <w:t xml:space="preserve"> </w:t>
      </w:r>
      <w:r w:rsidRPr="002B5E33">
        <w:rPr>
          <w:rFonts w:hint="eastAsia"/>
          <w:b/>
          <w:bCs/>
          <w:rtl/>
        </w:rPr>
        <w:t>בשנים</w:t>
      </w:r>
      <w:r w:rsidRPr="002B5E33">
        <w:rPr>
          <w:b/>
          <w:bCs/>
          <w:rtl/>
        </w:rPr>
        <w:t xml:space="preserve"> (2014</w:t>
      </w:r>
      <w:r w:rsidRPr="002B5E33">
        <w:rPr>
          <w:rFonts w:hint="cs"/>
          <w:b/>
          <w:bCs/>
          <w:rtl/>
        </w:rPr>
        <w:t xml:space="preserve"> - 2018</w:t>
      </w:r>
      <w:r w:rsidRPr="002B5E33">
        <w:rPr>
          <w:b/>
          <w:bCs/>
          <w:rtl/>
        </w:rPr>
        <w:t>)</w:t>
      </w:r>
    </w:p>
    <w:p w:rsidR="00291546" w:rsidRPr="00291546" w:rsidP="00291546">
      <w:pPr>
        <w:spacing w:before="120" w:after="120" w:line="269" w:lineRule="auto"/>
        <w:jc w:val="center"/>
        <w:rPr>
          <w:b/>
          <w:bCs/>
          <w:rtl/>
        </w:rPr>
      </w:pPr>
      <w:r>
        <w:rPr>
          <w:b/>
          <w:bCs/>
          <w:noProof/>
          <w:rtl/>
        </w:rPr>
        <w:drawing>
          <wp:inline distT="0" distB="0" distL="0" distR="0">
            <wp:extent cx="4407417" cy="2359157"/>
            <wp:effectExtent l="0" t="0" r="0" b="3175"/>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6345" name="commercial-health-insurance-g-35.png"/>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07417" cy="2359157"/>
                    </a:xfrm>
                    <a:prstGeom prst="rect">
                      <a:avLst/>
                    </a:prstGeom>
                  </pic:spPr>
                </pic:pic>
              </a:graphicData>
            </a:graphic>
          </wp:inline>
        </w:drawing>
      </w:r>
    </w:p>
    <w:p w:rsidR="00FA3E7D" w:rsidRPr="0088167D" w:rsidP="009813B8">
      <w:pPr>
        <w:spacing w:line="269" w:lineRule="auto"/>
        <w:rPr>
          <w:sz w:val="22"/>
          <w:szCs w:val="22"/>
          <w:rtl/>
        </w:rPr>
      </w:pPr>
      <w:r w:rsidRPr="0088167D">
        <w:rPr>
          <w:rFonts w:hint="cs"/>
          <w:sz w:val="22"/>
          <w:szCs w:val="22"/>
          <w:rtl/>
        </w:rPr>
        <w:t xml:space="preserve">מקור: </w:t>
      </w:r>
      <w:r w:rsidR="006C3FAD">
        <w:rPr>
          <w:rFonts w:hint="cs"/>
          <w:sz w:val="22"/>
          <w:szCs w:val="22"/>
          <w:rtl/>
        </w:rPr>
        <w:t>נתוני</w:t>
      </w:r>
      <w:r w:rsidRPr="0088167D" w:rsidR="006C3FAD">
        <w:rPr>
          <w:rFonts w:hint="cs"/>
          <w:sz w:val="22"/>
          <w:szCs w:val="22"/>
          <w:rtl/>
        </w:rPr>
        <w:t xml:space="preserve"> </w:t>
      </w:r>
      <w:r w:rsidRPr="0088167D">
        <w:rPr>
          <w:rFonts w:hint="cs"/>
          <w:sz w:val="22"/>
          <w:szCs w:val="22"/>
          <w:rtl/>
        </w:rPr>
        <w:t>רשות שוק ההון, בעיבוד משרד מבקר המדינה.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מעיון בתרשים ניתן להתרשם כי בשנים 2014 - 2018, חלו משנה לשנה שינויים גדולים בניקוד שקיבלו חברות הביטוח השונות (לעומת התקופה הקודמת). עוד ניתן להתרשם ממגמה כללית של דמיון בשינויים בין החברות, כלומר משנה לשנה מרבית החברות נוטות לעלות יחד בניקוד או לרדת יחד בניקוד. </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 xml:space="preserve">שיטת החישוב של הניקוד ברכיב תלונות הציבור גורמת לכך שלא ניתן להסיק בהכרח כי העובדה שחברה מסוימת קיבלה ניקוד גבוה יותר בשנה מסוימת מאשר בשנה הקודמת נובעת מכך שפחות לקוחות התלוננו על החברה, באופן יחסי או בכלל, מאחר שהניקוד של כל אחת מהחברות במדד זה מושפע מגורמים שאינם בשליטתה, כגון נתח השוק שלה לעומת חברות אחרות והיקף התלונות נגד החברות האחרות. </w:t>
      </w:r>
    </w:p>
    <w:p w:rsidR="00FA3E7D" w:rsidRPr="002B5E33" w:rsidP="00FA3E7D">
      <w:pPr>
        <w:pStyle w:val="a"/>
        <w:spacing w:line="269" w:lineRule="auto"/>
        <w:rPr>
          <w:rtl/>
        </w:rPr>
      </w:pPr>
    </w:p>
    <w:p w:rsidR="00FA3E7D" w:rsidRPr="002B5E33" w:rsidP="00FA3E7D">
      <w:pPr>
        <w:pStyle w:val="Heading4"/>
        <w:spacing w:before="0" w:line="269" w:lineRule="auto"/>
        <w:rPr>
          <w:rtl/>
        </w:rPr>
      </w:pPr>
      <w:r w:rsidRPr="002B5E33">
        <w:rPr>
          <w:rFonts w:hint="cs"/>
          <w:rtl/>
        </w:rPr>
        <w:t>פרסום נתונים השוואתיים בין ביטוחים פרטיים לביטוחים קבוצתיים</w:t>
      </w:r>
    </w:p>
    <w:p w:rsidR="00FA3E7D" w:rsidRPr="002B5E33" w:rsidP="00FA3E7D">
      <w:pPr>
        <w:pStyle w:val="a"/>
        <w:rPr>
          <w:rtl/>
        </w:rPr>
      </w:pPr>
    </w:p>
    <w:p w:rsidR="00FA3E7D" w:rsidP="00FA3E7D">
      <w:pPr>
        <w:spacing w:line="269" w:lineRule="auto"/>
        <w:rPr>
          <w:rtl/>
        </w:rPr>
      </w:pPr>
      <w:r w:rsidRPr="002B5E33">
        <w:rPr>
          <w:rFonts w:hint="cs"/>
          <w:rtl/>
        </w:rPr>
        <w:t>כאמור, תכלית פרסום מדדי השירות היא כפולה - לשמש כלי לקבלת החלטות עבור הציבור, ולעידוד תחרות בקרב חברות הביטוח. לכאורה, בביטוחים קבוצתיים שבהם המבוטח אינו בוחר בחברה המבטחת, אלא הבחירה נעשית על ידי בעל הפוליסה</w:t>
      </w:r>
      <w:r>
        <w:rPr>
          <w:rStyle w:val="FootnoteReference"/>
          <w:rtl/>
        </w:rPr>
        <w:footnoteReference w:id="157"/>
      </w:r>
      <w:r w:rsidRPr="002B5E33">
        <w:rPr>
          <w:rFonts w:hint="cs"/>
          <w:rtl/>
        </w:rPr>
        <w:t xml:space="preserve"> המתקשר עם חברת הביטוח, חשיבות הצגת מדדי השירות נמוכה יותר. עם זאת, לפרסום מדדי שירות המתייחסים לביטוחים קבוצתיים יכולות להיות כמה תועלות: (1) - סיוע לבעל הפוליסה הקבוצתית בבחירת חברת ביטוח; (2) - הגברת התחרותיות בין חברות הביטוח בתחום הביטוחים הקבוצתיים; (3) - כלי לקבלת החלטה לחלק מן הציבור היכול לבחור בפוליסה פרטית או קבוצתית, המאפשר לבחון באיזה מסוגי הפוליסות ניתן לקבל שירות טוב יותר מחברה מסוימת; (4) - מתן אפשרות לרשות שוק ההון לבחון אם חברה מסוימת מעניקה עדיפות למבוטחים שלה בפוליסות קבוצתיות על פני פוליסות פרטיות, או להיפך, ונקיטת צעדים בהתאם.</w:t>
      </w:r>
    </w:p>
    <w:p w:rsidR="00FA3E7D" w:rsidRPr="002B5E33" w:rsidP="009813B8">
      <w:pPr>
        <w:pStyle w:val="a"/>
        <w:spacing w:line="269" w:lineRule="auto"/>
        <w:ind w:left="0"/>
        <w:rPr>
          <w:rtl/>
        </w:rPr>
      </w:pPr>
    </w:p>
    <w:p w:rsidR="00FA3E7D" w:rsidRPr="002B5E33" w:rsidP="00FA3E7D">
      <w:pPr>
        <w:spacing w:line="269" w:lineRule="auto"/>
        <w:rPr>
          <w:rtl/>
        </w:rPr>
      </w:pPr>
      <w:r w:rsidRPr="002B5E33">
        <w:rPr>
          <w:rFonts w:hint="cs"/>
          <w:rtl/>
        </w:rPr>
        <w:t>רשות שוק ההון כתבה בתשובתה כי "אופן פרסום המוצע בסעיף זה אינו מתאים למדדי השירות ואינו ישים מבחינת היקפי המכירות של כל פוליסות... בהצעת המבקר יש לייצר עומס נתונים מיותר לצרכנים (בניגוד לבעלי פוליסות קבוצתיות אשר נעזרים ביועצי ביטוח מקצועיים המסוגלים לעבד נתונים מורכבים יותר)".</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בדיקת משרד מבקר המדינה ביחס לנתוני שנת 2018 בתחום ביטוחי הבריאות העלתה כי ככלל, שיעור התביעות המתקבלות גבוה יותר בביטוחים קבוצתיים בהשוואה לביטוחים פרטיים. זאת ועוד, הבדיקה העלתה כי חברות הביטוח נוטות גם לטפל מהר יותר בתביעות ביטוחי בריאות בפוליסות קבוצתיות בהשוואה לפוליסות פרטיות. </w:t>
      </w:r>
    </w:p>
    <w:p w:rsidR="00FA3E7D" w:rsidRPr="002B5E33" w:rsidP="00FA3E7D">
      <w:pPr>
        <w:pStyle w:val="a"/>
        <w:spacing w:line="269" w:lineRule="auto"/>
        <w:rPr>
          <w:rtl/>
        </w:rPr>
      </w:pPr>
    </w:p>
    <w:p w:rsidR="00FA3E7D" w:rsidRPr="002B5E33" w:rsidP="00FA3E7D">
      <w:pPr>
        <w:spacing w:line="269" w:lineRule="auto"/>
      </w:pPr>
      <w:r w:rsidRPr="002B5E33">
        <w:rPr>
          <w:rFonts w:hint="cs"/>
          <w:rtl/>
        </w:rPr>
        <w:t>נוסף על כך, נראה כי מבוטחים בפוליסות פרטיות מרבים, באופן יחסי, להגיש תלונות לרשות שוק ההון כנגד חברות הביטוח, בהשוואה למבוטחים בפוליסות קבוצתיות.</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 xml:space="preserve">על פי חוזר איסוף מידע סטטיסטי, נדרשות חברות הביטוח, נוסף על העברת מידע כמותי לרשות שוק ההון על אודות האופן שבו טופלו תביעות ביטוח, לפרסם מידע דומה גם באתרי המרשתת שלהן. מטעמי הגנה על סודיות מסחרית, הפרסום האמור אינו אמור להציג מספרים מוחלטים של תביעות אלא אחוז מכלל התביעות בתת-הענף. </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 xml:space="preserve">המידע שחברות הביטוח מפרסמות באתרי המרשתת שלהן, לפי הנחיית רשות שוק ההון, כולל את הנתונים הסטטיסטיים המאחדים את נתוני הביטוח הקבוצתי ואת נתוני הביטוח הפרטי, וזאת על אף הפערים הבולטים כאמור, אצל חלק מהחברות בנתוני שיעור תשלום התביעות ומהירות הטיפול בתביעות בין ביטוחים פרטיים לביטוחים קבוצתיים. פרסום נתונים בדרך זו, לפי הנחיותיה של רשות שוק ההון, עלול לגרום לכך שהציבור המבקש לרכוש ביטוח פרטי יסתמך על נתונים מוטים המתייחסים גם לביטוחים קבוצתיים. </w:t>
      </w:r>
    </w:p>
    <w:p w:rsidR="00FA3E7D" w:rsidRPr="002B5E33" w:rsidP="00FA3E7D">
      <w:pPr>
        <w:pStyle w:val="a"/>
        <w:spacing w:line="269" w:lineRule="auto"/>
        <w:rPr>
          <w:rtl/>
        </w:rPr>
      </w:pPr>
    </w:p>
    <w:p w:rsidR="00FA3E7D" w:rsidRPr="002B5E33" w:rsidP="00FA3E7D">
      <w:pPr>
        <w:spacing w:line="269" w:lineRule="auto"/>
        <w:rPr>
          <w:rtl/>
        </w:rPr>
      </w:pPr>
      <w:r w:rsidRPr="002B5E33">
        <w:rPr>
          <w:rFonts w:hint="eastAsia"/>
          <w:rtl/>
        </w:rPr>
        <w:t>במסגרת</w:t>
      </w:r>
      <w:r w:rsidRPr="002B5E33">
        <w:rPr>
          <w:rFonts w:hint="cs"/>
          <w:rtl/>
        </w:rPr>
        <w:t xml:space="preserve"> </w:t>
      </w:r>
      <w:r w:rsidRPr="002B5E33">
        <w:rPr>
          <w:rFonts w:hint="eastAsia"/>
          <w:rtl/>
        </w:rPr>
        <w:t>עבודת</w:t>
      </w:r>
      <w:r w:rsidRPr="002B5E33">
        <w:rPr>
          <w:rtl/>
        </w:rPr>
        <w:t xml:space="preserve"> </w:t>
      </w:r>
      <w:r w:rsidRPr="002B5E33">
        <w:rPr>
          <w:rFonts w:hint="eastAsia"/>
          <w:rtl/>
        </w:rPr>
        <w:t>המטה</w:t>
      </w:r>
      <w:r w:rsidRPr="002B5E33">
        <w:rPr>
          <w:rtl/>
        </w:rPr>
        <w:t xml:space="preserve"> </w:t>
      </w:r>
      <w:r w:rsidRPr="002B5E33">
        <w:rPr>
          <w:rFonts w:hint="eastAsia"/>
          <w:rtl/>
        </w:rPr>
        <w:t>שערכה</w:t>
      </w:r>
      <w:r w:rsidRPr="002B5E33">
        <w:rPr>
          <w:rtl/>
        </w:rPr>
        <w:t xml:space="preserve"> </w:t>
      </w:r>
      <w:r w:rsidRPr="002B5E33">
        <w:rPr>
          <w:rFonts w:hint="eastAsia"/>
          <w:rtl/>
        </w:rPr>
        <w:t>רשות</w:t>
      </w:r>
      <w:r w:rsidRPr="002B5E33">
        <w:rPr>
          <w:rtl/>
        </w:rPr>
        <w:t xml:space="preserve"> </w:t>
      </w:r>
      <w:r w:rsidRPr="002B5E33">
        <w:rPr>
          <w:rFonts w:hint="eastAsia"/>
          <w:rtl/>
        </w:rPr>
        <w:t>שוק</w:t>
      </w:r>
      <w:r w:rsidRPr="002B5E33">
        <w:rPr>
          <w:rtl/>
        </w:rPr>
        <w:t xml:space="preserve"> </w:t>
      </w:r>
      <w:r w:rsidRPr="002B5E33">
        <w:rPr>
          <w:rFonts w:hint="eastAsia"/>
          <w:rtl/>
        </w:rPr>
        <w:t>ההון</w:t>
      </w:r>
      <w:r w:rsidRPr="002B5E33">
        <w:rPr>
          <w:rtl/>
        </w:rPr>
        <w:t xml:space="preserve"> </w:t>
      </w:r>
      <w:r w:rsidRPr="002B5E33">
        <w:rPr>
          <w:rFonts w:hint="cs"/>
          <w:rtl/>
        </w:rPr>
        <w:t xml:space="preserve">היא </w:t>
      </w:r>
      <w:r w:rsidRPr="002B5E33">
        <w:rPr>
          <w:rtl/>
        </w:rPr>
        <w:t xml:space="preserve">לא בחנה </w:t>
      </w:r>
      <w:r w:rsidRPr="002B5E33">
        <w:rPr>
          <w:rFonts w:hint="eastAsia"/>
          <w:rtl/>
        </w:rPr>
        <w:t>את</w:t>
      </w:r>
      <w:r w:rsidRPr="002B5E33">
        <w:rPr>
          <w:rtl/>
        </w:rPr>
        <w:t xml:space="preserve"> </w:t>
      </w:r>
      <w:r w:rsidRPr="002B5E33">
        <w:rPr>
          <w:rFonts w:hint="eastAsia"/>
          <w:rtl/>
        </w:rPr>
        <w:t>ההצדקה</w:t>
      </w:r>
      <w:r w:rsidRPr="002B5E33">
        <w:rPr>
          <w:rtl/>
        </w:rPr>
        <w:t xml:space="preserve"> </w:t>
      </w:r>
      <w:r w:rsidRPr="002B5E33">
        <w:rPr>
          <w:rFonts w:hint="eastAsia"/>
          <w:rtl/>
        </w:rPr>
        <w:t>העניינית</w:t>
      </w:r>
      <w:r w:rsidRPr="002B5E33">
        <w:rPr>
          <w:rtl/>
        </w:rPr>
        <w:t xml:space="preserve"> </w:t>
      </w:r>
      <w:r w:rsidRPr="002B5E33">
        <w:rPr>
          <w:rFonts w:hint="eastAsia"/>
          <w:rtl/>
        </w:rPr>
        <w:t>לשימוש</w:t>
      </w:r>
      <w:r w:rsidRPr="002B5E33">
        <w:rPr>
          <w:rtl/>
        </w:rPr>
        <w:t xml:space="preserve"> </w:t>
      </w:r>
      <w:r w:rsidRPr="002B5E33">
        <w:rPr>
          <w:rFonts w:hint="eastAsia"/>
          <w:rtl/>
        </w:rPr>
        <w:t>או</w:t>
      </w:r>
      <w:r w:rsidRPr="002B5E33">
        <w:rPr>
          <w:rtl/>
        </w:rPr>
        <w:t xml:space="preserve"> </w:t>
      </w:r>
      <w:r w:rsidRPr="002B5E33">
        <w:rPr>
          <w:rFonts w:hint="cs"/>
          <w:rtl/>
        </w:rPr>
        <w:t>ל</w:t>
      </w:r>
      <w:r w:rsidRPr="002B5E33">
        <w:rPr>
          <w:rFonts w:hint="eastAsia"/>
          <w:rtl/>
        </w:rPr>
        <w:t>אי</w:t>
      </w:r>
      <w:r w:rsidRPr="002B5E33">
        <w:rPr>
          <w:rtl/>
        </w:rPr>
        <w:t>-</w:t>
      </w:r>
      <w:r w:rsidRPr="002B5E33">
        <w:rPr>
          <w:rFonts w:hint="cs"/>
          <w:rtl/>
        </w:rPr>
        <w:t>שימוש</w:t>
      </w:r>
      <w:r w:rsidRPr="002B5E33">
        <w:rPr>
          <w:rtl/>
        </w:rPr>
        <w:t xml:space="preserve"> </w:t>
      </w:r>
      <w:r w:rsidRPr="002B5E33">
        <w:rPr>
          <w:rFonts w:hint="cs"/>
          <w:rtl/>
        </w:rPr>
        <w:t>בנתוני</w:t>
      </w:r>
      <w:r w:rsidRPr="002B5E33">
        <w:rPr>
          <w:rtl/>
        </w:rPr>
        <w:t xml:space="preserve"> </w:t>
      </w:r>
      <w:r w:rsidRPr="002B5E33">
        <w:rPr>
          <w:rFonts w:hint="cs"/>
          <w:rtl/>
        </w:rPr>
        <w:t>הביטוחים</w:t>
      </w:r>
      <w:r w:rsidRPr="002B5E33">
        <w:rPr>
          <w:rtl/>
        </w:rPr>
        <w:t xml:space="preserve"> </w:t>
      </w:r>
      <w:r w:rsidRPr="002B5E33">
        <w:rPr>
          <w:rFonts w:hint="cs"/>
          <w:rtl/>
        </w:rPr>
        <w:t>הקבוצתיים</w:t>
      </w:r>
      <w:r w:rsidRPr="002B5E33">
        <w:rPr>
          <w:rtl/>
        </w:rPr>
        <w:t xml:space="preserve">. </w:t>
      </w:r>
      <w:r w:rsidRPr="002B5E33">
        <w:rPr>
          <w:rFonts w:hint="cs"/>
          <w:rtl/>
        </w:rPr>
        <w:t>כך</w:t>
      </w:r>
      <w:r w:rsidRPr="002B5E33">
        <w:rPr>
          <w:rtl/>
        </w:rPr>
        <w:t xml:space="preserve"> </w:t>
      </w:r>
      <w:r w:rsidRPr="002B5E33">
        <w:rPr>
          <w:rFonts w:hint="cs"/>
          <w:rtl/>
        </w:rPr>
        <w:t>למשל</w:t>
      </w:r>
      <w:r w:rsidRPr="002B5E33">
        <w:rPr>
          <w:rtl/>
        </w:rPr>
        <w:t xml:space="preserve">, </w:t>
      </w:r>
      <w:r w:rsidRPr="002B5E33">
        <w:rPr>
          <w:rFonts w:hint="cs"/>
          <w:rtl/>
        </w:rPr>
        <w:t>בעבודת</w:t>
      </w:r>
      <w:r w:rsidRPr="002B5E33">
        <w:rPr>
          <w:rtl/>
        </w:rPr>
        <w:t xml:space="preserve"> </w:t>
      </w:r>
      <w:r w:rsidRPr="002B5E33">
        <w:rPr>
          <w:rFonts w:hint="cs"/>
          <w:rtl/>
        </w:rPr>
        <w:t>המטה</w:t>
      </w:r>
      <w:r w:rsidRPr="002B5E33">
        <w:rPr>
          <w:rtl/>
        </w:rPr>
        <w:t xml:space="preserve"> </w:t>
      </w:r>
      <w:r w:rsidRPr="002B5E33">
        <w:rPr>
          <w:rFonts w:hint="cs"/>
          <w:rtl/>
        </w:rPr>
        <w:t>שהתייחסה</w:t>
      </w:r>
      <w:r w:rsidRPr="002B5E33">
        <w:rPr>
          <w:rtl/>
        </w:rPr>
        <w:t xml:space="preserve"> </w:t>
      </w:r>
      <w:r w:rsidRPr="002B5E33">
        <w:rPr>
          <w:rFonts w:hint="cs"/>
          <w:rtl/>
        </w:rPr>
        <w:t>למדד</w:t>
      </w:r>
      <w:r w:rsidRPr="002B5E33">
        <w:rPr>
          <w:rtl/>
        </w:rPr>
        <w:t xml:space="preserve"> </w:t>
      </w:r>
      <w:r w:rsidRPr="002B5E33">
        <w:rPr>
          <w:rFonts w:hint="cs"/>
          <w:rtl/>
        </w:rPr>
        <w:t>תשלום</w:t>
      </w:r>
      <w:r w:rsidRPr="002B5E33">
        <w:rPr>
          <w:rtl/>
        </w:rPr>
        <w:t xml:space="preserve"> </w:t>
      </w:r>
      <w:r w:rsidRPr="002B5E33">
        <w:rPr>
          <w:rFonts w:hint="cs"/>
          <w:rtl/>
        </w:rPr>
        <w:t>התביעות</w:t>
      </w:r>
      <w:r w:rsidRPr="002B5E33">
        <w:rPr>
          <w:rtl/>
        </w:rPr>
        <w:t xml:space="preserve"> </w:t>
      </w:r>
      <w:r w:rsidRPr="002B5E33">
        <w:rPr>
          <w:rFonts w:hint="cs"/>
          <w:rtl/>
        </w:rPr>
        <w:t>נכתב</w:t>
      </w:r>
      <w:r w:rsidRPr="002B5E33">
        <w:rPr>
          <w:rtl/>
        </w:rPr>
        <w:t xml:space="preserve"> </w:t>
      </w:r>
      <w:r w:rsidRPr="002B5E33">
        <w:rPr>
          <w:rFonts w:hint="cs"/>
          <w:rtl/>
        </w:rPr>
        <w:t>כי</w:t>
      </w:r>
      <w:r w:rsidRPr="002B5E33">
        <w:rPr>
          <w:rtl/>
        </w:rPr>
        <w:t xml:space="preserve"> "עבור </w:t>
      </w:r>
      <w:r w:rsidRPr="002B5E33">
        <w:rPr>
          <w:rFonts w:hint="cs"/>
          <w:rtl/>
        </w:rPr>
        <w:t>מוצר</w:t>
      </w:r>
      <w:r w:rsidRPr="002B5E33">
        <w:rPr>
          <w:rtl/>
        </w:rPr>
        <w:t xml:space="preserve">/שירות </w:t>
      </w:r>
      <w:r w:rsidRPr="002B5E33">
        <w:rPr>
          <w:rFonts w:hint="cs"/>
          <w:rtl/>
        </w:rPr>
        <w:t>המבוזר</w:t>
      </w:r>
      <w:r w:rsidRPr="002B5E33">
        <w:rPr>
          <w:rtl/>
        </w:rPr>
        <w:t xml:space="preserve"> </w:t>
      </w:r>
      <w:r w:rsidRPr="002B5E33">
        <w:rPr>
          <w:rFonts w:hint="cs"/>
          <w:rtl/>
        </w:rPr>
        <w:t>לשירות</w:t>
      </w:r>
      <w:r w:rsidRPr="002B5E33">
        <w:rPr>
          <w:rtl/>
        </w:rPr>
        <w:t xml:space="preserve"> </w:t>
      </w:r>
      <w:r w:rsidRPr="002B5E33">
        <w:rPr>
          <w:rFonts w:hint="cs"/>
          <w:rtl/>
        </w:rPr>
        <w:t>פרט</w:t>
      </w:r>
      <w:r w:rsidRPr="002B5E33">
        <w:rPr>
          <w:rtl/>
        </w:rPr>
        <w:t xml:space="preserve"> </w:t>
      </w:r>
      <w:r w:rsidRPr="002B5E33">
        <w:rPr>
          <w:rFonts w:hint="cs"/>
          <w:rtl/>
        </w:rPr>
        <w:t>ושירות</w:t>
      </w:r>
      <w:r w:rsidRPr="002B5E33">
        <w:rPr>
          <w:rtl/>
        </w:rPr>
        <w:t xml:space="preserve"> </w:t>
      </w:r>
      <w:r w:rsidRPr="002B5E33">
        <w:rPr>
          <w:rFonts w:hint="cs"/>
          <w:rtl/>
        </w:rPr>
        <w:t>קבוצתי</w:t>
      </w:r>
      <w:r w:rsidRPr="002B5E33">
        <w:rPr>
          <w:rtl/>
        </w:rPr>
        <w:t xml:space="preserve"> </w:t>
      </w:r>
      <w:r w:rsidRPr="002B5E33">
        <w:rPr>
          <w:rFonts w:hint="cs"/>
          <w:rtl/>
        </w:rPr>
        <w:t>הוגדר</w:t>
      </w:r>
      <w:r w:rsidRPr="002B5E33">
        <w:rPr>
          <w:rtl/>
        </w:rPr>
        <w:t xml:space="preserve"> </w:t>
      </w:r>
      <w:r w:rsidRPr="002B5E33">
        <w:rPr>
          <w:rFonts w:hint="cs"/>
          <w:rtl/>
        </w:rPr>
        <w:t>סטנדרט</w:t>
      </w:r>
      <w:r w:rsidRPr="002B5E33">
        <w:rPr>
          <w:rtl/>
        </w:rPr>
        <w:t xml:space="preserve"> </w:t>
      </w:r>
      <w:r w:rsidRPr="002B5E33">
        <w:rPr>
          <w:rFonts w:hint="cs"/>
          <w:rtl/>
        </w:rPr>
        <w:t>אחיד</w:t>
      </w:r>
      <w:r w:rsidRPr="002B5E33">
        <w:rPr>
          <w:rtl/>
        </w:rPr>
        <w:t xml:space="preserve"> </w:t>
      </w:r>
      <w:r w:rsidRPr="002B5E33">
        <w:rPr>
          <w:rFonts w:hint="cs"/>
          <w:rtl/>
        </w:rPr>
        <w:t>לזוג</w:t>
      </w:r>
      <w:r w:rsidRPr="002B5E33">
        <w:rPr>
          <w:rtl/>
        </w:rPr>
        <w:t xml:space="preserve"> </w:t>
      </w:r>
      <w:r w:rsidRPr="002B5E33">
        <w:rPr>
          <w:rFonts w:hint="cs"/>
          <w:rtl/>
        </w:rPr>
        <w:t>המוצרים</w:t>
      </w:r>
      <w:r w:rsidRPr="002B5E33">
        <w:rPr>
          <w:rtl/>
        </w:rPr>
        <w:t xml:space="preserve"> </w:t>
      </w:r>
      <w:r w:rsidRPr="002B5E33">
        <w:rPr>
          <w:rFonts w:hint="cs"/>
          <w:rtl/>
        </w:rPr>
        <w:t>ובהתאם</w:t>
      </w:r>
      <w:r w:rsidRPr="002B5E33">
        <w:rPr>
          <w:rtl/>
        </w:rPr>
        <w:t xml:space="preserve"> </w:t>
      </w:r>
      <w:r w:rsidRPr="002B5E33">
        <w:rPr>
          <w:rFonts w:hint="cs"/>
          <w:rtl/>
        </w:rPr>
        <w:t>לציוני</w:t>
      </w:r>
      <w:r w:rsidRPr="002B5E33">
        <w:rPr>
          <w:rtl/>
        </w:rPr>
        <w:t xml:space="preserve"> </w:t>
      </w:r>
      <w:r w:rsidRPr="002B5E33">
        <w:rPr>
          <w:rFonts w:hint="cs"/>
          <w:rtl/>
        </w:rPr>
        <w:t>החברות</w:t>
      </w:r>
      <w:r w:rsidRPr="002B5E33">
        <w:rPr>
          <w:rtl/>
        </w:rPr>
        <w:t xml:space="preserve"> </w:t>
      </w:r>
      <w:r w:rsidRPr="002B5E33">
        <w:rPr>
          <w:rFonts w:hint="cs"/>
          <w:rtl/>
        </w:rPr>
        <w:t>הוחלט</w:t>
      </w:r>
      <w:r w:rsidRPr="002B5E33">
        <w:rPr>
          <w:rtl/>
        </w:rPr>
        <w:t xml:space="preserve"> </w:t>
      </w:r>
      <w:r w:rsidRPr="002B5E33">
        <w:rPr>
          <w:rFonts w:hint="cs"/>
          <w:rtl/>
        </w:rPr>
        <w:t>האם</w:t>
      </w:r>
      <w:r w:rsidRPr="002B5E33">
        <w:rPr>
          <w:rtl/>
        </w:rPr>
        <w:t xml:space="preserve"> </w:t>
      </w:r>
      <w:r w:rsidRPr="002B5E33">
        <w:rPr>
          <w:rFonts w:hint="cs"/>
          <w:rtl/>
        </w:rPr>
        <w:t>לאחד</w:t>
      </w:r>
      <w:r w:rsidRPr="002B5E33">
        <w:rPr>
          <w:rtl/>
        </w:rPr>
        <w:t xml:space="preserve"> </w:t>
      </w:r>
      <w:r w:rsidRPr="002B5E33">
        <w:rPr>
          <w:rFonts w:hint="cs"/>
          <w:rtl/>
        </w:rPr>
        <w:t>את</w:t>
      </w:r>
      <w:r w:rsidRPr="002B5E33">
        <w:rPr>
          <w:rtl/>
        </w:rPr>
        <w:t xml:space="preserve"> </w:t>
      </w:r>
      <w:r w:rsidRPr="002B5E33">
        <w:rPr>
          <w:rFonts w:hint="cs"/>
          <w:rtl/>
        </w:rPr>
        <w:t>ציון</w:t>
      </w:r>
      <w:r w:rsidRPr="002B5E33">
        <w:rPr>
          <w:rtl/>
        </w:rPr>
        <w:t xml:space="preserve"> </w:t>
      </w:r>
      <w:r w:rsidRPr="002B5E33">
        <w:rPr>
          <w:rFonts w:hint="cs"/>
          <w:rtl/>
        </w:rPr>
        <w:t>המוצר</w:t>
      </w:r>
      <w:r w:rsidRPr="002B5E33">
        <w:rPr>
          <w:rtl/>
        </w:rPr>
        <w:t>/שירות".</w:t>
      </w:r>
    </w:p>
    <w:p w:rsidR="00FA3E7D" w:rsidRPr="002B5E33" w:rsidP="00FA3E7D">
      <w:pPr>
        <w:pStyle w:val="a"/>
        <w:spacing w:line="269" w:lineRule="auto"/>
        <w:rPr>
          <w:rtl/>
        </w:rPr>
      </w:pPr>
    </w:p>
    <w:p w:rsidR="00FA3E7D" w:rsidRPr="002B5E33" w:rsidP="00FA3E7D">
      <w:pPr>
        <w:spacing w:line="269" w:lineRule="auto"/>
      </w:pPr>
      <w:r w:rsidRPr="002B5E33">
        <w:rPr>
          <w:rFonts w:hint="cs"/>
          <w:rtl/>
        </w:rPr>
        <w:t>בתשובת הרשות נכתב כי "בהתאם לנתונים המדווחים לרשות, הוחלט בחלק מהמוצרים לכלול גם ביטוחים קבוצתיים מקום שהיתה לכך הצדקה/ לא היתה אפשרות לייצר הבחנה. על מנת לשמור על האחידות של המוצר הבסיסי הנמדד על ידי הרשות".</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לאור הממצאים</w:t>
      </w:r>
      <w:r w:rsidRPr="002B5E33">
        <w:rPr>
          <w:b/>
          <w:bCs/>
          <w:rtl/>
        </w:rPr>
        <w:t xml:space="preserve"> בדבר </w:t>
      </w:r>
      <w:r w:rsidRPr="002B5E33">
        <w:rPr>
          <w:rFonts w:hint="eastAsia"/>
          <w:b/>
          <w:bCs/>
          <w:rtl/>
        </w:rPr>
        <w:t>הפערים</w:t>
      </w:r>
      <w:r w:rsidRPr="002B5E33">
        <w:rPr>
          <w:b/>
          <w:bCs/>
          <w:rtl/>
        </w:rPr>
        <w:t xml:space="preserve"> </w:t>
      </w:r>
      <w:r w:rsidRPr="002B5E33">
        <w:rPr>
          <w:rFonts w:hint="eastAsia"/>
          <w:b/>
          <w:bCs/>
          <w:rtl/>
        </w:rPr>
        <w:t>שביחסן</w:t>
      </w:r>
      <w:r w:rsidRPr="002B5E33">
        <w:rPr>
          <w:b/>
          <w:bCs/>
          <w:rtl/>
        </w:rPr>
        <w:t xml:space="preserve"> </w:t>
      </w:r>
      <w:r w:rsidRPr="002B5E33">
        <w:rPr>
          <w:rFonts w:hint="eastAsia"/>
          <w:b/>
          <w:bCs/>
          <w:rtl/>
        </w:rPr>
        <w:t>של</w:t>
      </w:r>
      <w:r w:rsidRPr="002B5E33">
        <w:rPr>
          <w:b/>
          <w:bCs/>
          <w:rtl/>
        </w:rPr>
        <w:t xml:space="preserve"> </w:t>
      </w:r>
      <w:r w:rsidRPr="002B5E33">
        <w:rPr>
          <w:rFonts w:hint="eastAsia"/>
          <w:b/>
          <w:bCs/>
          <w:rtl/>
        </w:rPr>
        <w:t>מרבית</w:t>
      </w:r>
      <w:r w:rsidRPr="002B5E33">
        <w:rPr>
          <w:b/>
          <w:bCs/>
          <w:rtl/>
        </w:rPr>
        <w:t xml:space="preserve"> חברות הביטוח </w:t>
      </w:r>
      <w:r w:rsidRPr="002B5E33">
        <w:rPr>
          <w:rFonts w:hint="eastAsia"/>
          <w:b/>
          <w:bCs/>
          <w:rtl/>
        </w:rPr>
        <w:t>לתשלום</w:t>
      </w:r>
      <w:r w:rsidRPr="002B5E33">
        <w:rPr>
          <w:b/>
          <w:bCs/>
          <w:rtl/>
        </w:rPr>
        <w:t xml:space="preserve"> </w:t>
      </w:r>
      <w:r w:rsidRPr="002B5E33">
        <w:rPr>
          <w:rFonts w:hint="eastAsia"/>
          <w:b/>
          <w:bCs/>
          <w:rtl/>
        </w:rPr>
        <w:t>תביעות</w:t>
      </w:r>
      <w:r w:rsidRPr="002B5E33">
        <w:rPr>
          <w:b/>
          <w:bCs/>
          <w:rtl/>
        </w:rPr>
        <w:t xml:space="preserve"> </w:t>
      </w:r>
      <w:r w:rsidRPr="002B5E33">
        <w:rPr>
          <w:rFonts w:hint="eastAsia"/>
          <w:b/>
          <w:bCs/>
          <w:rtl/>
        </w:rPr>
        <w:t>בביטוחי</w:t>
      </w:r>
      <w:r w:rsidRPr="002B5E33">
        <w:rPr>
          <w:b/>
          <w:bCs/>
          <w:rtl/>
        </w:rPr>
        <w:t xml:space="preserve"> </w:t>
      </w:r>
      <w:r w:rsidRPr="002B5E33">
        <w:rPr>
          <w:rFonts w:hint="eastAsia"/>
          <w:b/>
          <w:bCs/>
          <w:rtl/>
        </w:rPr>
        <w:t>בריאות</w:t>
      </w:r>
      <w:r w:rsidRPr="002B5E33">
        <w:rPr>
          <w:b/>
          <w:bCs/>
          <w:rtl/>
        </w:rPr>
        <w:t xml:space="preserve"> </w:t>
      </w:r>
      <w:r w:rsidRPr="002B5E33">
        <w:rPr>
          <w:rFonts w:hint="eastAsia"/>
          <w:b/>
          <w:bCs/>
          <w:rtl/>
        </w:rPr>
        <w:t>פרטיים</w:t>
      </w:r>
      <w:r w:rsidRPr="002B5E33">
        <w:rPr>
          <w:b/>
          <w:bCs/>
          <w:rtl/>
        </w:rPr>
        <w:t xml:space="preserve"> </w:t>
      </w:r>
      <w:r w:rsidRPr="002B5E33">
        <w:rPr>
          <w:rFonts w:hint="eastAsia"/>
          <w:b/>
          <w:bCs/>
          <w:rtl/>
        </w:rPr>
        <w:t>בהשוואה</w:t>
      </w:r>
      <w:r w:rsidRPr="002B5E33">
        <w:rPr>
          <w:b/>
          <w:bCs/>
          <w:rtl/>
        </w:rPr>
        <w:t xml:space="preserve"> </w:t>
      </w:r>
      <w:r w:rsidRPr="002B5E33">
        <w:rPr>
          <w:rFonts w:hint="eastAsia"/>
          <w:b/>
          <w:bCs/>
          <w:rtl/>
        </w:rPr>
        <w:t>לביטוחי</w:t>
      </w:r>
      <w:r w:rsidRPr="002B5E33">
        <w:rPr>
          <w:b/>
          <w:bCs/>
          <w:rtl/>
        </w:rPr>
        <w:t xml:space="preserve"> </w:t>
      </w:r>
      <w:r w:rsidRPr="002B5E33">
        <w:rPr>
          <w:rFonts w:hint="eastAsia"/>
          <w:b/>
          <w:bCs/>
          <w:rtl/>
        </w:rPr>
        <w:t>בריאות</w:t>
      </w:r>
      <w:r w:rsidRPr="002B5E33">
        <w:rPr>
          <w:b/>
          <w:bCs/>
          <w:rtl/>
        </w:rPr>
        <w:t xml:space="preserve"> </w:t>
      </w:r>
      <w:r w:rsidRPr="002B5E33">
        <w:rPr>
          <w:rFonts w:hint="eastAsia"/>
          <w:b/>
          <w:bCs/>
          <w:rtl/>
        </w:rPr>
        <w:t>קבוצתיים</w:t>
      </w:r>
      <w:r w:rsidRPr="002B5E33">
        <w:rPr>
          <w:b/>
          <w:bCs/>
          <w:rtl/>
        </w:rPr>
        <w:t>,</w:t>
      </w:r>
      <w:r w:rsidRPr="002B5E33">
        <w:rPr>
          <w:rFonts w:hint="cs"/>
          <w:b/>
          <w:bCs/>
          <w:rtl/>
        </w:rPr>
        <w:t xml:space="preserve"> ראוי שרשות שוק ההון תמצא דרך להציג פערים אלו לציבור ותבחן אם יש צורך לנקוט אמצעים נוספים להסדרת פעילותן של חברות הביטוח באישור תביעות.</w:t>
      </w:r>
    </w:p>
    <w:p w:rsidR="00FA3E7D" w:rsidRPr="002B5E33" w:rsidP="00FA3E7D">
      <w:pPr>
        <w:pStyle w:val="a"/>
        <w:spacing w:line="269" w:lineRule="auto"/>
        <w:rPr>
          <w:rtl/>
        </w:rPr>
      </w:pPr>
    </w:p>
    <w:p w:rsidR="00FA3E7D" w:rsidRPr="002B5E33" w:rsidP="00FA3E7D">
      <w:pPr>
        <w:pStyle w:val="Heading4"/>
        <w:spacing w:before="0" w:line="269" w:lineRule="auto"/>
        <w:rPr>
          <w:rtl/>
        </w:rPr>
      </w:pPr>
      <w:r w:rsidRPr="002B5E33">
        <w:rPr>
          <w:rFonts w:hint="cs"/>
          <w:rtl/>
        </w:rPr>
        <w:t>השפעה אפשרית של מדדי השירות על השירות לציבור</w:t>
      </w:r>
    </w:p>
    <w:p w:rsidR="00FA3E7D" w:rsidRPr="002B5E33" w:rsidP="00FA3E7D">
      <w:pPr>
        <w:pStyle w:val="a"/>
        <w:rPr>
          <w:rtl/>
        </w:rPr>
      </w:pPr>
    </w:p>
    <w:p w:rsidR="00FA3E7D" w:rsidRPr="002B5E33" w:rsidP="00FA3E7D">
      <w:pPr>
        <w:spacing w:line="269" w:lineRule="auto"/>
        <w:rPr>
          <w:rtl/>
        </w:rPr>
      </w:pPr>
      <w:r w:rsidRPr="002B5E33">
        <w:rPr>
          <w:rFonts w:hint="cs"/>
          <w:rtl/>
        </w:rPr>
        <w:t>כפי שפורט לעיל, אחת ממטרות רשות שוק ההון בפרסום מדדי השירות היא ליצור מגמת שיפור בשירות שחברות הביטוח נותנות לציבור, וזאת כתוצאה מהתחרות שתיווצר בין החברות אם הן יאמינו כי למדדים אלו יש השפעה על בחירת הצרכנים בחברה מבטחת.</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בחינת רכיבי מדדי השירות בתחום ביטוחי הבריאות, מעלה חשש כי מדדי השירות במתכונתם הנוכחית עלולים, נוסף על תחרות בין חברות הביטוח, לעודד גם תופעות שליליות אשר יביאו לשיפור במדד המחושב לחברות הביטוח אך בד בבד לפגיעה בציבור המבוטחים. להלן דוגמאות:</w:t>
      </w:r>
    </w:p>
    <w:p w:rsidR="00FA3E7D" w:rsidRPr="002B5E33" w:rsidP="00FA3E7D">
      <w:pPr>
        <w:pStyle w:val="a"/>
        <w:spacing w:line="269" w:lineRule="auto"/>
        <w:rPr>
          <w:rtl/>
        </w:rPr>
      </w:pPr>
    </w:p>
    <w:p w:rsidR="00FA3E7D" w:rsidRPr="00A910A2" w:rsidP="00FA3E7D">
      <w:pPr>
        <w:pStyle w:val="ListParagraph"/>
        <w:numPr>
          <w:ilvl w:val="6"/>
          <w:numId w:val="1"/>
        </w:numPr>
        <w:spacing w:after="0" w:line="269" w:lineRule="auto"/>
        <w:ind w:left="312"/>
        <w:rPr>
          <w:rFonts w:ascii="Times New Roman" w:hAnsi="Times New Roman" w:cs="David"/>
          <w:sz w:val="20"/>
          <w:szCs w:val="24"/>
          <w:rtl/>
        </w:rPr>
      </w:pPr>
      <w:r w:rsidRPr="00A910A2">
        <w:rPr>
          <w:rStyle w:val="6"/>
          <w:rFonts w:cs="David" w:hint="eastAsia"/>
          <w:sz w:val="24"/>
          <w:szCs w:val="24"/>
          <w:rtl/>
        </w:rPr>
        <w:t>שיעור</w:t>
      </w:r>
      <w:r w:rsidRPr="00A910A2">
        <w:rPr>
          <w:rStyle w:val="6"/>
          <w:rFonts w:cs="David"/>
          <w:sz w:val="24"/>
          <w:szCs w:val="24"/>
          <w:rtl/>
        </w:rPr>
        <w:t xml:space="preserve"> </w:t>
      </w:r>
      <w:r w:rsidRPr="00A910A2">
        <w:rPr>
          <w:rStyle w:val="6"/>
          <w:rFonts w:cs="David" w:hint="eastAsia"/>
          <w:sz w:val="24"/>
          <w:szCs w:val="24"/>
          <w:rtl/>
        </w:rPr>
        <w:t>תשלום</w:t>
      </w:r>
      <w:r w:rsidRPr="00A910A2">
        <w:rPr>
          <w:rStyle w:val="6"/>
          <w:rFonts w:cs="David"/>
          <w:sz w:val="24"/>
          <w:szCs w:val="24"/>
          <w:rtl/>
        </w:rPr>
        <w:t xml:space="preserve"> </w:t>
      </w:r>
      <w:r w:rsidRPr="00A910A2">
        <w:rPr>
          <w:rStyle w:val="6"/>
          <w:rFonts w:cs="David" w:hint="eastAsia"/>
          <w:sz w:val="24"/>
          <w:szCs w:val="24"/>
          <w:rtl/>
        </w:rPr>
        <w:t>התביעות</w:t>
      </w:r>
      <w:r>
        <w:rPr>
          <w:rFonts w:ascii="David" w:hAnsi="David" w:cs="David" w:hint="cs"/>
          <w:b/>
          <w:bCs/>
          <w:sz w:val="24"/>
          <w:szCs w:val="24"/>
          <w:rtl/>
        </w:rPr>
        <w:t xml:space="preserve">: </w:t>
      </w:r>
      <w:r w:rsidRPr="00A910A2">
        <w:rPr>
          <w:rFonts w:ascii="Times New Roman" w:hAnsi="Times New Roman" w:cs="David" w:hint="cs"/>
          <w:sz w:val="20"/>
          <w:szCs w:val="24"/>
          <w:rtl/>
        </w:rPr>
        <w:t>כיוון שרכיב שיעור תשלום התביעות במדד השירות מביא בחשבון את שיעור התביעות שבהן שולם סכום כלשהו לתובע, בלי לתת ביטוי לחלק הסכום ששולם מכלל התביעה, עולה החשש כי חברות ביטוח אומנם יגדילו את מספר התביעות שבהן מבוצע תשלום לתובע, אולם "יפצו" על כך באמצעות הפחתת התשלומים לתובעים בתביעות שממילא היו מתקבלות.</w:t>
      </w:r>
    </w:p>
    <w:p w:rsidR="00FA3E7D" w:rsidRPr="002B5E33" w:rsidP="00FA3E7D">
      <w:pPr>
        <w:pStyle w:val="a"/>
        <w:spacing w:line="269" w:lineRule="auto"/>
        <w:rPr>
          <w:rtl/>
        </w:rPr>
      </w:pPr>
    </w:p>
    <w:p w:rsidR="00FA3E7D" w:rsidRPr="002B5E33" w:rsidP="00FA3E7D">
      <w:pPr>
        <w:pStyle w:val="ListParagraph"/>
        <w:numPr>
          <w:ilvl w:val="6"/>
          <w:numId w:val="1"/>
        </w:numPr>
        <w:spacing w:after="0" w:line="269" w:lineRule="auto"/>
        <w:ind w:left="312"/>
        <w:jc w:val="both"/>
        <w:rPr>
          <w:rFonts w:cs="David"/>
          <w:sz w:val="24"/>
          <w:szCs w:val="24"/>
        </w:rPr>
      </w:pPr>
      <w:r w:rsidRPr="002B5E33">
        <w:rPr>
          <w:rStyle w:val="6"/>
          <w:rFonts w:cs="David" w:hint="eastAsia"/>
          <w:sz w:val="24"/>
          <w:szCs w:val="24"/>
          <w:rtl/>
        </w:rPr>
        <w:t>מהירות</w:t>
      </w:r>
      <w:r w:rsidRPr="002B5E33">
        <w:rPr>
          <w:rStyle w:val="6"/>
          <w:rFonts w:cs="David"/>
          <w:sz w:val="24"/>
          <w:szCs w:val="24"/>
          <w:rtl/>
        </w:rPr>
        <w:t xml:space="preserve"> </w:t>
      </w:r>
      <w:r w:rsidRPr="002B5E33">
        <w:rPr>
          <w:rStyle w:val="6"/>
          <w:rFonts w:cs="David" w:hint="eastAsia"/>
          <w:sz w:val="24"/>
          <w:szCs w:val="24"/>
          <w:rtl/>
        </w:rPr>
        <w:t>תשלום</w:t>
      </w:r>
      <w:r w:rsidRPr="002B5E33">
        <w:rPr>
          <w:rStyle w:val="6"/>
          <w:rFonts w:cs="David"/>
          <w:sz w:val="24"/>
          <w:szCs w:val="24"/>
          <w:rtl/>
        </w:rPr>
        <w:t xml:space="preserve"> </w:t>
      </w:r>
      <w:r w:rsidRPr="002B5E33">
        <w:rPr>
          <w:rStyle w:val="6"/>
          <w:rFonts w:cs="David" w:hint="eastAsia"/>
          <w:sz w:val="24"/>
          <w:szCs w:val="24"/>
          <w:rtl/>
        </w:rPr>
        <w:t>התביעות</w:t>
      </w:r>
      <w:r>
        <w:rPr>
          <w:rFonts w:ascii="David" w:hAnsi="David" w:cs="David" w:hint="cs"/>
          <w:b/>
          <w:bCs/>
          <w:sz w:val="24"/>
          <w:szCs w:val="24"/>
          <w:rtl/>
        </w:rPr>
        <w:t xml:space="preserve">: </w:t>
      </w:r>
      <w:r w:rsidRPr="002B5E33">
        <w:rPr>
          <w:rFonts w:cs="David" w:hint="cs"/>
          <w:sz w:val="24"/>
          <w:szCs w:val="24"/>
          <w:rtl/>
        </w:rPr>
        <w:t>בהתאם לחוזר איסוף מידע סטטיסטי, חברות הביטוח נדרשות לדווח על תביעות שנסגרו במהלך השנה, בהתאם לאופן הסגירה (תביעות ששולמו, תביעות ששולמו חלקית, תביעות שנדחו, תביעות שבוטלו וכו'), ובהתאם לפרק הזמן שחלף עד לסגירה, בחתכים שונים</w:t>
      </w:r>
      <w:r>
        <w:rPr>
          <w:rStyle w:val="FootnoteReference"/>
          <w:rFonts w:cs="David"/>
          <w:sz w:val="24"/>
          <w:szCs w:val="24"/>
          <w:rtl/>
        </w:rPr>
        <w:footnoteReference w:id="158"/>
      </w:r>
      <w:r w:rsidRPr="002B5E33">
        <w:rPr>
          <w:rFonts w:cs="David" w:hint="cs"/>
          <w:sz w:val="24"/>
          <w:szCs w:val="24"/>
          <w:rtl/>
        </w:rPr>
        <w:t>. על פי שיטת החישוב של רכיב זה במדד השירות בתחום ביטוחי הבריאות, ניתן משקל זהה לכל התביעות שהטיפול בהן מסתיים בתוך 30 יום, מבלי להבחין בין תביעות שנסגרו בתוך 14 ימים לתביעות שנסגרו בתוך 15-30 יום.</w:t>
      </w:r>
    </w:p>
    <w:p w:rsidR="00FA3E7D" w:rsidRPr="002B5E33" w:rsidP="00FA3E7D">
      <w:pPr>
        <w:pStyle w:val="a"/>
        <w:spacing w:line="269" w:lineRule="auto"/>
        <w:rPr>
          <w:rtl/>
        </w:rPr>
      </w:pPr>
    </w:p>
    <w:p w:rsidR="00FA3E7D" w:rsidRPr="002B5E33" w:rsidP="00FA3E7D">
      <w:pPr>
        <w:spacing w:line="269" w:lineRule="auto"/>
        <w:ind w:left="312"/>
        <w:rPr>
          <w:b/>
          <w:bCs/>
          <w:rtl/>
        </w:rPr>
      </w:pPr>
      <w:r w:rsidRPr="002B5E33">
        <w:rPr>
          <w:rFonts w:hint="cs"/>
          <w:b/>
          <w:bCs/>
          <w:rtl/>
        </w:rPr>
        <w:t>היעדר התייחסות שונה לתביעות המסתיימות בתוך 14 ימים ולאלה המסתיימות בתוך 15-30 ימים, עלול להשפיע על התנהגות חברת הביטוח בגלל חוסר תמריץ להשקיע מאמצים לסיים את הטיפול בתביעות בתוך 14 יום. באופן דומה, עולה חשש סביר כי אין לחברות הביטוח תמריץ לזרז את הטיפול בתביעות שמשך הטיפול בהן עלה מעבר ל-60 ימים, שכן ממילא הן לא יבואו בחשבון בחישוב מדד השירות</w:t>
      </w:r>
      <w:r>
        <w:rPr>
          <w:rStyle w:val="FootnoteReference"/>
          <w:b/>
          <w:bCs/>
          <w:rtl/>
        </w:rPr>
        <w:footnoteReference w:id="159"/>
      </w:r>
      <w:r w:rsidRPr="002B5E33">
        <w:rPr>
          <w:rFonts w:hint="cs"/>
          <w:b/>
          <w:bCs/>
          <w:rtl/>
        </w:rPr>
        <w:t>. לפיכך, הקצאת משאבים על ידי חברות הביטוח לשם זירוז הטיפול בתביעות כך שהוא יסתיים בתוך 60 יום עלולה להביא לתוצאה שלילית ולפגיעה בציבור בשל הארכה נוספת של משך הטיפול דווקא בתביעות שבירורן דורש זמן רב יותר.</w:t>
      </w:r>
    </w:p>
    <w:p w:rsidR="00FA3E7D" w:rsidRPr="002B5E33" w:rsidP="00FA3E7D">
      <w:pPr>
        <w:pStyle w:val="a"/>
        <w:spacing w:line="269" w:lineRule="auto"/>
        <w:rPr>
          <w:rtl/>
        </w:rPr>
      </w:pPr>
    </w:p>
    <w:p w:rsidR="00FA3E7D" w:rsidRPr="002B5E33" w:rsidP="00FA3E7D">
      <w:pPr>
        <w:pStyle w:val="ListParagraph"/>
        <w:numPr>
          <w:ilvl w:val="0"/>
          <w:numId w:val="1"/>
        </w:numPr>
        <w:spacing w:after="0" w:line="269" w:lineRule="auto"/>
        <w:jc w:val="both"/>
        <w:rPr>
          <w:rFonts w:cs="David"/>
          <w:sz w:val="24"/>
          <w:szCs w:val="24"/>
        </w:rPr>
      </w:pPr>
      <w:r w:rsidRPr="002B5E33">
        <w:rPr>
          <w:rStyle w:val="6"/>
          <w:rFonts w:cs="David" w:hint="eastAsia"/>
          <w:sz w:val="24"/>
          <w:szCs w:val="24"/>
          <w:rtl/>
        </w:rPr>
        <w:t>זמן</w:t>
      </w:r>
      <w:r w:rsidRPr="002B5E33">
        <w:rPr>
          <w:rStyle w:val="6"/>
          <w:rFonts w:cs="David"/>
          <w:sz w:val="24"/>
          <w:szCs w:val="24"/>
          <w:rtl/>
        </w:rPr>
        <w:t xml:space="preserve"> </w:t>
      </w:r>
      <w:r w:rsidRPr="002B5E33">
        <w:rPr>
          <w:rStyle w:val="6"/>
          <w:rFonts w:cs="David" w:hint="cs"/>
          <w:sz w:val="24"/>
          <w:szCs w:val="24"/>
          <w:rtl/>
        </w:rPr>
        <w:t>המתנה ל</w:t>
      </w:r>
      <w:r w:rsidRPr="002B5E33">
        <w:rPr>
          <w:rStyle w:val="6"/>
          <w:rFonts w:cs="David" w:hint="eastAsia"/>
          <w:sz w:val="24"/>
          <w:szCs w:val="24"/>
          <w:rtl/>
        </w:rPr>
        <w:t>מענה</w:t>
      </w:r>
      <w:r w:rsidRPr="002B5E33">
        <w:rPr>
          <w:rStyle w:val="6"/>
          <w:rFonts w:cs="David"/>
          <w:sz w:val="24"/>
          <w:szCs w:val="24"/>
          <w:rtl/>
        </w:rPr>
        <w:t xml:space="preserve"> </w:t>
      </w:r>
      <w:r w:rsidRPr="002B5E33">
        <w:rPr>
          <w:rStyle w:val="6"/>
          <w:rFonts w:cs="David" w:hint="eastAsia"/>
          <w:sz w:val="24"/>
          <w:szCs w:val="24"/>
          <w:rtl/>
        </w:rPr>
        <w:t>טלפוני</w:t>
      </w:r>
      <w:r>
        <w:rPr>
          <w:rFonts w:ascii="David" w:hAnsi="David" w:cs="David" w:hint="cs"/>
          <w:b/>
          <w:bCs/>
          <w:sz w:val="24"/>
          <w:szCs w:val="24"/>
          <w:rtl/>
        </w:rPr>
        <w:t>:</w:t>
      </w:r>
      <w:r>
        <w:rPr>
          <w:rFonts w:cs="David" w:hint="cs"/>
          <w:sz w:val="24"/>
          <w:szCs w:val="24"/>
          <w:rtl/>
        </w:rPr>
        <w:t xml:space="preserve"> </w:t>
      </w:r>
      <w:r w:rsidRPr="002B5E33">
        <w:rPr>
          <w:rFonts w:cs="David" w:hint="cs"/>
          <w:sz w:val="24"/>
          <w:szCs w:val="24"/>
          <w:rtl/>
        </w:rPr>
        <w:t>רצונן של חברות ביטוח לשפר את הציון הניתן להן ברכיב זמן ההמתנה למענה הטלפוני עלול להביא להעדפת מתן מענה לשיחות מלקוחות ממתינים המתקרבים לזמן המתנה של 3 דקות, על חשבונם של לקוחות הממתינים מעל ל-3 דקות, ובכך להרע דווקא בשירות הניתן לאלו שנאלצו להמתין זמן רב יותר.</w:t>
      </w:r>
    </w:p>
    <w:p w:rsidR="00FA3E7D" w:rsidRPr="002B5E33" w:rsidP="00FA3E7D">
      <w:pPr>
        <w:pStyle w:val="a"/>
        <w:spacing w:line="269" w:lineRule="auto"/>
        <w:rPr>
          <w:rtl/>
        </w:rPr>
      </w:pPr>
    </w:p>
    <w:p w:rsidR="00FA3E7D" w:rsidRPr="002B5E33" w:rsidP="00FA3E7D">
      <w:pPr>
        <w:spacing w:line="269" w:lineRule="auto"/>
        <w:rPr>
          <w:sz w:val="24"/>
        </w:rPr>
      </w:pPr>
      <w:r w:rsidRPr="002B5E33">
        <w:rPr>
          <w:rFonts w:hint="cs"/>
          <w:sz w:val="24"/>
          <w:rtl/>
        </w:rPr>
        <w:t>הרשות מסרה כי ביקורות שערכה העלו כי דרך העבודה של מוקדי השירות מתבססת על קיומו של טור עבודה, על פי רוב, וכי כל סף שייקבע עלול להביא להטיית זמני ההמתנה למענה של החברות כדי לשפר את המדדים המחושבים להן.</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מומלץ כי הרשות תבחן מעת לעת את מערכות המידע של חברות הביטוח לשם מניעת ניצול לרעה של מתכונת החישוב של מדדי השירות</w:t>
      </w:r>
      <w:r w:rsidRPr="002B5E33">
        <w:rPr>
          <w:b/>
          <w:bCs/>
          <w:rtl/>
        </w:rPr>
        <w:t>.</w:t>
      </w:r>
    </w:p>
    <w:p w:rsidR="00FA3E7D" w:rsidRPr="002B5E33" w:rsidP="00FA3E7D">
      <w:pPr>
        <w:pStyle w:val="a"/>
        <w:spacing w:line="269" w:lineRule="auto"/>
        <w:rPr>
          <w:rtl/>
        </w:rPr>
      </w:pPr>
    </w:p>
    <w:p w:rsidR="00FA3E7D" w:rsidRPr="002B5E33" w:rsidP="00FA3E7D">
      <w:pPr>
        <w:pStyle w:val="Heading4"/>
        <w:spacing w:before="0" w:line="269" w:lineRule="auto"/>
        <w:rPr>
          <w:rtl/>
        </w:rPr>
      </w:pPr>
      <w:r w:rsidRPr="002B5E33">
        <w:rPr>
          <w:rFonts w:hint="cs"/>
          <w:rtl/>
        </w:rPr>
        <w:t xml:space="preserve">עידוד </w:t>
      </w:r>
      <w:r w:rsidRPr="002B5E33">
        <w:rPr>
          <w:rFonts w:hint="eastAsia"/>
          <w:rtl/>
        </w:rPr>
        <w:t>ה</w:t>
      </w:r>
      <w:r w:rsidRPr="002B5E33">
        <w:rPr>
          <w:rFonts w:hint="cs"/>
          <w:rtl/>
        </w:rPr>
        <w:t xml:space="preserve">ציבור להשתמש במדדי השירות </w:t>
      </w:r>
    </w:p>
    <w:p w:rsidR="00FA3E7D" w:rsidRPr="002B5E33" w:rsidP="00FA3E7D">
      <w:pPr>
        <w:pStyle w:val="a"/>
        <w:rPr>
          <w:rtl/>
        </w:rPr>
      </w:pPr>
    </w:p>
    <w:p w:rsidR="00FA3E7D" w:rsidRPr="002B5E33" w:rsidP="00FA3E7D">
      <w:pPr>
        <w:spacing w:line="269" w:lineRule="auto"/>
        <w:rPr>
          <w:rtl/>
        </w:rPr>
      </w:pPr>
      <w:r w:rsidRPr="002B5E33">
        <w:rPr>
          <w:rFonts w:hint="cs"/>
          <w:rtl/>
        </w:rPr>
        <w:t>מדדי השירות נועדו, בין היתר, לסייע לציבור בבחירת חברת ביטוח לצורך רכישת פוליסת ביטוח. התועלת שיכול הציבור להפיק מאיסוף המידע ופרסום מדדי השירות תלויה לפיכך באופן ישיר בפרסום הנתונים לציבור ובכך שהציבור יעשה בהם שימוש.</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בתשובת הרשות נכתב כי "הרשות עושה ככל שלאל ידה על מנת להנגיש לציבור את הכלי של מדדי השירות, בכפוף למשאבים העומדים לרשותה".</w:t>
      </w:r>
    </w:p>
    <w:p w:rsidR="00FA3E7D" w:rsidRPr="002B5E33" w:rsidP="00FA3E7D">
      <w:pPr>
        <w:pStyle w:val="a"/>
        <w:spacing w:line="269" w:lineRule="auto"/>
        <w:rPr>
          <w:rtl/>
        </w:rPr>
      </w:pPr>
    </w:p>
    <w:p w:rsidR="00FA3E7D" w:rsidP="00FA3E7D">
      <w:pPr>
        <w:spacing w:line="269" w:lineRule="auto"/>
        <w:rPr>
          <w:b/>
          <w:bCs/>
          <w:rtl/>
        </w:rPr>
      </w:pPr>
      <w:r w:rsidRPr="002B5E33">
        <w:rPr>
          <w:rFonts w:hint="cs"/>
          <w:b/>
          <w:bCs/>
          <w:rtl/>
        </w:rPr>
        <w:t xml:space="preserve">בעבודת המטה של רשות שוק ההון לקראת פרסום מדדי השירות, בהחלטות שהתקבלו ברשות בדבר חישוב ופרסום מדדי השירות, ובתכניות העבודה של הרשות, לא נקבעו אמצעים ויעדים כמותיים לחשיפה של מדדי השירות לציבור ולא נקבעו יעדים להגברת שימוש הציבור בפרסום מדדי השירות. </w:t>
      </w:r>
    </w:p>
    <w:p w:rsidR="00FA3E7D" w:rsidRPr="002B5E33" w:rsidP="009813B8">
      <w:pPr>
        <w:pStyle w:val="a"/>
        <w:spacing w:line="269" w:lineRule="auto"/>
        <w:ind w:left="0"/>
        <w:rPr>
          <w:rtl/>
        </w:rPr>
      </w:pPr>
    </w:p>
    <w:p w:rsidR="00FA3E7D" w:rsidRPr="002B5E33" w:rsidP="00FA3E7D">
      <w:pPr>
        <w:spacing w:line="269" w:lineRule="auto"/>
        <w:rPr>
          <w:rtl/>
        </w:rPr>
      </w:pPr>
      <w:r w:rsidRPr="002B5E33">
        <w:rPr>
          <w:rFonts w:hint="cs"/>
          <w:rtl/>
        </w:rPr>
        <w:t>מדדי השירות מתפרסמים באתר המרשתת של הרשות, ונתונים נבחרים מהם מתפרסמים בדוח השנתי של הממונה על שוק ההון. באתר המרשתת, קיימת הפרדה בין מוצרי הביטוח למיניהם, באופן שהציבור יכול לעיין בתוצאות מדדי השירות בכל ענף ביטוח.</w:t>
      </w:r>
    </w:p>
    <w:p w:rsidR="00632F5E">
      <w:pPr>
        <w:bidi w:val="0"/>
        <w:spacing w:after="200" w:line="276" w:lineRule="auto"/>
        <w:rPr>
          <w:szCs w:val="20"/>
          <w:rtl/>
        </w:rPr>
      </w:pPr>
      <w:r>
        <w:rPr>
          <w:szCs w:val="20"/>
          <w:rtl/>
        </w:rPr>
        <w:br w:type="page"/>
      </w:r>
    </w:p>
    <w:p w:rsidR="00FA3E7D" w:rsidRPr="00FD0101" w:rsidP="00FD0101">
      <w:pPr>
        <w:pStyle w:val="ListParagraph"/>
        <w:spacing w:after="0" w:line="269" w:lineRule="auto"/>
        <w:ind w:left="0"/>
        <w:jc w:val="center"/>
        <w:rPr>
          <w:rFonts w:cs="David"/>
          <w:b/>
          <w:bCs/>
          <w:sz w:val="24"/>
          <w:szCs w:val="24"/>
          <w:rtl/>
        </w:rPr>
      </w:pPr>
      <w:r w:rsidRPr="002B5E33">
        <w:rPr>
          <w:rFonts w:cs="David" w:hint="eastAsia"/>
          <w:b/>
          <w:bCs/>
          <w:sz w:val="24"/>
          <w:szCs w:val="24"/>
          <w:rtl/>
        </w:rPr>
        <w:t>תרשים</w:t>
      </w:r>
      <w:r w:rsidRPr="002B5E33">
        <w:rPr>
          <w:rFonts w:cs="David"/>
          <w:b/>
          <w:bCs/>
          <w:sz w:val="24"/>
          <w:szCs w:val="24"/>
          <w:rtl/>
        </w:rPr>
        <w:t xml:space="preserve"> </w:t>
      </w:r>
      <w:r w:rsidRPr="002B5E33">
        <w:rPr>
          <w:rFonts w:cs="David" w:hint="cs"/>
          <w:b/>
          <w:bCs/>
          <w:sz w:val="24"/>
          <w:szCs w:val="24"/>
          <w:rtl/>
        </w:rPr>
        <w:t>36</w:t>
      </w:r>
      <w:r w:rsidR="00FD0101">
        <w:rPr>
          <w:rFonts w:cs="David" w:hint="cs"/>
          <w:b/>
          <w:bCs/>
          <w:sz w:val="24"/>
          <w:szCs w:val="24"/>
          <w:rtl/>
        </w:rPr>
        <w:t xml:space="preserve">: </w:t>
      </w:r>
      <w:r w:rsidRPr="00066293">
        <w:rPr>
          <w:rFonts w:ascii="Times New Roman" w:hAnsi="Times New Roman" w:cs="David" w:hint="eastAsia"/>
          <w:b/>
          <w:bCs/>
          <w:sz w:val="20"/>
          <w:szCs w:val="24"/>
          <w:rtl/>
        </w:rPr>
        <w:t>נתוני</w:t>
      </w:r>
      <w:r w:rsidRPr="00066293">
        <w:rPr>
          <w:rFonts w:ascii="Times New Roman" w:hAnsi="Times New Roman" w:cs="David"/>
          <w:b/>
          <w:bCs/>
          <w:sz w:val="20"/>
          <w:szCs w:val="24"/>
          <w:rtl/>
        </w:rPr>
        <w:t xml:space="preserve"> </w:t>
      </w:r>
      <w:r w:rsidRPr="00066293">
        <w:rPr>
          <w:rFonts w:ascii="Times New Roman" w:hAnsi="Times New Roman" w:cs="David" w:hint="eastAsia"/>
          <w:b/>
          <w:bCs/>
          <w:sz w:val="20"/>
          <w:szCs w:val="24"/>
          <w:rtl/>
        </w:rPr>
        <w:t>הכניסות</w:t>
      </w:r>
      <w:r w:rsidRPr="00066293">
        <w:rPr>
          <w:rFonts w:ascii="Times New Roman" w:hAnsi="Times New Roman" w:cs="David"/>
          <w:b/>
          <w:bCs/>
          <w:sz w:val="20"/>
          <w:szCs w:val="24"/>
          <w:rtl/>
        </w:rPr>
        <w:t xml:space="preserve"> </w:t>
      </w:r>
      <w:r w:rsidRPr="00066293">
        <w:rPr>
          <w:rFonts w:ascii="Times New Roman" w:hAnsi="Times New Roman" w:cs="David" w:hint="eastAsia"/>
          <w:b/>
          <w:bCs/>
          <w:sz w:val="20"/>
          <w:szCs w:val="24"/>
          <w:rtl/>
        </w:rPr>
        <w:t>לדף</w:t>
      </w:r>
      <w:r w:rsidRPr="00066293">
        <w:rPr>
          <w:rFonts w:ascii="Times New Roman" w:hAnsi="Times New Roman" w:cs="David"/>
          <w:b/>
          <w:bCs/>
          <w:sz w:val="20"/>
          <w:szCs w:val="24"/>
          <w:rtl/>
        </w:rPr>
        <w:t xml:space="preserve"> </w:t>
      </w:r>
      <w:r w:rsidRPr="00066293">
        <w:rPr>
          <w:rFonts w:ascii="Times New Roman" w:hAnsi="Times New Roman" w:cs="David" w:hint="eastAsia"/>
          <w:b/>
          <w:bCs/>
          <w:sz w:val="20"/>
          <w:szCs w:val="24"/>
          <w:rtl/>
        </w:rPr>
        <w:t>המרשתת</w:t>
      </w:r>
      <w:r w:rsidRPr="00066293">
        <w:rPr>
          <w:rFonts w:ascii="Times New Roman" w:hAnsi="Times New Roman" w:cs="David"/>
          <w:b/>
          <w:bCs/>
          <w:sz w:val="20"/>
          <w:szCs w:val="24"/>
          <w:rtl/>
        </w:rPr>
        <w:t xml:space="preserve"> </w:t>
      </w:r>
      <w:r w:rsidRPr="00066293">
        <w:rPr>
          <w:rFonts w:ascii="Times New Roman" w:hAnsi="Times New Roman" w:cs="David" w:hint="eastAsia"/>
          <w:b/>
          <w:bCs/>
          <w:sz w:val="20"/>
          <w:szCs w:val="24"/>
          <w:rtl/>
        </w:rPr>
        <w:t>של</w:t>
      </w:r>
      <w:r w:rsidRPr="00066293">
        <w:rPr>
          <w:rFonts w:ascii="Times New Roman" w:hAnsi="Times New Roman" w:cs="David"/>
          <w:b/>
          <w:bCs/>
          <w:sz w:val="20"/>
          <w:szCs w:val="24"/>
          <w:rtl/>
        </w:rPr>
        <w:t xml:space="preserve"> </w:t>
      </w:r>
      <w:r w:rsidRPr="00066293">
        <w:rPr>
          <w:rFonts w:ascii="Times New Roman" w:hAnsi="Times New Roman" w:cs="David" w:hint="eastAsia"/>
          <w:b/>
          <w:bCs/>
          <w:sz w:val="20"/>
          <w:szCs w:val="24"/>
          <w:rtl/>
        </w:rPr>
        <w:t>מדדי</w:t>
      </w:r>
      <w:r w:rsidRPr="00066293">
        <w:rPr>
          <w:rFonts w:ascii="Times New Roman" w:hAnsi="Times New Roman" w:cs="David"/>
          <w:b/>
          <w:bCs/>
          <w:sz w:val="20"/>
          <w:szCs w:val="24"/>
          <w:rtl/>
        </w:rPr>
        <w:t xml:space="preserve"> </w:t>
      </w:r>
      <w:r w:rsidRPr="00066293">
        <w:rPr>
          <w:rFonts w:ascii="Times New Roman" w:hAnsi="Times New Roman" w:cs="David" w:hint="eastAsia"/>
          <w:b/>
          <w:bCs/>
          <w:sz w:val="20"/>
          <w:szCs w:val="24"/>
          <w:rtl/>
        </w:rPr>
        <w:t>השירות</w:t>
      </w:r>
      <w:r w:rsidRPr="00066293">
        <w:rPr>
          <w:rFonts w:ascii="Times New Roman" w:hAnsi="Times New Roman" w:cs="David"/>
          <w:b/>
          <w:bCs/>
          <w:sz w:val="20"/>
          <w:szCs w:val="24"/>
          <w:rtl/>
        </w:rPr>
        <w:t xml:space="preserve"> </w:t>
      </w:r>
      <w:r w:rsidRPr="00066293">
        <w:rPr>
          <w:rFonts w:ascii="Times New Roman" w:hAnsi="Times New Roman" w:cs="David" w:hint="eastAsia"/>
          <w:b/>
          <w:bCs/>
          <w:sz w:val="20"/>
          <w:szCs w:val="24"/>
          <w:rtl/>
        </w:rPr>
        <w:t>בתחום</w:t>
      </w:r>
      <w:r w:rsidRPr="00066293">
        <w:rPr>
          <w:rFonts w:ascii="Times New Roman" w:hAnsi="Times New Roman" w:cs="David"/>
          <w:b/>
          <w:bCs/>
          <w:sz w:val="20"/>
          <w:szCs w:val="24"/>
          <w:rtl/>
        </w:rPr>
        <w:t xml:space="preserve"> </w:t>
      </w:r>
      <w:r w:rsidRPr="00066293">
        <w:rPr>
          <w:rFonts w:ascii="Times New Roman" w:hAnsi="Times New Roman" w:cs="David" w:hint="eastAsia"/>
          <w:b/>
          <w:bCs/>
          <w:sz w:val="20"/>
          <w:szCs w:val="24"/>
          <w:rtl/>
        </w:rPr>
        <w:t>ביטוח</w:t>
      </w:r>
      <w:r w:rsidRPr="00066293">
        <w:rPr>
          <w:rFonts w:ascii="Times New Roman" w:hAnsi="Times New Roman" w:cs="David"/>
          <w:b/>
          <w:bCs/>
          <w:sz w:val="20"/>
          <w:szCs w:val="24"/>
          <w:rtl/>
        </w:rPr>
        <w:t xml:space="preserve"> </w:t>
      </w:r>
      <w:r w:rsidRPr="00066293">
        <w:rPr>
          <w:rFonts w:ascii="Times New Roman" w:hAnsi="Times New Roman" w:cs="David" w:hint="eastAsia"/>
          <w:b/>
          <w:bCs/>
          <w:sz w:val="20"/>
          <w:szCs w:val="24"/>
          <w:rtl/>
        </w:rPr>
        <w:t>הבריאות</w:t>
      </w:r>
      <w:r>
        <w:rPr>
          <w:rStyle w:val="FootnoteReference"/>
          <w:b/>
          <w:bCs/>
          <w:rtl/>
        </w:rPr>
        <w:footnoteReference w:id="160"/>
      </w:r>
      <w:r w:rsidRPr="002B5E33">
        <w:rPr>
          <w:b/>
          <w:bCs/>
          <w:rtl/>
        </w:rPr>
        <w:t xml:space="preserve"> </w:t>
      </w:r>
    </w:p>
    <w:p w:rsidR="00FA3E7D" w:rsidP="00FD0101">
      <w:pPr>
        <w:pStyle w:val="ListParagraph"/>
        <w:spacing w:after="180" w:line="269" w:lineRule="auto"/>
        <w:ind w:left="0"/>
        <w:jc w:val="center"/>
        <w:rPr>
          <w:rFonts w:cs="David"/>
          <w:b/>
          <w:bCs/>
          <w:rtl/>
        </w:rPr>
      </w:pPr>
      <w:r w:rsidRPr="002B5E33">
        <w:rPr>
          <w:rFonts w:cs="David" w:hint="eastAsia"/>
          <w:b/>
          <w:bCs/>
          <w:rtl/>
        </w:rPr>
        <w:t>ממאי</w:t>
      </w:r>
      <w:r w:rsidRPr="002B5E33">
        <w:rPr>
          <w:rFonts w:cs="David"/>
          <w:b/>
          <w:bCs/>
          <w:rtl/>
        </w:rPr>
        <w:t xml:space="preserve"> 17 עד אוקטובר 19 </w:t>
      </w:r>
    </w:p>
    <w:p w:rsidR="00FD0101" w:rsidRPr="00FD0101" w:rsidP="00FD0101">
      <w:pPr>
        <w:pStyle w:val="ListParagraph"/>
        <w:tabs>
          <w:tab w:val="left" w:pos="3556"/>
        </w:tabs>
        <w:spacing w:after="180" w:line="269" w:lineRule="auto"/>
        <w:ind w:left="0"/>
        <w:jc w:val="both"/>
        <w:rPr>
          <w:rFonts w:cs="David"/>
          <w:b/>
          <w:bCs/>
          <w:sz w:val="8"/>
          <w:szCs w:val="8"/>
          <w:rtl/>
        </w:rPr>
      </w:pPr>
      <w:r>
        <w:rPr>
          <w:rFonts w:cs="David"/>
          <w:b/>
          <w:bCs/>
          <w:rtl/>
        </w:rPr>
        <w:tab/>
      </w:r>
    </w:p>
    <w:p w:rsidR="00FD0101" w:rsidP="00FD0101">
      <w:pPr>
        <w:pStyle w:val="ListParagraph"/>
        <w:spacing w:before="240" w:after="120" w:line="269" w:lineRule="auto"/>
        <w:ind w:left="0"/>
        <w:jc w:val="center"/>
        <w:rPr>
          <w:rFonts w:cs="David"/>
          <w:rtl/>
        </w:rPr>
      </w:pPr>
      <w:r>
        <w:rPr>
          <w:rFonts w:cs="David" w:hint="cs"/>
          <w:noProof/>
          <w:rtl/>
        </w:rPr>
        <w:drawing>
          <wp:inline distT="0" distB="0" distL="0" distR="0">
            <wp:extent cx="4238625" cy="2281979"/>
            <wp:effectExtent l="0" t="0" r="0" b="444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25592" name="commercial-health-insurance-g-36.png"/>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39583" cy="2282495"/>
                    </a:xfrm>
                    <a:prstGeom prst="rect">
                      <a:avLst/>
                    </a:prstGeom>
                  </pic:spPr>
                </pic:pic>
              </a:graphicData>
            </a:graphic>
          </wp:inline>
        </w:drawing>
      </w:r>
    </w:p>
    <w:p w:rsidR="00FD0101" w:rsidRPr="00FD0101" w:rsidP="00FD0101">
      <w:pPr>
        <w:pStyle w:val="ListParagraph"/>
        <w:spacing w:before="240" w:after="120" w:line="269" w:lineRule="auto"/>
        <w:ind w:left="0"/>
        <w:rPr>
          <w:rFonts w:cs="David"/>
          <w:sz w:val="14"/>
          <w:szCs w:val="14"/>
          <w:rtl/>
        </w:rPr>
      </w:pPr>
    </w:p>
    <w:p w:rsidR="00FA3E7D" w:rsidRPr="0088167D" w:rsidP="00FD0101">
      <w:pPr>
        <w:pStyle w:val="ListParagraph"/>
        <w:spacing w:before="240" w:after="120" w:line="269" w:lineRule="auto"/>
        <w:ind w:left="0"/>
        <w:rPr>
          <w:rFonts w:cs="David"/>
          <w:rtl/>
        </w:rPr>
      </w:pPr>
      <w:r w:rsidRPr="0088167D">
        <w:rPr>
          <w:rFonts w:cs="David" w:hint="cs"/>
          <w:rtl/>
        </w:rPr>
        <w:t xml:space="preserve">מקור: נתוני </w:t>
      </w:r>
      <w:r w:rsidRPr="0088167D">
        <w:rPr>
          <w:rFonts w:cs="David"/>
        </w:rPr>
        <w:t xml:space="preserve">Google </w:t>
      </w:r>
      <w:r w:rsidRPr="0088167D">
        <w:rPr>
          <w:rFonts w:cs="David" w:hint="cs"/>
        </w:rPr>
        <w:t>A</w:t>
      </w:r>
      <w:r w:rsidRPr="0088167D">
        <w:rPr>
          <w:rFonts w:cs="David"/>
        </w:rPr>
        <w:t>nalytics</w:t>
      </w:r>
      <w:r w:rsidRPr="0088167D">
        <w:rPr>
          <w:rFonts w:cs="David" w:hint="cs"/>
          <w:rtl/>
        </w:rPr>
        <w:t>, בעיבוד משרד מבקר המדינה.</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בתרשים לעיל, מופיעים נתוני המשתמשים הייחודיים</w:t>
      </w:r>
      <w:r>
        <w:rPr>
          <w:rStyle w:val="FootnoteReference"/>
          <w:rtl/>
        </w:rPr>
        <w:footnoteReference w:id="161"/>
      </w:r>
      <w:r w:rsidRPr="002B5E33">
        <w:rPr>
          <w:rFonts w:hint="cs"/>
          <w:rtl/>
        </w:rPr>
        <w:t xml:space="preserve"> שביקרו בדף המרשתת בכל חודש. לפי נתונים שהוצגו באמצעות </w:t>
      </w:r>
      <w:r w:rsidRPr="002B5E33">
        <w:t>Google Data Studio</w:t>
      </w:r>
      <w:r w:rsidRPr="002B5E33">
        <w:rPr>
          <w:rFonts w:hint="cs"/>
          <w:rtl/>
        </w:rPr>
        <w:t xml:space="preserve"> בכל התקופה מחודש מאי 2017 ועד סוף אוקטובר 2019 נספרו בדף 10,412 משתמשים, שנכנסו לאתר 17,353 פעמים. משך השהייה הממוצע בדף היה דקה ו-49 שניות. אחוז הגולשים שהגיעו מחוץ לאתר לדף מסוים ולא המשיכו לדף אחר</w:t>
      </w:r>
      <w:r>
        <w:rPr>
          <w:rStyle w:val="FootnoteReference"/>
          <w:rtl/>
        </w:rPr>
        <w:footnoteReference w:id="162"/>
      </w:r>
      <w:r w:rsidRPr="002B5E33">
        <w:rPr>
          <w:rFonts w:hint="cs"/>
          <w:rtl/>
        </w:rPr>
        <w:t xml:space="preserve"> היה 70.96%. מקורן של 1% מהכניסות לאתר היה בקישורים מאתרי מרשתת של חברות ביטוח.</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מנתוני התרשים לעיל עולה כי במהלך השנים 2017 - 2019 יש מגמת עלייה במספר המשתמשים בדף המרשתת שבו מתפרסמים מדדי השירות בתחום ביטוחי הבריאות. זינוק במספרם חל במיוחד בחודש יוני בכל שנה, החודש שבו מתפרסמים מדדי השירות, ובחודשים לאחריו חלה ירידה במספר המשתמשים. לא ניתן לזהות מהנתונים איזה חלק מהכניסות לאתר היה של צרכני ביטוח שביקשו לברר איזו חברת ביטוח מעניקה שירות טוב יותר, ואיזה חלק מהכניסות היה של חלק אחר בציבור.</w:t>
      </w:r>
    </w:p>
    <w:p w:rsidR="00FA3E7D" w:rsidRPr="002B5E33" w:rsidP="00FA3E7D">
      <w:pPr>
        <w:pStyle w:val="a"/>
        <w:spacing w:line="269" w:lineRule="auto"/>
        <w:rPr>
          <w:rtl/>
        </w:rPr>
      </w:pPr>
    </w:p>
    <w:p w:rsidR="00FA3E7D" w:rsidRPr="002B5E33" w:rsidP="00FA3E7D">
      <w:pPr>
        <w:spacing w:line="269" w:lineRule="auto"/>
        <w:rPr>
          <w:b/>
          <w:bCs/>
          <w:rtl/>
        </w:rPr>
      </w:pPr>
      <w:r w:rsidRPr="002B5E33">
        <w:rPr>
          <w:rFonts w:hint="cs"/>
          <w:b/>
          <w:bCs/>
          <w:rtl/>
        </w:rPr>
        <w:t>על אף העלייה הנמשכת במספר הכניסות לאתר, מספר המשתמשים והכניסות עודנו נמוך ואינו עולה לרוב על 1,500 משתמשים בחודש, וזאת למרות העובדה שבשנים 2017 - 2018 חלה עלייה של כ-150,000 איש במספר המבוטחים בביטוחי הבריאות הפרטיים</w:t>
      </w:r>
      <w:r>
        <w:rPr>
          <w:rStyle w:val="FootnoteReference"/>
          <w:b/>
          <w:bCs/>
          <w:rtl/>
        </w:rPr>
        <w:footnoteReference w:id="163"/>
      </w:r>
      <w:r w:rsidRPr="002B5E33">
        <w:rPr>
          <w:rFonts w:hint="cs"/>
          <w:b/>
          <w:bCs/>
          <w:rtl/>
        </w:rPr>
        <w:t xml:space="preserve">. על הרשות לבחון את הדרכים האפשריות לעידוד ציבור המבוטחים להיכנס לאתר הרשות במרשתת, לרבות לצורך צפייה במדדי השירות המתפרסמים בתחום ביטוחי הבריאות. </w:t>
      </w:r>
    </w:p>
    <w:p w:rsidR="00FA3E7D" w:rsidRPr="002B5E33" w:rsidP="00FA3E7D">
      <w:pPr>
        <w:pStyle w:val="a"/>
        <w:spacing w:line="269" w:lineRule="auto"/>
        <w:rPr>
          <w:rtl/>
        </w:rPr>
      </w:pPr>
    </w:p>
    <w:p w:rsidR="00FA3E7D" w:rsidRPr="002B5E33" w:rsidP="00FA3E7D">
      <w:pPr>
        <w:spacing w:line="269" w:lineRule="auto"/>
        <w:rPr>
          <w:rtl/>
        </w:rPr>
      </w:pPr>
      <w:r w:rsidRPr="002B5E33">
        <w:rPr>
          <w:rFonts w:hint="cs"/>
          <w:rtl/>
        </w:rPr>
        <w:t>הרשות ציינה בתשובתה כי בחינת הכניסות לאתר אינה משקפת את מלוא התפוצה של מדדי השירות. מדדים אלו מפורסמים גם במחשבוני הרשות, הם משמשים גם סוכני ביטוח ומפורסמים על ידי חברות ביטוח כ"תעודת יושר".</w:t>
      </w:r>
    </w:p>
    <w:p w:rsidR="00FA3E7D" w:rsidRPr="002B5E33" w:rsidP="00FA3E7D">
      <w:pPr>
        <w:pStyle w:val="ListParagraph"/>
        <w:spacing w:after="0" w:line="269" w:lineRule="auto"/>
        <w:ind w:left="360"/>
        <w:rPr>
          <w:rFonts w:cs="David"/>
          <w:rtl/>
        </w:rPr>
      </w:pPr>
    </w:p>
    <w:p w:rsidR="00FA3E7D" w:rsidRPr="002B5E33" w:rsidP="00FA3E7D">
      <w:pPr>
        <w:pStyle w:val="Heading3"/>
        <w:spacing w:before="0" w:line="269" w:lineRule="auto"/>
        <w:rPr>
          <w:rtl/>
        </w:rPr>
      </w:pPr>
      <w:r w:rsidRPr="002B5E33">
        <w:rPr>
          <w:rtl/>
        </w:rPr>
        <w:t>סיכום</w:t>
      </w:r>
      <w:r w:rsidRPr="002B5E33">
        <w:rPr>
          <w:rtl/>
        </w:rPr>
        <w:tab/>
      </w:r>
    </w:p>
    <w:p w:rsidR="00FA3E7D" w:rsidP="00FA3E7D">
      <w:pPr>
        <w:pStyle w:val="a"/>
        <w:rPr>
          <w:rtl/>
        </w:rPr>
      </w:pPr>
    </w:p>
    <w:sdt>
      <w:sdtPr>
        <w:rPr>
          <w:rFonts w:asciiTheme="minorBidi" w:hAnsiTheme="minorBidi"/>
          <w:sz w:val="24"/>
          <w:rtl/>
        </w:rPr>
        <w:id w:val="1831945240"/>
        <w:richText/>
      </w:sdtPr>
      <w:sdtContent>
        <w:p w:rsidR="00FA3E7D" w:rsidP="00FA3E7D">
          <w:pPr>
            <w:spacing w:line="269" w:lineRule="auto"/>
            <w:rPr>
              <w:rFonts w:asciiTheme="minorBidi" w:hAnsiTheme="minorBidi"/>
              <w:sz w:val="24"/>
              <w:rtl/>
            </w:rPr>
          </w:pPr>
          <w:r w:rsidRPr="00952036">
            <w:rPr>
              <w:rFonts w:hint="eastAsia"/>
              <w:rtl/>
            </w:rPr>
            <w:t>ל</w:t>
          </w:r>
          <w:r w:rsidRPr="00952036">
            <w:rPr>
              <w:rtl/>
            </w:rPr>
            <w:t xml:space="preserve">ביטוחי הבריאות המסחריים </w:t>
          </w:r>
          <w:r w:rsidRPr="00952036">
            <w:rPr>
              <w:rFonts w:hint="cs"/>
              <w:rtl/>
            </w:rPr>
            <w:t xml:space="preserve">יש </w:t>
          </w:r>
          <w:r w:rsidRPr="00952036">
            <w:rPr>
              <w:rtl/>
            </w:rPr>
            <w:t>מ</w:t>
          </w:r>
          <w:r w:rsidRPr="00952036">
            <w:rPr>
              <w:rFonts w:hint="eastAsia"/>
              <w:rtl/>
            </w:rPr>
            <w:t>שקל</w:t>
          </w:r>
          <w:r w:rsidRPr="00952036">
            <w:rPr>
              <w:rtl/>
            </w:rPr>
            <w:t xml:space="preserve"> </w:t>
          </w:r>
          <w:r w:rsidRPr="00952036">
            <w:rPr>
              <w:rFonts w:hint="eastAsia"/>
              <w:rtl/>
            </w:rPr>
            <w:t>רב</w:t>
          </w:r>
          <w:r w:rsidRPr="00952036">
            <w:rPr>
              <w:rtl/>
            </w:rPr>
            <w:t xml:space="preserve"> </w:t>
          </w:r>
          <w:r w:rsidRPr="00952036">
            <w:rPr>
              <w:rFonts w:hint="eastAsia"/>
              <w:rtl/>
            </w:rPr>
            <w:t>ב</w:t>
          </w:r>
          <w:r w:rsidRPr="00952036">
            <w:rPr>
              <w:rtl/>
            </w:rPr>
            <w:t xml:space="preserve">יכולת הציבור להתמודד עם סיכונים הנובעים מאירועים בריאותיים. </w:t>
          </w:r>
          <w:r w:rsidRPr="00952036">
            <w:rPr>
              <w:rFonts w:hint="eastAsia"/>
              <w:rtl/>
            </w:rPr>
            <w:t>הגידול</w:t>
          </w:r>
          <w:r w:rsidRPr="00952036">
            <w:rPr>
              <w:rtl/>
            </w:rPr>
            <w:t xml:space="preserve"> </w:t>
          </w:r>
          <w:r w:rsidRPr="00952036">
            <w:rPr>
              <w:rFonts w:hint="eastAsia"/>
              <w:rtl/>
            </w:rPr>
            <w:t>הניכר</w:t>
          </w:r>
          <w:r w:rsidRPr="00952036">
            <w:rPr>
              <w:rtl/>
            </w:rPr>
            <w:t xml:space="preserve"> </w:t>
          </w:r>
          <w:r w:rsidRPr="00952036">
            <w:rPr>
              <w:rFonts w:hint="eastAsia"/>
              <w:rtl/>
            </w:rPr>
            <w:t>בעלויות</w:t>
          </w:r>
          <w:r w:rsidRPr="00952036">
            <w:rPr>
              <w:rtl/>
            </w:rPr>
            <w:t xml:space="preserve"> שבהן נושא הציבור </w:t>
          </w:r>
          <w:r w:rsidRPr="00952036">
            <w:rPr>
              <w:rFonts w:hint="cs"/>
              <w:rtl/>
            </w:rPr>
            <w:t>עקב</w:t>
          </w:r>
          <w:r w:rsidRPr="00952036">
            <w:rPr>
              <w:rtl/>
            </w:rPr>
            <w:t xml:space="preserve"> רכישה הולכת וגדל</w:t>
          </w:r>
          <w:r w:rsidRPr="00952036">
            <w:rPr>
              <w:rFonts w:hint="cs"/>
              <w:rtl/>
            </w:rPr>
            <w:t>ה</w:t>
          </w:r>
          <w:r w:rsidRPr="00952036">
            <w:rPr>
              <w:rtl/>
            </w:rPr>
            <w:t xml:space="preserve"> של ביטוחים אלו מחייב </w:t>
          </w:r>
          <w:r w:rsidRPr="00952036">
            <w:rPr>
              <w:rFonts w:hint="cs"/>
              <w:rtl/>
            </w:rPr>
            <w:t xml:space="preserve">לוודא כי התמורה שהציבור מקבל מהביטוחים היא </w:t>
          </w:r>
          <w:r w:rsidRPr="00952036">
            <w:rPr>
              <w:rtl/>
            </w:rPr>
            <w:t xml:space="preserve">ביחס ישר לגודל ההשקעה בהם. על רשות שוק ההון להגביר את הבדיקות </w:t>
          </w:r>
          <w:r w:rsidRPr="00952036">
            <w:rPr>
              <w:rFonts w:hint="cs"/>
              <w:rtl/>
            </w:rPr>
            <w:t>ב</w:t>
          </w:r>
          <w:r w:rsidRPr="00952036">
            <w:rPr>
              <w:rtl/>
            </w:rPr>
            <w:t>תחום ביטוחי הבריאות ו</w:t>
          </w:r>
          <w:r w:rsidRPr="00952036">
            <w:rPr>
              <w:rFonts w:hint="cs"/>
              <w:rtl/>
            </w:rPr>
            <w:t xml:space="preserve">את </w:t>
          </w:r>
          <w:r w:rsidRPr="00952036">
            <w:rPr>
              <w:rtl/>
            </w:rPr>
            <w:t xml:space="preserve">הבקרה </w:t>
          </w:r>
          <w:r w:rsidRPr="00952036">
            <w:rPr>
              <w:rFonts w:hint="eastAsia"/>
              <w:rtl/>
            </w:rPr>
            <w:t>על</w:t>
          </w:r>
          <w:r w:rsidRPr="00952036">
            <w:rPr>
              <w:rFonts w:hint="cs"/>
              <w:rtl/>
            </w:rPr>
            <w:t xml:space="preserve"> תחום זה</w:t>
          </w:r>
          <w:r w:rsidRPr="00952036">
            <w:rPr>
              <w:rtl/>
            </w:rPr>
            <w:t xml:space="preserve"> </w:t>
          </w:r>
          <w:r w:rsidRPr="00952036">
            <w:rPr>
              <w:rFonts w:hint="eastAsia"/>
              <w:rtl/>
            </w:rPr>
            <w:t>ולוודא</w:t>
          </w:r>
          <w:r w:rsidRPr="00952036">
            <w:rPr>
              <w:rtl/>
            </w:rPr>
            <w:t xml:space="preserve"> שהרפורמה שהנהיגה</w:t>
          </w:r>
          <w:r w:rsidRPr="00952036">
            <w:rPr>
              <w:rFonts w:hint="cs"/>
              <w:rtl/>
            </w:rPr>
            <w:t xml:space="preserve"> בתחום,</w:t>
          </w:r>
          <w:r w:rsidRPr="00952036">
            <w:rPr>
              <w:rtl/>
            </w:rPr>
            <w:t xml:space="preserve"> </w:t>
          </w:r>
          <w:r w:rsidRPr="00952036">
            <w:rPr>
              <w:rFonts w:hint="eastAsia"/>
              <w:rtl/>
            </w:rPr>
            <w:t>א</w:t>
          </w:r>
          <w:r w:rsidRPr="00952036">
            <w:rPr>
              <w:rtl/>
            </w:rPr>
            <w:t>ש</w:t>
          </w:r>
          <w:r w:rsidRPr="00952036">
            <w:rPr>
              <w:rFonts w:hint="eastAsia"/>
              <w:rtl/>
            </w:rPr>
            <w:t>ר</w:t>
          </w:r>
          <w:r w:rsidRPr="00952036">
            <w:rPr>
              <w:rtl/>
            </w:rPr>
            <w:t xml:space="preserve"> נועד</w:t>
          </w:r>
          <w:r w:rsidRPr="00952036">
            <w:rPr>
              <w:rFonts w:hint="eastAsia"/>
              <w:rtl/>
            </w:rPr>
            <w:t>ה</w:t>
          </w:r>
          <w:r w:rsidRPr="00952036">
            <w:rPr>
              <w:rtl/>
            </w:rPr>
            <w:t xml:space="preserve"> ל</w:t>
          </w:r>
          <w:r w:rsidRPr="00952036">
            <w:rPr>
              <w:rFonts w:hint="eastAsia"/>
              <w:rtl/>
            </w:rPr>
            <w:t>שפר</w:t>
          </w:r>
          <w:r w:rsidRPr="00952036">
            <w:rPr>
              <w:rtl/>
            </w:rPr>
            <w:t xml:space="preserve"> את מצבם של ציבור המבוטחים, </w:t>
          </w:r>
          <w:r w:rsidRPr="00952036">
            <w:rPr>
              <w:rFonts w:hint="cs"/>
              <w:rtl/>
            </w:rPr>
            <w:t>תשיג את</w:t>
          </w:r>
          <w:r w:rsidRPr="00952036">
            <w:rPr>
              <w:rtl/>
            </w:rPr>
            <w:t xml:space="preserve"> </w:t>
          </w:r>
          <w:r w:rsidRPr="00952036">
            <w:rPr>
              <w:rFonts w:hint="eastAsia"/>
              <w:rtl/>
            </w:rPr>
            <w:t>מטרותיה</w:t>
          </w:r>
          <w:r w:rsidRPr="00952036">
            <w:rPr>
              <w:rtl/>
            </w:rPr>
            <w:t xml:space="preserve">. </w:t>
          </w:r>
        </w:p>
      </w:sdtContent>
    </w:sdt>
    <w:p w:rsidR="00706A63" w:rsidP="006554CC"/>
    <w:sectPr w:rsidSect="00F03DBF">
      <w:headerReference w:type="default" r:id="rId43"/>
      <w:footerReference w:type="default" r:id="rId44"/>
      <w:headerReference w:type="first" r:id="rId45"/>
      <w:footerReference w:type="first" r:id="rId46"/>
      <w:pgSz w:w="11906" w:h="16838"/>
      <w:pgMar w:top="1701" w:right="1984" w:bottom="1587"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Narkisim">
    <w:altName w:val="Times New Roman"/>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62821" w:rsidP="007E06A8">
    <w:pPr>
      <w:jc w:val="right"/>
      <w:rPr>
        <w:rtl/>
      </w:rPr>
    </w:pPr>
    <w:r w:rsidRPr="002B5E33">
      <w:rPr>
        <w:rFonts w:hint="cs"/>
        <w:rtl/>
      </w:rPr>
      <w:t>אסדרת שוק ביטוחי הבריאות המסחריים</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62821" w:rsidP="007E06A8">
    <w:pPr>
      <w:jc w:val="right"/>
      <w:rPr>
        <w:rtl/>
      </w:rPr>
    </w:pPr>
    <w:r w:rsidRPr="002B5E33">
      <w:rPr>
        <w:rFonts w:hint="cs"/>
        <w:rtl/>
      </w:rPr>
      <w:t>אסדרת שוק ביטוחי הבריאות המסחריים</w:t>
    </w:r>
  </w:p>
  <w:p w:rsidR="00362821" w:rsidP="007E06A8">
    <w:pPr>
      <w:jc w:val="right"/>
      <w:rPr>
        <w:rtl/>
      </w:rPr>
    </w:pPr>
    <w:r>
      <w:rPr>
        <w:rFonts w:hint="cs"/>
        <w:noProof/>
        <w:rtl/>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6985</wp:posOffset>
              </wp:positionV>
              <wp:extent cx="4200525" cy="457200"/>
              <wp:effectExtent l="0" t="0" r="28575" b="19050"/>
              <wp:wrapNone/>
              <wp:docPr id="3"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4200525" cy="457200"/>
                      </a:xfrm>
                      <a:prstGeom prst="rect">
                        <a:avLst/>
                      </a:prstGeom>
                      <a:noFill/>
                      <a:ln w="6350">
                        <a:solidFill>
                          <a:srgbClr val="0000FF"/>
                        </a:solidFill>
                      </a:ln>
                    </wps:spPr>
                    <wps:txbx>
                      <w:txbxContent>
                        <w:p w:rsidR="00362821" w:rsidP="007E06A8">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362821" w:rsidRPr="007E06A8" w:rsidP="007E06A8">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WarningF" o:spid="_x0000_s2049" type="#_x0000_t202" style="width:330.75pt;height:36pt;margin-top:0.55pt;margin-left:0;mso-position-horizontal:left;mso-position-horizontal-relative:margin;mso-width-percent:0;mso-width-relative:margin;mso-wrap-distance-bottom:0;mso-wrap-distance-left:9pt;mso-wrap-distance-right:9pt;mso-wrap-distance-top:0;mso-wrap-style:square;position:absolute;visibility:visible;v-text-anchor:top;z-index:251659264" filled="f" strokecolor="blue" strokeweight="0.5pt">
              <v:textbox>
                <w:txbxContent>
                  <w:p w:rsidR="00362821" w:rsidP="007E06A8">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362821" w:rsidRPr="007E06A8" w:rsidP="007E06A8">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v:textbox>
              <w10:wrap anchorx="margin"/>
            </v:shape>
          </w:pict>
        </mc:Fallback>
      </mc:AlternateContent>
    </w:r>
  </w:p>
  <w:p w:rsidR="00362821" w:rsidRPr="002B5E33" w:rsidP="007E06A8">
    <w:pPr>
      <w:jc w:val="right"/>
      <w:rPr>
        <w:rtl/>
      </w:rPr>
    </w:pPr>
  </w:p>
  <w:p w:rsidR="00362821">
    <w:pPr>
      <w:pStyle w:val="Footer"/>
    </w:pPr>
    <w:bookmarkStart w:id="1" w:name="tempMark"/>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62821" w:rsidP="00C23CC9">
      <w:pPr>
        <w:spacing w:line="240" w:lineRule="auto"/>
      </w:pPr>
      <w:r>
        <w:separator/>
      </w:r>
    </w:p>
  </w:footnote>
  <w:footnote w:type="continuationSeparator" w:id="1">
    <w:p w:rsidR="00362821" w:rsidP="00C23CC9">
      <w:pPr>
        <w:spacing w:line="240" w:lineRule="auto"/>
      </w:pPr>
      <w:r>
        <w:continuationSeparator/>
      </w:r>
    </w:p>
  </w:footnote>
  <w:footnote w:type="continuationNotice" w:id="2">
    <w:p w:rsidR="00362821">
      <w:pPr>
        <w:spacing w:line="240" w:lineRule="auto"/>
      </w:pPr>
    </w:p>
  </w:footnote>
  <w:footnote w:id="3">
    <w:p w:rsidR="00362821" w:rsidRPr="009C255D" w:rsidP="00863A1F">
      <w:pPr>
        <w:pStyle w:val="FootnoteText"/>
        <w:spacing w:line="269" w:lineRule="auto"/>
        <w:rPr>
          <w:rFonts w:ascii="David" w:hAnsi="David"/>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 xml:space="preserve">מבנה שוק הבריאות הקיים בישראל עוצב בראשית שנת 1995 עת הונהגה רפורמה במערכת הבריאות ונחקק חוק ביטוח בריאות ממלכתי, התשנ"ד-1994. </w:t>
      </w:r>
    </w:p>
  </w:footnote>
  <w:footnote w:id="4">
    <w:p w:rsidR="00362821" w:rsidRPr="009C255D" w:rsidP="00863A1F">
      <w:pPr>
        <w:pStyle w:val="FootnoteText"/>
        <w:spacing w:line="269" w:lineRule="auto"/>
        <w:rPr>
          <w:rFonts w:ascii="David" w:hAnsi="David"/>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התיקון לחוק המאפשר את הפעלת תכניות שב"ן בוצע בשנת 1998, ותוכניות השב"ן אושרו וקובעו על ידי השר בשנת 2000.</w:t>
      </w:r>
    </w:p>
  </w:footnote>
  <w:footnote w:id="5">
    <w:p w:rsidR="00362821" w:rsidRPr="009C255D" w:rsidP="00E34F41">
      <w:pPr>
        <w:pStyle w:val="FootnoteText"/>
        <w:spacing w:line="269" w:lineRule="auto"/>
        <w:rPr>
          <w:rFonts w:ascii="David" w:hAnsi="David"/>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יצוין כי התשלום החודשי בשב"ן נקבע על ידי קופות החולים, לפי קבוצות גיל. קופת החולים מחויבת לצרף לתכנית כל חבר המעוניין בכך, בלא קשר למצבו הבריאותי. שירותי השב"ן עשויים להשתנות מעת לעת, גם ביחס לחברים שכבר הצטרפו לתוכנית, כפוף לאישור משרד הבריאות ומתן התרא</w:t>
      </w:r>
      <w:r w:rsidRPr="009C255D" w:rsidR="00E34F41">
        <w:rPr>
          <w:rFonts w:ascii="David" w:hAnsi="David"/>
          <w:rtl/>
        </w:rPr>
        <w:t>ה</w:t>
      </w:r>
      <w:r w:rsidRPr="009C255D">
        <w:rPr>
          <w:rFonts w:ascii="David" w:hAnsi="David"/>
          <w:rtl/>
        </w:rPr>
        <w:t xml:space="preserve"> מראש למבוטחים.</w:t>
      </w:r>
      <w:r w:rsidRPr="009C255D" w:rsidR="00E34F41">
        <w:rPr>
          <w:rFonts w:ascii="David" w:hAnsi="David"/>
          <w:rtl/>
        </w:rPr>
        <w:t xml:space="preserve"> בנוסף,</w:t>
      </w:r>
      <w:r w:rsidRPr="009C255D">
        <w:rPr>
          <w:rFonts w:ascii="David" w:hAnsi="David"/>
          <w:rtl/>
        </w:rPr>
        <w:t xml:space="preserve"> השב״ן נשען על המקורות והמשאבים של קופות החולים הממומנות מכוח החוק.</w:t>
      </w:r>
    </w:p>
  </w:footnote>
  <w:footnote w:id="6">
    <w:p w:rsidR="00362821" w:rsidRPr="009C255D" w:rsidP="00863A1F">
      <w:pPr>
        <w:pStyle w:val="FootnoteText"/>
        <w:spacing w:line="269" w:lineRule="auto"/>
        <w:rPr>
          <w:rFonts w:ascii="David" w:hAnsi="David"/>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מכיוון ששירותי השב"ן ניתנים על ידי קופות החולים הרגולציה והפיקוח על השב"ן מבוצע על ידי משרד הבריאות.</w:t>
      </w:r>
    </w:p>
  </w:footnote>
  <w:footnote w:id="7">
    <w:p w:rsidR="00362821" w:rsidRPr="00E86A24" w:rsidP="00863A1F">
      <w:pPr>
        <w:pStyle w:val="FootnoteText"/>
        <w:spacing w:line="269" w:lineRule="auto"/>
        <w:rPr>
          <w:rFonts w:ascii="David" w:hAnsi="David"/>
        </w:rPr>
      </w:pPr>
      <w:r w:rsidRPr="009C255D">
        <w:rPr>
          <w:rStyle w:val="FootnoteReference"/>
          <w:rFonts w:ascii="David" w:hAnsi="David"/>
        </w:rPr>
        <w:footnoteRef/>
      </w:r>
      <w:r w:rsidRPr="009C255D">
        <w:rPr>
          <w:rFonts w:ascii="David" w:hAnsi="David"/>
          <w:rtl/>
        </w:rPr>
        <w:t xml:space="preserve"> </w:t>
      </w:r>
      <w:r w:rsidRPr="009C255D">
        <w:rPr>
          <w:rFonts w:ascii="David" w:hAnsi="David"/>
          <w:sz w:val="18"/>
          <w:szCs w:val="18"/>
          <w:rtl/>
        </w:rPr>
        <w:tab/>
      </w:r>
      <w:r w:rsidRPr="009C255D">
        <w:rPr>
          <w:rFonts w:ascii="David" w:hAnsi="David"/>
          <w:rtl/>
        </w:rPr>
        <w:t>הרשות הוקמה בנובמבר 2016,</w:t>
      </w:r>
      <w:r w:rsidRPr="009C255D">
        <w:rPr>
          <w:rFonts w:ascii="David" w:hAnsi="David"/>
        </w:rPr>
        <w:t xml:space="preserve"> </w:t>
      </w:r>
      <w:r w:rsidRPr="009C255D">
        <w:rPr>
          <w:rFonts w:ascii="David" w:hAnsi="David"/>
          <w:rtl/>
        </w:rPr>
        <w:t>בהתאם לחוק הפיקוח על שירותים פיננסיים (תיקוני חקיקה), התשע"ו–2016 עד למועד זה פעלה הרשות כאגף ב</w:t>
      </w:r>
      <w:hyperlink r:id="rId1" w:tooltip="משרד האוצר" w:history="1">
        <w:r w:rsidRPr="009C255D">
          <w:rPr>
            <w:rFonts w:ascii="David" w:hAnsi="David"/>
            <w:rtl/>
          </w:rPr>
          <w:t>משרד האוצר</w:t>
        </w:r>
      </w:hyperlink>
      <w:r w:rsidRPr="009C255D">
        <w:rPr>
          <w:rFonts w:ascii="David" w:hAnsi="David"/>
        </w:rPr>
        <w:t xml:space="preserve"> - </w:t>
      </w:r>
      <w:r w:rsidRPr="009C255D">
        <w:rPr>
          <w:rFonts w:ascii="David" w:hAnsi="David"/>
          <w:rtl/>
        </w:rPr>
        <w:t>אגף שוק ההון, ביטוח וחיסכון.</w:t>
      </w:r>
      <w:r w:rsidRPr="009C255D">
        <w:rPr>
          <w:rFonts w:ascii="David" w:hAnsi="David"/>
        </w:rPr>
        <w:t xml:space="preserve"> </w:t>
      </w:r>
      <w:r w:rsidRPr="009C255D">
        <w:rPr>
          <w:rFonts w:ascii="David" w:hAnsi="David"/>
          <w:rtl/>
        </w:rPr>
        <w:t>בדוח זה ההתייחסות לרשות כוללת אף את האגף טרם הקמת הרשות.</w:t>
      </w:r>
      <w:r>
        <w:rPr>
          <w:rFonts w:ascii="David" w:hAnsi="David" w:hint="cs"/>
          <w:rtl/>
        </w:rPr>
        <w:t xml:space="preserve"> </w:t>
      </w:r>
    </w:p>
  </w:footnote>
  <w:footnote w:id="8">
    <w:p w:rsidR="00362821" w:rsidRPr="009C255D" w:rsidP="00863A1F">
      <w:pPr>
        <w:pStyle w:val="FootnoteText"/>
        <w:spacing w:line="269" w:lineRule="auto"/>
        <w:rPr>
          <w:rFonts w:ascii="David" w:hAnsi="David"/>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שיעור ההוצאה של משקי הבית על ביטוחי בריאות מתייחס לכלל סוגי כיסויי הבריאות הפרטיים. להלן המשקל היחסי של כל ביטוח מסך ההוצאה על ביטוחי בריאות בשנת 2017: מסחרי (52%), שב"ן (38%), סיעודי (10%).</w:t>
      </w:r>
    </w:p>
  </w:footnote>
  <w:footnote w:id="9">
    <w:p w:rsidR="00362821" w:rsidP="00863A1F">
      <w:pPr>
        <w:pStyle w:val="FootnoteText"/>
        <w:spacing w:line="269" w:lineRule="auto"/>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בהתאם להגדרות הלמ"ס, פרמיות ביטוחי הבריאות המסחריים כוללים ביטוחי הוצאות רפואיות, מחלות קשות, שיניים, עובדים זרים, ביטוח חו"ל ואחר. כמו כן, בביטוחים אלו נכללים הן ביטוחי פרט והן ביטוח קבוצתי.</w:t>
      </w:r>
    </w:p>
  </w:footnote>
  <w:footnote w:id="10">
    <w:p w:rsidR="00362821" w:rsidRPr="009C255D" w:rsidP="00863A1F">
      <w:pPr>
        <w:pStyle w:val="FootnoteText"/>
        <w:spacing w:line="269" w:lineRule="auto"/>
        <w:rPr>
          <w:rFonts w:ascii="David" w:hAnsi="David"/>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יצוין כי ההוצאה לבריאות לנפש עומדת במרבית מדינות ה-</w:t>
      </w:r>
      <w:r w:rsidRPr="009C255D">
        <w:rPr>
          <w:rFonts w:ascii="David" w:hAnsi="David"/>
        </w:rPr>
        <w:t>OECD</w:t>
      </w:r>
      <w:r w:rsidRPr="009C255D">
        <w:rPr>
          <w:rFonts w:ascii="David" w:hAnsi="David"/>
          <w:rtl/>
        </w:rPr>
        <w:t xml:space="preserve"> על כ-4,000 דולר בשנה לעומת ישראל המוציאה כ-2,780 דולר לנפש בשנה.</w:t>
      </w:r>
    </w:p>
  </w:footnote>
  <w:footnote w:id="11">
    <w:p w:rsidR="00362821" w:rsidP="00863A1F">
      <w:pPr>
        <w:pStyle w:val="FootnoteText"/>
        <w:spacing w:line="269" w:lineRule="auto"/>
        <w:rPr>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הלמ"ס וה-</w:t>
      </w:r>
      <w:r w:rsidRPr="009C255D">
        <w:rPr>
          <w:rFonts w:ascii="David" w:hAnsi="David"/>
        </w:rPr>
        <w:t>OECD</w:t>
      </w:r>
      <w:r w:rsidRPr="009C255D">
        <w:rPr>
          <w:rFonts w:ascii="David" w:hAnsi="David"/>
          <w:rtl/>
        </w:rPr>
        <w:t xml:space="preserve"> כוללים בהגדרת ביטוח פרטי הן את השב"ן והן את הביטוחים המסחריים.</w:t>
      </w:r>
    </w:p>
  </w:footnote>
  <w:footnote w:id="12">
    <w:p w:rsidR="00362821" w:rsidRPr="004F34A5" w:rsidP="00863A1F">
      <w:pPr>
        <w:pStyle w:val="FootnoteText"/>
        <w:spacing w:line="269" w:lineRule="auto"/>
        <w:rPr>
          <w:highlight w:val="yellow"/>
        </w:rPr>
      </w:pPr>
      <w:r w:rsidRPr="00825633">
        <w:rPr>
          <w:rStyle w:val="FootnoteReference"/>
        </w:rPr>
        <w:footnoteRef/>
      </w:r>
      <w:r w:rsidRPr="00825633">
        <w:rPr>
          <w:rtl/>
        </w:rPr>
        <w:t xml:space="preserve"> </w:t>
      </w:r>
      <w:r w:rsidRPr="00825633">
        <w:rPr>
          <w:rtl/>
        </w:rPr>
        <w:tab/>
      </w:r>
      <w:r w:rsidRPr="00825633">
        <w:rPr>
          <w:rFonts w:hint="cs"/>
          <w:rtl/>
        </w:rPr>
        <w:t>יצוין, כי בשל הבדלים גדולים במבנה מערכת הבריאות</w:t>
      </w:r>
      <w:r>
        <w:rPr>
          <w:rFonts w:hint="cs"/>
          <w:rtl/>
        </w:rPr>
        <w:t xml:space="preserve"> ובהסדרה של תחום ביטוחי הבריאות בין </w:t>
      </w:r>
      <w:r w:rsidRPr="00825633">
        <w:rPr>
          <w:rFonts w:hint="cs"/>
          <w:rtl/>
        </w:rPr>
        <w:t xml:space="preserve">מדינות שונות בעולם, </w:t>
      </w:r>
      <w:r>
        <w:rPr>
          <w:rFonts w:hint="cs"/>
          <w:rtl/>
        </w:rPr>
        <w:t>ובשל ה</w:t>
      </w:r>
      <w:r w:rsidRPr="00825633">
        <w:rPr>
          <w:rFonts w:hint="cs"/>
          <w:rtl/>
        </w:rPr>
        <w:t xml:space="preserve">השפעות הצולבות שבין מערכת הבריאות הציבורית למערכת הבריאות הפרטית בכל מדינה </w:t>
      </w:r>
      <w:r>
        <w:rPr>
          <w:rFonts w:hint="cs"/>
          <w:rtl/>
        </w:rPr>
        <w:t>יש</w:t>
      </w:r>
      <w:r w:rsidRPr="00825633">
        <w:rPr>
          <w:rFonts w:hint="cs"/>
          <w:rtl/>
        </w:rPr>
        <w:t xml:space="preserve"> קושי מהותי בהסקת מסקנות מביצוע השוואה רב-לאומית כמותית של פרמטרים כלכליים בשוק ביטוחי הבריאות. הבדלים נוספים בין מדינות בעולם, כגון במגמות הדמוגרפיות, מקשים </w:t>
      </w:r>
      <w:r>
        <w:rPr>
          <w:rFonts w:hint="cs"/>
          <w:rtl/>
        </w:rPr>
        <w:t xml:space="preserve">גם הם </w:t>
      </w:r>
      <w:r w:rsidRPr="00825633">
        <w:rPr>
          <w:rFonts w:hint="cs"/>
          <w:rtl/>
        </w:rPr>
        <w:t>על השוואה רב</w:t>
      </w:r>
      <w:r>
        <w:rPr>
          <w:rFonts w:hint="cs"/>
          <w:rtl/>
        </w:rPr>
        <w:t>-</w:t>
      </w:r>
      <w:r w:rsidRPr="00825633">
        <w:rPr>
          <w:rFonts w:hint="cs"/>
          <w:rtl/>
        </w:rPr>
        <w:t xml:space="preserve">לאומית. </w:t>
      </w:r>
    </w:p>
  </w:footnote>
  <w:footnote w:id="13">
    <w:p w:rsidR="00362821" w:rsidP="00863A1F">
      <w:pPr>
        <w:pStyle w:val="FootnoteText"/>
        <w:spacing w:line="269" w:lineRule="auto"/>
      </w:pPr>
      <w:r>
        <w:rPr>
          <w:rStyle w:val="FootnoteReference"/>
        </w:rPr>
        <w:footnoteRef/>
      </w:r>
      <w:r>
        <w:rPr>
          <w:rtl/>
        </w:rPr>
        <w:t xml:space="preserve"> </w:t>
      </w:r>
      <w:r>
        <w:rPr>
          <w:rtl/>
        </w:rPr>
        <w:tab/>
      </w:r>
      <w:r>
        <w:rPr>
          <w:rFonts w:ascii="David" w:hAnsi="David" w:hint="cs"/>
          <w:rtl/>
        </w:rPr>
        <w:t>בסוף שנת</w:t>
      </w:r>
      <w:r w:rsidRPr="0090745B">
        <w:rPr>
          <w:rFonts w:ascii="David" w:hAnsi="David"/>
          <w:rtl/>
        </w:rPr>
        <w:t xml:space="preserve"> 2016 </w:t>
      </w:r>
      <w:r w:rsidRPr="0090745B">
        <w:rPr>
          <w:rFonts w:ascii="David" w:hAnsi="David" w:hint="eastAsia"/>
          <w:rtl/>
        </w:rPr>
        <w:t>פרסמה</w:t>
      </w:r>
      <w:r w:rsidRPr="0090745B">
        <w:rPr>
          <w:rFonts w:ascii="David" w:hAnsi="David"/>
          <w:rtl/>
        </w:rPr>
        <w:t xml:space="preserve"> הרשות את חוזר </w:t>
      </w:r>
      <w:r w:rsidRPr="0090745B">
        <w:rPr>
          <w:rFonts w:ascii="David" w:hAnsi="David" w:hint="eastAsia"/>
          <w:rtl/>
        </w:rPr>
        <w:t>ביטוח</w:t>
      </w:r>
      <w:r w:rsidRPr="0090745B">
        <w:rPr>
          <w:rFonts w:ascii="David" w:hAnsi="David"/>
          <w:rtl/>
        </w:rPr>
        <w:t xml:space="preserve"> 2016-1-23 "</w:t>
      </w:r>
      <w:r w:rsidRPr="0090745B">
        <w:rPr>
          <w:rFonts w:ascii="David" w:hAnsi="David" w:hint="eastAsia"/>
          <w:rtl/>
        </w:rPr>
        <w:t>תיקונים</w:t>
      </w:r>
      <w:r w:rsidRPr="0090745B">
        <w:rPr>
          <w:rFonts w:ascii="David" w:hAnsi="David"/>
          <w:rtl/>
        </w:rPr>
        <w:t xml:space="preserve"> </w:t>
      </w:r>
      <w:r w:rsidRPr="0090745B">
        <w:rPr>
          <w:rFonts w:ascii="David" w:hAnsi="David" w:hint="eastAsia"/>
          <w:rtl/>
        </w:rPr>
        <w:t>והבהרות</w:t>
      </w:r>
      <w:r w:rsidRPr="0090745B">
        <w:rPr>
          <w:rFonts w:ascii="David" w:hAnsi="David"/>
          <w:rtl/>
        </w:rPr>
        <w:t xml:space="preserve"> </w:t>
      </w:r>
      <w:r w:rsidRPr="0090745B">
        <w:rPr>
          <w:rFonts w:ascii="David" w:hAnsi="David" w:hint="eastAsia"/>
          <w:rtl/>
        </w:rPr>
        <w:t>לגבי</w:t>
      </w:r>
      <w:r w:rsidRPr="0090745B">
        <w:rPr>
          <w:rFonts w:ascii="David" w:hAnsi="David"/>
          <w:rtl/>
        </w:rPr>
        <w:t xml:space="preserve"> </w:t>
      </w:r>
      <w:r w:rsidRPr="0090745B">
        <w:rPr>
          <w:rFonts w:ascii="David" w:hAnsi="David" w:hint="eastAsia"/>
          <w:rtl/>
        </w:rPr>
        <w:t>דיווחים</w:t>
      </w:r>
      <w:r w:rsidRPr="0090745B">
        <w:rPr>
          <w:rFonts w:ascii="David" w:hAnsi="David"/>
          <w:rtl/>
        </w:rPr>
        <w:t xml:space="preserve"> בביטוח בריאות". </w:t>
      </w:r>
      <w:r w:rsidRPr="0090745B">
        <w:rPr>
          <w:rFonts w:ascii="David" w:hAnsi="David" w:hint="eastAsia"/>
          <w:rtl/>
        </w:rPr>
        <w:t>החוזר</w:t>
      </w:r>
      <w:r w:rsidRPr="0090745B">
        <w:rPr>
          <w:rFonts w:ascii="David" w:hAnsi="David"/>
          <w:rtl/>
        </w:rPr>
        <w:t xml:space="preserve"> </w:t>
      </w:r>
      <w:r>
        <w:rPr>
          <w:rFonts w:ascii="David" w:hAnsi="David" w:hint="cs"/>
          <w:rtl/>
        </w:rPr>
        <w:t>משמש</w:t>
      </w:r>
      <w:r w:rsidRPr="0090745B">
        <w:rPr>
          <w:rFonts w:ascii="David" w:hAnsi="David"/>
          <w:rtl/>
        </w:rPr>
        <w:t xml:space="preserve"> תשתית </w:t>
      </w:r>
      <w:r>
        <w:rPr>
          <w:rFonts w:ascii="David" w:hAnsi="David" w:hint="cs"/>
          <w:rtl/>
        </w:rPr>
        <w:t>ל</w:t>
      </w:r>
      <w:r w:rsidRPr="0090745B">
        <w:rPr>
          <w:rFonts w:ascii="David" w:hAnsi="David"/>
          <w:rtl/>
        </w:rPr>
        <w:t>דרישת המידע מחברות הביטוח לרשות מדי רבעון</w:t>
      </w:r>
      <w:r>
        <w:rPr>
          <w:rFonts w:ascii="David" w:hAnsi="David" w:hint="cs"/>
          <w:rtl/>
        </w:rPr>
        <w:t xml:space="preserve"> ב</w:t>
      </w:r>
      <w:r w:rsidRPr="0090745B">
        <w:rPr>
          <w:rFonts w:ascii="David" w:hAnsi="David" w:hint="eastAsia"/>
          <w:rtl/>
        </w:rPr>
        <w:t>תחום</w:t>
      </w:r>
      <w:r w:rsidRPr="0090745B">
        <w:rPr>
          <w:rFonts w:ascii="David" w:hAnsi="David"/>
          <w:rtl/>
        </w:rPr>
        <w:t xml:space="preserve"> </w:t>
      </w:r>
      <w:r w:rsidRPr="0090745B">
        <w:rPr>
          <w:rFonts w:ascii="David" w:hAnsi="David" w:hint="eastAsia"/>
          <w:rtl/>
        </w:rPr>
        <w:t>ההוצאות</w:t>
      </w:r>
      <w:r w:rsidRPr="0090745B">
        <w:rPr>
          <w:rFonts w:ascii="David" w:hAnsi="David"/>
          <w:rtl/>
        </w:rPr>
        <w:t xml:space="preserve"> </w:t>
      </w:r>
      <w:r w:rsidRPr="0090745B">
        <w:rPr>
          <w:rFonts w:ascii="David" w:hAnsi="David" w:hint="eastAsia"/>
          <w:rtl/>
        </w:rPr>
        <w:t>הרפואיות</w:t>
      </w:r>
      <w:r>
        <w:rPr>
          <w:rFonts w:ascii="David" w:hAnsi="David" w:hint="cs"/>
          <w:rtl/>
        </w:rPr>
        <w:t xml:space="preserve">, לרבות מידע בדבר </w:t>
      </w:r>
      <w:r w:rsidRPr="0090745B">
        <w:rPr>
          <w:rFonts w:ascii="David" w:hAnsi="David" w:hint="eastAsia"/>
          <w:rtl/>
        </w:rPr>
        <w:t>רמת</w:t>
      </w:r>
      <w:r w:rsidRPr="0090745B">
        <w:rPr>
          <w:rFonts w:ascii="David" w:hAnsi="David"/>
          <w:rtl/>
        </w:rPr>
        <w:t xml:space="preserve"> הכיסוי </w:t>
      </w:r>
      <w:r w:rsidRPr="0090745B">
        <w:rPr>
          <w:rFonts w:ascii="David" w:hAnsi="David" w:hint="cs"/>
          <w:rtl/>
        </w:rPr>
        <w:t>ו</w:t>
      </w:r>
      <w:r w:rsidRPr="0090745B">
        <w:rPr>
          <w:rFonts w:ascii="David" w:hAnsi="David" w:hint="eastAsia"/>
          <w:rtl/>
        </w:rPr>
        <w:t>שנת</w:t>
      </w:r>
      <w:r w:rsidRPr="0090745B">
        <w:rPr>
          <w:rFonts w:ascii="David" w:hAnsi="David"/>
          <w:rtl/>
        </w:rPr>
        <w:t xml:space="preserve"> </w:t>
      </w:r>
      <w:r w:rsidRPr="0090745B">
        <w:rPr>
          <w:rFonts w:ascii="David" w:hAnsi="David" w:hint="eastAsia"/>
          <w:rtl/>
        </w:rPr>
        <w:t>חיתום</w:t>
      </w:r>
      <w:r w:rsidRPr="0090745B">
        <w:rPr>
          <w:rFonts w:ascii="David" w:hAnsi="David"/>
          <w:rtl/>
        </w:rPr>
        <w:t>.</w:t>
      </w:r>
    </w:p>
  </w:footnote>
  <w:footnote w:id="14">
    <w:p w:rsidR="00362821" w:rsidP="00863A1F">
      <w:pPr>
        <w:pStyle w:val="FootnoteText"/>
        <w:spacing w:line="269" w:lineRule="auto"/>
        <w:rPr>
          <w:rtl/>
        </w:rPr>
      </w:pPr>
      <w:r>
        <w:rPr>
          <w:rStyle w:val="FootnoteReference"/>
        </w:rPr>
        <w:footnoteRef/>
      </w:r>
      <w:r>
        <w:rPr>
          <w:rtl/>
        </w:rPr>
        <w:t xml:space="preserve"> </w:t>
      </w:r>
      <w:r>
        <w:rPr>
          <w:rtl/>
        </w:rPr>
        <w:tab/>
      </w:r>
      <w:r>
        <w:rPr>
          <w:rFonts w:hint="cs"/>
          <w:rtl/>
        </w:rPr>
        <w:t>יצוין שהרשות ביצעה בש</w:t>
      </w:r>
      <w:r w:rsidRPr="00825633">
        <w:rPr>
          <w:rFonts w:hint="cs"/>
          <w:rtl/>
        </w:rPr>
        <w:t>נת 2017,</w:t>
      </w:r>
      <w:r>
        <w:rPr>
          <w:rFonts w:hint="cs"/>
          <w:rtl/>
        </w:rPr>
        <w:t xml:space="preserve"> בחינה ייחודי</w:t>
      </w:r>
      <w:r>
        <w:rPr>
          <w:rFonts w:hint="eastAsia"/>
          <w:rtl/>
        </w:rPr>
        <w:t>ת</w:t>
      </w:r>
      <w:r>
        <w:rPr>
          <w:rFonts w:hint="cs"/>
          <w:rtl/>
        </w:rPr>
        <w:t xml:space="preserve"> ביחס לשינוי הפרמיה הממוצע בשוק. נתון זה בוצע על בסיס דרישת נתונים חד פעמית שהוגשה לחברות הביטוח, ופורסם לציבור במסגרת סקירת הרפורמה בביטוח הבריאות.</w:t>
      </w:r>
    </w:p>
  </w:footnote>
  <w:footnote w:id="15">
    <w:p w:rsidR="00362821" w:rsidP="00863A1F">
      <w:pPr>
        <w:pStyle w:val="FootnoteText"/>
        <w:spacing w:line="269" w:lineRule="auto"/>
      </w:pPr>
      <w:r>
        <w:rPr>
          <w:rStyle w:val="FootnoteReference"/>
        </w:rPr>
        <w:footnoteRef/>
      </w:r>
      <w:r>
        <w:rPr>
          <w:rtl/>
        </w:rPr>
        <w:t xml:space="preserve"> </w:t>
      </w:r>
      <w:r>
        <w:rPr>
          <w:rtl/>
        </w:rPr>
        <w:tab/>
      </w:r>
      <w:r w:rsidRPr="00B11510">
        <w:rPr>
          <w:rFonts w:hint="cs"/>
          <w:rtl/>
        </w:rPr>
        <w:t xml:space="preserve">להרחבה בנושא הרפורמה </w:t>
      </w:r>
      <w:r>
        <w:rPr>
          <w:rFonts w:hint="cs"/>
          <w:rtl/>
        </w:rPr>
        <w:t>ראו</w:t>
      </w:r>
      <w:r w:rsidRPr="00B11510">
        <w:rPr>
          <w:rFonts w:hint="cs"/>
          <w:rtl/>
        </w:rPr>
        <w:t xml:space="preserve"> פרק </w:t>
      </w:r>
      <w:r>
        <w:rPr>
          <w:rFonts w:hint="cs"/>
          <w:rtl/>
        </w:rPr>
        <w:t>"</w:t>
      </w:r>
      <w:r w:rsidRPr="00B11510">
        <w:rPr>
          <w:rtl/>
        </w:rPr>
        <w:t xml:space="preserve">הרפורמה בביטוחי הבריאות </w:t>
      </w:r>
      <w:r w:rsidRPr="00B11510">
        <w:rPr>
          <w:rFonts w:hint="cs"/>
          <w:rtl/>
        </w:rPr>
        <w:t>המסחריים</w:t>
      </w:r>
      <w:r w:rsidRPr="00B11510">
        <w:rPr>
          <w:rtl/>
        </w:rPr>
        <w:t xml:space="preserve"> משנת</w:t>
      </w:r>
      <w:r>
        <w:rPr>
          <w:rtl/>
        </w:rPr>
        <w:t xml:space="preserve"> </w:t>
      </w:r>
      <w:r w:rsidRPr="00B11510">
        <w:rPr>
          <w:rtl/>
        </w:rPr>
        <w:t>2016</w:t>
      </w:r>
      <w:r>
        <w:rPr>
          <w:rFonts w:hint="cs"/>
          <w:rtl/>
        </w:rPr>
        <w:t>" בהמשך הדוח.</w:t>
      </w:r>
      <w:r>
        <w:rPr>
          <w:rFonts w:hint="cs"/>
        </w:rPr>
        <w:t xml:space="preserve"> </w:t>
      </w:r>
    </w:p>
  </w:footnote>
  <w:footnote w:id="16">
    <w:p w:rsidR="00362821" w:rsidP="00863A1F">
      <w:pPr>
        <w:pStyle w:val="FootnoteText"/>
        <w:spacing w:line="269" w:lineRule="auto"/>
      </w:pPr>
      <w:r>
        <w:rPr>
          <w:rStyle w:val="FootnoteReference"/>
        </w:rPr>
        <w:footnoteRef/>
      </w:r>
      <w:r>
        <w:rPr>
          <w:rtl/>
        </w:rPr>
        <w:t xml:space="preserve"> </w:t>
      </w:r>
      <w:r>
        <w:rPr>
          <w:rtl/>
        </w:rPr>
        <w:tab/>
      </w:r>
      <w:r>
        <w:rPr>
          <w:rFonts w:hint="cs"/>
          <w:rtl/>
        </w:rPr>
        <w:t>לדוגמה האם גידול בפרמיות נובע ברובו מהפחתה של ההנחות או מהצטרפות של מבוטחים נוספים.</w:t>
      </w:r>
    </w:p>
  </w:footnote>
  <w:footnote w:id="17">
    <w:p w:rsidR="00362821" w:rsidRPr="00996A89" w:rsidP="00863A1F">
      <w:pPr>
        <w:pStyle w:val="FootnoteText"/>
        <w:spacing w:line="269" w:lineRule="auto"/>
        <w:rPr>
          <w:rFonts w:ascii="David" w:hAnsi="David"/>
          <w:rtl/>
        </w:rPr>
      </w:pPr>
      <w:r w:rsidRPr="00E86A24">
        <w:rPr>
          <w:rStyle w:val="FootnoteReference"/>
          <w:rFonts w:ascii="David" w:hAnsi="David"/>
        </w:rPr>
        <w:footnoteRef/>
      </w:r>
      <w:r w:rsidRPr="00E86A24">
        <w:rPr>
          <w:rFonts w:ascii="David" w:hAnsi="David"/>
          <w:rtl/>
        </w:rPr>
        <w:t xml:space="preserve"> </w:t>
      </w:r>
      <w:r w:rsidRPr="00E86A24">
        <w:rPr>
          <w:rFonts w:ascii="David" w:hAnsi="David"/>
          <w:rtl/>
        </w:rPr>
        <w:tab/>
      </w:r>
      <w:r w:rsidRPr="00BF5D41">
        <w:rPr>
          <w:rFonts w:ascii="David" w:hAnsi="David"/>
          <w:rtl/>
        </w:rPr>
        <w:t xml:space="preserve">בהתאם לאתר </w:t>
      </w:r>
      <w:r w:rsidRPr="00996A89">
        <w:rPr>
          <w:rFonts w:ascii="David" w:hAnsi="David"/>
          <w:rtl/>
        </w:rPr>
        <w:t xml:space="preserve">מחשבון הביטוח של משרד האוצר, העלות החודשית </w:t>
      </w:r>
      <w:r>
        <w:rPr>
          <w:rFonts w:ascii="David" w:hAnsi="David" w:hint="cs"/>
          <w:rtl/>
        </w:rPr>
        <w:t>ש</w:t>
      </w:r>
      <w:r w:rsidRPr="00996A89">
        <w:rPr>
          <w:rFonts w:ascii="David" w:hAnsi="David"/>
          <w:rtl/>
        </w:rPr>
        <w:t>ל</w:t>
      </w:r>
      <w:r>
        <w:rPr>
          <w:rFonts w:ascii="David" w:hAnsi="David" w:hint="cs"/>
          <w:rtl/>
        </w:rPr>
        <w:t xml:space="preserve"> ביטוחי בריאות ל</w:t>
      </w:r>
      <w:r w:rsidRPr="00996A89">
        <w:rPr>
          <w:rFonts w:ascii="David" w:hAnsi="David"/>
          <w:rtl/>
        </w:rPr>
        <w:t xml:space="preserve">משפחה של זוג עם שני ילדים עומדת על </w:t>
      </w:r>
      <w:r>
        <w:rPr>
          <w:rFonts w:ascii="David" w:hAnsi="David"/>
          <w:rtl/>
        </w:rPr>
        <w:t>כ-</w:t>
      </w:r>
      <w:r w:rsidRPr="00996A89">
        <w:rPr>
          <w:rFonts w:ascii="David" w:hAnsi="David"/>
          <w:rtl/>
        </w:rPr>
        <w:t>220 ש"ח</w:t>
      </w:r>
      <w:r w:rsidRPr="00996A89">
        <w:rPr>
          <w:rFonts w:ascii="David" w:hAnsi="David" w:hint="cs"/>
          <w:rtl/>
        </w:rPr>
        <w:t xml:space="preserve"> נכון ל1.2.2019. </w:t>
      </w:r>
      <w:r>
        <w:rPr>
          <w:rFonts w:ascii="David" w:hAnsi="David" w:hint="cs"/>
          <w:rtl/>
        </w:rPr>
        <w:t xml:space="preserve">(עלות </w:t>
      </w:r>
      <w:r w:rsidRPr="00996A89">
        <w:rPr>
          <w:rFonts w:ascii="David" w:hAnsi="David" w:hint="cs"/>
          <w:rtl/>
        </w:rPr>
        <w:t xml:space="preserve">ביטוחי בריאות </w:t>
      </w:r>
      <w:r>
        <w:rPr>
          <w:rFonts w:ascii="David" w:hAnsi="David" w:hint="cs"/>
          <w:rtl/>
        </w:rPr>
        <w:t xml:space="preserve">לרבות: </w:t>
      </w:r>
      <w:r w:rsidRPr="00996A89">
        <w:rPr>
          <w:rFonts w:ascii="David" w:hAnsi="David" w:hint="cs"/>
          <w:rtl/>
        </w:rPr>
        <w:t>ניתוחים</w:t>
      </w:r>
      <w:r>
        <w:rPr>
          <w:rFonts w:ascii="David" w:hAnsi="David" w:hint="cs"/>
          <w:rtl/>
        </w:rPr>
        <w:t>,</w:t>
      </w:r>
      <w:r w:rsidRPr="00996A89">
        <w:rPr>
          <w:rFonts w:ascii="David" w:hAnsi="David" w:hint="cs"/>
          <w:rtl/>
        </w:rPr>
        <w:t xml:space="preserve"> השתלות</w:t>
      </w:r>
      <w:r>
        <w:rPr>
          <w:rFonts w:ascii="David" w:hAnsi="David" w:hint="cs"/>
          <w:rtl/>
        </w:rPr>
        <w:t>,</w:t>
      </w:r>
      <w:r w:rsidRPr="00996A89">
        <w:rPr>
          <w:rFonts w:ascii="David" w:hAnsi="David" w:hint="cs"/>
          <w:rtl/>
        </w:rPr>
        <w:t xml:space="preserve"> תרופות) אבא - יליד 1980 - עלות 81 ש"ח,</w:t>
      </w:r>
      <w:r>
        <w:rPr>
          <w:rFonts w:ascii="David" w:hAnsi="David" w:hint="cs"/>
          <w:rtl/>
        </w:rPr>
        <w:t xml:space="preserve"> </w:t>
      </w:r>
      <w:r w:rsidRPr="00996A89">
        <w:rPr>
          <w:rFonts w:ascii="David" w:hAnsi="David" w:hint="cs"/>
          <w:rtl/>
        </w:rPr>
        <w:t>א</w:t>
      </w:r>
      <w:r>
        <w:rPr>
          <w:rFonts w:ascii="David" w:hAnsi="David" w:hint="cs"/>
          <w:rtl/>
        </w:rPr>
        <w:t>י</w:t>
      </w:r>
      <w:r w:rsidRPr="00996A89">
        <w:rPr>
          <w:rFonts w:ascii="David" w:hAnsi="David" w:hint="cs"/>
          <w:rtl/>
        </w:rPr>
        <w:t>מא - ילידת 1980 - עלות 81 ש"ח,</w:t>
      </w:r>
      <w:r>
        <w:rPr>
          <w:rFonts w:ascii="David" w:hAnsi="David" w:hint="cs"/>
          <w:rtl/>
        </w:rPr>
        <w:t xml:space="preserve"> </w:t>
      </w:r>
      <w:r w:rsidRPr="00996A89">
        <w:rPr>
          <w:rFonts w:ascii="David" w:hAnsi="David" w:hint="cs"/>
          <w:rtl/>
        </w:rPr>
        <w:t>ילד - יליד 2010 - עלות 30 ש"ח,</w:t>
      </w:r>
      <w:r>
        <w:rPr>
          <w:rFonts w:ascii="David" w:hAnsi="David" w:hint="cs"/>
          <w:rtl/>
        </w:rPr>
        <w:t xml:space="preserve"> </w:t>
      </w:r>
      <w:r w:rsidRPr="00996A89">
        <w:rPr>
          <w:rFonts w:ascii="David" w:hAnsi="David" w:hint="cs"/>
          <w:rtl/>
        </w:rPr>
        <w:t>ילדה - ילידת 201</w:t>
      </w:r>
      <w:r>
        <w:rPr>
          <w:rFonts w:ascii="David" w:hAnsi="David" w:hint="cs"/>
          <w:rtl/>
        </w:rPr>
        <w:t>0 - עלות 30).</w:t>
      </w:r>
    </w:p>
  </w:footnote>
  <w:footnote w:id="18">
    <w:p w:rsidR="00362821" w:rsidP="00863A1F">
      <w:pPr>
        <w:pStyle w:val="FootnoteText"/>
        <w:spacing w:line="269" w:lineRule="auto"/>
        <w:rPr>
          <w:rtl/>
        </w:rPr>
      </w:pPr>
      <w:r>
        <w:rPr>
          <w:rStyle w:val="FootnoteReference"/>
        </w:rPr>
        <w:footnoteRef/>
      </w:r>
      <w:r>
        <w:rPr>
          <w:rtl/>
        </w:rPr>
        <w:t xml:space="preserve"> </w:t>
      </w:r>
      <w:r>
        <w:rPr>
          <w:rtl/>
        </w:rPr>
        <w:tab/>
      </w:r>
      <w:r>
        <w:rPr>
          <w:rFonts w:hint="cs"/>
          <w:rtl/>
        </w:rPr>
        <w:t xml:space="preserve">להרחבה בנושא הביטוחים המסחריים והשפעתם על אי השוויון בשירות הרפואי בישראל ראו מבקר המדינה </w:t>
      </w:r>
      <w:r w:rsidRPr="00003ACF">
        <w:rPr>
          <w:rFonts w:hint="cs"/>
          <w:b/>
          <w:bCs/>
          <w:rtl/>
        </w:rPr>
        <w:t>דוח שנתי 63ג</w:t>
      </w:r>
      <w:r>
        <w:rPr>
          <w:rFonts w:hint="cs"/>
          <w:rtl/>
        </w:rPr>
        <w:t xml:space="preserve"> (2013) "היבטים במערכת הרפואה הפרטית - מדיניות, אסדרה וכלי פיקוח.</w:t>
      </w:r>
    </w:p>
  </w:footnote>
  <w:footnote w:id="19">
    <w:p w:rsidR="00362821" w:rsidP="00863A1F">
      <w:pPr>
        <w:pStyle w:val="FootnoteText"/>
        <w:spacing w:line="269" w:lineRule="auto"/>
      </w:pPr>
      <w:r>
        <w:rPr>
          <w:rStyle w:val="FootnoteReference"/>
        </w:rPr>
        <w:footnoteRef/>
      </w:r>
      <w:r>
        <w:rPr>
          <w:rtl/>
        </w:rPr>
        <w:t xml:space="preserve"> </w:t>
      </w:r>
      <w:r>
        <w:rPr>
          <w:rtl/>
        </w:rPr>
        <w:tab/>
      </w:r>
      <w:r>
        <w:rPr>
          <w:rFonts w:hint="cs"/>
          <w:rtl/>
        </w:rPr>
        <w:t>להלן הפעולות שציינה הרשות: חוזר ביטוח 2015-1-20 אי תלות בין כיסויים, קביעת תנאים אחידים לכל ביטוחי הניתוחים המסחריים, פרסום "המדריך לצרכן" שיאפשר למבוטחים ללמוד על הכיסויים למיניהם, ומחשבון ביטוח בריאות שיאפשר למבוטחים להעריך את עלות ביטוחי הבריאות.</w:t>
      </w:r>
    </w:p>
  </w:footnote>
  <w:footnote w:id="20">
    <w:p w:rsidR="00362821" w:rsidP="00863A1F">
      <w:pPr>
        <w:pStyle w:val="FootnoteText"/>
        <w:spacing w:line="269" w:lineRule="auto"/>
        <w:rPr>
          <w:rtl/>
        </w:rPr>
      </w:pPr>
      <w:r w:rsidRPr="00277700">
        <w:rPr>
          <w:rStyle w:val="FootnoteReference"/>
        </w:rPr>
        <w:footnoteRef/>
      </w:r>
      <w:r w:rsidRPr="00277700">
        <w:rPr>
          <w:rtl/>
        </w:rPr>
        <w:t xml:space="preserve"> </w:t>
      </w:r>
      <w:r w:rsidRPr="00277700">
        <w:rPr>
          <w:rtl/>
        </w:rPr>
        <w:tab/>
      </w:r>
      <w:r w:rsidRPr="00277700">
        <w:rPr>
          <w:rFonts w:hint="cs"/>
          <w:rtl/>
        </w:rPr>
        <w:t>חוזר רשות שוק ההון</w:t>
      </w:r>
      <w:r w:rsidRPr="00277700">
        <w:rPr>
          <w:rFonts w:ascii="David" w:hAnsi="David"/>
          <w:rtl/>
        </w:rPr>
        <w:t xml:space="preserve"> 2007-1-6 (חובת </w:t>
      </w:r>
      <w:r w:rsidRPr="00277700">
        <w:rPr>
          <w:rFonts w:ascii="David" w:hAnsi="David" w:hint="eastAsia"/>
          <w:rtl/>
        </w:rPr>
        <w:t>הצעת</w:t>
      </w:r>
      <w:r w:rsidRPr="00277700">
        <w:rPr>
          <w:rFonts w:ascii="David" w:hAnsi="David"/>
          <w:rtl/>
        </w:rPr>
        <w:t xml:space="preserve"> </w:t>
      </w:r>
      <w:r w:rsidRPr="00277700">
        <w:rPr>
          <w:rFonts w:ascii="David" w:hAnsi="David" w:hint="eastAsia"/>
          <w:rtl/>
        </w:rPr>
        <w:t>תכנית</w:t>
      </w:r>
      <w:r w:rsidRPr="00277700">
        <w:rPr>
          <w:rFonts w:ascii="David" w:hAnsi="David"/>
          <w:rtl/>
        </w:rPr>
        <w:t xml:space="preserve"> </w:t>
      </w:r>
      <w:r w:rsidRPr="00277700">
        <w:rPr>
          <w:rFonts w:ascii="David" w:hAnsi="David" w:hint="eastAsia"/>
          <w:rtl/>
        </w:rPr>
        <w:t>בעלת</w:t>
      </w:r>
      <w:r w:rsidRPr="00277700">
        <w:rPr>
          <w:rFonts w:ascii="David" w:hAnsi="David"/>
          <w:rtl/>
        </w:rPr>
        <w:t xml:space="preserve"> </w:t>
      </w:r>
      <w:r w:rsidRPr="00277700">
        <w:rPr>
          <w:rFonts w:ascii="David" w:hAnsi="David" w:hint="eastAsia"/>
          <w:rtl/>
        </w:rPr>
        <w:t>כיסוי</w:t>
      </w:r>
      <w:r w:rsidRPr="00277700">
        <w:rPr>
          <w:rFonts w:ascii="David" w:hAnsi="David"/>
          <w:rtl/>
        </w:rPr>
        <w:t xml:space="preserve"> </w:t>
      </w:r>
      <w:r w:rsidRPr="00277700">
        <w:rPr>
          <w:rFonts w:ascii="David" w:hAnsi="David" w:hint="eastAsia"/>
          <w:rtl/>
        </w:rPr>
        <w:t>ביטוחי</w:t>
      </w:r>
      <w:r w:rsidRPr="00277700">
        <w:rPr>
          <w:rFonts w:ascii="David" w:hAnsi="David"/>
          <w:rtl/>
        </w:rPr>
        <w:t xml:space="preserve"> </w:t>
      </w:r>
      <w:r w:rsidRPr="00277700">
        <w:rPr>
          <w:rFonts w:ascii="David" w:hAnsi="David" w:hint="eastAsia"/>
          <w:rtl/>
        </w:rPr>
        <w:t>משלים</w:t>
      </w:r>
      <w:r w:rsidRPr="00277700">
        <w:rPr>
          <w:rFonts w:ascii="David" w:hAnsi="David"/>
          <w:rtl/>
        </w:rPr>
        <w:t xml:space="preserve"> </w:t>
      </w:r>
      <w:r w:rsidRPr="00277700">
        <w:rPr>
          <w:rFonts w:ascii="David" w:hAnsi="David" w:hint="eastAsia"/>
          <w:rtl/>
        </w:rPr>
        <w:t>לניתוחים</w:t>
      </w:r>
      <w:r w:rsidRPr="00277700">
        <w:rPr>
          <w:rFonts w:ascii="David" w:hAnsi="David"/>
          <w:rtl/>
        </w:rPr>
        <w:t>)</w:t>
      </w:r>
      <w:r w:rsidRPr="00277700">
        <w:rPr>
          <w:rFonts w:ascii="David" w:hAnsi="David" w:hint="cs"/>
          <w:rtl/>
        </w:rPr>
        <w:t>, מרץ, 2007.</w:t>
      </w:r>
    </w:p>
  </w:footnote>
  <w:footnote w:id="21">
    <w:p w:rsidR="00362821" w:rsidRPr="00EF2A8B" w:rsidP="00863A1F">
      <w:pPr>
        <w:pStyle w:val="FootnoteText"/>
        <w:spacing w:line="269" w:lineRule="auto"/>
        <w:rPr>
          <w:rtl/>
        </w:rPr>
      </w:pPr>
      <w:r>
        <w:rPr>
          <w:rStyle w:val="FootnoteReference"/>
        </w:rPr>
        <w:footnoteRef/>
      </w:r>
      <w:r>
        <w:rPr>
          <w:rtl/>
        </w:rPr>
        <w:t xml:space="preserve"> </w:t>
      </w:r>
      <w:r>
        <w:rPr>
          <w:rtl/>
        </w:rPr>
        <w:tab/>
      </w:r>
      <w:r>
        <w:rPr>
          <w:rFonts w:hint="cs"/>
          <w:rtl/>
        </w:rPr>
        <w:t xml:space="preserve">ייתכן כפל ביטוח מסחרי שנוצר מרכישה משתי חברות שונות או מרכישה כפולה אצל אותה חברת ביטוח. לדוגמה </w:t>
      </w:r>
      <w:r w:rsidRPr="00EF2A8B">
        <w:rPr>
          <w:rFonts w:hint="cs"/>
          <w:rtl/>
        </w:rPr>
        <w:t xml:space="preserve">ביטוח קבוצתי שנרכש במסגרת מקום </w:t>
      </w:r>
      <w:r>
        <w:rPr>
          <w:rFonts w:hint="cs"/>
          <w:rtl/>
        </w:rPr>
        <w:t>ה</w:t>
      </w:r>
      <w:r w:rsidRPr="00EF2A8B">
        <w:rPr>
          <w:rFonts w:hint="cs"/>
          <w:rtl/>
        </w:rPr>
        <w:t>עבוד</w:t>
      </w:r>
      <w:r>
        <w:rPr>
          <w:rFonts w:hint="cs"/>
          <w:rtl/>
        </w:rPr>
        <w:t>ה,</w:t>
      </w:r>
      <w:r w:rsidRPr="00EF2A8B">
        <w:rPr>
          <w:rFonts w:hint="cs"/>
          <w:rtl/>
        </w:rPr>
        <w:t xml:space="preserve"> ובמקביל ביטוח פרטי שנרכש באמצעות סוכן.</w:t>
      </w:r>
    </w:p>
  </w:footnote>
  <w:footnote w:id="22">
    <w:p w:rsidR="00362821" w:rsidP="00863A1F">
      <w:pPr>
        <w:pStyle w:val="FootnoteText"/>
        <w:spacing w:line="269" w:lineRule="auto"/>
        <w:rPr>
          <w:rtl/>
        </w:rPr>
      </w:pPr>
      <w:r>
        <w:rPr>
          <w:rStyle w:val="FootnoteReference"/>
        </w:rPr>
        <w:footnoteRef/>
      </w:r>
      <w:r>
        <w:rPr>
          <w:rtl/>
        </w:rPr>
        <w:t xml:space="preserve"> </w:t>
      </w:r>
      <w:r>
        <w:rPr>
          <w:rtl/>
        </w:rPr>
        <w:tab/>
      </w:r>
      <w:r>
        <w:rPr>
          <w:rFonts w:hint="cs"/>
          <w:rtl/>
        </w:rPr>
        <w:t>יצוין</w:t>
      </w:r>
      <w:r w:rsidRPr="009C62FF">
        <w:rPr>
          <w:rFonts w:hint="cs"/>
          <w:rtl/>
        </w:rPr>
        <w:t xml:space="preserve"> כי </w:t>
      </w:r>
      <w:r w:rsidRPr="00FB22A3">
        <w:rPr>
          <w:rFonts w:hint="cs"/>
          <w:rtl/>
        </w:rPr>
        <w:t>במהלך חודש יוני 2020, לאחר סיום עבודת הביקורת,</w:t>
      </w:r>
      <w:r w:rsidRPr="00234BBB">
        <w:rPr>
          <w:rFonts w:hint="cs"/>
          <w:rtl/>
        </w:rPr>
        <w:t xml:space="preserve"> פורסמה טיוטת דוח של רשות התחרות "ביטוחי בריאות </w:t>
      </w:r>
      <w:r w:rsidRPr="00555D55">
        <w:rPr>
          <w:rFonts w:hint="eastAsia"/>
          <w:rtl/>
        </w:rPr>
        <w:t>פרטיים</w:t>
      </w:r>
      <w:r w:rsidRPr="00555D55">
        <w:rPr>
          <w:rtl/>
        </w:rPr>
        <w:t xml:space="preserve"> - </w:t>
      </w:r>
      <w:r w:rsidRPr="00555D55">
        <w:rPr>
          <w:rFonts w:hint="eastAsia"/>
          <w:rtl/>
        </w:rPr>
        <w:t>דו</w:t>
      </w:r>
      <w:r w:rsidRPr="00555D55">
        <w:rPr>
          <w:rtl/>
        </w:rPr>
        <w:t xml:space="preserve">"ח </w:t>
      </w:r>
      <w:r w:rsidRPr="00555D55">
        <w:rPr>
          <w:rFonts w:hint="eastAsia"/>
          <w:rtl/>
        </w:rPr>
        <w:t>ביניים</w:t>
      </w:r>
      <w:r w:rsidRPr="00555D55">
        <w:rPr>
          <w:rtl/>
        </w:rPr>
        <w:t>",</w:t>
      </w:r>
      <w:r w:rsidRPr="00FB22A3">
        <w:rPr>
          <w:rFonts w:hint="cs"/>
          <w:rtl/>
        </w:rPr>
        <w:t xml:space="preserve"> אשר</w:t>
      </w:r>
      <w:r>
        <w:rPr>
          <w:rFonts w:hint="cs"/>
          <w:rtl/>
        </w:rPr>
        <w:t xml:space="preserve"> בחן את תופעת כפל הביטוח המסחרי והחפיפה הקיימת בין ביטוחי הבריאות לתוכניות השב"ן</w:t>
      </w:r>
      <w:r w:rsidRPr="009C62FF">
        <w:rPr>
          <w:rFonts w:hint="cs"/>
          <w:rtl/>
        </w:rPr>
        <w:t>.</w:t>
      </w:r>
    </w:p>
  </w:footnote>
  <w:footnote w:id="23">
    <w:p w:rsidR="00362821" w:rsidRPr="009C255D" w:rsidP="00863A1F">
      <w:pPr>
        <w:pStyle w:val="FootnoteText"/>
        <w:spacing w:line="269" w:lineRule="auto"/>
        <w:rPr>
          <w:rFonts w:ascii="David" w:hAnsi="David"/>
          <w:rtl/>
        </w:rPr>
      </w:pPr>
      <w:r w:rsidRPr="009C255D">
        <w:rPr>
          <w:rStyle w:val="FootnoteReference"/>
          <w:rFonts w:ascii="David" w:hAnsi="David"/>
        </w:rPr>
        <w:footnoteRef/>
      </w:r>
      <w:r w:rsidRPr="009C255D">
        <w:rPr>
          <w:rFonts w:ascii="David" w:hAnsi="David"/>
          <w:rtl/>
        </w:rPr>
        <w:t xml:space="preserve"> </w:t>
      </w:r>
      <w:r w:rsidRPr="009C255D">
        <w:rPr>
          <w:rFonts w:ascii="David" w:eastAsia="Times New Roman" w:hAnsi="David"/>
          <w:rtl/>
        </w:rPr>
        <w:tab/>
        <w:t>כיום בכל קופות החולים מוצעים למבוטחים במסגרת השב"ן שני רבדים של כיסוי והשיקול אם להצטרף ולאיזה רובד נתון לבחירת החבר. ברוב קופות החולים, רכישת הרובד השני מותנית בהצטרפות לרובד הראשון</w:t>
      </w:r>
      <w:r w:rsidRPr="009C255D">
        <w:rPr>
          <w:rFonts w:ascii="David" w:hAnsi="David"/>
          <w:rtl/>
        </w:rPr>
        <w:t>.</w:t>
      </w:r>
    </w:p>
  </w:footnote>
  <w:footnote w:id="24">
    <w:p w:rsidR="00362821" w:rsidRPr="009C255D" w:rsidP="00863A1F">
      <w:pPr>
        <w:pStyle w:val="FootnoteText"/>
        <w:spacing w:line="269" w:lineRule="auto"/>
        <w:rPr>
          <w:rFonts w:ascii="David" w:hAnsi="David"/>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 xml:space="preserve">בע"א 4431/17 </w:t>
      </w:r>
      <w:r w:rsidRPr="009C255D">
        <w:rPr>
          <w:rFonts w:ascii="David" w:hAnsi="David"/>
          <w:b/>
          <w:bCs/>
          <w:rtl/>
        </w:rPr>
        <w:t xml:space="preserve">פלוני נ' פלוני, </w:t>
      </w:r>
      <w:r w:rsidRPr="009C255D">
        <w:rPr>
          <w:rFonts w:ascii="David" w:hAnsi="David"/>
          <w:rtl/>
        </w:rPr>
        <w:t>קבע בית משפט העליון כי תכנית השב"ן אינה "חוזה ביטוח" כמשמעו בסעיף 86 לפקודת הנזיקין.</w:t>
      </w:r>
    </w:p>
  </w:footnote>
  <w:footnote w:id="25">
    <w:p w:rsidR="00362821" w:rsidRPr="009C255D" w:rsidP="00863A1F">
      <w:pPr>
        <w:pStyle w:val="FootnoteText"/>
        <w:spacing w:line="269" w:lineRule="auto"/>
        <w:rPr>
          <w:rFonts w:ascii="David" w:hAnsi="David"/>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כיסוי מסוג זה אף מרחיב את השירותים הכלולים בסל הבסיסי, כגון כיסוי עבור השתלות, גם במקרים שאינם מכוסים בסל הבסיסי.</w:t>
      </w:r>
    </w:p>
  </w:footnote>
  <w:footnote w:id="26">
    <w:p w:rsidR="00362821" w:rsidRPr="009C255D" w:rsidP="00863A1F">
      <w:pPr>
        <w:pStyle w:val="FootnoteText"/>
        <w:spacing w:line="269" w:lineRule="auto"/>
        <w:ind w:left="708" w:hanging="709"/>
        <w:rPr>
          <w:rFonts w:ascii="David" w:hAnsi="David"/>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 xml:space="preserve">משרד האוצר - אגף שוק ההון, ביטוח וחסכון, חוזר ביטוח 2007-1-6, "חובת הצעת תכנית בעלת כיסוי ביטוחי משלים לניתוחים", מרץ, 2007. </w:t>
      </w:r>
    </w:p>
  </w:footnote>
  <w:footnote w:id="27">
    <w:p w:rsidR="00362821" w:rsidRPr="00E95D5F" w:rsidP="00863A1F">
      <w:pPr>
        <w:pStyle w:val="FootnoteText"/>
        <w:spacing w:line="269" w:lineRule="auto"/>
        <w:rPr>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התשלום למבוטח בכיסוי משלים שב"ן מתבצע באופן הזה: חברת הביטוח מקזזת את התשלומים שקיבל המבוטח מקופת החולים במסגרת זכויותיו. לצורך מימוש הזכויות נדרשת פנייה גם לקופת החולים וגם לחברת הביטוח, וזו משלמת רק את החלק שקופת החולים לא שילמה</w:t>
      </w:r>
      <w:r w:rsidRPr="009C255D">
        <w:rPr>
          <w:rFonts w:ascii="David" w:hAnsi="David"/>
        </w:rPr>
        <w:t>.</w:t>
      </w:r>
      <w:r w:rsidRPr="009C255D">
        <w:rPr>
          <w:rFonts w:ascii="Arial" w:hAnsi="Arial" w:cs="Arial"/>
          <w:shd w:val="clear" w:color="auto" w:fill="D9F6FE"/>
        </w:rPr>
        <w:t>​</w:t>
      </w:r>
    </w:p>
  </w:footnote>
  <w:footnote w:id="28">
    <w:p w:rsidR="00362821" w:rsidRPr="009C255D" w:rsidP="00863A1F">
      <w:pPr>
        <w:pStyle w:val="FootnoteText"/>
        <w:spacing w:line="269" w:lineRule="auto"/>
        <w:rPr>
          <w:rFonts w:ascii="David" w:hAnsi="David"/>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 xml:space="preserve">יצוין כי מתוקף חוק ביטוח בריאות ממלכתי, כלל אזרחי ישראל מבוטחים בסל הבריאות הבסיסי. על-כן כיסויי הבריאות הפרטיים הם בנוסף לרובד הבסיסי. </w:t>
      </w:r>
    </w:p>
  </w:footnote>
  <w:footnote w:id="29">
    <w:p w:rsidR="00362821" w:rsidRPr="009C255D" w:rsidP="00FB22A3">
      <w:pPr>
        <w:pStyle w:val="FootnoteText"/>
        <w:spacing w:line="269" w:lineRule="auto"/>
        <w:rPr>
          <w:rFonts w:ascii="David" w:hAnsi="David"/>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מהתרשים עולה כי, ל-35% מהאוכלוסייה מעל גיל 20 יש ביטוח מסחרי מכיוון של-32% יש גם ביטוח מסחרי וגם חברים בשב"ן ובנוסף ל-3% יש ביטוח מסחרי בלבד.</w:t>
      </w:r>
    </w:p>
  </w:footnote>
  <w:footnote w:id="30">
    <w:p w:rsidR="00362821" w:rsidRPr="00DB2234" w:rsidP="00863A1F">
      <w:pPr>
        <w:pStyle w:val="FootnoteText"/>
        <w:spacing w:line="269" w:lineRule="auto"/>
        <w:rPr>
          <w:rFonts w:ascii="David" w:hAnsi="David"/>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הוועדה האמורה הציגה את עיקרי המלצותיה בשנת 2014. להרחבה ראו, משרד הבריאות, "דוח הוועדה המייעצת לחיזוק מערכת הבריאות הציבורית- התשע"ה - 2014".</w:t>
      </w:r>
    </w:p>
  </w:footnote>
  <w:footnote w:id="31">
    <w:p w:rsidR="00362821" w:rsidRPr="009C255D" w:rsidP="00863A1F">
      <w:pPr>
        <w:pStyle w:val="FootnoteText"/>
        <w:spacing w:line="269" w:lineRule="auto"/>
        <w:rPr>
          <w:rFonts w:ascii="David" w:hAnsi="David"/>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 xml:space="preserve">בדוח מצוין כי "קיימת מגמה המצביעה על העמקת שירותי הבריאות הנוספים (השב"ן), בקרב האוכלוסייה בישראל, הבוחרת להרחיב את השירותים הניתנים במסגרת הרובד התחתון בהצטרפותה לרובד העליון". </w:t>
      </w:r>
    </w:p>
  </w:footnote>
  <w:footnote w:id="32">
    <w:p w:rsidR="00362821" w:rsidP="00863A1F">
      <w:pPr>
        <w:pStyle w:val="FootnoteText"/>
        <w:spacing w:line="269" w:lineRule="auto"/>
        <w:rPr>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בין יתר המלצות הוועדה נכללה המלצה על חלוקה ברורה בין תכניות השב"ן ובין הביטוח המסחרי באופן שיקל על המבוטחים להשוות בין הפוליסות למיניהן, ולהתאים את הכיסויים להעדפותיהם.</w:t>
      </w:r>
    </w:p>
  </w:footnote>
  <w:footnote w:id="33">
    <w:p w:rsidR="00362821" w:rsidRPr="00803D66" w:rsidP="00863A1F">
      <w:pPr>
        <w:pStyle w:val="FootnoteText"/>
        <w:spacing w:line="269" w:lineRule="auto"/>
        <w:rPr>
          <w:rFonts w:ascii="David" w:hAnsi="David"/>
          <w:rtl/>
        </w:rPr>
      </w:pPr>
      <w:r>
        <w:rPr>
          <w:rStyle w:val="FootnoteReference"/>
        </w:rPr>
        <w:footnoteRef/>
      </w:r>
      <w:r>
        <w:rPr>
          <w:rtl/>
        </w:rPr>
        <w:t xml:space="preserve"> </w:t>
      </w:r>
      <w:r>
        <w:rPr>
          <w:rtl/>
        </w:rPr>
        <w:tab/>
      </w:r>
      <w:r w:rsidRPr="00803D66">
        <w:rPr>
          <w:rFonts w:ascii="David" w:hAnsi="David"/>
          <w:rtl/>
        </w:rPr>
        <w:t>שִׁיבּוּב</w:t>
      </w:r>
      <w:r w:rsidRPr="00803D66">
        <w:rPr>
          <w:rFonts w:ascii="David" w:hAnsi="David" w:hint="cs"/>
          <w:rtl/>
        </w:rPr>
        <w:t xml:space="preserve"> (</w:t>
      </w:r>
      <w:r w:rsidRPr="00803D66">
        <w:rPr>
          <w:rFonts w:ascii="David" w:hAnsi="David"/>
          <w:rtl/>
        </w:rPr>
        <w:t>תַּחֲלוּף</w:t>
      </w:r>
      <w:r w:rsidRPr="00803D66">
        <w:rPr>
          <w:rFonts w:ascii="David" w:hAnsi="David" w:hint="cs"/>
          <w:rtl/>
        </w:rPr>
        <w:t xml:space="preserve">) </w:t>
      </w:r>
      <w:r w:rsidRPr="00803D66">
        <w:rPr>
          <w:rFonts w:ascii="David" w:hAnsi="David"/>
          <w:rtl/>
        </w:rPr>
        <w:t>הוא מצב משפטי שבו צד אחד (א') נכנס בנעליו של צד אחר (ב') וזאת כדי ליהנות מזכויות שזכ</w:t>
      </w:r>
      <w:r>
        <w:rPr>
          <w:rFonts w:ascii="David" w:hAnsi="David"/>
          <w:rtl/>
        </w:rPr>
        <w:t xml:space="preserve">אי להן צד ב' מצד שלישי (ג') או </w:t>
      </w:r>
      <w:r w:rsidRPr="00803D66">
        <w:rPr>
          <w:rFonts w:ascii="David" w:hAnsi="David"/>
          <w:rtl/>
        </w:rPr>
        <w:t>כדי ששניהם י</w:t>
      </w:r>
      <w:r w:rsidRPr="00803D66">
        <w:rPr>
          <w:rFonts w:ascii="David" w:hAnsi="David" w:hint="cs"/>
          <w:rtl/>
        </w:rPr>
        <w:t>י</w:t>
      </w:r>
      <w:r w:rsidRPr="00803D66">
        <w:rPr>
          <w:rFonts w:ascii="David" w:hAnsi="David"/>
          <w:rtl/>
        </w:rPr>
        <w:t>הנו מזכויות אלה</w:t>
      </w:r>
      <w:r w:rsidRPr="00803D66">
        <w:rPr>
          <w:rFonts w:ascii="David" w:hAnsi="David"/>
        </w:rPr>
        <w:t>.</w:t>
      </w:r>
      <w:r w:rsidRPr="00803D66">
        <w:rPr>
          <w:rFonts w:ascii="David" w:hAnsi="David" w:hint="cs"/>
          <w:rtl/>
        </w:rPr>
        <w:t xml:space="preserve"> כך ל</w:t>
      </w:r>
      <w:r>
        <w:rPr>
          <w:rFonts w:ascii="David" w:hAnsi="David" w:hint="cs"/>
          <w:rtl/>
        </w:rPr>
        <w:t>דוגמה</w:t>
      </w:r>
      <w:r w:rsidRPr="00803D66">
        <w:rPr>
          <w:rFonts w:ascii="David" w:hAnsi="David" w:hint="cs"/>
          <w:rtl/>
        </w:rPr>
        <w:t xml:space="preserve">, </w:t>
      </w:r>
      <w:r w:rsidRPr="00803D66">
        <w:rPr>
          <w:rFonts w:ascii="David" w:hAnsi="David"/>
          <w:rtl/>
        </w:rPr>
        <w:t>בחוזי</w:t>
      </w:r>
      <w:r w:rsidRPr="00803D66">
        <w:rPr>
          <w:rFonts w:ascii="David" w:hAnsi="David" w:hint="cs"/>
          <w:rtl/>
        </w:rPr>
        <w:t xml:space="preserve"> ביטוח</w:t>
      </w:r>
      <w:r w:rsidRPr="00803D66">
        <w:rPr>
          <w:rFonts w:ascii="David" w:hAnsi="David"/>
        </w:rPr>
        <w:t xml:space="preserve"> </w:t>
      </w:r>
      <w:r>
        <w:rPr>
          <w:rFonts w:ascii="David" w:hAnsi="David" w:hint="cs"/>
          <w:rtl/>
        </w:rPr>
        <w:t>ש</w:t>
      </w:r>
      <w:r w:rsidRPr="00803D66">
        <w:rPr>
          <w:rFonts w:ascii="David" w:hAnsi="David"/>
          <w:rtl/>
        </w:rPr>
        <w:t>בהם חברת הביטוח (א') משלמת למבוטח (ב'), בהתאם להתחייבותה כלפיו בפוליסה שבידיו, על נזק שנגרם לו, ונכנסת לנעליו ותובעת במקומו</w:t>
      </w:r>
      <w:r w:rsidRPr="00803D66">
        <w:rPr>
          <w:rFonts w:ascii="David" w:hAnsi="David" w:hint="cs"/>
          <w:rtl/>
        </w:rPr>
        <w:t xml:space="preserve"> את חברת הביטוח הנוספת (ג') אשר ביטחה אותו במקביל.</w:t>
      </w:r>
    </w:p>
  </w:footnote>
  <w:footnote w:id="34">
    <w:p w:rsidR="00362821" w:rsidRPr="00B25446" w:rsidP="00863A1F">
      <w:pPr>
        <w:pStyle w:val="FootnoteText"/>
        <w:spacing w:line="269" w:lineRule="auto"/>
        <w:ind w:left="708" w:hanging="708"/>
        <w:rPr>
          <w:rFonts w:ascii="David" w:hAnsi="David"/>
          <w:rtl/>
        </w:rPr>
      </w:pPr>
      <w:r>
        <w:rPr>
          <w:rStyle w:val="FootnoteReference"/>
        </w:rPr>
        <w:footnoteRef/>
      </w:r>
      <w:r>
        <w:rPr>
          <w:rtl/>
        </w:rPr>
        <w:t xml:space="preserve"> </w:t>
      </w:r>
      <w:r>
        <w:rPr>
          <w:rFonts w:ascii="David" w:hAnsi="David"/>
          <w:rtl/>
        </w:rPr>
        <w:tab/>
      </w:r>
      <w:r w:rsidRPr="00B25446">
        <w:rPr>
          <w:rFonts w:ascii="David" w:hAnsi="David" w:hint="cs"/>
          <w:rtl/>
        </w:rPr>
        <w:t xml:space="preserve">להרחבה </w:t>
      </w:r>
      <w:r>
        <w:rPr>
          <w:rFonts w:ascii="David" w:hAnsi="David" w:hint="cs"/>
          <w:rtl/>
        </w:rPr>
        <w:t>ראו</w:t>
      </w:r>
      <w:r w:rsidRPr="00B25446">
        <w:rPr>
          <w:rFonts w:ascii="David" w:hAnsi="David" w:hint="cs"/>
          <w:rtl/>
        </w:rPr>
        <w:t xml:space="preserve"> דוח </w:t>
      </w:r>
      <w:r w:rsidRPr="00B25446">
        <w:rPr>
          <w:rFonts w:ascii="David" w:hAnsi="David"/>
          <w:rtl/>
        </w:rPr>
        <w:t>ועדת גרמן,</w:t>
      </w:r>
      <w:r>
        <w:rPr>
          <w:rFonts w:ascii="David" w:hAnsi="David" w:hint="cs"/>
          <w:rtl/>
        </w:rPr>
        <w:t xml:space="preserve"> </w:t>
      </w:r>
      <w:r w:rsidRPr="00B25446">
        <w:rPr>
          <w:rFonts w:ascii="David" w:hAnsi="David"/>
          <w:rtl/>
        </w:rPr>
        <w:t xml:space="preserve">"דין </w:t>
      </w:r>
      <w:r w:rsidRPr="00B25446">
        <w:rPr>
          <w:rFonts w:ascii="David" w:hAnsi="David" w:hint="eastAsia"/>
          <w:rtl/>
        </w:rPr>
        <w:t>וחשבון</w:t>
      </w:r>
      <w:r>
        <w:rPr>
          <w:rFonts w:ascii="David" w:hAnsi="David"/>
          <w:rtl/>
        </w:rPr>
        <w:t xml:space="preserve"> </w:t>
      </w:r>
      <w:r w:rsidRPr="00B25446">
        <w:rPr>
          <w:rFonts w:ascii="David" w:hAnsi="David" w:hint="eastAsia"/>
          <w:rtl/>
        </w:rPr>
        <w:t>התשע</w:t>
      </w:r>
      <w:r w:rsidRPr="00B25446">
        <w:rPr>
          <w:rFonts w:ascii="David" w:hAnsi="David"/>
          <w:rtl/>
        </w:rPr>
        <w:t xml:space="preserve">"ה - 2014", </w:t>
      </w:r>
      <w:r w:rsidRPr="00B25446">
        <w:rPr>
          <w:rFonts w:ascii="David" w:hAnsi="David" w:hint="eastAsia"/>
          <w:rtl/>
        </w:rPr>
        <w:t>עמ</w:t>
      </w:r>
      <w:r w:rsidRPr="00B25446">
        <w:rPr>
          <w:rFonts w:ascii="David" w:hAnsi="David"/>
          <w:rtl/>
        </w:rPr>
        <w:t xml:space="preserve">' 203. </w:t>
      </w:r>
    </w:p>
  </w:footnote>
  <w:footnote w:id="35">
    <w:p w:rsidR="00362821" w:rsidRPr="00B25446" w:rsidP="00863A1F">
      <w:pPr>
        <w:pStyle w:val="FootnoteText"/>
        <w:spacing w:line="269" w:lineRule="auto"/>
        <w:rPr>
          <w:rtl/>
        </w:rPr>
      </w:pPr>
      <w:r w:rsidRPr="00B25446">
        <w:rPr>
          <w:rStyle w:val="FootnoteReference"/>
        </w:rPr>
        <w:footnoteRef/>
      </w:r>
      <w:r w:rsidRPr="00B25446">
        <w:rPr>
          <w:rtl/>
        </w:rPr>
        <w:t xml:space="preserve"> </w:t>
      </w:r>
      <w:r w:rsidRPr="00B25446">
        <w:rPr>
          <w:rtl/>
        </w:rPr>
        <w:tab/>
      </w:r>
      <w:r w:rsidRPr="00B25446">
        <w:rPr>
          <w:rFonts w:ascii="David" w:hAnsi="David" w:hint="cs"/>
          <w:rtl/>
        </w:rPr>
        <w:t>הפיצוי ניתן בעבור ההשתתפות העצמית והחזר הוצאות</w:t>
      </w:r>
      <w:r w:rsidRPr="00B25446">
        <w:rPr>
          <w:rFonts w:ascii="David" w:eastAsia="Times New Roman" w:hAnsi="David" w:hint="cs"/>
          <w:spacing w:val="4"/>
          <w:sz w:val="24"/>
          <w:szCs w:val="24"/>
          <w:rtl/>
          <w:lang w:eastAsia="he-IL"/>
        </w:rPr>
        <w:t>.</w:t>
      </w:r>
    </w:p>
  </w:footnote>
  <w:footnote w:id="36">
    <w:p w:rsidR="00362821" w:rsidRPr="00A9504F" w:rsidP="00863A1F">
      <w:pPr>
        <w:pStyle w:val="FootnoteText"/>
        <w:spacing w:line="269" w:lineRule="auto"/>
        <w:rPr>
          <w:rtl/>
        </w:rPr>
      </w:pPr>
      <w:r>
        <w:rPr>
          <w:rStyle w:val="FootnoteReference"/>
        </w:rPr>
        <w:footnoteRef/>
      </w:r>
      <w:r>
        <w:rPr>
          <w:rtl/>
        </w:rPr>
        <w:t xml:space="preserve"> </w:t>
      </w:r>
      <w:r>
        <w:rPr>
          <w:rtl/>
        </w:rPr>
        <w:tab/>
      </w:r>
      <w:r>
        <w:rPr>
          <w:rFonts w:hint="cs"/>
          <w:rtl/>
        </w:rPr>
        <w:t xml:space="preserve">בסקירה שערכה רשות שוק ההון בשנת 2017 לבחינת הרפורמה בביטוחי הבריאות, צוין כי בהשוואה קודמת שנערכה בשנים 2007 ו-2009 </w:t>
      </w:r>
      <w:r>
        <w:rPr>
          <w:rFonts w:ascii="David" w:hAnsi="David"/>
          <w:rtl/>
        </w:rPr>
        <w:t xml:space="preserve">עלה שהפוליסות </w:t>
      </w:r>
      <w:r>
        <w:rPr>
          <w:rFonts w:ascii="David" w:hAnsi="David" w:hint="cs"/>
          <w:rtl/>
        </w:rPr>
        <w:t>ה</w:t>
      </w:r>
      <w:r w:rsidRPr="008E1F3C">
        <w:rPr>
          <w:rFonts w:ascii="David" w:hAnsi="David"/>
          <w:rtl/>
        </w:rPr>
        <w:t xml:space="preserve">משווקות בשוק דומות </w:t>
      </w:r>
      <w:r>
        <w:rPr>
          <w:rFonts w:ascii="David" w:hAnsi="David" w:hint="cs"/>
          <w:rtl/>
        </w:rPr>
        <w:t>ביותר</w:t>
      </w:r>
      <w:r w:rsidRPr="008E1F3C">
        <w:rPr>
          <w:rFonts w:ascii="David" w:hAnsi="David"/>
          <w:rtl/>
        </w:rPr>
        <w:t xml:space="preserve"> מ-90</w:t>
      </w:r>
      <w:r>
        <w:rPr>
          <w:rFonts w:ascii="David" w:hAnsi="David" w:hint="cs"/>
          <w:rtl/>
        </w:rPr>
        <w:t>%</w:t>
      </w:r>
      <w:r w:rsidRPr="008E1F3C">
        <w:rPr>
          <w:rFonts w:ascii="David" w:hAnsi="David"/>
          <w:rtl/>
        </w:rPr>
        <w:t xml:space="preserve"> ונבדלות ביניהן רק בכיסויים שאין בהם ערך ביטוחי ממשי. משכך, בפועל מבוטחים רבים רוכשים כפל ביטוח בעוד שבמקרה של הגשת תביעה לא </w:t>
      </w:r>
      <w:r w:rsidRPr="00A9504F">
        <w:rPr>
          <w:rFonts w:ascii="David" w:hAnsi="David"/>
          <w:rtl/>
        </w:rPr>
        <w:t>יוכלו לקבל כפל החזר</w:t>
      </w:r>
      <w:r w:rsidRPr="00A9504F">
        <w:rPr>
          <w:rFonts w:ascii="David" w:hAnsi="David"/>
        </w:rPr>
        <w:t>.</w:t>
      </w:r>
    </w:p>
  </w:footnote>
  <w:footnote w:id="37">
    <w:p w:rsidR="00362821" w:rsidRPr="00A9504F" w:rsidP="00863A1F">
      <w:pPr>
        <w:pStyle w:val="FootnoteText"/>
        <w:spacing w:line="269" w:lineRule="auto"/>
      </w:pPr>
      <w:r w:rsidRPr="00A9504F">
        <w:rPr>
          <w:rStyle w:val="FootnoteReference"/>
        </w:rPr>
        <w:footnoteRef/>
      </w:r>
      <w:r w:rsidRPr="00A9504F">
        <w:rPr>
          <w:rtl/>
        </w:rPr>
        <w:t xml:space="preserve"> </w:t>
      </w:r>
      <w:r w:rsidRPr="00A9504F">
        <w:tab/>
      </w:r>
      <w:r>
        <w:rPr>
          <w:rFonts w:ascii="David" w:hAnsi="David" w:hint="cs"/>
          <w:rtl/>
        </w:rPr>
        <w:t xml:space="preserve">משרד האוצר - אגף שוק ההון, ביטוח וחסכון, </w:t>
      </w:r>
      <w:r w:rsidRPr="00DD2BD6">
        <w:rPr>
          <w:rFonts w:ascii="David" w:hAnsi="David" w:hint="eastAsia"/>
          <w:rtl/>
        </w:rPr>
        <w:t>חוזר</w:t>
      </w:r>
      <w:r>
        <w:rPr>
          <w:rFonts w:ascii="David" w:hAnsi="David" w:hint="cs"/>
          <w:rtl/>
        </w:rPr>
        <w:t xml:space="preserve"> ביטוח</w:t>
      </w:r>
      <w:r w:rsidRPr="00DD2BD6">
        <w:rPr>
          <w:rFonts w:ascii="David" w:hAnsi="David"/>
          <w:rtl/>
        </w:rPr>
        <w:t xml:space="preserve"> </w:t>
      </w:r>
      <w:r>
        <w:rPr>
          <w:rFonts w:ascii="David" w:hAnsi="David" w:hint="cs"/>
          <w:rtl/>
        </w:rPr>
        <w:t>2018-1-10</w:t>
      </w:r>
      <w:r w:rsidRPr="00DD2BD6">
        <w:rPr>
          <w:rFonts w:ascii="David" w:hAnsi="David"/>
          <w:rtl/>
        </w:rPr>
        <w:t xml:space="preserve">, </w:t>
      </w:r>
      <w:r>
        <w:rPr>
          <w:rFonts w:ascii="David" w:hAnsi="David" w:hint="cs"/>
          <w:rtl/>
        </w:rPr>
        <w:t xml:space="preserve">"צירוף לביטוח - תיקון", יולי, 2018. </w:t>
      </w:r>
    </w:p>
  </w:footnote>
  <w:footnote w:id="38">
    <w:p w:rsidR="00362821" w:rsidP="00863A1F">
      <w:pPr>
        <w:pStyle w:val="FootnoteText"/>
        <w:spacing w:line="269" w:lineRule="auto"/>
      </w:pPr>
      <w:r>
        <w:rPr>
          <w:rStyle w:val="FootnoteReference"/>
        </w:rPr>
        <w:footnoteRef/>
      </w:r>
      <w:r>
        <w:rPr>
          <w:rtl/>
        </w:rPr>
        <w:t xml:space="preserve"> </w:t>
      </w:r>
      <w:r>
        <w:rPr>
          <w:rtl/>
        </w:rPr>
        <w:tab/>
      </w:r>
      <w:r>
        <w:rPr>
          <w:rFonts w:hint="cs"/>
          <w:rtl/>
        </w:rPr>
        <w:t xml:space="preserve">להלן מספר דוגמאות שציינה הרשות בתשובתה: חוזר גופים מוסדיים 2016-9-9 העוסק ביישוב תביעות וטיפול בפניות הציבור, </w:t>
      </w:r>
      <w:r w:rsidRPr="00626855">
        <w:rPr>
          <w:rFonts w:ascii="David" w:hAnsi="David" w:hint="cs"/>
          <w:rtl/>
        </w:rPr>
        <w:t xml:space="preserve">חיוב חובת הקמת אזור אישי לכל מבוטח באתר האינטרנט </w:t>
      </w:r>
      <w:r>
        <w:rPr>
          <w:rFonts w:ascii="David" w:hAnsi="David" w:hint="cs"/>
          <w:rtl/>
        </w:rPr>
        <w:t xml:space="preserve">(מרשתת) </w:t>
      </w:r>
      <w:r w:rsidRPr="00626855">
        <w:rPr>
          <w:rFonts w:ascii="David" w:hAnsi="David" w:hint="cs"/>
          <w:rtl/>
        </w:rPr>
        <w:t>של חברת הביטוח</w:t>
      </w:r>
      <w:r>
        <w:rPr>
          <w:rFonts w:hint="cs"/>
          <w:rtl/>
        </w:rPr>
        <w:t>; חוזר ביטוח 2015-1-16 הקובע הוראות לניסוח סעיפים מסוימים בפוליסות ביטוח במטרה למנוע הטעיית המבוטחים.</w:t>
      </w:r>
    </w:p>
  </w:footnote>
  <w:footnote w:id="39">
    <w:p w:rsidR="00362821" w:rsidP="00863A1F">
      <w:pPr>
        <w:pStyle w:val="FootnoteText"/>
        <w:spacing w:line="269" w:lineRule="auto"/>
        <w:rPr>
          <w:rtl/>
        </w:rPr>
      </w:pPr>
      <w:r>
        <w:rPr>
          <w:rStyle w:val="FootnoteReference"/>
        </w:rPr>
        <w:footnoteRef/>
      </w:r>
      <w:r>
        <w:rPr>
          <w:rtl/>
        </w:rPr>
        <w:t xml:space="preserve"> </w:t>
      </w:r>
      <w:r>
        <w:rPr>
          <w:rtl/>
        </w:rPr>
        <w:tab/>
      </w:r>
      <w:r>
        <w:rPr>
          <w:rFonts w:hint="cs"/>
          <w:rtl/>
        </w:rPr>
        <w:t xml:space="preserve">להרחבה בנושא הביטוחים המסחריים והשפעתם על הרפואה הציבורית ראו מבקר המדינה </w:t>
      </w:r>
      <w:r w:rsidRPr="00D51680">
        <w:rPr>
          <w:rFonts w:hint="cs"/>
          <w:b/>
          <w:bCs/>
          <w:rtl/>
        </w:rPr>
        <w:t>דוח 63ג</w:t>
      </w:r>
      <w:r>
        <w:rPr>
          <w:rFonts w:hint="cs"/>
          <w:b/>
          <w:bCs/>
          <w:rtl/>
        </w:rPr>
        <w:t xml:space="preserve"> </w:t>
      </w:r>
      <w:r w:rsidRPr="00D51680">
        <w:rPr>
          <w:rFonts w:hint="cs"/>
          <w:rtl/>
        </w:rPr>
        <w:t>(</w:t>
      </w:r>
      <w:r>
        <w:rPr>
          <w:rFonts w:hint="cs"/>
          <w:rtl/>
        </w:rPr>
        <w:t>2013) "היבטים במערכת הרפואה הפרטית - מדיניות, אסדרה וכלי פיקוח".</w:t>
      </w:r>
    </w:p>
  </w:footnote>
  <w:footnote w:id="40">
    <w:p w:rsidR="00362821" w:rsidRPr="00E86A24" w:rsidP="00863A1F">
      <w:pPr>
        <w:pStyle w:val="FootnoteText"/>
        <w:spacing w:line="269" w:lineRule="auto"/>
        <w:rPr>
          <w:rFonts w:ascii="David" w:hAnsi="David"/>
          <w:rtl/>
        </w:rPr>
      </w:pPr>
      <w:r w:rsidRPr="00E86A24">
        <w:rPr>
          <w:rStyle w:val="FootnoteReference"/>
          <w:rFonts w:ascii="David" w:hAnsi="David"/>
        </w:rPr>
        <w:footnoteRef/>
      </w:r>
      <w:r w:rsidRPr="00E86A24">
        <w:rPr>
          <w:rFonts w:ascii="David" w:hAnsi="David"/>
          <w:rtl/>
        </w:rPr>
        <w:t xml:space="preserve"> </w:t>
      </w:r>
      <w:r w:rsidRPr="00E86A24">
        <w:rPr>
          <w:rFonts w:ascii="David" w:hAnsi="David"/>
          <w:rtl/>
        </w:rPr>
        <w:tab/>
        <w:t xml:space="preserve">בתחום ביטוחי הבריאות ניתן למצוא מדד זה גם בשם </w:t>
      </w:r>
      <w:r w:rsidRPr="00E86A24">
        <w:rPr>
          <w:rFonts w:ascii="David" w:hAnsi="David"/>
          <w:sz w:val="24"/>
          <w:szCs w:val="24"/>
        </w:rPr>
        <w:t>medical loss ratio</w:t>
      </w:r>
      <w:r>
        <w:rPr>
          <w:rFonts w:ascii="David" w:hAnsi="David"/>
          <w:sz w:val="24"/>
          <w:szCs w:val="24"/>
        </w:rPr>
        <w:t>)</w:t>
      </w:r>
      <w:r w:rsidRPr="00E86A24">
        <w:rPr>
          <w:rFonts w:ascii="David" w:hAnsi="David"/>
          <w:sz w:val="24"/>
          <w:szCs w:val="24"/>
        </w:rPr>
        <w:t xml:space="preserve"> MLR</w:t>
      </w:r>
      <w:r>
        <w:rPr>
          <w:rFonts w:ascii="David" w:hAnsi="David" w:hint="cs"/>
          <w:sz w:val="24"/>
          <w:szCs w:val="24"/>
          <w:rtl/>
        </w:rPr>
        <w:t>)</w:t>
      </w:r>
      <w:r w:rsidRPr="00E86A24">
        <w:rPr>
          <w:rFonts w:ascii="David" w:hAnsi="David"/>
          <w:sz w:val="24"/>
          <w:szCs w:val="24"/>
          <w:rtl/>
        </w:rPr>
        <w:t>.</w:t>
      </w:r>
      <w:r w:rsidRPr="00F02813">
        <w:rPr>
          <w:rFonts w:ascii="David" w:hAnsi="David"/>
          <w:rtl/>
        </w:rPr>
        <w:t xml:space="preserve"> </w:t>
      </w:r>
      <w:r w:rsidRPr="009009AC">
        <w:rPr>
          <w:rFonts w:ascii="David" w:hAnsi="David"/>
          <w:rtl/>
        </w:rPr>
        <w:t>תרגום נוסף במסמכי הרשות מתייחס לשיעור "הנזקים" אך החישוב זהה</w:t>
      </w:r>
      <w:r>
        <w:rPr>
          <w:rFonts w:ascii="David" w:hAnsi="David" w:hint="cs"/>
          <w:rtl/>
        </w:rPr>
        <w:t>.</w:t>
      </w:r>
    </w:p>
  </w:footnote>
  <w:footnote w:id="41">
    <w:p w:rsidR="00362821" w:rsidP="00863A1F">
      <w:pPr>
        <w:pStyle w:val="FootnoteText"/>
        <w:spacing w:line="269" w:lineRule="auto"/>
        <w:rPr>
          <w:rtl/>
        </w:rPr>
      </w:pPr>
      <w:r>
        <w:rPr>
          <w:rStyle w:val="FootnoteReference"/>
        </w:rPr>
        <w:footnoteRef/>
      </w:r>
      <w:r>
        <w:rPr>
          <w:rtl/>
        </w:rPr>
        <w:t xml:space="preserve"> </w:t>
      </w:r>
      <w:r>
        <w:rPr>
          <w:rtl/>
        </w:rPr>
        <w:tab/>
      </w:r>
      <w:r>
        <w:rPr>
          <w:rFonts w:hint="cs"/>
          <w:rtl/>
        </w:rPr>
        <w:t>בדוח זה ייעשה שימוש במונח "מדד ההחזר", כמונח חלופי למדד ההפסד (</w:t>
      </w:r>
      <w:r>
        <w:rPr>
          <w:rFonts w:hint="cs"/>
        </w:rPr>
        <w:t>LR</w:t>
      </w:r>
      <w:r>
        <w:rPr>
          <w:rFonts w:hint="cs"/>
          <w:rtl/>
        </w:rPr>
        <w:t xml:space="preserve">), בהתאם לשימוש שנעשה רשות שוק ההון במונח זה, וזאת על אף הסתייגות משרד מבקר המדינה מהשימוש במונח זה מהטעמים המנויים בגוף הדוח. </w:t>
      </w:r>
    </w:p>
  </w:footnote>
  <w:footnote w:id="42">
    <w:p w:rsidR="00362821" w:rsidRPr="00893A0A" w:rsidP="00863A1F">
      <w:pPr>
        <w:pStyle w:val="FootnoteText"/>
        <w:spacing w:line="269" w:lineRule="auto"/>
        <w:rPr>
          <w:rtl/>
        </w:rPr>
      </w:pPr>
      <w:r>
        <w:rPr>
          <w:rStyle w:val="FootnoteReference"/>
        </w:rPr>
        <w:footnoteRef/>
      </w:r>
      <w:r>
        <w:rPr>
          <w:rtl/>
        </w:rPr>
        <w:t xml:space="preserve"> </w:t>
      </w:r>
      <w:r>
        <w:rPr>
          <w:rtl/>
        </w:rPr>
        <w:tab/>
      </w:r>
      <w:r>
        <w:rPr>
          <w:rFonts w:hint="cs"/>
          <w:rtl/>
        </w:rPr>
        <w:t>מעבר</w:t>
      </w:r>
      <w:r w:rsidRPr="003656ED">
        <w:rPr>
          <w:rtl/>
        </w:rPr>
        <w:t xml:space="preserve"> להוצאות </w:t>
      </w:r>
      <w:r>
        <w:rPr>
          <w:rFonts w:hint="cs"/>
          <w:rtl/>
        </w:rPr>
        <w:t xml:space="preserve">כנגד התביעות </w:t>
      </w:r>
      <w:r w:rsidRPr="003656ED">
        <w:rPr>
          <w:rtl/>
        </w:rPr>
        <w:t xml:space="preserve">הרפואיות </w:t>
      </w:r>
      <w:r>
        <w:rPr>
          <w:rFonts w:hint="cs"/>
          <w:rtl/>
        </w:rPr>
        <w:t xml:space="preserve">יש </w:t>
      </w:r>
      <w:r w:rsidRPr="003656ED">
        <w:rPr>
          <w:rtl/>
        </w:rPr>
        <w:t xml:space="preserve">לחברת הביטוח הוצאות נוספות </w:t>
      </w:r>
      <w:r>
        <w:rPr>
          <w:rFonts w:hint="cs"/>
          <w:rtl/>
        </w:rPr>
        <w:t xml:space="preserve">כגון </w:t>
      </w:r>
      <w:r w:rsidRPr="003656ED">
        <w:rPr>
          <w:rtl/>
        </w:rPr>
        <w:t>הפרשות כנגד תביעות עתידיות וסיכונים עתידיים, עמלות לשיווק וסוכנים</w:t>
      </w:r>
      <w:r>
        <w:rPr>
          <w:rFonts w:hint="cs"/>
          <w:rtl/>
        </w:rPr>
        <w:t xml:space="preserve"> וכן </w:t>
      </w:r>
      <w:r w:rsidRPr="003656ED">
        <w:rPr>
          <w:rtl/>
        </w:rPr>
        <w:t>הוצאות ליישוב סכסוכים.</w:t>
      </w:r>
    </w:p>
  </w:footnote>
  <w:footnote w:id="43">
    <w:p w:rsidR="00362821" w:rsidRPr="00362821" w:rsidP="00863A1F">
      <w:pPr>
        <w:pStyle w:val="FootnoteText"/>
        <w:spacing w:line="269" w:lineRule="auto"/>
        <w:rPr>
          <w:rFonts w:ascii="David" w:hAnsi="David"/>
        </w:rPr>
      </w:pPr>
      <w:r>
        <w:rPr>
          <w:rStyle w:val="FootnoteReference"/>
        </w:rPr>
        <w:footnoteRef/>
      </w:r>
      <w:r>
        <w:rPr>
          <w:rtl/>
        </w:rPr>
        <w:t xml:space="preserve"> </w:t>
      </w:r>
      <w:r>
        <w:rPr>
          <w:rtl/>
        </w:rPr>
        <w:tab/>
      </w:r>
      <w:r w:rsidRPr="00511AB3">
        <w:rPr>
          <w:rFonts w:ascii="David" w:hAnsi="David" w:hint="eastAsia"/>
          <w:rtl/>
        </w:rPr>
        <w:t>לפירוט</w:t>
      </w:r>
      <w:r w:rsidRPr="00511AB3">
        <w:rPr>
          <w:rFonts w:ascii="David" w:hAnsi="David"/>
          <w:rtl/>
        </w:rPr>
        <w:t xml:space="preserve"> שיעור ההחזר </w:t>
      </w:r>
      <w:r w:rsidRPr="00511AB3">
        <w:rPr>
          <w:rFonts w:ascii="David" w:hAnsi="David" w:hint="eastAsia"/>
          <w:rtl/>
        </w:rPr>
        <w:t>הממוצע</w:t>
      </w:r>
      <w:r w:rsidRPr="00511AB3">
        <w:rPr>
          <w:rFonts w:ascii="David" w:hAnsi="David"/>
          <w:rtl/>
        </w:rPr>
        <w:t xml:space="preserve"> </w:t>
      </w:r>
      <w:r w:rsidRPr="00511AB3">
        <w:rPr>
          <w:rFonts w:ascii="David" w:hAnsi="David" w:hint="eastAsia"/>
          <w:rtl/>
        </w:rPr>
        <w:t>לשנת</w:t>
      </w:r>
      <w:r w:rsidRPr="00511AB3">
        <w:rPr>
          <w:rFonts w:ascii="David" w:hAnsi="David"/>
          <w:rtl/>
        </w:rPr>
        <w:t xml:space="preserve"> 2018, </w:t>
      </w:r>
      <w:r w:rsidRPr="00511AB3">
        <w:rPr>
          <w:rFonts w:ascii="David" w:hAnsi="David" w:hint="eastAsia"/>
          <w:rtl/>
        </w:rPr>
        <w:t>בסוגי</w:t>
      </w:r>
      <w:r w:rsidRPr="00511AB3">
        <w:rPr>
          <w:rFonts w:ascii="David" w:hAnsi="David"/>
          <w:rtl/>
        </w:rPr>
        <w:t xml:space="preserve"> </w:t>
      </w:r>
      <w:r w:rsidRPr="00511AB3">
        <w:rPr>
          <w:rFonts w:ascii="David" w:hAnsi="David" w:hint="eastAsia"/>
          <w:rtl/>
        </w:rPr>
        <w:t>פוליסות</w:t>
      </w:r>
      <w:r w:rsidRPr="00511AB3">
        <w:rPr>
          <w:rFonts w:ascii="David" w:hAnsi="David"/>
          <w:rtl/>
        </w:rPr>
        <w:t xml:space="preserve"> </w:t>
      </w:r>
      <w:r w:rsidRPr="00511AB3">
        <w:rPr>
          <w:rFonts w:ascii="David" w:hAnsi="David" w:hint="eastAsia"/>
          <w:rtl/>
        </w:rPr>
        <w:t>שונות</w:t>
      </w:r>
      <w:r w:rsidRPr="00511AB3">
        <w:rPr>
          <w:rFonts w:ascii="David" w:hAnsi="David"/>
          <w:rtl/>
        </w:rPr>
        <w:t xml:space="preserve">, </w:t>
      </w:r>
      <w:r>
        <w:rPr>
          <w:rFonts w:ascii="David" w:hAnsi="David" w:hint="eastAsia"/>
          <w:rtl/>
        </w:rPr>
        <w:t>ראו</w:t>
      </w:r>
      <w:r w:rsidRPr="00511AB3">
        <w:rPr>
          <w:rFonts w:ascii="David" w:hAnsi="David"/>
          <w:rtl/>
        </w:rPr>
        <w:t xml:space="preserve"> </w:t>
      </w:r>
      <w:r w:rsidRPr="00511AB3">
        <w:rPr>
          <w:rFonts w:ascii="David" w:hAnsi="David" w:hint="eastAsia"/>
          <w:rtl/>
        </w:rPr>
        <w:t>תרשים</w:t>
      </w:r>
      <w:r w:rsidRPr="00511AB3">
        <w:rPr>
          <w:rFonts w:ascii="David" w:hAnsi="David"/>
          <w:rtl/>
        </w:rPr>
        <w:t xml:space="preserve"> 8 </w:t>
      </w:r>
      <w:r w:rsidRPr="00511AB3">
        <w:rPr>
          <w:rFonts w:ascii="David" w:hAnsi="David" w:hint="eastAsia"/>
          <w:rtl/>
        </w:rPr>
        <w:t>בהמשך</w:t>
      </w:r>
      <w:r w:rsidRPr="00511AB3">
        <w:rPr>
          <w:rFonts w:ascii="David" w:hAnsi="David"/>
          <w:rtl/>
        </w:rPr>
        <w:t xml:space="preserve"> </w:t>
      </w:r>
      <w:r w:rsidRPr="00511AB3">
        <w:rPr>
          <w:rFonts w:ascii="David" w:hAnsi="David" w:hint="eastAsia"/>
          <w:rtl/>
        </w:rPr>
        <w:t>הדוח</w:t>
      </w:r>
      <w:r w:rsidRPr="00362821">
        <w:rPr>
          <w:rFonts w:ascii="David" w:hAnsi="David" w:hint="cs"/>
          <w:rtl/>
        </w:rPr>
        <w:t xml:space="preserve">. </w:t>
      </w:r>
    </w:p>
  </w:footnote>
  <w:footnote w:id="44">
    <w:p w:rsidR="00362821" w:rsidP="00167BCA">
      <w:pPr>
        <w:pStyle w:val="FootnoteText"/>
        <w:spacing w:line="269" w:lineRule="auto"/>
        <w:rPr>
          <w:rtl/>
        </w:rPr>
      </w:pPr>
      <w:r>
        <w:rPr>
          <w:rStyle w:val="FootnoteReference"/>
        </w:rPr>
        <w:footnoteRef/>
      </w:r>
      <w:r>
        <w:rPr>
          <w:rtl/>
        </w:rPr>
        <w:t xml:space="preserve"> </w:t>
      </w:r>
      <w:r>
        <w:rPr>
          <w:rtl/>
        </w:rPr>
        <w:tab/>
      </w:r>
      <w:r w:rsidRPr="002C76EB">
        <w:rPr>
          <w:rFonts w:ascii="David" w:hAnsi="David"/>
          <w:rtl/>
        </w:rPr>
        <w:t xml:space="preserve">לדוגמה, ישנו דיון אם לחשב את </w:t>
      </w:r>
      <w:r>
        <w:rPr>
          <w:rFonts w:ascii="David" w:hAnsi="David" w:hint="cs"/>
          <w:rtl/>
        </w:rPr>
        <w:t xml:space="preserve">ה- </w:t>
      </w:r>
      <w:r>
        <w:rPr>
          <w:rFonts w:ascii="David" w:hAnsi="David"/>
        </w:rPr>
        <w:t xml:space="preserve"> </w:t>
      </w:r>
      <w:r>
        <w:rPr>
          <w:rFonts w:ascii="David" w:hAnsi="David" w:hint="cs"/>
        </w:rPr>
        <w:t>LR</w:t>
      </w:r>
      <w:r>
        <w:rPr>
          <w:rFonts w:ascii="David" w:hAnsi="David" w:hint="cs"/>
          <w:rtl/>
        </w:rPr>
        <w:t xml:space="preserve">הפרדת </w:t>
      </w:r>
      <w:r>
        <w:rPr>
          <w:rFonts w:ascii="David" w:hAnsi="David"/>
          <w:rtl/>
        </w:rPr>
        <w:t xml:space="preserve"> </w:t>
      </w:r>
      <w:r w:rsidRPr="002C76EB">
        <w:rPr>
          <w:rFonts w:ascii="David" w:hAnsi="David"/>
          <w:rtl/>
        </w:rPr>
        <w:t>בהתחשב גם בשינויים בעתודות, ניכוי מבטחי משנה, עם הוספת הוצאות (</w:t>
      </w:r>
      <w:r w:rsidRPr="002C76EB">
        <w:rPr>
          <w:rFonts w:ascii="David" w:hAnsi="David"/>
        </w:rPr>
        <w:t>CR</w:t>
      </w:r>
      <w:r>
        <w:rPr>
          <w:rFonts w:ascii="David" w:hAnsi="David"/>
          <w:rtl/>
        </w:rPr>
        <w:t xml:space="preserve"> </w:t>
      </w:r>
      <w:r w:rsidRPr="002C76EB">
        <w:rPr>
          <w:rFonts w:ascii="David" w:hAnsi="David"/>
          <w:rtl/>
        </w:rPr>
        <w:t>-</w:t>
      </w:r>
      <w:r>
        <w:rPr>
          <w:rFonts w:ascii="David" w:hAnsi="David" w:hint="cs"/>
          <w:rtl/>
        </w:rPr>
        <w:t xml:space="preserve"> </w:t>
      </w:r>
      <w:r w:rsidRPr="002C76EB">
        <w:rPr>
          <w:rFonts w:ascii="David" w:hAnsi="David"/>
        </w:rPr>
        <w:t>combined ratio</w:t>
      </w:r>
      <w:r w:rsidRPr="002C76EB">
        <w:rPr>
          <w:rFonts w:ascii="David" w:hAnsi="David"/>
          <w:rtl/>
        </w:rPr>
        <w:t>) - לפי העניין</w:t>
      </w:r>
      <w:r>
        <w:rPr>
          <w:rFonts w:hint="cs"/>
          <w:rtl/>
        </w:rPr>
        <w:t>.</w:t>
      </w:r>
    </w:p>
  </w:footnote>
  <w:footnote w:id="45">
    <w:p w:rsidR="00362821" w:rsidP="00863A1F">
      <w:pPr>
        <w:pStyle w:val="FootnoteText"/>
        <w:spacing w:line="269" w:lineRule="auto"/>
      </w:pPr>
      <w:r>
        <w:rPr>
          <w:rStyle w:val="FootnoteReference"/>
        </w:rPr>
        <w:footnoteRef/>
      </w:r>
      <w:r>
        <w:rPr>
          <w:rtl/>
        </w:rPr>
        <w:t xml:space="preserve"> </w:t>
      </w:r>
      <w:r>
        <w:rPr>
          <w:rtl/>
        </w:rPr>
        <w:tab/>
      </w:r>
      <w:r>
        <w:rPr>
          <w:rFonts w:hint="cs"/>
          <w:rtl/>
        </w:rPr>
        <w:t>סעיף זה כולל גם את ההפרשות כנגד הוצאות עקיפות עתידיות.</w:t>
      </w:r>
    </w:p>
  </w:footnote>
  <w:footnote w:id="46">
    <w:p w:rsidR="00362821" w:rsidP="00863A1F">
      <w:pPr>
        <w:pStyle w:val="FootnoteText"/>
        <w:spacing w:line="269" w:lineRule="auto"/>
        <w:rPr>
          <w:rtl/>
        </w:rPr>
      </w:pPr>
      <w:r w:rsidRPr="009009AC">
        <w:rPr>
          <w:rStyle w:val="FootnoteReference"/>
        </w:rPr>
        <w:footnoteRef/>
      </w:r>
      <w:r w:rsidRPr="009009AC">
        <w:rPr>
          <w:rtl/>
        </w:rPr>
        <w:t xml:space="preserve"> </w:t>
      </w:r>
      <w:r w:rsidRPr="009009AC">
        <w:rPr>
          <w:rtl/>
        </w:rPr>
        <w:tab/>
      </w:r>
      <w:r w:rsidRPr="009009AC">
        <w:rPr>
          <w:rFonts w:ascii="David" w:hAnsi="David" w:hint="cs"/>
          <w:rtl/>
        </w:rPr>
        <w:t>הוצאות אלה נכללות בסעיף "הוצאות עקיפות ליישוב</w:t>
      </w:r>
      <w:r w:rsidRPr="00BF5D41">
        <w:rPr>
          <w:rFonts w:ascii="David" w:hAnsi="David" w:hint="cs"/>
          <w:rtl/>
        </w:rPr>
        <w:t xml:space="preserve"> תביעות וסכסוכים" המחושב במדד ההפסד/החזר של רשות שוק ההון</w:t>
      </w:r>
      <w:r>
        <w:rPr>
          <w:rFonts w:hint="cs"/>
          <w:rtl/>
        </w:rPr>
        <w:t>.</w:t>
      </w:r>
    </w:p>
  </w:footnote>
  <w:footnote w:id="47">
    <w:p w:rsidR="00362821" w:rsidP="00863A1F">
      <w:pPr>
        <w:pStyle w:val="FootnoteText"/>
        <w:spacing w:line="269" w:lineRule="auto"/>
        <w:rPr>
          <w:rFonts w:ascii="David" w:hAnsi="David"/>
          <w:rtl/>
        </w:rPr>
      </w:pPr>
      <w:r>
        <w:rPr>
          <w:rStyle w:val="FootnoteReference"/>
        </w:rPr>
        <w:footnoteRef/>
      </w:r>
      <w:r>
        <w:rPr>
          <w:rtl/>
        </w:rPr>
        <w:t xml:space="preserve"> </w:t>
      </w:r>
      <w:r>
        <w:rPr>
          <w:rFonts w:ascii="David" w:hAnsi="David"/>
          <w:rtl/>
        </w:rPr>
        <w:tab/>
      </w:r>
      <w:r w:rsidRPr="00C74BF6">
        <w:rPr>
          <w:rFonts w:ascii="David" w:hAnsi="David" w:hint="cs"/>
          <w:rtl/>
        </w:rPr>
        <w:t>התחומים שנכללו בחישוב: הוצאות רפואיות, תאונות אישיות, מחלות קשות וביטוח</w:t>
      </w:r>
      <w:r>
        <w:rPr>
          <w:rFonts w:ascii="David" w:hAnsi="David" w:hint="cs"/>
          <w:rtl/>
        </w:rPr>
        <w:t xml:space="preserve"> </w:t>
      </w:r>
      <w:r w:rsidRPr="00C74BF6">
        <w:rPr>
          <w:rFonts w:ascii="David" w:hAnsi="David" w:hint="cs"/>
          <w:rtl/>
        </w:rPr>
        <w:t>שיניים.</w:t>
      </w:r>
    </w:p>
  </w:footnote>
  <w:footnote w:id="48">
    <w:p w:rsidR="00362821" w:rsidP="00863A1F">
      <w:pPr>
        <w:pStyle w:val="FootnoteText"/>
        <w:spacing w:line="269" w:lineRule="auto"/>
      </w:pPr>
      <w:r>
        <w:rPr>
          <w:rStyle w:val="FootnoteReference"/>
        </w:rPr>
        <w:footnoteRef/>
      </w:r>
      <w:r>
        <w:rPr>
          <w:rtl/>
        </w:rPr>
        <w:t xml:space="preserve"> </w:t>
      </w:r>
      <w:r>
        <w:rPr>
          <w:rtl/>
        </w:rPr>
        <w:tab/>
      </w:r>
      <w:r>
        <w:rPr>
          <w:rFonts w:hint="cs"/>
          <w:rtl/>
        </w:rPr>
        <w:t>יצוין שבשנת 2009 היקף ההוצאה על "יישוב סכסוכים" עמד על כ-60 מיליון ש"ח שמשקלם היה כ-4.3% מסך תשלומי התביעות לאותה השנה.</w:t>
      </w:r>
    </w:p>
  </w:footnote>
  <w:footnote w:id="49">
    <w:p w:rsidR="00362821" w:rsidP="00863A1F">
      <w:pPr>
        <w:pStyle w:val="FootnoteText"/>
        <w:spacing w:line="269" w:lineRule="auto"/>
      </w:pPr>
      <w:r>
        <w:rPr>
          <w:rStyle w:val="FootnoteReference"/>
        </w:rPr>
        <w:footnoteRef/>
      </w:r>
      <w:r>
        <w:rPr>
          <w:rtl/>
        </w:rPr>
        <w:t xml:space="preserve"> </w:t>
      </w:r>
      <w:r>
        <w:rPr>
          <w:rtl/>
        </w:rPr>
        <w:tab/>
      </w:r>
      <w:r w:rsidRPr="002B794E">
        <w:rPr>
          <w:rFonts w:hint="cs"/>
          <w:rtl/>
        </w:rPr>
        <w:t xml:space="preserve">להלן </w:t>
      </w:r>
      <w:r>
        <w:rPr>
          <w:rFonts w:hint="cs"/>
          <w:rtl/>
        </w:rPr>
        <w:t>דוגמא</w:t>
      </w:r>
      <w:r w:rsidRPr="002B794E">
        <w:rPr>
          <w:rFonts w:hint="cs"/>
          <w:rtl/>
        </w:rPr>
        <w:t>ות לסיכונים ספציפיים שיכולים לגרום לגידול של ה-</w:t>
      </w:r>
      <w:r w:rsidRPr="002B794E">
        <w:rPr>
          <w:rFonts w:hint="cs"/>
        </w:rPr>
        <w:t>LR</w:t>
      </w:r>
      <w:r w:rsidRPr="002B794E">
        <w:rPr>
          <w:rFonts w:hint="cs"/>
          <w:rtl/>
        </w:rPr>
        <w:t xml:space="preserve"> במהלך חיי הפוליסה מעבר לצפוי או לנחזה באופן סביר: הוראות אשר מחייבות את חברות </w:t>
      </w:r>
      <w:r>
        <w:rPr>
          <w:rFonts w:hint="cs"/>
          <w:rtl/>
        </w:rPr>
        <w:t>ה</w:t>
      </w:r>
      <w:r w:rsidRPr="002B794E">
        <w:rPr>
          <w:rFonts w:hint="cs"/>
          <w:rtl/>
        </w:rPr>
        <w:t>ביטוח להחזיק הון עצמי רב כנגד מגוון סיכונים; קטסטרופות כגון מלחמות, אסונות טבע ועוד;</w:t>
      </w:r>
      <w:r>
        <w:rPr>
          <w:rFonts w:hint="cs"/>
          <w:rtl/>
        </w:rPr>
        <w:t xml:space="preserve"> </w:t>
      </w:r>
      <w:r w:rsidRPr="002B794E">
        <w:rPr>
          <w:rFonts w:hint="cs"/>
          <w:rtl/>
        </w:rPr>
        <w:t>ביטולים אנטי</w:t>
      </w:r>
      <w:r>
        <w:rPr>
          <w:rFonts w:hint="cs"/>
          <w:rtl/>
        </w:rPr>
        <w:t>-</w:t>
      </w:r>
      <w:r w:rsidRPr="002B794E">
        <w:rPr>
          <w:rFonts w:hint="cs"/>
          <w:rtl/>
        </w:rPr>
        <w:t>סלקטיביים של מבוטחים בריאים; הזדקנות האוכלוסייה עקב הגידול בתוחלת החיים; בעיות רפואיות חדשות מתפתחות ועוד.</w:t>
      </w:r>
    </w:p>
  </w:footnote>
  <w:footnote w:id="50">
    <w:p w:rsidR="00362821" w:rsidP="00863A1F">
      <w:pPr>
        <w:pStyle w:val="FootnoteText"/>
        <w:spacing w:line="269" w:lineRule="auto"/>
      </w:pPr>
      <w:r>
        <w:rPr>
          <w:rStyle w:val="FootnoteReference"/>
        </w:rPr>
        <w:footnoteRef/>
      </w:r>
      <w:r>
        <w:rPr>
          <w:rtl/>
        </w:rPr>
        <w:t xml:space="preserve"> </w:t>
      </w:r>
      <w:r>
        <w:rPr>
          <w:rtl/>
        </w:rPr>
        <w:tab/>
      </w:r>
      <w:r w:rsidRPr="00A15E8B">
        <w:rPr>
          <w:rFonts w:hint="cs"/>
          <w:rtl/>
        </w:rPr>
        <w:t>במקביל</w:t>
      </w:r>
      <w:r w:rsidRPr="008E3CE0">
        <w:rPr>
          <w:rFonts w:hint="cs"/>
          <w:rtl/>
        </w:rPr>
        <w:t>, ייתכן שלחברה יהיה מדד הפסד נמוך יחסית על אף שתגמולי התביעה שלה למבוטחים גבוהים באופן יחסי</w:t>
      </w:r>
      <w:r>
        <w:rPr>
          <w:rFonts w:hint="cs"/>
          <w:rtl/>
        </w:rPr>
        <w:t>.</w:t>
      </w:r>
    </w:p>
  </w:footnote>
  <w:footnote w:id="51">
    <w:p w:rsidR="00362821" w:rsidP="00863A1F">
      <w:pPr>
        <w:pStyle w:val="FootnoteText"/>
        <w:spacing w:line="269" w:lineRule="auto"/>
        <w:rPr>
          <w:rtl/>
        </w:rPr>
      </w:pPr>
      <w:r>
        <w:rPr>
          <w:rStyle w:val="FootnoteReference"/>
        </w:rPr>
        <w:footnoteRef/>
      </w:r>
      <w:r>
        <w:rPr>
          <w:rtl/>
        </w:rPr>
        <w:t xml:space="preserve"> </w:t>
      </w:r>
      <w:r>
        <w:rPr>
          <w:rtl/>
        </w:rPr>
        <w:tab/>
      </w:r>
      <w:r>
        <w:rPr>
          <w:rFonts w:hint="cs"/>
          <w:rtl/>
        </w:rPr>
        <w:t>מנתוני הרשות עולה כי בשנת 2018 מספר המבוטחים בפוליסות הפרט עומד על כ-2.4 מיליון ובפוליסות הקבוצתיות על כ-2 מיליון.</w:t>
      </w:r>
    </w:p>
  </w:footnote>
  <w:footnote w:id="52">
    <w:p w:rsidR="00362821" w:rsidRPr="009C255D" w:rsidP="00863A1F">
      <w:pPr>
        <w:pStyle w:val="FootnoteText"/>
        <w:spacing w:line="269" w:lineRule="auto"/>
        <w:rPr>
          <w:rFonts w:ascii="David" w:hAnsi="David"/>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 xml:space="preserve">רשות שוק ההון, מדריך ביטוח הבריאות, פרט מול קבוצתי. </w:t>
      </w:r>
    </w:p>
  </w:footnote>
  <w:footnote w:id="53">
    <w:p w:rsidR="00362821" w:rsidRPr="009C255D" w:rsidP="00863A1F">
      <w:pPr>
        <w:pStyle w:val="FootnoteText"/>
        <w:spacing w:line="269" w:lineRule="auto"/>
        <w:rPr>
          <w:rFonts w:ascii="David" w:hAnsi="David"/>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למעט ביטוח סיעודי, ביטוח למתן שירותים לעובדים זרים, ביטוח שיניים וביטוח תאונות אישיות.</w:t>
      </w:r>
    </w:p>
  </w:footnote>
  <w:footnote w:id="54">
    <w:p w:rsidR="00362821" w:rsidRPr="009C255D" w:rsidP="00863A1F">
      <w:pPr>
        <w:pStyle w:val="FootnoteText"/>
        <w:spacing w:line="269" w:lineRule="auto"/>
        <w:rPr>
          <w:rFonts w:ascii="David" w:hAnsi="David"/>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כאמור, מדד ההחזר שמפרסמת הרשות הוא למעשה מדד ההפסד של חברות הביטוח (</w:t>
      </w:r>
      <w:r w:rsidRPr="009C255D">
        <w:rPr>
          <w:rFonts w:ascii="David" w:hAnsi="David"/>
        </w:rPr>
        <w:t>LR</w:t>
      </w:r>
      <w:r w:rsidRPr="009C255D">
        <w:rPr>
          <w:rFonts w:ascii="David" w:hAnsi="David"/>
          <w:rtl/>
        </w:rPr>
        <w:t>).</w:t>
      </w:r>
    </w:p>
  </w:footnote>
  <w:footnote w:id="55">
    <w:p w:rsidR="00362821" w:rsidRPr="009C255D" w:rsidP="00863A1F">
      <w:pPr>
        <w:pStyle w:val="FootnoteText"/>
        <w:spacing w:line="269" w:lineRule="auto"/>
        <w:rPr>
          <w:rFonts w:ascii="David" w:hAnsi="David"/>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בהתאם לדוח הממונה בשנת 2018, סך הפרמיות בתחום ביטוחי הבריאות בישראל עמדו על 8.2 מיליארד ש"ח בפוליסות הפרט ו-4.8 מיליארד ש"ח בפוליסות הקבוצתיות. הגדרות הרשות מחלקות את התחום לשני ענפים</w:t>
      </w:r>
      <w:r w:rsidRPr="009C255D">
        <w:rPr>
          <w:rFonts w:ascii="David" w:hAnsi="David"/>
        </w:rPr>
        <w:t>:</w:t>
      </w:r>
      <w:r w:rsidRPr="009C255D">
        <w:rPr>
          <w:rFonts w:ascii="David" w:hAnsi="David"/>
          <w:rtl/>
        </w:rPr>
        <w:t xml:space="preserve"> ענף תאונות אישיות (סך פרמיות בשנת 2018 עמד על כ-1.9 מיליארד ש"ח) וענף מחלות ואשפוז (כ-11 מיליארד ש"ח פרמיות בשנת 2018). דוח זה מתמקד בענף מחלות ואשפוז יום, ובפרט בתחום ההוצאות הרפואיות שהוא עיקר ההוצאה בתחום (בשנת 2018 סך הפרמיות בתחום זה עמדו על כ-3.9 מיליארד ש"ח שהם כ-35% מסך הענף).</w:t>
      </w:r>
    </w:p>
  </w:footnote>
  <w:footnote w:id="56">
    <w:p w:rsidR="00362821" w:rsidP="00863A1F">
      <w:pPr>
        <w:pStyle w:val="FootnoteText"/>
        <w:spacing w:line="269" w:lineRule="auto"/>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הגדרות הרשות מחלקות את התחום לשני ענפים</w:t>
      </w:r>
      <w:r w:rsidRPr="009C255D">
        <w:rPr>
          <w:rFonts w:ascii="David" w:hAnsi="David"/>
        </w:rPr>
        <w:t>:</w:t>
      </w:r>
      <w:r w:rsidRPr="009C255D">
        <w:rPr>
          <w:rFonts w:ascii="David" w:hAnsi="David"/>
          <w:rtl/>
        </w:rPr>
        <w:t xml:space="preserve"> ענף תאונות אישיות (סך פרמיות בשנת 2018 עמד על כ-1.9 מיליארד ש"ח) וענף מחלות ואשפוז (כ-11 מיליארד ש"ח פרמיות בשנת 2018). דוח זה מתמקד בענף מחלות ואשפוז יום, ובפרט בתחום ההוצאות הרפואיות שהוא עיקר ההוצאה בתחום (בשנת 2018 סך הפרמיות בתחום זה עמדו על כ-3.9 מיליארד ש"ח שהם כ-35% מסך הענף).לוח ג-8, דוח הממונה לשנת 2018, סעיף מחלות ואשפוז.</w:t>
      </w:r>
    </w:p>
  </w:footnote>
  <w:footnote w:id="57">
    <w:p w:rsidR="00362821" w:rsidRPr="00CC1700" w:rsidP="00863A1F">
      <w:pPr>
        <w:pStyle w:val="FootnoteText"/>
        <w:spacing w:line="269" w:lineRule="auto"/>
        <w:rPr>
          <w:rFonts w:ascii="David" w:hAnsi="David"/>
          <w:rtl/>
        </w:rPr>
      </w:pPr>
      <w:r w:rsidRPr="00CC1700">
        <w:rPr>
          <w:rStyle w:val="FootnoteReference"/>
          <w:rFonts w:ascii="David" w:hAnsi="David"/>
        </w:rPr>
        <w:footnoteRef/>
      </w:r>
      <w:r w:rsidRPr="00CC1700">
        <w:rPr>
          <w:rFonts w:ascii="David" w:hAnsi="David"/>
          <w:rtl/>
        </w:rPr>
        <w:t xml:space="preserve"> </w:t>
      </w:r>
      <w:r w:rsidRPr="00CC1700">
        <w:rPr>
          <w:rFonts w:ascii="David" w:hAnsi="David"/>
          <w:rtl/>
        </w:rPr>
        <w:tab/>
        <w:t>נתונים</w:t>
      </w:r>
      <w:r>
        <w:rPr>
          <w:rFonts w:ascii="David" w:hAnsi="David" w:hint="cs"/>
          <w:rtl/>
        </w:rPr>
        <w:t xml:space="preserve"> - </w:t>
      </w:r>
      <w:r w:rsidRPr="00CC1700">
        <w:rPr>
          <w:rFonts w:ascii="David" w:hAnsi="David"/>
          <w:rtl/>
        </w:rPr>
        <w:t>טופס 15 א', תחום הוצאות רפואיות. הכנסות - פרמיות ברוטו, הוצאות - תשלומים כנגד תביעות</w:t>
      </w:r>
      <w:r>
        <w:rPr>
          <w:rFonts w:ascii="David" w:hAnsi="David" w:hint="cs"/>
          <w:rtl/>
        </w:rPr>
        <w:t xml:space="preserve"> בתוספת הפרשות כנגד תביעות תלויות והוצאות עקיפות (הוצאות ליישוב סכסוכים). </w:t>
      </w:r>
    </w:p>
  </w:footnote>
  <w:footnote w:id="58">
    <w:p w:rsidR="00362821" w:rsidRPr="009C255D" w:rsidP="00863A1F">
      <w:pPr>
        <w:pStyle w:val="FootnoteText"/>
        <w:spacing w:line="269" w:lineRule="auto"/>
        <w:rPr>
          <w:rFonts w:ascii="David" w:hAnsi="David"/>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יש לציין, כי בממוצע השנים 2009 - 2018, הפרמיה הממוצעת ששילם מבוטח פרט עמדה על 938 ש"ח בשנה לעומת 540 ששילם מבוטח קבוצתי (פער של 398 ש"ח כ-174%), וסך התשלומים כנגד תביעות בפוליסות הפרט עמדו בממוצע על 372 ש"ח בשנה לעומת 475 ש"ח בפוליסה הקבוצתית (פער של 103 ש"ח כ-78%). לפיכך סכום הפערים עומד על 501 ש"ח בשנה לטובת המבוטח הממוצע בפוליסה הקבוצתית.</w:t>
      </w:r>
    </w:p>
  </w:footnote>
  <w:footnote w:id="59">
    <w:p w:rsidR="00362821" w:rsidRPr="009C255D" w:rsidP="00863A1F">
      <w:pPr>
        <w:pStyle w:val="FootnoteText"/>
        <w:spacing w:line="269" w:lineRule="auto"/>
        <w:rPr>
          <w:rFonts w:ascii="David" w:hAnsi="David"/>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יש לציין כי כפי שיורחב בהמשך הדוח, לפוליסות הקבוצתיות ולפוליסות הפרט יש מאפיינים שונים ואלה משפיעים באופן אשר משפיע על שיעור ההחזר בכל קבוצה. כמו כן, יש לשער כי אם וכלל המבוטחים היו עוברים לפוליסות הקבוצתיות ושיעור ההחזר היה משתנה היו משתנים מאפיינים נוספים, ובהם היקף הפרמיות ששולמו. החישוב המוצג אינו מתייחס להבדלים ולשינויים אלה והוא נועד להמחשה בלבד.</w:t>
      </w:r>
    </w:p>
  </w:footnote>
  <w:footnote w:id="60">
    <w:p w:rsidR="00362821" w:rsidRPr="009C255D" w:rsidP="00863A1F">
      <w:pPr>
        <w:pStyle w:val="FootnoteText"/>
        <w:spacing w:line="269" w:lineRule="auto"/>
        <w:rPr>
          <w:rFonts w:ascii="David" w:hAnsi="David"/>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הפרמיה בביטוח הקבוצתי נקבעת בדרך כלל לתקופה של עד חמש שנים ומשתנה בהתאם לשינויים בסיכון, ואילו פרמיות בביטוח הפרט הן מובטחות (בפוליסות מלפני פברואר 2016) או שהן קשורות בפוליסות שבהן נדרש אישור הרשות לשינוי בפרמיה, דבר המחייב שמירת עתודות ויצירת עלויות הון.</w:t>
      </w:r>
    </w:p>
  </w:footnote>
  <w:footnote w:id="61">
    <w:p w:rsidR="00362821" w:rsidRPr="009C255D" w:rsidP="00863A1F">
      <w:pPr>
        <w:pStyle w:val="FootnoteText"/>
        <w:spacing w:line="269" w:lineRule="auto"/>
        <w:rPr>
          <w:rFonts w:ascii="David" w:hAnsi="David"/>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 xml:space="preserve">בעל פוליסה מקיים הליך מכרזי ונעזר לא אחת ביועץ, הבודק ולעיתים מנסח את הפוליסה המוצעת במסגרת הליך מכרזי לחברות. לרוב, הליך זה, יוצר תנאים משופרים בכיסויים הקבוצתיים. יתר על כן, בביטוח קבוצתי בדרך כלל המבוטחים שייכים לארגון אחד ומכירים חלק מהמבוטחים האחרים. מבוטח המממש זכות בפוליסה מיידע מבוטחים אחרים, דבר הביא את חלקם לתבוע גם כן ומעלה את שיעורי המימוש. </w:t>
      </w:r>
    </w:p>
  </w:footnote>
  <w:footnote w:id="62">
    <w:p w:rsidR="00362821" w:rsidRPr="009C255D" w:rsidP="00863A1F">
      <w:pPr>
        <w:pStyle w:val="FootnoteText"/>
        <w:spacing w:line="269" w:lineRule="auto"/>
        <w:rPr>
          <w:rFonts w:ascii="David" w:hAnsi="David"/>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הסקירה פורסמה בנובמבר 2017. להרחבה ראו בפרק הרפורמה 2016.</w:t>
      </w:r>
    </w:p>
  </w:footnote>
  <w:footnote w:id="63">
    <w:p w:rsidR="00362821" w:rsidRPr="009C255D" w:rsidP="00863A1F">
      <w:pPr>
        <w:pStyle w:val="FootnoteText"/>
        <w:spacing w:line="269" w:lineRule="auto"/>
        <w:rPr>
          <w:rFonts w:ascii="David" w:hAnsi="David"/>
          <w:sz w:val="24"/>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r>
      <w:r w:rsidRPr="009C255D">
        <w:rPr>
          <w:rFonts w:ascii="David" w:hAnsi="David"/>
          <w:sz w:val="24"/>
          <w:rtl/>
        </w:rPr>
        <w:t>ממסמכי הרשות עולה כי מטרת הרפורמה הייתה להגביר את התחרות בשוק ביטוחי הבריאות ולהעצים את כוחו של המבוטח אל מול חברות הביטוח להרחבה ראו בהמשך הדוח בפרק הרפורמה 2016.</w:t>
      </w:r>
    </w:p>
  </w:footnote>
  <w:footnote w:id="64">
    <w:p w:rsidR="00362821" w:rsidP="00863A1F">
      <w:pPr>
        <w:pStyle w:val="FootnoteText"/>
        <w:spacing w:line="269" w:lineRule="auto"/>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יש לציין, כי בהכללה, ההוצאות וההכנסות הללו מתקזזות ולכן השפעתן על התוצאות אינה גדולה.</w:t>
      </w:r>
    </w:p>
  </w:footnote>
  <w:footnote w:id="65">
    <w:p w:rsidR="00362821" w:rsidRPr="009C255D" w:rsidP="00863A1F">
      <w:pPr>
        <w:pStyle w:val="FootnoteText"/>
        <w:spacing w:line="269" w:lineRule="auto"/>
        <w:rPr>
          <w:rFonts w:ascii="David" w:hAnsi="David"/>
        </w:rPr>
      </w:pPr>
      <w:r w:rsidRPr="009C255D">
        <w:rPr>
          <w:rStyle w:val="FootnoteReference"/>
          <w:rFonts w:ascii="David" w:hAnsi="David"/>
        </w:rPr>
        <w:footnoteRef/>
      </w:r>
      <w:r w:rsidRPr="009C255D">
        <w:rPr>
          <w:rStyle w:val="FootnoteReference"/>
          <w:rFonts w:ascii="David" w:hAnsi="David"/>
          <w:rtl/>
        </w:rPr>
        <w:t xml:space="preserve"> </w:t>
      </w:r>
      <w:r w:rsidRPr="009C255D">
        <w:rPr>
          <w:rFonts w:ascii="David" w:hAnsi="David"/>
          <w:sz w:val="24"/>
          <w:rtl/>
        </w:rPr>
        <w:tab/>
        <w:t>בהתאם לממצאים שהוצגו בפרק "השימוש במדד ההפסד כמדד ההחזר", בחישוב שעשה משרד מבקר המדינה לא נכללו ההוצאות ליישוב סכסוכים בתשלומים הישירים ששולמו למבוטחים. בנוסף, ההפרשה כנגד תביעות תלויות הופרדה אף היא מהתשלום הישיר למבוטח ונכללה בהפרשה לעתודות כנגד סיכונים.</w:t>
      </w:r>
      <w:r w:rsidRPr="009C255D">
        <w:rPr>
          <w:rFonts w:ascii="David" w:hAnsi="David"/>
          <w:rtl/>
        </w:rPr>
        <w:t xml:space="preserve"> </w:t>
      </w:r>
    </w:p>
  </w:footnote>
  <w:footnote w:id="66">
    <w:p w:rsidR="00362821" w:rsidRPr="009C255D" w:rsidP="00863A1F">
      <w:pPr>
        <w:pStyle w:val="FootnoteText"/>
        <w:spacing w:line="269" w:lineRule="auto"/>
        <w:rPr>
          <w:rFonts w:ascii="David" w:hAnsi="David"/>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להרחבה בנושא הפערים שבעמלות הסוכנים ראו בהמשך הדוח בפרק "הסדרת פעילותם של סוכני הביטוח בתחום ביטוחי הבריאות המסחריים".</w:t>
      </w:r>
    </w:p>
  </w:footnote>
  <w:footnote w:id="67">
    <w:p w:rsidR="00362821" w:rsidRPr="009C255D" w:rsidP="00863A1F">
      <w:pPr>
        <w:pStyle w:val="FootnoteText"/>
        <w:spacing w:line="269" w:lineRule="auto"/>
        <w:rPr>
          <w:rFonts w:ascii="David" w:hAnsi="David"/>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סוכנים ושיווק והוצאות ליישוב סכסוכים (פער של 22 נקודות האחוז) והפרשה לעתודות (פער של 6 נקודות האחוז), סה"כ פער מצטבר של 28 נקודות האחוז מ-45 נקודות האחוז).</w:t>
      </w:r>
    </w:p>
  </w:footnote>
  <w:footnote w:id="68">
    <w:p w:rsidR="00362821" w:rsidRPr="00FF3943" w:rsidP="00863A1F">
      <w:pPr>
        <w:pStyle w:val="FootnoteText"/>
        <w:spacing w:line="269" w:lineRule="auto"/>
        <w:rPr>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רשות שוק ההון, "פוליסה שנתית מתחדשת ופיקוח על שיעור הנזקים"(ינואר 2013). מהבדיקה עלה כי מחצית הפער (23% מתוך מ-42%) מוסברת בהבדלים בהוצאות התפעול ומחציתו (19% מתוך 42%) בהבדלים בשיעורי הרווח. יש לציין כי הרשות עשתה שימוש במתודולוגיה הנהוגה על ידה כמפורט בפרק "השימוש במדד ההפסד כמדד ההחזר".</w:t>
      </w:r>
    </w:p>
  </w:footnote>
  <w:footnote w:id="69">
    <w:p w:rsidR="00362821" w:rsidRPr="009C255D" w:rsidP="00863A1F">
      <w:pPr>
        <w:pStyle w:val="FootnoteText"/>
        <w:spacing w:line="269" w:lineRule="auto"/>
        <w:rPr>
          <w:rFonts w:ascii="David" w:hAnsi="David"/>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פער זה קיים בין הפוליסות השונות אף בבחינת שיעור ההחזר (</w:t>
      </w:r>
      <w:r w:rsidRPr="009C255D">
        <w:rPr>
          <w:rFonts w:ascii="David" w:hAnsi="David"/>
        </w:rPr>
        <w:t>LR</w:t>
      </w:r>
      <w:r w:rsidRPr="009C255D">
        <w:rPr>
          <w:rFonts w:ascii="David" w:hAnsi="David"/>
          <w:rtl/>
        </w:rPr>
        <w:t xml:space="preserve">),לפי אופן החישוב של הרשות. </w:t>
      </w:r>
    </w:p>
  </w:footnote>
  <w:footnote w:id="70">
    <w:p w:rsidR="00362821" w:rsidP="00863A1F">
      <w:pPr>
        <w:pStyle w:val="FootnoteText"/>
        <w:spacing w:line="269" w:lineRule="auto"/>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תקופה קצרה זו בביטוח הקבוצתי מאפשרת לחברת הביטוח לערוך שינויים והתאמות באופן החוסך את ההפרשה לסיכונים עתידיים.</w:t>
      </w:r>
    </w:p>
  </w:footnote>
  <w:footnote w:id="71">
    <w:p w:rsidR="00362821" w:rsidRPr="009C255D" w:rsidP="00863A1F">
      <w:pPr>
        <w:pStyle w:val="FootnoteText"/>
        <w:spacing w:line="269" w:lineRule="auto"/>
        <w:rPr>
          <w:rFonts w:ascii="David" w:hAnsi="David"/>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יש לציין כי סמוך לכניסתן לתוקף של הוראות הרפורמה התרחשו כמה מהלכים אחרים שהשפיעו על שוק ביטוחי הבריאות, ובין היתר חוק התכנית הכלכלית (תיקוני חקיקה לישום המדיניות הכלכלית לשנות התקציב 2015 ו-2016), התשע"ו ו-2015"), הידוע בשם חוק ההסדרים לעניין "הסדר החזר", ביטול הפיצוי בגין ביצוע ניתוח ללא מעורבות המבטח (2014), ו"הר הביטוח" (2017).</w:t>
      </w:r>
    </w:p>
  </w:footnote>
  <w:footnote w:id="72">
    <w:p w:rsidR="00362821" w:rsidRPr="009C255D" w:rsidP="00863A1F">
      <w:pPr>
        <w:pStyle w:val="FootnoteText"/>
        <w:spacing w:line="269" w:lineRule="auto"/>
        <w:rPr>
          <w:rFonts w:ascii="David" w:hAnsi="David"/>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ראו רשות שוק ההון, סקירת הרפורמה בביטוח בריאות, 2017.</w:t>
      </w:r>
    </w:p>
  </w:footnote>
  <w:footnote w:id="73">
    <w:p w:rsidR="00362821" w:rsidRPr="009C255D" w:rsidP="00863A1F">
      <w:pPr>
        <w:pStyle w:val="FootnoteText"/>
        <w:spacing w:line="269" w:lineRule="auto"/>
        <w:rPr>
          <w:rFonts w:ascii="David" w:hAnsi="David"/>
          <w:rtl/>
        </w:rPr>
      </w:pPr>
      <w:r w:rsidRPr="009C255D">
        <w:rPr>
          <w:rStyle w:val="FootnoteReference"/>
          <w:rFonts w:ascii="David" w:hAnsi="David"/>
        </w:rPr>
        <w:footnoteRef/>
      </w:r>
      <w:r w:rsidRPr="009C255D">
        <w:rPr>
          <w:rFonts w:ascii="David" w:hAnsi="David"/>
          <w:rtl/>
        </w:rPr>
        <w:t xml:space="preserve"> </w:t>
      </w:r>
      <w:r w:rsidRPr="009C255D">
        <w:rPr>
          <w:rFonts w:ascii="David" w:hAnsi="David"/>
          <w:sz w:val="24"/>
          <w:szCs w:val="24"/>
          <w:rtl/>
        </w:rPr>
        <w:tab/>
      </w:r>
      <w:r w:rsidRPr="009C255D">
        <w:rPr>
          <w:rFonts w:ascii="David" w:hAnsi="David"/>
          <w:rtl/>
        </w:rPr>
        <w:t>יש לציין שהכשלים בתחום ביטוחי הבריאות בישראל עלו בדוחות ועדות מקצועיות רבות, בהן - דוח המכון</w:t>
      </w:r>
      <w:r w:rsidRPr="009C255D">
        <w:rPr>
          <w:rFonts w:ascii="David" w:hAnsi="David"/>
        </w:rPr>
        <w:t xml:space="preserve"> </w:t>
      </w:r>
      <w:r w:rsidRPr="009C255D">
        <w:rPr>
          <w:rFonts w:ascii="David" w:hAnsi="David"/>
          <w:rtl/>
        </w:rPr>
        <w:t>הלאומי לחקר שרותי הבריאות ומדיניות הבריאות (כנס ים המלח 2012), וכן דוח הוועדה המייעצת לחיזוק מערכת הבריאות הציבורית (ועדת גרמן 2014).</w:t>
      </w:r>
    </w:p>
  </w:footnote>
  <w:footnote w:id="74">
    <w:p w:rsidR="00362821" w:rsidRPr="009C255D" w:rsidP="00863A1F">
      <w:pPr>
        <w:pStyle w:val="FootnoteText"/>
        <w:spacing w:line="269" w:lineRule="auto"/>
        <w:rPr>
          <w:rFonts w:ascii="David" w:hAnsi="David"/>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בין חסמי המעבר ציינה הרשות את החיתום הרפואי שנעשה במעבר בין חברות, המבנה הקשיח של הפוליסות ("פוליסות מובטחות"), והחשש של מבוטחים מפני מועד מימוש הפוליסה.</w:t>
      </w:r>
    </w:p>
  </w:footnote>
  <w:footnote w:id="75">
    <w:p w:rsidR="00362821" w:rsidRPr="009C255D" w:rsidP="00863A1F">
      <w:pPr>
        <w:pStyle w:val="FootnoteText"/>
        <w:spacing w:line="269" w:lineRule="auto"/>
        <w:rPr>
          <w:rFonts w:ascii="David" w:hAnsi="David"/>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התחייבות</w:t>
      </w:r>
      <w:r w:rsidRPr="009C255D">
        <w:rPr>
          <w:rFonts w:ascii="David" w:hAnsi="David"/>
        </w:rPr>
        <w:t xml:space="preserve"> </w:t>
      </w:r>
      <w:r w:rsidRPr="009C255D">
        <w:rPr>
          <w:rFonts w:ascii="David" w:hAnsi="David"/>
          <w:rtl/>
        </w:rPr>
        <w:t>חברת</w:t>
      </w:r>
      <w:r w:rsidRPr="009C255D">
        <w:rPr>
          <w:rFonts w:ascii="David" w:hAnsi="David"/>
        </w:rPr>
        <w:t xml:space="preserve"> </w:t>
      </w:r>
      <w:r w:rsidRPr="009C255D">
        <w:rPr>
          <w:rFonts w:ascii="David" w:hAnsi="David"/>
          <w:rtl/>
        </w:rPr>
        <w:t>הביטוח</w:t>
      </w:r>
      <w:r w:rsidRPr="009C255D">
        <w:rPr>
          <w:rFonts w:ascii="David" w:hAnsi="David"/>
        </w:rPr>
        <w:t xml:space="preserve"> </w:t>
      </w:r>
      <w:r w:rsidRPr="009C255D">
        <w:rPr>
          <w:rFonts w:ascii="David" w:hAnsi="David"/>
          <w:rtl/>
        </w:rPr>
        <w:t>נעשתה</w:t>
      </w:r>
      <w:r w:rsidRPr="009C255D">
        <w:rPr>
          <w:rFonts w:ascii="David" w:hAnsi="David"/>
        </w:rPr>
        <w:t xml:space="preserve"> </w:t>
      </w:r>
      <w:r w:rsidRPr="009C255D">
        <w:rPr>
          <w:rFonts w:ascii="David" w:hAnsi="David"/>
          <w:rtl/>
        </w:rPr>
        <w:t>על</w:t>
      </w:r>
      <w:r w:rsidRPr="009C255D">
        <w:rPr>
          <w:rFonts w:ascii="David" w:hAnsi="David"/>
        </w:rPr>
        <w:t xml:space="preserve"> </w:t>
      </w:r>
      <w:r w:rsidRPr="009C255D">
        <w:rPr>
          <w:rFonts w:ascii="David" w:hAnsi="David"/>
          <w:rtl/>
        </w:rPr>
        <w:t>סמך</w:t>
      </w:r>
      <w:r w:rsidRPr="009C255D">
        <w:rPr>
          <w:rFonts w:ascii="David" w:hAnsi="David"/>
        </w:rPr>
        <w:t xml:space="preserve"> </w:t>
      </w:r>
      <w:r w:rsidRPr="009C255D">
        <w:rPr>
          <w:rFonts w:ascii="David" w:hAnsi="David"/>
          <w:rtl/>
        </w:rPr>
        <w:t>תמחור</w:t>
      </w:r>
      <w:r w:rsidRPr="009C255D">
        <w:rPr>
          <w:rFonts w:ascii="David" w:hAnsi="David"/>
        </w:rPr>
        <w:t xml:space="preserve"> </w:t>
      </w:r>
      <w:r w:rsidRPr="009C255D">
        <w:rPr>
          <w:rFonts w:ascii="David" w:hAnsi="David"/>
          <w:rtl/>
        </w:rPr>
        <w:t>לא מדויק וכללה</w:t>
      </w:r>
      <w:r w:rsidRPr="009C255D">
        <w:rPr>
          <w:rFonts w:ascii="David" w:hAnsi="David"/>
        </w:rPr>
        <w:t xml:space="preserve"> </w:t>
      </w:r>
      <w:r w:rsidRPr="009C255D">
        <w:rPr>
          <w:rFonts w:ascii="David" w:hAnsi="David"/>
          <w:rtl/>
        </w:rPr>
        <w:t>רכיב</w:t>
      </w:r>
      <w:r w:rsidRPr="009C255D">
        <w:rPr>
          <w:rFonts w:ascii="David" w:hAnsi="David"/>
        </w:rPr>
        <w:t xml:space="preserve"> </w:t>
      </w:r>
      <w:r w:rsidRPr="009C255D">
        <w:rPr>
          <w:rFonts w:ascii="David" w:hAnsi="David"/>
          <w:rtl/>
        </w:rPr>
        <w:t>בעל משקל של</w:t>
      </w:r>
      <w:r w:rsidRPr="009C255D">
        <w:rPr>
          <w:rFonts w:ascii="David" w:hAnsi="David"/>
        </w:rPr>
        <w:t xml:space="preserve"> </w:t>
      </w:r>
      <w:r w:rsidRPr="009C255D">
        <w:rPr>
          <w:rFonts w:ascii="David" w:hAnsi="David"/>
          <w:rtl/>
        </w:rPr>
        <w:t>חוסר</w:t>
      </w:r>
      <w:r w:rsidRPr="009C255D">
        <w:rPr>
          <w:rFonts w:ascii="David" w:hAnsi="David"/>
        </w:rPr>
        <w:t xml:space="preserve"> </w:t>
      </w:r>
      <w:r w:rsidRPr="009C255D">
        <w:rPr>
          <w:rFonts w:ascii="David" w:hAnsi="David"/>
          <w:rtl/>
        </w:rPr>
        <w:t>ודאות.</w:t>
      </w:r>
    </w:p>
  </w:footnote>
  <w:footnote w:id="76">
    <w:p w:rsidR="00362821" w:rsidRPr="009A2D07" w:rsidP="00863A1F">
      <w:pPr>
        <w:pStyle w:val="FootnoteText"/>
        <w:spacing w:line="269" w:lineRule="auto"/>
        <w:rPr>
          <w:rStyle w:val="Strong"/>
          <w:rFonts w:eastAsiaTheme="majorEastAsia"/>
          <w:b w:val="0"/>
          <w:bCs w:val="0"/>
          <w:color w:val="000000" w:themeColor="text1"/>
          <w:sz w:val="18"/>
          <w:szCs w:val="18"/>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r>
      <w:r w:rsidRPr="009C255D">
        <w:rPr>
          <w:rStyle w:val="Strong"/>
          <w:rFonts w:ascii="David" w:hAnsi="David" w:eastAsiaTheme="majorEastAsia"/>
          <w:b w:val="0"/>
          <w:bCs w:val="0"/>
          <w:color w:val="000000" w:themeColor="text1"/>
          <w:szCs w:val="20"/>
          <w:rtl/>
        </w:rPr>
        <w:t>למעט ביטוח סיעודי, ביטוח למתן שירותים לעובדים זרים, ביטוח שיניים וביטוח תאונות אישיות.</w:t>
      </w:r>
    </w:p>
  </w:footnote>
  <w:footnote w:id="77">
    <w:p w:rsidR="00362821" w:rsidRPr="009C255D" w:rsidP="00863A1F">
      <w:pPr>
        <w:pStyle w:val="FootnoteText"/>
        <w:spacing w:line="269" w:lineRule="auto"/>
        <w:rPr>
          <w:rFonts w:ascii="David" w:hAnsi="David"/>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r>
      <w:r w:rsidRPr="009C255D">
        <w:rPr>
          <w:rStyle w:val="Strong"/>
          <w:rFonts w:ascii="David" w:hAnsi="David" w:eastAsiaTheme="majorEastAsia"/>
          <w:b w:val="0"/>
          <w:bCs w:val="0"/>
          <w:color w:val="000000" w:themeColor="text1"/>
          <w:szCs w:val="20"/>
          <w:rtl/>
        </w:rPr>
        <w:t>להרחבה בסוגיית מדדי השירות ראו בפרק: "השירות לציבור בביטוחי בריאות ופרסום מדדי שירות".</w:t>
      </w:r>
    </w:p>
  </w:footnote>
  <w:footnote w:id="78">
    <w:p w:rsidR="00362821" w:rsidRPr="00AF36AA" w:rsidP="00863A1F">
      <w:pPr>
        <w:pStyle w:val="FootnoteText"/>
        <w:spacing w:line="269" w:lineRule="auto"/>
        <w:rPr>
          <w:rFonts w:ascii="David" w:eastAsia="Times New Roman" w:hAnsi="David"/>
          <w:color w:val="000000" w:themeColor="text1"/>
          <w:sz w:val="18"/>
          <w:szCs w:val="18"/>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r>
      <w:r w:rsidRPr="009C255D">
        <w:rPr>
          <w:rFonts w:ascii="David" w:eastAsia="Times New Roman" w:hAnsi="David"/>
          <w:color w:val="000000" w:themeColor="text1"/>
          <w:rtl/>
        </w:rPr>
        <w:t>מחירי הספר הם המחירים הרשמיים לפני הנחות המקובלות בתחום.</w:t>
      </w:r>
    </w:p>
  </w:footnote>
  <w:footnote w:id="79">
    <w:p w:rsidR="00362821" w:rsidRPr="009C255D" w:rsidP="00863A1F">
      <w:pPr>
        <w:pStyle w:val="FootnoteText"/>
        <w:spacing w:line="269" w:lineRule="auto"/>
        <w:rPr>
          <w:rFonts w:ascii="David" w:eastAsia="Times New Roman" w:hAnsi="David"/>
          <w:color w:val="000000" w:themeColor="text1"/>
          <w:sz w:val="18"/>
          <w:szCs w:val="18"/>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יובהר כי על-מנת למקד את הבחינה בליבת פעילות הביטוח, בחן משרד מבקר המדינה את ההוצאות וההכנסות הישירות בלבד. לפירוט המתודולוגיה והגדרות מפורטות ראו בפרק "הפערים בשיעורי ההחזר (</w:t>
      </w:r>
      <w:r w:rsidRPr="009C255D">
        <w:rPr>
          <w:rFonts w:ascii="David" w:hAnsi="David"/>
        </w:rPr>
        <w:t>LR</w:t>
      </w:r>
      <w:r w:rsidRPr="009C255D">
        <w:rPr>
          <w:rFonts w:ascii="David" w:hAnsi="David"/>
          <w:rtl/>
        </w:rPr>
        <w:t xml:space="preserve">)". </w:t>
      </w:r>
    </w:p>
  </w:footnote>
  <w:footnote w:id="80">
    <w:p w:rsidR="00362821" w:rsidRPr="009C255D" w:rsidP="00863A1F">
      <w:pPr>
        <w:pStyle w:val="FootnoteText"/>
        <w:spacing w:line="269" w:lineRule="auto"/>
        <w:rPr>
          <w:rFonts w:ascii="David" w:hAnsi="David"/>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הביטוי הכספי של הפחתה זו עומד על כ-200 מיליון ש"ח השווים לכ-8% מסך הפרמיות ששולמו בשנת 2018.</w:t>
      </w:r>
    </w:p>
  </w:footnote>
  <w:footnote w:id="81">
    <w:p w:rsidR="00362821" w:rsidRPr="009C255D" w:rsidP="00863A1F">
      <w:pPr>
        <w:pStyle w:val="FootnoteText"/>
        <w:spacing w:line="269" w:lineRule="auto"/>
        <w:rPr>
          <w:rFonts w:ascii="David" w:hAnsi="David"/>
          <w:sz w:val="18"/>
          <w:szCs w:val="18"/>
          <w:rtl/>
        </w:rPr>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יש לציין, שעוד עולה מהלוח כי השינויים המינוריים ביתר ההוצאות הרלוונטיות (הוצאות ליישוב סכסוכים ועמלות לסוכנים ושיווק) התקזזו זה מול זה.</w:t>
      </w:r>
    </w:p>
  </w:footnote>
  <w:footnote w:id="82">
    <w:p w:rsidR="00362821" w:rsidP="00863A1F">
      <w:pPr>
        <w:pStyle w:val="FootnoteText"/>
        <w:spacing w:line="269" w:lineRule="auto"/>
      </w:pPr>
      <w:r w:rsidRPr="009C255D">
        <w:rPr>
          <w:rStyle w:val="FootnoteReference"/>
          <w:rFonts w:ascii="David" w:hAnsi="David"/>
        </w:rPr>
        <w:footnoteRef/>
      </w:r>
      <w:r w:rsidRPr="009C255D">
        <w:rPr>
          <w:rFonts w:ascii="David" w:hAnsi="David"/>
          <w:rtl/>
        </w:rPr>
        <w:t xml:space="preserve"> </w:t>
      </w:r>
      <w:r w:rsidRPr="009C255D">
        <w:rPr>
          <w:rFonts w:ascii="David" w:hAnsi="David"/>
          <w:rtl/>
        </w:rPr>
        <w:tab/>
        <w:t>מונח המתייחס לקשר בין הנקודה בזמן שבה בוצע חיתום רפואי ובין הסיכויים שמבוטח מסוים יתבע את חברת הביטוח. השפעה זו חזקה בחמש השנים הראשונות ומשפיעה כך על התביעות ומכאן גם על העתודות והסכומים העודפים של החברה.</w:t>
      </w:r>
    </w:p>
  </w:footnote>
  <w:footnote w:id="83">
    <w:p w:rsidR="00362821" w:rsidP="00FA3E7D">
      <w:pPr>
        <w:pStyle w:val="FootnoteText"/>
        <w:spacing w:line="269" w:lineRule="auto"/>
      </w:pPr>
      <w:r>
        <w:rPr>
          <w:rStyle w:val="FootnoteReference"/>
        </w:rPr>
        <w:footnoteRef/>
      </w:r>
      <w:r>
        <w:rPr>
          <w:rtl/>
        </w:rPr>
        <w:t xml:space="preserve"> </w:t>
      </w:r>
      <w:r>
        <w:rPr>
          <w:rtl/>
        </w:rPr>
        <w:tab/>
      </w:r>
      <w:r>
        <w:rPr>
          <w:rFonts w:hint="cs"/>
          <w:rtl/>
        </w:rPr>
        <w:t>פניות שאלה - שאלות כלליות בענייני ביטוח, גמל ופנסיה העוסקות בסוגיות כגון זכויות מבוטחים ועמיתים, קיומן של הוראות דין וחוזרים, הצעות לביצוע הסדרות וכיוצא באלה.</w:t>
      </w:r>
    </w:p>
  </w:footnote>
  <w:footnote w:id="84">
    <w:p w:rsidR="00362821" w:rsidP="00FA3E7D">
      <w:pPr>
        <w:pStyle w:val="FootnoteText"/>
        <w:spacing w:line="269" w:lineRule="auto"/>
      </w:pPr>
      <w:r>
        <w:rPr>
          <w:rStyle w:val="FootnoteReference"/>
        </w:rPr>
        <w:footnoteRef/>
      </w:r>
      <w:r>
        <w:rPr>
          <w:rtl/>
        </w:rPr>
        <w:t xml:space="preserve"> </w:t>
      </w:r>
      <w:r>
        <w:rPr>
          <w:rtl/>
        </w:rPr>
        <w:tab/>
      </w:r>
      <w:r>
        <w:rPr>
          <w:rFonts w:hint="cs"/>
          <w:rtl/>
        </w:rPr>
        <w:t>פניות העתק - העתקים של תלונות לגופים מפוקחים שנשלחים על ידי המתלונן כהעתק לרשות שוק ההון. אלו אינן מטופלות אלא אם קיימת בקשה מפורשת לכך מצד הפונה.</w:t>
      </w:r>
    </w:p>
  </w:footnote>
  <w:footnote w:id="85">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הפניות סווגו לנושאים האלה: בריאות, השתלות, מחלות קשות, ניתוחים, נכות ותאונות אישיות, שיניים, תאונות אישיות, תלמידים; ותלונות שלא סווגו לנושא מסוים.</w:t>
      </w:r>
    </w:p>
  </w:footnote>
  <w:footnote w:id="86">
    <w:p w:rsidR="00362821" w:rsidP="00FA3E7D">
      <w:pPr>
        <w:pStyle w:val="FootnoteText"/>
        <w:spacing w:line="269" w:lineRule="auto"/>
      </w:pPr>
      <w:r>
        <w:rPr>
          <w:rStyle w:val="FootnoteReference"/>
        </w:rPr>
        <w:footnoteRef/>
      </w:r>
      <w:r>
        <w:rPr>
          <w:rtl/>
        </w:rPr>
        <w:t xml:space="preserve"> </w:t>
      </w:r>
      <w:r>
        <w:rPr>
          <w:rtl/>
        </w:rPr>
        <w:tab/>
      </w:r>
      <w:r>
        <w:rPr>
          <w:rFonts w:hint="cs"/>
          <w:rtl/>
        </w:rPr>
        <w:t>הוועדה הציבורית לבחינת עתיד ענף הביטוח, בראשותו של מר גדעון סער, הוקמה ביוזמת לשכת סוכני הביטוח, ופעלה החל משנת 2016. דוח הוועדה הוגש בשנת 2017. הוועדה התמקדה בעבודתה בכמה נושאים, ובהם הטיפול במשבר הפנסיה בישראל; הבטחת טיפול סיעודי הוגן; שיפור השירות של חברות הביטוח; תפקיד הממשל בעיצוב עתיד ענף הביטוח; עתיד סוכן הביטוח.</w:t>
      </w:r>
    </w:p>
  </w:footnote>
  <w:footnote w:id="87">
    <w:p w:rsidR="00362821" w:rsidP="00FA3E7D">
      <w:pPr>
        <w:pStyle w:val="FootnoteText"/>
        <w:spacing w:line="269" w:lineRule="auto"/>
      </w:pPr>
      <w:r>
        <w:rPr>
          <w:rStyle w:val="FootnoteReference"/>
        </w:rPr>
        <w:footnoteRef/>
      </w:r>
      <w:r>
        <w:rPr>
          <w:rtl/>
        </w:rPr>
        <w:t xml:space="preserve"> </w:t>
      </w:r>
      <w:r>
        <w:rPr>
          <w:rtl/>
        </w:rPr>
        <w:tab/>
      </w:r>
      <w:r>
        <w:rPr>
          <w:rFonts w:hint="cs"/>
          <w:rtl/>
        </w:rPr>
        <w:t>סעיפים 60 - 62 לחוק הפיקוח על שירותים פיננסיים (ביטוח), הוחלו בחוקים אחרים גם על נושאים נוספים שבסמכות רשות שוק ההון: סעיף 39(ג) לחוק הפיקוח על שירותים פיננסיים (קופות גמל), תשס"ה 2005 החיל את סמכויות הטיפול של רשות שוק ההון בתלונות בנושאי ביטוח גם על תלונות בעניין חברה המנהלת קופות גמל. סעיף 31(ג) לחוק הפיקוח על שירותים פיננסיים (ייעוץ, שיווק ומערכת סליקה פנסיוניים), התשס"ה-2005, החיל סמכויות אלו של רשות שוק ההון על בעלי רישיון יועץ או סוכן פנסיוני.</w:t>
      </w:r>
    </w:p>
  </w:footnote>
  <w:footnote w:id="88">
    <w:p w:rsidR="00362821" w:rsidP="00FA3E7D">
      <w:pPr>
        <w:pStyle w:val="FootnoteText"/>
        <w:spacing w:line="269" w:lineRule="auto"/>
      </w:pPr>
      <w:r>
        <w:rPr>
          <w:rStyle w:val="FootnoteReference"/>
        </w:rPr>
        <w:footnoteRef/>
      </w:r>
      <w:r>
        <w:rPr>
          <w:rtl/>
        </w:rPr>
        <w:t xml:space="preserve"> </w:t>
      </w:r>
      <w:r>
        <w:rPr>
          <w:rtl/>
        </w:rPr>
        <w:tab/>
      </w:r>
      <w:r>
        <w:rPr>
          <w:rFonts w:hint="cs"/>
          <w:rtl/>
        </w:rPr>
        <w:t>סעיף 5(1) לחוק בתי המשפט לעניינים מנהליים, התש"ס-2000, והוראות סעיף 36 לתוספת הראשונה לחוק זה.</w:t>
      </w:r>
    </w:p>
  </w:footnote>
  <w:footnote w:id="89">
    <w:p w:rsidR="00362821" w:rsidP="00FA3E7D">
      <w:pPr>
        <w:pStyle w:val="FootnoteText"/>
        <w:spacing w:line="269" w:lineRule="auto"/>
      </w:pPr>
      <w:r>
        <w:rPr>
          <w:rStyle w:val="FootnoteReference"/>
        </w:rPr>
        <w:footnoteRef/>
      </w:r>
      <w:r>
        <w:rPr>
          <w:rtl/>
        </w:rPr>
        <w:t xml:space="preserve"> </w:t>
      </w:r>
      <w:r>
        <w:rPr>
          <w:rtl/>
        </w:rPr>
        <w:tab/>
      </w:r>
      <w:r>
        <w:rPr>
          <w:rFonts w:hint="cs"/>
          <w:rtl/>
        </w:rPr>
        <w:t xml:space="preserve">בסעיפים 92א ו-104 לחוק הפיקוח מפורטות כמה הוראות שהפרתן עלולה לגרור הטלת עיצום כספי, ובהן אי-מסירת העתק פוליסה בעת כריתת חוזה ביטוח, הפרת הוראות מסוימות של הממונה על שוק ההון, אי-משלוח דוחות למבוטחים ולעמיתים, אי-הגשת דוחות לממונה, סירוב לבטח אנשים עם מוגבלות, הפרת תנאים שנקבעו ברישיון המבטח, פרסום תיאור מטעה ביחס לעסקת ביטוח ועוד. </w:t>
      </w:r>
    </w:p>
  </w:footnote>
  <w:footnote w:id="90">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 xml:space="preserve">כעולה משיחת צוות הביקורת עם </w:t>
      </w:r>
      <w:r w:rsidRPr="003B2267">
        <w:rPr>
          <w:rFonts w:hint="cs"/>
          <w:rtl/>
        </w:rPr>
        <w:t xml:space="preserve">מנהלת מחלקת שירות ותיווך בביטוח ברשות שוק ההון, האחראית גם </w:t>
      </w:r>
      <w:r>
        <w:rPr>
          <w:rFonts w:hint="cs"/>
          <w:rtl/>
        </w:rPr>
        <w:t>ל</w:t>
      </w:r>
      <w:r w:rsidRPr="003B2267">
        <w:rPr>
          <w:rFonts w:hint="cs"/>
          <w:rtl/>
        </w:rPr>
        <w:t>טיפול בפניות הציבור (להלן - מנהלת המחלקה)</w:t>
      </w:r>
      <w:r>
        <w:rPr>
          <w:rFonts w:hint="cs"/>
          <w:rtl/>
        </w:rPr>
        <w:t>.</w:t>
      </w:r>
    </w:p>
  </w:footnote>
  <w:footnote w:id="91">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לרבות השתלות, מחלות קשות, ניתוחים, נכות ותאונות אישיות, שיניים, תאונות אישיות תלמידים ותרופות.</w:t>
      </w:r>
    </w:p>
  </w:footnote>
  <w:footnote w:id="92">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החלטה 3438, מיום 11.1.2018, בדבר "הקמת מוסד ליישוב סכסוכים בין חברות הביטוח לבין מבוטחים".</w:t>
      </w:r>
    </w:p>
  </w:footnote>
  <w:footnote w:id="93">
    <w:p w:rsidR="00362821" w:rsidP="00FA3E7D">
      <w:pPr>
        <w:pStyle w:val="FootnoteText"/>
        <w:spacing w:line="269" w:lineRule="auto"/>
      </w:pPr>
      <w:r>
        <w:rPr>
          <w:rStyle w:val="FootnoteReference"/>
        </w:rPr>
        <w:footnoteRef/>
      </w:r>
      <w:r>
        <w:rPr>
          <w:rtl/>
        </w:rPr>
        <w:t xml:space="preserve"> </w:t>
      </w:r>
      <w:r>
        <w:rPr>
          <w:rtl/>
        </w:rPr>
        <w:tab/>
      </w:r>
      <w:r>
        <w:rPr>
          <w:rFonts w:hint="cs"/>
          <w:rtl/>
        </w:rPr>
        <w:t xml:space="preserve">הניתוח בוצע בהתבסס על רשימת פניות שנסגרו ברשות עד לחודש ספטמבר 2019. התרשים אינו כולל פניות שהטיפול בהן טרם הסתיים ברשות עד לחודש ספטמבר 2019. </w:t>
      </w:r>
    </w:p>
  </w:footnote>
  <w:footnote w:id="94">
    <w:p w:rsidR="00362821" w:rsidP="00FA3E7D">
      <w:pPr>
        <w:pStyle w:val="FootnoteText"/>
        <w:spacing w:line="269" w:lineRule="auto"/>
      </w:pPr>
      <w:r>
        <w:rPr>
          <w:rStyle w:val="FootnoteReference"/>
        </w:rPr>
        <w:footnoteRef/>
      </w:r>
      <w:r>
        <w:rPr>
          <w:rtl/>
        </w:rPr>
        <w:t xml:space="preserve"> </w:t>
      </w:r>
      <w:r>
        <w:rPr>
          <w:rtl/>
        </w:rPr>
        <w:tab/>
      </w:r>
      <w:r>
        <w:rPr>
          <w:rFonts w:hint="cs"/>
          <w:rtl/>
        </w:rPr>
        <w:t>להוציא בעניין תאונות אישיות.</w:t>
      </w:r>
    </w:p>
  </w:footnote>
  <w:footnote w:id="95">
    <w:p w:rsidR="00362821" w:rsidP="00FA3E7D">
      <w:pPr>
        <w:pStyle w:val="FootnoteText"/>
        <w:spacing w:line="269" w:lineRule="auto"/>
      </w:pPr>
      <w:r>
        <w:rPr>
          <w:rStyle w:val="FootnoteReference"/>
        </w:rPr>
        <w:footnoteRef/>
      </w:r>
      <w:r>
        <w:rPr>
          <w:rtl/>
        </w:rPr>
        <w:t xml:space="preserve"> </w:t>
      </w:r>
      <w:r>
        <w:rPr>
          <w:rtl/>
        </w:rPr>
        <w:tab/>
      </w:r>
      <w:r>
        <w:rPr>
          <w:rFonts w:hint="cs"/>
          <w:rtl/>
        </w:rPr>
        <w:t xml:space="preserve">בכתובת: </w:t>
      </w:r>
      <w:r w:rsidRPr="00845DF2">
        <w:t>https://pe.cma.gov.il</w:t>
      </w:r>
    </w:p>
  </w:footnote>
  <w:footnote w:id="96">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שם.</w:t>
      </w:r>
    </w:p>
  </w:footnote>
  <w:footnote w:id="97">
    <w:p w:rsidR="00362821" w:rsidP="00FA3E7D">
      <w:pPr>
        <w:pStyle w:val="FootnoteText"/>
        <w:spacing w:line="269" w:lineRule="auto"/>
      </w:pPr>
      <w:r>
        <w:rPr>
          <w:rStyle w:val="FootnoteReference"/>
        </w:rPr>
        <w:footnoteRef/>
      </w:r>
      <w:r>
        <w:rPr>
          <w:rtl/>
        </w:rPr>
        <w:t xml:space="preserve"> </w:t>
      </w:r>
      <w:r>
        <w:rPr>
          <w:rtl/>
        </w:rPr>
        <w:tab/>
      </w:r>
      <w:r>
        <w:rPr>
          <w:rFonts w:hint="cs"/>
          <w:rtl/>
        </w:rPr>
        <w:t xml:space="preserve">כך לדוגמה, לא ניתן להפיק באמצעות המערכת דוחות </w:t>
      </w:r>
      <w:r w:rsidRPr="0005704F">
        <w:rPr>
          <w:rFonts w:hint="eastAsia"/>
          <w:sz w:val="24"/>
          <w:rtl/>
        </w:rPr>
        <w:t>בדבר</w:t>
      </w:r>
      <w:r>
        <w:rPr>
          <w:rFonts w:hint="cs"/>
          <w:sz w:val="24"/>
          <w:rtl/>
        </w:rPr>
        <w:t>:</w:t>
      </w:r>
      <w:r w:rsidRPr="0005704F">
        <w:rPr>
          <w:sz w:val="24"/>
          <w:rtl/>
        </w:rPr>
        <w:t xml:space="preserve"> מועד הפנייה הראשונה של הרשות לקבלת התייחסות הגוף המפוקח, והזמן שחלף ממועד הגעת התלונה לרשות ועד למועד פניי</w:t>
      </w:r>
      <w:r>
        <w:rPr>
          <w:rFonts w:hint="cs"/>
          <w:sz w:val="24"/>
          <w:rtl/>
        </w:rPr>
        <w:t>ת</w:t>
      </w:r>
      <w:r w:rsidRPr="0005704F">
        <w:rPr>
          <w:sz w:val="24"/>
          <w:rtl/>
        </w:rPr>
        <w:t>ה</w:t>
      </w:r>
      <w:r w:rsidRPr="00EB725B">
        <w:rPr>
          <w:sz w:val="24"/>
          <w:szCs w:val="24"/>
          <w:rtl/>
        </w:rPr>
        <w:t xml:space="preserve"> </w:t>
      </w:r>
      <w:r>
        <w:rPr>
          <w:rFonts w:hint="cs"/>
          <w:sz w:val="24"/>
          <w:rtl/>
        </w:rPr>
        <w:t>ל</w:t>
      </w:r>
      <w:r w:rsidRPr="00EB725B">
        <w:rPr>
          <w:sz w:val="24"/>
          <w:rtl/>
        </w:rPr>
        <w:t>גוף המפוקח</w:t>
      </w:r>
      <w:r>
        <w:rPr>
          <w:rFonts w:hint="cs"/>
          <w:sz w:val="24"/>
          <w:rtl/>
        </w:rPr>
        <w:t xml:space="preserve">; סיווג תשובת הגוף הנילון לפנייה; </w:t>
      </w:r>
      <w:r w:rsidRPr="0005704F">
        <w:rPr>
          <w:sz w:val="24"/>
          <w:rtl/>
        </w:rPr>
        <w:t xml:space="preserve">מועד </w:t>
      </w:r>
      <w:r>
        <w:rPr>
          <w:rFonts w:hint="cs"/>
          <w:sz w:val="24"/>
          <w:rtl/>
        </w:rPr>
        <w:t xml:space="preserve">קבלת </w:t>
      </w:r>
      <w:r w:rsidRPr="0005704F">
        <w:rPr>
          <w:sz w:val="24"/>
          <w:rtl/>
        </w:rPr>
        <w:t xml:space="preserve">תשובתו של הגוף </w:t>
      </w:r>
      <w:r w:rsidRPr="0005704F">
        <w:rPr>
          <w:rFonts w:hint="eastAsia"/>
          <w:sz w:val="24"/>
          <w:rtl/>
        </w:rPr>
        <w:t>הנילון</w:t>
      </w:r>
      <w:r>
        <w:rPr>
          <w:rFonts w:hint="cs"/>
          <w:sz w:val="24"/>
          <w:rtl/>
        </w:rPr>
        <w:t xml:space="preserve"> ברשות</w:t>
      </w:r>
      <w:r w:rsidRPr="0005704F">
        <w:rPr>
          <w:sz w:val="24"/>
          <w:rtl/>
        </w:rPr>
        <w:t xml:space="preserve">, ומועד </w:t>
      </w:r>
      <w:r>
        <w:rPr>
          <w:rFonts w:hint="cs"/>
          <w:sz w:val="24"/>
          <w:rtl/>
        </w:rPr>
        <w:t>העברת תשובה זו</w:t>
      </w:r>
      <w:r w:rsidRPr="00EB725B">
        <w:rPr>
          <w:sz w:val="24"/>
          <w:szCs w:val="24"/>
          <w:rtl/>
        </w:rPr>
        <w:t xml:space="preserve"> </w:t>
      </w:r>
      <w:r w:rsidRPr="00EB725B">
        <w:rPr>
          <w:sz w:val="24"/>
          <w:rtl/>
        </w:rPr>
        <w:t xml:space="preserve">למתלונן </w:t>
      </w:r>
      <w:r>
        <w:rPr>
          <w:rFonts w:hint="cs"/>
          <w:sz w:val="24"/>
          <w:rtl/>
        </w:rPr>
        <w:t xml:space="preserve">על ידי </w:t>
      </w:r>
      <w:r w:rsidRPr="00EB725B">
        <w:rPr>
          <w:sz w:val="24"/>
          <w:rtl/>
        </w:rPr>
        <w:t>הרשות</w:t>
      </w:r>
      <w:r>
        <w:rPr>
          <w:rFonts w:hint="cs"/>
          <w:sz w:val="24"/>
          <w:rtl/>
        </w:rPr>
        <w:t xml:space="preserve">; וכן בדבר הקשר בין </w:t>
      </w:r>
      <w:r w:rsidRPr="0005704F">
        <w:rPr>
          <w:rFonts w:hint="eastAsia"/>
          <w:sz w:val="24"/>
          <w:rtl/>
        </w:rPr>
        <w:t>תיקי</w:t>
      </w:r>
      <w:r w:rsidRPr="0005704F">
        <w:rPr>
          <w:sz w:val="24"/>
          <w:rtl/>
        </w:rPr>
        <w:t xml:space="preserve"> הפנייה המקורי</w:t>
      </w:r>
      <w:r w:rsidRPr="0005704F">
        <w:rPr>
          <w:rFonts w:hint="eastAsia"/>
          <w:sz w:val="24"/>
          <w:rtl/>
        </w:rPr>
        <w:t>ים</w:t>
      </w:r>
      <w:r w:rsidRPr="0005704F">
        <w:rPr>
          <w:sz w:val="24"/>
          <w:rtl/>
        </w:rPr>
        <w:t xml:space="preserve"> ובין מידע </w:t>
      </w:r>
      <w:r>
        <w:rPr>
          <w:rFonts w:hint="cs"/>
          <w:sz w:val="24"/>
          <w:rtl/>
        </w:rPr>
        <w:t xml:space="preserve">על </w:t>
      </w:r>
      <w:r w:rsidRPr="0005704F">
        <w:rPr>
          <w:rFonts w:hint="eastAsia"/>
          <w:sz w:val="24"/>
          <w:rtl/>
        </w:rPr>
        <w:t>ההשגות</w:t>
      </w:r>
      <w:r w:rsidRPr="0005704F">
        <w:rPr>
          <w:sz w:val="24"/>
          <w:rtl/>
        </w:rPr>
        <w:t xml:space="preserve"> </w:t>
      </w:r>
      <w:r w:rsidRPr="0005704F">
        <w:rPr>
          <w:rFonts w:hint="eastAsia"/>
          <w:sz w:val="24"/>
          <w:rtl/>
        </w:rPr>
        <w:t>שהוגשו</w:t>
      </w:r>
      <w:r w:rsidRPr="0005704F">
        <w:rPr>
          <w:sz w:val="24"/>
          <w:rtl/>
        </w:rPr>
        <w:t xml:space="preserve"> </w:t>
      </w:r>
      <w:r w:rsidRPr="0005704F">
        <w:rPr>
          <w:rFonts w:hint="eastAsia"/>
          <w:sz w:val="24"/>
          <w:rtl/>
        </w:rPr>
        <w:t>באותם</w:t>
      </w:r>
      <w:r w:rsidRPr="0005704F">
        <w:rPr>
          <w:sz w:val="24"/>
          <w:rtl/>
        </w:rPr>
        <w:t xml:space="preserve"> </w:t>
      </w:r>
      <w:r w:rsidRPr="0005704F">
        <w:rPr>
          <w:rFonts w:hint="eastAsia"/>
          <w:sz w:val="24"/>
          <w:rtl/>
        </w:rPr>
        <w:t>התיקים</w:t>
      </w:r>
      <w:r w:rsidRPr="0005704F">
        <w:rPr>
          <w:sz w:val="24"/>
          <w:rtl/>
        </w:rPr>
        <w:t xml:space="preserve"> </w:t>
      </w:r>
      <w:r>
        <w:rPr>
          <w:rFonts w:hint="cs"/>
          <w:sz w:val="24"/>
          <w:rtl/>
        </w:rPr>
        <w:t>ע</w:t>
      </w:r>
      <w:r w:rsidRPr="0005704F">
        <w:rPr>
          <w:rFonts w:hint="eastAsia"/>
          <w:sz w:val="24"/>
          <w:rtl/>
        </w:rPr>
        <w:t>ל</w:t>
      </w:r>
      <w:r>
        <w:rPr>
          <w:rFonts w:hint="cs"/>
          <w:sz w:val="24"/>
          <w:rtl/>
        </w:rPr>
        <w:t xml:space="preserve"> </w:t>
      </w:r>
      <w:r w:rsidRPr="0005704F">
        <w:rPr>
          <w:rFonts w:hint="eastAsia"/>
          <w:sz w:val="24"/>
          <w:rtl/>
        </w:rPr>
        <w:t>החלטת</w:t>
      </w:r>
      <w:r w:rsidRPr="0005704F">
        <w:rPr>
          <w:sz w:val="24"/>
          <w:rtl/>
        </w:rPr>
        <w:t xml:space="preserve"> </w:t>
      </w:r>
      <w:r w:rsidRPr="0005704F">
        <w:rPr>
          <w:rFonts w:hint="eastAsia"/>
          <w:sz w:val="24"/>
          <w:rtl/>
        </w:rPr>
        <w:t>הגוף</w:t>
      </w:r>
      <w:r w:rsidRPr="0005704F">
        <w:rPr>
          <w:sz w:val="24"/>
          <w:rtl/>
        </w:rPr>
        <w:t xml:space="preserve"> </w:t>
      </w:r>
      <w:r w:rsidRPr="0005704F">
        <w:rPr>
          <w:rFonts w:hint="eastAsia"/>
          <w:sz w:val="24"/>
          <w:rtl/>
        </w:rPr>
        <w:t>המפוקח</w:t>
      </w:r>
      <w:r>
        <w:rPr>
          <w:rFonts w:hint="cs"/>
          <w:rtl/>
        </w:rPr>
        <w:t>.</w:t>
      </w:r>
    </w:p>
  </w:footnote>
  <w:footnote w:id="98">
    <w:p w:rsidR="00362821" w:rsidP="00FA3E7D">
      <w:pPr>
        <w:pStyle w:val="FootnoteText"/>
        <w:spacing w:line="269" w:lineRule="auto"/>
      </w:pPr>
      <w:r>
        <w:rPr>
          <w:rStyle w:val="FootnoteReference"/>
        </w:rPr>
        <w:footnoteRef/>
      </w:r>
      <w:r>
        <w:rPr>
          <w:rtl/>
        </w:rPr>
        <w:tab/>
      </w:r>
      <w:r>
        <w:rPr>
          <w:rFonts w:hint="cs"/>
          <w:rtl/>
        </w:rPr>
        <w:t>תלונה המועברת בפקסימיליה או בדואר רגיל מוזנת בידי עובדי הרשות למערכת הממוחשבת.</w:t>
      </w:r>
    </w:p>
  </w:footnote>
  <w:footnote w:id="99">
    <w:p w:rsidR="00362821" w:rsidP="00FA3E7D">
      <w:pPr>
        <w:pStyle w:val="FootnoteText"/>
        <w:spacing w:line="269" w:lineRule="auto"/>
      </w:pPr>
      <w:r>
        <w:rPr>
          <w:rStyle w:val="FootnoteReference"/>
        </w:rPr>
        <w:footnoteRef/>
      </w:r>
      <w:r>
        <w:rPr>
          <w:rtl/>
        </w:rPr>
        <w:t xml:space="preserve"> </w:t>
      </w:r>
      <w:r>
        <w:rPr>
          <w:rtl/>
        </w:rPr>
        <w:tab/>
      </w:r>
      <w:r w:rsidRPr="003003D6">
        <w:rPr>
          <w:rFonts w:hint="cs"/>
          <w:rtl/>
        </w:rPr>
        <w:t>בחלק מהמקרים החליט הגוף המפוקח לתת לפונה סעד חלקי או מלא (לדוגמה: המצאת נתונים, דוחות או מידע, הסברים בנוגע לזכויות או סעד כספי). בחלק אחר של תלונות שסווגו באופן זה, הורתה הרשות לגוף המפוקח ליתן סעד לפונה. לפי האמור בדוח השנתי של הרשות לשנת 2018, "לעיתים הממונה דורש להחיל את תיקון הליקוי שהתגלה בתלונה מסוימת על כלל המבוטחים או העמיתים שבעניינם מתקיים ליקוי דומה".</w:t>
      </w:r>
    </w:p>
  </w:footnote>
  <w:footnote w:id="100">
    <w:p w:rsidR="00362821" w:rsidP="00FA3E7D">
      <w:pPr>
        <w:pStyle w:val="FootnoteText"/>
        <w:spacing w:line="269" w:lineRule="auto"/>
      </w:pPr>
      <w:r>
        <w:rPr>
          <w:rStyle w:val="FootnoteReference"/>
        </w:rPr>
        <w:footnoteRef/>
      </w:r>
      <w:r>
        <w:rPr>
          <w:rtl/>
        </w:rPr>
        <w:t xml:space="preserve"> </w:t>
      </w:r>
      <w:r>
        <w:rPr>
          <w:rtl/>
        </w:rPr>
        <w:tab/>
      </w:r>
      <w:r w:rsidRPr="00DB2C7A">
        <w:rPr>
          <w:rFonts w:hint="eastAsia"/>
          <w:rtl/>
        </w:rPr>
        <w:t>למשל</w:t>
      </w:r>
      <w:r w:rsidRPr="00DB2C7A">
        <w:rPr>
          <w:rtl/>
        </w:rPr>
        <w:t xml:space="preserve"> </w:t>
      </w:r>
      <w:r w:rsidRPr="00DB2C7A">
        <w:rPr>
          <w:rFonts w:hint="eastAsia"/>
          <w:rtl/>
        </w:rPr>
        <w:t>עקב</w:t>
      </w:r>
      <w:r w:rsidRPr="00DB2C7A">
        <w:rPr>
          <w:rtl/>
        </w:rPr>
        <w:t xml:space="preserve"> </w:t>
      </w:r>
      <w:r w:rsidRPr="00DB2C7A">
        <w:rPr>
          <w:rFonts w:hint="eastAsia"/>
          <w:rtl/>
        </w:rPr>
        <w:t>רישום</w:t>
      </w:r>
      <w:r w:rsidRPr="00DB2C7A">
        <w:rPr>
          <w:rtl/>
        </w:rPr>
        <w:t xml:space="preserve"> </w:t>
      </w:r>
      <w:r w:rsidRPr="00DB2C7A">
        <w:rPr>
          <w:rFonts w:hint="eastAsia"/>
          <w:rtl/>
        </w:rPr>
        <w:t>כפול</w:t>
      </w:r>
      <w:r w:rsidRPr="00DB2C7A">
        <w:rPr>
          <w:rtl/>
        </w:rPr>
        <w:t xml:space="preserve"> </w:t>
      </w:r>
      <w:r w:rsidRPr="00DB2C7A">
        <w:rPr>
          <w:rFonts w:hint="eastAsia"/>
          <w:rtl/>
        </w:rPr>
        <w:t>של</w:t>
      </w:r>
      <w:r w:rsidRPr="00DB2C7A">
        <w:rPr>
          <w:rtl/>
        </w:rPr>
        <w:t xml:space="preserve"> </w:t>
      </w:r>
      <w:r w:rsidRPr="00DB2C7A">
        <w:rPr>
          <w:rFonts w:hint="eastAsia"/>
          <w:rtl/>
        </w:rPr>
        <w:t>תלונות</w:t>
      </w:r>
      <w:r w:rsidRPr="00DB2C7A">
        <w:rPr>
          <w:rtl/>
        </w:rPr>
        <w:t xml:space="preserve">, </w:t>
      </w:r>
      <w:r w:rsidRPr="00DB2C7A">
        <w:rPr>
          <w:rFonts w:hint="eastAsia"/>
          <w:rtl/>
        </w:rPr>
        <w:t>תלונות</w:t>
      </w:r>
      <w:r w:rsidRPr="00DB2C7A">
        <w:rPr>
          <w:rtl/>
        </w:rPr>
        <w:t xml:space="preserve"> </w:t>
      </w:r>
      <w:r w:rsidRPr="00DB2C7A">
        <w:rPr>
          <w:rFonts w:hint="eastAsia"/>
          <w:rtl/>
        </w:rPr>
        <w:t>שהועברו</w:t>
      </w:r>
      <w:r w:rsidRPr="00DB2C7A">
        <w:rPr>
          <w:rtl/>
        </w:rPr>
        <w:t xml:space="preserve"> </w:t>
      </w:r>
      <w:r w:rsidRPr="00DB2C7A">
        <w:rPr>
          <w:rFonts w:hint="eastAsia"/>
          <w:rtl/>
        </w:rPr>
        <w:t>לטיפול</w:t>
      </w:r>
      <w:r w:rsidRPr="00DB2C7A">
        <w:rPr>
          <w:rtl/>
        </w:rPr>
        <w:t xml:space="preserve"> </w:t>
      </w:r>
      <w:r w:rsidRPr="00DB2C7A">
        <w:rPr>
          <w:rFonts w:hint="eastAsia"/>
          <w:rtl/>
        </w:rPr>
        <w:t>גורמים</w:t>
      </w:r>
      <w:r w:rsidRPr="00DB2C7A">
        <w:rPr>
          <w:rtl/>
        </w:rPr>
        <w:t xml:space="preserve"> </w:t>
      </w:r>
      <w:r w:rsidRPr="00DB2C7A">
        <w:rPr>
          <w:rFonts w:hint="eastAsia"/>
          <w:rtl/>
        </w:rPr>
        <w:t>אחרים</w:t>
      </w:r>
      <w:r w:rsidRPr="00DB2C7A">
        <w:rPr>
          <w:rtl/>
        </w:rPr>
        <w:t xml:space="preserve"> </w:t>
      </w:r>
      <w:r w:rsidRPr="00DB2C7A">
        <w:rPr>
          <w:rFonts w:hint="eastAsia"/>
          <w:rtl/>
        </w:rPr>
        <w:t>ברשות</w:t>
      </w:r>
      <w:r w:rsidRPr="00DB2C7A">
        <w:rPr>
          <w:rtl/>
        </w:rPr>
        <w:t xml:space="preserve"> </w:t>
      </w:r>
      <w:r w:rsidRPr="00DB2C7A">
        <w:rPr>
          <w:rFonts w:hint="eastAsia"/>
          <w:rtl/>
        </w:rPr>
        <w:t>או</w:t>
      </w:r>
      <w:r w:rsidRPr="00DB2C7A">
        <w:rPr>
          <w:rtl/>
        </w:rPr>
        <w:t xml:space="preserve"> </w:t>
      </w:r>
      <w:r w:rsidRPr="00DB2C7A">
        <w:rPr>
          <w:rFonts w:hint="eastAsia"/>
          <w:rtl/>
        </w:rPr>
        <w:t>תלונות</w:t>
      </w:r>
      <w:r w:rsidRPr="00DB2C7A">
        <w:rPr>
          <w:rtl/>
        </w:rPr>
        <w:t xml:space="preserve"> </w:t>
      </w:r>
      <w:r w:rsidRPr="00DB2C7A">
        <w:rPr>
          <w:rFonts w:hint="eastAsia"/>
          <w:rtl/>
        </w:rPr>
        <w:t>שהוחלט</w:t>
      </w:r>
      <w:r w:rsidRPr="00DB2C7A">
        <w:rPr>
          <w:rtl/>
        </w:rPr>
        <w:t xml:space="preserve"> </w:t>
      </w:r>
      <w:r w:rsidRPr="00DB2C7A">
        <w:rPr>
          <w:rFonts w:hint="eastAsia"/>
          <w:rtl/>
        </w:rPr>
        <w:t>כי</w:t>
      </w:r>
      <w:r w:rsidRPr="00DB2C7A">
        <w:rPr>
          <w:rtl/>
        </w:rPr>
        <w:t xml:space="preserve"> </w:t>
      </w:r>
      <w:r w:rsidRPr="00DB2C7A">
        <w:rPr>
          <w:rFonts w:hint="eastAsia"/>
          <w:rtl/>
        </w:rPr>
        <w:t>הטיפול</w:t>
      </w:r>
      <w:r w:rsidRPr="00DB2C7A">
        <w:rPr>
          <w:rtl/>
        </w:rPr>
        <w:t xml:space="preserve"> </w:t>
      </w:r>
      <w:r w:rsidRPr="00DB2C7A">
        <w:rPr>
          <w:rFonts w:hint="eastAsia"/>
          <w:rtl/>
        </w:rPr>
        <w:t>בהן</w:t>
      </w:r>
      <w:r w:rsidRPr="00DB2C7A">
        <w:rPr>
          <w:rtl/>
        </w:rPr>
        <w:t xml:space="preserve"> </w:t>
      </w:r>
      <w:r>
        <w:rPr>
          <w:rFonts w:hint="cs"/>
          <w:rtl/>
        </w:rPr>
        <w:t>י</w:t>
      </w:r>
      <w:r w:rsidRPr="00DB2C7A">
        <w:rPr>
          <w:rFonts w:hint="eastAsia"/>
          <w:rtl/>
        </w:rPr>
        <w:t>יעשה</w:t>
      </w:r>
      <w:r w:rsidRPr="00DB2C7A">
        <w:rPr>
          <w:rtl/>
        </w:rPr>
        <w:t xml:space="preserve"> </w:t>
      </w:r>
      <w:r w:rsidRPr="00DB2C7A">
        <w:rPr>
          <w:rFonts w:hint="eastAsia"/>
          <w:rtl/>
        </w:rPr>
        <w:t>במישור</w:t>
      </w:r>
      <w:r w:rsidRPr="00DB2C7A">
        <w:rPr>
          <w:rtl/>
        </w:rPr>
        <w:t xml:space="preserve"> </w:t>
      </w:r>
      <w:r w:rsidRPr="00DB2C7A">
        <w:rPr>
          <w:rFonts w:hint="eastAsia"/>
          <w:rtl/>
        </w:rPr>
        <w:t>העקרוני</w:t>
      </w:r>
      <w:r>
        <w:rPr>
          <w:rFonts w:hint="cs"/>
          <w:rtl/>
        </w:rPr>
        <w:t>.</w:t>
      </w:r>
    </w:p>
  </w:footnote>
  <w:footnote w:id="101">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תלונות שסולקו בסיווג "סולק במצ"ה" הן תלונות שהופנו לתגובת הגוף המפוקח, בהן ניתן סעד כלשהו למתלונן, וסעד זה לא שונה לאחר מכן על ידי הגורמים המקצועיים ברשות. בשנת 2015 סווגו בסיווג זה 3,067 תלונות, בשנת 2016- 3,143 תלונות, בשנת 2017- 3,481 תלונות ובשנת 2018- 3,540 תלונות.</w:t>
      </w:r>
    </w:p>
  </w:footnote>
  <w:footnote w:id="102">
    <w:p w:rsidR="00362821" w:rsidP="00FA3E7D">
      <w:pPr>
        <w:pStyle w:val="FootnoteText"/>
        <w:spacing w:line="269" w:lineRule="auto"/>
      </w:pPr>
      <w:r>
        <w:rPr>
          <w:rStyle w:val="FootnoteReference"/>
        </w:rPr>
        <w:footnoteRef/>
      </w:r>
      <w:r>
        <w:rPr>
          <w:rtl/>
        </w:rPr>
        <w:t xml:space="preserve"> </w:t>
      </w:r>
      <w:r>
        <w:rPr>
          <w:rtl/>
        </w:rPr>
        <w:tab/>
      </w:r>
      <w:r>
        <w:rPr>
          <w:rFonts w:hint="cs"/>
          <w:rtl/>
        </w:rPr>
        <w:t>בין הסיבות האפשריות: המתלונן נואש מהליך בירור התלונה; חלוף הזמן; המתלונן אינו מבין כי הוא רשאי להשיג על עמדת הגוף המפוקח; המתלונן אינו מבין את תשובת הגוף המפוקח; היעדר הבנה מספקת בתחום נשוא התלונה שתאפשר למתלונן להתמודד עם עמדת הגוף המפוקח; חוסר אמון במנגנון בירור התלונות, ועוד.</w:t>
      </w:r>
    </w:p>
  </w:footnote>
  <w:footnote w:id="103">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חוזר גופים מוסדיים מס' 2009-9-9, הסדרת אופן התנהלותם של הגופים המפוקחים במסגרת בירור תלונות ציבור.</w:t>
      </w:r>
    </w:p>
  </w:footnote>
  <w:footnote w:id="104">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 xml:space="preserve">סוגי חיסיון המוכרים בדין האזרחי הם למשל: חיסיון עורך דין </w:t>
      </w:r>
      <w:r>
        <w:rPr>
          <w:rtl/>
        </w:rPr>
        <w:t>–</w:t>
      </w:r>
      <w:r>
        <w:rPr>
          <w:rFonts w:hint="cs"/>
          <w:rtl/>
        </w:rPr>
        <w:t xml:space="preserve"> לקוח, חיסיון בנקאי, חיסיון רפואי, חיסיון של דוחות חקירה וחיסיון על מסמכים שהוכנו לצורך הליך משפטי.</w:t>
      </w:r>
    </w:p>
  </w:footnote>
  <w:footnote w:id="105">
    <w:p w:rsidR="00362821" w:rsidRPr="001140A6" w:rsidP="00FA3E7D">
      <w:pPr>
        <w:pStyle w:val="FootnoteText"/>
        <w:spacing w:line="269" w:lineRule="auto"/>
      </w:pPr>
      <w:r>
        <w:rPr>
          <w:rStyle w:val="FootnoteReference"/>
        </w:rPr>
        <w:footnoteRef/>
      </w:r>
      <w:r>
        <w:rPr>
          <w:rtl/>
        </w:rPr>
        <w:t xml:space="preserve"> </w:t>
      </w:r>
      <w:r>
        <w:rPr>
          <w:rtl/>
        </w:rPr>
        <w:tab/>
      </w:r>
      <w:r>
        <w:rPr>
          <w:rFonts w:hint="cs"/>
          <w:rtl/>
        </w:rPr>
        <w:t>חוזר גופים מוסדיים 2016-9-9, "בירור ויישוב תביעות וטיפול בפניות ציבור".</w:t>
      </w:r>
    </w:p>
  </w:footnote>
  <w:footnote w:id="106">
    <w:p w:rsidR="00362821" w:rsidP="00FA3E7D">
      <w:pPr>
        <w:pStyle w:val="FootnoteText"/>
        <w:spacing w:line="269" w:lineRule="auto"/>
      </w:pPr>
      <w:r>
        <w:rPr>
          <w:rStyle w:val="FootnoteReference"/>
        </w:rPr>
        <w:footnoteRef/>
      </w:r>
      <w:r>
        <w:rPr>
          <w:rtl/>
        </w:rPr>
        <w:t xml:space="preserve"> </w:t>
      </w:r>
      <w:r>
        <w:rPr>
          <w:rtl/>
        </w:rPr>
        <w:tab/>
      </w:r>
      <w:r>
        <w:rPr>
          <w:rFonts w:hint="cs"/>
          <w:rtl/>
        </w:rPr>
        <w:t>סוכנויות אשר להן רישיון משולם בתוקף.</w:t>
      </w:r>
    </w:p>
  </w:footnote>
  <w:footnote w:id="107">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על פי הגדרת הלמ"ס, אוריינות פיננסית היא היכולת לקרוא, לנתח, להבין ולדון בגורמים כלכליים</w:t>
      </w:r>
      <w:r>
        <w:rPr>
          <w:rtl/>
        </w:rPr>
        <w:t>–</w:t>
      </w:r>
      <w:r>
        <w:rPr>
          <w:rFonts w:hint="cs"/>
          <w:rtl/>
        </w:rPr>
        <w:t>פיננסיים המשפיעים על רווחתו הכלכלית של הפרט. היא כוללת את היכולת להעריך אפשרויות כלכליות, להשתמש בכסף בצורה נכונה, לתכנן את העתיד, לפעול בהתאם להווה ולהגיב בצורה מושכלת לשינויים כלכליים.</w:t>
      </w:r>
    </w:p>
  </w:footnote>
  <w:footnote w:id="108">
    <w:p w:rsidR="00362821" w:rsidP="00FA3E7D">
      <w:pPr>
        <w:pStyle w:val="FootnoteText"/>
        <w:spacing w:line="269" w:lineRule="auto"/>
      </w:pPr>
      <w:r>
        <w:rPr>
          <w:rStyle w:val="FootnoteReference"/>
        </w:rPr>
        <w:footnoteRef/>
      </w:r>
      <w:r>
        <w:rPr>
          <w:rtl/>
        </w:rPr>
        <w:t xml:space="preserve"> </w:t>
      </w:r>
      <w:r>
        <w:rPr>
          <w:rtl/>
        </w:rPr>
        <w:tab/>
      </w:r>
      <w:r>
        <w:rPr>
          <w:rFonts w:hint="cs"/>
          <w:rtl/>
        </w:rPr>
        <w:t xml:space="preserve">ראו למשל: </w:t>
      </w:r>
      <w:r w:rsidRPr="008E7A5D">
        <w:t>Lusardi A, Mitchell OS. The Economic Importance of Financial Literacy: Theory and Evidence. J Econ Lit. 2014;52(1):5–44. doi:10.1257/jel.52.1.5</w:t>
      </w:r>
    </w:p>
  </w:footnote>
  <w:footnote w:id="109">
    <w:p w:rsidR="00362821" w:rsidRPr="00A27C65" w:rsidP="00FA3E7D">
      <w:pPr>
        <w:pStyle w:val="FootnoteText"/>
        <w:spacing w:line="269" w:lineRule="auto"/>
      </w:pPr>
      <w:r>
        <w:rPr>
          <w:rStyle w:val="FootnoteReference"/>
        </w:rPr>
        <w:footnoteRef/>
      </w:r>
      <w:r>
        <w:rPr>
          <w:rtl/>
        </w:rPr>
        <w:t xml:space="preserve"> </w:t>
      </w:r>
      <w:r>
        <w:rPr>
          <w:rtl/>
        </w:rPr>
        <w:tab/>
      </w:r>
      <w:r>
        <w:rPr>
          <w:rFonts w:hint="cs"/>
          <w:rtl/>
        </w:rPr>
        <w:t>ראו הלשכה המרכזית לסטטיסטיקה "</w:t>
      </w:r>
      <w:r>
        <w:rPr>
          <w:rFonts w:hint="cs"/>
          <w:b/>
          <w:bCs/>
          <w:rtl/>
        </w:rPr>
        <w:t>סקר אוריינות פיננסית: ידע, דעות והתנהלות בנושאים פיננסיים"</w:t>
      </w:r>
      <w:r>
        <w:rPr>
          <w:rFonts w:hint="cs"/>
          <w:rtl/>
        </w:rPr>
        <w:t xml:space="preserve"> (2012). יצוין כי הממשלה קיבלה בשנת 2011 החלטה לפעול להגברת האוריינות הפיננסית של הציבור, ובהתאם להחלטה זו הוקמה ברשות שוק ההון יחידה לחינוך פיננסי. עם זאת, מחקרים עולמיים הטילו ספק ביעילות לאורך זמן של תוכניות להגברת האוריינות הפיננסית. ראו - </w:t>
      </w:r>
      <w:r w:rsidRPr="009C4733">
        <w:t>Fernandes, Daniel &amp; Lynch, John &amp; Netemeyer, Richard. (2014). Financial Literacy, Financial Education, and Downstream Financial Behaviors. Management Science. 10.1287/mnsc.2013.1849</w:t>
      </w:r>
    </w:p>
  </w:footnote>
  <w:footnote w:id="110">
    <w:p w:rsidR="00362821" w:rsidRPr="009C1299" w:rsidP="00FA3E7D">
      <w:pPr>
        <w:pStyle w:val="FootnoteText"/>
        <w:spacing w:line="269" w:lineRule="auto"/>
      </w:pPr>
      <w:r>
        <w:rPr>
          <w:rStyle w:val="FootnoteReference"/>
        </w:rPr>
        <w:footnoteRef/>
      </w:r>
      <w:r>
        <w:rPr>
          <w:rtl/>
        </w:rPr>
        <w:t xml:space="preserve"> </w:t>
      </w:r>
      <w:r>
        <w:rPr>
          <w:rtl/>
        </w:rPr>
        <w:tab/>
      </w:r>
      <w:r w:rsidRPr="009C1299">
        <w:t>Carmel, Eyal &amp; Carmel, Dana &amp; Leiser, David &amp; Spivak, Avia. (2015). Facing a Biased Adviser While Choosing a Retirement Plan: The Impact of Financial Literacy and Fair Disclosure. Journal of Consumer Affairs. 49. 576-595. 10.1111/joca.12083</w:t>
      </w:r>
      <w:r w:rsidRPr="009C1299">
        <w:rPr>
          <w:rtl/>
        </w:rPr>
        <w:t>.</w:t>
      </w:r>
    </w:p>
  </w:footnote>
  <w:footnote w:id="111">
    <w:p w:rsidR="00362821" w:rsidP="00FA3E7D">
      <w:pPr>
        <w:pStyle w:val="FootnoteText"/>
        <w:spacing w:line="269" w:lineRule="auto"/>
      </w:pPr>
      <w:r>
        <w:rPr>
          <w:rStyle w:val="FootnoteReference"/>
        </w:rPr>
        <w:footnoteRef/>
      </w:r>
      <w:r>
        <w:rPr>
          <w:rtl/>
        </w:rPr>
        <w:t xml:space="preserve"> </w:t>
      </w:r>
      <w:r>
        <w:rPr>
          <w:rtl/>
        </w:rPr>
        <w:tab/>
      </w:r>
      <w:r>
        <w:rPr>
          <w:rFonts w:hint="cs"/>
          <w:rtl/>
        </w:rPr>
        <w:t>דוח שנתי 41, רישוי סוכני הביטוח והפיקוח עליהם, 1991.</w:t>
      </w:r>
    </w:p>
  </w:footnote>
  <w:footnote w:id="112">
    <w:p w:rsidR="00362821" w:rsidP="00FA3E7D">
      <w:pPr>
        <w:pStyle w:val="FootnoteText"/>
        <w:spacing w:line="269" w:lineRule="auto"/>
      </w:pPr>
      <w:r>
        <w:rPr>
          <w:rStyle w:val="FootnoteReference"/>
        </w:rPr>
        <w:footnoteRef/>
      </w:r>
      <w:r>
        <w:rPr>
          <w:rtl/>
        </w:rPr>
        <w:t xml:space="preserve"> </w:t>
      </w:r>
      <w:r>
        <w:rPr>
          <w:rtl/>
        </w:rPr>
        <w:tab/>
      </w:r>
      <w:r>
        <w:rPr>
          <w:rFonts w:hint="cs"/>
          <w:rtl/>
        </w:rPr>
        <w:t xml:space="preserve">ראו לדוגמה: בע"א 190/99 </w:t>
      </w:r>
      <w:r w:rsidRPr="00781E0B">
        <w:rPr>
          <w:rFonts w:hint="eastAsia"/>
          <w:b/>
          <w:bCs/>
          <w:rtl/>
        </w:rPr>
        <w:t>נעמט</w:t>
      </w:r>
      <w:r w:rsidRPr="00781E0B">
        <w:rPr>
          <w:b/>
          <w:bCs/>
          <w:rtl/>
        </w:rPr>
        <w:t xml:space="preserve"> נ' מנורה חברה לביטוח בע"מ</w:t>
      </w:r>
      <w:r>
        <w:rPr>
          <w:rFonts w:hint="cs"/>
          <w:rtl/>
        </w:rPr>
        <w:t>, שבו התבסס בית המשפט על חובת הנאמנות המוטלת על שלוח מכוח סעיף 8 לחוק השליחות, התשכ"ה 1965, המחייבת את השלוח לפעול בנאמנות על מנת לשרת את ענייניו של השולח ולהימנע מניגודי עניינים.</w:t>
      </w:r>
    </w:p>
  </w:footnote>
  <w:footnote w:id="113">
    <w:p w:rsidR="00362821" w:rsidP="00FA3E7D">
      <w:pPr>
        <w:pStyle w:val="FootnoteText"/>
        <w:spacing w:line="269" w:lineRule="auto"/>
      </w:pPr>
      <w:r>
        <w:rPr>
          <w:rStyle w:val="FootnoteReference"/>
        </w:rPr>
        <w:footnoteRef/>
      </w:r>
      <w:r>
        <w:rPr>
          <w:rtl/>
        </w:rPr>
        <w:t xml:space="preserve"> </w:t>
      </w:r>
      <w:r>
        <w:rPr>
          <w:rtl/>
        </w:rPr>
        <w:tab/>
      </w:r>
      <w:r>
        <w:rPr>
          <w:rFonts w:hint="cs"/>
          <w:rtl/>
        </w:rPr>
        <w:t>חוזר "צירוף לביטוח" 2016-1-7 מיוני 2016 ותיקונים לחוזר זה שפורסמו מעת לעת, המסדיר את חובות סוכן הביטוח לקראת כריתת חוזה ביטוח - ומטיל חובות שקיפות והגינות לצד חובת התאמת צרכי המבוטח למוצר הביטוחי, וכן חוזר "שירות סוכנים ויועצים ללקוחות" 2018-10-3, הקובע קווים מנחים לסוכן הביטוח בכל הקשור למתן שירות ללקוחותיו.</w:t>
      </w:r>
    </w:p>
  </w:footnote>
  <w:footnote w:id="114">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 xml:space="preserve">ראו להלן בפרק בנושא "הצורך בהסדרת </w:t>
      </w:r>
      <w:r w:rsidRPr="00E20557">
        <w:rPr>
          <w:rFonts w:hint="cs"/>
          <w:rtl/>
        </w:rPr>
        <w:t>חלוקת הטבות לסוכני ביטוח בתמורה לעמידה ביעדי מכירות</w:t>
      </w:r>
      <w:r>
        <w:rPr>
          <w:rFonts w:hint="cs"/>
          <w:rtl/>
        </w:rPr>
        <w:t>".</w:t>
      </w:r>
    </w:p>
  </w:footnote>
  <w:footnote w:id="115">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תחום ההוצאות הרפואיות הוא התחום המרכזי בין ביטוחי הבריאות.</w:t>
      </w:r>
    </w:p>
  </w:footnote>
  <w:footnote w:id="116">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הספירה התבססה על דיווחי חברות הביטוח לרשות שוק ההון על הסוכנויות שקיבלו בשנים 2018-2017 עמלות בגין מכירת מוצרי ביטוח בריאות.</w:t>
      </w:r>
    </w:p>
  </w:footnote>
  <w:footnote w:id="117">
    <w:p w:rsidR="00362821" w:rsidP="00FA3E7D">
      <w:pPr>
        <w:pStyle w:val="FootnoteText"/>
        <w:spacing w:line="269" w:lineRule="auto"/>
      </w:pPr>
      <w:r>
        <w:rPr>
          <w:rStyle w:val="FootnoteReference"/>
        </w:rPr>
        <w:footnoteRef/>
      </w:r>
      <w:r>
        <w:rPr>
          <w:rtl/>
        </w:rPr>
        <w:t xml:space="preserve"> </w:t>
      </w:r>
      <w:r>
        <w:rPr>
          <w:rtl/>
        </w:rPr>
        <w:tab/>
      </w:r>
      <w:r>
        <w:rPr>
          <w:rFonts w:hint="cs"/>
          <w:rtl/>
        </w:rPr>
        <w:t>ראה לעניין מבצעי קידום מכירות בהמשך.</w:t>
      </w:r>
    </w:p>
  </w:footnote>
  <w:footnote w:id="118">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לעניין זה ראה גם מבקר המדינה, דוח ביקורת מיוחד בעניין הסדרי הפנסיה במדינה, 2016. בדוח המליץ משרד מבקר המדינה לאגף שוק ההון (דאז) ל</w:t>
      </w:r>
      <w:r w:rsidRPr="002D08D6">
        <w:rPr>
          <w:rFonts w:hint="cs"/>
          <w:rtl/>
        </w:rPr>
        <w:t>שקול הסדרת הוראות הקובעות מגבלות מתאימות בעניין</w:t>
      </w:r>
      <w:r w:rsidRPr="002D08D6">
        <w:t xml:space="preserve"> </w:t>
      </w:r>
      <w:r w:rsidRPr="002D08D6">
        <w:rPr>
          <w:rFonts w:hint="cs"/>
          <w:rtl/>
        </w:rPr>
        <w:t>הפצת</w:t>
      </w:r>
      <w:r w:rsidRPr="002D08D6">
        <w:t xml:space="preserve"> </w:t>
      </w:r>
      <w:r w:rsidRPr="002D08D6">
        <w:rPr>
          <w:rFonts w:hint="cs"/>
          <w:rtl/>
        </w:rPr>
        <w:t>מוצרי</w:t>
      </w:r>
      <w:r w:rsidRPr="002D08D6">
        <w:t xml:space="preserve"> </w:t>
      </w:r>
      <w:r w:rsidRPr="002D08D6">
        <w:rPr>
          <w:rFonts w:hint="cs"/>
          <w:rtl/>
        </w:rPr>
        <w:t>חברת</w:t>
      </w:r>
      <w:r w:rsidRPr="002D08D6">
        <w:t xml:space="preserve"> </w:t>
      </w:r>
      <w:r w:rsidRPr="002D08D6">
        <w:rPr>
          <w:rFonts w:hint="cs"/>
          <w:rtl/>
        </w:rPr>
        <w:t>האם</w:t>
      </w:r>
      <w:r w:rsidRPr="002D08D6">
        <w:t xml:space="preserve"> </w:t>
      </w:r>
      <w:r w:rsidRPr="002D08D6">
        <w:rPr>
          <w:rFonts w:hint="cs"/>
          <w:rtl/>
        </w:rPr>
        <w:t>באמצעות</w:t>
      </w:r>
      <w:r w:rsidRPr="002D08D6">
        <w:t xml:space="preserve"> </w:t>
      </w:r>
      <w:r w:rsidRPr="002D08D6">
        <w:rPr>
          <w:rFonts w:hint="cs"/>
          <w:rtl/>
        </w:rPr>
        <w:t>סוכנות</w:t>
      </w:r>
      <w:r w:rsidRPr="002D08D6">
        <w:t xml:space="preserve"> </w:t>
      </w:r>
      <w:r w:rsidRPr="002D08D6">
        <w:rPr>
          <w:rFonts w:hint="cs"/>
          <w:rtl/>
        </w:rPr>
        <w:t>בבעלות</w:t>
      </w:r>
      <w:r>
        <w:rPr>
          <w:rFonts w:hint="cs"/>
          <w:rtl/>
        </w:rPr>
        <w:t>, זאת לאור השפעה מהותית של חברת האם על סוכנויות ביטוח המצויות עימה בהסדר.</w:t>
      </w:r>
    </w:p>
  </w:footnote>
  <w:footnote w:id="119">
    <w:p w:rsidR="00362821" w:rsidP="00FA3E7D">
      <w:pPr>
        <w:pStyle w:val="FootnoteText"/>
        <w:spacing w:line="269" w:lineRule="auto"/>
        <w:rPr>
          <w:rtl/>
        </w:rPr>
      </w:pPr>
      <w:r w:rsidRPr="006327CE">
        <w:rPr>
          <w:rStyle w:val="FootnoteReference"/>
        </w:rPr>
        <w:footnoteRef/>
      </w:r>
      <w:r w:rsidRPr="006327CE">
        <w:rPr>
          <w:rtl/>
        </w:rPr>
        <w:t xml:space="preserve"> </w:t>
      </w:r>
      <w:r w:rsidRPr="006327CE">
        <w:rPr>
          <w:rtl/>
        </w:rPr>
        <w:tab/>
      </w:r>
      <w:r w:rsidRPr="006327CE">
        <w:rPr>
          <w:rFonts w:hint="eastAsia"/>
          <w:rtl/>
        </w:rPr>
        <w:t>ראו</w:t>
      </w:r>
      <w:r w:rsidRPr="006327CE">
        <w:rPr>
          <w:rtl/>
        </w:rPr>
        <w:t xml:space="preserve"> הערה </w:t>
      </w:r>
      <w:r>
        <w:rPr>
          <w:rFonts w:hint="cs"/>
          <w:rtl/>
        </w:rPr>
        <w:t>108</w:t>
      </w:r>
      <w:r w:rsidRPr="006327CE">
        <w:rPr>
          <w:rtl/>
        </w:rPr>
        <w:t xml:space="preserve"> </w:t>
      </w:r>
      <w:r w:rsidRPr="006327CE">
        <w:rPr>
          <w:rFonts w:hint="eastAsia"/>
          <w:rtl/>
        </w:rPr>
        <w:t>לעיל</w:t>
      </w:r>
      <w:r w:rsidRPr="006327CE">
        <w:rPr>
          <w:rFonts w:hint="cs"/>
          <w:rtl/>
        </w:rPr>
        <w:t>.</w:t>
      </w:r>
      <w:r>
        <w:rPr>
          <w:rFonts w:hint="cs"/>
          <w:rtl/>
        </w:rPr>
        <w:t xml:space="preserve"> </w:t>
      </w:r>
    </w:p>
  </w:footnote>
  <w:footnote w:id="120">
    <w:p w:rsidR="00362821" w:rsidP="00FA3E7D">
      <w:pPr>
        <w:pStyle w:val="FootnoteText"/>
        <w:spacing w:line="269" w:lineRule="auto"/>
      </w:pPr>
      <w:r>
        <w:rPr>
          <w:rStyle w:val="FootnoteReference"/>
        </w:rPr>
        <w:footnoteRef/>
      </w:r>
      <w:r>
        <w:rPr>
          <w:rtl/>
        </w:rPr>
        <w:t xml:space="preserve"> </w:t>
      </w:r>
      <w:r>
        <w:rPr>
          <w:rtl/>
        </w:rPr>
        <w:tab/>
      </w:r>
      <w:r>
        <w:rPr>
          <w:rFonts w:hint="cs"/>
          <w:rtl/>
        </w:rPr>
        <w:t>חוזר גופים מוסדיים 2018-9-30.</w:t>
      </w:r>
    </w:p>
  </w:footnote>
  <w:footnote w:id="121">
    <w:p w:rsidR="00362821" w:rsidRPr="00B5116B" w:rsidP="00FA3E7D">
      <w:pPr>
        <w:pStyle w:val="FootnoteText"/>
        <w:spacing w:line="269" w:lineRule="auto"/>
        <w:rPr>
          <w:b/>
          <w:bCs/>
        </w:rPr>
      </w:pPr>
      <w:r>
        <w:rPr>
          <w:rStyle w:val="FootnoteReference"/>
        </w:rPr>
        <w:footnoteRef/>
      </w:r>
      <w:r>
        <w:rPr>
          <w:rtl/>
        </w:rPr>
        <w:t xml:space="preserve"> </w:t>
      </w:r>
      <w:r>
        <w:tab/>
        <w:t>Financial Markets Au</w:t>
      </w:r>
      <w:r w:rsidRPr="00C01883">
        <w:t>tho</w:t>
      </w:r>
      <w:r>
        <w:t>rity – “</w:t>
      </w:r>
      <w:r>
        <w:rPr>
          <w:b/>
          <w:bCs/>
        </w:rPr>
        <w:t xml:space="preserve">Conflicted remuneration in the life and health insurance industry” </w:t>
      </w:r>
      <w:r w:rsidRPr="00B5116B">
        <w:t>(</w:t>
      </w:r>
      <w:r>
        <w:t>M</w:t>
      </w:r>
      <w:r w:rsidRPr="00B5116B">
        <w:t>ay 2018)</w:t>
      </w:r>
    </w:p>
  </w:footnote>
  <w:footnote w:id="122">
    <w:p w:rsidR="00362821" w:rsidP="00FA3E7D">
      <w:pPr>
        <w:pStyle w:val="FootnoteText"/>
        <w:spacing w:line="269" w:lineRule="auto"/>
      </w:pPr>
      <w:r>
        <w:rPr>
          <w:rStyle w:val="FootnoteReference"/>
        </w:rPr>
        <w:footnoteRef/>
      </w:r>
      <w:r>
        <w:rPr>
          <w:rtl/>
        </w:rPr>
        <w:t xml:space="preserve"> </w:t>
      </w:r>
      <w:r>
        <w:rPr>
          <w:rtl/>
        </w:rPr>
        <w:tab/>
      </w:r>
      <w:r>
        <w:rPr>
          <w:rFonts w:hint="cs"/>
          <w:rtl/>
        </w:rPr>
        <w:t xml:space="preserve">חוק הפיקוח על שירותים פיננסיים (ייעוץ, שיווק ומערכת סליקה פנסיוניים), התשס"ה-2005. </w:t>
      </w:r>
    </w:p>
  </w:footnote>
  <w:footnote w:id="123">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 xml:space="preserve">הרשות פרסמה בשנת 2014 טיוטת תקנות שנועדו לאסור לשלם לסוכן ביטוח דמי עמילות שאינם עמלת שירות, או הוצאות הדרכה מקצועיות. כמו כן, נאסר תשלום עמלת יעד אלא בהתקיים כמה תנאים שנקבעו. ראו טיוטת תקנות הפיקוח על שירותים פיננסיים (ביטוח)(דמי עמילות), התשע"ד-2014. יצוין כי טיוטת התקנות לא קודמה. </w:t>
      </w:r>
    </w:p>
  </w:footnote>
  <w:footnote w:id="124">
    <w:p w:rsidR="00362821" w:rsidP="00FA3E7D">
      <w:pPr>
        <w:pStyle w:val="FootnoteText"/>
        <w:spacing w:line="269" w:lineRule="auto"/>
      </w:pPr>
      <w:r>
        <w:rPr>
          <w:rStyle w:val="FootnoteReference"/>
        </w:rPr>
        <w:footnoteRef/>
      </w:r>
      <w:r>
        <w:rPr>
          <w:rtl/>
        </w:rPr>
        <w:t xml:space="preserve"> </w:t>
      </w:r>
      <w:r>
        <w:rPr>
          <w:rtl/>
        </w:rPr>
        <w:tab/>
      </w:r>
      <w:r>
        <w:rPr>
          <w:rFonts w:hint="cs"/>
          <w:rtl/>
        </w:rPr>
        <w:t>הסמכות לקבוע הוראות בדבר דמי עמילות מקסימליים שמותר למבטח לשלם לסוכן ביטוח, לכל ענפי הביטוח או לענפים מסוימים, נתונה בידי שר האוצר בהתאם להוראות סעיף 41(ד) לחוק הפיקוח על שירותים פיננסיים (ביטוח), תשמ"א 1981. החוק מגדיר לעניין זה "דמי עמילות" כ-"עמלה, שכר השתתפות בהוצאות, או כל הטבה אחרת, הכל במישרין או בעקיפין".</w:t>
      </w:r>
    </w:p>
  </w:footnote>
  <w:footnote w:id="125">
    <w:p w:rsidR="00362821" w:rsidP="00FA3E7D">
      <w:pPr>
        <w:pStyle w:val="FootnoteText"/>
        <w:spacing w:line="269" w:lineRule="auto"/>
      </w:pPr>
      <w:r>
        <w:rPr>
          <w:rStyle w:val="FootnoteReference"/>
        </w:rPr>
        <w:footnoteRef/>
      </w:r>
      <w:r>
        <w:rPr>
          <w:rtl/>
        </w:rPr>
        <w:t xml:space="preserve"> </w:t>
      </w:r>
      <w:r>
        <w:rPr>
          <w:rtl/>
        </w:rPr>
        <w:tab/>
      </w:r>
      <w:r>
        <w:rPr>
          <w:rFonts w:hint="cs"/>
          <w:rtl/>
        </w:rPr>
        <w:t>גורמים אחרים הם שינוי בשיעורי תמותה, שינוי בתחלואה, שינויים בהרכב סל הבריאות, אינפלציה בהוצאות בריאות, מדיניות רגולציה, מדיניות מבטחי משנה, גורמים חברתיים וגורמים סביבתיים.</w:t>
      </w:r>
    </w:p>
  </w:footnote>
  <w:footnote w:id="126">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 xml:space="preserve">ראו למשל </w:t>
      </w:r>
      <w:r>
        <w:t>National association of insurance Commissioners, CIPR study, State of Life Insurance Industry: Implications of industry Trends, August 2013</w:t>
      </w:r>
      <w:r>
        <w:rPr>
          <w:rFonts w:hint="cs"/>
          <w:rtl/>
        </w:rPr>
        <w:t xml:space="preserve"> בכתובת: </w:t>
      </w:r>
      <w:r w:rsidRPr="007F30E9">
        <w:t>https://www.naic.org/documents/cipr_home_130823_implications_industry_trends_final.pdf</w:t>
      </w:r>
    </w:p>
  </w:footnote>
  <w:footnote w:id="127">
    <w:p w:rsidR="00362821" w:rsidP="00FA3E7D">
      <w:pPr>
        <w:pStyle w:val="FootnoteText"/>
        <w:spacing w:line="269" w:lineRule="auto"/>
      </w:pPr>
      <w:r>
        <w:rPr>
          <w:rStyle w:val="FootnoteReference"/>
        </w:rPr>
        <w:footnoteRef/>
      </w:r>
      <w:r>
        <w:rPr>
          <w:rtl/>
        </w:rPr>
        <w:t xml:space="preserve"> </w:t>
      </w:r>
      <w:r>
        <w:rPr>
          <w:rtl/>
        </w:rPr>
        <w:tab/>
      </w:r>
      <w:r>
        <w:rPr>
          <w:rFonts w:hint="cs"/>
          <w:rtl/>
        </w:rPr>
        <w:t xml:space="preserve">חוזר ביטוח 2004/10 "החלפת פוליסות ביטוח חיים ובריאות - הוראות למבטחים ולסוכני הביטוח". </w:t>
      </w:r>
    </w:p>
  </w:footnote>
  <w:footnote w:id="128">
    <w:p w:rsidR="00362821" w:rsidP="00FA3E7D">
      <w:pPr>
        <w:pStyle w:val="FootnoteText"/>
        <w:spacing w:line="269" w:lineRule="auto"/>
      </w:pPr>
      <w:r>
        <w:rPr>
          <w:rStyle w:val="FootnoteReference"/>
        </w:rPr>
        <w:footnoteRef/>
      </w:r>
      <w:r>
        <w:rPr>
          <w:rtl/>
        </w:rPr>
        <w:t xml:space="preserve"> </w:t>
      </w:r>
      <w:r>
        <w:rPr>
          <w:rtl/>
        </w:rPr>
        <w:tab/>
      </w:r>
      <w:r>
        <w:rPr>
          <w:rFonts w:hint="cs"/>
          <w:rtl/>
        </w:rPr>
        <w:t xml:space="preserve">דוגמה נוספת לסוג ביטוח הדורש שירות מתמשך של סוכן הביטוח היא ביטוח פנסיוני. לפי הוראות רשות שוק ההון, סוכן פנסיוני </w:t>
      </w:r>
      <w:r w:rsidRPr="00980F2C">
        <w:rPr>
          <w:rFonts w:hint="cs"/>
          <w:rtl/>
        </w:rPr>
        <w:t xml:space="preserve">נדרש </w:t>
      </w:r>
      <w:r>
        <w:rPr>
          <w:rFonts w:hint="cs"/>
          <w:rtl/>
        </w:rPr>
        <w:t>לבחון, לפחות אחת לשנתיים, אם חל שינוי במצבו של הלקוח (למשל הצטרפות למקום עבודה חדש, עזיבת מקום עבודה, גידול בשכר וכו'), ולפעול במקרה זה, או במקרה שהובא לידיעתו על שינוי כאמור, לבחינת התאמת המוצר הפנסיוני לצורכי הלקוח - ראו חוזר שירות סוכנים ויועצים ללקוחות, מס' 2018-10-3, מיום 1.5.2018.</w:t>
      </w:r>
    </w:p>
  </w:footnote>
  <w:footnote w:id="129">
    <w:p w:rsidR="00362821" w:rsidP="00FA3E7D">
      <w:pPr>
        <w:pStyle w:val="FootnoteText"/>
        <w:spacing w:line="269" w:lineRule="auto"/>
      </w:pPr>
      <w:r>
        <w:rPr>
          <w:rStyle w:val="FootnoteReference"/>
        </w:rPr>
        <w:footnoteRef/>
      </w:r>
      <w:r>
        <w:rPr>
          <w:rtl/>
        </w:rPr>
        <w:t xml:space="preserve"> </w:t>
      </w:r>
      <w:r>
        <w:rPr>
          <w:rtl/>
        </w:rPr>
        <w:tab/>
      </w:r>
      <w:r>
        <w:rPr>
          <w:rFonts w:hint="cs"/>
          <w:rtl/>
        </w:rPr>
        <w:t>הנוסח העדכני נקבע בחוזר סוכנים ויועצים 2019-10-1, "מעורבות גוף שאינו בעל רישיון בשיווק ומכירה של מוצר ביטוח שאינו ביטוח קבוצתי - תיקון".</w:t>
      </w:r>
    </w:p>
  </w:footnote>
  <w:footnote w:id="130">
    <w:p w:rsidR="00362821" w:rsidP="00FA3E7D">
      <w:pPr>
        <w:pStyle w:val="FootnoteText"/>
        <w:spacing w:line="269" w:lineRule="auto"/>
      </w:pPr>
      <w:r>
        <w:rPr>
          <w:rStyle w:val="FootnoteReference"/>
        </w:rPr>
        <w:footnoteRef/>
      </w:r>
      <w:r>
        <w:rPr>
          <w:rtl/>
        </w:rPr>
        <w:t xml:space="preserve"> </w:t>
      </w:r>
      <w:r>
        <w:rPr>
          <w:rtl/>
        </w:rPr>
        <w:tab/>
      </w:r>
      <w:r>
        <w:rPr>
          <w:rFonts w:hint="cs"/>
          <w:rtl/>
        </w:rPr>
        <w:t>גורם שייעץ ללקוחות טרם רכישת מוצרי הביטוח, והתגמול שלו ישולם על ידי הלקוח בלבד.</w:t>
      </w:r>
    </w:p>
  </w:footnote>
  <w:footnote w:id="131">
    <w:p w:rsidR="00362821" w:rsidRPr="003C51E8" w:rsidP="00FA3E7D">
      <w:pPr>
        <w:pStyle w:val="FootnoteText"/>
        <w:spacing w:line="269" w:lineRule="auto"/>
        <w:rPr>
          <w:rtl/>
        </w:rPr>
      </w:pPr>
      <w:r>
        <w:rPr>
          <w:rStyle w:val="FootnoteReference"/>
        </w:rPr>
        <w:footnoteRef/>
      </w:r>
      <w:r>
        <w:rPr>
          <w:rtl/>
        </w:rPr>
        <w:t xml:space="preserve"> </w:t>
      </w:r>
      <w:r>
        <w:rPr>
          <w:rtl/>
        </w:rPr>
        <w:tab/>
      </w:r>
      <w:r>
        <w:rPr>
          <w:rFonts w:hint="cs"/>
          <w:rtl/>
        </w:rPr>
        <w:t xml:space="preserve">סוכן </w:t>
      </w:r>
      <w:r w:rsidRPr="00884C98">
        <w:rPr>
          <w:rFonts w:hint="cs"/>
          <w:sz w:val="24"/>
          <w:rtl/>
        </w:rPr>
        <w:t>אשר יחויב להתקשר עם מספר מינימלי של חברות ביטוח, בתנאים זהים</w:t>
      </w:r>
      <w:r>
        <w:rPr>
          <w:rFonts w:hint="cs"/>
          <w:sz w:val="24"/>
          <w:rtl/>
        </w:rPr>
        <w:t>,</w:t>
      </w:r>
      <w:r w:rsidRPr="00884C98">
        <w:rPr>
          <w:rFonts w:hint="cs"/>
          <w:sz w:val="24"/>
          <w:rtl/>
        </w:rPr>
        <w:t xml:space="preserve"> </w:t>
      </w:r>
      <w:r>
        <w:rPr>
          <w:rFonts w:hint="cs"/>
          <w:sz w:val="24"/>
          <w:rtl/>
        </w:rPr>
        <w:t>היינו -</w:t>
      </w:r>
      <w:r w:rsidRPr="00884C98">
        <w:rPr>
          <w:rFonts w:hint="cs"/>
          <w:sz w:val="24"/>
          <w:rtl/>
        </w:rPr>
        <w:t>בכל מוצר ביטוחי תהיה תמורה זהה בל</w:t>
      </w:r>
      <w:r>
        <w:rPr>
          <w:rFonts w:hint="cs"/>
          <w:sz w:val="24"/>
          <w:rtl/>
        </w:rPr>
        <w:t>י</w:t>
      </w:r>
      <w:r w:rsidRPr="00884C98">
        <w:rPr>
          <w:rFonts w:hint="cs"/>
          <w:sz w:val="24"/>
          <w:rtl/>
        </w:rPr>
        <w:t xml:space="preserve"> קשר לזהות חברת הביטוח</w:t>
      </w:r>
      <w:r>
        <w:rPr>
          <w:rFonts w:hint="cs"/>
          <w:sz w:val="24"/>
          <w:rtl/>
        </w:rPr>
        <w:t>.</w:t>
      </w:r>
      <w:r w:rsidRPr="00884C98">
        <w:rPr>
          <w:rFonts w:hint="cs"/>
          <w:sz w:val="24"/>
          <w:rtl/>
        </w:rPr>
        <w:t xml:space="preserve"> </w:t>
      </w:r>
    </w:p>
  </w:footnote>
  <w:footnote w:id="132">
    <w:p w:rsidR="00362821" w:rsidRPr="003C51E8" w:rsidP="00FA3E7D">
      <w:pPr>
        <w:pStyle w:val="FootnoteText"/>
        <w:spacing w:line="269" w:lineRule="auto"/>
      </w:pPr>
      <w:r>
        <w:rPr>
          <w:rStyle w:val="FootnoteReference"/>
        </w:rPr>
        <w:footnoteRef/>
      </w:r>
      <w:r>
        <w:rPr>
          <w:rtl/>
        </w:rPr>
        <w:t xml:space="preserve"> </w:t>
      </w:r>
      <w:r>
        <w:rPr>
          <w:rtl/>
        </w:rPr>
        <w:tab/>
      </w:r>
      <w:r w:rsidRPr="00884C98">
        <w:rPr>
          <w:rFonts w:hint="cs"/>
          <w:sz w:val="24"/>
          <w:rtl/>
        </w:rPr>
        <w:t>סוכן בעל רישיון, שאין לו התקשרות עם מספר מינימלי של חברות ביטוח</w:t>
      </w:r>
      <w:r>
        <w:rPr>
          <w:rFonts w:hint="cs"/>
          <w:sz w:val="24"/>
          <w:rtl/>
        </w:rPr>
        <w:t xml:space="preserve"> ואשר יהיה מחויב ב</w:t>
      </w:r>
      <w:r w:rsidRPr="00884C98">
        <w:rPr>
          <w:rFonts w:hint="cs"/>
          <w:sz w:val="24"/>
          <w:rtl/>
        </w:rPr>
        <w:t xml:space="preserve">חובת גילוי ושקיפות באשר לניגודי העניינים הקיימים. </w:t>
      </w:r>
      <w:r>
        <w:rPr>
          <w:rFonts w:hint="cs"/>
          <w:rtl/>
        </w:rPr>
        <w:t>הוצע כי הרישיון יינתן לתקופה קצובה כדי לתת לסוכן הקשור אפשרות להתקשר עם חברות נוספות ולפעול כברוקר.</w:t>
      </w:r>
    </w:p>
  </w:footnote>
  <w:footnote w:id="133">
    <w:p w:rsidR="00362821" w:rsidP="00FA3E7D">
      <w:pPr>
        <w:pStyle w:val="FootnoteText"/>
        <w:spacing w:line="269" w:lineRule="auto"/>
      </w:pPr>
      <w:r>
        <w:rPr>
          <w:rStyle w:val="FootnoteReference"/>
        </w:rPr>
        <w:footnoteRef/>
      </w:r>
      <w:r>
        <w:rPr>
          <w:rtl/>
        </w:rPr>
        <w:t xml:space="preserve"> </w:t>
      </w:r>
      <w:r>
        <w:rPr>
          <w:rtl/>
        </w:rPr>
        <w:tab/>
      </w:r>
      <w:r>
        <w:rPr>
          <w:rFonts w:hint="cs"/>
          <w:sz w:val="24"/>
          <w:rtl/>
        </w:rPr>
        <w:t xml:space="preserve">גורמים מטעם </w:t>
      </w:r>
      <w:r w:rsidRPr="00884C98">
        <w:rPr>
          <w:rFonts w:hint="cs"/>
          <w:sz w:val="24"/>
          <w:rtl/>
        </w:rPr>
        <w:t>חברות</w:t>
      </w:r>
      <w:r>
        <w:rPr>
          <w:rFonts w:hint="cs"/>
          <w:sz w:val="24"/>
          <w:rtl/>
        </w:rPr>
        <w:t xml:space="preserve">, אשר יוכשרו על ידי החברות ופעילותם תפוקח על ידן. </w:t>
      </w:r>
      <w:r w:rsidRPr="00884C98">
        <w:rPr>
          <w:rFonts w:hint="cs"/>
          <w:sz w:val="24"/>
          <w:rtl/>
        </w:rPr>
        <w:t>האחריות לפעול</w:t>
      </w:r>
      <w:r>
        <w:rPr>
          <w:rFonts w:hint="cs"/>
          <w:sz w:val="24"/>
          <w:rtl/>
        </w:rPr>
        <w:t>תם</w:t>
      </w:r>
      <w:r w:rsidRPr="00884C98">
        <w:rPr>
          <w:rFonts w:hint="cs"/>
          <w:sz w:val="24"/>
          <w:rtl/>
        </w:rPr>
        <w:t xml:space="preserve"> תוטל על חברת הביטוח השולחת.</w:t>
      </w:r>
    </w:p>
  </w:footnote>
  <w:footnote w:id="134">
    <w:p w:rsidR="00362821" w:rsidRPr="00020CA4" w:rsidP="00FA3E7D">
      <w:pPr>
        <w:pStyle w:val="FootnoteText"/>
        <w:spacing w:line="269" w:lineRule="auto"/>
        <w:rPr>
          <w:rtl/>
        </w:rPr>
      </w:pPr>
      <w:r>
        <w:rPr>
          <w:rStyle w:val="FootnoteReference"/>
        </w:rPr>
        <w:footnoteRef/>
      </w:r>
      <w:r>
        <w:rPr>
          <w:rtl/>
        </w:rPr>
        <w:t xml:space="preserve"> </w:t>
      </w:r>
      <w:r>
        <w:rPr>
          <w:rtl/>
        </w:rPr>
        <w:tab/>
      </w:r>
      <w:r>
        <w:rPr>
          <w:rFonts w:hint="cs"/>
          <w:sz w:val="24"/>
          <w:rtl/>
        </w:rPr>
        <w:t xml:space="preserve">גופים שיקבלו רישיון ייעודי לשיווק מוצרי ביטוח, </w:t>
      </w:r>
      <w:r w:rsidRPr="00884C98">
        <w:rPr>
          <w:rFonts w:hint="cs"/>
          <w:sz w:val="24"/>
          <w:rtl/>
        </w:rPr>
        <w:t>לאחר בדיקה כי אפליקציות ופלטפו</w:t>
      </w:r>
      <w:r>
        <w:rPr>
          <w:rFonts w:hint="cs"/>
          <w:sz w:val="24"/>
          <w:rtl/>
        </w:rPr>
        <w:t xml:space="preserve">רמות דיגיטליות שיופעלו על ידם </w:t>
      </w:r>
      <w:r w:rsidRPr="00884C98">
        <w:rPr>
          <w:rFonts w:hint="cs"/>
          <w:sz w:val="24"/>
          <w:rtl/>
        </w:rPr>
        <w:t>יעמדו בחובות של הוגנות כלפי הלקוח</w:t>
      </w:r>
      <w:r>
        <w:rPr>
          <w:rFonts w:hint="cs"/>
          <w:sz w:val="24"/>
          <w:rtl/>
        </w:rPr>
        <w:t>.</w:t>
      </w:r>
    </w:p>
  </w:footnote>
  <w:footnote w:id="135">
    <w:p w:rsidR="00362821" w:rsidP="00FA3E7D">
      <w:pPr>
        <w:pStyle w:val="FootnoteText"/>
        <w:spacing w:line="269" w:lineRule="auto"/>
      </w:pPr>
      <w:r>
        <w:rPr>
          <w:rStyle w:val="FootnoteReference"/>
        </w:rPr>
        <w:footnoteRef/>
      </w:r>
      <w:r>
        <w:rPr>
          <w:rtl/>
        </w:rPr>
        <w:t xml:space="preserve"> </w:t>
      </w:r>
      <w:r>
        <w:rPr>
          <w:rtl/>
        </w:rPr>
        <w:tab/>
      </w:r>
      <w:r>
        <w:rPr>
          <w:rFonts w:hint="cs"/>
          <w:rtl/>
        </w:rPr>
        <w:t>ראו י' אליאס, דיני ביטוח (2016), בעמ' 1162-1085.</w:t>
      </w:r>
    </w:p>
  </w:footnote>
  <w:footnote w:id="136">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ראו לעניין זה בפרק בעניין הסדרת פעילות סוכני הביטוח בתחום ביטוחי הבריאות.</w:t>
      </w:r>
    </w:p>
  </w:footnote>
  <w:footnote w:id="137">
    <w:p w:rsidR="00362821" w:rsidP="00FA3E7D">
      <w:pPr>
        <w:pStyle w:val="FootnoteText"/>
        <w:spacing w:line="269" w:lineRule="auto"/>
      </w:pPr>
      <w:r>
        <w:rPr>
          <w:rStyle w:val="FootnoteReference"/>
        </w:rPr>
        <w:footnoteRef/>
      </w:r>
      <w:r>
        <w:rPr>
          <w:rtl/>
        </w:rPr>
        <w:t xml:space="preserve"> </w:t>
      </w:r>
      <w:r>
        <w:rPr>
          <w:rtl/>
        </w:rPr>
        <w:tab/>
      </w:r>
      <w:r>
        <w:rPr>
          <w:rFonts w:hint="cs"/>
          <w:rtl/>
        </w:rPr>
        <w:t>משמעות החיתום היא שבשנים הקרובות למועד עריכת הפוליסה, מבחינה סטטיסטית מרבית המבוטחים החדשים הם בריאים באופן יחסי, ועל כן הם צפויים להגיש פחות תביעות לחברת הביטוח. מספר התביעות צפוי לעלות ככל שעובר הזמן.</w:t>
      </w:r>
    </w:p>
  </w:footnote>
  <w:footnote w:id="138">
    <w:p w:rsidR="00362821" w:rsidP="00FA3E7D">
      <w:pPr>
        <w:pStyle w:val="FootnoteText"/>
        <w:spacing w:line="269" w:lineRule="auto"/>
      </w:pPr>
      <w:r>
        <w:rPr>
          <w:rStyle w:val="FootnoteReference"/>
        </w:rPr>
        <w:footnoteRef/>
      </w:r>
      <w:r>
        <w:rPr>
          <w:rtl/>
        </w:rPr>
        <w:t xml:space="preserve"> </w:t>
      </w:r>
      <w:r>
        <w:rPr>
          <w:rtl/>
        </w:rPr>
        <w:tab/>
      </w:r>
      <w:r>
        <w:rPr>
          <w:rFonts w:hint="cs"/>
          <w:rtl/>
        </w:rPr>
        <w:t>ראו בהמשך התרשימים המתייחסים לדירוג הרב-שנתי של החברות ברכיבי מדדי השירות.</w:t>
      </w:r>
    </w:p>
  </w:footnote>
  <w:footnote w:id="139">
    <w:p w:rsidR="00362821" w:rsidP="00FA3E7D">
      <w:pPr>
        <w:pStyle w:val="FootnoteText"/>
        <w:spacing w:line="269" w:lineRule="auto"/>
      </w:pPr>
      <w:r>
        <w:rPr>
          <w:rStyle w:val="FootnoteReference"/>
        </w:rPr>
        <w:footnoteRef/>
      </w:r>
      <w:r>
        <w:rPr>
          <w:rtl/>
        </w:rPr>
        <w:t xml:space="preserve"> </w:t>
      </w:r>
      <w:r>
        <w:rPr>
          <w:rtl/>
        </w:rPr>
        <w:tab/>
      </w:r>
      <w:r>
        <w:rPr>
          <w:rFonts w:hint="cs"/>
          <w:rtl/>
        </w:rPr>
        <w:t>הבדיקה נעשתה ביחס לשנים 2012-2011.</w:t>
      </w:r>
    </w:p>
  </w:footnote>
  <w:footnote w:id="140">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הובאו בחשבון נתוני חברות שסיימו לטפל במהלך השנה לפחות ב-30 תביעות במוצר שלגביו בוצע החישוב.</w:t>
      </w:r>
    </w:p>
  </w:footnote>
  <w:footnote w:id="141">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תביעות שבגינן מסר הגוף המוסדי לתובע הודעת תשלום או הודעת תשלום חלקי.</w:t>
      </w:r>
    </w:p>
  </w:footnote>
  <w:footnote w:id="142">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 xml:space="preserve">תביעות </w:t>
      </w:r>
      <w:r w:rsidRPr="00DD6C16">
        <w:rPr>
          <w:rFonts w:hint="cs"/>
          <w:rtl/>
        </w:rPr>
        <w:t xml:space="preserve">שבגינן </w:t>
      </w:r>
      <w:r>
        <w:rPr>
          <w:rFonts w:hint="cs"/>
          <w:rtl/>
        </w:rPr>
        <w:t>מסר הגוף המוסדי לתובע הודעת דחייה.</w:t>
      </w:r>
    </w:p>
  </w:footnote>
  <w:footnote w:id="143">
    <w:p w:rsidR="00362821" w:rsidP="00FA3E7D">
      <w:pPr>
        <w:pStyle w:val="FootnoteText"/>
        <w:spacing w:line="269" w:lineRule="auto"/>
      </w:pPr>
      <w:r>
        <w:rPr>
          <w:rStyle w:val="FootnoteReference"/>
        </w:rPr>
        <w:footnoteRef/>
      </w:r>
      <w:r>
        <w:rPr>
          <w:rtl/>
        </w:rPr>
        <w:t xml:space="preserve"> </w:t>
      </w:r>
      <w:r>
        <w:rPr>
          <w:rtl/>
        </w:rPr>
        <w:tab/>
      </w:r>
      <w:r>
        <w:rPr>
          <w:rFonts w:hint="cs"/>
          <w:rtl/>
        </w:rPr>
        <w:t xml:space="preserve">תביעות </w:t>
      </w:r>
      <w:r w:rsidRPr="00DD6C16">
        <w:rPr>
          <w:rFonts w:hint="cs"/>
          <w:rtl/>
        </w:rPr>
        <w:t xml:space="preserve">שבגינן </w:t>
      </w:r>
      <w:r>
        <w:rPr>
          <w:rFonts w:hint="cs"/>
          <w:rtl/>
        </w:rPr>
        <w:t>אישר התובע את הודעת הפשרה שמסר לו גוף מוסדי.</w:t>
      </w:r>
    </w:p>
  </w:footnote>
  <w:footnote w:id="144">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תביעות שנסגרו למעט תביעות שאושרו, נדחו או נסגרו בפשרה.</w:t>
      </w:r>
    </w:p>
  </w:footnote>
  <w:footnote w:id="145">
    <w:p w:rsidR="00362821" w:rsidP="00FA3E7D">
      <w:pPr>
        <w:pStyle w:val="FootnoteText"/>
        <w:spacing w:line="269" w:lineRule="auto"/>
      </w:pPr>
      <w:r>
        <w:rPr>
          <w:rStyle w:val="FootnoteReference"/>
        </w:rPr>
        <w:footnoteRef/>
      </w:r>
      <w:r>
        <w:rPr>
          <w:rtl/>
        </w:rPr>
        <w:t xml:space="preserve"> </w:t>
      </w:r>
      <w:r>
        <w:rPr>
          <w:rtl/>
        </w:rPr>
        <w:tab/>
      </w:r>
      <w:r>
        <w:rPr>
          <w:rFonts w:hint="cs"/>
          <w:rtl/>
        </w:rPr>
        <w:t xml:space="preserve">מהנתונים שהובאו בפני משרד מבקר המדינה עולה כי מדי שנה מחושבות אלפי פניות שבוטלו בחישוב האמור. </w:t>
      </w:r>
    </w:p>
  </w:footnote>
  <w:footnote w:id="146">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על בסיס נתוני החברות שסיימו לטפל לפחות ב-250 תביעות בכל המוצרים בתחום ביטוח הבריאות.</w:t>
      </w:r>
    </w:p>
  </w:footnote>
  <w:footnote w:id="147">
    <w:p w:rsidR="00362821" w:rsidP="00FA3E7D">
      <w:pPr>
        <w:pStyle w:val="FootnoteText"/>
        <w:spacing w:line="269" w:lineRule="auto"/>
      </w:pPr>
      <w:r>
        <w:rPr>
          <w:rStyle w:val="FootnoteReference"/>
        </w:rPr>
        <w:footnoteRef/>
      </w:r>
      <w:r>
        <w:rPr>
          <w:rtl/>
        </w:rPr>
        <w:t xml:space="preserve"> </w:t>
      </w:r>
      <w:r w:rsidRPr="00095FDE">
        <w:rPr>
          <w:rtl/>
        </w:rPr>
        <w:tab/>
      </w:r>
      <w:r w:rsidRPr="00095FDE">
        <w:rPr>
          <w:rFonts w:hint="cs"/>
          <w:rtl/>
        </w:rPr>
        <w:t xml:space="preserve">כך למשל ניתן היה לבחון </w:t>
      </w:r>
      <w:r w:rsidR="00631037">
        <w:rPr>
          <w:rFonts w:hint="cs"/>
          <w:rtl/>
        </w:rPr>
        <w:t>אפשרות למתן ניקוד שליל</w:t>
      </w:r>
      <w:r>
        <w:rPr>
          <w:rFonts w:hint="cs"/>
          <w:rtl/>
        </w:rPr>
        <w:t xml:space="preserve">י לתביעות שבירורן מתארך יתר על המידה. כמו כן ניתן היה לבחון </w:t>
      </w:r>
      <w:r w:rsidRPr="00095FDE">
        <w:rPr>
          <w:rFonts w:hint="cs"/>
          <w:rtl/>
        </w:rPr>
        <w:t>האם בעיני הציבור, הגורם החשוב יותר בבחירת חברת ביטוח הוא טיפול זריז במרבית התביעות, או הפחתה למינימום של מספר התביעות שבירורן מתארך יתר על המידה, או שילוב של השניים.</w:t>
      </w:r>
    </w:p>
  </w:footnote>
  <w:footnote w:id="148">
    <w:p w:rsidR="00362821" w:rsidP="00FA3E7D">
      <w:pPr>
        <w:pStyle w:val="FootnoteText"/>
        <w:spacing w:line="269" w:lineRule="auto"/>
      </w:pPr>
      <w:r>
        <w:rPr>
          <w:rStyle w:val="FootnoteReference"/>
        </w:rPr>
        <w:footnoteRef/>
      </w:r>
      <w:r>
        <w:rPr>
          <w:rtl/>
        </w:rPr>
        <w:t xml:space="preserve"> </w:t>
      </w:r>
      <w:r>
        <w:rPr>
          <w:rtl/>
        </w:rPr>
        <w:tab/>
      </w:r>
      <w:r>
        <w:rPr>
          <w:rFonts w:hint="cs"/>
          <w:rtl/>
        </w:rPr>
        <w:t>למשל ביחס לתביעה שלא צורפו אליה כל המסמכים הנדרשים לשם בירורה, ותביעות המוגשות באמצעות סוכנים.</w:t>
      </w:r>
    </w:p>
  </w:footnote>
  <w:footnote w:id="149">
    <w:p w:rsidR="00362821" w:rsidP="00FA3E7D">
      <w:pPr>
        <w:pStyle w:val="FootnoteText"/>
        <w:spacing w:line="269" w:lineRule="auto"/>
      </w:pPr>
      <w:r>
        <w:rPr>
          <w:rStyle w:val="FootnoteReference"/>
        </w:rPr>
        <w:footnoteRef/>
      </w:r>
      <w:r>
        <w:rPr>
          <w:rtl/>
        </w:rPr>
        <w:t xml:space="preserve"> </w:t>
      </w:r>
      <w:r>
        <w:rPr>
          <w:rtl/>
        </w:rPr>
        <w:tab/>
      </w:r>
      <w:r>
        <w:rPr>
          <w:rFonts w:hint="cs"/>
          <w:rtl/>
        </w:rPr>
        <w:t>הדיווח על סוג הביטוח שבו מבוטח הנסקר נעשה על ידי חברות הביטוח.</w:t>
      </w:r>
    </w:p>
  </w:footnote>
  <w:footnote w:id="150">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נתון זה דומה לשיעור המבוטחים בביטוחים פרטיים וקבוצתיים בתחום ההוצאות הרפואיות.</w:t>
      </w:r>
    </w:p>
  </w:footnote>
  <w:footnote w:id="151">
    <w:p w:rsidR="00362821" w:rsidP="00FA3E7D">
      <w:pPr>
        <w:pStyle w:val="FootnoteText"/>
        <w:spacing w:line="269" w:lineRule="auto"/>
      </w:pPr>
      <w:r>
        <w:rPr>
          <w:rStyle w:val="FootnoteReference"/>
        </w:rPr>
        <w:footnoteRef/>
      </w:r>
      <w:r>
        <w:rPr>
          <w:rtl/>
        </w:rPr>
        <w:t xml:space="preserve"> </w:t>
      </w:r>
      <w:r>
        <w:rPr>
          <w:rtl/>
        </w:rPr>
        <w:tab/>
      </w:r>
      <w:r>
        <w:rPr>
          <w:rFonts w:hint="cs"/>
          <w:rtl/>
        </w:rPr>
        <w:t>הרשות ציינה בתשובה כי "מתאם בין תוצאות פניית המבוטח לבין מידת שביעות הרצון שלו הוא פרמטר שמהווה סוגיה ידועה בתחום מדידת השירות".</w:t>
      </w:r>
    </w:p>
  </w:footnote>
  <w:footnote w:id="152">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 xml:space="preserve">יצוין כי היקף הפעילות של חברות הביטוח הפועלות בתחום ביטוחי הבריאות בביטוחים קבוצתיים ביחס להיקף הפעילות בביטוחים פרטיים שונה במידה ניכרת בין החברות. כמו כן, מבוטחים בפוליסות פרטיות מרבים להגיש תלונות לרשות שוק ההון, בהשוואה למבוטחים בפוליסות קבוצתיות. בשנת 2018 שני שלישים מהתלונות בתחום ביטוחי הבריאות הוגשו לרשות שוק ההון על ידי מבוטחים בפוליסות פרטיות, ואילו לחברות הביטוח </w:t>
      </w:r>
      <w:r w:rsidRPr="007A7421">
        <w:rPr>
          <w:rFonts w:hint="cs"/>
          <w:rtl/>
        </w:rPr>
        <w:t xml:space="preserve">רק כמחצית מהתביעות </w:t>
      </w:r>
      <w:r>
        <w:rPr>
          <w:rFonts w:hint="cs"/>
          <w:rtl/>
        </w:rPr>
        <w:t xml:space="preserve">הוגשו על ידי מבוטחים בפוליסות פרטיות. </w:t>
      </w:r>
    </w:p>
  </w:footnote>
  <w:footnote w:id="153">
    <w:p w:rsidR="00362821" w:rsidP="00FA3E7D">
      <w:pPr>
        <w:pStyle w:val="FootnoteText"/>
        <w:spacing w:line="269" w:lineRule="auto"/>
      </w:pPr>
      <w:r>
        <w:rPr>
          <w:rStyle w:val="FootnoteReference"/>
        </w:rPr>
        <w:footnoteRef/>
      </w:r>
      <w:r>
        <w:rPr>
          <w:rtl/>
        </w:rPr>
        <w:t xml:space="preserve"> </w:t>
      </w:r>
      <w:r>
        <w:rPr>
          <w:rtl/>
        </w:rPr>
        <w:tab/>
      </w:r>
      <w:r w:rsidRPr="00FC1C8F">
        <w:rPr>
          <w:rtl/>
        </w:rPr>
        <w:t>לדוג</w:t>
      </w:r>
      <w:r>
        <w:rPr>
          <w:rFonts w:hint="cs"/>
          <w:rtl/>
        </w:rPr>
        <w:t>מה,</w:t>
      </w:r>
      <w:r w:rsidRPr="00FC1C8F">
        <w:rPr>
          <w:rtl/>
        </w:rPr>
        <w:t xml:space="preserve"> ניתן ניקוד שלילי כפול לתלונה שנמצאה מוצדקת, וניקוד</w:t>
      </w:r>
      <w:r w:rsidRPr="00FC1C8F">
        <w:rPr>
          <w:rFonts w:hint="cs"/>
          <w:rtl/>
        </w:rPr>
        <w:t xml:space="preserve"> שלילי </w:t>
      </w:r>
      <w:r w:rsidRPr="00FC1C8F">
        <w:rPr>
          <w:rtl/>
        </w:rPr>
        <w:t>מרובע לתלונה שנדחתה על ידי החברה אך נמצאה מוצדקת על ידי הרשות.</w:t>
      </w:r>
      <w:r w:rsidRPr="00645DAC">
        <w:rPr>
          <w:sz w:val="24"/>
          <w:szCs w:val="24"/>
          <w:rtl/>
        </w:rPr>
        <w:t xml:space="preserve"> </w:t>
      </w:r>
    </w:p>
  </w:footnote>
  <w:footnote w:id="154">
    <w:p w:rsidR="00362821" w:rsidP="00FA3E7D">
      <w:pPr>
        <w:pStyle w:val="FootnoteText"/>
        <w:spacing w:line="269" w:lineRule="auto"/>
      </w:pPr>
      <w:r w:rsidRPr="009D3D95">
        <w:rPr>
          <w:rStyle w:val="FootnoteReference"/>
        </w:rPr>
        <w:footnoteRef/>
      </w:r>
      <w:r w:rsidRPr="009D3D95">
        <w:rPr>
          <w:rtl/>
        </w:rPr>
        <w:t xml:space="preserve"> </w:t>
      </w:r>
      <w:r w:rsidRPr="009D3D95">
        <w:rPr>
          <w:rtl/>
        </w:rPr>
        <w:tab/>
      </w:r>
      <w:r w:rsidRPr="00736BEC">
        <w:rPr>
          <w:rFonts w:hint="cs"/>
          <w:rtl/>
        </w:rPr>
        <w:t xml:space="preserve">השימוש בנתון הפרמיות ברוטו אינו משקף באופן </w:t>
      </w:r>
      <w:r>
        <w:rPr>
          <w:rFonts w:hint="cs"/>
          <w:rtl/>
        </w:rPr>
        <w:t xml:space="preserve">מלא </w:t>
      </w:r>
      <w:r w:rsidRPr="00736BEC">
        <w:rPr>
          <w:rFonts w:hint="cs"/>
          <w:rtl/>
        </w:rPr>
        <w:t>את מספר המבוטחים של החברה מ</w:t>
      </w:r>
      <w:r>
        <w:rPr>
          <w:rFonts w:hint="cs"/>
          <w:rtl/>
        </w:rPr>
        <w:t xml:space="preserve">כמה </w:t>
      </w:r>
      <w:r w:rsidRPr="00736BEC">
        <w:rPr>
          <w:rFonts w:hint="cs"/>
          <w:rtl/>
        </w:rPr>
        <w:t>סיבות, ובהן, לדוגמה, הפערים בין החברות בנתח השוק בביטוח הקבוצתי שהפרמיות בו זולות בהשוואה לביטוח פרטי שהפרמיות בו יקרות באופן</w:t>
      </w:r>
      <w:r>
        <w:rPr>
          <w:rFonts w:hint="cs"/>
          <w:rtl/>
        </w:rPr>
        <w:t xml:space="preserve"> ניכר</w:t>
      </w:r>
      <w:r w:rsidRPr="00736BEC">
        <w:rPr>
          <w:rFonts w:hint="cs"/>
          <w:rtl/>
        </w:rPr>
        <w:t>, פערים אפשריים בגובה הפרמיה הממוצעת בין החברות (בשל פערים אפשריים בגילי המבוטחים) ועוד.</w:t>
      </w:r>
      <w:r>
        <w:rPr>
          <w:rFonts w:hint="cs"/>
          <w:rtl/>
        </w:rPr>
        <w:t xml:space="preserve"> </w:t>
      </w:r>
    </w:p>
  </w:footnote>
  <w:footnote w:id="155">
    <w:p w:rsidR="00362821" w:rsidP="00FA3E7D">
      <w:pPr>
        <w:pStyle w:val="FootnoteText"/>
        <w:spacing w:line="269" w:lineRule="auto"/>
      </w:pPr>
      <w:r>
        <w:rPr>
          <w:rStyle w:val="FootnoteReference"/>
        </w:rPr>
        <w:footnoteRef/>
      </w:r>
      <w:r>
        <w:rPr>
          <w:rtl/>
        </w:rPr>
        <w:t xml:space="preserve"> </w:t>
      </w:r>
      <w:r>
        <w:rPr>
          <w:rtl/>
        </w:rPr>
        <w:tab/>
      </w:r>
      <w:r>
        <w:rPr>
          <w:rFonts w:hint="cs"/>
          <w:rtl/>
        </w:rPr>
        <w:t xml:space="preserve">משמעות הדבר כי נקבע ערך מקסימלי ליחס בין מספר התלונות להיקף הפרמיות של החברה-דבר ששקול להפחתה מלאכותית של מספר התלונות כנגדה ואשר עשוי לעוות את תוצאות חישוב מדד זה. </w:t>
      </w:r>
    </w:p>
  </w:footnote>
  <w:footnote w:id="156">
    <w:p w:rsidR="00362821" w:rsidP="00FA3E7D">
      <w:pPr>
        <w:pStyle w:val="FootnoteText"/>
        <w:spacing w:line="269" w:lineRule="auto"/>
      </w:pPr>
      <w:r>
        <w:rPr>
          <w:rStyle w:val="FootnoteReference"/>
        </w:rPr>
        <w:footnoteRef/>
      </w:r>
      <w:r>
        <w:rPr>
          <w:rtl/>
        </w:rPr>
        <w:t xml:space="preserve"> </w:t>
      </w:r>
      <w:r>
        <w:rPr>
          <w:rtl/>
        </w:rPr>
        <w:tab/>
      </w:r>
      <w:r w:rsidRPr="00DA109C">
        <w:rPr>
          <w:rFonts w:hint="cs"/>
          <w:rtl/>
        </w:rPr>
        <w:t xml:space="preserve">כך למשל - שיפור בציונים שקיבלו החברות (בממוצע), ברכיבי המדד האחרים, בהשוואה לשנה הקודמת, יביא לשיפור בציוני החברות ברכיב תלונות הציבור, אף אם לא חל שינוי כלשהו בכמות התלונות נגד כל חברה או בפרמיות שגבו. למרות זאת, מציגה הרשות באתר </w:t>
      </w:r>
      <w:r>
        <w:rPr>
          <w:rFonts w:hint="cs"/>
          <w:rtl/>
        </w:rPr>
        <w:t>המרשתת</w:t>
      </w:r>
      <w:r w:rsidRPr="00DA109C">
        <w:rPr>
          <w:rFonts w:hint="cs"/>
          <w:rtl/>
        </w:rPr>
        <w:t xml:space="preserve"> שלה השוואה של ציוני כל חברה ברכיב תלונות הציבור לעומת השנה החולפת.</w:t>
      </w:r>
    </w:p>
  </w:footnote>
  <w:footnote w:id="157">
    <w:p w:rsidR="00362821" w:rsidP="00FA3E7D">
      <w:pPr>
        <w:pStyle w:val="FootnoteText"/>
        <w:tabs>
          <w:tab w:val="left" w:pos="720"/>
          <w:tab w:val="left" w:pos="1440"/>
          <w:tab w:val="left" w:pos="2160"/>
          <w:tab w:val="left" w:pos="5161"/>
        </w:tabs>
        <w:spacing w:line="269" w:lineRule="auto"/>
      </w:pPr>
      <w:r>
        <w:rPr>
          <w:rStyle w:val="FootnoteReference"/>
        </w:rPr>
        <w:footnoteRef/>
      </w:r>
      <w:r>
        <w:rPr>
          <w:rtl/>
        </w:rPr>
        <w:t xml:space="preserve"> </w:t>
      </w:r>
      <w:r>
        <w:rPr>
          <w:rtl/>
        </w:rPr>
        <w:tab/>
      </w:r>
      <w:r>
        <w:rPr>
          <w:rFonts w:hint="cs"/>
          <w:rtl/>
        </w:rPr>
        <w:t>בדרך כלל מעסיק או ארגון.</w:t>
      </w:r>
    </w:p>
  </w:footnote>
  <w:footnote w:id="158">
    <w:p w:rsidR="00362821" w:rsidP="00FA3E7D">
      <w:pPr>
        <w:pStyle w:val="FootnoteText"/>
        <w:spacing w:line="269" w:lineRule="auto"/>
      </w:pPr>
      <w:r>
        <w:rPr>
          <w:rStyle w:val="FootnoteReference"/>
        </w:rPr>
        <w:footnoteRef/>
      </w:r>
      <w:r>
        <w:rPr>
          <w:rtl/>
        </w:rPr>
        <w:t xml:space="preserve"> </w:t>
      </w:r>
      <w:r>
        <w:rPr>
          <w:rtl/>
        </w:rPr>
        <w:tab/>
      </w:r>
      <w:r w:rsidRPr="00FA7B14">
        <w:rPr>
          <w:rFonts w:hint="eastAsia"/>
          <w:rtl/>
        </w:rPr>
        <w:t>עד</w:t>
      </w:r>
      <w:r w:rsidRPr="00FA7B14">
        <w:rPr>
          <w:rtl/>
        </w:rPr>
        <w:t xml:space="preserve"> 14 </w:t>
      </w:r>
      <w:r w:rsidRPr="00FA7B14">
        <w:rPr>
          <w:rFonts w:hint="eastAsia"/>
          <w:rtl/>
        </w:rPr>
        <w:t>יום</w:t>
      </w:r>
      <w:r w:rsidRPr="00FA7B14">
        <w:rPr>
          <w:rtl/>
        </w:rPr>
        <w:t>, 15</w:t>
      </w:r>
      <w:r>
        <w:rPr>
          <w:rFonts w:hint="cs"/>
          <w:rtl/>
        </w:rPr>
        <w:t xml:space="preserve"> - 30</w:t>
      </w:r>
      <w:r w:rsidRPr="00FA7B14">
        <w:rPr>
          <w:rtl/>
        </w:rPr>
        <w:t xml:space="preserve"> </w:t>
      </w:r>
      <w:r w:rsidRPr="00FA7B14">
        <w:rPr>
          <w:rFonts w:hint="eastAsia"/>
          <w:rtl/>
        </w:rPr>
        <w:t>יום</w:t>
      </w:r>
      <w:r w:rsidRPr="00FA7B14">
        <w:rPr>
          <w:rtl/>
        </w:rPr>
        <w:t xml:space="preserve">, 31 </w:t>
      </w:r>
      <w:r>
        <w:rPr>
          <w:rtl/>
        </w:rPr>
        <w:t>–</w:t>
      </w:r>
      <w:r>
        <w:rPr>
          <w:rFonts w:hint="cs"/>
          <w:rtl/>
        </w:rPr>
        <w:t xml:space="preserve"> 60 </w:t>
      </w:r>
      <w:r w:rsidRPr="00FA7B14">
        <w:rPr>
          <w:rFonts w:hint="eastAsia"/>
          <w:rtl/>
        </w:rPr>
        <w:t>יום</w:t>
      </w:r>
      <w:r w:rsidRPr="00FA7B14">
        <w:rPr>
          <w:rtl/>
        </w:rPr>
        <w:t>, 61</w:t>
      </w:r>
      <w:r>
        <w:rPr>
          <w:rFonts w:hint="cs"/>
          <w:rtl/>
        </w:rPr>
        <w:t xml:space="preserve"> - 120</w:t>
      </w:r>
      <w:r w:rsidRPr="00FA7B14">
        <w:rPr>
          <w:rtl/>
        </w:rPr>
        <w:t xml:space="preserve"> </w:t>
      </w:r>
      <w:r w:rsidRPr="00FA7B14">
        <w:rPr>
          <w:rFonts w:hint="eastAsia"/>
          <w:rtl/>
        </w:rPr>
        <w:t>יום</w:t>
      </w:r>
      <w:r w:rsidRPr="00FA7B14">
        <w:rPr>
          <w:rtl/>
        </w:rPr>
        <w:t xml:space="preserve">, 121 </w:t>
      </w:r>
      <w:r>
        <w:rPr>
          <w:rtl/>
        </w:rPr>
        <w:t>–</w:t>
      </w:r>
      <w:r>
        <w:rPr>
          <w:rFonts w:hint="cs"/>
          <w:rtl/>
        </w:rPr>
        <w:t xml:space="preserve"> 180 </w:t>
      </w:r>
      <w:r w:rsidRPr="00FA7B14">
        <w:rPr>
          <w:rFonts w:hint="eastAsia"/>
          <w:rtl/>
        </w:rPr>
        <w:t>יום</w:t>
      </w:r>
      <w:r w:rsidRPr="00FA7B14">
        <w:rPr>
          <w:rtl/>
        </w:rPr>
        <w:t xml:space="preserve">, 181 </w:t>
      </w:r>
      <w:r w:rsidRPr="00FA7B14">
        <w:rPr>
          <w:rFonts w:hint="eastAsia"/>
          <w:rtl/>
        </w:rPr>
        <w:t>ימים</w:t>
      </w:r>
      <w:r w:rsidRPr="00FA7B14">
        <w:rPr>
          <w:rtl/>
        </w:rPr>
        <w:t xml:space="preserve"> </w:t>
      </w:r>
      <w:r w:rsidRPr="00FA7B14">
        <w:rPr>
          <w:rFonts w:hint="eastAsia"/>
          <w:rtl/>
        </w:rPr>
        <w:t>ומעלה</w:t>
      </w:r>
      <w:r>
        <w:rPr>
          <w:rFonts w:hint="cs"/>
          <w:rtl/>
        </w:rPr>
        <w:t>.</w:t>
      </w:r>
    </w:p>
  </w:footnote>
  <w:footnote w:id="159">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המדד ברכיב זה מחושב על פי שקלול שיעור התביעות שהטיפול בהן הסתיים בתוך 30 יום ומחצית התביעות שהטיפול בהן הסתיים בין 31 ימים ל-60 ימים, מכלל התביעות שהסתיימו.</w:t>
      </w:r>
    </w:p>
  </w:footnote>
  <w:footnote w:id="160">
    <w:p w:rsidR="00362821" w:rsidP="00FA3E7D">
      <w:pPr>
        <w:pStyle w:val="FootnoteText"/>
        <w:spacing w:line="269" w:lineRule="auto"/>
        <w:jc w:val="left"/>
        <w:rPr>
          <w:rtl/>
        </w:rPr>
      </w:pPr>
      <w:r>
        <w:rPr>
          <w:rStyle w:val="FootnoteReference"/>
        </w:rPr>
        <w:footnoteRef/>
      </w:r>
      <w:r>
        <w:rPr>
          <w:rtl/>
        </w:rPr>
        <w:t xml:space="preserve"> </w:t>
      </w:r>
      <w:r>
        <w:rPr>
          <w:rtl/>
        </w:rPr>
        <w:tab/>
      </w:r>
      <w:r>
        <w:rPr>
          <w:rFonts w:hint="cs"/>
          <w:rtl/>
        </w:rPr>
        <w:t xml:space="preserve">דף המרשתת שכתובתו </w:t>
      </w:r>
      <w:r w:rsidRPr="008E3DBF">
        <w:t>https://mof.gov.il/hon/Consumer-Information/ServiceIndex/Pages/Product_HealthIns.aspx</w:t>
      </w:r>
    </w:p>
  </w:footnote>
  <w:footnote w:id="161">
    <w:p w:rsidR="00362821" w:rsidP="0067484F">
      <w:pPr>
        <w:pStyle w:val="FootnoteText"/>
        <w:spacing w:line="269" w:lineRule="auto"/>
        <w:rPr>
          <w:rtl/>
        </w:rPr>
      </w:pPr>
      <w:r>
        <w:rPr>
          <w:rStyle w:val="FootnoteReference"/>
        </w:rPr>
        <w:footnoteRef/>
      </w:r>
      <w:r>
        <w:rPr>
          <w:rtl/>
        </w:rPr>
        <w:t xml:space="preserve"> </w:t>
      </w:r>
      <w:r>
        <w:rPr>
          <w:rtl/>
        </w:rPr>
        <w:tab/>
      </w:r>
      <w:r>
        <w:rPr>
          <w:rFonts w:hint="cs"/>
          <w:rtl/>
        </w:rPr>
        <w:t xml:space="preserve">ספירת המשתמשים היא ייחודית, כלומר משתמש שנכנס לאתר מספר פעמים בתקופה שהוגדרה ייספר פעם אחת בלבד. הזיהוי מבוצע באמצעות שימוש בעוגייה </w:t>
      </w:r>
      <w:r>
        <w:t>(Cookie)</w:t>
      </w:r>
      <w:r>
        <w:rPr>
          <w:rFonts w:hint="cs"/>
          <w:rtl/>
        </w:rPr>
        <w:t xml:space="preserve">. כניסת משתמש משני מכשירים שונים, או משני דפדפנים שונים תיחשב כשני משתמשים. כניסה לאחר מחיקת עוגייה תיחשב אף היא כשני משתמשים שונים. </w:t>
      </w:r>
    </w:p>
  </w:footnote>
  <w:footnote w:id="162">
    <w:p w:rsidR="00362821" w:rsidP="00FA3E7D">
      <w:pPr>
        <w:pStyle w:val="FootnoteText"/>
        <w:spacing w:line="269" w:lineRule="auto"/>
      </w:pPr>
      <w:r>
        <w:rPr>
          <w:rStyle w:val="FootnoteReference"/>
        </w:rPr>
        <w:footnoteRef/>
      </w:r>
      <w:r>
        <w:rPr>
          <w:rtl/>
        </w:rPr>
        <w:t xml:space="preserve"> </w:t>
      </w:r>
      <w:r>
        <w:rPr>
          <w:rtl/>
        </w:rPr>
        <w:tab/>
      </w:r>
      <w:r>
        <w:t>Bounce Rate</w:t>
      </w:r>
      <w:r>
        <w:rPr>
          <w:rFonts w:hint="cs"/>
          <w:rtl/>
        </w:rPr>
        <w:t xml:space="preserve"> הוא מדד שמטרתו להעריך את האיכות והרלוונטיות של התוכן באתר עבור הגולשים. שיעור הנטישה מחושב על פי כמות הגולשים שצפו בדף אחד בלבד ולא ביצעו כל פעולה נוספת כגון מעבר לדף אחר באתר.</w:t>
      </w:r>
    </w:p>
  </w:footnote>
  <w:footnote w:id="163">
    <w:p w:rsidR="00362821" w:rsidP="00FA3E7D">
      <w:pPr>
        <w:pStyle w:val="FootnoteText"/>
        <w:spacing w:line="269" w:lineRule="auto"/>
        <w:rPr>
          <w:rtl/>
        </w:rPr>
      </w:pPr>
      <w:r>
        <w:rPr>
          <w:rStyle w:val="FootnoteReference"/>
        </w:rPr>
        <w:footnoteRef/>
      </w:r>
      <w:r>
        <w:rPr>
          <w:rtl/>
        </w:rPr>
        <w:t xml:space="preserve"> </w:t>
      </w:r>
      <w:r>
        <w:rPr>
          <w:rtl/>
        </w:rPr>
        <w:tab/>
      </w:r>
      <w:r>
        <w:rPr>
          <w:rFonts w:hint="cs"/>
          <w:rtl/>
        </w:rPr>
        <w:t xml:space="preserve">העלייה במספר המבוטחים היא במונחי נטו (ביטוחים חדשים בניכוי ביטולים), </w:t>
      </w:r>
      <w:r w:rsidRPr="00294BF0">
        <w:rPr>
          <w:rFonts w:hint="eastAsia"/>
          <w:rtl/>
        </w:rPr>
        <w:t>ולפיכך</w:t>
      </w:r>
      <w:r w:rsidRPr="00294BF0">
        <w:rPr>
          <w:rtl/>
        </w:rPr>
        <w:t xml:space="preserve"> </w:t>
      </w:r>
      <w:r w:rsidRPr="00294BF0">
        <w:rPr>
          <w:rFonts w:hint="eastAsia"/>
          <w:rtl/>
        </w:rPr>
        <w:t>העלייה</w:t>
      </w:r>
      <w:r w:rsidRPr="00294BF0">
        <w:rPr>
          <w:rtl/>
        </w:rPr>
        <w:t xml:space="preserve"> </w:t>
      </w:r>
      <w:r w:rsidRPr="00294BF0">
        <w:rPr>
          <w:rFonts w:hint="eastAsia"/>
          <w:rtl/>
        </w:rPr>
        <w:t>במספר</w:t>
      </w:r>
      <w:r w:rsidRPr="00294BF0">
        <w:rPr>
          <w:rtl/>
        </w:rPr>
        <w:t xml:space="preserve"> </w:t>
      </w:r>
      <w:r w:rsidRPr="00294BF0">
        <w:rPr>
          <w:rFonts w:hint="eastAsia"/>
          <w:rtl/>
        </w:rPr>
        <w:t>המבוטחים</w:t>
      </w:r>
      <w:r w:rsidRPr="00294BF0">
        <w:rPr>
          <w:rtl/>
        </w:rPr>
        <w:t xml:space="preserve"> </w:t>
      </w:r>
      <w:r w:rsidRPr="00294BF0">
        <w:rPr>
          <w:rFonts w:hint="eastAsia"/>
          <w:rtl/>
        </w:rPr>
        <w:t>החדשים</w:t>
      </w:r>
      <w:r w:rsidRPr="00294BF0">
        <w:rPr>
          <w:rtl/>
        </w:rPr>
        <w:t xml:space="preserve"> </w:t>
      </w:r>
      <w:r w:rsidRPr="00294BF0">
        <w:rPr>
          <w:rFonts w:hint="eastAsia"/>
          <w:rtl/>
        </w:rPr>
        <w:t>היא</w:t>
      </w:r>
      <w:r w:rsidRPr="00294BF0">
        <w:rPr>
          <w:rtl/>
        </w:rPr>
        <w:t xml:space="preserve"> </w:t>
      </w:r>
      <w:r w:rsidRPr="00294BF0">
        <w:rPr>
          <w:rFonts w:hint="eastAsia"/>
          <w:rtl/>
        </w:rPr>
        <w:t>גדולה</w:t>
      </w:r>
      <w:r w:rsidRPr="00294BF0">
        <w:rPr>
          <w:rtl/>
        </w:rPr>
        <w:t xml:space="preserve"> </w:t>
      </w:r>
      <w:r w:rsidRPr="00294BF0">
        <w:rPr>
          <w:rFonts w:hint="eastAsia"/>
          <w:rtl/>
        </w:rPr>
        <w:t>יותר</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62821" w:rsidP="00F03DBF">
    <w:pPr>
      <w:pStyle w:val="Header"/>
      <w:jc w:val="center"/>
      <w:rPr>
        <w:rtl/>
      </w:rPr>
    </w:pPr>
    <w:r>
      <w:rPr>
        <w:rtl/>
      </w:rPr>
      <w:t xml:space="preserve"> - </w:t>
    </w:r>
    <w:r>
      <w:rPr>
        <w:rtl/>
      </w:rPr>
      <w:fldChar w:fldCharType="begin"/>
    </w:r>
    <w:r>
      <w:rPr>
        <w:rtl/>
      </w:rPr>
      <w:instrText xml:space="preserve"> </w:instrText>
    </w:r>
    <w:r>
      <w:instrText>PAGE</w:instrText>
    </w:r>
    <w:r>
      <w:rPr>
        <w:rtl/>
      </w:rPr>
      <w:instrText xml:space="preserve">  \* </w:instrText>
    </w:r>
    <w:r>
      <w:instrText>MERGEFORMAT</w:instrText>
    </w:r>
    <w:r>
      <w:rPr>
        <w:rtl/>
      </w:rPr>
      <w:instrText xml:space="preserve"> </w:instrText>
    </w:r>
    <w:r>
      <w:rPr>
        <w:rtl/>
      </w:rPr>
      <w:fldChar w:fldCharType="separate"/>
    </w:r>
    <w:r w:rsidR="00A92007">
      <w:rPr>
        <w:noProof/>
        <w:rtl/>
      </w:rPr>
      <w:t>12</w:t>
    </w:r>
    <w:r>
      <w:rPr>
        <w:rtl/>
      </w:rPr>
      <w:fldChar w:fldCharType="end"/>
    </w:r>
    <w:r>
      <w:t xml:space="preserve"> - </w:t>
    </w:r>
  </w:p>
  <w:p w:rsidR="00362821" w:rsidRPr="007E06A8" w:rsidP="007E06A8">
    <w:pPr>
      <w:pStyle w:val="Header"/>
      <w:jc w:val="right"/>
      <w:rPr>
        <w:rtl/>
      </w:rPr>
    </w:pPr>
    <w:r>
      <w:rPr>
        <w:rFonts w:hint="cs"/>
        <w:rtl/>
      </w:rPr>
      <w:t>דוח 71א</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62821" w:rsidRPr="007E06A8" w:rsidP="007E06A8">
    <w:pPr>
      <w:pStyle w:val="Header"/>
      <w:jc w:val="right"/>
      <w:rPr>
        <w:rtl/>
      </w:rPr>
    </w:pPr>
    <w:r>
      <w:rPr>
        <w:rFonts w:hint="cs"/>
        <w:rtl/>
      </w:rPr>
      <w:t>דוח 71א</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85pt;height:383.85pt" o:bullet="t">
        <v:imagedata r:id="rId1" o:title="light-bulb"/>
      </v:shape>
    </w:pict>
  </w:numPicBullet>
  <w:abstractNum w:abstractNumId="0">
    <w:nsid w:val="062560FA"/>
    <w:multiLevelType w:val="multilevel"/>
    <w:tmpl w:val="29F4B88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6B56F9F"/>
    <w:multiLevelType w:val="hybridMultilevel"/>
    <w:tmpl w:val="CE9CBF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823587C"/>
    <w:multiLevelType w:val="hybridMultilevel"/>
    <w:tmpl w:val="D78E1B5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C8164DD"/>
    <w:multiLevelType w:val="hybridMultilevel"/>
    <w:tmpl w:val="3830EA64"/>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lang w:bidi="he-IL"/>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0E9231D1"/>
    <w:multiLevelType w:val="hybridMultilevel"/>
    <w:tmpl w:val="C130C73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26E4421"/>
    <w:multiLevelType w:val="hybridMultilevel"/>
    <w:tmpl w:val="1016992A"/>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31837CA"/>
    <w:multiLevelType w:val="hybridMultilevel"/>
    <w:tmpl w:val="0F2EDB3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7170686"/>
    <w:multiLevelType w:val="hybridMultilevel"/>
    <w:tmpl w:val="0EC028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9AB68C3"/>
    <w:multiLevelType w:val="hybridMultilevel"/>
    <w:tmpl w:val="7C02BBC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06165FF"/>
    <w:multiLevelType w:val="hybridMultilevel"/>
    <w:tmpl w:val="DC868F0C"/>
    <w:lvl w:ilvl="0">
      <w:start w:val="1"/>
      <w:numFmt w:val="decimal"/>
      <w:lvlText w:val="%1."/>
      <w:lvlJc w:val="left"/>
      <w:pPr>
        <w:ind w:left="720" w:hanging="360"/>
      </w:pPr>
      <w:rPr>
        <w:rFonts w:ascii="David" w:hAnsi="David"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3FA5949"/>
    <w:multiLevelType w:val="hybridMultilevel"/>
    <w:tmpl w:val="83A84E9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9EE4CD8"/>
    <w:multiLevelType w:val="multilevel"/>
    <w:tmpl w:val="4118846C"/>
    <w:lvl w:ilvl="0">
      <w:start w:val="1"/>
      <w:numFmt w:val="decimal"/>
      <w:lvlText w:val="%1."/>
      <w:lvlJc w:val="left"/>
      <w:pPr>
        <w:ind w:left="340" w:hanging="340"/>
      </w:pPr>
      <w:rPr>
        <w:rFonts w:hint="default"/>
      </w:r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2ABC1F03"/>
    <w:multiLevelType w:val="multilevel"/>
    <w:tmpl w:val="0CE4C4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2BE81CE4"/>
    <w:multiLevelType w:val="hybridMultilevel"/>
    <w:tmpl w:val="A95CD3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CFF75F8"/>
    <w:multiLevelType w:val="hybridMultilevel"/>
    <w:tmpl w:val="3030F21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1927C7E"/>
    <w:multiLevelType w:val="hybridMultilevel"/>
    <w:tmpl w:val="AE4C3A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61913DE"/>
    <w:multiLevelType w:val="hybridMultilevel"/>
    <w:tmpl w:val="D660A9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744616F"/>
    <w:multiLevelType w:val="hybridMultilevel"/>
    <w:tmpl w:val="F44EE45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7FD16EC"/>
    <w:multiLevelType w:val="hybridMultilevel"/>
    <w:tmpl w:val="ADE479FC"/>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A254DB5"/>
    <w:multiLevelType w:val="hybridMultilevel"/>
    <w:tmpl w:val="6658A41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F9324BC"/>
    <w:multiLevelType w:val="hybridMultilevel"/>
    <w:tmpl w:val="EB90AB8A"/>
    <w:lvl w:ilvl="0">
      <w:start w:val="1"/>
      <w:numFmt w:val="hebrew1"/>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3FD6457B"/>
    <w:multiLevelType w:val="hybridMultilevel"/>
    <w:tmpl w:val="344EDB6C"/>
    <w:lvl w:ilvl="0">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4055354D"/>
    <w:multiLevelType w:val="hybridMultilevel"/>
    <w:tmpl w:val="5C28BF2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7387B8F"/>
    <w:multiLevelType w:val="hybridMultilevel"/>
    <w:tmpl w:val="65480A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B3E4605"/>
    <w:multiLevelType w:val="hybridMultilevel"/>
    <w:tmpl w:val="AAD4FE2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33C7B66"/>
    <w:multiLevelType w:val="hybridMultilevel"/>
    <w:tmpl w:val="70B0A28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8F86F3E"/>
    <w:multiLevelType w:val="hybridMultilevel"/>
    <w:tmpl w:val="3F4EE4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9DE57E5"/>
    <w:multiLevelType w:val="hybridMultilevel"/>
    <w:tmpl w:val="E82A1DFE"/>
    <w:lvl w:ilvl="0">
      <w:start w:val="1"/>
      <w:numFmt w:val="hebrew1"/>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8">
    <w:nsid w:val="5FB977B5"/>
    <w:multiLevelType w:val="hybridMultilevel"/>
    <w:tmpl w:val="04C8C302"/>
    <w:lvl w:ilvl="0">
      <w:start w:val="1"/>
      <w:numFmt w:val="bullet"/>
      <w:lvlText w:val=""/>
      <w:lvlJc w:val="left"/>
      <w:pPr>
        <w:ind w:left="360" w:hanging="360"/>
      </w:pPr>
      <w:rPr>
        <w:rFonts w:ascii="Wingdings" w:hAnsi="Wingdings" w:cs="Wingdings" w:hint="default"/>
        <w:b/>
        <w:i w:val="0"/>
        <w:caps w:val="0"/>
        <w:strike w:val="0"/>
        <w:dstrike w:val="0"/>
        <w:vanish w:val="0"/>
        <w:color w:val="00B05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9">
    <w:nsid w:val="60306B66"/>
    <w:multiLevelType w:val="hybridMultilevel"/>
    <w:tmpl w:val="1AFA734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640601B"/>
    <w:multiLevelType w:val="hybridMultilevel"/>
    <w:tmpl w:val="7A72EEB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6580366"/>
    <w:multiLevelType w:val="hybridMultilevel"/>
    <w:tmpl w:val="7A4E913A"/>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9F64A9D"/>
    <w:multiLevelType w:val="multilevel"/>
    <w:tmpl w:val="0CE4C4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nsid w:val="6AFC1167"/>
    <w:multiLevelType w:val="hybridMultilevel"/>
    <w:tmpl w:val="6F4085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C0972F9"/>
    <w:multiLevelType w:val="hybridMultilevel"/>
    <w:tmpl w:val="0D0A8F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DF47802"/>
    <w:multiLevelType w:val="hybridMultilevel"/>
    <w:tmpl w:val="DAE2B3F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E051566"/>
    <w:multiLevelType w:val="hybridMultilevel"/>
    <w:tmpl w:val="0262B3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6FB70B52"/>
    <w:multiLevelType w:val="hybridMultilevel"/>
    <w:tmpl w:val="7A4E913A"/>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70400B8F"/>
    <w:multiLevelType w:val="hybridMultilevel"/>
    <w:tmpl w:val="5D04DEFA"/>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9">
    <w:nsid w:val="775C5D0A"/>
    <w:multiLevelType w:val="hybridMultilevel"/>
    <w:tmpl w:val="0458F83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793D663B"/>
    <w:multiLevelType w:val="hybridMultilevel"/>
    <w:tmpl w:val="45AC4D28"/>
    <w:lvl w:ilvl="0">
      <w:start w:val="66"/>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7B110BBE"/>
    <w:multiLevelType w:val="hybridMultilevel"/>
    <w:tmpl w:val="A922F252"/>
    <w:lvl w:ilvl="0">
      <w:start w:val="66"/>
      <w:numFmt w:val="bullet"/>
      <w:lvlText w:val="-"/>
      <w:lvlJc w:val="left"/>
      <w:pPr>
        <w:ind w:left="720" w:hanging="360"/>
      </w:pPr>
      <w:rPr>
        <w:rFonts w:ascii="David" w:hAnsi="David"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7C1219FA"/>
    <w:multiLevelType w:val="multilevel"/>
    <w:tmpl w:val="6CE2B6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1"/>
  </w:num>
  <w:num w:numId="2">
    <w:abstractNumId w:val="26"/>
  </w:num>
  <w:num w:numId="3">
    <w:abstractNumId w:val="13"/>
  </w:num>
  <w:num w:numId="4">
    <w:abstractNumId w:val="30"/>
  </w:num>
  <w:num w:numId="5">
    <w:abstractNumId w:val="6"/>
  </w:num>
  <w:num w:numId="6">
    <w:abstractNumId w:val="19"/>
  </w:num>
  <w:num w:numId="7">
    <w:abstractNumId w:val="4"/>
  </w:num>
  <w:num w:numId="8">
    <w:abstractNumId w:val="39"/>
  </w:num>
  <w:num w:numId="9">
    <w:abstractNumId w:val="20"/>
  </w:num>
  <w:num w:numId="10">
    <w:abstractNumId w:val="37"/>
  </w:num>
  <w:num w:numId="11">
    <w:abstractNumId w:val="17"/>
  </w:num>
  <w:num w:numId="12">
    <w:abstractNumId w:val="12"/>
  </w:num>
  <w:num w:numId="13">
    <w:abstractNumId w:val="32"/>
  </w:num>
  <w:num w:numId="14">
    <w:abstractNumId w:val="18"/>
  </w:num>
  <w:num w:numId="15">
    <w:abstractNumId w:val="36"/>
  </w:num>
  <w:num w:numId="16">
    <w:abstractNumId w:val="42"/>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38"/>
  </w:num>
  <w:num w:numId="23">
    <w:abstractNumId w:val="0"/>
  </w:num>
  <w:num w:numId="24">
    <w:abstractNumId w:val="27"/>
  </w:num>
  <w:num w:numId="25">
    <w:abstractNumId w:val="3"/>
  </w:num>
  <w:num w:numId="26">
    <w:abstractNumId w:val="28"/>
  </w:num>
  <w:num w:numId="27">
    <w:abstractNumId w:val="16"/>
  </w:num>
  <w:num w:numId="28">
    <w:abstractNumId w:val="1"/>
  </w:num>
  <w:num w:numId="29">
    <w:abstractNumId w:val="34"/>
  </w:num>
  <w:num w:numId="30">
    <w:abstractNumId w:val="33"/>
  </w:num>
  <w:num w:numId="31">
    <w:abstractNumId w:val="24"/>
  </w:num>
  <w:num w:numId="32">
    <w:abstractNumId w:val="31"/>
  </w:num>
  <w:num w:numId="33">
    <w:abstractNumId w:val="14"/>
  </w:num>
  <w:num w:numId="34">
    <w:abstractNumId w:val="40"/>
  </w:num>
  <w:num w:numId="35">
    <w:abstractNumId w:val="41"/>
  </w:num>
  <w:num w:numId="36">
    <w:abstractNumId w:val="5"/>
  </w:num>
  <w:num w:numId="37">
    <w:abstractNumId w:val="25"/>
  </w:num>
  <w:num w:numId="38">
    <w:abstractNumId w:val="9"/>
  </w:num>
  <w:num w:numId="39">
    <w:abstractNumId w:val="22"/>
  </w:num>
  <w:num w:numId="40">
    <w:abstractNumId w:val="10"/>
  </w:num>
  <w:num w:numId="41">
    <w:abstractNumId w:val="35"/>
  </w:num>
  <w:num w:numId="42">
    <w:abstractNumId w:val="8"/>
  </w:num>
  <w:num w:numId="43">
    <w:abstractNumId w:val="7"/>
  </w:num>
  <w:num w:numId="44">
    <w:abstractNumId w:val="23"/>
  </w:num>
  <w:num w:numId="45">
    <w:abstractNumId w:val="2"/>
  </w:num>
  <w:num w:numId="46">
    <w:abstractNumId w:val="15"/>
  </w:num>
  <w:num w:numId="47">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stylePaneSortMethod w:val="name"/>
  <w:defaultTabStop w:val="720"/>
  <w:drawingGridHorizontalSpacing w:val="100"/>
  <w:displayHorizontalDrawingGridEvery w:val="2"/>
  <w:displayVerticalDrawingGridEvery w:val="2"/>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DBF"/>
    <w:rsid w:val="000013A2"/>
    <w:rsid w:val="00002ECD"/>
    <w:rsid w:val="00003ACF"/>
    <w:rsid w:val="00003B77"/>
    <w:rsid w:val="0000424E"/>
    <w:rsid w:val="000067D3"/>
    <w:rsid w:val="000068D1"/>
    <w:rsid w:val="00006C9E"/>
    <w:rsid w:val="000072FB"/>
    <w:rsid w:val="00010765"/>
    <w:rsid w:val="00011CFF"/>
    <w:rsid w:val="00011DDA"/>
    <w:rsid w:val="00012913"/>
    <w:rsid w:val="00015155"/>
    <w:rsid w:val="0001588B"/>
    <w:rsid w:val="00015CDF"/>
    <w:rsid w:val="00015F0D"/>
    <w:rsid w:val="00016133"/>
    <w:rsid w:val="0001735B"/>
    <w:rsid w:val="000173A0"/>
    <w:rsid w:val="00020CA4"/>
    <w:rsid w:val="00023EA7"/>
    <w:rsid w:val="0002435D"/>
    <w:rsid w:val="00024371"/>
    <w:rsid w:val="0002518F"/>
    <w:rsid w:val="000251F6"/>
    <w:rsid w:val="000268EA"/>
    <w:rsid w:val="00027891"/>
    <w:rsid w:val="00027B19"/>
    <w:rsid w:val="00030D5B"/>
    <w:rsid w:val="00032498"/>
    <w:rsid w:val="00032963"/>
    <w:rsid w:val="0003302A"/>
    <w:rsid w:val="000336FB"/>
    <w:rsid w:val="00034FDF"/>
    <w:rsid w:val="00036565"/>
    <w:rsid w:val="0004070A"/>
    <w:rsid w:val="00040F35"/>
    <w:rsid w:val="000414CC"/>
    <w:rsid w:val="000415B1"/>
    <w:rsid w:val="00042202"/>
    <w:rsid w:val="00042594"/>
    <w:rsid w:val="00042837"/>
    <w:rsid w:val="00044711"/>
    <w:rsid w:val="00044CE3"/>
    <w:rsid w:val="0004524D"/>
    <w:rsid w:val="00045AC7"/>
    <w:rsid w:val="00045C28"/>
    <w:rsid w:val="00046722"/>
    <w:rsid w:val="000469C4"/>
    <w:rsid w:val="000473EA"/>
    <w:rsid w:val="00047575"/>
    <w:rsid w:val="00047CC6"/>
    <w:rsid w:val="00047FAE"/>
    <w:rsid w:val="000501A4"/>
    <w:rsid w:val="00051698"/>
    <w:rsid w:val="00051EFB"/>
    <w:rsid w:val="000531F4"/>
    <w:rsid w:val="000532AA"/>
    <w:rsid w:val="00053331"/>
    <w:rsid w:val="00053517"/>
    <w:rsid w:val="00055532"/>
    <w:rsid w:val="00055DF6"/>
    <w:rsid w:val="0005704F"/>
    <w:rsid w:val="00057654"/>
    <w:rsid w:val="0005790B"/>
    <w:rsid w:val="000610B3"/>
    <w:rsid w:val="00063821"/>
    <w:rsid w:val="00064CC9"/>
    <w:rsid w:val="00066293"/>
    <w:rsid w:val="00066B2B"/>
    <w:rsid w:val="00067F7F"/>
    <w:rsid w:val="000714F0"/>
    <w:rsid w:val="0007338B"/>
    <w:rsid w:val="00073B17"/>
    <w:rsid w:val="00074E35"/>
    <w:rsid w:val="00075146"/>
    <w:rsid w:val="00075EB7"/>
    <w:rsid w:val="00076AED"/>
    <w:rsid w:val="000806EC"/>
    <w:rsid w:val="00081222"/>
    <w:rsid w:val="000822B2"/>
    <w:rsid w:val="0008253F"/>
    <w:rsid w:val="00082F2A"/>
    <w:rsid w:val="00083FB8"/>
    <w:rsid w:val="00084046"/>
    <w:rsid w:val="000840D2"/>
    <w:rsid w:val="00084885"/>
    <w:rsid w:val="0008535D"/>
    <w:rsid w:val="00086523"/>
    <w:rsid w:val="00087629"/>
    <w:rsid w:val="00087878"/>
    <w:rsid w:val="00090E00"/>
    <w:rsid w:val="000918B6"/>
    <w:rsid w:val="000919A8"/>
    <w:rsid w:val="00094A57"/>
    <w:rsid w:val="00095FDE"/>
    <w:rsid w:val="000966FC"/>
    <w:rsid w:val="00096B81"/>
    <w:rsid w:val="00097E59"/>
    <w:rsid w:val="000A286E"/>
    <w:rsid w:val="000A2EFE"/>
    <w:rsid w:val="000A357B"/>
    <w:rsid w:val="000A5910"/>
    <w:rsid w:val="000A598E"/>
    <w:rsid w:val="000A5E91"/>
    <w:rsid w:val="000A6D81"/>
    <w:rsid w:val="000A764E"/>
    <w:rsid w:val="000B0533"/>
    <w:rsid w:val="000B1102"/>
    <w:rsid w:val="000B120A"/>
    <w:rsid w:val="000B30BA"/>
    <w:rsid w:val="000B3C96"/>
    <w:rsid w:val="000B4278"/>
    <w:rsid w:val="000B5A5B"/>
    <w:rsid w:val="000B695D"/>
    <w:rsid w:val="000C0F27"/>
    <w:rsid w:val="000C33D9"/>
    <w:rsid w:val="000C3F9E"/>
    <w:rsid w:val="000C5AA5"/>
    <w:rsid w:val="000C6390"/>
    <w:rsid w:val="000C7459"/>
    <w:rsid w:val="000D0221"/>
    <w:rsid w:val="000D0C86"/>
    <w:rsid w:val="000D0E57"/>
    <w:rsid w:val="000D3845"/>
    <w:rsid w:val="000D42A8"/>
    <w:rsid w:val="000D5175"/>
    <w:rsid w:val="000D5F0B"/>
    <w:rsid w:val="000E0070"/>
    <w:rsid w:val="000E013E"/>
    <w:rsid w:val="000E0E32"/>
    <w:rsid w:val="000E1A71"/>
    <w:rsid w:val="000E2104"/>
    <w:rsid w:val="000E3660"/>
    <w:rsid w:val="000E40ED"/>
    <w:rsid w:val="000E4670"/>
    <w:rsid w:val="000E4680"/>
    <w:rsid w:val="000E5169"/>
    <w:rsid w:val="000E5708"/>
    <w:rsid w:val="000E68B8"/>
    <w:rsid w:val="000F05CE"/>
    <w:rsid w:val="000F3D7C"/>
    <w:rsid w:val="000F407E"/>
    <w:rsid w:val="000F4621"/>
    <w:rsid w:val="000F4E4C"/>
    <w:rsid w:val="000F5549"/>
    <w:rsid w:val="000F5FCB"/>
    <w:rsid w:val="000F69D8"/>
    <w:rsid w:val="000F7725"/>
    <w:rsid w:val="001002DC"/>
    <w:rsid w:val="00100A6F"/>
    <w:rsid w:val="00101D0F"/>
    <w:rsid w:val="00102F3D"/>
    <w:rsid w:val="00103AE1"/>
    <w:rsid w:val="00103E87"/>
    <w:rsid w:val="001059A2"/>
    <w:rsid w:val="00105B10"/>
    <w:rsid w:val="00106C92"/>
    <w:rsid w:val="001070EB"/>
    <w:rsid w:val="00111CA4"/>
    <w:rsid w:val="00112176"/>
    <w:rsid w:val="00113C0B"/>
    <w:rsid w:val="00113E28"/>
    <w:rsid w:val="001140A6"/>
    <w:rsid w:val="00114325"/>
    <w:rsid w:val="00114ABC"/>
    <w:rsid w:val="00114D85"/>
    <w:rsid w:val="00115BBC"/>
    <w:rsid w:val="00117493"/>
    <w:rsid w:val="00120AE4"/>
    <w:rsid w:val="001211B8"/>
    <w:rsid w:val="001213BF"/>
    <w:rsid w:val="00121587"/>
    <w:rsid w:val="00121F06"/>
    <w:rsid w:val="00122F18"/>
    <w:rsid w:val="00123240"/>
    <w:rsid w:val="00123388"/>
    <w:rsid w:val="00123F37"/>
    <w:rsid w:val="00124EC8"/>
    <w:rsid w:val="001255AE"/>
    <w:rsid w:val="00126280"/>
    <w:rsid w:val="00126875"/>
    <w:rsid w:val="0012691F"/>
    <w:rsid w:val="00131DF1"/>
    <w:rsid w:val="00131ECA"/>
    <w:rsid w:val="001320AB"/>
    <w:rsid w:val="00135F57"/>
    <w:rsid w:val="001362F1"/>
    <w:rsid w:val="00136A29"/>
    <w:rsid w:val="00136F75"/>
    <w:rsid w:val="00140555"/>
    <w:rsid w:val="00140D87"/>
    <w:rsid w:val="001421B5"/>
    <w:rsid w:val="00142D57"/>
    <w:rsid w:val="00145494"/>
    <w:rsid w:val="00145C6E"/>
    <w:rsid w:val="00145DC3"/>
    <w:rsid w:val="001466AB"/>
    <w:rsid w:val="00147F61"/>
    <w:rsid w:val="0015005A"/>
    <w:rsid w:val="00151542"/>
    <w:rsid w:val="0015155F"/>
    <w:rsid w:val="00152C39"/>
    <w:rsid w:val="00153E19"/>
    <w:rsid w:val="00154145"/>
    <w:rsid w:val="00155E2E"/>
    <w:rsid w:val="0015648A"/>
    <w:rsid w:val="001565DA"/>
    <w:rsid w:val="00157133"/>
    <w:rsid w:val="0016330D"/>
    <w:rsid w:val="001647BC"/>
    <w:rsid w:val="00164CD1"/>
    <w:rsid w:val="00165709"/>
    <w:rsid w:val="00165EC5"/>
    <w:rsid w:val="00166477"/>
    <w:rsid w:val="00166D7C"/>
    <w:rsid w:val="00167BCA"/>
    <w:rsid w:val="00167E11"/>
    <w:rsid w:val="0017155E"/>
    <w:rsid w:val="00171709"/>
    <w:rsid w:val="0017206E"/>
    <w:rsid w:val="00172620"/>
    <w:rsid w:val="0017280C"/>
    <w:rsid w:val="001730B0"/>
    <w:rsid w:val="00174034"/>
    <w:rsid w:val="00174352"/>
    <w:rsid w:val="00174CAB"/>
    <w:rsid w:val="00176F52"/>
    <w:rsid w:val="001773E0"/>
    <w:rsid w:val="001800A7"/>
    <w:rsid w:val="00180927"/>
    <w:rsid w:val="00180C10"/>
    <w:rsid w:val="00181E72"/>
    <w:rsid w:val="00183AEF"/>
    <w:rsid w:val="00184977"/>
    <w:rsid w:val="0018620A"/>
    <w:rsid w:val="00186EEB"/>
    <w:rsid w:val="00186EF3"/>
    <w:rsid w:val="00190B27"/>
    <w:rsid w:val="00190BA1"/>
    <w:rsid w:val="0019286E"/>
    <w:rsid w:val="00192E1D"/>
    <w:rsid w:val="00195675"/>
    <w:rsid w:val="001960B4"/>
    <w:rsid w:val="001A07F0"/>
    <w:rsid w:val="001A1739"/>
    <w:rsid w:val="001A2B60"/>
    <w:rsid w:val="001A469F"/>
    <w:rsid w:val="001A613C"/>
    <w:rsid w:val="001A6D0E"/>
    <w:rsid w:val="001A75D9"/>
    <w:rsid w:val="001A7D44"/>
    <w:rsid w:val="001B02AA"/>
    <w:rsid w:val="001B0BB5"/>
    <w:rsid w:val="001B2821"/>
    <w:rsid w:val="001B2E22"/>
    <w:rsid w:val="001B5118"/>
    <w:rsid w:val="001B6338"/>
    <w:rsid w:val="001C057E"/>
    <w:rsid w:val="001C068C"/>
    <w:rsid w:val="001C1AD2"/>
    <w:rsid w:val="001C1E99"/>
    <w:rsid w:val="001C25E7"/>
    <w:rsid w:val="001C3A67"/>
    <w:rsid w:val="001C3CC5"/>
    <w:rsid w:val="001C3F57"/>
    <w:rsid w:val="001C3F88"/>
    <w:rsid w:val="001C767C"/>
    <w:rsid w:val="001C78AB"/>
    <w:rsid w:val="001C7C52"/>
    <w:rsid w:val="001D0520"/>
    <w:rsid w:val="001D0C06"/>
    <w:rsid w:val="001D198F"/>
    <w:rsid w:val="001D1FB8"/>
    <w:rsid w:val="001D2399"/>
    <w:rsid w:val="001D3223"/>
    <w:rsid w:val="001D49FC"/>
    <w:rsid w:val="001D6C1A"/>
    <w:rsid w:val="001E01F4"/>
    <w:rsid w:val="001E0A94"/>
    <w:rsid w:val="001E266F"/>
    <w:rsid w:val="001E311B"/>
    <w:rsid w:val="001E3880"/>
    <w:rsid w:val="001E55FC"/>
    <w:rsid w:val="001E5C32"/>
    <w:rsid w:val="001E637E"/>
    <w:rsid w:val="001F04E0"/>
    <w:rsid w:val="001F0799"/>
    <w:rsid w:val="001F141F"/>
    <w:rsid w:val="001F1F4F"/>
    <w:rsid w:val="001F2618"/>
    <w:rsid w:val="001F2B32"/>
    <w:rsid w:val="001F3F23"/>
    <w:rsid w:val="001F473B"/>
    <w:rsid w:val="001F7646"/>
    <w:rsid w:val="001F7840"/>
    <w:rsid w:val="00200828"/>
    <w:rsid w:val="002020DF"/>
    <w:rsid w:val="00203604"/>
    <w:rsid w:val="00204B16"/>
    <w:rsid w:val="00204DDB"/>
    <w:rsid w:val="002055DD"/>
    <w:rsid w:val="00205FF4"/>
    <w:rsid w:val="00206023"/>
    <w:rsid w:val="002064F7"/>
    <w:rsid w:val="00206588"/>
    <w:rsid w:val="0021180D"/>
    <w:rsid w:val="00211C1E"/>
    <w:rsid w:val="00213C93"/>
    <w:rsid w:val="00216AF1"/>
    <w:rsid w:val="00220F31"/>
    <w:rsid w:val="00221025"/>
    <w:rsid w:val="00221720"/>
    <w:rsid w:val="00221D47"/>
    <w:rsid w:val="00222399"/>
    <w:rsid w:val="00222663"/>
    <w:rsid w:val="00223F07"/>
    <w:rsid w:val="00224316"/>
    <w:rsid w:val="00225F3E"/>
    <w:rsid w:val="00226B4C"/>
    <w:rsid w:val="00226ED0"/>
    <w:rsid w:val="00227E0B"/>
    <w:rsid w:val="00231216"/>
    <w:rsid w:val="002315E8"/>
    <w:rsid w:val="00231B66"/>
    <w:rsid w:val="002329DD"/>
    <w:rsid w:val="00232B9F"/>
    <w:rsid w:val="00232E6A"/>
    <w:rsid w:val="00234BBB"/>
    <w:rsid w:val="00235676"/>
    <w:rsid w:val="00235845"/>
    <w:rsid w:val="00236CA8"/>
    <w:rsid w:val="00240187"/>
    <w:rsid w:val="0024063E"/>
    <w:rsid w:val="00240887"/>
    <w:rsid w:val="00241FA1"/>
    <w:rsid w:val="0024206F"/>
    <w:rsid w:val="0024327B"/>
    <w:rsid w:val="00243E65"/>
    <w:rsid w:val="00244727"/>
    <w:rsid w:val="002451CE"/>
    <w:rsid w:val="0024538C"/>
    <w:rsid w:val="002460F5"/>
    <w:rsid w:val="0025082E"/>
    <w:rsid w:val="002518F2"/>
    <w:rsid w:val="00252ABA"/>
    <w:rsid w:val="002536D6"/>
    <w:rsid w:val="002544FC"/>
    <w:rsid w:val="00255234"/>
    <w:rsid w:val="002568B2"/>
    <w:rsid w:val="002571BE"/>
    <w:rsid w:val="00257804"/>
    <w:rsid w:val="00257E9A"/>
    <w:rsid w:val="00262108"/>
    <w:rsid w:val="00262267"/>
    <w:rsid w:val="00262444"/>
    <w:rsid w:val="00263521"/>
    <w:rsid w:val="00263B6F"/>
    <w:rsid w:val="00264669"/>
    <w:rsid w:val="002655FA"/>
    <w:rsid w:val="0026615C"/>
    <w:rsid w:val="0026648A"/>
    <w:rsid w:val="00266F12"/>
    <w:rsid w:val="0027230B"/>
    <w:rsid w:val="0027599F"/>
    <w:rsid w:val="0027713F"/>
    <w:rsid w:val="00277166"/>
    <w:rsid w:val="00277700"/>
    <w:rsid w:val="00281C78"/>
    <w:rsid w:val="0028243F"/>
    <w:rsid w:val="002839C0"/>
    <w:rsid w:val="00284424"/>
    <w:rsid w:val="00284577"/>
    <w:rsid w:val="002849FD"/>
    <w:rsid w:val="00284FB2"/>
    <w:rsid w:val="00287B1B"/>
    <w:rsid w:val="00291546"/>
    <w:rsid w:val="00291E1B"/>
    <w:rsid w:val="00294477"/>
    <w:rsid w:val="00294BF0"/>
    <w:rsid w:val="00294C70"/>
    <w:rsid w:val="00296201"/>
    <w:rsid w:val="002A0EA9"/>
    <w:rsid w:val="002A1517"/>
    <w:rsid w:val="002A210C"/>
    <w:rsid w:val="002A28C3"/>
    <w:rsid w:val="002A3D07"/>
    <w:rsid w:val="002A50CB"/>
    <w:rsid w:val="002A57D2"/>
    <w:rsid w:val="002A66CB"/>
    <w:rsid w:val="002A6C1A"/>
    <w:rsid w:val="002A753C"/>
    <w:rsid w:val="002A7D21"/>
    <w:rsid w:val="002A7E0C"/>
    <w:rsid w:val="002B0E2C"/>
    <w:rsid w:val="002B2D1B"/>
    <w:rsid w:val="002B2DF0"/>
    <w:rsid w:val="002B35C5"/>
    <w:rsid w:val="002B4E57"/>
    <w:rsid w:val="002B5E33"/>
    <w:rsid w:val="002B729C"/>
    <w:rsid w:val="002B794E"/>
    <w:rsid w:val="002C0037"/>
    <w:rsid w:val="002C0AAF"/>
    <w:rsid w:val="002C146A"/>
    <w:rsid w:val="002C1EE0"/>
    <w:rsid w:val="002C20A4"/>
    <w:rsid w:val="002C32AA"/>
    <w:rsid w:val="002C33C0"/>
    <w:rsid w:val="002C3876"/>
    <w:rsid w:val="002C409D"/>
    <w:rsid w:val="002C4139"/>
    <w:rsid w:val="002C4CD1"/>
    <w:rsid w:val="002C6438"/>
    <w:rsid w:val="002C76EB"/>
    <w:rsid w:val="002C7758"/>
    <w:rsid w:val="002D0152"/>
    <w:rsid w:val="002D08D6"/>
    <w:rsid w:val="002D1412"/>
    <w:rsid w:val="002D16C6"/>
    <w:rsid w:val="002D2CB3"/>
    <w:rsid w:val="002D3C09"/>
    <w:rsid w:val="002D3CDE"/>
    <w:rsid w:val="002D47A3"/>
    <w:rsid w:val="002D5B2F"/>
    <w:rsid w:val="002D79F5"/>
    <w:rsid w:val="002D7C3B"/>
    <w:rsid w:val="002E0242"/>
    <w:rsid w:val="002E046C"/>
    <w:rsid w:val="002E1FBE"/>
    <w:rsid w:val="002E2778"/>
    <w:rsid w:val="002E2B3F"/>
    <w:rsid w:val="002E57B9"/>
    <w:rsid w:val="002E60A4"/>
    <w:rsid w:val="002E670C"/>
    <w:rsid w:val="002E6FAC"/>
    <w:rsid w:val="002E7312"/>
    <w:rsid w:val="002E7BB2"/>
    <w:rsid w:val="002F11EC"/>
    <w:rsid w:val="002F1380"/>
    <w:rsid w:val="002F2ED9"/>
    <w:rsid w:val="002F4390"/>
    <w:rsid w:val="002F46A2"/>
    <w:rsid w:val="002F59E9"/>
    <w:rsid w:val="002F5AF7"/>
    <w:rsid w:val="002F5B87"/>
    <w:rsid w:val="002F5E09"/>
    <w:rsid w:val="002F6C96"/>
    <w:rsid w:val="002F73E3"/>
    <w:rsid w:val="003003D6"/>
    <w:rsid w:val="00300F4C"/>
    <w:rsid w:val="00300F96"/>
    <w:rsid w:val="00301153"/>
    <w:rsid w:val="00302C7B"/>
    <w:rsid w:val="00302F70"/>
    <w:rsid w:val="0030317C"/>
    <w:rsid w:val="00303AC8"/>
    <w:rsid w:val="0030426D"/>
    <w:rsid w:val="003053A7"/>
    <w:rsid w:val="00306FB4"/>
    <w:rsid w:val="00307708"/>
    <w:rsid w:val="00310A9B"/>
    <w:rsid w:val="00312245"/>
    <w:rsid w:val="00313568"/>
    <w:rsid w:val="0031379A"/>
    <w:rsid w:val="003137DC"/>
    <w:rsid w:val="00314586"/>
    <w:rsid w:val="003149D2"/>
    <w:rsid w:val="003150ED"/>
    <w:rsid w:val="00315762"/>
    <w:rsid w:val="00317540"/>
    <w:rsid w:val="00317597"/>
    <w:rsid w:val="00317A20"/>
    <w:rsid w:val="00317B40"/>
    <w:rsid w:val="0032070C"/>
    <w:rsid w:val="003215C7"/>
    <w:rsid w:val="00322B02"/>
    <w:rsid w:val="00322D34"/>
    <w:rsid w:val="00323027"/>
    <w:rsid w:val="003236B4"/>
    <w:rsid w:val="00323E3C"/>
    <w:rsid w:val="00324BCC"/>
    <w:rsid w:val="00330C23"/>
    <w:rsid w:val="00331CAD"/>
    <w:rsid w:val="00332E74"/>
    <w:rsid w:val="00333260"/>
    <w:rsid w:val="00333EF1"/>
    <w:rsid w:val="0033471B"/>
    <w:rsid w:val="00334B57"/>
    <w:rsid w:val="0033504B"/>
    <w:rsid w:val="00335639"/>
    <w:rsid w:val="00336C58"/>
    <w:rsid w:val="0033753A"/>
    <w:rsid w:val="00337919"/>
    <w:rsid w:val="00340F33"/>
    <w:rsid w:val="003419D7"/>
    <w:rsid w:val="003425F3"/>
    <w:rsid w:val="003430B7"/>
    <w:rsid w:val="00343938"/>
    <w:rsid w:val="00343EDF"/>
    <w:rsid w:val="003444C5"/>
    <w:rsid w:val="00344766"/>
    <w:rsid w:val="00344856"/>
    <w:rsid w:val="00345775"/>
    <w:rsid w:val="00347268"/>
    <w:rsid w:val="00347B50"/>
    <w:rsid w:val="00347FCD"/>
    <w:rsid w:val="0035188A"/>
    <w:rsid w:val="00354BBA"/>
    <w:rsid w:val="00354FBC"/>
    <w:rsid w:val="00355300"/>
    <w:rsid w:val="00355768"/>
    <w:rsid w:val="003577EF"/>
    <w:rsid w:val="00357F9E"/>
    <w:rsid w:val="00362821"/>
    <w:rsid w:val="00363E35"/>
    <w:rsid w:val="003649C4"/>
    <w:rsid w:val="0036517F"/>
    <w:rsid w:val="003656ED"/>
    <w:rsid w:val="003659ED"/>
    <w:rsid w:val="00365B85"/>
    <w:rsid w:val="003663A2"/>
    <w:rsid w:val="00366929"/>
    <w:rsid w:val="0036718A"/>
    <w:rsid w:val="00367473"/>
    <w:rsid w:val="00367FE3"/>
    <w:rsid w:val="00370579"/>
    <w:rsid w:val="003708B5"/>
    <w:rsid w:val="00371283"/>
    <w:rsid w:val="00371414"/>
    <w:rsid w:val="00371A80"/>
    <w:rsid w:val="00373491"/>
    <w:rsid w:val="00373628"/>
    <w:rsid w:val="0037370B"/>
    <w:rsid w:val="00374145"/>
    <w:rsid w:val="003745D1"/>
    <w:rsid w:val="0037603A"/>
    <w:rsid w:val="003763B9"/>
    <w:rsid w:val="00376721"/>
    <w:rsid w:val="0037752E"/>
    <w:rsid w:val="00377FF2"/>
    <w:rsid w:val="00380052"/>
    <w:rsid w:val="003800A5"/>
    <w:rsid w:val="00381318"/>
    <w:rsid w:val="00381DBD"/>
    <w:rsid w:val="00383847"/>
    <w:rsid w:val="00383C49"/>
    <w:rsid w:val="00384460"/>
    <w:rsid w:val="00384615"/>
    <w:rsid w:val="00384F48"/>
    <w:rsid w:val="00384F4C"/>
    <w:rsid w:val="00387497"/>
    <w:rsid w:val="0039007A"/>
    <w:rsid w:val="00390143"/>
    <w:rsid w:val="003902C5"/>
    <w:rsid w:val="00390BBA"/>
    <w:rsid w:val="003919F8"/>
    <w:rsid w:val="00392514"/>
    <w:rsid w:val="00392A4E"/>
    <w:rsid w:val="003938FD"/>
    <w:rsid w:val="00395887"/>
    <w:rsid w:val="00395B11"/>
    <w:rsid w:val="00396841"/>
    <w:rsid w:val="0039701A"/>
    <w:rsid w:val="00397EDD"/>
    <w:rsid w:val="003A0565"/>
    <w:rsid w:val="003A0C4B"/>
    <w:rsid w:val="003A123A"/>
    <w:rsid w:val="003A1BC1"/>
    <w:rsid w:val="003A2ADF"/>
    <w:rsid w:val="003A3609"/>
    <w:rsid w:val="003A62F8"/>
    <w:rsid w:val="003B1233"/>
    <w:rsid w:val="003B2267"/>
    <w:rsid w:val="003B2852"/>
    <w:rsid w:val="003B45D2"/>
    <w:rsid w:val="003B46DF"/>
    <w:rsid w:val="003B4E90"/>
    <w:rsid w:val="003B5474"/>
    <w:rsid w:val="003B5C80"/>
    <w:rsid w:val="003C14C0"/>
    <w:rsid w:val="003C1FBB"/>
    <w:rsid w:val="003C2BB5"/>
    <w:rsid w:val="003C3A0F"/>
    <w:rsid w:val="003C3C19"/>
    <w:rsid w:val="003C3F74"/>
    <w:rsid w:val="003C40AB"/>
    <w:rsid w:val="003C51E8"/>
    <w:rsid w:val="003D0CFC"/>
    <w:rsid w:val="003D20B8"/>
    <w:rsid w:val="003D46EC"/>
    <w:rsid w:val="003D55B3"/>
    <w:rsid w:val="003D6D3C"/>
    <w:rsid w:val="003E011A"/>
    <w:rsid w:val="003E09F7"/>
    <w:rsid w:val="003E1BD3"/>
    <w:rsid w:val="003E2F5A"/>
    <w:rsid w:val="003E58C2"/>
    <w:rsid w:val="003E687E"/>
    <w:rsid w:val="003F0B02"/>
    <w:rsid w:val="003F24A1"/>
    <w:rsid w:val="003F251C"/>
    <w:rsid w:val="003F2B3A"/>
    <w:rsid w:val="003F5370"/>
    <w:rsid w:val="003F7589"/>
    <w:rsid w:val="00400826"/>
    <w:rsid w:val="00400CC0"/>
    <w:rsid w:val="004026C2"/>
    <w:rsid w:val="004031EE"/>
    <w:rsid w:val="00403525"/>
    <w:rsid w:val="004037F3"/>
    <w:rsid w:val="00403BE6"/>
    <w:rsid w:val="00404B14"/>
    <w:rsid w:val="00406079"/>
    <w:rsid w:val="00406A02"/>
    <w:rsid w:val="00406EE7"/>
    <w:rsid w:val="004075AD"/>
    <w:rsid w:val="00407D5C"/>
    <w:rsid w:val="0041476E"/>
    <w:rsid w:val="00414C2A"/>
    <w:rsid w:val="00415350"/>
    <w:rsid w:val="00415516"/>
    <w:rsid w:val="00416A6B"/>
    <w:rsid w:val="00417065"/>
    <w:rsid w:val="00420067"/>
    <w:rsid w:val="0042163A"/>
    <w:rsid w:val="00421FA2"/>
    <w:rsid w:val="00424D5E"/>
    <w:rsid w:val="00426321"/>
    <w:rsid w:val="00432FB7"/>
    <w:rsid w:val="00433DA7"/>
    <w:rsid w:val="004376F4"/>
    <w:rsid w:val="00437ECF"/>
    <w:rsid w:val="004415D8"/>
    <w:rsid w:val="0044176A"/>
    <w:rsid w:val="0044286B"/>
    <w:rsid w:val="00442CD0"/>
    <w:rsid w:val="00442EC2"/>
    <w:rsid w:val="004451CD"/>
    <w:rsid w:val="0044649C"/>
    <w:rsid w:val="00446B6B"/>
    <w:rsid w:val="0044729A"/>
    <w:rsid w:val="00447ABD"/>
    <w:rsid w:val="00454959"/>
    <w:rsid w:val="004553FB"/>
    <w:rsid w:val="0045577E"/>
    <w:rsid w:val="00456310"/>
    <w:rsid w:val="0045666C"/>
    <w:rsid w:val="00457EA5"/>
    <w:rsid w:val="004603B5"/>
    <w:rsid w:val="004603E3"/>
    <w:rsid w:val="004609AC"/>
    <w:rsid w:val="00461F37"/>
    <w:rsid w:val="00462D07"/>
    <w:rsid w:val="00463222"/>
    <w:rsid w:val="00463F98"/>
    <w:rsid w:val="00464330"/>
    <w:rsid w:val="00464350"/>
    <w:rsid w:val="004658D3"/>
    <w:rsid w:val="00466529"/>
    <w:rsid w:val="00466BFD"/>
    <w:rsid w:val="00467DF1"/>
    <w:rsid w:val="00470789"/>
    <w:rsid w:val="0047225C"/>
    <w:rsid w:val="00473E8A"/>
    <w:rsid w:val="00475EF4"/>
    <w:rsid w:val="00475FC8"/>
    <w:rsid w:val="004766F9"/>
    <w:rsid w:val="004779AA"/>
    <w:rsid w:val="00477B44"/>
    <w:rsid w:val="00481A51"/>
    <w:rsid w:val="0048349F"/>
    <w:rsid w:val="004844AF"/>
    <w:rsid w:val="00485168"/>
    <w:rsid w:val="00485D49"/>
    <w:rsid w:val="00486DCF"/>
    <w:rsid w:val="00487685"/>
    <w:rsid w:val="004879E6"/>
    <w:rsid w:val="00487D2A"/>
    <w:rsid w:val="00490D7D"/>
    <w:rsid w:val="00490E7A"/>
    <w:rsid w:val="004914FE"/>
    <w:rsid w:val="00492EA2"/>
    <w:rsid w:val="00494B2B"/>
    <w:rsid w:val="004959A1"/>
    <w:rsid w:val="004A0385"/>
    <w:rsid w:val="004A1557"/>
    <w:rsid w:val="004A15B2"/>
    <w:rsid w:val="004A2A23"/>
    <w:rsid w:val="004A2CC4"/>
    <w:rsid w:val="004A3A13"/>
    <w:rsid w:val="004A4191"/>
    <w:rsid w:val="004A5574"/>
    <w:rsid w:val="004A64D2"/>
    <w:rsid w:val="004A6B6B"/>
    <w:rsid w:val="004A6C98"/>
    <w:rsid w:val="004A71D6"/>
    <w:rsid w:val="004A7AEE"/>
    <w:rsid w:val="004B0324"/>
    <w:rsid w:val="004B1118"/>
    <w:rsid w:val="004B1D60"/>
    <w:rsid w:val="004B1EE0"/>
    <w:rsid w:val="004B269D"/>
    <w:rsid w:val="004B2799"/>
    <w:rsid w:val="004B27DC"/>
    <w:rsid w:val="004B2CA2"/>
    <w:rsid w:val="004B434D"/>
    <w:rsid w:val="004B459F"/>
    <w:rsid w:val="004B47AD"/>
    <w:rsid w:val="004B5D6C"/>
    <w:rsid w:val="004B5F6C"/>
    <w:rsid w:val="004B5FC2"/>
    <w:rsid w:val="004B7B07"/>
    <w:rsid w:val="004B7C2E"/>
    <w:rsid w:val="004C18BC"/>
    <w:rsid w:val="004C1E65"/>
    <w:rsid w:val="004C3808"/>
    <w:rsid w:val="004C4F9E"/>
    <w:rsid w:val="004C6CAF"/>
    <w:rsid w:val="004C6CE9"/>
    <w:rsid w:val="004C6D46"/>
    <w:rsid w:val="004C7D9F"/>
    <w:rsid w:val="004C7E7F"/>
    <w:rsid w:val="004C7FE1"/>
    <w:rsid w:val="004D0124"/>
    <w:rsid w:val="004D55F1"/>
    <w:rsid w:val="004D595E"/>
    <w:rsid w:val="004D5BC8"/>
    <w:rsid w:val="004D6B66"/>
    <w:rsid w:val="004D7871"/>
    <w:rsid w:val="004E18EC"/>
    <w:rsid w:val="004E19F5"/>
    <w:rsid w:val="004E3503"/>
    <w:rsid w:val="004E397A"/>
    <w:rsid w:val="004E4786"/>
    <w:rsid w:val="004E5BC3"/>
    <w:rsid w:val="004F12E5"/>
    <w:rsid w:val="004F13CB"/>
    <w:rsid w:val="004F1813"/>
    <w:rsid w:val="004F2588"/>
    <w:rsid w:val="004F30F1"/>
    <w:rsid w:val="004F34A5"/>
    <w:rsid w:val="004F520B"/>
    <w:rsid w:val="004F700D"/>
    <w:rsid w:val="005006C5"/>
    <w:rsid w:val="005021B9"/>
    <w:rsid w:val="00503BC6"/>
    <w:rsid w:val="00504F9C"/>
    <w:rsid w:val="00506267"/>
    <w:rsid w:val="00510E9C"/>
    <w:rsid w:val="00511AB3"/>
    <w:rsid w:val="00511F70"/>
    <w:rsid w:val="005130C4"/>
    <w:rsid w:val="00513987"/>
    <w:rsid w:val="00513A12"/>
    <w:rsid w:val="005140D6"/>
    <w:rsid w:val="00514127"/>
    <w:rsid w:val="00515B5D"/>
    <w:rsid w:val="00516156"/>
    <w:rsid w:val="00516440"/>
    <w:rsid w:val="00516EC6"/>
    <w:rsid w:val="00522D7D"/>
    <w:rsid w:val="005231B6"/>
    <w:rsid w:val="00524309"/>
    <w:rsid w:val="00525974"/>
    <w:rsid w:val="0052656B"/>
    <w:rsid w:val="005276C8"/>
    <w:rsid w:val="0053007E"/>
    <w:rsid w:val="00530946"/>
    <w:rsid w:val="00532736"/>
    <w:rsid w:val="00534730"/>
    <w:rsid w:val="00534A8D"/>
    <w:rsid w:val="005368F9"/>
    <w:rsid w:val="00537B75"/>
    <w:rsid w:val="00541D02"/>
    <w:rsid w:val="00542164"/>
    <w:rsid w:val="005423CB"/>
    <w:rsid w:val="00542B67"/>
    <w:rsid w:val="00543C8C"/>
    <w:rsid w:val="00544F40"/>
    <w:rsid w:val="00551B42"/>
    <w:rsid w:val="00552522"/>
    <w:rsid w:val="0055267A"/>
    <w:rsid w:val="00552ABE"/>
    <w:rsid w:val="00552C28"/>
    <w:rsid w:val="00553C15"/>
    <w:rsid w:val="00553FD5"/>
    <w:rsid w:val="005551C8"/>
    <w:rsid w:val="005556ED"/>
    <w:rsid w:val="005556F3"/>
    <w:rsid w:val="00555A0A"/>
    <w:rsid w:val="00555AE0"/>
    <w:rsid w:val="00555D55"/>
    <w:rsid w:val="00555E44"/>
    <w:rsid w:val="00556269"/>
    <w:rsid w:val="005563AE"/>
    <w:rsid w:val="00557A24"/>
    <w:rsid w:val="00557D13"/>
    <w:rsid w:val="00561184"/>
    <w:rsid w:val="00561379"/>
    <w:rsid w:val="00561417"/>
    <w:rsid w:val="00562525"/>
    <w:rsid w:val="00562779"/>
    <w:rsid w:val="00564B6D"/>
    <w:rsid w:val="00565B18"/>
    <w:rsid w:val="005664B8"/>
    <w:rsid w:val="005668A9"/>
    <w:rsid w:val="00572D99"/>
    <w:rsid w:val="00572EE0"/>
    <w:rsid w:val="00574579"/>
    <w:rsid w:val="005762ED"/>
    <w:rsid w:val="00576751"/>
    <w:rsid w:val="00576E64"/>
    <w:rsid w:val="0057747A"/>
    <w:rsid w:val="0058079B"/>
    <w:rsid w:val="00580912"/>
    <w:rsid w:val="00580C5C"/>
    <w:rsid w:val="005812A0"/>
    <w:rsid w:val="00581A51"/>
    <w:rsid w:val="00583130"/>
    <w:rsid w:val="005833C3"/>
    <w:rsid w:val="00583846"/>
    <w:rsid w:val="00584199"/>
    <w:rsid w:val="005848B1"/>
    <w:rsid w:val="00585F3B"/>
    <w:rsid w:val="005901AC"/>
    <w:rsid w:val="00591A46"/>
    <w:rsid w:val="005949D2"/>
    <w:rsid w:val="005957CF"/>
    <w:rsid w:val="005965AA"/>
    <w:rsid w:val="00597751"/>
    <w:rsid w:val="0059775B"/>
    <w:rsid w:val="005A021D"/>
    <w:rsid w:val="005A0B52"/>
    <w:rsid w:val="005A1CF7"/>
    <w:rsid w:val="005A301C"/>
    <w:rsid w:val="005A5003"/>
    <w:rsid w:val="005A6093"/>
    <w:rsid w:val="005A6451"/>
    <w:rsid w:val="005A6A8B"/>
    <w:rsid w:val="005B004C"/>
    <w:rsid w:val="005B1E50"/>
    <w:rsid w:val="005B25AE"/>
    <w:rsid w:val="005B2A3D"/>
    <w:rsid w:val="005B45CE"/>
    <w:rsid w:val="005B7F72"/>
    <w:rsid w:val="005C0657"/>
    <w:rsid w:val="005C0708"/>
    <w:rsid w:val="005C0AD0"/>
    <w:rsid w:val="005C15F9"/>
    <w:rsid w:val="005C2C1B"/>
    <w:rsid w:val="005C4C22"/>
    <w:rsid w:val="005C5383"/>
    <w:rsid w:val="005C584D"/>
    <w:rsid w:val="005C679C"/>
    <w:rsid w:val="005C6C96"/>
    <w:rsid w:val="005D0C97"/>
    <w:rsid w:val="005D308E"/>
    <w:rsid w:val="005D43DD"/>
    <w:rsid w:val="005D4A51"/>
    <w:rsid w:val="005D67FB"/>
    <w:rsid w:val="005D69A1"/>
    <w:rsid w:val="005D6C93"/>
    <w:rsid w:val="005D7250"/>
    <w:rsid w:val="005E05F7"/>
    <w:rsid w:val="005E1B09"/>
    <w:rsid w:val="005E347B"/>
    <w:rsid w:val="005E4498"/>
    <w:rsid w:val="005E4EE1"/>
    <w:rsid w:val="005E560A"/>
    <w:rsid w:val="005E6809"/>
    <w:rsid w:val="005E7DF1"/>
    <w:rsid w:val="005F2CB2"/>
    <w:rsid w:val="005F2CDF"/>
    <w:rsid w:val="005F2ED2"/>
    <w:rsid w:val="005F329E"/>
    <w:rsid w:val="005F33BD"/>
    <w:rsid w:val="005F37CB"/>
    <w:rsid w:val="005F40C7"/>
    <w:rsid w:val="005F4A91"/>
    <w:rsid w:val="00601478"/>
    <w:rsid w:val="006017E7"/>
    <w:rsid w:val="00601C6E"/>
    <w:rsid w:val="00602242"/>
    <w:rsid w:val="006024D4"/>
    <w:rsid w:val="00602575"/>
    <w:rsid w:val="00602DF1"/>
    <w:rsid w:val="00602F8E"/>
    <w:rsid w:val="006034D6"/>
    <w:rsid w:val="00603876"/>
    <w:rsid w:val="006051E9"/>
    <w:rsid w:val="00605F08"/>
    <w:rsid w:val="006068FE"/>
    <w:rsid w:val="00607561"/>
    <w:rsid w:val="00607ABA"/>
    <w:rsid w:val="00607D4B"/>
    <w:rsid w:val="00610812"/>
    <w:rsid w:val="00611251"/>
    <w:rsid w:val="00611FCD"/>
    <w:rsid w:val="00614F43"/>
    <w:rsid w:val="0061505D"/>
    <w:rsid w:val="006156B1"/>
    <w:rsid w:val="00616843"/>
    <w:rsid w:val="00616A6F"/>
    <w:rsid w:val="00620A51"/>
    <w:rsid w:val="00620C08"/>
    <w:rsid w:val="00621B82"/>
    <w:rsid w:val="0062262A"/>
    <w:rsid w:val="006228E1"/>
    <w:rsid w:val="00624617"/>
    <w:rsid w:val="006249D4"/>
    <w:rsid w:val="0062596E"/>
    <w:rsid w:val="00626855"/>
    <w:rsid w:val="006268F2"/>
    <w:rsid w:val="00626C87"/>
    <w:rsid w:val="0062709B"/>
    <w:rsid w:val="00630F23"/>
    <w:rsid w:val="00631037"/>
    <w:rsid w:val="00631F2F"/>
    <w:rsid w:val="006327CE"/>
    <w:rsid w:val="00632F5E"/>
    <w:rsid w:val="00634DAD"/>
    <w:rsid w:val="006376EE"/>
    <w:rsid w:val="00640E49"/>
    <w:rsid w:val="00641AF3"/>
    <w:rsid w:val="00641DFF"/>
    <w:rsid w:val="00642C9B"/>
    <w:rsid w:val="006457EB"/>
    <w:rsid w:val="00645DAC"/>
    <w:rsid w:val="006461E5"/>
    <w:rsid w:val="00646DFA"/>
    <w:rsid w:val="00647D4C"/>
    <w:rsid w:val="00647FF1"/>
    <w:rsid w:val="006517A3"/>
    <w:rsid w:val="00652896"/>
    <w:rsid w:val="00652B43"/>
    <w:rsid w:val="006531CB"/>
    <w:rsid w:val="006531DE"/>
    <w:rsid w:val="00653720"/>
    <w:rsid w:val="00653E0D"/>
    <w:rsid w:val="006554CC"/>
    <w:rsid w:val="0065550F"/>
    <w:rsid w:val="006555F9"/>
    <w:rsid w:val="00655ED5"/>
    <w:rsid w:val="006574A3"/>
    <w:rsid w:val="00660AD9"/>
    <w:rsid w:val="00660FE8"/>
    <w:rsid w:val="0066141E"/>
    <w:rsid w:val="00661F2E"/>
    <w:rsid w:val="00663D31"/>
    <w:rsid w:val="0066413A"/>
    <w:rsid w:val="00664B45"/>
    <w:rsid w:val="00665034"/>
    <w:rsid w:val="00665B9C"/>
    <w:rsid w:val="00667949"/>
    <w:rsid w:val="0067047C"/>
    <w:rsid w:val="00670613"/>
    <w:rsid w:val="00671702"/>
    <w:rsid w:val="00671C03"/>
    <w:rsid w:val="00672737"/>
    <w:rsid w:val="00672A8E"/>
    <w:rsid w:val="0067337C"/>
    <w:rsid w:val="0067484F"/>
    <w:rsid w:val="00675803"/>
    <w:rsid w:val="00675A63"/>
    <w:rsid w:val="00675A92"/>
    <w:rsid w:val="00675E9F"/>
    <w:rsid w:val="00677F73"/>
    <w:rsid w:val="006812E8"/>
    <w:rsid w:val="0068224C"/>
    <w:rsid w:val="00685FB2"/>
    <w:rsid w:val="006862E6"/>
    <w:rsid w:val="0069099F"/>
    <w:rsid w:val="00691224"/>
    <w:rsid w:val="006929C2"/>
    <w:rsid w:val="006953BD"/>
    <w:rsid w:val="00695DDF"/>
    <w:rsid w:val="00696C12"/>
    <w:rsid w:val="00696EAF"/>
    <w:rsid w:val="00697128"/>
    <w:rsid w:val="006972E5"/>
    <w:rsid w:val="0069752B"/>
    <w:rsid w:val="00697BF3"/>
    <w:rsid w:val="006A0786"/>
    <w:rsid w:val="006A29EA"/>
    <w:rsid w:val="006A2A1C"/>
    <w:rsid w:val="006A2CC3"/>
    <w:rsid w:val="006A32A2"/>
    <w:rsid w:val="006A3B65"/>
    <w:rsid w:val="006A70DA"/>
    <w:rsid w:val="006B00E0"/>
    <w:rsid w:val="006B0DE2"/>
    <w:rsid w:val="006B3F19"/>
    <w:rsid w:val="006B41AC"/>
    <w:rsid w:val="006B47F5"/>
    <w:rsid w:val="006B5989"/>
    <w:rsid w:val="006C03D7"/>
    <w:rsid w:val="006C0ADD"/>
    <w:rsid w:val="006C0C85"/>
    <w:rsid w:val="006C0E71"/>
    <w:rsid w:val="006C1A04"/>
    <w:rsid w:val="006C3768"/>
    <w:rsid w:val="006C37BA"/>
    <w:rsid w:val="006C3FAD"/>
    <w:rsid w:val="006C51E5"/>
    <w:rsid w:val="006C6634"/>
    <w:rsid w:val="006C7602"/>
    <w:rsid w:val="006C78B8"/>
    <w:rsid w:val="006D124E"/>
    <w:rsid w:val="006D4161"/>
    <w:rsid w:val="006D4437"/>
    <w:rsid w:val="006D5C25"/>
    <w:rsid w:val="006D5FCF"/>
    <w:rsid w:val="006D7174"/>
    <w:rsid w:val="006D786C"/>
    <w:rsid w:val="006D7AE0"/>
    <w:rsid w:val="006E112D"/>
    <w:rsid w:val="006E427E"/>
    <w:rsid w:val="006E578B"/>
    <w:rsid w:val="006E75AE"/>
    <w:rsid w:val="006E7B6B"/>
    <w:rsid w:val="006E7E09"/>
    <w:rsid w:val="006F006F"/>
    <w:rsid w:val="006F1F0B"/>
    <w:rsid w:val="006F285F"/>
    <w:rsid w:val="006F287E"/>
    <w:rsid w:val="006F2B84"/>
    <w:rsid w:val="006F3474"/>
    <w:rsid w:val="006F498D"/>
    <w:rsid w:val="006F542C"/>
    <w:rsid w:val="006F5E6F"/>
    <w:rsid w:val="006F70D8"/>
    <w:rsid w:val="00700691"/>
    <w:rsid w:val="00701C1A"/>
    <w:rsid w:val="007032BD"/>
    <w:rsid w:val="007041B0"/>
    <w:rsid w:val="00705253"/>
    <w:rsid w:val="007066AE"/>
    <w:rsid w:val="00706A63"/>
    <w:rsid w:val="00706E61"/>
    <w:rsid w:val="00712C83"/>
    <w:rsid w:val="007130A6"/>
    <w:rsid w:val="00713415"/>
    <w:rsid w:val="007138AB"/>
    <w:rsid w:val="007150EF"/>
    <w:rsid w:val="00715DDC"/>
    <w:rsid w:val="007171AC"/>
    <w:rsid w:val="00717E6B"/>
    <w:rsid w:val="0072036E"/>
    <w:rsid w:val="00720B27"/>
    <w:rsid w:val="00720E2B"/>
    <w:rsid w:val="00721884"/>
    <w:rsid w:val="00722169"/>
    <w:rsid w:val="0072219B"/>
    <w:rsid w:val="00724221"/>
    <w:rsid w:val="00726A53"/>
    <w:rsid w:val="00730093"/>
    <w:rsid w:val="00730265"/>
    <w:rsid w:val="00730721"/>
    <w:rsid w:val="00731710"/>
    <w:rsid w:val="00732739"/>
    <w:rsid w:val="00734503"/>
    <w:rsid w:val="00734D47"/>
    <w:rsid w:val="0073555F"/>
    <w:rsid w:val="00736321"/>
    <w:rsid w:val="00736BEC"/>
    <w:rsid w:val="007372EB"/>
    <w:rsid w:val="007406FD"/>
    <w:rsid w:val="00740D58"/>
    <w:rsid w:val="00741358"/>
    <w:rsid w:val="00742261"/>
    <w:rsid w:val="007422D1"/>
    <w:rsid w:val="007426FD"/>
    <w:rsid w:val="0074303E"/>
    <w:rsid w:val="00743E2F"/>
    <w:rsid w:val="00744AAB"/>
    <w:rsid w:val="007474F0"/>
    <w:rsid w:val="007478B5"/>
    <w:rsid w:val="00750B06"/>
    <w:rsid w:val="007524CB"/>
    <w:rsid w:val="00752CBA"/>
    <w:rsid w:val="007530A8"/>
    <w:rsid w:val="00753ADE"/>
    <w:rsid w:val="007541A3"/>
    <w:rsid w:val="007550BC"/>
    <w:rsid w:val="00755EFE"/>
    <w:rsid w:val="007564E7"/>
    <w:rsid w:val="00760648"/>
    <w:rsid w:val="007621B5"/>
    <w:rsid w:val="00762874"/>
    <w:rsid w:val="00762888"/>
    <w:rsid w:val="00762BD0"/>
    <w:rsid w:val="00763717"/>
    <w:rsid w:val="007640BD"/>
    <w:rsid w:val="007651C2"/>
    <w:rsid w:val="00765803"/>
    <w:rsid w:val="00765880"/>
    <w:rsid w:val="00766144"/>
    <w:rsid w:val="00766153"/>
    <w:rsid w:val="007666BE"/>
    <w:rsid w:val="00767F47"/>
    <w:rsid w:val="007725F9"/>
    <w:rsid w:val="007732CB"/>
    <w:rsid w:val="00773F61"/>
    <w:rsid w:val="00774354"/>
    <w:rsid w:val="00774896"/>
    <w:rsid w:val="0077501B"/>
    <w:rsid w:val="00775601"/>
    <w:rsid w:val="00775E82"/>
    <w:rsid w:val="00777090"/>
    <w:rsid w:val="00777232"/>
    <w:rsid w:val="00777DAC"/>
    <w:rsid w:val="00777F82"/>
    <w:rsid w:val="00780024"/>
    <w:rsid w:val="00780A12"/>
    <w:rsid w:val="00781E0B"/>
    <w:rsid w:val="007824EE"/>
    <w:rsid w:val="0078265C"/>
    <w:rsid w:val="00783D1F"/>
    <w:rsid w:val="00784271"/>
    <w:rsid w:val="0078608C"/>
    <w:rsid w:val="0078749E"/>
    <w:rsid w:val="00790D15"/>
    <w:rsid w:val="00791B39"/>
    <w:rsid w:val="007940F2"/>
    <w:rsid w:val="00795344"/>
    <w:rsid w:val="00795FC2"/>
    <w:rsid w:val="007A05F5"/>
    <w:rsid w:val="007A0E84"/>
    <w:rsid w:val="007A2EA4"/>
    <w:rsid w:val="007A3987"/>
    <w:rsid w:val="007A4EBD"/>
    <w:rsid w:val="007A6317"/>
    <w:rsid w:val="007A6D59"/>
    <w:rsid w:val="007A7170"/>
    <w:rsid w:val="007A7421"/>
    <w:rsid w:val="007A7F54"/>
    <w:rsid w:val="007B0093"/>
    <w:rsid w:val="007B112B"/>
    <w:rsid w:val="007B19EA"/>
    <w:rsid w:val="007B4117"/>
    <w:rsid w:val="007B421C"/>
    <w:rsid w:val="007B4C03"/>
    <w:rsid w:val="007B5236"/>
    <w:rsid w:val="007B5417"/>
    <w:rsid w:val="007B5B26"/>
    <w:rsid w:val="007B647A"/>
    <w:rsid w:val="007B691A"/>
    <w:rsid w:val="007C0901"/>
    <w:rsid w:val="007C1FF6"/>
    <w:rsid w:val="007C3452"/>
    <w:rsid w:val="007C512D"/>
    <w:rsid w:val="007C56EF"/>
    <w:rsid w:val="007C64DB"/>
    <w:rsid w:val="007C7039"/>
    <w:rsid w:val="007D0FD5"/>
    <w:rsid w:val="007D1213"/>
    <w:rsid w:val="007D18C0"/>
    <w:rsid w:val="007D232D"/>
    <w:rsid w:val="007D2948"/>
    <w:rsid w:val="007D3D23"/>
    <w:rsid w:val="007D42FD"/>
    <w:rsid w:val="007D531C"/>
    <w:rsid w:val="007D53AF"/>
    <w:rsid w:val="007D61B8"/>
    <w:rsid w:val="007D6F4E"/>
    <w:rsid w:val="007D79C2"/>
    <w:rsid w:val="007E06A8"/>
    <w:rsid w:val="007E0AEE"/>
    <w:rsid w:val="007E0E3A"/>
    <w:rsid w:val="007E10DE"/>
    <w:rsid w:val="007E1EB1"/>
    <w:rsid w:val="007E2BA8"/>
    <w:rsid w:val="007E2D47"/>
    <w:rsid w:val="007E3FF5"/>
    <w:rsid w:val="007E438F"/>
    <w:rsid w:val="007E4DFE"/>
    <w:rsid w:val="007E517E"/>
    <w:rsid w:val="007E5180"/>
    <w:rsid w:val="007E5FFA"/>
    <w:rsid w:val="007E6163"/>
    <w:rsid w:val="007E675C"/>
    <w:rsid w:val="007E682F"/>
    <w:rsid w:val="007E6952"/>
    <w:rsid w:val="007E6979"/>
    <w:rsid w:val="007E7345"/>
    <w:rsid w:val="007F0120"/>
    <w:rsid w:val="007F09C7"/>
    <w:rsid w:val="007F0BF6"/>
    <w:rsid w:val="007F1D4E"/>
    <w:rsid w:val="007F30E9"/>
    <w:rsid w:val="007F359C"/>
    <w:rsid w:val="007F3D5D"/>
    <w:rsid w:val="007F4DBF"/>
    <w:rsid w:val="007F4E9D"/>
    <w:rsid w:val="007F55E0"/>
    <w:rsid w:val="007F6F8C"/>
    <w:rsid w:val="007F7342"/>
    <w:rsid w:val="007F7FF2"/>
    <w:rsid w:val="00802804"/>
    <w:rsid w:val="008039A6"/>
    <w:rsid w:val="00803D66"/>
    <w:rsid w:val="00804539"/>
    <w:rsid w:val="00804753"/>
    <w:rsid w:val="008056D9"/>
    <w:rsid w:val="00805B42"/>
    <w:rsid w:val="00805E69"/>
    <w:rsid w:val="008074C8"/>
    <w:rsid w:val="008077D1"/>
    <w:rsid w:val="008102AD"/>
    <w:rsid w:val="00810F6A"/>
    <w:rsid w:val="00811F31"/>
    <w:rsid w:val="00812791"/>
    <w:rsid w:val="008127BC"/>
    <w:rsid w:val="008132E1"/>
    <w:rsid w:val="0081365F"/>
    <w:rsid w:val="0081370F"/>
    <w:rsid w:val="00813AA8"/>
    <w:rsid w:val="008148CA"/>
    <w:rsid w:val="00816BFB"/>
    <w:rsid w:val="0081796B"/>
    <w:rsid w:val="008212E8"/>
    <w:rsid w:val="00822EE8"/>
    <w:rsid w:val="008251E0"/>
    <w:rsid w:val="00825633"/>
    <w:rsid w:val="00827144"/>
    <w:rsid w:val="00830B12"/>
    <w:rsid w:val="008321F5"/>
    <w:rsid w:val="00832789"/>
    <w:rsid w:val="00832EDC"/>
    <w:rsid w:val="00834B49"/>
    <w:rsid w:val="008351FA"/>
    <w:rsid w:val="00835C99"/>
    <w:rsid w:val="00836624"/>
    <w:rsid w:val="00836D1C"/>
    <w:rsid w:val="00836D4E"/>
    <w:rsid w:val="00837997"/>
    <w:rsid w:val="008402AC"/>
    <w:rsid w:val="008415BD"/>
    <w:rsid w:val="00842467"/>
    <w:rsid w:val="00842935"/>
    <w:rsid w:val="00842B72"/>
    <w:rsid w:val="00843936"/>
    <w:rsid w:val="00845BA8"/>
    <w:rsid w:val="00845DF2"/>
    <w:rsid w:val="00847DE1"/>
    <w:rsid w:val="008528BF"/>
    <w:rsid w:val="00854EF0"/>
    <w:rsid w:val="008554AD"/>
    <w:rsid w:val="0085734E"/>
    <w:rsid w:val="00860994"/>
    <w:rsid w:val="008628E4"/>
    <w:rsid w:val="00862C4A"/>
    <w:rsid w:val="0086365D"/>
    <w:rsid w:val="00863A1F"/>
    <w:rsid w:val="00865DE8"/>
    <w:rsid w:val="008661DA"/>
    <w:rsid w:val="00867FC5"/>
    <w:rsid w:val="008700FB"/>
    <w:rsid w:val="00870BAF"/>
    <w:rsid w:val="00871284"/>
    <w:rsid w:val="008715A7"/>
    <w:rsid w:val="0087192E"/>
    <w:rsid w:val="00871E10"/>
    <w:rsid w:val="00872DC8"/>
    <w:rsid w:val="00873ECF"/>
    <w:rsid w:val="00875098"/>
    <w:rsid w:val="00877C1E"/>
    <w:rsid w:val="008807B5"/>
    <w:rsid w:val="00880845"/>
    <w:rsid w:val="00880AE0"/>
    <w:rsid w:val="008813B4"/>
    <w:rsid w:val="0088167D"/>
    <w:rsid w:val="00882578"/>
    <w:rsid w:val="0088340A"/>
    <w:rsid w:val="008834F6"/>
    <w:rsid w:val="0088366D"/>
    <w:rsid w:val="00883B49"/>
    <w:rsid w:val="00884C98"/>
    <w:rsid w:val="008859ED"/>
    <w:rsid w:val="008861B3"/>
    <w:rsid w:val="0088621B"/>
    <w:rsid w:val="00886964"/>
    <w:rsid w:val="0088732B"/>
    <w:rsid w:val="00891741"/>
    <w:rsid w:val="00892CF9"/>
    <w:rsid w:val="00892F80"/>
    <w:rsid w:val="008932DE"/>
    <w:rsid w:val="008933A5"/>
    <w:rsid w:val="00893A0A"/>
    <w:rsid w:val="008943DA"/>
    <w:rsid w:val="008954E2"/>
    <w:rsid w:val="00896D69"/>
    <w:rsid w:val="00897527"/>
    <w:rsid w:val="00897AF6"/>
    <w:rsid w:val="008A13D5"/>
    <w:rsid w:val="008A16EF"/>
    <w:rsid w:val="008A229A"/>
    <w:rsid w:val="008A3843"/>
    <w:rsid w:val="008A4382"/>
    <w:rsid w:val="008A4C52"/>
    <w:rsid w:val="008A4D0B"/>
    <w:rsid w:val="008A4F20"/>
    <w:rsid w:val="008A55A3"/>
    <w:rsid w:val="008A65D5"/>
    <w:rsid w:val="008B1442"/>
    <w:rsid w:val="008B244C"/>
    <w:rsid w:val="008B28B4"/>
    <w:rsid w:val="008B3953"/>
    <w:rsid w:val="008B4CD2"/>
    <w:rsid w:val="008B4D75"/>
    <w:rsid w:val="008B4F41"/>
    <w:rsid w:val="008B5105"/>
    <w:rsid w:val="008B553F"/>
    <w:rsid w:val="008B5B29"/>
    <w:rsid w:val="008B5F88"/>
    <w:rsid w:val="008B64D0"/>
    <w:rsid w:val="008C051C"/>
    <w:rsid w:val="008C1D94"/>
    <w:rsid w:val="008C520F"/>
    <w:rsid w:val="008C570B"/>
    <w:rsid w:val="008C630B"/>
    <w:rsid w:val="008C6824"/>
    <w:rsid w:val="008C6D12"/>
    <w:rsid w:val="008C6F46"/>
    <w:rsid w:val="008C6F75"/>
    <w:rsid w:val="008C72DF"/>
    <w:rsid w:val="008C7D58"/>
    <w:rsid w:val="008D0773"/>
    <w:rsid w:val="008D07EC"/>
    <w:rsid w:val="008D0E8A"/>
    <w:rsid w:val="008D18E0"/>
    <w:rsid w:val="008D195F"/>
    <w:rsid w:val="008D4C99"/>
    <w:rsid w:val="008D59CE"/>
    <w:rsid w:val="008E15E1"/>
    <w:rsid w:val="008E1CFA"/>
    <w:rsid w:val="008E1F3C"/>
    <w:rsid w:val="008E36CC"/>
    <w:rsid w:val="008E39E6"/>
    <w:rsid w:val="008E3CE0"/>
    <w:rsid w:val="008E3DBF"/>
    <w:rsid w:val="008E4D81"/>
    <w:rsid w:val="008E7A5D"/>
    <w:rsid w:val="008F0810"/>
    <w:rsid w:val="008F195F"/>
    <w:rsid w:val="008F1C77"/>
    <w:rsid w:val="008F2C65"/>
    <w:rsid w:val="008F2E87"/>
    <w:rsid w:val="008F3694"/>
    <w:rsid w:val="008F4126"/>
    <w:rsid w:val="008F7B92"/>
    <w:rsid w:val="009009AC"/>
    <w:rsid w:val="009015B2"/>
    <w:rsid w:val="00901F95"/>
    <w:rsid w:val="00903360"/>
    <w:rsid w:val="0090394E"/>
    <w:rsid w:val="00904155"/>
    <w:rsid w:val="0090656F"/>
    <w:rsid w:val="00906E90"/>
    <w:rsid w:val="0090703D"/>
    <w:rsid w:val="0090745B"/>
    <w:rsid w:val="0091051D"/>
    <w:rsid w:val="00910F23"/>
    <w:rsid w:val="009111E1"/>
    <w:rsid w:val="0091190C"/>
    <w:rsid w:val="00911E40"/>
    <w:rsid w:val="00912779"/>
    <w:rsid w:val="0091327D"/>
    <w:rsid w:val="00913382"/>
    <w:rsid w:val="00915230"/>
    <w:rsid w:val="00915431"/>
    <w:rsid w:val="00916F1E"/>
    <w:rsid w:val="0091724B"/>
    <w:rsid w:val="009208F6"/>
    <w:rsid w:val="0092135B"/>
    <w:rsid w:val="0092170D"/>
    <w:rsid w:val="009233FF"/>
    <w:rsid w:val="0092372E"/>
    <w:rsid w:val="00923F94"/>
    <w:rsid w:val="0092477D"/>
    <w:rsid w:val="00925C9E"/>
    <w:rsid w:val="00931EC3"/>
    <w:rsid w:val="009324C9"/>
    <w:rsid w:val="00932883"/>
    <w:rsid w:val="00932F7D"/>
    <w:rsid w:val="00933177"/>
    <w:rsid w:val="00933D3F"/>
    <w:rsid w:val="00934456"/>
    <w:rsid w:val="00934A88"/>
    <w:rsid w:val="00934D54"/>
    <w:rsid w:val="009353A0"/>
    <w:rsid w:val="00935CB4"/>
    <w:rsid w:val="00936F84"/>
    <w:rsid w:val="00937EC3"/>
    <w:rsid w:val="0094009D"/>
    <w:rsid w:val="009406F8"/>
    <w:rsid w:val="00940851"/>
    <w:rsid w:val="00940C4F"/>
    <w:rsid w:val="00940E93"/>
    <w:rsid w:val="00941CDC"/>
    <w:rsid w:val="00942458"/>
    <w:rsid w:val="00943BFE"/>
    <w:rsid w:val="00944242"/>
    <w:rsid w:val="0094548D"/>
    <w:rsid w:val="009463C8"/>
    <w:rsid w:val="009466C3"/>
    <w:rsid w:val="00946FA7"/>
    <w:rsid w:val="009475A1"/>
    <w:rsid w:val="009477D7"/>
    <w:rsid w:val="00947C27"/>
    <w:rsid w:val="00947F7D"/>
    <w:rsid w:val="00950B36"/>
    <w:rsid w:val="00951E7C"/>
    <w:rsid w:val="00952036"/>
    <w:rsid w:val="009532C9"/>
    <w:rsid w:val="00953BAB"/>
    <w:rsid w:val="009572A9"/>
    <w:rsid w:val="00957FC3"/>
    <w:rsid w:val="00962143"/>
    <w:rsid w:val="00965F99"/>
    <w:rsid w:val="00966DAD"/>
    <w:rsid w:val="009679D9"/>
    <w:rsid w:val="00967C24"/>
    <w:rsid w:val="00970020"/>
    <w:rsid w:val="009708C7"/>
    <w:rsid w:val="00971967"/>
    <w:rsid w:val="00971AE8"/>
    <w:rsid w:val="009722CD"/>
    <w:rsid w:val="0097297B"/>
    <w:rsid w:val="00974E2B"/>
    <w:rsid w:val="00975918"/>
    <w:rsid w:val="00975FCC"/>
    <w:rsid w:val="00977F8D"/>
    <w:rsid w:val="00980358"/>
    <w:rsid w:val="00980F2C"/>
    <w:rsid w:val="009813B8"/>
    <w:rsid w:val="00983060"/>
    <w:rsid w:val="009831D2"/>
    <w:rsid w:val="00990457"/>
    <w:rsid w:val="00990592"/>
    <w:rsid w:val="00991204"/>
    <w:rsid w:val="00991256"/>
    <w:rsid w:val="00991303"/>
    <w:rsid w:val="0099355B"/>
    <w:rsid w:val="00993610"/>
    <w:rsid w:val="00993797"/>
    <w:rsid w:val="0099398F"/>
    <w:rsid w:val="009939E3"/>
    <w:rsid w:val="00995609"/>
    <w:rsid w:val="00996306"/>
    <w:rsid w:val="009964D8"/>
    <w:rsid w:val="00996A89"/>
    <w:rsid w:val="0099725F"/>
    <w:rsid w:val="00997867"/>
    <w:rsid w:val="009A2D07"/>
    <w:rsid w:val="009A3107"/>
    <w:rsid w:val="009A3549"/>
    <w:rsid w:val="009A58B7"/>
    <w:rsid w:val="009A63B0"/>
    <w:rsid w:val="009A66DD"/>
    <w:rsid w:val="009A6BD9"/>
    <w:rsid w:val="009A6FFF"/>
    <w:rsid w:val="009A7B11"/>
    <w:rsid w:val="009B00FE"/>
    <w:rsid w:val="009B07E1"/>
    <w:rsid w:val="009B0971"/>
    <w:rsid w:val="009B1122"/>
    <w:rsid w:val="009B17BC"/>
    <w:rsid w:val="009B24CF"/>
    <w:rsid w:val="009B2C9D"/>
    <w:rsid w:val="009B36ED"/>
    <w:rsid w:val="009B3B67"/>
    <w:rsid w:val="009B4ADD"/>
    <w:rsid w:val="009B55AA"/>
    <w:rsid w:val="009B76D3"/>
    <w:rsid w:val="009B7987"/>
    <w:rsid w:val="009B7CCE"/>
    <w:rsid w:val="009C0291"/>
    <w:rsid w:val="009C1299"/>
    <w:rsid w:val="009C255D"/>
    <w:rsid w:val="009C322A"/>
    <w:rsid w:val="009C4733"/>
    <w:rsid w:val="009C47F3"/>
    <w:rsid w:val="009C62FF"/>
    <w:rsid w:val="009C657C"/>
    <w:rsid w:val="009C65AD"/>
    <w:rsid w:val="009D0420"/>
    <w:rsid w:val="009D1D89"/>
    <w:rsid w:val="009D25EC"/>
    <w:rsid w:val="009D28A0"/>
    <w:rsid w:val="009D2B0C"/>
    <w:rsid w:val="009D3D95"/>
    <w:rsid w:val="009D4112"/>
    <w:rsid w:val="009D4A2C"/>
    <w:rsid w:val="009D51A9"/>
    <w:rsid w:val="009D6596"/>
    <w:rsid w:val="009D6ED1"/>
    <w:rsid w:val="009D73F5"/>
    <w:rsid w:val="009E0705"/>
    <w:rsid w:val="009E130B"/>
    <w:rsid w:val="009E173C"/>
    <w:rsid w:val="009E1749"/>
    <w:rsid w:val="009E1A3F"/>
    <w:rsid w:val="009E1B62"/>
    <w:rsid w:val="009E4637"/>
    <w:rsid w:val="009E4ED0"/>
    <w:rsid w:val="009E5056"/>
    <w:rsid w:val="009E50C9"/>
    <w:rsid w:val="009E69F8"/>
    <w:rsid w:val="009E7009"/>
    <w:rsid w:val="009F0015"/>
    <w:rsid w:val="009F0BD3"/>
    <w:rsid w:val="009F0ECB"/>
    <w:rsid w:val="009F1E51"/>
    <w:rsid w:val="009F25CA"/>
    <w:rsid w:val="009F3130"/>
    <w:rsid w:val="009F35A6"/>
    <w:rsid w:val="009F3DE4"/>
    <w:rsid w:val="009F769B"/>
    <w:rsid w:val="009F76E2"/>
    <w:rsid w:val="00A00F91"/>
    <w:rsid w:val="00A00FAB"/>
    <w:rsid w:val="00A01308"/>
    <w:rsid w:val="00A0234D"/>
    <w:rsid w:val="00A02CAD"/>
    <w:rsid w:val="00A031ED"/>
    <w:rsid w:val="00A04F13"/>
    <w:rsid w:val="00A05754"/>
    <w:rsid w:val="00A0668B"/>
    <w:rsid w:val="00A0701B"/>
    <w:rsid w:val="00A072E9"/>
    <w:rsid w:val="00A0799F"/>
    <w:rsid w:val="00A1097B"/>
    <w:rsid w:val="00A11D4E"/>
    <w:rsid w:val="00A13AC2"/>
    <w:rsid w:val="00A1416A"/>
    <w:rsid w:val="00A15349"/>
    <w:rsid w:val="00A1598E"/>
    <w:rsid w:val="00A15B31"/>
    <w:rsid w:val="00A15E8B"/>
    <w:rsid w:val="00A16921"/>
    <w:rsid w:val="00A201B5"/>
    <w:rsid w:val="00A20BAA"/>
    <w:rsid w:val="00A22036"/>
    <w:rsid w:val="00A22C8A"/>
    <w:rsid w:val="00A23275"/>
    <w:rsid w:val="00A25FBA"/>
    <w:rsid w:val="00A262D3"/>
    <w:rsid w:val="00A2642F"/>
    <w:rsid w:val="00A2680C"/>
    <w:rsid w:val="00A27AC5"/>
    <w:rsid w:val="00A27C65"/>
    <w:rsid w:val="00A3007D"/>
    <w:rsid w:val="00A31C1B"/>
    <w:rsid w:val="00A3281F"/>
    <w:rsid w:val="00A32BA2"/>
    <w:rsid w:val="00A3557F"/>
    <w:rsid w:val="00A3642A"/>
    <w:rsid w:val="00A37367"/>
    <w:rsid w:val="00A37665"/>
    <w:rsid w:val="00A435FB"/>
    <w:rsid w:val="00A4464B"/>
    <w:rsid w:val="00A451AA"/>
    <w:rsid w:val="00A45383"/>
    <w:rsid w:val="00A45EB8"/>
    <w:rsid w:val="00A468C2"/>
    <w:rsid w:val="00A46B5E"/>
    <w:rsid w:val="00A5124E"/>
    <w:rsid w:val="00A55821"/>
    <w:rsid w:val="00A560C1"/>
    <w:rsid w:val="00A567CE"/>
    <w:rsid w:val="00A569F8"/>
    <w:rsid w:val="00A6051B"/>
    <w:rsid w:val="00A607D0"/>
    <w:rsid w:val="00A60F6F"/>
    <w:rsid w:val="00A6100C"/>
    <w:rsid w:val="00A61AD5"/>
    <w:rsid w:val="00A62758"/>
    <w:rsid w:val="00A6320C"/>
    <w:rsid w:val="00A66882"/>
    <w:rsid w:val="00A676B7"/>
    <w:rsid w:val="00A676E6"/>
    <w:rsid w:val="00A678F1"/>
    <w:rsid w:val="00A702D4"/>
    <w:rsid w:val="00A70F77"/>
    <w:rsid w:val="00A71736"/>
    <w:rsid w:val="00A7243E"/>
    <w:rsid w:val="00A73038"/>
    <w:rsid w:val="00A7364B"/>
    <w:rsid w:val="00A738BF"/>
    <w:rsid w:val="00A76C99"/>
    <w:rsid w:val="00A771D9"/>
    <w:rsid w:val="00A773CF"/>
    <w:rsid w:val="00A775C0"/>
    <w:rsid w:val="00A81798"/>
    <w:rsid w:val="00A81E4A"/>
    <w:rsid w:val="00A81EBE"/>
    <w:rsid w:val="00A8341A"/>
    <w:rsid w:val="00A83D2A"/>
    <w:rsid w:val="00A85915"/>
    <w:rsid w:val="00A865CD"/>
    <w:rsid w:val="00A90824"/>
    <w:rsid w:val="00A90E03"/>
    <w:rsid w:val="00A910A2"/>
    <w:rsid w:val="00A910CE"/>
    <w:rsid w:val="00A91CA4"/>
    <w:rsid w:val="00A92007"/>
    <w:rsid w:val="00A9504F"/>
    <w:rsid w:val="00A9588A"/>
    <w:rsid w:val="00A958AA"/>
    <w:rsid w:val="00A96548"/>
    <w:rsid w:val="00A9660F"/>
    <w:rsid w:val="00A967E5"/>
    <w:rsid w:val="00A96C9B"/>
    <w:rsid w:val="00A97941"/>
    <w:rsid w:val="00AA2A32"/>
    <w:rsid w:val="00AA506E"/>
    <w:rsid w:val="00AA5FE2"/>
    <w:rsid w:val="00AA6E34"/>
    <w:rsid w:val="00AB1A07"/>
    <w:rsid w:val="00AB3432"/>
    <w:rsid w:val="00AB4693"/>
    <w:rsid w:val="00AB4987"/>
    <w:rsid w:val="00AB5FEE"/>
    <w:rsid w:val="00AB790D"/>
    <w:rsid w:val="00AC1C8E"/>
    <w:rsid w:val="00AC2FB8"/>
    <w:rsid w:val="00AC46A4"/>
    <w:rsid w:val="00AC6128"/>
    <w:rsid w:val="00AC6B95"/>
    <w:rsid w:val="00AC6C9B"/>
    <w:rsid w:val="00AD15C6"/>
    <w:rsid w:val="00AD2780"/>
    <w:rsid w:val="00AD51B0"/>
    <w:rsid w:val="00AD537C"/>
    <w:rsid w:val="00AD7631"/>
    <w:rsid w:val="00AE0DC8"/>
    <w:rsid w:val="00AE1113"/>
    <w:rsid w:val="00AE1512"/>
    <w:rsid w:val="00AE17EB"/>
    <w:rsid w:val="00AE2F20"/>
    <w:rsid w:val="00AE34B3"/>
    <w:rsid w:val="00AE4D52"/>
    <w:rsid w:val="00AE4F6C"/>
    <w:rsid w:val="00AE57C3"/>
    <w:rsid w:val="00AE6A6A"/>
    <w:rsid w:val="00AE7555"/>
    <w:rsid w:val="00AE7598"/>
    <w:rsid w:val="00AF093E"/>
    <w:rsid w:val="00AF1DF3"/>
    <w:rsid w:val="00AF20CE"/>
    <w:rsid w:val="00AF3243"/>
    <w:rsid w:val="00AF334C"/>
    <w:rsid w:val="00AF36AA"/>
    <w:rsid w:val="00AF4A48"/>
    <w:rsid w:val="00AF530A"/>
    <w:rsid w:val="00AF5F39"/>
    <w:rsid w:val="00AF67DF"/>
    <w:rsid w:val="00AF70DC"/>
    <w:rsid w:val="00B00364"/>
    <w:rsid w:val="00B00E5C"/>
    <w:rsid w:val="00B02EE3"/>
    <w:rsid w:val="00B053CC"/>
    <w:rsid w:val="00B05F64"/>
    <w:rsid w:val="00B067D8"/>
    <w:rsid w:val="00B06B50"/>
    <w:rsid w:val="00B06BD9"/>
    <w:rsid w:val="00B07EF4"/>
    <w:rsid w:val="00B1025D"/>
    <w:rsid w:val="00B10681"/>
    <w:rsid w:val="00B11510"/>
    <w:rsid w:val="00B1243F"/>
    <w:rsid w:val="00B132F4"/>
    <w:rsid w:val="00B14A04"/>
    <w:rsid w:val="00B21043"/>
    <w:rsid w:val="00B21798"/>
    <w:rsid w:val="00B21865"/>
    <w:rsid w:val="00B219C9"/>
    <w:rsid w:val="00B21C26"/>
    <w:rsid w:val="00B21ECD"/>
    <w:rsid w:val="00B2333E"/>
    <w:rsid w:val="00B23632"/>
    <w:rsid w:val="00B2477E"/>
    <w:rsid w:val="00B249F0"/>
    <w:rsid w:val="00B25446"/>
    <w:rsid w:val="00B25846"/>
    <w:rsid w:val="00B25D85"/>
    <w:rsid w:val="00B26C13"/>
    <w:rsid w:val="00B26EB9"/>
    <w:rsid w:val="00B27430"/>
    <w:rsid w:val="00B303E3"/>
    <w:rsid w:val="00B30D56"/>
    <w:rsid w:val="00B3152F"/>
    <w:rsid w:val="00B31D7A"/>
    <w:rsid w:val="00B3290D"/>
    <w:rsid w:val="00B33370"/>
    <w:rsid w:val="00B35351"/>
    <w:rsid w:val="00B375A9"/>
    <w:rsid w:val="00B41AF6"/>
    <w:rsid w:val="00B4204A"/>
    <w:rsid w:val="00B4261E"/>
    <w:rsid w:val="00B428FF"/>
    <w:rsid w:val="00B42D6B"/>
    <w:rsid w:val="00B42D6D"/>
    <w:rsid w:val="00B44E66"/>
    <w:rsid w:val="00B45532"/>
    <w:rsid w:val="00B46B52"/>
    <w:rsid w:val="00B46D17"/>
    <w:rsid w:val="00B46EB9"/>
    <w:rsid w:val="00B5116B"/>
    <w:rsid w:val="00B53539"/>
    <w:rsid w:val="00B55126"/>
    <w:rsid w:val="00B55B00"/>
    <w:rsid w:val="00B56CEC"/>
    <w:rsid w:val="00B57455"/>
    <w:rsid w:val="00B57F6D"/>
    <w:rsid w:val="00B57F86"/>
    <w:rsid w:val="00B61335"/>
    <w:rsid w:val="00B622E0"/>
    <w:rsid w:val="00B62946"/>
    <w:rsid w:val="00B63867"/>
    <w:rsid w:val="00B63ABC"/>
    <w:rsid w:val="00B6465D"/>
    <w:rsid w:val="00B656E6"/>
    <w:rsid w:val="00B65D2F"/>
    <w:rsid w:val="00B665BA"/>
    <w:rsid w:val="00B666B9"/>
    <w:rsid w:val="00B678C4"/>
    <w:rsid w:val="00B70101"/>
    <w:rsid w:val="00B705D7"/>
    <w:rsid w:val="00B740E9"/>
    <w:rsid w:val="00B74749"/>
    <w:rsid w:val="00B75120"/>
    <w:rsid w:val="00B75268"/>
    <w:rsid w:val="00B76DC1"/>
    <w:rsid w:val="00B76FA9"/>
    <w:rsid w:val="00B77A52"/>
    <w:rsid w:val="00B80169"/>
    <w:rsid w:val="00B801B9"/>
    <w:rsid w:val="00B80B96"/>
    <w:rsid w:val="00B8183A"/>
    <w:rsid w:val="00B830A0"/>
    <w:rsid w:val="00B862C0"/>
    <w:rsid w:val="00B86A49"/>
    <w:rsid w:val="00B90558"/>
    <w:rsid w:val="00B91214"/>
    <w:rsid w:val="00B9214D"/>
    <w:rsid w:val="00B928F4"/>
    <w:rsid w:val="00B92E41"/>
    <w:rsid w:val="00B92F98"/>
    <w:rsid w:val="00B9326B"/>
    <w:rsid w:val="00B934E9"/>
    <w:rsid w:val="00B94A56"/>
    <w:rsid w:val="00B96193"/>
    <w:rsid w:val="00B970FE"/>
    <w:rsid w:val="00B97CAE"/>
    <w:rsid w:val="00BA022C"/>
    <w:rsid w:val="00BA095A"/>
    <w:rsid w:val="00BA12A9"/>
    <w:rsid w:val="00BA1D96"/>
    <w:rsid w:val="00BA34B7"/>
    <w:rsid w:val="00BA5A43"/>
    <w:rsid w:val="00BA5FE6"/>
    <w:rsid w:val="00BA795B"/>
    <w:rsid w:val="00BB198F"/>
    <w:rsid w:val="00BB2149"/>
    <w:rsid w:val="00BB2BB8"/>
    <w:rsid w:val="00BB47E2"/>
    <w:rsid w:val="00BB556B"/>
    <w:rsid w:val="00BB58FC"/>
    <w:rsid w:val="00BB598F"/>
    <w:rsid w:val="00BB72E1"/>
    <w:rsid w:val="00BB7498"/>
    <w:rsid w:val="00BB7AED"/>
    <w:rsid w:val="00BC1B7C"/>
    <w:rsid w:val="00BC1D5F"/>
    <w:rsid w:val="00BC1DDB"/>
    <w:rsid w:val="00BC40C6"/>
    <w:rsid w:val="00BC4A12"/>
    <w:rsid w:val="00BC512A"/>
    <w:rsid w:val="00BC5F16"/>
    <w:rsid w:val="00BC67DD"/>
    <w:rsid w:val="00BC7740"/>
    <w:rsid w:val="00BD03A3"/>
    <w:rsid w:val="00BD1052"/>
    <w:rsid w:val="00BD1811"/>
    <w:rsid w:val="00BD2520"/>
    <w:rsid w:val="00BD3F4A"/>
    <w:rsid w:val="00BD4348"/>
    <w:rsid w:val="00BD45B6"/>
    <w:rsid w:val="00BD5180"/>
    <w:rsid w:val="00BD559E"/>
    <w:rsid w:val="00BD7011"/>
    <w:rsid w:val="00BE0234"/>
    <w:rsid w:val="00BE04F0"/>
    <w:rsid w:val="00BE12FE"/>
    <w:rsid w:val="00BE1FDD"/>
    <w:rsid w:val="00BE2DD8"/>
    <w:rsid w:val="00BE4B83"/>
    <w:rsid w:val="00BE4BDF"/>
    <w:rsid w:val="00BE50E0"/>
    <w:rsid w:val="00BE5357"/>
    <w:rsid w:val="00BE58BA"/>
    <w:rsid w:val="00BE5BD1"/>
    <w:rsid w:val="00BE5C03"/>
    <w:rsid w:val="00BF38EC"/>
    <w:rsid w:val="00BF4260"/>
    <w:rsid w:val="00BF5CB5"/>
    <w:rsid w:val="00BF5D41"/>
    <w:rsid w:val="00BF5D93"/>
    <w:rsid w:val="00BF6075"/>
    <w:rsid w:val="00C005E8"/>
    <w:rsid w:val="00C0079E"/>
    <w:rsid w:val="00C01883"/>
    <w:rsid w:val="00C01A94"/>
    <w:rsid w:val="00C02628"/>
    <w:rsid w:val="00C02955"/>
    <w:rsid w:val="00C03408"/>
    <w:rsid w:val="00C05E44"/>
    <w:rsid w:val="00C0765C"/>
    <w:rsid w:val="00C111A6"/>
    <w:rsid w:val="00C125C3"/>
    <w:rsid w:val="00C14404"/>
    <w:rsid w:val="00C15AC6"/>
    <w:rsid w:val="00C15D90"/>
    <w:rsid w:val="00C16725"/>
    <w:rsid w:val="00C16C53"/>
    <w:rsid w:val="00C16F40"/>
    <w:rsid w:val="00C172BD"/>
    <w:rsid w:val="00C2305A"/>
    <w:rsid w:val="00C23793"/>
    <w:rsid w:val="00C23CC9"/>
    <w:rsid w:val="00C274E2"/>
    <w:rsid w:val="00C3075B"/>
    <w:rsid w:val="00C30B3D"/>
    <w:rsid w:val="00C31421"/>
    <w:rsid w:val="00C31871"/>
    <w:rsid w:val="00C321F3"/>
    <w:rsid w:val="00C32AEF"/>
    <w:rsid w:val="00C33AE2"/>
    <w:rsid w:val="00C347DE"/>
    <w:rsid w:val="00C34EBF"/>
    <w:rsid w:val="00C3575D"/>
    <w:rsid w:val="00C376A6"/>
    <w:rsid w:val="00C37FEB"/>
    <w:rsid w:val="00C411FC"/>
    <w:rsid w:val="00C41C43"/>
    <w:rsid w:val="00C43DD0"/>
    <w:rsid w:val="00C43FBB"/>
    <w:rsid w:val="00C44ABB"/>
    <w:rsid w:val="00C458CA"/>
    <w:rsid w:val="00C466DF"/>
    <w:rsid w:val="00C469EF"/>
    <w:rsid w:val="00C47DCA"/>
    <w:rsid w:val="00C507DD"/>
    <w:rsid w:val="00C508ED"/>
    <w:rsid w:val="00C50D2A"/>
    <w:rsid w:val="00C52B3D"/>
    <w:rsid w:val="00C52C6F"/>
    <w:rsid w:val="00C53416"/>
    <w:rsid w:val="00C539B4"/>
    <w:rsid w:val="00C54DD0"/>
    <w:rsid w:val="00C553DC"/>
    <w:rsid w:val="00C55EE0"/>
    <w:rsid w:val="00C5605C"/>
    <w:rsid w:val="00C5642A"/>
    <w:rsid w:val="00C566C7"/>
    <w:rsid w:val="00C5692E"/>
    <w:rsid w:val="00C600DB"/>
    <w:rsid w:val="00C602CF"/>
    <w:rsid w:val="00C62072"/>
    <w:rsid w:val="00C621A3"/>
    <w:rsid w:val="00C6265C"/>
    <w:rsid w:val="00C628ED"/>
    <w:rsid w:val="00C62AC7"/>
    <w:rsid w:val="00C631CC"/>
    <w:rsid w:val="00C6355D"/>
    <w:rsid w:val="00C70862"/>
    <w:rsid w:val="00C72554"/>
    <w:rsid w:val="00C73631"/>
    <w:rsid w:val="00C73FEC"/>
    <w:rsid w:val="00C74BF6"/>
    <w:rsid w:val="00C75385"/>
    <w:rsid w:val="00C763CB"/>
    <w:rsid w:val="00C76CD0"/>
    <w:rsid w:val="00C76CFC"/>
    <w:rsid w:val="00C77065"/>
    <w:rsid w:val="00C770CC"/>
    <w:rsid w:val="00C77A78"/>
    <w:rsid w:val="00C8048F"/>
    <w:rsid w:val="00C804A1"/>
    <w:rsid w:val="00C8076F"/>
    <w:rsid w:val="00C8096C"/>
    <w:rsid w:val="00C8100B"/>
    <w:rsid w:val="00C8509D"/>
    <w:rsid w:val="00C87A7B"/>
    <w:rsid w:val="00C910C9"/>
    <w:rsid w:val="00C916F3"/>
    <w:rsid w:val="00C918BC"/>
    <w:rsid w:val="00C92B28"/>
    <w:rsid w:val="00C9502E"/>
    <w:rsid w:val="00C96D2D"/>
    <w:rsid w:val="00CA0BFC"/>
    <w:rsid w:val="00CA0F74"/>
    <w:rsid w:val="00CA1130"/>
    <w:rsid w:val="00CA3C41"/>
    <w:rsid w:val="00CA41D2"/>
    <w:rsid w:val="00CA4D7F"/>
    <w:rsid w:val="00CA4F20"/>
    <w:rsid w:val="00CB009B"/>
    <w:rsid w:val="00CB0148"/>
    <w:rsid w:val="00CB0CC0"/>
    <w:rsid w:val="00CB11EF"/>
    <w:rsid w:val="00CB1527"/>
    <w:rsid w:val="00CB326F"/>
    <w:rsid w:val="00CB70E5"/>
    <w:rsid w:val="00CB7F21"/>
    <w:rsid w:val="00CC1700"/>
    <w:rsid w:val="00CC2303"/>
    <w:rsid w:val="00CC3CCB"/>
    <w:rsid w:val="00CC4CA8"/>
    <w:rsid w:val="00CC61A1"/>
    <w:rsid w:val="00CC69AB"/>
    <w:rsid w:val="00CC6D11"/>
    <w:rsid w:val="00CC7255"/>
    <w:rsid w:val="00CC7A56"/>
    <w:rsid w:val="00CC7EAD"/>
    <w:rsid w:val="00CD1105"/>
    <w:rsid w:val="00CD2794"/>
    <w:rsid w:val="00CD4C2B"/>
    <w:rsid w:val="00CD5518"/>
    <w:rsid w:val="00CD5B58"/>
    <w:rsid w:val="00CD6101"/>
    <w:rsid w:val="00CE0510"/>
    <w:rsid w:val="00CE073B"/>
    <w:rsid w:val="00CE168C"/>
    <w:rsid w:val="00CE176D"/>
    <w:rsid w:val="00CE233E"/>
    <w:rsid w:val="00CE3DFB"/>
    <w:rsid w:val="00CE3EC8"/>
    <w:rsid w:val="00CE42B9"/>
    <w:rsid w:val="00CE52ED"/>
    <w:rsid w:val="00CE567F"/>
    <w:rsid w:val="00CE5750"/>
    <w:rsid w:val="00CE57A1"/>
    <w:rsid w:val="00CE59DE"/>
    <w:rsid w:val="00CE5D72"/>
    <w:rsid w:val="00CE6BD5"/>
    <w:rsid w:val="00CE7ED2"/>
    <w:rsid w:val="00CE7F7D"/>
    <w:rsid w:val="00CF1FC3"/>
    <w:rsid w:val="00CF2A4F"/>
    <w:rsid w:val="00CF3B36"/>
    <w:rsid w:val="00CF42FB"/>
    <w:rsid w:val="00CF4467"/>
    <w:rsid w:val="00CF52D2"/>
    <w:rsid w:val="00CF59D7"/>
    <w:rsid w:val="00CF5B57"/>
    <w:rsid w:val="00CF708A"/>
    <w:rsid w:val="00D0171B"/>
    <w:rsid w:val="00D02A90"/>
    <w:rsid w:val="00D0360C"/>
    <w:rsid w:val="00D037BE"/>
    <w:rsid w:val="00D054A7"/>
    <w:rsid w:val="00D0608B"/>
    <w:rsid w:val="00D0663C"/>
    <w:rsid w:val="00D06C3E"/>
    <w:rsid w:val="00D1022B"/>
    <w:rsid w:val="00D10E9D"/>
    <w:rsid w:val="00D1270B"/>
    <w:rsid w:val="00D14126"/>
    <w:rsid w:val="00D143E3"/>
    <w:rsid w:val="00D14C96"/>
    <w:rsid w:val="00D14CFB"/>
    <w:rsid w:val="00D2213C"/>
    <w:rsid w:val="00D22748"/>
    <w:rsid w:val="00D241F8"/>
    <w:rsid w:val="00D249E6"/>
    <w:rsid w:val="00D25345"/>
    <w:rsid w:val="00D257B6"/>
    <w:rsid w:val="00D26918"/>
    <w:rsid w:val="00D303E1"/>
    <w:rsid w:val="00D30A2C"/>
    <w:rsid w:val="00D3228B"/>
    <w:rsid w:val="00D3266D"/>
    <w:rsid w:val="00D32812"/>
    <w:rsid w:val="00D32B0D"/>
    <w:rsid w:val="00D3493B"/>
    <w:rsid w:val="00D35CAB"/>
    <w:rsid w:val="00D35EE0"/>
    <w:rsid w:val="00D37121"/>
    <w:rsid w:val="00D37AF5"/>
    <w:rsid w:val="00D405DE"/>
    <w:rsid w:val="00D42C4A"/>
    <w:rsid w:val="00D443F7"/>
    <w:rsid w:val="00D45E81"/>
    <w:rsid w:val="00D4611D"/>
    <w:rsid w:val="00D46256"/>
    <w:rsid w:val="00D465D6"/>
    <w:rsid w:val="00D46957"/>
    <w:rsid w:val="00D46B65"/>
    <w:rsid w:val="00D47710"/>
    <w:rsid w:val="00D50332"/>
    <w:rsid w:val="00D51680"/>
    <w:rsid w:val="00D52610"/>
    <w:rsid w:val="00D55144"/>
    <w:rsid w:val="00D5574E"/>
    <w:rsid w:val="00D560B1"/>
    <w:rsid w:val="00D56AF2"/>
    <w:rsid w:val="00D56FE7"/>
    <w:rsid w:val="00D573D9"/>
    <w:rsid w:val="00D57A95"/>
    <w:rsid w:val="00D61ADB"/>
    <w:rsid w:val="00D61DD9"/>
    <w:rsid w:val="00D62799"/>
    <w:rsid w:val="00D63BD9"/>
    <w:rsid w:val="00D63F3E"/>
    <w:rsid w:val="00D645B6"/>
    <w:rsid w:val="00D66A3F"/>
    <w:rsid w:val="00D66BE5"/>
    <w:rsid w:val="00D6726C"/>
    <w:rsid w:val="00D67333"/>
    <w:rsid w:val="00D71507"/>
    <w:rsid w:val="00D73DD7"/>
    <w:rsid w:val="00D7547F"/>
    <w:rsid w:val="00D758D9"/>
    <w:rsid w:val="00D7667F"/>
    <w:rsid w:val="00D7689D"/>
    <w:rsid w:val="00D76FAF"/>
    <w:rsid w:val="00D77590"/>
    <w:rsid w:val="00D776CA"/>
    <w:rsid w:val="00D779F7"/>
    <w:rsid w:val="00D8021B"/>
    <w:rsid w:val="00D817F1"/>
    <w:rsid w:val="00D818E1"/>
    <w:rsid w:val="00D81900"/>
    <w:rsid w:val="00D819E5"/>
    <w:rsid w:val="00D84046"/>
    <w:rsid w:val="00D84941"/>
    <w:rsid w:val="00D84AB8"/>
    <w:rsid w:val="00D84DD9"/>
    <w:rsid w:val="00D8549D"/>
    <w:rsid w:val="00D85951"/>
    <w:rsid w:val="00D861FE"/>
    <w:rsid w:val="00D8695B"/>
    <w:rsid w:val="00D86E59"/>
    <w:rsid w:val="00D87542"/>
    <w:rsid w:val="00D9556D"/>
    <w:rsid w:val="00D95C20"/>
    <w:rsid w:val="00D9680C"/>
    <w:rsid w:val="00D97C16"/>
    <w:rsid w:val="00D97E07"/>
    <w:rsid w:val="00DA109C"/>
    <w:rsid w:val="00DA128B"/>
    <w:rsid w:val="00DA1409"/>
    <w:rsid w:val="00DA2933"/>
    <w:rsid w:val="00DA2DDD"/>
    <w:rsid w:val="00DA3244"/>
    <w:rsid w:val="00DA337F"/>
    <w:rsid w:val="00DA39E0"/>
    <w:rsid w:val="00DA50FB"/>
    <w:rsid w:val="00DA52A0"/>
    <w:rsid w:val="00DA5552"/>
    <w:rsid w:val="00DB098D"/>
    <w:rsid w:val="00DB1826"/>
    <w:rsid w:val="00DB1972"/>
    <w:rsid w:val="00DB2234"/>
    <w:rsid w:val="00DB24DA"/>
    <w:rsid w:val="00DB2C7A"/>
    <w:rsid w:val="00DB386C"/>
    <w:rsid w:val="00DB4206"/>
    <w:rsid w:val="00DB47CA"/>
    <w:rsid w:val="00DB58A1"/>
    <w:rsid w:val="00DB6AC3"/>
    <w:rsid w:val="00DC150A"/>
    <w:rsid w:val="00DC4152"/>
    <w:rsid w:val="00DC531E"/>
    <w:rsid w:val="00DC5DE6"/>
    <w:rsid w:val="00DC60D0"/>
    <w:rsid w:val="00DC6B70"/>
    <w:rsid w:val="00DD2BD6"/>
    <w:rsid w:val="00DD61A7"/>
    <w:rsid w:val="00DD6ADD"/>
    <w:rsid w:val="00DD6C16"/>
    <w:rsid w:val="00DD7114"/>
    <w:rsid w:val="00DE089B"/>
    <w:rsid w:val="00DE09E2"/>
    <w:rsid w:val="00DE1DAB"/>
    <w:rsid w:val="00DE1ECF"/>
    <w:rsid w:val="00DE20A2"/>
    <w:rsid w:val="00DE232C"/>
    <w:rsid w:val="00DE2D53"/>
    <w:rsid w:val="00DE3198"/>
    <w:rsid w:val="00DE398A"/>
    <w:rsid w:val="00DE4EE6"/>
    <w:rsid w:val="00DE5D56"/>
    <w:rsid w:val="00DE60E6"/>
    <w:rsid w:val="00DE6270"/>
    <w:rsid w:val="00DF0B89"/>
    <w:rsid w:val="00DF1561"/>
    <w:rsid w:val="00DF15D4"/>
    <w:rsid w:val="00DF1E9C"/>
    <w:rsid w:val="00DF2D34"/>
    <w:rsid w:val="00DF6285"/>
    <w:rsid w:val="00DF7F61"/>
    <w:rsid w:val="00E00B0B"/>
    <w:rsid w:val="00E01F95"/>
    <w:rsid w:val="00E025F9"/>
    <w:rsid w:val="00E029DB"/>
    <w:rsid w:val="00E03388"/>
    <w:rsid w:val="00E03A80"/>
    <w:rsid w:val="00E03F95"/>
    <w:rsid w:val="00E060A9"/>
    <w:rsid w:val="00E079CD"/>
    <w:rsid w:val="00E07D19"/>
    <w:rsid w:val="00E109D5"/>
    <w:rsid w:val="00E13128"/>
    <w:rsid w:val="00E142B1"/>
    <w:rsid w:val="00E15E12"/>
    <w:rsid w:val="00E16D61"/>
    <w:rsid w:val="00E17223"/>
    <w:rsid w:val="00E17951"/>
    <w:rsid w:val="00E17B4A"/>
    <w:rsid w:val="00E20557"/>
    <w:rsid w:val="00E205B6"/>
    <w:rsid w:val="00E2133A"/>
    <w:rsid w:val="00E21E01"/>
    <w:rsid w:val="00E23146"/>
    <w:rsid w:val="00E32403"/>
    <w:rsid w:val="00E325FB"/>
    <w:rsid w:val="00E32C59"/>
    <w:rsid w:val="00E32E11"/>
    <w:rsid w:val="00E33D10"/>
    <w:rsid w:val="00E342DD"/>
    <w:rsid w:val="00E34F41"/>
    <w:rsid w:val="00E35512"/>
    <w:rsid w:val="00E35682"/>
    <w:rsid w:val="00E3641C"/>
    <w:rsid w:val="00E3659F"/>
    <w:rsid w:val="00E3672E"/>
    <w:rsid w:val="00E4089A"/>
    <w:rsid w:val="00E425B2"/>
    <w:rsid w:val="00E43500"/>
    <w:rsid w:val="00E43766"/>
    <w:rsid w:val="00E43D33"/>
    <w:rsid w:val="00E44F08"/>
    <w:rsid w:val="00E46EA3"/>
    <w:rsid w:val="00E47AC6"/>
    <w:rsid w:val="00E505DB"/>
    <w:rsid w:val="00E50F1E"/>
    <w:rsid w:val="00E51C1B"/>
    <w:rsid w:val="00E53DA7"/>
    <w:rsid w:val="00E55DCE"/>
    <w:rsid w:val="00E55F99"/>
    <w:rsid w:val="00E60D14"/>
    <w:rsid w:val="00E61603"/>
    <w:rsid w:val="00E64119"/>
    <w:rsid w:val="00E674C8"/>
    <w:rsid w:val="00E67BAB"/>
    <w:rsid w:val="00E67C0F"/>
    <w:rsid w:val="00E70641"/>
    <w:rsid w:val="00E735C7"/>
    <w:rsid w:val="00E73FA1"/>
    <w:rsid w:val="00E74639"/>
    <w:rsid w:val="00E755DE"/>
    <w:rsid w:val="00E760EA"/>
    <w:rsid w:val="00E763F3"/>
    <w:rsid w:val="00E76CD3"/>
    <w:rsid w:val="00E77518"/>
    <w:rsid w:val="00E80D69"/>
    <w:rsid w:val="00E80F11"/>
    <w:rsid w:val="00E81F13"/>
    <w:rsid w:val="00E833B2"/>
    <w:rsid w:val="00E8342F"/>
    <w:rsid w:val="00E854FD"/>
    <w:rsid w:val="00E85863"/>
    <w:rsid w:val="00E86A24"/>
    <w:rsid w:val="00E86FA9"/>
    <w:rsid w:val="00E87557"/>
    <w:rsid w:val="00E90732"/>
    <w:rsid w:val="00E912B8"/>
    <w:rsid w:val="00E91E53"/>
    <w:rsid w:val="00E92656"/>
    <w:rsid w:val="00E92A06"/>
    <w:rsid w:val="00E93E1B"/>
    <w:rsid w:val="00E95D5F"/>
    <w:rsid w:val="00EA00D1"/>
    <w:rsid w:val="00EA05A9"/>
    <w:rsid w:val="00EA06CC"/>
    <w:rsid w:val="00EA30BA"/>
    <w:rsid w:val="00EA32F5"/>
    <w:rsid w:val="00EA5348"/>
    <w:rsid w:val="00EA6A0B"/>
    <w:rsid w:val="00EA7B3E"/>
    <w:rsid w:val="00EB1355"/>
    <w:rsid w:val="00EB2C0E"/>
    <w:rsid w:val="00EB5566"/>
    <w:rsid w:val="00EB5A71"/>
    <w:rsid w:val="00EB725B"/>
    <w:rsid w:val="00EC073F"/>
    <w:rsid w:val="00EC0E62"/>
    <w:rsid w:val="00EC1496"/>
    <w:rsid w:val="00EC1D33"/>
    <w:rsid w:val="00EC65B7"/>
    <w:rsid w:val="00EC6B44"/>
    <w:rsid w:val="00EC7030"/>
    <w:rsid w:val="00ED2828"/>
    <w:rsid w:val="00ED2E32"/>
    <w:rsid w:val="00ED5C0D"/>
    <w:rsid w:val="00ED7B48"/>
    <w:rsid w:val="00EE0444"/>
    <w:rsid w:val="00EE1248"/>
    <w:rsid w:val="00EE140A"/>
    <w:rsid w:val="00EE2366"/>
    <w:rsid w:val="00EE25D4"/>
    <w:rsid w:val="00EE3465"/>
    <w:rsid w:val="00EE36C6"/>
    <w:rsid w:val="00EE37A3"/>
    <w:rsid w:val="00EE4C8B"/>
    <w:rsid w:val="00EE65B9"/>
    <w:rsid w:val="00EE7832"/>
    <w:rsid w:val="00EE79C1"/>
    <w:rsid w:val="00EF215A"/>
    <w:rsid w:val="00EF21E9"/>
    <w:rsid w:val="00EF2237"/>
    <w:rsid w:val="00EF2A8B"/>
    <w:rsid w:val="00EF2C3E"/>
    <w:rsid w:val="00EF2C61"/>
    <w:rsid w:val="00EF31CA"/>
    <w:rsid w:val="00EF348B"/>
    <w:rsid w:val="00EF3A0D"/>
    <w:rsid w:val="00EF3D4E"/>
    <w:rsid w:val="00EF4635"/>
    <w:rsid w:val="00EF60D7"/>
    <w:rsid w:val="00F0051D"/>
    <w:rsid w:val="00F00F1D"/>
    <w:rsid w:val="00F025B2"/>
    <w:rsid w:val="00F02813"/>
    <w:rsid w:val="00F03DBF"/>
    <w:rsid w:val="00F0696C"/>
    <w:rsid w:val="00F07003"/>
    <w:rsid w:val="00F11D2F"/>
    <w:rsid w:val="00F11ED3"/>
    <w:rsid w:val="00F11F27"/>
    <w:rsid w:val="00F12CBE"/>
    <w:rsid w:val="00F12D70"/>
    <w:rsid w:val="00F13431"/>
    <w:rsid w:val="00F13847"/>
    <w:rsid w:val="00F13852"/>
    <w:rsid w:val="00F13C67"/>
    <w:rsid w:val="00F1441D"/>
    <w:rsid w:val="00F168EB"/>
    <w:rsid w:val="00F16C2E"/>
    <w:rsid w:val="00F174CB"/>
    <w:rsid w:val="00F17B71"/>
    <w:rsid w:val="00F21345"/>
    <w:rsid w:val="00F213A4"/>
    <w:rsid w:val="00F21A83"/>
    <w:rsid w:val="00F2200B"/>
    <w:rsid w:val="00F22461"/>
    <w:rsid w:val="00F22595"/>
    <w:rsid w:val="00F23918"/>
    <w:rsid w:val="00F24DFA"/>
    <w:rsid w:val="00F250CB"/>
    <w:rsid w:val="00F2512B"/>
    <w:rsid w:val="00F25871"/>
    <w:rsid w:val="00F261CF"/>
    <w:rsid w:val="00F26849"/>
    <w:rsid w:val="00F26D51"/>
    <w:rsid w:val="00F27D00"/>
    <w:rsid w:val="00F300D1"/>
    <w:rsid w:val="00F30F6E"/>
    <w:rsid w:val="00F31BFA"/>
    <w:rsid w:val="00F32346"/>
    <w:rsid w:val="00F32C16"/>
    <w:rsid w:val="00F3475C"/>
    <w:rsid w:val="00F35420"/>
    <w:rsid w:val="00F365C6"/>
    <w:rsid w:val="00F37FE8"/>
    <w:rsid w:val="00F402C7"/>
    <w:rsid w:val="00F40F72"/>
    <w:rsid w:val="00F40FEF"/>
    <w:rsid w:val="00F41D33"/>
    <w:rsid w:val="00F4385E"/>
    <w:rsid w:val="00F45D0D"/>
    <w:rsid w:val="00F50FF9"/>
    <w:rsid w:val="00F515E0"/>
    <w:rsid w:val="00F520FD"/>
    <w:rsid w:val="00F5255D"/>
    <w:rsid w:val="00F52ABB"/>
    <w:rsid w:val="00F53488"/>
    <w:rsid w:val="00F54215"/>
    <w:rsid w:val="00F56D56"/>
    <w:rsid w:val="00F57C46"/>
    <w:rsid w:val="00F6004C"/>
    <w:rsid w:val="00F60920"/>
    <w:rsid w:val="00F61094"/>
    <w:rsid w:val="00F618D2"/>
    <w:rsid w:val="00F61BE2"/>
    <w:rsid w:val="00F627EB"/>
    <w:rsid w:val="00F62E31"/>
    <w:rsid w:val="00F630A1"/>
    <w:rsid w:val="00F65EAB"/>
    <w:rsid w:val="00F66049"/>
    <w:rsid w:val="00F7004D"/>
    <w:rsid w:val="00F70A06"/>
    <w:rsid w:val="00F71F7E"/>
    <w:rsid w:val="00F7308A"/>
    <w:rsid w:val="00F73602"/>
    <w:rsid w:val="00F75A10"/>
    <w:rsid w:val="00F760FF"/>
    <w:rsid w:val="00F77276"/>
    <w:rsid w:val="00F80E6B"/>
    <w:rsid w:val="00F811DC"/>
    <w:rsid w:val="00F830B5"/>
    <w:rsid w:val="00F841D9"/>
    <w:rsid w:val="00F84AC5"/>
    <w:rsid w:val="00F84DAB"/>
    <w:rsid w:val="00F85126"/>
    <w:rsid w:val="00F86257"/>
    <w:rsid w:val="00F867A2"/>
    <w:rsid w:val="00F8696A"/>
    <w:rsid w:val="00F87BAB"/>
    <w:rsid w:val="00F91006"/>
    <w:rsid w:val="00F92018"/>
    <w:rsid w:val="00F92846"/>
    <w:rsid w:val="00F92E80"/>
    <w:rsid w:val="00F93B7B"/>
    <w:rsid w:val="00F94287"/>
    <w:rsid w:val="00F94F08"/>
    <w:rsid w:val="00F96E0C"/>
    <w:rsid w:val="00F97332"/>
    <w:rsid w:val="00F97A6C"/>
    <w:rsid w:val="00FA01F0"/>
    <w:rsid w:val="00FA08FA"/>
    <w:rsid w:val="00FA0BCF"/>
    <w:rsid w:val="00FA243B"/>
    <w:rsid w:val="00FA244C"/>
    <w:rsid w:val="00FA2D69"/>
    <w:rsid w:val="00FA32D5"/>
    <w:rsid w:val="00FA3CA3"/>
    <w:rsid w:val="00FA3E7D"/>
    <w:rsid w:val="00FA4E9E"/>
    <w:rsid w:val="00FA67D1"/>
    <w:rsid w:val="00FA68A8"/>
    <w:rsid w:val="00FA6A75"/>
    <w:rsid w:val="00FA6B61"/>
    <w:rsid w:val="00FA7122"/>
    <w:rsid w:val="00FA7B14"/>
    <w:rsid w:val="00FA7B69"/>
    <w:rsid w:val="00FA7D2C"/>
    <w:rsid w:val="00FB0950"/>
    <w:rsid w:val="00FB0E31"/>
    <w:rsid w:val="00FB15C1"/>
    <w:rsid w:val="00FB22A3"/>
    <w:rsid w:val="00FB2614"/>
    <w:rsid w:val="00FB26EC"/>
    <w:rsid w:val="00FB3574"/>
    <w:rsid w:val="00FB3F26"/>
    <w:rsid w:val="00FB4072"/>
    <w:rsid w:val="00FB41C0"/>
    <w:rsid w:val="00FB4244"/>
    <w:rsid w:val="00FB53FC"/>
    <w:rsid w:val="00FB7EFE"/>
    <w:rsid w:val="00FC07AB"/>
    <w:rsid w:val="00FC087C"/>
    <w:rsid w:val="00FC1C8F"/>
    <w:rsid w:val="00FC2C46"/>
    <w:rsid w:val="00FC2DA1"/>
    <w:rsid w:val="00FC3213"/>
    <w:rsid w:val="00FC3F07"/>
    <w:rsid w:val="00FC48C6"/>
    <w:rsid w:val="00FC4A47"/>
    <w:rsid w:val="00FD0101"/>
    <w:rsid w:val="00FD12EB"/>
    <w:rsid w:val="00FD14C6"/>
    <w:rsid w:val="00FD24D7"/>
    <w:rsid w:val="00FD2C66"/>
    <w:rsid w:val="00FD3E01"/>
    <w:rsid w:val="00FD65B1"/>
    <w:rsid w:val="00FD72F7"/>
    <w:rsid w:val="00FD7A96"/>
    <w:rsid w:val="00FD7CAA"/>
    <w:rsid w:val="00FE013D"/>
    <w:rsid w:val="00FE080B"/>
    <w:rsid w:val="00FE16E7"/>
    <w:rsid w:val="00FE195A"/>
    <w:rsid w:val="00FE19DF"/>
    <w:rsid w:val="00FE3399"/>
    <w:rsid w:val="00FE3B7B"/>
    <w:rsid w:val="00FE5CE8"/>
    <w:rsid w:val="00FF1A26"/>
    <w:rsid w:val="00FF20E8"/>
    <w:rsid w:val="00FF3629"/>
    <w:rsid w:val="00FF3943"/>
    <w:rsid w:val="00FF3CA2"/>
    <w:rsid w:val="00FF5E54"/>
    <w:rsid w:val="00FF6DAF"/>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1A1A6965-4E8E-4B99-974A-334D2D37F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DBF"/>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basedOn w:val="Normal"/>
    <w:link w:val="a4"/>
    <w:uiPriority w:val="99"/>
    <w:rsid w:val="00574579"/>
    <w:pPr>
      <w:spacing w:line="240" w:lineRule="auto"/>
      <w:ind w:left="720" w:hanging="720"/>
    </w:pPr>
    <w:rPr>
      <w:szCs w:val="20"/>
    </w:rPr>
  </w:style>
  <w:style w:type="character" w:customStyle="1" w:styleId="a4">
    <w:name w:val="טקסט הערת שוליים תו"/>
    <w:basedOn w:val="DefaultParagraphFont"/>
    <w:link w:val="FootnoteText"/>
    <w:uiPriority w:val="99"/>
    <w:rsid w:val="00574579"/>
    <w:rPr>
      <w:szCs w:val="20"/>
    </w:rPr>
  </w:style>
  <w:style w:type="character" w:styleId="FootnoteReference">
    <w:name w:val="footnote reference"/>
    <w:basedOn w:val="DefaultParagraphFont"/>
    <w:uiPriority w:val="99"/>
    <w:semiHidden/>
    <w:unhideWhenUsed/>
    <w:rsid w:val="000501A4"/>
    <w:rPr>
      <w:vertAlign w:val="superscript"/>
    </w:rPr>
  </w:style>
  <w:style w:type="character" w:styleId="Strong">
    <w:name w:val="Strong"/>
    <w:basedOn w:val="DefaultParagraphFont"/>
    <w:uiPriority w:val="22"/>
    <w:qFormat/>
    <w:rsid w:val="00F03DBF"/>
    <w:rPr>
      <w:rFonts w:cs="David"/>
      <w:b/>
      <w:bCs/>
      <w:szCs w:val="24"/>
    </w:rPr>
  </w:style>
  <w:style w:type="paragraph" w:styleId="ListParagraph">
    <w:name w:val="List Paragraph"/>
    <w:basedOn w:val="Normal"/>
    <w:uiPriority w:val="34"/>
    <w:qFormat/>
    <w:rsid w:val="00E67C0F"/>
    <w:pPr>
      <w:spacing w:after="160" w:line="259" w:lineRule="auto"/>
      <w:ind w:left="720"/>
      <w:contextualSpacing/>
      <w:jc w:val="left"/>
    </w:pPr>
    <w:rPr>
      <w:rFonts w:asciiTheme="minorHAnsi" w:hAnsiTheme="minorHAnsi" w:cstheme="minorBidi"/>
      <w:sz w:val="22"/>
      <w:szCs w:val="22"/>
    </w:rPr>
  </w:style>
  <w:style w:type="character" w:styleId="Hyperlink">
    <w:name w:val="Hyperlink"/>
    <w:basedOn w:val="DefaultParagraphFont"/>
    <w:uiPriority w:val="99"/>
    <w:unhideWhenUsed/>
    <w:rsid w:val="00E67C0F"/>
    <w:rPr>
      <w:color w:val="0000FF"/>
      <w:u w:val="single"/>
    </w:rPr>
  </w:style>
  <w:style w:type="table" w:styleId="TableGrid">
    <w:name w:val="Table Grid"/>
    <w:basedOn w:val="TableNormal"/>
    <w:uiPriority w:val="59"/>
    <w:rsid w:val="00E67C0F"/>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67C0F"/>
    <w:pPr>
      <w:bidi w:val="0"/>
      <w:spacing w:before="100" w:beforeAutospacing="1" w:after="100" w:afterAutospacing="1" w:line="240" w:lineRule="auto"/>
      <w:jc w:val="left"/>
    </w:pPr>
    <w:rPr>
      <w:rFonts w:eastAsia="Times New Roman" w:cs="Times New Roman"/>
      <w:sz w:val="24"/>
    </w:rPr>
  </w:style>
  <w:style w:type="table" w:customStyle="1" w:styleId="4-31">
    <w:name w:val="טבלת רשימה 4 - הדגשה 31"/>
    <w:basedOn w:val="TableNormal"/>
    <w:uiPriority w:val="49"/>
    <w:rsid w:val="00F24DF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31">
    <w:name w:val="טבלת רשת 5 כהה - הדגשה 31"/>
    <w:basedOn w:val="TableNormal"/>
    <w:uiPriority w:val="50"/>
    <w:rsid w:val="00F24DF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0">
    <w:name w:val="טבלת רשת 4 - הדגשה 31"/>
    <w:basedOn w:val="TableNormal"/>
    <w:uiPriority w:val="49"/>
    <w:rsid w:val="00F24DF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BalloonText">
    <w:name w:val="Balloon Text"/>
    <w:basedOn w:val="Normal"/>
    <w:link w:val="a5"/>
    <w:uiPriority w:val="99"/>
    <w:semiHidden/>
    <w:unhideWhenUsed/>
    <w:rsid w:val="00645DAC"/>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645DAC"/>
    <w:rPr>
      <w:rFonts w:ascii="Tahoma" w:hAnsi="Tahoma" w:cs="Tahoma"/>
      <w:sz w:val="18"/>
      <w:szCs w:val="18"/>
    </w:rPr>
  </w:style>
  <w:style w:type="character" w:styleId="CommentReference">
    <w:name w:val="annotation reference"/>
    <w:basedOn w:val="DefaultParagraphFont"/>
    <w:uiPriority w:val="99"/>
    <w:semiHidden/>
    <w:unhideWhenUsed/>
    <w:rsid w:val="00645DAC"/>
    <w:rPr>
      <w:sz w:val="16"/>
      <w:szCs w:val="16"/>
    </w:rPr>
  </w:style>
  <w:style w:type="paragraph" w:styleId="CommentText">
    <w:name w:val="annotation text"/>
    <w:basedOn w:val="Normal"/>
    <w:link w:val="a6"/>
    <w:uiPriority w:val="99"/>
    <w:unhideWhenUsed/>
    <w:rsid w:val="00645DAC"/>
    <w:pPr>
      <w:spacing w:line="240" w:lineRule="auto"/>
    </w:pPr>
    <w:rPr>
      <w:szCs w:val="20"/>
    </w:rPr>
  </w:style>
  <w:style w:type="character" w:customStyle="1" w:styleId="a6">
    <w:name w:val="טקסט הערה תו"/>
    <w:basedOn w:val="DefaultParagraphFont"/>
    <w:link w:val="CommentText"/>
    <w:uiPriority w:val="99"/>
    <w:rsid w:val="00645DAC"/>
    <w:rPr>
      <w:szCs w:val="20"/>
    </w:rPr>
  </w:style>
  <w:style w:type="paragraph" w:styleId="CommentSubject">
    <w:name w:val="annotation subject"/>
    <w:basedOn w:val="CommentText"/>
    <w:next w:val="CommentText"/>
    <w:link w:val="a7"/>
    <w:uiPriority w:val="99"/>
    <w:semiHidden/>
    <w:unhideWhenUsed/>
    <w:rsid w:val="00645DAC"/>
    <w:rPr>
      <w:b/>
      <w:bCs/>
    </w:rPr>
  </w:style>
  <w:style w:type="character" w:customStyle="1" w:styleId="a7">
    <w:name w:val="נושא הערה תו"/>
    <w:basedOn w:val="a6"/>
    <w:link w:val="CommentSubject"/>
    <w:uiPriority w:val="99"/>
    <w:semiHidden/>
    <w:rsid w:val="00645DAC"/>
    <w:rPr>
      <w:b/>
      <w:bCs/>
      <w:szCs w:val="20"/>
    </w:rPr>
  </w:style>
  <w:style w:type="paragraph" w:styleId="Revision">
    <w:name w:val="Revision"/>
    <w:hidden/>
    <w:uiPriority w:val="99"/>
    <w:semiHidden/>
    <w:rsid w:val="00645DAC"/>
    <w:pPr>
      <w:spacing w:after="0" w:line="240" w:lineRule="auto"/>
      <w:jc w:val="left"/>
    </w:pPr>
  </w:style>
  <w:style w:type="paragraph" w:customStyle="1" w:styleId="Para">
    <w:name w:val="Para"/>
    <w:link w:val="ParaChar"/>
    <w:uiPriority w:val="4"/>
    <w:qFormat/>
    <w:rsid w:val="00C910C9"/>
    <w:pPr>
      <w:spacing w:before="120" w:after="120" w:line="260" w:lineRule="atLeast"/>
    </w:pPr>
    <w:rPr>
      <w:rFonts w:asciiTheme="minorHAnsi" w:hAnsiTheme="minorHAnsi" w:cstheme="minorBidi"/>
      <w:color w:val="000000" w:themeColor="text1"/>
      <w:szCs w:val="22"/>
      <w:lang w:val="en-GB" w:bidi="ar-SA"/>
    </w:rPr>
  </w:style>
  <w:style w:type="character" w:customStyle="1" w:styleId="ParaChar">
    <w:name w:val="Para Char"/>
    <w:basedOn w:val="DefaultParagraphFont"/>
    <w:link w:val="Para"/>
    <w:uiPriority w:val="4"/>
    <w:rsid w:val="00C910C9"/>
    <w:rPr>
      <w:rFonts w:asciiTheme="minorHAnsi" w:hAnsiTheme="minorHAnsi" w:cstheme="minorBidi"/>
      <w:color w:val="000000" w:themeColor="text1"/>
      <w:szCs w:val="22"/>
      <w:lang w:val="en-GB" w:bidi="ar-SA"/>
    </w:rPr>
  </w:style>
  <w:style w:type="table" w:customStyle="1" w:styleId="1-31">
    <w:name w:val="טבלת רשת 1 בהירה - הדגשה 31"/>
    <w:basedOn w:val="TableNormal"/>
    <w:uiPriority w:val="46"/>
    <w:rsid w:val="00BD4348"/>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7-31">
    <w:name w:val="טבלת רשימה 7 צבעונית - הדגשה 31"/>
    <w:basedOn w:val="TableNormal"/>
    <w:uiPriority w:val="52"/>
    <w:rsid w:val="00BD4348"/>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31">
    <w:name w:val="טבלת רשת 3 - הדגשה 31"/>
    <w:basedOn w:val="TableNormal"/>
    <w:uiPriority w:val="48"/>
    <w:rsid w:val="00BD434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2-31">
    <w:name w:val="טבלת רשת 2 - הדגשה 31"/>
    <w:basedOn w:val="TableNormal"/>
    <w:uiPriority w:val="47"/>
    <w:rsid w:val="00BD4348"/>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310">
    <w:name w:val="טבלת רשת 1 בהירה - הדגשה 31_0"/>
    <w:basedOn w:val="TableNormal"/>
    <w:uiPriority w:val="46"/>
    <w:rsid w:val="00941CDC"/>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3100">
    <w:name w:val="טבלת רשימה 4 - הדגשה 31_0"/>
    <w:basedOn w:val="TableNormal"/>
    <w:uiPriority w:val="49"/>
    <w:rsid w:val="002E731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310">
    <w:name w:val="טבלת רשת 5 כהה - הדגשה 31_0"/>
    <w:basedOn w:val="TableNormal"/>
    <w:uiPriority w:val="50"/>
    <w:rsid w:val="002E73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01">
    <w:name w:val="טבלת רשת 4 - הדגשה 31_0"/>
    <w:basedOn w:val="TableNormal"/>
    <w:uiPriority w:val="49"/>
    <w:rsid w:val="002E731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7-310">
    <w:name w:val="טבלת רשימה 7 צבעונית - הדגשה 31_0"/>
    <w:basedOn w:val="TableNormal"/>
    <w:uiPriority w:val="52"/>
    <w:rsid w:val="002E7312"/>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310">
    <w:name w:val="טבלת רשת 3 - הדגשה 31_0"/>
    <w:basedOn w:val="TableNormal"/>
    <w:uiPriority w:val="48"/>
    <w:rsid w:val="002E731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2-310">
    <w:name w:val="טבלת רשת 2 - הדגשה 31_0"/>
    <w:basedOn w:val="TableNormal"/>
    <w:uiPriority w:val="47"/>
    <w:rsid w:val="002E7312"/>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OC4">
    <w:name w:val="toc 4"/>
    <w:basedOn w:val="Normal"/>
    <w:next w:val="Normal"/>
    <w:autoRedefine/>
    <w:uiPriority w:val="39"/>
    <w:unhideWhenUsed/>
    <w:rsid w:val="002E7312"/>
    <w:pPr>
      <w:widowControl w:val="0"/>
      <w:spacing w:before="100" w:after="100" w:line="240" w:lineRule="auto"/>
      <w:ind w:left="720"/>
    </w:pPr>
    <w:rPr>
      <w:sz w:val="24"/>
    </w:rPr>
  </w:style>
  <w:style w:type="paragraph" w:styleId="TOC7">
    <w:name w:val="toc 7"/>
    <w:basedOn w:val="Normal"/>
    <w:next w:val="Normal"/>
    <w:autoRedefine/>
    <w:uiPriority w:val="39"/>
    <w:unhideWhenUsed/>
    <w:rsid w:val="002E7312"/>
    <w:pPr>
      <w:spacing w:after="100"/>
      <w:ind w:left="1200"/>
    </w:pPr>
  </w:style>
  <w:style w:type="character" w:styleId="FollowedHyperlink">
    <w:name w:val="FollowedHyperlink"/>
    <w:basedOn w:val="DefaultParagraphFont"/>
    <w:uiPriority w:val="99"/>
    <w:semiHidden/>
    <w:unhideWhenUsed/>
    <w:rsid w:val="002E7312"/>
    <w:rPr>
      <w:color w:val="800080" w:themeColor="followedHyperlink"/>
      <w:u w:val="single"/>
    </w:rPr>
  </w:style>
  <w:style w:type="paragraph" w:customStyle="1" w:styleId="20">
    <w:name w:val="ñâðåï2"/>
    <w:basedOn w:val="Normal"/>
    <w:rsid w:val="002E7312"/>
    <w:pPr>
      <w:autoSpaceDE w:val="0"/>
      <w:autoSpaceDN w:val="0"/>
      <w:adjustRightInd w:val="0"/>
      <w:spacing w:line="240" w:lineRule="auto"/>
      <w:jc w:val="left"/>
    </w:pPr>
    <w:rPr>
      <w:rFonts w:eastAsia="Times New Roman" w:cs="Times New Roman"/>
    </w:rPr>
  </w:style>
  <w:style w:type="character" w:customStyle="1" w:styleId="Bodytext2Bold">
    <w:name w:val="Body text (2) + Bold"/>
    <w:basedOn w:val="DefaultParagraphFont"/>
    <w:rsid w:val="002E7312"/>
    <w:rPr>
      <w:rFonts w:ascii="David" w:eastAsia="David" w:hAnsi="David" w:cs="David"/>
      <w:b/>
      <w:bCs/>
      <w:i w:val="0"/>
      <w:iCs w:val="0"/>
      <w:smallCaps w:val="0"/>
      <w:strike w:val="0"/>
      <w:color w:val="000000"/>
      <w:spacing w:val="0"/>
      <w:w w:val="100"/>
      <w:position w:val="0"/>
      <w:sz w:val="24"/>
      <w:szCs w:val="24"/>
      <w:u w:val="none"/>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50" Type="http://schemas.openxmlformats.org/officeDocument/2006/relationships/customXml" Target="../customXml/item2.xml"/><Relationship Id="rId7" Type="http://schemas.openxmlformats.org/officeDocument/2006/relationships/image" Target="media/image1.jpeg"/><Relationship Id="rId16" Type="http://schemas.openxmlformats.org/officeDocument/2006/relationships/image" Target="media/image10.jpeg"/><Relationship Id="rId2" Type="http://schemas.openxmlformats.org/officeDocument/2006/relationships/settings" Target="settings.xml"/><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2.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1.xml"/><Relationship Id="rId52" Type="http://schemas.openxmlformats.org/officeDocument/2006/relationships/customXml" Target="../customXml/item4.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 Type="http://schemas.openxmlformats.org/officeDocument/2006/relationships/fontTable" Target="fontTable.xml"/><Relationship Id="rId43" Type="http://schemas.openxmlformats.org/officeDocument/2006/relationships/header" Target="header1.xml"/><Relationship Id="rId48" Type="http://schemas.openxmlformats.org/officeDocument/2006/relationships/numbering" Target="numbering.xml"/><Relationship Id="rId9" Type="http://schemas.openxmlformats.org/officeDocument/2006/relationships/image" Target="media/image3.jpeg"/><Relationship Id="rId8" Type="http://schemas.openxmlformats.org/officeDocument/2006/relationships/image" Target="media/image2.jpeg"/><Relationship Id="rId51" Type="http://schemas.openxmlformats.org/officeDocument/2006/relationships/customXml" Target="../customXml/item3.xm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footnotes" Target="footnotes.xml"/><Relationship Id="rId6" Type="http://schemas.openxmlformats.org/officeDocument/2006/relationships/hyperlink" Target="https://he.wikipedia.org/wiki/%D7%AA%D7%97%D7%A8%D7%95%D7%AA" TargetMode="External"/></Relationships>
</file>

<file path=word/_rels/footnotes.xml.rels>&#65279;<?xml version="1.0" encoding="utf-8" standalone="yes"?><Relationships xmlns="http://schemas.openxmlformats.org/package/2006/relationships"><Relationship Id="rId1" Type="http://schemas.openxmlformats.org/officeDocument/2006/relationships/hyperlink" Target="https://he.wikipedia.org/wiki/%D7%9E%D7%A9%D7%A8%D7%93_%D7%94%D7%90%D7%95%D7%A6%D7%A8" TargetMode="External" /></Relationships>
</file>

<file path=word/_rels/numbering.xml.rels>&#65279;<?xml version="1.0" encoding="utf-8" standalone="yes"?><Relationships xmlns="http://schemas.openxmlformats.org/package/2006/relationships"><Relationship Id="rId1" Type="http://schemas.openxmlformats.org/officeDocument/2006/relationships/image" Target="media/image37.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FA18D65-0401-479C-B4D0-FB6251765B05}">
  <ds:schemaRefs>
    <ds:schemaRef ds:uri="http://schemas.openxmlformats.org/officeDocument/2006/bibliography"/>
  </ds:schemaRefs>
</ds:datastoreItem>
</file>

<file path=customXml/itemProps2.xml><?xml version="1.0" encoding="utf-8"?>
<ds:datastoreItem xmlns:ds="http://schemas.openxmlformats.org/officeDocument/2006/customXml" ds:itemID="{33AA3974-99CF-41C4-9C78-8E2CBA16FF1D}"/>
</file>

<file path=customXml/itemProps3.xml><?xml version="1.0" encoding="utf-8"?>
<ds:datastoreItem xmlns:ds="http://schemas.openxmlformats.org/officeDocument/2006/customXml" ds:itemID="{11D974C6-65E3-42A5-9EA8-29B447D751B4}"/>
</file>

<file path=customXml/itemProps4.xml><?xml version="1.0" encoding="utf-8"?>
<ds:datastoreItem xmlns:ds="http://schemas.openxmlformats.org/officeDocument/2006/customXml" ds:itemID="{A6549194-C039-461F-A525-B7D77D0E06A1}"/>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