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DF2328" w:rsidRPr="006C51DB" w:rsidP="00AE0BE6" w14:paraId="5ADE8E91" w14:textId="77777777">
      <w:pPr>
        <w:pStyle w:val="Heading1"/>
        <w:spacing w:line="269" w:lineRule="auto"/>
        <w:rPr>
          <w:rtl/>
        </w:rPr>
      </w:pPr>
      <w:r>
        <w:rPr>
          <w:rFonts w:hint="cs"/>
          <w:rtl/>
        </w:rPr>
        <w:t>הבקרה על מעברי הגבול</w:t>
      </w:r>
    </w:p>
    <w:p w:rsidR="00DF2328" w:rsidP="00AE0BE6" w14:paraId="27104438" w14:textId="77777777">
      <w:pPr>
        <w:spacing w:line="269" w:lineRule="auto"/>
        <w:rPr>
          <w:rtl/>
        </w:rPr>
      </w:pPr>
    </w:p>
    <w:p w:rsidR="00DF2328" w:rsidRPr="00DF2328" w:rsidP="00AE0BE6" w14:paraId="3615CF44" w14:textId="77777777">
      <w:pPr>
        <w:spacing w:line="269" w:lineRule="auto"/>
        <w:rPr>
          <w:rtl/>
        </w:rPr>
      </w:pPr>
    </w:p>
    <w:p w:rsidR="006661AF" w:rsidRPr="006661AF" w:rsidP="00AE0BE6" w14:paraId="7DBD4302" w14:textId="77777777">
      <w:pPr>
        <w:pStyle w:val="Heading3"/>
        <w:spacing w:before="0" w:line="269" w:lineRule="auto"/>
        <w:rPr>
          <w:rtl/>
        </w:rPr>
      </w:pPr>
      <w:r w:rsidRPr="006661AF">
        <w:rPr>
          <w:rFonts w:hint="cs"/>
          <w:rtl/>
        </w:rPr>
        <w:t>מבוא</w:t>
      </w:r>
    </w:p>
    <w:p w:rsidR="006661AF" w:rsidRPr="00A21F5C" w:rsidP="00AE0BE6" w14:paraId="60C0A5BA" w14:textId="77777777">
      <w:pPr>
        <w:pStyle w:val="a"/>
        <w:spacing w:line="269" w:lineRule="auto"/>
      </w:pPr>
    </w:p>
    <w:p w:rsidR="006661AF" w:rsidRPr="00E61431" w:rsidP="00AE0BE6" w14:paraId="59A2B01A" w14:textId="77777777">
      <w:pPr>
        <w:pStyle w:val="ListParagraph"/>
        <w:numPr>
          <w:ilvl w:val="0"/>
          <w:numId w:val="1"/>
        </w:numPr>
        <w:spacing w:after="0" w:line="269" w:lineRule="auto"/>
        <w:jc w:val="both"/>
        <w:rPr>
          <w:rFonts w:cs="David"/>
          <w:sz w:val="24"/>
          <w:szCs w:val="24"/>
          <w:rtl/>
        </w:rPr>
      </w:pPr>
      <w:r w:rsidRPr="00E61431">
        <w:rPr>
          <w:rFonts w:cs="David" w:hint="cs"/>
          <w:sz w:val="24"/>
          <w:szCs w:val="24"/>
          <w:rtl/>
        </w:rPr>
        <w:t>לפי חוק הכניסה לישראל, התשי"ב-1952 (להלן - חוק הכניסה לישראל), ה</w:t>
      </w:r>
      <w:r w:rsidRPr="00E61431">
        <w:rPr>
          <w:rFonts w:cs="David"/>
          <w:sz w:val="24"/>
          <w:szCs w:val="24"/>
          <w:rtl/>
        </w:rPr>
        <w:t xml:space="preserve">כניסה </w:t>
      </w:r>
      <w:r w:rsidRPr="00E61431">
        <w:rPr>
          <w:rFonts w:cs="David" w:hint="cs"/>
          <w:sz w:val="24"/>
          <w:szCs w:val="24"/>
          <w:rtl/>
        </w:rPr>
        <w:t xml:space="preserve">לישראל </w:t>
      </w:r>
      <w:r w:rsidRPr="00E61431">
        <w:rPr>
          <w:rFonts w:cs="David"/>
          <w:sz w:val="24"/>
          <w:szCs w:val="24"/>
          <w:rtl/>
        </w:rPr>
        <w:t xml:space="preserve">והיציאה </w:t>
      </w:r>
      <w:r w:rsidRPr="00E61431">
        <w:rPr>
          <w:rFonts w:cs="David" w:hint="cs"/>
          <w:sz w:val="24"/>
          <w:szCs w:val="24"/>
          <w:rtl/>
        </w:rPr>
        <w:t>ממנה</w:t>
      </w:r>
      <w:r w:rsidRPr="00E61431">
        <w:rPr>
          <w:rFonts w:cs="David"/>
          <w:sz w:val="24"/>
          <w:szCs w:val="24"/>
          <w:rtl/>
        </w:rPr>
        <w:t xml:space="preserve"> </w:t>
      </w:r>
      <w:r w:rsidRPr="00E61431">
        <w:rPr>
          <w:rFonts w:cs="David" w:hint="cs"/>
          <w:sz w:val="24"/>
          <w:szCs w:val="24"/>
          <w:rtl/>
        </w:rPr>
        <w:t xml:space="preserve">נעשות </w:t>
      </w:r>
      <w:r w:rsidRPr="00E61431">
        <w:rPr>
          <w:rFonts w:cs="David"/>
          <w:sz w:val="24"/>
          <w:szCs w:val="24"/>
          <w:rtl/>
        </w:rPr>
        <w:t>דרך מעברי גבול בין</w:t>
      </w:r>
      <w:r w:rsidRPr="00E61431">
        <w:rPr>
          <w:rFonts w:cs="David" w:hint="cs"/>
          <w:sz w:val="24"/>
          <w:szCs w:val="24"/>
          <w:rtl/>
        </w:rPr>
        <w:t>-</w:t>
      </w:r>
      <w:r w:rsidRPr="00E61431">
        <w:rPr>
          <w:rFonts w:cs="David"/>
          <w:sz w:val="24"/>
          <w:szCs w:val="24"/>
          <w:rtl/>
        </w:rPr>
        <w:t>לאומיים</w:t>
      </w:r>
      <w:r w:rsidRPr="00E61431">
        <w:rPr>
          <w:rFonts w:cs="David" w:hint="cs"/>
          <w:sz w:val="24"/>
          <w:szCs w:val="24"/>
          <w:rtl/>
        </w:rPr>
        <w:t xml:space="preserve">, והן כרוכות </w:t>
      </w:r>
      <w:r w:rsidRPr="00E61431">
        <w:rPr>
          <w:rFonts w:cs="David"/>
          <w:sz w:val="24"/>
          <w:szCs w:val="24"/>
          <w:rtl/>
        </w:rPr>
        <w:t xml:space="preserve">בהצגת </w:t>
      </w:r>
      <w:r w:rsidRPr="00E61431">
        <w:rPr>
          <w:rFonts w:cs="David" w:hint="cs"/>
          <w:sz w:val="24"/>
          <w:szCs w:val="24"/>
          <w:rtl/>
        </w:rPr>
        <w:t>מסמ</w:t>
      </w:r>
      <w:r>
        <w:rPr>
          <w:rFonts w:cs="David" w:hint="cs"/>
          <w:sz w:val="24"/>
          <w:szCs w:val="24"/>
          <w:rtl/>
        </w:rPr>
        <w:t>ך</w:t>
      </w:r>
      <w:r w:rsidRPr="00E61431">
        <w:rPr>
          <w:rFonts w:cs="David" w:hint="cs"/>
          <w:sz w:val="24"/>
          <w:szCs w:val="24"/>
          <w:rtl/>
        </w:rPr>
        <w:t xml:space="preserve"> נסיעה תק</w:t>
      </w:r>
      <w:r>
        <w:rPr>
          <w:rFonts w:cs="David" w:hint="cs"/>
          <w:sz w:val="24"/>
          <w:szCs w:val="24"/>
          <w:rtl/>
        </w:rPr>
        <w:t>ף</w:t>
      </w:r>
      <w:r w:rsidRPr="00E61431">
        <w:rPr>
          <w:rFonts w:cs="David" w:hint="cs"/>
          <w:sz w:val="24"/>
          <w:szCs w:val="24"/>
          <w:rtl/>
        </w:rPr>
        <w:t xml:space="preserve"> - </w:t>
      </w:r>
      <w:r w:rsidRPr="00E61431">
        <w:rPr>
          <w:rFonts w:cs="David"/>
          <w:sz w:val="24"/>
          <w:szCs w:val="24"/>
          <w:rtl/>
        </w:rPr>
        <w:t>דרכון</w:t>
      </w:r>
      <w:r w:rsidRPr="00E61431">
        <w:rPr>
          <w:rFonts w:cs="David" w:hint="cs"/>
          <w:sz w:val="24"/>
          <w:szCs w:val="24"/>
          <w:rtl/>
        </w:rPr>
        <w:t xml:space="preserve"> או תעודת מעבר אחרת</w:t>
      </w:r>
      <w:r w:rsidRPr="00E61431">
        <w:rPr>
          <w:rFonts w:cs="David"/>
          <w:sz w:val="24"/>
          <w:szCs w:val="24"/>
          <w:rtl/>
        </w:rPr>
        <w:t xml:space="preserve">. </w:t>
      </w:r>
      <w:r w:rsidRPr="00E61431">
        <w:rPr>
          <w:rFonts w:cs="David" w:hint="cs"/>
          <w:sz w:val="24"/>
          <w:szCs w:val="24"/>
          <w:rtl/>
        </w:rPr>
        <w:t xml:space="preserve">שר הפנים ממונה </w:t>
      </w:r>
      <w:r w:rsidRPr="00E61431">
        <w:rPr>
          <w:rFonts w:cs="David"/>
          <w:sz w:val="24"/>
          <w:szCs w:val="24"/>
          <w:rtl/>
        </w:rPr>
        <w:t xml:space="preserve">על ביצוע </w:t>
      </w:r>
      <w:r w:rsidRPr="00E61431">
        <w:rPr>
          <w:rFonts w:cs="David" w:hint="cs"/>
          <w:sz w:val="24"/>
          <w:szCs w:val="24"/>
          <w:rtl/>
        </w:rPr>
        <w:t>ה</w:t>
      </w:r>
      <w:r w:rsidRPr="00E61431">
        <w:rPr>
          <w:rFonts w:cs="David"/>
          <w:sz w:val="24"/>
          <w:szCs w:val="24"/>
          <w:rtl/>
        </w:rPr>
        <w:t xml:space="preserve">חוק </w:t>
      </w:r>
      <w:r w:rsidRPr="00E61431">
        <w:rPr>
          <w:rFonts w:cs="David" w:hint="cs"/>
          <w:sz w:val="24"/>
          <w:szCs w:val="24"/>
          <w:rtl/>
        </w:rPr>
        <w:t>הזה.</w:t>
      </w:r>
    </w:p>
    <w:p w:rsidR="006661AF" w:rsidRPr="00A21F5C" w:rsidP="00AE0BE6" w14:paraId="514AC5FD" w14:textId="77777777">
      <w:pPr>
        <w:pStyle w:val="a"/>
        <w:spacing w:line="269" w:lineRule="auto"/>
      </w:pPr>
    </w:p>
    <w:p w:rsidR="006661AF" w:rsidRPr="00E61431" w:rsidP="00AE0BE6" w14:paraId="3C9A4E02" w14:textId="77777777">
      <w:pPr>
        <w:pStyle w:val="ListParagraph"/>
        <w:numPr>
          <w:ilvl w:val="0"/>
          <w:numId w:val="1"/>
        </w:numPr>
        <w:spacing w:after="0" w:line="269" w:lineRule="auto"/>
        <w:jc w:val="both"/>
        <w:rPr>
          <w:rFonts w:cs="David"/>
          <w:sz w:val="24"/>
          <w:szCs w:val="24"/>
        </w:rPr>
      </w:pPr>
      <w:r w:rsidRPr="00E61431">
        <w:rPr>
          <w:rFonts w:cs="David" w:hint="cs"/>
          <w:sz w:val="24"/>
          <w:szCs w:val="24"/>
          <w:rtl/>
        </w:rPr>
        <w:t xml:space="preserve">בשנים 2015 </w:t>
      </w:r>
      <w:r>
        <w:rPr>
          <w:rFonts w:cs="David" w:hint="cs"/>
          <w:sz w:val="24"/>
          <w:szCs w:val="24"/>
          <w:rtl/>
        </w:rPr>
        <w:t>עד</w:t>
      </w:r>
      <w:r w:rsidRPr="00E61431">
        <w:rPr>
          <w:rFonts w:cs="David" w:hint="cs"/>
          <w:sz w:val="24"/>
          <w:szCs w:val="24"/>
          <w:rtl/>
        </w:rPr>
        <w:t xml:space="preserve"> 2018 היו בישראל </w:t>
      </w:r>
      <w:r w:rsidR="0040065E">
        <w:rPr>
          <w:rFonts w:cs="David" w:hint="cs"/>
          <w:sz w:val="24"/>
          <w:szCs w:val="24"/>
          <w:rtl/>
        </w:rPr>
        <w:t xml:space="preserve">22 </w:t>
      </w:r>
      <w:r w:rsidRPr="00E61431">
        <w:rPr>
          <w:rFonts w:cs="David"/>
          <w:sz w:val="24"/>
          <w:szCs w:val="24"/>
          <w:rtl/>
        </w:rPr>
        <w:t>מעברי גבול בי</w:t>
      </w:r>
      <w:r w:rsidRPr="00E61431">
        <w:rPr>
          <w:rFonts w:cs="David" w:hint="cs"/>
          <w:sz w:val="24"/>
          <w:szCs w:val="24"/>
          <w:rtl/>
        </w:rPr>
        <w:t>ן-</w:t>
      </w:r>
      <w:r w:rsidRPr="00E61431">
        <w:rPr>
          <w:rFonts w:cs="David"/>
          <w:sz w:val="24"/>
          <w:szCs w:val="24"/>
          <w:rtl/>
        </w:rPr>
        <w:t>לאומיים</w:t>
      </w:r>
      <w:r>
        <w:rPr>
          <w:rStyle w:val="FootnoteReference1"/>
          <w:rFonts w:cs="David"/>
          <w:sz w:val="24"/>
          <w:szCs w:val="24"/>
          <w:rtl/>
        </w:rPr>
        <w:footnoteReference w:id="2"/>
      </w:r>
      <w:r w:rsidRPr="00E61431">
        <w:rPr>
          <w:rFonts w:cs="David" w:hint="cs"/>
          <w:sz w:val="24"/>
          <w:szCs w:val="24"/>
          <w:rtl/>
        </w:rPr>
        <w:t>. בשנת 2018</w:t>
      </w:r>
      <w:r w:rsidRPr="00E61431">
        <w:rPr>
          <w:rFonts w:cs="David"/>
          <w:sz w:val="24"/>
          <w:szCs w:val="24"/>
          <w:rtl/>
        </w:rPr>
        <w:t xml:space="preserve"> </w:t>
      </w:r>
      <w:r w:rsidRPr="00E61431">
        <w:rPr>
          <w:rFonts w:cs="David" w:hint="cs"/>
          <w:sz w:val="24"/>
          <w:szCs w:val="24"/>
          <w:rtl/>
        </w:rPr>
        <w:t xml:space="preserve">היו כ-29.1 מיליון כניסות ויציאות של עוברים במעברי הגבול (להלן - תנועות בגבול). בתרשים </w:t>
      </w:r>
      <w:r>
        <w:rPr>
          <w:rFonts w:cs="David" w:hint="cs"/>
          <w:sz w:val="24"/>
          <w:szCs w:val="24"/>
          <w:rtl/>
        </w:rPr>
        <w:t>1</w:t>
      </w:r>
      <w:r w:rsidRPr="00E61431">
        <w:rPr>
          <w:rFonts w:cs="David" w:hint="cs"/>
          <w:sz w:val="24"/>
          <w:szCs w:val="24"/>
          <w:rtl/>
        </w:rPr>
        <w:t xml:space="preserve"> מוצגים מספר מעברי הגבול לסוגיהם ומספר תנועות העוברים בהם בשנת 2018. </w:t>
      </w:r>
    </w:p>
    <w:p w:rsidR="006661AF" w:rsidRPr="00A21F5C" w:rsidP="00AE0BE6" w14:paraId="48D2B11A" w14:textId="77777777">
      <w:pPr>
        <w:pStyle w:val="a"/>
        <w:spacing w:line="269" w:lineRule="auto"/>
        <w:rPr>
          <w:rtl/>
        </w:rPr>
      </w:pPr>
    </w:p>
    <w:p w:rsidR="00090175" w:rsidRPr="00E61431" w:rsidP="00404B2A" w14:paraId="55E1083D" w14:textId="77777777">
      <w:pPr>
        <w:spacing w:after="120" w:line="269" w:lineRule="auto"/>
        <w:jc w:val="center"/>
        <w:rPr>
          <w:b/>
          <w:bCs/>
          <w:sz w:val="24"/>
          <w:rtl/>
        </w:rPr>
      </w:pPr>
      <w:r w:rsidRPr="00E61431">
        <w:rPr>
          <w:rFonts w:hint="cs"/>
          <w:b/>
          <w:bCs/>
          <w:sz w:val="24"/>
          <w:rtl/>
        </w:rPr>
        <w:t xml:space="preserve">תרשים </w:t>
      </w:r>
      <w:r>
        <w:rPr>
          <w:rFonts w:hint="cs"/>
          <w:b/>
          <w:bCs/>
          <w:sz w:val="24"/>
          <w:rtl/>
        </w:rPr>
        <w:t>1</w:t>
      </w:r>
      <w:r w:rsidRPr="00E61431">
        <w:rPr>
          <w:rFonts w:hint="cs"/>
          <w:b/>
          <w:bCs/>
          <w:sz w:val="24"/>
          <w:rtl/>
        </w:rPr>
        <w:t>: מספר מעברי הגבול לסוגיהם ומספר תנועות העוברים בהם</w:t>
      </w:r>
      <w:r>
        <w:rPr>
          <w:rFonts w:hint="cs"/>
          <w:b/>
          <w:bCs/>
          <w:sz w:val="24"/>
          <w:rtl/>
        </w:rPr>
        <w:t>,</w:t>
      </w:r>
      <w:r w:rsidRPr="00E61431">
        <w:rPr>
          <w:rFonts w:hint="cs"/>
          <w:b/>
          <w:bCs/>
          <w:sz w:val="24"/>
          <w:rtl/>
        </w:rPr>
        <w:t xml:space="preserve"> 2018</w:t>
      </w:r>
    </w:p>
    <w:p w:rsidR="003D2B90" w:rsidP="00AE0BE6" w14:paraId="3505E52D" w14:textId="77777777">
      <w:pPr>
        <w:spacing w:line="269" w:lineRule="auto"/>
        <w:ind w:left="312"/>
        <w:rPr>
          <w:rtl/>
        </w:rPr>
      </w:pPr>
    </w:p>
    <w:p w:rsidR="00254BD7" w:rsidRPr="005B035B" w:rsidP="00254BD7" w14:paraId="3E35C118" w14:textId="77777777">
      <w:pPr>
        <w:spacing w:before="120" w:line="269" w:lineRule="auto"/>
        <w:rPr>
          <w:sz w:val="16"/>
          <w:rtl/>
        </w:rPr>
      </w:pPr>
      <w:r w:rsidRPr="003D2B90">
        <w:rPr>
          <w:rFonts w:hint="cs"/>
          <w:noProof/>
          <w:sz w:val="24"/>
          <w:rtl/>
        </w:rPr>
        <w:drawing>
          <wp:inline distT="0" distB="0" distL="0" distR="0">
            <wp:extent cx="5215255" cy="2448476"/>
            <wp:effectExtent l="0" t="0" r="4445"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50205" name="Picture 2"/>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244683" cy="2462292"/>
                    </a:xfrm>
                    <a:prstGeom prst="rect">
                      <a:avLst/>
                    </a:prstGeom>
                    <a:noFill/>
                    <a:ln>
                      <a:noFill/>
                    </a:ln>
                  </pic:spPr>
                </pic:pic>
              </a:graphicData>
            </a:graphic>
          </wp:inline>
        </w:drawing>
      </w:r>
      <w:r w:rsidRPr="003D2B90">
        <w:rPr>
          <w:rFonts w:hint="cs"/>
          <w:sz w:val="24"/>
          <w:szCs w:val="20"/>
          <w:rtl/>
        </w:rPr>
        <w:t xml:space="preserve"> </w:t>
      </w:r>
      <w:r w:rsidRPr="00632716">
        <w:rPr>
          <w:rFonts w:hint="eastAsia"/>
          <w:sz w:val="16"/>
          <w:szCs w:val="20"/>
          <w:rtl/>
        </w:rPr>
        <w:t>המקור</w:t>
      </w:r>
      <w:r w:rsidRPr="00632716">
        <w:rPr>
          <w:sz w:val="16"/>
          <w:szCs w:val="20"/>
          <w:rtl/>
        </w:rPr>
        <w:t>:</w:t>
      </w:r>
      <w:r w:rsidRPr="005B035B">
        <w:rPr>
          <w:sz w:val="16"/>
          <w:szCs w:val="20"/>
          <w:rtl/>
        </w:rPr>
        <w:t xml:space="preserve"> נתוני רשות האוכלוסין בעיבוד משרד מבקר המדינה.</w:t>
      </w:r>
    </w:p>
    <w:p w:rsidR="00254BD7" w14:paraId="2F3D9614" w14:textId="77777777">
      <w:pPr>
        <w:bidi w:val="0"/>
        <w:spacing w:after="200" w:line="276" w:lineRule="auto"/>
        <w:rPr>
          <w:sz w:val="24"/>
          <w:rtl/>
        </w:rPr>
      </w:pPr>
      <w:r>
        <w:rPr>
          <w:sz w:val="24"/>
          <w:rtl/>
        </w:rPr>
        <w:br w:type="page"/>
      </w:r>
    </w:p>
    <w:p w:rsidR="00254BD7" w:rsidP="00AE0BE6" w14:paraId="68B3475E" w14:textId="77777777">
      <w:pPr>
        <w:spacing w:line="269" w:lineRule="auto"/>
        <w:ind w:left="312"/>
        <w:rPr>
          <w:sz w:val="24"/>
          <w:rtl/>
        </w:rPr>
      </w:pPr>
    </w:p>
    <w:p w:rsidR="002B67CD" w:rsidP="00AE0BE6" w14:paraId="40C5D3A4" w14:textId="77777777">
      <w:pPr>
        <w:spacing w:line="269" w:lineRule="auto"/>
        <w:ind w:left="312"/>
        <w:rPr>
          <w:sz w:val="24"/>
          <w:rtl/>
        </w:rPr>
      </w:pPr>
      <w:r w:rsidRPr="00E61431">
        <w:rPr>
          <w:rFonts w:hint="cs"/>
          <w:sz w:val="24"/>
          <w:rtl/>
        </w:rPr>
        <w:t xml:space="preserve">בתרשים </w:t>
      </w:r>
      <w:r>
        <w:rPr>
          <w:rFonts w:hint="cs"/>
          <w:sz w:val="24"/>
          <w:rtl/>
        </w:rPr>
        <w:t>2</w:t>
      </w:r>
      <w:r w:rsidRPr="00E61431">
        <w:rPr>
          <w:rFonts w:hint="cs"/>
          <w:sz w:val="24"/>
          <w:rtl/>
        </w:rPr>
        <w:t xml:space="preserve"> מוצגים נתונים על מספר התנועות בכל מעברי הגבול בישראל בשנים 2015 </w:t>
      </w:r>
      <w:r>
        <w:rPr>
          <w:rFonts w:hint="cs"/>
          <w:sz w:val="24"/>
          <w:rtl/>
        </w:rPr>
        <w:t>עד</w:t>
      </w:r>
      <w:r w:rsidRPr="00E61431">
        <w:rPr>
          <w:rFonts w:hint="cs"/>
          <w:sz w:val="24"/>
          <w:rtl/>
        </w:rPr>
        <w:t xml:space="preserve"> 2018</w:t>
      </w:r>
      <w:r>
        <w:rPr>
          <w:rStyle w:val="FootnoteReference1"/>
          <w:sz w:val="24"/>
          <w:rtl/>
        </w:rPr>
        <w:footnoteReference w:id="3"/>
      </w:r>
      <w:r w:rsidR="005B035B">
        <w:rPr>
          <w:rFonts w:hint="cs"/>
          <w:sz w:val="24"/>
          <w:rtl/>
        </w:rPr>
        <w:t>.</w:t>
      </w:r>
    </w:p>
    <w:p w:rsidR="00AE0BE6" w:rsidP="00AE0BE6" w14:paraId="58623C8C" w14:textId="77777777">
      <w:pPr>
        <w:spacing w:line="269" w:lineRule="auto"/>
        <w:jc w:val="center"/>
        <w:rPr>
          <w:b/>
          <w:bCs/>
          <w:sz w:val="24"/>
          <w:rtl/>
        </w:rPr>
      </w:pPr>
    </w:p>
    <w:p w:rsidR="002D0C59" w:rsidP="00404B2A" w14:paraId="4BB99D41" w14:textId="77777777">
      <w:pPr>
        <w:spacing w:after="120" w:line="269" w:lineRule="auto"/>
        <w:jc w:val="center"/>
        <w:rPr>
          <w:b/>
          <w:bCs/>
          <w:sz w:val="24"/>
          <w:rtl/>
        </w:rPr>
      </w:pPr>
      <w:r w:rsidRPr="00E61431">
        <w:rPr>
          <w:rFonts w:hint="cs"/>
          <w:b/>
          <w:bCs/>
          <w:sz w:val="24"/>
          <w:rtl/>
        </w:rPr>
        <w:t xml:space="preserve">תרשים </w:t>
      </w:r>
      <w:r>
        <w:rPr>
          <w:rFonts w:hint="cs"/>
          <w:b/>
          <w:bCs/>
          <w:sz w:val="24"/>
          <w:rtl/>
        </w:rPr>
        <w:t>2:</w:t>
      </w:r>
      <w:r w:rsidRPr="00E61431">
        <w:rPr>
          <w:rFonts w:hint="cs"/>
          <w:b/>
          <w:bCs/>
          <w:sz w:val="24"/>
          <w:rtl/>
        </w:rPr>
        <w:t xml:space="preserve"> תנועות </w:t>
      </w:r>
      <w:r>
        <w:rPr>
          <w:rFonts w:hint="cs"/>
          <w:b/>
          <w:bCs/>
          <w:sz w:val="24"/>
          <w:rtl/>
        </w:rPr>
        <w:t>ה</w:t>
      </w:r>
      <w:r w:rsidRPr="00E61431">
        <w:rPr>
          <w:rFonts w:hint="cs"/>
          <w:b/>
          <w:bCs/>
          <w:sz w:val="24"/>
          <w:rtl/>
        </w:rPr>
        <w:t xml:space="preserve">עוברים במעברי </w:t>
      </w:r>
      <w:r>
        <w:rPr>
          <w:rFonts w:hint="cs"/>
          <w:b/>
          <w:bCs/>
          <w:sz w:val="24"/>
          <w:rtl/>
        </w:rPr>
        <w:t>ה</w:t>
      </w:r>
      <w:r w:rsidRPr="00E61431">
        <w:rPr>
          <w:rFonts w:hint="cs"/>
          <w:b/>
          <w:bCs/>
          <w:sz w:val="24"/>
          <w:rtl/>
        </w:rPr>
        <w:t>גבול</w:t>
      </w:r>
      <w:r>
        <w:rPr>
          <w:rFonts w:hint="cs"/>
          <w:b/>
          <w:bCs/>
          <w:sz w:val="24"/>
          <w:rtl/>
        </w:rPr>
        <w:t>,</w:t>
      </w:r>
      <w:r w:rsidRPr="00E61431">
        <w:rPr>
          <w:rFonts w:hint="cs"/>
          <w:b/>
          <w:bCs/>
          <w:sz w:val="24"/>
          <w:rtl/>
        </w:rPr>
        <w:t xml:space="preserve"> 201</w:t>
      </w:r>
      <w:r>
        <w:rPr>
          <w:rFonts w:hint="cs"/>
          <w:b/>
          <w:bCs/>
          <w:sz w:val="24"/>
          <w:rtl/>
        </w:rPr>
        <w:t>5</w:t>
      </w:r>
      <w:r w:rsidRPr="00E61431">
        <w:rPr>
          <w:rFonts w:hint="cs"/>
          <w:b/>
          <w:bCs/>
          <w:sz w:val="24"/>
          <w:rtl/>
        </w:rPr>
        <w:t xml:space="preserve"> - 201</w:t>
      </w:r>
      <w:r>
        <w:rPr>
          <w:rFonts w:hint="cs"/>
          <w:b/>
          <w:bCs/>
          <w:sz w:val="24"/>
          <w:rtl/>
        </w:rPr>
        <w:t>8</w:t>
      </w:r>
      <w:r w:rsidRPr="00E61431">
        <w:rPr>
          <w:rFonts w:hint="cs"/>
          <w:b/>
          <w:bCs/>
          <w:sz w:val="24"/>
          <w:rtl/>
        </w:rPr>
        <w:t xml:space="preserve"> </w:t>
      </w:r>
    </w:p>
    <w:p w:rsidR="003D2B90" w:rsidP="00404B2A" w14:paraId="2AD29909" w14:textId="77777777">
      <w:pPr>
        <w:spacing w:before="120" w:line="269" w:lineRule="auto"/>
        <w:rPr>
          <w:szCs w:val="20"/>
          <w:rtl/>
        </w:rPr>
      </w:pPr>
    </w:p>
    <w:p w:rsidR="003D2B90" w:rsidRPr="00494BFF" w:rsidP="00404B2A" w14:paraId="6C45C09D" w14:textId="77777777">
      <w:pPr>
        <w:spacing w:before="120" w:line="269" w:lineRule="auto"/>
        <w:rPr>
          <w:szCs w:val="20"/>
          <w:rtl/>
        </w:rPr>
      </w:pPr>
      <w:r w:rsidRPr="003D2B90">
        <w:rPr>
          <w:noProof/>
          <w:szCs w:val="20"/>
          <w:rtl/>
        </w:rPr>
        <w:drawing>
          <wp:inline distT="0" distB="0" distL="0" distR="0">
            <wp:extent cx="5220335" cy="2795951"/>
            <wp:effectExtent l="0" t="0" r="0" b="444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20181" name="Picture 3"/>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2795951"/>
                    </a:xfrm>
                    <a:prstGeom prst="rect">
                      <a:avLst/>
                    </a:prstGeom>
                    <a:noFill/>
                    <a:ln>
                      <a:noFill/>
                    </a:ln>
                  </pic:spPr>
                </pic:pic>
              </a:graphicData>
            </a:graphic>
          </wp:inline>
        </w:drawing>
      </w:r>
    </w:p>
    <w:p w:rsidR="00254BD7" w:rsidP="00254BD7" w14:paraId="4AFB38C7" w14:textId="77777777">
      <w:pPr>
        <w:spacing w:before="120" w:line="269" w:lineRule="auto"/>
        <w:rPr>
          <w:szCs w:val="20"/>
          <w:rtl/>
        </w:rPr>
      </w:pPr>
      <w:r w:rsidRPr="00494BFF">
        <w:rPr>
          <w:rFonts w:hint="cs"/>
          <w:szCs w:val="20"/>
          <w:rtl/>
        </w:rPr>
        <w:t>ה</w:t>
      </w:r>
      <w:r w:rsidRPr="00494BFF">
        <w:rPr>
          <w:szCs w:val="20"/>
          <w:rtl/>
        </w:rPr>
        <w:t>מקור: נתוני רשות האוכלוסין, בעיבוד משרד מבקר המדינה.</w:t>
      </w:r>
    </w:p>
    <w:p w:rsidR="002D0C59" w:rsidRPr="00A21F5C" w:rsidP="00AE0BE6" w14:paraId="22BDF9F2" w14:textId="77777777">
      <w:pPr>
        <w:pStyle w:val="a"/>
        <w:spacing w:line="269" w:lineRule="auto"/>
        <w:rPr>
          <w:rtl/>
        </w:rPr>
      </w:pPr>
    </w:p>
    <w:p w:rsidR="002D0C59" w:rsidP="00AE0BE6" w14:paraId="6D2A6F9C" w14:textId="77777777">
      <w:pPr>
        <w:spacing w:line="269" w:lineRule="auto"/>
        <w:ind w:left="312"/>
        <w:rPr>
          <w:sz w:val="24"/>
          <w:rtl/>
        </w:rPr>
      </w:pPr>
      <w:r w:rsidRPr="00E37C41">
        <w:rPr>
          <w:rFonts w:hint="cs"/>
          <w:sz w:val="24"/>
          <w:rtl/>
        </w:rPr>
        <w:t xml:space="preserve">מהתרשים עולה כי </w:t>
      </w:r>
      <w:r>
        <w:rPr>
          <w:rFonts w:hint="cs"/>
          <w:sz w:val="24"/>
          <w:rtl/>
        </w:rPr>
        <w:t>בארבע השנים האחרונות</w:t>
      </w:r>
      <w:r w:rsidRPr="00E37C41">
        <w:rPr>
          <w:rFonts w:hint="cs"/>
          <w:sz w:val="24"/>
          <w:rtl/>
        </w:rPr>
        <w:t xml:space="preserve"> </w:t>
      </w:r>
      <w:r>
        <w:rPr>
          <w:rFonts w:hint="cs"/>
          <w:sz w:val="24"/>
          <w:rtl/>
        </w:rPr>
        <w:t>גדל</w:t>
      </w:r>
      <w:r w:rsidRPr="00E37C41">
        <w:rPr>
          <w:rFonts w:hint="cs"/>
          <w:sz w:val="24"/>
          <w:rtl/>
        </w:rPr>
        <w:t xml:space="preserve"> מספר התנועות במעברי הגבול של י</w:t>
      </w:r>
      <w:r w:rsidRPr="00E37C41">
        <w:rPr>
          <w:rFonts w:hint="cs"/>
          <w:sz w:val="24"/>
          <w:rtl/>
        </w:rPr>
        <w:t>שראל</w:t>
      </w:r>
      <w:r w:rsidR="00AE0BE6">
        <w:rPr>
          <w:rFonts w:hint="cs"/>
          <w:sz w:val="24"/>
          <w:rtl/>
        </w:rPr>
        <w:t xml:space="preserve"> </w:t>
      </w:r>
      <w:r>
        <w:rPr>
          <w:rFonts w:hint="cs"/>
          <w:sz w:val="24"/>
          <w:rtl/>
        </w:rPr>
        <w:t>ב-</w:t>
      </w:r>
      <w:r w:rsidRPr="00E37C41">
        <w:rPr>
          <w:rFonts w:hint="cs"/>
          <w:sz w:val="24"/>
          <w:rtl/>
        </w:rPr>
        <w:t>44%. 60% מתנועות העוברים הן של ישראלים ו-40% הן של נתיני מדינות אחרות.</w:t>
      </w:r>
      <w:r w:rsidRPr="00E37C41">
        <w:rPr>
          <w:sz w:val="24"/>
          <w:rtl/>
        </w:rPr>
        <w:t xml:space="preserve"> 80% מכלל התנועות ב</w:t>
      </w:r>
      <w:r>
        <w:rPr>
          <w:rFonts w:hint="cs"/>
          <w:sz w:val="24"/>
          <w:rtl/>
        </w:rPr>
        <w:t>מעברי ה</w:t>
      </w:r>
      <w:r w:rsidRPr="00E37C41">
        <w:rPr>
          <w:sz w:val="24"/>
          <w:rtl/>
        </w:rPr>
        <w:t>גבול היו בנמל התעופה בן גוריון</w:t>
      </w:r>
      <w:r>
        <w:rPr>
          <w:rFonts w:hint="cs"/>
          <w:sz w:val="24"/>
          <w:rtl/>
        </w:rPr>
        <w:t xml:space="preserve"> (להלן - נתב"ג)</w:t>
      </w:r>
      <w:r w:rsidRPr="00E37C41">
        <w:rPr>
          <w:sz w:val="24"/>
          <w:rtl/>
        </w:rPr>
        <w:t>.</w:t>
      </w:r>
      <w:r w:rsidR="00EC0F52">
        <w:rPr>
          <w:sz w:val="24"/>
          <w:rtl/>
        </w:rPr>
        <w:t xml:space="preserve"> </w:t>
      </w:r>
    </w:p>
    <w:p w:rsidR="002D0C59" w:rsidRPr="00A21F5C" w:rsidP="00AE0BE6" w14:paraId="1008A471" w14:textId="77777777">
      <w:pPr>
        <w:pStyle w:val="a"/>
        <w:spacing w:line="269" w:lineRule="auto"/>
      </w:pPr>
    </w:p>
    <w:p w:rsidR="002D0C59" w:rsidRPr="00E37C41" w:rsidP="00AE0BE6" w14:paraId="369944C4" w14:textId="77777777">
      <w:pPr>
        <w:pStyle w:val="ListParagraph"/>
        <w:numPr>
          <w:ilvl w:val="0"/>
          <w:numId w:val="5"/>
        </w:numPr>
        <w:spacing w:after="0" w:line="269" w:lineRule="auto"/>
        <w:jc w:val="both"/>
        <w:rPr>
          <w:rFonts w:cs="David"/>
          <w:sz w:val="24"/>
          <w:szCs w:val="24"/>
        </w:rPr>
      </w:pPr>
      <w:r w:rsidRPr="00E37C41">
        <w:rPr>
          <w:rFonts w:cs="David" w:hint="cs"/>
          <w:sz w:val="24"/>
          <w:szCs w:val="24"/>
          <w:rtl/>
        </w:rPr>
        <w:t>רשות שדות התעופה</w:t>
      </w:r>
      <w:r w:rsidRPr="00E37C41">
        <w:rPr>
          <w:rFonts w:cs="David"/>
          <w:sz w:val="24"/>
          <w:szCs w:val="24"/>
          <w:rtl/>
        </w:rPr>
        <w:t xml:space="preserve"> </w:t>
      </w:r>
      <w:r w:rsidRPr="00E37C41">
        <w:rPr>
          <w:rFonts w:cs="David" w:hint="cs"/>
          <w:sz w:val="24"/>
          <w:szCs w:val="24"/>
          <w:rtl/>
        </w:rPr>
        <w:t xml:space="preserve">(להלן - רש"ת) </w:t>
      </w:r>
      <w:r w:rsidRPr="00E37C41">
        <w:rPr>
          <w:rFonts w:cs="David"/>
          <w:sz w:val="24"/>
          <w:szCs w:val="24"/>
          <w:rtl/>
        </w:rPr>
        <w:t xml:space="preserve">מפעילה </w:t>
      </w:r>
      <w:r w:rsidRPr="00E37C41">
        <w:rPr>
          <w:rFonts w:cs="David" w:hint="cs"/>
          <w:sz w:val="24"/>
          <w:szCs w:val="24"/>
          <w:rtl/>
        </w:rPr>
        <w:t xml:space="preserve">ככלל את </w:t>
      </w:r>
      <w:r w:rsidRPr="00E37C41">
        <w:rPr>
          <w:rFonts w:cs="David"/>
          <w:sz w:val="24"/>
          <w:szCs w:val="24"/>
          <w:rtl/>
        </w:rPr>
        <w:t xml:space="preserve">מעברי </w:t>
      </w:r>
      <w:r w:rsidRPr="00E37C41">
        <w:rPr>
          <w:rFonts w:cs="David" w:hint="cs"/>
          <w:sz w:val="24"/>
          <w:szCs w:val="24"/>
          <w:rtl/>
        </w:rPr>
        <w:t>ה</w:t>
      </w:r>
      <w:r w:rsidRPr="00E37C41">
        <w:rPr>
          <w:rFonts w:cs="David"/>
          <w:sz w:val="24"/>
          <w:szCs w:val="24"/>
          <w:rtl/>
        </w:rPr>
        <w:t xml:space="preserve">גבול </w:t>
      </w:r>
      <w:r w:rsidRPr="00E37C41">
        <w:rPr>
          <w:rFonts w:cs="David" w:hint="cs"/>
          <w:sz w:val="24"/>
          <w:szCs w:val="24"/>
          <w:rtl/>
        </w:rPr>
        <w:t>ה</w:t>
      </w:r>
      <w:r w:rsidRPr="00E37C41">
        <w:rPr>
          <w:rFonts w:cs="David"/>
          <w:sz w:val="24"/>
          <w:szCs w:val="24"/>
          <w:rtl/>
        </w:rPr>
        <w:t>אוויריים ו</w:t>
      </w:r>
      <w:r w:rsidRPr="00E37C41">
        <w:rPr>
          <w:rFonts w:cs="David" w:hint="cs"/>
          <w:sz w:val="24"/>
          <w:szCs w:val="24"/>
          <w:rtl/>
        </w:rPr>
        <w:t>ה</w:t>
      </w:r>
      <w:r w:rsidRPr="00E37C41">
        <w:rPr>
          <w:rFonts w:cs="David"/>
          <w:sz w:val="24"/>
          <w:szCs w:val="24"/>
          <w:rtl/>
        </w:rPr>
        <w:t xml:space="preserve">יבשתיים מכוח סמכויותיה לפי חוק </w:t>
      </w:r>
      <w:r w:rsidRPr="00E37C41">
        <w:rPr>
          <w:rFonts w:cs="David"/>
          <w:sz w:val="24"/>
          <w:szCs w:val="24"/>
          <w:rtl/>
        </w:rPr>
        <w:t>רשות שדות התעופה, התשל"ז-1977</w:t>
      </w:r>
      <w:r w:rsidRPr="00E37C41">
        <w:rPr>
          <w:rFonts w:cs="David" w:hint="cs"/>
          <w:sz w:val="24"/>
          <w:szCs w:val="24"/>
          <w:rtl/>
        </w:rPr>
        <w:t xml:space="preserve">. על ביקורת הגבולות במעברים האלה ובשאר מעברי הגבול הבין-לאומיים מופקדת רשות האוכלוסין וההגירה (להלן - רשות </w:t>
      </w:r>
      <w:r w:rsidRPr="008D6277">
        <w:rPr>
          <w:rFonts w:cs="David" w:hint="cs"/>
          <w:sz w:val="24"/>
          <w:szCs w:val="24"/>
          <w:rtl/>
        </w:rPr>
        <w:t xml:space="preserve">האוכלוסין </w:t>
      </w:r>
      <w:r w:rsidRPr="008D6277">
        <w:rPr>
          <w:rFonts w:cs="David" w:hint="eastAsia"/>
          <w:sz w:val="24"/>
          <w:szCs w:val="24"/>
          <w:rtl/>
        </w:rPr>
        <w:t>או</w:t>
      </w:r>
      <w:r w:rsidRPr="008D6277">
        <w:rPr>
          <w:rFonts w:cs="David"/>
          <w:sz w:val="24"/>
          <w:szCs w:val="24"/>
          <w:rtl/>
        </w:rPr>
        <w:t xml:space="preserve"> </w:t>
      </w:r>
      <w:r w:rsidRPr="008D6277">
        <w:rPr>
          <w:rFonts w:cs="David" w:hint="eastAsia"/>
          <w:sz w:val="24"/>
          <w:szCs w:val="24"/>
          <w:rtl/>
        </w:rPr>
        <w:t>הרשות</w:t>
      </w:r>
      <w:r w:rsidRPr="008D6277">
        <w:rPr>
          <w:rFonts w:cs="David" w:hint="cs"/>
          <w:sz w:val="24"/>
          <w:szCs w:val="24"/>
          <w:rtl/>
        </w:rPr>
        <w:t>). הרשות נדרשת להעניק</w:t>
      </w:r>
      <w:r w:rsidRPr="008D6277">
        <w:rPr>
          <w:rFonts w:cs="David"/>
          <w:sz w:val="24"/>
          <w:szCs w:val="24"/>
          <w:rtl/>
        </w:rPr>
        <w:t xml:space="preserve"> שירות יעיל</w:t>
      </w:r>
      <w:r w:rsidRPr="008D6277">
        <w:rPr>
          <w:rFonts w:cs="David" w:hint="cs"/>
          <w:sz w:val="24"/>
          <w:szCs w:val="24"/>
          <w:rtl/>
        </w:rPr>
        <w:t xml:space="preserve"> </w:t>
      </w:r>
      <w:r w:rsidRPr="008D6277">
        <w:rPr>
          <w:rFonts w:cs="David"/>
          <w:sz w:val="24"/>
          <w:szCs w:val="24"/>
          <w:rtl/>
        </w:rPr>
        <w:t>ל</w:t>
      </w:r>
      <w:r w:rsidRPr="008D6277">
        <w:rPr>
          <w:rFonts w:cs="David" w:hint="cs"/>
          <w:sz w:val="24"/>
          <w:szCs w:val="24"/>
          <w:rtl/>
        </w:rPr>
        <w:t>עוברים במעברי הגבול ו</w:t>
      </w:r>
      <w:r w:rsidRPr="008D6277">
        <w:rPr>
          <w:rFonts w:cs="David"/>
          <w:sz w:val="24"/>
          <w:szCs w:val="24"/>
          <w:rtl/>
        </w:rPr>
        <w:t>למנוע</w:t>
      </w:r>
      <w:r w:rsidRPr="00E37C41">
        <w:rPr>
          <w:rFonts w:cs="David"/>
          <w:sz w:val="24"/>
          <w:szCs w:val="24"/>
          <w:rtl/>
        </w:rPr>
        <w:t xml:space="preserve"> כניסת אנשים לשטחה של מדינת ישראל </w:t>
      </w:r>
      <w:r>
        <w:rPr>
          <w:rFonts w:cs="David" w:hint="cs"/>
          <w:sz w:val="24"/>
          <w:szCs w:val="24"/>
          <w:rtl/>
        </w:rPr>
        <w:t xml:space="preserve">אם </w:t>
      </w:r>
      <w:r w:rsidRPr="00E37C41">
        <w:rPr>
          <w:rFonts w:cs="David"/>
          <w:sz w:val="24"/>
          <w:szCs w:val="24"/>
          <w:rtl/>
        </w:rPr>
        <w:t>יש חש</w:t>
      </w:r>
      <w:r w:rsidRPr="00E37C41">
        <w:rPr>
          <w:rFonts w:cs="David"/>
          <w:sz w:val="24"/>
          <w:szCs w:val="24"/>
          <w:rtl/>
        </w:rPr>
        <w:t>ש ב</w:t>
      </w:r>
      <w:r w:rsidRPr="00E37C41">
        <w:rPr>
          <w:rFonts w:cs="David" w:hint="cs"/>
          <w:sz w:val="24"/>
          <w:szCs w:val="24"/>
          <w:rtl/>
        </w:rPr>
        <w:t>י</w:t>
      </w:r>
      <w:r w:rsidRPr="00E37C41">
        <w:rPr>
          <w:rFonts w:cs="David"/>
          <w:sz w:val="24"/>
          <w:szCs w:val="24"/>
          <w:rtl/>
        </w:rPr>
        <w:t xml:space="preserve">טחוני או פלילי בכניסתם לארץ, או </w:t>
      </w:r>
      <w:r>
        <w:rPr>
          <w:rFonts w:cs="David" w:hint="cs"/>
          <w:sz w:val="24"/>
          <w:szCs w:val="24"/>
          <w:rtl/>
        </w:rPr>
        <w:t xml:space="preserve">אם </w:t>
      </w:r>
      <w:r w:rsidRPr="00E37C41">
        <w:rPr>
          <w:rFonts w:cs="David"/>
          <w:sz w:val="24"/>
          <w:szCs w:val="24"/>
          <w:rtl/>
        </w:rPr>
        <w:t xml:space="preserve">יש חשש שהם מבקשים </w:t>
      </w:r>
      <w:r w:rsidR="00362292">
        <w:rPr>
          <w:rFonts w:cs="David" w:hint="cs"/>
          <w:sz w:val="24"/>
          <w:szCs w:val="24"/>
          <w:rtl/>
        </w:rPr>
        <w:t>ש</w:t>
      </w:r>
      <w:r w:rsidRPr="00E37C41">
        <w:rPr>
          <w:rFonts w:cs="David"/>
          <w:sz w:val="24"/>
          <w:szCs w:val="24"/>
          <w:rtl/>
        </w:rPr>
        <w:t xml:space="preserve">להגר לישראל </w:t>
      </w:r>
      <w:r>
        <w:rPr>
          <w:rFonts w:cs="David" w:hint="cs"/>
          <w:sz w:val="24"/>
          <w:szCs w:val="24"/>
          <w:rtl/>
        </w:rPr>
        <w:t>שלא כחוק</w:t>
      </w:r>
      <w:r w:rsidRPr="00E37C41">
        <w:rPr>
          <w:rFonts w:cs="David"/>
          <w:sz w:val="24"/>
          <w:szCs w:val="24"/>
          <w:rtl/>
        </w:rPr>
        <w:t>, וכן למנוע יציא</w:t>
      </w:r>
      <w:r>
        <w:rPr>
          <w:rFonts w:cs="David" w:hint="cs"/>
          <w:sz w:val="24"/>
          <w:szCs w:val="24"/>
          <w:rtl/>
        </w:rPr>
        <w:t>ה</w:t>
      </w:r>
      <w:r w:rsidRPr="00E37C41">
        <w:rPr>
          <w:rFonts w:cs="David"/>
          <w:sz w:val="24"/>
          <w:szCs w:val="24"/>
          <w:rtl/>
        </w:rPr>
        <w:t xml:space="preserve"> </w:t>
      </w:r>
      <w:r>
        <w:rPr>
          <w:rFonts w:cs="David" w:hint="cs"/>
          <w:sz w:val="24"/>
          <w:szCs w:val="24"/>
          <w:rtl/>
        </w:rPr>
        <w:t xml:space="preserve">מהארץ </w:t>
      </w:r>
      <w:r w:rsidRPr="00E37C41">
        <w:rPr>
          <w:rFonts w:cs="David"/>
          <w:sz w:val="24"/>
          <w:szCs w:val="24"/>
          <w:rtl/>
        </w:rPr>
        <w:t xml:space="preserve">של </w:t>
      </w:r>
      <w:r w:rsidRPr="00E37C41">
        <w:rPr>
          <w:rFonts w:cs="David" w:hint="cs"/>
          <w:sz w:val="24"/>
          <w:szCs w:val="24"/>
          <w:rtl/>
        </w:rPr>
        <w:t>אנשים</w:t>
      </w:r>
      <w:r w:rsidRPr="00E37C41">
        <w:rPr>
          <w:rFonts w:cs="David"/>
          <w:sz w:val="24"/>
          <w:szCs w:val="24"/>
          <w:rtl/>
        </w:rPr>
        <w:t xml:space="preserve"> אשר גורמי אכיפה ומשפט אסרו את יציאתם</w:t>
      </w:r>
      <w:r w:rsidRPr="00E37C41">
        <w:rPr>
          <w:rFonts w:cs="David" w:hint="cs"/>
          <w:sz w:val="24"/>
          <w:szCs w:val="24"/>
          <w:rtl/>
        </w:rPr>
        <w:t>.</w:t>
      </w:r>
    </w:p>
    <w:p w:rsidR="002D0C59" w:rsidRPr="00A21F5C" w:rsidP="00AE0BE6" w14:paraId="30EFD225" w14:textId="77777777">
      <w:pPr>
        <w:pStyle w:val="a"/>
        <w:spacing w:line="269" w:lineRule="auto"/>
      </w:pPr>
    </w:p>
    <w:p w:rsidR="002D0C59" w:rsidP="00404B2A" w14:paraId="7B5D9F18" w14:textId="77777777">
      <w:pPr>
        <w:pStyle w:val="ListParagraph"/>
        <w:numPr>
          <w:ilvl w:val="0"/>
          <w:numId w:val="5"/>
        </w:numPr>
        <w:spacing w:after="0" w:line="269" w:lineRule="auto"/>
        <w:jc w:val="both"/>
        <w:rPr>
          <w:rFonts w:cs="David"/>
          <w:sz w:val="24"/>
          <w:szCs w:val="24"/>
        </w:rPr>
      </w:pPr>
      <w:r w:rsidRPr="00E37C41">
        <w:rPr>
          <w:rFonts w:cs="David" w:hint="cs"/>
          <w:sz w:val="24"/>
          <w:szCs w:val="24"/>
          <w:rtl/>
        </w:rPr>
        <w:t>חוק הכללת אמצעי זיהוי ביומטריים ונתוני זיהוי ביומטריים במסמכי זיהוי ובמאגר מידע, התש"ע-2009</w:t>
      </w:r>
      <w:r>
        <w:rPr>
          <w:rFonts w:cs="David" w:hint="cs"/>
          <w:sz w:val="24"/>
          <w:szCs w:val="24"/>
          <w:rtl/>
        </w:rPr>
        <w:t>,</w:t>
      </w:r>
      <w:r w:rsidRPr="00E37C41">
        <w:rPr>
          <w:rFonts w:cs="David" w:hint="cs"/>
          <w:sz w:val="24"/>
          <w:szCs w:val="24"/>
          <w:rtl/>
        </w:rPr>
        <w:t xml:space="preserve"> </w:t>
      </w:r>
      <w:r w:rsidRPr="00E37C41">
        <w:rPr>
          <w:rFonts w:cs="David" w:hint="eastAsia"/>
          <w:sz w:val="24"/>
          <w:szCs w:val="24"/>
          <w:rtl/>
        </w:rPr>
        <w:t>חל</w:t>
      </w:r>
      <w:r w:rsidRPr="00E37C41">
        <w:rPr>
          <w:rFonts w:cs="David"/>
          <w:sz w:val="24"/>
          <w:szCs w:val="24"/>
          <w:rtl/>
        </w:rPr>
        <w:t xml:space="preserve"> על כלל התושבים </w:t>
      </w:r>
      <w:r>
        <w:rPr>
          <w:rFonts w:cs="David" w:hint="cs"/>
          <w:sz w:val="24"/>
          <w:szCs w:val="24"/>
          <w:rtl/>
        </w:rPr>
        <w:t>מ</w:t>
      </w:r>
      <w:r w:rsidRPr="00DE6BF2">
        <w:rPr>
          <w:rFonts w:cs="David"/>
          <w:sz w:val="24"/>
          <w:szCs w:val="24"/>
          <w:rtl/>
        </w:rPr>
        <w:t>-1.6.17</w:t>
      </w:r>
      <w:r w:rsidRPr="00E37C41">
        <w:rPr>
          <w:rFonts w:cs="David"/>
          <w:sz w:val="24"/>
          <w:szCs w:val="24"/>
          <w:rtl/>
        </w:rPr>
        <w:t xml:space="preserve"> </w:t>
      </w:r>
      <w:r w:rsidRPr="00E37C41">
        <w:rPr>
          <w:rFonts w:cs="David" w:hint="cs"/>
          <w:sz w:val="24"/>
          <w:szCs w:val="24"/>
          <w:rtl/>
        </w:rPr>
        <w:t xml:space="preserve">(להלן - חוק </w:t>
      </w:r>
      <w:r w:rsidRPr="00676388">
        <w:rPr>
          <w:rFonts w:cs="David" w:hint="eastAsia"/>
          <w:sz w:val="24"/>
          <w:szCs w:val="24"/>
          <w:rtl/>
        </w:rPr>
        <w:t>הביומטר</w:t>
      </w:r>
      <w:r>
        <w:rPr>
          <w:rFonts w:cs="David" w:hint="cs"/>
          <w:sz w:val="24"/>
          <w:szCs w:val="24"/>
          <w:rtl/>
        </w:rPr>
        <w:t>י</w:t>
      </w:r>
      <w:r w:rsidRPr="00676388">
        <w:rPr>
          <w:rFonts w:cs="David" w:hint="eastAsia"/>
          <w:sz w:val="24"/>
          <w:szCs w:val="24"/>
          <w:rtl/>
        </w:rPr>
        <w:t>יה</w:t>
      </w:r>
      <w:r w:rsidRPr="00E37C41">
        <w:rPr>
          <w:rFonts w:cs="David" w:hint="cs"/>
          <w:sz w:val="24"/>
          <w:szCs w:val="24"/>
          <w:rtl/>
        </w:rPr>
        <w:t>)</w:t>
      </w:r>
      <w:r>
        <w:rPr>
          <w:rStyle w:val="FootnoteReference1"/>
          <w:rFonts w:cs="David"/>
          <w:sz w:val="24"/>
          <w:szCs w:val="24"/>
          <w:rtl/>
        </w:rPr>
        <w:footnoteReference w:id="4"/>
      </w:r>
      <w:r w:rsidRPr="00E37C41">
        <w:rPr>
          <w:rFonts w:cs="David" w:hint="cs"/>
          <w:sz w:val="24"/>
          <w:szCs w:val="24"/>
          <w:rtl/>
        </w:rPr>
        <w:t xml:space="preserve">. התקופה שקדמה למועד זה נקבעה בחקיקה כתקופת מבחן שבה חוק </w:t>
      </w:r>
      <w:r w:rsidRPr="00676388">
        <w:rPr>
          <w:rFonts w:cs="David" w:hint="eastAsia"/>
          <w:sz w:val="24"/>
          <w:szCs w:val="24"/>
          <w:rtl/>
        </w:rPr>
        <w:t>הביומטרי</w:t>
      </w:r>
      <w:r>
        <w:rPr>
          <w:rFonts w:cs="David" w:hint="cs"/>
          <w:sz w:val="24"/>
          <w:szCs w:val="24"/>
          <w:rtl/>
        </w:rPr>
        <w:t>י</w:t>
      </w:r>
      <w:r w:rsidRPr="00676388">
        <w:rPr>
          <w:rFonts w:cs="David" w:hint="eastAsia"/>
          <w:sz w:val="24"/>
          <w:szCs w:val="24"/>
          <w:rtl/>
        </w:rPr>
        <w:t>ה</w:t>
      </w:r>
      <w:r w:rsidRPr="00E37C41">
        <w:rPr>
          <w:rFonts w:cs="David" w:hint="cs"/>
          <w:sz w:val="24"/>
          <w:szCs w:val="24"/>
          <w:rtl/>
        </w:rPr>
        <w:t xml:space="preserve"> חל רק על תושבים שנתנו את הסכמתם לכך בכתב. </w:t>
      </w:r>
      <w:r w:rsidRPr="00E37C41">
        <w:rPr>
          <w:rFonts w:cs="David"/>
          <w:sz w:val="24"/>
          <w:szCs w:val="24"/>
          <w:rtl/>
        </w:rPr>
        <w:t>החוק ק</w:t>
      </w:r>
      <w:r w:rsidRPr="00E37C41">
        <w:rPr>
          <w:rFonts w:cs="David" w:hint="cs"/>
          <w:sz w:val="24"/>
          <w:szCs w:val="24"/>
          <w:rtl/>
        </w:rPr>
        <w:t>ו</w:t>
      </w:r>
      <w:r w:rsidRPr="00E37C41">
        <w:rPr>
          <w:rFonts w:cs="David"/>
          <w:sz w:val="24"/>
          <w:szCs w:val="24"/>
          <w:rtl/>
        </w:rPr>
        <w:t>בע הסדרים שיאפשרו זיהוי ואימות זהות של תושבי מדינת ישראל באמצעות הכללת מידע ביומטרי במסמכי</w:t>
      </w:r>
      <w:r w:rsidRPr="00E37C41">
        <w:rPr>
          <w:rFonts w:cs="David"/>
          <w:sz w:val="24"/>
          <w:szCs w:val="24"/>
          <w:rtl/>
        </w:rPr>
        <w:t xml:space="preserve"> זיהוי</w:t>
      </w:r>
      <w:r w:rsidRPr="00E37C41">
        <w:rPr>
          <w:rFonts w:cs="David" w:hint="cs"/>
          <w:sz w:val="24"/>
          <w:szCs w:val="24"/>
          <w:rtl/>
        </w:rPr>
        <w:t xml:space="preserve"> (תעודת זהות או דרכון)</w:t>
      </w:r>
      <w:r w:rsidRPr="00E37C41">
        <w:rPr>
          <w:rFonts w:cs="David"/>
          <w:sz w:val="24"/>
          <w:szCs w:val="24"/>
          <w:rtl/>
        </w:rPr>
        <w:t xml:space="preserve"> באופן ש</w:t>
      </w:r>
      <w:r w:rsidRPr="00E37C41">
        <w:rPr>
          <w:rFonts w:cs="David" w:hint="cs"/>
          <w:sz w:val="24"/>
          <w:szCs w:val="24"/>
          <w:rtl/>
        </w:rPr>
        <w:t xml:space="preserve">נועד </w:t>
      </w:r>
      <w:r w:rsidRPr="00E37C41">
        <w:rPr>
          <w:rFonts w:cs="David" w:hint="cs"/>
          <w:sz w:val="24"/>
          <w:szCs w:val="24"/>
          <w:rtl/>
        </w:rPr>
        <w:t xml:space="preserve">למנוע </w:t>
      </w:r>
      <w:r w:rsidRPr="00E37C41">
        <w:rPr>
          <w:rFonts w:cs="David"/>
          <w:sz w:val="24"/>
          <w:szCs w:val="24"/>
          <w:rtl/>
        </w:rPr>
        <w:t>זיוף ושימוש בזהות אחרת.</w:t>
      </w:r>
      <w:r w:rsidRPr="00E37C41">
        <w:rPr>
          <w:rFonts w:cs="David" w:hint="cs"/>
          <w:sz w:val="24"/>
          <w:szCs w:val="24"/>
          <w:rtl/>
        </w:rPr>
        <w:t xml:space="preserve"> בחוק הוגדרו </w:t>
      </w:r>
      <w:r w:rsidRPr="00E37C41">
        <w:rPr>
          <w:rFonts w:cs="David"/>
          <w:sz w:val="24"/>
          <w:szCs w:val="24"/>
          <w:rtl/>
        </w:rPr>
        <w:t xml:space="preserve">אמצעי </w:t>
      </w:r>
      <w:r w:rsidRPr="00E37C41">
        <w:rPr>
          <w:rFonts w:cs="David" w:hint="cs"/>
          <w:sz w:val="24"/>
          <w:szCs w:val="24"/>
          <w:rtl/>
        </w:rPr>
        <w:t>ה</w:t>
      </w:r>
      <w:r w:rsidRPr="00E37C41">
        <w:rPr>
          <w:rFonts w:cs="David"/>
          <w:sz w:val="24"/>
          <w:szCs w:val="24"/>
          <w:rtl/>
        </w:rPr>
        <w:t xml:space="preserve">זיהוי </w:t>
      </w:r>
      <w:r w:rsidRPr="00E37C41">
        <w:rPr>
          <w:rFonts w:cs="David" w:hint="cs"/>
          <w:sz w:val="24"/>
          <w:szCs w:val="24"/>
          <w:rtl/>
        </w:rPr>
        <w:t>ה</w:t>
      </w:r>
      <w:r w:rsidRPr="00E37C41">
        <w:rPr>
          <w:rFonts w:cs="David"/>
          <w:sz w:val="24"/>
          <w:szCs w:val="24"/>
          <w:rtl/>
        </w:rPr>
        <w:t>ביומטריים</w:t>
      </w:r>
      <w:r w:rsidRPr="00E37C41">
        <w:rPr>
          <w:rFonts w:cs="David" w:hint="cs"/>
          <w:sz w:val="24"/>
          <w:szCs w:val="24"/>
          <w:rtl/>
        </w:rPr>
        <w:t xml:space="preserve">: </w:t>
      </w:r>
      <w:r w:rsidRPr="00E37C41">
        <w:rPr>
          <w:rFonts w:cs="David"/>
          <w:sz w:val="24"/>
          <w:szCs w:val="24"/>
          <w:rtl/>
        </w:rPr>
        <w:t>תמונת תווי הפנים ותמונות שתי טביעות האצבעות המורות של האדם.</w:t>
      </w:r>
    </w:p>
    <w:p w:rsidR="00944C0A" w:rsidRPr="00404B2A" w:rsidP="00850CF1" w14:paraId="0019FC2D" w14:textId="77777777">
      <w:pPr>
        <w:pStyle w:val="ListParagraph"/>
        <w:spacing w:after="0" w:line="269" w:lineRule="auto"/>
        <w:ind w:left="340"/>
        <w:jc w:val="both"/>
        <w:rPr>
          <w:rFonts w:cs="David"/>
          <w:sz w:val="24"/>
          <w:szCs w:val="24"/>
          <w:rtl/>
        </w:rPr>
      </w:pPr>
    </w:p>
    <w:p w:rsidR="002D0C59" w:rsidRPr="00A21F5C" w:rsidP="00AE0BE6" w14:paraId="7FEBFBF2" w14:textId="77777777">
      <w:pPr>
        <w:pStyle w:val="ListParagraph"/>
        <w:spacing w:after="0" w:line="269" w:lineRule="auto"/>
        <w:ind w:left="312"/>
        <w:jc w:val="both"/>
        <w:rPr>
          <w:rFonts w:cs="David"/>
        </w:rPr>
      </w:pPr>
      <w:r w:rsidRPr="00E37C41">
        <w:rPr>
          <w:rFonts w:cs="David" w:hint="cs"/>
          <w:sz w:val="24"/>
          <w:szCs w:val="24"/>
          <w:rtl/>
        </w:rPr>
        <w:t xml:space="preserve">רשות האוכלוסין מאפשרת </w:t>
      </w:r>
      <w:r w:rsidRPr="00E37C41">
        <w:rPr>
          <w:rFonts w:cs="David"/>
          <w:sz w:val="24"/>
          <w:szCs w:val="24"/>
          <w:rtl/>
        </w:rPr>
        <w:t>לבעלי דרכון ביומטרי</w:t>
      </w:r>
      <w:r w:rsidRPr="00E37C41">
        <w:rPr>
          <w:rFonts w:cs="David" w:hint="cs"/>
          <w:sz w:val="24"/>
          <w:szCs w:val="24"/>
          <w:rtl/>
        </w:rPr>
        <w:t xml:space="preserve"> </w:t>
      </w:r>
      <w:r w:rsidRPr="00E37C41">
        <w:rPr>
          <w:rFonts w:cs="David"/>
          <w:sz w:val="24"/>
          <w:szCs w:val="24"/>
          <w:rtl/>
        </w:rPr>
        <w:t xml:space="preserve">מעבר מהיר </w:t>
      </w:r>
      <w:r w:rsidRPr="00E37C41">
        <w:rPr>
          <w:rFonts w:cs="David" w:hint="cs"/>
          <w:sz w:val="24"/>
          <w:szCs w:val="24"/>
          <w:rtl/>
        </w:rPr>
        <w:t>במעברי הגבול</w:t>
      </w:r>
      <w:r w:rsidRPr="00E37C41">
        <w:rPr>
          <w:rFonts w:cs="David"/>
          <w:sz w:val="24"/>
          <w:szCs w:val="24"/>
          <w:rtl/>
        </w:rPr>
        <w:t xml:space="preserve"> </w:t>
      </w:r>
      <w:r w:rsidRPr="00E37C41">
        <w:rPr>
          <w:rFonts w:cs="David" w:hint="cs"/>
          <w:sz w:val="24"/>
          <w:szCs w:val="24"/>
          <w:rtl/>
        </w:rPr>
        <w:t>באמצעות עמדות ל</w:t>
      </w:r>
      <w:r>
        <w:rPr>
          <w:rFonts w:cs="David" w:hint="cs"/>
          <w:rtl/>
        </w:rPr>
        <w:t>זיהוי</w:t>
      </w:r>
      <w:r w:rsidRPr="00A21F5C">
        <w:rPr>
          <w:rFonts w:cs="David" w:hint="cs"/>
          <w:rtl/>
        </w:rPr>
        <w:t xml:space="preserve"> </w:t>
      </w:r>
      <w:r w:rsidRPr="00E37C41">
        <w:rPr>
          <w:rFonts w:cs="David" w:hint="cs"/>
          <w:sz w:val="24"/>
          <w:szCs w:val="24"/>
          <w:rtl/>
        </w:rPr>
        <w:t>ביומטרי. ב</w:t>
      </w:r>
      <w:r>
        <w:rPr>
          <w:rFonts w:cs="David" w:hint="cs"/>
          <w:sz w:val="24"/>
          <w:szCs w:val="24"/>
          <w:rtl/>
        </w:rPr>
        <w:t>שנת</w:t>
      </w:r>
      <w:r w:rsidRPr="00E37C41">
        <w:rPr>
          <w:rFonts w:cs="David" w:hint="cs"/>
          <w:sz w:val="24"/>
          <w:szCs w:val="24"/>
          <w:rtl/>
        </w:rPr>
        <w:t xml:space="preserve"> 2018 גדל מספר הישראלים שעברו במעברי הגבול באמצעות </w:t>
      </w:r>
      <w:r>
        <w:rPr>
          <w:rFonts w:cs="David" w:hint="cs"/>
          <w:sz w:val="24"/>
          <w:szCs w:val="24"/>
          <w:rtl/>
        </w:rPr>
        <w:t>זיהוי</w:t>
      </w:r>
      <w:r w:rsidRPr="00E37C41">
        <w:rPr>
          <w:rFonts w:cs="David" w:hint="cs"/>
          <w:sz w:val="24"/>
          <w:szCs w:val="24"/>
          <w:rtl/>
        </w:rPr>
        <w:t xml:space="preserve"> ביומטרי בכ-25% </w:t>
      </w:r>
      <w:r>
        <w:rPr>
          <w:rFonts w:cs="David" w:hint="cs"/>
          <w:sz w:val="24"/>
          <w:szCs w:val="24"/>
          <w:rtl/>
        </w:rPr>
        <w:t xml:space="preserve">לעומת שנת 2017 </w:t>
      </w:r>
      <w:r w:rsidRPr="00E37C41">
        <w:rPr>
          <w:rFonts w:cs="David" w:hint="cs"/>
          <w:sz w:val="24"/>
          <w:szCs w:val="24"/>
          <w:rtl/>
        </w:rPr>
        <w:t>(מ-6.9 מיליון ל-8.6 מיליון תנועות בגבול).</w:t>
      </w:r>
      <w:r w:rsidRPr="00A21F5C">
        <w:rPr>
          <w:rFonts w:cs="David" w:hint="cs"/>
          <w:rtl/>
        </w:rPr>
        <w:t xml:space="preserve"> </w:t>
      </w:r>
    </w:p>
    <w:p w:rsidR="002D0C59" w:rsidRPr="00A21F5C" w:rsidP="00AE0BE6" w14:paraId="1B2D7C90" w14:textId="77777777">
      <w:pPr>
        <w:pStyle w:val="a"/>
        <w:spacing w:line="269" w:lineRule="auto"/>
      </w:pPr>
    </w:p>
    <w:p w:rsidR="002D0C59" w:rsidRPr="00D83F39" w:rsidP="00AE0BE6" w14:paraId="3B1054FD" w14:textId="77777777">
      <w:pPr>
        <w:pStyle w:val="ListParagraph"/>
        <w:numPr>
          <w:ilvl w:val="0"/>
          <w:numId w:val="5"/>
        </w:numPr>
        <w:spacing w:after="0" w:line="269" w:lineRule="auto"/>
        <w:jc w:val="both"/>
        <w:rPr>
          <w:rFonts w:cs="David"/>
          <w:sz w:val="24"/>
          <w:szCs w:val="24"/>
        </w:rPr>
      </w:pPr>
      <w:r w:rsidRPr="00D83F39">
        <w:rPr>
          <w:rFonts w:cs="David" w:hint="cs"/>
          <w:sz w:val="24"/>
          <w:szCs w:val="24"/>
          <w:rtl/>
        </w:rPr>
        <w:t>את ה</w:t>
      </w:r>
      <w:r w:rsidRPr="00D83F39">
        <w:rPr>
          <w:rFonts w:cs="David"/>
          <w:sz w:val="24"/>
          <w:szCs w:val="24"/>
          <w:rtl/>
        </w:rPr>
        <w:t>בקרה על תנועת העוברים ב</w:t>
      </w:r>
      <w:r w:rsidRPr="00D83F39">
        <w:rPr>
          <w:rFonts w:cs="David" w:hint="cs"/>
          <w:sz w:val="24"/>
          <w:szCs w:val="24"/>
          <w:rtl/>
        </w:rPr>
        <w:t>מע</w:t>
      </w:r>
      <w:r w:rsidRPr="00D83F39">
        <w:rPr>
          <w:rFonts w:cs="David"/>
          <w:sz w:val="24"/>
          <w:szCs w:val="24"/>
          <w:rtl/>
        </w:rPr>
        <w:t>ברי הגבול הבי</w:t>
      </w:r>
      <w:r w:rsidRPr="00D83F39">
        <w:rPr>
          <w:rFonts w:cs="David" w:hint="cs"/>
          <w:sz w:val="24"/>
          <w:szCs w:val="24"/>
          <w:rtl/>
        </w:rPr>
        <w:t>ן-</w:t>
      </w:r>
      <w:r w:rsidRPr="00D83F39">
        <w:rPr>
          <w:rFonts w:cs="David"/>
          <w:sz w:val="24"/>
          <w:szCs w:val="24"/>
          <w:rtl/>
        </w:rPr>
        <w:t>לאומיים</w:t>
      </w:r>
      <w:r w:rsidRPr="00D83F39">
        <w:rPr>
          <w:rFonts w:cs="David" w:hint="cs"/>
          <w:sz w:val="24"/>
          <w:szCs w:val="24"/>
          <w:rtl/>
        </w:rPr>
        <w:t xml:space="preserve"> מבצע מינהל ביקורת הגבולות ברשות האוכלוסין באמצעות בקרי גבול </w:t>
      </w:r>
      <w:r w:rsidRPr="00D83F39">
        <w:rPr>
          <w:rFonts w:cs="David" w:hint="cs"/>
          <w:sz w:val="24"/>
          <w:szCs w:val="24"/>
          <w:rtl/>
        </w:rPr>
        <w:t>שמ</w:t>
      </w:r>
      <w:r>
        <w:rPr>
          <w:rFonts w:cs="David" w:hint="cs"/>
          <w:sz w:val="24"/>
          <w:szCs w:val="24"/>
          <w:rtl/>
        </w:rPr>
        <w:t>י</w:t>
      </w:r>
      <w:r w:rsidRPr="00D83F39">
        <w:rPr>
          <w:rFonts w:cs="David" w:hint="cs"/>
          <w:sz w:val="24"/>
          <w:szCs w:val="24"/>
          <w:rtl/>
        </w:rPr>
        <w:t>נ</w:t>
      </w:r>
      <w:r>
        <w:rPr>
          <w:rFonts w:cs="David" w:hint="cs"/>
          <w:sz w:val="24"/>
          <w:szCs w:val="24"/>
          <w:rtl/>
        </w:rPr>
        <w:t>ה</w:t>
      </w:r>
      <w:r w:rsidRPr="00D83F39">
        <w:rPr>
          <w:rFonts w:cs="David" w:hint="cs"/>
          <w:sz w:val="24"/>
          <w:szCs w:val="24"/>
          <w:rtl/>
        </w:rPr>
        <w:t xml:space="preserve"> שר הפנים. בתרשים שלהלן מפורטים נתונים על תקציב המינהל (לרבות ביצוע התקציב) ועל מספר המשרות בתקן</w:t>
      </w:r>
      <w:r>
        <w:rPr>
          <w:rStyle w:val="FootnoteReference1"/>
          <w:rFonts w:cs="David"/>
          <w:sz w:val="24"/>
          <w:szCs w:val="24"/>
          <w:rtl/>
        </w:rPr>
        <w:footnoteReference w:id="5"/>
      </w:r>
      <w:r>
        <w:rPr>
          <w:rFonts w:hint="cs"/>
          <w:rtl/>
        </w:rPr>
        <w:t xml:space="preserve"> </w:t>
      </w:r>
      <w:r w:rsidRPr="00D83F39">
        <w:rPr>
          <w:rFonts w:cs="David" w:hint="cs"/>
          <w:sz w:val="24"/>
          <w:szCs w:val="24"/>
          <w:rtl/>
        </w:rPr>
        <w:t>המינהל</w:t>
      </w:r>
      <w:r w:rsidRPr="007F3E5A">
        <w:rPr>
          <w:rtl/>
        </w:rPr>
        <w:t xml:space="preserve"> </w:t>
      </w:r>
      <w:r w:rsidRPr="00D83F39">
        <w:rPr>
          <w:rFonts w:cs="David" w:hint="cs"/>
          <w:sz w:val="24"/>
          <w:szCs w:val="24"/>
          <w:rtl/>
        </w:rPr>
        <w:t xml:space="preserve">בשנים 2015 </w:t>
      </w:r>
      <w:r>
        <w:rPr>
          <w:rFonts w:cs="David" w:hint="cs"/>
          <w:sz w:val="24"/>
          <w:szCs w:val="24"/>
          <w:rtl/>
        </w:rPr>
        <w:t>עד</w:t>
      </w:r>
      <w:r w:rsidRPr="00D83F39">
        <w:rPr>
          <w:rFonts w:cs="David" w:hint="cs"/>
          <w:sz w:val="24"/>
          <w:szCs w:val="24"/>
          <w:rtl/>
        </w:rPr>
        <w:t xml:space="preserve"> 2018. </w:t>
      </w:r>
    </w:p>
    <w:p w:rsidR="002D0C59" w:rsidP="00AE0BE6" w14:paraId="1D9F16BA" w14:textId="77777777">
      <w:pPr>
        <w:pStyle w:val="a"/>
        <w:spacing w:line="269" w:lineRule="auto"/>
        <w:rPr>
          <w:rtl/>
        </w:rPr>
      </w:pPr>
    </w:p>
    <w:p w:rsidR="002D0C59" w:rsidRPr="00494BFF" w:rsidP="00404B2A" w14:paraId="7B37B1DD" w14:textId="77777777">
      <w:pPr>
        <w:spacing w:after="120" w:line="269" w:lineRule="auto"/>
        <w:jc w:val="center"/>
        <w:rPr>
          <w:sz w:val="24"/>
          <w:rtl/>
        </w:rPr>
      </w:pPr>
      <w:r w:rsidRPr="00494BFF">
        <w:rPr>
          <w:rFonts w:hint="cs"/>
          <w:b/>
          <w:bCs/>
          <w:sz w:val="24"/>
          <w:rtl/>
        </w:rPr>
        <w:t xml:space="preserve">תרשים </w:t>
      </w:r>
      <w:r>
        <w:rPr>
          <w:rFonts w:hint="cs"/>
          <w:b/>
          <w:bCs/>
          <w:sz w:val="24"/>
          <w:rtl/>
        </w:rPr>
        <w:t>3</w:t>
      </w:r>
      <w:r w:rsidRPr="00494BFF">
        <w:rPr>
          <w:rFonts w:hint="cs"/>
          <w:b/>
          <w:bCs/>
          <w:sz w:val="24"/>
          <w:rtl/>
        </w:rPr>
        <w:t>:</w:t>
      </w:r>
      <w:r w:rsidR="00EC0F52">
        <w:rPr>
          <w:rFonts w:hint="cs"/>
          <w:b/>
          <w:bCs/>
          <w:sz w:val="24"/>
          <w:rtl/>
        </w:rPr>
        <w:t xml:space="preserve"> </w:t>
      </w:r>
      <w:r w:rsidRPr="00494BFF">
        <w:rPr>
          <w:rFonts w:hint="eastAsia"/>
          <w:b/>
          <w:bCs/>
          <w:sz w:val="24"/>
          <w:rtl/>
        </w:rPr>
        <w:t>תקציב</w:t>
      </w:r>
      <w:r w:rsidRPr="00494BFF">
        <w:rPr>
          <w:rFonts w:hint="cs"/>
          <w:b/>
          <w:bCs/>
          <w:sz w:val="24"/>
          <w:rtl/>
        </w:rPr>
        <w:t xml:space="preserve"> מינהל ביקורת הגבולות ומספר המשרות בתקן המינהל,</w:t>
      </w:r>
      <w:r w:rsidRPr="00494BFF">
        <w:rPr>
          <w:b/>
          <w:bCs/>
          <w:sz w:val="24"/>
          <w:rtl/>
        </w:rPr>
        <w:t xml:space="preserve"> </w:t>
      </w:r>
      <w:r w:rsidRPr="00494BFF">
        <w:rPr>
          <w:rFonts w:hint="cs"/>
          <w:b/>
          <w:bCs/>
          <w:sz w:val="24"/>
          <w:rtl/>
        </w:rPr>
        <w:t>2015 - 2018</w:t>
      </w:r>
    </w:p>
    <w:p w:rsidR="002D0C59" w:rsidRPr="00A21F5C" w:rsidP="00AE0BE6" w14:paraId="22AF5263" w14:textId="77777777">
      <w:pPr>
        <w:spacing w:line="269" w:lineRule="auto"/>
        <w:jc w:val="center"/>
        <w:rPr>
          <w:rtl/>
        </w:rPr>
      </w:pPr>
      <w:r w:rsidRPr="00A914F0">
        <w:rPr>
          <w:noProof/>
          <w:rtl/>
        </w:rPr>
        <w:drawing>
          <wp:inline distT="0" distB="0" distL="0" distR="0">
            <wp:extent cx="5220335" cy="2774950"/>
            <wp:effectExtent l="0" t="0" r="0" b="635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45439" name="Picture 4"/>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2774950"/>
                    </a:xfrm>
                    <a:prstGeom prst="rect">
                      <a:avLst/>
                    </a:prstGeom>
                    <a:noFill/>
                    <a:ln>
                      <a:noFill/>
                    </a:ln>
                  </pic:spPr>
                </pic:pic>
              </a:graphicData>
            </a:graphic>
          </wp:inline>
        </w:drawing>
      </w:r>
    </w:p>
    <w:p w:rsidR="002D0C59" w:rsidP="00404B2A" w14:paraId="3AF87768" w14:textId="77777777">
      <w:pPr>
        <w:spacing w:before="120" w:line="269" w:lineRule="auto"/>
        <w:rPr>
          <w:rtl/>
        </w:rPr>
      </w:pPr>
      <w:r w:rsidRPr="007B0306">
        <w:rPr>
          <w:rFonts w:hint="eastAsia"/>
          <w:sz w:val="16"/>
          <w:szCs w:val="20"/>
          <w:rtl/>
        </w:rPr>
        <w:t>המקור</w:t>
      </w:r>
      <w:r w:rsidRPr="007B0306">
        <w:rPr>
          <w:sz w:val="16"/>
          <w:szCs w:val="20"/>
          <w:rtl/>
        </w:rPr>
        <w:t xml:space="preserve">: </w:t>
      </w:r>
      <w:r w:rsidRPr="007B0306">
        <w:rPr>
          <w:rFonts w:hint="eastAsia"/>
          <w:sz w:val="16"/>
          <w:szCs w:val="20"/>
          <w:rtl/>
        </w:rPr>
        <w:t>נתוני</w:t>
      </w:r>
      <w:r w:rsidRPr="007B0306">
        <w:rPr>
          <w:sz w:val="16"/>
          <w:szCs w:val="20"/>
          <w:rtl/>
        </w:rPr>
        <w:t xml:space="preserve"> </w:t>
      </w:r>
      <w:r w:rsidRPr="007B0306">
        <w:rPr>
          <w:rFonts w:hint="eastAsia"/>
          <w:sz w:val="16"/>
          <w:szCs w:val="20"/>
          <w:rtl/>
        </w:rPr>
        <w:t>רשות</w:t>
      </w:r>
      <w:r w:rsidRPr="007B0306">
        <w:rPr>
          <w:sz w:val="16"/>
          <w:szCs w:val="20"/>
          <w:rtl/>
        </w:rPr>
        <w:t xml:space="preserve"> </w:t>
      </w:r>
      <w:r w:rsidRPr="007B0306">
        <w:rPr>
          <w:rFonts w:hint="eastAsia"/>
          <w:sz w:val="16"/>
          <w:szCs w:val="20"/>
          <w:rtl/>
        </w:rPr>
        <w:t>האוכלוסין</w:t>
      </w:r>
      <w:r w:rsidRPr="007B0306">
        <w:rPr>
          <w:rFonts w:hint="cs"/>
          <w:sz w:val="16"/>
          <w:szCs w:val="20"/>
          <w:rtl/>
        </w:rPr>
        <w:t xml:space="preserve">, בעיבוד משרד מבקר </w:t>
      </w:r>
      <w:r w:rsidRPr="007B0306">
        <w:rPr>
          <w:rFonts w:hint="cs"/>
          <w:sz w:val="16"/>
          <w:szCs w:val="20"/>
          <w:rtl/>
        </w:rPr>
        <w:t>המדינה.</w:t>
      </w:r>
    </w:p>
    <w:p w:rsidR="00A914F0" w:rsidP="00404B2A" w14:paraId="6909A9A5" w14:textId="77777777">
      <w:pPr>
        <w:spacing w:before="120" w:line="269" w:lineRule="auto"/>
        <w:rPr>
          <w:rtl/>
        </w:rPr>
      </w:pPr>
    </w:p>
    <w:p w:rsidR="00850216" w:rsidP="00AE0BE6" w14:paraId="32BE091E" w14:textId="77777777">
      <w:pPr>
        <w:bidi w:val="0"/>
        <w:spacing w:line="269" w:lineRule="auto"/>
      </w:pPr>
      <w:r>
        <w:rPr>
          <w:rtl/>
        </w:rPr>
        <w:br w:type="page"/>
      </w:r>
    </w:p>
    <w:p w:rsidR="002D0C59" w:rsidP="00404B2A" w14:paraId="3F708623" w14:textId="77777777">
      <w:pPr>
        <w:spacing w:after="120" w:line="269" w:lineRule="auto"/>
        <w:jc w:val="center"/>
        <w:rPr>
          <w:sz w:val="24"/>
          <w:rtl/>
        </w:rPr>
      </w:pPr>
      <w:r w:rsidRPr="00E37C41">
        <w:rPr>
          <w:rFonts w:hint="eastAsia"/>
          <w:b/>
          <w:bCs/>
          <w:sz w:val="24"/>
          <w:rtl/>
        </w:rPr>
        <w:t>תרשים</w:t>
      </w:r>
      <w:r w:rsidRPr="00E37C41">
        <w:rPr>
          <w:b/>
          <w:bCs/>
          <w:sz w:val="24"/>
          <w:rtl/>
        </w:rPr>
        <w:t xml:space="preserve"> </w:t>
      </w:r>
      <w:r>
        <w:rPr>
          <w:rFonts w:hint="cs"/>
          <w:b/>
          <w:bCs/>
          <w:sz w:val="24"/>
          <w:rtl/>
        </w:rPr>
        <w:t>4</w:t>
      </w:r>
      <w:r w:rsidRPr="00E37C41">
        <w:rPr>
          <w:b/>
          <w:bCs/>
          <w:sz w:val="24"/>
          <w:rtl/>
        </w:rPr>
        <w:t xml:space="preserve">: </w:t>
      </w:r>
      <w:r w:rsidRPr="00E37C41">
        <w:rPr>
          <w:rFonts w:hint="eastAsia"/>
          <w:b/>
          <w:bCs/>
          <w:sz w:val="24"/>
          <w:rtl/>
        </w:rPr>
        <w:t>מספר</w:t>
      </w:r>
      <w:r w:rsidRPr="00E37C41">
        <w:rPr>
          <w:b/>
          <w:bCs/>
          <w:sz w:val="24"/>
          <w:rtl/>
        </w:rPr>
        <w:t xml:space="preserve"> משרות העובדים </w:t>
      </w:r>
      <w:r w:rsidRPr="00E37C41">
        <w:rPr>
          <w:rFonts w:hint="cs"/>
          <w:b/>
          <w:bCs/>
          <w:sz w:val="24"/>
          <w:rtl/>
        </w:rPr>
        <w:t>בתקן מינהל ביקורת הגבולות ומספר ה</w:t>
      </w:r>
      <w:r w:rsidRPr="00E37C41">
        <w:rPr>
          <w:b/>
          <w:bCs/>
          <w:sz w:val="24"/>
          <w:rtl/>
        </w:rPr>
        <w:t xml:space="preserve">תנועות במעברי </w:t>
      </w:r>
      <w:r w:rsidRPr="00E37C41">
        <w:rPr>
          <w:rFonts w:hint="cs"/>
          <w:b/>
          <w:bCs/>
          <w:sz w:val="24"/>
          <w:rtl/>
        </w:rPr>
        <w:t>ה</w:t>
      </w:r>
      <w:r w:rsidRPr="00E37C41">
        <w:rPr>
          <w:b/>
          <w:bCs/>
          <w:sz w:val="24"/>
          <w:rtl/>
        </w:rPr>
        <w:t>גבול</w:t>
      </w:r>
      <w:r>
        <w:rPr>
          <w:rFonts w:hint="cs"/>
          <w:b/>
          <w:bCs/>
          <w:sz w:val="24"/>
          <w:rtl/>
        </w:rPr>
        <w:t>,</w:t>
      </w:r>
      <w:r w:rsidR="00EC0F52">
        <w:rPr>
          <w:rFonts w:hint="cs"/>
          <w:b/>
          <w:bCs/>
          <w:sz w:val="24"/>
          <w:rtl/>
        </w:rPr>
        <w:t xml:space="preserve"> </w:t>
      </w:r>
      <w:r w:rsidRPr="00E37C41">
        <w:rPr>
          <w:b/>
          <w:bCs/>
          <w:sz w:val="24"/>
          <w:rtl/>
        </w:rPr>
        <w:t>201</w:t>
      </w:r>
      <w:r w:rsidRPr="00E37C41">
        <w:rPr>
          <w:rFonts w:hint="cs"/>
          <w:b/>
          <w:bCs/>
          <w:sz w:val="24"/>
          <w:rtl/>
        </w:rPr>
        <w:t xml:space="preserve">5 </w:t>
      </w:r>
      <w:r w:rsidRPr="00E37C41">
        <w:rPr>
          <w:b/>
          <w:bCs/>
          <w:sz w:val="24"/>
          <w:rtl/>
        </w:rPr>
        <w:t>-</w:t>
      </w:r>
      <w:r w:rsidRPr="00E37C41">
        <w:rPr>
          <w:rFonts w:hint="cs"/>
          <w:b/>
          <w:bCs/>
          <w:sz w:val="24"/>
          <w:rtl/>
        </w:rPr>
        <w:t xml:space="preserve"> </w:t>
      </w:r>
      <w:r w:rsidRPr="00E37C41">
        <w:rPr>
          <w:b/>
          <w:bCs/>
          <w:sz w:val="24"/>
          <w:rtl/>
        </w:rPr>
        <w:t>201</w:t>
      </w:r>
      <w:r w:rsidRPr="00E37C41">
        <w:rPr>
          <w:rFonts w:hint="cs"/>
          <w:b/>
          <w:bCs/>
          <w:sz w:val="24"/>
          <w:rtl/>
        </w:rPr>
        <w:t>8</w:t>
      </w:r>
    </w:p>
    <w:p w:rsidR="002D0C59" w:rsidRPr="00AD6AC7" w:rsidP="00AE0BE6" w14:paraId="5AD6B611" w14:textId="77777777">
      <w:pPr>
        <w:spacing w:line="269" w:lineRule="auto"/>
        <w:rPr>
          <w:sz w:val="24"/>
          <w:rtl/>
        </w:rPr>
      </w:pPr>
      <w:r w:rsidRPr="000E24BC">
        <w:rPr>
          <w:noProof/>
          <w:rtl/>
        </w:rPr>
        <w:drawing>
          <wp:inline distT="0" distB="0" distL="0" distR="0">
            <wp:extent cx="5220335" cy="2966720"/>
            <wp:effectExtent l="0" t="0" r="0" b="508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38794" name="Picture 6"/>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2966720"/>
                    </a:xfrm>
                    <a:prstGeom prst="rect">
                      <a:avLst/>
                    </a:prstGeom>
                    <a:noFill/>
                    <a:ln>
                      <a:noFill/>
                    </a:ln>
                  </pic:spPr>
                </pic:pic>
              </a:graphicData>
            </a:graphic>
          </wp:inline>
        </w:drawing>
      </w:r>
    </w:p>
    <w:p w:rsidR="002D0C59" w:rsidP="00404B2A" w14:paraId="7A13A3B5" w14:textId="77777777">
      <w:pPr>
        <w:spacing w:before="120" w:line="269" w:lineRule="auto"/>
        <w:rPr>
          <w:rtl/>
        </w:rPr>
      </w:pPr>
      <w:r w:rsidRPr="007B0306">
        <w:rPr>
          <w:rFonts w:hint="eastAsia"/>
          <w:sz w:val="16"/>
          <w:szCs w:val="20"/>
          <w:rtl/>
        </w:rPr>
        <w:t>המקור</w:t>
      </w:r>
      <w:r w:rsidRPr="007B0306">
        <w:rPr>
          <w:sz w:val="16"/>
          <w:szCs w:val="20"/>
          <w:rtl/>
        </w:rPr>
        <w:t xml:space="preserve">: </w:t>
      </w:r>
      <w:r w:rsidRPr="007B0306">
        <w:rPr>
          <w:rFonts w:hint="eastAsia"/>
          <w:sz w:val="16"/>
          <w:szCs w:val="20"/>
          <w:rtl/>
        </w:rPr>
        <w:t>נתוני</w:t>
      </w:r>
      <w:r w:rsidRPr="007B0306">
        <w:rPr>
          <w:sz w:val="16"/>
          <w:szCs w:val="20"/>
          <w:rtl/>
        </w:rPr>
        <w:t xml:space="preserve"> </w:t>
      </w:r>
      <w:r w:rsidRPr="007B0306">
        <w:rPr>
          <w:rFonts w:hint="eastAsia"/>
          <w:sz w:val="16"/>
          <w:szCs w:val="20"/>
          <w:rtl/>
        </w:rPr>
        <w:t>רשות</w:t>
      </w:r>
      <w:r w:rsidRPr="007B0306">
        <w:rPr>
          <w:sz w:val="16"/>
          <w:szCs w:val="20"/>
          <w:rtl/>
        </w:rPr>
        <w:t xml:space="preserve"> </w:t>
      </w:r>
      <w:r w:rsidRPr="007B0306">
        <w:rPr>
          <w:rFonts w:hint="eastAsia"/>
          <w:sz w:val="16"/>
          <w:szCs w:val="20"/>
          <w:rtl/>
        </w:rPr>
        <w:t>האוכלוסין</w:t>
      </w:r>
      <w:r w:rsidRPr="007B0306">
        <w:rPr>
          <w:rFonts w:hint="cs"/>
          <w:sz w:val="16"/>
          <w:szCs w:val="20"/>
          <w:rtl/>
        </w:rPr>
        <w:t xml:space="preserve">, בעיבוד משרד מבקר המדינה. </w:t>
      </w:r>
    </w:p>
    <w:p w:rsidR="000E24BC" w:rsidRPr="002D0C59" w:rsidP="00404B2A" w14:paraId="5E7C486B" w14:textId="77777777">
      <w:pPr>
        <w:spacing w:before="120" w:line="269" w:lineRule="auto"/>
        <w:rPr>
          <w:rtl/>
        </w:rPr>
      </w:pPr>
    </w:p>
    <w:p w:rsidR="002D0C59" w:rsidP="00AE0BE6" w14:paraId="60F31FD7" w14:textId="77777777">
      <w:pPr>
        <w:pStyle w:val="a"/>
        <w:spacing w:line="269" w:lineRule="auto"/>
        <w:rPr>
          <w:rtl/>
        </w:rPr>
      </w:pPr>
    </w:p>
    <w:p w:rsidR="002D0C59" w:rsidP="00AE0BE6" w14:paraId="6A195551" w14:textId="77777777">
      <w:pPr>
        <w:spacing w:line="269" w:lineRule="auto"/>
        <w:rPr>
          <w:rtl/>
        </w:rPr>
      </w:pPr>
      <w:r w:rsidRPr="001F14EB">
        <w:rPr>
          <w:rFonts w:hint="eastAsia"/>
          <w:sz w:val="24"/>
          <w:rtl/>
        </w:rPr>
        <w:t>מהתרשים</w:t>
      </w:r>
      <w:r w:rsidRPr="001F14EB">
        <w:rPr>
          <w:sz w:val="24"/>
          <w:rtl/>
        </w:rPr>
        <w:t xml:space="preserve"> </w:t>
      </w:r>
      <w:r w:rsidRPr="001F14EB">
        <w:rPr>
          <w:rFonts w:hint="eastAsia"/>
          <w:sz w:val="24"/>
          <w:rtl/>
        </w:rPr>
        <w:t>עולה</w:t>
      </w:r>
      <w:r w:rsidRPr="001F14EB">
        <w:rPr>
          <w:sz w:val="24"/>
          <w:rtl/>
        </w:rPr>
        <w:t xml:space="preserve"> </w:t>
      </w:r>
      <w:r w:rsidRPr="001F14EB">
        <w:rPr>
          <w:rFonts w:hint="eastAsia"/>
          <w:sz w:val="24"/>
          <w:rtl/>
        </w:rPr>
        <w:t>כי</w:t>
      </w:r>
      <w:r w:rsidRPr="001F14EB">
        <w:rPr>
          <w:sz w:val="24"/>
          <w:rtl/>
        </w:rPr>
        <w:t xml:space="preserve"> </w:t>
      </w:r>
      <w:r w:rsidRPr="001F14EB">
        <w:rPr>
          <w:rFonts w:hint="eastAsia"/>
          <w:sz w:val="24"/>
          <w:rtl/>
        </w:rPr>
        <w:t>בשנים</w:t>
      </w:r>
      <w:r w:rsidRPr="001F14EB">
        <w:rPr>
          <w:sz w:val="24"/>
          <w:rtl/>
        </w:rPr>
        <w:t xml:space="preserve"> 2015 עד 2018 </w:t>
      </w:r>
      <w:r w:rsidRPr="001F14EB">
        <w:rPr>
          <w:rFonts w:hint="eastAsia"/>
          <w:sz w:val="24"/>
          <w:rtl/>
        </w:rPr>
        <w:t>גדל</w:t>
      </w:r>
      <w:r w:rsidRPr="001F14EB">
        <w:rPr>
          <w:sz w:val="24"/>
          <w:rtl/>
        </w:rPr>
        <w:t xml:space="preserve"> </w:t>
      </w:r>
      <w:r w:rsidRPr="006A4021">
        <w:rPr>
          <w:rFonts w:hint="eastAsia"/>
          <w:sz w:val="24"/>
          <w:rtl/>
        </w:rPr>
        <w:t>גם</w:t>
      </w:r>
      <w:r w:rsidRPr="006A4021">
        <w:rPr>
          <w:sz w:val="24"/>
          <w:rtl/>
        </w:rPr>
        <w:t xml:space="preserve"> </w:t>
      </w:r>
      <w:r w:rsidRPr="001F14EB">
        <w:rPr>
          <w:rFonts w:hint="eastAsia"/>
          <w:sz w:val="24"/>
          <w:rtl/>
        </w:rPr>
        <w:t>מספר</w:t>
      </w:r>
      <w:r w:rsidRPr="001F14EB">
        <w:rPr>
          <w:sz w:val="24"/>
          <w:rtl/>
        </w:rPr>
        <w:t xml:space="preserve"> </w:t>
      </w:r>
      <w:r w:rsidRPr="001F14EB">
        <w:rPr>
          <w:rFonts w:hint="eastAsia"/>
          <w:sz w:val="24"/>
          <w:rtl/>
        </w:rPr>
        <w:t>התנועות</w:t>
      </w:r>
      <w:r w:rsidRPr="001F14EB">
        <w:rPr>
          <w:sz w:val="24"/>
          <w:rtl/>
        </w:rPr>
        <w:t xml:space="preserve"> </w:t>
      </w:r>
      <w:r w:rsidRPr="001F14EB">
        <w:rPr>
          <w:rFonts w:hint="eastAsia"/>
          <w:sz w:val="24"/>
          <w:rtl/>
        </w:rPr>
        <w:t>במעברי</w:t>
      </w:r>
      <w:r w:rsidRPr="001F14EB">
        <w:rPr>
          <w:sz w:val="24"/>
          <w:rtl/>
        </w:rPr>
        <w:t xml:space="preserve"> </w:t>
      </w:r>
      <w:r w:rsidRPr="001F14EB">
        <w:rPr>
          <w:rFonts w:hint="eastAsia"/>
          <w:sz w:val="24"/>
          <w:rtl/>
        </w:rPr>
        <w:t>הגבול</w:t>
      </w:r>
      <w:r w:rsidRPr="001F14EB">
        <w:rPr>
          <w:sz w:val="24"/>
          <w:rtl/>
        </w:rPr>
        <w:t xml:space="preserve"> </w:t>
      </w:r>
      <w:r w:rsidRPr="001F14EB">
        <w:rPr>
          <w:rFonts w:hint="eastAsia"/>
          <w:sz w:val="24"/>
          <w:rtl/>
        </w:rPr>
        <w:t>ב</w:t>
      </w:r>
      <w:r w:rsidRPr="001F14EB">
        <w:rPr>
          <w:sz w:val="24"/>
          <w:rtl/>
        </w:rPr>
        <w:t>-44%</w:t>
      </w:r>
      <w:r>
        <w:rPr>
          <w:rFonts w:hint="cs"/>
          <w:sz w:val="24"/>
          <w:rtl/>
        </w:rPr>
        <w:t xml:space="preserve">. באותה תקופה </w:t>
      </w:r>
      <w:r w:rsidRPr="001F14EB">
        <w:rPr>
          <w:rFonts w:hint="eastAsia"/>
          <w:sz w:val="24"/>
          <w:rtl/>
        </w:rPr>
        <w:t>גדל</w:t>
      </w:r>
      <w:r w:rsidRPr="001F14EB">
        <w:rPr>
          <w:sz w:val="24"/>
          <w:rtl/>
        </w:rPr>
        <w:t xml:space="preserve"> </w:t>
      </w:r>
      <w:r w:rsidRPr="001F14EB">
        <w:rPr>
          <w:rFonts w:hint="eastAsia"/>
          <w:sz w:val="24"/>
          <w:rtl/>
        </w:rPr>
        <w:t>מספר</w:t>
      </w:r>
      <w:r w:rsidRPr="001F14EB">
        <w:rPr>
          <w:sz w:val="24"/>
          <w:rtl/>
        </w:rPr>
        <w:t xml:space="preserve"> </w:t>
      </w:r>
      <w:r w:rsidRPr="001F14EB">
        <w:rPr>
          <w:rFonts w:hint="eastAsia"/>
          <w:sz w:val="24"/>
          <w:rtl/>
        </w:rPr>
        <w:t>המשרות</w:t>
      </w:r>
      <w:r w:rsidRPr="001F14EB">
        <w:rPr>
          <w:sz w:val="24"/>
          <w:rtl/>
        </w:rPr>
        <w:t xml:space="preserve"> </w:t>
      </w:r>
      <w:r w:rsidRPr="001F14EB">
        <w:rPr>
          <w:rFonts w:hint="eastAsia"/>
          <w:sz w:val="24"/>
          <w:rtl/>
        </w:rPr>
        <w:t>בתקן</w:t>
      </w:r>
      <w:r w:rsidRPr="001F14EB">
        <w:rPr>
          <w:sz w:val="24"/>
          <w:rtl/>
        </w:rPr>
        <w:t xml:space="preserve"> </w:t>
      </w:r>
      <w:r>
        <w:rPr>
          <w:rFonts w:hint="cs"/>
          <w:sz w:val="24"/>
          <w:rtl/>
        </w:rPr>
        <w:t xml:space="preserve">של </w:t>
      </w:r>
      <w:r w:rsidRPr="001F14EB">
        <w:rPr>
          <w:rFonts w:hint="eastAsia"/>
          <w:sz w:val="24"/>
          <w:rtl/>
        </w:rPr>
        <w:t>מינהל</w:t>
      </w:r>
      <w:r w:rsidRPr="001F14EB">
        <w:rPr>
          <w:sz w:val="24"/>
          <w:rtl/>
        </w:rPr>
        <w:t xml:space="preserve"> ביקורת גבולות בשיעור של כ-25%</w:t>
      </w:r>
      <w:r>
        <w:rPr>
          <w:rFonts w:hint="cs"/>
          <w:rtl/>
        </w:rPr>
        <w:t>.</w:t>
      </w:r>
    </w:p>
    <w:p w:rsidR="00404B2A" w:rsidP="00404B2A" w14:paraId="68EAF8F0" w14:textId="77777777">
      <w:pPr>
        <w:pStyle w:val="a"/>
        <w:rPr>
          <w:rtl/>
        </w:rPr>
      </w:pPr>
    </w:p>
    <w:p w:rsidR="00404B2A" w:rsidP="00404B2A" w14:paraId="195CFA56" w14:textId="77777777">
      <w:pPr>
        <w:pStyle w:val="a"/>
        <w:rPr>
          <w:rtl/>
        </w:rPr>
      </w:pPr>
    </w:p>
    <w:p w:rsidR="002D0C59" w:rsidRPr="007A52FE" w:rsidP="00AE0BE6" w14:paraId="1EFC8558" w14:textId="77777777">
      <w:pPr>
        <w:pStyle w:val="Heading3"/>
        <w:spacing w:before="0" w:line="269" w:lineRule="auto"/>
        <w:rPr>
          <w:rtl/>
        </w:rPr>
      </w:pPr>
      <w:r w:rsidRPr="007A52FE">
        <w:rPr>
          <w:rFonts w:hint="cs"/>
          <w:rtl/>
        </w:rPr>
        <w:t>פעולות הביקורת</w:t>
      </w:r>
    </w:p>
    <w:p w:rsidR="002D0C59" w:rsidRPr="00A21F5C" w:rsidP="00AE0BE6" w14:paraId="58943B1D" w14:textId="77777777">
      <w:pPr>
        <w:pStyle w:val="a"/>
        <w:spacing w:line="269" w:lineRule="auto"/>
        <w:rPr>
          <w:rtl/>
        </w:rPr>
      </w:pPr>
    </w:p>
    <w:p w:rsidR="002D0C59" w:rsidP="00AE0BE6" w14:paraId="49AC9F93" w14:textId="77777777">
      <w:pPr>
        <w:spacing w:line="269" w:lineRule="auto"/>
        <w:rPr>
          <w:rtl/>
        </w:rPr>
      </w:pPr>
      <w:r w:rsidRPr="00073FED">
        <w:rPr>
          <w:sz w:val="24"/>
          <w:rtl/>
        </w:rPr>
        <w:t>בחודשים אפריל עד אוגוסט 2019 בדק משרד מבקר המדינה</w:t>
      </w:r>
      <w:r>
        <w:rPr>
          <w:rFonts w:hint="cs"/>
          <w:sz w:val="24"/>
          <w:rtl/>
        </w:rPr>
        <w:t xml:space="preserve"> את הנושאים האלה:</w:t>
      </w:r>
      <w:r w:rsidRPr="00073FED">
        <w:rPr>
          <w:sz w:val="24"/>
          <w:rtl/>
        </w:rPr>
        <w:t xml:space="preserve"> </w:t>
      </w:r>
      <w:r w:rsidR="00285FB9">
        <w:rPr>
          <w:rFonts w:hint="cs"/>
          <w:sz w:val="24"/>
          <w:rtl/>
        </w:rPr>
        <w:t>משך</w:t>
      </w:r>
      <w:r w:rsidRPr="00073FED" w:rsidR="00285FB9">
        <w:rPr>
          <w:rFonts w:hint="cs"/>
          <w:sz w:val="24"/>
          <w:rtl/>
        </w:rPr>
        <w:t xml:space="preserve"> </w:t>
      </w:r>
      <w:r w:rsidRPr="00073FED">
        <w:rPr>
          <w:rFonts w:hint="cs"/>
          <w:sz w:val="24"/>
          <w:rtl/>
        </w:rPr>
        <w:t>ההמתנה לביקורת הגבולות בנתב"ג</w:t>
      </w:r>
      <w:r>
        <w:rPr>
          <w:rFonts w:hint="cs"/>
          <w:sz w:val="24"/>
          <w:rtl/>
        </w:rPr>
        <w:t xml:space="preserve">; </w:t>
      </w:r>
      <w:r w:rsidRPr="000C6383">
        <w:rPr>
          <w:sz w:val="24"/>
          <w:rtl/>
        </w:rPr>
        <w:t>העמידה של רשות האוכלוסין באתגרי מערך ביקורת הגבולות</w:t>
      </w:r>
      <w:r>
        <w:rPr>
          <w:rFonts w:hint="cs"/>
          <w:sz w:val="24"/>
          <w:rtl/>
        </w:rPr>
        <w:t xml:space="preserve">; </w:t>
      </w:r>
      <w:r w:rsidRPr="00073FED">
        <w:rPr>
          <w:rFonts w:hint="cs"/>
          <w:sz w:val="24"/>
          <w:rtl/>
        </w:rPr>
        <w:t>הבקרה על ביקורת הגבולות</w:t>
      </w:r>
      <w:r>
        <w:rPr>
          <w:rFonts w:hint="cs"/>
          <w:sz w:val="24"/>
          <w:rtl/>
        </w:rPr>
        <w:t xml:space="preserve">; </w:t>
      </w:r>
      <w:r w:rsidRPr="00073FED">
        <w:rPr>
          <w:sz w:val="24"/>
          <w:rtl/>
        </w:rPr>
        <w:t xml:space="preserve">תשתיות </w:t>
      </w:r>
      <w:r w:rsidRPr="00073FED">
        <w:rPr>
          <w:rFonts w:hint="cs"/>
          <w:sz w:val="24"/>
          <w:rtl/>
        </w:rPr>
        <w:t xml:space="preserve">מידע </w:t>
      </w:r>
      <w:r w:rsidRPr="00073FED">
        <w:rPr>
          <w:sz w:val="24"/>
          <w:rtl/>
        </w:rPr>
        <w:t>ל</w:t>
      </w:r>
      <w:r w:rsidRPr="00073FED">
        <w:rPr>
          <w:rFonts w:hint="cs"/>
          <w:sz w:val="24"/>
          <w:rtl/>
        </w:rPr>
        <w:t>זיהוי נוסעים זרים ב</w:t>
      </w:r>
      <w:r w:rsidRPr="00073FED">
        <w:rPr>
          <w:sz w:val="24"/>
          <w:rtl/>
        </w:rPr>
        <w:t xml:space="preserve">ביקורת </w:t>
      </w:r>
      <w:r w:rsidRPr="00073FED">
        <w:rPr>
          <w:rFonts w:hint="cs"/>
          <w:sz w:val="24"/>
          <w:rtl/>
        </w:rPr>
        <w:t>ה</w:t>
      </w:r>
      <w:r w:rsidRPr="00073FED">
        <w:rPr>
          <w:sz w:val="24"/>
          <w:rtl/>
        </w:rPr>
        <w:t>גבולות</w:t>
      </w:r>
      <w:r w:rsidRPr="00073FED">
        <w:rPr>
          <w:rFonts w:hint="cs"/>
          <w:sz w:val="24"/>
          <w:rtl/>
        </w:rPr>
        <w:t>.</w:t>
      </w:r>
      <w:r w:rsidRPr="00073FED">
        <w:rPr>
          <w:sz w:val="24"/>
          <w:rtl/>
        </w:rPr>
        <w:t xml:space="preserve"> הבדיקה נעשתה ברשות האוכלוסין</w:t>
      </w:r>
      <w:r w:rsidRPr="00073FED">
        <w:rPr>
          <w:rFonts w:hint="cs"/>
          <w:sz w:val="24"/>
          <w:rtl/>
        </w:rPr>
        <w:t xml:space="preserve">. בדיקות השלמה נעשו ברש"ת, </w:t>
      </w:r>
      <w:r w:rsidRPr="00073FED">
        <w:rPr>
          <w:sz w:val="24"/>
          <w:rtl/>
        </w:rPr>
        <w:t>במטה לביטחון לאומי שבמשרד ראש הממשלה</w:t>
      </w:r>
      <w:r w:rsidRPr="00073FED">
        <w:rPr>
          <w:rFonts w:hint="cs"/>
          <w:sz w:val="24"/>
          <w:rtl/>
        </w:rPr>
        <w:t xml:space="preserve">, </w:t>
      </w:r>
      <w:r w:rsidRPr="00073FED">
        <w:rPr>
          <w:sz w:val="24"/>
          <w:rtl/>
        </w:rPr>
        <w:t>במשרד המשפטים ובמשטרת ישראל.</w:t>
      </w:r>
      <w:r w:rsidRPr="00FC36A8">
        <w:rPr>
          <w:rtl/>
        </w:rPr>
        <w:t xml:space="preserve"> </w:t>
      </w:r>
      <w:r w:rsidRPr="00FC36A8">
        <w:rPr>
          <w:sz w:val="24"/>
          <w:rtl/>
        </w:rPr>
        <w:t>יצוין ש</w:t>
      </w:r>
      <w:r>
        <w:rPr>
          <w:rFonts w:hint="cs"/>
          <w:sz w:val="24"/>
          <w:rtl/>
        </w:rPr>
        <w:t>הביקורת</w:t>
      </w:r>
      <w:r w:rsidRPr="00FC36A8">
        <w:rPr>
          <w:sz w:val="24"/>
          <w:rtl/>
        </w:rPr>
        <w:t xml:space="preserve"> עסק</w:t>
      </w:r>
      <w:r>
        <w:rPr>
          <w:rFonts w:hint="cs"/>
          <w:sz w:val="24"/>
          <w:rtl/>
        </w:rPr>
        <w:t>ה</w:t>
      </w:r>
      <w:r w:rsidRPr="00FC36A8">
        <w:rPr>
          <w:sz w:val="24"/>
          <w:rtl/>
        </w:rPr>
        <w:t xml:space="preserve"> בבדיקות של הנכנסים לארץ ו</w:t>
      </w:r>
      <w:r>
        <w:rPr>
          <w:rFonts w:hint="cs"/>
          <w:sz w:val="24"/>
          <w:rtl/>
        </w:rPr>
        <w:t>ה</w:t>
      </w:r>
      <w:r w:rsidRPr="00FC36A8">
        <w:rPr>
          <w:sz w:val="24"/>
          <w:rtl/>
        </w:rPr>
        <w:t>יוצאים ממנה בידי רשות האוכלוסין בלבד.</w:t>
      </w:r>
    </w:p>
    <w:p w:rsidR="00EE4EB4" w:rsidP="00404B2A" w14:paraId="7E72B4A6" w14:textId="77777777">
      <w:pPr>
        <w:pStyle w:val="a"/>
        <w:rPr>
          <w:rtl/>
        </w:rPr>
      </w:pPr>
    </w:p>
    <w:p w:rsidR="00F5466E" w:rsidP="00AE0BE6" w14:paraId="511A610C" w14:textId="77777777">
      <w:pPr>
        <w:pStyle w:val="Heading2"/>
        <w:spacing w:before="0" w:line="269" w:lineRule="auto"/>
        <w:rPr>
          <w:rtl/>
        </w:rPr>
      </w:pPr>
    </w:p>
    <w:p w:rsidR="002D0C59" w:rsidRPr="002D0C59" w:rsidP="00AE0BE6" w14:paraId="118933E0" w14:textId="18BACB6A">
      <w:pPr>
        <w:pStyle w:val="Heading2"/>
        <w:spacing w:before="0" w:line="269" w:lineRule="auto"/>
        <w:rPr>
          <w:rtl/>
        </w:rPr>
      </w:pPr>
      <w:r w:rsidRPr="002D0C59">
        <w:rPr>
          <w:rFonts w:hint="cs"/>
          <w:rtl/>
        </w:rPr>
        <w:t>מ</w:t>
      </w:r>
      <w:r w:rsidRPr="002D0C59">
        <w:rPr>
          <w:rFonts w:hint="cs"/>
          <w:rtl/>
        </w:rPr>
        <w:t>שך ההמתנה לביקורת הגבולות בנתב"ג</w:t>
      </w:r>
    </w:p>
    <w:p w:rsidR="002D0C59" w:rsidRPr="00A21F5C" w:rsidP="00AE0BE6" w14:paraId="5797DDAF" w14:textId="77777777">
      <w:pPr>
        <w:pStyle w:val="a"/>
        <w:spacing w:line="269" w:lineRule="auto"/>
      </w:pPr>
    </w:p>
    <w:p w:rsidR="002D0C59" w:rsidP="00AE0BE6" w14:paraId="78205D16" w14:textId="77777777">
      <w:pPr>
        <w:pStyle w:val="ListParagraph"/>
        <w:numPr>
          <w:ilvl w:val="0"/>
          <w:numId w:val="6"/>
        </w:numPr>
        <w:spacing w:after="0" w:line="269" w:lineRule="auto"/>
        <w:jc w:val="both"/>
        <w:rPr>
          <w:rFonts w:cs="David"/>
        </w:rPr>
      </w:pPr>
      <w:r w:rsidRPr="004A381F">
        <w:rPr>
          <w:rFonts w:cs="David" w:hint="cs"/>
          <w:sz w:val="24"/>
          <w:szCs w:val="24"/>
          <w:rtl/>
        </w:rPr>
        <w:t xml:space="preserve">ביקורת הגבולות כוללת אימות </w:t>
      </w:r>
      <w:r>
        <w:rPr>
          <w:rFonts w:cs="David" w:hint="cs"/>
          <w:sz w:val="24"/>
          <w:szCs w:val="24"/>
          <w:rtl/>
        </w:rPr>
        <w:t xml:space="preserve">של </w:t>
      </w:r>
      <w:r w:rsidRPr="004A381F">
        <w:rPr>
          <w:rFonts w:cs="David" w:hint="cs"/>
          <w:sz w:val="24"/>
          <w:szCs w:val="24"/>
          <w:rtl/>
        </w:rPr>
        <w:t>מסמכי הנסיעה של הנוסע</w:t>
      </w:r>
      <w:r>
        <w:rPr>
          <w:rFonts w:cs="David" w:hint="cs"/>
          <w:sz w:val="24"/>
          <w:szCs w:val="24"/>
          <w:rtl/>
        </w:rPr>
        <w:t>,</w:t>
      </w:r>
      <w:r w:rsidRPr="004A381F">
        <w:rPr>
          <w:rFonts w:cs="David" w:hint="cs"/>
          <w:sz w:val="24"/>
          <w:szCs w:val="24"/>
          <w:rtl/>
        </w:rPr>
        <w:t xml:space="preserve"> וידוא שהם תקפים ובדיקה אם יש מניעה לכניסתו לארץ או ליציאתו ממנה, כאמור. </w:t>
      </w:r>
      <w:r>
        <w:rPr>
          <w:rFonts w:cs="David" w:hint="cs"/>
          <w:sz w:val="24"/>
          <w:szCs w:val="24"/>
          <w:rtl/>
        </w:rPr>
        <w:t xml:space="preserve">אם </w:t>
      </w:r>
      <w:r w:rsidRPr="004A381F">
        <w:rPr>
          <w:rFonts w:cs="David" w:hint="cs"/>
          <w:sz w:val="24"/>
          <w:szCs w:val="24"/>
          <w:rtl/>
        </w:rPr>
        <w:t>הנוסע הוא נתין מדינה שנתיניה זקוקים לאשרת כניסה לישראל</w:t>
      </w:r>
      <w:r>
        <w:rPr>
          <w:rStyle w:val="FootnoteReference1"/>
          <w:rFonts w:cs="David"/>
          <w:sz w:val="24"/>
          <w:szCs w:val="24"/>
          <w:rtl/>
        </w:rPr>
        <w:footnoteReference w:id="6"/>
      </w:r>
      <w:r w:rsidRPr="004A381F">
        <w:rPr>
          <w:rFonts w:cs="David" w:hint="cs"/>
          <w:sz w:val="24"/>
          <w:szCs w:val="24"/>
          <w:rtl/>
        </w:rPr>
        <w:t xml:space="preserve">, נבדק גם אם ברשותו אשרה </w:t>
      </w:r>
      <w:r>
        <w:rPr>
          <w:rFonts w:cs="David" w:hint="cs"/>
          <w:sz w:val="24"/>
          <w:szCs w:val="24"/>
          <w:rtl/>
        </w:rPr>
        <w:t>תקפה</w:t>
      </w:r>
      <w:r w:rsidRPr="004A381F">
        <w:rPr>
          <w:rFonts w:cs="David" w:hint="cs"/>
          <w:sz w:val="24"/>
          <w:szCs w:val="24"/>
          <w:rtl/>
        </w:rPr>
        <w:t xml:space="preserve">. עד שנת </w:t>
      </w:r>
      <w:r w:rsidRPr="004A381F">
        <w:rPr>
          <w:rFonts w:cs="David" w:hint="cs"/>
          <w:sz w:val="24"/>
          <w:szCs w:val="24"/>
          <w:rtl/>
        </w:rPr>
        <w:t>2009 נעשו הבדיקות ש</w:t>
      </w:r>
      <w:r>
        <w:rPr>
          <w:rFonts w:cs="David" w:hint="cs"/>
          <w:sz w:val="24"/>
          <w:szCs w:val="24"/>
          <w:rtl/>
        </w:rPr>
        <w:t>ל</w:t>
      </w:r>
      <w:r w:rsidRPr="004A381F">
        <w:rPr>
          <w:rFonts w:cs="David" w:hint="cs"/>
          <w:sz w:val="24"/>
          <w:szCs w:val="24"/>
          <w:rtl/>
        </w:rPr>
        <w:t xml:space="preserve"> ביקורת הגבולות בידי בקרי גבול או באמצעות עמדות לשירות עצמי המיועדות לדרכונים רגילים (</w:t>
      </w:r>
      <w:r>
        <w:rPr>
          <w:rFonts w:cs="David" w:hint="cs"/>
          <w:sz w:val="24"/>
          <w:szCs w:val="24"/>
          <w:rtl/>
        </w:rPr>
        <w:t xml:space="preserve">המכונות </w:t>
      </w:r>
      <w:r w:rsidRPr="004A381F">
        <w:rPr>
          <w:rFonts w:cs="David" w:hint="cs"/>
          <w:sz w:val="24"/>
          <w:szCs w:val="24"/>
          <w:rtl/>
        </w:rPr>
        <w:t>עמדות "כף יד", כיוון שהנוסע נדרש להציב בהן את כף ידו לצורך זיהוי). משנה זו הציבה רשות האוכלוסין גם עמדות אוטומטיות לשירות עצמי, המיועדות לישרא</w:t>
      </w:r>
      <w:r w:rsidRPr="004A381F">
        <w:rPr>
          <w:rFonts w:cs="David" w:hint="cs"/>
          <w:sz w:val="24"/>
          <w:szCs w:val="24"/>
          <w:rtl/>
        </w:rPr>
        <w:t>לים המחזיקים במסמכי נסיעה ביומטריים (להלן - עמדות ביומטריות).</w:t>
      </w:r>
    </w:p>
    <w:p w:rsidR="002D0C59" w:rsidRPr="00A21F5C" w:rsidP="00AE0BE6" w14:paraId="71071730" w14:textId="77777777">
      <w:pPr>
        <w:pStyle w:val="a"/>
        <w:spacing w:line="269" w:lineRule="auto"/>
        <w:rPr>
          <w:rtl/>
        </w:rPr>
      </w:pPr>
    </w:p>
    <w:p w:rsidR="00FA33E7" w:rsidP="00AE0BE6" w14:paraId="38118B5E" w14:textId="77777777">
      <w:pPr>
        <w:spacing w:line="269" w:lineRule="auto"/>
        <w:ind w:left="312"/>
        <w:rPr>
          <w:sz w:val="24"/>
          <w:rtl/>
        </w:rPr>
      </w:pPr>
      <w:r w:rsidRPr="004A381F">
        <w:rPr>
          <w:rFonts w:hint="cs"/>
          <w:sz w:val="24"/>
          <w:rtl/>
        </w:rPr>
        <w:t xml:space="preserve">הצבת עמדות ביומטריות נועדה לשפר את השירות שרשות האוכלוסין מעניקה לנוסע הישראלי, שכן השימוש בהן עשוי לחסוך </w:t>
      </w:r>
      <w:r w:rsidRPr="004A381F">
        <w:rPr>
          <w:sz w:val="24"/>
          <w:rtl/>
        </w:rPr>
        <w:t xml:space="preserve">זמן יקר במעברי </w:t>
      </w:r>
      <w:r>
        <w:rPr>
          <w:rFonts w:hint="cs"/>
          <w:sz w:val="24"/>
          <w:rtl/>
        </w:rPr>
        <w:t>ה</w:t>
      </w:r>
      <w:r w:rsidRPr="004A381F">
        <w:rPr>
          <w:sz w:val="24"/>
          <w:rtl/>
        </w:rPr>
        <w:t>גבול בישראל</w:t>
      </w:r>
      <w:r w:rsidRPr="004A381F">
        <w:rPr>
          <w:rFonts w:hint="cs"/>
          <w:sz w:val="24"/>
          <w:rtl/>
        </w:rPr>
        <w:t>. מאז הוחל חוק הביומטרי</w:t>
      </w:r>
      <w:r>
        <w:rPr>
          <w:rFonts w:hint="cs"/>
          <w:sz w:val="24"/>
          <w:rtl/>
        </w:rPr>
        <w:t>י</w:t>
      </w:r>
      <w:r w:rsidRPr="004A381F">
        <w:rPr>
          <w:rFonts w:hint="cs"/>
          <w:sz w:val="24"/>
          <w:rtl/>
        </w:rPr>
        <w:t>ה על כלל תושבי ישראל (ביו</w:t>
      </w:r>
      <w:r>
        <w:rPr>
          <w:rFonts w:hint="cs"/>
          <w:sz w:val="24"/>
          <w:rtl/>
        </w:rPr>
        <w:t>ל</w:t>
      </w:r>
      <w:r w:rsidRPr="004A381F">
        <w:rPr>
          <w:rFonts w:hint="cs"/>
          <w:sz w:val="24"/>
          <w:rtl/>
        </w:rPr>
        <w:t>י 2017) וע</w:t>
      </w:r>
      <w:r w:rsidRPr="004A381F">
        <w:rPr>
          <w:rFonts w:hint="cs"/>
          <w:sz w:val="24"/>
          <w:rtl/>
        </w:rPr>
        <w:t xml:space="preserve">ד מועד סיום הביקורת באוגוסט 2019 </w:t>
      </w:r>
      <w:r>
        <w:rPr>
          <w:rFonts w:hint="cs"/>
          <w:sz w:val="24"/>
          <w:rtl/>
        </w:rPr>
        <w:t>גדל</w:t>
      </w:r>
      <w:r w:rsidRPr="004A381F">
        <w:rPr>
          <w:rFonts w:hint="cs"/>
          <w:sz w:val="24"/>
          <w:rtl/>
        </w:rPr>
        <w:t xml:space="preserve"> </w:t>
      </w:r>
      <w:r>
        <w:rPr>
          <w:rFonts w:hint="cs"/>
          <w:sz w:val="24"/>
          <w:rtl/>
        </w:rPr>
        <w:t>פי שלושה</w:t>
      </w:r>
      <w:r w:rsidRPr="004A381F">
        <w:rPr>
          <w:rFonts w:hint="cs"/>
          <w:sz w:val="24"/>
          <w:rtl/>
        </w:rPr>
        <w:t xml:space="preserve"> מספר העמדות הביומטריות שהוצבו במעברי הגבול (ביולי </w:t>
      </w:r>
      <w:r w:rsidRPr="004A381F">
        <w:rPr>
          <w:sz w:val="24"/>
          <w:rtl/>
        </w:rPr>
        <w:t>2019 היו 102 עמדות</w:t>
      </w:r>
      <w:r w:rsidRPr="004A381F">
        <w:rPr>
          <w:rFonts w:hint="cs"/>
          <w:sz w:val="24"/>
          <w:rtl/>
        </w:rPr>
        <w:t>,</w:t>
      </w:r>
      <w:r w:rsidRPr="004A381F">
        <w:rPr>
          <w:sz w:val="24"/>
          <w:rtl/>
        </w:rPr>
        <w:t xml:space="preserve"> 70 מה</w:t>
      </w:r>
      <w:r w:rsidRPr="004A381F">
        <w:rPr>
          <w:rFonts w:hint="cs"/>
          <w:sz w:val="24"/>
          <w:rtl/>
        </w:rPr>
        <w:t>ן</w:t>
      </w:r>
      <w:r w:rsidRPr="004A381F">
        <w:rPr>
          <w:sz w:val="24"/>
          <w:rtl/>
        </w:rPr>
        <w:t xml:space="preserve"> ב</w:t>
      </w:r>
      <w:r w:rsidRPr="004A381F">
        <w:rPr>
          <w:rFonts w:hint="cs"/>
          <w:sz w:val="24"/>
          <w:rtl/>
        </w:rPr>
        <w:t xml:space="preserve">נתב"ג). </w:t>
      </w:r>
    </w:p>
    <w:p w:rsidR="002D0C59" w:rsidP="00AE0BE6" w14:paraId="141C639A" w14:textId="77777777">
      <w:pPr>
        <w:pStyle w:val="a"/>
        <w:tabs>
          <w:tab w:val="left" w:pos="3543"/>
        </w:tabs>
        <w:spacing w:line="269" w:lineRule="auto"/>
        <w:rPr>
          <w:rtl/>
        </w:rPr>
      </w:pPr>
    </w:p>
    <w:p w:rsidR="002D0C59" w:rsidP="00404B2A" w14:paraId="2025C53E" w14:textId="77777777">
      <w:pPr>
        <w:pStyle w:val="ListParagraph"/>
        <w:spacing w:after="120" w:line="269" w:lineRule="auto"/>
        <w:ind w:left="340"/>
        <w:contextualSpacing w:val="0"/>
        <w:jc w:val="center"/>
        <w:rPr>
          <w:rFonts w:cs="David"/>
          <w:b/>
          <w:sz w:val="24"/>
          <w:szCs w:val="24"/>
          <w:rtl/>
        </w:rPr>
      </w:pPr>
      <w:r w:rsidRPr="004A381F">
        <w:rPr>
          <w:rFonts w:cs="David" w:hint="eastAsia"/>
          <w:b/>
          <w:bCs/>
          <w:sz w:val="24"/>
          <w:szCs w:val="24"/>
          <w:rtl/>
        </w:rPr>
        <w:t>תמונה</w:t>
      </w:r>
      <w:r w:rsidRPr="004A381F">
        <w:rPr>
          <w:rFonts w:cs="David"/>
          <w:b/>
          <w:bCs/>
          <w:sz w:val="24"/>
          <w:szCs w:val="24"/>
          <w:rtl/>
        </w:rPr>
        <w:t xml:space="preserve"> </w:t>
      </w:r>
      <w:r w:rsidRPr="004A381F">
        <w:rPr>
          <w:rFonts w:cs="David" w:hint="cs"/>
          <w:b/>
          <w:bCs/>
          <w:sz w:val="24"/>
          <w:szCs w:val="24"/>
          <w:rtl/>
        </w:rPr>
        <w:t xml:space="preserve">1: </w:t>
      </w:r>
      <w:r w:rsidRPr="004A381F">
        <w:rPr>
          <w:rFonts w:cs="David" w:hint="eastAsia"/>
          <w:b/>
          <w:bCs/>
          <w:sz w:val="24"/>
          <w:szCs w:val="24"/>
          <w:rtl/>
        </w:rPr>
        <w:t>דלפקי</w:t>
      </w:r>
      <w:r w:rsidRPr="004A381F">
        <w:rPr>
          <w:rFonts w:cs="David"/>
          <w:b/>
          <w:bCs/>
          <w:sz w:val="24"/>
          <w:szCs w:val="24"/>
          <w:rtl/>
        </w:rPr>
        <w:t xml:space="preserve"> </w:t>
      </w:r>
      <w:r w:rsidRPr="004A381F">
        <w:rPr>
          <w:rFonts w:cs="David" w:hint="eastAsia"/>
          <w:b/>
          <w:bCs/>
          <w:sz w:val="24"/>
          <w:szCs w:val="24"/>
          <w:rtl/>
        </w:rPr>
        <w:t>ביקורת</w:t>
      </w:r>
      <w:r w:rsidRPr="004A381F">
        <w:rPr>
          <w:rFonts w:cs="David"/>
          <w:b/>
          <w:bCs/>
          <w:sz w:val="24"/>
          <w:szCs w:val="24"/>
          <w:rtl/>
        </w:rPr>
        <w:t xml:space="preserve"> </w:t>
      </w:r>
      <w:r>
        <w:rPr>
          <w:rFonts w:cs="David" w:hint="cs"/>
          <w:b/>
          <w:bCs/>
          <w:sz w:val="24"/>
          <w:szCs w:val="24"/>
          <w:rtl/>
        </w:rPr>
        <w:t>ה</w:t>
      </w:r>
      <w:r w:rsidRPr="004A381F">
        <w:rPr>
          <w:rFonts w:cs="David" w:hint="eastAsia"/>
          <w:b/>
          <w:bCs/>
          <w:sz w:val="24"/>
          <w:szCs w:val="24"/>
          <w:rtl/>
        </w:rPr>
        <w:t>גבולות</w:t>
      </w:r>
      <w:r w:rsidRPr="004A381F">
        <w:rPr>
          <w:rFonts w:cs="David"/>
          <w:b/>
          <w:bCs/>
          <w:sz w:val="24"/>
          <w:szCs w:val="24"/>
          <w:rtl/>
        </w:rPr>
        <w:t xml:space="preserve"> בכניסה לישראל</w:t>
      </w:r>
    </w:p>
    <w:p w:rsidR="002D0C59" w:rsidRPr="004A381F" w:rsidP="00AE0BE6" w14:paraId="640C9B23" w14:textId="77777777">
      <w:pPr>
        <w:pStyle w:val="ListParagraph"/>
        <w:spacing w:after="0" w:line="269" w:lineRule="auto"/>
        <w:ind w:left="340"/>
        <w:rPr>
          <w:rFonts w:cs="David"/>
          <w:b/>
          <w:sz w:val="24"/>
          <w:szCs w:val="24"/>
          <w:rtl/>
        </w:rPr>
      </w:pPr>
      <w:r w:rsidRPr="007A5688">
        <w:rPr>
          <w:rFonts w:cs="David"/>
          <w:b/>
          <w:noProof/>
          <w:sz w:val="24"/>
          <w:szCs w:val="24"/>
          <w:rtl/>
        </w:rPr>
        <w:drawing>
          <wp:inline distT="0" distB="0" distL="0" distR="0">
            <wp:extent cx="5038233" cy="2470245"/>
            <wp:effectExtent l="0" t="0" r="0" b="6350"/>
            <wp:docPr id="51" name="תמונה 51" descr="F:\Gov Min\Agaf_11\דוחות 2019\פעילות רשות האוכלוסין במעברי הגבול\עיבודים שלי\תרשימים לדוח\תמונה1- דלפקי ביקורת גבול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62182" name="Picture 5" descr="F:\Gov Min\Agaf_11\דוחות 2019\פעילות רשות האוכלוסין במעברי הגבול\עיבודים שלי\תרשימים לדוח\תמונה1- דלפקי ביקורת גבולות.jp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67012" cy="2484356"/>
                    </a:xfrm>
                    <a:prstGeom prst="rect">
                      <a:avLst/>
                    </a:prstGeom>
                    <a:noFill/>
                    <a:ln>
                      <a:noFill/>
                    </a:ln>
                  </pic:spPr>
                </pic:pic>
              </a:graphicData>
            </a:graphic>
          </wp:inline>
        </w:drawing>
      </w:r>
    </w:p>
    <w:p w:rsidR="00A357ED" w:rsidP="00404B2A" w14:paraId="52A86FB8" w14:textId="77777777">
      <w:pPr>
        <w:spacing w:before="120" w:line="269" w:lineRule="auto"/>
        <w:ind w:firstLine="340"/>
        <w:rPr>
          <w:b/>
          <w:bCs/>
          <w:sz w:val="24"/>
          <w:rtl/>
        </w:rPr>
      </w:pPr>
      <w:r w:rsidRPr="00A21F5C">
        <w:rPr>
          <w:rFonts w:hint="cs"/>
          <w:sz w:val="16"/>
          <w:szCs w:val="20"/>
          <w:rtl/>
        </w:rPr>
        <w:t>צילום</w:t>
      </w:r>
      <w:r>
        <w:rPr>
          <w:rFonts w:hint="cs"/>
          <w:sz w:val="16"/>
          <w:szCs w:val="20"/>
          <w:rtl/>
        </w:rPr>
        <w:t>:</w:t>
      </w:r>
      <w:r w:rsidRPr="00A21F5C">
        <w:rPr>
          <w:rFonts w:hint="cs"/>
          <w:sz w:val="16"/>
          <w:szCs w:val="20"/>
          <w:rtl/>
        </w:rPr>
        <w:t xml:space="preserve"> משרד מבקר המדינה, אוגוסט 2019</w:t>
      </w:r>
      <w:r>
        <w:rPr>
          <w:rFonts w:hint="cs"/>
          <w:rtl/>
        </w:rPr>
        <w:t>.</w:t>
      </w:r>
      <w:r w:rsidRPr="00A21F5C">
        <w:rPr>
          <w:rFonts w:hint="cs"/>
          <w:rtl/>
        </w:rPr>
        <w:t xml:space="preserve"> </w:t>
      </w:r>
    </w:p>
    <w:p w:rsidR="00A357ED" w:rsidP="00AE0BE6" w14:paraId="22D2D62A" w14:textId="77777777">
      <w:pPr>
        <w:spacing w:line="269" w:lineRule="auto"/>
        <w:ind w:firstLine="340"/>
        <w:rPr>
          <w:b/>
          <w:bCs/>
          <w:sz w:val="24"/>
          <w:rtl/>
        </w:rPr>
      </w:pPr>
    </w:p>
    <w:p w:rsidR="002D0C59" w:rsidP="00404B2A" w14:paraId="0D6EC774" w14:textId="77777777">
      <w:pPr>
        <w:spacing w:after="120" w:line="269" w:lineRule="auto"/>
        <w:ind w:firstLine="340"/>
        <w:jc w:val="center"/>
        <w:rPr>
          <w:b/>
          <w:sz w:val="24"/>
          <w:rtl/>
        </w:rPr>
      </w:pPr>
      <w:r w:rsidRPr="004A381F">
        <w:rPr>
          <w:rFonts w:hint="eastAsia"/>
          <w:b/>
          <w:bCs/>
          <w:sz w:val="24"/>
          <w:rtl/>
        </w:rPr>
        <w:t>תמונה</w:t>
      </w:r>
      <w:r w:rsidRPr="004A381F">
        <w:rPr>
          <w:b/>
          <w:bCs/>
          <w:sz w:val="24"/>
          <w:rtl/>
        </w:rPr>
        <w:t xml:space="preserve"> </w:t>
      </w:r>
      <w:r w:rsidRPr="004A381F">
        <w:rPr>
          <w:rFonts w:hint="cs"/>
          <w:b/>
          <w:bCs/>
          <w:sz w:val="24"/>
          <w:rtl/>
        </w:rPr>
        <w:t>2:</w:t>
      </w:r>
      <w:r w:rsidRPr="004A381F">
        <w:rPr>
          <w:b/>
          <w:bCs/>
          <w:sz w:val="24"/>
          <w:rtl/>
        </w:rPr>
        <w:t xml:space="preserve"> </w:t>
      </w:r>
      <w:r w:rsidRPr="004A381F">
        <w:rPr>
          <w:rFonts w:hint="eastAsia"/>
          <w:b/>
          <w:bCs/>
          <w:sz w:val="24"/>
          <w:rtl/>
        </w:rPr>
        <w:t>עמדת</w:t>
      </w:r>
      <w:r w:rsidRPr="004A381F">
        <w:rPr>
          <w:b/>
          <w:bCs/>
          <w:sz w:val="24"/>
          <w:rtl/>
        </w:rPr>
        <w:t xml:space="preserve"> </w:t>
      </w:r>
      <w:r w:rsidRPr="004A381F">
        <w:rPr>
          <w:rFonts w:hint="eastAsia"/>
          <w:b/>
          <w:bCs/>
          <w:sz w:val="24"/>
          <w:rtl/>
        </w:rPr>
        <w:t>ביקורת</w:t>
      </w:r>
      <w:r w:rsidRPr="004A381F">
        <w:rPr>
          <w:b/>
          <w:bCs/>
          <w:sz w:val="24"/>
          <w:rtl/>
        </w:rPr>
        <w:t xml:space="preserve"> </w:t>
      </w:r>
      <w:r w:rsidRPr="004A381F">
        <w:rPr>
          <w:rFonts w:hint="eastAsia"/>
          <w:b/>
          <w:bCs/>
          <w:sz w:val="24"/>
          <w:rtl/>
        </w:rPr>
        <w:t>גבולות</w:t>
      </w:r>
      <w:r w:rsidRPr="004A381F">
        <w:rPr>
          <w:b/>
          <w:bCs/>
          <w:sz w:val="24"/>
          <w:rtl/>
        </w:rPr>
        <w:t xml:space="preserve"> </w:t>
      </w:r>
      <w:r w:rsidRPr="004A381F">
        <w:rPr>
          <w:rFonts w:hint="eastAsia"/>
          <w:b/>
          <w:bCs/>
          <w:sz w:val="24"/>
          <w:rtl/>
        </w:rPr>
        <w:t>ביומטרית</w:t>
      </w:r>
    </w:p>
    <w:p w:rsidR="00A357ED" w:rsidRPr="004A381F" w:rsidP="00AE0BE6" w14:paraId="6DE65779" w14:textId="77777777">
      <w:pPr>
        <w:spacing w:line="269" w:lineRule="auto"/>
        <w:ind w:firstLine="340"/>
        <w:jc w:val="center"/>
        <w:rPr>
          <w:b/>
          <w:sz w:val="24"/>
          <w:rtl/>
        </w:rPr>
      </w:pPr>
      <w:r w:rsidRPr="0038722B">
        <w:rPr>
          <w:noProof/>
          <w:rtl/>
        </w:rPr>
        <w:drawing>
          <wp:inline distT="0" distB="0" distL="0" distR="0">
            <wp:extent cx="1809750" cy="3190875"/>
            <wp:effectExtent l="0" t="0" r="0" b="9525"/>
            <wp:docPr id="19" name="תמונה 19" descr="F:\Gov Min\Agaf_11\דוחות 2019\פעילות רשות האוכלוסין במעברי הגבול\עיבודים שלי\תרשימים לדוח\תמונה2- עמדה ביומטרי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01128" name="Picture 7" descr="F:\Gov Min\Agaf_11\דוחות 2019\פעילות רשות האוכלוסין במעברי הגבול\עיבודים שלי\תרשימים לדוח\תמונה2- עמדה ביומטרית.jp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9750" cy="3190875"/>
                    </a:xfrm>
                    <a:prstGeom prst="rect">
                      <a:avLst/>
                    </a:prstGeom>
                    <a:noFill/>
                    <a:ln>
                      <a:noFill/>
                    </a:ln>
                  </pic:spPr>
                </pic:pic>
              </a:graphicData>
            </a:graphic>
          </wp:inline>
        </w:drawing>
      </w:r>
    </w:p>
    <w:p w:rsidR="00404B2A" w:rsidP="00404B2A" w14:paraId="38B6AED9" w14:textId="77777777">
      <w:pPr>
        <w:spacing w:before="120" w:line="269" w:lineRule="auto"/>
        <w:jc w:val="center"/>
        <w:rPr>
          <w:sz w:val="16"/>
          <w:szCs w:val="20"/>
          <w:rtl/>
        </w:rPr>
      </w:pPr>
      <w:r w:rsidRPr="00A21F5C">
        <w:rPr>
          <w:rFonts w:hint="cs"/>
          <w:sz w:val="16"/>
          <w:szCs w:val="20"/>
          <w:rtl/>
        </w:rPr>
        <w:t>צילום</w:t>
      </w:r>
      <w:r>
        <w:rPr>
          <w:rFonts w:hint="cs"/>
          <w:sz w:val="16"/>
          <w:szCs w:val="20"/>
          <w:rtl/>
        </w:rPr>
        <w:t>:</w:t>
      </w:r>
      <w:r w:rsidRPr="00A21F5C">
        <w:rPr>
          <w:rFonts w:hint="cs"/>
          <w:sz w:val="16"/>
          <w:szCs w:val="20"/>
          <w:rtl/>
        </w:rPr>
        <w:t xml:space="preserve"> משרד מבקר המדינה, אוגוסט 2019.</w:t>
      </w:r>
    </w:p>
    <w:p w:rsidR="00935B6D" w:rsidP="00404B2A" w14:paraId="535E9844" w14:textId="77777777">
      <w:pPr>
        <w:spacing w:before="120" w:line="269" w:lineRule="auto"/>
        <w:jc w:val="center"/>
        <w:rPr>
          <w:sz w:val="16"/>
          <w:szCs w:val="20"/>
          <w:rtl/>
        </w:rPr>
      </w:pPr>
      <w:r>
        <w:rPr>
          <w:sz w:val="16"/>
          <w:szCs w:val="20"/>
          <w:rtl/>
        </w:rPr>
        <w:br w:type="page"/>
      </w:r>
    </w:p>
    <w:p w:rsidR="002D0C59" w:rsidRPr="00A21F5C" w:rsidP="00AE0BE6" w14:paraId="6F0455F2" w14:textId="77777777">
      <w:pPr>
        <w:pStyle w:val="a"/>
        <w:tabs>
          <w:tab w:val="left" w:pos="3543"/>
        </w:tabs>
        <w:spacing w:line="269" w:lineRule="auto"/>
        <w:rPr>
          <w:rtl/>
        </w:rPr>
      </w:pPr>
    </w:p>
    <w:p w:rsidR="002D0C59" w:rsidP="00AE0BE6" w14:paraId="14621EAD" w14:textId="77777777">
      <w:pPr>
        <w:pStyle w:val="ListParagraph"/>
        <w:numPr>
          <w:ilvl w:val="0"/>
          <w:numId w:val="6"/>
        </w:numPr>
        <w:tabs>
          <w:tab w:val="left" w:pos="3543"/>
        </w:tabs>
        <w:spacing w:after="0" w:line="269" w:lineRule="auto"/>
        <w:jc w:val="both"/>
        <w:rPr>
          <w:rFonts w:cs="David"/>
          <w:sz w:val="24"/>
          <w:szCs w:val="24"/>
        </w:rPr>
      </w:pPr>
      <w:r w:rsidRPr="004A381F">
        <w:rPr>
          <w:rFonts w:cs="David" w:hint="cs"/>
          <w:sz w:val="24"/>
          <w:szCs w:val="24"/>
          <w:rtl/>
        </w:rPr>
        <w:t xml:space="preserve">בשנים האחרונות גדל </w:t>
      </w:r>
      <w:r>
        <w:rPr>
          <w:rFonts w:cs="David" w:hint="cs"/>
          <w:sz w:val="24"/>
          <w:szCs w:val="24"/>
          <w:rtl/>
        </w:rPr>
        <w:t>באופן ניכר</w:t>
      </w:r>
      <w:r w:rsidRPr="004A381F">
        <w:rPr>
          <w:rFonts w:cs="David" w:hint="cs"/>
          <w:sz w:val="24"/>
          <w:szCs w:val="24"/>
          <w:rtl/>
        </w:rPr>
        <w:t xml:space="preserve"> מספר הנכנסים והיוצאים במעברי הגבול בישראל, בייחוד בנתב"ג. להלן נתונים על מספר התיירים</w:t>
      </w:r>
      <w:r>
        <w:rPr>
          <w:rFonts w:cs="David" w:hint="cs"/>
          <w:sz w:val="24"/>
          <w:szCs w:val="24"/>
          <w:rtl/>
        </w:rPr>
        <w:t xml:space="preserve"> שנכנסו לישראל דרך מעברי הגבול ועל </w:t>
      </w:r>
      <w:r w:rsidRPr="004A381F">
        <w:rPr>
          <w:rFonts w:cs="David" w:hint="cs"/>
          <w:sz w:val="24"/>
          <w:szCs w:val="24"/>
          <w:rtl/>
        </w:rPr>
        <w:t xml:space="preserve">מספר </w:t>
      </w:r>
      <w:r>
        <w:rPr>
          <w:rFonts w:cs="David" w:hint="cs"/>
          <w:sz w:val="24"/>
          <w:szCs w:val="24"/>
          <w:rtl/>
        </w:rPr>
        <w:t>בקשות הכניסה</w:t>
      </w:r>
      <w:r w:rsidRPr="004A381F">
        <w:rPr>
          <w:rFonts w:cs="David" w:hint="cs"/>
          <w:sz w:val="24"/>
          <w:szCs w:val="24"/>
          <w:rtl/>
        </w:rPr>
        <w:t xml:space="preserve"> </w:t>
      </w:r>
      <w:r>
        <w:rPr>
          <w:rFonts w:cs="David" w:hint="cs"/>
          <w:sz w:val="24"/>
          <w:szCs w:val="24"/>
          <w:rtl/>
        </w:rPr>
        <w:t>שנדחו</w:t>
      </w:r>
      <w:r w:rsidRPr="004A381F">
        <w:rPr>
          <w:rFonts w:cs="David" w:hint="cs"/>
          <w:sz w:val="24"/>
          <w:szCs w:val="24"/>
          <w:rtl/>
        </w:rPr>
        <w:t xml:space="preserve"> (להלן - סירובי כניסה) בשנים 2012 </w:t>
      </w:r>
      <w:r>
        <w:rPr>
          <w:rFonts w:cs="David" w:hint="cs"/>
          <w:sz w:val="24"/>
          <w:szCs w:val="24"/>
          <w:rtl/>
        </w:rPr>
        <w:t>עד</w:t>
      </w:r>
      <w:r w:rsidRPr="004A381F">
        <w:rPr>
          <w:rFonts w:cs="David" w:hint="cs"/>
          <w:sz w:val="24"/>
          <w:szCs w:val="24"/>
          <w:rtl/>
        </w:rPr>
        <w:t xml:space="preserve"> 2018.</w:t>
      </w:r>
    </w:p>
    <w:p w:rsidR="002D0C59" w:rsidRPr="005A46FF" w:rsidP="00AE0BE6" w14:paraId="133F8CC5" w14:textId="77777777">
      <w:pPr>
        <w:pStyle w:val="a"/>
        <w:tabs>
          <w:tab w:val="left" w:pos="3543"/>
        </w:tabs>
        <w:spacing w:line="269" w:lineRule="auto"/>
        <w:rPr>
          <w:rtl/>
        </w:rPr>
      </w:pPr>
    </w:p>
    <w:tbl>
      <w:tblPr>
        <w:tblStyle w:val="4-11"/>
        <w:tblpPr w:leftFromText="180" w:rightFromText="180" w:vertAnchor="text" w:horzAnchor="margin" w:tblpY="290"/>
        <w:bidiVisual/>
        <w:tblW w:w="8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1708"/>
        <w:gridCol w:w="2132"/>
        <w:gridCol w:w="1270"/>
        <w:gridCol w:w="1982"/>
      </w:tblGrid>
      <w:tr w14:paraId="11647964" w14:textId="77777777" w:rsidTr="0041345D">
        <w:tblPrEx>
          <w:tblW w:w="8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699"/>
        </w:trPr>
        <w:tc>
          <w:tcPr>
            <w:tcW w:w="992"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404B2A" w:rsidRPr="00EE4EB4" w:rsidP="00404B2A" w14:paraId="080824B5" w14:textId="77777777">
            <w:pPr>
              <w:tabs>
                <w:tab w:val="left" w:pos="3543"/>
              </w:tabs>
              <w:spacing w:line="269" w:lineRule="auto"/>
              <w:jc w:val="center"/>
              <w:rPr>
                <w:rFonts w:cs="David"/>
                <w:sz w:val="20"/>
                <w:szCs w:val="20"/>
              </w:rPr>
            </w:pPr>
            <w:r>
              <w:rPr>
                <w:rFonts w:cs="David" w:hint="cs"/>
                <w:color w:val="auto"/>
                <w:sz w:val="20"/>
                <w:szCs w:val="20"/>
                <w:rtl/>
              </w:rPr>
              <w:t>ה</w:t>
            </w:r>
            <w:r w:rsidRPr="00EE4EB4">
              <w:rPr>
                <w:rFonts w:cs="David" w:hint="cs"/>
                <w:color w:val="auto"/>
                <w:sz w:val="20"/>
                <w:szCs w:val="20"/>
                <w:rtl/>
              </w:rPr>
              <w:t>שנה</w:t>
            </w:r>
          </w:p>
        </w:tc>
        <w:tc>
          <w:tcPr>
            <w:tcW w:w="1708" w:type="dxa"/>
            <w:tcBorders>
              <w:top w:val="none" w:sz="0" w:space="0" w:color="auto"/>
              <w:left w:val="none" w:sz="0" w:space="0" w:color="auto"/>
              <w:bottom w:val="none" w:sz="0" w:space="0" w:color="auto"/>
              <w:right w:val="none" w:sz="0" w:space="0" w:color="auto"/>
            </w:tcBorders>
            <w:shd w:val="clear" w:color="auto" w:fill="auto"/>
            <w:vAlign w:val="bottom"/>
            <w:hideMark/>
          </w:tcPr>
          <w:p w:rsidR="00404B2A" w:rsidRPr="00EE4EB4" w:rsidP="00404B2A" w14:paraId="3B74DDA4" w14:textId="77777777">
            <w:pPr>
              <w:tabs>
                <w:tab w:val="left" w:pos="3543"/>
              </w:tabs>
              <w:spacing w:line="269" w:lineRule="auto"/>
              <w:jc w:val="center"/>
              <w:rPr>
                <w:rFonts w:cs="David"/>
                <w:sz w:val="20"/>
                <w:szCs w:val="20"/>
                <w:rtl/>
              </w:rPr>
            </w:pPr>
            <w:r w:rsidRPr="00EE4EB4">
              <w:rPr>
                <w:rFonts w:cs="David" w:hint="cs"/>
                <w:color w:val="auto"/>
                <w:sz w:val="20"/>
                <w:szCs w:val="20"/>
                <w:rtl/>
              </w:rPr>
              <w:t>מספר התיירים שנכנסו לישראל</w:t>
            </w:r>
          </w:p>
        </w:tc>
        <w:tc>
          <w:tcPr>
            <w:tcW w:w="2132" w:type="dxa"/>
            <w:tcBorders>
              <w:top w:val="none" w:sz="0" w:space="0" w:color="auto"/>
              <w:left w:val="none" w:sz="0" w:space="0" w:color="auto"/>
              <w:bottom w:val="none" w:sz="0" w:space="0" w:color="auto"/>
              <w:right w:val="none" w:sz="0" w:space="0" w:color="auto"/>
            </w:tcBorders>
            <w:shd w:val="clear" w:color="auto" w:fill="auto"/>
            <w:vAlign w:val="bottom"/>
            <w:hideMark/>
          </w:tcPr>
          <w:p w:rsidR="00404B2A" w:rsidRPr="00EE4EB4" w:rsidP="00404B2A" w14:paraId="0D67A4AA" w14:textId="77777777">
            <w:pPr>
              <w:tabs>
                <w:tab w:val="left" w:pos="3543"/>
              </w:tabs>
              <w:spacing w:line="269" w:lineRule="auto"/>
              <w:jc w:val="center"/>
              <w:rPr>
                <w:rFonts w:cs="David"/>
                <w:sz w:val="20"/>
                <w:szCs w:val="20"/>
                <w:rtl/>
              </w:rPr>
            </w:pPr>
            <w:r w:rsidRPr="00EE4EB4">
              <w:rPr>
                <w:rFonts w:cs="David" w:hint="cs"/>
                <w:color w:val="auto"/>
                <w:sz w:val="20"/>
                <w:szCs w:val="20"/>
                <w:rtl/>
              </w:rPr>
              <w:t>שיעור הגידול במספר התיירים שנכנסו לישראל בהשוואה לשנת 2012</w:t>
            </w:r>
          </w:p>
        </w:tc>
        <w:tc>
          <w:tcPr>
            <w:tcW w:w="1270" w:type="dxa"/>
            <w:tcBorders>
              <w:top w:val="none" w:sz="0" w:space="0" w:color="auto"/>
              <w:left w:val="none" w:sz="0" w:space="0" w:color="auto"/>
              <w:bottom w:val="none" w:sz="0" w:space="0" w:color="auto"/>
              <w:right w:val="none" w:sz="0" w:space="0" w:color="auto"/>
            </w:tcBorders>
            <w:shd w:val="clear" w:color="auto" w:fill="auto"/>
            <w:vAlign w:val="bottom"/>
            <w:hideMark/>
          </w:tcPr>
          <w:p w:rsidR="00404B2A" w:rsidRPr="00EE4EB4" w:rsidP="00404B2A" w14:paraId="5C24B731" w14:textId="77777777">
            <w:pPr>
              <w:tabs>
                <w:tab w:val="left" w:pos="3543"/>
              </w:tabs>
              <w:spacing w:line="269" w:lineRule="auto"/>
              <w:jc w:val="center"/>
              <w:rPr>
                <w:rFonts w:cs="David"/>
                <w:sz w:val="20"/>
                <w:szCs w:val="20"/>
                <w:rtl/>
              </w:rPr>
            </w:pPr>
            <w:r w:rsidRPr="00EE4EB4">
              <w:rPr>
                <w:rFonts w:cs="David" w:hint="cs"/>
                <w:color w:val="auto"/>
                <w:sz w:val="20"/>
                <w:szCs w:val="20"/>
                <w:rtl/>
              </w:rPr>
              <w:t>מספר סירובי הכניסה</w:t>
            </w:r>
          </w:p>
        </w:tc>
        <w:tc>
          <w:tcPr>
            <w:tcW w:w="1982" w:type="dxa"/>
            <w:tcBorders>
              <w:top w:val="none" w:sz="0" w:space="0" w:color="auto"/>
              <w:left w:val="none" w:sz="0" w:space="0" w:color="auto"/>
              <w:bottom w:val="none" w:sz="0" w:space="0" w:color="auto"/>
              <w:right w:val="none" w:sz="0" w:space="0" w:color="auto"/>
            </w:tcBorders>
            <w:shd w:val="clear" w:color="auto" w:fill="auto"/>
            <w:vAlign w:val="bottom"/>
            <w:hideMark/>
          </w:tcPr>
          <w:p w:rsidR="00404B2A" w:rsidRPr="00EE4EB4" w:rsidP="00404B2A" w14:paraId="0794BDCD" w14:textId="77777777">
            <w:pPr>
              <w:tabs>
                <w:tab w:val="left" w:pos="3543"/>
              </w:tabs>
              <w:spacing w:line="269" w:lineRule="auto"/>
              <w:jc w:val="center"/>
              <w:rPr>
                <w:rFonts w:cs="David"/>
                <w:sz w:val="20"/>
                <w:szCs w:val="20"/>
                <w:rtl/>
              </w:rPr>
            </w:pPr>
            <w:r w:rsidRPr="00EE4EB4">
              <w:rPr>
                <w:rFonts w:cs="David" w:hint="cs"/>
                <w:color w:val="auto"/>
                <w:sz w:val="20"/>
                <w:szCs w:val="20"/>
                <w:rtl/>
              </w:rPr>
              <w:t>שיעור הגידול במספר סירובי הכניסה בהשוואה לשנת 2012</w:t>
            </w:r>
          </w:p>
        </w:tc>
      </w:tr>
      <w:tr w14:paraId="1C0B69EF" w14:textId="77777777" w:rsidTr="0041345D">
        <w:tblPrEx>
          <w:tblW w:w="8084" w:type="dxa"/>
          <w:tblLayout w:type="fixed"/>
          <w:tblLook w:val="04A0"/>
        </w:tblPrEx>
        <w:trPr>
          <w:trHeight w:val="300"/>
        </w:trPr>
        <w:tc>
          <w:tcPr>
            <w:tcW w:w="992" w:type="dxa"/>
            <w:shd w:val="clear" w:color="auto" w:fill="auto"/>
            <w:noWrap/>
            <w:vAlign w:val="bottom"/>
            <w:hideMark/>
          </w:tcPr>
          <w:p w:rsidR="00404B2A" w:rsidRPr="00EE4EB4" w:rsidP="00404B2A" w14:paraId="5691A3D4" w14:textId="77777777">
            <w:pPr>
              <w:tabs>
                <w:tab w:val="left" w:pos="3543"/>
              </w:tabs>
              <w:spacing w:line="269" w:lineRule="auto"/>
              <w:jc w:val="center"/>
              <w:rPr>
                <w:rFonts w:cs="David"/>
                <w:sz w:val="20"/>
                <w:szCs w:val="20"/>
                <w:rtl/>
              </w:rPr>
            </w:pPr>
            <w:r w:rsidRPr="00EE4EB4">
              <w:rPr>
                <w:rFonts w:cs="David"/>
                <w:sz w:val="20"/>
                <w:szCs w:val="20"/>
              </w:rPr>
              <w:t>2012</w:t>
            </w:r>
          </w:p>
        </w:tc>
        <w:tc>
          <w:tcPr>
            <w:tcW w:w="1708" w:type="dxa"/>
            <w:shd w:val="clear" w:color="auto" w:fill="auto"/>
            <w:noWrap/>
            <w:vAlign w:val="bottom"/>
            <w:hideMark/>
          </w:tcPr>
          <w:p w:rsidR="00404B2A" w:rsidRPr="00EE4EB4" w:rsidP="00404B2A" w14:paraId="2C46E631" w14:textId="77777777">
            <w:pPr>
              <w:tabs>
                <w:tab w:val="left" w:pos="3543"/>
              </w:tabs>
              <w:spacing w:line="269" w:lineRule="auto"/>
              <w:jc w:val="center"/>
              <w:rPr>
                <w:rFonts w:cs="David"/>
                <w:sz w:val="20"/>
                <w:szCs w:val="20"/>
              </w:rPr>
            </w:pPr>
            <w:r w:rsidRPr="00EE4EB4">
              <w:rPr>
                <w:rFonts w:cs="David"/>
                <w:sz w:val="20"/>
                <w:szCs w:val="20"/>
              </w:rPr>
              <w:t>2,335,745</w:t>
            </w:r>
          </w:p>
        </w:tc>
        <w:tc>
          <w:tcPr>
            <w:tcW w:w="2132" w:type="dxa"/>
            <w:shd w:val="clear" w:color="auto" w:fill="auto"/>
            <w:noWrap/>
            <w:vAlign w:val="bottom"/>
            <w:hideMark/>
          </w:tcPr>
          <w:p w:rsidR="00404B2A" w:rsidRPr="00EE4EB4" w:rsidP="00404B2A" w14:paraId="36F9A80A" w14:textId="77777777">
            <w:pPr>
              <w:tabs>
                <w:tab w:val="left" w:pos="3543"/>
              </w:tabs>
              <w:spacing w:line="269" w:lineRule="auto"/>
              <w:jc w:val="center"/>
              <w:rPr>
                <w:rFonts w:cs="David"/>
                <w:sz w:val="20"/>
                <w:szCs w:val="20"/>
                <w:rtl/>
              </w:rPr>
            </w:pPr>
            <w:r w:rsidRPr="00EE4EB4">
              <w:rPr>
                <w:rFonts w:cs="David"/>
                <w:sz w:val="20"/>
                <w:szCs w:val="20"/>
                <w:rtl/>
              </w:rPr>
              <w:t>-</w:t>
            </w:r>
          </w:p>
        </w:tc>
        <w:tc>
          <w:tcPr>
            <w:tcW w:w="1270" w:type="dxa"/>
            <w:shd w:val="clear" w:color="auto" w:fill="auto"/>
            <w:noWrap/>
            <w:vAlign w:val="bottom"/>
            <w:hideMark/>
          </w:tcPr>
          <w:p w:rsidR="00404B2A" w:rsidRPr="00EE4EB4" w:rsidP="00404B2A" w14:paraId="22B050FD" w14:textId="77777777">
            <w:pPr>
              <w:tabs>
                <w:tab w:val="left" w:pos="3543"/>
              </w:tabs>
              <w:spacing w:line="269" w:lineRule="auto"/>
              <w:jc w:val="center"/>
              <w:rPr>
                <w:rFonts w:cs="David"/>
                <w:sz w:val="20"/>
                <w:szCs w:val="20"/>
              </w:rPr>
            </w:pPr>
            <w:r w:rsidRPr="00EE4EB4">
              <w:rPr>
                <w:rFonts w:cs="David"/>
                <w:sz w:val="20"/>
                <w:szCs w:val="20"/>
              </w:rPr>
              <w:t>2,554</w:t>
            </w:r>
          </w:p>
        </w:tc>
        <w:tc>
          <w:tcPr>
            <w:tcW w:w="1982" w:type="dxa"/>
            <w:shd w:val="clear" w:color="auto" w:fill="auto"/>
            <w:noWrap/>
            <w:vAlign w:val="bottom"/>
            <w:hideMark/>
          </w:tcPr>
          <w:p w:rsidR="00404B2A" w:rsidRPr="00EE4EB4" w:rsidP="00404B2A" w14:paraId="611FCD14" w14:textId="77777777">
            <w:pPr>
              <w:tabs>
                <w:tab w:val="left" w:pos="3543"/>
              </w:tabs>
              <w:spacing w:line="269" w:lineRule="auto"/>
              <w:jc w:val="center"/>
              <w:rPr>
                <w:rFonts w:cs="David"/>
                <w:sz w:val="20"/>
                <w:szCs w:val="20"/>
                <w:rtl/>
              </w:rPr>
            </w:pPr>
            <w:r w:rsidRPr="00EE4EB4">
              <w:rPr>
                <w:rFonts w:cs="David"/>
                <w:sz w:val="20"/>
                <w:szCs w:val="20"/>
                <w:rtl/>
              </w:rPr>
              <w:t>-</w:t>
            </w:r>
          </w:p>
        </w:tc>
      </w:tr>
      <w:tr w14:paraId="1D046818" w14:textId="77777777" w:rsidTr="0041345D">
        <w:tblPrEx>
          <w:tblW w:w="8084" w:type="dxa"/>
          <w:tblLayout w:type="fixed"/>
          <w:tblLook w:val="04A0"/>
        </w:tblPrEx>
        <w:trPr>
          <w:trHeight w:val="300"/>
        </w:trPr>
        <w:tc>
          <w:tcPr>
            <w:tcW w:w="992" w:type="dxa"/>
            <w:shd w:val="clear" w:color="auto" w:fill="auto"/>
            <w:noWrap/>
            <w:vAlign w:val="bottom"/>
            <w:hideMark/>
          </w:tcPr>
          <w:p w:rsidR="00404B2A" w:rsidRPr="00EE4EB4" w:rsidP="00404B2A" w14:paraId="7CEBBE5A" w14:textId="77777777">
            <w:pPr>
              <w:tabs>
                <w:tab w:val="left" w:pos="3543"/>
              </w:tabs>
              <w:spacing w:line="269" w:lineRule="auto"/>
              <w:jc w:val="center"/>
              <w:rPr>
                <w:rFonts w:cs="David"/>
                <w:sz w:val="20"/>
                <w:szCs w:val="20"/>
              </w:rPr>
            </w:pPr>
            <w:r w:rsidRPr="00EE4EB4">
              <w:rPr>
                <w:rFonts w:cs="David"/>
                <w:sz w:val="20"/>
                <w:szCs w:val="20"/>
              </w:rPr>
              <w:t>2013</w:t>
            </w:r>
          </w:p>
        </w:tc>
        <w:tc>
          <w:tcPr>
            <w:tcW w:w="1708" w:type="dxa"/>
            <w:shd w:val="clear" w:color="auto" w:fill="auto"/>
            <w:noWrap/>
            <w:vAlign w:val="bottom"/>
            <w:hideMark/>
          </w:tcPr>
          <w:p w:rsidR="00404B2A" w:rsidRPr="00EE4EB4" w:rsidP="00404B2A" w14:paraId="7AF27C4D" w14:textId="77777777">
            <w:pPr>
              <w:tabs>
                <w:tab w:val="left" w:pos="3543"/>
              </w:tabs>
              <w:spacing w:line="269" w:lineRule="auto"/>
              <w:jc w:val="center"/>
              <w:rPr>
                <w:rFonts w:cs="David"/>
                <w:sz w:val="20"/>
                <w:szCs w:val="20"/>
              </w:rPr>
            </w:pPr>
            <w:r w:rsidRPr="00EE4EB4">
              <w:rPr>
                <w:rFonts w:cs="David"/>
                <w:sz w:val="20"/>
                <w:szCs w:val="20"/>
              </w:rPr>
              <w:t>2,468,346</w:t>
            </w:r>
          </w:p>
        </w:tc>
        <w:tc>
          <w:tcPr>
            <w:tcW w:w="2132" w:type="dxa"/>
            <w:shd w:val="clear" w:color="auto" w:fill="auto"/>
            <w:noWrap/>
            <w:vAlign w:val="bottom"/>
            <w:hideMark/>
          </w:tcPr>
          <w:p w:rsidR="00404B2A" w:rsidRPr="00EE4EB4" w:rsidP="00404B2A" w14:paraId="43978EAF" w14:textId="77777777">
            <w:pPr>
              <w:tabs>
                <w:tab w:val="left" w:pos="3543"/>
              </w:tabs>
              <w:spacing w:line="269" w:lineRule="auto"/>
              <w:jc w:val="center"/>
              <w:rPr>
                <w:rFonts w:cs="David"/>
                <w:sz w:val="20"/>
                <w:szCs w:val="20"/>
                <w:rtl/>
              </w:rPr>
            </w:pPr>
            <w:r w:rsidRPr="00EE4EB4">
              <w:rPr>
                <w:rFonts w:cs="David"/>
                <w:sz w:val="20"/>
                <w:szCs w:val="20"/>
              </w:rPr>
              <w:t>6%</w:t>
            </w:r>
          </w:p>
        </w:tc>
        <w:tc>
          <w:tcPr>
            <w:tcW w:w="1270" w:type="dxa"/>
            <w:shd w:val="clear" w:color="auto" w:fill="auto"/>
            <w:noWrap/>
            <w:vAlign w:val="bottom"/>
            <w:hideMark/>
          </w:tcPr>
          <w:p w:rsidR="00404B2A" w:rsidRPr="00EE4EB4" w:rsidP="00404B2A" w14:paraId="28499B07" w14:textId="77777777">
            <w:pPr>
              <w:tabs>
                <w:tab w:val="left" w:pos="3543"/>
              </w:tabs>
              <w:spacing w:line="269" w:lineRule="auto"/>
              <w:jc w:val="center"/>
              <w:rPr>
                <w:rFonts w:cs="David"/>
                <w:sz w:val="20"/>
                <w:szCs w:val="20"/>
              </w:rPr>
            </w:pPr>
            <w:r w:rsidRPr="00EE4EB4">
              <w:rPr>
                <w:rFonts w:cs="David"/>
                <w:sz w:val="20"/>
                <w:szCs w:val="20"/>
              </w:rPr>
              <w:t>5,074</w:t>
            </w:r>
          </w:p>
        </w:tc>
        <w:tc>
          <w:tcPr>
            <w:tcW w:w="1982" w:type="dxa"/>
            <w:shd w:val="clear" w:color="auto" w:fill="auto"/>
            <w:noWrap/>
            <w:vAlign w:val="bottom"/>
            <w:hideMark/>
          </w:tcPr>
          <w:p w:rsidR="00404B2A" w:rsidRPr="00EE4EB4" w:rsidP="00404B2A" w14:paraId="2ACD3203" w14:textId="77777777">
            <w:pPr>
              <w:tabs>
                <w:tab w:val="left" w:pos="3543"/>
              </w:tabs>
              <w:spacing w:line="269" w:lineRule="auto"/>
              <w:jc w:val="center"/>
              <w:rPr>
                <w:rFonts w:cs="David"/>
                <w:sz w:val="20"/>
                <w:szCs w:val="20"/>
              </w:rPr>
            </w:pPr>
            <w:r w:rsidRPr="00EE4EB4">
              <w:rPr>
                <w:rFonts w:cs="David"/>
                <w:sz w:val="20"/>
                <w:szCs w:val="20"/>
              </w:rPr>
              <w:t>99%</w:t>
            </w:r>
          </w:p>
        </w:tc>
      </w:tr>
      <w:tr w14:paraId="6336750C" w14:textId="77777777" w:rsidTr="0041345D">
        <w:tblPrEx>
          <w:tblW w:w="8084" w:type="dxa"/>
          <w:tblLayout w:type="fixed"/>
          <w:tblLook w:val="04A0"/>
        </w:tblPrEx>
        <w:trPr>
          <w:trHeight w:val="300"/>
        </w:trPr>
        <w:tc>
          <w:tcPr>
            <w:tcW w:w="992" w:type="dxa"/>
            <w:shd w:val="clear" w:color="auto" w:fill="auto"/>
            <w:noWrap/>
            <w:vAlign w:val="bottom"/>
            <w:hideMark/>
          </w:tcPr>
          <w:p w:rsidR="00404B2A" w:rsidRPr="00EE4EB4" w:rsidP="00404B2A" w14:paraId="4D1A33BD" w14:textId="77777777">
            <w:pPr>
              <w:tabs>
                <w:tab w:val="left" w:pos="3543"/>
              </w:tabs>
              <w:spacing w:line="269" w:lineRule="auto"/>
              <w:jc w:val="center"/>
              <w:rPr>
                <w:rFonts w:cs="David"/>
                <w:sz w:val="20"/>
                <w:szCs w:val="20"/>
              </w:rPr>
            </w:pPr>
            <w:r w:rsidRPr="00EE4EB4">
              <w:rPr>
                <w:rFonts w:cs="David"/>
                <w:sz w:val="20"/>
                <w:szCs w:val="20"/>
              </w:rPr>
              <w:t>2014</w:t>
            </w:r>
          </w:p>
        </w:tc>
        <w:tc>
          <w:tcPr>
            <w:tcW w:w="1708" w:type="dxa"/>
            <w:shd w:val="clear" w:color="auto" w:fill="auto"/>
            <w:noWrap/>
            <w:vAlign w:val="bottom"/>
            <w:hideMark/>
          </w:tcPr>
          <w:p w:rsidR="00404B2A" w:rsidRPr="00EE4EB4" w:rsidP="00404B2A" w14:paraId="013FBD65" w14:textId="77777777">
            <w:pPr>
              <w:tabs>
                <w:tab w:val="left" w:pos="3543"/>
              </w:tabs>
              <w:spacing w:line="269" w:lineRule="auto"/>
              <w:jc w:val="center"/>
              <w:rPr>
                <w:rFonts w:cs="David"/>
                <w:sz w:val="20"/>
                <w:szCs w:val="20"/>
              </w:rPr>
            </w:pPr>
            <w:r w:rsidRPr="00EE4EB4">
              <w:rPr>
                <w:rFonts w:cs="David"/>
                <w:sz w:val="20"/>
                <w:szCs w:val="20"/>
              </w:rPr>
              <w:t>2,626,571</w:t>
            </w:r>
          </w:p>
        </w:tc>
        <w:tc>
          <w:tcPr>
            <w:tcW w:w="2132" w:type="dxa"/>
            <w:shd w:val="clear" w:color="auto" w:fill="auto"/>
            <w:noWrap/>
            <w:vAlign w:val="bottom"/>
            <w:hideMark/>
          </w:tcPr>
          <w:p w:rsidR="00404B2A" w:rsidRPr="00EE4EB4" w:rsidP="00404B2A" w14:paraId="0551761B" w14:textId="77777777">
            <w:pPr>
              <w:tabs>
                <w:tab w:val="left" w:pos="3543"/>
              </w:tabs>
              <w:spacing w:line="269" w:lineRule="auto"/>
              <w:jc w:val="center"/>
              <w:rPr>
                <w:rFonts w:cs="David"/>
                <w:sz w:val="20"/>
                <w:szCs w:val="20"/>
              </w:rPr>
            </w:pPr>
            <w:r w:rsidRPr="00EE4EB4">
              <w:rPr>
                <w:rFonts w:cs="David"/>
                <w:sz w:val="20"/>
                <w:szCs w:val="20"/>
              </w:rPr>
              <w:t>12%</w:t>
            </w:r>
          </w:p>
        </w:tc>
        <w:tc>
          <w:tcPr>
            <w:tcW w:w="1270" w:type="dxa"/>
            <w:shd w:val="clear" w:color="auto" w:fill="auto"/>
            <w:noWrap/>
            <w:vAlign w:val="bottom"/>
            <w:hideMark/>
          </w:tcPr>
          <w:p w:rsidR="00404B2A" w:rsidRPr="00EE4EB4" w:rsidP="00404B2A" w14:paraId="212C95F2" w14:textId="77777777">
            <w:pPr>
              <w:tabs>
                <w:tab w:val="left" w:pos="3543"/>
              </w:tabs>
              <w:spacing w:line="269" w:lineRule="auto"/>
              <w:jc w:val="center"/>
              <w:rPr>
                <w:rFonts w:cs="David"/>
                <w:sz w:val="20"/>
                <w:szCs w:val="20"/>
              </w:rPr>
            </w:pPr>
            <w:r w:rsidRPr="00EE4EB4">
              <w:rPr>
                <w:rFonts w:cs="David"/>
                <w:sz w:val="20"/>
                <w:szCs w:val="20"/>
              </w:rPr>
              <w:t>9,181</w:t>
            </w:r>
          </w:p>
        </w:tc>
        <w:tc>
          <w:tcPr>
            <w:tcW w:w="1982" w:type="dxa"/>
            <w:shd w:val="clear" w:color="auto" w:fill="auto"/>
            <w:noWrap/>
            <w:vAlign w:val="bottom"/>
            <w:hideMark/>
          </w:tcPr>
          <w:p w:rsidR="00404B2A" w:rsidRPr="00EE4EB4" w:rsidP="00404B2A" w14:paraId="4681235D" w14:textId="77777777">
            <w:pPr>
              <w:tabs>
                <w:tab w:val="left" w:pos="3543"/>
              </w:tabs>
              <w:spacing w:line="269" w:lineRule="auto"/>
              <w:jc w:val="center"/>
              <w:rPr>
                <w:rFonts w:cs="David"/>
                <w:sz w:val="20"/>
                <w:szCs w:val="20"/>
              </w:rPr>
            </w:pPr>
            <w:r w:rsidRPr="00EE4EB4">
              <w:rPr>
                <w:rFonts w:cs="David"/>
                <w:sz w:val="20"/>
                <w:szCs w:val="20"/>
              </w:rPr>
              <w:t>259%</w:t>
            </w:r>
          </w:p>
        </w:tc>
      </w:tr>
      <w:tr w14:paraId="576739C2" w14:textId="77777777" w:rsidTr="0041345D">
        <w:tblPrEx>
          <w:tblW w:w="8084" w:type="dxa"/>
          <w:tblLayout w:type="fixed"/>
          <w:tblLook w:val="04A0"/>
        </w:tblPrEx>
        <w:trPr>
          <w:trHeight w:val="300"/>
        </w:trPr>
        <w:tc>
          <w:tcPr>
            <w:tcW w:w="992" w:type="dxa"/>
            <w:shd w:val="clear" w:color="auto" w:fill="auto"/>
            <w:noWrap/>
            <w:vAlign w:val="bottom"/>
            <w:hideMark/>
          </w:tcPr>
          <w:p w:rsidR="00404B2A" w:rsidRPr="00EE4EB4" w:rsidP="00404B2A" w14:paraId="3B352FD1" w14:textId="77777777">
            <w:pPr>
              <w:tabs>
                <w:tab w:val="left" w:pos="3543"/>
              </w:tabs>
              <w:spacing w:line="269" w:lineRule="auto"/>
              <w:jc w:val="center"/>
              <w:rPr>
                <w:rFonts w:cs="David"/>
                <w:sz w:val="20"/>
                <w:szCs w:val="20"/>
              </w:rPr>
            </w:pPr>
            <w:r w:rsidRPr="00EE4EB4">
              <w:rPr>
                <w:rFonts w:cs="David"/>
                <w:sz w:val="20"/>
                <w:szCs w:val="20"/>
              </w:rPr>
              <w:t>2015</w:t>
            </w:r>
          </w:p>
        </w:tc>
        <w:tc>
          <w:tcPr>
            <w:tcW w:w="1708" w:type="dxa"/>
            <w:shd w:val="clear" w:color="auto" w:fill="auto"/>
            <w:noWrap/>
            <w:vAlign w:val="bottom"/>
            <w:hideMark/>
          </w:tcPr>
          <w:p w:rsidR="00404B2A" w:rsidRPr="00EE4EB4" w:rsidP="00404B2A" w14:paraId="02783255" w14:textId="77777777">
            <w:pPr>
              <w:tabs>
                <w:tab w:val="left" w:pos="3543"/>
              </w:tabs>
              <w:spacing w:line="269" w:lineRule="auto"/>
              <w:jc w:val="center"/>
              <w:rPr>
                <w:rFonts w:cs="David"/>
                <w:sz w:val="20"/>
                <w:szCs w:val="20"/>
              </w:rPr>
            </w:pPr>
            <w:r w:rsidRPr="00EE4EB4">
              <w:rPr>
                <w:rFonts w:cs="David"/>
                <w:sz w:val="20"/>
                <w:szCs w:val="20"/>
              </w:rPr>
              <w:t>2,499,151</w:t>
            </w:r>
          </w:p>
        </w:tc>
        <w:tc>
          <w:tcPr>
            <w:tcW w:w="2132" w:type="dxa"/>
            <w:shd w:val="clear" w:color="auto" w:fill="auto"/>
            <w:noWrap/>
            <w:vAlign w:val="bottom"/>
            <w:hideMark/>
          </w:tcPr>
          <w:p w:rsidR="00404B2A" w:rsidRPr="00EE4EB4" w:rsidP="00404B2A" w14:paraId="582F8C58" w14:textId="77777777">
            <w:pPr>
              <w:tabs>
                <w:tab w:val="left" w:pos="3543"/>
              </w:tabs>
              <w:spacing w:line="269" w:lineRule="auto"/>
              <w:jc w:val="center"/>
              <w:rPr>
                <w:rFonts w:cs="David"/>
                <w:sz w:val="20"/>
                <w:szCs w:val="20"/>
              </w:rPr>
            </w:pPr>
            <w:r w:rsidRPr="00EE4EB4">
              <w:rPr>
                <w:rFonts w:cs="David"/>
                <w:sz w:val="20"/>
                <w:szCs w:val="20"/>
              </w:rPr>
              <w:t>7%</w:t>
            </w:r>
          </w:p>
        </w:tc>
        <w:tc>
          <w:tcPr>
            <w:tcW w:w="1270" w:type="dxa"/>
            <w:shd w:val="clear" w:color="auto" w:fill="auto"/>
            <w:noWrap/>
            <w:vAlign w:val="bottom"/>
            <w:hideMark/>
          </w:tcPr>
          <w:p w:rsidR="00404B2A" w:rsidRPr="00EE4EB4" w:rsidP="00404B2A" w14:paraId="3327DEEB" w14:textId="77777777">
            <w:pPr>
              <w:tabs>
                <w:tab w:val="left" w:pos="3543"/>
              </w:tabs>
              <w:spacing w:line="269" w:lineRule="auto"/>
              <w:jc w:val="center"/>
              <w:rPr>
                <w:rFonts w:cs="David"/>
                <w:sz w:val="20"/>
                <w:szCs w:val="20"/>
                <w:rtl/>
              </w:rPr>
            </w:pPr>
            <w:r w:rsidRPr="00EE4EB4">
              <w:rPr>
                <w:rFonts w:cs="David"/>
                <w:sz w:val="20"/>
                <w:szCs w:val="20"/>
              </w:rPr>
              <w:t>11,223</w:t>
            </w:r>
          </w:p>
        </w:tc>
        <w:tc>
          <w:tcPr>
            <w:tcW w:w="1982" w:type="dxa"/>
            <w:shd w:val="clear" w:color="auto" w:fill="auto"/>
            <w:noWrap/>
            <w:vAlign w:val="bottom"/>
            <w:hideMark/>
          </w:tcPr>
          <w:p w:rsidR="00404B2A" w:rsidRPr="00EE4EB4" w:rsidP="00404B2A" w14:paraId="1B9FAAC6" w14:textId="77777777">
            <w:pPr>
              <w:tabs>
                <w:tab w:val="left" w:pos="3543"/>
              </w:tabs>
              <w:spacing w:line="269" w:lineRule="auto"/>
              <w:jc w:val="center"/>
              <w:rPr>
                <w:rFonts w:cs="David"/>
                <w:sz w:val="20"/>
                <w:szCs w:val="20"/>
              </w:rPr>
            </w:pPr>
            <w:r w:rsidRPr="00EE4EB4">
              <w:rPr>
                <w:rFonts w:cs="David"/>
                <w:sz w:val="20"/>
                <w:szCs w:val="20"/>
              </w:rPr>
              <w:t>339%</w:t>
            </w:r>
          </w:p>
        </w:tc>
      </w:tr>
      <w:tr w14:paraId="7C69BD99" w14:textId="77777777" w:rsidTr="0041345D">
        <w:tblPrEx>
          <w:tblW w:w="8084" w:type="dxa"/>
          <w:tblLayout w:type="fixed"/>
          <w:tblLook w:val="04A0"/>
        </w:tblPrEx>
        <w:trPr>
          <w:trHeight w:val="300"/>
        </w:trPr>
        <w:tc>
          <w:tcPr>
            <w:tcW w:w="992" w:type="dxa"/>
            <w:shd w:val="clear" w:color="auto" w:fill="auto"/>
            <w:noWrap/>
            <w:vAlign w:val="bottom"/>
            <w:hideMark/>
          </w:tcPr>
          <w:p w:rsidR="00404B2A" w:rsidRPr="00EE4EB4" w:rsidP="00404B2A" w14:paraId="2E1F9A6C" w14:textId="77777777">
            <w:pPr>
              <w:tabs>
                <w:tab w:val="left" w:pos="3543"/>
              </w:tabs>
              <w:spacing w:line="269" w:lineRule="auto"/>
              <w:jc w:val="center"/>
              <w:rPr>
                <w:rFonts w:cs="David"/>
                <w:sz w:val="20"/>
                <w:szCs w:val="20"/>
              </w:rPr>
            </w:pPr>
            <w:r w:rsidRPr="00EE4EB4">
              <w:rPr>
                <w:rFonts w:cs="David"/>
                <w:sz w:val="20"/>
                <w:szCs w:val="20"/>
              </w:rPr>
              <w:t>2016</w:t>
            </w:r>
          </w:p>
        </w:tc>
        <w:tc>
          <w:tcPr>
            <w:tcW w:w="1708" w:type="dxa"/>
            <w:shd w:val="clear" w:color="auto" w:fill="auto"/>
            <w:noWrap/>
            <w:vAlign w:val="bottom"/>
            <w:hideMark/>
          </w:tcPr>
          <w:p w:rsidR="00404B2A" w:rsidRPr="00EE4EB4" w:rsidP="00404B2A" w14:paraId="0D73FE00" w14:textId="77777777">
            <w:pPr>
              <w:tabs>
                <w:tab w:val="left" w:pos="3543"/>
              </w:tabs>
              <w:spacing w:line="269" w:lineRule="auto"/>
              <w:jc w:val="center"/>
              <w:rPr>
                <w:rFonts w:cs="David"/>
                <w:sz w:val="20"/>
                <w:szCs w:val="20"/>
              </w:rPr>
            </w:pPr>
            <w:r w:rsidRPr="00EE4EB4">
              <w:rPr>
                <w:rFonts w:cs="David"/>
                <w:sz w:val="20"/>
                <w:szCs w:val="20"/>
              </w:rPr>
              <w:t>2,394,987</w:t>
            </w:r>
          </w:p>
        </w:tc>
        <w:tc>
          <w:tcPr>
            <w:tcW w:w="2132" w:type="dxa"/>
            <w:shd w:val="clear" w:color="auto" w:fill="auto"/>
            <w:noWrap/>
            <w:vAlign w:val="bottom"/>
            <w:hideMark/>
          </w:tcPr>
          <w:p w:rsidR="00404B2A" w:rsidRPr="00EE4EB4" w:rsidP="00404B2A" w14:paraId="35E3F488" w14:textId="77777777">
            <w:pPr>
              <w:tabs>
                <w:tab w:val="left" w:pos="3543"/>
              </w:tabs>
              <w:spacing w:line="269" w:lineRule="auto"/>
              <w:jc w:val="center"/>
              <w:rPr>
                <w:rFonts w:cs="David"/>
                <w:sz w:val="20"/>
                <w:szCs w:val="20"/>
                <w:rtl/>
              </w:rPr>
            </w:pPr>
            <w:r w:rsidRPr="00EE4EB4">
              <w:rPr>
                <w:rFonts w:cs="David"/>
                <w:sz w:val="20"/>
                <w:szCs w:val="20"/>
              </w:rPr>
              <w:t>3%</w:t>
            </w:r>
          </w:p>
        </w:tc>
        <w:tc>
          <w:tcPr>
            <w:tcW w:w="1270" w:type="dxa"/>
            <w:shd w:val="clear" w:color="auto" w:fill="auto"/>
            <w:noWrap/>
            <w:vAlign w:val="bottom"/>
            <w:hideMark/>
          </w:tcPr>
          <w:p w:rsidR="00404B2A" w:rsidRPr="00EE4EB4" w:rsidP="00404B2A" w14:paraId="0528D788" w14:textId="77777777">
            <w:pPr>
              <w:tabs>
                <w:tab w:val="left" w:pos="3543"/>
              </w:tabs>
              <w:spacing w:line="269" w:lineRule="auto"/>
              <w:jc w:val="center"/>
              <w:rPr>
                <w:rFonts w:cs="David"/>
                <w:sz w:val="20"/>
                <w:szCs w:val="20"/>
              </w:rPr>
            </w:pPr>
            <w:r w:rsidRPr="00EE4EB4">
              <w:rPr>
                <w:rFonts w:cs="David"/>
                <w:sz w:val="20"/>
                <w:szCs w:val="20"/>
              </w:rPr>
              <w:t>18,389</w:t>
            </w:r>
          </w:p>
        </w:tc>
        <w:tc>
          <w:tcPr>
            <w:tcW w:w="1982" w:type="dxa"/>
            <w:shd w:val="clear" w:color="auto" w:fill="auto"/>
            <w:noWrap/>
            <w:vAlign w:val="bottom"/>
            <w:hideMark/>
          </w:tcPr>
          <w:p w:rsidR="00404B2A" w:rsidRPr="00EE4EB4" w:rsidP="00404B2A" w14:paraId="0AE132E2" w14:textId="77777777">
            <w:pPr>
              <w:tabs>
                <w:tab w:val="left" w:pos="3543"/>
              </w:tabs>
              <w:spacing w:line="269" w:lineRule="auto"/>
              <w:jc w:val="center"/>
              <w:rPr>
                <w:rFonts w:cs="David"/>
                <w:sz w:val="20"/>
                <w:szCs w:val="20"/>
              </w:rPr>
            </w:pPr>
            <w:r w:rsidRPr="00EE4EB4">
              <w:rPr>
                <w:rFonts w:cs="David"/>
                <w:sz w:val="20"/>
                <w:szCs w:val="20"/>
              </w:rPr>
              <w:t>620%</w:t>
            </w:r>
          </w:p>
        </w:tc>
      </w:tr>
      <w:tr w14:paraId="23900585" w14:textId="77777777" w:rsidTr="0041345D">
        <w:tblPrEx>
          <w:tblW w:w="8084" w:type="dxa"/>
          <w:tblLayout w:type="fixed"/>
          <w:tblLook w:val="04A0"/>
        </w:tblPrEx>
        <w:trPr>
          <w:trHeight w:val="300"/>
        </w:trPr>
        <w:tc>
          <w:tcPr>
            <w:tcW w:w="992" w:type="dxa"/>
            <w:shd w:val="clear" w:color="auto" w:fill="auto"/>
            <w:noWrap/>
            <w:vAlign w:val="bottom"/>
            <w:hideMark/>
          </w:tcPr>
          <w:p w:rsidR="00404B2A" w:rsidRPr="00EE4EB4" w:rsidP="00404B2A" w14:paraId="7F9B8AF1" w14:textId="77777777">
            <w:pPr>
              <w:tabs>
                <w:tab w:val="left" w:pos="3543"/>
              </w:tabs>
              <w:spacing w:line="269" w:lineRule="auto"/>
              <w:jc w:val="center"/>
              <w:rPr>
                <w:rFonts w:cs="David"/>
                <w:sz w:val="20"/>
                <w:szCs w:val="20"/>
              </w:rPr>
            </w:pPr>
            <w:r w:rsidRPr="00EE4EB4">
              <w:rPr>
                <w:rFonts w:cs="David"/>
                <w:sz w:val="20"/>
                <w:szCs w:val="20"/>
              </w:rPr>
              <w:t>2017</w:t>
            </w:r>
          </w:p>
        </w:tc>
        <w:tc>
          <w:tcPr>
            <w:tcW w:w="1708" w:type="dxa"/>
            <w:shd w:val="clear" w:color="auto" w:fill="auto"/>
            <w:noWrap/>
            <w:vAlign w:val="bottom"/>
            <w:hideMark/>
          </w:tcPr>
          <w:p w:rsidR="00404B2A" w:rsidRPr="00EE4EB4" w:rsidP="00404B2A" w14:paraId="0D2E4334" w14:textId="77777777">
            <w:pPr>
              <w:tabs>
                <w:tab w:val="left" w:pos="3543"/>
              </w:tabs>
              <w:spacing w:line="269" w:lineRule="auto"/>
              <w:jc w:val="center"/>
              <w:rPr>
                <w:rFonts w:cs="David"/>
                <w:sz w:val="20"/>
                <w:szCs w:val="20"/>
              </w:rPr>
            </w:pPr>
            <w:r w:rsidRPr="00EE4EB4">
              <w:rPr>
                <w:rFonts w:cs="David"/>
                <w:sz w:val="20"/>
                <w:szCs w:val="20"/>
              </w:rPr>
              <w:t>3,126,979</w:t>
            </w:r>
          </w:p>
        </w:tc>
        <w:tc>
          <w:tcPr>
            <w:tcW w:w="2132" w:type="dxa"/>
            <w:shd w:val="clear" w:color="auto" w:fill="auto"/>
            <w:noWrap/>
            <w:vAlign w:val="bottom"/>
            <w:hideMark/>
          </w:tcPr>
          <w:p w:rsidR="00404B2A" w:rsidRPr="00EE4EB4" w:rsidP="00404B2A" w14:paraId="42D4DAE9" w14:textId="77777777">
            <w:pPr>
              <w:tabs>
                <w:tab w:val="left" w:pos="3543"/>
              </w:tabs>
              <w:spacing w:line="269" w:lineRule="auto"/>
              <w:jc w:val="center"/>
              <w:rPr>
                <w:rFonts w:cs="David"/>
                <w:sz w:val="20"/>
                <w:szCs w:val="20"/>
              </w:rPr>
            </w:pPr>
            <w:r w:rsidRPr="00EE4EB4">
              <w:rPr>
                <w:rFonts w:cs="David"/>
                <w:sz w:val="20"/>
                <w:szCs w:val="20"/>
              </w:rPr>
              <w:t>34%</w:t>
            </w:r>
          </w:p>
        </w:tc>
        <w:tc>
          <w:tcPr>
            <w:tcW w:w="1270" w:type="dxa"/>
            <w:shd w:val="clear" w:color="auto" w:fill="auto"/>
            <w:noWrap/>
            <w:vAlign w:val="bottom"/>
            <w:hideMark/>
          </w:tcPr>
          <w:p w:rsidR="00404B2A" w:rsidRPr="00EE4EB4" w:rsidP="00404B2A" w14:paraId="7ADEFF3F" w14:textId="77777777">
            <w:pPr>
              <w:tabs>
                <w:tab w:val="left" w:pos="3543"/>
              </w:tabs>
              <w:spacing w:line="269" w:lineRule="auto"/>
              <w:jc w:val="center"/>
              <w:rPr>
                <w:rFonts w:cs="David"/>
                <w:sz w:val="20"/>
                <w:szCs w:val="20"/>
              </w:rPr>
            </w:pPr>
            <w:r w:rsidRPr="00EE4EB4">
              <w:rPr>
                <w:rFonts w:cs="David"/>
                <w:sz w:val="20"/>
                <w:szCs w:val="20"/>
              </w:rPr>
              <w:t>19,556</w:t>
            </w:r>
          </w:p>
        </w:tc>
        <w:tc>
          <w:tcPr>
            <w:tcW w:w="1982" w:type="dxa"/>
            <w:shd w:val="clear" w:color="auto" w:fill="auto"/>
            <w:noWrap/>
            <w:vAlign w:val="bottom"/>
            <w:hideMark/>
          </w:tcPr>
          <w:p w:rsidR="00404B2A" w:rsidRPr="00EE4EB4" w:rsidP="00404B2A" w14:paraId="57F31596" w14:textId="77777777">
            <w:pPr>
              <w:tabs>
                <w:tab w:val="left" w:pos="3543"/>
              </w:tabs>
              <w:spacing w:line="269" w:lineRule="auto"/>
              <w:jc w:val="center"/>
              <w:rPr>
                <w:rFonts w:cs="David"/>
                <w:sz w:val="20"/>
                <w:szCs w:val="20"/>
              </w:rPr>
            </w:pPr>
            <w:r w:rsidRPr="00EE4EB4">
              <w:rPr>
                <w:rFonts w:cs="David"/>
                <w:sz w:val="20"/>
                <w:szCs w:val="20"/>
              </w:rPr>
              <w:t>666%</w:t>
            </w:r>
          </w:p>
        </w:tc>
      </w:tr>
      <w:tr w14:paraId="26E50EDB" w14:textId="77777777" w:rsidTr="0041345D">
        <w:tblPrEx>
          <w:tblW w:w="8084" w:type="dxa"/>
          <w:tblLayout w:type="fixed"/>
          <w:tblLook w:val="04A0"/>
        </w:tblPrEx>
        <w:trPr>
          <w:trHeight w:val="300"/>
        </w:trPr>
        <w:tc>
          <w:tcPr>
            <w:tcW w:w="992" w:type="dxa"/>
            <w:shd w:val="clear" w:color="auto" w:fill="auto"/>
            <w:noWrap/>
            <w:vAlign w:val="bottom"/>
            <w:hideMark/>
          </w:tcPr>
          <w:p w:rsidR="00404B2A" w:rsidRPr="00EE4EB4" w:rsidP="00404B2A" w14:paraId="6730739D" w14:textId="77777777">
            <w:pPr>
              <w:tabs>
                <w:tab w:val="left" w:pos="3543"/>
              </w:tabs>
              <w:spacing w:line="269" w:lineRule="auto"/>
              <w:jc w:val="center"/>
              <w:rPr>
                <w:rFonts w:cs="David"/>
                <w:sz w:val="20"/>
                <w:szCs w:val="20"/>
              </w:rPr>
            </w:pPr>
            <w:r w:rsidRPr="00EE4EB4">
              <w:rPr>
                <w:rFonts w:cs="David"/>
                <w:sz w:val="20"/>
                <w:szCs w:val="20"/>
              </w:rPr>
              <w:t>2018</w:t>
            </w:r>
          </w:p>
        </w:tc>
        <w:tc>
          <w:tcPr>
            <w:tcW w:w="1708" w:type="dxa"/>
            <w:shd w:val="clear" w:color="auto" w:fill="auto"/>
            <w:noWrap/>
            <w:vAlign w:val="bottom"/>
            <w:hideMark/>
          </w:tcPr>
          <w:p w:rsidR="00404B2A" w:rsidRPr="00EE4EB4" w:rsidP="00404B2A" w14:paraId="48D045FF" w14:textId="77777777">
            <w:pPr>
              <w:tabs>
                <w:tab w:val="left" w:pos="3543"/>
              </w:tabs>
              <w:spacing w:line="269" w:lineRule="auto"/>
              <w:jc w:val="center"/>
              <w:rPr>
                <w:rFonts w:cs="David"/>
                <w:sz w:val="20"/>
                <w:szCs w:val="20"/>
              </w:rPr>
            </w:pPr>
            <w:r w:rsidRPr="00EE4EB4">
              <w:rPr>
                <w:rFonts w:cs="David"/>
                <w:sz w:val="20"/>
                <w:szCs w:val="20"/>
              </w:rPr>
              <w:t>3,530,657</w:t>
            </w:r>
          </w:p>
        </w:tc>
        <w:tc>
          <w:tcPr>
            <w:tcW w:w="2132" w:type="dxa"/>
            <w:shd w:val="clear" w:color="auto" w:fill="auto"/>
            <w:noWrap/>
            <w:vAlign w:val="bottom"/>
            <w:hideMark/>
          </w:tcPr>
          <w:p w:rsidR="00404B2A" w:rsidRPr="00EE4EB4" w:rsidP="00404B2A" w14:paraId="791A1A0E" w14:textId="77777777">
            <w:pPr>
              <w:tabs>
                <w:tab w:val="left" w:pos="3543"/>
              </w:tabs>
              <w:spacing w:line="269" w:lineRule="auto"/>
              <w:jc w:val="center"/>
              <w:rPr>
                <w:rFonts w:cs="David"/>
                <w:sz w:val="20"/>
                <w:szCs w:val="20"/>
              </w:rPr>
            </w:pPr>
            <w:r w:rsidRPr="00EE4EB4">
              <w:rPr>
                <w:rFonts w:cs="David"/>
                <w:sz w:val="20"/>
                <w:szCs w:val="20"/>
              </w:rPr>
              <w:t>51%</w:t>
            </w:r>
          </w:p>
        </w:tc>
        <w:tc>
          <w:tcPr>
            <w:tcW w:w="1270" w:type="dxa"/>
            <w:shd w:val="clear" w:color="auto" w:fill="auto"/>
            <w:noWrap/>
            <w:vAlign w:val="bottom"/>
            <w:hideMark/>
          </w:tcPr>
          <w:p w:rsidR="00404B2A" w:rsidRPr="00EE4EB4" w:rsidP="00404B2A" w14:paraId="796683CB" w14:textId="77777777">
            <w:pPr>
              <w:tabs>
                <w:tab w:val="left" w:pos="3543"/>
              </w:tabs>
              <w:spacing w:line="269" w:lineRule="auto"/>
              <w:jc w:val="center"/>
              <w:rPr>
                <w:rFonts w:cs="David"/>
                <w:sz w:val="20"/>
                <w:szCs w:val="20"/>
              </w:rPr>
            </w:pPr>
            <w:r w:rsidRPr="00EE4EB4">
              <w:rPr>
                <w:rFonts w:cs="David"/>
                <w:sz w:val="20"/>
                <w:szCs w:val="20"/>
              </w:rPr>
              <w:t>22,495</w:t>
            </w:r>
          </w:p>
        </w:tc>
        <w:tc>
          <w:tcPr>
            <w:tcW w:w="1982" w:type="dxa"/>
            <w:shd w:val="clear" w:color="auto" w:fill="auto"/>
            <w:noWrap/>
            <w:vAlign w:val="bottom"/>
            <w:hideMark/>
          </w:tcPr>
          <w:p w:rsidR="00404B2A" w:rsidRPr="00EE4EB4" w:rsidP="00404B2A" w14:paraId="6CDAF48F" w14:textId="77777777">
            <w:pPr>
              <w:tabs>
                <w:tab w:val="left" w:pos="3543"/>
              </w:tabs>
              <w:spacing w:line="269" w:lineRule="auto"/>
              <w:jc w:val="center"/>
              <w:rPr>
                <w:rFonts w:cs="David"/>
                <w:sz w:val="20"/>
                <w:szCs w:val="20"/>
              </w:rPr>
            </w:pPr>
            <w:r w:rsidRPr="00EE4EB4">
              <w:rPr>
                <w:rFonts w:cs="David"/>
                <w:sz w:val="20"/>
                <w:szCs w:val="20"/>
              </w:rPr>
              <w:t>781%</w:t>
            </w:r>
          </w:p>
        </w:tc>
      </w:tr>
    </w:tbl>
    <w:p w:rsidR="002D0C59" w:rsidRPr="00404B2A" w:rsidP="00404B2A" w14:paraId="3C77B99B" w14:textId="77777777">
      <w:pPr>
        <w:spacing w:line="269" w:lineRule="auto"/>
        <w:jc w:val="center"/>
        <w:rPr>
          <w:sz w:val="24"/>
          <w:rtl/>
        </w:rPr>
      </w:pPr>
      <w:r>
        <w:rPr>
          <w:rFonts w:hint="cs"/>
          <w:b/>
          <w:bCs/>
          <w:sz w:val="24"/>
          <w:rtl/>
        </w:rPr>
        <w:t>לוח 1</w:t>
      </w:r>
      <w:r w:rsidRPr="004A381F">
        <w:rPr>
          <w:rFonts w:hint="cs"/>
          <w:b/>
          <w:bCs/>
          <w:sz w:val="24"/>
          <w:rtl/>
        </w:rPr>
        <w:t>:</w:t>
      </w:r>
      <w:r w:rsidRPr="004A381F">
        <w:rPr>
          <w:b/>
          <w:bCs/>
          <w:sz w:val="24"/>
          <w:rtl/>
        </w:rPr>
        <w:t xml:space="preserve"> </w:t>
      </w:r>
      <w:r w:rsidRPr="004A381F">
        <w:rPr>
          <w:rFonts w:hint="cs"/>
          <w:b/>
          <w:bCs/>
          <w:sz w:val="24"/>
          <w:rtl/>
        </w:rPr>
        <w:t xml:space="preserve">תיירים שנכנסו לישראל </w:t>
      </w:r>
      <w:r>
        <w:rPr>
          <w:rFonts w:hint="cs"/>
          <w:b/>
          <w:bCs/>
          <w:sz w:val="24"/>
          <w:rtl/>
        </w:rPr>
        <w:t>ו</w:t>
      </w:r>
      <w:r w:rsidRPr="004A381F">
        <w:rPr>
          <w:rFonts w:hint="cs"/>
          <w:b/>
          <w:bCs/>
          <w:sz w:val="24"/>
          <w:rtl/>
        </w:rPr>
        <w:t>סירובי כניסה</w:t>
      </w:r>
      <w:r>
        <w:rPr>
          <w:rFonts w:hint="cs"/>
          <w:b/>
          <w:bCs/>
          <w:sz w:val="24"/>
          <w:rtl/>
        </w:rPr>
        <w:t xml:space="preserve">, </w:t>
      </w:r>
      <w:r w:rsidR="00404B2A">
        <w:rPr>
          <w:rFonts w:hint="cs"/>
          <w:b/>
          <w:bCs/>
          <w:sz w:val="24"/>
          <w:rtl/>
        </w:rPr>
        <w:t>2012 - 2018</w:t>
      </w:r>
    </w:p>
    <w:p w:rsidR="002D0C59" w:rsidRPr="00A21F5C" w:rsidP="00404B2A" w14:paraId="5818452D" w14:textId="77777777">
      <w:pPr>
        <w:spacing w:before="120" w:line="269" w:lineRule="auto"/>
        <w:rPr>
          <w:rtl/>
        </w:rPr>
      </w:pPr>
      <w:r w:rsidRPr="00A21F5C">
        <w:rPr>
          <w:rFonts w:hint="cs"/>
          <w:sz w:val="16"/>
          <w:szCs w:val="20"/>
          <w:rtl/>
        </w:rPr>
        <w:t>המקור: נתוני רשות האוכלוסין</w:t>
      </w:r>
      <w:r>
        <w:rPr>
          <w:rFonts w:hint="cs"/>
          <w:sz w:val="16"/>
          <w:szCs w:val="20"/>
          <w:rtl/>
        </w:rPr>
        <w:t>,</w:t>
      </w:r>
      <w:r w:rsidRPr="00A21F5C">
        <w:rPr>
          <w:rFonts w:hint="cs"/>
          <w:sz w:val="16"/>
          <w:szCs w:val="20"/>
          <w:rtl/>
        </w:rPr>
        <w:t xml:space="preserve"> בעיבוד משרד מבקר המדינה</w:t>
      </w:r>
      <w:r w:rsidRPr="00A21F5C">
        <w:rPr>
          <w:rFonts w:hint="cs"/>
          <w:rtl/>
        </w:rPr>
        <w:t>.</w:t>
      </w:r>
    </w:p>
    <w:p w:rsidR="002D0C59" w:rsidP="00AE0BE6" w14:paraId="3622AF55" w14:textId="77777777">
      <w:pPr>
        <w:pStyle w:val="a"/>
        <w:spacing w:line="269" w:lineRule="auto"/>
        <w:rPr>
          <w:rtl/>
        </w:rPr>
      </w:pPr>
    </w:p>
    <w:p w:rsidR="002D0C59" w:rsidRPr="004A381F" w:rsidP="00AE0BE6" w14:paraId="6BAD1D81" w14:textId="77777777">
      <w:pPr>
        <w:spacing w:line="269" w:lineRule="auto"/>
        <w:ind w:left="312"/>
        <w:rPr>
          <w:sz w:val="24"/>
          <w:rtl/>
        </w:rPr>
      </w:pPr>
      <w:r w:rsidRPr="006C3215">
        <w:rPr>
          <w:rFonts w:hint="cs"/>
          <w:rtl/>
        </w:rPr>
        <w:t>מהלוח ע</w:t>
      </w:r>
      <w:r w:rsidRPr="004A381F">
        <w:rPr>
          <w:rFonts w:hint="cs"/>
          <w:sz w:val="24"/>
          <w:rtl/>
        </w:rPr>
        <w:t xml:space="preserve">ולה כי משנת 2017 </w:t>
      </w:r>
      <w:r w:rsidRPr="00D062D9">
        <w:rPr>
          <w:rFonts w:hint="eastAsia"/>
          <w:sz w:val="24"/>
          <w:rtl/>
        </w:rPr>
        <w:t>חל</w:t>
      </w:r>
      <w:r w:rsidRPr="00D062D9">
        <w:rPr>
          <w:sz w:val="24"/>
          <w:rtl/>
        </w:rPr>
        <w:t xml:space="preserve"> </w:t>
      </w:r>
      <w:r>
        <w:rPr>
          <w:rFonts w:hint="cs"/>
          <w:sz w:val="24"/>
          <w:rtl/>
        </w:rPr>
        <w:t>גידול</w:t>
      </w:r>
      <w:r w:rsidRPr="00D062D9">
        <w:rPr>
          <w:sz w:val="24"/>
          <w:rtl/>
        </w:rPr>
        <w:t xml:space="preserve"> </w:t>
      </w:r>
      <w:r w:rsidRPr="00D062D9">
        <w:rPr>
          <w:rFonts w:hint="eastAsia"/>
          <w:sz w:val="24"/>
          <w:rtl/>
        </w:rPr>
        <w:t>ניכר</w:t>
      </w:r>
      <w:r w:rsidRPr="00D062D9">
        <w:rPr>
          <w:sz w:val="24"/>
          <w:rtl/>
        </w:rPr>
        <w:t xml:space="preserve"> ב</w:t>
      </w:r>
      <w:r w:rsidRPr="00D062D9">
        <w:rPr>
          <w:rFonts w:hint="eastAsia"/>
          <w:sz w:val="24"/>
          <w:rtl/>
        </w:rPr>
        <w:t>מספר</w:t>
      </w:r>
      <w:r w:rsidRPr="004A381F">
        <w:rPr>
          <w:rFonts w:hint="cs"/>
          <w:sz w:val="24"/>
          <w:rtl/>
        </w:rPr>
        <w:t xml:space="preserve"> התיירים שנכנסו לארץ (בנוגע לעלייה במספר סירובי הכניסה - ראו להלן).</w:t>
      </w:r>
    </w:p>
    <w:p w:rsidR="002D0C59" w:rsidRPr="00A21F5C" w:rsidP="00AE0BE6" w14:paraId="6B51BE98" w14:textId="77777777">
      <w:pPr>
        <w:pStyle w:val="a"/>
        <w:spacing w:line="269" w:lineRule="auto"/>
        <w:rPr>
          <w:rtl/>
        </w:rPr>
      </w:pPr>
    </w:p>
    <w:p w:rsidR="002D0C59" w:rsidRPr="004A381F" w:rsidP="00AE0BE6" w14:paraId="3A09BA3D" w14:textId="77777777">
      <w:pPr>
        <w:pStyle w:val="ListParagraph"/>
        <w:numPr>
          <w:ilvl w:val="0"/>
          <w:numId w:val="6"/>
        </w:numPr>
        <w:spacing w:after="0" w:line="269" w:lineRule="auto"/>
        <w:jc w:val="both"/>
        <w:rPr>
          <w:rFonts w:cs="David"/>
          <w:sz w:val="24"/>
          <w:szCs w:val="24"/>
        </w:rPr>
      </w:pPr>
      <w:r w:rsidRPr="004A381F">
        <w:rPr>
          <w:rFonts w:cs="David"/>
          <w:sz w:val="24"/>
          <w:szCs w:val="24"/>
          <w:rtl/>
        </w:rPr>
        <w:t>רשות</w:t>
      </w:r>
      <w:r w:rsidR="00572859">
        <w:rPr>
          <w:rFonts w:cs="David" w:hint="cs"/>
          <w:sz w:val="24"/>
          <w:szCs w:val="24"/>
          <w:rtl/>
        </w:rPr>
        <w:t xml:space="preserve"> האוכלוסין</w:t>
      </w:r>
      <w:r w:rsidRPr="004A381F">
        <w:rPr>
          <w:rFonts w:cs="David"/>
          <w:sz w:val="24"/>
          <w:szCs w:val="24"/>
          <w:rtl/>
        </w:rPr>
        <w:t xml:space="preserve"> היא גוף ממשלתי המספק שירות לכלל תושבי המדינה </w:t>
      </w:r>
      <w:r w:rsidRPr="004A381F">
        <w:rPr>
          <w:rFonts w:cs="David" w:hint="cs"/>
          <w:sz w:val="24"/>
          <w:szCs w:val="24"/>
          <w:rtl/>
        </w:rPr>
        <w:t>ו</w:t>
      </w:r>
      <w:r w:rsidRPr="004A381F">
        <w:rPr>
          <w:rFonts w:cs="David"/>
          <w:sz w:val="24"/>
          <w:szCs w:val="24"/>
          <w:rtl/>
        </w:rPr>
        <w:t>לעוברים במעברי הגבול</w:t>
      </w:r>
      <w:r>
        <w:rPr>
          <w:rFonts w:cs="David" w:hint="cs"/>
          <w:sz w:val="24"/>
          <w:szCs w:val="24"/>
          <w:rtl/>
        </w:rPr>
        <w:t>,</w:t>
      </w:r>
      <w:r w:rsidRPr="004A381F">
        <w:rPr>
          <w:rFonts w:cs="David"/>
          <w:sz w:val="24"/>
          <w:szCs w:val="24"/>
          <w:rtl/>
        </w:rPr>
        <w:t xml:space="preserve"> ומדי שנה פונים אליה מאות אלפים לצורך קבלת מענה בעניינים שעליהם היא מ</w:t>
      </w:r>
      <w:r w:rsidRPr="004A381F">
        <w:rPr>
          <w:rFonts w:cs="David"/>
          <w:sz w:val="24"/>
          <w:szCs w:val="24"/>
          <w:rtl/>
        </w:rPr>
        <w:t xml:space="preserve">ופקדת. </w:t>
      </w:r>
      <w:r w:rsidRPr="004A381F">
        <w:rPr>
          <w:rFonts w:cs="David" w:hint="cs"/>
          <w:sz w:val="24"/>
          <w:szCs w:val="24"/>
          <w:rtl/>
        </w:rPr>
        <w:t>ה</w:t>
      </w:r>
      <w:r w:rsidRPr="004A381F">
        <w:rPr>
          <w:rFonts w:cs="David"/>
          <w:sz w:val="24"/>
          <w:szCs w:val="24"/>
          <w:rtl/>
        </w:rPr>
        <w:t>רשות</w:t>
      </w:r>
      <w:r w:rsidRPr="004A381F">
        <w:rPr>
          <w:rFonts w:cs="David" w:hint="cs"/>
          <w:sz w:val="24"/>
          <w:szCs w:val="24"/>
          <w:rtl/>
        </w:rPr>
        <w:t>,</w:t>
      </w:r>
      <w:r w:rsidRPr="004A381F">
        <w:rPr>
          <w:rFonts w:cs="David"/>
          <w:sz w:val="24"/>
          <w:szCs w:val="24"/>
          <w:rtl/>
        </w:rPr>
        <w:t xml:space="preserve"> ככל גורם ממשלתי אחר</w:t>
      </w:r>
      <w:r w:rsidRPr="004A381F">
        <w:rPr>
          <w:rFonts w:cs="David" w:hint="cs"/>
          <w:sz w:val="24"/>
          <w:szCs w:val="24"/>
          <w:rtl/>
        </w:rPr>
        <w:t>,</w:t>
      </w:r>
      <w:r w:rsidRPr="004A381F">
        <w:rPr>
          <w:rFonts w:cs="David"/>
          <w:sz w:val="24"/>
          <w:szCs w:val="24"/>
          <w:rtl/>
        </w:rPr>
        <w:t xml:space="preserve"> נדרשת</w:t>
      </w:r>
      <w:r w:rsidRPr="004A381F">
        <w:rPr>
          <w:rFonts w:cs="David" w:hint="cs"/>
          <w:sz w:val="24"/>
          <w:szCs w:val="24"/>
          <w:rtl/>
        </w:rPr>
        <w:t xml:space="preserve"> גם</w:t>
      </w:r>
      <w:r w:rsidRPr="004A381F">
        <w:rPr>
          <w:rFonts w:cs="David"/>
          <w:sz w:val="24"/>
          <w:szCs w:val="24"/>
          <w:rtl/>
        </w:rPr>
        <w:t xml:space="preserve"> להפעיל את סמכויותיה </w:t>
      </w:r>
      <w:r w:rsidRPr="004A381F">
        <w:rPr>
          <w:rFonts w:cs="David" w:hint="cs"/>
          <w:sz w:val="24"/>
          <w:szCs w:val="24"/>
          <w:rtl/>
        </w:rPr>
        <w:t>כך</w:t>
      </w:r>
      <w:r w:rsidRPr="004A381F">
        <w:rPr>
          <w:rFonts w:cs="David"/>
          <w:sz w:val="24"/>
          <w:szCs w:val="24"/>
          <w:rtl/>
        </w:rPr>
        <w:t xml:space="preserve"> שהשירות יינתן </w:t>
      </w:r>
      <w:r>
        <w:rPr>
          <w:rFonts w:cs="David" w:hint="cs"/>
          <w:sz w:val="24"/>
          <w:szCs w:val="24"/>
          <w:rtl/>
        </w:rPr>
        <w:t xml:space="preserve">לפונים </w:t>
      </w:r>
      <w:r w:rsidRPr="004A381F">
        <w:rPr>
          <w:rFonts w:cs="David"/>
          <w:sz w:val="24"/>
          <w:szCs w:val="24"/>
          <w:rtl/>
        </w:rPr>
        <w:t>במהירות הראויה ובלא שתיגרם ל</w:t>
      </w:r>
      <w:r>
        <w:rPr>
          <w:rFonts w:cs="David" w:hint="cs"/>
          <w:sz w:val="24"/>
          <w:szCs w:val="24"/>
          <w:rtl/>
        </w:rPr>
        <w:t>הם</w:t>
      </w:r>
      <w:r w:rsidRPr="004A381F">
        <w:rPr>
          <w:rFonts w:cs="David"/>
          <w:sz w:val="24"/>
          <w:szCs w:val="24"/>
          <w:rtl/>
        </w:rPr>
        <w:t xml:space="preserve"> טרחה יתרה</w:t>
      </w:r>
      <w:r>
        <w:rPr>
          <w:rStyle w:val="FootnoteReference1"/>
          <w:rFonts w:cs="David"/>
          <w:sz w:val="24"/>
          <w:szCs w:val="24"/>
          <w:rtl/>
        </w:rPr>
        <w:footnoteReference w:id="7"/>
      </w:r>
      <w:r w:rsidRPr="004A381F">
        <w:rPr>
          <w:rFonts w:cs="David"/>
          <w:sz w:val="24"/>
          <w:szCs w:val="24"/>
          <w:rtl/>
        </w:rPr>
        <w:t xml:space="preserve">. </w:t>
      </w:r>
      <w:r w:rsidRPr="004A381F">
        <w:rPr>
          <w:rFonts w:cs="David" w:hint="cs"/>
          <w:sz w:val="24"/>
          <w:szCs w:val="24"/>
          <w:rtl/>
        </w:rPr>
        <w:t>לשם כך עליה ל</w:t>
      </w:r>
      <w:r w:rsidRPr="004A381F">
        <w:rPr>
          <w:rFonts w:cs="David"/>
          <w:sz w:val="24"/>
          <w:szCs w:val="24"/>
          <w:rtl/>
        </w:rPr>
        <w:t>מד</w:t>
      </w:r>
      <w:r w:rsidRPr="004A381F">
        <w:rPr>
          <w:rFonts w:cs="David" w:hint="cs"/>
          <w:sz w:val="24"/>
          <w:szCs w:val="24"/>
          <w:rtl/>
        </w:rPr>
        <w:t>ו</w:t>
      </w:r>
      <w:r w:rsidRPr="004A381F">
        <w:rPr>
          <w:rFonts w:cs="David"/>
          <w:sz w:val="24"/>
          <w:szCs w:val="24"/>
          <w:rtl/>
        </w:rPr>
        <w:t xml:space="preserve">ד </w:t>
      </w:r>
      <w:r>
        <w:rPr>
          <w:rFonts w:cs="David" w:hint="cs"/>
          <w:sz w:val="24"/>
          <w:szCs w:val="24"/>
          <w:rtl/>
        </w:rPr>
        <w:t xml:space="preserve">את </w:t>
      </w:r>
      <w:r w:rsidRPr="004A0234">
        <w:rPr>
          <w:rFonts w:cs="David" w:hint="cs"/>
          <w:sz w:val="24"/>
          <w:szCs w:val="24"/>
          <w:rtl/>
        </w:rPr>
        <w:t xml:space="preserve">הזמן של </w:t>
      </w:r>
      <w:r>
        <w:rPr>
          <w:rFonts w:cs="David" w:hint="cs"/>
          <w:sz w:val="24"/>
          <w:szCs w:val="24"/>
          <w:rtl/>
        </w:rPr>
        <w:t>כל אחד מ</w:t>
      </w:r>
      <w:r w:rsidRPr="004A0234">
        <w:rPr>
          <w:rFonts w:cs="David" w:hint="cs"/>
          <w:sz w:val="24"/>
          <w:szCs w:val="24"/>
          <w:rtl/>
        </w:rPr>
        <w:t xml:space="preserve">השירותים שהיא מעניקה </w:t>
      </w:r>
      <w:r w:rsidRPr="004A381F">
        <w:rPr>
          <w:rFonts w:cs="David"/>
          <w:sz w:val="24"/>
          <w:szCs w:val="24"/>
          <w:rtl/>
        </w:rPr>
        <w:t>ו</w:t>
      </w:r>
      <w:r w:rsidRPr="004A381F">
        <w:rPr>
          <w:rFonts w:cs="David" w:hint="cs"/>
          <w:sz w:val="24"/>
          <w:szCs w:val="24"/>
          <w:rtl/>
        </w:rPr>
        <w:t>ל</w:t>
      </w:r>
      <w:r w:rsidRPr="004A381F">
        <w:rPr>
          <w:rFonts w:cs="David"/>
          <w:sz w:val="24"/>
          <w:szCs w:val="24"/>
          <w:rtl/>
        </w:rPr>
        <w:t>הער</w:t>
      </w:r>
      <w:r w:rsidRPr="004A381F">
        <w:rPr>
          <w:rFonts w:cs="David" w:hint="cs"/>
          <w:sz w:val="24"/>
          <w:szCs w:val="24"/>
          <w:rtl/>
        </w:rPr>
        <w:t>יך</w:t>
      </w:r>
      <w:r>
        <w:rPr>
          <w:rFonts w:cs="David" w:hint="cs"/>
          <w:sz w:val="24"/>
          <w:szCs w:val="24"/>
          <w:rtl/>
        </w:rPr>
        <w:t xml:space="preserve"> אותם.</w:t>
      </w:r>
      <w:r w:rsidRPr="004A381F">
        <w:rPr>
          <w:rFonts w:cs="David"/>
          <w:sz w:val="24"/>
          <w:szCs w:val="24"/>
          <w:rtl/>
        </w:rPr>
        <w:t xml:space="preserve"> </w:t>
      </w:r>
    </w:p>
    <w:p w:rsidR="002D0C59" w:rsidRPr="00A21F5C" w:rsidP="00AE0BE6" w14:paraId="3D5C8E88" w14:textId="77777777">
      <w:pPr>
        <w:pStyle w:val="a"/>
        <w:spacing w:line="269" w:lineRule="auto"/>
        <w:rPr>
          <w:rtl/>
        </w:rPr>
      </w:pPr>
    </w:p>
    <w:p w:rsidR="002D0C59" w:rsidP="00AE0BE6" w14:paraId="22D4D4B2" w14:textId="77777777">
      <w:pPr>
        <w:pStyle w:val="ListParagraph"/>
        <w:numPr>
          <w:ilvl w:val="0"/>
          <w:numId w:val="6"/>
        </w:numPr>
        <w:spacing w:after="0" w:line="269" w:lineRule="auto"/>
        <w:jc w:val="both"/>
        <w:rPr>
          <w:rFonts w:cs="David"/>
          <w:strike/>
          <w:sz w:val="24"/>
          <w:szCs w:val="24"/>
        </w:rPr>
      </w:pPr>
      <w:r w:rsidRPr="007C6D78">
        <w:rPr>
          <w:rFonts w:cs="David" w:hint="cs"/>
          <w:sz w:val="24"/>
          <w:szCs w:val="24"/>
          <w:rtl/>
        </w:rPr>
        <w:t xml:space="preserve">על פי </w:t>
      </w:r>
      <w:r w:rsidRPr="007C6D78">
        <w:rPr>
          <w:rFonts w:cs="David"/>
          <w:sz w:val="24"/>
          <w:szCs w:val="24"/>
          <w:rtl/>
        </w:rPr>
        <w:t xml:space="preserve">החלטת </w:t>
      </w:r>
      <w:r>
        <w:rPr>
          <w:rFonts w:cs="David" w:hint="cs"/>
          <w:sz w:val="24"/>
          <w:szCs w:val="24"/>
          <w:rtl/>
        </w:rPr>
        <w:t>ה</w:t>
      </w:r>
      <w:r w:rsidRPr="007C6D78">
        <w:rPr>
          <w:rFonts w:cs="David"/>
          <w:sz w:val="24"/>
          <w:szCs w:val="24"/>
          <w:rtl/>
        </w:rPr>
        <w:t>ממשלה</w:t>
      </w:r>
      <w:r>
        <w:rPr>
          <w:rFonts w:cs="David" w:hint="cs"/>
          <w:sz w:val="24"/>
          <w:szCs w:val="24"/>
          <w:rtl/>
        </w:rPr>
        <w:t xml:space="preserve"> ממרץ 1996</w:t>
      </w:r>
      <w:r>
        <w:rPr>
          <w:rStyle w:val="FootnoteReference1"/>
          <w:rFonts w:cs="David"/>
          <w:sz w:val="24"/>
          <w:szCs w:val="24"/>
          <w:rtl/>
        </w:rPr>
        <w:footnoteReference w:id="8"/>
      </w:r>
      <w:r w:rsidRPr="007C6D78">
        <w:rPr>
          <w:rFonts w:cs="David" w:hint="cs"/>
          <w:sz w:val="24"/>
          <w:szCs w:val="24"/>
          <w:rtl/>
        </w:rPr>
        <w:t>,</w:t>
      </w:r>
      <w:r w:rsidRPr="007C6D78">
        <w:rPr>
          <w:rFonts w:cs="David"/>
          <w:sz w:val="24"/>
          <w:szCs w:val="24"/>
          <w:rtl/>
        </w:rPr>
        <w:t xml:space="preserve"> </w:t>
      </w:r>
      <w:r>
        <w:rPr>
          <w:rFonts w:cs="David" w:hint="cs"/>
          <w:sz w:val="24"/>
          <w:szCs w:val="24"/>
          <w:rtl/>
        </w:rPr>
        <w:t>רש"ת תממן את</w:t>
      </w:r>
      <w:r w:rsidRPr="007C6D78">
        <w:rPr>
          <w:rFonts w:cs="David"/>
          <w:sz w:val="24"/>
          <w:szCs w:val="24"/>
          <w:rtl/>
        </w:rPr>
        <w:t xml:space="preserve"> ההוצאות המשתנות של הפעלת מערך ביקורת הגבולות</w:t>
      </w:r>
      <w:r>
        <w:rPr>
          <w:rFonts w:cs="David" w:hint="cs"/>
          <w:sz w:val="24"/>
          <w:szCs w:val="24"/>
          <w:rtl/>
        </w:rPr>
        <w:t xml:space="preserve"> ובהן שכר בקרי הגבול בקו הקדמי (ראו להלן)</w:t>
      </w:r>
      <w:r w:rsidRPr="007C6D78">
        <w:rPr>
          <w:rFonts w:cs="David" w:hint="cs"/>
          <w:sz w:val="24"/>
          <w:szCs w:val="24"/>
          <w:rtl/>
        </w:rPr>
        <w:t xml:space="preserve">. בינואר 2011 נחתם הסכם בין רש"ת לבין רשות האוכלוסין </w:t>
      </w:r>
      <w:r>
        <w:rPr>
          <w:rFonts w:cs="David" w:hint="cs"/>
          <w:sz w:val="24"/>
          <w:szCs w:val="24"/>
          <w:rtl/>
        </w:rPr>
        <w:t>ש</w:t>
      </w:r>
      <w:r w:rsidRPr="007C6D78">
        <w:rPr>
          <w:rFonts w:cs="David" w:hint="cs"/>
          <w:sz w:val="24"/>
          <w:szCs w:val="24"/>
          <w:rtl/>
        </w:rPr>
        <w:t xml:space="preserve">בו נקבע זמן </w:t>
      </w:r>
      <w:r>
        <w:rPr>
          <w:rFonts w:cs="David" w:hint="cs"/>
          <w:sz w:val="24"/>
          <w:szCs w:val="24"/>
          <w:rtl/>
        </w:rPr>
        <w:t xml:space="preserve">ההמתנה </w:t>
      </w:r>
      <w:r w:rsidRPr="007C6D78">
        <w:rPr>
          <w:rFonts w:cs="David" w:hint="cs"/>
          <w:sz w:val="24"/>
          <w:szCs w:val="24"/>
          <w:rtl/>
        </w:rPr>
        <w:t xml:space="preserve">המרבי לשירות רשות האוכלוסין לציבור בעמדות ביקורת הגבולות בנתב"ג. בין השאר נקבעו </w:t>
      </w:r>
      <w:r w:rsidRPr="007C6D78">
        <w:rPr>
          <w:rFonts w:cs="David"/>
          <w:sz w:val="24"/>
          <w:szCs w:val="24"/>
          <w:rtl/>
        </w:rPr>
        <w:t>פרק</w:t>
      </w:r>
      <w:r w:rsidRPr="007C6D78">
        <w:rPr>
          <w:rFonts w:cs="David" w:hint="cs"/>
          <w:sz w:val="24"/>
          <w:szCs w:val="24"/>
          <w:rtl/>
        </w:rPr>
        <w:t>י</w:t>
      </w:r>
      <w:r w:rsidRPr="007C6D78">
        <w:rPr>
          <w:rFonts w:cs="David"/>
          <w:sz w:val="24"/>
          <w:szCs w:val="24"/>
          <w:rtl/>
        </w:rPr>
        <w:t xml:space="preserve"> הזמן </w:t>
      </w:r>
      <w:r w:rsidRPr="007C6D78">
        <w:rPr>
          <w:rFonts w:cs="David" w:hint="cs"/>
          <w:sz w:val="24"/>
          <w:szCs w:val="24"/>
          <w:rtl/>
        </w:rPr>
        <w:t>המרביים</w:t>
      </w:r>
      <w:r w:rsidRPr="007C6D78">
        <w:rPr>
          <w:rFonts w:cs="David" w:hint="cs"/>
          <w:sz w:val="24"/>
          <w:szCs w:val="24"/>
          <w:rtl/>
        </w:rPr>
        <w:t xml:space="preserve"> מהגעת הנוסע לעמדת ביקורת הגבולות ועד לקבלת השירות ב</w:t>
      </w:r>
      <w:r>
        <w:rPr>
          <w:rFonts w:cs="David" w:hint="cs"/>
          <w:sz w:val="24"/>
          <w:szCs w:val="24"/>
          <w:rtl/>
        </w:rPr>
        <w:t>ה</w:t>
      </w:r>
      <w:r w:rsidRPr="007C6D78">
        <w:rPr>
          <w:rFonts w:cs="David" w:hint="cs"/>
          <w:sz w:val="24"/>
          <w:szCs w:val="24"/>
          <w:rtl/>
        </w:rPr>
        <w:t xml:space="preserve"> (להלן - זמן </w:t>
      </w:r>
      <w:r>
        <w:rPr>
          <w:rFonts w:cs="David" w:hint="cs"/>
          <w:sz w:val="24"/>
          <w:szCs w:val="24"/>
          <w:rtl/>
        </w:rPr>
        <w:t>ה</w:t>
      </w:r>
      <w:r w:rsidRPr="007C6D78">
        <w:rPr>
          <w:rFonts w:cs="David" w:hint="cs"/>
          <w:sz w:val="24"/>
          <w:szCs w:val="24"/>
          <w:rtl/>
        </w:rPr>
        <w:t>המתנה). בהסכם לא נקבע מי אחראי למד</w:t>
      </w:r>
      <w:r>
        <w:rPr>
          <w:rFonts w:cs="David" w:hint="cs"/>
          <w:sz w:val="24"/>
          <w:szCs w:val="24"/>
          <w:rtl/>
        </w:rPr>
        <w:t>ידת</w:t>
      </w:r>
      <w:r w:rsidRPr="007C6D78">
        <w:rPr>
          <w:rFonts w:cs="David" w:hint="cs"/>
          <w:sz w:val="24"/>
          <w:szCs w:val="24"/>
          <w:rtl/>
        </w:rPr>
        <w:t xml:space="preserve"> זמן ההמתנה בפועל - רש"ת או רשות האוכלוסין. </w:t>
      </w:r>
    </w:p>
    <w:p w:rsidR="00CA38F7" w:rsidP="00AE0BE6" w14:paraId="511D34B0" w14:textId="77777777">
      <w:pPr>
        <w:pStyle w:val="Heading3"/>
        <w:spacing w:before="0" w:line="269" w:lineRule="auto"/>
      </w:pPr>
    </w:p>
    <w:p w:rsidR="00CA38F7" w:rsidP="00AE0BE6" w14:paraId="0AA51564" w14:textId="77777777">
      <w:pPr>
        <w:pStyle w:val="Heading3"/>
        <w:spacing w:before="0" w:line="269" w:lineRule="auto"/>
      </w:pPr>
    </w:p>
    <w:p w:rsidR="002D0C59" w:rsidRPr="002D0C59" w:rsidP="00AE0BE6" w14:paraId="4A71F328" w14:textId="6DFC7F1B">
      <w:pPr>
        <w:pStyle w:val="Heading3"/>
        <w:spacing w:before="0" w:line="269" w:lineRule="auto"/>
        <w:rPr>
          <w:rtl/>
        </w:rPr>
      </w:pPr>
      <w:r w:rsidRPr="002D0C59">
        <w:rPr>
          <w:rFonts w:hint="cs"/>
          <w:rtl/>
        </w:rPr>
        <w:t>זמן ההמתנה של הנוסע היוצא</w:t>
      </w:r>
    </w:p>
    <w:p w:rsidR="002D0C59" w:rsidRPr="00A21F5C" w:rsidP="00AE0BE6" w14:paraId="108A2F42" w14:textId="77777777">
      <w:pPr>
        <w:pStyle w:val="a"/>
        <w:spacing w:line="269" w:lineRule="auto"/>
        <w:rPr>
          <w:rtl/>
        </w:rPr>
      </w:pPr>
    </w:p>
    <w:p w:rsidR="002D0C59" w:rsidRPr="007C6D78" w:rsidP="00AE0BE6" w14:paraId="2043B5C5" w14:textId="77777777">
      <w:pPr>
        <w:spacing w:line="269" w:lineRule="auto"/>
        <w:rPr>
          <w:sz w:val="24"/>
          <w:rtl/>
        </w:rPr>
      </w:pPr>
      <w:r w:rsidRPr="007C6D78">
        <w:rPr>
          <w:rFonts w:hint="cs"/>
          <w:sz w:val="24"/>
          <w:rtl/>
        </w:rPr>
        <w:t xml:space="preserve">זמן ההמתנה המרבי לקבלת שירות בעמדת ביקורת הגבולות ביציאה מהארץ, על פי ההסכם שבין רש"ת לרשות האוכלוסין, הוא </w:t>
      </w:r>
      <w:r>
        <w:rPr>
          <w:rFonts w:hint="cs"/>
          <w:sz w:val="24"/>
          <w:rtl/>
        </w:rPr>
        <w:t>10</w:t>
      </w:r>
      <w:r w:rsidRPr="007C6D78">
        <w:rPr>
          <w:rFonts w:hint="cs"/>
          <w:sz w:val="24"/>
          <w:rtl/>
        </w:rPr>
        <w:t xml:space="preserve"> דקות לנוסעים ישראלים וזרים</w:t>
      </w:r>
      <w:r>
        <w:rPr>
          <w:rStyle w:val="FootnoteReference1"/>
          <w:sz w:val="24"/>
          <w:rtl/>
        </w:rPr>
        <w:footnoteReference w:id="9"/>
      </w:r>
      <w:r w:rsidRPr="007C6D78">
        <w:rPr>
          <w:rFonts w:hint="cs"/>
          <w:sz w:val="24"/>
          <w:rtl/>
        </w:rPr>
        <w:t xml:space="preserve">. </w:t>
      </w:r>
    </w:p>
    <w:p w:rsidR="002D0C59" w:rsidRPr="00A21F5C" w:rsidP="00AE0BE6" w14:paraId="1BE17B72" w14:textId="77777777">
      <w:pPr>
        <w:pStyle w:val="a"/>
        <w:spacing w:line="269" w:lineRule="auto"/>
        <w:rPr>
          <w:rtl/>
        </w:rPr>
      </w:pPr>
    </w:p>
    <w:p w:rsidR="002D0C59" w:rsidRPr="007C6D78" w:rsidP="00AE0BE6" w14:paraId="34497E7C" w14:textId="77777777">
      <w:pPr>
        <w:spacing w:line="269" w:lineRule="auto"/>
        <w:rPr>
          <w:b/>
          <w:bCs/>
          <w:sz w:val="24"/>
          <w:rtl/>
        </w:rPr>
      </w:pPr>
      <w:r w:rsidRPr="007C6D78">
        <w:rPr>
          <w:rFonts w:hint="cs"/>
          <w:b/>
          <w:bCs/>
          <w:sz w:val="24"/>
          <w:rtl/>
        </w:rPr>
        <w:t>על פי נתוני רש"ת, זמן ההמתנה הממוצע בפסח ובקיץ</w:t>
      </w:r>
      <w:r>
        <w:rPr>
          <w:rFonts w:hint="cs"/>
          <w:b/>
          <w:bCs/>
          <w:sz w:val="24"/>
          <w:rtl/>
        </w:rPr>
        <w:t xml:space="preserve"> בשנים 2015 עד 2018</w:t>
      </w:r>
      <w:r w:rsidRPr="007C6D78">
        <w:rPr>
          <w:rFonts w:hint="cs"/>
          <w:b/>
          <w:bCs/>
          <w:sz w:val="24"/>
          <w:rtl/>
        </w:rPr>
        <w:t xml:space="preserve"> היה </w:t>
      </w:r>
      <w:r>
        <w:rPr>
          <w:rFonts w:hint="cs"/>
          <w:b/>
          <w:bCs/>
          <w:sz w:val="24"/>
          <w:rtl/>
        </w:rPr>
        <w:t>6</w:t>
      </w:r>
      <w:r w:rsidRPr="007C6D78">
        <w:rPr>
          <w:rFonts w:hint="cs"/>
          <w:b/>
          <w:bCs/>
          <w:sz w:val="24"/>
          <w:rtl/>
        </w:rPr>
        <w:t xml:space="preserve"> ו-</w:t>
      </w:r>
      <w:r>
        <w:rPr>
          <w:rFonts w:hint="cs"/>
          <w:b/>
          <w:bCs/>
          <w:sz w:val="24"/>
          <w:rtl/>
        </w:rPr>
        <w:t>8</w:t>
      </w:r>
      <w:r w:rsidRPr="007C6D78">
        <w:rPr>
          <w:rFonts w:hint="cs"/>
          <w:b/>
          <w:bCs/>
          <w:sz w:val="24"/>
          <w:rtl/>
        </w:rPr>
        <w:t xml:space="preserve"> דקות</w:t>
      </w:r>
      <w:r>
        <w:rPr>
          <w:rFonts w:hint="cs"/>
          <w:b/>
          <w:bCs/>
          <w:sz w:val="24"/>
          <w:rtl/>
        </w:rPr>
        <w:t xml:space="preserve"> לכל היותר</w:t>
      </w:r>
      <w:r w:rsidRPr="007C6D78">
        <w:rPr>
          <w:rFonts w:hint="cs"/>
          <w:b/>
          <w:bCs/>
          <w:sz w:val="24"/>
          <w:rtl/>
        </w:rPr>
        <w:t xml:space="preserve"> בהתאמה</w:t>
      </w:r>
      <w:r>
        <w:rPr>
          <w:rStyle w:val="FootnoteReference1"/>
          <w:b/>
          <w:bCs/>
          <w:sz w:val="24"/>
          <w:rtl/>
        </w:rPr>
        <w:footnoteReference w:id="10"/>
      </w:r>
      <w:r w:rsidRPr="007C6D78">
        <w:rPr>
          <w:rFonts w:hint="cs"/>
          <w:b/>
          <w:bCs/>
          <w:sz w:val="24"/>
          <w:rtl/>
        </w:rPr>
        <w:t xml:space="preserve">; ובקיץ 2019 - 2 </w:t>
      </w:r>
      <w:r w:rsidRPr="007C6D78">
        <w:rPr>
          <w:rFonts w:hint="cs"/>
          <w:b/>
          <w:bCs/>
          <w:sz w:val="24"/>
          <w:rtl/>
        </w:rPr>
        <w:t xml:space="preserve">דקות. </w:t>
      </w:r>
      <w:r>
        <w:rPr>
          <w:rFonts w:hint="cs"/>
          <w:b/>
          <w:bCs/>
          <w:sz w:val="24"/>
          <w:rtl/>
        </w:rPr>
        <w:t>זמן ההמתנה של ה</w:t>
      </w:r>
      <w:r w:rsidRPr="007C6D78">
        <w:rPr>
          <w:rFonts w:hint="cs"/>
          <w:b/>
          <w:bCs/>
          <w:sz w:val="24"/>
          <w:rtl/>
        </w:rPr>
        <w:t xml:space="preserve">נוסע היוצא מרגע הגיעו לעמדת </w:t>
      </w:r>
      <w:r w:rsidRPr="007C6D78">
        <w:rPr>
          <w:rFonts w:hint="cs"/>
          <w:b/>
          <w:bCs/>
          <w:sz w:val="24"/>
          <w:rtl/>
        </w:rPr>
        <w:t xml:space="preserve">ביקורת הגבולות ועד לקבלת השירות בחודשי הקיץ בשנים </w:t>
      </w:r>
      <w:r>
        <w:rPr>
          <w:rFonts w:hint="cs"/>
          <w:b/>
          <w:bCs/>
          <w:sz w:val="24"/>
          <w:rtl/>
        </w:rPr>
        <w:t>2015 עד 2019</w:t>
      </w:r>
      <w:r w:rsidRPr="007C6D78">
        <w:rPr>
          <w:rFonts w:hint="cs"/>
          <w:b/>
          <w:bCs/>
          <w:sz w:val="24"/>
          <w:rtl/>
        </w:rPr>
        <w:t xml:space="preserve"> היה אפוא, על פי נתוני רש"ת, קצר מהנדרש על פי ההסכם. </w:t>
      </w:r>
    </w:p>
    <w:p w:rsidR="002D0C59" w:rsidRPr="00A21F5C" w:rsidP="00AE0BE6" w14:paraId="70576944" w14:textId="77777777">
      <w:pPr>
        <w:pStyle w:val="a"/>
        <w:spacing w:line="269" w:lineRule="auto"/>
        <w:rPr>
          <w:rtl/>
        </w:rPr>
      </w:pPr>
    </w:p>
    <w:p w:rsidR="002D0C59" w:rsidP="00AE0BE6" w14:paraId="646E44E6" w14:textId="77777777">
      <w:pPr>
        <w:spacing w:line="269" w:lineRule="auto"/>
        <w:rPr>
          <w:rtl/>
        </w:rPr>
      </w:pPr>
      <w:r w:rsidRPr="007C6D78">
        <w:rPr>
          <w:rFonts w:hint="cs"/>
          <w:b/>
          <w:bCs/>
          <w:sz w:val="24"/>
          <w:rtl/>
        </w:rPr>
        <w:t>משרד מבקר המדינה מציין לטובה את משך הזמן הקצר למתן שירות זה לציבור.</w:t>
      </w:r>
    </w:p>
    <w:p w:rsidR="00EE4EB4" w:rsidP="00404B2A" w14:paraId="75560B63" w14:textId="77777777">
      <w:pPr>
        <w:pStyle w:val="a"/>
        <w:rPr>
          <w:rtl/>
        </w:rPr>
      </w:pPr>
    </w:p>
    <w:p w:rsidR="00404B2A" w:rsidP="00404B2A" w14:paraId="00FFBB05" w14:textId="77777777">
      <w:pPr>
        <w:pStyle w:val="a"/>
        <w:rPr>
          <w:rtl/>
        </w:rPr>
      </w:pPr>
    </w:p>
    <w:p w:rsidR="002D0C59" w:rsidRPr="002D0C59" w:rsidP="00AE0BE6" w14:paraId="6DB67193" w14:textId="77777777">
      <w:pPr>
        <w:pStyle w:val="Heading3"/>
        <w:spacing w:before="0" w:line="269" w:lineRule="auto"/>
        <w:rPr>
          <w:rtl/>
        </w:rPr>
      </w:pPr>
      <w:r w:rsidRPr="002D0C59">
        <w:rPr>
          <w:rFonts w:hint="cs"/>
          <w:rtl/>
        </w:rPr>
        <w:t xml:space="preserve">זמן ההמתנה של הנוסע </w:t>
      </w:r>
      <w:r w:rsidRPr="002D0C59">
        <w:rPr>
          <w:rFonts w:hint="cs"/>
          <w:rtl/>
        </w:rPr>
        <w:t>הנכנס</w:t>
      </w:r>
    </w:p>
    <w:p w:rsidR="002D0C59" w:rsidRPr="00A21F5C" w:rsidP="00AE0BE6" w14:paraId="0B300E8A" w14:textId="77777777">
      <w:pPr>
        <w:pStyle w:val="a"/>
        <w:spacing w:line="269" w:lineRule="auto"/>
        <w:rPr>
          <w:rtl/>
        </w:rPr>
      </w:pPr>
    </w:p>
    <w:p w:rsidR="002D0C59" w:rsidRPr="007C6D78" w:rsidP="00AE0BE6" w14:paraId="4DAA85FF" w14:textId="77777777">
      <w:pPr>
        <w:spacing w:line="269" w:lineRule="auto"/>
        <w:rPr>
          <w:sz w:val="24"/>
          <w:rtl/>
        </w:rPr>
      </w:pPr>
      <w:r w:rsidRPr="007C6D78">
        <w:rPr>
          <w:rFonts w:hint="cs"/>
          <w:sz w:val="24"/>
          <w:rtl/>
        </w:rPr>
        <w:t xml:space="preserve">זמן ההמתנה המרבי לקבלת שירות בעמדת ביקורת הגבולות בכניסה לארץ, על פי ההסכם שבין רש"ת לרשות האוכלוסין, </w:t>
      </w:r>
      <w:r w:rsidRPr="00841705">
        <w:rPr>
          <w:rFonts w:hint="eastAsia"/>
          <w:sz w:val="24"/>
          <w:rtl/>
        </w:rPr>
        <w:t>הוא</w:t>
      </w:r>
      <w:r w:rsidRPr="00841705">
        <w:rPr>
          <w:sz w:val="24"/>
          <w:rtl/>
        </w:rPr>
        <w:t xml:space="preserve"> 10 </w:t>
      </w:r>
      <w:r w:rsidRPr="00841705">
        <w:rPr>
          <w:rFonts w:hint="eastAsia"/>
          <w:sz w:val="24"/>
          <w:rtl/>
        </w:rPr>
        <w:t>דקות</w:t>
      </w:r>
      <w:r w:rsidRPr="00841705">
        <w:rPr>
          <w:sz w:val="24"/>
          <w:rtl/>
        </w:rPr>
        <w:t xml:space="preserve"> לנוסע ישראלי ו-15 דקות לנוסע זר.</w:t>
      </w:r>
    </w:p>
    <w:p w:rsidR="002D0C59" w:rsidRPr="00A21F5C" w:rsidP="00AE0BE6" w14:paraId="21E35484" w14:textId="77777777">
      <w:pPr>
        <w:pStyle w:val="a"/>
        <w:spacing w:line="269" w:lineRule="auto"/>
        <w:rPr>
          <w:rtl/>
        </w:rPr>
      </w:pPr>
    </w:p>
    <w:p w:rsidR="002D0C59" w:rsidP="00AE0BE6" w14:paraId="292E0D5E" w14:textId="77777777">
      <w:pPr>
        <w:spacing w:line="269" w:lineRule="auto"/>
        <w:rPr>
          <w:rtl/>
        </w:rPr>
      </w:pPr>
      <w:r w:rsidRPr="007C6D78">
        <w:rPr>
          <w:b/>
          <w:bCs/>
          <w:sz w:val="24"/>
          <w:rtl/>
        </w:rPr>
        <w:t xml:space="preserve">נמצא כי </w:t>
      </w:r>
      <w:r>
        <w:rPr>
          <w:rFonts w:hint="cs"/>
          <w:b/>
          <w:bCs/>
          <w:sz w:val="24"/>
          <w:rtl/>
        </w:rPr>
        <w:t>שלא כמו לגבי</w:t>
      </w:r>
      <w:r w:rsidRPr="007C6D78">
        <w:rPr>
          <w:rFonts w:hint="cs"/>
          <w:b/>
          <w:bCs/>
          <w:sz w:val="24"/>
          <w:rtl/>
        </w:rPr>
        <w:t xml:space="preserve"> נוסעים יוצאים</w:t>
      </w:r>
      <w:r>
        <w:rPr>
          <w:rFonts w:hint="cs"/>
          <w:b/>
          <w:bCs/>
          <w:sz w:val="24"/>
          <w:rtl/>
        </w:rPr>
        <w:t xml:space="preserve">, עד אמצע 2019 לא היו בידי </w:t>
      </w:r>
      <w:r w:rsidRPr="007C6D78">
        <w:rPr>
          <w:rFonts w:hint="cs"/>
          <w:b/>
          <w:bCs/>
          <w:sz w:val="24"/>
          <w:rtl/>
        </w:rPr>
        <w:t>רש"ת ורשות האוכלוסין</w:t>
      </w:r>
      <w:r w:rsidR="00EC0F52">
        <w:rPr>
          <w:rFonts w:hint="cs"/>
          <w:b/>
          <w:bCs/>
          <w:sz w:val="24"/>
          <w:rtl/>
        </w:rPr>
        <w:t xml:space="preserve"> </w:t>
      </w:r>
      <w:r w:rsidRPr="007C6D78">
        <w:rPr>
          <w:rFonts w:hint="cs"/>
          <w:b/>
          <w:bCs/>
          <w:sz w:val="24"/>
          <w:rtl/>
        </w:rPr>
        <w:t xml:space="preserve">נתונים על </w:t>
      </w:r>
      <w:r>
        <w:rPr>
          <w:rFonts w:hint="cs"/>
          <w:b/>
          <w:bCs/>
          <w:sz w:val="24"/>
          <w:rtl/>
        </w:rPr>
        <w:t xml:space="preserve">זמן ההמתנה של </w:t>
      </w:r>
      <w:r w:rsidRPr="007C6D78">
        <w:rPr>
          <w:rFonts w:hint="cs"/>
          <w:b/>
          <w:bCs/>
          <w:sz w:val="24"/>
          <w:rtl/>
        </w:rPr>
        <w:t>נוסעים נכנסים</w:t>
      </w:r>
      <w:r>
        <w:rPr>
          <w:rFonts w:hint="cs"/>
          <w:b/>
          <w:bCs/>
          <w:sz w:val="24"/>
          <w:rtl/>
        </w:rPr>
        <w:t xml:space="preserve"> לקבלת שירות של ביקורת הגבולות</w:t>
      </w:r>
      <w:r w:rsidRPr="007C6D78">
        <w:rPr>
          <w:rFonts w:hint="cs"/>
          <w:b/>
          <w:bCs/>
          <w:sz w:val="24"/>
          <w:rtl/>
        </w:rPr>
        <w:t xml:space="preserve">. רק לקראת סוף הביקורת, ביולי 2019, </w:t>
      </w:r>
      <w:r>
        <w:rPr>
          <w:rFonts w:hint="cs"/>
          <w:b/>
          <w:bCs/>
          <w:sz w:val="24"/>
          <w:rtl/>
        </w:rPr>
        <w:t>ריכז</w:t>
      </w:r>
      <w:r w:rsidRPr="007C6D78">
        <w:rPr>
          <w:rFonts w:hint="cs"/>
          <w:b/>
          <w:bCs/>
          <w:sz w:val="24"/>
          <w:rtl/>
        </w:rPr>
        <w:t xml:space="preserve">ה רש"ת נתונים ולפיהם רשות האוכלוסין עמדה בתנאי ההסכם בכל הנוגע לזמני </w:t>
      </w:r>
      <w:r>
        <w:rPr>
          <w:rFonts w:hint="cs"/>
          <w:b/>
          <w:bCs/>
          <w:sz w:val="24"/>
          <w:rtl/>
        </w:rPr>
        <w:t>ה</w:t>
      </w:r>
      <w:r w:rsidRPr="007C6D78">
        <w:rPr>
          <w:rFonts w:hint="cs"/>
          <w:b/>
          <w:bCs/>
          <w:sz w:val="24"/>
          <w:rtl/>
        </w:rPr>
        <w:t xml:space="preserve">המתנה של הנוסעים הנכנסים לביקורת </w:t>
      </w:r>
      <w:r>
        <w:rPr>
          <w:rFonts w:hint="cs"/>
          <w:b/>
          <w:bCs/>
          <w:sz w:val="24"/>
          <w:rtl/>
        </w:rPr>
        <w:t>ה</w:t>
      </w:r>
      <w:r w:rsidRPr="007C6D78">
        <w:rPr>
          <w:rFonts w:hint="cs"/>
          <w:b/>
          <w:bCs/>
          <w:sz w:val="24"/>
          <w:rtl/>
        </w:rPr>
        <w:t xml:space="preserve">גבולות: זמן ההמתנה </w:t>
      </w:r>
      <w:r>
        <w:rPr>
          <w:rFonts w:hint="cs"/>
          <w:b/>
          <w:bCs/>
          <w:sz w:val="24"/>
          <w:rtl/>
        </w:rPr>
        <w:t xml:space="preserve">הממוצע </w:t>
      </w:r>
      <w:r w:rsidRPr="007C6D78">
        <w:rPr>
          <w:rFonts w:hint="cs"/>
          <w:b/>
          <w:bCs/>
          <w:sz w:val="24"/>
          <w:rtl/>
        </w:rPr>
        <w:t xml:space="preserve">של הנוסעים הישראלים </w:t>
      </w:r>
      <w:r>
        <w:rPr>
          <w:rFonts w:hint="cs"/>
          <w:b/>
          <w:bCs/>
          <w:sz w:val="24"/>
          <w:rtl/>
        </w:rPr>
        <w:t>היה</w:t>
      </w:r>
      <w:r w:rsidRPr="007C6D78">
        <w:rPr>
          <w:rFonts w:hint="cs"/>
          <w:b/>
          <w:bCs/>
          <w:sz w:val="24"/>
          <w:rtl/>
        </w:rPr>
        <w:t xml:space="preserve"> 2.5 ד</w:t>
      </w:r>
      <w:r w:rsidRPr="007C6D78">
        <w:rPr>
          <w:rFonts w:hint="cs"/>
          <w:b/>
          <w:bCs/>
          <w:sz w:val="24"/>
          <w:rtl/>
        </w:rPr>
        <w:t xml:space="preserve">קות ושל הנוסעים הזרים 4.5 דקות. </w:t>
      </w:r>
    </w:p>
    <w:p w:rsidR="00377347" w:rsidP="00404B2A" w14:paraId="66C39893" w14:textId="77777777">
      <w:pPr>
        <w:pStyle w:val="a"/>
        <w:rPr>
          <w:rtl/>
        </w:rPr>
      </w:pPr>
    </w:p>
    <w:p w:rsidR="00404B2A" w:rsidRPr="00F9503F" w:rsidP="00404B2A" w14:paraId="78C13FE7" w14:textId="77777777">
      <w:pPr>
        <w:pStyle w:val="a"/>
        <w:rPr>
          <w:rtl/>
        </w:rPr>
      </w:pPr>
    </w:p>
    <w:p w:rsidR="002D0C59" w:rsidRPr="007A52FE" w:rsidP="00AE0BE6" w14:paraId="28BD6E77" w14:textId="77777777">
      <w:pPr>
        <w:pStyle w:val="Heading3"/>
        <w:spacing w:before="0" w:line="269" w:lineRule="auto"/>
        <w:rPr>
          <w:rtl/>
        </w:rPr>
      </w:pPr>
      <w:r w:rsidRPr="007A52FE">
        <w:rPr>
          <w:rFonts w:hint="cs"/>
          <w:rtl/>
        </w:rPr>
        <w:t>משך התשאול של הנוסע הנכנס</w:t>
      </w:r>
    </w:p>
    <w:p w:rsidR="002D0C59" w:rsidRPr="00A21F5C" w:rsidP="00AE0BE6" w14:paraId="0643944A" w14:textId="77777777">
      <w:pPr>
        <w:pStyle w:val="a"/>
        <w:spacing w:line="269" w:lineRule="auto"/>
        <w:rPr>
          <w:rtl/>
        </w:rPr>
      </w:pPr>
    </w:p>
    <w:p w:rsidR="002D0C59" w:rsidRPr="007C6D78" w:rsidP="00AE0BE6" w14:paraId="699C922D" w14:textId="77777777">
      <w:pPr>
        <w:spacing w:line="269" w:lineRule="auto"/>
        <w:rPr>
          <w:sz w:val="24"/>
          <w:rtl/>
        </w:rPr>
      </w:pPr>
      <w:r w:rsidRPr="007C6D78">
        <w:rPr>
          <w:rFonts w:hint="cs"/>
          <w:sz w:val="24"/>
          <w:rtl/>
        </w:rPr>
        <w:t>על פי הכללים שקבעה רשות האוכלוסין, כאשר בקר גבול חושד שנוסע זר מבקש להיכנס לישראל למטרה שונה מזו שעליה הצהיר, על</w:t>
      </w:r>
      <w:r>
        <w:rPr>
          <w:rFonts w:hint="cs"/>
          <w:sz w:val="24"/>
          <w:rtl/>
        </w:rPr>
        <w:t>יו</w:t>
      </w:r>
      <w:r w:rsidRPr="007C6D78">
        <w:rPr>
          <w:rFonts w:hint="cs"/>
          <w:sz w:val="24"/>
          <w:rtl/>
        </w:rPr>
        <w:t xml:space="preserve"> להעביר את הטיפול בבקשת הנוסע לאחראי </w:t>
      </w:r>
      <w:r>
        <w:rPr>
          <w:rFonts w:hint="cs"/>
          <w:sz w:val="24"/>
          <w:rtl/>
        </w:rPr>
        <w:t>ל</w:t>
      </w:r>
      <w:r w:rsidRPr="007C6D78">
        <w:rPr>
          <w:rFonts w:hint="cs"/>
          <w:sz w:val="24"/>
          <w:rtl/>
        </w:rPr>
        <w:t>משמרת</w:t>
      </w:r>
      <w:r>
        <w:rPr>
          <w:rFonts w:hint="cs"/>
          <w:sz w:val="24"/>
          <w:rtl/>
        </w:rPr>
        <w:t xml:space="preserve"> (להלן - אחמ"ש)</w:t>
      </w:r>
      <w:r w:rsidRPr="007C6D78">
        <w:rPr>
          <w:rFonts w:hint="cs"/>
          <w:sz w:val="24"/>
          <w:rtl/>
        </w:rPr>
        <w:t xml:space="preserve"> - עובד בכיר יותר של ר</w:t>
      </w:r>
      <w:r w:rsidRPr="007C6D78">
        <w:rPr>
          <w:rFonts w:hint="cs"/>
          <w:sz w:val="24"/>
          <w:rtl/>
        </w:rPr>
        <w:t xml:space="preserve">שות האוכלוסין. </w:t>
      </w:r>
      <w:r>
        <w:rPr>
          <w:rFonts w:hint="cs"/>
          <w:sz w:val="24"/>
          <w:rtl/>
        </w:rPr>
        <w:t>ה</w:t>
      </w:r>
      <w:r w:rsidRPr="007C6D78">
        <w:rPr>
          <w:rFonts w:hint="cs"/>
          <w:sz w:val="24"/>
          <w:rtl/>
        </w:rPr>
        <w:t>אח</w:t>
      </w:r>
      <w:r>
        <w:rPr>
          <w:rFonts w:hint="cs"/>
          <w:sz w:val="24"/>
          <w:rtl/>
        </w:rPr>
        <w:t>מ"ש או בקר בכיר</w:t>
      </w:r>
      <w:r w:rsidRPr="007C6D78">
        <w:rPr>
          <w:rFonts w:hint="cs"/>
          <w:sz w:val="24"/>
          <w:rtl/>
        </w:rPr>
        <w:t xml:space="preserve"> מראיין את הנוסע </w:t>
      </w:r>
      <w:r w:rsidRPr="00DA7E4B">
        <w:rPr>
          <w:rFonts w:hint="eastAsia"/>
          <w:sz w:val="24"/>
          <w:rtl/>
        </w:rPr>
        <w:t>כדי</w:t>
      </w:r>
      <w:r w:rsidRPr="00DA7E4B">
        <w:rPr>
          <w:sz w:val="24"/>
          <w:rtl/>
        </w:rPr>
        <w:t xml:space="preserve"> </w:t>
      </w:r>
      <w:r w:rsidRPr="00DA7E4B">
        <w:rPr>
          <w:rFonts w:hint="eastAsia"/>
          <w:sz w:val="24"/>
          <w:rtl/>
        </w:rPr>
        <w:t>לעמוד</w:t>
      </w:r>
      <w:r w:rsidRPr="00DA7E4B">
        <w:rPr>
          <w:sz w:val="24"/>
          <w:rtl/>
        </w:rPr>
        <w:t xml:space="preserve"> </w:t>
      </w:r>
      <w:r w:rsidRPr="00DA7E4B">
        <w:rPr>
          <w:rFonts w:hint="eastAsia"/>
          <w:sz w:val="24"/>
          <w:rtl/>
        </w:rPr>
        <w:t>על</w:t>
      </w:r>
      <w:r>
        <w:rPr>
          <w:rFonts w:hint="cs"/>
          <w:sz w:val="24"/>
          <w:rtl/>
        </w:rPr>
        <w:t xml:space="preserve"> </w:t>
      </w:r>
      <w:r w:rsidRPr="00DA7E4B">
        <w:rPr>
          <w:rFonts w:hint="eastAsia"/>
          <w:sz w:val="24"/>
          <w:rtl/>
        </w:rPr>
        <w:t>מ</w:t>
      </w:r>
      <w:r w:rsidRPr="00DA7E4B">
        <w:rPr>
          <w:sz w:val="24"/>
          <w:rtl/>
        </w:rPr>
        <w:t>טרת</w:t>
      </w:r>
      <w:r w:rsidRPr="007C6D78">
        <w:rPr>
          <w:sz w:val="24"/>
          <w:rtl/>
        </w:rPr>
        <w:t xml:space="preserve"> הגעתו לארץ</w:t>
      </w:r>
      <w:r w:rsidRPr="007C6D78">
        <w:rPr>
          <w:rFonts w:hint="cs"/>
          <w:sz w:val="24"/>
          <w:rtl/>
        </w:rPr>
        <w:t xml:space="preserve"> (להלן - תשאול) ומחליט אם להתיר את הכניסה או להעביר את הבקשה לטיפול מנהל המעבר ולהחלטתו. </w:t>
      </w:r>
    </w:p>
    <w:p w:rsidR="002D0C59" w:rsidRPr="00A21F5C" w:rsidP="00AE0BE6" w14:paraId="36A0CA80" w14:textId="77777777">
      <w:pPr>
        <w:pStyle w:val="a"/>
        <w:spacing w:line="269" w:lineRule="auto"/>
        <w:rPr>
          <w:rtl/>
        </w:rPr>
      </w:pPr>
    </w:p>
    <w:p w:rsidR="002D0C59" w:rsidRPr="00A21F5C" w:rsidP="00AE0BE6" w14:paraId="51855788" w14:textId="77777777">
      <w:pPr>
        <w:spacing w:line="269" w:lineRule="auto"/>
        <w:rPr>
          <w:rtl/>
        </w:rPr>
      </w:pPr>
      <w:r>
        <w:rPr>
          <w:rFonts w:hint="cs"/>
          <w:sz w:val="24"/>
          <w:rtl/>
        </w:rPr>
        <w:t>מ</w:t>
      </w:r>
      <w:r w:rsidRPr="007C6D78">
        <w:rPr>
          <w:rFonts w:hint="cs"/>
          <w:sz w:val="24"/>
          <w:rtl/>
        </w:rPr>
        <w:t xml:space="preserve">לוח </w:t>
      </w:r>
      <w:r>
        <w:rPr>
          <w:rFonts w:hint="cs"/>
          <w:sz w:val="24"/>
          <w:rtl/>
        </w:rPr>
        <w:t>1</w:t>
      </w:r>
      <w:r w:rsidRPr="007C6D78">
        <w:rPr>
          <w:rFonts w:hint="cs"/>
          <w:sz w:val="24"/>
          <w:rtl/>
        </w:rPr>
        <w:t xml:space="preserve"> לעיל עולה כי מאז שנת 2013, לכל הפחות, חל </w:t>
      </w:r>
      <w:r w:rsidRPr="00366A47">
        <w:rPr>
          <w:rFonts w:hint="cs"/>
          <w:sz w:val="24"/>
          <w:rtl/>
        </w:rPr>
        <w:t>מדי שנה גידול ניכר</w:t>
      </w:r>
      <w:r w:rsidRPr="007C6D78">
        <w:rPr>
          <w:rFonts w:hint="cs"/>
          <w:sz w:val="24"/>
          <w:rtl/>
        </w:rPr>
        <w:t xml:space="preserve"> במספר סירובי הכניסה </w:t>
      </w:r>
      <w:r w:rsidRPr="007C6D78">
        <w:rPr>
          <w:rFonts w:hint="cs"/>
          <w:sz w:val="24"/>
          <w:rtl/>
        </w:rPr>
        <w:t xml:space="preserve">לישראל, משמע, חל גידול גם במספר הנוסעים המתושאלים. </w:t>
      </w:r>
    </w:p>
    <w:p w:rsidR="002D0C59" w:rsidRPr="00A21F5C" w:rsidP="00AE0BE6" w14:paraId="037BDDBE" w14:textId="77777777">
      <w:pPr>
        <w:pStyle w:val="a"/>
        <w:spacing w:line="269" w:lineRule="auto"/>
        <w:rPr>
          <w:rtl/>
        </w:rPr>
      </w:pPr>
    </w:p>
    <w:p w:rsidR="00A357ED" w:rsidP="00AE0BE6" w14:paraId="41F673A0" w14:textId="77777777">
      <w:pPr>
        <w:pStyle w:val="ListParagraph"/>
        <w:numPr>
          <w:ilvl w:val="0"/>
          <w:numId w:val="7"/>
        </w:numPr>
        <w:spacing w:after="0" w:line="269" w:lineRule="auto"/>
        <w:jc w:val="both"/>
        <w:rPr>
          <w:rFonts w:ascii="Times New Roman" w:hAnsi="Times New Roman" w:eastAsiaTheme="minorHAnsi" w:cs="David"/>
          <w:sz w:val="20"/>
          <w:szCs w:val="20"/>
        </w:rPr>
      </w:pPr>
      <w:r w:rsidRPr="00A357ED">
        <w:rPr>
          <w:rFonts w:cs="David" w:hint="cs"/>
          <w:sz w:val="24"/>
          <w:szCs w:val="24"/>
          <w:rtl/>
        </w:rPr>
        <w:t>לנוכח הגידול הניכר במספר סירובי הכניסה ביקר משרד מבקר המדינה במתחם המיועד לתשאולים בנתב"ג במאי 2019. להלן תמונה שצילמו נציגי משרד מבקר המדינה במתחם זה</w:t>
      </w:r>
      <w:r>
        <w:rPr>
          <w:rFonts w:ascii="Times New Roman" w:hAnsi="Times New Roman" w:eastAsiaTheme="minorHAnsi" w:cs="David" w:hint="cs"/>
          <w:sz w:val="20"/>
          <w:szCs w:val="20"/>
          <w:rtl/>
        </w:rPr>
        <w:t>.</w:t>
      </w:r>
    </w:p>
    <w:p w:rsidR="00404B2A" w14:paraId="26BEA468" w14:textId="77777777">
      <w:pPr>
        <w:bidi w:val="0"/>
        <w:spacing w:after="200" w:line="276" w:lineRule="auto"/>
        <w:rPr>
          <w:b/>
          <w:bCs/>
          <w:sz w:val="24"/>
          <w:rtl/>
        </w:rPr>
      </w:pPr>
      <w:r>
        <w:rPr>
          <w:b/>
          <w:bCs/>
          <w:sz w:val="24"/>
          <w:rtl/>
        </w:rPr>
        <w:br w:type="page"/>
      </w:r>
    </w:p>
    <w:p w:rsidR="002D0C59" w:rsidP="007277EF" w14:paraId="7AB5F71B" w14:textId="77777777">
      <w:pPr>
        <w:spacing w:after="120" w:line="269" w:lineRule="auto"/>
        <w:jc w:val="center"/>
        <w:rPr>
          <w:noProof/>
          <w:rtl/>
        </w:rPr>
      </w:pPr>
      <w:r w:rsidRPr="004A0234">
        <w:rPr>
          <w:rFonts w:hint="cs"/>
          <w:b/>
          <w:bCs/>
          <w:sz w:val="24"/>
          <w:rtl/>
        </w:rPr>
        <w:t>תמונה 3: מתחם התשאול בנתב"ג</w:t>
      </w:r>
    </w:p>
    <w:p w:rsidR="002D0C59" w:rsidP="00AE0BE6" w14:paraId="31D5B208" w14:textId="77777777">
      <w:pPr>
        <w:spacing w:line="269" w:lineRule="auto"/>
        <w:jc w:val="center"/>
        <w:rPr>
          <w:noProof/>
          <w:rtl/>
        </w:rPr>
      </w:pPr>
      <w:r w:rsidRPr="00DC6535">
        <w:rPr>
          <w:noProof/>
          <w:rtl/>
        </w:rPr>
        <w:drawing>
          <wp:inline distT="0" distB="0" distL="0" distR="0">
            <wp:extent cx="5220335" cy="2651599"/>
            <wp:effectExtent l="0" t="0" r="0" b="0"/>
            <wp:docPr id="47" name="תמונה 47" descr="F:\Gov Min\Agaf_11\דוחות 2019\פעילות רשות האוכלוסין במעברי הגבול\עיבודים שלי\תרשימים לדוח\תמונה 3- אולם התישאול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33278" name="Picture 4" descr="F:\Gov Min\Agaf_11\דוחות 2019\פעילות רשות האוכלוסין במעברי הגבול\עיבודים שלי\תרשימים לדוח\תמונה 3- אולם התישאולים.jp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2651599"/>
                    </a:xfrm>
                    <a:prstGeom prst="rect">
                      <a:avLst/>
                    </a:prstGeom>
                    <a:noFill/>
                    <a:ln>
                      <a:noFill/>
                    </a:ln>
                  </pic:spPr>
                </pic:pic>
              </a:graphicData>
            </a:graphic>
          </wp:inline>
        </w:drawing>
      </w:r>
    </w:p>
    <w:p w:rsidR="002D0C59" w:rsidRPr="00A21F5C" w:rsidP="007277EF" w14:paraId="6E1BB40C" w14:textId="77777777">
      <w:pPr>
        <w:spacing w:before="120" w:line="269" w:lineRule="auto"/>
        <w:rPr>
          <w:sz w:val="16"/>
          <w:szCs w:val="20"/>
          <w:rtl/>
        </w:rPr>
      </w:pPr>
      <w:r w:rsidRPr="00A21F5C">
        <w:rPr>
          <w:rFonts w:hint="cs"/>
          <w:sz w:val="16"/>
          <w:szCs w:val="20"/>
          <w:rtl/>
        </w:rPr>
        <w:t>צ</w:t>
      </w:r>
      <w:r>
        <w:rPr>
          <w:rFonts w:hint="cs"/>
          <w:sz w:val="16"/>
          <w:szCs w:val="20"/>
          <w:rtl/>
        </w:rPr>
        <w:t>י</w:t>
      </w:r>
      <w:r w:rsidRPr="00A21F5C">
        <w:rPr>
          <w:rFonts w:hint="cs"/>
          <w:sz w:val="16"/>
          <w:szCs w:val="20"/>
          <w:rtl/>
        </w:rPr>
        <w:t>ל</w:t>
      </w:r>
      <w:r>
        <w:rPr>
          <w:rFonts w:hint="cs"/>
          <w:sz w:val="16"/>
          <w:szCs w:val="20"/>
          <w:rtl/>
        </w:rPr>
        <w:t>ו</w:t>
      </w:r>
      <w:r w:rsidRPr="00A21F5C">
        <w:rPr>
          <w:rFonts w:hint="cs"/>
          <w:sz w:val="16"/>
          <w:szCs w:val="20"/>
          <w:rtl/>
        </w:rPr>
        <w:t>ם</w:t>
      </w:r>
      <w:r>
        <w:rPr>
          <w:rFonts w:hint="cs"/>
          <w:sz w:val="16"/>
          <w:szCs w:val="20"/>
          <w:rtl/>
        </w:rPr>
        <w:t>:</w:t>
      </w:r>
      <w:r w:rsidRPr="00A21F5C">
        <w:rPr>
          <w:rFonts w:hint="cs"/>
          <w:sz w:val="16"/>
          <w:szCs w:val="20"/>
          <w:rtl/>
        </w:rPr>
        <w:t xml:space="preserve"> משרד מבקר המדינה, </w:t>
      </w:r>
      <w:r>
        <w:rPr>
          <w:rFonts w:hint="cs"/>
          <w:sz w:val="16"/>
          <w:szCs w:val="20"/>
          <w:rtl/>
        </w:rPr>
        <w:t>מאי 2019.</w:t>
      </w:r>
    </w:p>
    <w:p w:rsidR="002D0C59" w:rsidRPr="00A21F5C" w:rsidP="00AE0BE6" w14:paraId="37D713B7" w14:textId="77777777">
      <w:pPr>
        <w:pStyle w:val="a"/>
        <w:spacing w:line="269" w:lineRule="auto"/>
        <w:rPr>
          <w:rtl/>
        </w:rPr>
      </w:pPr>
    </w:p>
    <w:p w:rsidR="002D0C59" w:rsidP="00AE0BE6" w14:paraId="511C27ED" w14:textId="77777777">
      <w:pPr>
        <w:spacing w:line="269" w:lineRule="auto"/>
        <w:ind w:left="312"/>
        <w:rPr>
          <w:sz w:val="24"/>
          <w:rtl/>
        </w:rPr>
      </w:pPr>
      <w:r w:rsidRPr="004A0234">
        <w:rPr>
          <w:rFonts w:hint="cs"/>
          <w:sz w:val="24"/>
          <w:rtl/>
        </w:rPr>
        <w:t>בעת הביקור התרשמו נציגי משרד מבקר המדינה כי המתחם קטן</w:t>
      </w:r>
      <w:r>
        <w:rPr>
          <w:rFonts w:hint="cs"/>
          <w:sz w:val="24"/>
          <w:rtl/>
        </w:rPr>
        <w:t>,</w:t>
      </w:r>
      <w:r w:rsidRPr="004A0234">
        <w:rPr>
          <w:rFonts w:hint="cs"/>
          <w:sz w:val="24"/>
          <w:rtl/>
        </w:rPr>
        <w:t xml:space="preserve"> ומספר מקומות הישיבה </w:t>
      </w:r>
      <w:r>
        <w:rPr>
          <w:rFonts w:hint="cs"/>
          <w:sz w:val="24"/>
          <w:rtl/>
        </w:rPr>
        <w:t>ש</w:t>
      </w:r>
      <w:r w:rsidRPr="004A0234">
        <w:rPr>
          <w:rFonts w:hint="cs"/>
          <w:sz w:val="24"/>
          <w:rtl/>
        </w:rPr>
        <w:t>ב</w:t>
      </w:r>
      <w:r>
        <w:rPr>
          <w:rFonts w:hint="cs"/>
          <w:sz w:val="24"/>
          <w:rtl/>
        </w:rPr>
        <w:t>ו</w:t>
      </w:r>
      <w:r w:rsidRPr="004A0234">
        <w:rPr>
          <w:rFonts w:hint="cs"/>
          <w:sz w:val="24"/>
          <w:rtl/>
        </w:rPr>
        <w:t xml:space="preserve"> </w:t>
      </w:r>
      <w:r>
        <w:rPr>
          <w:rFonts w:hint="cs"/>
          <w:sz w:val="24"/>
          <w:rtl/>
        </w:rPr>
        <w:t>אינו</w:t>
      </w:r>
      <w:r w:rsidRPr="004A0234">
        <w:rPr>
          <w:rFonts w:hint="cs"/>
          <w:sz w:val="24"/>
          <w:rtl/>
        </w:rPr>
        <w:t xml:space="preserve"> יכול להכיל את כל הממתינים לתשאול. </w:t>
      </w:r>
      <w:r>
        <w:rPr>
          <w:rFonts w:hint="cs"/>
          <w:sz w:val="24"/>
          <w:rtl/>
        </w:rPr>
        <w:t xml:space="preserve">יצוין כי </w:t>
      </w:r>
      <w:r w:rsidRPr="004A0234">
        <w:rPr>
          <w:rFonts w:hint="cs"/>
          <w:sz w:val="24"/>
          <w:rtl/>
        </w:rPr>
        <w:t>רק במהלך הביקור הובאו כיסאות נוספים לנוסעים שעמדו והמתינו לתשאול</w:t>
      </w:r>
      <w:r>
        <w:rPr>
          <w:rFonts w:hint="cs"/>
          <w:sz w:val="24"/>
          <w:rtl/>
        </w:rPr>
        <w:t xml:space="preserve"> (ואלה מופיעים בתמונה)</w:t>
      </w:r>
      <w:r w:rsidRPr="004A0234">
        <w:rPr>
          <w:rFonts w:hint="cs"/>
          <w:sz w:val="24"/>
          <w:rtl/>
        </w:rPr>
        <w:t xml:space="preserve">. כמו כן, לא </w:t>
      </w:r>
      <w:r w:rsidRPr="004A0234">
        <w:rPr>
          <w:rFonts w:hint="cs"/>
          <w:sz w:val="24"/>
          <w:rtl/>
        </w:rPr>
        <w:t>ניתן לממתינים הסבר כתוב על התשאול, על מטרתו ועל משך הזמן הנדרש כדי להשלימו.</w:t>
      </w:r>
    </w:p>
    <w:p w:rsidR="002D0C59" w:rsidRPr="00A21F5C" w:rsidP="00AE0BE6" w14:paraId="40347DC6" w14:textId="77777777">
      <w:pPr>
        <w:pStyle w:val="a"/>
        <w:spacing w:line="269" w:lineRule="auto"/>
      </w:pPr>
    </w:p>
    <w:p w:rsidR="002D0C59" w:rsidRPr="004A0234" w:rsidP="00AE0BE6" w14:paraId="38C9E421" w14:textId="77777777">
      <w:pPr>
        <w:pStyle w:val="ListParagraph"/>
        <w:numPr>
          <w:ilvl w:val="0"/>
          <w:numId w:val="7"/>
        </w:numPr>
        <w:spacing w:after="0" w:line="269" w:lineRule="auto"/>
        <w:jc w:val="both"/>
        <w:rPr>
          <w:rFonts w:cs="David"/>
          <w:sz w:val="24"/>
          <w:szCs w:val="24"/>
          <w:rtl/>
        </w:rPr>
      </w:pPr>
      <w:r w:rsidRPr="004A0234">
        <w:rPr>
          <w:rFonts w:cs="David" w:hint="cs"/>
          <w:sz w:val="24"/>
          <w:szCs w:val="24"/>
          <w:rtl/>
        </w:rPr>
        <w:t xml:space="preserve">ממסמכי רשות האוכלוסין </w:t>
      </w:r>
      <w:r>
        <w:rPr>
          <w:rFonts w:cs="David" w:hint="cs"/>
          <w:sz w:val="24"/>
          <w:szCs w:val="24"/>
          <w:rtl/>
        </w:rPr>
        <w:t>מ</w:t>
      </w:r>
      <w:r w:rsidRPr="004A0234">
        <w:rPr>
          <w:rFonts w:cs="David" w:hint="cs"/>
          <w:sz w:val="24"/>
          <w:szCs w:val="24"/>
          <w:rtl/>
        </w:rPr>
        <w:t xml:space="preserve">דצמבר 2017 עולה כי הטיפול בנוסעים במתחם התשאול </w:t>
      </w:r>
      <w:r>
        <w:rPr>
          <w:rFonts w:cs="David" w:hint="cs"/>
          <w:sz w:val="24"/>
          <w:szCs w:val="24"/>
          <w:rtl/>
        </w:rPr>
        <w:t xml:space="preserve">בנתב"ג באותה עת </w:t>
      </w:r>
      <w:r w:rsidRPr="00904D3C">
        <w:rPr>
          <w:rFonts w:cs="David" w:hint="eastAsia"/>
          <w:sz w:val="24"/>
          <w:szCs w:val="24"/>
          <w:rtl/>
        </w:rPr>
        <w:t>ה</w:t>
      </w:r>
      <w:r>
        <w:rPr>
          <w:rFonts w:cs="David" w:hint="cs"/>
          <w:sz w:val="24"/>
          <w:szCs w:val="24"/>
          <w:rtl/>
        </w:rPr>
        <w:t>תא</w:t>
      </w:r>
      <w:r w:rsidRPr="00904D3C">
        <w:rPr>
          <w:rFonts w:cs="David" w:hint="eastAsia"/>
          <w:sz w:val="24"/>
          <w:szCs w:val="24"/>
          <w:rtl/>
        </w:rPr>
        <w:t>פיין</w:t>
      </w:r>
      <w:r w:rsidRPr="004A0234">
        <w:rPr>
          <w:rFonts w:cs="David" w:hint="cs"/>
          <w:sz w:val="24"/>
          <w:szCs w:val="24"/>
          <w:rtl/>
        </w:rPr>
        <w:t xml:space="preserve"> בעומס רב ובזמני המתנה ארוכים. בדצמבר 2018 החליט מנכ"ל רשות האוכלוסין כי יש לשפר את </w:t>
      </w:r>
      <w:r>
        <w:rPr>
          <w:rFonts w:cs="David" w:hint="cs"/>
          <w:sz w:val="24"/>
          <w:szCs w:val="24"/>
          <w:rtl/>
        </w:rPr>
        <w:t>תהליך תשאול</w:t>
      </w:r>
      <w:r w:rsidRPr="004A0234">
        <w:rPr>
          <w:rFonts w:cs="David" w:hint="cs"/>
          <w:sz w:val="24"/>
          <w:szCs w:val="24"/>
          <w:rtl/>
        </w:rPr>
        <w:t xml:space="preserve"> </w:t>
      </w:r>
      <w:r>
        <w:rPr>
          <w:rFonts w:cs="David" w:hint="cs"/>
          <w:sz w:val="24"/>
          <w:szCs w:val="24"/>
          <w:rtl/>
        </w:rPr>
        <w:t>ה</w:t>
      </w:r>
      <w:r w:rsidRPr="004A0234">
        <w:rPr>
          <w:rFonts w:cs="David" w:hint="cs"/>
          <w:sz w:val="24"/>
          <w:szCs w:val="24"/>
          <w:rtl/>
        </w:rPr>
        <w:t xml:space="preserve">נוסעים. </w:t>
      </w:r>
    </w:p>
    <w:p w:rsidR="002D0C59" w:rsidRPr="00A21F5C" w:rsidP="00AE0BE6" w14:paraId="34419F9B" w14:textId="77777777">
      <w:pPr>
        <w:pStyle w:val="a"/>
        <w:spacing w:line="269" w:lineRule="auto"/>
        <w:rPr>
          <w:rtl/>
        </w:rPr>
      </w:pPr>
    </w:p>
    <w:p w:rsidR="002D0C59" w:rsidRPr="00A21F5C" w:rsidP="00AE0BE6" w14:paraId="5494BA13" w14:textId="77777777">
      <w:pPr>
        <w:pStyle w:val="ListParagraph"/>
        <w:numPr>
          <w:ilvl w:val="0"/>
          <w:numId w:val="7"/>
        </w:numPr>
        <w:spacing w:after="0" w:line="269" w:lineRule="auto"/>
        <w:jc w:val="both"/>
      </w:pPr>
      <w:r w:rsidRPr="004A0234">
        <w:rPr>
          <w:rFonts w:cs="David" w:hint="cs"/>
          <w:sz w:val="24"/>
          <w:szCs w:val="24"/>
          <w:rtl/>
        </w:rPr>
        <w:t>כאמור, על הרשות למדוד את מש</w:t>
      </w:r>
      <w:r>
        <w:rPr>
          <w:rFonts w:cs="David" w:hint="cs"/>
          <w:sz w:val="24"/>
          <w:szCs w:val="24"/>
          <w:rtl/>
        </w:rPr>
        <w:t>ך</w:t>
      </w:r>
      <w:r w:rsidRPr="004A0234">
        <w:rPr>
          <w:rFonts w:cs="David" w:hint="cs"/>
          <w:sz w:val="24"/>
          <w:szCs w:val="24"/>
          <w:rtl/>
        </w:rPr>
        <w:t xml:space="preserve"> הזמן של </w:t>
      </w:r>
      <w:r>
        <w:rPr>
          <w:rFonts w:cs="David" w:hint="cs"/>
          <w:sz w:val="24"/>
          <w:szCs w:val="24"/>
          <w:rtl/>
        </w:rPr>
        <w:t>כל אחד מ</w:t>
      </w:r>
      <w:r w:rsidRPr="004A0234">
        <w:rPr>
          <w:rFonts w:cs="David" w:hint="cs"/>
          <w:sz w:val="24"/>
          <w:szCs w:val="24"/>
          <w:rtl/>
        </w:rPr>
        <w:t xml:space="preserve">השירותים שהיא מעניקה לנוסעים. </w:t>
      </w:r>
      <w:r w:rsidRPr="001F7091">
        <w:rPr>
          <w:rFonts w:cs="David" w:hint="eastAsia"/>
          <w:sz w:val="24"/>
          <w:szCs w:val="24"/>
          <w:rtl/>
        </w:rPr>
        <w:t>הצורך</w:t>
      </w:r>
      <w:r w:rsidRPr="001F7091">
        <w:rPr>
          <w:rFonts w:cs="David"/>
          <w:sz w:val="24"/>
          <w:szCs w:val="24"/>
          <w:rtl/>
        </w:rPr>
        <w:t xml:space="preserve"> </w:t>
      </w:r>
      <w:r w:rsidRPr="001F7091">
        <w:rPr>
          <w:rFonts w:cs="David" w:hint="eastAsia"/>
          <w:sz w:val="24"/>
          <w:szCs w:val="24"/>
          <w:rtl/>
        </w:rPr>
        <w:t>בקביעת</w:t>
      </w:r>
      <w:r w:rsidRPr="001F7091">
        <w:rPr>
          <w:rFonts w:cs="David"/>
          <w:sz w:val="24"/>
          <w:szCs w:val="24"/>
          <w:rtl/>
        </w:rPr>
        <w:t xml:space="preserve"> </w:t>
      </w:r>
      <w:r w:rsidRPr="001F7091">
        <w:rPr>
          <w:rFonts w:cs="David" w:hint="eastAsia"/>
          <w:sz w:val="24"/>
          <w:szCs w:val="24"/>
          <w:rtl/>
        </w:rPr>
        <w:t>הזמן</w:t>
      </w:r>
      <w:r w:rsidRPr="001F7091">
        <w:rPr>
          <w:rFonts w:cs="David"/>
          <w:sz w:val="24"/>
          <w:szCs w:val="24"/>
          <w:rtl/>
        </w:rPr>
        <w:t xml:space="preserve"> </w:t>
      </w:r>
      <w:r w:rsidRPr="001F7091">
        <w:rPr>
          <w:rFonts w:cs="David" w:hint="eastAsia"/>
          <w:sz w:val="24"/>
          <w:szCs w:val="24"/>
          <w:rtl/>
        </w:rPr>
        <w:t>המרבי</w:t>
      </w:r>
      <w:r w:rsidRPr="001F7091">
        <w:rPr>
          <w:rFonts w:cs="David"/>
          <w:sz w:val="24"/>
          <w:szCs w:val="24"/>
          <w:rtl/>
        </w:rPr>
        <w:t xml:space="preserve"> </w:t>
      </w:r>
      <w:r w:rsidRPr="001F7091">
        <w:rPr>
          <w:rFonts w:cs="David" w:hint="eastAsia"/>
          <w:sz w:val="24"/>
          <w:szCs w:val="24"/>
          <w:rtl/>
        </w:rPr>
        <w:t>לתשאול</w:t>
      </w:r>
      <w:r w:rsidRPr="001F7091">
        <w:rPr>
          <w:rFonts w:cs="David"/>
          <w:sz w:val="24"/>
          <w:szCs w:val="24"/>
          <w:rtl/>
        </w:rPr>
        <w:t xml:space="preserve"> (</w:t>
      </w:r>
      <w:r w:rsidRPr="001F7091">
        <w:rPr>
          <w:rFonts w:cs="David" w:hint="eastAsia"/>
          <w:sz w:val="24"/>
          <w:szCs w:val="24"/>
          <w:rtl/>
        </w:rPr>
        <w:t>מההמתנה</w:t>
      </w:r>
      <w:r w:rsidRPr="001F7091">
        <w:rPr>
          <w:rFonts w:cs="David"/>
          <w:sz w:val="24"/>
          <w:szCs w:val="24"/>
          <w:rtl/>
        </w:rPr>
        <w:t xml:space="preserve"> </w:t>
      </w:r>
      <w:r w:rsidRPr="001F7091">
        <w:rPr>
          <w:rFonts w:cs="David" w:hint="eastAsia"/>
          <w:sz w:val="24"/>
          <w:szCs w:val="24"/>
          <w:rtl/>
        </w:rPr>
        <w:t>לריאיון</w:t>
      </w:r>
      <w:r w:rsidRPr="001F7091">
        <w:rPr>
          <w:rFonts w:cs="David"/>
          <w:sz w:val="24"/>
          <w:szCs w:val="24"/>
          <w:rtl/>
        </w:rPr>
        <w:t xml:space="preserve"> </w:t>
      </w:r>
      <w:r w:rsidRPr="001F7091">
        <w:rPr>
          <w:rFonts w:cs="David" w:hint="eastAsia"/>
          <w:sz w:val="24"/>
          <w:szCs w:val="24"/>
          <w:rtl/>
        </w:rPr>
        <w:t>ועד</w:t>
      </w:r>
      <w:r w:rsidRPr="001F7091">
        <w:rPr>
          <w:rFonts w:cs="David"/>
          <w:sz w:val="24"/>
          <w:szCs w:val="24"/>
          <w:rtl/>
        </w:rPr>
        <w:t xml:space="preserve"> </w:t>
      </w:r>
      <w:r w:rsidRPr="001F7091">
        <w:rPr>
          <w:rFonts w:cs="David" w:hint="eastAsia"/>
          <w:sz w:val="24"/>
          <w:szCs w:val="24"/>
          <w:rtl/>
        </w:rPr>
        <w:t>לקבלת</w:t>
      </w:r>
      <w:r w:rsidRPr="001F7091">
        <w:rPr>
          <w:rFonts w:cs="David"/>
          <w:sz w:val="24"/>
          <w:szCs w:val="24"/>
          <w:rtl/>
        </w:rPr>
        <w:t xml:space="preserve"> </w:t>
      </w:r>
      <w:r w:rsidRPr="001F7091">
        <w:rPr>
          <w:rFonts w:cs="David" w:hint="eastAsia"/>
          <w:sz w:val="24"/>
          <w:szCs w:val="24"/>
          <w:rtl/>
        </w:rPr>
        <w:t>ההחלטה</w:t>
      </w:r>
      <w:r w:rsidRPr="001F7091">
        <w:rPr>
          <w:rFonts w:cs="David"/>
          <w:sz w:val="24"/>
          <w:szCs w:val="24"/>
          <w:rtl/>
        </w:rPr>
        <w:t>) ו</w:t>
      </w:r>
      <w:r w:rsidRPr="001F7091">
        <w:rPr>
          <w:rFonts w:cs="David" w:hint="eastAsia"/>
          <w:sz w:val="24"/>
          <w:szCs w:val="24"/>
          <w:rtl/>
        </w:rPr>
        <w:t>ב</w:t>
      </w:r>
      <w:r w:rsidRPr="00DA7E4B">
        <w:rPr>
          <w:rFonts w:cs="David" w:hint="eastAsia"/>
          <w:sz w:val="24"/>
          <w:szCs w:val="24"/>
          <w:rtl/>
        </w:rPr>
        <w:t>מדיד</w:t>
      </w:r>
      <w:r>
        <w:rPr>
          <w:rFonts w:cs="David" w:hint="cs"/>
          <w:sz w:val="24"/>
          <w:szCs w:val="24"/>
          <w:rtl/>
        </w:rPr>
        <w:t>ת</w:t>
      </w:r>
      <w:r w:rsidRPr="001F7091">
        <w:rPr>
          <w:rFonts w:cs="David"/>
          <w:sz w:val="24"/>
          <w:szCs w:val="24"/>
          <w:rtl/>
        </w:rPr>
        <w:t xml:space="preserve"> זמן התשאול גבר עם ה</w:t>
      </w:r>
      <w:r>
        <w:rPr>
          <w:rFonts w:cs="David" w:hint="cs"/>
          <w:sz w:val="24"/>
          <w:szCs w:val="24"/>
          <w:rtl/>
        </w:rPr>
        <w:t>גידול</w:t>
      </w:r>
      <w:r w:rsidRPr="001F7091">
        <w:rPr>
          <w:rFonts w:cs="David"/>
          <w:sz w:val="24"/>
          <w:szCs w:val="24"/>
          <w:rtl/>
        </w:rPr>
        <w:t xml:space="preserve"> הניכר במספר סירובי הכניסה ו</w:t>
      </w:r>
      <w:r>
        <w:rPr>
          <w:rFonts w:cs="David" w:hint="cs"/>
          <w:sz w:val="24"/>
          <w:szCs w:val="24"/>
          <w:rtl/>
        </w:rPr>
        <w:t xml:space="preserve">במספר </w:t>
      </w:r>
      <w:r w:rsidRPr="001F7091">
        <w:rPr>
          <w:rFonts w:cs="David"/>
          <w:sz w:val="24"/>
          <w:szCs w:val="24"/>
          <w:rtl/>
        </w:rPr>
        <w:t>התשאולים מאז שנת 2013 לפחו</w:t>
      </w:r>
      <w:r w:rsidRPr="001F7091">
        <w:rPr>
          <w:rFonts w:cs="David"/>
          <w:sz w:val="24"/>
          <w:szCs w:val="24"/>
          <w:rtl/>
        </w:rPr>
        <w:t xml:space="preserve">ת. </w:t>
      </w:r>
    </w:p>
    <w:p w:rsidR="002D0C59" w:rsidRPr="00A21F5C" w:rsidP="00AE0BE6" w14:paraId="68B350A7" w14:textId="77777777">
      <w:pPr>
        <w:pStyle w:val="a"/>
        <w:spacing w:line="269" w:lineRule="auto"/>
        <w:rPr>
          <w:rtl/>
        </w:rPr>
      </w:pPr>
    </w:p>
    <w:p w:rsidR="002D0C59" w:rsidRPr="004A0234" w:rsidP="00AE0BE6" w14:paraId="422A0A22" w14:textId="77777777">
      <w:pPr>
        <w:pStyle w:val="ListParagraph"/>
        <w:spacing w:after="0" w:line="269" w:lineRule="auto"/>
        <w:ind w:left="0"/>
        <w:jc w:val="both"/>
        <w:rPr>
          <w:rFonts w:cs="David"/>
          <w:sz w:val="24"/>
          <w:szCs w:val="24"/>
          <w:rtl/>
        </w:rPr>
      </w:pPr>
      <w:r w:rsidRPr="004A0234">
        <w:rPr>
          <w:rFonts w:cs="David" w:hint="eastAsia"/>
          <w:b/>
          <w:bCs/>
          <w:sz w:val="24"/>
          <w:szCs w:val="24"/>
          <w:rtl/>
        </w:rPr>
        <w:t>נמצא</w:t>
      </w:r>
      <w:r w:rsidRPr="004A0234">
        <w:rPr>
          <w:rFonts w:cs="David" w:hint="cs"/>
          <w:b/>
          <w:bCs/>
          <w:sz w:val="24"/>
          <w:szCs w:val="24"/>
          <w:rtl/>
        </w:rPr>
        <w:t xml:space="preserve"> כי רשות האוכלוסין לא קבעה מהו </w:t>
      </w:r>
      <w:r w:rsidRPr="00033200">
        <w:rPr>
          <w:rFonts w:cs="David" w:hint="eastAsia"/>
          <w:b/>
          <w:bCs/>
          <w:sz w:val="24"/>
          <w:szCs w:val="24"/>
          <w:rtl/>
        </w:rPr>
        <w:t>משך</w:t>
      </w:r>
      <w:r w:rsidRPr="00033200">
        <w:rPr>
          <w:rFonts w:cs="David"/>
          <w:b/>
          <w:bCs/>
          <w:sz w:val="24"/>
          <w:szCs w:val="24"/>
          <w:rtl/>
        </w:rPr>
        <w:t xml:space="preserve"> </w:t>
      </w:r>
      <w:r w:rsidRPr="00033200">
        <w:rPr>
          <w:rFonts w:cs="David" w:hint="eastAsia"/>
          <w:b/>
          <w:bCs/>
          <w:sz w:val="24"/>
          <w:szCs w:val="24"/>
          <w:rtl/>
        </w:rPr>
        <w:t>הזמן</w:t>
      </w:r>
      <w:r w:rsidRPr="004A0234">
        <w:rPr>
          <w:rFonts w:cs="David" w:hint="cs"/>
          <w:b/>
          <w:bCs/>
          <w:sz w:val="24"/>
          <w:szCs w:val="24"/>
          <w:rtl/>
        </w:rPr>
        <w:t xml:space="preserve"> המרבי להמתנת נוסע לתשאול ולביצוע התשאול עצמו. משך הזמן לא נקבע גם בהסכם שבין רש"ת לרשות האוכלוסין. כמו כן, </w:t>
      </w:r>
      <w:r w:rsidRPr="004A0234">
        <w:rPr>
          <w:rFonts w:cs="David" w:hint="eastAsia"/>
          <w:b/>
          <w:bCs/>
          <w:sz w:val="24"/>
          <w:szCs w:val="24"/>
          <w:rtl/>
        </w:rPr>
        <w:t>רשות</w:t>
      </w:r>
      <w:r w:rsidRPr="004A0234">
        <w:rPr>
          <w:rFonts w:cs="David"/>
          <w:b/>
          <w:bCs/>
          <w:sz w:val="24"/>
          <w:szCs w:val="24"/>
          <w:rtl/>
        </w:rPr>
        <w:t xml:space="preserve"> </w:t>
      </w:r>
      <w:r w:rsidRPr="004A0234">
        <w:rPr>
          <w:rFonts w:cs="David" w:hint="eastAsia"/>
          <w:b/>
          <w:bCs/>
          <w:sz w:val="24"/>
          <w:szCs w:val="24"/>
          <w:rtl/>
        </w:rPr>
        <w:t>האוכלוסין</w:t>
      </w:r>
      <w:r w:rsidRPr="004A0234">
        <w:rPr>
          <w:rFonts w:cs="David"/>
          <w:b/>
          <w:bCs/>
          <w:sz w:val="24"/>
          <w:szCs w:val="24"/>
          <w:rtl/>
        </w:rPr>
        <w:t xml:space="preserve"> </w:t>
      </w:r>
      <w:r w:rsidRPr="004A0234">
        <w:rPr>
          <w:rFonts w:cs="David" w:hint="eastAsia"/>
          <w:b/>
          <w:bCs/>
          <w:sz w:val="24"/>
          <w:szCs w:val="24"/>
          <w:rtl/>
        </w:rPr>
        <w:t>אינה</w:t>
      </w:r>
      <w:r w:rsidRPr="004A0234">
        <w:rPr>
          <w:rFonts w:cs="David"/>
          <w:b/>
          <w:bCs/>
          <w:sz w:val="24"/>
          <w:szCs w:val="24"/>
          <w:rtl/>
        </w:rPr>
        <w:t xml:space="preserve"> </w:t>
      </w:r>
      <w:r w:rsidRPr="004A0234">
        <w:rPr>
          <w:rFonts w:cs="David" w:hint="eastAsia"/>
          <w:b/>
          <w:bCs/>
          <w:sz w:val="24"/>
          <w:szCs w:val="24"/>
          <w:rtl/>
        </w:rPr>
        <w:t>מודדת</w:t>
      </w:r>
      <w:r w:rsidRPr="004A0234">
        <w:rPr>
          <w:rFonts w:cs="David"/>
          <w:b/>
          <w:bCs/>
          <w:sz w:val="24"/>
          <w:szCs w:val="24"/>
          <w:rtl/>
        </w:rPr>
        <w:t xml:space="preserve"> </w:t>
      </w:r>
      <w:r w:rsidRPr="004A0234">
        <w:rPr>
          <w:rFonts w:cs="David" w:hint="eastAsia"/>
          <w:b/>
          <w:bCs/>
          <w:sz w:val="24"/>
          <w:szCs w:val="24"/>
          <w:rtl/>
        </w:rPr>
        <w:t>את</w:t>
      </w:r>
      <w:r w:rsidRPr="004A0234">
        <w:rPr>
          <w:rFonts w:cs="David"/>
          <w:b/>
          <w:bCs/>
          <w:sz w:val="24"/>
          <w:szCs w:val="24"/>
          <w:rtl/>
        </w:rPr>
        <w:t xml:space="preserve"> </w:t>
      </w:r>
      <w:r w:rsidRPr="004A0234">
        <w:rPr>
          <w:rFonts w:cs="David" w:hint="cs"/>
          <w:b/>
          <w:bCs/>
          <w:sz w:val="24"/>
          <w:szCs w:val="24"/>
          <w:rtl/>
        </w:rPr>
        <w:t xml:space="preserve">משכי הזמן האלה, ואלה </w:t>
      </w:r>
      <w:r>
        <w:rPr>
          <w:rFonts w:cs="David" w:hint="cs"/>
          <w:b/>
          <w:bCs/>
          <w:sz w:val="24"/>
          <w:szCs w:val="24"/>
          <w:rtl/>
        </w:rPr>
        <w:t>אינם</w:t>
      </w:r>
      <w:r w:rsidRPr="004A0234">
        <w:rPr>
          <w:rFonts w:cs="David" w:hint="cs"/>
          <w:b/>
          <w:bCs/>
          <w:sz w:val="24"/>
          <w:szCs w:val="24"/>
          <w:rtl/>
        </w:rPr>
        <w:t xml:space="preserve"> נמדדים גם בידי רש"ת. </w:t>
      </w:r>
      <w:r w:rsidRPr="004A0234">
        <w:rPr>
          <w:rFonts w:cs="David"/>
          <w:b/>
          <w:bCs/>
          <w:sz w:val="24"/>
          <w:szCs w:val="24"/>
          <w:rtl/>
        </w:rPr>
        <w:t xml:space="preserve">כיוון שכך, אי אפשר לדעת </w:t>
      </w:r>
      <w:r w:rsidRPr="004A0234">
        <w:rPr>
          <w:rFonts w:cs="David"/>
          <w:b/>
          <w:bCs/>
          <w:sz w:val="24"/>
          <w:szCs w:val="24"/>
          <w:rtl/>
        </w:rPr>
        <w:t>כמה זמן נדרשים הנוסעים להמתין לבדיקה</w:t>
      </w:r>
      <w:r w:rsidRPr="004A0234">
        <w:rPr>
          <w:rFonts w:cs="David" w:hint="cs"/>
          <w:b/>
          <w:bCs/>
          <w:sz w:val="24"/>
          <w:szCs w:val="24"/>
          <w:rtl/>
        </w:rPr>
        <w:t xml:space="preserve">, האם זמני ההמתנה עדיין ארוכים, כפי שעלה ממסמכי הרשות בשנים 2017 </w:t>
      </w:r>
      <w:r>
        <w:rPr>
          <w:rFonts w:cs="David" w:hint="cs"/>
          <w:b/>
          <w:bCs/>
          <w:sz w:val="24"/>
          <w:szCs w:val="24"/>
          <w:rtl/>
        </w:rPr>
        <w:t>עד</w:t>
      </w:r>
      <w:r w:rsidRPr="004A0234">
        <w:rPr>
          <w:rFonts w:cs="David" w:hint="cs"/>
          <w:b/>
          <w:bCs/>
          <w:sz w:val="24"/>
          <w:szCs w:val="24"/>
          <w:rtl/>
        </w:rPr>
        <w:t xml:space="preserve"> 2018, </w:t>
      </w:r>
      <w:r w:rsidRPr="004A0234">
        <w:rPr>
          <w:rFonts w:cs="David"/>
          <w:b/>
          <w:bCs/>
          <w:sz w:val="24"/>
          <w:szCs w:val="24"/>
          <w:rtl/>
        </w:rPr>
        <w:t>והאם נדרש שיפור של השירות לציבור בתחום זה.</w:t>
      </w:r>
    </w:p>
    <w:p w:rsidR="002D0C59" w:rsidRPr="00A21F5C" w:rsidP="00AE0BE6" w14:paraId="61D390AB" w14:textId="77777777">
      <w:pPr>
        <w:pStyle w:val="a"/>
        <w:spacing w:line="269" w:lineRule="auto"/>
        <w:rPr>
          <w:rtl/>
        </w:rPr>
      </w:pPr>
    </w:p>
    <w:p w:rsidR="00193CDB" w:rsidP="00AE0BE6" w14:paraId="0C61D38E" w14:textId="77777777">
      <w:pPr>
        <w:pStyle w:val="ListParagraph"/>
        <w:spacing w:after="0" w:line="269" w:lineRule="auto"/>
        <w:ind w:left="0"/>
        <w:jc w:val="both"/>
        <w:rPr>
          <w:rFonts w:cs="David"/>
          <w:b/>
          <w:bCs/>
          <w:sz w:val="24"/>
          <w:szCs w:val="24"/>
          <w:rtl/>
        </w:rPr>
      </w:pPr>
      <w:r w:rsidRPr="004A0234">
        <w:rPr>
          <w:rFonts w:cs="David" w:hint="cs"/>
          <w:b/>
          <w:bCs/>
          <w:sz w:val="24"/>
          <w:szCs w:val="24"/>
          <w:rtl/>
        </w:rPr>
        <w:t>על רשות האוכלוסין לקבוע משכי זמן מרביים לכל שלבי התשאול - מההמתנה לר</w:t>
      </w:r>
      <w:r>
        <w:rPr>
          <w:rFonts w:cs="David" w:hint="cs"/>
          <w:b/>
          <w:bCs/>
          <w:sz w:val="24"/>
          <w:szCs w:val="24"/>
          <w:rtl/>
        </w:rPr>
        <w:t>י</w:t>
      </w:r>
      <w:r w:rsidRPr="004A0234">
        <w:rPr>
          <w:rFonts w:cs="David" w:hint="cs"/>
          <w:b/>
          <w:bCs/>
          <w:sz w:val="24"/>
          <w:szCs w:val="24"/>
          <w:rtl/>
        </w:rPr>
        <w:t>איון ועד לקבלת ההחלטה, למדוד את מ</w:t>
      </w:r>
      <w:r w:rsidRPr="004A0234">
        <w:rPr>
          <w:rFonts w:cs="David" w:hint="cs"/>
          <w:b/>
          <w:bCs/>
          <w:sz w:val="24"/>
          <w:szCs w:val="24"/>
          <w:rtl/>
        </w:rPr>
        <w:t xml:space="preserve">שך שלבי התשאול בפועל ולוודא שהם </w:t>
      </w:r>
      <w:r>
        <w:rPr>
          <w:rFonts w:cs="David" w:hint="cs"/>
          <w:b/>
          <w:bCs/>
          <w:sz w:val="24"/>
          <w:szCs w:val="24"/>
          <w:rtl/>
        </w:rPr>
        <w:t>עומדים</w:t>
      </w:r>
      <w:r w:rsidRPr="004A0234">
        <w:rPr>
          <w:rFonts w:cs="David" w:hint="cs"/>
          <w:b/>
          <w:bCs/>
          <w:sz w:val="24"/>
          <w:szCs w:val="24"/>
          <w:rtl/>
        </w:rPr>
        <w:t xml:space="preserve"> בכללים שקבעה. כמו כן על רשות האוכלוסין ו</w:t>
      </w:r>
      <w:r>
        <w:rPr>
          <w:rFonts w:cs="David" w:hint="cs"/>
          <w:b/>
          <w:bCs/>
          <w:sz w:val="24"/>
          <w:szCs w:val="24"/>
          <w:rtl/>
        </w:rPr>
        <w:t xml:space="preserve">על </w:t>
      </w:r>
      <w:r w:rsidRPr="004A0234">
        <w:rPr>
          <w:rFonts w:cs="David" w:hint="cs"/>
          <w:b/>
          <w:bCs/>
          <w:sz w:val="24"/>
          <w:szCs w:val="24"/>
          <w:rtl/>
        </w:rPr>
        <w:t>רש"ת לוודא שההמתנה לתשאול תהיה בתנאים נאותים.</w:t>
      </w:r>
    </w:p>
    <w:p w:rsidR="002D0C59" w:rsidRPr="006A4F43" w:rsidP="00AE0BE6" w14:paraId="1FFDA37D" w14:textId="77777777">
      <w:pPr>
        <w:pStyle w:val="a"/>
        <w:spacing w:line="269" w:lineRule="auto"/>
        <w:rPr>
          <w:rtl/>
        </w:rPr>
      </w:pPr>
    </w:p>
    <w:p w:rsidR="00C24D6C" w:rsidP="00AE0BE6" w14:paraId="6075AF07" w14:textId="77777777">
      <w:pPr>
        <w:spacing w:line="269" w:lineRule="auto"/>
        <w:rPr>
          <w:rtl/>
        </w:rPr>
      </w:pPr>
      <w:r>
        <w:rPr>
          <w:rFonts w:hint="cs"/>
          <w:sz w:val="24"/>
          <w:rtl/>
        </w:rPr>
        <w:t xml:space="preserve">בדצמבר 2019 השיבה </w:t>
      </w:r>
      <w:r w:rsidRPr="006A4F43">
        <w:rPr>
          <w:rFonts w:hint="eastAsia"/>
          <w:sz w:val="24"/>
          <w:rtl/>
        </w:rPr>
        <w:t>רשות</w:t>
      </w:r>
      <w:r w:rsidRPr="006A4F43">
        <w:rPr>
          <w:sz w:val="24"/>
          <w:rtl/>
        </w:rPr>
        <w:t xml:space="preserve"> </w:t>
      </w:r>
      <w:r>
        <w:rPr>
          <w:rFonts w:hint="cs"/>
          <w:sz w:val="24"/>
          <w:rtl/>
        </w:rPr>
        <w:t>האוכלוסין למשרד מבקר המדינה כי נושא זה ייכלל בתוכנית העבודה של מינהל ביקורת הגבולות לשנת 2020.</w:t>
      </w:r>
      <w:r w:rsidRPr="006A4F43">
        <w:rPr>
          <w:rFonts w:hint="eastAsia"/>
          <w:sz w:val="24"/>
          <w:rtl/>
        </w:rPr>
        <w:t xml:space="preserve"> רש</w:t>
      </w:r>
      <w:r w:rsidRPr="006A4F43">
        <w:rPr>
          <w:sz w:val="24"/>
          <w:rtl/>
        </w:rPr>
        <w:t>"ת השיב</w:t>
      </w:r>
      <w:r w:rsidRPr="006A4F43">
        <w:rPr>
          <w:sz w:val="24"/>
          <w:rtl/>
        </w:rPr>
        <w:t xml:space="preserve">ה למשרד מבקר המדינה בדצמבר </w:t>
      </w:r>
      <w:r>
        <w:rPr>
          <w:rFonts w:hint="cs"/>
          <w:sz w:val="24"/>
          <w:rtl/>
        </w:rPr>
        <w:t>2019</w:t>
      </w:r>
      <w:r w:rsidRPr="006A4F43">
        <w:rPr>
          <w:sz w:val="24"/>
          <w:rtl/>
        </w:rPr>
        <w:t xml:space="preserve"> </w:t>
      </w:r>
      <w:r>
        <w:rPr>
          <w:rFonts w:hint="cs"/>
          <w:sz w:val="24"/>
          <w:rtl/>
        </w:rPr>
        <w:t>שלאור המספרים ההולכים וגדלים של הזרים המתושאלים, היא החליטה להרחיב את אולם ביקורת הגבולות ואת אזור ההמתנה לתשאול במסגרת פרויקט הרחבת התשתיות בטרמינל 3 בנתב"ג, ושנושא זה נכלל בתקציב הפיתוח שלה לשנים הקרובות.</w:t>
      </w:r>
    </w:p>
    <w:p w:rsidR="00377347" w:rsidP="00AE0BE6" w14:paraId="1DC8775D" w14:textId="77777777">
      <w:pPr>
        <w:spacing w:line="269" w:lineRule="auto"/>
        <w:rPr>
          <w:rtl/>
        </w:rPr>
      </w:pPr>
    </w:p>
    <w:p w:rsidR="002D0C59" w:rsidRPr="002D0C59" w:rsidP="00AE0BE6" w14:paraId="2E97D9C4" w14:textId="77777777">
      <w:pPr>
        <w:pStyle w:val="Heading2"/>
        <w:spacing w:before="0" w:line="269" w:lineRule="auto"/>
        <w:rPr>
          <w:rtl/>
        </w:rPr>
      </w:pPr>
      <w:r w:rsidRPr="002D0C59">
        <w:rPr>
          <w:rFonts w:hint="cs"/>
          <w:rtl/>
        </w:rPr>
        <w:t xml:space="preserve">העמידה של רשות </w:t>
      </w:r>
      <w:r w:rsidRPr="002D0C59">
        <w:rPr>
          <w:rFonts w:hint="cs"/>
          <w:rtl/>
        </w:rPr>
        <w:t>האוכלוסין באתגרי מערך ביקורת הגבולות</w:t>
      </w:r>
    </w:p>
    <w:p w:rsidR="002D0C59" w:rsidRPr="00A21F5C" w:rsidP="00AE0BE6" w14:paraId="128A09C6" w14:textId="77777777">
      <w:pPr>
        <w:pStyle w:val="a"/>
        <w:spacing w:line="269" w:lineRule="auto"/>
        <w:rPr>
          <w:rtl/>
        </w:rPr>
      </w:pPr>
    </w:p>
    <w:p w:rsidR="002D0C59" w:rsidP="00AE0BE6" w14:paraId="54A5B50A" w14:textId="77777777">
      <w:pPr>
        <w:spacing w:line="269" w:lineRule="auto"/>
        <w:rPr>
          <w:rtl/>
        </w:rPr>
      </w:pPr>
      <w:r w:rsidRPr="00F5256E">
        <w:rPr>
          <w:rFonts w:hint="eastAsia"/>
          <w:sz w:val="24"/>
          <w:rtl/>
        </w:rPr>
        <w:t>אחד</w:t>
      </w:r>
      <w:r w:rsidRPr="00F5256E">
        <w:rPr>
          <w:sz w:val="24"/>
          <w:rtl/>
        </w:rPr>
        <w:t xml:space="preserve"> </w:t>
      </w:r>
      <w:r w:rsidRPr="00F5256E">
        <w:rPr>
          <w:rFonts w:hint="eastAsia"/>
          <w:sz w:val="24"/>
          <w:rtl/>
        </w:rPr>
        <w:t>האתגרים</w:t>
      </w:r>
      <w:r w:rsidRPr="00F5256E">
        <w:rPr>
          <w:sz w:val="24"/>
          <w:rtl/>
        </w:rPr>
        <w:t xml:space="preserve"> </w:t>
      </w:r>
      <w:r w:rsidRPr="00F5256E">
        <w:rPr>
          <w:rFonts w:hint="eastAsia"/>
          <w:sz w:val="24"/>
          <w:rtl/>
        </w:rPr>
        <w:t>המרכזיים</w:t>
      </w:r>
      <w:r w:rsidRPr="00F5256E">
        <w:rPr>
          <w:sz w:val="24"/>
          <w:rtl/>
        </w:rPr>
        <w:t xml:space="preserve"> </w:t>
      </w:r>
      <w:r w:rsidRPr="00F5256E">
        <w:rPr>
          <w:rFonts w:hint="eastAsia"/>
          <w:sz w:val="24"/>
          <w:rtl/>
        </w:rPr>
        <w:t>של</w:t>
      </w:r>
      <w:r w:rsidRPr="00F5256E">
        <w:rPr>
          <w:sz w:val="24"/>
          <w:rtl/>
        </w:rPr>
        <w:t xml:space="preserve"> </w:t>
      </w:r>
      <w:r w:rsidRPr="00F5256E">
        <w:rPr>
          <w:rFonts w:hint="eastAsia"/>
          <w:sz w:val="24"/>
          <w:rtl/>
        </w:rPr>
        <w:t>מערך</w:t>
      </w:r>
      <w:r w:rsidRPr="00F5256E">
        <w:rPr>
          <w:sz w:val="24"/>
          <w:rtl/>
        </w:rPr>
        <w:t xml:space="preserve"> </w:t>
      </w:r>
      <w:r w:rsidRPr="00F5256E">
        <w:rPr>
          <w:rFonts w:hint="eastAsia"/>
          <w:sz w:val="24"/>
          <w:rtl/>
        </w:rPr>
        <w:t>ביקורת</w:t>
      </w:r>
      <w:r w:rsidRPr="00F5256E">
        <w:rPr>
          <w:sz w:val="24"/>
          <w:rtl/>
        </w:rPr>
        <w:t xml:space="preserve"> </w:t>
      </w:r>
      <w:r w:rsidRPr="00F5256E">
        <w:rPr>
          <w:rFonts w:hint="eastAsia"/>
          <w:sz w:val="24"/>
          <w:rtl/>
        </w:rPr>
        <w:t>הגבולות</w:t>
      </w:r>
      <w:r w:rsidRPr="00F5256E">
        <w:rPr>
          <w:sz w:val="24"/>
          <w:rtl/>
        </w:rPr>
        <w:t xml:space="preserve"> </w:t>
      </w:r>
      <w:r w:rsidRPr="00F5256E">
        <w:rPr>
          <w:rFonts w:hint="eastAsia"/>
          <w:sz w:val="24"/>
          <w:rtl/>
        </w:rPr>
        <w:t>בישראל</w:t>
      </w:r>
      <w:r w:rsidRPr="00F5256E">
        <w:rPr>
          <w:sz w:val="24"/>
          <w:rtl/>
        </w:rPr>
        <w:t xml:space="preserve"> </w:t>
      </w:r>
      <w:r w:rsidRPr="00F5256E">
        <w:rPr>
          <w:rFonts w:hint="eastAsia"/>
          <w:sz w:val="24"/>
          <w:rtl/>
        </w:rPr>
        <w:t>כאמור</w:t>
      </w:r>
      <w:r w:rsidRPr="00F5256E">
        <w:rPr>
          <w:sz w:val="24"/>
          <w:rtl/>
        </w:rPr>
        <w:t xml:space="preserve"> </w:t>
      </w:r>
      <w:r w:rsidRPr="00F5256E">
        <w:rPr>
          <w:rFonts w:hint="eastAsia"/>
          <w:sz w:val="24"/>
          <w:rtl/>
        </w:rPr>
        <w:t>הוא</w:t>
      </w:r>
      <w:r w:rsidRPr="00F5256E">
        <w:rPr>
          <w:sz w:val="24"/>
          <w:rtl/>
        </w:rPr>
        <w:t xml:space="preserve"> </w:t>
      </w:r>
      <w:r w:rsidRPr="00F5256E">
        <w:rPr>
          <w:rFonts w:hint="eastAsia"/>
          <w:sz w:val="24"/>
          <w:rtl/>
        </w:rPr>
        <w:t>לתת</w:t>
      </w:r>
      <w:r w:rsidRPr="00F5256E">
        <w:rPr>
          <w:sz w:val="24"/>
          <w:rtl/>
        </w:rPr>
        <w:t xml:space="preserve"> </w:t>
      </w:r>
      <w:r w:rsidRPr="00F5256E">
        <w:rPr>
          <w:rFonts w:hint="eastAsia"/>
          <w:sz w:val="24"/>
          <w:rtl/>
        </w:rPr>
        <w:t>מענה</w:t>
      </w:r>
      <w:r w:rsidRPr="00F5256E">
        <w:rPr>
          <w:sz w:val="24"/>
          <w:rtl/>
        </w:rPr>
        <w:t xml:space="preserve"> </w:t>
      </w:r>
      <w:r w:rsidRPr="00F5256E">
        <w:rPr>
          <w:rFonts w:hint="eastAsia"/>
          <w:sz w:val="24"/>
          <w:rtl/>
        </w:rPr>
        <w:t>לשתי</w:t>
      </w:r>
      <w:r w:rsidRPr="00F5256E">
        <w:rPr>
          <w:sz w:val="24"/>
          <w:rtl/>
        </w:rPr>
        <w:t xml:space="preserve"> </w:t>
      </w:r>
      <w:r w:rsidRPr="00F5256E">
        <w:rPr>
          <w:rFonts w:hint="eastAsia"/>
          <w:sz w:val="24"/>
          <w:rtl/>
        </w:rPr>
        <w:t>תכליות</w:t>
      </w:r>
      <w:r w:rsidRPr="00F5256E">
        <w:rPr>
          <w:sz w:val="24"/>
          <w:rtl/>
        </w:rPr>
        <w:t xml:space="preserve">: </w:t>
      </w:r>
      <w:r w:rsidRPr="00F5256E">
        <w:rPr>
          <w:rFonts w:hint="eastAsia"/>
          <w:sz w:val="24"/>
          <w:rtl/>
        </w:rPr>
        <w:t>האחת</w:t>
      </w:r>
      <w:r w:rsidRPr="00F5256E">
        <w:rPr>
          <w:sz w:val="24"/>
          <w:rtl/>
        </w:rPr>
        <w:t xml:space="preserve"> - </w:t>
      </w:r>
      <w:r w:rsidRPr="00F5256E">
        <w:rPr>
          <w:rFonts w:hint="eastAsia"/>
          <w:sz w:val="24"/>
          <w:rtl/>
        </w:rPr>
        <w:t>מתן</w:t>
      </w:r>
      <w:r w:rsidRPr="00F5256E">
        <w:rPr>
          <w:sz w:val="24"/>
          <w:rtl/>
        </w:rPr>
        <w:t xml:space="preserve"> </w:t>
      </w:r>
      <w:r w:rsidRPr="00F5256E">
        <w:rPr>
          <w:rFonts w:hint="eastAsia"/>
          <w:sz w:val="24"/>
          <w:rtl/>
        </w:rPr>
        <w:t>שירות</w:t>
      </w:r>
      <w:r w:rsidRPr="00F5256E">
        <w:rPr>
          <w:sz w:val="24"/>
          <w:rtl/>
        </w:rPr>
        <w:t xml:space="preserve"> </w:t>
      </w:r>
      <w:r w:rsidRPr="00F5256E">
        <w:rPr>
          <w:rFonts w:hint="eastAsia"/>
          <w:sz w:val="24"/>
          <w:rtl/>
        </w:rPr>
        <w:t>מהיר</w:t>
      </w:r>
      <w:r w:rsidRPr="00F5256E">
        <w:rPr>
          <w:sz w:val="24"/>
          <w:rtl/>
        </w:rPr>
        <w:t xml:space="preserve"> </w:t>
      </w:r>
      <w:r w:rsidRPr="00F5256E">
        <w:rPr>
          <w:rFonts w:hint="eastAsia"/>
          <w:sz w:val="24"/>
          <w:rtl/>
        </w:rPr>
        <w:t>ככל</w:t>
      </w:r>
      <w:r w:rsidRPr="00F5256E">
        <w:rPr>
          <w:sz w:val="24"/>
          <w:rtl/>
        </w:rPr>
        <w:t xml:space="preserve"> </w:t>
      </w:r>
      <w:r w:rsidRPr="00F5256E">
        <w:rPr>
          <w:rFonts w:hint="eastAsia"/>
          <w:sz w:val="24"/>
          <w:rtl/>
        </w:rPr>
        <w:t>האפשר לעוברים</w:t>
      </w:r>
      <w:r w:rsidRPr="00F5256E">
        <w:rPr>
          <w:sz w:val="24"/>
          <w:rtl/>
        </w:rPr>
        <w:t xml:space="preserve"> </w:t>
      </w:r>
      <w:r w:rsidRPr="00F5256E">
        <w:rPr>
          <w:rFonts w:hint="eastAsia"/>
          <w:sz w:val="24"/>
          <w:rtl/>
        </w:rPr>
        <w:t>בגבול</w:t>
      </w:r>
      <w:r w:rsidRPr="00F5256E">
        <w:rPr>
          <w:sz w:val="24"/>
          <w:rtl/>
        </w:rPr>
        <w:t xml:space="preserve">, </w:t>
      </w:r>
      <w:r w:rsidRPr="00F5256E">
        <w:rPr>
          <w:rFonts w:hint="eastAsia"/>
          <w:sz w:val="24"/>
          <w:rtl/>
        </w:rPr>
        <w:t>והשנייה</w:t>
      </w:r>
      <w:r w:rsidRPr="00F5256E">
        <w:rPr>
          <w:sz w:val="24"/>
          <w:rtl/>
        </w:rPr>
        <w:t xml:space="preserve"> - </w:t>
      </w:r>
      <w:r w:rsidRPr="00F5256E">
        <w:rPr>
          <w:rFonts w:hint="eastAsia"/>
          <w:sz w:val="24"/>
          <w:rtl/>
        </w:rPr>
        <w:t>מניעת</w:t>
      </w:r>
      <w:r w:rsidRPr="00F5256E">
        <w:rPr>
          <w:sz w:val="24"/>
          <w:rtl/>
        </w:rPr>
        <w:t xml:space="preserve"> </w:t>
      </w:r>
      <w:r w:rsidRPr="00F5256E">
        <w:rPr>
          <w:rFonts w:hint="eastAsia"/>
          <w:sz w:val="24"/>
          <w:rtl/>
        </w:rPr>
        <w:t>כניסת</w:t>
      </w:r>
      <w:r w:rsidRPr="00F5256E">
        <w:rPr>
          <w:sz w:val="24"/>
          <w:rtl/>
        </w:rPr>
        <w:t xml:space="preserve"> </w:t>
      </w:r>
      <w:r w:rsidRPr="00F5256E">
        <w:rPr>
          <w:rFonts w:hint="eastAsia"/>
          <w:sz w:val="24"/>
          <w:rtl/>
        </w:rPr>
        <w:t>אנשים</w:t>
      </w:r>
      <w:r w:rsidRPr="00F5256E">
        <w:rPr>
          <w:sz w:val="24"/>
          <w:rtl/>
        </w:rPr>
        <w:t xml:space="preserve"> </w:t>
      </w:r>
      <w:r w:rsidRPr="00F5256E">
        <w:rPr>
          <w:rFonts w:hint="eastAsia"/>
          <w:sz w:val="24"/>
          <w:rtl/>
        </w:rPr>
        <w:t>לשטחה</w:t>
      </w:r>
      <w:r w:rsidRPr="00F5256E">
        <w:rPr>
          <w:sz w:val="24"/>
          <w:rtl/>
        </w:rPr>
        <w:t xml:space="preserve"> </w:t>
      </w:r>
      <w:r w:rsidRPr="00F5256E">
        <w:rPr>
          <w:rFonts w:hint="eastAsia"/>
          <w:sz w:val="24"/>
          <w:rtl/>
        </w:rPr>
        <w:t>של</w:t>
      </w:r>
      <w:r w:rsidRPr="00F5256E">
        <w:rPr>
          <w:sz w:val="24"/>
          <w:rtl/>
        </w:rPr>
        <w:t xml:space="preserve"> </w:t>
      </w:r>
      <w:r w:rsidRPr="00F5256E">
        <w:rPr>
          <w:rFonts w:hint="eastAsia"/>
          <w:sz w:val="24"/>
          <w:rtl/>
        </w:rPr>
        <w:t>ישראל</w:t>
      </w:r>
      <w:r w:rsidRPr="00F5256E">
        <w:rPr>
          <w:sz w:val="24"/>
          <w:rtl/>
        </w:rPr>
        <w:t xml:space="preserve"> </w:t>
      </w:r>
      <w:r w:rsidRPr="00F5256E">
        <w:rPr>
          <w:rFonts w:hint="eastAsia"/>
          <w:sz w:val="24"/>
          <w:rtl/>
        </w:rPr>
        <w:t>מטעמים</w:t>
      </w:r>
      <w:r w:rsidRPr="00F5256E">
        <w:rPr>
          <w:sz w:val="24"/>
          <w:rtl/>
        </w:rPr>
        <w:t xml:space="preserve"> </w:t>
      </w:r>
      <w:r w:rsidRPr="00F5256E">
        <w:rPr>
          <w:rFonts w:hint="eastAsia"/>
          <w:sz w:val="24"/>
          <w:rtl/>
        </w:rPr>
        <w:t>ביטחוניים</w:t>
      </w:r>
      <w:r w:rsidRPr="00F5256E">
        <w:rPr>
          <w:sz w:val="24"/>
          <w:rtl/>
        </w:rPr>
        <w:t xml:space="preserve"> </w:t>
      </w:r>
      <w:r w:rsidRPr="00F5256E">
        <w:rPr>
          <w:rFonts w:hint="eastAsia"/>
          <w:sz w:val="24"/>
          <w:rtl/>
        </w:rPr>
        <w:t>או</w:t>
      </w:r>
      <w:r w:rsidRPr="00F5256E">
        <w:rPr>
          <w:sz w:val="24"/>
          <w:rtl/>
        </w:rPr>
        <w:t xml:space="preserve"> </w:t>
      </w:r>
      <w:r w:rsidRPr="00F5256E">
        <w:rPr>
          <w:rFonts w:hint="eastAsia"/>
          <w:sz w:val="24"/>
          <w:rtl/>
        </w:rPr>
        <w:t>פליליים</w:t>
      </w:r>
      <w:r w:rsidRPr="00F5256E">
        <w:rPr>
          <w:sz w:val="24"/>
          <w:rtl/>
        </w:rPr>
        <w:t xml:space="preserve"> </w:t>
      </w:r>
      <w:r w:rsidRPr="00F5256E">
        <w:rPr>
          <w:rFonts w:hint="eastAsia"/>
          <w:sz w:val="24"/>
          <w:rtl/>
        </w:rPr>
        <w:t>או</w:t>
      </w:r>
      <w:r w:rsidRPr="00F5256E">
        <w:rPr>
          <w:sz w:val="24"/>
          <w:rtl/>
        </w:rPr>
        <w:t xml:space="preserve"> </w:t>
      </w:r>
      <w:r w:rsidRPr="00F5256E">
        <w:rPr>
          <w:rFonts w:hint="eastAsia"/>
          <w:sz w:val="24"/>
          <w:rtl/>
        </w:rPr>
        <w:t>כאשר</w:t>
      </w:r>
      <w:r w:rsidRPr="00F5256E">
        <w:rPr>
          <w:sz w:val="24"/>
          <w:rtl/>
        </w:rPr>
        <w:t xml:space="preserve"> </w:t>
      </w:r>
      <w:r w:rsidRPr="00F5256E">
        <w:rPr>
          <w:rFonts w:hint="eastAsia"/>
          <w:sz w:val="24"/>
          <w:rtl/>
        </w:rPr>
        <w:t>יש</w:t>
      </w:r>
      <w:r w:rsidRPr="00F5256E">
        <w:rPr>
          <w:sz w:val="24"/>
          <w:rtl/>
        </w:rPr>
        <w:t xml:space="preserve"> </w:t>
      </w:r>
      <w:r w:rsidRPr="00F5256E">
        <w:rPr>
          <w:rFonts w:hint="eastAsia"/>
          <w:sz w:val="24"/>
          <w:rtl/>
        </w:rPr>
        <w:t>חשש</w:t>
      </w:r>
      <w:r w:rsidRPr="00F5256E">
        <w:rPr>
          <w:sz w:val="24"/>
          <w:rtl/>
        </w:rPr>
        <w:t xml:space="preserve"> </w:t>
      </w:r>
      <w:r w:rsidRPr="00F5256E">
        <w:rPr>
          <w:rFonts w:hint="eastAsia"/>
          <w:sz w:val="24"/>
          <w:rtl/>
        </w:rPr>
        <w:t>שה</w:t>
      </w:r>
      <w:r w:rsidRPr="00F5256E">
        <w:rPr>
          <w:rFonts w:hint="eastAsia"/>
          <w:sz w:val="24"/>
          <w:rtl/>
        </w:rPr>
        <w:t>ם</w:t>
      </w:r>
      <w:r w:rsidRPr="00F5256E">
        <w:rPr>
          <w:sz w:val="24"/>
          <w:rtl/>
        </w:rPr>
        <w:t xml:space="preserve"> </w:t>
      </w:r>
      <w:r w:rsidRPr="00F5256E">
        <w:rPr>
          <w:rFonts w:hint="eastAsia"/>
          <w:sz w:val="24"/>
          <w:rtl/>
        </w:rPr>
        <w:t>מבקשים</w:t>
      </w:r>
      <w:r w:rsidRPr="00F5256E">
        <w:rPr>
          <w:sz w:val="24"/>
          <w:rtl/>
        </w:rPr>
        <w:t xml:space="preserve"> </w:t>
      </w:r>
      <w:r w:rsidRPr="00F5256E">
        <w:rPr>
          <w:rFonts w:hint="eastAsia"/>
          <w:sz w:val="24"/>
          <w:rtl/>
        </w:rPr>
        <w:t>להגר</w:t>
      </w:r>
      <w:r w:rsidRPr="00F5256E">
        <w:rPr>
          <w:sz w:val="24"/>
          <w:rtl/>
        </w:rPr>
        <w:t xml:space="preserve"> </w:t>
      </w:r>
      <w:r w:rsidRPr="00F5256E">
        <w:rPr>
          <w:rFonts w:hint="eastAsia"/>
          <w:sz w:val="24"/>
          <w:rtl/>
        </w:rPr>
        <w:t>לישראל</w:t>
      </w:r>
      <w:r w:rsidRPr="00F5256E">
        <w:rPr>
          <w:sz w:val="24"/>
          <w:rtl/>
        </w:rPr>
        <w:t xml:space="preserve"> </w:t>
      </w:r>
      <w:r w:rsidRPr="00F5256E">
        <w:rPr>
          <w:rFonts w:hint="eastAsia"/>
          <w:sz w:val="24"/>
          <w:rtl/>
        </w:rPr>
        <w:t>שלא</w:t>
      </w:r>
      <w:r w:rsidRPr="00F5256E">
        <w:rPr>
          <w:sz w:val="24"/>
          <w:rtl/>
        </w:rPr>
        <w:t xml:space="preserve"> </w:t>
      </w:r>
      <w:r w:rsidRPr="00F5256E">
        <w:rPr>
          <w:rFonts w:hint="eastAsia"/>
          <w:sz w:val="24"/>
          <w:rtl/>
        </w:rPr>
        <w:t>כחוק</w:t>
      </w:r>
      <w:r w:rsidRPr="00F5256E">
        <w:rPr>
          <w:sz w:val="24"/>
          <w:rtl/>
        </w:rPr>
        <w:t xml:space="preserve">. </w:t>
      </w:r>
      <w:r w:rsidRPr="00F5256E">
        <w:rPr>
          <w:rFonts w:hint="eastAsia"/>
          <w:sz w:val="24"/>
          <w:rtl/>
        </w:rPr>
        <w:t>הקושי</w:t>
      </w:r>
      <w:r w:rsidRPr="00F5256E">
        <w:rPr>
          <w:sz w:val="24"/>
          <w:rtl/>
        </w:rPr>
        <w:t xml:space="preserve"> </w:t>
      </w:r>
      <w:r w:rsidRPr="00F5256E">
        <w:rPr>
          <w:rFonts w:hint="eastAsia"/>
          <w:sz w:val="24"/>
          <w:rtl/>
        </w:rPr>
        <w:t>באתגר</w:t>
      </w:r>
      <w:r w:rsidRPr="00F5256E">
        <w:rPr>
          <w:sz w:val="24"/>
          <w:rtl/>
        </w:rPr>
        <w:t xml:space="preserve"> </w:t>
      </w:r>
      <w:r w:rsidRPr="00F5256E">
        <w:rPr>
          <w:rFonts w:hint="eastAsia"/>
          <w:sz w:val="24"/>
          <w:rtl/>
        </w:rPr>
        <w:t>זה</w:t>
      </w:r>
      <w:r w:rsidRPr="00F5256E">
        <w:rPr>
          <w:sz w:val="24"/>
          <w:rtl/>
        </w:rPr>
        <w:t xml:space="preserve"> </w:t>
      </w:r>
      <w:r w:rsidRPr="00F5256E">
        <w:rPr>
          <w:rFonts w:hint="eastAsia"/>
          <w:sz w:val="24"/>
          <w:rtl/>
        </w:rPr>
        <w:t>מצוי</w:t>
      </w:r>
      <w:r w:rsidRPr="00F5256E">
        <w:rPr>
          <w:sz w:val="24"/>
          <w:rtl/>
        </w:rPr>
        <w:t xml:space="preserve"> </w:t>
      </w:r>
      <w:r w:rsidRPr="00F5256E">
        <w:rPr>
          <w:rFonts w:hint="eastAsia"/>
          <w:sz w:val="24"/>
          <w:rtl/>
        </w:rPr>
        <w:t>בין</w:t>
      </w:r>
      <w:r w:rsidRPr="00F5256E">
        <w:rPr>
          <w:sz w:val="24"/>
          <w:rtl/>
        </w:rPr>
        <w:t xml:space="preserve"> </w:t>
      </w:r>
      <w:r w:rsidRPr="00F5256E">
        <w:rPr>
          <w:rFonts w:hint="eastAsia"/>
          <w:sz w:val="24"/>
          <w:rtl/>
        </w:rPr>
        <w:t>השאר</w:t>
      </w:r>
      <w:r w:rsidRPr="00F5256E">
        <w:rPr>
          <w:sz w:val="24"/>
          <w:rtl/>
        </w:rPr>
        <w:t xml:space="preserve"> </w:t>
      </w:r>
      <w:r w:rsidRPr="00F5256E">
        <w:rPr>
          <w:rFonts w:hint="eastAsia"/>
          <w:sz w:val="24"/>
          <w:rtl/>
        </w:rPr>
        <w:t>במתח</w:t>
      </w:r>
      <w:r w:rsidRPr="00F5256E">
        <w:rPr>
          <w:sz w:val="24"/>
          <w:rtl/>
        </w:rPr>
        <w:t xml:space="preserve"> </w:t>
      </w:r>
      <w:r w:rsidRPr="00F5256E">
        <w:rPr>
          <w:rFonts w:hint="eastAsia"/>
          <w:sz w:val="24"/>
          <w:rtl/>
        </w:rPr>
        <w:t>שבין</w:t>
      </w:r>
      <w:r w:rsidRPr="00F5256E">
        <w:rPr>
          <w:sz w:val="24"/>
          <w:rtl/>
        </w:rPr>
        <w:t xml:space="preserve"> </w:t>
      </w:r>
      <w:r w:rsidRPr="00F5256E">
        <w:rPr>
          <w:rFonts w:hint="eastAsia"/>
          <w:sz w:val="24"/>
          <w:rtl/>
        </w:rPr>
        <w:t>שתי</w:t>
      </w:r>
      <w:r w:rsidRPr="00F5256E">
        <w:rPr>
          <w:sz w:val="24"/>
          <w:rtl/>
        </w:rPr>
        <w:t xml:space="preserve"> </w:t>
      </w:r>
      <w:r w:rsidRPr="00F5256E">
        <w:rPr>
          <w:rFonts w:hint="eastAsia"/>
          <w:sz w:val="24"/>
          <w:rtl/>
        </w:rPr>
        <w:t>התכליות</w:t>
      </w:r>
      <w:r w:rsidRPr="00F5256E">
        <w:rPr>
          <w:sz w:val="24"/>
          <w:rtl/>
        </w:rPr>
        <w:t xml:space="preserve">: </w:t>
      </w:r>
      <w:r w:rsidRPr="00F5256E">
        <w:rPr>
          <w:rFonts w:hint="eastAsia"/>
          <w:sz w:val="24"/>
          <w:rtl/>
        </w:rPr>
        <w:t>בדיקה</w:t>
      </w:r>
      <w:r w:rsidRPr="00F5256E">
        <w:rPr>
          <w:sz w:val="24"/>
          <w:rtl/>
        </w:rPr>
        <w:t xml:space="preserve"> </w:t>
      </w:r>
      <w:r w:rsidRPr="00F5256E">
        <w:rPr>
          <w:rFonts w:hint="eastAsia"/>
          <w:sz w:val="24"/>
          <w:rtl/>
        </w:rPr>
        <w:t>קפדנית</w:t>
      </w:r>
      <w:r w:rsidRPr="00F5256E">
        <w:rPr>
          <w:sz w:val="24"/>
          <w:rtl/>
        </w:rPr>
        <w:t xml:space="preserve"> </w:t>
      </w:r>
      <w:r w:rsidRPr="00F5256E">
        <w:rPr>
          <w:rFonts w:hint="eastAsia"/>
          <w:sz w:val="24"/>
          <w:rtl/>
        </w:rPr>
        <w:t>לצורך</w:t>
      </w:r>
      <w:r w:rsidRPr="00F5256E">
        <w:rPr>
          <w:sz w:val="24"/>
          <w:rtl/>
        </w:rPr>
        <w:t xml:space="preserve"> </w:t>
      </w:r>
      <w:r w:rsidRPr="00F5256E">
        <w:rPr>
          <w:rFonts w:hint="eastAsia"/>
          <w:sz w:val="24"/>
          <w:rtl/>
        </w:rPr>
        <w:t>מניעת</w:t>
      </w:r>
      <w:r w:rsidRPr="00F5256E">
        <w:rPr>
          <w:sz w:val="24"/>
          <w:rtl/>
        </w:rPr>
        <w:t xml:space="preserve"> </w:t>
      </w:r>
      <w:r w:rsidRPr="00F5256E">
        <w:rPr>
          <w:rFonts w:hint="eastAsia"/>
          <w:sz w:val="24"/>
          <w:rtl/>
        </w:rPr>
        <w:t>כניסה</w:t>
      </w:r>
      <w:r w:rsidRPr="00F5256E">
        <w:rPr>
          <w:sz w:val="24"/>
          <w:rtl/>
        </w:rPr>
        <w:t xml:space="preserve"> </w:t>
      </w:r>
      <w:r w:rsidRPr="00F5256E">
        <w:rPr>
          <w:rFonts w:hint="eastAsia"/>
          <w:sz w:val="24"/>
          <w:rtl/>
        </w:rPr>
        <w:t>כאמור</w:t>
      </w:r>
      <w:r w:rsidRPr="00F5256E">
        <w:rPr>
          <w:sz w:val="24"/>
          <w:rtl/>
        </w:rPr>
        <w:t xml:space="preserve"> </w:t>
      </w:r>
      <w:r w:rsidRPr="00F5256E">
        <w:rPr>
          <w:rFonts w:hint="eastAsia"/>
          <w:sz w:val="24"/>
          <w:rtl/>
        </w:rPr>
        <w:t>עלולה</w:t>
      </w:r>
      <w:r w:rsidRPr="00F5256E">
        <w:rPr>
          <w:sz w:val="24"/>
          <w:rtl/>
        </w:rPr>
        <w:t xml:space="preserve"> </w:t>
      </w:r>
      <w:r w:rsidRPr="00F5256E">
        <w:rPr>
          <w:rFonts w:hint="eastAsia"/>
          <w:sz w:val="24"/>
          <w:rtl/>
        </w:rPr>
        <w:t>להאריך</w:t>
      </w:r>
      <w:r w:rsidRPr="00F5256E">
        <w:rPr>
          <w:sz w:val="24"/>
          <w:rtl/>
        </w:rPr>
        <w:t xml:space="preserve"> </w:t>
      </w:r>
      <w:r w:rsidRPr="00F5256E">
        <w:rPr>
          <w:rFonts w:hint="eastAsia"/>
          <w:sz w:val="24"/>
          <w:rtl/>
        </w:rPr>
        <w:t>את</w:t>
      </w:r>
      <w:r w:rsidRPr="00F5256E">
        <w:rPr>
          <w:sz w:val="24"/>
          <w:rtl/>
        </w:rPr>
        <w:t xml:space="preserve"> </w:t>
      </w:r>
      <w:r w:rsidRPr="00F5256E">
        <w:rPr>
          <w:rFonts w:hint="eastAsia"/>
          <w:sz w:val="24"/>
          <w:rtl/>
        </w:rPr>
        <w:t>משך</w:t>
      </w:r>
      <w:r w:rsidRPr="00F5256E">
        <w:rPr>
          <w:sz w:val="24"/>
          <w:rtl/>
        </w:rPr>
        <w:t xml:space="preserve"> </w:t>
      </w:r>
      <w:r w:rsidRPr="00F5256E">
        <w:rPr>
          <w:rFonts w:hint="eastAsia"/>
          <w:sz w:val="24"/>
          <w:rtl/>
        </w:rPr>
        <w:t>השירות</w:t>
      </w:r>
      <w:r w:rsidRPr="00F5256E">
        <w:rPr>
          <w:sz w:val="24"/>
          <w:rtl/>
        </w:rPr>
        <w:t xml:space="preserve"> </w:t>
      </w:r>
      <w:r w:rsidRPr="00F5256E">
        <w:rPr>
          <w:rFonts w:hint="eastAsia"/>
          <w:sz w:val="24"/>
          <w:rtl/>
        </w:rPr>
        <w:t>לעוברים</w:t>
      </w:r>
      <w:r w:rsidRPr="00F5256E">
        <w:rPr>
          <w:sz w:val="24"/>
          <w:rtl/>
        </w:rPr>
        <w:t xml:space="preserve"> </w:t>
      </w:r>
      <w:r w:rsidRPr="00F5256E">
        <w:rPr>
          <w:rFonts w:hint="eastAsia"/>
          <w:sz w:val="24"/>
          <w:rtl/>
        </w:rPr>
        <w:t>בגבול</w:t>
      </w:r>
      <w:r w:rsidRPr="00F5256E">
        <w:rPr>
          <w:sz w:val="24"/>
          <w:rtl/>
        </w:rPr>
        <w:t xml:space="preserve">. </w:t>
      </w:r>
      <w:r w:rsidRPr="00F5256E">
        <w:rPr>
          <w:rFonts w:hint="eastAsia"/>
          <w:sz w:val="24"/>
          <w:rtl/>
        </w:rPr>
        <w:t>על</w:t>
      </w:r>
      <w:r w:rsidRPr="00F5256E">
        <w:rPr>
          <w:sz w:val="24"/>
          <w:rtl/>
        </w:rPr>
        <w:t xml:space="preserve"> </w:t>
      </w:r>
      <w:r w:rsidRPr="00F5256E">
        <w:rPr>
          <w:rFonts w:hint="eastAsia"/>
          <w:sz w:val="24"/>
          <w:rtl/>
        </w:rPr>
        <w:t>מורכבותו</w:t>
      </w:r>
      <w:r w:rsidRPr="00F5256E">
        <w:rPr>
          <w:sz w:val="24"/>
          <w:rtl/>
        </w:rPr>
        <w:t xml:space="preserve"> </w:t>
      </w:r>
      <w:r w:rsidRPr="00F5256E">
        <w:rPr>
          <w:rFonts w:hint="eastAsia"/>
          <w:sz w:val="24"/>
          <w:rtl/>
        </w:rPr>
        <w:t>של</w:t>
      </w:r>
      <w:r w:rsidRPr="00F5256E">
        <w:rPr>
          <w:sz w:val="24"/>
          <w:rtl/>
        </w:rPr>
        <w:t xml:space="preserve"> </w:t>
      </w:r>
      <w:r w:rsidRPr="00F5256E">
        <w:rPr>
          <w:rFonts w:hint="eastAsia"/>
          <w:sz w:val="24"/>
          <w:rtl/>
        </w:rPr>
        <w:t>האתגר</w:t>
      </w:r>
      <w:r w:rsidRPr="00F5256E">
        <w:rPr>
          <w:sz w:val="24"/>
          <w:rtl/>
        </w:rPr>
        <w:t xml:space="preserve"> </w:t>
      </w:r>
      <w:r w:rsidRPr="00F5256E">
        <w:rPr>
          <w:rFonts w:hint="eastAsia"/>
          <w:sz w:val="24"/>
          <w:rtl/>
        </w:rPr>
        <w:t>בשנים</w:t>
      </w:r>
      <w:r w:rsidRPr="00F5256E">
        <w:rPr>
          <w:sz w:val="24"/>
          <w:rtl/>
        </w:rPr>
        <w:t xml:space="preserve"> 201</w:t>
      </w:r>
      <w:r>
        <w:rPr>
          <w:rFonts w:hint="cs"/>
          <w:sz w:val="24"/>
          <w:rtl/>
        </w:rPr>
        <w:t xml:space="preserve">7 עד </w:t>
      </w:r>
      <w:r w:rsidRPr="00F5256E">
        <w:rPr>
          <w:sz w:val="24"/>
          <w:rtl/>
        </w:rPr>
        <w:t>201</w:t>
      </w:r>
      <w:r>
        <w:rPr>
          <w:rFonts w:hint="cs"/>
          <w:sz w:val="24"/>
          <w:rtl/>
        </w:rPr>
        <w:t>8</w:t>
      </w:r>
      <w:r w:rsidRPr="00F5256E">
        <w:rPr>
          <w:sz w:val="24"/>
          <w:rtl/>
        </w:rPr>
        <w:t xml:space="preserve"> </w:t>
      </w:r>
      <w:r w:rsidRPr="00F5256E">
        <w:rPr>
          <w:rFonts w:hint="eastAsia"/>
          <w:sz w:val="24"/>
          <w:rtl/>
        </w:rPr>
        <w:t>אפשר</w:t>
      </w:r>
      <w:r w:rsidRPr="00F5256E">
        <w:rPr>
          <w:sz w:val="24"/>
          <w:rtl/>
        </w:rPr>
        <w:t xml:space="preserve"> </w:t>
      </w:r>
      <w:r w:rsidRPr="00F5256E">
        <w:rPr>
          <w:rFonts w:hint="eastAsia"/>
          <w:sz w:val="24"/>
          <w:rtl/>
        </w:rPr>
        <w:t>ללמוד</w:t>
      </w:r>
      <w:r w:rsidRPr="00F5256E">
        <w:rPr>
          <w:sz w:val="24"/>
          <w:rtl/>
        </w:rPr>
        <w:t xml:space="preserve"> </w:t>
      </w:r>
      <w:r w:rsidRPr="00F5256E">
        <w:rPr>
          <w:rFonts w:hint="eastAsia"/>
          <w:sz w:val="24"/>
          <w:rtl/>
        </w:rPr>
        <w:t>מ</w:t>
      </w:r>
      <w:r>
        <w:rPr>
          <w:rFonts w:hint="cs"/>
          <w:sz w:val="24"/>
          <w:rtl/>
        </w:rPr>
        <w:t>ה</w:t>
      </w:r>
      <w:r w:rsidRPr="00F5256E">
        <w:rPr>
          <w:rFonts w:hint="eastAsia"/>
          <w:sz w:val="24"/>
          <w:rtl/>
        </w:rPr>
        <w:t>נתונים</w:t>
      </w:r>
      <w:r w:rsidRPr="00F5256E">
        <w:rPr>
          <w:sz w:val="24"/>
          <w:rtl/>
        </w:rPr>
        <w:t xml:space="preserve"> </w:t>
      </w:r>
      <w:r w:rsidRPr="00F5256E">
        <w:rPr>
          <w:rFonts w:hint="eastAsia"/>
          <w:sz w:val="24"/>
          <w:rtl/>
        </w:rPr>
        <w:t>של</w:t>
      </w:r>
      <w:r w:rsidRPr="00F5256E">
        <w:rPr>
          <w:sz w:val="24"/>
          <w:rtl/>
        </w:rPr>
        <w:t xml:space="preserve"> </w:t>
      </w:r>
      <w:r w:rsidRPr="00F5256E">
        <w:rPr>
          <w:rFonts w:hint="eastAsia"/>
          <w:sz w:val="24"/>
          <w:rtl/>
        </w:rPr>
        <w:t>רשות</w:t>
      </w:r>
      <w:r w:rsidRPr="00F5256E">
        <w:rPr>
          <w:sz w:val="24"/>
          <w:rtl/>
        </w:rPr>
        <w:t xml:space="preserve"> </w:t>
      </w:r>
      <w:r w:rsidRPr="00F5256E">
        <w:rPr>
          <w:rFonts w:hint="eastAsia"/>
          <w:sz w:val="24"/>
          <w:rtl/>
        </w:rPr>
        <w:t>האוכלוסין</w:t>
      </w:r>
      <w:r w:rsidRPr="00F5256E">
        <w:rPr>
          <w:sz w:val="24"/>
          <w:rtl/>
        </w:rPr>
        <w:t xml:space="preserve"> </w:t>
      </w:r>
      <w:r w:rsidRPr="00F5256E">
        <w:rPr>
          <w:rFonts w:hint="eastAsia"/>
          <w:sz w:val="24"/>
          <w:rtl/>
        </w:rPr>
        <w:t>ושל</w:t>
      </w:r>
      <w:r w:rsidRPr="00F5256E">
        <w:rPr>
          <w:sz w:val="24"/>
          <w:rtl/>
        </w:rPr>
        <w:t xml:space="preserve"> </w:t>
      </w:r>
      <w:r w:rsidRPr="00F5256E">
        <w:rPr>
          <w:rFonts w:hint="eastAsia"/>
          <w:sz w:val="24"/>
          <w:rtl/>
        </w:rPr>
        <w:t>משטרת</w:t>
      </w:r>
      <w:r w:rsidRPr="00F5256E">
        <w:rPr>
          <w:sz w:val="24"/>
          <w:rtl/>
        </w:rPr>
        <w:t xml:space="preserve"> </w:t>
      </w:r>
      <w:r w:rsidRPr="00F5256E">
        <w:rPr>
          <w:rFonts w:hint="eastAsia"/>
          <w:sz w:val="24"/>
          <w:rtl/>
        </w:rPr>
        <w:t>ישראל</w:t>
      </w:r>
      <w:r>
        <w:rPr>
          <w:rFonts w:hint="cs"/>
          <w:sz w:val="24"/>
          <w:rtl/>
        </w:rPr>
        <w:t>,</w:t>
      </w:r>
      <w:r>
        <w:rPr>
          <w:rFonts w:hint="cs"/>
          <w:sz w:val="24"/>
          <w:rtl/>
        </w:rPr>
        <w:t xml:space="preserve"> שיפורטו להלן בפרק זה.</w:t>
      </w:r>
    </w:p>
    <w:p w:rsidR="00377347" w:rsidP="007277EF" w14:paraId="741F1EBD" w14:textId="77777777">
      <w:pPr>
        <w:pStyle w:val="a"/>
        <w:rPr>
          <w:rtl/>
        </w:rPr>
      </w:pPr>
    </w:p>
    <w:p w:rsidR="007277EF" w:rsidP="007277EF" w14:paraId="68EB3E41" w14:textId="77777777">
      <w:pPr>
        <w:pStyle w:val="a"/>
        <w:rPr>
          <w:rtl/>
        </w:rPr>
      </w:pPr>
    </w:p>
    <w:p w:rsidR="002D0C59" w:rsidRPr="002D0C59" w:rsidP="00AE0BE6" w14:paraId="23C03EB9" w14:textId="77777777">
      <w:pPr>
        <w:pStyle w:val="Heading3"/>
        <w:spacing w:before="0" w:line="269" w:lineRule="auto"/>
        <w:rPr>
          <w:rtl/>
        </w:rPr>
      </w:pPr>
      <w:r w:rsidRPr="002D0C59">
        <w:rPr>
          <w:rFonts w:hint="cs"/>
          <w:rtl/>
        </w:rPr>
        <w:t>ישראלים החשודים בסיוע לזרים להיכנס לישראל שלא כחוק</w:t>
      </w:r>
    </w:p>
    <w:p w:rsidR="002D0C59" w:rsidP="00AE0BE6" w14:paraId="21330365" w14:textId="77777777">
      <w:pPr>
        <w:pStyle w:val="a"/>
        <w:spacing w:line="269" w:lineRule="auto"/>
        <w:rPr>
          <w:rtl/>
        </w:rPr>
      </w:pPr>
    </w:p>
    <w:p w:rsidR="002D0C59" w:rsidP="00AE0BE6" w14:paraId="3D15F868" w14:textId="77777777">
      <w:pPr>
        <w:spacing w:line="269" w:lineRule="auto"/>
        <w:rPr>
          <w:rtl/>
        </w:rPr>
      </w:pPr>
      <w:r w:rsidRPr="00633DEC">
        <w:rPr>
          <w:rFonts w:hint="eastAsia"/>
          <w:sz w:val="24"/>
          <w:rtl/>
        </w:rPr>
        <w:t>סעיף</w:t>
      </w:r>
      <w:r w:rsidRPr="00633DEC">
        <w:rPr>
          <w:sz w:val="24"/>
          <w:rtl/>
        </w:rPr>
        <w:t xml:space="preserve"> 7 </w:t>
      </w:r>
      <w:r w:rsidRPr="00633DEC">
        <w:rPr>
          <w:rFonts w:hint="eastAsia"/>
          <w:sz w:val="24"/>
          <w:rtl/>
        </w:rPr>
        <w:t>ל</w:t>
      </w:r>
      <w:r w:rsidRPr="00633DEC">
        <w:rPr>
          <w:sz w:val="24"/>
          <w:rtl/>
        </w:rPr>
        <w:t xml:space="preserve">חוק הכניסה לישראל קובע כי </w:t>
      </w:r>
      <w:r w:rsidRPr="00633DEC">
        <w:rPr>
          <w:rFonts w:hint="eastAsia"/>
          <w:sz w:val="24"/>
          <w:rtl/>
        </w:rPr>
        <w:t>לא</w:t>
      </w:r>
      <w:r w:rsidRPr="00633DEC">
        <w:rPr>
          <w:sz w:val="24"/>
          <w:rtl/>
        </w:rPr>
        <w:t xml:space="preserve"> </w:t>
      </w:r>
      <w:r w:rsidRPr="00633DEC">
        <w:rPr>
          <w:rFonts w:hint="eastAsia"/>
          <w:sz w:val="24"/>
          <w:rtl/>
        </w:rPr>
        <w:t>ייכנס</w:t>
      </w:r>
      <w:r w:rsidRPr="00633DEC">
        <w:rPr>
          <w:sz w:val="24"/>
          <w:rtl/>
        </w:rPr>
        <w:t xml:space="preserve"> </w:t>
      </w:r>
      <w:r w:rsidRPr="00633DEC">
        <w:rPr>
          <w:rFonts w:hint="eastAsia"/>
          <w:sz w:val="24"/>
          <w:rtl/>
        </w:rPr>
        <w:t>אדם</w:t>
      </w:r>
      <w:r w:rsidRPr="00633DEC">
        <w:rPr>
          <w:sz w:val="24"/>
          <w:rtl/>
        </w:rPr>
        <w:t xml:space="preserve"> </w:t>
      </w:r>
      <w:r w:rsidRPr="00633DEC">
        <w:rPr>
          <w:rFonts w:hint="eastAsia"/>
          <w:sz w:val="24"/>
          <w:rtl/>
        </w:rPr>
        <w:t>לישראל</w:t>
      </w:r>
      <w:r w:rsidRPr="00633DEC">
        <w:rPr>
          <w:sz w:val="24"/>
          <w:rtl/>
        </w:rPr>
        <w:t xml:space="preserve"> </w:t>
      </w:r>
      <w:r w:rsidRPr="00633DEC">
        <w:rPr>
          <w:rFonts w:hint="eastAsia"/>
          <w:sz w:val="24"/>
          <w:rtl/>
        </w:rPr>
        <w:t>ולא</w:t>
      </w:r>
      <w:r w:rsidRPr="00633DEC">
        <w:rPr>
          <w:sz w:val="24"/>
          <w:rtl/>
        </w:rPr>
        <w:t xml:space="preserve"> </w:t>
      </w:r>
      <w:r w:rsidRPr="00633DEC">
        <w:rPr>
          <w:rFonts w:hint="eastAsia"/>
          <w:sz w:val="24"/>
          <w:rtl/>
        </w:rPr>
        <w:t>יצא</w:t>
      </w:r>
      <w:r w:rsidRPr="00633DEC">
        <w:rPr>
          <w:sz w:val="24"/>
          <w:rtl/>
        </w:rPr>
        <w:t xml:space="preserve"> </w:t>
      </w:r>
      <w:r w:rsidRPr="00633DEC">
        <w:rPr>
          <w:rFonts w:hint="eastAsia"/>
          <w:sz w:val="24"/>
          <w:rtl/>
        </w:rPr>
        <w:t>ממנה</w:t>
      </w:r>
      <w:r w:rsidRPr="00633DEC">
        <w:rPr>
          <w:sz w:val="24"/>
          <w:rtl/>
        </w:rPr>
        <w:t xml:space="preserve">, </w:t>
      </w:r>
      <w:r w:rsidRPr="00633DEC">
        <w:rPr>
          <w:rFonts w:hint="eastAsia"/>
          <w:sz w:val="24"/>
          <w:rtl/>
        </w:rPr>
        <w:t>בין</w:t>
      </w:r>
      <w:r w:rsidRPr="00633DEC">
        <w:rPr>
          <w:sz w:val="24"/>
          <w:rtl/>
        </w:rPr>
        <w:t xml:space="preserve"> </w:t>
      </w:r>
      <w:r w:rsidRPr="00633DEC">
        <w:rPr>
          <w:rFonts w:hint="eastAsia"/>
          <w:sz w:val="24"/>
          <w:rtl/>
        </w:rPr>
        <w:t>שהוא</w:t>
      </w:r>
      <w:r w:rsidRPr="00633DEC">
        <w:rPr>
          <w:sz w:val="24"/>
          <w:rtl/>
        </w:rPr>
        <w:t xml:space="preserve"> </w:t>
      </w:r>
      <w:r w:rsidRPr="00633DEC">
        <w:rPr>
          <w:rFonts w:hint="eastAsia"/>
          <w:sz w:val="24"/>
          <w:rtl/>
        </w:rPr>
        <w:t>אזרח</w:t>
      </w:r>
      <w:r w:rsidRPr="00633DEC">
        <w:rPr>
          <w:sz w:val="24"/>
          <w:rtl/>
        </w:rPr>
        <w:t xml:space="preserve"> </w:t>
      </w:r>
      <w:r w:rsidRPr="00633DEC">
        <w:rPr>
          <w:rFonts w:hint="eastAsia"/>
          <w:sz w:val="24"/>
          <w:rtl/>
        </w:rPr>
        <w:t>ישראלי</w:t>
      </w:r>
      <w:r w:rsidRPr="00633DEC">
        <w:rPr>
          <w:sz w:val="24"/>
          <w:rtl/>
        </w:rPr>
        <w:t xml:space="preserve"> </w:t>
      </w:r>
      <w:r w:rsidRPr="00633DEC">
        <w:rPr>
          <w:rFonts w:hint="eastAsia"/>
          <w:sz w:val="24"/>
          <w:rtl/>
        </w:rPr>
        <w:t>ובין</w:t>
      </w:r>
      <w:r w:rsidRPr="00633DEC">
        <w:rPr>
          <w:sz w:val="24"/>
          <w:rtl/>
        </w:rPr>
        <w:t xml:space="preserve"> </w:t>
      </w:r>
      <w:r w:rsidRPr="00633DEC">
        <w:rPr>
          <w:rFonts w:hint="eastAsia"/>
          <w:sz w:val="24"/>
          <w:rtl/>
        </w:rPr>
        <w:t>שאיננו</w:t>
      </w:r>
      <w:r w:rsidRPr="00633DEC">
        <w:rPr>
          <w:sz w:val="24"/>
          <w:rtl/>
        </w:rPr>
        <w:t xml:space="preserve"> </w:t>
      </w:r>
      <w:r w:rsidRPr="00633DEC">
        <w:rPr>
          <w:rFonts w:hint="eastAsia"/>
          <w:sz w:val="24"/>
          <w:rtl/>
        </w:rPr>
        <w:t>אזרח</w:t>
      </w:r>
      <w:r w:rsidRPr="00633DEC">
        <w:rPr>
          <w:sz w:val="24"/>
          <w:rtl/>
        </w:rPr>
        <w:t xml:space="preserve"> </w:t>
      </w:r>
      <w:r w:rsidRPr="00633DEC">
        <w:rPr>
          <w:rFonts w:hint="eastAsia"/>
          <w:sz w:val="24"/>
          <w:rtl/>
        </w:rPr>
        <w:t>ישראלי</w:t>
      </w:r>
      <w:r w:rsidRPr="00633DEC">
        <w:rPr>
          <w:sz w:val="24"/>
          <w:rtl/>
        </w:rPr>
        <w:t xml:space="preserve">, </w:t>
      </w:r>
      <w:r w:rsidRPr="00633DEC">
        <w:rPr>
          <w:rFonts w:hint="eastAsia"/>
          <w:sz w:val="24"/>
          <w:rtl/>
        </w:rPr>
        <w:t>אלא</w:t>
      </w:r>
      <w:r w:rsidRPr="00633DEC">
        <w:rPr>
          <w:sz w:val="24"/>
          <w:rtl/>
        </w:rPr>
        <w:t xml:space="preserve"> </w:t>
      </w:r>
      <w:r w:rsidRPr="00633DEC">
        <w:rPr>
          <w:rFonts w:hint="eastAsia"/>
          <w:sz w:val="24"/>
          <w:rtl/>
        </w:rPr>
        <w:t>באחת</w:t>
      </w:r>
      <w:r w:rsidRPr="00633DEC">
        <w:rPr>
          <w:sz w:val="24"/>
          <w:rtl/>
        </w:rPr>
        <w:t xml:space="preserve"> </w:t>
      </w:r>
      <w:r w:rsidRPr="00633DEC">
        <w:rPr>
          <w:rFonts w:hint="eastAsia"/>
          <w:sz w:val="24"/>
          <w:rtl/>
        </w:rPr>
        <w:t>מתחנות</w:t>
      </w:r>
      <w:r w:rsidRPr="00633DEC">
        <w:rPr>
          <w:sz w:val="24"/>
          <w:rtl/>
        </w:rPr>
        <w:t xml:space="preserve"> </w:t>
      </w:r>
      <w:r w:rsidRPr="00633DEC">
        <w:rPr>
          <w:rFonts w:hint="eastAsia"/>
          <w:sz w:val="24"/>
          <w:rtl/>
        </w:rPr>
        <w:t>הגבול</w:t>
      </w:r>
      <w:r w:rsidRPr="00633DEC">
        <w:rPr>
          <w:sz w:val="24"/>
          <w:rtl/>
        </w:rPr>
        <w:t xml:space="preserve"> </w:t>
      </w:r>
      <w:r w:rsidRPr="00633DEC">
        <w:rPr>
          <w:rFonts w:hint="eastAsia"/>
          <w:sz w:val="24"/>
          <w:rtl/>
        </w:rPr>
        <w:t>שקבע</w:t>
      </w:r>
      <w:r w:rsidRPr="00633DEC">
        <w:rPr>
          <w:sz w:val="24"/>
          <w:rtl/>
        </w:rPr>
        <w:t xml:space="preserve"> </w:t>
      </w:r>
      <w:r w:rsidRPr="00633DEC">
        <w:rPr>
          <w:rFonts w:hint="eastAsia"/>
          <w:sz w:val="24"/>
          <w:rtl/>
        </w:rPr>
        <w:t>שר</w:t>
      </w:r>
      <w:r w:rsidRPr="00633DEC">
        <w:rPr>
          <w:sz w:val="24"/>
          <w:rtl/>
        </w:rPr>
        <w:t xml:space="preserve"> </w:t>
      </w:r>
      <w:r w:rsidRPr="00633DEC">
        <w:rPr>
          <w:rFonts w:hint="eastAsia"/>
          <w:sz w:val="24"/>
          <w:rtl/>
        </w:rPr>
        <w:t>הפנים</w:t>
      </w:r>
      <w:r w:rsidRPr="00633DEC">
        <w:rPr>
          <w:sz w:val="24"/>
          <w:rtl/>
        </w:rPr>
        <w:t xml:space="preserve"> </w:t>
      </w:r>
      <w:r w:rsidRPr="00633DEC">
        <w:rPr>
          <w:rFonts w:hint="eastAsia"/>
          <w:sz w:val="24"/>
          <w:rtl/>
        </w:rPr>
        <w:t>בצו</w:t>
      </w:r>
      <w:r w:rsidRPr="00633DEC">
        <w:rPr>
          <w:sz w:val="24"/>
          <w:rtl/>
        </w:rPr>
        <w:t xml:space="preserve"> </w:t>
      </w:r>
      <w:r w:rsidRPr="00633DEC">
        <w:rPr>
          <w:rFonts w:hint="eastAsia"/>
          <w:sz w:val="24"/>
          <w:rtl/>
        </w:rPr>
        <w:t>שפורסם</w:t>
      </w:r>
      <w:r w:rsidRPr="00633DEC">
        <w:rPr>
          <w:sz w:val="24"/>
          <w:rtl/>
        </w:rPr>
        <w:t xml:space="preserve"> </w:t>
      </w:r>
      <w:r w:rsidRPr="00633DEC">
        <w:rPr>
          <w:rFonts w:hint="eastAsia"/>
          <w:sz w:val="24"/>
          <w:rtl/>
        </w:rPr>
        <w:t>ברשומות</w:t>
      </w:r>
      <w:r w:rsidRPr="00633DEC">
        <w:rPr>
          <w:sz w:val="24"/>
          <w:rtl/>
        </w:rPr>
        <w:t xml:space="preserve">, </w:t>
      </w:r>
      <w:r w:rsidRPr="00633DEC">
        <w:rPr>
          <w:rFonts w:hint="eastAsia"/>
          <w:sz w:val="24"/>
          <w:rtl/>
        </w:rPr>
        <w:t>ולאחר</w:t>
      </w:r>
      <w:r w:rsidRPr="00633DEC">
        <w:rPr>
          <w:sz w:val="24"/>
          <w:rtl/>
        </w:rPr>
        <w:t xml:space="preserve"> </w:t>
      </w:r>
      <w:r w:rsidRPr="00633DEC">
        <w:rPr>
          <w:rFonts w:hint="eastAsia"/>
          <w:sz w:val="24"/>
          <w:rtl/>
        </w:rPr>
        <w:t>שהתייצב</w:t>
      </w:r>
      <w:r w:rsidRPr="00633DEC">
        <w:rPr>
          <w:sz w:val="24"/>
          <w:rtl/>
        </w:rPr>
        <w:t xml:space="preserve"> </w:t>
      </w:r>
      <w:r w:rsidRPr="00633DEC">
        <w:rPr>
          <w:rFonts w:hint="eastAsia"/>
          <w:sz w:val="24"/>
          <w:rtl/>
        </w:rPr>
        <w:t>שם</w:t>
      </w:r>
      <w:r w:rsidRPr="00633DEC">
        <w:rPr>
          <w:sz w:val="24"/>
          <w:rtl/>
        </w:rPr>
        <w:t xml:space="preserve"> </w:t>
      </w:r>
      <w:r w:rsidRPr="00DE6BF2">
        <w:rPr>
          <w:rFonts w:hint="cs"/>
          <w:sz w:val="24"/>
          <w:rtl/>
        </w:rPr>
        <w:t>ב</w:t>
      </w:r>
      <w:r w:rsidRPr="00DE6BF2">
        <w:rPr>
          <w:rFonts w:hint="eastAsia"/>
          <w:sz w:val="24"/>
          <w:rtl/>
        </w:rPr>
        <w:t>פני</w:t>
      </w:r>
      <w:r w:rsidRPr="00633DEC">
        <w:rPr>
          <w:sz w:val="24"/>
          <w:rtl/>
        </w:rPr>
        <w:t xml:space="preserve"> </w:t>
      </w:r>
      <w:r w:rsidRPr="00633DEC">
        <w:rPr>
          <w:rFonts w:hint="eastAsia"/>
          <w:sz w:val="24"/>
          <w:rtl/>
        </w:rPr>
        <w:t>קצין</w:t>
      </w:r>
      <w:r w:rsidRPr="00633DEC">
        <w:rPr>
          <w:sz w:val="24"/>
          <w:rtl/>
        </w:rPr>
        <w:t xml:space="preserve"> </w:t>
      </w:r>
      <w:r w:rsidRPr="00633DEC">
        <w:rPr>
          <w:rFonts w:hint="eastAsia"/>
          <w:sz w:val="24"/>
          <w:rtl/>
        </w:rPr>
        <w:t>ב</w:t>
      </w:r>
      <w:r>
        <w:rPr>
          <w:rFonts w:hint="cs"/>
          <w:sz w:val="24"/>
          <w:rtl/>
        </w:rPr>
        <w:t>י</w:t>
      </w:r>
      <w:r w:rsidRPr="00633DEC">
        <w:rPr>
          <w:rFonts w:hint="eastAsia"/>
          <w:sz w:val="24"/>
          <w:rtl/>
        </w:rPr>
        <w:t>קורת</w:t>
      </w:r>
      <w:r w:rsidRPr="00633DEC">
        <w:rPr>
          <w:sz w:val="24"/>
          <w:rtl/>
        </w:rPr>
        <w:t xml:space="preserve"> </w:t>
      </w:r>
      <w:r w:rsidRPr="00633DEC">
        <w:rPr>
          <w:rFonts w:hint="eastAsia"/>
          <w:sz w:val="24"/>
          <w:rtl/>
        </w:rPr>
        <w:t>הגבולות</w:t>
      </w:r>
      <w:r w:rsidRPr="00633DEC">
        <w:rPr>
          <w:sz w:val="24"/>
          <w:rtl/>
        </w:rPr>
        <w:t xml:space="preserve"> </w:t>
      </w:r>
      <w:r w:rsidRPr="00633DEC">
        <w:rPr>
          <w:rFonts w:hint="eastAsia"/>
          <w:sz w:val="24"/>
          <w:rtl/>
        </w:rPr>
        <w:t>או</w:t>
      </w:r>
      <w:r w:rsidRPr="00633DEC">
        <w:rPr>
          <w:sz w:val="24"/>
          <w:rtl/>
        </w:rPr>
        <w:t xml:space="preserve"> </w:t>
      </w:r>
      <w:r w:rsidRPr="00633DEC">
        <w:rPr>
          <w:rFonts w:hint="eastAsia"/>
          <w:sz w:val="24"/>
          <w:rtl/>
        </w:rPr>
        <w:t>בקר</w:t>
      </w:r>
      <w:r w:rsidRPr="00633DEC">
        <w:rPr>
          <w:sz w:val="24"/>
          <w:rtl/>
        </w:rPr>
        <w:t xml:space="preserve"> </w:t>
      </w:r>
      <w:r w:rsidRPr="00633DEC">
        <w:rPr>
          <w:rFonts w:hint="eastAsia"/>
          <w:sz w:val="24"/>
          <w:rtl/>
        </w:rPr>
        <w:t>גבולות</w:t>
      </w:r>
      <w:r w:rsidRPr="00633DEC">
        <w:rPr>
          <w:sz w:val="24"/>
          <w:rtl/>
        </w:rPr>
        <w:t xml:space="preserve"> </w:t>
      </w:r>
      <w:r w:rsidRPr="00633DEC">
        <w:rPr>
          <w:rFonts w:hint="eastAsia"/>
          <w:sz w:val="24"/>
          <w:rtl/>
        </w:rPr>
        <w:t>והציג</w:t>
      </w:r>
      <w:r w:rsidRPr="00633DEC">
        <w:rPr>
          <w:sz w:val="24"/>
          <w:rtl/>
        </w:rPr>
        <w:t xml:space="preserve"> </w:t>
      </w:r>
      <w:r w:rsidRPr="00DE6BF2">
        <w:rPr>
          <w:rFonts w:hint="eastAsia"/>
          <w:sz w:val="24"/>
          <w:rtl/>
        </w:rPr>
        <w:t>לפניו</w:t>
      </w:r>
      <w:r w:rsidRPr="00633DEC">
        <w:rPr>
          <w:sz w:val="24"/>
          <w:rtl/>
        </w:rPr>
        <w:t xml:space="preserve"> </w:t>
      </w:r>
      <w:r w:rsidRPr="00633DEC">
        <w:rPr>
          <w:rFonts w:hint="eastAsia"/>
          <w:sz w:val="24"/>
          <w:rtl/>
        </w:rPr>
        <w:t>דרכון</w:t>
      </w:r>
      <w:r w:rsidRPr="00633DEC">
        <w:rPr>
          <w:sz w:val="24"/>
          <w:rtl/>
        </w:rPr>
        <w:t xml:space="preserve">, </w:t>
      </w:r>
      <w:r w:rsidRPr="00633DEC">
        <w:rPr>
          <w:rFonts w:hint="eastAsia"/>
          <w:sz w:val="24"/>
          <w:rtl/>
        </w:rPr>
        <w:t>תעודת</w:t>
      </w:r>
      <w:r w:rsidRPr="00633DEC">
        <w:rPr>
          <w:sz w:val="24"/>
          <w:rtl/>
        </w:rPr>
        <w:t xml:space="preserve"> </w:t>
      </w:r>
      <w:r w:rsidRPr="00633DEC">
        <w:rPr>
          <w:rFonts w:hint="eastAsia"/>
          <w:sz w:val="24"/>
          <w:rtl/>
        </w:rPr>
        <w:t>מעבר</w:t>
      </w:r>
      <w:r>
        <w:rPr>
          <w:rStyle w:val="FootnoteReference1"/>
          <w:sz w:val="24"/>
          <w:rtl/>
        </w:rPr>
        <w:footnoteReference w:id="11"/>
      </w:r>
      <w:r w:rsidRPr="00633DEC">
        <w:rPr>
          <w:sz w:val="24"/>
          <w:rtl/>
        </w:rPr>
        <w:t xml:space="preserve">, </w:t>
      </w:r>
      <w:r>
        <w:rPr>
          <w:rFonts w:hint="cs"/>
          <w:sz w:val="24"/>
          <w:rtl/>
        </w:rPr>
        <w:t xml:space="preserve">אשר יש להם </w:t>
      </w:r>
      <w:r w:rsidRPr="00633DEC">
        <w:rPr>
          <w:rFonts w:hint="eastAsia"/>
          <w:sz w:val="24"/>
          <w:rtl/>
        </w:rPr>
        <w:t>תוקף</w:t>
      </w:r>
      <w:r w:rsidRPr="00633DEC">
        <w:rPr>
          <w:sz w:val="24"/>
          <w:rtl/>
        </w:rPr>
        <w:t xml:space="preserve"> (להלן - מסמך נסיעה תקף). </w:t>
      </w:r>
      <w:r w:rsidRPr="00633DEC">
        <w:rPr>
          <w:rFonts w:hint="eastAsia"/>
          <w:sz w:val="24"/>
          <w:rtl/>
        </w:rPr>
        <w:t>עוד</w:t>
      </w:r>
      <w:r w:rsidRPr="00633DEC">
        <w:rPr>
          <w:sz w:val="24"/>
          <w:rtl/>
        </w:rPr>
        <w:t xml:space="preserve"> </w:t>
      </w:r>
      <w:r w:rsidRPr="00633DEC">
        <w:rPr>
          <w:rFonts w:hint="eastAsia"/>
          <w:sz w:val="24"/>
          <w:rtl/>
        </w:rPr>
        <w:t>קובע</w:t>
      </w:r>
      <w:r w:rsidRPr="00633DEC">
        <w:rPr>
          <w:sz w:val="24"/>
          <w:rtl/>
        </w:rPr>
        <w:t xml:space="preserve"> </w:t>
      </w:r>
      <w:r w:rsidRPr="00633DEC">
        <w:rPr>
          <w:rFonts w:hint="eastAsia"/>
          <w:sz w:val="24"/>
          <w:rtl/>
        </w:rPr>
        <w:t>החוק</w:t>
      </w:r>
      <w:r w:rsidRPr="00633DEC">
        <w:rPr>
          <w:sz w:val="24"/>
          <w:rtl/>
        </w:rPr>
        <w:t xml:space="preserve">, </w:t>
      </w:r>
      <w:r w:rsidRPr="00633DEC">
        <w:rPr>
          <w:rFonts w:hint="eastAsia"/>
          <w:sz w:val="24"/>
          <w:rtl/>
        </w:rPr>
        <w:t>בין</w:t>
      </w:r>
      <w:r w:rsidRPr="00633DEC">
        <w:rPr>
          <w:sz w:val="24"/>
          <w:rtl/>
        </w:rPr>
        <w:t xml:space="preserve"> </w:t>
      </w:r>
      <w:r w:rsidRPr="00633DEC">
        <w:rPr>
          <w:rFonts w:hint="eastAsia"/>
          <w:sz w:val="24"/>
          <w:rtl/>
        </w:rPr>
        <w:t>השאר</w:t>
      </w:r>
      <w:r w:rsidRPr="00633DEC">
        <w:rPr>
          <w:sz w:val="24"/>
          <w:rtl/>
        </w:rPr>
        <w:t xml:space="preserve">, </w:t>
      </w:r>
      <w:r w:rsidRPr="00633DEC">
        <w:rPr>
          <w:rFonts w:hint="eastAsia"/>
          <w:sz w:val="24"/>
          <w:rtl/>
        </w:rPr>
        <w:t>כי</w:t>
      </w:r>
      <w:r w:rsidRPr="00633DEC">
        <w:rPr>
          <w:sz w:val="24"/>
          <w:rtl/>
        </w:rPr>
        <w:t xml:space="preserve"> </w:t>
      </w:r>
      <w:r w:rsidRPr="00633DEC">
        <w:rPr>
          <w:rFonts w:hint="eastAsia"/>
          <w:sz w:val="24"/>
          <w:rtl/>
        </w:rPr>
        <w:t>מי</w:t>
      </w:r>
      <w:r w:rsidRPr="00633DEC">
        <w:rPr>
          <w:sz w:val="24"/>
          <w:rtl/>
        </w:rPr>
        <w:t xml:space="preserve"> </w:t>
      </w:r>
      <w:r w:rsidRPr="00633DEC">
        <w:rPr>
          <w:rFonts w:hint="eastAsia"/>
          <w:sz w:val="24"/>
          <w:rtl/>
        </w:rPr>
        <w:t>שנכנס</w:t>
      </w:r>
      <w:r w:rsidRPr="00633DEC">
        <w:rPr>
          <w:sz w:val="24"/>
          <w:rtl/>
        </w:rPr>
        <w:t xml:space="preserve"> </w:t>
      </w:r>
      <w:r w:rsidRPr="00633DEC">
        <w:rPr>
          <w:rFonts w:hint="eastAsia"/>
          <w:sz w:val="24"/>
          <w:rtl/>
        </w:rPr>
        <w:t>לישראל</w:t>
      </w:r>
      <w:r w:rsidRPr="00633DEC">
        <w:rPr>
          <w:sz w:val="24"/>
          <w:rtl/>
        </w:rPr>
        <w:t xml:space="preserve"> </w:t>
      </w:r>
      <w:r w:rsidRPr="00633DEC">
        <w:rPr>
          <w:rFonts w:hint="eastAsia"/>
          <w:sz w:val="24"/>
          <w:rtl/>
        </w:rPr>
        <w:t>בניגוד</w:t>
      </w:r>
      <w:r w:rsidRPr="00633DEC">
        <w:rPr>
          <w:sz w:val="24"/>
          <w:rtl/>
        </w:rPr>
        <w:t xml:space="preserve"> </w:t>
      </w:r>
      <w:r w:rsidRPr="00633DEC">
        <w:rPr>
          <w:rFonts w:hint="eastAsia"/>
          <w:sz w:val="24"/>
          <w:rtl/>
        </w:rPr>
        <w:t>לחוק</w:t>
      </w:r>
      <w:r w:rsidRPr="00633DEC">
        <w:rPr>
          <w:sz w:val="24"/>
          <w:rtl/>
        </w:rPr>
        <w:t xml:space="preserve"> </w:t>
      </w:r>
      <w:r w:rsidRPr="00633DEC">
        <w:rPr>
          <w:rFonts w:hint="eastAsia"/>
          <w:sz w:val="24"/>
          <w:rtl/>
        </w:rPr>
        <w:t>דינו</w:t>
      </w:r>
      <w:r w:rsidRPr="00633DEC">
        <w:rPr>
          <w:sz w:val="24"/>
          <w:rtl/>
        </w:rPr>
        <w:t xml:space="preserve"> </w:t>
      </w:r>
      <w:r w:rsidRPr="00633DEC">
        <w:rPr>
          <w:rFonts w:hint="eastAsia"/>
          <w:sz w:val="24"/>
          <w:rtl/>
        </w:rPr>
        <w:t>שנת</w:t>
      </w:r>
      <w:r w:rsidRPr="00633DEC">
        <w:rPr>
          <w:sz w:val="24"/>
          <w:rtl/>
        </w:rPr>
        <w:t xml:space="preserve"> </w:t>
      </w:r>
      <w:r w:rsidRPr="00633DEC">
        <w:rPr>
          <w:rFonts w:hint="eastAsia"/>
          <w:sz w:val="24"/>
          <w:rtl/>
        </w:rPr>
        <w:t>מאסר</w:t>
      </w:r>
      <w:r w:rsidRPr="00633DEC">
        <w:rPr>
          <w:sz w:val="24"/>
          <w:rtl/>
        </w:rPr>
        <w:t>.</w:t>
      </w:r>
    </w:p>
    <w:p w:rsidR="002D0C59" w:rsidRPr="00570C23" w:rsidP="00AE0BE6" w14:paraId="637B8E3C" w14:textId="77777777">
      <w:pPr>
        <w:pStyle w:val="a"/>
        <w:spacing w:line="269" w:lineRule="auto"/>
      </w:pPr>
    </w:p>
    <w:p w:rsidR="002D0C59" w:rsidRPr="00633DEC" w:rsidP="00AE0BE6" w14:paraId="160C73DC" w14:textId="77777777">
      <w:pPr>
        <w:spacing w:line="269" w:lineRule="auto"/>
        <w:rPr>
          <w:sz w:val="24"/>
          <w:rtl/>
        </w:rPr>
      </w:pPr>
      <w:r w:rsidRPr="00633DEC">
        <w:rPr>
          <w:rFonts w:hint="eastAsia"/>
          <w:sz w:val="24"/>
          <w:rtl/>
        </w:rPr>
        <w:t>בתרשים</w:t>
      </w:r>
      <w:r w:rsidRPr="00633DEC">
        <w:rPr>
          <w:sz w:val="24"/>
          <w:rtl/>
        </w:rPr>
        <w:t xml:space="preserve"> </w:t>
      </w:r>
      <w:r w:rsidRPr="00633DEC">
        <w:rPr>
          <w:rFonts w:hint="eastAsia"/>
          <w:sz w:val="24"/>
          <w:rtl/>
        </w:rPr>
        <w:t>מס</w:t>
      </w:r>
      <w:r w:rsidRPr="00633DEC">
        <w:rPr>
          <w:sz w:val="24"/>
          <w:rtl/>
        </w:rPr>
        <w:t xml:space="preserve">' </w:t>
      </w:r>
      <w:r>
        <w:rPr>
          <w:rFonts w:hint="cs"/>
          <w:sz w:val="24"/>
          <w:rtl/>
        </w:rPr>
        <w:t>5</w:t>
      </w:r>
      <w:r w:rsidRPr="00633DEC">
        <w:rPr>
          <w:sz w:val="24"/>
          <w:rtl/>
        </w:rPr>
        <w:t xml:space="preserve"> </w:t>
      </w:r>
      <w:r w:rsidRPr="00633DEC">
        <w:rPr>
          <w:rFonts w:hint="eastAsia"/>
          <w:sz w:val="24"/>
          <w:rtl/>
        </w:rPr>
        <w:t>מוצגים</w:t>
      </w:r>
      <w:r w:rsidRPr="00633DEC">
        <w:rPr>
          <w:sz w:val="24"/>
          <w:rtl/>
        </w:rPr>
        <w:t xml:space="preserve"> </w:t>
      </w:r>
      <w:r w:rsidRPr="00633DEC">
        <w:rPr>
          <w:rFonts w:hint="eastAsia"/>
          <w:sz w:val="24"/>
          <w:rtl/>
        </w:rPr>
        <w:t>נתוני</w:t>
      </w:r>
      <w:r w:rsidRPr="00633DEC">
        <w:rPr>
          <w:sz w:val="24"/>
          <w:rtl/>
        </w:rPr>
        <w:t xml:space="preserve"> </w:t>
      </w:r>
      <w:r w:rsidRPr="00633DEC">
        <w:rPr>
          <w:rFonts w:hint="eastAsia"/>
          <w:sz w:val="24"/>
          <w:rtl/>
        </w:rPr>
        <w:t>מרחב</w:t>
      </w:r>
      <w:r w:rsidRPr="00633DEC">
        <w:rPr>
          <w:sz w:val="24"/>
          <w:rtl/>
        </w:rPr>
        <w:t xml:space="preserve"> </w:t>
      </w:r>
      <w:r w:rsidRPr="00633DEC">
        <w:rPr>
          <w:rFonts w:hint="eastAsia"/>
          <w:sz w:val="24"/>
          <w:rtl/>
        </w:rPr>
        <w:t>נתב</w:t>
      </w:r>
      <w:r w:rsidRPr="00633DEC">
        <w:rPr>
          <w:sz w:val="24"/>
          <w:rtl/>
        </w:rPr>
        <w:t>"</w:t>
      </w:r>
      <w:r w:rsidRPr="00633DEC">
        <w:rPr>
          <w:rFonts w:hint="eastAsia"/>
          <w:sz w:val="24"/>
          <w:rtl/>
        </w:rPr>
        <w:t>ג</w:t>
      </w:r>
      <w:r w:rsidRPr="00633DEC">
        <w:rPr>
          <w:sz w:val="24"/>
          <w:rtl/>
        </w:rPr>
        <w:t xml:space="preserve"> </w:t>
      </w:r>
      <w:r w:rsidRPr="00633DEC">
        <w:rPr>
          <w:rFonts w:hint="eastAsia"/>
          <w:sz w:val="24"/>
          <w:rtl/>
        </w:rPr>
        <w:t>במשטרת</w:t>
      </w:r>
      <w:r w:rsidRPr="00633DEC">
        <w:rPr>
          <w:sz w:val="24"/>
          <w:rtl/>
        </w:rPr>
        <w:t xml:space="preserve"> </w:t>
      </w:r>
      <w:r w:rsidRPr="00633DEC">
        <w:rPr>
          <w:rFonts w:hint="eastAsia"/>
          <w:sz w:val="24"/>
          <w:rtl/>
        </w:rPr>
        <w:t>ישראל</w:t>
      </w:r>
      <w:r w:rsidRPr="00633DEC">
        <w:rPr>
          <w:sz w:val="24"/>
          <w:rtl/>
        </w:rPr>
        <w:t xml:space="preserve"> </w:t>
      </w:r>
      <w:r w:rsidRPr="00633DEC">
        <w:rPr>
          <w:rFonts w:hint="eastAsia"/>
          <w:sz w:val="24"/>
          <w:rtl/>
        </w:rPr>
        <w:t>על</w:t>
      </w:r>
      <w:r w:rsidRPr="00633DEC">
        <w:rPr>
          <w:sz w:val="24"/>
          <w:rtl/>
        </w:rPr>
        <w:t xml:space="preserve"> </w:t>
      </w:r>
      <w:r w:rsidRPr="00633DEC">
        <w:rPr>
          <w:rFonts w:hint="eastAsia"/>
          <w:sz w:val="24"/>
          <w:rtl/>
        </w:rPr>
        <w:t>מקרים</w:t>
      </w:r>
      <w:r w:rsidRPr="00633DEC">
        <w:rPr>
          <w:sz w:val="24"/>
          <w:rtl/>
        </w:rPr>
        <w:t xml:space="preserve"> </w:t>
      </w:r>
      <w:r w:rsidRPr="00633DEC">
        <w:rPr>
          <w:rFonts w:hint="eastAsia"/>
          <w:sz w:val="24"/>
          <w:rtl/>
        </w:rPr>
        <w:t>שבהם</w:t>
      </w:r>
      <w:r w:rsidRPr="00633DEC">
        <w:rPr>
          <w:sz w:val="24"/>
          <w:rtl/>
        </w:rPr>
        <w:t xml:space="preserve"> </w:t>
      </w:r>
      <w:r w:rsidRPr="00633DEC">
        <w:rPr>
          <w:rFonts w:hint="eastAsia"/>
          <w:sz w:val="24"/>
          <w:rtl/>
        </w:rPr>
        <w:t>אזרחים</w:t>
      </w:r>
      <w:r w:rsidRPr="00633DEC">
        <w:rPr>
          <w:sz w:val="24"/>
          <w:rtl/>
        </w:rPr>
        <w:t xml:space="preserve"> </w:t>
      </w:r>
      <w:r w:rsidRPr="00633DEC">
        <w:rPr>
          <w:rFonts w:hint="eastAsia"/>
          <w:sz w:val="24"/>
          <w:rtl/>
        </w:rPr>
        <w:t>ישראלים</w:t>
      </w:r>
      <w:r w:rsidRPr="00633DEC">
        <w:rPr>
          <w:sz w:val="24"/>
          <w:rtl/>
        </w:rPr>
        <w:t xml:space="preserve"> </w:t>
      </w:r>
      <w:r w:rsidRPr="00633DEC">
        <w:rPr>
          <w:rFonts w:hint="eastAsia"/>
          <w:sz w:val="24"/>
          <w:rtl/>
        </w:rPr>
        <w:t>נחשדו</w:t>
      </w:r>
      <w:r w:rsidRPr="00633DEC">
        <w:rPr>
          <w:sz w:val="24"/>
          <w:rtl/>
        </w:rPr>
        <w:t xml:space="preserve"> </w:t>
      </w:r>
      <w:r w:rsidRPr="00633DEC">
        <w:rPr>
          <w:rFonts w:hint="eastAsia"/>
          <w:sz w:val="24"/>
          <w:rtl/>
        </w:rPr>
        <w:t>בפלילים</w:t>
      </w:r>
      <w:r w:rsidRPr="00633DEC">
        <w:rPr>
          <w:sz w:val="24"/>
          <w:rtl/>
        </w:rPr>
        <w:t xml:space="preserve"> </w:t>
      </w:r>
      <w:r w:rsidRPr="00633DEC">
        <w:rPr>
          <w:rFonts w:hint="eastAsia"/>
          <w:sz w:val="24"/>
          <w:rtl/>
        </w:rPr>
        <w:t>עקב</w:t>
      </w:r>
      <w:r w:rsidRPr="00633DEC">
        <w:rPr>
          <w:sz w:val="24"/>
          <w:rtl/>
        </w:rPr>
        <w:t xml:space="preserve"> </w:t>
      </w:r>
      <w:r w:rsidRPr="00633DEC">
        <w:rPr>
          <w:rFonts w:hint="eastAsia"/>
          <w:sz w:val="24"/>
          <w:rtl/>
        </w:rPr>
        <w:t>חשד</w:t>
      </w:r>
      <w:r w:rsidRPr="00633DEC">
        <w:rPr>
          <w:sz w:val="24"/>
          <w:rtl/>
        </w:rPr>
        <w:t xml:space="preserve"> </w:t>
      </w:r>
      <w:r w:rsidRPr="00633DEC">
        <w:rPr>
          <w:rFonts w:hint="eastAsia"/>
          <w:sz w:val="24"/>
          <w:rtl/>
        </w:rPr>
        <w:t>לכניסה</w:t>
      </w:r>
      <w:r w:rsidRPr="00633DEC">
        <w:rPr>
          <w:sz w:val="24"/>
          <w:rtl/>
        </w:rPr>
        <w:t xml:space="preserve"> </w:t>
      </w:r>
      <w:r w:rsidRPr="00633DEC">
        <w:rPr>
          <w:rFonts w:hint="eastAsia"/>
          <w:sz w:val="24"/>
          <w:rtl/>
        </w:rPr>
        <w:t>לישראל</w:t>
      </w:r>
      <w:r w:rsidRPr="00633DEC">
        <w:rPr>
          <w:sz w:val="24"/>
          <w:rtl/>
        </w:rPr>
        <w:t xml:space="preserve"> </w:t>
      </w:r>
      <w:r w:rsidRPr="00633DEC">
        <w:rPr>
          <w:rFonts w:hint="eastAsia"/>
          <w:sz w:val="24"/>
          <w:rtl/>
        </w:rPr>
        <w:t>בניגוד</w:t>
      </w:r>
      <w:r w:rsidRPr="00633DEC">
        <w:rPr>
          <w:sz w:val="24"/>
          <w:rtl/>
        </w:rPr>
        <w:t xml:space="preserve"> </w:t>
      </w:r>
      <w:r w:rsidRPr="00633DEC">
        <w:rPr>
          <w:rFonts w:hint="eastAsia"/>
          <w:sz w:val="24"/>
          <w:rtl/>
        </w:rPr>
        <w:t>לחוק</w:t>
      </w:r>
      <w:r w:rsidRPr="00633DEC">
        <w:rPr>
          <w:sz w:val="24"/>
          <w:rtl/>
        </w:rPr>
        <w:t xml:space="preserve"> </w:t>
      </w:r>
      <w:r w:rsidRPr="00633DEC">
        <w:rPr>
          <w:rFonts w:hint="eastAsia"/>
          <w:sz w:val="24"/>
          <w:rtl/>
        </w:rPr>
        <w:t>הכניסה</w:t>
      </w:r>
      <w:r w:rsidRPr="00633DEC">
        <w:rPr>
          <w:sz w:val="24"/>
          <w:rtl/>
        </w:rPr>
        <w:t xml:space="preserve"> </w:t>
      </w:r>
      <w:r w:rsidRPr="00633DEC">
        <w:rPr>
          <w:rFonts w:hint="eastAsia"/>
          <w:sz w:val="24"/>
          <w:rtl/>
        </w:rPr>
        <w:t>לישראל</w:t>
      </w:r>
      <w:r w:rsidRPr="00633DEC">
        <w:rPr>
          <w:sz w:val="24"/>
          <w:rtl/>
        </w:rPr>
        <w:t xml:space="preserve">: </w:t>
      </w:r>
      <w:r w:rsidRPr="00633DEC">
        <w:rPr>
          <w:rFonts w:hint="eastAsia"/>
          <w:sz w:val="24"/>
          <w:rtl/>
        </w:rPr>
        <w:t>על</w:t>
      </w:r>
      <w:r w:rsidRPr="00633DEC">
        <w:rPr>
          <w:sz w:val="24"/>
          <w:rtl/>
        </w:rPr>
        <w:t xml:space="preserve"> </w:t>
      </w:r>
      <w:r w:rsidRPr="00633DEC">
        <w:rPr>
          <w:rFonts w:hint="eastAsia"/>
          <w:sz w:val="24"/>
          <w:rtl/>
        </w:rPr>
        <w:t>תיקי</w:t>
      </w:r>
      <w:r w:rsidRPr="00633DEC">
        <w:rPr>
          <w:sz w:val="24"/>
          <w:rtl/>
        </w:rPr>
        <w:t xml:space="preserve"> </w:t>
      </w:r>
      <w:r w:rsidRPr="00633DEC">
        <w:rPr>
          <w:rFonts w:hint="eastAsia"/>
          <w:sz w:val="24"/>
          <w:rtl/>
        </w:rPr>
        <w:t>חקירה</w:t>
      </w:r>
      <w:r w:rsidRPr="00633DEC">
        <w:rPr>
          <w:sz w:val="24"/>
          <w:rtl/>
        </w:rPr>
        <w:t xml:space="preserve"> </w:t>
      </w:r>
      <w:r w:rsidRPr="00633DEC">
        <w:rPr>
          <w:rFonts w:hint="eastAsia"/>
          <w:sz w:val="24"/>
          <w:rtl/>
        </w:rPr>
        <w:t>שנפתחו</w:t>
      </w:r>
      <w:r w:rsidRPr="00633DEC">
        <w:rPr>
          <w:sz w:val="24"/>
          <w:rtl/>
        </w:rPr>
        <w:t xml:space="preserve"> </w:t>
      </w:r>
      <w:r w:rsidRPr="00633DEC">
        <w:rPr>
          <w:rFonts w:hint="eastAsia"/>
          <w:sz w:val="24"/>
          <w:rtl/>
        </w:rPr>
        <w:t>כנגד</w:t>
      </w:r>
      <w:r w:rsidRPr="00633DEC">
        <w:rPr>
          <w:sz w:val="24"/>
          <w:rtl/>
        </w:rPr>
        <w:t xml:space="preserve"> </w:t>
      </w:r>
      <w:r w:rsidRPr="00633DEC">
        <w:rPr>
          <w:rFonts w:hint="eastAsia"/>
          <w:sz w:val="24"/>
          <w:rtl/>
        </w:rPr>
        <w:t>אזרחים</w:t>
      </w:r>
      <w:r w:rsidRPr="00633DEC">
        <w:rPr>
          <w:sz w:val="24"/>
          <w:rtl/>
        </w:rPr>
        <w:t xml:space="preserve"> </w:t>
      </w:r>
      <w:r w:rsidRPr="00633DEC">
        <w:rPr>
          <w:rFonts w:hint="eastAsia"/>
          <w:sz w:val="24"/>
          <w:rtl/>
        </w:rPr>
        <w:t>ישראלים</w:t>
      </w:r>
      <w:r w:rsidRPr="00633DEC">
        <w:rPr>
          <w:sz w:val="24"/>
          <w:rtl/>
        </w:rPr>
        <w:t xml:space="preserve"> </w:t>
      </w:r>
      <w:r w:rsidRPr="00633DEC">
        <w:rPr>
          <w:rFonts w:hint="eastAsia"/>
          <w:sz w:val="24"/>
          <w:rtl/>
        </w:rPr>
        <w:t>שנחשדו</w:t>
      </w:r>
      <w:r w:rsidRPr="00633DEC">
        <w:rPr>
          <w:sz w:val="24"/>
          <w:rtl/>
        </w:rPr>
        <w:t xml:space="preserve"> </w:t>
      </w:r>
      <w:r w:rsidRPr="00633DEC">
        <w:rPr>
          <w:rFonts w:hint="eastAsia"/>
          <w:sz w:val="24"/>
          <w:rtl/>
        </w:rPr>
        <w:t>ועל</w:t>
      </w:r>
      <w:r w:rsidRPr="00633DEC">
        <w:rPr>
          <w:sz w:val="24"/>
          <w:rtl/>
        </w:rPr>
        <w:t xml:space="preserve"> </w:t>
      </w:r>
      <w:r w:rsidRPr="00633DEC">
        <w:rPr>
          <w:rFonts w:hint="eastAsia"/>
          <w:sz w:val="24"/>
          <w:rtl/>
        </w:rPr>
        <w:t>כתבי</w:t>
      </w:r>
      <w:r w:rsidRPr="00633DEC">
        <w:rPr>
          <w:sz w:val="24"/>
          <w:rtl/>
        </w:rPr>
        <w:t xml:space="preserve"> </w:t>
      </w:r>
      <w:r w:rsidRPr="00633DEC">
        <w:rPr>
          <w:rFonts w:hint="eastAsia"/>
          <w:sz w:val="24"/>
          <w:rtl/>
        </w:rPr>
        <w:t>אישום</w:t>
      </w:r>
      <w:r w:rsidRPr="00633DEC">
        <w:rPr>
          <w:sz w:val="24"/>
          <w:rtl/>
        </w:rPr>
        <w:t xml:space="preserve"> </w:t>
      </w:r>
      <w:r w:rsidRPr="00633DEC">
        <w:rPr>
          <w:rFonts w:hint="eastAsia"/>
          <w:sz w:val="24"/>
          <w:rtl/>
        </w:rPr>
        <w:t>שהוגשו</w:t>
      </w:r>
      <w:r w:rsidRPr="00633DEC">
        <w:rPr>
          <w:sz w:val="24"/>
          <w:rtl/>
        </w:rPr>
        <w:t xml:space="preserve"> </w:t>
      </w:r>
      <w:r w:rsidRPr="00633DEC">
        <w:rPr>
          <w:rFonts w:hint="eastAsia"/>
          <w:sz w:val="24"/>
          <w:rtl/>
        </w:rPr>
        <w:t>כנגד</w:t>
      </w:r>
      <w:r w:rsidRPr="00633DEC">
        <w:rPr>
          <w:sz w:val="24"/>
          <w:rtl/>
        </w:rPr>
        <w:t xml:space="preserve"> </w:t>
      </w:r>
      <w:r w:rsidRPr="00633DEC">
        <w:rPr>
          <w:rFonts w:hint="eastAsia"/>
          <w:sz w:val="24"/>
          <w:rtl/>
        </w:rPr>
        <w:t>ישראלים</w:t>
      </w:r>
      <w:r w:rsidRPr="00633DEC">
        <w:rPr>
          <w:sz w:val="24"/>
          <w:rtl/>
        </w:rPr>
        <w:t xml:space="preserve"> </w:t>
      </w:r>
      <w:r w:rsidRPr="00633DEC">
        <w:rPr>
          <w:rFonts w:hint="eastAsia"/>
          <w:sz w:val="24"/>
          <w:rtl/>
        </w:rPr>
        <w:t>בשנים</w:t>
      </w:r>
      <w:r w:rsidRPr="00633DEC">
        <w:rPr>
          <w:sz w:val="24"/>
          <w:rtl/>
        </w:rPr>
        <w:t xml:space="preserve"> 2017 </w:t>
      </w:r>
      <w:r>
        <w:rPr>
          <w:rFonts w:hint="cs"/>
          <w:sz w:val="24"/>
          <w:rtl/>
        </w:rPr>
        <w:t>עד</w:t>
      </w:r>
      <w:r w:rsidRPr="00633DEC">
        <w:rPr>
          <w:sz w:val="24"/>
          <w:rtl/>
        </w:rPr>
        <w:t xml:space="preserve"> 2019. </w:t>
      </w:r>
      <w:r w:rsidRPr="00633DEC">
        <w:rPr>
          <w:rFonts w:hint="eastAsia"/>
          <w:sz w:val="24"/>
          <w:rtl/>
        </w:rPr>
        <w:t>רוב</w:t>
      </w:r>
      <w:r w:rsidRPr="00633DEC">
        <w:rPr>
          <w:sz w:val="24"/>
          <w:rtl/>
        </w:rPr>
        <w:t xml:space="preserve"> </w:t>
      </w:r>
      <w:r w:rsidRPr="00633DEC">
        <w:rPr>
          <w:rFonts w:hint="eastAsia"/>
          <w:sz w:val="24"/>
          <w:rtl/>
        </w:rPr>
        <w:t>המקרים</w:t>
      </w:r>
      <w:r w:rsidRPr="00633DEC">
        <w:rPr>
          <w:sz w:val="24"/>
          <w:rtl/>
        </w:rPr>
        <w:t xml:space="preserve"> </w:t>
      </w:r>
      <w:r w:rsidRPr="00633DEC">
        <w:rPr>
          <w:rFonts w:hint="eastAsia"/>
          <w:sz w:val="24"/>
          <w:rtl/>
        </w:rPr>
        <w:t>האלה</w:t>
      </w:r>
      <w:r w:rsidRPr="00633DEC">
        <w:rPr>
          <w:sz w:val="24"/>
          <w:rtl/>
        </w:rPr>
        <w:t xml:space="preserve">, </w:t>
      </w:r>
      <w:r w:rsidRPr="00633DEC">
        <w:rPr>
          <w:rFonts w:hint="eastAsia"/>
          <w:sz w:val="24"/>
          <w:rtl/>
        </w:rPr>
        <w:t>על</w:t>
      </w:r>
      <w:r w:rsidRPr="00633DEC">
        <w:rPr>
          <w:sz w:val="24"/>
          <w:rtl/>
        </w:rPr>
        <w:t xml:space="preserve"> </w:t>
      </w:r>
      <w:r w:rsidRPr="00633DEC">
        <w:rPr>
          <w:rFonts w:hint="eastAsia"/>
          <w:sz w:val="24"/>
          <w:rtl/>
        </w:rPr>
        <w:t>פי</w:t>
      </w:r>
      <w:r w:rsidRPr="00633DEC">
        <w:rPr>
          <w:sz w:val="24"/>
          <w:rtl/>
        </w:rPr>
        <w:t xml:space="preserve"> </w:t>
      </w:r>
      <w:r w:rsidRPr="00633DEC">
        <w:rPr>
          <w:rFonts w:hint="eastAsia"/>
          <w:sz w:val="24"/>
          <w:rtl/>
        </w:rPr>
        <w:t>המשטרה</w:t>
      </w:r>
      <w:r w:rsidRPr="00633DEC">
        <w:rPr>
          <w:sz w:val="24"/>
          <w:rtl/>
        </w:rPr>
        <w:t xml:space="preserve">, </w:t>
      </w:r>
      <w:r w:rsidRPr="00633DEC">
        <w:rPr>
          <w:rFonts w:hint="eastAsia"/>
          <w:sz w:val="24"/>
          <w:rtl/>
        </w:rPr>
        <w:t>כוללים</w:t>
      </w:r>
      <w:r w:rsidRPr="00633DEC">
        <w:rPr>
          <w:sz w:val="24"/>
          <w:rtl/>
        </w:rPr>
        <w:t xml:space="preserve"> </w:t>
      </w:r>
      <w:r w:rsidRPr="00633DEC">
        <w:rPr>
          <w:rFonts w:hint="eastAsia"/>
          <w:sz w:val="24"/>
          <w:rtl/>
        </w:rPr>
        <w:t>הכנסת</w:t>
      </w:r>
      <w:r w:rsidRPr="00633DEC">
        <w:rPr>
          <w:sz w:val="24"/>
          <w:rtl/>
        </w:rPr>
        <w:t xml:space="preserve"> </w:t>
      </w:r>
      <w:r w:rsidRPr="00633DEC">
        <w:rPr>
          <w:rFonts w:hint="eastAsia"/>
          <w:sz w:val="24"/>
          <w:rtl/>
        </w:rPr>
        <w:t>זרים</w:t>
      </w:r>
      <w:r w:rsidRPr="00633DEC">
        <w:rPr>
          <w:sz w:val="24"/>
          <w:rtl/>
        </w:rPr>
        <w:t xml:space="preserve"> </w:t>
      </w:r>
      <w:r w:rsidRPr="00633DEC">
        <w:rPr>
          <w:rFonts w:hint="eastAsia"/>
          <w:sz w:val="24"/>
          <w:rtl/>
        </w:rPr>
        <w:t>לישראל</w:t>
      </w:r>
      <w:r w:rsidRPr="00633DEC">
        <w:rPr>
          <w:sz w:val="24"/>
          <w:rtl/>
        </w:rPr>
        <w:t xml:space="preserve"> </w:t>
      </w:r>
      <w:r w:rsidRPr="00633DEC">
        <w:rPr>
          <w:rFonts w:hint="eastAsia"/>
          <w:sz w:val="24"/>
          <w:rtl/>
        </w:rPr>
        <w:t>דרך</w:t>
      </w:r>
      <w:r w:rsidRPr="00633DEC">
        <w:rPr>
          <w:sz w:val="24"/>
          <w:rtl/>
        </w:rPr>
        <w:t xml:space="preserve"> </w:t>
      </w:r>
      <w:r w:rsidRPr="00633DEC">
        <w:rPr>
          <w:rFonts w:hint="eastAsia"/>
          <w:sz w:val="24"/>
          <w:rtl/>
        </w:rPr>
        <w:t>נתב</w:t>
      </w:r>
      <w:r w:rsidRPr="00633DEC">
        <w:rPr>
          <w:sz w:val="24"/>
          <w:rtl/>
        </w:rPr>
        <w:t>"</w:t>
      </w:r>
      <w:r w:rsidRPr="00633DEC">
        <w:rPr>
          <w:rFonts w:hint="eastAsia"/>
          <w:sz w:val="24"/>
          <w:rtl/>
        </w:rPr>
        <w:t>ג</w:t>
      </w:r>
      <w:r w:rsidRPr="00633DEC">
        <w:rPr>
          <w:sz w:val="24"/>
          <w:rtl/>
        </w:rPr>
        <w:t xml:space="preserve"> </w:t>
      </w:r>
      <w:r w:rsidRPr="00633DEC">
        <w:rPr>
          <w:rFonts w:hint="eastAsia"/>
          <w:sz w:val="24"/>
          <w:rtl/>
        </w:rPr>
        <w:t>בניגוד</w:t>
      </w:r>
      <w:r w:rsidRPr="00633DEC">
        <w:rPr>
          <w:sz w:val="24"/>
          <w:rtl/>
        </w:rPr>
        <w:t xml:space="preserve"> </w:t>
      </w:r>
      <w:r w:rsidRPr="00633DEC">
        <w:rPr>
          <w:rFonts w:hint="eastAsia"/>
          <w:sz w:val="24"/>
          <w:rtl/>
        </w:rPr>
        <w:t>לחוק</w:t>
      </w:r>
      <w:r w:rsidRPr="00633DEC">
        <w:rPr>
          <w:sz w:val="24"/>
          <w:rtl/>
        </w:rPr>
        <w:t xml:space="preserve"> </w:t>
      </w:r>
      <w:r w:rsidRPr="00633DEC">
        <w:rPr>
          <w:rFonts w:hint="eastAsia"/>
          <w:sz w:val="24"/>
          <w:rtl/>
        </w:rPr>
        <w:t>הכניסה</w:t>
      </w:r>
      <w:r w:rsidRPr="00633DEC">
        <w:rPr>
          <w:sz w:val="24"/>
          <w:rtl/>
        </w:rPr>
        <w:t xml:space="preserve"> </w:t>
      </w:r>
      <w:r w:rsidRPr="00633DEC">
        <w:rPr>
          <w:rFonts w:hint="eastAsia"/>
          <w:sz w:val="24"/>
          <w:rtl/>
        </w:rPr>
        <w:t>לישראל</w:t>
      </w:r>
      <w:r>
        <w:rPr>
          <w:rStyle w:val="FootnoteReference1"/>
          <w:sz w:val="24"/>
          <w:rtl/>
        </w:rPr>
        <w:footnoteReference w:id="12"/>
      </w:r>
      <w:r w:rsidRPr="00633DEC">
        <w:rPr>
          <w:rFonts w:hint="cs"/>
          <w:sz w:val="24"/>
          <w:rtl/>
        </w:rPr>
        <w:t>.</w:t>
      </w:r>
    </w:p>
    <w:p w:rsidR="002D0C59" w:rsidRPr="001C1BD8" w:rsidP="00AE0BE6" w14:paraId="0EF94DC8" w14:textId="77777777">
      <w:pPr>
        <w:pStyle w:val="a"/>
        <w:spacing w:line="269" w:lineRule="auto"/>
        <w:rPr>
          <w:rtl/>
        </w:rPr>
      </w:pPr>
    </w:p>
    <w:p w:rsidR="002D0C59" w:rsidP="007277EF" w14:paraId="0D29B89E" w14:textId="77777777">
      <w:pPr>
        <w:spacing w:after="120" w:line="269" w:lineRule="auto"/>
        <w:jc w:val="center"/>
        <w:rPr>
          <w:sz w:val="24"/>
          <w:rtl/>
        </w:rPr>
      </w:pPr>
      <w:r w:rsidRPr="005C75E7">
        <w:rPr>
          <w:rFonts w:hint="eastAsia"/>
          <w:b/>
          <w:bCs/>
          <w:sz w:val="24"/>
          <w:rtl/>
        </w:rPr>
        <w:t>תרשים</w:t>
      </w:r>
      <w:r w:rsidRPr="005C75E7">
        <w:rPr>
          <w:rFonts w:hint="cs"/>
          <w:b/>
          <w:bCs/>
          <w:sz w:val="24"/>
          <w:rtl/>
        </w:rPr>
        <w:t xml:space="preserve"> </w:t>
      </w:r>
      <w:r>
        <w:rPr>
          <w:rFonts w:hint="cs"/>
          <w:b/>
          <w:bCs/>
          <w:sz w:val="24"/>
          <w:rtl/>
        </w:rPr>
        <w:t>5</w:t>
      </w:r>
      <w:r w:rsidRPr="005C75E7">
        <w:rPr>
          <w:b/>
          <w:bCs/>
          <w:sz w:val="24"/>
          <w:rtl/>
        </w:rPr>
        <w:t>:</w:t>
      </w:r>
      <w:r w:rsidRPr="005C75E7">
        <w:rPr>
          <w:rFonts w:hint="cs"/>
          <w:b/>
          <w:bCs/>
          <w:sz w:val="24"/>
          <w:rtl/>
        </w:rPr>
        <w:t xml:space="preserve"> תיקי חקירה וכתבי אישום כנגד ישראלים </w:t>
      </w:r>
      <w:r>
        <w:rPr>
          <w:rFonts w:hint="cs"/>
          <w:b/>
          <w:bCs/>
          <w:sz w:val="24"/>
          <w:rtl/>
        </w:rPr>
        <w:t xml:space="preserve">בגין חשד שעברו </w:t>
      </w:r>
      <w:r w:rsidRPr="001C53AD">
        <w:rPr>
          <w:b/>
          <w:bCs/>
          <w:sz w:val="24"/>
          <w:rtl/>
        </w:rPr>
        <w:t>על חוק הכניסה לישראל</w:t>
      </w:r>
      <w:r w:rsidRPr="005C75E7">
        <w:rPr>
          <w:rFonts w:hint="cs"/>
          <w:b/>
          <w:bCs/>
          <w:sz w:val="24"/>
          <w:rtl/>
        </w:rPr>
        <w:t>, 201</w:t>
      </w:r>
      <w:r>
        <w:rPr>
          <w:rFonts w:hint="cs"/>
          <w:b/>
          <w:bCs/>
          <w:sz w:val="24"/>
          <w:rtl/>
        </w:rPr>
        <w:t xml:space="preserve">7 </w:t>
      </w:r>
      <w:r w:rsidRPr="005C75E7">
        <w:rPr>
          <w:rFonts w:hint="cs"/>
          <w:b/>
          <w:bCs/>
          <w:sz w:val="24"/>
          <w:rtl/>
        </w:rPr>
        <w:t>-</w:t>
      </w:r>
      <w:r>
        <w:rPr>
          <w:rFonts w:hint="cs"/>
          <w:b/>
          <w:bCs/>
          <w:sz w:val="24"/>
          <w:rtl/>
        </w:rPr>
        <w:t xml:space="preserve"> </w:t>
      </w:r>
      <w:r w:rsidRPr="005C75E7">
        <w:rPr>
          <w:rFonts w:hint="cs"/>
          <w:b/>
          <w:bCs/>
          <w:sz w:val="24"/>
          <w:rtl/>
        </w:rPr>
        <w:t>201</w:t>
      </w:r>
      <w:r>
        <w:rPr>
          <w:rFonts w:hint="cs"/>
          <w:b/>
          <w:bCs/>
          <w:sz w:val="24"/>
          <w:rtl/>
        </w:rPr>
        <w:t xml:space="preserve">9 </w:t>
      </w:r>
    </w:p>
    <w:p w:rsidR="002D0C59" w:rsidP="00AE0BE6" w14:paraId="149C3967" w14:textId="77777777">
      <w:pPr>
        <w:spacing w:line="269" w:lineRule="auto"/>
        <w:jc w:val="center"/>
        <w:rPr>
          <w:sz w:val="24"/>
          <w:rtl/>
        </w:rPr>
      </w:pPr>
      <w:r w:rsidRPr="000F2919">
        <w:rPr>
          <w:noProof/>
          <w:szCs w:val="20"/>
          <w:rtl/>
        </w:rPr>
        <w:drawing>
          <wp:inline distT="0" distB="0" distL="0" distR="0">
            <wp:extent cx="5220335" cy="2870835"/>
            <wp:effectExtent l="0" t="0" r="0" b="571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69153" name="Picture 8"/>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2870835"/>
                    </a:xfrm>
                    <a:prstGeom prst="rect">
                      <a:avLst/>
                    </a:prstGeom>
                    <a:noFill/>
                    <a:ln>
                      <a:noFill/>
                    </a:ln>
                  </pic:spPr>
                </pic:pic>
              </a:graphicData>
            </a:graphic>
          </wp:inline>
        </w:drawing>
      </w:r>
    </w:p>
    <w:p w:rsidR="002D0C59" w:rsidP="007277EF" w14:paraId="4852DA24" w14:textId="77777777">
      <w:pPr>
        <w:spacing w:before="120" w:line="269" w:lineRule="auto"/>
        <w:rPr>
          <w:szCs w:val="20"/>
          <w:rtl/>
        </w:rPr>
      </w:pPr>
      <w:r>
        <w:rPr>
          <w:rFonts w:hint="cs"/>
          <w:szCs w:val="20"/>
          <w:rtl/>
        </w:rPr>
        <w:t>המ</w:t>
      </w:r>
      <w:r w:rsidRPr="00965814">
        <w:rPr>
          <w:rFonts w:hint="cs"/>
          <w:szCs w:val="20"/>
          <w:rtl/>
        </w:rPr>
        <w:t>ק</w:t>
      </w:r>
      <w:r>
        <w:rPr>
          <w:rFonts w:hint="cs"/>
          <w:szCs w:val="20"/>
          <w:rtl/>
        </w:rPr>
        <w:t>ו</w:t>
      </w:r>
      <w:r w:rsidRPr="00965814">
        <w:rPr>
          <w:rFonts w:hint="cs"/>
          <w:szCs w:val="20"/>
          <w:rtl/>
        </w:rPr>
        <w:t>ר</w:t>
      </w:r>
      <w:r>
        <w:rPr>
          <w:rFonts w:hint="cs"/>
          <w:szCs w:val="20"/>
          <w:rtl/>
        </w:rPr>
        <w:t xml:space="preserve">: </w:t>
      </w:r>
      <w:r w:rsidRPr="00965814">
        <w:rPr>
          <w:rFonts w:hint="cs"/>
          <w:szCs w:val="20"/>
          <w:rtl/>
        </w:rPr>
        <w:t>נתוני מרחב נתב"</w:t>
      </w:r>
      <w:r>
        <w:rPr>
          <w:rFonts w:hint="cs"/>
          <w:szCs w:val="20"/>
          <w:rtl/>
        </w:rPr>
        <w:t xml:space="preserve">ג במשטרה </w:t>
      </w:r>
      <w:r w:rsidRPr="00DA6B25">
        <w:rPr>
          <w:rFonts w:hint="cs"/>
          <w:szCs w:val="20"/>
          <w:rtl/>
        </w:rPr>
        <w:t>ל-25.12.19,</w:t>
      </w:r>
      <w:r>
        <w:rPr>
          <w:rFonts w:hint="cs"/>
          <w:szCs w:val="20"/>
          <w:rtl/>
        </w:rPr>
        <w:t xml:space="preserve"> בעיבוד משרד מבקר המדינה.</w:t>
      </w:r>
    </w:p>
    <w:p w:rsidR="000F2919" w:rsidP="007277EF" w14:paraId="2D8779FC" w14:textId="77777777">
      <w:pPr>
        <w:spacing w:before="120" w:line="269" w:lineRule="auto"/>
        <w:rPr>
          <w:szCs w:val="20"/>
          <w:rtl/>
        </w:rPr>
      </w:pPr>
    </w:p>
    <w:p w:rsidR="00AE4135" w:rsidP="00AE0BE6" w14:paraId="415F8965" w14:textId="77777777">
      <w:pPr>
        <w:spacing w:line="269" w:lineRule="auto"/>
        <w:rPr>
          <w:b/>
          <w:bCs/>
          <w:sz w:val="24"/>
          <w:rtl/>
        </w:rPr>
      </w:pPr>
    </w:p>
    <w:p w:rsidR="002D0C59" w:rsidP="00AE0BE6" w14:paraId="0926C129" w14:textId="77777777">
      <w:pPr>
        <w:spacing w:line="269" w:lineRule="auto"/>
        <w:rPr>
          <w:b/>
          <w:bCs/>
          <w:sz w:val="24"/>
          <w:rtl/>
        </w:rPr>
      </w:pPr>
      <w:r w:rsidRPr="004F577B">
        <w:rPr>
          <w:rFonts w:hint="eastAsia"/>
          <w:b/>
          <w:bCs/>
          <w:sz w:val="24"/>
          <w:rtl/>
        </w:rPr>
        <w:t>מנתוני</w:t>
      </w:r>
      <w:r w:rsidRPr="004F577B">
        <w:rPr>
          <w:b/>
          <w:bCs/>
          <w:sz w:val="24"/>
          <w:rtl/>
        </w:rPr>
        <w:t xml:space="preserve"> </w:t>
      </w:r>
      <w:r w:rsidRPr="004F577B">
        <w:rPr>
          <w:rFonts w:hint="eastAsia"/>
          <w:b/>
          <w:bCs/>
          <w:sz w:val="24"/>
          <w:rtl/>
        </w:rPr>
        <w:t>התרשים</w:t>
      </w:r>
      <w:r w:rsidRPr="004F577B">
        <w:rPr>
          <w:b/>
          <w:bCs/>
          <w:sz w:val="24"/>
          <w:rtl/>
        </w:rPr>
        <w:t xml:space="preserve"> </w:t>
      </w:r>
      <w:r w:rsidRPr="004F577B">
        <w:rPr>
          <w:rFonts w:hint="eastAsia"/>
          <w:b/>
          <w:bCs/>
          <w:sz w:val="24"/>
          <w:rtl/>
        </w:rPr>
        <w:t>עולה</w:t>
      </w:r>
      <w:r w:rsidRPr="004F577B">
        <w:rPr>
          <w:b/>
          <w:bCs/>
          <w:sz w:val="24"/>
          <w:rtl/>
        </w:rPr>
        <w:t xml:space="preserve"> </w:t>
      </w:r>
      <w:r w:rsidRPr="004F577B">
        <w:rPr>
          <w:rFonts w:hint="eastAsia"/>
          <w:b/>
          <w:bCs/>
          <w:sz w:val="24"/>
          <w:rtl/>
        </w:rPr>
        <w:t>כי</w:t>
      </w:r>
      <w:r w:rsidRPr="004F577B">
        <w:rPr>
          <w:b/>
          <w:bCs/>
          <w:sz w:val="24"/>
          <w:rtl/>
        </w:rPr>
        <w:t xml:space="preserve"> </w:t>
      </w:r>
      <w:r w:rsidRPr="004F577B">
        <w:rPr>
          <w:rFonts w:hint="eastAsia"/>
          <w:b/>
          <w:bCs/>
          <w:sz w:val="24"/>
          <w:rtl/>
        </w:rPr>
        <w:t>בשלוש</w:t>
      </w:r>
      <w:r w:rsidRPr="004F577B">
        <w:rPr>
          <w:b/>
          <w:bCs/>
          <w:sz w:val="24"/>
          <w:rtl/>
        </w:rPr>
        <w:t xml:space="preserve"> </w:t>
      </w:r>
      <w:r w:rsidRPr="004F577B">
        <w:rPr>
          <w:rFonts w:hint="eastAsia"/>
          <w:b/>
          <w:bCs/>
          <w:sz w:val="24"/>
          <w:rtl/>
        </w:rPr>
        <w:t>השנים</w:t>
      </w:r>
      <w:r w:rsidRPr="004F577B">
        <w:rPr>
          <w:b/>
          <w:bCs/>
          <w:sz w:val="24"/>
          <w:rtl/>
        </w:rPr>
        <w:t xml:space="preserve"> </w:t>
      </w:r>
      <w:r w:rsidRPr="004F577B">
        <w:rPr>
          <w:rFonts w:hint="eastAsia"/>
          <w:b/>
          <w:bCs/>
          <w:sz w:val="24"/>
          <w:rtl/>
        </w:rPr>
        <w:t>האחרונות</w:t>
      </w:r>
      <w:r w:rsidRPr="004F577B">
        <w:rPr>
          <w:b/>
          <w:bCs/>
          <w:sz w:val="24"/>
          <w:rtl/>
        </w:rPr>
        <w:t xml:space="preserve"> </w:t>
      </w:r>
      <w:r w:rsidRPr="004F577B">
        <w:rPr>
          <w:rFonts w:hint="eastAsia"/>
          <w:b/>
          <w:bCs/>
          <w:sz w:val="24"/>
          <w:rtl/>
        </w:rPr>
        <w:t>גדל</w:t>
      </w:r>
      <w:r w:rsidRPr="004F577B">
        <w:rPr>
          <w:b/>
          <w:bCs/>
          <w:sz w:val="24"/>
          <w:rtl/>
        </w:rPr>
        <w:t xml:space="preserve"> </w:t>
      </w:r>
      <w:r w:rsidRPr="004F577B">
        <w:rPr>
          <w:rFonts w:hint="eastAsia"/>
          <w:b/>
          <w:bCs/>
          <w:sz w:val="24"/>
          <w:rtl/>
        </w:rPr>
        <w:t>ב</w:t>
      </w:r>
      <w:r w:rsidRPr="004F577B">
        <w:rPr>
          <w:b/>
          <w:bCs/>
          <w:sz w:val="24"/>
          <w:rtl/>
        </w:rPr>
        <w:t>-</w:t>
      </w:r>
      <w:r>
        <w:rPr>
          <w:rFonts w:hint="cs"/>
          <w:b/>
          <w:bCs/>
          <w:sz w:val="24"/>
          <w:rtl/>
        </w:rPr>
        <w:t>8</w:t>
      </w:r>
      <w:r w:rsidRPr="004F577B">
        <w:rPr>
          <w:b/>
          <w:bCs/>
          <w:sz w:val="24"/>
          <w:rtl/>
        </w:rPr>
        <w:t xml:space="preserve">00% </w:t>
      </w:r>
      <w:r w:rsidRPr="004F577B">
        <w:rPr>
          <w:rFonts w:hint="eastAsia"/>
          <w:b/>
          <w:bCs/>
          <w:sz w:val="24"/>
          <w:rtl/>
        </w:rPr>
        <w:t>מספר</w:t>
      </w:r>
      <w:r w:rsidRPr="004F577B">
        <w:rPr>
          <w:b/>
          <w:bCs/>
          <w:sz w:val="24"/>
          <w:rtl/>
        </w:rPr>
        <w:t xml:space="preserve"> </w:t>
      </w:r>
      <w:r w:rsidRPr="004F577B">
        <w:rPr>
          <w:rFonts w:hint="eastAsia"/>
          <w:b/>
          <w:bCs/>
          <w:sz w:val="24"/>
          <w:rtl/>
        </w:rPr>
        <w:t>התיקים</w:t>
      </w:r>
      <w:r w:rsidRPr="004F577B">
        <w:rPr>
          <w:b/>
          <w:bCs/>
          <w:sz w:val="24"/>
          <w:rtl/>
        </w:rPr>
        <w:t xml:space="preserve"> </w:t>
      </w:r>
      <w:r w:rsidRPr="004F577B">
        <w:rPr>
          <w:rFonts w:hint="eastAsia"/>
          <w:b/>
          <w:bCs/>
          <w:sz w:val="24"/>
          <w:rtl/>
        </w:rPr>
        <w:t>שהמשטרה</w:t>
      </w:r>
      <w:r w:rsidRPr="004F577B">
        <w:rPr>
          <w:b/>
          <w:bCs/>
          <w:sz w:val="24"/>
          <w:rtl/>
        </w:rPr>
        <w:t xml:space="preserve"> </w:t>
      </w:r>
      <w:r w:rsidRPr="004F577B">
        <w:rPr>
          <w:rFonts w:hint="eastAsia"/>
          <w:b/>
          <w:bCs/>
          <w:sz w:val="24"/>
          <w:rtl/>
        </w:rPr>
        <w:t>פתחה</w:t>
      </w:r>
      <w:r w:rsidRPr="004F577B">
        <w:rPr>
          <w:b/>
          <w:bCs/>
          <w:sz w:val="24"/>
          <w:rtl/>
        </w:rPr>
        <w:t xml:space="preserve"> </w:t>
      </w:r>
      <w:r>
        <w:rPr>
          <w:rFonts w:hint="cs"/>
          <w:b/>
          <w:bCs/>
          <w:sz w:val="24"/>
          <w:rtl/>
        </w:rPr>
        <w:t xml:space="preserve">לישראלים </w:t>
      </w:r>
      <w:r w:rsidRPr="004F577B">
        <w:rPr>
          <w:rFonts w:hint="eastAsia"/>
          <w:b/>
          <w:bCs/>
          <w:sz w:val="24"/>
          <w:rtl/>
        </w:rPr>
        <w:t>בחשד</w:t>
      </w:r>
      <w:r w:rsidRPr="004F577B">
        <w:rPr>
          <w:b/>
          <w:bCs/>
          <w:sz w:val="24"/>
          <w:rtl/>
        </w:rPr>
        <w:t xml:space="preserve"> </w:t>
      </w:r>
      <w:r w:rsidRPr="004F577B">
        <w:rPr>
          <w:rFonts w:hint="eastAsia"/>
          <w:b/>
          <w:bCs/>
          <w:sz w:val="24"/>
          <w:rtl/>
        </w:rPr>
        <w:t>לעבירה</w:t>
      </w:r>
      <w:r w:rsidRPr="004F577B">
        <w:rPr>
          <w:b/>
          <w:bCs/>
          <w:sz w:val="24"/>
          <w:rtl/>
        </w:rPr>
        <w:t xml:space="preserve"> </w:t>
      </w:r>
      <w:r w:rsidRPr="004F577B">
        <w:rPr>
          <w:rFonts w:hint="eastAsia"/>
          <w:b/>
          <w:bCs/>
          <w:sz w:val="24"/>
          <w:rtl/>
        </w:rPr>
        <w:t>שעניינה</w:t>
      </w:r>
      <w:r w:rsidRPr="004F577B">
        <w:rPr>
          <w:b/>
          <w:bCs/>
          <w:sz w:val="24"/>
          <w:rtl/>
        </w:rPr>
        <w:t xml:space="preserve"> </w:t>
      </w:r>
      <w:r w:rsidRPr="004F577B">
        <w:rPr>
          <w:rFonts w:hint="eastAsia"/>
          <w:b/>
          <w:bCs/>
          <w:sz w:val="24"/>
          <w:rtl/>
        </w:rPr>
        <w:t>כניסה</w:t>
      </w:r>
      <w:r w:rsidRPr="004F577B">
        <w:rPr>
          <w:b/>
          <w:bCs/>
          <w:sz w:val="24"/>
          <w:rtl/>
        </w:rPr>
        <w:t xml:space="preserve"> </w:t>
      </w:r>
      <w:r w:rsidRPr="004F577B">
        <w:rPr>
          <w:rFonts w:hint="eastAsia"/>
          <w:b/>
          <w:bCs/>
          <w:sz w:val="24"/>
          <w:rtl/>
        </w:rPr>
        <w:t>דרך</w:t>
      </w:r>
      <w:r w:rsidRPr="004F577B">
        <w:rPr>
          <w:b/>
          <w:bCs/>
          <w:sz w:val="24"/>
          <w:rtl/>
        </w:rPr>
        <w:t xml:space="preserve"> </w:t>
      </w:r>
      <w:r w:rsidRPr="004F577B">
        <w:rPr>
          <w:rFonts w:hint="eastAsia"/>
          <w:b/>
          <w:bCs/>
          <w:sz w:val="24"/>
          <w:rtl/>
        </w:rPr>
        <w:t>מעבר</w:t>
      </w:r>
      <w:r w:rsidRPr="004F577B">
        <w:rPr>
          <w:b/>
          <w:bCs/>
          <w:sz w:val="24"/>
          <w:rtl/>
        </w:rPr>
        <w:t xml:space="preserve"> </w:t>
      </w:r>
      <w:r w:rsidRPr="004F577B">
        <w:rPr>
          <w:rFonts w:hint="eastAsia"/>
          <w:b/>
          <w:bCs/>
          <w:sz w:val="24"/>
          <w:rtl/>
        </w:rPr>
        <w:t>הגבול</w:t>
      </w:r>
      <w:r w:rsidRPr="004F577B">
        <w:rPr>
          <w:b/>
          <w:bCs/>
          <w:sz w:val="24"/>
          <w:rtl/>
        </w:rPr>
        <w:t xml:space="preserve"> </w:t>
      </w:r>
      <w:r w:rsidRPr="004F577B">
        <w:rPr>
          <w:rFonts w:hint="eastAsia"/>
          <w:b/>
          <w:bCs/>
          <w:sz w:val="24"/>
          <w:rtl/>
        </w:rPr>
        <w:t>בנתב</w:t>
      </w:r>
      <w:r w:rsidRPr="004F577B">
        <w:rPr>
          <w:b/>
          <w:bCs/>
          <w:sz w:val="24"/>
          <w:rtl/>
        </w:rPr>
        <w:t>"</w:t>
      </w:r>
      <w:r w:rsidRPr="004F577B">
        <w:rPr>
          <w:rFonts w:hint="eastAsia"/>
          <w:b/>
          <w:bCs/>
          <w:sz w:val="24"/>
          <w:rtl/>
        </w:rPr>
        <w:t>ג</w:t>
      </w:r>
      <w:r w:rsidRPr="004F577B">
        <w:rPr>
          <w:b/>
          <w:bCs/>
          <w:sz w:val="24"/>
          <w:rtl/>
        </w:rPr>
        <w:t xml:space="preserve"> </w:t>
      </w:r>
      <w:r w:rsidRPr="004F577B">
        <w:rPr>
          <w:rFonts w:hint="eastAsia"/>
          <w:b/>
          <w:bCs/>
          <w:sz w:val="24"/>
          <w:rtl/>
        </w:rPr>
        <w:t>בניגוד</w:t>
      </w:r>
      <w:r w:rsidRPr="004F577B">
        <w:rPr>
          <w:b/>
          <w:bCs/>
          <w:sz w:val="24"/>
          <w:rtl/>
        </w:rPr>
        <w:t xml:space="preserve"> </w:t>
      </w:r>
      <w:r w:rsidRPr="004F577B">
        <w:rPr>
          <w:rFonts w:hint="eastAsia"/>
          <w:b/>
          <w:bCs/>
          <w:sz w:val="24"/>
          <w:rtl/>
        </w:rPr>
        <w:t>לחוק</w:t>
      </w:r>
      <w:r w:rsidRPr="004F577B">
        <w:rPr>
          <w:b/>
          <w:bCs/>
          <w:sz w:val="24"/>
          <w:rtl/>
        </w:rPr>
        <w:t xml:space="preserve"> </w:t>
      </w:r>
      <w:r w:rsidRPr="004F577B">
        <w:rPr>
          <w:rFonts w:hint="eastAsia"/>
          <w:b/>
          <w:bCs/>
          <w:sz w:val="24"/>
          <w:rtl/>
        </w:rPr>
        <w:t>הכניסה</w:t>
      </w:r>
      <w:r w:rsidRPr="004F577B">
        <w:rPr>
          <w:b/>
          <w:bCs/>
          <w:sz w:val="24"/>
          <w:rtl/>
        </w:rPr>
        <w:t xml:space="preserve"> </w:t>
      </w:r>
      <w:r w:rsidRPr="004F577B">
        <w:rPr>
          <w:rFonts w:hint="eastAsia"/>
          <w:b/>
          <w:bCs/>
          <w:sz w:val="24"/>
          <w:rtl/>
        </w:rPr>
        <w:t>לישראל</w:t>
      </w:r>
      <w:r w:rsidRPr="004F577B">
        <w:rPr>
          <w:b/>
          <w:bCs/>
          <w:sz w:val="24"/>
          <w:rtl/>
        </w:rPr>
        <w:t xml:space="preserve">, </w:t>
      </w:r>
      <w:r w:rsidRPr="004F577B">
        <w:rPr>
          <w:rFonts w:hint="eastAsia"/>
          <w:b/>
          <w:bCs/>
          <w:sz w:val="24"/>
          <w:rtl/>
        </w:rPr>
        <w:t>ובשיעור</w:t>
      </w:r>
      <w:r w:rsidRPr="004F577B">
        <w:rPr>
          <w:b/>
          <w:bCs/>
          <w:sz w:val="24"/>
          <w:rtl/>
        </w:rPr>
        <w:t xml:space="preserve"> </w:t>
      </w:r>
      <w:r w:rsidRPr="004F577B">
        <w:rPr>
          <w:rFonts w:hint="eastAsia"/>
          <w:b/>
          <w:bCs/>
          <w:sz w:val="24"/>
          <w:rtl/>
        </w:rPr>
        <w:t>דומה</w:t>
      </w:r>
      <w:r w:rsidRPr="004F577B">
        <w:rPr>
          <w:b/>
          <w:bCs/>
          <w:sz w:val="24"/>
          <w:rtl/>
        </w:rPr>
        <w:t xml:space="preserve"> (</w:t>
      </w:r>
      <w:r>
        <w:rPr>
          <w:rFonts w:hint="cs"/>
          <w:b/>
          <w:bCs/>
          <w:sz w:val="24"/>
          <w:rtl/>
        </w:rPr>
        <w:t>8</w:t>
      </w:r>
      <w:r w:rsidRPr="004F577B">
        <w:rPr>
          <w:b/>
          <w:bCs/>
          <w:sz w:val="24"/>
          <w:rtl/>
        </w:rPr>
        <w:t xml:space="preserve">50%) </w:t>
      </w:r>
      <w:r w:rsidRPr="004F577B">
        <w:rPr>
          <w:rFonts w:hint="eastAsia"/>
          <w:b/>
          <w:bCs/>
          <w:sz w:val="24"/>
          <w:rtl/>
        </w:rPr>
        <w:t>גדל</w:t>
      </w:r>
      <w:r w:rsidRPr="004F577B">
        <w:rPr>
          <w:b/>
          <w:bCs/>
          <w:sz w:val="24"/>
          <w:rtl/>
        </w:rPr>
        <w:t xml:space="preserve"> </w:t>
      </w:r>
      <w:r w:rsidRPr="004F577B">
        <w:rPr>
          <w:rFonts w:hint="eastAsia"/>
          <w:b/>
          <w:bCs/>
          <w:sz w:val="24"/>
          <w:rtl/>
        </w:rPr>
        <w:t>גם</w:t>
      </w:r>
      <w:r w:rsidRPr="004F577B">
        <w:rPr>
          <w:b/>
          <w:bCs/>
          <w:sz w:val="24"/>
          <w:rtl/>
        </w:rPr>
        <w:t xml:space="preserve"> </w:t>
      </w:r>
      <w:r w:rsidRPr="004F577B">
        <w:rPr>
          <w:rFonts w:hint="eastAsia"/>
          <w:b/>
          <w:bCs/>
          <w:sz w:val="24"/>
          <w:rtl/>
        </w:rPr>
        <w:t>מספר</w:t>
      </w:r>
      <w:r w:rsidRPr="004F577B">
        <w:rPr>
          <w:b/>
          <w:bCs/>
          <w:sz w:val="24"/>
          <w:rtl/>
        </w:rPr>
        <w:t xml:space="preserve"> </w:t>
      </w:r>
      <w:r w:rsidRPr="004F577B">
        <w:rPr>
          <w:rFonts w:hint="eastAsia"/>
          <w:b/>
          <w:bCs/>
          <w:sz w:val="24"/>
          <w:rtl/>
        </w:rPr>
        <w:t>כתבי</w:t>
      </w:r>
      <w:r w:rsidRPr="004F577B">
        <w:rPr>
          <w:b/>
          <w:bCs/>
          <w:sz w:val="24"/>
          <w:rtl/>
        </w:rPr>
        <w:t xml:space="preserve"> </w:t>
      </w:r>
      <w:r w:rsidRPr="004F577B">
        <w:rPr>
          <w:rFonts w:hint="eastAsia"/>
          <w:b/>
          <w:bCs/>
          <w:sz w:val="24"/>
          <w:rtl/>
        </w:rPr>
        <w:t>האישום</w:t>
      </w:r>
      <w:r w:rsidRPr="004F577B">
        <w:rPr>
          <w:b/>
          <w:bCs/>
          <w:sz w:val="24"/>
          <w:rtl/>
        </w:rPr>
        <w:t xml:space="preserve"> </w:t>
      </w:r>
      <w:r w:rsidRPr="004F577B">
        <w:rPr>
          <w:rFonts w:hint="eastAsia"/>
          <w:b/>
          <w:bCs/>
          <w:sz w:val="24"/>
          <w:rtl/>
        </w:rPr>
        <w:t>שהגישה</w:t>
      </w:r>
      <w:r w:rsidRPr="004F577B">
        <w:rPr>
          <w:b/>
          <w:bCs/>
          <w:sz w:val="24"/>
          <w:rtl/>
        </w:rPr>
        <w:t xml:space="preserve"> </w:t>
      </w:r>
      <w:r w:rsidRPr="004F577B">
        <w:rPr>
          <w:rFonts w:hint="eastAsia"/>
          <w:b/>
          <w:bCs/>
          <w:sz w:val="24"/>
          <w:rtl/>
        </w:rPr>
        <w:t>המשטרה</w:t>
      </w:r>
      <w:r w:rsidRPr="004F577B">
        <w:rPr>
          <w:b/>
          <w:bCs/>
          <w:sz w:val="24"/>
          <w:rtl/>
        </w:rPr>
        <w:t xml:space="preserve"> </w:t>
      </w:r>
      <w:r w:rsidRPr="004F577B">
        <w:rPr>
          <w:rFonts w:hint="eastAsia"/>
          <w:b/>
          <w:bCs/>
          <w:sz w:val="24"/>
          <w:rtl/>
        </w:rPr>
        <w:t>בגין</w:t>
      </w:r>
      <w:r w:rsidRPr="004F577B">
        <w:rPr>
          <w:b/>
          <w:bCs/>
          <w:sz w:val="24"/>
          <w:rtl/>
        </w:rPr>
        <w:t xml:space="preserve"> </w:t>
      </w:r>
      <w:r w:rsidRPr="004F577B">
        <w:rPr>
          <w:rFonts w:hint="eastAsia"/>
          <w:b/>
          <w:bCs/>
          <w:sz w:val="24"/>
          <w:rtl/>
        </w:rPr>
        <w:t>החשד</w:t>
      </w:r>
      <w:r w:rsidRPr="004F577B">
        <w:rPr>
          <w:b/>
          <w:bCs/>
          <w:sz w:val="24"/>
          <w:rtl/>
        </w:rPr>
        <w:t xml:space="preserve"> </w:t>
      </w:r>
      <w:r w:rsidRPr="004F577B">
        <w:rPr>
          <w:rFonts w:hint="eastAsia"/>
          <w:b/>
          <w:bCs/>
          <w:sz w:val="24"/>
          <w:rtl/>
        </w:rPr>
        <w:t>לביצוע</w:t>
      </w:r>
      <w:r w:rsidRPr="004F577B">
        <w:rPr>
          <w:b/>
          <w:bCs/>
          <w:sz w:val="24"/>
          <w:rtl/>
        </w:rPr>
        <w:t xml:space="preserve"> </w:t>
      </w:r>
      <w:r w:rsidRPr="004F577B">
        <w:rPr>
          <w:rFonts w:hint="eastAsia"/>
          <w:b/>
          <w:bCs/>
          <w:sz w:val="24"/>
          <w:rtl/>
        </w:rPr>
        <w:t>עב</w:t>
      </w:r>
      <w:r>
        <w:rPr>
          <w:rFonts w:hint="cs"/>
          <w:b/>
          <w:bCs/>
          <w:sz w:val="24"/>
          <w:rtl/>
        </w:rPr>
        <w:t>י</w:t>
      </w:r>
      <w:r w:rsidRPr="004F577B">
        <w:rPr>
          <w:rFonts w:hint="eastAsia"/>
          <w:b/>
          <w:bCs/>
          <w:sz w:val="24"/>
          <w:rtl/>
        </w:rPr>
        <w:t>רה</w:t>
      </w:r>
      <w:r w:rsidRPr="004F577B">
        <w:rPr>
          <w:b/>
          <w:bCs/>
          <w:sz w:val="24"/>
          <w:rtl/>
        </w:rPr>
        <w:t xml:space="preserve"> </w:t>
      </w:r>
      <w:r w:rsidRPr="004F577B">
        <w:rPr>
          <w:rFonts w:hint="eastAsia"/>
          <w:b/>
          <w:bCs/>
          <w:sz w:val="24"/>
          <w:rtl/>
        </w:rPr>
        <w:t>זו</w:t>
      </w:r>
      <w:r>
        <w:rPr>
          <w:rStyle w:val="FootnoteReference1"/>
          <w:b/>
          <w:bCs/>
          <w:sz w:val="24"/>
          <w:rtl/>
        </w:rPr>
        <w:footnoteReference w:id="13"/>
      </w:r>
      <w:r>
        <w:rPr>
          <w:rFonts w:hint="cs"/>
          <w:b/>
          <w:bCs/>
          <w:sz w:val="24"/>
          <w:rtl/>
        </w:rPr>
        <w:t>.</w:t>
      </w:r>
    </w:p>
    <w:p w:rsidR="002D0C59" w:rsidRPr="00C6269F" w:rsidP="00AE0BE6" w14:paraId="073BD735" w14:textId="77777777">
      <w:pPr>
        <w:pStyle w:val="a"/>
        <w:spacing w:line="269" w:lineRule="auto"/>
        <w:rPr>
          <w:rtl/>
        </w:rPr>
      </w:pPr>
    </w:p>
    <w:p w:rsidR="002D0C59" w:rsidP="00AE0BE6" w14:paraId="1DBBB23F" w14:textId="77777777">
      <w:pPr>
        <w:spacing w:line="269" w:lineRule="auto"/>
        <w:rPr>
          <w:b/>
          <w:bCs/>
          <w:sz w:val="24"/>
          <w:rtl/>
        </w:rPr>
      </w:pPr>
      <w:r w:rsidRPr="00C6269F">
        <w:rPr>
          <w:sz w:val="24"/>
          <w:rtl/>
        </w:rPr>
        <w:t>בפברואר 2020</w:t>
      </w:r>
      <w:r>
        <w:rPr>
          <w:rFonts w:hint="cs"/>
          <w:sz w:val="24"/>
          <w:rtl/>
        </w:rPr>
        <w:t xml:space="preserve"> השיבה </w:t>
      </w:r>
      <w:r w:rsidRPr="00C6269F">
        <w:rPr>
          <w:rFonts w:hint="eastAsia"/>
          <w:sz w:val="24"/>
          <w:rtl/>
        </w:rPr>
        <w:t>משטרת</w:t>
      </w:r>
      <w:r w:rsidRPr="00C6269F">
        <w:rPr>
          <w:sz w:val="24"/>
          <w:rtl/>
        </w:rPr>
        <w:t xml:space="preserve"> ישראל למשרד מבקר המדינה כי בעקבות תופעה פלילית שהלכה והתרחבה של גורמים עבריינים המסייעים להברחה של נתינים זרים לישראל, נדרשה המשטרה לשנות מדיניות אכיפה.</w:t>
      </w:r>
      <w:r w:rsidR="00EC0F52">
        <w:rPr>
          <w:rFonts w:hint="cs"/>
          <w:rtl/>
        </w:rPr>
        <w:t xml:space="preserve"> </w:t>
      </w:r>
    </w:p>
    <w:p w:rsidR="00377347" w:rsidP="007277EF" w14:paraId="44B1D1E2" w14:textId="77777777">
      <w:pPr>
        <w:pStyle w:val="a"/>
        <w:rPr>
          <w:rtl/>
        </w:rPr>
      </w:pPr>
    </w:p>
    <w:p w:rsidR="007277EF" w:rsidP="007277EF" w14:paraId="74CDB160" w14:textId="77777777">
      <w:pPr>
        <w:pStyle w:val="a"/>
        <w:rPr>
          <w:rtl/>
        </w:rPr>
      </w:pPr>
    </w:p>
    <w:p w:rsidR="002D0C59" w:rsidRPr="002D0C59" w:rsidP="00AE0BE6" w14:paraId="121AADC2" w14:textId="77777777">
      <w:pPr>
        <w:pStyle w:val="Heading3"/>
        <w:spacing w:before="0" w:line="269" w:lineRule="auto"/>
        <w:rPr>
          <w:rtl/>
        </w:rPr>
      </w:pPr>
      <w:r w:rsidRPr="002D0C59">
        <w:rPr>
          <w:rFonts w:hint="eastAsia"/>
          <w:rtl/>
        </w:rPr>
        <w:t>תיירים</w:t>
      </w:r>
      <w:r w:rsidRPr="002D0C59">
        <w:rPr>
          <w:rtl/>
        </w:rPr>
        <w:t xml:space="preserve"> ששוהים בישראל שלא כחוק</w:t>
      </w:r>
    </w:p>
    <w:p w:rsidR="002D0C59" w:rsidP="00AE0BE6" w14:paraId="2488A4F3" w14:textId="77777777">
      <w:pPr>
        <w:pStyle w:val="a"/>
        <w:spacing w:line="269" w:lineRule="auto"/>
        <w:rPr>
          <w:rtl/>
        </w:rPr>
      </w:pPr>
    </w:p>
    <w:p w:rsidR="002D0C59" w:rsidRPr="00FB00D7" w:rsidP="00AE0BE6" w14:paraId="292CBDF8" w14:textId="77777777">
      <w:pPr>
        <w:spacing w:line="269" w:lineRule="auto"/>
        <w:rPr>
          <w:b/>
          <w:bCs/>
          <w:sz w:val="24"/>
          <w:rtl/>
        </w:rPr>
      </w:pPr>
      <w:r w:rsidRPr="009261FF">
        <w:rPr>
          <w:rFonts w:hint="eastAsia"/>
          <w:sz w:val="24"/>
          <w:rtl/>
        </w:rPr>
        <w:t>בתרשים</w:t>
      </w:r>
      <w:r w:rsidRPr="009261FF">
        <w:rPr>
          <w:sz w:val="24"/>
          <w:rtl/>
        </w:rPr>
        <w:t xml:space="preserve"> שלהלן מוצגים נתונים </w:t>
      </w:r>
      <w:r w:rsidRPr="009261FF">
        <w:rPr>
          <w:rFonts w:hint="eastAsia"/>
          <w:sz w:val="24"/>
          <w:rtl/>
        </w:rPr>
        <w:t>על</w:t>
      </w:r>
      <w:r w:rsidRPr="009261FF">
        <w:rPr>
          <w:sz w:val="24"/>
          <w:rtl/>
        </w:rPr>
        <w:t xml:space="preserve"> </w:t>
      </w:r>
      <w:r w:rsidRPr="009261FF">
        <w:rPr>
          <w:rFonts w:hint="eastAsia"/>
          <w:sz w:val="24"/>
          <w:rtl/>
        </w:rPr>
        <w:t>מספר</w:t>
      </w:r>
      <w:r w:rsidRPr="009261FF">
        <w:rPr>
          <w:sz w:val="24"/>
          <w:rtl/>
        </w:rPr>
        <w:t xml:space="preserve"> </w:t>
      </w:r>
      <w:r w:rsidRPr="004D291A">
        <w:rPr>
          <w:rFonts w:hint="eastAsia"/>
          <w:sz w:val="24"/>
          <w:rtl/>
        </w:rPr>
        <w:t>התיירים</w:t>
      </w:r>
      <w:r w:rsidRPr="004D291A">
        <w:rPr>
          <w:sz w:val="24"/>
          <w:rtl/>
        </w:rPr>
        <w:t xml:space="preserve"> </w:t>
      </w:r>
      <w:r w:rsidRPr="004D291A">
        <w:rPr>
          <w:rFonts w:hint="eastAsia"/>
          <w:sz w:val="24"/>
          <w:rtl/>
        </w:rPr>
        <w:t>ששהו</w:t>
      </w:r>
      <w:r w:rsidRPr="004D291A">
        <w:rPr>
          <w:sz w:val="24"/>
          <w:rtl/>
        </w:rPr>
        <w:t xml:space="preserve"> </w:t>
      </w:r>
      <w:r w:rsidRPr="004D291A">
        <w:rPr>
          <w:rFonts w:hint="eastAsia"/>
          <w:sz w:val="24"/>
          <w:rtl/>
        </w:rPr>
        <w:t>בישראל</w:t>
      </w:r>
      <w:r w:rsidRPr="00975B56">
        <w:rPr>
          <w:sz w:val="24"/>
          <w:rtl/>
        </w:rPr>
        <w:t xml:space="preserve"> </w:t>
      </w:r>
      <w:r w:rsidRPr="00975B56">
        <w:rPr>
          <w:rFonts w:hint="eastAsia"/>
          <w:sz w:val="24"/>
          <w:rtl/>
        </w:rPr>
        <w:t>שלא</w:t>
      </w:r>
      <w:r w:rsidRPr="00975B56">
        <w:rPr>
          <w:sz w:val="24"/>
          <w:rtl/>
        </w:rPr>
        <w:t xml:space="preserve"> </w:t>
      </w:r>
      <w:r w:rsidRPr="00975B56">
        <w:rPr>
          <w:rFonts w:hint="eastAsia"/>
          <w:sz w:val="24"/>
          <w:rtl/>
        </w:rPr>
        <w:t>כחוק</w:t>
      </w:r>
      <w:r w:rsidRPr="00975B56">
        <w:rPr>
          <w:sz w:val="24"/>
          <w:rtl/>
        </w:rPr>
        <w:t xml:space="preserve"> </w:t>
      </w:r>
      <w:r w:rsidRPr="00975B56">
        <w:rPr>
          <w:rFonts w:hint="eastAsia"/>
          <w:sz w:val="24"/>
          <w:rtl/>
        </w:rPr>
        <w:t>בשני</w:t>
      </w:r>
      <w:r w:rsidRPr="00975B56">
        <w:rPr>
          <w:rFonts w:hint="eastAsia"/>
          <w:sz w:val="24"/>
          <w:rtl/>
        </w:rPr>
        <w:t>ם</w:t>
      </w:r>
      <w:r w:rsidRPr="00975B56">
        <w:rPr>
          <w:sz w:val="24"/>
          <w:rtl/>
        </w:rPr>
        <w:t xml:space="preserve"> 2013</w:t>
      </w:r>
      <w:r w:rsidRPr="00F7401C">
        <w:rPr>
          <w:sz w:val="24"/>
          <w:rtl/>
        </w:rPr>
        <w:t xml:space="preserve"> </w:t>
      </w:r>
      <w:r w:rsidRPr="00F7401C">
        <w:rPr>
          <w:rFonts w:hint="eastAsia"/>
          <w:sz w:val="24"/>
          <w:rtl/>
        </w:rPr>
        <w:t>עד</w:t>
      </w:r>
      <w:r w:rsidRPr="00F7401C">
        <w:rPr>
          <w:sz w:val="24"/>
          <w:rtl/>
        </w:rPr>
        <w:t xml:space="preserve"> 2018</w:t>
      </w:r>
      <w:r>
        <w:rPr>
          <w:sz w:val="24"/>
          <w:vertAlign w:val="superscript"/>
          <w:rtl/>
        </w:rPr>
        <w:footnoteReference w:id="14"/>
      </w:r>
      <w:r w:rsidRPr="009261FF">
        <w:rPr>
          <w:sz w:val="24"/>
          <w:rtl/>
        </w:rPr>
        <w:t xml:space="preserve"> וכן שיעור הגידול במספר התיירים ששהו בישראל שלא כחוק בהשוואה לשנת 2012, שבה שהו </w:t>
      </w:r>
      <w:r w:rsidRPr="009261FF">
        <w:rPr>
          <w:rFonts w:hint="eastAsia"/>
          <w:sz w:val="24"/>
          <w:rtl/>
        </w:rPr>
        <w:t>בישראל</w:t>
      </w:r>
      <w:r w:rsidRPr="009261FF">
        <w:rPr>
          <w:sz w:val="24"/>
          <w:rtl/>
        </w:rPr>
        <w:t xml:space="preserve"> שלא כחוק </w:t>
      </w:r>
      <w:r w:rsidRPr="00C6269F">
        <w:rPr>
          <w:sz w:val="24"/>
          <w:rtl/>
        </w:rPr>
        <w:t>35,993</w:t>
      </w:r>
      <w:r w:rsidRPr="009261FF">
        <w:rPr>
          <w:sz w:val="24"/>
          <w:rtl/>
        </w:rPr>
        <w:t xml:space="preserve"> תיירים.</w:t>
      </w:r>
    </w:p>
    <w:p w:rsidR="007277EF" w:rsidRPr="007277EF" w:rsidP="007277EF" w14:paraId="43FC0696" w14:textId="77777777">
      <w:pPr>
        <w:rPr>
          <w:rtl/>
        </w:rPr>
      </w:pPr>
    </w:p>
    <w:p w:rsidR="002D0C59" w:rsidP="007277EF" w14:paraId="36958D6C" w14:textId="77777777">
      <w:pPr>
        <w:spacing w:after="120" w:line="269" w:lineRule="auto"/>
        <w:jc w:val="center"/>
        <w:rPr>
          <w:sz w:val="24"/>
          <w:rtl/>
        </w:rPr>
      </w:pPr>
      <w:r w:rsidRPr="004D291A">
        <w:rPr>
          <w:rFonts w:hint="eastAsia"/>
          <w:b/>
          <w:bCs/>
          <w:sz w:val="24"/>
          <w:rtl/>
        </w:rPr>
        <w:t>תרשים</w:t>
      </w:r>
      <w:r w:rsidRPr="004D291A">
        <w:rPr>
          <w:b/>
          <w:bCs/>
          <w:sz w:val="24"/>
          <w:rtl/>
        </w:rPr>
        <w:t xml:space="preserve"> 6 : </w:t>
      </w:r>
      <w:r w:rsidRPr="004D291A">
        <w:rPr>
          <w:rFonts w:hint="eastAsia"/>
          <w:b/>
          <w:bCs/>
          <w:sz w:val="24"/>
          <w:rtl/>
        </w:rPr>
        <w:t>תיירים</w:t>
      </w:r>
      <w:r w:rsidRPr="00975B56">
        <w:rPr>
          <w:b/>
          <w:bCs/>
          <w:sz w:val="24"/>
          <w:rtl/>
        </w:rPr>
        <w:t xml:space="preserve"> </w:t>
      </w:r>
      <w:r w:rsidRPr="00975B56">
        <w:rPr>
          <w:rFonts w:hint="eastAsia"/>
          <w:b/>
          <w:bCs/>
          <w:sz w:val="24"/>
          <w:rtl/>
        </w:rPr>
        <w:t>ששהו</w:t>
      </w:r>
      <w:r w:rsidRPr="00975B56">
        <w:rPr>
          <w:b/>
          <w:bCs/>
          <w:sz w:val="24"/>
          <w:rtl/>
        </w:rPr>
        <w:t xml:space="preserve"> </w:t>
      </w:r>
      <w:r w:rsidRPr="00975B56">
        <w:rPr>
          <w:rFonts w:hint="eastAsia"/>
          <w:b/>
          <w:bCs/>
          <w:sz w:val="24"/>
          <w:rtl/>
        </w:rPr>
        <w:t>בישראל</w:t>
      </w:r>
      <w:r w:rsidRPr="00975B56">
        <w:rPr>
          <w:b/>
          <w:bCs/>
          <w:sz w:val="24"/>
          <w:rtl/>
        </w:rPr>
        <w:t xml:space="preserve"> </w:t>
      </w:r>
      <w:r w:rsidRPr="00975B56">
        <w:rPr>
          <w:rFonts w:hint="eastAsia"/>
          <w:b/>
          <w:bCs/>
          <w:sz w:val="24"/>
          <w:rtl/>
        </w:rPr>
        <w:t>שלא</w:t>
      </w:r>
      <w:r w:rsidRPr="00975B56">
        <w:rPr>
          <w:b/>
          <w:bCs/>
          <w:sz w:val="24"/>
          <w:rtl/>
        </w:rPr>
        <w:t xml:space="preserve"> </w:t>
      </w:r>
      <w:r w:rsidRPr="00975B56">
        <w:rPr>
          <w:rFonts w:hint="eastAsia"/>
          <w:b/>
          <w:bCs/>
          <w:sz w:val="24"/>
          <w:rtl/>
        </w:rPr>
        <w:t>כחוק</w:t>
      </w:r>
      <w:r w:rsidRPr="00F7401C">
        <w:rPr>
          <w:b/>
          <w:bCs/>
          <w:sz w:val="24"/>
          <w:rtl/>
        </w:rPr>
        <w:t>, 2013 - 2018</w:t>
      </w:r>
    </w:p>
    <w:p w:rsidR="002D0C59" w:rsidP="00AE0BE6" w14:paraId="225F356A" w14:textId="77777777">
      <w:pPr>
        <w:spacing w:line="269" w:lineRule="auto"/>
        <w:jc w:val="center"/>
        <w:rPr>
          <w:sz w:val="24"/>
          <w:rtl/>
        </w:rPr>
      </w:pPr>
      <w:r w:rsidRPr="00BC31C9">
        <w:rPr>
          <w:rFonts w:hint="cs"/>
          <w:noProof/>
          <w:rtl/>
        </w:rPr>
        <w:drawing>
          <wp:inline distT="0" distB="0" distL="0" distR="0">
            <wp:extent cx="5220335" cy="2757805"/>
            <wp:effectExtent l="0" t="0" r="0" b="444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03913" name="Picture 10"/>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2757805"/>
                    </a:xfrm>
                    <a:prstGeom prst="rect">
                      <a:avLst/>
                    </a:prstGeom>
                    <a:noFill/>
                    <a:ln>
                      <a:noFill/>
                    </a:ln>
                  </pic:spPr>
                </pic:pic>
              </a:graphicData>
            </a:graphic>
          </wp:inline>
        </w:drawing>
      </w:r>
    </w:p>
    <w:p w:rsidR="002D0C59" w:rsidP="007277EF" w14:paraId="3990DA6E" w14:textId="77777777">
      <w:pPr>
        <w:spacing w:before="120" w:line="269" w:lineRule="auto"/>
        <w:ind w:firstLine="312"/>
        <w:rPr>
          <w:rtl/>
        </w:rPr>
      </w:pPr>
      <w:r w:rsidRPr="00A21F5C">
        <w:rPr>
          <w:rFonts w:hint="cs"/>
          <w:sz w:val="16"/>
          <w:szCs w:val="20"/>
          <w:rtl/>
        </w:rPr>
        <w:t>המקור: נתוני רשות האוכלוסין</w:t>
      </w:r>
      <w:r>
        <w:rPr>
          <w:rFonts w:hint="cs"/>
          <w:sz w:val="16"/>
          <w:szCs w:val="20"/>
          <w:rtl/>
        </w:rPr>
        <w:t>,</w:t>
      </w:r>
      <w:r w:rsidRPr="00A21F5C">
        <w:rPr>
          <w:rFonts w:hint="cs"/>
          <w:sz w:val="16"/>
          <w:szCs w:val="20"/>
          <w:rtl/>
        </w:rPr>
        <w:t xml:space="preserve"> בעיבוד משרד מבקר המדינה</w:t>
      </w:r>
      <w:r w:rsidRPr="00A21F5C">
        <w:rPr>
          <w:rFonts w:hint="cs"/>
          <w:rtl/>
        </w:rPr>
        <w:t>.</w:t>
      </w:r>
    </w:p>
    <w:p w:rsidR="000D2E94" w:rsidP="007277EF" w14:paraId="05188D46" w14:textId="77777777">
      <w:pPr>
        <w:spacing w:before="120" w:line="269" w:lineRule="auto"/>
        <w:ind w:firstLine="312"/>
        <w:rPr>
          <w:rtl/>
        </w:rPr>
      </w:pPr>
    </w:p>
    <w:p w:rsidR="002D0C59" w:rsidRPr="004D291A" w:rsidP="00AE0BE6" w14:paraId="19F06BB5" w14:textId="77777777">
      <w:pPr>
        <w:pStyle w:val="a"/>
        <w:spacing w:line="269" w:lineRule="auto"/>
        <w:rPr>
          <w:rtl/>
        </w:rPr>
      </w:pPr>
    </w:p>
    <w:p w:rsidR="002D0C59" w:rsidP="00AE0BE6" w14:paraId="3760B7DA" w14:textId="77777777">
      <w:pPr>
        <w:spacing w:line="269" w:lineRule="auto"/>
        <w:rPr>
          <w:sz w:val="24"/>
          <w:rtl/>
        </w:rPr>
      </w:pPr>
      <w:r w:rsidRPr="004D291A">
        <w:rPr>
          <w:rFonts w:hint="eastAsia"/>
          <w:sz w:val="24"/>
          <w:rtl/>
        </w:rPr>
        <w:t>מהתרשים</w:t>
      </w:r>
      <w:r w:rsidRPr="004D291A">
        <w:rPr>
          <w:sz w:val="24"/>
          <w:rtl/>
        </w:rPr>
        <w:t xml:space="preserve"> </w:t>
      </w:r>
      <w:r w:rsidRPr="004D291A">
        <w:rPr>
          <w:rFonts w:hint="eastAsia"/>
          <w:sz w:val="24"/>
          <w:rtl/>
        </w:rPr>
        <w:t>עולה</w:t>
      </w:r>
      <w:r w:rsidRPr="004D291A">
        <w:rPr>
          <w:sz w:val="24"/>
          <w:rtl/>
        </w:rPr>
        <w:t xml:space="preserve"> </w:t>
      </w:r>
      <w:r w:rsidRPr="004D291A">
        <w:rPr>
          <w:rFonts w:hint="eastAsia"/>
          <w:sz w:val="24"/>
          <w:rtl/>
        </w:rPr>
        <w:t>כי</w:t>
      </w:r>
      <w:r w:rsidRPr="004D291A">
        <w:rPr>
          <w:sz w:val="24"/>
          <w:rtl/>
        </w:rPr>
        <w:t xml:space="preserve"> </w:t>
      </w:r>
      <w:r w:rsidRPr="004D291A">
        <w:rPr>
          <w:rFonts w:hint="eastAsia"/>
          <w:sz w:val="24"/>
          <w:rtl/>
        </w:rPr>
        <w:t>בשנים</w:t>
      </w:r>
      <w:r w:rsidRPr="00975B56">
        <w:rPr>
          <w:sz w:val="24"/>
          <w:rtl/>
        </w:rPr>
        <w:t xml:space="preserve"> 2015 </w:t>
      </w:r>
      <w:r w:rsidRPr="00975B56">
        <w:rPr>
          <w:rFonts w:hint="eastAsia"/>
          <w:sz w:val="24"/>
          <w:rtl/>
        </w:rPr>
        <w:t>עד</w:t>
      </w:r>
      <w:r w:rsidRPr="00975B56">
        <w:rPr>
          <w:sz w:val="24"/>
          <w:rtl/>
        </w:rPr>
        <w:t xml:space="preserve"> 2018 </w:t>
      </w:r>
      <w:r w:rsidRPr="00975B56">
        <w:rPr>
          <w:rFonts w:hint="eastAsia"/>
          <w:sz w:val="24"/>
          <w:rtl/>
        </w:rPr>
        <w:t>חלה</w:t>
      </w:r>
      <w:r w:rsidRPr="00975B56">
        <w:rPr>
          <w:sz w:val="24"/>
          <w:rtl/>
        </w:rPr>
        <w:t xml:space="preserve"> </w:t>
      </w:r>
      <w:r w:rsidRPr="00975B56">
        <w:rPr>
          <w:rFonts w:hint="eastAsia"/>
          <w:sz w:val="24"/>
          <w:rtl/>
        </w:rPr>
        <w:t>עליי</w:t>
      </w:r>
      <w:r w:rsidRPr="00F7401C">
        <w:rPr>
          <w:rFonts w:hint="eastAsia"/>
          <w:sz w:val="24"/>
          <w:rtl/>
        </w:rPr>
        <w:t>ה</w:t>
      </w:r>
      <w:r w:rsidRPr="00F7401C">
        <w:rPr>
          <w:sz w:val="24"/>
          <w:rtl/>
        </w:rPr>
        <w:t xml:space="preserve"> </w:t>
      </w:r>
      <w:r w:rsidRPr="00F7401C">
        <w:rPr>
          <w:rFonts w:hint="eastAsia"/>
          <w:sz w:val="24"/>
          <w:rtl/>
        </w:rPr>
        <w:t>נ</w:t>
      </w:r>
      <w:r w:rsidRPr="00395DFC">
        <w:rPr>
          <w:rFonts w:hint="eastAsia"/>
          <w:sz w:val="24"/>
          <w:rtl/>
        </w:rPr>
        <w:t>יכרת</w:t>
      </w:r>
      <w:r w:rsidRPr="00395DFC">
        <w:rPr>
          <w:sz w:val="24"/>
          <w:rtl/>
        </w:rPr>
        <w:t xml:space="preserve"> </w:t>
      </w:r>
      <w:r w:rsidRPr="00395DFC">
        <w:rPr>
          <w:rFonts w:hint="eastAsia"/>
          <w:sz w:val="24"/>
          <w:rtl/>
        </w:rPr>
        <w:t>במספר</w:t>
      </w:r>
      <w:r w:rsidRPr="00395DFC">
        <w:rPr>
          <w:sz w:val="24"/>
          <w:rtl/>
        </w:rPr>
        <w:t xml:space="preserve"> </w:t>
      </w:r>
      <w:r w:rsidRPr="00395DFC">
        <w:rPr>
          <w:rFonts w:hint="eastAsia"/>
          <w:sz w:val="24"/>
          <w:rtl/>
        </w:rPr>
        <w:t>התיירים</w:t>
      </w:r>
      <w:r w:rsidRPr="00395DFC">
        <w:rPr>
          <w:sz w:val="24"/>
          <w:rtl/>
        </w:rPr>
        <w:t xml:space="preserve"> </w:t>
      </w:r>
      <w:r w:rsidRPr="00D21A77">
        <w:rPr>
          <w:rFonts w:hint="eastAsia"/>
          <w:sz w:val="24"/>
          <w:rtl/>
        </w:rPr>
        <w:t>ששהו</w:t>
      </w:r>
      <w:r w:rsidRPr="00D21A77">
        <w:rPr>
          <w:sz w:val="24"/>
          <w:rtl/>
        </w:rPr>
        <w:t xml:space="preserve"> </w:t>
      </w:r>
      <w:r w:rsidRPr="00D21A77">
        <w:rPr>
          <w:rFonts w:hint="eastAsia"/>
          <w:sz w:val="24"/>
          <w:rtl/>
        </w:rPr>
        <w:t>בישראל</w:t>
      </w:r>
      <w:r w:rsidRPr="00D21A77">
        <w:rPr>
          <w:sz w:val="24"/>
          <w:rtl/>
        </w:rPr>
        <w:t xml:space="preserve"> </w:t>
      </w:r>
      <w:r w:rsidRPr="00D21A77">
        <w:rPr>
          <w:rFonts w:hint="eastAsia"/>
          <w:sz w:val="24"/>
          <w:rtl/>
        </w:rPr>
        <w:t>שלא</w:t>
      </w:r>
      <w:r w:rsidRPr="00D21A77">
        <w:rPr>
          <w:sz w:val="24"/>
          <w:rtl/>
        </w:rPr>
        <w:t xml:space="preserve"> </w:t>
      </w:r>
      <w:r w:rsidRPr="004D291A">
        <w:rPr>
          <w:rFonts w:hint="eastAsia"/>
          <w:sz w:val="24"/>
          <w:rtl/>
        </w:rPr>
        <w:t>כחוק</w:t>
      </w:r>
      <w:r w:rsidRPr="004D291A">
        <w:rPr>
          <w:sz w:val="24"/>
          <w:rtl/>
        </w:rPr>
        <w:t>.</w:t>
      </w:r>
    </w:p>
    <w:p w:rsidR="007277EF" w:rsidP="00AE0BE6" w14:paraId="1479E969" w14:textId="77777777">
      <w:pPr>
        <w:spacing w:line="269" w:lineRule="auto"/>
        <w:rPr>
          <w:sz w:val="24"/>
          <w:rtl/>
        </w:rPr>
      </w:pPr>
    </w:p>
    <w:p w:rsidR="002D0C59" w:rsidRPr="002D0C59" w:rsidP="00AE0BE6" w14:paraId="23FC1200" w14:textId="77777777">
      <w:pPr>
        <w:pStyle w:val="Heading3"/>
        <w:spacing w:before="0" w:line="269" w:lineRule="auto"/>
        <w:rPr>
          <w:rtl/>
        </w:rPr>
      </w:pPr>
      <w:r w:rsidRPr="002D0C59">
        <w:rPr>
          <w:rFonts w:hint="cs"/>
          <w:rtl/>
        </w:rPr>
        <w:t>משך הטיפול בתיירים הנכנסים בנתב"ג</w:t>
      </w:r>
    </w:p>
    <w:p w:rsidR="002D0C59" w:rsidP="00AE0BE6" w14:paraId="184B4DF6" w14:textId="77777777">
      <w:pPr>
        <w:pStyle w:val="a"/>
        <w:spacing w:line="269" w:lineRule="auto"/>
        <w:rPr>
          <w:rtl/>
        </w:rPr>
      </w:pPr>
    </w:p>
    <w:p w:rsidR="002D0C59" w:rsidRPr="00540C7A" w:rsidP="00AE0BE6" w14:paraId="1BFAA68B" w14:textId="77777777">
      <w:pPr>
        <w:spacing w:line="269" w:lineRule="auto"/>
        <w:rPr>
          <w:b/>
          <w:bCs/>
          <w:sz w:val="24"/>
        </w:rPr>
      </w:pPr>
      <w:r w:rsidRPr="00540C7A">
        <w:rPr>
          <w:rFonts w:hint="eastAsia"/>
          <w:sz w:val="24"/>
          <w:rtl/>
        </w:rPr>
        <w:t>הביקורת</w:t>
      </w:r>
      <w:r w:rsidRPr="00540C7A">
        <w:rPr>
          <w:sz w:val="24"/>
          <w:rtl/>
        </w:rPr>
        <w:t xml:space="preserve"> בגבול נעשית </w:t>
      </w:r>
      <w:r>
        <w:rPr>
          <w:rFonts w:hint="cs"/>
          <w:sz w:val="24"/>
          <w:rtl/>
        </w:rPr>
        <w:t>ב</w:t>
      </w:r>
      <w:r w:rsidRPr="00540C7A">
        <w:rPr>
          <w:sz w:val="24"/>
          <w:rtl/>
        </w:rPr>
        <w:t xml:space="preserve">ידי מינהל ביקורת הגבולות </w:t>
      </w:r>
      <w:r w:rsidRPr="00540C7A">
        <w:rPr>
          <w:rFonts w:hint="eastAsia"/>
          <w:sz w:val="24"/>
          <w:rtl/>
        </w:rPr>
        <w:t>בשני</w:t>
      </w:r>
      <w:r w:rsidRPr="00540C7A">
        <w:rPr>
          <w:sz w:val="24"/>
          <w:rtl/>
        </w:rPr>
        <w:t xml:space="preserve"> מערכים: </w:t>
      </w:r>
      <w:r w:rsidRPr="00540C7A">
        <w:rPr>
          <w:rFonts w:hint="eastAsia"/>
          <w:sz w:val="24"/>
          <w:rtl/>
        </w:rPr>
        <w:t>קו</w:t>
      </w:r>
      <w:r w:rsidRPr="00540C7A">
        <w:rPr>
          <w:sz w:val="24"/>
          <w:rtl/>
        </w:rPr>
        <w:t xml:space="preserve"> </w:t>
      </w:r>
      <w:r w:rsidRPr="00540C7A">
        <w:rPr>
          <w:rFonts w:hint="eastAsia"/>
          <w:sz w:val="24"/>
          <w:rtl/>
        </w:rPr>
        <w:t>קדמי</w:t>
      </w:r>
      <w:r w:rsidRPr="00540C7A">
        <w:rPr>
          <w:sz w:val="24"/>
          <w:rtl/>
        </w:rPr>
        <w:t xml:space="preserve"> - שבו </w:t>
      </w:r>
      <w:r w:rsidRPr="00540C7A">
        <w:rPr>
          <w:rFonts w:hint="eastAsia"/>
          <w:sz w:val="24"/>
          <w:rtl/>
        </w:rPr>
        <w:t>מצויים</w:t>
      </w:r>
      <w:r w:rsidRPr="00540C7A">
        <w:rPr>
          <w:sz w:val="24"/>
          <w:rtl/>
        </w:rPr>
        <w:t xml:space="preserve"> </w:t>
      </w:r>
      <w:r w:rsidRPr="00540C7A">
        <w:rPr>
          <w:rFonts w:hint="eastAsia"/>
          <w:sz w:val="24"/>
          <w:rtl/>
        </w:rPr>
        <w:t>בקרי</w:t>
      </w:r>
      <w:r w:rsidRPr="00540C7A">
        <w:rPr>
          <w:sz w:val="24"/>
          <w:rtl/>
        </w:rPr>
        <w:t xml:space="preserve"> </w:t>
      </w:r>
      <w:r w:rsidRPr="00540C7A">
        <w:rPr>
          <w:rFonts w:hint="eastAsia"/>
          <w:sz w:val="24"/>
          <w:rtl/>
        </w:rPr>
        <w:t>הגבול</w:t>
      </w:r>
      <w:r w:rsidRPr="00540C7A">
        <w:rPr>
          <w:sz w:val="24"/>
          <w:rtl/>
        </w:rPr>
        <w:t xml:space="preserve"> האחראים על </w:t>
      </w:r>
      <w:r w:rsidRPr="00540C7A">
        <w:rPr>
          <w:rFonts w:hint="eastAsia"/>
          <w:sz w:val="24"/>
          <w:rtl/>
        </w:rPr>
        <w:t>בדיקה</w:t>
      </w:r>
      <w:r w:rsidRPr="00540C7A">
        <w:rPr>
          <w:sz w:val="24"/>
          <w:rtl/>
        </w:rPr>
        <w:t xml:space="preserve"> </w:t>
      </w:r>
      <w:r w:rsidRPr="00540C7A">
        <w:rPr>
          <w:rFonts w:hint="eastAsia"/>
          <w:sz w:val="24"/>
          <w:rtl/>
        </w:rPr>
        <w:t>אחידה</w:t>
      </w:r>
      <w:r w:rsidRPr="00540C7A">
        <w:rPr>
          <w:sz w:val="24"/>
          <w:rtl/>
        </w:rPr>
        <w:t xml:space="preserve"> </w:t>
      </w:r>
      <w:r w:rsidRPr="00540C7A">
        <w:rPr>
          <w:rFonts w:hint="eastAsia"/>
          <w:sz w:val="24"/>
          <w:rtl/>
        </w:rPr>
        <w:t>של</w:t>
      </w:r>
      <w:r w:rsidRPr="00540C7A">
        <w:rPr>
          <w:sz w:val="24"/>
          <w:rtl/>
        </w:rPr>
        <w:t xml:space="preserve"> </w:t>
      </w:r>
      <w:r w:rsidRPr="00540C7A">
        <w:rPr>
          <w:rFonts w:hint="eastAsia"/>
          <w:sz w:val="24"/>
          <w:rtl/>
        </w:rPr>
        <w:t>כל</w:t>
      </w:r>
      <w:r w:rsidRPr="00540C7A">
        <w:rPr>
          <w:sz w:val="24"/>
          <w:rtl/>
        </w:rPr>
        <w:t xml:space="preserve"> </w:t>
      </w:r>
      <w:r w:rsidRPr="00540C7A">
        <w:rPr>
          <w:rFonts w:hint="eastAsia"/>
          <w:sz w:val="24"/>
          <w:rtl/>
        </w:rPr>
        <w:t>הנוסעים</w:t>
      </w:r>
      <w:r w:rsidRPr="00540C7A">
        <w:rPr>
          <w:sz w:val="24"/>
          <w:rtl/>
        </w:rPr>
        <w:t xml:space="preserve"> (כמפורט </w:t>
      </w:r>
      <w:r w:rsidRPr="00540C7A">
        <w:rPr>
          <w:rFonts w:hint="eastAsia"/>
          <w:sz w:val="24"/>
          <w:rtl/>
        </w:rPr>
        <w:t>להלן</w:t>
      </w:r>
      <w:r w:rsidRPr="00540C7A">
        <w:rPr>
          <w:sz w:val="24"/>
          <w:rtl/>
        </w:rPr>
        <w:t xml:space="preserve">), </w:t>
      </w:r>
      <w:r w:rsidRPr="00540C7A">
        <w:rPr>
          <w:rFonts w:hint="eastAsia"/>
          <w:sz w:val="24"/>
          <w:rtl/>
        </w:rPr>
        <w:t>וקו</w:t>
      </w:r>
      <w:r w:rsidRPr="00540C7A">
        <w:rPr>
          <w:sz w:val="24"/>
          <w:rtl/>
        </w:rPr>
        <w:t xml:space="preserve"> </w:t>
      </w:r>
      <w:r w:rsidRPr="00540C7A">
        <w:rPr>
          <w:rFonts w:hint="eastAsia"/>
          <w:sz w:val="24"/>
          <w:rtl/>
        </w:rPr>
        <w:t>אחורי</w:t>
      </w:r>
      <w:r w:rsidRPr="00540C7A">
        <w:rPr>
          <w:sz w:val="24"/>
          <w:rtl/>
        </w:rPr>
        <w:t xml:space="preserve"> - שבו </w:t>
      </w:r>
      <w:r w:rsidRPr="00540C7A">
        <w:rPr>
          <w:rFonts w:hint="eastAsia"/>
          <w:sz w:val="24"/>
          <w:rtl/>
        </w:rPr>
        <w:t>מצויים</w:t>
      </w:r>
      <w:r w:rsidRPr="00540C7A">
        <w:rPr>
          <w:sz w:val="24"/>
          <w:rtl/>
        </w:rPr>
        <w:t xml:space="preserve"> </w:t>
      </w:r>
      <w:r>
        <w:rPr>
          <w:rFonts w:hint="cs"/>
          <w:sz w:val="24"/>
          <w:rtl/>
        </w:rPr>
        <w:t>ה</w:t>
      </w:r>
      <w:r w:rsidRPr="00540C7A">
        <w:rPr>
          <w:rFonts w:hint="eastAsia"/>
          <w:sz w:val="24"/>
          <w:rtl/>
        </w:rPr>
        <w:t>אחראי</w:t>
      </w:r>
      <w:r>
        <w:rPr>
          <w:rFonts w:hint="cs"/>
          <w:sz w:val="24"/>
          <w:rtl/>
        </w:rPr>
        <w:t>ם</w:t>
      </w:r>
      <w:r w:rsidRPr="00540C7A">
        <w:rPr>
          <w:sz w:val="24"/>
          <w:rtl/>
        </w:rPr>
        <w:t xml:space="preserve"> </w:t>
      </w:r>
      <w:r>
        <w:rPr>
          <w:rFonts w:hint="cs"/>
          <w:sz w:val="24"/>
          <w:rtl/>
        </w:rPr>
        <w:t>ל</w:t>
      </w:r>
      <w:r w:rsidRPr="00540C7A">
        <w:rPr>
          <w:rFonts w:hint="eastAsia"/>
          <w:sz w:val="24"/>
          <w:rtl/>
        </w:rPr>
        <w:t>משמרת</w:t>
      </w:r>
      <w:r w:rsidRPr="00540C7A">
        <w:rPr>
          <w:sz w:val="24"/>
          <w:rtl/>
        </w:rPr>
        <w:t xml:space="preserve"> ובקרים בכירים, </w:t>
      </w:r>
      <w:r w:rsidRPr="00540C7A">
        <w:rPr>
          <w:rFonts w:hint="eastAsia"/>
          <w:sz w:val="24"/>
          <w:rtl/>
        </w:rPr>
        <w:t>והם</w:t>
      </w:r>
      <w:r w:rsidRPr="00540C7A">
        <w:rPr>
          <w:sz w:val="24"/>
          <w:rtl/>
        </w:rPr>
        <w:t xml:space="preserve"> </w:t>
      </w:r>
      <w:r w:rsidRPr="00540C7A">
        <w:rPr>
          <w:rFonts w:hint="eastAsia"/>
          <w:sz w:val="24"/>
          <w:rtl/>
        </w:rPr>
        <w:t>אחראים</w:t>
      </w:r>
      <w:r w:rsidRPr="00540C7A">
        <w:rPr>
          <w:sz w:val="24"/>
          <w:rtl/>
        </w:rPr>
        <w:t xml:space="preserve"> </w:t>
      </w:r>
      <w:r w:rsidRPr="00540C7A">
        <w:rPr>
          <w:rFonts w:hint="eastAsia"/>
          <w:sz w:val="24"/>
          <w:rtl/>
        </w:rPr>
        <w:t>לבדיקה</w:t>
      </w:r>
      <w:r w:rsidRPr="00540C7A">
        <w:rPr>
          <w:sz w:val="24"/>
          <w:rtl/>
        </w:rPr>
        <w:t xml:space="preserve"> </w:t>
      </w:r>
      <w:r w:rsidRPr="00540C7A">
        <w:rPr>
          <w:rFonts w:hint="eastAsia"/>
          <w:sz w:val="24"/>
          <w:rtl/>
        </w:rPr>
        <w:t>פרטנית</w:t>
      </w:r>
      <w:r w:rsidRPr="00540C7A">
        <w:rPr>
          <w:sz w:val="24"/>
          <w:rtl/>
        </w:rPr>
        <w:t xml:space="preserve"> </w:t>
      </w:r>
      <w:r w:rsidRPr="00540C7A">
        <w:rPr>
          <w:rFonts w:hint="eastAsia"/>
          <w:sz w:val="24"/>
          <w:rtl/>
        </w:rPr>
        <w:t>של</w:t>
      </w:r>
      <w:r w:rsidRPr="00540C7A">
        <w:rPr>
          <w:sz w:val="24"/>
          <w:rtl/>
        </w:rPr>
        <w:t xml:space="preserve"> </w:t>
      </w:r>
      <w:r w:rsidRPr="00540C7A">
        <w:rPr>
          <w:rFonts w:hint="eastAsia"/>
          <w:sz w:val="24"/>
          <w:rtl/>
        </w:rPr>
        <w:t>חלק</w:t>
      </w:r>
      <w:r w:rsidRPr="00540C7A">
        <w:rPr>
          <w:sz w:val="24"/>
          <w:rtl/>
        </w:rPr>
        <w:t xml:space="preserve"> </w:t>
      </w:r>
      <w:r w:rsidRPr="00540C7A">
        <w:rPr>
          <w:rFonts w:hint="eastAsia"/>
          <w:sz w:val="24"/>
          <w:rtl/>
        </w:rPr>
        <w:t>מן</w:t>
      </w:r>
      <w:r w:rsidRPr="00540C7A">
        <w:rPr>
          <w:sz w:val="24"/>
          <w:rtl/>
        </w:rPr>
        <w:t xml:space="preserve"> </w:t>
      </w:r>
      <w:r w:rsidRPr="00540C7A">
        <w:rPr>
          <w:rFonts w:hint="eastAsia"/>
          <w:sz w:val="24"/>
          <w:rtl/>
        </w:rPr>
        <w:t>הנוסעים</w:t>
      </w:r>
      <w:r w:rsidRPr="00540C7A">
        <w:rPr>
          <w:rFonts w:hint="cs"/>
          <w:sz w:val="24"/>
          <w:rtl/>
        </w:rPr>
        <w:t xml:space="preserve"> </w:t>
      </w:r>
      <w:r w:rsidRPr="00540C7A">
        <w:rPr>
          <w:rFonts w:hint="cs"/>
          <w:sz w:val="24"/>
          <w:rtl/>
        </w:rPr>
        <w:t>שהועברו לטיפולם מהקו הקדמי</w:t>
      </w:r>
      <w:r w:rsidRPr="00540C7A">
        <w:rPr>
          <w:sz w:val="24"/>
          <w:rtl/>
        </w:rPr>
        <w:t xml:space="preserve">. </w:t>
      </w:r>
      <w:r w:rsidRPr="00540C7A">
        <w:rPr>
          <w:rFonts w:hint="eastAsia"/>
          <w:sz w:val="24"/>
          <w:rtl/>
        </w:rPr>
        <w:t>ככלל</w:t>
      </w:r>
      <w:r w:rsidRPr="00540C7A">
        <w:rPr>
          <w:sz w:val="24"/>
          <w:rtl/>
        </w:rPr>
        <w:t xml:space="preserve">, הצורך בבדיקה פרטנית עולה מממצאי הבדיקה האחידה </w:t>
      </w:r>
      <w:r w:rsidRPr="00540C7A">
        <w:rPr>
          <w:rFonts w:hint="eastAsia"/>
          <w:sz w:val="24"/>
          <w:rtl/>
        </w:rPr>
        <w:t>על</w:t>
      </w:r>
      <w:r w:rsidRPr="00540C7A">
        <w:rPr>
          <w:sz w:val="24"/>
          <w:rtl/>
        </w:rPr>
        <w:t xml:space="preserve"> </w:t>
      </w:r>
      <w:r w:rsidRPr="00540C7A">
        <w:rPr>
          <w:rFonts w:hint="eastAsia"/>
          <w:sz w:val="24"/>
          <w:rtl/>
        </w:rPr>
        <w:t>פי</w:t>
      </w:r>
      <w:r w:rsidRPr="00540C7A">
        <w:rPr>
          <w:sz w:val="24"/>
          <w:rtl/>
        </w:rPr>
        <w:t xml:space="preserve"> </w:t>
      </w:r>
      <w:r w:rsidRPr="00540C7A">
        <w:rPr>
          <w:rFonts w:hint="eastAsia"/>
          <w:sz w:val="24"/>
          <w:rtl/>
        </w:rPr>
        <w:t>הכללים</w:t>
      </w:r>
      <w:r w:rsidRPr="00540C7A">
        <w:rPr>
          <w:sz w:val="24"/>
          <w:rtl/>
        </w:rPr>
        <w:t xml:space="preserve"> </w:t>
      </w:r>
      <w:r w:rsidRPr="00540C7A">
        <w:rPr>
          <w:rFonts w:hint="eastAsia"/>
          <w:sz w:val="24"/>
          <w:rtl/>
        </w:rPr>
        <w:t>שקבע</w:t>
      </w:r>
      <w:r w:rsidRPr="00540C7A">
        <w:rPr>
          <w:sz w:val="24"/>
          <w:rtl/>
        </w:rPr>
        <w:t xml:space="preserve"> </w:t>
      </w:r>
      <w:r w:rsidRPr="00540C7A">
        <w:rPr>
          <w:rFonts w:hint="eastAsia"/>
          <w:sz w:val="24"/>
          <w:rtl/>
        </w:rPr>
        <w:t>מינהל</w:t>
      </w:r>
      <w:r w:rsidRPr="00540C7A">
        <w:rPr>
          <w:sz w:val="24"/>
          <w:rtl/>
        </w:rPr>
        <w:t xml:space="preserve"> </w:t>
      </w:r>
      <w:r w:rsidRPr="00540C7A">
        <w:rPr>
          <w:rFonts w:hint="eastAsia"/>
          <w:sz w:val="24"/>
          <w:rtl/>
        </w:rPr>
        <w:t>ביקורת</w:t>
      </w:r>
      <w:r w:rsidRPr="00540C7A">
        <w:rPr>
          <w:sz w:val="24"/>
          <w:rtl/>
        </w:rPr>
        <w:t xml:space="preserve"> </w:t>
      </w:r>
      <w:r w:rsidRPr="00540C7A">
        <w:rPr>
          <w:rFonts w:hint="eastAsia"/>
          <w:sz w:val="24"/>
          <w:rtl/>
        </w:rPr>
        <w:t>הגבולות</w:t>
      </w:r>
      <w:r w:rsidRPr="00540C7A">
        <w:rPr>
          <w:sz w:val="24"/>
          <w:rtl/>
        </w:rPr>
        <w:t>.</w:t>
      </w:r>
      <w:r w:rsidRPr="00540C7A">
        <w:rPr>
          <w:rFonts w:hint="cs"/>
          <w:sz w:val="24"/>
          <w:rtl/>
        </w:rPr>
        <w:t xml:space="preserve"> </w:t>
      </w:r>
      <w:r w:rsidRPr="00540C7A">
        <w:rPr>
          <w:rFonts w:hint="eastAsia"/>
          <w:sz w:val="24"/>
          <w:rtl/>
        </w:rPr>
        <w:t>תרשים</w:t>
      </w:r>
      <w:r w:rsidRPr="00540C7A">
        <w:rPr>
          <w:sz w:val="24"/>
          <w:rtl/>
        </w:rPr>
        <w:t xml:space="preserve"> </w:t>
      </w:r>
      <w:r w:rsidRPr="00540C7A">
        <w:rPr>
          <w:rFonts w:hint="cs"/>
          <w:sz w:val="24"/>
          <w:rtl/>
        </w:rPr>
        <w:t>7</w:t>
      </w:r>
      <w:r w:rsidRPr="00540C7A">
        <w:rPr>
          <w:sz w:val="24"/>
          <w:rtl/>
        </w:rPr>
        <w:t xml:space="preserve"> </w:t>
      </w:r>
      <w:r w:rsidRPr="00540C7A">
        <w:rPr>
          <w:rFonts w:hint="cs"/>
          <w:sz w:val="24"/>
          <w:rtl/>
        </w:rPr>
        <w:t xml:space="preserve">שלהלן </w:t>
      </w:r>
      <w:r w:rsidRPr="00540C7A">
        <w:rPr>
          <w:rFonts w:hint="eastAsia"/>
          <w:sz w:val="24"/>
          <w:rtl/>
        </w:rPr>
        <w:t>מפרט</w:t>
      </w:r>
      <w:r w:rsidRPr="00540C7A">
        <w:rPr>
          <w:sz w:val="24"/>
          <w:rtl/>
        </w:rPr>
        <w:t xml:space="preserve"> את חמשת השלבים של </w:t>
      </w:r>
      <w:r w:rsidRPr="00540C7A">
        <w:rPr>
          <w:rFonts w:hint="cs"/>
          <w:sz w:val="24"/>
          <w:rtl/>
        </w:rPr>
        <w:t>הבדיקה</w:t>
      </w:r>
      <w:r w:rsidRPr="00540C7A">
        <w:rPr>
          <w:sz w:val="24"/>
          <w:rtl/>
        </w:rPr>
        <w:t xml:space="preserve"> </w:t>
      </w:r>
      <w:r w:rsidRPr="00540C7A">
        <w:rPr>
          <w:rFonts w:hint="eastAsia"/>
          <w:sz w:val="24"/>
          <w:rtl/>
        </w:rPr>
        <w:t>האחיד</w:t>
      </w:r>
      <w:r w:rsidRPr="00540C7A">
        <w:rPr>
          <w:rFonts w:hint="cs"/>
          <w:sz w:val="24"/>
          <w:rtl/>
        </w:rPr>
        <w:t>ה</w:t>
      </w:r>
      <w:r>
        <w:rPr>
          <w:rStyle w:val="FootnoteReference1"/>
          <w:sz w:val="24"/>
          <w:rtl/>
        </w:rPr>
        <w:footnoteReference w:id="15"/>
      </w:r>
      <w:r w:rsidRPr="00540C7A">
        <w:rPr>
          <w:rFonts w:hint="cs"/>
          <w:sz w:val="24"/>
          <w:rtl/>
        </w:rPr>
        <w:t>.</w:t>
      </w:r>
      <w:r w:rsidRPr="00540C7A">
        <w:rPr>
          <w:sz w:val="24"/>
          <w:rtl/>
        </w:rPr>
        <w:t xml:space="preserve"> </w:t>
      </w:r>
    </w:p>
    <w:p w:rsidR="002D0C59" w:rsidRPr="004D3D2D" w:rsidP="00AE0BE6" w14:paraId="50CFAB97" w14:textId="77777777">
      <w:pPr>
        <w:pStyle w:val="a"/>
        <w:spacing w:line="269" w:lineRule="auto"/>
        <w:rPr>
          <w:rtl/>
        </w:rPr>
      </w:pPr>
    </w:p>
    <w:p w:rsidR="002D0C59" w:rsidP="007277EF" w14:paraId="49F6AA7A" w14:textId="77777777">
      <w:pPr>
        <w:spacing w:after="120" w:line="269" w:lineRule="auto"/>
        <w:ind w:left="312"/>
        <w:jc w:val="center"/>
        <w:rPr>
          <w:b/>
          <w:bCs/>
          <w:sz w:val="24"/>
          <w:rtl/>
        </w:rPr>
      </w:pPr>
      <w:r w:rsidRPr="00411DCC">
        <w:rPr>
          <w:rFonts w:hint="eastAsia"/>
          <w:b/>
          <w:bCs/>
          <w:sz w:val="24"/>
          <w:rtl/>
        </w:rPr>
        <w:t>תרשים</w:t>
      </w:r>
      <w:r>
        <w:rPr>
          <w:rFonts w:hint="cs"/>
          <w:b/>
          <w:bCs/>
          <w:sz w:val="24"/>
          <w:rtl/>
        </w:rPr>
        <w:t xml:space="preserve"> 7</w:t>
      </w:r>
      <w:r w:rsidRPr="00411DCC">
        <w:rPr>
          <w:b/>
          <w:bCs/>
          <w:sz w:val="24"/>
          <w:rtl/>
        </w:rPr>
        <w:t xml:space="preserve">: </w:t>
      </w:r>
      <w:r>
        <w:rPr>
          <w:rFonts w:hint="cs"/>
          <w:b/>
          <w:bCs/>
          <w:sz w:val="24"/>
          <w:rtl/>
        </w:rPr>
        <w:t>שלבי הבדיקה האחידה של הנוסעים העוברים במעבר הגבול</w:t>
      </w:r>
    </w:p>
    <w:p w:rsidR="002D0C59" w:rsidP="00AE0BE6" w14:paraId="16F6F65F" w14:textId="77777777">
      <w:pPr>
        <w:spacing w:line="269" w:lineRule="auto"/>
        <w:ind w:left="312"/>
        <w:jc w:val="center"/>
        <w:rPr>
          <w:b/>
          <w:bCs/>
          <w:sz w:val="24"/>
          <w:rtl/>
        </w:rPr>
      </w:pPr>
      <w:r>
        <w:rPr>
          <w:b/>
          <w:bCs/>
          <w:noProof/>
          <w:sz w:val="24"/>
          <w:rtl/>
        </w:rPr>
        <w:drawing>
          <wp:inline distT="0" distB="0" distL="0" distR="0">
            <wp:extent cx="4876800" cy="3562985"/>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71373" name="תרשים 7 - שלבי הבדיקה האחידה של הנוסעים העוברים במעבר הגבול-01.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76974" cy="3563112"/>
                    </a:xfrm>
                    <a:prstGeom prst="rect">
                      <a:avLst/>
                    </a:prstGeom>
                  </pic:spPr>
                </pic:pic>
              </a:graphicData>
            </a:graphic>
          </wp:inline>
        </w:drawing>
      </w:r>
    </w:p>
    <w:p w:rsidR="002D0C59" w:rsidP="007277EF" w14:paraId="1B564B25" w14:textId="77777777">
      <w:pPr>
        <w:spacing w:before="120" w:line="269" w:lineRule="auto"/>
        <w:ind w:left="312"/>
        <w:rPr>
          <w:szCs w:val="20"/>
          <w:rtl/>
        </w:rPr>
      </w:pPr>
      <w:r w:rsidRPr="00CD0E03">
        <w:rPr>
          <w:rFonts w:hint="eastAsia"/>
          <w:szCs w:val="20"/>
          <w:rtl/>
        </w:rPr>
        <w:t>המקור</w:t>
      </w:r>
      <w:r w:rsidRPr="00CD0E03">
        <w:rPr>
          <w:szCs w:val="20"/>
          <w:rtl/>
        </w:rPr>
        <w:t xml:space="preserve">: </w:t>
      </w:r>
      <w:r w:rsidRPr="00CD0E03">
        <w:rPr>
          <w:rFonts w:hint="eastAsia"/>
          <w:szCs w:val="20"/>
          <w:rtl/>
        </w:rPr>
        <w:t>רשות</w:t>
      </w:r>
      <w:r w:rsidRPr="00CD0E03">
        <w:rPr>
          <w:szCs w:val="20"/>
          <w:rtl/>
        </w:rPr>
        <w:t xml:space="preserve"> </w:t>
      </w:r>
      <w:r w:rsidRPr="00CD0E03">
        <w:rPr>
          <w:rFonts w:hint="eastAsia"/>
          <w:szCs w:val="20"/>
          <w:rtl/>
        </w:rPr>
        <w:t>האוכלוסין</w:t>
      </w:r>
      <w:r>
        <w:rPr>
          <w:rFonts w:hint="cs"/>
          <w:szCs w:val="20"/>
          <w:rtl/>
        </w:rPr>
        <w:t>, בעיבוד משרד מבקר המדינה.</w:t>
      </w:r>
    </w:p>
    <w:p w:rsidR="002D0C59" w:rsidP="00AE0BE6" w14:paraId="588D797F" w14:textId="77777777">
      <w:pPr>
        <w:pStyle w:val="a"/>
        <w:spacing w:line="269" w:lineRule="auto"/>
        <w:rPr>
          <w:rtl/>
        </w:rPr>
      </w:pPr>
    </w:p>
    <w:p w:rsidR="002D0C59" w:rsidP="00AE0BE6" w14:paraId="467AD9AC" w14:textId="77777777">
      <w:pPr>
        <w:spacing w:line="269" w:lineRule="auto"/>
        <w:ind w:left="312"/>
        <w:rPr>
          <w:sz w:val="24"/>
          <w:rtl/>
        </w:rPr>
      </w:pPr>
      <w:r w:rsidRPr="006A6AD6">
        <w:rPr>
          <w:sz w:val="24"/>
          <w:rtl/>
        </w:rPr>
        <w:t>הבדיקה האחידה נועד</w:t>
      </w:r>
      <w:r>
        <w:rPr>
          <w:rFonts w:hint="cs"/>
          <w:sz w:val="24"/>
          <w:rtl/>
        </w:rPr>
        <w:t>ה</w:t>
      </w:r>
      <w:r w:rsidRPr="006A6AD6">
        <w:rPr>
          <w:sz w:val="24"/>
          <w:rtl/>
        </w:rPr>
        <w:t xml:space="preserve"> </w:t>
      </w:r>
      <w:r>
        <w:rPr>
          <w:rFonts w:hint="cs"/>
          <w:sz w:val="24"/>
          <w:rtl/>
        </w:rPr>
        <w:t xml:space="preserve">בין השאר </w:t>
      </w:r>
      <w:r w:rsidRPr="006A6AD6">
        <w:rPr>
          <w:sz w:val="24"/>
          <w:rtl/>
        </w:rPr>
        <w:t xml:space="preserve">לשם קבלת מידע מהנוסע </w:t>
      </w:r>
      <w:r>
        <w:rPr>
          <w:rFonts w:hint="cs"/>
          <w:sz w:val="24"/>
          <w:rtl/>
        </w:rPr>
        <w:t xml:space="preserve">על נסיבות בקשתו להיכנס לארץ ולשם </w:t>
      </w:r>
      <w:r w:rsidRPr="006A6AD6">
        <w:rPr>
          <w:sz w:val="24"/>
          <w:rtl/>
        </w:rPr>
        <w:t>זיהוי סימנים מחשידים</w:t>
      </w:r>
      <w:r>
        <w:rPr>
          <w:rFonts w:hint="cs"/>
          <w:sz w:val="24"/>
          <w:rtl/>
        </w:rPr>
        <w:t xml:space="preserve"> (שמפורטים בנוהלי הרשות)</w:t>
      </w:r>
      <w:r w:rsidRPr="006A6AD6">
        <w:rPr>
          <w:sz w:val="24"/>
          <w:rtl/>
        </w:rPr>
        <w:t xml:space="preserve">. </w:t>
      </w:r>
      <w:r>
        <w:rPr>
          <w:rFonts w:hint="cs"/>
          <w:sz w:val="24"/>
          <w:rtl/>
        </w:rPr>
        <w:t xml:space="preserve">חלק </w:t>
      </w:r>
      <w:r>
        <w:rPr>
          <w:rFonts w:hint="cs"/>
          <w:sz w:val="24"/>
          <w:rtl/>
        </w:rPr>
        <w:t xml:space="preserve">מהבדיקה האחידה נעשה כך: הבקר סורק את הדרכון של הנוסע (או מקליד את פרטיו); לאחר הסריקה המערכת הממוחשבת של ביקורת הגבולות מעלה את המידע הקיים אודותיו; על הבקר להשוות בין פרטי הנוסע בדרכון לבין הפרטים שמופיעים במערכת הממוחשבת (ואשר עלו בעקבות הסריקה או הקלדת </w:t>
      </w:r>
      <w:r>
        <w:rPr>
          <w:rFonts w:hint="cs"/>
          <w:sz w:val="24"/>
          <w:rtl/>
        </w:rPr>
        <w:t>פרטי הדרכון); הבקר מתשאל את הנוסע, על פי הנדרש, גם על סמך המידע שהעלתה המערכת הממוחשבת</w:t>
      </w:r>
      <w:r w:rsidR="000C5449">
        <w:rPr>
          <w:rFonts w:hint="cs"/>
          <w:sz w:val="24"/>
          <w:rtl/>
        </w:rPr>
        <w:t xml:space="preserve">. כלומר, משימת התשאול </w:t>
      </w:r>
      <w:r w:rsidR="00BA5264">
        <w:rPr>
          <w:rFonts w:hint="cs"/>
          <w:sz w:val="24"/>
          <w:rtl/>
        </w:rPr>
        <w:t>מסתיימת</w:t>
      </w:r>
      <w:r w:rsidR="000C5449">
        <w:rPr>
          <w:rFonts w:hint="cs"/>
          <w:sz w:val="24"/>
          <w:rtl/>
        </w:rPr>
        <w:t xml:space="preserve"> רק לאחר הסריקה או ההקלדה והעלאת המידע מהמערכת הממוחשבת</w:t>
      </w:r>
      <w:r>
        <w:rPr>
          <w:rFonts w:hint="cs"/>
          <w:sz w:val="24"/>
          <w:rtl/>
        </w:rPr>
        <w:t>; אם במערכת הממוחשבת מצוינות התראות הנוגעות לנוסע - על הבקר להתייחס אליהן בשאלותיו ובמ</w:t>
      </w:r>
      <w:r>
        <w:rPr>
          <w:rFonts w:hint="cs"/>
          <w:sz w:val="24"/>
          <w:rtl/>
        </w:rPr>
        <w:t xml:space="preserve">ידת הצורך להפנותו לבדיקה בקו האחורי. </w:t>
      </w:r>
    </w:p>
    <w:p w:rsidR="002D0C59" w:rsidRPr="00047CDC" w:rsidP="00AE0BE6" w14:paraId="71FD81D5" w14:textId="77777777">
      <w:pPr>
        <w:pStyle w:val="a"/>
        <w:spacing w:line="269" w:lineRule="auto"/>
        <w:rPr>
          <w:rtl/>
        </w:rPr>
      </w:pPr>
    </w:p>
    <w:p w:rsidR="002D0C59" w:rsidP="00AE0BE6" w14:paraId="256ACD3B" w14:textId="77777777">
      <w:pPr>
        <w:spacing w:line="269" w:lineRule="auto"/>
        <w:ind w:left="312"/>
        <w:rPr>
          <w:sz w:val="24"/>
          <w:rtl/>
        </w:rPr>
      </w:pPr>
      <w:r>
        <w:rPr>
          <w:rFonts w:hint="cs"/>
          <w:sz w:val="24"/>
          <w:rtl/>
        </w:rPr>
        <w:t xml:space="preserve">תשאול הנוסע עשוי לכלול את מטרת הגעתו לישראל, את אמצעיו הכספיים לשהות בארץ ואת מקום הלינה שלו. אם בעקבות המידע שהוצג במערכת והתשובות של הנוסע עלה חשד </w:t>
      </w:r>
      <w:r w:rsidRPr="00EE39DD">
        <w:rPr>
          <w:rFonts w:hint="cs"/>
          <w:sz w:val="24"/>
          <w:rtl/>
        </w:rPr>
        <w:t>שבכוונת הנוסע להשתקע בישראל</w:t>
      </w:r>
      <w:r>
        <w:rPr>
          <w:rFonts w:hint="cs"/>
          <w:sz w:val="24"/>
          <w:rtl/>
        </w:rPr>
        <w:t xml:space="preserve">, הבקר מפנה אותו </w:t>
      </w:r>
      <w:r w:rsidRPr="00F031E9">
        <w:rPr>
          <w:sz w:val="24"/>
          <w:rtl/>
        </w:rPr>
        <w:t>לבדיקה</w:t>
      </w:r>
      <w:r>
        <w:rPr>
          <w:rFonts w:hint="cs"/>
          <w:sz w:val="24"/>
          <w:rtl/>
        </w:rPr>
        <w:t xml:space="preserve"> נוספת בקו האחורי</w:t>
      </w:r>
      <w:r w:rsidRPr="00F031E9">
        <w:rPr>
          <w:sz w:val="24"/>
          <w:rtl/>
        </w:rPr>
        <w:t>.</w:t>
      </w:r>
    </w:p>
    <w:p w:rsidR="002D0C59" w:rsidP="00AE0BE6" w14:paraId="0D5005DC" w14:textId="77777777">
      <w:pPr>
        <w:pStyle w:val="a"/>
        <w:spacing w:line="269" w:lineRule="auto"/>
        <w:rPr>
          <w:rtl/>
        </w:rPr>
      </w:pPr>
    </w:p>
    <w:p w:rsidR="002D0C59" w:rsidP="00AE0BE6" w14:paraId="51FD8FF4" w14:textId="77777777">
      <w:pPr>
        <w:pStyle w:val="ListParagraph"/>
        <w:numPr>
          <w:ilvl w:val="0"/>
          <w:numId w:val="29"/>
        </w:numPr>
        <w:spacing w:after="0" w:line="269" w:lineRule="auto"/>
        <w:jc w:val="both"/>
        <w:rPr>
          <w:rFonts w:cs="David"/>
          <w:b/>
          <w:bCs/>
          <w:sz w:val="24"/>
          <w:szCs w:val="24"/>
        </w:rPr>
      </w:pPr>
      <w:r w:rsidRPr="00003648">
        <w:rPr>
          <w:rFonts w:cs="David" w:hint="eastAsia"/>
          <w:b/>
          <w:bCs/>
          <w:sz w:val="24"/>
          <w:szCs w:val="24"/>
          <w:rtl/>
        </w:rPr>
        <w:t>נמצא</w:t>
      </w:r>
      <w:r w:rsidRPr="00003648">
        <w:rPr>
          <w:rFonts w:cs="David"/>
          <w:b/>
          <w:bCs/>
          <w:sz w:val="24"/>
          <w:szCs w:val="24"/>
          <w:rtl/>
        </w:rPr>
        <w:t xml:space="preserve"> כי רשות האוכלוסין לא קבעה מהו משך הזמן המ</w:t>
      </w:r>
      <w:r>
        <w:rPr>
          <w:rFonts w:cs="David" w:hint="cs"/>
          <w:b/>
          <w:bCs/>
          <w:sz w:val="24"/>
          <w:szCs w:val="24"/>
          <w:rtl/>
        </w:rPr>
        <w:t>זערי</w:t>
      </w:r>
      <w:r w:rsidRPr="00003648">
        <w:rPr>
          <w:rFonts w:cs="David"/>
          <w:b/>
          <w:bCs/>
          <w:sz w:val="24"/>
          <w:szCs w:val="24"/>
          <w:rtl/>
        </w:rPr>
        <w:t xml:space="preserve"> או המ</w:t>
      </w:r>
      <w:r>
        <w:rPr>
          <w:rFonts w:cs="David" w:hint="cs"/>
          <w:b/>
          <w:bCs/>
          <w:sz w:val="24"/>
          <w:szCs w:val="24"/>
          <w:rtl/>
        </w:rPr>
        <w:t>רבי</w:t>
      </w:r>
      <w:r w:rsidRPr="00003648">
        <w:rPr>
          <w:rFonts w:cs="David"/>
          <w:b/>
          <w:bCs/>
          <w:sz w:val="24"/>
          <w:szCs w:val="24"/>
          <w:rtl/>
        </w:rPr>
        <w:t xml:space="preserve"> הנדרש לבדיקה האחידה. עם זאת </w:t>
      </w:r>
      <w:r w:rsidRPr="00003648">
        <w:rPr>
          <w:rFonts w:cs="David" w:hint="eastAsia"/>
          <w:b/>
          <w:bCs/>
          <w:sz w:val="24"/>
          <w:szCs w:val="24"/>
          <w:rtl/>
        </w:rPr>
        <w:t>ב</w:t>
      </w:r>
      <w:r w:rsidRPr="00003648">
        <w:rPr>
          <w:rFonts w:cs="David"/>
          <w:b/>
          <w:bCs/>
          <w:sz w:val="24"/>
          <w:szCs w:val="24"/>
          <w:rtl/>
        </w:rPr>
        <w:t xml:space="preserve">הסכם </w:t>
      </w:r>
      <w:r w:rsidRPr="00003648">
        <w:rPr>
          <w:rFonts w:cs="David" w:hint="eastAsia"/>
          <w:b/>
          <w:bCs/>
          <w:sz w:val="24"/>
          <w:szCs w:val="24"/>
          <w:rtl/>
        </w:rPr>
        <w:t>האמור</w:t>
      </w:r>
      <w:r w:rsidRPr="00003648">
        <w:rPr>
          <w:rFonts w:cs="David"/>
          <w:b/>
          <w:bCs/>
          <w:sz w:val="24"/>
          <w:szCs w:val="24"/>
          <w:rtl/>
        </w:rPr>
        <w:t xml:space="preserve"> בין רש"ת לבין רשות האוכלוסין </w:t>
      </w:r>
      <w:r w:rsidRPr="00003648">
        <w:rPr>
          <w:rFonts w:cs="David" w:hint="eastAsia"/>
          <w:b/>
          <w:bCs/>
          <w:sz w:val="24"/>
          <w:szCs w:val="24"/>
          <w:rtl/>
        </w:rPr>
        <w:t>נקבע</w:t>
      </w:r>
      <w:r w:rsidRPr="00003648">
        <w:rPr>
          <w:rFonts w:cs="David"/>
          <w:b/>
          <w:bCs/>
          <w:sz w:val="24"/>
          <w:szCs w:val="24"/>
          <w:rtl/>
        </w:rPr>
        <w:t xml:space="preserve"> כלהלן: "זמן שירות פעיל ממוצע </w:t>
      </w:r>
      <w:r w:rsidRPr="00003648">
        <w:rPr>
          <w:rFonts w:cs="David" w:hint="eastAsia"/>
          <w:b/>
          <w:bCs/>
          <w:sz w:val="24"/>
          <w:szCs w:val="24"/>
          <w:rtl/>
        </w:rPr>
        <w:t>בכניסת</w:t>
      </w:r>
      <w:r w:rsidRPr="00003648">
        <w:rPr>
          <w:rFonts w:cs="David"/>
          <w:b/>
          <w:bCs/>
          <w:sz w:val="24"/>
          <w:szCs w:val="24"/>
          <w:rtl/>
        </w:rPr>
        <w:t xml:space="preserve"> זרים 50 </w:t>
      </w:r>
      <w:r w:rsidRPr="00003648">
        <w:rPr>
          <w:rFonts w:cs="David" w:hint="eastAsia"/>
          <w:b/>
          <w:bCs/>
          <w:sz w:val="24"/>
          <w:szCs w:val="24"/>
          <w:rtl/>
        </w:rPr>
        <w:t>שניות</w:t>
      </w:r>
      <w:r>
        <w:rPr>
          <w:rFonts w:cs="David" w:hint="cs"/>
          <w:b/>
          <w:bCs/>
          <w:sz w:val="24"/>
          <w:szCs w:val="24"/>
          <w:rtl/>
        </w:rPr>
        <w:t xml:space="preserve"> [</w:t>
      </w:r>
      <w:r w:rsidRPr="00A37570">
        <w:rPr>
          <w:rFonts w:cs="David"/>
          <w:b/>
          <w:bCs/>
          <w:sz w:val="24"/>
          <w:szCs w:val="24"/>
          <w:rtl/>
        </w:rPr>
        <w:t>לכל היותר]</w:t>
      </w:r>
      <w:r w:rsidRPr="00003648">
        <w:rPr>
          <w:rFonts w:cs="David"/>
          <w:b/>
          <w:bCs/>
          <w:sz w:val="24"/>
          <w:szCs w:val="24"/>
          <w:rtl/>
        </w:rPr>
        <w:t xml:space="preserve">"; מדד זה נוגע לרמת השירות </w:t>
      </w:r>
      <w:r w:rsidRPr="00003648">
        <w:rPr>
          <w:rFonts w:cs="David" w:hint="eastAsia"/>
          <w:b/>
          <w:bCs/>
          <w:sz w:val="24"/>
          <w:szCs w:val="24"/>
          <w:rtl/>
        </w:rPr>
        <w:t>ביחס</w:t>
      </w:r>
      <w:r w:rsidRPr="00003648">
        <w:rPr>
          <w:rFonts w:cs="David"/>
          <w:b/>
          <w:bCs/>
          <w:sz w:val="24"/>
          <w:szCs w:val="24"/>
          <w:rtl/>
        </w:rPr>
        <w:t xml:space="preserve"> </w:t>
      </w:r>
      <w:r w:rsidRPr="00003648">
        <w:rPr>
          <w:rFonts w:cs="David" w:hint="eastAsia"/>
          <w:b/>
          <w:bCs/>
          <w:sz w:val="24"/>
          <w:szCs w:val="24"/>
          <w:rtl/>
        </w:rPr>
        <w:t>ל</w:t>
      </w:r>
      <w:r w:rsidRPr="00003648">
        <w:rPr>
          <w:rFonts w:cs="David"/>
          <w:b/>
          <w:bCs/>
          <w:sz w:val="24"/>
          <w:szCs w:val="24"/>
          <w:rtl/>
        </w:rPr>
        <w:t xml:space="preserve">-90% </w:t>
      </w:r>
      <w:r w:rsidRPr="00003648">
        <w:rPr>
          <w:rFonts w:cs="David" w:hint="eastAsia"/>
          <w:b/>
          <w:bCs/>
          <w:sz w:val="24"/>
          <w:szCs w:val="24"/>
          <w:rtl/>
        </w:rPr>
        <w:t>מהנוסעים</w:t>
      </w:r>
      <w:r w:rsidRPr="00003648">
        <w:rPr>
          <w:rFonts w:cs="David"/>
          <w:b/>
          <w:bCs/>
          <w:sz w:val="24"/>
          <w:szCs w:val="24"/>
          <w:rtl/>
        </w:rPr>
        <w:t xml:space="preserve"> </w:t>
      </w:r>
      <w:r w:rsidRPr="00003648">
        <w:rPr>
          <w:rFonts w:cs="David" w:hint="eastAsia"/>
          <w:b/>
          <w:bCs/>
          <w:sz w:val="24"/>
          <w:szCs w:val="24"/>
          <w:rtl/>
        </w:rPr>
        <w:t>בימי</w:t>
      </w:r>
      <w:r w:rsidRPr="00003648">
        <w:rPr>
          <w:rFonts w:cs="David"/>
          <w:b/>
          <w:bCs/>
          <w:sz w:val="24"/>
          <w:szCs w:val="24"/>
          <w:rtl/>
        </w:rPr>
        <w:t xml:space="preserve"> </w:t>
      </w:r>
      <w:r w:rsidRPr="00003648">
        <w:rPr>
          <w:rFonts w:cs="David" w:hint="eastAsia"/>
          <w:b/>
          <w:bCs/>
          <w:sz w:val="24"/>
          <w:szCs w:val="24"/>
          <w:rtl/>
        </w:rPr>
        <w:t>עומס</w:t>
      </w:r>
      <w:r w:rsidRPr="00003648">
        <w:rPr>
          <w:rFonts w:cs="David"/>
          <w:b/>
          <w:bCs/>
          <w:sz w:val="24"/>
          <w:szCs w:val="24"/>
          <w:rtl/>
        </w:rPr>
        <w:t xml:space="preserve">; </w:t>
      </w:r>
      <w:r w:rsidRPr="00003648">
        <w:rPr>
          <w:rFonts w:cs="David" w:hint="eastAsia"/>
          <w:b/>
          <w:bCs/>
          <w:sz w:val="24"/>
          <w:szCs w:val="24"/>
          <w:rtl/>
        </w:rPr>
        <w:t>ז</w:t>
      </w:r>
      <w:r w:rsidRPr="00003648">
        <w:rPr>
          <w:rFonts w:cs="David" w:hint="eastAsia"/>
          <w:b/>
          <w:bCs/>
          <w:sz w:val="24"/>
          <w:szCs w:val="24"/>
          <w:rtl/>
        </w:rPr>
        <w:t>מן</w:t>
      </w:r>
      <w:r w:rsidRPr="00003648">
        <w:rPr>
          <w:rFonts w:cs="David"/>
          <w:b/>
          <w:bCs/>
          <w:sz w:val="24"/>
          <w:szCs w:val="24"/>
          <w:rtl/>
        </w:rPr>
        <w:t xml:space="preserve"> </w:t>
      </w:r>
      <w:r w:rsidRPr="00003648">
        <w:rPr>
          <w:rFonts w:cs="David" w:hint="eastAsia"/>
          <w:b/>
          <w:bCs/>
          <w:sz w:val="24"/>
          <w:szCs w:val="24"/>
          <w:rtl/>
        </w:rPr>
        <w:t>שירות</w:t>
      </w:r>
      <w:r w:rsidRPr="00003648">
        <w:rPr>
          <w:rFonts w:cs="David"/>
          <w:b/>
          <w:bCs/>
          <w:sz w:val="24"/>
          <w:szCs w:val="24"/>
          <w:rtl/>
        </w:rPr>
        <w:t xml:space="preserve"> </w:t>
      </w:r>
      <w:r w:rsidRPr="00003648">
        <w:rPr>
          <w:rFonts w:cs="David" w:hint="eastAsia"/>
          <w:b/>
          <w:bCs/>
          <w:sz w:val="24"/>
          <w:szCs w:val="24"/>
          <w:rtl/>
        </w:rPr>
        <w:t>פעיל</w:t>
      </w:r>
      <w:r w:rsidRPr="00003648">
        <w:rPr>
          <w:rFonts w:cs="David"/>
          <w:b/>
          <w:bCs/>
          <w:sz w:val="24"/>
          <w:szCs w:val="24"/>
          <w:rtl/>
        </w:rPr>
        <w:t xml:space="preserve"> </w:t>
      </w:r>
      <w:r w:rsidRPr="00003648">
        <w:rPr>
          <w:rFonts w:cs="David" w:hint="eastAsia"/>
          <w:b/>
          <w:bCs/>
          <w:sz w:val="24"/>
          <w:szCs w:val="24"/>
          <w:rtl/>
        </w:rPr>
        <w:t>הוא</w:t>
      </w:r>
      <w:r w:rsidRPr="00003648">
        <w:rPr>
          <w:rFonts w:cs="David"/>
          <w:b/>
          <w:bCs/>
          <w:sz w:val="24"/>
          <w:szCs w:val="24"/>
          <w:rtl/>
        </w:rPr>
        <w:t xml:space="preserve"> "פרק </w:t>
      </w:r>
      <w:r w:rsidRPr="00003648">
        <w:rPr>
          <w:rFonts w:cs="David" w:hint="eastAsia"/>
          <w:b/>
          <w:bCs/>
          <w:sz w:val="24"/>
          <w:szCs w:val="24"/>
          <w:rtl/>
        </w:rPr>
        <w:t>הזמן</w:t>
      </w:r>
      <w:r w:rsidRPr="00003648">
        <w:rPr>
          <w:rFonts w:cs="David"/>
          <w:b/>
          <w:bCs/>
          <w:sz w:val="24"/>
          <w:szCs w:val="24"/>
          <w:rtl/>
        </w:rPr>
        <w:t xml:space="preserve"> </w:t>
      </w:r>
      <w:r w:rsidRPr="00003648">
        <w:rPr>
          <w:rFonts w:cs="David" w:hint="eastAsia"/>
          <w:b/>
          <w:bCs/>
          <w:sz w:val="24"/>
          <w:szCs w:val="24"/>
          <w:rtl/>
        </w:rPr>
        <w:t>למתן</w:t>
      </w:r>
      <w:r w:rsidRPr="00003648">
        <w:rPr>
          <w:rFonts w:cs="David"/>
          <w:b/>
          <w:bCs/>
          <w:sz w:val="24"/>
          <w:szCs w:val="24"/>
          <w:rtl/>
        </w:rPr>
        <w:t xml:space="preserve"> </w:t>
      </w:r>
      <w:r w:rsidRPr="00003648">
        <w:rPr>
          <w:rFonts w:cs="David" w:hint="eastAsia"/>
          <w:b/>
          <w:bCs/>
          <w:sz w:val="24"/>
          <w:szCs w:val="24"/>
          <w:rtl/>
        </w:rPr>
        <w:t>שירות</w:t>
      </w:r>
      <w:r w:rsidRPr="00003648">
        <w:rPr>
          <w:rFonts w:cs="David"/>
          <w:b/>
          <w:bCs/>
          <w:sz w:val="24"/>
          <w:szCs w:val="24"/>
          <w:rtl/>
        </w:rPr>
        <w:t xml:space="preserve"> </w:t>
      </w:r>
      <w:r w:rsidRPr="00003648">
        <w:rPr>
          <w:rFonts w:cs="David" w:hint="eastAsia"/>
          <w:b/>
          <w:bCs/>
          <w:sz w:val="24"/>
          <w:szCs w:val="24"/>
          <w:rtl/>
        </w:rPr>
        <w:t>לנוסע</w:t>
      </w:r>
      <w:r w:rsidRPr="00003648">
        <w:rPr>
          <w:rFonts w:cs="David"/>
          <w:b/>
          <w:bCs/>
          <w:sz w:val="24"/>
          <w:szCs w:val="24"/>
          <w:rtl/>
        </w:rPr>
        <w:t xml:space="preserve"> </w:t>
      </w:r>
      <w:r w:rsidRPr="00003648">
        <w:rPr>
          <w:rFonts w:cs="David" w:hint="eastAsia"/>
          <w:b/>
          <w:bCs/>
          <w:sz w:val="24"/>
          <w:szCs w:val="24"/>
          <w:rtl/>
        </w:rPr>
        <w:t>בדלפק</w:t>
      </w:r>
      <w:r w:rsidRPr="00003648">
        <w:rPr>
          <w:rFonts w:cs="David"/>
          <w:b/>
          <w:bCs/>
          <w:sz w:val="24"/>
          <w:szCs w:val="24"/>
          <w:rtl/>
        </w:rPr>
        <w:t xml:space="preserve"> </w:t>
      </w:r>
      <w:r w:rsidRPr="00003648">
        <w:rPr>
          <w:rFonts w:cs="David" w:hint="eastAsia"/>
          <w:b/>
          <w:bCs/>
          <w:sz w:val="24"/>
          <w:szCs w:val="24"/>
          <w:rtl/>
        </w:rPr>
        <w:t>ביקורת</w:t>
      </w:r>
      <w:r w:rsidRPr="00003648">
        <w:rPr>
          <w:rFonts w:cs="David"/>
          <w:b/>
          <w:bCs/>
          <w:sz w:val="24"/>
          <w:szCs w:val="24"/>
          <w:rtl/>
        </w:rPr>
        <w:t xml:space="preserve"> </w:t>
      </w:r>
      <w:r w:rsidRPr="00003648">
        <w:rPr>
          <w:rFonts w:cs="David" w:hint="eastAsia"/>
          <w:b/>
          <w:bCs/>
          <w:sz w:val="24"/>
          <w:szCs w:val="24"/>
          <w:rtl/>
        </w:rPr>
        <w:t>הגבולות</w:t>
      </w:r>
      <w:r w:rsidRPr="00003648">
        <w:rPr>
          <w:rFonts w:cs="David"/>
          <w:b/>
          <w:bCs/>
          <w:sz w:val="24"/>
          <w:szCs w:val="24"/>
          <w:rtl/>
        </w:rPr>
        <w:t xml:space="preserve"> (זמן </w:t>
      </w:r>
      <w:r w:rsidRPr="00003648">
        <w:rPr>
          <w:rFonts w:cs="David" w:hint="eastAsia"/>
          <w:b/>
          <w:bCs/>
          <w:sz w:val="24"/>
          <w:szCs w:val="24"/>
          <w:rtl/>
        </w:rPr>
        <w:t>מחשב</w:t>
      </w:r>
      <w:r w:rsidRPr="00003648">
        <w:rPr>
          <w:rFonts w:cs="David"/>
          <w:b/>
          <w:bCs/>
          <w:sz w:val="24"/>
          <w:szCs w:val="24"/>
          <w:rtl/>
        </w:rPr>
        <w:t>)".</w:t>
      </w:r>
      <w:r w:rsidR="00EC0F52">
        <w:rPr>
          <w:rFonts w:cs="David"/>
          <w:b/>
          <w:bCs/>
          <w:sz w:val="24"/>
          <w:szCs w:val="24"/>
          <w:rtl/>
        </w:rPr>
        <w:t xml:space="preserve"> </w:t>
      </w:r>
    </w:p>
    <w:p w:rsidR="002D0C59" w:rsidRPr="00047CDC" w:rsidP="00AE0BE6" w14:paraId="078864FA" w14:textId="77777777">
      <w:pPr>
        <w:pStyle w:val="a"/>
        <w:spacing w:line="269" w:lineRule="auto"/>
      </w:pPr>
    </w:p>
    <w:p w:rsidR="002D0C59" w:rsidP="00AE0BE6" w14:paraId="16967C6D" w14:textId="77777777">
      <w:pPr>
        <w:pStyle w:val="ListParagraph"/>
        <w:spacing w:after="0" w:line="269" w:lineRule="auto"/>
        <w:ind w:left="340"/>
        <w:jc w:val="both"/>
        <w:rPr>
          <w:rFonts w:cs="David"/>
          <w:b/>
          <w:bCs/>
          <w:sz w:val="24"/>
          <w:szCs w:val="24"/>
          <w:rtl/>
        </w:rPr>
      </w:pPr>
      <w:r w:rsidRPr="001B1F2D">
        <w:rPr>
          <w:rFonts w:cs="David" w:hint="cs"/>
          <w:b/>
          <w:bCs/>
          <w:sz w:val="24"/>
          <w:szCs w:val="24"/>
          <w:rtl/>
        </w:rPr>
        <w:t xml:space="preserve">עוד </w:t>
      </w:r>
      <w:r w:rsidRPr="001B1F2D">
        <w:rPr>
          <w:rFonts w:cs="David" w:hint="eastAsia"/>
          <w:b/>
          <w:bCs/>
          <w:sz w:val="24"/>
          <w:szCs w:val="24"/>
          <w:rtl/>
        </w:rPr>
        <w:t>נמצא</w:t>
      </w:r>
      <w:r w:rsidRPr="001B1F2D">
        <w:rPr>
          <w:rFonts w:cs="David"/>
          <w:b/>
          <w:bCs/>
          <w:sz w:val="24"/>
          <w:szCs w:val="24"/>
          <w:rtl/>
        </w:rPr>
        <w:t xml:space="preserve"> כי </w:t>
      </w:r>
      <w:r>
        <w:rPr>
          <w:rFonts w:cs="David" w:hint="cs"/>
          <w:b/>
          <w:bCs/>
          <w:sz w:val="24"/>
          <w:szCs w:val="24"/>
          <w:rtl/>
        </w:rPr>
        <w:t xml:space="preserve">המערכת הממוחשבת של </w:t>
      </w:r>
      <w:r w:rsidRPr="001B1F2D">
        <w:rPr>
          <w:rFonts w:cs="David" w:hint="cs"/>
          <w:b/>
          <w:bCs/>
          <w:sz w:val="24"/>
          <w:szCs w:val="24"/>
          <w:rtl/>
        </w:rPr>
        <w:t xml:space="preserve">רשות האוכלוסין אינה </w:t>
      </w:r>
      <w:r>
        <w:rPr>
          <w:rFonts w:cs="David" w:hint="cs"/>
          <w:b/>
          <w:bCs/>
          <w:sz w:val="24"/>
          <w:szCs w:val="24"/>
          <w:rtl/>
        </w:rPr>
        <w:t xml:space="preserve">כוללת מידע המאפשר לה למדוד בפועל </w:t>
      </w:r>
      <w:r w:rsidRPr="001B1F2D">
        <w:rPr>
          <w:rFonts w:cs="David" w:hint="cs"/>
          <w:b/>
          <w:bCs/>
          <w:sz w:val="24"/>
          <w:szCs w:val="24"/>
          <w:rtl/>
        </w:rPr>
        <w:t>את משך כל שלבי הבדיק</w:t>
      </w:r>
      <w:r>
        <w:rPr>
          <w:rFonts w:cs="David" w:hint="cs"/>
          <w:b/>
          <w:bCs/>
          <w:sz w:val="24"/>
          <w:szCs w:val="24"/>
          <w:rtl/>
        </w:rPr>
        <w:t>ה</w:t>
      </w:r>
      <w:r w:rsidRPr="001B1F2D">
        <w:rPr>
          <w:rFonts w:cs="David" w:hint="cs"/>
          <w:b/>
          <w:bCs/>
          <w:sz w:val="24"/>
          <w:szCs w:val="24"/>
          <w:rtl/>
        </w:rPr>
        <w:t xml:space="preserve"> האחיד</w:t>
      </w:r>
      <w:r>
        <w:rPr>
          <w:rFonts w:cs="David" w:hint="cs"/>
          <w:b/>
          <w:bCs/>
          <w:sz w:val="24"/>
          <w:szCs w:val="24"/>
          <w:rtl/>
        </w:rPr>
        <w:t>ה אלא רק את המקטע שלהלן</w:t>
      </w:r>
      <w:r w:rsidRPr="001B1F2D">
        <w:rPr>
          <w:rFonts w:cs="David" w:hint="cs"/>
          <w:b/>
          <w:bCs/>
          <w:sz w:val="24"/>
          <w:szCs w:val="24"/>
          <w:rtl/>
        </w:rPr>
        <w:t xml:space="preserve">: מסריקת הדרכון או הקלדת פרטיו ועד להנפקת </w:t>
      </w:r>
      <w:r w:rsidRPr="001B1F2D">
        <w:rPr>
          <w:rFonts w:cs="David"/>
          <w:b/>
          <w:bCs/>
          <w:sz w:val="24"/>
          <w:szCs w:val="24"/>
          <w:rtl/>
        </w:rPr>
        <w:t xml:space="preserve">מתן אישור </w:t>
      </w:r>
      <w:r>
        <w:rPr>
          <w:rFonts w:cs="David" w:hint="cs"/>
          <w:b/>
          <w:bCs/>
          <w:sz w:val="24"/>
          <w:szCs w:val="24"/>
          <w:rtl/>
        </w:rPr>
        <w:t>ה</w:t>
      </w:r>
      <w:r w:rsidRPr="001B1F2D">
        <w:rPr>
          <w:rFonts w:cs="David"/>
          <w:b/>
          <w:bCs/>
          <w:sz w:val="24"/>
          <w:szCs w:val="24"/>
          <w:rtl/>
        </w:rPr>
        <w:t xml:space="preserve">כניסה </w:t>
      </w:r>
      <w:r w:rsidRPr="001B1F2D">
        <w:rPr>
          <w:rFonts w:cs="David" w:hint="cs"/>
          <w:b/>
          <w:bCs/>
          <w:sz w:val="24"/>
          <w:szCs w:val="24"/>
          <w:rtl/>
        </w:rPr>
        <w:t xml:space="preserve">לזר </w:t>
      </w:r>
      <w:r w:rsidRPr="001B1F2D">
        <w:rPr>
          <w:rFonts w:cs="David"/>
          <w:b/>
          <w:bCs/>
          <w:sz w:val="24"/>
          <w:szCs w:val="24"/>
          <w:rtl/>
        </w:rPr>
        <w:t>או דחיית המעבר והעברתו לבדיקה בקו האחורי</w:t>
      </w:r>
      <w:r w:rsidRPr="001B1F2D">
        <w:rPr>
          <w:rFonts w:cs="David" w:hint="cs"/>
          <w:b/>
          <w:bCs/>
          <w:sz w:val="24"/>
          <w:szCs w:val="24"/>
          <w:rtl/>
        </w:rPr>
        <w:t>.</w:t>
      </w:r>
      <w:r>
        <w:rPr>
          <w:rFonts w:cs="David" w:hint="cs"/>
          <w:b/>
          <w:bCs/>
          <w:sz w:val="24"/>
          <w:szCs w:val="24"/>
          <w:rtl/>
        </w:rPr>
        <w:t xml:space="preserve"> </w:t>
      </w:r>
    </w:p>
    <w:p w:rsidR="002D0C59" w:rsidRPr="00047CDC" w:rsidP="00AE0BE6" w14:paraId="26301E84" w14:textId="77777777">
      <w:pPr>
        <w:pStyle w:val="a"/>
        <w:spacing w:line="269" w:lineRule="auto"/>
        <w:rPr>
          <w:rtl/>
        </w:rPr>
      </w:pPr>
    </w:p>
    <w:p w:rsidR="002D0C59" w:rsidP="00AE0BE6" w14:paraId="1F0F7B48" w14:textId="77777777">
      <w:pPr>
        <w:pStyle w:val="ListParagraph"/>
        <w:spacing w:after="0" w:line="269" w:lineRule="auto"/>
        <w:ind w:left="340"/>
        <w:jc w:val="both"/>
        <w:rPr>
          <w:rFonts w:cs="David"/>
          <w:sz w:val="24"/>
          <w:szCs w:val="24"/>
          <w:rtl/>
        </w:rPr>
      </w:pPr>
      <w:r w:rsidRPr="00FB3DCC">
        <w:rPr>
          <w:rFonts w:cs="David" w:hint="eastAsia"/>
          <w:sz w:val="24"/>
          <w:szCs w:val="24"/>
          <w:rtl/>
        </w:rPr>
        <w:t>על</w:t>
      </w:r>
      <w:r w:rsidRPr="00FB3DCC">
        <w:rPr>
          <w:rFonts w:cs="David"/>
          <w:sz w:val="24"/>
          <w:szCs w:val="24"/>
          <w:rtl/>
        </w:rPr>
        <w:t xml:space="preserve"> </w:t>
      </w:r>
      <w:r w:rsidRPr="00FB3DCC">
        <w:rPr>
          <w:rFonts w:cs="David" w:hint="eastAsia"/>
          <w:sz w:val="24"/>
          <w:szCs w:val="24"/>
          <w:rtl/>
        </w:rPr>
        <w:t>פי</w:t>
      </w:r>
      <w:r w:rsidRPr="00180B9D">
        <w:rPr>
          <w:rFonts w:cs="David"/>
          <w:sz w:val="24"/>
          <w:szCs w:val="24"/>
          <w:rtl/>
        </w:rPr>
        <w:t xml:space="preserve"> </w:t>
      </w:r>
      <w:r w:rsidRPr="00180B9D">
        <w:rPr>
          <w:rFonts w:cs="David" w:hint="eastAsia"/>
          <w:sz w:val="24"/>
          <w:szCs w:val="24"/>
          <w:rtl/>
        </w:rPr>
        <w:t>נתוני</w:t>
      </w:r>
      <w:r w:rsidRPr="00180B9D">
        <w:rPr>
          <w:rFonts w:cs="David"/>
          <w:sz w:val="24"/>
          <w:szCs w:val="24"/>
          <w:rtl/>
        </w:rPr>
        <w:t xml:space="preserve"> </w:t>
      </w:r>
      <w:r w:rsidRPr="00180B9D">
        <w:rPr>
          <w:rFonts w:cs="David" w:hint="eastAsia"/>
          <w:sz w:val="24"/>
          <w:szCs w:val="24"/>
          <w:rtl/>
        </w:rPr>
        <w:t>מינהל</w:t>
      </w:r>
      <w:r w:rsidRPr="00180B9D">
        <w:rPr>
          <w:rFonts w:cs="David"/>
          <w:sz w:val="24"/>
          <w:szCs w:val="24"/>
          <w:rtl/>
        </w:rPr>
        <w:t xml:space="preserve"> ביקורת </w:t>
      </w:r>
      <w:r>
        <w:rPr>
          <w:rFonts w:cs="David" w:hint="cs"/>
          <w:sz w:val="24"/>
          <w:szCs w:val="24"/>
          <w:rtl/>
        </w:rPr>
        <w:t>ה</w:t>
      </w:r>
      <w:r w:rsidRPr="00180B9D">
        <w:rPr>
          <w:rFonts w:cs="David"/>
          <w:sz w:val="24"/>
          <w:szCs w:val="24"/>
          <w:rtl/>
        </w:rPr>
        <w:t>גבולות</w:t>
      </w:r>
      <w:r w:rsidRPr="00FB3DCC">
        <w:rPr>
          <w:rFonts w:cs="David"/>
          <w:sz w:val="24"/>
          <w:szCs w:val="24"/>
          <w:rtl/>
        </w:rPr>
        <w:t xml:space="preserve">, </w:t>
      </w:r>
      <w:r w:rsidRPr="00FB3DCC">
        <w:rPr>
          <w:rFonts w:cs="David" w:hint="cs"/>
          <w:sz w:val="24"/>
          <w:szCs w:val="24"/>
          <w:rtl/>
        </w:rPr>
        <w:t xml:space="preserve">הזמן המזערי לסריקת דרכון ביומטרי הוא </w:t>
      </w:r>
      <w:r>
        <w:rPr>
          <w:rFonts w:cs="David" w:hint="cs"/>
          <w:sz w:val="24"/>
          <w:szCs w:val="24"/>
          <w:rtl/>
        </w:rPr>
        <w:t xml:space="preserve">4 </w:t>
      </w:r>
      <w:r w:rsidRPr="00FB3DCC">
        <w:rPr>
          <w:rFonts w:cs="David" w:hint="cs"/>
          <w:sz w:val="24"/>
          <w:szCs w:val="24"/>
          <w:rtl/>
        </w:rPr>
        <w:t>-</w:t>
      </w:r>
      <w:r>
        <w:rPr>
          <w:rFonts w:cs="David" w:hint="cs"/>
          <w:sz w:val="24"/>
          <w:szCs w:val="24"/>
          <w:rtl/>
        </w:rPr>
        <w:t xml:space="preserve"> 8</w:t>
      </w:r>
      <w:r w:rsidRPr="00FB3DCC">
        <w:rPr>
          <w:rFonts w:cs="David" w:hint="cs"/>
          <w:sz w:val="24"/>
          <w:szCs w:val="24"/>
          <w:rtl/>
        </w:rPr>
        <w:t xml:space="preserve"> שניות, תלוי במאפיינים </w:t>
      </w:r>
      <w:r>
        <w:rPr>
          <w:rFonts w:cs="David" w:hint="cs"/>
          <w:sz w:val="24"/>
          <w:szCs w:val="24"/>
          <w:rtl/>
        </w:rPr>
        <w:t>ה</w:t>
      </w:r>
      <w:r w:rsidRPr="00FB3DCC">
        <w:rPr>
          <w:rFonts w:cs="David" w:hint="cs"/>
          <w:sz w:val="24"/>
          <w:szCs w:val="24"/>
          <w:rtl/>
        </w:rPr>
        <w:t>טכניים של הדרכון, ו</w:t>
      </w:r>
      <w:r>
        <w:rPr>
          <w:rFonts w:cs="David" w:hint="cs"/>
          <w:sz w:val="24"/>
          <w:szCs w:val="24"/>
          <w:rtl/>
        </w:rPr>
        <w:t xml:space="preserve">הזמן המזערי מהסריקה או ההקלדה ועד שהמערכת הממוחשבת מעלה את פרטי הנוסע על גבי המסך לצורך בדיקת בקר הגבול את הנוסע - 2 שניות נוספות. מכאן, שמשך הבדיקה האחידה כולל לכל הפחות 6 - 10 שניות לצורך סריקה או הקלדה והצגת המידע על הנוסע לפני הבקר. </w:t>
      </w:r>
    </w:p>
    <w:p w:rsidR="002D0C59" w:rsidP="00AE0BE6" w14:paraId="2FF93E04" w14:textId="77777777">
      <w:pPr>
        <w:pStyle w:val="a"/>
        <w:spacing w:line="269" w:lineRule="auto"/>
        <w:rPr>
          <w:rtl/>
        </w:rPr>
      </w:pPr>
    </w:p>
    <w:p w:rsidR="002D0C59" w:rsidRPr="00595DA3" w:rsidP="00AE0BE6" w14:paraId="07CCF686" w14:textId="77777777">
      <w:pPr>
        <w:pStyle w:val="ListParagraph"/>
        <w:numPr>
          <w:ilvl w:val="0"/>
          <w:numId w:val="29"/>
        </w:numPr>
        <w:spacing w:after="0" w:line="269" w:lineRule="auto"/>
        <w:jc w:val="both"/>
        <w:rPr>
          <w:rFonts w:cs="David"/>
          <w:sz w:val="24"/>
          <w:szCs w:val="24"/>
        </w:rPr>
      </w:pPr>
      <w:r w:rsidRPr="00595DA3">
        <w:rPr>
          <w:rFonts w:cs="David" w:hint="eastAsia"/>
          <w:sz w:val="24"/>
          <w:szCs w:val="24"/>
          <w:rtl/>
        </w:rPr>
        <w:t>להלן</w:t>
      </w:r>
      <w:r w:rsidRPr="00595DA3">
        <w:rPr>
          <w:rFonts w:cs="David"/>
          <w:sz w:val="24"/>
          <w:szCs w:val="24"/>
          <w:rtl/>
        </w:rPr>
        <w:t xml:space="preserve"> </w:t>
      </w:r>
      <w:r w:rsidRPr="00595DA3">
        <w:rPr>
          <w:rFonts w:cs="David" w:hint="eastAsia"/>
          <w:sz w:val="24"/>
          <w:szCs w:val="24"/>
          <w:rtl/>
        </w:rPr>
        <w:t>נתונים</w:t>
      </w:r>
      <w:r w:rsidRPr="00595DA3">
        <w:rPr>
          <w:rFonts w:cs="David"/>
          <w:sz w:val="24"/>
          <w:szCs w:val="24"/>
          <w:rtl/>
        </w:rPr>
        <w:t xml:space="preserve"> </w:t>
      </w:r>
      <w:r w:rsidRPr="00595DA3">
        <w:rPr>
          <w:rFonts w:cs="David" w:hint="eastAsia"/>
          <w:sz w:val="24"/>
          <w:szCs w:val="24"/>
          <w:rtl/>
        </w:rPr>
        <w:t>על</w:t>
      </w:r>
      <w:r w:rsidRPr="00595DA3">
        <w:rPr>
          <w:rFonts w:cs="David"/>
          <w:sz w:val="24"/>
          <w:szCs w:val="24"/>
          <w:rtl/>
        </w:rPr>
        <w:t xml:space="preserve"> </w:t>
      </w:r>
      <w:r w:rsidRPr="00595DA3">
        <w:rPr>
          <w:rFonts w:cs="David" w:hint="eastAsia"/>
          <w:sz w:val="24"/>
          <w:szCs w:val="24"/>
          <w:rtl/>
        </w:rPr>
        <w:t>נו</w:t>
      </w:r>
      <w:r w:rsidRPr="00595DA3">
        <w:rPr>
          <w:rFonts w:cs="David" w:hint="eastAsia"/>
          <w:sz w:val="24"/>
          <w:szCs w:val="24"/>
          <w:rtl/>
        </w:rPr>
        <w:t>סעים</w:t>
      </w:r>
      <w:r w:rsidRPr="00595DA3">
        <w:rPr>
          <w:rFonts w:cs="David"/>
          <w:sz w:val="24"/>
          <w:szCs w:val="24"/>
          <w:rtl/>
        </w:rPr>
        <w:t xml:space="preserve"> </w:t>
      </w:r>
      <w:r w:rsidRPr="00595DA3">
        <w:rPr>
          <w:rFonts w:cs="David" w:hint="eastAsia"/>
          <w:sz w:val="24"/>
          <w:szCs w:val="24"/>
          <w:rtl/>
        </w:rPr>
        <w:t>זרים</w:t>
      </w:r>
      <w:r w:rsidRPr="00595DA3">
        <w:rPr>
          <w:rFonts w:cs="David"/>
          <w:sz w:val="24"/>
          <w:szCs w:val="24"/>
          <w:rtl/>
        </w:rPr>
        <w:t xml:space="preserve"> </w:t>
      </w:r>
      <w:r w:rsidRPr="00595DA3">
        <w:rPr>
          <w:rFonts w:cs="David" w:hint="eastAsia"/>
          <w:sz w:val="24"/>
          <w:szCs w:val="24"/>
          <w:rtl/>
        </w:rPr>
        <w:t>שנכנסו</w:t>
      </w:r>
      <w:r w:rsidRPr="00595DA3">
        <w:rPr>
          <w:rFonts w:cs="David"/>
          <w:sz w:val="24"/>
          <w:szCs w:val="24"/>
          <w:rtl/>
        </w:rPr>
        <w:t xml:space="preserve"> </w:t>
      </w:r>
      <w:r w:rsidRPr="00595DA3">
        <w:rPr>
          <w:rFonts w:cs="David" w:hint="eastAsia"/>
          <w:sz w:val="24"/>
          <w:szCs w:val="24"/>
          <w:rtl/>
        </w:rPr>
        <w:t>לישראל</w:t>
      </w:r>
      <w:r w:rsidRPr="00595DA3">
        <w:rPr>
          <w:rFonts w:cs="David"/>
          <w:sz w:val="24"/>
          <w:szCs w:val="24"/>
          <w:rtl/>
        </w:rPr>
        <w:t xml:space="preserve"> </w:t>
      </w:r>
      <w:r w:rsidRPr="00595DA3">
        <w:rPr>
          <w:rFonts w:cs="David" w:hint="eastAsia"/>
          <w:sz w:val="24"/>
          <w:szCs w:val="24"/>
          <w:rtl/>
        </w:rPr>
        <w:t>במעבר</w:t>
      </w:r>
      <w:r w:rsidRPr="00595DA3">
        <w:rPr>
          <w:rFonts w:cs="David"/>
          <w:sz w:val="24"/>
          <w:szCs w:val="24"/>
          <w:rtl/>
        </w:rPr>
        <w:t xml:space="preserve"> </w:t>
      </w:r>
      <w:r w:rsidRPr="00595DA3">
        <w:rPr>
          <w:rFonts w:cs="David" w:hint="eastAsia"/>
          <w:sz w:val="24"/>
          <w:szCs w:val="24"/>
          <w:rtl/>
        </w:rPr>
        <w:t>הגבול</w:t>
      </w:r>
      <w:r w:rsidRPr="00595DA3">
        <w:rPr>
          <w:rFonts w:cs="David"/>
          <w:sz w:val="24"/>
          <w:szCs w:val="24"/>
          <w:rtl/>
        </w:rPr>
        <w:t xml:space="preserve"> </w:t>
      </w:r>
      <w:r w:rsidRPr="00595DA3">
        <w:rPr>
          <w:rFonts w:cs="David" w:hint="eastAsia"/>
          <w:sz w:val="24"/>
          <w:szCs w:val="24"/>
          <w:rtl/>
        </w:rPr>
        <w:t>בנתב</w:t>
      </w:r>
      <w:r w:rsidRPr="00595DA3">
        <w:rPr>
          <w:rFonts w:cs="David"/>
          <w:sz w:val="24"/>
          <w:szCs w:val="24"/>
          <w:rtl/>
        </w:rPr>
        <w:t xml:space="preserve">"ג </w:t>
      </w:r>
      <w:r w:rsidRPr="00595DA3">
        <w:rPr>
          <w:rFonts w:cs="David" w:hint="eastAsia"/>
          <w:sz w:val="24"/>
          <w:szCs w:val="24"/>
          <w:rtl/>
        </w:rPr>
        <w:t>במחצית</w:t>
      </w:r>
      <w:r w:rsidRPr="00595DA3">
        <w:rPr>
          <w:rFonts w:cs="David"/>
          <w:sz w:val="24"/>
          <w:szCs w:val="24"/>
          <w:rtl/>
        </w:rPr>
        <w:t xml:space="preserve"> </w:t>
      </w:r>
      <w:r w:rsidRPr="00595DA3">
        <w:rPr>
          <w:rFonts w:cs="David" w:hint="eastAsia"/>
          <w:sz w:val="24"/>
          <w:szCs w:val="24"/>
          <w:rtl/>
        </w:rPr>
        <w:t>השנייה</w:t>
      </w:r>
      <w:r w:rsidRPr="00595DA3">
        <w:rPr>
          <w:rFonts w:cs="David"/>
          <w:sz w:val="24"/>
          <w:szCs w:val="24"/>
          <w:rtl/>
        </w:rPr>
        <w:t xml:space="preserve"> </w:t>
      </w:r>
      <w:r w:rsidRPr="00595DA3">
        <w:rPr>
          <w:rFonts w:cs="David" w:hint="eastAsia"/>
          <w:sz w:val="24"/>
          <w:szCs w:val="24"/>
          <w:rtl/>
        </w:rPr>
        <w:t>של</w:t>
      </w:r>
      <w:r w:rsidRPr="00595DA3">
        <w:rPr>
          <w:rFonts w:cs="David"/>
          <w:sz w:val="24"/>
          <w:szCs w:val="24"/>
          <w:rtl/>
        </w:rPr>
        <w:t xml:space="preserve"> </w:t>
      </w:r>
      <w:r w:rsidRPr="00595DA3">
        <w:rPr>
          <w:rFonts w:cs="David" w:hint="eastAsia"/>
          <w:sz w:val="24"/>
          <w:szCs w:val="24"/>
          <w:rtl/>
        </w:rPr>
        <w:t>אוגוסט</w:t>
      </w:r>
      <w:r w:rsidRPr="00595DA3">
        <w:rPr>
          <w:rFonts w:cs="David"/>
          <w:sz w:val="24"/>
          <w:szCs w:val="24"/>
          <w:rtl/>
        </w:rPr>
        <w:t xml:space="preserve"> 2019 </w:t>
      </w:r>
      <w:r>
        <w:rPr>
          <w:rFonts w:cs="David" w:hint="cs"/>
          <w:sz w:val="24"/>
          <w:szCs w:val="24"/>
          <w:rtl/>
        </w:rPr>
        <w:t>(</w:t>
      </w:r>
      <w:r w:rsidRPr="00595DA3">
        <w:rPr>
          <w:rFonts w:cs="David" w:hint="eastAsia"/>
          <w:sz w:val="24"/>
          <w:szCs w:val="24"/>
          <w:rtl/>
        </w:rPr>
        <w:t>תקופת</w:t>
      </w:r>
      <w:r w:rsidRPr="00595DA3">
        <w:rPr>
          <w:rFonts w:cs="David"/>
          <w:sz w:val="24"/>
          <w:szCs w:val="24"/>
          <w:rtl/>
        </w:rPr>
        <w:t xml:space="preserve"> </w:t>
      </w:r>
      <w:r w:rsidRPr="00595DA3">
        <w:rPr>
          <w:rFonts w:cs="David" w:hint="eastAsia"/>
          <w:sz w:val="24"/>
          <w:szCs w:val="24"/>
          <w:rtl/>
        </w:rPr>
        <w:t>עומס</w:t>
      </w:r>
      <w:r>
        <w:rPr>
          <w:rFonts w:cs="David" w:hint="cs"/>
          <w:sz w:val="24"/>
          <w:szCs w:val="24"/>
          <w:rtl/>
        </w:rPr>
        <w:t>)</w:t>
      </w:r>
      <w:r w:rsidRPr="00595DA3">
        <w:rPr>
          <w:rFonts w:cs="David"/>
          <w:sz w:val="24"/>
          <w:szCs w:val="24"/>
          <w:rtl/>
        </w:rPr>
        <w:t xml:space="preserve"> </w:t>
      </w:r>
      <w:r w:rsidRPr="00595DA3">
        <w:rPr>
          <w:rFonts w:cs="David" w:hint="eastAsia"/>
          <w:sz w:val="24"/>
          <w:szCs w:val="24"/>
          <w:rtl/>
        </w:rPr>
        <w:t>ובמחצית</w:t>
      </w:r>
      <w:r w:rsidRPr="00595DA3">
        <w:rPr>
          <w:rFonts w:cs="David"/>
          <w:sz w:val="24"/>
          <w:szCs w:val="24"/>
          <w:rtl/>
        </w:rPr>
        <w:t xml:space="preserve"> </w:t>
      </w:r>
      <w:r w:rsidRPr="00595DA3">
        <w:rPr>
          <w:rFonts w:cs="David" w:hint="eastAsia"/>
          <w:sz w:val="24"/>
          <w:szCs w:val="24"/>
          <w:rtl/>
        </w:rPr>
        <w:t>השנייה</w:t>
      </w:r>
      <w:r w:rsidRPr="00595DA3">
        <w:rPr>
          <w:rFonts w:cs="David"/>
          <w:sz w:val="24"/>
          <w:szCs w:val="24"/>
          <w:rtl/>
        </w:rPr>
        <w:t xml:space="preserve"> </w:t>
      </w:r>
      <w:r w:rsidRPr="00595DA3">
        <w:rPr>
          <w:rFonts w:cs="David" w:hint="eastAsia"/>
          <w:sz w:val="24"/>
          <w:szCs w:val="24"/>
          <w:rtl/>
        </w:rPr>
        <w:t>של</w:t>
      </w:r>
      <w:r w:rsidRPr="00595DA3">
        <w:rPr>
          <w:rFonts w:cs="David"/>
          <w:sz w:val="24"/>
          <w:szCs w:val="24"/>
          <w:rtl/>
        </w:rPr>
        <w:t xml:space="preserve"> </w:t>
      </w:r>
      <w:r w:rsidRPr="00595DA3">
        <w:rPr>
          <w:rFonts w:cs="David" w:hint="eastAsia"/>
          <w:sz w:val="24"/>
          <w:szCs w:val="24"/>
          <w:rtl/>
        </w:rPr>
        <w:t>נובמבר</w:t>
      </w:r>
      <w:r w:rsidRPr="00595DA3">
        <w:rPr>
          <w:rFonts w:cs="David"/>
          <w:sz w:val="24"/>
          <w:szCs w:val="24"/>
          <w:rtl/>
        </w:rPr>
        <w:t xml:space="preserve"> 2019 (להלן - </w:t>
      </w:r>
      <w:r w:rsidRPr="00595DA3">
        <w:rPr>
          <w:rFonts w:cs="David" w:hint="eastAsia"/>
          <w:sz w:val="24"/>
          <w:szCs w:val="24"/>
          <w:rtl/>
        </w:rPr>
        <w:t>התקופות</w:t>
      </w:r>
      <w:r w:rsidRPr="00595DA3">
        <w:rPr>
          <w:rFonts w:cs="David"/>
          <w:sz w:val="24"/>
          <w:szCs w:val="24"/>
          <w:rtl/>
        </w:rPr>
        <w:t xml:space="preserve"> </w:t>
      </w:r>
      <w:r w:rsidRPr="00595DA3">
        <w:rPr>
          <w:rFonts w:cs="David" w:hint="eastAsia"/>
          <w:sz w:val="24"/>
          <w:szCs w:val="24"/>
          <w:rtl/>
        </w:rPr>
        <w:t>שנבדקו</w:t>
      </w:r>
      <w:r w:rsidRPr="00595DA3">
        <w:rPr>
          <w:rFonts w:cs="David"/>
          <w:sz w:val="24"/>
          <w:szCs w:val="24"/>
          <w:rtl/>
        </w:rPr>
        <w:t xml:space="preserve">). </w:t>
      </w:r>
      <w:r w:rsidRPr="00595DA3">
        <w:rPr>
          <w:rFonts w:cs="David" w:hint="eastAsia"/>
          <w:sz w:val="24"/>
          <w:szCs w:val="24"/>
          <w:rtl/>
        </w:rPr>
        <w:t>זמן</w:t>
      </w:r>
      <w:r w:rsidRPr="00595DA3">
        <w:rPr>
          <w:rFonts w:cs="David"/>
          <w:sz w:val="24"/>
          <w:szCs w:val="24"/>
          <w:rtl/>
        </w:rPr>
        <w:t xml:space="preserve"> </w:t>
      </w:r>
      <w:r w:rsidRPr="00595DA3">
        <w:rPr>
          <w:rFonts w:cs="David" w:hint="eastAsia"/>
          <w:sz w:val="24"/>
          <w:szCs w:val="24"/>
          <w:rtl/>
        </w:rPr>
        <w:t>הבדיקה</w:t>
      </w:r>
      <w:r w:rsidRPr="00595DA3">
        <w:rPr>
          <w:rFonts w:cs="David"/>
          <w:sz w:val="24"/>
          <w:szCs w:val="24"/>
          <w:rtl/>
        </w:rPr>
        <w:t xml:space="preserve"> </w:t>
      </w:r>
      <w:r w:rsidRPr="00595DA3">
        <w:rPr>
          <w:rFonts w:cs="David" w:hint="eastAsia"/>
          <w:sz w:val="24"/>
          <w:szCs w:val="24"/>
          <w:rtl/>
        </w:rPr>
        <w:t>נמדד</w:t>
      </w:r>
      <w:r w:rsidRPr="00595DA3">
        <w:rPr>
          <w:rFonts w:cs="David"/>
          <w:sz w:val="24"/>
          <w:szCs w:val="24"/>
          <w:rtl/>
        </w:rPr>
        <w:t xml:space="preserve"> </w:t>
      </w:r>
      <w:r w:rsidRPr="00595DA3">
        <w:rPr>
          <w:rFonts w:cs="David" w:hint="eastAsia"/>
          <w:sz w:val="24"/>
          <w:szCs w:val="24"/>
          <w:rtl/>
        </w:rPr>
        <w:t>משלב</w:t>
      </w:r>
      <w:r w:rsidRPr="00595DA3">
        <w:rPr>
          <w:rFonts w:cs="David"/>
          <w:sz w:val="24"/>
          <w:szCs w:val="24"/>
          <w:rtl/>
        </w:rPr>
        <w:t xml:space="preserve"> </w:t>
      </w:r>
      <w:r w:rsidRPr="00595DA3">
        <w:rPr>
          <w:rFonts w:cs="David" w:hint="eastAsia"/>
          <w:sz w:val="24"/>
          <w:szCs w:val="24"/>
          <w:rtl/>
        </w:rPr>
        <w:t>הנחת</w:t>
      </w:r>
      <w:r w:rsidRPr="00595DA3">
        <w:rPr>
          <w:rFonts w:cs="David"/>
          <w:sz w:val="24"/>
          <w:szCs w:val="24"/>
          <w:rtl/>
        </w:rPr>
        <w:t xml:space="preserve"> </w:t>
      </w:r>
      <w:r w:rsidRPr="00595DA3">
        <w:rPr>
          <w:rFonts w:cs="David" w:hint="eastAsia"/>
          <w:sz w:val="24"/>
          <w:szCs w:val="24"/>
          <w:rtl/>
        </w:rPr>
        <w:t>הדרכון</w:t>
      </w:r>
      <w:r w:rsidRPr="00595DA3">
        <w:rPr>
          <w:rFonts w:cs="David"/>
          <w:sz w:val="24"/>
          <w:szCs w:val="24"/>
          <w:rtl/>
        </w:rPr>
        <w:t xml:space="preserve"> </w:t>
      </w:r>
      <w:r w:rsidRPr="00595DA3">
        <w:rPr>
          <w:rFonts w:cs="David" w:hint="eastAsia"/>
          <w:sz w:val="24"/>
          <w:szCs w:val="24"/>
          <w:rtl/>
        </w:rPr>
        <w:t>על</w:t>
      </w:r>
      <w:r w:rsidRPr="00595DA3">
        <w:rPr>
          <w:rFonts w:cs="David"/>
          <w:sz w:val="24"/>
          <w:szCs w:val="24"/>
          <w:rtl/>
        </w:rPr>
        <w:t xml:space="preserve"> </w:t>
      </w:r>
      <w:r w:rsidRPr="00595DA3">
        <w:rPr>
          <w:rFonts w:cs="David" w:hint="eastAsia"/>
          <w:sz w:val="24"/>
          <w:szCs w:val="24"/>
          <w:rtl/>
        </w:rPr>
        <w:t>הסורק</w:t>
      </w:r>
      <w:r w:rsidRPr="00595DA3">
        <w:rPr>
          <w:rFonts w:cs="David"/>
          <w:sz w:val="24"/>
          <w:szCs w:val="24"/>
          <w:rtl/>
        </w:rPr>
        <w:t xml:space="preserve"> </w:t>
      </w:r>
      <w:r w:rsidRPr="00595DA3">
        <w:rPr>
          <w:rFonts w:cs="David" w:hint="eastAsia"/>
          <w:sz w:val="24"/>
          <w:szCs w:val="24"/>
          <w:rtl/>
        </w:rPr>
        <w:t>או</w:t>
      </w:r>
      <w:r w:rsidRPr="00595DA3">
        <w:rPr>
          <w:rFonts w:cs="David"/>
          <w:sz w:val="24"/>
          <w:szCs w:val="24"/>
          <w:rtl/>
        </w:rPr>
        <w:t xml:space="preserve"> </w:t>
      </w:r>
      <w:r w:rsidRPr="00595DA3">
        <w:rPr>
          <w:rFonts w:cs="David" w:hint="eastAsia"/>
          <w:sz w:val="24"/>
          <w:szCs w:val="24"/>
          <w:rtl/>
        </w:rPr>
        <w:t>הזנת</w:t>
      </w:r>
      <w:r w:rsidRPr="00595DA3">
        <w:rPr>
          <w:rFonts w:cs="David"/>
          <w:sz w:val="24"/>
          <w:szCs w:val="24"/>
          <w:rtl/>
        </w:rPr>
        <w:t xml:space="preserve"> </w:t>
      </w:r>
      <w:r w:rsidRPr="00595DA3">
        <w:rPr>
          <w:rFonts w:cs="David" w:hint="eastAsia"/>
          <w:sz w:val="24"/>
          <w:szCs w:val="24"/>
          <w:rtl/>
        </w:rPr>
        <w:t>נתוני</w:t>
      </w:r>
      <w:r w:rsidRPr="00595DA3">
        <w:rPr>
          <w:rFonts w:cs="David" w:hint="cs"/>
          <w:sz w:val="24"/>
          <w:szCs w:val="24"/>
          <w:rtl/>
        </w:rPr>
        <w:t>ו</w:t>
      </w:r>
      <w:r w:rsidRPr="00595DA3">
        <w:rPr>
          <w:rFonts w:cs="David"/>
          <w:sz w:val="24"/>
          <w:szCs w:val="24"/>
          <w:rtl/>
        </w:rPr>
        <w:t xml:space="preserve"> ועד ל</w:t>
      </w:r>
      <w:r w:rsidRPr="00595DA3">
        <w:rPr>
          <w:rFonts w:cs="David" w:hint="cs"/>
          <w:sz w:val="24"/>
          <w:szCs w:val="24"/>
          <w:rtl/>
        </w:rPr>
        <w:t xml:space="preserve">הנפקת </w:t>
      </w:r>
      <w:r w:rsidRPr="00595DA3">
        <w:rPr>
          <w:rFonts w:cs="David" w:hint="eastAsia"/>
          <w:sz w:val="24"/>
          <w:szCs w:val="24"/>
          <w:rtl/>
        </w:rPr>
        <w:t>אישור</w:t>
      </w:r>
      <w:r w:rsidRPr="00595DA3">
        <w:rPr>
          <w:rFonts w:cs="David"/>
          <w:sz w:val="24"/>
          <w:szCs w:val="24"/>
          <w:rtl/>
        </w:rPr>
        <w:t xml:space="preserve"> המעבר </w:t>
      </w:r>
      <w:r w:rsidRPr="00595DA3">
        <w:rPr>
          <w:rFonts w:cs="David" w:hint="cs"/>
          <w:sz w:val="24"/>
          <w:szCs w:val="24"/>
          <w:rtl/>
        </w:rPr>
        <w:t>בידי</w:t>
      </w:r>
      <w:r w:rsidRPr="00595DA3">
        <w:rPr>
          <w:rFonts w:cs="David"/>
          <w:sz w:val="24"/>
          <w:szCs w:val="24"/>
          <w:rtl/>
        </w:rPr>
        <w:t xml:space="preserve"> בקר הגבול בקו הקדמי. </w:t>
      </w:r>
    </w:p>
    <w:p w:rsidR="002D0C59" w:rsidP="00AE0BE6" w14:paraId="5D1A28B4" w14:textId="77777777">
      <w:pPr>
        <w:pStyle w:val="a"/>
        <w:spacing w:line="269" w:lineRule="auto"/>
        <w:rPr>
          <w:rtl/>
        </w:rPr>
      </w:pPr>
    </w:p>
    <w:p w:rsidR="002D0C59" w:rsidRPr="00CF5067" w:rsidP="007277EF" w14:paraId="4F9859CE" w14:textId="77777777">
      <w:pPr>
        <w:spacing w:after="120" w:line="269" w:lineRule="auto"/>
        <w:ind w:left="312"/>
        <w:rPr>
          <w:b/>
          <w:bCs/>
          <w:sz w:val="24"/>
          <w:rtl/>
        </w:rPr>
      </w:pPr>
      <w:r w:rsidRPr="00DD28F5">
        <w:rPr>
          <w:rFonts w:hint="cs"/>
          <w:b/>
          <w:bCs/>
          <w:sz w:val="24"/>
          <w:rtl/>
        </w:rPr>
        <w:t xml:space="preserve">לוח 2: </w:t>
      </w:r>
      <w:r w:rsidRPr="000B40A3">
        <w:rPr>
          <w:b/>
          <w:bCs/>
          <w:sz w:val="24"/>
          <w:rtl/>
        </w:rPr>
        <w:t xml:space="preserve">בקשות לכניסת זרים לישראל וכניסות שאושרו בקו הקדמי, אוגוסט ונובמבר 2019 </w:t>
      </w:r>
    </w:p>
    <w:tbl>
      <w:tblPr>
        <w:tblStyle w:val="4-52"/>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2"/>
        <w:gridCol w:w="1560"/>
        <w:gridCol w:w="1701"/>
        <w:gridCol w:w="1816"/>
        <w:gridCol w:w="1722"/>
      </w:tblGrid>
      <w:tr w14:paraId="02F09E27" w14:textId="77777777" w:rsidTr="0041345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412" w:type="dxa"/>
            <w:tcBorders>
              <w:top w:val="none" w:sz="0" w:space="0" w:color="auto"/>
              <w:left w:val="none" w:sz="0" w:space="0" w:color="auto"/>
              <w:bottom w:val="none" w:sz="0" w:space="0" w:color="auto"/>
              <w:right w:val="none" w:sz="0" w:space="0" w:color="auto"/>
            </w:tcBorders>
            <w:shd w:val="clear" w:color="auto" w:fill="auto"/>
            <w:vAlign w:val="bottom"/>
          </w:tcPr>
          <w:p w:rsidR="002D0C59" w:rsidRPr="00377347" w:rsidP="00AE0BE6" w14:paraId="22BA1A91" w14:textId="77777777">
            <w:pPr>
              <w:pStyle w:val="ListParagraph"/>
              <w:spacing w:after="0" w:line="269" w:lineRule="auto"/>
              <w:ind w:left="0"/>
              <w:rPr>
                <w:rFonts w:cs="David"/>
                <w:sz w:val="20"/>
                <w:szCs w:val="20"/>
                <w:rtl/>
              </w:rPr>
            </w:pPr>
            <w:r w:rsidRPr="00377347">
              <w:rPr>
                <w:rFonts w:cs="David" w:hint="cs"/>
                <w:color w:val="auto"/>
                <w:sz w:val="20"/>
                <w:szCs w:val="20"/>
                <w:rtl/>
              </w:rPr>
              <w:t>התקופה</w:t>
            </w:r>
          </w:p>
        </w:tc>
        <w:tc>
          <w:tcPr>
            <w:tcW w:w="1560" w:type="dxa"/>
            <w:tcBorders>
              <w:top w:val="none" w:sz="0" w:space="0" w:color="auto"/>
              <w:left w:val="none" w:sz="0" w:space="0" w:color="auto"/>
              <w:bottom w:val="none" w:sz="0" w:space="0" w:color="auto"/>
              <w:right w:val="none" w:sz="0" w:space="0" w:color="auto"/>
            </w:tcBorders>
            <w:shd w:val="clear" w:color="auto" w:fill="auto"/>
            <w:vAlign w:val="bottom"/>
          </w:tcPr>
          <w:p w:rsidR="002D0C59" w:rsidRPr="00377347" w:rsidP="00AE0BE6" w14:paraId="5899E146" w14:textId="77777777">
            <w:pPr>
              <w:pStyle w:val="ListParagraph"/>
              <w:spacing w:after="0" w:line="269" w:lineRule="auto"/>
              <w:ind w:left="0"/>
              <w:rPr>
                <w:rFonts w:cs="David"/>
                <w:sz w:val="20"/>
                <w:szCs w:val="20"/>
                <w:rtl/>
              </w:rPr>
            </w:pPr>
            <w:r w:rsidRPr="00377347">
              <w:rPr>
                <w:rFonts w:cs="David" w:hint="cs"/>
                <w:color w:val="auto"/>
                <w:sz w:val="20"/>
                <w:szCs w:val="20"/>
                <w:rtl/>
              </w:rPr>
              <w:t>מס' הנוסעים הזרים שביקשו להיכנס לישראל</w:t>
            </w:r>
          </w:p>
        </w:tc>
        <w:tc>
          <w:tcPr>
            <w:tcW w:w="1701" w:type="dxa"/>
            <w:tcBorders>
              <w:top w:val="none" w:sz="0" w:space="0" w:color="auto"/>
              <w:left w:val="none" w:sz="0" w:space="0" w:color="auto"/>
              <w:bottom w:val="none" w:sz="0" w:space="0" w:color="auto"/>
              <w:right w:val="none" w:sz="0" w:space="0" w:color="auto"/>
            </w:tcBorders>
            <w:shd w:val="clear" w:color="auto" w:fill="auto"/>
            <w:vAlign w:val="bottom"/>
          </w:tcPr>
          <w:p w:rsidR="002D0C59" w:rsidRPr="00377347" w:rsidP="00AE0BE6" w14:paraId="226427E7" w14:textId="77777777">
            <w:pPr>
              <w:pStyle w:val="ListParagraph"/>
              <w:spacing w:after="0" w:line="269" w:lineRule="auto"/>
              <w:ind w:left="0"/>
              <w:rPr>
                <w:rFonts w:cs="David"/>
                <w:sz w:val="20"/>
                <w:szCs w:val="20"/>
                <w:rtl/>
              </w:rPr>
            </w:pPr>
            <w:r w:rsidRPr="00377347">
              <w:rPr>
                <w:rFonts w:cs="David" w:hint="cs"/>
                <w:color w:val="auto"/>
                <w:sz w:val="20"/>
                <w:szCs w:val="20"/>
                <w:rtl/>
              </w:rPr>
              <w:t>מהם: מס' הזרים שנכנסו באמצעות דרכון ביומטרי</w:t>
            </w:r>
          </w:p>
        </w:tc>
        <w:tc>
          <w:tcPr>
            <w:tcW w:w="1816" w:type="dxa"/>
            <w:tcBorders>
              <w:top w:val="none" w:sz="0" w:space="0" w:color="auto"/>
              <w:left w:val="none" w:sz="0" w:space="0" w:color="auto"/>
              <w:bottom w:val="none" w:sz="0" w:space="0" w:color="auto"/>
              <w:right w:val="none" w:sz="0" w:space="0" w:color="auto"/>
            </w:tcBorders>
            <w:shd w:val="clear" w:color="auto" w:fill="auto"/>
            <w:vAlign w:val="bottom"/>
          </w:tcPr>
          <w:p w:rsidR="002D0C59" w:rsidRPr="00377347" w:rsidP="00AE0BE6" w14:paraId="775B8ADA" w14:textId="77777777">
            <w:pPr>
              <w:pStyle w:val="ListParagraph"/>
              <w:spacing w:after="0" w:line="269" w:lineRule="auto"/>
              <w:ind w:left="0"/>
              <w:rPr>
                <w:rFonts w:cs="David"/>
                <w:sz w:val="20"/>
                <w:szCs w:val="20"/>
                <w:rtl/>
              </w:rPr>
            </w:pPr>
            <w:r w:rsidRPr="00377347">
              <w:rPr>
                <w:rFonts w:cs="David" w:hint="cs"/>
                <w:color w:val="auto"/>
                <w:sz w:val="20"/>
                <w:szCs w:val="20"/>
                <w:rtl/>
              </w:rPr>
              <w:t>זמן הבדיקה הממוצע לזרים שכניסתם אושרה</w:t>
            </w:r>
            <w:r w:rsidRPr="00377347" w:rsidR="00EC0F52">
              <w:rPr>
                <w:rFonts w:cs="David" w:hint="cs"/>
                <w:color w:val="auto"/>
                <w:sz w:val="20"/>
                <w:szCs w:val="20"/>
                <w:rtl/>
              </w:rPr>
              <w:t xml:space="preserve"> </w:t>
            </w:r>
            <w:r w:rsidRPr="00377347">
              <w:rPr>
                <w:rFonts w:cs="David" w:hint="cs"/>
                <w:color w:val="auto"/>
                <w:sz w:val="20"/>
                <w:szCs w:val="20"/>
                <w:rtl/>
              </w:rPr>
              <w:t>בקו הקדמי (בשניות)</w:t>
            </w:r>
          </w:p>
        </w:tc>
        <w:tc>
          <w:tcPr>
            <w:tcW w:w="0" w:type="auto"/>
            <w:tcBorders>
              <w:top w:val="none" w:sz="0" w:space="0" w:color="auto"/>
              <w:left w:val="none" w:sz="0" w:space="0" w:color="auto"/>
              <w:bottom w:val="none" w:sz="0" w:space="0" w:color="auto"/>
              <w:right w:val="none" w:sz="0" w:space="0" w:color="auto"/>
            </w:tcBorders>
            <w:shd w:val="clear" w:color="auto" w:fill="auto"/>
            <w:vAlign w:val="bottom"/>
          </w:tcPr>
          <w:p w:rsidR="002D0C59" w:rsidRPr="00377347" w:rsidP="00AE0BE6" w14:paraId="0DEAC768" w14:textId="77777777">
            <w:pPr>
              <w:pStyle w:val="ListParagraph"/>
              <w:spacing w:after="0" w:line="269" w:lineRule="auto"/>
              <w:ind w:left="0"/>
              <w:rPr>
                <w:rFonts w:cs="David"/>
                <w:sz w:val="20"/>
                <w:szCs w:val="20"/>
                <w:rtl/>
              </w:rPr>
            </w:pPr>
            <w:r w:rsidRPr="00377347">
              <w:rPr>
                <w:rFonts w:cs="David" w:hint="cs"/>
                <w:color w:val="auto"/>
                <w:sz w:val="20"/>
                <w:szCs w:val="20"/>
                <w:rtl/>
              </w:rPr>
              <w:t>מהם: מס' הזרים שנכנסו ואושרה כניסתם ב</w:t>
            </w:r>
            <w:r w:rsidRPr="00377347">
              <w:rPr>
                <w:rFonts w:cs="David" w:hint="cs"/>
                <w:color w:val="auto"/>
                <w:sz w:val="20"/>
                <w:szCs w:val="20"/>
                <w:rtl/>
              </w:rPr>
              <w:t>קו הקדמי</w:t>
            </w:r>
          </w:p>
        </w:tc>
      </w:tr>
      <w:tr w14:paraId="77486553" w14:textId="77777777" w:rsidTr="0041345D">
        <w:tblPrEx>
          <w:tblW w:w="0" w:type="auto"/>
          <w:jc w:val="center"/>
          <w:tblLook w:val="04A0"/>
        </w:tblPrEx>
        <w:trPr>
          <w:trHeight w:val="251"/>
          <w:jc w:val="center"/>
        </w:trPr>
        <w:tc>
          <w:tcPr>
            <w:tcW w:w="1412" w:type="dxa"/>
            <w:shd w:val="clear" w:color="auto" w:fill="auto"/>
            <w:vAlign w:val="bottom"/>
          </w:tcPr>
          <w:p w:rsidR="002D0C59" w:rsidRPr="00377347" w:rsidP="00AE0BE6" w14:paraId="63EFE893" w14:textId="77777777">
            <w:pPr>
              <w:pStyle w:val="ListParagraph"/>
              <w:spacing w:after="0" w:line="269" w:lineRule="auto"/>
              <w:ind w:left="0"/>
              <w:rPr>
                <w:rFonts w:cs="David"/>
                <w:sz w:val="20"/>
                <w:szCs w:val="20"/>
                <w:rtl/>
              </w:rPr>
            </w:pPr>
            <w:r w:rsidRPr="00377347">
              <w:rPr>
                <w:rFonts w:cs="David" w:hint="cs"/>
                <w:sz w:val="20"/>
                <w:szCs w:val="20"/>
                <w:rtl/>
              </w:rPr>
              <w:t>אוגוסט 2019</w:t>
            </w:r>
          </w:p>
        </w:tc>
        <w:tc>
          <w:tcPr>
            <w:tcW w:w="1560" w:type="dxa"/>
            <w:shd w:val="clear" w:color="auto" w:fill="auto"/>
            <w:vAlign w:val="bottom"/>
          </w:tcPr>
          <w:p w:rsidR="002D0C59" w:rsidRPr="00377347" w:rsidP="00AE0BE6" w14:paraId="05BA4845" w14:textId="77777777">
            <w:pPr>
              <w:pStyle w:val="ListParagraph"/>
              <w:spacing w:after="0" w:line="269" w:lineRule="auto"/>
              <w:ind w:left="0"/>
              <w:jc w:val="center"/>
              <w:rPr>
                <w:rFonts w:cs="David"/>
                <w:sz w:val="20"/>
                <w:szCs w:val="20"/>
                <w:rtl/>
              </w:rPr>
            </w:pPr>
            <w:r w:rsidRPr="00377347">
              <w:rPr>
                <w:rFonts w:cs="David" w:hint="cs"/>
                <w:sz w:val="20"/>
                <w:szCs w:val="20"/>
                <w:rtl/>
              </w:rPr>
              <w:t>146,639</w:t>
            </w:r>
          </w:p>
        </w:tc>
        <w:tc>
          <w:tcPr>
            <w:tcW w:w="1701" w:type="dxa"/>
            <w:shd w:val="clear" w:color="auto" w:fill="auto"/>
            <w:vAlign w:val="bottom"/>
          </w:tcPr>
          <w:p w:rsidR="002D0C59" w:rsidRPr="00377347" w:rsidP="00AE0BE6" w14:paraId="567322A8" w14:textId="77777777">
            <w:pPr>
              <w:pStyle w:val="ListParagraph"/>
              <w:spacing w:after="0" w:line="269" w:lineRule="auto"/>
              <w:ind w:left="0"/>
              <w:jc w:val="center"/>
              <w:rPr>
                <w:rFonts w:cs="David"/>
                <w:sz w:val="20"/>
                <w:szCs w:val="20"/>
                <w:rtl/>
              </w:rPr>
            </w:pPr>
            <w:r w:rsidRPr="00377347">
              <w:rPr>
                <w:rFonts w:cs="David" w:hint="cs"/>
                <w:sz w:val="20"/>
                <w:szCs w:val="20"/>
                <w:rtl/>
              </w:rPr>
              <w:t>119,215 (81%)</w:t>
            </w:r>
          </w:p>
        </w:tc>
        <w:tc>
          <w:tcPr>
            <w:tcW w:w="1816" w:type="dxa"/>
            <w:shd w:val="clear" w:color="auto" w:fill="auto"/>
            <w:vAlign w:val="bottom"/>
          </w:tcPr>
          <w:p w:rsidR="002D0C59" w:rsidRPr="00377347" w:rsidP="00AE0BE6" w14:paraId="1A056B96" w14:textId="77777777">
            <w:pPr>
              <w:pStyle w:val="ListParagraph"/>
              <w:spacing w:after="0" w:line="269" w:lineRule="auto"/>
              <w:ind w:left="0"/>
              <w:jc w:val="center"/>
              <w:rPr>
                <w:rFonts w:cs="David"/>
                <w:sz w:val="20"/>
                <w:szCs w:val="20"/>
                <w:rtl/>
              </w:rPr>
            </w:pPr>
            <w:r w:rsidRPr="00377347">
              <w:rPr>
                <w:rFonts w:cs="David" w:hint="cs"/>
                <w:sz w:val="20"/>
                <w:szCs w:val="20"/>
                <w:rtl/>
              </w:rPr>
              <w:t>25</w:t>
            </w:r>
          </w:p>
        </w:tc>
        <w:tc>
          <w:tcPr>
            <w:tcW w:w="0" w:type="auto"/>
            <w:shd w:val="clear" w:color="auto" w:fill="auto"/>
            <w:vAlign w:val="bottom"/>
          </w:tcPr>
          <w:p w:rsidR="002D0C59" w:rsidRPr="00377347" w:rsidP="00AE0BE6" w14:paraId="5CFD2A30" w14:textId="77777777">
            <w:pPr>
              <w:pStyle w:val="ListParagraph"/>
              <w:spacing w:after="0" w:line="269" w:lineRule="auto"/>
              <w:ind w:left="0"/>
              <w:jc w:val="center"/>
              <w:rPr>
                <w:rFonts w:cs="David"/>
                <w:sz w:val="20"/>
                <w:szCs w:val="20"/>
                <w:rtl/>
              </w:rPr>
            </w:pPr>
            <w:r w:rsidRPr="00377347">
              <w:rPr>
                <w:rFonts w:cs="David" w:hint="cs"/>
                <w:sz w:val="20"/>
                <w:szCs w:val="20"/>
                <w:rtl/>
              </w:rPr>
              <w:t>141,547 (97%)</w:t>
            </w:r>
          </w:p>
        </w:tc>
      </w:tr>
      <w:tr w14:paraId="26350D21" w14:textId="77777777" w:rsidTr="0041345D">
        <w:tblPrEx>
          <w:tblW w:w="0" w:type="auto"/>
          <w:jc w:val="center"/>
          <w:tblLook w:val="04A0"/>
        </w:tblPrEx>
        <w:trPr>
          <w:jc w:val="center"/>
        </w:trPr>
        <w:tc>
          <w:tcPr>
            <w:tcW w:w="1412" w:type="dxa"/>
            <w:shd w:val="clear" w:color="auto" w:fill="auto"/>
            <w:vAlign w:val="bottom"/>
          </w:tcPr>
          <w:p w:rsidR="002D0C59" w:rsidRPr="00377347" w:rsidP="00AE0BE6" w14:paraId="2F6424F4" w14:textId="77777777">
            <w:pPr>
              <w:pStyle w:val="ListParagraph"/>
              <w:spacing w:after="0" w:line="269" w:lineRule="auto"/>
              <w:ind w:left="0"/>
              <w:rPr>
                <w:rFonts w:cs="David"/>
                <w:sz w:val="20"/>
                <w:szCs w:val="20"/>
                <w:rtl/>
              </w:rPr>
            </w:pPr>
            <w:r w:rsidRPr="00377347">
              <w:rPr>
                <w:rFonts w:cs="David" w:hint="cs"/>
                <w:sz w:val="20"/>
                <w:szCs w:val="20"/>
                <w:rtl/>
              </w:rPr>
              <w:t>נובמבר 2019</w:t>
            </w:r>
          </w:p>
        </w:tc>
        <w:tc>
          <w:tcPr>
            <w:tcW w:w="1560" w:type="dxa"/>
            <w:shd w:val="clear" w:color="auto" w:fill="auto"/>
            <w:vAlign w:val="bottom"/>
          </w:tcPr>
          <w:p w:rsidR="002D0C59" w:rsidRPr="00377347" w:rsidP="00AE0BE6" w14:paraId="2FEA6B99" w14:textId="77777777">
            <w:pPr>
              <w:pStyle w:val="ListParagraph"/>
              <w:spacing w:after="0" w:line="269" w:lineRule="auto"/>
              <w:ind w:left="0"/>
              <w:jc w:val="center"/>
              <w:rPr>
                <w:rFonts w:cs="David"/>
                <w:sz w:val="20"/>
                <w:szCs w:val="20"/>
                <w:rtl/>
              </w:rPr>
            </w:pPr>
            <w:r w:rsidRPr="00377347">
              <w:rPr>
                <w:rFonts w:cs="David" w:hint="cs"/>
                <w:sz w:val="20"/>
                <w:szCs w:val="20"/>
                <w:rtl/>
              </w:rPr>
              <w:t>162,750</w:t>
            </w:r>
          </w:p>
        </w:tc>
        <w:tc>
          <w:tcPr>
            <w:tcW w:w="1701" w:type="dxa"/>
            <w:shd w:val="clear" w:color="auto" w:fill="auto"/>
            <w:vAlign w:val="bottom"/>
          </w:tcPr>
          <w:p w:rsidR="002D0C59" w:rsidRPr="00377347" w:rsidP="00AE0BE6" w14:paraId="4F2EA6F2" w14:textId="77777777">
            <w:pPr>
              <w:pStyle w:val="ListParagraph"/>
              <w:spacing w:after="0" w:line="269" w:lineRule="auto"/>
              <w:ind w:left="0"/>
              <w:jc w:val="center"/>
              <w:rPr>
                <w:rFonts w:cs="David"/>
                <w:sz w:val="20"/>
                <w:szCs w:val="20"/>
                <w:rtl/>
              </w:rPr>
            </w:pPr>
            <w:r w:rsidRPr="00377347">
              <w:rPr>
                <w:rFonts w:cs="David" w:hint="cs"/>
                <w:sz w:val="20"/>
                <w:szCs w:val="20"/>
                <w:rtl/>
              </w:rPr>
              <w:t>129,428 (80%)</w:t>
            </w:r>
          </w:p>
        </w:tc>
        <w:tc>
          <w:tcPr>
            <w:tcW w:w="1816" w:type="dxa"/>
            <w:shd w:val="clear" w:color="auto" w:fill="auto"/>
            <w:vAlign w:val="bottom"/>
          </w:tcPr>
          <w:p w:rsidR="002D0C59" w:rsidRPr="00377347" w:rsidP="00AE0BE6" w14:paraId="4BC76E00" w14:textId="77777777">
            <w:pPr>
              <w:pStyle w:val="ListParagraph"/>
              <w:spacing w:after="0" w:line="269" w:lineRule="auto"/>
              <w:ind w:left="0"/>
              <w:jc w:val="center"/>
              <w:rPr>
                <w:rFonts w:cs="David"/>
                <w:sz w:val="20"/>
                <w:szCs w:val="20"/>
                <w:rtl/>
              </w:rPr>
            </w:pPr>
            <w:r w:rsidRPr="00377347">
              <w:rPr>
                <w:rFonts w:cs="David" w:hint="cs"/>
                <w:sz w:val="20"/>
                <w:szCs w:val="20"/>
                <w:rtl/>
              </w:rPr>
              <w:t>28</w:t>
            </w:r>
          </w:p>
        </w:tc>
        <w:tc>
          <w:tcPr>
            <w:tcW w:w="0" w:type="auto"/>
            <w:shd w:val="clear" w:color="auto" w:fill="auto"/>
            <w:vAlign w:val="bottom"/>
          </w:tcPr>
          <w:p w:rsidR="002D0C59" w:rsidRPr="00377347" w:rsidP="00AE0BE6" w14:paraId="3CD3D8E8" w14:textId="77777777">
            <w:pPr>
              <w:pStyle w:val="ListParagraph"/>
              <w:spacing w:after="0" w:line="269" w:lineRule="auto"/>
              <w:ind w:left="0"/>
              <w:jc w:val="center"/>
              <w:rPr>
                <w:rFonts w:cs="David"/>
                <w:sz w:val="20"/>
                <w:szCs w:val="20"/>
                <w:rtl/>
              </w:rPr>
            </w:pPr>
            <w:r w:rsidRPr="00377347">
              <w:rPr>
                <w:rFonts w:cs="David" w:hint="cs"/>
                <w:sz w:val="20"/>
                <w:szCs w:val="20"/>
                <w:rtl/>
              </w:rPr>
              <w:t>156,590 (96%)</w:t>
            </w:r>
          </w:p>
        </w:tc>
      </w:tr>
    </w:tbl>
    <w:p w:rsidR="002D0C59" w:rsidRPr="00A357ED" w:rsidP="007277EF" w14:paraId="5C458474" w14:textId="77777777">
      <w:pPr>
        <w:spacing w:before="120" w:line="269" w:lineRule="auto"/>
        <w:rPr>
          <w:sz w:val="16"/>
          <w:rtl/>
        </w:rPr>
      </w:pPr>
      <w:r w:rsidRPr="00A357ED">
        <w:rPr>
          <w:rFonts w:hint="eastAsia"/>
          <w:sz w:val="16"/>
          <w:szCs w:val="20"/>
          <w:rtl/>
        </w:rPr>
        <w:t>המקור</w:t>
      </w:r>
      <w:r w:rsidRPr="00A357ED">
        <w:rPr>
          <w:sz w:val="16"/>
          <w:szCs w:val="20"/>
          <w:rtl/>
        </w:rPr>
        <w:t xml:space="preserve">: </w:t>
      </w:r>
      <w:r w:rsidRPr="00A357ED">
        <w:rPr>
          <w:rFonts w:hint="eastAsia"/>
          <w:sz w:val="16"/>
          <w:szCs w:val="20"/>
          <w:rtl/>
        </w:rPr>
        <w:t>נתוני</w:t>
      </w:r>
      <w:r w:rsidRPr="00A357ED">
        <w:rPr>
          <w:sz w:val="16"/>
          <w:szCs w:val="20"/>
          <w:rtl/>
        </w:rPr>
        <w:t xml:space="preserve"> </w:t>
      </w:r>
      <w:r w:rsidRPr="00A357ED">
        <w:rPr>
          <w:rFonts w:hint="eastAsia"/>
          <w:sz w:val="16"/>
          <w:szCs w:val="20"/>
          <w:rtl/>
        </w:rPr>
        <w:t>רשות</w:t>
      </w:r>
      <w:r w:rsidRPr="00A357ED">
        <w:rPr>
          <w:sz w:val="16"/>
          <w:szCs w:val="20"/>
          <w:rtl/>
        </w:rPr>
        <w:t xml:space="preserve"> </w:t>
      </w:r>
      <w:r w:rsidRPr="00A357ED">
        <w:rPr>
          <w:rFonts w:hint="eastAsia"/>
          <w:sz w:val="16"/>
          <w:szCs w:val="20"/>
          <w:rtl/>
        </w:rPr>
        <w:t>האוכלוסין</w:t>
      </w:r>
      <w:r w:rsidRPr="00A357ED">
        <w:rPr>
          <w:sz w:val="16"/>
          <w:szCs w:val="20"/>
          <w:rtl/>
        </w:rPr>
        <w:t>, בעיבוד משרד מבקר המדינה.</w:t>
      </w:r>
    </w:p>
    <w:p w:rsidR="002D0C59" w:rsidRPr="0035256B" w:rsidP="00AE0BE6" w14:paraId="71F72B55" w14:textId="77777777">
      <w:pPr>
        <w:pStyle w:val="a"/>
        <w:spacing w:line="269" w:lineRule="auto"/>
        <w:rPr>
          <w:rtl/>
        </w:rPr>
      </w:pPr>
    </w:p>
    <w:p w:rsidR="002D0C59" w:rsidRPr="00F55BE9" w:rsidP="00AE0BE6" w14:paraId="324649E0" w14:textId="77777777">
      <w:pPr>
        <w:pStyle w:val="ListParagraph"/>
        <w:spacing w:after="0" w:line="269" w:lineRule="auto"/>
        <w:ind w:left="312"/>
        <w:jc w:val="both"/>
        <w:rPr>
          <w:rtl/>
        </w:rPr>
      </w:pPr>
      <w:r w:rsidRPr="00241ED6">
        <w:rPr>
          <w:rFonts w:cs="David" w:hint="eastAsia"/>
          <w:sz w:val="24"/>
          <w:szCs w:val="24"/>
          <w:rtl/>
        </w:rPr>
        <w:t>מהלוח</w:t>
      </w:r>
      <w:r w:rsidRPr="00241ED6">
        <w:rPr>
          <w:rFonts w:cs="David"/>
          <w:sz w:val="24"/>
          <w:szCs w:val="24"/>
          <w:rtl/>
        </w:rPr>
        <w:t xml:space="preserve"> עולה כי רובם </w:t>
      </w:r>
      <w:r>
        <w:rPr>
          <w:rFonts w:cs="David" w:hint="cs"/>
          <w:sz w:val="24"/>
          <w:szCs w:val="24"/>
          <w:rtl/>
        </w:rPr>
        <w:t xml:space="preserve">המכריע </w:t>
      </w:r>
      <w:r w:rsidRPr="00241ED6">
        <w:rPr>
          <w:rFonts w:cs="David"/>
          <w:sz w:val="24"/>
          <w:szCs w:val="24"/>
          <w:rtl/>
        </w:rPr>
        <w:t xml:space="preserve">של </w:t>
      </w:r>
      <w:r w:rsidRPr="00241ED6">
        <w:rPr>
          <w:rFonts w:cs="David" w:hint="eastAsia"/>
          <w:sz w:val="24"/>
          <w:szCs w:val="24"/>
          <w:rtl/>
        </w:rPr>
        <w:t>הנוסעים</w:t>
      </w:r>
      <w:r w:rsidRPr="00241ED6">
        <w:rPr>
          <w:rFonts w:cs="David"/>
          <w:sz w:val="24"/>
          <w:szCs w:val="24"/>
          <w:rtl/>
        </w:rPr>
        <w:t xml:space="preserve"> </w:t>
      </w:r>
      <w:r w:rsidRPr="00241ED6">
        <w:rPr>
          <w:rFonts w:cs="David" w:hint="eastAsia"/>
          <w:sz w:val="24"/>
          <w:szCs w:val="24"/>
          <w:rtl/>
        </w:rPr>
        <w:t>הזרים</w:t>
      </w:r>
      <w:r w:rsidRPr="00241ED6">
        <w:rPr>
          <w:rFonts w:cs="David"/>
          <w:sz w:val="24"/>
          <w:szCs w:val="24"/>
          <w:rtl/>
        </w:rPr>
        <w:t xml:space="preserve"> </w:t>
      </w:r>
      <w:r w:rsidRPr="00241ED6">
        <w:rPr>
          <w:rFonts w:cs="David" w:hint="eastAsia"/>
          <w:sz w:val="24"/>
          <w:szCs w:val="24"/>
          <w:rtl/>
        </w:rPr>
        <w:t>שביקשו</w:t>
      </w:r>
      <w:r w:rsidRPr="00241ED6">
        <w:rPr>
          <w:rFonts w:cs="David"/>
          <w:sz w:val="24"/>
          <w:szCs w:val="24"/>
          <w:rtl/>
        </w:rPr>
        <w:t xml:space="preserve"> להיכנס לישראל בתקופות </w:t>
      </w:r>
      <w:r w:rsidRPr="00241ED6">
        <w:rPr>
          <w:rFonts w:cs="David" w:hint="eastAsia"/>
          <w:sz w:val="24"/>
          <w:szCs w:val="24"/>
          <w:rtl/>
        </w:rPr>
        <w:t>האמורות</w:t>
      </w:r>
      <w:r w:rsidR="00EC0F52">
        <w:rPr>
          <w:rFonts w:cs="David" w:hint="cs"/>
          <w:sz w:val="24"/>
          <w:szCs w:val="24"/>
          <w:rtl/>
        </w:rPr>
        <w:t xml:space="preserve"> </w:t>
      </w:r>
      <w:r>
        <w:rPr>
          <w:rFonts w:cs="David" w:hint="cs"/>
          <w:sz w:val="24"/>
          <w:szCs w:val="24"/>
          <w:rtl/>
        </w:rPr>
        <w:t xml:space="preserve">(96% - </w:t>
      </w:r>
      <w:r>
        <w:rPr>
          <w:rFonts w:cs="David" w:hint="cs"/>
          <w:sz w:val="24"/>
          <w:szCs w:val="24"/>
          <w:rtl/>
        </w:rPr>
        <w:t>97%)</w:t>
      </w:r>
      <w:r w:rsidRPr="00241ED6">
        <w:rPr>
          <w:rFonts w:cs="David"/>
          <w:sz w:val="24"/>
          <w:szCs w:val="24"/>
          <w:rtl/>
        </w:rPr>
        <w:t xml:space="preserve"> </w:t>
      </w:r>
      <w:r>
        <w:rPr>
          <w:rFonts w:cs="David" w:hint="cs"/>
          <w:sz w:val="24"/>
          <w:szCs w:val="24"/>
          <w:rtl/>
        </w:rPr>
        <w:t xml:space="preserve">קיבלו אישור כניסה כבר בקו </w:t>
      </w:r>
      <w:r w:rsidRPr="00241ED6">
        <w:rPr>
          <w:rFonts w:cs="David" w:hint="eastAsia"/>
          <w:sz w:val="24"/>
          <w:szCs w:val="24"/>
          <w:rtl/>
        </w:rPr>
        <w:t>הקדמי</w:t>
      </w:r>
      <w:r w:rsidRPr="00241ED6">
        <w:rPr>
          <w:rFonts w:cs="David"/>
          <w:sz w:val="24"/>
          <w:szCs w:val="24"/>
          <w:rtl/>
        </w:rPr>
        <w:t xml:space="preserve">, ומשך הטיפול </w:t>
      </w:r>
      <w:r w:rsidRPr="00241ED6">
        <w:rPr>
          <w:rFonts w:cs="David" w:hint="eastAsia"/>
          <w:sz w:val="24"/>
          <w:szCs w:val="24"/>
          <w:rtl/>
        </w:rPr>
        <w:t>הממוצע</w:t>
      </w:r>
      <w:r w:rsidRPr="00241ED6">
        <w:rPr>
          <w:rFonts w:cs="David"/>
          <w:sz w:val="24"/>
          <w:szCs w:val="24"/>
          <w:rtl/>
        </w:rPr>
        <w:t xml:space="preserve"> </w:t>
      </w:r>
      <w:r w:rsidRPr="00241ED6">
        <w:rPr>
          <w:rFonts w:cs="David" w:hint="eastAsia"/>
          <w:sz w:val="24"/>
          <w:szCs w:val="24"/>
          <w:rtl/>
        </w:rPr>
        <w:t>בהם</w:t>
      </w:r>
      <w:r w:rsidRPr="00241ED6">
        <w:rPr>
          <w:rFonts w:cs="David"/>
          <w:sz w:val="24"/>
          <w:szCs w:val="24"/>
          <w:rtl/>
        </w:rPr>
        <w:t xml:space="preserve"> </w:t>
      </w:r>
      <w:r w:rsidRPr="00241ED6">
        <w:rPr>
          <w:rFonts w:cs="David" w:hint="eastAsia"/>
          <w:sz w:val="24"/>
          <w:szCs w:val="24"/>
          <w:rtl/>
        </w:rPr>
        <w:t>היה</w:t>
      </w:r>
      <w:r w:rsidRPr="00241ED6">
        <w:rPr>
          <w:rFonts w:cs="David"/>
          <w:sz w:val="24"/>
          <w:szCs w:val="24"/>
          <w:rtl/>
        </w:rPr>
        <w:t xml:space="preserve"> נמוך בכמחצית </w:t>
      </w:r>
      <w:r w:rsidRPr="00241ED6">
        <w:rPr>
          <w:rFonts w:cs="David" w:hint="eastAsia"/>
          <w:sz w:val="24"/>
          <w:szCs w:val="24"/>
          <w:rtl/>
        </w:rPr>
        <w:t>מהזמן</w:t>
      </w:r>
      <w:r w:rsidRPr="00241ED6">
        <w:rPr>
          <w:rFonts w:cs="David"/>
          <w:sz w:val="24"/>
          <w:szCs w:val="24"/>
          <w:rtl/>
        </w:rPr>
        <w:t xml:space="preserve"> </w:t>
      </w:r>
      <w:r w:rsidRPr="00241ED6">
        <w:rPr>
          <w:rFonts w:cs="David" w:hint="eastAsia"/>
          <w:sz w:val="24"/>
          <w:szCs w:val="24"/>
          <w:rtl/>
        </w:rPr>
        <w:t>שנקבע</w:t>
      </w:r>
      <w:r w:rsidRPr="00241ED6">
        <w:rPr>
          <w:rFonts w:cs="David"/>
          <w:sz w:val="24"/>
          <w:szCs w:val="24"/>
          <w:rtl/>
        </w:rPr>
        <w:t xml:space="preserve"> </w:t>
      </w:r>
      <w:r w:rsidRPr="00241ED6">
        <w:rPr>
          <w:rFonts w:cs="David" w:hint="eastAsia"/>
          <w:sz w:val="24"/>
          <w:szCs w:val="24"/>
          <w:rtl/>
        </w:rPr>
        <w:t>בהסכם</w:t>
      </w:r>
      <w:r w:rsidRPr="00241ED6">
        <w:rPr>
          <w:rFonts w:cs="David"/>
          <w:sz w:val="24"/>
          <w:szCs w:val="24"/>
          <w:rtl/>
        </w:rPr>
        <w:t xml:space="preserve"> בין רשות האוכלוסין לרש"ת</w:t>
      </w:r>
      <w:r>
        <w:rPr>
          <w:rFonts w:cs="David" w:hint="cs"/>
          <w:sz w:val="24"/>
          <w:szCs w:val="24"/>
          <w:rtl/>
        </w:rPr>
        <w:t xml:space="preserve"> (50 שניות)</w:t>
      </w:r>
      <w:r w:rsidRPr="00241ED6">
        <w:rPr>
          <w:rFonts w:cs="David"/>
          <w:sz w:val="24"/>
          <w:szCs w:val="24"/>
          <w:rtl/>
        </w:rPr>
        <w:t>.</w:t>
      </w:r>
    </w:p>
    <w:p w:rsidR="002D0C59" w:rsidRPr="00655DA4" w:rsidP="00AE0BE6" w14:paraId="4D8CE2BA" w14:textId="77777777">
      <w:pPr>
        <w:pStyle w:val="a"/>
        <w:spacing w:line="269" w:lineRule="auto"/>
        <w:rPr>
          <w:rtl/>
        </w:rPr>
      </w:pPr>
    </w:p>
    <w:p w:rsidR="002D0C59" w:rsidRPr="001B1F2D" w:rsidP="00AE0BE6" w14:paraId="30E2D6EF" w14:textId="77777777">
      <w:pPr>
        <w:pStyle w:val="ListParagraph"/>
        <w:numPr>
          <w:ilvl w:val="0"/>
          <w:numId w:val="29"/>
        </w:numPr>
        <w:spacing w:after="0" w:line="269" w:lineRule="auto"/>
        <w:jc w:val="both"/>
      </w:pPr>
      <w:r w:rsidRPr="001C6CAC">
        <w:rPr>
          <w:rFonts w:cs="David" w:hint="eastAsia"/>
          <w:sz w:val="24"/>
          <w:szCs w:val="24"/>
          <w:rtl/>
        </w:rPr>
        <w:t>משרד</w:t>
      </w:r>
      <w:r w:rsidRPr="001C6CAC">
        <w:rPr>
          <w:rFonts w:cs="David"/>
          <w:sz w:val="24"/>
          <w:szCs w:val="24"/>
          <w:rtl/>
        </w:rPr>
        <w:t xml:space="preserve"> מבקר המדינה בדק את משך </w:t>
      </w:r>
      <w:r w:rsidRPr="001C6CAC">
        <w:rPr>
          <w:rFonts w:cs="David" w:hint="eastAsia"/>
          <w:sz w:val="24"/>
          <w:szCs w:val="24"/>
          <w:rtl/>
        </w:rPr>
        <w:t>המקטע</w:t>
      </w:r>
      <w:r w:rsidRPr="001C6CAC">
        <w:rPr>
          <w:rFonts w:cs="David"/>
          <w:sz w:val="24"/>
          <w:szCs w:val="24"/>
          <w:rtl/>
        </w:rPr>
        <w:t xml:space="preserve"> </w:t>
      </w:r>
      <w:r w:rsidRPr="001C6CAC">
        <w:rPr>
          <w:rFonts w:cs="David" w:hint="eastAsia"/>
          <w:sz w:val="24"/>
          <w:szCs w:val="24"/>
          <w:rtl/>
        </w:rPr>
        <w:t>האמור</w:t>
      </w:r>
      <w:r w:rsidRPr="001C6CAC">
        <w:rPr>
          <w:rFonts w:cs="David"/>
          <w:sz w:val="24"/>
          <w:szCs w:val="24"/>
          <w:rtl/>
        </w:rPr>
        <w:t xml:space="preserve"> </w:t>
      </w:r>
      <w:r w:rsidRPr="001C6CAC">
        <w:rPr>
          <w:rFonts w:cs="David" w:hint="eastAsia"/>
          <w:sz w:val="24"/>
          <w:szCs w:val="24"/>
          <w:rtl/>
        </w:rPr>
        <w:t>בבדיקה</w:t>
      </w:r>
      <w:r w:rsidRPr="001C6CAC">
        <w:rPr>
          <w:rFonts w:cs="David"/>
          <w:sz w:val="24"/>
          <w:szCs w:val="24"/>
          <w:rtl/>
        </w:rPr>
        <w:t xml:space="preserve"> </w:t>
      </w:r>
      <w:r w:rsidRPr="001C6CAC">
        <w:rPr>
          <w:rFonts w:cs="David" w:hint="eastAsia"/>
          <w:sz w:val="24"/>
          <w:szCs w:val="24"/>
          <w:rtl/>
        </w:rPr>
        <w:t>האחידה</w:t>
      </w:r>
      <w:r w:rsidRPr="001C6CAC">
        <w:rPr>
          <w:rFonts w:cs="David"/>
          <w:sz w:val="24"/>
          <w:szCs w:val="24"/>
          <w:rtl/>
        </w:rPr>
        <w:t xml:space="preserve"> </w:t>
      </w:r>
      <w:r w:rsidRPr="001C6CAC">
        <w:rPr>
          <w:rFonts w:cs="David" w:hint="eastAsia"/>
          <w:sz w:val="24"/>
          <w:szCs w:val="24"/>
          <w:rtl/>
        </w:rPr>
        <w:t>של</w:t>
      </w:r>
      <w:r w:rsidRPr="001C6CAC">
        <w:rPr>
          <w:rFonts w:cs="David"/>
          <w:sz w:val="24"/>
          <w:szCs w:val="24"/>
          <w:rtl/>
        </w:rPr>
        <w:t xml:space="preserve"> </w:t>
      </w:r>
      <w:r w:rsidRPr="001C6CAC">
        <w:rPr>
          <w:rFonts w:cs="David" w:hint="eastAsia"/>
          <w:sz w:val="24"/>
          <w:szCs w:val="24"/>
          <w:rtl/>
        </w:rPr>
        <w:t>זרים</w:t>
      </w:r>
      <w:r w:rsidRPr="001C6CAC">
        <w:rPr>
          <w:rFonts w:cs="David"/>
          <w:sz w:val="24"/>
          <w:szCs w:val="24"/>
          <w:rtl/>
        </w:rPr>
        <w:t xml:space="preserve"> </w:t>
      </w:r>
      <w:r w:rsidRPr="001C6CAC">
        <w:rPr>
          <w:rFonts w:cs="David" w:hint="eastAsia"/>
          <w:sz w:val="24"/>
          <w:szCs w:val="24"/>
          <w:rtl/>
        </w:rPr>
        <w:t>שביקשו</w:t>
      </w:r>
      <w:r w:rsidRPr="001C6CAC">
        <w:rPr>
          <w:rFonts w:cs="David"/>
          <w:sz w:val="24"/>
          <w:szCs w:val="24"/>
          <w:rtl/>
        </w:rPr>
        <w:t xml:space="preserve"> </w:t>
      </w:r>
      <w:r w:rsidRPr="001C6CAC">
        <w:rPr>
          <w:rFonts w:cs="David" w:hint="eastAsia"/>
          <w:sz w:val="24"/>
          <w:szCs w:val="24"/>
          <w:rtl/>
        </w:rPr>
        <w:t>להיכנס</w:t>
      </w:r>
      <w:r w:rsidRPr="001C6CAC">
        <w:rPr>
          <w:rFonts w:cs="David"/>
          <w:sz w:val="24"/>
          <w:szCs w:val="24"/>
          <w:rtl/>
        </w:rPr>
        <w:t xml:space="preserve"> </w:t>
      </w:r>
      <w:r w:rsidRPr="001C6CAC">
        <w:rPr>
          <w:rFonts w:cs="David" w:hint="eastAsia"/>
          <w:sz w:val="24"/>
          <w:szCs w:val="24"/>
          <w:rtl/>
        </w:rPr>
        <w:t>לישראל</w:t>
      </w:r>
      <w:r w:rsidRPr="001C6CAC">
        <w:rPr>
          <w:rFonts w:cs="David"/>
          <w:sz w:val="24"/>
          <w:szCs w:val="24"/>
          <w:rtl/>
        </w:rPr>
        <w:t xml:space="preserve"> בנתב"ג </w:t>
      </w:r>
      <w:r w:rsidRPr="001C6CAC">
        <w:rPr>
          <w:rFonts w:cs="David" w:hint="cs"/>
          <w:sz w:val="24"/>
          <w:szCs w:val="24"/>
          <w:rtl/>
        </w:rPr>
        <w:t>בתקופות שנבדקו ו</w:t>
      </w:r>
      <w:r>
        <w:rPr>
          <w:rFonts w:cs="David" w:hint="cs"/>
          <w:sz w:val="24"/>
          <w:szCs w:val="24"/>
          <w:rtl/>
        </w:rPr>
        <w:t>ש</w:t>
      </w:r>
      <w:r w:rsidRPr="001C6CAC">
        <w:rPr>
          <w:rFonts w:cs="David" w:hint="cs"/>
          <w:sz w:val="24"/>
          <w:szCs w:val="24"/>
          <w:rtl/>
        </w:rPr>
        <w:t xml:space="preserve">כניסתם אושרה בידי הקו הקדמי </w:t>
      </w:r>
      <w:r w:rsidRPr="001C6CAC">
        <w:rPr>
          <w:rFonts w:cs="David"/>
          <w:sz w:val="24"/>
          <w:szCs w:val="24"/>
          <w:rtl/>
        </w:rPr>
        <w:t xml:space="preserve">- </w:t>
      </w:r>
      <w:r w:rsidRPr="001C6CAC">
        <w:rPr>
          <w:rFonts w:cs="David" w:hint="eastAsia"/>
          <w:sz w:val="24"/>
          <w:szCs w:val="24"/>
          <w:rtl/>
        </w:rPr>
        <w:t>משלב</w:t>
      </w:r>
      <w:r w:rsidRPr="001C6CAC">
        <w:rPr>
          <w:rFonts w:cs="David"/>
          <w:sz w:val="24"/>
          <w:szCs w:val="24"/>
          <w:rtl/>
        </w:rPr>
        <w:t xml:space="preserve"> </w:t>
      </w:r>
      <w:r w:rsidRPr="001C6CAC">
        <w:rPr>
          <w:rFonts w:cs="David" w:hint="eastAsia"/>
          <w:sz w:val="24"/>
          <w:szCs w:val="24"/>
          <w:rtl/>
        </w:rPr>
        <w:t>סריקת</w:t>
      </w:r>
      <w:r w:rsidRPr="001C6CAC">
        <w:rPr>
          <w:rFonts w:cs="David"/>
          <w:sz w:val="24"/>
          <w:szCs w:val="24"/>
          <w:rtl/>
        </w:rPr>
        <w:t xml:space="preserve"> </w:t>
      </w:r>
      <w:r w:rsidRPr="001C6CAC">
        <w:rPr>
          <w:rFonts w:cs="David" w:hint="eastAsia"/>
          <w:sz w:val="24"/>
          <w:szCs w:val="24"/>
          <w:rtl/>
        </w:rPr>
        <w:t>הדרכון</w:t>
      </w:r>
      <w:r w:rsidRPr="001C6CAC">
        <w:rPr>
          <w:rFonts w:cs="David"/>
          <w:sz w:val="24"/>
          <w:szCs w:val="24"/>
          <w:rtl/>
        </w:rPr>
        <w:t xml:space="preserve"> </w:t>
      </w:r>
      <w:r w:rsidRPr="001C6CAC">
        <w:rPr>
          <w:rFonts w:cs="David" w:hint="eastAsia"/>
          <w:sz w:val="24"/>
          <w:szCs w:val="24"/>
          <w:rtl/>
        </w:rPr>
        <w:t>או</w:t>
      </w:r>
      <w:r w:rsidRPr="001C6CAC">
        <w:rPr>
          <w:rFonts w:cs="David"/>
          <w:sz w:val="24"/>
          <w:szCs w:val="24"/>
          <w:rtl/>
        </w:rPr>
        <w:t xml:space="preserve"> </w:t>
      </w:r>
      <w:r w:rsidRPr="001C6CAC">
        <w:rPr>
          <w:rFonts w:cs="David" w:hint="eastAsia"/>
          <w:sz w:val="24"/>
          <w:szCs w:val="24"/>
          <w:rtl/>
        </w:rPr>
        <w:t>הקלדת</w:t>
      </w:r>
      <w:r w:rsidRPr="001C6CAC">
        <w:rPr>
          <w:rFonts w:cs="David"/>
          <w:sz w:val="24"/>
          <w:szCs w:val="24"/>
          <w:rtl/>
        </w:rPr>
        <w:t xml:space="preserve"> </w:t>
      </w:r>
      <w:r w:rsidRPr="001C6CAC">
        <w:rPr>
          <w:rFonts w:cs="David" w:hint="eastAsia"/>
          <w:sz w:val="24"/>
          <w:szCs w:val="24"/>
          <w:rtl/>
        </w:rPr>
        <w:t>פרטיו</w:t>
      </w:r>
      <w:r w:rsidRPr="001C6CAC">
        <w:rPr>
          <w:rFonts w:cs="David"/>
          <w:sz w:val="24"/>
          <w:szCs w:val="24"/>
          <w:rtl/>
        </w:rPr>
        <w:t xml:space="preserve"> </w:t>
      </w:r>
      <w:r w:rsidRPr="001C6CAC">
        <w:rPr>
          <w:rFonts w:cs="David" w:hint="eastAsia"/>
          <w:sz w:val="24"/>
          <w:szCs w:val="24"/>
          <w:rtl/>
        </w:rPr>
        <w:t>ועד</w:t>
      </w:r>
      <w:r w:rsidRPr="001C6CAC">
        <w:rPr>
          <w:rFonts w:cs="David" w:hint="cs"/>
          <w:sz w:val="24"/>
          <w:szCs w:val="24"/>
          <w:rtl/>
        </w:rPr>
        <w:t xml:space="preserve"> </w:t>
      </w:r>
      <w:r w:rsidRPr="001C6CAC">
        <w:rPr>
          <w:rFonts w:cs="David"/>
          <w:sz w:val="24"/>
          <w:szCs w:val="24"/>
          <w:rtl/>
        </w:rPr>
        <w:t xml:space="preserve">מתן אישור </w:t>
      </w:r>
      <w:r>
        <w:rPr>
          <w:rFonts w:cs="David" w:hint="cs"/>
          <w:sz w:val="24"/>
          <w:szCs w:val="24"/>
          <w:rtl/>
        </w:rPr>
        <w:t>ה</w:t>
      </w:r>
      <w:r w:rsidRPr="001C6CAC">
        <w:rPr>
          <w:rFonts w:cs="David"/>
          <w:sz w:val="24"/>
          <w:szCs w:val="24"/>
          <w:rtl/>
        </w:rPr>
        <w:t xml:space="preserve">כניסה </w:t>
      </w:r>
      <w:r>
        <w:rPr>
          <w:rFonts w:cs="David" w:hint="cs"/>
          <w:sz w:val="24"/>
          <w:szCs w:val="24"/>
          <w:rtl/>
        </w:rPr>
        <w:t xml:space="preserve">לנוסע </w:t>
      </w:r>
      <w:r w:rsidRPr="001C6CAC">
        <w:rPr>
          <w:rFonts w:cs="David"/>
          <w:sz w:val="24"/>
          <w:szCs w:val="24"/>
          <w:rtl/>
        </w:rPr>
        <w:t xml:space="preserve">או </w:t>
      </w:r>
      <w:r w:rsidRPr="00564794">
        <w:rPr>
          <w:rFonts w:cs="David"/>
          <w:sz w:val="24"/>
          <w:szCs w:val="24"/>
          <w:rtl/>
        </w:rPr>
        <w:t>דחיית המעבר</w:t>
      </w:r>
      <w:r w:rsidRPr="001C6CAC">
        <w:rPr>
          <w:rFonts w:cs="David"/>
          <w:sz w:val="24"/>
          <w:szCs w:val="24"/>
          <w:rtl/>
        </w:rPr>
        <w:t xml:space="preserve"> והעברתו לבדיקה בקו האחורי</w:t>
      </w:r>
      <w:r>
        <w:rPr>
          <w:rStyle w:val="FootnoteReference1"/>
          <w:rFonts w:cs="David"/>
          <w:sz w:val="24"/>
          <w:szCs w:val="24"/>
          <w:rtl/>
        </w:rPr>
        <w:footnoteReference w:id="16"/>
      </w:r>
      <w:r w:rsidRPr="001C6CAC">
        <w:rPr>
          <w:rFonts w:cs="David"/>
          <w:sz w:val="24"/>
          <w:szCs w:val="24"/>
          <w:rtl/>
        </w:rPr>
        <w:t xml:space="preserve">. </w:t>
      </w:r>
      <w:r w:rsidRPr="001C6CAC">
        <w:rPr>
          <w:rFonts w:cs="David" w:hint="cs"/>
          <w:sz w:val="24"/>
          <w:szCs w:val="24"/>
          <w:rtl/>
        </w:rPr>
        <w:t xml:space="preserve">התוצאות מוצגות בתרשים </w:t>
      </w:r>
      <w:r>
        <w:rPr>
          <w:rFonts w:cs="David" w:hint="cs"/>
          <w:sz w:val="24"/>
          <w:szCs w:val="24"/>
          <w:rtl/>
        </w:rPr>
        <w:t>שלהלן</w:t>
      </w:r>
      <w:r w:rsidRPr="001C6CAC">
        <w:rPr>
          <w:rFonts w:cs="David" w:hint="cs"/>
          <w:sz w:val="24"/>
          <w:szCs w:val="24"/>
          <w:rtl/>
        </w:rPr>
        <w:t>.</w:t>
      </w:r>
    </w:p>
    <w:p w:rsidR="007277EF" w14:paraId="3545802D" w14:textId="77777777">
      <w:pPr>
        <w:bidi w:val="0"/>
        <w:spacing w:after="200" w:line="276" w:lineRule="auto"/>
        <w:rPr>
          <w:szCs w:val="20"/>
        </w:rPr>
      </w:pPr>
      <w:r>
        <w:rPr>
          <w:szCs w:val="20"/>
          <w:rtl/>
        </w:rPr>
        <w:br w:type="page"/>
      </w:r>
    </w:p>
    <w:p w:rsidR="002D0C59" w:rsidRPr="007277EF" w:rsidP="007277EF" w14:paraId="46531E2E" w14:textId="77777777">
      <w:pPr>
        <w:spacing w:after="120" w:line="269" w:lineRule="auto"/>
        <w:jc w:val="center"/>
        <w:rPr>
          <w:b/>
          <w:bCs/>
          <w:sz w:val="24"/>
          <w:rtl/>
        </w:rPr>
      </w:pPr>
      <w:r w:rsidRPr="007277EF">
        <w:rPr>
          <w:rFonts w:hint="eastAsia"/>
          <w:b/>
          <w:bCs/>
          <w:sz w:val="24"/>
          <w:rtl/>
        </w:rPr>
        <w:t>תרשים</w:t>
      </w:r>
      <w:r w:rsidRPr="007277EF">
        <w:rPr>
          <w:b/>
          <w:bCs/>
          <w:sz w:val="24"/>
          <w:rtl/>
        </w:rPr>
        <w:t xml:space="preserve"> </w:t>
      </w:r>
      <w:r w:rsidRPr="007277EF">
        <w:rPr>
          <w:rFonts w:hint="cs"/>
          <w:b/>
          <w:bCs/>
          <w:sz w:val="24"/>
          <w:rtl/>
        </w:rPr>
        <w:t>8: התפלגות</w:t>
      </w:r>
      <w:r w:rsidRPr="007277EF">
        <w:rPr>
          <w:b/>
          <w:bCs/>
          <w:sz w:val="24"/>
          <w:rtl/>
        </w:rPr>
        <w:t xml:space="preserve"> </w:t>
      </w:r>
      <w:r w:rsidRPr="007277EF">
        <w:rPr>
          <w:rFonts w:hint="eastAsia"/>
          <w:b/>
          <w:bCs/>
          <w:sz w:val="24"/>
          <w:rtl/>
        </w:rPr>
        <w:t>זמן</w:t>
      </w:r>
      <w:r w:rsidRPr="007277EF">
        <w:rPr>
          <w:b/>
          <w:bCs/>
          <w:sz w:val="24"/>
          <w:rtl/>
        </w:rPr>
        <w:t xml:space="preserve"> </w:t>
      </w:r>
      <w:r w:rsidRPr="007277EF">
        <w:rPr>
          <w:rFonts w:hint="cs"/>
          <w:b/>
          <w:bCs/>
          <w:sz w:val="24"/>
          <w:rtl/>
        </w:rPr>
        <w:t>הבדיקה האחידה</w:t>
      </w:r>
      <w:r w:rsidRPr="007277EF">
        <w:rPr>
          <w:b/>
          <w:bCs/>
          <w:sz w:val="24"/>
          <w:rtl/>
        </w:rPr>
        <w:t xml:space="preserve"> </w:t>
      </w:r>
      <w:r w:rsidRPr="007277EF">
        <w:rPr>
          <w:rFonts w:hint="cs"/>
          <w:b/>
          <w:bCs/>
          <w:sz w:val="24"/>
          <w:rtl/>
        </w:rPr>
        <w:t xml:space="preserve">- מהסריקה ועד הנפקת אישור המעבר </w:t>
      </w:r>
      <w:r w:rsidRPr="007277EF">
        <w:rPr>
          <w:b/>
          <w:bCs/>
          <w:sz w:val="24"/>
          <w:rtl/>
        </w:rPr>
        <w:t>(</w:t>
      </w:r>
      <w:r w:rsidRPr="007277EF">
        <w:rPr>
          <w:rFonts w:hint="eastAsia"/>
          <w:b/>
          <w:bCs/>
          <w:sz w:val="24"/>
          <w:rtl/>
        </w:rPr>
        <w:t>בשניות</w:t>
      </w:r>
      <w:r w:rsidRPr="007277EF">
        <w:rPr>
          <w:b/>
          <w:bCs/>
          <w:sz w:val="24"/>
          <w:rtl/>
        </w:rPr>
        <w:t xml:space="preserve">) </w:t>
      </w:r>
      <w:r w:rsidRPr="007277EF">
        <w:rPr>
          <w:rFonts w:hint="cs"/>
          <w:b/>
          <w:bCs/>
          <w:sz w:val="24"/>
          <w:rtl/>
        </w:rPr>
        <w:t xml:space="preserve">- של </w:t>
      </w:r>
      <w:r w:rsidRPr="007277EF">
        <w:rPr>
          <w:rFonts w:hint="eastAsia"/>
          <w:b/>
          <w:bCs/>
          <w:sz w:val="24"/>
          <w:rtl/>
        </w:rPr>
        <w:t>זרים</w:t>
      </w:r>
      <w:r w:rsidRPr="007277EF">
        <w:rPr>
          <w:rFonts w:hint="cs"/>
          <w:b/>
          <w:bCs/>
          <w:sz w:val="24"/>
          <w:rtl/>
        </w:rPr>
        <w:t xml:space="preserve"> שאושרה כניסתם </w:t>
      </w:r>
      <w:r w:rsidRPr="007277EF">
        <w:rPr>
          <w:rFonts w:hint="eastAsia"/>
          <w:b/>
          <w:bCs/>
          <w:sz w:val="24"/>
          <w:rtl/>
        </w:rPr>
        <w:t>לישראל</w:t>
      </w:r>
      <w:r w:rsidRPr="007277EF">
        <w:rPr>
          <w:rFonts w:hint="cs"/>
          <w:b/>
          <w:bCs/>
          <w:sz w:val="24"/>
          <w:rtl/>
        </w:rPr>
        <w:t xml:space="preserve"> בקו הקדמי</w:t>
      </w:r>
      <w:r w:rsidRPr="007277EF">
        <w:rPr>
          <w:b/>
          <w:bCs/>
          <w:sz w:val="24"/>
          <w:rtl/>
        </w:rPr>
        <w:t xml:space="preserve">, </w:t>
      </w:r>
      <w:r w:rsidRPr="007277EF">
        <w:rPr>
          <w:rFonts w:hint="cs"/>
          <w:b/>
          <w:bCs/>
          <w:sz w:val="24"/>
          <w:rtl/>
        </w:rPr>
        <w:t>בתקופות שנבדקו</w:t>
      </w:r>
    </w:p>
    <w:p w:rsidR="002D0C59" w:rsidP="00AE0BE6" w14:paraId="7DB9B0C3" w14:textId="77777777">
      <w:pPr>
        <w:spacing w:line="269" w:lineRule="auto"/>
        <w:rPr>
          <w:szCs w:val="20"/>
          <w:rtl/>
        </w:rPr>
      </w:pPr>
      <w:r>
        <w:rPr>
          <w:noProof/>
          <w:szCs w:val="20"/>
        </w:rPr>
        <w:drawing>
          <wp:inline distT="0" distB="0" distL="0" distR="0">
            <wp:extent cx="5053115" cy="2545308"/>
            <wp:effectExtent l="0" t="0" r="0" b="762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26225" name="Picture 9"/>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065603" cy="2551599"/>
                    </a:xfrm>
                    <a:prstGeom prst="rect">
                      <a:avLst/>
                    </a:prstGeom>
                    <a:noFill/>
                  </pic:spPr>
                </pic:pic>
              </a:graphicData>
            </a:graphic>
          </wp:inline>
        </w:drawing>
      </w:r>
    </w:p>
    <w:p w:rsidR="002D0C59" w:rsidP="007277EF" w14:paraId="57BF11D0" w14:textId="77777777">
      <w:pPr>
        <w:spacing w:before="120" w:line="269" w:lineRule="auto"/>
        <w:rPr>
          <w:szCs w:val="20"/>
          <w:rtl/>
        </w:rPr>
      </w:pPr>
      <w:r w:rsidRPr="00411DCC">
        <w:rPr>
          <w:rFonts w:hint="eastAsia"/>
          <w:szCs w:val="20"/>
          <w:rtl/>
        </w:rPr>
        <w:t>המקור</w:t>
      </w:r>
      <w:r w:rsidRPr="00411DCC">
        <w:rPr>
          <w:szCs w:val="20"/>
          <w:rtl/>
        </w:rPr>
        <w:t xml:space="preserve">: </w:t>
      </w:r>
      <w:r w:rsidRPr="00411DCC">
        <w:rPr>
          <w:rFonts w:hint="eastAsia"/>
          <w:szCs w:val="20"/>
          <w:rtl/>
        </w:rPr>
        <w:t>נתוני</w:t>
      </w:r>
      <w:r w:rsidRPr="00411DCC">
        <w:rPr>
          <w:szCs w:val="20"/>
          <w:rtl/>
        </w:rPr>
        <w:t xml:space="preserve"> </w:t>
      </w:r>
      <w:r w:rsidRPr="00411DCC">
        <w:rPr>
          <w:rFonts w:hint="eastAsia"/>
          <w:szCs w:val="20"/>
          <w:rtl/>
        </w:rPr>
        <w:t>רשות</w:t>
      </w:r>
      <w:r w:rsidRPr="00411DCC">
        <w:rPr>
          <w:szCs w:val="20"/>
          <w:rtl/>
        </w:rPr>
        <w:t xml:space="preserve"> </w:t>
      </w:r>
      <w:r w:rsidRPr="00411DCC">
        <w:rPr>
          <w:rFonts w:hint="eastAsia"/>
          <w:szCs w:val="20"/>
          <w:rtl/>
        </w:rPr>
        <w:t>האוכלוסין</w:t>
      </w:r>
      <w:r w:rsidRPr="00411DCC">
        <w:rPr>
          <w:szCs w:val="20"/>
          <w:rtl/>
        </w:rPr>
        <w:t xml:space="preserve"> </w:t>
      </w:r>
      <w:r>
        <w:rPr>
          <w:rFonts w:hint="cs"/>
          <w:szCs w:val="20"/>
          <w:rtl/>
        </w:rPr>
        <w:t>ל</w:t>
      </w:r>
      <w:r w:rsidRPr="00411DCC">
        <w:rPr>
          <w:rFonts w:hint="eastAsia"/>
          <w:szCs w:val="20"/>
          <w:rtl/>
        </w:rPr>
        <w:t>דצמבר</w:t>
      </w:r>
      <w:r w:rsidRPr="00411DCC">
        <w:rPr>
          <w:szCs w:val="20"/>
          <w:rtl/>
        </w:rPr>
        <w:t xml:space="preserve"> 2019, </w:t>
      </w:r>
      <w:r w:rsidRPr="00411DCC">
        <w:rPr>
          <w:rFonts w:hint="eastAsia"/>
          <w:szCs w:val="20"/>
          <w:rtl/>
        </w:rPr>
        <w:t>בעיבוד</w:t>
      </w:r>
      <w:r w:rsidRPr="00411DCC">
        <w:rPr>
          <w:szCs w:val="20"/>
          <w:rtl/>
        </w:rPr>
        <w:t xml:space="preserve"> </w:t>
      </w:r>
      <w:r w:rsidRPr="00411DCC">
        <w:rPr>
          <w:rFonts w:hint="eastAsia"/>
          <w:szCs w:val="20"/>
          <w:rtl/>
        </w:rPr>
        <w:t>משרד</w:t>
      </w:r>
      <w:r w:rsidRPr="00411DCC">
        <w:rPr>
          <w:szCs w:val="20"/>
          <w:rtl/>
        </w:rPr>
        <w:t xml:space="preserve"> </w:t>
      </w:r>
      <w:r w:rsidRPr="00411DCC">
        <w:rPr>
          <w:rFonts w:hint="eastAsia"/>
          <w:szCs w:val="20"/>
          <w:rtl/>
        </w:rPr>
        <w:t>מבקר</w:t>
      </w:r>
      <w:r w:rsidRPr="00411DCC">
        <w:rPr>
          <w:szCs w:val="20"/>
          <w:rtl/>
        </w:rPr>
        <w:t xml:space="preserve"> </w:t>
      </w:r>
      <w:r w:rsidRPr="00411DCC">
        <w:rPr>
          <w:rFonts w:hint="eastAsia"/>
          <w:szCs w:val="20"/>
          <w:rtl/>
        </w:rPr>
        <w:t>המדינה</w:t>
      </w:r>
      <w:r>
        <w:rPr>
          <w:rFonts w:hint="cs"/>
          <w:szCs w:val="20"/>
          <w:rtl/>
        </w:rPr>
        <w:t>.</w:t>
      </w:r>
    </w:p>
    <w:p w:rsidR="002D0C59" w:rsidRPr="000C0AE9" w:rsidP="00AE0BE6" w14:paraId="581B44D5" w14:textId="77777777">
      <w:pPr>
        <w:pStyle w:val="a"/>
        <w:spacing w:line="269" w:lineRule="auto"/>
        <w:rPr>
          <w:rtl/>
        </w:rPr>
      </w:pPr>
    </w:p>
    <w:p w:rsidR="002D0C59" w:rsidP="00AE0BE6" w14:paraId="292C8B47" w14:textId="77777777">
      <w:pPr>
        <w:spacing w:line="269" w:lineRule="auto"/>
        <w:ind w:left="312"/>
        <w:rPr>
          <w:b/>
          <w:bCs/>
          <w:sz w:val="24"/>
          <w:rtl/>
        </w:rPr>
      </w:pPr>
      <w:r w:rsidRPr="000C0AE9">
        <w:rPr>
          <w:rFonts w:hint="eastAsia"/>
          <w:b/>
          <w:bCs/>
          <w:sz w:val="24"/>
          <w:rtl/>
        </w:rPr>
        <w:t>מהתרשים</w:t>
      </w:r>
      <w:r w:rsidRPr="000C0AE9">
        <w:rPr>
          <w:b/>
          <w:bCs/>
          <w:sz w:val="24"/>
          <w:rtl/>
        </w:rPr>
        <w:t xml:space="preserve"> </w:t>
      </w:r>
      <w:r w:rsidRPr="000C0AE9">
        <w:rPr>
          <w:rFonts w:hint="eastAsia"/>
          <w:b/>
          <w:bCs/>
          <w:sz w:val="24"/>
          <w:rtl/>
        </w:rPr>
        <w:t>עולה</w:t>
      </w:r>
      <w:r w:rsidRPr="000C0AE9">
        <w:rPr>
          <w:b/>
          <w:bCs/>
          <w:sz w:val="24"/>
          <w:rtl/>
        </w:rPr>
        <w:t xml:space="preserve"> </w:t>
      </w:r>
      <w:r w:rsidRPr="000C0AE9">
        <w:rPr>
          <w:rFonts w:hint="eastAsia"/>
          <w:b/>
          <w:bCs/>
          <w:sz w:val="24"/>
          <w:rtl/>
        </w:rPr>
        <w:t>כי</w:t>
      </w:r>
      <w:r w:rsidRPr="000C0AE9">
        <w:rPr>
          <w:b/>
          <w:bCs/>
          <w:sz w:val="24"/>
          <w:rtl/>
        </w:rPr>
        <w:t xml:space="preserve"> </w:t>
      </w:r>
      <w:r>
        <w:rPr>
          <w:rFonts w:hint="cs"/>
          <w:b/>
          <w:bCs/>
          <w:sz w:val="24"/>
          <w:rtl/>
        </w:rPr>
        <w:t xml:space="preserve">משך הבדיקה האחידה - משלב הסריקה עד להנפקת אישור המעבר - של </w:t>
      </w:r>
      <w:r w:rsidRPr="000C0AE9">
        <w:rPr>
          <w:rFonts w:hint="eastAsia"/>
          <w:b/>
          <w:bCs/>
          <w:sz w:val="24"/>
          <w:rtl/>
        </w:rPr>
        <w:t>יותר</w:t>
      </w:r>
      <w:r w:rsidRPr="000C0AE9">
        <w:rPr>
          <w:b/>
          <w:bCs/>
          <w:sz w:val="24"/>
          <w:rtl/>
        </w:rPr>
        <w:t xml:space="preserve"> </w:t>
      </w:r>
      <w:r w:rsidRPr="000C0AE9">
        <w:rPr>
          <w:rFonts w:hint="eastAsia"/>
          <w:b/>
          <w:bCs/>
          <w:sz w:val="24"/>
          <w:rtl/>
        </w:rPr>
        <w:t>משליש</w:t>
      </w:r>
      <w:r w:rsidRPr="000C0AE9">
        <w:rPr>
          <w:b/>
          <w:bCs/>
          <w:sz w:val="24"/>
          <w:rtl/>
        </w:rPr>
        <w:t xml:space="preserve"> </w:t>
      </w:r>
      <w:r w:rsidRPr="000C0AE9">
        <w:rPr>
          <w:rFonts w:hint="eastAsia"/>
          <w:b/>
          <w:bCs/>
          <w:sz w:val="24"/>
          <w:rtl/>
        </w:rPr>
        <w:t>מ</w:t>
      </w:r>
      <w:r>
        <w:rPr>
          <w:rFonts w:hint="cs"/>
          <w:b/>
          <w:bCs/>
          <w:sz w:val="24"/>
          <w:rtl/>
        </w:rPr>
        <w:t xml:space="preserve">כניסות </w:t>
      </w:r>
      <w:r w:rsidRPr="000C0AE9">
        <w:rPr>
          <w:rFonts w:hint="eastAsia"/>
          <w:b/>
          <w:bCs/>
          <w:sz w:val="24"/>
          <w:rtl/>
        </w:rPr>
        <w:t>הזרים</w:t>
      </w:r>
      <w:r w:rsidRPr="000C0AE9">
        <w:rPr>
          <w:b/>
          <w:bCs/>
          <w:sz w:val="24"/>
          <w:rtl/>
        </w:rPr>
        <w:t xml:space="preserve"> </w:t>
      </w:r>
      <w:r>
        <w:rPr>
          <w:rFonts w:hint="cs"/>
          <w:b/>
          <w:bCs/>
          <w:sz w:val="24"/>
          <w:rtl/>
        </w:rPr>
        <w:t xml:space="preserve">לישראל היה </w:t>
      </w:r>
      <w:r w:rsidRPr="00EF1D52">
        <w:rPr>
          <w:b/>
          <w:bCs/>
          <w:sz w:val="24"/>
          <w:rtl/>
        </w:rPr>
        <w:t xml:space="preserve">10 </w:t>
      </w:r>
      <w:r w:rsidRPr="00EF1D52">
        <w:rPr>
          <w:rFonts w:hint="eastAsia"/>
          <w:b/>
          <w:bCs/>
          <w:sz w:val="24"/>
          <w:rtl/>
        </w:rPr>
        <w:t>שניות</w:t>
      </w:r>
      <w:r w:rsidRPr="00EF1D52">
        <w:rPr>
          <w:b/>
          <w:bCs/>
          <w:sz w:val="24"/>
          <w:rtl/>
        </w:rPr>
        <w:t xml:space="preserve"> או פחות</w:t>
      </w:r>
      <w:r>
        <w:rPr>
          <w:rFonts w:hint="cs"/>
          <w:b/>
          <w:bCs/>
          <w:sz w:val="24"/>
          <w:rtl/>
        </w:rPr>
        <w:t xml:space="preserve"> מכך</w:t>
      </w:r>
      <w:r w:rsidRPr="00EF1D52">
        <w:rPr>
          <w:b/>
          <w:bCs/>
          <w:sz w:val="24"/>
          <w:rtl/>
        </w:rPr>
        <w:t>.</w:t>
      </w:r>
    </w:p>
    <w:p w:rsidR="002D0C59" w:rsidRPr="00147CCE" w:rsidP="00AE0BE6" w14:paraId="2CE7EBD9" w14:textId="77777777">
      <w:pPr>
        <w:pStyle w:val="a"/>
        <w:spacing w:line="269" w:lineRule="auto"/>
        <w:rPr>
          <w:rtl/>
        </w:rPr>
      </w:pPr>
    </w:p>
    <w:p w:rsidR="002D0C59" w:rsidRPr="002C7F91" w:rsidP="00AE0BE6" w14:paraId="584FC17E" w14:textId="77777777">
      <w:pPr>
        <w:pStyle w:val="ListParagraph"/>
        <w:numPr>
          <w:ilvl w:val="0"/>
          <w:numId w:val="29"/>
        </w:numPr>
        <w:spacing w:after="0" w:line="269" w:lineRule="auto"/>
        <w:jc w:val="both"/>
        <w:rPr>
          <w:rFonts w:cs="David"/>
          <w:sz w:val="24"/>
          <w:szCs w:val="24"/>
          <w:rtl/>
        </w:rPr>
      </w:pPr>
      <w:r w:rsidRPr="002C7F91">
        <w:rPr>
          <w:rFonts w:cs="David" w:hint="eastAsia"/>
          <w:sz w:val="24"/>
          <w:szCs w:val="24"/>
          <w:rtl/>
        </w:rPr>
        <w:t>על</w:t>
      </w:r>
      <w:r w:rsidRPr="002C7F91">
        <w:rPr>
          <w:rFonts w:cs="David"/>
          <w:sz w:val="24"/>
          <w:szCs w:val="24"/>
          <w:rtl/>
        </w:rPr>
        <w:t xml:space="preserve"> פי חוק הכניסה לישראל, כל מי שאינו אזרח ישראלי או בעל אשרת עולה או תעודת עולה, תהיה ישיבתו בישראל על פי רישיון ישיבה</w:t>
      </w:r>
      <w:r>
        <w:rPr>
          <w:rStyle w:val="FootnoteReference1"/>
          <w:rFonts w:cs="David"/>
          <w:sz w:val="24"/>
          <w:szCs w:val="24"/>
          <w:rtl/>
        </w:rPr>
        <w:footnoteReference w:id="17"/>
      </w:r>
      <w:r w:rsidRPr="002C7F91">
        <w:rPr>
          <w:rFonts w:cs="David"/>
          <w:sz w:val="24"/>
          <w:szCs w:val="24"/>
          <w:rtl/>
        </w:rPr>
        <w:t xml:space="preserve">. </w:t>
      </w:r>
      <w:r w:rsidRPr="00C6269F">
        <w:rPr>
          <w:rFonts w:cs="David"/>
          <w:sz w:val="24"/>
          <w:szCs w:val="24"/>
          <w:rtl/>
        </w:rPr>
        <w:t>בשנים 2016 ו-</w:t>
      </w:r>
      <w:r>
        <w:rPr>
          <w:rFonts w:cs="David" w:hint="cs"/>
          <w:sz w:val="24"/>
          <w:szCs w:val="24"/>
          <w:rtl/>
        </w:rPr>
        <w:t>2017</w:t>
      </w:r>
      <w:r w:rsidRPr="00C6269F">
        <w:rPr>
          <w:rFonts w:cs="David"/>
          <w:sz w:val="24"/>
          <w:szCs w:val="24"/>
          <w:rtl/>
        </w:rPr>
        <w:t xml:space="preserve"> </w:t>
      </w:r>
      <w:r w:rsidRPr="00C6269F">
        <w:rPr>
          <w:rFonts w:cs="David" w:hint="eastAsia"/>
          <w:sz w:val="24"/>
          <w:szCs w:val="24"/>
          <w:rtl/>
        </w:rPr>
        <w:t>חל</w:t>
      </w:r>
      <w:r w:rsidRPr="00C6269F">
        <w:rPr>
          <w:rFonts w:cs="David"/>
          <w:sz w:val="24"/>
          <w:szCs w:val="24"/>
          <w:rtl/>
        </w:rPr>
        <w:t xml:space="preserve"> </w:t>
      </w:r>
      <w:r w:rsidRPr="00C6269F">
        <w:rPr>
          <w:rFonts w:cs="David" w:hint="eastAsia"/>
          <w:sz w:val="24"/>
          <w:szCs w:val="24"/>
          <w:rtl/>
        </w:rPr>
        <w:t>גידול</w:t>
      </w:r>
      <w:r w:rsidRPr="00C6269F">
        <w:rPr>
          <w:rFonts w:cs="David"/>
          <w:sz w:val="24"/>
          <w:szCs w:val="24"/>
          <w:rtl/>
        </w:rPr>
        <w:t xml:space="preserve"> </w:t>
      </w:r>
      <w:r w:rsidRPr="00C6269F">
        <w:rPr>
          <w:rFonts w:cs="David" w:hint="eastAsia"/>
          <w:sz w:val="24"/>
          <w:szCs w:val="24"/>
          <w:rtl/>
        </w:rPr>
        <w:t>ניכר</w:t>
      </w:r>
      <w:r w:rsidRPr="00C6269F">
        <w:rPr>
          <w:rFonts w:cs="David"/>
          <w:sz w:val="24"/>
          <w:szCs w:val="24"/>
          <w:rtl/>
        </w:rPr>
        <w:t xml:space="preserve"> ב</w:t>
      </w:r>
      <w:r w:rsidRPr="00C6269F">
        <w:rPr>
          <w:rFonts w:cs="David" w:hint="eastAsia"/>
          <w:sz w:val="24"/>
          <w:szCs w:val="24"/>
          <w:rtl/>
        </w:rPr>
        <w:t>מספר</w:t>
      </w:r>
      <w:r w:rsidRPr="00C6269F">
        <w:rPr>
          <w:rFonts w:cs="David"/>
          <w:sz w:val="24"/>
          <w:szCs w:val="24"/>
          <w:rtl/>
        </w:rPr>
        <w:t xml:space="preserve"> התיירים שנכנסו לארץ עם מסמך נסיעה תקף ונותרו בארץ ל</w:t>
      </w:r>
      <w:r w:rsidRPr="00C6269F">
        <w:rPr>
          <w:rFonts w:cs="David" w:hint="eastAsia"/>
          <w:sz w:val="24"/>
          <w:szCs w:val="24"/>
          <w:rtl/>
        </w:rPr>
        <w:t>אחר</w:t>
      </w:r>
      <w:r w:rsidRPr="00C6269F">
        <w:rPr>
          <w:rFonts w:cs="David"/>
          <w:sz w:val="24"/>
          <w:szCs w:val="24"/>
          <w:rtl/>
        </w:rPr>
        <w:t xml:space="preserve"> </w:t>
      </w:r>
      <w:r w:rsidRPr="00C6269F">
        <w:rPr>
          <w:rFonts w:cs="David" w:hint="eastAsia"/>
          <w:sz w:val="24"/>
          <w:szCs w:val="24"/>
          <w:rtl/>
        </w:rPr>
        <w:t>שפג</w:t>
      </w:r>
      <w:r w:rsidRPr="00C6269F">
        <w:rPr>
          <w:rFonts w:cs="David"/>
          <w:sz w:val="24"/>
          <w:szCs w:val="24"/>
          <w:rtl/>
        </w:rPr>
        <w:t xml:space="preserve"> </w:t>
      </w:r>
      <w:r w:rsidRPr="00C6269F">
        <w:rPr>
          <w:rFonts w:cs="David" w:hint="eastAsia"/>
          <w:sz w:val="24"/>
          <w:szCs w:val="24"/>
          <w:rtl/>
        </w:rPr>
        <w:t>תוקף</w:t>
      </w:r>
      <w:r w:rsidRPr="00C6269F">
        <w:rPr>
          <w:rFonts w:cs="David"/>
          <w:sz w:val="24"/>
          <w:szCs w:val="24"/>
          <w:rtl/>
        </w:rPr>
        <w:t xml:space="preserve"> </w:t>
      </w:r>
      <w:r w:rsidRPr="00C6269F">
        <w:rPr>
          <w:rFonts w:cs="David" w:hint="eastAsia"/>
          <w:sz w:val="24"/>
          <w:szCs w:val="24"/>
          <w:rtl/>
        </w:rPr>
        <w:t>רישיון</w:t>
      </w:r>
      <w:r w:rsidRPr="00C6269F">
        <w:rPr>
          <w:rFonts w:cs="David"/>
          <w:sz w:val="24"/>
          <w:szCs w:val="24"/>
          <w:rtl/>
        </w:rPr>
        <w:t xml:space="preserve"> </w:t>
      </w:r>
      <w:r w:rsidRPr="00C6269F">
        <w:rPr>
          <w:rFonts w:cs="David" w:hint="eastAsia"/>
          <w:sz w:val="24"/>
          <w:szCs w:val="24"/>
          <w:rtl/>
        </w:rPr>
        <w:t>הישיבה</w:t>
      </w:r>
      <w:r w:rsidRPr="00C6269F">
        <w:rPr>
          <w:rFonts w:cs="David"/>
          <w:sz w:val="24"/>
          <w:szCs w:val="24"/>
          <w:rtl/>
        </w:rPr>
        <w:t xml:space="preserve"> </w:t>
      </w:r>
      <w:r w:rsidRPr="00C6269F">
        <w:rPr>
          <w:rFonts w:cs="David" w:hint="eastAsia"/>
          <w:sz w:val="24"/>
          <w:szCs w:val="24"/>
          <w:rtl/>
        </w:rPr>
        <w:t>שלהם</w:t>
      </w:r>
      <w:r w:rsidRPr="00C6269F">
        <w:rPr>
          <w:rFonts w:cs="David"/>
          <w:sz w:val="24"/>
          <w:szCs w:val="24"/>
          <w:rtl/>
        </w:rPr>
        <w:t xml:space="preserve"> (</w:t>
      </w:r>
      <w:r w:rsidRPr="00C6269F">
        <w:rPr>
          <w:rFonts w:cs="David" w:hint="eastAsia"/>
          <w:sz w:val="24"/>
          <w:szCs w:val="24"/>
          <w:rtl/>
        </w:rPr>
        <w:t>כלומר</w:t>
      </w:r>
      <w:r w:rsidRPr="00C6269F">
        <w:rPr>
          <w:rFonts w:cs="David"/>
          <w:sz w:val="24"/>
          <w:szCs w:val="24"/>
          <w:rtl/>
        </w:rPr>
        <w:t xml:space="preserve"> </w:t>
      </w:r>
      <w:r w:rsidRPr="00C6269F">
        <w:rPr>
          <w:rFonts w:cs="David" w:hint="eastAsia"/>
          <w:sz w:val="24"/>
          <w:szCs w:val="24"/>
          <w:rtl/>
        </w:rPr>
        <w:t>שהו</w:t>
      </w:r>
      <w:r w:rsidRPr="00C6269F">
        <w:rPr>
          <w:rFonts w:cs="David"/>
          <w:sz w:val="24"/>
          <w:szCs w:val="24"/>
          <w:rtl/>
        </w:rPr>
        <w:t xml:space="preserve"> </w:t>
      </w:r>
      <w:r w:rsidRPr="00C6269F">
        <w:rPr>
          <w:rFonts w:cs="David" w:hint="eastAsia"/>
          <w:sz w:val="24"/>
          <w:szCs w:val="24"/>
          <w:rtl/>
        </w:rPr>
        <w:t>בישראל</w:t>
      </w:r>
      <w:r w:rsidRPr="00C6269F">
        <w:rPr>
          <w:rFonts w:cs="David"/>
          <w:sz w:val="24"/>
          <w:szCs w:val="24"/>
          <w:rtl/>
        </w:rPr>
        <w:t xml:space="preserve"> </w:t>
      </w:r>
      <w:r w:rsidRPr="00C6269F">
        <w:rPr>
          <w:rFonts w:cs="David" w:hint="eastAsia"/>
          <w:sz w:val="24"/>
          <w:szCs w:val="24"/>
          <w:rtl/>
        </w:rPr>
        <w:t>שלא</w:t>
      </w:r>
      <w:r w:rsidRPr="00C6269F">
        <w:rPr>
          <w:rFonts w:cs="David"/>
          <w:sz w:val="24"/>
          <w:szCs w:val="24"/>
          <w:rtl/>
        </w:rPr>
        <w:t xml:space="preserve"> </w:t>
      </w:r>
      <w:r w:rsidRPr="00C6269F">
        <w:rPr>
          <w:rFonts w:cs="David" w:hint="eastAsia"/>
          <w:sz w:val="24"/>
          <w:szCs w:val="24"/>
          <w:rtl/>
        </w:rPr>
        <w:t>כחוק</w:t>
      </w:r>
      <w:r w:rsidRPr="00C6269F">
        <w:rPr>
          <w:rFonts w:cs="David"/>
          <w:sz w:val="24"/>
          <w:szCs w:val="24"/>
          <w:rtl/>
        </w:rPr>
        <w:t xml:space="preserve">), </w:t>
      </w:r>
      <w:r>
        <w:rPr>
          <w:rFonts w:cs="David" w:hint="cs"/>
          <w:sz w:val="24"/>
          <w:szCs w:val="24"/>
          <w:rtl/>
        </w:rPr>
        <w:t xml:space="preserve">ובשנת 2018 חלה ירידה מסוימת במספרם, </w:t>
      </w:r>
      <w:r w:rsidRPr="00C6269F">
        <w:rPr>
          <w:rFonts w:cs="David" w:hint="eastAsia"/>
          <w:sz w:val="24"/>
          <w:szCs w:val="24"/>
          <w:rtl/>
        </w:rPr>
        <w:t>כפי</w:t>
      </w:r>
      <w:r w:rsidRPr="00C6269F">
        <w:rPr>
          <w:rFonts w:cs="David"/>
          <w:sz w:val="24"/>
          <w:szCs w:val="24"/>
          <w:rtl/>
        </w:rPr>
        <w:t xml:space="preserve"> </w:t>
      </w:r>
      <w:r w:rsidRPr="00C6269F">
        <w:rPr>
          <w:rFonts w:cs="David" w:hint="eastAsia"/>
          <w:sz w:val="24"/>
          <w:szCs w:val="24"/>
          <w:rtl/>
        </w:rPr>
        <w:t>שעולה</w:t>
      </w:r>
      <w:r w:rsidRPr="00C6269F">
        <w:rPr>
          <w:rFonts w:cs="David"/>
          <w:sz w:val="24"/>
          <w:szCs w:val="24"/>
          <w:rtl/>
        </w:rPr>
        <w:t xml:space="preserve"> </w:t>
      </w:r>
      <w:r w:rsidRPr="00C6269F">
        <w:rPr>
          <w:rFonts w:cs="David" w:hint="eastAsia"/>
          <w:sz w:val="24"/>
          <w:szCs w:val="24"/>
          <w:rtl/>
        </w:rPr>
        <w:t>מתרשים</w:t>
      </w:r>
      <w:r w:rsidRPr="00C6269F">
        <w:rPr>
          <w:rFonts w:cs="David"/>
          <w:sz w:val="24"/>
          <w:szCs w:val="24"/>
          <w:rtl/>
        </w:rPr>
        <w:t xml:space="preserve"> 6 </w:t>
      </w:r>
      <w:r w:rsidRPr="00C6269F">
        <w:rPr>
          <w:rFonts w:cs="David" w:hint="eastAsia"/>
          <w:sz w:val="24"/>
          <w:szCs w:val="24"/>
          <w:rtl/>
        </w:rPr>
        <w:t>לעיל</w:t>
      </w:r>
      <w:r w:rsidRPr="004D291A">
        <w:rPr>
          <w:rFonts w:cs="David"/>
          <w:sz w:val="24"/>
          <w:szCs w:val="24"/>
          <w:rtl/>
        </w:rPr>
        <w:t>. נתונים</w:t>
      </w:r>
      <w:r w:rsidRPr="002C7F91">
        <w:rPr>
          <w:rFonts w:cs="David"/>
          <w:sz w:val="24"/>
          <w:szCs w:val="24"/>
          <w:rtl/>
        </w:rPr>
        <w:t xml:space="preserve"> אלה אינם כוללים זרים שנכנסו לישראל שלא דרך מעבר גבול רשמי, כגון נתיני מדינות באפריקה שנכנסו לישראל דרך הגבול עם מצרים.</w:t>
      </w:r>
    </w:p>
    <w:p w:rsidR="002D0C59" w:rsidRPr="00147CCE" w:rsidP="00AE0BE6" w14:paraId="62D38D58" w14:textId="77777777">
      <w:pPr>
        <w:pStyle w:val="a"/>
        <w:spacing w:line="269" w:lineRule="auto"/>
      </w:pPr>
    </w:p>
    <w:p w:rsidR="002D0C59" w:rsidP="00AE0BE6" w14:paraId="68E24A4C" w14:textId="77777777">
      <w:pPr>
        <w:spacing w:line="269" w:lineRule="auto"/>
        <w:ind w:left="312"/>
        <w:rPr>
          <w:sz w:val="24"/>
          <w:rtl/>
        </w:rPr>
      </w:pPr>
      <w:r w:rsidRPr="00645F34">
        <w:rPr>
          <w:rFonts w:hint="cs"/>
          <w:sz w:val="24"/>
          <w:rtl/>
        </w:rPr>
        <w:t>משרד מבקר המדינה ניתח את נתוני רשות האוכלוסין על כ</w:t>
      </w:r>
      <w:r w:rsidRPr="00645F34">
        <w:rPr>
          <w:rFonts w:hint="cs"/>
          <w:sz w:val="24"/>
          <w:rtl/>
        </w:rPr>
        <w:t>-248,000 כניסות לישראל של זרים הנושאים דרכון ביומטרי</w:t>
      </w:r>
      <w:r>
        <w:rPr>
          <w:rStyle w:val="FootnoteReference1"/>
          <w:sz w:val="24"/>
          <w:rtl/>
        </w:rPr>
        <w:footnoteReference w:id="18"/>
      </w:r>
      <w:r w:rsidRPr="00645F34">
        <w:rPr>
          <w:rFonts w:hint="cs"/>
          <w:sz w:val="24"/>
          <w:rtl/>
        </w:rPr>
        <w:t xml:space="preserve"> בתקופות שנבדקו בחלוקה לכמה מדינות, ובדק כמה מהם נבדקו בבדיקה אחידה שארכה 10 שניות לכל היותר (משלב הסריקה ועד להנפקת אישור המעבר), ובעקבותיה אושרה כניסתם לארץ. לצורך הבדיקה נבחרו שתי קבוצות של מדינות: </w:t>
      </w:r>
      <w:r>
        <w:rPr>
          <w:rFonts w:hint="cs"/>
          <w:sz w:val="24"/>
          <w:rtl/>
        </w:rPr>
        <w:t>ב</w:t>
      </w:r>
      <w:r w:rsidRPr="00645F34">
        <w:rPr>
          <w:rFonts w:hint="cs"/>
          <w:sz w:val="24"/>
          <w:rtl/>
        </w:rPr>
        <w:t>ק</w:t>
      </w:r>
      <w:r w:rsidRPr="00645F34">
        <w:rPr>
          <w:rFonts w:hint="cs"/>
          <w:sz w:val="24"/>
          <w:rtl/>
        </w:rPr>
        <w:t>בוצה אחת ארבע המדינות שמספר הכניסות של נתיניהן</w:t>
      </w:r>
      <w:r>
        <w:rPr>
          <w:rFonts w:hint="cs"/>
          <w:sz w:val="24"/>
          <w:rtl/>
        </w:rPr>
        <w:t xml:space="preserve"> לישראל </w:t>
      </w:r>
      <w:r w:rsidRPr="00645F34">
        <w:rPr>
          <w:rFonts w:hint="cs"/>
          <w:sz w:val="24"/>
          <w:rtl/>
        </w:rPr>
        <w:t xml:space="preserve">באוכלוסייה שנבדקה היה הגבוה </w:t>
      </w:r>
      <w:r w:rsidRPr="004D291A">
        <w:rPr>
          <w:rFonts w:hint="cs"/>
          <w:sz w:val="24"/>
          <w:rtl/>
        </w:rPr>
        <w:t>ביותר: ארצות הברית</w:t>
      </w:r>
      <w:r w:rsidRPr="00975B56">
        <w:rPr>
          <w:rFonts w:hint="cs"/>
          <w:sz w:val="24"/>
          <w:rtl/>
        </w:rPr>
        <w:t>, בריטניה, צרפת ורוסיה, ובקבוצה ה</w:t>
      </w:r>
      <w:r w:rsidRPr="00F7401C">
        <w:rPr>
          <w:rFonts w:hint="cs"/>
          <w:sz w:val="24"/>
          <w:rtl/>
        </w:rPr>
        <w:t>שנייה ארבע ה</w:t>
      </w:r>
      <w:r w:rsidRPr="00395DFC">
        <w:rPr>
          <w:rFonts w:hint="cs"/>
          <w:sz w:val="24"/>
          <w:rtl/>
        </w:rPr>
        <w:t xml:space="preserve">מדינות </w:t>
      </w:r>
      <w:r w:rsidRPr="00395DFC">
        <w:rPr>
          <w:rFonts w:hint="eastAsia"/>
          <w:sz w:val="24"/>
          <w:rtl/>
        </w:rPr>
        <w:t>שעל</w:t>
      </w:r>
      <w:r w:rsidRPr="00D21A77">
        <w:rPr>
          <w:sz w:val="24"/>
          <w:rtl/>
        </w:rPr>
        <w:t xml:space="preserve"> פי </w:t>
      </w:r>
      <w:r w:rsidRPr="00D21A77">
        <w:rPr>
          <w:rFonts w:hint="eastAsia"/>
          <w:sz w:val="24"/>
          <w:rtl/>
        </w:rPr>
        <w:t>נתוני</w:t>
      </w:r>
      <w:r w:rsidRPr="00D21A77">
        <w:rPr>
          <w:sz w:val="24"/>
          <w:rtl/>
        </w:rPr>
        <w:t xml:space="preserve"> </w:t>
      </w:r>
      <w:r w:rsidRPr="00395DFC">
        <w:rPr>
          <w:rFonts w:hint="eastAsia"/>
          <w:sz w:val="24"/>
          <w:rtl/>
        </w:rPr>
        <w:t>רשות</w:t>
      </w:r>
      <w:r w:rsidRPr="00395DFC">
        <w:rPr>
          <w:sz w:val="24"/>
          <w:rtl/>
        </w:rPr>
        <w:t xml:space="preserve"> </w:t>
      </w:r>
      <w:r w:rsidRPr="00395DFC">
        <w:rPr>
          <w:rFonts w:hint="eastAsia"/>
          <w:sz w:val="24"/>
          <w:rtl/>
        </w:rPr>
        <w:t>האוכלוסין</w:t>
      </w:r>
      <w:r w:rsidRPr="00D21A77">
        <w:rPr>
          <w:sz w:val="24"/>
          <w:rtl/>
        </w:rPr>
        <w:t xml:space="preserve"> </w:t>
      </w:r>
      <w:r w:rsidRPr="00D21A77">
        <w:rPr>
          <w:rFonts w:hint="eastAsia"/>
          <w:sz w:val="24"/>
          <w:rtl/>
        </w:rPr>
        <w:t>שיע</w:t>
      </w:r>
      <w:r w:rsidRPr="00395DFC">
        <w:rPr>
          <w:rFonts w:hint="eastAsia"/>
          <w:sz w:val="24"/>
          <w:rtl/>
        </w:rPr>
        <w:t>ור</w:t>
      </w:r>
      <w:r w:rsidRPr="00D21A77">
        <w:rPr>
          <w:sz w:val="24"/>
          <w:rtl/>
        </w:rPr>
        <w:t xml:space="preserve"> </w:t>
      </w:r>
      <w:r w:rsidRPr="00D21A77">
        <w:rPr>
          <w:rFonts w:hint="eastAsia"/>
          <w:sz w:val="24"/>
          <w:rtl/>
        </w:rPr>
        <w:t>נתיניהן</w:t>
      </w:r>
      <w:r w:rsidRPr="00D21A77">
        <w:rPr>
          <w:rFonts w:hint="cs"/>
          <w:sz w:val="24"/>
          <w:rtl/>
        </w:rPr>
        <w:t xml:space="preserve"> </w:t>
      </w:r>
      <w:r w:rsidRPr="004D11AF">
        <w:rPr>
          <w:rFonts w:hint="eastAsia"/>
          <w:sz w:val="24"/>
          <w:rtl/>
        </w:rPr>
        <w:t>שנכנסו</w:t>
      </w:r>
      <w:r w:rsidRPr="004D11AF">
        <w:rPr>
          <w:sz w:val="24"/>
          <w:rtl/>
        </w:rPr>
        <w:t xml:space="preserve"> לישראל כתיירים </w:t>
      </w:r>
      <w:r w:rsidRPr="004D11AF">
        <w:rPr>
          <w:rFonts w:hint="eastAsia"/>
          <w:sz w:val="24"/>
          <w:rtl/>
        </w:rPr>
        <w:t>ושהו</w:t>
      </w:r>
      <w:r w:rsidRPr="004D11AF">
        <w:rPr>
          <w:sz w:val="24"/>
          <w:rtl/>
        </w:rPr>
        <w:t xml:space="preserve"> בה שלא כחוק בשנים 2017 עד </w:t>
      </w:r>
      <w:r w:rsidRPr="00C6269F">
        <w:rPr>
          <w:sz w:val="24"/>
          <w:rtl/>
        </w:rPr>
        <w:t xml:space="preserve">2018 היה </w:t>
      </w:r>
      <w:r w:rsidRPr="00C6269F">
        <w:rPr>
          <w:rFonts w:hint="eastAsia"/>
          <w:sz w:val="24"/>
          <w:rtl/>
        </w:rPr>
        <w:t>הגבוה</w:t>
      </w:r>
      <w:r w:rsidRPr="00C6269F">
        <w:rPr>
          <w:sz w:val="24"/>
          <w:rtl/>
        </w:rPr>
        <w:t xml:space="preserve"> </w:t>
      </w:r>
      <w:r w:rsidRPr="00C6269F">
        <w:rPr>
          <w:rFonts w:hint="eastAsia"/>
          <w:sz w:val="24"/>
          <w:rtl/>
        </w:rPr>
        <w:t>ביותר</w:t>
      </w:r>
      <w:r w:rsidRPr="00C6269F">
        <w:rPr>
          <w:sz w:val="24"/>
          <w:rtl/>
        </w:rPr>
        <w:t xml:space="preserve">: </w:t>
      </w:r>
      <w:r w:rsidRPr="00C6269F">
        <w:rPr>
          <w:rFonts w:hint="eastAsia"/>
          <w:sz w:val="24"/>
          <w:rtl/>
        </w:rPr>
        <w:t>אוקראינה</w:t>
      </w:r>
      <w:r w:rsidRPr="00C6269F">
        <w:rPr>
          <w:sz w:val="24"/>
          <w:rtl/>
        </w:rPr>
        <w:t xml:space="preserve">, </w:t>
      </w:r>
      <w:r w:rsidRPr="00C6269F">
        <w:rPr>
          <w:rFonts w:hint="eastAsia"/>
          <w:sz w:val="24"/>
          <w:rtl/>
        </w:rPr>
        <w:t>גיאורגיה</w:t>
      </w:r>
      <w:r w:rsidRPr="00C6269F">
        <w:rPr>
          <w:sz w:val="24"/>
          <w:rtl/>
        </w:rPr>
        <w:t xml:space="preserve">, </w:t>
      </w:r>
      <w:r w:rsidRPr="00C6269F">
        <w:rPr>
          <w:rFonts w:hint="eastAsia"/>
          <w:sz w:val="24"/>
          <w:rtl/>
        </w:rPr>
        <w:t>מולדובה</w:t>
      </w:r>
      <w:r w:rsidRPr="00C6269F">
        <w:rPr>
          <w:sz w:val="24"/>
          <w:rtl/>
        </w:rPr>
        <w:t xml:space="preserve"> ורוסיה</w:t>
      </w:r>
      <w:r>
        <w:rPr>
          <w:rStyle w:val="FootnoteReference1"/>
          <w:sz w:val="24"/>
          <w:rtl/>
        </w:rPr>
        <w:footnoteReference w:id="19"/>
      </w:r>
      <w:r w:rsidRPr="004D291A">
        <w:rPr>
          <w:rFonts w:hint="cs"/>
          <w:sz w:val="24"/>
          <w:rtl/>
        </w:rPr>
        <w:t>. רוסיה נכללה בשתי</w:t>
      </w:r>
      <w:r w:rsidRPr="00645F34">
        <w:rPr>
          <w:rFonts w:hint="cs"/>
          <w:sz w:val="24"/>
          <w:rtl/>
        </w:rPr>
        <w:t xml:space="preserve"> הקבוצות האלה, ובסך הכול נבדקו נתונים על שבע מדינות. בשני התרשימים </w:t>
      </w:r>
      <w:r>
        <w:rPr>
          <w:rFonts w:hint="cs"/>
          <w:sz w:val="24"/>
          <w:rtl/>
        </w:rPr>
        <w:t>שלהלן</w:t>
      </w:r>
      <w:r w:rsidRPr="00645F34">
        <w:rPr>
          <w:rFonts w:hint="cs"/>
          <w:sz w:val="24"/>
          <w:rtl/>
        </w:rPr>
        <w:t xml:space="preserve"> מוצגים נתונים על שיעור הכניסות לישראל של נתיני שבע המדינות בתקופה שנבדקה - אוגוסט ונובמבר</w:t>
      </w:r>
      <w:r>
        <w:rPr>
          <w:rFonts w:hint="cs"/>
          <w:sz w:val="24"/>
          <w:rtl/>
        </w:rPr>
        <w:t xml:space="preserve"> 2019</w:t>
      </w:r>
      <w:r w:rsidRPr="00645F34">
        <w:rPr>
          <w:rFonts w:hint="cs"/>
          <w:sz w:val="24"/>
          <w:rtl/>
        </w:rPr>
        <w:t xml:space="preserve">, תרשים לכל חודש. </w:t>
      </w:r>
    </w:p>
    <w:p w:rsidR="007277EF" w14:paraId="353695EC" w14:textId="77777777">
      <w:pPr>
        <w:bidi w:val="0"/>
        <w:spacing w:after="200" w:line="276" w:lineRule="auto"/>
        <w:rPr>
          <w:szCs w:val="20"/>
          <w:rtl/>
        </w:rPr>
      </w:pPr>
      <w:r>
        <w:rPr>
          <w:szCs w:val="20"/>
          <w:rtl/>
        </w:rPr>
        <w:br w:type="page"/>
      </w:r>
    </w:p>
    <w:p w:rsidR="002D0C59" w:rsidP="007277EF" w14:paraId="0A224399" w14:textId="77777777">
      <w:pPr>
        <w:spacing w:after="120" w:line="269" w:lineRule="auto"/>
        <w:jc w:val="center"/>
        <w:rPr>
          <w:szCs w:val="20"/>
          <w:rtl/>
        </w:rPr>
      </w:pPr>
      <w:r>
        <w:rPr>
          <w:noProof/>
          <w:szCs w:val="20"/>
        </w:rPr>
        <w:drawing>
          <wp:anchor distT="0" distB="0" distL="114300" distR="114300" simplePos="0" relativeHeight="251659264" behindDoc="0" locked="0" layoutInCell="1" allowOverlap="1">
            <wp:simplePos x="0" y="0"/>
            <wp:positionH relativeFrom="column">
              <wp:posOffset>-324485</wp:posOffset>
            </wp:positionH>
            <wp:positionV relativeFrom="paragraph">
              <wp:posOffset>367582</wp:posOffset>
            </wp:positionV>
            <wp:extent cx="5958000" cy="2955600"/>
            <wp:effectExtent l="0" t="0" r="5080" b="0"/>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8343" name="Picture 4"/>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58000" cy="2955600"/>
                    </a:xfrm>
                    <a:prstGeom prst="rect">
                      <a:avLst/>
                    </a:prstGeom>
                    <a:noFill/>
                  </pic:spPr>
                </pic:pic>
              </a:graphicData>
            </a:graphic>
            <wp14:sizeRelH relativeFrom="margin">
              <wp14:pctWidth>0</wp14:pctWidth>
            </wp14:sizeRelH>
            <wp14:sizeRelV relativeFrom="margin">
              <wp14:pctHeight>0</wp14:pctHeight>
            </wp14:sizeRelV>
          </wp:anchor>
        </w:drawing>
      </w:r>
      <w:r w:rsidRPr="000959D9" w:rsidR="00A530E5">
        <w:rPr>
          <w:rFonts w:hint="eastAsia"/>
          <w:b/>
          <w:bCs/>
          <w:sz w:val="24"/>
          <w:rtl/>
        </w:rPr>
        <w:t>תרשים</w:t>
      </w:r>
      <w:r w:rsidRPr="000959D9" w:rsidR="00A530E5">
        <w:rPr>
          <w:b/>
          <w:bCs/>
          <w:sz w:val="24"/>
          <w:rtl/>
        </w:rPr>
        <w:t xml:space="preserve"> 9:</w:t>
      </w:r>
      <w:r w:rsidR="00EC0F52">
        <w:rPr>
          <w:b/>
          <w:bCs/>
          <w:sz w:val="24"/>
          <w:rtl/>
        </w:rPr>
        <w:t xml:space="preserve"> </w:t>
      </w:r>
      <w:r w:rsidRPr="000959D9" w:rsidR="00A530E5">
        <w:rPr>
          <w:b/>
          <w:bCs/>
          <w:sz w:val="24"/>
          <w:rtl/>
        </w:rPr>
        <w:t xml:space="preserve">שיעור </w:t>
      </w:r>
      <w:r w:rsidRPr="000959D9" w:rsidR="00A530E5">
        <w:rPr>
          <w:rFonts w:hint="eastAsia"/>
          <w:b/>
          <w:bCs/>
          <w:sz w:val="24"/>
          <w:rtl/>
        </w:rPr>
        <w:t>הנתינים</w:t>
      </w:r>
      <w:r w:rsidRPr="000959D9" w:rsidR="00A530E5">
        <w:rPr>
          <w:b/>
          <w:bCs/>
          <w:sz w:val="24"/>
          <w:rtl/>
        </w:rPr>
        <w:t xml:space="preserve"> </w:t>
      </w:r>
      <w:r w:rsidRPr="000959D9" w:rsidR="00A530E5">
        <w:rPr>
          <w:rFonts w:hint="eastAsia"/>
          <w:b/>
          <w:bCs/>
          <w:sz w:val="24"/>
          <w:rtl/>
        </w:rPr>
        <w:t>של</w:t>
      </w:r>
      <w:r w:rsidRPr="000959D9" w:rsidR="00A530E5">
        <w:rPr>
          <w:b/>
          <w:bCs/>
          <w:sz w:val="24"/>
          <w:rtl/>
        </w:rPr>
        <w:t xml:space="preserve"> </w:t>
      </w:r>
      <w:r w:rsidRPr="000959D9" w:rsidR="00A530E5">
        <w:rPr>
          <w:rFonts w:hint="eastAsia"/>
          <w:b/>
          <w:bCs/>
          <w:sz w:val="24"/>
          <w:rtl/>
        </w:rPr>
        <w:t>המדינות</w:t>
      </w:r>
      <w:r w:rsidRPr="000959D9" w:rsidR="00A530E5">
        <w:rPr>
          <w:b/>
          <w:bCs/>
          <w:sz w:val="24"/>
          <w:rtl/>
        </w:rPr>
        <w:t xml:space="preserve"> הנבחרות </w:t>
      </w:r>
      <w:r w:rsidR="00A530E5">
        <w:rPr>
          <w:rFonts w:hint="cs"/>
          <w:b/>
          <w:bCs/>
          <w:sz w:val="24"/>
          <w:rtl/>
        </w:rPr>
        <w:t>לפי משך הטיפול בהם</w:t>
      </w:r>
      <w:r w:rsidRPr="000959D9" w:rsidR="00A530E5">
        <w:rPr>
          <w:b/>
          <w:bCs/>
          <w:sz w:val="24"/>
          <w:rtl/>
        </w:rPr>
        <w:t xml:space="preserve"> מכלל נתיני אותן מדינות שנכנסו לישראל ב</w:t>
      </w:r>
      <w:r w:rsidRPr="000959D9" w:rsidR="00A530E5">
        <w:rPr>
          <w:rFonts w:hint="eastAsia"/>
          <w:b/>
          <w:bCs/>
          <w:sz w:val="24"/>
          <w:rtl/>
        </w:rPr>
        <w:t>מהלך</w:t>
      </w:r>
      <w:r w:rsidRPr="000959D9" w:rsidR="00A530E5">
        <w:rPr>
          <w:b/>
          <w:bCs/>
          <w:sz w:val="24"/>
          <w:rtl/>
        </w:rPr>
        <w:t xml:space="preserve"> </w:t>
      </w:r>
      <w:r w:rsidRPr="000959D9" w:rsidR="00A530E5">
        <w:rPr>
          <w:rFonts w:hint="eastAsia"/>
          <w:b/>
          <w:bCs/>
          <w:sz w:val="24"/>
          <w:rtl/>
        </w:rPr>
        <w:t>שבועיים</w:t>
      </w:r>
      <w:r w:rsidRPr="000959D9" w:rsidR="00A530E5">
        <w:rPr>
          <w:b/>
          <w:bCs/>
          <w:sz w:val="24"/>
          <w:rtl/>
        </w:rPr>
        <w:t xml:space="preserve"> </w:t>
      </w:r>
      <w:r w:rsidRPr="000959D9" w:rsidR="00A530E5">
        <w:rPr>
          <w:rFonts w:hint="eastAsia"/>
          <w:b/>
          <w:bCs/>
          <w:sz w:val="24"/>
          <w:rtl/>
        </w:rPr>
        <w:t>באוגוסט</w:t>
      </w:r>
      <w:r w:rsidRPr="000959D9" w:rsidR="00A530E5">
        <w:rPr>
          <w:b/>
          <w:bCs/>
          <w:sz w:val="24"/>
          <w:rtl/>
        </w:rPr>
        <w:t xml:space="preserve"> 2019</w:t>
      </w:r>
      <w:r w:rsidR="00A530E5">
        <w:rPr>
          <w:rFonts w:hint="cs"/>
          <w:szCs w:val="20"/>
          <w:rtl/>
        </w:rPr>
        <w:t xml:space="preserve"> </w:t>
      </w:r>
    </w:p>
    <w:p w:rsidR="002D0C59" w:rsidP="007277EF" w14:paraId="5F87F549" w14:textId="77777777">
      <w:pPr>
        <w:spacing w:before="240" w:line="269" w:lineRule="auto"/>
        <w:ind w:left="-567"/>
        <w:rPr>
          <w:szCs w:val="20"/>
          <w:rtl/>
        </w:rPr>
      </w:pPr>
      <w:r>
        <w:rPr>
          <w:rFonts w:hint="cs"/>
          <w:szCs w:val="20"/>
          <w:rtl/>
        </w:rPr>
        <w:t xml:space="preserve">המקור: </w:t>
      </w:r>
      <w:r w:rsidRPr="00411DCC">
        <w:rPr>
          <w:rFonts w:hint="eastAsia"/>
          <w:szCs w:val="20"/>
          <w:rtl/>
        </w:rPr>
        <w:t>נתוני</w:t>
      </w:r>
      <w:r w:rsidRPr="00411DCC">
        <w:rPr>
          <w:szCs w:val="20"/>
          <w:rtl/>
        </w:rPr>
        <w:t xml:space="preserve"> </w:t>
      </w:r>
      <w:r w:rsidRPr="00411DCC">
        <w:rPr>
          <w:rFonts w:hint="eastAsia"/>
          <w:szCs w:val="20"/>
          <w:rtl/>
        </w:rPr>
        <w:t>רשות</w:t>
      </w:r>
      <w:r w:rsidRPr="00411DCC">
        <w:rPr>
          <w:szCs w:val="20"/>
          <w:rtl/>
        </w:rPr>
        <w:t xml:space="preserve"> </w:t>
      </w:r>
      <w:r w:rsidRPr="00411DCC">
        <w:rPr>
          <w:rFonts w:hint="eastAsia"/>
          <w:szCs w:val="20"/>
          <w:rtl/>
        </w:rPr>
        <w:t>האוכלוסין</w:t>
      </w:r>
      <w:r w:rsidRPr="00411DCC">
        <w:rPr>
          <w:szCs w:val="20"/>
          <w:rtl/>
        </w:rPr>
        <w:t xml:space="preserve"> </w:t>
      </w:r>
      <w:r w:rsidRPr="00411DCC">
        <w:rPr>
          <w:rFonts w:hint="eastAsia"/>
          <w:szCs w:val="20"/>
          <w:rtl/>
        </w:rPr>
        <w:t>לאוגוסט</w:t>
      </w:r>
      <w:r w:rsidRPr="00411DCC">
        <w:rPr>
          <w:szCs w:val="20"/>
          <w:rtl/>
        </w:rPr>
        <w:t xml:space="preserve"> 2019, </w:t>
      </w:r>
      <w:r w:rsidRPr="00411DCC">
        <w:rPr>
          <w:rFonts w:hint="eastAsia"/>
          <w:szCs w:val="20"/>
          <w:rtl/>
        </w:rPr>
        <w:t>בעיבוד</w:t>
      </w:r>
      <w:r w:rsidRPr="00411DCC">
        <w:rPr>
          <w:szCs w:val="20"/>
          <w:rtl/>
        </w:rPr>
        <w:t xml:space="preserve"> </w:t>
      </w:r>
      <w:r w:rsidRPr="00411DCC">
        <w:rPr>
          <w:rFonts w:hint="eastAsia"/>
          <w:szCs w:val="20"/>
          <w:rtl/>
        </w:rPr>
        <w:t>משרד</w:t>
      </w:r>
      <w:r w:rsidRPr="00411DCC">
        <w:rPr>
          <w:szCs w:val="20"/>
          <w:rtl/>
        </w:rPr>
        <w:t xml:space="preserve"> </w:t>
      </w:r>
      <w:r w:rsidRPr="00411DCC">
        <w:rPr>
          <w:rFonts w:hint="eastAsia"/>
          <w:szCs w:val="20"/>
          <w:rtl/>
        </w:rPr>
        <w:t>מבקר</w:t>
      </w:r>
      <w:r w:rsidRPr="00411DCC">
        <w:rPr>
          <w:szCs w:val="20"/>
          <w:rtl/>
        </w:rPr>
        <w:t xml:space="preserve"> </w:t>
      </w:r>
      <w:r w:rsidRPr="00411DCC">
        <w:rPr>
          <w:rFonts w:hint="eastAsia"/>
          <w:szCs w:val="20"/>
          <w:rtl/>
        </w:rPr>
        <w:t>המדינה</w:t>
      </w:r>
      <w:r>
        <w:rPr>
          <w:rFonts w:hint="cs"/>
          <w:szCs w:val="20"/>
          <w:rtl/>
        </w:rPr>
        <w:t>.</w:t>
      </w:r>
    </w:p>
    <w:p w:rsidR="002D0C59" w:rsidRPr="00147CCE" w:rsidP="00AE0BE6" w14:paraId="7DD9CDE7" w14:textId="77777777">
      <w:pPr>
        <w:pStyle w:val="a"/>
        <w:spacing w:line="269" w:lineRule="auto"/>
        <w:rPr>
          <w:rtl/>
        </w:rPr>
      </w:pPr>
    </w:p>
    <w:p w:rsidR="002D0C59" w:rsidP="00AE0BE6" w14:paraId="27BD15B3" w14:textId="77777777">
      <w:pPr>
        <w:spacing w:line="269" w:lineRule="auto"/>
        <w:jc w:val="center"/>
        <w:rPr>
          <w:szCs w:val="20"/>
          <w:rtl/>
        </w:rPr>
      </w:pPr>
      <w:r>
        <w:rPr>
          <w:noProof/>
          <w:szCs w:val="20"/>
        </w:rPr>
        <w:drawing>
          <wp:anchor distT="0" distB="0" distL="114300" distR="114300" simplePos="0" relativeHeight="251660288" behindDoc="0" locked="0" layoutInCell="1" allowOverlap="1">
            <wp:simplePos x="0" y="0"/>
            <wp:positionH relativeFrom="column">
              <wp:posOffset>-324292</wp:posOffset>
            </wp:positionH>
            <wp:positionV relativeFrom="paragraph">
              <wp:posOffset>389338</wp:posOffset>
            </wp:positionV>
            <wp:extent cx="6015600" cy="3405600"/>
            <wp:effectExtent l="0" t="0" r="4445" b="4445"/>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14581" name="Picture 3"/>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6015600" cy="3405600"/>
                    </a:xfrm>
                    <a:prstGeom prst="rect">
                      <a:avLst/>
                    </a:prstGeom>
                    <a:noFill/>
                  </pic:spPr>
                </pic:pic>
              </a:graphicData>
            </a:graphic>
            <wp14:sizeRelH relativeFrom="margin">
              <wp14:pctWidth>0</wp14:pctWidth>
            </wp14:sizeRelH>
            <wp14:sizeRelV relativeFrom="margin">
              <wp14:pctHeight>0</wp14:pctHeight>
            </wp14:sizeRelV>
          </wp:anchor>
        </w:drawing>
      </w:r>
      <w:r w:rsidR="00A530E5">
        <w:rPr>
          <w:rFonts w:hint="cs"/>
          <w:b/>
          <w:bCs/>
          <w:sz w:val="24"/>
          <w:rtl/>
        </w:rPr>
        <w:t>תרשים 10</w:t>
      </w:r>
      <w:r w:rsidRPr="00892156" w:rsidR="00A530E5">
        <w:rPr>
          <w:b/>
          <w:bCs/>
          <w:sz w:val="24"/>
          <w:rtl/>
        </w:rPr>
        <w:t>:</w:t>
      </w:r>
      <w:r w:rsidR="00EC0F52">
        <w:rPr>
          <w:b/>
          <w:bCs/>
          <w:sz w:val="24"/>
          <w:rtl/>
        </w:rPr>
        <w:t xml:space="preserve"> </w:t>
      </w:r>
      <w:r w:rsidR="00A530E5">
        <w:rPr>
          <w:rFonts w:hint="cs"/>
          <w:b/>
          <w:bCs/>
          <w:sz w:val="24"/>
          <w:rtl/>
        </w:rPr>
        <w:t>שיעור הנתינים של המדינות הנבחרות לפי משך הטיפול בהם מכלל נתיני אותן מדינות שנכנסו לישראל במהלך שבועיים בנובמבר 2019</w:t>
      </w:r>
    </w:p>
    <w:p w:rsidR="002D0C59" w:rsidP="007277EF" w14:paraId="1BF63465" w14:textId="77777777">
      <w:pPr>
        <w:spacing w:line="269" w:lineRule="auto"/>
        <w:ind w:left="-710"/>
        <w:rPr>
          <w:szCs w:val="20"/>
          <w:rtl/>
        </w:rPr>
      </w:pPr>
      <w:r>
        <w:rPr>
          <w:rFonts w:hint="cs"/>
          <w:szCs w:val="20"/>
          <w:rtl/>
        </w:rPr>
        <w:t xml:space="preserve">המקור: </w:t>
      </w:r>
      <w:r w:rsidRPr="001E7CF4">
        <w:rPr>
          <w:szCs w:val="20"/>
          <w:rtl/>
        </w:rPr>
        <w:t xml:space="preserve">נתוני רשות האוכלוסין </w:t>
      </w:r>
      <w:r w:rsidRPr="001E7CF4">
        <w:rPr>
          <w:rFonts w:hint="eastAsia"/>
          <w:szCs w:val="20"/>
          <w:rtl/>
        </w:rPr>
        <w:t>ל</w:t>
      </w:r>
      <w:r>
        <w:rPr>
          <w:rFonts w:hint="cs"/>
          <w:szCs w:val="20"/>
          <w:rtl/>
        </w:rPr>
        <w:t>נובמבר</w:t>
      </w:r>
      <w:r w:rsidRPr="001E7CF4">
        <w:rPr>
          <w:szCs w:val="20"/>
          <w:rtl/>
        </w:rPr>
        <w:t xml:space="preserve"> 2019</w:t>
      </w:r>
      <w:r w:rsidRPr="00082707">
        <w:rPr>
          <w:szCs w:val="20"/>
          <w:rtl/>
        </w:rPr>
        <w:t>, בעיבוד משרד מבקר המדינה</w:t>
      </w:r>
      <w:r>
        <w:rPr>
          <w:rFonts w:hint="cs"/>
          <w:szCs w:val="20"/>
          <w:rtl/>
        </w:rPr>
        <w:t>.</w:t>
      </w:r>
    </w:p>
    <w:p w:rsidR="002D0C59" w:rsidRPr="00147CCE" w:rsidP="00AE0BE6" w14:paraId="4F44BB4A" w14:textId="77777777">
      <w:pPr>
        <w:pStyle w:val="a"/>
        <w:spacing w:line="269" w:lineRule="auto"/>
        <w:rPr>
          <w:rtl/>
        </w:rPr>
      </w:pPr>
    </w:p>
    <w:p w:rsidR="002D0C59" w:rsidP="00AE0BE6" w14:paraId="1AD1F35B" w14:textId="77777777">
      <w:pPr>
        <w:spacing w:line="269" w:lineRule="auto"/>
        <w:rPr>
          <w:b/>
          <w:bCs/>
          <w:sz w:val="24"/>
          <w:rtl/>
        </w:rPr>
      </w:pPr>
      <w:r w:rsidRPr="00D56890">
        <w:rPr>
          <w:rFonts w:hint="cs"/>
          <w:b/>
          <w:bCs/>
          <w:sz w:val="24"/>
          <w:rtl/>
        </w:rPr>
        <w:t xml:space="preserve">מהתרשימים עולה </w:t>
      </w:r>
      <w:r>
        <w:rPr>
          <w:rFonts w:hint="cs"/>
          <w:b/>
          <w:bCs/>
          <w:sz w:val="24"/>
          <w:rtl/>
        </w:rPr>
        <w:t xml:space="preserve">כי חלק מהבדיקות האחידות של זרים נתיני המדינות האמורות שביקשו להיכנס לישראל בתקופה שנבדקה (ונשאו דרכון ביומטרי) ארכו 8 שניות או פחות מכך, ובנוגע לחלק מהם הבדיקה ארכה 6 שניות או פחות מכך. </w:t>
      </w:r>
      <w:r w:rsidRPr="001F33E3">
        <w:rPr>
          <w:rFonts w:hint="eastAsia"/>
          <w:b/>
          <w:bCs/>
          <w:sz w:val="24"/>
          <w:rtl/>
        </w:rPr>
        <w:t>זאת</w:t>
      </w:r>
      <w:r w:rsidRPr="001F33E3">
        <w:rPr>
          <w:b/>
          <w:bCs/>
          <w:sz w:val="24"/>
          <w:rtl/>
        </w:rPr>
        <w:t xml:space="preserve"> </w:t>
      </w:r>
      <w:r w:rsidRPr="001F33E3">
        <w:rPr>
          <w:rFonts w:hint="eastAsia"/>
          <w:b/>
          <w:bCs/>
          <w:sz w:val="24"/>
          <w:rtl/>
        </w:rPr>
        <w:t>בשעה</w:t>
      </w:r>
      <w:r w:rsidRPr="001F33E3">
        <w:rPr>
          <w:b/>
          <w:bCs/>
          <w:sz w:val="24"/>
          <w:rtl/>
        </w:rPr>
        <w:t xml:space="preserve"> </w:t>
      </w:r>
      <w:r w:rsidRPr="001F33E3">
        <w:rPr>
          <w:rFonts w:hint="eastAsia"/>
          <w:b/>
          <w:bCs/>
          <w:sz w:val="24"/>
          <w:rtl/>
        </w:rPr>
        <w:t>שמשך</w:t>
      </w:r>
      <w:r w:rsidRPr="001F33E3">
        <w:rPr>
          <w:b/>
          <w:bCs/>
          <w:sz w:val="24"/>
          <w:rtl/>
        </w:rPr>
        <w:t xml:space="preserve"> </w:t>
      </w:r>
      <w:r w:rsidRPr="001F33E3">
        <w:rPr>
          <w:rFonts w:hint="eastAsia"/>
          <w:b/>
          <w:bCs/>
          <w:sz w:val="24"/>
          <w:rtl/>
        </w:rPr>
        <w:t>סריקת</w:t>
      </w:r>
      <w:r w:rsidRPr="001F33E3">
        <w:rPr>
          <w:b/>
          <w:bCs/>
          <w:sz w:val="24"/>
          <w:rtl/>
        </w:rPr>
        <w:t xml:space="preserve"> </w:t>
      </w:r>
      <w:r w:rsidRPr="001F33E3">
        <w:rPr>
          <w:rFonts w:hint="eastAsia"/>
          <w:b/>
          <w:bCs/>
          <w:sz w:val="24"/>
          <w:rtl/>
        </w:rPr>
        <w:t>הדרכון</w:t>
      </w:r>
      <w:r w:rsidRPr="001F33E3">
        <w:rPr>
          <w:b/>
          <w:bCs/>
          <w:sz w:val="24"/>
          <w:rtl/>
        </w:rPr>
        <w:t xml:space="preserve"> </w:t>
      </w:r>
      <w:r w:rsidRPr="001F33E3">
        <w:rPr>
          <w:rFonts w:hint="cs"/>
          <w:b/>
          <w:bCs/>
          <w:sz w:val="24"/>
          <w:rtl/>
        </w:rPr>
        <w:t>והעלאת המידע המצוי במערכת הממוחשבת</w:t>
      </w:r>
      <w:r w:rsidRPr="001F33E3">
        <w:rPr>
          <w:b/>
          <w:bCs/>
          <w:sz w:val="24"/>
          <w:rtl/>
        </w:rPr>
        <w:t xml:space="preserve"> </w:t>
      </w:r>
      <w:r w:rsidRPr="001F33E3">
        <w:rPr>
          <w:rFonts w:hint="eastAsia"/>
          <w:b/>
          <w:bCs/>
          <w:sz w:val="24"/>
          <w:rtl/>
        </w:rPr>
        <w:t>אורך</w:t>
      </w:r>
      <w:r w:rsidRPr="001F33E3">
        <w:rPr>
          <w:b/>
          <w:bCs/>
          <w:sz w:val="24"/>
          <w:rtl/>
        </w:rPr>
        <w:t xml:space="preserve"> </w:t>
      </w:r>
      <w:r>
        <w:rPr>
          <w:rFonts w:hint="cs"/>
          <w:b/>
          <w:bCs/>
          <w:sz w:val="24"/>
          <w:rtl/>
        </w:rPr>
        <w:t>6</w:t>
      </w:r>
      <w:r w:rsidRPr="001F33E3">
        <w:rPr>
          <w:b/>
          <w:bCs/>
          <w:sz w:val="24"/>
          <w:rtl/>
        </w:rPr>
        <w:t xml:space="preserve"> </w:t>
      </w:r>
      <w:r w:rsidRPr="001F33E3">
        <w:rPr>
          <w:rFonts w:hint="eastAsia"/>
          <w:b/>
          <w:bCs/>
          <w:sz w:val="24"/>
          <w:rtl/>
        </w:rPr>
        <w:t>ש</w:t>
      </w:r>
      <w:r w:rsidRPr="001F33E3">
        <w:rPr>
          <w:rFonts w:hint="eastAsia"/>
          <w:b/>
          <w:bCs/>
          <w:sz w:val="24"/>
          <w:rtl/>
        </w:rPr>
        <w:t>ניות</w:t>
      </w:r>
      <w:r w:rsidRPr="001F33E3">
        <w:rPr>
          <w:rFonts w:hint="cs"/>
          <w:b/>
          <w:bCs/>
          <w:sz w:val="24"/>
          <w:rtl/>
        </w:rPr>
        <w:t xml:space="preserve"> לכל הפחות</w:t>
      </w:r>
      <w:r w:rsidRPr="001F33E3">
        <w:rPr>
          <w:b/>
          <w:bCs/>
          <w:sz w:val="24"/>
          <w:rtl/>
        </w:rPr>
        <w:t xml:space="preserve">, </w:t>
      </w:r>
      <w:r w:rsidRPr="001F33E3">
        <w:rPr>
          <w:rFonts w:hint="cs"/>
          <w:b/>
          <w:bCs/>
          <w:sz w:val="24"/>
          <w:rtl/>
        </w:rPr>
        <w:t>ולע</w:t>
      </w:r>
      <w:r>
        <w:rPr>
          <w:rFonts w:hint="cs"/>
          <w:b/>
          <w:bCs/>
          <w:sz w:val="24"/>
          <w:rtl/>
        </w:rPr>
        <w:t>י</w:t>
      </w:r>
      <w:r w:rsidRPr="001F33E3">
        <w:rPr>
          <w:rFonts w:hint="cs"/>
          <w:b/>
          <w:bCs/>
          <w:sz w:val="24"/>
          <w:rtl/>
        </w:rPr>
        <w:t xml:space="preserve">תים - עד 10 שניות, </w:t>
      </w:r>
      <w:r w:rsidRPr="001F33E3">
        <w:rPr>
          <w:rFonts w:hint="eastAsia"/>
          <w:b/>
          <w:bCs/>
          <w:sz w:val="24"/>
          <w:rtl/>
        </w:rPr>
        <w:t>ובקר</w:t>
      </w:r>
      <w:r w:rsidRPr="001F33E3">
        <w:rPr>
          <w:b/>
          <w:bCs/>
          <w:sz w:val="24"/>
          <w:rtl/>
        </w:rPr>
        <w:t xml:space="preserve"> </w:t>
      </w:r>
      <w:r w:rsidRPr="001F33E3">
        <w:rPr>
          <w:rFonts w:hint="eastAsia"/>
          <w:b/>
          <w:bCs/>
          <w:sz w:val="24"/>
          <w:rtl/>
        </w:rPr>
        <w:t>הגבול</w:t>
      </w:r>
      <w:r w:rsidRPr="001F33E3">
        <w:rPr>
          <w:b/>
          <w:bCs/>
          <w:sz w:val="24"/>
          <w:rtl/>
        </w:rPr>
        <w:t xml:space="preserve"> </w:t>
      </w:r>
      <w:r w:rsidRPr="001F33E3">
        <w:rPr>
          <w:rFonts w:hint="eastAsia"/>
          <w:b/>
          <w:bCs/>
          <w:sz w:val="24"/>
          <w:rtl/>
        </w:rPr>
        <w:t>נדרש</w:t>
      </w:r>
      <w:r w:rsidRPr="001F33E3">
        <w:rPr>
          <w:b/>
          <w:bCs/>
          <w:sz w:val="24"/>
          <w:rtl/>
        </w:rPr>
        <w:t xml:space="preserve"> </w:t>
      </w:r>
      <w:r w:rsidRPr="001F33E3">
        <w:rPr>
          <w:rFonts w:hint="cs"/>
          <w:b/>
          <w:bCs/>
          <w:sz w:val="24"/>
          <w:rtl/>
        </w:rPr>
        <w:t xml:space="preserve">להשוות בין המידע שעלה </w:t>
      </w:r>
      <w:r>
        <w:rPr>
          <w:rFonts w:hint="cs"/>
          <w:b/>
          <w:bCs/>
          <w:sz w:val="24"/>
          <w:rtl/>
        </w:rPr>
        <w:t xml:space="preserve">במערכת </w:t>
      </w:r>
      <w:r w:rsidRPr="001F33E3">
        <w:rPr>
          <w:rFonts w:hint="cs"/>
          <w:b/>
          <w:bCs/>
          <w:sz w:val="24"/>
          <w:rtl/>
        </w:rPr>
        <w:t xml:space="preserve">לבין פרטי הדרכון שבידיו, ובמידת הצורך גם </w:t>
      </w:r>
      <w:r w:rsidRPr="001F33E3">
        <w:rPr>
          <w:rFonts w:hint="cs"/>
          <w:b/>
          <w:bCs/>
          <w:sz w:val="24"/>
          <w:rtl/>
        </w:rPr>
        <w:t>להציג שאלות לנוסע ולקבל את תשובותיו</w:t>
      </w:r>
      <w:r w:rsidRPr="001F33E3">
        <w:rPr>
          <w:b/>
          <w:bCs/>
          <w:sz w:val="24"/>
          <w:rtl/>
        </w:rPr>
        <w:t>.</w:t>
      </w:r>
      <w:r w:rsidRPr="001F33E3">
        <w:rPr>
          <w:rFonts w:hint="cs"/>
          <w:b/>
          <w:bCs/>
          <w:sz w:val="24"/>
          <w:rtl/>
        </w:rPr>
        <w:t xml:space="preserve"> </w:t>
      </w:r>
      <w:r>
        <w:rPr>
          <w:rFonts w:hint="cs"/>
          <w:b/>
          <w:bCs/>
          <w:sz w:val="24"/>
          <w:rtl/>
        </w:rPr>
        <w:t>זאת</w:t>
      </w:r>
      <w:r w:rsidRPr="001F33E3">
        <w:rPr>
          <w:rFonts w:hint="cs"/>
          <w:b/>
          <w:bCs/>
          <w:sz w:val="24"/>
          <w:rtl/>
        </w:rPr>
        <w:t xml:space="preserve"> גם בנ</w:t>
      </w:r>
      <w:r>
        <w:rPr>
          <w:rFonts w:hint="cs"/>
          <w:b/>
          <w:bCs/>
          <w:sz w:val="24"/>
          <w:rtl/>
        </w:rPr>
        <w:t xml:space="preserve">וגע </w:t>
      </w:r>
      <w:r w:rsidRPr="00975B56">
        <w:rPr>
          <w:rFonts w:hint="cs"/>
          <w:b/>
          <w:bCs/>
          <w:sz w:val="24"/>
          <w:rtl/>
        </w:rPr>
        <w:t>לבדיקת נתיני מדינות הבולטות מבחינת שכיחות נתיניהן הנכנסים לישראל כתיירים ובהמשך ש</w:t>
      </w:r>
      <w:r w:rsidRPr="00975B56">
        <w:rPr>
          <w:rFonts w:hint="cs"/>
          <w:b/>
          <w:bCs/>
          <w:sz w:val="24"/>
          <w:rtl/>
        </w:rPr>
        <w:t>והים בה שלא כחוק.</w:t>
      </w:r>
      <w:r>
        <w:rPr>
          <w:rFonts w:hint="cs"/>
          <w:b/>
          <w:bCs/>
          <w:sz w:val="24"/>
          <w:rtl/>
        </w:rPr>
        <w:t xml:space="preserve"> </w:t>
      </w:r>
    </w:p>
    <w:p w:rsidR="002D0C59" w:rsidP="00AE0BE6" w14:paraId="0371AC00" w14:textId="77777777">
      <w:pPr>
        <w:pStyle w:val="a"/>
        <w:spacing w:line="269" w:lineRule="auto"/>
        <w:rPr>
          <w:rtl/>
        </w:rPr>
      </w:pPr>
    </w:p>
    <w:p w:rsidR="002D0C59" w:rsidRPr="005C72B2" w:rsidP="00AE0BE6" w14:paraId="3AE0297B" w14:textId="77777777">
      <w:pPr>
        <w:spacing w:line="269" w:lineRule="auto"/>
        <w:rPr>
          <w:sz w:val="24"/>
          <w:rtl/>
        </w:rPr>
      </w:pPr>
      <w:r w:rsidRPr="005C72B2">
        <w:rPr>
          <w:rFonts w:hint="cs"/>
          <w:sz w:val="24"/>
          <w:rtl/>
        </w:rPr>
        <w:t>רשות</w:t>
      </w:r>
      <w:r w:rsidRPr="005C72B2">
        <w:rPr>
          <w:sz w:val="24"/>
          <w:rtl/>
        </w:rPr>
        <w:t xml:space="preserve"> האוכלוסין </w:t>
      </w:r>
      <w:r w:rsidRPr="005C72B2">
        <w:rPr>
          <w:rFonts w:hint="cs"/>
          <w:sz w:val="24"/>
          <w:rtl/>
        </w:rPr>
        <w:t>השיבה</w:t>
      </w:r>
      <w:r w:rsidRPr="005C72B2">
        <w:rPr>
          <w:sz w:val="24"/>
          <w:rtl/>
        </w:rPr>
        <w:t xml:space="preserve"> למשרד מבקר המדינה </w:t>
      </w:r>
      <w:r w:rsidRPr="005C72B2">
        <w:rPr>
          <w:rFonts w:hint="cs"/>
          <w:sz w:val="24"/>
          <w:rtl/>
        </w:rPr>
        <w:t>כי</w:t>
      </w:r>
      <w:r w:rsidRPr="005C72B2">
        <w:rPr>
          <w:sz w:val="24"/>
          <w:rtl/>
        </w:rPr>
        <w:t xml:space="preserve"> </w:t>
      </w:r>
      <w:r w:rsidRPr="005C72B2">
        <w:rPr>
          <w:rFonts w:hint="cs"/>
          <w:sz w:val="24"/>
          <w:rtl/>
        </w:rPr>
        <w:t>רוב</w:t>
      </w:r>
      <w:r w:rsidRPr="005C72B2">
        <w:rPr>
          <w:sz w:val="24"/>
          <w:rtl/>
        </w:rPr>
        <w:t xml:space="preserve"> </w:t>
      </w:r>
      <w:r w:rsidRPr="005C72B2">
        <w:rPr>
          <w:rFonts w:hint="cs"/>
          <w:sz w:val="24"/>
          <w:rtl/>
        </w:rPr>
        <w:t>הזרים</w:t>
      </w:r>
      <w:r w:rsidRPr="005C72B2">
        <w:rPr>
          <w:sz w:val="24"/>
          <w:rtl/>
        </w:rPr>
        <w:t xml:space="preserve"> </w:t>
      </w:r>
      <w:r w:rsidRPr="005C72B2">
        <w:rPr>
          <w:rFonts w:hint="cs"/>
          <w:sz w:val="24"/>
          <w:rtl/>
        </w:rPr>
        <w:t>המגיעים</w:t>
      </w:r>
      <w:r w:rsidRPr="005C72B2">
        <w:rPr>
          <w:sz w:val="24"/>
          <w:rtl/>
        </w:rPr>
        <w:t xml:space="preserve"> </w:t>
      </w:r>
      <w:r w:rsidRPr="005C72B2">
        <w:rPr>
          <w:rFonts w:hint="cs"/>
          <w:sz w:val="24"/>
          <w:rtl/>
        </w:rPr>
        <w:t>מה</w:t>
      </w:r>
      <w:r w:rsidRPr="005C72B2">
        <w:rPr>
          <w:sz w:val="24"/>
          <w:rtl/>
        </w:rPr>
        <w:t xml:space="preserve">מדינות הבולטות </w:t>
      </w:r>
      <w:r w:rsidRPr="005C72B2">
        <w:rPr>
          <w:rFonts w:hint="cs"/>
          <w:sz w:val="24"/>
          <w:rtl/>
        </w:rPr>
        <w:t>מבחינת</w:t>
      </w:r>
      <w:r w:rsidRPr="005C72B2">
        <w:rPr>
          <w:sz w:val="24"/>
          <w:rtl/>
        </w:rPr>
        <w:t xml:space="preserve"> שיעור הנתינים השוהים בישראל שלא כחוק נבדקו במשך יותר מ-10 שניות; </w:t>
      </w:r>
      <w:r w:rsidRPr="005C72B2">
        <w:rPr>
          <w:rFonts w:hint="cs"/>
          <w:sz w:val="24"/>
          <w:rtl/>
        </w:rPr>
        <w:t>בדיקת</w:t>
      </w:r>
      <w:r w:rsidRPr="005C72B2">
        <w:rPr>
          <w:sz w:val="24"/>
          <w:rtl/>
        </w:rPr>
        <w:t xml:space="preserve"> </w:t>
      </w:r>
      <w:r w:rsidRPr="005C72B2">
        <w:rPr>
          <w:rFonts w:hint="cs"/>
          <w:sz w:val="24"/>
          <w:rtl/>
        </w:rPr>
        <w:t>הזרים</w:t>
      </w:r>
      <w:r w:rsidRPr="005C72B2">
        <w:rPr>
          <w:sz w:val="24"/>
          <w:rtl/>
        </w:rPr>
        <w:t xml:space="preserve"> </w:t>
      </w:r>
      <w:r w:rsidRPr="005C72B2">
        <w:rPr>
          <w:rFonts w:hint="cs"/>
          <w:sz w:val="24"/>
          <w:rtl/>
        </w:rPr>
        <w:t>האלה</w:t>
      </w:r>
      <w:r w:rsidRPr="005C72B2">
        <w:rPr>
          <w:sz w:val="24"/>
          <w:rtl/>
        </w:rPr>
        <w:t xml:space="preserve"> </w:t>
      </w:r>
      <w:r w:rsidRPr="005C72B2">
        <w:rPr>
          <w:rFonts w:hint="cs"/>
          <w:sz w:val="24"/>
          <w:rtl/>
        </w:rPr>
        <w:t>הוקשחה</w:t>
      </w:r>
      <w:r w:rsidRPr="005C72B2">
        <w:rPr>
          <w:sz w:val="24"/>
          <w:rtl/>
        </w:rPr>
        <w:t xml:space="preserve">, וכפועל יוצא מכך, </w:t>
      </w:r>
      <w:r w:rsidRPr="005C72B2">
        <w:rPr>
          <w:rFonts w:hint="cs"/>
          <w:sz w:val="24"/>
          <w:rtl/>
        </w:rPr>
        <w:t>עלה</w:t>
      </w:r>
      <w:r w:rsidRPr="005C72B2">
        <w:rPr>
          <w:sz w:val="24"/>
          <w:rtl/>
        </w:rPr>
        <w:t xml:space="preserve"> משמעותית מספר סירובי הכניסה בשנים האחרונות. הרשות ציינה כי המדינות </w:t>
      </w:r>
      <w:r w:rsidRPr="005C72B2">
        <w:rPr>
          <w:rFonts w:hint="cs"/>
          <w:sz w:val="24"/>
          <w:rtl/>
        </w:rPr>
        <w:t>האלה</w:t>
      </w:r>
      <w:r w:rsidRPr="005C72B2">
        <w:rPr>
          <w:sz w:val="24"/>
          <w:rtl/>
        </w:rPr>
        <w:t xml:space="preserve"> </w:t>
      </w:r>
      <w:r w:rsidRPr="005C72B2">
        <w:rPr>
          <w:rFonts w:hint="cs"/>
          <w:sz w:val="24"/>
          <w:rtl/>
        </w:rPr>
        <w:t>טוענות</w:t>
      </w:r>
      <w:r w:rsidRPr="005C72B2">
        <w:rPr>
          <w:sz w:val="24"/>
          <w:rtl/>
        </w:rPr>
        <w:t xml:space="preserve"> כנגד</w:t>
      </w:r>
      <w:r w:rsidRPr="005C72B2">
        <w:rPr>
          <w:rFonts w:hint="cs"/>
          <w:sz w:val="24"/>
          <w:rtl/>
        </w:rPr>
        <w:t>ה</w:t>
      </w:r>
      <w:r w:rsidRPr="005C72B2">
        <w:rPr>
          <w:sz w:val="24"/>
          <w:rtl/>
        </w:rPr>
        <w:t xml:space="preserve"> </w:t>
      </w:r>
      <w:r w:rsidRPr="005C72B2">
        <w:rPr>
          <w:rFonts w:hint="cs"/>
          <w:sz w:val="24"/>
          <w:rtl/>
        </w:rPr>
        <w:t>שהבדיקות</w:t>
      </w:r>
      <w:r w:rsidRPr="005C72B2">
        <w:rPr>
          <w:sz w:val="24"/>
          <w:rtl/>
        </w:rPr>
        <w:t xml:space="preserve"> </w:t>
      </w:r>
      <w:r w:rsidRPr="005C72B2">
        <w:rPr>
          <w:rFonts w:hint="cs"/>
          <w:sz w:val="24"/>
          <w:rtl/>
        </w:rPr>
        <w:t>במעבר</w:t>
      </w:r>
      <w:r w:rsidRPr="005C72B2">
        <w:rPr>
          <w:sz w:val="24"/>
          <w:rtl/>
        </w:rPr>
        <w:t xml:space="preserve"> </w:t>
      </w:r>
      <w:r w:rsidRPr="005C72B2">
        <w:rPr>
          <w:rFonts w:hint="cs"/>
          <w:sz w:val="24"/>
          <w:rtl/>
        </w:rPr>
        <w:t>הגבול</w:t>
      </w:r>
      <w:r w:rsidRPr="005C72B2">
        <w:rPr>
          <w:sz w:val="24"/>
          <w:rtl/>
        </w:rPr>
        <w:t xml:space="preserve"> </w:t>
      </w:r>
      <w:r w:rsidRPr="005C72B2">
        <w:rPr>
          <w:rFonts w:hint="cs"/>
          <w:sz w:val="24"/>
          <w:rtl/>
        </w:rPr>
        <w:t>קשיחות</w:t>
      </w:r>
      <w:r w:rsidRPr="005C72B2">
        <w:rPr>
          <w:sz w:val="24"/>
          <w:rtl/>
        </w:rPr>
        <w:t xml:space="preserve"> </w:t>
      </w:r>
      <w:r w:rsidRPr="005C72B2">
        <w:rPr>
          <w:rFonts w:hint="cs"/>
          <w:sz w:val="24"/>
          <w:rtl/>
        </w:rPr>
        <w:t>מדי</w:t>
      </w:r>
      <w:r w:rsidRPr="005C72B2">
        <w:rPr>
          <w:sz w:val="24"/>
          <w:rtl/>
        </w:rPr>
        <w:t>.</w:t>
      </w:r>
    </w:p>
    <w:p w:rsidR="002D0C59" w:rsidRPr="00C6269F" w:rsidP="00AE0BE6" w14:paraId="44A43757" w14:textId="77777777">
      <w:pPr>
        <w:pStyle w:val="a"/>
        <w:spacing w:line="269" w:lineRule="auto"/>
        <w:rPr>
          <w:rtl/>
        </w:rPr>
      </w:pPr>
    </w:p>
    <w:p w:rsidR="002D0C59" w:rsidP="00AE0BE6" w14:paraId="6AEBCE68" w14:textId="2DD102F5">
      <w:pPr>
        <w:spacing w:line="269" w:lineRule="auto"/>
        <w:rPr>
          <w:rFonts w:ascii="Segoe UI Symbol" w:hAnsi="Segoe UI Symbol" w:cs="Segoe UI Symbol"/>
          <w:sz w:val="36"/>
          <w:rtl/>
        </w:rPr>
      </w:pPr>
      <w:r>
        <w:rPr>
          <w:rFonts w:hint="cs"/>
          <w:b/>
          <w:bCs/>
          <w:sz w:val="24"/>
          <w:rtl/>
        </w:rPr>
        <w:t>משרד מבקר המדינה מציין כי על פי הנתונים בתרשימים שלעיל, 15% מנתיני רוסיה שביקשו להיכנס לישראל במהלך שבועיים באוגוסט 2019 נבדקו במשך 6 שנ</w:t>
      </w:r>
      <w:r>
        <w:rPr>
          <w:rFonts w:hint="cs"/>
          <w:b/>
          <w:bCs/>
          <w:sz w:val="24"/>
          <w:rtl/>
        </w:rPr>
        <w:t>יות בלבד (לפחות 6 שניות נדרשו לשם סריקת הדרכון והעלאת המידע), ובסך הכול 27% מנתיניה נבדקו במשך 8 שניות או פחות מכך; 9% מנתיני אוקראינה שביקשו להיכנס במהלך שבועיים בנובמבר 2019 נבדקו במשך 6 שניות או פחות מכך, ובסך הכול 20% מנתיניה נבדקו במשך 8 שניות או פחות</w:t>
      </w:r>
      <w:r>
        <w:rPr>
          <w:rFonts w:hint="cs"/>
          <w:b/>
          <w:bCs/>
          <w:sz w:val="24"/>
          <w:rtl/>
        </w:rPr>
        <w:t xml:space="preserve"> מכך.</w:t>
      </w:r>
    </w:p>
    <w:p w:rsidR="00CA38F7" w:rsidP="00AE0BE6" w14:paraId="466B4765" w14:textId="77777777">
      <w:pPr>
        <w:spacing w:line="269" w:lineRule="auto"/>
        <w:rPr>
          <w:rFonts w:ascii="Segoe UI Symbol" w:hAnsi="Segoe UI Symbol" w:cs="Segoe UI Symbol"/>
          <w:sz w:val="36"/>
          <w:rtl/>
        </w:rPr>
      </w:pPr>
    </w:p>
    <w:p w:rsidR="002D0C59" w:rsidRPr="00D56890" w:rsidP="00AE0BE6" w14:paraId="735A68C2" w14:textId="77777777">
      <w:pPr>
        <w:spacing w:line="269" w:lineRule="auto"/>
        <w:jc w:val="center"/>
        <w:rPr>
          <w:rFonts w:ascii="Arial" w:hAnsi="Arial" w:cs="Arial"/>
          <w:sz w:val="36"/>
          <w:rtl/>
        </w:rPr>
      </w:pPr>
      <w:r>
        <w:rPr>
          <w:rFonts w:ascii="Segoe UI Symbol" w:hAnsi="Segoe UI Symbol" w:cs="Segoe UI Symbol" w:hint="cs"/>
          <w:sz w:val="36"/>
          <w:rtl/>
        </w:rPr>
        <w:t>✰</w:t>
      </w:r>
    </w:p>
    <w:p w:rsidR="002D0C59" w:rsidP="00AE0BE6" w14:paraId="6E71D9C7" w14:textId="462AF187">
      <w:pPr>
        <w:pStyle w:val="a"/>
        <w:spacing w:line="269" w:lineRule="auto"/>
        <w:rPr>
          <w:rtl/>
        </w:rPr>
      </w:pPr>
    </w:p>
    <w:p w:rsidR="00CA38F7" w:rsidRPr="00CA38F7" w:rsidP="00CA38F7" w14:paraId="7880943E" w14:textId="77777777">
      <w:pPr>
        <w:rPr>
          <w:rtl/>
        </w:rPr>
      </w:pPr>
    </w:p>
    <w:p w:rsidR="002D0C59" w:rsidRPr="00D82BC1" w:rsidP="00AE0BE6" w14:paraId="20BC9883" w14:textId="77777777">
      <w:pPr>
        <w:spacing w:line="269" w:lineRule="auto"/>
        <w:rPr>
          <w:b/>
          <w:bCs/>
          <w:sz w:val="24"/>
          <w:rtl/>
        </w:rPr>
      </w:pPr>
      <w:r>
        <w:rPr>
          <w:rFonts w:hint="cs"/>
          <w:b/>
          <w:bCs/>
          <w:sz w:val="24"/>
          <w:rtl/>
        </w:rPr>
        <w:t xml:space="preserve">במוקד ביקורת הגבולות בנתב"ג ניצב בקר הגבול, והוא נדרש לבדוק נוסע זר המבקר להיכנס לישראל בטרם יאשר את בקשתו: החל בסריקת הדרכון ובדיקת ממצאי הסריקה במערכת </w:t>
      </w:r>
      <w:r w:rsidRPr="000C6383">
        <w:rPr>
          <w:rFonts w:hint="cs"/>
          <w:b/>
          <w:bCs/>
          <w:sz w:val="24"/>
          <w:rtl/>
        </w:rPr>
        <w:t>הממוחשבת, דרך השוואת המידע שעלה במערכת הממוחשבת לפרטי הדרכון, וכלה</w:t>
      </w:r>
      <w:r w:rsidRPr="0031750C">
        <w:rPr>
          <w:rFonts w:hint="cs"/>
          <w:b/>
          <w:bCs/>
          <w:sz w:val="24"/>
          <w:rtl/>
        </w:rPr>
        <w:t xml:space="preserve"> </w:t>
      </w:r>
      <w:r>
        <w:rPr>
          <w:rFonts w:hint="cs"/>
          <w:b/>
          <w:bCs/>
          <w:sz w:val="24"/>
          <w:rtl/>
        </w:rPr>
        <w:t>ב</w:t>
      </w:r>
      <w:r w:rsidRPr="0031750C">
        <w:rPr>
          <w:rFonts w:hint="cs"/>
          <w:b/>
          <w:bCs/>
          <w:sz w:val="24"/>
          <w:rtl/>
        </w:rPr>
        <w:t>תשאול</w:t>
      </w:r>
      <w:r>
        <w:rPr>
          <w:rFonts w:hint="cs"/>
          <w:b/>
          <w:bCs/>
          <w:sz w:val="24"/>
          <w:rtl/>
        </w:rPr>
        <w:t xml:space="preserve"> הנוסע</w:t>
      </w:r>
      <w:r w:rsidRPr="0031750C">
        <w:rPr>
          <w:rFonts w:hint="cs"/>
          <w:b/>
          <w:bCs/>
          <w:sz w:val="24"/>
          <w:rtl/>
        </w:rPr>
        <w:t xml:space="preserve"> במקרה שמתעורר אצל </w:t>
      </w:r>
      <w:r>
        <w:rPr>
          <w:rFonts w:hint="cs"/>
          <w:b/>
          <w:bCs/>
          <w:sz w:val="24"/>
          <w:rtl/>
        </w:rPr>
        <w:t xml:space="preserve">הבקר </w:t>
      </w:r>
      <w:r w:rsidRPr="0031750C">
        <w:rPr>
          <w:rFonts w:hint="cs"/>
          <w:b/>
          <w:bCs/>
          <w:sz w:val="24"/>
          <w:rtl/>
        </w:rPr>
        <w:t>חשד</w:t>
      </w:r>
      <w:r w:rsidRPr="0031750C">
        <w:rPr>
          <w:b/>
          <w:bCs/>
          <w:sz w:val="24"/>
          <w:rtl/>
        </w:rPr>
        <w:t xml:space="preserve"> בנוגע למטרת הביקור</w:t>
      </w:r>
      <w:r w:rsidRPr="0031750C">
        <w:rPr>
          <w:rFonts w:hint="cs"/>
          <w:b/>
          <w:bCs/>
          <w:sz w:val="24"/>
          <w:rtl/>
        </w:rPr>
        <w:t xml:space="preserve"> של</w:t>
      </w:r>
      <w:r>
        <w:rPr>
          <w:rFonts w:hint="cs"/>
          <w:b/>
          <w:bCs/>
          <w:sz w:val="24"/>
          <w:rtl/>
        </w:rPr>
        <w:t>ו</w:t>
      </w:r>
      <w:r w:rsidRPr="0031750C">
        <w:rPr>
          <w:rFonts w:hint="cs"/>
          <w:b/>
          <w:bCs/>
          <w:sz w:val="24"/>
          <w:rtl/>
        </w:rPr>
        <w:t>.</w:t>
      </w:r>
      <w:r>
        <w:rPr>
          <w:rFonts w:hint="cs"/>
          <w:b/>
          <w:bCs/>
          <w:sz w:val="24"/>
          <w:rtl/>
        </w:rPr>
        <w:t xml:space="preserve"> חלק </w:t>
      </w:r>
      <w:r w:rsidRPr="000C0AE9">
        <w:rPr>
          <w:b/>
          <w:bCs/>
          <w:sz w:val="24"/>
          <w:rtl/>
        </w:rPr>
        <w:t xml:space="preserve">מהזרים שנכנסו לישראל </w:t>
      </w:r>
      <w:r w:rsidRPr="00975B56">
        <w:rPr>
          <w:b/>
          <w:bCs/>
          <w:sz w:val="24"/>
          <w:rtl/>
        </w:rPr>
        <w:t xml:space="preserve">מארבע המדינות שבהן שיעור השוהים </w:t>
      </w:r>
      <w:r w:rsidRPr="00975B56">
        <w:rPr>
          <w:rFonts w:hint="eastAsia"/>
          <w:b/>
          <w:bCs/>
          <w:sz w:val="24"/>
          <w:rtl/>
        </w:rPr>
        <w:t>בישראל</w:t>
      </w:r>
      <w:r w:rsidRPr="00F7401C">
        <w:rPr>
          <w:b/>
          <w:bCs/>
          <w:sz w:val="24"/>
          <w:rtl/>
        </w:rPr>
        <w:t xml:space="preserve"> </w:t>
      </w:r>
      <w:r w:rsidRPr="00395DFC">
        <w:rPr>
          <w:b/>
          <w:bCs/>
          <w:sz w:val="24"/>
          <w:rtl/>
        </w:rPr>
        <w:t>שלא כחוק בשנים 2017 - 201</w:t>
      </w:r>
      <w:r w:rsidRPr="00D21A77">
        <w:rPr>
          <w:b/>
          <w:bCs/>
          <w:sz w:val="24"/>
          <w:rtl/>
        </w:rPr>
        <w:t>8 היה גבוה</w:t>
      </w:r>
      <w:r w:rsidRPr="000C0AE9">
        <w:rPr>
          <w:b/>
          <w:bCs/>
          <w:sz w:val="24"/>
          <w:rtl/>
        </w:rPr>
        <w:t xml:space="preserve"> נבדקו בקו הקדמי של מערך ביקורת הגבולות בנתב"ג</w:t>
      </w:r>
      <w:r>
        <w:rPr>
          <w:rFonts w:hint="cs"/>
          <w:b/>
          <w:bCs/>
          <w:sz w:val="24"/>
          <w:rtl/>
        </w:rPr>
        <w:t xml:space="preserve"> באוגוסט ובנובמבר 2019,</w:t>
      </w:r>
      <w:r w:rsidR="00EC0F52">
        <w:rPr>
          <w:rFonts w:hint="cs"/>
          <w:b/>
          <w:bCs/>
          <w:sz w:val="24"/>
          <w:rtl/>
        </w:rPr>
        <w:t xml:space="preserve"> </w:t>
      </w:r>
      <w:r w:rsidRPr="000C0AE9">
        <w:rPr>
          <w:b/>
          <w:bCs/>
          <w:sz w:val="24"/>
          <w:rtl/>
        </w:rPr>
        <w:t xml:space="preserve">במשך </w:t>
      </w:r>
      <w:r>
        <w:rPr>
          <w:rFonts w:hint="cs"/>
          <w:b/>
          <w:bCs/>
          <w:sz w:val="24"/>
          <w:rtl/>
        </w:rPr>
        <w:t>8</w:t>
      </w:r>
      <w:r w:rsidRPr="000C0AE9">
        <w:rPr>
          <w:b/>
          <w:bCs/>
          <w:sz w:val="24"/>
          <w:rtl/>
        </w:rPr>
        <w:t xml:space="preserve"> שניות</w:t>
      </w:r>
      <w:r>
        <w:rPr>
          <w:rFonts w:hint="cs"/>
          <w:b/>
          <w:bCs/>
          <w:sz w:val="24"/>
          <w:rtl/>
        </w:rPr>
        <w:t xml:space="preserve"> או פחות מכך, ובהם גם כ</w:t>
      </w:r>
      <w:r>
        <w:rPr>
          <w:rFonts w:hint="cs"/>
          <w:b/>
          <w:bCs/>
          <w:sz w:val="24"/>
          <w:rtl/>
        </w:rPr>
        <w:t>אלה שנבדקו במשך 6 שניות או פחות מכך, ובסיום הבדיקה אושרה כניסתם. לנוכח פרק הזמן שנדרש לבקר הגבול לצורך צפייה במידע האגור במערכת הממוחשבת - 6 שניות לכל הפחות, עולה חשש כי במקרים האלה לא נעשו</w:t>
      </w:r>
      <w:r w:rsidRPr="00FD04A5">
        <w:rPr>
          <w:rFonts w:hint="cs"/>
          <w:b/>
          <w:bCs/>
          <w:sz w:val="24"/>
          <w:rtl/>
        </w:rPr>
        <w:t xml:space="preserve"> </w:t>
      </w:r>
      <w:r>
        <w:rPr>
          <w:rFonts w:hint="cs"/>
          <w:b/>
          <w:bCs/>
          <w:sz w:val="24"/>
          <w:rtl/>
        </w:rPr>
        <w:t xml:space="preserve">לכאורה כל הפעולות הנדרשות לפי שלבי הבדיקה האחידה. </w:t>
      </w:r>
    </w:p>
    <w:p w:rsidR="002D0C59" w:rsidRPr="00147CCE" w:rsidP="00AE0BE6" w14:paraId="7E339EBF" w14:textId="77777777">
      <w:pPr>
        <w:pStyle w:val="a"/>
        <w:spacing w:line="269" w:lineRule="auto"/>
        <w:rPr>
          <w:rtl/>
        </w:rPr>
      </w:pPr>
    </w:p>
    <w:p w:rsidR="002D0C59" w:rsidP="00AE0BE6" w14:paraId="1D5DF854" w14:textId="77777777">
      <w:pPr>
        <w:spacing w:line="269" w:lineRule="auto"/>
        <w:rPr>
          <w:rtl/>
        </w:rPr>
      </w:pPr>
      <w:r>
        <w:rPr>
          <w:rFonts w:hint="cs"/>
          <w:b/>
          <w:bCs/>
          <w:sz w:val="24"/>
          <w:rtl/>
        </w:rPr>
        <w:t xml:space="preserve">מכלול </w:t>
      </w:r>
      <w:r w:rsidRPr="00D82BC1">
        <w:rPr>
          <w:rFonts w:hint="eastAsia"/>
          <w:b/>
          <w:bCs/>
          <w:sz w:val="24"/>
          <w:rtl/>
        </w:rPr>
        <w:t>ממצאי</w:t>
      </w:r>
      <w:r>
        <w:rPr>
          <w:rFonts w:hint="cs"/>
          <w:b/>
          <w:bCs/>
          <w:sz w:val="24"/>
          <w:rtl/>
        </w:rPr>
        <w:t xml:space="preserve"> הב</w:t>
      </w:r>
      <w:r>
        <w:rPr>
          <w:rFonts w:hint="cs"/>
          <w:b/>
          <w:bCs/>
          <w:sz w:val="24"/>
          <w:rtl/>
        </w:rPr>
        <w:t>יקורת</w:t>
      </w:r>
      <w:r w:rsidRPr="00D82BC1">
        <w:rPr>
          <w:b/>
          <w:bCs/>
          <w:sz w:val="24"/>
          <w:rtl/>
        </w:rPr>
        <w:t xml:space="preserve"> מעל</w:t>
      </w:r>
      <w:r>
        <w:rPr>
          <w:rFonts w:hint="cs"/>
          <w:b/>
          <w:bCs/>
          <w:sz w:val="24"/>
          <w:rtl/>
        </w:rPr>
        <w:t>ה</w:t>
      </w:r>
      <w:r w:rsidRPr="00D82BC1">
        <w:rPr>
          <w:b/>
          <w:bCs/>
          <w:sz w:val="24"/>
          <w:rtl/>
        </w:rPr>
        <w:t xml:space="preserve"> </w:t>
      </w:r>
      <w:r>
        <w:rPr>
          <w:rFonts w:hint="cs"/>
          <w:b/>
          <w:bCs/>
          <w:sz w:val="24"/>
          <w:rtl/>
        </w:rPr>
        <w:t xml:space="preserve">חשש שלצד השגת אחת משתי התכליות האמורות של מערך ביקורת הגבולות - מתן </w:t>
      </w:r>
      <w:r w:rsidRPr="006D714C">
        <w:rPr>
          <w:b/>
          <w:bCs/>
          <w:sz w:val="24"/>
          <w:rtl/>
        </w:rPr>
        <w:t xml:space="preserve">שירות </w:t>
      </w:r>
      <w:r>
        <w:rPr>
          <w:rFonts w:hint="cs"/>
          <w:b/>
          <w:bCs/>
          <w:sz w:val="24"/>
          <w:rtl/>
        </w:rPr>
        <w:t>מהיר</w:t>
      </w:r>
      <w:r w:rsidRPr="006D714C">
        <w:rPr>
          <w:b/>
          <w:bCs/>
          <w:sz w:val="24"/>
          <w:rtl/>
        </w:rPr>
        <w:t xml:space="preserve"> לעוברים בגבול</w:t>
      </w:r>
      <w:r>
        <w:rPr>
          <w:rFonts w:hint="cs"/>
          <w:b/>
          <w:bCs/>
          <w:sz w:val="24"/>
          <w:rtl/>
        </w:rPr>
        <w:t xml:space="preserve">, נחלשת לעיתים השגת התכלית השנייה - </w:t>
      </w:r>
      <w:r w:rsidRPr="006D714C">
        <w:rPr>
          <w:b/>
          <w:bCs/>
          <w:sz w:val="24"/>
          <w:rtl/>
        </w:rPr>
        <w:t>מנ</w:t>
      </w:r>
      <w:r>
        <w:rPr>
          <w:rFonts w:hint="cs"/>
          <w:b/>
          <w:bCs/>
          <w:sz w:val="24"/>
          <w:rtl/>
        </w:rPr>
        <w:t>י</w:t>
      </w:r>
      <w:r w:rsidRPr="006D714C">
        <w:rPr>
          <w:b/>
          <w:bCs/>
          <w:sz w:val="24"/>
          <w:rtl/>
        </w:rPr>
        <w:t>ע</w:t>
      </w:r>
      <w:r>
        <w:rPr>
          <w:rFonts w:hint="cs"/>
          <w:b/>
          <w:bCs/>
          <w:sz w:val="24"/>
          <w:rtl/>
        </w:rPr>
        <w:t>ת</w:t>
      </w:r>
      <w:r w:rsidRPr="006D714C">
        <w:rPr>
          <w:b/>
          <w:bCs/>
          <w:sz w:val="24"/>
          <w:rtl/>
        </w:rPr>
        <w:t xml:space="preserve"> כניסת אנשים לשטחה של ישראל </w:t>
      </w:r>
      <w:r w:rsidRPr="001F49ED">
        <w:rPr>
          <w:b/>
          <w:bCs/>
          <w:sz w:val="24"/>
          <w:rtl/>
        </w:rPr>
        <w:t xml:space="preserve">מטעמים ביטחוניים או פליליים או </w:t>
      </w:r>
      <w:r w:rsidRPr="006D714C">
        <w:rPr>
          <w:b/>
          <w:bCs/>
          <w:sz w:val="24"/>
          <w:rtl/>
        </w:rPr>
        <w:t>כאשר יש חשש שהם מבקשים להגר לישראל שלא כחוק</w:t>
      </w:r>
      <w:r>
        <w:rPr>
          <w:rFonts w:hint="cs"/>
          <w:b/>
          <w:bCs/>
          <w:sz w:val="24"/>
          <w:rtl/>
        </w:rPr>
        <w:t xml:space="preserve">. על רשות </w:t>
      </w:r>
      <w:r>
        <w:rPr>
          <w:rFonts w:hint="cs"/>
          <w:b/>
          <w:bCs/>
          <w:sz w:val="24"/>
          <w:rtl/>
        </w:rPr>
        <w:t>האוכלוסין לוודא שמערך ביקורת הגבולות פועל בנחישות כדי להשיג את שתי התכליות האמורות.</w:t>
      </w:r>
    </w:p>
    <w:p w:rsidR="00792C56" w14:paraId="390C7A92" w14:textId="77777777">
      <w:pPr>
        <w:bidi w:val="0"/>
        <w:spacing w:after="200" w:line="276" w:lineRule="auto"/>
        <w:rPr>
          <w:rFonts w:eastAsiaTheme="majorEastAsia"/>
          <w:bCs/>
          <w:szCs w:val="32"/>
        </w:rPr>
      </w:pPr>
      <w:r>
        <w:rPr>
          <w:rtl/>
        </w:rPr>
        <w:br w:type="page"/>
      </w:r>
    </w:p>
    <w:p w:rsidR="002D0C59" w:rsidRPr="002D0C59" w:rsidP="00AE0BE6" w14:paraId="2EC6F487" w14:textId="77777777">
      <w:pPr>
        <w:pStyle w:val="Heading2"/>
        <w:spacing w:before="0" w:line="269" w:lineRule="auto"/>
        <w:rPr>
          <w:rtl/>
        </w:rPr>
      </w:pPr>
      <w:r w:rsidRPr="002D0C59">
        <w:rPr>
          <w:rFonts w:hint="cs"/>
          <w:rtl/>
        </w:rPr>
        <w:t>הבקרה על ביקורת הגבולות</w:t>
      </w:r>
    </w:p>
    <w:p w:rsidR="002D0C59" w:rsidRPr="00147CCE" w:rsidP="00AE0BE6" w14:paraId="219FAF71" w14:textId="77777777">
      <w:pPr>
        <w:pStyle w:val="a"/>
        <w:spacing w:line="269" w:lineRule="auto"/>
        <w:rPr>
          <w:rFonts w:hint="cs"/>
          <w:rtl/>
        </w:rPr>
      </w:pPr>
    </w:p>
    <w:p w:rsidR="002D0C59" w:rsidP="00AE0BE6" w14:paraId="061A5813" w14:textId="77777777">
      <w:pPr>
        <w:pStyle w:val="ListParagraph"/>
        <w:spacing w:after="0" w:line="269" w:lineRule="auto"/>
        <w:ind w:left="0"/>
        <w:jc w:val="both"/>
        <w:rPr>
          <w:rFonts w:cs="David"/>
          <w:sz w:val="24"/>
          <w:szCs w:val="24"/>
          <w:rtl/>
        </w:rPr>
      </w:pPr>
      <w:r w:rsidRPr="00D82BC1">
        <w:rPr>
          <w:rFonts w:cs="David"/>
          <w:sz w:val="24"/>
          <w:szCs w:val="24"/>
          <w:rtl/>
        </w:rPr>
        <w:t>רוב העובדים במינהל ביקורת הגבולות הם בקרי גבול שמ</w:t>
      </w:r>
      <w:r w:rsidRPr="00D82BC1">
        <w:rPr>
          <w:rFonts w:cs="David" w:hint="eastAsia"/>
          <w:sz w:val="24"/>
          <w:szCs w:val="24"/>
          <w:rtl/>
        </w:rPr>
        <w:t>י</w:t>
      </w:r>
      <w:r w:rsidRPr="00D82BC1">
        <w:rPr>
          <w:rFonts w:cs="David"/>
          <w:sz w:val="24"/>
          <w:szCs w:val="24"/>
          <w:rtl/>
        </w:rPr>
        <w:t>נ</w:t>
      </w:r>
      <w:r w:rsidRPr="00D82BC1">
        <w:rPr>
          <w:rFonts w:cs="David" w:hint="eastAsia"/>
          <w:sz w:val="24"/>
          <w:szCs w:val="24"/>
          <w:rtl/>
        </w:rPr>
        <w:t>ה</w:t>
      </w:r>
      <w:r w:rsidRPr="00D82BC1">
        <w:rPr>
          <w:rFonts w:cs="David"/>
          <w:sz w:val="24"/>
          <w:szCs w:val="24"/>
          <w:rtl/>
        </w:rPr>
        <w:t xml:space="preserve"> שר הפנים. </w:t>
      </w:r>
      <w:r w:rsidRPr="00D82BC1">
        <w:rPr>
          <w:rFonts w:cs="David" w:hint="eastAsia"/>
          <w:sz w:val="24"/>
          <w:szCs w:val="24"/>
          <w:rtl/>
        </w:rPr>
        <w:t>במהלך</w:t>
      </w:r>
      <w:r w:rsidRPr="00D82BC1">
        <w:rPr>
          <w:rFonts w:cs="David"/>
          <w:sz w:val="24"/>
          <w:szCs w:val="24"/>
          <w:rtl/>
        </w:rPr>
        <w:t xml:space="preserve"> </w:t>
      </w:r>
      <w:r w:rsidRPr="00D82BC1">
        <w:rPr>
          <w:rFonts w:cs="David" w:hint="eastAsia"/>
          <w:sz w:val="24"/>
          <w:szCs w:val="24"/>
          <w:rtl/>
        </w:rPr>
        <w:t>הביקורת</w:t>
      </w:r>
      <w:r w:rsidRPr="00D82BC1">
        <w:rPr>
          <w:rFonts w:cs="David"/>
          <w:sz w:val="24"/>
          <w:szCs w:val="24"/>
          <w:rtl/>
        </w:rPr>
        <w:t xml:space="preserve"> </w:t>
      </w:r>
      <w:r w:rsidRPr="00D82BC1">
        <w:rPr>
          <w:rFonts w:cs="David" w:hint="eastAsia"/>
          <w:sz w:val="24"/>
          <w:szCs w:val="24"/>
          <w:rtl/>
        </w:rPr>
        <w:t>הועסקו</w:t>
      </w:r>
      <w:r w:rsidRPr="00D82BC1">
        <w:rPr>
          <w:rFonts w:cs="David"/>
          <w:sz w:val="24"/>
          <w:szCs w:val="24"/>
          <w:rtl/>
        </w:rPr>
        <w:t xml:space="preserve"> </w:t>
      </w:r>
      <w:r w:rsidRPr="00D82BC1">
        <w:rPr>
          <w:rFonts w:cs="David" w:hint="eastAsia"/>
          <w:sz w:val="24"/>
          <w:szCs w:val="24"/>
          <w:rtl/>
        </w:rPr>
        <w:t>במינהל</w:t>
      </w:r>
      <w:r w:rsidRPr="00D82BC1">
        <w:rPr>
          <w:rFonts w:cs="David"/>
          <w:sz w:val="24"/>
          <w:szCs w:val="24"/>
          <w:rtl/>
        </w:rPr>
        <w:t xml:space="preserve"> </w:t>
      </w:r>
      <w:r w:rsidRPr="00D82BC1">
        <w:rPr>
          <w:rFonts w:cs="David" w:hint="eastAsia"/>
          <w:sz w:val="24"/>
          <w:szCs w:val="24"/>
          <w:rtl/>
        </w:rPr>
        <w:t>זה</w:t>
      </w:r>
      <w:r w:rsidRPr="00D82BC1">
        <w:rPr>
          <w:rFonts w:cs="David"/>
          <w:sz w:val="24"/>
          <w:szCs w:val="24"/>
          <w:rtl/>
        </w:rPr>
        <w:t xml:space="preserve"> 638 </w:t>
      </w:r>
      <w:r w:rsidRPr="00D82BC1">
        <w:rPr>
          <w:rFonts w:cs="David" w:hint="eastAsia"/>
          <w:sz w:val="24"/>
          <w:szCs w:val="24"/>
          <w:rtl/>
        </w:rPr>
        <w:t>עובדים</w:t>
      </w:r>
      <w:r w:rsidRPr="00D82BC1">
        <w:rPr>
          <w:rFonts w:cs="David"/>
          <w:sz w:val="24"/>
          <w:szCs w:val="24"/>
          <w:rtl/>
        </w:rPr>
        <w:t xml:space="preserve"> </w:t>
      </w:r>
      <w:r w:rsidRPr="00D82BC1">
        <w:rPr>
          <w:rFonts w:cs="David" w:hint="eastAsia"/>
          <w:sz w:val="24"/>
          <w:szCs w:val="24"/>
          <w:rtl/>
        </w:rPr>
        <w:t>כבקרי</w:t>
      </w:r>
      <w:r w:rsidRPr="00D82BC1">
        <w:rPr>
          <w:rFonts w:cs="David"/>
          <w:sz w:val="24"/>
          <w:szCs w:val="24"/>
          <w:rtl/>
        </w:rPr>
        <w:t xml:space="preserve"> </w:t>
      </w:r>
      <w:r w:rsidRPr="00D82BC1">
        <w:rPr>
          <w:rFonts w:cs="David" w:hint="eastAsia"/>
          <w:sz w:val="24"/>
          <w:szCs w:val="24"/>
          <w:rtl/>
        </w:rPr>
        <w:t>גבול</w:t>
      </w:r>
      <w:r w:rsidRPr="00D82BC1">
        <w:rPr>
          <w:rFonts w:cs="David"/>
          <w:sz w:val="24"/>
          <w:szCs w:val="24"/>
          <w:rtl/>
        </w:rPr>
        <w:t xml:space="preserve"> (כ-82% </w:t>
      </w:r>
      <w:r w:rsidRPr="00D82BC1">
        <w:rPr>
          <w:rFonts w:cs="David" w:hint="eastAsia"/>
          <w:sz w:val="24"/>
          <w:szCs w:val="24"/>
          <w:rtl/>
        </w:rPr>
        <w:t>מכלל</w:t>
      </w:r>
      <w:r w:rsidRPr="00D82BC1">
        <w:rPr>
          <w:rFonts w:cs="David"/>
          <w:sz w:val="24"/>
          <w:szCs w:val="24"/>
          <w:rtl/>
        </w:rPr>
        <w:t xml:space="preserve"> </w:t>
      </w:r>
      <w:r w:rsidRPr="00D82BC1">
        <w:rPr>
          <w:rFonts w:cs="David" w:hint="eastAsia"/>
          <w:sz w:val="24"/>
          <w:szCs w:val="24"/>
          <w:rtl/>
        </w:rPr>
        <w:t>העובדים</w:t>
      </w:r>
      <w:r w:rsidRPr="00D82BC1">
        <w:rPr>
          <w:rFonts w:cs="David"/>
          <w:sz w:val="24"/>
          <w:szCs w:val="24"/>
          <w:rtl/>
        </w:rPr>
        <w:t>)</w:t>
      </w:r>
      <w:r>
        <w:rPr>
          <w:rFonts w:cs="David" w:hint="cs"/>
          <w:sz w:val="24"/>
          <w:szCs w:val="24"/>
          <w:rtl/>
        </w:rPr>
        <w:t xml:space="preserve">, </w:t>
      </w:r>
      <w:r w:rsidRPr="00D82BC1">
        <w:rPr>
          <w:rFonts w:cs="David"/>
          <w:sz w:val="24"/>
          <w:szCs w:val="24"/>
          <w:rtl/>
        </w:rPr>
        <w:t xml:space="preserve">97 </w:t>
      </w:r>
      <w:r w:rsidRPr="00D82BC1">
        <w:rPr>
          <w:rFonts w:cs="David" w:hint="eastAsia"/>
          <w:sz w:val="24"/>
          <w:szCs w:val="24"/>
          <w:rtl/>
        </w:rPr>
        <w:t>עובד</w:t>
      </w:r>
      <w:r w:rsidRPr="00D82BC1">
        <w:rPr>
          <w:rFonts w:cs="David" w:hint="eastAsia"/>
          <w:sz w:val="24"/>
          <w:szCs w:val="24"/>
          <w:rtl/>
        </w:rPr>
        <w:t>ים</w:t>
      </w:r>
      <w:r w:rsidRPr="00D82BC1">
        <w:rPr>
          <w:rFonts w:cs="David"/>
          <w:sz w:val="24"/>
          <w:szCs w:val="24"/>
          <w:rtl/>
        </w:rPr>
        <w:t xml:space="preserve"> </w:t>
      </w:r>
      <w:r w:rsidRPr="00D82BC1">
        <w:rPr>
          <w:rFonts w:cs="David" w:hint="eastAsia"/>
          <w:sz w:val="24"/>
          <w:szCs w:val="24"/>
          <w:rtl/>
        </w:rPr>
        <w:t>בתפקיד</w:t>
      </w:r>
      <w:r w:rsidRPr="00D82BC1">
        <w:rPr>
          <w:rFonts w:cs="David"/>
          <w:sz w:val="24"/>
          <w:szCs w:val="24"/>
          <w:rtl/>
        </w:rPr>
        <w:t xml:space="preserve"> </w:t>
      </w:r>
      <w:r w:rsidRPr="00D82BC1">
        <w:rPr>
          <w:rFonts w:cs="David" w:hint="eastAsia"/>
          <w:sz w:val="24"/>
          <w:szCs w:val="24"/>
          <w:rtl/>
        </w:rPr>
        <w:t>אחמ</w:t>
      </w:r>
      <w:r w:rsidRPr="00D82BC1">
        <w:rPr>
          <w:rFonts w:cs="David"/>
          <w:sz w:val="24"/>
          <w:szCs w:val="24"/>
          <w:rtl/>
        </w:rPr>
        <w:t xml:space="preserve">"ש </w:t>
      </w:r>
      <w:r>
        <w:rPr>
          <w:rFonts w:cs="David" w:hint="cs"/>
          <w:sz w:val="24"/>
          <w:szCs w:val="24"/>
          <w:rtl/>
        </w:rPr>
        <w:t>(</w:t>
      </w:r>
      <w:r w:rsidRPr="00D82BC1">
        <w:rPr>
          <w:rFonts w:cs="David" w:hint="eastAsia"/>
          <w:sz w:val="24"/>
          <w:szCs w:val="24"/>
          <w:rtl/>
        </w:rPr>
        <w:t>כ</w:t>
      </w:r>
      <w:r w:rsidRPr="00D82BC1">
        <w:rPr>
          <w:rFonts w:cs="David"/>
          <w:sz w:val="24"/>
          <w:szCs w:val="24"/>
          <w:rtl/>
        </w:rPr>
        <w:t xml:space="preserve">-12% </w:t>
      </w:r>
      <w:r w:rsidRPr="00D82BC1">
        <w:rPr>
          <w:rFonts w:cs="David" w:hint="eastAsia"/>
          <w:sz w:val="24"/>
          <w:szCs w:val="24"/>
          <w:rtl/>
        </w:rPr>
        <w:t>מהעובדים</w:t>
      </w:r>
      <w:r>
        <w:rPr>
          <w:rFonts w:cs="David" w:hint="cs"/>
          <w:sz w:val="24"/>
          <w:szCs w:val="24"/>
          <w:rtl/>
        </w:rPr>
        <w:t>), ו-47 עובדים (כ-6%) בתפקידים שונים (כגון מנהל אשכול ומנהלי מעבר גבול)</w:t>
      </w:r>
      <w:r w:rsidRPr="00D82BC1">
        <w:rPr>
          <w:rFonts w:cs="David"/>
          <w:sz w:val="24"/>
          <w:szCs w:val="24"/>
          <w:rtl/>
        </w:rPr>
        <w:t xml:space="preserve">. 473 </w:t>
      </w:r>
      <w:r w:rsidRPr="00D82BC1">
        <w:rPr>
          <w:rFonts w:cs="David" w:hint="eastAsia"/>
          <w:sz w:val="24"/>
          <w:szCs w:val="24"/>
          <w:rtl/>
        </w:rPr>
        <w:t>מבקרי</w:t>
      </w:r>
      <w:r w:rsidRPr="00D82BC1">
        <w:rPr>
          <w:rFonts w:cs="David"/>
          <w:sz w:val="24"/>
          <w:szCs w:val="24"/>
          <w:rtl/>
        </w:rPr>
        <w:t xml:space="preserve"> </w:t>
      </w:r>
      <w:r w:rsidRPr="00D82BC1">
        <w:rPr>
          <w:rFonts w:cs="David" w:hint="eastAsia"/>
          <w:sz w:val="24"/>
          <w:szCs w:val="24"/>
          <w:rtl/>
        </w:rPr>
        <w:t>הגבול</w:t>
      </w:r>
      <w:r w:rsidRPr="00D82BC1">
        <w:rPr>
          <w:rFonts w:cs="David"/>
          <w:sz w:val="24"/>
          <w:szCs w:val="24"/>
          <w:rtl/>
        </w:rPr>
        <w:t xml:space="preserve"> (כ-74%) </w:t>
      </w:r>
      <w:r w:rsidRPr="00D82BC1">
        <w:rPr>
          <w:rFonts w:cs="David" w:hint="eastAsia"/>
          <w:sz w:val="24"/>
          <w:szCs w:val="24"/>
          <w:rtl/>
        </w:rPr>
        <w:t>הועסקו</w:t>
      </w:r>
      <w:r w:rsidRPr="00D82BC1">
        <w:rPr>
          <w:rFonts w:cs="David"/>
          <w:sz w:val="24"/>
          <w:szCs w:val="24"/>
          <w:rtl/>
        </w:rPr>
        <w:t xml:space="preserve"> </w:t>
      </w:r>
      <w:r w:rsidRPr="00D82BC1">
        <w:rPr>
          <w:rFonts w:cs="David" w:hint="eastAsia"/>
          <w:sz w:val="24"/>
          <w:szCs w:val="24"/>
          <w:rtl/>
        </w:rPr>
        <w:t>בנתב</w:t>
      </w:r>
      <w:r w:rsidRPr="00D82BC1">
        <w:rPr>
          <w:rFonts w:cs="David"/>
          <w:sz w:val="24"/>
          <w:szCs w:val="24"/>
          <w:rtl/>
        </w:rPr>
        <w:t xml:space="preserve">"ג. </w:t>
      </w:r>
      <w:r w:rsidRPr="00D82BC1">
        <w:rPr>
          <w:rFonts w:cs="David" w:hint="eastAsia"/>
          <w:sz w:val="24"/>
          <w:szCs w:val="24"/>
          <w:rtl/>
        </w:rPr>
        <w:t>להלן</w:t>
      </w:r>
      <w:r w:rsidRPr="00D82BC1">
        <w:rPr>
          <w:rFonts w:cs="David"/>
          <w:sz w:val="24"/>
          <w:szCs w:val="24"/>
          <w:rtl/>
        </w:rPr>
        <w:t xml:space="preserve"> </w:t>
      </w:r>
      <w:r w:rsidRPr="00D56890">
        <w:rPr>
          <w:rFonts w:cs="David" w:hint="eastAsia"/>
          <w:sz w:val="24"/>
          <w:szCs w:val="24"/>
          <w:rtl/>
        </w:rPr>
        <w:t>המבנה</w:t>
      </w:r>
      <w:r w:rsidRPr="00D56890">
        <w:rPr>
          <w:rFonts w:cs="David"/>
          <w:sz w:val="24"/>
          <w:szCs w:val="24"/>
          <w:rtl/>
        </w:rPr>
        <w:t xml:space="preserve"> </w:t>
      </w:r>
      <w:r w:rsidRPr="00D56890">
        <w:rPr>
          <w:rFonts w:cs="David" w:hint="eastAsia"/>
          <w:sz w:val="24"/>
          <w:szCs w:val="24"/>
          <w:rtl/>
        </w:rPr>
        <w:t>הארגוני</w:t>
      </w:r>
      <w:r w:rsidRPr="00D56890">
        <w:rPr>
          <w:rFonts w:cs="David"/>
          <w:sz w:val="24"/>
          <w:szCs w:val="24"/>
          <w:rtl/>
        </w:rPr>
        <w:t xml:space="preserve"> </w:t>
      </w:r>
      <w:r w:rsidRPr="00D56890">
        <w:rPr>
          <w:rFonts w:cs="David" w:hint="eastAsia"/>
          <w:sz w:val="24"/>
          <w:szCs w:val="24"/>
          <w:rtl/>
        </w:rPr>
        <w:t>של</w:t>
      </w:r>
      <w:r w:rsidRPr="00D56890">
        <w:rPr>
          <w:rFonts w:cs="David"/>
          <w:sz w:val="24"/>
          <w:szCs w:val="24"/>
          <w:rtl/>
        </w:rPr>
        <w:t xml:space="preserve"> </w:t>
      </w:r>
      <w:r w:rsidRPr="00D56890">
        <w:rPr>
          <w:rFonts w:cs="David" w:hint="eastAsia"/>
          <w:sz w:val="24"/>
          <w:szCs w:val="24"/>
          <w:rtl/>
        </w:rPr>
        <w:t>מינהל</w:t>
      </w:r>
      <w:r w:rsidRPr="00D56890">
        <w:rPr>
          <w:rFonts w:cs="David"/>
          <w:sz w:val="24"/>
          <w:szCs w:val="24"/>
          <w:rtl/>
        </w:rPr>
        <w:t xml:space="preserve"> </w:t>
      </w:r>
      <w:r w:rsidRPr="00D56890">
        <w:rPr>
          <w:rFonts w:cs="David" w:hint="eastAsia"/>
          <w:sz w:val="24"/>
          <w:szCs w:val="24"/>
          <w:rtl/>
        </w:rPr>
        <w:t>ביקורת</w:t>
      </w:r>
      <w:r w:rsidRPr="00D56890">
        <w:rPr>
          <w:rFonts w:cs="David"/>
          <w:sz w:val="24"/>
          <w:szCs w:val="24"/>
          <w:rtl/>
        </w:rPr>
        <w:t xml:space="preserve"> </w:t>
      </w:r>
      <w:r w:rsidRPr="00D56890">
        <w:rPr>
          <w:rFonts w:cs="David" w:hint="eastAsia"/>
          <w:sz w:val="24"/>
          <w:szCs w:val="24"/>
          <w:rtl/>
        </w:rPr>
        <w:t>הגבולות</w:t>
      </w:r>
      <w:r w:rsidRPr="00D56890">
        <w:rPr>
          <w:rFonts w:cs="David"/>
          <w:sz w:val="24"/>
          <w:szCs w:val="24"/>
          <w:rtl/>
        </w:rPr>
        <w:t>.</w:t>
      </w:r>
    </w:p>
    <w:p w:rsidR="002D0C59" w:rsidRPr="002916ED" w:rsidP="00AE0BE6" w14:paraId="3BB17219" w14:textId="77777777">
      <w:pPr>
        <w:pStyle w:val="a"/>
        <w:spacing w:line="269" w:lineRule="auto"/>
      </w:pPr>
    </w:p>
    <w:p w:rsidR="002D0C59" w:rsidRPr="00F15DDA" w:rsidP="00AE0BE6" w14:paraId="2172EE78" w14:textId="77777777">
      <w:pPr>
        <w:pStyle w:val="ListParagraph"/>
        <w:spacing w:after="0" w:line="269" w:lineRule="auto"/>
        <w:ind w:left="340"/>
        <w:jc w:val="center"/>
        <w:rPr>
          <w:rFonts w:cs="David"/>
          <w:b/>
          <w:bCs/>
          <w:sz w:val="24"/>
          <w:szCs w:val="24"/>
          <w:rtl/>
        </w:rPr>
      </w:pPr>
      <w:r>
        <w:rPr>
          <w:noProof/>
        </w:rPr>
        <w:drawing>
          <wp:anchor distT="0" distB="0" distL="114300" distR="114300" simplePos="0" relativeHeight="251658240" behindDoc="0" locked="0" layoutInCell="1" allowOverlap="1">
            <wp:simplePos x="0" y="0"/>
            <wp:positionH relativeFrom="column">
              <wp:posOffset>-157066</wp:posOffset>
            </wp:positionH>
            <wp:positionV relativeFrom="paragraph">
              <wp:posOffset>173355</wp:posOffset>
            </wp:positionV>
            <wp:extent cx="5608800" cy="3189600"/>
            <wp:effectExtent l="0" t="0" r="0" b="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12778" name=""/>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608800" cy="3189600"/>
                    </a:xfrm>
                    <a:prstGeom prst="rect">
                      <a:avLst/>
                    </a:prstGeom>
                  </pic:spPr>
                </pic:pic>
              </a:graphicData>
            </a:graphic>
            <wp14:sizeRelH relativeFrom="margin">
              <wp14:pctWidth>0</wp14:pctWidth>
            </wp14:sizeRelH>
            <wp14:sizeRelV relativeFrom="margin">
              <wp14:pctHeight>0</wp14:pctHeight>
            </wp14:sizeRelV>
          </wp:anchor>
        </w:drawing>
      </w:r>
      <w:r w:rsidRPr="00F15DDA" w:rsidR="00A530E5">
        <w:rPr>
          <w:rFonts w:cs="David" w:hint="eastAsia"/>
          <w:b/>
          <w:bCs/>
          <w:sz w:val="24"/>
          <w:szCs w:val="24"/>
          <w:rtl/>
        </w:rPr>
        <w:t>תרשים</w:t>
      </w:r>
      <w:r w:rsidRPr="00F15DDA" w:rsidR="00A530E5">
        <w:rPr>
          <w:rFonts w:cs="David"/>
          <w:b/>
          <w:bCs/>
          <w:sz w:val="24"/>
          <w:szCs w:val="24"/>
          <w:rtl/>
        </w:rPr>
        <w:t xml:space="preserve"> </w:t>
      </w:r>
      <w:r w:rsidR="00A530E5">
        <w:rPr>
          <w:rFonts w:cs="David" w:hint="cs"/>
          <w:b/>
          <w:bCs/>
          <w:sz w:val="24"/>
          <w:szCs w:val="24"/>
          <w:rtl/>
        </w:rPr>
        <w:t>11</w:t>
      </w:r>
      <w:r w:rsidRPr="00F15DDA" w:rsidR="00A530E5">
        <w:rPr>
          <w:rFonts w:cs="David"/>
          <w:b/>
          <w:bCs/>
          <w:sz w:val="24"/>
          <w:szCs w:val="24"/>
          <w:rtl/>
        </w:rPr>
        <w:t xml:space="preserve">: </w:t>
      </w:r>
      <w:r w:rsidR="00A530E5">
        <w:rPr>
          <w:rFonts w:cs="David" w:hint="cs"/>
          <w:b/>
          <w:bCs/>
          <w:sz w:val="24"/>
          <w:szCs w:val="24"/>
          <w:rtl/>
        </w:rPr>
        <w:t>ה</w:t>
      </w:r>
      <w:r w:rsidRPr="00F15DDA" w:rsidR="00A530E5">
        <w:rPr>
          <w:rFonts w:cs="David"/>
          <w:b/>
          <w:bCs/>
          <w:sz w:val="24"/>
          <w:szCs w:val="24"/>
          <w:rtl/>
        </w:rPr>
        <w:t xml:space="preserve">מבנה </w:t>
      </w:r>
      <w:r w:rsidR="00A530E5">
        <w:rPr>
          <w:rFonts w:cs="David" w:hint="cs"/>
          <w:b/>
          <w:bCs/>
          <w:sz w:val="24"/>
          <w:szCs w:val="24"/>
          <w:rtl/>
        </w:rPr>
        <w:t>ה</w:t>
      </w:r>
      <w:r w:rsidRPr="00F15DDA" w:rsidR="00A530E5">
        <w:rPr>
          <w:rFonts w:cs="David"/>
          <w:b/>
          <w:bCs/>
          <w:sz w:val="24"/>
          <w:szCs w:val="24"/>
          <w:rtl/>
        </w:rPr>
        <w:t xml:space="preserve">ארגוני של מינהל ביקורת </w:t>
      </w:r>
      <w:r w:rsidRPr="00F15DDA" w:rsidR="00A530E5">
        <w:rPr>
          <w:rFonts w:cs="David" w:hint="eastAsia"/>
          <w:b/>
          <w:bCs/>
          <w:sz w:val="24"/>
          <w:szCs w:val="24"/>
          <w:rtl/>
        </w:rPr>
        <w:t>הגבולות</w:t>
      </w:r>
    </w:p>
    <w:p w:rsidR="002D0C59" w:rsidP="00AE0BE6" w14:paraId="51332CB6" w14:textId="77777777">
      <w:pPr>
        <w:spacing w:line="269" w:lineRule="auto"/>
        <w:rPr>
          <w:sz w:val="16"/>
          <w:szCs w:val="20"/>
          <w:rtl/>
        </w:rPr>
      </w:pPr>
      <w:r w:rsidRPr="00A21F5C">
        <w:rPr>
          <w:rFonts w:hint="cs"/>
          <w:sz w:val="16"/>
          <w:szCs w:val="20"/>
          <w:rtl/>
        </w:rPr>
        <w:t>המקור: נציבות שירות</w:t>
      </w:r>
      <w:r w:rsidRPr="00A21F5C">
        <w:rPr>
          <w:rFonts w:hint="cs"/>
          <w:sz w:val="16"/>
          <w:szCs w:val="20"/>
          <w:rtl/>
        </w:rPr>
        <w:t xml:space="preserve"> המדינה</w:t>
      </w:r>
      <w:r>
        <w:rPr>
          <w:rFonts w:hint="cs"/>
          <w:sz w:val="16"/>
          <w:szCs w:val="20"/>
          <w:rtl/>
        </w:rPr>
        <w:t>, יולי 2019,</w:t>
      </w:r>
      <w:r w:rsidRPr="00A21F5C">
        <w:rPr>
          <w:rFonts w:hint="cs"/>
          <w:sz w:val="16"/>
          <w:szCs w:val="20"/>
          <w:rtl/>
        </w:rPr>
        <w:t xml:space="preserve"> בעיבוד משרד מבקר המדינה.</w:t>
      </w:r>
    </w:p>
    <w:p w:rsidR="002D0C59" w:rsidRPr="00A21F5C" w:rsidP="00AE0BE6" w14:paraId="33472805" w14:textId="77777777">
      <w:pPr>
        <w:pStyle w:val="a"/>
        <w:spacing w:line="269" w:lineRule="auto"/>
        <w:rPr>
          <w:rtl/>
        </w:rPr>
      </w:pPr>
    </w:p>
    <w:p w:rsidR="002D0C59" w:rsidP="00AE0BE6" w14:paraId="4BD722DB" w14:textId="77777777">
      <w:pPr>
        <w:spacing w:line="269" w:lineRule="auto"/>
        <w:rPr>
          <w:sz w:val="24"/>
          <w:rtl/>
        </w:rPr>
      </w:pPr>
      <w:r w:rsidRPr="003415B5">
        <w:rPr>
          <w:rFonts w:hint="cs"/>
          <w:sz w:val="24"/>
          <w:rtl/>
        </w:rPr>
        <w:t xml:space="preserve">על הבקרה הנדרשת על פעילות מערך ביקורת הגבולות אפשר ללמוד מכללים שנקבעו </w:t>
      </w:r>
      <w:r w:rsidRPr="003415B5">
        <w:rPr>
          <w:rFonts w:hint="eastAsia"/>
          <w:sz w:val="24"/>
          <w:rtl/>
        </w:rPr>
        <w:t>במדינות</w:t>
      </w:r>
      <w:r w:rsidRPr="003415B5">
        <w:rPr>
          <w:sz w:val="24"/>
          <w:rtl/>
        </w:rPr>
        <w:t xml:space="preserve"> אחרות.</w:t>
      </w:r>
      <w:r w:rsidRPr="003415B5">
        <w:rPr>
          <w:rFonts w:hint="cs"/>
          <w:sz w:val="24"/>
          <w:rtl/>
        </w:rPr>
        <w:t xml:space="preserve"> </w:t>
      </w:r>
      <w:r w:rsidRPr="003415B5">
        <w:rPr>
          <w:rFonts w:hint="eastAsia"/>
          <w:sz w:val="24"/>
          <w:rtl/>
        </w:rPr>
        <w:t>על</w:t>
      </w:r>
      <w:r w:rsidRPr="003415B5">
        <w:rPr>
          <w:sz w:val="24"/>
          <w:rtl/>
        </w:rPr>
        <w:t xml:space="preserve"> פי קווים מנחים של </w:t>
      </w:r>
      <w:r w:rsidRPr="003415B5">
        <w:rPr>
          <w:rFonts w:hint="cs"/>
          <w:sz w:val="24"/>
          <w:rtl/>
        </w:rPr>
        <w:t>ה</w:t>
      </w:r>
      <w:r w:rsidRPr="003415B5">
        <w:rPr>
          <w:sz w:val="24"/>
          <w:rtl/>
        </w:rPr>
        <w:t xml:space="preserve">איחוד האירופי לביקורת הגבולות מ-2010, </w:t>
      </w:r>
      <w:r w:rsidRPr="003415B5">
        <w:rPr>
          <w:rFonts w:hint="eastAsia"/>
          <w:sz w:val="24"/>
          <w:rtl/>
        </w:rPr>
        <w:t>יש</w:t>
      </w:r>
      <w:r w:rsidRPr="003415B5">
        <w:rPr>
          <w:rFonts w:hint="cs"/>
          <w:sz w:val="24"/>
          <w:rtl/>
        </w:rPr>
        <w:t xml:space="preserve"> </w:t>
      </w:r>
      <w:r w:rsidRPr="003415B5">
        <w:rPr>
          <w:rFonts w:hint="eastAsia"/>
          <w:sz w:val="24"/>
          <w:rtl/>
        </w:rPr>
        <w:t>לבקר</w:t>
      </w:r>
      <w:r w:rsidRPr="003415B5">
        <w:rPr>
          <w:sz w:val="24"/>
          <w:rtl/>
        </w:rPr>
        <w:t xml:space="preserve"> באופן שוטף </w:t>
      </w:r>
      <w:r w:rsidRPr="003415B5">
        <w:rPr>
          <w:rFonts w:hint="eastAsia"/>
          <w:sz w:val="24"/>
          <w:rtl/>
        </w:rPr>
        <w:t>את</w:t>
      </w:r>
      <w:r w:rsidRPr="003415B5">
        <w:rPr>
          <w:sz w:val="24"/>
          <w:rtl/>
        </w:rPr>
        <w:t xml:space="preserve"> </w:t>
      </w:r>
      <w:r w:rsidRPr="003415B5">
        <w:rPr>
          <w:rFonts w:hint="eastAsia"/>
          <w:sz w:val="24"/>
          <w:rtl/>
        </w:rPr>
        <w:t>עבודת</w:t>
      </w:r>
      <w:r w:rsidRPr="003415B5">
        <w:rPr>
          <w:sz w:val="24"/>
          <w:rtl/>
        </w:rPr>
        <w:t xml:space="preserve"> </w:t>
      </w:r>
      <w:r w:rsidRPr="003415B5">
        <w:rPr>
          <w:rFonts w:hint="eastAsia"/>
          <w:sz w:val="24"/>
          <w:rtl/>
        </w:rPr>
        <w:t>יחידות</w:t>
      </w:r>
      <w:r w:rsidRPr="003415B5">
        <w:rPr>
          <w:sz w:val="24"/>
          <w:rtl/>
        </w:rPr>
        <w:t xml:space="preserve"> </w:t>
      </w:r>
      <w:r w:rsidRPr="003415B5">
        <w:rPr>
          <w:rFonts w:hint="eastAsia"/>
          <w:sz w:val="24"/>
          <w:rtl/>
        </w:rPr>
        <w:t>ביקורת</w:t>
      </w:r>
      <w:r w:rsidRPr="003415B5">
        <w:rPr>
          <w:sz w:val="24"/>
          <w:rtl/>
        </w:rPr>
        <w:t xml:space="preserve"> </w:t>
      </w:r>
      <w:r w:rsidRPr="003415B5">
        <w:rPr>
          <w:rFonts w:hint="eastAsia"/>
          <w:sz w:val="24"/>
          <w:rtl/>
        </w:rPr>
        <w:t>הגבולות</w:t>
      </w:r>
      <w:r w:rsidRPr="003415B5">
        <w:rPr>
          <w:rFonts w:hint="cs"/>
          <w:sz w:val="24"/>
          <w:rtl/>
        </w:rPr>
        <w:t xml:space="preserve"> ו</w:t>
      </w:r>
      <w:r w:rsidRPr="003415B5">
        <w:rPr>
          <w:rFonts w:hint="eastAsia"/>
          <w:sz w:val="24"/>
          <w:rtl/>
        </w:rPr>
        <w:t>לאתר</w:t>
      </w:r>
      <w:r w:rsidRPr="003415B5">
        <w:rPr>
          <w:sz w:val="24"/>
          <w:rtl/>
        </w:rPr>
        <w:t xml:space="preserve"> </w:t>
      </w:r>
      <w:r w:rsidRPr="003415B5">
        <w:rPr>
          <w:rFonts w:hint="eastAsia"/>
          <w:sz w:val="24"/>
          <w:rtl/>
        </w:rPr>
        <w:t>חריגות</w:t>
      </w:r>
      <w:r w:rsidRPr="003415B5">
        <w:rPr>
          <w:sz w:val="24"/>
          <w:rtl/>
        </w:rPr>
        <w:t xml:space="preserve"> </w:t>
      </w:r>
      <w:r w:rsidRPr="003415B5">
        <w:rPr>
          <w:rFonts w:hint="eastAsia"/>
          <w:sz w:val="24"/>
          <w:rtl/>
        </w:rPr>
        <w:t>מהכללים</w:t>
      </w:r>
      <w:r w:rsidRPr="003415B5">
        <w:rPr>
          <w:sz w:val="24"/>
          <w:rtl/>
        </w:rPr>
        <w:t xml:space="preserve"> </w:t>
      </w:r>
      <w:r w:rsidRPr="003415B5">
        <w:rPr>
          <w:rFonts w:hint="eastAsia"/>
          <w:sz w:val="24"/>
          <w:rtl/>
        </w:rPr>
        <w:t>שנקבעו</w:t>
      </w:r>
      <w:r w:rsidRPr="003415B5">
        <w:rPr>
          <w:sz w:val="24"/>
          <w:rtl/>
        </w:rPr>
        <w:t xml:space="preserve"> </w:t>
      </w:r>
      <w:r w:rsidRPr="003415B5">
        <w:rPr>
          <w:rFonts w:hint="eastAsia"/>
          <w:sz w:val="24"/>
          <w:rtl/>
        </w:rPr>
        <w:t>לה</w:t>
      </w:r>
      <w:r w:rsidRPr="003415B5">
        <w:rPr>
          <w:rFonts w:hint="cs"/>
          <w:sz w:val="24"/>
          <w:rtl/>
        </w:rPr>
        <w:t>ן</w:t>
      </w:r>
      <w:r>
        <w:rPr>
          <w:rStyle w:val="FootnoteReference1"/>
          <w:sz w:val="24"/>
          <w:rtl/>
        </w:rPr>
        <w:footnoteReference w:id="20"/>
      </w:r>
      <w:r w:rsidRPr="003415B5">
        <w:rPr>
          <w:sz w:val="24"/>
          <w:rtl/>
        </w:rPr>
        <w:t>.</w:t>
      </w:r>
      <w:r w:rsidRPr="003415B5">
        <w:rPr>
          <w:rFonts w:hint="cs"/>
          <w:sz w:val="24"/>
          <w:rtl/>
        </w:rPr>
        <w:t xml:space="preserve"> הביקורת והבקרה נעשות באמצעות הגבלות במערכת הממוחשבת, המונעות אישורים חריגים של עובדים זוטרים, וכן שימוש בדוחות ממוחשבים המאפשרים איתור חריגות והתראות ממוחשבות</w:t>
      </w:r>
      <w:r>
        <w:rPr>
          <w:rStyle w:val="FootnoteReference1"/>
          <w:sz w:val="24"/>
          <w:rtl/>
        </w:rPr>
        <w:footnoteReference w:id="21"/>
      </w:r>
      <w:r w:rsidRPr="003415B5">
        <w:rPr>
          <w:rFonts w:hint="cs"/>
          <w:sz w:val="24"/>
          <w:rtl/>
        </w:rPr>
        <w:t>. הביקורת והבקרה נעשות גם באמצעות צפייה של אחמ"ש בעבודת בקר גבול ווידוא שהיא</w:t>
      </w:r>
      <w:r w:rsidRPr="003415B5">
        <w:rPr>
          <w:rFonts w:hint="cs"/>
          <w:sz w:val="24"/>
          <w:rtl/>
        </w:rPr>
        <w:t xml:space="preserve"> נעשית כנדרש.</w:t>
      </w:r>
    </w:p>
    <w:p w:rsidR="00377347" w:rsidP="00792C56" w14:paraId="35E92720" w14:textId="77777777">
      <w:pPr>
        <w:pStyle w:val="a"/>
        <w:rPr>
          <w:rtl/>
        </w:rPr>
      </w:pPr>
    </w:p>
    <w:p w:rsidR="00792C56" w:rsidRPr="003415B5" w:rsidP="00792C56" w14:paraId="4C8ED6C2" w14:textId="77777777">
      <w:pPr>
        <w:pStyle w:val="a"/>
      </w:pPr>
    </w:p>
    <w:p w:rsidR="002D0C59" w:rsidRPr="002D0C59" w:rsidP="00AE0BE6" w14:paraId="1ED1AC0B" w14:textId="77777777">
      <w:pPr>
        <w:pStyle w:val="Heading3"/>
        <w:spacing w:before="0" w:line="269" w:lineRule="auto"/>
        <w:rPr>
          <w:rtl/>
        </w:rPr>
      </w:pPr>
      <w:r w:rsidRPr="002D0C59">
        <w:rPr>
          <w:rFonts w:hint="cs"/>
          <w:rtl/>
        </w:rPr>
        <w:t>בקרה שוטפת על ביקורת הגבולות</w:t>
      </w:r>
    </w:p>
    <w:p w:rsidR="002D0C59" w:rsidRPr="003620CB" w:rsidP="00AE0BE6" w14:paraId="6CC1D41F" w14:textId="77777777">
      <w:pPr>
        <w:pStyle w:val="a"/>
        <w:spacing w:line="269" w:lineRule="auto"/>
        <w:rPr>
          <w:rtl/>
        </w:rPr>
      </w:pPr>
    </w:p>
    <w:p w:rsidR="002D0C59" w:rsidP="00AE0BE6" w14:paraId="62F396F4" w14:textId="77777777">
      <w:pPr>
        <w:pStyle w:val="ListParagraph"/>
        <w:spacing w:after="0" w:line="269" w:lineRule="auto"/>
        <w:ind w:left="0"/>
        <w:jc w:val="both"/>
        <w:rPr>
          <w:rFonts w:cs="David"/>
          <w:sz w:val="24"/>
          <w:szCs w:val="24"/>
          <w:rtl/>
        </w:rPr>
      </w:pPr>
      <w:r w:rsidRPr="004A0234">
        <w:rPr>
          <w:rFonts w:cs="David" w:hint="eastAsia"/>
          <w:sz w:val="24"/>
          <w:szCs w:val="24"/>
          <w:rtl/>
        </w:rPr>
        <w:t>תפי</w:t>
      </w:r>
      <w:r>
        <w:rPr>
          <w:rFonts w:cs="David" w:hint="cs"/>
          <w:sz w:val="24"/>
          <w:szCs w:val="24"/>
          <w:rtl/>
        </w:rPr>
        <w:t>ס</w:t>
      </w:r>
      <w:r w:rsidRPr="004A0234">
        <w:rPr>
          <w:rFonts w:cs="David" w:hint="eastAsia"/>
          <w:sz w:val="24"/>
          <w:szCs w:val="24"/>
          <w:rtl/>
        </w:rPr>
        <w:t>ת</w:t>
      </w:r>
      <w:r w:rsidRPr="004A0234">
        <w:rPr>
          <w:rFonts w:cs="David"/>
          <w:sz w:val="24"/>
          <w:szCs w:val="24"/>
          <w:rtl/>
        </w:rPr>
        <w:t xml:space="preserve"> </w:t>
      </w:r>
      <w:r w:rsidRPr="004A0234">
        <w:rPr>
          <w:rFonts w:cs="David" w:hint="eastAsia"/>
          <w:sz w:val="24"/>
          <w:szCs w:val="24"/>
          <w:rtl/>
        </w:rPr>
        <w:t>הבקרה</w:t>
      </w:r>
      <w:r w:rsidRPr="004A0234">
        <w:rPr>
          <w:rFonts w:cs="David"/>
          <w:sz w:val="24"/>
          <w:szCs w:val="24"/>
          <w:rtl/>
        </w:rPr>
        <w:t xml:space="preserve"> </w:t>
      </w:r>
      <w:r w:rsidRPr="004A0234">
        <w:rPr>
          <w:rFonts w:cs="David" w:hint="eastAsia"/>
          <w:sz w:val="24"/>
          <w:szCs w:val="24"/>
          <w:rtl/>
        </w:rPr>
        <w:t>של</w:t>
      </w:r>
      <w:r w:rsidRPr="004A0234">
        <w:rPr>
          <w:rFonts w:cs="David"/>
          <w:sz w:val="24"/>
          <w:szCs w:val="24"/>
          <w:rtl/>
        </w:rPr>
        <w:t xml:space="preserve"> מינהל ביקורת הגבולות </w:t>
      </w:r>
      <w:r w:rsidRPr="004A0234">
        <w:rPr>
          <w:rFonts w:cs="David" w:hint="eastAsia"/>
          <w:sz w:val="24"/>
          <w:szCs w:val="24"/>
          <w:rtl/>
        </w:rPr>
        <w:t>על</w:t>
      </w:r>
      <w:r w:rsidRPr="004A0234">
        <w:rPr>
          <w:rFonts w:cs="David"/>
          <w:sz w:val="24"/>
          <w:szCs w:val="24"/>
          <w:rtl/>
        </w:rPr>
        <w:t xml:space="preserve"> פי תורת ההפעלה </w:t>
      </w:r>
      <w:r>
        <w:rPr>
          <w:rFonts w:cs="David" w:hint="cs"/>
          <w:sz w:val="24"/>
          <w:szCs w:val="24"/>
          <w:rtl/>
        </w:rPr>
        <w:t xml:space="preserve">מאוקטובר 2011 </w:t>
      </w:r>
      <w:r w:rsidRPr="004A0234">
        <w:rPr>
          <w:rFonts w:cs="David" w:hint="eastAsia"/>
          <w:sz w:val="24"/>
          <w:szCs w:val="24"/>
          <w:rtl/>
        </w:rPr>
        <w:t>כוללת</w:t>
      </w:r>
      <w:r w:rsidRPr="004A0234">
        <w:rPr>
          <w:rFonts w:cs="David"/>
          <w:sz w:val="24"/>
          <w:szCs w:val="24"/>
          <w:rtl/>
        </w:rPr>
        <w:t xml:space="preserve"> שני מרכיבים עיקריים:</w:t>
      </w:r>
      <w:r>
        <w:rPr>
          <w:rFonts w:cs="David"/>
          <w:sz w:val="24"/>
          <w:szCs w:val="24"/>
          <w:rtl/>
        </w:rPr>
        <w:t xml:space="preserve"> </w:t>
      </w:r>
      <w:r w:rsidRPr="004A0234">
        <w:rPr>
          <w:rFonts w:cs="David"/>
          <w:sz w:val="24"/>
          <w:szCs w:val="24"/>
          <w:rtl/>
        </w:rPr>
        <w:t xml:space="preserve">האחד - בקרה בזמן אמת על עבודת בקרי הגבול, לרבות צילומם במהלך העבודה ומתן משוב; </w:t>
      </w:r>
      <w:r w:rsidRPr="004A0234">
        <w:rPr>
          <w:rFonts w:cs="David" w:hint="eastAsia"/>
          <w:sz w:val="24"/>
          <w:szCs w:val="24"/>
          <w:rtl/>
        </w:rPr>
        <w:t>והשני</w:t>
      </w:r>
      <w:r w:rsidRPr="004A0234">
        <w:rPr>
          <w:rFonts w:cs="David"/>
          <w:sz w:val="24"/>
          <w:szCs w:val="24"/>
          <w:rtl/>
        </w:rPr>
        <w:t xml:space="preserve"> - </w:t>
      </w:r>
      <w:r w:rsidRPr="004A0234">
        <w:rPr>
          <w:rFonts w:cs="David" w:hint="eastAsia"/>
          <w:sz w:val="24"/>
          <w:szCs w:val="24"/>
          <w:rtl/>
        </w:rPr>
        <w:t>שימוש</w:t>
      </w:r>
      <w:r w:rsidRPr="004A0234">
        <w:rPr>
          <w:rFonts w:cs="David"/>
          <w:sz w:val="24"/>
          <w:szCs w:val="24"/>
          <w:rtl/>
        </w:rPr>
        <w:t xml:space="preserve"> </w:t>
      </w:r>
      <w:r w:rsidRPr="004A0234">
        <w:rPr>
          <w:rFonts w:cs="David" w:hint="eastAsia"/>
          <w:sz w:val="24"/>
          <w:szCs w:val="24"/>
          <w:rtl/>
        </w:rPr>
        <w:t>במערכות</w:t>
      </w:r>
      <w:r w:rsidRPr="004A0234">
        <w:rPr>
          <w:rFonts w:cs="David"/>
          <w:sz w:val="24"/>
          <w:szCs w:val="24"/>
          <w:rtl/>
        </w:rPr>
        <w:t xml:space="preserve"> </w:t>
      </w:r>
      <w:r w:rsidRPr="004A0234">
        <w:rPr>
          <w:rFonts w:cs="David" w:hint="eastAsia"/>
          <w:sz w:val="24"/>
          <w:szCs w:val="24"/>
          <w:rtl/>
        </w:rPr>
        <w:t>ממוחשבות</w:t>
      </w:r>
      <w:r w:rsidRPr="004A0234">
        <w:rPr>
          <w:rFonts w:cs="David"/>
          <w:sz w:val="24"/>
          <w:szCs w:val="24"/>
          <w:rtl/>
        </w:rPr>
        <w:t xml:space="preserve"> </w:t>
      </w:r>
      <w:r w:rsidRPr="004A0234">
        <w:rPr>
          <w:rFonts w:cs="David" w:hint="eastAsia"/>
          <w:sz w:val="24"/>
          <w:szCs w:val="24"/>
          <w:rtl/>
        </w:rPr>
        <w:t>לצורך</w:t>
      </w:r>
      <w:r w:rsidRPr="004A0234">
        <w:rPr>
          <w:rFonts w:cs="David"/>
          <w:sz w:val="24"/>
          <w:szCs w:val="24"/>
          <w:rtl/>
        </w:rPr>
        <w:t xml:space="preserve"> </w:t>
      </w:r>
      <w:r w:rsidRPr="004A0234">
        <w:rPr>
          <w:rFonts w:cs="David" w:hint="eastAsia"/>
          <w:sz w:val="24"/>
          <w:szCs w:val="24"/>
          <w:rtl/>
        </w:rPr>
        <w:t>התראות</w:t>
      </w:r>
      <w:r w:rsidRPr="004A0234">
        <w:rPr>
          <w:rFonts w:cs="David"/>
          <w:sz w:val="24"/>
          <w:szCs w:val="24"/>
          <w:rtl/>
        </w:rPr>
        <w:t xml:space="preserve"> </w:t>
      </w:r>
      <w:r w:rsidRPr="004A0234">
        <w:rPr>
          <w:rFonts w:cs="David" w:hint="eastAsia"/>
          <w:sz w:val="24"/>
          <w:szCs w:val="24"/>
          <w:rtl/>
        </w:rPr>
        <w:t>על</w:t>
      </w:r>
      <w:r w:rsidRPr="004A0234">
        <w:rPr>
          <w:rFonts w:cs="David"/>
          <w:sz w:val="24"/>
          <w:szCs w:val="24"/>
          <w:rtl/>
        </w:rPr>
        <w:t xml:space="preserve"> </w:t>
      </w:r>
      <w:r w:rsidRPr="004A0234">
        <w:rPr>
          <w:rFonts w:cs="David" w:hint="eastAsia"/>
          <w:sz w:val="24"/>
          <w:szCs w:val="24"/>
          <w:rtl/>
        </w:rPr>
        <w:t>מקרים</w:t>
      </w:r>
      <w:r w:rsidRPr="004A0234">
        <w:rPr>
          <w:rFonts w:cs="David"/>
          <w:sz w:val="24"/>
          <w:szCs w:val="24"/>
          <w:rtl/>
        </w:rPr>
        <w:t xml:space="preserve"> </w:t>
      </w:r>
      <w:r w:rsidRPr="004A0234">
        <w:rPr>
          <w:rFonts w:cs="David" w:hint="eastAsia"/>
          <w:sz w:val="24"/>
          <w:szCs w:val="24"/>
          <w:rtl/>
        </w:rPr>
        <w:t>חריגים</w:t>
      </w:r>
      <w:r w:rsidRPr="004A0234">
        <w:rPr>
          <w:rFonts w:cs="David"/>
          <w:sz w:val="24"/>
          <w:szCs w:val="24"/>
          <w:rtl/>
        </w:rPr>
        <w:t xml:space="preserve"> </w:t>
      </w:r>
      <w:r w:rsidRPr="004A0234">
        <w:rPr>
          <w:rFonts w:cs="David" w:hint="eastAsia"/>
          <w:sz w:val="24"/>
          <w:szCs w:val="24"/>
          <w:rtl/>
        </w:rPr>
        <w:t>המצריכים</w:t>
      </w:r>
      <w:r w:rsidRPr="004A0234">
        <w:rPr>
          <w:rFonts w:cs="David"/>
          <w:sz w:val="24"/>
          <w:szCs w:val="24"/>
          <w:rtl/>
        </w:rPr>
        <w:t xml:space="preserve"> </w:t>
      </w:r>
      <w:r w:rsidRPr="004A0234">
        <w:rPr>
          <w:rFonts w:cs="David" w:hint="eastAsia"/>
          <w:sz w:val="24"/>
          <w:szCs w:val="24"/>
          <w:rtl/>
        </w:rPr>
        <w:t>טיפול</w:t>
      </w:r>
      <w:r w:rsidRPr="004A0234">
        <w:rPr>
          <w:rFonts w:cs="David"/>
          <w:sz w:val="24"/>
          <w:szCs w:val="24"/>
          <w:rtl/>
        </w:rPr>
        <w:t xml:space="preserve"> </w:t>
      </w:r>
      <w:r w:rsidRPr="004A0234">
        <w:rPr>
          <w:rFonts w:cs="David" w:hint="eastAsia"/>
          <w:sz w:val="24"/>
          <w:szCs w:val="24"/>
          <w:rtl/>
        </w:rPr>
        <w:t>מיוחד</w:t>
      </w:r>
      <w:r w:rsidRPr="004A0234">
        <w:rPr>
          <w:rFonts w:cs="David"/>
          <w:sz w:val="24"/>
          <w:szCs w:val="24"/>
          <w:rtl/>
        </w:rPr>
        <w:t xml:space="preserve">. המינהל גיבש גם נהלים המפרטים אמצעי בקרה, לרבות חלוקת </w:t>
      </w:r>
      <w:r>
        <w:rPr>
          <w:rFonts w:cs="David" w:hint="cs"/>
          <w:sz w:val="24"/>
          <w:szCs w:val="24"/>
          <w:rtl/>
        </w:rPr>
        <w:t>ה</w:t>
      </w:r>
      <w:r w:rsidRPr="004A0234">
        <w:rPr>
          <w:rFonts w:cs="David"/>
          <w:sz w:val="24"/>
          <w:szCs w:val="24"/>
          <w:rtl/>
        </w:rPr>
        <w:t xml:space="preserve">סמכויות בין בקר </w:t>
      </w:r>
      <w:r>
        <w:rPr>
          <w:rFonts w:cs="David" w:hint="cs"/>
          <w:sz w:val="24"/>
          <w:szCs w:val="24"/>
          <w:rtl/>
        </w:rPr>
        <w:t>ה</w:t>
      </w:r>
      <w:r w:rsidRPr="004A0234">
        <w:rPr>
          <w:rFonts w:cs="David"/>
          <w:sz w:val="24"/>
          <w:szCs w:val="24"/>
          <w:rtl/>
        </w:rPr>
        <w:t xml:space="preserve">גבול לאחמ"ש, וכלים טכנולוגיים. </w:t>
      </w:r>
    </w:p>
    <w:p w:rsidR="002D0C59" w:rsidRPr="003620CB" w:rsidP="00AE0BE6" w14:paraId="35F30BD9" w14:textId="77777777">
      <w:pPr>
        <w:pStyle w:val="a"/>
        <w:spacing w:line="269" w:lineRule="auto"/>
        <w:rPr>
          <w:rtl/>
        </w:rPr>
      </w:pPr>
    </w:p>
    <w:p w:rsidR="002D0C59" w:rsidP="00AE0BE6" w14:paraId="481A4B50" w14:textId="77777777">
      <w:pPr>
        <w:pStyle w:val="ListParagraph"/>
        <w:spacing w:after="0" w:line="269" w:lineRule="auto"/>
        <w:ind w:left="0"/>
        <w:jc w:val="both"/>
        <w:rPr>
          <w:rFonts w:cs="David"/>
          <w:sz w:val="24"/>
          <w:szCs w:val="24"/>
          <w:rtl/>
        </w:rPr>
      </w:pPr>
      <w:r w:rsidRPr="004A0234">
        <w:rPr>
          <w:rFonts w:cs="David" w:hint="cs"/>
          <w:sz w:val="24"/>
          <w:szCs w:val="24"/>
          <w:rtl/>
        </w:rPr>
        <w:t xml:space="preserve">על פי תורת ההפעלה, הבקרה על ביקורת הגבולות תיעשה בשתי רמות: </w:t>
      </w:r>
      <w:r>
        <w:rPr>
          <w:rFonts w:cs="David" w:hint="cs"/>
          <w:sz w:val="24"/>
          <w:szCs w:val="24"/>
          <w:rtl/>
        </w:rPr>
        <w:t xml:space="preserve">ברמת </w:t>
      </w:r>
      <w:r w:rsidRPr="004A0234">
        <w:rPr>
          <w:rFonts w:cs="David" w:hint="cs"/>
          <w:sz w:val="24"/>
          <w:szCs w:val="24"/>
          <w:rtl/>
        </w:rPr>
        <w:t>מטה המינהל</w:t>
      </w:r>
      <w:r>
        <w:rPr>
          <w:rFonts w:cs="David" w:hint="cs"/>
          <w:sz w:val="24"/>
          <w:szCs w:val="24"/>
          <w:rtl/>
        </w:rPr>
        <w:t xml:space="preserve"> - המטה </w:t>
      </w:r>
      <w:r w:rsidRPr="004A0234">
        <w:rPr>
          <w:rFonts w:cs="David" w:hint="cs"/>
          <w:sz w:val="24"/>
          <w:szCs w:val="24"/>
          <w:rtl/>
        </w:rPr>
        <w:t xml:space="preserve">יגבש </w:t>
      </w:r>
      <w:r w:rsidRPr="004A0234">
        <w:rPr>
          <w:rFonts w:cs="David"/>
          <w:sz w:val="24"/>
          <w:szCs w:val="24"/>
          <w:rtl/>
        </w:rPr>
        <w:t>ת</w:t>
      </w:r>
      <w:r w:rsidRPr="004A0234">
        <w:rPr>
          <w:rFonts w:cs="David" w:hint="cs"/>
          <w:sz w:val="24"/>
          <w:szCs w:val="24"/>
          <w:rtl/>
        </w:rPr>
        <w:t>ו</w:t>
      </w:r>
      <w:r w:rsidRPr="004A0234">
        <w:rPr>
          <w:rFonts w:cs="David"/>
          <w:sz w:val="24"/>
          <w:szCs w:val="24"/>
          <w:rtl/>
        </w:rPr>
        <w:t>כנית</w:t>
      </w:r>
      <w:r w:rsidRPr="004A0234">
        <w:rPr>
          <w:rFonts w:cs="David" w:hint="cs"/>
          <w:sz w:val="24"/>
          <w:szCs w:val="24"/>
          <w:rtl/>
        </w:rPr>
        <w:t xml:space="preserve"> עבודה שנתית</w:t>
      </w:r>
      <w:r w:rsidRPr="004A0234">
        <w:rPr>
          <w:rFonts w:cs="David" w:hint="cs"/>
          <w:sz w:val="24"/>
          <w:szCs w:val="24"/>
          <w:rtl/>
        </w:rPr>
        <w:t xml:space="preserve"> שבמסגרתה תופץ תוכנית</w:t>
      </w:r>
      <w:r w:rsidRPr="004A0234">
        <w:rPr>
          <w:rFonts w:cs="David"/>
          <w:sz w:val="24"/>
          <w:szCs w:val="24"/>
          <w:rtl/>
        </w:rPr>
        <w:t xml:space="preserve"> ב</w:t>
      </w:r>
      <w:r w:rsidRPr="004A0234">
        <w:rPr>
          <w:rFonts w:cs="David" w:hint="cs"/>
          <w:sz w:val="24"/>
          <w:szCs w:val="24"/>
          <w:rtl/>
        </w:rPr>
        <w:t xml:space="preserve">קרה שנתית </w:t>
      </w:r>
      <w:r>
        <w:rPr>
          <w:rFonts w:cs="David" w:hint="cs"/>
          <w:sz w:val="24"/>
          <w:szCs w:val="24"/>
          <w:rtl/>
        </w:rPr>
        <w:t>לבחינת</w:t>
      </w:r>
      <w:r w:rsidRPr="004A0234">
        <w:rPr>
          <w:rFonts w:cs="David" w:hint="cs"/>
          <w:sz w:val="24"/>
          <w:szCs w:val="24"/>
          <w:rtl/>
        </w:rPr>
        <w:t xml:space="preserve"> אופן הביצוע</w:t>
      </w:r>
      <w:r>
        <w:rPr>
          <w:rFonts w:cs="David" w:hint="cs"/>
          <w:sz w:val="24"/>
          <w:szCs w:val="24"/>
          <w:rtl/>
        </w:rPr>
        <w:t xml:space="preserve"> של הפעולות הנדרשות במעבר הגבול</w:t>
      </w:r>
      <w:r w:rsidRPr="004A0234">
        <w:rPr>
          <w:rFonts w:cs="David" w:hint="cs"/>
          <w:sz w:val="24"/>
          <w:szCs w:val="24"/>
          <w:rtl/>
        </w:rPr>
        <w:t xml:space="preserve"> והעמידה של האשכולות במשימות וביעדים</w:t>
      </w:r>
      <w:r>
        <w:rPr>
          <w:rStyle w:val="FootnoteReference1"/>
          <w:rFonts w:cs="David"/>
          <w:sz w:val="24"/>
          <w:szCs w:val="24"/>
          <w:rtl/>
        </w:rPr>
        <w:footnoteReference w:id="22"/>
      </w:r>
      <w:r>
        <w:rPr>
          <w:rFonts w:cs="David" w:hint="cs"/>
          <w:sz w:val="24"/>
          <w:szCs w:val="24"/>
          <w:rtl/>
        </w:rPr>
        <w:t xml:space="preserve">. </w:t>
      </w:r>
      <w:r w:rsidRPr="004A0234">
        <w:rPr>
          <w:rFonts w:cs="David" w:hint="cs"/>
          <w:sz w:val="24"/>
          <w:szCs w:val="24"/>
          <w:rtl/>
        </w:rPr>
        <w:t>כל אשכול יבוקר פעם בשנה</w:t>
      </w:r>
      <w:r>
        <w:rPr>
          <w:rFonts w:cs="David" w:hint="cs"/>
          <w:sz w:val="24"/>
          <w:szCs w:val="24"/>
          <w:rtl/>
        </w:rPr>
        <w:t>,</w:t>
      </w:r>
      <w:r w:rsidRPr="004A0234">
        <w:rPr>
          <w:rFonts w:cs="David" w:hint="cs"/>
          <w:sz w:val="24"/>
          <w:szCs w:val="24"/>
          <w:rtl/>
        </w:rPr>
        <w:t xml:space="preserve"> ונושאי הבקרה יפורטו בנוהל נפרד.</w:t>
      </w:r>
      <w:r>
        <w:rPr>
          <w:rFonts w:cs="David" w:hint="cs"/>
          <w:sz w:val="24"/>
          <w:szCs w:val="24"/>
          <w:rtl/>
        </w:rPr>
        <w:t xml:space="preserve"> וברמת האשכולות - בקרה פנימית בידי</w:t>
      </w:r>
      <w:r w:rsidR="00EC0F52">
        <w:rPr>
          <w:rFonts w:cs="David" w:hint="cs"/>
          <w:sz w:val="24"/>
          <w:szCs w:val="24"/>
          <w:rtl/>
        </w:rPr>
        <w:t xml:space="preserve"> </w:t>
      </w:r>
      <w:r>
        <w:rPr>
          <w:rFonts w:cs="David" w:hint="cs"/>
          <w:sz w:val="24"/>
          <w:szCs w:val="24"/>
          <w:rtl/>
        </w:rPr>
        <w:t xml:space="preserve">מנהלי המעברים והאחראים במעברי הגבול כפי שיפורט בהמשך. </w:t>
      </w:r>
    </w:p>
    <w:p w:rsidR="002D0C59" w:rsidRPr="00A21F5C" w:rsidP="00AE0BE6" w14:paraId="1FA0BDB6" w14:textId="77777777">
      <w:pPr>
        <w:pStyle w:val="a"/>
        <w:spacing w:line="269" w:lineRule="auto"/>
        <w:rPr>
          <w:rtl/>
        </w:rPr>
      </w:pPr>
    </w:p>
    <w:p w:rsidR="002D0C59" w:rsidP="00AE0BE6" w14:paraId="749AAE47" w14:textId="77777777">
      <w:pPr>
        <w:pStyle w:val="ListParagraph"/>
        <w:numPr>
          <w:ilvl w:val="0"/>
          <w:numId w:val="11"/>
        </w:numPr>
        <w:spacing w:after="0" w:line="269" w:lineRule="auto"/>
        <w:jc w:val="both"/>
        <w:rPr>
          <w:rFonts w:cs="David"/>
          <w:b/>
          <w:bCs/>
          <w:sz w:val="24"/>
          <w:szCs w:val="24"/>
        </w:rPr>
      </w:pPr>
      <w:r w:rsidRPr="004A0234">
        <w:rPr>
          <w:rFonts w:cs="David" w:hint="cs"/>
          <w:b/>
          <w:bCs/>
          <w:sz w:val="24"/>
          <w:szCs w:val="24"/>
          <w:rtl/>
        </w:rPr>
        <w:t xml:space="preserve">נמצא כי מינהל ביקורת הגבולות לא גיבש תוכנית בקרה שנתית ולא קבע כמה </w:t>
      </w:r>
      <w:r w:rsidRPr="004A0234">
        <w:rPr>
          <w:rFonts w:cs="David"/>
          <w:b/>
          <w:bCs/>
          <w:sz w:val="24"/>
          <w:szCs w:val="24"/>
          <w:rtl/>
        </w:rPr>
        <w:t>בקרות ייעשו</w:t>
      </w:r>
      <w:r w:rsidRPr="004A0234">
        <w:rPr>
          <w:rFonts w:cs="David" w:hint="cs"/>
          <w:b/>
          <w:bCs/>
          <w:sz w:val="24"/>
          <w:szCs w:val="24"/>
          <w:rtl/>
        </w:rPr>
        <w:t xml:space="preserve"> ומהם</w:t>
      </w:r>
      <w:r w:rsidRPr="004A0234">
        <w:rPr>
          <w:rFonts w:cs="David"/>
          <w:b/>
          <w:bCs/>
          <w:sz w:val="24"/>
          <w:szCs w:val="24"/>
          <w:rtl/>
        </w:rPr>
        <w:t xml:space="preserve"> הנושאים שיבוקרו</w:t>
      </w:r>
      <w:r w:rsidRPr="004A0234">
        <w:rPr>
          <w:rFonts w:cs="David" w:hint="cs"/>
          <w:b/>
          <w:bCs/>
          <w:sz w:val="24"/>
          <w:szCs w:val="24"/>
          <w:rtl/>
        </w:rPr>
        <w:t xml:space="preserve"> - זאת בניגוד לנדרש בתורת ההפעלה שגיבש ב-2011.</w:t>
      </w:r>
    </w:p>
    <w:p w:rsidR="002D0C59" w:rsidRPr="00A21F5C" w:rsidP="00AE0BE6" w14:paraId="6D1CDEB7" w14:textId="77777777">
      <w:pPr>
        <w:pStyle w:val="a"/>
        <w:spacing w:line="269" w:lineRule="auto"/>
        <w:rPr>
          <w:rtl/>
        </w:rPr>
      </w:pPr>
    </w:p>
    <w:p w:rsidR="002D0C59" w:rsidRPr="00236564" w:rsidP="00AE0BE6" w14:paraId="0798F551" w14:textId="77777777">
      <w:pPr>
        <w:pStyle w:val="ListParagraph"/>
        <w:numPr>
          <w:ilvl w:val="0"/>
          <w:numId w:val="11"/>
        </w:numPr>
        <w:spacing w:after="0" w:line="269" w:lineRule="auto"/>
        <w:jc w:val="both"/>
        <w:rPr>
          <w:rFonts w:cs="David"/>
          <w:sz w:val="24"/>
          <w:szCs w:val="24"/>
        </w:rPr>
      </w:pPr>
      <w:r w:rsidRPr="0048662C">
        <w:rPr>
          <w:rFonts w:cs="David" w:hint="cs"/>
          <w:b/>
          <w:bCs/>
          <w:sz w:val="24"/>
          <w:szCs w:val="24"/>
          <w:rtl/>
        </w:rPr>
        <w:t xml:space="preserve">מתחילת שנת 2016 </w:t>
      </w:r>
      <w:r>
        <w:rPr>
          <w:rFonts w:cs="David" w:hint="cs"/>
          <w:b/>
          <w:bCs/>
          <w:sz w:val="24"/>
          <w:szCs w:val="24"/>
          <w:rtl/>
        </w:rPr>
        <w:t xml:space="preserve">ועד מועד סיום הביקורת </w:t>
      </w:r>
      <w:r w:rsidRPr="0048662C">
        <w:rPr>
          <w:rFonts w:cs="David" w:hint="cs"/>
          <w:b/>
          <w:bCs/>
          <w:sz w:val="24"/>
          <w:szCs w:val="24"/>
          <w:rtl/>
        </w:rPr>
        <w:t>לא ערך מטה המינ</w:t>
      </w:r>
      <w:r w:rsidRPr="0048662C">
        <w:rPr>
          <w:rFonts w:cs="David" w:hint="cs"/>
          <w:b/>
          <w:bCs/>
          <w:sz w:val="24"/>
          <w:szCs w:val="24"/>
          <w:rtl/>
        </w:rPr>
        <w:t>הל בקרה כוללת על מערך ביקורת הגבולות</w:t>
      </w:r>
      <w:r>
        <w:rPr>
          <w:rFonts w:cs="David" w:hint="cs"/>
          <w:b/>
          <w:bCs/>
          <w:sz w:val="24"/>
          <w:szCs w:val="24"/>
          <w:rtl/>
        </w:rPr>
        <w:t>,</w:t>
      </w:r>
      <w:r w:rsidRPr="0048662C">
        <w:rPr>
          <w:rFonts w:cs="David" w:hint="cs"/>
          <w:b/>
          <w:bCs/>
          <w:sz w:val="24"/>
          <w:szCs w:val="24"/>
          <w:rtl/>
        </w:rPr>
        <w:t xml:space="preserve"> וה</w:t>
      </w:r>
      <w:r w:rsidRPr="0048662C">
        <w:rPr>
          <w:rFonts w:cs="David"/>
          <w:b/>
          <w:bCs/>
          <w:sz w:val="24"/>
          <w:szCs w:val="24"/>
          <w:rtl/>
        </w:rPr>
        <w:t xml:space="preserve">בקרה </w:t>
      </w:r>
      <w:r w:rsidRPr="0048662C">
        <w:rPr>
          <w:rFonts w:cs="David" w:hint="cs"/>
          <w:b/>
          <w:bCs/>
          <w:sz w:val="24"/>
          <w:szCs w:val="24"/>
          <w:rtl/>
        </w:rPr>
        <w:t>ה</w:t>
      </w:r>
      <w:r w:rsidRPr="0048662C">
        <w:rPr>
          <w:rFonts w:cs="David"/>
          <w:b/>
          <w:bCs/>
          <w:sz w:val="24"/>
          <w:szCs w:val="24"/>
          <w:rtl/>
        </w:rPr>
        <w:t>אחרונה</w:t>
      </w:r>
      <w:r w:rsidRPr="0048662C">
        <w:rPr>
          <w:rFonts w:cs="David" w:hint="cs"/>
          <w:b/>
          <w:bCs/>
          <w:sz w:val="24"/>
          <w:szCs w:val="24"/>
          <w:rtl/>
        </w:rPr>
        <w:t>,</w:t>
      </w:r>
      <w:r w:rsidRPr="0048662C">
        <w:rPr>
          <w:rFonts w:cs="David"/>
          <w:b/>
          <w:bCs/>
          <w:sz w:val="24"/>
          <w:szCs w:val="24"/>
          <w:rtl/>
        </w:rPr>
        <w:t xml:space="preserve"> </w:t>
      </w:r>
      <w:r w:rsidRPr="0048662C">
        <w:rPr>
          <w:rFonts w:cs="David" w:hint="cs"/>
          <w:b/>
          <w:bCs/>
          <w:sz w:val="24"/>
          <w:szCs w:val="24"/>
          <w:rtl/>
        </w:rPr>
        <w:t>ש</w:t>
      </w:r>
      <w:r w:rsidRPr="0048662C">
        <w:rPr>
          <w:rFonts w:cs="David"/>
          <w:b/>
          <w:bCs/>
          <w:sz w:val="24"/>
          <w:szCs w:val="24"/>
          <w:rtl/>
        </w:rPr>
        <w:t>נעשתה בשנת 2015</w:t>
      </w:r>
      <w:r w:rsidRPr="0048662C">
        <w:rPr>
          <w:rFonts w:cs="David" w:hint="cs"/>
          <w:b/>
          <w:bCs/>
          <w:sz w:val="24"/>
          <w:szCs w:val="24"/>
          <w:rtl/>
        </w:rPr>
        <w:t>,</w:t>
      </w:r>
      <w:r w:rsidRPr="0048662C">
        <w:rPr>
          <w:rFonts w:cs="David"/>
          <w:b/>
          <w:bCs/>
          <w:sz w:val="24"/>
          <w:szCs w:val="24"/>
          <w:rtl/>
        </w:rPr>
        <w:t xml:space="preserve"> הופסקה</w:t>
      </w:r>
      <w:r>
        <w:rPr>
          <w:rFonts w:cs="David" w:hint="cs"/>
          <w:b/>
          <w:bCs/>
          <w:sz w:val="24"/>
          <w:szCs w:val="24"/>
          <w:rtl/>
        </w:rPr>
        <w:t xml:space="preserve"> לטענת הרשות</w:t>
      </w:r>
      <w:r w:rsidRPr="0048662C">
        <w:rPr>
          <w:rFonts w:cs="David"/>
          <w:b/>
          <w:bCs/>
          <w:sz w:val="24"/>
          <w:szCs w:val="24"/>
          <w:rtl/>
        </w:rPr>
        <w:t xml:space="preserve"> ל</w:t>
      </w:r>
      <w:r w:rsidRPr="0048662C">
        <w:rPr>
          <w:rFonts w:cs="David" w:hint="cs"/>
          <w:b/>
          <w:bCs/>
          <w:sz w:val="24"/>
          <w:szCs w:val="24"/>
          <w:rtl/>
        </w:rPr>
        <w:t>נוכח</w:t>
      </w:r>
      <w:r w:rsidRPr="0048662C">
        <w:rPr>
          <w:rFonts w:cs="David"/>
          <w:b/>
          <w:bCs/>
          <w:sz w:val="24"/>
          <w:szCs w:val="24"/>
          <w:rtl/>
        </w:rPr>
        <w:t xml:space="preserve"> </w:t>
      </w:r>
      <w:r w:rsidRPr="0048662C">
        <w:rPr>
          <w:rFonts w:cs="David" w:hint="cs"/>
          <w:b/>
          <w:bCs/>
          <w:sz w:val="24"/>
          <w:szCs w:val="24"/>
          <w:rtl/>
        </w:rPr>
        <w:t xml:space="preserve">ריבוי המשימות שהוטלו על המינהל ותיעדוף שלהן </w:t>
      </w:r>
      <w:r w:rsidRPr="0048662C">
        <w:rPr>
          <w:rFonts w:cs="David"/>
          <w:b/>
          <w:bCs/>
          <w:sz w:val="24"/>
          <w:szCs w:val="24"/>
          <w:rtl/>
        </w:rPr>
        <w:t>ו</w:t>
      </w:r>
      <w:r w:rsidRPr="0048662C">
        <w:rPr>
          <w:rFonts w:cs="David" w:hint="cs"/>
          <w:b/>
          <w:bCs/>
          <w:sz w:val="24"/>
          <w:szCs w:val="24"/>
          <w:rtl/>
        </w:rPr>
        <w:t xml:space="preserve">לנוכח </w:t>
      </w:r>
      <w:r w:rsidRPr="0048662C">
        <w:rPr>
          <w:rFonts w:cs="David"/>
          <w:b/>
          <w:bCs/>
          <w:sz w:val="24"/>
          <w:szCs w:val="24"/>
          <w:rtl/>
        </w:rPr>
        <w:t xml:space="preserve">בעיות איוש </w:t>
      </w:r>
      <w:r w:rsidRPr="0048662C">
        <w:rPr>
          <w:rFonts w:cs="David" w:hint="cs"/>
          <w:b/>
          <w:bCs/>
          <w:sz w:val="24"/>
          <w:szCs w:val="24"/>
          <w:rtl/>
        </w:rPr>
        <w:t>משרות</w:t>
      </w:r>
      <w:r w:rsidRPr="0048662C">
        <w:rPr>
          <w:rFonts w:cs="David"/>
          <w:b/>
          <w:bCs/>
          <w:sz w:val="24"/>
          <w:szCs w:val="24"/>
          <w:rtl/>
        </w:rPr>
        <w:t>.</w:t>
      </w:r>
      <w:r w:rsidRPr="0048662C">
        <w:rPr>
          <w:rFonts w:cs="David" w:hint="cs"/>
          <w:b/>
          <w:bCs/>
          <w:sz w:val="24"/>
          <w:szCs w:val="24"/>
          <w:rtl/>
        </w:rPr>
        <w:t xml:space="preserve"> עוד הועלה כי בשנים האמורות נעשתה מ</w:t>
      </w:r>
      <w:r>
        <w:rPr>
          <w:rFonts w:cs="David" w:hint="cs"/>
          <w:b/>
          <w:bCs/>
          <w:sz w:val="24"/>
          <w:szCs w:val="24"/>
          <w:rtl/>
        </w:rPr>
        <w:t>פעם</w:t>
      </w:r>
      <w:r w:rsidRPr="0048662C">
        <w:rPr>
          <w:rFonts w:cs="David" w:hint="cs"/>
          <w:b/>
          <w:bCs/>
          <w:sz w:val="24"/>
          <w:szCs w:val="24"/>
          <w:rtl/>
        </w:rPr>
        <w:t xml:space="preserve"> </w:t>
      </w:r>
      <w:r>
        <w:rPr>
          <w:rFonts w:cs="David" w:hint="cs"/>
          <w:b/>
          <w:bCs/>
          <w:sz w:val="24"/>
          <w:szCs w:val="24"/>
          <w:rtl/>
        </w:rPr>
        <w:t>ל</w:t>
      </w:r>
      <w:r w:rsidRPr="0048662C">
        <w:rPr>
          <w:rFonts w:cs="David" w:hint="cs"/>
          <w:b/>
          <w:bCs/>
          <w:sz w:val="24"/>
          <w:szCs w:val="24"/>
          <w:rtl/>
        </w:rPr>
        <w:t>פעם ביקורת בנושא מסוים בחלק מן המעברים</w:t>
      </w:r>
      <w:r>
        <w:rPr>
          <w:rFonts w:cs="David" w:hint="cs"/>
          <w:b/>
          <w:bCs/>
          <w:sz w:val="24"/>
          <w:szCs w:val="24"/>
          <w:rtl/>
        </w:rPr>
        <w:t>,</w:t>
      </w:r>
      <w:r w:rsidRPr="0048662C">
        <w:rPr>
          <w:rFonts w:cs="David" w:hint="cs"/>
          <w:b/>
          <w:bCs/>
          <w:sz w:val="24"/>
          <w:szCs w:val="24"/>
          <w:rtl/>
        </w:rPr>
        <w:t xml:space="preserve"> ו</w:t>
      </w:r>
      <w:r w:rsidRPr="0048662C">
        <w:rPr>
          <w:rFonts w:cs="David" w:hint="eastAsia"/>
          <w:b/>
          <w:bCs/>
          <w:sz w:val="24"/>
          <w:szCs w:val="24"/>
          <w:rtl/>
        </w:rPr>
        <w:t>במ</w:t>
      </w:r>
      <w:r w:rsidRPr="0048662C">
        <w:rPr>
          <w:rFonts w:cs="David" w:hint="cs"/>
          <w:b/>
          <w:bCs/>
          <w:sz w:val="24"/>
          <w:szCs w:val="24"/>
          <w:rtl/>
        </w:rPr>
        <w:t>ש</w:t>
      </w:r>
      <w:r w:rsidRPr="0048662C">
        <w:rPr>
          <w:rFonts w:cs="David" w:hint="eastAsia"/>
          <w:b/>
          <w:bCs/>
          <w:sz w:val="24"/>
          <w:szCs w:val="24"/>
          <w:rtl/>
        </w:rPr>
        <w:t>ך</w:t>
      </w:r>
      <w:r w:rsidRPr="0048662C">
        <w:rPr>
          <w:rFonts w:cs="David"/>
          <w:b/>
          <w:bCs/>
          <w:sz w:val="24"/>
          <w:szCs w:val="24"/>
          <w:rtl/>
        </w:rPr>
        <w:t xml:space="preserve"> ארבע שנים וחצי, </w:t>
      </w:r>
      <w:r w:rsidRPr="0048662C">
        <w:rPr>
          <w:rFonts w:cs="David" w:hint="eastAsia"/>
          <w:b/>
          <w:bCs/>
          <w:sz w:val="24"/>
          <w:szCs w:val="24"/>
          <w:rtl/>
        </w:rPr>
        <w:t>בשנים</w:t>
      </w:r>
      <w:r w:rsidRPr="0048662C">
        <w:rPr>
          <w:rFonts w:cs="David"/>
          <w:b/>
          <w:bCs/>
          <w:sz w:val="24"/>
          <w:szCs w:val="24"/>
          <w:rtl/>
        </w:rPr>
        <w:t xml:space="preserve"> 2015 </w:t>
      </w:r>
      <w:r w:rsidRPr="0048662C">
        <w:rPr>
          <w:rFonts w:cs="David" w:hint="eastAsia"/>
          <w:b/>
          <w:bCs/>
          <w:sz w:val="24"/>
          <w:szCs w:val="24"/>
          <w:rtl/>
        </w:rPr>
        <w:t>עד</w:t>
      </w:r>
      <w:r w:rsidRPr="0048662C">
        <w:rPr>
          <w:rFonts w:cs="David"/>
          <w:b/>
          <w:bCs/>
          <w:sz w:val="24"/>
          <w:szCs w:val="24"/>
          <w:rtl/>
        </w:rPr>
        <w:t xml:space="preserve"> </w:t>
      </w:r>
      <w:r w:rsidRPr="0048662C">
        <w:rPr>
          <w:rFonts w:cs="David" w:hint="eastAsia"/>
          <w:b/>
          <w:bCs/>
          <w:sz w:val="24"/>
          <w:szCs w:val="24"/>
          <w:rtl/>
        </w:rPr>
        <w:t>יולי</w:t>
      </w:r>
      <w:r w:rsidRPr="0048662C">
        <w:rPr>
          <w:rFonts w:cs="David"/>
          <w:b/>
          <w:bCs/>
          <w:sz w:val="24"/>
          <w:szCs w:val="24"/>
          <w:rtl/>
        </w:rPr>
        <w:t xml:space="preserve"> 2019, </w:t>
      </w:r>
      <w:r w:rsidRPr="0048662C">
        <w:rPr>
          <w:rFonts w:cs="David" w:hint="cs"/>
          <w:b/>
          <w:bCs/>
          <w:sz w:val="24"/>
          <w:szCs w:val="24"/>
          <w:rtl/>
        </w:rPr>
        <w:t xml:space="preserve">ערך </w:t>
      </w:r>
      <w:r w:rsidRPr="0048662C">
        <w:rPr>
          <w:rFonts w:cs="David" w:hint="eastAsia"/>
          <w:b/>
          <w:bCs/>
          <w:sz w:val="24"/>
          <w:szCs w:val="24"/>
          <w:rtl/>
        </w:rPr>
        <w:t>מטה</w:t>
      </w:r>
      <w:r w:rsidRPr="0048662C">
        <w:rPr>
          <w:rFonts w:cs="David"/>
          <w:b/>
          <w:bCs/>
          <w:sz w:val="24"/>
          <w:szCs w:val="24"/>
          <w:rtl/>
        </w:rPr>
        <w:t xml:space="preserve"> </w:t>
      </w:r>
      <w:r w:rsidRPr="0048662C">
        <w:rPr>
          <w:rFonts w:cs="David" w:hint="eastAsia"/>
          <w:b/>
          <w:bCs/>
          <w:sz w:val="24"/>
          <w:szCs w:val="24"/>
          <w:rtl/>
        </w:rPr>
        <w:t>מינהל</w:t>
      </w:r>
      <w:r w:rsidRPr="0048662C">
        <w:rPr>
          <w:rFonts w:cs="David"/>
          <w:b/>
          <w:bCs/>
          <w:sz w:val="24"/>
          <w:szCs w:val="24"/>
          <w:rtl/>
        </w:rPr>
        <w:t xml:space="preserve"> </w:t>
      </w:r>
      <w:r w:rsidRPr="0048662C">
        <w:rPr>
          <w:rFonts w:cs="David" w:hint="eastAsia"/>
          <w:b/>
          <w:bCs/>
          <w:sz w:val="24"/>
          <w:szCs w:val="24"/>
          <w:rtl/>
        </w:rPr>
        <w:t>ביקורת</w:t>
      </w:r>
      <w:r w:rsidRPr="0048662C">
        <w:rPr>
          <w:rFonts w:cs="David"/>
          <w:b/>
          <w:bCs/>
          <w:sz w:val="24"/>
          <w:szCs w:val="24"/>
          <w:rtl/>
        </w:rPr>
        <w:t xml:space="preserve"> </w:t>
      </w:r>
      <w:r w:rsidRPr="0048662C">
        <w:rPr>
          <w:rFonts w:cs="David" w:hint="eastAsia"/>
          <w:b/>
          <w:bCs/>
          <w:sz w:val="24"/>
          <w:szCs w:val="24"/>
          <w:rtl/>
        </w:rPr>
        <w:t>הגבולות</w:t>
      </w:r>
      <w:r w:rsidRPr="0048662C">
        <w:rPr>
          <w:rFonts w:cs="David"/>
          <w:b/>
          <w:bCs/>
          <w:sz w:val="24"/>
          <w:szCs w:val="24"/>
          <w:rtl/>
        </w:rPr>
        <w:t xml:space="preserve"> </w:t>
      </w:r>
      <w:r w:rsidRPr="0048662C">
        <w:rPr>
          <w:rFonts w:cs="David" w:hint="cs"/>
          <w:b/>
          <w:bCs/>
          <w:sz w:val="24"/>
          <w:szCs w:val="24"/>
          <w:rtl/>
        </w:rPr>
        <w:t>בקרה ב-11 מבין 23 מעברי הגבול (48%), ובשאר המעברים לא ערך כל בקרה.</w:t>
      </w:r>
    </w:p>
    <w:p w:rsidR="002D0C59" w:rsidRPr="00A21F5C" w:rsidP="00AE0BE6" w14:paraId="1207C805" w14:textId="77777777">
      <w:pPr>
        <w:pStyle w:val="a"/>
        <w:spacing w:line="269" w:lineRule="auto"/>
        <w:rPr>
          <w:rtl/>
        </w:rPr>
      </w:pPr>
    </w:p>
    <w:p w:rsidR="002D0C59" w:rsidP="00AE0BE6" w14:paraId="4F912602" w14:textId="77777777">
      <w:pPr>
        <w:spacing w:line="269" w:lineRule="auto"/>
        <w:ind w:left="312"/>
        <w:rPr>
          <w:b/>
          <w:bCs/>
          <w:sz w:val="24"/>
          <w:rtl/>
        </w:rPr>
      </w:pPr>
      <w:r w:rsidRPr="0045704B">
        <w:rPr>
          <w:rFonts w:hint="eastAsia"/>
          <w:sz w:val="24"/>
          <w:rtl/>
        </w:rPr>
        <w:t>ואלה</w:t>
      </w:r>
      <w:r w:rsidRPr="0045704B">
        <w:rPr>
          <w:sz w:val="24"/>
          <w:rtl/>
        </w:rPr>
        <w:t xml:space="preserve"> אחדים </w:t>
      </w:r>
      <w:r>
        <w:rPr>
          <w:rFonts w:hint="cs"/>
          <w:sz w:val="24"/>
          <w:rtl/>
        </w:rPr>
        <w:t>מ</w:t>
      </w:r>
      <w:r w:rsidRPr="0045704B">
        <w:rPr>
          <w:sz w:val="24"/>
          <w:rtl/>
        </w:rPr>
        <w:t xml:space="preserve">ממצאי </w:t>
      </w:r>
      <w:r w:rsidRPr="00640545">
        <w:rPr>
          <w:rFonts w:hint="eastAsia"/>
          <w:sz w:val="24"/>
          <w:rtl/>
        </w:rPr>
        <w:t>הבקרות</w:t>
      </w:r>
      <w:r w:rsidRPr="00DA7E4B">
        <w:rPr>
          <w:sz w:val="24"/>
          <w:rtl/>
        </w:rPr>
        <w:t xml:space="preserve"> </w:t>
      </w:r>
      <w:r w:rsidRPr="00DA7E4B">
        <w:rPr>
          <w:rFonts w:hint="eastAsia"/>
          <w:sz w:val="24"/>
          <w:rtl/>
        </w:rPr>
        <w:t>ש</w:t>
      </w:r>
      <w:r w:rsidRPr="0045704B">
        <w:rPr>
          <w:rFonts w:hint="eastAsia"/>
          <w:sz w:val="24"/>
          <w:rtl/>
        </w:rPr>
        <w:t>ערך</w:t>
      </w:r>
      <w:r w:rsidRPr="0045704B">
        <w:rPr>
          <w:sz w:val="24"/>
          <w:rtl/>
        </w:rPr>
        <w:t xml:space="preserve"> </w:t>
      </w:r>
      <w:r w:rsidRPr="00640545">
        <w:rPr>
          <w:rFonts w:hint="eastAsia"/>
          <w:sz w:val="24"/>
          <w:rtl/>
        </w:rPr>
        <w:t>מינהל</w:t>
      </w:r>
      <w:r w:rsidRPr="00DA7E4B">
        <w:rPr>
          <w:sz w:val="24"/>
          <w:rtl/>
        </w:rPr>
        <w:t xml:space="preserve"> מעברי הגבול: אישור מעבר של נוסעים ללא מיצוי הבדיקות הנדרשות עקב חשדות שעלו; אישור מעבר פעוטות ללא הבדיקה הנדרשת כדי לוודא שהוצאת</w:t>
      </w:r>
      <w:r>
        <w:rPr>
          <w:rFonts w:hint="cs"/>
          <w:sz w:val="24"/>
          <w:rtl/>
        </w:rPr>
        <w:t>ם</w:t>
      </w:r>
      <w:r w:rsidRPr="00DA7E4B">
        <w:rPr>
          <w:sz w:val="24"/>
          <w:rtl/>
        </w:rPr>
        <w:t xml:space="preserve"> מהארץ נעשית </w:t>
      </w:r>
      <w:r>
        <w:rPr>
          <w:rFonts w:hint="cs"/>
          <w:sz w:val="24"/>
          <w:rtl/>
        </w:rPr>
        <w:t>כחוק</w:t>
      </w:r>
      <w:r w:rsidRPr="00DA7E4B">
        <w:rPr>
          <w:sz w:val="24"/>
          <w:rtl/>
        </w:rPr>
        <w:t xml:space="preserve">; ערנות לא מספקת של </w:t>
      </w:r>
      <w:r>
        <w:rPr>
          <w:rFonts w:hint="cs"/>
          <w:sz w:val="24"/>
          <w:rtl/>
        </w:rPr>
        <w:t>ה</w:t>
      </w:r>
      <w:r w:rsidRPr="00DA7E4B">
        <w:rPr>
          <w:rFonts w:hint="eastAsia"/>
          <w:sz w:val="24"/>
          <w:rtl/>
        </w:rPr>
        <w:t>אחמ</w:t>
      </w:r>
      <w:r w:rsidRPr="00DA7E4B">
        <w:rPr>
          <w:sz w:val="24"/>
          <w:rtl/>
        </w:rPr>
        <w:t>"שים להתראות במערכת הממ</w:t>
      </w:r>
      <w:r w:rsidRPr="00DA7E4B">
        <w:rPr>
          <w:rFonts w:hint="eastAsia"/>
          <w:sz w:val="24"/>
          <w:rtl/>
        </w:rPr>
        <w:t>וחשבת</w:t>
      </w:r>
      <w:r w:rsidRPr="00DA7E4B">
        <w:rPr>
          <w:sz w:val="24"/>
          <w:rtl/>
        </w:rPr>
        <w:t>.</w:t>
      </w:r>
      <w:r>
        <w:rPr>
          <w:rFonts w:hint="cs"/>
          <w:b/>
          <w:bCs/>
          <w:sz w:val="24"/>
          <w:rtl/>
        </w:rPr>
        <w:t xml:space="preserve"> </w:t>
      </w:r>
    </w:p>
    <w:p w:rsidR="002D0C59" w:rsidRPr="00A21F5C" w:rsidP="00AE0BE6" w14:paraId="0E6BEB6D" w14:textId="77777777">
      <w:pPr>
        <w:pStyle w:val="a"/>
        <w:spacing w:line="269" w:lineRule="auto"/>
        <w:rPr>
          <w:rtl/>
        </w:rPr>
      </w:pPr>
    </w:p>
    <w:p w:rsidR="002D0C59" w:rsidP="00CA38F7" w14:paraId="5D338020" w14:textId="77777777">
      <w:pPr>
        <w:spacing w:line="269" w:lineRule="auto"/>
        <w:ind w:left="312"/>
        <w:rPr>
          <w:b/>
          <w:bCs/>
          <w:sz w:val="24"/>
          <w:rtl/>
        </w:rPr>
      </w:pPr>
      <w:r w:rsidRPr="004A0234">
        <w:rPr>
          <w:rFonts w:hint="cs"/>
          <w:b/>
          <w:bCs/>
          <w:sz w:val="24"/>
          <w:rtl/>
        </w:rPr>
        <w:t>מינהל ביקורת הגבולות לא ערך אפוא בקרה כוללת על מערך ב</w:t>
      </w:r>
      <w:r w:rsidRPr="004A0234">
        <w:rPr>
          <w:rFonts w:hint="cs"/>
          <w:b/>
          <w:bCs/>
          <w:sz w:val="24"/>
          <w:rtl/>
        </w:rPr>
        <w:t xml:space="preserve">יקורת הגבולות במשך יותר משלוש שנים, </w:t>
      </w:r>
      <w:r>
        <w:rPr>
          <w:rFonts w:hint="cs"/>
          <w:b/>
          <w:bCs/>
          <w:sz w:val="24"/>
          <w:rtl/>
        </w:rPr>
        <w:t>אף שהדבר נדרש ל</w:t>
      </w:r>
      <w:r w:rsidRPr="004A0234">
        <w:rPr>
          <w:rFonts w:hint="cs"/>
          <w:b/>
          <w:bCs/>
          <w:sz w:val="24"/>
          <w:rtl/>
        </w:rPr>
        <w:t xml:space="preserve">פי תורת ההפעלה שהוא </w:t>
      </w:r>
      <w:r>
        <w:rPr>
          <w:rFonts w:hint="cs"/>
          <w:b/>
          <w:bCs/>
          <w:sz w:val="24"/>
          <w:rtl/>
        </w:rPr>
        <w:t xml:space="preserve">עצמו </w:t>
      </w:r>
      <w:r w:rsidRPr="004A0234">
        <w:rPr>
          <w:rFonts w:hint="cs"/>
          <w:b/>
          <w:bCs/>
          <w:sz w:val="24"/>
          <w:rtl/>
        </w:rPr>
        <w:t xml:space="preserve">קבע. מפעם לפעם ביצע המינהל פעולות בקרה נקודתיות, אולם אלה נעשו רק בכמחצית מהמעברים, במהלך ארבע שנים וחצי, והן אינן עונות על דרישות </w:t>
      </w:r>
      <w:r>
        <w:rPr>
          <w:rFonts w:hint="cs"/>
          <w:b/>
          <w:bCs/>
          <w:sz w:val="24"/>
          <w:rtl/>
        </w:rPr>
        <w:t xml:space="preserve">הבקרה </w:t>
      </w:r>
      <w:r w:rsidRPr="004A0234">
        <w:rPr>
          <w:rFonts w:hint="cs"/>
          <w:b/>
          <w:bCs/>
          <w:sz w:val="24"/>
          <w:rtl/>
        </w:rPr>
        <w:t>ש</w:t>
      </w:r>
      <w:r>
        <w:rPr>
          <w:rFonts w:hint="cs"/>
          <w:b/>
          <w:bCs/>
          <w:sz w:val="24"/>
          <w:rtl/>
        </w:rPr>
        <w:t xml:space="preserve">קבע </w:t>
      </w:r>
      <w:r w:rsidRPr="004A0234">
        <w:rPr>
          <w:rFonts w:hint="cs"/>
          <w:b/>
          <w:bCs/>
          <w:sz w:val="24"/>
          <w:rtl/>
        </w:rPr>
        <w:t xml:space="preserve">המינהל. </w:t>
      </w:r>
    </w:p>
    <w:p w:rsidR="00792C56" w:rsidRPr="004A0234" w:rsidP="00792C56" w14:paraId="1BC72910" w14:textId="77777777">
      <w:pPr>
        <w:pStyle w:val="a"/>
        <w:rPr>
          <w:rtl/>
        </w:rPr>
      </w:pPr>
    </w:p>
    <w:p w:rsidR="002D0C59" w:rsidRPr="002D0C59" w:rsidP="00AE0BE6" w14:paraId="427F11B2" w14:textId="77777777">
      <w:pPr>
        <w:pStyle w:val="Heading3"/>
        <w:spacing w:before="0" w:line="269" w:lineRule="auto"/>
        <w:rPr>
          <w:rtl/>
        </w:rPr>
      </w:pPr>
      <w:r w:rsidRPr="002D0C59">
        <w:rPr>
          <w:rFonts w:hint="cs"/>
          <w:rtl/>
        </w:rPr>
        <w:t>בקרה פנימית במעברי הגבול</w:t>
      </w:r>
    </w:p>
    <w:p w:rsidR="002D0C59" w:rsidRPr="00A21F5C" w:rsidP="00AE0BE6" w14:paraId="1FD6AD10" w14:textId="77777777">
      <w:pPr>
        <w:pStyle w:val="a"/>
        <w:spacing w:line="269" w:lineRule="auto"/>
        <w:rPr>
          <w:rtl/>
        </w:rPr>
      </w:pPr>
    </w:p>
    <w:p w:rsidR="002D0C59" w:rsidP="00AE0BE6" w14:paraId="09B9F8A9" w14:textId="77777777">
      <w:pPr>
        <w:pStyle w:val="ListParagraph"/>
        <w:numPr>
          <w:ilvl w:val="0"/>
          <w:numId w:val="12"/>
        </w:numPr>
        <w:spacing w:after="0" w:line="269" w:lineRule="auto"/>
        <w:jc w:val="both"/>
        <w:rPr>
          <w:rFonts w:cs="David"/>
          <w:sz w:val="24"/>
          <w:szCs w:val="24"/>
        </w:rPr>
      </w:pPr>
      <w:r w:rsidRPr="004A0234">
        <w:rPr>
          <w:rFonts w:cs="David" w:hint="cs"/>
          <w:sz w:val="24"/>
          <w:szCs w:val="24"/>
          <w:rtl/>
        </w:rPr>
        <w:t xml:space="preserve">במינהל ביקורת הגבולות ארבעה אשכולות של מעברי גבול, כמפורט לעיל בתרשים </w:t>
      </w:r>
      <w:r w:rsidRPr="004A0234" w:rsidR="001D3154">
        <w:rPr>
          <w:rFonts w:cs="David" w:hint="cs"/>
          <w:sz w:val="24"/>
          <w:szCs w:val="24"/>
          <w:rtl/>
        </w:rPr>
        <w:t>1</w:t>
      </w:r>
      <w:r w:rsidR="001D3154">
        <w:rPr>
          <w:rFonts w:cs="David" w:hint="cs"/>
          <w:sz w:val="24"/>
          <w:szCs w:val="24"/>
          <w:rtl/>
        </w:rPr>
        <w:t>1</w:t>
      </w:r>
      <w:r w:rsidRPr="004A0234">
        <w:rPr>
          <w:rFonts w:cs="David" w:hint="cs"/>
          <w:sz w:val="24"/>
          <w:szCs w:val="24"/>
          <w:rtl/>
        </w:rPr>
        <w:t xml:space="preserve">. על פי תורת ההפעלה של המינהל, </w:t>
      </w:r>
      <w:r w:rsidRPr="004A0234">
        <w:rPr>
          <w:rFonts w:cs="David"/>
          <w:sz w:val="24"/>
          <w:szCs w:val="24"/>
          <w:rtl/>
        </w:rPr>
        <w:t>מנהל</w:t>
      </w:r>
      <w:r w:rsidRPr="004A0234">
        <w:rPr>
          <w:rFonts w:cs="David"/>
          <w:sz w:val="24"/>
          <w:szCs w:val="24"/>
        </w:rPr>
        <w:t xml:space="preserve"> </w:t>
      </w:r>
      <w:r w:rsidRPr="004A0234">
        <w:rPr>
          <w:rFonts w:cs="David"/>
          <w:sz w:val="24"/>
          <w:szCs w:val="24"/>
          <w:rtl/>
        </w:rPr>
        <w:t>אשכול</w:t>
      </w:r>
      <w:r w:rsidRPr="004A0234">
        <w:rPr>
          <w:rFonts w:cs="David"/>
          <w:sz w:val="24"/>
          <w:szCs w:val="24"/>
        </w:rPr>
        <w:t xml:space="preserve"> </w:t>
      </w:r>
      <w:r w:rsidRPr="004A0234">
        <w:rPr>
          <w:rFonts w:cs="David" w:hint="cs"/>
          <w:sz w:val="24"/>
          <w:szCs w:val="24"/>
          <w:rtl/>
        </w:rPr>
        <w:t xml:space="preserve">הוא בעל </w:t>
      </w:r>
      <w:r>
        <w:rPr>
          <w:rFonts w:cs="David" w:hint="cs"/>
          <w:sz w:val="24"/>
          <w:szCs w:val="24"/>
          <w:rtl/>
        </w:rPr>
        <w:t>ה</w:t>
      </w:r>
      <w:r w:rsidRPr="004A0234">
        <w:rPr>
          <w:rFonts w:cs="David"/>
          <w:sz w:val="24"/>
          <w:szCs w:val="24"/>
          <w:rtl/>
        </w:rPr>
        <w:t>סמכות</w:t>
      </w:r>
      <w:r w:rsidRPr="004A0234">
        <w:rPr>
          <w:rFonts w:cs="David" w:hint="cs"/>
          <w:sz w:val="24"/>
          <w:szCs w:val="24"/>
          <w:rtl/>
        </w:rPr>
        <w:t xml:space="preserve"> </w:t>
      </w:r>
      <w:r>
        <w:rPr>
          <w:rFonts w:cs="David" w:hint="cs"/>
          <w:sz w:val="24"/>
          <w:szCs w:val="24"/>
          <w:rtl/>
        </w:rPr>
        <w:t>ה</w:t>
      </w:r>
      <w:r w:rsidRPr="004A0234">
        <w:rPr>
          <w:rFonts w:cs="David"/>
          <w:sz w:val="24"/>
          <w:szCs w:val="24"/>
          <w:rtl/>
        </w:rPr>
        <w:t>ניהולית</w:t>
      </w:r>
      <w:r w:rsidRPr="004A0234">
        <w:rPr>
          <w:rFonts w:cs="David"/>
          <w:sz w:val="24"/>
          <w:szCs w:val="24"/>
        </w:rPr>
        <w:t xml:space="preserve"> </w:t>
      </w:r>
      <w:r w:rsidRPr="004A0234">
        <w:rPr>
          <w:rFonts w:cs="David"/>
          <w:sz w:val="24"/>
          <w:szCs w:val="24"/>
          <w:rtl/>
        </w:rPr>
        <w:t>ו</w:t>
      </w:r>
      <w:r>
        <w:rPr>
          <w:rFonts w:cs="David" w:hint="cs"/>
          <w:sz w:val="24"/>
          <w:szCs w:val="24"/>
          <w:rtl/>
        </w:rPr>
        <w:t>ה</w:t>
      </w:r>
      <w:r w:rsidRPr="004A0234">
        <w:rPr>
          <w:rFonts w:cs="David"/>
          <w:sz w:val="24"/>
          <w:szCs w:val="24"/>
          <w:rtl/>
        </w:rPr>
        <w:t>מקצועית</w:t>
      </w:r>
      <w:r w:rsidRPr="004A0234">
        <w:rPr>
          <w:rFonts w:cs="David"/>
          <w:sz w:val="24"/>
          <w:szCs w:val="24"/>
        </w:rPr>
        <w:t xml:space="preserve"> </w:t>
      </w:r>
      <w:r>
        <w:rPr>
          <w:rFonts w:cs="David" w:hint="cs"/>
          <w:sz w:val="24"/>
          <w:szCs w:val="24"/>
          <w:rtl/>
        </w:rPr>
        <w:t>ה</w:t>
      </w:r>
      <w:r w:rsidRPr="004A0234">
        <w:rPr>
          <w:rFonts w:cs="David"/>
          <w:sz w:val="24"/>
          <w:szCs w:val="24"/>
          <w:rtl/>
        </w:rPr>
        <w:t>עליונה</w:t>
      </w:r>
      <w:r w:rsidRPr="004A0234">
        <w:rPr>
          <w:rFonts w:cs="David"/>
          <w:sz w:val="24"/>
          <w:szCs w:val="24"/>
        </w:rPr>
        <w:t xml:space="preserve"> </w:t>
      </w:r>
      <w:r w:rsidRPr="004A0234">
        <w:rPr>
          <w:rFonts w:cs="David" w:hint="cs"/>
          <w:sz w:val="24"/>
          <w:szCs w:val="24"/>
          <w:rtl/>
        </w:rPr>
        <w:t>באשכול</w:t>
      </w:r>
      <w:r w:rsidRPr="004A0234">
        <w:rPr>
          <w:rFonts w:cs="David"/>
          <w:sz w:val="24"/>
          <w:szCs w:val="24"/>
        </w:rPr>
        <w:t xml:space="preserve"> </w:t>
      </w:r>
      <w:r w:rsidRPr="004A0234">
        <w:rPr>
          <w:rFonts w:cs="David" w:hint="cs"/>
          <w:sz w:val="24"/>
          <w:szCs w:val="24"/>
          <w:rtl/>
        </w:rPr>
        <w:t xml:space="preserve">והוא אחראי גם לבקר את המעברים. על פי תורת ההפעלה, על מנהל האשכול לאתר </w:t>
      </w:r>
      <w:r>
        <w:rPr>
          <w:rFonts w:cs="David" w:hint="cs"/>
          <w:sz w:val="24"/>
          <w:szCs w:val="24"/>
          <w:rtl/>
        </w:rPr>
        <w:t>ליקויים</w:t>
      </w:r>
      <w:r w:rsidRPr="004A0234">
        <w:rPr>
          <w:rFonts w:cs="David" w:hint="cs"/>
          <w:sz w:val="24"/>
          <w:szCs w:val="24"/>
          <w:rtl/>
        </w:rPr>
        <w:t xml:space="preserve"> וכשלים בעבודת ב</w:t>
      </w:r>
      <w:r w:rsidRPr="004A0234">
        <w:rPr>
          <w:rFonts w:cs="David" w:hint="cs"/>
          <w:sz w:val="24"/>
          <w:szCs w:val="24"/>
          <w:rtl/>
        </w:rPr>
        <w:t xml:space="preserve">יקורת הגבולות באשכול. אחד הנושאים הטעונים שיפור בביקורת הגבולות, </w:t>
      </w:r>
      <w:r>
        <w:rPr>
          <w:rFonts w:cs="David" w:hint="cs"/>
          <w:sz w:val="24"/>
          <w:szCs w:val="24"/>
          <w:rtl/>
        </w:rPr>
        <w:t>לדברי</w:t>
      </w:r>
      <w:r w:rsidRPr="004A0234">
        <w:rPr>
          <w:rFonts w:cs="David" w:hint="cs"/>
          <w:sz w:val="24"/>
          <w:szCs w:val="24"/>
          <w:rtl/>
        </w:rPr>
        <w:t xml:space="preserve"> מנכ"ל רשות האוכלוסין, הוא מידת היכולת של עובדי המינהל לאתר נוסעים המבקשים לצאת </w:t>
      </w:r>
      <w:r>
        <w:rPr>
          <w:rFonts w:cs="David" w:hint="cs"/>
          <w:sz w:val="24"/>
          <w:szCs w:val="24"/>
          <w:rtl/>
        </w:rPr>
        <w:t xml:space="preserve">מישראל </w:t>
      </w:r>
      <w:r w:rsidRPr="004A0234">
        <w:rPr>
          <w:rFonts w:cs="David" w:hint="cs"/>
          <w:sz w:val="24"/>
          <w:szCs w:val="24"/>
          <w:rtl/>
        </w:rPr>
        <w:t>או לה</w:t>
      </w:r>
      <w:r>
        <w:rPr>
          <w:rFonts w:cs="David" w:hint="cs"/>
          <w:sz w:val="24"/>
          <w:szCs w:val="24"/>
          <w:rtl/>
        </w:rPr>
        <w:t>י</w:t>
      </w:r>
      <w:r w:rsidRPr="004A0234">
        <w:rPr>
          <w:rFonts w:cs="David" w:hint="cs"/>
          <w:sz w:val="24"/>
          <w:szCs w:val="24"/>
          <w:rtl/>
        </w:rPr>
        <w:t xml:space="preserve">כנס </w:t>
      </w:r>
      <w:r>
        <w:rPr>
          <w:rFonts w:cs="David" w:hint="cs"/>
          <w:sz w:val="24"/>
          <w:szCs w:val="24"/>
          <w:rtl/>
        </w:rPr>
        <w:t>אליה</w:t>
      </w:r>
      <w:r w:rsidRPr="004A0234">
        <w:rPr>
          <w:rFonts w:cs="David" w:hint="cs"/>
          <w:sz w:val="24"/>
          <w:szCs w:val="24"/>
          <w:rtl/>
        </w:rPr>
        <w:t xml:space="preserve"> במרמה.</w:t>
      </w:r>
      <w:r w:rsidR="00EC0F52">
        <w:rPr>
          <w:rFonts w:cs="David" w:hint="cs"/>
          <w:sz w:val="24"/>
          <w:szCs w:val="24"/>
          <w:rtl/>
        </w:rPr>
        <w:t xml:space="preserve"> </w:t>
      </w:r>
    </w:p>
    <w:p w:rsidR="00850CF1" w:rsidP="00AE0BE6" w14:paraId="3E852790" w14:textId="77777777">
      <w:pPr>
        <w:spacing w:line="269" w:lineRule="auto"/>
        <w:ind w:left="312"/>
        <w:rPr>
          <w:sz w:val="24"/>
          <w:rtl/>
        </w:rPr>
      </w:pPr>
    </w:p>
    <w:p w:rsidR="002D0C59" w:rsidP="00AE0BE6" w14:paraId="154B93AF" w14:textId="77777777">
      <w:pPr>
        <w:spacing w:line="269" w:lineRule="auto"/>
        <w:ind w:left="312"/>
        <w:rPr>
          <w:sz w:val="24"/>
          <w:rtl/>
        </w:rPr>
      </w:pPr>
      <w:r w:rsidRPr="004A0234">
        <w:rPr>
          <w:rFonts w:hint="cs"/>
          <w:sz w:val="24"/>
          <w:rtl/>
        </w:rPr>
        <w:t>המערכת הממוחשבת של מינהל</w:t>
      </w:r>
      <w:r w:rsidRPr="004A0234">
        <w:rPr>
          <w:rFonts w:hint="cs"/>
          <w:sz w:val="24"/>
          <w:rtl/>
        </w:rPr>
        <w:t xml:space="preserve"> ביקורת הגבולות מספקת דוחות ניהוליים ונותנת מענה לשאלות </w:t>
      </w:r>
      <w:r>
        <w:rPr>
          <w:rFonts w:hint="cs"/>
          <w:sz w:val="24"/>
          <w:rtl/>
        </w:rPr>
        <w:t>ממוקדות</w:t>
      </w:r>
      <w:r w:rsidRPr="004A0234">
        <w:rPr>
          <w:rFonts w:hint="cs"/>
          <w:sz w:val="24"/>
          <w:rtl/>
        </w:rPr>
        <w:t xml:space="preserve">, למשל על מועד המעבר של </w:t>
      </w:r>
      <w:r>
        <w:rPr>
          <w:rFonts w:hint="cs"/>
          <w:sz w:val="24"/>
          <w:rtl/>
        </w:rPr>
        <w:t>נוסע</w:t>
      </w:r>
      <w:r w:rsidRPr="004A0234">
        <w:rPr>
          <w:rFonts w:hint="cs"/>
          <w:sz w:val="24"/>
          <w:rtl/>
        </w:rPr>
        <w:t xml:space="preserve"> מסוים</w:t>
      </w:r>
      <w:r>
        <w:rPr>
          <w:rFonts w:hint="cs"/>
          <w:sz w:val="24"/>
          <w:rtl/>
        </w:rPr>
        <w:t>,</w:t>
      </w:r>
      <w:r w:rsidRPr="004A0234">
        <w:rPr>
          <w:rFonts w:hint="cs"/>
          <w:sz w:val="24"/>
          <w:rtl/>
        </w:rPr>
        <w:t xml:space="preserve"> על מספר </w:t>
      </w:r>
      <w:r>
        <w:rPr>
          <w:rFonts w:hint="cs"/>
          <w:sz w:val="24"/>
          <w:rtl/>
        </w:rPr>
        <w:t>הנוסעים</w:t>
      </w:r>
      <w:r w:rsidRPr="004A0234">
        <w:rPr>
          <w:rFonts w:hint="cs"/>
          <w:sz w:val="24"/>
          <w:rtl/>
        </w:rPr>
        <w:t xml:space="preserve"> בתקופת זמן מסוימת בפילוח לפי מעמד </w:t>
      </w:r>
      <w:r>
        <w:rPr>
          <w:rFonts w:hint="cs"/>
          <w:sz w:val="24"/>
          <w:rtl/>
        </w:rPr>
        <w:t xml:space="preserve">הנוסע </w:t>
      </w:r>
      <w:r w:rsidRPr="004A0234">
        <w:rPr>
          <w:rFonts w:hint="cs"/>
          <w:sz w:val="24"/>
          <w:rtl/>
        </w:rPr>
        <w:t xml:space="preserve">(תושב ישראל או נתין זר) ועל מספר המסורבים בפילוח לפי תקופה. הבקרה הפנימית במעברי הגבול נעשית </w:t>
      </w:r>
      <w:r w:rsidRPr="004A0234">
        <w:rPr>
          <w:sz w:val="24"/>
          <w:rtl/>
        </w:rPr>
        <w:t xml:space="preserve">בעיקרה </w:t>
      </w:r>
      <w:r w:rsidRPr="004A0234">
        <w:rPr>
          <w:rFonts w:hint="cs"/>
          <w:sz w:val="24"/>
          <w:rtl/>
        </w:rPr>
        <w:t>ב</w:t>
      </w:r>
      <w:r w:rsidRPr="004A0234">
        <w:rPr>
          <w:rFonts w:hint="cs"/>
          <w:sz w:val="24"/>
          <w:rtl/>
        </w:rPr>
        <w:t>אמצעות</w:t>
      </w:r>
      <w:r w:rsidRPr="004A0234">
        <w:rPr>
          <w:sz w:val="24"/>
          <w:rtl/>
        </w:rPr>
        <w:t xml:space="preserve"> </w:t>
      </w:r>
      <w:r w:rsidRPr="004A0234">
        <w:rPr>
          <w:rFonts w:hint="cs"/>
          <w:sz w:val="24"/>
          <w:rtl/>
        </w:rPr>
        <w:t>המערכת הממוחשבת ו</w:t>
      </w:r>
      <w:r>
        <w:rPr>
          <w:rFonts w:hint="cs"/>
          <w:sz w:val="24"/>
          <w:rtl/>
        </w:rPr>
        <w:t xml:space="preserve">באמצעות </w:t>
      </w:r>
      <w:r w:rsidRPr="004A0234">
        <w:rPr>
          <w:rFonts w:hint="cs"/>
          <w:sz w:val="24"/>
          <w:rtl/>
        </w:rPr>
        <w:t>ה</w:t>
      </w:r>
      <w:r w:rsidRPr="004A0234">
        <w:rPr>
          <w:sz w:val="24"/>
          <w:rtl/>
        </w:rPr>
        <w:t xml:space="preserve">דוחות </w:t>
      </w:r>
      <w:r w:rsidRPr="004A0234">
        <w:rPr>
          <w:rFonts w:hint="cs"/>
          <w:sz w:val="24"/>
          <w:rtl/>
        </w:rPr>
        <w:t xml:space="preserve">שאפשר להפיק ממנה, </w:t>
      </w:r>
      <w:r>
        <w:rPr>
          <w:rFonts w:hint="cs"/>
          <w:sz w:val="24"/>
          <w:rtl/>
        </w:rPr>
        <w:t>ו</w:t>
      </w:r>
      <w:r w:rsidRPr="004A0234">
        <w:rPr>
          <w:rFonts w:hint="cs"/>
          <w:sz w:val="24"/>
          <w:rtl/>
        </w:rPr>
        <w:t xml:space="preserve">על פיהם אפשר לנתח את הפעילות, לאתר מקרים חריגים ולברר כיצד טופלו. </w:t>
      </w:r>
    </w:p>
    <w:p w:rsidR="002D0C59" w:rsidRPr="00A21F5C" w:rsidP="00AE0BE6" w14:paraId="0F6D6849" w14:textId="77777777">
      <w:pPr>
        <w:pStyle w:val="a"/>
        <w:spacing w:line="269" w:lineRule="auto"/>
        <w:rPr>
          <w:rtl/>
        </w:rPr>
      </w:pPr>
    </w:p>
    <w:p w:rsidR="002D0C59" w:rsidP="00AE0BE6" w14:paraId="73466579" w14:textId="77777777">
      <w:pPr>
        <w:spacing w:line="269" w:lineRule="auto"/>
        <w:ind w:left="312"/>
        <w:rPr>
          <w:b/>
          <w:bCs/>
          <w:sz w:val="24"/>
          <w:rtl/>
        </w:rPr>
      </w:pPr>
      <w:r w:rsidRPr="0013737D">
        <w:rPr>
          <w:rFonts w:hint="eastAsia"/>
          <w:b/>
          <w:bCs/>
          <w:sz w:val="24"/>
          <w:rtl/>
        </w:rPr>
        <w:t>נמצא</w:t>
      </w:r>
      <w:r w:rsidRPr="0013737D">
        <w:rPr>
          <w:b/>
          <w:bCs/>
          <w:sz w:val="24"/>
          <w:rtl/>
        </w:rPr>
        <w:t xml:space="preserve"> </w:t>
      </w:r>
      <w:r w:rsidRPr="0013737D">
        <w:rPr>
          <w:rFonts w:hint="eastAsia"/>
          <w:b/>
          <w:bCs/>
          <w:sz w:val="24"/>
          <w:rtl/>
        </w:rPr>
        <w:t>כי</w:t>
      </w:r>
      <w:r>
        <w:rPr>
          <w:rFonts w:hint="cs"/>
          <w:b/>
          <w:bCs/>
          <w:sz w:val="24"/>
          <w:rtl/>
        </w:rPr>
        <w:t xml:space="preserve"> </w:t>
      </w:r>
      <w:r w:rsidRPr="004A0234">
        <w:rPr>
          <w:b/>
          <w:bCs/>
          <w:sz w:val="24"/>
          <w:rtl/>
        </w:rPr>
        <w:t xml:space="preserve">המערכת הממוחשבת </w:t>
      </w:r>
      <w:r w:rsidRPr="004A0234">
        <w:rPr>
          <w:rFonts w:hint="cs"/>
          <w:b/>
          <w:bCs/>
          <w:sz w:val="24"/>
          <w:rtl/>
        </w:rPr>
        <w:t xml:space="preserve">של מינהל </w:t>
      </w:r>
      <w:r>
        <w:rPr>
          <w:rFonts w:hint="cs"/>
          <w:b/>
          <w:bCs/>
          <w:sz w:val="24"/>
          <w:rtl/>
        </w:rPr>
        <w:t xml:space="preserve">ביקורת הגבולות </w:t>
      </w:r>
      <w:r w:rsidRPr="004A0234">
        <w:rPr>
          <w:b/>
          <w:bCs/>
          <w:sz w:val="24"/>
          <w:rtl/>
        </w:rPr>
        <w:t xml:space="preserve">חסרה </w:t>
      </w:r>
      <w:r w:rsidRPr="004A0234">
        <w:rPr>
          <w:rFonts w:hint="eastAsia"/>
          <w:b/>
          <w:bCs/>
          <w:sz w:val="24"/>
          <w:rtl/>
        </w:rPr>
        <w:t>דוחות</w:t>
      </w:r>
      <w:r w:rsidRPr="004A0234">
        <w:rPr>
          <w:b/>
          <w:bCs/>
          <w:sz w:val="24"/>
          <w:rtl/>
        </w:rPr>
        <w:t xml:space="preserve"> </w:t>
      </w:r>
      <w:r w:rsidRPr="004A0234">
        <w:rPr>
          <w:rFonts w:hint="eastAsia"/>
          <w:b/>
          <w:bCs/>
          <w:sz w:val="24"/>
          <w:rtl/>
        </w:rPr>
        <w:t>חיוניים</w:t>
      </w:r>
      <w:r w:rsidRPr="004A0234">
        <w:rPr>
          <w:b/>
          <w:bCs/>
          <w:sz w:val="24"/>
          <w:rtl/>
        </w:rPr>
        <w:t xml:space="preserve"> לצורך </w:t>
      </w:r>
      <w:r w:rsidRPr="004A0234">
        <w:rPr>
          <w:rFonts w:hint="eastAsia"/>
          <w:b/>
          <w:bCs/>
          <w:sz w:val="24"/>
          <w:rtl/>
        </w:rPr>
        <w:t>בקרה</w:t>
      </w:r>
      <w:r w:rsidRPr="004A0234">
        <w:rPr>
          <w:b/>
          <w:bCs/>
          <w:sz w:val="24"/>
          <w:rtl/>
        </w:rPr>
        <w:t xml:space="preserve"> </w:t>
      </w:r>
      <w:r w:rsidRPr="004A0234">
        <w:rPr>
          <w:rFonts w:hint="cs"/>
          <w:b/>
          <w:bCs/>
          <w:sz w:val="24"/>
          <w:rtl/>
        </w:rPr>
        <w:t>של המעברים</w:t>
      </w:r>
      <w:r w:rsidRPr="004A0234">
        <w:rPr>
          <w:b/>
          <w:bCs/>
          <w:sz w:val="24"/>
          <w:rtl/>
        </w:rPr>
        <w:t xml:space="preserve">, </w:t>
      </w:r>
      <w:r w:rsidRPr="004A0234">
        <w:rPr>
          <w:rFonts w:hint="eastAsia"/>
          <w:b/>
          <w:bCs/>
          <w:sz w:val="24"/>
          <w:rtl/>
        </w:rPr>
        <w:t>ובהם</w:t>
      </w:r>
      <w:r w:rsidRPr="004A0234">
        <w:rPr>
          <w:rFonts w:hint="cs"/>
          <w:b/>
          <w:bCs/>
          <w:sz w:val="24"/>
          <w:rtl/>
        </w:rPr>
        <w:t xml:space="preserve"> </w:t>
      </w:r>
      <w:r w:rsidRPr="004A0234">
        <w:rPr>
          <w:b/>
          <w:bCs/>
          <w:sz w:val="24"/>
          <w:rtl/>
        </w:rPr>
        <w:t xml:space="preserve">דוח </w:t>
      </w:r>
      <w:r w:rsidRPr="004A0234">
        <w:rPr>
          <w:rFonts w:hint="eastAsia"/>
          <w:b/>
          <w:bCs/>
          <w:sz w:val="24"/>
          <w:rtl/>
        </w:rPr>
        <w:t>על</w:t>
      </w:r>
      <w:r w:rsidRPr="004A0234">
        <w:rPr>
          <w:b/>
          <w:bCs/>
          <w:sz w:val="24"/>
          <w:rtl/>
        </w:rPr>
        <w:t xml:space="preserve"> </w:t>
      </w:r>
      <w:r w:rsidRPr="004A0234">
        <w:rPr>
          <w:rFonts w:hint="eastAsia"/>
          <w:b/>
          <w:bCs/>
          <w:sz w:val="24"/>
          <w:rtl/>
        </w:rPr>
        <w:t>החלטות</w:t>
      </w:r>
      <w:r w:rsidRPr="004A0234">
        <w:rPr>
          <w:b/>
          <w:bCs/>
          <w:sz w:val="24"/>
          <w:rtl/>
        </w:rPr>
        <w:t xml:space="preserve"> </w:t>
      </w:r>
      <w:r w:rsidRPr="004A0234">
        <w:rPr>
          <w:rFonts w:hint="eastAsia"/>
          <w:b/>
          <w:bCs/>
          <w:sz w:val="24"/>
          <w:rtl/>
        </w:rPr>
        <w:t>שקיבלו</w:t>
      </w:r>
      <w:r w:rsidRPr="004A0234">
        <w:rPr>
          <w:b/>
          <w:bCs/>
          <w:sz w:val="24"/>
          <w:rtl/>
        </w:rPr>
        <w:t xml:space="preserve"> בקרי גבול </w:t>
      </w:r>
      <w:r w:rsidR="001D3154">
        <w:rPr>
          <w:rFonts w:hint="cs"/>
          <w:b/>
          <w:bCs/>
          <w:sz w:val="24"/>
          <w:rtl/>
        </w:rPr>
        <w:t>ואחמש"ים</w:t>
      </w:r>
      <w:r w:rsidRPr="004A0234">
        <w:rPr>
          <w:rFonts w:hint="cs"/>
          <w:b/>
          <w:bCs/>
          <w:sz w:val="24"/>
          <w:rtl/>
        </w:rPr>
        <w:t xml:space="preserve"> שלא על פי הנהלים ודוח על זמני ה</w:t>
      </w:r>
      <w:r>
        <w:rPr>
          <w:rFonts w:hint="cs"/>
          <w:b/>
          <w:bCs/>
          <w:sz w:val="24"/>
          <w:rtl/>
        </w:rPr>
        <w:t>המתנה של הנוסעים</w:t>
      </w:r>
      <w:r w:rsidRPr="004A0234">
        <w:rPr>
          <w:rFonts w:hint="cs"/>
          <w:b/>
          <w:bCs/>
          <w:sz w:val="24"/>
          <w:rtl/>
        </w:rPr>
        <w:t xml:space="preserve"> </w:t>
      </w:r>
      <w:r>
        <w:rPr>
          <w:rFonts w:hint="cs"/>
          <w:b/>
          <w:bCs/>
          <w:sz w:val="24"/>
          <w:rtl/>
        </w:rPr>
        <w:t>מרגע כניסתם לאזור ביקורת הגבולות ועד למעבר בביקורת הגבולות</w:t>
      </w:r>
      <w:r w:rsidRPr="004A0234">
        <w:rPr>
          <w:b/>
          <w:bCs/>
          <w:sz w:val="24"/>
          <w:rtl/>
        </w:rPr>
        <w:t>.</w:t>
      </w:r>
      <w:r w:rsidRPr="004A0234">
        <w:rPr>
          <w:rFonts w:hint="cs"/>
          <w:b/>
          <w:bCs/>
          <w:sz w:val="24"/>
          <w:rtl/>
        </w:rPr>
        <w:t xml:space="preserve"> </w:t>
      </w:r>
    </w:p>
    <w:p w:rsidR="002D0C59" w:rsidRPr="00DB47FA" w:rsidP="00AE0BE6" w14:paraId="6EAFD28F" w14:textId="77777777">
      <w:pPr>
        <w:pStyle w:val="a"/>
        <w:spacing w:line="269" w:lineRule="auto"/>
        <w:rPr>
          <w:rtl/>
        </w:rPr>
      </w:pPr>
    </w:p>
    <w:p w:rsidR="002D0C59" w:rsidRPr="00090175" w:rsidP="00AE0BE6" w14:paraId="6A2D9EAC" w14:textId="77777777">
      <w:pPr>
        <w:spacing w:line="269" w:lineRule="auto"/>
        <w:ind w:left="312"/>
        <w:rPr>
          <w:rtl/>
        </w:rPr>
      </w:pPr>
      <w:r w:rsidRPr="002D0C59">
        <w:rPr>
          <w:rFonts w:hint="eastAsia"/>
          <w:rtl/>
        </w:rPr>
        <w:t>הרשות</w:t>
      </w:r>
      <w:r w:rsidRPr="002D0C59">
        <w:rPr>
          <w:rtl/>
        </w:rPr>
        <w:t xml:space="preserve"> </w:t>
      </w:r>
      <w:r w:rsidRPr="002D0C59">
        <w:rPr>
          <w:rFonts w:hint="eastAsia"/>
          <w:rtl/>
        </w:rPr>
        <w:t>השיבה</w:t>
      </w:r>
      <w:r w:rsidRPr="002D0C59">
        <w:rPr>
          <w:rtl/>
        </w:rPr>
        <w:t xml:space="preserve"> </w:t>
      </w:r>
      <w:r w:rsidRPr="002D0C59">
        <w:rPr>
          <w:rFonts w:hint="eastAsia"/>
          <w:rtl/>
        </w:rPr>
        <w:t>כי</w:t>
      </w:r>
      <w:r w:rsidRPr="002D0C59">
        <w:rPr>
          <w:rtl/>
        </w:rPr>
        <w:t xml:space="preserve"> </w:t>
      </w:r>
      <w:r w:rsidRPr="002D0C59">
        <w:rPr>
          <w:rFonts w:hint="eastAsia"/>
          <w:rtl/>
        </w:rPr>
        <w:t>נושא</w:t>
      </w:r>
      <w:r w:rsidRPr="002D0C59">
        <w:rPr>
          <w:rtl/>
        </w:rPr>
        <w:t xml:space="preserve"> </w:t>
      </w:r>
      <w:r w:rsidRPr="002D0C59">
        <w:rPr>
          <w:rFonts w:hint="eastAsia"/>
          <w:rtl/>
        </w:rPr>
        <w:t>הבקרה</w:t>
      </w:r>
      <w:r w:rsidRPr="002D0C59">
        <w:rPr>
          <w:rtl/>
        </w:rPr>
        <w:t xml:space="preserve"> </w:t>
      </w:r>
      <w:r w:rsidRPr="002D0C59">
        <w:rPr>
          <w:rFonts w:hint="eastAsia"/>
          <w:rtl/>
        </w:rPr>
        <w:t>וכלי</w:t>
      </w:r>
      <w:r w:rsidRPr="002D0C59">
        <w:rPr>
          <w:rtl/>
        </w:rPr>
        <w:t xml:space="preserve"> </w:t>
      </w:r>
      <w:r w:rsidRPr="002D0C59">
        <w:rPr>
          <w:rFonts w:hint="eastAsia"/>
          <w:rtl/>
        </w:rPr>
        <w:t>הבקרה</w:t>
      </w:r>
      <w:r w:rsidRPr="002D0C59">
        <w:rPr>
          <w:rtl/>
        </w:rPr>
        <w:t xml:space="preserve"> </w:t>
      </w:r>
      <w:r w:rsidRPr="002D0C59">
        <w:rPr>
          <w:rFonts w:hint="eastAsia"/>
          <w:rtl/>
        </w:rPr>
        <w:t>נכלל</w:t>
      </w:r>
      <w:r w:rsidRPr="002D0C59">
        <w:rPr>
          <w:rtl/>
        </w:rPr>
        <w:t xml:space="preserve"> </w:t>
      </w:r>
      <w:r w:rsidRPr="002D0C59">
        <w:rPr>
          <w:rFonts w:hint="eastAsia"/>
          <w:rtl/>
        </w:rPr>
        <w:t>בתוכנית</w:t>
      </w:r>
      <w:r w:rsidRPr="002D0C59">
        <w:rPr>
          <w:rtl/>
        </w:rPr>
        <w:t xml:space="preserve"> </w:t>
      </w:r>
      <w:r w:rsidRPr="002D0C59">
        <w:rPr>
          <w:rFonts w:hint="eastAsia"/>
          <w:rtl/>
        </w:rPr>
        <w:t>העבודה</w:t>
      </w:r>
      <w:r w:rsidRPr="002D0C59">
        <w:rPr>
          <w:rtl/>
        </w:rPr>
        <w:t xml:space="preserve"> </w:t>
      </w:r>
      <w:r w:rsidRPr="002D0C59">
        <w:rPr>
          <w:rFonts w:hint="eastAsia"/>
          <w:rtl/>
        </w:rPr>
        <w:t>של</w:t>
      </w:r>
      <w:r w:rsidRPr="002D0C59">
        <w:rPr>
          <w:rtl/>
        </w:rPr>
        <w:t xml:space="preserve"> </w:t>
      </w:r>
      <w:r w:rsidRPr="002D0C59">
        <w:rPr>
          <w:rFonts w:hint="eastAsia"/>
          <w:rtl/>
        </w:rPr>
        <w:t>מינהל</w:t>
      </w:r>
      <w:r w:rsidRPr="002D0C59">
        <w:rPr>
          <w:rtl/>
        </w:rPr>
        <w:t xml:space="preserve"> </w:t>
      </w:r>
      <w:r w:rsidRPr="002D0C59">
        <w:rPr>
          <w:rFonts w:hint="eastAsia"/>
          <w:rtl/>
        </w:rPr>
        <w:t>ביקורת</w:t>
      </w:r>
      <w:r w:rsidRPr="002D0C59">
        <w:rPr>
          <w:rtl/>
        </w:rPr>
        <w:t xml:space="preserve"> </w:t>
      </w:r>
      <w:r w:rsidRPr="002D0C59">
        <w:rPr>
          <w:rFonts w:hint="eastAsia"/>
          <w:rtl/>
        </w:rPr>
        <w:t>הגבולות</w:t>
      </w:r>
      <w:r w:rsidRPr="002D0C59">
        <w:rPr>
          <w:rtl/>
        </w:rPr>
        <w:t xml:space="preserve"> </w:t>
      </w:r>
      <w:r w:rsidRPr="002D0C59">
        <w:rPr>
          <w:rFonts w:hint="eastAsia"/>
          <w:rtl/>
        </w:rPr>
        <w:t>לשנת</w:t>
      </w:r>
      <w:r w:rsidRPr="002D0C59">
        <w:rPr>
          <w:rtl/>
        </w:rPr>
        <w:t xml:space="preserve"> 2020, וביצועו מו</w:t>
      </w:r>
      <w:r w:rsidRPr="002D0C59">
        <w:rPr>
          <w:rFonts w:hint="eastAsia"/>
          <w:rtl/>
        </w:rPr>
        <w:t>ת</w:t>
      </w:r>
      <w:r w:rsidRPr="002D0C59">
        <w:rPr>
          <w:rtl/>
        </w:rPr>
        <w:t>נה בקיומו של תקציב ו</w:t>
      </w:r>
      <w:r w:rsidRPr="002D0C59">
        <w:rPr>
          <w:rFonts w:hint="eastAsia"/>
          <w:rtl/>
        </w:rPr>
        <w:t>ב</w:t>
      </w:r>
      <w:r w:rsidRPr="002D0C59">
        <w:rPr>
          <w:rtl/>
        </w:rPr>
        <w:t>גיוס כוח אדם.</w:t>
      </w:r>
      <w:r w:rsidRPr="002D0C59">
        <w:rPr>
          <w:rtl/>
        </w:rPr>
        <w:t xml:space="preserve"> </w:t>
      </w:r>
      <w:r w:rsidRPr="002D0C59">
        <w:rPr>
          <w:rFonts w:hint="eastAsia"/>
          <w:rtl/>
        </w:rPr>
        <w:t>מהתשובה</w:t>
      </w:r>
      <w:r w:rsidRPr="002D0C59">
        <w:rPr>
          <w:rtl/>
        </w:rPr>
        <w:t xml:space="preserve"> </w:t>
      </w:r>
      <w:r w:rsidRPr="002D0C59">
        <w:rPr>
          <w:rFonts w:hint="eastAsia"/>
          <w:rtl/>
        </w:rPr>
        <w:t>עולה</w:t>
      </w:r>
      <w:r w:rsidRPr="002D0C59">
        <w:rPr>
          <w:rtl/>
        </w:rPr>
        <w:t xml:space="preserve"> </w:t>
      </w:r>
      <w:r w:rsidRPr="002D0C59">
        <w:rPr>
          <w:rFonts w:hint="eastAsia"/>
          <w:rtl/>
        </w:rPr>
        <w:t>כי</w:t>
      </w:r>
      <w:r w:rsidRPr="002D0C59">
        <w:rPr>
          <w:rtl/>
        </w:rPr>
        <w:t xml:space="preserve"> </w:t>
      </w:r>
      <w:r w:rsidRPr="002D0C59">
        <w:rPr>
          <w:rFonts w:hint="eastAsia"/>
          <w:rtl/>
        </w:rPr>
        <w:t>בכוונת</w:t>
      </w:r>
      <w:r w:rsidRPr="002D0C59">
        <w:rPr>
          <w:rtl/>
        </w:rPr>
        <w:t xml:space="preserve"> </w:t>
      </w:r>
      <w:r w:rsidRPr="002D0C59">
        <w:rPr>
          <w:rFonts w:hint="eastAsia"/>
          <w:rtl/>
        </w:rPr>
        <w:t>הרשות</w:t>
      </w:r>
      <w:r w:rsidRPr="002D0C59">
        <w:rPr>
          <w:rtl/>
        </w:rPr>
        <w:t xml:space="preserve"> </w:t>
      </w:r>
      <w:r w:rsidRPr="002D0C59">
        <w:rPr>
          <w:rFonts w:hint="eastAsia"/>
          <w:rtl/>
        </w:rPr>
        <w:t>לבחון</w:t>
      </w:r>
      <w:r w:rsidRPr="002D0C59">
        <w:rPr>
          <w:rtl/>
        </w:rPr>
        <w:t xml:space="preserve"> </w:t>
      </w:r>
      <w:r w:rsidRPr="002D0C59">
        <w:rPr>
          <w:rFonts w:hint="eastAsia"/>
          <w:rtl/>
        </w:rPr>
        <w:t>אם</w:t>
      </w:r>
      <w:r w:rsidRPr="002D0C59">
        <w:rPr>
          <w:rtl/>
        </w:rPr>
        <w:t xml:space="preserve"> </w:t>
      </w:r>
      <w:r w:rsidRPr="002D0C59">
        <w:rPr>
          <w:rFonts w:hint="eastAsia"/>
          <w:rtl/>
        </w:rPr>
        <w:t>יש</w:t>
      </w:r>
      <w:r w:rsidRPr="002D0C59">
        <w:rPr>
          <w:rtl/>
        </w:rPr>
        <w:t xml:space="preserve"> </w:t>
      </w:r>
      <w:r w:rsidRPr="002D0C59">
        <w:rPr>
          <w:rFonts w:hint="eastAsia"/>
          <w:rtl/>
        </w:rPr>
        <w:t>מקום</w:t>
      </w:r>
      <w:r w:rsidRPr="002D0C59">
        <w:rPr>
          <w:rtl/>
        </w:rPr>
        <w:t xml:space="preserve"> </w:t>
      </w:r>
      <w:r w:rsidRPr="002D0C59">
        <w:rPr>
          <w:rFonts w:hint="eastAsia"/>
          <w:rtl/>
        </w:rPr>
        <w:t>לערוך</w:t>
      </w:r>
      <w:r w:rsidRPr="002D0C59">
        <w:rPr>
          <w:rtl/>
        </w:rPr>
        <w:t xml:space="preserve"> </w:t>
      </w:r>
      <w:r w:rsidRPr="002D0C59">
        <w:rPr>
          <w:rFonts w:hint="eastAsia"/>
          <w:rtl/>
        </w:rPr>
        <w:t>שינויים</w:t>
      </w:r>
      <w:r w:rsidRPr="002D0C59">
        <w:rPr>
          <w:rtl/>
        </w:rPr>
        <w:t xml:space="preserve"> </w:t>
      </w:r>
      <w:r w:rsidRPr="002D0C59">
        <w:rPr>
          <w:rFonts w:hint="eastAsia"/>
          <w:rtl/>
        </w:rPr>
        <w:t>בתורת</w:t>
      </w:r>
      <w:r w:rsidRPr="002D0C59">
        <w:rPr>
          <w:rtl/>
        </w:rPr>
        <w:t xml:space="preserve"> </w:t>
      </w:r>
      <w:r w:rsidRPr="002D0C59">
        <w:rPr>
          <w:rFonts w:hint="eastAsia"/>
          <w:rtl/>
        </w:rPr>
        <w:t>ההפעלה</w:t>
      </w:r>
      <w:r w:rsidRPr="002D0C59">
        <w:rPr>
          <w:rtl/>
        </w:rPr>
        <w:t xml:space="preserve"> </w:t>
      </w:r>
      <w:r w:rsidRPr="002D0C59">
        <w:rPr>
          <w:rFonts w:hint="eastAsia"/>
          <w:rtl/>
        </w:rPr>
        <w:t>נוכח</w:t>
      </w:r>
      <w:r w:rsidRPr="00090175">
        <w:rPr>
          <w:rtl/>
        </w:rPr>
        <w:t xml:space="preserve"> </w:t>
      </w:r>
      <w:r w:rsidRPr="00090175">
        <w:rPr>
          <w:rFonts w:hint="eastAsia"/>
          <w:rtl/>
        </w:rPr>
        <w:t>השינויים</w:t>
      </w:r>
      <w:r w:rsidRPr="00090175">
        <w:rPr>
          <w:rtl/>
        </w:rPr>
        <w:t xml:space="preserve"> </w:t>
      </w:r>
      <w:r w:rsidRPr="00090175">
        <w:rPr>
          <w:rFonts w:hint="eastAsia"/>
          <w:rtl/>
        </w:rPr>
        <w:t>הטכנולוגיים</w:t>
      </w:r>
      <w:r w:rsidRPr="00090175">
        <w:rPr>
          <w:rtl/>
        </w:rPr>
        <w:t xml:space="preserve"> </w:t>
      </w:r>
      <w:r w:rsidRPr="00090175">
        <w:rPr>
          <w:rFonts w:hint="eastAsia"/>
          <w:rtl/>
        </w:rPr>
        <w:t>שהוכנסו</w:t>
      </w:r>
      <w:r w:rsidRPr="00090175">
        <w:rPr>
          <w:rtl/>
        </w:rPr>
        <w:t xml:space="preserve"> </w:t>
      </w:r>
      <w:r w:rsidRPr="00090175">
        <w:rPr>
          <w:rFonts w:hint="eastAsia"/>
          <w:rtl/>
        </w:rPr>
        <w:t>בתהליך</w:t>
      </w:r>
      <w:r w:rsidRPr="00090175">
        <w:rPr>
          <w:rtl/>
        </w:rPr>
        <w:t xml:space="preserve"> </w:t>
      </w:r>
      <w:r w:rsidRPr="00090175">
        <w:rPr>
          <w:rFonts w:hint="eastAsia"/>
          <w:rtl/>
        </w:rPr>
        <w:t>העבודה</w:t>
      </w:r>
      <w:r w:rsidRPr="00090175">
        <w:rPr>
          <w:rtl/>
        </w:rPr>
        <w:t>.</w:t>
      </w:r>
    </w:p>
    <w:p w:rsidR="002D0C59" w:rsidRPr="00010179" w:rsidP="00AE0BE6" w14:paraId="732D2DE2" w14:textId="77777777">
      <w:pPr>
        <w:pStyle w:val="a"/>
        <w:spacing w:line="269" w:lineRule="auto"/>
        <w:rPr>
          <w:rtl/>
        </w:rPr>
      </w:pPr>
    </w:p>
    <w:p w:rsidR="002D0C59" w:rsidP="00AE0BE6" w14:paraId="27462B8B" w14:textId="77777777">
      <w:pPr>
        <w:spacing w:line="269" w:lineRule="auto"/>
        <w:ind w:left="283"/>
        <w:rPr>
          <w:b/>
          <w:bCs/>
          <w:sz w:val="24"/>
          <w:rtl/>
        </w:rPr>
      </w:pPr>
      <w:r w:rsidRPr="00F7012D">
        <w:rPr>
          <w:rFonts w:hint="eastAsia"/>
          <w:b/>
          <w:bCs/>
          <w:sz w:val="24"/>
          <w:rtl/>
        </w:rPr>
        <w:t>דוחות</w:t>
      </w:r>
      <w:r w:rsidRPr="00F7012D">
        <w:rPr>
          <w:b/>
          <w:bCs/>
          <w:sz w:val="24"/>
          <w:rtl/>
        </w:rPr>
        <w:t xml:space="preserve"> ניהוליים שמפיקה המערכת הממוחשבת של מינהל ביקורת הגבולות הם </w:t>
      </w:r>
      <w:r w:rsidRPr="00F7012D">
        <w:rPr>
          <w:rFonts w:hint="eastAsia"/>
          <w:b/>
          <w:bCs/>
          <w:sz w:val="24"/>
          <w:rtl/>
        </w:rPr>
        <w:t>כלי</w:t>
      </w:r>
      <w:r w:rsidRPr="00F7012D">
        <w:rPr>
          <w:b/>
          <w:bCs/>
          <w:sz w:val="24"/>
          <w:rtl/>
        </w:rPr>
        <w:t xml:space="preserve"> </w:t>
      </w:r>
      <w:r w:rsidRPr="00F7012D">
        <w:rPr>
          <w:rFonts w:hint="eastAsia"/>
          <w:b/>
          <w:bCs/>
          <w:sz w:val="24"/>
          <w:rtl/>
        </w:rPr>
        <w:t>בקרה</w:t>
      </w:r>
      <w:r w:rsidRPr="00F7012D">
        <w:rPr>
          <w:b/>
          <w:bCs/>
          <w:sz w:val="24"/>
          <w:rtl/>
        </w:rPr>
        <w:t xml:space="preserve"> </w:t>
      </w:r>
      <w:r w:rsidRPr="00F7012D">
        <w:rPr>
          <w:rFonts w:hint="eastAsia"/>
          <w:b/>
          <w:bCs/>
          <w:sz w:val="24"/>
          <w:rtl/>
        </w:rPr>
        <w:t>מרכזי</w:t>
      </w:r>
      <w:r w:rsidRPr="00F7012D">
        <w:rPr>
          <w:b/>
          <w:bCs/>
          <w:sz w:val="24"/>
          <w:rtl/>
        </w:rPr>
        <w:t xml:space="preserve"> </w:t>
      </w:r>
      <w:r w:rsidRPr="00F7012D">
        <w:rPr>
          <w:rFonts w:hint="eastAsia"/>
          <w:b/>
          <w:bCs/>
          <w:sz w:val="24"/>
          <w:rtl/>
        </w:rPr>
        <w:t>על</w:t>
      </w:r>
      <w:r w:rsidRPr="00F7012D">
        <w:rPr>
          <w:b/>
          <w:bCs/>
          <w:sz w:val="24"/>
          <w:rtl/>
        </w:rPr>
        <w:t xml:space="preserve"> </w:t>
      </w:r>
      <w:r w:rsidRPr="00F7012D">
        <w:rPr>
          <w:rFonts w:hint="eastAsia"/>
          <w:b/>
          <w:bCs/>
          <w:sz w:val="24"/>
          <w:rtl/>
        </w:rPr>
        <w:t>מעברי</w:t>
      </w:r>
      <w:r w:rsidRPr="00F7012D">
        <w:rPr>
          <w:b/>
          <w:bCs/>
          <w:sz w:val="24"/>
          <w:rtl/>
        </w:rPr>
        <w:t xml:space="preserve"> </w:t>
      </w:r>
      <w:r w:rsidRPr="00F7012D">
        <w:rPr>
          <w:rFonts w:hint="eastAsia"/>
          <w:b/>
          <w:bCs/>
          <w:sz w:val="24"/>
          <w:rtl/>
        </w:rPr>
        <w:t>הגבול</w:t>
      </w:r>
      <w:r w:rsidRPr="00F7012D">
        <w:rPr>
          <w:b/>
          <w:bCs/>
          <w:sz w:val="24"/>
          <w:rtl/>
        </w:rPr>
        <w:t xml:space="preserve">, </w:t>
      </w:r>
      <w:r>
        <w:rPr>
          <w:rFonts w:hint="cs"/>
          <w:b/>
          <w:bCs/>
          <w:sz w:val="24"/>
          <w:rtl/>
        </w:rPr>
        <w:t xml:space="preserve">שיתרונותיו ביכולת לשקף תמונת מצב רוחבית על מערך ביקורת </w:t>
      </w:r>
      <w:r w:rsidRPr="008C0A4B">
        <w:rPr>
          <w:rFonts w:hint="cs"/>
          <w:b/>
          <w:bCs/>
          <w:sz w:val="24"/>
          <w:rtl/>
        </w:rPr>
        <w:t>הגבולות, ייעול הבקרה על</w:t>
      </w:r>
      <w:r w:rsidRPr="008C0A4B">
        <w:rPr>
          <w:b/>
          <w:bCs/>
          <w:sz w:val="24"/>
          <w:rtl/>
        </w:rPr>
        <w:t xml:space="preserve"> </w:t>
      </w:r>
      <w:r w:rsidRPr="008C0A4B">
        <w:rPr>
          <w:rFonts w:hint="eastAsia"/>
          <w:b/>
          <w:bCs/>
          <w:sz w:val="24"/>
          <w:rtl/>
        </w:rPr>
        <w:t>ביקורת</w:t>
      </w:r>
      <w:r w:rsidRPr="008C0A4B">
        <w:rPr>
          <w:b/>
          <w:bCs/>
          <w:sz w:val="24"/>
          <w:rtl/>
        </w:rPr>
        <w:t xml:space="preserve"> </w:t>
      </w:r>
      <w:r w:rsidRPr="008C0A4B">
        <w:rPr>
          <w:rFonts w:hint="eastAsia"/>
          <w:b/>
          <w:bCs/>
          <w:sz w:val="24"/>
          <w:rtl/>
        </w:rPr>
        <w:t>הגבולות</w:t>
      </w:r>
      <w:r w:rsidRPr="008C0A4B">
        <w:rPr>
          <w:b/>
          <w:bCs/>
          <w:sz w:val="24"/>
          <w:rtl/>
        </w:rPr>
        <w:t xml:space="preserve"> </w:t>
      </w:r>
      <w:r w:rsidRPr="008C0A4B">
        <w:rPr>
          <w:rFonts w:hint="cs"/>
          <w:b/>
          <w:bCs/>
          <w:sz w:val="24"/>
          <w:rtl/>
        </w:rPr>
        <w:t>וייתכן שאף חיסכון במשאבים לפעולות בקרה נקודתיות בשטח</w:t>
      </w:r>
      <w:r w:rsidRPr="008C0A4B">
        <w:rPr>
          <w:b/>
          <w:bCs/>
          <w:sz w:val="24"/>
          <w:rtl/>
        </w:rPr>
        <w:t>.</w:t>
      </w:r>
      <w:r w:rsidRPr="008C0A4B">
        <w:rPr>
          <w:rFonts w:hint="cs"/>
          <w:b/>
          <w:bCs/>
          <w:sz w:val="24"/>
          <w:rtl/>
        </w:rPr>
        <w:t xml:space="preserve"> </w:t>
      </w:r>
    </w:p>
    <w:p w:rsidR="002D0C59" w:rsidRPr="00DB47FA" w:rsidP="00AE0BE6" w14:paraId="4A013176" w14:textId="77777777">
      <w:pPr>
        <w:pStyle w:val="a"/>
        <w:spacing w:line="269" w:lineRule="auto"/>
        <w:rPr>
          <w:rtl/>
        </w:rPr>
      </w:pPr>
    </w:p>
    <w:p w:rsidR="002D0C59" w:rsidP="00AE0BE6" w14:paraId="2AD35E06" w14:textId="77777777">
      <w:pPr>
        <w:pStyle w:val="ListParagraph"/>
        <w:numPr>
          <w:ilvl w:val="0"/>
          <w:numId w:val="12"/>
        </w:numPr>
        <w:spacing w:after="0" w:line="269" w:lineRule="auto"/>
        <w:jc w:val="both"/>
        <w:rPr>
          <w:rFonts w:cs="David"/>
          <w:sz w:val="24"/>
          <w:szCs w:val="24"/>
        </w:rPr>
      </w:pPr>
      <w:r w:rsidRPr="0011529D">
        <w:rPr>
          <w:rFonts w:cs="David" w:hint="eastAsia"/>
          <w:sz w:val="24"/>
          <w:szCs w:val="24"/>
          <w:rtl/>
        </w:rPr>
        <w:t>מינהל</w:t>
      </w:r>
      <w:r w:rsidRPr="0011529D">
        <w:rPr>
          <w:rFonts w:cs="David"/>
          <w:sz w:val="24"/>
          <w:szCs w:val="24"/>
          <w:rtl/>
        </w:rPr>
        <w:t xml:space="preserve"> אכיפה וזרים ברשות האוכלוסין אחראי בין השאר לצמצום מספר </w:t>
      </w:r>
      <w:r w:rsidRPr="0011529D">
        <w:rPr>
          <w:rFonts w:cs="David" w:hint="eastAsia"/>
          <w:sz w:val="24"/>
          <w:szCs w:val="24"/>
          <w:rtl/>
        </w:rPr>
        <w:t>האנשים</w:t>
      </w:r>
      <w:r w:rsidRPr="0011529D">
        <w:rPr>
          <w:rFonts w:cs="David"/>
          <w:sz w:val="24"/>
          <w:szCs w:val="24"/>
          <w:rtl/>
        </w:rPr>
        <w:t xml:space="preserve"> ששוהים בישראל שלא כחוק</w:t>
      </w:r>
      <w:r>
        <w:rPr>
          <w:rFonts w:cs="David" w:hint="cs"/>
          <w:sz w:val="24"/>
          <w:szCs w:val="24"/>
          <w:rtl/>
        </w:rPr>
        <w:t>,</w:t>
      </w:r>
      <w:r w:rsidRPr="0011529D">
        <w:rPr>
          <w:rFonts w:cs="David"/>
          <w:sz w:val="24"/>
          <w:szCs w:val="24"/>
          <w:rtl/>
        </w:rPr>
        <w:t xml:space="preserve"> ו</w:t>
      </w:r>
      <w:r>
        <w:rPr>
          <w:rFonts w:cs="David" w:hint="cs"/>
          <w:sz w:val="24"/>
          <w:szCs w:val="24"/>
          <w:rtl/>
        </w:rPr>
        <w:t xml:space="preserve">כן </w:t>
      </w:r>
      <w:r w:rsidRPr="0011529D">
        <w:rPr>
          <w:rFonts w:cs="David"/>
          <w:sz w:val="24"/>
          <w:szCs w:val="24"/>
          <w:rtl/>
        </w:rPr>
        <w:t xml:space="preserve">לאיתור זרים שנכנסו לישראל כחוק אך מסמך ישיבתם בארץ פג תוקף וכעת הם שוהים בה </w:t>
      </w:r>
      <w:r>
        <w:rPr>
          <w:rFonts w:cs="David" w:hint="cs"/>
          <w:sz w:val="24"/>
          <w:szCs w:val="24"/>
          <w:rtl/>
        </w:rPr>
        <w:t>ש</w:t>
      </w:r>
      <w:r w:rsidRPr="0011529D">
        <w:rPr>
          <w:rFonts w:cs="David"/>
          <w:sz w:val="24"/>
          <w:szCs w:val="24"/>
          <w:rtl/>
        </w:rPr>
        <w:t xml:space="preserve">לא </w:t>
      </w:r>
      <w:r>
        <w:rPr>
          <w:rFonts w:cs="David" w:hint="cs"/>
          <w:sz w:val="24"/>
          <w:szCs w:val="24"/>
          <w:rtl/>
        </w:rPr>
        <w:t>כ</w:t>
      </w:r>
      <w:r w:rsidRPr="0011529D">
        <w:rPr>
          <w:rFonts w:cs="David"/>
          <w:sz w:val="24"/>
          <w:szCs w:val="24"/>
          <w:rtl/>
        </w:rPr>
        <w:t xml:space="preserve">חוק. לאחר איתור הזרים השוהים </w:t>
      </w:r>
      <w:r>
        <w:rPr>
          <w:rFonts w:cs="David" w:hint="cs"/>
          <w:sz w:val="24"/>
          <w:szCs w:val="24"/>
          <w:rtl/>
        </w:rPr>
        <w:t xml:space="preserve">בישראל </w:t>
      </w:r>
      <w:r w:rsidRPr="0011529D">
        <w:rPr>
          <w:rFonts w:cs="David"/>
          <w:sz w:val="24"/>
          <w:szCs w:val="24"/>
          <w:rtl/>
        </w:rPr>
        <w:t xml:space="preserve">שלא כחוק </w:t>
      </w:r>
      <w:r>
        <w:rPr>
          <w:rFonts w:cs="David" w:hint="cs"/>
          <w:sz w:val="24"/>
          <w:szCs w:val="24"/>
          <w:rtl/>
        </w:rPr>
        <w:t>מראיין</w:t>
      </w:r>
      <w:r w:rsidRPr="0011529D">
        <w:rPr>
          <w:rFonts w:cs="David"/>
          <w:sz w:val="24"/>
          <w:szCs w:val="24"/>
          <w:rtl/>
        </w:rPr>
        <w:t xml:space="preserve"> </w:t>
      </w:r>
      <w:r>
        <w:rPr>
          <w:rFonts w:cs="David" w:hint="cs"/>
          <w:sz w:val="24"/>
          <w:szCs w:val="24"/>
          <w:rtl/>
        </w:rPr>
        <w:t>אותם</w:t>
      </w:r>
      <w:r w:rsidRPr="0011529D">
        <w:rPr>
          <w:rFonts w:cs="David"/>
          <w:sz w:val="24"/>
          <w:szCs w:val="24"/>
          <w:rtl/>
        </w:rPr>
        <w:t xml:space="preserve"> ממונה ביקורת </w:t>
      </w:r>
      <w:r>
        <w:rPr>
          <w:rFonts w:cs="David" w:hint="cs"/>
          <w:sz w:val="24"/>
          <w:szCs w:val="24"/>
          <w:rtl/>
        </w:rPr>
        <w:t>ה</w:t>
      </w:r>
      <w:r w:rsidRPr="0011529D">
        <w:rPr>
          <w:rFonts w:cs="David"/>
          <w:sz w:val="24"/>
          <w:szCs w:val="24"/>
          <w:rtl/>
        </w:rPr>
        <w:t xml:space="preserve">גבולות </w:t>
      </w:r>
      <w:r w:rsidRPr="0011529D">
        <w:rPr>
          <w:rFonts w:cs="David" w:hint="eastAsia"/>
          <w:sz w:val="24"/>
          <w:szCs w:val="24"/>
          <w:rtl/>
        </w:rPr>
        <w:t>במינהל</w:t>
      </w:r>
      <w:r w:rsidRPr="0011529D">
        <w:rPr>
          <w:rFonts w:cs="David"/>
          <w:sz w:val="24"/>
          <w:szCs w:val="24"/>
          <w:rtl/>
        </w:rPr>
        <w:t xml:space="preserve"> אכיפה וזרים גם לצורך בירור נסיבות כניסת</w:t>
      </w:r>
      <w:r>
        <w:rPr>
          <w:rFonts w:cs="David" w:hint="cs"/>
          <w:sz w:val="24"/>
          <w:szCs w:val="24"/>
          <w:rtl/>
        </w:rPr>
        <w:t>ם</w:t>
      </w:r>
      <w:r w:rsidRPr="0011529D">
        <w:rPr>
          <w:rFonts w:cs="David"/>
          <w:sz w:val="24"/>
          <w:szCs w:val="24"/>
          <w:rtl/>
        </w:rPr>
        <w:t xml:space="preserve"> לישראל</w:t>
      </w:r>
      <w:r>
        <w:rPr>
          <w:rFonts w:cs="David" w:hint="cs"/>
          <w:sz w:val="24"/>
          <w:szCs w:val="24"/>
          <w:rtl/>
        </w:rPr>
        <w:t>,</w:t>
      </w:r>
      <w:r w:rsidRPr="0011529D">
        <w:rPr>
          <w:rFonts w:cs="David"/>
          <w:sz w:val="24"/>
          <w:szCs w:val="24"/>
          <w:rtl/>
        </w:rPr>
        <w:t xml:space="preserve"> ובמידת הצורך הם מובאים לפני בית הדין לביק</w:t>
      </w:r>
      <w:r w:rsidRPr="0011529D">
        <w:rPr>
          <w:rFonts w:cs="David"/>
          <w:sz w:val="24"/>
          <w:szCs w:val="24"/>
          <w:rtl/>
        </w:rPr>
        <w:t>ורת משמורת של שוהים שלא כדין, שתפקידו לבצע ביקורת על החזקתם במשמורת של השוהים בישראל שלא כדין</w:t>
      </w:r>
      <w:r>
        <w:rPr>
          <w:rFonts w:cs="David" w:hint="cs"/>
          <w:sz w:val="24"/>
          <w:szCs w:val="24"/>
          <w:rtl/>
        </w:rPr>
        <w:t>,</w:t>
      </w:r>
      <w:r w:rsidRPr="0011529D">
        <w:rPr>
          <w:rFonts w:cs="David"/>
          <w:sz w:val="24"/>
          <w:szCs w:val="24"/>
          <w:rtl/>
        </w:rPr>
        <w:t xml:space="preserve"> </w:t>
      </w:r>
      <w:r>
        <w:rPr>
          <w:rFonts w:cs="David" w:hint="cs"/>
          <w:sz w:val="24"/>
          <w:szCs w:val="24"/>
          <w:rtl/>
        </w:rPr>
        <w:t>ו</w:t>
      </w:r>
      <w:r w:rsidRPr="0011529D">
        <w:rPr>
          <w:rFonts w:cs="David"/>
          <w:sz w:val="24"/>
          <w:szCs w:val="24"/>
          <w:rtl/>
        </w:rPr>
        <w:t>בין היתר בסמכותו לשחרר את המוחזקים בערבות ולקצוב את החזק</w:t>
      </w:r>
      <w:r>
        <w:rPr>
          <w:rFonts w:cs="David" w:hint="cs"/>
          <w:sz w:val="24"/>
          <w:szCs w:val="24"/>
          <w:rtl/>
        </w:rPr>
        <w:t>תם</w:t>
      </w:r>
      <w:r w:rsidRPr="0011529D">
        <w:rPr>
          <w:rFonts w:cs="David"/>
          <w:sz w:val="24"/>
          <w:szCs w:val="24"/>
          <w:rtl/>
        </w:rPr>
        <w:t>.</w:t>
      </w:r>
    </w:p>
    <w:p w:rsidR="002D0C59" w:rsidRPr="00A21F5C" w:rsidP="00AE0BE6" w14:paraId="09CAE413" w14:textId="77777777">
      <w:pPr>
        <w:pStyle w:val="a"/>
        <w:spacing w:line="269" w:lineRule="auto"/>
        <w:rPr>
          <w:rtl/>
        </w:rPr>
      </w:pPr>
    </w:p>
    <w:p w:rsidR="002D0C59" w:rsidP="00AE0BE6" w14:paraId="479C62DA" w14:textId="77777777">
      <w:pPr>
        <w:spacing w:line="269" w:lineRule="auto"/>
        <w:ind w:left="312"/>
        <w:rPr>
          <w:sz w:val="24"/>
          <w:rtl/>
        </w:rPr>
      </w:pPr>
      <w:r w:rsidRPr="004A0234">
        <w:rPr>
          <w:rFonts w:hint="cs"/>
          <w:sz w:val="24"/>
          <w:rtl/>
        </w:rPr>
        <w:t>המידע על</w:t>
      </w:r>
      <w:r>
        <w:rPr>
          <w:rFonts w:hint="cs"/>
          <w:sz w:val="24"/>
          <w:rtl/>
        </w:rPr>
        <w:t xml:space="preserve"> האופן שבו הצליחו זרים השוהים בישראל</w:t>
      </w:r>
      <w:r w:rsidRPr="004A0234">
        <w:rPr>
          <w:rFonts w:hint="cs"/>
          <w:sz w:val="24"/>
          <w:rtl/>
        </w:rPr>
        <w:t xml:space="preserve"> </w:t>
      </w:r>
      <w:r>
        <w:rPr>
          <w:rFonts w:hint="cs"/>
          <w:sz w:val="24"/>
          <w:rtl/>
        </w:rPr>
        <w:t>להיכנס</w:t>
      </w:r>
      <w:r w:rsidRPr="00B164D7">
        <w:rPr>
          <w:rFonts w:hint="cs"/>
          <w:sz w:val="24"/>
          <w:rtl/>
        </w:rPr>
        <w:t xml:space="preserve"> </w:t>
      </w:r>
      <w:r>
        <w:rPr>
          <w:rFonts w:hint="cs"/>
          <w:sz w:val="24"/>
          <w:rtl/>
        </w:rPr>
        <w:t>שלא כ</w:t>
      </w:r>
      <w:r w:rsidRPr="004A0234">
        <w:rPr>
          <w:rFonts w:hint="cs"/>
          <w:sz w:val="24"/>
          <w:rtl/>
        </w:rPr>
        <w:t>חוק</w:t>
      </w:r>
      <w:r w:rsidRPr="00B164D7">
        <w:rPr>
          <w:rFonts w:hint="cs"/>
          <w:sz w:val="24"/>
          <w:rtl/>
        </w:rPr>
        <w:t xml:space="preserve"> </w:t>
      </w:r>
      <w:r>
        <w:rPr>
          <w:rFonts w:hint="cs"/>
          <w:sz w:val="24"/>
          <w:rtl/>
        </w:rPr>
        <w:t>במעברי הגבול</w:t>
      </w:r>
      <w:r w:rsidRPr="00B164D7">
        <w:rPr>
          <w:rFonts w:hint="cs"/>
          <w:sz w:val="24"/>
          <w:rtl/>
        </w:rPr>
        <w:t xml:space="preserve"> </w:t>
      </w:r>
      <w:r>
        <w:rPr>
          <w:rFonts w:hint="cs"/>
          <w:sz w:val="24"/>
          <w:rtl/>
        </w:rPr>
        <w:t xml:space="preserve">לישראל, </w:t>
      </w:r>
      <w:r w:rsidRPr="004A0234">
        <w:rPr>
          <w:rFonts w:hint="cs"/>
          <w:sz w:val="24"/>
          <w:rtl/>
        </w:rPr>
        <w:t xml:space="preserve">לרבות הפעולות </w:t>
      </w:r>
      <w:r w:rsidRPr="004A0234">
        <w:rPr>
          <w:rFonts w:hint="cs"/>
          <w:sz w:val="24"/>
          <w:rtl/>
        </w:rPr>
        <w:t>שנעשו</w:t>
      </w:r>
      <w:r>
        <w:rPr>
          <w:rFonts w:hint="cs"/>
          <w:sz w:val="24"/>
          <w:rtl/>
        </w:rPr>
        <w:t xml:space="preserve"> על ידי מערך ביקורת הגבולות</w:t>
      </w:r>
      <w:r w:rsidRPr="004A0234">
        <w:rPr>
          <w:rFonts w:hint="cs"/>
          <w:sz w:val="24"/>
          <w:rtl/>
        </w:rPr>
        <w:t xml:space="preserve"> במעבר הגבול לצורך אישור הכניסה, עשוי</w:t>
      </w:r>
      <w:r>
        <w:rPr>
          <w:rFonts w:hint="cs"/>
          <w:sz w:val="24"/>
          <w:rtl/>
        </w:rPr>
        <w:t>ים</w:t>
      </w:r>
      <w:r w:rsidRPr="004A0234">
        <w:rPr>
          <w:rFonts w:hint="cs"/>
          <w:sz w:val="24"/>
          <w:rtl/>
        </w:rPr>
        <w:t xml:space="preserve"> לסייע למינהל ביקורת הגבולות לאתר נקודות תורפה בהליך הטיפול במעבר ולהביא לשיפור ביקורת הגבולות.</w:t>
      </w:r>
      <w:r>
        <w:rPr>
          <w:rFonts w:hint="cs"/>
          <w:sz w:val="24"/>
          <w:rtl/>
        </w:rPr>
        <w:t xml:space="preserve"> </w:t>
      </w:r>
    </w:p>
    <w:p w:rsidR="002D0C59" w:rsidP="00AE0BE6" w14:paraId="558916A4" w14:textId="77777777">
      <w:pPr>
        <w:pStyle w:val="a"/>
        <w:spacing w:line="269" w:lineRule="auto"/>
        <w:rPr>
          <w:rtl/>
        </w:rPr>
      </w:pPr>
    </w:p>
    <w:p w:rsidR="002D0C59" w:rsidP="00AE0BE6" w14:paraId="07367C6E" w14:textId="77777777">
      <w:pPr>
        <w:spacing w:line="269" w:lineRule="auto"/>
        <w:ind w:left="312"/>
        <w:rPr>
          <w:sz w:val="24"/>
          <w:rtl/>
        </w:rPr>
      </w:pPr>
      <w:r w:rsidRPr="00DF2245">
        <w:rPr>
          <w:rFonts w:hint="cs"/>
          <w:sz w:val="24"/>
          <w:rtl/>
        </w:rPr>
        <w:t>מיוני ועד נובמבר 2019</w:t>
      </w:r>
      <w:r>
        <w:rPr>
          <w:rFonts w:hint="cs"/>
          <w:sz w:val="24"/>
          <w:rtl/>
        </w:rPr>
        <w:t xml:space="preserve"> פרסם בית הדין לביקורת משמורת 287 החלטות באתר המרשתת (אינטרנט) שלו</w:t>
      </w:r>
      <w:r>
        <w:rPr>
          <w:rFonts w:hint="cs"/>
          <w:sz w:val="24"/>
          <w:rtl/>
        </w:rPr>
        <w:t xml:space="preserve"> בנוגע לנתינים של גיאורגיה. משרד מבקר המדינה איתר בבדיקה אקראית, </w:t>
      </w:r>
      <w:r w:rsidRPr="000F6B26">
        <w:rPr>
          <w:rFonts w:hint="eastAsia"/>
          <w:sz w:val="24"/>
          <w:rtl/>
        </w:rPr>
        <w:t>מבין</w:t>
      </w:r>
      <w:r w:rsidRPr="000F6B26">
        <w:rPr>
          <w:sz w:val="24"/>
          <w:rtl/>
        </w:rPr>
        <w:t xml:space="preserve"> ההחלטות האלה, 44 </w:t>
      </w:r>
      <w:r w:rsidRPr="000F6B26">
        <w:rPr>
          <w:rFonts w:hint="eastAsia"/>
          <w:sz w:val="24"/>
          <w:rtl/>
        </w:rPr>
        <w:t>החלטות</w:t>
      </w:r>
      <w:r w:rsidRPr="000F6B26">
        <w:rPr>
          <w:sz w:val="24"/>
          <w:rtl/>
        </w:rPr>
        <w:t xml:space="preserve"> </w:t>
      </w:r>
      <w:r w:rsidRPr="000F6B26">
        <w:rPr>
          <w:rFonts w:hint="eastAsia"/>
          <w:sz w:val="24"/>
          <w:rtl/>
        </w:rPr>
        <w:t>שעל</w:t>
      </w:r>
      <w:r w:rsidRPr="000F6B26">
        <w:rPr>
          <w:sz w:val="24"/>
          <w:rtl/>
        </w:rPr>
        <w:t xml:space="preserve"> </w:t>
      </w:r>
      <w:r w:rsidRPr="000F6B26">
        <w:rPr>
          <w:rFonts w:hint="eastAsia"/>
          <w:sz w:val="24"/>
          <w:rtl/>
        </w:rPr>
        <w:t>פי</w:t>
      </w:r>
      <w:r w:rsidRPr="000F6B26">
        <w:rPr>
          <w:sz w:val="24"/>
          <w:rtl/>
        </w:rPr>
        <w:t xml:space="preserve"> </w:t>
      </w:r>
      <w:r w:rsidRPr="000F6B26">
        <w:rPr>
          <w:rFonts w:hint="eastAsia"/>
          <w:sz w:val="24"/>
          <w:rtl/>
        </w:rPr>
        <w:t>המצוין</w:t>
      </w:r>
      <w:r w:rsidRPr="000F6B26">
        <w:rPr>
          <w:sz w:val="24"/>
          <w:rtl/>
        </w:rPr>
        <w:t xml:space="preserve"> </w:t>
      </w:r>
      <w:r w:rsidRPr="000F6B26">
        <w:rPr>
          <w:rFonts w:hint="eastAsia"/>
          <w:sz w:val="24"/>
          <w:rtl/>
        </w:rPr>
        <w:t>בהן</w:t>
      </w:r>
      <w:r w:rsidRPr="000F6B26">
        <w:rPr>
          <w:sz w:val="24"/>
          <w:rtl/>
        </w:rPr>
        <w:t xml:space="preserve"> </w:t>
      </w:r>
      <w:r w:rsidRPr="000F6B26">
        <w:rPr>
          <w:rFonts w:hint="eastAsia"/>
          <w:sz w:val="24"/>
          <w:rtl/>
        </w:rPr>
        <w:t>הזר</w:t>
      </w:r>
      <w:r w:rsidRPr="000F6B26">
        <w:rPr>
          <w:sz w:val="24"/>
          <w:rtl/>
        </w:rPr>
        <w:t xml:space="preserve"> </w:t>
      </w:r>
      <w:r w:rsidRPr="000F6B26">
        <w:rPr>
          <w:rFonts w:hint="eastAsia"/>
          <w:sz w:val="24"/>
          <w:rtl/>
        </w:rPr>
        <w:t>נכנס</w:t>
      </w:r>
      <w:r w:rsidRPr="000F6B26">
        <w:rPr>
          <w:sz w:val="24"/>
          <w:rtl/>
        </w:rPr>
        <w:t xml:space="preserve"> מג</w:t>
      </w:r>
      <w:r>
        <w:rPr>
          <w:rFonts w:hint="cs"/>
          <w:sz w:val="24"/>
          <w:rtl/>
        </w:rPr>
        <w:t>י</w:t>
      </w:r>
      <w:r w:rsidRPr="000F6B26">
        <w:rPr>
          <w:sz w:val="24"/>
          <w:rtl/>
        </w:rPr>
        <w:t xml:space="preserve">אורגיה לישראל דרך </w:t>
      </w:r>
      <w:r w:rsidRPr="000F6B26">
        <w:rPr>
          <w:rFonts w:hint="eastAsia"/>
          <w:sz w:val="24"/>
          <w:rtl/>
        </w:rPr>
        <w:t>נתב</w:t>
      </w:r>
      <w:r w:rsidRPr="000F6B26">
        <w:rPr>
          <w:sz w:val="24"/>
          <w:rtl/>
        </w:rPr>
        <w:t>"ג שלא כחוק.</w:t>
      </w:r>
    </w:p>
    <w:p w:rsidR="002D0C59" w:rsidRPr="000F6B26" w:rsidP="00AE0BE6" w14:paraId="50503C2F" w14:textId="77777777">
      <w:pPr>
        <w:pStyle w:val="a"/>
        <w:spacing w:line="269" w:lineRule="auto"/>
        <w:rPr>
          <w:rtl/>
        </w:rPr>
      </w:pPr>
    </w:p>
    <w:p w:rsidR="002D0C59" w:rsidP="00AE0BE6" w14:paraId="3121C811" w14:textId="77777777">
      <w:pPr>
        <w:spacing w:line="269" w:lineRule="auto"/>
        <w:ind w:left="312"/>
        <w:rPr>
          <w:b/>
          <w:bCs/>
          <w:sz w:val="24"/>
          <w:rtl/>
        </w:rPr>
      </w:pPr>
      <w:r w:rsidRPr="000F6B26">
        <w:rPr>
          <w:rFonts w:hint="cs"/>
          <w:b/>
          <w:bCs/>
          <w:sz w:val="24"/>
          <w:rtl/>
        </w:rPr>
        <w:t>ואולם נמצא כי מינהל ביקורת הגבולות לא קיבל מידע על אופן כניסתם לישראל של הזרים שהוזכרו ב-</w:t>
      </w:r>
      <w:r w:rsidRPr="000F6B26">
        <w:rPr>
          <w:b/>
          <w:bCs/>
          <w:sz w:val="24"/>
          <w:rtl/>
        </w:rPr>
        <w:t>44</w:t>
      </w:r>
      <w:r w:rsidRPr="000F6B26">
        <w:rPr>
          <w:rFonts w:hint="cs"/>
          <w:b/>
          <w:bCs/>
          <w:sz w:val="24"/>
          <w:rtl/>
        </w:rPr>
        <w:t xml:space="preserve"> ההחלטות האמורות של בית הדין לביקורת משמורת.</w:t>
      </w:r>
      <w:r>
        <w:rPr>
          <w:rFonts w:hint="cs"/>
          <w:b/>
          <w:bCs/>
          <w:sz w:val="24"/>
          <w:rtl/>
        </w:rPr>
        <w:t xml:space="preserve"> </w:t>
      </w:r>
    </w:p>
    <w:p w:rsidR="002D0C59" w:rsidRPr="00246C17" w:rsidP="00AE0BE6" w14:paraId="78050AB7" w14:textId="77777777">
      <w:pPr>
        <w:pStyle w:val="a"/>
        <w:spacing w:line="269" w:lineRule="auto"/>
        <w:rPr>
          <w:rtl/>
        </w:rPr>
      </w:pPr>
    </w:p>
    <w:p w:rsidR="002D0C59" w:rsidRPr="000F6B26" w:rsidP="00AE0BE6" w14:paraId="747906D0" w14:textId="77777777">
      <w:pPr>
        <w:spacing w:line="269" w:lineRule="auto"/>
        <w:ind w:left="312"/>
        <w:rPr>
          <w:sz w:val="24"/>
          <w:rtl/>
        </w:rPr>
      </w:pPr>
      <w:r w:rsidRPr="000F6B26">
        <w:rPr>
          <w:rFonts w:hint="eastAsia"/>
          <w:sz w:val="24"/>
          <w:rtl/>
        </w:rPr>
        <w:t>רשות</w:t>
      </w:r>
      <w:r w:rsidRPr="000F6B26">
        <w:rPr>
          <w:sz w:val="24"/>
          <w:rtl/>
        </w:rPr>
        <w:t xml:space="preserve"> האוכלוסין </w:t>
      </w:r>
      <w:r w:rsidRPr="000F6B26">
        <w:rPr>
          <w:rFonts w:hint="eastAsia"/>
          <w:sz w:val="24"/>
          <w:rtl/>
        </w:rPr>
        <w:t>השיבה</w:t>
      </w:r>
      <w:r w:rsidRPr="000F6B26">
        <w:rPr>
          <w:sz w:val="24"/>
          <w:rtl/>
        </w:rPr>
        <w:t xml:space="preserve"> </w:t>
      </w:r>
      <w:r w:rsidRPr="000F6B26">
        <w:rPr>
          <w:rFonts w:hint="eastAsia"/>
          <w:sz w:val="24"/>
          <w:rtl/>
        </w:rPr>
        <w:t>שכאשר</w:t>
      </w:r>
      <w:r w:rsidRPr="000F6B26">
        <w:rPr>
          <w:sz w:val="24"/>
          <w:rtl/>
        </w:rPr>
        <w:t xml:space="preserve"> ממונה ביקורת </w:t>
      </w:r>
      <w:r>
        <w:rPr>
          <w:rFonts w:hint="cs"/>
          <w:sz w:val="24"/>
          <w:rtl/>
        </w:rPr>
        <w:t>ה</w:t>
      </w:r>
      <w:r w:rsidRPr="000F6B26">
        <w:rPr>
          <w:sz w:val="24"/>
          <w:rtl/>
        </w:rPr>
        <w:t xml:space="preserve">גבולות </w:t>
      </w:r>
      <w:r w:rsidRPr="000F6B26">
        <w:rPr>
          <w:rFonts w:hint="eastAsia"/>
          <w:sz w:val="24"/>
          <w:rtl/>
        </w:rPr>
        <w:t>במינהל</w:t>
      </w:r>
      <w:r w:rsidRPr="000F6B26">
        <w:rPr>
          <w:sz w:val="24"/>
          <w:rtl/>
        </w:rPr>
        <w:t xml:space="preserve"> אכיפה וזרים מעלה בר</w:t>
      </w:r>
      <w:r>
        <w:rPr>
          <w:rFonts w:hint="cs"/>
          <w:sz w:val="24"/>
          <w:rtl/>
        </w:rPr>
        <w:t>י</w:t>
      </w:r>
      <w:r w:rsidRPr="000F6B26">
        <w:rPr>
          <w:sz w:val="24"/>
          <w:rtl/>
        </w:rPr>
        <w:t>איון של הזר מידע קונקרטי ב</w:t>
      </w:r>
      <w:r>
        <w:rPr>
          <w:rFonts w:hint="cs"/>
          <w:sz w:val="24"/>
          <w:rtl/>
        </w:rPr>
        <w:t>נוגע</w:t>
      </w:r>
      <w:r w:rsidRPr="000F6B26">
        <w:rPr>
          <w:sz w:val="24"/>
          <w:rtl/>
        </w:rPr>
        <w:t xml:space="preserve"> לאופן ושיטת ההסתננות, הוא מעבירו לגורמי החקירה הרלוונטיים תוך שיתוף </w:t>
      </w:r>
      <w:r w:rsidRPr="000F6B26">
        <w:rPr>
          <w:rFonts w:hint="eastAsia"/>
          <w:sz w:val="24"/>
          <w:rtl/>
        </w:rPr>
        <w:t>מינהל</w:t>
      </w:r>
      <w:r w:rsidRPr="000F6B26">
        <w:rPr>
          <w:sz w:val="24"/>
          <w:rtl/>
        </w:rPr>
        <w:t xml:space="preserve"> ביקורת </w:t>
      </w:r>
      <w:r>
        <w:rPr>
          <w:rFonts w:hint="cs"/>
          <w:sz w:val="24"/>
          <w:rtl/>
        </w:rPr>
        <w:t>ה</w:t>
      </w:r>
      <w:r w:rsidRPr="000F6B26">
        <w:rPr>
          <w:sz w:val="24"/>
          <w:rtl/>
        </w:rPr>
        <w:t>גבולות</w:t>
      </w:r>
      <w:r w:rsidRPr="000F6B26">
        <w:rPr>
          <w:rFonts w:hint="cs"/>
          <w:sz w:val="24"/>
          <w:rtl/>
        </w:rPr>
        <w:t>. עוד השיבה הרש</w:t>
      </w:r>
      <w:r w:rsidRPr="000F6B26">
        <w:rPr>
          <w:rFonts w:hint="cs"/>
          <w:sz w:val="24"/>
          <w:rtl/>
        </w:rPr>
        <w:t xml:space="preserve">ות שהיא פועלת לטייב את סדרי העברת המידע בין מינהל אכיפה וזרים למינהל ביקורת </w:t>
      </w:r>
      <w:r>
        <w:rPr>
          <w:rFonts w:hint="cs"/>
          <w:sz w:val="24"/>
          <w:rtl/>
        </w:rPr>
        <w:t>ה</w:t>
      </w:r>
      <w:r w:rsidRPr="000F6B26">
        <w:rPr>
          <w:rFonts w:hint="cs"/>
          <w:sz w:val="24"/>
          <w:rtl/>
        </w:rPr>
        <w:t xml:space="preserve">גבולות, ובכלל זה מיסוד נוהל מתאים, לצורך שיפור ממשקי העבודה מול הגופים האמונים על ניהול מעברי הגבול אשר אחראים, בין היתר, לסגירת האפשרויות לכניסה לארץ שלא דרך ביקורת </w:t>
      </w:r>
      <w:r>
        <w:rPr>
          <w:rFonts w:hint="cs"/>
          <w:sz w:val="24"/>
          <w:rtl/>
        </w:rPr>
        <w:t>ה</w:t>
      </w:r>
      <w:r w:rsidRPr="000F6B26">
        <w:rPr>
          <w:rFonts w:hint="cs"/>
          <w:sz w:val="24"/>
          <w:rtl/>
        </w:rPr>
        <w:t>גבולות.</w:t>
      </w:r>
    </w:p>
    <w:p w:rsidR="002D0C59" w:rsidRPr="00246C17" w:rsidP="00AE0BE6" w14:paraId="62074EF9" w14:textId="77777777">
      <w:pPr>
        <w:pStyle w:val="a"/>
        <w:spacing w:line="269" w:lineRule="auto"/>
        <w:rPr>
          <w:rtl/>
        </w:rPr>
      </w:pPr>
    </w:p>
    <w:p w:rsidR="002D0C59" w:rsidP="00AE0BE6" w14:paraId="4D6D9893" w14:textId="00B8DB58">
      <w:pPr>
        <w:spacing w:line="269" w:lineRule="auto"/>
        <w:ind w:left="312"/>
        <w:rPr>
          <w:b/>
          <w:bCs/>
          <w:sz w:val="24"/>
          <w:rtl/>
        </w:rPr>
      </w:pPr>
      <w:r w:rsidRPr="00C92884">
        <w:rPr>
          <w:rFonts w:hint="eastAsia"/>
          <w:b/>
          <w:bCs/>
          <w:sz w:val="24"/>
          <w:rtl/>
        </w:rPr>
        <w:t>מוצ</w:t>
      </w:r>
      <w:r w:rsidRPr="00C92884">
        <w:rPr>
          <w:rFonts w:hint="eastAsia"/>
          <w:b/>
          <w:bCs/>
          <w:sz w:val="24"/>
          <w:rtl/>
        </w:rPr>
        <w:t>ע</w:t>
      </w:r>
      <w:r w:rsidRPr="00C92884">
        <w:rPr>
          <w:b/>
          <w:bCs/>
          <w:sz w:val="24"/>
          <w:rtl/>
        </w:rPr>
        <w:t xml:space="preserve"> </w:t>
      </w:r>
      <w:r w:rsidRPr="00C92884">
        <w:rPr>
          <w:rFonts w:hint="eastAsia"/>
          <w:b/>
          <w:bCs/>
          <w:sz w:val="24"/>
          <w:rtl/>
        </w:rPr>
        <w:t>כי</w:t>
      </w:r>
      <w:r w:rsidRPr="00C92884">
        <w:rPr>
          <w:b/>
          <w:bCs/>
          <w:sz w:val="24"/>
          <w:rtl/>
        </w:rPr>
        <w:t xml:space="preserve"> </w:t>
      </w:r>
      <w:r w:rsidRPr="00C92884">
        <w:rPr>
          <w:rFonts w:hint="eastAsia"/>
          <w:b/>
          <w:bCs/>
          <w:sz w:val="24"/>
          <w:rtl/>
        </w:rPr>
        <w:t>במסגרת</w:t>
      </w:r>
      <w:r w:rsidRPr="00C92884">
        <w:rPr>
          <w:b/>
          <w:bCs/>
          <w:sz w:val="24"/>
          <w:rtl/>
        </w:rPr>
        <w:t xml:space="preserve"> </w:t>
      </w:r>
      <w:r w:rsidRPr="00C92884">
        <w:rPr>
          <w:rFonts w:hint="eastAsia"/>
          <w:b/>
          <w:bCs/>
          <w:sz w:val="24"/>
          <w:rtl/>
        </w:rPr>
        <w:t>פעול</w:t>
      </w:r>
      <w:r>
        <w:rPr>
          <w:rFonts w:hint="cs"/>
          <w:b/>
          <w:bCs/>
          <w:sz w:val="24"/>
          <w:rtl/>
        </w:rPr>
        <w:t>ו</w:t>
      </w:r>
      <w:r w:rsidRPr="00C92884">
        <w:rPr>
          <w:rFonts w:hint="eastAsia"/>
          <w:b/>
          <w:bCs/>
          <w:sz w:val="24"/>
          <w:rtl/>
        </w:rPr>
        <w:t>ת</w:t>
      </w:r>
      <w:r>
        <w:rPr>
          <w:rFonts w:hint="cs"/>
          <w:b/>
          <w:bCs/>
          <w:sz w:val="24"/>
          <w:rtl/>
        </w:rPr>
        <w:t xml:space="preserve">יה תפעל רשות האוכלוסין </w:t>
      </w:r>
      <w:r w:rsidRPr="00C92884">
        <w:rPr>
          <w:rFonts w:hint="eastAsia"/>
          <w:b/>
          <w:bCs/>
          <w:sz w:val="24"/>
          <w:rtl/>
        </w:rPr>
        <w:t>לטיוב</w:t>
      </w:r>
      <w:r w:rsidRPr="00C92884">
        <w:rPr>
          <w:b/>
          <w:bCs/>
          <w:sz w:val="24"/>
          <w:rtl/>
        </w:rPr>
        <w:t xml:space="preserve"> </w:t>
      </w:r>
      <w:r w:rsidRPr="00C92884">
        <w:rPr>
          <w:rFonts w:hint="eastAsia"/>
          <w:b/>
          <w:bCs/>
          <w:sz w:val="24"/>
          <w:rtl/>
        </w:rPr>
        <w:t>סדרי</w:t>
      </w:r>
      <w:r w:rsidRPr="00C92884">
        <w:rPr>
          <w:b/>
          <w:bCs/>
          <w:sz w:val="24"/>
          <w:rtl/>
        </w:rPr>
        <w:t xml:space="preserve"> </w:t>
      </w:r>
      <w:r w:rsidRPr="00C92884">
        <w:rPr>
          <w:rFonts w:hint="eastAsia"/>
          <w:b/>
          <w:bCs/>
          <w:sz w:val="24"/>
          <w:rtl/>
        </w:rPr>
        <w:t>העברת</w:t>
      </w:r>
      <w:r w:rsidRPr="00C92884">
        <w:rPr>
          <w:b/>
          <w:bCs/>
          <w:sz w:val="24"/>
          <w:rtl/>
        </w:rPr>
        <w:t xml:space="preserve"> </w:t>
      </w:r>
      <w:r w:rsidRPr="00C92884">
        <w:rPr>
          <w:rFonts w:hint="eastAsia"/>
          <w:b/>
          <w:bCs/>
          <w:sz w:val="24"/>
          <w:rtl/>
        </w:rPr>
        <w:t>המידע</w:t>
      </w:r>
      <w:r w:rsidRPr="00C92884">
        <w:rPr>
          <w:b/>
          <w:bCs/>
          <w:sz w:val="24"/>
          <w:rtl/>
        </w:rPr>
        <w:t xml:space="preserve"> </w:t>
      </w:r>
      <w:r>
        <w:rPr>
          <w:rFonts w:hint="cs"/>
          <w:b/>
          <w:bCs/>
          <w:sz w:val="24"/>
          <w:rtl/>
        </w:rPr>
        <w:t>ול</w:t>
      </w:r>
      <w:r w:rsidRPr="00C92884">
        <w:rPr>
          <w:rFonts w:hint="eastAsia"/>
          <w:b/>
          <w:bCs/>
          <w:sz w:val="24"/>
          <w:rtl/>
        </w:rPr>
        <w:t>ג</w:t>
      </w:r>
      <w:r>
        <w:rPr>
          <w:rFonts w:hint="cs"/>
          <w:b/>
          <w:bCs/>
          <w:sz w:val="24"/>
          <w:rtl/>
        </w:rPr>
        <w:t>י</w:t>
      </w:r>
      <w:r w:rsidRPr="00C92884">
        <w:rPr>
          <w:rFonts w:hint="eastAsia"/>
          <w:b/>
          <w:bCs/>
          <w:sz w:val="24"/>
          <w:rtl/>
        </w:rPr>
        <w:t>ב</w:t>
      </w:r>
      <w:r>
        <w:rPr>
          <w:rFonts w:hint="cs"/>
          <w:b/>
          <w:bCs/>
          <w:sz w:val="24"/>
          <w:rtl/>
        </w:rPr>
        <w:t>ו</w:t>
      </w:r>
      <w:r w:rsidRPr="00C92884">
        <w:rPr>
          <w:rFonts w:hint="eastAsia"/>
          <w:b/>
          <w:bCs/>
          <w:sz w:val="24"/>
          <w:rtl/>
        </w:rPr>
        <w:t>ש</w:t>
      </w:r>
      <w:r w:rsidRPr="00C92884">
        <w:rPr>
          <w:b/>
          <w:bCs/>
          <w:sz w:val="24"/>
          <w:rtl/>
        </w:rPr>
        <w:t xml:space="preserve"> </w:t>
      </w:r>
      <w:r w:rsidRPr="00C92884">
        <w:rPr>
          <w:rFonts w:hint="eastAsia"/>
          <w:b/>
          <w:bCs/>
          <w:sz w:val="24"/>
          <w:rtl/>
        </w:rPr>
        <w:t>הליך</w:t>
      </w:r>
      <w:r w:rsidRPr="00C92884">
        <w:rPr>
          <w:b/>
          <w:bCs/>
          <w:sz w:val="24"/>
          <w:rtl/>
        </w:rPr>
        <w:t xml:space="preserve"> </w:t>
      </w:r>
      <w:r w:rsidRPr="00C92884">
        <w:rPr>
          <w:rFonts w:hint="eastAsia"/>
          <w:b/>
          <w:bCs/>
          <w:sz w:val="24"/>
          <w:rtl/>
        </w:rPr>
        <w:t>שיבטיח</w:t>
      </w:r>
      <w:r w:rsidRPr="00C92884">
        <w:rPr>
          <w:b/>
          <w:bCs/>
          <w:sz w:val="24"/>
          <w:rtl/>
        </w:rPr>
        <w:t xml:space="preserve"> </w:t>
      </w:r>
      <w:r>
        <w:rPr>
          <w:rFonts w:hint="cs"/>
          <w:b/>
          <w:bCs/>
          <w:sz w:val="24"/>
          <w:rtl/>
        </w:rPr>
        <w:t xml:space="preserve">את </w:t>
      </w:r>
      <w:r w:rsidRPr="00C92884">
        <w:rPr>
          <w:rFonts w:hint="eastAsia"/>
          <w:b/>
          <w:bCs/>
          <w:sz w:val="24"/>
          <w:rtl/>
        </w:rPr>
        <w:t>העברת</w:t>
      </w:r>
      <w:r w:rsidRPr="00C92884">
        <w:rPr>
          <w:b/>
          <w:bCs/>
          <w:sz w:val="24"/>
          <w:rtl/>
        </w:rPr>
        <w:t xml:space="preserve"> </w:t>
      </w:r>
      <w:r w:rsidRPr="00C92884">
        <w:rPr>
          <w:rFonts w:hint="eastAsia"/>
          <w:b/>
          <w:bCs/>
          <w:sz w:val="24"/>
          <w:rtl/>
        </w:rPr>
        <w:t>כל</w:t>
      </w:r>
      <w:r w:rsidRPr="00C92884">
        <w:rPr>
          <w:b/>
          <w:bCs/>
          <w:sz w:val="24"/>
          <w:rtl/>
        </w:rPr>
        <w:t xml:space="preserve"> </w:t>
      </w:r>
      <w:r w:rsidRPr="00C92884">
        <w:rPr>
          <w:rFonts w:hint="eastAsia"/>
          <w:b/>
          <w:bCs/>
          <w:sz w:val="24"/>
          <w:rtl/>
        </w:rPr>
        <w:t>המידע</w:t>
      </w:r>
      <w:r w:rsidRPr="00C92884">
        <w:rPr>
          <w:b/>
          <w:bCs/>
          <w:sz w:val="24"/>
          <w:rtl/>
        </w:rPr>
        <w:t xml:space="preserve"> </w:t>
      </w:r>
      <w:r w:rsidRPr="00C92884">
        <w:rPr>
          <w:rFonts w:hint="eastAsia"/>
          <w:b/>
          <w:bCs/>
          <w:sz w:val="24"/>
          <w:rtl/>
        </w:rPr>
        <w:t>הרלוונטי</w:t>
      </w:r>
      <w:r w:rsidRPr="00C92884">
        <w:rPr>
          <w:b/>
          <w:bCs/>
          <w:sz w:val="24"/>
          <w:rtl/>
        </w:rPr>
        <w:t xml:space="preserve"> </w:t>
      </w:r>
      <w:r w:rsidRPr="00C92884">
        <w:rPr>
          <w:rFonts w:hint="eastAsia"/>
          <w:b/>
          <w:bCs/>
          <w:sz w:val="24"/>
          <w:rtl/>
        </w:rPr>
        <w:t>להסתננות</w:t>
      </w:r>
      <w:r w:rsidRPr="00C92884">
        <w:rPr>
          <w:b/>
          <w:bCs/>
          <w:sz w:val="24"/>
          <w:rtl/>
        </w:rPr>
        <w:t xml:space="preserve"> </w:t>
      </w:r>
      <w:r w:rsidRPr="00C92884">
        <w:rPr>
          <w:rFonts w:hint="eastAsia"/>
          <w:b/>
          <w:bCs/>
          <w:sz w:val="24"/>
          <w:rtl/>
        </w:rPr>
        <w:t>ולא</w:t>
      </w:r>
      <w:r w:rsidRPr="00C92884">
        <w:rPr>
          <w:b/>
          <w:bCs/>
          <w:sz w:val="24"/>
          <w:rtl/>
        </w:rPr>
        <w:t xml:space="preserve"> </w:t>
      </w:r>
      <w:r w:rsidRPr="00C92884">
        <w:rPr>
          <w:rFonts w:hint="eastAsia"/>
          <w:b/>
          <w:bCs/>
          <w:sz w:val="24"/>
          <w:rtl/>
        </w:rPr>
        <w:t>רק</w:t>
      </w:r>
      <w:r w:rsidRPr="00C92884">
        <w:rPr>
          <w:b/>
          <w:bCs/>
          <w:sz w:val="24"/>
          <w:rtl/>
        </w:rPr>
        <w:t xml:space="preserve"> </w:t>
      </w:r>
      <w:r w:rsidRPr="00C92884">
        <w:rPr>
          <w:rFonts w:hint="eastAsia"/>
          <w:b/>
          <w:bCs/>
          <w:sz w:val="24"/>
          <w:rtl/>
        </w:rPr>
        <w:t>מידע</w:t>
      </w:r>
      <w:r w:rsidRPr="00C92884">
        <w:rPr>
          <w:b/>
          <w:bCs/>
          <w:sz w:val="24"/>
          <w:rtl/>
        </w:rPr>
        <w:t xml:space="preserve"> </w:t>
      </w:r>
      <w:r w:rsidRPr="00C92884">
        <w:rPr>
          <w:rFonts w:hint="eastAsia"/>
          <w:b/>
          <w:bCs/>
          <w:sz w:val="24"/>
          <w:rtl/>
        </w:rPr>
        <w:t>קונקרטי</w:t>
      </w:r>
      <w:r>
        <w:rPr>
          <w:rFonts w:hint="cs"/>
          <w:b/>
          <w:bCs/>
          <w:sz w:val="24"/>
          <w:rtl/>
        </w:rPr>
        <w:t xml:space="preserve"> </w:t>
      </w:r>
      <w:r w:rsidRPr="000F6B26">
        <w:rPr>
          <w:b/>
          <w:bCs/>
          <w:sz w:val="24"/>
          <w:rtl/>
        </w:rPr>
        <w:t>ב</w:t>
      </w:r>
      <w:r>
        <w:rPr>
          <w:rFonts w:hint="cs"/>
          <w:b/>
          <w:bCs/>
          <w:sz w:val="24"/>
          <w:rtl/>
        </w:rPr>
        <w:t>נוגע</w:t>
      </w:r>
      <w:r w:rsidRPr="000F6B26">
        <w:rPr>
          <w:b/>
          <w:bCs/>
          <w:sz w:val="24"/>
          <w:rtl/>
        </w:rPr>
        <w:t xml:space="preserve"> לאופן ו</w:t>
      </w:r>
      <w:r>
        <w:rPr>
          <w:rFonts w:hint="cs"/>
          <w:b/>
          <w:bCs/>
          <w:sz w:val="24"/>
          <w:rtl/>
        </w:rPr>
        <w:t>ל</w:t>
      </w:r>
      <w:r w:rsidRPr="000F6B26">
        <w:rPr>
          <w:b/>
          <w:bCs/>
          <w:sz w:val="24"/>
          <w:rtl/>
        </w:rPr>
        <w:t>שיט</w:t>
      </w:r>
      <w:r>
        <w:rPr>
          <w:rFonts w:hint="cs"/>
          <w:b/>
          <w:bCs/>
          <w:sz w:val="24"/>
          <w:rtl/>
        </w:rPr>
        <w:t>ה</w:t>
      </w:r>
      <w:r w:rsidRPr="000F6B26">
        <w:rPr>
          <w:b/>
          <w:bCs/>
          <w:sz w:val="24"/>
          <w:rtl/>
        </w:rPr>
        <w:t xml:space="preserve"> </w:t>
      </w:r>
      <w:r>
        <w:rPr>
          <w:rFonts w:hint="cs"/>
          <w:b/>
          <w:bCs/>
          <w:sz w:val="24"/>
          <w:rtl/>
        </w:rPr>
        <w:t xml:space="preserve">של </w:t>
      </w:r>
      <w:r w:rsidRPr="000F6B26">
        <w:rPr>
          <w:b/>
          <w:bCs/>
          <w:sz w:val="24"/>
          <w:rtl/>
        </w:rPr>
        <w:t>ההסתננות.</w:t>
      </w:r>
    </w:p>
    <w:p w:rsidR="00CA38F7" w:rsidP="00AE0BE6" w14:paraId="4EC367CE" w14:textId="77777777">
      <w:pPr>
        <w:spacing w:line="269" w:lineRule="auto"/>
        <w:ind w:left="312"/>
        <w:rPr>
          <w:b/>
          <w:bCs/>
          <w:sz w:val="24"/>
          <w:rtl/>
        </w:rPr>
      </w:pPr>
    </w:p>
    <w:p w:rsidR="002D0C59" w:rsidP="00AE0BE6" w14:paraId="00830B62" w14:textId="77777777">
      <w:pPr>
        <w:spacing w:line="269" w:lineRule="auto"/>
        <w:jc w:val="center"/>
        <w:rPr>
          <w:rFonts w:ascii="Arial" w:hAnsi="Arial"/>
          <w:b/>
          <w:bCs/>
          <w:sz w:val="36"/>
          <w:rtl/>
        </w:rPr>
      </w:pPr>
      <w:r w:rsidRPr="00A21F5C">
        <w:rPr>
          <w:rFonts w:ascii="Segoe UI Symbol" w:eastAsia="MS Gothic" w:hAnsi="Segoe UI Symbol" w:cs="Segoe UI Symbol" w:hint="cs"/>
          <w:b/>
          <w:bCs/>
          <w:sz w:val="36"/>
          <w:rtl/>
        </w:rPr>
        <w:t>✰</w:t>
      </w:r>
    </w:p>
    <w:p w:rsidR="002D0C59" w:rsidP="00AE0BE6" w14:paraId="3E58691F" w14:textId="06259DE3">
      <w:pPr>
        <w:pStyle w:val="a"/>
        <w:spacing w:line="269" w:lineRule="auto"/>
        <w:rPr>
          <w:rtl/>
        </w:rPr>
      </w:pPr>
    </w:p>
    <w:p w:rsidR="00CA38F7" w:rsidRPr="00CA38F7" w:rsidP="00CA38F7" w14:paraId="6C26BAA5" w14:textId="77777777">
      <w:pPr>
        <w:rPr>
          <w:rtl/>
        </w:rPr>
      </w:pPr>
    </w:p>
    <w:p w:rsidR="002D0C59" w:rsidP="00AE0BE6" w14:paraId="60C59EC8" w14:textId="77777777">
      <w:pPr>
        <w:spacing w:line="269" w:lineRule="auto"/>
        <w:rPr>
          <w:b/>
          <w:bCs/>
          <w:sz w:val="24"/>
          <w:rtl/>
        </w:rPr>
      </w:pPr>
      <w:r>
        <w:rPr>
          <w:rFonts w:hint="cs"/>
          <w:b/>
          <w:bCs/>
          <w:sz w:val="24"/>
          <w:rtl/>
        </w:rPr>
        <w:t xml:space="preserve">בקרה על מערך </w:t>
      </w:r>
      <w:r w:rsidRPr="003D3A39">
        <w:rPr>
          <w:b/>
          <w:bCs/>
          <w:sz w:val="24"/>
          <w:rtl/>
        </w:rPr>
        <w:t xml:space="preserve">ביקורת הגבולות נועדה </w:t>
      </w:r>
      <w:r>
        <w:rPr>
          <w:rFonts w:hint="cs"/>
          <w:b/>
          <w:bCs/>
          <w:sz w:val="24"/>
          <w:rtl/>
        </w:rPr>
        <w:t xml:space="preserve">להבטיח שהוא פועל ביעילות כדי </w:t>
      </w:r>
      <w:r w:rsidRPr="003D3A39">
        <w:rPr>
          <w:b/>
          <w:bCs/>
          <w:sz w:val="24"/>
          <w:rtl/>
        </w:rPr>
        <w:t xml:space="preserve">למנוע כניסת אנשים לשטחה של מדינת ישראל מטעמים ביטחוניים או פליליים או כאשר יש חשש שהם מבקשים להגר לישראל שלא כחוק, וכן כדי למנוע יציאה מהארץ של נוסעים אשר יציאתם נאסרה. </w:t>
      </w:r>
      <w:r>
        <w:rPr>
          <w:rFonts w:hint="cs"/>
          <w:b/>
          <w:bCs/>
          <w:sz w:val="24"/>
          <w:rtl/>
        </w:rPr>
        <w:t xml:space="preserve">ואולם, </w:t>
      </w:r>
      <w:r w:rsidRPr="009B1CAD">
        <w:rPr>
          <w:b/>
          <w:bCs/>
          <w:sz w:val="24"/>
          <w:rtl/>
        </w:rPr>
        <w:t>מינהל ביקורת הגבולות לא ערך בקרה כוללת על מערך ביקורת הגבולות במשך יותר משלוש שנ</w:t>
      </w:r>
      <w:r w:rsidRPr="009B1CAD">
        <w:rPr>
          <w:b/>
          <w:bCs/>
          <w:sz w:val="24"/>
          <w:rtl/>
        </w:rPr>
        <w:t>ים</w:t>
      </w:r>
      <w:r>
        <w:rPr>
          <w:rFonts w:hint="cs"/>
          <w:b/>
          <w:bCs/>
          <w:sz w:val="24"/>
          <w:rtl/>
        </w:rPr>
        <w:t xml:space="preserve">, תקופה שבה גדל פי שמונה מספר המקרים שבהם עלה חשד לכניסה לישראל שלא כחוק דרך מעבר הגבול בנתב"ג. </w:t>
      </w:r>
    </w:p>
    <w:p w:rsidR="002D0C59" w:rsidRPr="006B7709" w:rsidP="00AE0BE6" w14:paraId="18693FC4" w14:textId="77777777">
      <w:pPr>
        <w:pStyle w:val="a"/>
        <w:spacing w:line="269" w:lineRule="auto"/>
        <w:rPr>
          <w:rtl/>
        </w:rPr>
      </w:pPr>
    </w:p>
    <w:p w:rsidR="002D0C59" w:rsidP="00AE0BE6" w14:paraId="18C00544" w14:textId="77777777">
      <w:pPr>
        <w:spacing w:line="269" w:lineRule="auto"/>
        <w:rPr>
          <w:rtl/>
        </w:rPr>
      </w:pPr>
      <w:r w:rsidRPr="004A0234">
        <w:rPr>
          <w:b/>
          <w:bCs/>
          <w:sz w:val="24"/>
          <w:rtl/>
        </w:rPr>
        <w:t xml:space="preserve">על </w:t>
      </w:r>
      <w:r w:rsidRPr="004A0234">
        <w:rPr>
          <w:rFonts w:hint="cs"/>
          <w:b/>
          <w:bCs/>
          <w:sz w:val="24"/>
          <w:rtl/>
        </w:rPr>
        <w:t xml:space="preserve">מינהל ביקורת </w:t>
      </w:r>
      <w:r>
        <w:rPr>
          <w:rFonts w:hint="cs"/>
          <w:b/>
          <w:bCs/>
          <w:sz w:val="24"/>
          <w:rtl/>
        </w:rPr>
        <w:t>ה</w:t>
      </w:r>
      <w:r w:rsidRPr="004A0234">
        <w:rPr>
          <w:rFonts w:hint="cs"/>
          <w:b/>
          <w:bCs/>
          <w:sz w:val="24"/>
          <w:rtl/>
        </w:rPr>
        <w:t>גבולות</w:t>
      </w:r>
      <w:r w:rsidRPr="004A0234">
        <w:rPr>
          <w:b/>
          <w:bCs/>
          <w:sz w:val="24"/>
          <w:rtl/>
        </w:rPr>
        <w:t xml:space="preserve"> </w:t>
      </w:r>
      <w:r w:rsidRPr="004A0234">
        <w:rPr>
          <w:rFonts w:hint="cs"/>
          <w:b/>
          <w:bCs/>
          <w:sz w:val="24"/>
          <w:rtl/>
        </w:rPr>
        <w:t>לגבש תוכנית בקרה שנתית</w:t>
      </w:r>
      <w:r>
        <w:rPr>
          <w:rFonts w:hint="cs"/>
          <w:b/>
          <w:bCs/>
          <w:sz w:val="24"/>
          <w:rtl/>
        </w:rPr>
        <w:t>,</w:t>
      </w:r>
      <w:r w:rsidRPr="004A0234">
        <w:rPr>
          <w:rFonts w:hint="cs"/>
          <w:b/>
          <w:bCs/>
          <w:sz w:val="24"/>
          <w:rtl/>
        </w:rPr>
        <w:t xml:space="preserve"> שתכלול את מלוא המידע הדרוש לשם ביצוע בקרה יעילה ומקיפה על עבודת ביקורת הגבולות</w:t>
      </w:r>
      <w:r>
        <w:rPr>
          <w:rFonts w:hint="cs"/>
          <w:b/>
          <w:bCs/>
          <w:sz w:val="24"/>
          <w:rtl/>
        </w:rPr>
        <w:t>,</w:t>
      </w:r>
      <w:r w:rsidRPr="004A0234">
        <w:rPr>
          <w:rFonts w:hint="cs"/>
          <w:b/>
          <w:bCs/>
          <w:sz w:val="24"/>
          <w:rtl/>
        </w:rPr>
        <w:t xml:space="preserve"> ולפעול בהקדם לביצועה. על </w:t>
      </w:r>
      <w:r w:rsidRPr="004A0234">
        <w:rPr>
          <w:rFonts w:hint="cs"/>
          <w:b/>
          <w:bCs/>
          <w:sz w:val="24"/>
          <w:rtl/>
        </w:rPr>
        <w:t>המינהל גם ל</w:t>
      </w:r>
      <w:r w:rsidR="00B00B22">
        <w:rPr>
          <w:rFonts w:hint="cs"/>
          <w:b/>
          <w:bCs/>
          <w:sz w:val="24"/>
          <w:rtl/>
        </w:rPr>
        <w:t>בחון אפשרות ל</w:t>
      </w:r>
      <w:r w:rsidRPr="004A0234">
        <w:rPr>
          <w:rFonts w:hint="cs"/>
          <w:b/>
          <w:bCs/>
          <w:sz w:val="24"/>
          <w:rtl/>
        </w:rPr>
        <w:t>פתח דוחות ניהוליים במערכת הממוחשבת לצורך שיפור הבקרה על מעברי הגבול, לרבות איתור החלטות שגויות ואישור</w:t>
      </w:r>
      <w:r>
        <w:rPr>
          <w:rFonts w:hint="cs"/>
          <w:b/>
          <w:bCs/>
          <w:sz w:val="24"/>
          <w:rtl/>
        </w:rPr>
        <w:t>י</w:t>
      </w:r>
      <w:r w:rsidRPr="004A0234">
        <w:rPr>
          <w:rFonts w:hint="cs"/>
          <w:b/>
          <w:bCs/>
          <w:sz w:val="24"/>
          <w:rtl/>
        </w:rPr>
        <w:t xml:space="preserve"> מעבר חריגים. עוד על המינהל לערוך בקרה כוללת על המערך באופן סדיר ושיטתי על פי תוכנית הבקרה השנתית. </w:t>
      </w:r>
      <w:r>
        <w:rPr>
          <w:rFonts w:hint="cs"/>
          <w:b/>
          <w:bCs/>
          <w:sz w:val="24"/>
          <w:rtl/>
        </w:rPr>
        <w:t>לשם כך</w:t>
      </w:r>
      <w:r w:rsidRPr="004A0234">
        <w:rPr>
          <w:rFonts w:hint="cs"/>
          <w:b/>
          <w:bCs/>
          <w:sz w:val="24"/>
          <w:rtl/>
        </w:rPr>
        <w:t xml:space="preserve"> עליו ל</w:t>
      </w:r>
      <w:r>
        <w:rPr>
          <w:rFonts w:hint="cs"/>
          <w:b/>
          <w:bCs/>
          <w:sz w:val="24"/>
          <w:rtl/>
        </w:rPr>
        <w:t>השתמש</w:t>
      </w:r>
      <w:r w:rsidRPr="004A0234">
        <w:rPr>
          <w:rFonts w:hint="cs"/>
          <w:b/>
          <w:bCs/>
          <w:sz w:val="24"/>
          <w:rtl/>
        </w:rPr>
        <w:t xml:space="preserve"> </w:t>
      </w:r>
      <w:r>
        <w:rPr>
          <w:rFonts w:hint="cs"/>
          <w:b/>
          <w:bCs/>
          <w:sz w:val="24"/>
          <w:rtl/>
        </w:rPr>
        <w:t xml:space="preserve">גם </w:t>
      </w:r>
      <w:r w:rsidRPr="004A0234">
        <w:rPr>
          <w:rFonts w:hint="cs"/>
          <w:b/>
          <w:bCs/>
          <w:sz w:val="24"/>
          <w:rtl/>
        </w:rPr>
        <w:t>בדוחות הנ</w:t>
      </w:r>
      <w:r w:rsidRPr="004A0234">
        <w:rPr>
          <w:rFonts w:hint="cs"/>
          <w:b/>
          <w:bCs/>
          <w:sz w:val="24"/>
          <w:rtl/>
        </w:rPr>
        <w:t xml:space="preserve">יהוליים של המערכת הממוחשבת ובמידע הקיים במינהל אכיפה וזרים. </w:t>
      </w:r>
    </w:p>
    <w:p w:rsidR="00377347" w:rsidP="00792C56" w14:paraId="1996CAFC" w14:textId="77777777">
      <w:pPr>
        <w:pStyle w:val="a"/>
        <w:rPr>
          <w:rtl/>
        </w:rPr>
      </w:pPr>
    </w:p>
    <w:p w:rsidR="00792C56" w:rsidRPr="00A21F5C" w:rsidP="00792C56" w14:paraId="48F5F1C0" w14:textId="77777777">
      <w:pPr>
        <w:pStyle w:val="a"/>
        <w:rPr>
          <w:rtl/>
        </w:rPr>
      </w:pPr>
    </w:p>
    <w:p w:rsidR="002D0C59" w:rsidRPr="002D0C59" w:rsidP="00AE0BE6" w14:paraId="1E48222D" w14:textId="77777777">
      <w:pPr>
        <w:pStyle w:val="Heading3"/>
        <w:spacing w:before="0" w:line="269" w:lineRule="auto"/>
        <w:rPr>
          <w:rtl/>
        </w:rPr>
      </w:pPr>
      <w:r w:rsidRPr="002D0C59">
        <w:rPr>
          <w:rtl/>
        </w:rPr>
        <w:t xml:space="preserve">העסקת עובדי קבלן בתפקידי ביקורת </w:t>
      </w:r>
      <w:r w:rsidRPr="002D0C59">
        <w:rPr>
          <w:rFonts w:hint="cs"/>
          <w:rtl/>
        </w:rPr>
        <w:t>ה</w:t>
      </w:r>
      <w:r w:rsidRPr="002D0C59">
        <w:rPr>
          <w:rtl/>
        </w:rPr>
        <w:t>גבולות</w:t>
      </w:r>
      <w:r w:rsidRPr="002D0C59">
        <w:rPr>
          <w:rFonts w:hint="cs"/>
          <w:rtl/>
        </w:rPr>
        <w:t xml:space="preserve"> בנתב"ג</w:t>
      </w:r>
    </w:p>
    <w:p w:rsidR="002D0C59" w:rsidRPr="00A21F5C" w:rsidP="00AE0BE6" w14:paraId="5053E081" w14:textId="77777777">
      <w:pPr>
        <w:pStyle w:val="a"/>
        <w:spacing w:line="269" w:lineRule="auto"/>
        <w:rPr>
          <w:rtl/>
        </w:rPr>
      </w:pPr>
    </w:p>
    <w:p w:rsidR="002D0C59" w:rsidP="00AE0BE6" w14:paraId="3CD88BA1" w14:textId="77777777">
      <w:pPr>
        <w:spacing w:line="269" w:lineRule="auto"/>
        <w:rPr>
          <w:sz w:val="24"/>
          <w:rtl/>
        </w:rPr>
      </w:pPr>
      <w:r>
        <w:rPr>
          <w:rFonts w:hint="cs"/>
          <w:sz w:val="24"/>
          <w:rtl/>
        </w:rPr>
        <w:t xml:space="preserve">את </w:t>
      </w:r>
      <w:r w:rsidRPr="00496D58">
        <w:rPr>
          <w:rFonts w:hint="cs"/>
          <w:sz w:val="24"/>
          <w:rtl/>
        </w:rPr>
        <w:t>בקרי הגבול ממנ</w:t>
      </w:r>
      <w:r>
        <w:rPr>
          <w:rFonts w:hint="cs"/>
          <w:sz w:val="24"/>
          <w:rtl/>
        </w:rPr>
        <w:t>ה</w:t>
      </w:r>
      <w:r w:rsidRPr="00496D58">
        <w:rPr>
          <w:rFonts w:hint="cs"/>
          <w:sz w:val="24"/>
          <w:rtl/>
        </w:rPr>
        <w:t xml:space="preserve"> שר הפנים בהתאם להוראות חוק הכניסה לישראל. תקנה 16א לתקנות הכניסה לישראל, </w:t>
      </w:r>
      <w:r>
        <w:rPr>
          <w:rFonts w:hint="cs"/>
          <w:sz w:val="24"/>
          <w:rtl/>
        </w:rPr>
        <w:t>ה</w:t>
      </w:r>
      <w:r w:rsidRPr="00496D58">
        <w:rPr>
          <w:rFonts w:hint="cs"/>
          <w:sz w:val="24"/>
          <w:rtl/>
        </w:rPr>
        <w:t>תשל"ד-1974</w:t>
      </w:r>
      <w:r>
        <w:rPr>
          <w:rFonts w:hint="cs"/>
          <w:sz w:val="24"/>
          <w:rtl/>
        </w:rPr>
        <w:t>,</w:t>
      </w:r>
      <w:r w:rsidRPr="00496D58">
        <w:rPr>
          <w:rFonts w:hint="cs"/>
          <w:sz w:val="24"/>
          <w:rtl/>
        </w:rPr>
        <w:t xml:space="preserve"> קובעת כי "</w:t>
      </w:r>
      <w:r w:rsidRPr="00496D58">
        <w:rPr>
          <w:sz w:val="24"/>
          <w:rtl/>
        </w:rPr>
        <w:t>מי שבא לגבול ישראל, זוהה באמצע</w:t>
      </w:r>
      <w:r w:rsidRPr="00496D58">
        <w:rPr>
          <w:sz w:val="24"/>
          <w:rtl/>
        </w:rPr>
        <w:t>ים ממוכנים בהתאם לנהלים שאישר ראש רשות האוכלוסין וההגירה וקיבל אישור ביקורת גבולות לכניסה או יציאה, יראו אותו כמי שהתייצב בפני קצין ביקורת הגבולות לפי סעיף 7 לחוק</w:t>
      </w:r>
      <w:r w:rsidRPr="00496D58">
        <w:rPr>
          <w:rFonts w:hint="cs"/>
          <w:sz w:val="24"/>
          <w:rtl/>
        </w:rPr>
        <w:t>"</w:t>
      </w:r>
      <w:r w:rsidRPr="00496D58">
        <w:rPr>
          <w:sz w:val="24"/>
          <w:rtl/>
        </w:rPr>
        <w:t>.</w:t>
      </w:r>
      <w:r w:rsidRPr="00496D58">
        <w:rPr>
          <w:rFonts w:hint="cs"/>
          <w:sz w:val="24"/>
          <w:rtl/>
        </w:rPr>
        <w:t xml:space="preserve"> תקנה 16א תקפה משנת 2017.</w:t>
      </w:r>
    </w:p>
    <w:p w:rsidR="002D0C59" w:rsidRPr="00A21F5C" w:rsidP="00AE0BE6" w14:paraId="5A71865D" w14:textId="77777777">
      <w:pPr>
        <w:pStyle w:val="a"/>
        <w:spacing w:line="269" w:lineRule="auto"/>
        <w:rPr>
          <w:rtl/>
        </w:rPr>
      </w:pPr>
    </w:p>
    <w:p w:rsidR="002D0C59" w:rsidP="00AE0BE6" w14:paraId="503C86AF" w14:textId="77777777">
      <w:pPr>
        <w:spacing w:line="269" w:lineRule="auto"/>
        <w:rPr>
          <w:sz w:val="24"/>
          <w:rtl/>
        </w:rPr>
      </w:pPr>
      <w:r w:rsidRPr="00496D58">
        <w:rPr>
          <w:rFonts w:hint="cs"/>
          <w:sz w:val="24"/>
          <w:rtl/>
        </w:rPr>
        <w:t xml:space="preserve">ביקורת הגבולות כוללת כאמור </w:t>
      </w:r>
      <w:r>
        <w:rPr>
          <w:rFonts w:hint="cs"/>
          <w:sz w:val="24"/>
          <w:rtl/>
        </w:rPr>
        <w:t xml:space="preserve">את </w:t>
      </w:r>
      <w:r w:rsidRPr="00496D58">
        <w:rPr>
          <w:rFonts w:hint="cs"/>
          <w:sz w:val="24"/>
          <w:rtl/>
        </w:rPr>
        <w:t xml:space="preserve">זיהוי </w:t>
      </w:r>
      <w:r w:rsidRPr="00496D58">
        <w:rPr>
          <w:sz w:val="24"/>
          <w:rtl/>
        </w:rPr>
        <w:t xml:space="preserve">הנוסע </w:t>
      </w:r>
      <w:r w:rsidRPr="00496D58">
        <w:rPr>
          <w:rFonts w:hint="cs"/>
          <w:sz w:val="24"/>
          <w:rtl/>
        </w:rPr>
        <w:t xml:space="preserve">במעבר הגבול </w:t>
      </w:r>
      <w:r w:rsidRPr="00496D58">
        <w:rPr>
          <w:sz w:val="24"/>
          <w:rtl/>
        </w:rPr>
        <w:t xml:space="preserve">לפי התמונה </w:t>
      </w:r>
      <w:r w:rsidRPr="00496D58">
        <w:rPr>
          <w:sz w:val="24"/>
          <w:rtl/>
        </w:rPr>
        <w:t>ב</w:t>
      </w:r>
      <w:r w:rsidRPr="00496D58">
        <w:rPr>
          <w:rFonts w:hint="cs"/>
          <w:sz w:val="24"/>
          <w:rtl/>
        </w:rPr>
        <w:t>מסמך הנסיעה שלו, וידוא ש</w:t>
      </w:r>
      <w:r w:rsidRPr="00496D58">
        <w:rPr>
          <w:sz w:val="24"/>
          <w:rtl/>
        </w:rPr>
        <w:t xml:space="preserve">מסמך הנסיעה </w:t>
      </w:r>
      <w:r w:rsidRPr="00496D58">
        <w:rPr>
          <w:rFonts w:hint="cs"/>
          <w:sz w:val="24"/>
          <w:rtl/>
        </w:rPr>
        <w:t>מקורי, ואם עולה חשד שאין להתיר את המעבר - ר</w:t>
      </w:r>
      <w:r>
        <w:rPr>
          <w:rFonts w:hint="cs"/>
          <w:sz w:val="24"/>
          <w:rtl/>
        </w:rPr>
        <w:t>י</w:t>
      </w:r>
      <w:r w:rsidRPr="00496D58">
        <w:rPr>
          <w:rFonts w:hint="cs"/>
          <w:sz w:val="24"/>
          <w:rtl/>
        </w:rPr>
        <w:t>איון של העובר לצורך</w:t>
      </w:r>
      <w:r w:rsidRPr="00496D58">
        <w:rPr>
          <w:sz w:val="24"/>
          <w:rtl/>
        </w:rPr>
        <w:t xml:space="preserve"> זיהוי ו</w:t>
      </w:r>
      <w:r w:rsidRPr="00496D58">
        <w:rPr>
          <w:rFonts w:hint="cs"/>
          <w:sz w:val="24"/>
          <w:rtl/>
        </w:rPr>
        <w:t xml:space="preserve">בדיקה אם יש </w:t>
      </w:r>
      <w:r w:rsidRPr="00496D58">
        <w:rPr>
          <w:sz w:val="24"/>
          <w:rtl/>
        </w:rPr>
        <w:t xml:space="preserve">סימנים </w:t>
      </w:r>
      <w:r>
        <w:rPr>
          <w:rFonts w:hint="cs"/>
          <w:sz w:val="24"/>
          <w:rtl/>
        </w:rPr>
        <w:t xml:space="preserve">מעוררי </w:t>
      </w:r>
      <w:r w:rsidRPr="00496D58">
        <w:rPr>
          <w:rFonts w:hint="cs"/>
          <w:sz w:val="24"/>
          <w:rtl/>
        </w:rPr>
        <w:t>חשד</w:t>
      </w:r>
      <w:r w:rsidRPr="00496D58">
        <w:rPr>
          <w:sz w:val="24"/>
          <w:rtl/>
        </w:rPr>
        <w:t>.</w:t>
      </w:r>
      <w:r w:rsidRPr="00496D58">
        <w:rPr>
          <w:rFonts w:hint="cs"/>
          <w:sz w:val="24"/>
          <w:rtl/>
        </w:rPr>
        <w:t xml:space="preserve"> הפעולות האלה נעשות בידי בקרי גבול או באמצעים ממוכנים - עמדות ממוחשבות לשירות עצמי שמיועדות ככלל לנוסעים ישראלים.</w:t>
      </w:r>
      <w:r w:rsidRPr="00496D58">
        <w:rPr>
          <w:sz w:val="24"/>
          <w:rtl/>
        </w:rPr>
        <w:t xml:space="preserve"> </w:t>
      </w:r>
      <w:r w:rsidRPr="00496D58">
        <w:rPr>
          <w:rFonts w:hint="cs"/>
          <w:sz w:val="24"/>
          <w:rtl/>
        </w:rPr>
        <w:t>ב</w:t>
      </w:r>
      <w:r w:rsidRPr="00496D58">
        <w:rPr>
          <w:sz w:val="24"/>
          <w:rtl/>
        </w:rPr>
        <w:t>עמד</w:t>
      </w:r>
      <w:r w:rsidRPr="00496D58">
        <w:rPr>
          <w:sz w:val="24"/>
          <w:rtl/>
        </w:rPr>
        <w:t xml:space="preserve">ות </w:t>
      </w:r>
      <w:r w:rsidRPr="00496D58">
        <w:rPr>
          <w:rFonts w:hint="cs"/>
          <w:sz w:val="24"/>
          <w:rtl/>
        </w:rPr>
        <w:t>לשירות עצמי</w:t>
      </w:r>
      <w:r w:rsidRPr="00496D58">
        <w:rPr>
          <w:sz w:val="24"/>
          <w:rtl/>
        </w:rPr>
        <w:t xml:space="preserve"> </w:t>
      </w:r>
      <w:r w:rsidRPr="00496D58">
        <w:rPr>
          <w:rFonts w:hint="cs"/>
          <w:sz w:val="24"/>
          <w:rtl/>
        </w:rPr>
        <w:t>הנוסע סורק את מסמך הנסיעה שלו, ו</w:t>
      </w:r>
      <w:r>
        <w:rPr>
          <w:rFonts w:hint="cs"/>
          <w:sz w:val="24"/>
          <w:rtl/>
        </w:rPr>
        <w:t>פרטי המסמך</w:t>
      </w:r>
      <w:r w:rsidRPr="00496D58">
        <w:rPr>
          <w:rFonts w:hint="cs"/>
          <w:sz w:val="24"/>
          <w:rtl/>
        </w:rPr>
        <w:t xml:space="preserve"> מושוו</w:t>
      </w:r>
      <w:r>
        <w:rPr>
          <w:rFonts w:hint="cs"/>
          <w:sz w:val="24"/>
          <w:rtl/>
        </w:rPr>
        <w:t>ים</w:t>
      </w:r>
      <w:r w:rsidRPr="00496D58">
        <w:rPr>
          <w:rFonts w:hint="cs"/>
          <w:sz w:val="24"/>
          <w:rtl/>
        </w:rPr>
        <w:t xml:space="preserve"> לפרטי הנוסע שבמערכת הממוחשבת של המינהל וגם לפרטים שבמאגר הביומטרי</w:t>
      </w:r>
      <w:r w:rsidRPr="00496D58">
        <w:rPr>
          <w:sz w:val="24"/>
          <w:rtl/>
        </w:rPr>
        <w:t xml:space="preserve">. </w:t>
      </w:r>
      <w:r w:rsidRPr="00496D58">
        <w:rPr>
          <w:rFonts w:hint="cs"/>
          <w:sz w:val="24"/>
          <w:rtl/>
        </w:rPr>
        <w:t xml:space="preserve">רשות האוכלוסין קבעה כי במקרים מסוימים שפורטו בנוהלי הרשות </w:t>
      </w:r>
      <w:r w:rsidRPr="00496D58">
        <w:rPr>
          <w:sz w:val="24"/>
          <w:rtl/>
        </w:rPr>
        <w:t>עמדות אלה</w:t>
      </w:r>
      <w:r w:rsidRPr="00496D58">
        <w:rPr>
          <w:rFonts w:hint="cs"/>
          <w:sz w:val="24"/>
          <w:rtl/>
        </w:rPr>
        <w:t xml:space="preserve"> יכולות לשמש גם נוסעים ישראלים בעלי דרכון רגיל (שאינו בי</w:t>
      </w:r>
      <w:r w:rsidRPr="00496D58">
        <w:rPr>
          <w:rFonts w:hint="cs"/>
          <w:sz w:val="24"/>
          <w:rtl/>
        </w:rPr>
        <w:t xml:space="preserve">ומטרי). שימוש כזה מצריך שינוי </w:t>
      </w:r>
      <w:r>
        <w:rPr>
          <w:rFonts w:hint="cs"/>
          <w:sz w:val="24"/>
          <w:rtl/>
        </w:rPr>
        <w:t>בצורת ההפעלה של ה</w:t>
      </w:r>
      <w:r w:rsidRPr="00496D58">
        <w:rPr>
          <w:rFonts w:hint="cs"/>
          <w:sz w:val="24"/>
          <w:rtl/>
        </w:rPr>
        <w:t>עמדה.</w:t>
      </w:r>
      <w:r w:rsidRPr="00496D58">
        <w:rPr>
          <w:sz w:val="24"/>
          <w:rtl/>
        </w:rPr>
        <w:t xml:space="preserve"> </w:t>
      </w:r>
    </w:p>
    <w:p w:rsidR="002D0C59" w:rsidRPr="00A21F5C" w:rsidP="00AE0BE6" w14:paraId="3D07CCCE" w14:textId="77777777">
      <w:pPr>
        <w:pStyle w:val="a"/>
        <w:spacing w:line="269" w:lineRule="auto"/>
      </w:pPr>
    </w:p>
    <w:p w:rsidR="002D0C59" w:rsidP="00AE0BE6" w14:paraId="6F48BD85" w14:textId="77777777">
      <w:pPr>
        <w:pStyle w:val="ListParagraph"/>
        <w:numPr>
          <w:ilvl w:val="0"/>
          <w:numId w:val="13"/>
        </w:numPr>
        <w:spacing w:after="0" w:line="269" w:lineRule="auto"/>
        <w:jc w:val="both"/>
        <w:rPr>
          <w:rFonts w:cs="David"/>
          <w:sz w:val="24"/>
          <w:szCs w:val="24"/>
        </w:rPr>
      </w:pPr>
      <w:r w:rsidRPr="00496D58">
        <w:rPr>
          <w:rFonts w:cs="David"/>
          <w:sz w:val="24"/>
          <w:szCs w:val="24"/>
          <w:rtl/>
        </w:rPr>
        <w:t xml:space="preserve">בנובמבר 2017 החליט מנכ"ל רשות האוכלוסין כי אפשר להפעיל עמדות ביומטריות גם לשימוש נוסעים ישראלים בעלי דרכונים רגילים (שאינם ביומטריים), לרבות סריקת הדרכונים בעמדות, ובתנאי שהמעבר נעשה בנוכחות בקר גבול. </w:t>
      </w:r>
      <w:r w:rsidRPr="00496D58">
        <w:rPr>
          <w:rFonts w:cs="David"/>
          <w:sz w:val="24"/>
          <w:szCs w:val="24"/>
          <w:rtl/>
        </w:rPr>
        <w:t>המנכ"ל החליט גם שסריקת דרכונים רגילים ללא בקר גבול תתאפשר רק על פי נוהל ש</w:t>
      </w:r>
      <w:r>
        <w:rPr>
          <w:rFonts w:cs="David" w:hint="cs"/>
          <w:sz w:val="24"/>
          <w:szCs w:val="24"/>
          <w:rtl/>
        </w:rPr>
        <w:t xml:space="preserve">תגבש </w:t>
      </w:r>
      <w:r w:rsidRPr="00496D58">
        <w:rPr>
          <w:rFonts w:cs="David"/>
          <w:sz w:val="24"/>
          <w:szCs w:val="24"/>
          <w:rtl/>
        </w:rPr>
        <w:t>הרשות. זאת משום שבדיקת דרכון רגיל בעמדה ביומטרית נותנת מענה מספק רק לצורך זיהוי הנוסע, ואין די בה כדי לוודא שהדרכון מקורי. בניגוד לדרכון הביומטרי, שבו תמונת הנוסע מוגנת, התמונה ב</w:t>
      </w:r>
      <w:r w:rsidRPr="00496D58">
        <w:rPr>
          <w:rFonts w:cs="David"/>
          <w:sz w:val="24"/>
          <w:szCs w:val="24"/>
          <w:rtl/>
        </w:rPr>
        <w:t>דרכון רגיל אינה מוגנת ו</w:t>
      </w:r>
      <w:r>
        <w:rPr>
          <w:rFonts w:cs="David" w:hint="cs"/>
          <w:sz w:val="24"/>
          <w:szCs w:val="24"/>
          <w:rtl/>
        </w:rPr>
        <w:t>אפשר</w:t>
      </w:r>
      <w:r w:rsidRPr="00496D58">
        <w:rPr>
          <w:rFonts w:cs="David"/>
          <w:sz w:val="24"/>
          <w:szCs w:val="24"/>
          <w:rtl/>
        </w:rPr>
        <w:t xml:space="preserve"> להחל</w:t>
      </w:r>
      <w:r>
        <w:rPr>
          <w:rFonts w:cs="David" w:hint="cs"/>
          <w:sz w:val="24"/>
          <w:szCs w:val="24"/>
          <w:rtl/>
        </w:rPr>
        <w:t>י</w:t>
      </w:r>
      <w:r w:rsidRPr="00496D58">
        <w:rPr>
          <w:rFonts w:cs="David"/>
          <w:sz w:val="24"/>
          <w:szCs w:val="24"/>
          <w:rtl/>
        </w:rPr>
        <w:t>פה, כלומר הסיכון לזיוף ג</w:t>
      </w:r>
      <w:r>
        <w:rPr>
          <w:rFonts w:cs="David" w:hint="cs"/>
          <w:sz w:val="24"/>
          <w:szCs w:val="24"/>
          <w:rtl/>
        </w:rPr>
        <w:t>דל</w:t>
      </w:r>
      <w:r w:rsidRPr="00496D58">
        <w:rPr>
          <w:rFonts w:cs="David"/>
          <w:sz w:val="24"/>
          <w:szCs w:val="24"/>
          <w:rtl/>
        </w:rPr>
        <w:t xml:space="preserve"> כאשר מדובר בדרכון רגי</w:t>
      </w:r>
      <w:r w:rsidRPr="00496D58">
        <w:rPr>
          <w:rFonts w:cs="David" w:hint="cs"/>
          <w:sz w:val="24"/>
          <w:szCs w:val="24"/>
          <w:rtl/>
        </w:rPr>
        <w:t>ל</w:t>
      </w:r>
      <w:r w:rsidRPr="00496D58">
        <w:rPr>
          <w:rFonts w:cs="David"/>
          <w:sz w:val="24"/>
          <w:szCs w:val="24"/>
          <w:rtl/>
        </w:rPr>
        <w:t>.</w:t>
      </w:r>
      <w:r w:rsidRPr="00496D58">
        <w:rPr>
          <w:rFonts w:cs="David" w:hint="cs"/>
          <w:sz w:val="24"/>
          <w:szCs w:val="24"/>
          <w:rtl/>
        </w:rPr>
        <w:t xml:space="preserve"> במרץ 2018 גובש נוהל בנושא זה.</w:t>
      </w:r>
    </w:p>
    <w:p w:rsidR="002D0C59" w:rsidRPr="000941EC" w:rsidP="00AE0BE6" w14:paraId="549B8A7B" w14:textId="77777777">
      <w:pPr>
        <w:pStyle w:val="a"/>
        <w:spacing w:line="269" w:lineRule="auto"/>
        <w:rPr>
          <w:rtl/>
        </w:rPr>
      </w:pPr>
    </w:p>
    <w:p w:rsidR="002D0C59" w:rsidP="00AE0BE6" w14:paraId="6E1C7190" w14:textId="77777777">
      <w:pPr>
        <w:pStyle w:val="ListParagraph"/>
        <w:numPr>
          <w:ilvl w:val="0"/>
          <w:numId w:val="13"/>
        </w:numPr>
        <w:spacing w:after="0" w:line="269" w:lineRule="auto"/>
        <w:jc w:val="both"/>
        <w:rPr>
          <w:rFonts w:cs="David"/>
          <w:sz w:val="24"/>
          <w:szCs w:val="24"/>
        </w:rPr>
      </w:pPr>
      <w:r>
        <w:rPr>
          <w:rFonts w:cs="David" w:hint="cs"/>
          <w:sz w:val="24"/>
          <w:szCs w:val="24"/>
          <w:rtl/>
        </w:rPr>
        <w:t xml:space="preserve">בהסכם ההתקשרות </w:t>
      </w:r>
      <w:r w:rsidRPr="00496D58">
        <w:rPr>
          <w:rFonts w:cs="David"/>
          <w:sz w:val="24"/>
          <w:szCs w:val="24"/>
          <w:rtl/>
        </w:rPr>
        <w:t xml:space="preserve">בין רשות האוכלוסין לרש"ת </w:t>
      </w:r>
      <w:r>
        <w:rPr>
          <w:rFonts w:cs="David" w:hint="cs"/>
          <w:sz w:val="24"/>
          <w:szCs w:val="24"/>
          <w:rtl/>
        </w:rPr>
        <w:t>נקבעו</w:t>
      </w:r>
      <w:r w:rsidRPr="00496D58">
        <w:rPr>
          <w:rFonts w:cs="David" w:hint="cs"/>
          <w:sz w:val="24"/>
          <w:szCs w:val="24"/>
          <w:rtl/>
        </w:rPr>
        <w:t xml:space="preserve"> </w:t>
      </w:r>
      <w:r w:rsidRPr="00496D58">
        <w:rPr>
          <w:rFonts w:cs="David"/>
          <w:sz w:val="24"/>
          <w:szCs w:val="24"/>
          <w:rtl/>
        </w:rPr>
        <w:t>הדרישות לרמת השירות שתעניק רשות האוכלוסין לנוסעים בנתב"ג</w:t>
      </w:r>
      <w:r w:rsidRPr="00496D58">
        <w:rPr>
          <w:rFonts w:cs="David" w:hint="cs"/>
          <w:sz w:val="24"/>
          <w:szCs w:val="24"/>
          <w:rtl/>
        </w:rPr>
        <w:t>. כדי שהרשות תוכל לעמוד ברמת השירות שנק</w:t>
      </w:r>
      <w:r w:rsidRPr="00496D58">
        <w:rPr>
          <w:rFonts w:cs="David" w:hint="cs"/>
          <w:sz w:val="24"/>
          <w:szCs w:val="24"/>
          <w:rtl/>
        </w:rPr>
        <w:t xml:space="preserve">בעה בהסכם בין הגופים, </w:t>
      </w:r>
      <w:r>
        <w:rPr>
          <w:rFonts w:cs="David" w:hint="cs"/>
          <w:sz w:val="24"/>
          <w:szCs w:val="24"/>
          <w:rtl/>
        </w:rPr>
        <w:t>נקבע ש</w:t>
      </w:r>
      <w:r w:rsidRPr="00496D58">
        <w:rPr>
          <w:rFonts w:cs="David"/>
          <w:sz w:val="24"/>
          <w:szCs w:val="24"/>
          <w:rtl/>
        </w:rPr>
        <w:t xml:space="preserve">רש"ת </w:t>
      </w:r>
      <w:r w:rsidRPr="00496D58">
        <w:rPr>
          <w:rFonts w:cs="David" w:hint="cs"/>
          <w:sz w:val="24"/>
          <w:szCs w:val="24"/>
          <w:rtl/>
        </w:rPr>
        <w:t>תספק</w:t>
      </w:r>
      <w:r w:rsidRPr="00496D58">
        <w:rPr>
          <w:rFonts w:cs="David"/>
          <w:sz w:val="24"/>
          <w:szCs w:val="24"/>
          <w:rtl/>
        </w:rPr>
        <w:t xml:space="preserve"> ל</w:t>
      </w:r>
      <w:r>
        <w:rPr>
          <w:rFonts w:cs="David" w:hint="cs"/>
          <w:sz w:val="24"/>
          <w:szCs w:val="24"/>
          <w:rtl/>
        </w:rPr>
        <w:t>ה</w:t>
      </w:r>
      <w:r w:rsidRPr="00496D58">
        <w:rPr>
          <w:rFonts w:cs="David"/>
          <w:sz w:val="24"/>
          <w:szCs w:val="24"/>
          <w:rtl/>
        </w:rPr>
        <w:t xml:space="preserve"> בנתב"ג עובדי קבלן לביצוע משימות מסוימות, ובהן </w:t>
      </w:r>
      <w:r>
        <w:rPr>
          <w:rFonts w:cs="David" w:hint="cs"/>
          <w:sz w:val="24"/>
          <w:szCs w:val="24"/>
          <w:rtl/>
        </w:rPr>
        <w:t>מתן סיוע לנוסעים הזקוקים לכך ב</w:t>
      </w:r>
      <w:r w:rsidRPr="00496D58">
        <w:rPr>
          <w:rFonts w:cs="David"/>
          <w:sz w:val="24"/>
          <w:szCs w:val="24"/>
          <w:rtl/>
        </w:rPr>
        <w:t>עמדות לשירות עצמי, וכן סדרנות ועזרה בעמדות הביומטרי</w:t>
      </w:r>
      <w:r>
        <w:rPr>
          <w:rFonts w:cs="David" w:hint="cs"/>
          <w:sz w:val="24"/>
          <w:szCs w:val="24"/>
          <w:rtl/>
        </w:rPr>
        <w:t>ו</w:t>
      </w:r>
      <w:r w:rsidRPr="00496D58">
        <w:rPr>
          <w:rFonts w:cs="David"/>
          <w:sz w:val="24"/>
          <w:szCs w:val="24"/>
          <w:rtl/>
        </w:rPr>
        <w:t>ת באולם היוצאים ו</w:t>
      </w:r>
      <w:r>
        <w:rPr>
          <w:rFonts w:cs="David" w:hint="cs"/>
          <w:sz w:val="24"/>
          <w:szCs w:val="24"/>
          <w:rtl/>
        </w:rPr>
        <w:t>באולם ה</w:t>
      </w:r>
      <w:r w:rsidRPr="00496D58">
        <w:rPr>
          <w:rFonts w:cs="David"/>
          <w:sz w:val="24"/>
          <w:szCs w:val="24"/>
          <w:rtl/>
        </w:rPr>
        <w:t>נכנסים</w:t>
      </w:r>
      <w:r>
        <w:rPr>
          <w:rFonts w:cs="David" w:hint="cs"/>
          <w:sz w:val="24"/>
          <w:szCs w:val="24"/>
          <w:rtl/>
        </w:rPr>
        <w:t>: למשל,</w:t>
      </w:r>
      <w:r w:rsidRPr="00496D58">
        <w:rPr>
          <w:rFonts w:cs="David"/>
          <w:sz w:val="24"/>
          <w:szCs w:val="24"/>
          <w:rtl/>
        </w:rPr>
        <w:t xml:space="preserve"> עובדי הקבלן יסייעו בהנחת הדרכון הביומטרי על גבי הקורא האופטי </w:t>
      </w:r>
      <w:r w:rsidRPr="00496D58">
        <w:rPr>
          <w:rFonts w:cs="David" w:hint="cs"/>
          <w:sz w:val="24"/>
          <w:szCs w:val="24"/>
          <w:rtl/>
        </w:rPr>
        <w:t>ו</w:t>
      </w:r>
      <w:r>
        <w:rPr>
          <w:rFonts w:cs="David" w:hint="cs"/>
          <w:sz w:val="24"/>
          <w:szCs w:val="24"/>
          <w:rtl/>
        </w:rPr>
        <w:t>ב</w:t>
      </w:r>
      <w:r w:rsidRPr="00496D58">
        <w:rPr>
          <w:rFonts w:cs="David"/>
          <w:sz w:val="24"/>
          <w:szCs w:val="24"/>
          <w:rtl/>
        </w:rPr>
        <w:t>הכוונ</w:t>
      </w:r>
      <w:r>
        <w:rPr>
          <w:rFonts w:cs="David" w:hint="cs"/>
          <w:sz w:val="24"/>
          <w:szCs w:val="24"/>
          <w:rtl/>
        </w:rPr>
        <w:t>ת פני הנוסע</w:t>
      </w:r>
      <w:r w:rsidRPr="00496D58">
        <w:rPr>
          <w:rFonts w:cs="David"/>
          <w:sz w:val="24"/>
          <w:szCs w:val="24"/>
          <w:rtl/>
        </w:rPr>
        <w:t xml:space="preserve"> </w:t>
      </w:r>
      <w:r>
        <w:rPr>
          <w:rFonts w:cs="David" w:hint="cs"/>
          <w:sz w:val="24"/>
          <w:szCs w:val="24"/>
          <w:rtl/>
        </w:rPr>
        <w:t>לעבר</w:t>
      </w:r>
      <w:r w:rsidRPr="00496D58">
        <w:rPr>
          <w:rFonts w:cs="David"/>
          <w:sz w:val="24"/>
          <w:szCs w:val="24"/>
          <w:rtl/>
        </w:rPr>
        <w:t xml:space="preserve"> המצלמה</w:t>
      </w:r>
      <w:r w:rsidRPr="00496D58">
        <w:rPr>
          <w:rFonts w:cs="David" w:hint="cs"/>
          <w:sz w:val="24"/>
          <w:szCs w:val="24"/>
          <w:rtl/>
        </w:rPr>
        <w:t>.</w:t>
      </w:r>
    </w:p>
    <w:p w:rsidR="002D0C59" w:rsidRPr="00A21F5C" w:rsidP="00AE0BE6" w14:paraId="543D9C32" w14:textId="77777777">
      <w:pPr>
        <w:pStyle w:val="a"/>
        <w:spacing w:line="269" w:lineRule="auto"/>
        <w:rPr>
          <w:rtl/>
        </w:rPr>
      </w:pPr>
    </w:p>
    <w:p w:rsidR="002D0C59" w:rsidRPr="005C72B2" w:rsidP="00AE0BE6" w14:paraId="5A9DFFCE" w14:textId="77777777">
      <w:pPr>
        <w:pStyle w:val="ListParagraph"/>
        <w:numPr>
          <w:ilvl w:val="0"/>
          <w:numId w:val="13"/>
        </w:numPr>
        <w:spacing w:after="0" w:line="269" w:lineRule="auto"/>
        <w:jc w:val="both"/>
        <w:rPr>
          <w:rFonts w:cs="David"/>
          <w:sz w:val="24"/>
          <w:szCs w:val="24"/>
        </w:rPr>
      </w:pPr>
      <w:r w:rsidRPr="00496D58">
        <w:rPr>
          <w:rFonts w:cs="David" w:hint="cs"/>
          <w:sz w:val="24"/>
          <w:szCs w:val="24"/>
          <w:rtl/>
        </w:rPr>
        <w:t>ככלל, אין מניעה שרשות האוכלוסין כרשות מ</w:t>
      </w:r>
      <w:r>
        <w:rPr>
          <w:rFonts w:cs="David" w:hint="cs"/>
          <w:sz w:val="24"/>
          <w:szCs w:val="24"/>
          <w:rtl/>
        </w:rPr>
        <w:t>י</w:t>
      </w:r>
      <w:r w:rsidRPr="00496D58">
        <w:rPr>
          <w:rFonts w:cs="David" w:hint="cs"/>
          <w:sz w:val="24"/>
          <w:szCs w:val="24"/>
          <w:rtl/>
        </w:rPr>
        <w:t xml:space="preserve">נהלית תסתייע בגופים פרטיים לצורך ביצוע תפקידיה, ובלבד שהמשימות הכרוכות בהפעלת שיקול דעת ייוותרו בידי המינהל, ועובדי הגוף </w:t>
      </w:r>
      <w:r w:rsidRPr="00496D58">
        <w:rPr>
          <w:rFonts w:cs="David" w:hint="cs"/>
          <w:sz w:val="24"/>
          <w:szCs w:val="24"/>
          <w:rtl/>
        </w:rPr>
        <w:t>הפרטי יבצעו רק משימות בעלות אופי טכני</w:t>
      </w:r>
      <w:r>
        <w:rPr>
          <w:rStyle w:val="FootnoteReference1"/>
          <w:rFonts w:cs="David"/>
          <w:sz w:val="24"/>
          <w:szCs w:val="24"/>
          <w:rtl/>
        </w:rPr>
        <w:footnoteReference w:id="23"/>
      </w:r>
      <w:r w:rsidRPr="00496D58">
        <w:rPr>
          <w:rFonts w:cs="David" w:hint="cs"/>
          <w:sz w:val="24"/>
          <w:szCs w:val="24"/>
          <w:rtl/>
        </w:rPr>
        <w:t xml:space="preserve">. על פי הכללים שקבעה הרשות, אחד התנאים להעסקת עובדי קבלן בביקורת הגבולות היא הדרכתם לביצוע המשימות. הדרכה כזו נדרשת כדי לוודא שעובד הקבלן, שלא הוכשר למשימות ביקורת הגבולות בדומה לבקר גבול, הוא בעל הידע והמיומנות </w:t>
      </w:r>
      <w:r>
        <w:rPr>
          <w:rFonts w:cs="David" w:hint="cs"/>
          <w:sz w:val="24"/>
          <w:szCs w:val="24"/>
          <w:rtl/>
        </w:rPr>
        <w:t>הנדרשי</w:t>
      </w:r>
      <w:r>
        <w:rPr>
          <w:rFonts w:cs="David" w:hint="cs"/>
          <w:sz w:val="24"/>
          <w:szCs w:val="24"/>
          <w:rtl/>
        </w:rPr>
        <w:t xml:space="preserve">ם </w:t>
      </w:r>
      <w:r w:rsidRPr="00496D58">
        <w:rPr>
          <w:rFonts w:cs="David" w:hint="cs"/>
          <w:sz w:val="24"/>
          <w:szCs w:val="24"/>
          <w:rtl/>
        </w:rPr>
        <w:t>לביצוע המשימה.</w:t>
      </w:r>
    </w:p>
    <w:p w:rsidR="002D0C59" w:rsidRPr="00A21F5C" w:rsidP="00AE0BE6" w14:paraId="073244C9" w14:textId="77777777">
      <w:pPr>
        <w:pStyle w:val="a"/>
        <w:spacing w:line="269" w:lineRule="auto"/>
        <w:rPr>
          <w:rtl/>
        </w:rPr>
      </w:pPr>
    </w:p>
    <w:p w:rsidR="002D0C59" w:rsidP="00AE0BE6" w14:paraId="2E858C57" w14:textId="77777777">
      <w:pPr>
        <w:spacing w:line="269" w:lineRule="auto"/>
        <w:rPr>
          <w:b/>
          <w:bCs/>
          <w:sz w:val="24"/>
          <w:rtl/>
        </w:rPr>
      </w:pPr>
      <w:r w:rsidRPr="00496D58">
        <w:rPr>
          <w:b/>
          <w:bCs/>
          <w:sz w:val="24"/>
          <w:rtl/>
        </w:rPr>
        <w:t xml:space="preserve">נמצא כי </w:t>
      </w:r>
      <w:r w:rsidRPr="00496D58">
        <w:rPr>
          <w:rFonts w:hint="cs"/>
          <w:b/>
          <w:bCs/>
          <w:sz w:val="24"/>
          <w:rtl/>
        </w:rPr>
        <w:t xml:space="preserve">בידי </w:t>
      </w:r>
      <w:r w:rsidRPr="00496D58">
        <w:rPr>
          <w:b/>
          <w:bCs/>
          <w:sz w:val="24"/>
          <w:rtl/>
        </w:rPr>
        <w:t xml:space="preserve">מינהל ביקורת </w:t>
      </w:r>
      <w:r>
        <w:rPr>
          <w:rFonts w:hint="cs"/>
          <w:b/>
          <w:bCs/>
          <w:sz w:val="24"/>
          <w:rtl/>
        </w:rPr>
        <w:t>ה</w:t>
      </w:r>
      <w:r w:rsidRPr="00496D58">
        <w:rPr>
          <w:b/>
          <w:bCs/>
          <w:sz w:val="24"/>
          <w:rtl/>
        </w:rPr>
        <w:t xml:space="preserve">גבולות </w:t>
      </w:r>
      <w:r w:rsidRPr="00496D58">
        <w:rPr>
          <w:rFonts w:hint="cs"/>
          <w:b/>
          <w:bCs/>
          <w:sz w:val="24"/>
          <w:rtl/>
        </w:rPr>
        <w:t>לא היה</w:t>
      </w:r>
      <w:r w:rsidRPr="00496D58">
        <w:rPr>
          <w:b/>
          <w:bCs/>
          <w:sz w:val="24"/>
          <w:rtl/>
        </w:rPr>
        <w:t xml:space="preserve"> </w:t>
      </w:r>
      <w:r w:rsidRPr="00496D58">
        <w:rPr>
          <w:rFonts w:hint="cs"/>
          <w:b/>
          <w:bCs/>
          <w:sz w:val="24"/>
          <w:rtl/>
        </w:rPr>
        <w:t xml:space="preserve">מידע על עובדי </w:t>
      </w:r>
      <w:r>
        <w:rPr>
          <w:rFonts w:hint="cs"/>
          <w:b/>
          <w:bCs/>
          <w:sz w:val="24"/>
          <w:rtl/>
        </w:rPr>
        <w:t>ה</w:t>
      </w:r>
      <w:r w:rsidRPr="00496D58">
        <w:rPr>
          <w:rFonts w:hint="cs"/>
          <w:b/>
          <w:bCs/>
          <w:sz w:val="24"/>
          <w:rtl/>
        </w:rPr>
        <w:t xml:space="preserve">קבלן שהועסקו בביקורת הגבולות בנתב"ג, ובכלל זה באיוש עמדות ביומטריות, וממילא לא היה בידיו מידע על הדרכתם לביצוע משימות של ביקורת הגבולות. למעשה, מהמידע שהיה בידי המינהל </w:t>
      </w:r>
      <w:r>
        <w:rPr>
          <w:rFonts w:hint="cs"/>
          <w:b/>
          <w:bCs/>
          <w:sz w:val="24"/>
          <w:rtl/>
        </w:rPr>
        <w:t>לא היה</w:t>
      </w:r>
      <w:r w:rsidRPr="00496D58">
        <w:rPr>
          <w:rFonts w:hint="cs"/>
          <w:b/>
          <w:bCs/>
          <w:sz w:val="24"/>
          <w:rtl/>
        </w:rPr>
        <w:t xml:space="preserve"> אפשר לד</w:t>
      </w:r>
      <w:r w:rsidRPr="00496D58">
        <w:rPr>
          <w:rFonts w:hint="cs"/>
          <w:b/>
          <w:bCs/>
          <w:sz w:val="24"/>
          <w:rtl/>
        </w:rPr>
        <w:t>עת מי הם עובדי הקבלן שאיישו עמדה ביומטרית בזמן מוגדר, ואם הם הודרכו לכך כנדרש. ביצוע משימות בעלות אופי טכני טעון הדרכה של עובדי הקבלן שתבוצע בידי המינהל</w:t>
      </w:r>
      <w:r>
        <w:rPr>
          <w:rFonts w:hint="cs"/>
          <w:b/>
          <w:bCs/>
          <w:sz w:val="24"/>
          <w:rtl/>
        </w:rPr>
        <w:t>,</w:t>
      </w:r>
      <w:r w:rsidRPr="00496D58">
        <w:rPr>
          <w:rFonts w:hint="cs"/>
          <w:b/>
          <w:bCs/>
          <w:sz w:val="24"/>
          <w:rtl/>
        </w:rPr>
        <w:t xml:space="preserve"> </w:t>
      </w:r>
      <w:r>
        <w:rPr>
          <w:rFonts w:hint="cs"/>
          <w:b/>
          <w:bCs/>
          <w:sz w:val="24"/>
          <w:rtl/>
        </w:rPr>
        <w:t>ועליו</w:t>
      </w:r>
      <w:r w:rsidRPr="00496D58">
        <w:rPr>
          <w:rFonts w:hint="cs"/>
          <w:b/>
          <w:bCs/>
          <w:sz w:val="24"/>
          <w:rtl/>
        </w:rPr>
        <w:t xml:space="preserve"> גם </w:t>
      </w:r>
      <w:r>
        <w:rPr>
          <w:rFonts w:hint="cs"/>
          <w:b/>
          <w:bCs/>
          <w:sz w:val="24"/>
          <w:rtl/>
        </w:rPr>
        <w:t>ל</w:t>
      </w:r>
      <w:r w:rsidRPr="00496D58">
        <w:rPr>
          <w:rFonts w:hint="cs"/>
          <w:b/>
          <w:bCs/>
          <w:sz w:val="24"/>
          <w:rtl/>
        </w:rPr>
        <w:t xml:space="preserve">וודא שהם בעלי הידע הנדרש לביצוע המשימות המוטלות עליהם. </w:t>
      </w:r>
    </w:p>
    <w:p w:rsidR="002D0C59" w:rsidRPr="00A21F5C" w:rsidP="00AE0BE6" w14:paraId="5465BDB8" w14:textId="77777777">
      <w:pPr>
        <w:pStyle w:val="a"/>
        <w:spacing w:line="269" w:lineRule="auto"/>
        <w:rPr>
          <w:rtl/>
        </w:rPr>
      </w:pPr>
    </w:p>
    <w:p w:rsidR="002D0C59" w:rsidRPr="00496D58" w:rsidP="00AE0BE6" w14:paraId="5E2C2D0F" w14:textId="77777777">
      <w:pPr>
        <w:spacing w:line="269" w:lineRule="auto"/>
        <w:rPr>
          <w:b/>
          <w:bCs/>
          <w:sz w:val="24"/>
          <w:rtl/>
        </w:rPr>
      </w:pPr>
      <w:r w:rsidRPr="00496D58">
        <w:rPr>
          <w:rFonts w:hint="cs"/>
          <w:b/>
          <w:bCs/>
          <w:sz w:val="24"/>
          <w:rtl/>
        </w:rPr>
        <w:t>על מינהל ביקורת הגבולות להסדיר את ע</w:t>
      </w:r>
      <w:r w:rsidRPr="00496D58">
        <w:rPr>
          <w:rFonts w:hint="cs"/>
          <w:b/>
          <w:bCs/>
          <w:sz w:val="24"/>
          <w:rtl/>
        </w:rPr>
        <w:t>בודת עובדי הקבלן: לקבוע מראש את הנושאים שייכללו בהדרכה; לנהל רישום קפדני של הדרכות עובדי הקבלן</w:t>
      </w:r>
      <w:r>
        <w:rPr>
          <w:rFonts w:hint="cs"/>
          <w:b/>
          <w:bCs/>
          <w:sz w:val="24"/>
          <w:rtl/>
        </w:rPr>
        <w:t>;</w:t>
      </w:r>
      <w:r w:rsidRPr="00496D58">
        <w:rPr>
          <w:rFonts w:hint="cs"/>
          <w:b/>
          <w:bCs/>
          <w:sz w:val="24"/>
          <w:rtl/>
        </w:rPr>
        <w:t xml:space="preserve"> וכן לנהל רישום של העוסקים במשימה בכל משמרת. כל זאת כדי לוודא שעובדי קבלן העוסקים בביקורת גבולות יוכשרו לכך מראש.</w:t>
      </w:r>
    </w:p>
    <w:p w:rsidR="002D0C59" w:rsidP="00AE0BE6" w14:paraId="5FC983E5" w14:textId="77777777">
      <w:pPr>
        <w:pStyle w:val="a"/>
        <w:spacing w:line="269" w:lineRule="auto"/>
        <w:rPr>
          <w:rtl/>
        </w:rPr>
      </w:pPr>
    </w:p>
    <w:p w:rsidR="002D0C59" w:rsidP="00AE0BE6" w14:paraId="50D5D42A" w14:textId="77777777">
      <w:pPr>
        <w:spacing w:line="269" w:lineRule="auto"/>
        <w:rPr>
          <w:rtl/>
        </w:rPr>
      </w:pPr>
      <w:r w:rsidRPr="00771824">
        <w:rPr>
          <w:rFonts w:hint="cs"/>
          <w:sz w:val="24"/>
          <w:rtl/>
        </w:rPr>
        <w:t>רשות האוכלוסין השיבה למשרד מבקר המדינה כי בשנת</w:t>
      </w:r>
      <w:r w:rsidRPr="00771824">
        <w:rPr>
          <w:rFonts w:hint="cs"/>
          <w:sz w:val="24"/>
          <w:rtl/>
        </w:rPr>
        <w:t xml:space="preserve"> 2020 </w:t>
      </w:r>
      <w:r w:rsidRPr="00771824">
        <w:rPr>
          <w:rFonts w:hint="eastAsia"/>
          <w:sz w:val="24"/>
          <w:rtl/>
        </w:rPr>
        <w:t>היא</w:t>
      </w:r>
      <w:r w:rsidRPr="00771824">
        <w:rPr>
          <w:sz w:val="24"/>
          <w:rtl/>
        </w:rPr>
        <w:t xml:space="preserve"> תחל לפעול </w:t>
      </w:r>
      <w:r w:rsidRPr="00771824">
        <w:rPr>
          <w:rFonts w:hint="eastAsia"/>
          <w:sz w:val="24"/>
          <w:rtl/>
        </w:rPr>
        <w:t>ליישום</w:t>
      </w:r>
      <w:r w:rsidRPr="00771824">
        <w:rPr>
          <w:sz w:val="24"/>
          <w:rtl/>
        </w:rPr>
        <w:t xml:space="preserve"> </w:t>
      </w:r>
      <w:r w:rsidRPr="00771824">
        <w:rPr>
          <w:rFonts w:hint="eastAsia"/>
          <w:sz w:val="24"/>
          <w:rtl/>
        </w:rPr>
        <w:t>מלא</w:t>
      </w:r>
      <w:r w:rsidRPr="00771824">
        <w:rPr>
          <w:sz w:val="24"/>
          <w:rtl/>
        </w:rPr>
        <w:t xml:space="preserve"> </w:t>
      </w:r>
      <w:r w:rsidRPr="00771824">
        <w:rPr>
          <w:rFonts w:hint="eastAsia"/>
          <w:sz w:val="24"/>
          <w:rtl/>
        </w:rPr>
        <w:t>ש</w:t>
      </w:r>
      <w:r w:rsidRPr="00771824">
        <w:rPr>
          <w:rFonts w:hint="cs"/>
          <w:sz w:val="24"/>
          <w:rtl/>
        </w:rPr>
        <w:t xml:space="preserve">ל נוהל המסדיר את נושא העסקת עובדי </w:t>
      </w:r>
      <w:r w:rsidRPr="00771824">
        <w:rPr>
          <w:rFonts w:hint="eastAsia"/>
          <w:sz w:val="24"/>
          <w:rtl/>
        </w:rPr>
        <w:t>קבלן</w:t>
      </w:r>
      <w:r w:rsidRPr="00771824">
        <w:rPr>
          <w:rFonts w:hint="cs"/>
          <w:sz w:val="24"/>
          <w:rtl/>
        </w:rPr>
        <w:t>.</w:t>
      </w:r>
    </w:p>
    <w:p w:rsidR="00377347" w:rsidP="00792C56" w14:paraId="36391F48" w14:textId="77777777">
      <w:pPr>
        <w:pStyle w:val="a"/>
        <w:rPr>
          <w:rtl/>
        </w:rPr>
      </w:pPr>
    </w:p>
    <w:p w:rsidR="00F5466E" w:rsidP="00AE0BE6" w14:paraId="283DE284" w14:textId="77777777">
      <w:pPr>
        <w:pStyle w:val="Heading2"/>
        <w:spacing w:before="0" w:line="269" w:lineRule="auto"/>
        <w:rPr>
          <w:rtl/>
        </w:rPr>
      </w:pPr>
    </w:p>
    <w:p w:rsidR="002D0C59" w:rsidRPr="002D0C59" w:rsidP="00AE0BE6" w14:paraId="4871E6B2" w14:textId="10FBD598">
      <w:pPr>
        <w:pStyle w:val="Heading2"/>
        <w:spacing w:before="0" w:line="269" w:lineRule="auto"/>
        <w:rPr>
          <w:rtl/>
        </w:rPr>
      </w:pPr>
      <w:r w:rsidRPr="002D0C59">
        <w:rPr>
          <w:rFonts w:hint="cs"/>
          <w:rtl/>
        </w:rPr>
        <w:t xml:space="preserve">תשתיות מידע לזיהוי נוסעים זרים </w:t>
      </w:r>
      <w:r w:rsidRPr="0075204B">
        <w:rPr>
          <w:rFonts w:hint="cs"/>
          <w:rtl/>
        </w:rPr>
        <w:t>ב</w:t>
      </w:r>
      <w:r w:rsidRPr="002D0C59">
        <w:rPr>
          <w:rFonts w:hint="cs"/>
          <w:rtl/>
        </w:rPr>
        <w:t>ביקורת הגבולות</w:t>
      </w:r>
    </w:p>
    <w:p w:rsidR="002D0C59" w:rsidRPr="00A21F5C" w:rsidP="00AE0BE6" w14:paraId="54AC16D3" w14:textId="77777777">
      <w:pPr>
        <w:pStyle w:val="a"/>
        <w:spacing w:line="269" w:lineRule="auto"/>
        <w:rPr>
          <w:rtl/>
        </w:rPr>
      </w:pPr>
    </w:p>
    <w:p w:rsidR="002D0C59" w:rsidRPr="004A0234" w:rsidP="00AE0BE6" w14:paraId="68F48686" w14:textId="77777777">
      <w:pPr>
        <w:spacing w:line="269" w:lineRule="auto"/>
        <w:rPr>
          <w:sz w:val="24"/>
          <w:rtl/>
        </w:rPr>
      </w:pPr>
      <w:r w:rsidRPr="004A0234">
        <w:rPr>
          <w:rFonts w:hint="cs"/>
          <w:sz w:val="24"/>
          <w:rtl/>
        </w:rPr>
        <w:t xml:space="preserve">מדינת ישראל, כמו מדינות אחרות בעולם, מתמודדת </w:t>
      </w:r>
      <w:r>
        <w:rPr>
          <w:rFonts w:hint="cs"/>
          <w:sz w:val="24"/>
          <w:rtl/>
        </w:rPr>
        <w:t xml:space="preserve">בין השאר </w:t>
      </w:r>
      <w:r w:rsidRPr="004A0234">
        <w:rPr>
          <w:rFonts w:hint="cs"/>
          <w:sz w:val="24"/>
          <w:rtl/>
        </w:rPr>
        <w:t xml:space="preserve">עם </w:t>
      </w:r>
      <w:r>
        <w:rPr>
          <w:rFonts w:hint="cs"/>
          <w:sz w:val="24"/>
          <w:rtl/>
        </w:rPr>
        <w:t>ה</w:t>
      </w:r>
      <w:r w:rsidRPr="004A0234">
        <w:rPr>
          <w:rFonts w:hint="cs"/>
          <w:sz w:val="24"/>
          <w:rtl/>
        </w:rPr>
        <w:t xml:space="preserve">סיכון של כניסת נוסעים המעורבים </w:t>
      </w:r>
      <w:r w:rsidRPr="00A935F3">
        <w:rPr>
          <w:rFonts w:hint="cs"/>
          <w:sz w:val="24"/>
          <w:rtl/>
        </w:rPr>
        <w:t>בפשיעה חמורה או בפעולות טרור</w:t>
      </w:r>
      <w:r>
        <w:rPr>
          <w:rFonts w:hint="cs"/>
          <w:sz w:val="24"/>
          <w:rtl/>
        </w:rPr>
        <w:t>,</w:t>
      </w:r>
      <w:r w:rsidRPr="004A0234">
        <w:rPr>
          <w:rFonts w:hint="cs"/>
          <w:sz w:val="24"/>
          <w:rtl/>
        </w:rPr>
        <w:t xml:space="preserve"> </w:t>
      </w:r>
      <w:r w:rsidRPr="004A0234">
        <w:rPr>
          <w:sz w:val="24"/>
          <w:rtl/>
        </w:rPr>
        <w:t xml:space="preserve">וכן </w:t>
      </w:r>
      <w:r w:rsidRPr="004A0234">
        <w:rPr>
          <w:rFonts w:hint="cs"/>
          <w:sz w:val="24"/>
          <w:rtl/>
        </w:rPr>
        <w:t>מ</w:t>
      </w:r>
      <w:r w:rsidRPr="004A0234">
        <w:rPr>
          <w:sz w:val="24"/>
          <w:rtl/>
        </w:rPr>
        <w:t>תמודד</w:t>
      </w:r>
      <w:r w:rsidRPr="004A0234">
        <w:rPr>
          <w:rFonts w:hint="cs"/>
          <w:sz w:val="24"/>
          <w:rtl/>
        </w:rPr>
        <w:t>ת</w:t>
      </w:r>
      <w:r w:rsidRPr="004A0234">
        <w:rPr>
          <w:sz w:val="24"/>
          <w:rtl/>
        </w:rPr>
        <w:t xml:space="preserve"> עם הגירה בלתי</w:t>
      </w:r>
      <w:r>
        <w:rPr>
          <w:rFonts w:hint="cs"/>
          <w:sz w:val="24"/>
          <w:rtl/>
        </w:rPr>
        <w:t xml:space="preserve"> </w:t>
      </w:r>
      <w:r w:rsidRPr="004A0234">
        <w:rPr>
          <w:sz w:val="24"/>
          <w:rtl/>
        </w:rPr>
        <w:t xml:space="preserve">חוקית </w:t>
      </w:r>
      <w:r w:rsidR="00BE1D48">
        <w:rPr>
          <w:rFonts w:hint="cs"/>
          <w:sz w:val="24"/>
          <w:rtl/>
        </w:rPr>
        <w:t>אליה</w:t>
      </w:r>
      <w:r w:rsidRPr="004A0234">
        <w:rPr>
          <w:rFonts w:hint="cs"/>
          <w:sz w:val="24"/>
          <w:rtl/>
        </w:rPr>
        <w:t xml:space="preserve">. </w:t>
      </w:r>
    </w:p>
    <w:p w:rsidR="002D0C59" w:rsidRPr="00A21F5C" w:rsidP="00AE0BE6" w14:paraId="07D9B5C6" w14:textId="77777777">
      <w:pPr>
        <w:pStyle w:val="a"/>
        <w:spacing w:line="269" w:lineRule="auto"/>
        <w:rPr>
          <w:rtl/>
        </w:rPr>
      </w:pPr>
    </w:p>
    <w:p w:rsidR="002D0C59" w:rsidP="00AE0BE6" w14:paraId="461F2068" w14:textId="77777777">
      <w:pPr>
        <w:spacing w:line="269" w:lineRule="auto"/>
        <w:rPr>
          <w:sz w:val="24"/>
          <w:rtl/>
        </w:rPr>
      </w:pPr>
      <w:r>
        <w:rPr>
          <w:rFonts w:hint="cs"/>
          <w:sz w:val="24"/>
          <w:rtl/>
        </w:rPr>
        <w:t xml:space="preserve">מדינות אוספות </w:t>
      </w:r>
      <w:r w:rsidRPr="004A0234">
        <w:rPr>
          <w:rFonts w:hint="cs"/>
          <w:sz w:val="24"/>
          <w:rtl/>
        </w:rPr>
        <w:t xml:space="preserve">מידע רב בדבר </w:t>
      </w:r>
      <w:r>
        <w:rPr>
          <w:rFonts w:hint="cs"/>
          <w:sz w:val="24"/>
          <w:rtl/>
        </w:rPr>
        <w:t>נתיני מדינות אחרות</w:t>
      </w:r>
      <w:r w:rsidRPr="004A0234">
        <w:rPr>
          <w:rFonts w:hint="cs"/>
          <w:sz w:val="24"/>
          <w:rtl/>
        </w:rPr>
        <w:t xml:space="preserve"> המבקשים להיכנס לשטחן </w:t>
      </w:r>
      <w:r>
        <w:rPr>
          <w:rFonts w:hint="cs"/>
          <w:sz w:val="24"/>
          <w:rtl/>
        </w:rPr>
        <w:t>ו</w:t>
      </w:r>
      <w:r w:rsidRPr="004A0234">
        <w:rPr>
          <w:rFonts w:hint="cs"/>
          <w:sz w:val="24"/>
          <w:rtl/>
        </w:rPr>
        <w:t>גם לצורך ביצוע ביקורת גבולות. המידע הזה כולל פרטים אישיים ביוגרפיים של הנוסע ומידע ביומטרי (כגון טביעת אצבע ו</w:t>
      </w:r>
      <w:r>
        <w:rPr>
          <w:rFonts w:hint="cs"/>
          <w:sz w:val="24"/>
          <w:rtl/>
        </w:rPr>
        <w:t>ת</w:t>
      </w:r>
      <w:r w:rsidRPr="004A0234">
        <w:rPr>
          <w:rFonts w:hint="cs"/>
          <w:sz w:val="24"/>
          <w:rtl/>
        </w:rPr>
        <w:t xml:space="preserve">צלום תמונת </w:t>
      </w:r>
      <w:r>
        <w:rPr>
          <w:rFonts w:hint="cs"/>
          <w:sz w:val="24"/>
          <w:rtl/>
        </w:rPr>
        <w:t>ה</w:t>
      </w:r>
      <w:r w:rsidRPr="004A0234">
        <w:rPr>
          <w:rFonts w:hint="cs"/>
          <w:sz w:val="24"/>
          <w:rtl/>
        </w:rPr>
        <w:t xml:space="preserve">פנים). </w:t>
      </w:r>
      <w:r>
        <w:rPr>
          <w:rFonts w:hint="cs"/>
          <w:sz w:val="24"/>
          <w:rtl/>
        </w:rPr>
        <w:t>היחידה להזדהות וליישומים ביומט</w:t>
      </w:r>
      <w:r>
        <w:rPr>
          <w:rFonts w:hint="cs"/>
          <w:sz w:val="24"/>
          <w:rtl/>
        </w:rPr>
        <w:t>ריים במערך הסייבר הלאומי מסרה בדצמבר 2019 כי מדינות העולם וגופים מובילים בתחום מצאו כי השימוש בטכנולוגיות ביומטריות לצורך אימות זהותם של זרים המבקשים להיכנס למדינה הוא מכפיל כוח הן בהיבטי ביטחון והן לצורך שיפור השירות לנוסעים ושיפור ההתמודדות עם הגידול המה</w:t>
      </w:r>
      <w:r>
        <w:rPr>
          <w:rFonts w:hint="cs"/>
          <w:sz w:val="24"/>
          <w:rtl/>
        </w:rPr>
        <w:t>יר בתנועת הנוסעים.</w:t>
      </w:r>
    </w:p>
    <w:p w:rsidR="002D0C59" w:rsidP="00AE0BE6" w14:paraId="332B0774" w14:textId="77777777">
      <w:pPr>
        <w:pStyle w:val="a"/>
        <w:spacing w:line="269" w:lineRule="auto"/>
        <w:rPr>
          <w:rtl/>
        </w:rPr>
      </w:pPr>
    </w:p>
    <w:p w:rsidR="00377347" w:rsidRPr="00792C56" w:rsidP="00792C56" w14:paraId="14C9C688" w14:textId="77777777">
      <w:pPr>
        <w:spacing w:line="269" w:lineRule="auto"/>
      </w:pPr>
      <w:r w:rsidRPr="004A0234">
        <w:rPr>
          <w:rFonts w:hint="cs"/>
          <w:sz w:val="24"/>
          <w:rtl/>
        </w:rPr>
        <w:t xml:space="preserve">בתרשים </w:t>
      </w:r>
      <w:r>
        <w:rPr>
          <w:rFonts w:hint="cs"/>
          <w:sz w:val="24"/>
          <w:rtl/>
        </w:rPr>
        <w:t>12</w:t>
      </w:r>
      <w:r w:rsidRPr="004A0234">
        <w:rPr>
          <w:rFonts w:hint="cs"/>
          <w:sz w:val="24"/>
          <w:rtl/>
        </w:rPr>
        <w:t xml:space="preserve"> מוצגים פרטי </w:t>
      </w:r>
      <w:r w:rsidRPr="004A0234">
        <w:rPr>
          <w:sz w:val="24"/>
          <w:rtl/>
        </w:rPr>
        <w:t>מידע שמדינות אוספות לצורך זיהוי נוסעים זרים</w:t>
      </w:r>
      <w:r w:rsidRPr="004A0234">
        <w:rPr>
          <w:rFonts w:hint="cs"/>
          <w:sz w:val="24"/>
          <w:rtl/>
        </w:rPr>
        <w:t xml:space="preserve">, בחלוקה לפי שלב </w:t>
      </w:r>
      <w:r>
        <w:rPr>
          <w:rFonts w:hint="cs"/>
          <w:sz w:val="24"/>
          <w:rtl/>
        </w:rPr>
        <w:t>ה</w:t>
      </w:r>
      <w:r w:rsidRPr="004A0234">
        <w:rPr>
          <w:rFonts w:hint="cs"/>
          <w:sz w:val="24"/>
          <w:rtl/>
        </w:rPr>
        <w:t>נסיעה שבו נמסר המידע וסוג המידע שנאסף, וכן ציון המדינות שאוספות את המידע בכל שלב</w:t>
      </w:r>
      <w:r>
        <w:rPr>
          <w:rStyle w:val="FootnoteReference1"/>
          <w:sz w:val="24"/>
          <w:rtl/>
        </w:rPr>
        <w:footnoteReference w:id="24"/>
      </w:r>
      <w:r w:rsidRPr="004A0234">
        <w:rPr>
          <w:rFonts w:hint="cs"/>
          <w:sz w:val="24"/>
          <w:rtl/>
        </w:rPr>
        <w:t>.</w:t>
      </w:r>
    </w:p>
    <w:p w:rsidR="00792C56" w14:paraId="66C79B9A" w14:textId="77777777">
      <w:pPr>
        <w:bidi w:val="0"/>
        <w:spacing w:after="200" w:line="276" w:lineRule="auto"/>
        <w:rPr>
          <w:szCs w:val="20"/>
          <w:rtl/>
        </w:rPr>
      </w:pPr>
      <w:r>
        <w:rPr>
          <w:szCs w:val="20"/>
          <w:rtl/>
        </w:rPr>
        <w:br w:type="page"/>
      </w:r>
    </w:p>
    <w:p w:rsidR="002D0C59" w:rsidRPr="00984EA5" w:rsidP="00AE0BE6" w14:paraId="12A9554A" w14:textId="77777777">
      <w:pPr>
        <w:spacing w:line="269" w:lineRule="auto"/>
        <w:jc w:val="center"/>
        <w:rPr>
          <w:b/>
          <w:bCs/>
          <w:sz w:val="24"/>
          <w:rtl/>
        </w:rPr>
      </w:pPr>
      <w:r w:rsidRPr="00984EA5">
        <w:rPr>
          <w:rFonts w:hint="eastAsia"/>
          <w:b/>
          <w:bCs/>
          <w:sz w:val="24"/>
          <w:rtl/>
        </w:rPr>
        <w:t>תרשים</w:t>
      </w:r>
      <w:r w:rsidRPr="00984EA5">
        <w:rPr>
          <w:b/>
          <w:bCs/>
          <w:sz w:val="24"/>
          <w:rtl/>
        </w:rPr>
        <w:t xml:space="preserve"> 12 - מידע שמדינות אוספות לצורך זיהוי נוסעים זרים </w:t>
      </w:r>
    </w:p>
    <w:p w:rsidR="002D0C59" w:rsidP="00AC00CA" w14:paraId="0539B268" w14:textId="77777777">
      <w:pPr>
        <w:spacing w:before="240" w:after="240" w:line="269" w:lineRule="auto"/>
        <w:rPr>
          <w:b/>
          <w:bCs/>
          <w:u w:val="single"/>
          <w:rtl/>
        </w:rPr>
      </w:pPr>
      <w:r>
        <w:rPr>
          <w:rFonts w:asciiTheme="minorHAnsi" w:eastAsiaTheme="minorEastAsia" w:hAnsiTheme="minorHAnsi" w:cstheme="minorBidi"/>
          <w:noProof/>
          <w:sz w:val="16"/>
          <w:szCs w:val="16"/>
          <w:rtl/>
        </w:rPr>
        <w:drawing>
          <wp:inline distT="0" distB="0" distL="0" distR="0">
            <wp:extent cx="5220335" cy="396684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577" name="203-gra-12.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3966845"/>
                    </a:xfrm>
                    <a:prstGeom prst="rect">
                      <a:avLst/>
                    </a:prstGeom>
                  </pic:spPr>
                </pic:pic>
              </a:graphicData>
            </a:graphic>
          </wp:inline>
        </w:drawing>
      </w:r>
    </w:p>
    <w:p w:rsidR="00F54BB0" w:rsidRPr="00CA38F7" w:rsidP="00792C56" w14:paraId="4106E775" w14:textId="77777777">
      <w:pPr>
        <w:spacing w:before="120" w:line="269" w:lineRule="auto"/>
        <w:rPr>
          <w:sz w:val="18"/>
          <w:szCs w:val="22"/>
          <w:rtl/>
        </w:rPr>
      </w:pPr>
      <w:r w:rsidRPr="00CA38F7">
        <w:rPr>
          <w:sz w:val="18"/>
          <w:szCs w:val="22"/>
        </w:rPr>
        <w:t>*</w:t>
      </w:r>
      <w:r w:rsidRPr="00CA38F7">
        <w:rPr>
          <w:rFonts w:hint="cs"/>
          <w:b/>
          <w:bCs/>
          <w:sz w:val="18"/>
          <w:szCs w:val="22"/>
          <w:rtl/>
        </w:rPr>
        <w:t xml:space="preserve"> </w:t>
      </w:r>
      <w:r w:rsidRPr="00CA38F7">
        <w:rPr>
          <w:b/>
          <w:bCs/>
          <w:sz w:val="18"/>
          <w:szCs w:val="22"/>
          <w:lang w:bidi="ar-SA"/>
        </w:rPr>
        <w:t>API</w:t>
      </w:r>
      <w:r w:rsidRPr="00CA38F7">
        <w:rPr>
          <w:rFonts w:hint="cs"/>
          <w:b/>
          <w:bCs/>
          <w:sz w:val="18"/>
          <w:szCs w:val="22"/>
          <w:rtl/>
          <w:lang w:bidi="ar-SA"/>
        </w:rPr>
        <w:t xml:space="preserve"> </w:t>
      </w:r>
      <w:r w:rsidRPr="00CA38F7">
        <w:rPr>
          <w:b/>
          <w:bCs/>
          <w:sz w:val="18"/>
          <w:szCs w:val="22"/>
          <w:lang w:bidi="ar-SA"/>
        </w:rPr>
        <w:t>(Advance Passenger Information)</w:t>
      </w:r>
      <w:r w:rsidRPr="00CA38F7">
        <w:rPr>
          <w:rFonts w:hint="cs"/>
          <w:b/>
          <w:bCs/>
          <w:sz w:val="18"/>
          <w:szCs w:val="22"/>
          <w:rtl/>
          <w:lang w:bidi="ar-SA"/>
        </w:rPr>
        <w:t xml:space="preserve"> </w:t>
      </w:r>
      <w:r w:rsidRPr="00CA38F7">
        <w:rPr>
          <w:rFonts w:hint="cs"/>
          <w:b/>
          <w:bCs/>
          <w:sz w:val="18"/>
          <w:szCs w:val="22"/>
          <w:rtl/>
        </w:rPr>
        <w:t>-</w:t>
      </w:r>
      <w:r w:rsidRPr="00CA38F7">
        <w:rPr>
          <w:rFonts w:hint="cs"/>
          <w:sz w:val="18"/>
          <w:szCs w:val="22"/>
          <w:rtl/>
        </w:rPr>
        <w:t xml:space="preserve"> </w:t>
      </w:r>
      <w:r w:rsidRPr="00CA38F7">
        <w:rPr>
          <w:sz w:val="18"/>
          <w:szCs w:val="22"/>
          <w:rtl/>
        </w:rPr>
        <w:t>פרטים בסיסיים ב</w:t>
      </w:r>
      <w:r w:rsidRPr="00CA38F7">
        <w:rPr>
          <w:rFonts w:hint="cs"/>
          <w:sz w:val="18"/>
          <w:szCs w:val="22"/>
          <w:rtl/>
        </w:rPr>
        <w:t>נוגע</w:t>
      </w:r>
      <w:r w:rsidRPr="00CA38F7">
        <w:rPr>
          <w:sz w:val="18"/>
          <w:szCs w:val="22"/>
          <w:rtl/>
        </w:rPr>
        <w:t xml:space="preserve"> לנוסע </w:t>
      </w:r>
      <w:r w:rsidRPr="00CA38F7">
        <w:rPr>
          <w:rFonts w:hint="cs"/>
          <w:sz w:val="18"/>
          <w:szCs w:val="22"/>
          <w:rtl/>
        </w:rPr>
        <w:t>ול</w:t>
      </w:r>
      <w:r w:rsidRPr="00CA38F7">
        <w:rPr>
          <w:sz w:val="18"/>
          <w:szCs w:val="22"/>
          <w:rtl/>
        </w:rPr>
        <w:t xml:space="preserve">טיסה, הנאספים </w:t>
      </w:r>
      <w:r w:rsidRPr="00CA38F7">
        <w:rPr>
          <w:rFonts w:hint="cs"/>
          <w:sz w:val="18"/>
          <w:szCs w:val="22"/>
          <w:rtl/>
        </w:rPr>
        <w:t xml:space="preserve">בקישור לטיסה </w:t>
      </w:r>
      <w:r w:rsidRPr="00CA38F7">
        <w:rPr>
          <w:sz w:val="18"/>
          <w:szCs w:val="22"/>
        </w:rPr>
        <w:t>(check-in)</w:t>
      </w:r>
      <w:r w:rsidRPr="00CA38F7">
        <w:rPr>
          <w:sz w:val="18"/>
          <w:szCs w:val="22"/>
          <w:rtl/>
        </w:rPr>
        <w:t xml:space="preserve">, </w:t>
      </w:r>
      <w:r w:rsidRPr="00CA38F7">
        <w:rPr>
          <w:rFonts w:hint="cs"/>
          <w:sz w:val="18"/>
          <w:szCs w:val="22"/>
          <w:rtl/>
        </w:rPr>
        <w:t>ובהם</w:t>
      </w:r>
      <w:r w:rsidRPr="00CA38F7">
        <w:rPr>
          <w:sz w:val="18"/>
          <w:szCs w:val="22"/>
          <w:rtl/>
        </w:rPr>
        <w:t xml:space="preserve">: שם הנוסע; </w:t>
      </w:r>
      <w:r w:rsidRPr="00CA38F7">
        <w:rPr>
          <w:rFonts w:hint="cs"/>
          <w:sz w:val="18"/>
          <w:szCs w:val="22"/>
          <w:rtl/>
        </w:rPr>
        <w:t>ה</w:t>
      </w:r>
      <w:r w:rsidRPr="00CA38F7">
        <w:rPr>
          <w:sz w:val="18"/>
          <w:szCs w:val="22"/>
          <w:rtl/>
        </w:rPr>
        <w:t xml:space="preserve">לאום; סוג תעודת </w:t>
      </w:r>
      <w:r w:rsidRPr="00CA38F7">
        <w:rPr>
          <w:rFonts w:hint="cs"/>
          <w:sz w:val="18"/>
          <w:szCs w:val="22"/>
          <w:rtl/>
        </w:rPr>
        <w:t>הנסיעה</w:t>
      </w:r>
      <w:r w:rsidRPr="00CA38F7">
        <w:rPr>
          <w:sz w:val="18"/>
          <w:szCs w:val="22"/>
          <w:rtl/>
        </w:rPr>
        <w:t xml:space="preserve"> ומספרה; </w:t>
      </w:r>
      <w:r w:rsidRPr="00CA38F7">
        <w:rPr>
          <w:rFonts w:hint="cs"/>
          <w:sz w:val="18"/>
          <w:szCs w:val="22"/>
          <w:rtl/>
        </w:rPr>
        <w:t xml:space="preserve">שם </w:t>
      </w:r>
      <w:r w:rsidRPr="00CA38F7">
        <w:rPr>
          <w:sz w:val="18"/>
          <w:szCs w:val="22"/>
          <w:rtl/>
        </w:rPr>
        <w:t>חברת התעופה; תאריך ו</w:t>
      </w:r>
      <w:r w:rsidRPr="00CA38F7">
        <w:rPr>
          <w:rFonts w:hint="cs"/>
          <w:sz w:val="18"/>
          <w:szCs w:val="22"/>
          <w:rtl/>
        </w:rPr>
        <w:t>שעת</w:t>
      </w:r>
      <w:r w:rsidRPr="00CA38F7">
        <w:rPr>
          <w:sz w:val="18"/>
          <w:szCs w:val="22"/>
          <w:rtl/>
        </w:rPr>
        <w:t xml:space="preserve"> ההמראה; </w:t>
      </w:r>
      <w:r w:rsidRPr="00CA38F7">
        <w:rPr>
          <w:rFonts w:hint="cs"/>
          <w:sz w:val="18"/>
          <w:szCs w:val="22"/>
          <w:rtl/>
        </w:rPr>
        <w:t>ה</w:t>
      </w:r>
      <w:r w:rsidRPr="00CA38F7">
        <w:rPr>
          <w:sz w:val="18"/>
          <w:szCs w:val="22"/>
          <w:rtl/>
        </w:rPr>
        <w:t>תאריך</w:t>
      </w:r>
      <w:r w:rsidRPr="00CA38F7">
        <w:rPr>
          <w:rFonts w:hint="cs"/>
          <w:sz w:val="18"/>
          <w:szCs w:val="22"/>
          <w:rtl/>
        </w:rPr>
        <w:t>, המקום</w:t>
      </w:r>
      <w:r w:rsidRPr="00CA38F7">
        <w:rPr>
          <w:sz w:val="18"/>
          <w:szCs w:val="22"/>
          <w:rtl/>
        </w:rPr>
        <w:t xml:space="preserve"> ו</w:t>
      </w:r>
      <w:r w:rsidRPr="00CA38F7">
        <w:rPr>
          <w:rFonts w:hint="cs"/>
          <w:sz w:val="18"/>
          <w:szCs w:val="22"/>
          <w:rtl/>
        </w:rPr>
        <w:t>השעה של</w:t>
      </w:r>
      <w:r w:rsidRPr="00CA38F7">
        <w:rPr>
          <w:sz w:val="18"/>
          <w:szCs w:val="22"/>
          <w:rtl/>
        </w:rPr>
        <w:t xml:space="preserve"> הנחיתה</w:t>
      </w:r>
      <w:r w:rsidRPr="00CA38F7">
        <w:rPr>
          <w:rFonts w:hint="cs"/>
          <w:sz w:val="18"/>
          <w:szCs w:val="22"/>
          <w:rtl/>
        </w:rPr>
        <w:t>.</w:t>
      </w:r>
    </w:p>
    <w:p w:rsidR="002D0C59" w:rsidRPr="00CA38F7" w:rsidP="00AE0BE6" w14:paraId="40EA4D7E" w14:textId="77777777">
      <w:pPr>
        <w:spacing w:line="269" w:lineRule="auto"/>
        <w:rPr>
          <w:rStyle w:val="5"/>
          <w:b/>
          <w:bCs w:val="0"/>
          <w:sz w:val="18"/>
          <w:szCs w:val="22"/>
          <w:rtl/>
        </w:rPr>
      </w:pPr>
      <w:r w:rsidRPr="00CA38F7">
        <w:rPr>
          <w:b/>
          <w:sz w:val="18"/>
          <w:szCs w:val="22"/>
        </w:rPr>
        <w:t>PNR**</w:t>
      </w:r>
      <w:r w:rsidRPr="00CA38F7">
        <w:rPr>
          <w:bCs/>
          <w:sz w:val="18"/>
          <w:szCs w:val="22"/>
          <w:rtl/>
        </w:rPr>
        <w:t xml:space="preserve"> </w:t>
      </w:r>
      <w:r w:rsidRPr="00CA38F7">
        <w:rPr>
          <w:b/>
          <w:sz w:val="18"/>
          <w:szCs w:val="22"/>
        </w:rPr>
        <w:t>(</w:t>
      </w:r>
      <w:r w:rsidRPr="00CA38F7">
        <w:rPr>
          <w:b/>
          <w:sz w:val="18"/>
          <w:szCs w:val="22"/>
        </w:rPr>
        <w:t>Passenger Name Record)</w:t>
      </w:r>
      <w:r w:rsidRPr="00CA38F7">
        <w:rPr>
          <w:rFonts w:hint="cs"/>
          <w:bCs/>
          <w:sz w:val="18"/>
          <w:szCs w:val="22"/>
          <w:rtl/>
        </w:rPr>
        <w:t xml:space="preserve"> - </w:t>
      </w:r>
      <w:r w:rsidRPr="00CA38F7">
        <w:rPr>
          <w:sz w:val="18"/>
          <w:szCs w:val="22"/>
          <w:rtl/>
        </w:rPr>
        <w:t xml:space="preserve">מידע אישי לא מאומת </w:t>
      </w:r>
      <w:r w:rsidRPr="00CA38F7">
        <w:rPr>
          <w:rFonts w:hint="cs"/>
          <w:sz w:val="18"/>
          <w:szCs w:val="22"/>
          <w:rtl/>
        </w:rPr>
        <w:t>שה</w:t>
      </w:r>
      <w:r w:rsidRPr="00CA38F7">
        <w:rPr>
          <w:sz w:val="18"/>
          <w:szCs w:val="22"/>
          <w:rtl/>
        </w:rPr>
        <w:t xml:space="preserve">נוסעים </w:t>
      </w:r>
      <w:r w:rsidRPr="00CA38F7">
        <w:rPr>
          <w:rFonts w:hint="cs"/>
          <w:sz w:val="18"/>
          <w:szCs w:val="22"/>
          <w:rtl/>
        </w:rPr>
        <w:t xml:space="preserve">מוסרים מרצונם </w:t>
      </w:r>
      <w:r w:rsidRPr="00CA38F7">
        <w:rPr>
          <w:sz w:val="18"/>
          <w:szCs w:val="22"/>
          <w:rtl/>
        </w:rPr>
        <w:t xml:space="preserve">לחברות התעופה, כגון מספר </w:t>
      </w:r>
      <w:r w:rsidRPr="00CA38F7">
        <w:rPr>
          <w:rFonts w:hint="cs"/>
          <w:sz w:val="18"/>
          <w:szCs w:val="22"/>
          <w:rtl/>
        </w:rPr>
        <w:t>הטלפון של הנוסע</w:t>
      </w:r>
      <w:r w:rsidRPr="00CA38F7">
        <w:rPr>
          <w:sz w:val="18"/>
          <w:szCs w:val="22"/>
          <w:rtl/>
        </w:rPr>
        <w:t>; מידע על הזמנת הטיסה</w:t>
      </w:r>
      <w:r w:rsidRPr="00CA38F7">
        <w:rPr>
          <w:rFonts w:hint="cs"/>
          <w:sz w:val="18"/>
          <w:szCs w:val="22"/>
          <w:rtl/>
        </w:rPr>
        <w:t xml:space="preserve"> (אמצעי התשלום, סוכנות הנסיעות)</w:t>
      </w:r>
      <w:r w:rsidRPr="00CA38F7">
        <w:rPr>
          <w:sz w:val="18"/>
          <w:szCs w:val="22"/>
          <w:rtl/>
        </w:rPr>
        <w:t>; נתוני כבודה; היסטוריית הנסיעות של הנוסע.</w:t>
      </w:r>
      <w:r w:rsidRPr="00CA38F7">
        <w:rPr>
          <w:rFonts w:hint="cs"/>
          <w:sz w:val="18"/>
          <w:szCs w:val="22"/>
          <w:rtl/>
        </w:rPr>
        <w:t xml:space="preserve"> </w:t>
      </w:r>
    </w:p>
    <w:p w:rsidR="002D0C59" w:rsidRPr="00CA38F7" w:rsidP="00AE0BE6" w14:paraId="77ABBA61" w14:textId="77777777">
      <w:pPr>
        <w:spacing w:line="269" w:lineRule="auto"/>
        <w:rPr>
          <w:rStyle w:val="5"/>
          <w:sz w:val="18"/>
          <w:szCs w:val="22"/>
          <w:rtl/>
        </w:rPr>
      </w:pPr>
      <w:r w:rsidRPr="00CA38F7">
        <w:rPr>
          <w:rStyle w:val="5"/>
          <w:b/>
          <w:bCs w:val="0"/>
          <w:sz w:val="18"/>
          <w:szCs w:val="22"/>
        </w:rPr>
        <w:t xml:space="preserve">*** </w:t>
      </w:r>
      <w:r w:rsidRPr="00CA38F7">
        <w:rPr>
          <w:sz w:val="18"/>
          <w:szCs w:val="22"/>
          <w:rtl/>
        </w:rPr>
        <w:t xml:space="preserve">מערכת ייעודית להליך הגשת בקשה לאשרה והנפקתה באופן מקוון. </w:t>
      </w:r>
      <w:r w:rsidRPr="00CA38F7">
        <w:rPr>
          <w:rFonts w:hint="cs"/>
          <w:sz w:val="18"/>
          <w:szCs w:val="22"/>
          <w:rtl/>
        </w:rPr>
        <w:t>המידע (לרבות מידע</w:t>
      </w:r>
      <w:r w:rsidRPr="00CA38F7">
        <w:rPr>
          <w:rFonts w:hint="cs"/>
          <w:sz w:val="18"/>
          <w:szCs w:val="22"/>
          <w:rtl/>
        </w:rPr>
        <w:t xml:space="preserve"> ביומטרי) </w:t>
      </w:r>
      <w:r w:rsidRPr="00CA38F7">
        <w:rPr>
          <w:rFonts w:hint="eastAsia"/>
          <w:sz w:val="18"/>
          <w:szCs w:val="22"/>
          <w:rtl/>
        </w:rPr>
        <w:t>שנמסר</w:t>
      </w:r>
      <w:r w:rsidRPr="00CA38F7">
        <w:rPr>
          <w:sz w:val="18"/>
          <w:szCs w:val="22"/>
          <w:rtl/>
        </w:rPr>
        <w:t xml:space="preserve"> </w:t>
      </w:r>
      <w:r w:rsidRPr="00CA38F7">
        <w:rPr>
          <w:rFonts w:hint="eastAsia"/>
          <w:sz w:val="18"/>
          <w:szCs w:val="22"/>
          <w:rtl/>
        </w:rPr>
        <w:t>במסגרת</w:t>
      </w:r>
      <w:r w:rsidRPr="00CA38F7">
        <w:rPr>
          <w:sz w:val="18"/>
          <w:szCs w:val="22"/>
          <w:rtl/>
        </w:rPr>
        <w:t xml:space="preserve"> </w:t>
      </w:r>
      <w:r w:rsidRPr="00CA38F7">
        <w:rPr>
          <w:rFonts w:hint="eastAsia"/>
          <w:sz w:val="18"/>
          <w:szCs w:val="22"/>
          <w:rtl/>
        </w:rPr>
        <w:t>הליך</w:t>
      </w:r>
      <w:r w:rsidRPr="00CA38F7">
        <w:rPr>
          <w:sz w:val="18"/>
          <w:szCs w:val="22"/>
          <w:rtl/>
        </w:rPr>
        <w:t xml:space="preserve"> </w:t>
      </w:r>
      <w:r w:rsidRPr="00CA38F7">
        <w:rPr>
          <w:rFonts w:hint="eastAsia"/>
          <w:sz w:val="18"/>
          <w:szCs w:val="22"/>
          <w:rtl/>
        </w:rPr>
        <w:t>זה</w:t>
      </w:r>
      <w:r w:rsidRPr="00CA38F7">
        <w:rPr>
          <w:rFonts w:hint="cs"/>
          <w:sz w:val="18"/>
          <w:szCs w:val="22"/>
          <w:rtl/>
        </w:rPr>
        <w:t xml:space="preserve"> מועבר מבעוד מועד לרשויות הנוגעות בדבר והן מאשרות את בקשת האשרה או </w:t>
      </w:r>
      <w:r w:rsidRPr="00CA38F7">
        <w:rPr>
          <w:rFonts w:hint="eastAsia"/>
          <w:sz w:val="18"/>
          <w:szCs w:val="22"/>
          <w:rtl/>
        </w:rPr>
        <w:t>דוחות</w:t>
      </w:r>
      <w:r w:rsidRPr="00CA38F7">
        <w:rPr>
          <w:rFonts w:hint="cs"/>
          <w:sz w:val="18"/>
          <w:szCs w:val="22"/>
          <w:rtl/>
        </w:rPr>
        <w:t xml:space="preserve"> אותה. </w:t>
      </w:r>
    </w:p>
    <w:p w:rsidR="002D0C59" w:rsidRPr="00CA38F7" w:rsidP="00AE0BE6" w14:paraId="121A12C1" w14:textId="77777777">
      <w:pPr>
        <w:spacing w:line="269" w:lineRule="auto"/>
        <w:rPr>
          <w:rStyle w:val="5"/>
          <w:sz w:val="18"/>
          <w:szCs w:val="22"/>
          <w:rtl/>
        </w:rPr>
      </w:pPr>
      <w:r w:rsidRPr="00CA38F7">
        <w:rPr>
          <w:rStyle w:val="5"/>
          <w:b/>
          <w:bCs w:val="0"/>
          <w:sz w:val="18"/>
          <w:szCs w:val="22"/>
          <w:rtl/>
        </w:rPr>
        <w:t>****</w:t>
      </w:r>
      <w:r w:rsidRPr="00CA38F7">
        <w:rPr>
          <w:rStyle w:val="5"/>
          <w:rFonts w:hint="cs"/>
          <w:b/>
          <w:bCs w:val="0"/>
          <w:sz w:val="18"/>
          <w:szCs w:val="22"/>
          <w:rtl/>
        </w:rPr>
        <w:t xml:space="preserve"> </w:t>
      </w:r>
      <w:r w:rsidRPr="00CA38F7">
        <w:rPr>
          <w:rFonts w:hint="eastAsia"/>
          <w:sz w:val="18"/>
          <w:szCs w:val="22"/>
          <w:rtl/>
        </w:rPr>
        <w:t>תוכניות</w:t>
      </w:r>
      <w:r w:rsidRPr="00CA38F7">
        <w:rPr>
          <w:sz w:val="18"/>
          <w:szCs w:val="22"/>
          <w:rtl/>
        </w:rPr>
        <w:t xml:space="preserve"> </w:t>
      </w:r>
      <w:r w:rsidRPr="00CA38F7">
        <w:rPr>
          <w:rFonts w:hint="eastAsia"/>
          <w:sz w:val="18"/>
          <w:szCs w:val="22"/>
          <w:rtl/>
        </w:rPr>
        <w:t>לנוסע</w:t>
      </w:r>
      <w:r w:rsidRPr="00CA38F7">
        <w:rPr>
          <w:sz w:val="18"/>
          <w:szCs w:val="22"/>
          <w:rtl/>
        </w:rPr>
        <w:t xml:space="preserve"> </w:t>
      </w:r>
      <w:r w:rsidRPr="00CA38F7">
        <w:rPr>
          <w:rFonts w:hint="eastAsia"/>
          <w:sz w:val="18"/>
          <w:szCs w:val="22"/>
          <w:rtl/>
        </w:rPr>
        <w:t>מוכר</w:t>
      </w:r>
      <w:r w:rsidRPr="00CA38F7">
        <w:rPr>
          <w:rFonts w:hint="cs"/>
          <w:sz w:val="18"/>
          <w:szCs w:val="22"/>
          <w:rtl/>
        </w:rPr>
        <w:t xml:space="preserve"> </w:t>
      </w:r>
      <w:r w:rsidRPr="00CA38F7">
        <w:rPr>
          <w:rFonts w:hint="cs"/>
          <w:sz w:val="18"/>
          <w:szCs w:val="22"/>
          <w:rtl/>
        </w:rPr>
        <w:t>-</w:t>
      </w:r>
      <w:r w:rsidRPr="00CA38F7">
        <w:rPr>
          <w:rFonts w:hint="cs"/>
          <w:sz w:val="18"/>
          <w:szCs w:val="22"/>
          <w:rtl/>
        </w:rPr>
        <w:t xml:space="preserve"> תוכניות המאפשרות לנוסעים שאושרו מראש לקבל אישור כניסה מזורז עם</w:t>
      </w:r>
      <w:r w:rsidRPr="00CA38F7">
        <w:rPr>
          <w:rFonts w:hint="cs"/>
          <w:sz w:val="18"/>
          <w:szCs w:val="22"/>
          <w:rtl/>
        </w:rPr>
        <w:t xml:space="preserve"> הגעתם לביקורת הגבולות של המדינה שמפעילה את התוכנית. </w:t>
      </w:r>
    </w:p>
    <w:p w:rsidR="002D0C59" w:rsidRPr="00A21F5C" w:rsidP="00AE0BE6" w14:paraId="0D4E1ECE" w14:textId="77777777">
      <w:pPr>
        <w:pStyle w:val="a"/>
        <w:spacing w:line="269" w:lineRule="auto"/>
      </w:pPr>
    </w:p>
    <w:p w:rsidR="002D0C59" w:rsidP="00AE0BE6" w14:paraId="09006A27" w14:textId="77777777">
      <w:pPr>
        <w:pStyle w:val="ListParagraph"/>
        <w:numPr>
          <w:ilvl w:val="0"/>
          <w:numId w:val="9"/>
        </w:numPr>
        <w:spacing w:after="0" w:line="269" w:lineRule="auto"/>
        <w:jc w:val="both"/>
        <w:rPr>
          <w:rFonts w:cs="David"/>
          <w:sz w:val="24"/>
          <w:szCs w:val="24"/>
        </w:rPr>
      </w:pPr>
      <w:r>
        <w:rPr>
          <w:rFonts w:cs="David" w:hint="cs"/>
          <w:sz w:val="24"/>
          <w:szCs w:val="24"/>
          <w:rtl/>
        </w:rPr>
        <w:t xml:space="preserve">לנוכח </w:t>
      </w:r>
      <w:r w:rsidRPr="004A0234">
        <w:rPr>
          <w:rFonts w:cs="David" w:hint="cs"/>
          <w:sz w:val="24"/>
          <w:szCs w:val="24"/>
          <w:rtl/>
        </w:rPr>
        <w:t xml:space="preserve">הצורך של מדינות להתמודד עם </w:t>
      </w:r>
      <w:r>
        <w:rPr>
          <w:rFonts w:cs="David" w:hint="cs"/>
          <w:sz w:val="24"/>
          <w:szCs w:val="24"/>
          <w:rtl/>
        </w:rPr>
        <w:t>ה</w:t>
      </w:r>
      <w:r w:rsidRPr="004A0234">
        <w:rPr>
          <w:rFonts w:cs="David" w:hint="cs"/>
          <w:sz w:val="24"/>
          <w:szCs w:val="24"/>
          <w:rtl/>
        </w:rPr>
        <w:t xml:space="preserve">סיכון של כניסת פעילי טרור בטיסות בין-לאומיות </w:t>
      </w:r>
      <w:r>
        <w:rPr>
          <w:rFonts w:cs="David" w:hint="cs"/>
          <w:sz w:val="24"/>
          <w:szCs w:val="24"/>
          <w:rtl/>
        </w:rPr>
        <w:t>כדי</w:t>
      </w:r>
      <w:r w:rsidRPr="004A0234">
        <w:rPr>
          <w:rFonts w:cs="David" w:hint="cs"/>
          <w:sz w:val="24"/>
          <w:szCs w:val="24"/>
          <w:rtl/>
        </w:rPr>
        <w:t xml:space="preserve"> לבצע פעילויות טרור, החליטה </w:t>
      </w:r>
      <w:r w:rsidRPr="004A0234">
        <w:rPr>
          <w:rFonts w:cs="David"/>
          <w:sz w:val="24"/>
          <w:szCs w:val="24"/>
          <w:rtl/>
        </w:rPr>
        <w:t xml:space="preserve">מועצת הביטחון של האו"ם </w:t>
      </w:r>
      <w:r w:rsidRPr="004A0234">
        <w:rPr>
          <w:rFonts w:cs="David" w:hint="cs"/>
          <w:sz w:val="24"/>
          <w:szCs w:val="24"/>
          <w:rtl/>
        </w:rPr>
        <w:t>בדצמבר 2017 כי על המדינות החברות באו"ם לדרוש מחברות התעופה לספק נתונים אישיים על הנוסעים ולהבטיח כי המידע יועמד לרשות כל הר</w:t>
      </w:r>
      <w:r w:rsidRPr="004A0234">
        <w:rPr>
          <w:rFonts w:cs="David" w:hint="cs"/>
          <w:sz w:val="24"/>
          <w:szCs w:val="24"/>
          <w:rtl/>
        </w:rPr>
        <w:t>שויות הלאומיות הרלוונטיות והמוסמכות. האיחוד האירופי קבע כי המדינות החברות בו נדרשות להקים מערכת לניהול נתונים כאלה</w:t>
      </w:r>
      <w:r w:rsidRPr="005A4811">
        <w:rPr>
          <w:rFonts w:cs="David" w:hint="cs"/>
          <w:sz w:val="24"/>
          <w:szCs w:val="24"/>
          <w:rtl/>
        </w:rPr>
        <w:t xml:space="preserve"> </w:t>
      </w:r>
      <w:r>
        <w:rPr>
          <w:rFonts w:cs="David" w:hint="cs"/>
          <w:sz w:val="24"/>
          <w:szCs w:val="24"/>
          <w:rtl/>
        </w:rPr>
        <w:t>החל ב</w:t>
      </w:r>
      <w:r w:rsidRPr="004A0234">
        <w:rPr>
          <w:rFonts w:cs="David" w:hint="cs"/>
          <w:sz w:val="24"/>
          <w:szCs w:val="24"/>
          <w:rtl/>
        </w:rPr>
        <w:t>מאי 2019.</w:t>
      </w:r>
    </w:p>
    <w:p w:rsidR="002D0C59" w:rsidRPr="00A21F5C" w:rsidP="00AE0BE6" w14:paraId="6FF51F2D" w14:textId="77777777">
      <w:pPr>
        <w:pStyle w:val="a"/>
        <w:spacing w:line="269" w:lineRule="auto"/>
        <w:rPr>
          <w:rtl/>
        </w:rPr>
      </w:pPr>
    </w:p>
    <w:p w:rsidR="002D0C59" w:rsidRPr="00792C56" w:rsidP="00792C56" w14:paraId="29B9E65A" w14:textId="77777777">
      <w:pPr>
        <w:pStyle w:val="ListParagraph"/>
        <w:numPr>
          <w:ilvl w:val="0"/>
          <w:numId w:val="9"/>
        </w:numPr>
        <w:spacing w:after="0" w:line="269" w:lineRule="auto"/>
        <w:jc w:val="both"/>
        <w:rPr>
          <w:rFonts w:cs="David"/>
          <w:sz w:val="24"/>
          <w:szCs w:val="24"/>
          <w:rtl/>
        </w:rPr>
      </w:pPr>
      <w:r w:rsidRPr="00BA181A">
        <w:rPr>
          <w:rFonts w:cs="David" w:hint="eastAsia"/>
          <w:sz w:val="24"/>
          <w:szCs w:val="24"/>
          <w:rtl/>
        </w:rPr>
        <w:t>עוד</w:t>
      </w:r>
      <w:r w:rsidRPr="004A0234">
        <w:rPr>
          <w:rFonts w:cs="David" w:hint="cs"/>
          <w:sz w:val="24"/>
          <w:szCs w:val="24"/>
          <w:rtl/>
        </w:rPr>
        <w:t xml:space="preserve"> בשנת 2016 העלה מינהל ביקורת הגבולות את הצורך </w:t>
      </w:r>
      <w:r>
        <w:rPr>
          <w:rFonts w:cs="David" w:hint="cs"/>
          <w:sz w:val="24"/>
          <w:szCs w:val="24"/>
          <w:rtl/>
        </w:rPr>
        <w:t>באיסוף</w:t>
      </w:r>
      <w:r w:rsidRPr="004A0234">
        <w:rPr>
          <w:rFonts w:cs="David" w:hint="cs"/>
          <w:sz w:val="24"/>
          <w:szCs w:val="24"/>
          <w:rtl/>
        </w:rPr>
        <w:t xml:space="preserve"> נתונים על נוסעים זרים בטרם הגיעם לארץ באמצעות טכנולוגיות מידע לזיהוי </w:t>
      </w:r>
      <w:r w:rsidRPr="004A0234">
        <w:rPr>
          <w:rFonts w:cs="David" w:hint="cs"/>
          <w:sz w:val="24"/>
          <w:szCs w:val="24"/>
          <w:rtl/>
        </w:rPr>
        <w:t>נוסעים</w:t>
      </w:r>
      <w:r>
        <w:rPr>
          <w:rFonts w:cs="David" w:hint="cs"/>
          <w:sz w:val="24"/>
          <w:szCs w:val="24"/>
          <w:rtl/>
        </w:rPr>
        <w:t xml:space="preserve"> כחלק</w:t>
      </w:r>
      <w:r w:rsidRPr="004A0234">
        <w:rPr>
          <w:rFonts w:cs="David" w:hint="cs"/>
          <w:sz w:val="24"/>
          <w:szCs w:val="24"/>
          <w:rtl/>
        </w:rPr>
        <w:t xml:space="preserve"> </w:t>
      </w:r>
      <w:r>
        <w:rPr>
          <w:rFonts w:cs="David" w:hint="cs"/>
          <w:sz w:val="24"/>
          <w:szCs w:val="24"/>
          <w:rtl/>
        </w:rPr>
        <w:t>מ</w:t>
      </w:r>
      <w:r w:rsidRPr="004A0234">
        <w:rPr>
          <w:rFonts w:cs="David" w:hint="cs"/>
          <w:sz w:val="24"/>
          <w:szCs w:val="24"/>
          <w:rtl/>
        </w:rPr>
        <w:t>תפי</w:t>
      </w:r>
      <w:r>
        <w:rPr>
          <w:rFonts w:cs="David" w:hint="cs"/>
          <w:sz w:val="24"/>
          <w:szCs w:val="24"/>
          <w:rtl/>
        </w:rPr>
        <w:t>ס</w:t>
      </w:r>
      <w:r w:rsidRPr="004A0234">
        <w:rPr>
          <w:rFonts w:cs="David" w:hint="cs"/>
          <w:sz w:val="24"/>
          <w:szCs w:val="24"/>
          <w:rtl/>
        </w:rPr>
        <w:t>ת הפעלה חדשה שגיבש</w:t>
      </w:r>
      <w:r>
        <w:rPr>
          <w:rFonts w:cs="David" w:hint="cs"/>
          <w:sz w:val="24"/>
          <w:szCs w:val="24"/>
          <w:rtl/>
        </w:rPr>
        <w:t>.</w:t>
      </w:r>
      <w:r w:rsidRPr="004A0234">
        <w:rPr>
          <w:rFonts w:cs="David" w:hint="cs"/>
          <w:sz w:val="24"/>
          <w:szCs w:val="24"/>
          <w:rtl/>
        </w:rPr>
        <w:t xml:space="preserve"> </w:t>
      </w:r>
      <w:r>
        <w:rPr>
          <w:rFonts w:cs="David" w:hint="cs"/>
          <w:sz w:val="24"/>
          <w:szCs w:val="24"/>
          <w:rtl/>
        </w:rPr>
        <w:t>הוא</w:t>
      </w:r>
      <w:r w:rsidRPr="004A0234">
        <w:rPr>
          <w:rFonts w:cs="David" w:hint="cs"/>
          <w:sz w:val="24"/>
          <w:szCs w:val="24"/>
          <w:rtl/>
        </w:rPr>
        <w:t xml:space="preserve"> ציין </w:t>
      </w:r>
      <w:r>
        <w:rPr>
          <w:rFonts w:cs="David" w:hint="cs"/>
          <w:sz w:val="24"/>
          <w:szCs w:val="24"/>
          <w:rtl/>
        </w:rPr>
        <w:t xml:space="preserve">בה </w:t>
      </w:r>
      <w:r w:rsidRPr="004A0234">
        <w:rPr>
          <w:rFonts w:cs="David" w:hint="cs"/>
          <w:sz w:val="24"/>
          <w:szCs w:val="24"/>
          <w:rtl/>
        </w:rPr>
        <w:t>את אמצעי הבקרה לפיתוח בעתיד</w:t>
      </w:r>
      <w:r>
        <w:rPr>
          <w:rFonts w:cs="David" w:hint="cs"/>
          <w:sz w:val="24"/>
          <w:szCs w:val="24"/>
          <w:rtl/>
        </w:rPr>
        <w:t>,</w:t>
      </w:r>
      <w:r w:rsidRPr="004A0234">
        <w:rPr>
          <w:rFonts w:cs="David" w:hint="cs"/>
          <w:sz w:val="24"/>
          <w:szCs w:val="24"/>
          <w:rtl/>
        </w:rPr>
        <w:t xml:space="preserve"> </w:t>
      </w:r>
      <w:r>
        <w:rPr>
          <w:rFonts w:cs="David" w:hint="cs"/>
          <w:sz w:val="24"/>
          <w:szCs w:val="24"/>
          <w:rtl/>
        </w:rPr>
        <w:t>ו</w:t>
      </w:r>
      <w:r w:rsidRPr="004A0234">
        <w:rPr>
          <w:rFonts w:cs="David" w:hint="cs"/>
          <w:sz w:val="24"/>
          <w:szCs w:val="24"/>
          <w:rtl/>
        </w:rPr>
        <w:t>פ</w:t>
      </w:r>
      <w:r>
        <w:rPr>
          <w:rFonts w:cs="David" w:hint="cs"/>
          <w:sz w:val="24"/>
          <w:szCs w:val="24"/>
          <w:rtl/>
        </w:rPr>
        <w:t>י</w:t>
      </w:r>
      <w:r w:rsidRPr="004A0234">
        <w:rPr>
          <w:rFonts w:cs="David" w:hint="cs"/>
          <w:sz w:val="24"/>
          <w:szCs w:val="24"/>
          <w:rtl/>
        </w:rPr>
        <w:t xml:space="preserve">רט את </w:t>
      </w:r>
      <w:r w:rsidRPr="002705A8">
        <w:rPr>
          <w:rFonts w:cs="David" w:hint="eastAsia"/>
          <w:sz w:val="24"/>
          <w:szCs w:val="24"/>
          <w:rtl/>
        </w:rPr>
        <w:t>תכליות</w:t>
      </w:r>
      <w:r w:rsidRPr="004A0234">
        <w:rPr>
          <w:rFonts w:cs="David" w:hint="cs"/>
          <w:sz w:val="24"/>
          <w:szCs w:val="24"/>
          <w:rtl/>
        </w:rPr>
        <w:t xml:space="preserve"> קבלת </w:t>
      </w:r>
      <w:r>
        <w:rPr>
          <w:rFonts w:cs="David" w:hint="cs"/>
          <w:sz w:val="24"/>
          <w:szCs w:val="24"/>
          <w:rtl/>
        </w:rPr>
        <w:t>ה</w:t>
      </w:r>
      <w:r w:rsidRPr="004A0234">
        <w:rPr>
          <w:rFonts w:cs="David" w:hint="cs"/>
          <w:sz w:val="24"/>
          <w:szCs w:val="24"/>
          <w:rtl/>
        </w:rPr>
        <w:t xml:space="preserve">מידע </w:t>
      </w:r>
      <w:r>
        <w:rPr>
          <w:rFonts w:cs="David" w:hint="cs"/>
          <w:sz w:val="24"/>
          <w:szCs w:val="24"/>
          <w:rtl/>
        </w:rPr>
        <w:t>ה</w:t>
      </w:r>
      <w:r w:rsidRPr="004A0234">
        <w:rPr>
          <w:rFonts w:cs="David" w:hint="cs"/>
          <w:sz w:val="24"/>
          <w:szCs w:val="24"/>
          <w:rtl/>
        </w:rPr>
        <w:t>מקדים על הנוסע</w:t>
      </w:r>
      <w:r w:rsidRPr="004A0234">
        <w:rPr>
          <w:rFonts w:cs="David"/>
          <w:sz w:val="24"/>
          <w:szCs w:val="24"/>
          <w:rtl/>
        </w:rPr>
        <w:t xml:space="preserve"> </w:t>
      </w:r>
      <w:r w:rsidRPr="004A0234">
        <w:rPr>
          <w:rFonts w:cs="David" w:hint="cs"/>
          <w:sz w:val="24"/>
          <w:szCs w:val="24"/>
          <w:rtl/>
        </w:rPr>
        <w:t xml:space="preserve">הזר כמפורט בתרשים מס' </w:t>
      </w:r>
      <w:r>
        <w:rPr>
          <w:rFonts w:cs="David" w:hint="cs"/>
          <w:sz w:val="24"/>
          <w:szCs w:val="24"/>
          <w:rtl/>
        </w:rPr>
        <w:t>13</w:t>
      </w:r>
      <w:r w:rsidRPr="004A0234">
        <w:rPr>
          <w:rFonts w:cs="David" w:hint="cs"/>
          <w:sz w:val="24"/>
          <w:szCs w:val="24"/>
          <w:rtl/>
        </w:rPr>
        <w:t>.</w:t>
      </w:r>
      <w:r w:rsidRPr="004A0234">
        <w:rPr>
          <w:rFonts w:cs="David"/>
          <w:sz w:val="24"/>
          <w:szCs w:val="24"/>
          <w:rtl/>
        </w:rPr>
        <w:t xml:space="preserve"> </w:t>
      </w:r>
    </w:p>
    <w:p w:rsidR="002D0C59" w:rsidRPr="00A21F5C" w:rsidP="00792C56" w14:paraId="5BC6DED7" w14:textId="77777777">
      <w:pPr>
        <w:spacing w:after="120" w:line="269" w:lineRule="auto"/>
        <w:jc w:val="center"/>
        <w:rPr>
          <w:rtl/>
        </w:rPr>
      </w:pPr>
      <w:r w:rsidRPr="004A0234">
        <w:rPr>
          <w:rFonts w:hint="cs"/>
          <w:b/>
          <w:bCs/>
          <w:sz w:val="24"/>
          <w:rtl/>
        </w:rPr>
        <w:t>תרשים</w:t>
      </w:r>
      <w:r w:rsidR="00EB4F80">
        <w:rPr>
          <w:b/>
          <w:bCs/>
          <w:sz w:val="24"/>
          <w:rtl/>
        </w:rPr>
        <w:t xml:space="preserve"> </w:t>
      </w:r>
      <w:r>
        <w:rPr>
          <w:rFonts w:hint="cs"/>
          <w:b/>
          <w:bCs/>
          <w:sz w:val="24"/>
          <w:rtl/>
        </w:rPr>
        <w:t>13</w:t>
      </w:r>
      <w:r w:rsidR="00EC0F52">
        <w:rPr>
          <w:b/>
          <w:bCs/>
          <w:rtl/>
        </w:rPr>
        <w:t xml:space="preserve"> </w:t>
      </w:r>
      <w:r>
        <w:rPr>
          <w:rFonts w:hint="cs"/>
          <w:noProof/>
          <w:rtl/>
        </w:rPr>
        <w:drawing>
          <wp:inline distT="0" distB="0" distL="0" distR="0">
            <wp:extent cx="5220335" cy="4176215"/>
            <wp:effectExtent l="0" t="0" r="0" b="15240"/>
            <wp:docPr id="54" name="דיאגרמה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D0C59" w:rsidRPr="00AB6008" w:rsidP="00AE0BE6" w14:paraId="775FB744" w14:textId="77777777">
      <w:pPr>
        <w:spacing w:line="269" w:lineRule="auto"/>
        <w:rPr>
          <w:szCs w:val="20"/>
          <w:rtl/>
        </w:rPr>
      </w:pPr>
      <w:r w:rsidRPr="00AB6008">
        <w:rPr>
          <w:rFonts w:hint="cs"/>
          <w:szCs w:val="20"/>
          <w:rtl/>
        </w:rPr>
        <w:t>המקור: רשות האוכלוסין, בעיבוד משרד מבקר המדינה.</w:t>
      </w:r>
    </w:p>
    <w:p w:rsidR="002D0C59" w:rsidRPr="00A21F5C" w:rsidP="00AE0BE6" w14:paraId="2E06B1C0" w14:textId="77777777">
      <w:pPr>
        <w:pStyle w:val="a"/>
        <w:spacing w:line="269" w:lineRule="auto"/>
      </w:pPr>
    </w:p>
    <w:p w:rsidR="002D0C59" w:rsidRPr="004A0234" w:rsidP="00AE0BE6" w14:paraId="51DDEAF1" w14:textId="77777777">
      <w:pPr>
        <w:pStyle w:val="ListParagraph"/>
        <w:numPr>
          <w:ilvl w:val="0"/>
          <w:numId w:val="9"/>
        </w:numPr>
        <w:spacing w:after="0" w:line="269" w:lineRule="auto"/>
        <w:jc w:val="both"/>
        <w:rPr>
          <w:rFonts w:cs="David"/>
          <w:sz w:val="24"/>
          <w:szCs w:val="24"/>
          <w:rtl/>
        </w:rPr>
      </w:pPr>
      <w:r w:rsidRPr="004A0234">
        <w:rPr>
          <w:rFonts w:cs="David" w:hint="cs"/>
          <w:sz w:val="24"/>
          <w:szCs w:val="24"/>
          <w:rtl/>
        </w:rPr>
        <w:t xml:space="preserve">נוסף על התכליות שציינה רשות האוכלוסין, איסוף </w:t>
      </w:r>
      <w:r w:rsidRPr="00220A94">
        <w:rPr>
          <w:rFonts w:cs="David" w:hint="cs"/>
          <w:sz w:val="24"/>
          <w:szCs w:val="24"/>
          <w:rtl/>
        </w:rPr>
        <w:t>מידע מקדים</w:t>
      </w:r>
      <w:r w:rsidRPr="004A0234">
        <w:rPr>
          <w:rFonts w:cs="David" w:hint="cs"/>
          <w:sz w:val="24"/>
          <w:szCs w:val="24"/>
          <w:rtl/>
        </w:rPr>
        <w:t xml:space="preserve"> על הנוסע הזר עשוי לתרום לשיפור תדמיתה הציבורי</w:t>
      </w:r>
      <w:r>
        <w:rPr>
          <w:rFonts w:cs="David" w:hint="cs"/>
          <w:sz w:val="24"/>
          <w:szCs w:val="24"/>
          <w:rtl/>
        </w:rPr>
        <w:t>ת</w:t>
      </w:r>
      <w:r w:rsidRPr="004A0234">
        <w:rPr>
          <w:rFonts w:cs="David" w:hint="cs"/>
          <w:sz w:val="24"/>
          <w:szCs w:val="24"/>
          <w:rtl/>
        </w:rPr>
        <w:t>-תקשורתי</w:t>
      </w:r>
      <w:r>
        <w:rPr>
          <w:rFonts w:cs="David" w:hint="cs"/>
          <w:sz w:val="24"/>
          <w:szCs w:val="24"/>
          <w:rtl/>
        </w:rPr>
        <w:t>ת</w:t>
      </w:r>
      <w:r w:rsidRPr="004A0234">
        <w:rPr>
          <w:rFonts w:cs="David" w:hint="cs"/>
          <w:sz w:val="24"/>
          <w:szCs w:val="24"/>
          <w:rtl/>
        </w:rPr>
        <w:t xml:space="preserve"> של ישראל בעולם ובארץ באמצעות מניעת אירועי הרחקה, ובמקרים מסוימים אף עשוי לחסוך לנוסע את דמי הטיסה לישראל. להלן מובאות שתי דוגמאות </w:t>
      </w:r>
      <w:r>
        <w:rPr>
          <w:rFonts w:cs="David" w:hint="cs"/>
          <w:sz w:val="24"/>
          <w:szCs w:val="24"/>
          <w:rtl/>
        </w:rPr>
        <w:t xml:space="preserve">הממחישות את הצורך </w:t>
      </w:r>
      <w:r w:rsidRPr="00220A94">
        <w:rPr>
          <w:rFonts w:cs="David" w:hint="cs"/>
          <w:sz w:val="24"/>
          <w:szCs w:val="24"/>
          <w:rtl/>
        </w:rPr>
        <w:t>במידע מקדים</w:t>
      </w:r>
      <w:r>
        <w:rPr>
          <w:rFonts w:cs="David" w:hint="cs"/>
          <w:sz w:val="24"/>
          <w:szCs w:val="24"/>
          <w:rtl/>
        </w:rPr>
        <w:t xml:space="preserve"> על הנוסע.</w:t>
      </w:r>
    </w:p>
    <w:p w:rsidR="002D0C59" w:rsidRPr="00A21F5C" w:rsidP="00AE0BE6" w14:paraId="498AF15F" w14:textId="77777777">
      <w:pPr>
        <w:pStyle w:val="a"/>
        <w:spacing w:line="269" w:lineRule="auto"/>
        <w:rPr>
          <w:rtl/>
        </w:rPr>
      </w:pPr>
    </w:p>
    <w:p w:rsidR="002D0C59" w:rsidRPr="00A311BE" w:rsidP="00AE0BE6" w14:paraId="725AB0D6" w14:textId="77777777">
      <w:pPr>
        <w:pStyle w:val="ListParagraph"/>
        <w:numPr>
          <w:ilvl w:val="1"/>
          <w:numId w:val="9"/>
        </w:numPr>
        <w:spacing w:after="0" w:line="269" w:lineRule="auto"/>
        <w:jc w:val="both"/>
        <w:rPr>
          <w:rFonts w:cs="David"/>
          <w:sz w:val="24"/>
          <w:szCs w:val="24"/>
        </w:rPr>
      </w:pPr>
      <w:r w:rsidRPr="00A311BE">
        <w:rPr>
          <w:rFonts w:cs="David" w:hint="cs"/>
          <w:sz w:val="24"/>
          <w:szCs w:val="24"/>
          <w:rtl/>
        </w:rPr>
        <w:t xml:space="preserve">באפריל 2018 התקבל </w:t>
      </w:r>
      <w:r w:rsidRPr="00A311BE">
        <w:rPr>
          <w:rFonts w:cs="David" w:hint="cs"/>
          <w:sz w:val="24"/>
          <w:szCs w:val="24"/>
          <w:rtl/>
        </w:rPr>
        <w:t>ברשות האוכלוסין מידע על הגעת</w:t>
      </w:r>
      <w:r>
        <w:rPr>
          <w:rFonts w:cs="David" w:hint="cs"/>
          <w:sz w:val="24"/>
          <w:szCs w:val="24"/>
          <w:rtl/>
        </w:rPr>
        <w:t>ו</w:t>
      </w:r>
      <w:r w:rsidRPr="00A311BE">
        <w:rPr>
          <w:rFonts w:cs="David" w:hint="cs"/>
          <w:sz w:val="24"/>
          <w:szCs w:val="24"/>
          <w:rtl/>
        </w:rPr>
        <w:t xml:space="preserve"> הצפויה </w:t>
      </w:r>
      <w:r>
        <w:rPr>
          <w:rFonts w:cs="David" w:hint="cs"/>
          <w:sz w:val="24"/>
          <w:szCs w:val="24"/>
          <w:rtl/>
        </w:rPr>
        <w:t xml:space="preserve">לישראל </w:t>
      </w:r>
      <w:r w:rsidRPr="00A311BE">
        <w:rPr>
          <w:rFonts w:cs="David" w:hint="cs"/>
          <w:sz w:val="24"/>
          <w:szCs w:val="24"/>
          <w:rtl/>
        </w:rPr>
        <w:t xml:space="preserve">של </w:t>
      </w:r>
      <w:r>
        <w:rPr>
          <w:rFonts w:cs="David" w:hint="cs"/>
          <w:sz w:val="24"/>
          <w:szCs w:val="24"/>
          <w:rtl/>
        </w:rPr>
        <w:t xml:space="preserve">איש ציבור </w:t>
      </w:r>
      <w:r w:rsidRPr="00A311BE">
        <w:rPr>
          <w:rFonts w:cs="David" w:hint="cs"/>
          <w:sz w:val="24"/>
          <w:szCs w:val="24"/>
          <w:rtl/>
        </w:rPr>
        <w:t xml:space="preserve">זר, ובמערכת הממוחשבת של ביקורת הגבולות נרשם שאין להתיר את כניסתו לארץ. על אף הרישום במערכת עבר </w:t>
      </w:r>
      <w:r>
        <w:rPr>
          <w:rFonts w:cs="David" w:hint="cs"/>
          <w:sz w:val="24"/>
          <w:szCs w:val="24"/>
          <w:rtl/>
        </w:rPr>
        <w:t>איש הציבור</w:t>
      </w:r>
      <w:r w:rsidRPr="00A311BE">
        <w:rPr>
          <w:rFonts w:cs="David" w:hint="cs"/>
          <w:sz w:val="24"/>
          <w:szCs w:val="24"/>
          <w:rtl/>
        </w:rPr>
        <w:t xml:space="preserve"> במעבר הגבול ונכנס לישראל. מבירור שערך מנכ"ל משרד הפנים הועלה כי בשל איות שגוי של שם הנכנס במע</w:t>
      </w:r>
      <w:r w:rsidRPr="00A311BE">
        <w:rPr>
          <w:rFonts w:cs="David" w:hint="cs"/>
          <w:sz w:val="24"/>
          <w:szCs w:val="24"/>
          <w:rtl/>
        </w:rPr>
        <w:t xml:space="preserve">רכת הממוחשבת של ביקורת הגבולות שהתבסס על מסמך לא רשמי, לא זוהה הנוסע במעבר הגבול כמסורב כניסה. המנכ"ל העלה את חשיבות השימוש במערכת לקבלת </w:t>
      </w:r>
      <w:r w:rsidRPr="00220A94">
        <w:rPr>
          <w:rFonts w:cs="David" w:hint="cs"/>
          <w:sz w:val="24"/>
          <w:szCs w:val="24"/>
          <w:rtl/>
        </w:rPr>
        <w:t>מידע מקדים</w:t>
      </w:r>
      <w:r w:rsidRPr="00A311BE">
        <w:rPr>
          <w:rFonts w:cs="David" w:hint="cs"/>
          <w:sz w:val="24"/>
          <w:szCs w:val="24"/>
          <w:rtl/>
        </w:rPr>
        <w:t xml:space="preserve"> על הנוסע הזר ככלי משמעותי למניעת מקרים כאלה והמליץ לקדם את הקמתה. יצוין כי המקרה סוקר בהרחבה בתקשורת. </w:t>
      </w:r>
    </w:p>
    <w:p w:rsidR="002D0C59" w:rsidRPr="00A21F5C" w:rsidP="00AE0BE6" w14:paraId="1C3EEE17" w14:textId="77777777">
      <w:pPr>
        <w:pStyle w:val="a"/>
        <w:spacing w:line="269" w:lineRule="auto"/>
        <w:rPr>
          <w:rtl/>
        </w:rPr>
      </w:pPr>
    </w:p>
    <w:p w:rsidR="002D0C59" w:rsidRPr="00A311BE" w:rsidP="00AE0BE6" w14:paraId="3540B502" w14:textId="77777777">
      <w:pPr>
        <w:pStyle w:val="ListParagraph"/>
        <w:numPr>
          <w:ilvl w:val="1"/>
          <w:numId w:val="9"/>
        </w:numPr>
        <w:spacing w:after="0" w:line="269" w:lineRule="auto"/>
        <w:jc w:val="both"/>
        <w:rPr>
          <w:rFonts w:cs="David"/>
          <w:sz w:val="24"/>
          <w:szCs w:val="24"/>
          <w:rtl/>
        </w:rPr>
      </w:pPr>
      <w:r w:rsidRPr="00A311BE">
        <w:rPr>
          <w:rFonts w:cs="David" w:hint="cs"/>
          <w:sz w:val="24"/>
          <w:szCs w:val="24"/>
          <w:rtl/>
        </w:rPr>
        <w:t>באוג</w:t>
      </w:r>
      <w:r w:rsidRPr="00A311BE">
        <w:rPr>
          <w:rFonts w:cs="David" w:hint="cs"/>
          <w:sz w:val="24"/>
          <w:szCs w:val="24"/>
          <w:rtl/>
        </w:rPr>
        <w:t>וסט 2018 החליט שר הפנים</w:t>
      </w:r>
      <w:r w:rsidRPr="00A311BE">
        <w:rPr>
          <w:rFonts w:cs="David"/>
          <w:sz w:val="24"/>
          <w:szCs w:val="24"/>
          <w:rtl/>
        </w:rPr>
        <w:t xml:space="preserve"> </w:t>
      </w:r>
      <w:r w:rsidRPr="00A311BE">
        <w:rPr>
          <w:rFonts w:cs="David" w:hint="eastAsia"/>
          <w:sz w:val="24"/>
          <w:szCs w:val="24"/>
          <w:rtl/>
        </w:rPr>
        <w:t>למנוע</w:t>
      </w:r>
      <w:r w:rsidRPr="00A311BE">
        <w:rPr>
          <w:rFonts w:cs="David"/>
          <w:sz w:val="24"/>
          <w:szCs w:val="24"/>
          <w:rtl/>
        </w:rPr>
        <w:t xml:space="preserve"> כניסה לישראל </w:t>
      </w:r>
      <w:r w:rsidRPr="00A311BE">
        <w:rPr>
          <w:rFonts w:cs="David" w:hint="cs"/>
          <w:sz w:val="24"/>
          <w:szCs w:val="24"/>
          <w:rtl/>
        </w:rPr>
        <w:t>של סטודנטית</w:t>
      </w:r>
      <w:r w:rsidRPr="00A311BE">
        <w:rPr>
          <w:rFonts w:cs="David"/>
          <w:sz w:val="24"/>
          <w:szCs w:val="24"/>
          <w:rtl/>
        </w:rPr>
        <w:t xml:space="preserve"> </w:t>
      </w:r>
      <w:r w:rsidRPr="00A311BE">
        <w:rPr>
          <w:rFonts w:cs="David" w:hint="cs"/>
          <w:sz w:val="24"/>
          <w:szCs w:val="24"/>
          <w:rtl/>
        </w:rPr>
        <w:t>זרה</w:t>
      </w:r>
      <w:r w:rsidRPr="00A311BE">
        <w:rPr>
          <w:rFonts w:cs="David"/>
          <w:sz w:val="24"/>
          <w:szCs w:val="24"/>
          <w:rtl/>
        </w:rPr>
        <w:t xml:space="preserve"> </w:t>
      </w:r>
      <w:r w:rsidRPr="00A311BE">
        <w:rPr>
          <w:rFonts w:cs="David" w:hint="cs"/>
          <w:sz w:val="24"/>
          <w:szCs w:val="24"/>
          <w:rtl/>
        </w:rPr>
        <w:t xml:space="preserve">אשר התקבלה ללימודים בארץ, אף שקיבלה מראש אשרת כניסה. הנושא סוקר בהרחבה באמצעי התקשורת. הנושא נדון גם בפסק דין של בית המשפט העליון, והוא קבע כי ההחלטה אינה מצויה במתחם הסבירות ויש להורות על ביטולה. </w:t>
      </w:r>
    </w:p>
    <w:p w:rsidR="002D0C59" w:rsidRPr="00A21F5C" w:rsidP="00AE0BE6" w14:paraId="0E6CE09A" w14:textId="77777777">
      <w:pPr>
        <w:pStyle w:val="a"/>
        <w:spacing w:line="269" w:lineRule="auto"/>
      </w:pPr>
    </w:p>
    <w:p w:rsidR="002D0C59" w:rsidRPr="004A0234" w:rsidP="00AE0BE6" w14:paraId="01F12361" w14:textId="77777777">
      <w:pPr>
        <w:pStyle w:val="ListParagraph"/>
        <w:numPr>
          <w:ilvl w:val="0"/>
          <w:numId w:val="9"/>
        </w:numPr>
        <w:spacing w:after="0" w:line="269" w:lineRule="auto"/>
        <w:jc w:val="both"/>
        <w:rPr>
          <w:rFonts w:cs="David"/>
          <w:sz w:val="24"/>
          <w:szCs w:val="24"/>
          <w:rtl/>
        </w:rPr>
      </w:pPr>
      <w:r w:rsidRPr="004A0234">
        <w:rPr>
          <w:rFonts w:cs="David" w:hint="cs"/>
          <w:sz w:val="24"/>
          <w:szCs w:val="24"/>
          <w:rtl/>
        </w:rPr>
        <w:t xml:space="preserve">מתרשים </w:t>
      </w:r>
      <w:r>
        <w:rPr>
          <w:rFonts w:cs="David" w:hint="cs"/>
          <w:sz w:val="24"/>
          <w:szCs w:val="24"/>
          <w:rtl/>
        </w:rPr>
        <w:t>12</w:t>
      </w:r>
      <w:r w:rsidRPr="004A0234">
        <w:rPr>
          <w:rFonts w:cs="David" w:hint="cs"/>
          <w:sz w:val="24"/>
          <w:szCs w:val="24"/>
          <w:rtl/>
        </w:rPr>
        <w:t xml:space="preserve"> לעיל עולה</w:t>
      </w:r>
      <w:r w:rsidRPr="004A0234">
        <w:rPr>
          <w:rFonts w:cs="David"/>
          <w:sz w:val="24"/>
          <w:szCs w:val="24"/>
          <w:rtl/>
        </w:rPr>
        <w:t xml:space="preserve"> </w:t>
      </w:r>
      <w:r w:rsidRPr="004A0234">
        <w:rPr>
          <w:rFonts w:cs="David" w:hint="eastAsia"/>
          <w:sz w:val="24"/>
          <w:szCs w:val="24"/>
          <w:rtl/>
        </w:rPr>
        <w:t>כי</w:t>
      </w:r>
      <w:r w:rsidRPr="004A0234">
        <w:rPr>
          <w:rFonts w:cs="David"/>
          <w:sz w:val="24"/>
          <w:szCs w:val="24"/>
          <w:rtl/>
        </w:rPr>
        <w:t xml:space="preserve"> </w:t>
      </w:r>
      <w:r w:rsidRPr="004A0234">
        <w:rPr>
          <w:rFonts w:cs="David" w:hint="cs"/>
          <w:sz w:val="24"/>
          <w:szCs w:val="24"/>
          <w:rtl/>
        </w:rPr>
        <w:t xml:space="preserve">כ-70 </w:t>
      </w:r>
      <w:r w:rsidRPr="004A0234">
        <w:rPr>
          <w:rFonts w:cs="David"/>
          <w:sz w:val="24"/>
          <w:szCs w:val="24"/>
          <w:rtl/>
        </w:rPr>
        <w:t xml:space="preserve">מדינות </w:t>
      </w:r>
      <w:r w:rsidRPr="004A0234">
        <w:rPr>
          <w:rFonts w:cs="David" w:hint="cs"/>
          <w:sz w:val="24"/>
          <w:szCs w:val="24"/>
          <w:rtl/>
        </w:rPr>
        <w:t>אוספות מידע על נוסעים זרים המבקשים להיכנס לתחומן לפני הגעתם</w:t>
      </w:r>
      <w:r>
        <w:rPr>
          <w:rFonts w:cs="David" w:hint="cs"/>
          <w:sz w:val="24"/>
          <w:szCs w:val="24"/>
          <w:rtl/>
        </w:rPr>
        <w:t xml:space="preserve"> (במישרין או באמצעות חברות התעופה)</w:t>
      </w:r>
      <w:r w:rsidRPr="004A0234">
        <w:rPr>
          <w:rFonts w:cs="David" w:hint="cs"/>
          <w:sz w:val="24"/>
          <w:szCs w:val="24"/>
          <w:rtl/>
        </w:rPr>
        <w:t xml:space="preserve"> </w:t>
      </w:r>
      <w:r>
        <w:rPr>
          <w:rFonts w:cs="David" w:hint="cs"/>
          <w:sz w:val="24"/>
          <w:szCs w:val="24"/>
          <w:rtl/>
        </w:rPr>
        <w:t>כדי</w:t>
      </w:r>
      <w:r w:rsidRPr="004A0234">
        <w:rPr>
          <w:rFonts w:cs="David" w:hint="cs"/>
          <w:sz w:val="24"/>
          <w:szCs w:val="24"/>
          <w:rtl/>
        </w:rPr>
        <w:t xml:space="preserve"> לשפר ולייעל את ה</w:t>
      </w:r>
      <w:r w:rsidRPr="004A0234">
        <w:rPr>
          <w:rFonts w:cs="David"/>
          <w:sz w:val="24"/>
          <w:szCs w:val="24"/>
          <w:rtl/>
        </w:rPr>
        <w:t xml:space="preserve">בקרה על </w:t>
      </w:r>
      <w:r w:rsidRPr="004A0234">
        <w:rPr>
          <w:rFonts w:cs="David"/>
          <w:sz w:val="24"/>
          <w:szCs w:val="24"/>
          <w:rtl/>
        </w:rPr>
        <w:t xml:space="preserve">הנכנסים למדינה </w:t>
      </w:r>
      <w:r w:rsidRPr="004A0234">
        <w:rPr>
          <w:rFonts w:cs="David" w:hint="cs"/>
          <w:sz w:val="24"/>
          <w:szCs w:val="24"/>
          <w:rtl/>
        </w:rPr>
        <w:t xml:space="preserve">ולמנוע </w:t>
      </w:r>
      <w:r>
        <w:rPr>
          <w:rFonts w:cs="David" w:hint="cs"/>
          <w:sz w:val="24"/>
          <w:szCs w:val="24"/>
          <w:rtl/>
        </w:rPr>
        <w:t xml:space="preserve">את </w:t>
      </w:r>
      <w:r w:rsidRPr="004A0234">
        <w:rPr>
          <w:rFonts w:cs="David" w:hint="cs"/>
          <w:sz w:val="24"/>
          <w:szCs w:val="24"/>
          <w:rtl/>
        </w:rPr>
        <w:t>כניס</w:t>
      </w:r>
      <w:r>
        <w:rPr>
          <w:rFonts w:cs="David" w:hint="cs"/>
          <w:sz w:val="24"/>
          <w:szCs w:val="24"/>
          <w:rtl/>
        </w:rPr>
        <w:t>תם</w:t>
      </w:r>
      <w:r w:rsidRPr="004A0234">
        <w:rPr>
          <w:rFonts w:cs="David" w:hint="cs"/>
          <w:sz w:val="24"/>
          <w:szCs w:val="24"/>
          <w:rtl/>
        </w:rPr>
        <w:t xml:space="preserve"> במידת הצורך</w:t>
      </w:r>
      <w:r w:rsidRPr="004A0234">
        <w:rPr>
          <w:rFonts w:cs="David"/>
          <w:sz w:val="24"/>
          <w:szCs w:val="24"/>
          <w:rtl/>
        </w:rPr>
        <w:t xml:space="preserve">. </w:t>
      </w:r>
      <w:r w:rsidRPr="004A0234">
        <w:rPr>
          <w:rFonts w:cs="David" w:hint="cs"/>
          <w:sz w:val="24"/>
          <w:szCs w:val="24"/>
          <w:rtl/>
        </w:rPr>
        <w:t xml:space="preserve">זאת גם בהתאם להחלטת מועצת הביטחון של האו"ם מדצמבר </w:t>
      </w:r>
      <w:r w:rsidRPr="004A0234">
        <w:rPr>
          <w:rFonts w:cs="David" w:hint="cs"/>
          <w:sz w:val="24"/>
          <w:szCs w:val="24"/>
          <w:rtl/>
        </w:rPr>
        <w:t>2017.</w:t>
      </w:r>
    </w:p>
    <w:p w:rsidR="002D0C59" w:rsidRPr="00A21F5C" w:rsidP="00AE0BE6" w14:paraId="1AE6F2E4" w14:textId="77777777">
      <w:pPr>
        <w:pStyle w:val="a"/>
        <w:spacing w:line="269" w:lineRule="auto"/>
        <w:rPr>
          <w:rtl/>
        </w:rPr>
      </w:pPr>
    </w:p>
    <w:p w:rsidR="002D0C59" w:rsidRPr="004A0234" w:rsidP="00AE0BE6" w14:paraId="2900E694" w14:textId="77777777">
      <w:pPr>
        <w:spacing w:line="269" w:lineRule="auto"/>
        <w:rPr>
          <w:b/>
          <w:bCs/>
          <w:sz w:val="24"/>
          <w:rtl/>
        </w:rPr>
      </w:pPr>
      <w:r w:rsidRPr="004A0234">
        <w:rPr>
          <w:rFonts w:hint="cs"/>
          <w:b/>
          <w:bCs/>
          <w:sz w:val="24"/>
          <w:rtl/>
        </w:rPr>
        <w:t>נמצא כי בשונה מ</w:t>
      </w:r>
      <w:r>
        <w:rPr>
          <w:rFonts w:hint="cs"/>
          <w:b/>
          <w:bCs/>
          <w:sz w:val="24"/>
          <w:rtl/>
        </w:rPr>
        <w:t xml:space="preserve">עשרות </w:t>
      </w:r>
      <w:r w:rsidRPr="004A0234">
        <w:rPr>
          <w:rFonts w:hint="cs"/>
          <w:b/>
          <w:bCs/>
          <w:sz w:val="24"/>
          <w:rtl/>
        </w:rPr>
        <w:t xml:space="preserve">מדינות </w:t>
      </w:r>
      <w:r>
        <w:rPr>
          <w:rFonts w:hint="cs"/>
          <w:b/>
          <w:bCs/>
          <w:sz w:val="24"/>
          <w:rtl/>
        </w:rPr>
        <w:t>בעולם</w:t>
      </w:r>
      <w:r w:rsidRPr="004A0234">
        <w:rPr>
          <w:rFonts w:hint="cs"/>
          <w:b/>
          <w:bCs/>
          <w:sz w:val="24"/>
          <w:rtl/>
        </w:rPr>
        <w:t xml:space="preserve">, </w:t>
      </w:r>
      <w:r>
        <w:rPr>
          <w:rFonts w:hint="cs"/>
          <w:b/>
          <w:bCs/>
          <w:sz w:val="24"/>
          <w:rtl/>
        </w:rPr>
        <w:t xml:space="preserve">ולמרות תפיסת ההפעלה החדשה של מינהל מעברי הגבול, </w:t>
      </w:r>
      <w:r w:rsidRPr="004A0234">
        <w:rPr>
          <w:rFonts w:hint="cs"/>
          <w:b/>
          <w:bCs/>
          <w:sz w:val="24"/>
          <w:rtl/>
        </w:rPr>
        <w:t>מדינת ישראל ככלל אינה אוספת מידע על נוסעים</w:t>
      </w:r>
      <w:r w:rsidR="002D2BF2">
        <w:rPr>
          <w:rFonts w:hint="cs"/>
          <w:b/>
          <w:bCs/>
          <w:sz w:val="24"/>
          <w:rtl/>
        </w:rPr>
        <w:t xml:space="preserve"> זרים</w:t>
      </w:r>
      <w:r w:rsidRPr="004A0234">
        <w:rPr>
          <w:rFonts w:hint="cs"/>
          <w:b/>
          <w:bCs/>
          <w:sz w:val="24"/>
          <w:rtl/>
        </w:rPr>
        <w:t xml:space="preserve"> לצורך ביצוע ביקורת גבולות </w:t>
      </w:r>
      <w:r>
        <w:rPr>
          <w:rFonts w:hint="cs"/>
          <w:b/>
          <w:bCs/>
          <w:sz w:val="24"/>
          <w:rtl/>
        </w:rPr>
        <w:t>קודם</w:t>
      </w:r>
      <w:r w:rsidRPr="004A0234">
        <w:rPr>
          <w:rFonts w:hint="cs"/>
          <w:b/>
          <w:bCs/>
          <w:sz w:val="24"/>
          <w:rtl/>
        </w:rPr>
        <w:t xml:space="preserve"> הגעתם למעבר הגבול בישראל</w:t>
      </w:r>
      <w:r>
        <w:rPr>
          <w:rFonts w:hint="cs"/>
          <w:b/>
          <w:bCs/>
          <w:sz w:val="24"/>
          <w:rtl/>
        </w:rPr>
        <w:t>,</w:t>
      </w:r>
      <w:r w:rsidRPr="00D0489C">
        <w:rPr>
          <w:rFonts w:hint="cs"/>
          <w:b/>
          <w:bCs/>
          <w:sz w:val="24"/>
          <w:rtl/>
        </w:rPr>
        <w:t xml:space="preserve"> </w:t>
      </w:r>
      <w:r w:rsidRPr="004A0234">
        <w:rPr>
          <w:rFonts w:hint="cs"/>
          <w:b/>
          <w:bCs/>
          <w:sz w:val="24"/>
          <w:rtl/>
        </w:rPr>
        <w:t xml:space="preserve">והאמצעים שפירט מינהל </w:t>
      </w:r>
      <w:r>
        <w:rPr>
          <w:rFonts w:hint="cs"/>
          <w:b/>
          <w:bCs/>
          <w:sz w:val="24"/>
          <w:rtl/>
        </w:rPr>
        <w:t>ביקורת</w:t>
      </w:r>
      <w:r w:rsidRPr="004A0234">
        <w:rPr>
          <w:rFonts w:hint="cs"/>
          <w:b/>
          <w:bCs/>
          <w:sz w:val="24"/>
          <w:rtl/>
        </w:rPr>
        <w:t xml:space="preserve"> הגבול</w:t>
      </w:r>
      <w:r>
        <w:rPr>
          <w:rFonts w:hint="cs"/>
          <w:b/>
          <w:bCs/>
          <w:sz w:val="24"/>
          <w:rtl/>
        </w:rPr>
        <w:t>ות</w:t>
      </w:r>
      <w:r w:rsidRPr="004A0234">
        <w:rPr>
          <w:rFonts w:hint="cs"/>
          <w:b/>
          <w:bCs/>
          <w:sz w:val="24"/>
          <w:rtl/>
        </w:rPr>
        <w:t xml:space="preserve"> בתפי</w:t>
      </w:r>
      <w:r>
        <w:rPr>
          <w:rFonts w:hint="cs"/>
          <w:b/>
          <w:bCs/>
          <w:sz w:val="24"/>
          <w:rtl/>
        </w:rPr>
        <w:t>ס</w:t>
      </w:r>
      <w:r w:rsidRPr="004A0234">
        <w:rPr>
          <w:rFonts w:hint="cs"/>
          <w:b/>
          <w:bCs/>
          <w:sz w:val="24"/>
          <w:rtl/>
        </w:rPr>
        <w:t>ת ההפעלה החדשה בעניי</w:t>
      </w:r>
      <w:r w:rsidRPr="004A0234">
        <w:rPr>
          <w:rFonts w:hint="cs"/>
          <w:b/>
          <w:bCs/>
          <w:sz w:val="24"/>
          <w:rtl/>
        </w:rPr>
        <w:t xml:space="preserve">ן זה טרם הוצאו לפועל. זאת בשעה שחל גידול חד במספר סירובי הכניסה לישראל (כ-780% בשנים </w:t>
      </w:r>
      <w:r>
        <w:rPr>
          <w:rFonts w:hint="cs"/>
          <w:b/>
          <w:bCs/>
          <w:sz w:val="24"/>
          <w:rtl/>
        </w:rPr>
        <w:t xml:space="preserve">2012 </w:t>
      </w:r>
      <w:r w:rsidRPr="004A0234">
        <w:rPr>
          <w:rFonts w:hint="cs"/>
          <w:b/>
          <w:bCs/>
          <w:sz w:val="24"/>
          <w:rtl/>
        </w:rPr>
        <w:t>-</w:t>
      </w:r>
      <w:r>
        <w:rPr>
          <w:rFonts w:hint="cs"/>
          <w:b/>
          <w:bCs/>
          <w:sz w:val="24"/>
          <w:rtl/>
        </w:rPr>
        <w:t xml:space="preserve"> </w:t>
      </w:r>
      <w:r w:rsidRPr="004A0234">
        <w:rPr>
          <w:rFonts w:hint="cs"/>
          <w:b/>
          <w:bCs/>
          <w:sz w:val="24"/>
          <w:rtl/>
        </w:rPr>
        <w:t>201</w:t>
      </w:r>
      <w:r>
        <w:rPr>
          <w:rFonts w:hint="cs"/>
          <w:b/>
          <w:bCs/>
          <w:sz w:val="24"/>
          <w:rtl/>
        </w:rPr>
        <w:t>8</w:t>
      </w:r>
      <w:r w:rsidRPr="004A0234">
        <w:rPr>
          <w:rFonts w:hint="cs"/>
          <w:b/>
          <w:bCs/>
          <w:sz w:val="24"/>
          <w:rtl/>
        </w:rPr>
        <w:t xml:space="preserve">), והוא גבוה לאין שיעור </w:t>
      </w:r>
      <w:r>
        <w:rPr>
          <w:rFonts w:hint="cs"/>
          <w:b/>
          <w:bCs/>
          <w:sz w:val="24"/>
          <w:rtl/>
        </w:rPr>
        <w:t>מה</w:t>
      </w:r>
      <w:r w:rsidRPr="004A0234">
        <w:rPr>
          <w:rFonts w:hint="cs"/>
          <w:b/>
          <w:bCs/>
          <w:sz w:val="24"/>
          <w:rtl/>
        </w:rPr>
        <w:t xml:space="preserve">גידול במספר התיירים שנכנסו לישראל באותה תקופה (51% בלבד). </w:t>
      </w:r>
      <w:r w:rsidRPr="00F7401C">
        <w:rPr>
          <w:rFonts w:hint="cs"/>
          <w:b/>
          <w:bCs/>
          <w:sz w:val="24"/>
          <w:rtl/>
        </w:rPr>
        <w:t xml:space="preserve">באותה תקופה חל גידול ניכר גם </w:t>
      </w:r>
      <w:r w:rsidRPr="00F7401C">
        <w:rPr>
          <w:b/>
          <w:bCs/>
          <w:sz w:val="24"/>
          <w:rtl/>
        </w:rPr>
        <w:t xml:space="preserve">במספר התיירים בארץ </w:t>
      </w:r>
      <w:r w:rsidRPr="00F7401C">
        <w:rPr>
          <w:rFonts w:hint="cs"/>
          <w:b/>
          <w:bCs/>
          <w:sz w:val="24"/>
          <w:rtl/>
        </w:rPr>
        <w:t>שאין בידם</w:t>
      </w:r>
      <w:r w:rsidRPr="00F7401C">
        <w:rPr>
          <w:b/>
          <w:bCs/>
          <w:sz w:val="24"/>
          <w:rtl/>
        </w:rPr>
        <w:t xml:space="preserve"> </w:t>
      </w:r>
      <w:r w:rsidRPr="00F7401C">
        <w:rPr>
          <w:rFonts w:hint="cs"/>
          <w:b/>
          <w:bCs/>
          <w:sz w:val="24"/>
          <w:rtl/>
        </w:rPr>
        <w:t>אשרת כניסה תקפה (כ</w:t>
      </w:r>
      <w:r w:rsidRPr="00F7401C">
        <w:rPr>
          <w:rFonts w:hint="cs"/>
          <w:b/>
          <w:bCs/>
          <w:sz w:val="24"/>
          <w:rtl/>
        </w:rPr>
        <w:t>-76%), ובי</w:t>
      </w:r>
      <w:r w:rsidRPr="004A0234">
        <w:rPr>
          <w:rFonts w:hint="cs"/>
          <w:b/>
          <w:bCs/>
          <w:sz w:val="24"/>
          <w:rtl/>
        </w:rPr>
        <w:t>ן הסיבות לכך עשויה להיות גם בקרה לא מספקת על הזרים ה</w:t>
      </w:r>
      <w:r>
        <w:rPr>
          <w:rFonts w:hint="cs"/>
          <w:b/>
          <w:bCs/>
          <w:sz w:val="24"/>
          <w:rtl/>
        </w:rPr>
        <w:t>נכנסים</w:t>
      </w:r>
      <w:r w:rsidRPr="004A0234">
        <w:rPr>
          <w:rFonts w:hint="cs"/>
          <w:b/>
          <w:bCs/>
          <w:sz w:val="24"/>
          <w:rtl/>
        </w:rPr>
        <w:t xml:space="preserve"> לארץ. </w:t>
      </w:r>
    </w:p>
    <w:p w:rsidR="002D0C59" w:rsidRPr="00A21F5C" w:rsidP="00AE0BE6" w14:paraId="229A8CC4" w14:textId="77777777">
      <w:pPr>
        <w:pStyle w:val="a"/>
        <w:spacing w:line="269" w:lineRule="auto"/>
        <w:rPr>
          <w:rtl/>
        </w:rPr>
      </w:pPr>
    </w:p>
    <w:p w:rsidR="002D0C59" w:rsidP="00AE0BE6" w14:paraId="1E16FC3E" w14:textId="77777777">
      <w:pPr>
        <w:spacing w:line="269" w:lineRule="auto"/>
        <w:rPr>
          <w:sz w:val="24"/>
          <w:rtl/>
        </w:rPr>
      </w:pPr>
      <w:r w:rsidRPr="004A0234">
        <w:rPr>
          <w:rFonts w:hint="cs"/>
          <w:sz w:val="24"/>
          <w:rtl/>
        </w:rPr>
        <w:t>לצורך פיתוח תשתיות מידע לזיהוי נוסעים זרים</w:t>
      </w:r>
      <w:r w:rsidRPr="004A0234">
        <w:rPr>
          <w:sz w:val="24"/>
          <w:rtl/>
        </w:rPr>
        <w:t xml:space="preserve"> שמבקשים להיכנס </w:t>
      </w:r>
      <w:r w:rsidRPr="004A0234">
        <w:rPr>
          <w:rFonts w:hint="cs"/>
          <w:sz w:val="24"/>
          <w:rtl/>
        </w:rPr>
        <w:t>לארץ ננקטו הפעולות המפורטות להלן.</w:t>
      </w:r>
    </w:p>
    <w:p w:rsidR="00955421" w:rsidP="00792C56" w14:paraId="72D7A379" w14:textId="77777777">
      <w:pPr>
        <w:pStyle w:val="a"/>
        <w:rPr>
          <w:rtl/>
        </w:rPr>
      </w:pPr>
    </w:p>
    <w:p w:rsidR="00792C56" w:rsidRPr="004A0234" w:rsidP="00792C56" w14:paraId="55A747B3" w14:textId="77777777">
      <w:pPr>
        <w:pStyle w:val="a"/>
        <w:rPr>
          <w:rtl/>
        </w:rPr>
      </w:pPr>
    </w:p>
    <w:p w:rsidR="002D0C59" w:rsidRPr="002D0C59" w:rsidP="00AE0BE6" w14:paraId="0D7689DA" w14:textId="77777777">
      <w:pPr>
        <w:pStyle w:val="Heading3"/>
        <w:spacing w:before="0" w:line="269" w:lineRule="auto"/>
        <w:rPr>
          <w:rtl/>
        </w:rPr>
      </w:pPr>
      <w:r w:rsidRPr="002D0C59">
        <w:rPr>
          <w:rFonts w:hint="cs"/>
          <w:rtl/>
        </w:rPr>
        <w:t xml:space="preserve">קבלת </w:t>
      </w:r>
      <w:r w:rsidRPr="00220A94">
        <w:rPr>
          <w:rFonts w:hint="cs"/>
          <w:rtl/>
        </w:rPr>
        <w:t>מידע מקדים</w:t>
      </w:r>
      <w:r w:rsidRPr="002D0C59">
        <w:rPr>
          <w:rFonts w:hint="cs"/>
          <w:rtl/>
        </w:rPr>
        <w:t xml:space="preserve"> על נוסעים זרים</w:t>
      </w:r>
    </w:p>
    <w:p w:rsidR="00792C56" w:rsidP="00792C56" w14:paraId="17933249" w14:textId="77777777">
      <w:pPr>
        <w:pStyle w:val="a"/>
        <w:rPr>
          <w:rtl/>
        </w:rPr>
      </w:pPr>
    </w:p>
    <w:p w:rsidR="00955421" w:rsidRPr="00927278" w:rsidP="00AE0BE6" w14:paraId="04FCD5F1" w14:textId="77777777">
      <w:pPr>
        <w:pStyle w:val="Heading4"/>
        <w:spacing w:before="0" w:line="269" w:lineRule="auto"/>
        <w:rPr>
          <w:rtl/>
        </w:rPr>
      </w:pPr>
      <w:r w:rsidRPr="00927278">
        <w:rPr>
          <w:rFonts w:hint="cs"/>
          <w:rtl/>
        </w:rPr>
        <w:t xml:space="preserve">מרכז נתוני תעופה </w:t>
      </w:r>
    </w:p>
    <w:p w:rsidR="00955421" w:rsidP="00AE0BE6" w14:paraId="72A83399" w14:textId="77777777">
      <w:pPr>
        <w:pStyle w:val="a"/>
        <w:spacing w:line="269" w:lineRule="auto"/>
        <w:rPr>
          <w:rtl/>
        </w:rPr>
      </w:pPr>
    </w:p>
    <w:p w:rsidR="00955421" w:rsidP="00AE0BE6" w14:paraId="39D06580" w14:textId="77777777">
      <w:pPr>
        <w:spacing w:line="269" w:lineRule="auto"/>
        <w:rPr>
          <w:rtl/>
        </w:rPr>
      </w:pPr>
      <w:r>
        <w:rPr>
          <w:rFonts w:hint="cs"/>
          <w:rtl/>
        </w:rPr>
        <w:t xml:space="preserve">בנובמבר 2014 החליטה הממשלה להקים </w:t>
      </w:r>
      <w:r>
        <w:rPr>
          <w:rFonts w:hint="cs"/>
          <w:rtl/>
        </w:rPr>
        <w:t>צוות היגוי שיבחן את הצורך והאפשרות להקים מאגר לקבלת מידע אישי על נוסעי חברות התעופה השונות הנכנסים למדינת ישראל והיוצאים ממנה. זאת במטרה לחזק את המאבק בטרור ובפשיעה החמורה, וכן כדי להתמודד עם הגירה בלתי-חוקית לישראל. עוד נקבע בהחלטה כי בראש צוות ההיגוי יעמ</w:t>
      </w:r>
      <w:r>
        <w:rPr>
          <w:rFonts w:hint="cs"/>
          <w:rtl/>
        </w:rPr>
        <w:t>וד ראש המטה ללוחמה בטרור במטה לביטחון לאומי (להלן - ראש הלוט"ר)</w:t>
      </w:r>
      <w:r>
        <w:rPr>
          <w:rStyle w:val="FootnoteReference1"/>
          <w:rtl/>
        </w:rPr>
        <w:footnoteReference w:id="25"/>
      </w:r>
      <w:r>
        <w:rPr>
          <w:rFonts w:hint="cs"/>
          <w:rtl/>
        </w:rPr>
        <w:t>, וישתתפו בו נציגי 13 גופים ממשלתיים, ובהם משטרת ישראל, שירות הביטחון הכללי, רשות האוכלוסין ומשרד המשפטים. הצוות נדרש להגיש את המלצותיו בתוך 120 יום, בין היתר בעניין החקיקה הדרושה ליישום המלצו</w:t>
      </w:r>
      <w:r>
        <w:rPr>
          <w:rFonts w:hint="cs"/>
          <w:rtl/>
        </w:rPr>
        <w:t>תיו ובנוגע לגורם הממשלתי שיוביל את הנושא ויגיש בעקבות המלצות אלה, אם יידרש, תזכיר חוק.</w:t>
      </w:r>
    </w:p>
    <w:p w:rsidR="00955421" w:rsidP="00AE0BE6" w14:paraId="4F9621DD" w14:textId="77777777">
      <w:pPr>
        <w:pStyle w:val="a"/>
        <w:spacing w:line="269" w:lineRule="auto"/>
        <w:rPr>
          <w:rtl/>
        </w:rPr>
      </w:pPr>
    </w:p>
    <w:p w:rsidR="00955421" w:rsidRPr="00045861" w:rsidP="00AE0BE6" w14:paraId="4D9E0C0D" w14:textId="77777777">
      <w:pPr>
        <w:spacing w:line="269" w:lineRule="auto"/>
        <w:rPr>
          <w:rtl/>
        </w:rPr>
      </w:pPr>
      <w:r w:rsidRPr="00045861">
        <w:rPr>
          <w:rFonts w:hint="eastAsia"/>
          <w:rtl/>
        </w:rPr>
        <w:t>כעבור</w:t>
      </w:r>
      <w:r w:rsidRPr="00045861">
        <w:rPr>
          <w:rtl/>
        </w:rPr>
        <w:t xml:space="preserve"> </w:t>
      </w:r>
      <w:r w:rsidRPr="00045861">
        <w:rPr>
          <w:rFonts w:hint="eastAsia"/>
          <w:rtl/>
        </w:rPr>
        <w:t>שנה</w:t>
      </w:r>
      <w:r w:rsidRPr="00045861">
        <w:rPr>
          <w:rtl/>
        </w:rPr>
        <w:t xml:space="preserve">, </w:t>
      </w:r>
      <w:r w:rsidRPr="00045861">
        <w:rPr>
          <w:rFonts w:hint="eastAsia"/>
          <w:rtl/>
        </w:rPr>
        <w:t>בנובמבר</w:t>
      </w:r>
      <w:r w:rsidRPr="00045861">
        <w:rPr>
          <w:rtl/>
        </w:rPr>
        <w:t xml:space="preserve"> 2015, </w:t>
      </w:r>
      <w:r w:rsidRPr="00045861">
        <w:rPr>
          <w:rFonts w:hint="eastAsia"/>
          <w:rtl/>
        </w:rPr>
        <w:t>הגיש</w:t>
      </w:r>
      <w:r w:rsidRPr="00045861">
        <w:rPr>
          <w:rtl/>
        </w:rPr>
        <w:t xml:space="preserve"> </w:t>
      </w:r>
      <w:r>
        <w:rPr>
          <w:rFonts w:hint="cs"/>
          <w:rtl/>
        </w:rPr>
        <w:t>ראש הלוט"ר</w:t>
      </w:r>
      <w:r w:rsidRPr="00045861">
        <w:rPr>
          <w:rtl/>
        </w:rPr>
        <w:t xml:space="preserve"> למזכירות הממשלה</w:t>
      </w:r>
      <w:r>
        <w:rPr>
          <w:rFonts w:hint="cs"/>
          <w:rtl/>
        </w:rPr>
        <w:t xml:space="preserve"> ולראש המטה לביטחון לאומי (להלן - המל"ל)</w:t>
      </w:r>
      <w:r w:rsidRPr="00045861">
        <w:rPr>
          <w:rtl/>
        </w:rPr>
        <w:t xml:space="preserve"> דוח מסכם של עבודת צוות ההיגוי</w:t>
      </w:r>
      <w:r>
        <w:rPr>
          <w:rFonts w:hint="cs"/>
          <w:rtl/>
        </w:rPr>
        <w:t xml:space="preserve"> כאמור.</w:t>
      </w:r>
      <w:r w:rsidRPr="00045861">
        <w:rPr>
          <w:rtl/>
        </w:rPr>
        <w:t xml:space="preserve"> </w:t>
      </w:r>
      <w:r>
        <w:rPr>
          <w:rFonts w:hint="cs"/>
          <w:rtl/>
        </w:rPr>
        <w:t>בדוח צוינו</w:t>
      </w:r>
      <w:r w:rsidRPr="00045861">
        <w:rPr>
          <w:rtl/>
        </w:rPr>
        <w:t xml:space="preserve"> שתי המלצות ע</w:t>
      </w:r>
      <w:r w:rsidRPr="00045861">
        <w:rPr>
          <w:rFonts w:hint="eastAsia"/>
          <w:rtl/>
        </w:rPr>
        <w:t>יקריות</w:t>
      </w:r>
      <w:r w:rsidRPr="00045861">
        <w:rPr>
          <w:rtl/>
        </w:rPr>
        <w:t xml:space="preserve">: </w:t>
      </w:r>
      <w:r>
        <w:rPr>
          <w:rFonts w:hint="cs"/>
          <w:rtl/>
        </w:rPr>
        <w:t>האח</w:t>
      </w:r>
      <w:r>
        <w:rPr>
          <w:rFonts w:hint="cs"/>
          <w:rtl/>
        </w:rPr>
        <w:t>ת - להקים</w:t>
      </w:r>
      <w:r w:rsidRPr="00045861">
        <w:rPr>
          <w:rtl/>
        </w:rPr>
        <w:t xml:space="preserve"> </w:t>
      </w:r>
      <w:r w:rsidRPr="00045861">
        <w:rPr>
          <w:rFonts w:hint="eastAsia"/>
          <w:rtl/>
        </w:rPr>
        <w:t>מרכז</w:t>
      </w:r>
      <w:r w:rsidRPr="00045861">
        <w:rPr>
          <w:rtl/>
        </w:rPr>
        <w:t xml:space="preserve"> </w:t>
      </w:r>
      <w:r w:rsidRPr="00045861">
        <w:rPr>
          <w:rFonts w:hint="eastAsia"/>
          <w:rtl/>
        </w:rPr>
        <w:t>נתוני</w:t>
      </w:r>
      <w:r w:rsidRPr="00045861">
        <w:rPr>
          <w:rtl/>
        </w:rPr>
        <w:t xml:space="preserve"> </w:t>
      </w:r>
      <w:r w:rsidRPr="00045861">
        <w:rPr>
          <w:rFonts w:hint="eastAsia"/>
          <w:rtl/>
        </w:rPr>
        <w:t>תעופה</w:t>
      </w:r>
      <w:r>
        <w:t xml:space="preserve"> </w:t>
      </w:r>
      <w:r>
        <w:rPr>
          <w:rFonts w:hint="cs"/>
          <w:rtl/>
        </w:rPr>
        <w:t>(</w:t>
      </w:r>
      <w:r w:rsidRPr="00045861">
        <w:rPr>
          <w:rFonts w:hint="eastAsia"/>
          <w:rtl/>
        </w:rPr>
        <w:t>להלן</w:t>
      </w:r>
      <w:r>
        <w:rPr>
          <w:rFonts w:hint="cs"/>
          <w:rtl/>
        </w:rPr>
        <w:t xml:space="preserve"> </w:t>
      </w:r>
      <w:r w:rsidRPr="00045861">
        <w:rPr>
          <w:rtl/>
        </w:rPr>
        <w:t xml:space="preserve">- </w:t>
      </w:r>
      <w:r w:rsidRPr="00045861">
        <w:rPr>
          <w:rFonts w:hint="eastAsia"/>
          <w:rtl/>
        </w:rPr>
        <w:t>מנ</w:t>
      </w:r>
      <w:r w:rsidRPr="00045861">
        <w:rPr>
          <w:rtl/>
        </w:rPr>
        <w:t xml:space="preserve">"ת) </w:t>
      </w:r>
      <w:r w:rsidRPr="00045861">
        <w:rPr>
          <w:rFonts w:hint="eastAsia"/>
          <w:rtl/>
        </w:rPr>
        <w:t>שבו</w:t>
      </w:r>
      <w:r w:rsidRPr="00045861">
        <w:rPr>
          <w:rtl/>
        </w:rPr>
        <w:t xml:space="preserve"> </w:t>
      </w:r>
      <w:r w:rsidRPr="00045861">
        <w:rPr>
          <w:rFonts w:hint="eastAsia"/>
          <w:rtl/>
        </w:rPr>
        <w:t>ינוהל</w:t>
      </w:r>
      <w:r w:rsidRPr="00045861">
        <w:rPr>
          <w:rtl/>
        </w:rPr>
        <w:t xml:space="preserve"> </w:t>
      </w:r>
      <w:r w:rsidRPr="00045861">
        <w:rPr>
          <w:rFonts w:hint="eastAsia"/>
          <w:rtl/>
        </w:rPr>
        <w:t>מאגר</w:t>
      </w:r>
      <w:r w:rsidRPr="00045861">
        <w:rPr>
          <w:rtl/>
        </w:rPr>
        <w:t xml:space="preserve"> </w:t>
      </w:r>
      <w:r w:rsidRPr="00045861">
        <w:rPr>
          <w:rFonts w:hint="eastAsia"/>
          <w:rtl/>
        </w:rPr>
        <w:t>מידע</w:t>
      </w:r>
      <w:r w:rsidRPr="00045861">
        <w:rPr>
          <w:rtl/>
        </w:rPr>
        <w:t xml:space="preserve"> </w:t>
      </w:r>
      <w:r w:rsidRPr="00045861">
        <w:rPr>
          <w:rFonts w:hint="eastAsia"/>
          <w:rtl/>
        </w:rPr>
        <w:t>אישי</w:t>
      </w:r>
      <w:r>
        <w:rPr>
          <w:rFonts w:hint="cs"/>
          <w:rtl/>
        </w:rPr>
        <w:t xml:space="preserve"> (מסוג</w:t>
      </w:r>
      <w:r w:rsidRPr="00045861">
        <w:rPr>
          <w:rtl/>
        </w:rPr>
        <w:t xml:space="preserve"> </w:t>
      </w:r>
      <w:r>
        <w:rPr>
          <w:rFonts w:hint="cs"/>
        </w:rPr>
        <w:t>API</w:t>
      </w:r>
      <w:r w:rsidR="00E60F53">
        <w:t xml:space="preserve"> </w:t>
      </w:r>
      <w:r w:rsidR="00EB4F80">
        <w:rPr>
          <w:rFonts w:hint="cs"/>
        </w:rPr>
        <w:t>,</w:t>
      </w:r>
      <w:r>
        <w:rPr>
          <w:rFonts w:hint="cs"/>
        </w:rPr>
        <w:t>PNR</w:t>
      </w:r>
      <w:r>
        <w:rPr>
          <w:rFonts w:hint="cs"/>
          <w:rtl/>
        </w:rPr>
        <w:t xml:space="preserve">, כמצוין בתרשים 3) </w:t>
      </w:r>
      <w:r w:rsidRPr="00045861">
        <w:rPr>
          <w:rFonts w:hint="eastAsia"/>
          <w:rtl/>
        </w:rPr>
        <w:t>על</w:t>
      </w:r>
      <w:r w:rsidRPr="00045861">
        <w:rPr>
          <w:rtl/>
        </w:rPr>
        <w:t xml:space="preserve"> </w:t>
      </w:r>
      <w:r w:rsidRPr="00045861">
        <w:rPr>
          <w:rFonts w:hint="eastAsia"/>
          <w:rtl/>
        </w:rPr>
        <w:t>נוסעיה</w:t>
      </w:r>
      <w:r>
        <w:rPr>
          <w:rFonts w:hint="cs"/>
          <w:rtl/>
        </w:rPr>
        <w:t>ן</w:t>
      </w:r>
      <w:r w:rsidRPr="00045861">
        <w:rPr>
          <w:rFonts w:hint="eastAsia"/>
          <w:rtl/>
        </w:rPr>
        <w:t xml:space="preserve"> </w:t>
      </w:r>
      <w:r>
        <w:rPr>
          <w:rFonts w:hint="cs"/>
          <w:rtl/>
        </w:rPr>
        <w:t xml:space="preserve">של </w:t>
      </w:r>
      <w:r w:rsidRPr="00045861">
        <w:rPr>
          <w:rFonts w:hint="eastAsia"/>
          <w:rtl/>
        </w:rPr>
        <w:t>חברות</w:t>
      </w:r>
      <w:r w:rsidRPr="00045861">
        <w:rPr>
          <w:rtl/>
        </w:rPr>
        <w:t xml:space="preserve"> </w:t>
      </w:r>
      <w:r w:rsidRPr="00045861">
        <w:rPr>
          <w:rFonts w:hint="eastAsia"/>
          <w:rtl/>
        </w:rPr>
        <w:t>התעופה</w:t>
      </w:r>
      <w:r w:rsidRPr="00045861">
        <w:rPr>
          <w:rtl/>
        </w:rPr>
        <w:t xml:space="preserve"> </w:t>
      </w:r>
      <w:r>
        <w:rPr>
          <w:rFonts w:hint="cs"/>
          <w:rtl/>
        </w:rPr>
        <w:t>הנכנסים לארץ והיוצאים ממנה;</w:t>
      </w:r>
      <w:r w:rsidRPr="00045861">
        <w:rPr>
          <w:rtl/>
        </w:rPr>
        <w:t xml:space="preserve"> ו</w:t>
      </w:r>
      <w:r>
        <w:rPr>
          <w:rFonts w:hint="cs"/>
          <w:rtl/>
        </w:rPr>
        <w:t xml:space="preserve">השנייה - ליזום </w:t>
      </w:r>
      <w:r w:rsidRPr="00045861">
        <w:rPr>
          <w:rtl/>
        </w:rPr>
        <w:t xml:space="preserve">חקיקה ראשית </w:t>
      </w:r>
      <w:r>
        <w:rPr>
          <w:rFonts w:hint="cs"/>
          <w:rtl/>
        </w:rPr>
        <w:t>שתסדיר את הקמת המנ"ת</w:t>
      </w:r>
      <w:r>
        <w:rPr>
          <w:rFonts w:hint="cs"/>
          <w:rtl/>
        </w:rPr>
        <w:t xml:space="preserve"> ותפעולו. כל זאת באמצעות צוות בראשות משרד המשפטים ובהשתתפות תשעה גופי ממשל שיכין תזכיר הצעת חוק</w:t>
      </w:r>
      <w:r w:rsidRPr="00045861">
        <w:rPr>
          <w:rtl/>
        </w:rPr>
        <w:t xml:space="preserve">. </w:t>
      </w:r>
      <w:r>
        <w:rPr>
          <w:rFonts w:hint="cs"/>
          <w:rtl/>
        </w:rPr>
        <w:t>בדוח פורטו המטרות שלשמן ייאסף המידע על הנוסעים, המתכונת הכללית להעברת הנתונים בין חברות התעופה לגופי הממשל בישראל ומתכונת שמירתם והצלבתם עם מאגרי נתונים קיימים</w:t>
      </w:r>
      <w:r>
        <w:rPr>
          <w:rFonts w:hint="cs"/>
          <w:rtl/>
        </w:rPr>
        <w:t xml:space="preserve"> של גופי ממשל בישראל. לצורך הקמת המנ"ת והפעלתו הומלץ בדוח להקים מינהלה ברשות המיסים בישראל (להלן - רשות המיסים)</w:t>
      </w:r>
      <w:r>
        <w:rPr>
          <w:rStyle w:val="FootnoteReference1"/>
          <w:rtl/>
        </w:rPr>
        <w:footnoteReference w:id="26"/>
      </w:r>
      <w:r>
        <w:rPr>
          <w:rFonts w:hint="cs"/>
          <w:rtl/>
        </w:rPr>
        <w:t>, וכן הומלץ שצוות ההיגוי ימשיך לפעול לצורך הקמת המנ"ת והפעלתו. התקציב להקמת המנ"ת הוערך בכ-180 מיליון ש"ח</w:t>
      </w:r>
      <w:r>
        <w:rPr>
          <w:rStyle w:val="FootnoteReference1"/>
          <w:rtl/>
        </w:rPr>
        <w:footnoteReference w:id="27"/>
      </w:r>
      <w:r>
        <w:rPr>
          <w:rFonts w:hint="cs"/>
          <w:rtl/>
        </w:rPr>
        <w:t xml:space="preserve"> לעשר שנים. בשלב סיכום הדוח הסתמן כי ש</w:t>
      </w:r>
      <w:r>
        <w:rPr>
          <w:rFonts w:hint="cs"/>
          <w:rtl/>
        </w:rPr>
        <w:t xml:space="preserve">בעה גופים יהיו שותפים ליישום הפרויקט ומימונו (להלן - הגורמים השותפים), ובהם משטרת ישראל, שירות הביטחון הכללי ורשות האוכלוסין. </w:t>
      </w:r>
    </w:p>
    <w:p w:rsidR="00955421" w:rsidP="00AE0BE6" w14:paraId="3C5BE346" w14:textId="77777777">
      <w:pPr>
        <w:pStyle w:val="a"/>
        <w:spacing w:line="269" w:lineRule="auto"/>
        <w:rPr>
          <w:rtl/>
        </w:rPr>
      </w:pPr>
    </w:p>
    <w:p w:rsidR="00955421" w:rsidP="00AE0BE6" w14:paraId="2C2ABCBD" w14:textId="778DB0D7">
      <w:pPr>
        <w:spacing w:line="269" w:lineRule="auto"/>
        <w:rPr>
          <w:b/>
          <w:bCs/>
          <w:rtl/>
        </w:rPr>
      </w:pPr>
      <w:r w:rsidRPr="00AF2C17">
        <w:rPr>
          <w:rFonts w:hint="eastAsia"/>
          <w:b/>
          <w:bCs/>
          <w:rtl/>
        </w:rPr>
        <w:t>נמצא</w:t>
      </w:r>
      <w:r w:rsidRPr="00AF2C17">
        <w:rPr>
          <w:b/>
          <w:bCs/>
          <w:rtl/>
        </w:rPr>
        <w:t xml:space="preserve"> כי צוות ההיגוי א</w:t>
      </w:r>
      <w:r>
        <w:rPr>
          <w:rFonts w:hint="cs"/>
          <w:b/>
          <w:bCs/>
          <w:rtl/>
        </w:rPr>
        <w:t>ו</w:t>
      </w:r>
      <w:r w:rsidRPr="00AF2C17">
        <w:rPr>
          <w:b/>
          <w:bCs/>
          <w:rtl/>
        </w:rPr>
        <w:t>מנם גיבש דוח והגישו למזכירות הממשלה ולראש המל"ל</w:t>
      </w:r>
      <w:r>
        <w:rPr>
          <w:rFonts w:hint="cs"/>
          <w:b/>
          <w:bCs/>
          <w:rtl/>
        </w:rPr>
        <w:t>.</w:t>
      </w:r>
      <w:r w:rsidRPr="00AF2C17">
        <w:rPr>
          <w:rFonts w:hint="cs"/>
          <w:b/>
          <w:bCs/>
          <w:rtl/>
        </w:rPr>
        <w:t xml:space="preserve"> ואולם המלצות הצוות שאושרו </w:t>
      </w:r>
      <w:r>
        <w:rPr>
          <w:rFonts w:hint="cs"/>
          <w:b/>
          <w:bCs/>
          <w:rtl/>
        </w:rPr>
        <w:t>על ידי</w:t>
      </w:r>
      <w:r w:rsidRPr="00AF2C17">
        <w:rPr>
          <w:rFonts w:hint="cs"/>
          <w:b/>
          <w:bCs/>
          <w:rtl/>
        </w:rPr>
        <w:t xml:space="preserve"> ראש הלוט"ר והוגשו למזכיר</w:t>
      </w:r>
      <w:r w:rsidRPr="00AF2C17">
        <w:rPr>
          <w:rFonts w:hint="cs"/>
          <w:b/>
          <w:bCs/>
          <w:rtl/>
        </w:rPr>
        <w:t>ות הממשלה לא יושמו</w:t>
      </w:r>
      <w:r>
        <w:rPr>
          <w:rFonts w:hint="cs"/>
          <w:b/>
          <w:bCs/>
          <w:rtl/>
        </w:rPr>
        <w:t xml:space="preserve"> במשך תקופה ארוכה</w:t>
      </w:r>
      <w:r w:rsidRPr="00AF2C17">
        <w:rPr>
          <w:rFonts w:hint="cs"/>
          <w:b/>
          <w:bCs/>
          <w:rtl/>
        </w:rPr>
        <w:t xml:space="preserve"> עקב מחלוקות </w:t>
      </w:r>
      <w:r w:rsidRPr="003427E9">
        <w:rPr>
          <w:rFonts w:hint="cs"/>
          <w:b/>
          <w:bCs/>
          <w:rtl/>
        </w:rPr>
        <w:t>שטרם יושבו</w:t>
      </w:r>
      <w:r>
        <w:rPr>
          <w:rFonts w:hint="cs"/>
          <w:b/>
          <w:bCs/>
          <w:rtl/>
        </w:rPr>
        <w:t xml:space="preserve">, </w:t>
      </w:r>
      <w:r w:rsidRPr="003427E9">
        <w:rPr>
          <w:rFonts w:hint="cs"/>
          <w:b/>
          <w:bCs/>
          <w:rtl/>
        </w:rPr>
        <w:t>כמפורט להלן:</w:t>
      </w:r>
      <w:r>
        <w:rPr>
          <w:rFonts w:hint="cs"/>
          <w:b/>
          <w:bCs/>
          <w:rtl/>
        </w:rPr>
        <w:t xml:space="preserve"> </w:t>
      </w:r>
    </w:p>
    <w:p w:rsidR="00F5466E" w:rsidRPr="00AF2C17" w:rsidP="00AE0BE6" w14:paraId="11C62A8F" w14:textId="77777777">
      <w:pPr>
        <w:spacing w:line="269" w:lineRule="auto"/>
        <w:rPr>
          <w:b/>
          <w:bCs/>
          <w:rtl/>
        </w:rPr>
      </w:pPr>
    </w:p>
    <w:p w:rsidR="00955421" w:rsidRPr="00955421" w:rsidP="00AE0BE6" w14:paraId="7E975CFF" w14:textId="77777777">
      <w:pPr>
        <w:pStyle w:val="ListParagraph"/>
        <w:numPr>
          <w:ilvl w:val="0"/>
          <w:numId w:val="47"/>
        </w:numPr>
        <w:spacing w:after="0" w:line="269" w:lineRule="auto"/>
        <w:jc w:val="both"/>
        <w:rPr>
          <w:rFonts w:ascii="Times New Roman" w:hAnsi="Times New Roman" w:eastAsiaTheme="minorHAnsi" w:cs="David"/>
          <w:sz w:val="20"/>
          <w:szCs w:val="24"/>
        </w:rPr>
      </w:pPr>
      <w:r w:rsidRPr="00955421">
        <w:rPr>
          <w:rFonts w:ascii="Times New Roman" w:hAnsi="Times New Roman" w:eastAsiaTheme="minorHAnsi" w:cs="David" w:hint="cs"/>
          <w:sz w:val="20"/>
          <w:szCs w:val="24"/>
          <w:rtl/>
        </w:rPr>
        <w:t>בדצמבר 2015 קבע ראש הלוט"ר כי יש להגיש הצעת מחליטים לממשלה בנושא, כדי שזו תאמץ את המלצות צוות ההיגוי. מאותה עת ועד למועד סיום הביקורת, באוגוסט 2019, הפיץ המל"ל חמש טיוטות של הצעת מחל</w:t>
      </w:r>
      <w:r w:rsidRPr="00955421">
        <w:rPr>
          <w:rFonts w:ascii="Times New Roman" w:hAnsi="Times New Roman" w:eastAsiaTheme="minorHAnsi" w:cs="David" w:hint="cs"/>
          <w:sz w:val="20"/>
          <w:szCs w:val="24"/>
          <w:rtl/>
        </w:rPr>
        <w:t xml:space="preserve">יטים לממשלה, לצורך קבלת תגובתם של הגורמים השותפים בצוות: בדצמבר 2015, באפריל 2016, בנובמבר 2016, באוגוסט 2017 ובספטמבר 2018. </w:t>
      </w:r>
      <w:r w:rsidRPr="00955421">
        <w:rPr>
          <w:rFonts w:ascii="Times New Roman" w:hAnsi="Times New Roman" w:eastAsiaTheme="minorHAnsi" w:cs="David" w:hint="eastAsia"/>
          <w:sz w:val="20"/>
          <w:szCs w:val="24"/>
          <w:rtl/>
        </w:rPr>
        <w:t>במהלך</w:t>
      </w:r>
      <w:r w:rsidRPr="00955421">
        <w:rPr>
          <w:rFonts w:ascii="Times New Roman" w:hAnsi="Times New Roman" w:eastAsiaTheme="minorHAnsi" w:cs="David"/>
          <w:sz w:val="20"/>
          <w:szCs w:val="24"/>
          <w:rtl/>
        </w:rPr>
        <w:t xml:space="preserve"> גיבוש הצעת המחליטים </w:t>
      </w:r>
      <w:r w:rsidRPr="00955421">
        <w:rPr>
          <w:rFonts w:ascii="Times New Roman" w:hAnsi="Times New Roman" w:eastAsiaTheme="minorHAnsi" w:cs="David" w:hint="eastAsia"/>
          <w:sz w:val="20"/>
          <w:szCs w:val="24"/>
          <w:rtl/>
        </w:rPr>
        <w:t>עלו</w:t>
      </w:r>
      <w:r w:rsidRPr="00955421">
        <w:rPr>
          <w:rFonts w:ascii="Times New Roman" w:hAnsi="Times New Roman" w:eastAsiaTheme="minorHAnsi" w:cs="David"/>
          <w:sz w:val="20"/>
          <w:szCs w:val="24"/>
          <w:rtl/>
        </w:rPr>
        <w:t xml:space="preserve"> ש</w:t>
      </w:r>
      <w:r w:rsidRPr="00955421">
        <w:rPr>
          <w:rFonts w:ascii="Times New Roman" w:hAnsi="Times New Roman" w:eastAsiaTheme="minorHAnsi" w:cs="David" w:hint="cs"/>
          <w:sz w:val="20"/>
          <w:szCs w:val="24"/>
          <w:rtl/>
        </w:rPr>
        <w:t>ת</w:t>
      </w:r>
      <w:r w:rsidRPr="00955421">
        <w:rPr>
          <w:rFonts w:ascii="Times New Roman" w:hAnsi="Times New Roman" w:eastAsiaTheme="minorHAnsi" w:cs="David"/>
          <w:sz w:val="20"/>
          <w:szCs w:val="24"/>
          <w:rtl/>
        </w:rPr>
        <w:t xml:space="preserve">י </w:t>
      </w:r>
      <w:r w:rsidRPr="00955421">
        <w:rPr>
          <w:rFonts w:ascii="Times New Roman" w:hAnsi="Times New Roman" w:eastAsiaTheme="minorHAnsi" w:cs="David" w:hint="cs"/>
          <w:sz w:val="20"/>
          <w:szCs w:val="24"/>
          <w:rtl/>
        </w:rPr>
        <w:t>בעיות העלולות להתעורר</w:t>
      </w:r>
      <w:r w:rsidRPr="00955421">
        <w:rPr>
          <w:rFonts w:ascii="Times New Roman" w:hAnsi="Times New Roman" w:eastAsiaTheme="minorHAnsi" w:cs="David"/>
          <w:sz w:val="20"/>
          <w:szCs w:val="24"/>
          <w:rtl/>
        </w:rPr>
        <w:t>: האח</w:t>
      </w:r>
      <w:r w:rsidRPr="00955421">
        <w:rPr>
          <w:rFonts w:ascii="Times New Roman" w:hAnsi="Times New Roman" w:eastAsiaTheme="minorHAnsi" w:cs="David" w:hint="cs"/>
          <w:sz w:val="20"/>
          <w:szCs w:val="24"/>
          <w:rtl/>
        </w:rPr>
        <w:t>ת</w:t>
      </w:r>
      <w:r w:rsidRPr="00955421">
        <w:rPr>
          <w:rFonts w:ascii="Times New Roman" w:hAnsi="Times New Roman" w:eastAsiaTheme="minorHAnsi" w:cs="David"/>
          <w:sz w:val="20"/>
          <w:szCs w:val="24"/>
          <w:rtl/>
        </w:rPr>
        <w:t xml:space="preserve"> - </w:t>
      </w:r>
      <w:r w:rsidRPr="00955421">
        <w:rPr>
          <w:rFonts w:ascii="Times New Roman" w:hAnsi="Times New Roman" w:eastAsiaTheme="minorHAnsi" w:cs="David" w:hint="cs"/>
          <w:sz w:val="20"/>
          <w:szCs w:val="24"/>
          <w:rtl/>
        </w:rPr>
        <w:t>האפשרות שעלות הקמת המנ"ת</w:t>
      </w:r>
      <w:r w:rsidRPr="00955421">
        <w:rPr>
          <w:rFonts w:ascii="Times New Roman" w:hAnsi="Times New Roman" w:eastAsiaTheme="minorHAnsi" w:cs="David" w:hint="cs"/>
          <w:sz w:val="20"/>
          <w:szCs w:val="24"/>
          <w:rtl/>
        </w:rPr>
        <w:t xml:space="preserve"> תהיה יקרה במידה ניכרת מהעלות המשוערת; והשנייה - שבשל מגבלות חקיקה לא יקבלו הגורמים השותפים את הנתונים שהם רוצים לקבל מהמנ"ת.</w:t>
      </w:r>
    </w:p>
    <w:p w:rsidR="00955421" w:rsidP="00AE0BE6" w14:paraId="0FD7A7A3" w14:textId="77777777">
      <w:pPr>
        <w:pStyle w:val="a"/>
        <w:spacing w:line="269" w:lineRule="auto"/>
        <w:rPr>
          <w:rtl/>
        </w:rPr>
      </w:pPr>
    </w:p>
    <w:p w:rsidR="00955421" w:rsidRPr="00955421" w:rsidP="00AE0BE6" w14:paraId="5F46DB93" w14:textId="77777777">
      <w:pPr>
        <w:pStyle w:val="ListParagraph"/>
        <w:numPr>
          <w:ilvl w:val="0"/>
          <w:numId w:val="47"/>
        </w:numPr>
        <w:spacing w:after="0" w:line="269" w:lineRule="auto"/>
        <w:jc w:val="both"/>
        <w:rPr>
          <w:rFonts w:ascii="David" w:hAnsi="David" w:cs="David"/>
          <w:sz w:val="24"/>
          <w:szCs w:val="24"/>
          <w:rtl/>
        </w:rPr>
      </w:pPr>
      <w:r w:rsidRPr="00955421">
        <w:rPr>
          <w:rFonts w:ascii="David" w:hAnsi="David" w:cs="David"/>
          <w:sz w:val="24"/>
          <w:szCs w:val="24"/>
          <w:rtl/>
        </w:rPr>
        <w:t>לצורך התמודדות עם הבעיות החליט צוות ההיגוי בנובמבר 2016 ובמאי 2017 כי לאחר שתאושר הצעת המחליטים בממשלה, יקדם משרד המשפטים את תיקו</w:t>
      </w:r>
      <w:r w:rsidRPr="00955421">
        <w:rPr>
          <w:rFonts w:ascii="David" w:hAnsi="David" w:cs="David"/>
          <w:sz w:val="24"/>
          <w:szCs w:val="24"/>
          <w:rtl/>
        </w:rPr>
        <w:t>ני החקיקה הנדרשים כאמור, ובמקביל תוקם מינהלה זמנית של המנ"ת בעלות כספית נמוכה יחסית. מימונה של המינהלה יתחלק בין השותפים (250,000 ש"ח לכל שנה במשך שנתיים לכל שותף), ותפקידה יהיה להכין את התשתית הטכנית והמבצעית של המנ"ת. על פי מסמכי המשטרה, באוגוסט 2017 תמכ</w:t>
      </w:r>
      <w:r w:rsidRPr="00955421">
        <w:rPr>
          <w:rFonts w:ascii="David" w:hAnsi="David" w:cs="David"/>
          <w:sz w:val="24"/>
          <w:szCs w:val="24"/>
          <w:rtl/>
        </w:rPr>
        <w:t>ו גורמים מקצועיים מרכזיים בה - אגף חקירות ומודיעין ואגף תכנון וארגון במטה הארצי - בקידומו של המנ"ת, ונותרה שאלת המקור התקציבי למימון חלקה של המשטרה בהקמת המינהלה על רקע קיצוצים בתקציבה.</w:t>
      </w:r>
    </w:p>
    <w:p w:rsidR="00955421" w:rsidP="00AE0BE6" w14:paraId="3C627B8E" w14:textId="77777777">
      <w:pPr>
        <w:pStyle w:val="a"/>
        <w:spacing w:line="269" w:lineRule="auto"/>
        <w:rPr>
          <w:rtl/>
        </w:rPr>
      </w:pPr>
    </w:p>
    <w:p w:rsidR="00955421" w:rsidRPr="00955421" w:rsidP="00AE0BE6" w14:paraId="292AD8AB" w14:textId="77777777">
      <w:pPr>
        <w:pStyle w:val="ListParagraph"/>
        <w:numPr>
          <w:ilvl w:val="0"/>
          <w:numId w:val="47"/>
        </w:numPr>
        <w:spacing w:after="0" w:line="269" w:lineRule="auto"/>
        <w:jc w:val="both"/>
        <w:rPr>
          <w:rFonts w:ascii="David" w:hAnsi="David" w:cs="David"/>
          <w:sz w:val="24"/>
          <w:szCs w:val="24"/>
        </w:rPr>
      </w:pPr>
      <w:r w:rsidRPr="00955421">
        <w:rPr>
          <w:rFonts w:ascii="David" w:hAnsi="David" w:cs="David"/>
          <w:sz w:val="24"/>
          <w:szCs w:val="24"/>
          <w:rtl/>
        </w:rPr>
        <w:t>כעבור כשנה, בנובמבר 2018, כתב השר לביטחון הפנים (להלן - בט"פ) לראש המ</w:t>
      </w:r>
      <w:r w:rsidRPr="00955421">
        <w:rPr>
          <w:rFonts w:ascii="David" w:hAnsi="David" w:cs="David"/>
          <w:sz w:val="24"/>
          <w:szCs w:val="24"/>
          <w:rtl/>
        </w:rPr>
        <w:t xml:space="preserve">ל"ל כי "כל עוד לא יוטמעו הערות משטרת ישראל וכן יוקצה תקציב תוספתי" למשרד לבט"פ לצורך מימון המינהלה הזמנית, הוא מתנגד לטיוטת הצעת המחליטים בנושא. </w:t>
      </w:r>
    </w:p>
    <w:p w:rsidR="00955421" w:rsidRPr="00C96D65" w:rsidP="00AE0BE6" w14:paraId="6BC6E90B" w14:textId="77777777">
      <w:pPr>
        <w:pStyle w:val="a"/>
        <w:spacing w:line="269" w:lineRule="auto"/>
        <w:rPr>
          <w:rtl/>
        </w:rPr>
      </w:pPr>
    </w:p>
    <w:p w:rsidR="00955421" w:rsidRPr="00955421" w:rsidP="00604EE1" w14:paraId="48E72B6E" w14:textId="77777777">
      <w:pPr>
        <w:pStyle w:val="ListParagraph"/>
        <w:numPr>
          <w:ilvl w:val="0"/>
          <w:numId w:val="47"/>
        </w:numPr>
        <w:spacing w:after="0" w:line="269" w:lineRule="auto"/>
        <w:jc w:val="both"/>
        <w:rPr>
          <w:rFonts w:ascii="David" w:hAnsi="David" w:cs="David"/>
          <w:sz w:val="24"/>
          <w:szCs w:val="24"/>
          <w:rtl/>
        </w:rPr>
      </w:pPr>
      <w:r w:rsidRPr="00955421">
        <w:rPr>
          <w:rFonts w:ascii="David" w:hAnsi="David" w:cs="David"/>
          <w:sz w:val="24"/>
          <w:szCs w:val="24"/>
          <w:rtl/>
        </w:rPr>
        <w:t xml:space="preserve">בדצמבר 2018, בינואר 2019 ובאפריל 2019 ביקש ראש הלוט"ר מהשר לבט"פ, ממנכ"ל המשרד לבט"פ וממלא מקום מפכ"ל המשטרה </w:t>
      </w:r>
      <w:r w:rsidRPr="00955421">
        <w:rPr>
          <w:rFonts w:ascii="David" w:hAnsi="David" w:cs="David"/>
          <w:sz w:val="24"/>
          <w:szCs w:val="24"/>
          <w:rtl/>
        </w:rPr>
        <w:t>לשקול מחדש את עמדתם בנוגע למימון המינהלה. ראש הלוט"ר ציין כי הפתרונות שגיבש צוות ההיגוי יאפשרו לכל גוף ששותף במנ"ת לדעת אילו נתונים הוא יהיה רשאי לקבל לפי החקיקה, וכן מה ההשתתפות התקציבית של כל גוף במנ"ת. על פי המסמכים, ראש הלוט"ר לא קיבל מענה למכתביו.</w:t>
      </w:r>
    </w:p>
    <w:p w:rsidR="00955421" w:rsidP="00AE0BE6" w14:paraId="6779EC1B" w14:textId="77777777">
      <w:pPr>
        <w:pStyle w:val="a"/>
        <w:spacing w:line="269" w:lineRule="auto"/>
        <w:rPr>
          <w:rtl/>
        </w:rPr>
      </w:pPr>
    </w:p>
    <w:p w:rsidR="00955421" w:rsidP="00AE0BE6" w14:paraId="4B63BD25" w14:textId="77777777">
      <w:pPr>
        <w:spacing w:line="269" w:lineRule="auto"/>
        <w:ind w:left="312"/>
        <w:rPr>
          <w:rtl/>
        </w:rPr>
      </w:pPr>
      <w:r>
        <w:rPr>
          <w:rFonts w:hint="cs"/>
          <w:rtl/>
        </w:rPr>
        <w:t>רק</w:t>
      </w:r>
      <w:r>
        <w:rPr>
          <w:rFonts w:hint="cs"/>
          <w:rtl/>
        </w:rPr>
        <w:t xml:space="preserve"> בדיון שקיים ראש הלוט"ר עם הגורמים השותפים בספטמבר 2019, לאחר מועד סיום הביקורת, הסכימה משטרת ישראל להשתתף במימון המינהלת הזמנית. בנובמבר 2019 קיבל המל"ל את אישור גורמי הממשלה הרלבנטיים ובהם המשרד לביטחון הפנים לקדם את הפרויקט, ולהגיש בהקדם הצעת החלטה לממש</w:t>
      </w:r>
      <w:r>
        <w:rPr>
          <w:rFonts w:hint="cs"/>
          <w:rtl/>
        </w:rPr>
        <w:t>לה.</w:t>
      </w:r>
    </w:p>
    <w:p w:rsidR="00955421" w:rsidP="00AE0BE6" w14:paraId="4C5C1F83" w14:textId="77777777">
      <w:pPr>
        <w:pStyle w:val="a"/>
        <w:spacing w:line="269" w:lineRule="auto"/>
        <w:rPr>
          <w:rtl/>
        </w:rPr>
      </w:pPr>
    </w:p>
    <w:p w:rsidR="00955421" w:rsidP="00AE0BE6" w14:paraId="0531D416" w14:textId="77777777">
      <w:pPr>
        <w:spacing w:line="269" w:lineRule="auto"/>
        <w:rPr>
          <w:b/>
          <w:bCs/>
          <w:rtl/>
        </w:rPr>
      </w:pPr>
      <w:r>
        <w:rPr>
          <w:rFonts w:hint="cs"/>
          <w:b/>
          <w:bCs/>
          <w:rtl/>
        </w:rPr>
        <w:t>במשך כמעט ארבע שנים, מאז קבע</w:t>
      </w:r>
      <w:r w:rsidRPr="008D5BAF">
        <w:rPr>
          <w:b/>
          <w:bCs/>
          <w:rtl/>
        </w:rPr>
        <w:t xml:space="preserve"> </w:t>
      </w:r>
      <w:r>
        <w:rPr>
          <w:rFonts w:hint="cs"/>
          <w:b/>
          <w:bCs/>
          <w:rtl/>
        </w:rPr>
        <w:t>ראש הלוט"ר</w:t>
      </w:r>
      <w:r w:rsidRPr="00420217">
        <w:rPr>
          <w:b/>
          <w:bCs/>
          <w:rtl/>
        </w:rPr>
        <w:t xml:space="preserve"> </w:t>
      </w:r>
      <w:r>
        <w:rPr>
          <w:rFonts w:hint="cs"/>
          <w:b/>
          <w:bCs/>
          <w:rtl/>
        </w:rPr>
        <w:t>כי יש ל</w:t>
      </w:r>
      <w:r w:rsidRPr="008D5BAF">
        <w:rPr>
          <w:b/>
          <w:bCs/>
          <w:rtl/>
        </w:rPr>
        <w:t>הגיש הצעת מחליטים לממשלה</w:t>
      </w:r>
      <w:r>
        <w:rPr>
          <w:rFonts w:hint="cs"/>
          <w:b/>
          <w:bCs/>
          <w:rtl/>
        </w:rPr>
        <w:t>,</w:t>
      </w:r>
      <w:r w:rsidRPr="008D5BAF">
        <w:rPr>
          <w:b/>
          <w:bCs/>
          <w:rtl/>
        </w:rPr>
        <w:t xml:space="preserve"> לצורך החלטה אם לאמץ את המלצת </w:t>
      </w:r>
      <w:r>
        <w:rPr>
          <w:rFonts w:hint="cs"/>
          <w:b/>
          <w:bCs/>
          <w:rtl/>
        </w:rPr>
        <w:t>צוות</w:t>
      </w:r>
      <w:r w:rsidRPr="008D5BAF">
        <w:rPr>
          <w:b/>
          <w:bCs/>
          <w:rtl/>
        </w:rPr>
        <w:t xml:space="preserve"> ההיגוי להקים מנ"ת</w:t>
      </w:r>
      <w:r>
        <w:rPr>
          <w:rFonts w:hint="cs"/>
          <w:b/>
          <w:bCs/>
          <w:rtl/>
        </w:rPr>
        <w:t>,</w:t>
      </w:r>
      <w:r w:rsidRPr="008D5BAF">
        <w:rPr>
          <w:b/>
          <w:bCs/>
          <w:rtl/>
        </w:rPr>
        <w:t xml:space="preserve"> </w:t>
      </w:r>
      <w:r>
        <w:rPr>
          <w:rFonts w:hint="cs"/>
          <w:b/>
          <w:bCs/>
          <w:rtl/>
        </w:rPr>
        <w:t>ההצעה</w:t>
      </w:r>
      <w:r w:rsidRPr="008D5BAF">
        <w:rPr>
          <w:b/>
          <w:bCs/>
          <w:rtl/>
        </w:rPr>
        <w:t xml:space="preserve"> טרם הוגשה. זאת עקב </w:t>
      </w:r>
      <w:r>
        <w:rPr>
          <w:rFonts w:hint="cs"/>
          <w:b/>
          <w:bCs/>
          <w:rtl/>
        </w:rPr>
        <w:t>עמדת</w:t>
      </w:r>
      <w:r w:rsidRPr="008D5BAF">
        <w:rPr>
          <w:b/>
          <w:bCs/>
          <w:rtl/>
        </w:rPr>
        <w:t xml:space="preserve"> </w:t>
      </w:r>
      <w:r>
        <w:rPr>
          <w:rFonts w:hint="cs"/>
          <w:b/>
          <w:bCs/>
          <w:rtl/>
        </w:rPr>
        <w:t xml:space="preserve">המשרד לביטחון הפנים </w:t>
      </w:r>
      <w:r w:rsidRPr="008D5BAF">
        <w:rPr>
          <w:b/>
          <w:bCs/>
          <w:rtl/>
        </w:rPr>
        <w:t>ב</w:t>
      </w:r>
      <w:r>
        <w:rPr>
          <w:rFonts w:hint="cs"/>
          <w:b/>
          <w:bCs/>
          <w:rtl/>
        </w:rPr>
        <w:t xml:space="preserve">דבר </w:t>
      </w:r>
      <w:r w:rsidRPr="008D5BAF">
        <w:rPr>
          <w:b/>
          <w:bCs/>
          <w:rtl/>
        </w:rPr>
        <w:t>מימון</w:t>
      </w:r>
      <w:r>
        <w:rPr>
          <w:rFonts w:hint="cs"/>
          <w:b/>
          <w:bCs/>
          <w:rtl/>
        </w:rPr>
        <w:t xml:space="preserve"> חלקה של</w:t>
      </w:r>
      <w:r w:rsidRPr="0043274C">
        <w:rPr>
          <w:rtl/>
        </w:rPr>
        <w:t xml:space="preserve"> </w:t>
      </w:r>
      <w:r w:rsidRPr="0043274C">
        <w:rPr>
          <w:b/>
          <w:bCs/>
          <w:rtl/>
        </w:rPr>
        <w:t>המשטרה</w:t>
      </w:r>
      <w:r w:rsidRPr="008D5BAF">
        <w:rPr>
          <w:b/>
          <w:bCs/>
          <w:rtl/>
        </w:rPr>
        <w:t xml:space="preserve"> </w:t>
      </w:r>
      <w:r>
        <w:rPr>
          <w:rFonts w:hint="cs"/>
          <w:b/>
          <w:bCs/>
          <w:rtl/>
        </w:rPr>
        <w:t>ב</w:t>
      </w:r>
      <w:r w:rsidRPr="008D5BAF">
        <w:rPr>
          <w:b/>
          <w:bCs/>
          <w:rtl/>
        </w:rPr>
        <w:t>שלב הראשון בפרויקט (הקמת המינהל</w:t>
      </w:r>
      <w:r>
        <w:rPr>
          <w:rFonts w:hint="cs"/>
          <w:b/>
          <w:bCs/>
          <w:rtl/>
        </w:rPr>
        <w:t>ה</w:t>
      </w:r>
      <w:r w:rsidRPr="008D5BAF">
        <w:rPr>
          <w:b/>
          <w:bCs/>
          <w:rtl/>
        </w:rPr>
        <w:t xml:space="preserve"> הזמנית). </w:t>
      </w:r>
      <w:r>
        <w:rPr>
          <w:rFonts w:hint="cs"/>
          <w:b/>
          <w:bCs/>
          <w:rtl/>
        </w:rPr>
        <w:t>עקב</w:t>
      </w:r>
      <w:r w:rsidRPr="008D5BAF">
        <w:rPr>
          <w:b/>
          <w:bCs/>
          <w:rtl/>
        </w:rPr>
        <w:t xml:space="preserve"> כך טרם התקבלה החלטת ממשלה לאפשר איסוף מידע אישי מחברות</w:t>
      </w:r>
      <w:r>
        <w:rPr>
          <w:rFonts w:hint="cs"/>
          <w:b/>
          <w:bCs/>
          <w:rtl/>
        </w:rPr>
        <w:t xml:space="preserve"> התעופה</w:t>
      </w:r>
      <w:r w:rsidRPr="008D5BAF">
        <w:rPr>
          <w:b/>
          <w:bCs/>
          <w:rtl/>
        </w:rPr>
        <w:t xml:space="preserve"> על נוסעים</w:t>
      </w:r>
      <w:r w:rsidR="00942FE4">
        <w:rPr>
          <w:rFonts w:hint="cs"/>
          <w:b/>
          <w:bCs/>
          <w:rtl/>
        </w:rPr>
        <w:t xml:space="preserve"> זרים</w:t>
      </w:r>
      <w:r w:rsidRPr="008D5BAF">
        <w:rPr>
          <w:b/>
          <w:bCs/>
          <w:rtl/>
        </w:rPr>
        <w:t xml:space="preserve"> </w:t>
      </w:r>
      <w:r>
        <w:rPr>
          <w:rFonts w:hint="cs"/>
          <w:b/>
          <w:bCs/>
          <w:rtl/>
        </w:rPr>
        <w:t>הנכנסים לארץ והיוצאים ממנה</w:t>
      </w:r>
      <w:r w:rsidRPr="008D5BAF">
        <w:rPr>
          <w:b/>
          <w:bCs/>
          <w:rtl/>
        </w:rPr>
        <w:t>.</w:t>
      </w:r>
    </w:p>
    <w:p w:rsidR="00955421" w:rsidP="00AE0BE6" w14:paraId="63A20E41" w14:textId="77777777">
      <w:pPr>
        <w:pStyle w:val="a"/>
        <w:spacing w:line="269" w:lineRule="auto"/>
        <w:rPr>
          <w:rtl/>
        </w:rPr>
      </w:pPr>
    </w:p>
    <w:p w:rsidR="00955421" w:rsidP="00AE0BE6" w14:paraId="5B09D1A4" w14:textId="77777777">
      <w:pPr>
        <w:spacing w:line="269" w:lineRule="auto"/>
        <w:rPr>
          <w:b/>
          <w:bCs/>
          <w:rtl/>
        </w:rPr>
      </w:pPr>
      <w:r>
        <w:rPr>
          <w:rFonts w:hint="cs"/>
          <w:b/>
          <w:bCs/>
          <w:rtl/>
        </w:rPr>
        <w:t>המל"ל הודיע למשרד מבקר המדינה בתשובתו מדצמבר 2019, כי בעקבות אישור גורמי הממשלה כאמור, הוא יפעל להגיש בהקדם הצעת החלטה לממשלה.</w:t>
      </w:r>
    </w:p>
    <w:p w:rsidR="00955421" w:rsidRPr="00172D8C" w:rsidP="00AE0BE6" w14:paraId="22BC6E5A" w14:textId="77777777">
      <w:pPr>
        <w:spacing w:line="269" w:lineRule="auto"/>
        <w:rPr>
          <w:b/>
          <w:bCs/>
          <w:rtl/>
        </w:rPr>
      </w:pPr>
    </w:p>
    <w:p w:rsidR="00F5466E" w14:paraId="2C79A4C8" w14:textId="77777777">
      <w:pPr>
        <w:bidi w:val="0"/>
        <w:spacing w:after="200" w:line="276" w:lineRule="auto"/>
        <w:rPr>
          <w:rFonts w:eastAsiaTheme="majorEastAsia"/>
          <w:bCs/>
          <w:szCs w:val="26"/>
          <w:rtl/>
        </w:rPr>
      </w:pPr>
      <w:r>
        <w:rPr>
          <w:rtl/>
        </w:rPr>
        <w:br w:type="page"/>
      </w:r>
    </w:p>
    <w:p w:rsidR="002D0C59" w:rsidRPr="00090175" w:rsidP="00AE0BE6" w14:paraId="31E22A25" w14:textId="1C1D5604">
      <w:pPr>
        <w:pStyle w:val="Heading4"/>
        <w:spacing w:before="0" w:line="269" w:lineRule="auto"/>
        <w:rPr>
          <w:rtl/>
        </w:rPr>
      </w:pPr>
      <w:r w:rsidRPr="00090175">
        <w:rPr>
          <w:rFonts w:hint="cs"/>
          <w:rtl/>
        </w:rPr>
        <w:t>פיתוח מערכות מידע חלו</w:t>
      </w:r>
      <w:r w:rsidRPr="00090175">
        <w:rPr>
          <w:rFonts w:hint="cs"/>
          <w:rtl/>
        </w:rPr>
        <w:t>פיות</w:t>
      </w:r>
    </w:p>
    <w:p w:rsidR="002D0C59" w:rsidRPr="00A21F5C" w:rsidP="00AE0BE6" w14:paraId="4C7790CD" w14:textId="77777777">
      <w:pPr>
        <w:pStyle w:val="a"/>
        <w:spacing w:line="269" w:lineRule="auto"/>
        <w:rPr>
          <w:rtl/>
        </w:rPr>
      </w:pPr>
    </w:p>
    <w:p w:rsidR="002D0C59" w:rsidRPr="004A0234" w:rsidP="00AE0BE6" w14:paraId="21FAEDA1" w14:textId="77777777">
      <w:pPr>
        <w:spacing w:line="269" w:lineRule="auto"/>
        <w:rPr>
          <w:sz w:val="24"/>
          <w:rtl/>
        </w:rPr>
      </w:pPr>
      <w:r w:rsidRPr="004A0234">
        <w:rPr>
          <w:rFonts w:hint="cs"/>
          <w:sz w:val="24"/>
          <w:rtl/>
        </w:rPr>
        <w:t>על רקע העיכוב האמור בהקמת מנ"ת, בשנת 2018 החלה רשות האוכלוסין לפתח מערכות מידע לקבלת מידע על הנוסע הזר</w:t>
      </w:r>
      <w:r w:rsidRPr="00EA29B3" w:rsidR="00EA29B3">
        <w:rPr>
          <w:rtl/>
        </w:rPr>
        <w:t xml:space="preserve"> </w:t>
      </w:r>
      <w:r w:rsidR="00EA29B3">
        <w:rPr>
          <w:rFonts w:hint="cs"/>
          <w:sz w:val="24"/>
          <w:rtl/>
        </w:rPr>
        <w:t xml:space="preserve">קודם </w:t>
      </w:r>
      <w:r w:rsidR="00816D4C">
        <w:rPr>
          <w:rFonts w:hint="cs"/>
          <w:sz w:val="24"/>
          <w:rtl/>
        </w:rPr>
        <w:t>ל</w:t>
      </w:r>
      <w:r w:rsidR="00EA29B3">
        <w:rPr>
          <w:rFonts w:hint="cs"/>
          <w:sz w:val="24"/>
          <w:rtl/>
        </w:rPr>
        <w:t xml:space="preserve">יציאתו </w:t>
      </w:r>
      <w:r w:rsidRPr="00EA29B3" w:rsidR="00EA29B3">
        <w:rPr>
          <w:sz w:val="24"/>
          <w:rtl/>
        </w:rPr>
        <w:t>מארץ המוצא בדרכ</w:t>
      </w:r>
      <w:r w:rsidR="00EA29B3">
        <w:rPr>
          <w:rFonts w:hint="cs"/>
          <w:sz w:val="24"/>
          <w:rtl/>
        </w:rPr>
        <w:t>ו</w:t>
      </w:r>
      <w:r w:rsidRPr="00EA29B3" w:rsidR="00EA29B3">
        <w:rPr>
          <w:sz w:val="24"/>
          <w:rtl/>
        </w:rPr>
        <w:t xml:space="preserve"> לישראל</w:t>
      </w:r>
      <w:r w:rsidRPr="004A0234">
        <w:rPr>
          <w:rFonts w:hint="cs"/>
          <w:sz w:val="24"/>
          <w:rtl/>
        </w:rPr>
        <w:t xml:space="preserve">. </w:t>
      </w:r>
    </w:p>
    <w:p w:rsidR="002D0C59" w:rsidRPr="00A21F5C" w:rsidP="00AE0BE6" w14:paraId="327AF535" w14:textId="77777777">
      <w:pPr>
        <w:pStyle w:val="a"/>
        <w:spacing w:line="269" w:lineRule="auto"/>
      </w:pPr>
    </w:p>
    <w:p w:rsidR="002D0C59" w:rsidRPr="004A0234" w:rsidP="00AE0BE6" w14:paraId="321DC32D" w14:textId="77777777">
      <w:pPr>
        <w:pStyle w:val="ListParagraph"/>
        <w:numPr>
          <w:ilvl w:val="0"/>
          <w:numId w:val="10"/>
        </w:numPr>
        <w:spacing w:after="0" w:line="269" w:lineRule="auto"/>
        <w:jc w:val="both"/>
        <w:rPr>
          <w:rFonts w:cs="David"/>
          <w:sz w:val="24"/>
          <w:szCs w:val="24"/>
        </w:rPr>
      </w:pPr>
      <w:r w:rsidRPr="004A0234">
        <w:rPr>
          <w:rFonts w:cs="David"/>
          <w:sz w:val="24"/>
          <w:szCs w:val="24"/>
          <w:rtl/>
        </w:rPr>
        <w:t xml:space="preserve">על פי נתוני משרד החוץ, נושאי דרכונים רשמיים של 103 מדינות חייבים באשרת ביקור בישראל לצורך כניסתם אליה. בתחילת 2018 החליטה רשות האוכלוסין לבצע עבודת מטה כדי לקדם מערכת מקוונת לטיפול בבקשות לאשרות ביקור, לרבות הגשת בקשה והנפקת אשרה באופן מקוון. </w:t>
      </w:r>
      <w:r w:rsidRPr="004A0234">
        <w:rPr>
          <w:rFonts w:cs="David" w:hint="cs"/>
          <w:sz w:val="24"/>
          <w:szCs w:val="24"/>
          <w:rtl/>
        </w:rPr>
        <w:t>מערכת זו נועד</w:t>
      </w:r>
      <w:r w:rsidRPr="004A0234">
        <w:rPr>
          <w:rFonts w:cs="David" w:hint="cs"/>
          <w:sz w:val="24"/>
          <w:szCs w:val="24"/>
          <w:rtl/>
        </w:rPr>
        <w:t>ה בעיקר לשמש כלי למניעת כניס</w:t>
      </w:r>
      <w:r>
        <w:rPr>
          <w:rFonts w:cs="David" w:hint="cs"/>
          <w:sz w:val="24"/>
          <w:szCs w:val="24"/>
          <w:rtl/>
        </w:rPr>
        <w:t>ת</w:t>
      </w:r>
      <w:r w:rsidRPr="004A0234">
        <w:rPr>
          <w:rFonts w:cs="David" w:hint="cs"/>
          <w:sz w:val="24"/>
          <w:szCs w:val="24"/>
          <w:rtl/>
        </w:rPr>
        <w:t xml:space="preserve"> זרים לישראל במידת הצורך ולשפר את השירות לתיירים הזקוקים לאשרה</w:t>
      </w:r>
      <w:r>
        <w:rPr>
          <w:rStyle w:val="FootnoteReference1"/>
          <w:rFonts w:cs="David"/>
          <w:sz w:val="24"/>
          <w:szCs w:val="24"/>
          <w:rtl/>
        </w:rPr>
        <w:footnoteReference w:id="28"/>
      </w:r>
      <w:r w:rsidRPr="004A0234">
        <w:rPr>
          <w:rFonts w:cs="David" w:hint="cs"/>
          <w:sz w:val="24"/>
          <w:szCs w:val="24"/>
          <w:rtl/>
        </w:rPr>
        <w:t>.</w:t>
      </w:r>
    </w:p>
    <w:p w:rsidR="002D0C59" w:rsidRPr="00A21F5C" w:rsidP="00AE0BE6" w14:paraId="2A144ABB" w14:textId="77777777">
      <w:pPr>
        <w:pStyle w:val="a"/>
        <w:spacing w:line="269" w:lineRule="auto"/>
        <w:rPr>
          <w:rtl/>
        </w:rPr>
      </w:pPr>
    </w:p>
    <w:p w:rsidR="002D0C59" w:rsidRPr="004A0234" w:rsidP="00AE0BE6" w14:paraId="6783AFF0" w14:textId="77777777">
      <w:pPr>
        <w:pStyle w:val="ListParagraph"/>
        <w:spacing w:after="0" w:line="269" w:lineRule="auto"/>
        <w:ind w:left="340"/>
        <w:jc w:val="both"/>
        <w:rPr>
          <w:rFonts w:cs="David"/>
          <w:sz w:val="24"/>
          <w:szCs w:val="24"/>
          <w:rtl/>
        </w:rPr>
      </w:pPr>
      <w:r w:rsidRPr="004A0234">
        <w:rPr>
          <w:rFonts w:cs="David" w:hint="cs"/>
          <w:sz w:val="24"/>
          <w:szCs w:val="24"/>
          <w:rtl/>
        </w:rPr>
        <w:t xml:space="preserve">במועד סיום הביקורת באוגוסט 2019 </w:t>
      </w:r>
      <w:r>
        <w:rPr>
          <w:rFonts w:cs="David" w:hint="cs"/>
          <w:sz w:val="24"/>
          <w:szCs w:val="24"/>
          <w:rtl/>
        </w:rPr>
        <w:t xml:space="preserve">הייתה </w:t>
      </w:r>
      <w:r w:rsidRPr="004A0234">
        <w:rPr>
          <w:rFonts w:cs="David" w:hint="cs"/>
          <w:sz w:val="24"/>
          <w:szCs w:val="24"/>
          <w:rtl/>
        </w:rPr>
        <w:t xml:space="preserve">הקמת המערכת המקוונת בשלב של גיבוש הצעת מחליטים לממשלה, כלומר הצגת הצורך והמשאבים הנדרשים לפני הממשלה לצורך דיון והחלטה. </w:t>
      </w:r>
    </w:p>
    <w:p w:rsidR="002D0C59" w:rsidRPr="00A21F5C" w:rsidP="00AE0BE6" w14:paraId="42017962" w14:textId="77777777">
      <w:pPr>
        <w:pStyle w:val="a"/>
        <w:spacing w:line="269" w:lineRule="auto"/>
      </w:pPr>
    </w:p>
    <w:p w:rsidR="002D0C59" w:rsidP="00AE0BE6" w14:paraId="4D9A6D5B" w14:textId="77777777">
      <w:pPr>
        <w:pStyle w:val="ListParagraph"/>
        <w:numPr>
          <w:ilvl w:val="0"/>
          <w:numId w:val="10"/>
        </w:numPr>
        <w:spacing w:after="0" w:line="269" w:lineRule="auto"/>
        <w:jc w:val="both"/>
        <w:rPr>
          <w:rFonts w:cs="David"/>
          <w:sz w:val="24"/>
          <w:szCs w:val="24"/>
        </w:rPr>
      </w:pPr>
      <w:r w:rsidRPr="004A0234">
        <w:rPr>
          <w:rFonts w:cs="David" w:hint="cs"/>
          <w:sz w:val="24"/>
          <w:szCs w:val="24"/>
          <w:rtl/>
        </w:rPr>
        <w:t>ב</w:t>
      </w:r>
      <w:r w:rsidRPr="004A0234">
        <w:rPr>
          <w:rFonts w:cs="David" w:hint="cs"/>
          <w:sz w:val="24"/>
          <w:szCs w:val="24"/>
          <w:rtl/>
        </w:rPr>
        <w:t xml:space="preserve">אמצע 2018 החלה רשות האוכלוסין לפתח מערכת מידע לצורך קבלת נתונים אישיים של הנוסע </w:t>
      </w:r>
      <w:r>
        <w:rPr>
          <w:rFonts w:cs="David" w:hint="cs"/>
          <w:sz w:val="24"/>
          <w:szCs w:val="24"/>
          <w:rtl/>
        </w:rPr>
        <w:t>לפני</w:t>
      </w:r>
      <w:r w:rsidRPr="004A0234">
        <w:rPr>
          <w:rFonts w:cs="David" w:hint="cs"/>
          <w:sz w:val="24"/>
          <w:szCs w:val="24"/>
          <w:rtl/>
        </w:rPr>
        <w:t xml:space="preserve"> הגעתו לישראל (מסוג </w:t>
      </w:r>
      <w:r w:rsidRPr="004A0234">
        <w:rPr>
          <w:rFonts w:cs="David"/>
          <w:sz w:val="24"/>
          <w:szCs w:val="24"/>
        </w:rPr>
        <w:t>API</w:t>
      </w:r>
      <w:r w:rsidRPr="004A0234">
        <w:rPr>
          <w:rFonts w:cs="David" w:hint="cs"/>
          <w:sz w:val="24"/>
          <w:szCs w:val="24"/>
          <w:rtl/>
        </w:rPr>
        <w:t xml:space="preserve">, כמצוין בתרשים 7). מטרת הרשות הייתה </w:t>
      </w:r>
      <w:r>
        <w:rPr>
          <w:rFonts w:cs="David" w:hint="cs"/>
          <w:sz w:val="24"/>
          <w:szCs w:val="24"/>
          <w:rtl/>
        </w:rPr>
        <w:t>להשיג את הסכמת ח</w:t>
      </w:r>
      <w:r w:rsidRPr="004A0234">
        <w:rPr>
          <w:rFonts w:cs="David" w:hint="cs"/>
          <w:sz w:val="24"/>
          <w:szCs w:val="24"/>
          <w:rtl/>
        </w:rPr>
        <w:t>ברות תעופה להעביר לידיה את הנתונים על הנוסע לפני עלייתו לטיסה.</w:t>
      </w:r>
    </w:p>
    <w:p w:rsidR="002D0C59" w:rsidRPr="00A21F5C" w:rsidP="00AE0BE6" w14:paraId="38622436" w14:textId="77777777">
      <w:pPr>
        <w:pStyle w:val="a"/>
        <w:spacing w:line="269" w:lineRule="auto"/>
        <w:rPr>
          <w:rtl/>
        </w:rPr>
      </w:pPr>
    </w:p>
    <w:p w:rsidR="002D0C59" w:rsidP="00AE0BE6" w14:paraId="2813F187" w14:textId="77777777">
      <w:pPr>
        <w:pStyle w:val="ListParagraph"/>
        <w:spacing w:after="0" w:line="269" w:lineRule="auto"/>
        <w:ind w:left="312"/>
        <w:jc w:val="both"/>
        <w:rPr>
          <w:rFonts w:cs="David"/>
          <w:sz w:val="24"/>
          <w:szCs w:val="24"/>
          <w:rtl/>
        </w:rPr>
      </w:pPr>
      <w:r w:rsidRPr="004A0234">
        <w:rPr>
          <w:rFonts w:cs="David" w:hint="cs"/>
          <w:sz w:val="24"/>
          <w:szCs w:val="24"/>
          <w:rtl/>
        </w:rPr>
        <w:t xml:space="preserve">במועד סיום הביקורת באוגוסט 2019 </w:t>
      </w:r>
      <w:r>
        <w:rPr>
          <w:rFonts w:cs="David" w:hint="cs"/>
          <w:sz w:val="24"/>
          <w:szCs w:val="24"/>
          <w:rtl/>
        </w:rPr>
        <w:t>היה</w:t>
      </w:r>
      <w:r w:rsidRPr="004A0234">
        <w:rPr>
          <w:rFonts w:cs="David" w:hint="cs"/>
          <w:sz w:val="24"/>
          <w:szCs w:val="24"/>
          <w:rtl/>
        </w:rPr>
        <w:t xml:space="preserve"> הפרויקט בשלבי גיבוש תזכיר לתיקון חוק הכניסה לישראל והכנה של הצעת מחליטים לממשלה. </w:t>
      </w:r>
    </w:p>
    <w:p w:rsidR="002D0C59" w:rsidP="00AE0BE6" w14:paraId="20258D94" w14:textId="77777777">
      <w:pPr>
        <w:pStyle w:val="a"/>
        <w:spacing w:line="269" w:lineRule="auto"/>
        <w:rPr>
          <w:rtl/>
        </w:rPr>
      </w:pPr>
    </w:p>
    <w:p w:rsidR="002D0C59" w:rsidRPr="004A0234" w:rsidP="00AE0BE6" w14:paraId="5BB52FD2" w14:textId="77777777">
      <w:pPr>
        <w:pStyle w:val="ListParagraph"/>
        <w:spacing w:after="0" w:line="269" w:lineRule="auto"/>
        <w:ind w:left="312"/>
        <w:jc w:val="both"/>
        <w:rPr>
          <w:rFonts w:cs="David"/>
          <w:sz w:val="24"/>
          <w:szCs w:val="24"/>
          <w:rtl/>
        </w:rPr>
      </w:pPr>
      <w:r>
        <w:rPr>
          <w:rFonts w:cs="David" w:hint="cs"/>
          <w:sz w:val="24"/>
          <w:szCs w:val="24"/>
          <w:rtl/>
        </w:rPr>
        <w:t>בדצמבר 2019 השיב משרד החוץ למשרד מבקר המדינה כי המשרד רואה צורך חיוני בהקמת מערכת אשרה אלקטרונית ורישום מוקדם שתשפר את השירות לאזרח, תקצר את הליך קבלת האשרה ותתרום לביטח</w:t>
      </w:r>
      <w:r>
        <w:rPr>
          <w:rFonts w:cs="David" w:hint="cs"/>
          <w:sz w:val="24"/>
          <w:szCs w:val="24"/>
          <w:rtl/>
        </w:rPr>
        <w:t>ון מדינת ישראל.</w:t>
      </w:r>
    </w:p>
    <w:p w:rsidR="002D0C59" w:rsidRPr="00A21F5C" w:rsidP="00AE0BE6" w14:paraId="50F868F3" w14:textId="77777777">
      <w:pPr>
        <w:pStyle w:val="a"/>
        <w:spacing w:line="269" w:lineRule="auto"/>
        <w:rPr>
          <w:rtl/>
        </w:rPr>
      </w:pPr>
    </w:p>
    <w:p w:rsidR="002D0C59" w:rsidRPr="004A0234" w:rsidP="00AE0BE6" w14:paraId="64DF0E10" w14:textId="77777777">
      <w:pPr>
        <w:spacing w:line="269" w:lineRule="auto"/>
        <w:rPr>
          <w:b/>
          <w:bCs/>
          <w:sz w:val="24"/>
          <w:rtl/>
        </w:rPr>
      </w:pPr>
      <w:r w:rsidRPr="004A0234">
        <w:rPr>
          <w:b/>
          <w:bCs/>
          <w:sz w:val="24"/>
          <w:rtl/>
        </w:rPr>
        <w:t>משרד מבקר המדינה מציין לחיוב את פעולות רשות האוכלוסין להקמת מערכות מידע מתקדמות לביקורת הגבולות. עם זאת, על רשות האוכלוסין לוודא מטעמי יעילות וח</w:t>
      </w:r>
      <w:r>
        <w:rPr>
          <w:rFonts w:hint="cs"/>
          <w:b/>
          <w:bCs/>
          <w:sz w:val="24"/>
          <w:rtl/>
        </w:rPr>
        <w:t>י</w:t>
      </w:r>
      <w:r w:rsidRPr="004A0234">
        <w:rPr>
          <w:b/>
          <w:bCs/>
          <w:sz w:val="24"/>
          <w:rtl/>
        </w:rPr>
        <w:t xml:space="preserve">סכון שלא תהיה כפילות בין הפרויקט שהיא מקדמת לפיתוח מערכת מידע </w:t>
      </w:r>
      <w:r w:rsidRPr="004A0234">
        <w:rPr>
          <w:b/>
          <w:bCs/>
          <w:sz w:val="24"/>
        </w:rPr>
        <w:t>API</w:t>
      </w:r>
      <w:r w:rsidRPr="004A0234">
        <w:rPr>
          <w:b/>
          <w:bCs/>
          <w:sz w:val="24"/>
          <w:rtl/>
        </w:rPr>
        <w:t xml:space="preserve"> לבין פרויקט המנ"ת שהמל"ל</w:t>
      </w:r>
      <w:r w:rsidRPr="004A0234">
        <w:rPr>
          <w:b/>
          <w:bCs/>
          <w:sz w:val="24"/>
          <w:rtl/>
        </w:rPr>
        <w:t xml:space="preserve"> מקדם. </w:t>
      </w:r>
    </w:p>
    <w:p w:rsidR="002D0C59" w:rsidRPr="00A21F5C" w:rsidP="00AE0BE6" w14:paraId="5C2B6935" w14:textId="77777777">
      <w:pPr>
        <w:spacing w:line="269" w:lineRule="auto"/>
        <w:jc w:val="center"/>
        <w:rPr>
          <w:rFonts w:ascii="Arial" w:hAnsi="Arial"/>
          <w:b/>
          <w:bCs/>
          <w:sz w:val="36"/>
          <w:rtl/>
        </w:rPr>
      </w:pPr>
      <w:r w:rsidRPr="00A21F5C">
        <w:rPr>
          <w:rFonts w:ascii="Segoe UI Symbol" w:hAnsi="Segoe UI Symbol" w:cs="Segoe UI Symbol" w:hint="cs"/>
          <w:b/>
          <w:bCs/>
          <w:sz w:val="36"/>
          <w:rtl/>
        </w:rPr>
        <w:t>✰</w:t>
      </w:r>
    </w:p>
    <w:p w:rsidR="002D0C59" w:rsidRPr="00A21F5C" w:rsidP="00AE0BE6" w14:paraId="086FF797" w14:textId="77777777">
      <w:pPr>
        <w:pStyle w:val="a"/>
        <w:spacing w:line="269" w:lineRule="auto"/>
        <w:rPr>
          <w:rtl/>
        </w:rPr>
      </w:pPr>
    </w:p>
    <w:p w:rsidR="002D0C59" w:rsidP="00AE0BE6" w14:paraId="4A7A0D75" w14:textId="77777777">
      <w:pPr>
        <w:spacing w:line="269" w:lineRule="auto"/>
        <w:rPr>
          <w:rtl/>
        </w:rPr>
      </w:pPr>
      <w:r w:rsidRPr="004A0234">
        <w:rPr>
          <w:b/>
          <w:bCs/>
          <w:sz w:val="24"/>
          <w:rtl/>
        </w:rPr>
        <w:t xml:space="preserve">היעדר </w:t>
      </w:r>
      <w:r w:rsidRPr="002250EF">
        <w:rPr>
          <w:b/>
          <w:bCs/>
          <w:sz w:val="24"/>
          <w:rtl/>
        </w:rPr>
        <w:t>מידע מקדים</w:t>
      </w:r>
      <w:r w:rsidRPr="004A0234">
        <w:rPr>
          <w:b/>
          <w:bCs/>
          <w:sz w:val="24"/>
          <w:rtl/>
        </w:rPr>
        <w:t xml:space="preserve"> </w:t>
      </w:r>
      <w:r>
        <w:rPr>
          <w:rFonts w:hint="cs"/>
          <w:b/>
          <w:bCs/>
          <w:sz w:val="24"/>
          <w:rtl/>
        </w:rPr>
        <w:t xml:space="preserve">בידי מערך ביקורת הגבולות </w:t>
      </w:r>
      <w:r w:rsidRPr="004A0234">
        <w:rPr>
          <w:b/>
          <w:bCs/>
          <w:sz w:val="24"/>
          <w:rtl/>
        </w:rPr>
        <w:t xml:space="preserve">על נוסעים </w:t>
      </w:r>
      <w:r>
        <w:rPr>
          <w:rFonts w:hint="cs"/>
          <w:b/>
          <w:bCs/>
          <w:sz w:val="24"/>
          <w:rtl/>
        </w:rPr>
        <w:t xml:space="preserve">זרים המבקשים להיכנס לתחומי מדינת ישראל </w:t>
      </w:r>
      <w:r w:rsidRPr="004A0234">
        <w:rPr>
          <w:b/>
          <w:bCs/>
          <w:sz w:val="24"/>
          <w:rtl/>
        </w:rPr>
        <w:t xml:space="preserve">מונע </w:t>
      </w:r>
      <w:r>
        <w:rPr>
          <w:rFonts w:hint="cs"/>
          <w:b/>
          <w:bCs/>
          <w:sz w:val="24"/>
          <w:rtl/>
        </w:rPr>
        <w:t>שיפור של</w:t>
      </w:r>
      <w:r w:rsidRPr="004A0234">
        <w:rPr>
          <w:b/>
          <w:bCs/>
          <w:sz w:val="24"/>
          <w:rtl/>
        </w:rPr>
        <w:t xml:space="preserve"> הבקרה על </w:t>
      </w:r>
      <w:r>
        <w:rPr>
          <w:rFonts w:hint="cs"/>
          <w:b/>
          <w:bCs/>
          <w:sz w:val="24"/>
          <w:rtl/>
        </w:rPr>
        <w:t>כניסתם</w:t>
      </w:r>
      <w:r w:rsidRPr="004A0234">
        <w:rPr>
          <w:rFonts w:hint="cs"/>
          <w:b/>
          <w:bCs/>
          <w:sz w:val="24"/>
          <w:rtl/>
        </w:rPr>
        <w:t xml:space="preserve"> ועלול אף </w:t>
      </w:r>
      <w:r w:rsidRPr="004A0234">
        <w:rPr>
          <w:b/>
          <w:bCs/>
          <w:sz w:val="24"/>
          <w:rtl/>
        </w:rPr>
        <w:t xml:space="preserve">לפגוע ביכולת של </w:t>
      </w:r>
      <w:r w:rsidR="00BF2BC9">
        <w:rPr>
          <w:rFonts w:hint="cs"/>
          <w:b/>
          <w:bCs/>
          <w:sz w:val="24"/>
          <w:rtl/>
        </w:rPr>
        <w:t>המערך</w:t>
      </w:r>
      <w:r w:rsidRPr="004A0234">
        <w:rPr>
          <w:b/>
          <w:bCs/>
          <w:sz w:val="24"/>
          <w:rtl/>
        </w:rPr>
        <w:t xml:space="preserve"> למנוע כניסה לא רצויה של אנשים לשטח המדינה </w:t>
      </w:r>
      <w:r w:rsidRPr="004A2B59">
        <w:rPr>
          <w:b/>
          <w:bCs/>
          <w:sz w:val="24"/>
          <w:rtl/>
        </w:rPr>
        <w:t>מטעמים ב</w:t>
      </w:r>
      <w:r w:rsidRPr="004A2B59">
        <w:rPr>
          <w:rFonts w:hint="cs"/>
          <w:b/>
          <w:bCs/>
          <w:sz w:val="24"/>
          <w:rtl/>
        </w:rPr>
        <w:t>י</w:t>
      </w:r>
      <w:r w:rsidRPr="004A2B59">
        <w:rPr>
          <w:b/>
          <w:bCs/>
          <w:sz w:val="24"/>
          <w:rtl/>
        </w:rPr>
        <w:t>טחוניים</w:t>
      </w:r>
      <w:r w:rsidRPr="004A0234">
        <w:rPr>
          <w:b/>
          <w:bCs/>
          <w:sz w:val="24"/>
          <w:rtl/>
        </w:rPr>
        <w:t xml:space="preserve"> או פליליים ולמנוע כניסה של מהגרים לא חוקיים.</w:t>
      </w:r>
      <w:r w:rsidRPr="004A0234">
        <w:rPr>
          <w:rFonts w:hint="cs"/>
          <w:b/>
          <w:bCs/>
          <w:sz w:val="24"/>
          <w:rtl/>
        </w:rPr>
        <w:t xml:space="preserve"> כיוון שכך, יש להעמיד לרשות מינהל ביקורת הגבולות </w:t>
      </w:r>
      <w:r w:rsidRPr="004A2B59">
        <w:rPr>
          <w:rFonts w:hint="cs"/>
          <w:b/>
          <w:bCs/>
          <w:sz w:val="24"/>
          <w:rtl/>
        </w:rPr>
        <w:t>מידע מקדים</w:t>
      </w:r>
      <w:r w:rsidRPr="004A0234">
        <w:rPr>
          <w:rFonts w:hint="cs"/>
          <w:b/>
          <w:bCs/>
          <w:sz w:val="24"/>
          <w:rtl/>
        </w:rPr>
        <w:t xml:space="preserve"> על נוסעים זרים העומדים </w:t>
      </w:r>
      <w:r w:rsidRPr="00713DAC">
        <w:rPr>
          <w:rFonts w:hint="cs"/>
          <w:b/>
          <w:bCs/>
          <w:sz w:val="24"/>
          <w:rtl/>
        </w:rPr>
        <w:t xml:space="preserve">להגיע לישראל. על רשות האוכלוסין, בשיתוף המל"ל, לפעול להקמת </w:t>
      </w:r>
      <w:r w:rsidRPr="00713DAC" w:rsidR="00442C2D">
        <w:rPr>
          <w:rFonts w:hint="eastAsia"/>
          <w:b/>
          <w:bCs/>
          <w:sz w:val="24"/>
          <w:rtl/>
        </w:rPr>
        <w:t>מערכות</w:t>
      </w:r>
      <w:r w:rsidRPr="00713DAC" w:rsidR="00442C2D">
        <w:rPr>
          <w:b/>
          <w:bCs/>
          <w:sz w:val="24"/>
          <w:rtl/>
        </w:rPr>
        <w:t xml:space="preserve"> </w:t>
      </w:r>
      <w:r w:rsidRPr="00713DAC" w:rsidR="00423648">
        <w:rPr>
          <w:rFonts w:hint="cs"/>
          <w:b/>
          <w:bCs/>
          <w:sz w:val="24"/>
          <w:rtl/>
        </w:rPr>
        <w:t>ממוחשבות</w:t>
      </w:r>
      <w:r w:rsidRPr="00713DAC">
        <w:rPr>
          <w:b/>
          <w:bCs/>
          <w:sz w:val="24"/>
          <w:rtl/>
        </w:rPr>
        <w:t xml:space="preserve"> </w:t>
      </w:r>
      <w:r w:rsidRPr="00713DAC" w:rsidR="00442C2D">
        <w:rPr>
          <w:rFonts w:hint="eastAsia"/>
          <w:b/>
          <w:bCs/>
          <w:sz w:val="24"/>
          <w:rtl/>
        </w:rPr>
        <w:t>המתאימות</w:t>
      </w:r>
      <w:r w:rsidRPr="00713DAC" w:rsidR="00442C2D">
        <w:rPr>
          <w:b/>
          <w:bCs/>
          <w:sz w:val="24"/>
          <w:rtl/>
        </w:rPr>
        <w:t xml:space="preserve"> </w:t>
      </w:r>
      <w:r w:rsidRPr="00713DAC">
        <w:rPr>
          <w:rFonts w:hint="eastAsia"/>
          <w:b/>
          <w:bCs/>
          <w:sz w:val="24"/>
          <w:rtl/>
        </w:rPr>
        <w:t>לצורך</w:t>
      </w:r>
      <w:r w:rsidRPr="00713DAC">
        <w:rPr>
          <w:rFonts w:hint="cs"/>
          <w:b/>
          <w:bCs/>
          <w:sz w:val="24"/>
          <w:rtl/>
        </w:rPr>
        <w:t xml:space="preserve"> הזה.</w:t>
      </w:r>
    </w:p>
    <w:p w:rsidR="00955421" w:rsidRPr="002D0C59" w:rsidP="00AE0BE6" w14:paraId="476324C9" w14:textId="77777777">
      <w:pPr>
        <w:spacing w:line="269" w:lineRule="auto"/>
        <w:rPr>
          <w:rtl/>
        </w:rPr>
      </w:pPr>
    </w:p>
    <w:p w:rsidR="00F5466E" w14:paraId="282B16C4" w14:textId="77777777">
      <w:pPr>
        <w:bidi w:val="0"/>
        <w:spacing w:after="200" w:line="276" w:lineRule="auto"/>
        <w:rPr>
          <w:rFonts w:eastAsiaTheme="majorEastAsia"/>
          <w:bCs/>
          <w:szCs w:val="28"/>
          <w:u w:val="single"/>
          <w:rtl/>
        </w:rPr>
      </w:pPr>
      <w:r>
        <w:rPr>
          <w:rtl/>
        </w:rPr>
        <w:br w:type="page"/>
      </w:r>
    </w:p>
    <w:p w:rsidR="002D0C59" w:rsidRPr="004A0234" w:rsidP="00AE0BE6" w14:paraId="41870059" w14:textId="5D5F32C2">
      <w:pPr>
        <w:pStyle w:val="Heading3"/>
        <w:spacing w:before="0" w:line="269" w:lineRule="auto"/>
        <w:rPr>
          <w:rtl/>
        </w:rPr>
      </w:pPr>
      <w:r w:rsidRPr="004A0234">
        <w:rPr>
          <w:rFonts w:hint="cs"/>
          <w:rtl/>
        </w:rPr>
        <w:t xml:space="preserve">קידום תיקון חקיקה המאפשר נטילת </w:t>
      </w:r>
      <w:r>
        <w:rPr>
          <w:rFonts w:hint="cs"/>
          <w:rtl/>
        </w:rPr>
        <w:t>נתונים</w:t>
      </w:r>
      <w:r w:rsidRPr="004A0234">
        <w:rPr>
          <w:rFonts w:hint="cs"/>
          <w:rtl/>
        </w:rPr>
        <w:t xml:space="preserve"> ביומטר</w:t>
      </w:r>
      <w:r>
        <w:rPr>
          <w:rFonts w:hint="cs"/>
          <w:rtl/>
        </w:rPr>
        <w:t>י</w:t>
      </w:r>
      <w:r w:rsidRPr="004A0234">
        <w:rPr>
          <w:rFonts w:hint="cs"/>
          <w:rtl/>
        </w:rPr>
        <w:t>י</w:t>
      </w:r>
      <w:r>
        <w:rPr>
          <w:rFonts w:hint="cs"/>
          <w:rtl/>
        </w:rPr>
        <w:t>ם</w:t>
      </w:r>
      <w:r w:rsidRPr="004A0234">
        <w:rPr>
          <w:rFonts w:hint="cs"/>
          <w:rtl/>
        </w:rPr>
        <w:t xml:space="preserve"> מזרים</w:t>
      </w:r>
    </w:p>
    <w:p w:rsidR="002D0C59" w:rsidRPr="00A21F5C" w:rsidP="00AE0BE6" w14:paraId="73251B30" w14:textId="77777777">
      <w:pPr>
        <w:pStyle w:val="a"/>
        <w:spacing w:line="269" w:lineRule="auto"/>
        <w:rPr>
          <w:rtl/>
        </w:rPr>
      </w:pPr>
    </w:p>
    <w:p w:rsidR="001E1D2C" w:rsidP="00AE0BE6" w14:paraId="7190FDDD" w14:textId="77777777">
      <w:pPr>
        <w:spacing w:line="269" w:lineRule="auto"/>
        <w:rPr>
          <w:rFonts w:ascii="Calibri" w:eastAsia="+mn-ea" w:hAnsi="Arial"/>
          <w:b/>
          <w:bCs/>
          <w:color w:val="FFFFFF"/>
          <w:sz w:val="24"/>
          <w:u w:val="single"/>
          <w:rtl/>
        </w:rPr>
      </w:pPr>
      <w:r w:rsidRPr="004A0234">
        <w:rPr>
          <w:rFonts w:hint="cs"/>
          <w:sz w:val="24"/>
          <w:rtl/>
        </w:rPr>
        <w:t xml:space="preserve">תהליך חקיקה </w:t>
      </w:r>
      <w:r>
        <w:rPr>
          <w:rFonts w:hint="cs"/>
          <w:sz w:val="24"/>
          <w:rtl/>
        </w:rPr>
        <w:t>ש</w:t>
      </w:r>
      <w:r w:rsidRPr="004A0234">
        <w:rPr>
          <w:rFonts w:hint="cs"/>
          <w:sz w:val="24"/>
          <w:rtl/>
        </w:rPr>
        <w:t>יוזמ</w:t>
      </w:r>
      <w:r>
        <w:rPr>
          <w:rFonts w:hint="cs"/>
          <w:sz w:val="24"/>
          <w:rtl/>
        </w:rPr>
        <w:t>ים</w:t>
      </w:r>
      <w:r w:rsidRPr="004A0234">
        <w:rPr>
          <w:rFonts w:hint="cs"/>
          <w:sz w:val="24"/>
          <w:rtl/>
        </w:rPr>
        <w:t xml:space="preserve"> משרד ממשלתי או יחידת סמך כולל את השלבים המפורטים בתרשים מס</w:t>
      </w:r>
      <w:r>
        <w:rPr>
          <w:rFonts w:hint="cs"/>
          <w:sz w:val="24"/>
          <w:rtl/>
        </w:rPr>
        <w:t>'</w:t>
      </w:r>
      <w:r w:rsidRPr="004A0234">
        <w:rPr>
          <w:rFonts w:hint="cs"/>
          <w:sz w:val="24"/>
          <w:rtl/>
        </w:rPr>
        <w:t xml:space="preserve"> </w:t>
      </w:r>
      <w:r>
        <w:rPr>
          <w:rFonts w:hint="cs"/>
          <w:sz w:val="24"/>
          <w:rtl/>
        </w:rPr>
        <w:t>14</w:t>
      </w:r>
      <w:r w:rsidRPr="004A0234">
        <w:rPr>
          <w:rFonts w:hint="cs"/>
          <w:sz w:val="24"/>
          <w:rtl/>
        </w:rPr>
        <w:t xml:space="preserve"> שלהלן.</w:t>
      </w:r>
    </w:p>
    <w:p w:rsidR="00F5466E" w:rsidP="00AE0BE6" w14:paraId="3E2134C6" w14:textId="77777777">
      <w:pPr>
        <w:spacing w:line="269" w:lineRule="auto"/>
        <w:jc w:val="center"/>
        <w:rPr>
          <w:b/>
          <w:bCs/>
          <w:rtl/>
        </w:rPr>
      </w:pPr>
    </w:p>
    <w:p w:rsidR="002D0C59" w:rsidRPr="00A21F5C" w:rsidP="00AE0BE6" w14:paraId="4C5B9380" w14:textId="3C5258B0">
      <w:pPr>
        <w:spacing w:line="269" w:lineRule="auto"/>
        <w:jc w:val="center"/>
        <w:rPr>
          <w:b/>
          <w:bCs/>
        </w:rPr>
      </w:pPr>
      <w:r w:rsidRPr="004A0234">
        <w:rPr>
          <w:rFonts w:hint="cs"/>
          <w:b/>
          <w:bCs/>
          <w:rtl/>
        </w:rPr>
        <w:t xml:space="preserve">תרשים </w:t>
      </w:r>
      <w:r>
        <w:rPr>
          <w:rFonts w:hint="cs"/>
          <w:b/>
          <w:bCs/>
          <w:rtl/>
        </w:rPr>
        <w:t>14</w:t>
      </w:r>
      <w:r w:rsidRPr="004A0234">
        <w:rPr>
          <w:rFonts w:hint="cs"/>
          <w:b/>
          <w:bCs/>
          <w:rtl/>
        </w:rPr>
        <w:t>: שלבי הליך החקיקה של הצעת חוק ממשלתית</w:t>
      </w:r>
    </w:p>
    <w:p w:rsidR="00BF2BC9" w:rsidP="00AE0BE6" w14:paraId="70367AF3" w14:textId="77777777">
      <w:pPr>
        <w:spacing w:line="269" w:lineRule="auto"/>
        <w:rPr>
          <w:szCs w:val="20"/>
        </w:rPr>
      </w:pPr>
      <w:r w:rsidRPr="00A21F5C">
        <w:rPr>
          <w:noProof/>
        </w:rPr>
        <w:drawing>
          <wp:inline distT="0" distB="0" distL="0" distR="0">
            <wp:extent cx="5220335" cy="4682693"/>
            <wp:effectExtent l="0" t="0" r="0" b="22860"/>
            <wp:docPr id="9" name="דיאגרמה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F2BC9" w:rsidP="00792C56" w14:paraId="7517BA3B" w14:textId="77777777">
      <w:pPr>
        <w:spacing w:before="120" w:line="269" w:lineRule="auto"/>
        <w:rPr>
          <w:rtl/>
        </w:rPr>
      </w:pPr>
      <w:r w:rsidRPr="00A21F5C">
        <w:rPr>
          <w:rFonts w:hint="cs"/>
          <w:szCs w:val="20"/>
          <w:rtl/>
        </w:rPr>
        <w:t xml:space="preserve">המקור: </w:t>
      </w:r>
      <w:r>
        <w:rPr>
          <w:rFonts w:hint="cs"/>
          <w:szCs w:val="20"/>
          <w:rtl/>
        </w:rPr>
        <w:t xml:space="preserve">משרד המשפטים, </w:t>
      </w:r>
      <w:r w:rsidRPr="00A21F5C">
        <w:rPr>
          <w:rFonts w:hint="cs"/>
          <w:szCs w:val="20"/>
          <w:rtl/>
        </w:rPr>
        <w:t xml:space="preserve">מדריך לניסוח חקיקה, </w:t>
      </w:r>
      <w:r w:rsidRPr="009917FD">
        <w:rPr>
          <w:rFonts w:hint="eastAsia"/>
          <w:szCs w:val="20"/>
          <w:rtl/>
        </w:rPr>
        <w:t>אייר</w:t>
      </w:r>
      <w:r w:rsidRPr="009917FD">
        <w:rPr>
          <w:szCs w:val="20"/>
          <w:rtl/>
        </w:rPr>
        <w:t xml:space="preserve"> </w:t>
      </w:r>
      <w:r w:rsidRPr="00003ADC">
        <w:rPr>
          <w:rFonts w:hint="eastAsia"/>
          <w:szCs w:val="20"/>
          <w:rtl/>
        </w:rPr>
        <w:t>התשס</w:t>
      </w:r>
      <w:r w:rsidRPr="00003ADC">
        <w:rPr>
          <w:szCs w:val="20"/>
          <w:rtl/>
        </w:rPr>
        <w:t xml:space="preserve">"ח </w:t>
      </w:r>
      <w:r>
        <w:rPr>
          <w:rFonts w:hint="cs"/>
          <w:szCs w:val="20"/>
          <w:rtl/>
        </w:rPr>
        <w:t>(</w:t>
      </w:r>
      <w:r w:rsidRPr="00003ADC">
        <w:rPr>
          <w:rFonts w:hint="eastAsia"/>
          <w:szCs w:val="20"/>
          <w:rtl/>
        </w:rPr>
        <w:t>יוני</w:t>
      </w:r>
      <w:r w:rsidRPr="00003ADC">
        <w:rPr>
          <w:szCs w:val="20"/>
          <w:rtl/>
        </w:rPr>
        <w:t xml:space="preserve"> 2008</w:t>
      </w:r>
      <w:r>
        <w:rPr>
          <w:rFonts w:hint="cs"/>
          <w:szCs w:val="20"/>
          <w:rtl/>
        </w:rPr>
        <w:t>)</w:t>
      </w:r>
      <w:r w:rsidRPr="00A21F5C">
        <w:rPr>
          <w:rFonts w:hint="cs"/>
          <w:szCs w:val="20"/>
          <w:rtl/>
        </w:rPr>
        <w:t xml:space="preserve"> ואתר כנסת ישראל.</w:t>
      </w:r>
    </w:p>
    <w:p w:rsidR="002D0C59" w:rsidRPr="00A21F5C" w:rsidP="00AE0BE6" w14:paraId="2A505050" w14:textId="77777777">
      <w:pPr>
        <w:pStyle w:val="a"/>
        <w:spacing w:line="269" w:lineRule="auto"/>
        <w:rPr>
          <w:rtl/>
        </w:rPr>
      </w:pPr>
    </w:p>
    <w:p w:rsidR="002D0C59" w:rsidP="00AE0BE6" w14:paraId="6625CFAC" w14:textId="77777777">
      <w:pPr>
        <w:pStyle w:val="ListParagraph"/>
        <w:numPr>
          <w:ilvl w:val="0"/>
          <w:numId w:val="8"/>
        </w:numPr>
        <w:spacing w:after="0" w:line="269" w:lineRule="auto"/>
        <w:jc w:val="both"/>
        <w:rPr>
          <w:rFonts w:cs="David"/>
          <w:sz w:val="24"/>
          <w:szCs w:val="24"/>
        </w:rPr>
      </w:pPr>
      <w:r w:rsidRPr="004A0234">
        <w:rPr>
          <w:rFonts w:cs="David" w:hint="cs"/>
          <w:sz w:val="24"/>
          <w:szCs w:val="24"/>
          <w:rtl/>
        </w:rPr>
        <w:t xml:space="preserve">במסגרת טיפולה של מדינת ישראל בנתינים זרים המגיעים לישראל, </w:t>
      </w:r>
      <w:r>
        <w:rPr>
          <w:rFonts w:cs="David" w:hint="cs"/>
          <w:sz w:val="24"/>
          <w:szCs w:val="24"/>
          <w:rtl/>
        </w:rPr>
        <w:t xml:space="preserve">תחילה </w:t>
      </w:r>
      <w:r w:rsidRPr="004A0234">
        <w:rPr>
          <w:rFonts w:cs="David" w:hint="cs"/>
          <w:sz w:val="24"/>
          <w:szCs w:val="24"/>
          <w:rtl/>
        </w:rPr>
        <w:t xml:space="preserve">יש לזהותם. </w:t>
      </w:r>
      <w:r w:rsidRPr="004A0234">
        <w:rPr>
          <w:rFonts w:cs="David"/>
          <w:sz w:val="24"/>
          <w:szCs w:val="24"/>
          <w:rtl/>
        </w:rPr>
        <w:t>מידע ביומטרי</w:t>
      </w:r>
      <w:r w:rsidRPr="004A0234">
        <w:rPr>
          <w:rFonts w:cs="David" w:hint="cs"/>
          <w:sz w:val="24"/>
          <w:szCs w:val="24"/>
          <w:rtl/>
        </w:rPr>
        <w:t xml:space="preserve"> על נתין זר עשוי לשפר באופן ניכר את היכולת לזהותו במהירות</w:t>
      </w:r>
      <w:r w:rsidRPr="004A0234">
        <w:rPr>
          <w:rFonts w:cs="David"/>
          <w:sz w:val="24"/>
          <w:szCs w:val="24"/>
          <w:rtl/>
        </w:rPr>
        <w:t xml:space="preserve">, </w:t>
      </w:r>
      <w:r w:rsidRPr="004A0234">
        <w:rPr>
          <w:rFonts w:cs="David" w:hint="cs"/>
          <w:sz w:val="24"/>
          <w:szCs w:val="24"/>
          <w:rtl/>
        </w:rPr>
        <w:t xml:space="preserve">שכן היכולת לזייף </w:t>
      </w:r>
      <w:r>
        <w:rPr>
          <w:rFonts w:cs="David" w:hint="cs"/>
          <w:sz w:val="24"/>
          <w:szCs w:val="24"/>
          <w:rtl/>
        </w:rPr>
        <w:t>אמצעי זיהוי</w:t>
      </w:r>
      <w:r w:rsidRPr="004A0234">
        <w:rPr>
          <w:rFonts w:cs="David" w:hint="cs"/>
          <w:sz w:val="24"/>
          <w:szCs w:val="24"/>
          <w:rtl/>
        </w:rPr>
        <w:t xml:space="preserve"> ביומטרי מצומצמת בהשוואה ל</w:t>
      </w:r>
      <w:r>
        <w:rPr>
          <w:rFonts w:cs="David" w:hint="cs"/>
          <w:sz w:val="24"/>
          <w:szCs w:val="24"/>
          <w:rtl/>
        </w:rPr>
        <w:t>אמצעי זיהוי</w:t>
      </w:r>
      <w:r w:rsidRPr="004A0234">
        <w:rPr>
          <w:rFonts w:cs="David" w:hint="cs"/>
          <w:sz w:val="24"/>
          <w:szCs w:val="24"/>
          <w:rtl/>
        </w:rPr>
        <w:t xml:space="preserve"> שאינו ביומטרי. בשל הצורך לזהות נתינים זרים, </w:t>
      </w:r>
      <w:r w:rsidRPr="004A0234">
        <w:rPr>
          <w:rFonts w:cs="David" w:hint="cs"/>
          <w:sz w:val="24"/>
          <w:szCs w:val="24"/>
          <w:rtl/>
        </w:rPr>
        <w:t>יש מדינות הנוטלות</w:t>
      </w:r>
      <w:r w:rsidRPr="004A0234">
        <w:rPr>
          <w:rFonts w:cs="David"/>
          <w:sz w:val="24"/>
          <w:szCs w:val="24"/>
          <w:rtl/>
        </w:rPr>
        <w:t xml:space="preserve"> </w:t>
      </w:r>
      <w:r w:rsidRPr="004A0234">
        <w:rPr>
          <w:rFonts w:cs="David" w:hint="cs"/>
          <w:sz w:val="24"/>
          <w:szCs w:val="24"/>
          <w:rtl/>
        </w:rPr>
        <w:t>אמצעי זיהוי</w:t>
      </w:r>
      <w:r w:rsidRPr="004A0234">
        <w:rPr>
          <w:rFonts w:cs="David"/>
          <w:sz w:val="24"/>
          <w:szCs w:val="24"/>
          <w:rtl/>
        </w:rPr>
        <w:t xml:space="preserve"> ביומטר</w:t>
      </w:r>
      <w:r w:rsidRPr="004A0234">
        <w:rPr>
          <w:rFonts w:cs="David" w:hint="cs"/>
          <w:sz w:val="24"/>
          <w:szCs w:val="24"/>
          <w:rtl/>
        </w:rPr>
        <w:t>י</w:t>
      </w:r>
      <w:r w:rsidRPr="004A0234">
        <w:rPr>
          <w:rFonts w:cs="David"/>
          <w:sz w:val="24"/>
          <w:szCs w:val="24"/>
          <w:rtl/>
        </w:rPr>
        <w:t>י</w:t>
      </w:r>
      <w:r w:rsidRPr="004A0234">
        <w:rPr>
          <w:rFonts w:cs="David" w:hint="cs"/>
          <w:sz w:val="24"/>
          <w:szCs w:val="24"/>
          <w:rtl/>
        </w:rPr>
        <w:t>ם</w:t>
      </w:r>
      <w:r w:rsidRPr="004A0234">
        <w:rPr>
          <w:rFonts w:cs="David"/>
          <w:sz w:val="24"/>
          <w:szCs w:val="24"/>
          <w:rtl/>
        </w:rPr>
        <w:t xml:space="preserve"> מזרים ה</w:t>
      </w:r>
      <w:r w:rsidRPr="004A0234">
        <w:rPr>
          <w:rFonts w:cs="David" w:hint="cs"/>
          <w:sz w:val="24"/>
          <w:szCs w:val="24"/>
          <w:rtl/>
        </w:rPr>
        <w:t>מבקשים להיכנס</w:t>
      </w:r>
      <w:r w:rsidRPr="004A0234">
        <w:rPr>
          <w:rFonts w:cs="David"/>
          <w:sz w:val="24"/>
          <w:szCs w:val="24"/>
          <w:rtl/>
        </w:rPr>
        <w:t xml:space="preserve"> לתחומן.</w:t>
      </w:r>
    </w:p>
    <w:p w:rsidR="002D0C59" w:rsidRPr="00A21F5C" w:rsidP="00AE0BE6" w14:paraId="539CE5AE" w14:textId="77777777">
      <w:pPr>
        <w:pStyle w:val="a"/>
        <w:spacing w:line="269" w:lineRule="auto"/>
        <w:rPr>
          <w:rtl/>
        </w:rPr>
      </w:pPr>
    </w:p>
    <w:p w:rsidR="002D0C59" w:rsidP="00AE0BE6" w14:paraId="45242924" w14:textId="77777777">
      <w:pPr>
        <w:spacing w:line="269" w:lineRule="auto"/>
        <w:ind w:left="312"/>
        <w:rPr>
          <w:sz w:val="24"/>
          <w:rtl/>
        </w:rPr>
      </w:pPr>
      <w:r w:rsidRPr="004A0234">
        <w:rPr>
          <w:rFonts w:hint="cs"/>
          <w:sz w:val="24"/>
          <w:rtl/>
        </w:rPr>
        <w:t xml:space="preserve">בשנת 2004 החל משרד הפנים ליטול טביעות אצבע ותמונות של עובדים זרים שבאו לעבוד בישראל ולשומרן במאגר מידע </w:t>
      </w:r>
      <w:r>
        <w:rPr>
          <w:rFonts w:hint="cs"/>
          <w:sz w:val="24"/>
          <w:rtl/>
        </w:rPr>
        <w:t>המיועד לכך</w:t>
      </w:r>
      <w:r w:rsidRPr="004A0234">
        <w:rPr>
          <w:rFonts w:hint="cs"/>
          <w:sz w:val="24"/>
          <w:rtl/>
        </w:rPr>
        <w:t xml:space="preserve"> (להלן - מאגר מעו"ז)</w:t>
      </w:r>
      <w:r>
        <w:rPr>
          <w:rFonts w:hint="cs"/>
          <w:sz w:val="24"/>
          <w:rtl/>
        </w:rPr>
        <w:t>.</w:t>
      </w:r>
      <w:r w:rsidRPr="004A0234">
        <w:rPr>
          <w:rFonts w:hint="cs"/>
          <w:sz w:val="24"/>
          <w:rtl/>
        </w:rPr>
        <w:t xml:space="preserve"> </w:t>
      </w:r>
      <w:r>
        <w:rPr>
          <w:rFonts w:hint="cs"/>
          <w:sz w:val="24"/>
          <w:rtl/>
        </w:rPr>
        <w:t xml:space="preserve">כמו כן </w:t>
      </w:r>
      <w:r w:rsidRPr="004A0234">
        <w:rPr>
          <w:rFonts w:hint="cs"/>
          <w:sz w:val="24"/>
          <w:rtl/>
        </w:rPr>
        <w:t xml:space="preserve">הופעלה </w:t>
      </w:r>
      <w:r w:rsidRPr="004A0234">
        <w:rPr>
          <w:b/>
          <w:sz w:val="24"/>
          <w:rtl/>
        </w:rPr>
        <w:t xml:space="preserve">מערכת לרישום ולזיהוי ביומטרי של </w:t>
      </w:r>
      <w:r w:rsidRPr="004A0234">
        <w:rPr>
          <w:rFonts w:hint="cs"/>
          <w:b/>
          <w:sz w:val="24"/>
          <w:rtl/>
        </w:rPr>
        <w:t>עובדים</w:t>
      </w:r>
      <w:r w:rsidRPr="004A0234">
        <w:rPr>
          <w:b/>
          <w:sz w:val="24"/>
          <w:rtl/>
        </w:rPr>
        <w:t xml:space="preserve"> זרים בישראל </w:t>
      </w:r>
      <w:r w:rsidRPr="004A0234">
        <w:rPr>
          <w:rFonts w:hint="cs"/>
          <w:b/>
          <w:sz w:val="24"/>
          <w:rtl/>
        </w:rPr>
        <w:t>(מערכת מעו"ז)</w:t>
      </w:r>
      <w:r>
        <w:rPr>
          <w:rStyle w:val="FootnoteReference1"/>
          <w:b/>
          <w:sz w:val="24"/>
          <w:rtl/>
        </w:rPr>
        <w:footnoteReference w:id="29"/>
      </w:r>
      <w:r w:rsidRPr="004A0234">
        <w:rPr>
          <w:rFonts w:hint="cs"/>
          <w:b/>
          <w:sz w:val="24"/>
          <w:rtl/>
        </w:rPr>
        <w:t xml:space="preserve">. </w:t>
      </w:r>
      <w:r w:rsidRPr="004A0234">
        <w:rPr>
          <w:b/>
          <w:sz w:val="24"/>
          <w:rtl/>
        </w:rPr>
        <w:t xml:space="preserve">מטרת המערכת לאמת </w:t>
      </w:r>
      <w:r>
        <w:rPr>
          <w:rFonts w:hint="cs"/>
          <w:b/>
          <w:sz w:val="24"/>
          <w:rtl/>
        </w:rPr>
        <w:t xml:space="preserve">את </w:t>
      </w:r>
      <w:r w:rsidRPr="004A0234">
        <w:rPr>
          <w:b/>
          <w:sz w:val="24"/>
          <w:rtl/>
        </w:rPr>
        <w:t>זהותו של אדם באמצע</w:t>
      </w:r>
      <w:r w:rsidRPr="004A0234">
        <w:rPr>
          <w:rFonts w:hint="cs"/>
          <w:b/>
          <w:sz w:val="24"/>
          <w:rtl/>
        </w:rPr>
        <w:t xml:space="preserve">ים ביומטריים - </w:t>
      </w:r>
      <w:r w:rsidRPr="004A0234">
        <w:rPr>
          <w:b/>
          <w:sz w:val="24"/>
          <w:rtl/>
        </w:rPr>
        <w:t>תמונת תווי הפנים ו</w:t>
      </w:r>
      <w:r>
        <w:rPr>
          <w:rFonts w:hint="cs"/>
          <w:b/>
          <w:sz w:val="24"/>
          <w:rtl/>
        </w:rPr>
        <w:t>טביעות אצבע</w:t>
      </w:r>
      <w:r w:rsidRPr="004A0234">
        <w:rPr>
          <w:b/>
          <w:sz w:val="24"/>
          <w:rtl/>
        </w:rPr>
        <w:t xml:space="preserve"> </w:t>
      </w:r>
      <w:r>
        <w:rPr>
          <w:rFonts w:hint="cs"/>
          <w:b/>
          <w:sz w:val="24"/>
          <w:rtl/>
        </w:rPr>
        <w:t xml:space="preserve">של </w:t>
      </w:r>
      <w:r w:rsidRPr="004A0234">
        <w:rPr>
          <w:b/>
          <w:sz w:val="24"/>
          <w:rtl/>
        </w:rPr>
        <w:t>שתי אצבעותיו המורות.</w:t>
      </w:r>
      <w:r w:rsidRPr="004A0234">
        <w:rPr>
          <w:rFonts w:hint="cs"/>
          <w:b/>
          <w:sz w:val="24"/>
          <w:rtl/>
        </w:rPr>
        <w:t xml:space="preserve"> ככלל, הנתונים ניטלים מהעובדים בהסכמתם כתנאי לכניסתם לישראל. </w:t>
      </w:r>
      <w:r w:rsidRPr="004A0234">
        <w:rPr>
          <w:rFonts w:hint="cs"/>
          <w:sz w:val="24"/>
          <w:rtl/>
        </w:rPr>
        <w:t>משרד החוץ</w:t>
      </w:r>
      <w:r>
        <w:rPr>
          <w:rFonts w:hint="cs"/>
          <w:sz w:val="24"/>
          <w:rtl/>
        </w:rPr>
        <w:t>,</w:t>
      </w:r>
      <w:r w:rsidRPr="004A0234">
        <w:rPr>
          <w:rFonts w:hint="cs"/>
          <w:sz w:val="24"/>
          <w:rtl/>
        </w:rPr>
        <w:t xml:space="preserve"> באמצעות הקונסוליות של ישראל בחו"ל</w:t>
      </w:r>
      <w:r>
        <w:rPr>
          <w:rFonts w:hint="cs"/>
          <w:sz w:val="24"/>
          <w:rtl/>
        </w:rPr>
        <w:t>,</w:t>
      </w:r>
      <w:r w:rsidRPr="004A0234">
        <w:rPr>
          <w:rFonts w:hint="cs"/>
          <w:sz w:val="24"/>
          <w:rtl/>
        </w:rPr>
        <w:t xml:space="preserve"> מחתים את</w:t>
      </w:r>
      <w:r w:rsidRPr="004A0234">
        <w:rPr>
          <w:rFonts w:hint="cs"/>
          <w:sz w:val="24"/>
          <w:rtl/>
        </w:rPr>
        <w:t xml:space="preserve"> העובדים הזרים על טופס שבו הם מביעים את הסכמתם </w:t>
      </w:r>
      <w:r w:rsidRPr="00F65672">
        <w:rPr>
          <w:rFonts w:hint="eastAsia"/>
          <w:sz w:val="24"/>
          <w:rtl/>
        </w:rPr>
        <w:t>למסור</w:t>
      </w:r>
      <w:r w:rsidRPr="004A0234">
        <w:rPr>
          <w:rFonts w:hint="cs"/>
          <w:sz w:val="24"/>
          <w:rtl/>
        </w:rPr>
        <w:t xml:space="preserve"> טביעות אצבע ותמונת פנים עם הגיעם לארץ. </w:t>
      </w:r>
    </w:p>
    <w:p w:rsidR="002D0C59" w:rsidRPr="008768E9" w:rsidP="00AE0BE6" w14:paraId="36C7F5E6" w14:textId="77777777">
      <w:pPr>
        <w:pStyle w:val="a"/>
        <w:spacing w:line="269" w:lineRule="auto"/>
        <w:rPr>
          <w:rtl/>
        </w:rPr>
      </w:pPr>
    </w:p>
    <w:p w:rsidR="002D0C59" w:rsidP="00AE0BE6" w14:paraId="303157DD" w14:textId="77777777">
      <w:pPr>
        <w:spacing w:line="269" w:lineRule="auto"/>
        <w:ind w:left="312"/>
        <w:rPr>
          <w:sz w:val="24"/>
          <w:rtl/>
        </w:rPr>
      </w:pPr>
      <w:r w:rsidRPr="005270B2">
        <w:rPr>
          <w:rFonts w:hint="eastAsia"/>
          <w:sz w:val="24"/>
          <w:rtl/>
        </w:rPr>
        <w:t>על</w:t>
      </w:r>
      <w:r w:rsidRPr="005270B2">
        <w:rPr>
          <w:sz w:val="24"/>
          <w:rtl/>
        </w:rPr>
        <w:t xml:space="preserve"> פי נתוני </w:t>
      </w:r>
      <w:r>
        <w:rPr>
          <w:rFonts w:hint="cs"/>
          <w:sz w:val="24"/>
          <w:rtl/>
        </w:rPr>
        <w:t>רשות האוכלוסין היו רשומים במאגר מעו"ז בשנת 2015 כ-370,000 זרים; בשנת 2016 כ-419,000 זרים; בשנת 2017 467,000 זרים; ובשנים 2018 - 2019 כחצי מיליון זרים.</w:t>
      </w:r>
      <w:r>
        <w:rPr>
          <w:rFonts w:hint="cs"/>
          <w:sz w:val="24"/>
          <w:rtl/>
        </w:rPr>
        <w:t xml:space="preserve"> </w:t>
      </w:r>
    </w:p>
    <w:p w:rsidR="002D0C59" w:rsidRPr="00A21F5C" w:rsidP="00AE0BE6" w14:paraId="700494EB" w14:textId="77777777">
      <w:pPr>
        <w:pStyle w:val="a"/>
        <w:spacing w:line="269" w:lineRule="auto"/>
        <w:rPr>
          <w:rtl/>
        </w:rPr>
      </w:pPr>
    </w:p>
    <w:p w:rsidR="002D0C59" w:rsidRPr="004A0234" w:rsidP="00AE0BE6" w14:paraId="7AD20131" w14:textId="77777777">
      <w:pPr>
        <w:pStyle w:val="ListParagraph"/>
        <w:spacing w:after="0" w:line="269" w:lineRule="auto"/>
        <w:ind w:left="340"/>
        <w:jc w:val="both"/>
        <w:rPr>
          <w:rFonts w:cs="David"/>
          <w:sz w:val="24"/>
          <w:szCs w:val="24"/>
          <w:rtl/>
        </w:rPr>
      </w:pPr>
      <w:r>
        <w:rPr>
          <w:rFonts w:cs="David" w:hint="cs"/>
          <w:sz w:val="24"/>
          <w:szCs w:val="24"/>
          <w:rtl/>
        </w:rPr>
        <w:t xml:space="preserve">בעקבות מכתבים ששלח </w:t>
      </w:r>
      <w:r w:rsidRPr="004A0234">
        <w:rPr>
          <w:rFonts w:cs="David" w:hint="cs"/>
          <w:sz w:val="24"/>
          <w:szCs w:val="24"/>
          <w:rtl/>
        </w:rPr>
        <w:t>משרד הפנים</w:t>
      </w:r>
      <w:r>
        <w:rPr>
          <w:rFonts w:cs="David" w:hint="cs"/>
          <w:sz w:val="24"/>
          <w:szCs w:val="24"/>
          <w:rtl/>
        </w:rPr>
        <w:t xml:space="preserve"> למשרד המשפטים בנוגע לנטילת טביעות אצבע מעובדים זרים,</w:t>
      </w:r>
      <w:r w:rsidRPr="004A0234">
        <w:rPr>
          <w:rFonts w:cs="David" w:hint="cs"/>
          <w:sz w:val="24"/>
          <w:szCs w:val="24"/>
          <w:rtl/>
        </w:rPr>
        <w:t xml:space="preserve"> </w:t>
      </w:r>
      <w:r>
        <w:rPr>
          <w:rFonts w:cs="David" w:hint="cs"/>
          <w:sz w:val="24"/>
          <w:szCs w:val="24"/>
          <w:rtl/>
        </w:rPr>
        <w:t xml:space="preserve">בפברואר 2003 גיבש </w:t>
      </w:r>
      <w:r w:rsidRPr="004A0234">
        <w:rPr>
          <w:rFonts w:cs="David" w:hint="cs"/>
          <w:sz w:val="24"/>
          <w:szCs w:val="24"/>
          <w:rtl/>
        </w:rPr>
        <w:t>המשנה ליועץ המשפטי לממשלה</w:t>
      </w:r>
      <w:r>
        <w:rPr>
          <w:rFonts w:cs="David" w:hint="cs"/>
          <w:sz w:val="24"/>
          <w:szCs w:val="24"/>
          <w:rtl/>
        </w:rPr>
        <w:t xml:space="preserve"> (להלן - יועמ"ש)</w:t>
      </w:r>
      <w:r w:rsidRPr="004A0234">
        <w:rPr>
          <w:rFonts w:cs="David" w:hint="cs"/>
          <w:sz w:val="24"/>
          <w:szCs w:val="24"/>
          <w:rtl/>
        </w:rPr>
        <w:t xml:space="preserve"> (ייעוץ) דאז חוות דעת, ולפיה </w:t>
      </w:r>
      <w:r>
        <w:rPr>
          <w:rFonts w:cs="David" w:hint="cs"/>
          <w:sz w:val="24"/>
          <w:szCs w:val="24"/>
          <w:rtl/>
        </w:rPr>
        <w:t>אפשר להסתמך על סעיף 6 לחוק הכניסה לישראל</w:t>
      </w:r>
      <w:r>
        <w:rPr>
          <w:rStyle w:val="FootnoteReference1"/>
          <w:rFonts w:cs="David"/>
          <w:sz w:val="24"/>
          <w:szCs w:val="24"/>
          <w:rtl/>
        </w:rPr>
        <w:footnoteReference w:id="30"/>
      </w:r>
      <w:r>
        <w:rPr>
          <w:rFonts w:cs="David" w:hint="cs"/>
          <w:sz w:val="24"/>
          <w:szCs w:val="24"/>
          <w:rtl/>
        </w:rPr>
        <w:t xml:space="preserve"> כבסיס חוקי לנטילת טביעות אצבע מעובדים זרים. כמו כן נטילת טביעות האצבע </w:t>
      </w:r>
      <w:r w:rsidRPr="004A0234">
        <w:rPr>
          <w:rFonts w:cs="David" w:hint="cs"/>
          <w:sz w:val="24"/>
          <w:szCs w:val="24"/>
          <w:rtl/>
        </w:rPr>
        <w:t xml:space="preserve">ושמירתן במאגר לצורכי זיהוי בנסיבות העסקת </w:t>
      </w:r>
      <w:r>
        <w:rPr>
          <w:rFonts w:cs="David" w:hint="cs"/>
          <w:sz w:val="24"/>
          <w:szCs w:val="24"/>
          <w:rtl/>
        </w:rPr>
        <w:t>עובדים זרים</w:t>
      </w:r>
      <w:r w:rsidRPr="004A0234">
        <w:rPr>
          <w:rFonts w:cs="David" w:hint="cs"/>
          <w:sz w:val="24"/>
          <w:szCs w:val="24"/>
          <w:rtl/>
        </w:rPr>
        <w:t xml:space="preserve"> בארץ אינה מהווה פגיעה בפרטיות.</w:t>
      </w:r>
      <w:r w:rsidRPr="004A0234">
        <w:rPr>
          <w:rFonts w:cs="David"/>
          <w:sz w:val="24"/>
          <w:szCs w:val="24"/>
        </w:rPr>
        <w:t xml:space="preserve"> </w:t>
      </w:r>
      <w:r w:rsidRPr="004A0234">
        <w:rPr>
          <w:rFonts w:cs="David" w:hint="cs"/>
          <w:sz w:val="24"/>
          <w:szCs w:val="24"/>
          <w:rtl/>
        </w:rPr>
        <w:t>עם זאת קבע המשנה ל</w:t>
      </w:r>
      <w:r>
        <w:rPr>
          <w:rFonts w:cs="David" w:hint="cs"/>
          <w:sz w:val="24"/>
          <w:szCs w:val="24"/>
          <w:rtl/>
        </w:rPr>
        <w:t>יועמ</w:t>
      </w:r>
      <w:r>
        <w:rPr>
          <w:rFonts w:cs="David"/>
          <w:sz w:val="24"/>
          <w:szCs w:val="24"/>
          <w:rtl/>
        </w:rPr>
        <w:t>"</w:t>
      </w:r>
      <w:r>
        <w:rPr>
          <w:rFonts w:cs="David" w:hint="cs"/>
          <w:sz w:val="24"/>
          <w:szCs w:val="24"/>
          <w:rtl/>
        </w:rPr>
        <w:t>ש</w:t>
      </w:r>
      <w:r w:rsidRPr="004A0234">
        <w:rPr>
          <w:rFonts w:cs="David" w:hint="cs"/>
          <w:sz w:val="24"/>
          <w:szCs w:val="24"/>
          <w:rtl/>
        </w:rPr>
        <w:t xml:space="preserve"> כי בשל הרגישות הציבורית לסוגיה של</w:t>
      </w:r>
      <w:r>
        <w:rPr>
          <w:rFonts w:cs="David" w:hint="cs"/>
          <w:sz w:val="24"/>
          <w:szCs w:val="24"/>
          <w:rtl/>
        </w:rPr>
        <w:t xml:space="preserve"> </w:t>
      </w:r>
      <w:r w:rsidRPr="004A0234">
        <w:rPr>
          <w:rFonts w:cs="David" w:hint="cs"/>
          <w:sz w:val="24"/>
          <w:szCs w:val="24"/>
          <w:rtl/>
        </w:rPr>
        <w:t>נטילת טביעות אצבעות נכון יהיה להסדיר סוגיה</w:t>
      </w:r>
      <w:r w:rsidRPr="004A0234">
        <w:rPr>
          <w:rFonts w:cs="David" w:hint="cs"/>
          <w:sz w:val="24"/>
          <w:szCs w:val="24"/>
          <w:rtl/>
        </w:rPr>
        <w:t xml:space="preserve"> זו במפורש בחוק הכניסה לישראל.</w:t>
      </w:r>
      <w:r w:rsidR="00EC0F52">
        <w:rPr>
          <w:rFonts w:cs="David" w:hint="cs"/>
          <w:sz w:val="24"/>
          <w:szCs w:val="24"/>
          <w:rtl/>
        </w:rPr>
        <w:t xml:space="preserve"> </w:t>
      </w:r>
    </w:p>
    <w:p w:rsidR="002D0C59" w:rsidRPr="00A21F5C" w:rsidP="00AE0BE6" w14:paraId="2BC25FE9" w14:textId="77777777">
      <w:pPr>
        <w:pStyle w:val="a"/>
        <w:spacing w:line="269" w:lineRule="auto"/>
        <w:rPr>
          <w:rtl/>
        </w:rPr>
      </w:pPr>
    </w:p>
    <w:p w:rsidR="002D0C59" w:rsidRPr="004A0234" w:rsidP="00AE0BE6" w14:paraId="5AE63054" w14:textId="77777777">
      <w:pPr>
        <w:pStyle w:val="ListParagraph"/>
        <w:numPr>
          <w:ilvl w:val="0"/>
          <w:numId w:val="8"/>
        </w:numPr>
        <w:spacing w:after="0" w:line="269" w:lineRule="auto"/>
        <w:jc w:val="both"/>
        <w:rPr>
          <w:rFonts w:cs="David"/>
          <w:sz w:val="24"/>
          <w:szCs w:val="24"/>
          <w:rtl/>
        </w:rPr>
      </w:pPr>
      <w:r w:rsidRPr="004A0234">
        <w:rPr>
          <w:rFonts w:cs="David" w:hint="cs"/>
          <w:sz w:val="24"/>
          <w:szCs w:val="24"/>
          <w:rtl/>
        </w:rPr>
        <w:t>מ</w:t>
      </w:r>
      <w:r>
        <w:rPr>
          <w:rFonts w:cs="David" w:hint="cs"/>
          <w:sz w:val="24"/>
          <w:szCs w:val="24"/>
          <w:rtl/>
        </w:rPr>
        <w:t>המסמכים</w:t>
      </w:r>
      <w:r w:rsidRPr="004A0234">
        <w:rPr>
          <w:rFonts w:cs="David" w:hint="cs"/>
          <w:sz w:val="24"/>
          <w:szCs w:val="24"/>
          <w:rtl/>
        </w:rPr>
        <w:t xml:space="preserve"> עולה כי משרד הפנים ולאחריו רשות האוכלוסין</w:t>
      </w:r>
      <w:r>
        <w:rPr>
          <w:rStyle w:val="FootnoteReference1"/>
          <w:rFonts w:cs="David"/>
          <w:sz w:val="24"/>
          <w:szCs w:val="24"/>
          <w:rtl/>
        </w:rPr>
        <w:footnoteReference w:id="31"/>
      </w:r>
      <w:r w:rsidRPr="004A0234">
        <w:rPr>
          <w:rFonts w:cs="David" w:hint="cs"/>
          <w:sz w:val="24"/>
          <w:szCs w:val="24"/>
          <w:rtl/>
        </w:rPr>
        <w:t>, המופקדים על יישום חוק הכניסה לישראל, הובילו את גיבוש</w:t>
      </w:r>
      <w:r>
        <w:rPr>
          <w:rFonts w:cs="David" w:hint="cs"/>
          <w:sz w:val="24"/>
          <w:szCs w:val="24"/>
          <w:rtl/>
        </w:rPr>
        <w:t>ו</w:t>
      </w:r>
      <w:r w:rsidRPr="004A0234">
        <w:rPr>
          <w:rFonts w:cs="David" w:hint="cs"/>
          <w:sz w:val="24"/>
          <w:szCs w:val="24"/>
          <w:rtl/>
        </w:rPr>
        <w:t xml:space="preserve"> </w:t>
      </w:r>
      <w:r>
        <w:rPr>
          <w:rFonts w:cs="David" w:hint="cs"/>
          <w:sz w:val="24"/>
          <w:szCs w:val="24"/>
          <w:rtl/>
        </w:rPr>
        <w:t xml:space="preserve">של </w:t>
      </w:r>
      <w:r w:rsidRPr="004A0234">
        <w:rPr>
          <w:rFonts w:cs="David" w:hint="cs"/>
          <w:sz w:val="24"/>
          <w:szCs w:val="24"/>
          <w:rtl/>
        </w:rPr>
        <w:t xml:space="preserve">תזכיר הצעת חוק לתיקון חוק הכניסה לישראל במטרה לאפשר זיהוי של נתינים זרים שאינם תושבי ישראל </w:t>
      </w:r>
      <w:r>
        <w:rPr>
          <w:rFonts w:cs="David" w:hint="cs"/>
          <w:sz w:val="24"/>
          <w:szCs w:val="24"/>
          <w:rtl/>
        </w:rPr>
        <w:t xml:space="preserve">על ידי </w:t>
      </w:r>
      <w:r w:rsidRPr="004A0234">
        <w:rPr>
          <w:rFonts w:cs="David" w:hint="cs"/>
          <w:sz w:val="24"/>
          <w:szCs w:val="24"/>
          <w:rtl/>
        </w:rPr>
        <w:t>אמצעים ביומטריי</w:t>
      </w:r>
      <w:r w:rsidRPr="004A0234">
        <w:rPr>
          <w:rFonts w:cs="David" w:hint="cs"/>
          <w:sz w:val="24"/>
          <w:szCs w:val="24"/>
          <w:rtl/>
        </w:rPr>
        <w:t>ם ונתונים ביומטריים שיינטלו מהם כתנאי למתן אשרות ורישיונות ישיבה בישראל (להלן - הצעת חוק ביומטרי לזרים). קידום הצעת החוק נעשה בסיוע מחלקת ייעוץ וחקיקה במשרד המשפטים, משטרת ישראל והיחידה להזדהות וליישומים ביומטריים שבמערך הסייבר הלאומי</w:t>
      </w:r>
      <w:r>
        <w:rPr>
          <w:rStyle w:val="FootnoteReference1"/>
          <w:rFonts w:cs="David"/>
          <w:sz w:val="24"/>
          <w:szCs w:val="24"/>
          <w:rtl/>
        </w:rPr>
        <w:footnoteReference w:id="32"/>
      </w:r>
      <w:r w:rsidRPr="004A0234">
        <w:rPr>
          <w:rFonts w:cs="David" w:hint="cs"/>
          <w:sz w:val="24"/>
          <w:szCs w:val="24"/>
          <w:rtl/>
        </w:rPr>
        <w:t>. במרוצת</w:t>
      </w:r>
      <w:r w:rsidRPr="004A0234">
        <w:rPr>
          <w:rFonts w:cs="David"/>
          <w:sz w:val="24"/>
          <w:szCs w:val="24"/>
          <w:rtl/>
        </w:rPr>
        <w:t xml:space="preserve"> השנים</w:t>
      </w:r>
      <w:r w:rsidRPr="004A0234">
        <w:rPr>
          <w:rFonts w:cs="David" w:hint="cs"/>
          <w:sz w:val="24"/>
          <w:szCs w:val="24"/>
          <w:rtl/>
        </w:rPr>
        <w:t xml:space="preserve"> הופצו</w:t>
      </w:r>
      <w:r w:rsidRPr="004A0234">
        <w:rPr>
          <w:rFonts w:cs="David"/>
          <w:sz w:val="24"/>
          <w:szCs w:val="24"/>
          <w:rtl/>
        </w:rPr>
        <w:t xml:space="preserve"> </w:t>
      </w:r>
      <w:r w:rsidRPr="004A0234">
        <w:rPr>
          <w:rFonts w:cs="David"/>
          <w:sz w:val="24"/>
          <w:szCs w:val="24"/>
          <w:rtl/>
        </w:rPr>
        <w:t>כשישה תזכירי חוק</w:t>
      </w:r>
      <w:r w:rsidRPr="004A0234">
        <w:rPr>
          <w:rFonts w:cs="David" w:hint="cs"/>
          <w:sz w:val="24"/>
          <w:szCs w:val="24"/>
          <w:rtl/>
        </w:rPr>
        <w:t xml:space="preserve"> לצורך קבלת </w:t>
      </w:r>
      <w:r>
        <w:rPr>
          <w:rFonts w:cs="David" w:hint="cs"/>
          <w:sz w:val="24"/>
          <w:szCs w:val="24"/>
          <w:rtl/>
        </w:rPr>
        <w:t>תגובות</w:t>
      </w:r>
      <w:r w:rsidRPr="004A0234">
        <w:rPr>
          <w:rFonts w:cs="David" w:hint="cs"/>
          <w:sz w:val="24"/>
          <w:szCs w:val="24"/>
          <w:rtl/>
        </w:rPr>
        <w:t xml:space="preserve"> </w:t>
      </w:r>
      <w:r>
        <w:rPr>
          <w:rFonts w:cs="David" w:hint="cs"/>
          <w:sz w:val="24"/>
          <w:szCs w:val="24"/>
          <w:rtl/>
        </w:rPr>
        <w:t xml:space="preserve">של </w:t>
      </w:r>
      <w:r w:rsidRPr="004A0234">
        <w:rPr>
          <w:rFonts w:cs="David" w:hint="cs"/>
          <w:sz w:val="24"/>
          <w:szCs w:val="24"/>
          <w:rtl/>
        </w:rPr>
        <w:t>השותפים להליך החקיקה ונערכו דיונים בנושא.</w:t>
      </w:r>
    </w:p>
    <w:p w:rsidR="002D0C59" w:rsidRPr="00A21F5C" w:rsidP="00AE0BE6" w14:paraId="449CB25E" w14:textId="77777777">
      <w:pPr>
        <w:pStyle w:val="a"/>
        <w:spacing w:line="269" w:lineRule="auto"/>
        <w:rPr>
          <w:rtl/>
        </w:rPr>
      </w:pPr>
    </w:p>
    <w:p w:rsidR="002D0C59" w:rsidRPr="004A0234" w:rsidP="00AE0BE6" w14:paraId="4A7399EA" w14:textId="77777777">
      <w:pPr>
        <w:spacing w:line="269" w:lineRule="auto"/>
        <w:ind w:left="312"/>
        <w:rPr>
          <w:sz w:val="24"/>
          <w:rtl/>
        </w:rPr>
      </w:pPr>
      <w:r w:rsidRPr="004A0234">
        <w:rPr>
          <w:rFonts w:hint="cs"/>
          <w:sz w:val="24"/>
          <w:rtl/>
        </w:rPr>
        <w:t xml:space="preserve">במהלך השנים השתנו הנושאים שנכללו בתזכירי החוק. </w:t>
      </w:r>
      <w:r w:rsidRPr="004A0234">
        <w:rPr>
          <w:sz w:val="24"/>
          <w:rtl/>
        </w:rPr>
        <w:t xml:space="preserve">בשנת 2004 </w:t>
      </w:r>
      <w:r w:rsidRPr="004A0234">
        <w:rPr>
          <w:rFonts w:hint="cs"/>
          <w:sz w:val="24"/>
          <w:rtl/>
        </w:rPr>
        <w:t xml:space="preserve">כלל </w:t>
      </w:r>
      <w:r w:rsidRPr="004A0234">
        <w:rPr>
          <w:sz w:val="24"/>
          <w:rtl/>
        </w:rPr>
        <w:t xml:space="preserve">משרד הפנים </w:t>
      </w:r>
      <w:r w:rsidRPr="004A0234">
        <w:rPr>
          <w:rFonts w:hint="cs"/>
          <w:sz w:val="24"/>
          <w:rtl/>
        </w:rPr>
        <w:t>ב</w:t>
      </w:r>
      <w:r w:rsidRPr="004A0234">
        <w:rPr>
          <w:sz w:val="24"/>
          <w:rtl/>
        </w:rPr>
        <w:t xml:space="preserve">תזכיר </w:t>
      </w:r>
      <w:r w:rsidRPr="004A0234">
        <w:rPr>
          <w:rFonts w:hint="cs"/>
          <w:sz w:val="24"/>
          <w:rtl/>
        </w:rPr>
        <w:t xml:space="preserve">את האפשרות ליטול מעובדים זרים טביעות אצבע </w:t>
      </w:r>
      <w:r>
        <w:rPr>
          <w:rFonts w:hint="cs"/>
          <w:sz w:val="24"/>
          <w:rtl/>
        </w:rPr>
        <w:t>ולהמשיך להשתמש</w:t>
      </w:r>
      <w:r w:rsidRPr="004A0234">
        <w:rPr>
          <w:rFonts w:hint="cs"/>
          <w:sz w:val="24"/>
          <w:rtl/>
        </w:rPr>
        <w:t xml:space="preserve"> </w:t>
      </w:r>
      <w:r>
        <w:rPr>
          <w:rFonts w:hint="cs"/>
          <w:sz w:val="24"/>
          <w:rtl/>
        </w:rPr>
        <w:t>ב</w:t>
      </w:r>
      <w:r w:rsidRPr="004A0234">
        <w:rPr>
          <w:rFonts w:hint="cs"/>
          <w:sz w:val="24"/>
          <w:rtl/>
        </w:rPr>
        <w:t>מאגר מעו"ז</w:t>
      </w:r>
      <w:r w:rsidRPr="004A0234">
        <w:rPr>
          <w:rFonts w:hint="cs"/>
          <w:sz w:val="24"/>
          <w:rtl/>
        </w:rPr>
        <w:t xml:space="preserve">; ב-2007 הוחלט כי תיקון החוק יחול על כלל הנתינים הזרים המבקשים אשרות ורישיונות ישיבה בישראל; בהמשך </w:t>
      </w:r>
      <w:r>
        <w:rPr>
          <w:rFonts w:hint="cs"/>
          <w:sz w:val="24"/>
          <w:rtl/>
        </w:rPr>
        <w:t>עסק</w:t>
      </w:r>
      <w:r w:rsidRPr="00DA7E4B">
        <w:rPr>
          <w:sz w:val="24"/>
          <w:rtl/>
        </w:rPr>
        <w:t xml:space="preserve"> </w:t>
      </w:r>
      <w:r w:rsidRPr="00DA7E4B">
        <w:rPr>
          <w:rFonts w:hint="eastAsia"/>
          <w:sz w:val="24"/>
          <w:rtl/>
        </w:rPr>
        <w:t>התזכיר</w:t>
      </w:r>
      <w:r w:rsidRPr="00DA7E4B">
        <w:rPr>
          <w:sz w:val="24"/>
          <w:rtl/>
        </w:rPr>
        <w:t xml:space="preserve"> </w:t>
      </w:r>
      <w:r w:rsidRPr="00DA7E4B">
        <w:rPr>
          <w:rFonts w:hint="eastAsia"/>
          <w:sz w:val="24"/>
          <w:rtl/>
        </w:rPr>
        <w:t>גם</w:t>
      </w:r>
      <w:r w:rsidRPr="00DA7E4B">
        <w:rPr>
          <w:sz w:val="24"/>
          <w:rtl/>
        </w:rPr>
        <w:t xml:space="preserve"> </w:t>
      </w:r>
      <w:r>
        <w:rPr>
          <w:rFonts w:hint="cs"/>
          <w:sz w:val="24"/>
          <w:rtl/>
        </w:rPr>
        <w:t>ב</w:t>
      </w:r>
      <w:r w:rsidRPr="00DA7E4B">
        <w:rPr>
          <w:rFonts w:hint="eastAsia"/>
          <w:sz w:val="24"/>
          <w:rtl/>
        </w:rPr>
        <w:t>סמכות</w:t>
      </w:r>
      <w:r w:rsidRPr="00DA7E4B">
        <w:rPr>
          <w:sz w:val="24"/>
          <w:rtl/>
        </w:rPr>
        <w:t xml:space="preserve"> </w:t>
      </w:r>
      <w:r w:rsidRPr="00DA7E4B">
        <w:rPr>
          <w:rFonts w:hint="eastAsia"/>
          <w:sz w:val="24"/>
          <w:rtl/>
        </w:rPr>
        <w:t>המשטרה</w:t>
      </w:r>
      <w:r w:rsidRPr="00DA7E4B">
        <w:rPr>
          <w:sz w:val="24"/>
          <w:rtl/>
        </w:rPr>
        <w:t xml:space="preserve"> </w:t>
      </w:r>
      <w:r w:rsidRPr="00DA7E4B">
        <w:rPr>
          <w:rFonts w:hint="eastAsia"/>
          <w:sz w:val="24"/>
          <w:rtl/>
        </w:rPr>
        <w:t>לקבל</w:t>
      </w:r>
      <w:r w:rsidRPr="00DA7E4B">
        <w:rPr>
          <w:sz w:val="24"/>
          <w:rtl/>
        </w:rPr>
        <w:t xml:space="preserve"> </w:t>
      </w:r>
      <w:r w:rsidRPr="00DA7E4B">
        <w:rPr>
          <w:rFonts w:hint="eastAsia"/>
          <w:sz w:val="24"/>
          <w:rtl/>
        </w:rPr>
        <w:t>נתונים</w:t>
      </w:r>
      <w:r w:rsidRPr="00DA7E4B">
        <w:rPr>
          <w:sz w:val="24"/>
          <w:rtl/>
        </w:rPr>
        <w:t xml:space="preserve"> </w:t>
      </w:r>
      <w:r w:rsidRPr="00DA7E4B">
        <w:rPr>
          <w:rFonts w:hint="eastAsia"/>
          <w:sz w:val="24"/>
          <w:rtl/>
        </w:rPr>
        <w:t>ממאגר</w:t>
      </w:r>
      <w:r w:rsidRPr="00DA7E4B">
        <w:rPr>
          <w:sz w:val="24"/>
          <w:rtl/>
        </w:rPr>
        <w:t xml:space="preserve"> </w:t>
      </w:r>
      <w:r>
        <w:rPr>
          <w:rFonts w:hint="cs"/>
          <w:sz w:val="24"/>
          <w:rtl/>
        </w:rPr>
        <w:t>מעו"ז</w:t>
      </w:r>
      <w:r w:rsidRPr="00DA7E4B">
        <w:rPr>
          <w:sz w:val="24"/>
          <w:rtl/>
        </w:rPr>
        <w:t>,</w:t>
      </w:r>
      <w:r>
        <w:rPr>
          <w:rFonts w:hint="cs"/>
          <w:sz w:val="24"/>
          <w:rtl/>
        </w:rPr>
        <w:t xml:space="preserve"> ב</w:t>
      </w:r>
      <w:r w:rsidRPr="00640545">
        <w:rPr>
          <w:rFonts w:hint="eastAsia"/>
          <w:sz w:val="24"/>
          <w:rtl/>
        </w:rPr>
        <w:t>דרכים</w:t>
      </w:r>
      <w:r w:rsidRPr="00DA7E4B">
        <w:rPr>
          <w:sz w:val="24"/>
          <w:rtl/>
        </w:rPr>
        <w:t xml:space="preserve"> </w:t>
      </w:r>
      <w:r w:rsidRPr="00DA7E4B">
        <w:rPr>
          <w:rFonts w:hint="eastAsia"/>
          <w:sz w:val="24"/>
          <w:rtl/>
        </w:rPr>
        <w:t>לאבטחת</w:t>
      </w:r>
      <w:r w:rsidRPr="00DA7E4B">
        <w:rPr>
          <w:sz w:val="24"/>
          <w:rtl/>
        </w:rPr>
        <w:t xml:space="preserve"> </w:t>
      </w:r>
      <w:r w:rsidRPr="00DA7E4B">
        <w:rPr>
          <w:rFonts w:hint="eastAsia"/>
          <w:sz w:val="24"/>
          <w:rtl/>
        </w:rPr>
        <w:t>המידע</w:t>
      </w:r>
      <w:r w:rsidRPr="00DA7E4B">
        <w:rPr>
          <w:sz w:val="24"/>
          <w:rtl/>
        </w:rPr>
        <w:t xml:space="preserve"> </w:t>
      </w:r>
      <w:r w:rsidRPr="00DA7E4B">
        <w:rPr>
          <w:rFonts w:hint="eastAsia"/>
          <w:sz w:val="24"/>
          <w:rtl/>
        </w:rPr>
        <w:t>שבמאגר</w:t>
      </w:r>
      <w:r w:rsidRPr="00DA7E4B">
        <w:rPr>
          <w:sz w:val="24"/>
          <w:rtl/>
        </w:rPr>
        <w:t xml:space="preserve"> </w:t>
      </w:r>
      <w:r w:rsidRPr="00DA7E4B">
        <w:rPr>
          <w:rFonts w:hint="eastAsia"/>
          <w:sz w:val="24"/>
          <w:rtl/>
        </w:rPr>
        <w:t>ו</w:t>
      </w:r>
      <w:r>
        <w:rPr>
          <w:rFonts w:hint="cs"/>
          <w:sz w:val="24"/>
          <w:rtl/>
        </w:rPr>
        <w:t>ב</w:t>
      </w:r>
      <w:r w:rsidRPr="00640545">
        <w:rPr>
          <w:rFonts w:hint="eastAsia"/>
          <w:sz w:val="24"/>
          <w:rtl/>
        </w:rPr>
        <w:t>סמכות</w:t>
      </w:r>
      <w:r w:rsidRPr="00DA7E4B">
        <w:rPr>
          <w:sz w:val="24"/>
          <w:rtl/>
        </w:rPr>
        <w:t xml:space="preserve"> </w:t>
      </w:r>
      <w:r w:rsidRPr="00DA7E4B">
        <w:rPr>
          <w:rFonts w:hint="eastAsia"/>
          <w:sz w:val="24"/>
          <w:rtl/>
        </w:rPr>
        <w:t>ליטול</w:t>
      </w:r>
      <w:r w:rsidRPr="00DA7E4B">
        <w:rPr>
          <w:sz w:val="24"/>
          <w:rtl/>
        </w:rPr>
        <w:t xml:space="preserve"> </w:t>
      </w:r>
      <w:r w:rsidRPr="00DA7E4B">
        <w:rPr>
          <w:rFonts w:hint="eastAsia"/>
          <w:sz w:val="24"/>
          <w:rtl/>
        </w:rPr>
        <w:t>טביעות</w:t>
      </w:r>
      <w:r w:rsidRPr="00DA7E4B">
        <w:rPr>
          <w:sz w:val="24"/>
          <w:rtl/>
        </w:rPr>
        <w:t xml:space="preserve"> </w:t>
      </w:r>
      <w:r w:rsidRPr="00DA7E4B">
        <w:rPr>
          <w:rFonts w:hint="eastAsia"/>
          <w:sz w:val="24"/>
          <w:rtl/>
        </w:rPr>
        <w:t>אצבע</w:t>
      </w:r>
      <w:r w:rsidRPr="00DA7E4B">
        <w:rPr>
          <w:sz w:val="24"/>
          <w:rtl/>
        </w:rPr>
        <w:t xml:space="preserve"> </w:t>
      </w:r>
      <w:r w:rsidRPr="00DA7E4B">
        <w:rPr>
          <w:rFonts w:hint="eastAsia"/>
          <w:sz w:val="24"/>
          <w:rtl/>
        </w:rPr>
        <w:t>מקטינים</w:t>
      </w:r>
      <w:r w:rsidRPr="00DA7E4B">
        <w:rPr>
          <w:sz w:val="24"/>
          <w:rtl/>
        </w:rPr>
        <w:t xml:space="preserve"> </w:t>
      </w:r>
      <w:r w:rsidRPr="00DA7E4B">
        <w:rPr>
          <w:rFonts w:hint="eastAsia"/>
          <w:sz w:val="24"/>
          <w:rtl/>
        </w:rPr>
        <w:t>זרים</w:t>
      </w:r>
      <w:r w:rsidRPr="00640545">
        <w:rPr>
          <w:sz w:val="24"/>
          <w:rtl/>
        </w:rPr>
        <w:t>.</w:t>
      </w:r>
    </w:p>
    <w:p w:rsidR="002D0C59" w:rsidRPr="00A21F5C" w:rsidP="00AE0BE6" w14:paraId="4FE470B6" w14:textId="77777777">
      <w:pPr>
        <w:pStyle w:val="a"/>
        <w:spacing w:line="269" w:lineRule="auto"/>
        <w:rPr>
          <w:rtl/>
        </w:rPr>
      </w:pPr>
    </w:p>
    <w:p w:rsidR="002D0C59" w:rsidP="00AE0BE6" w14:paraId="09C4D3A2" w14:textId="77777777">
      <w:pPr>
        <w:pStyle w:val="ListParagraph"/>
        <w:numPr>
          <w:ilvl w:val="0"/>
          <w:numId w:val="8"/>
        </w:numPr>
        <w:spacing w:after="0" w:line="269" w:lineRule="auto"/>
        <w:jc w:val="both"/>
        <w:rPr>
          <w:rFonts w:cs="David"/>
          <w:sz w:val="24"/>
          <w:szCs w:val="24"/>
        </w:rPr>
      </w:pPr>
      <w:r w:rsidRPr="004A0234">
        <w:rPr>
          <w:rFonts w:cs="David" w:hint="cs"/>
          <w:sz w:val="24"/>
          <w:szCs w:val="24"/>
          <w:rtl/>
        </w:rPr>
        <w:t>בשנת 2011 הוגשה עתירה לבג"ץ בבקשה לב</w:t>
      </w:r>
      <w:r w:rsidRPr="004A0234">
        <w:rPr>
          <w:rFonts w:cs="David" w:hint="cs"/>
          <w:sz w:val="24"/>
          <w:szCs w:val="24"/>
          <w:rtl/>
        </w:rPr>
        <w:t>טל את השימוש במאגר מעו"ז בטענה שאין הסמכה בדין ליטול טביעות אצבע מזרים ולנהל מאגר מידע כזה. בפסק הדין שניתן בנובמבר 2012 נכתב כי בשל פרס</w:t>
      </w:r>
      <w:r>
        <w:rPr>
          <w:rFonts w:cs="David" w:hint="cs"/>
          <w:sz w:val="24"/>
          <w:szCs w:val="24"/>
          <w:rtl/>
        </w:rPr>
        <w:t>ום</w:t>
      </w:r>
      <w:r w:rsidRPr="004A0234">
        <w:rPr>
          <w:rFonts w:cs="David" w:hint="cs"/>
          <w:sz w:val="24"/>
          <w:szCs w:val="24"/>
          <w:rtl/>
        </w:rPr>
        <w:t xml:space="preserve"> תזכיר הצעת חוק בנדון</w:t>
      </w:r>
      <w:r>
        <w:rPr>
          <w:rFonts w:cs="David" w:hint="cs"/>
          <w:sz w:val="24"/>
          <w:szCs w:val="24"/>
          <w:rtl/>
        </w:rPr>
        <w:t>,</w:t>
      </w:r>
      <w:r w:rsidRPr="004A0234">
        <w:rPr>
          <w:rFonts w:cs="David" w:hint="cs"/>
          <w:sz w:val="24"/>
          <w:szCs w:val="24"/>
          <w:rtl/>
        </w:rPr>
        <w:t xml:space="preserve"> אשר נועד להסדיר את השימוש באמצעים ביומטריים לעניין כניס</w:t>
      </w:r>
      <w:r>
        <w:rPr>
          <w:rFonts w:cs="David" w:hint="cs"/>
          <w:sz w:val="24"/>
          <w:szCs w:val="24"/>
          <w:rtl/>
        </w:rPr>
        <w:t>ת נתינים זרים</w:t>
      </w:r>
      <w:r w:rsidRPr="004A0234">
        <w:rPr>
          <w:rFonts w:cs="David" w:hint="cs"/>
          <w:sz w:val="24"/>
          <w:szCs w:val="24"/>
          <w:rtl/>
        </w:rPr>
        <w:t xml:space="preserve"> לארץ, יציא</w:t>
      </w:r>
      <w:r>
        <w:rPr>
          <w:rFonts w:cs="David" w:hint="cs"/>
          <w:sz w:val="24"/>
          <w:szCs w:val="24"/>
          <w:rtl/>
        </w:rPr>
        <w:t>תם</w:t>
      </w:r>
      <w:r w:rsidRPr="004A0234">
        <w:rPr>
          <w:rFonts w:cs="David" w:hint="cs"/>
          <w:sz w:val="24"/>
          <w:szCs w:val="24"/>
          <w:rtl/>
        </w:rPr>
        <w:t xml:space="preserve"> ממנה וישיב</w:t>
      </w:r>
      <w:r>
        <w:rPr>
          <w:rFonts w:cs="David" w:hint="cs"/>
          <w:sz w:val="24"/>
          <w:szCs w:val="24"/>
          <w:rtl/>
        </w:rPr>
        <w:t>תם</w:t>
      </w:r>
      <w:r w:rsidRPr="004A0234">
        <w:rPr>
          <w:rFonts w:cs="David" w:hint="cs"/>
          <w:sz w:val="24"/>
          <w:szCs w:val="24"/>
          <w:rtl/>
        </w:rPr>
        <w:t xml:space="preserve"> </w:t>
      </w:r>
      <w:r w:rsidRPr="004A0234">
        <w:rPr>
          <w:rFonts w:cs="David" w:hint="cs"/>
          <w:sz w:val="24"/>
          <w:szCs w:val="24"/>
          <w:rtl/>
        </w:rPr>
        <w:t>בה - העתירה נמחקת תוך שמירת טענות העותר</w:t>
      </w:r>
      <w:r>
        <w:rPr>
          <w:rStyle w:val="FootnoteReference1"/>
          <w:rFonts w:cs="David"/>
          <w:sz w:val="24"/>
          <w:szCs w:val="24"/>
          <w:rtl/>
        </w:rPr>
        <w:footnoteReference w:id="33"/>
      </w:r>
      <w:r w:rsidRPr="004A0234">
        <w:rPr>
          <w:rFonts w:cs="David" w:hint="cs"/>
          <w:sz w:val="24"/>
          <w:szCs w:val="24"/>
          <w:rtl/>
        </w:rPr>
        <w:t>.</w:t>
      </w:r>
      <w:r w:rsidRPr="004A0234">
        <w:rPr>
          <w:rFonts w:cs="David"/>
          <w:sz w:val="24"/>
          <w:szCs w:val="24"/>
          <w:rtl/>
        </w:rPr>
        <w:t xml:space="preserve"> </w:t>
      </w:r>
    </w:p>
    <w:p w:rsidR="002D0C59" w:rsidRPr="00AD2F98" w:rsidP="00AE0BE6" w14:paraId="5B28F9E1" w14:textId="77777777">
      <w:pPr>
        <w:pStyle w:val="a"/>
        <w:spacing w:line="269" w:lineRule="auto"/>
        <w:rPr>
          <w:rtl/>
        </w:rPr>
      </w:pPr>
    </w:p>
    <w:p w:rsidR="002D0C59" w:rsidRPr="004A0234" w:rsidP="00AE0BE6" w14:paraId="4E070D52" w14:textId="77777777">
      <w:pPr>
        <w:spacing w:line="269" w:lineRule="auto"/>
        <w:rPr>
          <w:b/>
          <w:bCs/>
          <w:sz w:val="24"/>
          <w:rtl/>
        </w:rPr>
      </w:pPr>
      <w:r w:rsidRPr="004A0234">
        <w:rPr>
          <w:rFonts w:hint="cs"/>
          <w:b/>
          <w:bCs/>
          <w:sz w:val="24"/>
          <w:rtl/>
        </w:rPr>
        <w:t>להלן יובאו שני נושאים מרכזיים בתזכיר החוק שהטיפול בהם ארך זמן רב.</w:t>
      </w:r>
    </w:p>
    <w:p w:rsidR="002D0C59" w:rsidRPr="00A21F5C" w:rsidP="00AE0BE6" w14:paraId="7F96E1CB" w14:textId="77777777">
      <w:pPr>
        <w:pStyle w:val="a"/>
        <w:spacing w:line="269" w:lineRule="auto"/>
        <w:rPr>
          <w:rtl/>
        </w:rPr>
      </w:pPr>
    </w:p>
    <w:p w:rsidR="002D0C59" w:rsidP="00AE0BE6" w14:paraId="5A61353C" w14:textId="77777777">
      <w:pPr>
        <w:pStyle w:val="ListParagraph"/>
        <w:numPr>
          <w:ilvl w:val="0"/>
          <w:numId w:val="17"/>
        </w:numPr>
        <w:spacing w:after="0" w:line="269" w:lineRule="auto"/>
        <w:jc w:val="both"/>
        <w:rPr>
          <w:rFonts w:ascii="Times New Roman" w:hAnsi="Times New Roman" w:eastAsiaTheme="minorHAnsi" w:cs="David"/>
          <w:sz w:val="20"/>
          <w:szCs w:val="24"/>
        </w:rPr>
      </w:pPr>
      <w:r w:rsidRPr="00377347">
        <w:rPr>
          <w:rStyle w:val="5"/>
          <w:rFonts w:cs="David" w:hint="cs"/>
          <w:sz w:val="24"/>
          <w:szCs w:val="24"/>
          <w:rtl/>
        </w:rPr>
        <w:t>ה</w:t>
      </w:r>
      <w:r w:rsidRPr="00377347">
        <w:rPr>
          <w:rStyle w:val="5"/>
          <w:rFonts w:cs="David"/>
          <w:sz w:val="24"/>
          <w:szCs w:val="24"/>
          <w:rtl/>
        </w:rPr>
        <w:t>שימוש של משטרת ישראל במאגר מעו"ז</w:t>
      </w:r>
      <w:r w:rsidRPr="00377347">
        <w:rPr>
          <w:rStyle w:val="5"/>
          <w:rFonts w:cs="David" w:hint="cs"/>
          <w:sz w:val="24"/>
          <w:szCs w:val="24"/>
          <w:rtl/>
        </w:rPr>
        <w:t>:</w:t>
      </w:r>
      <w:r w:rsidRPr="005610DE">
        <w:rPr>
          <w:rFonts w:cs="David" w:hint="cs"/>
          <w:sz w:val="24"/>
          <w:szCs w:val="24"/>
          <w:rtl/>
        </w:rPr>
        <w:t xml:space="preserve"> בנובמבר 2006, במסגרת הדיונים על גיבוש הצעת</w:t>
      </w:r>
      <w:r w:rsidRPr="0088271E">
        <w:rPr>
          <w:rFonts w:cs="David" w:hint="cs"/>
          <w:sz w:val="24"/>
          <w:szCs w:val="24"/>
          <w:rtl/>
        </w:rPr>
        <w:t xml:space="preserve"> החוק במשרד המשפטים, העלתה לראשונה המשטרה את בקשתה להשתמש במאגר </w:t>
      </w:r>
      <w:r w:rsidRPr="0088271E">
        <w:rPr>
          <w:rFonts w:cs="David" w:hint="cs"/>
          <w:sz w:val="24"/>
          <w:szCs w:val="24"/>
          <w:rtl/>
        </w:rPr>
        <w:t xml:space="preserve">מעו"ז לא רק לצורך ביצוע השוואה לנתוני המרשם הפלילי אלא גם לצורך ביצוע השוואה למאגר המשטרתי, הכולל טביעות אצבע מזירות עבירה וטביעות אצבע של מורשעים ושל חשודים. </w:t>
      </w:r>
      <w:r>
        <w:rPr>
          <w:rFonts w:ascii="Times New Roman" w:hAnsi="Times New Roman" w:eastAsiaTheme="minorHAnsi" w:cs="David" w:hint="cs"/>
          <w:sz w:val="20"/>
          <w:szCs w:val="24"/>
          <w:rtl/>
        </w:rPr>
        <w:t>בסיכום הדיון נקבע כי לצורך הכרעה בעניין השימושים המשטרתיים במאגר, תבחן משטרת ישראל את הנושא ותמצי</w:t>
      </w:r>
      <w:r>
        <w:rPr>
          <w:rFonts w:ascii="Times New Roman" w:hAnsi="Times New Roman" w:eastAsiaTheme="minorHAnsi" w:cs="David" w:hint="cs"/>
          <w:sz w:val="20"/>
          <w:szCs w:val="24"/>
          <w:rtl/>
        </w:rPr>
        <w:t xml:space="preserve">א למשרד המשפטים חוות דעת בשאלת הצורך להצליב את מאגר הזרים הביומטרי למאגר המרשם הפלילי. </w:t>
      </w:r>
      <w:r w:rsidRPr="0088271E">
        <w:rPr>
          <w:rFonts w:ascii="Times New Roman" w:hAnsi="Times New Roman" w:eastAsiaTheme="minorHAnsi" w:cs="David" w:hint="cs"/>
          <w:sz w:val="20"/>
          <w:szCs w:val="24"/>
          <w:rtl/>
        </w:rPr>
        <w:t>בדצמבר 2010</w:t>
      </w:r>
      <w:r w:rsidRPr="0088271E">
        <w:rPr>
          <w:rFonts w:ascii="Times New Roman" w:hAnsi="Times New Roman" w:eastAsiaTheme="minorHAnsi" w:cs="David" w:hint="eastAsia"/>
          <w:sz w:val="20"/>
          <w:szCs w:val="24"/>
          <w:rtl/>
        </w:rPr>
        <w:t xml:space="preserve"> גיבש</w:t>
      </w:r>
      <w:r w:rsidRPr="0088271E">
        <w:rPr>
          <w:rFonts w:ascii="Times New Roman" w:hAnsi="Times New Roman" w:eastAsiaTheme="minorHAnsi" w:cs="David"/>
          <w:sz w:val="20"/>
          <w:szCs w:val="24"/>
          <w:rtl/>
        </w:rPr>
        <w:t xml:space="preserve"> המשנה ליועמ"ש</w:t>
      </w:r>
      <w:r w:rsidRPr="0088271E">
        <w:rPr>
          <w:rFonts w:ascii="Times New Roman" w:hAnsi="Times New Roman" w:eastAsiaTheme="minorHAnsi" w:cs="David" w:hint="cs"/>
          <w:sz w:val="20"/>
          <w:szCs w:val="24"/>
          <w:rtl/>
        </w:rPr>
        <w:t xml:space="preserve"> </w:t>
      </w:r>
      <w:r w:rsidRPr="0088271E">
        <w:rPr>
          <w:rFonts w:ascii="Times New Roman" w:hAnsi="Times New Roman" w:eastAsiaTheme="minorHAnsi" w:cs="David"/>
          <w:sz w:val="20"/>
          <w:szCs w:val="24"/>
          <w:rtl/>
        </w:rPr>
        <w:t>(י</w:t>
      </w:r>
      <w:r w:rsidRPr="0088271E">
        <w:rPr>
          <w:rFonts w:ascii="Times New Roman" w:hAnsi="Times New Roman" w:eastAsiaTheme="minorHAnsi" w:cs="David" w:hint="cs"/>
          <w:sz w:val="20"/>
          <w:szCs w:val="24"/>
          <w:rtl/>
        </w:rPr>
        <w:t>י</w:t>
      </w:r>
      <w:r w:rsidRPr="0088271E">
        <w:rPr>
          <w:rFonts w:ascii="Times New Roman" w:hAnsi="Times New Roman" w:eastAsiaTheme="minorHAnsi" w:cs="David"/>
          <w:sz w:val="20"/>
          <w:szCs w:val="24"/>
          <w:rtl/>
        </w:rPr>
        <w:t xml:space="preserve">עוץ) </w:t>
      </w:r>
      <w:r w:rsidRPr="0088271E">
        <w:rPr>
          <w:rFonts w:ascii="Times New Roman" w:hAnsi="Times New Roman" w:eastAsiaTheme="minorHAnsi" w:cs="David" w:hint="cs"/>
          <w:sz w:val="20"/>
          <w:szCs w:val="24"/>
          <w:rtl/>
        </w:rPr>
        <w:t xml:space="preserve">חוות דעת לפיה </w:t>
      </w:r>
      <w:r w:rsidRPr="0088271E">
        <w:rPr>
          <w:rFonts w:ascii="Times New Roman" w:hAnsi="Times New Roman" w:eastAsiaTheme="minorHAnsi" w:cs="David" w:hint="eastAsia"/>
          <w:sz w:val="20"/>
          <w:szCs w:val="24"/>
          <w:rtl/>
        </w:rPr>
        <w:t>המשטרה</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רשאית</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להחזיק</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את</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מאגר</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מעו</w:t>
      </w:r>
      <w:r w:rsidRPr="0088271E">
        <w:rPr>
          <w:rFonts w:ascii="Times New Roman" w:hAnsi="Times New Roman" w:eastAsiaTheme="minorHAnsi" w:cs="David"/>
          <w:sz w:val="20"/>
          <w:szCs w:val="24"/>
          <w:rtl/>
        </w:rPr>
        <w:t>"</w:t>
      </w:r>
      <w:r w:rsidRPr="0088271E">
        <w:rPr>
          <w:rFonts w:ascii="Times New Roman" w:hAnsi="Times New Roman" w:eastAsiaTheme="minorHAnsi" w:cs="David" w:hint="eastAsia"/>
          <w:sz w:val="20"/>
          <w:szCs w:val="24"/>
          <w:rtl/>
        </w:rPr>
        <w:t>ז</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cs"/>
          <w:sz w:val="20"/>
          <w:szCs w:val="24"/>
          <w:rtl/>
        </w:rPr>
        <w:t xml:space="preserve">אולם </w:t>
      </w:r>
      <w:r w:rsidRPr="0088271E">
        <w:rPr>
          <w:rFonts w:ascii="Times New Roman" w:hAnsi="Times New Roman" w:eastAsiaTheme="minorHAnsi" w:cs="David" w:hint="eastAsia"/>
          <w:sz w:val="20"/>
          <w:szCs w:val="24"/>
          <w:rtl/>
        </w:rPr>
        <w:t>הסדרת</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השימוש</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המשטרתי</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במאגר</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מעו</w:t>
      </w:r>
      <w:r w:rsidRPr="0088271E">
        <w:rPr>
          <w:rFonts w:ascii="Times New Roman" w:hAnsi="Times New Roman" w:eastAsiaTheme="minorHAnsi" w:cs="David"/>
          <w:sz w:val="20"/>
          <w:szCs w:val="24"/>
          <w:rtl/>
        </w:rPr>
        <w:t>"</w:t>
      </w:r>
      <w:r w:rsidRPr="0088271E">
        <w:rPr>
          <w:rFonts w:ascii="Times New Roman" w:hAnsi="Times New Roman" w:eastAsiaTheme="minorHAnsi" w:cs="David" w:hint="eastAsia"/>
          <w:sz w:val="20"/>
          <w:szCs w:val="24"/>
          <w:rtl/>
        </w:rPr>
        <w:t>ז</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שלא</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לצורך</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הפעלת</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סמכויות</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לפי</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חוק</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הכניסה</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היא</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סוגיה</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הטעונה</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ליבון</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בהשתתפותם</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של</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גורמים</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נוספים</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ובמידת</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הצורך</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גם</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הכרעה</w:t>
      </w:r>
      <w:r w:rsidRPr="0088271E">
        <w:rPr>
          <w:rFonts w:ascii="Times New Roman" w:hAnsi="Times New Roman" w:eastAsiaTheme="minorHAnsi" w:cs="David"/>
          <w:sz w:val="20"/>
          <w:szCs w:val="24"/>
          <w:rtl/>
        </w:rPr>
        <w:t xml:space="preserve"> </w:t>
      </w:r>
      <w:r>
        <w:rPr>
          <w:rFonts w:ascii="Times New Roman" w:hAnsi="Times New Roman" w:eastAsiaTheme="minorHAnsi" w:cs="David" w:hint="cs"/>
          <w:sz w:val="20"/>
          <w:szCs w:val="24"/>
          <w:rtl/>
        </w:rPr>
        <w:t>של</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ה</w:t>
      </w:r>
      <w:r w:rsidRPr="0088271E">
        <w:rPr>
          <w:rFonts w:ascii="Times New Roman" w:hAnsi="Times New Roman" w:eastAsiaTheme="minorHAnsi" w:cs="David" w:hint="cs"/>
          <w:sz w:val="20"/>
          <w:szCs w:val="24"/>
          <w:rtl/>
        </w:rPr>
        <w:t>יוע</w:t>
      </w:r>
      <w:r>
        <w:rPr>
          <w:rFonts w:ascii="Times New Roman" w:hAnsi="Times New Roman" w:eastAsiaTheme="minorHAnsi" w:cs="David" w:hint="cs"/>
          <w:sz w:val="20"/>
          <w:szCs w:val="24"/>
          <w:rtl/>
        </w:rPr>
        <w:t>ץ המשפטי לממשלה</w:t>
      </w:r>
      <w:r w:rsidRPr="0088271E">
        <w:rPr>
          <w:rFonts w:ascii="Times New Roman" w:hAnsi="Times New Roman" w:eastAsiaTheme="minorHAnsi" w:cs="David"/>
          <w:sz w:val="20"/>
          <w:szCs w:val="24"/>
          <w:rtl/>
        </w:rPr>
        <w:t>.</w:t>
      </w:r>
      <w:r w:rsidRPr="0088271E">
        <w:rPr>
          <w:rFonts w:ascii="Times New Roman" w:hAnsi="Times New Roman" w:eastAsiaTheme="minorHAnsi" w:cs="David" w:hint="cs"/>
          <w:sz w:val="20"/>
          <w:szCs w:val="24"/>
          <w:rtl/>
        </w:rPr>
        <w:t xml:space="preserve"> המשנה ליועמ"ש </w:t>
      </w:r>
      <w:r w:rsidRPr="0088271E">
        <w:rPr>
          <w:rFonts w:ascii="Times New Roman" w:hAnsi="Times New Roman" w:eastAsiaTheme="minorHAnsi" w:cs="David" w:hint="eastAsia"/>
          <w:sz w:val="20"/>
          <w:szCs w:val="24"/>
          <w:rtl/>
        </w:rPr>
        <w:t>ביקש</w:t>
      </w:r>
      <w:r w:rsidRPr="0088271E">
        <w:rPr>
          <w:rFonts w:ascii="Times New Roman" w:hAnsi="Times New Roman" w:eastAsiaTheme="minorHAnsi" w:cs="David"/>
          <w:sz w:val="20"/>
          <w:szCs w:val="24"/>
          <w:rtl/>
        </w:rPr>
        <w:t xml:space="preserve"> </w:t>
      </w:r>
      <w:r w:rsidRPr="0088271E">
        <w:rPr>
          <w:rFonts w:ascii="Times New Roman" w:hAnsi="Times New Roman" w:eastAsiaTheme="minorHAnsi" w:cs="David" w:hint="eastAsia"/>
          <w:sz w:val="20"/>
          <w:szCs w:val="24"/>
          <w:rtl/>
        </w:rPr>
        <w:t>לקבל</w:t>
      </w:r>
      <w:r w:rsidRPr="0088271E">
        <w:rPr>
          <w:rFonts w:ascii="Times New Roman" w:hAnsi="Times New Roman" w:eastAsiaTheme="minorHAnsi" w:cs="David"/>
          <w:sz w:val="20"/>
          <w:szCs w:val="24"/>
          <w:rtl/>
        </w:rPr>
        <w:t xml:space="preserve"> את עמדתם של </w:t>
      </w:r>
      <w:r w:rsidRPr="0088271E">
        <w:rPr>
          <w:rFonts w:ascii="Times New Roman" w:hAnsi="Times New Roman" w:eastAsiaTheme="minorHAnsi" w:cs="David" w:hint="eastAsia"/>
          <w:sz w:val="20"/>
          <w:szCs w:val="24"/>
          <w:rtl/>
        </w:rPr>
        <w:t>ה</w:t>
      </w:r>
      <w:r w:rsidRPr="0088271E">
        <w:rPr>
          <w:rFonts w:ascii="Times New Roman" w:hAnsi="Times New Roman" w:eastAsiaTheme="minorHAnsi" w:cs="David"/>
          <w:sz w:val="20"/>
          <w:szCs w:val="24"/>
          <w:rtl/>
        </w:rPr>
        <w:t xml:space="preserve">משנה ליועמ"ש (פלילי), </w:t>
      </w:r>
      <w:r w:rsidRPr="0088271E">
        <w:rPr>
          <w:rFonts w:ascii="Times New Roman" w:hAnsi="Times New Roman" w:eastAsiaTheme="minorHAnsi" w:cs="David" w:hint="cs"/>
          <w:sz w:val="20"/>
          <w:szCs w:val="24"/>
          <w:rtl/>
        </w:rPr>
        <w:t>של ה</w:t>
      </w:r>
      <w:r w:rsidRPr="0088271E">
        <w:rPr>
          <w:rFonts w:ascii="Times New Roman" w:hAnsi="Times New Roman" w:eastAsiaTheme="minorHAnsi" w:cs="David"/>
          <w:sz w:val="20"/>
          <w:szCs w:val="24"/>
          <w:rtl/>
        </w:rPr>
        <w:t>משטר</w:t>
      </w:r>
      <w:r w:rsidRPr="0088271E">
        <w:rPr>
          <w:rFonts w:ascii="Times New Roman" w:hAnsi="Times New Roman" w:eastAsiaTheme="minorHAnsi" w:cs="David" w:hint="cs"/>
          <w:sz w:val="20"/>
          <w:szCs w:val="24"/>
          <w:rtl/>
        </w:rPr>
        <w:t>ה</w:t>
      </w:r>
      <w:r w:rsidRPr="0088271E">
        <w:rPr>
          <w:rFonts w:ascii="Times New Roman" w:hAnsi="Times New Roman" w:eastAsiaTheme="minorHAnsi" w:cs="David"/>
          <w:sz w:val="20"/>
          <w:szCs w:val="24"/>
          <w:rtl/>
        </w:rPr>
        <w:t xml:space="preserve"> ו</w:t>
      </w:r>
      <w:r w:rsidRPr="0088271E">
        <w:rPr>
          <w:rFonts w:ascii="Times New Roman" w:hAnsi="Times New Roman" w:eastAsiaTheme="minorHAnsi" w:cs="David" w:hint="cs"/>
          <w:sz w:val="20"/>
          <w:szCs w:val="24"/>
          <w:rtl/>
        </w:rPr>
        <w:t xml:space="preserve">של </w:t>
      </w:r>
      <w:r w:rsidRPr="0088271E">
        <w:rPr>
          <w:rFonts w:ascii="Times New Roman" w:hAnsi="Times New Roman" w:eastAsiaTheme="minorHAnsi" w:cs="David"/>
          <w:sz w:val="20"/>
          <w:szCs w:val="24"/>
          <w:rtl/>
        </w:rPr>
        <w:t xml:space="preserve">משרד הפנים. </w:t>
      </w:r>
    </w:p>
    <w:p w:rsidR="00792C56" w:rsidP="00AE0BE6" w14:paraId="5E442ED0" w14:textId="77777777">
      <w:pPr>
        <w:spacing w:line="269" w:lineRule="auto"/>
        <w:ind w:left="312"/>
        <w:rPr>
          <w:rtl/>
        </w:rPr>
      </w:pPr>
    </w:p>
    <w:p w:rsidR="002D0C59" w:rsidRPr="00EA63EF" w:rsidP="00AE0BE6" w14:paraId="78C4D09A" w14:textId="77777777">
      <w:pPr>
        <w:spacing w:line="269" w:lineRule="auto"/>
        <w:ind w:left="312"/>
        <w:rPr>
          <w:rtl/>
        </w:rPr>
      </w:pPr>
      <w:r w:rsidRPr="00EA63EF">
        <w:rPr>
          <w:rFonts w:hint="cs"/>
          <w:rtl/>
        </w:rPr>
        <w:t xml:space="preserve">במהלך שנת </w:t>
      </w:r>
      <w:r w:rsidRPr="00EA63EF">
        <w:rPr>
          <w:rtl/>
        </w:rPr>
        <w:t xml:space="preserve">2012 </w:t>
      </w:r>
      <w:r w:rsidRPr="00EA63EF">
        <w:rPr>
          <w:rFonts w:hint="cs"/>
          <w:rtl/>
        </w:rPr>
        <w:t xml:space="preserve">התקיימו מספר דיונים </w:t>
      </w:r>
      <w:r w:rsidRPr="00EA63EF">
        <w:rPr>
          <w:rFonts w:hint="eastAsia"/>
          <w:rtl/>
        </w:rPr>
        <w:t>בנושא</w:t>
      </w:r>
      <w:r w:rsidRPr="00EA63EF">
        <w:rPr>
          <w:rtl/>
        </w:rPr>
        <w:t xml:space="preserve"> </w:t>
      </w:r>
      <w:r w:rsidRPr="00EA63EF">
        <w:rPr>
          <w:rFonts w:hint="eastAsia"/>
          <w:rtl/>
        </w:rPr>
        <w:t>אצל</w:t>
      </w:r>
      <w:r w:rsidRPr="00EA63EF">
        <w:rPr>
          <w:rtl/>
        </w:rPr>
        <w:t xml:space="preserve"> </w:t>
      </w:r>
      <w:r w:rsidRPr="00EA63EF">
        <w:rPr>
          <w:rFonts w:hint="eastAsia"/>
          <w:rtl/>
        </w:rPr>
        <w:t>המשנה</w:t>
      </w:r>
      <w:r w:rsidRPr="00EA63EF">
        <w:rPr>
          <w:rtl/>
        </w:rPr>
        <w:t xml:space="preserve"> </w:t>
      </w:r>
      <w:r w:rsidRPr="00EA63EF">
        <w:rPr>
          <w:rFonts w:hint="cs"/>
          <w:rtl/>
        </w:rPr>
        <w:t>ליועמ</w:t>
      </w:r>
      <w:r w:rsidRPr="00EA63EF">
        <w:rPr>
          <w:rtl/>
        </w:rPr>
        <w:t>"</w:t>
      </w:r>
      <w:r w:rsidRPr="00EA63EF">
        <w:rPr>
          <w:rFonts w:hint="cs"/>
          <w:rtl/>
        </w:rPr>
        <w:t>ש</w:t>
      </w:r>
      <w:r w:rsidRPr="00EA63EF">
        <w:rPr>
          <w:rtl/>
        </w:rPr>
        <w:t xml:space="preserve"> (חקיקה)</w:t>
      </w:r>
      <w:r>
        <w:rPr>
          <w:rFonts w:hint="cs"/>
          <w:rtl/>
        </w:rPr>
        <w:t xml:space="preserve">. בסוף שנת 2012 הופץ נוסח מעודכן של תזכיר החוק והתקיימו שני דיונים נוספים על נוסח תזכיר החוק ביולי 2013 ובמרץ 2014. </w:t>
      </w:r>
      <w:r w:rsidRPr="00EA63EF">
        <w:rPr>
          <w:rtl/>
        </w:rPr>
        <w:t xml:space="preserve">במהלך 2014 </w:t>
      </w:r>
      <w:r w:rsidRPr="00EA63EF">
        <w:rPr>
          <w:rFonts w:hint="eastAsia"/>
          <w:rtl/>
        </w:rPr>
        <w:t>הת</w:t>
      </w:r>
      <w:r w:rsidRPr="00EA63EF">
        <w:rPr>
          <w:rFonts w:hint="cs"/>
          <w:rtl/>
        </w:rPr>
        <w:t xml:space="preserve">גלעה מחלוקת בין </w:t>
      </w:r>
      <w:r>
        <w:rPr>
          <w:rFonts w:hint="cs"/>
          <w:rtl/>
        </w:rPr>
        <w:t>גורמים משפטיים בכירים במשרד המשפטים</w:t>
      </w:r>
      <w:r w:rsidRPr="00EA63EF">
        <w:rPr>
          <w:rFonts w:hint="cs"/>
          <w:rtl/>
        </w:rPr>
        <w:t>. כעבור שנתיים נוספות, במאי 2016, בסמוך לכניסתו</w:t>
      </w:r>
      <w:r>
        <w:rPr>
          <w:rFonts w:hint="cs"/>
          <w:rtl/>
        </w:rPr>
        <w:t xml:space="preserve"> לתפקיד</w:t>
      </w:r>
      <w:r w:rsidRPr="00EA63EF">
        <w:rPr>
          <w:rFonts w:hint="cs"/>
          <w:rtl/>
        </w:rPr>
        <w:t xml:space="preserve"> של היועץ המשפטי לממשל</w:t>
      </w:r>
      <w:r w:rsidRPr="00EA63EF">
        <w:rPr>
          <w:rFonts w:hint="cs"/>
          <w:rtl/>
        </w:rPr>
        <w:t xml:space="preserve">ה, פנה </w:t>
      </w:r>
      <w:r>
        <w:rPr>
          <w:rFonts w:hint="cs"/>
          <w:rtl/>
        </w:rPr>
        <w:t xml:space="preserve">אליו </w:t>
      </w:r>
      <w:r w:rsidRPr="00EA63EF">
        <w:rPr>
          <w:rFonts w:hint="cs"/>
          <w:rtl/>
        </w:rPr>
        <w:t>שר הפנים בבקשה לקדם את הליך החקיקה,</w:t>
      </w:r>
      <w:r w:rsidRPr="00EA63EF">
        <w:rPr>
          <w:rtl/>
        </w:rPr>
        <w:t xml:space="preserve"> </w:t>
      </w:r>
      <w:r w:rsidRPr="00EA63EF">
        <w:rPr>
          <w:rFonts w:hint="cs"/>
          <w:rtl/>
        </w:rPr>
        <w:t xml:space="preserve">וכעבור שבועיים הכריע היועץ המשפטי לממשלה כי יש </w:t>
      </w:r>
      <w:r w:rsidRPr="00EA63EF">
        <w:rPr>
          <w:rtl/>
        </w:rPr>
        <w:t>לשקול לקבוע בהצעת החוק</w:t>
      </w:r>
      <w:r w:rsidRPr="00EA63EF">
        <w:rPr>
          <w:rFonts w:hint="cs"/>
          <w:rtl/>
        </w:rPr>
        <w:t xml:space="preserve"> </w:t>
      </w:r>
      <w:r w:rsidRPr="00EA63EF">
        <w:rPr>
          <w:rtl/>
        </w:rPr>
        <w:t>אילו מקרים ועבירות יצדיקו העברת מידע</w:t>
      </w:r>
      <w:r w:rsidRPr="00EA63EF">
        <w:rPr>
          <w:rFonts w:hint="cs"/>
          <w:rtl/>
        </w:rPr>
        <w:t xml:space="preserve"> למשטרה</w:t>
      </w:r>
      <w:r w:rsidRPr="00EA63EF">
        <w:rPr>
          <w:rtl/>
        </w:rPr>
        <w:t xml:space="preserve">. </w:t>
      </w:r>
    </w:p>
    <w:p w:rsidR="002D0C59" w:rsidP="00AE0BE6" w14:paraId="3183AB7E" w14:textId="77777777">
      <w:pPr>
        <w:pStyle w:val="a"/>
        <w:spacing w:line="269" w:lineRule="auto"/>
        <w:rPr>
          <w:rtl/>
        </w:rPr>
      </w:pPr>
    </w:p>
    <w:p w:rsidR="002D0C59" w:rsidRPr="004A0234" w:rsidP="00AE0BE6" w14:paraId="2356CAE1" w14:textId="77777777">
      <w:pPr>
        <w:spacing w:line="269" w:lineRule="auto"/>
        <w:ind w:left="312"/>
        <w:rPr>
          <w:rtl/>
        </w:rPr>
      </w:pPr>
      <w:r w:rsidRPr="005C612D">
        <w:rPr>
          <w:sz w:val="24"/>
          <w:rtl/>
        </w:rPr>
        <w:t>בדצמבר 2019</w:t>
      </w:r>
      <w:r>
        <w:rPr>
          <w:rFonts w:hint="cs"/>
          <w:sz w:val="24"/>
          <w:rtl/>
        </w:rPr>
        <w:t xml:space="preserve"> </w:t>
      </w:r>
      <w:r w:rsidRPr="005C612D">
        <w:rPr>
          <w:sz w:val="24"/>
          <w:rtl/>
        </w:rPr>
        <w:t xml:space="preserve">השיב משרד המשפטים למשרד מבקר המדינה </w:t>
      </w:r>
      <w:r>
        <w:rPr>
          <w:rFonts w:hint="cs"/>
          <w:sz w:val="24"/>
          <w:rtl/>
        </w:rPr>
        <w:t xml:space="preserve">כי השיהוי במתן ההכרעה של היועץ המשפטי </w:t>
      </w:r>
      <w:r>
        <w:rPr>
          <w:rFonts w:hint="cs"/>
          <w:sz w:val="24"/>
          <w:rtl/>
        </w:rPr>
        <w:t>לממשלה דאז נבע ממורכבותן של השאלות ומעומס העבודה הכבד, ועם כניסתו לתפקיד של היועץ המשפטי לממשלה המכהן בפברואר 2016, הוא החל לעסוק בכך.</w:t>
      </w:r>
    </w:p>
    <w:p w:rsidR="002D0C59" w:rsidRPr="00A21F5C" w:rsidP="00AE0BE6" w14:paraId="53B1E5DD" w14:textId="77777777">
      <w:pPr>
        <w:pStyle w:val="a"/>
        <w:spacing w:line="269" w:lineRule="auto"/>
        <w:rPr>
          <w:rtl/>
        </w:rPr>
      </w:pPr>
    </w:p>
    <w:p w:rsidR="002D0C59" w:rsidP="00AE0BE6" w14:paraId="6ACC3E1A" w14:textId="77777777">
      <w:pPr>
        <w:spacing w:line="269" w:lineRule="auto"/>
        <w:ind w:left="312"/>
        <w:rPr>
          <w:sz w:val="24"/>
          <w:rtl/>
        </w:rPr>
      </w:pPr>
      <w:r w:rsidRPr="004A0234">
        <w:rPr>
          <w:rFonts w:hint="cs"/>
          <w:sz w:val="24"/>
          <w:rtl/>
        </w:rPr>
        <w:t>בעקבות בקשת המשטרה לערער על החלטת ה</w:t>
      </w:r>
      <w:r>
        <w:rPr>
          <w:rFonts w:hint="cs"/>
          <w:sz w:val="24"/>
          <w:rtl/>
        </w:rPr>
        <w:t>יועמ</w:t>
      </w:r>
      <w:r>
        <w:rPr>
          <w:sz w:val="24"/>
          <w:rtl/>
        </w:rPr>
        <w:t>"</w:t>
      </w:r>
      <w:r>
        <w:rPr>
          <w:rFonts w:hint="cs"/>
          <w:sz w:val="24"/>
          <w:rtl/>
        </w:rPr>
        <w:t>ש</w:t>
      </w:r>
      <w:r w:rsidRPr="004A0234">
        <w:rPr>
          <w:rFonts w:hint="cs"/>
          <w:sz w:val="24"/>
          <w:rtl/>
        </w:rPr>
        <w:t xml:space="preserve"> </w:t>
      </w:r>
      <w:r>
        <w:rPr>
          <w:rFonts w:hint="cs"/>
          <w:sz w:val="24"/>
          <w:rtl/>
        </w:rPr>
        <w:t>ב</w:t>
      </w:r>
      <w:r w:rsidRPr="004A0234">
        <w:rPr>
          <w:rFonts w:hint="cs"/>
          <w:sz w:val="24"/>
          <w:rtl/>
        </w:rPr>
        <w:t xml:space="preserve">ספטמבר 2016 </w:t>
      </w:r>
      <w:r>
        <w:rPr>
          <w:rFonts w:hint="cs"/>
          <w:sz w:val="24"/>
          <w:rtl/>
        </w:rPr>
        <w:t xml:space="preserve">החליט היועץ המשפטי לממשלה להשאיר על כנה את קביעתו ממאי 2016. בעקבות ערעור נוסף של המשטרה מנובמבר 2016, שהתקבל במשרדו של היועץ המשפטי לממשלה במאי 2017, הוא קבע </w:t>
      </w:r>
      <w:r w:rsidRPr="004A0234">
        <w:rPr>
          <w:rFonts w:hint="cs"/>
          <w:sz w:val="24"/>
          <w:rtl/>
        </w:rPr>
        <w:t>בדצמבר 2017</w:t>
      </w:r>
      <w:r>
        <w:rPr>
          <w:rFonts w:hint="cs"/>
          <w:sz w:val="24"/>
          <w:rtl/>
        </w:rPr>
        <w:t xml:space="preserve"> כי על </w:t>
      </w:r>
      <w:r w:rsidRPr="004A0234">
        <w:rPr>
          <w:rFonts w:hint="cs"/>
          <w:sz w:val="24"/>
          <w:rtl/>
        </w:rPr>
        <w:t xml:space="preserve">המשטרה להשלים את רשימת העבירות שהיא </w:t>
      </w:r>
      <w:r>
        <w:rPr>
          <w:rFonts w:hint="cs"/>
          <w:sz w:val="24"/>
          <w:rtl/>
        </w:rPr>
        <w:t>מבקשת</w:t>
      </w:r>
      <w:r w:rsidRPr="004A0234">
        <w:rPr>
          <w:rFonts w:hint="cs"/>
          <w:sz w:val="24"/>
          <w:rtl/>
        </w:rPr>
        <w:t xml:space="preserve"> לכלול בתוספת הראשונה לחוק כדי </w:t>
      </w:r>
      <w:r>
        <w:rPr>
          <w:rFonts w:hint="cs"/>
          <w:sz w:val="24"/>
          <w:rtl/>
        </w:rPr>
        <w:t xml:space="preserve">שתוכל </w:t>
      </w:r>
      <w:r w:rsidRPr="004A0234">
        <w:rPr>
          <w:rFonts w:hint="cs"/>
          <w:sz w:val="24"/>
          <w:rtl/>
        </w:rPr>
        <w:t>ל</w:t>
      </w:r>
      <w:r>
        <w:rPr>
          <w:rFonts w:hint="cs"/>
          <w:sz w:val="24"/>
          <w:rtl/>
        </w:rPr>
        <w:t>השתמש</w:t>
      </w:r>
      <w:r w:rsidRPr="004A0234">
        <w:rPr>
          <w:rFonts w:hint="cs"/>
          <w:sz w:val="24"/>
          <w:rtl/>
        </w:rPr>
        <w:t xml:space="preserve"> במאגר מעו"ז </w:t>
      </w:r>
      <w:r>
        <w:rPr>
          <w:rFonts w:hint="cs"/>
          <w:sz w:val="24"/>
          <w:rtl/>
        </w:rPr>
        <w:t>לצורך</w:t>
      </w:r>
      <w:r w:rsidRPr="004A0234">
        <w:rPr>
          <w:rFonts w:hint="cs"/>
          <w:sz w:val="24"/>
          <w:rtl/>
        </w:rPr>
        <w:t xml:space="preserve"> </w:t>
      </w:r>
      <w:r>
        <w:rPr>
          <w:rFonts w:hint="cs"/>
          <w:sz w:val="24"/>
          <w:rtl/>
        </w:rPr>
        <w:t xml:space="preserve">חקירתן של </w:t>
      </w:r>
      <w:r w:rsidRPr="004A0234">
        <w:rPr>
          <w:rFonts w:hint="cs"/>
          <w:sz w:val="24"/>
          <w:rtl/>
        </w:rPr>
        <w:t>אותן העבירות. כעבור שנה, בנובמבר 2018, השלימה המשטרה את הנדרש.</w:t>
      </w:r>
    </w:p>
    <w:p w:rsidR="002D0C59" w:rsidRPr="00A21F5C" w:rsidP="00AE0BE6" w14:paraId="38775E16" w14:textId="77777777">
      <w:pPr>
        <w:pStyle w:val="a"/>
        <w:spacing w:line="269" w:lineRule="auto"/>
        <w:rPr>
          <w:rtl/>
        </w:rPr>
      </w:pPr>
    </w:p>
    <w:p w:rsidR="002D0C59" w:rsidRPr="00745C3D" w:rsidP="00AE0BE6" w14:paraId="56614889" w14:textId="77777777">
      <w:pPr>
        <w:spacing w:line="269" w:lineRule="auto"/>
        <w:ind w:left="312"/>
        <w:rPr>
          <w:b/>
          <w:bCs/>
          <w:sz w:val="24"/>
          <w:rtl/>
        </w:rPr>
      </w:pPr>
      <w:r w:rsidRPr="00643117">
        <w:rPr>
          <w:rFonts w:hint="eastAsia"/>
          <w:b/>
          <w:bCs/>
          <w:sz w:val="24"/>
          <w:rtl/>
        </w:rPr>
        <w:t>במשך</w:t>
      </w:r>
      <w:r w:rsidRPr="00643117">
        <w:rPr>
          <w:b/>
          <w:bCs/>
          <w:sz w:val="24"/>
          <w:rtl/>
        </w:rPr>
        <w:t xml:space="preserve"> 12 </w:t>
      </w:r>
      <w:r w:rsidRPr="00643117">
        <w:rPr>
          <w:rFonts w:hint="eastAsia"/>
          <w:b/>
          <w:bCs/>
          <w:sz w:val="24"/>
          <w:rtl/>
        </w:rPr>
        <w:t>שנים</w:t>
      </w:r>
      <w:r w:rsidRPr="00643117">
        <w:rPr>
          <w:b/>
          <w:bCs/>
          <w:sz w:val="24"/>
          <w:rtl/>
        </w:rPr>
        <w:t xml:space="preserve"> </w:t>
      </w:r>
      <w:r w:rsidRPr="00643117">
        <w:rPr>
          <w:rFonts w:hint="eastAsia"/>
          <w:b/>
          <w:bCs/>
          <w:sz w:val="24"/>
          <w:rtl/>
        </w:rPr>
        <w:t>לובן</w:t>
      </w:r>
      <w:r w:rsidRPr="00643117">
        <w:rPr>
          <w:b/>
          <w:bCs/>
          <w:sz w:val="24"/>
          <w:rtl/>
        </w:rPr>
        <w:t xml:space="preserve"> </w:t>
      </w:r>
      <w:r w:rsidRPr="00643117">
        <w:rPr>
          <w:rFonts w:hint="eastAsia"/>
          <w:b/>
          <w:bCs/>
          <w:sz w:val="24"/>
          <w:rtl/>
        </w:rPr>
        <w:t>נושא</w:t>
      </w:r>
      <w:r w:rsidRPr="00643117">
        <w:rPr>
          <w:b/>
          <w:bCs/>
          <w:sz w:val="24"/>
          <w:rtl/>
        </w:rPr>
        <w:t xml:space="preserve"> </w:t>
      </w:r>
      <w:r w:rsidRPr="00643117">
        <w:rPr>
          <w:rFonts w:hint="eastAsia"/>
          <w:b/>
          <w:bCs/>
          <w:sz w:val="24"/>
          <w:rtl/>
        </w:rPr>
        <w:t>שימוש</w:t>
      </w:r>
      <w:r w:rsidRPr="00643117">
        <w:rPr>
          <w:b/>
          <w:bCs/>
          <w:sz w:val="24"/>
          <w:rtl/>
        </w:rPr>
        <w:t xml:space="preserve"> </w:t>
      </w:r>
      <w:r w:rsidRPr="00643117">
        <w:rPr>
          <w:rFonts w:hint="eastAsia"/>
          <w:b/>
          <w:bCs/>
          <w:sz w:val="24"/>
          <w:rtl/>
        </w:rPr>
        <w:t>המשטרה</w:t>
      </w:r>
      <w:r w:rsidRPr="00643117">
        <w:rPr>
          <w:b/>
          <w:bCs/>
          <w:sz w:val="24"/>
          <w:rtl/>
        </w:rPr>
        <w:t xml:space="preserve"> </w:t>
      </w:r>
      <w:r w:rsidRPr="00643117">
        <w:rPr>
          <w:rFonts w:hint="eastAsia"/>
          <w:b/>
          <w:bCs/>
          <w:sz w:val="24"/>
          <w:rtl/>
        </w:rPr>
        <w:t>במאגר</w:t>
      </w:r>
      <w:r w:rsidRPr="00643117">
        <w:rPr>
          <w:b/>
          <w:bCs/>
          <w:sz w:val="24"/>
          <w:rtl/>
        </w:rPr>
        <w:t xml:space="preserve"> </w:t>
      </w:r>
      <w:r>
        <w:rPr>
          <w:rFonts w:hint="cs"/>
          <w:b/>
          <w:bCs/>
          <w:sz w:val="24"/>
          <w:rtl/>
        </w:rPr>
        <w:t>מעו"ז</w:t>
      </w:r>
      <w:r w:rsidRPr="00326A1A">
        <w:rPr>
          <w:b/>
          <w:bCs/>
          <w:sz w:val="24"/>
          <w:rtl/>
        </w:rPr>
        <w:t>, ובפרקי זמן ניכרים בתקופה זו היה שיהוי בטיפול בנושא, לעיתים במשרד המשפטים ולעיתים במשטרת ישראל</w:t>
      </w:r>
      <w:r w:rsidRPr="00643117">
        <w:rPr>
          <w:b/>
          <w:bCs/>
          <w:sz w:val="24"/>
          <w:rtl/>
        </w:rPr>
        <w:t>.</w:t>
      </w:r>
      <w:r w:rsidRPr="007E48BA">
        <w:rPr>
          <w:rFonts w:hint="cs"/>
          <w:b/>
          <w:bCs/>
          <w:sz w:val="24"/>
          <w:rtl/>
        </w:rPr>
        <w:t xml:space="preserve"> כתוצאה</w:t>
      </w:r>
      <w:r>
        <w:rPr>
          <w:rFonts w:hint="cs"/>
          <w:b/>
          <w:bCs/>
          <w:sz w:val="24"/>
          <w:rtl/>
        </w:rPr>
        <w:t xml:space="preserve"> מאלה הט</w:t>
      </w:r>
      <w:r>
        <w:rPr>
          <w:rFonts w:hint="cs"/>
          <w:b/>
          <w:bCs/>
          <w:sz w:val="24"/>
          <w:rtl/>
        </w:rPr>
        <w:t>יפול בהכנת תזכיר החוק ארך זמן כה רב</w:t>
      </w:r>
      <w:r w:rsidRPr="004A0234">
        <w:rPr>
          <w:rFonts w:hint="cs"/>
          <w:b/>
          <w:bCs/>
          <w:sz w:val="24"/>
          <w:rtl/>
        </w:rPr>
        <w:t>. השיהוי בקבלת ההחלטות האלה משמעותו עיכוב בהשלמת החקיקה הנדרשת לצורך הסדרת נטילת מידע ביומטרי מזרים ושמירתו במאגר.</w:t>
      </w:r>
    </w:p>
    <w:p w:rsidR="002D0C59" w:rsidRPr="00A21F5C" w:rsidP="00AE0BE6" w14:paraId="6D2881BD" w14:textId="77777777">
      <w:pPr>
        <w:pStyle w:val="a"/>
        <w:spacing w:line="269" w:lineRule="auto"/>
        <w:rPr>
          <w:rtl/>
        </w:rPr>
      </w:pPr>
    </w:p>
    <w:p w:rsidR="002D0C59" w:rsidRPr="0088271E" w:rsidP="00AE0BE6" w14:paraId="460624EC" w14:textId="77777777">
      <w:pPr>
        <w:pStyle w:val="ListParagraph"/>
        <w:numPr>
          <w:ilvl w:val="0"/>
          <w:numId w:val="17"/>
        </w:numPr>
        <w:spacing w:after="0" w:line="269" w:lineRule="auto"/>
        <w:jc w:val="both"/>
        <w:rPr>
          <w:rFonts w:cs="David"/>
          <w:sz w:val="24"/>
          <w:szCs w:val="24"/>
          <w:rtl/>
        </w:rPr>
      </w:pPr>
      <w:r w:rsidRPr="00377347">
        <w:rPr>
          <w:rStyle w:val="5"/>
          <w:rFonts w:cs="David" w:hint="eastAsia"/>
          <w:sz w:val="24"/>
          <w:szCs w:val="24"/>
          <w:rtl/>
        </w:rPr>
        <w:t>נטילת</w:t>
      </w:r>
      <w:r w:rsidRPr="00377347">
        <w:rPr>
          <w:rStyle w:val="5"/>
          <w:rFonts w:cs="David"/>
          <w:sz w:val="24"/>
          <w:szCs w:val="24"/>
          <w:rtl/>
        </w:rPr>
        <w:t xml:space="preserve"> </w:t>
      </w:r>
      <w:r w:rsidRPr="00377347">
        <w:rPr>
          <w:rStyle w:val="5"/>
          <w:rFonts w:cs="David" w:hint="eastAsia"/>
          <w:sz w:val="24"/>
          <w:szCs w:val="24"/>
          <w:rtl/>
        </w:rPr>
        <w:t>אמצעי</w:t>
      </w:r>
      <w:r w:rsidRPr="00377347">
        <w:rPr>
          <w:rStyle w:val="5"/>
          <w:rFonts w:cs="David"/>
          <w:sz w:val="24"/>
          <w:szCs w:val="24"/>
          <w:rtl/>
        </w:rPr>
        <w:t xml:space="preserve"> </w:t>
      </w:r>
      <w:r w:rsidRPr="00377347">
        <w:rPr>
          <w:rStyle w:val="5"/>
          <w:rFonts w:cs="David" w:hint="eastAsia"/>
          <w:sz w:val="24"/>
          <w:szCs w:val="24"/>
          <w:rtl/>
        </w:rPr>
        <w:t>זיהוי</w:t>
      </w:r>
      <w:r w:rsidRPr="00377347">
        <w:rPr>
          <w:rStyle w:val="5"/>
          <w:rFonts w:cs="David"/>
          <w:sz w:val="24"/>
          <w:szCs w:val="24"/>
          <w:rtl/>
        </w:rPr>
        <w:t xml:space="preserve"> </w:t>
      </w:r>
      <w:r w:rsidRPr="00377347">
        <w:rPr>
          <w:rStyle w:val="5"/>
          <w:rFonts w:cs="David" w:hint="eastAsia"/>
          <w:sz w:val="24"/>
          <w:szCs w:val="24"/>
          <w:rtl/>
        </w:rPr>
        <w:t>ביומטריים</w:t>
      </w:r>
      <w:r w:rsidRPr="00377347">
        <w:rPr>
          <w:rStyle w:val="5"/>
          <w:rFonts w:cs="David"/>
          <w:sz w:val="24"/>
          <w:szCs w:val="24"/>
          <w:rtl/>
        </w:rPr>
        <w:t xml:space="preserve"> </w:t>
      </w:r>
      <w:r w:rsidRPr="00377347">
        <w:rPr>
          <w:rStyle w:val="5"/>
          <w:rFonts w:cs="David" w:hint="eastAsia"/>
          <w:sz w:val="24"/>
          <w:szCs w:val="24"/>
          <w:rtl/>
        </w:rPr>
        <w:t>מקטינים</w:t>
      </w:r>
      <w:r w:rsidRPr="00377347">
        <w:rPr>
          <w:rStyle w:val="5"/>
          <w:rFonts w:cs="David"/>
          <w:sz w:val="24"/>
          <w:szCs w:val="24"/>
          <w:rtl/>
        </w:rPr>
        <w:t>:</w:t>
      </w:r>
      <w:r w:rsidRPr="007039AA">
        <w:rPr>
          <w:rStyle w:val="5"/>
          <w:rFonts w:cs="David"/>
          <w:b/>
          <w:bCs w:val="0"/>
          <w:sz w:val="24"/>
          <w:szCs w:val="24"/>
          <w:rtl/>
        </w:rPr>
        <w:t xml:space="preserve"> </w:t>
      </w:r>
      <w:r w:rsidRPr="0088271E">
        <w:rPr>
          <w:rFonts w:cs="David" w:hint="cs"/>
          <w:sz w:val="24"/>
          <w:szCs w:val="24"/>
          <w:rtl/>
        </w:rPr>
        <w:t>במאי 2012 ביקשה המשנה דאז ליועמ</w:t>
      </w:r>
      <w:r w:rsidRPr="0088271E">
        <w:rPr>
          <w:rFonts w:cs="David"/>
          <w:sz w:val="24"/>
          <w:szCs w:val="24"/>
          <w:rtl/>
        </w:rPr>
        <w:t>"</w:t>
      </w:r>
      <w:r w:rsidRPr="0088271E">
        <w:rPr>
          <w:rFonts w:cs="David" w:hint="cs"/>
          <w:sz w:val="24"/>
          <w:szCs w:val="24"/>
          <w:rtl/>
        </w:rPr>
        <w:t>ש (חקיקה) ממשרד הפנים לפרט את הטעמים</w:t>
      </w:r>
      <w:r w:rsidRPr="0088271E">
        <w:rPr>
          <w:rFonts w:cs="David" w:hint="cs"/>
          <w:sz w:val="24"/>
          <w:szCs w:val="24"/>
          <w:rtl/>
        </w:rPr>
        <w:t xml:space="preserve"> לנטילת אמצעים ביומטריים מקטינים. מסקירה שערך משרד המשפטים עולה, כי בארבע מדינות - אוסטרליה, אנגלייה, ארצות הברית וקנדה - ניטלים אמצעי זיהוי ביומטריים גם מקטינים. במרץ 2014 החליטה המשנה ליועמ</w:t>
      </w:r>
      <w:r w:rsidRPr="0088271E">
        <w:rPr>
          <w:rFonts w:cs="David"/>
          <w:sz w:val="24"/>
          <w:szCs w:val="24"/>
          <w:rtl/>
        </w:rPr>
        <w:t>"</w:t>
      </w:r>
      <w:r w:rsidRPr="0088271E">
        <w:rPr>
          <w:rFonts w:cs="David" w:hint="cs"/>
          <w:sz w:val="24"/>
          <w:szCs w:val="24"/>
          <w:rtl/>
        </w:rPr>
        <w:t>ש (חקיקה) כי ההיבטים הנוגעים לנטילת אמצעים ביומטריים מקטינים ולש</w:t>
      </w:r>
      <w:r w:rsidRPr="0088271E">
        <w:rPr>
          <w:rFonts w:cs="David" w:hint="cs"/>
          <w:sz w:val="24"/>
          <w:szCs w:val="24"/>
          <w:rtl/>
        </w:rPr>
        <w:t>ימוש בהם למטרות משטרתיות יובאו לדיון משותף עם שני משנים אחרים ליועמ</w:t>
      </w:r>
      <w:r w:rsidRPr="0088271E">
        <w:rPr>
          <w:rFonts w:cs="David"/>
          <w:sz w:val="24"/>
          <w:szCs w:val="24"/>
          <w:rtl/>
        </w:rPr>
        <w:t>"</w:t>
      </w:r>
      <w:r w:rsidRPr="0088271E">
        <w:rPr>
          <w:rFonts w:cs="David" w:hint="cs"/>
          <w:sz w:val="24"/>
          <w:szCs w:val="24"/>
          <w:rtl/>
        </w:rPr>
        <w:t xml:space="preserve">ש (ייעוץ ופלילי) ובכלל זה הסמכות להשתמש בכוח סביר כדי ליטול אמצעי זיהוי ביומטריים מקטינים שיתנגדו לכך. </w:t>
      </w:r>
      <w:r w:rsidRPr="00EA63EF">
        <w:rPr>
          <w:rFonts w:ascii="Times New Roman" w:hAnsi="Times New Roman" w:eastAsiaTheme="minorHAnsi" w:cs="David"/>
          <w:sz w:val="20"/>
          <w:szCs w:val="24"/>
          <w:rtl/>
        </w:rPr>
        <w:t xml:space="preserve">במהלך </w:t>
      </w:r>
      <w:r>
        <w:rPr>
          <w:rFonts w:ascii="Times New Roman" w:hAnsi="Times New Roman" w:eastAsiaTheme="minorHAnsi" w:cs="David" w:hint="cs"/>
          <w:sz w:val="20"/>
          <w:szCs w:val="24"/>
          <w:rtl/>
        </w:rPr>
        <w:t>שנה זו</w:t>
      </w:r>
      <w:r w:rsidRPr="00EA63EF">
        <w:rPr>
          <w:rFonts w:ascii="Times New Roman" w:hAnsi="Times New Roman" w:eastAsiaTheme="minorHAnsi" w:cs="David"/>
          <w:sz w:val="20"/>
          <w:szCs w:val="24"/>
          <w:rtl/>
        </w:rPr>
        <w:t xml:space="preserve"> </w:t>
      </w:r>
      <w:r w:rsidRPr="00EA63EF">
        <w:rPr>
          <w:rFonts w:ascii="Times New Roman" w:hAnsi="Times New Roman" w:eastAsiaTheme="minorHAnsi" w:cs="David" w:hint="eastAsia"/>
          <w:sz w:val="20"/>
          <w:szCs w:val="24"/>
          <w:rtl/>
        </w:rPr>
        <w:t>הת</w:t>
      </w:r>
      <w:r w:rsidRPr="00EA63EF">
        <w:rPr>
          <w:rFonts w:ascii="Times New Roman" w:hAnsi="Times New Roman" w:eastAsiaTheme="minorHAnsi" w:cs="David" w:hint="cs"/>
          <w:sz w:val="20"/>
          <w:szCs w:val="24"/>
          <w:rtl/>
        </w:rPr>
        <w:t>גלעה מחלוקת בין המשנים ליועמ</w:t>
      </w:r>
      <w:r w:rsidRPr="00EA63EF">
        <w:rPr>
          <w:rFonts w:ascii="Times New Roman" w:hAnsi="Times New Roman" w:eastAsiaTheme="minorHAnsi" w:cs="David"/>
          <w:sz w:val="20"/>
          <w:szCs w:val="24"/>
          <w:rtl/>
        </w:rPr>
        <w:t>"</w:t>
      </w:r>
      <w:r w:rsidRPr="00EA63EF">
        <w:rPr>
          <w:rFonts w:ascii="Times New Roman" w:hAnsi="Times New Roman" w:eastAsiaTheme="minorHAnsi" w:cs="David" w:hint="cs"/>
          <w:sz w:val="20"/>
          <w:szCs w:val="24"/>
          <w:rtl/>
        </w:rPr>
        <w:t>ש, והם ביקשו לדון בכך עם היועמ</w:t>
      </w:r>
      <w:r w:rsidRPr="00EA63EF">
        <w:rPr>
          <w:rFonts w:ascii="Times New Roman" w:hAnsi="Times New Roman" w:eastAsiaTheme="minorHAnsi" w:cs="David"/>
          <w:sz w:val="20"/>
          <w:szCs w:val="24"/>
          <w:rtl/>
        </w:rPr>
        <w:t>"</w:t>
      </w:r>
      <w:r w:rsidRPr="00EA63EF">
        <w:rPr>
          <w:rFonts w:ascii="Times New Roman" w:hAnsi="Times New Roman" w:eastAsiaTheme="minorHAnsi" w:cs="David" w:hint="cs"/>
          <w:sz w:val="20"/>
          <w:szCs w:val="24"/>
          <w:rtl/>
        </w:rPr>
        <w:t>ש.</w:t>
      </w:r>
    </w:p>
    <w:p w:rsidR="002D0C59" w:rsidRPr="00A21F5C" w:rsidP="00AE0BE6" w14:paraId="74C355E9" w14:textId="77777777">
      <w:pPr>
        <w:pStyle w:val="a"/>
        <w:spacing w:line="269" w:lineRule="auto"/>
        <w:rPr>
          <w:rtl/>
        </w:rPr>
      </w:pPr>
    </w:p>
    <w:p w:rsidR="002D0C59" w:rsidP="00AE0BE6" w14:paraId="04C3C63B" w14:textId="77777777">
      <w:pPr>
        <w:spacing w:line="269" w:lineRule="auto"/>
        <w:ind w:left="312"/>
        <w:rPr>
          <w:bCs/>
          <w:i/>
          <w:iCs/>
          <w:szCs w:val="26"/>
          <w:rtl/>
        </w:rPr>
      </w:pPr>
      <w:r w:rsidRPr="004A0234">
        <w:rPr>
          <w:rFonts w:hint="eastAsia"/>
          <w:b/>
          <w:bCs/>
          <w:sz w:val="24"/>
          <w:rtl/>
        </w:rPr>
        <w:t>נמצא</w:t>
      </w:r>
      <w:r w:rsidRPr="004A0234">
        <w:rPr>
          <w:b/>
          <w:bCs/>
          <w:sz w:val="24"/>
          <w:rtl/>
        </w:rPr>
        <w:t xml:space="preserve"> כ</w:t>
      </w:r>
      <w:r w:rsidRPr="004A0234">
        <w:rPr>
          <w:b/>
          <w:bCs/>
          <w:sz w:val="24"/>
          <w:rtl/>
        </w:rPr>
        <w:t xml:space="preserve">י </w:t>
      </w:r>
      <w:r w:rsidRPr="004A0234">
        <w:rPr>
          <w:rFonts w:hint="eastAsia"/>
          <w:b/>
          <w:bCs/>
          <w:sz w:val="24"/>
          <w:rtl/>
        </w:rPr>
        <w:t>רק</w:t>
      </w:r>
      <w:r w:rsidRPr="004A0234">
        <w:rPr>
          <w:b/>
          <w:bCs/>
          <w:sz w:val="24"/>
          <w:rtl/>
        </w:rPr>
        <w:t xml:space="preserve"> כעבור שנתיים, במאי 2016, </w:t>
      </w:r>
      <w:r w:rsidRPr="004A0234">
        <w:rPr>
          <w:rFonts w:hint="eastAsia"/>
          <w:b/>
          <w:bCs/>
          <w:sz w:val="24"/>
          <w:rtl/>
        </w:rPr>
        <w:t>התקבלה</w:t>
      </w:r>
      <w:r w:rsidRPr="004A0234">
        <w:rPr>
          <w:b/>
          <w:bCs/>
          <w:sz w:val="24"/>
          <w:rtl/>
        </w:rPr>
        <w:t xml:space="preserve"> החלטה בנושא בידי </w:t>
      </w:r>
      <w:r w:rsidRPr="007039AA">
        <w:rPr>
          <w:rFonts w:hint="eastAsia"/>
          <w:b/>
          <w:bCs/>
          <w:sz w:val="24"/>
          <w:rtl/>
        </w:rPr>
        <w:t>היועץ</w:t>
      </w:r>
      <w:r w:rsidRPr="007039AA">
        <w:rPr>
          <w:b/>
          <w:bCs/>
          <w:sz w:val="24"/>
          <w:rtl/>
        </w:rPr>
        <w:t xml:space="preserve"> </w:t>
      </w:r>
      <w:r w:rsidRPr="007039AA">
        <w:rPr>
          <w:rFonts w:hint="eastAsia"/>
          <w:b/>
          <w:bCs/>
          <w:sz w:val="24"/>
          <w:rtl/>
        </w:rPr>
        <w:t>המשפטי</w:t>
      </w:r>
      <w:r w:rsidRPr="007039AA">
        <w:rPr>
          <w:b/>
          <w:bCs/>
          <w:sz w:val="24"/>
          <w:rtl/>
        </w:rPr>
        <w:t xml:space="preserve"> </w:t>
      </w:r>
      <w:r w:rsidRPr="007039AA">
        <w:rPr>
          <w:rFonts w:hint="eastAsia"/>
          <w:b/>
          <w:bCs/>
          <w:sz w:val="24"/>
          <w:rtl/>
        </w:rPr>
        <w:t>לממשלה</w:t>
      </w:r>
      <w:r>
        <w:rPr>
          <w:rFonts w:hint="cs"/>
          <w:b/>
          <w:bCs/>
          <w:sz w:val="24"/>
          <w:rtl/>
        </w:rPr>
        <w:t>,</w:t>
      </w:r>
      <w:r w:rsidRPr="004A0234">
        <w:rPr>
          <w:rFonts w:hint="cs"/>
          <w:b/>
          <w:bCs/>
          <w:sz w:val="24"/>
          <w:rtl/>
        </w:rPr>
        <w:t xml:space="preserve"> </w:t>
      </w:r>
      <w:r>
        <w:rPr>
          <w:rFonts w:hint="cs"/>
          <w:b/>
          <w:bCs/>
          <w:sz w:val="24"/>
          <w:rtl/>
        </w:rPr>
        <w:t>ו</w:t>
      </w:r>
      <w:r w:rsidRPr="004A0234">
        <w:rPr>
          <w:rFonts w:hint="cs"/>
          <w:b/>
          <w:bCs/>
          <w:sz w:val="24"/>
          <w:rtl/>
        </w:rPr>
        <w:t>לפיה רשות האוכלוסין תקבע בנוהל מהו "שימוש בכוח סביר" וכן תקבע אמות מידה להתרת השימוש בכוח</w:t>
      </w:r>
      <w:r w:rsidRPr="004A0234">
        <w:rPr>
          <w:b/>
          <w:bCs/>
          <w:sz w:val="24"/>
          <w:rtl/>
        </w:rPr>
        <w:t xml:space="preserve">. </w:t>
      </w:r>
    </w:p>
    <w:p w:rsidR="002D0C59" w:rsidRPr="00A21F5C" w:rsidP="00AE0BE6" w14:paraId="65987F34" w14:textId="77777777">
      <w:pPr>
        <w:pStyle w:val="a"/>
        <w:spacing w:line="269" w:lineRule="auto"/>
        <w:rPr>
          <w:rtl/>
        </w:rPr>
      </w:pPr>
    </w:p>
    <w:p w:rsidR="002D0C59" w:rsidP="00AE0BE6" w14:paraId="2654C974" w14:textId="7831E0DC">
      <w:pPr>
        <w:spacing w:line="269" w:lineRule="auto"/>
        <w:rPr>
          <w:sz w:val="24"/>
          <w:rtl/>
        </w:rPr>
      </w:pPr>
      <w:r>
        <w:rPr>
          <w:rFonts w:hint="cs"/>
          <w:sz w:val="24"/>
          <w:rtl/>
        </w:rPr>
        <w:t xml:space="preserve">יצוין כי </w:t>
      </w:r>
      <w:r w:rsidRPr="004A0234">
        <w:rPr>
          <w:rFonts w:hint="eastAsia"/>
          <w:sz w:val="24"/>
          <w:rtl/>
        </w:rPr>
        <w:t>במשך</w:t>
      </w:r>
      <w:r w:rsidRPr="004A0234">
        <w:rPr>
          <w:sz w:val="24"/>
          <w:rtl/>
        </w:rPr>
        <w:t xml:space="preserve"> </w:t>
      </w:r>
      <w:r w:rsidRPr="004A0234">
        <w:rPr>
          <w:rFonts w:hint="eastAsia"/>
          <w:sz w:val="24"/>
          <w:rtl/>
        </w:rPr>
        <w:t>השנים</w:t>
      </w:r>
      <w:r w:rsidRPr="004A0234">
        <w:rPr>
          <w:sz w:val="24"/>
          <w:rtl/>
        </w:rPr>
        <w:t xml:space="preserve"> </w:t>
      </w:r>
      <w:r w:rsidRPr="004A0234">
        <w:rPr>
          <w:rFonts w:hint="eastAsia"/>
          <w:sz w:val="24"/>
          <w:rtl/>
        </w:rPr>
        <w:t>פעלה</w:t>
      </w:r>
      <w:r w:rsidRPr="004A0234">
        <w:rPr>
          <w:sz w:val="24"/>
          <w:rtl/>
        </w:rPr>
        <w:t xml:space="preserve"> </w:t>
      </w:r>
      <w:r w:rsidRPr="004A0234">
        <w:rPr>
          <w:rFonts w:hint="eastAsia"/>
          <w:sz w:val="24"/>
          <w:rtl/>
        </w:rPr>
        <w:t>רשות</w:t>
      </w:r>
      <w:r w:rsidRPr="004A0234">
        <w:rPr>
          <w:sz w:val="24"/>
          <w:rtl/>
        </w:rPr>
        <w:t xml:space="preserve"> </w:t>
      </w:r>
      <w:r w:rsidRPr="004A0234">
        <w:rPr>
          <w:rFonts w:hint="eastAsia"/>
          <w:sz w:val="24"/>
          <w:rtl/>
        </w:rPr>
        <w:t>האוכלוסין</w:t>
      </w:r>
      <w:r w:rsidRPr="004A0234">
        <w:rPr>
          <w:sz w:val="24"/>
          <w:rtl/>
        </w:rPr>
        <w:t xml:space="preserve"> </w:t>
      </w:r>
      <w:r w:rsidRPr="004A0234">
        <w:rPr>
          <w:rFonts w:hint="eastAsia"/>
          <w:sz w:val="24"/>
          <w:rtl/>
        </w:rPr>
        <w:t>כדי</w:t>
      </w:r>
      <w:r w:rsidRPr="004A0234">
        <w:rPr>
          <w:sz w:val="24"/>
          <w:rtl/>
        </w:rPr>
        <w:t xml:space="preserve"> </w:t>
      </w:r>
      <w:r w:rsidRPr="004A0234">
        <w:rPr>
          <w:rFonts w:hint="eastAsia"/>
          <w:sz w:val="24"/>
          <w:rtl/>
        </w:rPr>
        <w:t>לקדם</w:t>
      </w:r>
      <w:r w:rsidRPr="004A0234">
        <w:rPr>
          <w:sz w:val="24"/>
          <w:rtl/>
        </w:rPr>
        <w:t xml:space="preserve"> </w:t>
      </w:r>
      <w:r w:rsidRPr="004A0234">
        <w:rPr>
          <w:rFonts w:hint="eastAsia"/>
          <w:sz w:val="24"/>
          <w:rtl/>
        </w:rPr>
        <w:t>את</w:t>
      </w:r>
      <w:r w:rsidRPr="004A0234">
        <w:rPr>
          <w:sz w:val="24"/>
          <w:rtl/>
        </w:rPr>
        <w:t xml:space="preserve"> </w:t>
      </w:r>
      <w:r w:rsidRPr="004A0234">
        <w:rPr>
          <w:rFonts w:hint="eastAsia"/>
          <w:sz w:val="24"/>
          <w:rtl/>
        </w:rPr>
        <w:t>תזכיר</w:t>
      </w:r>
      <w:r w:rsidRPr="004A0234">
        <w:rPr>
          <w:sz w:val="24"/>
          <w:rtl/>
        </w:rPr>
        <w:t xml:space="preserve"> </w:t>
      </w:r>
      <w:r w:rsidRPr="004A0234">
        <w:rPr>
          <w:rFonts w:hint="eastAsia"/>
          <w:sz w:val="24"/>
          <w:rtl/>
        </w:rPr>
        <w:t>החוק</w:t>
      </w:r>
      <w:r w:rsidRPr="004A0234">
        <w:rPr>
          <w:sz w:val="24"/>
          <w:rtl/>
        </w:rPr>
        <w:t xml:space="preserve"> </w:t>
      </w:r>
      <w:r w:rsidRPr="004A0234">
        <w:rPr>
          <w:rFonts w:hint="eastAsia"/>
          <w:sz w:val="24"/>
          <w:rtl/>
        </w:rPr>
        <w:t>ופנתה</w:t>
      </w:r>
      <w:r>
        <w:rPr>
          <w:rFonts w:hint="cs"/>
          <w:sz w:val="24"/>
          <w:rtl/>
        </w:rPr>
        <w:t xml:space="preserve"> </w:t>
      </w:r>
      <w:r w:rsidRPr="004A0234">
        <w:rPr>
          <w:rFonts w:hint="cs"/>
          <w:sz w:val="24"/>
          <w:rtl/>
        </w:rPr>
        <w:t xml:space="preserve">כמה </w:t>
      </w:r>
      <w:r w:rsidRPr="004A0234">
        <w:rPr>
          <w:rFonts w:hint="eastAsia"/>
          <w:sz w:val="24"/>
          <w:rtl/>
        </w:rPr>
        <w:t>פעמים</w:t>
      </w:r>
      <w:r w:rsidRPr="004A0234">
        <w:rPr>
          <w:sz w:val="24"/>
          <w:rtl/>
        </w:rPr>
        <w:t xml:space="preserve"> </w:t>
      </w:r>
      <w:r w:rsidRPr="004A0234">
        <w:rPr>
          <w:rFonts w:hint="eastAsia"/>
          <w:sz w:val="24"/>
          <w:rtl/>
        </w:rPr>
        <w:t>למשרד</w:t>
      </w:r>
      <w:r w:rsidRPr="004A0234">
        <w:rPr>
          <w:sz w:val="24"/>
          <w:rtl/>
        </w:rPr>
        <w:t xml:space="preserve"> </w:t>
      </w:r>
      <w:r w:rsidRPr="004A0234">
        <w:rPr>
          <w:rFonts w:hint="eastAsia"/>
          <w:sz w:val="24"/>
          <w:rtl/>
        </w:rPr>
        <w:t>המשפטים</w:t>
      </w:r>
      <w:r w:rsidRPr="004A0234">
        <w:rPr>
          <w:sz w:val="24"/>
          <w:rtl/>
        </w:rPr>
        <w:t xml:space="preserve"> </w:t>
      </w:r>
      <w:r>
        <w:rPr>
          <w:rFonts w:hint="cs"/>
          <w:sz w:val="24"/>
          <w:rtl/>
        </w:rPr>
        <w:t xml:space="preserve">בבקשה </w:t>
      </w:r>
      <w:r w:rsidRPr="004A0234">
        <w:rPr>
          <w:rFonts w:hint="eastAsia"/>
          <w:sz w:val="24"/>
          <w:rtl/>
        </w:rPr>
        <w:t>לסייע</w:t>
      </w:r>
      <w:r w:rsidRPr="004A0234">
        <w:rPr>
          <w:sz w:val="24"/>
          <w:rtl/>
        </w:rPr>
        <w:t xml:space="preserve"> </w:t>
      </w:r>
      <w:r w:rsidRPr="004A0234">
        <w:rPr>
          <w:rFonts w:hint="eastAsia"/>
          <w:sz w:val="24"/>
          <w:rtl/>
        </w:rPr>
        <w:t>לה</w:t>
      </w:r>
      <w:r w:rsidRPr="004A0234">
        <w:rPr>
          <w:sz w:val="24"/>
          <w:rtl/>
        </w:rPr>
        <w:t xml:space="preserve"> </w:t>
      </w:r>
      <w:r w:rsidRPr="004A0234">
        <w:rPr>
          <w:rFonts w:hint="eastAsia"/>
          <w:sz w:val="24"/>
          <w:rtl/>
        </w:rPr>
        <w:t>בעניין</w:t>
      </w:r>
      <w:r w:rsidRPr="004A0234">
        <w:rPr>
          <w:sz w:val="24"/>
          <w:rtl/>
        </w:rPr>
        <w:t xml:space="preserve"> </w:t>
      </w:r>
      <w:r w:rsidRPr="004A0234">
        <w:rPr>
          <w:rFonts w:hint="eastAsia"/>
          <w:sz w:val="24"/>
          <w:rtl/>
        </w:rPr>
        <w:t>זה</w:t>
      </w:r>
      <w:r w:rsidRPr="004A0234">
        <w:rPr>
          <w:rFonts w:hint="cs"/>
          <w:sz w:val="24"/>
          <w:rtl/>
        </w:rPr>
        <w:t>, לדוגמה באוגוסט 2015 ובינואר 2016.</w:t>
      </w:r>
      <w:r w:rsidRPr="004A0234">
        <w:rPr>
          <w:sz w:val="24"/>
          <w:rtl/>
        </w:rPr>
        <w:t xml:space="preserve"> </w:t>
      </w:r>
      <w:r w:rsidRPr="004A0234">
        <w:rPr>
          <w:rFonts w:hint="cs"/>
          <w:sz w:val="24"/>
          <w:rtl/>
        </w:rPr>
        <w:t>אולם רק באוקטובר 2019</w:t>
      </w:r>
      <w:r>
        <w:rPr>
          <w:rFonts w:hint="cs"/>
          <w:sz w:val="24"/>
          <w:rtl/>
        </w:rPr>
        <w:t xml:space="preserve">, </w:t>
      </w:r>
      <w:r w:rsidRPr="004A0234">
        <w:rPr>
          <w:rFonts w:hint="cs"/>
          <w:sz w:val="24"/>
          <w:rtl/>
        </w:rPr>
        <w:t>בסמוך למועד סיום הביקורת</w:t>
      </w:r>
      <w:r>
        <w:rPr>
          <w:rFonts w:hint="cs"/>
          <w:sz w:val="24"/>
          <w:rtl/>
        </w:rPr>
        <w:t>,</w:t>
      </w:r>
      <w:r w:rsidRPr="004A0234">
        <w:rPr>
          <w:rFonts w:hint="cs"/>
          <w:sz w:val="24"/>
          <w:rtl/>
        </w:rPr>
        <w:t xml:space="preserve"> גובש נוסח מוסכם של הצעת החוק</w:t>
      </w:r>
      <w:r>
        <w:rPr>
          <w:rFonts w:hint="cs"/>
          <w:sz w:val="24"/>
          <w:rtl/>
        </w:rPr>
        <w:t>.</w:t>
      </w:r>
      <w:r w:rsidRPr="004A0234">
        <w:rPr>
          <w:rFonts w:hint="cs"/>
          <w:sz w:val="24"/>
          <w:rtl/>
        </w:rPr>
        <w:t xml:space="preserve"> </w:t>
      </w:r>
    </w:p>
    <w:p w:rsidR="00CA38F7" w:rsidP="00AE0BE6" w14:paraId="2C8C3E93" w14:textId="77777777">
      <w:pPr>
        <w:spacing w:line="269" w:lineRule="auto"/>
        <w:rPr>
          <w:sz w:val="24"/>
          <w:rtl/>
        </w:rPr>
      </w:pPr>
    </w:p>
    <w:p w:rsidR="002D0C59" w:rsidRPr="008A4394" w:rsidP="00AE0BE6" w14:paraId="1DC13FA2" w14:textId="77777777">
      <w:pPr>
        <w:spacing w:line="269" w:lineRule="auto"/>
        <w:jc w:val="center"/>
        <w:rPr>
          <w:rFonts w:ascii="Arial" w:hAnsi="Arial" w:cs="Arial"/>
          <w:sz w:val="36"/>
          <w:rtl/>
        </w:rPr>
      </w:pPr>
      <w:r>
        <w:rPr>
          <w:rFonts w:ascii="Segoe UI Symbol" w:hAnsi="Segoe UI Symbol" w:cs="Segoe UI Symbol" w:hint="cs"/>
          <w:sz w:val="36"/>
          <w:rtl/>
        </w:rPr>
        <w:t>✰</w:t>
      </w:r>
    </w:p>
    <w:p w:rsidR="002D0C59" w:rsidP="00AE0BE6" w14:paraId="19B2F130" w14:textId="5D51D011">
      <w:pPr>
        <w:pStyle w:val="a"/>
        <w:spacing w:line="269" w:lineRule="auto"/>
        <w:rPr>
          <w:rtl/>
        </w:rPr>
      </w:pPr>
    </w:p>
    <w:p w:rsidR="00CA38F7" w:rsidRPr="00CA38F7" w:rsidP="00CA38F7" w14:paraId="26A7F21F" w14:textId="77777777">
      <w:pPr>
        <w:rPr>
          <w:rtl/>
        </w:rPr>
      </w:pPr>
      <w:bookmarkStart w:id="0" w:name="_GoBack"/>
      <w:bookmarkEnd w:id="0"/>
    </w:p>
    <w:p w:rsidR="002D0C59" w:rsidP="00AE0BE6" w14:paraId="00DB6EEC" w14:textId="77777777">
      <w:pPr>
        <w:spacing w:line="269" w:lineRule="auto"/>
        <w:rPr>
          <w:b/>
          <w:bCs/>
          <w:sz w:val="24"/>
          <w:rtl/>
        </w:rPr>
      </w:pPr>
      <w:r w:rsidRPr="004A0234">
        <w:rPr>
          <w:rFonts w:hint="cs"/>
          <w:b/>
          <w:bCs/>
          <w:sz w:val="24"/>
          <w:rtl/>
        </w:rPr>
        <w:t xml:space="preserve">במשך 15 שנים, מ-2004 ועד מועד סיום הביקורת באוגוסט 2019, טרם הסתיים גיבושו של תזכיר החוק. רק באוקטובר </w:t>
      </w:r>
      <w:r w:rsidRPr="004A0234">
        <w:rPr>
          <w:rFonts w:hint="cs"/>
          <w:b/>
          <w:bCs/>
          <w:sz w:val="24"/>
          <w:rtl/>
        </w:rPr>
        <w:t>2019 הושלם תזכיר החוק ו</w:t>
      </w:r>
      <w:r>
        <w:rPr>
          <w:rFonts w:hint="cs"/>
          <w:b/>
          <w:bCs/>
          <w:sz w:val="24"/>
          <w:rtl/>
        </w:rPr>
        <w:t xml:space="preserve">היה </w:t>
      </w:r>
      <w:r w:rsidRPr="004A0234">
        <w:rPr>
          <w:rFonts w:hint="cs"/>
          <w:b/>
          <w:bCs/>
          <w:sz w:val="24"/>
          <w:rtl/>
        </w:rPr>
        <w:t xml:space="preserve">אפשר להביאו לפני ועדת השרים לחקיקה. </w:t>
      </w:r>
      <w:r>
        <w:rPr>
          <w:rFonts w:hint="cs"/>
          <w:b/>
          <w:bCs/>
          <w:sz w:val="24"/>
          <w:rtl/>
        </w:rPr>
        <w:t>נכון ל</w:t>
      </w:r>
      <w:r w:rsidRPr="004A0234">
        <w:rPr>
          <w:rFonts w:hint="cs"/>
          <w:b/>
          <w:bCs/>
          <w:sz w:val="24"/>
          <w:rtl/>
        </w:rPr>
        <w:t xml:space="preserve">אוגוסט 2019 </w:t>
      </w:r>
      <w:r>
        <w:rPr>
          <w:rFonts w:hint="cs"/>
          <w:b/>
          <w:bCs/>
          <w:sz w:val="24"/>
          <w:rtl/>
        </w:rPr>
        <w:t>כניסת עובד זר לישראל מותנית במסירת טביעת אצבע אשר</w:t>
      </w:r>
      <w:r w:rsidR="00EC0F52">
        <w:rPr>
          <w:rFonts w:hint="cs"/>
          <w:b/>
          <w:bCs/>
          <w:sz w:val="24"/>
          <w:rtl/>
        </w:rPr>
        <w:t xml:space="preserve"> </w:t>
      </w:r>
      <w:r>
        <w:rPr>
          <w:rFonts w:hint="cs"/>
          <w:b/>
          <w:bCs/>
          <w:sz w:val="24"/>
          <w:rtl/>
        </w:rPr>
        <w:t>נשמרת</w:t>
      </w:r>
      <w:r w:rsidRPr="004A0234">
        <w:rPr>
          <w:rFonts w:hint="cs"/>
          <w:b/>
          <w:bCs/>
          <w:sz w:val="24"/>
          <w:rtl/>
        </w:rPr>
        <w:t xml:space="preserve"> במאגר מעו"ז</w:t>
      </w:r>
      <w:r w:rsidRPr="004A0234">
        <w:rPr>
          <w:sz w:val="24"/>
          <w:rtl/>
        </w:rPr>
        <w:t xml:space="preserve"> </w:t>
      </w:r>
      <w:r w:rsidRPr="004A0234">
        <w:rPr>
          <w:rFonts w:hint="cs"/>
          <w:b/>
          <w:bCs/>
          <w:sz w:val="24"/>
          <w:rtl/>
        </w:rPr>
        <w:t xml:space="preserve">(שבו </w:t>
      </w:r>
      <w:r w:rsidRPr="004A0234">
        <w:rPr>
          <w:b/>
          <w:bCs/>
          <w:sz w:val="24"/>
          <w:rtl/>
        </w:rPr>
        <w:t xml:space="preserve">מידע ביומטרי על כחצי מיליון </w:t>
      </w:r>
      <w:r>
        <w:rPr>
          <w:rFonts w:hint="cs"/>
          <w:b/>
          <w:bCs/>
          <w:sz w:val="24"/>
          <w:rtl/>
        </w:rPr>
        <w:t>זרים</w:t>
      </w:r>
      <w:r w:rsidRPr="004A0234">
        <w:rPr>
          <w:rFonts w:hint="cs"/>
          <w:b/>
          <w:bCs/>
          <w:sz w:val="24"/>
          <w:rtl/>
        </w:rPr>
        <w:t>)</w:t>
      </w:r>
      <w:r>
        <w:rPr>
          <w:rFonts w:hint="cs"/>
          <w:b/>
          <w:bCs/>
          <w:sz w:val="24"/>
          <w:rtl/>
        </w:rPr>
        <w:t>, שלא מכוח הסמכה מפורשת</w:t>
      </w:r>
      <w:r w:rsidRPr="004A0234">
        <w:rPr>
          <w:rFonts w:hint="cs"/>
          <w:b/>
          <w:bCs/>
          <w:sz w:val="24"/>
          <w:rtl/>
        </w:rPr>
        <w:t xml:space="preserve"> בחקיקה, כ</w:t>
      </w:r>
      <w:r>
        <w:rPr>
          <w:rFonts w:hint="cs"/>
          <w:b/>
          <w:bCs/>
          <w:sz w:val="24"/>
          <w:rtl/>
        </w:rPr>
        <w:t>פי שראוי שייעשה, ע</w:t>
      </w:r>
      <w:r w:rsidRPr="004A0234">
        <w:rPr>
          <w:rFonts w:hint="cs"/>
          <w:b/>
          <w:bCs/>
          <w:sz w:val="24"/>
          <w:rtl/>
        </w:rPr>
        <w:t xml:space="preserve">ל פי חוות הדעת של </w:t>
      </w:r>
      <w:r w:rsidRPr="004A0234">
        <w:rPr>
          <w:rFonts w:hint="cs"/>
          <w:b/>
          <w:bCs/>
          <w:sz w:val="24"/>
          <w:rtl/>
        </w:rPr>
        <w:t>המשנה ל</w:t>
      </w:r>
      <w:r>
        <w:rPr>
          <w:rFonts w:hint="cs"/>
          <w:b/>
          <w:bCs/>
          <w:sz w:val="24"/>
          <w:rtl/>
        </w:rPr>
        <w:t>יועמ</w:t>
      </w:r>
      <w:r>
        <w:rPr>
          <w:b/>
          <w:bCs/>
          <w:sz w:val="24"/>
          <w:rtl/>
        </w:rPr>
        <w:t>"</w:t>
      </w:r>
      <w:r>
        <w:rPr>
          <w:rFonts w:hint="cs"/>
          <w:b/>
          <w:bCs/>
          <w:sz w:val="24"/>
          <w:rtl/>
        </w:rPr>
        <w:t>ש</w:t>
      </w:r>
      <w:r w:rsidRPr="004A0234">
        <w:rPr>
          <w:rFonts w:hint="cs"/>
          <w:b/>
          <w:bCs/>
          <w:sz w:val="24"/>
          <w:rtl/>
        </w:rPr>
        <w:t xml:space="preserve">. </w:t>
      </w:r>
    </w:p>
    <w:p w:rsidR="002D0C59" w:rsidRPr="00546FBA" w:rsidP="00AE0BE6" w14:paraId="7D3AF4D9" w14:textId="77777777">
      <w:pPr>
        <w:pStyle w:val="a"/>
        <w:spacing w:line="269" w:lineRule="auto"/>
        <w:rPr>
          <w:rtl/>
        </w:rPr>
      </w:pPr>
    </w:p>
    <w:p w:rsidR="002D0C59" w:rsidP="00AE0BE6" w14:paraId="59D033F9" w14:textId="77777777">
      <w:pPr>
        <w:spacing w:line="269" w:lineRule="auto"/>
        <w:rPr>
          <w:sz w:val="24"/>
          <w:rtl/>
        </w:rPr>
      </w:pPr>
      <w:r w:rsidRPr="00D52D3F">
        <w:rPr>
          <w:rFonts w:hint="eastAsia"/>
          <w:sz w:val="24"/>
          <w:rtl/>
        </w:rPr>
        <w:t>רשות</w:t>
      </w:r>
      <w:r w:rsidRPr="00D52D3F">
        <w:rPr>
          <w:sz w:val="24"/>
          <w:rtl/>
        </w:rPr>
        <w:t xml:space="preserve"> </w:t>
      </w:r>
      <w:r w:rsidRPr="00D52D3F">
        <w:rPr>
          <w:rFonts w:hint="eastAsia"/>
          <w:sz w:val="24"/>
          <w:rtl/>
        </w:rPr>
        <w:t>האוכלוסין</w:t>
      </w:r>
      <w:r w:rsidRPr="00D52D3F">
        <w:rPr>
          <w:sz w:val="24"/>
          <w:rtl/>
        </w:rPr>
        <w:t xml:space="preserve"> </w:t>
      </w:r>
      <w:r w:rsidRPr="00D52D3F">
        <w:rPr>
          <w:rFonts w:hint="eastAsia"/>
          <w:sz w:val="24"/>
          <w:rtl/>
        </w:rPr>
        <w:t>השיבה</w:t>
      </w:r>
      <w:r w:rsidRPr="00D52D3F">
        <w:rPr>
          <w:sz w:val="24"/>
          <w:rtl/>
        </w:rPr>
        <w:t xml:space="preserve"> </w:t>
      </w:r>
      <w:r w:rsidRPr="00D52D3F">
        <w:rPr>
          <w:rFonts w:hint="eastAsia"/>
          <w:sz w:val="24"/>
          <w:rtl/>
        </w:rPr>
        <w:t>כי</w:t>
      </w:r>
      <w:r w:rsidRPr="00D52D3F">
        <w:rPr>
          <w:sz w:val="24"/>
          <w:rtl/>
        </w:rPr>
        <w:t xml:space="preserve"> </w:t>
      </w:r>
      <w:r>
        <w:rPr>
          <w:rFonts w:hint="cs"/>
          <w:sz w:val="24"/>
          <w:rtl/>
        </w:rPr>
        <w:t>נטלה</w:t>
      </w:r>
      <w:r w:rsidRPr="00D52D3F">
        <w:rPr>
          <w:sz w:val="24"/>
          <w:rtl/>
        </w:rPr>
        <w:t xml:space="preserve"> </w:t>
      </w:r>
      <w:r w:rsidRPr="00D52D3F">
        <w:rPr>
          <w:rFonts w:hint="eastAsia"/>
          <w:sz w:val="24"/>
          <w:rtl/>
        </w:rPr>
        <w:t>טביעות</w:t>
      </w:r>
      <w:r w:rsidRPr="00D52D3F">
        <w:rPr>
          <w:sz w:val="24"/>
          <w:rtl/>
        </w:rPr>
        <w:t xml:space="preserve"> </w:t>
      </w:r>
      <w:r w:rsidRPr="00D52D3F">
        <w:rPr>
          <w:rFonts w:hint="eastAsia"/>
          <w:sz w:val="24"/>
          <w:rtl/>
        </w:rPr>
        <w:t>אצבע</w:t>
      </w:r>
      <w:r w:rsidRPr="00D52D3F">
        <w:rPr>
          <w:sz w:val="24"/>
          <w:rtl/>
        </w:rPr>
        <w:t xml:space="preserve"> </w:t>
      </w:r>
      <w:r>
        <w:rPr>
          <w:rFonts w:hint="cs"/>
          <w:sz w:val="24"/>
          <w:rtl/>
        </w:rPr>
        <w:t xml:space="preserve">מעובדים זרים </w:t>
      </w:r>
      <w:r w:rsidRPr="00D52D3F">
        <w:rPr>
          <w:rFonts w:hint="eastAsia"/>
          <w:sz w:val="24"/>
          <w:rtl/>
        </w:rPr>
        <w:t>בהתאם</w:t>
      </w:r>
      <w:r w:rsidRPr="00D52D3F">
        <w:rPr>
          <w:sz w:val="24"/>
          <w:rtl/>
        </w:rPr>
        <w:t xml:space="preserve"> </w:t>
      </w:r>
      <w:r w:rsidRPr="00D52D3F">
        <w:rPr>
          <w:rFonts w:hint="eastAsia"/>
          <w:sz w:val="24"/>
          <w:rtl/>
        </w:rPr>
        <w:t>לתנאים</w:t>
      </w:r>
      <w:r w:rsidRPr="00D52D3F">
        <w:rPr>
          <w:sz w:val="24"/>
          <w:rtl/>
        </w:rPr>
        <w:t xml:space="preserve"> </w:t>
      </w:r>
      <w:r w:rsidRPr="00D52D3F">
        <w:rPr>
          <w:rFonts w:hint="eastAsia"/>
          <w:sz w:val="24"/>
          <w:rtl/>
        </w:rPr>
        <w:t>שקב</w:t>
      </w:r>
      <w:r>
        <w:rPr>
          <w:rFonts w:hint="cs"/>
          <w:sz w:val="24"/>
          <w:rtl/>
        </w:rPr>
        <w:t>ע</w:t>
      </w:r>
      <w:r w:rsidRPr="00D52D3F">
        <w:rPr>
          <w:sz w:val="24"/>
          <w:rtl/>
        </w:rPr>
        <w:t xml:space="preserve"> </w:t>
      </w:r>
      <w:r w:rsidRPr="00D52D3F">
        <w:rPr>
          <w:rFonts w:hint="eastAsia"/>
          <w:sz w:val="24"/>
          <w:rtl/>
        </w:rPr>
        <w:t>היוע</w:t>
      </w:r>
      <w:r>
        <w:rPr>
          <w:rFonts w:hint="cs"/>
          <w:sz w:val="24"/>
          <w:rtl/>
        </w:rPr>
        <w:t>ץ המשפטי</w:t>
      </w:r>
      <w:r w:rsidRPr="00D52D3F">
        <w:rPr>
          <w:sz w:val="24"/>
          <w:rtl/>
        </w:rPr>
        <w:t xml:space="preserve"> </w:t>
      </w:r>
      <w:r w:rsidRPr="00D52D3F">
        <w:rPr>
          <w:rFonts w:hint="eastAsia"/>
          <w:sz w:val="24"/>
          <w:rtl/>
        </w:rPr>
        <w:t>לממשלה</w:t>
      </w:r>
      <w:r w:rsidRPr="00D52D3F">
        <w:rPr>
          <w:sz w:val="24"/>
          <w:rtl/>
        </w:rPr>
        <w:t xml:space="preserve"> </w:t>
      </w:r>
      <w:r w:rsidRPr="00D52D3F">
        <w:rPr>
          <w:rFonts w:hint="eastAsia"/>
          <w:sz w:val="24"/>
          <w:rtl/>
        </w:rPr>
        <w:t>בשנת</w:t>
      </w:r>
      <w:r w:rsidRPr="00D52D3F">
        <w:rPr>
          <w:sz w:val="24"/>
          <w:rtl/>
        </w:rPr>
        <w:t xml:space="preserve"> 2003 </w:t>
      </w:r>
      <w:r w:rsidRPr="00D52D3F">
        <w:rPr>
          <w:rFonts w:hint="eastAsia"/>
          <w:sz w:val="24"/>
          <w:rtl/>
        </w:rPr>
        <w:t>לצורך</w:t>
      </w:r>
      <w:r w:rsidRPr="00D52D3F">
        <w:rPr>
          <w:sz w:val="24"/>
          <w:rtl/>
        </w:rPr>
        <w:t xml:space="preserve"> </w:t>
      </w:r>
      <w:r w:rsidRPr="00D52D3F">
        <w:rPr>
          <w:rFonts w:hint="eastAsia"/>
          <w:sz w:val="24"/>
          <w:rtl/>
        </w:rPr>
        <w:t>הפעלת</w:t>
      </w:r>
      <w:r w:rsidRPr="00D52D3F">
        <w:rPr>
          <w:sz w:val="24"/>
          <w:rtl/>
        </w:rPr>
        <w:t xml:space="preserve"> </w:t>
      </w:r>
      <w:r>
        <w:rPr>
          <w:rFonts w:hint="cs"/>
          <w:sz w:val="24"/>
          <w:rtl/>
        </w:rPr>
        <w:t xml:space="preserve">הסמכויות לפי </w:t>
      </w:r>
      <w:r w:rsidRPr="00D52D3F">
        <w:rPr>
          <w:rFonts w:hint="eastAsia"/>
          <w:sz w:val="24"/>
          <w:rtl/>
        </w:rPr>
        <w:t>חוק</w:t>
      </w:r>
      <w:r w:rsidRPr="00D52D3F">
        <w:rPr>
          <w:sz w:val="24"/>
          <w:rtl/>
        </w:rPr>
        <w:t xml:space="preserve"> </w:t>
      </w:r>
      <w:r w:rsidRPr="00D52D3F">
        <w:rPr>
          <w:rFonts w:hint="eastAsia"/>
          <w:sz w:val="24"/>
          <w:rtl/>
        </w:rPr>
        <w:t>הכניסה</w:t>
      </w:r>
      <w:r w:rsidRPr="00D52D3F">
        <w:rPr>
          <w:sz w:val="24"/>
          <w:rtl/>
        </w:rPr>
        <w:t xml:space="preserve"> </w:t>
      </w:r>
      <w:r w:rsidRPr="00D52D3F">
        <w:rPr>
          <w:rFonts w:hint="eastAsia"/>
          <w:sz w:val="24"/>
          <w:rtl/>
        </w:rPr>
        <w:t>לישראל</w:t>
      </w:r>
      <w:r>
        <w:rPr>
          <w:rFonts w:hint="cs"/>
          <w:sz w:val="24"/>
          <w:rtl/>
        </w:rPr>
        <w:t>.</w:t>
      </w:r>
      <w:r w:rsidRPr="00D52D3F">
        <w:rPr>
          <w:sz w:val="24"/>
          <w:rtl/>
        </w:rPr>
        <w:t xml:space="preserve"> </w:t>
      </w:r>
      <w:r>
        <w:rPr>
          <w:rFonts w:hint="cs"/>
          <w:sz w:val="24"/>
          <w:rtl/>
        </w:rPr>
        <w:t xml:space="preserve">הרשות הדגישה בתשובתה את המאמצים שעשתה לקידום הנושא במהלך השנים, מאמצים שלא צלחו בשל מחלוקות </w:t>
      </w:r>
      <w:r>
        <w:rPr>
          <w:rFonts w:hint="cs"/>
          <w:sz w:val="24"/>
          <w:rtl/>
        </w:rPr>
        <w:t>בין-משרדיות, ו</w:t>
      </w:r>
      <w:r w:rsidRPr="00D52D3F">
        <w:rPr>
          <w:rFonts w:hint="eastAsia"/>
          <w:sz w:val="24"/>
          <w:rtl/>
        </w:rPr>
        <w:t>הוסיפה</w:t>
      </w:r>
      <w:r w:rsidRPr="00D52D3F">
        <w:rPr>
          <w:sz w:val="24"/>
          <w:rtl/>
        </w:rPr>
        <w:t xml:space="preserve"> </w:t>
      </w:r>
      <w:r w:rsidRPr="00D52D3F">
        <w:rPr>
          <w:rFonts w:hint="eastAsia"/>
          <w:sz w:val="24"/>
          <w:rtl/>
        </w:rPr>
        <w:t>כי</w:t>
      </w:r>
      <w:r w:rsidRPr="00D52D3F">
        <w:rPr>
          <w:sz w:val="24"/>
          <w:rtl/>
        </w:rPr>
        <w:t xml:space="preserve"> </w:t>
      </w:r>
      <w:r>
        <w:rPr>
          <w:rFonts w:hint="cs"/>
          <w:sz w:val="24"/>
          <w:rtl/>
        </w:rPr>
        <w:t xml:space="preserve">אמנם לאחרונה הושגה </w:t>
      </w:r>
      <w:r w:rsidRPr="00D52D3F">
        <w:rPr>
          <w:sz w:val="24"/>
          <w:rtl/>
        </w:rPr>
        <w:t xml:space="preserve">הסכמה בין המשרדים, </w:t>
      </w:r>
      <w:r>
        <w:rPr>
          <w:rFonts w:hint="cs"/>
          <w:sz w:val="24"/>
          <w:rtl/>
        </w:rPr>
        <w:t>אך עדיין אי אפשר לקדם את הנושא כיוון שו</w:t>
      </w:r>
      <w:r w:rsidRPr="00D52D3F">
        <w:rPr>
          <w:sz w:val="24"/>
          <w:rtl/>
        </w:rPr>
        <w:t xml:space="preserve">ועדות הכנסת </w:t>
      </w:r>
      <w:r>
        <w:rPr>
          <w:rFonts w:hint="cs"/>
          <w:sz w:val="24"/>
          <w:rtl/>
        </w:rPr>
        <w:t xml:space="preserve">לא התכנסו </w:t>
      </w:r>
      <w:r w:rsidRPr="00D52D3F">
        <w:rPr>
          <w:sz w:val="24"/>
          <w:rtl/>
        </w:rPr>
        <w:t>בשנה האחרונה</w:t>
      </w:r>
      <w:r w:rsidRPr="007157EF">
        <w:rPr>
          <w:sz w:val="24"/>
          <w:rtl/>
        </w:rPr>
        <w:t>.</w:t>
      </w:r>
      <w:r>
        <w:rPr>
          <w:rFonts w:hint="cs"/>
          <w:sz w:val="24"/>
          <w:rtl/>
        </w:rPr>
        <w:t xml:space="preserve"> </w:t>
      </w:r>
    </w:p>
    <w:p w:rsidR="00377347" w:rsidP="00792C56" w14:paraId="2366C8AD" w14:textId="77777777">
      <w:pPr>
        <w:pStyle w:val="a"/>
        <w:rPr>
          <w:rtl/>
        </w:rPr>
      </w:pPr>
    </w:p>
    <w:p w:rsidR="00792C56" w:rsidRPr="007157EF" w:rsidP="00792C56" w14:paraId="392D59EF" w14:textId="77777777">
      <w:pPr>
        <w:pStyle w:val="a"/>
        <w:rPr>
          <w:rtl/>
        </w:rPr>
      </w:pPr>
    </w:p>
    <w:p w:rsidR="002D0C59" w:rsidRPr="002D0C59" w:rsidP="00AE0BE6" w14:paraId="1BDFEB6F" w14:textId="77777777">
      <w:pPr>
        <w:pStyle w:val="Heading3"/>
        <w:spacing w:before="0" w:line="269" w:lineRule="auto"/>
        <w:rPr>
          <w:rtl/>
        </w:rPr>
      </w:pPr>
      <w:r w:rsidRPr="002D0C59">
        <w:rPr>
          <w:rFonts w:hint="eastAsia"/>
          <w:rtl/>
        </w:rPr>
        <w:t>סיכום</w:t>
      </w:r>
    </w:p>
    <w:p w:rsidR="002D0C59" w:rsidRPr="0011529D" w:rsidP="00AE0BE6" w14:paraId="7857D158" w14:textId="77777777">
      <w:pPr>
        <w:pStyle w:val="a"/>
        <w:spacing w:line="269" w:lineRule="auto"/>
        <w:rPr>
          <w:rtl/>
        </w:rPr>
      </w:pPr>
    </w:p>
    <w:p w:rsidR="002D0C59" w:rsidP="00AE0BE6" w14:paraId="5C071CDF" w14:textId="77777777">
      <w:pPr>
        <w:spacing w:line="269" w:lineRule="auto"/>
        <w:rPr>
          <w:b/>
          <w:bCs/>
          <w:sz w:val="24"/>
          <w:rtl/>
        </w:rPr>
      </w:pPr>
      <w:r>
        <w:rPr>
          <w:rFonts w:hint="cs"/>
          <w:b/>
          <w:bCs/>
          <w:sz w:val="24"/>
          <w:rtl/>
        </w:rPr>
        <w:t xml:space="preserve">מערך ביקורת הגבולות נועד להשיג שתי תכליות - האחת - מתן </w:t>
      </w:r>
      <w:r w:rsidRPr="006D714C">
        <w:rPr>
          <w:b/>
          <w:bCs/>
          <w:sz w:val="24"/>
          <w:rtl/>
        </w:rPr>
        <w:t xml:space="preserve">שירות </w:t>
      </w:r>
      <w:r>
        <w:rPr>
          <w:rFonts w:hint="cs"/>
          <w:b/>
          <w:bCs/>
          <w:sz w:val="24"/>
          <w:rtl/>
        </w:rPr>
        <w:t>מהיר</w:t>
      </w:r>
      <w:r w:rsidRPr="006D714C">
        <w:rPr>
          <w:b/>
          <w:bCs/>
          <w:sz w:val="24"/>
          <w:rtl/>
        </w:rPr>
        <w:t xml:space="preserve"> לעוברים בגבול</w:t>
      </w:r>
      <w:r>
        <w:rPr>
          <w:rFonts w:hint="cs"/>
          <w:b/>
          <w:bCs/>
          <w:sz w:val="24"/>
          <w:rtl/>
        </w:rPr>
        <w:t>, והשנייה - מניעת</w:t>
      </w:r>
      <w:r w:rsidRPr="006D714C">
        <w:rPr>
          <w:b/>
          <w:bCs/>
          <w:sz w:val="24"/>
          <w:rtl/>
        </w:rPr>
        <w:t xml:space="preserve"> כניסת אנשים לשטחה של ישראל </w:t>
      </w:r>
      <w:r w:rsidRPr="00756746">
        <w:rPr>
          <w:b/>
          <w:bCs/>
          <w:sz w:val="24"/>
          <w:rtl/>
        </w:rPr>
        <w:t>מטעמים ביטחוניים</w:t>
      </w:r>
      <w:r w:rsidRPr="001F49ED">
        <w:rPr>
          <w:b/>
          <w:bCs/>
          <w:sz w:val="24"/>
          <w:rtl/>
        </w:rPr>
        <w:t xml:space="preserve"> או פליליים או </w:t>
      </w:r>
      <w:r w:rsidRPr="006D714C">
        <w:rPr>
          <w:b/>
          <w:bCs/>
          <w:sz w:val="24"/>
          <w:rtl/>
        </w:rPr>
        <w:t>כאשר יש חשש שהם מבקשים להגר לישראל שלא כחוק</w:t>
      </w:r>
      <w:r>
        <w:rPr>
          <w:rFonts w:hint="cs"/>
          <w:b/>
          <w:bCs/>
          <w:sz w:val="24"/>
          <w:rtl/>
        </w:rPr>
        <w:t xml:space="preserve">. </w:t>
      </w:r>
      <w:r w:rsidRPr="008B6782">
        <w:rPr>
          <w:b/>
          <w:bCs/>
          <w:sz w:val="24"/>
          <w:rtl/>
        </w:rPr>
        <w:t xml:space="preserve">מכלול ממצאי הביקורת מעלה חשש שלצד השגת </w:t>
      </w:r>
      <w:r>
        <w:rPr>
          <w:rFonts w:hint="cs"/>
          <w:b/>
          <w:bCs/>
          <w:sz w:val="24"/>
          <w:rtl/>
        </w:rPr>
        <w:t xml:space="preserve">התכלית האחת, נחלשת לעיתים השגת </w:t>
      </w:r>
      <w:r w:rsidRPr="008B6782">
        <w:rPr>
          <w:b/>
          <w:bCs/>
          <w:sz w:val="24"/>
          <w:rtl/>
        </w:rPr>
        <w:t>התכלית השנייה</w:t>
      </w:r>
      <w:r>
        <w:rPr>
          <w:rFonts w:hint="cs"/>
          <w:b/>
          <w:bCs/>
          <w:sz w:val="24"/>
          <w:rtl/>
        </w:rPr>
        <w:t xml:space="preserve">. </w:t>
      </w:r>
    </w:p>
    <w:p w:rsidR="002D0C59" w:rsidRPr="00D555F7" w:rsidP="00AE0BE6" w14:paraId="17EB7340" w14:textId="77777777">
      <w:pPr>
        <w:pStyle w:val="a"/>
        <w:spacing w:line="269" w:lineRule="auto"/>
        <w:rPr>
          <w:rtl/>
        </w:rPr>
      </w:pPr>
    </w:p>
    <w:p w:rsidR="002D0C59" w:rsidRPr="00496D58" w:rsidP="00AE0BE6" w14:paraId="3EB128BB" w14:textId="77777777">
      <w:pPr>
        <w:spacing w:line="269" w:lineRule="auto"/>
        <w:rPr>
          <w:b/>
          <w:bCs/>
          <w:sz w:val="24"/>
        </w:rPr>
      </w:pPr>
      <w:r>
        <w:rPr>
          <w:rFonts w:hint="cs"/>
          <w:b/>
          <w:bCs/>
          <w:sz w:val="24"/>
          <w:rtl/>
        </w:rPr>
        <w:t xml:space="preserve">לנוכח הממצאים האלה גוברת החשיבות לביצוע בקרה מקיפה ואיכותית של רשות האוכלוסין על מערך ביקורת הגבולות וכן לקידום תשתיות המידע לזיהוי נוסעים זרים. ואולם בשני תחומים אלה נמצאו </w:t>
      </w:r>
      <w:r w:rsidR="00167F28">
        <w:rPr>
          <w:rFonts w:hint="cs"/>
          <w:b/>
          <w:bCs/>
          <w:sz w:val="24"/>
          <w:rtl/>
        </w:rPr>
        <w:t>פערים</w:t>
      </w:r>
      <w:r>
        <w:rPr>
          <w:rFonts w:hint="cs"/>
          <w:b/>
          <w:bCs/>
          <w:sz w:val="24"/>
          <w:rtl/>
        </w:rPr>
        <w:t>: מ</w:t>
      </w:r>
      <w:r w:rsidRPr="0011529D">
        <w:rPr>
          <w:rFonts w:hint="eastAsia"/>
          <w:b/>
          <w:bCs/>
          <w:sz w:val="24"/>
          <w:rtl/>
        </w:rPr>
        <w:t>זה</w:t>
      </w:r>
      <w:r w:rsidRPr="0011529D">
        <w:rPr>
          <w:b/>
          <w:bCs/>
          <w:sz w:val="24"/>
          <w:rtl/>
        </w:rPr>
        <w:t xml:space="preserve"> כמה שנים רשות האוכלוסין מפעילה את מערך ביקורת הגבולות ללא בקרה כוללת</w:t>
      </w:r>
      <w:r>
        <w:rPr>
          <w:rFonts w:hint="cs"/>
          <w:b/>
          <w:bCs/>
          <w:sz w:val="24"/>
          <w:rtl/>
        </w:rPr>
        <w:t>; וה</w:t>
      </w:r>
      <w:r>
        <w:rPr>
          <w:rFonts w:hint="cs"/>
          <w:b/>
          <w:bCs/>
          <w:sz w:val="24"/>
          <w:rtl/>
        </w:rPr>
        <w:t xml:space="preserve">מערך </w:t>
      </w:r>
      <w:r w:rsidRPr="00496D58">
        <w:rPr>
          <w:rFonts w:hint="cs"/>
          <w:b/>
          <w:bCs/>
          <w:sz w:val="24"/>
          <w:rtl/>
        </w:rPr>
        <w:t xml:space="preserve">חסר תשתית של מידע המאפשרת </w:t>
      </w:r>
      <w:r>
        <w:rPr>
          <w:rFonts w:hint="cs"/>
          <w:b/>
          <w:bCs/>
          <w:sz w:val="24"/>
          <w:rtl/>
        </w:rPr>
        <w:t>ל</w:t>
      </w:r>
      <w:r w:rsidRPr="00496D58">
        <w:rPr>
          <w:rFonts w:hint="cs"/>
          <w:b/>
          <w:bCs/>
          <w:sz w:val="24"/>
          <w:rtl/>
        </w:rPr>
        <w:t>זהו</w:t>
      </w:r>
      <w:r>
        <w:rPr>
          <w:rFonts w:hint="cs"/>
          <w:b/>
          <w:bCs/>
          <w:sz w:val="24"/>
          <w:rtl/>
        </w:rPr>
        <w:t>ת</w:t>
      </w:r>
      <w:r w:rsidRPr="00496D58">
        <w:rPr>
          <w:rFonts w:hint="cs"/>
          <w:b/>
          <w:bCs/>
          <w:sz w:val="24"/>
          <w:rtl/>
        </w:rPr>
        <w:t xml:space="preserve"> נוסעים זרים ו</w:t>
      </w:r>
      <w:r>
        <w:rPr>
          <w:rFonts w:hint="cs"/>
          <w:b/>
          <w:bCs/>
          <w:sz w:val="24"/>
          <w:rtl/>
        </w:rPr>
        <w:t>ל</w:t>
      </w:r>
      <w:r w:rsidRPr="00496D58">
        <w:rPr>
          <w:rFonts w:hint="cs"/>
          <w:b/>
          <w:bCs/>
          <w:sz w:val="24"/>
          <w:rtl/>
        </w:rPr>
        <w:t xml:space="preserve">קבל </w:t>
      </w:r>
      <w:r>
        <w:rPr>
          <w:rFonts w:hint="cs"/>
          <w:b/>
          <w:bCs/>
          <w:sz w:val="24"/>
          <w:rtl/>
        </w:rPr>
        <w:t>עליהם</w:t>
      </w:r>
      <w:r w:rsidRPr="00496D58">
        <w:rPr>
          <w:rFonts w:hint="cs"/>
          <w:b/>
          <w:bCs/>
          <w:sz w:val="24"/>
          <w:rtl/>
        </w:rPr>
        <w:t xml:space="preserve"> </w:t>
      </w:r>
      <w:r>
        <w:rPr>
          <w:rFonts w:hint="cs"/>
          <w:b/>
          <w:bCs/>
          <w:sz w:val="24"/>
          <w:rtl/>
        </w:rPr>
        <w:t>מידע לפני בואם</w:t>
      </w:r>
      <w:r w:rsidRPr="00496D58">
        <w:rPr>
          <w:rFonts w:hint="cs"/>
          <w:b/>
          <w:bCs/>
          <w:sz w:val="24"/>
          <w:rtl/>
        </w:rPr>
        <w:t xml:space="preserve"> לישראל </w:t>
      </w:r>
      <w:r>
        <w:rPr>
          <w:rFonts w:hint="cs"/>
          <w:b/>
          <w:bCs/>
          <w:sz w:val="24"/>
          <w:rtl/>
        </w:rPr>
        <w:t>(</w:t>
      </w:r>
      <w:r w:rsidRPr="00496D58">
        <w:rPr>
          <w:rFonts w:hint="cs"/>
          <w:b/>
          <w:bCs/>
          <w:sz w:val="24"/>
          <w:rtl/>
        </w:rPr>
        <w:t xml:space="preserve">תשתית מידע </w:t>
      </w:r>
      <w:r>
        <w:rPr>
          <w:rFonts w:hint="cs"/>
          <w:b/>
          <w:bCs/>
          <w:sz w:val="24"/>
          <w:rtl/>
        </w:rPr>
        <w:t xml:space="preserve">שקיימת </w:t>
      </w:r>
      <w:r w:rsidRPr="00496D58">
        <w:rPr>
          <w:rFonts w:hint="cs"/>
          <w:b/>
          <w:bCs/>
          <w:sz w:val="24"/>
          <w:rtl/>
        </w:rPr>
        <w:t>בידי עשרות מדינות בעולם</w:t>
      </w:r>
      <w:r>
        <w:rPr>
          <w:rFonts w:hint="cs"/>
          <w:b/>
          <w:bCs/>
          <w:sz w:val="24"/>
          <w:rtl/>
        </w:rPr>
        <w:t>)</w:t>
      </w:r>
      <w:r w:rsidRPr="00496D58">
        <w:rPr>
          <w:rFonts w:hint="cs"/>
          <w:b/>
          <w:bCs/>
          <w:sz w:val="24"/>
          <w:rtl/>
        </w:rPr>
        <w:t xml:space="preserve">. </w:t>
      </w:r>
      <w:r>
        <w:rPr>
          <w:rFonts w:hint="cs"/>
          <w:b/>
          <w:bCs/>
          <w:sz w:val="24"/>
          <w:rtl/>
        </w:rPr>
        <w:t>ה</w:t>
      </w:r>
      <w:r w:rsidRPr="00496D58">
        <w:rPr>
          <w:rFonts w:hint="cs"/>
          <w:b/>
          <w:bCs/>
          <w:sz w:val="24"/>
          <w:rtl/>
        </w:rPr>
        <w:t xml:space="preserve">חסר </w:t>
      </w:r>
      <w:r>
        <w:rPr>
          <w:rFonts w:hint="cs"/>
          <w:b/>
          <w:bCs/>
          <w:sz w:val="24"/>
          <w:rtl/>
        </w:rPr>
        <w:t xml:space="preserve">בתשתית המידע ובבקרה, נוכח הממצאים בדבר בדיקת התיירים המבקשים להיכנס לישראל, </w:t>
      </w:r>
      <w:r w:rsidRPr="00496D58">
        <w:rPr>
          <w:rFonts w:hint="cs"/>
          <w:b/>
          <w:bCs/>
          <w:sz w:val="24"/>
          <w:rtl/>
        </w:rPr>
        <w:t>עלול ל</w:t>
      </w:r>
      <w:r>
        <w:rPr>
          <w:rFonts w:hint="cs"/>
          <w:b/>
          <w:bCs/>
          <w:sz w:val="24"/>
          <w:rtl/>
        </w:rPr>
        <w:t>סכן</w:t>
      </w:r>
      <w:r w:rsidRPr="00496D58">
        <w:rPr>
          <w:rFonts w:hint="cs"/>
          <w:b/>
          <w:bCs/>
          <w:sz w:val="24"/>
          <w:rtl/>
        </w:rPr>
        <w:t xml:space="preserve"> את המדינה </w:t>
      </w:r>
      <w:r>
        <w:rPr>
          <w:rFonts w:hint="cs"/>
          <w:b/>
          <w:bCs/>
          <w:sz w:val="24"/>
          <w:rtl/>
        </w:rPr>
        <w:t>ב</w:t>
      </w:r>
      <w:r w:rsidRPr="00496D58">
        <w:rPr>
          <w:rFonts w:hint="cs"/>
          <w:b/>
          <w:bCs/>
          <w:sz w:val="24"/>
          <w:rtl/>
        </w:rPr>
        <w:t>כניס</w:t>
      </w:r>
      <w:r>
        <w:rPr>
          <w:rFonts w:hint="cs"/>
          <w:b/>
          <w:bCs/>
          <w:sz w:val="24"/>
          <w:rtl/>
        </w:rPr>
        <w:t>ת</w:t>
      </w:r>
      <w:r w:rsidRPr="00496D58">
        <w:rPr>
          <w:rFonts w:hint="cs"/>
          <w:b/>
          <w:bCs/>
          <w:sz w:val="24"/>
          <w:rtl/>
        </w:rPr>
        <w:t xml:space="preserve"> נוסעים המעורבים בפשי</w:t>
      </w:r>
      <w:r w:rsidRPr="00496D58">
        <w:rPr>
          <w:rFonts w:hint="cs"/>
          <w:b/>
          <w:bCs/>
          <w:sz w:val="24"/>
          <w:rtl/>
        </w:rPr>
        <w:t xml:space="preserve">עה </w:t>
      </w:r>
      <w:r w:rsidRPr="002132FA">
        <w:rPr>
          <w:rFonts w:hint="cs"/>
          <w:b/>
          <w:bCs/>
          <w:sz w:val="24"/>
          <w:rtl/>
        </w:rPr>
        <w:t>ובפעולות טרור</w:t>
      </w:r>
      <w:r w:rsidRPr="00496D58">
        <w:rPr>
          <w:rFonts w:hint="cs"/>
          <w:b/>
          <w:bCs/>
          <w:sz w:val="24"/>
          <w:rtl/>
        </w:rPr>
        <w:t xml:space="preserve"> ו</w:t>
      </w:r>
      <w:r>
        <w:rPr>
          <w:rFonts w:hint="cs"/>
          <w:b/>
          <w:bCs/>
          <w:sz w:val="24"/>
          <w:rtl/>
        </w:rPr>
        <w:t>לחשוף אותה ל</w:t>
      </w:r>
      <w:r w:rsidRPr="00496D58">
        <w:rPr>
          <w:b/>
          <w:bCs/>
          <w:sz w:val="24"/>
          <w:rtl/>
        </w:rPr>
        <w:t>הגירה בלתי</w:t>
      </w:r>
      <w:r>
        <w:rPr>
          <w:rFonts w:hint="cs"/>
          <w:b/>
          <w:bCs/>
          <w:sz w:val="24"/>
          <w:rtl/>
        </w:rPr>
        <w:t xml:space="preserve"> </w:t>
      </w:r>
      <w:r w:rsidRPr="00496D58">
        <w:rPr>
          <w:b/>
          <w:bCs/>
          <w:sz w:val="24"/>
          <w:rtl/>
        </w:rPr>
        <w:t>חוקית</w:t>
      </w:r>
      <w:r>
        <w:rPr>
          <w:rFonts w:hint="cs"/>
          <w:b/>
          <w:bCs/>
          <w:sz w:val="24"/>
          <w:rtl/>
        </w:rPr>
        <w:t>. חסר זה עלול גם</w:t>
      </w:r>
      <w:r w:rsidR="00EC0F52">
        <w:rPr>
          <w:rFonts w:hint="cs"/>
          <w:b/>
          <w:bCs/>
          <w:sz w:val="24"/>
          <w:rtl/>
        </w:rPr>
        <w:t xml:space="preserve"> </w:t>
      </w:r>
      <w:r w:rsidRPr="00496D58">
        <w:rPr>
          <w:rFonts w:hint="cs"/>
          <w:b/>
          <w:bCs/>
          <w:sz w:val="24"/>
          <w:rtl/>
        </w:rPr>
        <w:t xml:space="preserve">לפגוע בתדמיתה הציבורית של המדינה ולהסב </w:t>
      </w:r>
      <w:r>
        <w:rPr>
          <w:rFonts w:hint="cs"/>
          <w:b/>
          <w:bCs/>
          <w:sz w:val="24"/>
          <w:rtl/>
        </w:rPr>
        <w:t xml:space="preserve">לנוסעים </w:t>
      </w:r>
      <w:r w:rsidRPr="00496D58">
        <w:rPr>
          <w:rFonts w:hint="cs"/>
          <w:b/>
          <w:bCs/>
          <w:sz w:val="24"/>
          <w:rtl/>
        </w:rPr>
        <w:t xml:space="preserve">אי-נעימות ועלויות </w:t>
      </w:r>
      <w:r>
        <w:rPr>
          <w:rFonts w:hint="cs"/>
          <w:b/>
          <w:bCs/>
          <w:sz w:val="24"/>
          <w:rtl/>
        </w:rPr>
        <w:t>מיותרות אם תסורב בקשתם להיכנס לישראל</w:t>
      </w:r>
      <w:r w:rsidRPr="00496D58">
        <w:rPr>
          <w:rFonts w:hint="cs"/>
          <w:b/>
          <w:bCs/>
          <w:sz w:val="24"/>
          <w:rtl/>
        </w:rPr>
        <w:t>.</w:t>
      </w:r>
    </w:p>
    <w:p w:rsidR="002D0C59" w:rsidRPr="00A21F5C" w:rsidP="00AE0BE6" w14:paraId="2D74568A" w14:textId="77777777">
      <w:pPr>
        <w:pStyle w:val="a"/>
        <w:spacing w:line="269" w:lineRule="auto"/>
        <w:rPr>
          <w:rtl/>
        </w:rPr>
      </w:pPr>
    </w:p>
    <w:p w:rsidR="002D0C59" w:rsidP="00AE0BE6" w14:paraId="6328C658" w14:textId="77777777">
      <w:pPr>
        <w:spacing w:line="269" w:lineRule="auto"/>
        <w:rPr>
          <w:rtl/>
        </w:rPr>
      </w:pPr>
      <w:r w:rsidRPr="00496D58">
        <w:rPr>
          <w:rFonts w:hint="cs"/>
          <w:b/>
          <w:bCs/>
          <w:sz w:val="24"/>
          <w:rtl/>
        </w:rPr>
        <w:t>על רשות האוכלוסין לפעול להקמת תשתית המידע על נוסעים זרים, כמפורט לעיל, ולבסס מערך בקרה על</w:t>
      </w:r>
      <w:r w:rsidRPr="00496D58">
        <w:rPr>
          <w:rFonts w:hint="cs"/>
          <w:b/>
          <w:bCs/>
          <w:sz w:val="24"/>
          <w:rtl/>
        </w:rPr>
        <w:t xml:space="preserve"> מכלול הפעולות הכרוכות בביקורת הגבולות</w:t>
      </w:r>
      <w:r>
        <w:rPr>
          <w:rFonts w:eastAsiaTheme="majorEastAsia" w:hint="cs"/>
          <w:b/>
          <w:bCs/>
          <w:sz w:val="24"/>
          <w:rtl/>
        </w:rPr>
        <w:t>, גם כדי לוודא שבדיקות הזרים המבקשים להיכנס לארץ נעשות באופן מקצועי ויעיל, באופן ההולם את התכליות של ביקורת הגבולות.</w:t>
      </w:r>
    </w:p>
    <w:sectPr w:rsidSect="00EE4EB4">
      <w:headerReference w:type="default" r:id="rId31"/>
      <w:pgSz w:w="11906" w:h="16838"/>
      <w:pgMar w:top="1701" w:right="1984" w:bottom="1587"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altName w:val="Malgun Gothic Semilight"/>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1394B" w:rsidP="00C23CC9" w14:paraId="2157DBDC" w14:textId="77777777">
      <w:pPr>
        <w:spacing w:line="240" w:lineRule="auto"/>
      </w:pPr>
      <w:r>
        <w:separator/>
      </w:r>
    </w:p>
  </w:footnote>
  <w:footnote w:type="continuationSeparator" w:id="1">
    <w:p w:rsidR="0001394B" w:rsidP="00C23CC9" w14:paraId="429A5B24" w14:textId="77777777">
      <w:pPr>
        <w:spacing w:line="240" w:lineRule="auto"/>
      </w:pPr>
      <w:r>
        <w:continuationSeparator/>
      </w:r>
    </w:p>
  </w:footnote>
  <w:footnote w:id="2">
    <w:p w:rsidR="001D7233" w:rsidRPr="00A21F5C" w:rsidP="00015A80" w14:paraId="36A75436" w14:textId="77777777">
      <w:pPr>
        <w:pStyle w:val="FootnoteText"/>
        <w:keepNext/>
        <w:keepLines/>
      </w:pPr>
      <w:r w:rsidRPr="00A21F5C">
        <w:rPr>
          <w:rStyle w:val="FootnoteReference1"/>
        </w:rPr>
        <w:footnoteRef/>
      </w:r>
      <w:r w:rsidRPr="00A21F5C">
        <w:rPr>
          <w:rtl/>
        </w:rPr>
        <w:t xml:space="preserve"> </w:t>
      </w:r>
      <w:r w:rsidRPr="00A21F5C">
        <w:rPr>
          <w:rtl/>
        </w:rPr>
        <w:tab/>
      </w:r>
      <w:r w:rsidRPr="00A21F5C">
        <w:rPr>
          <w:rFonts w:hint="cs"/>
          <w:rtl/>
        </w:rPr>
        <w:t xml:space="preserve">מעברים אוויריים: שדות התעופה בן גוריון, רמון, חיפה, נבטים, ועד ליולי 2019 - שדה דב; מעברים </w:t>
      </w:r>
      <w:r w:rsidRPr="00A21F5C">
        <w:rPr>
          <w:rFonts w:hint="cs"/>
          <w:rtl/>
        </w:rPr>
        <w:t>יבשתיים: מעבר בגין (טאבה), מעבר רבין (ערבה), גשר אלנבי, נהר הירדן, ניצנה, מעבר ארז, ראש הנקרה, קונטרה; מעברים ימיים: נמל חיפה, נמל אשדוד, נמל ים אילת, נמל חדרה, מרינה תל אביב, מרינה הרצליה, מרינה אשקלון, קצא</w:t>
      </w:r>
      <w:r>
        <w:rPr>
          <w:rFonts w:hint="cs"/>
          <w:rtl/>
        </w:rPr>
        <w:t>"</w:t>
      </w:r>
      <w:r w:rsidRPr="00A21F5C">
        <w:rPr>
          <w:rFonts w:hint="cs"/>
          <w:rtl/>
        </w:rPr>
        <w:t>א ונחל הקישון.</w:t>
      </w:r>
      <w:r w:rsidRPr="008D4644">
        <w:rPr>
          <w:rFonts w:hint="eastAsia"/>
          <w:rtl/>
        </w:rPr>
        <w:t xml:space="preserve"> בשנת</w:t>
      </w:r>
      <w:r w:rsidRPr="008D4644">
        <w:rPr>
          <w:rtl/>
        </w:rPr>
        <w:t xml:space="preserve"> 2019 </w:t>
      </w:r>
      <w:r w:rsidRPr="008D4644">
        <w:rPr>
          <w:rFonts w:hint="eastAsia"/>
          <w:rtl/>
        </w:rPr>
        <w:t>נפתח</w:t>
      </w:r>
      <w:r w:rsidRPr="008D4644">
        <w:rPr>
          <w:rtl/>
        </w:rPr>
        <w:t xml:space="preserve"> </w:t>
      </w:r>
      <w:r w:rsidRPr="008D4644">
        <w:rPr>
          <w:rFonts w:hint="eastAsia"/>
          <w:rtl/>
        </w:rPr>
        <w:t>מעבר</w:t>
      </w:r>
      <w:r w:rsidRPr="008D4644">
        <w:rPr>
          <w:rtl/>
        </w:rPr>
        <w:t xml:space="preserve"> </w:t>
      </w:r>
      <w:r w:rsidRPr="008D4644">
        <w:rPr>
          <w:rFonts w:hint="eastAsia"/>
          <w:rtl/>
        </w:rPr>
        <w:t>הגבול</w:t>
      </w:r>
      <w:r w:rsidRPr="008D4644">
        <w:rPr>
          <w:rtl/>
        </w:rPr>
        <w:t xml:space="preserve"> </w:t>
      </w:r>
      <w:r w:rsidRPr="008D4644">
        <w:rPr>
          <w:rFonts w:hint="eastAsia"/>
          <w:rtl/>
        </w:rPr>
        <w:t>רמון</w:t>
      </w:r>
      <w:r w:rsidRPr="008D4644">
        <w:rPr>
          <w:rtl/>
        </w:rPr>
        <w:t xml:space="preserve"> </w:t>
      </w:r>
      <w:r w:rsidRPr="008D4644">
        <w:rPr>
          <w:rFonts w:hint="eastAsia"/>
          <w:rtl/>
        </w:rPr>
        <w:t>ונסגרו</w:t>
      </w:r>
      <w:r w:rsidRPr="008D4644">
        <w:rPr>
          <w:rtl/>
        </w:rPr>
        <w:t xml:space="preserve"> </w:t>
      </w:r>
      <w:r w:rsidRPr="008D4644">
        <w:rPr>
          <w:rFonts w:hint="eastAsia"/>
          <w:rtl/>
        </w:rPr>
        <w:t>שלושה</w:t>
      </w:r>
      <w:r w:rsidRPr="008D4644">
        <w:rPr>
          <w:rtl/>
        </w:rPr>
        <w:t xml:space="preserve"> </w:t>
      </w:r>
      <w:r w:rsidRPr="008D4644">
        <w:rPr>
          <w:rFonts w:hint="eastAsia"/>
          <w:rtl/>
        </w:rPr>
        <w:t>מעברים</w:t>
      </w:r>
      <w:r w:rsidRPr="008D4644">
        <w:rPr>
          <w:rtl/>
        </w:rPr>
        <w:t xml:space="preserve"> - </w:t>
      </w:r>
      <w:r w:rsidRPr="008D4644">
        <w:rPr>
          <w:rFonts w:hint="eastAsia"/>
          <w:rtl/>
        </w:rPr>
        <w:t>באילת</w:t>
      </w:r>
      <w:r w:rsidRPr="008D4644">
        <w:rPr>
          <w:rtl/>
        </w:rPr>
        <w:t xml:space="preserve">, </w:t>
      </w:r>
      <w:r w:rsidRPr="008D4644">
        <w:rPr>
          <w:rFonts w:hint="eastAsia"/>
          <w:rtl/>
        </w:rPr>
        <w:t>בעובדה</w:t>
      </w:r>
      <w:r w:rsidRPr="008D4644">
        <w:rPr>
          <w:rtl/>
        </w:rPr>
        <w:t xml:space="preserve"> </w:t>
      </w:r>
      <w:r w:rsidRPr="008D4644">
        <w:rPr>
          <w:rFonts w:hint="eastAsia"/>
          <w:rtl/>
        </w:rPr>
        <w:t>ובשדה</w:t>
      </w:r>
      <w:r w:rsidRPr="008D4644">
        <w:rPr>
          <w:rtl/>
        </w:rPr>
        <w:t xml:space="preserve"> </w:t>
      </w:r>
      <w:r w:rsidRPr="008D4644">
        <w:rPr>
          <w:rFonts w:hint="eastAsia"/>
          <w:rtl/>
        </w:rPr>
        <w:t>דב</w:t>
      </w:r>
      <w:r w:rsidRPr="008D4644">
        <w:rPr>
          <w:rtl/>
        </w:rPr>
        <w:t xml:space="preserve">, </w:t>
      </w:r>
      <w:r w:rsidRPr="008D4644">
        <w:rPr>
          <w:rFonts w:hint="eastAsia"/>
          <w:rtl/>
        </w:rPr>
        <w:t>ובסך</w:t>
      </w:r>
      <w:r w:rsidRPr="008D4644">
        <w:rPr>
          <w:rtl/>
        </w:rPr>
        <w:t xml:space="preserve"> </w:t>
      </w:r>
      <w:r w:rsidRPr="008D4644">
        <w:rPr>
          <w:rFonts w:hint="eastAsia"/>
          <w:rtl/>
        </w:rPr>
        <w:t>הכול</w:t>
      </w:r>
      <w:r w:rsidRPr="008D4644">
        <w:rPr>
          <w:rtl/>
        </w:rPr>
        <w:t xml:space="preserve"> </w:t>
      </w:r>
      <w:r w:rsidRPr="008D4644">
        <w:rPr>
          <w:rFonts w:hint="eastAsia"/>
          <w:rtl/>
        </w:rPr>
        <w:t>היו</w:t>
      </w:r>
      <w:r w:rsidRPr="008D4644">
        <w:rPr>
          <w:rtl/>
        </w:rPr>
        <w:t xml:space="preserve"> 21 </w:t>
      </w:r>
      <w:r w:rsidRPr="008D4644">
        <w:rPr>
          <w:rFonts w:hint="eastAsia"/>
          <w:rtl/>
        </w:rPr>
        <w:t>מעברים</w:t>
      </w:r>
      <w:r>
        <w:rPr>
          <w:rFonts w:hint="cs"/>
          <w:rtl/>
        </w:rPr>
        <w:t>.</w:t>
      </w:r>
    </w:p>
  </w:footnote>
  <w:footnote w:id="3">
    <w:p w:rsidR="001D7233" w:rsidRPr="00A21F5C" w:rsidP="007A52FE" w14:paraId="4C56772E" w14:textId="77777777">
      <w:pPr>
        <w:pStyle w:val="FootnoteText"/>
        <w:keepNext/>
        <w:keepLines/>
        <w:rPr>
          <w:rtl/>
        </w:rPr>
      </w:pPr>
      <w:r w:rsidRPr="00A21F5C">
        <w:rPr>
          <w:rStyle w:val="FootnoteReference1"/>
        </w:rPr>
        <w:footnoteRef/>
      </w:r>
      <w:r w:rsidRPr="00A21F5C">
        <w:rPr>
          <w:rtl/>
        </w:rPr>
        <w:t xml:space="preserve"> </w:t>
      </w:r>
      <w:r w:rsidRPr="00A21F5C">
        <w:rPr>
          <w:rtl/>
        </w:rPr>
        <w:tab/>
      </w:r>
      <w:r w:rsidRPr="00A21F5C">
        <w:rPr>
          <w:rFonts w:hint="cs"/>
          <w:rtl/>
        </w:rPr>
        <w:t xml:space="preserve">בתוך תנועות העוברים הזרים נכללים גם פלסטינים. רוב העוברים הפלסטינים עברו במעבר </w:t>
      </w:r>
      <w:r w:rsidRPr="00A21F5C">
        <w:rPr>
          <w:rtl/>
        </w:rPr>
        <w:t xml:space="preserve">גשר אלנבי לירדן </w:t>
      </w:r>
      <w:r w:rsidRPr="00A21F5C">
        <w:rPr>
          <w:rFonts w:hint="cs"/>
          <w:rtl/>
        </w:rPr>
        <w:t>וחזר</w:t>
      </w:r>
      <w:r>
        <w:rPr>
          <w:rFonts w:hint="cs"/>
          <w:rtl/>
        </w:rPr>
        <w:t>ו אליה באותו מעבר</w:t>
      </w:r>
      <w:r w:rsidRPr="00A21F5C">
        <w:rPr>
          <w:rtl/>
        </w:rPr>
        <w:t>.</w:t>
      </w:r>
      <w:r w:rsidRPr="00A21F5C">
        <w:rPr>
          <w:rFonts w:hint="cs"/>
          <w:rtl/>
        </w:rPr>
        <w:t xml:space="preserve"> </w:t>
      </w:r>
      <w:r w:rsidRPr="00A21F5C">
        <w:rPr>
          <w:rtl/>
        </w:rPr>
        <w:t xml:space="preserve">במעבר </w:t>
      </w:r>
      <w:r w:rsidRPr="00A21F5C">
        <w:rPr>
          <w:rFonts w:hint="cs"/>
          <w:rtl/>
        </w:rPr>
        <w:t xml:space="preserve">זה </w:t>
      </w:r>
      <w:r w:rsidRPr="00A21F5C">
        <w:rPr>
          <w:rtl/>
        </w:rPr>
        <w:t>רשאים לעבור תושבים פלסטינים ו</w:t>
      </w:r>
      <w:r w:rsidRPr="00A21F5C">
        <w:rPr>
          <w:rFonts w:hint="cs"/>
          <w:rtl/>
        </w:rPr>
        <w:t>זרים</w:t>
      </w:r>
      <w:r w:rsidRPr="00A21F5C">
        <w:rPr>
          <w:rtl/>
        </w:rPr>
        <w:t xml:space="preserve"> בלבד</w:t>
      </w:r>
      <w:r w:rsidRPr="00A21F5C">
        <w:rPr>
          <w:rFonts w:hint="cs"/>
          <w:rtl/>
        </w:rPr>
        <w:t>.</w:t>
      </w:r>
    </w:p>
  </w:footnote>
  <w:footnote w:id="4">
    <w:p w:rsidR="001D7233" w:rsidRPr="001E70BB" w:rsidP="007A52FE" w14:paraId="2C26F834" w14:textId="77777777">
      <w:pPr>
        <w:pStyle w:val="FootnoteText"/>
        <w:keepNext/>
        <w:keepLines/>
      </w:pPr>
      <w:r w:rsidRPr="00A21F5C">
        <w:rPr>
          <w:rStyle w:val="FootnoteReference1"/>
        </w:rPr>
        <w:footnoteRef/>
      </w:r>
      <w:r w:rsidRPr="00A21F5C">
        <w:rPr>
          <w:rtl/>
        </w:rPr>
        <w:t xml:space="preserve"> </w:t>
      </w:r>
      <w:r w:rsidRPr="00A21F5C">
        <w:rPr>
          <w:rtl/>
        </w:rPr>
        <w:tab/>
      </w:r>
      <w:r w:rsidRPr="00A21F5C">
        <w:rPr>
          <w:rFonts w:hint="cs"/>
          <w:rtl/>
        </w:rPr>
        <w:t>מועד תחול</w:t>
      </w:r>
      <w:r>
        <w:rPr>
          <w:rFonts w:hint="cs"/>
          <w:rtl/>
        </w:rPr>
        <w:t>ת ה</w:t>
      </w:r>
      <w:r>
        <w:rPr>
          <w:rFonts w:hint="cs"/>
          <w:rtl/>
        </w:rPr>
        <w:t>חוק</w:t>
      </w:r>
      <w:r w:rsidRPr="00A21F5C">
        <w:rPr>
          <w:rFonts w:hint="cs"/>
          <w:rtl/>
        </w:rPr>
        <w:t xml:space="preserve"> על כלל התושבים נקבע לפי ס</w:t>
      </w:r>
      <w:r>
        <w:rPr>
          <w:rFonts w:hint="cs"/>
          <w:rtl/>
        </w:rPr>
        <w:t>עיפים</w:t>
      </w:r>
      <w:r w:rsidRPr="00A21F5C">
        <w:rPr>
          <w:rFonts w:hint="cs"/>
          <w:rtl/>
        </w:rPr>
        <w:t xml:space="preserve"> 16 ו-19 לחוק הכללת אמצעי זיהוי ביומטריים ונתוני זיהוי ביומטריים במסמכי זיהוי ובמאגר מידע (תיקון והוראת שעה), התשע"ז-2017</w:t>
      </w:r>
      <w:r>
        <w:rPr>
          <w:rFonts w:hint="cs"/>
          <w:rtl/>
        </w:rPr>
        <w:t>,</w:t>
      </w:r>
      <w:r w:rsidRPr="00A21F5C">
        <w:rPr>
          <w:rFonts w:hint="cs"/>
          <w:rtl/>
        </w:rPr>
        <w:t xml:space="preserve"> ותקנה 5 לתקנות הכללת אמצעי זיהוי ביומטריים ונתוני זיהוי ביומטריים במסמכי זיהוי ובמאגר מידע (תיקון ו</w:t>
      </w:r>
      <w:r w:rsidRPr="00A21F5C">
        <w:rPr>
          <w:rFonts w:hint="cs"/>
          <w:rtl/>
        </w:rPr>
        <w:t xml:space="preserve">הוראת השעה), התשע"ז-2017. זיהוי ביומטרי </w:t>
      </w:r>
      <w:r w:rsidRPr="00A21F5C">
        <w:rPr>
          <w:rtl/>
        </w:rPr>
        <w:t xml:space="preserve">מתבצע בשיטות אוטומטיות </w:t>
      </w:r>
      <w:r>
        <w:rPr>
          <w:rFonts w:hint="cs"/>
          <w:rtl/>
        </w:rPr>
        <w:t>המ</w:t>
      </w:r>
      <w:r w:rsidRPr="00A21F5C">
        <w:rPr>
          <w:rtl/>
        </w:rPr>
        <w:t>ב</w:t>
      </w:r>
      <w:r>
        <w:rPr>
          <w:rFonts w:hint="cs"/>
          <w:rtl/>
        </w:rPr>
        <w:t>ו</w:t>
      </w:r>
      <w:r w:rsidRPr="00A21F5C">
        <w:rPr>
          <w:rtl/>
        </w:rPr>
        <w:t>סס</w:t>
      </w:r>
      <w:r>
        <w:rPr>
          <w:rFonts w:hint="cs"/>
          <w:rtl/>
        </w:rPr>
        <w:t>ות</w:t>
      </w:r>
      <w:r w:rsidRPr="00A21F5C">
        <w:rPr>
          <w:rtl/>
        </w:rPr>
        <w:t xml:space="preserve"> על מאפיינים אנטומיים ופיזיולוגיים</w:t>
      </w:r>
      <w:r w:rsidRPr="00A21F5C">
        <w:rPr>
          <w:rFonts w:hint="cs"/>
          <w:rtl/>
        </w:rPr>
        <w:t xml:space="preserve"> </w:t>
      </w:r>
      <w:r w:rsidRPr="00A21F5C">
        <w:rPr>
          <w:rtl/>
        </w:rPr>
        <w:t>הניתנים למדידה</w:t>
      </w:r>
      <w:r w:rsidRPr="00A21F5C">
        <w:rPr>
          <w:rFonts w:hint="cs"/>
          <w:rtl/>
        </w:rPr>
        <w:t>,</w:t>
      </w:r>
      <w:r w:rsidRPr="00A21F5C">
        <w:rPr>
          <w:rtl/>
        </w:rPr>
        <w:t xml:space="preserve"> כמו טביעת אצבע </w:t>
      </w:r>
      <w:r w:rsidRPr="00A21F5C">
        <w:rPr>
          <w:rFonts w:hint="cs"/>
          <w:rtl/>
        </w:rPr>
        <w:t xml:space="preserve">וצילום </w:t>
      </w:r>
      <w:r w:rsidRPr="00A21F5C">
        <w:rPr>
          <w:rtl/>
        </w:rPr>
        <w:t>קשתית העין</w:t>
      </w:r>
      <w:r w:rsidRPr="00A21F5C">
        <w:rPr>
          <w:rFonts w:hint="cs"/>
          <w:rtl/>
        </w:rPr>
        <w:t>.</w:t>
      </w:r>
      <w:r w:rsidRPr="00A21F5C">
        <w:rPr>
          <w:rtl/>
        </w:rPr>
        <w:t xml:space="preserve"> </w:t>
      </w:r>
      <w:r w:rsidRPr="00A21F5C">
        <w:rPr>
          <w:rFonts w:hint="cs"/>
          <w:rtl/>
        </w:rPr>
        <w:t>אמצעי הזיהוי מוזנים למאגר מידע</w:t>
      </w:r>
      <w:r w:rsidRPr="00A21F5C">
        <w:rPr>
          <w:rtl/>
        </w:rPr>
        <w:t xml:space="preserve"> </w:t>
      </w:r>
      <w:r w:rsidRPr="001E70BB">
        <w:rPr>
          <w:rFonts w:hint="cs"/>
          <w:rtl/>
        </w:rPr>
        <w:t>ב</w:t>
      </w:r>
      <w:r w:rsidRPr="001E70BB">
        <w:rPr>
          <w:rtl/>
        </w:rPr>
        <w:t xml:space="preserve">יומטרי. </w:t>
      </w:r>
    </w:p>
  </w:footnote>
  <w:footnote w:id="5">
    <w:p w:rsidR="001D7233" w:rsidRPr="00374AE2" w:rsidP="007A52FE" w14:paraId="6E0CAA38" w14:textId="77777777">
      <w:pPr>
        <w:pStyle w:val="FootnoteText"/>
        <w:keepNext/>
        <w:keepLines/>
      </w:pPr>
      <w:r w:rsidRPr="001E70BB">
        <w:rPr>
          <w:rStyle w:val="FootnoteReference1"/>
        </w:rPr>
        <w:footnoteRef/>
      </w:r>
      <w:r w:rsidRPr="001E70BB">
        <w:rPr>
          <w:rtl/>
        </w:rPr>
        <w:t xml:space="preserve"> </w:t>
      </w:r>
      <w:r w:rsidRPr="001E70BB">
        <w:rPr>
          <w:rtl/>
        </w:rPr>
        <w:tab/>
        <w:t>"תקן כוח האדם" הוא רשימת המשרות ולצ</w:t>
      </w:r>
      <w:r w:rsidRPr="001E70BB">
        <w:rPr>
          <w:rFonts w:hint="cs"/>
          <w:rtl/>
        </w:rPr>
        <w:t>י</w:t>
      </w:r>
      <w:r w:rsidRPr="001E70BB">
        <w:rPr>
          <w:rtl/>
        </w:rPr>
        <w:t xml:space="preserve">דן טווח הדרגות של </w:t>
      </w:r>
      <w:r w:rsidRPr="001E70BB">
        <w:rPr>
          <w:rtl/>
        </w:rPr>
        <w:t>האמורים לאיישן, אשר נקבעת</w:t>
      </w:r>
      <w:r w:rsidRPr="001E70BB">
        <w:rPr>
          <w:rFonts w:hint="cs"/>
          <w:rtl/>
        </w:rPr>
        <w:t xml:space="preserve"> </w:t>
      </w:r>
      <w:r w:rsidRPr="001E70BB">
        <w:rPr>
          <w:rtl/>
        </w:rPr>
        <w:t>עבור כל יחידה מיחידותיו של גוף ממשלתי.</w:t>
      </w:r>
    </w:p>
  </w:footnote>
  <w:footnote w:id="6">
    <w:p w:rsidR="001D7233" w:rsidP="007A52FE" w14:paraId="76EB238C" w14:textId="77777777">
      <w:pPr>
        <w:pStyle w:val="FootnoteText"/>
        <w:keepNext/>
        <w:keepLines/>
      </w:pPr>
      <w:r>
        <w:rPr>
          <w:rStyle w:val="FootnoteReference1"/>
        </w:rPr>
        <w:footnoteRef/>
      </w:r>
      <w:r>
        <w:rPr>
          <w:rtl/>
        </w:rPr>
        <w:t xml:space="preserve"> </w:t>
      </w:r>
      <w:r>
        <w:rPr>
          <w:rtl/>
        </w:rPr>
        <w:tab/>
      </w:r>
      <w:r w:rsidRPr="00A21F5C">
        <w:rPr>
          <w:rFonts w:hint="cs"/>
          <w:rtl/>
        </w:rPr>
        <w:t>על פי חוק הכניסה לישראל, כל אזרח</w:t>
      </w:r>
      <w:r>
        <w:rPr>
          <w:rFonts w:hint="cs"/>
          <w:rtl/>
        </w:rPr>
        <w:t xml:space="preserve"> </w:t>
      </w:r>
      <w:r w:rsidRPr="00A21F5C">
        <w:rPr>
          <w:rFonts w:hint="cs"/>
          <w:rtl/>
        </w:rPr>
        <w:t>של מדינה זרה המעוניין להיכנס</w:t>
      </w:r>
      <w:r w:rsidRPr="00A21F5C">
        <w:rPr>
          <w:rtl/>
        </w:rPr>
        <w:t xml:space="preserve"> לישראל ולשהות בה, למטרות שונות ולתקופות שונות</w:t>
      </w:r>
      <w:r w:rsidRPr="00A21F5C">
        <w:rPr>
          <w:rFonts w:hint="cs"/>
          <w:rtl/>
        </w:rPr>
        <w:t xml:space="preserve">, נדרש </w:t>
      </w:r>
      <w:r w:rsidRPr="00A21F5C">
        <w:rPr>
          <w:rtl/>
        </w:rPr>
        <w:t>ל</w:t>
      </w:r>
      <w:r w:rsidRPr="00A21F5C">
        <w:rPr>
          <w:rFonts w:hint="cs"/>
          <w:rtl/>
        </w:rPr>
        <w:t xml:space="preserve">קבל </w:t>
      </w:r>
      <w:r w:rsidRPr="00B1421D">
        <w:rPr>
          <w:rtl/>
        </w:rPr>
        <w:t>רישיון ישיבה</w:t>
      </w:r>
      <w:r w:rsidRPr="00A21F5C">
        <w:rPr>
          <w:rtl/>
        </w:rPr>
        <w:t xml:space="preserve"> משר הפנים</w:t>
      </w:r>
      <w:r w:rsidRPr="00A21F5C">
        <w:rPr>
          <w:rFonts w:hint="cs"/>
          <w:rtl/>
        </w:rPr>
        <w:t xml:space="preserve">. רישיון זה </w:t>
      </w:r>
      <w:r w:rsidRPr="00A21F5C">
        <w:rPr>
          <w:rtl/>
        </w:rPr>
        <w:t>מכונה</w:t>
      </w:r>
      <w:r w:rsidRPr="00A21F5C">
        <w:rPr>
          <w:rFonts w:hint="cs"/>
          <w:rtl/>
        </w:rPr>
        <w:t xml:space="preserve"> גם</w:t>
      </w:r>
      <w:r>
        <w:rPr>
          <w:rFonts w:hint="cs"/>
          <w:rtl/>
        </w:rPr>
        <w:t xml:space="preserve"> </w:t>
      </w:r>
      <w:r w:rsidRPr="00A21F5C">
        <w:rPr>
          <w:rtl/>
        </w:rPr>
        <w:t>"אשרה" או "ויזה".</w:t>
      </w:r>
    </w:p>
  </w:footnote>
  <w:footnote w:id="7">
    <w:p w:rsidR="001D7233" w:rsidRPr="00A21F5C" w:rsidP="007A52FE" w14:paraId="35BF9FC8" w14:textId="77777777">
      <w:pPr>
        <w:pStyle w:val="FootnoteText"/>
        <w:keepNext/>
        <w:keepLines/>
      </w:pPr>
      <w:r w:rsidRPr="00566C84">
        <w:rPr>
          <w:rStyle w:val="FootnoteReference1"/>
        </w:rPr>
        <w:footnoteRef/>
      </w:r>
      <w:r w:rsidRPr="00566C84">
        <w:rPr>
          <w:rtl/>
        </w:rPr>
        <w:t xml:space="preserve"> </w:t>
      </w:r>
      <w:r w:rsidRPr="00566C84">
        <w:rPr>
          <w:rtl/>
        </w:rPr>
        <w:tab/>
      </w:r>
      <w:r w:rsidRPr="00566C84">
        <w:rPr>
          <w:rFonts w:hint="cs"/>
          <w:rtl/>
        </w:rPr>
        <w:t xml:space="preserve">מבקר </w:t>
      </w:r>
      <w:r w:rsidRPr="00566C84">
        <w:rPr>
          <w:rFonts w:hint="cs"/>
          <w:rtl/>
        </w:rPr>
        <w:t xml:space="preserve">המדינה, </w:t>
      </w:r>
      <w:r w:rsidRPr="00566C84">
        <w:rPr>
          <w:rFonts w:hint="eastAsia"/>
          <w:b/>
          <w:bCs/>
          <w:rtl/>
        </w:rPr>
        <w:t>דוח</w:t>
      </w:r>
      <w:r w:rsidRPr="00566C84">
        <w:rPr>
          <w:b/>
          <w:bCs/>
          <w:rtl/>
        </w:rPr>
        <w:t xml:space="preserve"> </w:t>
      </w:r>
      <w:r w:rsidRPr="00566C84">
        <w:rPr>
          <w:rFonts w:hint="eastAsia"/>
          <w:b/>
          <w:bCs/>
          <w:rtl/>
        </w:rPr>
        <w:t>שנתי</w:t>
      </w:r>
      <w:r w:rsidRPr="00566C84">
        <w:rPr>
          <w:b/>
          <w:bCs/>
          <w:rtl/>
        </w:rPr>
        <w:t xml:space="preserve"> 66ג </w:t>
      </w:r>
      <w:r w:rsidRPr="00566C84">
        <w:rPr>
          <w:rtl/>
        </w:rPr>
        <w:t>(2016)</w:t>
      </w:r>
      <w:r w:rsidRPr="00566C84">
        <w:rPr>
          <w:rFonts w:hint="cs"/>
          <w:rtl/>
        </w:rPr>
        <w:t>, "</w:t>
      </w:r>
      <w:r w:rsidRPr="00566C84">
        <w:rPr>
          <w:rtl/>
        </w:rPr>
        <w:t>ניהול משאבי אנוש ברשות האוכלוסין וההגירה</w:t>
      </w:r>
      <w:r w:rsidRPr="00566C84">
        <w:rPr>
          <w:rFonts w:hint="cs"/>
          <w:rtl/>
        </w:rPr>
        <w:t xml:space="preserve">", </w:t>
      </w:r>
      <w:r w:rsidRPr="00566C84">
        <w:rPr>
          <w:rFonts w:hint="eastAsia"/>
          <w:rtl/>
        </w:rPr>
        <w:t>עמ</w:t>
      </w:r>
      <w:r w:rsidRPr="00566C84">
        <w:rPr>
          <w:rtl/>
        </w:rPr>
        <w:t>'</w:t>
      </w:r>
      <w:r w:rsidRPr="00566C84">
        <w:rPr>
          <w:rFonts w:hint="cs"/>
          <w:rtl/>
        </w:rPr>
        <w:t xml:space="preserve"> 15</w:t>
      </w:r>
      <w:r>
        <w:rPr>
          <w:rFonts w:hint="cs"/>
          <w:rtl/>
        </w:rPr>
        <w:t xml:space="preserve">; </w:t>
      </w:r>
      <w:r w:rsidRPr="00566C84">
        <w:rPr>
          <w:rFonts w:hint="cs"/>
          <w:rtl/>
        </w:rPr>
        <w:t xml:space="preserve">מבקר המדינה, </w:t>
      </w:r>
      <w:r w:rsidRPr="00566C84">
        <w:rPr>
          <w:rFonts w:hint="eastAsia"/>
          <w:b/>
          <w:bCs/>
          <w:rtl/>
        </w:rPr>
        <w:t>דוח</w:t>
      </w:r>
      <w:r w:rsidRPr="00566C84">
        <w:rPr>
          <w:b/>
          <w:bCs/>
          <w:rtl/>
        </w:rPr>
        <w:t xml:space="preserve"> </w:t>
      </w:r>
      <w:r w:rsidRPr="00566C84">
        <w:rPr>
          <w:rFonts w:hint="eastAsia"/>
          <w:b/>
          <w:bCs/>
          <w:rtl/>
        </w:rPr>
        <w:t>שנתי</w:t>
      </w:r>
      <w:r w:rsidRPr="00566C84">
        <w:rPr>
          <w:b/>
          <w:bCs/>
          <w:rtl/>
        </w:rPr>
        <w:t xml:space="preserve"> 67ב</w:t>
      </w:r>
      <w:r w:rsidRPr="00566C84">
        <w:rPr>
          <w:rFonts w:hint="cs"/>
          <w:b/>
          <w:bCs/>
          <w:rtl/>
        </w:rPr>
        <w:t xml:space="preserve"> </w:t>
      </w:r>
      <w:r w:rsidRPr="00566C84">
        <w:rPr>
          <w:rtl/>
        </w:rPr>
        <w:t>(2017)</w:t>
      </w:r>
      <w:r w:rsidRPr="00566C84">
        <w:rPr>
          <w:rFonts w:hint="cs"/>
          <w:rtl/>
        </w:rPr>
        <w:t>, "</w:t>
      </w:r>
      <w:r w:rsidRPr="00566C84">
        <w:rPr>
          <w:rtl/>
        </w:rPr>
        <w:t>הסדרת מעמדם האזרחי של בני משפחה זרים של ישראלים</w:t>
      </w:r>
      <w:r w:rsidRPr="00566C84">
        <w:rPr>
          <w:rFonts w:hint="cs"/>
          <w:rtl/>
        </w:rPr>
        <w:t xml:space="preserve">", </w:t>
      </w:r>
      <w:r w:rsidRPr="00566C84">
        <w:rPr>
          <w:rFonts w:hint="eastAsia"/>
          <w:rtl/>
        </w:rPr>
        <w:t>עמ</w:t>
      </w:r>
      <w:r w:rsidRPr="00566C84">
        <w:rPr>
          <w:rtl/>
        </w:rPr>
        <w:t>'</w:t>
      </w:r>
      <w:r w:rsidRPr="00566C84">
        <w:rPr>
          <w:rFonts w:hint="cs"/>
          <w:rtl/>
        </w:rPr>
        <w:t xml:space="preserve"> 27</w:t>
      </w:r>
      <w:r w:rsidRPr="00566C84">
        <w:rPr>
          <w:rtl/>
        </w:rPr>
        <w:t>.</w:t>
      </w:r>
    </w:p>
  </w:footnote>
  <w:footnote w:id="8">
    <w:p w:rsidR="001D7233" w:rsidP="007A52FE" w14:paraId="1361811E" w14:textId="77777777">
      <w:pPr>
        <w:pStyle w:val="FootnoteText"/>
        <w:keepNext/>
        <w:keepLines/>
      </w:pPr>
      <w:r>
        <w:rPr>
          <w:rStyle w:val="FootnoteReference1"/>
        </w:rPr>
        <w:footnoteRef/>
      </w:r>
      <w:r>
        <w:rPr>
          <w:rtl/>
        </w:rPr>
        <w:t xml:space="preserve"> </w:t>
      </w:r>
      <w:r>
        <w:rPr>
          <w:rtl/>
        </w:rPr>
        <w:tab/>
      </w:r>
      <w:r w:rsidRPr="003123C6">
        <w:rPr>
          <w:rFonts w:hint="cs"/>
          <w:rtl/>
        </w:rPr>
        <w:t>החלטת ממשלה מס' 673 מ-17.3.96.</w:t>
      </w:r>
    </w:p>
  </w:footnote>
  <w:footnote w:id="9">
    <w:p w:rsidR="001D7233" w:rsidRPr="00A21F5C" w:rsidP="007A52FE" w14:paraId="1EA31DFD" w14:textId="77777777">
      <w:pPr>
        <w:pStyle w:val="FootnoteText"/>
        <w:keepNext/>
        <w:keepLines/>
        <w:rPr>
          <w:rtl/>
        </w:rPr>
      </w:pPr>
      <w:r w:rsidRPr="00CC3B74">
        <w:rPr>
          <w:rStyle w:val="FootnoteReference1"/>
        </w:rPr>
        <w:footnoteRef/>
      </w:r>
      <w:r w:rsidRPr="00CC3B74">
        <w:rPr>
          <w:rtl/>
        </w:rPr>
        <w:t xml:space="preserve"> </w:t>
      </w:r>
      <w:r w:rsidRPr="00CC3B74">
        <w:rPr>
          <w:rtl/>
        </w:rPr>
        <w:tab/>
      </w:r>
      <w:r w:rsidRPr="00CC3B74">
        <w:rPr>
          <w:rFonts w:hint="eastAsia"/>
          <w:rtl/>
        </w:rPr>
        <w:t>המדד</w:t>
      </w:r>
      <w:r w:rsidRPr="00CC3B74">
        <w:rPr>
          <w:rtl/>
        </w:rPr>
        <w:t xml:space="preserve"> לרמת </w:t>
      </w:r>
      <w:r w:rsidRPr="00CC3B74">
        <w:rPr>
          <w:rFonts w:hint="eastAsia"/>
          <w:rtl/>
        </w:rPr>
        <w:t>השירות</w:t>
      </w:r>
      <w:r w:rsidRPr="00CC3B74">
        <w:rPr>
          <w:rtl/>
        </w:rPr>
        <w:t xml:space="preserve"> </w:t>
      </w:r>
      <w:r w:rsidRPr="00CC3B74">
        <w:rPr>
          <w:rFonts w:hint="eastAsia"/>
          <w:rtl/>
        </w:rPr>
        <w:t>נקבע</w:t>
      </w:r>
      <w:r w:rsidRPr="00CC3B74">
        <w:rPr>
          <w:rtl/>
        </w:rPr>
        <w:t xml:space="preserve"> </w:t>
      </w:r>
      <w:r w:rsidRPr="00CC3B74">
        <w:rPr>
          <w:rFonts w:hint="eastAsia"/>
          <w:rtl/>
        </w:rPr>
        <w:t>בהתייחס</w:t>
      </w:r>
      <w:r w:rsidRPr="00CC3B74">
        <w:rPr>
          <w:rtl/>
        </w:rPr>
        <w:t xml:space="preserve"> </w:t>
      </w:r>
      <w:r w:rsidRPr="00CC3B74">
        <w:rPr>
          <w:rFonts w:hint="eastAsia"/>
          <w:rtl/>
        </w:rPr>
        <w:t>לכמות</w:t>
      </w:r>
      <w:r w:rsidRPr="00CC3B74">
        <w:rPr>
          <w:rtl/>
        </w:rPr>
        <w:t xml:space="preserve"> </w:t>
      </w:r>
      <w:r w:rsidRPr="00CC3B74">
        <w:rPr>
          <w:rFonts w:hint="eastAsia"/>
          <w:rtl/>
        </w:rPr>
        <w:t>של</w:t>
      </w:r>
      <w:r w:rsidRPr="00CC3B74">
        <w:rPr>
          <w:rtl/>
        </w:rPr>
        <w:t xml:space="preserve"> 90% </w:t>
      </w:r>
      <w:r w:rsidRPr="00CC3B74">
        <w:rPr>
          <w:rFonts w:hint="eastAsia"/>
          <w:rtl/>
        </w:rPr>
        <w:t>מהנוסעים</w:t>
      </w:r>
      <w:r w:rsidRPr="00CC3B74">
        <w:rPr>
          <w:rtl/>
        </w:rPr>
        <w:t xml:space="preserve"> </w:t>
      </w:r>
      <w:r w:rsidRPr="00CC3B74">
        <w:rPr>
          <w:rFonts w:hint="eastAsia"/>
          <w:rtl/>
        </w:rPr>
        <w:t>בימי</w:t>
      </w:r>
      <w:r w:rsidRPr="00CC3B74">
        <w:rPr>
          <w:rtl/>
        </w:rPr>
        <w:t xml:space="preserve"> </w:t>
      </w:r>
      <w:r w:rsidRPr="00CC3B74">
        <w:rPr>
          <w:rFonts w:hint="eastAsia"/>
          <w:rtl/>
        </w:rPr>
        <w:t>העומס</w:t>
      </w:r>
      <w:r w:rsidRPr="00CC3B74">
        <w:rPr>
          <w:rtl/>
        </w:rPr>
        <w:t>.</w:t>
      </w:r>
      <w:r>
        <w:rPr>
          <w:rFonts w:hint="cs"/>
          <w:rtl/>
        </w:rPr>
        <w:t xml:space="preserve"> </w:t>
      </w:r>
    </w:p>
  </w:footnote>
  <w:footnote w:id="10">
    <w:p w:rsidR="001D7233" w:rsidP="007A52FE" w14:paraId="72C22E53" w14:textId="77777777">
      <w:pPr>
        <w:pStyle w:val="FootnoteText"/>
        <w:keepNext/>
        <w:keepLines/>
        <w:rPr>
          <w:rtl/>
        </w:rPr>
      </w:pPr>
      <w:r>
        <w:rPr>
          <w:rStyle w:val="FootnoteReference1"/>
        </w:rPr>
        <w:footnoteRef/>
      </w:r>
      <w:r>
        <w:rPr>
          <w:rtl/>
        </w:rPr>
        <w:t xml:space="preserve"> </w:t>
      </w:r>
      <w:r>
        <w:rPr>
          <w:rFonts w:hint="cs"/>
          <w:rtl/>
        </w:rPr>
        <w:tab/>
      </w:r>
      <w:r w:rsidRPr="00E07C96">
        <w:rPr>
          <w:rtl/>
        </w:rPr>
        <w:t>בפסח נערכ</w:t>
      </w:r>
      <w:r w:rsidRPr="00217D55">
        <w:rPr>
          <w:rFonts w:hint="eastAsia"/>
          <w:rtl/>
        </w:rPr>
        <w:t>ה</w:t>
      </w:r>
      <w:r w:rsidRPr="00E07C96">
        <w:rPr>
          <w:rtl/>
        </w:rPr>
        <w:t xml:space="preserve"> </w:t>
      </w:r>
      <w:r w:rsidRPr="00217D55">
        <w:rPr>
          <w:rFonts w:hint="eastAsia"/>
          <w:rtl/>
        </w:rPr>
        <w:t>הבדיקה</w:t>
      </w:r>
      <w:r w:rsidRPr="00217D55">
        <w:rPr>
          <w:rtl/>
        </w:rPr>
        <w:t xml:space="preserve"> </w:t>
      </w:r>
      <w:r w:rsidRPr="00E07C96">
        <w:rPr>
          <w:rFonts w:hint="eastAsia"/>
          <w:rtl/>
        </w:rPr>
        <w:t>עשרה</w:t>
      </w:r>
      <w:r w:rsidRPr="00E07C96">
        <w:rPr>
          <w:rtl/>
        </w:rPr>
        <w:t xml:space="preserve"> ימים לפני ערב פסח ועד </w:t>
      </w:r>
      <w:r w:rsidRPr="00E07C96">
        <w:rPr>
          <w:rFonts w:hint="eastAsia"/>
          <w:rtl/>
        </w:rPr>
        <w:t>עשרה</w:t>
      </w:r>
      <w:r>
        <w:rPr>
          <w:rtl/>
        </w:rPr>
        <w:t xml:space="preserve"> ימים אחריו</w:t>
      </w:r>
      <w:r>
        <w:rPr>
          <w:rFonts w:hint="cs"/>
          <w:rtl/>
        </w:rPr>
        <w:t>, ו</w:t>
      </w:r>
      <w:r w:rsidRPr="00E07C96">
        <w:rPr>
          <w:rFonts w:hint="eastAsia"/>
          <w:rtl/>
        </w:rPr>
        <w:t>בקיץ</w:t>
      </w:r>
      <w:r w:rsidRPr="00E07C96">
        <w:rPr>
          <w:rtl/>
        </w:rPr>
        <w:t xml:space="preserve"> </w:t>
      </w:r>
      <w:r w:rsidRPr="00E07C96">
        <w:rPr>
          <w:rFonts w:hint="eastAsia"/>
          <w:rtl/>
        </w:rPr>
        <w:t>נערכ</w:t>
      </w:r>
      <w:r w:rsidRPr="00217D55">
        <w:rPr>
          <w:rFonts w:hint="eastAsia"/>
          <w:rtl/>
        </w:rPr>
        <w:t>ה</w:t>
      </w:r>
      <w:r w:rsidRPr="00217D55">
        <w:rPr>
          <w:rtl/>
        </w:rPr>
        <w:t xml:space="preserve"> </w:t>
      </w:r>
      <w:r w:rsidRPr="00217D55">
        <w:rPr>
          <w:rFonts w:hint="eastAsia"/>
          <w:rtl/>
        </w:rPr>
        <w:t>הבדיקה</w:t>
      </w:r>
      <w:r w:rsidRPr="00E07C96">
        <w:rPr>
          <w:rtl/>
        </w:rPr>
        <w:t xml:space="preserve"> </w:t>
      </w:r>
      <w:r w:rsidRPr="00E07C96">
        <w:rPr>
          <w:rFonts w:hint="eastAsia"/>
          <w:rtl/>
        </w:rPr>
        <w:t>בחודשים</w:t>
      </w:r>
      <w:r w:rsidRPr="00E07C96">
        <w:rPr>
          <w:rtl/>
        </w:rPr>
        <w:t xml:space="preserve"> </w:t>
      </w:r>
      <w:r w:rsidRPr="00E07C96">
        <w:rPr>
          <w:rFonts w:hint="eastAsia"/>
          <w:rtl/>
        </w:rPr>
        <w:t>יולי</w:t>
      </w:r>
      <w:r w:rsidRPr="00E07C96">
        <w:rPr>
          <w:rtl/>
        </w:rPr>
        <w:t xml:space="preserve"> </w:t>
      </w:r>
      <w:r w:rsidRPr="00E07C96">
        <w:rPr>
          <w:rFonts w:hint="eastAsia"/>
          <w:rtl/>
        </w:rPr>
        <w:t>ואוגוסט</w:t>
      </w:r>
      <w:r w:rsidRPr="00E07C96">
        <w:rPr>
          <w:rtl/>
        </w:rPr>
        <w:t>.</w:t>
      </w:r>
    </w:p>
  </w:footnote>
  <w:footnote w:id="11">
    <w:p w:rsidR="001D7233" w:rsidRPr="000C6383" w:rsidP="007A52FE" w14:paraId="1E7827EE" w14:textId="77777777">
      <w:pPr>
        <w:pStyle w:val="FootnoteText"/>
        <w:keepNext/>
        <w:keepLines/>
        <w:rPr>
          <w:rtl/>
        </w:rPr>
      </w:pPr>
      <w:r>
        <w:rPr>
          <w:rStyle w:val="FootnoteReference1"/>
        </w:rPr>
        <w:footnoteRef/>
      </w:r>
      <w:r>
        <w:rPr>
          <w:rtl/>
        </w:rPr>
        <w:t xml:space="preserve"> </w:t>
      </w:r>
      <w:r>
        <w:rPr>
          <w:rtl/>
        </w:rPr>
        <w:tab/>
      </w:r>
      <w:r w:rsidRPr="000C6383">
        <w:rPr>
          <w:rtl/>
        </w:rPr>
        <w:t>או תעודה אחרת שהוציא למטרה זו שר הפנים</w:t>
      </w:r>
      <w:r>
        <w:rPr>
          <w:rFonts w:hint="cs"/>
          <w:rtl/>
        </w:rPr>
        <w:t>.</w:t>
      </w:r>
    </w:p>
  </w:footnote>
  <w:footnote w:id="12">
    <w:p w:rsidR="001D7233" w:rsidRPr="00571A2A" w:rsidP="007A52FE" w14:paraId="02A0A005" w14:textId="77777777">
      <w:pPr>
        <w:pStyle w:val="FootnoteText"/>
        <w:keepNext/>
        <w:keepLines/>
        <w:rPr>
          <w:rtl/>
        </w:rPr>
      </w:pPr>
      <w:r w:rsidRPr="00571A2A">
        <w:rPr>
          <w:rStyle w:val="FootnoteReference1"/>
        </w:rPr>
        <w:footnoteRef/>
      </w:r>
      <w:r w:rsidRPr="00571A2A">
        <w:rPr>
          <w:rtl/>
        </w:rPr>
        <w:t xml:space="preserve"> </w:t>
      </w:r>
      <w:r w:rsidRPr="00571A2A">
        <w:rPr>
          <w:rtl/>
        </w:rPr>
        <w:tab/>
      </w:r>
      <w:r w:rsidRPr="00571A2A">
        <w:rPr>
          <w:rFonts w:hint="eastAsia"/>
          <w:rtl/>
        </w:rPr>
        <w:t>נתוני</w:t>
      </w:r>
      <w:r w:rsidRPr="00571A2A">
        <w:rPr>
          <w:rtl/>
        </w:rPr>
        <w:t xml:space="preserve"> </w:t>
      </w:r>
      <w:r w:rsidRPr="00571A2A">
        <w:rPr>
          <w:rFonts w:hint="eastAsia"/>
          <w:rtl/>
        </w:rPr>
        <w:t>א</w:t>
      </w:r>
      <w:r>
        <w:rPr>
          <w:rFonts w:hint="cs"/>
          <w:rtl/>
        </w:rPr>
        <w:t>גף חקירות</w:t>
      </w:r>
      <w:r w:rsidRPr="00571A2A">
        <w:rPr>
          <w:rtl/>
        </w:rPr>
        <w:t xml:space="preserve"> </w:t>
      </w:r>
      <w:r>
        <w:rPr>
          <w:rFonts w:hint="cs"/>
          <w:rtl/>
        </w:rPr>
        <w:t>ב</w:t>
      </w:r>
      <w:r w:rsidRPr="00571A2A">
        <w:rPr>
          <w:rtl/>
        </w:rPr>
        <w:t>מרחב נתב"ג שנשלפו ממערכת "אמון", ינואר 2020.</w:t>
      </w:r>
    </w:p>
  </w:footnote>
  <w:footnote w:id="13">
    <w:p w:rsidR="001D7233" w:rsidRPr="00261DA0" w:rsidP="007A52FE" w14:paraId="67278906" w14:textId="77777777">
      <w:pPr>
        <w:pStyle w:val="FootnoteText"/>
        <w:keepNext/>
        <w:keepLines/>
      </w:pPr>
      <w:r w:rsidRPr="00261DA0">
        <w:rPr>
          <w:rStyle w:val="FootnoteReference1"/>
        </w:rPr>
        <w:footnoteRef/>
      </w:r>
      <w:r w:rsidRPr="00261DA0">
        <w:rPr>
          <w:rStyle w:val="FootnoteReference1"/>
          <w:rtl/>
        </w:rPr>
        <w:t xml:space="preserve"> </w:t>
      </w:r>
      <w:r w:rsidRPr="00261DA0">
        <w:rPr>
          <w:rStyle w:val="FootnoteReference1"/>
          <w:rtl/>
        </w:rPr>
        <w:tab/>
      </w:r>
      <w:r w:rsidRPr="00261DA0">
        <w:rPr>
          <w:rFonts w:hint="cs"/>
          <w:rtl/>
        </w:rPr>
        <w:t xml:space="preserve">עד ינואר 2020 </w:t>
      </w:r>
      <w:r w:rsidRPr="00261DA0">
        <w:rPr>
          <w:rFonts w:hint="cs"/>
          <w:rtl/>
        </w:rPr>
        <w:t>מרבית כתבי האישום טרם הגיעו לשלב מיצוי ההליך המשפטי.</w:t>
      </w:r>
    </w:p>
  </w:footnote>
  <w:footnote w:id="14">
    <w:p w:rsidR="001D7233" w:rsidRPr="00566C84" w:rsidP="007A52FE" w14:paraId="72C0A7A3" w14:textId="77777777">
      <w:pPr>
        <w:pStyle w:val="FootnoteText"/>
        <w:keepNext/>
        <w:keepLines/>
        <w:rPr>
          <w:rtl/>
        </w:rPr>
      </w:pPr>
      <w:r w:rsidRPr="00A21F5C">
        <w:rPr>
          <w:rStyle w:val="FootnoteReference1"/>
        </w:rPr>
        <w:footnoteRef/>
      </w:r>
      <w:r w:rsidRPr="00A21F5C">
        <w:rPr>
          <w:rtl/>
        </w:rPr>
        <w:t xml:space="preserve"> </w:t>
      </w:r>
      <w:r w:rsidRPr="00A21F5C">
        <w:rPr>
          <w:rtl/>
        </w:rPr>
        <w:tab/>
      </w:r>
      <w:r w:rsidRPr="00566C84">
        <w:rPr>
          <w:rtl/>
        </w:rPr>
        <w:t>תייר</w:t>
      </w:r>
      <w:r w:rsidRPr="00566C84">
        <w:rPr>
          <w:rFonts w:hint="cs"/>
          <w:rtl/>
        </w:rPr>
        <w:t>ים</w:t>
      </w:r>
      <w:r w:rsidRPr="00566C84">
        <w:rPr>
          <w:rtl/>
        </w:rPr>
        <w:t xml:space="preserve"> ששה</w:t>
      </w:r>
      <w:r w:rsidRPr="00566C84">
        <w:rPr>
          <w:rFonts w:hint="cs"/>
          <w:rtl/>
        </w:rPr>
        <w:t>ו</w:t>
      </w:r>
      <w:r w:rsidRPr="00566C84">
        <w:rPr>
          <w:rtl/>
        </w:rPr>
        <w:t xml:space="preserve"> בישראל </w:t>
      </w:r>
      <w:r w:rsidRPr="00566C84">
        <w:rPr>
          <w:rFonts w:hint="cs"/>
          <w:rtl/>
        </w:rPr>
        <w:t>ב</w:t>
      </w:r>
      <w:r w:rsidRPr="00566C84">
        <w:rPr>
          <w:rtl/>
        </w:rPr>
        <w:t>לא אשרת שהייה תק</w:t>
      </w:r>
      <w:r w:rsidRPr="00566C84">
        <w:rPr>
          <w:rFonts w:hint="cs"/>
          <w:rtl/>
        </w:rPr>
        <w:t>פה</w:t>
      </w:r>
      <w:r w:rsidRPr="00566C84">
        <w:rPr>
          <w:rtl/>
        </w:rPr>
        <w:t xml:space="preserve">. על פי חוק הכניסה לישראל, אשרה מסוג זה היא אשרה הניתנת לתייר לתקופה של עד </w:t>
      </w:r>
      <w:r w:rsidRPr="00566C84">
        <w:rPr>
          <w:rFonts w:hint="cs"/>
          <w:rtl/>
        </w:rPr>
        <w:t>שלושה</w:t>
      </w:r>
      <w:r w:rsidRPr="00566C84">
        <w:rPr>
          <w:rtl/>
        </w:rPr>
        <w:t xml:space="preserve"> חודשים.</w:t>
      </w:r>
    </w:p>
  </w:footnote>
  <w:footnote w:id="15">
    <w:p w:rsidR="001D7233" w:rsidRPr="00EE533D" w:rsidP="007A52FE" w14:paraId="63EBFDBE" w14:textId="77777777">
      <w:pPr>
        <w:pStyle w:val="FootnoteText"/>
        <w:keepNext/>
        <w:keepLines/>
      </w:pPr>
      <w:r>
        <w:rPr>
          <w:rStyle w:val="FootnoteReference1"/>
        </w:rPr>
        <w:footnoteRef/>
      </w:r>
      <w:r>
        <w:rPr>
          <w:rtl/>
        </w:rPr>
        <w:t xml:space="preserve"> </w:t>
      </w:r>
      <w:r>
        <w:rPr>
          <w:rtl/>
        </w:rPr>
        <w:tab/>
      </w:r>
      <w:r w:rsidRPr="00EE533D">
        <w:rPr>
          <w:rFonts w:hint="cs"/>
          <w:rtl/>
        </w:rPr>
        <w:t xml:space="preserve">מצגת של קורס הכשרה לבקרי </w:t>
      </w:r>
      <w:r>
        <w:rPr>
          <w:rFonts w:hint="cs"/>
          <w:rtl/>
        </w:rPr>
        <w:t>גבול, מינהל ביקורת הגבולות, 2018; תורת הפעלה,</w:t>
      </w:r>
      <w:r>
        <w:rPr>
          <w:rFonts w:hint="cs"/>
          <w:rtl/>
        </w:rPr>
        <w:t xml:space="preserve"> מינהל ביקורת הגבולות 2011.</w:t>
      </w:r>
    </w:p>
    <w:p w:rsidR="001D7233" w:rsidRPr="008E207B" w:rsidP="007A52FE" w14:paraId="6F7240A8" w14:textId="77777777">
      <w:pPr>
        <w:pStyle w:val="FootnoteText"/>
        <w:keepNext/>
        <w:keepLines/>
      </w:pPr>
    </w:p>
  </w:footnote>
  <w:footnote w:id="16">
    <w:p w:rsidR="001D7233" w:rsidRPr="006D44CE" w:rsidP="007A52FE" w14:paraId="0D2756AF" w14:textId="77777777">
      <w:pPr>
        <w:pStyle w:val="FootnoteText"/>
        <w:keepNext/>
        <w:keepLines/>
        <w:rPr>
          <w:rtl/>
        </w:rPr>
      </w:pPr>
      <w:r>
        <w:rPr>
          <w:rStyle w:val="FootnoteReference1"/>
        </w:rPr>
        <w:footnoteRef/>
      </w:r>
      <w:r>
        <w:rPr>
          <w:rtl/>
        </w:rPr>
        <w:t xml:space="preserve"> </w:t>
      </w:r>
      <w:r>
        <w:rPr>
          <w:rtl/>
        </w:rPr>
        <w:tab/>
      </w:r>
      <w:r w:rsidRPr="006D44CE">
        <w:rPr>
          <w:rtl/>
        </w:rPr>
        <w:t>זר המבקש להיכנס לישראל נדרש להתייצב אצל בקר גבול (כלומר אינו רשאי לעבור באמצעות עמדות לשירות מהיר)</w:t>
      </w:r>
      <w:r w:rsidRPr="006D44CE">
        <w:rPr>
          <w:rFonts w:hint="cs"/>
          <w:rtl/>
        </w:rPr>
        <w:t xml:space="preserve">. מקור הנתונים: </w:t>
      </w:r>
      <w:r w:rsidRPr="006D44CE">
        <w:rPr>
          <w:rtl/>
        </w:rPr>
        <w:t xml:space="preserve">מינהל ביקורת </w:t>
      </w:r>
      <w:r>
        <w:rPr>
          <w:rFonts w:hint="cs"/>
          <w:rtl/>
        </w:rPr>
        <w:t>ה</w:t>
      </w:r>
      <w:r w:rsidRPr="006D44CE">
        <w:rPr>
          <w:rtl/>
        </w:rPr>
        <w:t>גבולות, קובץ זמני טיפול בזרים מחצית אוגוסט 2019 וקובץ זמני טיפול בזרים מחצית נובמבר 2019, מיום 1</w:t>
      </w:r>
      <w:r w:rsidRPr="006D44CE">
        <w:rPr>
          <w:rtl/>
        </w:rPr>
        <w:t>8.12.19.</w:t>
      </w:r>
    </w:p>
  </w:footnote>
  <w:footnote w:id="17">
    <w:p w:rsidR="001D7233" w:rsidRPr="002C7F91" w:rsidP="007A52FE" w14:paraId="39352F8C" w14:textId="77777777">
      <w:pPr>
        <w:pStyle w:val="FootnoteText"/>
        <w:keepNext/>
        <w:keepLines/>
        <w:rPr>
          <w:rtl/>
        </w:rPr>
      </w:pPr>
      <w:r>
        <w:rPr>
          <w:rStyle w:val="FootnoteReference1"/>
        </w:rPr>
        <w:footnoteRef/>
      </w:r>
      <w:r>
        <w:rPr>
          <w:rtl/>
        </w:rPr>
        <w:t xml:space="preserve"> </w:t>
      </w:r>
      <w:r>
        <w:rPr>
          <w:rtl/>
        </w:rPr>
        <w:tab/>
      </w:r>
      <w:r w:rsidRPr="002C7F91">
        <w:rPr>
          <w:rtl/>
        </w:rPr>
        <w:t>רישיון ישיבה בישראל מאפשר שהייה של חמישה ימים עד שלוש שנים בתחומי המדינה, על פי מטרת הביקור בישראל.</w:t>
      </w:r>
      <w:r>
        <w:rPr>
          <w:rtl/>
        </w:rPr>
        <w:t xml:space="preserve"> </w:t>
      </w:r>
    </w:p>
  </w:footnote>
  <w:footnote w:id="18">
    <w:p w:rsidR="001D7233" w:rsidP="007A52FE" w14:paraId="486DDBA2" w14:textId="77777777">
      <w:pPr>
        <w:pStyle w:val="FootnoteText"/>
        <w:keepNext/>
        <w:keepLines/>
        <w:rPr>
          <w:rtl/>
        </w:rPr>
      </w:pPr>
      <w:r>
        <w:rPr>
          <w:rStyle w:val="FootnoteReference1"/>
        </w:rPr>
        <w:footnoteRef/>
      </w:r>
      <w:r>
        <w:rPr>
          <w:rtl/>
        </w:rPr>
        <w:t xml:space="preserve"> </w:t>
      </w:r>
      <w:r>
        <w:rPr>
          <w:rtl/>
        </w:rPr>
        <w:tab/>
      </w:r>
      <w:r w:rsidRPr="0050480F">
        <w:rPr>
          <w:rtl/>
        </w:rPr>
        <w:t>כאמור כ-80% מהזרים שנכנסו לישראל בתקופות שנבדקו נשאו דרכון ביומטרי</w:t>
      </w:r>
      <w:r w:rsidRPr="00EB01CC">
        <w:rPr>
          <w:rFonts w:cs="Arial"/>
          <w:rtl/>
        </w:rPr>
        <w:t>.</w:t>
      </w:r>
    </w:p>
  </w:footnote>
  <w:footnote w:id="19">
    <w:p w:rsidR="001D7233" w:rsidRPr="005A66A2" w:rsidP="007A52FE" w14:paraId="398FC485" w14:textId="77777777">
      <w:pPr>
        <w:pStyle w:val="FootnoteText"/>
        <w:keepNext/>
        <w:keepLines/>
        <w:rPr>
          <w:rtl/>
        </w:rPr>
      </w:pPr>
      <w:r>
        <w:rPr>
          <w:rStyle w:val="FootnoteReference1"/>
        </w:rPr>
        <w:footnoteRef/>
      </w:r>
      <w:r>
        <w:rPr>
          <w:rtl/>
        </w:rPr>
        <w:t xml:space="preserve"> </w:t>
      </w:r>
      <w:r>
        <w:rPr>
          <w:rtl/>
        </w:rPr>
        <w:tab/>
      </w:r>
      <w:r w:rsidRPr="00C75AFD">
        <w:rPr>
          <w:rFonts w:hint="cs"/>
          <w:rtl/>
        </w:rPr>
        <w:t xml:space="preserve">מקור: </w:t>
      </w:r>
      <w:r w:rsidRPr="005A66A2">
        <w:rPr>
          <w:rtl/>
        </w:rPr>
        <w:t xml:space="preserve">נתוני מדינות נבחרות </w:t>
      </w:r>
      <w:r>
        <w:rPr>
          <w:rFonts w:hint="cs"/>
          <w:rtl/>
        </w:rPr>
        <w:t>ש</w:t>
      </w:r>
      <w:r w:rsidRPr="005A66A2">
        <w:rPr>
          <w:rtl/>
        </w:rPr>
        <w:t>איתן קיים הסכם פטור מ</w:t>
      </w:r>
      <w:r>
        <w:rPr>
          <w:rFonts w:hint="cs"/>
          <w:rtl/>
        </w:rPr>
        <w:t>ו</w:t>
      </w:r>
      <w:r w:rsidRPr="005A66A2">
        <w:rPr>
          <w:rtl/>
        </w:rPr>
        <w:t>ויזות</w:t>
      </w:r>
      <w:r w:rsidRPr="005A66A2">
        <w:rPr>
          <w:rFonts w:hint="cs"/>
          <w:rtl/>
        </w:rPr>
        <w:t xml:space="preserve"> </w:t>
      </w:r>
      <w:r w:rsidRPr="005A66A2">
        <w:rPr>
          <w:rtl/>
        </w:rPr>
        <w:t>לפי שנים, 2012</w:t>
      </w:r>
      <w:r>
        <w:rPr>
          <w:rFonts w:hint="cs"/>
          <w:rtl/>
        </w:rPr>
        <w:t xml:space="preserve"> </w:t>
      </w:r>
      <w:r w:rsidRPr="005A66A2">
        <w:rPr>
          <w:rtl/>
        </w:rPr>
        <w:t>-</w:t>
      </w:r>
      <w:r>
        <w:rPr>
          <w:rFonts w:hint="cs"/>
          <w:rtl/>
        </w:rPr>
        <w:t xml:space="preserve"> </w:t>
      </w:r>
      <w:r w:rsidRPr="005A66A2">
        <w:rPr>
          <w:rtl/>
        </w:rPr>
        <w:t>2019</w:t>
      </w:r>
      <w:r w:rsidRPr="005A66A2">
        <w:rPr>
          <w:rFonts w:hint="cs"/>
          <w:rtl/>
        </w:rPr>
        <w:t>, רשות האוכלוסין, אפריל 2019.</w:t>
      </w:r>
    </w:p>
  </w:footnote>
  <w:footnote w:id="20">
    <w:p w:rsidR="001D7233" w:rsidRPr="00A21F5C" w:rsidP="007A52FE" w14:paraId="5B730705" w14:textId="77777777">
      <w:pPr>
        <w:pStyle w:val="FootnoteText"/>
        <w:keepNext/>
        <w:keepLines/>
        <w:rPr>
          <w:rtl/>
        </w:rPr>
      </w:pPr>
      <w:r w:rsidRPr="00A21F5C">
        <w:rPr>
          <w:rStyle w:val="FootnoteReference1"/>
        </w:rPr>
        <w:footnoteRef/>
      </w:r>
      <w:r w:rsidRPr="00A21F5C">
        <w:rPr>
          <w:rtl/>
        </w:rPr>
        <w:t xml:space="preserve"> </w:t>
      </w:r>
      <w:r w:rsidRPr="00A21F5C">
        <w:rPr>
          <w:rtl/>
        </w:rPr>
        <w:tab/>
      </w:r>
      <w:r w:rsidRPr="00A21F5C">
        <w:t>Guidelines for Integrated Border Management in European Commission External Cooperation, 2010</w:t>
      </w:r>
    </w:p>
  </w:footnote>
  <w:footnote w:id="21">
    <w:p w:rsidR="001D7233" w:rsidRPr="00A21F5C" w:rsidP="007A52FE" w14:paraId="66E12973" w14:textId="77777777">
      <w:pPr>
        <w:pStyle w:val="FootnoteText"/>
        <w:keepNext/>
        <w:keepLines/>
        <w:rPr>
          <w:rtl/>
        </w:rPr>
      </w:pPr>
      <w:r w:rsidRPr="00A21F5C">
        <w:rPr>
          <w:rStyle w:val="FootnoteReference1"/>
        </w:rPr>
        <w:footnoteRef/>
      </w:r>
      <w:r w:rsidRPr="00A21F5C">
        <w:rPr>
          <w:rtl/>
        </w:rPr>
        <w:t xml:space="preserve"> </w:t>
      </w:r>
      <w:r w:rsidRPr="00A21F5C">
        <w:rPr>
          <w:rtl/>
        </w:rPr>
        <w:tab/>
      </w:r>
      <w:r w:rsidRPr="00A21F5C">
        <w:rPr>
          <w:rFonts w:hint="cs"/>
          <w:rtl/>
        </w:rPr>
        <w:t>שם;</w:t>
      </w:r>
      <w:r w:rsidRPr="00A21F5C">
        <w:t xml:space="preserve"> Independent chief Inspector of Border and immigration, An inspection of Border Force Operations at Stansted Airport</w:t>
      </w:r>
      <w:r w:rsidRPr="00A21F5C">
        <w:t>,</w:t>
      </w:r>
      <w:r>
        <w:t xml:space="preserve"> </w:t>
      </w:r>
      <w:r w:rsidRPr="00A21F5C">
        <w:t>March 2018.</w:t>
      </w:r>
      <w:r w:rsidRPr="00A21F5C">
        <w:rPr>
          <w:rFonts w:hint="cs"/>
          <w:rtl/>
        </w:rPr>
        <w:t xml:space="preserve"> </w:t>
      </w:r>
    </w:p>
  </w:footnote>
  <w:footnote w:id="22">
    <w:p w:rsidR="001D7233" w:rsidRPr="00A21F5C" w:rsidP="00B9204C" w14:paraId="67000A6D" w14:textId="77777777">
      <w:pPr>
        <w:pStyle w:val="FootnoteText"/>
        <w:keepNext/>
        <w:keepLines/>
        <w:rPr>
          <w:rtl/>
        </w:rPr>
      </w:pPr>
      <w:r w:rsidRPr="00A21F5C">
        <w:rPr>
          <w:rStyle w:val="FootnoteReference1"/>
        </w:rPr>
        <w:footnoteRef/>
      </w:r>
      <w:r w:rsidRPr="00A21F5C">
        <w:rPr>
          <w:rtl/>
        </w:rPr>
        <w:t xml:space="preserve"> </w:t>
      </w:r>
      <w:r w:rsidRPr="00A21F5C">
        <w:rPr>
          <w:rtl/>
        </w:rPr>
        <w:tab/>
      </w:r>
      <w:r w:rsidRPr="00A21F5C">
        <w:rPr>
          <w:rFonts w:hint="cs"/>
          <w:rtl/>
        </w:rPr>
        <w:t xml:space="preserve">בתורת </w:t>
      </w:r>
      <w:r>
        <w:rPr>
          <w:rFonts w:hint="cs"/>
          <w:rtl/>
        </w:rPr>
        <w:t>ה</w:t>
      </w:r>
      <w:r w:rsidRPr="00A21F5C">
        <w:rPr>
          <w:rFonts w:hint="cs"/>
          <w:rtl/>
        </w:rPr>
        <w:t xml:space="preserve">הפעלה פורטו 20 תחומים, </w:t>
      </w:r>
      <w:r>
        <w:rPr>
          <w:rFonts w:hint="cs"/>
          <w:rtl/>
        </w:rPr>
        <w:t>ו</w:t>
      </w:r>
      <w:r w:rsidRPr="00A21F5C">
        <w:rPr>
          <w:rFonts w:hint="cs"/>
          <w:rtl/>
        </w:rPr>
        <w:t>בהם: כוח אדם, הדרכות, נהלים</w:t>
      </w:r>
      <w:r>
        <w:rPr>
          <w:rFonts w:hint="cs"/>
          <w:rtl/>
        </w:rPr>
        <w:t>,</w:t>
      </w:r>
      <w:r w:rsidRPr="00A21F5C">
        <w:rPr>
          <w:rFonts w:hint="cs"/>
          <w:rtl/>
        </w:rPr>
        <w:t xml:space="preserve"> הטיפול במסורבים</w:t>
      </w:r>
      <w:r>
        <w:rPr>
          <w:rFonts w:hint="cs"/>
          <w:rtl/>
        </w:rPr>
        <w:t>,</w:t>
      </w:r>
      <w:r w:rsidRPr="00A21F5C">
        <w:rPr>
          <w:rFonts w:hint="cs"/>
          <w:rtl/>
        </w:rPr>
        <w:t xml:space="preserve"> הטיפול באירועים חריגים</w:t>
      </w:r>
      <w:r>
        <w:rPr>
          <w:rFonts w:hint="cs"/>
          <w:rtl/>
        </w:rPr>
        <w:t>,</w:t>
      </w:r>
      <w:r w:rsidRPr="00A21F5C">
        <w:rPr>
          <w:rFonts w:hint="cs"/>
          <w:rtl/>
        </w:rPr>
        <w:t xml:space="preserve"> היערכות למצבי חירום. </w:t>
      </w:r>
    </w:p>
  </w:footnote>
  <w:footnote w:id="23">
    <w:p w:rsidR="001D7233" w:rsidP="00080818" w14:paraId="079CD5C9" w14:textId="77777777">
      <w:pPr>
        <w:pStyle w:val="FootnoteText"/>
        <w:rPr>
          <w:rtl/>
        </w:rPr>
      </w:pPr>
      <w:r>
        <w:rPr>
          <w:rStyle w:val="FootnoteReference1"/>
        </w:rPr>
        <w:footnoteRef/>
      </w:r>
      <w:r>
        <w:rPr>
          <w:rtl/>
        </w:rPr>
        <w:t xml:space="preserve"> </w:t>
      </w:r>
      <w:r>
        <w:rPr>
          <w:rtl/>
        </w:rPr>
        <w:tab/>
      </w:r>
      <w:r w:rsidRPr="00A21F5C">
        <w:rPr>
          <w:rFonts w:hint="cs"/>
          <w:rtl/>
        </w:rPr>
        <w:t>בג"</w:t>
      </w:r>
      <w:r>
        <w:rPr>
          <w:rFonts w:hint="cs"/>
          <w:rtl/>
        </w:rPr>
        <w:t>ץ</w:t>
      </w:r>
      <w:r w:rsidRPr="00A21F5C">
        <w:rPr>
          <w:rFonts w:hint="cs"/>
          <w:rtl/>
        </w:rPr>
        <w:t xml:space="preserve"> 2303/90, </w:t>
      </w:r>
      <w:r w:rsidRPr="00A21F5C">
        <w:rPr>
          <w:rFonts w:hint="cs"/>
          <w:b/>
          <w:bCs/>
          <w:rtl/>
        </w:rPr>
        <w:t>פיליפוביץ נ' רשם החברות</w:t>
      </w:r>
      <w:r w:rsidRPr="00A21F5C">
        <w:rPr>
          <w:rFonts w:hint="cs"/>
          <w:rtl/>
        </w:rPr>
        <w:t xml:space="preserve"> (</w:t>
      </w:r>
      <w:r>
        <w:rPr>
          <w:rFonts w:hint="cs"/>
          <w:rtl/>
        </w:rPr>
        <w:t>פורסם במאגר ממוחשב,</w:t>
      </w:r>
      <w:r w:rsidRPr="00A21F5C">
        <w:rPr>
          <w:rFonts w:hint="cs"/>
          <w:rtl/>
        </w:rPr>
        <w:t xml:space="preserve"> 6.1.</w:t>
      </w:r>
      <w:r>
        <w:rPr>
          <w:rFonts w:hint="cs"/>
          <w:rtl/>
        </w:rPr>
        <w:t>18</w:t>
      </w:r>
      <w:r w:rsidRPr="00A21F5C">
        <w:rPr>
          <w:rFonts w:hint="cs"/>
          <w:rtl/>
        </w:rPr>
        <w:t>).</w:t>
      </w:r>
    </w:p>
  </w:footnote>
  <w:footnote w:id="24">
    <w:p w:rsidR="001D7233" w:rsidRPr="00A21F5C" w:rsidP="00222145" w14:paraId="26C23FDC" w14:textId="77777777">
      <w:pPr>
        <w:pStyle w:val="FootnoteText"/>
        <w:keepNext/>
        <w:keepLines/>
        <w:rPr>
          <w:rtl/>
        </w:rPr>
      </w:pPr>
      <w:r w:rsidRPr="00A21F5C">
        <w:rPr>
          <w:rStyle w:val="FootnoteReference1"/>
        </w:rPr>
        <w:footnoteRef/>
      </w:r>
      <w:r>
        <w:rPr>
          <w:rFonts w:hint="cs"/>
          <w:rtl/>
        </w:rPr>
        <w:t xml:space="preserve"> </w:t>
      </w:r>
      <w:r w:rsidRPr="00A21F5C">
        <w:rPr>
          <w:rtl/>
        </w:rPr>
        <w:tab/>
      </w:r>
      <w:r w:rsidRPr="00A66D77">
        <w:rPr>
          <w:rFonts w:hint="eastAsia"/>
          <w:rtl/>
        </w:rPr>
        <w:t>בנוגע</w:t>
      </w:r>
      <w:r w:rsidRPr="00A21F5C">
        <w:rPr>
          <w:rFonts w:hint="cs"/>
          <w:rtl/>
        </w:rPr>
        <w:t xml:space="preserve"> ל</w:t>
      </w:r>
      <w:r w:rsidRPr="00A21F5C">
        <w:rPr>
          <w:rtl/>
        </w:rPr>
        <w:t xml:space="preserve">מידע שמוסר הנוסע במועד הכניסה </w:t>
      </w:r>
      <w:r w:rsidRPr="00A21F5C">
        <w:rPr>
          <w:rtl/>
        </w:rPr>
        <w:t>למדינה (בעת הביקורת בגבול)</w:t>
      </w:r>
      <w:r w:rsidRPr="00A21F5C">
        <w:rPr>
          <w:rFonts w:hint="cs"/>
          <w:rtl/>
        </w:rPr>
        <w:t xml:space="preserve"> -</w:t>
      </w:r>
      <w:r w:rsidRPr="00A21F5C">
        <w:t>https://www.gov.il/he/departments/general/world_biometric</w:t>
      </w:r>
      <w:r w:rsidRPr="00A21F5C">
        <w:rPr>
          <w:rFonts w:hint="cs"/>
          <w:rtl/>
        </w:rPr>
        <w:t>, אוגוסט 2019; בנוגע ל</w:t>
      </w:r>
      <w:r w:rsidRPr="00A21F5C">
        <w:rPr>
          <w:rtl/>
        </w:rPr>
        <w:t>מידע שמ</w:t>
      </w:r>
      <w:r w:rsidRPr="00A21F5C">
        <w:rPr>
          <w:rFonts w:hint="cs"/>
          <w:rtl/>
        </w:rPr>
        <w:t>ו</w:t>
      </w:r>
      <w:r w:rsidRPr="00A21F5C">
        <w:rPr>
          <w:rtl/>
        </w:rPr>
        <w:t>סר</w:t>
      </w:r>
      <w:r w:rsidRPr="00A21F5C">
        <w:rPr>
          <w:rFonts w:hint="cs"/>
          <w:rtl/>
        </w:rPr>
        <w:t>ים</w:t>
      </w:r>
      <w:r w:rsidRPr="00A21F5C">
        <w:rPr>
          <w:rtl/>
        </w:rPr>
        <w:t xml:space="preserve"> </w:t>
      </w:r>
      <w:r w:rsidRPr="00A21F5C">
        <w:rPr>
          <w:rFonts w:hint="cs"/>
          <w:rtl/>
        </w:rPr>
        <w:t>ה</w:t>
      </w:r>
      <w:r w:rsidRPr="00A21F5C">
        <w:rPr>
          <w:rtl/>
        </w:rPr>
        <w:t>נוסעים לחברות התעופה ומועבר למדינת היעד</w:t>
      </w:r>
      <w:r w:rsidRPr="00A21F5C">
        <w:rPr>
          <w:rFonts w:hint="cs"/>
          <w:rtl/>
        </w:rPr>
        <w:t xml:space="preserve"> </w:t>
      </w:r>
      <w:r w:rsidRPr="00A21F5C">
        <w:rPr>
          <w:rtl/>
        </w:rPr>
        <w:t xml:space="preserve">לאחר ביצוע </w:t>
      </w:r>
      <w:r w:rsidRPr="00A21F5C">
        <w:rPr>
          <w:rFonts w:hint="cs"/>
          <w:rtl/>
        </w:rPr>
        <w:t>ה</w:t>
      </w:r>
      <w:r w:rsidRPr="00A21F5C">
        <w:rPr>
          <w:rtl/>
        </w:rPr>
        <w:t xml:space="preserve">רישום לטיסה </w:t>
      </w:r>
      <w:r w:rsidRPr="00A21F5C">
        <w:rPr>
          <w:rFonts w:hint="cs"/>
          <w:rtl/>
        </w:rPr>
        <w:t>-</w:t>
      </w:r>
      <w:r w:rsidRPr="00222145">
        <w:t>https://www.iata.org/publications/api-pnr-toolkit/Pages/index.aspx</w:t>
      </w:r>
      <w:r>
        <w:rPr>
          <w:rFonts w:hint="cs"/>
          <w:rtl/>
        </w:rPr>
        <w:t xml:space="preserve">, </w:t>
      </w:r>
      <w:r w:rsidRPr="00A21F5C">
        <w:rPr>
          <w:rFonts w:hint="cs"/>
          <w:rtl/>
        </w:rPr>
        <w:t>או</w:t>
      </w:r>
      <w:r w:rsidRPr="00A21F5C">
        <w:rPr>
          <w:rFonts w:hint="cs"/>
          <w:rtl/>
        </w:rPr>
        <w:t xml:space="preserve">גוסט 2019, </w:t>
      </w:r>
      <w:r w:rsidRPr="00222145">
        <w:t>https://www.iata.org/pressroom/pr/Pages/2018-06-05-01.aspx</w:t>
      </w:r>
      <w:r w:rsidRPr="00A21F5C">
        <w:rPr>
          <w:rFonts w:hint="cs"/>
          <w:rtl/>
        </w:rPr>
        <w:t>, אוגוסט 2019; בנוגע ל</w:t>
      </w:r>
      <w:r w:rsidRPr="00A21F5C">
        <w:rPr>
          <w:rtl/>
        </w:rPr>
        <w:t>מידע שמוסר הנוסע</w:t>
      </w:r>
      <w:r w:rsidRPr="00A21F5C">
        <w:rPr>
          <w:rFonts w:hint="cs"/>
          <w:rtl/>
        </w:rPr>
        <w:t xml:space="preserve"> </w:t>
      </w:r>
      <w:r w:rsidRPr="00A21F5C">
        <w:rPr>
          <w:rtl/>
        </w:rPr>
        <w:t xml:space="preserve">בטרם </w:t>
      </w:r>
      <w:r w:rsidRPr="00A21F5C">
        <w:rPr>
          <w:rFonts w:hint="cs"/>
          <w:rtl/>
        </w:rPr>
        <w:t xml:space="preserve">הוא </w:t>
      </w:r>
      <w:r w:rsidRPr="00A21F5C">
        <w:rPr>
          <w:rtl/>
        </w:rPr>
        <w:t>נכנס למדינה</w:t>
      </w:r>
      <w:r w:rsidRPr="00A21F5C">
        <w:rPr>
          <w:rFonts w:hint="cs"/>
          <w:rtl/>
        </w:rPr>
        <w:t xml:space="preserve"> - </w:t>
      </w:r>
      <w:r>
        <w:fldChar w:fldCharType="begin"/>
      </w:r>
      <w:r>
        <w:instrText xml:space="preserve"> HYPERLINK "https://www.gov.uk/registered-traveller" </w:instrText>
      </w:r>
      <w:r>
        <w:fldChar w:fldCharType="separate"/>
      </w:r>
      <w:r w:rsidRPr="00222145">
        <w:t>https://www.gov.uk/registered-traveller</w:t>
      </w:r>
      <w:r>
        <w:fldChar w:fldCharType="end"/>
      </w:r>
      <w:r>
        <w:rPr>
          <w:rFonts w:hint="cs"/>
          <w:rtl/>
        </w:rPr>
        <w:t>,</w:t>
      </w:r>
      <w:r w:rsidRPr="00A21F5C">
        <w:rPr>
          <w:rFonts w:hint="cs"/>
          <w:rtl/>
        </w:rPr>
        <w:t xml:space="preserve"> </w:t>
      </w:r>
      <w:r>
        <w:fldChar w:fldCharType="begin"/>
      </w:r>
      <w:r>
        <w:instrText xml:space="preserve"> HYPERLINK "https://www.canada.ca/en/immigration-refugees-citizenship/services/visit-canada/eta.html" </w:instrText>
      </w:r>
      <w:r>
        <w:fldChar w:fldCharType="separate"/>
      </w:r>
      <w:r w:rsidRPr="00222145">
        <w:t>https://www.canada.ca/en/immigration-refugees-citizenship/services/visit-canada/eta.html</w:t>
      </w:r>
      <w:r>
        <w:fldChar w:fldCharType="end"/>
      </w:r>
      <w:r>
        <w:rPr>
          <w:rFonts w:hint="cs"/>
          <w:rtl/>
        </w:rPr>
        <w:t xml:space="preserve">, </w:t>
      </w:r>
      <w:r>
        <w:fldChar w:fldCharType="begin"/>
      </w:r>
      <w:r>
        <w:instrText xml:space="preserve"> HYPERLINK "https://www.dhs.gov/visa-waiver-program" </w:instrText>
      </w:r>
      <w:r>
        <w:fldChar w:fldCharType="separate"/>
      </w:r>
      <w:r w:rsidRPr="00222145">
        <w:t>https://www.dhs.gov/visa-waiver-prog</w:t>
      </w:r>
      <w:r w:rsidRPr="00222145">
        <w:t>ram</w:t>
      </w:r>
      <w:r>
        <w:fldChar w:fldCharType="end"/>
      </w:r>
      <w:r>
        <w:rPr>
          <w:rFonts w:hint="cs"/>
          <w:rtl/>
        </w:rPr>
        <w:t xml:space="preserve">. </w:t>
      </w:r>
    </w:p>
  </w:footnote>
  <w:footnote w:id="25">
    <w:p w:rsidR="001D7233" w:rsidP="00955421" w14:paraId="0518AB79" w14:textId="77777777">
      <w:pPr>
        <w:pStyle w:val="FootnoteText"/>
      </w:pPr>
      <w:r>
        <w:rPr>
          <w:rStyle w:val="FootnoteReference1"/>
        </w:rPr>
        <w:footnoteRef/>
      </w:r>
      <w:r>
        <w:rPr>
          <w:rtl/>
        </w:rPr>
        <w:t xml:space="preserve"> </w:t>
      </w:r>
      <w:r>
        <w:rPr>
          <w:rtl/>
        </w:rPr>
        <w:tab/>
      </w:r>
      <w:r>
        <w:rPr>
          <w:rFonts w:hint="cs"/>
          <w:rtl/>
        </w:rPr>
        <w:t>החלטת הממשלה 2258 מ-</w:t>
      </w:r>
      <w:r w:rsidRPr="00E540F5">
        <w:rPr>
          <w:rtl/>
        </w:rPr>
        <w:t>30.11.14.</w:t>
      </w:r>
      <w:r w:rsidRPr="00A50586">
        <w:rPr>
          <w:rFonts w:hint="cs"/>
          <w:rtl/>
        </w:rPr>
        <w:t xml:space="preserve"> </w:t>
      </w:r>
      <w:r>
        <w:rPr>
          <w:rFonts w:hint="cs"/>
          <w:rtl/>
        </w:rPr>
        <w:t>במועד הביקורת שימש ראש הלוט"ר בתפקיד המשנה לראש המל"ל.</w:t>
      </w:r>
      <w:r>
        <w:t xml:space="preserve"> </w:t>
      </w:r>
    </w:p>
  </w:footnote>
  <w:footnote w:id="26">
    <w:p w:rsidR="001D7233" w:rsidP="00955421" w14:paraId="1E76FE8D" w14:textId="77777777">
      <w:pPr>
        <w:pStyle w:val="FootnoteText"/>
        <w:rPr>
          <w:rtl/>
        </w:rPr>
      </w:pPr>
      <w:r>
        <w:rPr>
          <w:rStyle w:val="FootnoteReference1"/>
        </w:rPr>
        <w:footnoteRef/>
      </w:r>
      <w:r>
        <w:rPr>
          <w:rtl/>
        </w:rPr>
        <w:t xml:space="preserve"> </w:t>
      </w:r>
      <w:r>
        <w:rPr>
          <w:rtl/>
        </w:rPr>
        <w:tab/>
      </w:r>
      <w:r>
        <w:rPr>
          <w:rFonts w:hint="cs"/>
          <w:rtl/>
        </w:rPr>
        <w:t>הנימוקים להקמת המינהלת ברשות המיסים היו אלה: לרשות יש התשתית הארגונית, הידע והניסיון להקמה של מרכז נתונים ממוחשב, מסווג ומאובטח; במדינות מובילות בעולם מאגר</w:t>
      </w:r>
      <w:r>
        <w:rPr>
          <w:rFonts w:hint="cs"/>
          <w:rtl/>
        </w:rPr>
        <w:t xml:space="preserve"> הנתונים מוחזק ברשות המיסים.</w:t>
      </w:r>
    </w:p>
  </w:footnote>
  <w:footnote w:id="27">
    <w:p w:rsidR="001D7233" w:rsidP="00955421" w14:paraId="56102689" w14:textId="77777777">
      <w:pPr>
        <w:pStyle w:val="FootnoteText"/>
      </w:pPr>
      <w:r>
        <w:rPr>
          <w:rStyle w:val="FootnoteReference1"/>
        </w:rPr>
        <w:footnoteRef/>
      </w:r>
      <w:r>
        <w:rPr>
          <w:rtl/>
        </w:rPr>
        <w:t xml:space="preserve"> </w:t>
      </w:r>
      <w:r>
        <w:rPr>
          <w:rtl/>
        </w:rPr>
        <w:tab/>
      </w:r>
      <w:r w:rsidRPr="00D9432E">
        <w:rPr>
          <w:rtl/>
        </w:rPr>
        <w:t>38.5 מ</w:t>
      </w:r>
      <w:r>
        <w:rPr>
          <w:rFonts w:hint="cs"/>
          <w:rtl/>
        </w:rPr>
        <w:t>יליון</w:t>
      </w:r>
      <w:r w:rsidRPr="00D9432E">
        <w:rPr>
          <w:rtl/>
        </w:rPr>
        <w:t xml:space="preserve"> </w:t>
      </w:r>
      <w:r>
        <w:rPr>
          <w:rtl/>
        </w:rPr>
        <w:t>ש"ח</w:t>
      </w:r>
      <w:r>
        <w:rPr>
          <w:rFonts w:hint="cs"/>
          <w:rtl/>
        </w:rPr>
        <w:t xml:space="preserve"> עבור</w:t>
      </w:r>
      <w:r>
        <w:rPr>
          <w:rtl/>
        </w:rPr>
        <w:t xml:space="preserve"> הקמ</w:t>
      </w:r>
      <w:r>
        <w:rPr>
          <w:rFonts w:hint="cs"/>
          <w:rtl/>
        </w:rPr>
        <w:t>ת המערכת</w:t>
      </w:r>
      <w:r>
        <w:rPr>
          <w:rtl/>
        </w:rPr>
        <w:t xml:space="preserve"> </w:t>
      </w:r>
      <w:r>
        <w:rPr>
          <w:rFonts w:hint="cs"/>
          <w:rtl/>
        </w:rPr>
        <w:t>ו-</w:t>
      </w:r>
      <w:r>
        <w:rPr>
          <w:rtl/>
        </w:rPr>
        <w:t>140</w:t>
      </w:r>
      <w:r>
        <w:rPr>
          <w:rFonts w:hint="cs"/>
          <w:rtl/>
        </w:rPr>
        <w:t xml:space="preserve"> מיליון ש"ח</w:t>
      </w:r>
      <w:r>
        <w:rPr>
          <w:rtl/>
        </w:rPr>
        <w:t xml:space="preserve"> עלות שוטפת </w:t>
      </w:r>
      <w:r>
        <w:rPr>
          <w:rFonts w:hint="cs"/>
          <w:rtl/>
        </w:rPr>
        <w:t>כוללת לעשר שנים.</w:t>
      </w:r>
    </w:p>
  </w:footnote>
  <w:footnote w:id="28">
    <w:p w:rsidR="001D7233" w:rsidRPr="00A21F5C" w:rsidP="007A52FE" w14:paraId="44A34244" w14:textId="77777777">
      <w:pPr>
        <w:pStyle w:val="FootnoteText"/>
        <w:keepNext/>
        <w:keepLines/>
      </w:pPr>
      <w:r w:rsidRPr="00A21F5C">
        <w:rPr>
          <w:rStyle w:val="FootnoteReference1"/>
        </w:rPr>
        <w:footnoteRef/>
      </w:r>
      <w:r w:rsidRPr="00A21F5C">
        <w:rPr>
          <w:rtl/>
        </w:rPr>
        <w:t xml:space="preserve"> </w:t>
      </w:r>
      <w:r w:rsidRPr="00A21F5C">
        <w:rPr>
          <w:rtl/>
        </w:rPr>
        <w:tab/>
      </w:r>
      <w:r>
        <w:rPr>
          <w:rFonts w:hint="cs"/>
          <w:rtl/>
        </w:rPr>
        <w:t>הוחלט ש</w:t>
      </w:r>
      <w:r w:rsidRPr="00A21F5C">
        <w:rPr>
          <w:rFonts w:hint="cs"/>
          <w:rtl/>
        </w:rPr>
        <w:t xml:space="preserve">בשלב </w:t>
      </w:r>
      <w:r>
        <w:rPr>
          <w:rFonts w:hint="cs"/>
          <w:rtl/>
        </w:rPr>
        <w:t>ה</w:t>
      </w:r>
      <w:r w:rsidRPr="00A21F5C">
        <w:rPr>
          <w:rFonts w:hint="cs"/>
          <w:rtl/>
        </w:rPr>
        <w:t>ראשון המערכת תשמש למתן אשרות לנושאי דרכונים רשמיים ממדינות החייב</w:t>
      </w:r>
      <w:r>
        <w:rPr>
          <w:rFonts w:hint="cs"/>
          <w:rtl/>
        </w:rPr>
        <w:t>ות</w:t>
      </w:r>
      <w:r w:rsidRPr="00A21F5C">
        <w:rPr>
          <w:rFonts w:hint="cs"/>
          <w:rtl/>
        </w:rPr>
        <w:t xml:space="preserve"> באשרת ביקור </w:t>
      </w:r>
      <w:r>
        <w:rPr>
          <w:rFonts w:hint="cs"/>
          <w:rtl/>
        </w:rPr>
        <w:t xml:space="preserve">כדי </w:t>
      </w:r>
      <w:r w:rsidRPr="00A21F5C">
        <w:rPr>
          <w:rFonts w:hint="cs"/>
          <w:rtl/>
        </w:rPr>
        <w:t>להיכנס לישראל</w:t>
      </w:r>
      <w:r>
        <w:rPr>
          <w:rFonts w:hint="cs"/>
          <w:rtl/>
        </w:rPr>
        <w:t>,</w:t>
      </w:r>
      <w:r w:rsidRPr="00A21F5C">
        <w:rPr>
          <w:rFonts w:hint="cs"/>
          <w:rtl/>
        </w:rPr>
        <w:t xml:space="preserve"> ובשלב מאוחר יותר ת</w:t>
      </w:r>
      <w:r>
        <w:rPr>
          <w:rFonts w:hint="cs"/>
          <w:rtl/>
        </w:rPr>
        <w:t>שרת</w:t>
      </w:r>
      <w:r w:rsidRPr="00A21F5C">
        <w:rPr>
          <w:rFonts w:hint="cs"/>
          <w:rtl/>
        </w:rPr>
        <w:t xml:space="preserve"> גם נושאי דרכונים ממדינות הפטורות מאשרת ביקור. </w:t>
      </w:r>
    </w:p>
  </w:footnote>
  <w:footnote w:id="29">
    <w:p w:rsidR="001D7233" w:rsidRPr="00104D47" w:rsidP="007A52FE" w14:paraId="46320524" w14:textId="77777777">
      <w:pPr>
        <w:pStyle w:val="FootnoteText"/>
        <w:keepNext/>
        <w:keepLines/>
      </w:pPr>
      <w:r>
        <w:rPr>
          <w:rStyle w:val="FootnoteReference1"/>
        </w:rPr>
        <w:footnoteRef/>
      </w:r>
      <w:r>
        <w:rPr>
          <w:rtl/>
        </w:rPr>
        <w:t xml:space="preserve"> </w:t>
      </w:r>
      <w:r>
        <w:rPr>
          <w:rtl/>
        </w:rPr>
        <w:tab/>
      </w:r>
      <w:r w:rsidRPr="00104D47">
        <w:rPr>
          <w:rtl/>
        </w:rPr>
        <w:t xml:space="preserve">מבקר המדינה, </w:t>
      </w:r>
      <w:r w:rsidRPr="00104D47">
        <w:rPr>
          <w:b/>
          <w:bCs/>
          <w:rtl/>
        </w:rPr>
        <w:t>דוח שנת</w:t>
      </w:r>
      <w:r w:rsidRPr="00954BB9">
        <w:rPr>
          <w:b/>
          <w:bCs/>
          <w:rtl/>
        </w:rPr>
        <w:t>י</w:t>
      </w:r>
      <w:r w:rsidRPr="00104D47">
        <w:rPr>
          <w:b/>
          <w:bCs/>
          <w:rtl/>
        </w:rPr>
        <w:t xml:space="preserve"> </w:t>
      </w:r>
      <w:r w:rsidRPr="00104D47">
        <w:rPr>
          <w:rFonts w:hint="cs"/>
          <w:b/>
          <w:bCs/>
          <w:rtl/>
        </w:rPr>
        <w:t>70</w:t>
      </w:r>
      <w:r w:rsidRPr="00104D47">
        <w:rPr>
          <w:b/>
          <w:bCs/>
          <w:rtl/>
        </w:rPr>
        <w:t>ג</w:t>
      </w:r>
      <w:r w:rsidRPr="00104D47">
        <w:rPr>
          <w:rtl/>
        </w:rPr>
        <w:t xml:space="preserve"> (201</w:t>
      </w:r>
      <w:r>
        <w:rPr>
          <w:rFonts w:hint="cs"/>
          <w:rtl/>
        </w:rPr>
        <w:t>9</w:t>
      </w:r>
      <w:r w:rsidRPr="00104D47">
        <w:rPr>
          <w:rtl/>
        </w:rPr>
        <w:t>), "</w:t>
      </w:r>
      <w:r>
        <w:rPr>
          <w:rFonts w:hint="cs"/>
          <w:rtl/>
        </w:rPr>
        <w:t>היבטים בהסדרת השימוש במאגרים ביומטריים</w:t>
      </w:r>
      <w:r>
        <w:rPr>
          <w:rtl/>
        </w:rPr>
        <w:t>"</w:t>
      </w:r>
      <w:r>
        <w:rPr>
          <w:rFonts w:hint="cs"/>
          <w:rtl/>
        </w:rPr>
        <w:t>.</w:t>
      </w:r>
    </w:p>
  </w:footnote>
  <w:footnote w:id="30">
    <w:p w:rsidR="001D7233" w:rsidP="007A52FE" w14:paraId="07FC1923" w14:textId="77777777">
      <w:pPr>
        <w:pStyle w:val="FootnoteText"/>
        <w:keepNext/>
        <w:keepLines/>
      </w:pPr>
      <w:r>
        <w:rPr>
          <w:rStyle w:val="FootnoteReference1"/>
        </w:rPr>
        <w:footnoteRef/>
      </w:r>
      <w:r>
        <w:rPr>
          <w:rtl/>
        </w:rPr>
        <w:t xml:space="preserve"> </w:t>
      </w:r>
      <w:r>
        <w:rPr>
          <w:rtl/>
        </w:rPr>
        <w:tab/>
      </w:r>
      <w:r w:rsidRPr="007073D5">
        <w:rPr>
          <w:rFonts w:hint="eastAsia"/>
          <w:rtl/>
        </w:rPr>
        <w:t>סעיף</w:t>
      </w:r>
      <w:r w:rsidRPr="007073D5">
        <w:rPr>
          <w:rtl/>
        </w:rPr>
        <w:t xml:space="preserve"> 6 </w:t>
      </w:r>
      <w:r w:rsidRPr="007073D5">
        <w:rPr>
          <w:rFonts w:hint="eastAsia"/>
          <w:rtl/>
        </w:rPr>
        <w:t>לחוק</w:t>
      </w:r>
      <w:r w:rsidRPr="007073D5">
        <w:rPr>
          <w:rtl/>
        </w:rPr>
        <w:t xml:space="preserve"> </w:t>
      </w:r>
      <w:r w:rsidRPr="007073D5">
        <w:rPr>
          <w:rFonts w:hint="eastAsia"/>
          <w:rtl/>
        </w:rPr>
        <w:t>הכניסה</w:t>
      </w:r>
      <w:r w:rsidRPr="007073D5">
        <w:rPr>
          <w:rtl/>
        </w:rPr>
        <w:t xml:space="preserve"> </w:t>
      </w:r>
      <w:r w:rsidRPr="007073D5">
        <w:rPr>
          <w:rFonts w:hint="eastAsia"/>
          <w:rtl/>
        </w:rPr>
        <w:t>קובע</w:t>
      </w:r>
      <w:r w:rsidRPr="007073D5">
        <w:rPr>
          <w:rtl/>
        </w:rPr>
        <w:t xml:space="preserve"> בין היתר </w:t>
      </w:r>
      <w:r w:rsidRPr="007073D5">
        <w:rPr>
          <w:rFonts w:hint="eastAsia"/>
          <w:rtl/>
        </w:rPr>
        <w:t>כי</w:t>
      </w:r>
      <w:r w:rsidRPr="007073D5">
        <w:rPr>
          <w:rtl/>
        </w:rPr>
        <w:t xml:space="preserve"> שר הפנים רשאי לקבוע "</w:t>
      </w:r>
      <w:r w:rsidRPr="007073D5">
        <w:rPr>
          <w:rFonts w:hint="eastAsia"/>
          <w:rtl/>
        </w:rPr>
        <w:t>תנאים</w:t>
      </w:r>
      <w:r w:rsidRPr="007073D5">
        <w:rPr>
          <w:rtl/>
        </w:rPr>
        <w:t xml:space="preserve"> </w:t>
      </w:r>
      <w:r w:rsidRPr="007073D5">
        <w:rPr>
          <w:rFonts w:hint="eastAsia"/>
          <w:rtl/>
        </w:rPr>
        <w:t>למתן</w:t>
      </w:r>
      <w:r w:rsidRPr="007073D5">
        <w:rPr>
          <w:rtl/>
        </w:rPr>
        <w:t xml:space="preserve"> </w:t>
      </w:r>
      <w:r w:rsidRPr="007073D5">
        <w:rPr>
          <w:rFonts w:hint="eastAsia"/>
          <w:rtl/>
        </w:rPr>
        <w:t>אשרה</w:t>
      </w:r>
      <w:r w:rsidRPr="007073D5">
        <w:rPr>
          <w:rtl/>
        </w:rPr>
        <w:t xml:space="preserve"> </w:t>
      </w:r>
      <w:r w:rsidRPr="007073D5">
        <w:rPr>
          <w:rFonts w:hint="eastAsia"/>
          <w:rtl/>
        </w:rPr>
        <w:t>או</w:t>
      </w:r>
      <w:r w:rsidRPr="007073D5">
        <w:rPr>
          <w:rtl/>
        </w:rPr>
        <w:t xml:space="preserve"> </w:t>
      </w:r>
      <w:r w:rsidRPr="007073D5">
        <w:rPr>
          <w:rFonts w:hint="eastAsia"/>
          <w:rtl/>
        </w:rPr>
        <w:t>רישיון</w:t>
      </w:r>
      <w:r w:rsidRPr="007073D5">
        <w:rPr>
          <w:rtl/>
        </w:rPr>
        <w:t xml:space="preserve"> </w:t>
      </w:r>
      <w:r w:rsidRPr="007073D5">
        <w:rPr>
          <w:rFonts w:hint="eastAsia"/>
          <w:rtl/>
        </w:rPr>
        <w:t>ישיבה</w:t>
      </w:r>
      <w:r w:rsidRPr="007073D5">
        <w:rPr>
          <w:rtl/>
        </w:rPr>
        <w:t>...</w:t>
      </w:r>
      <w:r>
        <w:rPr>
          <w:rFonts w:hint="cs"/>
          <w:rtl/>
        </w:rPr>
        <w:t xml:space="preserve"> </w:t>
      </w:r>
      <w:r w:rsidRPr="007073D5">
        <w:rPr>
          <w:rtl/>
        </w:rPr>
        <w:t xml:space="preserve">לקבוע </w:t>
      </w:r>
      <w:r w:rsidRPr="007073D5">
        <w:rPr>
          <w:rFonts w:hint="eastAsia"/>
          <w:rtl/>
        </w:rPr>
        <w:t>באשרה</w:t>
      </w:r>
      <w:r w:rsidRPr="007073D5">
        <w:rPr>
          <w:rtl/>
        </w:rPr>
        <w:t xml:space="preserve"> </w:t>
      </w:r>
      <w:r w:rsidRPr="007073D5">
        <w:rPr>
          <w:rFonts w:hint="eastAsia"/>
          <w:rtl/>
        </w:rPr>
        <w:t>או</w:t>
      </w:r>
      <w:r w:rsidRPr="007073D5">
        <w:rPr>
          <w:rtl/>
        </w:rPr>
        <w:t xml:space="preserve"> </w:t>
      </w:r>
      <w:r w:rsidRPr="007073D5">
        <w:rPr>
          <w:rFonts w:hint="eastAsia"/>
          <w:rtl/>
        </w:rPr>
        <w:t>ברישיון</w:t>
      </w:r>
      <w:r w:rsidRPr="007073D5">
        <w:rPr>
          <w:rtl/>
        </w:rPr>
        <w:t xml:space="preserve"> </w:t>
      </w:r>
      <w:r w:rsidRPr="007073D5">
        <w:rPr>
          <w:rFonts w:hint="eastAsia"/>
          <w:rtl/>
        </w:rPr>
        <w:t>ישיבה</w:t>
      </w:r>
      <w:r w:rsidRPr="007073D5">
        <w:rPr>
          <w:rtl/>
        </w:rPr>
        <w:t xml:space="preserve"> </w:t>
      </w:r>
      <w:r w:rsidRPr="007073D5">
        <w:rPr>
          <w:rFonts w:hint="eastAsia"/>
          <w:rtl/>
        </w:rPr>
        <w:t>תנאים</w:t>
      </w:r>
      <w:r w:rsidRPr="007073D5">
        <w:rPr>
          <w:rtl/>
        </w:rPr>
        <w:t xml:space="preserve"> </w:t>
      </w:r>
      <w:r w:rsidRPr="007073D5">
        <w:rPr>
          <w:rFonts w:hint="eastAsia"/>
          <w:rtl/>
        </w:rPr>
        <w:t>שקיומם</w:t>
      </w:r>
      <w:r w:rsidRPr="007073D5">
        <w:rPr>
          <w:rtl/>
        </w:rPr>
        <w:t xml:space="preserve"> </w:t>
      </w:r>
      <w:r w:rsidRPr="007073D5">
        <w:rPr>
          <w:rFonts w:hint="eastAsia"/>
          <w:rtl/>
        </w:rPr>
        <w:t>יהיה</w:t>
      </w:r>
      <w:r w:rsidRPr="007073D5">
        <w:rPr>
          <w:rtl/>
        </w:rPr>
        <w:t xml:space="preserve"> </w:t>
      </w:r>
      <w:r w:rsidRPr="007073D5">
        <w:rPr>
          <w:rFonts w:hint="eastAsia"/>
          <w:rtl/>
        </w:rPr>
        <w:t>תנאי</w:t>
      </w:r>
      <w:r w:rsidRPr="007073D5">
        <w:rPr>
          <w:rtl/>
        </w:rPr>
        <w:t xml:space="preserve"> </w:t>
      </w:r>
      <w:r w:rsidRPr="007073D5">
        <w:rPr>
          <w:rFonts w:hint="eastAsia"/>
          <w:rtl/>
        </w:rPr>
        <w:t>לתקפם</w:t>
      </w:r>
      <w:r w:rsidRPr="007073D5">
        <w:rPr>
          <w:rtl/>
        </w:rPr>
        <w:t xml:space="preserve"> </w:t>
      </w:r>
      <w:r w:rsidRPr="007073D5">
        <w:rPr>
          <w:rFonts w:hint="eastAsia"/>
          <w:rtl/>
        </w:rPr>
        <w:t>של</w:t>
      </w:r>
      <w:r w:rsidRPr="007073D5">
        <w:rPr>
          <w:rtl/>
        </w:rPr>
        <w:t xml:space="preserve"> </w:t>
      </w:r>
      <w:r w:rsidRPr="007073D5">
        <w:rPr>
          <w:rFonts w:hint="eastAsia"/>
          <w:rtl/>
        </w:rPr>
        <w:t>האשרה</w:t>
      </w:r>
      <w:r w:rsidRPr="007073D5">
        <w:rPr>
          <w:rtl/>
        </w:rPr>
        <w:t xml:space="preserve"> </w:t>
      </w:r>
      <w:r w:rsidRPr="007073D5">
        <w:rPr>
          <w:rFonts w:hint="eastAsia"/>
          <w:rtl/>
        </w:rPr>
        <w:t>או</w:t>
      </w:r>
      <w:r w:rsidRPr="007073D5">
        <w:rPr>
          <w:rtl/>
        </w:rPr>
        <w:t xml:space="preserve"> </w:t>
      </w:r>
      <w:r w:rsidRPr="007073D5">
        <w:rPr>
          <w:rFonts w:hint="eastAsia"/>
          <w:rtl/>
        </w:rPr>
        <w:t>רישיון</w:t>
      </w:r>
      <w:r w:rsidRPr="007073D5">
        <w:rPr>
          <w:rtl/>
        </w:rPr>
        <w:t xml:space="preserve"> </w:t>
      </w:r>
      <w:r w:rsidRPr="007073D5">
        <w:rPr>
          <w:rFonts w:hint="eastAsia"/>
          <w:rtl/>
        </w:rPr>
        <w:t>הישיבה</w:t>
      </w:r>
      <w:r w:rsidRPr="007073D5">
        <w:rPr>
          <w:rtl/>
        </w:rPr>
        <w:t>".</w:t>
      </w:r>
    </w:p>
  </w:footnote>
  <w:footnote w:id="31">
    <w:p w:rsidR="001D7233" w:rsidRPr="00A21F5C" w:rsidP="007A52FE" w14:paraId="6D5D0C22" w14:textId="77777777">
      <w:pPr>
        <w:pStyle w:val="FootnoteText"/>
        <w:keepNext/>
        <w:keepLines/>
      </w:pPr>
      <w:r w:rsidRPr="00A21F5C">
        <w:rPr>
          <w:rStyle w:val="FootnoteReference1"/>
        </w:rPr>
        <w:footnoteRef/>
      </w:r>
      <w:r w:rsidRPr="00A21F5C">
        <w:rPr>
          <w:rtl/>
        </w:rPr>
        <w:t xml:space="preserve"> </w:t>
      </w:r>
      <w:r w:rsidRPr="00A21F5C">
        <w:rPr>
          <w:rtl/>
        </w:rPr>
        <w:tab/>
      </w:r>
      <w:r w:rsidRPr="00A21F5C">
        <w:rPr>
          <w:rFonts w:hint="cs"/>
          <w:rtl/>
        </w:rPr>
        <w:t xml:space="preserve">רשות האוכלוסין הוקמה ב-2008 </w:t>
      </w:r>
      <w:r w:rsidRPr="00A21F5C">
        <w:rPr>
          <w:rtl/>
        </w:rPr>
        <w:t>לפי החלטת הממשלה</w:t>
      </w:r>
      <w:r>
        <w:rPr>
          <w:rFonts w:hint="cs"/>
          <w:rtl/>
        </w:rPr>
        <w:t>,</w:t>
      </w:r>
      <w:r w:rsidRPr="00A21F5C">
        <w:rPr>
          <w:rFonts w:hint="cs"/>
          <w:rtl/>
        </w:rPr>
        <w:t xml:space="preserve"> ומאז במשך</w:t>
      </w:r>
      <w:r w:rsidRPr="00A21F5C">
        <w:rPr>
          <w:rtl/>
        </w:rPr>
        <w:t xml:space="preserve"> כשלוש שנים קובצו ב</w:t>
      </w:r>
      <w:r>
        <w:rPr>
          <w:rFonts w:hint="cs"/>
          <w:rtl/>
        </w:rPr>
        <w:t>ה</w:t>
      </w:r>
      <w:r w:rsidRPr="00A21F5C">
        <w:rPr>
          <w:rtl/>
        </w:rPr>
        <w:t xml:space="preserve"> יחידות ממשרד הפנים, ממשרד הת</w:t>
      </w:r>
      <w:r w:rsidRPr="00A21F5C">
        <w:rPr>
          <w:rFonts w:hint="cs"/>
          <w:rtl/>
        </w:rPr>
        <w:t>עשייה, המסחר והתיירות דאז</w:t>
      </w:r>
      <w:r w:rsidRPr="00A21F5C">
        <w:rPr>
          <w:rtl/>
        </w:rPr>
        <w:t xml:space="preserve"> וממשטרת ישראל.</w:t>
      </w:r>
    </w:p>
  </w:footnote>
  <w:footnote w:id="32">
    <w:p w:rsidR="001D7233" w:rsidRPr="00A21F5C" w:rsidP="007A52FE" w14:paraId="25A76BF0" w14:textId="77777777">
      <w:pPr>
        <w:pStyle w:val="FootnoteText"/>
        <w:keepNext/>
        <w:keepLines/>
      </w:pPr>
      <w:r w:rsidRPr="00A21F5C">
        <w:rPr>
          <w:rStyle w:val="FootnoteReference1"/>
        </w:rPr>
        <w:footnoteRef/>
      </w:r>
      <w:r w:rsidRPr="00A21F5C">
        <w:rPr>
          <w:rtl/>
        </w:rPr>
        <w:t xml:space="preserve"> </w:t>
      </w:r>
      <w:r w:rsidRPr="00A21F5C">
        <w:rPr>
          <w:rtl/>
        </w:rPr>
        <w:tab/>
        <w:t xml:space="preserve">היחידה להזדהות וליישומים ביומטריים הוקמה בשנת 2011 </w:t>
      </w:r>
      <w:r>
        <w:rPr>
          <w:rFonts w:hint="cs"/>
          <w:rtl/>
        </w:rPr>
        <w:t>לפי</w:t>
      </w:r>
      <w:r w:rsidRPr="00A21F5C">
        <w:rPr>
          <w:rtl/>
        </w:rPr>
        <w:t xml:space="preserve"> </w:t>
      </w:r>
      <w:r w:rsidRPr="00A21F5C">
        <w:rPr>
          <w:rFonts w:hint="cs"/>
          <w:rtl/>
        </w:rPr>
        <w:t>חוק הביומטר</w:t>
      </w:r>
      <w:r>
        <w:rPr>
          <w:rFonts w:hint="cs"/>
          <w:rtl/>
        </w:rPr>
        <w:t>י</w:t>
      </w:r>
      <w:r w:rsidRPr="00A21F5C">
        <w:rPr>
          <w:rFonts w:hint="cs"/>
          <w:rtl/>
        </w:rPr>
        <w:t>יה. על היחידה ל</w:t>
      </w:r>
      <w:r w:rsidRPr="00A21F5C">
        <w:rPr>
          <w:rtl/>
        </w:rPr>
        <w:t xml:space="preserve">קיים מנגנון פיקוח </w:t>
      </w:r>
      <w:r w:rsidRPr="00640545">
        <w:rPr>
          <w:rtl/>
        </w:rPr>
        <w:t>פנים</w:t>
      </w:r>
      <w:r>
        <w:rPr>
          <w:rFonts w:hint="cs"/>
          <w:rtl/>
        </w:rPr>
        <w:t>-</w:t>
      </w:r>
      <w:r w:rsidRPr="00DA7E4B">
        <w:rPr>
          <w:rtl/>
        </w:rPr>
        <w:t>ממשלתי</w:t>
      </w:r>
      <w:r w:rsidRPr="00A21F5C">
        <w:rPr>
          <w:rFonts w:hint="cs"/>
          <w:rtl/>
        </w:rPr>
        <w:t xml:space="preserve"> ולהמליץ על</w:t>
      </w:r>
      <w:r w:rsidRPr="00A21F5C">
        <w:rPr>
          <w:rtl/>
        </w:rPr>
        <w:t xml:space="preserve"> מדיניות לאומית </w:t>
      </w:r>
      <w:r>
        <w:rPr>
          <w:rFonts w:hint="cs"/>
          <w:rtl/>
        </w:rPr>
        <w:t>כוללת</w:t>
      </w:r>
      <w:r w:rsidRPr="00A21F5C">
        <w:rPr>
          <w:rtl/>
        </w:rPr>
        <w:t xml:space="preserve"> ליישומים ביומטריים.</w:t>
      </w:r>
    </w:p>
  </w:footnote>
  <w:footnote w:id="33">
    <w:p w:rsidR="001D7233" w:rsidRPr="00A21F5C" w:rsidP="007A52FE" w14:paraId="22E4AC22" w14:textId="77777777">
      <w:pPr>
        <w:pStyle w:val="FootnoteText"/>
        <w:keepNext/>
        <w:keepLines/>
      </w:pPr>
      <w:r w:rsidRPr="00A21F5C">
        <w:rPr>
          <w:rStyle w:val="FootnoteReference1"/>
        </w:rPr>
        <w:footnoteRef/>
      </w:r>
      <w:r w:rsidRPr="00A21F5C">
        <w:rPr>
          <w:rtl/>
        </w:rPr>
        <w:t xml:space="preserve"> </w:t>
      </w:r>
      <w:r w:rsidRPr="00A21F5C">
        <w:rPr>
          <w:rtl/>
        </w:rPr>
        <w:tab/>
      </w:r>
      <w:r w:rsidRPr="00A21F5C">
        <w:rPr>
          <w:rFonts w:hint="cs"/>
          <w:rtl/>
        </w:rPr>
        <w:t xml:space="preserve">בג"ץ 6129/11, </w:t>
      </w:r>
      <w:r w:rsidRPr="00925DBE">
        <w:rPr>
          <w:rFonts w:hint="eastAsia"/>
          <w:b/>
          <w:bCs/>
          <w:rtl/>
        </w:rPr>
        <w:t>מוקד</w:t>
      </w:r>
      <w:r w:rsidRPr="00925DBE">
        <w:rPr>
          <w:b/>
          <w:bCs/>
          <w:rtl/>
        </w:rPr>
        <w:t xml:space="preserve"> סיוע לעובדים זרים </w:t>
      </w:r>
      <w:r w:rsidRPr="00925DBE">
        <w:rPr>
          <w:rFonts w:hint="eastAsia"/>
          <w:b/>
          <w:bCs/>
          <w:rtl/>
        </w:rPr>
        <w:t>נ</w:t>
      </w:r>
      <w:r w:rsidRPr="00925DBE">
        <w:rPr>
          <w:b/>
          <w:bCs/>
          <w:rtl/>
        </w:rPr>
        <w:t>' רשות האוכלוסין ההגירה ומעברי הגבול</w:t>
      </w:r>
      <w:r w:rsidRPr="00A21F5C">
        <w:rPr>
          <w:rFonts w:hint="cs"/>
          <w:rtl/>
        </w:rPr>
        <w:t xml:space="preserve"> </w:t>
      </w:r>
      <w:r>
        <w:rPr>
          <w:rFonts w:hint="cs"/>
          <w:rtl/>
        </w:rPr>
        <w:t>(</w:t>
      </w:r>
      <w:r w:rsidRPr="00A21F5C">
        <w:rPr>
          <w:rFonts w:hint="cs"/>
          <w:rtl/>
        </w:rPr>
        <w:t>פורסם במאגר ממוחשב</w:t>
      </w:r>
      <w:r>
        <w:rPr>
          <w:rFonts w:hint="cs"/>
          <w:rtl/>
        </w:rPr>
        <w:t>,</w:t>
      </w:r>
      <w:r w:rsidRPr="00A21F5C">
        <w:rPr>
          <w:rFonts w:hint="cs"/>
          <w:rtl/>
        </w:rPr>
        <w:t xml:space="preserve"> </w:t>
      </w:r>
      <w:r>
        <w:rPr>
          <w:rFonts w:hint="cs"/>
          <w:rtl/>
        </w:rPr>
        <w:t>26.11.12</w:t>
      </w:r>
      <w:r w:rsidRPr="00A21F5C">
        <w:rPr>
          <w:rFonts w:hint="cs"/>
          <w:rtl/>
        </w:rPr>
        <w:t>).</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7233" w:rsidP="006661AF" w14:paraId="577E3F86" w14:textId="5CADCD72">
    <w:pPr>
      <w:pStyle w:val="Header"/>
      <w:jc w:val="center"/>
    </w:pPr>
    <w:r>
      <w:rPr>
        <w:rtl/>
      </w:rPr>
      <w:t xml:space="preserve"> - </w:t>
    </w:r>
    <w:r>
      <w:rPr>
        <w:rtl/>
      </w:rPr>
      <w:fldChar w:fldCharType="begin"/>
    </w:r>
    <w:r>
      <w:rPr>
        <w:rtl/>
      </w:rPr>
      <w:instrText xml:space="preserve"> </w:instrText>
    </w:r>
    <w:r>
      <w:instrText>PAGE</w:instrText>
    </w:r>
    <w:r>
      <w:rPr>
        <w:rtl/>
      </w:rPr>
      <w:instrText xml:space="preserve">  \* </w:instrText>
    </w:r>
    <w:r>
      <w:instrText>MERGEFORMAT</w:instrText>
    </w:r>
    <w:r>
      <w:rPr>
        <w:rtl/>
      </w:rPr>
      <w:instrText xml:space="preserve"> </w:instrText>
    </w:r>
    <w:r>
      <w:rPr>
        <w:rtl/>
      </w:rPr>
      <w:fldChar w:fldCharType="separate"/>
    </w:r>
    <w:r>
      <w:rPr>
        <w:noProof/>
        <w:rtl/>
      </w:rPr>
      <w:t>29</w:t>
    </w:r>
    <w:r>
      <w:rPr>
        <w:rtl/>
      </w:rPr>
      <w:fldChar w:fldCharType="end"/>
    </w:r>
    <w: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384pt" o:bullet="t">
        <v:imagedata r:id="rId1" o:title="light-bulb"/>
      </v:shape>
    </w:pict>
  </w:numPicBullet>
  <w:abstractNum w:abstractNumId="0">
    <w:nsid w:val="0569368B"/>
    <w:multiLevelType w:val="multilevel"/>
    <w:tmpl w:val="94340D6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5787B50"/>
    <w:multiLevelType w:val="hybridMultilevel"/>
    <w:tmpl w:val="F4004E42"/>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73A7938"/>
    <w:multiLevelType w:val="multilevel"/>
    <w:tmpl w:val="BD4E1176"/>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B015CA3"/>
    <w:multiLevelType w:val="hybridMultilevel"/>
    <w:tmpl w:val="480C4A4C"/>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C8164DD"/>
    <w:multiLevelType w:val="hybridMultilevel"/>
    <w:tmpl w:val="65DC0490"/>
    <w:lvl w:ilvl="0">
      <w:start w:val="1"/>
      <w:numFmt w:val="bullet"/>
      <w:lvlText w:val=""/>
      <w:lvlJc w:val="left"/>
      <w:pPr>
        <w:ind w:left="360" w:hanging="360"/>
      </w:pPr>
      <w:rPr>
        <w:rFonts w:ascii="Wingdings" w:hAnsi="Wingdings" w:cs="Wingdings" w:hint="default"/>
        <w:b/>
        <w:i w:val="0"/>
        <w:caps w:val="0"/>
        <w:strike w:val="0"/>
        <w:dstrike w:val="0"/>
        <w:vanish w:val="0"/>
        <w:color w:val="00B05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0F183A63"/>
    <w:multiLevelType w:val="multilevel"/>
    <w:tmpl w:val="2F70699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0D27C4F"/>
    <w:multiLevelType w:val="hybridMultilevel"/>
    <w:tmpl w:val="C46A94F4"/>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3526F72"/>
    <w:multiLevelType w:val="hybridMultilevel"/>
    <w:tmpl w:val="56FC673A"/>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48B5F71"/>
    <w:multiLevelType w:val="multilevel"/>
    <w:tmpl w:val="652A936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16457B39"/>
    <w:multiLevelType w:val="multilevel"/>
    <w:tmpl w:val="34DAD5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1A462DFC"/>
    <w:multiLevelType w:val="multilevel"/>
    <w:tmpl w:val="9880DE7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1B4C73DF"/>
    <w:multiLevelType w:val="multilevel"/>
    <w:tmpl w:val="5E5690A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26F240B9"/>
    <w:multiLevelType w:val="hybridMultilevel"/>
    <w:tmpl w:val="FA08C270"/>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754027E"/>
    <w:multiLevelType w:val="multilevel"/>
    <w:tmpl w:val="7848BD4C"/>
    <w:lvl w:ilvl="0">
      <w:start w:val="1"/>
      <w:numFmt w:val="decimal"/>
      <w:lvlText w:val="%1."/>
      <w:lvlJc w:val="left"/>
      <w:pPr>
        <w:ind w:left="340" w:hanging="340"/>
      </w:pPr>
      <w:rPr>
        <w:rFonts w:cs="David"/>
        <w:sz w:val="24"/>
        <w:szCs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2B7F5687"/>
    <w:multiLevelType w:val="multilevel"/>
    <w:tmpl w:val="D174C76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2CE2144C"/>
    <w:multiLevelType w:val="hybridMultilevel"/>
    <w:tmpl w:val="450675B0"/>
    <w:lvl w:ilvl="0">
      <w:start w:val="1"/>
      <w:numFmt w:val="decimal"/>
      <w:lvlText w:val="%1."/>
      <w:lvlJc w:val="left"/>
      <w:pPr>
        <w:ind w:left="720" w:hanging="360"/>
      </w:pPr>
      <w:rPr>
        <w:rFonts w:hint="default"/>
        <w:sz w:val="16"/>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DA36F59"/>
    <w:multiLevelType w:val="multilevel"/>
    <w:tmpl w:val="689E07F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37BD134C"/>
    <w:multiLevelType w:val="multilevel"/>
    <w:tmpl w:val="0F7EC32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37D76758"/>
    <w:multiLevelType w:val="multilevel"/>
    <w:tmpl w:val="411AF1D0"/>
    <w:lvl w:ilvl="0">
      <w:start w:val="1"/>
      <w:numFmt w:val="decimal"/>
      <w:lvlText w:val="%1."/>
      <w:lvlJc w:val="left"/>
      <w:pPr>
        <w:ind w:left="340" w:hanging="340"/>
      </w:pPr>
      <w:rPr>
        <w:strike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3CB11562"/>
    <w:multiLevelType w:val="multilevel"/>
    <w:tmpl w:val="2BB2A7C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3D633C8A"/>
    <w:multiLevelType w:val="hybridMultilevel"/>
    <w:tmpl w:val="5196514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EC435A0"/>
    <w:multiLevelType w:val="multilevel"/>
    <w:tmpl w:val="A836B75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3FD6457B"/>
    <w:multiLevelType w:val="hybridMultilevel"/>
    <w:tmpl w:val="344EDB6C"/>
    <w:lvl w:ilvl="0">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43F004CA"/>
    <w:multiLevelType w:val="multilevel"/>
    <w:tmpl w:val="0AFA970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4525721E"/>
    <w:multiLevelType w:val="hybridMultilevel"/>
    <w:tmpl w:val="E182D00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6E7472C"/>
    <w:multiLevelType w:val="hybridMultilevel"/>
    <w:tmpl w:val="39001BF4"/>
    <w:lvl w:ilvl="0">
      <w:start w:val="1"/>
      <w:numFmt w:val="hebrew1"/>
      <w:lvlText w:val="%1."/>
      <w:lvlJc w:val="center"/>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79C6E8E"/>
    <w:multiLevelType w:val="hybridMultilevel"/>
    <w:tmpl w:val="3A401A30"/>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49E17542"/>
    <w:multiLevelType w:val="hybridMultilevel"/>
    <w:tmpl w:val="E2185E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4CB910BF"/>
    <w:multiLevelType w:val="multilevel"/>
    <w:tmpl w:val="2F70699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4DF27570"/>
    <w:multiLevelType w:val="multilevel"/>
    <w:tmpl w:val="0F7EC32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nsid w:val="4ED51A30"/>
    <w:multiLevelType w:val="multilevel"/>
    <w:tmpl w:val="2BB2A7C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nsid w:val="5A2E57F3"/>
    <w:multiLevelType w:val="hybridMultilevel"/>
    <w:tmpl w:val="B798D6D4"/>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2">
    <w:nsid w:val="5D2E69F6"/>
    <w:multiLevelType w:val="multilevel"/>
    <w:tmpl w:val="0F7EC32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nsid w:val="5D956C44"/>
    <w:multiLevelType w:val="hybridMultilevel"/>
    <w:tmpl w:val="93628DE2"/>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0C64DCD"/>
    <w:multiLevelType w:val="hybridMultilevel"/>
    <w:tmpl w:val="56CE81EA"/>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53456E2"/>
    <w:multiLevelType w:val="multilevel"/>
    <w:tmpl w:val="5E5690A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6">
    <w:nsid w:val="6558341B"/>
    <w:multiLevelType w:val="multilevel"/>
    <w:tmpl w:val="863040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7">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8">
    <w:nsid w:val="66E51C27"/>
    <w:multiLevelType w:val="multilevel"/>
    <w:tmpl w:val="A836B75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9">
    <w:nsid w:val="68D03251"/>
    <w:multiLevelType w:val="multilevel"/>
    <w:tmpl w:val="612C49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0">
    <w:nsid w:val="6B0D1946"/>
    <w:multiLevelType w:val="multilevel"/>
    <w:tmpl w:val="94340D6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1">
    <w:nsid w:val="6B1B27EA"/>
    <w:multiLevelType w:val="multilevel"/>
    <w:tmpl w:val="2F70699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2">
    <w:nsid w:val="6EB9024D"/>
    <w:multiLevelType w:val="hybridMultilevel"/>
    <w:tmpl w:val="555295A0"/>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7053747D"/>
    <w:multiLevelType w:val="multilevel"/>
    <w:tmpl w:val="18D61E10"/>
    <w:lvl w:ilvl="0">
      <w:start w:val="1"/>
      <w:numFmt w:val="decimal"/>
      <w:lvlText w:val="%1."/>
      <w:lvlJc w:val="left"/>
      <w:pPr>
        <w:ind w:left="340" w:hanging="340"/>
      </w:pPr>
      <w:rPr>
        <w:lang w:bidi="he-IL"/>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4">
    <w:nsid w:val="70664CB3"/>
    <w:multiLevelType w:val="hybridMultilevel"/>
    <w:tmpl w:val="6360C8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7A49243A"/>
    <w:multiLevelType w:val="multilevel"/>
    <w:tmpl w:val="79DA2516"/>
    <w:lvl w:ilvl="0">
      <w:start w:val="1"/>
      <w:numFmt w:val="decimal"/>
      <w:lvlText w:val="%1."/>
      <w:lvlJc w:val="left"/>
      <w:pPr>
        <w:ind w:left="340" w:hanging="340"/>
      </w:pPr>
      <w:rPr>
        <w:sz w:val="20"/>
        <w:szCs w:val="2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6">
    <w:nsid w:val="7D591505"/>
    <w:multiLevelType w:val="hybridMultilevel"/>
    <w:tmpl w:val="5074DE1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7DDC458F"/>
    <w:multiLevelType w:val="multilevel"/>
    <w:tmpl w:val="0F7EC32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47"/>
  </w:num>
  <w:num w:numId="2">
    <w:abstractNumId w:val="22"/>
  </w:num>
  <w:num w:numId="3">
    <w:abstractNumId w:val="37"/>
  </w:num>
  <w:num w:numId="4">
    <w:abstractNumId w:val="4"/>
  </w:num>
  <w:num w:numId="5">
    <w:abstractNumId w:val="17"/>
  </w:num>
  <w:num w:numId="6">
    <w:abstractNumId w:val="18"/>
  </w:num>
  <w:num w:numId="7">
    <w:abstractNumId w:val="13"/>
  </w:num>
  <w:num w:numId="8">
    <w:abstractNumId w:val="39"/>
  </w:num>
  <w:num w:numId="9">
    <w:abstractNumId w:val="43"/>
  </w:num>
  <w:num w:numId="10">
    <w:abstractNumId w:val="10"/>
  </w:num>
  <w:num w:numId="11">
    <w:abstractNumId w:val="2"/>
  </w:num>
  <w:num w:numId="12">
    <w:abstractNumId w:val="9"/>
  </w:num>
  <w:num w:numId="13">
    <w:abstractNumId w:val="30"/>
  </w:num>
  <w:num w:numId="14">
    <w:abstractNumId w:val="45"/>
  </w:num>
  <w:num w:numId="15">
    <w:abstractNumId w:val="38"/>
  </w:num>
  <w:num w:numId="16">
    <w:abstractNumId w:val="44"/>
  </w:num>
  <w:num w:numId="17">
    <w:abstractNumId w:val="36"/>
  </w:num>
  <w:num w:numId="18">
    <w:abstractNumId w:val="23"/>
  </w:num>
  <w:num w:numId="19">
    <w:abstractNumId w:val="6"/>
  </w:num>
  <w:num w:numId="20">
    <w:abstractNumId w:val="25"/>
  </w:num>
  <w:num w:numId="21">
    <w:abstractNumId w:val="3"/>
  </w:num>
  <w:num w:numId="22">
    <w:abstractNumId w:val="1"/>
  </w:num>
  <w:num w:numId="23">
    <w:abstractNumId w:val="12"/>
  </w:num>
  <w:num w:numId="24">
    <w:abstractNumId w:val="14"/>
  </w:num>
  <w:num w:numId="25">
    <w:abstractNumId w:val="40"/>
  </w:num>
  <w:num w:numId="26">
    <w:abstractNumId w:val="5"/>
  </w:num>
  <w:num w:numId="27">
    <w:abstractNumId w:val="32"/>
  </w:num>
  <w:num w:numId="28">
    <w:abstractNumId w:val="0"/>
  </w:num>
  <w:num w:numId="29">
    <w:abstractNumId w:val="28"/>
  </w:num>
  <w:num w:numId="30">
    <w:abstractNumId w:val="24"/>
  </w:num>
  <w:num w:numId="31">
    <w:abstractNumId w:val="27"/>
  </w:num>
  <w:num w:numId="32">
    <w:abstractNumId w:val="41"/>
  </w:num>
  <w:num w:numId="33">
    <w:abstractNumId w:val="20"/>
  </w:num>
  <w:num w:numId="34">
    <w:abstractNumId w:val="42"/>
  </w:num>
  <w:num w:numId="35">
    <w:abstractNumId w:val="33"/>
  </w:num>
  <w:num w:numId="36">
    <w:abstractNumId w:val="26"/>
  </w:num>
  <w:num w:numId="37">
    <w:abstractNumId w:val="46"/>
  </w:num>
  <w:num w:numId="38">
    <w:abstractNumId w:val="31"/>
  </w:num>
  <w:num w:numId="39">
    <w:abstractNumId w:val="15"/>
  </w:num>
  <w:num w:numId="40">
    <w:abstractNumId w:val="21"/>
  </w:num>
  <w:num w:numId="41">
    <w:abstractNumId w:val="11"/>
  </w:num>
  <w:num w:numId="42">
    <w:abstractNumId w:val="35"/>
  </w:num>
  <w:num w:numId="43">
    <w:abstractNumId w:val="16"/>
  </w:num>
  <w:num w:numId="44">
    <w:abstractNumId w:val="7"/>
  </w:num>
  <w:num w:numId="45">
    <w:abstractNumId w:val="29"/>
  </w:num>
  <w:num w:numId="46">
    <w:abstractNumId w:val="19"/>
  </w:num>
  <w:num w:numId="47">
    <w:abstractNumId w:val="8"/>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1AF"/>
    <w:rsid w:val="00001038"/>
    <w:rsid w:val="00003648"/>
    <w:rsid w:val="00003ADC"/>
    <w:rsid w:val="00003B77"/>
    <w:rsid w:val="00010179"/>
    <w:rsid w:val="0001394B"/>
    <w:rsid w:val="00015A80"/>
    <w:rsid w:val="0001735B"/>
    <w:rsid w:val="000247B2"/>
    <w:rsid w:val="000259C2"/>
    <w:rsid w:val="00033200"/>
    <w:rsid w:val="000341CB"/>
    <w:rsid w:val="00036FAA"/>
    <w:rsid w:val="00042837"/>
    <w:rsid w:val="00045861"/>
    <w:rsid w:val="00046A9F"/>
    <w:rsid w:val="00047CDC"/>
    <w:rsid w:val="000501A4"/>
    <w:rsid w:val="000504C8"/>
    <w:rsid w:val="000532AA"/>
    <w:rsid w:val="00054229"/>
    <w:rsid w:val="00057DC0"/>
    <w:rsid w:val="00062087"/>
    <w:rsid w:val="00063BBF"/>
    <w:rsid w:val="00073FED"/>
    <w:rsid w:val="00075C01"/>
    <w:rsid w:val="00080818"/>
    <w:rsid w:val="00082707"/>
    <w:rsid w:val="00082D31"/>
    <w:rsid w:val="00090175"/>
    <w:rsid w:val="000941EC"/>
    <w:rsid w:val="000959D9"/>
    <w:rsid w:val="000979C4"/>
    <w:rsid w:val="000A38C0"/>
    <w:rsid w:val="000A497C"/>
    <w:rsid w:val="000A70EC"/>
    <w:rsid w:val="000B1102"/>
    <w:rsid w:val="000B40A3"/>
    <w:rsid w:val="000B4255"/>
    <w:rsid w:val="000C0AE9"/>
    <w:rsid w:val="000C44B5"/>
    <w:rsid w:val="000C4C1C"/>
    <w:rsid w:val="000C5449"/>
    <w:rsid w:val="000C6383"/>
    <w:rsid w:val="000C7459"/>
    <w:rsid w:val="000D2E94"/>
    <w:rsid w:val="000E013E"/>
    <w:rsid w:val="000E17BF"/>
    <w:rsid w:val="000E24BC"/>
    <w:rsid w:val="000E77E0"/>
    <w:rsid w:val="000F0633"/>
    <w:rsid w:val="000F2919"/>
    <w:rsid w:val="000F40A0"/>
    <w:rsid w:val="000F6B26"/>
    <w:rsid w:val="000F7725"/>
    <w:rsid w:val="001000EA"/>
    <w:rsid w:val="0010168D"/>
    <w:rsid w:val="00101D0F"/>
    <w:rsid w:val="00104D47"/>
    <w:rsid w:val="00113E28"/>
    <w:rsid w:val="00114325"/>
    <w:rsid w:val="0011529D"/>
    <w:rsid w:val="0011596A"/>
    <w:rsid w:val="0012438B"/>
    <w:rsid w:val="00136367"/>
    <w:rsid w:val="0013737D"/>
    <w:rsid w:val="00147CCE"/>
    <w:rsid w:val="001518EB"/>
    <w:rsid w:val="00160234"/>
    <w:rsid w:val="00162988"/>
    <w:rsid w:val="00162C36"/>
    <w:rsid w:val="00166477"/>
    <w:rsid w:val="00167F28"/>
    <w:rsid w:val="00172D8C"/>
    <w:rsid w:val="001730B0"/>
    <w:rsid w:val="001767A7"/>
    <w:rsid w:val="00180621"/>
    <w:rsid w:val="00180B1A"/>
    <w:rsid w:val="00180B9D"/>
    <w:rsid w:val="001851C7"/>
    <w:rsid w:val="00193CDB"/>
    <w:rsid w:val="00195AED"/>
    <w:rsid w:val="001960B4"/>
    <w:rsid w:val="001A613C"/>
    <w:rsid w:val="001A7C7C"/>
    <w:rsid w:val="001B1BCA"/>
    <w:rsid w:val="001B1F2D"/>
    <w:rsid w:val="001B27C8"/>
    <w:rsid w:val="001B2821"/>
    <w:rsid w:val="001C057E"/>
    <w:rsid w:val="001C1BD8"/>
    <w:rsid w:val="001C3159"/>
    <w:rsid w:val="001C53AD"/>
    <w:rsid w:val="001C6CAC"/>
    <w:rsid w:val="001C778E"/>
    <w:rsid w:val="001D3154"/>
    <w:rsid w:val="001D3D26"/>
    <w:rsid w:val="001D4622"/>
    <w:rsid w:val="001D7233"/>
    <w:rsid w:val="001E1D2C"/>
    <w:rsid w:val="001E2DD2"/>
    <w:rsid w:val="001E70BB"/>
    <w:rsid w:val="001E7CF4"/>
    <w:rsid w:val="001F14EB"/>
    <w:rsid w:val="001F33E3"/>
    <w:rsid w:val="001F49ED"/>
    <w:rsid w:val="001F7091"/>
    <w:rsid w:val="001F7FD6"/>
    <w:rsid w:val="00200872"/>
    <w:rsid w:val="00203604"/>
    <w:rsid w:val="0020382C"/>
    <w:rsid w:val="002064F7"/>
    <w:rsid w:val="002132FA"/>
    <w:rsid w:val="00213FD4"/>
    <w:rsid w:val="00217714"/>
    <w:rsid w:val="00217D55"/>
    <w:rsid w:val="00220A94"/>
    <w:rsid w:val="00222145"/>
    <w:rsid w:val="00222289"/>
    <w:rsid w:val="0022435F"/>
    <w:rsid w:val="002250EF"/>
    <w:rsid w:val="00236564"/>
    <w:rsid w:val="00240887"/>
    <w:rsid w:val="00241ED6"/>
    <w:rsid w:val="00246C17"/>
    <w:rsid w:val="0024789A"/>
    <w:rsid w:val="00254BD7"/>
    <w:rsid w:val="00261DA0"/>
    <w:rsid w:val="00263521"/>
    <w:rsid w:val="002705A8"/>
    <w:rsid w:val="00276B4D"/>
    <w:rsid w:val="00277B76"/>
    <w:rsid w:val="00283E2A"/>
    <w:rsid w:val="00284C4C"/>
    <w:rsid w:val="00285FB9"/>
    <w:rsid w:val="002916ED"/>
    <w:rsid w:val="00294142"/>
    <w:rsid w:val="002A7D21"/>
    <w:rsid w:val="002B0877"/>
    <w:rsid w:val="002B3CF1"/>
    <w:rsid w:val="002B67CD"/>
    <w:rsid w:val="002C0D15"/>
    <w:rsid w:val="002C1EE0"/>
    <w:rsid w:val="002C4139"/>
    <w:rsid w:val="002C7F91"/>
    <w:rsid w:val="002D0C59"/>
    <w:rsid w:val="002D2BF2"/>
    <w:rsid w:val="002D427D"/>
    <w:rsid w:val="002D53CB"/>
    <w:rsid w:val="002E68EE"/>
    <w:rsid w:val="002E6BF4"/>
    <w:rsid w:val="002F5FA6"/>
    <w:rsid w:val="002F70F0"/>
    <w:rsid w:val="00301153"/>
    <w:rsid w:val="00305DDD"/>
    <w:rsid w:val="003123C6"/>
    <w:rsid w:val="0031750C"/>
    <w:rsid w:val="00323027"/>
    <w:rsid w:val="0032670D"/>
    <w:rsid w:val="00326A1A"/>
    <w:rsid w:val="003271E6"/>
    <w:rsid w:val="003335C0"/>
    <w:rsid w:val="003415B5"/>
    <w:rsid w:val="003427B7"/>
    <w:rsid w:val="003427E9"/>
    <w:rsid w:val="0035256B"/>
    <w:rsid w:val="003620CB"/>
    <w:rsid w:val="00362292"/>
    <w:rsid w:val="00365E77"/>
    <w:rsid w:val="00366A47"/>
    <w:rsid w:val="0037370B"/>
    <w:rsid w:val="00374AE2"/>
    <w:rsid w:val="003763F9"/>
    <w:rsid w:val="00377347"/>
    <w:rsid w:val="0037752E"/>
    <w:rsid w:val="00380052"/>
    <w:rsid w:val="00381110"/>
    <w:rsid w:val="00385C5D"/>
    <w:rsid w:val="00393FD7"/>
    <w:rsid w:val="00395A48"/>
    <w:rsid w:val="00395DFC"/>
    <w:rsid w:val="003A588B"/>
    <w:rsid w:val="003B3DCB"/>
    <w:rsid w:val="003D2B90"/>
    <w:rsid w:val="003D3A39"/>
    <w:rsid w:val="003D758F"/>
    <w:rsid w:val="003E58C2"/>
    <w:rsid w:val="003F0B34"/>
    <w:rsid w:val="003F6854"/>
    <w:rsid w:val="003F6FA0"/>
    <w:rsid w:val="003F7C72"/>
    <w:rsid w:val="0040065E"/>
    <w:rsid w:val="00404B2A"/>
    <w:rsid w:val="00406B01"/>
    <w:rsid w:val="00411DCC"/>
    <w:rsid w:val="0041345D"/>
    <w:rsid w:val="004177B4"/>
    <w:rsid w:val="00420217"/>
    <w:rsid w:val="00420F56"/>
    <w:rsid w:val="00423648"/>
    <w:rsid w:val="00430577"/>
    <w:rsid w:val="00431076"/>
    <w:rsid w:val="0043274C"/>
    <w:rsid w:val="004370D3"/>
    <w:rsid w:val="00442C2D"/>
    <w:rsid w:val="00446FEB"/>
    <w:rsid w:val="004470B7"/>
    <w:rsid w:val="0045704B"/>
    <w:rsid w:val="00457CFF"/>
    <w:rsid w:val="004779AA"/>
    <w:rsid w:val="0048662C"/>
    <w:rsid w:val="00494BFF"/>
    <w:rsid w:val="0049560B"/>
    <w:rsid w:val="00496D58"/>
    <w:rsid w:val="004A0234"/>
    <w:rsid w:val="004A0385"/>
    <w:rsid w:val="004A216D"/>
    <w:rsid w:val="004A2B59"/>
    <w:rsid w:val="004A380B"/>
    <w:rsid w:val="004A381F"/>
    <w:rsid w:val="004A5B8A"/>
    <w:rsid w:val="004C3DDE"/>
    <w:rsid w:val="004C779D"/>
    <w:rsid w:val="004C7D9F"/>
    <w:rsid w:val="004D11AF"/>
    <w:rsid w:val="004D291A"/>
    <w:rsid w:val="004D3D2D"/>
    <w:rsid w:val="004E1FA9"/>
    <w:rsid w:val="004F49E7"/>
    <w:rsid w:val="004F577B"/>
    <w:rsid w:val="004F76FD"/>
    <w:rsid w:val="004F78EA"/>
    <w:rsid w:val="005006C5"/>
    <w:rsid w:val="0050480F"/>
    <w:rsid w:val="00505314"/>
    <w:rsid w:val="0051260C"/>
    <w:rsid w:val="00515172"/>
    <w:rsid w:val="0051558D"/>
    <w:rsid w:val="005270B2"/>
    <w:rsid w:val="00531F6F"/>
    <w:rsid w:val="00540C7A"/>
    <w:rsid w:val="005414D4"/>
    <w:rsid w:val="00546FBA"/>
    <w:rsid w:val="00547EAA"/>
    <w:rsid w:val="00551B42"/>
    <w:rsid w:val="005610DE"/>
    <w:rsid w:val="00564794"/>
    <w:rsid w:val="00566C84"/>
    <w:rsid w:val="00570C23"/>
    <w:rsid w:val="00571A2A"/>
    <w:rsid w:val="00572859"/>
    <w:rsid w:val="00574579"/>
    <w:rsid w:val="00580C5C"/>
    <w:rsid w:val="00586EE8"/>
    <w:rsid w:val="005928C4"/>
    <w:rsid w:val="00595DA3"/>
    <w:rsid w:val="00596E08"/>
    <w:rsid w:val="005A021D"/>
    <w:rsid w:val="005A2EFE"/>
    <w:rsid w:val="005A46FF"/>
    <w:rsid w:val="005A4811"/>
    <w:rsid w:val="005A49AC"/>
    <w:rsid w:val="005A5A71"/>
    <w:rsid w:val="005A66A2"/>
    <w:rsid w:val="005B035B"/>
    <w:rsid w:val="005B1C39"/>
    <w:rsid w:val="005C02BE"/>
    <w:rsid w:val="005C612D"/>
    <w:rsid w:val="005C7173"/>
    <w:rsid w:val="005C72B2"/>
    <w:rsid w:val="005C75E7"/>
    <w:rsid w:val="005C7B2F"/>
    <w:rsid w:val="005D60DF"/>
    <w:rsid w:val="005F020B"/>
    <w:rsid w:val="00604EE1"/>
    <w:rsid w:val="006111DD"/>
    <w:rsid w:val="00620B08"/>
    <w:rsid w:val="00632716"/>
    <w:rsid w:val="00633DEC"/>
    <w:rsid w:val="00634DAD"/>
    <w:rsid w:val="00640545"/>
    <w:rsid w:val="00643117"/>
    <w:rsid w:val="006457EB"/>
    <w:rsid w:val="00645F34"/>
    <w:rsid w:val="006531CB"/>
    <w:rsid w:val="00654018"/>
    <w:rsid w:val="00655DA4"/>
    <w:rsid w:val="00657A15"/>
    <w:rsid w:val="00661784"/>
    <w:rsid w:val="006661AF"/>
    <w:rsid w:val="0067487D"/>
    <w:rsid w:val="00676388"/>
    <w:rsid w:val="0067666A"/>
    <w:rsid w:val="006828D0"/>
    <w:rsid w:val="00686779"/>
    <w:rsid w:val="006867D6"/>
    <w:rsid w:val="006921CC"/>
    <w:rsid w:val="00692669"/>
    <w:rsid w:val="006932AD"/>
    <w:rsid w:val="006A4021"/>
    <w:rsid w:val="006A4F43"/>
    <w:rsid w:val="006A6AD6"/>
    <w:rsid w:val="006B7709"/>
    <w:rsid w:val="006C2506"/>
    <w:rsid w:val="006C3215"/>
    <w:rsid w:val="006C51DB"/>
    <w:rsid w:val="006D4161"/>
    <w:rsid w:val="006D44CE"/>
    <w:rsid w:val="006D714C"/>
    <w:rsid w:val="006D786C"/>
    <w:rsid w:val="006F0BA9"/>
    <w:rsid w:val="006F285F"/>
    <w:rsid w:val="006F6A8C"/>
    <w:rsid w:val="007013BF"/>
    <w:rsid w:val="007014DF"/>
    <w:rsid w:val="007039AA"/>
    <w:rsid w:val="007073D5"/>
    <w:rsid w:val="00713DAC"/>
    <w:rsid w:val="007157EF"/>
    <w:rsid w:val="0072219B"/>
    <w:rsid w:val="00726081"/>
    <w:rsid w:val="007277EF"/>
    <w:rsid w:val="00745C3D"/>
    <w:rsid w:val="00746A44"/>
    <w:rsid w:val="00746B53"/>
    <w:rsid w:val="00746E07"/>
    <w:rsid w:val="007474F0"/>
    <w:rsid w:val="0075090B"/>
    <w:rsid w:val="0075204B"/>
    <w:rsid w:val="00753ADE"/>
    <w:rsid w:val="00756746"/>
    <w:rsid w:val="00771824"/>
    <w:rsid w:val="00773F61"/>
    <w:rsid w:val="0077465B"/>
    <w:rsid w:val="00775697"/>
    <w:rsid w:val="007808EC"/>
    <w:rsid w:val="00792C56"/>
    <w:rsid w:val="007A4EBD"/>
    <w:rsid w:val="007A52FE"/>
    <w:rsid w:val="007A5CDC"/>
    <w:rsid w:val="007B0306"/>
    <w:rsid w:val="007B112B"/>
    <w:rsid w:val="007B5B26"/>
    <w:rsid w:val="007B691A"/>
    <w:rsid w:val="007C1FF6"/>
    <w:rsid w:val="007C508D"/>
    <w:rsid w:val="007C64EF"/>
    <w:rsid w:val="007C6D78"/>
    <w:rsid w:val="007D61B8"/>
    <w:rsid w:val="007E48BA"/>
    <w:rsid w:val="007E5EC4"/>
    <w:rsid w:val="007E689D"/>
    <w:rsid w:val="007E71E0"/>
    <w:rsid w:val="007F27DF"/>
    <w:rsid w:val="007F3E5A"/>
    <w:rsid w:val="007F7FF2"/>
    <w:rsid w:val="00805B42"/>
    <w:rsid w:val="008102AD"/>
    <w:rsid w:val="00812E97"/>
    <w:rsid w:val="00816D4C"/>
    <w:rsid w:val="0082206D"/>
    <w:rsid w:val="00825AC3"/>
    <w:rsid w:val="00837997"/>
    <w:rsid w:val="00837A6A"/>
    <w:rsid w:val="00841705"/>
    <w:rsid w:val="00850216"/>
    <w:rsid w:val="008506F7"/>
    <w:rsid w:val="00850CF1"/>
    <w:rsid w:val="00861D95"/>
    <w:rsid w:val="00867C00"/>
    <w:rsid w:val="00867FC5"/>
    <w:rsid w:val="00870D5B"/>
    <w:rsid w:val="0087643C"/>
    <w:rsid w:val="008768E9"/>
    <w:rsid w:val="0088271E"/>
    <w:rsid w:val="008837BA"/>
    <w:rsid w:val="00885A61"/>
    <w:rsid w:val="00892156"/>
    <w:rsid w:val="00892F80"/>
    <w:rsid w:val="00895FE7"/>
    <w:rsid w:val="008A4394"/>
    <w:rsid w:val="008A6148"/>
    <w:rsid w:val="008A6EE2"/>
    <w:rsid w:val="008B4F41"/>
    <w:rsid w:val="008B6782"/>
    <w:rsid w:val="008C0A4B"/>
    <w:rsid w:val="008C6F75"/>
    <w:rsid w:val="008D11DA"/>
    <w:rsid w:val="008D4644"/>
    <w:rsid w:val="008D5BAF"/>
    <w:rsid w:val="008D6277"/>
    <w:rsid w:val="008E207B"/>
    <w:rsid w:val="008E699D"/>
    <w:rsid w:val="008F43C9"/>
    <w:rsid w:val="009015B2"/>
    <w:rsid w:val="00901A22"/>
    <w:rsid w:val="00902746"/>
    <w:rsid w:val="00904D3C"/>
    <w:rsid w:val="0090591F"/>
    <w:rsid w:val="00906E90"/>
    <w:rsid w:val="00906F6E"/>
    <w:rsid w:val="0091051D"/>
    <w:rsid w:val="009121BF"/>
    <w:rsid w:val="00925DBE"/>
    <w:rsid w:val="009261FF"/>
    <w:rsid w:val="00927278"/>
    <w:rsid w:val="00935B6D"/>
    <w:rsid w:val="00936F84"/>
    <w:rsid w:val="00940851"/>
    <w:rsid w:val="00942FE4"/>
    <w:rsid w:val="00944C0A"/>
    <w:rsid w:val="00953134"/>
    <w:rsid w:val="00954BB9"/>
    <w:rsid w:val="00955421"/>
    <w:rsid w:val="00965814"/>
    <w:rsid w:val="0096733D"/>
    <w:rsid w:val="009679D9"/>
    <w:rsid w:val="00974ACF"/>
    <w:rsid w:val="00975B56"/>
    <w:rsid w:val="00984EA5"/>
    <w:rsid w:val="009917FD"/>
    <w:rsid w:val="00991D0C"/>
    <w:rsid w:val="00995837"/>
    <w:rsid w:val="009B0DD0"/>
    <w:rsid w:val="009B1CAD"/>
    <w:rsid w:val="009B6A7D"/>
    <w:rsid w:val="009C193F"/>
    <w:rsid w:val="009D0E8E"/>
    <w:rsid w:val="009D4F2D"/>
    <w:rsid w:val="009D73F5"/>
    <w:rsid w:val="009E1A3F"/>
    <w:rsid w:val="009E3842"/>
    <w:rsid w:val="009E6BE3"/>
    <w:rsid w:val="009E7A2D"/>
    <w:rsid w:val="009F070C"/>
    <w:rsid w:val="009F0BD3"/>
    <w:rsid w:val="00A11495"/>
    <w:rsid w:val="00A21F5C"/>
    <w:rsid w:val="00A25E11"/>
    <w:rsid w:val="00A3016C"/>
    <w:rsid w:val="00A311BE"/>
    <w:rsid w:val="00A357ED"/>
    <w:rsid w:val="00A3582E"/>
    <w:rsid w:val="00A37570"/>
    <w:rsid w:val="00A45163"/>
    <w:rsid w:val="00A50586"/>
    <w:rsid w:val="00A51484"/>
    <w:rsid w:val="00A530E5"/>
    <w:rsid w:val="00A61AD5"/>
    <w:rsid w:val="00A66D77"/>
    <w:rsid w:val="00A72DF9"/>
    <w:rsid w:val="00A73038"/>
    <w:rsid w:val="00A76C99"/>
    <w:rsid w:val="00A81EBE"/>
    <w:rsid w:val="00A86BF3"/>
    <w:rsid w:val="00A90E75"/>
    <w:rsid w:val="00A914F0"/>
    <w:rsid w:val="00A935F3"/>
    <w:rsid w:val="00A95F6D"/>
    <w:rsid w:val="00AB2343"/>
    <w:rsid w:val="00AB4A8D"/>
    <w:rsid w:val="00AB6008"/>
    <w:rsid w:val="00AC00CA"/>
    <w:rsid w:val="00AC1E9D"/>
    <w:rsid w:val="00AC3185"/>
    <w:rsid w:val="00AC6B95"/>
    <w:rsid w:val="00AD01F9"/>
    <w:rsid w:val="00AD2F98"/>
    <w:rsid w:val="00AD6AC7"/>
    <w:rsid w:val="00AE0BE6"/>
    <w:rsid w:val="00AE4135"/>
    <w:rsid w:val="00AF1847"/>
    <w:rsid w:val="00AF287F"/>
    <w:rsid w:val="00AF2C17"/>
    <w:rsid w:val="00B00B22"/>
    <w:rsid w:val="00B00E5C"/>
    <w:rsid w:val="00B1421D"/>
    <w:rsid w:val="00B164D7"/>
    <w:rsid w:val="00B432A7"/>
    <w:rsid w:val="00B46405"/>
    <w:rsid w:val="00B47D75"/>
    <w:rsid w:val="00B564DB"/>
    <w:rsid w:val="00B666B9"/>
    <w:rsid w:val="00B76DC1"/>
    <w:rsid w:val="00B774AD"/>
    <w:rsid w:val="00B862C0"/>
    <w:rsid w:val="00B9204C"/>
    <w:rsid w:val="00B9593A"/>
    <w:rsid w:val="00B9681B"/>
    <w:rsid w:val="00BA181A"/>
    <w:rsid w:val="00BA5264"/>
    <w:rsid w:val="00BB2169"/>
    <w:rsid w:val="00BB5A68"/>
    <w:rsid w:val="00BC31C9"/>
    <w:rsid w:val="00BC40C0"/>
    <w:rsid w:val="00BE1D48"/>
    <w:rsid w:val="00BE2DD8"/>
    <w:rsid w:val="00BF2BC9"/>
    <w:rsid w:val="00C10C45"/>
    <w:rsid w:val="00C2305A"/>
    <w:rsid w:val="00C23CC9"/>
    <w:rsid w:val="00C24047"/>
    <w:rsid w:val="00C24D6C"/>
    <w:rsid w:val="00C309FB"/>
    <w:rsid w:val="00C30B3D"/>
    <w:rsid w:val="00C33AE2"/>
    <w:rsid w:val="00C4553E"/>
    <w:rsid w:val="00C52A8E"/>
    <w:rsid w:val="00C57419"/>
    <w:rsid w:val="00C6235B"/>
    <w:rsid w:val="00C6269F"/>
    <w:rsid w:val="00C75485"/>
    <w:rsid w:val="00C75AFD"/>
    <w:rsid w:val="00C8096C"/>
    <w:rsid w:val="00C8100B"/>
    <w:rsid w:val="00C91F66"/>
    <w:rsid w:val="00C92884"/>
    <w:rsid w:val="00C96212"/>
    <w:rsid w:val="00C96D65"/>
    <w:rsid w:val="00CA3612"/>
    <w:rsid w:val="00CA38F7"/>
    <w:rsid w:val="00CA41D2"/>
    <w:rsid w:val="00CA4F20"/>
    <w:rsid w:val="00CC3B74"/>
    <w:rsid w:val="00CC6770"/>
    <w:rsid w:val="00CC7E4A"/>
    <w:rsid w:val="00CD0E03"/>
    <w:rsid w:val="00CD1825"/>
    <w:rsid w:val="00CD4EAF"/>
    <w:rsid w:val="00CD5CAB"/>
    <w:rsid w:val="00CD6E37"/>
    <w:rsid w:val="00CE4B12"/>
    <w:rsid w:val="00CE7CE3"/>
    <w:rsid w:val="00CF5067"/>
    <w:rsid w:val="00D0489C"/>
    <w:rsid w:val="00D062D9"/>
    <w:rsid w:val="00D21A77"/>
    <w:rsid w:val="00D22748"/>
    <w:rsid w:val="00D236B7"/>
    <w:rsid w:val="00D26918"/>
    <w:rsid w:val="00D3211E"/>
    <w:rsid w:val="00D37121"/>
    <w:rsid w:val="00D41A4E"/>
    <w:rsid w:val="00D428A2"/>
    <w:rsid w:val="00D51D25"/>
    <w:rsid w:val="00D52D3F"/>
    <w:rsid w:val="00D555F7"/>
    <w:rsid w:val="00D56890"/>
    <w:rsid w:val="00D56950"/>
    <w:rsid w:val="00D63582"/>
    <w:rsid w:val="00D779F7"/>
    <w:rsid w:val="00D82BC1"/>
    <w:rsid w:val="00D83A22"/>
    <w:rsid w:val="00D83F39"/>
    <w:rsid w:val="00D87542"/>
    <w:rsid w:val="00D9432E"/>
    <w:rsid w:val="00D95C20"/>
    <w:rsid w:val="00D97C16"/>
    <w:rsid w:val="00DA6B25"/>
    <w:rsid w:val="00DA7E4B"/>
    <w:rsid w:val="00DB47FA"/>
    <w:rsid w:val="00DC1F90"/>
    <w:rsid w:val="00DC438C"/>
    <w:rsid w:val="00DC72F5"/>
    <w:rsid w:val="00DD28F5"/>
    <w:rsid w:val="00DE15AA"/>
    <w:rsid w:val="00DE1DAB"/>
    <w:rsid w:val="00DE20A2"/>
    <w:rsid w:val="00DE6BF2"/>
    <w:rsid w:val="00DF0850"/>
    <w:rsid w:val="00DF0B89"/>
    <w:rsid w:val="00DF1402"/>
    <w:rsid w:val="00DF21E1"/>
    <w:rsid w:val="00DF2245"/>
    <w:rsid w:val="00DF228A"/>
    <w:rsid w:val="00DF2328"/>
    <w:rsid w:val="00DF297C"/>
    <w:rsid w:val="00E00D5E"/>
    <w:rsid w:val="00E07C96"/>
    <w:rsid w:val="00E1517E"/>
    <w:rsid w:val="00E15B18"/>
    <w:rsid w:val="00E21A1A"/>
    <w:rsid w:val="00E254F2"/>
    <w:rsid w:val="00E3216E"/>
    <w:rsid w:val="00E35682"/>
    <w:rsid w:val="00E37C41"/>
    <w:rsid w:val="00E4032D"/>
    <w:rsid w:val="00E459EA"/>
    <w:rsid w:val="00E46EA3"/>
    <w:rsid w:val="00E51C1B"/>
    <w:rsid w:val="00E53DA7"/>
    <w:rsid w:val="00E540F5"/>
    <w:rsid w:val="00E541BD"/>
    <w:rsid w:val="00E54E38"/>
    <w:rsid w:val="00E60F53"/>
    <w:rsid w:val="00E61431"/>
    <w:rsid w:val="00E67426"/>
    <w:rsid w:val="00E726D6"/>
    <w:rsid w:val="00E74750"/>
    <w:rsid w:val="00E85A07"/>
    <w:rsid w:val="00E902A2"/>
    <w:rsid w:val="00EA08C6"/>
    <w:rsid w:val="00EA0B17"/>
    <w:rsid w:val="00EA15A9"/>
    <w:rsid w:val="00EA29B3"/>
    <w:rsid w:val="00EA63EF"/>
    <w:rsid w:val="00EB01CC"/>
    <w:rsid w:val="00EB4F80"/>
    <w:rsid w:val="00EC0F52"/>
    <w:rsid w:val="00EC4308"/>
    <w:rsid w:val="00EC6B44"/>
    <w:rsid w:val="00ED058B"/>
    <w:rsid w:val="00EE0105"/>
    <w:rsid w:val="00EE37A3"/>
    <w:rsid w:val="00EE39DD"/>
    <w:rsid w:val="00EE4EB4"/>
    <w:rsid w:val="00EE533D"/>
    <w:rsid w:val="00EF1D52"/>
    <w:rsid w:val="00EF56CE"/>
    <w:rsid w:val="00F00770"/>
    <w:rsid w:val="00F031E9"/>
    <w:rsid w:val="00F06385"/>
    <w:rsid w:val="00F15DDA"/>
    <w:rsid w:val="00F16EF4"/>
    <w:rsid w:val="00F20DD4"/>
    <w:rsid w:val="00F31794"/>
    <w:rsid w:val="00F3313F"/>
    <w:rsid w:val="00F4385E"/>
    <w:rsid w:val="00F4745E"/>
    <w:rsid w:val="00F51633"/>
    <w:rsid w:val="00F5256E"/>
    <w:rsid w:val="00F5466E"/>
    <w:rsid w:val="00F54BB0"/>
    <w:rsid w:val="00F55BE9"/>
    <w:rsid w:val="00F619E8"/>
    <w:rsid w:val="00F627EB"/>
    <w:rsid w:val="00F63846"/>
    <w:rsid w:val="00F65672"/>
    <w:rsid w:val="00F7012D"/>
    <w:rsid w:val="00F72CA1"/>
    <w:rsid w:val="00F736EE"/>
    <w:rsid w:val="00F7401C"/>
    <w:rsid w:val="00F75A10"/>
    <w:rsid w:val="00F77276"/>
    <w:rsid w:val="00F77809"/>
    <w:rsid w:val="00F9106B"/>
    <w:rsid w:val="00F9503F"/>
    <w:rsid w:val="00F97D5C"/>
    <w:rsid w:val="00FA33E7"/>
    <w:rsid w:val="00FA5DD3"/>
    <w:rsid w:val="00FB00D7"/>
    <w:rsid w:val="00FB0AE1"/>
    <w:rsid w:val="00FB3DCC"/>
    <w:rsid w:val="00FB3F26"/>
    <w:rsid w:val="00FB4F0A"/>
    <w:rsid w:val="00FB74FC"/>
    <w:rsid w:val="00FC210A"/>
    <w:rsid w:val="00FC3213"/>
    <w:rsid w:val="00FC36A8"/>
    <w:rsid w:val="00FC48C6"/>
    <w:rsid w:val="00FD04A5"/>
    <w:rsid w:val="00FD3717"/>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65798509-D416-4FF9-BF65-F67F807F1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9"/>
    <w:qFormat/>
    <w:rsid w:val="000501A4"/>
    <w:pPr>
      <w:keepNext/>
      <w:keepLines/>
      <w:outlineLvl w:val="4"/>
    </w:pPr>
    <w:rPr>
      <w:rFonts w:eastAsiaTheme="majorEastAsia"/>
      <w:bCs/>
      <w:spacing w:val="40"/>
    </w:rPr>
  </w:style>
  <w:style w:type="paragraph" w:styleId="Heading6">
    <w:name w:val="heading 6"/>
    <w:basedOn w:val="Normal"/>
    <w:next w:val="Normal"/>
    <w:link w:val="6"/>
    <w:uiPriority w:val="9"/>
    <w:qFormat/>
    <w:rsid w:val="000501A4"/>
    <w:pPr>
      <w:keepNext/>
      <w:keepLines/>
      <w:outlineLvl w:val="5"/>
    </w:pPr>
    <w:rPr>
      <w:rFonts w:eastAsiaTheme="majorEastAsia"/>
      <w:spacing w:val="40"/>
    </w:rPr>
  </w:style>
  <w:style w:type="paragraph" w:styleId="Heading7">
    <w:name w:val="heading 7"/>
    <w:basedOn w:val="Normal"/>
    <w:next w:val="Normal"/>
    <w:link w:val="7"/>
    <w:uiPriority w:val="9"/>
    <w:qFormat/>
    <w:rsid w:val="000501A4"/>
    <w:pPr>
      <w:keepNext/>
      <w:keepLines/>
      <w:outlineLvl w:val="6"/>
    </w:pPr>
    <w:rPr>
      <w:rFonts w:eastAsiaTheme="majorEastAsia"/>
      <w:bCs/>
      <w:spacing w:val="40"/>
    </w:rPr>
  </w:style>
  <w:style w:type="paragraph" w:styleId="Heading8">
    <w:name w:val="heading 8"/>
    <w:basedOn w:val="Normal"/>
    <w:next w:val="Normal"/>
    <w:link w:val="8"/>
    <w:uiPriority w:val="9"/>
    <w:qFormat/>
    <w:rsid w:val="000501A4"/>
    <w:pPr>
      <w:keepNext/>
      <w:keepLines/>
      <w:outlineLvl w:val="7"/>
    </w:pPr>
    <w:rPr>
      <w:rFonts w:eastAsiaTheme="majorEastAsia"/>
      <w:spacing w:val="40"/>
    </w:rPr>
  </w:style>
  <w:style w:type="paragraph" w:styleId="Heading9">
    <w:name w:val="heading 9"/>
    <w:basedOn w:val="Normal"/>
    <w:next w:val="Normal"/>
    <w:link w:val="9"/>
    <w:uiPriority w:val="9"/>
    <w:semiHidden/>
    <w:unhideWhenUsed/>
    <w:qFormat/>
    <w:rsid w:val="002D0C59"/>
    <w:pPr>
      <w:keepNext/>
      <w:keepLines/>
      <w:spacing w:before="40" w:line="259" w:lineRule="auto"/>
      <w:jc w:val="left"/>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9"/>
    <w:rsid w:val="000501A4"/>
    <w:rPr>
      <w:rFonts w:eastAsiaTheme="majorEastAsia"/>
      <w:bCs/>
      <w:spacing w:val="40"/>
    </w:rPr>
  </w:style>
  <w:style w:type="character" w:customStyle="1" w:styleId="6">
    <w:name w:val="כותרת 6 תו"/>
    <w:basedOn w:val="DefaultParagraphFont"/>
    <w:link w:val="Heading6"/>
    <w:uiPriority w:val="9"/>
    <w:rsid w:val="000501A4"/>
    <w:rPr>
      <w:rFonts w:eastAsiaTheme="majorEastAsia"/>
      <w:spacing w:val="40"/>
    </w:rPr>
  </w:style>
  <w:style w:type="character" w:customStyle="1" w:styleId="7">
    <w:name w:val="כותרת 7 תו"/>
    <w:basedOn w:val="DefaultParagraphFont"/>
    <w:link w:val="Heading7"/>
    <w:uiPriority w:val="9"/>
    <w:rsid w:val="000501A4"/>
    <w:rPr>
      <w:rFonts w:eastAsiaTheme="majorEastAsia"/>
      <w:bCs/>
      <w:spacing w:val="40"/>
    </w:rPr>
  </w:style>
  <w:style w:type="character" w:customStyle="1" w:styleId="8">
    <w:name w:val="כותרת 8 תו"/>
    <w:basedOn w:val="DefaultParagraphFont"/>
    <w:link w:val="Heading8"/>
    <w:uiPriority w:val="9"/>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 תו תו,FOOTNOTES,Footnote Text - Sharp,Footnote Text - Sharp Char,Footnote Text - Sharp Char Char,Footnote Text Char Char Char Char Char,Footnote reference,Sharp - Footnote Text,Sharp - Footnote Text1 Char,fn,footnote text,תו תו"/>
    <w:basedOn w:val="Normal"/>
    <w:link w:val="a4"/>
    <w:rsid w:val="00574579"/>
    <w:pPr>
      <w:spacing w:line="240" w:lineRule="auto"/>
      <w:ind w:left="720" w:hanging="720"/>
    </w:pPr>
    <w:rPr>
      <w:szCs w:val="20"/>
    </w:rPr>
  </w:style>
  <w:style w:type="character" w:customStyle="1" w:styleId="a4">
    <w:name w:val="טקסט הערת שוליים תו"/>
    <w:aliases w:val=" Char תו, תו תו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rsid w:val="00574579"/>
    <w:rPr>
      <w:szCs w:val="20"/>
    </w:rPr>
  </w:style>
  <w:style w:type="character" w:styleId="FootnoteReference1">
    <w:name w:val="footnote reference"/>
    <w:aliases w:val="Footnote Reference_0,Footnote Reference_1"/>
    <w:basedOn w:val="DefaultParagraphFont"/>
    <w:unhideWhenUsed/>
    <w:rsid w:val="000501A4"/>
    <w:rPr>
      <w:vertAlign w:val="superscript"/>
    </w:rPr>
  </w:style>
  <w:style w:type="paragraph" w:styleId="ListParagraph">
    <w:name w:val="List Paragraph"/>
    <w:aliases w:val="Dell"/>
    <w:basedOn w:val="Normal"/>
    <w:link w:val="a6"/>
    <w:uiPriority w:val="34"/>
    <w:qFormat/>
    <w:rsid w:val="006661AF"/>
    <w:pPr>
      <w:spacing w:after="160" w:line="259" w:lineRule="auto"/>
      <w:ind w:left="720"/>
      <w:contextualSpacing/>
      <w:jc w:val="left"/>
    </w:pPr>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6661AF"/>
    <w:rPr>
      <w:sz w:val="16"/>
      <w:szCs w:val="16"/>
    </w:rPr>
  </w:style>
  <w:style w:type="paragraph" w:styleId="CommentText">
    <w:name w:val="annotation text"/>
    <w:basedOn w:val="Normal"/>
    <w:link w:val="a5"/>
    <w:uiPriority w:val="99"/>
    <w:unhideWhenUsed/>
    <w:rsid w:val="006661AF"/>
    <w:pPr>
      <w:spacing w:after="160" w:line="240" w:lineRule="auto"/>
      <w:jc w:val="left"/>
    </w:pPr>
    <w:rPr>
      <w:rFonts w:asciiTheme="minorHAnsi" w:eastAsiaTheme="minorEastAsia" w:hAnsiTheme="minorHAnsi" w:cstheme="minorBidi"/>
      <w:sz w:val="22"/>
      <w:szCs w:val="20"/>
    </w:rPr>
  </w:style>
  <w:style w:type="character" w:customStyle="1" w:styleId="a5">
    <w:name w:val="טקסט הערה תו"/>
    <w:basedOn w:val="DefaultParagraphFont"/>
    <w:link w:val="CommentText"/>
    <w:uiPriority w:val="99"/>
    <w:rsid w:val="006661AF"/>
    <w:rPr>
      <w:rFonts w:asciiTheme="minorHAnsi" w:eastAsiaTheme="minorEastAsia" w:hAnsiTheme="minorHAnsi" w:cstheme="minorBidi"/>
      <w:sz w:val="22"/>
      <w:szCs w:val="20"/>
    </w:rPr>
  </w:style>
  <w:style w:type="character" w:customStyle="1" w:styleId="a6">
    <w:name w:val="פיסקת רשימה תו"/>
    <w:aliases w:val="Dell תו"/>
    <w:basedOn w:val="DefaultParagraphFont"/>
    <w:link w:val="ListParagraph"/>
    <w:uiPriority w:val="34"/>
    <w:locked/>
    <w:rsid w:val="006661AF"/>
    <w:rPr>
      <w:rFonts w:asciiTheme="minorHAnsi" w:eastAsiaTheme="minorEastAsia" w:hAnsiTheme="minorHAnsi" w:cstheme="minorBidi"/>
      <w:sz w:val="22"/>
      <w:szCs w:val="22"/>
    </w:rPr>
  </w:style>
  <w:style w:type="paragraph" w:styleId="BalloonText">
    <w:name w:val="Balloon Text"/>
    <w:basedOn w:val="Normal"/>
    <w:link w:val="a7"/>
    <w:uiPriority w:val="99"/>
    <w:semiHidden/>
    <w:unhideWhenUsed/>
    <w:rsid w:val="006661AF"/>
    <w:pPr>
      <w:spacing w:line="240" w:lineRule="auto"/>
    </w:pPr>
    <w:rPr>
      <w:rFonts w:ascii="Tahoma" w:hAnsi="Tahoma" w:cs="Tahoma"/>
      <w:sz w:val="18"/>
      <w:szCs w:val="18"/>
    </w:rPr>
  </w:style>
  <w:style w:type="character" w:customStyle="1" w:styleId="a7">
    <w:name w:val="טקסט בלונים תו"/>
    <w:basedOn w:val="DefaultParagraphFont"/>
    <w:link w:val="BalloonText"/>
    <w:uiPriority w:val="99"/>
    <w:semiHidden/>
    <w:rsid w:val="006661AF"/>
    <w:rPr>
      <w:rFonts w:ascii="Tahoma" w:hAnsi="Tahoma" w:cs="Tahoma"/>
      <w:sz w:val="18"/>
      <w:szCs w:val="18"/>
    </w:rPr>
  </w:style>
  <w:style w:type="table" w:styleId="TableGrid">
    <w:name w:val="Table Grid"/>
    <w:basedOn w:val="TableNormal"/>
    <w:uiPriority w:val="59"/>
    <w:rsid w:val="006661AF"/>
    <w:pPr>
      <w:bidi/>
      <w:spacing w:after="0" w:line="240" w:lineRule="auto"/>
      <w:jc w:val="left"/>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טבלת רשת 4 - הדגשה 11"/>
    <w:basedOn w:val="TableNormal"/>
    <w:uiPriority w:val="49"/>
    <w:rsid w:val="002D0C59"/>
    <w:pPr>
      <w:bidi/>
      <w:spacing w:after="0" w:line="240" w:lineRule="auto"/>
      <w:jc w:val="left"/>
    </w:pPr>
    <w:rPr>
      <w:rFonts w:asciiTheme="minorHAnsi" w:eastAsiaTheme="minorEastAsia"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9">
    <w:name w:val="כותרת 9 תו"/>
    <w:basedOn w:val="DefaultParagraphFont"/>
    <w:link w:val="Heading9"/>
    <w:uiPriority w:val="9"/>
    <w:semiHidden/>
    <w:rsid w:val="002D0C59"/>
    <w:rPr>
      <w:rFonts w:asciiTheme="majorHAnsi" w:eastAsiaTheme="majorEastAsia" w:hAnsiTheme="majorHAnsi" w:cstheme="majorBidi"/>
      <w:i/>
      <w:iCs/>
      <w:color w:val="262626" w:themeColor="text1" w:themeTint="D9"/>
      <w:sz w:val="21"/>
      <w:szCs w:val="21"/>
    </w:rPr>
  </w:style>
  <w:style w:type="paragraph" w:styleId="NormalWeb">
    <w:name w:val="Normal (Web)"/>
    <w:basedOn w:val="Normal"/>
    <w:uiPriority w:val="99"/>
    <w:unhideWhenUsed/>
    <w:rsid w:val="002D0C59"/>
    <w:pPr>
      <w:bidi w:val="0"/>
      <w:spacing w:before="100" w:beforeAutospacing="1" w:after="100" w:afterAutospacing="1" w:line="240" w:lineRule="auto"/>
      <w:jc w:val="left"/>
    </w:pPr>
    <w:rPr>
      <w:rFonts w:eastAsia="Times New Roman" w:asciiTheme="minorHAnsi" w:hAnsiTheme="minorHAnsi" w:cs="Times New Roman"/>
      <w:sz w:val="24"/>
      <w:szCs w:val="22"/>
    </w:rPr>
  </w:style>
  <w:style w:type="character" w:styleId="Hyperlink">
    <w:name w:val="Hyperlink"/>
    <w:basedOn w:val="DefaultParagraphFont"/>
    <w:uiPriority w:val="99"/>
    <w:unhideWhenUsed/>
    <w:rsid w:val="002D0C59"/>
    <w:rPr>
      <w:color w:val="0000FF" w:themeColor="hyperlink"/>
      <w:u w:val="single"/>
    </w:rPr>
  </w:style>
  <w:style w:type="table" w:customStyle="1" w:styleId="4-51">
    <w:name w:val="טבלת רשת 4 - הדגשה 51"/>
    <w:basedOn w:val="TableNormal"/>
    <w:uiPriority w:val="49"/>
    <w:rsid w:val="002D0C59"/>
    <w:pPr>
      <w:bidi/>
      <w:spacing w:after="0" w:line="240" w:lineRule="auto"/>
      <w:jc w:val="left"/>
    </w:pPr>
    <w:rPr>
      <w:rFonts w:asciiTheme="minorHAnsi" w:eastAsiaTheme="minorEastAsia"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11">
    <w:name w:val="טבלת רשת 5 כהה - הדגשה 11"/>
    <w:basedOn w:val="TableNormal"/>
    <w:uiPriority w:val="50"/>
    <w:rsid w:val="002D0C59"/>
    <w:pPr>
      <w:bidi/>
      <w:spacing w:after="0" w:line="240" w:lineRule="auto"/>
      <w:jc w:val="left"/>
    </w:pPr>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CommentSubject">
    <w:name w:val="annotation subject"/>
    <w:basedOn w:val="CommentText"/>
    <w:next w:val="CommentText"/>
    <w:link w:val="a8"/>
    <w:uiPriority w:val="99"/>
    <w:semiHidden/>
    <w:unhideWhenUsed/>
    <w:rsid w:val="002D0C59"/>
    <w:rPr>
      <w:b/>
      <w:bCs/>
    </w:rPr>
  </w:style>
  <w:style w:type="character" w:customStyle="1" w:styleId="a8">
    <w:name w:val="נושא הערה תו"/>
    <w:basedOn w:val="a5"/>
    <w:link w:val="CommentSubject"/>
    <w:uiPriority w:val="99"/>
    <w:semiHidden/>
    <w:rsid w:val="002D0C59"/>
    <w:rPr>
      <w:rFonts w:asciiTheme="minorHAnsi" w:eastAsiaTheme="minorEastAsia" w:hAnsiTheme="minorHAnsi" w:cstheme="minorBidi"/>
      <w:b/>
      <w:bCs/>
      <w:sz w:val="22"/>
      <w:szCs w:val="20"/>
    </w:rPr>
  </w:style>
  <w:style w:type="character" w:styleId="Strong">
    <w:name w:val="Strong"/>
    <w:basedOn w:val="DefaultParagraphFont"/>
    <w:uiPriority w:val="22"/>
    <w:qFormat/>
    <w:rsid w:val="002D0C59"/>
    <w:rPr>
      <w:b/>
      <w:bCs/>
      <w:color w:val="auto"/>
    </w:rPr>
  </w:style>
  <w:style w:type="table" w:customStyle="1" w:styleId="4-110">
    <w:name w:val="טבלת רשת 4 - הדגשה 11_0"/>
    <w:basedOn w:val="TableNormal"/>
    <w:uiPriority w:val="49"/>
    <w:rsid w:val="002D0C59"/>
    <w:pPr>
      <w:bidi/>
      <w:spacing w:after="0" w:line="240" w:lineRule="auto"/>
      <w:jc w:val="left"/>
    </w:pPr>
    <w:rPr>
      <w:rFonts w:asciiTheme="minorHAnsi" w:eastAsiaTheme="minorEastAsia"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31">
    <w:name w:val="טבלת רשת 5 כהה - הדגשה 31"/>
    <w:basedOn w:val="TableNormal"/>
    <w:uiPriority w:val="50"/>
    <w:rsid w:val="002D0C59"/>
    <w:pPr>
      <w:bidi/>
      <w:spacing w:after="0" w:line="240" w:lineRule="auto"/>
      <w:jc w:val="left"/>
    </w:pPr>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5-12">
    <w:name w:val="טבלת רשת 5 כהה - הדגשה 12"/>
    <w:basedOn w:val="TableNormal"/>
    <w:uiPriority w:val="50"/>
    <w:rsid w:val="002D0C59"/>
    <w:pPr>
      <w:bidi/>
      <w:spacing w:after="0" w:line="240" w:lineRule="auto"/>
      <w:jc w:val="left"/>
    </w:pPr>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1">
    <w:name w:val="טבלת רשת 5 כהה1"/>
    <w:basedOn w:val="TableNormal"/>
    <w:uiPriority w:val="50"/>
    <w:rsid w:val="002D0C59"/>
    <w:pPr>
      <w:bidi/>
      <w:spacing w:after="0" w:line="240" w:lineRule="auto"/>
      <w:jc w:val="left"/>
    </w:pPr>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21">
    <w:name w:val="טבלת רשת 5 כהה - הדגשה 21"/>
    <w:basedOn w:val="TableNormal"/>
    <w:uiPriority w:val="50"/>
    <w:rsid w:val="002D0C59"/>
    <w:pPr>
      <w:bidi/>
      <w:spacing w:after="0" w:line="240" w:lineRule="auto"/>
      <w:jc w:val="left"/>
    </w:pPr>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5-61">
    <w:name w:val="טבלת רשת 5 כהה - הדגשה 61"/>
    <w:basedOn w:val="TableNormal"/>
    <w:uiPriority w:val="50"/>
    <w:rsid w:val="002D0C59"/>
    <w:pPr>
      <w:bidi/>
      <w:spacing w:after="0" w:line="240" w:lineRule="auto"/>
      <w:jc w:val="left"/>
    </w:pPr>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PageNumber">
    <w:name w:val="page number"/>
    <w:basedOn w:val="DefaultParagraphFont"/>
    <w:uiPriority w:val="99"/>
    <w:semiHidden/>
    <w:unhideWhenUsed/>
    <w:rsid w:val="002D0C59"/>
  </w:style>
  <w:style w:type="paragraph" w:styleId="Revision">
    <w:name w:val="Revision"/>
    <w:hidden/>
    <w:uiPriority w:val="99"/>
    <w:semiHidden/>
    <w:rsid w:val="002D0C59"/>
    <w:pPr>
      <w:bidi/>
      <w:spacing w:after="0" w:line="240" w:lineRule="auto"/>
      <w:jc w:val="left"/>
    </w:pPr>
    <w:rPr>
      <w:rFonts w:asciiTheme="minorHAnsi" w:eastAsiaTheme="minorEastAsia" w:hAnsiTheme="minorHAnsi" w:cstheme="minorBidi"/>
      <w:sz w:val="22"/>
      <w:szCs w:val="22"/>
    </w:rPr>
  </w:style>
  <w:style w:type="table" w:customStyle="1" w:styleId="41">
    <w:name w:val="טבלת רשת 41"/>
    <w:basedOn w:val="TableNormal"/>
    <w:uiPriority w:val="49"/>
    <w:rsid w:val="002D0C59"/>
    <w:pPr>
      <w:bidi/>
      <w:spacing w:after="0" w:line="240" w:lineRule="auto"/>
      <w:jc w:val="left"/>
    </w:pPr>
    <w:rPr>
      <w:rFonts w:asciiTheme="minorHAnsi" w:eastAsiaTheme="minorEastAsia"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semiHidden/>
    <w:unhideWhenUsed/>
    <w:qFormat/>
    <w:rsid w:val="002D0C59"/>
    <w:pPr>
      <w:spacing w:after="200" w:line="240" w:lineRule="auto"/>
      <w:jc w:val="left"/>
    </w:pPr>
    <w:rPr>
      <w:rFonts w:asciiTheme="minorHAnsi" w:eastAsiaTheme="minorEastAsia" w:hAnsiTheme="minorHAnsi" w:cstheme="minorBidi"/>
      <w:i/>
      <w:iCs/>
      <w:color w:val="1F497D" w:themeColor="text2"/>
      <w:sz w:val="18"/>
      <w:szCs w:val="18"/>
    </w:rPr>
  </w:style>
  <w:style w:type="paragraph" w:styleId="Title">
    <w:name w:val="Title"/>
    <w:basedOn w:val="Normal"/>
    <w:next w:val="Normal"/>
    <w:link w:val="a9"/>
    <w:uiPriority w:val="10"/>
    <w:qFormat/>
    <w:rsid w:val="002D0C59"/>
    <w:pPr>
      <w:spacing w:line="240" w:lineRule="auto"/>
      <w:contextualSpacing/>
      <w:jc w:val="left"/>
    </w:pPr>
    <w:rPr>
      <w:rFonts w:asciiTheme="majorHAnsi" w:eastAsiaTheme="majorEastAsia" w:hAnsiTheme="majorHAnsi" w:cstheme="majorBidi"/>
      <w:spacing w:val="-10"/>
      <w:sz w:val="56"/>
      <w:szCs w:val="56"/>
    </w:rPr>
  </w:style>
  <w:style w:type="character" w:customStyle="1" w:styleId="a9">
    <w:name w:val="כותרת טקסט תו"/>
    <w:basedOn w:val="DefaultParagraphFont"/>
    <w:link w:val="Title"/>
    <w:uiPriority w:val="10"/>
    <w:rsid w:val="002D0C59"/>
    <w:rPr>
      <w:rFonts w:asciiTheme="majorHAnsi" w:eastAsiaTheme="majorEastAsia" w:hAnsiTheme="majorHAnsi" w:cstheme="majorBidi"/>
      <w:spacing w:val="-10"/>
      <w:sz w:val="56"/>
      <w:szCs w:val="56"/>
    </w:rPr>
  </w:style>
  <w:style w:type="paragraph" w:styleId="Subtitle">
    <w:name w:val="Subtitle"/>
    <w:basedOn w:val="Normal"/>
    <w:next w:val="Normal"/>
    <w:link w:val="a10"/>
    <w:uiPriority w:val="11"/>
    <w:qFormat/>
    <w:rsid w:val="002D0C59"/>
    <w:pPr>
      <w:numPr>
        <w:ilvl w:val="1"/>
      </w:numPr>
      <w:spacing w:after="160" w:line="259" w:lineRule="auto"/>
      <w:jc w:val="left"/>
    </w:pPr>
    <w:rPr>
      <w:rFonts w:asciiTheme="minorHAnsi" w:eastAsiaTheme="minorEastAsia" w:hAnsiTheme="minorHAnsi" w:cstheme="minorBidi"/>
      <w:color w:val="5A5A5A" w:themeColor="text1" w:themeTint="A5"/>
      <w:spacing w:val="15"/>
      <w:sz w:val="22"/>
      <w:szCs w:val="22"/>
    </w:rPr>
  </w:style>
  <w:style w:type="character" w:customStyle="1" w:styleId="a10">
    <w:name w:val="כותרת משנה תו"/>
    <w:basedOn w:val="DefaultParagraphFont"/>
    <w:link w:val="Subtitle"/>
    <w:uiPriority w:val="11"/>
    <w:rsid w:val="002D0C59"/>
    <w:rPr>
      <w:rFonts w:asciiTheme="minorHAnsi" w:eastAsiaTheme="minorEastAsia" w:hAnsiTheme="minorHAnsi" w:cstheme="minorBidi"/>
      <w:color w:val="5A5A5A" w:themeColor="text1" w:themeTint="A5"/>
      <w:spacing w:val="15"/>
      <w:sz w:val="22"/>
      <w:szCs w:val="22"/>
    </w:rPr>
  </w:style>
  <w:style w:type="character" w:styleId="Emphasis">
    <w:name w:val="Emphasis"/>
    <w:basedOn w:val="DefaultParagraphFont"/>
    <w:uiPriority w:val="20"/>
    <w:qFormat/>
    <w:rsid w:val="002D0C59"/>
    <w:rPr>
      <w:i/>
      <w:iCs/>
      <w:color w:val="auto"/>
    </w:rPr>
  </w:style>
  <w:style w:type="paragraph" w:styleId="NoSpacing">
    <w:name w:val="No Spacing"/>
    <w:uiPriority w:val="1"/>
    <w:qFormat/>
    <w:rsid w:val="002D0C59"/>
    <w:pPr>
      <w:bidi/>
      <w:spacing w:after="0" w:line="240" w:lineRule="auto"/>
      <w:jc w:val="left"/>
    </w:pPr>
    <w:rPr>
      <w:rFonts w:asciiTheme="minorHAnsi" w:eastAsiaTheme="minorEastAsia" w:hAnsiTheme="minorHAnsi" w:cstheme="minorBidi"/>
      <w:sz w:val="22"/>
      <w:szCs w:val="22"/>
    </w:rPr>
  </w:style>
  <w:style w:type="paragraph" w:styleId="Quote">
    <w:name w:val="Quote"/>
    <w:basedOn w:val="Normal"/>
    <w:next w:val="Normal"/>
    <w:link w:val="a11"/>
    <w:uiPriority w:val="29"/>
    <w:qFormat/>
    <w:rsid w:val="002D0C59"/>
    <w:pPr>
      <w:spacing w:before="200" w:after="160" w:line="259" w:lineRule="auto"/>
      <w:ind w:left="864" w:right="864"/>
      <w:jc w:val="left"/>
    </w:pPr>
    <w:rPr>
      <w:rFonts w:asciiTheme="minorHAnsi" w:eastAsiaTheme="minorEastAsia" w:hAnsiTheme="minorHAnsi" w:cstheme="minorBidi"/>
      <w:i/>
      <w:iCs/>
      <w:color w:val="404040" w:themeColor="text1" w:themeTint="BF"/>
      <w:sz w:val="22"/>
      <w:szCs w:val="22"/>
    </w:rPr>
  </w:style>
  <w:style w:type="character" w:customStyle="1" w:styleId="a11">
    <w:name w:val="ציטוט תו"/>
    <w:basedOn w:val="DefaultParagraphFont"/>
    <w:link w:val="Quote"/>
    <w:uiPriority w:val="29"/>
    <w:rsid w:val="002D0C59"/>
    <w:rPr>
      <w:rFonts w:asciiTheme="minorHAnsi" w:eastAsiaTheme="minorEastAsia" w:hAnsiTheme="minorHAnsi" w:cstheme="minorBidi"/>
      <w:i/>
      <w:iCs/>
      <w:color w:val="404040" w:themeColor="text1" w:themeTint="BF"/>
      <w:sz w:val="22"/>
      <w:szCs w:val="22"/>
    </w:rPr>
  </w:style>
  <w:style w:type="paragraph" w:styleId="IntenseQuote">
    <w:name w:val="Intense Quote"/>
    <w:basedOn w:val="Normal"/>
    <w:next w:val="Normal"/>
    <w:link w:val="a12"/>
    <w:uiPriority w:val="30"/>
    <w:qFormat/>
    <w:rsid w:val="002D0C59"/>
    <w:pPr>
      <w:pBdr>
        <w:top w:val="single" w:sz="4" w:space="10" w:color="4F81BD" w:themeColor="accent1"/>
        <w:bottom w:val="single" w:sz="4" w:space="10" w:color="4F81BD" w:themeColor="accent1"/>
      </w:pBdr>
      <w:spacing w:before="360" w:after="360" w:line="259" w:lineRule="auto"/>
      <w:ind w:left="864" w:right="864"/>
      <w:jc w:val="center"/>
    </w:pPr>
    <w:rPr>
      <w:rFonts w:asciiTheme="minorHAnsi" w:eastAsiaTheme="minorEastAsia" w:hAnsiTheme="minorHAnsi" w:cstheme="minorBidi"/>
      <w:i/>
      <w:iCs/>
      <w:color w:val="4F81BD" w:themeColor="accent1"/>
      <w:sz w:val="22"/>
      <w:szCs w:val="22"/>
    </w:rPr>
  </w:style>
  <w:style w:type="character" w:customStyle="1" w:styleId="a12">
    <w:name w:val="ציטוט חזק תו"/>
    <w:basedOn w:val="DefaultParagraphFont"/>
    <w:link w:val="IntenseQuote"/>
    <w:uiPriority w:val="30"/>
    <w:rsid w:val="002D0C59"/>
    <w:rPr>
      <w:rFonts w:asciiTheme="minorHAnsi" w:eastAsiaTheme="minorEastAsia" w:hAnsiTheme="minorHAnsi" w:cstheme="minorBidi"/>
      <w:i/>
      <w:iCs/>
      <w:color w:val="4F81BD" w:themeColor="accent1"/>
      <w:sz w:val="22"/>
      <w:szCs w:val="22"/>
    </w:rPr>
  </w:style>
  <w:style w:type="character" w:styleId="SubtleEmphasis">
    <w:name w:val="Subtle Emphasis"/>
    <w:basedOn w:val="DefaultParagraphFont"/>
    <w:uiPriority w:val="19"/>
    <w:qFormat/>
    <w:rsid w:val="002D0C59"/>
    <w:rPr>
      <w:i/>
      <w:iCs/>
      <w:color w:val="404040" w:themeColor="text1" w:themeTint="BF"/>
    </w:rPr>
  </w:style>
  <w:style w:type="character" w:styleId="IntenseEmphasis">
    <w:name w:val="Intense Emphasis"/>
    <w:basedOn w:val="DefaultParagraphFont"/>
    <w:uiPriority w:val="21"/>
    <w:qFormat/>
    <w:rsid w:val="002D0C59"/>
    <w:rPr>
      <w:i/>
      <w:iCs/>
      <w:color w:val="4F81BD" w:themeColor="accent1"/>
    </w:rPr>
  </w:style>
  <w:style w:type="character" w:styleId="SubtleReference">
    <w:name w:val="Subtle Reference"/>
    <w:basedOn w:val="DefaultParagraphFont"/>
    <w:uiPriority w:val="31"/>
    <w:qFormat/>
    <w:rsid w:val="002D0C59"/>
    <w:rPr>
      <w:smallCaps/>
      <w:color w:val="404040" w:themeColor="text1" w:themeTint="BF"/>
    </w:rPr>
  </w:style>
  <w:style w:type="character" w:styleId="IntenseReference">
    <w:name w:val="Intense Reference"/>
    <w:basedOn w:val="DefaultParagraphFont"/>
    <w:uiPriority w:val="32"/>
    <w:qFormat/>
    <w:rsid w:val="002D0C59"/>
    <w:rPr>
      <w:b/>
      <w:bCs/>
      <w:smallCaps/>
      <w:color w:val="4F81BD" w:themeColor="accent1"/>
      <w:spacing w:val="5"/>
    </w:rPr>
  </w:style>
  <w:style w:type="character" w:styleId="BookTitle">
    <w:name w:val="Book Title"/>
    <w:basedOn w:val="DefaultParagraphFont"/>
    <w:uiPriority w:val="33"/>
    <w:qFormat/>
    <w:rsid w:val="002D0C59"/>
    <w:rPr>
      <w:b/>
      <w:bCs/>
      <w:i/>
      <w:iCs/>
      <w:spacing w:val="5"/>
    </w:rPr>
  </w:style>
  <w:style w:type="paragraph" w:styleId="TOCHeading">
    <w:name w:val="TOC Heading"/>
    <w:basedOn w:val="Heading1"/>
    <w:next w:val="Normal"/>
    <w:uiPriority w:val="39"/>
    <w:semiHidden/>
    <w:unhideWhenUsed/>
    <w:qFormat/>
    <w:rsid w:val="002D0C59"/>
    <w:pPr>
      <w:spacing w:before="240" w:line="259" w:lineRule="auto"/>
      <w:jc w:val="left"/>
      <w:outlineLvl w:val="9"/>
    </w:pPr>
    <w:rPr>
      <w:rFonts w:asciiTheme="majorHAnsi" w:hAnsiTheme="majorHAnsi" w:cstheme="majorBidi"/>
      <w:bCs w:val="0"/>
      <w:color w:val="365F91" w:themeColor="accent1" w:themeShade="BF"/>
      <w:sz w:val="32"/>
      <w:szCs w:val="32"/>
      <w:u w:val="none"/>
    </w:rPr>
  </w:style>
  <w:style w:type="table" w:customStyle="1" w:styleId="6-11">
    <w:name w:val="טבלת רשימה 6 צבעונית - הדגשה 11"/>
    <w:basedOn w:val="TableNormal"/>
    <w:uiPriority w:val="51"/>
    <w:rsid w:val="002D0C59"/>
    <w:pPr>
      <w:bidi/>
      <w:spacing w:after="0" w:line="240" w:lineRule="auto"/>
      <w:jc w:val="left"/>
    </w:pPr>
    <w:rPr>
      <w:rFonts w:asciiTheme="minorHAnsi" w:eastAsiaTheme="minorEastAsia" w:hAnsiTheme="minorHAnsi" w:cstheme="minorBidi"/>
      <w:color w:val="365F91" w:themeColor="accent1" w:themeShade="BF"/>
      <w:sz w:val="22"/>
      <w:szCs w:val="22"/>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7-61">
    <w:name w:val="טבלת רשימה 7 צבעונית - הדגשה 61"/>
    <w:basedOn w:val="TableNormal"/>
    <w:uiPriority w:val="52"/>
    <w:rsid w:val="002D0C59"/>
    <w:pPr>
      <w:bidi/>
      <w:spacing w:after="0" w:line="240" w:lineRule="auto"/>
      <w:jc w:val="left"/>
    </w:pPr>
    <w:rPr>
      <w:rFonts w:asciiTheme="minorHAnsi" w:eastAsiaTheme="minorEastAsia" w:hAnsiTheme="minorHAnsi" w:cstheme="minorBidi"/>
      <w:color w:val="E36C0A" w:themeColor="accent6"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טבלת רשימה 7 צבעונית - הדגשה 51"/>
    <w:basedOn w:val="TableNormal"/>
    <w:uiPriority w:val="52"/>
    <w:rsid w:val="002D0C59"/>
    <w:pPr>
      <w:bidi/>
      <w:spacing w:after="0" w:line="240" w:lineRule="auto"/>
      <w:jc w:val="left"/>
    </w:pPr>
    <w:rPr>
      <w:rFonts w:asciiTheme="minorHAnsi" w:eastAsiaTheme="minorEastAsia" w:hAnsiTheme="minorHAnsi" w:cstheme="minorBidi"/>
      <w:color w:val="31849B"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
    <w:name w:val="טבלת רשימה 7 צבעונית - הדגשה 21"/>
    <w:basedOn w:val="TableNormal"/>
    <w:uiPriority w:val="52"/>
    <w:rsid w:val="002D0C59"/>
    <w:pPr>
      <w:bidi/>
      <w:spacing w:after="0" w:line="240" w:lineRule="auto"/>
      <w:jc w:val="left"/>
    </w:pPr>
    <w:rPr>
      <w:rFonts w:asciiTheme="minorHAnsi" w:eastAsiaTheme="minorEastAsia" w:hAnsiTheme="minorHAnsi" w:cstheme="minorBidi"/>
      <w:color w:val="943634" w:themeColor="accent2"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
    <w:name w:val="טבלת רשימה 7 צבעונית - הדגשה 31"/>
    <w:basedOn w:val="TableNormal"/>
    <w:uiPriority w:val="52"/>
    <w:rsid w:val="002D0C59"/>
    <w:pPr>
      <w:bidi/>
      <w:spacing w:after="0" w:line="240" w:lineRule="auto"/>
      <w:jc w:val="left"/>
    </w:pPr>
    <w:rPr>
      <w:rFonts w:asciiTheme="minorHAnsi" w:eastAsiaTheme="minorEastAsia" w:hAnsiTheme="minorHAnsi" w:cstheme="minorBidi"/>
      <w:color w:val="76923C" w:themeColor="accent3"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1">
    <w:name w:val="טבלת רשימה 6 צבעונית1"/>
    <w:basedOn w:val="TableNormal"/>
    <w:uiPriority w:val="51"/>
    <w:rsid w:val="002D0C59"/>
    <w:pPr>
      <w:bidi/>
      <w:spacing w:after="0" w:line="240" w:lineRule="auto"/>
      <w:jc w:val="left"/>
    </w:pPr>
    <w:rPr>
      <w:rFonts w:asciiTheme="minorHAnsi" w:eastAsiaTheme="minorEastAsia" w:hAnsiTheme="minorHAnsi" w:cstheme="minorBidi"/>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21">
    <w:name w:val="טבלת רשימה 6 צבעונית - הדגשה 21"/>
    <w:basedOn w:val="TableNormal"/>
    <w:uiPriority w:val="51"/>
    <w:rsid w:val="002D0C59"/>
    <w:pPr>
      <w:bidi/>
      <w:spacing w:after="0" w:line="240" w:lineRule="auto"/>
      <w:jc w:val="left"/>
    </w:pPr>
    <w:rPr>
      <w:rFonts w:asciiTheme="minorHAnsi" w:eastAsiaTheme="minorEastAsia" w:hAnsiTheme="minorHAnsi" w:cstheme="minorBidi"/>
      <w:color w:val="943634" w:themeColor="accent2" w:themeShade="BF"/>
      <w:sz w:val="22"/>
      <w:szCs w:val="22"/>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10">
    <w:name w:val="רשת טבלה בהירה1"/>
    <w:basedOn w:val="TableNormal"/>
    <w:uiPriority w:val="40"/>
    <w:rsid w:val="002D0C59"/>
    <w:pPr>
      <w:bidi/>
      <w:spacing w:after="0" w:line="240" w:lineRule="auto"/>
      <w:jc w:val="left"/>
    </w:pPr>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5-110">
    <w:name w:val="טבלת רשימה 5 כהה - הדגשה 11"/>
    <w:basedOn w:val="TableNormal"/>
    <w:uiPriority w:val="50"/>
    <w:rsid w:val="002D0C59"/>
    <w:pPr>
      <w:bidi/>
      <w:spacing w:after="0" w:line="240" w:lineRule="auto"/>
      <w:jc w:val="left"/>
    </w:pPr>
    <w:rPr>
      <w:rFonts w:asciiTheme="minorHAnsi" w:eastAsiaTheme="minorEastAsia" w:hAnsiTheme="minorHAnsi" w:cstheme="minorBidi"/>
      <w:color w:val="FFFFFF" w:themeColor="background1"/>
      <w:sz w:val="22"/>
      <w:szCs w:val="22"/>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52">
    <w:name w:val="טבלת רשת 4 - הדגשה 52"/>
    <w:basedOn w:val="TableNormal"/>
    <w:uiPriority w:val="49"/>
    <w:rsid w:val="002D0C59"/>
    <w:pPr>
      <w:bidi/>
      <w:spacing w:after="0" w:line="240" w:lineRule="auto"/>
      <w:jc w:val="left"/>
    </w:pPr>
    <w:rPr>
      <w:rFonts w:asciiTheme="minorHAnsi" w:eastAsiaTheme="minorEastAsia"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1">
    <w:name w:val="טבלת רשת 1 בהירה - הדגשה 11"/>
    <w:basedOn w:val="TableNormal"/>
    <w:uiPriority w:val="46"/>
    <w:rsid w:val="002D0C59"/>
    <w:pPr>
      <w:bidi/>
      <w:spacing w:after="0" w:line="240" w:lineRule="auto"/>
      <w:jc w:val="left"/>
    </w:pPr>
    <w:rPr>
      <w:rFonts w:asciiTheme="minorHAnsi" w:eastAsiaTheme="minorEastAsia" w:hAnsiTheme="minorHAnsi" w:cstheme="minorBidi"/>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1">
    <w:name w:val="טבלת רשת 1 בהירה1"/>
    <w:basedOn w:val="TableNormal"/>
    <w:uiPriority w:val="46"/>
    <w:rsid w:val="002D0C59"/>
    <w:pPr>
      <w:bidi/>
      <w:spacing w:after="0" w:line="240" w:lineRule="auto"/>
      <w:jc w:val="left"/>
    </w:pPr>
    <w:rPr>
      <w:rFonts w:asciiTheme="minorHAnsi" w:eastAsiaTheme="minorEastAsia"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1">
    <w:name w:val="טבלת רשת 1 בהירה - הדגשה 51"/>
    <w:basedOn w:val="TableNormal"/>
    <w:uiPriority w:val="46"/>
    <w:rsid w:val="002D0C59"/>
    <w:pPr>
      <w:bidi/>
      <w:spacing w:after="0" w:line="240" w:lineRule="auto"/>
      <w:jc w:val="left"/>
    </w:pPr>
    <w:rPr>
      <w:rFonts w:asciiTheme="minorHAnsi" w:eastAsiaTheme="minorEastAsia"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2D0C59"/>
    <w:rPr>
      <w:color w:val="808080"/>
    </w:rPr>
  </w:style>
  <w:style w:type="paragraph" w:customStyle="1" w:styleId="p22">
    <w:name w:val="p22"/>
    <w:basedOn w:val="Normal"/>
    <w:rsid w:val="002D0C59"/>
    <w:pPr>
      <w:bidi w:val="0"/>
      <w:spacing w:before="100" w:beforeAutospacing="1" w:after="100" w:afterAutospacing="1" w:line="240" w:lineRule="auto"/>
      <w:jc w:val="left"/>
    </w:pPr>
    <w:rPr>
      <w:rFonts w:eastAsia="Times New Roman" w:cs="Times New Roman"/>
      <w:sz w:val="24"/>
    </w:rPr>
  </w:style>
  <w:style w:type="character" w:customStyle="1" w:styleId="default">
    <w:name w:val="default"/>
    <w:basedOn w:val="DefaultParagraphFont"/>
    <w:rsid w:val="002D0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jpeg"/><Relationship Id="rId26" Type="http://schemas.microsoft.com/office/2007/relationships/diagramDrawing" Target="diagrams/drawing2.xml"/><Relationship Id="rId21" Type="http://schemas.microsoft.com/office/2007/relationships/diagramDrawing" Target="diagrams/drawing1.xml"/><Relationship Id="rId34"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diagramColors" Target="diagrams/colors1.xml"/><Relationship Id="rId33" Type="http://schemas.openxmlformats.org/officeDocument/2006/relationships/numbering" Target="numbering.xml"/><Relationship Id="rId7" Type="http://schemas.openxmlformats.org/officeDocument/2006/relationships/image" Target="media/image2.emf"/><Relationship Id="rId16" Type="http://schemas.openxmlformats.org/officeDocument/2006/relationships/image" Target="media/image11.jpeg"/><Relationship Id="rId2" Type="http://schemas.openxmlformats.org/officeDocument/2006/relationships/settings" Target="settings.xml"/><Relationship Id="rId20" Type="http://schemas.openxmlformats.org/officeDocument/2006/relationships/image" Target="media/image15.jpeg"/><Relationship Id="rId29" Type="http://schemas.openxmlformats.org/officeDocument/2006/relationships/diagramQuickStyle" Target="diagrams/quickStyle2.xml"/><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diagramQuickStyle" Target="diagrams/quickStyle1.xml"/><Relationship Id="rId32" Type="http://schemas.openxmlformats.org/officeDocument/2006/relationships/theme" Target="theme/theme1.xml"/><Relationship Id="rId6" Type="http://schemas.openxmlformats.org/officeDocument/2006/relationships/image" Target="media/image1.emf"/><Relationship Id="rId37" Type="http://schemas.openxmlformats.org/officeDocument/2006/relationships/customXml" Target="../customXml/item4.xml"/><Relationship Id="rId15" Type="http://schemas.openxmlformats.org/officeDocument/2006/relationships/image" Target="media/image10.jpeg"/><Relationship Id="rId23" Type="http://schemas.openxmlformats.org/officeDocument/2006/relationships/diagramLayout" Target="diagrams/layout1.xml"/><Relationship Id="rId28" Type="http://schemas.openxmlformats.org/officeDocument/2006/relationships/diagramLayout" Target="diagrams/layout2.xml"/><Relationship Id="rId5" Type="http://schemas.openxmlformats.org/officeDocument/2006/relationships/customXml" Target="../customXml/item1.xml"/><Relationship Id="rId36"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1.xml"/><Relationship Id="rId14" Type="http://schemas.openxmlformats.org/officeDocument/2006/relationships/image" Target="media/image9.emf"/><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4" Type="http://schemas.openxmlformats.org/officeDocument/2006/relationships/fontTable" Target="fontTable.xml"/><Relationship Id="rId9" Type="http://schemas.openxmlformats.org/officeDocument/2006/relationships/image" Target="media/image4.emf"/><Relationship Id="rId35" Type="http://schemas.openxmlformats.org/officeDocument/2006/relationships/customXml" Target="../customXml/item2.xml"/><Relationship Id="rId8" Type="http://schemas.openxmlformats.org/officeDocument/2006/relationships/image" Target="media/image3.emf"/><Relationship Id="rId3" Type="http://schemas.openxmlformats.org/officeDocument/2006/relationships/webSettings" Target="webSettings.xml"/></Relationships>
</file>

<file path=word/_rels/numbering.xml.rels>&#65279;<?xml version="1.0" encoding="utf-8" standalone="yes"?><Relationships xmlns="http://schemas.openxmlformats.org/package/2006/relationships"><Relationship Id="rId1" Type="http://schemas.openxmlformats.org/officeDocument/2006/relationships/image" Target="media/image22.png" /></Relationships>
</file>

<file path=word/diagrams/_rels/data1.xml.rels>&#65279;<?xml version="1.0" encoding="utf-8" standalone="yes"?><Relationships xmlns="http://schemas.openxmlformats.org/package/2006/relationships"><Relationship Id="rId1" Type="http://schemas.openxmlformats.org/officeDocument/2006/relationships/image" Target="../media/image16.png" /><Relationship Id="rId2" Type="http://schemas.openxmlformats.org/officeDocument/2006/relationships/image" Target="../media/image17.png" /><Relationship Id="rId3" Type="http://schemas.openxmlformats.org/officeDocument/2006/relationships/image" Target="../media/image18.png" /><Relationship Id="rId4" Type="http://schemas.openxmlformats.org/officeDocument/2006/relationships/image" Target="../media/image19.png" /><Relationship Id="rId5" Type="http://schemas.openxmlformats.org/officeDocument/2006/relationships/image" Target="../media/image20.png" /><Relationship Id="rId6" Type="http://schemas.openxmlformats.org/officeDocument/2006/relationships/image" Target="../media/image21.png" /></Relationships>
</file>

<file path=word/diagrams/_rels/drawing1.xml.rels>&#65279;<?xml version="1.0" encoding="utf-8" standalone="yes"?><Relationships xmlns="http://schemas.openxmlformats.org/package/2006/relationships"><Relationship Id="rId1" Type="http://schemas.openxmlformats.org/officeDocument/2006/relationships/image" Target="../media/image16.png" /><Relationship Id="rId2" Type="http://schemas.openxmlformats.org/officeDocument/2006/relationships/image" Target="../media/image17.png" /><Relationship Id="rId3" Type="http://schemas.openxmlformats.org/officeDocument/2006/relationships/image" Target="../media/image18.png" /><Relationship Id="rId4" Type="http://schemas.openxmlformats.org/officeDocument/2006/relationships/image" Target="../media/image19.png" /><Relationship Id="rId5" Type="http://schemas.openxmlformats.org/officeDocument/2006/relationships/image" Target="../media/image20.png" /><Relationship Id="rId6" Type="http://schemas.openxmlformats.org/officeDocument/2006/relationships/image" Target="../media/image21.png" /></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35FDF2-40F5-4308-A908-87D7D0103994}" type="doc">
      <dgm:prSet loTypeId="urn:microsoft.com/office/officeart/2008/layout/PictureAccentList#1" loCatId="list" qsTypeId="urn:microsoft.com/office/officeart/2005/8/quickstyle/simple1" qsCatId="simple" csTypeId="urn:microsoft.com/office/officeart/2005/8/colors/colorful5" csCatId="colorful" phldr="1"/>
      <dgm:spPr/>
      <dgm:t>
        <a:bodyPr/>
        <a:lstStyle/>
        <a:p>
          <a:pPr rtl="1"/>
          <a:endParaRPr lang="he-IL"/>
        </a:p>
      </dgm:t>
    </dgm:pt>
    <dgm:pt modelId="{55BEC84E-BFCB-4D1B-AD70-70D21E4DA987}">
      <dgm:prSet phldrT="[טקסט]" custT="1"/>
      <dgm:spPr/>
      <dgm:t>
        <a:bodyPr/>
        <a:lstStyle/>
        <a:p>
          <a:pPr rtl="1"/>
          <a:r>
            <a:rPr lang="he-IL" sz="1200" b="0">
              <a:latin typeface="David" panose="020E0502060401010101" pitchFamily="34" charset="-79"/>
              <a:cs typeface="David" panose="020E0502060401010101" pitchFamily="34" charset="-79"/>
            </a:rPr>
            <a:t>לקבוע את רמת הסיכון של הנוסע לפני הגעתו לישראל ולמנוע ממנו לעלות על הטיסה במידת הצורך</a:t>
          </a:r>
        </a:p>
      </dgm:t>
    </dgm:pt>
    <dgm:pt modelId="{AF56A7F6-AB01-41CE-AA5D-4059B8A8A846}" type="parTrans" cxnId="{AEBD228B-A77F-43E0-BE5C-999A1661E87D}">
      <dgm:prSet/>
      <dgm:spPr/>
      <dgm:t>
        <a:bodyPr/>
        <a:lstStyle/>
        <a:p>
          <a:pPr rtl="1"/>
          <a:endParaRPr lang="he-IL">
            <a:latin typeface="David" panose="020E0502060401010101" pitchFamily="34" charset="-79"/>
            <a:cs typeface="David" panose="020E0502060401010101" pitchFamily="34" charset="-79"/>
          </a:endParaRPr>
        </a:p>
      </dgm:t>
    </dgm:pt>
    <dgm:pt modelId="{80D48CC5-D2AC-4EB6-9316-866A877B8C17}" type="sibTrans" cxnId="{AEBD228B-A77F-43E0-BE5C-999A1661E87D}">
      <dgm:prSet/>
      <dgm:spPr/>
      <dgm:t>
        <a:bodyPr/>
        <a:lstStyle/>
        <a:p>
          <a:pPr rtl="1"/>
          <a:endParaRPr lang="he-IL">
            <a:latin typeface="David" panose="020E0502060401010101" pitchFamily="34" charset="-79"/>
            <a:cs typeface="David" panose="020E0502060401010101" pitchFamily="34" charset="-79"/>
          </a:endParaRPr>
        </a:p>
      </dgm:t>
    </dgm:pt>
    <dgm:pt modelId="{24233B90-87C8-4E29-B0C3-980784F26D80}">
      <dgm:prSet phldrT="[טקסט]" custT="1"/>
      <dgm:spPr/>
      <dgm:t>
        <a:bodyPr/>
        <a:lstStyle/>
        <a:p>
          <a:pPr rtl="1"/>
          <a:r>
            <a:rPr lang="he-IL" sz="1300" b="0">
              <a:latin typeface="David" panose="020E0502060401010101" pitchFamily="34" charset="-79"/>
              <a:cs typeface="David" panose="020E0502060401010101" pitchFamily="34" charset="-79"/>
            </a:rPr>
            <a:t>לצמצם את מספר הנוסעים שנדחתה בקשתם להיכנס לישראל</a:t>
          </a:r>
        </a:p>
      </dgm:t>
    </dgm:pt>
    <dgm:pt modelId="{D942A8A8-8408-4386-B7D9-4B7EC7268957}" type="parTrans" cxnId="{F62FE927-D0DE-4427-8B6C-C1A4CA6B7FA1}">
      <dgm:prSet/>
      <dgm:spPr/>
      <dgm:t>
        <a:bodyPr/>
        <a:lstStyle/>
        <a:p>
          <a:pPr rtl="1"/>
          <a:endParaRPr lang="he-IL">
            <a:latin typeface="David" panose="020E0502060401010101" pitchFamily="34" charset="-79"/>
            <a:cs typeface="David" panose="020E0502060401010101" pitchFamily="34" charset="-79"/>
          </a:endParaRPr>
        </a:p>
      </dgm:t>
    </dgm:pt>
    <dgm:pt modelId="{13306296-3E19-42EF-A224-1945D651634F}" type="sibTrans" cxnId="{F62FE927-D0DE-4427-8B6C-C1A4CA6B7FA1}">
      <dgm:prSet/>
      <dgm:spPr/>
      <dgm:t>
        <a:bodyPr/>
        <a:lstStyle/>
        <a:p>
          <a:pPr rtl="1"/>
          <a:endParaRPr lang="he-IL">
            <a:latin typeface="David" panose="020E0502060401010101" pitchFamily="34" charset="-79"/>
            <a:cs typeface="David" panose="020E0502060401010101" pitchFamily="34" charset="-79"/>
          </a:endParaRPr>
        </a:p>
      </dgm:t>
    </dgm:pt>
    <dgm:pt modelId="{1F3775C7-7A6A-449B-8C2C-A491E22EBF7D}">
      <dgm:prSet phldrT="[טקסט]" custT="1"/>
      <dgm:spPr/>
      <dgm:t>
        <a:bodyPr/>
        <a:lstStyle/>
        <a:p>
          <a:pPr rtl="1"/>
          <a:r>
            <a:rPr lang="he-IL" sz="1300" b="0">
              <a:latin typeface="David" panose="020E0502060401010101" pitchFamily="34" charset="-79"/>
              <a:cs typeface="David" panose="020E0502060401010101" pitchFamily="34" charset="-79"/>
            </a:rPr>
            <a:t>לצמצם את שלבי הבידוק של נוסעים שאינם מסוכנים</a:t>
          </a:r>
        </a:p>
      </dgm:t>
    </dgm:pt>
    <dgm:pt modelId="{FB16EBCF-82EC-41BD-B7E4-4B4E720B3BA6}" type="parTrans" cxnId="{1039E185-203A-46F9-A44A-E49E33C33D5C}">
      <dgm:prSet/>
      <dgm:spPr/>
      <dgm:t>
        <a:bodyPr/>
        <a:lstStyle/>
        <a:p>
          <a:pPr rtl="1"/>
          <a:endParaRPr lang="he-IL">
            <a:latin typeface="David" panose="020E0502060401010101" pitchFamily="34" charset="-79"/>
            <a:cs typeface="David" panose="020E0502060401010101" pitchFamily="34" charset="-79"/>
          </a:endParaRPr>
        </a:p>
      </dgm:t>
    </dgm:pt>
    <dgm:pt modelId="{E743E7A6-C4CD-4B86-8E84-6B16F689F44C}" type="sibTrans" cxnId="{1039E185-203A-46F9-A44A-E49E33C33D5C}">
      <dgm:prSet/>
      <dgm:spPr/>
      <dgm:t>
        <a:bodyPr/>
        <a:lstStyle/>
        <a:p>
          <a:pPr rtl="1"/>
          <a:endParaRPr lang="he-IL">
            <a:latin typeface="David" panose="020E0502060401010101" pitchFamily="34" charset="-79"/>
            <a:cs typeface="David" panose="020E0502060401010101" pitchFamily="34" charset="-79"/>
          </a:endParaRPr>
        </a:p>
      </dgm:t>
    </dgm:pt>
    <dgm:pt modelId="{17C67F3A-DD99-48C2-9715-1B64A8387999}">
      <dgm:prSet phldrT="[טקסט]" custT="1"/>
      <dgm:spPr/>
      <dgm:t>
        <a:bodyPr/>
        <a:lstStyle/>
        <a:p>
          <a:pPr rtl="1"/>
          <a:r>
            <a:rPr lang="he-IL" sz="1300" b="0">
              <a:latin typeface="David" panose="020E0502060401010101" pitchFamily="34" charset="-79"/>
              <a:cs typeface="David" panose="020E0502060401010101" pitchFamily="34" charset="-79"/>
            </a:rPr>
            <a:t>להפנות כוח אדם העוסק בבקרה למשימות אחרות</a:t>
          </a:r>
        </a:p>
      </dgm:t>
    </dgm:pt>
    <dgm:pt modelId="{6DE7025A-59E6-44ED-803A-64C83E5CF09D}" type="parTrans" cxnId="{FB907638-1E75-4D4A-BBC0-4A4C56128292}">
      <dgm:prSet/>
      <dgm:spPr/>
      <dgm:t>
        <a:bodyPr/>
        <a:lstStyle/>
        <a:p>
          <a:pPr rtl="1"/>
          <a:endParaRPr lang="he-IL">
            <a:latin typeface="David" panose="020E0502060401010101" pitchFamily="34" charset="-79"/>
            <a:cs typeface="David" panose="020E0502060401010101" pitchFamily="34" charset="-79"/>
          </a:endParaRPr>
        </a:p>
      </dgm:t>
    </dgm:pt>
    <dgm:pt modelId="{B5F90847-E42B-45CB-97E8-265B355E8FEB}" type="sibTrans" cxnId="{FB907638-1E75-4D4A-BBC0-4A4C56128292}">
      <dgm:prSet/>
      <dgm:spPr/>
      <dgm:t>
        <a:bodyPr/>
        <a:lstStyle/>
        <a:p>
          <a:pPr rtl="1"/>
          <a:endParaRPr lang="he-IL">
            <a:latin typeface="David" panose="020E0502060401010101" pitchFamily="34" charset="-79"/>
            <a:cs typeface="David" panose="020E0502060401010101" pitchFamily="34" charset="-79"/>
          </a:endParaRPr>
        </a:p>
      </dgm:t>
    </dgm:pt>
    <dgm:pt modelId="{4F94F3DE-30CA-4091-A574-4985C3E71FA3}">
      <dgm:prSet phldrT="[טקסט]" custT="1"/>
      <dgm:spPr>
        <a:solidFill>
          <a:srgbClr val="99CC00"/>
        </a:solidFill>
      </dgm:spPr>
      <dgm:t>
        <a:bodyPr/>
        <a:lstStyle/>
        <a:p>
          <a:pPr rtl="1"/>
          <a:r>
            <a:rPr lang="he-IL" sz="1300" b="0">
              <a:latin typeface="David" panose="020E0502060401010101" pitchFamily="34" charset="-79"/>
              <a:cs typeface="David" panose="020E0502060401010101" pitchFamily="34" charset="-79"/>
            </a:rPr>
            <a:t>לשפר את השירות לציבור</a:t>
          </a:r>
        </a:p>
      </dgm:t>
    </dgm:pt>
    <dgm:pt modelId="{1A60D9BB-7569-420D-91CA-798DABB8E56B}" type="parTrans" cxnId="{DD7410D3-4845-4C84-ACFE-16D8472D5EBE}">
      <dgm:prSet/>
      <dgm:spPr/>
      <dgm:t>
        <a:bodyPr/>
        <a:lstStyle/>
        <a:p>
          <a:pPr rtl="1"/>
          <a:endParaRPr lang="he-IL">
            <a:latin typeface="David" panose="020E0502060401010101" pitchFamily="34" charset="-79"/>
            <a:cs typeface="David" panose="020E0502060401010101" pitchFamily="34" charset="-79"/>
          </a:endParaRPr>
        </a:p>
      </dgm:t>
    </dgm:pt>
    <dgm:pt modelId="{7B5B5498-E922-4324-882F-FC56850AB751}" type="sibTrans" cxnId="{DD7410D3-4845-4C84-ACFE-16D8472D5EBE}">
      <dgm:prSet/>
      <dgm:spPr/>
      <dgm:t>
        <a:bodyPr/>
        <a:lstStyle/>
        <a:p>
          <a:pPr rtl="1"/>
          <a:endParaRPr lang="he-IL">
            <a:latin typeface="David" panose="020E0502060401010101" pitchFamily="34" charset="-79"/>
            <a:cs typeface="David" panose="020E0502060401010101" pitchFamily="34" charset="-79"/>
          </a:endParaRPr>
        </a:p>
      </dgm:t>
    </dgm:pt>
    <dgm:pt modelId="{25E5A922-67BC-4576-9A07-02C8C823F5B8}">
      <dgm:prSet phldrT="[טקסט]" custT="1"/>
      <dgm:spPr>
        <a:solidFill>
          <a:srgbClr val="FF9900"/>
        </a:solidFill>
      </dgm:spPr>
      <dgm:t>
        <a:bodyPr/>
        <a:lstStyle/>
        <a:p>
          <a:pPr rtl="1"/>
          <a:r>
            <a:rPr lang="he-IL" sz="1300" b="0">
              <a:latin typeface="David" panose="020E0502060401010101" pitchFamily="34" charset="-79"/>
              <a:cs typeface="David" panose="020E0502060401010101" pitchFamily="34" charset="-79"/>
            </a:rPr>
            <a:t> לצמצם את מספר הזרים השוהים בישראל שלא כחוק</a:t>
          </a:r>
        </a:p>
      </dgm:t>
    </dgm:pt>
    <dgm:pt modelId="{9151F35F-7CA9-45E7-9B61-56277EA61FF6}" type="parTrans" cxnId="{85380227-A39D-4152-8B37-4E527F59228A}">
      <dgm:prSet/>
      <dgm:spPr/>
      <dgm:t>
        <a:bodyPr/>
        <a:lstStyle/>
        <a:p>
          <a:pPr rtl="1"/>
          <a:endParaRPr lang="he-IL"/>
        </a:p>
      </dgm:t>
    </dgm:pt>
    <dgm:pt modelId="{AA326428-350C-4470-A85A-1B159B294E7C}" type="sibTrans" cxnId="{85380227-A39D-4152-8B37-4E527F59228A}">
      <dgm:prSet/>
      <dgm:spPr/>
      <dgm:t>
        <a:bodyPr/>
        <a:lstStyle/>
        <a:p>
          <a:pPr rtl="1"/>
          <a:endParaRPr lang="he-IL"/>
        </a:p>
      </dgm:t>
    </dgm:pt>
    <dgm:pt modelId="{6B17F628-F3CB-4740-AC02-88D2C4BEA008}">
      <dgm:prSet phldrT="[טקסט]"/>
      <dgm:spPr/>
      <dgm:t>
        <a:bodyPr/>
        <a:lstStyle/>
        <a:p>
          <a:pPr rtl="1"/>
          <a:r>
            <a:rPr lang="he-IL" b="1">
              <a:latin typeface="David" panose="020E0502060401010101" pitchFamily="34" charset="-79"/>
              <a:cs typeface="David" panose="020E0502060401010101" pitchFamily="34" charset="-79"/>
            </a:rPr>
            <a:t>תכליות קבלת מידע מקדים על נוסע</a:t>
          </a:r>
        </a:p>
      </dgm:t>
    </dgm:pt>
    <dgm:pt modelId="{029E180E-7047-442F-8316-A088E941D78C}" type="sibTrans" cxnId="{7AC2CF83-7E5D-44BD-B931-FF0A73D691E5}">
      <dgm:prSet/>
      <dgm:spPr/>
      <dgm:t>
        <a:bodyPr/>
        <a:lstStyle/>
        <a:p>
          <a:pPr rtl="1"/>
          <a:endParaRPr lang="he-IL">
            <a:latin typeface="David" panose="020E0502060401010101" pitchFamily="34" charset="-79"/>
            <a:cs typeface="David" panose="020E0502060401010101" pitchFamily="34" charset="-79"/>
          </a:endParaRPr>
        </a:p>
      </dgm:t>
    </dgm:pt>
    <dgm:pt modelId="{1ADF104C-7782-4887-AE3F-ADE8DFF10B9E}" type="parTrans" cxnId="{7AC2CF83-7E5D-44BD-B931-FF0A73D691E5}">
      <dgm:prSet/>
      <dgm:spPr/>
      <dgm:t>
        <a:bodyPr/>
        <a:lstStyle/>
        <a:p>
          <a:pPr rtl="1"/>
          <a:endParaRPr lang="he-IL">
            <a:latin typeface="David" panose="020E0502060401010101" pitchFamily="34" charset="-79"/>
            <a:cs typeface="David" panose="020E0502060401010101" pitchFamily="34" charset="-79"/>
          </a:endParaRPr>
        </a:p>
      </dgm:t>
    </dgm:pt>
    <dgm:pt modelId="{267EC6CA-BF92-4500-B3F1-D1D5AB1C8914}" type="pres">
      <dgm:prSet presAssocID="{FB35FDF2-40F5-4308-A908-87D7D0103994}" presName="layout" presStyleCnt="0">
        <dgm:presLayoutVars>
          <dgm:chMax val="-1"/>
          <dgm:chPref val="-1"/>
          <dgm:dir val="norm"/>
          <dgm:animOne val="branch"/>
          <dgm:animLvl val="lvl"/>
          <dgm:resizeHandles val="rel"/>
        </dgm:presLayoutVars>
      </dgm:prSet>
      <dgm:spPr/>
      <dgm:t>
        <a:bodyPr/>
        <a:lstStyle/>
        <a:p>
          <a:pPr rtl="1"/>
          <a:endParaRPr lang="he-IL"/>
        </a:p>
      </dgm:t>
    </dgm:pt>
    <dgm:pt modelId="{C53C4A75-B16C-49E9-8A54-886DB3174015}" type="pres">
      <dgm:prSet presAssocID="{6B17F628-F3CB-4740-AC02-88D2C4BEA008}" presName="root" presStyleCnt="0">
        <dgm:presLayoutVars>
          <dgm:chMax val="-1"/>
          <dgm:chPref val="4"/>
        </dgm:presLayoutVars>
      </dgm:prSet>
      <dgm:spPr/>
      <dgm:t>
        <a:bodyPr/>
        <a:lstStyle/>
        <a:p>
          <a:pPr rtl="1"/>
          <a:endParaRPr lang="he-IL"/>
        </a:p>
      </dgm:t>
    </dgm:pt>
    <dgm:pt modelId="{4ED7E35E-387B-41B0-979A-57172585752A}" type="pres">
      <dgm:prSet presAssocID="{6B17F628-F3CB-4740-AC02-88D2C4BEA008}" presName="rootComposite" presStyleCnt="0">
        <dgm:presLayoutVars/>
      </dgm:prSet>
      <dgm:spPr/>
      <dgm:t>
        <a:bodyPr/>
        <a:lstStyle/>
        <a:p>
          <a:pPr rtl="1"/>
          <a:endParaRPr lang="he-IL"/>
        </a:p>
      </dgm:t>
    </dgm:pt>
    <dgm:pt modelId="{76C1D3F8-2A36-4A46-BFE0-D80B99A10930}" type="pres">
      <dgm:prSet presAssocID="{6B17F628-F3CB-4740-AC02-88D2C4BEA008}" presName="rootText" presStyleLbl="node0" presStyleIdx="0" presStyleCnt="1" custLinFactNeighborX="9925" custLinFactNeighborY="7654">
        <dgm:presLayoutVars>
          <dgm:chMax val="-1"/>
          <dgm:chPref val="4"/>
        </dgm:presLayoutVars>
      </dgm:prSet>
      <dgm:spPr/>
      <dgm:t>
        <a:bodyPr/>
        <a:lstStyle/>
        <a:p>
          <a:pPr rtl="1"/>
          <a:endParaRPr lang="he-IL"/>
        </a:p>
      </dgm:t>
    </dgm:pt>
    <dgm:pt modelId="{B8678A28-23E3-494C-8375-A31947D064AD}" type="pres">
      <dgm:prSet presAssocID="{6B17F628-F3CB-4740-AC02-88D2C4BEA008}" presName="childShape" presStyleCnt="0">
        <dgm:presLayoutVars>
          <dgm:chMax val="0"/>
          <dgm:chPref val="0"/>
        </dgm:presLayoutVars>
      </dgm:prSet>
      <dgm:spPr/>
      <dgm:t>
        <a:bodyPr/>
        <a:lstStyle/>
        <a:p>
          <a:pPr rtl="1"/>
          <a:endParaRPr lang="he-IL"/>
        </a:p>
      </dgm:t>
    </dgm:pt>
    <dgm:pt modelId="{A3A31292-22D0-45D5-BF9D-356F63635D06}" type="pres">
      <dgm:prSet presAssocID="{55BEC84E-BFCB-4D1B-AD70-70D21E4DA987}" presName="childComposite" presStyleCnt="0">
        <dgm:presLayoutVars>
          <dgm:chMax val="0"/>
          <dgm:chPref val="0"/>
        </dgm:presLayoutVars>
      </dgm:prSet>
      <dgm:spPr/>
      <dgm:t>
        <a:bodyPr/>
        <a:lstStyle/>
        <a:p>
          <a:pPr rtl="1"/>
          <a:endParaRPr lang="he-IL"/>
        </a:p>
      </dgm:t>
    </dgm:pt>
    <dgm:pt modelId="{BF8C9E72-910F-4EC5-8044-3EEC297B3EA9}" type="pres">
      <dgm:prSet presAssocID="{55BEC84E-BFCB-4D1B-AD70-70D21E4DA987}" presName="Image" presStyleLbl="node1" presStyleIdx="0" presStyleCnt="6"/>
      <dgm:spPr>
        <a: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 xmlns:asvg="http://schemas.microsoft.com/office/drawing/2016/SVG/main" xmlns:r="http://schemas.openxmlformats.org/officeDocument/2006/relationships" r:embed="rId2"/>
              </a:ext>
            </a:extLst>
          </a:blip>
          <a:stretch>
            <a:fillRect/>
          </a:stretch>
        </a:blipFill>
      </dgm:spPr>
      <dgm:t>
        <a:bodyPr/>
        <a:lstStyle/>
        <a:p>
          <a:pPr rtl="1"/>
          <a:endParaRPr lang="he-IL"/>
        </a:p>
      </dgm:t>
    </dgm:pt>
    <dgm:pt modelId="{14D18BE7-8F9E-45EB-A73D-090EBF544B2C}" type="pres">
      <dgm:prSet presAssocID="{55BEC84E-BFCB-4D1B-AD70-70D21E4DA987}" presName="childText" presStyleLbl="lnNode1" presStyleIdx="0" presStyleCnt="6">
        <dgm:presLayoutVars>
          <dgm:chMax val="0"/>
          <dgm:chPref val="0"/>
          <dgm:bulletEnabled val="1"/>
        </dgm:presLayoutVars>
      </dgm:prSet>
      <dgm:spPr/>
      <dgm:t>
        <a:bodyPr/>
        <a:lstStyle/>
        <a:p>
          <a:pPr rtl="1"/>
          <a:endParaRPr lang="he-IL"/>
        </a:p>
      </dgm:t>
    </dgm:pt>
    <dgm:pt modelId="{44D787E5-A2B8-4203-B449-2299440D3EE4}" type="pres">
      <dgm:prSet presAssocID="{24233B90-87C8-4E29-B0C3-980784F26D80}" presName="childComposite" presStyleCnt="0">
        <dgm:presLayoutVars>
          <dgm:chMax val="0"/>
          <dgm:chPref val="0"/>
        </dgm:presLayoutVars>
      </dgm:prSet>
      <dgm:spPr/>
      <dgm:t>
        <a:bodyPr/>
        <a:lstStyle/>
        <a:p>
          <a:pPr rtl="1"/>
          <a:endParaRPr lang="he-IL"/>
        </a:p>
      </dgm:t>
    </dgm:pt>
    <dgm:pt modelId="{741504A5-D996-4E2E-801E-D253222CB4E2}" type="pres">
      <dgm:prSet presAssocID="{24233B90-87C8-4E29-B0C3-980784F26D80}" presName="Image" presStyleLbl="node1" presStyleIdx="1" presStyleCnt="6"/>
      <dgm:spPr>
        <a: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 xmlns:asvg="http://schemas.microsoft.com/office/drawing/2016/SVG/main" xmlns:r="http://schemas.openxmlformats.org/officeDocument/2006/relationships" r:embed="rId4"/>
              </a:ext>
            </a:extLst>
          </a:blip>
          <a:stretch>
            <a:fillRect/>
          </a:stretch>
        </a:blipFill>
      </dgm:spPr>
      <dgm:t>
        <a:bodyPr/>
        <a:lstStyle/>
        <a:p>
          <a:pPr rtl="1"/>
          <a:endParaRPr lang="he-IL"/>
        </a:p>
      </dgm:t>
    </dgm:pt>
    <dgm:pt modelId="{FE462258-F512-4F62-AF15-E48BADB3FB43}" type="pres">
      <dgm:prSet presAssocID="{24233B90-87C8-4E29-B0C3-980784F26D80}" presName="childText" presStyleLbl="lnNode1" presStyleIdx="1" presStyleCnt="6">
        <dgm:presLayoutVars>
          <dgm:chMax val="0"/>
          <dgm:chPref val="0"/>
          <dgm:bulletEnabled val="1"/>
        </dgm:presLayoutVars>
      </dgm:prSet>
      <dgm:spPr/>
      <dgm:t>
        <a:bodyPr/>
        <a:lstStyle/>
        <a:p>
          <a:pPr rtl="1"/>
          <a:endParaRPr lang="he-IL"/>
        </a:p>
      </dgm:t>
    </dgm:pt>
    <dgm:pt modelId="{BF16E7E7-176A-497E-B9E8-AF247779A4A6}" type="pres">
      <dgm:prSet presAssocID="{1F3775C7-7A6A-449B-8C2C-A491E22EBF7D}" presName="childComposite" presStyleCnt="0">
        <dgm:presLayoutVars>
          <dgm:chMax val="0"/>
          <dgm:chPref val="0"/>
        </dgm:presLayoutVars>
      </dgm:prSet>
      <dgm:spPr/>
      <dgm:t>
        <a:bodyPr/>
        <a:lstStyle/>
        <a:p>
          <a:pPr rtl="1"/>
          <a:endParaRPr lang="he-IL"/>
        </a:p>
      </dgm:t>
    </dgm:pt>
    <dgm:pt modelId="{F9E23BE1-A855-43A7-8816-DF17B9A1039E}" type="pres">
      <dgm:prSet presAssocID="{1F3775C7-7A6A-449B-8C2C-A491E22EBF7D}" presName="Image" presStyleLbl="node1" presStyleIdx="2" presStyleCnt="6"/>
      <dgm:spPr>
        <a:blipFill>
          <a:blip xmlns:r="http://schemas.openxmlformats.org/officeDocument/2006/relationships" r:embed="rId3"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 xmlns:asvg="http://schemas.microsoft.com/office/drawing/2016/SVG/main" xmlns:r="http://schemas.openxmlformats.org/officeDocument/2006/relationships" r:embed="rId6"/>
              </a:ext>
            </a:extLst>
          </a:blip>
          <a:stretch>
            <a:fillRect/>
          </a:stretch>
        </a:blipFill>
      </dgm:spPr>
      <dgm:t>
        <a:bodyPr/>
        <a:lstStyle/>
        <a:p>
          <a:pPr rtl="1"/>
          <a:endParaRPr lang="he-IL"/>
        </a:p>
      </dgm:t>
    </dgm:pt>
    <dgm:pt modelId="{9B851A7C-BFB7-41A5-9D1B-7C9DAABD46C8}" type="pres">
      <dgm:prSet presAssocID="{1F3775C7-7A6A-449B-8C2C-A491E22EBF7D}" presName="childText" presStyleLbl="lnNode1" presStyleIdx="2" presStyleCnt="6">
        <dgm:presLayoutVars>
          <dgm:chMax val="0"/>
          <dgm:chPref val="0"/>
          <dgm:bulletEnabled val="1"/>
        </dgm:presLayoutVars>
      </dgm:prSet>
      <dgm:spPr/>
      <dgm:t>
        <a:bodyPr/>
        <a:lstStyle/>
        <a:p>
          <a:pPr rtl="1"/>
          <a:endParaRPr lang="he-IL"/>
        </a:p>
      </dgm:t>
    </dgm:pt>
    <dgm:pt modelId="{5A288F49-EDE2-4B22-B197-6BA5590FDC43}" type="pres">
      <dgm:prSet presAssocID="{17C67F3A-DD99-48C2-9715-1B64A8387999}" presName="childComposite" presStyleCnt="0">
        <dgm:presLayoutVars>
          <dgm:chMax val="0"/>
          <dgm:chPref val="0"/>
        </dgm:presLayoutVars>
      </dgm:prSet>
      <dgm:spPr/>
      <dgm:t>
        <a:bodyPr/>
        <a:lstStyle/>
        <a:p>
          <a:pPr rtl="1"/>
          <a:endParaRPr lang="he-IL"/>
        </a:p>
      </dgm:t>
    </dgm:pt>
    <dgm:pt modelId="{29407D55-3911-44A6-BC45-3CA691BA0CA7}" type="pres">
      <dgm:prSet presAssocID="{17C67F3A-DD99-48C2-9715-1B64A8387999}" presName="Image" presStyleLbl="node1" presStyleIdx="3" presStyleCnt="6"/>
      <dgm:spPr>
        <a: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 xmlns:asvg="http://schemas.microsoft.com/office/drawing/2016/SVG/main" xmlns:r="http://schemas.openxmlformats.org/officeDocument/2006/relationships" r:embed=""/>
              </a:ext>
            </a:extLst>
          </a:blip>
          <a:stretch>
            <a:fillRect/>
          </a:stretch>
        </a:blipFill>
      </dgm:spPr>
      <dgm:t>
        <a:bodyPr/>
        <a:lstStyle/>
        <a:p>
          <a:pPr rtl="1"/>
          <a:endParaRPr lang="he-IL"/>
        </a:p>
      </dgm:t>
    </dgm:pt>
    <dgm:pt modelId="{BC2423B2-BE36-4AB1-BB12-4D5FE27E3704}" type="pres">
      <dgm:prSet presAssocID="{17C67F3A-DD99-48C2-9715-1B64A8387999}" presName="childText" presStyleLbl="lnNode1" presStyleIdx="3" presStyleCnt="6">
        <dgm:presLayoutVars>
          <dgm:chMax val="0"/>
          <dgm:chPref val="0"/>
          <dgm:bulletEnabled val="1"/>
        </dgm:presLayoutVars>
      </dgm:prSet>
      <dgm:spPr/>
      <dgm:t>
        <a:bodyPr/>
        <a:lstStyle/>
        <a:p>
          <a:pPr rtl="1"/>
          <a:endParaRPr lang="he-IL"/>
        </a:p>
      </dgm:t>
    </dgm:pt>
    <dgm:pt modelId="{92904ADD-BC9C-42E9-A27A-58D226906152}" type="pres">
      <dgm:prSet presAssocID="{4F94F3DE-30CA-4091-A574-4985C3E71FA3}" presName="childComposite" presStyleCnt="0">
        <dgm:presLayoutVars>
          <dgm:chMax val="0"/>
          <dgm:chPref val="0"/>
        </dgm:presLayoutVars>
      </dgm:prSet>
      <dgm:spPr/>
      <dgm:t>
        <a:bodyPr/>
        <a:lstStyle/>
        <a:p>
          <a:pPr rtl="1"/>
          <a:endParaRPr lang="he-IL"/>
        </a:p>
      </dgm:t>
    </dgm:pt>
    <dgm:pt modelId="{31804024-47F3-4765-9ADB-7E4047D68FB6}" type="pres">
      <dgm:prSet presAssocID="{4F94F3DE-30CA-4091-A574-4985C3E71FA3}" presName="Image" presStyleLbl="node1" presStyleIdx="4" presStyleCnt="6"/>
      <dgm:spPr>
        <a: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 xmlns:asvg="http://schemas.microsoft.com/office/drawing/2016/SVG/main" xmlns:r="http://schemas.openxmlformats.org/officeDocument/2006/relationships" r:embed=""/>
              </a:ext>
            </a:extLst>
          </a:blip>
          <a:stretch>
            <a:fillRect/>
          </a:stretch>
        </a:blipFill>
      </dgm:spPr>
      <dgm:t>
        <a:bodyPr/>
        <a:lstStyle/>
        <a:p>
          <a:pPr rtl="1"/>
          <a:endParaRPr lang="he-IL"/>
        </a:p>
      </dgm:t>
    </dgm:pt>
    <dgm:pt modelId="{5010A5B9-68DF-4B3F-AC71-B1893423050A}" type="pres">
      <dgm:prSet presAssocID="{4F94F3DE-30CA-4091-A574-4985C3E71FA3}" presName="childText" presStyleLbl="lnNode1" presStyleIdx="4" presStyleCnt="6">
        <dgm:presLayoutVars>
          <dgm:chMax val="0"/>
          <dgm:chPref val="0"/>
          <dgm:bulletEnabled val="1"/>
        </dgm:presLayoutVars>
      </dgm:prSet>
      <dgm:spPr/>
      <dgm:t>
        <a:bodyPr/>
        <a:lstStyle/>
        <a:p>
          <a:pPr rtl="1"/>
          <a:endParaRPr lang="he-IL"/>
        </a:p>
      </dgm:t>
    </dgm:pt>
    <dgm:pt modelId="{0B4A6ADB-657C-4599-881C-03D84555F432}" type="pres">
      <dgm:prSet presAssocID="{25E5A922-67BC-4576-9A07-02C8C823F5B8}" presName="childComposite" presStyleCnt="0">
        <dgm:presLayoutVars>
          <dgm:chMax val="0"/>
          <dgm:chPref val="0"/>
        </dgm:presLayoutVars>
      </dgm:prSet>
      <dgm:spPr/>
      <dgm:t>
        <a:bodyPr/>
        <a:lstStyle/>
        <a:p>
          <a:pPr rtl="1"/>
          <a:endParaRPr lang="he-IL"/>
        </a:p>
      </dgm:t>
    </dgm:pt>
    <dgm:pt modelId="{3FCBE01D-19CC-453A-92C3-81AFAE9E978B}" type="pres">
      <dgm:prSet presAssocID="{25E5A922-67BC-4576-9A07-02C8C823F5B8}" presName="Image" presStyleLbl="node1" presStyleIdx="5" presStyleCnt="6"/>
      <dgm:spPr>
        <a: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 xmlns:asvg="http://schemas.microsoft.com/office/drawing/2016/SVG/main" xmlns:r="http://schemas.openxmlformats.org/officeDocument/2006/relationships" r:embed=""/>
              </a:ext>
            </a:extLst>
          </a:blip>
          <a:stretch>
            <a:fillRect/>
          </a:stretch>
        </a:blipFill>
      </dgm:spPr>
      <dgm:t>
        <a:bodyPr/>
        <a:lstStyle/>
        <a:p>
          <a:pPr rtl="1"/>
          <a:endParaRPr lang="he-IL"/>
        </a:p>
      </dgm:t>
    </dgm:pt>
    <dgm:pt modelId="{A053C738-506A-4919-8D26-7B499DE558F9}" type="pres">
      <dgm:prSet presAssocID="{25E5A922-67BC-4576-9A07-02C8C823F5B8}" presName="childText" presStyleLbl="lnNode1" presStyleIdx="5" presStyleCnt="6">
        <dgm:presLayoutVars>
          <dgm:chMax val="0"/>
          <dgm:chPref val="0"/>
          <dgm:bulletEnabled val="1"/>
        </dgm:presLayoutVars>
      </dgm:prSet>
      <dgm:spPr/>
      <dgm:t>
        <a:bodyPr/>
        <a:lstStyle/>
        <a:p>
          <a:pPr rtl="1"/>
          <a:endParaRPr lang="he-IL"/>
        </a:p>
      </dgm:t>
    </dgm:pt>
  </dgm:ptLst>
  <dgm:cxnLst>
    <dgm:cxn modelId="{3AC4B98A-D4A0-4EE0-8B10-0D683424FF70}" type="presOf" srcId="{1F3775C7-7A6A-449B-8C2C-A491E22EBF7D}" destId="{9B851A7C-BFB7-41A5-9D1B-7C9DAABD46C8}" srcOrd="0" destOrd="0" presId="urn:microsoft.com/office/officeart/2008/layout/PictureAccentList#1"/>
    <dgm:cxn modelId="{E55F04DB-C80A-462D-9A86-E59E180A95F9}" type="presOf" srcId="{25E5A922-67BC-4576-9A07-02C8C823F5B8}" destId="{A053C738-506A-4919-8D26-7B499DE558F9}" srcOrd="0" destOrd="0" presId="urn:microsoft.com/office/officeart/2008/layout/PictureAccentList#1"/>
    <dgm:cxn modelId="{FBDEDA66-8D44-41D6-9DE0-06256325BF1F}" type="presOf" srcId="{24233B90-87C8-4E29-B0C3-980784F26D80}" destId="{FE462258-F512-4F62-AF15-E48BADB3FB43}" srcOrd="0" destOrd="0" presId="urn:microsoft.com/office/officeart/2008/layout/PictureAccentList#1"/>
    <dgm:cxn modelId="{B5F3E5AA-F412-49A9-8230-A0537D871F2A}" type="presOf" srcId="{4F94F3DE-30CA-4091-A574-4985C3E71FA3}" destId="{5010A5B9-68DF-4B3F-AC71-B1893423050A}" srcOrd="0" destOrd="0" presId="urn:microsoft.com/office/officeart/2008/layout/PictureAccentList#1"/>
    <dgm:cxn modelId="{85380227-A39D-4152-8B37-4E527F59228A}" srcId="{6B17F628-F3CB-4740-AC02-88D2C4BEA008}" destId="{25E5A922-67BC-4576-9A07-02C8C823F5B8}" srcOrd="5" destOrd="0" parTransId="{9151F35F-7CA9-45E7-9B61-56277EA61FF6}" sibTransId="{AA326428-350C-4470-A85A-1B159B294E7C}"/>
    <dgm:cxn modelId="{7DD2E018-ACDA-466E-B7C5-5210A4672873}" type="presOf" srcId="{55BEC84E-BFCB-4D1B-AD70-70D21E4DA987}" destId="{14D18BE7-8F9E-45EB-A73D-090EBF544B2C}" srcOrd="0" destOrd="0" presId="urn:microsoft.com/office/officeart/2008/layout/PictureAccentList#1"/>
    <dgm:cxn modelId="{FB907638-1E75-4D4A-BBC0-4A4C56128292}" srcId="{6B17F628-F3CB-4740-AC02-88D2C4BEA008}" destId="{17C67F3A-DD99-48C2-9715-1B64A8387999}" srcOrd="3" destOrd="0" parTransId="{6DE7025A-59E6-44ED-803A-64C83E5CF09D}" sibTransId="{B5F90847-E42B-45CB-97E8-265B355E8FEB}"/>
    <dgm:cxn modelId="{E7B7DD78-AD52-46F3-A26B-7F9AB3D80D07}" type="presOf" srcId="{6B17F628-F3CB-4740-AC02-88D2C4BEA008}" destId="{76C1D3F8-2A36-4A46-BFE0-D80B99A10930}" srcOrd="0" destOrd="0" presId="urn:microsoft.com/office/officeart/2008/layout/PictureAccentList#1"/>
    <dgm:cxn modelId="{2592239A-C0FA-4598-AB08-E08E008AD659}" type="presOf" srcId="{FB35FDF2-40F5-4308-A908-87D7D0103994}" destId="{267EC6CA-BF92-4500-B3F1-D1D5AB1C8914}" srcOrd="0" destOrd="0" presId="urn:microsoft.com/office/officeart/2008/layout/PictureAccentList#1"/>
    <dgm:cxn modelId="{F62FE927-D0DE-4427-8B6C-C1A4CA6B7FA1}" srcId="{6B17F628-F3CB-4740-AC02-88D2C4BEA008}" destId="{24233B90-87C8-4E29-B0C3-980784F26D80}" srcOrd="1" destOrd="0" parTransId="{D942A8A8-8408-4386-B7D9-4B7EC7268957}" sibTransId="{13306296-3E19-42EF-A224-1945D651634F}"/>
    <dgm:cxn modelId="{878C09B4-0B6A-406F-AC82-12229DFDFC58}" type="presOf" srcId="{17C67F3A-DD99-48C2-9715-1B64A8387999}" destId="{BC2423B2-BE36-4AB1-BB12-4D5FE27E3704}" srcOrd="0" destOrd="0" presId="urn:microsoft.com/office/officeart/2008/layout/PictureAccentList#1"/>
    <dgm:cxn modelId="{7AC2CF83-7E5D-44BD-B931-FF0A73D691E5}" srcId="{FB35FDF2-40F5-4308-A908-87D7D0103994}" destId="{6B17F628-F3CB-4740-AC02-88D2C4BEA008}" srcOrd="0" destOrd="0" parTransId="{1ADF104C-7782-4887-AE3F-ADE8DFF10B9E}" sibTransId="{029E180E-7047-442F-8316-A088E941D78C}"/>
    <dgm:cxn modelId="{DD7410D3-4845-4C84-ACFE-16D8472D5EBE}" srcId="{6B17F628-F3CB-4740-AC02-88D2C4BEA008}" destId="{4F94F3DE-30CA-4091-A574-4985C3E71FA3}" srcOrd="4" destOrd="0" parTransId="{1A60D9BB-7569-420D-91CA-798DABB8E56B}" sibTransId="{7B5B5498-E922-4324-882F-FC56850AB751}"/>
    <dgm:cxn modelId="{AEBD228B-A77F-43E0-BE5C-999A1661E87D}" srcId="{6B17F628-F3CB-4740-AC02-88D2C4BEA008}" destId="{55BEC84E-BFCB-4D1B-AD70-70D21E4DA987}" srcOrd="0" destOrd="0" parTransId="{AF56A7F6-AB01-41CE-AA5D-4059B8A8A846}" sibTransId="{80D48CC5-D2AC-4EB6-9316-866A877B8C17}"/>
    <dgm:cxn modelId="{1039E185-203A-46F9-A44A-E49E33C33D5C}" srcId="{6B17F628-F3CB-4740-AC02-88D2C4BEA008}" destId="{1F3775C7-7A6A-449B-8C2C-A491E22EBF7D}" srcOrd="2" destOrd="0" parTransId="{FB16EBCF-82EC-41BD-B7E4-4B4E720B3BA6}" sibTransId="{E743E7A6-C4CD-4B86-8E84-6B16F689F44C}"/>
    <dgm:cxn modelId="{67DDDBF3-06CF-4EAB-8923-406AA7E4B3FE}" type="presParOf" srcId="{267EC6CA-BF92-4500-B3F1-D1D5AB1C8914}" destId="{C53C4A75-B16C-49E9-8A54-886DB3174015}" srcOrd="0" destOrd="0" presId="urn:microsoft.com/office/officeart/2008/layout/PictureAccentList#1"/>
    <dgm:cxn modelId="{1F89A7BA-4215-4A6B-B986-6AE874E0F8A6}" type="presParOf" srcId="{C53C4A75-B16C-49E9-8A54-886DB3174015}" destId="{4ED7E35E-387B-41B0-979A-57172585752A}" srcOrd="0" destOrd="0" presId="urn:microsoft.com/office/officeart/2008/layout/PictureAccentList#1"/>
    <dgm:cxn modelId="{EA1719EF-A8B2-4E3A-89A0-44332050FF7E}" type="presParOf" srcId="{4ED7E35E-387B-41B0-979A-57172585752A}" destId="{76C1D3F8-2A36-4A46-BFE0-D80B99A10930}" srcOrd="0" destOrd="0" presId="urn:microsoft.com/office/officeart/2008/layout/PictureAccentList#1"/>
    <dgm:cxn modelId="{45D03E7A-4C86-44D0-9CD8-51D42947AACE}" type="presParOf" srcId="{C53C4A75-B16C-49E9-8A54-886DB3174015}" destId="{B8678A28-23E3-494C-8375-A31947D064AD}" srcOrd="1" destOrd="0" presId="urn:microsoft.com/office/officeart/2008/layout/PictureAccentList#1"/>
    <dgm:cxn modelId="{F80F1856-49C0-4044-9744-6B3E3CA9310D}" type="presParOf" srcId="{B8678A28-23E3-494C-8375-A31947D064AD}" destId="{A3A31292-22D0-45D5-BF9D-356F63635D06}" srcOrd="0" destOrd="0" presId="urn:microsoft.com/office/officeart/2008/layout/PictureAccentList#1"/>
    <dgm:cxn modelId="{4700F4BB-121D-42D3-9CDA-89EECE883214}" type="presParOf" srcId="{A3A31292-22D0-45D5-BF9D-356F63635D06}" destId="{BF8C9E72-910F-4EC5-8044-3EEC297B3EA9}" srcOrd="0" destOrd="0" presId="urn:microsoft.com/office/officeart/2008/layout/PictureAccentList#1"/>
    <dgm:cxn modelId="{ACB6FA5E-5B80-439A-813B-81DFFCE6D349}" type="presParOf" srcId="{A3A31292-22D0-45D5-BF9D-356F63635D06}" destId="{14D18BE7-8F9E-45EB-A73D-090EBF544B2C}" srcOrd="1" destOrd="0" presId="urn:microsoft.com/office/officeart/2008/layout/PictureAccentList#1"/>
    <dgm:cxn modelId="{5D9904AA-1904-4140-B8B7-2E640963222D}" type="presParOf" srcId="{B8678A28-23E3-494C-8375-A31947D064AD}" destId="{44D787E5-A2B8-4203-B449-2299440D3EE4}" srcOrd="1" destOrd="0" presId="urn:microsoft.com/office/officeart/2008/layout/PictureAccentList#1"/>
    <dgm:cxn modelId="{16A53215-40D1-4AF9-9AC8-8BA88A23CBD0}" type="presParOf" srcId="{44D787E5-A2B8-4203-B449-2299440D3EE4}" destId="{741504A5-D996-4E2E-801E-D253222CB4E2}" srcOrd="0" destOrd="0" presId="urn:microsoft.com/office/officeart/2008/layout/PictureAccentList#1"/>
    <dgm:cxn modelId="{D6C62B56-18B3-4575-B7B2-3010255A2924}" type="presParOf" srcId="{44D787E5-A2B8-4203-B449-2299440D3EE4}" destId="{FE462258-F512-4F62-AF15-E48BADB3FB43}" srcOrd="1" destOrd="0" presId="urn:microsoft.com/office/officeart/2008/layout/PictureAccentList#1"/>
    <dgm:cxn modelId="{DCDD6262-6EEA-4899-B50D-D1245DC0F08A}" type="presParOf" srcId="{B8678A28-23E3-494C-8375-A31947D064AD}" destId="{BF16E7E7-176A-497E-B9E8-AF247779A4A6}" srcOrd="2" destOrd="0" presId="urn:microsoft.com/office/officeart/2008/layout/PictureAccentList#1"/>
    <dgm:cxn modelId="{D856043B-BD34-4CBF-AC9B-71F0B1D512F8}" type="presParOf" srcId="{BF16E7E7-176A-497E-B9E8-AF247779A4A6}" destId="{F9E23BE1-A855-43A7-8816-DF17B9A1039E}" srcOrd="0" destOrd="0" presId="urn:microsoft.com/office/officeart/2008/layout/PictureAccentList#1"/>
    <dgm:cxn modelId="{3384EE37-AC93-4196-99BF-34EB9ECE0F20}" type="presParOf" srcId="{BF16E7E7-176A-497E-B9E8-AF247779A4A6}" destId="{9B851A7C-BFB7-41A5-9D1B-7C9DAABD46C8}" srcOrd="1" destOrd="0" presId="urn:microsoft.com/office/officeart/2008/layout/PictureAccentList#1"/>
    <dgm:cxn modelId="{4B4856E3-9A8F-4E45-9EF7-90EDAEC50CAB}" type="presParOf" srcId="{B8678A28-23E3-494C-8375-A31947D064AD}" destId="{5A288F49-EDE2-4B22-B197-6BA5590FDC43}" srcOrd="3" destOrd="0" presId="urn:microsoft.com/office/officeart/2008/layout/PictureAccentList#1"/>
    <dgm:cxn modelId="{DD6A80C8-1935-4B84-BA57-2FAC758EFB61}" type="presParOf" srcId="{5A288F49-EDE2-4B22-B197-6BA5590FDC43}" destId="{29407D55-3911-44A6-BC45-3CA691BA0CA7}" srcOrd="0" destOrd="0" presId="urn:microsoft.com/office/officeart/2008/layout/PictureAccentList#1"/>
    <dgm:cxn modelId="{F6037AC9-B702-4FE0-BF28-29CE06289742}" type="presParOf" srcId="{5A288F49-EDE2-4B22-B197-6BA5590FDC43}" destId="{BC2423B2-BE36-4AB1-BB12-4D5FE27E3704}" srcOrd="1" destOrd="0" presId="urn:microsoft.com/office/officeart/2008/layout/PictureAccentList#1"/>
    <dgm:cxn modelId="{D7E9ABAB-F695-490C-8CB5-47773F5A3242}" type="presParOf" srcId="{B8678A28-23E3-494C-8375-A31947D064AD}" destId="{92904ADD-BC9C-42E9-A27A-58D226906152}" srcOrd="4" destOrd="0" presId="urn:microsoft.com/office/officeart/2008/layout/PictureAccentList#1"/>
    <dgm:cxn modelId="{DEC9F8CB-08D0-404F-B9D1-B853861903EB}" type="presParOf" srcId="{92904ADD-BC9C-42E9-A27A-58D226906152}" destId="{31804024-47F3-4765-9ADB-7E4047D68FB6}" srcOrd="0" destOrd="0" presId="urn:microsoft.com/office/officeart/2008/layout/PictureAccentList#1"/>
    <dgm:cxn modelId="{8F5E3AA2-9BBB-4CC3-A172-90A709A298F2}" type="presParOf" srcId="{92904ADD-BC9C-42E9-A27A-58D226906152}" destId="{5010A5B9-68DF-4B3F-AC71-B1893423050A}" srcOrd="1" destOrd="0" presId="urn:microsoft.com/office/officeart/2008/layout/PictureAccentList#1"/>
    <dgm:cxn modelId="{650B4DDD-682F-44EC-879D-D0F747A88C8A}" type="presParOf" srcId="{B8678A28-23E3-494C-8375-A31947D064AD}" destId="{0B4A6ADB-657C-4599-881C-03D84555F432}" srcOrd="5" destOrd="0" presId="urn:microsoft.com/office/officeart/2008/layout/PictureAccentList#1"/>
    <dgm:cxn modelId="{890829C1-5B59-40BD-A84F-C0C49D64FEBC}" type="presParOf" srcId="{0B4A6ADB-657C-4599-881C-03D84555F432}" destId="{3FCBE01D-19CC-453A-92C3-81AFAE9E978B}" srcOrd="0" destOrd="0" presId="urn:microsoft.com/office/officeart/2008/layout/PictureAccentList#1"/>
    <dgm:cxn modelId="{6120E3EC-CC55-4EF9-98C8-F18AEA7126FE}" type="presParOf" srcId="{0B4A6ADB-657C-4599-881C-03D84555F432}" destId="{A053C738-506A-4919-8D26-7B499DE558F9}" srcOrd="1" destOrd="0" presId="urn:microsoft.com/office/officeart/2008/layout/PictureAccent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21"/>
    </a:ext>
  </dgm:extLst>
</dgm:dataModel>
</file>

<file path=word/diagrams/data2.xml><?xml version="1.0" encoding="utf-8"?>
<dgm:dataModel xmlns:dgm="http://schemas.openxmlformats.org/drawingml/2006/diagram" xmlns:a="http://schemas.openxmlformats.org/drawingml/2006/main">
  <dgm:ptLst>
    <dgm:pt modelId="{6E5AABBF-2615-463A-AA45-F0243FCF96CA}" type="doc">
      <dgm:prSet loTypeId="urn:microsoft.com/office/officeart/2005/8/layout/process2" loCatId="process" qsTypeId="urn:microsoft.com/office/officeart/2005/8/quickstyle/simple1" qsCatId="simple" csTypeId="urn:microsoft.com/office/officeart/2005/8/colors/colorful1" csCatId="colorful" phldr="1"/>
      <dgm:spPr/>
    </dgm:pt>
    <dgm:pt modelId="{649DE964-31E1-421F-98AB-31BA56DD4D00}">
      <dgm:prSet phldrT="[טקסט]" custT="1"/>
      <dgm:spPr>
        <a:xfrm>
          <a:off x="2038346" y="3789"/>
          <a:ext cx="2590806" cy="443431"/>
        </a:xfrm>
        <a:solidFill>
          <a:srgbClr val="C0504D">
            <a:hueOff val="0"/>
            <a:satOff val="0"/>
            <a:lumOff val="0"/>
            <a:alphaOff val="0"/>
          </a:srgbClr>
        </a:solidFill>
        <a:ln w="25400">
          <a:solidFill>
            <a:sysClr val="window" lastClr="FFFFFF">
              <a:hueOff val="0"/>
              <a:satOff val="0"/>
              <a:lumOff val="0"/>
              <a:alphaOff val="0"/>
            </a:sysClr>
          </a:solidFill>
        </a:ln>
        <a:effectLst/>
      </dgm:spPr>
      <dgm:t>
        <a:bodyPr/>
        <a:lstStyle/>
        <a:p>
          <a:pPr algn="ctr" rtl="1"/>
          <a:r>
            <a:rPr lang="he-IL" sz="1200" b="1">
              <a:solidFill>
                <a:schemeClr val="bg1"/>
              </a:solidFill>
              <a:latin typeface="David" panose="020E0502060401010101" pitchFamily="34" charset="-79"/>
              <a:ea typeface="+mn-ea"/>
              <a:cs typeface="David" panose="020E0502060401010101" pitchFamily="34" charset="-79"/>
            </a:rPr>
            <a:t>החלטה של המשרד הממשלתי לגבש הצעת חוק או לתקן חוק קיים</a:t>
          </a:r>
        </a:p>
      </dgm:t>
    </dgm:pt>
    <dgm:pt modelId="{C3CC604D-5C38-4B23-AD57-B57E5D7AA802}" type="parTrans" cxnId="{735209AF-119C-4FEE-B60C-1C63296F4215}">
      <dgm:prSet/>
      <dgm:spPr/>
      <dgm:t>
        <a:bodyPr/>
        <a:lstStyle/>
        <a:p>
          <a:pPr algn="ctr" rtl="1"/>
          <a:endParaRPr lang="he-IL"/>
        </a:p>
      </dgm:t>
    </dgm:pt>
    <dgm:pt modelId="{E38CE757-FD97-40C0-B6BF-D8075606F606}" type="sibTrans" cxnId="{735209AF-119C-4FEE-B60C-1C63296F4215}">
      <dgm:prSet/>
      <dgm:spPr>
        <a:xfrm rot="5400000">
          <a:off x="3275822" y="454944"/>
          <a:ext cx="115855" cy="139026"/>
        </a:xfrm>
        <a:solidFill>
          <a:srgbClr val="C0504D">
            <a:hueOff val="0"/>
            <a:satOff val="0"/>
            <a:lumOff val="0"/>
            <a:alphaOff val="0"/>
          </a:srgbClr>
        </a:solidFill>
        <a:ln>
          <a:noFill/>
        </a:ln>
        <a:effectLst/>
      </dgm:spPr>
      <dgm:t>
        <a:bodyPr/>
        <a:lstStyle/>
        <a:p>
          <a:pPr algn="ctr" rtl="1"/>
          <a:endParaRPr lang="he-IL">
            <a:solidFill>
              <a:sysClr val="window" lastClr="FFFFFF"/>
            </a:solidFill>
            <a:latin typeface="Calibri"/>
            <a:ea typeface="+mn-ea"/>
            <a:cs typeface="Arial" panose="020B0604020202020204" pitchFamily="34" charset="0"/>
          </a:endParaRPr>
        </a:p>
      </dgm:t>
    </dgm:pt>
    <dgm:pt modelId="{B74FCE81-B5AD-4F74-A310-B39F3D542F5B}">
      <dgm:prSet phldrT="[טקסט]" custT="1"/>
      <dgm:spPr>
        <a:xfrm>
          <a:off x="2076452" y="601694"/>
          <a:ext cx="2514594" cy="401368"/>
        </a:xfrm>
        <a:solidFill>
          <a:srgbClr val="9BBB59">
            <a:hueOff val="0"/>
            <a:satOff val="0"/>
            <a:lumOff val="0"/>
            <a:alphaOff val="0"/>
          </a:srgbClr>
        </a:solidFill>
        <a:ln w="25400">
          <a:solidFill>
            <a:sysClr val="window" lastClr="FFFFFF">
              <a:hueOff val="0"/>
              <a:satOff val="0"/>
              <a:lumOff val="0"/>
              <a:alphaOff val="0"/>
            </a:sysClr>
          </a:solidFill>
        </a:ln>
        <a:effectLst/>
      </dgm:spPr>
      <dgm:t>
        <a:bodyPr/>
        <a:lstStyle/>
        <a:p>
          <a:pPr algn="ctr" rtl="1"/>
          <a:r>
            <a:rPr lang="he-IL" sz="1200" b="1">
              <a:solidFill>
                <a:schemeClr val="bg1"/>
              </a:solidFill>
              <a:latin typeface="David" panose="020E0502060401010101" pitchFamily="34" charset="-79"/>
              <a:ea typeface="+mn-ea"/>
              <a:cs typeface="David" panose="020E0502060401010101" pitchFamily="34" charset="-79"/>
            </a:rPr>
            <a:t>גיבוש תזכיר הצעת חוק הכולל את נוסח החוק או את התיקון המוצע ואת ההסבר לצורך בו</a:t>
          </a:r>
        </a:p>
      </dgm:t>
    </dgm:pt>
    <dgm:pt modelId="{11D17508-4057-408C-9F6D-45ADF8655D65}" type="parTrans" cxnId="{63087D24-C3AA-42F2-8700-A53F14F0274C}">
      <dgm:prSet/>
      <dgm:spPr/>
      <dgm:t>
        <a:bodyPr/>
        <a:lstStyle/>
        <a:p>
          <a:pPr algn="ctr" rtl="1"/>
          <a:endParaRPr lang="he-IL"/>
        </a:p>
      </dgm:t>
    </dgm:pt>
    <dgm:pt modelId="{904489AA-D3BE-476F-B13D-AE2D28713FB8}" type="sibTrans" cxnId="{63087D24-C3AA-42F2-8700-A53F14F0274C}">
      <dgm:prSet/>
      <dgm:spPr>
        <a:xfrm rot="5400000">
          <a:off x="3275822" y="1010786"/>
          <a:ext cx="115855" cy="139026"/>
        </a:xfrm>
        <a:solidFill>
          <a:srgbClr val="9BBB59">
            <a:hueOff val="0"/>
            <a:satOff val="0"/>
            <a:lumOff val="0"/>
            <a:alphaOff val="0"/>
          </a:srgbClr>
        </a:solidFill>
        <a:ln>
          <a:noFill/>
        </a:ln>
        <a:effectLst/>
      </dgm:spPr>
      <dgm:t>
        <a:bodyPr/>
        <a:lstStyle/>
        <a:p>
          <a:pPr algn="ctr" rtl="1"/>
          <a:endParaRPr lang="he-IL">
            <a:solidFill>
              <a:sysClr val="window" lastClr="FFFFFF"/>
            </a:solidFill>
            <a:latin typeface="Calibri"/>
            <a:ea typeface="+mn-ea"/>
            <a:cs typeface="Arial" panose="020B0604020202020204" pitchFamily="34" charset="0"/>
          </a:endParaRPr>
        </a:p>
      </dgm:t>
    </dgm:pt>
    <dgm:pt modelId="{03106EF9-D508-4C8E-9E86-100EAF560EFE}">
      <dgm:prSet phldrT="[טקסט]" custT="1"/>
      <dgm:spPr>
        <a:xfrm>
          <a:off x="2060887" y="1157536"/>
          <a:ext cx="2545724" cy="588776"/>
        </a:xfrm>
        <a:solidFill>
          <a:srgbClr val="8064A2">
            <a:hueOff val="0"/>
            <a:satOff val="0"/>
            <a:lumOff val="0"/>
            <a:alphaOff val="0"/>
          </a:srgbClr>
        </a:solidFill>
        <a:ln w="25400">
          <a:solidFill>
            <a:sysClr val="window" lastClr="FFFFFF">
              <a:hueOff val="0"/>
              <a:satOff val="0"/>
              <a:lumOff val="0"/>
              <a:alphaOff val="0"/>
            </a:sysClr>
          </a:solidFill>
        </a:ln>
        <a:effectLst/>
      </dgm:spPr>
      <dgm:t>
        <a:bodyPr/>
        <a:lstStyle/>
        <a:p>
          <a:pPr algn="ctr" rtl="1"/>
          <a:r>
            <a:rPr lang="he-IL" sz="1200" b="1">
              <a:solidFill>
                <a:schemeClr val="bg1"/>
              </a:solidFill>
              <a:latin typeface="David" panose="020E0502060401010101" pitchFamily="34" charset="-79"/>
              <a:ea typeface="+mn-ea"/>
              <a:cs typeface="David" panose="020E0502060401010101" pitchFamily="34" charset="-79"/>
            </a:rPr>
            <a:t>הפצת תזכיר החוק לגופים הממשלתיים הרלוונטיים, ובמידת הצורך - לציבור, לצורך קבלת התייחסויות</a:t>
          </a:r>
        </a:p>
      </dgm:t>
    </dgm:pt>
    <dgm:pt modelId="{0D4931F3-993B-40AD-937D-644220CA7389}" type="parTrans" cxnId="{C457CC1D-C196-4844-93E7-30F5F519B397}">
      <dgm:prSet/>
      <dgm:spPr/>
      <dgm:t>
        <a:bodyPr/>
        <a:lstStyle/>
        <a:p>
          <a:pPr algn="ctr" rtl="1"/>
          <a:endParaRPr lang="he-IL"/>
        </a:p>
      </dgm:t>
    </dgm:pt>
    <dgm:pt modelId="{3B200A15-D653-45B0-A9F9-996645733A73}" type="sibTrans" cxnId="{C457CC1D-C196-4844-93E7-30F5F519B397}">
      <dgm:prSet/>
      <dgm:spPr>
        <a:xfrm rot="5400000">
          <a:off x="3275822" y="1754036"/>
          <a:ext cx="115855" cy="139026"/>
        </a:xfrm>
        <a:solidFill>
          <a:srgbClr val="8064A2">
            <a:hueOff val="0"/>
            <a:satOff val="0"/>
            <a:lumOff val="0"/>
            <a:alphaOff val="0"/>
          </a:srgbClr>
        </a:solidFill>
        <a:ln>
          <a:noFill/>
        </a:ln>
        <a:effectLst/>
      </dgm:spPr>
      <dgm:t>
        <a:bodyPr/>
        <a:lstStyle/>
        <a:p>
          <a:pPr algn="ctr" rtl="1"/>
          <a:endParaRPr lang="he-IL">
            <a:solidFill>
              <a:sysClr val="window" lastClr="FFFFFF"/>
            </a:solidFill>
            <a:latin typeface="Calibri"/>
            <a:ea typeface="+mn-ea"/>
            <a:cs typeface="Arial" panose="020B0604020202020204" pitchFamily="34" charset="0"/>
          </a:endParaRPr>
        </a:p>
      </dgm:t>
    </dgm:pt>
    <dgm:pt modelId="{F606A0DB-9757-4547-A71C-C0C7055F8E35}">
      <dgm:prSet phldrT="[טקסט]" custT="1"/>
      <dgm:spPr>
        <a:xfrm>
          <a:off x="2066924" y="1900786"/>
          <a:ext cx="2533650" cy="531410"/>
        </a:xfrm>
        <a:solidFill>
          <a:srgbClr val="4BACC6">
            <a:hueOff val="0"/>
            <a:satOff val="0"/>
            <a:lumOff val="0"/>
            <a:alphaOff val="0"/>
          </a:srgbClr>
        </a:solidFill>
        <a:ln w="25400">
          <a:solidFill>
            <a:sysClr val="window" lastClr="FFFFFF">
              <a:hueOff val="0"/>
              <a:satOff val="0"/>
              <a:lumOff val="0"/>
              <a:alphaOff val="0"/>
            </a:sysClr>
          </a:solidFill>
        </a:ln>
        <a:effectLst/>
      </dgm:spPr>
      <dgm:t>
        <a:bodyPr/>
        <a:lstStyle/>
        <a:p>
          <a:pPr algn="ctr" rtl="1"/>
          <a:r>
            <a:rPr lang="he-IL" sz="1200" b="1">
              <a:solidFill>
                <a:schemeClr val="bg1"/>
              </a:solidFill>
              <a:latin typeface="David" panose="020E0502060401010101" pitchFamily="34" charset="-79"/>
              <a:ea typeface="+mn-ea"/>
              <a:cs typeface="David" panose="020E0502060401010101" pitchFamily="34" charset="-79"/>
            </a:rPr>
            <a:t>גיבוש טיוטת הצעת החוק לנוכח ההתייחסויות שהתקבלו ואישורה בידי היועמ"ש</a:t>
          </a:r>
        </a:p>
      </dgm:t>
    </dgm:pt>
    <dgm:pt modelId="{3613CFA3-002B-418D-8019-4AE26355868E}" type="parTrans" cxnId="{D54635E5-A7D9-49AB-BE5E-8FC99157B90F}">
      <dgm:prSet/>
      <dgm:spPr/>
      <dgm:t>
        <a:bodyPr/>
        <a:lstStyle/>
        <a:p>
          <a:pPr algn="ctr" rtl="1"/>
          <a:endParaRPr lang="he-IL"/>
        </a:p>
      </dgm:t>
    </dgm:pt>
    <dgm:pt modelId="{F7DE1F6F-42F6-41E0-A11A-58718BAFD843}" type="sibTrans" cxnId="{D54635E5-A7D9-49AB-BE5E-8FC99157B90F}">
      <dgm:prSet/>
      <dgm:spPr>
        <a:xfrm rot="5400000">
          <a:off x="3275822" y="2439920"/>
          <a:ext cx="115855" cy="139026"/>
        </a:xfrm>
        <a:solidFill>
          <a:srgbClr val="4BACC6">
            <a:hueOff val="0"/>
            <a:satOff val="0"/>
            <a:lumOff val="0"/>
            <a:alphaOff val="0"/>
          </a:srgbClr>
        </a:solidFill>
        <a:ln>
          <a:noFill/>
        </a:ln>
        <a:effectLst/>
      </dgm:spPr>
      <dgm:t>
        <a:bodyPr/>
        <a:lstStyle/>
        <a:p>
          <a:pPr algn="ctr" rtl="1"/>
          <a:endParaRPr lang="he-IL">
            <a:solidFill>
              <a:sysClr val="window" lastClr="FFFFFF"/>
            </a:solidFill>
            <a:latin typeface="Calibri"/>
            <a:ea typeface="+mn-ea"/>
            <a:cs typeface="Arial" panose="020B0604020202020204" pitchFamily="34" charset="0"/>
          </a:endParaRPr>
        </a:p>
      </dgm:t>
    </dgm:pt>
    <dgm:pt modelId="{A429DCC5-5A75-415F-B6BD-37D49B914F4A}">
      <dgm:prSet phldrT="[טקסט]" custT="1"/>
      <dgm:spPr>
        <a:xfrm>
          <a:off x="2057396" y="2586670"/>
          <a:ext cx="2552706" cy="308947"/>
        </a:xfrm>
        <a:solidFill>
          <a:srgbClr val="F79646">
            <a:hueOff val="0"/>
            <a:satOff val="0"/>
            <a:lumOff val="0"/>
            <a:alphaOff val="0"/>
          </a:srgbClr>
        </a:solidFill>
        <a:ln w="25400">
          <a:solidFill>
            <a:sysClr val="window" lastClr="FFFFFF">
              <a:hueOff val="0"/>
              <a:satOff val="0"/>
              <a:lumOff val="0"/>
              <a:alphaOff val="0"/>
            </a:sysClr>
          </a:solidFill>
        </a:ln>
        <a:effectLst/>
      </dgm:spPr>
      <dgm:t>
        <a:bodyPr/>
        <a:lstStyle/>
        <a:p>
          <a:pPr algn="ctr" rtl="1"/>
          <a:r>
            <a:rPr lang="he-IL" sz="1200" b="1">
              <a:solidFill>
                <a:schemeClr val="bg1"/>
              </a:solidFill>
              <a:latin typeface="David" panose="020E0502060401010101" pitchFamily="34" charset="-79"/>
              <a:ea typeface="+mn-ea"/>
              <a:cs typeface="David" panose="020E0502060401010101" pitchFamily="34" charset="-79"/>
            </a:rPr>
            <a:t>הגשת טיוטת הצעת החוק לאישור ועדת השרים לענייני חקיקה</a:t>
          </a:r>
        </a:p>
      </dgm:t>
    </dgm:pt>
    <dgm:pt modelId="{38614FD1-4851-4FAF-844A-B9C5AC990821}" type="parTrans" cxnId="{1066F792-C72F-4159-892F-039273B50564}">
      <dgm:prSet/>
      <dgm:spPr/>
      <dgm:t>
        <a:bodyPr/>
        <a:lstStyle/>
        <a:p>
          <a:pPr algn="ctr" rtl="1"/>
          <a:endParaRPr lang="he-IL"/>
        </a:p>
      </dgm:t>
    </dgm:pt>
    <dgm:pt modelId="{86178588-1726-4E21-85A2-9A7E37B4730A}" type="sibTrans" cxnId="{1066F792-C72F-4159-892F-039273B50564}">
      <dgm:prSet/>
      <dgm:spPr>
        <a:xfrm rot="5400000">
          <a:off x="3275822" y="2903341"/>
          <a:ext cx="115855" cy="139026"/>
        </a:xfrm>
        <a:solidFill>
          <a:srgbClr val="F79646">
            <a:hueOff val="0"/>
            <a:satOff val="0"/>
            <a:lumOff val="0"/>
            <a:alphaOff val="0"/>
          </a:srgbClr>
        </a:solidFill>
        <a:ln>
          <a:noFill/>
        </a:ln>
        <a:effectLst/>
      </dgm:spPr>
      <dgm:t>
        <a:bodyPr/>
        <a:lstStyle/>
        <a:p>
          <a:pPr algn="ctr" rtl="1"/>
          <a:endParaRPr lang="he-IL">
            <a:solidFill>
              <a:sysClr val="window" lastClr="FFFFFF"/>
            </a:solidFill>
            <a:latin typeface="Calibri"/>
            <a:ea typeface="+mn-ea"/>
            <a:cs typeface="Arial" panose="020B0604020202020204" pitchFamily="34" charset="0"/>
          </a:endParaRPr>
        </a:p>
      </dgm:t>
    </dgm:pt>
    <dgm:pt modelId="{66FF6473-7F3F-4F57-A86A-D922A045BB6A}">
      <dgm:prSet custT="1"/>
      <dgm:spPr>
        <a:xfrm>
          <a:off x="2076446" y="3525267"/>
          <a:ext cx="2514607" cy="412385"/>
        </a:xfrm>
        <a:solidFill>
          <a:srgbClr val="9BBB59">
            <a:hueOff val="0"/>
            <a:satOff val="0"/>
            <a:lumOff val="0"/>
            <a:alphaOff val="0"/>
          </a:srgbClr>
        </a:solidFill>
        <a:ln w="25400">
          <a:solidFill>
            <a:sysClr val="window" lastClr="FFFFFF">
              <a:hueOff val="0"/>
              <a:satOff val="0"/>
              <a:lumOff val="0"/>
              <a:alphaOff val="0"/>
            </a:sysClr>
          </a:solidFill>
        </a:ln>
        <a:effectLst/>
      </dgm:spPr>
      <dgm:t>
        <a:bodyPr/>
        <a:lstStyle/>
        <a:p>
          <a:pPr algn="ctr" rtl="1"/>
          <a:r>
            <a:rPr lang="he-IL" sz="1200" b="1">
              <a:solidFill>
                <a:schemeClr val="bg1"/>
              </a:solidFill>
              <a:latin typeface="David" panose="020E0502060401010101" pitchFamily="34" charset="-79"/>
              <a:ea typeface="+mn-ea"/>
              <a:cs typeface="David" panose="020E0502060401010101" pitchFamily="34" charset="-79"/>
            </a:rPr>
            <a:t>הגשת הצעת החוק ליו"ר הכנסת לצורך קידום הליכי החקיקה בכנסת</a:t>
          </a:r>
        </a:p>
      </dgm:t>
    </dgm:pt>
    <dgm:pt modelId="{52946500-8132-49DD-A4E3-975D115D4067}" type="parTrans" cxnId="{2B5AADB8-7AB3-4380-8A95-79239578B986}">
      <dgm:prSet/>
      <dgm:spPr/>
      <dgm:t>
        <a:bodyPr/>
        <a:lstStyle/>
        <a:p>
          <a:pPr algn="ctr" rtl="1"/>
          <a:endParaRPr lang="he-IL"/>
        </a:p>
      </dgm:t>
    </dgm:pt>
    <dgm:pt modelId="{B21D3968-21A9-4FEB-8989-747A06B6459F}" type="sibTrans" cxnId="{2B5AADB8-7AB3-4380-8A95-79239578B986}">
      <dgm:prSet/>
      <dgm:spPr>
        <a:xfrm rot="5400000">
          <a:off x="3275822" y="3945376"/>
          <a:ext cx="115855" cy="139026"/>
        </a:xfrm>
        <a:solidFill>
          <a:srgbClr val="9BBB59">
            <a:hueOff val="0"/>
            <a:satOff val="0"/>
            <a:lumOff val="0"/>
            <a:alphaOff val="0"/>
          </a:srgbClr>
        </a:solidFill>
        <a:ln>
          <a:noFill/>
        </a:ln>
        <a:effectLst/>
      </dgm:spPr>
      <dgm:t>
        <a:bodyPr/>
        <a:lstStyle/>
        <a:p>
          <a:pPr algn="ctr" rtl="1"/>
          <a:endParaRPr lang="he-IL">
            <a:solidFill>
              <a:sysClr val="window" lastClr="FFFFFF"/>
            </a:solidFill>
            <a:latin typeface="Calibri"/>
            <a:ea typeface="+mn-ea"/>
            <a:cs typeface="Arial" panose="020B0604020202020204" pitchFamily="34" charset="0"/>
          </a:endParaRPr>
        </a:p>
      </dgm:t>
    </dgm:pt>
    <dgm:pt modelId="{E17F1D5C-92D1-452F-97E4-EDA08AB12229}">
      <dgm:prSet custT="1"/>
      <dgm:spPr>
        <a:xfrm>
          <a:off x="2038346" y="3050091"/>
          <a:ext cx="2590806" cy="320702"/>
        </a:xfrm>
        <a:solidFill>
          <a:srgbClr val="C0504D">
            <a:hueOff val="0"/>
            <a:satOff val="0"/>
            <a:lumOff val="0"/>
            <a:alphaOff val="0"/>
          </a:srgbClr>
        </a:solidFill>
        <a:ln w="25400">
          <a:solidFill>
            <a:sysClr val="window" lastClr="FFFFFF">
              <a:hueOff val="0"/>
              <a:satOff val="0"/>
              <a:lumOff val="0"/>
              <a:alphaOff val="0"/>
            </a:sysClr>
          </a:solidFill>
        </a:ln>
        <a:effectLst/>
      </dgm:spPr>
      <dgm:t>
        <a:bodyPr/>
        <a:lstStyle/>
        <a:p>
          <a:pPr algn="ctr" rtl="1"/>
          <a:r>
            <a:rPr lang="he-IL" sz="1200" b="1">
              <a:solidFill>
                <a:schemeClr val="bg1"/>
              </a:solidFill>
              <a:latin typeface="David" panose="020E0502060401010101" pitchFamily="34" charset="-79"/>
              <a:ea typeface="+mn-ea"/>
              <a:cs typeface="David" panose="020E0502060401010101" pitchFamily="34" charset="-79"/>
            </a:rPr>
            <a:t>פרסום הצעת החוק ברשומות, בקובץ הצעות החוק של הממשלה</a:t>
          </a:r>
        </a:p>
      </dgm:t>
    </dgm:pt>
    <dgm:pt modelId="{3BE8ACEE-8E6A-4F7F-90EC-13E1E2B9F48D}" type="parTrans" cxnId="{F926D798-48F1-42CD-A40F-D036327B2104}">
      <dgm:prSet/>
      <dgm:spPr/>
      <dgm:t>
        <a:bodyPr/>
        <a:lstStyle/>
        <a:p>
          <a:pPr algn="ctr" rtl="1"/>
          <a:endParaRPr lang="he-IL"/>
        </a:p>
      </dgm:t>
    </dgm:pt>
    <dgm:pt modelId="{D8BB8725-BC60-4AFF-9009-AFD02AF54F82}" type="sibTrans" cxnId="{F926D798-48F1-42CD-A40F-D036327B2104}">
      <dgm:prSet/>
      <dgm:spPr>
        <a:xfrm rot="5400000">
          <a:off x="3275822" y="3378517"/>
          <a:ext cx="115855" cy="139026"/>
        </a:xfrm>
        <a:solidFill>
          <a:srgbClr val="C0504D">
            <a:hueOff val="0"/>
            <a:satOff val="0"/>
            <a:lumOff val="0"/>
            <a:alphaOff val="0"/>
          </a:srgbClr>
        </a:solidFill>
        <a:ln>
          <a:noFill/>
        </a:ln>
        <a:effectLst/>
      </dgm:spPr>
      <dgm:t>
        <a:bodyPr/>
        <a:lstStyle/>
        <a:p>
          <a:pPr algn="ctr" rtl="1"/>
          <a:endParaRPr lang="he-IL">
            <a:solidFill>
              <a:sysClr val="window" lastClr="FFFFFF"/>
            </a:solidFill>
            <a:latin typeface="Calibri"/>
            <a:ea typeface="+mn-ea"/>
            <a:cs typeface="Arial" panose="020B0604020202020204" pitchFamily="34" charset="0"/>
          </a:endParaRPr>
        </a:p>
      </dgm:t>
    </dgm:pt>
    <dgm:pt modelId="{85468BA8-FAB5-40F9-A290-E5B4D5DF21CD}">
      <dgm:prSet custT="1"/>
      <dgm:spPr>
        <a:xfrm>
          <a:off x="2105023" y="4092126"/>
          <a:ext cx="2457452" cy="403188"/>
        </a:xfrm>
        <a:solidFill>
          <a:srgbClr val="8064A2">
            <a:hueOff val="0"/>
            <a:satOff val="0"/>
            <a:lumOff val="0"/>
            <a:alphaOff val="0"/>
          </a:srgbClr>
        </a:solidFill>
        <a:ln w="25400">
          <a:solidFill>
            <a:sysClr val="window" lastClr="FFFFFF">
              <a:hueOff val="0"/>
              <a:satOff val="0"/>
              <a:lumOff val="0"/>
              <a:alphaOff val="0"/>
            </a:sysClr>
          </a:solidFill>
        </a:ln>
        <a:effectLst/>
      </dgm:spPr>
      <dgm:t>
        <a:bodyPr/>
        <a:lstStyle/>
        <a:p>
          <a:pPr algn="ctr" rtl="1"/>
          <a:r>
            <a:rPr lang="he-IL" sz="1200" b="1">
              <a:solidFill>
                <a:schemeClr val="bg1"/>
              </a:solidFill>
              <a:latin typeface="David" panose="020E0502060401010101" pitchFamily="34" charset="-79"/>
              <a:ea typeface="+mn-ea"/>
              <a:cs typeface="David" panose="020E0502060401010101" pitchFamily="34" charset="-79"/>
            </a:rPr>
            <a:t>הבאת הצעת החוק לאישור מליאת הכנסת (בשלוש קריאות)</a:t>
          </a:r>
        </a:p>
      </dgm:t>
    </dgm:pt>
    <dgm:pt modelId="{1054E18A-39DA-4251-93DE-86EC324D3583}" type="parTrans" cxnId="{BA4CC86A-CB7A-462D-A7FD-B3AAE4E50ED5}">
      <dgm:prSet/>
      <dgm:spPr/>
      <dgm:t>
        <a:bodyPr/>
        <a:lstStyle/>
        <a:p>
          <a:pPr algn="ctr" rtl="1"/>
          <a:endParaRPr lang="he-IL"/>
        </a:p>
      </dgm:t>
    </dgm:pt>
    <dgm:pt modelId="{0498CEE6-7601-4B98-A248-C98361F57391}" type="sibTrans" cxnId="{BA4CC86A-CB7A-462D-A7FD-B3AAE4E50ED5}">
      <dgm:prSet/>
      <dgm:spPr>
        <a:xfrm rot="5400000">
          <a:off x="3275822" y="4503038"/>
          <a:ext cx="115855" cy="139026"/>
        </a:xfrm>
        <a:solidFill>
          <a:srgbClr val="8064A2">
            <a:hueOff val="0"/>
            <a:satOff val="0"/>
            <a:lumOff val="0"/>
            <a:alphaOff val="0"/>
          </a:srgbClr>
        </a:solidFill>
        <a:ln>
          <a:noFill/>
        </a:ln>
        <a:effectLst/>
      </dgm:spPr>
      <dgm:t>
        <a:bodyPr/>
        <a:lstStyle/>
        <a:p>
          <a:pPr algn="ctr" rtl="1"/>
          <a:endParaRPr lang="he-IL">
            <a:solidFill>
              <a:sysClr val="window" lastClr="FFFFFF"/>
            </a:solidFill>
            <a:latin typeface="Calibri"/>
            <a:ea typeface="+mn-ea"/>
            <a:cs typeface="Arial" panose="020B0604020202020204" pitchFamily="34" charset="0"/>
          </a:endParaRPr>
        </a:p>
      </dgm:t>
    </dgm:pt>
    <dgm:pt modelId="{011FE5B6-94A2-4B52-9C48-A8A8078B12DB}">
      <dgm:prSet custT="1"/>
      <dgm:spPr>
        <a:xfrm>
          <a:off x="2085974" y="4649788"/>
          <a:ext cx="2495551" cy="308947"/>
        </a:xfrm>
        <a:solidFill>
          <a:srgbClr val="4BACC6">
            <a:hueOff val="0"/>
            <a:satOff val="0"/>
            <a:lumOff val="0"/>
            <a:alphaOff val="0"/>
          </a:srgbClr>
        </a:solidFill>
        <a:ln w="25400">
          <a:solidFill>
            <a:sysClr val="window" lastClr="FFFFFF">
              <a:hueOff val="0"/>
              <a:satOff val="0"/>
              <a:lumOff val="0"/>
              <a:alphaOff val="0"/>
            </a:sysClr>
          </a:solidFill>
        </a:ln>
        <a:effectLst/>
      </dgm:spPr>
      <dgm:t>
        <a:bodyPr/>
        <a:lstStyle/>
        <a:p>
          <a:pPr algn="ctr" rtl="1"/>
          <a:r>
            <a:rPr lang="he-IL" sz="1200" b="1">
              <a:solidFill>
                <a:schemeClr val="bg1"/>
              </a:solidFill>
              <a:latin typeface="David" panose="020E0502060401010101" pitchFamily="34" charset="-79"/>
              <a:ea typeface="+mn-ea"/>
              <a:cs typeface="David" panose="020E0502060401010101" pitchFamily="34" charset="-79"/>
            </a:rPr>
            <a:t>פרסום החוק ברשומות </a:t>
          </a:r>
        </a:p>
      </dgm:t>
    </dgm:pt>
    <dgm:pt modelId="{90D802B0-AA0D-49B4-B857-C0953A3704CC}" type="parTrans" cxnId="{78CC99A1-F5CE-4A2D-A72D-361756DA14AB}">
      <dgm:prSet/>
      <dgm:spPr/>
      <dgm:t>
        <a:bodyPr/>
        <a:lstStyle/>
        <a:p>
          <a:pPr algn="ctr" rtl="1"/>
          <a:endParaRPr lang="he-IL"/>
        </a:p>
      </dgm:t>
    </dgm:pt>
    <dgm:pt modelId="{7043C4F2-D9C6-49D7-9323-60E8BEBC9060}" type="sibTrans" cxnId="{78CC99A1-F5CE-4A2D-A72D-361756DA14AB}">
      <dgm:prSet/>
      <dgm:spPr/>
      <dgm:t>
        <a:bodyPr/>
        <a:lstStyle/>
        <a:p>
          <a:pPr algn="ctr" rtl="1"/>
          <a:endParaRPr lang="he-IL"/>
        </a:p>
      </dgm:t>
    </dgm:pt>
    <dgm:pt modelId="{51E85944-543A-4737-A85F-B37B934EBC9D}" type="pres">
      <dgm:prSet presAssocID="{6E5AABBF-2615-463A-AA45-F0243FCF96CA}" presName="linearFlow" presStyleCnt="0">
        <dgm:presLayoutVars>
          <dgm:resizeHandles val="exact"/>
        </dgm:presLayoutVars>
      </dgm:prSet>
      <dgm:spPr/>
    </dgm:pt>
    <dgm:pt modelId="{89297D79-3F7F-41D9-9C5F-C7201785BA04}" type="pres">
      <dgm:prSet presAssocID="{649DE964-31E1-421F-98AB-31BA56DD4D00}" presName="node" presStyleLbl="node1" presStyleIdx="0" presStyleCnt="9" custScaleX="228651" custScaleY="143530">
        <dgm:presLayoutVars>
          <dgm:bulletEnabled val="1"/>
        </dgm:presLayoutVars>
      </dgm:prSet>
      <dgm:spPr>
        <a:prstGeom prst="roundRect">
          <a:avLst>
            <a:gd name="adj" fmla="val 10000"/>
          </a:avLst>
        </a:prstGeom>
      </dgm:spPr>
      <dgm:t>
        <a:bodyPr/>
        <a:lstStyle/>
        <a:p>
          <a:pPr rtl="1"/>
          <a:endParaRPr lang="he-IL"/>
        </a:p>
      </dgm:t>
    </dgm:pt>
    <dgm:pt modelId="{9723E436-D5D6-47FD-BD10-6533203DCA54}" type="pres">
      <dgm:prSet presAssocID="{E38CE757-FD97-40C0-B6BF-D8075606F606}" presName="sibTrans" presStyleLbl="sibTrans2D1" presStyleIdx="0" presStyleCnt="8"/>
      <dgm:spPr>
        <a:prstGeom prst="rightArrow">
          <a:avLst>
            <a:gd name="adj1" fmla="val 60000"/>
            <a:gd name="adj2" fmla="val 50000"/>
          </a:avLst>
        </a:prstGeom>
      </dgm:spPr>
      <dgm:t>
        <a:bodyPr/>
        <a:lstStyle/>
        <a:p>
          <a:pPr rtl="1"/>
          <a:endParaRPr lang="he-IL"/>
        </a:p>
      </dgm:t>
    </dgm:pt>
    <dgm:pt modelId="{8C722DEF-E0C2-4847-95C8-106DF9D5CA8E}" type="pres">
      <dgm:prSet presAssocID="{E38CE757-FD97-40C0-B6BF-D8075606F606}" presName="connectorText" presStyleLbl="sibTrans2D1" presStyleIdx="0" presStyleCnt="8"/>
      <dgm:spPr/>
      <dgm:t>
        <a:bodyPr/>
        <a:lstStyle/>
        <a:p>
          <a:pPr rtl="1"/>
          <a:endParaRPr lang="he-IL"/>
        </a:p>
      </dgm:t>
    </dgm:pt>
    <dgm:pt modelId="{3C0C7018-9CCE-4A80-B771-FA88B5099E67}" type="pres">
      <dgm:prSet presAssocID="{B74FCE81-B5AD-4F74-A310-B39F3D542F5B}" presName="node" presStyleLbl="node1" presStyleIdx="1" presStyleCnt="9" custScaleX="230014" custScaleY="129626">
        <dgm:presLayoutVars>
          <dgm:bulletEnabled val="1"/>
        </dgm:presLayoutVars>
      </dgm:prSet>
      <dgm:spPr>
        <a:prstGeom prst="roundRect">
          <a:avLst>
            <a:gd name="adj" fmla="val 10000"/>
          </a:avLst>
        </a:prstGeom>
      </dgm:spPr>
      <dgm:t>
        <a:bodyPr/>
        <a:lstStyle/>
        <a:p>
          <a:pPr rtl="1"/>
          <a:endParaRPr lang="he-IL"/>
        </a:p>
      </dgm:t>
    </dgm:pt>
    <dgm:pt modelId="{AB4FEBA1-CBDF-4588-8409-B139DE473A37}" type="pres">
      <dgm:prSet presAssocID="{904489AA-D3BE-476F-B13D-AE2D28713FB8}" presName="sibTrans" presStyleLbl="sibTrans2D1" presStyleIdx="1" presStyleCnt="8"/>
      <dgm:spPr>
        <a:prstGeom prst="rightArrow">
          <a:avLst>
            <a:gd name="adj1" fmla="val 60000"/>
            <a:gd name="adj2" fmla="val 50000"/>
          </a:avLst>
        </a:prstGeom>
      </dgm:spPr>
      <dgm:t>
        <a:bodyPr/>
        <a:lstStyle/>
        <a:p>
          <a:pPr rtl="1"/>
          <a:endParaRPr lang="he-IL"/>
        </a:p>
      </dgm:t>
    </dgm:pt>
    <dgm:pt modelId="{DAAF3BD6-CC7D-4A79-8050-9A0B57CDF633}" type="pres">
      <dgm:prSet presAssocID="{904489AA-D3BE-476F-B13D-AE2D28713FB8}" presName="connectorText" presStyleLbl="sibTrans2D1" presStyleIdx="1" presStyleCnt="8"/>
      <dgm:spPr/>
      <dgm:t>
        <a:bodyPr/>
        <a:lstStyle/>
        <a:p>
          <a:pPr rtl="1"/>
          <a:endParaRPr lang="he-IL"/>
        </a:p>
      </dgm:t>
    </dgm:pt>
    <dgm:pt modelId="{81E3EFA2-46BE-4D90-AD37-9B8E825546B2}" type="pres">
      <dgm:prSet presAssocID="{03106EF9-D508-4C8E-9E86-100EAF560EFE}" presName="node" presStyleLbl="node1" presStyleIdx="2" presStyleCnt="9" custScaleX="227287" custScaleY="190575">
        <dgm:presLayoutVars>
          <dgm:bulletEnabled val="1"/>
        </dgm:presLayoutVars>
      </dgm:prSet>
      <dgm:spPr>
        <a:prstGeom prst="roundRect">
          <a:avLst>
            <a:gd name="adj" fmla="val 10000"/>
          </a:avLst>
        </a:prstGeom>
      </dgm:spPr>
      <dgm:t>
        <a:bodyPr/>
        <a:lstStyle/>
        <a:p>
          <a:pPr rtl="1"/>
          <a:endParaRPr lang="he-IL"/>
        </a:p>
      </dgm:t>
    </dgm:pt>
    <dgm:pt modelId="{EF3B3D7C-824B-4397-9118-7B74ED0DE380}" type="pres">
      <dgm:prSet presAssocID="{3B200A15-D653-45B0-A9F9-996645733A73}" presName="sibTrans" presStyleLbl="sibTrans2D1" presStyleIdx="2" presStyleCnt="8"/>
      <dgm:spPr>
        <a:prstGeom prst="rightArrow">
          <a:avLst>
            <a:gd name="adj1" fmla="val 60000"/>
            <a:gd name="adj2" fmla="val 50000"/>
          </a:avLst>
        </a:prstGeom>
      </dgm:spPr>
      <dgm:t>
        <a:bodyPr/>
        <a:lstStyle/>
        <a:p>
          <a:pPr rtl="1"/>
          <a:endParaRPr lang="he-IL"/>
        </a:p>
      </dgm:t>
    </dgm:pt>
    <dgm:pt modelId="{F8157966-8AE4-4F5B-9465-39577E3AC3FE}" type="pres">
      <dgm:prSet presAssocID="{3B200A15-D653-45B0-A9F9-996645733A73}" presName="connectorText" presStyleLbl="sibTrans2D1" presStyleIdx="2" presStyleCnt="8"/>
      <dgm:spPr/>
      <dgm:t>
        <a:bodyPr/>
        <a:lstStyle/>
        <a:p>
          <a:pPr rtl="1"/>
          <a:endParaRPr lang="he-IL"/>
        </a:p>
      </dgm:t>
    </dgm:pt>
    <dgm:pt modelId="{9AE9AF15-63D1-4284-82D0-70127CA2B7B1}" type="pres">
      <dgm:prSet presAssocID="{F606A0DB-9757-4547-A71C-C0C7055F8E35}" presName="node" presStyleLbl="node1" presStyleIdx="3" presStyleCnt="9" custScaleX="223197" custScaleY="172007">
        <dgm:presLayoutVars>
          <dgm:bulletEnabled val="1"/>
        </dgm:presLayoutVars>
      </dgm:prSet>
      <dgm:spPr>
        <a:prstGeom prst="roundRect">
          <a:avLst>
            <a:gd name="adj" fmla="val 10000"/>
          </a:avLst>
        </a:prstGeom>
      </dgm:spPr>
      <dgm:t>
        <a:bodyPr/>
        <a:lstStyle/>
        <a:p>
          <a:pPr rtl="1"/>
          <a:endParaRPr lang="he-IL"/>
        </a:p>
      </dgm:t>
    </dgm:pt>
    <dgm:pt modelId="{A85EF0CF-9332-4A93-AF33-53439437DA4C}" type="pres">
      <dgm:prSet presAssocID="{F7DE1F6F-42F6-41E0-A11A-58718BAFD843}" presName="sibTrans" presStyleLbl="sibTrans2D1" presStyleIdx="3" presStyleCnt="8"/>
      <dgm:spPr>
        <a:prstGeom prst="rightArrow">
          <a:avLst>
            <a:gd name="adj1" fmla="val 60000"/>
            <a:gd name="adj2" fmla="val 50000"/>
          </a:avLst>
        </a:prstGeom>
      </dgm:spPr>
      <dgm:t>
        <a:bodyPr/>
        <a:lstStyle/>
        <a:p>
          <a:pPr rtl="1"/>
          <a:endParaRPr lang="he-IL"/>
        </a:p>
      </dgm:t>
    </dgm:pt>
    <dgm:pt modelId="{92C9D5E0-7696-4064-B6C3-0EF0273082F0}" type="pres">
      <dgm:prSet presAssocID="{F7DE1F6F-42F6-41E0-A11A-58718BAFD843}" presName="connectorText" presStyleLbl="sibTrans2D1" presStyleIdx="3" presStyleCnt="8"/>
      <dgm:spPr/>
      <dgm:t>
        <a:bodyPr/>
        <a:lstStyle/>
        <a:p>
          <a:pPr rtl="1"/>
          <a:endParaRPr lang="he-IL"/>
        </a:p>
      </dgm:t>
    </dgm:pt>
    <dgm:pt modelId="{275CE8B9-A4AA-4E59-8EA5-A9572A61CA7F}" type="pres">
      <dgm:prSet presAssocID="{A429DCC5-5A75-415F-B6BD-37D49B914F4A}" presName="node" presStyleLbl="node1" presStyleIdx="4" presStyleCnt="9" custScaleX="219106">
        <dgm:presLayoutVars>
          <dgm:bulletEnabled val="1"/>
        </dgm:presLayoutVars>
      </dgm:prSet>
      <dgm:spPr>
        <a:prstGeom prst="roundRect">
          <a:avLst>
            <a:gd name="adj" fmla="val 10000"/>
          </a:avLst>
        </a:prstGeom>
      </dgm:spPr>
      <dgm:t>
        <a:bodyPr/>
        <a:lstStyle/>
        <a:p>
          <a:pPr rtl="1"/>
          <a:endParaRPr lang="he-IL"/>
        </a:p>
      </dgm:t>
    </dgm:pt>
    <dgm:pt modelId="{747E9D6D-A236-4591-BB17-D6A70E5DEE11}" type="pres">
      <dgm:prSet presAssocID="{86178588-1726-4E21-85A2-9A7E37B4730A}" presName="sibTrans" presStyleLbl="sibTrans2D1" presStyleIdx="4" presStyleCnt="8"/>
      <dgm:spPr>
        <a:prstGeom prst="rightArrow">
          <a:avLst>
            <a:gd name="adj1" fmla="val 60000"/>
            <a:gd name="adj2" fmla="val 50000"/>
          </a:avLst>
        </a:prstGeom>
      </dgm:spPr>
      <dgm:t>
        <a:bodyPr/>
        <a:lstStyle/>
        <a:p>
          <a:pPr rtl="1"/>
          <a:endParaRPr lang="he-IL"/>
        </a:p>
      </dgm:t>
    </dgm:pt>
    <dgm:pt modelId="{5A35DC26-30C9-48FF-B305-135F7EA11F8B}" type="pres">
      <dgm:prSet presAssocID="{86178588-1726-4E21-85A2-9A7E37B4730A}" presName="connectorText" presStyleLbl="sibTrans2D1" presStyleIdx="4" presStyleCnt="8"/>
      <dgm:spPr/>
      <dgm:t>
        <a:bodyPr/>
        <a:lstStyle/>
        <a:p>
          <a:pPr rtl="1"/>
          <a:endParaRPr lang="he-IL"/>
        </a:p>
      </dgm:t>
    </dgm:pt>
    <dgm:pt modelId="{AA9950AE-094C-451A-B9F2-25E163063C9D}" type="pres">
      <dgm:prSet presAssocID="{E17F1D5C-92D1-452F-97E4-EDA08AB12229}" presName="node" presStyleLbl="node1" presStyleIdx="5" presStyleCnt="9" custScaleX="220470" custScaleY="103805">
        <dgm:presLayoutVars>
          <dgm:bulletEnabled val="1"/>
        </dgm:presLayoutVars>
      </dgm:prSet>
      <dgm:spPr>
        <a:prstGeom prst="roundRect">
          <a:avLst>
            <a:gd name="adj" fmla="val 10000"/>
          </a:avLst>
        </a:prstGeom>
      </dgm:spPr>
      <dgm:t>
        <a:bodyPr/>
        <a:lstStyle/>
        <a:p>
          <a:pPr rtl="1"/>
          <a:endParaRPr lang="he-IL"/>
        </a:p>
      </dgm:t>
    </dgm:pt>
    <dgm:pt modelId="{FBE12DA4-5629-4183-B6C6-8B26A92421FD}" type="pres">
      <dgm:prSet presAssocID="{D8BB8725-BC60-4AFF-9009-AFD02AF54F82}" presName="sibTrans" presStyleLbl="sibTrans2D1" presStyleIdx="5" presStyleCnt="8"/>
      <dgm:spPr>
        <a:prstGeom prst="rightArrow">
          <a:avLst>
            <a:gd name="adj1" fmla="val 60000"/>
            <a:gd name="adj2" fmla="val 50000"/>
          </a:avLst>
        </a:prstGeom>
      </dgm:spPr>
      <dgm:t>
        <a:bodyPr/>
        <a:lstStyle/>
        <a:p>
          <a:pPr rtl="1"/>
          <a:endParaRPr lang="he-IL"/>
        </a:p>
      </dgm:t>
    </dgm:pt>
    <dgm:pt modelId="{4CDEC24D-FF9E-4C80-A0AC-A30516263343}" type="pres">
      <dgm:prSet presAssocID="{D8BB8725-BC60-4AFF-9009-AFD02AF54F82}" presName="connectorText" presStyleLbl="sibTrans2D1" presStyleIdx="5" presStyleCnt="8"/>
      <dgm:spPr/>
      <dgm:t>
        <a:bodyPr/>
        <a:lstStyle/>
        <a:p>
          <a:pPr rtl="1"/>
          <a:endParaRPr lang="he-IL"/>
        </a:p>
      </dgm:t>
    </dgm:pt>
    <dgm:pt modelId="{90671D89-307A-49C8-AE32-BFCF01B1583A}" type="pres">
      <dgm:prSet presAssocID="{66FF6473-7F3F-4F57-A86A-D922A045BB6A}" presName="node" presStyleLbl="node1" presStyleIdx="6" presStyleCnt="9" custScaleX="221833" custScaleY="133481">
        <dgm:presLayoutVars>
          <dgm:bulletEnabled val="1"/>
        </dgm:presLayoutVars>
      </dgm:prSet>
      <dgm:spPr>
        <a:prstGeom prst="roundRect">
          <a:avLst>
            <a:gd name="adj" fmla="val 10000"/>
          </a:avLst>
        </a:prstGeom>
      </dgm:spPr>
      <dgm:t>
        <a:bodyPr/>
        <a:lstStyle/>
        <a:p>
          <a:pPr rtl="1"/>
          <a:endParaRPr lang="he-IL"/>
        </a:p>
      </dgm:t>
    </dgm:pt>
    <dgm:pt modelId="{4778392D-CF85-4B67-8052-B3C2E36D1356}" type="pres">
      <dgm:prSet presAssocID="{B21D3968-21A9-4FEB-8989-747A06B6459F}" presName="sibTrans" presStyleLbl="sibTrans2D1" presStyleIdx="6" presStyleCnt="8"/>
      <dgm:spPr>
        <a:prstGeom prst="rightArrow">
          <a:avLst>
            <a:gd name="adj1" fmla="val 60000"/>
            <a:gd name="adj2" fmla="val 50000"/>
          </a:avLst>
        </a:prstGeom>
      </dgm:spPr>
      <dgm:t>
        <a:bodyPr/>
        <a:lstStyle/>
        <a:p>
          <a:pPr rtl="1"/>
          <a:endParaRPr lang="he-IL"/>
        </a:p>
      </dgm:t>
    </dgm:pt>
    <dgm:pt modelId="{5DE03994-053D-4810-9B5F-B1A1FB02AE9F}" type="pres">
      <dgm:prSet presAssocID="{B21D3968-21A9-4FEB-8989-747A06B6459F}" presName="connectorText" presStyleLbl="sibTrans2D1" presStyleIdx="6" presStyleCnt="8"/>
      <dgm:spPr/>
      <dgm:t>
        <a:bodyPr/>
        <a:lstStyle/>
        <a:p>
          <a:pPr rtl="1"/>
          <a:endParaRPr lang="he-IL"/>
        </a:p>
      </dgm:t>
    </dgm:pt>
    <dgm:pt modelId="{ACC6D824-8FBF-4658-B257-68122C387B95}" type="pres">
      <dgm:prSet presAssocID="{85468BA8-FAB5-40F9-A290-E5B4D5DF21CD}" presName="node" presStyleLbl="node1" presStyleIdx="7" presStyleCnt="9" custScaleX="221833" custScaleY="130504">
        <dgm:presLayoutVars>
          <dgm:bulletEnabled val="1"/>
        </dgm:presLayoutVars>
      </dgm:prSet>
      <dgm:spPr>
        <a:prstGeom prst="roundRect">
          <a:avLst>
            <a:gd name="adj" fmla="val 10000"/>
          </a:avLst>
        </a:prstGeom>
      </dgm:spPr>
      <dgm:t>
        <a:bodyPr/>
        <a:lstStyle/>
        <a:p>
          <a:pPr rtl="1"/>
          <a:endParaRPr lang="he-IL"/>
        </a:p>
      </dgm:t>
    </dgm:pt>
    <dgm:pt modelId="{D0C820F4-4D45-4FBC-BD66-56275A446345}" type="pres">
      <dgm:prSet presAssocID="{0498CEE6-7601-4B98-A248-C98361F57391}" presName="sibTrans" presStyleLbl="sibTrans2D1" presStyleIdx="7" presStyleCnt="8"/>
      <dgm:spPr>
        <a:prstGeom prst="rightArrow">
          <a:avLst>
            <a:gd name="adj1" fmla="val 60000"/>
            <a:gd name="adj2" fmla="val 50000"/>
          </a:avLst>
        </a:prstGeom>
      </dgm:spPr>
      <dgm:t>
        <a:bodyPr/>
        <a:lstStyle/>
        <a:p>
          <a:pPr rtl="1"/>
          <a:endParaRPr lang="he-IL"/>
        </a:p>
      </dgm:t>
    </dgm:pt>
    <dgm:pt modelId="{3F214298-1D22-4E2E-9AC8-164D3A61BAB2}" type="pres">
      <dgm:prSet presAssocID="{0498CEE6-7601-4B98-A248-C98361F57391}" presName="connectorText" presStyleLbl="sibTrans2D1" presStyleIdx="7" presStyleCnt="8"/>
      <dgm:spPr/>
      <dgm:t>
        <a:bodyPr/>
        <a:lstStyle/>
        <a:p>
          <a:pPr rtl="1"/>
          <a:endParaRPr lang="he-IL"/>
        </a:p>
      </dgm:t>
    </dgm:pt>
    <dgm:pt modelId="{726550D6-6AD7-4898-AF26-0EFED2511CB9}" type="pres">
      <dgm:prSet presAssocID="{011FE5B6-94A2-4B52-9C48-A8A8078B12DB}" presName="node" presStyleLbl="node1" presStyleIdx="8" presStyleCnt="9" custScaleX="225924">
        <dgm:presLayoutVars>
          <dgm:bulletEnabled val="1"/>
        </dgm:presLayoutVars>
      </dgm:prSet>
      <dgm:spPr>
        <a:prstGeom prst="roundRect">
          <a:avLst>
            <a:gd name="adj" fmla="val 10000"/>
          </a:avLst>
        </a:prstGeom>
      </dgm:spPr>
      <dgm:t>
        <a:bodyPr/>
        <a:lstStyle/>
        <a:p>
          <a:pPr rtl="1"/>
          <a:endParaRPr lang="he-IL"/>
        </a:p>
      </dgm:t>
    </dgm:pt>
  </dgm:ptLst>
  <dgm:cxnLst>
    <dgm:cxn modelId="{1066F792-C72F-4159-892F-039273B50564}" srcId="{6E5AABBF-2615-463A-AA45-F0243FCF96CA}" destId="{A429DCC5-5A75-415F-B6BD-37D49B914F4A}" srcOrd="4" destOrd="0" parTransId="{38614FD1-4851-4FAF-844A-B9C5AC990821}" sibTransId="{86178588-1726-4E21-85A2-9A7E37B4730A}"/>
    <dgm:cxn modelId="{2A331ACB-63A1-4B28-8C39-ABABF8CFE35E}" type="presOf" srcId="{0498CEE6-7601-4B98-A248-C98361F57391}" destId="{3F214298-1D22-4E2E-9AC8-164D3A61BAB2}" srcOrd="1" destOrd="0" presId="urn:microsoft.com/office/officeart/2005/8/layout/process2"/>
    <dgm:cxn modelId="{D7913E37-4222-4045-9706-28A5AAAA36A2}" type="presOf" srcId="{E38CE757-FD97-40C0-B6BF-D8075606F606}" destId="{8C722DEF-E0C2-4847-95C8-106DF9D5CA8E}" srcOrd="1" destOrd="0" presId="urn:microsoft.com/office/officeart/2005/8/layout/process2"/>
    <dgm:cxn modelId="{59B644B4-8D21-4A6D-AE94-7C9778A3724E}" type="presOf" srcId="{E17F1D5C-92D1-452F-97E4-EDA08AB12229}" destId="{AA9950AE-094C-451A-B9F2-25E163063C9D}" srcOrd="0" destOrd="0" presId="urn:microsoft.com/office/officeart/2005/8/layout/process2"/>
    <dgm:cxn modelId="{D70B3C79-218A-4CA3-BE26-498FA736F2BB}" type="presOf" srcId="{85468BA8-FAB5-40F9-A290-E5B4D5DF21CD}" destId="{ACC6D824-8FBF-4658-B257-68122C387B95}" srcOrd="0" destOrd="0" presId="urn:microsoft.com/office/officeart/2005/8/layout/process2"/>
    <dgm:cxn modelId="{C69EFFEC-6FC7-4A85-81EA-BABEF9C1F9AE}" type="presOf" srcId="{F7DE1F6F-42F6-41E0-A11A-58718BAFD843}" destId="{A85EF0CF-9332-4A93-AF33-53439437DA4C}" srcOrd="0" destOrd="0" presId="urn:microsoft.com/office/officeart/2005/8/layout/process2"/>
    <dgm:cxn modelId="{D4995287-EF34-43B2-B5D9-CA936798BF9F}" type="presOf" srcId="{F7DE1F6F-42F6-41E0-A11A-58718BAFD843}" destId="{92C9D5E0-7696-4064-B6C3-0EF0273082F0}" srcOrd="1" destOrd="0" presId="urn:microsoft.com/office/officeart/2005/8/layout/process2"/>
    <dgm:cxn modelId="{20951DE4-CF5C-43AC-BF50-4D4FA434140D}" type="presOf" srcId="{F606A0DB-9757-4547-A71C-C0C7055F8E35}" destId="{9AE9AF15-63D1-4284-82D0-70127CA2B7B1}" srcOrd="0" destOrd="0" presId="urn:microsoft.com/office/officeart/2005/8/layout/process2"/>
    <dgm:cxn modelId="{C2F696F8-44C4-4092-B5A7-947C463611B7}" type="presOf" srcId="{011FE5B6-94A2-4B52-9C48-A8A8078B12DB}" destId="{726550D6-6AD7-4898-AF26-0EFED2511CB9}" srcOrd="0" destOrd="0" presId="urn:microsoft.com/office/officeart/2005/8/layout/process2"/>
    <dgm:cxn modelId="{71D6836F-64DA-4ABE-85D7-BBCD320CFAB0}" type="presOf" srcId="{A429DCC5-5A75-415F-B6BD-37D49B914F4A}" destId="{275CE8B9-A4AA-4E59-8EA5-A9572A61CA7F}" srcOrd="0" destOrd="0" presId="urn:microsoft.com/office/officeart/2005/8/layout/process2"/>
    <dgm:cxn modelId="{D54635E5-A7D9-49AB-BE5E-8FC99157B90F}" srcId="{6E5AABBF-2615-463A-AA45-F0243FCF96CA}" destId="{F606A0DB-9757-4547-A71C-C0C7055F8E35}" srcOrd="3" destOrd="0" parTransId="{3613CFA3-002B-418D-8019-4AE26355868E}" sibTransId="{F7DE1F6F-42F6-41E0-A11A-58718BAFD843}"/>
    <dgm:cxn modelId="{D9B5324D-4074-4E3D-94FB-4E526F3C4925}" type="presOf" srcId="{66FF6473-7F3F-4F57-A86A-D922A045BB6A}" destId="{90671D89-307A-49C8-AE32-BFCF01B1583A}" srcOrd="0" destOrd="0" presId="urn:microsoft.com/office/officeart/2005/8/layout/process2"/>
    <dgm:cxn modelId="{2B5AADB8-7AB3-4380-8A95-79239578B986}" srcId="{6E5AABBF-2615-463A-AA45-F0243FCF96CA}" destId="{66FF6473-7F3F-4F57-A86A-D922A045BB6A}" srcOrd="6" destOrd="0" parTransId="{52946500-8132-49DD-A4E3-975D115D4067}" sibTransId="{B21D3968-21A9-4FEB-8989-747A06B6459F}"/>
    <dgm:cxn modelId="{735209AF-119C-4FEE-B60C-1C63296F4215}" srcId="{6E5AABBF-2615-463A-AA45-F0243FCF96CA}" destId="{649DE964-31E1-421F-98AB-31BA56DD4D00}" srcOrd="0" destOrd="0" parTransId="{C3CC604D-5C38-4B23-AD57-B57E5D7AA802}" sibTransId="{E38CE757-FD97-40C0-B6BF-D8075606F606}"/>
    <dgm:cxn modelId="{993ED888-5A32-4B40-BA1B-1BD78876214D}" type="presOf" srcId="{6E5AABBF-2615-463A-AA45-F0243FCF96CA}" destId="{51E85944-543A-4737-A85F-B37B934EBC9D}" srcOrd="0" destOrd="0" presId="urn:microsoft.com/office/officeart/2005/8/layout/process2"/>
    <dgm:cxn modelId="{F6194D78-3C1D-403B-B060-2B5F92158CC4}" type="presOf" srcId="{03106EF9-D508-4C8E-9E86-100EAF560EFE}" destId="{81E3EFA2-46BE-4D90-AD37-9B8E825546B2}" srcOrd="0" destOrd="0" presId="urn:microsoft.com/office/officeart/2005/8/layout/process2"/>
    <dgm:cxn modelId="{9F3AF7AD-2D22-4DC7-A2D0-933A3E89FF32}" type="presOf" srcId="{E38CE757-FD97-40C0-B6BF-D8075606F606}" destId="{9723E436-D5D6-47FD-BD10-6533203DCA54}" srcOrd="0" destOrd="0" presId="urn:microsoft.com/office/officeart/2005/8/layout/process2"/>
    <dgm:cxn modelId="{F926D798-48F1-42CD-A40F-D036327B2104}" srcId="{6E5AABBF-2615-463A-AA45-F0243FCF96CA}" destId="{E17F1D5C-92D1-452F-97E4-EDA08AB12229}" srcOrd="5" destOrd="0" parTransId="{3BE8ACEE-8E6A-4F7F-90EC-13E1E2B9F48D}" sibTransId="{D8BB8725-BC60-4AFF-9009-AFD02AF54F82}"/>
    <dgm:cxn modelId="{7BF64035-A959-4514-9325-30B1FD0FAEBD}" type="presOf" srcId="{B21D3968-21A9-4FEB-8989-747A06B6459F}" destId="{5DE03994-053D-4810-9B5F-B1A1FB02AE9F}" srcOrd="1" destOrd="0" presId="urn:microsoft.com/office/officeart/2005/8/layout/process2"/>
    <dgm:cxn modelId="{63087D24-C3AA-42F2-8700-A53F14F0274C}" srcId="{6E5AABBF-2615-463A-AA45-F0243FCF96CA}" destId="{B74FCE81-B5AD-4F74-A310-B39F3D542F5B}" srcOrd="1" destOrd="0" parTransId="{11D17508-4057-408C-9F6D-45ADF8655D65}" sibTransId="{904489AA-D3BE-476F-B13D-AE2D28713FB8}"/>
    <dgm:cxn modelId="{A933AB33-248F-4DE9-B02B-9995781C6DE9}" type="presOf" srcId="{B74FCE81-B5AD-4F74-A310-B39F3D542F5B}" destId="{3C0C7018-9CCE-4A80-B771-FA88B5099E67}" srcOrd="0" destOrd="0" presId="urn:microsoft.com/office/officeart/2005/8/layout/process2"/>
    <dgm:cxn modelId="{C58AEEBC-7AEA-403A-8F62-B4083C72F445}" type="presOf" srcId="{D8BB8725-BC60-4AFF-9009-AFD02AF54F82}" destId="{FBE12DA4-5629-4183-B6C6-8B26A92421FD}" srcOrd="0" destOrd="0" presId="urn:microsoft.com/office/officeart/2005/8/layout/process2"/>
    <dgm:cxn modelId="{9B36071D-4498-45C9-A8CF-5F83E2E69F94}" type="presOf" srcId="{B21D3968-21A9-4FEB-8989-747A06B6459F}" destId="{4778392D-CF85-4B67-8052-B3C2E36D1356}" srcOrd="0" destOrd="0" presId="urn:microsoft.com/office/officeart/2005/8/layout/process2"/>
    <dgm:cxn modelId="{11B0D204-EF6D-4DD6-9C28-5BEBB94365D3}" type="presOf" srcId="{D8BB8725-BC60-4AFF-9009-AFD02AF54F82}" destId="{4CDEC24D-FF9E-4C80-A0AC-A30516263343}" srcOrd="1" destOrd="0" presId="urn:microsoft.com/office/officeart/2005/8/layout/process2"/>
    <dgm:cxn modelId="{E7925A0D-17C2-4BDB-9A43-09C2D79DA4D7}" type="presOf" srcId="{86178588-1726-4E21-85A2-9A7E37B4730A}" destId="{5A35DC26-30C9-48FF-B305-135F7EA11F8B}" srcOrd="1" destOrd="0" presId="urn:microsoft.com/office/officeart/2005/8/layout/process2"/>
    <dgm:cxn modelId="{78CC99A1-F5CE-4A2D-A72D-361756DA14AB}" srcId="{6E5AABBF-2615-463A-AA45-F0243FCF96CA}" destId="{011FE5B6-94A2-4B52-9C48-A8A8078B12DB}" srcOrd="8" destOrd="0" parTransId="{90D802B0-AA0D-49B4-B857-C0953A3704CC}" sibTransId="{7043C4F2-D9C6-49D7-9323-60E8BEBC9060}"/>
    <dgm:cxn modelId="{EBC42EB2-A618-414B-9534-05708C0DC593}" type="presOf" srcId="{0498CEE6-7601-4B98-A248-C98361F57391}" destId="{D0C820F4-4D45-4FBC-BD66-56275A446345}" srcOrd="0" destOrd="0" presId="urn:microsoft.com/office/officeart/2005/8/layout/process2"/>
    <dgm:cxn modelId="{2A38FC61-13D0-4850-B527-EF87AA2B9903}" type="presOf" srcId="{904489AA-D3BE-476F-B13D-AE2D28713FB8}" destId="{DAAF3BD6-CC7D-4A79-8050-9A0B57CDF633}" srcOrd="1" destOrd="0" presId="urn:microsoft.com/office/officeart/2005/8/layout/process2"/>
    <dgm:cxn modelId="{1DAD146F-3EF2-42B4-A5F9-B8BFBAB06913}" type="presOf" srcId="{649DE964-31E1-421F-98AB-31BA56DD4D00}" destId="{89297D79-3F7F-41D9-9C5F-C7201785BA04}" srcOrd="0" destOrd="0" presId="urn:microsoft.com/office/officeart/2005/8/layout/process2"/>
    <dgm:cxn modelId="{C457CC1D-C196-4844-93E7-30F5F519B397}" srcId="{6E5AABBF-2615-463A-AA45-F0243FCF96CA}" destId="{03106EF9-D508-4C8E-9E86-100EAF560EFE}" srcOrd="2" destOrd="0" parTransId="{0D4931F3-993B-40AD-937D-644220CA7389}" sibTransId="{3B200A15-D653-45B0-A9F9-996645733A73}"/>
    <dgm:cxn modelId="{BA4CC86A-CB7A-462D-A7FD-B3AAE4E50ED5}" srcId="{6E5AABBF-2615-463A-AA45-F0243FCF96CA}" destId="{85468BA8-FAB5-40F9-A290-E5B4D5DF21CD}" srcOrd="7" destOrd="0" parTransId="{1054E18A-39DA-4251-93DE-86EC324D3583}" sibTransId="{0498CEE6-7601-4B98-A248-C98361F57391}"/>
    <dgm:cxn modelId="{8B29A573-56C3-4962-95C7-1A7700D71B40}" type="presOf" srcId="{3B200A15-D653-45B0-A9F9-996645733A73}" destId="{F8157966-8AE4-4F5B-9465-39577E3AC3FE}" srcOrd="1" destOrd="0" presId="urn:microsoft.com/office/officeart/2005/8/layout/process2"/>
    <dgm:cxn modelId="{8737BCA9-433B-4109-A2E9-C97E1078F0B6}" type="presOf" srcId="{86178588-1726-4E21-85A2-9A7E37B4730A}" destId="{747E9D6D-A236-4591-BB17-D6A70E5DEE11}" srcOrd="0" destOrd="0" presId="urn:microsoft.com/office/officeart/2005/8/layout/process2"/>
    <dgm:cxn modelId="{0AA51F8F-484C-49A8-9F5F-0EC3621C3950}" type="presOf" srcId="{3B200A15-D653-45B0-A9F9-996645733A73}" destId="{EF3B3D7C-824B-4397-9118-7B74ED0DE380}" srcOrd="0" destOrd="0" presId="urn:microsoft.com/office/officeart/2005/8/layout/process2"/>
    <dgm:cxn modelId="{3E92016F-9010-47AD-B9DE-6EC4EAEAA214}" type="presOf" srcId="{904489AA-D3BE-476F-B13D-AE2D28713FB8}" destId="{AB4FEBA1-CBDF-4588-8409-B139DE473A37}" srcOrd="0" destOrd="0" presId="urn:microsoft.com/office/officeart/2005/8/layout/process2"/>
    <dgm:cxn modelId="{8164363E-2104-4B65-8779-1512A8B10D77}" type="presParOf" srcId="{51E85944-543A-4737-A85F-B37B934EBC9D}" destId="{89297D79-3F7F-41D9-9C5F-C7201785BA04}" srcOrd="0" destOrd="0" presId="urn:microsoft.com/office/officeart/2005/8/layout/process2"/>
    <dgm:cxn modelId="{EE7FE5E8-8D6C-423D-B073-10538F7AF552}" type="presParOf" srcId="{51E85944-543A-4737-A85F-B37B934EBC9D}" destId="{9723E436-D5D6-47FD-BD10-6533203DCA54}" srcOrd="1" destOrd="0" presId="urn:microsoft.com/office/officeart/2005/8/layout/process2"/>
    <dgm:cxn modelId="{0E6BCEBD-F7C7-42DC-9F4A-156DB556B952}" type="presParOf" srcId="{9723E436-D5D6-47FD-BD10-6533203DCA54}" destId="{8C722DEF-E0C2-4847-95C8-106DF9D5CA8E}" srcOrd="0" destOrd="0" presId="urn:microsoft.com/office/officeart/2005/8/layout/process2"/>
    <dgm:cxn modelId="{138BC2BC-99BC-4F07-A406-5ABC80314EE0}" type="presParOf" srcId="{51E85944-543A-4737-A85F-B37B934EBC9D}" destId="{3C0C7018-9CCE-4A80-B771-FA88B5099E67}" srcOrd="2" destOrd="0" presId="urn:microsoft.com/office/officeart/2005/8/layout/process2"/>
    <dgm:cxn modelId="{666AA7E5-8803-493D-8793-E06CB0DF7D5C}" type="presParOf" srcId="{51E85944-543A-4737-A85F-B37B934EBC9D}" destId="{AB4FEBA1-CBDF-4588-8409-B139DE473A37}" srcOrd="3" destOrd="0" presId="urn:microsoft.com/office/officeart/2005/8/layout/process2"/>
    <dgm:cxn modelId="{7F242D38-0C01-4A9E-B27F-574D7EC4E87B}" type="presParOf" srcId="{AB4FEBA1-CBDF-4588-8409-B139DE473A37}" destId="{DAAF3BD6-CC7D-4A79-8050-9A0B57CDF633}" srcOrd="0" destOrd="0" presId="urn:microsoft.com/office/officeart/2005/8/layout/process2"/>
    <dgm:cxn modelId="{E2A1782D-A013-4ECB-833F-33F3885D23F6}" type="presParOf" srcId="{51E85944-543A-4737-A85F-B37B934EBC9D}" destId="{81E3EFA2-46BE-4D90-AD37-9B8E825546B2}" srcOrd="4" destOrd="0" presId="urn:microsoft.com/office/officeart/2005/8/layout/process2"/>
    <dgm:cxn modelId="{750459C7-464E-47B2-91D0-CC1A85608B79}" type="presParOf" srcId="{51E85944-543A-4737-A85F-B37B934EBC9D}" destId="{EF3B3D7C-824B-4397-9118-7B74ED0DE380}" srcOrd="5" destOrd="0" presId="urn:microsoft.com/office/officeart/2005/8/layout/process2"/>
    <dgm:cxn modelId="{72B0CBD9-E21D-4371-A2A9-42A616F9B27D}" type="presParOf" srcId="{EF3B3D7C-824B-4397-9118-7B74ED0DE380}" destId="{F8157966-8AE4-4F5B-9465-39577E3AC3FE}" srcOrd="0" destOrd="0" presId="urn:microsoft.com/office/officeart/2005/8/layout/process2"/>
    <dgm:cxn modelId="{D7DECA2C-0E6E-4EDF-8722-6C795EB96F46}" type="presParOf" srcId="{51E85944-543A-4737-A85F-B37B934EBC9D}" destId="{9AE9AF15-63D1-4284-82D0-70127CA2B7B1}" srcOrd="6" destOrd="0" presId="urn:microsoft.com/office/officeart/2005/8/layout/process2"/>
    <dgm:cxn modelId="{1BFBF5D7-6B20-4237-BDD3-A9F322317328}" type="presParOf" srcId="{51E85944-543A-4737-A85F-B37B934EBC9D}" destId="{A85EF0CF-9332-4A93-AF33-53439437DA4C}" srcOrd="7" destOrd="0" presId="urn:microsoft.com/office/officeart/2005/8/layout/process2"/>
    <dgm:cxn modelId="{EF3A57A8-689A-4C7D-A06E-8156FCB6757C}" type="presParOf" srcId="{A85EF0CF-9332-4A93-AF33-53439437DA4C}" destId="{92C9D5E0-7696-4064-B6C3-0EF0273082F0}" srcOrd="0" destOrd="0" presId="urn:microsoft.com/office/officeart/2005/8/layout/process2"/>
    <dgm:cxn modelId="{0AD75A8D-3AE4-4CAA-8BEF-9C92DA64D2B2}" type="presParOf" srcId="{51E85944-543A-4737-A85F-B37B934EBC9D}" destId="{275CE8B9-A4AA-4E59-8EA5-A9572A61CA7F}" srcOrd="8" destOrd="0" presId="urn:microsoft.com/office/officeart/2005/8/layout/process2"/>
    <dgm:cxn modelId="{D22020A1-FB5F-4C2B-9E8D-876F2BE39D22}" type="presParOf" srcId="{51E85944-543A-4737-A85F-B37B934EBC9D}" destId="{747E9D6D-A236-4591-BB17-D6A70E5DEE11}" srcOrd="9" destOrd="0" presId="urn:microsoft.com/office/officeart/2005/8/layout/process2"/>
    <dgm:cxn modelId="{07EBB167-CE64-4E61-8D7B-3A7B365479F9}" type="presParOf" srcId="{747E9D6D-A236-4591-BB17-D6A70E5DEE11}" destId="{5A35DC26-30C9-48FF-B305-135F7EA11F8B}" srcOrd="0" destOrd="0" presId="urn:microsoft.com/office/officeart/2005/8/layout/process2"/>
    <dgm:cxn modelId="{0EFCADCC-F3F9-43A6-BA9D-2092C85D8C36}" type="presParOf" srcId="{51E85944-543A-4737-A85F-B37B934EBC9D}" destId="{AA9950AE-094C-451A-B9F2-25E163063C9D}" srcOrd="10" destOrd="0" presId="urn:microsoft.com/office/officeart/2005/8/layout/process2"/>
    <dgm:cxn modelId="{17867A06-A2C1-4D89-88EF-95B11B53591F}" type="presParOf" srcId="{51E85944-543A-4737-A85F-B37B934EBC9D}" destId="{FBE12DA4-5629-4183-B6C6-8B26A92421FD}" srcOrd="11" destOrd="0" presId="urn:microsoft.com/office/officeart/2005/8/layout/process2"/>
    <dgm:cxn modelId="{66D2805D-CA01-4CA4-8047-0C3E818707BC}" type="presParOf" srcId="{FBE12DA4-5629-4183-B6C6-8B26A92421FD}" destId="{4CDEC24D-FF9E-4C80-A0AC-A30516263343}" srcOrd="0" destOrd="0" presId="urn:microsoft.com/office/officeart/2005/8/layout/process2"/>
    <dgm:cxn modelId="{5971D0E3-67E7-418B-9068-19001D664FF6}" type="presParOf" srcId="{51E85944-543A-4737-A85F-B37B934EBC9D}" destId="{90671D89-307A-49C8-AE32-BFCF01B1583A}" srcOrd="12" destOrd="0" presId="urn:microsoft.com/office/officeart/2005/8/layout/process2"/>
    <dgm:cxn modelId="{372F26BF-AAB7-43B5-AF37-6B6702575FA6}" type="presParOf" srcId="{51E85944-543A-4737-A85F-B37B934EBC9D}" destId="{4778392D-CF85-4B67-8052-B3C2E36D1356}" srcOrd="13" destOrd="0" presId="urn:microsoft.com/office/officeart/2005/8/layout/process2"/>
    <dgm:cxn modelId="{6FF7D0F4-9464-4998-BAB5-88451C49E8DC}" type="presParOf" srcId="{4778392D-CF85-4B67-8052-B3C2E36D1356}" destId="{5DE03994-053D-4810-9B5F-B1A1FB02AE9F}" srcOrd="0" destOrd="0" presId="urn:microsoft.com/office/officeart/2005/8/layout/process2"/>
    <dgm:cxn modelId="{B417CF68-5230-42C3-928A-D5987B0F38B4}" type="presParOf" srcId="{51E85944-543A-4737-A85F-B37B934EBC9D}" destId="{ACC6D824-8FBF-4658-B257-68122C387B95}" srcOrd="14" destOrd="0" presId="urn:microsoft.com/office/officeart/2005/8/layout/process2"/>
    <dgm:cxn modelId="{D5AABFCE-5A5C-4263-90ED-46527AC05B75}" type="presParOf" srcId="{51E85944-543A-4737-A85F-B37B934EBC9D}" destId="{D0C820F4-4D45-4FBC-BD66-56275A446345}" srcOrd="15" destOrd="0" presId="urn:microsoft.com/office/officeart/2005/8/layout/process2"/>
    <dgm:cxn modelId="{D3A49D3A-082B-4341-9381-80BD5E5259EA}" type="presParOf" srcId="{D0C820F4-4D45-4FBC-BD66-56275A446345}" destId="{3F214298-1D22-4E2E-9AC8-164D3A61BAB2}" srcOrd="0" destOrd="0" presId="urn:microsoft.com/office/officeart/2005/8/layout/process2"/>
    <dgm:cxn modelId="{B20A8ACC-0CD6-4CD5-8D7E-599DC9801E12}" type="presParOf" srcId="{51E85944-543A-4737-A85F-B37B934EBC9D}" destId="{726550D6-6AD7-4898-AF26-0EFED2511CB9}" srcOrd="16" destOrd="0" presId="urn:microsoft.com/office/officeart/2005/8/layout/process2"/>
  </dgm:cxnLst>
  <dgm:bg/>
  <dgm:whole/>
  <dgm:extLst>
    <a:ext xmlns:a="http://schemas.openxmlformats.org/drawingml/2006/main" uri="http://schemas.microsoft.com/office/drawing/2008/diagram">
      <dsp:dataModelExt xmlns:dsp="http://schemas.microsoft.com/office/drawing/2008/diagram" minVer="http://schemas.openxmlformats.org/drawingml/2006/diagram" relId="rId26"/>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1D3F8-2A36-4A46-BFE0-D80B99A10930}">
      <dsp:nvSpPr>
        <dsp:cNvPr id="0" name=""/>
        <dsp:cNvSpPr/>
      </dsp:nvSpPr>
      <dsp:spPr>
        <a:xfrm>
          <a:off x="1535540" y="42944"/>
          <a:ext cx="2681539" cy="536301"/>
        </a:xfrm>
        <a:prstGeom prst="roundRect">
          <a:avLst>
            <a:gd name="adj" fmla="val 10000"/>
          </a:avLst>
        </a:prstGeom>
        <a:solidFill>
          <a:schemeClr val="accent4">
            <a:hueOff val="0"/>
            <a:satOff val="0"/>
            <a:lumOff val="0"/>
            <a:alphaOff val="0"/>
          </a:schemeClr>
        </a:solidFill>
        <a:ln w="25400">
          <a:solidFill>
            <a:schemeClr val="lt1">
              <a:hueOff val="0"/>
              <a:satOff val="0"/>
              <a:lumOff val="0"/>
              <a:alphaOff val="0"/>
            </a:scheme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lstStyle/>
        <a:p>
          <a:pPr lvl="0" algn="ctr" defTabSz="844550" rtl="1">
            <a:lnSpc>
              <a:spcPct val="90000"/>
            </a:lnSpc>
            <a:spcBef>
              <a:spcPct val="0"/>
            </a:spcBef>
            <a:spcAft>
              <a:spcPct val="35000"/>
            </a:spcAft>
          </a:pPr>
          <a:r>
            <a:rPr lang="he-IL" sz="1900" b="1" kern="1200">
              <a:latin typeface="David" panose="020E0502060401010101" pitchFamily="34" charset="-79"/>
              <a:cs typeface="David" panose="020E0502060401010101" pitchFamily="34" charset="-79"/>
            </a:rPr>
            <a:t>תכליות קבלת מידע מקדים על נוסע</a:t>
          </a:r>
        </a:p>
      </dsp:txBody>
      <dsp:txXfrm>
        <a:off x="1551248" y="58652"/>
        <a:ext cx="2650123" cy="504885"/>
      </dsp:txXfrm>
    </dsp:sp>
    <dsp:sp modelId="{BF8C9E72-910F-4EC5-8044-3EEC297B3EA9}">
      <dsp:nvSpPr>
        <dsp:cNvPr id="0" name=""/>
        <dsp:cNvSpPr/>
      </dsp:nvSpPr>
      <dsp:spPr>
        <a:xfrm>
          <a:off x="1269397" y="634731"/>
          <a:ext cx="536301" cy="536301"/>
        </a:xfrm>
        <a:prstGeom prst="roundRect">
          <a:avLst>
            <a:gd name="adj" fmla="val 17000"/>
          </a:avLst>
        </a:prstGeom>
        <a: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 xmlns:asvg="http://schemas.microsoft.com/office/drawing/2016/SVG/main" xmlns:r="http://schemas.openxmlformats.org/officeDocument/2006/relationships" r:embed="rId2"/>
              </a:ext>
            </a:extLst>
          </a:blip>
          <a:stretch>
            <a:fillRect/>
          </a:stretch>
        </a:blipFill>
        <a:ln w="25400">
          <a:solidFill>
            <a:schemeClr val="lt1">
              <a:hueOff val="0"/>
              <a:satOff val="0"/>
              <a:lumOff val="0"/>
              <a:alphaOff val="0"/>
            </a:schemeClr>
          </a:solidFill>
        </a:ln>
        <a:effectLst/>
      </dsp:spPr>
      <dsp:style>
        <a:lnRef idx="2">
          <a:scrgbClr r="0" g="0" b="0"/>
        </a:lnRef>
        <a:fillRef idx="1">
          <a:scrgbClr r="0" g="0" b="0"/>
        </a:fillRef>
        <a:effectRef idx="0">
          <a:scrgbClr r="0" g="0" b="0"/>
        </a:effectRef>
        <a:fontRef idx="minor">
          <a:schemeClr val="lt1"/>
        </a:fontRef>
      </dsp:style>
    </dsp:sp>
    <dsp:sp modelId="{14D18BE7-8F9E-45EB-A73D-090EBF544B2C}">
      <dsp:nvSpPr>
        <dsp:cNvPr id="0" name=""/>
        <dsp:cNvSpPr/>
      </dsp:nvSpPr>
      <dsp:spPr>
        <a:xfrm>
          <a:off x="1837876" y="634731"/>
          <a:ext cx="2113060" cy="536301"/>
        </a:xfrm>
        <a:prstGeom prst="roundRect">
          <a:avLst>
            <a:gd name="adj" fmla="val 17000"/>
          </a:avLst>
        </a:prstGeom>
        <a:solidFill>
          <a:schemeClr val="accent5">
            <a:hueOff val="0"/>
            <a:satOff val="0"/>
            <a:lumOff val="0"/>
            <a:alphaOff val="0"/>
          </a:schemeClr>
        </a:solidFill>
        <a:ln w="25400">
          <a:solidFill>
            <a:schemeClr val="lt1">
              <a:hueOff val="0"/>
              <a:satOff val="0"/>
              <a:lumOff val="0"/>
              <a:alphaOff val="0"/>
            </a:scheme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לקבוע את רמת הסיכון של הנוסע לפני הגעתו לישראל ולמנוע ממנו לעלות על הטיסה במידת הצורך</a:t>
          </a:r>
        </a:p>
      </dsp:txBody>
      <dsp:txXfrm>
        <a:off x="1864579" y="661434"/>
        <a:ext cx="2059654" cy="482895"/>
      </dsp:txXfrm>
    </dsp:sp>
    <dsp:sp modelId="{741504A5-D996-4E2E-801E-D253222CB4E2}">
      <dsp:nvSpPr>
        <dsp:cNvPr id="0" name=""/>
        <dsp:cNvSpPr/>
      </dsp:nvSpPr>
      <dsp:spPr>
        <a:xfrm>
          <a:off x="1269397" y="1235388"/>
          <a:ext cx="536301" cy="536301"/>
        </a:xfrm>
        <a:prstGeom prst="roundRect">
          <a:avLst>
            <a:gd name="adj" fmla="val 17000"/>
          </a:avLst>
        </a:prstGeom>
        <a: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 xmlns:asvg="http://schemas.microsoft.com/office/drawing/2016/SVG/main" xmlns:r="http://schemas.openxmlformats.org/officeDocument/2006/relationships" r:embed="rId4"/>
              </a:ext>
            </a:extLst>
          </a:blip>
          <a:stretch>
            <a:fillRect/>
          </a:stretch>
        </a:blipFill>
        <a:ln w="25400">
          <a:solidFill>
            <a:schemeClr val="lt1">
              <a:hueOff val="0"/>
              <a:satOff val="0"/>
              <a:lumOff val="0"/>
              <a:alphaOff val="0"/>
            </a:schemeClr>
          </a:solidFill>
        </a:ln>
        <a:effectLst/>
      </dsp:spPr>
      <dsp:style>
        <a:lnRef idx="2">
          <a:scrgbClr r="0" g="0" b="0"/>
        </a:lnRef>
        <a:fillRef idx="1">
          <a:scrgbClr r="0" g="0" b="0"/>
        </a:fillRef>
        <a:effectRef idx="0">
          <a:scrgbClr r="0" g="0" b="0"/>
        </a:effectRef>
        <a:fontRef idx="minor">
          <a:schemeClr val="lt1"/>
        </a:fontRef>
      </dsp:style>
    </dsp:sp>
    <dsp:sp modelId="{FE462258-F512-4F62-AF15-E48BADB3FB43}">
      <dsp:nvSpPr>
        <dsp:cNvPr id="0" name=""/>
        <dsp:cNvSpPr/>
      </dsp:nvSpPr>
      <dsp:spPr>
        <a:xfrm>
          <a:off x="1837876" y="1235388"/>
          <a:ext cx="2113060" cy="536301"/>
        </a:xfrm>
        <a:prstGeom prst="roundRect">
          <a:avLst>
            <a:gd name="adj" fmla="val 17000"/>
          </a:avLst>
        </a:prstGeom>
        <a:solidFill>
          <a:schemeClr val="accent5">
            <a:hueOff val="-1986775"/>
            <a:satOff val="7962"/>
            <a:lumOff val="1726"/>
            <a:alphaOff val="0"/>
          </a:schemeClr>
        </a:solidFill>
        <a:ln w="25400">
          <a:solidFill>
            <a:schemeClr val="lt1">
              <a:hueOff val="0"/>
              <a:satOff val="0"/>
              <a:lumOff val="0"/>
              <a:alphaOff val="0"/>
            </a:scheme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lstStyle/>
        <a:p>
          <a:pPr lvl="0" algn="ctr" defTabSz="577850" rtl="1">
            <a:lnSpc>
              <a:spcPct val="90000"/>
            </a:lnSpc>
            <a:spcBef>
              <a:spcPct val="0"/>
            </a:spcBef>
            <a:spcAft>
              <a:spcPct val="35000"/>
            </a:spcAft>
          </a:pPr>
          <a:r>
            <a:rPr lang="he-IL" sz="1300" b="0" kern="1200">
              <a:latin typeface="David" panose="020E0502060401010101" pitchFamily="34" charset="-79"/>
              <a:cs typeface="David" panose="020E0502060401010101" pitchFamily="34" charset="-79"/>
            </a:rPr>
            <a:t>לצמצם את מספר הנוסעים שנדחתה בקשתם להיכנס לישראל</a:t>
          </a:r>
        </a:p>
      </dsp:txBody>
      <dsp:txXfrm>
        <a:off x="1864579" y="1262091"/>
        <a:ext cx="2059654" cy="482895"/>
      </dsp:txXfrm>
    </dsp:sp>
    <dsp:sp modelId="{F9E23BE1-A855-43A7-8816-DF17B9A1039E}">
      <dsp:nvSpPr>
        <dsp:cNvPr id="0" name=""/>
        <dsp:cNvSpPr/>
      </dsp:nvSpPr>
      <dsp:spPr>
        <a:xfrm>
          <a:off x="1269397" y="1836046"/>
          <a:ext cx="536301" cy="536301"/>
        </a:xfrm>
        <a:prstGeom prst="roundRect">
          <a:avLst>
            <a:gd name="adj" fmla="val 17000"/>
          </a:avLst>
        </a:prstGeom>
        <a:blipFill>
          <a:blip xmlns:r="http://schemas.openxmlformats.org/officeDocument/2006/relationships" r:embed="rId3"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 xmlns:asvg="http://schemas.microsoft.com/office/drawing/2016/SVG/main" xmlns:r="http://schemas.openxmlformats.org/officeDocument/2006/relationships" r:embed="rId6"/>
              </a:ext>
            </a:extLst>
          </a:blip>
          <a:stretch>
            <a:fillRect/>
          </a:stretch>
        </a:blipFill>
        <a:ln w="25400">
          <a:solidFill>
            <a:schemeClr val="lt1">
              <a:hueOff val="0"/>
              <a:satOff val="0"/>
              <a:lumOff val="0"/>
              <a:alphaOff val="0"/>
            </a:schemeClr>
          </a:solidFill>
        </a:ln>
        <a:effectLst/>
      </dsp:spPr>
      <dsp:style>
        <a:lnRef idx="2">
          <a:scrgbClr r="0" g="0" b="0"/>
        </a:lnRef>
        <a:fillRef idx="1">
          <a:scrgbClr r="0" g="0" b="0"/>
        </a:fillRef>
        <a:effectRef idx="0">
          <a:scrgbClr r="0" g="0" b="0"/>
        </a:effectRef>
        <a:fontRef idx="minor">
          <a:schemeClr val="lt1"/>
        </a:fontRef>
      </dsp:style>
    </dsp:sp>
    <dsp:sp modelId="{9B851A7C-BFB7-41A5-9D1B-7C9DAABD46C8}">
      <dsp:nvSpPr>
        <dsp:cNvPr id="0" name=""/>
        <dsp:cNvSpPr/>
      </dsp:nvSpPr>
      <dsp:spPr>
        <a:xfrm>
          <a:off x="1837876" y="1836046"/>
          <a:ext cx="2113060" cy="536301"/>
        </a:xfrm>
        <a:prstGeom prst="roundRect">
          <a:avLst>
            <a:gd name="adj" fmla="val 17000"/>
          </a:avLst>
        </a:prstGeom>
        <a:solidFill>
          <a:schemeClr val="accent5">
            <a:hueOff val="-3973551"/>
            <a:satOff val="15924"/>
            <a:lumOff val="3451"/>
            <a:alphaOff val="0"/>
          </a:schemeClr>
        </a:solidFill>
        <a:ln w="25400">
          <a:solidFill>
            <a:schemeClr val="lt1">
              <a:hueOff val="0"/>
              <a:satOff val="0"/>
              <a:lumOff val="0"/>
              <a:alphaOff val="0"/>
            </a:scheme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lstStyle/>
        <a:p>
          <a:pPr lvl="0" algn="ctr" defTabSz="577850" rtl="1">
            <a:lnSpc>
              <a:spcPct val="90000"/>
            </a:lnSpc>
            <a:spcBef>
              <a:spcPct val="0"/>
            </a:spcBef>
            <a:spcAft>
              <a:spcPct val="35000"/>
            </a:spcAft>
          </a:pPr>
          <a:r>
            <a:rPr lang="he-IL" sz="1300" b="0" kern="1200">
              <a:latin typeface="David" panose="020E0502060401010101" pitchFamily="34" charset="-79"/>
              <a:cs typeface="David" panose="020E0502060401010101" pitchFamily="34" charset="-79"/>
            </a:rPr>
            <a:t>לצמצם את שלבי הבידוק של נוסעים שאינם מסוכנים</a:t>
          </a:r>
        </a:p>
      </dsp:txBody>
      <dsp:txXfrm>
        <a:off x="1864579" y="1862749"/>
        <a:ext cx="2059654" cy="482895"/>
      </dsp:txXfrm>
    </dsp:sp>
    <dsp:sp modelId="{29407D55-3911-44A6-BC45-3CA691BA0CA7}">
      <dsp:nvSpPr>
        <dsp:cNvPr id="0" name=""/>
        <dsp:cNvSpPr/>
      </dsp:nvSpPr>
      <dsp:spPr>
        <a:xfrm>
          <a:off x="1269397" y="2436703"/>
          <a:ext cx="536301" cy="536301"/>
        </a:xfrm>
        <a:prstGeom prst="roundRect">
          <a:avLst>
            <a:gd name="adj" fmla="val 17000"/>
          </a:avLst>
        </a:prstGeom>
        <a: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 xmlns:asvg="http://schemas.microsoft.com/office/drawing/2016/SVG/main" xmlns:r="http://schemas.openxmlformats.org/officeDocument/2006/relationships" r:embed=""/>
              </a:ext>
            </a:extLst>
          </a:blip>
          <a:stretch>
            <a:fillRect/>
          </a:stretch>
        </a:blipFill>
        <a:ln w="25400">
          <a:solidFill>
            <a:schemeClr val="lt1">
              <a:hueOff val="0"/>
              <a:satOff val="0"/>
              <a:lumOff val="0"/>
              <a:alphaOff val="0"/>
            </a:schemeClr>
          </a:solidFill>
        </a:ln>
        <a:effectLst/>
      </dsp:spPr>
      <dsp:style>
        <a:lnRef idx="2">
          <a:scrgbClr r="0" g="0" b="0"/>
        </a:lnRef>
        <a:fillRef idx="1">
          <a:scrgbClr r="0" g="0" b="0"/>
        </a:fillRef>
        <a:effectRef idx="0">
          <a:scrgbClr r="0" g="0" b="0"/>
        </a:effectRef>
        <a:fontRef idx="minor">
          <a:schemeClr val="lt1"/>
        </a:fontRef>
      </dsp:style>
    </dsp:sp>
    <dsp:sp modelId="{BC2423B2-BE36-4AB1-BB12-4D5FE27E3704}">
      <dsp:nvSpPr>
        <dsp:cNvPr id="0" name=""/>
        <dsp:cNvSpPr/>
      </dsp:nvSpPr>
      <dsp:spPr>
        <a:xfrm>
          <a:off x="1837876" y="2436703"/>
          <a:ext cx="2113060" cy="536301"/>
        </a:xfrm>
        <a:prstGeom prst="roundRect">
          <a:avLst>
            <a:gd name="adj" fmla="val 17000"/>
          </a:avLst>
        </a:prstGeom>
        <a:solidFill>
          <a:schemeClr val="accent5">
            <a:hueOff val="-5960326"/>
            <a:satOff val="23887"/>
            <a:lumOff val="5177"/>
            <a:alphaOff val="0"/>
          </a:schemeClr>
        </a:solidFill>
        <a:ln w="25400">
          <a:solidFill>
            <a:schemeClr val="lt1">
              <a:hueOff val="0"/>
              <a:satOff val="0"/>
              <a:lumOff val="0"/>
              <a:alphaOff val="0"/>
            </a:scheme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lstStyle/>
        <a:p>
          <a:pPr lvl="0" algn="ctr" defTabSz="577850" rtl="1">
            <a:lnSpc>
              <a:spcPct val="90000"/>
            </a:lnSpc>
            <a:spcBef>
              <a:spcPct val="0"/>
            </a:spcBef>
            <a:spcAft>
              <a:spcPct val="35000"/>
            </a:spcAft>
          </a:pPr>
          <a:r>
            <a:rPr lang="he-IL" sz="1300" b="0" kern="1200">
              <a:latin typeface="David" panose="020E0502060401010101" pitchFamily="34" charset="-79"/>
              <a:cs typeface="David" panose="020E0502060401010101" pitchFamily="34" charset="-79"/>
            </a:rPr>
            <a:t>להפנות כוח אדם העוסק בבקרה למשימות אחרות</a:t>
          </a:r>
        </a:p>
      </dsp:txBody>
      <dsp:txXfrm>
        <a:off x="1864579" y="2463406"/>
        <a:ext cx="2059654" cy="482895"/>
      </dsp:txXfrm>
    </dsp:sp>
    <dsp:sp modelId="{31804024-47F3-4765-9ADB-7E4047D68FB6}">
      <dsp:nvSpPr>
        <dsp:cNvPr id="0" name=""/>
        <dsp:cNvSpPr/>
      </dsp:nvSpPr>
      <dsp:spPr>
        <a:xfrm>
          <a:off x="1269397" y="3037360"/>
          <a:ext cx="536301" cy="536301"/>
        </a:xfrm>
        <a:prstGeom prst="roundRect">
          <a:avLst>
            <a:gd name="adj" fmla="val 17000"/>
          </a:avLst>
        </a:prstGeom>
        <a: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 xmlns:asvg="http://schemas.microsoft.com/office/drawing/2016/SVG/main" xmlns:r="http://schemas.openxmlformats.org/officeDocument/2006/relationships" r:embed=""/>
              </a:ext>
            </a:extLst>
          </a:blip>
          <a:stretch>
            <a:fillRect/>
          </a:stretch>
        </a:blipFill>
        <a:ln w="25400">
          <a:solidFill>
            <a:schemeClr val="lt1">
              <a:hueOff val="0"/>
              <a:satOff val="0"/>
              <a:lumOff val="0"/>
              <a:alphaOff val="0"/>
            </a:schemeClr>
          </a:solidFill>
        </a:ln>
        <a:effectLst/>
      </dsp:spPr>
      <dsp:style>
        <a:lnRef idx="2">
          <a:scrgbClr r="0" g="0" b="0"/>
        </a:lnRef>
        <a:fillRef idx="1">
          <a:scrgbClr r="0" g="0" b="0"/>
        </a:fillRef>
        <a:effectRef idx="0">
          <a:scrgbClr r="0" g="0" b="0"/>
        </a:effectRef>
        <a:fontRef idx="minor">
          <a:schemeClr val="lt1"/>
        </a:fontRef>
      </dsp:style>
    </dsp:sp>
    <dsp:sp modelId="{5010A5B9-68DF-4B3F-AC71-B1893423050A}">
      <dsp:nvSpPr>
        <dsp:cNvPr id="0" name=""/>
        <dsp:cNvSpPr/>
      </dsp:nvSpPr>
      <dsp:spPr>
        <a:xfrm>
          <a:off x="1837876" y="3037360"/>
          <a:ext cx="2113060" cy="536301"/>
        </a:xfrm>
        <a:prstGeom prst="roundRect">
          <a:avLst>
            <a:gd name="adj" fmla="val 17000"/>
          </a:avLst>
        </a:prstGeom>
        <a:solidFill>
          <a:srgbClr val="99CC00"/>
        </a:solidFill>
        <a:ln w="25400">
          <a:solidFill>
            <a:schemeClr val="lt1">
              <a:hueOff val="0"/>
              <a:satOff val="0"/>
              <a:lumOff val="0"/>
              <a:alphaOff val="0"/>
            </a:scheme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lstStyle/>
        <a:p>
          <a:pPr lvl="0" algn="ctr" defTabSz="577850" rtl="1">
            <a:lnSpc>
              <a:spcPct val="90000"/>
            </a:lnSpc>
            <a:spcBef>
              <a:spcPct val="0"/>
            </a:spcBef>
            <a:spcAft>
              <a:spcPct val="35000"/>
            </a:spcAft>
          </a:pPr>
          <a:r>
            <a:rPr lang="he-IL" sz="1300" b="0" kern="1200">
              <a:latin typeface="David" panose="020E0502060401010101" pitchFamily="34" charset="-79"/>
              <a:cs typeface="David" panose="020E0502060401010101" pitchFamily="34" charset="-79"/>
            </a:rPr>
            <a:t>לשפר את השירות לציבור</a:t>
          </a:r>
        </a:p>
      </dsp:txBody>
      <dsp:txXfrm>
        <a:off x="1864579" y="3064063"/>
        <a:ext cx="2059654" cy="482895"/>
      </dsp:txXfrm>
    </dsp:sp>
    <dsp:sp modelId="{3FCBE01D-19CC-453A-92C3-81AFAE9E978B}">
      <dsp:nvSpPr>
        <dsp:cNvPr id="0" name=""/>
        <dsp:cNvSpPr/>
      </dsp:nvSpPr>
      <dsp:spPr>
        <a:xfrm>
          <a:off x="1269397" y="3638017"/>
          <a:ext cx="536301" cy="536301"/>
        </a:xfrm>
        <a:prstGeom prst="roundRect">
          <a:avLst>
            <a:gd name="adj" fmla="val 17000"/>
          </a:avLst>
        </a:prstGeom>
        <a: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 xmlns:asvg="http://schemas.microsoft.com/office/drawing/2016/SVG/main" xmlns:r="http://schemas.openxmlformats.org/officeDocument/2006/relationships" r:embed=""/>
              </a:ext>
            </a:extLst>
          </a:blip>
          <a:stretch>
            <a:fillRect/>
          </a:stretch>
        </a:blipFill>
        <a:ln w="25400">
          <a:solidFill>
            <a:schemeClr val="lt1">
              <a:hueOff val="0"/>
              <a:satOff val="0"/>
              <a:lumOff val="0"/>
              <a:alphaOff val="0"/>
            </a:schemeClr>
          </a:solidFill>
        </a:ln>
        <a:effectLst/>
      </dsp:spPr>
      <dsp:style>
        <a:lnRef idx="2">
          <a:scrgbClr r="0" g="0" b="0"/>
        </a:lnRef>
        <a:fillRef idx="1">
          <a:scrgbClr r="0" g="0" b="0"/>
        </a:fillRef>
        <a:effectRef idx="0">
          <a:scrgbClr r="0" g="0" b="0"/>
        </a:effectRef>
        <a:fontRef idx="minor">
          <a:schemeClr val="lt1"/>
        </a:fontRef>
      </dsp:style>
    </dsp:sp>
    <dsp:sp modelId="{A053C738-506A-4919-8D26-7B499DE558F9}">
      <dsp:nvSpPr>
        <dsp:cNvPr id="0" name=""/>
        <dsp:cNvSpPr/>
      </dsp:nvSpPr>
      <dsp:spPr>
        <a:xfrm>
          <a:off x="1837876" y="3638017"/>
          <a:ext cx="2113060" cy="536301"/>
        </a:xfrm>
        <a:prstGeom prst="roundRect">
          <a:avLst>
            <a:gd name="adj" fmla="val 17000"/>
          </a:avLst>
        </a:prstGeom>
        <a:solidFill>
          <a:srgbClr val="FF9900"/>
        </a:solidFill>
        <a:ln w="25400">
          <a:solidFill>
            <a:schemeClr val="lt1">
              <a:hueOff val="0"/>
              <a:satOff val="0"/>
              <a:lumOff val="0"/>
              <a:alphaOff val="0"/>
            </a:scheme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lstStyle/>
        <a:p>
          <a:pPr lvl="0" algn="ctr" defTabSz="577850" rtl="1">
            <a:lnSpc>
              <a:spcPct val="90000"/>
            </a:lnSpc>
            <a:spcBef>
              <a:spcPct val="0"/>
            </a:spcBef>
            <a:spcAft>
              <a:spcPct val="35000"/>
            </a:spcAft>
          </a:pPr>
          <a:r>
            <a:rPr lang="he-IL" sz="1300" b="0" kern="1200">
              <a:latin typeface="David" panose="020E0502060401010101" pitchFamily="34" charset="-79"/>
              <a:cs typeface="David" panose="020E0502060401010101" pitchFamily="34" charset="-79"/>
            </a:rPr>
            <a:t> לצמצם את מספר הזרים השוהים בישראל שלא כחוק</a:t>
          </a:r>
        </a:p>
      </dsp:txBody>
      <dsp:txXfrm>
        <a:off x="1864579" y="3664720"/>
        <a:ext cx="2059654" cy="4828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97D79-3F7F-41D9-9C5F-C7201785BA04}">
      <dsp:nvSpPr>
        <dsp:cNvPr id="0" name=""/>
        <dsp:cNvSpPr/>
      </dsp:nvSpPr>
      <dsp:spPr>
        <a:xfrm>
          <a:off x="1277013" y="3996"/>
          <a:ext cx="2666307" cy="418427"/>
        </a:xfrm>
        <a:prstGeom prst="roundRect">
          <a:avLst>
            <a:gd name="adj" fmla="val 10000"/>
          </a:avLst>
        </a:prstGeom>
        <a:solidFill>
          <a:srgbClr val="C0504D">
            <a:hueOff val="0"/>
            <a:satOff val="0"/>
            <a:lumOff val="0"/>
            <a:alphaOff val="0"/>
          </a:srgbClr>
        </a:solidFill>
        <a:ln w="25400">
          <a:solidFill>
            <a:sysClr val="window" lastClr="FFFFFF">
              <a:hueOff val="0"/>
              <a:satOff val="0"/>
              <a:lumOff val="0"/>
              <a:alphaOff val="0"/>
            </a:sys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lvl="0" algn="ctr" defTabSz="533400" rtl="1">
            <a:lnSpc>
              <a:spcPct val="90000"/>
            </a:lnSpc>
            <a:spcBef>
              <a:spcPct val="0"/>
            </a:spcBef>
            <a:spcAft>
              <a:spcPct val="35000"/>
            </a:spcAft>
          </a:pPr>
          <a:r>
            <a:rPr lang="he-IL" sz="1200" b="1" kern="1200">
              <a:solidFill>
                <a:schemeClr val="bg1"/>
              </a:solidFill>
              <a:latin typeface="David" panose="020E0502060401010101" pitchFamily="34" charset="-79"/>
              <a:ea typeface="+mn-ea"/>
              <a:cs typeface="David" panose="020E0502060401010101" pitchFamily="34" charset="-79"/>
            </a:rPr>
            <a:t>החלטה של המשרד הממשלתי לגבש הצעת חוק או לתקן חוק קיים</a:t>
          </a:r>
        </a:p>
      </dsp:txBody>
      <dsp:txXfrm>
        <a:off x="1289268" y="16251"/>
        <a:ext cx="2641797" cy="393917"/>
      </dsp:txXfrm>
    </dsp:sp>
    <dsp:sp modelId="{9723E436-D5D6-47FD-BD10-6533203DCA54}">
      <dsp:nvSpPr>
        <dsp:cNvPr id="0" name=""/>
        <dsp:cNvSpPr/>
      </dsp:nvSpPr>
      <dsp:spPr>
        <a:xfrm rot="5400000">
          <a:off x="2555506" y="429711"/>
          <a:ext cx="109322" cy="131186"/>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lstStyle/>
        <a:p>
          <a:pPr lvl="0" algn="ctr" defTabSz="222250" rtl="1">
            <a:lnSpc>
              <a:spcPct val="90000"/>
            </a:lnSpc>
            <a:spcBef>
              <a:spcPct val="0"/>
            </a:spcBef>
            <a:spcAft>
              <a:spcPct val="35000"/>
            </a:spcAft>
          </a:pPr>
          <a:endParaRPr lang="he-IL" sz="500" kern="1200">
            <a:solidFill>
              <a:sysClr val="window" lastClr="FFFFFF"/>
            </a:solidFill>
            <a:latin typeface="Calibri"/>
            <a:ea typeface="+mn-ea"/>
            <a:cs typeface="Arial" panose="020B0604020202020204" pitchFamily="34" charset="0"/>
          </a:endParaRPr>
        </a:p>
      </dsp:txBody>
      <dsp:txXfrm rot="16200000">
        <a:off x="2570812" y="440643"/>
        <a:ext cx="78712" cy="76525"/>
      </dsp:txXfrm>
    </dsp:sp>
    <dsp:sp modelId="{3C0C7018-9CCE-4A80-B771-FA88B5099E67}">
      <dsp:nvSpPr>
        <dsp:cNvPr id="0" name=""/>
        <dsp:cNvSpPr/>
      </dsp:nvSpPr>
      <dsp:spPr>
        <a:xfrm>
          <a:off x="1269066" y="568186"/>
          <a:ext cx="2682201" cy="377893"/>
        </a:xfrm>
        <a:prstGeom prst="roundRect">
          <a:avLst>
            <a:gd name="adj" fmla="val 10000"/>
          </a:avLst>
        </a:prstGeom>
        <a:solidFill>
          <a:srgbClr val="9BBB59">
            <a:hueOff val="0"/>
            <a:satOff val="0"/>
            <a:lumOff val="0"/>
            <a:alphaOff val="0"/>
          </a:srgbClr>
        </a:solidFill>
        <a:ln w="25400">
          <a:solidFill>
            <a:sysClr val="window" lastClr="FFFFFF">
              <a:hueOff val="0"/>
              <a:satOff val="0"/>
              <a:lumOff val="0"/>
              <a:alphaOff val="0"/>
            </a:sys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lvl="0" algn="ctr" defTabSz="533400" rtl="1">
            <a:lnSpc>
              <a:spcPct val="90000"/>
            </a:lnSpc>
            <a:spcBef>
              <a:spcPct val="0"/>
            </a:spcBef>
            <a:spcAft>
              <a:spcPct val="35000"/>
            </a:spcAft>
          </a:pPr>
          <a:r>
            <a:rPr lang="he-IL" sz="1200" b="1" kern="1200">
              <a:solidFill>
                <a:schemeClr val="bg1"/>
              </a:solidFill>
              <a:latin typeface="David" panose="020E0502060401010101" pitchFamily="34" charset="-79"/>
              <a:ea typeface="+mn-ea"/>
              <a:cs typeface="David" panose="020E0502060401010101" pitchFamily="34" charset="-79"/>
            </a:rPr>
            <a:t>גיבוש תזכיר הצעת חוק הכולל את נוסח החוק או את התיקון המוצע ואת ההסבר לצורך בו</a:t>
          </a:r>
        </a:p>
      </dsp:txBody>
      <dsp:txXfrm>
        <a:off x="1280134" y="579254"/>
        <a:ext cx="2660065" cy="355757"/>
      </dsp:txXfrm>
    </dsp:sp>
    <dsp:sp modelId="{AB4FEBA1-CBDF-4588-8409-B139DE473A37}">
      <dsp:nvSpPr>
        <dsp:cNvPr id="0" name=""/>
        <dsp:cNvSpPr/>
      </dsp:nvSpPr>
      <dsp:spPr>
        <a:xfrm rot="5400000">
          <a:off x="2555506" y="953368"/>
          <a:ext cx="109322" cy="131186"/>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lstStyle/>
        <a:p>
          <a:pPr lvl="0" algn="ctr" defTabSz="222250" rtl="1">
            <a:lnSpc>
              <a:spcPct val="90000"/>
            </a:lnSpc>
            <a:spcBef>
              <a:spcPct val="0"/>
            </a:spcBef>
            <a:spcAft>
              <a:spcPct val="35000"/>
            </a:spcAft>
          </a:pPr>
          <a:endParaRPr lang="he-IL" sz="500" kern="1200">
            <a:solidFill>
              <a:sysClr val="window" lastClr="FFFFFF"/>
            </a:solidFill>
            <a:latin typeface="Calibri"/>
            <a:ea typeface="+mn-ea"/>
            <a:cs typeface="Arial" panose="020B0604020202020204" pitchFamily="34" charset="0"/>
          </a:endParaRPr>
        </a:p>
      </dsp:txBody>
      <dsp:txXfrm rot="16200000">
        <a:off x="2570812" y="964300"/>
        <a:ext cx="78712" cy="76525"/>
      </dsp:txXfrm>
    </dsp:sp>
    <dsp:sp modelId="{81E3EFA2-46BE-4D90-AD37-9B8E825546B2}">
      <dsp:nvSpPr>
        <dsp:cNvPr id="0" name=""/>
        <dsp:cNvSpPr/>
      </dsp:nvSpPr>
      <dsp:spPr>
        <a:xfrm>
          <a:off x="1284966" y="1091843"/>
          <a:ext cx="2650402" cy="555575"/>
        </a:xfrm>
        <a:prstGeom prst="roundRect">
          <a:avLst>
            <a:gd name="adj" fmla="val 10000"/>
          </a:avLst>
        </a:prstGeom>
        <a:solidFill>
          <a:srgbClr val="8064A2">
            <a:hueOff val="0"/>
            <a:satOff val="0"/>
            <a:lumOff val="0"/>
            <a:alphaOff val="0"/>
          </a:srgbClr>
        </a:solidFill>
        <a:ln w="25400">
          <a:solidFill>
            <a:sysClr val="window" lastClr="FFFFFF">
              <a:hueOff val="0"/>
              <a:satOff val="0"/>
              <a:lumOff val="0"/>
              <a:alphaOff val="0"/>
            </a:sys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lvl="0" algn="ctr" defTabSz="533400" rtl="1">
            <a:lnSpc>
              <a:spcPct val="90000"/>
            </a:lnSpc>
            <a:spcBef>
              <a:spcPct val="0"/>
            </a:spcBef>
            <a:spcAft>
              <a:spcPct val="35000"/>
            </a:spcAft>
          </a:pPr>
          <a:r>
            <a:rPr lang="he-IL" sz="1200" b="1" kern="1200">
              <a:solidFill>
                <a:schemeClr val="bg1"/>
              </a:solidFill>
              <a:latin typeface="David" panose="020E0502060401010101" pitchFamily="34" charset="-79"/>
              <a:ea typeface="+mn-ea"/>
              <a:cs typeface="David" panose="020E0502060401010101" pitchFamily="34" charset="-79"/>
            </a:rPr>
            <a:t>הפצת תזכיר החוק לגופים הממשלתיים הרלוונטיים, ובמידת הצורך - לציבור, לצורך קבלת התייחסויות</a:t>
          </a:r>
        </a:p>
      </dsp:txBody>
      <dsp:txXfrm>
        <a:off x="1301238" y="1108115"/>
        <a:ext cx="2617858" cy="523031"/>
      </dsp:txXfrm>
    </dsp:sp>
    <dsp:sp modelId="{EF3B3D7C-824B-4397-9118-7B74ED0DE380}">
      <dsp:nvSpPr>
        <dsp:cNvPr id="0" name=""/>
        <dsp:cNvSpPr/>
      </dsp:nvSpPr>
      <dsp:spPr>
        <a:xfrm rot="5400000">
          <a:off x="2555506" y="1654706"/>
          <a:ext cx="109322" cy="131186"/>
        </a:xfrm>
        <a:prstGeom prst="righ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lstStyle/>
        <a:p>
          <a:pPr lvl="0" algn="ctr" defTabSz="222250" rtl="1">
            <a:lnSpc>
              <a:spcPct val="90000"/>
            </a:lnSpc>
            <a:spcBef>
              <a:spcPct val="0"/>
            </a:spcBef>
            <a:spcAft>
              <a:spcPct val="35000"/>
            </a:spcAft>
          </a:pPr>
          <a:endParaRPr lang="he-IL" sz="500" kern="1200">
            <a:solidFill>
              <a:sysClr val="window" lastClr="FFFFFF"/>
            </a:solidFill>
            <a:latin typeface="Calibri"/>
            <a:ea typeface="+mn-ea"/>
            <a:cs typeface="Arial" panose="020B0604020202020204" pitchFamily="34" charset="0"/>
          </a:endParaRPr>
        </a:p>
      </dsp:txBody>
      <dsp:txXfrm rot="16200000">
        <a:off x="2570812" y="1665638"/>
        <a:ext cx="78712" cy="76525"/>
      </dsp:txXfrm>
    </dsp:sp>
    <dsp:sp modelId="{9AE9AF15-63D1-4284-82D0-70127CA2B7B1}">
      <dsp:nvSpPr>
        <dsp:cNvPr id="0" name=""/>
        <dsp:cNvSpPr/>
      </dsp:nvSpPr>
      <dsp:spPr>
        <a:xfrm>
          <a:off x="1308813" y="1793181"/>
          <a:ext cx="2602708" cy="501444"/>
        </a:xfrm>
        <a:prstGeom prst="roundRect">
          <a:avLst>
            <a:gd name="adj" fmla="val 10000"/>
          </a:avLst>
        </a:prstGeom>
        <a:solidFill>
          <a:srgbClr val="4BACC6">
            <a:hueOff val="0"/>
            <a:satOff val="0"/>
            <a:lumOff val="0"/>
            <a:alphaOff val="0"/>
          </a:srgbClr>
        </a:solidFill>
        <a:ln w="25400">
          <a:solidFill>
            <a:sysClr val="window" lastClr="FFFFFF">
              <a:hueOff val="0"/>
              <a:satOff val="0"/>
              <a:lumOff val="0"/>
              <a:alphaOff val="0"/>
            </a:sys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lvl="0" algn="ctr" defTabSz="533400" rtl="1">
            <a:lnSpc>
              <a:spcPct val="90000"/>
            </a:lnSpc>
            <a:spcBef>
              <a:spcPct val="0"/>
            </a:spcBef>
            <a:spcAft>
              <a:spcPct val="35000"/>
            </a:spcAft>
          </a:pPr>
          <a:r>
            <a:rPr lang="he-IL" sz="1200" b="1" kern="1200">
              <a:solidFill>
                <a:schemeClr val="bg1"/>
              </a:solidFill>
              <a:latin typeface="David" panose="020E0502060401010101" pitchFamily="34" charset="-79"/>
              <a:ea typeface="+mn-ea"/>
              <a:cs typeface="David" panose="020E0502060401010101" pitchFamily="34" charset="-79"/>
            </a:rPr>
            <a:t>גיבוש טיוטת הצעת החוק לנוכח ההתייחסויות שהתקבלו ואישורה בידי היועמ"ש</a:t>
          </a:r>
        </a:p>
      </dsp:txBody>
      <dsp:txXfrm>
        <a:off x="1323500" y="1807868"/>
        <a:ext cx="2573334" cy="472070"/>
      </dsp:txXfrm>
    </dsp:sp>
    <dsp:sp modelId="{A85EF0CF-9332-4A93-AF33-53439437DA4C}">
      <dsp:nvSpPr>
        <dsp:cNvPr id="0" name=""/>
        <dsp:cNvSpPr/>
      </dsp:nvSpPr>
      <dsp:spPr>
        <a:xfrm rot="5400000">
          <a:off x="2555506" y="2301914"/>
          <a:ext cx="109322" cy="131186"/>
        </a:xfrm>
        <a:prstGeom prst="righ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lstStyle/>
        <a:p>
          <a:pPr lvl="0" algn="ctr" defTabSz="222250" rtl="1">
            <a:lnSpc>
              <a:spcPct val="90000"/>
            </a:lnSpc>
            <a:spcBef>
              <a:spcPct val="0"/>
            </a:spcBef>
            <a:spcAft>
              <a:spcPct val="35000"/>
            </a:spcAft>
          </a:pPr>
          <a:endParaRPr lang="he-IL" sz="500" kern="1200">
            <a:solidFill>
              <a:sysClr val="window" lastClr="FFFFFF"/>
            </a:solidFill>
            <a:latin typeface="Calibri"/>
            <a:ea typeface="+mn-ea"/>
            <a:cs typeface="Arial" panose="020B0604020202020204" pitchFamily="34" charset="0"/>
          </a:endParaRPr>
        </a:p>
      </dsp:txBody>
      <dsp:txXfrm rot="16200000">
        <a:off x="2570812" y="2312846"/>
        <a:ext cx="78712" cy="76525"/>
      </dsp:txXfrm>
    </dsp:sp>
    <dsp:sp modelId="{275CE8B9-A4AA-4E59-8EA5-A9572A61CA7F}">
      <dsp:nvSpPr>
        <dsp:cNvPr id="0" name=""/>
        <dsp:cNvSpPr/>
      </dsp:nvSpPr>
      <dsp:spPr>
        <a:xfrm>
          <a:off x="1332665" y="2440389"/>
          <a:ext cx="2555003" cy="291525"/>
        </a:xfrm>
        <a:prstGeom prst="roundRect">
          <a:avLst>
            <a:gd name="adj" fmla="val 10000"/>
          </a:avLst>
        </a:prstGeom>
        <a:solidFill>
          <a:srgbClr val="F79646">
            <a:hueOff val="0"/>
            <a:satOff val="0"/>
            <a:lumOff val="0"/>
            <a:alphaOff val="0"/>
          </a:srgbClr>
        </a:solidFill>
        <a:ln w="25400">
          <a:solidFill>
            <a:sysClr val="window" lastClr="FFFFFF">
              <a:hueOff val="0"/>
              <a:satOff val="0"/>
              <a:lumOff val="0"/>
              <a:alphaOff val="0"/>
            </a:sys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lvl="0" algn="ctr" defTabSz="533400" rtl="1">
            <a:lnSpc>
              <a:spcPct val="90000"/>
            </a:lnSpc>
            <a:spcBef>
              <a:spcPct val="0"/>
            </a:spcBef>
            <a:spcAft>
              <a:spcPct val="35000"/>
            </a:spcAft>
          </a:pPr>
          <a:r>
            <a:rPr lang="he-IL" sz="1200" b="1" kern="1200">
              <a:solidFill>
                <a:schemeClr val="bg1"/>
              </a:solidFill>
              <a:latin typeface="David" panose="020E0502060401010101" pitchFamily="34" charset="-79"/>
              <a:ea typeface="+mn-ea"/>
              <a:cs typeface="David" panose="020E0502060401010101" pitchFamily="34" charset="-79"/>
            </a:rPr>
            <a:t>הגשת טיוטת הצעת החוק לאישור ועדת השרים לענייני חקיקה</a:t>
          </a:r>
        </a:p>
      </dsp:txBody>
      <dsp:txXfrm>
        <a:off x="1341203" y="2448927"/>
        <a:ext cx="2537927" cy="274449"/>
      </dsp:txXfrm>
    </dsp:sp>
    <dsp:sp modelId="{747E9D6D-A236-4591-BB17-D6A70E5DEE11}">
      <dsp:nvSpPr>
        <dsp:cNvPr id="0" name=""/>
        <dsp:cNvSpPr/>
      </dsp:nvSpPr>
      <dsp:spPr>
        <a:xfrm rot="5400000">
          <a:off x="2555506" y="2739203"/>
          <a:ext cx="109322" cy="131186"/>
        </a:xfrm>
        <a:prstGeom prst="rightArrow">
          <a:avLst>
            <a:gd name="adj1" fmla="val 60000"/>
            <a:gd name="adj2" fmla="val 50000"/>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lstStyle/>
        <a:p>
          <a:pPr lvl="0" algn="ctr" defTabSz="222250" rtl="1">
            <a:lnSpc>
              <a:spcPct val="90000"/>
            </a:lnSpc>
            <a:spcBef>
              <a:spcPct val="0"/>
            </a:spcBef>
            <a:spcAft>
              <a:spcPct val="35000"/>
            </a:spcAft>
          </a:pPr>
          <a:endParaRPr lang="he-IL" sz="500" kern="1200">
            <a:solidFill>
              <a:sysClr val="window" lastClr="FFFFFF"/>
            </a:solidFill>
            <a:latin typeface="Calibri"/>
            <a:ea typeface="+mn-ea"/>
            <a:cs typeface="Arial" panose="020B0604020202020204" pitchFamily="34" charset="0"/>
          </a:endParaRPr>
        </a:p>
      </dsp:txBody>
      <dsp:txXfrm rot="16200000">
        <a:off x="2570812" y="2750135"/>
        <a:ext cx="78712" cy="76525"/>
      </dsp:txXfrm>
    </dsp:sp>
    <dsp:sp modelId="{AA9950AE-094C-451A-B9F2-25E163063C9D}">
      <dsp:nvSpPr>
        <dsp:cNvPr id="0" name=""/>
        <dsp:cNvSpPr/>
      </dsp:nvSpPr>
      <dsp:spPr>
        <a:xfrm>
          <a:off x="1324713" y="2877678"/>
          <a:ext cx="2570908" cy="302618"/>
        </a:xfrm>
        <a:prstGeom prst="roundRect">
          <a:avLst>
            <a:gd name="adj" fmla="val 10000"/>
          </a:avLst>
        </a:prstGeom>
        <a:solidFill>
          <a:srgbClr val="C0504D">
            <a:hueOff val="0"/>
            <a:satOff val="0"/>
            <a:lumOff val="0"/>
            <a:alphaOff val="0"/>
          </a:srgbClr>
        </a:solidFill>
        <a:ln w="25400">
          <a:solidFill>
            <a:sysClr val="window" lastClr="FFFFFF">
              <a:hueOff val="0"/>
              <a:satOff val="0"/>
              <a:lumOff val="0"/>
              <a:alphaOff val="0"/>
            </a:sys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lvl="0" algn="ctr" defTabSz="533400" rtl="1">
            <a:lnSpc>
              <a:spcPct val="90000"/>
            </a:lnSpc>
            <a:spcBef>
              <a:spcPct val="0"/>
            </a:spcBef>
            <a:spcAft>
              <a:spcPct val="35000"/>
            </a:spcAft>
          </a:pPr>
          <a:r>
            <a:rPr lang="he-IL" sz="1200" b="1" kern="1200">
              <a:solidFill>
                <a:schemeClr val="bg1"/>
              </a:solidFill>
              <a:latin typeface="David" panose="020E0502060401010101" pitchFamily="34" charset="-79"/>
              <a:ea typeface="+mn-ea"/>
              <a:cs typeface="David" panose="020E0502060401010101" pitchFamily="34" charset="-79"/>
            </a:rPr>
            <a:t>פרסום הצעת החוק ברשומות, בקובץ הצעות החוק של הממשלה</a:t>
          </a:r>
        </a:p>
      </dsp:txBody>
      <dsp:txXfrm>
        <a:off x="1333576" y="2886541"/>
        <a:ext cx="2553182" cy="284892"/>
      </dsp:txXfrm>
    </dsp:sp>
    <dsp:sp modelId="{FBE12DA4-5629-4183-B6C6-8B26A92421FD}">
      <dsp:nvSpPr>
        <dsp:cNvPr id="0" name=""/>
        <dsp:cNvSpPr/>
      </dsp:nvSpPr>
      <dsp:spPr>
        <a:xfrm rot="5400000">
          <a:off x="2555506" y="3187585"/>
          <a:ext cx="109322" cy="131186"/>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lstStyle/>
        <a:p>
          <a:pPr lvl="0" algn="ctr" defTabSz="222250" rtl="1">
            <a:lnSpc>
              <a:spcPct val="90000"/>
            </a:lnSpc>
            <a:spcBef>
              <a:spcPct val="0"/>
            </a:spcBef>
            <a:spcAft>
              <a:spcPct val="35000"/>
            </a:spcAft>
          </a:pPr>
          <a:endParaRPr lang="he-IL" sz="500" kern="1200">
            <a:solidFill>
              <a:sysClr val="window" lastClr="FFFFFF"/>
            </a:solidFill>
            <a:latin typeface="Calibri"/>
            <a:ea typeface="+mn-ea"/>
            <a:cs typeface="Arial" panose="020B0604020202020204" pitchFamily="34" charset="0"/>
          </a:endParaRPr>
        </a:p>
      </dsp:txBody>
      <dsp:txXfrm rot="16200000">
        <a:off x="2570812" y="3198517"/>
        <a:ext cx="78712" cy="76525"/>
      </dsp:txXfrm>
    </dsp:sp>
    <dsp:sp modelId="{90671D89-307A-49C8-AE32-BFCF01B1583A}">
      <dsp:nvSpPr>
        <dsp:cNvPr id="0" name=""/>
        <dsp:cNvSpPr/>
      </dsp:nvSpPr>
      <dsp:spPr>
        <a:xfrm>
          <a:off x="1316766" y="3326059"/>
          <a:ext cx="2586802" cy="389131"/>
        </a:xfrm>
        <a:prstGeom prst="roundRect">
          <a:avLst>
            <a:gd name="adj" fmla="val 10000"/>
          </a:avLst>
        </a:prstGeom>
        <a:solidFill>
          <a:srgbClr val="9BBB59">
            <a:hueOff val="0"/>
            <a:satOff val="0"/>
            <a:lumOff val="0"/>
            <a:alphaOff val="0"/>
          </a:srgbClr>
        </a:solidFill>
        <a:ln w="25400">
          <a:solidFill>
            <a:sysClr val="window" lastClr="FFFFFF">
              <a:hueOff val="0"/>
              <a:satOff val="0"/>
              <a:lumOff val="0"/>
              <a:alphaOff val="0"/>
            </a:sys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lvl="0" algn="ctr" defTabSz="533400" rtl="1">
            <a:lnSpc>
              <a:spcPct val="90000"/>
            </a:lnSpc>
            <a:spcBef>
              <a:spcPct val="0"/>
            </a:spcBef>
            <a:spcAft>
              <a:spcPct val="35000"/>
            </a:spcAft>
          </a:pPr>
          <a:r>
            <a:rPr lang="he-IL" sz="1200" b="1" kern="1200">
              <a:solidFill>
                <a:schemeClr val="bg1"/>
              </a:solidFill>
              <a:latin typeface="David" panose="020E0502060401010101" pitchFamily="34" charset="-79"/>
              <a:ea typeface="+mn-ea"/>
              <a:cs typeface="David" panose="020E0502060401010101" pitchFamily="34" charset="-79"/>
            </a:rPr>
            <a:t>הגשת הצעת החוק ליו"ר הכנסת לצורך קידום הליכי החקיקה בכנסת</a:t>
          </a:r>
        </a:p>
      </dsp:txBody>
      <dsp:txXfrm>
        <a:off x="1328163" y="3337456"/>
        <a:ext cx="2564008" cy="366337"/>
      </dsp:txXfrm>
    </dsp:sp>
    <dsp:sp modelId="{4778392D-CF85-4B67-8052-B3C2E36D1356}">
      <dsp:nvSpPr>
        <dsp:cNvPr id="0" name=""/>
        <dsp:cNvSpPr/>
      </dsp:nvSpPr>
      <dsp:spPr>
        <a:xfrm rot="5400000">
          <a:off x="2555506" y="3722479"/>
          <a:ext cx="109322" cy="131186"/>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lstStyle/>
        <a:p>
          <a:pPr lvl="0" algn="ctr" defTabSz="222250" rtl="1">
            <a:lnSpc>
              <a:spcPct val="90000"/>
            </a:lnSpc>
            <a:spcBef>
              <a:spcPct val="0"/>
            </a:spcBef>
            <a:spcAft>
              <a:spcPct val="35000"/>
            </a:spcAft>
          </a:pPr>
          <a:endParaRPr lang="he-IL" sz="500" kern="1200">
            <a:solidFill>
              <a:sysClr val="window" lastClr="FFFFFF"/>
            </a:solidFill>
            <a:latin typeface="Calibri"/>
            <a:ea typeface="+mn-ea"/>
            <a:cs typeface="Arial" panose="020B0604020202020204" pitchFamily="34" charset="0"/>
          </a:endParaRPr>
        </a:p>
      </dsp:txBody>
      <dsp:txXfrm rot="16200000">
        <a:off x="2570812" y="3733411"/>
        <a:ext cx="78712" cy="76525"/>
      </dsp:txXfrm>
    </dsp:sp>
    <dsp:sp modelId="{ACC6D824-8FBF-4658-B257-68122C387B95}">
      <dsp:nvSpPr>
        <dsp:cNvPr id="0" name=""/>
        <dsp:cNvSpPr/>
      </dsp:nvSpPr>
      <dsp:spPr>
        <a:xfrm>
          <a:off x="1316766" y="3860954"/>
          <a:ext cx="2586802" cy="380452"/>
        </a:xfrm>
        <a:prstGeom prst="roundRect">
          <a:avLst>
            <a:gd name="adj" fmla="val 10000"/>
          </a:avLst>
        </a:prstGeom>
        <a:solidFill>
          <a:srgbClr val="8064A2">
            <a:hueOff val="0"/>
            <a:satOff val="0"/>
            <a:lumOff val="0"/>
            <a:alphaOff val="0"/>
          </a:srgbClr>
        </a:solidFill>
        <a:ln w="25400">
          <a:solidFill>
            <a:sysClr val="window" lastClr="FFFFFF">
              <a:hueOff val="0"/>
              <a:satOff val="0"/>
              <a:lumOff val="0"/>
              <a:alphaOff val="0"/>
            </a:sys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lvl="0" algn="ctr" defTabSz="533400" rtl="1">
            <a:lnSpc>
              <a:spcPct val="90000"/>
            </a:lnSpc>
            <a:spcBef>
              <a:spcPct val="0"/>
            </a:spcBef>
            <a:spcAft>
              <a:spcPct val="35000"/>
            </a:spcAft>
          </a:pPr>
          <a:r>
            <a:rPr lang="he-IL" sz="1200" b="1" kern="1200">
              <a:solidFill>
                <a:schemeClr val="bg1"/>
              </a:solidFill>
              <a:latin typeface="David" panose="020E0502060401010101" pitchFamily="34" charset="-79"/>
              <a:ea typeface="+mn-ea"/>
              <a:cs typeface="David" panose="020E0502060401010101" pitchFamily="34" charset="-79"/>
            </a:rPr>
            <a:t>הבאת הצעת החוק לאישור מליאת הכנסת (בשלוש קריאות)</a:t>
          </a:r>
        </a:p>
      </dsp:txBody>
      <dsp:txXfrm>
        <a:off x="1327909" y="3872097"/>
        <a:ext cx="2564516" cy="358166"/>
      </dsp:txXfrm>
    </dsp:sp>
    <dsp:sp modelId="{D0C820F4-4D45-4FBC-BD66-56275A446345}">
      <dsp:nvSpPr>
        <dsp:cNvPr id="0" name=""/>
        <dsp:cNvSpPr/>
      </dsp:nvSpPr>
      <dsp:spPr>
        <a:xfrm rot="5400000">
          <a:off x="2555506" y="4248695"/>
          <a:ext cx="109322" cy="131186"/>
        </a:xfrm>
        <a:prstGeom prst="righ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lstStyle/>
        <a:p>
          <a:pPr lvl="0" algn="ctr" defTabSz="222250" rtl="1">
            <a:lnSpc>
              <a:spcPct val="90000"/>
            </a:lnSpc>
            <a:spcBef>
              <a:spcPct val="0"/>
            </a:spcBef>
            <a:spcAft>
              <a:spcPct val="35000"/>
            </a:spcAft>
          </a:pPr>
          <a:endParaRPr lang="he-IL" sz="500" kern="1200">
            <a:solidFill>
              <a:sysClr val="window" lastClr="FFFFFF"/>
            </a:solidFill>
            <a:latin typeface="Calibri"/>
            <a:ea typeface="+mn-ea"/>
            <a:cs typeface="Arial" panose="020B0604020202020204" pitchFamily="34" charset="0"/>
          </a:endParaRPr>
        </a:p>
      </dsp:txBody>
      <dsp:txXfrm rot="16200000">
        <a:off x="2570812" y="4259627"/>
        <a:ext cx="78712" cy="76525"/>
      </dsp:txXfrm>
    </dsp:sp>
    <dsp:sp modelId="{726550D6-6AD7-4898-AF26-0EFED2511CB9}">
      <dsp:nvSpPr>
        <dsp:cNvPr id="0" name=""/>
        <dsp:cNvSpPr/>
      </dsp:nvSpPr>
      <dsp:spPr>
        <a:xfrm>
          <a:off x="1292913" y="4387170"/>
          <a:ext cx="2634508" cy="291525"/>
        </a:xfrm>
        <a:prstGeom prst="roundRect">
          <a:avLst>
            <a:gd name="adj" fmla="val 10000"/>
          </a:avLst>
        </a:prstGeom>
        <a:solidFill>
          <a:srgbClr val="4BACC6">
            <a:hueOff val="0"/>
            <a:satOff val="0"/>
            <a:lumOff val="0"/>
            <a:alphaOff val="0"/>
          </a:srgbClr>
        </a:solidFill>
        <a:ln w="25400">
          <a:solidFill>
            <a:sysClr val="window" lastClr="FFFFFF">
              <a:hueOff val="0"/>
              <a:satOff val="0"/>
              <a:lumOff val="0"/>
              <a:alphaOff val="0"/>
            </a:sysClr>
          </a:solidFill>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lvl="0" algn="ctr" defTabSz="533400" rtl="1">
            <a:lnSpc>
              <a:spcPct val="90000"/>
            </a:lnSpc>
            <a:spcBef>
              <a:spcPct val="0"/>
            </a:spcBef>
            <a:spcAft>
              <a:spcPct val="35000"/>
            </a:spcAft>
          </a:pPr>
          <a:r>
            <a:rPr lang="he-IL" sz="1200" b="1" kern="1200">
              <a:solidFill>
                <a:schemeClr val="bg1"/>
              </a:solidFill>
              <a:latin typeface="David" panose="020E0502060401010101" pitchFamily="34" charset="-79"/>
              <a:ea typeface="+mn-ea"/>
              <a:cs typeface="David" panose="020E0502060401010101" pitchFamily="34" charset="-79"/>
            </a:rPr>
            <a:t>פרסום החוק ברשומות </a:t>
          </a:r>
        </a:p>
      </dsp:txBody>
      <dsp:txXfrm>
        <a:off x="1301451" y="4395708"/>
        <a:ext cx="2617432" cy="274449"/>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1">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val="-1"/>
      <dgm:chPref val="-1"/>
      <dgm:dir val="norm"/>
      <dgm:animOne val="branch"/>
      <dgm:animLvl val="lvl"/>
      <dgm:resizeHandles val="rel"/>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val="-1"/>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val="-1"/>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fallback" val="2D"/>
              <dgm:param type="linDir" val="fromT"/>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arg="none"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
            <dgm:constr type="endPad" refType="connDist" fact="0.12"/>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D86232F-FF17-4BE3-B644-456659F5EB17}">
  <ds:schemaRefs>
    <ds:schemaRef ds:uri="http://schemas.openxmlformats.org/officeDocument/2006/bibliography"/>
  </ds:schemaRefs>
</ds:datastoreItem>
</file>

<file path=customXml/itemProps2.xml><?xml version="1.0" encoding="utf-8"?>
<ds:datastoreItem xmlns:ds="http://schemas.openxmlformats.org/officeDocument/2006/customXml" ds:itemID="{691F6E42-5830-40C4-86CF-B55527E435B7}"/>
</file>

<file path=customXml/itemProps3.xml><?xml version="1.0" encoding="utf-8"?>
<ds:datastoreItem xmlns:ds="http://schemas.openxmlformats.org/officeDocument/2006/customXml" ds:itemID="{421FF250-288A-41D3-AB44-BF6BEA9A17C5}"/>
</file>

<file path=customXml/itemProps4.xml><?xml version="1.0" encoding="utf-8"?>
<ds:datastoreItem xmlns:ds="http://schemas.openxmlformats.org/officeDocument/2006/customXml" ds:itemID="{1A2898EC-F913-48F1-8080-C1A69DB0C506}"/>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