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4167BD" w:rsidP="00FF6AB4" w14:paraId="3FA3404A" w14:textId="376DD530">
      <w:pPr>
        <w:pStyle w:val="Heading1"/>
        <w:spacing w:line="269" w:lineRule="auto"/>
        <w:rPr>
          <w:rFonts w:ascii="Arial" w:hAnsi="Arial" w:cs="Arial"/>
          <w:sz w:val="36"/>
          <w:rtl/>
        </w:rPr>
      </w:pPr>
      <w:bookmarkStart w:id="0" w:name="tempMark"/>
      <w:bookmarkEnd w:id="0"/>
      <w:r>
        <w:rPr>
          <w:rFonts w:hint="cs"/>
          <w:rtl/>
        </w:rPr>
        <w:t>מידע</w:t>
      </w:r>
      <w:r>
        <w:t xml:space="preserve"> </w:t>
      </w:r>
      <w:r>
        <w:rPr>
          <w:rFonts w:hint="cs"/>
          <w:rtl/>
        </w:rPr>
        <w:t>מסווג</w:t>
      </w:r>
      <w:r>
        <w:t xml:space="preserve"> </w:t>
      </w:r>
      <w:r w:rsidR="00642601">
        <w:rPr>
          <w:rFonts w:hint="cs"/>
          <w:rtl/>
        </w:rPr>
        <w:t>-</w:t>
      </w:r>
      <w:r w:rsidR="00642601">
        <w:t xml:space="preserve"> </w:t>
      </w:r>
      <w:r>
        <w:rPr>
          <w:rFonts w:hint="cs"/>
          <w:rtl/>
        </w:rPr>
        <w:t>אבטחתו</w:t>
      </w:r>
      <w:r>
        <w:t xml:space="preserve"> </w:t>
      </w:r>
      <w:r>
        <w:rPr>
          <w:rFonts w:hint="cs"/>
          <w:rtl/>
        </w:rPr>
        <w:t>בארכיונים</w:t>
      </w:r>
      <w:r>
        <w:t xml:space="preserve"> </w:t>
      </w:r>
      <w:r>
        <w:rPr>
          <w:rFonts w:hint="cs"/>
          <w:rtl/>
        </w:rPr>
        <w:t>ומניעת</w:t>
      </w:r>
      <w:r>
        <w:t xml:space="preserve"> </w:t>
      </w:r>
      <w:r>
        <w:rPr>
          <w:rFonts w:hint="cs"/>
          <w:rtl/>
        </w:rPr>
        <w:t>פרסומו</w:t>
      </w:r>
    </w:p>
    <w:p w:rsidR="00500CE5" w:rsidRPr="00500CE5" w:rsidP="00500CE5" w14:paraId="74E636B7" w14:textId="77777777"/>
    <w:p w:rsidR="00500CE5" w:rsidRPr="00500CE5" w:rsidP="00500CE5" w14:paraId="7D917A87" w14:textId="77777777">
      <w:pPr>
        <w:spacing w:line="269" w:lineRule="auto"/>
        <w:rPr>
          <w:rFonts w:ascii="Wingdings" w:hAnsi="Wingdings" w:cs="Arial"/>
          <w:sz w:val="36"/>
          <w:rtl/>
        </w:rPr>
      </w:pPr>
      <w:bookmarkStart w:id="1" w:name="_GoBack"/>
      <w:bookmarkEnd w:id="1"/>
    </w:p>
    <w:p w:rsidR="004A37F5" w:rsidP="00FF6AB4" w14:paraId="5116872D" w14:textId="77777777">
      <w:pPr>
        <w:pStyle w:val="Heading3"/>
        <w:spacing w:before="0" w:line="269" w:lineRule="auto"/>
        <w:rPr>
          <w:rtl/>
        </w:rPr>
      </w:pPr>
      <w:r>
        <w:rPr>
          <w:rtl/>
        </w:rPr>
        <w:t>מבו</w:t>
      </w:r>
      <w:r>
        <w:rPr>
          <w:rFonts w:hint="cs"/>
          <w:rtl/>
        </w:rPr>
        <w:t>א</w:t>
      </w:r>
    </w:p>
    <w:p w:rsidR="00D230E8" w:rsidRPr="00D230E8" w:rsidP="00FF6AB4" w14:paraId="684CA62F" w14:textId="77777777">
      <w:pPr>
        <w:pStyle w:val="a"/>
        <w:spacing w:line="269" w:lineRule="auto"/>
        <w:rPr>
          <w:rtl/>
        </w:rPr>
      </w:pPr>
    </w:p>
    <w:p w:rsidR="004A37F5" w:rsidP="00FF6AB4" w14:paraId="5F9034EF" w14:textId="77777777">
      <w:pPr>
        <w:spacing w:line="269" w:lineRule="auto"/>
        <w:rPr>
          <w:rtl/>
        </w:rPr>
      </w:pPr>
      <w:r w:rsidRPr="007A1EC6">
        <w:rPr>
          <w:rFonts w:hint="cs"/>
          <w:rtl/>
        </w:rPr>
        <w:t xml:space="preserve">כל מדינה </w:t>
      </w:r>
      <w:r>
        <w:rPr>
          <w:rFonts w:hint="cs"/>
          <w:rtl/>
        </w:rPr>
        <w:t>מחזיקה</w:t>
      </w:r>
      <w:r w:rsidRPr="007A1EC6">
        <w:rPr>
          <w:rFonts w:hint="cs"/>
          <w:rtl/>
        </w:rPr>
        <w:t xml:space="preserve"> </w:t>
      </w:r>
      <w:r>
        <w:rPr>
          <w:rFonts w:hint="cs"/>
          <w:rtl/>
        </w:rPr>
        <w:t>במידע</w:t>
      </w:r>
      <w:r w:rsidRPr="007A1EC6">
        <w:rPr>
          <w:rFonts w:hint="cs"/>
          <w:rtl/>
        </w:rPr>
        <w:t xml:space="preserve"> אשר עליה למנוע את חשיפת</w:t>
      </w:r>
      <w:r>
        <w:rPr>
          <w:rFonts w:hint="cs"/>
          <w:rtl/>
        </w:rPr>
        <w:t>ו</w:t>
      </w:r>
      <w:r w:rsidR="00340BC0">
        <w:rPr>
          <w:rFonts w:hint="cs"/>
          <w:rtl/>
        </w:rPr>
        <w:t xml:space="preserve"> לציבור אזרחיה ול</w:t>
      </w:r>
      <w:r w:rsidRPr="007A1EC6">
        <w:rPr>
          <w:rFonts w:hint="cs"/>
          <w:rtl/>
        </w:rPr>
        <w:t xml:space="preserve">גורמים אחרים, ובעיקר גורמים עוינים, העלולים </w:t>
      </w:r>
      <w:r w:rsidR="00E30FF7">
        <w:rPr>
          <w:rFonts w:hint="cs"/>
          <w:rtl/>
        </w:rPr>
        <w:t>לעשות בו שימוש לרעה</w:t>
      </w:r>
      <w:r w:rsidR="00340BC0">
        <w:rPr>
          <w:rFonts w:hint="cs"/>
          <w:rtl/>
        </w:rPr>
        <w:t>,</w:t>
      </w:r>
      <w:r>
        <w:rPr>
          <w:rFonts w:hint="cs"/>
          <w:rtl/>
        </w:rPr>
        <w:t xml:space="preserve"> </w:t>
      </w:r>
      <w:r w:rsidR="00FB5980">
        <w:rPr>
          <w:rFonts w:hint="cs"/>
          <w:rtl/>
        </w:rPr>
        <w:t>ו</w:t>
      </w:r>
      <w:r w:rsidR="00340BC0">
        <w:rPr>
          <w:rFonts w:hint="cs"/>
          <w:rtl/>
        </w:rPr>
        <w:t>לפגוע</w:t>
      </w:r>
      <w:r w:rsidRPr="007A1EC6">
        <w:rPr>
          <w:rFonts w:hint="cs"/>
          <w:rtl/>
        </w:rPr>
        <w:t xml:space="preserve"> </w:t>
      </w:r>
      <w:r w:rsidR="00FB5980">
        <w:rPr>
          <w:rFonts w:hint="cs"/>
          <w:rtl/>
        </w:rPr>
        <w:t xml:space="preserve">בכך </w:t>
      </w:r>
      <w:r w:rsidRPr="007A1EC6">
        <w:rPr>
          <w:rFonts w:hint="cs"/>
          <w:rtl/>
        </w:rPr>
        <w:t xml:space="preserve">בין היתר </w:t>
      </w:r>
      <w:r w:rsidR="00882A49">
        <w:rPr>
          <w:rFonts w:hint="cs"/>
          <w:rtl/>
        </w:rPr>
        <w:t>בביטחון</w:t>
      </w:r>
      <w:r w:rsidRPr="007A1EC6">
        <w:rPr>
          <w:rFonts w:hint="cs"/>
          <w:rtl/>
        </w:rPr>
        <w:t xml:space="preserve"> המדינה </w:t>
      </w:r>
      <w:r>
        <w:rPr>
          <w:rFonts w:hint="cs"/>
          <w:rtl/>
        </w:rPr>
        <w:t>ו</w:t>
      </w:r>
      <w:r w:rsidRPr="007A1EC6">
        <w:rPr>
          <w:rFonts w:hint="cs"/>
          <w:rtl/>
        </w:rPr>
        <w:t xml:space="preserve">ביחסי החוץ </w:t>
      </w:r>
      <w:r w:rsidRPr="008967C0">
        <w:rPr>
          <w:rFonts w:hint="cs"/>
          <w:rtl/>
        </w:rPr>
        <w:t>שלה</w:t>
      </w:r>
      <w:r w:rsidRPr="008967C0" w:rsidR="00340BC0">
        <w:rPr>
          <w:rFonts w:hint="cs"/>
          <w:rtl/>
        </w:rPr>
        <w:t>.</w:t>
      </w:r>
      <w:r w:rsidRPr="008967C0">
        <w:rPr>
          <w:rFonts w:hint="cs"/>
          <w:rtl/>
        </w:rPr>
        <w:t xml:space="preserve"> מידע זה מכונה בחוקים שונים</w:t>
      </w:r>
      <w:r w:rsidRPr="008967C0" w:rsidR="00AA615E">
        <w:rPr>
          <w:rFonts w:hint="cs"/>
          <w:rtl/>
        </w:rPr>
        <w:t>, בין היתר,</w:t>
      </w:r>
      <w:r w:rsidRPr="008967C0">
        <w:rPr>
          <w:rFonts w:hint="cs"/>
          <w:rtl/>
        </w:rPr>
        <w:t xml:space="preserve"> "ידיעה סודית"</w:t>
      </w:r>
      <w:r>
        <w:rPr>
          <w:rStyle w:val="FootnoteReference"/>
          <w:rtl/>
        </w:rPr>
        <w:footnoteReference w:id="2"/>
      </w:r>
      <w:r w:rsidRPr="008967C0">
        <w:rPr>
          <w:rFonts w:hint="cs"/>
          <w:rtl/>
        </w:rPr>
        <w:t>,</w:t>
      </w:r>
      <w:r w:rsidR="008B1937">
        <w:rPr>
          <w:rFonts w:hint="cs"/>
          <w:rtl/>
        </w:rPr>
        <w:t xml:space="preserve"> </w:t>
      </w:r>
      <w:r w:rsidRPr="008967C0">
        <w:rPr>
          <w:rFonts w:hint="cs"/>
          <w:rtl/>
        </w:rPr>
        <w:t>או "מידע</w:t>
      </w:r>
      <w:r>
        <w:rPr>
          <w:rFonts w:hint="cs"/>
          <w:rtl/>
        </w:rPr>
        <w:t xml:space="preserve"> מסווג"</w:t>
      </w:r>
      <w:r>
        <w:rPr>
          <w:rStyle w:val="FootnoteReference"/>
          <w:rtl/>
        </w:rPr>
        <w:footnoteReference w:id="3"/>
      </w:r>
      <w:r>
        <w:rPr>
          <w:rFonts w:hint="cs"/>
          <w:rtl/>
        </w:rPr>
        <w:t>.</w:t>
      </w:r>
      <w:r w:rsidRPr="006E0220">
        <w:rPr>
          <w:rFonts w:hint="cs"/>
          <w:rtl/>
        </w:rPr>
        <w:t xml:space="preserve"> </w:t>
      </w:r>
      <w:r>
        <w:rPr>
          <w:rFonts w:hint="cs"/>
          <w:rtl/>
        </w:rPr>
        <w:t>ב</w:t>
      </w:r>
      <w:r w:rsidRPr="00F63D38">
        <w:rPr>
          <w:rFonts w:hint="cs"/>
          <w:rtl/>
        </w:rPr>
        <w:t xml:space="preserve">חוק העונשין, </w:t>
      </w:r>
      <w:r>
        <w:rPr>
          <w:rFonts w:hint="cs"/>
          <w:rtl/>
        </w:rPr>
        <w:t>ה</w:t>
      </w:r>
      <w:r w:rsidRPr="00F63D38">
        <w:rPr>
          <w:rFonts w:hint="cs"/>
          <w:rtl/>
        </w:rPr>
        <w:t>תשל</w:t>
      </w:r>
      <w:r>
        <w:rPr>
          <w:rFonts w:hint="cs"/>
          <w:rtl/>
        </w:rPr>
        <w:t>"ז-1977 (להלן - חוק העונשין), מוגדר</w:t>
      </w:r>
      <w:r w:rsidR="0041287C">
        <w:rPr>
          <w:rFonts w:hint="cs"/>
          <w:rtl/>
        </w:rPr>
        <w:t>ת</w:t>
      </w:r>
      <w:r>
        <w:rPr>
          <w:rFonts w:hint="cs"/>
          <w:rtl/>
        </w:rPr>
        <w:t xml:space="preserve"> "ידיעה סודית" </w:t>
      </w:r>
      <w:r w:rsidR="0041287C">
        <w:rPr>
          <w:rFonts w:hint="cs"/>
          <w:rtl/>
        </w:rPr>
        <w:t xml:space="preserve">- </w:t>
      </w:r>
      <w:r w:rsidRPr="00F63D38">
        <w:rPr>
          <w:rFonts w:hint="cs"/>
          <w:rtl/>
        </w:rPr>
        <w:t>"ידיעה אשר ביטחון המדינה מחייב לשמרה בסוד", או "ידיעה אשר תוכנה, צורתה, סדרי</w:t>
      </w:r>
      <w:r>
        <w:rPr>
          <w:rFonts w:hint="cs"/>
          <w:rtl/>
        </w:rPr>
        <w:t xml:space="preserve"> החזקתה, מקורה או נסיבות קבלתה, מעיד</w:t>
      </w:r>
      <w:r>
        <w:rPr>
          <w:rFonts w:hint="cs"/>
          <w:rtl/>
        </w:rPr>
        <w:t>ים על החובה לשמרה בסוד</w:t>
      </w:r>
      <w:r w:rsidRPr="005C3A84">
        <w:rPr>
          <w:rFonts w:hint="cs"/>
          <w:rtl/>
        </w:rPr>
        <w:t>".</w:t>
      </w:r>
    </w:p>
    <w:p w:rsidR="00A73687" w:rsidP="00FF6AB4" w14:paraId="3A4BA930" w14:textId="77777777">
      <w:pPr>
        <w:pStyle w:val="a"/>
        <w:spacing w:line="269" w:lineRule="auto"/>
        <w:rPr>
          <w:rtl/>
        </w:rPr>
      </w:pPr>
    </w:p>
    <w:p w:rsidR="004A37F5" w:rsidRPr="007F354E" w:rsidP="00FF6AB4" w14:paraId="03A673A7" w14:textId="77777777">
      <w:pPr>
        <w:spacing w:line="269" w:lineRule="auto"/>
        <w:rPr>
          <w:rtl/>
        </w:rPr>
      </w:pPr>
      <w:r>
        <w:rPr>
          <w:rFonts w:hint="cs"/>
          <w:rtl/>
        </w:rPr>
        <w:t>רובן</w:t>
      </w:r>
      <w:r w:rsidRPr="00C338D7">
        <w:rPr>
          <w:rFonts w:hint="cs"/>
          <w:rtl/>
        </w:rPr>
        <w:t xml:space="preserve"> של </w:t>
      </w:r>
      <w:r>
        <w:rPr>
          <w:rFonts w:hint="cs"/>
          <w:rtl/>
        </w:rPr>
        <w:t>הידיעות הסודיות ב</w:t>
      </w:r>
      <w:r w:rsidRPr="00C338D7">
        <w:rPr>
          <w:rFonts w:hint="cs"/>
          <w:rtl/>
        </w:rPr>
        <w:t xml:space="preserve">מדינת ישראל </w:t>
      </w:r>
      <w:r>
        <w:rPr>
          <w:rFonts w:hint="cs"/>
          <w:rtl/>
        </w:rPr>
        <w:t>נמצאות בחומרים</w:t>
      </w:r>
      <w:r>
        <w:rPr>
          <w:rStyle w:val="FootnoteReference"/>
          <w:rtl/>
        </w:rPr>
        <w:footnoteReference w:id="4"/>
      </w:r>
      <w:r>
        <w:rPr>
          <w:rFonts w:hint="cs"/>
          <w:rtl/>
        </w:rPr>
        <w:t xml:space="preserve"> של גופי מערכת הביטחון</w:t>
      </w:r>
      <w:r w:rsidRPr="00C338D7">
        <w:rPr>
          <w:rFonts w:hint="cs"/>
          <w:rtl/>
        </w:rPr>
        <w:t xml:space="preserve">: צה"ל, משרד הביטחון, </w:t>
      </w:r>
      <w:r>
        <w:rPr>
          <w:rFonts w:hint="cs"/>
          <w:rtl/>
        </w:rPr>
        <w:t xml:space="preserve">שירות הביטחון הכללי (להלן - </w:t>
      </w:r>
      <w:r w:rsidRPr="00C338D7">
        <w:rPr>
          <w:rFonts w:hint="cs"/>
          <w:rtl/>
        </w:rPr>
        <w:t>שב"כ</w:t>
      </w:r>
      <w:r>
        <w:rPr>
          <w:rFonts w:hint="cs"/>
          <w:rtl/>
        </w:rPr>
        <w:t>)</w:t>
      </w:r>
      <w:r w:rsidRPr="00C338D7">
        <w:rPr>
          <w:rFonts w:hint="cs"/>
          <w:rtl/>
        </w:rPr>
        <w:t xml:space="preserve">, </w:t>
      </w:r>
      <w:r>
        <w:rPr>
          <w:rFonts w:hint="cs"/>
          <w:rtl/>
        </w:rPr>
        <w:t>ה</w:t>
      </w:r>
      <w:r w:rsidRPr="00C338D7">
        <w:rPr>
          <w:rFonts w:hint="cs"/>
          <w:rtl/>
        </w:rPr>
        <w:t>מוסד</w:t>
      </w:r>
      <w:r>
        <w:rPr>
          <w:rFonts w:hint="cs"/>
          <w:rtl/>
        </w:rPr>
        <w:t xml:space="preserve"> ל</w:t>
      </w:r>
      <w:r w:rsidR="0041287C">
        <w:rPr>
          <w:rFonts w:hint="cs"/>
          <w:rtl/>
        </w:rPr>
        <w:t>מודיעין ול</w:t>
      </w:r>
      <w:r>
        <w:rPr>
          <w:rFonts w:hint="cs"/>
          <w:rtl/>
        </w:rPr>
        <w:t xml:space="preserve">תפקידים מיוחדים (להלן - </w:t>
      </w:r>
      <w:r w:rsidR="0041287C">
        <w:rPr>
          <w:rFonts w:hint="cs"/>
          <w:rtl/>
        </w:rPr>
        <w:t>ה</w:t>
      </w:r>
      <w:r>
        <w:rPr>
          <w:rFonts w:hint="cs"/>
          <w:rtl/>
        </w:rPr>
        <w:t>מוסד) וכיו</w:t>
      </w:r>
      <w:r w:rsidR="00E34F59">
        <w:rPr>
          <w:rFonts w:hint="cs"/>
          <w:rtl/>
        </w:rPr>
        <w:t>צא בזה</w:t>
      </w:r>
      <w:r>
        <w:rPr>
          <w:rFonts w:hint="cs"/>
          <w:rtl/>
        </w:rPr>
        <w:t>; ידיעות סודיות נמצאות גם במשרדי ממשלה, ו</w:t>
      </w:r>
      <w:r>
        <w:rPr>
          <w:rFonts w:hint="cs"/>
          <w:rtl/>
        </w:rPr>
        <w:t xml:space="preserve">בעיקר במשרד ראש הממשלה </w:t>
      </w:r>
      <w:r w:rsidRPr="007F354E">
        <w:rPr>
          <w:rFonts w:hint="cs"/>
          <w:rtl/>
        </w:rPr>
        <w:t>(להלן - רה"ם) ובמשרד החוץ.</w:t>
      </w:r>
    </w:p>
    <w:p w:rsidR="00A73687" w:rsidP="00FF6AB4" w14:paraId="23AF7FA6" w14:textId="77777777">
      <w:pPr>
        <w:pStyle w:val="a"/>
        <w:spacing w:line="269" w:lineRule="auto"/>
        <w:rPr>
          <w:rtl/>
        </w:rPr>
      </w:pPr>
    </w:p>
    <w:p w:rsidR="00D2378D" w:rsidP="00FF6AB4" w14:paraId="1EC0BCB4" w14:textId="77777777">
      <w:pPr>
        <w:spacing w:line="269" w:lineRule="auto"/>
        <w:ind w:left="-2"/>
        <w:rPr>
          <w:rtl/>
        </w:rPr>
      </w:pPr>
      <w:r w:rsidRPr="007F354E">
        <w:rPr>
          <w:rFonts w:hint="cs"/>
          <w:rtl/>
        </w:rPr>
        <w:t xml:space="preserve">חומרים של מוסדות המדינה שאין עוד </w:t>
      </w:r>
      <w:r w:rsidR="00882A49">
        <w:rPr>
          <w:rFonts w:hint="cs"/>
          <w:rtl/>
        </w:rPr>
        <w:t>שימוש</w:t>
      </w:r>
      <w:r w:rsidRPr="007F354E">
        <w:rPr>
          <w:rFonts w:hint="cs"/>
          <w:rtl/>
        </w:rPr>
        <w:t xml:space="preserve"> בהם מופקדים בארכיון מדינת ישראל (להלן - הגנזך או ארכיון המדינה)</w:t>
      </w:r>
      <w:r>
        <w:rPr>
          <w:rStyle w:val="FootnoteReference"/>
          <w:rtl/>
        </w:rPr>
        <w:footnoteReference w:id="5"/>
      </w:r>
      <w:r w:rsidR="00340BC0">
        <w:rPr>
          <w:rFonts w:hint="cs"/>
          <w:rtl/>
        </w:rPr>
        <w:t xml:space="preserve">. </w:t>
      </w:r>
      <w:r w:rsidRPr="007F354E">
        <w:rPr>
          <w:rFonts w:hint="cs"/>
          <w:rtl/>
        </w:rPr>
        <w:t>פעילותו</w:t>
      </w:r>
      <w:r w:rsidR="00340BC0">
        <w:rPr>
          <w:rFonts w:hint="cs"/>
          <w:rtl/>
        </w:rPr>
        <w:t xml:space="preserve"> של ארכיון המדינה</w:t>
      </w:r>
      <w:r w:rsidRPr="007F354E">
        <w:rPr>
          <w:rFonts w:hint="cs"/>
          <w:rtl/>
        </w:rPr>
        <w:t xml:space="preserve"> מוסדרת</w:t>
      </w:r>
      <w:r w:rsidR="004101C4">
        <w:rPr>
          <w:rFonts w:hint="cs"/>
          <w:rtl/>
        </w:rPr>
        <w:t>, בין היתר,</w:t>
      </w:r>
      <w:r w:rsidRPr="007F354E">
        <w:rPr>
          <w:rFonts w:hint="cs"/>
          <w:rtl/>
        </w:rPr>
        <w:t xml:space="preserve"> בחוק הארכיונים, </w:t>
      </w:r>
      <w:r w:rsidR="0041287C">
        <w:rPr>
          <w:rFonts w:hint="cs"/>
          <w:rtl/>
        </w:rPr>
        <w:t>ה</w:t>
      </w:r>
      <w:r w:rsidRPr="007F354E">
        <w:rPr>
          <w:rFonts w:hint="cs"/>
          <w:rtl/>
        </w:rPr>
        <w:t>תשט"ו-1955 (להלן - חוק הארכיונים)</w:t>
      </w:r>
      <w:r w:rsidR="0041287C">
        <w:rPr>
          <w:rFonts w:hint="cs"/>
          <w:rtl/>
        </w:rPr>
        <w:t>,</w:t>
      </w:r>
      <w:r w:rsidR="0064099E">
        <w:rPr>
          <w:rFonts w:hint="cs"/>
          <w:rtl/>
        </w:rPr>
        <w:t xml:space="preserve"> ובתקנות הארכיונים (עיון בחומר </w:t>
      </w:r>
      <w:r>
        <w:rPr>
          <w:rFonts w:hint="cs"/>
          <w:rtl/>
        </w:rPr>
        <w:t>ארכיוני המופקד בגנזך), התש"ע-2010 (להלן - תקנות העיון), ובראשו עומד הגנז</w:t>
      </w:r>
      <w:r>
        <w:rPr>
          <w:rStyle w:val="FootnoteReference"/>
          <w:rtl/>
        </w:rPr>
        <w:footnoteReference w:id="6"/>
      </w:r>
      <w:r w:rsidRPr="007F354E">
        <w:rPr>
          <w:rFonts w:hint="cs"/>
          <w:rtl/>
        </w:rPr>
        <w:t>.</w:t>
      </w:r>
      <w:r w:rsidR="00B03FF6">
        <w:rPr>
          <w:rFonts w:hint="cs"/>
          <w:rtl/>
        </w:rPr>
        <w:t xml:space="preserve"> על פי נתוני ארכיון המדינה מנובמבר 2019, </w:t>
      </w:r>
      <w:r w:rsidR="009840D4">
        <w:rPr>
          <w:rFonts w:hint="cs"/>
          <w:rtl/>
        </w:rPr>
        <w:t xml:space="preserve">מופקדים </w:t>
      </w:r>
      <w:r w:rsidR="00B03FF6">
        <w:rPr>
          <w:rFonts w:hint="cs"/>
          <w:rtl/>
        </w:rPr>
        <w:t xml:space="preserve">בו כ-2.45 מיליון תיקים, הכוללים כ-400 מיליון עמודי נייר; מתוכם הועלו לאתר הארכיון שבמרשתת כ-370 אלף תיקים במלואם. על פי נתוני ארכיון המדינה עמד תקציב הארכיון לשנת 2018 על כ-59 מיליון ש"ח. </w:t>
      </w:r>
    </w:p>
    <w:p w:rsidR="00D2378D" w:rsidP="00FF6AB4" w14:paraId="6313FE1C" w14:textId="77777777">
      <w:pPr>
        <w:pStyle w:val="a"/>
        <w:spacing w:line="269" w:lineRule="auto"/>
        <w:rPr>
          <w:rtl/>
        </w:rPr>
      </w:pPr>
    </w:p>
    <w:p w:rsidR="00DE50E8" w:rsidP="000F248D" w14:paraId="0A21CD87" w14:textId="4ED0B64E">
      <w:pPr>
        <w:spacing w:line="269" w:lineRule="auto"/>
        <w:rPr>
          <w:rtl/>
        </w:rPr>
      </w:pPr>
      <w:r w:rsidRPr="007F354E">
        <w:rPr>
          <w:rFonts w:hint="cs"/>
          <w:rtl/>
        </w:rPr>
        <w:t xml:space="preserve">בין </w:t>
      </w:r>
      <w:r w:rsidR="00D2378D">
        <w:rPr>
          <w:rFonts w:hint="cs"/>
          <w:rtl/>
        </w:rPr>
        <w:t>ה</w:t>
      </w:r>
      <w:r w:rsidRPr="007F354E">
        <w:rPr>
          <w:rFonts w:hint="cs"/>
          <w:rtl/>
        </w:rPr>
        <w:t xml:space="preserve">חומרים </w:t>
      </w:r>
      <w:r w:rsidR="00D2378D">
        <w:rPr>
          <w:rFonts w:hint="cs"/>
          <w:rtl/>
        </w:rPr>
        <w:t>המצויים בארכיון המדינה</w:t>
      </w:r>
      <w:r w:rsidRPr="007F354E">
        <w:rPr>
          <w:rFonts w:hint="cs"/>
          <w:rtl/>
        </w:rPr>
        <w:t xml:space="preserve"> </w:t>
      </w:r>
      <w:r w:rsidR="00D2378D">
        <w:rPr>
          <w:rFonts w:hint="cs"/>
          <w:rtl/>
        </w:rPr>
        <w:t>יש גם</w:t>
      </w:r>
      <w:r w:rsidRPr="007F354E">
        <w:rPr>
          <w:rFonts w:hint="cs"/>
          <w:rtl/>
        </w:rPr>
        <w:t xml:space="preserve"> </w:t>
      </w:r>
      <w:r w:rsidR="006042BA">
        <w:rPr>
          <w:rFonts w:hint="cs"/>
          <w:rtl/>
        </w:rPr>
        <w:t>כאלו</w:t>
      </w:r>
      <w:r w:rsidRPr="007F354E">
        <w:rPr>
          <w:rFonts w:hint="cs"/>
          <w:rtl/>
        </w:rPr>
        <w:t xml:space="preserve"> המכילים ידיעות סודיות. חומרים מסוג זה</w:t>
      </w:r>
      <w:r w:rsidR="00DA5641">
        <w:rPr>
          <w:rFonts w:hint="cs"/>
          <w:rtl/>
        </w:rPr>
        <w:t>, לרבות מסווגים,</w:t>
      </w:r>
      <w:r w:rsidRPr="007F354E">
        <w:rPr>
          <w:rFonts w:hint="cs"/>
          <w:rtl/>
        </w:rPr>
        <w:t xml:space="preserve"> מופקדים גם </w:t>
      </w:r>
      <w:r w:rsidR="000C5ACF">
        <w:rPr>
          <w:rFonts w:hint="cs"/>
          <w:rtl/>
        </w:rPr>
        <w:t>בארכיונים ה</w:t>
      </w:r>
      <w:r w:rsidRPr="007F354E">
        <w:rPr>
          <w:rFonts w:hint="cs"/>
          <w:rtl/>
        </w:rPr>
        <w:t>מוגדרים בחוקים</w:t>
      </w:r>
      <w:r>
        <w:rPr>
          <w:rFonts w:hint="cs"/>
          <w:rtl/>
        </w:rPr>
        <w:t xml:space="preserve"> שונים</w:t>
      </w:r>
      <w:r w:rsidR="00E34F59">
        <w:rPr>
          <w:rFonts w:hint="cs"/>
          <w:rtl/>
        </w:rPr>
        <w:t xml:space="preserve"> </w:t>
      </w:r>
      <w:r>
        <w:rPr>
          <w:rFonts w:hint="cs"/>
          <w:rtl/>
        </w:rPr>
        <w:t>חלק מארכיון המדינה</w:t>
      </w:r>
      <w:r w:rsidR="000C5ACF">
        <w:rPr>
          <w:rFonts w:hint="cs"/>
          <w:rtl/>
        </w:rPr>
        <w:t>, ושמהם נבדקו</w:t>
      </w:r>
      <w:r>
        <w:rPr>
          <w:rFonts w:hint="cs"/>
          <w:rtl/>
        </w:rPr>
        <w:t xml:space="preserve"> - </w:t>
      </w:r>
      <w:r w:rsidR="00D23B61">
        <w:rPr>
          <w:rFonts w:hint="cs"/>
          <w:rtl/>
        </w:rPr>
        <w:t xml:space="preserve">הארכיון שבמרכז </w:t>
      </w:r>
      <w:r>
        <w:rPr>
          <w:rFonts w:hint="cs"/>
          <w:rtl/>
        </w:rPr>
        <w:t xml:space="preserve">מורשת מנחם בגין </w:t>
      </w:r>
      <w:r w:rsidR="00515539">
        <w:rPr>
          <w:rtl/>
        </w:rPr>
        <w:br/>
      </w:r>
      <w:r>
        <w:rPr>
          <w:rFonts w:hint="cs"/>
          <w:rtl/>
        </w:rPr>
        <w:t xml:space="preserve">(להלן - ארכיון בגין); ארכיון </w:t>
      </w:r>
      <w:r w:rsidR="00E34F59">
        <w:rPr>
          <w:rFonts w:hint="cs"/>
          <w:rtl/>
        </w:rPr>
        <w:t xml:space="preserve">המכון למורשת </w:t>
      </w:r>
      <w:r>
        <w:rPr>
          <w:rFonts w:hint="cs"/>
          <w:rtl/>
        </w:rPr>
        <w:t xml:space="preserve">דוד בן-גוריון (להלן - ארכיון בן-גוריון) וארכיון מרכז </w:t>
      </w:r>
      <w:r w:rsidR="00D23B61">
        <w:rPr>
          <w:rFonts w:hint="cs"/>
          <w:rtl/>
        </w:rPr>
        <w:t xml:space="preserve">יצחק </w:t>
      </w:r>
      <w:r>
        <w:rPr>
          <w:rFonts w:hint="cs"/>
          <w:rtl/>
        </w:rPr>
        <w:t>רבין (</w:t>
      </w:r>
      <w:r w:rsidR="00E34F59">
        <w:rPr>
          <w:rFonts w:hint="cs"/>
          <w:rtl/>
        </w:rPr>
        <w:t xml:space="preserve">להלן - ארכיון מרכז רבין; </w:t>
      </w:r>
      <w:r>
        <w:rPr>
          <w:rFonts w:hint="cs"/>
          <w:rtl/>
        </w:rPr>
        <w:t>שלושת ארכיונים אלה</w:t>
      </w:r>
      <w:r w:rsidR="00D23B61">
        <w:rPr>
          <w:rFonts w:hint="cs"/>
          <w:rtl/>
        </w:rPr>
        <w:t xml:space="preserve"> ביחד יכונו בדוח זה -</w:t>
      </w:r>
      <w:r>
        <w:rPr>
          <w:rFonts w:hint="cs"/>
          <w:rtl/>
        </w:rPr>
        <w:t xml:space="preserve"> ארכיונים המהווים חלק מארכיון המדינה</w:t>
      </w:r>
      <w:r>
        <w:rPr>
          <w:rStyle w:val="FootnoteReference"/>
          <w:rtl/>
        </w:rPr>
        <w:footnoteReference w:id="7"/>
      </w:r>
      <w:r>
        <w:rPr>
          <w:rFonts w:hint="cs"/>
          <w:rtl/>
        </w:rPr>
        <w:t>)</w:t>
      </w:r>
      <w:r w:rsidR="00E34F59">
        <w:rPr>
          <w:rFonts w:hint="cs"/>
          <w:rtl/>
        </w:rPr>
        <w:t>.</w:t>
      </w:r>
      <w:r>
        <w:rPr>
          <w:rFonts w:hint="cs"/>
          <w:rtl/>
        </w:rPr>
        <w:t xml:space="preserve"> </w:t>
      </w:r>
      <w:r w:rsidR="00E34F59">
        <w:rPr>
          <w:rFonts w:hint="cs"/>
          <w:rtl/>
        </w:rPr>
        <w:t xml:space="preserve">כמו </w:t>
      </w:r>
      <w:r w:rsidR="000C5ACF">
        <w:rPr>
          <w:rFonts w:hint="cs"/>
          <w:rtl/>
        </w:rPr>
        <w:t>כן</w:t>
      </w:r>
      <w:r w:rsidR="00E34F59">
        <w:rPr>
          <w:rFonts w:hint="cs"/>
          <w:rtl/>
        </w:rPr>
        <w:t xml:space="preserve"> מופקדים חומרים כאלה</w:t>
      </w:r>
      <w:r w:rsidR="000C5ACF">
        <w:rPr>
          <w:rFonts w:hint="cs"/>
          <w:rtl/>
        </w:rPr>
        <w:t xml:space="preserve"> ב</w:t>
      </w:r>
      <w:r>
        <w:rPr>
          <w:rFonts w:hint="cs"/>
          <w:rtl/>
        </w:rPr>
        <w:t xml:space="preserve">ארכיונים </w:t>
      </w:r>
      <w:r w:rsidR="00D23B61">
        <w:rPr>
          <w:rFonts w:hint="cs"/>
          <w:rtl/>
        </w:rPr>
        <w:t>המצויים בגופי מערכת הביטחון</w:t>
      </w:r>
      <w:r w:rsidR="000C5ACF">
        <w:rPr>
          <w:rFonts w:hint="cs"/>
          <w:rtl/>
        </w:rPr>
        <w:t xml:space="preserve"> ואשר הגנז הכיר בהם כשלוחות של ארכיון המדינה,</w:t>
      </w:r>
      <w:r w:rsidR="00D23B61">
        <w:rPr>
          <w:rFonts w:hint="cs"/>
          <w:rtl/>
        </w:rPr>
        <w:t xml:space="preserve"> </w:t>
      </w:r>
      <w:r>
        <w:rPr>
          <w:rFonts w:hint="cs"/>
          <w:rtl/>
        </w:rPr>
        <w:t>דוגמת ארכיון צה"ל ומערכת הביטחון (להלן - ארכיון צה"ל</w:t>
      </w:r>
      <w:r>
        <w:rPr>
          <w:rStyle w:val="FootnoteReference"/>
          <w:rtl/>
        </w:rPr>
        <w:footnoteReference w:id="8"/>
      </w:r>
      <w:r>
        <w:rPr>
          <w:rFonts w:hint="cs"/>
          <w:rtl/>
        </w:rPr>
        <w:t xml:space="preserve">), ארכיון המוסד </w:t>
      </w:r>
      <w:r>
        <w:rPr>
          <w:rFonts w:hint="cs"/>
          <w:rtl/>
        </w:rPr>
        <w:t xml:space="preserve">וארכיון שב"כ (בדוח זה יכונו </w:t>
      </w:r>
      <w:r w:rsidR="00E34F59">
        <w:rPr>
          <w:rFonts w:hint="cs"/>
          <w:rtl/>
        </w:rPr>
        <w:t>ארכיונים אלה יחד גם -</w:t>
      </w:r>
      <w:r>
        <w:rPr>
          <w:rFonts w:hint="cs"/>
          <w:rtl/>
        </w:rPr>
        <w:t xml:space="preserve"> שלוחות של ארכיון המדינה </w:t>
      </w:r>
      <w:r>
        <w:rPr>
          <w:rFonts w:hint="cs"/>
          <w:rtl/>
        </w:rPr>
        <w:t>בגופים</w:t>
      </w:r>
      <w:r>
        <w:rPr>
          <w:rFonts w:hint="cs"/>
          <w:rtl/>
        </w:rPr>
        <w:t xml:space="preserve"> הביטחוניים</w:t>
      </w:r>
      <w:r>
        <w:rPr>
          <w:rStyle w:val="FootnoteReference"/>
          <w:rtl/>
        </w:rPr>
        <w:footnoteReference w:id="9"/>
      </w:r>
      <w:r>
        <w:rPr>
          <w:rFonts w:hint="cs"/>
          <w:rtl/>
        </w:rPr>
        <w:t xml:space="preserve">). החומרים הארכיוניים אמורים </w:t>
      </w:r>
      <w:r w:rsidR="00666F5F">
        <w:rPr>
          <w:rFonts w:hint="cs"/>
          <w:rtl/>
        </w:rPr>
        <w:t>לעמוד</w:t>
      </w:r>
      <w:r>
        <w:rPr>
          <w:rFonts w:hint="cs"/>
          <w:rtl/>
        </w:rPr>
        <w:t xml:space="preserve"> לעיון הציבור בהתאם לתנאים שנקבעו בחוק הארכיונים ובתקנותיו.</w:t>
      </w:r>
    </w:p>
    <w:p w:rsidR="00A73687" w:rsidP="00FF6AB4" w14:paraId="4DD67621" w14:textId="77777777">
      <w:pPr>
        <w:pStyle w:val="a"/>
        <w:spacing w:line="269" w:lineRule="auto"/>
        <w:rPr>
          <w:rtl/>
        </w:rPr>
      </w:pPr>
    </w:p>
    <w:p w:rsidR="004A37F5" w:rsidP="00FF6AB4" w14:paraId="377EB1C5" w14:textId="77777777">
      <w:pPr>
        <w:spacing w:line="269" w:lineRule="auto"/>
        <w:rPr>
          <w:rtl/>
        </w:rPr>
      </w:pPr>
      <w:r>
        <w:rPr>
          <w:rFonts w:hint="cs"/>
          <w:rtl/>
        </w:rPr>
        <w:t xml:space="preserve">נוסף </w:t>
      </w:r>
      <w:r w:rsidR="00D23B61">
        <w:rPr>
          <w:rFonts w:hint="cs"/>
          <w:rtl/>
        </w:rPr>
        <w:t>ע</w:t>
      </w:r>
      <w:r>
        <w:rPr>
          <w:rFonts w:hint="cs"/>
          <w:rtl/>
        </w:rPr>
        <w:t>ל</w:t>
      </w:r>
      <w:r w:rsidR="00D23B61">
        <w:rPr>
          <w:rFonts w:hint="cs"/>
          <w:rtl/>
        </w:rPr>
        <w:t xml:space="preserve"> </w:t>
      </w:r>
      <w:r>
        <w:rPr>
          <w:rFonts w:hint="cs"/>
          <w:rtl/>
        </w:rPr>
        <w:t>כך מצויים חומרים ארכיוניים של מוסדות המדינה</w:t>
      </w:r>
      <w:r w:rsidR="00A93F63">
        <w:rPr>
          <w:rFonts w:hint="cs"/>
          <w:rtl/>
        </w:rPr>
        <w:t>, לרבות מסווגים,</w:t>
      </w:r>
      <w:r w:rsidRPr="00F63D38">
        <w:rPr>
          <w:rFonts w:hint="cs"/>
          <w:rtl/>
        </w:rPr>
        <w:t xml:space="preserve"> גם </w:t>
      </w:r>
      <w:r>
        <w:rPr>
          <w:rFonts w:hint="cs"/>
          <w:rtl/>
        </w:rPr>
        <w:t>ב</w:t>
      </w:r>
      <w:r w:rsidRPr="00F63D38">
        <w:rPr>
          <w:rFonts w:hint="cs"/>
          <w:rtl/>
        </w:rPr>
        <w:t>ארכיונים ציבוריים</w:t>
      </w:r>
      <w:r>
        <w:rPr>
          <w:rStyle w:val="FootnoteReference"/>
          <w:rtl/>
        </w:rPr>
        <w:footnoteReference w:id="10"/>
      </w:r>
      <w:r>
        <w:rPr>
          <w:rFonts w:hint="cs"/>
          <w:rtl/>
        </w:rPr>
        <w:t xml:space="preserve"> </w:t>
      </w:r>
      <w:r w:rsidRPr="00F63D38">
        <w:rPr>
          <w:rFonts w:hint="cs"/>
          <w:rtl/>
        </w:rPr>
        <w:t>ו</w:t>
      </w:r>
      <w:r>
        <w:rPr>
          <w:rFonts w:hint="cs"/>
          <w:rtl/>
        </w:rPr>
        <w:t xml:space="preserve">כן בידי בעלים פרטיים (להלן - ארכיונים </w:t>
      </w:r>
      <w:r w:rsidRPr="00F63D38">
        <w:rPr>
          <w:rFonts w:hint="cs"/>
          <w:rtl/>
        </w:rPr>
        <w:t>פרטיים</w:t>
      </w:r>
      <w:r>
        <w:rPr>
          <w:rFonts w:hint="cs"/>
          <w:rtl/>
        </w:rPr>
        <w:t>)</w:t>
      </w:r>
      <w:r w:rsidRPr="00F63D38">
        <w:rPr>
          <w:rFonts w:hint="cs"/>
          <w:rtl/>
        </w:rPr>
        <w:t>.</w:t>
      </w:r>
    </w:p>
    <w:p w:rsidR="00A73687" w:rsidP="00FF6AB4" w14:paraId="1276ADFB" w14:textId="77777777">
      <w:pPr>
        <w:pStyle w:val="a"/>
        <w:spacing w:line="269" w:lineRule="auto"/>
        <w:rPr>
          <w:rtl/>
        </w:rPr>
      </w:pPr>
    </w:p>
    <w:p w:rsidR="004A37F5" w:rsidP="00FF6AB4" w14:paraId="6DFD40BC" w14:textId="77777777">
      <w:pPr>
        <w:spacing w:line="269" w:lineRule="auto"/>
        <w:rPr>
          <w:rtl/>
        </w:rPr>
      </w:pPr>
      <w:r>
        <w:rPr>
          <w:rFonts w:hint="cs"/>
          <w:rtl/>
        </w:rPr>
        <w:t xml:space="preserve">עובדי ציבור </w:t>
      </w:r>
      <w:r w:rsidR="004611E4">
        <w:rPr>
          <w:rFonts w:hint="cs"/>
          <w:rtl/>
        </w:rPr>
        <w:t>מכהנים ו</w:t>
      </w:r>
      <w:r w:rsidR="00666F5F">
        <w:rPr>
          <w:rFonts w:hint="cs"/>
          <w:rtl/>
        </w:rPr>
        <w:t xml:space="preserve">עובדי ציבור </w:t>
      </w:r>
      <w:r>
        <w:rPr>
          <w:rFonts w:hint="cs"/>
          <w:rtl/>
        </w:rPr>
        <w:t>לשעבר, בעיקר בכירים, כותבים לעתים ספרים על פועלם או על התרחשויות שאליה</w:t>
      </w:r>
      <w:r w:rsidR="00A93F63">
        <w:rPr>
          <w:rFonts w:hint="cs"/>
          <w:rtl/>
        </w:rPr>
        <w:t>ן</w:t>
      </w:r>
      <w:r>
        <w:rPr>
          <w:rFonts w:hint="cs"/>
          <w:rtl/>
        </w:rPr>
        <w:t xml:space="preserve"> נחשפו במסגרת תפקידם הציבורי. בתהליך כתיבתו ועיבודו של ספר </w:t>
      </w:r>
      <w:r w:rsidR="004611E4">
        <w:rPr>
          <w:rFonts w:hint="cs"/>
          <w:rtl/>
        </w:rPr>
        <w:t>כזה</w:t>
      </w:r>
      <w:r w:rsidR="00E82381">
        <w:rPr>
          <w:rFonts w:hint="cs"/>
          <w:rtl/>
        </w:rPr>
        <w:t xml:space="preserve"> </w:t>
      </w:r>
      <w:r>
        <w:rPr>
          <w:rFonts w:hint="cs"/>
          <w:rtl/>
        </w:rPr>
        <w:t>נחשף לע</w:t>
      </w:r>
      <w:r w:rsidR="008444FE">
        <w:rPr>
          <w:rFonts w:hint="cs"/>
          <w:rtl/>
        </w:rPr>
        <w:t>י</w:t>
      </w:r>
      <w:r>
        <w:rPr>
          <w:rFonts w:hint="cs"/>
          <w:rtl/>
        </w:rPr>
        <w:t>תים</w:t>
      </w:r>
      <w:r w:rsidR="008444FE">
        <w:rPr>
          <w:rFonts w:hint="cs"/>
          <w:rtl/>
        </w:rPr>
        <w:t xml:space="preserve"> </w:t>
      </w:r>
      <w:r>
        <w:rPr>
          <w:rFonts w:hint="cs"/>
          <w:rtl/>
        </w:rPr>
        <w:t xml:space="preserve">מידע מסווג לגורמים בלתי מורשים </w:t>
      </w:r>
      <w:r w:rsidR="008444FE">
        <w:rPr>
          <w:rFonts w:hint="cs"/>
          <w:rtl/>
        </w:rPr>
        <w:t>השותפים להפקתו,</w:t>
      </w:r>
      <w:r>
        <w:rPr>
          <w:rFonts w:hint="cs"/>
          <w:rtl/>
        </w:rPr>
        <w:t xml:space="preserve"> דוגמת סופרי צללים</w:t>
      </w:r>
      <w:r>
        <w:rPr>
          <w:rStyle w:val="FootnoteReference"/>
          <w:rtl/>
        </w:rPr>
        <w:footnoteReference w:id="11"/>
      </w:r>
      <w:r>
        <w:rPr>
          <w:rFonts w:hint="cs"/>
          <w:rtl/>
        </w:rPr>
        <w:t xml:space="preserve"> ועורכים לשוניים.</w:t>
      </w:r>
    </w:p>
    <w:p w:rsidR="008B1937" w:rsidP="00FF6AB4" w14:paraId="27A9623C" w14:textId="77777777">
      <w:pPr>
        <w:spacing w:line="269" w:lineRule="auto"/>
        <w:rPr>
          <w:rtl/>
        </w:rPr>
      </w:pPr>
      <w:bookmarkStart w:id="2" w:name="_Toc505236173"/>
      <w:bookmarkStart w:id="3" w:name="_Toc505236390"/>
    </w:p>
    <w:p w:rsidR="00EE3D36" w:rsidP="00FF6AB4" w14:paraId="282A6E0B" w14:textId="77777777">
      <w:pPr>
        <w:spacing w:line="269" w:lineRule="auto"/>
        <w:rPr>
          <w:rtl/>
        </w:rPr>
      </w:pPr>
    </w:p>
    <w:p w:rsidR="004A37F5" w:rsidP="00FF6AB4" w14:paraId="7ECC5217" w14:textId="77777777">
      <w:pPr>
        <w:pStyle w:val="Heading3"/>
        <w:spacing w:before="0" w:line="269" w:lineRule="auto"/>
        <w:rPr>
          <w:rtl/>
        </w:rPr>
      </w:pPr>
      <w:r>
        <w:rPr>
          <w:rFonts w:hint="cs"/>
          <w:rtl/>
        </w:rPr>
        <w:t>פעולות הביקורת</w:t>
      </w:r>
      <w:bookmarkEnd w:id="2"/>
      <w:bookmarkEnd w:id="3"/>
    </w:p>
    <w:p w:rsidR="00D230E8" w:rsidRPr="00D230E8" w:rsidP="00FF6AB4" w14:paraId="7F764219" w14:textId="77777777">
      <w:pPr>
        <w:pStyle w:val="a"/>
        <w:spacing w:line="269" w:lineRule="auto"/>
        <w:rPr>
          <w:rtl/>
        </w:rPr>
      </w:pPr>
    </w:p>
    <w:p w:rsidR="004A37F5" w:rsidP="00FF6AB4" w14:paraId="76D2C21F" w14:textId="318A5541">
      <w:pPr>
        <w:spacing w:line="269" w:lineRule="auto"/>
        <w:rPr>
          <w:rtl/>
        </w:rPr>
      </w:pPr>
      <w:r>
        <w:rPr>
          <w:rFonts w:hint="cs"/>
          <w:rtl/>
        </w:rPr>
        <w:t>בחודשים</w:t>
      </w:r>
      <w:r w:rsidR="007976C7">
        <w:rPr>
          <w:rFonts w:hint="cs"/>
          <w:rtl/>
        </w:rPr>
        <w:t xml:space="preserve"> יולי</w:t>
      </w:r>
      <w:r w:rsidRPr="00396291" w:rsidR="00B03FF6">
        <w:rPr>
          <w:rtl/>
        </w:rPr>
        <w:t xml:space="preserve"> 201</w:t>
      </w:r>
      <w:r w:rsidR="00B03FF6">
        <w:rPr>
          <w:rFonts w:hint="cs"/>
          <w:rtl/>
        </w:rPr>
        <w:t>8 עד מרץ</w:t>
      </w:r>
      <w:r w:rsidRPr="00396291" w:rsidR="00B03FF6">
        <w:rPr>
          <w:rtl/>
        </w:rPr>
        <w:t xml:space="preserve"> 201</w:t>
      </w:r>
      <w:r w:rsidR="00B03FF6">
        <w:rPr>
          <w:rFonts w:hint="cs"/>
          <w:rtl/>
        </w:rPr>
        <w:t>9</w:t>
      </w:r>
      <w:r w:rsidRPr="00396291" w:rsidR="00B03FF6">
        <w:rPr>
          <w:rtl/>
        </w:rPr>
        <w:t xml:space="preserve"> </w:t>
      </w:r>
      <w:r>
        <w:rPr>
          <w:rFonts w:hint="cs"/>
          <w:rtl/>
        </w:rPr>
        <w:t>ביצע</w:t>
      </w:r>
      <w:r w:rsidRPr="00396291" w:rsidR="00B03FF6">
        <w:rPr>
          <w:rtl/>
        </w:rPr>
        <w:t xml:space="preserve"> משרד מבקר המדינה ביקורת בנושא </w:t>
      </w:r>
      <w:r w:rsidRPr="003723E4" w:rsidR="00B03FF6">
        <w:rPr>
          <w:rFonts w:hint="cs"/>
          <w:rtl/>
        </w:rPr>
        <w:t xml:space="preserve">"מידע מסווג - אבטחתו </w:t>
      </w:r>
      <w:r w:rsidR="00ED672F">
        <w:rPr>
          <w:rFonts w:hint="cs"/>
          <w:rtl/>
        </w:rPr>
        <w:t xml:space="preserve">בארכיונים </w:t>
      </w:r>
      <w:r w:rsidRPr="003723E4" w:rsidR="00B03FF6">
        <w:rPr>
          <w:rFonts w:hint="cs"/>
          <w:rtl/>
        </w:rPr>
        <w:t>ו</w:t>
      </w:r>
      <w:r w:rsidR="00B03FF6">
        <w:rPr>
          <w:rFonts w:hint="cs"/>
          <w:rtl/>
        </w:rPr>
        <w:t xml:space="preserve">מניעת </w:t>
      </w:r>
      <w:r w:rsidRPr="003723E4" w:rsidR="00B03FF6">
        <w:rPr>
          <w:rFonts w:hint="cs"/>
          <w:rtl/>
        </w:rPr>
        <w:t>פרסומו"</w:t>
      </w:r>
      <w:r w:rsidRPr="003723E4" w:rsidR="00B03FF6">
        <w:rPr>
          <w:rtl/>
        </w:rPr>
        <w:t xml:space="preserve">. </w:t>
      </w:r>
      <w:r>
        <w:rPr>
          <w:rFonts w:hint="cs"/>
          <w:rtl/>
        </w:rPr>
        <w:t>בביקורת נבדקו</w:t>
      </w:r>
      <w:r w:rsidR="00B03FF6">
        <w:rPr>
          <w:rFonts w:hint="cs"/>
          <w:rtl/>
        </w:rPr>
        <w:t xml:space="preserve"> סוגיות הנוגעות להימצאותם של חומרים מסווגים בכלל הארכיונים, פיקוח הג</w:t>
      </w:r>
      <w:r>
        <w:rPr>
          <w:rFonts w:hint="cs"/>
          <w:rtl/>
        </w:rPr>
        <w:t xml:space="preserve">נז על ארכיונים ציבוריים </w:t>
      </w:r>
      <w:r w:rsidRPr="00412DE2">
        <w:rPr>
          <w:rFonts w:hint="cs"/>
          <w:rtl/>
        </w:rPr>
        <w:t>ופר</w:t>
      </w:r>
      <w:r w:rsidRPr="00412DE2">
        <w:rPr>
          <w:rFonts w:hint="cs"/>
          <w:rtl/>
        </w:rPr>
        <w:t>טיים</w:t>
      </w:r>
      <w:r w:rsidRPr="001B4CD2" w:rsidR="00B0313C">
        <w:rPr>
          <w:rFonts w:hint="cs"/>
          <w:rtl/>
        </w:rPr>
        <w:t>, פעילות</w:t>
      </w:r>
      <w:r w:rsidR="006B15C8">
        <w:rPr>
          <w:rFonts w:hint="cs"/>
          <w:rtl/>
        </w:rPr>
        <w:t>ו</w:t>
      </w:r>
      <w:r w:rsidRPr="001B4CD2" w:rsidR="00B0313C">
        <w:rPr>
          <w:rFonts w:hint="cs"/>
          <w:rtl/>
        </w:rPr>
        <w:t xml:space="preserve"> של </w:t>
      </w:r>
      <w:r w:rsidRPr="001B4CD2" w:rsidR="00F0293E">
        <w:rPr>
          <w:rFonts w:hint="cs"/>
          <w:rtl/>
        </w:rPr>
        <w:t xml:space="preserve">הממונה על הביטחון במערכת הביטחון (להלן - </w:t>
      </w:r>
      <w:r w:rsidRPr="001B4CD2" w:rsidR="00B0313C">
        <w:rPr>
          <w:rFonts w:hint="cs"/>
          <w:rtl/>
        </w:rPr>
        <w:t>המלמ"ב</w:t>
      </w:r>
      <w:r w:rsidRPr="001B4CD2" w:rsidR="00F0293E">
        <w:rPr>
          <w:rFonts w:hint="cs"/>
          <w:rtl/>
        </w:rPr>
        <w:t>)</w:t>
      </w:r>
      <w:r w:rsidRPr="001B4CD2" w:rsidR="00B0313C">
        <w:rPr>
          <w:rFonts w:hint="cs"/>
          <w:rtl/>
        </w:rPr>
        <w:t xml:space="preserve"> בארכיונים, סוגיות במעורבות הצנזורה </w:t>
      </w:r>
      <w:r w:rsidRPr="001B4CD2" w:rsidR="00F0293E">
        <w:rPr>
          <w:rFonts w:hint="cs"/>
          <w:rtl/>
        </w:rPr>
        <w:t xml:space="preserve">הצבאית (להלן - הצנזורה) </w:t>
      </w:r>
      <w:r w:rsidRPr="001B4CD2" w:rsidR="00B0313C">
        <w:rPr>
          <w:rFonts w:hint="cs"/>
          <w:rtl/>
        </w:rPr>
        <w:t>בארכיון המדינה ובשלוחותיו</w:t>
      </w:r>
      <w:r w:rsidRPr="00412DE2" w:rsidR="00B03FF6">
        <w:rPr>
          <w:rFonts w:hint="cs"/>
          <w:rtl/>
        </w:rPr>
        <w:t xml:space="preserve"> ו</w:t>
      </w:r>
      <w:r w:rsidR="00146636">
        <w:rPr>
          <w:rFonts w:hint="cs"/>
          <w:rtl/>
        </w:rPr>
        <w:t>גילוי</w:t>
      </w:r>
      <w:r w:rsidR="00B03FF6">
        <w:rPr>
          <w:rFonts w:hint="cs"/>
          <w:rtl/>
        </w:rPr>
        <w:t xml:space="preserve"> מידע מסווג לגורמים בלתי מורשים בתהליך כתיבת ספרים על ידי עובדי ציבור מכהנים ו</w:t>
      </w:r>
      <w:r>
        <w:rPr>
          <w:rFonts w:hint="cs"/>
          <w:rtl/>
        </w:rPr>
        <w:t xml:space="preserve">עובדי ציבור </w:t>
      </w:r>
      <w:r w:rsidR="00B03FF6">
        <w:rPr>
          <w:rFonts w:hint="cs"/>
          <w:rtl/>
        </w:rPr>
        <w:t>לשעבר.</w:t>
      </w:r>
    </w:p>
    <w:p w:rsidR="00A73687" w:rsidP="00FF6AB4" w14:paraId="0E6E2802" w14:textId="77777777">
      <w:pPr>
        <w:pStyle w:val="a"/>
        <w:spacing w:line="269" w:lineRule="auto"/>
        <w:rPr>
          <w:rtl/>
        </w:rPr>
      </w:pPr>
    </w:p>
    <w:p w:rsidR="004A37F5" w:rsidP="00FF6AB4" w14:paraId="33019B3C" w14:textId="77777777">
      <w:pPr>
        <w:spacing w:line="269" w:lineRule="auto"/>
        <w:rPr>
          <w:sz w:val="24"/>
          <w:rtl/>
        </w:rPr>
      </w:pPr>
      <w:r w:rsidRPr="00093C08">
        <w:rPr>
          <w:rFonts w:hint="cs"/>
          <w:rtl/>
        </w:rPr>
        <w:t>ה</w:t>
      </w:r>
      <w:r w:rsidRPr="00093C08">
        <w:rPr>
          <w:rtl/>
        </w:rPr>
        <w:t xml:space="preserve">ביקורת </w:t>
      </w:r>
      <w:r w:rsidRPr="00093C08" w:rsidR="00684EEA">
        <w:rPr>
          <w:rFonts w:hint="cs"/>
          <w:rtl/>
        </w:rPr>
        <w:t>נעשתה</w:t>
      </w:r>
      <w:r w:rsidRPr="00093C08">
        <w:rPr>
          <w:rtl/>
        </w:rPr>
        <w:t>:</w:t>
      </w:r>
      <w:r w:rsidRPr="00093C08">
        <w:rPr>
          <w:rFonts w:hint="cs"/>
          <w:szCs w:val="20"/>
          <w:rtl/>
        </w:rPr>
        <w:t xml:space="preserve"> </w:t>
      </w:r>
      <w:r w:rsidRPr="00093C08" w:rsidR="00684EEA">
        <w:rPr>
          <w:rFonts w:hint="cs"/>
          <w:rtl/>
        </w:rPr>
        <w:t>ב</w:t>
      </w:r>
      <w:r w:rsidRPr="004705C1">
        <w:rPr>
          <w:rFonts w:hint="cs"/>
          <w:rtl/>
        </w:rPr>
        <w:t xml:space="preserve">ארכיון </w:t>
      </w:r>
      <w:r w:rsidRPr="00093C08">
        <w:rPr>
          <w:rFonts w:hint="cs"/>
          <w:rtl/>
        </w:rPr>
        <w:t>המדינה</w:t>
      </w:r>
      <w:r w:rsidRPr="00093C08" w:rsidR="00442E88">
        <w:rPr>
          <w:rFonts w:hint="cs"/>
          <w:rtl/>
        </w:rPr>
        <w:t>;</w:t>
      </w:r>
      <w:r w:rsidRPr="00093C08">
        <w:rPr>
          <w:rFonts w:hint="cs"/>
          <w:sz w:val="22"/>
          <w:szCs w:val="22"/>
          <w:rtl/>
        </w:rPr>
        <w:t xml:space="preserve"> </w:t>
      </w:r>
      <w:r w:rsidRPr="00093C08" w:rsidR="00572E1A">
        <w:rPr>
          <w:rFonts w:hint="cs"/>
          <w:sz w:val="24"/>
          <w:rtl/>
        </w:rPr>
        <w:t xml:space="preserve">במשרד הביטחון </w:t>
      </w:r>
      <w:r w:rsidR="00A85EC5">
        <w:rPr>
          <w:rFonts w:hint="cs"/>
          <w:sz w:val="24"/>
          <w:rtl/>
        </w:rPr>
        <w:t>-</w:t>
      </w:r>
      <w:r w:rsidRPr="00093C08" w:rsidR="00572E1A">
        <w:rPr>
          <w:rFonts w:hint="cs"/>
          <w:sz w:val="24"/>
          <w:rtl/>
        </w:rPr>
        <w:t xml:space="preserve"> </w:t>
      </w:r>
      <w:r w:rsidR="006B15C8">
        <w:rPr>
          <w:rFonts w:hint="cs"/>
          <w:sz w:val="24"/>
          <w:rtl/>
        </w:rPr>
        <w:t>ב</w:t>
      </w:r>
      <w:r w:rsidRPr="00093C08" w:rsidR="00572E1A">
        <w:rPr>
          <w:rFonts w:hint="cs"/>
          <w:sz w:val="24"/>
          <w:rtl/>
        </w:rPr>
        <w:t xml:space="preserve">ארכיון צה"ל </w:t>
      </w:r>
      <w:r w:rsidRPr="00093C08" w:rsidR="00F0293E">
        <w:rPr>
          <w:rFonts w:hint="cs"/>
          <w:sz w:val="24"/>
          <w:rtl/>
        </w:rPr>
        <w:t>ו</w:t>
      </w:r>
      <w:r w:rsidR="006B15C8">
        <w:rPr>
          <w:rFonts w:hint="cs"/>
          <w:sz w:val="24"/>
          <w:rtl/>
        </w:rPr>
        <w:t>ב</w:t>
      </w:r>
      <w:r w:rsidRPr="00093C08" w:rsidR="00572E1A">
        <w:rPr>
          <w:rFonts w:hint="cs"/>
          <w:sz w:val="24"/>
          <w:rtl/>
        </w:rPr>
        <w:t>מלמ"ב;</w:t>
      </w:r>
      <w:r w:rsidR="00C35011">
        <w:rPr>
          <w:rFonts w:hint="cs"/>
          <w:sz w:val="24"/>
          <w:rtl/>
        </w:rPr>
        <w:t xml:space="preserve"> </w:t>
      </w:r>
      <w:r w:rsidR="00A85EC5">
        <w:rPr>
          <w:rFonts w:hint="cs"/>
          <w:sz w:val="24"/>
          <w:rtl/>
        </w:rPr>
        <w:t>ב</w:t>
      </w:r>
      <w:r w:rsidRPr="00093C08">
        <w:rPr>
          <w:rFonts w:hint="cs"/>
          <w:sz w:val="24"/>
          <w:rtl/>
        </w:rPr>
        <w:t>ארכיון</w:t>
      </w:r>
      <w:r w:rsidR="00C35011">
        <w:rPr>
          <w:rFonts w:hint="cs"/>
          <w:sz w:val="24"/>
          <w:rtl/>
        </w:rPr>
        <w:t xml:space="preserve"> </w:t>
      </w:r>
      <w:r w:rsidRPr="00093C08">
        <w:rPr>
          <w:rFonts w:hint="cs"/>
          <w:sz w:val="24"/>
          <w:rtl/>
        </w:rPr>
        <w:t>בגין,</w:t>
      </w:r>
      <w:r w:rsidR="00C35011">
        <w:rPr>
          <w:rFonts w:hint="cs"/>
          <w:sz w:val="24"/>
          <w:rtl/>
        </w:rPr>
        <w:t xml:space="preserve"> </w:t>
      </w:r>
      <w:r w:rsidR="00A85EC5">
        <w:rPr>
          <w:rFonts w:hint="cs"/>
          <w:sz w:val="24"/>
          <w:rtl/>
        </w:rPr>
        <w:t>ב</w:t>
      </w:r>
      <w:r w:rsidRPr="00093C08">
        <w:rPr>
          <w:rFonts w:hint="cs"/>
          <w:sz w:val="24"/>
          <w:rtl/>
        </w:rPr>
        <w:t>ארכיון מרכז רבין ו</w:t>
      </w:r>
      <w:r w:rsidR="00A85EC5">
        <w:rPr>
          <w:rFonts w:hint="cs"/>
          <w:sz w:val="24"/>
          <w:rtl/>
        </w:rPr>
        <w:t>ב</w:t>
      </w:r>
      <w:r w:rsidRPr="00093C08">
        <w:rPr>
          <w:rFonts w:hint="cs"/>
          <w:sz w:val="24"/>
          <w:rtl/>
        </w:rPr>
        <w:t>ארכיון</w:t>
      </w:r>
      <w:r w:rsidR="00C35011">
        <w:rPr>
          <w:rFonts w:hint="cs"/>
          <w:sz w:val="24"/>
          <w:rtl/>
        </w:rPr>
        <w:t xml:space="preserve"> </w:t>
      </w:r>
      <w:r w:rsidRPr="00093C08">
        <w:rPr>
          <w:rFonts w:hint="cs"/>
          <w:sz w:val="24"/>
          <w:rtl/>
        </w:rPr>
        <w:t xml:space="preserve">בן-גוריון; </w:t>
      </w:r>
      <w:r w:rsidRPr="00093C08" w:rsidR="00276B40">
        <w:rPr>
          <w:rFonts w:hint="cs"/>
          <w:sz w:val="24"/>
          <w:rtl/>
        </w:rPr>
        <w:t xml:space="preserve">בארכיון </w:t>
      </w:r>
      <w:r w:rsidRPr="00093C08">
        <w:rPr>
          <w:rFonts w:hint="cs"/>
          <w:sz w:val="24"/>
          <w:rtl/>
        </w:rPr>
        <w:t>הציבורי - ארכיון מפלגת העבודה</w:t>
      </w:r>
      <w:r w:rsidR="00E63F2B">
        <w:rPr>
          <w:rFonts w:hint="cs"/>
          <w:sz w:val="24"/>
          <w:rtl/>
        </w:rPr>
        <w:t xml:space="preserve"> על שם משה שרת</w:t>
      </w:r>
      <w:r w:rsidRPr="00093C08">
        <w:rPr>
          <w:rFonts w:hint="cs"/>
          <w:sz w:val="24"/>
          <w:rtl/>
        </w:rPr>
        <w:t xml:space="preserve"> שבקרן ברל כצנלסון</w:t>
      </w:r>
      <w:r w:rsidR="006B15C8">
        <w:rPr>
          <w:rFonts w:hint="cs"/>
          <w:sz w:val="24"/>
          <w:rtl/>
        </w:rPr>
        <w:t>,</w:t>
      </w:r>
      <w:r w:rsidRPr="00093C08">
        <w:rPr>
          <w:rFonts w:hint="cs"/>
          <w:sz w:val="24"/>
          <w:rtl/>
        </w:rPr>
        <w:t xml:space="preserve"> הממוקם בבית ברל </w:t>
      </w:r>
      <w:r w:rsidR="00744938">
        <w:rPr>
          <w:sz w:val="24"/>
          <w:rtl/>
        </w:rPr>
        <w:br/>
      </w:r>
      <w:r w:rsidRPr="00093C08">
        <w:rPr>
          <w:rFonts w:hint="cs"/>
          <w:sz w:val="24"/>
          <w:rtl/>
        </w:rPr>
        <w:t xml:space="preserve">(להלן - ארכיון בית ברל); </w:t>
      </w:r>
      <w:r w:rsidRPr="00093C08" w:rsidR="00684EEA">
        <w:rPr>
          <w:rFonts w:hint="cs"/>
          <w:sz w:val="24"/>
          <w:rtl/>
        </w:rPr>
        <w:t>ב</w:t>
      </w:r>
      <w:r w:rsidRPr="00093C08">
        <w:rPr>
          <w:rFonts w:hint="cs"/>
          <w:sz w:val="24"/>
          <w:rtl/>
        </w:rPr>
        <w:t xml:space="preserve">משרד המשפטים; </w:t>
      </w:r>
      <w:r w:rsidRPr="0077385C" w:rsidR="00684EEA">
        <w:rPr>
          <w:rFonts w:hint="cs"/>
          <w:sz w:val="24"/>
          <w:rtl/>
        </w:rPr>
        <w:t>ב</w:t>
      </w:r>
      <w:r w:rsidRPr="0077385C">
        <w:rPr>
          <w:rFonts w:hint="cs"/>
          <w:sz w:val="24"/>
          <w:rtl/>
        </w:rPr>
        <w:t xml:space="preserve">מוסד </w:t>
      </w:r>
      <w:r w:rsidRPr="00087F4D" w:rsidR="00684EEA">
        <w:rPr>
          <w:rFonts w:hint="cs"/>
          <w:sz w:val="24"/>
          <w:rtl/>
        </w:rPr>
        <w:t>וב</w:t>
      </w:r>
      <w:r w:rsidRPr="00087F4D">
        <w:rPr>
          <w:rFonts w:hint="cs"/>
          <w:sz w:val="24"/>
          <w:rtl/>
        </w:rPr>
        <w:t xml:space="preserve">שב"כ; </w:t>
      </w:r>
      <w:r w:rsidRPr="00087F4D" w:rsidR="00684EEA">
        <w:rPr>
          <w:rFonts w:hint="cs"/>
          <w:sz w:val="24"/>
          <w:rtl/>
        </w:rPr>
        <w:t>ב</w:t>
      </w:r>
      <w:r w:rsidRPr="00087F4D">
        <w:rPr>
          <w:rFonts w:hint="cs"/>
          <w:sz w:val="24"/>
          <w:rtl/>
        </w:rPr>
        <w:t>צה"ל</w:t>
      </w:r>
      <w:r>
        <w:rPr>
          <w:rFonts w:hint="cs"/>
          <w:sz w:val="24"/>
          <w:rtl/>
        </w:rPr>
        <w:t xml:space="preserve"> - </w:t>
      </w:r>
      <w:r w:rsidR="00684EEA">
        <w:rPr>
          <w:rFonts w:hint="cs"/>
          <w:sz w:val="24"/>
          <w:rtl/>
        </w:rPr>
        <w:t>ב</w:t>
      </w:r>
      <w:r>
        <w:rPr>
          <w:rFonts w:hint="cs"/>
          <w:sz w:val="24"/>
          <w:rtl/>
        </w:rPr>
        <w:t xml:space="preserve">יחידת </w:t>
      </w:r>
      <w:r w:rsidRPr="0035636E">
        <w:rPr>
          <w:rFonts w:hint="cs"/>
          <w:sz w:val="24"/>
          <w:rtl/>
        </w:rPr>
        <w:t xml:space="preserve">הצנזורה, </w:t>
      </w:r>
      <w:r w:rsidR="00684EEA">
        <w:rPr>
          <w:rFonts w:hint="cs"/>
          <w:sz w:val="24"/>
          <w:rtl/>
        </w:rPr>
        <w:t>וב</w:t>
      </w:r>
      <w:r w:rsidRPr="0035636E">
        <w:rPr>
          <w:rFonts w:hint="cs"/>
          <w:sz w:val="24"/>
          <w:rtl/>
        </w:rPr>
        <w:t>מחלקת ביטחון מידע (מחב"ם);</w:t>
      </w:r>
      <w:r>
        <w:rPr>
          <w:rFonts w:hint="cs"/>
          <w:sz w:val="24"/>
          <w:rtl/>
        </w:rPr>
        <w:t xml:space="preserve"> </w:t>
      </w:r>
      <w:r w:rsidR="00684EEA">
        <w:rPr>
          <w:rFonts w:hint="cs"/>
          <w:sz w:val="24"/>
          <w:rtl/>
        </w:rPr>
        <w:t>ב</w:t>
      </w:r>
      <w:r w:rsidRPr="00EA1F67">
        <w:rPr>
          <w:rFonts w:hint="cs"/>
          <w:sz w:val="24"/>
          <w:rtl/>
        </w:rPr>
        <w:t>מ</w:t>
      </w:r>
      <w:r>
        <w:rPr>
          <w:rFonts w:hint="cs"/>
          <w:sz w:val="24"/>
          <w:rtl/>
        </w:rPr>
        <w:t>טה</w:t>
      </w:r>
      <w:r w:rsidRPr="00EA1F67">
        <w:rPr>
          <w:rFonts w:hint="cs"/>
          <w:sz w:val="24"/>
          <w:rtl/>
        </w:rPr>
        <w:t xml:space="preserve"> לביטחון לאומי</w:t>
      </w:r>
      <w:r>
        <w:rPr>
          <w:rFonts w:hint="cs"/>
          <w:sz w:val="24"/>
          <w:rtl/>
        </w:rPr>
        <w:t xml:space="preserve"> (להלן - </w:t>
      </w:r>
      <w:r w:rsidR="00684EEA">
        <w:rPr>
          <w:rFonts w:hint="cs"/>
          <w:sz w:val="24"/>
          <w:rtl/>
        </w:rPr>
        <w:t>ה</w:t>
      </w:r>
      <w:r>
        <w:rPr>
          <w:rFonts w:hint="cs"/>
          <w:sz w:val="24"/>
          <w:rtl/>
        </w:rPr>
        <w:t>מל"ל) ו</w:t>
      </w:r>
      <w:r w:rsidR="00684EEA">
        <w:rPr>
          <w:rFonts w:hint="cs"/>
          <w:sz w:val="24"/>
          <w:rtl/>
        </w:rPr>
        <w:t>ב</w:t>
      </w:r>
      <w:r>
        <w:rPr>
          <w:rFonts w:hint="cs"/>
          <w:sz w:val="24"/>
          <w:rtl/>
        </w:rPr>
        <w:t>מזכירות הממשלה</w:t>
      </w:r>
      <w:r>
        <w:rPr>
          <w:rStyle w:val="FootnoteReference"/>
          <w:sz w:val="24"/>
          <w:rtl/>
        </w:rPr>
        <w:footnoteReference w:id="12"/>
      </w:r>
      <w:r w:rsidRPr="00380E8D">
        <w:rPr>
          <w:rFonts w:hint="cs"/>
          <w:sz w:val="24"/>
          <w:rtl/>
        </w:rPr>
        <w:t>.</w:t>
      </w:r>
      <w:r>
        <w:rPr>
          <w:rFonts w:hint="cs"/>
          <w:sz w:val="24"/>
          <w:rtl/>
        </w:rPr>
        <w:t xml:space="preserve"> </w:t>
      </w:r>
    </w:p>
    <w:p w:rsidR="00A73687" w:rsidP="00FF6AB4" w14:paraId="5FAD23B6" w14:textId="77777777">
      <w:pPr>
        <w:pStyle w:val="a"/>
        <w:spacing w:line="269" w:lineRule="auto"/>
        <w:rPr>
          <w:rtl/>
        </w:rPr>
      </w:pPr>
    </w:p>
    <w:p w:rsidR="004A37F5" w:rsidP="00FF6AB4" w14:paraId="103FF1EF" w14:textId="4DBC83A6">
      <w:pPr>
        <w:spacing w:line="269" w:lineRule="auto"/>
        <w:rPr>
          <w:sz w:val="24"/>
          <w:rtl/>
        </w:rPr>
      </w:pPr>
      <w:r>
        <w:rPr>
          <w:rFonts w:hint="cs"/>
          <w:sz w:val="24"/>
          <w:rtl/>
        </w:rPr>
        <w:t xml:space="preserve">נוסף </w:t>
      </w:r>
      <w:r w:rsidR="00684EEA">
        <w:rPr>
          <w:rFonts w:hint="cs"/>
          <w:sz w:val="24"/>
          <w:rtl/>
        </w:rPr>
        <w:t xml:space="preserve">על כך </w:t>
      </w:r>
      <w:r>
        <w:rPr>
          <w:rFonts w:hint="cs"/>
          <w:sz w:val="24"/>
          <w:rtl/>
        </w:rPr>
        <w:t>נפגש צוות הביקורת עם בעלי תפקידים</w:t>
      </w:r>
      <w:r w:rsidRPr="00946B2B">
        <w:rPr>
          <w:rFonts w:hint="cs"/>
          <w:sz w:val="24"/>
          <w:rtl/>
        </w:rPr>
        <w:t xml:space="preserve"> </w:t>
      </w:r>
      <w:r>
        <w:rPr>
          <w:rFonts w:hint="cs"/>
          <w:sz w:val="24"/>
          <w:rtl/>
        </w:rPr>
        <w:t xml:space="preserve">בשני ארכיונים ציבוריים שאינם גופים </w:t>
      </w:r>
      <w:r w:rsidRPr="00093C08" w:rsidR="00684EEA">
        <w:rPr>
          <w:rFonts w:hint="cs"/>
          <w:sz w:val="24"/>
          <w:rtl/>
        </w:rPr>
        <w:t>מבוקרים</w:t>
      </w:r>
      <w:r w:rsidRPr="00093C08" w:rsidR="00442E88">
        <w:rPr>
          <w:rFonts w:hint="cs"/>
          <w:sz w:val="24"/>
          <w:rtl/>
        </w:rPr>
        <w:t xml:space="preserve"> </w:t>
      </w:r>
      <w:r w:rsidRPr="00093C08" w:rsidR="00CE7BF3">
        <w:rPr>
          <w:rFonts w:hint="cs"/>
          <w:sz w:val="24"/>
          <w:rtl/>
        </w:rPr>
        <w:t>על פי חוק</w:t>
      </w:r>
      <w:r w:rsidRPr="00093C08" w:rsidR="00442E88">
        <w:rPr>
          <w:rFonts w:hint="cs"/>
          <w:sz w:val="24"/>
          <w:rtl/>
        </w:rPr>
        <w:t xml:space="preserve"> מבקר המדינה</w:t>
      </w:r>
      <w:r w:rsidRPr="00093C08" w:rsidR="00CE7BF3">
        <w:rPr>
          <w:rFonts w:hint="cs"/>
          <w:sz w:val="24"/>
          <w:rtl/>
        </w:rPr>
        <w:t xml:space="preserve"> </w:t>
      </w:r>
      <w:r w:rsidRPr="00093C08" w:rsidR="0084642B">
        <w:rPr>
          <w:rFonts w:hint="cs"/>
          <w:sz w:val="24"/>
          <w:rtl/>
        </w:rPr>
        <w:t>(התשי"ח-1958</w:t>
      </w:r>
      <w:r w:rsidR="0084642B">
        <w:rPr>
          <w:rFonts w:hint="cs"/>
          <w:sz w:val="24"/>
          <w:rtl/>
        </w:rPr>
        <w:t>)</w:t>
      </w:r>
      <w:r w:rsidR="00684EEA">
        <w:rPr>
          <w:rFonts w:hint="cs"/>
          <w:sz w:val="24"/>
          <w:rtl/>
        </w:rPr>
        <w:t>: ה</w:t>
      </w:r>
      <w:r>
        <w:rPr>
          <w:rFonts w:hint="cs"/>
          <w:sz w:val="24"/>
          <w:rtl/>
        </w:rPr>
        <w:t>ארכיון לתולדות</w:t>
      </w:r>
      <w:r>
        <w:rPr>
          <w:rFonts w:hint="cs"/>
          <w:sz w:val="24"/>
          <w:rtl/>
        </w:rPr>
        <w:t xml:space="preserve"> התנועה הקיבוצית וההתיישבות ב</w:t>
      </w:r>
      <w:r w:rsidRPr="002C64CF">
        <w:rPr>
          <w:rFonts w:hint="cs"/>
          <w:sz w:val="24"/>
          <w:rtl/>
        </w:rPr>
        <w:t xml:space="preserve">"יד טבנקין" </w:t>
      </w:r>
      <w:r w:rsidR="00684EEA">
        <w:rPr>
          <w:rFonts w:hint="cs"/>
          <w:sz w:val="24"/>
          <w:rtl/>
        </w:rPr>
        <w:t>ש</w:t>
      </w:r>
      <w:r>
        <w:rPr>
          <w:rFonts w:hint="cs"/>
          <w:sz w:val="24"/>
          <w:rtl/>
        </w:rPr>
        <w:t>ברמת אפעל</w:t>
      </w:r>
      <w:r w:rsidR="00A044D5">
        <w:rPr>
          <w:rFonts w:hint="cs"/>
          <w:sz w:val="24"/>
          <w:rtl/>
        </w:rPr>
        <w:t xml:space="preserve"> </w:t>
      </w:r>
      <w:r>
        <w:rPr>
          <w:rFonts w:hint="cs"/>
          <w:sz w:val="24"/>
          <w:rtl/>
        </w:rPr>
        <w:t xml:space="preserve">(להלן - ארכיון יד טבנקין) </w:t>
      </w:r>
      <w:r w:rsidR="00F07727">
        <w:rPr>
          <w:rFonts w:hint="cs"/>
          <w:sz w:val="24"/>
          <w:rtl/>
        </w:rPr>
        <w:t>ו</w:t>
      </w:r>
      <w:r w:rsidRPr="002C64CF">
        <w:rPr>
          <w:rFonts w:hint="cs"/>
          <w:sz w:val="24"/>
          <w:rtl/>
        </w:rPr>
        <w:t xml:space="preserve">ארכיון </w:t>
      </w:r>
      <w:r>
        <w:rPr>
          <w:rFonts w:hint="cs"/>
          <w:sz w:val="24"/>
          <w:rtl/>
        </w:rPr>
        <w:t xml:space="preserve">השומר הצעיר </w:t>
      </w:r>
      <w:r w:rsidR="00CF3A89">
        <w:rPr>
          <w:rFonts w:hint="cs"/>
          <w:sz w:val="24"/>
          <w:rtl/>
        </w:rPr>
        <w:t>יד יערי</w:t>
      </w:r>
      <w:r>
        <w:rPr>
          <w:rFonts w:hint="cs"/>
          <w:sz w:val="24"/>
          <w:rtl/>
        </w:rPr>
        <w:t xml:space="preserve"> </w:t>
      </w:r>
      <w:r w:rsidR="00684EEA">
        <w:rPr>
          <w:rFonts w:hint="cs"/>
          <w:sz w:val="24"/>
          <w:rtl/>
        </w:rPr>
        <w:t>ש</w:t>
      </w:r>
      <w:r>
        <w:rPr>
          <w:rFonts w:hint="cs"/>
          <w:sz w:val="24"/>
          <w:rtl/>
        </w:rPr>
        <w:t>בגבעת חביבה (להלן - ארכיון יד יערי).</w:t>
      </w:r>
    </w:p>
    <w:p w:rsidR="00BD0242" w:rsidP="00FF6AB4" w14:paraId="0031181F" w14:textId="77777777">
      <w:pPr>
        <w:pStyle w:val="a"/>
        <w:spacing w:line="269" w:lineRule="auto"/>
        <w:rPr>
          <w:rtl/>
        </w:rPr>
      </w:pPr>
    </w:p>
    <w:p w:rsidR="00BD0242" w:rsidP="00FF6AB4" w14:paraId="76771CDF" w14:textId="54135EA1">
      <w:pPr>
        <w:spacing w:line="269" w:lineRule="auto"/>
        <w:rPr>
          <w:sz w:val="24"/>
          <w:rtl/>
        </w:rPr>
      </w:pPr>
      <w:r>
        <w:rPr>
          <w:rFonts w:hint="cs"/>
          <w:rtl/>
        </w:rPr>
        <w:t>ועדת המשנה של הוועדה לענייני ביקורת המדינה של הכנסת החליטה שלא להניח על שולחן הכנסת ולא לפרסם נתונים מדוח זה, ל</w:t>
      </w:r>
      <w:r>
        <w:rPr>
          <w:rFonts w:hint="cs"/>
          <w:rtl/>
        </w:rPr>
        <w:t>שם שמירה על ביטחון המדינה, בהתאם לסעיף 17 לחוק מבקר המדינה, התשי"ח-1958 [נוסח משולב]. חסיון נתונים אלה אינו מונע את הבנת מהות הביקורת.</w:t>
      </w:r>
    </w:p>
    <w:p w:rsidR="00A73687" w:rsidRPr="00A73687" w:rsidP="00EE3D36" w14:paraId="529B9F62" w14:textId="77777777">
      <w:pPr>
        <w:pStyle w:val="a"/>
        <w:rPr>
          <w:rtl/>
        </w:rPr>
      </w:pPr>
    </w:p>
    <w:p w:rsidR="00C94917" w:rsidP="00FF6AB4" w14:paraId="373E4AF1" w14:textId="77777777">
      <w:pPr>
        <w:spacing w:line="269" w:lineRule="auto"/>
        <w:ind w:left="-2"/>
        <w:rPr>
          <w:rtl/>
        </w:rPr>
      </w:pPr>
      <w:r>
        <w:rPr>
          <w:rFonts w:hint="cs"/>
          <w:rtl/>
        </w:rPr>
        <w:t xml:space="preserve">ארכיון המדינה, הארכיון הממלכתי הראשי של מדינת ישראל, נוסד בשנת 1949. </w:t>
      </w:r>
      <w:r w:rsidR="00AE7C23">
        <w:rPr>
          <w:rFonts w:hint="cs"/>
          <w:rtl/>
        </w:rPr>
        <w:t>הוא</w:t>
      </w:r>
      <w:r w:rsidR="00623B74">
        <w:rPr>
          <w:rFonts w:hint="cs"/>
          <w:rtl/>
        </w:rPr>
        <w:t xml:space="preserve"> פועל כיחידה במשרד </w:t>
      </w:r>
      <w:r w:rsidR="00666F5F">
        <w:rPr>
          <w:rFonts w:hint="cs"/>
          <w:rtl/>
        </w:rPr>
        <w:t>רה"ם</w:t>
      </w:r>
      <w:r>
        <w:rPr>
          <w:rFonts w:hint="cs"/>
          <w:rtl/>
        </w:rPr>
        <w:t xml:space="preserve"> וממוקם בירושלים. חוק האר</w:t>
      </w:r>
      <w:r>
        <w:rPr>
          <w:rFonts w:hint="cs"/>
          <w:rtl/>
        </w:rPr>
        <w:t>כיונים מסדיר את מעמדו, את תפקי</w:t>
      </w:r>
      <w:r w:rsidR="00623B74">
        <w:rPr>
          <w:rFonts w:hint="cs"/>
          <w:rtl/>
        </w:rPr>
        <w:t>דיו ואת התנהלותו, ו</w:t>
      </w:r>
      <w:r>
        <w:rPr>
          <w:rFonts w:hint="cs"/>
          <w:rtl/>
        </w:rPr>
        <w:t xml:space="preserve">נקבע </w:t>
      </w:r>
      <w:r w:rsidR="00623B74">
        <w:rPr>
          <w:rFonts w:hint="cs"/>
          <w:rtl/>
        </w:rPr>
        <w:t xml:space="preserve">בו </w:t>
      </w:r>
      <w:r>
        <w:rPr>
          <w:rFonts w:hint="cs"/>
          <w:rtl/>
        </w:rPr>
        <w:t xml:space="preserve">כי "בגנזך יופקד כל חומר ארכיוני של מוסדות </w:t>
      </w:r>
      <w:r>
        <w:rPr>
          <w:rFonts w:hint="cs"/>
          <w:rtl/>
        </w:rPr>
        <w:t>ממלכתיים שקדמו להקמת מדינת ישראל</w:t>
      </w:r>
      <w:r w:rsidR="00276B40">
        <w:rPr>
          <w:rFonts w:hint="cs"/>
          <w:rtl/>
        </w:rPr>
        <w:t>...</w:t>
      </w:r>
      <w:r>
        <w:rPr>
          <w:rFonts w:hint="cs"/>
          <w:rtl/>
        </w:rPr>
        <w:t xml:space="preserve"> וכל חומר אחר של מוסד ממוסדות המדינה</w:t>
      </w:r>
      <w:r w:rsidR="00F47193">
        <w:rPr>
          <w:rFonts w:hint="cs"/>
          <w:rtl/>
        </w:rPr>
        <w:t>...</w:t>
      </w:r>
      <w:r>
        <w:rPr>
          <w:rFonts w:hint="cs"/>
          <w:rtl/>
        </w:rPr>
        <w:t xml:space="preserve"> שאינו צריך שימוש עוד ושלא ניתן לבערו לפי התקנות"</w:t>
      </w:r>
      <w:r>
        <w:rPr>
          <w:rStyle w:val="FootnoteReference"/>
          <w:rtl/>
        </w:rPr>
        <w:footnoteReference w:id="13"/>
      </w:r>
      <w:r>
        <w:rPr>
          <w:rFonts w:hint="cs"/>
          <w:rtl/>
        </w:rPr>
        <w:t>.</w:t>
      </w:r>
      <w:r w:rsidR="008E7CDB">
        <w:rPr>
          <w:rFonts w:hint="cs"/>
          <w:rtl/>
        </w:rPr>
        <w:t xml:space="preserve"> </w:t>
      </w:r>
    </w:p>
    <w:p w:rsidR="00A73687" w:rsidP="00FF6AB4" w14:paraId="6BCDDF4F" w14:textId="77777777">
      <w:pPr>
        <w:pStyle w:val="a"/>
        <w:spacing w:line="269" w:lineRule="auto"/>
        <w:rPr>
          <w:rtl/>
        </w:rPr>
      </w:pPr>
    </w:p>
    <w:p w:rsidR="004A37F5" w:rsidP="00FF6AB4" w14:paraId="53FCB8C8" w14:textId="77777777">
      <w:pPr>
        <w:spacing w:line="269" w:lineRule="auto"/>
        <w:rPr>
          <w:rtl/>
        </w:rPr>
      </w:pPr>
      <w:r>
        <w:rPr>
          <w:rFonts w:hint="cs"/>
          <w:rtl/>
        </w:rPr>
        <w:t xml:space="preserve">כאמור, בביקורת נבדקו שלושה </w:t>
      </w:r>
      <w:r>
        <w:rPr>
          <w:rFonts w:hint="cs"/>
          <w:rtl/>
        </w:rPr>
        <w:t>ארכיונים המהווים חלק מארכיון המדינה</w:t>
      </w:r>
      <w:r w:rsidR="00623B74">
        <w:rPr>
          <w:rFonts w:hint="cs"/>
          <w:rtl/>
        </w:rPr>
        <w:t>.</w:t>
      </w:r>
      <w:r>
        <w:rPr>
          <w:rFonts w:hint="cs"/>
          <w:rtl/>
        </w:rPr>
        <w:t xml:space="preserve"> פעילותם </w:t>
      </w:r>
      <w:r w:rsidR="00623B74">
        <w:rPr>
          <w:rFonts w:hint="cs"/>
          <w:rtl/>
        </w:rPr>
        <w:t xml:space="preserve">של שלושת ארכיונים אלה </w:t>
      </w:r>
      <w:r>
        <w:rPr>
          <w:rFonts w:hint="cs"/>
          <w:rtl/>
        </w:rPr>
        <w:t>מוסדרת בחוקים כמפורט להלן:</w:t>
      </w:r>
    </w:p>
    <w:p w:rsidR="00A73687" w:rsidP="00FF6AB4" w14:paraId="2149BDD4" w14:textId="77777777">
      <w:pPr>
        <w:pStyle w:val="a"/>
        <w:spacing w:line="269" w:lineRule="auto"/>
        <w:rPr>
          <w:rtl/>
        </w:rPr>
      </w:pPr>
    </w:p>
    <w:p w:rsidR="004A37F5" w:rsidP="00FF6AB4" w14:paraId="25043A72" w14:textId="77777777">
      <w:pPr>
        <w:spacing w:line="269" w:lineRule="auto"/>
        <w:rPr>
          <w:u w:val="single"/>
          <w:rtl/>
        </w:rPr>
      </w:pPr>
      <w:r w:rsidRPr="00587465">
        <w:rPr>
          <w:rFonts w:hint="cs"/>
          <w:rtl/>
        </w:rPr>
        <w:t>על</w:t>
      </w:r>
      <w:r w:rsidRPr="00587465">
        <w:rPr>
          <w:rtl/>
        </w:rPr>
        <w:t xml:space="preserve"> </w:t>
      </w:r>
      <w:r>
        <w:rPr>
          <w:rFonts w:hint="cs"/>
          <w:rtl/>
        </w:rPr>
        <w:t xml:space="preserve">פי </w:t>
      </w:r>
      <w:r w:rsidR="0082311D">
        <w:rPr>
          <w:rFonts w:hint="cs"/>
          <w:rtl/>
        </w:rPr>
        <w:t>ה</w:t>
      </w:r>
      <w:r>
        <w:rPr>
          <w:rFonts w:hint="cs"/>
          <w:rtl/>
        </w:rPr>
        <w:t xml:space="preserve">חוק להנצחת זכרו של מנחם בגין, התשנ"ח-1998, המרכז להנצחת זכרו של מנחם בגין "יקים ארכיון; </w:t>
      </w:r>
      <w:r w:rsidRPr="00A0717D">
        <w:rPr>
          <w:rStyle w:val="7"/>
          <w:rFonts w:eastAsia="Calibri" w:hint="cs"/>
          <w:b/>
          <w:bCs w:val="0"/>
          <w:spacing w:val="0"/>
          <w:rtl/>
        </w:rPr>
        <w:t>הארכיון</w:t>
      </w:r>
      <w:r>
        <w:rPr>
          <w:rFonts w:hint="cs"/>
          <w:rtl/>
        </w:rPr>
        <w:t xml:space="preserve"> יהיה חלק מארכיון המדינה והוראות חוק הארכיונים, התשט"ו-1955</w:t>
      </w:r>
      <w:r>
        <w:rPr>
          <w:rFonts w:hint="cs"/>
          <w:rtl/>
        </w:rPr>
        <w:t>, יחולו עליו</w:t>
      </w:r>
      <w:r w:rsidR="00276B40">
        <w:rPr>
          <w:rFonts w:hint="cs"/>
          <w:rtl/>
        </w:rPr>
        <w:t>".</w:t>
      </w:r>
      <w:r>
        <w:rPr>
          <w:rFonts w:hint="cs"/>
          <w:rtl/>
        </w:rPr>
        <w:t xml:space="preserve"> </w:t>
      </w:r>
    </w:p>
    <w:p w:rsidR="00A73687" w:rsidP="00FF6AB4" w14:paraId="2E42E562" w14:textId="77777777">
      <w:pPr>
        <w:pStyle w:val="a"/>
        <w:spacing w:line="269" w:lineRule="auto"/>
        <w:rPr>
          <w:rtl/>
        </w:rPr>
      </w:pPr>
    </w:p>
    <w:p w:rsidR="004A37F5" w:rsidP="00FF6AB4" w14:paraId="57669C65" w14:textId="77777777">
      <w:pPr>
        <w:spacing w:line="269" w:lineRule="auto"/>
        <w:rPr>
          <w:rtl/>
        </w:rPr>
      </w:pPr>
      <w:r w:rsidRPr="00A0224E">
        <w:rPr>
          <w:rFonts w:hint="cs"/>
          <w:rtl/>
        </w:rPr>
        <w:t xml:space="preserve">בחוק המרכז להנצחת זכרו של יצחק רבין, </w:t>
      </w:r>
      <w:r w:rsidR="0082311D">
        <w:rPr>
          <w:rFonts w:hint="cs"/>
          <w:rtl/>
        </w:rPr>
        <w:t>ה</w:t>
      </w:r>
      <w:r w:rsidRPr="00A0224E">
        <w:rPr>
          <w:rFonts w:hint="cs"/>
          <w:rtl/>
        </w:rPr>
        <w:t xml:space="preserve">תשנ"ז-1997, נקבע כי "המרכז יקים ארכיון; הארכיון יהיה חלק מארכיון המדינה והוראות חוק הארכיונים, תשט"ו-1955, יחולו עליו". </w:t>
      </w:r>
    </w:p>
    <w:p w:rsidR="00A73687" w:rsidP="00FF6AB4" w14:paraId="168AA696" w14:textId="77777777">
      <w:pPr>
        <w:pStyle w:val="a"/>
        <w:spacing w:line="269" w:lineRule="auto"/>
        <w:rPr>
          <w:rtl/>
        </w:rPr>
      </w:pPr>
    </w:p>
    <w:p w:rsidR="004A37F5" w:rsidP="00FF6AB4" w14:paraId="60257E70" w14:textId="77777777">
      <w:pPr>
        <w:spacing w:line="269" w:lineRule="auto"/>
        <w:rPr>
          <w:rtl/>
        </w:rPr>
      </w:pPr>
      <w:r w:rsidRPr="00A7733E">
        <w:rPr>
          <w:rtl/>
        </w:rPr>
        <w:t>על פי חוק דוד בן-גוריון</w:t>
      </w:r>
      <w:r>
        <w:rPr>
          <w:rFonts w:hint="cs"/>
          <w:rtl/>
        </w:rPr>
        <w:t xml:space="preserve">, </w:t>
      </w:r>
      <w:r w:rsidR="0082311D">
        <w:rPr>
          <w:rFonts w:hint="cs"/>
          <w:rtl/>
        </w:rPr>
        <w:t>ה</w:t>
      </w:r>
      <w:r>
        <w:rPr>
          <w:rFonts w:hint="cs"/>
          <w:rtl/>
        </w:rPr>
        <w:t>תשל"ז-1976</w:t>
      </w:r>
      <w:r w:rsidRPr="00A7733E">
        <w:rPr>
          <w:rtl/>
        </w:rPr>
        <w:t xml:space="preserve"> </w:t>
      </w:r>
      <w:r>
        <w:rPr>
          <w:rFonts w:hint="cs"/>
          <w:rtl/>
        </w:rPr>
        <w:t xml:space="preserve">(להלן - חוק דוד </w:t>
      </w:r>
      <w:r w:rsidR="00F4142A">
        <w:rPr>
          <w:rFonts w:hint="cs"/>
          <w:rtl/>
        </w:rPr>
        <w:t>בן-</w:t>
      </w:r>
      <w:r>
        <w:rPr>
          <w:rFonts w:hint="cs"/>
          <w:rtl/>
        </w:rPr>
        <w:t>גוריון)</w:t>
      </w:r>
      <w:r w:rsidR="00F4142A">
        <w:rPr>
          <w:rFonts w:hint="cs"/>
          <w:rtl/>
        </w:rPr>
        <w:t>,</w:t>
      </w:r>
      <w:r>
        <w:rPr>
          <w:rFonts w:hint="cs"/>
          <w:rtl/>
        </w:rPr>
        <w:t xml:space="preserve"> </w:t>
      </w:r>
      <w:r w:rsidRPr="00A7733E">
        <w:rPr>
          <w:rtl/>
        </w:rPr>
        <w:t xml:space="preserve">"ארכיון המכון </w:t>
      </w:r>
      <w:r w:rsidRPr="00A7733E">
        <w:rPr>
          <w:rtl/>
        </w:rPr>
        <w:t>למורשת דוד בן-גוריון יהיה חלק מגנזך המדינה, ויחולו עליו הוראות חוק הארכיונים</w:t>
      </w:r>
      <w:r>
        <w:rPr>
          <w:rFonts w:hint="cs"/>
          <w:rtl/>
        </w:rPr>
        <w:t>, תשט"ו-1955, ואולם הפעלת סמכויותיו של גנז המדינה תהיה בתיאום עם מועצת המכון</w:t>
      </w:r>
      <w:r w:rsidRPr="00A7733E">
        <w:rPr>
          <w:rtl/>
        </w:rPr>
        <w:t>".</w:t>
      </w:r>
    </w:p>
    <w:p w:rsidR="00A73687" w:rsidP="00FF6AB4" w14:paraId="19708680" w14:textId="77777777">
      <w:pPr>
        <w:pStyle w:val="a"/>
        <w:spacing w:line="269" w:lineRule="auto"/>
        <w:rPr>
          <w:rtl/>
        </w:rPr>
      </w:pPr>
    </w:p>
    <w:p w:rsidR="004A37F5" w:rsidP="00FF6AB4" w14:paraId="0CE4A0FD" w14:textId="77777777">
      <w:pPr>
        <w:spacing w:line="269" w:lineRule="auto"/>
        <w:ind w:left="-48"/>
        <w:rPr>
          <w:rtl/>
        </w:rPr>
      </w:pPr>
      <w:r w:rsidRPr="00093C08">
        <w:rPr>
          <w:rFonts w:hint="cs"/>
          <w:rtl/>
        </w:rPr>
        <w:t xml:space="preserve">כפי שיפורט בהמשך, </w:t>
      </w:r>
      <w:r w:rsidR="0028310D">
        <w:rPr>
          <w:rFonts w:hint="cs"/>
          <w:rtl/>
        </w:rPr>
        <w:t>בביקורים שערך צוות הביקורת</w:t>
      </w:r>
      <w:r w:rsidRPr="00093C08" w:rsidR="0028310D">
        <w:rPr>
          <w:rFonts w:hint="cs"/>
          <w:rtl/>
        </w:rPr>
        <w:t xml:space="preserve"> </w:t>
      </w:r>
      <w:r w:rsidR="0028310D">
        <w:rPr>
          <w:rFonts w:hint="cs"/>
          <w:rtl/>
        </w:rPr>
        <w:t xml:space="preserve">בכל אחד משלושת ארכיונים אלו </w:t>
      </w:r>
      <w:r w:rsidR="00227EBF">
        <w:rPr>
          <w:rFonts w:hint="cs"/>
          <w:rtl/>
        </w:rPr>
        <w:t xml:space="preserve">הוצגו </w:t>
      </w:r>
      <w:r w:rsidR="00F4142A">
        <w:rPr>
          <w:rFonts w:hint="cs"/>
          <w:rtl/>
        </w:rPr>
        <w:t>ל</w:t>
      </w:r>
      <w:r w:rsidR="00227EBF">
        <w:rPr>
          <w:rFonts w:hint="cs"/>
          <w:rtl/>
        </w:rPr>
        <w:t xml:space="preserve">פניו </w:t>
      </w:r>
      <w:r w:rsidRPr="00093C08" w:rsidR="00B03FF6">
        <w:rPr>
          <w:rFonts w:hint="cs"/>
          <w:rtl/>
        </w:rPr>
        <w:t>חומרים מסווגים</w:t>
      </w:r>
      <w:r w:rsidR="00227EBF">
        <w:rPr>
          <w:rFonts w:hint="cs"/>
          <w:rtl/>
        </w:rPr>
        <w:t xml:space="preserve"> המצויים בהם</w:t>
      </w:r>
      <w:r w:rsidRPr="00093C08" w:rsidR="006F01F4">
        <w:rPr>
          <w:rFonts w:hint="cs"/>
          <w:rtl/>
        </w:rPr>
        <w:t>.</w:t>
      </w:r>
    </w:p>
    <w:p w:rsidR="00611FCE" w:rsidP="00FF6AB4" w14:paraId="3A00BE23" w14:textId="77777777">
      <w:pPr>
        <w:pStyle w:val="a"/>
        <w:spacing w:line="269" w:lineRule="auto"/>
        <w:rPr>
          <w:rtl/>
        </w:rPr>
      </w:pPr>
    </w:p>
    <w:p w:rsidR="00EE3D36" w:rsidRPr="00EE3D36" w:rsidP="00EE3D36" w14:paraId="498B0F58" w14:textId="77777777">
      <w:pPr>
        <w:pStyle w:val="a"/>
        <w:rPr>
          <w:rtl/>
        </w:rPr>
      </w:pPr>
    </w:p>
    <w:p w:rsidR="004A37F5" w:rsidP="00FF6AB4" w14:paraId="76D87982" w14:textId="77777777">
      <w:pPr>
        <w:pStyle w:val="Heading3"/>
        <w:spacing w:before="0" w:line="269" w:lineRule="auto"/>
        <w:rPr>
          <w:rtl/>
        </w:rPr>
      </w:pPr>
      <w:r>
        <w:rPr>
          <w:rFonts w:hint="cs"/>
          <w:rtl/>
        </w:rPr>
        <w:t>האחריות להחזקת חומר ארכיוני</w:t>
      </w:r>
      <w:r w:rsidRPr="005A6B13">
        <w:rPr>
          <w:rFonts w:hint="cs"/>
          <w:rtl/>
        </w:rPr>
        <w:t xml:space="preserve"> </w:t>
      </w:r>
      <w:r>
        <w:rPr>
          <w:rFonts w:hint="cs"/>
          <w:rtl/>
        </w:rPr>
        <w:t>ב</w:t>
      </w:r>
      <w:r w:rsidRPr="005A6B13">
        <w:rPr>
          <w:rFonts w:hint="cs"/>
          <w:rtl/>
        </w:rPr>
        <w:t>ארכיון בן-גוריון</w:t>
      </w:r>
    </w:p>
    <w:p w:rsidR="00D230E8" w:rsidRPr="00D230E8" w:rsidP="00FF6AB4" w14:paraId="69BA688F" w14:textId="77777777">
      <w:pPr>
        <w:pStyle w:val="a"/>
        <w:spacing w:line="269" w:lineRule="auto"/>
      </w:pPr>
    </w:p>
    <w:p w:rsidR="004A37F5" w:rsidP="00FF6AB4" w14:paraId="2F4A2B5D" w14:textId="691D633D">
      <w:pPr>
        <w:spacing w:line="269" w:lineRule="auto"/>
        <w:rPr>
          <w:rtl/>
        </w:rPr>
      </w:pPr>
      <w:r>
        <w:rPr>
          <w:rFonts w:hint="cs"/>
          <w:rtl/>
        </w:rPr>
        <w:t xml:space="preserve">על פי חוק דוד בן-גוריון רשאי המכון למורשת </w:t>
      </w:r>
      <w:r w:rsidR="00F4142A">
        <w:rPr>
          <w:rFonts w:hint="cs"/>
          <w:rtl/>
        </w:rPr>
        <w:t xml:space="preserve">דוד </w:t>
      </w:r>
      <w:r>
        <w:rPr>
          <w:rFonts w:hint="cs"/>
          <w:rtl/>
        </w:rPr>
        <w:t>בן-גוריון</w:t>
      </w:r>
      <w:r w:rsidR="00F4142A">
        <w:rPr>
          <w:rFonts w:hint="cs"/>
          <w:rtl/>
        </w:rPr>
        <w:t xml:space="preserve"> (</w:t>
      </w:r>
      <w:r w:rsidR="00F4142A">
        <w:rPr>
          <w:rFonts w:hint="cs"/>
          <w:rtl/>
        </w:rPr>
        <w:t xml:space="preserve">להלן </w:t>
      </w:r>
      <w:r w:rsidR="00D53384">
        <w:rPr>
          <w:rFonts w:hint="cs"/>
          <w:rtl/>
        </w:rPr>
        <w:t xml:space="preserve">- </w:t>
      </w:r>
      <w:r w:rsidR="00F4142A">
        <w:rPr>
          <w:rFonts w:hint="cs"/>
          <w:rtl/>
        </w:rPr>
        <w:t xml:space="preserve">המכון </w:t>
      </w:r>
      <w:r w:rsidR="00F4142A">
        <w:rPr>
          <w:rFonts w:hint="cs"/>
          <w:rtl/>
        </w:rPr>
        <w:t>למורשת בן-גוריון)</w:t>
      </w:r>
      <w:r>
        <w:rPr>
          <w:rFonts w:hint="cs"/>
          <w:rtl/>
        </w:rPr>
        <w:t xml:space="preserve"> "להעביר לאוניברסיטת בן-גוריון בנגב מתפקידיו הכרוכים בלימוד ובמחקר, </w:t>
      </w:r>
      <w:r w:rsidRPr="005E7185">
        <w:rPr>
          <w:rFonts w:hint="cs"/>
          <w:b/>
          <w:bCs/>
          <w:rtl/>
        </w:rPr>
        <w:t>למעט תפקידיו הכרוכים בהחזקת החומר הא</w:t>
      </w:r>
      <w:r w:rsidRPr="005E7185">
        <w:rPr>
          <w:rFonts w:hint="cs"/>
          <w:b/>
          <w:bCs/>
          <w:rtl/>
        </w:rPr>
        <w:t>רכיוני</w:t>
      </w:r>
      <w:r>
        <w:rPr>
          <w:rFonts w:hint="cs"/>
          <w:rtl/>
        </w:rPr>
        <w:t>; פרטי ההעברה ייקבעו באמנה" (ההדגשה אינה במקור).</w:t>
      </w:r>
      <w:r w:rsidRPr="00FD6DB5">
        <w:rPr>
          <w:rFonts w:hint="cs"/>
          <w:rtl/>
        </w:rPr>
        <w:t xml:space="preserve"> </w:t>
      </w:r>
    </w:p>
    <w:p w:rsidR="00A73687" w:rsidP="00FF6AB4" w14:paraId="4B6E5A76" w14:textId="77777777">
      <w:pPr>
        <w:pStyle w:val="a"/>
        <w:spacing w:line="269" w:lineRule="auto"/>
        <w:rPr>
          <w:rtl/>
        </w:rPr>
      </w:pPr>
    </w:p>
    <w:p w:rsidR="004A37F5" w:rsidP="00FF6AB4" w14:paraId="63914C3D" w14:textId="77777777">
      <w:pPr>
        <w:spacing w:line="269" w:lineRule="auto"/>
        <w:rPr>
          <w:rtl/>
        </w:rPr>
      </w:pPr>
      <w:r>
        <w:rPr>
          <w:rFonts w:hint="cs"/>
          <w:rtl/>
        </w:rPr>
        <w:t xml:space="preserve">על פי אמנה שנחתמה בשנת 1982 בין המכון למורשת בן-גוריון לבין אוניברסיטת </w:t>
      </w:r>
      <w:r w:rsidR="00ED590E">
        <w:rPr>
          <w:rtl/>
        </w:rPr>
        <w:br/>
      </w:r>
      <w:r>
        <w:rPr>
          <w:rFonts w:hint="cs"/>
          <w:rtl/>
        </w:rPr>
        <w:t xml:space="preserve">בן-גוריון בנגב (להלן - אוניברסיטת בן-גוריון או האוניברסיטה) העביר המכון לאוניברסיטה את תפקידיו הכרוכים בלימוד ובמחקר, </w:t>
      </w:r>
      <w:r w:rsidR="00C339D2">
        <w:rPr>
          <w:rFonts w:hint="cs"/>
          <w:rtl/>
        </w:rPr>
        <w:t>כדי</w:t>
      </w:r>
      <w:r>
        <w:rPr>
          <w:rFonts w:hint="cs"/>
          <w:rtl/>
        </w:rPr>
        <w:t xml:space="preserve"> שיבוצ</w:t>
      </w:r>
      <w:r>
        <w:rPr>
          <w:rFonts w:hint="cs"/>
          <w:rtl/>
        </w:rPr>
        <w:t>עו ביחידה אקדמית נפרדת באוניברסיטה. יצוין כי על פי האמנה</w:t>
      </w:r>
      <w:r w:rsidR="00A85EC5">
        <w:rPr>
          <w:rFonts w:hint="cs"/>
          <w:rtl/>
        </w:rPr>
        <w:t>,</w:t>
      </w:r>
      <w:r>
        <w:rPr>
          <w:rFonts w:hint="cs"/>
          <w:rtl/>
        </w:rPr>
        <w:t xml:space="preserve"> ארכיון בן-גוריון לא </w:t>
      </w:r>
      <w:r w:rsidR="00F4142A">
        <w:rPr>
          <w:rFonts w:hint="cs"/>
          <w:rtl/>
        </w:rPr>
        <w:t xml:space="preserve">אמור להיות מועבר </w:t>
      </w:r>
      <w:r>
        <w:rPr>
          <w:rFonts w:hint="cs"/>
          <w:rtl/>
        </w:rPr>
        <w:t>לאחריות האוניברסיטה</w:t>
      </w:r>
      <w:r w:rsidR="00220BA0">
        <w:rPr>
          <w:rFonts w:hint="cs"/>
          <w:rtl/>
        </w:rPr>
        <w:t xml:space="preserve">, </w:t>
      </w:r>
      <w:r w:rsidR="00F4142A">
        <w:rPr>
          <w:rFonts w:hint="cs"/>
          <w:rtl/>
        </w:rPr>
        <w:t>אלא להישאר</w:t>
      </w:r>
      <w:r w:rsidR="00220BA0">
        <w:rPr>
          <w:rFonts w:hint="cs"/>
          <w:rtl/>
        </w:rPr>
        <w:t xml:space="preserve"> באחריות המכון</w:t>
      </w:r>
      <w:r>
        <w:rPr>
          <w:rFonts w:hint="cs"/>
          <w:rtl/>
        </w:rPr>
        <w:t>.</w:t>
      </w:r>
    </w:p>
    <w:p w:rsidR="00C4066A" w:rsidRPr="00C4066A" w:rsidP="00FF6AB4" w14:paraId="5826A52A" w14:textId="77777777">
      <w:pPr>
        <w:pStyle w:val="a"/>
        <w:spacing w:line="269" w:lineRule="auto"/>
        <w:rPr>
          <w:rtl/>
        </w:rPr>
      </w:pPr>
    </w:p>
    <w:p w:rsidR="004A37F5" w:rsidP="00FF6AB4" w14:paraId="5D9B1067" w14:textId="6905083E">
      <w:pPr>
        <w:spacing w:line="269" w:lineRule="auto"/>
        <w:rPr>
          <w:rtl/>
        </w:rPr>
      </w:pPr>
      <w:r w:rsidRPr="008B1937">
        <w:rPr>
          <w:rFonts w:hint="cs"/>
          <w:b/>
          <w:bCs/>
          <w:rtl/>
        </w:rPr>
        <w:t>בביקורת נמצא</w:t>
      </w:r>
      <w:r w:rsidRPr="008B1937" w:rsidR="00B03FF6">
        <w:rPr>
          <w:rFonts w:hint="cs"/>
          <w:b/>
          <w:bCs/>
          <w:rtl/>
        </w:rPr>
        <w:t xml:space="preserve"> כי בפועל, סמוך לחתימה על האמנה </w:t>
      </w:r>
      <w:r w:rsidRPr="008B1937" w:rsidR="00417FE8">
        <w:rPr>
          <w:rFonts w:hint="cs"/>
          <w:b/>
          <w:bCs/>
          <w:rtl/>
        </w:rPr>
        <w:t xml:space="preserve">הועברו </w:t>
      </w:r>
      <w:r w:rsidRPr="008B1937" w:rsidR="00B03FF6">
        <w:rPr>
          <w:rFonts w:hint="cs"/>
          <w:b/>
          <w:bCs/>
          <w:rtl/>
        </w:rPr>
        <w:t>התפקידים הכרוכים בהחזקת החומר הארכיוני ב</w:t>
      </w:r>
      <w:r w:rsidRPr="008B1937" w:rsidR="00B03FF6">
        <w:rPr>
          <w:b/>
          <w:bCs/>
          <w:rtl/>
        </w:rPr>
        <w:t xml:space="preserve">ארכיון </w:t>
      </w:r>
      <w:r w:rsidRPr="008B1937" w:rsidR="00B03FF6">
        <w:rPr>
          <w:rFonts w:hint="cs"/>
          <w:b/>
          <w:bCs/>
          <w:rtl/>
        </w:rPr>
        <w:t xml:space="preserve">בן-גוריון, לרבות החומר המסווג, מהמכון למורשת בן-גוריון </w:t>
      </w:r>
      <w:r w:rsidRPr="008B1937" w:rsidR="00417FE8">
        <w:rPr>
          <w:rFonts w:hint="cs"/>
          <w:b/>
          <w:bCs/>
          <w:rtl/>
        </w:rPr>
        <w:t>ל</w:t>
      </w:r>
      <w:r w:rsidRPr="008B1937" w:rsidR="00B03FF6">
        <w:rPr>
          <w:b/>
          <w:bCs/>
          <w:rtl/>
        </w:rPr>
        <w:t>אוניברסיט</w:t>
      </w:r>
      <w:r w:rsidRPr="008B1937" w:rsidR="00B03FF6">
        <w:rPr>
          <w:rFonts w:hint="cs"/>
          <w:b/>
          <w:bCs/>
          <w:rtl/>
        </w:rPr>
        <w:t>ה</w:t>
      </w:r>
      <w:r w:rsidRPr="008B1937" w:rsidR="006C2C23">
        <w:rPr>
          <w:rFonts w:hint="cs"/>
          <w:b/>
          <w:bCs/>
          <w:rtl/>
        </w:rPr>
        <w:t xml:space="preserve">, </w:t>
      </w:r>
      <w:r w:rsidRPr="008B1937" w:rsidR="008B2AF8">
        <w:rPr>
          <w:rFonts w:hint="cs"/>
          <w:b/>
          <w:bCs/>
          <w:rtl/>
        </w:rPr>
        <w:t>בדרך שאינה עולה עם</w:t>
      </w:r>
      <w:r w:rsidRPr="008B1937" w:rsidR="006C2C23">
        <w:rPr>
          <w:rFonts w:hint="cs"/>
          <w:b/>
          <w:bCs/>
          <w:rtl/>
        </w:rPr>
        <w:t xml:space="preserve"> חוק דוד בן-גוריון ובאמנה</w:t>
      </w:r>
      <w:r w:rsidRPr="008B1937" w:rsidR="00B03FF6">
        <w:rPr>
          <w:rFonts w:hint="cs"/>
          <w:b/>
          <w:bCs/>
          <w:rtl/>
        </w:rPr>
        <w:t>.</w:t>
      </w:r>
      <w:r w:rsidRPr="007E3569" w:rsidR="00B03FF6">
        <w:rPr>
          <w:rFonts w:hint="cs"/>
          <w:rtl/>
        </w:rPr>
        <w:t xml:space="preserve"> להלן הפרטים:</w:t>
      </w:r>
      <w:r w:rsidR="00B03FF6">
        <w:rPr>
          <w:rFonts w:hint="cs"/>
          <w:rtl/>
        </w:rPr>
        <w:t xml:space="preserve"> </w:t>
      </w:r>
    </w:p>
    <w:p w:rsidR="00A73687" w:rsidP="00FF6AB4" w14:paraId="20D11896" w14:textId="77777777">
      <w:pPr>
        <w:pStyle w:val="a"/>
        <w:spacing w:line="269" w:lineRule="auto"/>
        <w:rPr>
          <w:rtl/>
        </w:rPr>
      </w:pPr>
    </w:p>
    <w:p w:rsidR="004A37F5" w:rsidP="00FF6AB4" w14:paraId="10A8EBD1" w14:textId="77777777">
      <w:pPr>
        <w:spacing w:line="269" w:lineRule="auto"/>
        <w:rPr>
          <w:rtl/>
        </w:rPr>
      </w:pPr>
      <w:r w:rsidRPr="00270C1A">
        <w:rPr>
          <w:rFonts w:hint="cs"/>
          <w:rtl/>
        </w:rPr>
        <w:t>עובדי הארכיון מקבלים שכר מאוניברסיטת בן</w:t>
      </w:r>
      <w:r>
        <w:rPr>
          <w:rFonts w:hint="cs"/>
          <w:rtl/>
        </w:rPr>
        <w:t>-</w:t>
      </w:r>
      <w:r w:rsidRPr="00270C1A">
        <w:rPr>
          <w:rFonts w:hint="cs"/>
          <w:rtl/>
        </w:rPr>
        <w:t>גוריון</w:t>
      </w:r>
      <w:r w:rsidR="006C2C23">
        <w:rPr>
          <w:rFonts w:hint="cs"/>
          <w:rtl/>
        </w:rPr>
        <w:t xml:space="preserve">. </w:t>
      </w:r>
      <w:r>
        <w:rPr>
          <w:rFonts w:hint="cs"/>
          <w:rtl/>
        </w:rPr>
        <w:t>אתר המרשתת של הארכיון הוא חלק מאתר המרשתת של האוניברסיטה</w:t>
      </w:r>
      <w:r w:rsidR="006C2C23">
        <w:rPr>
          <w:rFonts w:hint="cs"/>
          <w:rtl/>
        </w:rPr>
        <w:t>,</w:t>
      </w:r>
      <w:r>
        <w:rPr>
          <w:rFonts w:hint="cs"/>
          <w:rtl/>
        </w:rPr>
        <w:t xml:space="preserve"> והאחר</w:t>
      </w:r>
      <w:r w:rsidR="00C339D2">
        <w:rPr>
          <w:rFonts w:hint="cs"/>
          <w:rtl/>
        </w:rPr>
        <w:t>יות לאבטחת המידע בארכיון, ובכלל זה של ה</w:t>
      </w:r>
      <w:r>
        <w:rPr>
          <w:rFonts w:hint="cs"/>
          <w:rtl/>
        </w:rPr>
        <w:t xml:space="preserve">חומרים </w:t>
      </w:r>
      <w:r w:rsidR="00C339D2">
        <w:rPr>
          <w:rFonts w:hint="cs"/>
          <w:rtl/>
        </w:rPr>
        <w:t>ה</w:t>
      </w:r>
      <w:r>
        <w:rPr>
          <w:rFonts w:hint="cs"/>
          <w:rtl/>
        </w:rPr>
        <w:t xml:space="preserve">מסווגים, היא של </w:t>
      </w:r>
      <w:r w:rsidR="00220BA0">
        <w:rPr>
          <w:rFonts w:hint="cs"/>
          <w:rtl/>
        </w:rPr>
        <w:t>מחלקת הביטחון ב</w:t>
      </w:r>
      <w:r>
        <w:rPr>
          <w:rFonts w:hint="cs"/>
          <w:rtl/>
        </w:rPr>
        <w:t>אוניברסיטה.</w:t>
      </w:r>
    </w:p>
    <w:p w:rsidR="000C5DB0" w:rsidP="00FF6AB4" w14:paraId="3B6B62AE" w14:textId="77777777">
      <w:pPr>
        <w:pStyle w:val="a"/>
        <w:spacing w:line="269" w:lineRule="auto"/>
        <w:rPr>
          <w:rtl/>
        </w:rPr>
      </w:pPr>
    </w:p>
    <w:p w:rsidR="00961EBE" w:rsidP="00FF6AB4" w14:paraId="21B57811" w14:textId="77777777">
      <w:pPr>
        <w:spacing w:line="269" w:lineRule="auto"/>
        <w:rPr>
          <w:rtl/>
        </w:rPr>
      </w:pPr>
      <w:r>
        <w:rPr>
          <w:rFonts w:hint="cs"/>
          <w:rtl/>
        </w:rPr>
        <w:t>בספטמבר 2018</w:t>
      </w:r>
      <w:r w:rsidRPr="00270C1A" w:rsidR="004A37F5">
        <w:rPr>
          <w:rFonts w:hint="cs"/>
          <w:rtl/>
        </w:rPr>
        <w:t xml:space="preserve"> כתב </w:t>
      </w:r>
      <w:r w:rsidRPr="00DD17E0" w:rsidR="004A37F5">
        <w:rPr>
          <w:rFonts w:hint="cs"/>
          <w:rtl/>
        </w:rPr>
        <w:t>הגנז</w:t>
      </w:r>
      <w:r>
        <w:rPr>
          <w:rFonts w:hint="cs"/>
          <w:rtl/>
        </w:rPr>
        <w:t xml:space="preserve"> דאז</w:t>
      </w:r>
      <w:r w:rsidRPr="00DD17E0" w:rsidR="004A37F5">
        <w:rPr>
          <w:rFonts w:hint="cs"/>
          <w:rtl/>
        </w:rPr>
        <w:t xml:space="preserve"> ל</w:t>
      </w:r>
      <w:r w:rsidRPr="00DD17E0" w:rsidR="00C339D2">
        <w:rPr>
          <w:rFonts w:hint="cs"/>
          <w:rtl/>
        </w:rPr>
        <w:t xml:space="preserve">משרד מבקר המדינה </w:t>
      </w:r>
      <w:r w:rsidRPr="00DD17E0" w:rsidR="004A37F5">
        <w:rPr>
          <w:rFonts w:hint="cs"/>
          <w:rtl/>
        </w:rPr>
        <w:t>שארכיון</w:t>
      </w:r>
      <w:r w:rsidRPr="00270C1A" w:rsidR="004A37F5">
        <w:rPr>
          <w:rFonts w:hint="cs"/>
          <w:rtl/>
        </w:rPr>
        <w:t xml:space="preserve"> בן-גוריון "בוודאי איננו חלק מארכיון המדינה, אלא הוא ארכיון של המכון לחקר ישראל והציונות, שהם עצמם חלק מאוניברסיטת בן-גוריון בנגב".</w:t>
      </w:r>
      <w:r w:rsidRPr="00F4575A" w:rsidR="004A37F5">
        <w:rPr>
          <w:rtl/>
        </w:rPr>
        <w:t xml:space="preserve"> </w:t>
      </w:r>
      <w:r>
        <w:rPr>
          <w:rFonts w:hint="cs"/>
          <w:rtl/>
        </w:rPr>
        <w:t>באוקטובר 2018</w:t>
      </w:r>
      <w:r w:rsidRPr="00270C1A" w:rsidR="004A37F5">
        <w:rPr>
          <w:rtl/>
        </w:rPr>
        <w:t xml:space="preserve"> </w:t>
      </w:r>
      <w:r w:rsidR="004A37F5">
        <w:rPr>
          <w:rFonts w:hint="cs"/>
          <w:rtl/>
        </w:rPr>
        <w:t xml:space="preserve">מסרה </w:t>
      </w:r>
      <w:r w:rsidRPr="00270C1A" w:rsidR="004A37F5">
        <w:rPr>
          <w:rtl/>
        </w:rPr>
        <w:t xml:space="preserve">ראשת המינהל במכון </w:t>
      </w:r>
      <w:r w:rsidRPr="00270C1A" w:rsidR="004A37F5">
        <w:rPr>
          <w:rtl/>
        </w:rPr>
        <w:t>למורשת בן-</w:t>
      </w:r>
      <w:r w:rsidRPr="00DD17E0" w:rsidR="004A37F5">
        <w:rPr>
          <w:rtl/>
        </w:rPr>
        <w:t>גוריון</w:t>
      </w:r>
      <w:r w:rsidRPr="00DD17E0" w:rsidR="004A37F5">
        <w:rPr>
          <w:rFonts w:hint="cs"/>
          <w:rtl/>
        </w:rPr>
        <w:t xml:space="preserve"> ל</w:t>
      </w:r>
      <w:r w:rsidRPr="00DD17E0" w:rsidR="00CE57C8">
        <w:rPr>
          <w:rFonts w:hint="cs"/>
          <w:rtl/>
        </w:rPr>
        <w:t xml:space="preserve">משרד מבקר המדינה </w:t>
      </w:r>
      <w:r w:rsidRPr="00DD17E0" w:rsidR="004A37F5">
        <w:rPr>
          <w:rtl/>
        </w:rPr>
        <w:t>כי</w:t>
      </w:r>
      <w:r w:rsidRPr="00270C1A" w:rsidR="004A37F5">
        <w:rPr>
          <w:rtl/>
        </w:rPr>
        <w:t xml:space="preserve"> </w:t>
      </w:r>
      <w:r w:rsidRPr="00270C1A" w:rsidR="004A37F5">
        <w:rPr>
          <w:rFonts w:hint="cs"/>
          <w:rtl/>
        </w:rPr>
        <w:t>ארכיון</w:t>
      </w:r>
      <w:r w:rsidR="00CE57C8">
        <w:rPr>
          <w:rFonts w:hint="cs"/>
          <w:rtl/>
        </w:rPr>
        <w:t xml:space="preserve"> בן-גוריון</w:t>
      </w:r>
      <w:r w:rsidRPr="00270C1A" w:rsidR="004A37F5">
        <w:rPr>
          <w:rFonts w:hint="cs"/>
          <w:rtl/>
        </w:rPr>
        <w:t xml:space="preserve"> עבר לאחריות </w:t>
      </w:r>
      <w:r w:rsidR="004A37F5">
        <w:rPr>
          <w:rFonts w:hint="cs"/>
          <w:rtl/>
        </w:rPr>
        <w:t>ה</w:t>
      </w:r>
      <w:r w:rsidR="00CE57C8">
        <w:rPr>
          <w:rFonts w:hint="cs"/>
          <w:rtl/>
        </w:rPr>
        <w:t>אוניברסיטה, וזאת עקב</w:t>
      </w:r>
      <w:r w:rsidRPr="003C65E9" w:rsidR="004A37F5">
        <w:rPr>
          <w:rFonts w:hint="cs"/>
          <w:rtl/>
        </w:rPr>
        <w:t xml:space="preserve"> צורך בתמיכה תקציבית</w:t>
      </w:r>
      <w:r w:rsidR="004A37F5">
        <w:rPr>
          <w:rFonts w:hint="cs"/>
          <w:rtl/>
        </w:rPr>
        <w:t>.</w:t>
      </w:r>
    </w:p>
    <w:p w:rsidR="00A73687" w:rsidP="00FF6AB4" w14:paraId="49CBE942" w14:textId="77777777">
      <w:pPr>
        <w:pStyle w:val="a"/>
        <w:spacing w:line="269" w:lineRule="auto"/>
        <w:rPr>
          <w:rtl/>
        </w:rPr>
      </w:pPr>
    </w:p>
    <w:p w:rsidR="005D56E3" w:rsidRPr="00047373" w:rsidP="00FF6AB4" w14:paraId="2EC074F3" w14:textId="77777777">
      <w:pPr>
        <w:spacing w:line="269" w:lineRule="auto"/>
        <w:rPr>
          <w:rtl/>
        </w:rPr>
      </w:pPr>
      <w:r>
        <w:rPr>
          <w:rFonts w:hint="cs"/>
          <w:rtl/>
        </w:rPr>
        <w:t xml:space="preserve">בתגובתו </w:t>
      </w:r>
      <w:r w:rsidR="00417FE8">
        <w:rPr>
          <w:rFonts w:hint="cs"/>
          <w:rtl/>
        </w:rPr>
        <w:t>מאפריל 2019 לטיוטת דוח הביקורת</w:t>
      </w:r>
      <w:r w:rsidRPr="00047373" w:rsidR="00276474">
        <w:rPr>
          <w:rFonts w:hint="cs"/>
          <w:rtl/>
        </w:rPr>
        <w:t xml:space="preserve"> כתב מנהל המכון למורשת בן-גוריון </w:t>
      </w:r>
      <w:r>
        <w:rPr>
          <w:rFonts w:hint="cs"/>
          <w:rtl/>
        </w:rPr>
        <w:t>למשרד מבקר המדינה</w:t>
      </w:r>
      <w:r w:rsidRPr="00047373" w:rsidR="00961EBE">
        <w:rPr>
          <w:rFonts w:hint="cs"/>
          <w:rtl/>
        </w:rPr>
        <w:t>,</w:t>
      </w:r>
      <w:r w:rsidRPr="00047373" w:rsidR="00276474">
        <w:rPr>
          <w:rFonts w:hint="cs"/>
          <w:rtl/>
        </w:rPr>
        <w:t xml:space="preserve"> כי </w:t>
      </w:r>
      <w:r w:rsidRPr="00047373" w:rsidR="00961EBE">
        <w:rPr>
          <w:rFonts w:hint="cs"/>
          <w:rtl/>
        </w:rPr>
        <w:t xml:space="preserve">האמנה נחתמה במטרה להגשים את תכלית חוק דוד </w:t>
      </w:r>
      <w:r w:rsidR="00515539">
        <w:rPr>
          <w:rtl/>
        </w:rPr>
        <w:br/>
      </w:r>
      <w:r w:rsidRPr="00047373">
        <w:rPr>
          <w:rFonts w:hint="cs"/>
          <w:rtl/>
        </w:rPr>
        <w:t>בן</w:t>
      </w:r>
      <w:r>
        <w:rPr>
          <w:rFonts w:hint="cs"/>
          <w:rtl/>
        </w:rPr>
        <w:t>-</w:t>
      </w:r>
      <w:r w:rsidRPr="00047373" w:rsidR="00961EBE">
        <w:rPr>
          <w:rFonts w:hint="cs"/>
          <w:rtl/>
        </w:rPr>
        <w:t>גוריון בכל הנוגע ללימוד ולמחקר</w:t>
      </w:r>
      <w:r>
        <w:rPr>
          <w:rFonts w:hint="cs"/>
          <w:rtl/>
        </w:rPr>
        <w:t>,</w:t>
      </w:r>
      <w:r w:rsidRPr="00047373" w:rsidR="00961EBE">
        <w:rPr>
          <w:rFonts w:hint="cs"/>
          <w:rtl/>
        </w:rPr>
        <w:t xml:space="preserve"> וכי </w:t>
      </w:r>
      <w:r w:rsidRPr="00047373" w:rsidR="00276474">
        <w:rPr>
          <w:rFonts w:hint="cs"/>
          <w:rtl/>
        </w:rPr>
        <w:t xml:space="preserve">אף שהדבר לא נכתב באמנה, האוניברסיטה </w:t>
      </w:r>
      <w:r>
        <w:rPr>
          <w:rFonts w:hint="cs"/>
          <w:rtl/>
        </w:rPr>
        <w:t>קיבלה עליה</w:t>
      </w:r>
      <w:r w:rsidRPr="00047373" w:rsidR="00276474">
        <w:rPr>
          <w:rFonts w:hint="cs"/>
          <w:rtl/>
        </w:rPr>
        <w:t xml:space="preserve"> את החזקת הארכיון </w:t>
      </w:r>
      <w:r w:rsidRPr="00047373" w:rsidR="00961EBE">
        <w:rPr>
          <w:rFonts w:hint="cs"/>
          <w:rtl/>
        </w:rPr>
        <w:t>"</w:t>
      </w:r>
      <w:r w:rsidRPr="00047373" w:rsidR="00276474">
        <w:rPr>
          <w:rFonts w:hint="cs"/>
          <w:b/>
          <w:bCs/>
          <w:rtl/>
        </w:rPr>
        <w:t>על מנת להציל</w:t>
      </w:r>
      <w:r w:rsidRPr="00047373" w:rsidR="00961EBE">
        <w:rPr>
          <w:rFonts w:hint="cs"/>
          <w:b/>
          <w:bCs/>
          <w:rtl/>
        </w:rPr>
        <w:t xml:space="preserve"> את הארכיון</w:t>
      </w:r>
      <w:r w:rsidRPr="00047373" w:rsidR="00276474">
        <w:rPr>
          <w:rFonts w:hint="cs"/>
          <w:b/>
          <w:bCs/>
          <w:rtl/>
        </w:rPr>
        <w:t>, ש</w:t>
      </w:r>
      <w:r w:rsidRPr="00047373" w:rsidR="00961EBE">
        <w:rPr>
          <w:rFonts w:hint="cs"/>
          <w:b/>
          <w:bCs/>
          <w:rtl/>
        </w:rPr>
        <w:t xml:space="preserve">הוא </w:t>
      </w:r>
      <w:r w:rsidRPr="00047373" w:rsidR="00276474">
        <w:rPr>
          <w:rFonts w:hint="cs"/>
          <w:b/>
          <w:bCs/>
          <w:rtl/>
        </w:rPr>
        <w:t>נכס לאומי</w:t>
      </w:r>
      <w:r w:rsidRPr="00047373" w:rsidR="00961EBE">
        <w:rPr>
          <w:rFonts w:hint="cs"/>
          <w:rtl/>
        </w:rPr>
        <w:t>"</w:t>
      </w:r>
      <w:r w:rsidRPr="00047373" w:rsidR="00276474">
        <w:rPr>
          <w:rFonts w:hint="cs"/>
          <w:rtl/>
        </w:rPr>
        <w:t xml:space="preserve"> (</w:t>
      </w:r>
      <w:r w:rsidRPr="00047373" w:rsidR="00B03FF6">
        <w:rPr>
          <w:rFonts w:hint="cs"/>
          <w:rtl/>
        </w:rPr>
        <w:t>ההדגשה במקור)</w:t>
      </w:r>
      <w:r w:rsidRPr="00047373" w:rsidR="00276474">
        <w:rPr>
          <w:rFonts w:hint="cs"/>
          <w:rtl/>
        </w:rPr>
        <w:t xml:space="preserve">. </w:t>
      </w:r>
      <w:r w:rsidRPr="00047373" w:rsidR="00B03FF6">
        <w:rPr>
          <w:rFonts w:hint="cs"/>
          <w:rtl/>
        </w:rPr>
        <w:t xml:space="preserve">מנהל המכון הוסיף כי נוכח </w:t>
      </w:r>
      <w:r w:rsidRPr="00047373" w:rsidR="00A56149">
        <w:rPr>
          <w:rFonts w:hint="cs"/>
          <w:rtl/>
        </w:rPr>
        <w:t>האמור לעיל</w:t>
      </w:r>
      <w:r w:rsidRPr="00047373" w:rsidR="00B03FF6">
        <w:rPr>
          <w:rFonts w:hint="cs"/>
          <w:rtl/>
        </w:rPr>
        <w:t xml:space="preserve"> קיים שיתוף פעולה בי</w:t>
      </w:r>
      <w:r w:rsidRPr="00047373" w:rsidR="00A56149">
        <w:rPr>
          <w:rFonts w:hint="cs"/>
          <w:rtl/>
        </w:rPr>
        <w:t>ן האוניברסיטה</w:t>
      </w:r>
      <w:r w:rsidRPr="00047373" w:rsidR="00B03FF6">
        <w:rPr>
          <w:rFonts w:hint="cs"/>
          <w:rtl/>
        </w:rPr>
        <w:t xml:space="preserve"> לבין המכון למורשת בן-גוריון בכל הקשור לארכיון,</w:t>
      </w:r>
      <w:r w:rsidRPr="00047373" w:rsidR="00C1647A">
        <w:rPr>
          <w:rFonts w:hint="cs"/>
          <w:rtl/>
        </w:rPr>
        <w:t xml:space="preserve"> </w:t>
      </w:r>
      <w:r w:rsidRPr="00047373" w:rsidR="00A56149">
        <w:rPr>
          <w:rFonts w:hint="cs"/>
          <w:rtl/>
        </w:rPr>
        <w:t>ואולם</w:t>
      </w:r>
      <w:r w:rsidRPr="00047373" w:rsidR="00B03FF6">
        <w:rPr>
          <w:rFonts w:hint="cs"/>
          <w:rtl/>
        </w:rPr>
        <w:t xml:space="preserve"> </w:t>
      </w:r>
      <w:r>
        <w:rPr>
          <w:rFonts w:hint="cs"/>
          <w:rtl/>
        </w:rPr>
        <w:t>האוניברסיטה והמכון</w:t>
      </w:r>
      <w:r w:rsidRPr="00047373">
        <w:rPr>
          <w:rFonts w:hint="cs"/>
          <w:rtl/>
        </w:rPr>
        <w:t xml:space="preserve"> </w:t>
      </w:r>
      <w:r w:rsidRPr="00047373" w:rsidR="00B03FF6">
        <w:rPr>
          <w:rFonts w:hint="cs"/>
          <w:rtl/>
        </w:rPr>
        <w:t>ייקחו לתשומת ליבם את הערות ה</w:t>
      </w:r>
      <w:r w:rsidRPr="00047373" w:rsidR="00A56149">
        <w:rPr>
          <w:rFonts w:hint="cs"/>
          <w:rtl/>
        </w:rPr>
        <w:t>ביקורת</w:t>
      </w:r>
      <w:r w:rsidRPr="00047373" w:rsidR="00B03FF6">
        <w:rPr>
          <w:rFonts w:hint="cs"/>
          <w:rtl/>
        </w:rPr>
        <w:t xml:space="preserve"> וירחיבו את שיתוף הפעולה הקיים ביניהם </w:t>
      </w:r>
      <w:r w:rsidRPr="00047373" w:rsidR="00A56149">
        <w:rPr>
          <w:rFonts w:hint="cs"/>
          <w:rtl/>
        </w:rPr>
        <w:t>"</w:t>
      </w:r>
      <w:r w:rsidRPr="00047373" w:rsidR="00B03FF6">
        <w:rPr>
          <w:rFonts w:hint="cs"/>
          <w:rtl/>
        </w:rPr>
        <w:t>בכל הנוגע לנוכחותו של המכון למורשת בן-גוריון בחיי היום יום ובתפעולו השוטף של ארכיון בן-גוריון</w:t>
      </w:r>
      <w:r w:rsidRPr="00047373" w:rsidR="00A56149">
        <w:rPr>
          <w:rFonts w:hint="cs"/>
          <w:rtl/>
        </w:rPr>
        <w:t>"</w:t>
      </w:r>
      <w:r w:rsidRPr="00047373" w:rsidR="00B03FF6">
        <w:rPr>
          <w:rFonts w:hint="cs"/>
          <w:rtl/>
        </w:rPr>
        <w:t>.</w:t>
      </w:r>
    </w:p>
    <w:p w:rsidR="00A73687" w:rsidP="00FF6AB4" w14:paraId="28535E4D" w14:textId="77777777">
      <w:pPr>
        <w:pStyle w:val="a"/>
        <w:spacing w:line="269" w:lineRule="auto"/>
        <w:rPr>
          <w:rtl/>
        </w:rPr>
      </w:pPr>
    </w:p>
    <w:p w:rsidR="00904F89" w:rsidP="00FF6AB4" w14:paraId="21558984" w14:textId="77777777">
      <w:pPr>
        <w:spacing w:line="269" w:lineRule="auto"/>
        <w:rPr>
          <w:rtl/>
        </w:rPr>
      </w:pPr>
      <w:r>
        <w:rPr>
          <w:rFonts w:hint="cs"/>
          <w:rtl/>
        </w:rPr>
        <w:t>בת</w:t>
      </w:r>
      <w:r>
        <w:rPr>
          <w:rFonts w:hint="cs"/>
          <w:rtl/>
        </w:rPr>
        <w:t xml:space="preserve">גובתה </w:t>
      </w:r>
      <w:r w:rsidR="00EA7EDA">
        <w:rPr>
          <w:rFonts w:hint="cs"/>
          <w:rtl/>
        </w:rPr>
        <w:t xml:space="preserve">מאפריל 2019 לטיוטת דוח הביקורת </w:t>
      </w:r>
      <w:r w:rsidRPr="00047373" w:rsidR="00B03FF6">
        <w:rPr>
          <w:rFonts w:hint="cs"/>
          <w:rtl/>
        </w:rPr>
        <w:t xml:space="preserve">כתבה </w:t>
      </w:r>
      <w:r w:rsidRPr="00047373" w:rsidR="00EA7EDA">
        <w:rPr>
          <w:rFonts w:hint="cs"/>
          <w:rtl/>
        </w:rPr>
        <w:t xml:space="preserve">אוניברסיטת בן-גוריון </w:t>
      </w:r>
      <w:r w:rsidRPr="00047373" w:rsidR="00B03FF6">
        <w:rPr>
          <w:rFonts w:hint="cs"/>
          <w:rtl/>
        </w:rPr>
        <w:t xml:space="preserve">כי </w:t>
      </w:r>
      <w:r w:rsidRPr="00047373" w:rsidR="00A56149">
        <w:rPr>
          <w:rFonts w:hint="cs"/>
          <w:rtl/>
        </w:rPr>
        <w:t>"</w:t>
      </w:r>
      <w:r w:rsidRPr="00047373" w:rsidR="00B03FF6">
        <w:rPr>
          <w:rFonts w:hint="cs"/>
          <w:rtl/>
        </w:rPr>
        <w:t xml:space="preserve">המכון למורשת </w:t>
      </w:r>
      <w:r w:rsidRPr="00047373" w:rsidR="00A56149">
        <w:rPr>
          <w:rFonts w:hint="cs"/>
          <w:rtl/>
        </w:rPr>
        <w:t xml:space="preserve">דוד </w:t>
      </w:r>
      <w:r w:rsidRPr="00047373" w:rsidR="00B03FF6">
        <w:rPr>
          <w:rFonts w:hint="cs"/>
          <w:rtl/>
        </w:rPr>
        <w:t xml:space="preserve">בן-גוריון מינה את האוניברסיטה לביצוע תפקידיו ביחס לארכיון, אך </w:t>
      </w:r>
      <w:r w:rsidRPr="00047373" w:rsidR="00A56149">
        <w:rPr>
          <w:rFonts w:hint="cs"/>
          <w:rtl/>
        </w:rPr>
        <w:t>אין</w:t>
      </w:r>
      <w:r w:rsidRPr="00047373" w:rsidR="00B03FF6">
        <w:rPr>
          <w:rFonts w:hint="cs"/>
          <w:rtl/>
        </w:rPr>
        <w:t xml:space="preserve"> </w:t>
      </w:r>
      <w:r w:rsidRPr="00047373" w:rsidR="00A56149">
        <w:rPr>
          <w:rFonts w:hint="cs"/>
          <w:rtl/>
        </w:rPr>
        <w:t xml:space="preserve">לראות במינוי זה משום העברה. המכון </w:t>
      </w:r>
      <w:r w:rsidRPr="00047373" w:rsidR="0021667C">
        <w:rPr>
          <w:rFonts w:hint="cs"/>
          <w:rtl/>
        </w:rPr>
        <w:t xml:space="preserve">לא </w:t>
      </w:r>
      <w:r w:rsidRPr="00047373" w:rsidR="00B03FF6">
        <w:rPr>
          <w:rFonts w:hint="cs"/>
          <w:rtl/>
        </w:rPr>
        <w:t>הסיר מעליו את הקשר לתפקודו התקין של הארכיון</w:t>
      </w:r>
      <w:r w:rsidRPr="00047373" w:rsidR="00DF3165">
        <w:rPr>
          <w:rFonts w:hint="cs"/>
          <w:rtl/>
        </w:rPr>
        <w:t>...</w:t>
      </w:r>
      <w:r w:rsidRPr="00047373" w:rsidR="00873700">
        <w:rPr>
          <w:rFonts w:hint="cs"/>
          <w:rtl/>
        </w:rPr>
        <w:t xml:space="preserve"> ללא מינוי</w:t>
      </w:r>
      <w:r w:rsidRPr="00047373" w:rsidR="00DF3165">
        <w:rPr>
          <w:rFonts w:hint="cs"/>
          <w:rtl/>
        </w:rPr>
        <w:t>יה של</w:t>
      </w:r>
      <w:r w:rsidRPr="00047373" w:rsidR="00873700">
        <w:rPr>
          <w:rFonts w:hint="cs"/>
          <w:rtl/>
        </w:rPr>
        <w:t xml:space="preserve"> האוניברסיטה</w:t>
      </w:r>
      <w:r w:rsidRPr="00047373" w:rsidR="00DF3165">
        <w:rPr>
          <w:rFonts w:hint="cs"/>
          <w:rtl/>
        </w:rPr>
        <w:t>,</w:t>
      </w:r>
      <w:r w:rsidRPr="00047373" w:rsidR="00873700">
        <w:rPr>
          <w:rFonts w:hint="cs"/>
          <w:rtl/>
        </w:rPr>
        <w:t xml:space="preserve"> </w:t>
      </w:r>
      <w:r w:rsidRPr="00047373" w:rsidR="00B03FF6">
        <w:rPr>
          <w:rFonts w:hint="cs"/>
          <w:rtl/>
        </w:rPr>
        <w:t>הירתמותה הכספית והמקצועית, לא היה המכון יכ</w:t>
      </w:r>
      <w:r w:rsidRPr="00047373" w:rsidR="00873700">
        <w:rPr>
          <w:rFonts w:hint="cs"/>
          <w:rtl/>
        </w:rPr>
        <w:t>ול</w:t>
      </w:r>
      <w:r w:rsidRPr="00047373" w:rsidR="00DF3165">
        <w:rPr>
          <w:rFonts w:hint="cs"/>
          <w:rtl/>
        </w:rPr>
        <w:t>...</w:t>
      </w:r>
      <w:r w:rsidRPr="00047373" w:rsidR="00873700">
        <w:rPr>
          <w:rFonts w:hint="cs"/>
          <w:rtl/>
        </w:rPr>
        <w:t xml:space="preserve"> למלא את ייעוד </w:t>
      </w:r>
      <w:r w:rsidRPr="00047373" w:rsidR="00DF3165">
        <w:rPr>
          <w:rFonts w:hint="cs"/>
          <w:rtl/>
        </w:rPr>
        <w:t>ה</w:t>
      </w:r>
      <w:r w:rsidRPr="00047373" w:rsidR="00873700">
        <w:rPr>
          <w:rFonts w:hint="cs"/>
          <w:rtl/>
        </w:rPr>
        <w:t>חוק</w:t>
      </w:r>
      <w:r w:rsidRPr="00047373" w:rsidR="00DF3165">
        <w:rPr>
          <w:rFonts w:hint="cs"/>
          <w:rtl/>
        </w:rPr>
        <w:t>"</w:t>
      </w:r>
      <w:r w:rsidRPr="00047373" w:rsidR="00BA5559">
        <w:rPr>
          <w:rFonts w:hint="cs"/>
          <w:rtl/>
        </w:rPr>
        <w:t>.</w:t>
      </w:r>
    </w:p>
    <w:p w:rsidR="00517F75" w:rsidP="00FF6AB4" w14:paraId="698942C0" w14:textId="77777777">
      <w:pPr>
        <w:pStyle w:val="a"/>
        <w:spacing w:line="269" w:lineRule="auto"/>
        <w:rPr>
          <w:rtl/>
        </w:rPr>
      </w:pPr>
    </w:p>
    <w:p w:rsidR="00517F75" w:rsidRPr="0096108C" w:rsidP="00FF6AB4" w14:paraId="51D2A99F" w14:textId="77777777">
      <w:pPr>
        <w:spacing w:line="269" w:lineRule="auto"/>
        <w:rPr>
          <w:rtl/>
        </w:rPr>
      </w:pPr>
      <w:r>
        <w:rPr>
          <w:rFonts w:hint="cs"/>
          <w:rtl/>
        </w:rPr>
        <w:t>בתגובתו מיולי 2019 על טיוטת דוח הביקורת</w:t>
      </w:r>
      <w:r w:rsidRPr="00F61E56">
        <w:rPr>
          <w:rFonts w:hint="cs"/>
          <w:rtl/>
        </w:rPr>
        <w:t xml:space="preserve"> מסר משרד רה"ם בשם ארכיון המדינה, כי הארכיון יפעל </w:t>
      </w:r>
      <w:r>
        <w:rPr>
          <w:rFonts w:hint="cs"/>
          <w:rtl/>
        </w:rPr>
        <w:t xml:space="preserve">בהקדם האפשרי </w:t>
      </w:r>
      <w:r w:rsidRPr="00F61E56">
        <w:rPr>
          <w:rFonts w:hint="cs"/>
          <w:rtl/>
        </w:rPr>
        <w:t>לקביעת פגישה עם מנהל המכון למורשת בן-גוריון להסדרת סוגיה זו.</w:t>
      </w:r>
    </w:p>
    <w:p w:rsidR="00A73687" w:rsidP="00FF6AB4" w14:paraId="19C22BDB" w14:textId="77777777">
      <w:pPr>
        <w:pStyle w:val="a"/>
        <w:spacing w:line="269" w:lineRule="auto"/>
        <w:rPr>
          <w:rtl/>
        </w:rPr>
      </w:pPr>
    </w:p>
    <w:p w:rsidR="004A37F5" w:rsidRPr="00A66C5C" w:rsidP="00FF6AB4" w14:paraId="49192409" w14:textId="77777777">
      <w:pPr>
        <w:spacing w:line="269" w:lineRule="auto"/>
        <w:rPr>
          <w:b/>
          <w:bCs/>
          <w:rtl/>
        </w:rPr>
      </w:pPr>
      <w:r w:rsidRPr="00A66C5C">
        <w:rPr>
          <w:rFonts w:hint="cs"/>
          <w:b/>
          <w:bCs/>
          <w:rtl/>
        </w:rPr>
        <w:t xml:space="preserve">משרד </w:t>
      </w:r>
      <w:r w:rsidRPr="00A66C5C">
        <w:rPr>
          <w:rFonts w:hint="cs"/>
          <w:b/>
          <w:bCs/>
          <w:rtl/>
        </w:rPr>
        <w:t>מבקר המדינה מעיר למכון</w:t>
      </w:r>
      <w:r w:rsidRPr="00A66C5C">
        <w:rPr>
          <w:b/>
          <w:bCs/>
          <w:rtl/>
        </w:rPr>
        <w:t xml:space="preserve"> </w:t>
      </w:r>
      <w:r w:rsidRPr="00A66C5C">
        <w:rPr>
          <w:rFonts w:hint="cs"/>
          <w:b/>
          <w:bCs/>
          <w:rtl/>
        </w:rPr>
        <w:t>למורשת</w:t>
      </w:r>
      <w:r w:rsidRPr="00A66C5C">
        <w:rPr>
          <w:b/>
          <w:bCs/>
          <w:rtl/>
        </w:rPr>
        <w:t xml:space="preserve"> </w:t>
      </w:r>
      <w:r w:rsidRPr="00A66C5C">
        <w:rPr>
          <w:rFonts w:hint="cs"/>
          <w:b/>
          <w:bCs/>
          <w:rtl/>
        </w:rPr>
        <w:t>בן</w:t>
      </w:r>
      <w:r w:rsidRPr="00A66C5C">
        <w:rPr>
          <w:b/>
          <w:bCs/>
          <w:rtl/>
        </w:rPr>
        <w:t>-גוריון</w:t>
      </w:r>
      <w:r w:rsidRPr="00A66C5C">
        <w:rPr>
          <w:rFonts w:hint="cs"/>
          <w:b/>
          <w:bCs/>
          <w:rtl/>
        </w:rPr>
        <w:t xml:space="preserve"> כי </w:t>
      </w:r>
      <w:r w:rsidRPr="00A66C5C" w:rsidR="0004614D">
        <w:rPr>
          <w:rFonts w:hint="cs"/>
          <w:b/>
          <w:bCs/>
          <w:rtl/>
        </w:rPr>
        <w:t xml:space="preserve">בכך שבפועל האוניברסיטה </w:t>
      </w:r>
      <w:r w:rsidRPr="00A66C5C" w:rsidR="004A0582">
        <w:rPr>
          <w:rFonts w:hint="cs"/>
          <w:b/>
          <w:bCs/>
          <w:rtl/>
        </w:rPr>
        <w:t>קיבלה עליה</w:t>
      </w:r>
      <w:r w:rsidRPr="00A66C5C" w:rsidR="0004614D">
        <w:rPr>
          <w:rFonts w:hint="cs"/>
          <w:b/>
          <w:bCs/>
          <w:rtl/>
        </w:rPr>
        <w:t xml:space="preserve"> להחזיק את הארכיון, לרבות החומר המסווג, הרי ש</w:t>
      </w:r>
      <w:r w:rsidRPr="00A66C5C" w:rsidR="001751F9">
        <w:rPr>
          <w:rFonts w:hint="cs"/>
          <w:b/>
          <w:bCs/>
          <w:rtl/>
        </w:rPr>
        <w:t>מדובר ב"העברת תפקידיו" של המכון</w:t>
      </w:r>
      <w:r w:rsidRPr="00A66C5C">
        <w:rPr>
          <w:b/>
          <w:bCs/>
          <w:rtl/>
        </w:rPr>
        <w:t xml:space="preserve"> </w:t>
      </w:r>
      <w:r w:rsidRPr="00A66C5C" w:rsidR="001751F9">
        <w:rPr>
          <w:rFonts w:hint="cs"/>
          <w:b/>
          <w:bCs/>
          <w:rtl/>
        </w:rPr>
        <w:t>"</w:t>
      </w:r>
      <w:r w:rsidRPr="00A66C5C">
        <w:rPr>
          <w:rFonts w:hint="cs"/>
          <w:b/>
          <w:bCs/>
          <w:rtl/>
        </w:rPr>
        <w:t>הכרוכים</w:t>
      </w:r>
      <w:r w:rsidRPr="00A66C5C">
        <w:rPr>
          <w:b/>
          <w:bCs/>
          <w:rtl/>
        </w:rPr>
        <w:t xml:space="preserve"> </w:t>
      </w:r>
      <w:r w:rsidRPr="00A66C5C">
        <w:rPr>
          <w:rFonts w:hint="cs"/>
          <w:b/>
          <w:bCs/>
          <w:rtl/>
        </w:rPr>
        <w:t>בהחזקת</w:t>
      </w:r>
      <w:r w:rsidRPr="00A66C5C">
        <w:rPr>
          <w:b/>
          <w:bCs/>
          <w:rtl/>
        </w:rPr>
        <w:t xml:space="preserve"> </w:t>
      </w:r>
      <w:r w:rsidRPr="00A66C5C">
        <w:rPr>
          <w:rFonts w:hint="cs"/>
          <w:b/>
          <w:bCs/>
          <w:rtl/>
        </w:rPr>
        <w:t>החומר</w:t>
      </w:r>
      <w:r w:rsidRPr="00A66C5C">
        <w:rPr>
          <w:b/>
          <w:bCs/>
          <w:rtl/>
        </w:rPr>
        <w:t xml:space="preserve"> </w:t>
      </w:r>
      <w:r w:rsidRPr="00A66C5C">
        <w:rPr>
          <w:rFonts w:hint="cs"/>
          <w:b/>
          <w:bCs/>
          <w:rtl/>
        </w:rPr>
        <w:t>הארכיוני</w:t>
      </w:r>
      <w:r w:rsidRPr="00A66C5C" w:rsidR="001751F9">
        <w:rPr>
          <w:rFonts w:hint="cs"/>
          <w:b/>
          <w:bCs/>
          <w:rtl/>
        </w:rPr>
        <w:t>"</w:t>
      </w:r>
      <w:r w:rsidRPr="00A66C5C" w:rsidR="004A0582">
        <w:rPr>
          <w:rFonts w:hint="cs"/>
          <w:b/>
          <w:bCs/>
          <w:rtl/>
        </w:rPr>
        <w:t xml:space="preserve"> לאוניברסיטה</w:t>
      </w:r>
      <w:r w:rsidRPr="00A66C5C">
        <w:rPr>
          <w:rFonts w:hint="cs"/>
          <w:b/>
          <w:bCs/>
          <w:rtl/>
        </w:rPr>
        <w:t xml:space="preserve">, </w:t>
      </w:r>
      <w:r w:rsidRPr="00A66C5C" w:rsidR="004A0582">
        <w:rPr>
          <w:rFonts w:hint="cs"/>
          <w:b/>
          <w:bCs/>
          <w:rtl/>
        </w:rPr>
        <w:t xml:space="preserve">דבר </w:t>
      </w:r>
      <w:r w:rsidRPr="00A66C5C" w:rsidR="00487467">
        <w:rPr>
          <w:rFonts w:hint="cs"/>
          <w:b/>
          <w:bCs/>
          <w:rtl/>
        </w:rPr>
        <w:t>שאינו עולה בקנה אחד עם לשון</w:t>
      </w:r>
      <w:r w:rsidRPr="00A66C5C" w:rsidR="00E4025C">
        <w:rPr>
          <w:rFonts w:hint="cs"/>
          <w:b/>
          <w:bCs/>
          <w:rtl/>
        </w:rPr>
        <w:t xml:space="preserve"> ה</w:t>
      </w:r>
      <w:r w:rsidRPr="00A66C5C">
        <w:rPr>
          <w:rFonts w:hint="cs"/>
          <w:b/>
          <w:bCs/>
          <w:rtl/>
        </w:rPr>
        <w:t>חוק</w:t>
      </w:r>
      <w:r w:rsidRPr="00A66C5C" w:rsidR="004A0582">
        <w:rPr>
          <w:rFonts w:hint="cs"/>
          <w:b/>
          <w:bCs/>
          <w:rtl/>
        </w:rPr>
        <w:t xml:space="preserve">, גם אם נעשה </w:t>
      </w:r>
      <w:r w:rsidRPr="00A66C5C" w:rsidR="00226DCE">
        <w:rPr>
          <w:rFonts w:hint="cs"/>
          <w:b/>
          <w:bCs/>
          <w:rtl/>
        </w:rPr>
        <w:t xml:space="preserve">מתוך כוונה </w:t>
      </w:r>
      <w:r w:rsidRPr="00A66C5C" w:rsidR="004A0582">
        <w:rPr>
          <w:rFonts w:hint="cs"/>
          <w:b/>
          <w:bCs/>
          <w:rtl/>
        </w:rPr>
        <w:t>טובה</w:t>
      </w:r>
      <w:r w:rsidRPr="00A66C5C">
        <w:rPr>
          <w:b/>
          <w:bCs/>
          <w:rtl/>
        </w:rPr>
        <w:t>.</w:t>
      </w:r>
    </w:p>
    <w:p w:rsidR="00A73687" w:rsidP="00FF6AB4" w14:paraId="64883EF1" w14:textId="77777777">
      <w:pPr>
        <w:pStyle w:val="a"/>
        <w:spacing w:line="269" w:lineRule="auto"/>
        <w:rPr>
          <w:rtl/>
        </w:rPr>
      </w:pPr>
    </w:p>
    <w:p w:rsidR="004A37F5" w:rsidP="00FF6AB4" w14:paraId="59E37CF0" w14:textId="77777777">
      <w:pPr>
        <w:spacing w:line="269" w:lineRule="auto"/>
        <w:rPr>
          <w:b/>
          <w:bCs/>
          <w:rtl/>
        </w:rPr>
      </w:pPr>
      <w:r w:rsidRPr="006D410F">
        <w:rPr>
          <w:rFonts w:hint="cs"/>
          <w:b/>
          <w:bCs/>
          <w:rtl/>
        </w:rPr>
        <w:t>על הגנז</w:t>
      </w:r>
      <w:r w:rsidR="00437563">
        <w:rPr>
          <w:rFonts w:hint="cs"/>
          <w:b/>
          <w:bCs/>
          <w:rtl/>
        </w:rPr>
        <w:t xml:space="preserve"> ו</w:t>
      </w:r>
      <w:r w:rsidRPr="006D410F">
        <w:rPr>
          <w:rFonts w:hint="cs"/>
          <w:b/>
          <w:bCs/>
          <w:rtl/>
        </w:rPr>
        <w:t>מנהל המכון למורשת בן-גוריון ואוניברסיטת בן-גוריון</w:t>
      </w:r>
      <w:r w:rsidR="00437563">
        <w:rPr>
          <w:rFonts w:hint="cs"/>
          <w:b/>
          <w:bCs/>
          <w:rtl/>
        </w:rPr>
        <w:t xml:space="preserve"> </w:t>
      </w:r>
      <w:r w:rsidR="003A7D9F">
        <w:rPr>
          <w:rFonts w:hint="cs"/>
          <w:b/>
          <w:bCs/>
          <w:rtl/>
        </w:rPr>
        <w:t>לגבש</w:t>
      </w:r>
      <w:r w:rsidR="00D65B0A">
        <w:rPr>
          <w:rFonts w:hint="cs"/>
          <w:b/>
          <w:bCs/>
          <w:rtl/>
        </w:rPr>
        <w:t xml:space="preserve"> </w:t>
      </w:r>
      <w:r w:rsidR="00420B45">
        <w:rPr>
          <w:rFonts w:hint="cs"/>
          <w:b/>
          <w:bCs/>
          <w:rtl/>
        </w:rPr>
        <w:t>הצעה להסדרת</w:t>
      </w:r>
      <w:r w:rsidR="00437563">
        <w:rPr>
          <w:rFonts w:hint="cs"/>
          <w:b/>
          <w:bCs/>
          <w:rtl/>
        </w:rPr>
        <w:t xml:space="preserve"> </w:t>
      </w:r>
      <w:r w:rsidRPr="00093C08">
        <w:rPr>
          <w:rFonts w:hint="cs"/>
          <w:b/>
          <w:bCs/>
          <w:rtl/>
        </w:rPr>
        <w:t>האחריות להחזקת החומר הארכיוני בארכיון בן-גוריון.</w:t>
      </w:r>
    </w:p>
    <w:p w:rsidR="00D230E8" w:rsidP="00FF6AB4" w14:paraId="073CF7C8" w14:textId="77777777">
      <w:pPr>
        <w:pStyle w:val="a"/>
        <w:spacing w:line="269" w:lineRule="auto"/>
        <w:rPr>
          <w:rtl/>
        </w:rPr>
      </w:pPr>
    </w:p>
    <w:p w:rsidR="00EE3D36" w:rsidRPr="00EE3D36" w:rsidP="00EE3D36" w14:paraId="48FA590C" w14:textId="77777777">
      <w:pPr>
        <w:pStyle w:val="a"/>
        <w:rPr>
          <w:rtl/>
        </w:rPr>
      </w:pPr>
    </w:p>
    <w:p w:rsidR="004A37F5" w:rsidP="00FF6AB4" w14:paraId="4736ED56" w14:textId="77777777">
      <w:pPr>
        <w:pStyle w:val="Heading3"/>
        <w:spacing w:before="0" w:line="269" w:lineRule="auto"/>
        <w:rPr>
          <w:rtl/>
        </w:rPr>
      </w:pPr>
      <w:r>
        <w:rPr>
          <w:rFonts w:hint="cs"/>
          <w:rtl/>
        </w:rPr>
        <w:t>תחולת החוק להסדרת הב</w:t>
      </w:r>
      <w:r w:rsidR="00234E12">
        <w:rPr>
          <w:rFonts w:hint="cs"/>
          <w:rtl/>
        </w:rPr>
        <w:t>י</w:t>
      </w:r>
      <w:r w:rsidR="00B03FF6">
        <w:rPr>
          <w:rFonts w:hint="cs"/>
          <w:rtl/>
        </w:rPr>
        <w:t>טחון</w:t>
      </w:r>
      <w:r w:rsidR="008F6807">
        <w:rPr>
          <w:rFonts w:hint="cs"/>
          <w:rtl/>
        </w:rPr>
        <w:t xml:space="preserve"> בגופים ציבוריים, התשנ"ח-1998</w:t>
      </w:r>
      <w:r w:rsidR="00B03FF6">
        <w:rPr>
          <w:rFonts w:hint="cs"/>
          <w:rtl/>
        </w:rPr>
        <w:t xml:space="preserve"> </w:t>
      </w:r>
      <w:r w:rsidR="00BC2AD8">
        <w:rPr>
          <w:rFonts w:hint="cs"/>
          <w:rtl/>
        </w:rPr>
        <w:t>על ארכיונים המהווים חלק מארכיון המדינה</w:t>
      </w:r>
    </w:p>
    <w:p w:rsidR="00D230E8" w:rsidRPr="00D230E8" w:rsidP="00FF6AB4" w14:paraId="213BDD20" w14:textId="77777777">
      <w:pPr>
        <w:pStyle w:val="a"/>
        <w:spacing w:line="269" w:lineRule="auto"/>
        <w:rPr>
          <w:rtl/>
        </w:rPr>
      </w:pPr>
    </w:p>
    <w:p w:rsidR="00EA7EDA" w:rsidRPr="004705C1" w:rsidP="00FF6AB4" w14:paraId="109EE926" w14:textId="77777777">
      <w:pPr>
        <w:spacing w:line="269" w:lineRule="auto"/>
        <w:rPr>
          <w:rtl/>
        </w:rPr>
      </w:pPr>
      <w:r w:rsidRPr="004705C1">
        <w:rPr>
          <w:rFonts w:hint="cs"/>
          <w:rtl/>
        </w:rPr>
        <w:t>החוק להסדרת הב</w:t>
      </w:r>
      <w:r w:rsidRPr="004705C1" w:rsidR="004A37F5">
        <w:rPr>
          <w:rFonts w:hint="cs"/>
          <w:rtl/>
        </w:rPr>
        <w:t>טחון בגופים ציבוריים, התשנ"ח-1998 (להלן - החוק להסדרת הביטחון), שעל ביצועו ממונה השר לביטחון הפנים</w:t>
      </w:r>
      <w:r w:rsidRPr="004705C1" w:rsidR="008F6807">
        <w:rPr>
          <w:rFonts w:hint="cs"/>
          <w:rtl/>
        </w:rPr>
        <w:t>,</w:t>
      </w:r>
      <w:r w:rsidRPr="004705C1" w:rsidR="004A37F5">
        <w:rPr>
          <w:rFonts w:hint="cs"/>
          <w:rtl/>
        </w:rPr>
        <w:t xml:space="preserve"> עוסק בפעולות לאבטחה פיזית, </w:t>
      </w:r>
      <w:r w:rsidRPr="004705C1" w:rsidR="00B03FF6">
        <w:rPr>
          <w:rFonts w:hint="cs"/>
          <w:rtl/>
        </w:rPr>
        <w:t>ל</w:t>
      </w:r>
      <w:r w:rsidRPr="004705C1" w:rsidR="004A37F5">
        <w:rPr>
          <w:rFonts w:hint="cs"/>
          <w:rtl/>
        </w:rPr>
        <w:t>אבטחת מידע ו</w:t>
      </w:r>
      <w:r w:rsidRPr="004705C1" w:rsidR="00B03FF6">
        <w:rPr>
          <w:rFonts w:hint="cs"/>
          <w:rtl/>
        </w:rPr>
        <w:t>ל</w:t>
      </w:r>
      <w:r w:rsidRPr="004705C1" w:rsidR="004A37F5">
        <w:rPr>
          <w:rFonts w:hint="cs"/>
          <w:rtl/>
        </w:rPr>
        <w:t>אבטחת מערכות ממוחשבות חיוניות שעל גופים ציבוריים לנקוט. בחוק</w:t>
      </w:r>
      <w:r w:rsidRPr="004705C1">
        <w:rPr>
          <w:rFonts w:hint="cs"/>
          <w:rtl/>
        </w:rPr>
        <w:t xml:space="preserve"> נקבע כי החובה לנקוט </w:t>
      </w:r>
      <w:r w:rsidRPr="004705C1" w:rsidR="004A37F5">
        <w:rPr>
          <w:rFonts w:hint="cs"/>
          <w:rtl/>
        </w:rPr>
        <w:t>פעולות לאבטחת מידע</w:t>
      </w:r>
      <w:r w:rsidRPr="004705C1" w:rsidR="00DF5E36">
        <w:rPr>
          <w:rFonts w:hint="cs"/>
          <w:rtl/>
        </w:rPr>
        <w:t xml:space="preserve"> </w:t>
      </w:r>
      <w:r w:rsidRPr="004705C1" w:rsidR="004A37F5">
        <w:rPr>
          <w:rFonts w:hint="cs"/>
          <w:rtl/>
        </w:rPr>
        <w:t>חלה על הגופים</w:t>
      </w:r>
      <w:r w:rsidRPr="004705C1" w:rsidR="008053D2">
        <w:rPr>
          <w:rFonts w:hint="cs"/>
          <w:rtl/>
        </w:rPr>
        <w:t xml:space="preserve"> הציבוריים</w:t>
      </w:r>
      <w:r w:rsidRPr="004705C1" w:rsidR="004A37F5">
        <w:rPr>
          <w:rFonts w:hint="cs"/>
          <w:rtl/>
        </w:rPr>
        <w:t xml:space="preserve"> </w:t>
      </w:r>
      <w:r w:rsidRPr="004705C1">
        <w:rPr>
          <w:rFonts w:hint="cs"/>
          <w:rtl/>
        </w:rPr>
        <w:t>המצוינים</w:t>
      </w:r>
      <w:r w:rsidRPr="004705C1" w:rsidR="004A37F5">
        <w:rPr>
          <w:rFonts w:hint="cs"/>
          <w:rtl/>
        </w:rPr>
        <w:t xml:space="preserve"> בתוספ</w:t>
      </w:r>
      <w:r w:rsidRPr="004705C1" w:rsidR="008053D2">
        <w:rPr>
          <w:rFonts w:hint="cs"/>
          <w:rtl/>
        </w:rPr>
        <w:t>ו</w:t>
      </w:r>
      <w:r w:rsidRPr="004705C1" w:rsidR="004A37F5">
        <w:rPr>
          <w:rFonts w:hint="cs"/>
          <w:rtl/>
        </w:rPr>
        <w:t>ת הראשונה והשנייה לחוק</w:t>
      </w:r>
      <w:r w:rsidRPr="004705C1">
        <w:rPr>
          <w:rFonts w:hint="cs"/>
          <w:rtl/>
        </w:rPr>
        <w:t>, וב</w:t>
      </w:r>
      <w:r w:rsidRPr="004705C1" w:rsidR="004A37F5">
        <w:rPr>
          <w:rFonts w:hint="cs"/>
          <w:rtl/>
        </w:rPr>
        <w:t xml:space="preserve">הם משרד רה"ם. </w:t>
      </w:r>
      <w:r w:rsidRPr="0077385C" w:rsidR="00B03FF6">
        <w:rPr>
          <w:rFonts w:hint="cs"/>
          <w:rtl/>
        </w:rPr>
        <w:t xml:space="preserve">נוסף </w:t>
      </w:r>
      <w:r w:rsidR="004A0582">
        <w:rPr>
          <w:rFonts w:hint="cs"/>
          <w:rtl/>
        </w:rPr>
        <w:t xml:space="preserve">על </w:t>
      </w:r>
      <w:r w:rsidRPr="0077385C" w:rsidR="00B03FF6">
        <w:rPr>
          <w:rFonts w:hint="cs"/>
          <w:rtl/>
        </w:rPr>
        <w:t>כך נקבעה בחוק</w:t>
      </w:r>
      <w:r w:rsidRPr="0077385C" w:rsidR="004A37F5">
        <w:rPr>
          <w:rFonts w:hint="cs"/>
          <w:rtl/>
        </w:rPr>
        <w:t xml:space="preserve"> </w:t>
      </w:r>
      <w:r w:rsidRPr="0077385C">
        <w:rPr>
          <w:rFonts w:hint="cs"/>
          <w:rtl/>
        </w:rPr>
        <w:t xml:space="preserve">החובה של </w:t>
      </w:r>
      <w:r w:rsidRPr="0077385C" w:rsidR="004705C1">
        <w:rPr>
          <w:rFonts w:hint="cs"/>
          <w:rtl/>
        </w:rPr>
        <w:t>ה</w:t>
      </w:r>
      <w:r w:rsidRPr="0077385C">
        <w:rPr>
          <w:rFonts w:hint="cs"/>
          <w:rtl/>
        </w:rPr>
        <w:t xml:space="preserve">גופים </w:t>
      </w:r>
      <w:r w:rsidRPr="0077385C" w:rsidR="004705C1">
        <w:rPr>
          <w:rFonts w:hint="cs"/>
          <w:rtl/>
        </w:rPr>
        <w:t>ה</w:t>
      </w:r>
      <w:r w:rsidRPr="0077385C">
        <w:rPr>
          <w:rFonts w:hint="cs"/>
          <w:rtl/>
        </w:rPr>
        <w:t>ציבוריים</w:t>
      </w:r>
      <w:r w:rsidRPr="004705C1" w:rsidR="004705C1">
        <w:rPr>
          <w:rFonts w:hint="cs"/>
          <w:rtl/>
        </w:rPr>
        <w:t xml:space="preserve"> </w:t>
      </w:r>
      <w:r w:rsidRPr="004705C1" w:rsidR="004A37F5">
        <w:rPr>
          <w:rFonts w:hint="cs"/>
          <w:rtl/>
        </w:rPr>
        <w:t xml:space="preserve">למנות "ממונה ביטחון", שיהיה האחראי לארגון פעולות האבטחה ולפיקוח עליהן. </w:t>
      </w:r>
      <w:r w:rsidRPr="004705C1">
        <w:rPr>
          <w:rFonts w:hint="cs"/>
          <w:rtl/>
        </w:rPr>
        <w:t xml:space="preserve">על פי </w:t>
      </w:r>
      <w:r w:rsidRPr="004705C1" w:rsidR="004A37F5">
        <w:rPr>
          <w:rFonts w:hint="cs"/>
          <w:rtl/>
        </w:rPr>
        <w:t>החוק</w:t>
      </w:r>
      <w:r w:rsidRPr="004705C1" w:rsidR="003B3E28">
        <w:rPr>
          <w:rFonts w:hint="cs"/>
          <w:rtl/>
        </w:rPr>
        <w:t>,</w:t>
      </w:r>
      <w:r w:rsidRPr="004705C1" w:rsidR="004A37F5">
        <w:rPr>
          <w:rFonts w:hint="cs"/>
          <w:rtl/>
        </w:rPr>
        <w:t xml:space="preserve"> "קצין מוסמך" </w:t>
      </w:r>
      <w:r w:rsidRPr="004705C1">
        <w:rPr>
          <w:rFonts w:hint="cs"/>
          <w:rtl/>
        </w:rPr>
        <w:t xml:space="preserve">הוא </w:t>
      </w:r>
      <w:r w:rsidRPr="004705C1" w:rsidR="004A37F5">
        <w:rPr>
          <w:rFonts w:hint="cs"/>
          <w:rtl/>
        </w:rPr>
        <w:t>מי שרשאי לתת הנחיות מקצועיות לגוף ציבורי ולאשר את מינויו של ממונה הביטחון באותו גוף.</w:t>
      </w:r>
    </w:p>
    <w:p w:rsidR="00A73687" w:rsidP="00FF6AB4" w14:paraId="3B630616" w14:textId="77777777">
      <w:pPr>
        <w:pStyle w:val="a"/>
        <w:spacing w:line="269" w:lineRule="auto"/>
        <w:rPr>
          <w:rtl/>
        </w:rPr>
      </w:pPr>
    </w:p>
    <w:p w:rsidR="004A37F5" w:rsidP="00FF6AB4" w14:paraId="60ED4512" w14:textId="77777777">
      <w:pPr>
        <w:spacing w:line="269" w:lineRule="auto"/>
        <w:rPr>
          <w:rtl/>
        </w:rPr>
      </w:pPr>
      <w:r>
        <w:rPr>
          <w:rFonts w:hint="cs"/>
          <w:rtl/>
        </w:rPr>
        <w:t xml:space="preserve">על פי </w:t>
      </w:r>
      <w:r w:rsidRPr="004705C1" w:rsidR="00B03FF6">
        <w:rPr>
          <w:rFonts w:hint="cs"/>
          <w:rtl/>
        </w:rPr>
        <w:t xml:space="preserve">החוק להסדרת הביטחון, הקצין המוסמך של משרד רה"ם הוא </w:t>
      </w:r>
      <w:r w:rsidRPr="004705C1" w:rsidR="00052D91">
        <w:rPr>
          <w:rFonts w:hint="cs"/>
          <w:rtl/>
        </w:rPr>
        <w:t xml:space="preserve">נציג </w:t>
      </w:r>
      <w:r w:rsidRPr="004705C1" w:rsidR="00B03FF6">
        <w:rPr>
          <w:rFonts w:hint="cs"/>
          <w:rtl/>
        </w:rPr>
        <w:t>שב"כ.</w:t>
      </w:r>
      <w:r w:rsidR="00B03FF6">
        <w:rPr>
          <w:rFonts w:hint="cs"/>
          <w:rtl/>
        </w:rPr>
        <w:t xml:space="preserve"> </w:t>
      </w:r>
      <w:r w:rsidR="00EA70EE">
        <w:rPr>
          <w:rFonts w:hint="cs"/>
          <w:rtl/>
        </w:rPr>
        <w:t>ארכיון המדינה הוא יחידה במשרד רה"ם, ולכן החוק להסדרת הביטחון חל עליו</w:t>
      </w:r>
      <w:r w:rsidR="004A0582">
        <w:rPr>
          <w:rFonts w:hint="cs"/>
          <w:rtl/>
        </w:rPr>
        <w:t xml:space="preserve">. </w:t>
      </w:r>
      <w:r w:rsidR="00B03FF6">
        <w:rPr>
          <w:rFonts w:hint="cs"/>
          <w:rtl/>
        </w:rPr>
        <w:t xml:space="preserve">הממונה </w:t>
      </w:r>
      <w:r w:rsidR="00F9176A">
        <w:rPr>
          <w:rFonts w:hint="cs"/>
          <w:rtl/>
        </w:rPr>
        <w:t>על הביטחון במשרד רה"ם</w:t>
      </w:r>
      <w:r w:rsidR="004A0582">
        <w:rPr>
          <w:rFonts w:hint="cs"/>
          <w:rtl/>
        </w:rPr>
        <w:t>,</w:t>
      </w:r>
      <w:r w:rsidR="00F9176A">
        <w:rPr>
          <w:rFonts w:hint="cs"/>
          <w:rtl/>
        </w:rPr>
        <w:t xml:space="preserve"> </w:t>
      </w:r>
      <w:r w:rsidR="00EA70EE">
        <w:rPr>
          <w:rFonts w:hint="cs"/>
          <w:rtl/>
        </w:rPr>
        <w:t>ה</w:t>
      </w:r>
      <w:r w:rsidR="00F9176A">
        <w:rPr>
          <w:rFonts w:hint="cs"/>
          <w:rtl/>
        </w:rPr>
        <w:t>אחראי ל</w:t>
      </w:r>
      <w:r w:rsidR="00B03FF6">
        <w:rPr>
          <w:rFonts w:hint="cs"/>
          <w:rtl/>
        </w:rPr>
        <w:t xml:space="preserve">ביטחון ביחידות המשרד, </w:t>
      </w:r>
      <w:r w:rsidR="00EA70EE">
        <w:rPr>
          <w:rFonts w:hint="cs"/>
          <w:rtl/>
        </w:rPr>
        <w:t xml:space="preserve">אחראי </w:t>
      </w:r>
      <w:r w:rsidR="004A0582">
        <w:rPr>
          <w:rFonts w:hint="cs"/>
          <w:rtl/>
        </w:rPr>
        <w:t>אפוא גם לארכיון המדינה</w:t>
      </w:r>
      <w:r w:rsidR="00B03FF6">
        <w:rPr>
          <w:rFonts w:hint="cs"/>
          <w:rtl/>
        </w:rPr>
        <w:t>.</w:t>
      </w:r>
    </w:p>
    <w:p w:rsidR="00A73687" w:rsidP="00FF6AB4" w14:paraId="097F9D88" w14:textId="77777777">
      <w:pPr>
        <w:pStyle w:val="a"/>
        <w:spacing w:line="269" w:lineRule="auto"/>
        <w:rPr>
          <w:rtl/>
        </w:rPr>
      </w:pPr>
    </w:p>
    <w:p w:rsidR="004A37F5" w:rsidP="00FF6AB4" w14:paraId="7FCB23A6" w14:textId="77777777">
      <w:pPr>
        <w:spacing w:line="269" w:lineRule="auto"/>
        <w:rPr>
          <w:rtl/>
        </w:rPr>
      </w:pPr>
      <w:r>
        <w:rPr>
          <w:rFonts w:hint="cs"/>
          <w:rtl/>
        </w:rPr>
        <w:t>על הגופים המנו</w:t>
      </w:r>
      <w:r w:rsidR="00052D91">
        <w:rPr>
          <w:rFonts w:hint="cs"/>
          <w:rtl/>
        </w:rPr>
        <w:t>יים בתוספות הראשונה והשנייה ל</w:t>
      </w:r>
      <w:r>
        <w:rPr>
          <w:rFonts w:hint="cs"/>
          <w:rtl/>
        </w:rPr>
        <w:t xml:space="preserve">חוק להסדרת הביטחון חלים גם כללי שירות הביטחון הכללי (אבטחת מידע) התשס"ד-2004 (להלן - כללי שב"כ לאבטחת </w:t>
      </w:r>
      <w:r>
        <w:rPr>
          <w:rFonts w:hint="cs"/>
          <w:rtl/>
        </w:rPr>
        <w:t>מידע)</w:t>
      </w:r>
      <w:r w:rsidR="00052D91">
        <w:rPr>
          <w:rFonts w:hint="cs"/>
          <w:rtl/>
        </w:rPr>
        <w:t>. בכללי שב"כ לאבטחת מידע</w:t>
      </w:r>
      <w:r>
        <w:rPr>
          <w:rFonts w:hint="cs"/>
          <w:rtl/>
        </w:rPr>
        <w:t xml:space="preserve"> נקבעו עקרונות </w:t>
      </w:r>
      <w:r w:rsidR="00052D91">
        <w:rPr>
          <w:rFonts w:hint="cs"/>
          <w:rtl/>
        </w:rPr>
        <w:t xml:space="preserve">לאבטחת מידע מסווג, ובכלל זה </w:t>
      </w:r>
      <w:r>
        <w:rPr>
          <w:rFonts w:hint="cs"/>
          <w:rtl/>
        </w:rPr>
        <w:t>קביעת האנשים המורשים ל</w:t>
      </w:r>
      <w:r>
        <w:rPr>
          <w:rFonts w:hint="cs"/>
          <w:rtl/>
        </w:rPr>
        <w:t xml:space="preserve">היחשף </w:t>
      </w:r>
      <w:r w:rsidR="00136DC9">
        <w:rPr>
          <w:rFonts w:hint="cs"/>
          <w:rtl/>
        </w:rPr>
        <w:t>אליו</w:t>
      </w:r>
      <w:r>
        <w:rPr>
          <w:rFonts w:hint="cs"/>
          <w:rtl/>
        </w:rPr>
        <w:t xml:space="preserve"> ודרכי אחסנתו של מידע זה. מתוקף כללים אלה</w:t>
      </w:r>
      <w:r w:rsidRPr="004E4376">
        <w:rPr>
          <w:rFonts w:hint="cs"/>
          <w:rtl/>
        </w:rPr>
        <w:t xml:space="preserve"> </w:t>
      </w:r>
      <w:r>
        <w:rPr>
          <w:rFonts w:hint="cs"/>
          <w:rtl/>
        </w:rPr>
        <w:t>נקבע סיווג ביטחוני לעובדי ארכיון המדינה הנחשפים לחומרים מסווגים.</w:t>
      </w:r>
    </w:p>
    <w:p w:rsidR="00A73687" w:rsidP="00FF6AB4" w14:paraId="2F238ED1" w14:textId="77777777">
      <w:pPr>
        <w:pStyle w:val="a"/>
        <w:spacing w:line="269" w:lineRule="auto"/>
        <w:rPr>
          <w:rtl/>
        </w:rPr>
      </w:pPr>
    </w:p>
    <w:p w:rsidR="002421A6" w:rsidRPr="00A66C5C" w:rsidP="00FF6AB4" w14:paraId="022AB6FB" w14:textId="77777777">
      <w:pPr>
        <w:spacing w:line="269" w:lineRule="auto"/>
        <w:rPr>
          <w:b/>
          <w:bCs/>
          <w:rtl/>
        </w:rPr>
      </w:pPr>
      <w:r w:rsidRPr="00A66C5C">
        <w:rPr>
          <w:rFonts w:hint="cs"/>
          <w:b/>
          <w:bCs/>
          <w:rtl/>
        </w:rPr>
        <w:t>בביקורת נמצא</w:t>
      </w:r>
      <w:r w:rsidRPr="00A66C5C" w:rsidR="004A37F5">
        <w:rPr>
          <w:rFonts w:hint="cs"/>
          <w:b/>
          <w:bCs/>
          <w:rtl/>
        </w:rPr>
        <w:t xml:space="preserve"> כי </w:t>
      </w:r>
      <w:r w:rsidRPr="00A66C5C" w:rsidR="00266451">
        <w:rPr>
          <w:rFonts w:hint="cs"/>
          <w:b/>
          <w:bCs/>
          <w:rtl/>
        </w:rPr>
        <w:t>ה</w:t>
      </w:r>
      <w:r w:rsidRPr="00A66C5C" w:rsidR="004A37F5">
        <w:rPr>
          <w:rFonts w:hint="cs"/>
          <w:b/>
          <w:bCs/>
          <w:rtl/>
        </w:rPr>
        <w:t xml:space="preserve">ארכיונים </w:t>
      </w:r>
      <w:r w:rsidRPr="00A66C5C" w:rsidR="00266451">
        <w:rPr>
          <w:rFonts w:hint="cs"/>
          <w:b/>
          <w:bCs/>
          <w:rtl/>
        </w:rPr>
        <w:t>המהווים חלק מארכיון המדינה</w:t>
      </w:r>
      <w:r w:rsidRPr="00A66C5C" w:rsidR="004A37F5">
        <w:rPr>
          <w:rFonts w:hint="cs"/>
          <w:b/>
          <w:bCs/>
          <w:rtl/>
        </w:rPr>
        <w:t xml:space="preserve">, </w:t>
      </w:r>
      <w:r w:rsidRPr="00A66C5C" w:rsidR="00DF7627">
        <w:rPr>
          <w:rFonts w:hint="cs"/>
          <w:b/>
          <w:bCs/>
          <w:rtl/>
        </w:rPr>
        <w:t>ושמצויים בהם חומרים מסווגים</w:t>
      </w:r>
      <w:r w:rsidRPr="00A66C5C" w:rsidR="00EF34D6">
        <w:rPr>
          <w:rFonts w:hint="cs"/>
          <w:b/>
          <w:bCs/>
          <w:rtl/>
        </w:rPr>
        <w:t>,</w:t>
      </w:r>
      <w:r w:rsidRPr="00A66C5C" w:rsidR="00DF7627">
        <w:rPr>
          <w:rFonts w:hint="cs"/>
          <w:b/>
          <w:bCs/>
          <w:rtl/>
        </w:rPr>
        <w:t xml:space="preserve"> </w:t>
      </w:r>
      <w:r w:rsidRPr="00A66C5C" w:rsidR="004A37F5">
        <w:rPr>
          <w:rFonts w:hint="cs"/>
          <w:b/>
          <w:bCs/>
          <w:rtl/>
        </w:rPr>
        <w:t xml:space="preserve">אינם </w:t>
      </w:r>
      <w:r w:rsidRPr="00A66C5C" w:rsidR="005257E1">
        <w:rPr>
          <w:rFonts w:hint="cs"/>
          <w:b/>
          <w:bCs/>
          <w:rtl/>
        </w:rPr>
        <w:t xml:space="preserve">נכללים ביחידות משרד רה"ם ואינם </w:t>
      </w:r>
      <w:r w:rsidRPr="00A66C5C" w:rsidR="00136DC9">
        <w:rPr>
          <w:rFonts w:hint="cs"/>
          <w:b/>
          <w:bCs/>
          <w:rtl/>
        </w:rPr>
        <w:t xml:space="preserve">מצוינים </w:t>
      </w:r>
      <w:r w:rsidRPr="00A66C5C" w:rsidR="004A37F5">
        <w:rPr>
          <w:rFonts w:hint="cs"/>
          <w:b/>
          <w:bCs/>
          <w:rtl/>
        </w:rPr>
        <w:t xml:space="preserve">מפורשות בתוספות לחוק </w:t>
      </w:r>
      <w:r w:rsidRPr="00A66C5C">
        <w:rPr>
          <w:rFonts w:hint="cs"/>
          <w:b/>
          <w:bCs/>
          <w:rtl/>
        </w:rPr>
        <w:t>ל</w:t>
      </w:r>
      <w:r w:rsidRPr="00A66C5C" w:rsidR="004A37F5">
        <w:rPr>
          <w:rFonts w:hint="cs"/>
          <w:b/>
          <w:bCs/>
          <w:rtl/>
        </w:rPr>
        <w:t>הסדרת הביטחון</w:t>
      </w:r>
      <w:r w:rsidRPr="00A66C5C" w:rsidR="00B9698E">
        <w:rPr>
          <w:rFonts w:hint="cs"/>
          <w:b/>
          <w:bCs/>
          <w:rtl/>
        </w:rPr>
        <w:t>.</w:t>
      </w:r>
    </w:p>
    <w:p w:rsidR="002421A6" w:rsidP="00FF6AB4" w14:paraId="3BBA6080" w14:textId="77777777">
      <w:pPr>
        <w:pStyle w:val="a"/>
        <w:spacing w:line="269" w:lineRule="auto"/>
        <w:rPr>
          <w:rtl/>
        </w:rPr>
      </w:pPr>
    </w:p>
    <w:p w:rsidR="00DF1847" w:rsidRPr="00A66C5C" w:rsidP="00FF6AB4" w14:paraId="7814D382" w14:textId="77777777">
      <w:pPr>
        <w:spacing w:line="269" w:lineRule="auto"/>
        <w:rPr>
          <w:rtl/>
        </w:rPr>
      </w:pPr>
      <w:r w:rsidRPr="00A66C5C">
        <w:rPr>
          <w:rFonts w:hint="cs"/>
          <w:b/>
          <w:bCs/>
          <w:rtl/>
        </w:rPr>
        <w:t>כמו כן</w:t>
      </w:r>
      <w:r w:rsidRPr="00A66C5C" w:rsidR="00DE7C39">
        <w:rPr>
          <w:rFonts w:hint="cs"/>
          <w:b/>
          <w:bCs/>
          <w:rtl/>
        </w:rPr>
        <w:t xml:space="preserve">, </w:t>
      </w:r>
      <w:r w:rsidRPr="00A66C5C" w:rsidR="00D3518E">
        <w:rPr>
          <w:rFonts w:hint="cs"/>
          <w:b/>
          <w:bCs/>
          <w:rtl/>
        </w:rPr>
        <w:t xml:space="preserve">בקרב </w:t>
      </w:r>
      <w:r w:rsidRPr="00A66C5C" w:rsidR="00F562DF">
        <w:rPr>
          <w:rFonts w:hint="cs"/>
          <w:b/>
          <w:bCs/>
          <w:rtl/>
        </w:rPr>
        <w:t>הגופים המבוקרים קיימות דעות שונות לגבי</w:t>
      </w:r>
      <w:r w:rsidRPr="00A66C5C" w:rsidR="00DE7C39">
        <w:rPr>
          <w:rFonts w:hint="cs"/>
          <w:b/>
          <w:bCs/>
          <w:rtl/>
        </w:rPr>
        <w:t xml:space="preserve"> השאלה </w:t>
      </w:r>
      <w:r w:rsidRPr="00A66C5C" w:rsidR="000C250A">
        <w:rPr>
          <w:rFonts w:hint="cs"/>
          <w:b/>
          <w:bCs/>
          <w:rtl/>
        </w:rPr>
        <w:t>ה</w:t>
      </w:r>
      <w:r w:rsidRPr="00A66C5C" w:rsidR="00DE7C39">
        <w:rPr>
          <w:rFonts w:hint="cs"/>
          <w:b/>
          <w:bCs/>
          <w:rtl/>
        </w:rPr>
        <w:t xml:space="preserve">אם מעצם הגדרתם של </w:t>
      </w:r>
      <w:r w:rsidRPr="00A66C5C" w:rsidR="00B9698E">
        <w:rPr>
          <w:rFonts w:hint="cs"/>
          <w:b/>
          <w:bCs/>
          <w:rtl/>
        </w:rPr>
        <w:t xml:space="preserve">ארכיונים אלה </w:t>
      </w:r>
      <w:r w:rsidRPr="00A66C5C" w:rsidR="00136DC9">
        <w:rPr>
          <w:rFonts w:hint="cs"/>
          <w:b/>
          <w:bCs/>
          <w:rtl/>
        </w:rPr>
        <w:t>"</w:t>
      </w:r>
      <w:r w:rsidRPr="00A66C5C" w:rsidR="004A37F5">
        <w:rPr>
          <w:rFonts w:hint="cs"/>
          <w:b/>
          <w:bCs/>
          <w:rtl/>
        </w:rPr>
        <w:t>חלק מארכיון המדינה</w:t>
      </w:r>
      <w:r w:rsidRPr="00A66C5C" w:rsidR="00136DC9">
        <w:rPr>
          <w:rFonts w:hint="cs"/>
          <w:b/>
          <w:bCs/>
          <w:rtl/>
        </w:rPr>
        <w:t>"</w:t>
      </w:r>
      <w:r w:rsidRPr="00A66C5C" w:rsidR="00B9698E">
        <w:rPr>
          <w:rFonts w:hint="cs"/>
          <w:b/>
          <w:bCs/>
          <w:rtl/>
        </w:rPr>
        <w:t xml:space="preserve"> </w:t>
      </w:r>
      <w:r w:rsidRPr="00A66C5C" w:rsidR="00DE7C39">
        <w:rPr>
          <w:rFonts w:hint="cs"/>
          <w:b/>
          <w:bCs/>
          <w:rtl/>
        </w:rPr>
        <w:t>ח</w:t>
      </w:r>
      <w:r w:rsidRPr="00A66C5C" w:rsidR="004A37F5">
        <w:rPr>
          <w:rFonts w:hint="cs"/>
          <w:b/>
          <w:bCs/>
          <w:rtl/>
        </w:rPr>
        <w:t>ל</w:t>
      </w:r>
      <w:r w:rsidRPr="00A66C5C" w:rsidR="00A6449D">
        <w:rPr>
          <w:rFonts w:hint="cs"/>
          <w:b/>
          <w:bCs/>
          <w:rtl/>
        </w:rPr>
        <w:t xml:space="preserve"> עליהם </w:t>
      </w:r>
      <w:r w:rsidRPr="00A66C5C" w:rsidR="00B9698E">
        <w:rPr>
          <w:rFonts w:hint="cs"/>
          <w:b/>
          <w:bCs/>
          <w:rtl/>
        </w:rPr>
        <w:t xml:space="preserve">החוק להסדרת </w:t>
      </w:r>
      <w:r w:rsidRPr="007E3569" w:rsidR="00B9698E">
        <w:rPr>
          <w:rFonts w:hint="cs"/>
          <w:b/>
          <w:bCs/>
          <w:rtl/>
        </w:rPr>
        <w:t xml:space="preserve">הביטחון </w:t>
      </w:r>
      <w:r w:rsidRPr="007E3569" w:rsidR="00DE7C39">
        <w:rPr>
          <w:rFonts w:hint="cs"/>
          <w:b/>
          <w:bCs/>
          <w:rtl/>
        </w:rPr>
        <w:t>(</w:t>
      </w:r>
      <w:r w:rsidRPr="007E3569" w:rsidR="00B9698E">
        <w:rPr>
          <w:rFonts w:hint="cs"/>
          <w:b/>
          <w:bCs/>
          <w:rtl/>
        </w:rPr>
        <w:t>ש</w:t>
      </w:r>
      <w:r w:rsidRPr="007E3569" w:rsidR="00A6449D">
        <w:rPr>
          <w:rFonts w:hint="cs"/>
          <w:b/>
          <w:bCs/>
          <w:rtl/>
        </w:rPr>
        <w:t>חל על ארכיון המדינה</w:t>
      </w:r>
      <w:r w:rsidRPr="007E3569" w:rsidR="00DE7C39">
        <w:rPr>
          <w:rFonts w:hint="cs"/>
          <w:b/>
          <w:bCs/>
          <w:rtl/>
        </w:rPr>
        <w:t>)</w:t>
      </w:r>
      <w:r w:rsidRPr="007E3569" w:rsidR="004A37F5">
        <w:rPr>
          <w:rFonts w:hint="cs"/>
          <w:b/>
          <w:bCs/>
          <w:rtl/>
        </w:rPr>
        <w:t>.</w:t>
      </w:r>
      <w:r w:rsidRPr="007E3569" w:rsidR="00DE7C39">
        <w:rPr>
          <w:rFonts w:hint="cs"/>
          <w:b/>
          <w:bCs/>
          <w:rtl/>
        </w:rPr>
        <w:t xml:space="preserve"> </w:t>
      </w:r>
      <w:r w:rsidRPr="007E3569" w:rsidR="008A36DC">
        <w:rPr>
          <w:rFonts w:hint="cs"/>
          <w:rtl/>
        </w:rPr>
        <w:t>להלן הפרטים:</w:t>
      </w:r>
    </w:p>
    <w:p w:rsidR="00A73687" w:rsidP="00FF6AB4" w14:paraId="52031E3B" w14:textId="77777777">
      <w:pPr>
        <w:pStyle w:val="a"/>
        <w:spacing w:line="269" w:lineRule="auto"/>
        <w:rPr>
          <w:rtl/>
        </w:rPr>
      </w:pPr>
    </w:p>
    <w:p w:rsidR="00F94F80" w:rsidRPr="00F05779" w:rsidP="00FF6AB4" w14:paraId="5CABAEF3" w14:textId="77777777">
      <w:pPr>
        <w:spacing w:line="269" w:lineRule="auto"/>
        <w:rPr>
          <w:rtl/>
        </w:rPr>
      </w:pPr>
      <w:r>
        <w:rPr>
          <w:rFonts w:hint="cs"/>
          <w:rtl/>
        </w:rPr>
        <w:t xml:space="preserve">בדצמבר 2018 כתבה היועצת המשפטית של ארכיון המדינה </w:t>
      </w:r>
      <w:r w:rsidRPr="008F313D">
        <w:rPr>
          <w:rFonts w:hint="cs"/>
          <w:rtl/>
        </w:rPr>
        <w:t>למשרד מבקר המדינה</w:t>
      </w:r>
      <w:r w:rsidR="00136DC9">
        <w:rPr>
          <w:rFonts w:hint="cs"/>
          <w:rtl/>
        </w:rPr>
        <w:t xml:space="preserve"> </w:t>
      </w:r>
      <w:r w:rsidR="00EF34D6">
        <w:rPr>
          <w:rFonts w:hint="cs"/>
          <w:rtl/>
        </w:rPr>
        <w:t>בנוגע</w:t>
      </w:r>
      <w:r>
        <w:rPr>
          <w:rFonts w:hint="cs"/>
          <w:rtl/>
        </w:rPr>
        <w:t xml:space="preserve"> לארכיון בגין ולארכיון מרכז רבין</w:t>
      </w:r>
      <w:r w:rsidR="00136DC9">
        <w:rPr>
          <w:rFonts w:hint="cs"/>
          <w:rtl/>
        </w:rPr>
        <w:t xml:space="preserve"> </w:t>
      </w:r>
      <w:r>
        <w:rPr>
          <w:rFonts w:hint="cs"/>
          <w:rtl/>
        </w:rPr>
        <w:t>כי חוק הארכיונים מנחה לגבי שמיר</w:t>
      </w:r>
      <w:r w:rsidR="00577BFC">
        <w:rPr>
          <w:rFonts w:hint="cs"/>
          <w:rtl/>
        </w:rPr>
        <w:t>ת</w:t>
      </w:r>
      <w:r>
        <w:rPr>
          <w:rFonts w:hint="cs"/>
          <w:rtl/>
        </w:rPr>
        <w:t xml:space="preserve"> החומר שבהם ולא לגבי אבטחת </w:t>
      </w:r>
      <w:r w:rsidRPr="002734BF">
        <w:rPr>
          <w:rFonts w:hint="cs"/>
          <w:rtl/>
        </w:rPr>
        <w:t>המבנ</w:t>
      </w:r>
      <w:r w:rsidR="00EF34D6">
        <w:rPr>
          <w:rFonts w:hint="cs"/>
          <w:rtl/>
        </w:rPr>
        <w:t>ים שבהם הוא נשמר</w:t>
      </w:r>
      <w:r w:rsidR="00F562DF">
        <w:rPr>
          <w:rFonts w:hint="cs"/>
          <w:rtl/>
        </w:rPr>
        <w:t xml:space="preserve">. עוד </w:t>
      </w:r>
      <w:r w:rsidR="00EF34D6">
        <w:rPr>
          <w:rFonts w:hint="cs"/>
          <w:rtl/>
        </w:rPr>
        <w:t xml:space="preserve">כתבה </w:t>
      </w:r>
      <w:r>
        <w:rPr>
          <w:rFonts w:hint="cs"/>
          <w:rtl/>
        </w:rPr>
        <w:t>כי</w:t>
      </w:r>
      <w:r w:rsidRPr="002734BF">
        <w:rPr>
          <w:rFonts w:hint="cs"/>
          <w:rtl/>
        </w:rPr>
        <w:t xml:space="preserve"> </w:t>
      </w:r>
      <w:r w:rsidR="00EF34D6">
        <w:rPr>
          <w:rFonts w:hint="cs"/>
          <w:rtl/>
        </w:rPr>
        <w:t>"</w:t>
      </w:r>
      <w:r w:rsidRPr="002734BF">
        <w:rPr>
          <w:rtl/>
        </w:rPr>
        <w:t xml:space="preserve">אין תחולה </w:t>
      </w:r>
      <w:r w:rsidR="00F562DF">
        <w:rPr>
          <w:rFonts w:hint="cs"/>
          <w:rtl/>
        </w:rPr>
        <w:t xml:space="preserve">להסדרים אחרים </w:t>
      </w:r>
      <w:r w:rsidRPr="002734BF">
        <w:rPr>
          <w:rtl/>
        </w:rPr>
        <w:t>מבחינת אבטחה</w:t>
      </w:r>
      <w:r>
        <w:rPr>
          <w:rFonts w:hint="cs"/>
          <w:rtl/>
        </w:rPr>
        <w:t>,</w:t>
      </w:r>
      <w:r w:rsidRPr="002734BF">
        <w:rPr>
          <w:rtl/>
        </w:rPr>
        <w:t xml:space="preserve"> סיווג עובדים</w:t>
      </w:r>
      <w:r>
        <w:rPr>
          <w:rFonts w:hint="cs"/>
          <w:rtl/>
        </w:rPr>
        <w:t xml:space="preserve"> וסדרי </w:t>
      </w:r>
      <w:r>
        <w:rPr>
          <w:rFonts w:hint="cs"/>
          <w:rtl/>
        </w:rPr>
        <w:t xml:space="preserve">עבודה אחרים שאינם מכוח חוק הארכיונים והתקנות שהותקנו </w:t>
      </w:r>
      <w:r w:rsidR="00F562DF">
        <w:rPr>
          <w:rFonts w:hint="cs"/>
          <w:rtl/>
        </w:rPr>
        <w:t>מ</w:t>
      </w:r>
      <w:r>
        <w:rPr>
          <w:rFonts w:hint="cs"/>
          <w:rtl/>
        </w:rPr>
        <w:t>כוחו</w:t>
      </w:r>
      <w:r w:rsidR="00EF34D6">
        <w:rPr>
          <w:rFonts w:hint="cs"/>
          <w:rtl/>
        </w:rPr>
        <w:t>"</w:t>
      </w:r>
      <w:r w:rsidRPr="002734BF">
        <w:rPr>
          <w:rtl/>
        </w:rPr>
        <w:t>.</w:t>
      </w:r>
    </w:p>
    <w:p w:rsidR="00A73687" w:rsidP="00FF6AB4" w14:paraId="4163813C" w14:textId="77777777">
      <w:pPr>
        <w:pStyle w:val="a"/>
        <w:spacing w:line="269" w:lineRule="auto"/>
        <w:rPr>
          <w:rtl/>
        </w:rPr>
      </w:pPr>
    </w:p>
    <w:p w:rsidR="00590D1F" w:rsidP="00FF6AB4" w14:paraId="2161B649" w14:textId="77777777">
      <w:pPr>
        <w:spacing w:line="269" w:lineRule="auto"/>
        <w:rPr>
          <w:rtl/>
        </w:rPr>
      </w:pPr>
      <w:r>
        <w:rPr>
          <w:rFonts w:hint="cs"/>
          <w:rtl/>
        </w:rPr>
        <w:t xml:space="preserve">בתגובתו </w:t>
      </w:r>
      <w:r w:rsidR="00B03FF6">
        <w:rPr>
          <w:rFonts w:hint="cs"/>
          <w:rtl/>
        </w:rPr>
        <w:t xml:space="preserve">מיולי 2019 </w:t>
      </w:r>
      <w:r>
        <w:rPr>
          <w:rFonts w:hint="cs"/>
          <w:rtl/>
        </w:rPr>
        <w:t>ע</w:t>
      </w:r>
      <w:r w:rsidR="00B03FF6">
        <w:rPr>
          <w:rFonts w:hint="cs"/>
          <w:rtl/>
        </w:rPr>
        <w:t>ל</w:t>
      </w:r>
      <w:r>
        <w:rPr>
          <w:rFonts w:hint="cs"/>
          <w:rtl/>
        </w:rPr>
        <w:t xml:space="preserve"> </w:t>
      </w:r>
      <w:r w:rsidR="00721D0E">
        <w:rPr>
          <w:rFonts w:hint="cs"/>
          <w:rtl/>
        </w:rPr>
        <w:t>טיוטת דוח</w:t>
      </w:r>
      <w:r w:rsidR="00B03FF6">
        <w:rPr>
          <w:rFonts w:hint="cs"/>
          <w:rtl/>
        </w:rPr>
        <w:t xml:space="preserve"> הביקורת ציין היועץ המשפטי למערכת הביטחון </w:t>
      </w:r>
      <w:r w:rsidR="003F4C14">
        <w:rPr>
          <w:rFonts w:hint="cs"/>
          <w:rtl/>
        </w:rPr>
        <w:t xml:space="preserve">כי </w:t>
      </w:r>
      <w:r>
        <w:rPr>
          <w:rFonts w:hint="cs"/>
          <w:rtl/>
        </w:rPr>
        <w:t>ה</w:t>
      </w:r>
      <w:r w:rsidR="003F4C14">
        <w:rPr>
          <w:rFonts w:hint="cs"/>
          <w:rtl/>
        </w:rPr>
        <w:t>ארכיונים שמעמדם נקבע בחוק הם חלק מ</w:t>
      </w:r>
      <w:r>
        <w:rPr>
          <w:rFonts w:hint="cs"/>
          <w:rtl/>
        </w:rPr>
        <w:t>ארכיון ה</w:t>
      </w:r>
      <w:r w:rsidR="003F4C14">
        <w:rPr>
          <w:rFonts w:hint="cs"/>
          <w:rtl/>
        </w:rPr>
        <w:t>מדינה במובן הרחב</w:t>
      </w:r>
      <w:r>
        <w:rPr>
          <w:rFonts w:hint="cs"/>
          <w:rtl/>
        </w:rPr>
        <w:t>,</w:t>
      </w:r>
      <w:r w:rsidR="003F4C14">
        <w:rPr>
          <w:rFonts w:hint="cs"/>
          <w:rtl/>
        </w:rPr>
        <w:t xml:space="preserve"> ויש לראות</w:t>
      </w:r>
      <w:r>
        <w:rPr>
          <w:rFonts w:hint="cs"/>
          <w:rtl/>
        </w:rPr>
        <w:t xml:space="preserve"> בהם</w:t>
      </w:r>
      <w:r w:rsidR="003F4C14">
        <w:rPr>
          <w:rFonts w:hint="cs"/>
          <w:rtl/>
        </w:rPr>
        <w:t xml:space="preserve"> חלק מארכיון המדינה גם לעניין </w:t>
      </w:r>
      <w:r w:rsidR="004D7893">
        <w:rPr>
          <w:rFonts w:hint="cs"/>
          <w:rtl/>
        </w:rPr>
        <w:t xml:space="preserve">תחולת </w:t>
      </w:r>
      <w:r w:rsidR="003F4C14">
        <w:rPr>
          <w:rFonts w:hint="cs"/>
          <w:rtl/>
        </w:rPr>
        <w:t>החוק להסדרת הביטחון</w:t>
      </w:r>
      <w:r w:rsidR="004D7893">
        <w:rPr>
          <w:rFonts w:hint="cs"/>
          <w:rtl/>
        </w:rPr>
        <w:t xml:space="preserve"> עליהם</w:t>
      </w:r>
      <w:r w:rsidR="003F4C14">
        <w:rPr>
          <w:rFonts w:hint="cs"/>
          <w:rtl/>
        </w:rPr>
        <w:t>. עוד ציין</w:t>
      </w:r>
      <w:r>
        <w:rPr>
          <w:rFonts w:hint="cs"/>
          <w:rtl/>
        </w:rPr>
        <w:t xml:space="preserve"> </w:t>
      </w:r>
      <w:r w:rsidR="003F4C14">
        <w:rPr>
          <w:rFonts w:hint="cs"/>
          <w:rtl/>
        </w:rPr>
        <w:t xml:space="preserve">כי עמדה זו תואמת את עמדת היועצת המשפטית של שב"כ. </w:t>
      </w:r>
    </w:p>
    <w:p w:rsidR="00A73687" w:rsidP="00FF6AB4" w14:paraId="3C9AE00B" w14:textId="77777777">
      <w:pPr>
        <w:pStyle w:val="a"/>
        <w:spacing w:line="269" w:lineRule="auto"/>
        <w:rPr>
          <w:rtl/>
        </w:rPr>
      </w:pPr>
    </w:p>
    <w:p w:rsidR="00A97114" w:rsidP="00FF6AB4" w14:paraId="1C91D174" w14:textId="77777777">
      <w:pPr>
        <w:spacing w:line="269" w:lineRule="auto"/>
        <w:rPr>
          <w:rtl/>
        </w:rPr>
      </w:pPr>
      <w:r>
        <w:rPr>
          <w:rFonts w:hint="cs"/>
          <w:rtl/>
        </w:rPr>
        <w:t xml:space="preserve">בתגובתו </w:t>
      </w:r>
      <w:r w:rsidR="00721D0E">
        <w:rPr>
          <w:rFonts w:hint="cs"/>
          <w:rtl/>
        </w:rPr>
        <w:t xml:space="preserve">מיולי 2019 </w:t>
      </w:r>
      <w:r>
        <w:rPr>
          <w:rFonts w:hint="cs"/>
          <w:rtl/>
        </w:rPr>
        <w:t xml:space="preserve">על </w:t>
      </w:r>
      <w:r w:rsidR="00721D0E">
        <w:rPr>
          <w:rFonts w:hint="cs"/>
          <w:rtl/>
        </w:rPr>
        <w:t>טיוטת דוח</w:t>
      </w:r>
      <w:r w:rsidR="009540BB">
        <w:rPr>
          <w:rFonts w:hint="cs"/>
          <w:rtl/>
        </w:rPr>
        <w:t xml:space="preserve"> הביקורת מסר משרד רה"ם כי </w:t>
      </w:r>
      <w:r>
        <w:rPr>
          <w:rFonts w:hint="cs"/>
          <w:rtl/>
        </w:rPr>
        <w:t xml:space="preserve">קביעת </w:t>
      </w:r>
      <w:r w:rsidR="009540BB">
        <w:rPr>
          <w:rFonts w:hint="cs"/>
          <w:rtl/>
        </w:rPr>
        <w:t>נוהלי אבטחה אחידים היא הכרחית</w:t>
      </w:r>
      <w:r>
        <w:rPr>
          <w:rFonts w:hint="cs"/>
          <w:rtl/>
        </w:rPr>
        <w:t>,</w:t>
      </w:r>
      <w:r w:rsidR="000C58E2">
        <w:rPr>
          <w:rFonts w:hint="cs"/>
          <w:rtl/>
        </w:rPr>
        <w:t xml:space="preserve"> אולם היא באחריות גורמי הביטחון הרלוונטיים</w:t>
      </w:r>
      <w:r>
        <w:rPr>
          <w:rFonts w:hint="cs"/>
          <w:rtl/>
        </w:rPr>
        <w:t xml:space="preserve">. </w:t>
      </w:r>
      <w:r w:rsidR="007529FF">
        <w:rPr>
          <w:rFonts w:hint="cs"/>
          <w:rtl/>
        </w:rPr>
        <w:t xml:space="preserve">עוד </w:t>
      </w:r>
      <w:r>
        <w:rPr>
          <w:rFonts w:hint="cs"/>
          <w:rtl/>
        </w:rPr>
        <w:t xml:space="preserve">הוסיף כי </w:t>
      </w:r>
      <w:r w:rsidR="006F61E5">
        <w:rPr>
          <w:rFonts w:hint="cs"/>
          <w:rtl/>
        </w:rPr>
        <w:t>הבהרת תחולת החוק להסדרת הביט</w:t>
      </w:r>
      <w:r w:rsidR="000C58E2">
        <w:rPr>
          <w:rFonts w:hint="cs"/>
          <w:rtl/>
        </w:rPr>
        <w:t xml:space="preserve">חון </w:t>
      </w:r>
      <w:r w:rsidR="00281AAC">
        <w:rPr>
          <w:rFonts w:hint="cs"/>
          <w:rtl/>
        </w:rPr>
        <w:t>היא</w:t>
      </w:r>
      <w:r w:rsidR="000C58E2">
        <w:rPr>
          <w:rFonts w:hint="cs"/>
          <w:rtl/>
        </w:rPr>
        <w:t xml:space="preserve"> בסמכות המשרד לביטחון הפנים</w:t>
      </w:r>
      <w:r w:rsidR="007D2596">
        <w:rPr>
          <w:rFonts w:hint="cs"/>
          <w:rtl/>
        </w:rPr>
        <w:t xml:space="preserve">, בהיות </w:t>
      </w:r>
      <w:r w:rsidR="00D3518E">
        <w:rPr>
          <w:rFonts w:hint="cs"/>
          <w:rtl/>
        </w:rPr>
        <w:t>ה</w:t>
      </w:r>
      <w:r w:rsidR="007D2596">
        <w:rPr>
          <w:rFonts w:hint="cs"/>
          <w:rtl/>
        </w:rPr>
        <w:t xml:space="preserve">שר </w:t>
      </w:r>
      <w:r w:rsidR="00D3518E">
        <w:rPr>
          <w:rFonts w:hint="cs"/>
          <w:rtl/>
        </w:rPr>
        <w:t xml:space="preserve">לביטחון </w:t>
      </w:r>
      <w:r w:rsidR="007D2596">
        <w:rPr>
          <w:rFonts w:hint="cs"/>
          <w:rtl/>
        </w:rPr>
        <w:t xml:space="preserve">הפנים </w:t>
      </w:r>
      <w:r w:rsidR="00281AAC">
        <w:rPr>
          <w:rFonts w:hint="cs"/>
          <w:rtl/>
        </w:rPr>
        <w:t>ה</w:t>
      </w:r>
      <w:r w:rsidR="007D2596">
        <w:rPr>
          <w:rFonts w:hint="cs"/>
          <w:rtl/>
        </w:rPr>
        <w:t>ממונה על ביצוע החוק</w:t>
      </w:r>
      <w:r w:rsidR="006F61E5">
        <w:rPr>
          <w:rFonts w:hint="cs"/>
          <w:rtl/>
        </w:rPr>
        <w:t>.</w:t>
      </w:r>
      <w:r w:rsidR="00666BC1">
        <w:rPr>
          <w:rFonts w:hint="cs"/>
          <w:rtl/>
        </w:rPr>
        <w:t xml:space="preserve"> </w:t>
      </w:r>
      <w:r w:rsidR="00281AAC">
        <w:rPr>
          <w:rFonts w:hint="cs"/>
          <w:rtl/>
        </w:rPr>
        <w:t xml:space="preserve">בתגובתו של משרד רה"ם נכללה תגובתו של </w:t>
      </w:r>
      <w:r w:rsidR="00666BC1">
        <w:rPr>
          <w:rFonts w:hint="cs"/>
          <w:rtl/>
        </w:rPr>
        <w:t xml:space="preserve">ארכיון המדינה </w:t>
      </w:r>
      <w:r w:rsidR="00281AAC">
        <w:rPr>
          <w:rFonts w:hint="cs"/>
          <w:rtl/>
        </w:rPr>
        <w:t>ולפיה</w:t>
      </w:r>
      <w:r w:rsidR="00666BC1">
        <w:rPr>
          <w:rFonts w:hint="cs"/>
          <w:rtl/>
        </w:rPr>
        <w:t xml:space="preserve"> הוא יפעל לקביעת פגישה בעניין זה </w:t>
      </w:r>
      <w:r w:rsidR="00F015F8">
        <w:rPr>
          <w:rFonts w:hint="cs"/>
          <w:rtl/>
        </w:rPr>
        <w:t>עם משרד המשפטים והמשרד לביטחון הפנים</w:t>
      </w:r>
      <w:r w:rsidR="00666BC1">
        <w:rPr>
          <w:rFonts w:hint="cs"/>
          <w:rtl/>
        </w:rPr>
        <w:t>.</w:t>
      </w:r>
      <w:r w:rsidR="008712F2">
        <w:rPr>
          <w:rFonts w:hint="cs"/>
          <w:rtl/>
        </w:rPr>
        <w:t xml:space="preserve"> </w:t>
      </w:r>
    </w:p>
    <w:p w:rsidR="00A73687" w:rsidP="00FF6AB4" w14:paraId="211CFF3F" w14:textId="77777777">
      <w:pPr>
        <w:pStyle w:val="a"/>
        <w:spacing w:line="269" w:lineRule="auto"/>
        <w:rPr>
          <w:rtl/>
        </w:rPr>
      </w:pPr>
    </w:p>
    <w:p w:rsidR="0035374C" w:rsidP="00FF6AB4" w14:paraId="7078DEE3" w14:textId="77777777">
      <w:pPr>
        <w:spacing w:line="269" w:lineRule="auto"/>
        <w:rPr>
          <w:rtl/>
        </w:rPr>
      </w:pPr>
      <w:r>
        <w:rPr>
          <w:rFonts w:hint="cs"/>
          <w:rtl/>
        </w:rPr>
        <w:t>בתגובתו</w:t>
      </w:r>
      <w:r w:rsidRPr="002D7240">
        <w:rPr>
          <w:rFonts w:hint="cs"/>
          <w:rtl/>
        </w:rPr>
        <w:t xml:space="preserve"> </w:t>
      </w:r>
      <w:r w:rsidRPr="002D7240" w:rsidR="00C372DD">
        <w:rPr>
          <w:rFonts w:hint="cs"/>
          <w:rtl/>
        </w:rPr>
        <w:t xml:space="preserve">מיולי 2019 </w:t>
      </w:r>
      <w:r>
        <w:rPr>
          <w:rFonts w:hint="cs"/>
          <w:rtl/>
        </w:rPr>
        <w:t xml:space="preserve">על </w:t>
      </w:r>
      <w:r w:rsidRPr="00D31393" w:rsidR="001563C3">
        <w:rPr>
          <w:rFonts w:hint="cs"/>
          <w:rtl/>
        </w:rPr>
        <w:t xml:space="preserve">טיוטת דוח הביקורת </w:t>
      </w:r>
      <w:r w:rsidRPr="00D31393" w:rsidR="009A35F3">
        <w:rPr>
          <w:rFonts w:hint="cs"/>
          <w:rtl/>
        </w:rPr>
        <w:t>מסר שב"כ כי</w:t>
      </w:r>
      <w:r w:rsidRPr="00215ABC" w:rsidR="000B61B7">
        <w:rPr>
          <w:rFonts w:hint="cs"/>
          <w:rtl/>
        </w:rPr>
        <w:t xml:space="preserve"> ארכיו</w:t>
      </w:r>
      <w:r w:rsidR="00F562DF">
        <w:rPr>
          <w:rFonts w:hint="cs"/>
          <w:rtl/>
        </w:rPr>
        <w:t>ן</w:t>
      </w:r>
      <w:r w:rsidRPr="006652BA" w:rsidR="000B61B7">
        <w:rPr>
          <w:rFonts w:hint="cs"/>
          <w:rtl/>
        </w:rPr>
        <w:t xml:space="preserve"> בן</w:t>
      </w:r>
      <w:r w:rsidR="00136DC9">
        <w:rPr>
          <w:rFonts w:hint="cs"/>
          <w:rtl/>
        </w:rPr>
        <w:t>-</w:t>
      </w:r>
      <w:r w:rsidRPr="006652BA" w:rsidR="000B61B7">
        <w:rPr>
          <w:rFonts w:hint="cs"/>
          <w:rtl/>
        </w:rPr>
        <w:t xml:space="preserve">גוריון, </w:t>
      </w:r>
      <w:r w:rsidR="00F562DF">
        <w:rPr>
          <w:rFonts w:hint="cs"/>
          <w:rtl/>
        </w:rPr>
        <w:t>ארכיון</w:t>
      </w:r>
      <w:r w:rsidR="00136DC9">
        <w:rPr>
          <w:rFonts w:hint="cs"/>
          <w:rtl/>
        </w:rPr>
        <w:t xml:space="preserve"> </w:t>
      </w:r>
      <w:r w:rsidRPr="006652BA" w:rsidR="000B61B7">
        <w:rPr>
          <w:rFonts w:hint="cs"/>
          <w:rtl/>
        </w:rPr>
        <w:t>בגין ו</w:t>
      </w:r>
      <w:r w:rsidR="00F562DF">
        <w:rPr>
          <w:rFonts w:hint="cs"/>
          <w:rtl/>
        </w:rPr>
        <w:t xml:space="preserve">ארכיון מרכז </w:t>
      </w:r>
      <w:r w:rsidRPr="006652BA" w:rsidR="000B61B7">
        <w:rPr>
          <w:rFonts w:hint="cs"/>
          <w:rtl/>
        </w:rPr>
        <w:t>רבין מוגדרים על פי חקיקה ספציפית רשות עצמאית, שאינה כפופה לארכיון המדינה. עם זאת, ה</w:t>
      </w:r>
      <w:r w:rsidR="00F562DF">
        <w:rPr>
          <w:rFonts w:hint="cs"/>
          <w:rtl/>
        </w:rPr>
        <w:t xml:space="preserve">ם </w:t>
      </w:r>
      <w:r w:rsidRPr="006652BA" w:rsidR="000B61B7">
        <w:rPr>
          <w:rFonts w:hint="cs"/>
          <w:rtl/>
        </w:rPr>
        <w:t>נחשב</w:t>
      </w:r>
      <w:r w:rsidR="00F562DF">
        <w:rPr>
          <w:rFonts w:hint="cs"/>
          <w:rtl/>
        </w:rPr>
        <w:t>ים</w:t>
      </w:r>
      <w:r w:rsidRPr="006652BA" w:rsidR="000B61B7">
        <w:rPr>
          <w:rFonts w:hint="cs"/>
          <w:rtl/>
        </w:rPr>
        <w:t xml:space="preserve"> על פי חוק חלק מארכיון המדינה.</w:t>
      </w:r>
      <w:r w:rsidRPr="002313DD" w:rsidR="009A35F3">
        <w:rPr>
          <w:rFonts w:hint="cs"/>
          <w:rtl/>
        </w:rPr>
        <w:t xml:space="preserve"> </w:t>
      </w:r>
      <w:r w:rsidRPr="002313DD" w:rsidR="000B4AB0">
        <w:rPr>
          <w:rFonts w:hint="cs"/>
          <w:rtl/>
        </w:rPr>
        <w:t>משכך</w:t>
      </w:r>
      <w:r w:rsidRPr="00B10895" w:rsidR="009A35F3">
        <w:rPr>
          <w:rFonts w:hint="cs"/>
          <w:rtl/>
        </w:rPr>
        <w:t xml:space="preserve"> ניתן לבצע לבעלי התפקידי</w:t>
      </w:r>
      <w:r w:rsidR="009A35F3">
        <w:rPr>
          <w:rFonts w:hint="cs"/>
          <w:rtl/>
        </w:rPr>
        <w:t>ם</w:t>
      </w:r>
      <w:r>
        <w:rPr>
          <w:rFonts w:hint="cs"/>
          <w:rtl/>
        </w:rPr>
        <w:t xml:space="preserve"> בארכיונים האמורים</w:t>
      </w:r>
      <w:r w:rsidR="009A35F3">
        <w:rPr>
          <w:rFonts w:hint="cs"/>
          <w:rtl/>
        </w:rPr>
        <w:t xml:space="preserve"> החשופים למידע מסווג בדיקת התאמה ביטחונית</w:t>
      </w:r>
      <w:r>
        <w:rPr>
          <w:rFonts w:hint="cs"/>
          <w:rtl/>
        </w:rPr>
        <w:t>,</w:t>
      </w:r>
      <w:r w:rsidR="009A35F3">
        <w:rPr>
          <w:rFonts w:hint="cs"/>
          <w:rtl/>
        </w:rPr>
        <w:t xml:space="preserve"> מאחר שניתן לראות</w:t>
      </w:r>
      <w:r>
        <w:rPr>
          <w:rFonts w:hint="cs"/>
          <w:rtl/>
        </w:rPr>
        <w:t xml:space="preserve"> בהם</w:t>
      </w:r>
      <w:r w:rsidR="009A35F3">
        <w:rPr>
          <w:rFonts w:hint="cs"/>
          <w:rtl/>
        </w:rPr>
        <w:t xml:space="preserve"> בעלי תפקיד בארכיון המדינה, גם אם אינם עובדי הארכיון. </w:t>
      </w:r>
      <w:r>
        <w:rPr>
          <w:rFonts w:hint="cs"/>
          <w:rtl/>
        </w:rPr>
        <w:t xml:space="preserve">שב"כ ציין כי </w:t>
      </w:r>
      <w:r w:rsidR="009A35F3">
        <w:rPr>
          <w:rFonts w:hint="cs"/>
          <w:rtl/>
        </w:rPr>
        <w:t xml:space="preserve">נושא אבטחת המידע וסיווג המשרות בארכיונים אלו ייבדק על ידי היחידה </w:t>
      </w:r>
      <w:r w:rsidR="00136DC9">
        <w:rPr>
          <w:rFonts w:hint="cs"/>
          <w:rtl/>
        </w:rPr>
        <w:t xml:space="preserve">המופקדת על הטיפול בנושא </w:t>
      </w:r>
      <w:r w:rsidR="00AD4AEC">
        <w:rPr>
          <w:rFonts w:hint="cs"/>
          <w:rtl/>
        </w:rPr>
        <w:t xml:space="preserve">בשיתוף </w:t>
      </w:r>
      <w:r w:rsidR="00136DC9">
        <w:rPr>
          <w:rFonts w:hint="cs"/>
          <w:rtl/>
        </w:rPr>
        <w:t>קצין הביטחון של</w:t>
      </w:r>
      <w:r w:rsidR="009A35F3">
        <w:rPr>
          <w:rFonts w:hint="cs"/>
          <w:rtl/>
        </w:rPr>
        <w:t xml:space="preserve"> ארכיון המדינה</w:t>
      </w:r>
      <w:r w:rsidR="001563C3">
        <w:rPr>
          <w:rFonts w:hint="cs"/>
          <w:rtl/>
        </w:rPr>
        <w:t xml:space="preserve"> ויטופל בהתאם לתקנות ולכללים שהותקנו מכוח חוק </w:t>
      </w:r>
      <w:r w:rsidR="007E497E">
        <w:rPr>
          <w:rFonts w:hint="cs"/>
          <w:rtl/>
        </w:rPr>
        <w:t>שירות הביטחון הכללי, התשס"ב</w:t>
      </w:r>
      <w:r w:rsidR="00E04492">
        <w:rPr>
          <w:rFonts w:hint="cs"/>
          <w:rtl/>
        </w:rPr>
        <w:t>-2002</w:t>
      </w:r>
      <w:r>
        <w:rPr>
          <w:rStyle w:val="FootnoteReference"/>
          <w:rtl/>
        </w:rPr>
        <w:footnoteReference w:id="14"/>
      </w:r>
      <w:r w:rsidR="001419ED">
        <w:rPr>
          <w:rFonts w:hint="cs"/>
          <w:rtl/>
        </w:rPr>
        <w:t>.</w:t>
      </w:r>
    </w:p>
    <w:p w:rsidR="00A73687" w:rsidP="00FF6AB4" w14:paraId="680BA3D9" w14:textId="77777777">
      <w:pPr>
        <w:pStyle w:val="a"/>
        <w:spacing w:line="269" w:lineRule="auto"/>
        <w:rPr>
          <w:rtl/>
        </w:rPr>
      </w:pPr>
    </w:p>
    <w:p w:rsidR="00060784" w:rsidRPr="003C2697" w:rsidP="00FF6AB4" w14:paraId="21999F90" w14:textId="77777777">
      <w:pPr>
        <w:spacing w:line="269" w:lineRule="auto"/>
        <w:rPr>
          <w:b/>
          <w:bCs/>
        </w:rPr>
      </w:pPr>
      <w:r>
        <w:rPr>
          <w:rFonts w:hint="cs"/>
          <w:b/>
          <w:bCs/>
          <w:rtl/>
        </w:rPr>
        <w:t>נוכח חוסר הבהירות</w:t>
      </w:r>
      <w:r w:rsidRPr="00A87708" w:rsidR="00A87708">
        <w:rPr>
          <w:rFonts w:hint="cs"/>
          <w:b/>
          <w:bCs/>
          <w:rtl/>
        </w:rPr>
        <w:t xml:space="preserve"> אם החוק להסדרת הביטחון בגופים ציבוריים חל על </w:t>
      </w:r>
      <w:r w:rsidR="003A7D9F">
        <w:rPr>
          <w:rFonts w:hint="cs"/>
          <w:b/>
          <w:bCs/>
          <w:rtl/>
        </w:rPr>
        <w:t>"</w:t>
      </w:r>
      <w:r w:rsidRPr="00A87708" w:rsidR="00A87708">
        <w:rPr>
          <w:rFonts w:hint="cs"/>
          <w:b/>
          <w:bCs/>
          <w:rtl/>
        </w:rPr>
        <w:t>הארכיונים המהווים חלק מארכיון המדינה</w:t>
      </w:r>
      <w:r w:rsidR="003A7D9F">
        <w:rPr>
          <w:rFonts w:hint="cs"/>
          <w:b/>
          <w:bCs/>
          <w:rtl/>
        </w:rPr>
        <w:t>"</w:t>
      </w:r>
      <w:r w:rsidRPr="00A87708" w:rsidR="00A87708">
        <w:rPr>
          <w:rFonts w:hint="cs"/>
          <w:b/>
          <w:bCs/>
          <w:rtl/>
        </w:rPr>
        <w:t>,</w:t>
      </w:r>
      <w:r w:rsidRPr="00A87708" w:rsidR="00A87708">
        <w:rPr>
          <w:rFonts w:hint="cs"/>
          <w:rtl/>
        </w:rPr>
        <w:t xml:space="preserve"> </w:t>
      </w:r>
      <w:r w:rsidRPr="003C2697" w:rsidR="00B03FF6">
        <w:rPr>
          <w:rFonts w:hint="cs"/>
          <w:b/>
          <w:bCs/>
          <w:rtl/>
        </w:rPr>
        <w:t xml:space="preserve">בפועל הם אינם מונחים ישירות על ידי קצין מוסמך כמוגדר בחוק וממילא מינוי ממונה הביטחון שלהם </w:t>
      </w:r>
      <w:r w:rsidR="007E497E">
        <w:rPr>
          <w:rFonts w:hint="cs"/>
          <w:b/>
          <w:bCs/>
          <w:rtl/>
        </w:rPr>
        <w:t>אינו מ</w:t>
      </w:r>
      <w:r w:rsidRPr="003C2697" w:rsidR="00B03FF6">
        <w:rPr>
          <w:rFonts w:hint="cs"/>
          <w:b/>
          <w:bCs/>
          <w:rtl/>
        </w:rPr>
        <w:t>אושר על ידי קצין מוסמך.</w:t>
      </w:r>
      <w:r w:rsidRPr="003C2697" w:rsidR="00673194">
        <w:rPr>
          <w:rFonts w:hint="cs"/>
          <w:b/>
          <w:bCs/>
          <w:rtl/>
        </w:rPr>
        <w:t xml:space="preserve"> </w:t>
      </w:r>
      <w:r w:rsidRPr="003C2697" w:rsidR="0019319E">
        <w:rPr>
          <w:rFonts w:hint="cs"/>
          <w:b/>
          <w:bCs/>
          <w:rtl/>
        </w:rPr>
        <w:t>למשרות העובדים בארכיונים אלו לא נקבע סיווג ביטחוני</w:t>
      </w:r>
      <w:r w:rsidR="0019319E">
        <w:rPr>
          <w:rFonts w:hint="cs"/>
          <w:b/>
          <w:bCs/>
          <w:rtl/>
        </w:rPr>
        <w:t>,</w:t>
      </w:r>
      <w:r w:rsidRPr="003C2697" w:rsidR="0019319E">
        <w:rPr>
          <w:rFonts w:hint="cs"/>
          <w:b/>
          <w:bCs/>
          <w:rtl/>
        </w:rPr>
        <w:t xml:space="preserve"> </w:t>
      </w:r>
      <w:r w:rsidR="0019319E">
        <w:rPr>
          <w:rFonts w:hint="cs"/>
          <w:b/>
          <w:bCs/>
          <w:rtl/>
        </w:rPr>
        <w:t>אף</w:t>
      </w:r>
      <w:r w:rsidRPr="003C2697" w:rsidR="0019319E">
        <w:rPr>
          <w:rFonts w:hint="cs"/>
          <w:b/>
          <w:bCs/>
          <w:rtl/>
        </w:rPr>
        <w:t xml:space="preserve"> שכאמור, בכל אחד </w:t>
      </w:r>
      <w:r w:rsidR="0019319E">
        <w:rPr>
          <w:rFonts w:hint="cs"/>
          <w:b/>
          <w:bCs/>
          <w:rtl/>
        </w:rPr>
        <w:t>מהארכיונים</w:t>
      </w:r>
      <w:r w:rsidRPr="003C2697" w:rsidR="0019319E">
        <w:rPr>
          <w:rFonts w:hint="cs"/>
          <w:b/>
          <w:bCs/>
          <w:rtl/>
        </w:rPr>
        <w:t xml:space="preserve"> מופקדים חומרים מסווגים של מוסדות המדינה</w:t>
      </w:r>
      <w:r w:rsidR="0019319E">
        <w:rPr>
          <w:rFonts w:hint="cs"/>
          <w:b/>
          <w:bCs/>
          <w:rtl/>
        </w:rPr>
        <w:t xml:space="preserve">. </w:t>
      </w:r>
      <w:r w:rsidRPr="003C2697" w:rsidR="004D60EE">
        <w:rPr>
          <w:rFonts w:hint="cs"/>
          <w:b/>
          <w:bCs/>
          <w:rtl/>
        </w:rPr>
        <w:t>במצב דברים זה,</w:t>
      </w:r>
      <w:r w:rsidRPr="003C2697" w:rsidR="00673194">
        <w:rPr>
          <w:rFonts w:hint="cs"/>
          <w:b/>
          <w:bCs/>
          <w:rtl/>
        </w:rPr>
        <w:t xml:space="preserve"> </w:t>
      </w:r>
      <w:r w:rsidR="007E497E">
        <w:rPr>
          <w:rFonts w:hint="cs"/>
          <w:b/>
          <w:bCs/>
          <w:rtl/>
        </w:rPr>
        <w:t>קבעו</w:t>
      </w:r>
      <w:r w:rsidRPr="003C2697" w:rsidR="007E497E">
        <w:rPr>
          <w:rFonts w:hint="cs"/>
          <w:b/>
          <w:bCs/>
          <w:rtl/>
        </w:rPr>
        <w:t xml:space="preserve"> </w:t>
      </w:r>
      <w:r w:rsidRPr="003C2697" w:rsidR="00673194">
        <w:rPr>
          <w:rFonts w:hint="cs"/>
          <w:b/>
          <w:bCs/>
          <w:rtl/>
        </w:rPr>
        <w:t>ארכיונים אלה את סדרי האבטחה בעצמם</w:t>
      </w:r>
      <w:r w:rsidR="008765C8">
        <w:rPr>
          <w:rFonts w:hint="cs"/>
          <w:b/>
          <w:bCs/>
          <w:rtl/>
        </w:rPr>
        <w:t xml:space="preserve"> כמיטב הבנתם</w:t>
      </w:r>
      <w:r w:rsidRPr="003C2697" w:rsidR="00673194">
        <w:rPr>
          <w:rFonts w:hint="cs"/>
          <w:b/>
          <w:bCs/>
          <w:rtl/>
        </w:rPr>
        <w:t xml:space="preserve">, </w:t>
      </w:r>
      <w:r w:rsidRPr="007E3569" w:rsidR="00673194">
        <w:rPr>
          <w:rFonts w:hint="cs"/>
          <w:b/>
          <w:bCs/>
          <w:rtl/>
        </w:rPr>
        <w:t>לעיתים בסיוע המלמ"ב</w:t>
      </w:r>
      <w:r>
        <w:rPr>
          <w:rStyle w:val="FootnoteReference"/>
          <w:b/>
          <w:bCs/>
          <w:rtl/>
        </w:rPr>
        <w:footnoteReference w:id="15"/>
      </w:r>
      <w:r w:rsidRPr="007E3569" w:rsidR="0012144D">
        <w:rPr>
          <w:rFonts w:hint="cs"/>
          <w:b/>
          <w:bCs/>
          <w:rtl/>
        </w:rPr>
        <w:t xml:space="preserve">. </w:t>
      </w:r>
      <w:r w:rsidRPr="007E3569" w:rsidR="00673194">
        <w:rPr>
          <w:rFonts w:hint="cs"/>
          <w:rtl/>
        </w:rPr>
        <w:t>להלן הפרטים:</w:t>
      </w:r>
      <w:r w:rsidRPr="003C2697" w:rsidR="00673194">
        <w:rPr>
          <w:rFonts w:hint="cs"/>
          <w:rtl/>
        </w:rPr>
        <w:t xml:space="preserve"> </w:t>
      </w:r>
    </w:p>
    <w:p w:rsidR="00A73687" w:rsidRPr="000C5DB0" w:rsidP="00FF6AB4" w14:paraId="1D8B2816" w14:textId="77777777">
      <w:pPr>
        <w:pStyle w:val="a"/>
        <w:spacing w:line="269" w:lineRule="auto"/>
        <w:rPr>
          <w:rStyle w:val="7"/>
          <w:rFonts w:eastAsia="Calibri"/>
          <w:b/>
          <w:bCs w:val="0"/>
          <w:rtl/>
        </w:rPr>
      </w:pPr>
    </w:p>
    <w:p w:rsidR="004A37F5" w:rsidP="00FF6AB4" w14:paraId="7E8DA67C" w14:textId="77777777">
      <w:pPr>
        <w:spacing w:line="269" w:lineRule="auto"/>
        <w:rPr>
          <w:rtl/>
        </w:rPr>
      </w:pPr>
      <w:r w:rsidRPr="000343ED">
        <w:rPr>
          <w:rStyle w:val="7"/>
          <w:rFonts w:eastAsia="Calibri" w:hint="cs"/>
          <w:rtl/>
        </w:rPr>
        <w:t xml:space="preserve">ארכיון מרכז </w:t>
      </w:r>
      <w:r w:rsidRPr="000343ED">
        <w:rPr>
          <w:rStyle w:val="7"/>
          <w:rFonts w:eastAsia="Calibri" w:hint="cs"/>
          <w:rtl/>
        </w:rPr>
        <w:t>רבין:</w:t>
      </w:r>
      <w:r>
        <w:rPr>
          <w:rFonts w:hint="cs"/>
          <w:rtl/>
        </w:rPr>
        <w:t xml:space="preserve"> </w:t>
      </w:r>
      <w:r w:rsidRPr="006006F9">
        <w:rPr>
          <w:rFonts w:hint="cs"/>
          <w:rtl/>
        </w:rPr>
        <w:t>ב</w:t>
      </w:r>
      <w:r w:rsidR="00ED51AD">
        <w:rPr>
          <w:rFonts w:hint="cs"/>
          <w:rtl/>
        </w:rPr>
        <w:t xml:space="preserve">ינואר 2019 </w:t>
      </w:r>
      <w:r w:rsidR="003C32C0">
        <w:rPr>
          <w:rFonts w:hint="cs"/>
          <w:rtl/>
        </w:rPr>
        <w:t xml:space="preserve">כתבה </w:t>
      </w:r>
      <w:r>
        <w:rPr>
          <w:rFonts w:hint="cs"/>
          <w:rtl/>
        </w:rPr>
        <w:t xml:space="preserve">היועצת המשפטית של מרכז </w:t>
      </w:r>
      <w:r w:rsidR="007E497E">
        <w:rPr>
          <w:rFonts w:hint="cs"/>
          <w:rtl/>
        </w:rPr>
        <w:t xml:space="preserve">יצחק </w:t>
      </w:r>
      <w:r>
        <w:rPr>
          <w:rFonts w:hint="cs"/>
          <w:rtl/>
        </w:rPr>
        <w:t xml:space="preserve">רבין </w:t>
      </w:r>
      <w:r w:rsidR="007E497E">
        <w:rPr>
          <w:rFonts w:hint="cs"/>
          <w:rtl/>
        </w:rPr>
        <w:t>למשרד מבקר המדינה</w:t>
      </w:r>
      <w:r>
        <w:rPr>
          <w:rFonts w:hint="cs"/>
          <w:rtl/>
        </w:rPr>
        <w:t xml:space="preserve"> כי "מרכז יצחק רבין אינו נכלל בגדר החוק להסדרת הביטחון בגופים צי</w:t>
      </w:r>
      <w:r w:rsidR="00746835">
        <w:rPr>
          <w:rFonts w:hint="cs"/>
          <w:rtl/>
        </w:rPr>
        <w:t xml:space="preserve">בוריים... את ההנחיה באשר לשמירת </w:t>
      </w:r>
      <w:r>
        <w:rPr>
          <w:rFonts w:hint="cs"/>
          <w:rtl/>
        </w:rPr>
        <w:t xml:space="preserve">המסמכים החסויים קיבלנו מהמלמ"ב". </w:t>
      </w:r>
    </w:p>
    <w:p w:rsidR="00A73687" w:rsidP="00FF6AB4" w14:paraId="1B38E2BA" w14:textId="77777777">
      <w:pPr>
        <w:pStyle w:val="a"/>
        <w:spacing w:line="269" w:lineRule="auto"/>
        <w:rPr>
          <w:rtl/>
        </w:rPr>
      </w:pPr>
    </w:p>
    <w:p w:rsidR="00B53527" w:rsidP="00FF6AB4" w14:paraId="705EC0D3" w14:textId="77777777">
      <w:pPr>
        <w:spacing w:line="269" w:lineRule="auto"/>
        <w:rPr>
          <w:rtl/>
        </w:rPr>
      </w:pPr>
      <w:r>
        <w:rPr>
          <w:rFonts w:hint="cs"/>
          <w:rtl/>
        </w:rPr>
        <w:t xml:space="preserve">בתגובתו </w:t>
      </w:r>
      <w:r w:rsidR="00B03FF6">
        <w:rPr>
          <w:rFonts w:hint="cs"/>
          <w:rtl/>
        </w:rPr>
        <w:t xml:space="preserve">ממאי 2019 </w:t>
      </w:r>
      <w:r>
        <w:rPr>
          <w:rFonts w:hint="cs"/>
          <w:rtl/>
        </w:rPr>
        <w:t xml:space="preserve">על </w:t>
      </w:r>
      <w:r w:rsidR="001563C3">
        <w:rPr>
          <w:rFonts w:hint="cs"/>
          <w:rtl/>
        </w:rPr>
        <w:t>טיוטת דוח</w:t>
      </w:r>
      <w:r w:rsidR="00B03FF6">
        <w:rPr>
          <w:rFonts w:hint="cs"/>
          <w:rtl/>
        </w:rPr>
        <w:t xml:space="preserve"> הביקורת ציין מרכז</w:t>
      </w:r>
      <w:r w:rsidR="007D1E99">
        <w:rPr>
          <w:rFonts w:hint="cs"/>
          <w:rtl/>
        </w:rPr>
        <w:t xml:space="preserve"> יצחק</w:t>
      </w:r>
      <w:r w:rsidR="00B03FF6">
        <w:rPr>
          <w:rFonts w:hint="cs"/>
          <w:rtl/>
        </w:rPr>
        <w:t xml:space="preserve"> רבין</w:t>
      </w:r>
      <w:r w:rsidR="00271FAD">
        <w:rPr>
          <w:rFonts w:hint="cs"/>
          <w:rtl/>
        </w:rPr>
        <w:t xml:space="preserve"> </w:t>
      </w:r>
      <w:r w:rsidR="00B03FF6">
        <w:rPr>
          <w:rFonts w:hint="cs"/>
          <w:rtl/>
        </w:rPr>
        <w:t>כי יפעל בהתאם להנחיות שיקבל בנושא. עוד הדגיש המרכז כי הוא מקפיד לשמור על כלל החומרים המצויים בידיו באופן מיטבי.</w:t>
      </w:r>
    </w:p>
    <w:p w:rsidR="00A73687" w:rsidRPr="000C5DB0" w:rsidP="00FF6AB4" w14:paraId="7E1854E3" w14:textId="77777777">
      <w:pPr>
        <w:pStyle w:val="a"/>
        <w:spacing w:line="269" w:lineRule="auto"/>
        <w:rPr>
          <w:rStyle w:val="7"/>
          <w:rFonts w:eastAsia="Calibri"/>
          <w:b/>
          <w:bCs w:val="0"/>
          <w:rtl/>
        </w:rPr>
      </w:pPr>
    </w:p>
    <w:p w:rsidR="004A37F5" w:rsidP="00FF6AB4" w14:paraId="067D7A96" w14:textId="77777777">
      <w:pPr>
        <w:spacing w:line="269" w:lineRule="auto"/>
        <w:rPr>
          <w:rtl/>
        </w:rPr>
      </w:pPr>
      <w:r w:rsidRPr="0031090E">
        <w:rPr>
          <w:rStyle w:val="7"/>
          <w:rFonts w:eastAsia="Calibri" w:hint="cs"/>
          <w:rtl/>
        </w:rPr>
        <w:t>ארכיון בגין:</w:t>
      </w:r>
      <w:r>
        <w:rPr>
          <w:rFonts w:hint="cs"/>
          <w:rtl/>
        </w:rPr>
        <w:t xml:space="preserve"> בביקור בארכיון בגין </w:t>
      </w:r>
      <w:r w:rsidR="003C32C0">
        <w:rPr>
          <w:rFonts w:hint="cs"/>
          <w:rtl/>
        </w:rPr>
        <w:t xml:space="preserve">שהתקיים </w:t>
      </w:r>
      <w:r w:rsidR="00861291">
        <w:rPr>
          <w:rFonts w:hint="cs"/>
          <w:rtl/>
        </w:rPr>
        <w:t>באוגוסט 2018</w:t>
      </w:r>
      <w:r>
        <w:rPr>
          <w:rFonts w:hint="cs"/>
          <w:rtl/>
        </w:rPr>
        <w:t xml:space="preserve"> </w:t>
      </w:r>
      <w:r w:rsidR="00C44DD5">
        <w:rPr>
          <w:rFonts w:hint="cs"/>
          <w:rtl/>
        </w:rPr>
        <w:t xml:space="preserve">מצא צוות הביקורת </w:t>
      </w:r>
      <w:r>
        <w:rPr>
          <w:rFonts w:hint="cs"/>
          <w:rtl/>
        </w:rPr>
        <w:t xml:space="preserve">כי </w:t>
      </w:r>
      <w:r w:rsidR="003C32C0">
        <w:rPr>
          <w:rFonts w:hint="cs"/>
          <w:rtl/>
        </w:rPr>
        <w:t xml:space="preserve">חברה חיצונית היא </w:t>
      </w:r>
      <w:r w:rsidR="001E5F39">
        <w:rPr>
          <w:rFonts w:hint="cs"/>
          <w:rtl/>
        </w:rPr>
        <w:t xml:space="preserve">זו </w:t>
      </w:r>
      <w:r w:rsidR="003C32C0">
        <w:rPr>
          <w:rFonts w:hint="cs"/>
          <w:rtl/>
        </w:rPr>
        <w:t xml:space="preserve">שמנחה לגבי </w:t>
      </w:r>
      <w:r>
        <w:rPr>
          <w:rFonts w:hint="cs"/>
          <w:rtl/>
        </w:rPr>
        <w:t xml:space="preserve">האבטחה בארכיון. </w:t>
      </w:r>
    </w:p>
    <w:p w:rsidR="00A73687" w:rsidP="00FF6AB4" w14:paraId="16D4722F" w14:textId="77777777">
      <w:pPr>
        <w:pStyle w:val="a"/>
        <w:spacing w:line="269" w:lineRule="auto"/>
        <w:rPr>
          <w:rtl/>
        </w:rPr>
      </w:pPr>
    </w:p>
    <w:p w:rsidR="0024413C" w:rsidP="00FF6AB4" w14:paraId="6F2D368F" w14:textId="77777777">
      <w:pPr>
        <w:spacing w:line="269" w:lineRule="auto"/>
        <w:rPr>
          <w:rtl/>
        </w:rPr>
      </w:pPr>
      <w:r>
        <w:rPr>
          <w:rFonts w:hint="cs"/>
          <w:rtl/>
        </w:rPr>
        <w:t xml:space="preserve">בהתייחסותו </w:t>
      </w:r>
      <w:r>
        <w:rPr>
          <w:rFonts w:hint="cs"/>
          <w:rtl/>
        </w:rPr>
        <w:t>מיוני 2019 ל</w:t>
      </w:r>
      <w:r w:rsidR="001563C3">
        <w:rPr>
          <w:rFonts w:hint="cs"/>
          <w:rtl/>
        </w:rPr>
        <w:t>טיוטת דוח</w:t>
      </w:r>
      <w:r>
        <w:rPr>
          <w:rFonts w:hint="cs"/>
          <w:rtl/>
        </w:rPr>
        <w:t xml:space="preserve"> הביקורת ציין מרכז מורשת מנחם בגין כי </w:t>
      </w:r>
      <w:r w:rsidR="007E497E">
        <w:rPr>
          <w:rFonts w:hint="cs"/>
          <w:rtl/>
        </w:rPr>
        <w:t xml:space="preserve">לציבור אין גישה </w:t>
      </w:r>
      <w:r w:rsidR="00600CEF">
        <w:rPr>
          <w:rFonts w:hint="cs"/>
          <w:rtl/>
        </w:rPr>
        <w:t>לחומר המסווג</w:t>
      </w:r>
      <w:r>
        <w:rPr>
          <w:rFonts w:hint="cs"/>
          <w:rtl/>
        </w:rPr>
        <w:t>.</w:t>
      </w:r>
    </w:p>
    <w:p w:rsidR="00A73687" w:rsidRPr="002E2A0B" w:rsidP="00FF6AB4" w14:paraId="349302B6" w14:textId="77777777">
      <w:pPr>
        <w:pStyle w:val="a"/>
        <w:spacing w:line="269" w:lineRule="auto"/>
        <w:rPr>
          <w:rStyle w:val="7"/>
          <w:rFonts w:eastAsia="Calibri"/>
          <w:b/>
          <w:bCs w:val="0"/>
          <w:rtl/>
        </w:rPr>
      </w:pPr>
    </w:p>
    <w:p w:rsidR="004A37F5" w:rsidP="00FF6AB4" w14:paraId="06DBD637" w14:textId="77777777">
      <w:pPr>
        <w:spacing w:line="269" w:lineRule="auto"/>
        <w:rPr>
          <w:b/>
          <w:bCs/>
          <w:rtl/>
        </w:rPr>
      </w:pPr>
      <w:r w:rsidRPr="0031090E">
        <w:rPr>
          <w:rStyle w:val="7"/>
          <w:rFonts w:eastAsia="Calibri" w:hint="cs"/>
          <w:rtl/>
        </w:rPr>
        <w:t>ארכיון בן-גוריון:</w:t>
      </w:r>
      <w:r w:rsidR="003C32C0">
        <w:rPr>
          <w:rFonts w:hint="cs"/>
          <w:rtl/>
        </w:rPr>
        <w:t xml:space="preserve"> </w:t>
      </w:r>
      <w:r w:rsidRPr="003C2697" w:rsidR="00526CD7">
        <w:rPr>
          <w:rFonts w:hint="cs"/>
          <w:rtl/>
        </w:rPr>
        <w:t>באפריל 2018</w:t>
      </w:r>
      <w:r w:rsidR="007E497E">
        <w:rPr>
          <w:rFonts w:hint="cs"/>
          <w:rtl/>
        </w:rPr>
        <w:t xml:space="preserve"> ביקר בארכיון</w:t>
      </w:r>
      <w:r w:rsidRPr="006C2733">
        <w:rPr>
          <w:rFonts w:hint="cs"/>
          <w:rtl/>
        </w:rPr>
        <w:t xml:space="preserve"> </w:t>
      </w:r>
      <w:r w:rsidR="00F7737D">
        <w:rPr>
          <w:rFonts w:hint="cs"/>
          <w:rtl/>
        </w:rPr>
        <w:t>נציג המלמ"ב</w:t>
      </w:r>
      <w:r w:rsidR="007E497E">
        <w:rPr>
          <w:rFonts w:hint="cs"/>
          <w:rtl/>
        </w:rPr>
        <w:t>, ובעקבות הביקור</w:t>
      </w:r>
      <w:r w:rsidRPr="006C2733">
        <w:rPr>
          <w:rFonts w:hint="cs"/>
          <w:rtl/>
        </w:rPr>
        <w:t xml:space="preserve"> </w:t>
      </w:r>
      <w:r w:rsidR="00F7737D">
        <w:rPr>
          <w:rFonts w:hint="cs"/>
          <w:rtl/>
        </w:rPr>
        <w:t>כתב</w:t>
      </w:r>
      <w:r w:rsidRPr="003C2697" w:rsidR="002F742A">
        <w:rPr>
          <w:rFonts w:hint="cs"/>
          <w:rtl/>
        </w:rPr>
        <w:t xml:space="preserve"> </w:t>
      </w:r>
      <w:r w:rsidRPr="003C2697" w:rsidR="00CD28DB">
        <w:rPr>
          <w:rFonts w:hint="cs"/>
          <w:rtl/>
        </w:rPr>
        <w:t>למנהלו</w:t>
      </w:r>
      <w:r w:rsidRPr="003C2697">
        <w:rPr>
          <w:rFonts w:hint="cs"/>
          <w:rtl/>
        </w:rPr>
        <w:t xml:space="preserve"> כי "כיום אין סדרי אבטחה נאותים במקום". </w:t>
      </w:r>
      <w:r w:rsidRPr="003C2697" w:rsidR="00466053">
        <w:rPr>
          <w:rFonts w:hint="cs"/>
          <w:rtl/>
        </w:rPr>
        <w:t>ממסמכי המלמ"ב עולה עוד</w:t>
      </w:r>
      <w:r w:rsidRPr="003C2697">
        <w:rPr>
          <w:rFonts w:hint="cs"/>
          <w:rtl/>
        </w:rPr>
        <w:t xml:space="preserve"> כי בארכיון בן-גוריון ק</w:t>
      </w:r>
      <w:r w:rsidRPr="003C2697">
        <w:rPr>
          <w:rFonts w:hint="cs"/>
          <w:rtl/>
        </w:rPr>
        <w:t xml:space="preserve">יימים מסמכים מסווגים בעלי רגישות ביטחונית גבוהה </w:t>
      </w:r>
      <w:r w:rsidRPr="003C2697" w:rsidR="00466053">
        <w:rPr>
          <w:rFonts w:hint="cs"/>
          <w:rtl/>
        </w:rPr>
        <w:t>ו</w:t>
      </w:r>
      <w:r w:rsidRPr="003C2697">
        <w:rPr>
          <w:rFonts w:hint="cs"/>
          <w:rtl/>
        </w:rPr>
        <w:t>כי בעת ש</w:t>
      </w:r>
      <w:r w:rsidRPr="003C2697" w:rsidR="00CB2A64">
        <w:rPr>
          <w:rFonts w:hint="cs"/>
          <w:rtl/>
        </w:rPr>
        <w:t xml:space="preserve">הועברו </w:t>
      </w:r>
      <w:r w:rsidRPr="003C2697">
        <w:rPr>
          <w:rFonts w:hint="cs"/>
          <w:rtl/>
        </w:rPr>
        <w:t>המסמכים</w:t>
      </w:r>
      <w:r>
        <w:rPr>
          <w:rFonts w:hint="cs"/>
          <w:rtl/>
        </w:rPr>
        <w:t xml:space="preserve"> לארכיון </w:t>
      </w:r>
      <w:r w:rsidR="00F17AD1">
        <w:rPr>
          <w:rFonts w:hint="cs"/>
          <w:rtl/>
        </w:rPr>
        <w:t xml:space="preserve">נקבעו </w:t>
      </w:r>
      <w:r>
        <w:rPr>
          <w:rFonts w:hint="cs"/>
          <w:rtl/>
        </w:rPr>
        <w:t>במקום סדרי אבטחה על ידי קצין הביטחון דאז של משרד הביטחון,</w:t>
      </w:r>
      <w:r w:rsidR="00CB2A64">
        <w:rPr>
          <w:rFonts w:hint="cs"/>
          <w:rtl/>
        </w:rPr>
        <w:t xml:space="preserve"> </w:t>
      </w:r>
      <w:r w:rsidR="00F17AD1">
        <w:rPr>
          <w:rFonts w:hint="cs"/>
          <w:rtl/>
        </w:rPr>
        <w:t xml:space="preserve">ואולם </w:t>
      </w:r>
      <w:r w:rsidR="00CB2A64">
        <w:rPr>
          <w:rFonts w:hint="cs"/>
          <w:rtl/>
        </w:rPr>
        <w:t xml:space="preserve">לאחר עזיבתו של מנהל הארכיון </w:t>
      </w:r>
      <w:r w:rsidR="00F17AD1">
        <w:rPr>
          <w:rFonts w:hint="cs"/>
          <w:rtl/>
        </w:rPr>
        <w:t>"</w:t>
      </w:r>
      <w:r w:rsidR="00CB2A64">
        <w:rPr>
          <w:rFonts w:hint="cs"/>
          <w:rtl/>
        </w:rPr>
        <w:t>לא</w:t>
      </w:r>
      <w:r>
        <w:rPr>
          <w:rFonts w:hint="cs"/>
          <w:rtl/>
        </w:rPr>
        <w:t xml:space="preserve"> טופל </w:t>
      </w:r>
      <w:r w:rsidR="00CB2A64">
        <w:rPr>
          <w:rFonts w:hint="cs"/>
          <w:rtl/>
        </w:rPr>
        <w:t xml:space="preserve">הארכיון </w:t>
      </w:r>
      <w:r>
        <w:rPr>
          <w:rFonts w:hint="cs"/>
          <w:rtl/>
        </w:rPr>
        <w:t>ביטחונית</w:t>
      </w:r>
      <w:r w:rsidR="00F17AD1">
        <w:rPr>
          <w:rFonts w:hint="cs"/>
          <w:rtl/>
        </w:rPr>
        <w:t>"</w:t>
      </w:r>
      <w:r>
        <w:rPr>
          <w:rFonts w:hint="cs"/>
          <w:rtl/>
        </w:rPr>
        <w:t xml:space="preserve">. </w:t>
      </w:r>
      <w:r w:rsidR="00F7737D">
        <w:rPr>
          <w:rFonts w:hint="cs"/>
          <w:rtl/>
        </w:rPr>
        <w:t xml:space="preserve">יצוין כי </w:t>
      </w:r>
      <w:r w:rsidR="003B6DD4">
        <w:rPr>
          <w:rFonts w:hint="cs"/>
          <w:rtl/>
        </w:rPr>
        <w:t>בביקור</w:t>
      </w:r>
      <w:r w:rsidR="00F7737D">
        <w:rPr>
          <w:rFonts w:hint="cs"/>
          <w:rtl/>
        </w:rPr>
        <w:t xml:space="preserve"> </w:t>
      </w:r>
      <w:r w:rsidR="003B6DD4">
        <w:rPr>
          <w:rFonts w:hint="cs"/>
          <w:rtl/>
        </w:rPr>
        <w:t>שערך צוות הביקורת בארכיון זה</w:t>
      </w:r>
      <w:r w:rsidR="00F17AD1">
        <w:rPr>
          <w:rFonts w:hint="cs"/>
          <w:rtl/>
        </w:rPr>
        <w:t xml:space="preserve"> באוקטובר 2018</w:t>
      </w:r>
      <w:r w:rsidR="003B6DD4">
        <w:rPr>
          <w:rFonts w:hint="cs"/>
          <w:rtl/>
        </w:rPr>
        <w:t xml:space="preserve"> נמסר </w:t>
      </w:r>
      <w:r w:rsidR="00F17AD1">
        <w:rPr>
          <w:rFonts w:hint="cs"/>
          <w:rtl/>
        </w:rPr>
        <w:t xml:space="preserve">לו </w:t>
      </w:r>
      <w:r w:rsidR="003B6DD4">
        <w:rPr>
          <w:rFonts w:hint="cs"/>
          <w:rtl/>
        </w:rPr>
        <w:t xml:space="preserve">כי </w:t>
      </w:r>
      <w:r w:rsidR="00F7737D">
        <w:rPr>
          <w:rFonts w:hint="cs"/>
          <w:rtl/>
        </w:rPr>
        <w:t xml:space="preserve">אוניברסיטת בן-גוריון </w:t>
      </w:r>
      <w:r w:rsidR="000D70C6">
        <w:rPr>
          <w:rFonts w:hint="cs"/>
          <w:rtl/>
        </w:rPr>
        <w:t>היא שדואגת ל</w:t>
      </w:r>
      <w:r w:rsidR="00F7737D">
        <w:rPr>
          <w:rFonts w:hint="cs"/>
          <w:rtl/>
        </w:rPr>
        <w:t>אבטחת הארכיון.</w:t>
      </w:r>
      <w:r>
        <w:rPr>
          <w:rFonts w:hint="cs"/>
          <w:rtl/>
        </w:rPr>
        <w:t xml:space="preserve"> </w:t>
      </w:r>
    </w:p>
    <w:p w:rsidR="00A73687" w:rsidP="00FF6AB4" w14:paraId="3AB5A425" w14:textId="77777777">
      <w:pPr>
        <w:pStyle w:val="a"/>
        <w:spacing w:line="269" w:lineRule="auto"/>
        <w:rPr>
          <w:rtl/>
        </w:rPr>
      </w:pPr>
    </w:p>
    <w:p w:rsidR="004A37F5" w:rsidP="00FF6AB4" w14:paraId="6566E0B4" w14:textId="77777777">
      <w:pPr>
        <w:spacing w:line="269" w:lineRule="auto"/>
        <w:rPr>
          <w:rtl/>
        </w:rPr>
      </w:pPr>
      <w:r>
        <w:rPr>
          <w:rFonts w:hint="cs"/>
          <w:rtl/>
        </w:rPr>
        <w:t>ב</w:t>
      </w:r>
      <w:r w:rsidR="00ED51AD">
        <w:rPr>
          <w:rFonts w:hint="cs"/>
          <w:rtl/>
        </w:rPr>
        <w:t>ינואר 2019</w:t>
      </w:r>
      <w:r>
        <w:rPr>
          <w:rFonts w:hint="cs"/>
          <w:rtl/>
        </w:rPr>
        <w:t xml:space="preserve"> כתבה היועצת המשפטית של אוניברסיטת בן-גוריון כי עד כה פעלה האוניברסיטה </w:t>
      </w:r>
      <w:r w:rsidR="003A71C1">
        <w:rPr>
          <w:rFonts w:hint="cs"/>
          <w:rtl/>
        </w:rPr>
        <w:t>בנוגע</w:t>
      </w:r>
      <w:r>
        <w:rPr>
          <w:rFonts w:hint="cs"/>
          <w:rtl/>
        </w:rPr>
        <w:t xml:space="preserve"> לארכיון על פי הנחיות ארכיון צה"ל; כי אנשי ארכיון צה"ל אישרו את </w:t>
      </w:r>
      <w:r w:rsidR="00F1133A">
        <w:rPr>
          <w:rFonts w:hint="cs"/>
          <w:rtl/>
        </w:rPr>
        <w:t>אופן השמירה של</w:t>
      </w:r>
      <w:r>
        <w:rPr>
          <w:rFonts w:hint="cs"/>
          <w:rtl/>
        </w:rPr>
        <w:t xml:space="preserve"> החומרים המסווג</w:t>
      </w:r>
      <w:r>
        <w:rPr>
          <w:rFonts w:hint="cs"/>
          <w:rtl/>
        </w:rPr>
        <w:t>ים; וכי לא קיימים נהלים כתובים</w:t>
      </w:r>
      <w:r w:rsidRPr="00277C07" w:rsidR="00277C07">
        <w:rPr>
          <w:rFonts w:hint="cs"/>
          <w:rtl/>
        </w:rPr>
        <w:t xml:space="preserve"> </w:t>
      </w:r>
      <w:r w:rsidRPr="00F93E87" w:rsidR="00277C07">
        <w:rPr>
          <w:rFonts w:hint="cs"/>
          <w:rtl/>
        </w:rPr>
        <w:t>בנוגע לאופן שמירת החומרים המסווגים</w:t>
      </w:r>
      <w:r>
        <w:rPr>
          <w:rFonts w:hint="cs"/>
          <w:rtl/>
        </w:rPr>
        <w:t>.</w:t>
      </w:r>
      <w:r w:rsidR="00A003E4">
        <w:rPr>
          <w:rFonts w:hint="cs"/>
          <w:rtl/>
        </w:rPr>
        <w:t xml:space="preserve"> </w:t>
      </w:r>
      <w:r w:rsidR="00F1133A">
        <w:rPr>
          <w:rFonts w:hint="cs"/>
          <w:rtl/>
        </w:rPr>
        <w:t xml:space="preserve">בתגובתו </w:t>
      </w:r>
      <w:r w:rsidR="00A003E4">
        <w:rPr>
          <w:rFonts w:hint="cs"/>
          <w:rtl/>
        </w:rPr>
        <w:t xml:space="preserve">מיולי 2019 </w:t>
      </w:r>
      <w:r w:rsidR="00F1133A">
        <w:rPr>
          <w:rFonts w:hint="cs"/>
          <w:rtl/>
        </w:rPr>
        <w:t xml:space="preserve">על </w:t>
      </w:r>
      <w:r w:rsidR="00A003E4">
        <w:rPr>
          <w:rFonts w:hint="cs"/>
          <w:rtl/>
        </w:rPr>
        <w:t>טיוטת</w:t>
      </w:r>
      <w:r w:rsidR="00087E50">
        <w:rPr>
          <w:rFonts w:hint="cs"/>
          <w:rtl/>
        </w:rPr>
        <w:t xml:space="preserve"> </w:t>
      </w:r>
      <w:r w:rsidR="00086E3E">
        <w:rPr>
          <w:rFonts w:hint="cs"/>
          <w:rtl/>
        </w:rPr>
        <w:t>דוח</w:t>
      </w:r>
      <w:r w:rsidR="00087E50">
        <w:rPr>
          <w:rFonts w:hint="cs"/>
          <w:rtl/>
        </w:rPr>
        <w:t xml:space="preserve"> הביקורת</w:t>
      </w:r>
      <w:r w:rsidR="00086E3E">
        <w:rPr>
          <w:rFonts w:hint="cs"/>
          <w:rtl/>
        </w:rPr>
        <w:t xml:space="preserve"> הבהיר ארכיון צה"ל כי הוא אינו קשור כלל לנושא</w:t>
      </w:r>
      <w:r w:rsidR="00F1133A">
        <w:rPr>
          <w:rFonts w:hint="cs"/>
          <w:rtl/>
        </w:rPr>
        <w:t>,</w:t>
      </w:r>
      <w:r w:rsidR="004F747C">
        <w:rPr>
          <w:rFonts w:hint="cs"/>
          <w:rtl/>
        </w:rPr>
        <w:t xml:space="preserve"> וכי </w:t>
      </w:r>
      <w:r w:rsidR="00E85B4F">
        <w:rPr>
          <w:rFonts w:hint="cs"/>
          <w:rtl/>
        </w:rPr>
        <w:t xml:space="preserve">ככל הנראה </w:t>
      </w:r>
      <w:r w:rsidR="004F747C">
        <w:rPr>
          <w:rFonts w:hint="cs"/>
          <w:rtl/>
        </w:rPr>
        <w:t xml:space="preserve">הכוונה היא לאנשי </w:t>
      </w:r>
      <w:r w:rsidR="00671D51">
        <w:rPr>
          <w:rFonts w:hint="cs"/>
          <w:rtl/>
        </w:rPr>
        <w:t>המלמ</w:t>
      </w:r>
      <w:r w:rsidR="00671D51">
        <w:rPr>
          <w:rtl/>
        </w:rPr>
        <w:t>"</w:t>
      </w:r>
      <w:r w:rsidR="00671D51">
        <w:rPr>
          <w:rFonts w:hint="cs"/>
          <w:rtl/>
        </w:rPr>
        <w:t>ב</w:t>
      </w:r>
      <w:r w:rsidR="00086E3E">
        <w:rPr>
          <w:rFonts w:hint="cs"/>
          <w:rtl/>
        </w:rPr>
        <w:t>.</w:t>
      </w:r>
    </w:p>
    <w:p w:rsidR="00A73687" w:rsidP="00FF6AB4" w14:paraId="36C73B3F" w14:textId="77777777">
      <w:pPr>
        <w:pStyle w:val="a"/>
        <w:spacing w:line="269" w:lineRule="auto"/>
        <w:rPr>
          <w:rtl/>
        </w:rPr>
      </w:pPr>
    </w:p>
    <w:p w:rsidR="003503A3" w:rsidP="00FF6AB4" w14:paraId="1438C245" w14:textId="77777777">
      <w:pPr>
        <w:spacing w:line="269" w:lineRule="auto"/>
        <w:rPr>
          <w:b/>
          <w:bCs/>
          <w:rtl/>
        </w:rPr>
      </w:pPr>
      <w:r w:rsidRPr="002112C9">
        <w:rPr>
          <w:rFonts w:hint="cs"/>
          <w:b/>
          <w:bCs/>
          <w:rtl/>
        </w:rPr>
        <w:t xml:space="preserve">משרד מבקר המדינה מעיר לגנז </w:t>
      </w:r>
      <w:r>
        <w:rPr>
          <w:rFonts w:hint="cs"/>
          <w:b/>
          <w:bCs/>
          <w:rtl/>
        </w:rPr>
        <w:t>כי אף ש</w:t>
      </w:r>
      <w:r w:rsidRPr="002112C9">
        <w:rPr>
          <w:rFonts w:hint="cs"/>
          <w:b/>
          <w:bCs/>
          <w:rtl/>
        </w:rPr>
        <w:t>ארכיו</w:t>
      </w:r>
      <w:r>
        <w:rPr>
          <w:rFonts w:hint="cs"/>
          <w:b/>
          <w:bCs/>
          <w:rtl/>
        </w:rPr>
        <w:t xml:space="preserve">ן מרכז רבין, ארכיון בגין וארכיון </w:t>
      </w:r>
      <w:r w:rsidR="002F742A">
        <w:rPr>
          <w:b/>
          <w:bCs/>
          <w:rtl/>
        </w:rPr>
        <w:br/>
      </w:r>
      <w:r>
        <w:rPr>
          <w:rFonts w:hint="cs"/>
          <w:b/>
          <w:bCs/>
          <w:rtl/>
        </w:rPr>
        <w:t>בן-גוריון</w:t>
      </w:r>
      <w:r w:rsidRPr="002112C9">
        <w:rPr>
          <w:rFonts w:hint="cs"/>
          <w:b/>
          <w:bCs/>
          <w:rtl/>
        </w:rPr>
        <w:t xml:space="preserve"> </w:t>
      </w:r>
      <w:r>
        <w:rPr>
          <w:rFonts w:hint="cs"/>
          <w:b/>
          <w:bCs/>
          <w:rtl/>
        </w:rPr>
        <w:t>מוגדרים בחקיקה</w:t>
      </w:r>
      <w:r w:rsidRPr="002112C9">
        <w:rPr>
          <w:rFonts w:hint="cs"/>
          <w:b/>
          <w:bCs/>
          <w:rtl/>
        </w:rPr>
        <w:t xml:space="preserve"> חלק מארכיון המדינה</w:t>
      </w:r>
      <w:r w:rsidRPr="005911ED">
        <w:rPr>
          <w:rFonts w:hint="cs"/>
          <w:b/>
          <w:bCs/>
          <w:rtl/>
        </w:rPr>
        <w:t xml:space="preserve">, </w:t>
      </w:r>
      <w:r w:rsidR="00F1133A">
        <w:rPr>
          <w:rFonts w:hint="cs"/>
          <w:b/>
          <w:bCs/>
          <w:rtl/>
        </w:rPr>
        <w:t xml:space="preserve">הוא </w:t>
      </w:r>
      <w:r w:rsidR="005911ED">
        <w:rPr>
          <w:rFonts w:hint="cs"/>
          <w:b/>
          <w:bCs/>
          <w:rtl/>
        </w:rPr>
        <w:t xml:space="preserve">לא </w:t>
      </w:r>
      <w:r w:rsidRPr="002112C9">
        <w:rPr>
          <w:rFonts w:hint="cs"/>
          <w:b/>
          <w:bCs/>
          <w:rtl/>
        </w:rPr>
        <w:t xml:space="preserve">העלה </w:t>
      </w:r>
      <w:r>
        <w:rPr>
          <w:rFonts w:hint="cs"/>
          <w:b/>
          <w:bCs/>
          <w:rtl/>
        </w:rPr>
        <w:t>את סוגיית אבטחת המידע בארכיונים אלו</w:t>
      </w:r>
      <w:r w:rsidRPr="002112C9">
        <w:rPr>
          <w:rFonts w:hint="cs"/>
          <w:b/>
          <w:bCs/>
          <w:rtl/>
        </w:rPr>
        <w:t xml:space="preserve"> ל</w:t>
      </w:r>
      <w:r w:rsidR="00DB22E2">
        <w:rPr>
          <w:rFonts w:hint="cs"/>
          <w:b/>
          <w:bCs/>
          <w:rtl/>
        </w:rPr>
        <w:t>פני ה</w:t>
      </w:r>
      <w:r w:rsidRPr="002112C9">
        <w:rPr>
          <w:rFonts w:hint="cs"/>
          <w:b/>
          <w:bCs/>
          <w:rtl/>
        </w:rPr>
        <w:t>גורמים הרלוונטיים כדי שהללו יטפלו בכך.</w:t>
      </w:r>
      <w:r w:rsidR="002421A6">
        <w:rPr>
          <w:rFonts w:hint="cs"/>
          <w:b/>
          <w:bCs/>
          <w:rtl/>
        </w:rPr>
        <w:t xml:space="preserve"> </w:t>
      </w:r>
      <w:r w:rsidR="00D06C64">
        <w:rPr>
          <w:rFonts w:hint="cs"/>
          <w:b/>
          <w:bCs/>
          <w:rtl/>
        </w:rPr>
        <w:t>במצב זה קיים</w:t>
      </w:r>
      <w:r w:rsidR="002A2A4D">
        <w:rPr>
          <w:rFonts w:hint="cs"/>
          <w:b/>
          <w:bCs/>
          <w:rtl/>
        </w:rPr>
        <w:t xml:space="preserve"> סיכון</w:t>
      </w:r>
      <w:r w:rsidR="002421A6">
        <w:rPr>
          <w:rFonts w:hint="cs"/>
          <w:b/>
          <w:bCs/>
          <w:rtl/>
        </w:rPr>
        <w:t xml:space="preserve"> שמידע מסווג ה</w:t>
      </w:r>
      <w:r w:rsidR="00A37CB8">
        <w:rPr>
          <w:rFonts w:hint="cs"/>
          <w:b/>
          <w:bCs/>
          <w:rtl/>
        </w:rPr>
        <w:t>מצוי</w:t>
      </w:r>
      <w:r w:rsidR="002421A6">
        <w:rPr>
          <w:rFonts w:hint="cs"/>
          <w:b/>
          <w:bCs/>
          <w:rtl/>
        </w:rPr>
        <w:t xml:space="preserve"> בהם ייחשף לגורמים שאינם מוסמכים, ואף לגורמים עוינים.</w:t>
      </w:r>
    </w:p>
    <w:p w:rsidR="00A73687" w:rsidP="00FF6AB4" w14:paraId="6081977F" w14:textId="77777777">
      <w:pPr>
        <w:pStyle w:val="a"/>
        <w:spacing w:line="269" w:lineRule="auto"/>
        <w:rPr>
          <w:rtl/>
        </w:rPr>
      </w:pPr>
    </w:p>
    <w:p w:rsidR="003503A3" w:rsidP="00FF6AB4" w14:paraId="669DD972" w14:textId="77777777">
      <w:pPr>
        <w:spacing w:line="269" w:lineRule="auto"/>
        <w:rPr>
          <w:rtl/>
        </w:rPr>
      </w:pPr>
      <w:r>
        <w:rPr>
          <w:rFonts w:hint="cs"/>
          <w:rtl/>
        </w:rPr>
        <w:t>בתגובתו</w:t>
      </w:r>
      <w:r w:rsidRPr="00B17B27">
        <w:rPr>
          <w:rFonts w:hint="cs"/>
          <w:rtl/>
        </w:rPr>
        <w:t xml:space="preserve"> </w:t>
      </w:r>
      <w:r w:rsidR="00876584">
        <w:rPr>
          <w:rFonts w:hint="cs"/>
          <w:rtl/>
        </w:rPr>
        <w:t xml:space="preserve">מיולי 2019 </w:t>
      </w:r>
      <w:r>
        <w:rPr>
          <w:rFonts w:hint="cs"/>
          <w:rtl/>
        </w:rPr>
        <w:t>ע</w:t>
      </w:r>
      <w:r w:rsidR="00C372DD">
        <w:rPr>
          <w:rFonts w:hint="cs"/>
          <w:rtl/>
        </w:rPr>
        <w:t>ל</w:t>
      </w:r>
      <w:r>
        <w:rPr>
          <w:rFonts w:hint="cs"/>
          <w:rtl/>
        </w:rPr>
        <w:t xml:space="preserve"> </w:t>
      </w:r>
      <w:r w:rsidR="00C372DD">
        <w:rPr>
          <w:rFonts w:hint="cs"/>
          <w:rtl/>
        </w:rPr>
        <w:t xml:space="preserve">טיוטת דוח הביקורת </w:t>
      </w:r>
      <w:r w:rsidR="004608B2">
        <w:rPr>
          <w:rFonts w:hint="cs"/>
          <w:rtl/>
        </w:rPr>
        <w:t>מסר משרד רה"ם בשם ארכיון המדינה</w:t>
      </w:r>
      <w:r w:rsidR="00B03FF6">
        <w:rPr>
          <w:rFonts w:hint="cs"/>
          <w:rtl/>
        </w:rPr>
        <w:t xml:space="preserve"> כי טרם מונה גנז חדש</w:t>
      </w:r>
      <w:r>
        <w:rPr>
          <w:rStyle w:val="FootnoteReference"/>
          <w:rtl/>
        </w:rPr>
        <w:footnoteReference w:id="16"/>
      </w:r>
      <w:r w:rsidR="00B03FF6">
        <w:rPr>
          <w:rFonts w:hint="cs"/>
          <w:rtl/>
        </w:rPr>
        <w:t xml:space="preserve">, וכשיתמנה - יהיה זה אחד הנושאים </w:t>
      </w:r>
      <w:r>
        <w:rPr>
          <w:rFonts w:hint="cs"/>
          <w:rtl/>
        </w:rPr>
        <w:t>ש</w:t>
      </w:r>
      <w:r w:rsidR="00B03FF6">
        <w:rPr>
          <w:rFonts w:hint="cs"/>
          <w:rtl/>
        </w:rPr>
        <w:t>בהם יידרש לטפל.</w:t>
      </w:r>
    </w:p>
    <w:p w:rsidR="00A73687" w:rsidP="00FF6AB4" w14:paraId="50ABE359" w14:textId="77777777">
      <w:pPr>
        <w:pStyle w:val="a"/>
        <w:spacing w:line="269" w:lineRule="auto"/>
        <w:rPr>
          <w:rtl/>
        </w:rPr>
      </w:pPr>
    </w:p>
    <w:p w:rsidR="004608B2" w:rsidRPr="008E1BB4" w:rsidP="00FF6AB4" w14:paraId="6D3DAD9D" w14:textId="77777777">
      <w:pPr>
        <w:spacing w:line="269" w:lineRule="auto"/>
        <w:rPr>
          <w:rtl/>
        </w:rPr>
      </w:pPr>
      <w:r>
        <w:rPr>
          <w:rFonts w:hint="cs"/>
          <w:rtl/>
        </w:rPr>
        <w:t>בתגובתו</w:t>
      </w:r>
      <w:r w:rsidRPr="00B17B27">
        <w:rPr>
          <w:rFonts w:hint="cs"/>
          <w:rtl/>
        </w:rPr>
        <w:t xml:space="preserve"> </w:t>
      </w:r>
      <w:r w:rsidR="00876584">
        <w:rPr>
          <w:rFonts w:hint="cs"/>
          <w:rtl/>
        </w:rPr>
        <w:t xml:space="preserve">מיולי 2019 </w:t>
      </w:r>
      <w:r>
        <w:rPr>
          <w:rFonts w:hint="cs"/>
          <w:rtl/>
        </w:rPr>
        <w:t xml:space="preserve">על </w:t>
      </w:r>
      <w:r w:rsidRPr="008E1BB4" w:rsidR="00B03FF6">
        <w:rPr>
          <w:rFonts w:hint="cs"/>
          <w:rtl/>
        </w:rPr>
        <w:t>טיוטת דוח הביקורת מסר המשרד לביטחון הפנים כי הוא "רואה חשיבות רבה להסדרת נושא השמירה על חומרים ארכיונים מסווגים לצורך הבטחת השמירה על ביטחון מדינת ישראל וסודותיה</w:t>
      </w:r>
      <w:r>
        <w:rPr>
          <w:rFonts w:hint="cs"/>
          <w:rtl/>
        </w:rPr>
        <w:t>"</w:t>
      </w:r>
      <w:r w:rsidRPr="008E1BB4" w:rsidR="00B03FF6">
        <w:rPr>
          <w:rFonts w:hint="cs"/>
          <w:rtl/>
        </w:rPr>
        <w:t xml:space="preserve">. </w:t>
      </w:r>
      <w:r w:rsidR="001A5BCB">
        <w:rPr>
          <w:rFonts w:hint="cs"/>
          <w:rtl/>
        </w:rPr>
        <w:t xml:space="preserve">המשרד לביטחון הפנים הוסיף כי </w:t>
      </w:r>
      <w:r>
        <w:rPr>
          <w:rFonts w:hint="cs"/>
          <w:rtl/>
        </w:rPr>
        <w:t>"</w:t>
      </w:r>
      <w:r w:rsidRPr="008E1BB4" w:rsidR="00B03FF6">
        <w:rPr>
          <w:rFonts w:hint="cs"/>
          <w:rtl/>
        </w:rPr>
        <w:t>לאור האמור, המלצות אלו מקובלות עלינו".</w:t>
      </w:r>
    </w:p>
    <w:p w:rsidR="00A73687" w:rsidP="00FF6AB4" w14:paraId="723A4988" w14:textId="77777777">
      <w:pPr>
        <w:pStyle w:val="a"/>
        <w:spacing w:line="269" w:lineRule="auto"/>
        <w:rPr>
          <w:rtl/>
        </w:rPr>
      </w:pPr>
    </w:p>
    <w:p w:rsidR="00850BDC" w:rsidRPr="00F05779" w:rsidP="00FF6AB4" w14:paraId="4123DD05" w14:textId="77777777">
      <w:pPr>
        <w:spacing w:line="269" w:lineRule="auto"/>
        <w:rPr>
          <w:rtl/>
        </w:rPr>
      </w:pPr>
      <w:r>
        <w:rPr>
          <w:rFonts w:hint="cs"/>
          <w:rtl/>
        </w:rPr>
        <w:t>בתגובתו</w:t>
      </w:r>
      <w:r w:rsidRPr="00B17B27">
        <w:rPr>
          <w:rFonts w:hint="cs"/>
          <w:rtl/>
        </w:rPr>
        <w:t xml:space="preserve"> </w:t>
      </w:r>
      <w:r w:rsidR="007847F9">
        <w:rPr>
          <w:rFonts w:hint="cs"/>
          <w:rtl/>
        </w:rPr>
        <w:t xml:space="preserve">מיוני 2019 </w:t>
      </w:r>
      <w:r>
        <w:rPr>
          <w:rFonts w:hint="cs"/>
          <w:rtl/>
        </w:rPr>
        <w:t>על</w:t>
      </w:r>
      <w:r w:rsidR="007D1E99">
        <w:rPr>
          <w:rFonts w:hint="cs"/>
          <w:rtl/>
        </w:rPr>
        <w:t xml:space="preserve"> </w:t>
      </w:r>
      <w:r w:rsidRPr="00F05779" w:rsidR="00B03FF6">
        <w:rPr>
          <w:rFonts w:hint="cs"/>
          <w:rtl/>
        </w:rPr>
        <w:t>טיוטת דוח הביקורת מסר משרד המשפטים כי הוא "איננו הממונה על תחום הארכיונים או על תחום אבטחת המידע ואינו עוסק בליווי משפטי ישיר וצמוד של הפעילות השוטפת בתחומים אלו. תפקיד מחלקת ייעוץ וחקיקה, בשם היועץ המשפטי לממשלה, הוא לסייע בייעוץ משפטי ובליווי חקיקה כשמתעוררות שאלות משפטיות מורכבות, רגישות, או רוחביות, במסגרת הפעילות של אותם הגופים</w:t>
      </w:r>
      <w:r w:rsidR="002F742A">
        <w:rPr>
          <w:rFonts w:hint="cs"/>
          <w:rtl/>
        </w:rPr>
        <w:t>"</w:t>
      </w:r>
      <w:r w:rsidRPr="00F05779" w:rsidR="00B03FF6">
        <w:rPr>
          <w:rFonts w:hint="cs"/>
          <w:rtl/>
        </w:rPr>
        <w:t>.</w:t>
      </w:r>
    </w:p>
    <w:p w:rsidR="00FF6AB4" w:rsidP="00EE3D36" w14:paraId="17E2D0FA" w14:textId="77777777">
      <w:pPr>
        <w:pStyle w:val="a"/>
        <w:rPr>
          <w:rtl/>
        </w:rPr>
      </w:pPr>
    </w:p>
    <w:p w:rsidR="00697BBA" w:rsidP="00FF6AB4" w14:paraId="7377B739" w14:textId="77777777">
      <w:pPr>
        <w:spacing w:line="269" w:lineRule="auto"/>
        <w:rPr>
          <w:rtl/>
        </w:rPr>
      </w:pPr>
      <w:r w:rsidRPr="004B65D8">
        <w:rPr>
          <w:rFonts w:hint="cs"/>
          <w:b/>
          <w:bCs/>
          <w:rtl/>
        </w:rPr>
        <w:t>מאחר שמדובר</w:t>
      </w:r>
      <w:r w:rsidRPr="004B65D8" w:rsidR="00721D0E">
        <w:rPr>
          <w:rFonts w:hint="cs"/>
          <w:b/>
          <w:bCs/>
          <w:rtl/>
        </w:rPr>
        <w:t xml:space="preserve"> בסוגיה</w:t>
      </w:r>
      <w:r w:rsidRPr="009E6C00">
        <w:rPr>
          <w:rFonts w:hint="cs"/>
          <w:b/>
          <w:bCs/>
          <w:rtl/>
        </w:rPr>
        <w:t xml:space="preserve"> משפטית</w:t>
      </w:r>
      <w:r w:rsidRPr="00D97AD6" w:rsidR="00721D0E">
        <w:rPr>
          <w:rFonts w:hint="cs"/>
          <w:b/>
          <w:bCs/>
          <w:rtl/>
        </w:rPr>
        <w:t xml:space="preserve"> מורכבת</w:t>
      </w:r>
      <w:r w:rsidRPr="00D97AD6">
        <w:rPr>
          <w:rFonts w:hint="cs"/>
          <w:b/>
          <w:bCs/>
          <w:rtl/>
        </w:rPr>
        <w:t xml:space="preserve"> ושנויה במחלוקת,</w:t>
      </w:r>
      <w:r w:rsidRPr="00D97AD6" w:rsidR="00B03FF6">
        <w:rPr>
          <w:rFonts w:hint="cs"/>
          <w:b/>
          <w:bCs/>
          <w:rtl/>
        </w:rPr>
        <w:t xml:space="preserve"> </w:t>
      </w:r>
      <w:r w:rsidRPr="00CE0475" w:rsidR="00403549">
        <w:rPr>
          <w:rFonts w:hint="cs"/>
          <w:b/>
          <w:bCs/>
          <w:rtl/>
        </w:rPr>
        <w:t xml:space="preserve">על הגנז </w:t>
      </w:r>
      <w:r w:rsidRPr="004B65D8" w:rsidR="00403549">
        <w:rPr>
          <w:rFonts w:hint="cs"/>
          <w:b/>
          <w:bCs/>
          <w:rtl/>
        </w:rPr>
        <w:t xml:space="preserve">לפנות </w:t>
      </w:r>
      <w:r w:rsidRPr="00D97AD6" w:rsidR="00504FE5">
        <w:rPr>
          <w:rFonts w:hint="cs"/>
          <w:b/>
          <w:bCs/>
          <w:rtl/>
        </w:rPr>
        <w:t>ל</w:t>
      </w:r>
      <w:r w:rsidRPr="00CE33FC">
        <w:rPr>
          <w:rFonts w:hint="cs"/>
          <w:b/>
          <w:bCs/>
          <w:rtl/>
        </w:rPr>
        <w:t xml:space="preserve">יועץ המשפטי </w:t>
      </w:r>
      <w:r w:rsidRPr="004B65D8">
        <w:rPr>
          <w:rFonts w:hint="cs"/>
          <w:b/>
          <w:bCs/>
          <w:rtl/>
        </w:rPr>
        <w:t xml:space="preserve">לממשלה </w:t>
      </w:r>
      <w:r w:rsidRPr="004B65D8" w:rsidR="00504FE5">
        <w:rPr>
          <w:rFonts w:hint="cs"/>
          <w:b/>
          <w:bCs/>
          <w:rtl/>
        </w:rPr>
        <w:t>על מנת שי</w:t>
      </w:r>
      <w:r w:rsidRPr="004B65D8">
        <w:rPr>
          <w:rFonts w:hint="cs"/>
          <w:b/>
          <w:bCs/>
          <w:rtl/>
        </w:rPr>
        <w:t>כריע</w:t>
      </w:r>
      <w:r w:rsidR="004A37F5">
        <w:rPr>
          <w:rFonts w:hint="cs"/>
          <w:b/>
          <w:bCs/>
          <w:rtl/>
        </w:rPr>
        <w:t xml:space="preserve"> בשאלה אם החוק להסדרת הביטחון חל על </w:t>
      </w:r>
      <w:r w:rsidR="003A7D9F">
        <w:rPr>
          <w:rFonts w:hint="cs"/>
          <w:b/>
          <w:bCs/>
          <w:rtl/>
        </w:rPr>
        <w:t>"</w:t>
      </w:r>
      <w:r w:rsidR="00DB22E2">
        <w:rPr>
          <w:rFonts w:hint="cs"/>
          <w:b/>
          <w:bCs/>
          <w:rtl/>
        </w:rPr>
        <w:t>ה</w:t>
      </w:r>
      <w:r w:rsidR="004A37F5">
        <w:rPr>
          <w:rFonts w:hint="cs"/>
          <w:b/>
          <w:bCs/>
          <w:rtl/>
        </w:rPr>
        <w:t>ארכיונים המהווים חלק מארכיון המדינה</w:t>
      </w:r>
      <w:r w:rsidR="003A7D9F">
        <w:rPr>
          <w:rFonts w:hint="cs"/>
          <w:b/>
          <w:bCs/>
          <w:rtl/>
        </w:rPr>
        <w:t>"</w:t>
      </w:r>
      <w:r w:rsidR="00DB22E2">
        <w:rPr>
          <w:rFonts w:hint="cs"/>
          <w:b/>
          <w:bCs/>
          <w:rtl/>
        </w:rPr>
        <w:t>,</w:t>
      </w:r>
      <w:r w:rsidR="004A37F5">
        <w:rPr>
          <w:rFonts w:hint="cs"/>
          <w:b/>
          <w:bCs/>
          <w:rtl/>
        </w:rPr>
        <w:t xml:space="preserve"> וזאת</w:t>
      </w:r>
      <w:r>
        <w:rPr>
          <w:rFonts w:hint="cs"/>
          <w:b/>
          <w:bCs/>
          <w:rtl/>
        </w:rPr>
        <w:t xml:space="preserve"> </w:t>
      </w:r>
      <w:r w:rsidR="004A37F5">
        <w:rPr>
          <w:rFonts w:hint="cs"/>
          <w:b/>
          <w:bCs/>
          <w:rtl/>
        </w:rPr>
        <w:t>מכוח תחולת החוק על משרד רה"ם ו</w:t>
      </w:r>
      <w:r w:rsidR="00DB22E2">
        <w:rPr>
          <w:rFonts w:hint="cs"/>
          <w:b/>
          <w:bCs/>
          <w:rtl/>
        </w:rPr>
        <w:t>כדי להגשים את</w:t>
      </w:r>
      <w:r w:rsidR="004A37F5">
        <w:rPr>
          <w:rFonts w:hint="cs"/>
          <w:b/>
          <w:bCs/>
          <w:rtl/>
        </w:rPr>
        <w:t xml:space="preserve"> תכליתו </w:t>
      </w:r>
      <w:r w:rsidR="00DB22E2">
        <w:rPr>
          <w:rFonts w:hint="cs"/>
          <w:b/>
          <w:bCs/>
          <w:rtl/>
        </w:rPr>
        <w:t>-</w:t>
      </w:r>
      <w:r w:rsidR="004A37F5">
        <w:rPr>
          <w:rFonts w:hint="cs"/>
          <w:b/>
          <w:bCs/>
          <w:rtl/>
        </w:rPr>
        <w:t xml:space="preserve"> שמירה על מיד</w:t>
      </w:r>
      <w:r w:rsidR="00DB22E2">
        <w:rPr>
          <w:rFonts w:hint="cs"/>
          <w:b/>
          <w:bCs/>
          <w:rtl/>
        </w:rPr>
        <w:t>ע מסווג בגופים הכפופים לחוק. לח</w:t>
      </w:r>
      <w:r w:rsidR="004A37F5">
        <w:rPr>
          <w:rFonts w:hint="cs"/>
          <w:b/>
          <w:bCs/>
          <w:rtl/>
        </w:rPr>
        <w:t xml:space="preserve">לופין </w:t>
      </w:r>
      <w:r>
        <w:rPr>
          <w:rFonts w:hint="cs"/>
          <w:b/>
          <w:bCs/>
          <w:rtl/>
        </w:rPr>
        <w:t xml:space="preserve">עליו </w:t>
      </w:r>
      <w:r w:rsidRPr="002112C9" w:rsidR="004A37F5">
        <w:rPr>
          <w:rFonts w:hint="cs"/>
          <w:b/>
          <w:bCs/>
          <w:rtl/>
        </w:rPr>
        <w:t>לבחון כיצד נכון להסדיר את נושא אבטחת המידע בארכיונים המהווים חלק מארכיון המדינה.</w:t>
      </w:r>
      <w:r w:rsidR="004A37F5">
        <w:rPr>
          <w:rFonts w:hint="cs"/>
          <w:b/>
          <w:bCs/>
          <w:rtl/>
        </w:rPr>
        <w:t xml:space="preserve"> זאת כדי להבטיח שחומרים מסווגים המצויים אצלם יאובטחו כראוי</w:t>
      </w:r>
      <w:r w:rsidR="00111C39">
        <w:rPr>
          <w:rFonts w:hint="cs"/>
          <w:b/>
          <w:bCs/>
          <w:rtl/>
        </w:rPr>
        <w:t>,</w:t>
      </w:r>
      <w:r w:rsidR="004A37F5">
        <w:rPr>
          <w:rFonts w:hint="cs"/>
          <w:b/>
          <w:bCs/>
          <w:rtl/>
        </w:rPr>
        <w:t xml:space="preserve"> ושגורמי הארכיון החשופים אליהם יהיו בעלי סיווג מתאים.</w:t>
      </w:r>
    </w:p>
    <w:p w:rsidR="00A73687" w:rsidP="00FF6AB4" w14:paraId="52BCEC95" w14:textId="77777777">
      <w:pPr>
        <w:pStyle w:val="a"/>
        <w:spacing w:line="269" w:lineRule="auto"/>
        <w:rPr>
          <w:rtl/>
        </w:rPr>
      </w:pPr>
    </w:p>
    <w:p w:rsidR="00EE3D36" w:rsidRPr="00EE3D36" w:rsidP="00EE3D36" w14:paraId="34CCF91B" w14:textId="77777777">
      <w:pPr>
        <w:pStyle w:val="a"/>
        <w:rPr>
          <w:rtl/>
        </w:rPr>
      </w:pPr>
    </w:p>
    <w:p w:rsidR="004A37F5" w:rsidP="00FF6AB4" w14:paraId="367D46A5" w14:textId="77777777">
      <w:pPr>
        <w:pStyle w:val="Heading3"/>
        <w:spacing w:before="0" w:line="269" w:lineRule="auto"/>
        <w:rPr>
          <w:rtl/>
        </w:rPr>
      </w:pPr>
      <w:r w:rsidRPr="008F22AD">
        <w:rPr>
          <w:rFonts w:hint="cs"/>
          <w:rtl/>
        </w:rPr>
        <w:t>סיווג</w:t>
      </w:r>
      <w:r w:rsidRPr="008F22AD">
        <w:rPr>
          <w:rtl/>
        </w:rPr>
        <w:t xml:space="preserve"> </w:t>
      </w:r>
      <w:r>
        <w:rPr>
          <w:rFonts w:hint="cs"/>
          <w:rtl/>
        </w:rPr>
        <w:t>ביטחוני ל</w:t>
      </w:r>
      <w:r w:rsidRPr="008F22AD">
        <w:rPr>
          <w:rFonts w:hint="cs"/>
          <w:rtl/>
        </w:rPr>
        <w:t>מנהלו</w:t>
      </w:r>
      <w:r w:rsidRPr="008F22AD">
        <w:rPr>
          <w:rtl/>
        </w:rPr>
        <w:t xml:space="preserve"> </w:t>
      </w:r>
      <w:r w:rsidRPr="008F22AD">
        <w:rPr>
          <w:rFonts w:hint="cs"/>
          <w:rtl/>
        </w:rPr>
        <w:t>של</w:t>
      </w:r>
      <w:r w:rsidRPr="008F22AD">
        <w:rPr>
          <w:rtl/>
        </w:rPr>
        <w:t xml:space="preserve"> </w:t>
      </w:r>
      <w:r w:rsidRPr="008F22AD">
        <w:rPr>
          <w:rFonts w:hint="cs"/>
          <w:rtl/>
        </w:rPr>
        <w:t>ארכיון</w:t>
      </w:r>
      <w:r w:rsidRPr="008F22AD">
        <w:rPr>
          <w:rtl/>
        </w:rPr>
        <w:t xml:space="preserve"> </w:t>
      </w:r>
      <w:r w:rsidRPr="008F22AD">
        <w:rPr>
          <w:rFonts w:hint="cs"/>
          <w:rtl/>
        </w:rPr>
        <w:t>בן</w:t>
      </w:r>
      <w:r>
        <w:rPr>
          <w:rFonts w:hint="cs"/>
          <w:rtl/>
        </w:rPr>
        <w:t>-</w:t>
      </w:r>
      <w:r w:rsidRPr="008F22AD">
        <w:rPr>
          <w:rFonts w:hint="cs"/>
          <w:rtl/>
        </w:rPr>
        <w:t>גוריון</w:t>
      </w:r>
    </w:p>
    <w:p w:rsidR="00D230E8" w:rsidRPr="00D230E8" w:rsidP="00FF6AB4" w14:paraId="7F0BE681" w14:textId="77777777">
      <w:pPr>
        <w:pStyle w:val="a"/>
        <w:spacing w:line="269" w:lineRule="auto"/>
        <w:rPr>
          <w:rtl/>
        </w:rPr>
      </w:pPr>
    </w:p>
    <w:p w:rsidR="004A37F5" w:rsidRPr="00A658F3" w:rsidP="00FF6AB4" w14:paraId="0696D668" w14:textId="77777777">
      <w:pPr>
        <w:spacing w:line="269" w:lineRule="auto"/>
        <w:rPr>
          <w:rtl/>
        </w:rPr>
      </w:pPr>
      <w:r>
        <w:rPr>
          <w:rFonts w:hint="cs"/>
          <w:rtl/>
        </w:rPr>
        <w:t>בכללי שב"כ</w:t>
      </w:r>
      <w:r w:rsidR="008B1937">
        <w:rPr>
          <w:rFonts w:hint="cs"/>
          <w:rtl/>
        </w:rPr>
        <w:t xml:space="preserve"> </w:t>
      </w:r>
      <w:r w:rsidR="00D759B9">
        <w:rPr>
          <w:rFonts w:hint="cs"/>
          <w:rtl/>
        </w:rPr>
        <w:t xml:space="preserve">לעניין </w:t>
      </w:r>
      <w:r>
        <w:rPr>
          <w:rFonts w:hint="cs"/>
          <w:rtl/>
        </w:rPr>
        <w:t xml:space="preserve">סיווג ביטחוני והתאמה ביטחונית </w:t>
      </w:r>
      <w:r w:rsidR="00111C39">
        <w:rPr>
          <w:rFonts w:hint="cs"/>
          <w:rtl/>
        </w:rPr>
        <w:t xml:space="preserve">נקבע </w:t>
      </w:r>
      <w:r>
        <w:rPr>
          <w:rFonts w:hint="cs"/>
          <w:rtl/>
        </w:rPr>
        <w:t xml:space="preserve">כי </w:t>
      </w:r>
      <w:r w:rsidR="00111C39">
        <w:rPr>
          <w:rFonts w:hint="cs"/>
          <w:rtl/>
        </w:rPr>
        <w:t xml:space="preserve">מנהל ארכיון בן-גוריון חייב </w:t>
      </w:r>
      <w:r w:rsidR="00D759B9">
        <w:rPr>
          <w:rFonts w:hint="cs"/>
          <w:rtl/>
        </w:rPr>
        <w:t>להיות בעל</w:t>
      </w:r>
      <w:r w:rsidR="00111C39">
        <w:rPr>
          <w:rFonts w:hint="cs"/>
          <w:rtl/>
        </w:rPr>
        <w:t xml:space="preserve"> סיווג</w:t>
      </w:r>
      <w:r>
        <w:rPr>
          <w:rFonts w:hint="cs"/>
          <w:rtl/>
        </w:rPr>
        <w:t xml:space="preserve"> </w:t>
      </w:r>
      <w:r w:rsidR="00111C39">
        <w:rPr>
          <w:rFonts w:hint="cs"/>
          <w:rtl/>
        </w:rPr>
        <w:t>ביטחוני</w:t>
      </w:r>
      <w:r>
        <w:rPr>
          <w:rStyle w:val="FootnoteReference"/>
          <w:rtl/>
        </w:rPr>
        <w:footnoteReference w:id="17"/>
      </w:r>
      <w:r w:rsidRPr="00A658F3">
        <w:rPr>
          <w:rFonts w:hint="cs"/>
          <w:rtl/>
        </w:rPr>
        <w:t xml:space="preserve">. </w:t>
      </w:r>
    </w:p>
    <w:p w:rsidR="00A73687" w:rsidP="00FF6AB4" w14:paraId="63AC0ADA" w14:textId="77777777">
      <w:pPr>
        <w:pStyle w:val="a"/>
        <w:spacing w:line="269" w:lineRule="auto"/>
        <w:rPr>
          <w:rtl/>
        </w:rPr>
      </w:pPr>
    </w:p>
    <w:p w:rsidR="00952999" w:rsidP="00FF6AB4" w14:paraId="5A293A71" w14:textId="77777777">
      <w:pPr>
        <w:spacing w:line="269" w:lineRule="auto"/>
        <w:rPr>
          <w:b/>
          <w:bCs/>
          <w:rtl/>
        </w:rPr>
      </w:pPr>
      <w:r w:rsidRPr="008F22AD">
        <w:rPr>
          <w:rFonts w:hint="cs"/>
          <w:b/>
          <w:bCs/>
          <w:rtl/>
        </w:rPr>
        <w:t>בביקורת</w:t>
      </w:r>
      <w:r w:rsidRPr="008F22AD">
        <w:rPr>
          <w:b/>
          <w:bCs/>
          <w:rtl/>
        </w:rPr>
        <w:t xml:space="preserve"> נמצא כי בניגוד לכללי שב"כ לסיווג </w:t>
      </w:r>
      <w:r>
        <w:rPr>
          <w:rFonts w:hint="cs"/>
          <w:b/>
          <w:bCs/>
          <w:rtl/>
        </w:rPr>
        <w:t>ביטחוני</w:t>
      </w:r>
      <w:r w:rsidRPr="008F22AD">
        <w:rPr>
          <w:b/>
          <w:bCs/>
          <w:rtl/>
        </w:rPr>
        <w:t xml:space="preserve">, </w:t>
      </w:r>
      <w:r w:rsidR="00FB5B27">
        <w:rPr>
          <w:rFonts w:hint="cs"/>
          <w:b/>
          <w:bCs/>
          <w:rtl/>
        </w:rPr>
        <w:t>ל</w:t>
      </w:r>
      <w:r w:rsidRPr="008F22AD">
        <w:rPr>
          <w:b/>
          <w:bCs/>
          <w:rtl/>
        </w:rPr>
        <w:t xml:space="preserve">מנהל ארכיון בן-גוריון </w:t>
      </w:r>
      <w:r w:rsidR="00FB5B27">
        <w:rPr>
          <w:rFonts w:hint="cs"/>
          <w:b/>
          <w:bCs/>
          <w:rtl/>
        </w:rPr>
        <w:t>אין</w:t>
      </w:r>
      <w:r w:rsidRPr="008F22AD">
        <w:rPr>
          <w:b/>
          <w:bCs/>
          <w:rtl/>
        </w:rPr>
        <w:t xml:space="preserve"> סיווג ביטחוני </w:t>
      </w:r>
      <w:r w:rsidRPr="008F22AD">
        <w:rPr>
          <w:rFonts w:hint="cs"/>
          <w:b/>
          <w:bCs/>
          <w:rtl/>
        </w:rPr>
        <w:t>כלשהו</w:t>
      </w:r>
      <w:r w:rsidRPr="008F22AD">
        <w:rPr>
          <w:b/>
          <w:bCs/>
          <w:rtl/>
        </w:rPr>
        <w:t>.</w:t>
      </w:r>
      <w:r w:rsidR="002421A6">
        <w:rPr>
          <w:rFonts w:hint="cs"/>
          <w:b/>
          <w:bCs/>
          <w:rtl/>
        </w:rPr>
        <w:t xml:space="preserve"> </w:t>
      </w:r>
      <w:r w:rsidR="002753A4">
        <w:rPr>
          <w:rFonts w:hint="cs"/>
          <w:b/>
          <w:bCs/>
          <w:rtl/>
        </w:rPr>
        <w:t xml:space="preserve">מנהל ארכיון בן-גוריון </w:t>
      </w:r>
      <w:r w:rsidR="006F4B41">
        <w:rPr>
          <w:rFonts w:hint="cs"/>
          <w:b/>
          <w:bCs/>
          <w:rtl/>
        </w:rPr>
        <w:t>נ</w:t>
      </w:r>
      <w:r w:rsidR="002753A4">
        <w:rPr>
          <w:rFonts w:hint="cs"/>
          <w:b/>
          <w:bCs/>
          <w:rtl/>
        </w:rPr>
        <w:t>חשף</w:t>
      </w:r>
      <w:r w:rsidR="00CE0475">
        <w:rPr>
          <w:rFonts w:hint="cs"/>
          <w:b/>
          <w:bCs/>
          <w:rtl/>
        </w:rPr>
        <w:t xml:space="preserve"> אפוא</w:t>
      </w:r>
      <w:r w:rsidR="002753A4">
        <w:rPr>
          <w:rFonts w:hint="cs"/>
          <w:b/>
          <w:bCs/>
          <w:rtl/>
        </w:rPr>
        <w:t xml:space="preserve"> לחומרים מסווגים </w:t>
      </w:r>
      <w:r w:rsidR="006F4B41">
        <w:rPr>
          <w:rFonts w:hint="cs"/>
          <w:b/>
          <w:bCs/>
          <w:rtl/>
        </w:rPr>
        <w:t xml:space="preserve">ללא שקיבל הכשר </w:t>
      </w:r>
      <w:r w:rsidR="00FB5B27">
        <w:rPr>
          <w:rFonts w:hint="cs"/>
          <w:b/>
          <w:bCs/>
          <w:rtl/>
        </w:rPr>
        <w:t xml:space="preserve">ביטחוני </w:t>
      </w:r>
      <w:r w:rsidR="006F4B41">
        <w:rPr>
          <w:rFonts w:hint="cs"/>
          <w:b/>
          <w:bCs/>
          <w:rtl/>
        </w:rPr>
        <w:t>לכך</w:t>
      </w:r>
      <w:r w:rsidR="002753A4">
        <w:rPr>
          <w:rFonts w:hint="cs"/>
          <w:b/>
          <w:bCs/>
          <w:rtl/>
        </w:rPr>
        <w:t>.</w:t>
      </w:r>
    </w:p>
    <w:p w:rsidR="00A73687" w:rsidP="00FF6AB4" w14:paraId="7AB3D471" w14:textId="77777777">
      <w:pPr>
        <w:pStyle w:val="a"/>
        <w:spacing w:line="269" w:lineRule="auto"/>
        <w:rPr>
          <w:rtl/>
        </w:rPr>
      </w:pPr>
    </w:p>
    <w:p w:rsidR="00231197" w:rsidP="00FF6AB4" w14:paraId="5FE9F99F" w14:textId="77777777">
      <w:pPr>
        <w:spacing w:line="269" w:lineRule="auto"/>
        <w:ind w:left="-2"/>
        <w:rPr>
          <w:b/>
          <w:bCs/>
          <w:rtl/>
        </w:rPr>
      </w:pPr>
      <w:r>
        <w:rPr>
          <w:rFonts w:hint="cs"/>
          <w:rtl/>
        </w:rPr>
        <w:t>בתגובתו</w:t>
      </w:r>
      <w:r w:rsidRPr="00B17B27">
        <w:rPr>
          <w:rFonts w:hint="cs"/>
          <w:rtl/>
        </w:rPr>
        <w:t xml:space="preserve"> </w:t>
      </w:r>
      <w:r w:rsidRPr="00231197" w:rsidR="001563C3">
        <w:rPr>
          <w:rFonts w:hint="cs"/>
          <w:rtl/>
        </w:rPr>
        <w:t xml:space="preserve">מיולי 2019 </w:t>
      </w:r>
      <w:r>
        <w:rPr>
          <w:rFonts w:hint="cs"/>
          <w:rtl/>
        </w:rPr>
        <w:t xml:space="preserve">על </w:t>
      </w:r>
      <w:r w:rsidRPr="00231197" w:rsidR="001563C3">
        <w:rPr>
          <w:rFonts w:hint="cs"/>
          <w:rtl/>
        </w:rPr>
        <w:t>טיוטת דוח</w:t>
      </w:r>
      <w:r w:rsidRPr="00231197" w:rsidR="00B05CF3">
        <w:rPr>
          <w:rFonts w:hint="cs"/>
          <w:rtl/>
        </w:rPr>
        <w:t xml:space="preserve"> הביקורת מסר שב"כ כי </w:t>
      </w:r>
      <w:r>
        <w:rPr>
          <w:rFonts w:hint="cs"/>
          <w:rtl/>
        </w:rPr>
        <w:t xml:space="preserve">יבצע לאלתר את הליך ההתאמה הביטחונית, </w:t>
      </w:r>
      <w:r w:rsidRPr="00231197" w:rsidR="00B05CF3">
        <w:rPr>
          <w:rFonts w:hint="cs"/>
          <w:rtl/>
        </w:rPr>
        <w:t>בכפוף לתוצאות בחינה עדכנית של הצורך ב</w:t>
      </w:r>
      <w:r>
        <w:rPr>
          <w:rFonts w:hint="cs"/>
          <w:rtl/>
        </w:rPr>
        <w:t>רמת ה</w:t>
      </w:r>
      <w:r w:rsidRPr="00231197" w:rsidR="00B05CF3">
        <w:rPr>
          <w:rFonts w:hint="cs"/>
          <w:rtl/>
        </w:rPr>
        <w:t>סיווג</w:t>
      </w:r>
      <w:r w:rsidR="00B05CF3">
        <w:rPr>
          <w:rFonts w:hint="cs"/>
          <w:rtl/>
        </w:rPr>
        <w:t>.</w:t>
      </w:r>
    </w:p>
    <w:p w:rsidR="008B1937" w:rsidP="00EE3D36" w14:paraId="2E1A2B4B" w14:textId="77777777">
      <w:pPr>
        <w:pStyle w:val="a"/>
        <w:rPr>
          <w:rtl/>
        </w:rPr>
      </w:pPr>
    </w:p>
    <w:p w:rsidR="004A37F5" w:rsidP="00FF6AB4" w14:paraId="3CFBB09E" w14:textId="77777777">
      <w:pPr>
        <w:pStyle w:val="Heading2"/>
        <w:spacing w:before="0" w:line="269" w:lineRule="auto"/>
        <w:rPr>
          <w:rtl/>
        </w:rPr>
      </w:pPr>
      <w:r>
        <w:rPr>
          <w:rFonts w:hint="cs"/>
          <w:rtl/>
        </w:rPr>
        <w:t>חשיפה של חומר ארכיוני מוגבל מטעמי ביטחון המדינה בארכיון המדינה ו</w:t>
      </w:r>
      <w:r w:rsidR="00920C1A">
        <w:rPr>
          <w:rFonts w:hint="cs"/>
          <w:rtl/>
        </w:rPr>
        <w:t>ב</w:t>
      </w:r>
      <w:r>
        <w:rPr>
          <w:rFonts w:hint="cs"/>
          <w:rtl/>
        </w:rPr>
        <w:t>שלוחות</w:t>
      </w:r>
      <w:r>
        <w:rPr>
          <w:rFonts w:hint="cs"/>
          <w:rtl/>
        </w:rPr>
        <w:t>יו</w:t>
      </w:r>
    </w:p>
    <w:p w:rsidR="00C12B16" w:rsidRPr="00C12B16" w:rsidP="00FF6AB4" w14:paraId="1EB3651B" w14:textId="77777777">
      <w:pPr>
        <w:pStyle w:val="a"/>
        <w:spacing w:line="269" w:lineRule="auto"/>
        <w:rPr>
          <w:rtl/>
        </w:rPr>
      </w:pPr>
    </w:p>
    <w:p w:rsidR="004A37F5" w:rsidP="00FF6AB4" w14:paraId="633A9021" w14:textId="77777777">
      <w:pPr>
        <w:spacing w:line="269" w:lineRule="auto"/>
        <w:ind w:left="-2"/>
        <w:rPr>
          <w:rtl/>
        </w:rPr>
      </w:pPr>
      <w:r>
        <w:rPr>
          <w:rFonts w:hint="cs"/>
          <w:rtl/>
        </w:rPr>
        <w:t xml:space="preserve">כאמור, לכל אחד מגופי </w:t>
      </w:r>
      <w:r w:rsidR="007B303D">
        <w:rPr>
          <w:rFonts w:hint="cs"/>
          <w:rtl/>
        </w:rPr>
        <w:t xml:space="preserve">מערכת הביטחון, </w:t>
      </w:r>
      <w:r>
        <w:rPr>
          <w:rFonts w:hint="cs"/>
          <w:rtl/>
        </w:rPr>
        <w:t>דוגמת צה"ל</w:t>
      </w:r>
      <w:r w:rsidR="008B0FF5">
        <w:rPr>
          <w:rFonts w:hint="cs"/>
          <w:rtl/>
        </w:rPr>
        <w:t>,</w:t>
      </w:r>
      <w:r>
        <w:rPr>
          <w:rFonts w:hint="cs"/>
          <w:rtl/>
        </w:rPr>
        <w:t xml:space="preserve"> משרד הביטחון, שב"כ ו</w:t>
      </w:r>
      <w:r w:rsidR="007B303D">
        <w:rPr>
          <w:rFonts w:hint="cs"/>
          <w:rtl/>
        </w:rPr>
        <w:t>ה</w:t>
      </w:r>
      <w:r>
        <w:rPr>
          <w:rFonts w:hint="cs"/>
          <w:rtl/>
        </w:rPr>
        <w:t xml:space="preserve">מוסד, יש ארכיון אשר הוכר כשלוחה של ארכיון המדינה. למשל, במכתב לראש </w:t>
      </w:r>
      <w:r w:rsidR="007B303D">
        <w:rPr>
          <w:rFonts w:hint="cs"/>
          <w:rtl/>
        </w:rPr>
        <w:t>שב"כ מנובמבר 2007</w:t>
      </w:r>
      <w:r>
        <w:rPr>
          <w:rFonts w:hint="cs"/>
          <w:rtl/>
        </w:rPr>
        <w:t xml:space="preserve"> אישר גנז המדינה דאז כי ארכיון שב"כ </w:t>
      </w:r>
      <w:r w:rsidR="008B0FF5">
        <w:rPr>
          <w:rFonts w:hint="cs"/>
          <w:rtl/>
        </w:rPr>
        <w:t xml:space="preserve">הוא </w:t>
      </w:r>
      <w:r>
        <w:rPr>
          <w:rFonts w:hint="cs"/>
          <w:rtl/>
        </w:rPr>
        <w:t xml:space="preserve">שלוחה של </w:t>
      </w:r>
      <w:r w:rsidR="008B0FF5">
        <w:rPr>
          <w:rFonts w:hint="cs"/>
          <w:rtl/>
        </w:rPr>
        <w:t xml:space="preserve">ארכיון </w:t>
      </w:r>
      <w:r>
        <w:rPr>
          <w:rFonts w:hint="cs"/>
          <w:rtl/>
        </w:rPr>
        <w:t xml:space="preserve">המדינה לעניין הפקדתו של החומר הארכיוני של </w:t>
      </w:r>
      <w:r w:rsidR="00920C1A">
        <w:rPr>
          <w:rFonts w:hint="cs"/>
          <w:rtl/>
        </w:rPr>
        <w:t>שב"כ</w:t>
      </w:r>
      <w:r w:rsidR="008B0FF5">
        <w:rPr>
          <w:rFonts w:hint="cs"/>
          <w:rtl/>
        </w:rPr>
        <w:t>,</w:t>
      </w:r>
      <w:r>
        <w:rPr>
          <w:rFonts w:hint="cs"/>
          <w:rtl/>
        </w:rPr>
        <w:t xml:space="preserve"> </w:t>
      </w:r>
      <w:r w:rsidR="007B303D">
        <w:rPr>
          <w:rFonts w:hint="cs"/>
          <w:rtl/>
        </w:rPr>
        <w:t>ו</w:t>
      </w:r>
      <w:r>
        <w:rPr>
          <w:rFonts w:hint="cs"/>
          <w:rtl/>
        </w:rPr>
        <w:t xml:space="preserve">כי החומר הארכיוני המופקד בארכיון שב"כ כמוהו כחומר המופקד </w:t>
      </w:r>
      <w:r w:rsidR="008B0FF5">
        <w:rPr>
          <w:rFonts w:hint="cs"/>
          <w:rtl/>
        </w:rPr>
        <w:t xml:space="preserve">בארכיון </w:t>
      </w:r>
      <w:r>
        <w:rPr>
          <w:rFonts w:hint="cs"/>
          <w:rtl/>
        </w:rPr>
        <w:t xml:space="preserve">המדינה. </w:t>
      </w:r>
      <w:r w:rsidRPr="00DF26A9">
        <w:rPr>
          <w:rFonts w:hint="cs"/>
          <w:rtl/>
        </w:rPr>
        <w:t xml:space="preserve">במכתבים </w:t>
      </w:r>
      <w:r w:rsidRPr="009413C7">
        <w:rPr>
          <w:rFonts w:hint="cs"/>
          <w:rtl/>
        </w:rPr>
        <w:t xml:space="preserve">דומים </w:t>
      </w:r>
      <w:r w:rsidRPr="003C2697">
        <w:rPr>
          <w:rFonts w:hint="cs"/>
          <w:rtl/>
        </w:rPr>
        <w:t>הוכרו ארכיון צה"ל</w:t>
      </w:r>
      <w:r w:rsidRPr="006D67F9">
        <w:rPr>
          <w:rFonts w:hint="cs"/>
          <w:rtl/>
        </w:rPr>
        <w:t xml:space="preserve"> וארכיון המוסד כשלוחות של הגנזך. </w:t>
      </w:r>
      <w:r w:rsidRPr="006D67F9" w:rsidR="00AE517E">
        <w:rPr>
          <w:rFonts w:hint="cs"/>
          <w:rtl/>
        </w:rPr>
        <w:t>לפיכך</w:t>
      </w:r>
      <w:r>
        <w:rPr>
          <w:rFonts w:hint="cs"/>
          <w:rtl/>
        </w:rPr>
        <w:t xml:space="preserve"> ארכיונים אלו כפופים לחוק הארכיונים ותקנותיו.</w:t>
      </w:r>
    </w:p>
    <w:p w:rsidR="00C12B16" w:rsidP="00FF6AB4" w14:paraId="58B81B3A" w14:textId="77777777">
      <w:pPr>
        <w:pStyle w:val="a"/>
        <w:spacing w:line="269" w:lineRule="auto"/>
        <w:rPr>
          <w:rtl/>
        </w:rPr>
      </w:pPr>
    </w:p>
    <w:p w:rsidR="004A37F5" w:rsidRPr="009413C7" w:rsidP="00FF6AB4" w14:paraId="29F966B9" w14:textId="77777777">
      <w:pPr>
        <w:spacing w:line="269" w:lineRule="auto"/>
        <w:ind w:left="-2"/>
        <w:rPr>
          <w:rtl/>
        </w:rPr>
      </w:pPr>
      <w:r>
        <w:rPr>
          <w:rFonts w:hint="cs"/>
          <w:rtl/>
        </w:rPr>
        <w:t>על פי חוק הארכיונים, "כל אדם רשאי לעיין בחומר הארכיוני המופקד</w:t>
      </w:r>
      <w:r>
        <w:rPr>
          <w:rFonts w:hint="cs"/>
          <w:rtl/>
        </w:rPr>
        <w:t xml:space="preserve"> בגנזך, אך אפשר להגביל זכות זו בתקנות"</w:t>
      </w:r>
      <w:r>
        <w:rPr>
          <w:rStyle w:val="FootnoteReference"/>
          <w:rtl/>
        </w:rPr>
        <w:footnoteReference w:id="18"/>
      </w:r>
      <w:r w:rsidR="00AE517E">
        <w:rPr>
          <w:rFonts w:hint="cs"/>
          <w:rtl/>
        </w:rPr>
        <w:t>.</w:t>
      </w:r>
      <w:r>
        <w:rPr>
          <w:rFonts w:hint="cs"/>
          <w:rtl/>
        </w:rPr>
        <w:t xml:space="preserve"> </w:t>
      </w:r>
      <w:r w:rsidRPr="006A3C82">
        <w:rPr>
          <w:rFonts w:hint="cs"/>
          <w:rtl/>
        </w:rPr>
        <w:t xml:space="preserve">הסמכות להתקנת תקנות הוקנתה בחוק לממשלה, וזו העבירה </w:t>
      </w:r>
      <w:r w:rsidRPr="006A3C82" w:rsidR="00AE517E">
        <w:rPr>
          <w:rFonts w:hint="cs"/>
          <w:rtl/>
        </w:rPr>
        <w:t>אותה</w:t>
      </w:r>
      <w:r w:rsidRPr="006A3C82">
        <w:rPr>
          <w:rFonts w:hint="cs"/>
          <w:rtl/>
        </w:rPr>
        <w:t xml:space="preserve"> לרה"ם.</w:t>
      </w:r>
      <w:r>
        <w:rPr>
          <w:rFonts w:hint="cs"/>
          <w:rtl/>
        </w:rPr>
        <w:t xml:space="preserve"> תקנות העיון מסדירות את העיון בחומר הארכיוני המופקד בגנזך, וקובעות באילו חומרים יוגבל עיון הציבור ולאילו </w:t>
      </w:r>
      <w:r w:rsidR="00AE517E">
        <w:rPr>
          <w:rFonts w:hint="cs"/>
          <w:rtl/>
        </w:rPr>
        <w:t>פרקי</w:t>
      </w:r>
      <w:r>
        <w:rPr>
          <w:rFonts w:hint="cs"/>
          <w:rtl/>
        </w:rPr>
        <w:t xml:space="preserve"> זמן</w:t>
      </w:r>
      <w:r w:rsidR="004260D4">
        <w:rPr>
          <w:rFonts w:hint="cs"/>
          <w:rtl/>
        </w:rPr>
        <w:t xml:space="preserve"> (להלן </w:t>
      </w:r>
      <w:r w:rsidR="00920C1A">
        <w:rPr>
          <w:rFonts w:hint="cs"/>
          <w:rtl/>
        </w:rPr>
        <w:t>-</w:t>
      </w:r>
      <w:r w:rsidR="004260D4">
        <w:rPr>
          <w:rFonts w:hint="cs"/>
          <w:rtl/>
        </w:rPr>
        <w:t xml:space="preserve"> תקופת ההגבלה)</w:t>
      </w:r>
      <w:r w:rsidRPr="006D67F9">
        <w:rPr>
          <w:rFonts w:hint="cs"/>
          <w:rtl/>
        </w:rPr>
        <w:t>. על פי תקנות</w:t>
      </w:r>
      <w:r>
        <w:rPr>
          <w:rFonts w:hint="cs"/>
          <w:rtl/>
        </w:rPr>
        <w:t xml:space="preserve"> אלו,</w:t>
      </w:r>
      <w:r>
        <w:rPr>
          <w:rFonts w:hint="cs"/>
          <w:rtl/>
        </w:rPr>
        <w:t xml:space="preserve"> תקופת ההגבלה של החומרים שמקורם בצה"ל היא 50 שנה (למעט </w:t>
      </w:r>
      <w:r w:rsidR="00AE517E">
        <w:rPr>
          <w:rFonts w:hint="cs"/>
          <w:rtl/>
        </w:rPr>
        <w:t xml:space="preserve">חומרים של </w:t>
      </w:r>
      <w:r>
        <w:rPr>
          <w:rFonts w:hint="cs"/>
          <w:rtl/>
        </w:rPr>
        <w:t>אגף המודיעין ו</w:t>
      </w:r>
      <w:r w:rsidR="00AE517E">
        <w:rPr>
          <w:rFonts w:hint="cs"/>
          <w:rtl/>
        </w:rPr>
        <w:t>של י</w:t>
      </w:r>
      <w:r>
        <w:rPr>
          <w:rFonts w:hint="cs"/>
          <w:rtl/>
        </w:rPr>
        <w:t>חי</w:t>
      </w:r>
      <w:r w:rsidR="00AE517E">
        <w:rPr>
          <w:rFonts w:hint="cs"/>
          <w:rtl/>
        </w:rPr>
        <w:t>דות מסוימות, המוגבלים ל-90 שנה</w:t>
      </w:r>
      <w:r>
        <w:rPr>
          <w:rStyle w:val="FootnoteReference"/>
          <w:rtl/>
        </w:rPr>
        <w:footnoteReference w:id="19"/>
      </w:r>
      <w:r w:rsidR="00AE517E">
        <w:rPr>
          <w:rFonts w:hint="cs"/>
          <w:rtl/>
        </w:rPr>
        <w:t>),</w:t>
      </w:r>
      <w:r>
        <w:rPr>
          <w:rFonts w:hint="cs"/>
          <w:rtl/>
        </w:rPr>
        <w:t xml:space="preserve"> </w:t>
      </w:r>
      <w:r w:rsidR="00AE517E">
        <w:rPr>
          <w:rFonts w:hint="cs"/>
          <w:rtl/>
        </w:rPr>
        <w:t>ו</w:t>
      </w:r>
      <w:r>
        <w:rPr>
          <w:rFonts w:hint="cs"/>
          <w:rtl/>
        </w:rPr>
        <w:t xml:space="preserve">חומרים של </w:t>
      </w:r>
      <w:r w:rsidR="00AE517E">
        <w:rPr>
          <w:rFonts w:hint="cs"/>
          <w:rtl/>
        </w:rPr>
        <w:t>ה</w:t>
      </w:r>
      <w:r>
        <w:rPr>
          <w:rFonts w:hint="cs"/>
          <w:rtl/>
        </w:rPr>
        <w:t xml:space="preserve">מוסד ושב"כ מוגבלים ל-90 </w:t>
      </w:r>
      <w:r w:rsidRPr="006D67F9">
        <w:rPr>
          <w:rFonts w:hint="cs"/>
          <w:rtl/>
        </w:rPr>
        <w:t>שנה</w:t>
      </w:r>
      <w:r>
        <w:rPr>
          <w:rStyle w:val="FootnoteReference"/>
          <w:rtl/>
        </w:rPr>
        <w:footnoteReference w:id="20"/>
      </w:r>
      <w:r w:rsidRPr="006D67F9">
        <w:rPr>
          <w:rFonts w:hint="cs"/>
          <w:rtl/>
        </w:rPr>
        <w:t>.</w:t>
      </w:r>
    </w:p>
    <w:p w:rsidR="00C12B16" w:rsidP="00FF6AB4" w14:paraId="5FE69B33" w14:textId="77777777">
      <w:pPr>
        <w:pStyle w:val="a"/>
        <w:spacing w:line="269" w:lineRule="auto"/>
        <w:rPr>
          <w:rtl/>
        </w:rPr>
      </w:pPr>
    </w:p>
    <w:p w:rsidR="004A37F5" w:rsidP="00FF6AB4" w14:paraId="2CDCE51F" w14:textId="77777777">
      <w:pPr>
        <w:spacing w:line="269" w:lineRule="auto"/>
        <w:ind w:left="-2"/>
        <w:rPr>
          <w:rtl/>
        </w:rPr>
      </w:pPr>
      <w:r>
        <w:rPr>
          <w:rFonts w:hint="cs"/>
          <w:rtl/>
        </w:rPr>
        <w:t xml:space="preserve">על פי תקנות העיון, כל חומר מוגבל </w:t>
      </w:r>
      <w:r w:rsidR="007B0DA7">
        <w:rPr>
          <w:rFonts w:hint="cs"/>
          <w:rtl/>
        </w:rPr>
        <w:t xml:space="preserve">יועמד </w:t>
      </w:r>
      <w:r>
        <w:rPr>
          <w:rFonts w:hint="cs"/>
          <w:rtl/>
        </w:rPr>
        <w:t xml:space="preserve">לעיון הציבור בתום תקופת ההגבלה שנקבעה לו או על פי בקשת </w:t>
      </w:r>
      <w:r>
        <w:rPr>
          <w:rFonts w:hint="cs"/>
          <w:rtl/>
        </w:rPr>
        <w:t xml:space="preserve">מבקש - בטרם הסתיימה תקופה זו. </w:t>
      </w:r>
      <w:r w:rsidR="007B0DA7">
        <w:rPr>
          <w:rFonts w:hint="cs"/>
          <w:rtl/>
        </w:rPr>
        <w:t>העמדת</w:t>
      </w:r>
      <w:r w:rsidRPr="00623392" w:rsidR="00582F0F">
        <w:rPr>
          <w:rFonts w:hint="cs"/>
          <w:rtl/>
        </w:rPr>
        <w:t xml:space="preserve"> חומר מוגבל לעיון </w:t>
      </w:r>
      <w:r w:rsidR="008B0FF5">
        <w:rPr>
          <w:rFonts w:hint="cs"/>
          <w:rtl/>
        </w:rPr>
        <w:t>הציבור תיעשה על ידי</w:t>
      </w:r>
      <w:r w:rsidRPr="00623392" w:rsidR="008B0FF5">
        <w:rPr>
          <w:rFonts w:hint="cs"/>
          <w:rtl/>
        </w:rPr>
        <w:t xml:space="preserve"> </w:t>
      </w:r>
      <w:r w:rsidR="002E36F2">
        <w:rPr>
          <w:rFonts w:hint="cs"/>
          <w:rtl/>
        </w:rPr>
        <w:t>"</w:t>
      </w:r>
      <w:r w:rsidRPr="00623392" w:rsidR="00582F0F">
        <w:rPr>
          <w:rFonts w:hint="cs"/>
          <w:rtl/>
        </w:rPr>
        <w:t>המפקיד</w:t>
      </w:r>
      <w:r w:rsidRPr="009559DF" w:rsidR="00582F0F">
        <w:rPr>
          <w:rFonts w:hint="cs"/>
          <w:vertAlign w:val="superscript"/>
          <w:rtl/>
        </w:rPr>
        <w:t>[</w:t>
      </w:r>
      <w:r>
        <w:rPr>
          <w:rStyle w:val="FootnoteReference"/>
          <w:rtl/>
        </w:rPr>
        <w:footnoteReference w:id="21"/>
      </w:r>
      <w:r w:rsidRPr="009559DF" w:rsidR="00582F0F">
        <w:rPr>
          <w:rFonts w:hint="cs"/>
          <w:vertAlign w:val="superscript"/>
          <w:rtl/>
        </w:rPr>
        <w:t>]</w:t>
      </w:r>
      <w:r w:rsidRPr="00623392" w:rsidR="00582F0F">
        <w:rPr>
          <w:rFonts w:hint="cs"/>
          <w:rtl/>
        </w:rPr>
        <w:t>, בהתייעצות עם הגנז, בתום התקופה הנקובה".</w:t>
      </w:r>
      <w:r w:rsidR="00582F0F">
        <w:rPr>
          <w:rFonts w:hint="cs"/>
          <w:rtl/>
        </w:rPr>
        <w:t xml:space="preserve"> </w:t>
      </w:r>
      <w:r>
        <w:rPr>
          <w:rFonts w:hint="cs"/>
          <w:rtl/>
        </w:rPr>
        <w:t xml:space="preserve">בכל מקרה </w:t>
      </w:r>
      <w:r>
        <w:rPr>
          <w:rFonts w:hint="cs"/>
          <w:rtl/>
        </w:rPr>
        <w:t xml:space="preserve">לא </w:t>
      </w:r>
      <w:r w:rsidR="007B0DA7">
        <w:rPr>
          <w:rFonts w:hint="cs"/>
          <w:rtl/>
        </w:rPr>
        <w:t>יועמד</w:t>
      </w:r>
      <w:r>
        <w:rPr>
          <w:rFonts w:hint="cs"/>
          <w:rtl/>
        </w:rPr>
        <w:t xml:space="preserve"> חומר מוגבל לעיון </w:t>
      </w:r>
      <w:r w:rsidR="00A34E1E">
        <w:rPr>
          <w:rFonts w:hint="cs"/>
          <w:rtl/>
        </w:rPr>
        <w:t xml:space="preserve">הציבור </w:t>
      </w:r>
      <w:r w:rsidR="00AE517E">
        <w:rPr>
          <w:rFonts w:hint="cs"/>
          <w:rtl/>
        </w:rPr>
        <w:t>לפני</w:t>
      </w:r>
      <w:r>
        <w:rPr>
          <w:rFonts w:hint="cs"/>
          <w:rtl/>
        </w:rPr>
        <w:t xml:space="preserve"> </w:t>
      </w:r>
      <w:r w:rsidR="00A34E1E">
        <w:rPr>
          <w:rFonts w:hint="cs"/>
          <w:rtl/>
        </w:rPr>
        <w:t>שייבדק</w:t>
      </w:r>
      <w:r w:rsidR="00AE517E">
        <w:rPr>
          <w:rFonts w:hint="cs"/>
          <w:rtl/>
        </w:rPr>
        <w:t xml:space="preserve">. "בדיקה" מוגדרת בתקנות העיון - </w:t>
      </w:r>
      <w:r>
        <w:rPr>
          <w:rFonts w:hint="cs"/>
          <w:rtl/>
        </w:rPr>
        <w:t>"בחינת חומר ארכיוני מוגבל בידי המפקיד</w:t>
      </w:r>
      <w:r w:rsidRPr="009559DF">
        <w:rPr>
          <w:rFonts w:hint="cs"/>
          <w:vertAlign w:val="superscript"/>
          <w:rtl/>
        </w:rPr>
        <w:t xml:space="preserve"> </w:t>
      </w:r>
      <w:r>
        <w:rPr>
          <w:rFonts w:hint="cs"/>
          <w:rtl/>
        </w:rPr>
        <w:t xml:space="preserve">או מי </w:t>
      </w:r>
      <w:r>
        <w:rPr>
          <w:rFonts w:hint="cs"/>
          <w:rtl/>
        </w:rPr>
        <w:t>שהוא הסמיך לכך, כדי לאפשר את עיון הקהל בו"</w:t>
      </w:r>
      <w:r w:rsidR="007B0DA7">
        <w:rPr>
          <w:rFonts w:hint="cs"/>
          <w:rtl/>
        </w:rPr>
        <w:t xml:space="preserve"> (תהליך הבדיקה וההעמדה לעיון הציבור ייקרא</w:t>
      </w:r>
      <w:r w:rsidR="008E37E7">
        <w:rPr>
          <w:rFonts w:hint="cs"/>
          <w:rtl/>
        </w:rPr>
        <w:t xml:space="preserve"> </w:t>
      </w:r>
      <w:r w:rsidR="007B0DA7">
        <w:rPr>
          <w:rFonts w:hint="cs"/>
          <w:rtl/>
        </w:rPr>
        <w:t xml:space="preserve">להלן </w:t>
      </w:r>
      <w:r w:rsidR="0050741C">
        <w:rPr>
          <w:rFonts w:hint="cs"/>
          <w:rtl/>
        </w:rPr>
        <w:t xml:space="preserve">- </w:t>
      </w:r>
      <w:r w:rsidR="007B0DA7">
        <w:rPr>
          <w:rFonts w:hint="cs"/>
          <w:rtl/>
        </w:rPr>
        <w:t>חשיפה)</w:t>
      </w:r>
      <w:r>
        <w:rPr>
          <w:rFonts w:hint="cs"/>
          <w:rtl/>
        </w:rPr>
        <w:t>.</w:t>
      </w:r>
      <w:r w:rsidRPr="00625D84">
        <w:rPr>
          <w:rFonts w:hint="cs"/>
          <w:rtl/>
        </w:rPr>
        <w:t xml:space="preserve"> </w:t>
      </w:r>
      <w:r>
        <w:rPr>
          <w:rFonts w:hint="cs"/>
          <w:rtl/>
        </w:rPr>
        <w:t xml:space="preserve">כמו כן נקבע בתקנות העיון כי מפקיד לא יחשוף חומר מוגבל </w:t>
      </w:r>
      <w:r w:rsidR="00A34E1E">
        <w:rPr>
          <w:rFonts w:hint="cs"/>
          <w:rtl/>
        </w:rPr>
        <w:t xml:space="preserve">אם יש </w:t>
      </w:r>
      <w:r>
        <w:rPr>
          <w:rFonts w:hint="cs"/>
          <w:rtl/>
        </w:rPr>
        <w:t>בחשיפתו חשש לפגיעה בביטחון המדינה, ביחסי החוץ שלה,</w:t>
      </w:r>
      <w:r w:rsidR="00AE517E">
        <w:rPr>
          <w:rFonts w:hint="cs"/>
          <w:rtl/>
        </w:rPr>
        <w:t xml:space="preserve"> בביטחון הציבור או בביטחונו או </w:t>
      </w:r>
      <w:r w:rsidR="00682BC9">
        <w:rPr>
          <w:rFonts w:hint="cs"/>
          <w:rtl/>
        </w:rPr>
        <w:t>ב</w:t>
      </w:r>
      <w:r>
        <w:rPr>
          <w:rFonts w:hint="cs"/>
          <w:rtl/>
        </w:rPr>
        <w:t xml:space="preserve">שלומו של אדם. </w:t>
      </w:r>
    </w:p>
    <w:p w:rsidR="00FF6AB4" w:rsidP="00FF6AB4" w14:paraId="314E97D3" w14:textId="77777777">
      <w:pPr>
        <w:spacing w:line="269" w:lineRule="auto"/>
        <w:ind w:left="-2"/>
        <w:rPr>
          <w:rtl/>
        </w:rPr>
      </w:pPr>
    </w:p>
    <w:p w:rsidR="004A37F5" w:rsidP="00FF6AB4" w14:paraId="2F235105" w14:textId="77777777">
      <w:pPr>
        <w:spacing w:line="269" w:lineRule="auto"/>
        <w:ind w:left="-2"/>
        <w:rPr>
          <w:rtl/>
        </w:rPr>
      </w:pPr>
      <w:r>
        <w:rPr>
          <w:rFonts w:hint="cs"/>
          <w:rtl/>
        </w:rPr>
        <w:t>ארכיון המדינה, שה</w:t>
      </w:r>
      <w:r w:rsidR="006C726B">
        <w:rPr>
          <w:rFonts w:hint="cs"/>
          <w:rtl/>
        </w:rPr>
        <w:t>וא</w:t>
      </w:r>
      <w:r>
        <w:rPr>
          <w:rFonts w:hint="cs"/>
          <w:rtl/>
        </w:rPr>
        <w:t xml:space="preserve"> חלק ממשרד </w:t>
      </w:r>
      <w:r w:rsidR="006C726B">
        <w:rPr>
          <w:rFonts w:hint="cs"/>
          <w:rtl/>
        </w:rPr>
        <w:t>רה"ם</w:t>
      </w:r>
      <w:r>
        <w:rPr>
          <w:rFonts w:hint="cs"/>
          <w:rtl/>
        </w:rPr>
        <w:t>, מבצע את</w:t>
      </w:r>
      <w:r w:rsidR="006C726B">
        <w:rPr>
          <w:rFonts w:hint="cs"/>
          <w:rtl/>
        </w:rPr>
        <w:t xml:space="preserve"> החשיפה של </w:t>
      </w:r>
      <w:r w:rsidR="0012144D">
        <w:rPr>
          <w:rFonts w:hint="cs"/>
          <w:rtl/>
        </w:rPr>
        <w:t>החומר הארכיוני</w:t>
      </w:r>
      <w:r w:rsidR="008E37E7">
        <w:rPr>
          <w:rFonts w:hint="cs"/>
          <w:rtl/>
        </w:rPr>
        <w:t xml:space="preserve"> עבור </w:t>
      </w:r>
      <w:r w:rsidR="006C726B">
        <w:rPr>
          <w:rFonts w:hint="cs"/>
          <w:rtl/>
        </w:rPr>
        <w:t>משרד זה</w:t>
      </w:r>
      <w:r>
        <w:rPr>
          <w:rFonts w:hint="cs"/>
          <w:rtl/>
        </w:rPr>
        <w:t xml:space="preserve">. </w:t>
      </w:r>
      <w:r w:rsidR="00716A24">
        <w:rPr>
          <w:rFonts w:hint="cs"/>
          <w:rtl/>
        </w:rPr>
        <w:t xml:space="preserve">כמו כן, </w:t>
      </w:r>
      <w:r w:rsidR="006C726B">
        <w:rPr>
          <w:rFonts w:hint="cs"/>
          <w:rtl/>
        </w:rPr>
        <w:t xml:space="preserve">משרדי ממשלה </w:t>
      </w:r>
      <w:r>
        <w:rPr>
          <w:rFonts w:hint="cs"/>
          <w:rtl/>
        </w:rPr>
        <w:t xml:space="preserve">רבים אחרים, </w:t>
      </w:r>
      <w:r w:rsidRPr="006D67F9">
        <w:rPr>
          <w:rFonts w:hint="cs"/>
          <w:rtl/>
        </w:rPr>
        <w:t xml:space="preserve">דוגמת משרד החוץ, הסמיכו את ארכיון המדינה לבצע עבורם את </w:t>
      </w:r>
      <w:r w:rsidRPr="006D67F9" w:rsidR="002E002B">
        <w:rPr>
          <w:rFonts w:hint="cs"/>
          <w:rtl/>
        </w:rPr>
        <w:t>תהליך החשיפה</w:t>
      </w:r>
      <w:r w:rsidRPr="006D67F9">
        <w:rPr>
          <w:rFonts w:hint="cs"/>
          <w:rtl/>
        </w:rPr>
        <w:t xml:space="preserve">. ארכיון צה"ל אמון על </w:t>
      </w:r>
      <w:r w:rsidRPr="006D67F9" w:rsidR="002E002B">
        <w:rPr>
          <w:rFonts w:hint="cs"/>
          <w:rtl/>
        </w:rPr>
        <w:t>חשיפתו</w:t>
      </w:r>
      <w:r w:rsidRPr="006D67F9">
        <w:rPr>
          <w:rFonts w:hint="cs"/>
          <w:rtl/>
        </w:rPr>
        <w:t xml:space="preserve"> של החומר הארכיוני של משרד הביטחון</w:t>
      </w:r>
      <w:r>
        <w:rPr>
          <w:rFonts w:hint="cs"/>
          <w:rtl/>
        </w:rPr>
        <w:t xml:space="preserve"> וצה"ל.</w:t>
      </w:r>
    </w:p>
    <w:p w:rsidR="00FF6AB4" w:rsidP="00FF6AB4" w14:paraId="78E7FEB6" w14:textId="77777777">
      <w:pPr>
        <w:spacing w:line="269" w:lineRule="auto"/>
        <w:ind w:left="-2"/>
        <w:rPr>
          <w:rtl/>
        </w:rPr>
      </w:pPr>
    </w:p>
    <w:p w:rsidR="004A37F5" w:rsidP="00FF6AB4" w14:paraId="77237A69" w14:textId="77777777">
      <w:pPr>
        <w:spacing w:line="269" w:lineRule="auto"/>
        <w:ind w:left="-2"/>
        <w:rPr>
          <w:rtl/>
        </w:rPr>
      </w:pPr>
      <w:r>
        <w:rPr>
          <w:rFonts w:hint="cs"/>
          <w:rtl/>
        </w:rPr>
        <w:t>בתהליך החשיפה בודק המפ</w:t>
      </w:r>
      <w:r w:rsidR="006074A5">
        <w:rPr>
          <w:rFonts w:hint="cs"/>
          <w:rtl/>
        </w:rPr>
        <w:t>קיד או מי שהוא הסמיך לכך</w:t>
      </w:r>
      <w:r>
        <w:rPr>
          <w:rFonts w:hint="cs"/>
          <w:rtl/>
        </w:rPr>
        <w:t xml:space="preserve"> את החומרים המיועדים ל</w:t>
      </w:r>
      <w:r w:rsidR="00A34E1E">
        <w:rPr>
          <w:rFonts w:hint="cs"/>
          <w:rtl/>
        </w:rPr>
        <w:t xml:space="preserve">היחשף </w:t>
      </w:r>
      <w:r w:rsidR="008E37E7">
        <w:rPr>
          <w:rFonts w:hint="cs"/>
          <w:rtl/>
        </w:rPr>
        <w:t>ל</w:t>
      </w:r>
      <w:r>
        <w:rPr>
          <w:rFonts w:hint="cs"/>
          <w:rtl/>
        </w:rPr>
        <w:t xml:space="preserve">עיון הציבור ומוודאים כי אלו אינם מכילים </w:t>
      </w:r>
      <w:r w:rsidRPr="00E30F3D" w:rsidR="00B44807">
        <w:rPr>
          <w:rFonts w:hint="cs"/>
          <w:rtl/>
        </w:rPr>
        <w:t>מידע מסווג</w:t>
      </w:r>
      <w:r>
        <w:rPr>
          <w:rFonts w:hint="cs"/>
          <w:rtl/>
        </w:rPr>
        <w:t xml:space="preserve">, וזאת על פי הקריטריונים לחשיפת חומר ארכיוני שפורטו בהרחבה בהחלטת </w:t>
      </w:r>
      <w:r w:rsidRPr="00A6549A" w:rsidR="00A6549A">
        <w:rPr>
          <w:rFonts w:hint="cs"/>
          <w:rtl/>
        </w:rPr>
        <w:t>ועדת השרים למתן היתר לפרסומים ולעניין רשות העיון בחומר ארכיוני מסווג</w:t>
      </w:r>
      <w:r>
        <w:rPr>
          <w:rFonts w:hint="cs"/>
          <w:rtl/>
        </w:rPr>
        <w:t>, אשר קיבלה תוקף של החלטת ממשלה בשנת 1994</w:t>
      </w:r>
      <w:r>
        <w:rPr>
          <w:rStyle w:val="FootnoteReference"/>
          <w:rtl/>
        </w:rPr>
        <w:footnoteReference w:id="22"/>
      </w:r>
      <w:r>
        <w:rPr>
          <w:rFonts w:hint="cs"/>
          <w:rtl/>
        </w:rPr>
        <w:t>. קריטריונים דומים לחשיפת חומרים</w:t>
      </w:r>
      <w:r w:rsidR="006074A5">
        <w:rPr>
          <w:rFonts w:hint="cs"/>
          <w:rtl/>
        </w:rPr>
        <w:t xml:space="preserve"> </w:t>
      </w:r>
      <w:r w:rsidR="00884A2D">
        <w:rPr>
          <w:rFonts w:hint="cs"/>
          <w:rtl/>
        </w:rPr>
        <w:t>נקבעו לגבי</w:t>
      </w:r>
      <w:r w:rsidR="00F90C69">
        <w:rPr>
          <w:rFonts w:hint="cs"/>
          <w:rtl/>
        </w:rPr>
        <w:t xml:space="preserve"> ארכיון צה"ל.</w:t>
      </w:r>
    </w:p>
    <w:p w:rsidR="00FF6AB4" w:rsidP="00FF6AB4" w14:paraId="271BF65F" w14:textId="77777777">
      <w:pPr>
        <w:spacing w:line="269" w:lineRule="auto"/>
        <w:ind w:left="-2"/>
        <w:rPr>
          <w:rtl/>
        </w:rPr>
      </w:pPr>
    </w:p>
    <w:p w:rsidR="00E74DD1" w:rsidP="00FF6AB4" w14:paraId="76C76776" w14:textId="77777777">
      <w:pPr>
        <w:spacing w:line="269" w:lineRule="auto"/>
        <w:ind w:left="-2"/>
        <w:rPr>
          <w:rtl/>
        </w:rPr>
      </w:pPr>
      <w:r>
        <w:rPr>
          <w:rFonts w:hint="cs"/>
          <w:rtl/>
        </w:rPr>
        <w:t xml:space="preserve">להלן דוגמה למסמך מסווג </w:t>
      </w:r>
      <w:r w:rsidR="005141C1">
        <w:rPr>
          <w:rFonts w:hint="cs"/>
          <w:rtl/>
        </w:rPr>
        <w:t xml:space="preserve">("סודי ביותר") </w:t>
      </w:r>
      <w:r w:rsidR="00FA19AE">
        <w:rPr>
          <w:rFonts w:hint="cs"/>
          <w:rtl/>
        </w:rPr>
        <w:t xml:space="preserve">ממלחמת יום הכיפורים </w:t>
      </w:r>
      <w:r>
        <w:rPr>
          <w:rFonts w:hint="cs"/>
          <w:rtl/>
        </w:rPr>
        <w:t xml:space="preserve">שנחשף </w:t>
      </w:r>
      <w:r w:rsidR="005141C1">
        <w:rPr>
          <w:rFonts w:hint="cs"/>
          <w:rtl/>
        </w:rPr>
        <w:t xml:space="preserve">לציבור </w:t>
      </w:r>
      <w:r>
        <w:rPr>
          <w:rFonts w:hint="cs"/>
          <w:rtl/>
        </w:rPr>
        <w:t xml:space="preserve">על ידי ארכיון </w:t>
      </w:r>
      <w:r w:rsidR="00043C5B">
        <w:rPr>
          <w:rFonts w:hint="cs"/>
          <w:rtl/>
        </w:rPr>
        <w:t>צה"ל</w:t>
      </w:r>
      <w:r>
        <w:rPr>
          <w:rFonts w:hint="cs"/>
          <w:rtl/>
        </w:rPr>
        <w:t>:</w:t>
      </w:r>
    </w:p>
    <w:p w:rsidR="00EE3D36" w14:paraId="5AD9089C" w14:textId="77777777">
      <w:pPr>
        <w:bidi w:val="0"/>
        <w:spacing w:line="240" w:lineRule="auto"/>
        <w:jc w:val="left"/>
        <w:rPr>
          <w:szCs w:val="20"/>
          <w:rtl/>
        </w:rPr>
      </w:pPr>
      <w:r>
        <w:rPr>
          <w:rtl/>
        </w:rPr>
        <w:br w:type="page"/>
      </w:r>
    </w:p>
    <w:p w:rsidR="00FF6AB4" w:rsidP="00EE3D36" w14:paraId="532C347E" w14:textId="77777777">
      <w:pPr>
        <w:pStyle w:val="a"/>
        <w:rPr>
          <w:rtl/>
        </w:rPr>
      </w:pPr>
    </w:p>
    <w:p w:rsidR="005141C1" w:rsidP="00EE3D36" w14:paraId="61E6AE39" w14:textId="77777777">
      <w:pPr>
        <w:spacing w:after="120" w:line="269" w:lineRule="auto"/>
        <w:jc w:val="center"/>
        <w:rPr>
          <w:b/>
          <w:bCs/>
          <w:rtl/>
        </w:rPr>
      </w:pPr>
      <w:r w:rsidRPr="00D252AD">
        <w:rPr>
          <w:rFonts w:hint="cs"/>
          <w:b/>
          <w:bCs/>
          <w:rtl/>
        </w:rPr>
        <w:t>תמונה 1: דוגמה למסמך מסווג שנחשף לציבור על ידי ארכיון צה"ל</w:t>
      </w:r>
    </w:p>
    <w:p w:rsidR="007C5967" w:rsidRPr="00D252AD" w:rsidP="00FF6AB4" w14:paraId="69B6A27C" w14:textId="77777777">
      <w:pPr>
        <w:spacing w:line="269" w:lineRule="auto"/>
        <w:ind w:left="-2"/>
        <w:rPr>
          <w:b/>
          <w:bCs/>
          <w:rtl/>
        </w:rPr>
      </w:pPr>
      <w:r>
        <w:rPr>
          <w:b/>
          <w:bCs/>
          <w:noProof/>
        </w:rPr>
        <w:drawing>
          <wp:inline distT="0" distB="0" distL="0" distR="0">
            <wp:extent cx="4933950" cy="6153150"/>
            <wp:effectExtent l="0" t="0" r="0" b="0"/>
            <wp:docPr id="3" name="תמונה 1" descr="תמונה מיהושע לשילוב בד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02401" name="Picture 1" descr="תמונה מיהושע לשילוב בדוח"/>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933950" cy="6153150"/>
                    </a:xfrm>
                    <a:prstGeom prst="rect">
                      <a:avLst/>
                    </a:prstGeom>
                    <a:noFill/>
                    <a:ln>
                      <a:noFill/>
                    </a:ln>
                  </pic:spPr>
                </pic:pic>
              </a:graphicData>
            </a:graphic>
          </wp:inline>
        </w:drawing>
      </w:r>
    </w:p>
    <w:p w:rsidR="00662ACD" w:rsidP="00FF6AB4" w14:paraId="1E8470D3" w14:textId="77777777">
      <w:pPr>
        <w:spacing w:line="269" w:lineRule="auto"/>
        <w:ind w:left="-2"/>
        <w:rPr>
          <w:rtl/>
        </w:rPr>
      </w:pPr>
    </w:p>
    <w:p w:rsidR="00F90C69" w:rsidP="00FF6AB4" w14:paraId="59E91934" w14:textId="77777777">
      <w:pPr>
        <w:spacing w:line="269" w:lineRule="auto"/>
        <w:rPr>
          <w:rtl/>
        </w:rPr>
      </w:pPr>
      <w:r>
        <w:rPr>
          <w:rFonts w:hint="cs"/>
          <w:rtl/>
        </w:rPr>
        <w:t>משרד מבקר המדינה בחן</w:t>
      </w:r>
      <w:r>
        <w:rPr>
          <w:rStyle w:val="FootnoteReference"/>
          <w:rtl/>
        </w:rPr>
        <w:footnoteReference w:id="23"/>
      </w:r>
      <w:r>
        <w:rPr>
          <w:rFonts w:hint="cs"/>
          <w:rtl/>
        </w:rPr>
        <w:t xml:space="preserve"> </w:t>
      </w:r>
      <w:r w:rsidR="00E77B7D">
        <w:rPr>
          <w:rFonts w:hint="cs"/>
          <w:rtl/>
        </w:rPr>
        <w:t xml:space="preserve">לצורך לימוד והשוואה </w:t>
      </w:r>
      <w:r>
        <w:rPr>
          <w:rFonts w:hint="cs"/>
          <w:rtl/>
        </w:rPr>
        <w:t>את המצב החוקי הקיים בארצות הברית ובבריטניה בעניין חשיפת מסמכים מסווגים והעלה כלהלן:</w:t>
      </w:r>
    </w:p>
    <w:p w:rsidR="00FF6AB4" w:rsidP="00FF6AB4" w14:paraId="5E78D5D4" w14:textId="77777777">
      <w:pPr>
        <w:spacing w:line="269" w:lineRule="auto"/>
        <w:rPr>
          <w:rStyle w:val="5"/>
          <w:rFonts w:eastAsia="Calibri"/>
          <w:rtl/>
        </w:rPr>
      </w:pPr>
    </w:p>
    <w:p w:rsidR="00FF6AB4" w:rsidP="00EE3D36" w14:paraId="5CAFFC1B" w14:textId="77777777">
      <w:pPr>
        <w:spacing w:line="269" w:lineRule="auto"/>
        <w:rPr>
          <w:rtl/>
        </w:rPr>
      </w:pPr>
      <w:r w:rsidRPr="007B2AD5">
        <w:rPr>
          <w:rStyle w:val="5"/>
          <w:rFonts w:eastAsia="Calibri" w:hint="cs"/>
          <w:rtl/>
        </w:rPr>
        <w:t>ארה"ב:</w:t>
      </w:r>
      <w:r>
        <w:rPr>
          <w:rFonts w:hint="cs"/>
          <w:rtl/>
        </w:rPr>
        <w:t xml:space="preserve"> חוק חופש המידע (</w:t>
      </w:r>
      <w:r>
        <w:t>The Freedom Of Information Act</w:t>
      </w:r>
      <w:r>
        <w:rPr>
          <w:rFonts w:hint="cs"/>
          <w:rtl/>
        </w:rPr>
        <w:t>) מעגן את הזכות לדרוש מידע מהממשלה. החוק פוטר את הממשלה, בין היתר, מחשיפת</w:t>
      </w:r>
      <w:r>
        <w:rPr>
          <w:rFonts w:hint="cs"/>
          <w:rtl/>
        </w:rPr>
        <w:t xml:space="preserve"> מידע מסווג כך שככל שמסמך מוגדר כמסווג אין חובה לחשפו. </w:t>
      </w:r>
    </w:p>
    <w:p w:rsidR="00EE3D36" w:rsidP="00EE3D36" w14:paraId="66678CB2" w14:textId="77777777">
      <w:pPr>
        <w:spacing w:line="269" w:lineRule="auto"/>
        <w:rPr>
          <w:rtl/>
        </w:rPr>
      </w:pPr>
    </w:p>
    <w:p w:rsidR="00F90C69" w:rsidP="00FF6AB4" w14:paraId="2D8D704B" w14:textId="77777777">
      <w:pPr>
        <w:spacing w:line="269" w:lineRule="auto"/>
        <w:rPr>
          <w:rtl/>
        </w:rPr>
      </w:pPr>
      <w:r>
        <w:rPr>
          <w:rFonts w:hint="cs"/>
          <w:rtl/>
        </w:rPr>
        <w:t>בצו הנשיא (</w:t>
      </w:r>
      <w:r>
        <w:t>Executive Order 13526</w:t>
      </w:r>
      <w:r>
        <w:rPr>
          <w:rFonts w:hint="cs"/>
          <w:rtl/>
        </w:rPr>
        <w:t>) נקבעו, בין היתר, כללים להסרת סיווג ביטחוני ממסמכים. בצו נקבעו לוחות זמנים להסרת סיווג, בכפוף לנושאים הנדונים במסמכים. כמו כן מוסדרת בצו הקמת מוסד לערעורים (</w:t>
      </w:r>
      <w:r>
        <w:t>Interag</w:t>
      </w:r>
      <w:r w:rsidR="00234E12">
        <w:t>e</w:t>
      </w:r>
      <w:r>
        <w:t>n</w:t>
      </w:r>
      <w:r>
        <w:t>cy Security Classification</w:t>
      </w:r>
      <w:r w:rsidR="000732D6">
        <w:t xml:space="preserve"> Appeals</w:t>
      </w:r>
      <w:r>
        <w:t xml:space="preserve"> Panel</w:t>
      </w:r>
      <w:r>
        <w:rPr>
          <w:rFonts w:hint="cs"/>
          <w:rtl/>
        </w:rPr>
        <w:t xml:space="preserve">) שבסמכותו לאשר חריגה מלוחות הזמנים הקבועים בצו לגבי הסרת סיווג. </w:t>
      </w:r>
    </w:p>
    <w:p w:rsidR="00F90C69" w:rsidP="00FF6AB4" w14:paraId="2619A8BE" w14:textId="77777777">
      <w:pPr>
        <w:pStyle w:val="a"/>
        <w:spacing w:line="269" w:lineRule="auto"/>
        <w:rPr>
          <w:rtl/>
        </w:rPr>
      </w:pPr>
    </w:p>
    <w:p w:rsidR="00F90C69" w:rsidP="00FF6AB4" w14:paraId="416B3D0B" w14:textId="77777777">
      <w:pPr>
        <w:spacing w:line="269" w:lineRule="auto"/>
        <w:rPr>
          <w:rtl/>
        </w:rPr>
      </w:pPr>
      <w:r w:rsidRPr="006273C8">
        <w:rPr>
          <w:rStyle w:val="5"/>
          <w:rFonts w:eastAsia="Calibri" w:hint="cs"/>
          <w:rtl/>
        </w:rPr>
        <w:t>בריטניה:</w:t>
      </w:r>
      <w:r>
        <w:rPr>
          <w:rFonts w:hint="cs"/>
          <w:rtl/>
        </w:rPr>
        <w:t xml:space="preserve"> חוק חופש המידע הבריטי (</w:t>
      </w:r>
      <w:r>
        <w:t>Freedom of Information act 2000</w:t>
      </w:r>
      <w:r>
        <w:rPr>
          <w:rFonts w:hint="cs"/>
          <w:rtl/>
        </w:rPr>
        <w:t>) מעגן את הזכות לחשיפת מידע הנמצא בידי הרשויות. חוק זה אינו חל על גופי הביטחון במדינה.</w:t>
      </w:r>
    </w:p>
    <w:p w:rsidR="00F90C69" w:rsidP="00FF6AB4" w14:paraId="4A11956E" w14:textId="77777777">
      <w:pPr>
        <w:pStyle w:val="a"/>
        <w:spacing w:line="269" w:lineRule="auto"/>
        <w:rPr>
          <w:rFonts w:hint="cs"/>
          <w:rtl/>
        </w:rPr>
      </w:pPr>
    </w:p>
    <w:p w:rsidR="00F90C69" w:rsidP="00FF6AB4" w14:paraId="1F9E6CE9" w14:textId="77777777">
      <w:pPr>
        <w:spacing w:line="269" w:lineRule="auto"/>
        <w:rPr>
          <w:rtl/>
        </w:rPr>
      </w:pPr>
      <w:r>
        <w:rPr>
          <w:rFonts w:hint="cs"/>
          <w:rtl/>
        </w:rPr>
        <w:t>בחוק התיעוד הבריטי (</w:t>
      </w:r>
      <w:r>
        <w:t>Public Records Act 1958</w:t>
      </w:r>
      <w:r>
        <w:rPr>
          <w:rFonts w:hint="cs"/>
          <w:rtl/>
        </w:rPr>
        <w:t xml:space="preserve">) נקבע כי </w:t>
      </w:r>
      <w:r w:rsidR="000732D6">
        <w:rPr>
          <w:rFonts w:hint="cs"/>
          <w:rtl/>
        </w:rPr>
        <w:t xml:space="preserve">החל משנת 2013 </w:t>
      </w:r>
      <w:r>
        <w:rPr>
          <w:rFonts w:hint="cs"/>
          <w:rtl/>
        </w:rPr>
        <w:t xml:space="preserve">כל תיעוד שנדרש להישמר יועבר 20 שנה לאחר כתיבתו למשרד הרשומות. </w:t>
      </w:r>
    </w:p>
    <w:p w:rsidR="00F90C69" w:rsidP="00FF6AB4" w14:paraId="1BC4F938" w14:textId="77777777">
      <w:pPr>
        <w:pStyle w:val="a"/>
        <w:spacing w:line="269" w:lineRule="auto"/>
        <w:rPr>
          <w:rtl/>
        </w:rPr>
      </w:pPr>
    </w:p>
    <w:p w:rsidR="00F90C69" w:rsidP="00FF6AB4" w14:paraId="6E999343" w14:textId="77777777">
      <w:pPr>
        <w:spacing w:line="269" w:lineRule="auto"/>
        <w:rPr>
          <w:rtl/>
        </w:rPr>
      </w:pPr>
      <w:r>
        <w:rPr>
          <w:rFonts w:hint="cs"/>
          <w:rtl/>
        </w:rPr>
        <w:t xml:space="preserve">על פי החקיקה הבריטית, עם העברת התיעוד מגופי הביטחון למשרד הרשומות, הוא מוכפף אוטומטית לחוק חופש המידע וניתן לחשוף אותו. על </w:t>
      </w:r>
      <w:r>
        <w:rPr>
          <w:rFonts w:hint="cs"/>
          <w:rtl/>
        </w:rPr>
        <w:t>פי חוק הרשומות ניתן לפטור העברה של חומר לרשות התיעוד והסמכות ל</w:t>
      </w:r>
      <w:r w:rsidR="004F6110">
        <w:rPr>
          <w:rFonts w:hint="cs"/>
          <w:rtl/>
        </w:rPr>
        <w:t>כך נתונה</w:t>
      </w:r>
      <w:r>
        <w:rPr>
          <w:rFonts w:hint="cs"/>
          <w:rtl/>
        </w:rPr>
        <w:t xml:space="preserve"> בידי </w:t>
      </w:r>
      <w:r>
        <w:t>Secretary Of State</w:t>
      </w:r>
      <w:r>
        <w:rPr>
          <w:rFonts w:hint="cs"/>
          <w:rtl/>
        </w:rPr>
        <w:t>.</w:t>
      </w:r>
      <w:r w:rsidR="008B1937">
        <w:rPr>
          <w:rFonts w:hint="cs"/>
          <w:rtl/>
        </w:rPr>
        <w:t xml:space="preserve"> </w:t>
      </w:r>
    </w:p>
    <w:p w:rsidR="00F90C69" w:rsidP="00FF6AB4" w14:paraId="14B35AD8" w14:textId="77777777">
      <w:pPr>
        <w:pStyle w:val="a"/>
        <w:spacing w:line="269" w:lineRule="auto"/>
        <w:rPr>
          <w:rtl/>
        </w:rPr>
      </w:pPr>
    </w:p>
    <w:p w:rsidR="00EE3D36" w:rsidRPr="00EE3D36" w:rsidP="00EE3D36" w14:paraId="3FB0BA5B" w14:textId="77777777">
      <w:pPr>
        <w:pStyle w:val="a"/>
        <w:rPr>
          <w:rtl/>
        </w:rPr>
      </w:pPr>
    </w:p>
    <w:p w:rsidR="004A37F5" w:rsidP="00FF6AB4" w14:paraId="79E9FD23" w14:textId="77777777">
      <w:pPr>
        <w:pStyle w:val="Heading3"/>
        <w:spacing w:before="0" w:line="269" w:lineRule="auto"/>
        <w:rPr>
          <w:rtl/>
        </w:rPr>
      </w:pPr>
      <w:r w:rsidRPr="002249BA">
        <w:rPr>
          <w:rFonts w:hint="cs"/>
          <w:rtl/>
        </w:rPr>
        <w:t>עיכובים</w:t>
      </w:r>
      <w:r w:rsidRPr="002249BA">
        <w:rPr>
          <w:rtl/>
        </w:rPr>
        <w:t xml:space="preserve"> </w:t>
      </w:r>
      <w:r w:rsidRPr="002249BA">
        <w:rPr>
          <w:rFonts w:hint="cs"/>
          <w:rtl/>
        </w:rPr>
        <w:t>בחשיפת</w:t>
      </w:r>
      <w:r w:rsidRPr="002249BA">
        <w:rPr>
          <w:rtl/>
        </w:rPr>
        <w:t xml:space="preserve"> </w:t>
      </w:r>
      <w:r w:rsidRPr="002249BA">
        <w:rPr>
          <w:rFonts w:hint="cs"/>
          <w:rtl/>
        </w:rPr>
        <w:t>מסמכים</w:t>
      </w:r>
      <w:r w:rsidRPr="002249BA">
        <w:rPr>
          <w:rtl/>
        </w:rPr>
        <w:t xml:space="preserve"> </w:t>
      </w:r>
      <w:r w:rsidRPr="002249BA">
        <w:rPr>
          <w:rFonts w:hint="cs"/>
          <w:rtl/>
        </w:rPr>
        <w:t>שתקופ</w:t>
      </w:r>
      <w:r>
        <w:rPr>
          <w:rFonts w:hint="cs"/>
          <w:rtl/>
        </w:rPr>
        <w:t>ת</w:t>
      </w:r>
      <w:r w:rsidRPr="002249BA">
        <w:rPr>
          <w:rtl/>
        </w:rPr>
        <w:t xml:space="preserve"> </w:t>
      </w:r>
      <w:r w:rsidRPr="002249BA">
        <w:rPr>
          <w:rFonts w:hint="cs"/>
          <w:rtl/>
        </w:rPr>
        <w:t>הגבלתם</w:t>
      </w:r>
      <w:r w:rsidRPr="002249BA">
        <w:rPr>
          <w:rtl/>
        </w:rPr>
        <w:t xml:space="preserve"> </w:t>
      </w:r>
      <w:r w:rsidRPr="002249BA">
        <w:rPr>
          <w:rFonts w:hint="cs"/>
          <w:rtl/>
        </w:rPr>
        <w:t>תמה</w:t>
      </w:r>
    </w:p>
    <w:p w:rsidR="00D230E8" w:rsidRPr="00D230E8" w:rsidP="00FF6AB4" w14:paraId="20A11DE1" w14:textId="77777777">
      <w:pPr>
        <w:pStyle w:val="a"/>
        <w:spacing w:line="269" w:lineRule="auto"/>
        <w:rPr>
          <w:rtl/>
        </w:rPr>
      </w:pPr>
    </w:p>
    <w:p w:rsidR="002D7187" w:rsidRPr="001F493D" w:rsidP="00FF6AB4" w14:paraId="60040572" w14:textId="77777777">
      <w:pPr>
        <w:spacing w:line="269" w:lineRule="auto"/>
        <w:ind w:left="-2"/>
        <w:rPr>
          <w:rtl/>
        </w:rPr>
      </w:pPr>
      <w:r>
        <w:rPr>
          <w:rFonts w:hint="cs"/>
          <w:rtl/>
        </w:rPr>
        <w:t xml:space="preserve">כאמור, בתקנות העיון נקבע כי חשיפת חומר ארכיוני מוגבל שתמה תקופת הגבלתו תיעשה בתום התקופה </w:t>
      </w:r>
      <w:r w:rsidRPr="00623392">
        <w:rPr>
          <w:rFonts w:hint="cs"/>
          <w:rtl/>
        </w:rPr>
        <w:t xml:space="preserve">הנקובה </w:t>
      </w:r>
      <w:r w:rsidR="004260D4">
        <w:rPr>
          <w:rFonts w:hint="cs"/>
          <w:rtl/>
        </w:rPr>
        <w:t>בתקנות</w:t>
      </w:r>
      <w:r w:rsidRPr="001F493D">
        <w:rPr>
          <w:rFonts w:hint="cs"/>
          <w:rtl/>
        </w:rPr>
        <w:t>.</w:t>
      </w:r>
      <w:r w:rsidRPr="001F493D" w:rsidR="001F493D">
        <w:rPr>
          <w:rFonts w:hint="cs"/>
          <w:rtl/>
        </w:rPr>
        <w:t xml:space="preserve"> </w:t>
      </w:r>
    </w:p>
    <w:p w:rsidR="00C12B16" w:rsidP="00FF6AB4" w14:paraId="1551D5E9" w14:textId="77777777">
      <w:pPr>
        <w:pStyle w:val="a"/>
        <w:spacing w:line="269" w:lineRule="auto"/>
        <w:rPr>
          <w:rtl/>
        </w:rPr>
      </w:pPr>
    </w:p>
    <w:p w:rsidR="004A37F5" w:rsidP="00FF6AB4" w14:paraId="7F8809E8" w14:textId="77777777">
      <w:pPr>
        <w:spacing w:line="269" w:lineRule="auto"/>
        <w:ind w:left="-2"/>
        <w:rPr>
          <w:rtl/>
        </w:rPr>
      </w:pPr>
      <w:r w:rsidRPr="006A28E9">
        <w:rPr>
          <w:rFonts w:hint="cs"/>
          <w:b/>
          <w:bCs/>
          <w:rtl/>
        </w:rPr>
        <w:t xml:space="preserve">נמצא </w:t>
      </w:r>
      <w:r w:rsidRPr="006A28E9" w:rsidR="00B03FF6">
        <w:rPr>
          <w:rFonts w:hint="cs"/>
          <w:b/>
          <w:bCs/>
          <w:rtl/>
        </w:rPr>
        <w:t xml:space="preserve">כי ארכיון המדינה וארכיון צה"ל לא חשפו </w:t>
      </w:r>
      <w:r w:rsidRPr="006A28E9" w:rsidR="006801D8">
        <w:rPr>
          <w:rFonts w:hint="cs"/>
          <w:b/>
          <w:bCs/>
          <w:rtl/>
        </w:rPr>
        <w:t>תיקים</w:t>
      </w:r>
      <w:r w:rsidRPr="006A28E9" w:rsidR="006B6845">
        <w:rPr>
          <w:rFonts w:hint="cs"/>
          <w:b/>
          <w:bCs/>
          <w:rtl/>
        </w:rPr>
        <w:t xml:space="preserve"> רבים ובהם</w:t>
      </w:r>
      <w:r w:rsidRPr="006A28E9" w:rsidR="006801D8">
        <w:rPr>
          <w:rFonts w:hint="cs"/>
          <w:b/>
          <w:bCs/>
          <w:rtl/>
        </w:rPr>
        <w:t xml:space="preserve"> </w:t>
      </w:r>
      <w:r w:rsidRPr="006A28E9" w:rsidR="006B6845">
        <w:rPr>
          <w:rFonts w:hint="cs"/>
          <w:b/>
          <w:bCs/>
          <w:rtl/>
        </w:rPr>
        <w:t xml:space="preserve">חומרים </w:t>
      </w:r>
      <w:r w:rsidRPr="006A28E9" w:rsidR="006801D8">
        <w:rPr>
          <w:rFonts w:hint="cs"/>
          <w:b/>
          <w:bCs/>
          <w:rtl/>
        </w:rPr>
        <w:t>מסווגים</w:t>
      </w:r>
      <w:r w:rsidRPr="006A28E9" w:rsidR="00B03FF6">
        <w:rPr>
          <w:rFonts w:hint="cs"/>
          <w:b/>
          <w:bCs/>
          <w:rtl/>
        </w:rPr>
        <w:t xml:space="preserve"> שתקופת ההגבלה </w:t>
      </w:r>
      <w:r w:rsidRPr="006A28E9" w:rsidR="00707551">
        <w:rPr>
          <w:rFonts w:hint="cs"/>
          <w:b/>
          <w:bCs/>
          <w:rtl/>
        </w:rPr>
        <w:t>שלהם</w:t>
      </w:r>
      <w:r w:rsidRPr="006A28E9" w:rsidR="00B03FF6">
        <w:rPr>
          <w:rFonts w:hint="cs"/>
          <w:b/>
          <w:bCs/>
          <w:rtl/>
        </w:rPr>
        <w:t xml:space="preserve"> הסתיימה</w:t>
      </w:r>
      <w:r w:rsidRPr="006A28E9" w:rsidR="00D31393">
        <w:rPr>
          <w:rFonts w:hint="cs"/>
          <w:b/>
          <w:bCs/>
          <w:rtl/>
        </w:rPr>
        <w:t xml:space="preserve"> ושהאחריות לחשיפתם מוטלת עליהם</w:t>
      </w:r>
      <w:r w:rsidRPr="006A28E9" w:rsidR="00B03FF6">
        <w:rPr>
          <w:rFonts w:hint="cs"/>
          <w:b/>
          <w:bCs/>
          <w:rtl/>
        </w:rPr>
        <w:t xml:space="preserve">. </w:t>
      </w:r>
      <w:r w:rsidRPr="006A28E9" w:rsidR="00707551">
        <w:rPr>
          <w:rFonts w:hint="cs"/>
          <w:b/>
          <w:bCs/>
          <w:rtl/>
        </w:rPr>
        <w:t>הדבר בולט בייחוד בארכיון צה"ל,</w:t>
      </w:r>
      <w:r w:rsidRPr="006A28E9" w:rsidR="00B03FF6">
        <w:rPr>
          <w:rFonts w:hint="cs"/>
          <w:b/>
          <w:bCs/>
          <w:rtl/>
        </w:rPr>
        <w:t xml:space="preserve"> נוכח ההיקף הרב של חומרים ארכיוניים כאלה המופקדים בו.</w:t>
      </w:r>
    </w:p>
    <w:p w:rsidR="008E37E7" w:rsidRPr="001F493D" w:rsidP="00FF6AB4" w14:paraId="20F10750" w14:textId="77777777">
      <w:pPr>
        <w:pStyle w:val="a"/>
        <w:spacing w:line="269" w:lineRule="auto"/>
        <w:rPr>
          <w:rtl/>
        </w:rPr>
      </w:pPr>
    </w:p>
    <w:p w:rsidR="00F44E1E" w:rsidP="00FF6AB4" w14:paraId="59B24F9E" w14:textId="77777777">
      <w:pPr>
        <w:spacing w:line="269" w:lineRule="auto"/>
        <w:ind w:left="-2"/>
        <w:rPr>
          <w:rtl/>
        </w:rPr>
      </w:pPr>
      <w:r>
        <w:rPr>
          <w:rFonts w:hint="cs"/>
          <w:rtl/>
        </w:rPr>
        <w:t>בעניין זה יצוין כי</w:t>
      </w:r>
      <w:r w:rsidR="001F493D">
        <w:rPr>
          <w:rFonts w:hint="cs"/>
          <w:rtl/>
        </w:rPr>
        <w:t xml:space="preserve"> </w:t>
      </w:r>
      <w:r w:rsidR="004A37F5">
        <w:rPr>
          <w:rFonts w:hint="cs"/>
          <w:rtl/>
        </w:rPr>
        <w:t xml:space="preserve">בדוח הגנז </w:t>
      </w:r>
      <w:r>
        <w:rPr>
          <w:rFonts w:hint="cs"/>
          <w:rtl/>
        </w:rPr>
        <w:t>ב</w:t>
      </w:r>
      <w:r w:rsidR="004A37F5">
        <w:rPr>
          <w:rFonts w:hint="cs"/>
          <w:rtl/>
        </w:rPr>
        <w:t xml:space="preserve">נושא החשיפה הארכיונית </w:t>
      </w:r>
      <w:r w:rsidR="002E2719">
        <w:rPr>
          <w:rFonts w:hint="cs"/>
          <w:rtl/>
        </w:rPr>
        <w:t>מינואר 2018</w:t>
      </w:r>
      <w:r w:rsidR="004A37F5">
        <w:rPr>
          <w:rFonts w:hint="cs"/>
          <w:rtl/>
        </w:rPr>
        <w:t xml:space="preserve"> </w:t>
      </w:r>
      <w:r>
        <w:rPr>
          <w:rFonts w:hint="cs"/>
          <w:rtl/>
        </w:rPr>
        <w:t xml:space="preserve">נכתב </w:t>
      </w:r>
      <w:r w:rsidRPr="003411B9" w:rsidR="004A37F5">
        <w:rPr>
          <w:rFonts w:hint="cs"/>
          <w:rtl/>
        </w:rPr>
        <w:t xml:space="preserve">כי בארכיון המדינה יש כ-300,000 תיקים מסווגים </w:t>
      </w:r>
      <w:r w:rsidR="004A37F5">
        <w:rPr>
          <w:rFonts w:hint="cs"/>
          <w:rtl/>
        </w:rPr>
        <w:t>שמועד חשיפתם כבר הגיע</w:t>
      </w:r>
      <w:r w:rsidR="00707551">
        <w:rPr>
          <w:rFonts w:hint="cs"/>
          <w:rtl/>
        </w:rPr>
        <w:t>, אולם</w:t>
      </w:r>
      <w:r w:rsidR="004A37F5">
        <w:rPr>
          <w:rFonts w:hint="cs"/>
          <w:rtl/>
        </w:rPr>
        <w:t xml:space="preserve"> הם </w:t>
      </w:r>
      <w:r w:rsidRPr="003411B9" w:rsidR="004A37F5">
        <w:rPr>
          <w:rFonts w:hint="cs"/>
          <w:rtl/>
        </w:rPr>
        <w:t xml:space="preserve">טרם </w:t>
      </w:r>
      <w:r w:rsidR="004A37F5">
        <w:rPr>
          <w:rFonts w:hint="cs"/>
          <w:rtl/>
        </w:rPr>
        <w:t>נחשפו.</w:t>
      </w:r>
      <w:r w:rsidRPr="00912BE3" w:rsidR="004A37F5">
        <w:rPr>
          <w:rFonts w:hint="cs"/>
          <w:rtl/>
        </w:rPr>
        <w:t xml:space="preserve"> </w:t>
      </w:r>
      <w:r w:rsidR="004A37F5">
        <w:rPr>
          <w:rFonts w:hint="cs"/>
          <w:rtl/>
        </w:rPr>
        <w:t>עוד ציין הגנז בדוח האמור כי מדי שנה</w:t>
      </w:r>
      <w:r w:rsidR="00707551">
        <w:rPr>
          <w:rFonts w:hint="cs"/>
          <w:rtl/>
        </w:rPr>
        <w:t xml:space="preserve"> בשנה</w:t>
      </w:r>
      <w:r w:rsidR="004A37F5">
        <w:rPr>
          <w:rFonts w:hint="cs"/>
          <w:rtl/>
        </w:rPr>
        <w:t xml:space="preserve"> נחשפים בארכיו</w:t>
      </w:r>
      <w:r w:rsidR="00707551">
        <w:rPr>
          <w:rFonts w:hint="cs"/>
          <w:rtl/>
        </w:rPr>
        <w:t>ן</w:t>
      </w:r>
      <w:r w:rsidR="00231197">
        <w:rPr>
          <w:rFonts w:hint="cs"/>
          <w:rtl/>
        </w:rPr>
        <w:t xml:space="preserve"> </w:t>
      </w:r>
      <w:r w:rsidR="00707551">
        <w:rPr>
          <w:rFonts w:hint="cs"/>
          <w:rtl/>
        </w:rPr>
        <w:t>המדינה</w:t>
      </w:r>
      <w:r w:rsidR="00515539">
        <w:rPr>
          <w:rtl/>
        </w:rPr>
        <w:br/>
      </w:r>
      <w:r w:rsidR="00707551">
        <w:rPr>
          <w:rFonts w:hint="cs"/>
          <w:rtl/>
        </w:rPr>
        <w:t xml:space="preserve"> כ-10,000 תיקים מסווגים</w:t>
      </w:r>
      <w:r w:rsidR="00B44807">
        <w:rPr>
          <w:rFonts w:hint="cs"/>
          <w:rtl/>
        </w:rPr>
        <w:t>.</w:t>
      </w:r>
      <w:r w:rsidR="004A37F5">
        <w:rPr>
          <w:rFonts w:hint="cs"/>
          <w:rtl/>
        </w:rPr>
        <w:t xml:space="preserve"> </w:t>
      </w:r>
      <w:r w:rsidR="00D66057">
        <w:rPr>
          <w:rFonts w:hint="cs"/>
          <w:rtl/>
        </w:rPr>
        <w:t xml:space="preserve">במהלך הביקורת מסר ארכיון צה"ל </w:t>
      </w:r>
      <w:r w:rsidR="00DC2C86">
        <w:rPr>
          <w:rFonts w:hint="cs"/>
          <w:rtl/>
        </w:rPr>
        <w:t xml:space="preserve">למשרד מבקר המדינה כי </w:t>
      </w:r>
      <w:r w:rsidR="00F0219A">
        <w:rPr>
          <w:rFonts w:hint="cs"/>
          <w:rtl/>
        </w:rPr>
        <w:t>ב</w:t>
      </w:r>
      <w:r w:rsidR="004A37F5">
        <w:rPr>
          <w:rFonts w:hint="cs"/>
          <w:rtl/>
        </w:rPr>
        <w:t xml:space="preserve">שנים 2016-2000 </w:t>
      </w:r>
      <w:r w:rsidR="00D66057">
        <w:rPr>
          <w:rFonts w:hint="cs"/>
          <w:rtl/>
        </w:rPr>
        <w:t xml:space="preserve">הוא </w:t>
      </w:r>
      <w:r w:rsidR="004A37F5">
        <w:rPr>
          <w:rFonts w:hint="cs"/>
          <w:rtl/>
        </w:rPr>
        <w:t>חשף כ-113,940 תיקים</w:t>
      </w:r>
      <w:r w:rsidR="00D66057">
        <w:rPr>
          <w:rFonts w:hint="cs"/>
          <w:rtl/>
        </w:rPr>
        <w:t>, וכי נכון לינואר 2019</w:t>
      </w:r>
      <w:r w:rsidR="004A37F5">
        <w:rPr>
          <w:rFonts w:hint="cs"/>
          <w:rtl/>
        </w:rPr>
        <w:t xml:space="preserve"> </w:t>
      </w:r>
      <w:r w:rsidR="00D66057">
        <w:rPr>
          <w:rFonts w:hint="cs"/>
          <w:rtl/>
        </w:rPr>
        <w:t xml:space="preserve">יש בארכיון </w:t>
      </w:r>
      <w:r w:rsidR="004A37F5">
        <w:rPr>
          <w:rFonts w:hint="cs"/>
          <w:rtl/>
        </w:rPr>
        <w:t>981,156 תיקים שמועד חשיפתם כבר הגיע</w:t>
      </w:r>
      <w:r w:rsidR="006D46DB">
        <w:rPr>
          <w:rFonts w:hint="cs"/>
          <w:rtl/>
        </w:rPr>
        <w:t xml:space="preserve">, </w:t>
      </w:r>
      <w:r w:rsidR="00C72AAA">
        <w:rPr>
          <w:rFonts w:hint="cs"/>
          <w:rtl/>
        </w:rPr>
        <w:t>ו</w:t>
      </w:r>
      <w:r w:rsidR="006D46DB">
        <w:rPr>
          <w:rFonts w:hint="cs"/>
          <w:rtl/>
        </w:rPr>
        <w:t>אולם</w:t>
      </w:r>
      <w:r w:rsidR="004A37F5">
        <w:rPr>
          <w:rFonts w:hint="cs"/>
          <w:rtl/>
        </w:rPr>
        <w:t xml:space="preserve"> הם טרם נחשפו.</w:t>
      </w:r>
    </w:p>
    <w:p w:rsidR="00EE3D36" w14:paraId="28A54C26" w14:textId="77777777">
      <w:pPr>
        <w:bidi w:val="0"/>
        <w:spacing w:line="240" w:lineRule="auto"/>
        <w:jc w:val="left"/>
      </w:pPr>
      <w:r>
        <w:rPr>
          <w:rtl/>
        </w:rPr>
        <w:br w:type="page"/>
      </w:r>
    </w:p>
    <w:p w:rsidR="00D252AD" w:rsidP="004D1F4E" w14:paraId="686708EC" w14:textId="12DE6946">
      <w:pPr>
        <w:spacing w:after="120" w:line="269" w:lineRule="auto"/>
        <w:jc w:val="center"/>
        <w:rPr>
          <w:b/>
          <w:bCs/>
          <w:rtl/>
        </w:rPr>
      </w:pPr>
      <w:r w:rsidRPr="00D252AD">
        <w:rPr>
          <w:rFonts w:hint="cs"/>
          <w:b/>
          <w:bCs/>
          <w:rtl/>
        </w:rPr>
        <w:t>תרשים 1</w:t>
      </w:r>
    </w:p>
    <w:p w:rsidR="00E818A3" w:rsidP="00FF6AB4" w14:paraId="53CE2BA3" w14:textId="77777777">
      <w:pPr>
        <w:spacing w:line="269" w:lineRule="auto"/>
        <w:ind w:left="-2"/>
        <w:jc w:val="center"/>
        <w:rPr>
          <w:b/>
          <w:bCs/>
          <w:rtl/>
        </w:rPr>
      </w:pPr>
      <w:r>
        <w:rPr>
          <w:b/>
          <w:bCs/>
          <w:noProof/>
        </w:rPr>
        <w:drawing>
          <wp:inline distT="0" distB="0" distL="0" distR="0">
            <wp:extent cx="5067300" cy="5753100"/>
            <wp:effectExtent l="0" t="0" r="0" b="0"/>
            <wp:docPr id="2" name="תמונה 2" descr="גרף דדי לשילוב בד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853138" name="Picture 2" descr="גרף דדי לשילוב בדוח"/>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067300" cy="5753100"/>
                    </a:xfrm>
                    <a:prstGeom prst="rect">
                      <a:avLst/>
                    </a:prstGeom>
                    <a:noFill/>
                    <a:ln>
                      <a:noFill/>
                    </a:ln>
                  </pic:spPr>
                </pic:pic>
              </a:graphicData>
            </a:graphic>
          </wp:inline>
        </w:drawing>
      </w:r>
    </w:p>
    <w:p w:rsidR="00BB4801" w:rsidP="00EE3D36" w14:paraId="276CE741" w14:textId="77777777">
      <w:pPr>
        <w:spacing w:before="120" w:line="269" w:lineRule="auto"/>
        <w:rPr>
          <w:sz w:val="16"/>
          <w:szCs w:val="20"/>
          <w:rtl/>
        </w:rPr>
      </w:pPr>
      <w:r>
        <w:rPr>
          <w:rFonts w:hint="cs"/>
          <w:sz w:val="16"/>
          <w:szCs w:val="20"/>
          <w:rtl/>
        </w:rPr>
        <w:t>על-פי נתוני</w:t>
      </w:r>
      <w:r w:rsidRPr="007C4046" w:rsidR="007C4046">
        <w:rPr>
          <w:rFonts w:hint="cs"/>
          <w:sz w:val="16"/>
          <w:szCs w:val="20"/>
          <w:rtl/>
        </w:rPr>
        <w:t xml:space="preserve"> ארכיון המדינה וארכיון צה"ל</w:t>
      </w:r>
      <w:r w:rsidR="00AB63BB">
        <w:rPr>
          <w:rFonts w:hint="cs"/>
          <w:sz w:val="16"/>
          <w:szCs w:val="20"/>
          <w:rtl/>
        </w:rPr>
        <w:t>,</w:t>
      </w:r>
      <w:r w:rsidRPr="007C4046" w:rsidR="007C4046">
        <w:rPr>
          <w:rFonts w:hint="cs"/>
          <w:sz w:val="16"/>
          <w:szCs w:val="20"/>
          <w:rtl/>
        </w:rPr>
        <w:t xml:space="preserve"> </w:t>
      </w:r>
      <w:r>
        <w:rPr>
          <w:rFonts w:hint="cs"/>
          <w:sz w:val="16"/>
          <w:szCs w:val="20"/>
          <w:rtl/>
        </w:rPr>
        <w:t>בעיבוד</w:t>
      </w:r>
      <w:r w:rsidRPr="007C4046" w:rsidR="007C4046">
        <w:rPr>
          <w:rFonts w:hint="cs"/>
          <w:sz w:val="16"/>
          <w:szCs w:val="20"/>
          <w:rtl/>
        </w:rPr>
        <w:t xml:space="preserve"> משרד מבקר המדינה</w:t>
      </w:r>
      <w:r w:rsidR="007C4046">
        <w:rPr>
          <w:rFonts w:hint="cs"/>
          <w:sz w:val="16"/>
          <w:szCs w:val="20"/>
          <w:rtl/>
        </w:rPr>
        <w:t>.</w:t>
      </w:r>
    </w:p>
    <w:p w:rsidR="00C12B16" w:rsidRPr="007C4046" w:rsidP="00FF6AB4" w14:paraId="17F076B1" w14:textId="77777777">
      <w:pPr>
        <w:pStyle w:val="a"/>
        <w:spacing w:line="269" w:lineRule="auto"/>
        <w:rPr>
          <w:rtl/>
        </w:rPr>
      </w:pPr>
    </w:p>
    <w:p w:rsidR="00465C9F" w:rsidP="00FF6AB4" w14:paraId="7F06221D" w14:textId="77777777">
      <w:pPr>
        <w:pStyle w:val="Heading5"/>
        <w:numPr>
          <w:ilvl w:val="0"/>
          <w:numId w:val="22"/>
        </w:numPr>
        <w:spacing w:line="269" w:lineRule="auto"/>
        <w:ind w:left="312"/>
        <w:rPr>
          <w:rtl/>
        </w:rPr>
      </w:pPr>
      <w:r w:rsidRPr="00242C33">
        <w:rPr>
          <w:rFonts w:hint="cs"/>
          <w:rtl/>
        </w:rPr>
        <w:t xml:space="preserve">עיתוי </w:t>
      </w:r>
      <w:r w:rsidRPr="00242C33" w:rsidR="00B03FF6">
        <w:rPr>
          <w:rFonts w:hint="cs"/>
          <w:rtl/>
        </w:rPr>
        <w:t xml:space="preserve">החשיפה של חומר מוגבל </w:t>
      </w:r>
      <w:r w:rsidRPr="00242C33" w:rsidR="00E64669">
        <w:rPr>
          <w:rFonts w:hint="cs"/>
          <w:rtl/>
        </w:rPr>
        <w:t>ב</w:t>
      </w:r>
      <w:r w:rsidRPr="00242C33" w:rsidR="00B03FF6">
        <w:rPr>
          <w:rtl/>
        </w:rPr>
        <w:t>תום תקופת ההגבלה</w:t>
      </w:r>
      <w:r w:rsidRPr="00242C33" w:rsidR="00B03FF6">
        <w:rPr>
          <w:rFonts w:hint="cs"/>
          <w:rtl/>
        </w:rPr>
        <w:t xml:space="preserve"> שלו</w:t>
      </w:r>
    </w:p>
    <w:p w:rsidR="00242C33" w:rsidRPr="00242C33" w:rsidP="00FF6AB4" w14:paraId="2957AD1F" w14:textId="77777777">
      <w:pPr>
        <w:pStyle w:val="a"/>
        <w:spacing w:line="269" w:lineRule="auto"/>
      </w:pPr>
    </w:p>
    <w:p w:rsidR="004A37F5" w:rsidP="00FF6AB4" w14:paraId="23993809" w14:textId="77777777">
      <w:pPr>
        <w:spacing w:line="269" w:lineRule="auto"/>
        <w:ind w:left="312"/>
        <w:rPr>
          <w:rtl/>
        </w:rPr>
      </w:pPr>
      <w:r w:rsidRPr="00DD3B31">
        <w:rPr>
          <w:rFonts w:hint="cs"/>
          <w:b/>
          <w:bCs/>
          <w:rtl/>
        </w:rPr>
        <w:t xml:space="preserve">בביקורת עלה כי </w:t>
      </w:r>
      <w:r>
        <w:rPr>
          <w:rFonts w:hint="cs"/>
          <w:b/>
          <w:bCs/>
          <w:rtl/>
        </w:rPr>
        <w:t>קיימת אי</w:t>
      </w:r>
      <w:r w:rsidR="006B7A9F">
        <w:rPr>
          <w:rFonts w:hint="cs"/>
          <w:b/>
          <w:bCs/>
          <w:rtl/>
        </w:rPr>
        <w:t>-</w:t>
      </w:r>
      <w:r>
        <w:rPr>
          <w:rFonts w:hint="cs"/>
          <w:b/>
          <w:bCs/>
          <w:rtl/>
        </w:rPr>
        <w:t xml:space="preserve">הסכמה </w:t>
      </w:r>
      <w:r w:rsidR="00596054">
        <w:rPr>
          <w:rFonts w:hint="cs"/>
          <w:b/>
          <w:bCs/>
          <w:rtl/>
        </w:rPr>
        <w:t xml:space="preserve">בקרב גורמים שונים </w:t>
      </w:r>
      <w:r>
        <w:rPr>
          <w:rFonts w:hint="cs"/>
          <w:b/>
          <w:bCs/>
          <w:rtl/>
        </w:rPr>
        <w:t xml:space="preserve">לגבי </w:t>
      </w:r>
      <w:r w:rsidR="006E6BB2">
        <w:rPr>
          <w:rFonts w:hint="cs"/>
          <w:b/>
          <w:bCs/>
          <w:rtl/>
        </w:rPr>
        <w:t>חובת המפקיד</w:t>
      </w:r>
      <w:r>
        <w:rPr>
          <w:rFonts w:hint="cs"/>
          <w:b/>
          <w:bCs/>
          <w:rtl/>
        </w:rPr>
        <w:t xml:space="preserve"> ל</w:t>
      </w:r>
      <w:r w:rsidR="00385C8F">
        <w:rPr>
          <w:rFonts w:hint="cs"/>
          <w:b/>
          <w:bCs/>
          <w:rtl/>
        </w:rPr>
        <w:t>חשוף</w:t>
      </w:r>
      <w:r>
        <w:rPr>
          <w:rFonts w:hint="cs"/>
          <w:b/>
          <w:bCs/>
          <w:rtl/>
        </w:rPr>
        <w:t xml:space="preserve"> </w:t>
      </w:r>
      <w:r w:rsidR="00D31393">
        <w:rPr>
          <w:rFonts w:hint="cs"/>
          <w:b/>
          <w:bCs/>
          <w:rtl/>
        </w:rPr>
        <w:t xml:space="preserve">מידית </w:t>
      </w:r>
      <w:r w:rsidR="00231AF4">
        <w:rPr>
          <w:rFonts w:hint="cs"/>
          <w:b/>
          <w:bCs/>
          <w:rtl/>
        </w:rPr>
        <w:t>ו</w:t>
      </w:r>
      <w:r w:rsidR="00385C8F">
        <w:rPr>
          <w:rFonts w:hint="cs"/>
          <w:b/>
          <w:bCs/>
          <w:rtl/>
        </w:rPr>
        <w:t xml:space="preserve">באופן </w:t>
      </w:r>
      <w:r>
        <w:rPr>
          <w:rFonts w:hint="cs"/>
          <w:b/>
          <w:bCs/>
          <w:rtl/>
        </w:rPr>
        <w:t>יזום חומר ארכיוני שתקופת ההגבלה לגביו הסתיימה</w:t>
      </w:r>
      <w:r w:rsidRPr="000A4316">
        <w:rPr>
          <w:rFonts w:hint="cs"/>
          <w:b/>
          <w:bCs/>
          <w:rtl/>
        </w:rPr>
        <w:t>.</w:t>
      </w:r>
      <w:r>
        <w:rPr>
          <w:rFonts w:hint="cs"/>
          <w:rtl/>
        </w:rPr>
        <w:t xml:space="preserve"> </w:t>
      </w:r>
      <w:r w:rsidR="00B03FF6">
        <w:rPr>
          <w:rFonts w:hint="cs"/>
          <w:rtl/>
        </w:rPr>
        <w:t>להלן הפרטים:</w:t>
      </w:r>
    </w:p>
    <w:p w:rsidR="00C12B16" w:rsidP="00FF6AB4" w14:paraId="48076678" w14:textId="77777777">
      <w:pPr>
        <w:pStyle w:val="a"/>
        <w:spacing w:line="269" w:lineRule="auto"/>
        <w:rPr>
          <w:rtl/>
        </w:rPr>
      </w:pPr>
    </w:p>
    <w:p w:rsidR="00231AF4" w:rsidP="00FF6AB4" w14:paraId="5EF2E215" w14:textId="77777777">
      <w:pPr>
        <w:spacing w:line="269" w:lineRule="auto"/>
        <w:ind w:left="312"/>
        <w:rPr>
          <w:rtl/>
        </w:rPr>
      </w:pPr>
      <w:r>
        <w:rPr>
          <w:rFonts w:hint="cs"/>
          <w:rtl/>
        </w:rPr>
        <w:t xml:space="preserve">היועצת המשפטית של ארכיון המדינה כתבה </w:t>
      </w:r>
      <w:r w:rsidR="006043F5">
        <w:rPr>
          <w:rFonts w:hint="cs"/>
          <w:rtl/>
        </w:rPr>
        <w:t>למשרד מבקר המדינה</w:t>
      </w:r>
      <w:r>
        <w:rPr>
          <w:rFonts w:hint="cs"/>
          <w:rtl/>
        </w:rPr>
        <w:t xml:space="preserve"> </w:t>
      </w:r>
      <w:r w:rsidR="00B03FF6">
        <w:rPr>
          <w:rtl/>
        </w:rPr>
        <w:br/>
      </w:r>
      <w:r w:rsidR="006801D8">
        <w:rPr>
          <w:rFonts w:hint="cs"/>
          <w:rtl/>
        </w:rPr>
        <w:t>בינואר 2018</w:t>
      </w:r>
      <w:r>
        <w:rPr>
          <w:rFonts w:hint="cs"/>
          <w:rtl/>
        </w:rPr>
        <w:t xml:space="preserve"> כי לדעתה</w:t>
      </w:r>
      <w:r w:rsidR="006043F5">
        <w:rPr>
          <w:rFonts w:hint="cs"/>
          <w:rtl/>
        </w:rPr>
        <w:t>, משמעותן של</w:t>
      </w:r>
      <w:r>
        <w:rPr>
          <w:rFonts w:hint="cs"/>
          <w:rtl/>
        </w:rPr>
        <w:t xml:space="preserve"> תקנות העיון </w:t>
      </w:r>
      <w:r w:rsidR="006043F5">
        <w:rPr>
          <w:rFonts w:hint="cs"/>
          <w:rtl/>
        </w:rPr>
        <w:t xml:space="preserve">היא </w:t>
      </w:r>
      <w:r>
        <w:rPr>
          <w:rFonts w:hint="cs"/>
          <w:rtl/>
        </w:rPr>
        <w:t xml:space="preserve">"כי חומר אשר חלפה תקופת ההגבלה שלו ייחשף מיד עם תום התקופה". </w:t>
      </w:r>
      <w:r w:rsidR="00764109">
        <w:rPr>
          <w:rFonts w:hint="cs"/>
          <w:rtl/>
        </w:rPr>
        <w:t xml:space="preserve">כלומר, חומר </w:t>
      </w:r>
      <w:r w:rsidR="00AC7137">
        <w:rPr>
          <w:rFonts w:hint="cs"/>
          <w:rtl/>
        </w:rPr>
        <w:t>כזה</w:t>
      </w:r>
      <w:r w:rsidR="00764109">
        <w:rPr>
          <w:rFonts w:hint="cs"/>
          <w:rtl/>
        </w:rPr>
        <w:t xml:space="preserve"> י</w:t>
      </w:r>
      <w:r w:rsidR="00D31393">
        <w:rPr>
          <w:rFonts w:hint="cs"/>
          <w:rtl/>
        </w:rPr>
        <w:t>י</w:t>
      </w:r>
      <w:r w:rsidR="00764109">
        <w:rPr>
          <w:rFonts w:hint="cs"/>
          <w:rtl/>
        </w:rPr>
        <w:t>חשף באופן יזום בלי להמתין לבקשת מבקש (להלן - חשיפה יזומה).</w:t>
      </w:r>
      <w:r w:rsidR="007E6A58">
        <w:rPr>
          <w:rFonts w:hint="cs"/>
          <w:rtl/>
        </w:rPr>
        <w:t xml:space="preserve"> </w:t>
      </w:r>
    </w:p>
    <w:p w:rsidR="00EE3D36" w:rsidP="00EE3D36" w14:paraId="26D82D53" w14:textId="77777777">
      <w:pPr>
        <w:pStyle w:val="a"/>
        <w:rPr>
          <w:rtl/>
        </w:rPr>
      </w:pPr>
    </w:p>
    <w:p w:rsidR="00D31393" w:rsidRPr="00D31393" w:rsidP="004D1F4E" w14:paraId="4E4F9FFE" w14:textId="77777777">
      <w:pPr>
        <w:spacing w:line="269" w:lineRule="auto"/>
        <w:ind w:left="312"/>
        <w:rPr>
          <w:rtl/>
        </w:rPr>
      </w:pPr>
      <w:r>
        <w:rPr>
          <w:rFonts w:hint="cs"/>
          <w:rtl/>
        </w:rPr>
        <w:t>השאלה מהו המועד לחשיפתו של חומר ארכיוני שתמה תקו</w:t>
      </w:r>
      <w:r>
        <w:rPr>
          <w:rFonts w:hint="cs"/>
          <w:rtl/>
        </w:rPr>
        <w:t xml:space="preserve">פת הגבלתו עלתה גם </w:t>
      </w:r>
      <w:r w:rsidRPr="006D67F9" w:rsidR="004A37F5">
        <w:rPr>
          <w:rFonts w:hint="cs"/>
          <w:rtl/>
        </w:rPr>
        <w:t>ב</w:t>
      </w:r>
      <w:r w:rsidRPr="006D67F9" w:rsidR="004A37F5">
        <w:rPr>
          <w:rtl/>
        </w:rPr>
        <w:t xml:space="preserve">כנס </w:t>
      </w:r>
      <w:r w:rsidRPr="006D67F9" w:rsidR="000E2438">
        <w:rPr>
          <w:rFonts w:hint="cs"/>
          <w:rtl/>
        </w:rPr>
        <w:t xml:space="preserve">של </w:t>
      </w:r>
      <w:r w:rsidRPr="006D67F9" w:rsidR="004A37F5">
        <w:rPr>
          <w:rtl/>
        </w:rPr>
        <w:t>האיגוד הישראלי לארכיונאות ולמידע</w:t>
      </w:r>
      <w:r w:rsidRPr="000C73FC" w:rsidR="000C73FC">
        <w:rPr>
          <w:rFonts w:hint="cs"/>
          <w:rtl/>
        </w:rPr>
        <w:t xml:space="preserve"> </w:t>
      </w:r>
      <w:r w:rsidRPr="006D67F9" w:rsidR="000C73FC">
        <w:rPr>
          <w:rFonts w:hint="cs"/>
          <w:rtl/>
        </w:rPr>
        <w:t>שנערך בשנת 2018</w:t>
      </w:r>
      <w:r w:rsidRPr="006C2733" w:rsidR="000E2438">
        <w:rPr>
          <w:rFonts w:hint="cs"/>
          <w:rtl/>
        </w:rPr>
        <w:t>,</w:t>
      </w:r>
      <w:r w:rsidRPr="006D67F9" w:rsidR="006801D8">
        <w:rPr>
          <w:rFonts w:hint="cs"/>
          <w:rtl/>
        </w:rPr>
        <w:t xml:space="preserve"> שבו חברים בין היתר </w:t>
      </w:r>
      <w:r w:rsidR="00AC7137">
        <w:rPr>
          <w:rFonts w:hint="cs"/>
          <w:rtl/>
        </w:rPr>
        <w:t xml:space="preserve">נציגי </w:t>
      </w:r>
      <w:r w:rsidRPr="006D67F9" w:rsidR="006801D8">
        <w:rPr>
          <w:rFonts w:hint="cs"/>
          <w:rtl/>
        </w:rPr>
        <w:t>משרדי ממשלה ומנהלת ארכיון צה"ל משמשת מזכירתו</w:t>
      </w:r>
      <w:r>
        <w:rPr>
          <w:rFonts w:hint="cs"/>
          <w:rtl/>
        </w:rPr>
        <w:t xml:space="preserve">. </w:t>
      </w:r>
      <w:r w:rsidR="00FA5C1F">
        <w:rPr>
          <w:rFonts w:hint="cs"/>
          <w:rtl/>
        </w:rPr>
        <w:t>בכנס</w:t>
      </w:r>
      <w:r w:rsidRPr="006D67F9">
        <w:rPr>
          <w:rtl/>
        </w:rPr>
        <w:t xml:space="preserve"> </w:t>
      </w:r>
      <w:r w:rsidRPr="00D31393" w:rsidR="004A37F5">
        <w:rPr>
          <w:rtl/>
        </w:rPr>
        <w:t xml:space="preserve">דובר </w:t>
      </w:r>
      <w:r w:rsidR="00FA5C1F">
        <w:rPr>
          <w:rFonts w:hint="cs"/>
          <w:rtl/>
        </w:rPr>
        <w:t xml:space="preserve">על </w:t>
      </w:r>
      <w:r w:rsidRPr="00D31393" w:rsidR="004A37F5">
        <w:rPr>
          <w:rtl/>
        </w:rPr>
        <w:t xml:space="preserve">חשיפת חומרים שתקופת ההגבלה </w:t>
      </w:r>
      <w:r w:rsidR="000C73FC">
        <w:rPr>
          <w:rFonts w:hint="cs"/>
          <w:rtl/>
        </w:rPr>
        <w:t>שלהם</w:t>
      </w:r>
      <w:r w:rsidRPr="00D31393" w:rsidR="000C73FC">
        <w:rPr>
          <w:rtl/>
        </w:rPr>
        <w:t xml:space="preserve"> </w:t>
      </w:r>
      <w:r w:rsidRPr="00D31393" w:rsidR="004A37F5">
        <w:rPr>
          <w:rtl/>
        </w:rPr>
        <w:t>היא 15 שנים</w:t>
      </w:r>
      <w:r w:rsidRPr="00D31393" w:rsidR="004A37F5">
        <w:rPr>
          <w:rFonts w:hint="cs"/>
          <w:rtl/>
        </w:rPr>
        <w:t>,</w:t>
      </w:r>
      <w:r w:rsidRPr="00D31393" w:rsidR="004A37F5">
        <w:rPr>
          <w:rtl/>
        </w:rPr>
        <w:t xml:space="preserve"> </w:t>
      </w:r>
      <w:r w:rsidR="00A85EC5">
        <w:rPr>
          <w:rFonts w:hint="cs"/>
          <w:rtl/>
        </w:rPr>
        <w:t>ו</w:t>
      </w:r>
      <w:r w:rsidRPr="00D31393" w:rsidR="004A37F5">
        <w:rPr>
          <w:rtl/>
        </w:rPr>
        <w:t>על</w:t>
      </w:r>
      <w:r w:rsidRPr="00D31393" w:rsidR="004A37F5">
        <w:rPr>
          <w:rFonts w:hint="cs"/>
          <w:rtl/>
        </w:rPr>
        <w:t>תה השאלה</w:t>
      </w:r>
      <w:r w:rsidRPr="00D31393" w:rsidR="004A37F5">
        <w:rPr>
          <w:rtl/>
        </w:rPr>
        <w:t xml:space="preserve"> אם </w:t>
      </w:r>
      <w:r w:rsidR="00AC7137">
        <w:rPr>
          <w:rFonts w:hint="cs"/>
          <w:rtl/>
        </w:rPr>
        <w:t xml:space="preserve">המחוקק התכוון לכך שלאחר תום 15 השנים יתחיל </w:t>
      </w:r>
      <w:r w:rsidR="00FA5C1F">
        <w:rPr>
          <w:rFonts w:hint="cs"/>
          <w:rtl/>
        </w:rPr>
        <w:t xml:space="preserve">הליך </w:t>
      </w:r>
      <w:r w:rsidRPr="00D31393" w:rsidR="004A37F5">
        <w:rPr>
          <w:rtl/>
        </w:rPr>
        <w:t xml:space="preserve">החשיפה או </w:t>
      </w:r>
      <w:r w:rsidRPr="00403549">
        <w:rPr>
          <w:rFonts w:hint="cs"/>
          <w:rtl/>
        </w:rPr>
        <w:t>שמי</w:t>
      </w:r>
      <w:r w:rsidRPr="00403549" w:rsidR="00D47A8A">
        <w:rPr>
          <w:rFonts w:hint="cs"/>
          <w:rtl/>
        </w:rPr>
        <w:t>י</w:t>
      </w:r>
      <w:r w:rsidRPr="00403549">
        <w:rPr>
          <w:rFonts w:hint="cs"/>
          <w:rtl/>
        </w:rPr>
        <w:t>ד</w:t>
      </w:r>
      <w:r>
        <w:rPr>
          <w:rFonts w:hint="cs"/>
          <w:rtl/>
        </w:rPr>
        <w:t xml:space="preserve"> </w:t>
      </w:r>
      <w:r w:rsidR="00FA5C1F">
        <w:rPr>
          <w:rFonts w:hint="cs"/>
          <w:rtl/>
        </w:rPr>
        <w:t>ב</w:t>
      </w:r>
      <w:r>
        <w:rPr>
          <w:rFonts w:hint="cs"/>
          <w:rtl/>
        </w:rPr>
        <w:t>תום 15</w:t>
      </w:r>
      <w:r w:rsidRPr="00D31393" w:rsidR="004A37F5">
        <w:rPr>
          <w:rtl/>
        </w:rPr>
        <w:t xml:space="preserve"> השנים</w:t>
      </w:r>
      <w:r w:rsidR="00CF7585">
        <w:rPr>
          <w:rFonts w:hint="cs"/>
          <w:rtl/>
        </w:rPr>
        <w:t xml:space="preserve"> </w:t>
      </w:r>
      <w:r w:rsidR="00AC7137">
        <w:rPr>
          <w:rFonts w:hint="cs"/>
          <w:rtl/>
        </w:rPr>
        <w:t>יועמד</w:t>
      </w:r>
      <w:r w:rsidRPr="00D31393" w:rsidR="00AC7137">
        <w:rPr>
          <w:rtl/>
        </w:rPr>
        <w:t xml:space="preserve"> </w:t>
      </w:r>
      <w:r>
        <w:rPr>
          <w:rFonts w:hint="cs"/>
          <w:rtl/>
        </w:rPr>
        <w:t xml:space="preserve">החומר </w:t>
      </w:r>
      <w:r w:rsidR="00AC7137">
        <w:rPr>
          <w:rFonts w:hint="cs"/>
          <w:rtl/>
        </w:rPr>
        <w:t xml:space="preserve">במלואו </w:t>
      </w:r>
      <w:r>
        <w:rPr>
          <w:rFonts w:hint="cs"/>
          <w:rtl/>
        </w:rPr>
        <w:t>לעיון הציבור.</w:t>
      </w:r>
      <w:r w:rsidRPr="00D31393" w:rsidR="004A37F5">
        <w:rPr>
          <w:rtl/>
        </w:rPr>
        <w:t xml:space="preserve"> </w:t>
      </w:r>
      <w:r>
        <w:rPr>
          <w:rFonts w:hint="cs"/>
          <w:rtl/>
        </w:rPr>
        <w:t xml:space="preserve">בשל אי-הבהירות הוצע </w:t>
      </w:r>
      <w:r w:rsidR="00AC7137">
        <w:rPr>
          <w:rFonts w:hint="cs"/>
          <w:rtl/>
        </w:rPr>
        <w:t xml:space="preserve">בכנס </w:t>
      </w:r>
      <w:r>
        <w:rPr>
          <w:rFonts w:hint="cs"/>
          <w:rtl/>
        </w:rPr>
        <w:t>"</w:t>
      </w:r>
      <w:r w:rsidRPr="00D31393" w:rsidR="004A37F5">
        <w:rPr>
          <w:rtl/>
        </w:rPr>
        <w:t>לקבוע את מהלך החשיפה בזמן ההפקדה".</w:t>
      </w:r>
    </w:p>
    <w:p w:rsidR="00514424" w:rsidP="004D1F4E" w14:paraId="5FB9C11E" w14:textId="77777777">
      <w:pPr>
        <w:pStyle w:val="a"/>
        <w:spacing w:line="269" w:lineRule="auto"/>
        <w:ind w:left="312"/>
        <w:rPr>
          <w:rtl/>
        </w:rPr>
      </w:pPr>
    </w:p>
    <w:p w:rsidR="00543B74" w:rsidP="004D1F4E" w14:paraId="743280AD" w14:textId="77777777">
      <w:pPr>
        <w:spacing w:line="269" w:lineRule="auto"/>
        <w:ind w:left="312"/>
        <w:rPr>
          <w:rtl/>
        </w:rPr>
      </w:pPr>
      <w:r>
        <w:rPr>
          <w:rFonts w:hint="cs"/>
          <w:rtl/>
        </w:rPr>
        <w:t>בתגובתו</w:t>
      </w:r>
      <w:r w:rsidRPr="00B17B27">
        <w:rPr>
          <w:rFonts w:hint="cs"/>
          <w:rtl/>
        </w:rPr>
        <w:t xml:space="preserve"> </w:t>
      </w:r>
      <w:r w:rsidR="0063702A">
        <w:rPr>
          <w:rFonts w:hint="cs"/>
          <w:rtl/>
        </w:rPr>
        <w:t>מיוני 2019</w:t>
      </w:r>
      <w:r w:rsidR="00216191">
        <w:rPr>
          <w:rFonts w:hint="cs"/>
          <w:rtl/>
        </w:rPr>
        <w:t xml:space="preserve"> </w:t>
      </w:r>
      <w:r>
        <w:rPr>
          <w:rFonts w:hint="cs"/>
          <w:rtl/>
        </w:rPr>
        <w:t>על</w:t>
      </w:r>
      <w:r w:rsidR="00D47A8A">
        <w:rPr>
          <w:rFonts w:hint="cs"/>
          <w:rtl/>
        </w:rPr>
        <w:t xml:space="preserve"> </w:t>
      </w:r>
      <w:r w:rsidR="006801D8">
        <w:rPr>
          <w:rFonts w:hint="cs"/>
          <w:rtl/>
        </w:rPr>
        <w:t xml:space="preserve">טיוטת דוח הביקורת ציין </w:t>
      </w:r>
      <w:r w:rsidR="00216191">
        <w:rPr>
          <w:rFonts w:hint="cs"/>
          <w:rtl/>
        </w:rPr>
        <w:t xml:space="preserve">הגנז לשעבר כי לדעתו כל דחיית </w:t>
      </w:r>
      <w:r w:rsidR="00E64669">
        <w:rPr>
          <w:rFonts w:hint="cs"/>
          <w:rtl/>
        </w:rPr>
        <w:t xml:space="preserve">חשיפתו </w:t>
      </w:r>
      <w:r w:rsidR="00216191">
        <w:rPr>
          <w:rFonts w:hint="cs"/>
          <w:rtl/>
        </w:rPr>
        <w:t xml:space="preserve">של חומר מעבר למועד תום ההגבלה </w:t>
      </w:r>
      <w:r w:rsidR="0063702A">
        <w:rPr>
          <w:rFonts w:hint="cs"/>
          <w:rtl/>
        </w:rPr>
        <w:t>מהווה</w:t>
      </w:r>
      <w:r w:rsidR="00216191">
        <w:rPr>
          <w:rFonts w:hint="cs"/>
          <w:rtl/>
        </w:rPr>
        <w:t xml:space="preserve"> הפרת חוק.</w:t>
      </w:r>
    </w:p>
    <w:p w:rsidR="00C12B16" w:rsidP="004D1F4E" w14:paraId="507F5273" w14:textId="77777777">
      <w:pPr>
        <w:pStyle w:val="a"/>
        <w:spacing w:line="269" w:lineRule="auto"/>
        <w:ind w:left="312"/>
        <w:rPr>
          <w:rtl/>
        </w:rPr>
      </w:pPr>
    </w:p>
    <w:p w:rsidR="00216191" w:rsidP="004D1F4E" w14:paraId="3F8AEB4E" w14:textId="77777777">
      <w:pPr>
        <w:spacing w:line="269" w:lineRule="auto"/>
        <w:ind w:left="312"/>
        <w:rPr>
          <w:rtl/>
        </w:rPr>
      </w:pPr>
      <w:r>
        <w:rPr>
          <w:rFonts w:hint="cs"/>
          <w:rtl/>
        </w:rPr>
        <w:t xml:space="preserve">בדומה לכך מסר </w:t>
      </w:r>
      <w:r w:rsidR="00B03FF6">
        <w:rPr>
          <w:rFonts w:hint="cs"/>
          <w:rtl/>
        </w:rPr>
        <w:t xml:space="preserve">משרד רה"ם בהתייחסותו </w:t>
      </w:r>
      <w:r w:rsidR="006D410F">
        <w:rPr>
          <w:rFonts w:hint="cs"/>
          <w:rtl/>
        </w:rPr>
        <w:t xml:space="preserve">לטיוטת דוח הביקורת </w:t>
      </w:r>
      <w:r w:rsidR="00B03FF6">
        <w:rPr>
          <w:rFonts w:hint="cs"/>
          <w:rtl/>
        </w:rPr>
        <w:t xml:space="preserve">כי להבנתו, </w:t>
      </w:r>
      <w:r w:rsidR="00543B74">
        <w:rPr>
          <w:rFonts w:hint="cs"/>
          <w:rtl/>
        </w:rPr>
        <w:t>"</w:t>
      </w:r>
      <w:r w:rsidR="00B03FF6">
        <w:rPr>
          <w:rFonts w:hint="cs"/>
          <w:rtl/>
        </w:rPr>
        <w:t>כוונת מחוקק המשנה הייתה שבתום תקופת ההגבלה החומר ייחשף</w:t>
      </w:r>
      <w:r w:rsidR="00543B74">
        <w:rPr>
          <w:rFonts w:hint="cs"/>
          <w:rtl/>
        </w:rPr>
        <w:t>..</w:t>
      </w:r>
      <w:r w:rsidR="00B03FF6">
        <w:rPr>
          <w:rFonts w:hint="cs"/>
          <w:rtl/>
        </w:rPr>
        <w:t xml:space="preserve">. </w:t>
      </w:r>
      <w:r w:rsidR="00543B74">
        <w:rPr>
          <w:rFonts w:hint="cs"/>
          <w:rtl/>
        </w:rPr>
        <w:t xml:space="preserve">וזאת לאחר שעבר בדיקה". </w:t>
      </w:r>
      <w:r w:rsidR="00B03FF6">
        <w:rPr>
          <w:rFonts w:hint="cs"/>
          <w:rtl/>
        </w:rPr>
        <w:t xml:space="preserve">משרד רה"ם הוסיף כי </w:t>
      </w:r>
      <w:r w:rsidR="00543B74">
        <w:rPr>
          <w:rFonts w:hint="cs"/>
          <w:rtl/>
        </w:rPr>
        <w:t xml:space="preserve">כל </w:t>
      </w:r>
      <w:r w:rsidR="00B03FF6">
        <w:rPr>
          <w:rFonts w:hint="cs"/>
          <w:rtl/>
        </w:rPr>
        <w:t>נושא ה</w:t>
      </w:r>
      <w:r w:rsidR="00543B74">
        <w:rPr>
          <w:rFonts w:hint="cs"/>
          <w:rtl/>
        </w:rPr>
        <w:t>חשיפה</w:t>
      </w:r>
      <w:r w:rsidR="00B03FF6">
        <w:rPr>
          <w:rFonts w:hint="cs"/>
          <w:rtl/>
        </w:rPr>
        <w:t xml:space="preserve"> יוסדר מחדש בהצעת חוק ארכיונים חדש. </w:t>
      </w:r>
    </w:p>
    <w:p w:rsidR="00C12B16" w:rsidP="004D1F4E" w14:paraId="4F71EDE5" w14:textId="77777777">
      <w:pPr>
        <w:pStyle w:val="a"/>
        <w:spacing w:line="269" w:lineRule="auto"/>
        <w:ind w:left="312"/>
        <w:rPr>
          <w:rtl/>
        </w:rPr>
      </w:pPr>
    </w:p>
    <w:p w:rsidR="00764109" w:rsidP="004D1F4E" w14:paraId="60C04CDF" w14:textId="77777777">
      <w:pPr>
        <w:spacing w:line="269" w:lineRule="auto"/>
        <w:ind w:left="312"/>
        <w:rPr>
          <w:rtl/>
        </w:rPr>
      </w:pPr>
      <w:r>
        <w:rPr>
          <w:rFonts w:hint="cs"/>
          <w:rtl/>
        </w:rPr>
        <w:t>בהתייחסותו מיולי 2019 ל</w:t>
      </w:r>
      <w:r w:rsidR="00543B74">
        <w:rPr>
          <w:rFonts w:hint="cs"/>
          <w:rtl/>
        </w:rPr>
        <w:t xml:space="preserve">טיוטת דוח </w:t>
      </w:r>
      <w:r>
        <w:rPr>
          <w:rFonts w:hint="cs"/>
          <w:rtl/>
        </w:rPr>
        <w:t xml:space="preserve">הביקורת ציין היועץ המשפטי למערכת הביטחון כי </w:t>
      </w:r>
      <w:r w:rsidR="00543B74">
        <w:rPr>
          <w:rFonts w:hint="cs"/>
          <w:rtl/>
        </w:rPr>
        <w:t>"</w:t>
      </w:r>
      <w:r>
        <w:rPr>
          <w:rFonts w:hint="cs"/>
          <w:rtl/>
        </w:rPr>
        <w:t xml:space="preserve">החוק </w:t>
      </w:r>
      <w:r w:rsidR="00543B74">
        <w:rPr>
          <w:rFonts w:hint="cs"/>
          <w:rtl/>
        </w:rPr>
        <w:t xml:space="preserve">אמנם קובע כי בדיקה תתבצע בתום תקופת ההגבלה, אך הוא </w:t>
      </w:r>
      <w:r>
        <w:rPr>
          <w:rFonts w:hint="cs"/>
          <w:rtl/>
        </w:rPr>
        <w:t>אינו מחייב כי הבדיקה תתבצע מיד בתום תקופת ההגבלה</w:t>
      </w:r>
      <w:r w:rsidR="00601456">
        <w:rPr>
          <w:rFonts w:hint="cs"/>
          <w:rtl/>
        </w:rPr>
        <w:t xml:space="preserve">". היועץ </w:t>
      </w:r>
      <w:r w:rsidRPr="006D67F9" w:rsidR="00601456">
        <w:rPr>
          <w:rFonts w:hint="cs"/>
          <w:rtl/>
        </w:rPr>
        <w:t>המשפטי הוסיף שמפאת היקף החומר שבארכיון</w:t>
      </w:r>
      <w:r w:rsidRPr="006D67F9" w:rsidR="004826BA">
        <w:rPr>
          <w:rFonts w:hint="cs"/>
          <w:rtl/>
        </w:rPr>
        <w:t xml:space="preserve"> צה"ל</w:t>
      </w:r>
      <w:r w:rsidRPr="006D67F9" w:rsidR="00601456">
        <w:rPr>
          <w:rFonts w:hint="cs"/>
          <w:rtl/>
        </w:rPr>
        <w:t xml:space="preserve"> לא ניתן לחשוף את</w:t>
      </w:r>
      <w:r w:rsidR="00601456">
        <w:rPr>
          <w:rFonts w:hint="cs"/>
          <w:rtl/>
        </w:rPr>
        <w:t xml:space="preserve"> החומרים "בזמן אפס".</w:t>
      </w:r>
      <w:r>
        <w:rPr>
          <w:rFonts w:hint="cs"/>
          <w:rtl/>
        </w:rPr>
        <w:t xml:space="preserve"> </w:t>
      </w:r>
      <w:r w:rsidR="00AC7137">
        <w:rPr>
          <w:rFonts w:hint="cs"/>
          <w:rtl/>
        </w:rPr>
        <w:t>לדעתו</w:t>
      </w:r>
      <w:r w:rsidR="00601456">
        <w:rPr>
          <w:rFonts w:hint="cs"/>
          <w:rtl/>
        </w:rPr>
        <w:t xml:space="preserve">, "פרשנות המאפשרת את העיון, </w:t>
      </w:r>
      <w:r w:rsidRPr="008539D7" w:rsidR="00601456">
        <w:rPr>
          <w:rFonts w:hint="cs"/>
          <w:b/>
          <w:bCs/>
          <w:rtl/>
        </w:rPr>
        <w:t>למי שביקש לעיין במידע מסוים</w:t>
      </w:r>
      <w:r w:rsidR="00601456">
        <w:rPr>
          <w:rFonts w:hint="cs"/>
          <w:rtl/>
        </w:rPr>
        <w:t>, בכפוף לבדיקה שמתבצעת לאחר שהוא מגיש את בקשתו, הולמת ותואמת את כוונת המחוקק. זאת, לצד פעולות יזומות המתבצעות בארכיון צה"ל, בהתאם לסדרי העדיפויות שנקבעו שם" (ההדגשה במקור)</w:t>
      </w:r>
      <w:r>
        <w:rPr>
          <w:rStyle w:val="FootnoteReference"/>
          <w:rtl/>
        </w:rPr>
        <w:footnoteReference w:id="24"/>
      </w:r>
      <w:r w:rsidR="006F4B41">
        <w:rPr>
          <w:rFonts w:hint="cs"/>
          <w:rtl/>
        </w:rPr>
        <w:t>.</w:t>
      </w:r>
    </w:p>
    <w:p w:rsidR="00C12B16" w:rsidP="004D1F4E" w14:paraId="4C51E951" w14:textId="77777777">
      <w:pPr>
        <w:pStyle w:val="a"/>
        <w:spacing w:line="269" w:lineRule="auto"/>
        <w:ind w:left="312"/>
        <w:rPr>
          <w:rtl/>
        </w:rPr>
      </w:pPr>
    </w:p>
    <w:p w:rsidR="00764109" w:rsidP="004D1F4E" w14:paraId="7D70AE40" w14:textId="77777777">
      <w:pPr>
        <w:spacing w:line="269" w:lineRule="auto"/>
        <w:ind w:left="312"/>
        <w:rPr>
          <w:rtl/>
        </w:rPr>
      </w:pPr>
      <w:r>
        <w:rPr>
          <w:rFonts w:hint="cs"/>
          <w:rtl/>
        </w:rPr>
        <w:t>בתגובתו</w:t>
      </w:r>
      <w:r w:rsidR="00231197">
        <w:rPr>
          <w:rFonts w:hint="cs"/>
          <w:rtl/>
        </w:rPr>
        <w:t xml:space="preserve"> מיוני 2019 </w:t>
      </w:r>
      <w:r>
        <w:rPr>
          <w:rFonts w:hint="cs"/>
          <w:rtl/>
        </w:rPr>
        <w:t xml:space="preserve">על </w:t>
      </w:r>
      <w:r w:rsidR="009322A1">
        <w:rPr>
          <w:rFonts w:hint="cs"/>
          <w:rtl/>
        </w:rPr>
        <w:t xml:space="preserve">טיוטת דוח הביקורת </w:t>
      </w:r>
      <w:r w:rsidR="00231197">
        <w:rPr>
          <w:rFonts w:hint="cs"/>
          <w:rtl/>
        </w:rPr>
        <w:t>מסר ארכיון צה"ל</w:t>
      </w:r>
      <w:r w:rsidR="009322A1">
        <w:rPr>
          <w:rFonts w:hint="cs"/>
          <w:rtl/>
        </w:rPr>
        <w:t xml:space="preserve"> כי לא ניתן </w:t>
      </w:r>
      <w:r>
        <w:rPr>
          <w:rFonts w:hint="cs"/>
          <w:rtl/>
        </w:rPr>
        <w:t xml:space="preserve">לבצע </w:t>
      </w:r>
      <w:r w:rsidR="009322A1">
        <w:rPr>
          <w:rFonts w:hint="cs"/>
          <w:rtl/>
        </w:rPr>
        <w:t>הלכה למעשה</w:t>
      </w:r>
      <w:r w:rsidR="00D47A8A">
        <w:rPr>
          <w:rFonts w:hint="cs"/>
          <w:rtl/>
        </w:rPr>
        <w:t xml:space="preserve"> </w:t>
      </w:r>
      <w:r w:rsidR="009322A1">
        <w:rPr>
          <w:rFonts w:hint="cs"/>
          <w:rtl/>
        </w:rPr>
        <w:t xml:space="preserve">חשיפה יזומה </w:t>
      </w:r>
      <w:r w:rsidRPr="00403549" w:rsidR="009322A1">
        <w:rPr>
          <w:rFonts w:hint="cs"/>
          <w:rtl/>
        </w:rPr>
        <w:t>ומי</w:t>
      </w:r>
      <w:r w:rsidRPr="00403549">
        <w:rPr>
          <w:rFonts w:hint="cs"/>
          <w:rtl/>
        </w:rPr>
        <w:t>י</w:t>
      </w:r>
      <w:r w:rsidRPr="00403549" w:rsidR="009322A1">
        <w:rPr>
          <w:rFonts w:hint="cs"/>
          <w:rtl/>
        </w:rPr>
        <w:t>דית ש</w:t>
      </w:r>
      <w:r w:rsidR="009322A1">
        <w:rPr>
          <w:rFonts w:hint="cs"/>
          <w:rtl/>
        </w:rPr>
        <w:t>ל מסמכים שתמה תקופ</w:t>
      </w:r>
      <w:r w:rsidR="00D47A8A">
        <w:rPr>
          <w:rFonts w:hint="cs"/>
          <w:rtl/>
        </w:rPr>
        <w:t>ת</w:t>
      </w:r>
      <w:r w:rsidR="009322A1">
        <w:rPr>
          <w:rFonts w:hint="cs"/>
          <w:rtl/>
        </w:rPr>
        <w:t xml:space="preserve"> הגבלתם, בעיקר מכיוון שבארכיון </w:t>
      </w:r>
      <w:r w:rsidR="00A85EC5">
        <w:rPr>
          <w:rFonts w:hint="cs"/>
          <w:rtl/>
        </w:rPr>
        <w:t>יש</w:t>
      </w:r>
      <w:r w:rsidR="009322A1">
        <w:rPr>
          <w:rFonts w:hint="cs"/>
          <w:rtl/>
        </w:rPr>
        <w:t xml:space="preserve"> צוות חשיפה </w:t>
      </w:r>
      <w:r>
        <w:rPr>
          <w:rFonts w:hint="cs"/>
          <w:rtl/>
        </w:rPr>
        <w:t xml:space="preserve">קטן </w:t>
      </w:r>
      <w:r w:rsidR="009322A1">
        <w:rPr>
          <w:rFonts w:hint="cs"/>
          <w:rtl/>
        </w:rPr>
        <w:t>שמטפל</w:t>
      </w:r>
      <w:r w:rsidR="00251B3B">
        <w:rPr>
          <w:rFonts w:hint="cs"/>
          <w:rtl/>
        </w:rPr>
        <w:t>, בין היתר,</w:t>
      </w:r>
      <w:r w:rsidR="009322A1">
        <w:rPr>
          <w:rFonts w:hint="cs"/>
          <w:rtl/>
        </w:rPr>
        <w:t xml:space="preserve"> גם בחשיפת חומר שתקופת ההגבלה לגביו טרם הסתיימה.</w:t>
      </w:r>
    </w:p>
    <w:p w:rsidR="00C12B16" w:rsidP="00FF6AB4" w14:paraId="66D9C7AE" w14:textId="77777777">
      <w:pPr>
        <w:pStyle w:val="a"/>
        <w:spacing w:line="269" w:lineRule="auto"/>
        <w:rPr>
          <w:rtl/>
        </w:rPr>
      </w:pPr>
    </w:p>
    <w:p w:rsidR="004A37F5" w:rsidP="004D1F4E" w14:paraId="4BCE56EC" w14:textId="77777777">
      <w:pPr>
        <w:spacing w:line="269" w:lineRule="auto"/>
        <w:ind w:left="312"/>
        <w:rPr>
          <w:b/>
          <w:bCs/>
          <w:rtl/>
        </w:rPr>
      </w:pPr>
      <w:r>
        <w:rPr>
          <w:rFonts w:hint="cs"/>
          <w:b/>
          <w:bCs/>
          <w:rtl/>
        </w:rPr>
        <w:t xml:space="preserve">חשיפת חומר </w:t>
      </w:r>
      <w:r w:rsidR="00AF664F">
        <w:rPr>
          <w:rFonts w:hint="cs"/>
          <w:b/>
          <w:bCs/>
          <w:rtl/>
        </w:rPr>
        <w:t xml:space="preserve">ארכיוני לאחר תום תקופת ההגבלה היא חשובה בשל זכות הציבור לעיין בחומר זה. </w:t>
      </w:r>
      <w:r w:rsidRPr="00107A21" w:rsidR="00B03FF6">
        <w:rPr>
          <w:rFonts w:hint="cs"/>
          <w:b/>
          <w:bCs/>
          <w:rtl/>
        </w:rPr>
        <w:t xml:space="preserve">נוכח </w:t>
      </w:r>
      <w:r w:rsidRPr="00107A21" w:rsidR="00764109">
        <w:rPr>
          <w:rFonts w:hint="cs"/>
          <w:b/>
          <w:bCs/>
          <w:rtl/>
        </w:rPr>
        <w:t>אי</w:t>
      </w:r>
      <w:r w:rsidR="00CD3419">
        <w:rPr>
          <w:rFonts w:hint="cs"/>
          <w:b/>
          <w:bCs/>
          <w:rtl/>
        </w:rPr>
        <w:t>-</w:t>
      </w:r>
      <w:r w:rsidRPr="00107A21" w:rsidR="00764109">
        <w:rPr>
          <w:rFonts w:hint="cs"/>
          <w:b/>
          <w:bCs/>
          <w:rtl/>
        </w:rPr>
        <w:t>ההסכמה</w:t>
      </w:r>
      <w:r w:rsidRPr="00107A21" w:rsidR="00B03FF6">
        <w:rPr>
          <w:rFonts w:hint="cs"/>
          <w:b/>
          <w:bCs/>
          <w:rtl/>
        </w:rPr>
        <w:t xml:space="preserve"> לגבי</w:t>
      </w:r>
      <w:r w:rsidRPr="00107A21" w:rsidR="00E10B4D">
        <w:rPr>
          <w:rFonts w:hint="cs"/>
          <w:b/>
          <w:bCs/>
          <w:rtl/>
        </w:rPr>
        <w:t xml:space="preserve"> החובה לבצע </w:t>
      </w:r>
      <w:r w:rsidR="00E10B4D">
        <w:rPr>
          <w:rFonts w:hint="cs"/>
          <w:b/>
          <w:bCs/>
          <w:rtl/>
        </w:rPr>
        <w:t>חשיפה יזו</w:t>
      </w:r>
      <w:r w:rsidR="003050BA">
        <w:rPr>
          <w:rFonts w:hint="cs"/>
          <w:b/>
          <w:bCs/>
          <w:rtl/>
        </w:rPr>
        <w:t>מה</w:t>
      </w:r>
      <w:r w:rsidR="000C73FC">
        <w:rPr>
          <w:rFonts w:hint="cs"/>
          <w:b/>
          <w:bCs/>
          <w:rtl/>
        </w:rPr>
        <w:t xml:space="preserve"> בכלל, ובייחוד</w:t>
      </w:r>
      <w:r w:rsidR="00E10B4D">
        <w:rPr>
          <w:rFonts w:hint="cs"/>
          <w:b/>
          <w:bCs/>
          <w:rtl/>
        </w:rPr>
        <w:t xml:space="preserve"> </w:t>
      </w:r>
      <w:r w:rsidRPr="00403549" w:rsidR="00CD3419">
        <w:rPr>
          <w:rFonts w:hint="cs"/>
          <w:b/>
          <w:bCs/>
          <w:rtl/>
        </w:rPr>
        <w:t>מ</w:t>
      </w:r>
      <w:r w:rsidRPr="00403549" w:rsidR="007F515F">
        <w:rPr>
          <w:rFonts w:hint="cs"/>
          <w:b/>
          <w:bCs/>
          <w:rtl/>
        </w:rPr>
        <w:t>י</w:t>
      </w:r>
      <w:r w:rsidRPr="00403549" w:rsidR="00CD3419">
        <w:rPr>
          <w:rFonts w:hint="cs"/>
          <w:b/>
          <w:bCs/>
          <w:rtl/>
        </w:rPr>
        <w:t>ד</w:t>
      </w:r>
      <w:r w:rsidR="00CD3419">
        <w:rPr>
          <w:rFonts w:hint="cs"/>
          <w:b/>
          <w:bCs/>
          <w:rtl/>
        </w:rPr>
        <w:t xml:space="preserve"> בתום </w:t>
      </w:r>
      <w:r w:rsidR="00E10B4D">
        <w:rPr>
          <w:rFonts w:hint="cs"/>
          <w:b/>
          <w:bCs/>
          <w:rtl/>
        </w:rPr>
        <w:t>תקופת ההגבלה</w:t>
      </w:r>
      <w:r w:rsidR="00B03FF6">
        <w:rPr>
          <w:rFonts w:hint="cs"/>
          <w:b/>
          <w:bCs/>
          <w:rtl/>
        </w:rPr>
        <w:t>, על הגנז, בשיתוף היועצ</w:t>
      </w:r>
      <w:r w:rsidR="00554029">
        <w:rPr>
          <w:rFonts w:hint="cs"/>
          <w:b/>
          <w:bCs/>
          <w:rtl/>
        </w:rPr>
        <w:t>ים</w:t>
      </w:r>
      <w:r w:rsidR="00B03FF6">
        <w:rPr>
          <w:rFonts w:hint="cs"/>
          <w:b/>
          <w:bCs/>
          <w:rtl/>
        </w:rPr>
        <w:t xml:space="preserve"> המשפט</w:t>
      </w:r>
      <w:r w:rsidR="00554029">
        <w:rPr>
          <w:rFonts w:hint="cs"/>
          <w:b/>
          <w:bCs/>
          <w:rtl/>
        </w:rPr>
        <w:t>י</w:t>
      </w:r>
      <w:r w:rsidR="00B03FF6">
        <w:rPr>
          <w:rFonts w:hint="cs"/>
          <w:b/>
          <w:bCs/>
          <w:rtl/>
        </w:rPr>
        <w:t>י</w:t>
      </w:r>
      <w:r w:rsidR="00554029">
        <w:rPr>
          <w:rFonts w:hint="cs"/>
          <w:b/>
          <w:bCs/>
          <w:rtl/>
        </w:rPr>
        <w:t>ם</w:t>
      </w:r>
      <w:r w:rsidR="00B03FF6">
        <w:rPr>
          <w:rFonts w:hint="cs"/>
          <w:b/>
          <w:bCs/>
          <w:rtl/>
        </w:rPr>
        <w:t xml:space="preserve"> של ארכיון המדינה</w:t>
      </w:r>
      <w:r w:rsidR="00554029">
        <w:rPr>
          <w:rFonts w:hint="cs"/>
          <w:b/>
          <w:bCs/>
          <w:rtl/>
        </w:rPr>
        <w:t xml:space="preserve">, </w:t>
      </w:r>
      <w:r w:rsidR="007F515F">
        <w:rPr>
          <w:rFonts w:hint="cs"/>
          <w:b/>
          <w:bCs/>
          <w:rtl/>
        </w:rPr>
        <w:t xml:space="preserve">על </w:t>
      </w:r>
      <w:r w:rsidR="00554029">
        <w:rPr>
          <w:rFonts w:hint="cs"/>
          <w:b/>
          <w:bCs/>
          <w:rtl/>
        </w:rPr>
        <w:t>משרד רה"ם ו</w:t>
      </w:r>
      <w:r w:rsidR="007F515F">
        <w:rPr>
          <w:rFonts w:hint="cs"/>
          <w:b/>
          <w:bCs/>
          <w:rtl/>
        </w:rPr>
        <w:t xml:space="preserve">על </w:t>
      </w:r>
      <w:r w:rsidR="00EE27F3">
        <w:rPr>
          <w:rFonts w:hint="cs"/>
          <w:b/>
          <w:bCs/>
          <w:rtl/>
        </w:rPr>
        <w:t>מערכת הביטחון</w:t>
      </w:r>
      <w:r w:rsidR="00B03FF6">
        <w:rPr>
          <w:rFonts w:hint="cs"/>
          <w:b/>
          <w:bCs/>
          <w:rtl/>
        </w:rPr>
        <w:t xml:space="preserve"> להידרש לנושא </w:t>
      </w:r>
      <w:r w:rsidR="006043F5">
        <w:rPr>
          <w:rFonts w:hint="cs"/>
          <w:b/>
          <w:bCs/>
          <w:rtl/>
        </w:rPr>
        <w:t>ולפעול מול משרד המשפטים להבהרתו</w:t>
      </w:r>
      <w:r w:rsidR="00B03FF6">
        <w:rPr>
          <w:rFonts w:hint="cs"/>
          <w:b/>
          <w:bCs/>
          <w:rtl/>
        </w:rPr>
        <w:t xml:space="preserve">. </w:t>
      </w:r>
    </w:p>
    <w:p w:rsidR="0087211E" w:rsidP="00FF6AB4" w14:paraId="45E9671D" w14:textId="77777777">
      <w:pPr>
        <w:spacing w:line="269" w:lineRule="auto"/>
        <w:ind w:left="312"/>
        <w:rPr>
          <w:b/>
          <w:bCs/>
          <w:rtl/>
        </w:rPr>
      </w:pPr>
    </w:p>
    <w:p w:rsidR="004A37F5" w:rsidRPr="00242C33" w:rsidP="00FF6AB4" w14:paraId="26259309" w14:textId="77777777">
      <w:pPr>
        <w:pStyle w:val="Heading5"/>
        <w:numPr>
          <w:ilvl w:val="0"/>
          <w:numId w:val="22"/>
        </w:numPr>
        <w:spacing w:line="269" w:lineRule="auto"/>
        <w:ind w:left="312"/>
      </w:pPr>
      <w:r w:rsidRPr="00242C33">
        <w:rPr>
          <w:rFonts w:hint="cs"/>
          <w:rtl/>
        </w:rPr>
        <w:t>היעדר מערכת מידע מסווגת ברמת "סודי" ומעלה בארכיון המדינה</w:t>
      </w:r>
    </w:p>
    <w:p w:rsidR="008B1937" w:rsidP="00FF6AB4" w14:paraId="0A868F66" w14:textId="77777777">
      <w:pPr>
        <w:pStyle w:val="a"/>
        <w:spacing w:line="269" w:lineRule="auto"/>
        <w:rPr>
          <w:rtl/>
        </w:rPr>
      </w:pPr>
    </w:p>
    <w:p w:rsidR="004A37F5" w:rsidP="00FF6AB4" w14:paraId="6737E856" w14:textId="77777777">
      <w:pPr>
        <w:spacing w:line="269" w:lineRule="auto"/>
        <w:ind w:left="312"/>
        <w:rPr>
          <w:rtl/>
        </w:rPr>
      </w:pPr>
      <w:r>
        <w:rPr>
          <w:rFonts w:hint="cs"/>
          <w:rtl/>
        </w:rPr>
        <w:t xml:space="preserve">בארכיון המדינה מבוצעת קליטת רשומות דיגיטליות ממשרדי הממשלה, סריקה של רשומות נייר והנגשה של החומר הארכיוני לציבור באמצעות אתר המרשתת של הארכיון. </w:t>
      </w:r>
      <w:r w:rsidR="00B03FF6">
        <w:rPr>
          <w:rFonts w:hint="cs"/>
          <w:rtl/>
        </w:rPr>
        <w:t>כדי לבצע חשיפה של קבצים דיגיטליים מסווגים</w:t>
      </w:r>
      <w:r w:rsidR="007F515F">
        <w:rPr>
          <w:rFonts w:hint="cs"/>
          <w:rtl/>
        </w:rPr>
        <w:t xml:space="preserve"> שמצויים בארכיון</w:t>
      </w:r>
      <w:r w:rsidR="00B03FF6">
        <w:rPr>
          <w:rFonts w:hint="cs"/>
          <w:rtl/>
        </w:rPr>
        <w:t xml:space="preserve"> נדרש</w:t>
      </w:r>
      <w:r w:rsidR="007F515F">
        <w:rPr>
          <w:rFonts w:hint="cs"/>
          <w:rtl/>
        </w:rPr>
        <w:t xml:space="preserve"> </w:t>
      </w:r>
      <w:r w:rsidR="00251B3B">
        <w:rPr>
          <w:rFonts w:hint="cs"/>
          <w:rtl/>
        </w:rPr>
        <w:t>ש</w:t>
      </w:r>
      <w:r w:rsidR="007F515F">
        <w:rPr>
          <w:rFonts w:hint="cs"/>
          <w:rtl/>
        </w:rPr>
        <w:t>תהיה</w:t>
      </w:r>
      <w:r w:rsidR="00B03FF6">
        <w:rPr>
          <w:rFonts w:hint="cs"/>
          <w:rtl/>
        </w:rPr>
        <w:t xml:space="preserve"> </w:t>
      </w:r>
      <w:r w:rsidR="00AB5B19">
        <w:rPr>
          <w:rFonts w:hint="cs"/>
          <w:rtl/>
        </w:rPr>
        <w:t xml:space="preserve">בארכיון </w:t>
      </w:r>
      <w:r w:rsidR="00B03FF6">
        <w:rPr>
          <w:rFonts w:hint="cs"/>
          <w:rtl/>
        </w:rPr>
        <w:t xml:space="preserve">מערכת מידע מסווגת. עם השנים הלך וגדל משקלם של </w:t>
      </w:r>
      <w:r w:rsidR="00DE51C5">
        <w:rPr>
          <w:rFonts w:hint="cs"/>
          <w:rtl/>
        </w:rPr>
        <w:t>ה</w:t>
      </w:r>
      <w:r w:rsidR="00B03FF6">
        <w:rPr>
          <w:rFonts w:hint="cs"/>
          <w:rtl/>
        </w:rPr>
        <w:t xml:space="preserve">קבצים </w:t>
      </w:r>
      <w:r w:rsidR="00DE51C5">
        <w:rPr>
          <w:rFonts w:hint="cs"/>
          <w:rtl/>
        </w:rPr>
        <w:t>ה</w:t>
      </w:r>
      <w:r w:rsidR="00B03FF6">
        <w:rPr>
          <w:rFonts w:hint="cs"/>
          <w:rtl/>
        </w:rPr>
        <w:t>דיגיטליים, ובכללם קבצים מסווגים, על חשבון החומרים שעל גבי נייר.</w:t>
      </w:r>
    </w:p>
    <w:p w:rsidR="00C4066A" w:rsidP="00FF6AB4" w14:paraId="66D9127E" w14:textId="77777777">
      <w:pPr>
        <w:pStyle w:val="a"/>
        <w:spacing w:line="269" w:lineRule="auto"/>
        <w:rPr>
          <w:rtl/>
        </w:rPr>
      </w:pPr>
    </w:p>
    <w:p w:rsidR="004A37F5" w:rsidRPr="008967C0" w:rsidP="00FF6AB4" w14:paraId="30A75127" w14:textId="77777777">
      <w:pPr>
        <w:spacing w:line="269" w:lineRule="auto"/>
        <w:ind w:left="312"/>
        <w:rPr>
          <w:rtl/>
        </w:rPr>
      </w:pPr>
      <w:r w:rsidRPr="00433DDF">
        <w:rPr>
          <w:rFonts w:hint="cs"/>
          <w:b/>
          <w:bCs/>
          <w:rtl/>
        </w:rPr>
        <w:t>בביקורת</w:t>
      </w:r>
      <w:r w:rsidRPr="00433DDF">
        <w:rPr>
          <w:b/>
          <w:bCs/>
          <w:rtl/>
        </w:rPr>
        <w:t xml:space="preserve"> </w:t>
      </w:r>
      <w:r w:rsidRPr="00433DDF">
        <w:rPr>
          <w:rFonts w:hint="cs"/>
          <w:b/>
          <w:bCs/>
          <w:rtl/>
        </w:rPr>
        <w:t>עלה</w:t>
      </w:r>
      <w:r w:rsidRPr="00433DDF">
        <w:rPr>
          <w:b/>
          <w:bCs/>
          <w:rtl/>
        </w:rPr>
        <w:t xml:space="preserve"> </w:t>
      </w:r>
      <w:r w:rsidRPr="00433DDF">
        <w:rPr>
          <w:rFonts w:hint="cs"/>
          <w:b/>
          <w:bCs/>
          <w:rtl/>
        </w:rPr>
        <w:t>כי</w:t>
      </w:r>
      <w:r w:rsidRPr="00433DDF">
        <w:rPr>
          <w:b/>
          <w:bCs/>
          <w:rtl/>
        </w:rPr>
        <w:t xml:space="preserve"> </w:t>
      </w:r>
      <w:r w:rsidRPr="00433DDF">
        <w:rPr>
          <w:rFonts w:hint="cs"/>
          <w:b/>
          <w:bCs/>
          <w:rtl/>
        </w:rPr>
        <w:t>בארכיון</w:t>
      </w:r>
      <w:r w:rsidRPr="00433DDF">
        <w:rPr>
          <w:b/>
          <w:bCs/>
          <w:rtl/>
        </w:rPr>
        <w:t xml:space="preserve"> </w:t>
      </w:r>
      <w:r w:rsidRPr="00433DDF">
        <w:rPr>
          <w:rFonts w:hint="cs"/>
          <w:b/>
          <w:bCs/>
          <w:rtl/>
        </w:rPr>
        <w:t>המדינה</w:t>
      </w:r>
      <w:r>
        <w:rPr>
          <w:rFonts w:hint="cs"/>
          <w:b/>
          <w:bCs/>
          <w:rtl/>
        </w:rPr>
        <w:t xml:space="preserve"> יש מערכת מידע המורשית להכיל חומרים ברמת סיווג של עד "</w:t>
      </w:r>
      <w:r>
        <w:rPr>
          <w:rFonts w:hint="cs"/>
          <w:b/>
          <w:bCs/>
          <w:rtl/>
        </w:rPr>
        <w:t>שמור",</w:t>
      </w:r>
      <w:r w:rsidRPr="00433DDF">
        <w:rPr>
          <w:b/>
          <w:bCs/>
          <w:rtl/>
        </w:rPr>
        <w:t xml:space="preserve"> </w:t>
      </w:r>
      <w:r w:rsidR="008963BF">
        <w:rPr>
          <w:rFonts w:hint="cs"/>
          <w:b/>
          <w:bCs/>
          <w:rtl/>
        </w:rPr>
        <w:t xml:space="preserve">ואולם </w:t>
      </w:r>
      <w:r w:rsidRPr="00433DDF">
        <w:rPr>
          <w:rFonts w:hint="cs"/>
          <w:b/>
          <w:bCs/>
          <w:rtl/>
        </w:rPr>
        <w:t>אין</w:t>
      </w:r>
      <w:r w:rsidRPr="00433DDF">
        <w:rPr>
          <w:b/>
          <w:bCs/>
          <w:rtl/>
        </w:rPr>
        <w:t xml:space="preserve"> </w:t>
      </w:r>
      <w:r w:rsidRPr="00433DDF">
        <w:rPr>
          <w:rFonts w:hint="cs"/>
          <w:b/>
          <w:bCs/>
          <w:rtl/>
        </w:rPr>
        <w:t>מערכת</w:t>
      </w:r>
      <w:r w:rsidRPr="00433DDF">
        <w:rPr>
          <w:b/>
          <w:bCs/>
          <w:rtl/>
        </w:rPr>
        <w:t xml:space="preserve"> </w:t>
      </w:r>
      <w:r w:rsidRPr="00433DDF">
        <w:rPr>
          <w:rFonts w:hint="cs"/>
          <w:b/>
          <w:bCs/>
          <w:rtl/>
        </w:rPr>
        <w:t>מידע</w:t>
      </w:r>
      <w:r w:rsidRPr="00433DDF">
        <w:rPr>
          <w:b/>
          <w:bCs/>
          <w:rtl/>
        </w:rPr>
        <w:t xml:space="preserve"> </w:t>
      </w:r>
      <w:r w:rsidRPr="00433DDF">
        <w:rPr>
          <w:rFonts w:hint="cs"/>
          <w:b/>
          <w:bCs/>
          <w:rtl/>
        </w:rPr>
        <w:t>המורש</w:t>
      </w:r>
      <w:r>
        <w:rPr>
          <w:rFonts w:hint="cs"/>
          <w:b/>
          <w:bCs/>
          <w:rtl/>
        </w:rPr>
        <w:t>י</w:t>
      </w:r>
      <w:r w:rsidRPr="00433DDF">
        <w:rPr>
          <w:rFonts w:hint="cs"/>
          <w:b/>
          <w:bCs/>
          <w:rtl/>
        </w:rPr>
        <w:t>ת</w:t>
      </w:r>
      <w:r w:rsidRPr="00433DDF">
        <w:rPr>
          <w:b/>
          <w:bCs/>
          <w:rtl/>
        </w:rPr>
        <w:t xml:space="preserve"> </w:t>
      </w:r>
      <w:r w:rsidRPr="00433DDF">
        <w:rPr>
          <w:rFonts w:hint="cs"/>
          <w:b/>
          <w:bCs/>
          <w:rtl/>
        </w:rPr>
        <w:t>להכיל</w:t>
      </w:r>
      <w:r w:rsidRPr="00433DDF">
        <w:rPr>
          <w:b/>
          <w:bCs/>
          <w:rtl/>
        </w:rPr>
        <w:t xml:space="preserve"> </w:t>
      </w:r>
      <w:r w:rsidRPr="00433DDF">
        <w:rPr>
          <w:rFonts w:hint="cs"/>
          <w:b/>
          <w:bCs/>
          <w:rtl/>
        </w:rPr>
        <w:t>חומרים</w:t>
      </w:r>
      <w:r w:rsidRPr="00433DDF">
        <w:rPr>
          <w:b/>
          <w:bCs/>
          <w:rtl/>
        </w:rPr>
        <w:t xml:space="preserve"> </w:t>
      </w:r>
      <w:r w:rsidRPr="008967C0">
        <w:rPr>
          <w:rFonts w:hint="cs"/>
          <w:b/>
          <w:bCs/>
          <w:rtl/>
        </w:rPr>
        <w:t>ברמת סיווג</w:t>
      </w:r>
      <w:r w:rsidRPr="008967C0">
        <w:rPr>
          <w:b/>
          <w:bCs/>
          <w:rtl/>
        </w:rPr>
        <w:t xml:space="preserve"> </w:t>
      </w:r>
      <w:r w:rsidRPr="008967C0">
        <w:rPr>
          <w:rFonts w:hint="cs"/>
          <w:b/>
          <w:bCs/>
          <w:rtl/>
        </w:rPr>
        <w:t>"סודי"</w:t>
      </w:r>
      <w:r w:rsidRPr="008967C0">
        <w:rPr>
          <w:b/>
          <w:bCs/>
          <w:rtl/>
        </w:rPr>
        <w:t xml:space="preserve"> </w:t>
      </w:r>
      <w:r w:rsidRPr="008967C0">
        <w:rPr>
          <w:rFonts w:hint="cs"/>
          <w:b/>
          <w:bCs/>
          <w:rtl/>
        </w:rPr>
        <w:t>ומעלה</w:t>
      </w:r>
      <w:r w:rsidRPr="008967C0" w:rsidR="001B410F">
        <w:rPr>
          <w:rFonts w:hint="cs"/>
          <w:b/>
          <w:bCs/>
          <w:rtl/>
        </w:rPr>
        <w:t>.</w:t>
      </w:r>
      <w:r w:rsidRPr="008967C0" w:rsidR="007F515F">
        <w:rPr>
          <w:rFonts w:hint="cs"/>
          <w:b/>
          <w:bCs/>
          <w:rtl/>
        </w:rPr>
        <w:t xml:space="preserve"> </w:t>
      </w:r>
    </w:p>
    <w:p w:rsidR="00C12B16" w:rsidRPr="008967C0" w:rsidP="00FF6AB4" w14:paraId="1DE115CB" w14:textId="77777777">
      <w:pPr>
        <w:pStyle w:val="a"/>
        <w:spacing w:line="269" w:lineRule="auto"/>
        <w:rPr>
          <w:rtl/>
        </w:rPr>
      </w:pPr>
    </w:p>
    <w:p w:rsidR="004A37F5" w:rsidRPr="008967C0" w:rsidP="00FF6AB4" w14:paraId="5F0DD14E" w14:textId="77777777">
      <w:pPr>
        <w:spacing w:line="269" w:lineRule="auto"/>
        <w:ind w:left="312"/>
        <w:rPr>
          <w:rtl/>
        </w:rPr>
      </w:pPr>
      <w:r w:rsidRPr="00412A6E">
        <w:rPr>
          <w:rFonts w:hint="cs"/>
          <w:rtl/>
        </w:rPr>
        <w:t>ב</w:t>
      </w:r>
      <w:r w:rsidRPr="00412A6E" w:rsidR="003050BA">
        <w:rPr>
          <w:rFonts w:hint="cs"/>
          <w:rtl/>
        </w:rPr>
        <w:t>דצמבר 2018</w:t>
      </w:r>
      <w:r w:rsidRPr="003A6818">
        <w:rPr>
          <w:rFonts w:hint="cs"/>
          <w:rtl/>
        </w:rPr>
        <w:t xml:space="preserve"> כתב</w:t>
      </w:r>
      <w:r w:rsidRPr="00AB22D4">
        <w:rPr>
          <w:rFonts w:hint="cs"/>
          <w:rtl/>
        </w:rPr>
        <w:t xml:space="preserve"> מנהל </w:t>
      </w:r>
      <w:r w:rsidRPr="00D978C2">
        <w:rPr>
          <w:rFonts w:hint="cs"/>
          <w:rtl/>
        </w:rPr>
        <w:t xml:space="preserve">תחום </w:t>
      </w:r>
      <w:r w:rsidRPr="00483F73">
        <w:rPr>
          <w:rFonts w:hint="cs"/>
          <w:rtl/>
        </w:rPr>
        <w:t xml:space="preserve">בכיר במחלקת </w:t>
      </w:r>
      <w:r w:rsidRPr="00483F73" w:rsidR="0096276C">
        <w:rPr>
          <w:rFonts w:hint="cs"/>
          <w:rtl/>
        </w:rPr>
        <w:t>ה</w:t>
      </w:r>
      <w:r w:rsidRPr="00483F73">
        <w:rPr>
          <w:rFonts w:hint="cs"/>
          <w:rtl/>
        </w:rPr>
        <w:t xml:space="preserve">חשיפה שבארכיון המדינה </w:t>
      </w:r>
      <w:r w:rsidRPr="00483F73" w:rsidR="00DE51C5">
        <w:rPr>
          <w:rFonts w:hint="cs"/>
          <w:rtl/>
        </w:rPr>
        <w:t>למשרד מבקר המדינה</w:t>
      </w:r>
      <w:r w:rsidRPr="004566D9">
        <w:rPr>
          <w:rFonts w:hint="cs"/>
          <w:rtl/>
        </w:rPr>
        <w:t xml:space="preserve"> כי הגנז ה</w:t>
      </w:r>
      <w:r w:rsidRPr="004566D9" w:rsidR="00DE51C5">
        <w:rPr>
          <w:rFonts w:hint="cs"/>
          <w:rtl/>
        </w:rPr>
        <w:t xml:space="preserve">קודם ניסה לקדם </w:t>
      </w:r>
      <w:r w:rsidRPr="004C2AE6" w:rsidR="007F515F">
        <w:rPr>
          <w:rFonts w:hint="cs"/>
          <w:rtl/>
        </w:rPr>
        <w:t xml:space="preserve">את </w:t>
      </w:r>
      <w:r w:rsidRPr="004C2AE6" w:rsidR="00DE51C5">
        <w:rPr>
          <w:rFonts w:hint="cs"/>
          <w:rtl/>
        </w:rPr>
        <w:t xml:space="preserve">התקנתה של מערכת </w:t>
      </w:r>
      <w:r w:rsidRPr="004C2AE6" w:rsidR="008F4324">
        <w:rPr>
          <w:rFonts w:hint="cs"/>
          <w:rtl/>
        </w:rPr>
        <w:t>מסווגת</w:t>
      </w:r>
      <w:r w:rsidRPr="004C2AE6" w:rsidR="007F515F">
        <w:rPr>
          <w:rFonts w:hint="cs"/>
          <w:rtl/>
        </w:rPr>
        <w:t>,</w:t>
      </w:r>
      <w:r w:rsidRPr="004C2AE6">
        <w:rPr>
          <w:rFonts w:hint="cs"/>
          <w:rtl/>
        </w:rPr>
        <w:t xml:space="preserve"> </w:t>
      </w:r>
      <w:r w:rsidRPr="004C2AE6" w:rsidR="00260909">
        <w:rPr>
          <w:rFonts w:hint="cs"/>
          <w:rtl/>
        </w:rPr>
        <w:t xml:space="preserve">אך </w:t>
      </w:r>
      <w:r w:rsidRPr="00B15F22">
        <w:rPr>
          <w:rFonts w:hint="cs"/>
          <w:rtl/>
        </w:rPr>
        <w:t xml:space="preserve">ללא הצלחה. </w:t>
      </w:r>
      <w:r w:rsidRPr="00B15F22" w:rsidR="00DE51C5">
        <w:rPr>
          <w:rFonts w:hint="cs"/>
          <w:rtl/>
        </w:rPr>
        <w:t>לדברי</w:t>
      </w:r>
      <w:r w:rsidRPr="00B15F22" w:rsidR="007F515F">
        <w:rPr>
          <w:rFonts w:hint="cs"/>
          <w:rtl/>
        </w:rPr>
        <w:t xml:space="preserve"> המנהל</w:t>
      </w:r>
      <w:r w:rsidRPr="00B15F22" w:rsidR="00DE51C5">
        <w:rPr>
          <w:rFonts w:hint="cs"/>
          <w:rtl/>
        </w:rPr>
        <w:t xml:space="preserve">, </w:t>
      </w:r>
      <w:r w:rsidRPr="00B15F22">
        <w:rPr>
          <w:rFonts w:hint="cs"/>
          <w:rtl/>
        </w:rPr>
        <w:t xml:space="preserve">במצב </w:t>
      </w:r>
      <w:r w:rsidRPr="00E24E1D" w:rsidR="00DE51C5">
        <w:rPr>
          <w:rFonts w:hint="cs"/>
          <w:rtl/>
        </w:rPr>
        <w:t>דברים זה</w:t>
      </w:r>
      <w:r w:rsidRPr="00E24E1D">
        <w:rPr>
          <w:rFonts w:hint="cs"/>
          <w:rtl/>
        </w:rPr>
        <w:t xml:space="preserve"> מסמכים </w:t>
      </w:r>
      <w:r w:rsidRPr="008967C0" w:rsidR="005C7A77">
        <w:rPr>
          <w:rFonts w:hint="cs"/>
          <w:rtl/>
        </w:rPr>
        <w:t>מסווגים</w:t>
      </w:r>
      <w:r w:rsidRPr="008967C0">
        <w:rPr>
          <w:rFonts w:hint="cs"/>
          <w:rtl/>
        </w:rPr>
        <w:t xml:space="preserve"> יישמר</w:t>
      </w:r>
      <w:r w:rsidRPr="008967C0" w:rsidR="00DE51C5">
        <w:rPr>
          <w:rFonts w:hint="cs"/>
          <w:rtl/>
        </w:rPr>
        <w:t xml:space="preserve">ו בינתיים </w:t>
      </w:r>
      <w:r w:rsidRPr="008967C0" w:rsidR="005C7A77">
        <w:rPr>
          <w:rFonts w:hint="cs"/>
          <w:rtl/>
        </w:rPr>
        <w:t>בנפרד</w:t>
      </w:r>
      <w:r w:rsidRPr="008967C0" w:rsidR="00DE51C5">
        <w:rPr>
          <w:rFonts w:hint="cs"/>
          <w:rtl/>
        </w:rPr>
        <w:t xml:space="preserve">, </w:t>
      </w:r>
      <w:r w:rsidRPr="008967C0">
        <w:rPr>
          <w:rFonts w:hint="cs"/>
          <w:rtl/>
        </w:rPr>
        <w:t xml:space="preserve">דבר </w:t>
      </w:r>
      <w:r w:rsidRPr="008967C0" w:rsidR="00DE51C5">
        <w:rPr>
          <w:rFonts w:hint="cs"/>
          <w:rtl/>
        </w:rPr>
        <w:t>ש</w:t>
      </w:r>
      <w:r w:rsidRPr="008967C0">
        <w:rPr>
          <w:rFonts w:hint="cs"/>
          <w:rtl/>
        </w:rPr>
        <w:t>יפגע ביכולת הארכיון "לקלוט, לחשוף</w:t>
      </w:r>
      <w:r w:rsidRPr="008967C0">
        <w:rPr>
          <w:rtl/>
        </w:rPr>
        <w:t xml:space="preserve"> </w:t>
      </w:r>
      <w:r w:rsidRPr="008967C0">
        <w:rPr>
          <w:rFonts w:hint="cs"/>
          <w:rtl/>
        </w:rPr>
        <w:t>ולהנגיש</w:t>
      </w:r>
      <w:r w:rsidRPr="00412A6E">
        <w:rPr>
          <w:rtl/>
        </w:rPr>
        <w:t xml:space="preserve"> חומרים דיגיטליים</w:t>
      </w:r>
      <w:r w:rsidRPr="00412A6E">
        <w:rPr>
          <w:rFonts w:hint="cs"/>
          <w:rtl/>
        </w:rPr>
        <w:t>". ב</w:t>
      </w:r>
      <w:r w:rsidRPr="003A6818" w:rsidR="00A87682">
        <w:rPr>
          <w:rFonts w:hint="cs"/>
          <w:rtl/>
        </w:rPr>
        <w:t xml:space="preserve">ינואר </w:t>
      </w:r>
      <w:r w:rsidRPr="00AB22D4" w:rsidR="00A87682">
        <w:rPr>
          <w:rFonts w:hint="cs"/>
          <w:rtl/>
        </w:rPr>
        <w:t>2019</w:t>
      </w:r>
      <w:r w:rsidRPr="00D978C2">
        <w:rPr>
          <w:rFonts w:hint="cs"/>
          <w:rtl/>
        </w:rPr>
        <w:t xml:space="preserve"> כתבה </w:t>
      </w:r>
      <w:r w:rsidRPr="00483F73" w:rsidR="00F22C7B">
        <w:rPr>
          <w:rFonts w:hint="cs"/>
          <w:rtl/>
        </w:rPr>
        <w:t>סגנית הגנז</w:t>
      </w:r>
      <w:r w:rsidRPr="00483F73" w:rsidR="00A87682">
        <w:rPr>
          <w:rFonts w:hint="cs"/>
          <w:rtl/>
        </w:rPr>
        <w:t xml:space="preserve"> </w:t>
      </w:r>
      <w:r w:rsidRPr="00483F73" w:rsidR="004A65A8">
        <w:rPr>
          <w:rFonts w:hint="cs"/>
          <w:rtl/>
        </w:rPr>
        <w:t xml:space="preserve">דאז </w:t>
      </w:r>
      <w:r w:rsidRPr="00483F73" w:rsidR="00DE51C5">
        <w:rPr>
          <w:rFonts w:hint="cs"/>
          <w:rtl/>
        </w:rPr>
        <w:t>למשרד מבקר המדינה</w:t>
      </w:r>
      <w:r w:rsidRPr="00483F73">
        <w:rPr>
          <w:rFonts w:hint="cs"/>
          <w:rtl/>
        </w:rPr>
        <w:t xml:space="preserve"> בעניין התקנת מערכת מידע ברמת </w:t>
      </w:r>
      <w:r w:rsidRPr="008967C0">
        <w:rPr>
          <w:rFonts w:hint="cs"/>
          <w:rtl/>
        </w:rPr>
        <w:t xml:space="preserve">סיווג </w:t>
      </w:r>
      <w:r w:rsidRPr="008967C0" w:rsidR="008967C0">
        <w:rPr>
          <w:rFonts w:hint="cs"/>
          <w:rtl/>
        </w:rPr>
        <w:t>"סודי" ומעלה</w:t>
      </w:r>
      <w:r w:rsidRPr="008967C0">
        <w:rPr>
          <w:rFonts w:hint="cs"/>
          <w:rtl/>
        </w:rPr>
        <w:t xml:space="preserve"> בארכיון</w:t>
      </w:r>
      <w:r w:rsidRPr="008967C0" w:rsidR="003050BA">
        <w:rPr>
          <w:rFonts w:hint="cs"/>
          <w:rtl/>
        </w:rPr>
        <w:t>,</w:t>
      </w:r>
      <w:r w:rsidRPr="008967C0">
        <w:rPr>
          <w:rFonts w:hint="cs"/>
          <w:rtl/>
        </w:rPr>
        <w:t xml:space="preserve"> כי הקשיים </w:t>
      </w:r>
      <w:r w:rsidRPr="008967C0" w:rsidR="007F515F">
        <w:rPr>
          <w:rFonts w:hint="cs"/>
          <w:rtl/>
        </w:rPr>
        <w:t xml:space="preserve">בנושא זה </w:t>
      </w:r>
      <w:r w:rsidRPr="008967C0">
        <w:rPr>
          <w:rFonts w:hint="cs"/>
          <w:rtl/>
        </w:rPr>
        <w:t>הם תקציביים ואבטחתיים.</w:t>
      </w:r>
    </w:p>
    <w:p w:rsidR="00C12B16" w:rsidRPr="008967C0" w:rsidP="00FF6AB4" w14:paraId="30237EE5" w14:textId="77777777">
      <w:pPr>
        <w:pStyle w:val="a"/>
        <w:spacing w:line="269" w:lineRule="auto"/>
        <w:rPr>
          <w:rtl/>
        </w:rPr>
      </w:pPr>
    </w:p>
    <w:p w:rsidR="00957708" w:rsidP="00FF6AB4" w14:paraId="5CC7DDB3" w14:textId="77777777">
      <w:pPr>
        <w:spacing w:line="269" w:lineRule="auto"/>
        <w:ind w:left="312"/>
        <w:rPr>
          <w:rtl/>
        </w:rPr>
      </w:pPr>
      <w:r w:rsidRPr="00412A6E">
        <w:rPr>
          <w:rFonts w:hint="cs"/>
          <w:rtl/>
        </w:rPr>
        <w:t>בתגובתו</w:t>
      </w:r>
      <w:r w:rsidRPr="003A6818">
        <w:rPr>
          <w:rFonts w:hint="cs"/>
          <w:rtl/>
        </w:rPr>
        <w:t xml:space="preserve"> </w:t>
      </w:r>
      <w:r w:rsidRPr="00AB22D4" w:rsidR="00143431">
        <w:rPr>
          <w:rFonts w:hint="cs"/>
          <w:rtl/>
        </w:rPr>
        <w:t xml:space="preserve">מיולי 2019 </w:t>
      </w:r>
      <w:r w:rsidRPr="00D978C2">
        <w:rPr>
          <w:rFonts w:hint="cs"/>
          <w:rtl/>
        </w:rPr>
        <w:t xml:space="preserve">על </w:t>
      </w:r>
      <w:r w:rsidRPr="00483F73" w:rsidR="00143431">
        <w:rPr>
          <w:rFonts w:hint="cs"/>
          <w:rtl/>
        </w:rPr>
        <w:t xml:space="preserve">טיוטת דוח הביקורת </w:t>
      </w:r>
      <w:r w:rsidRPr="00483F73" w:rsidR="00B03FF6">
        <w:rPr>
          <w:rFonts w:hint="cs"/>
          <w:rtl/>
        </w:rPr>
        <w:t>מסר משרד רה"ם</w:t>
      </w:r>
      <w:r w:rsidRPr="00483F73" w:rsidR="00143431">
        <w:rPr>
          <w:rFonts w:hint="cs"/>
          <w:rtl/>
        </w:rPr>
        <w:t xml:space="preserve"> </w:t>
      </w:r>
      <w:r w:rsidRPr="00483F73" w:rsidR="00B527F9">
        <w:rPr>
          <w:rFonts w:hint="cs"/>
          <w:rtl/>
        </w:rPr>
        <w:t xml:space="preserve">כי </w:t>
      </w:r>
      <w:r w:rsidRPr="00483F73" w:rsidR="004F51E0">
        <w:rPr>
          <w:rFonts w:hint="cs"/>
          <w:rtl/>
        </w:rPr>
        <w:t>לאחר השלמת</w:t>
      </w:r>
      <w:r w:rsidRPr="006C2733" w:rsidR="004F51E0">
        <w:rPr>
          <w:rFonts w:hint="cs"/>
          <w:rtl/>
        </w:rPr>
        <w:t xml:space="preserve"> </w:t>
      </w:r>
      <w:r>
        <w:rPr>
          <w:rFonts w:hint="cs"/>
          <w:rtl/>
        </w:rPr>
        <w:t>ה</w:t>
      </w:r>
      <w:r w:rsidRPr="006C2733" w:rsidR="004F51E0">
        <w:rPr>
          <w:rFonts w:hint="cs"/>
          <w:rtl/>
        </w:rPr>
        <w:t xml:space="preserve">טיפול במערכת שברמת סיווג "שמור", </w:t>
      </w:r>
      <w:r>
        <w:rPr>
          <w:rFonts w:hint="cs"/>
          <w:rtl/>
        </w:rPr>
        <w:t>יטפל</w:t>
      </w:r>
      <w:r w:rsidRPr="006C2733">
        <w:rPr>
          <w:rFonts w:hint="cs"/>
          <w:rtl/>
        </w:rPr>
        <w:t xml:space="preserve"> </w:t>
      </w:r>
      <w:r w:rsidRPr="006C2733" w:rsidR="004F51E0">
        <w:rPr>
          <w:rFonts w:hint="cs"/>
          <w:rtl/>
        </w:rPr>
        <w:t>הארכיון</w:t>
      </w:r>
      <w:r>
        <w:rPr>
          <w:rFonts w:hint="cs"/>
          <w:rtl/>
        </w:rPr>
        <w:t>,</w:t>
      </w:r>
      <w:r w:rsidR="00D47A8A">
        <w:rPr>
          <w:rFonts w:hint="cs"/>
          <w:rtl/>
        </w:rPr>
        <w:t xml:space="preserve"> </w:t>
      </w:r>
      <w:r>
        <w:rPr>
          <w:rFonts w:hint="cs"/>
          <w:rtl/>
        </w:rPr>
        <w:t xml:space="preserve">בשיתוף הממונים על אבטחת המידע במשרד רה"ם ובשב"כ, </w:t>
      </w:r>
      <w:r w:rsidRPr="006C2733" w:rsidR="004F51E0">
        <w:rPr>
          <w:rFonts w:hint="cs"/>
          <w:rtl/>
        </w:rPr>
        <w:t>באפיון</w:t>
      </w:r>
      <w:r w:rsidRPr="006C2733" w:rsidR="00B03FF6">
        <w:rPr>
          <w:rFonts w:hint="cs"/>
          <w:rtl/>
        </w:rPr>
        <w:t xml:space="preserve"> המערכת </w:t>
      </w:r>
      <w:r w:rsidRPr="006C2733" w:rsidR="004F51E0">
        <w:rPr>
          <w:rFonts w:hint="cs"/>
          <w:rtl/>
        </w:rPr>
        <w:t>שברמת סיווג "סודי" ומעלה</w:t>
      </w:r>
      <w:r w:rsidRPr="006C2733" w:rsidR="00B03FF6">
        <w:rPr>
          <w:rFonts w:hint="cs"/>
          <w:rtl/>
        </w:rPr>
        <w:t>.</w:t>
      </w:r>
    </w:p>
    <w:p w:rsidR="00C12B16" w:rsidP="00FF6AB4" w14:paraId="7A90F2F1" w14:textId="77777777">
      <w:pPr>
        <w:pStyle w:val="a"/>
        <w:spacing w:line="269" w:lineRule="auto"/>
        <w:rPr>
          <w:rtl/>
        </w:rPr>
      </w:pPr>
    </w:p>
    <w:p w:rsidR="004A37F5" w:rsidRPr="008B5126" w:rsidP="00FF6AB4" w14:paraId="25C4FC5E" w14:textId="77777777">
      <w:pPr>
        <w:spacing w:line="269" w:lineRule="auto"/>
        <w:ind w:left="312"/>
        <w:rPr>
          <w:b/>
          <w:bCs/>
          <w:rtl/>
        </w:rPr>
      </w:pPr>
      <w:r>
        <w:rPr>
          <w:rFonts w:hint="cs"/>
          <w:b/>
          <w:bCs/>
          <w:rtl/>
        </w:rPr>
        <w:t>מבקר המדינה מציין לחיוב את קליטת הרשומות הדיגיטליות והנגשת</w:t>
      </w:r>
      <w:r>
        <w:rPr>
          <w:rFonts w:hint="cs"/>
          <w:b/>
          <w:bCs/>
          <w:rtl/>
        </w:rPr>
        <w:t xml:space="preserve">ן לציבור באתר המרשתת של ארכיון המדינה. </w:t>
      </w:r>
      <w:r w:rsidR="003807CF">
        <w:rPr>
          <w:rFonts w:hint="cs"/>
          <w:b/>
          <w:bCs/>
          <w:rtl/>
        </w:rPr>
        <w:t>עם זאת</w:t>
      </w:r>
      <w:r w:rsidR="009E0605">
        <w:rPr>
          <w:rFonts w:hint="cs"/>
          <w:b/>
          <w:bCs/>
          <w:rtl/>
        </w:rPr>
        <w:t xml:space="preserve">, </w:t>
      </w:r>
      <w:r w:rsidR="00B03FF6">
        <w:rPr>
          <w:rFonts w:hint="cs"/>
          <w:b/>
          <w:bCs/>
          <w:rtl/>
        </w:rPr>
        <w:t xml:space="preserve">בהיעדר </w:t>
      </w:r>
      <w:r w:rsidR="004F51E0">
        <w:rPr>
          <w:rFonts w:hint="cs"/>
          <w:b/>
          <w:bCs/>
          <w:rtl/>
        </w:rPr>
        <w:t xml:space="preserve">מערכת מידע </w:t>
      </w:r>
      <w:r w:rsidR="00B03FF6">
        <w:rPr>
          <w:rFonts w:hint="cs"/>
          <w:b/>
          <w:bCs/>
          <w:rtl/>
        </w:rPr>
        <w:t>ברמת</w:t>
      </w:r>
      <w:r w:rsidR="004F51E0">
        <w:rPr>
          <w:rFonts w:hint="cs"/>
          <w:b/>
          <w:bCs/>
          <w:rtl/>
        </w:rPr>
        <w:t xml:space="preserve"> סיווג</w:t>
      </w:r>
      <w:r w:rsidR="00B03FF6">
        <w:rPr>
          <w:rFonts w:hint="cs"/>
          <w:b/>
          <w:bCs/>
          <w:rtl/>
        </w:rPr>
        <w:t xml:space="preserve"> "סודי" ומעלה</w:t>
      </w:r>
      <w:r w:rsidR="00682244">
        <w:rPr>
          <w:rFonts w:hint="cs"/>
          <w:b/>
          <w:bCs/>
          <w:rtl/>
        </w:rPr>
        <w:t xml:space="preserve"> בארכיון המדינה</w:t>
      </w:r>
      <w:r w:rsidR="00802E5F">
        <w:rPr>
          <w:rFonts w:hint="cs"/>
          <w:b/>
          <w:bCs/>
          <w:rtl/>
        </w:rPr>
        <w:t xml:space="preserve"> </w:t>
      </w:r>
      <w:r w:rsidR="00E97F7F">
        <w:rPr>
          <w:rFonts w:hint="cs"/>
          <w:b/>
          <w:bCs/>
          <w:rtl/>
        </w:rPr>
        <w:t xml:space="preserve">המאפשרת </w:t>
      </w:r>
      <w:r w:rsidR="007D0C1B">
        <w:rPr>
          <w:rFonts w:hint="cs"/>
          <w:b/>
          <w:bCs/>
          <w:rtl/>
        </w:rPr>
        <w:t xml:space="preserve">עבודה של </w:t>
      </w:r>
      <w:r w:rsidR="00E97F7F">
        <w:rPr>
          <w:rFonts w:hint="cs"/>
          <w:b/>
          <w:bCs/>
          <w:rtl/>
        </w:rPr>
        <w:t>כמה עובדים בו-זמנית</w:t>
      </w:r>
      <w:r w:rsidR="00B03FF6">
        <w:rPr>
          <w:rFonts w:hint="cs"/>
          <w:b/>
          <w:bCs/>
          <w:rtl/>
        </w:rPr>
        <w:t xml:space="preserve">, </w:t>
      </w:r>
      <w:r w:rsidR="00682244">
        <w:rPr>
          <w:rFonts w:hint="cs"/>
          <w:b/>
          <w:bCs/>
          <w:rtl/>
        </w:rPr>
        <w:t xml:space="preserve">יש </w:t>
      </w:r>
      <w:r w:rsidR="00B03FF6">
        <w:rPr>
          <w:rFonts w:hint="cs"/>
          <w:b/>
          <w:bCs/>
          <w:rtl/>
        </w:rPr>
        <w:t xml:space="preserve">לארכיון יכולת מעטה מאוד לקלוט חומרים ארכיוניים </w:t>
      </w:r>
      <w:r w:rsidR="00682244">
        <w:rPr>
          <w:rFonts w:hint="cs"/>
          <w:b/>
          <w:bCs/>
          <w:rtl/>
        </w:rPr>
        <w:t>דיגיטליים ה</w:t>
      </w:r>
      <w:r w:rsidR="00B03FF6">
        <w:rPr>
          <w:rFonts w:hint="cs"/>
          <w:b/>
          <w:bCs/>
          <w:rtl/>
        </w:rPr>
        <w:t>מסווגים</w:t>
      </w:r>
      <w:r w:rsidR="004F51E0">
        <w:rPr>
          <w:rFonts w:hint="cs"/>
          <w:b/>
          <w:bCs/>
          <w:rtl/>
        </w:rPr>
        <w:t xml:space="preserve"> </w:t>
      </w:r>
      <w:r w:rsidR="00B03FF6">
        <w:rPr>
          <w:rFonts w:hint="cs"/>
          <w:b/>
          <w:bCs/>
          <w:rtl/>
        </w:rPr>
        <w:t>ברמ</w:t>
      </w:r>
      <w:r w:rsidR="007D0C1B">
        <w:rPr>
          <w:rFonts w:hint="cs"/>
          <w:b/>
          <w:bCs/>
          <w:rtl/>
        </w:rPr>
        <w:t>ת סיווג</w:t>
      </w:r>
      <w:r w:rsidR="00B03FF6">
        <w:rPr>
          <w:rFonts w:hint="cs"/>
          <w:b/>
          <w:bCs/>
          <w:rtl/>
        </w:rPr>
        <w:t xml:space="preserve"> כזאת, </w:t>
      </w:r>
      <w:r w:rsidR="007D0C1B">
        <w:rPr>
          <w:rFonts w:hint="cs"/>
          <w:b/>
          <w:bCs/>
          <w:rtl/>
        </w:rPr>
        <w:t>ו</w:t>
      </w:r>
      <w:r w:rsidR="00682244">
        <w:rPr>
          <w:rFonts w:hint="cs"/>
          <w:b/>
          <w:bCs/>
          <w:rtl/>
        </w:rPr>
        <w:t>ממילא יש לו</w:t>
      </w:r>
      <w:r w:rsidR="00872A58">
        <w:rPr>
          <w:rFonts w:hint="cs"/>
          <w:b/>
          <w:bCs/>
          <w:rtl/>
        </w:rPr>
        <w:t xml:space="preserve"> </w:t>
      </w:r>
      <w:r w:rsidR="00682244">
        <w:rPr>
          <w:rFonts w:hint="cs"/>
          <w:b/>
          <w:bCs/>
          <w:rtl/>
        </w:rPr>
        <w:t>י</w:t>
      </w:r>
      <w:r w:rsidR="00B03FF6">
        <w:rPr>
          <w:rFonts w:hint="cs"/>
          <w:b/>
          <w:bCs/>
          <w:rtl/>
        </w:rPr>
        <w:t xml:space="preserve">כולת מוגבלת לבצע להם חשיפה. </w:t>
      </w:r>
      <w:r w:rsidRPr="008B5126" w:rsidR="00B03FF6">
        <w:rPr>
          <w:rFonts w:hint="cs"/>
          <w:b/>
          <w:bCs/>
          <w:rtl/>
        </w:rPr>
        <w:t xml:space="preserve">על </w:t>
      </w:r>
      <w:r w:rsidR="00B03FF6">
        <w:rPr>
          <w:rFonts w:hint="cs"/>
          <w:b/>
          <w:bCs/>
          <w:rtl/>
        </w:rPr>
        <w:t>ה</w:t>
      </w:r>
      <w:r w:rsidRPr="008B5126" w:rsidR="00B03FF6">
        <w:rPr>
          <w:rFonts w:hint="cs"/>
          <w:b/>
          <w:bCs/>
          <w:rtl/>
        </w:rPr>
        <w:t>גנז</w:t>
      </w:r>
      <w:r w:rsidR="007D0C1B">
        <w:rPr>
          <w:rFonts w:hint="cs"/>
          <w:b/>
          <w:bCs/>
          <w:rtl/>
        </w:rPr>
        <w:t>,</w:t>
      </w:r>
      <w:r w:rsidRPr="008B5126" w:rsidR="00B03FF6">
        <w:rPr>
          <w:rFonts w:hint="cs"/>
          <w:b/>
          <w:bCs/>
          <w:rtl/>
        </w:rPr>
        <w:t xml:space="preserve"> </w:t>
      </w:r>
      <w:r w:rsidR="00957708">
        <w:rPr>
          <w:rFonts w:hint="cs"/>
          <w:b/>
          <w:bCs/>
          <w:rtl/>
        </w:rPr>
        <w:t xml:space="preserve">בשיתוף משרד רה"ם ושב"כ, </w:t>
      </w:r>
      <w:r w:rsidR="00DA0456">
        <w:rPr>
          <w:rFonts w:hint="cs"/>
          <w:b/>
          <w:bCs/>
          <w:rtl/>
        </w:rPr>
        <w:t>לבחון</w:t>
      </w:r>
      <w:r w:rsidR="00EC52A7">
        <w:rPr>
          <w:rFonts w:hint="cs"/>
          <w:b/>
          <w:bCs/>
          <w:rtl/>
        </w:rPr>
        <w:t xml:space="preserve"> פתרונות לחסמים המונעים</w:t>
      </w:r>
      <w:r w:rsidR="007D0C1B">
        <w:rPr>
          <w:rFonts w:hint="cs"/>
          <w:b/>
          <w:bCs/>
          <w:rtl/>
        </w:rPr>
        <w:t xml:space="preserve"> את</w:t>
      </w:r>
      <w:r w:rsidR="00EC52A7">
        <w:rPr>
          <w:rFonts w:hint="cs"/>
          <w:b/>
          <w:bCs/>
          <w:rtl/>
        </w:rPr>
        <w:t xml:space="preserve"> אפיונה של </w:t>
      </w:r>
      <w:r w:rsidR="00957708">
        <w:rPr>
          <w:rFonts w:hint="cs"/>
          <w:b/>
          <w:bCs/>
          <w:rtl/>
        </w:rPr>
        <w:t xml:space="preserve">מערכת </w:t>
      </w:r>
      <w:r w:rsidR="00EC52A7">
        <w:rPr>
          <w:rFonts w:hint="cs"/>
          <w:b/>
          <w:bCs/>
          <w:rtl/>
        </w:rPr>
        <w:t>לקליטת</w:t>
      </w:r>
      <w:r w:rsidRPr="008B5126" w:rsidR="00EC52A7">
        <w:rPr>
          <w:rFonts w:hint="cs"/>
          <w:b/>
          <w:bCs/>
          <w:rtl/>
        </w:rPr>
        <w:t xml:space="preserve"> </w:t>
      </w:r>
      <w:r w:rsidRPr="008B5126" w:rsidR="00B03FF6">
        <w:rPr>
          <w:rFonts w:hint="cs"/>
          <w:b/>
          <w:bCs/>
          <w:rtl/>
        </w:rPr>
        <w:t xml:space="preserve">חומר </w:t>
      </w:r>
      <w:r w:rsidR="00B03FF6">
        <w:rPr>
          <w:rFonts w:hint="cs"/>
          <w:b/>
          <w:bCs/>
          <w:rtl/>
        </w:rPr>
        <w:t xml:space="preserve">ארכיוני </w:t>
      </w:r>
      <w:r w:rsidRPr="008B5126" w:rsidR="00B03FF6">
        <w:rPr>
          <w:rFonts w:hint="cs"/>
          <w:b/>
          <w:bCs/>
          <w:rtl/>
        </w:rPr>
        <w:t xml:space="preserve">דיגיטלי ברמת סיווג </w:t>
      </w:r>
      <w:r w:rsidR="00B03FF6">
        <w:rPr>
          <w:rFonts w:hint="cs"/>
          <w:b/>
          <w:bCs/>
          <w:rtl/>
        </w:rPr>
        <w:t>"סודי" ומעלה בארכיון המדינה</w:t>
      </w:r>
      <w:r w:rsidR="00682244">
        <w:rPr>
          <w:rFonts w:hint="cs"/>
          <w:b/>
          <w:bCs/>
          <w:rtl/>
        </w:rPr>
        <w:t xml:space="preserve"> </w:t>
      </w:r>
      <w:r w:rsidR="00EC52A7">
        <w:rPr>
          <w:rFonts w:hint="cs"/>
          <w:b/>
          <w:bCs/>
          <w:rtl/>
        </w:rPr>
        <w:t>ו</w:t>
      </w:r>
      <w:r w:rsidR="007D0C1B">
        <w:rPr>
          <w:rFonts w:hint="cs"/>
          <w:b/>
          <w:bCs/>
          <w:rtl/>
        </w:rPr>
        <w:t xml:space="preserve">את </w:t>
      </w:r>
      <w:r w:rsidR="00EC52A7">
        <w:rPr>
          <w:rFonts w:hint="cs"/>
          <w:b/>
          <w:bCs/>
          <w:rtl/>
        </w:rPr>
        <w:t>אחסונו</w:t>
      </w:r>
      <w:r w:rsidR="007D0C1B">
        <w:rPr>
          <w:rFonts w:hint="cs"/>
          <w:b/>
          <w:bCs/>
          <w:rtl/>
        </w:rPr>
        <w:t xml:space="preserve"> של חומר כזה</w:t>
      </w:r>
      <w:r w:rsidR="00C15CEC">
        <w:rPr>
          <w:rFonts w:hint="cs"/>
          <w:b/>
          <w:bCs/>
          <w:rtl/>
        </w:rPr>
        <w:t xml:space="preserve">. </w:t>
      </w:r>
      <w:r w:rsidR="003F26A2">
        <w:rPr>
          <w:rFonts w:hint="cs"/>
          <w:b/>
          <w:bCs/>
          <w:rtl/>
        </w:rPr>
        <w:t>בנוסף, מומלץ כי הגנז ישקול שימוש באמצעים מתקדמים נוספים על מנת</w:t>
      </w:r>
      <w:r w:rsidRPr="006C2733" w:rsidR="00C15CEC">
        <w:rPr>
          <w:rFonts w:hint="cs"/>
          <w:b/>
          <w:bCs/>
          <w:rtl/>
        </w:rPr>
        <w:t xml:space="preserve"> לייעל</w:t>
      </w:r>
      <w:r w:rsidRPr="006C2733" w:rsidR="00407BE8">
        <w:rPr>
          <w:rFonts w:hint="cs"/>
          <w:b/>
          <w:bCs/>
          <w:rtl/>
        </w:rPr>
        <w:t xml:space="preserve"> ול</w:t>
      </w:r>
      <w:r w:rsidRPr="006C2733" w:rsidR="006C2733">
        <w:rPr>
          <w:rFonts w:hint="cs"/>
          <w:b/>
          <w:bCs/>
          <w:rtl/>
        </w:rPr>
        <w:t>זרז</w:t>
      </w:r>
      <w:r w:rsidRPr="006C2733" w:rsidR="00C15CEC">
        <w:rPr>
          <w:rFonts w:hint="cs"/>
          <w:b/>
          <w:bCs/>
          <w:rtl/>
        </w:rPr>
        <w:t xml:space="preserve"> את תהליך החשיפה של מסמכים מסווגים</w:t>
      </w:r>
      <w:r w:rsidRPr="008B5126" w:rsidR="00B03FF6">
        <w:rPr>
          <w:rFonts w:hint="cs"/>
          <w:b/>
          <w:bCs/>
          <w:rtl/>
        </w:rPr>
        <w:t>.</w:t>
      </w:r>
    </w:p>
    <w:p w:rsidR="00C12B16" w:rsidP="00FF6AB4" w14:paraId="11125C85" w14:textId="77777777">
      <w:pPr>
        <w:pStyle w:val="a"/>
        <w:spacing w:line="269" w:lineRule="auto"/>
        <w:rPr>
          <w:rtl/>
        </w:rPr>
      </w:pPr>
    </w:p>
    <w:p w:rsidR="00EE3D36" w:rsidRPr="00EE3D36" w:rsidP="00EE3D36" w14:paraId="087420E7" w14:textId="77777777">
      <w:pPr>
        <w:pStyle w:val="a"/>
        <w:rPr>
          <w:rtl/>
        </w:rPr>
      </w:pPr>
    </w:p>
    <w:p w:rsidR="004A37F5" w:rsidP="00FF6AB4" w14:paraId="6A1EF570" w14:textId="77777777">
      <w:pPr>
        <w:pStyle w:val="Heading3"/>
        <w:spacing w:before="0" w:line="269" w:lineRule="auto"/>
        <w:rPr>
          <w:rtl/>
        </w:rPr>
      </w:pPr>
      <w:r>
        <w:rPr>
          <w:rFonts w:hint="cs"/>
          <w:rtl/>
        </w:rPr>
        <w:t>חיסיון לאחר תום תקופת ההגבלה</w:t>
      </w:r>
      <w:r w:rsidR="00B10895">
        <w:rPr>
          <w:rFonts w:hint="cs"/>
          <w:rtl/>
        </w:rPr>
        <w:t xml:space="preserve"> ללא אישור ועדת השרים</w:t>
      </w:r>
    </w:p>
    <w:p w:rsidR="00D230E8" w:rsidRPr="00D230E8" w:rsidP="00FF6AB4" w14:paraId="40BABA61" w14:textId="77777777">
      <w:pPr>
        <w:pStyle w:val="a"/>
        <w:spacing w:line="269" w:lineRule="auto"/>
        <w:rPr>
          <w:rtl/>
        </w:rPr>
      </w:pPr>
    </w:p>
    <w:p w:rsidR="004A37F5" w:rsidRPr="000036B0" w:rsidP="00C505A8" w14:paraId="568CFC45" w14:textId="77777777">
      <w:pPr>
        <w:spacing w:line="269" w:lineRule="auto"/>
        <w:rPr>
          <w:rtl/>
        </w:rPr>
      </w:pPr>
      <w:r w:rsidRPr="001C7679">
        <w:rPr>
          <w:rtl/>
        </w:rPr>
        <w:t>בחוק הארכיוני</w:t>
      </w:r>
      <w:r>
        <w:rPr>
          <w:rtl/>
        </w:rPr>
        <w:t>ם נקבע כי הגנז</w:t>
      </w:r>
      <w:r w:rsidR="0016540D">
        <w:rPr>
          <w:rFonts w:hint="cs"/>
          <w:rtl/>
        </w:rPr>
        <w:t>,</w:t>
      </w:r>
      <w:r>
        <w:rPr>
          <w:rtl/>
        </w:rPr>
        <w:t xml:space="preserve"> באישור ועד</w:t>
      </w:r>
      <w:r>
        <w:rPr>
          <w:rFonts w:hint="cs"/>
          <w:rtl/>
        </w:rPr>
        <w:t>ה</w:t>
      </w:r>
      <w:r>
        <w:rPr>
          <w:rtl/>
        </w:rPr>
        <w:t xml:space="preserve"> </w:t>
      </w:r>
      <w:r>
        <w:rPr>
          <w:rFonts w:hint="cs"/>
          <w:rtl/>
        </w:rPr>
        <w:t>של שלושה שרים</w:t>
      </w:r>
      <w:r w:rsidRPr="001C7679">
        <w:rPr>
          <w:rtl/>
        </w:rPr>
        <w:t xml:space="preserve"> </w:t>
      </w:r>
      <w:r>
        <w:rPr>
          <w:rFonts w:hint="cs"/>
          <w:rtl/>
        </w:rPr>
        <w:t>ש</w:t>
      </w:r>
      <w:r w:rsidR="0016540D">
        <w:rPr>
          <w:rFonts w:hint="cs"/>
          <w:rtl/>
        </w:rPr>
        <w:t>תמנה</w:t>
      </w:r>
      <w:r>
        <w:rPr>
          <w:rFonts w:hint="cs"/>
          <w:rtl/>
        </w:rPr>
        <w:t xml:space="preserve"> הממשלה (להלן - ועדת השרים)</w:t>
      </w:r>
      <w:r w:rsidR="0016540D">
        <w:rPr>
          <w:rFonts w:hint="cs"/>
          <w:rtl/>
        </w:rPr>
        <w:t>,</w:t>
      </w:r>
      <w:r>
        <w:rPr>
          <w:rtl/>
        </w:rPr>
        <w:t xml:space="preserve"> רשאי לציין </w:t>
      </w:r>
      <w:r w:rsidRPr="001C7679">
        <w:rPr>
          <w:rtl/>
        </w:rPr>
        <w:t>חומר ארכיוני</w:t>
      </w:r>
      <w:r>
        <w:rPr>
          <w:rFonts w:hint="cs"/>
          <w:rtl/>
        </w:rPr>
        <w:t xml:space="preserve"> כסודי מטעמי פגיעה ב</w:t>
      </w:r>
      <w:r w:rsidR="0016540D">
        <w:rPr>
          <w:rFonts w:hint="cs"/>
          <w:rtl/>
        </w:rPr>
        <w:t>ביטחון המדינה או ביחסי החוץ שלה</w:t>
      </w:r>
      <w:r>
        <w:rPr>
          <w:rFonts w:hint="cs"/>
          <w:rtl/>
        </w:rPr>
        <w:t xml:space="preserve"> ולהטיל הגבלות מיוחדות על העיון בחומר זה </w:t>
      </w:r>
      <w:r w:rsidR="0016540D">
        <w:rPr>
          <w:rFonts w:hint="cs"/>
          <w:rtl/>
        </w:rPr>
        <w:t>(</w:t>
      </w:r>
      <w:r w:rsidRPr="001C7679">
        <w:rPr>
          <w:rtl/>
        </w:rPr>
        <w:t>להלן - הטלת חיסיון).</w:t>
      </w:r>
      <w:r>
        <w:rPr>
          <w:rFonts w:hint="cs"/>
          <w:rtl/>
        </w:rPr>
        <w:t xml:space="preserve"> מפקיד </w:t>
      </w:r>
      <w:r w:rsidR="0016540D">
        <w:rPr>
          <w:rFonts w:hint="cs"/>
          <w:rtl/>
        </w:rPr>
        <w:t>המבקש הטלת חיסיון צריך</w:t>
      </w:r>
      <w:r>
        <w:rPr>
          <w:rFonts w:hint="cs"/>
          <w:rtl/>
        </w:rPr>
        <w:t xml:space="preserve"> לפנות לגנז שיפעיל את </w:t>
      </w:r>
      <w:r w:rsidRPr="006C2733">
        <w:rPr>
          <w:rFonts w:hint="cs"/>
          <w:rtl/>
        </w:rPr>
        <w:t>סמכותו האמורה. בשנים 2018-2014 התכנסה ועדת השרים שלוש פעמים בלבד</w:t>
      </w:r>
      <w:r w:rsidRPr="006C2733" w:rsidR="0016540D">
        <w:rPr>
          <w:rFonts w:hint="cs"/>
          <w:rtl/>
        </w:rPr>
        <w:t xml:space="preserve"> </w:t>
      </w:r>
      <w:r w:rsidR="00F03FAC">
        <w:rPr>
          <w:rFonts w:hint="cs"/>
          <w:rtl/>
        </w:rPr>
        <w:t>לשם דיון ב</w:t>
      </w:r>
      <w:r w:rsidRPr="006C2733">
        <w:rPr>
          <w:rFonts w:hint="cs"/>
          <w:rtl/>
        </w:rPr>
        <w:t xml:space="preserve">הטלת חיסיון </w:t>
      </w:r>
      <w:r w:rsidR="008F3F4B">
        <w:rPr>
          <w:rFonts w:hint="cs"/>
          <w:rtl/>
        </w:rPr>
        <w:t xml:space="preserve">על חומר ארכיוני </w:t>
      </w:r>
      <w:r w:rsidRPr="006C2733">
        <w:rPr>
          <w:rFonts w:hint="cs"/>
          <w:rtl/>
        </w:rPr>
        <w:t>מעבר לתקופת ההגבלה על</w:t>
      </w:r>
      <w:r>
        <w:rPr>
          <w:rFonts w:hint="cs"/>
          <w:rtl/>
        </w:rPr>
        <w:t xml:space="preserve"> תיקים </w:t>
      </w:r>
      <w:r w:rsidR="00D87606">
        <w:rPr>
          <w:rFonts w:hint="cs"/>
          <w:rtl/>
        </w:rPr>
        <w:t>יחידים</w:t>
      </w:r>
      <w:r>
        <w:rPr>
          <w:rFonts w:hint="cs"/>
          <w:rtl/>
        </w:rPr>
        <w:t xml:space="preserve"> בלבד</w:t>
      </w:r>
      <w:r w:rsidRPr="000036B0">
        <w:rPr>
          <w:rFonts w:hint="cs"/>
          <w:rtl/>
        </w:rPr>
        <w:t>.</w:t>
      </w:r>
    </w:p>
    <w:p w:rsidR="00C12B16" w:rsidP="00FF6AB4" w14:paraId="79B6C585" w14:textId="77777777">
      <w:pPr>
        <w:pStyle w:val="a"/>
        <w:spacing w:line="269" w:lineRule="auto"/>
        <w:rPr>
          <w:rtl/>
        </w:rPr>
      </w:pPr>
    </w:p>
    <w:p w:rsidR="004A37F5" w:rsidP="00FF6AB4" w14:paraId="73C47314" w14:textId="77777777">
      <w:pPr>
        <w:spacing w:line="269" w:lineRule="auto"/>
        <w:rPr>
          <w:rtl/>
        </w:rPr>
      </w:pPr>
      <w:r w:rsidRPr="007C60B8">
        <w:rPr>
          <w:rFonts w:hint="cs"/>
          <w:b/>
          <w:bCs/>
          <w:rtl/>
        </w:rPr>
        <w:t>בביקורת</w:t>
      </w:r>
      <w:r w:rsidRPr="007C60B8">
        <w:rPr>
          <w:b/>
          <w:bCs/>
          <w:rtl/>
        </w:rPr>
        <w:t xml:space="preserve"> </w:t>
      </w:r>
      <w:r w:rsidRPr="007C60B8">
        <w:rPr>
          <w:rFonts w:hint="cs"/>
          <w:b/>
          <w:bCs/>
          <w:rtl/>
        </w:rPr>
        <w:t>עלה</w:t>
      </w:r>
      <w:r w:rsidRPr="007C60B8">
        <w:rPr>
          <w:b/>
          <w:bCs/>
          <w:rtl/>
        </w:rPr>
        <w:t xml:space="preserve"> </w:t>
      </w:r>
      <w:r w:rsidRPr="007C60B8">
        <w:rPr>
          <w:rFonts w:hint="cs"/>
          <w:b/>
          <w:bCs/>
          <w:rtl/>
        </w:rPr>
        <w:t>כי</w:t>
      </w:r>
      <w:r w:rsidRPr="007C60B8">
        <w:rPr>
          <w:b/>
          <w:bCs/>
          <w:rtl/>
        </w:rPr>
        <w:t xml:space="preserve"> </w:t>
      </w:r>
      <w:r w:rsidR="00185800">
        <w:rPr>
          <w:rFonts w:hint="cs"/>
          <w:b/>
          <w:bCs/>
          <w:rtl/>
        </w:rPr>
        <w:t>ברוב</w:t>
      </w:r>
      <w:r w:rsidR="00FC22B7">
        <w:rPr>
          <w:rFonts w:hint="cs"/>
          <w:b/>
          <w:bCs/>
          <w:rtl/>
        </w:rPr>
        <w:t xml:space="preserve"> המקרים</w:t>
      </w:r>
      <w:r w:rsidRPr="007C60B8">
        <w:rPr>
          <w:b/>
          <w:bCs/>
          <w:rtl/>
        </w:rPr>
        <w:t xml:space="preserve"> </w:t>
      </w:r>
      <w:r w:rsidRPr="007C60B8">
        <w:rPr>
          <w:rFonts w:hint="cs"/>
          <w:b/>
          <w:bCs/>
          <w:rtl/>
        </w:rPr>
        <w:t>שבהם</w:t>
      </w:r>
      <w:r w:rsidRPr="007C60B8">
        <w:rPr>
          <w:b/>
          <w:bCs/>
          <w:rtl/>
        </w:rPr>
        <w:t xml:space="preserve"> </w:t>
      </w:r>
      <w:r w:rsidRPr="007C60B8">
        <w:rPr>
          <w:rFonts w:hint="cs"/>
          <w:b/>
          <w:bCs/>
          <w:rtl/>
        </w:rPr>
        <w:t>הוטל</w:t>
      </w:r>
      <w:r w:rsidRPr="007C60B8">
        <w:rPr>
          <w:b/>
          <w:bCs/>
          <w:rtl/>
        </w:rPr>
        <w:t xml:space="preserve"> </w:t>
      </w:r>
      <w:r w:rsidRPr="007C60B8">
        <w:rPr>
          <w:rFonts w:hint="cs"/>
          <w:b/>
          <w:bCs/>
          <w:rtl/>
        </w:rPr>
        <w:t>חיסיון</w:t>
      </w:r>
      <w:r w:rsidRPr="007C60B8">
        <w:rPr>
          <w:b/>
          <w:bCs/>
          <w:rtl/>
        </w:rPr>
        <w:t xml:space="preserve"> </w:t>
      </w:r>
      <w:r w:rsidRPr="007C60B8">
        <w:rPr>
          <w:rFonts w:hint="cs"/>
          <w:b/>
          <w:bCs/>
          <w:rtl/>
        </w:rPr>
        <w:t>על</w:t>
      </w:r>
      <w:r w:rsidRPr="007C60B8">
        <w:rPr>
          <w:b/>
          <w:bCs/>
          <w:rtl/>
        </w:rPr>
        <w:t xml:space="preserve"> </w:t>
      </w:r>
      <w:r w:rsidRPr="007C60B8">
        <w:rPr>
          <w:rFonts w:hint="cs"/>
          <w:b/>
          <w:bCs/>
          <w:rtl/>
        </w:rPr>
        <w:t>חומרים</w:t>
      </w:r>
      <w:r w:rsidRPr="007C60B8">
        <w:rPr>
          <w:b/>
          <w:bCs/>
          <w:rtl/>
        </w:rPr>
        <w:t xml:space="preserve"> </w:t>
      </w:r>
      <w:r w:rsidRPr="007C60B8">
        <w:rPr>
          <w:rFonts w:hint="cs"/>
          <w:b/>
          <w:bCs/>
          <w:rtl/>
        </w:rPr>
        <w:t>ארכיוניים</w:t>
      </w:r>
      <w:r w:rsidRPr="007C60B8">
        <w:rPr>
          <w:b/>
          <w:bCs/>
          <w:rtl/>
        </w:rPr>
        <w:t xml:space="preserve"> בתום תקופת ההגבלה</w:t>
      </w:r>
      <w:r w:rsidR="00D87606">
        <w:rPr>
          <w:rFonts w:hint="cs"/>
          <w:b/>
          <w:bCs/>
          <w:rtl/>
        </w:rPr>
        <w:t>,</w:t>
      </w:r>
      <w:r w:rsidRPr="007C60B8">
        <w:rPr>
          <w:b/>
          <w:bCs/>
          <w:rtl/>
        </w:rPr>
        <w:t xml:space="preserve"> </w:t>
      </w:r>
      <w:r w:rsidRPr="007C60B8">
        <w:rPr>
          <w:rFonts w:hint="cs"/>
          <w:b/>
          <w:bCs/>
          <w:rtl/>
        </w:rPr>
        <w:t>הדבר</w:t>
      </w:r>
      <w:r w:rsidRPr="007C60B8">
        <w:rPr>
          <w:b/>
          <w:bCs/>
          <w:rtl/>
        </w:rPr>
        <w:t xml:space="preserve"> נעשה </w:t>
      </w:r>
      <w:r w:rsidRPr="007C60B8">
        <w:rPr>
          <w:rFonts w:hint="cs"/>
          <w:b/>
          <w:bCs/>
          <w:rtl/>
        </w:rPr>
        <w:t>ללא</w:t>
      </w:r>
      <w:r w:rsidRPr="007C60B8">
        <w:rPr>
          <w:b/>
          <w:bCs/>
          <w:rtl/>
        </w:rPr>
        <w:t xml:space="preserve"> </w:t>
      </w:r>
      <w:r w:rsidRPr="007C60B8">
        <w:rPr>
          <w:rFonts w:hint="cs"/>
          <w:b/>
          <w:bCs/>
          <w:rtl/>
        </w:rPr>
        <w:t>אישורה</w:t>
      </w:r>
      <w:r w:rsidRPr="007C60B8">
        <w:rPr>
          <w:b/>
          <w:bCs/>
          <w:rtl/>
        </w:rPr>
        <w:t xml:space="preserve"> </w:t>
      </w:r>
      <w:r w:rsidRPr="007C60B8">
        <w:rPr>
          <w:rFonts w:hint="cs"/>
          <w:b/>
          <w:bCs/>
          <w:rtl/>
        </w:rPr>
        <w:t>של</w:t>
      </w:r>
      <w:r w:rsidRPr="007C60B8">
        <w:rPr>
          <w:b/>
          <w:bCs/>
          <w:rtl/>
        </w:rPr>
        <w:t xml:space="preserve"> </w:t>
      </w:r>
      <w:r w:rsidRPr="007C60B8">
        <w:rPr>
          <w:rFonts w:hint="cs"/>
          <w:b/>
          <w:bCs/>
          <w:rtl/>
        </w:rPr>
        <w:t>ועדת</w:t>
      </w:r>
      <w:r w:rsidRPr="007C60B8">
        <w:rPr>
          <w:b/>
          <w:bCs/>
          <w:rtl/>
        </w:rPr>
        <w:t xml:space="preserve"> </w:t>
      </w:r>
      <w:r w:rsidRPr="007C60B8">
        <w:rPr>
          <w:rFonts w:hint="cs"/>
          <w:b/>
          <w:bCs/>
          <w:rtl/>
        </w:rPr>
        <w:t>השרים</w:t>
      </w:r>
      <w:r w:rsidR="00074F0F">
        <w:rPr>
          <w:rFonts w:hint="cs"/>
          <w:b/>
          <w:bCs/>
          <w:rtl/>
        </w:rPr>
        <w:t xml:space="preserve">, בין היתר עקב קשיים </w:t>
      </w:r>
      <w:r w:rsidRPr="007E3569" w:rsidR="00074F0F">
        <w:rPr>
          <w:rFonts w:hint="cs"/>
          <w:b/>
          <w:bCs/>
          <w:rtl/>
        </w:rPr>
        <w:t>בכינוס</w:t>
      </w:r>
      <w:r w:rsidRPr="007E3569" w:rsidR="00185800">
        <w:rPr>
          <w:rFonts w:hint="cs"/>
          <w:b/>
          <w:bCs/>
          <w:rtl/>
        </w:rPr>
        <w:t>ה</w:t>
      </w:r>
      <w:r w:rsidRPr="007E3569">
        <w:rPr>
          <w:b/>
          <w:bCs/>
          <w:rtl/>
        </w:rPr>
        <w:t xml:space="preserve">. </w:t>
      </w:r>
      <w:r w:rsidRPr="007E3569">
        <w:rPr>
          <w:rFonts w:hint="cs"/>
          <w:rtl/>
        </w:rPr>
        <w:t>להלן הפרטים:</w:t>
      </w:r>
    </w:p>
    <w:p w:rsidR="00C12B16" w:rsidP="00FF6AB4" w14:paraId="527FB888" w14:textId="77777777">
      <w:pPr>
        <w:pStyle w:val="a"/>
        <w:spacing w:line="269" w:lineRule="auto"/>
        <w:rPr>
          <w:rtl/>
        </w:rPr>
      </w:pPr>
    </w:p>
    <w:p w:rsidR="004A37F5" w:rsidRPr="002E5DB7" w:rsidP="00FF6AB4" w14:paraId="08D71366" w14:textId="77777777">
      <w:pPr>
        <w:spacing w:line="269" w:lineRule="auto"/>
        <w:rPr>
          <w:b/>
          <w:bCs/>
          <w:u w:val="single"/>
          <w:rtl/>
        </w:rPr>
      </w:pPr>
      <w:r w:rsidRPr="006D105B">
        <w:rPr>
          <w:rFonts w:hint="cs"/>
          <w:rtl/>
        </w:rPr>
        <w:t xml:space="preserve">במכתב </w:t>
      </w:r>
      <w:r w:rsidR="003A68EB">
        <w:rPr>
          <w:rFonts w:hint="cs"/>
          <w:rtl/>
        </w:rPr>
        <w:t>מספטמבר 2016</w:t>
      </w:r>
      <w:r w:rsidRPr="006D105B">
        <w:rPr>
          <w:rFonts w:hint="cs"/>
          <w:rtl/>
        </w:rPr>
        <w:t xml:space="preserve"> ליועץ המשפטי לממשלה בעניין חשיפת חומר ארכיוני כתב הגנז</w:t>
      </w:r>
      <w:r w:rsidR="003A68EB">
        <w:rPr>
          <w:rFonts w:hint="cs"/>
          <w:rtl/>
        </w:rPr>
        <w:t xml:space="preserve"> דאז</w:t>
      </w:r>
      <w:r w:rsidR="00606B5D">
        <w:rPr>
          <w:rFonts w:hint="cs"/>
          <w:rtl/>
        </w:rPr>
        <w:t xml:space="preserve"> </w:t>
      </w:r>
      <w:r w:rsidRPr="006D105B">
        <w:rPr>
          <w:rFonts w:hint="cs"/>
          <w:rtl/>
        </w:rPr>
        <w:t>כי "אפשר להעריך שבחמש שנים אלה [</w:t>
      </w:r>
      <w:r w:rsidR="00D87606">
        <w:rPr>
          <w:rFonts w:hint="cs"/>
          <w:rtl/>
        </w:rPr>
        <w:t>ש</w:t>
      </w:r>
      <w:r w:rsidRPr="006D105B">
        <w:rPr>
          <w:rFonts w:hint="cs"/>
          <w:rtl/>
        </w:rPr>
        <w:t>בהן כיהן כגנז] נסגרו בארכיון המדינה וארכיון צה"ל אלפי תיקים או חלקי תיקים, מבלי שוועדת השרים אישרה... ההתכנסות הקודמת</w:t>
      </w:r>
      <w:r>
        <w:rPr>
          <w:rFonts w:hint="cs"/>
          <w:rtl/>
        </w:rPr>
        <w:t xml:space="preserve"> [של ועדת השרים]</w:t>
      </w:r>
      <w:r w:rsidRPr="006D105B">
        <w:rPr>
          <w:rFonts w:hint="cs"/>
          <w:rtl/>
        </w:rPr>
        <w:t xml:space="preserve"> לפני 2016 הייתה ב-2007</w:t>
      </w:r>
      <w:r w:rsidR="00D87606">
        <w:rPr>
          <w:rFonts w:hint="cs"/>
          <w:rtl/>
        </w:rPr>
        <w:t xml:space="preserve">... </w:t>
      </w:r>
      <w:r w:rsidRPr="006D105B">
        <w:rPr>
          <w:rFonts w:hint="cs"/>
          <w:rtl/>
        </w:rPr>
        <w:t>לסיכום: 100% מן התיעוד שנבדק והוחלט על המשך סגירתו, נסגר ל</w:t>
      </w:r>
      <w:r w:rsidRPr="006D105B">
        <w:rPr>
          <w:rFonts w:hint="cs"/>
          <w:rtl/>
        </w:rPr>
        <w:t>לא סמכות".</w:t>
      </w:r>
    </w:p>
    <w:p w:rsidR="00C12B16" w:rsidP="00FF6AB4" w14:paraId="3E0FE94D" w14:textId="77777777">
      <w:pPr>
        <w:pStyle w:val="a"/>
        <w:spacing w:line="269" w:lineRule="auto"/>
        <w:rPr>
          <w:rStyle w:val="7"/>
          <w:rFonts w:eastAsia="Calibri"/>
          <w:sz w:val="24"/>
          <w:rtl/>
        </w:rPr>
      </w:pPr>
    </w:p>
    <w:p w:rsidR="00687435" w:rsidP="00FF6AB4" w14:paraId="03760020" w14:textId="77777777">
      <w:pPr>
        <w:spacing w:line="269" w:lineRule="auto"/>
        <w:rPr>
          <w:sz w:val="24"/>
          <w:rtl/>
        </w:rPr>
      </w:pPr>
      <w:r w:rsidRPr="00AD74BF">
        <w:rPr>
          <w:rStyle w:val="5"/>
          <w:rFonts w:eastAsia="Calibri" w:hint="cs"/>
          <w:rtl/>
        </w:rPr>
        <w:t>ארכיון</w:t>
      </w:r>
      <w:r w:rsidRPr="00AD74BF">
        <w:rPr>
          <w:rStyle w:val="5"/>
          <w:rFonts w:eastAsia="Calibri"/>
          <w:rtl/>
        </w:rPr>
        <w:t xml:space="preserve"> </w:t>
      </w:r>
      <w:r w:rsidRPr="00AD74BF">
        <w:rPr>
          <w:rStyle w:val="5"/>
          <w:rFonts w:eastAsia="Calibri" w:hint="cs"/>
          <w:rtl/>
        </w:rPr>
        <w:t>צה</w:t>
      </w:r>
      <w:r w:rsidRPr="00AD74BF">
        <w:rPr>
          <w:rStyle w:val="5"/>
          <w:rFonts w:eastAsia="Calibri"/>
          <w:rtl/>
        </w:rPr>
        <w:t>"ל:</w:t>
      </w:r>
      <w:r w:rsidR="00D230E8">
        <w:rPr>
          <w:rFonts w:hint="cs"/>
          <w:sz w:val="24"/>
          <w:rtl/>
        </w:rPr>
        <w:t xml:space="preserve"> </w:t>
      </w:r>
      <w:r w:rsidRPr="00C574EA">
        <w:rPr>
          <w:rFonts w:hint="cs"/>
          <w:sz w:val="24"/>
          <w:rtl/>
        </w:rPr>
        <w:t xml:space="preserve">בארכיון צה"ל </w:t>
      </w:r>
      <w:r w:rsidRPr="00517675">
        <w:rPr>
          <w:rFonts w:hint="cs"/>
          <w:rtl/>
        </w:rPr>
        <w:t>קיימים</w:t>
      </w:r>
      <w:r w:rsidRPr="00C574EA">
        <w:rPr>
          <w:rFonts w:hint="cs"/>
          <w:sz w:val="24"/>
          <w:rtl/>
        </w:rPr>
        <w:t xml:space="preserve"> חומרים ארכיוניים שמעמדם הוגדר "חסוי מושהה".</w:t>
      </w:r>
      <w:r w:rsidRPr="003E4613">
        <w:rPr>
          <w:rFonts w:hint="cs"/>
          <w:sz w:val="24"/>
          <w:rtl/>
        </w:rPr>
        <w:t xml:space="preserve"> </w:t>
      </w:r>
      <w:r w:rsidRPr="003E4613" w:rsidR="00D87606">
        <w:rPr>
          <w:rFonts w:hint="cs"/>
          <w:sz w:val="24"/>
          <w:rtl/>
        </w:rPr>
        <w:t>ב</w:t>
      </w:r>
      <w:r w:rsidRPr="003E4613" w:rsidR="00B557DB">
        <w:rPr>
          <w:rFonts w:hint="cs"/>
          <w:sz w:val="24"/>
          <w:rtl/>
        </w:rPr>
        <w:t>נובמבר</w:t>
      </w:r>
      <w:r w:rsidRPr="00A063DA" w:rsidR="00B557DB">
        <w:rPr>
          <w:rFonts w:hint="cs"/>
          <w:sz w:val="24"/>
          <w:rtl/>
        </w:rPr>
        <w:t xml:space="preserve"> 2018</w:t>
      </w:r>
      <w:r w:rsidRPr="00A063DA">
        <w:rPr>
          <w:rFonts w:hint="cs"/>
          <w:sz w:val="24"/>
          <w:rtl/>
        </w:rPr>
        <w:t xml:space="preserve"> כתבה מנהלת ארכיון צה"ל</w:t>
      </w:r>
      <w:r w:rsidRPr="00A063DA" w:rsidR="00D87606">
        <w:rPr>
          <w:rFonts w:hint="cs"/>
          <w:sz w:val="24"/>
          <w:rtl/>
        </w:rPr>
        <w:t xml:space="preserve"> ל</w:t>
      </w:r>
      <w:r w:rsidRPr="00A063DA" w:rsidR="008F313D">
        <w:rPr>
          <w:rFonts w:hint="cs"/>
          <w:sz w:val="24"/>
          <w:rtl/>
        </w:rPr>
        <w:t xml:space="preserve">נציגי </w:t>
      </w:r>
      <w:r w:rsidRPr="00A063DA" w:rsidR="00D87606">
        <w:rPr>
          <w:rFonts w:hint="cs"/>
          <w:sz w:val="24"/>
          <w:rtl/>
        </w:rPr>
        <w:t>משרד מבקר המדינה</w:t>
      </w:r>
      <w:r w:rsidRPr="00A063DA">
        <w:rPr>
          <w:rFonts w:hint="cs"/>
          <w:sz w:val="24"/>
          <w:rtl/>
        </w:rPr>
        <w:t xml:space="preserve"> כי ב"חסוי מושהה הכוונה לתיק שנבדק ע"י צוות החשיפה בארכיון צה"ל אך כמות העבודה שיש להשקיע בתיק על מנת להורידו לרמת בלמ"ס [בלתי</w:t>
      </w:r>
      <w:r w:rsidRPr="00872A58">
        <w:rPr>
          <w:rFonts w:hint="cs"/>
          <w:rtl/>
        </w:rPr>
        <w:t xml:space="preserve"> </w:t>
      </w:r>
      <w:r w:rsidRPr="00A063DA">
        <w:rPr>
          <w:rFonts w:hint="cs"/>
          <w:sz w:val="24"/>
          <w:rtl/>
        </w:rPr>
        <w:t xml:space="preserve">מסווג] היא גדולה במיוחד". </w:t>
      </w:r>
      <w:r w:rsidRPr="00A063DA" w:rsidR="00D87606">
        <w:rPr>
          <w:rFonts w:hint="cs"/>
          <w:sz w:val="24"/>
          <w:rtl/>
        </w:rPr>
        <w:t>מנהלת הארכיון</w:t>
      </w:r>
      <w:r w:rsidRPr="00A063DA">
        <w:rPr>
          <w:rFonts w:hint="cs"/>
          <w:sz w:val="24"/>
          <w:rtl/>
        </w:rPr>
        <w:t xml:space="preserve"> הוסיפה כי "תיק חסוי מושהה לא נסגר סופית לעיון והוא ייבדק בשנית במידה ותהיה פנייה". ב</w:t>
      </w:r>
      <w:r w:rsidRPr="00A063DA" w:rsidR="00B557DB">
        <w:rPr>
          <w:rFonts w:hint="cs"/>
          <w:sz w:val="24"/>
          <w:rtl/>
        </w:rPr>
        <w:t>דצמבר 2018</w:t>
      </w:r>
      <w:r w:rsidRPr="00A063DA">
        <w:rPr>
          <w:rFonts w:hint="cs"/>
          <w:sz w:val="24"/>
          <w:rtl/>
        </w:rPr>
        <w:t xml:space="preserve"> </w:t>
      </w:r>
      <w:r w:rsidRPr="00A063DA" w:rsidR="00D87606">
        <w:rPr>
          <w:rFonts w:hint="cs"/>
          <w:sz w:val="24"/>
          <w:rtl/>
        </w:rPr>
        <w:t xml:space="preserve">מסרה מנהלת הארכיון </w:t>
      </w:r>
      <w:r w:rsidRPr="00A063DA">
        <w:rPr>
          <w:rFonts w:hint="cs"/>
          <w:sz w:val="24"/>
          <w:rtl/>
        </w:rPr>
        <w:t>כי "בדיקה כזאת מתבצעת כעבור לא פחות מ-5 שנים מב</w:t>
      </w:r>
      <w:r w:rsidRPr="00A063DA" w:rsidR="00D87606">
        <w:rPr>
          <w:rFonts w:hint="cs"/>
          <w:sz w:val="24"/>
          <w:rtl/>
        </w:rPr>
        <w:t>דיקה קיימת",</w:t>
      </w:r>
      <w:r w:rsidRPr="00A063DA">
        <w:rPr>
          <w:rFonts w:hint="cs"/>
          <w:sz w:val="24"/>
          <w:rtl/>
        </w:rPr>
        <w:t xml:space="preserve"> </w:t>
      </w:r>
      <w:r w:rsidR="00784572">
        <w:rPr>
          <w:rFonts w:hint="cs"/>
          <w:sz w:val="24"/>
          <w:rtl/>
        </w:rPr>
        <w:t>ו</w:t>
      </w:r>
      <w:r w:rsidRPr="00A063DA" w:rsidR="00D87606">
        <w:rPr>
          <w:rFonts w:hint="cs"/>
          <w:sz w:val="24"/>
          <w:rtl/>
        </w:rPr>
        <w:t>כי</w:t>
      </w:r>
      <w:r w:rsidRPr="00A063DA">
        <w:rPr>
          <w:rFonts w:hint="cs"/>
          <w:sz w:val="24"/>
          <w:rtl/>
        </w:rPr>
        <w:t xml:space="preserve"> תיק עשוי להיות מוגדר "חסוי מושהה" גם אם </w:t>
      </w:r>
      <w:r w:rsidRPr="00687435">
        <w:rPr>
          <w:rFonts w:hint="cs"/>
          <w:rtl/>
        </w:rPr>
        <w:t>תמה</w:t>
      </w:r>
      <w:r w:rsidRPr="00A063DA">
        <w:rPr>
          <w:rFonts w:hint="cs"/>
          <w:sz w:val="24"/>
          <w:rtl/>
        </w:rPr>
        <w:t xml:space="preserve"> תקופת ההגבלה שלו</w:t>
      </w:r>
      <w:r w:rsidR="00784572">
        <w:rPr>
          <w:rFonts w:hint="cs"/>
          <w:sz w:val="24"/>
          <w:rtl/>
        </w:rPr>
        <w:t xml:space="preserve">. כן מסרה </w:t>
      </w:r>
      <w:r w:rsidR="00B527F9">
        <w:rPr>
          <w:rFonts w:hint="cs"/>
          <w:rtl/>
        </w:rPr>
        <w:t>כי</w:t>
      </w:r>
      <w:r w:rsidRPr="008F313D" w:rsidR="00E44A70">
        <w:rPr>
          <w:rFonts w:hint="cs"/>
          <w:rtl/>
        </w:rPr>
        <w:t xml:space="preserve"> </w:t>
      </w:r>
      <w:r w:rsidRPr="008F313D">
        <w:rPr>
          <w:rFonts w:hint="cs"/>
          <w:rtl/>
        </w:rPr>
        <w:t xml:space="preserve">"ההעלאה לוועדת השרים צריכה להיות רק תגובתית [בעקבות פניית אזרח לפתוח </w:t>
      </w:r>
      <w:r w:rsidRPr="008F313D" w:rsidR="00E44A70">
        <w:rPr>
          <w:rFonts w:hint="cs"/>
          <w:rtl/>
        </w:rPr>
        <w:t xml:space="preserve">לעיון </w:t>
      </w:r>
      <w:r w:rsidRPr="008F313D">
        <w:rPr>
          <w:rFonts w:hint="cs"/>
          <w:rtl/>
        </w:rPr>
        <w:t>חומר מוגבל, ולא באו</w:t>
      </w:r>
      <w:r w:rsidRPr="008F313D">
        <w:rPr>
          <w:rFonts w:hint="cs"/>
          <w:rtl/>
        </w:rPr>
        <w:t>פן יזום בתום תקופת ההגבלה], אנחנו לא יכולים להעסיק את ועדת השרים"</w:t>
      </w:r>
      <w:r w:rsidR="00574175">
        <w:rPr>
          <w:rFonts w:hint="cs"/>
          <w:sz w:val="24"/>
          <w:rtl/>
        </w:rPr>
        <w:t xml:space="preserve">. </w:t>
      </w:r>
      <w:r w:rsidR="00784572">
        <w:rPr>
          <w:rFonts w:hint="cs"/>
          <w:sz w:val="24"/>
          <w:rtl/>
        </w:rPr>
        <w:t>מנהלת הארכיון ציינה</w:t>
      </w:r>
      <w:r w:rsidR="00574175">
        <w:rPr>
          <w:rFonts w:hint="cs"/>
          <w:sz w:val="24"/>
          <w:rtl/>
        </w:rPr>
        <w:t xml:space="preserve"> </w:t>
      </w:r>
      <w:r w:rsidRPr="008F313D">
        <w:rPr>
          <w:rFonts w:hint="cs"/>
          <w:sz w:val="24"/>
          <w:rtl/>
        </w:rPr>
        <w:t xml:space="preserve">כי בתקופת כהונתה כמנהלת </w:t>
      </w:r>
      <w:r w:rsidRPr="008F313D" w:rsidR="00E44A70">
        <w:rPr>
          <w:rFonts w:hint="cs"/>
          <w:sz w:val="24"/>
          <w:rtl/>
        </w:rPr>
        <w:t>ה</w:t>
      </w:r>
      <w:r w:rsidRPr="008F313D">
        <w:rPr>
          <w:rFonts w:hint="cs"/>
          <w:sz w:val="24"/>
          <w:rtl/>
        </w:rPr>
        <w:t>ארכיון (כתשע שנים) עלו ארבעה נושאים לוועדת השר</w:t>
      </w:r>
      <w:r w:rsidRPr="008F313D" w:rsidR="00E44A70">
        <w:rPr>
          <w:rFonts w:hint="cs"/>
          <w:sz w:val="24"/>
          <w:rtl/>
        </w:rPr>
        <w:t>ים</w:t>
      </w:r>
      <w:r w:rsidR="00B557DB">
        <w:rPr>
          <w:rFonts w:hint="cs"/>
          <w:sz w:val="24"/>
          <w:rtl/>
        </w:rPr>
        <w:t>,</w:t>
      </w:r>
      <w:r w:rsidRPr="008F313D" w:rsidR="00B9190D">
        <w:rPr>
          <w:rFonts w:hint="cs"/>
          <w:sz w:val="24"/>
          <w:rtl/>
        </w:rPr>
        <w:t xml:space="preserve"> </w:t>
      </w:r>
      <w:r w:rsidR="00B557DB">
        <w:rPr>
          <w:rFonts w:hint="cs"/>
          <w:sz w:val="24"/>
          <w:rtl/>
        </w:rPr>
        <w:t>ו</w:t>
      </w:r>
      <w:r w:rsidR="00784572">
        <w:rPr>
          <w:rFonts w:hint="cs"/>
          <w:sz w:val="24"/>
          <w:rtl/>
        </w:rPr>
        <w:t xml:space="preserve">כן </w:t>
      </w:r>
      <w:r w:rsidRPr="008F313D" w:rsidR="00E44A70">
        <w:rPr>
          <w:rFonts w:hint="cs"/>
          <w:sz w:val="24"/>
          <w:rtl/>
        </w:rPr>
        <w:t>ציינה</w:t>
      </w:r>
      <w:r w:rsidR="00B9190D">
        <w:rPr>
          <w:rFonts w:hint="cs"/>
          <w:sz w:val="24"/>
          <w:rtl/>
        </w:rPr>
        <w:t xml:space="preserve"> כי</w:t>
      </w:r>
      <w:r w:rsidRPr="008F313D">
        <w:rPr>
          <w:rFonts w:hint="cs"/>
          <w:sz w:val="24"/>
          <w:rtl/>
        </w:rPr>
        <w:t xml:space="preserve"> "ההחלטה לגבי אופן העלאת </w:t>
      </w:r>
      <w:r w:rsidRPr="008F313D">
        <w:rPr>
          <w:rFonts w:hint="cs"/>
          <w:rtl/>
        </w:rPr>
        <w:t>הנושאים</w:t>
      </w:r>
      <w:r w:rsidRPr="008F313D">
        <w:rPr>
          <w:rFonts w:hint="cs"/>
          <w:sz w:val="24"/>
          <w:rtl/>
        </w:rPr>
        <w:t xml:space="preserve"> לוועדת השרים [העלאה תגובתית בלבד] התקבלה לפני שנים</w:t>
      </w:r>
      <w:r>
        <w:rPr>
          <w:rFonts w:hint="cs"/>
          <w:sz w:val="24"/>
          <w:rtl/>
        </w:rPr>
        <w:t xml:space="preserve"> רבות. במהלך תקופתי כמנהלת ארכיון צה"ל הנושא תוקף מספר פעמים ע"י הגורם המשפטי שלנו".</w:t>
      </w:r>
    </w:p>
    <w:p w:rsidR="00C12B16" w:rsidP="00FF6AB4" w14:paraId="60EF743C" w14:textId="77777777">
      <w:pPr>
        <w:pStyle w:val="a"/>
        <w:spacing w:line="269" w:lineRule="auto"/>
        <w:rPr>
          <w:rtl/>
        </w:rPr>
      </w:pPr>
    </w:p>
    <w:p w:rsidR="004A37F5" w:rsidRPr="00276BBD" w:rsidP="00FF6AB4" w14:paraId="5D4B0CDE" w14:textId="77777777">
      <w:pPr>
        <w:spacing w:line="269" w:lineRule="auto"/>
        <w:rPr>
          <w:rtl/>
        </w:rPr>
      </w:pPr>
      <w:r>
        <w:rPr>
          <w:rFonts w:hint="cs"/>
          <w:rtl/>
        </w:rPr>
        <w:t>בתגובתו</w:t>
      </w:r>
      <w:r w:rsidRPr="00B17B27">
        <w:rPr>
          <w:rFonts w:hint="cs"/>
          <w:rtl/>
        </w:rPr>
        <w:t xml:space="preserve"> </w:t>
      </w:r>
      <w:r w:rsidRPr="00276BBD" w:rsidR="00FE7D1F">
        <w:rPr>
          <w:rFonts w:hint="cs"/>
          <w:sz w:val="24"/>
          <w:rtl/>
        </w:rPr>
        <w:t xml:space="preserve">מיוני 2019 </w:t>
      </w:r>
      <w:r>
        <w:rPr>
          <w:rFonts w:hint="cs"/>
          <w:sz w:val="24"/>
          <w:rtl/>
        </w:rPr>
        <w:t xml:space="preserve">על </w:t>
      </w:r>
      <w:r w:rsidRPr="00276BBD" w:rsidR="00FE7D1F">
        <w:rPr>
          <w:rFonts w:hint="cs"/>
          <w:sz w:val="24"/>
          <w:rtl/>
        </w:rPr>
        <w:t>טיוטת דוח הביקורת מסר ארכיון צה"ל כי קיימת איטיות ובעייתיות ב</w:t>
      </w:r>
      <w:r>
        <w:rPr>
          <w:rFonts w:hint="cs"/>
          <w:sz w:val="24"/>
          <w:rtl/>
        </w:rPr>
        <w:t>כל הנוגע ל</w:t>
      </w:r>
      <w:r w:rsidRPr="00276BBD" w:rsidR="00FE7D1F">
        <w:rPr>
          <w:rFonts w:hint="cs"/>
          <w:sz w:val="24"/>
          <w:rtl/>
        </w:rPr>
        <w:t>ממשק שבין ועדת השרים לבין הארכיון, וכי "תיקון טכני של הליקוי ללא פתרון אמיתי יהיה בבחינת צעד פרוצדורלי גרידא, שלא יתרום לשיפור או ייעול בהנגשת החומר הארכיוני לציבור".</w:t>
      </w:r>
    </w:p>
    <w:p w:rsidR="00C12B16" w:rsidP="00FF6AB4" w14:paraId="23399025" w14:textId="77777777">
      <w:pPr>
        <w:pStyle w:val="a"/>
        <w:spacing w:line="269" w:lineRule="auto"/>
        <w:rPr>
          <w:rtl/>
        </w:rPr>
      </w:pPr>
    </w:p>
    <w:p w:rsidR="00CD4A6C" w:rsidP="00FF6AB4" w14:paraId="725B99B4" w14:textId="77777777">
      <w:pPr>
        <w:spacing w:line="269" w:lineRule="auto"/>
        <w:rPr>
          <w:sz w:val="24"/>
          <w:rtl/>
        </w:rPr>
      </w:pPr>
      <w:r w:rsidRPr="00784572">
        <w:rPr>
          <w:rFonts w:hint="cs"/>
          <w:sz w:val="24"/>
          <w:rtl/>
        </w:rPr>
        <w:t xml:space="preserve">בתגובתו </w:t>
      </w:r>
      <w:r w:rsidR="00B03FF6">
        <w:rPr>
          <w:rFonts w:hint="cs"/>
          <w:sz w:val="24"/>
          <w:rtl/>
        </w:rPr>
        <w:t>מיולי</w:t>
      </w:r>
      <w:r w:rsidRPr="00C304D2" w:rsidR="00B03FF6">
        <w:rPr>
          <w:rFonts w:hint="cs"/>
          <w:sz w:val="24"/>
          <w:rtl/>
        </w:rPr>
        <w:t xml:space="preserve"> 2019 </w:t>
      </w:r>
      <w:r>
        <w:rPr>
          <w:rFonts w:hint="cs"/>
          <w:sz w:val="24"/>
          <w:rtl/>
        </w:rPr>
        <w:t xml:space="preserve">על </w:t>
      </w:r>
      <w:r w:rsidR="00B03FF6">
        <w:rPr>
          <w:rFonts w:hint="cs"/>
          <w:sz w:val="24"/>
          <w:rtl/>
        </w:rPr>
        <w:t>טיוטת דוח</w:t>
      </w:r>
      <w:r w:rsidRPr="00C304D2" w:rsidR="00B03FF6">
        <w:rPr>
          <w:rFonts w:hint="cs"/>
          <w:sz w:val="24"/>
          <w:rtl/>
        </w:rPr>
        <w:t xml:space="preserve"> הביקורת ציין</w:t>
      </w:r>
      <w:r w:rsidR="00B03FF6">
        <w:rPr>
          <w:rFonts w:hint="cs"/>
          <w:sz w:val="24"/>
          <w:rtl/>
        </w:rPr>
        <w:t xml:space="preserve"> היועץ המשפטי למערכת הביטחון כי פרשנות נכונה לחוק הארכיונים היא כי "אין מקדישים תשומות כוח אדם לבדיקתו של מידע", אלא אם כן </w:t>
      </w:r>
      <w:r>
        <w:rPr>
          <w:rFonts w:hint="cs"/>
          <w:sz w:val="24"/>
          <w:rtl/>
        </w:rPr>
        <w:t>מוגשת בקשה ל</w:t>
      </w:r>
      <w:r w:rsidR="00B03FF6">
        <w:rPr>
          <w:rFonts w:hint="cs"/>
          <w:sz w:val="24"/>
          <w:rtl/>
        </w:rPr>
        <w:t>גילויו או על פי ת</w:t>
      </w:r>
      <w:r>
        <w:rPr>
          <w:rFonts w:hint="cs"/>
          <w:sz w:val="24"/>
          <w:rtl/>
        </w:rPr>
        <w:t>י</w:t>
      </w:r>
      <w:r w:rsidR="00B03FF6">
        <w:rPr>
          <w:rFonts w:hint="cs"/>
          <w:sz w:val="24"/>
          <w:rtl/>
        </w:rPr>
        <w:t xml:space="preserve">עדוף שיקבע הארכיון, וכי עמדה זו </w:t>
      </w:r>
      <w:r>
        <w:rPr>
          <w:rFonts w:hint="cs"/>
          <w:sz w:val="24"/>
          <w:rtl/>
        </w:rPr>
        <w:t xml:space="preserve">נוגעת </w:t>
      </w:r>
      <w:r w:rsidR="00B03FF6">
        <w:rPr>
          <w:rFonts w:hint="cs"/>
          <w:sz w:val="24"/>
          <w:rtl/>
        </w:rPr>
        <w:t xml:space="preserve">"גם לשאלת העלאת התיקים לאישור ועדת השרים". </w:t>
      </w:r>
    </w:p>
    <w:p w:rsidR="00C12B16" w:rsidP="00FF6AB4" w14:paraId="3F248C6C" w14:textId="77777777">
      <w:pPr>
        <w:pStyle w:val="a"/>
        <w:spacing w:line="269" w:lineRule="auto"/>
        <w:rPr>
          <w:rtl/>
        </w:rPr>
      </w:pPr>
    </w:p>
    <w:p w:rsidR="00F87C86" w:rsidP="00FF6AB4" w14:paraId="782BD2CA" w14:textId="77777777">
      <w:pPr>
        <w:spacing w:line="269" w:lineRule="auto"/>
        <w:rPr>
          <w:sz w:val="24"/>
          <w:rtl/>
        </w:rPr>
      </w:pPr>
      <w:r w:rsidRPr="00C94567">
        <w:rPr>
          <w:rFonts w:hint="cs"/>
          <w:sz w:val="24"/>
          <w:rtl/>
        </w:rPr>
        <w:t>בתגובתו</w:t>
      </w:r>
      <w:r w:rsidR="00B03FF6">
        <w:rPr>
          <w:rFonts w:hint="cs"/>
          <w:sz w:val="24"/>
          <w:rtl/>
        </w:rPr>
        <w:t xml:space="preserve"> </w:t>
      </w:r>
      <w:r w:rsidR="00574175">
        <w:rPr>
          <w:rFonts w:hint="cs"/>
          <w:sz w:val="24"/>
          <w:rtl/>
        </w:rPr>
        <w:t xml:space="preserve">מיולי 2019 </w:t>
      </w:r>
      <w:r>
        <w:rPr>
          <w:rFonts w:hint="cs"/>
          <w:sz w:val="24"/>
          <w:rtl/>
        </w:rPr>
        <w:t xml:space="preserve">על </w:t>
      </w:r>
      <w:r w:rsidR="00574175">
        <w:rPr>
          <w:rFonts w:hint="cs"/>
          <w:sz w:val="24"/>
          <w:rtl/>
        </w:rPr>
        <w:t xml:space="preserve">טיוטת דוח הביקורת </w:t>
      </w:r>
      <w:r w:rsidR="00B03FF6">
        <w:rPr>
          <w:rFonts w:hint="cs"/>
          <w:sz w:val="24"/>
          <w:rtl/>
        </w:rPr>
        <w:t>מסר משרד רה"ם בשם ארכיון המדינה</w:t>
      </w:r>
      <w:r w:rsidR="00FC22B7">
        <w:rPr>
          <w:rFonts w:hint="cs"/>
          <w:sz w:val="24"/>
          <w:rtl/>
        </w:rPr>
        <w:t>,</w:t>
      </w:r>
      <w:r w:rsidR="0094038F">
        <w:rPr>
          <w:rFonts w:hint="cs"/>
          <w:sz w:val="24"/>
          <w:rtl/>
        </w:rPr>
        <w:t xml:space="preserve"> כי </w:t>
      </w:r>
      <w:r>
        <w:rPr>
          <w:rFonts w:hint="cs"/>
          <w:sz w:val="24"/>
          <w:rtl/>
        </w:rPr>
        <w:t xml:space="preserve">לפי </w:t>
      </w:r>
      <w:r w:rsidR="0094038F">
        <w:rPr>
          <w:rFonts w:hint="cs"/>
          <w:sz w:val="24"/>
          <w:rtl/>
        </w:rPr>
        <w:t xml:space="preserve">נוסח החקיקה </w:t>
      </w:r>
      <w:r>
        <w:rPr>
          <w:rFonts w:hint="cs"/>
          <w:sz w:val="24"/>
          <w:rtl/>
        </w:rPr>
        <w:t xml:space="preserve">לא מדובר בפנייה תגובתית בלבד על בקשת מבקש, אלא על </w:t>
      </w:r>
      <w:r w:rsidR="0094038F">
        <w:rPr>
          <w:rFonts w:hint="cs"/>
          <w:sz w:val="24"/>
          <w:rtl/>
        </w:rPr>
        <w:t>כל מפקיד שסבור שלא ניתן לחשוף חומרים בתום תקופת ההגבלה לפנות לגנז כדי שהלה יפנה לוועדת השרים.</w:t>
      </w:r>
      <w:r w:rsidR="001A7151">
        <w:rPr>
          <w:rFonts w:hint="cs"/>
          <w:sz w:val="24"/>
          <w:rtl/>
        </w:rPr>
        <w:t xml:space="preserve"> </w:t>
      </w:r>
      <w:r>
        <w:rPr>
          <w:rFonts w:hint="cs"/>
          <w:sz w:val="24"/>
          <w:rtl/>
        </w:rPr>
        <w:t xml:space="preserve">משרד רה"ם </w:t>
      </w:r>
      <w:r w:rsidR="001A7151">
        <w:rPr>
          <w:rFonts w:hint="cs"/>
          <w:sz w:val="24"/>
          <w:rtl/>
        </w:rPr>
        <w:t xml:space="preserve">הוסיף כי הנחיה </w:t>
      </w:r>
      <w:r>
        <w:rPr>
          <w:rFonts w:hint="cs"/>
          <w:sz w:val="24"/>
          <w:rtl/>
        </w:rPr>
        <w:t xml:space="preserve">כזאת </w:t>
      </w:r>
      <w:r w:rsidR="001A7151">
        <w:rPr>
          <w:rFonts w:hint="cs"/>
          <w:sz w:val="24"/>
          <w:rtl/>
        </w:rPr>
        <w:t>תועבר למנהלת ארכיון צה"ל</w:t>
      </w:r>
      <w:r w:rsidR="0096276C">
        <w:rPr>
          <w:rFonts w:hint="cs"/>
          <w:sz w:val="24"/>
          <w:rtl/>
        </w:rPr>
        <w:t>,</w:t>
      </w:r>
      <w:r w:rsidR="001A7151">
        <w:rPr>
          <w:rFonts w:hint="cs"/>
          <w:sz w:val="24"/>
          <w:rtl/>
        </w:rPr>
        <w:t xml:space="preserve"> וארכיון המדינה יפקח על ביצועה.</w:t>
      </w:r>
    </w:p>
    <w:p w:rsidR="00C12B16" w:rsidP="00FF6AB4" w14:paraId="44427B21" w14:textId="77777777">
      <w:pPr>
        <w:pStyle w:val="a"/>
        <w:spacing w:line="269" w:lineRule="auto"/>
        <w:rPr>
          <w:rtl/>
        </w:rPr>
      </w:pPr>
    </w:p>
    <w:p w:rsidR="004A37F5" w:rsidP="00FF6AB4" w14:paraId="457A829F" w14:textId="77777777">
      <w:pPr>
        <w:spacing w:line="269" w:lineRule="auto"/>
        <w:rPr>
          <w:sz w:val="24"/>
          <w:rtl/>
        </w:rPr>
      </w:pPr>
      <w:r w:rsidRPr="00276BBD">
        <w:rPr>
          <w:rFonts w:hint="cs"/>
          <w:b/>
          <w:bCs/>
          <w:sz w:val="24"/>
          <w:rtl/>
        </w:rPr>
        <w:t>מהאמור</w:t>
      </w:r>
      <w:r w:rsidRPr="00276BBD">
        <w:rPr>
          <w:b/>
          <w:bCs/>
          <w:sz w:val="24"/>
          <w:rtl/>
        </w:rPr>
        <w:t xml:space="preserve"> עולה </w:t>
      </w:r>
      <w:r w:rsidRPr="00276BBD">
        <w:rPr>
          <w:b/>
          <w:bCs/>
          <w:sz w:val="24"/>
          <w:rtl/>
        </w:rPr>
        <w:t xml:space="preserve">כי ארכיון צה"ל </w:t>
      </w:r>
      <w:r w:rsidRPr="00276BBD">
        <w:rPr>
          <w:rFonts w:hint="cs"/>
          <w:b/>
          <w:bCs/>
          <w:sz w:val="24"/>
          <w:rtl/>
        </w:rPr>
        <w:t>מטיל</w:t>
      </w:r>
      <w:r w:rsidRPr="00276BBD">
        <w:rPr>
          <w:b/>
          <w:bCs/>
          <w:sz w:val="24"/>
          <w:rtl/>
        </w:rPr>
        <w:t xml:space="preserve"> </w:t>
      </w:r>
      <w:r w:rsidRPr="00276BBD">
        <w:rPr>
          <w:rFonts w:hint="cs"/>
          <w:b/>
          <w:bCs/>
          <w:sz w:val="24"/>
          <w:rtl/>
        </w:rPr>
        <w:t>חיסיון על</w:t>
      </w:r>
      <w:r w:rsidRPr="00645109">
        <w:rPr>
          <w:b/>
          <w:bCs/>
          <w:sz w:val="24"/>
          <w:rtl/>
        </w:rPr>
        <w:t xml:space="preserve"> </w:t>
      </w:r>
      <w:r w:rsidRPr="00645109">
        <w:rPr>
          <w:rFonts w:hint="cs"/>
          <w:b/>
          <w:bCs/>
          <w:sz w:val="24"/>
          <w:rtl/>
        </w:rPr>
        <w:t xml:space="preserve">תיקים שלמים שתקופת ההגבלה שלהם </w:t>
      </w:r>
      <w:r w:rsidRPr="00645109" w:rsidR="002A01B4">
        <w:rPr>
          <w:rFonts w:hint="cs"/>
          <w:b/>
          <w:bCs/>
          <w:sz w:val="24"/>
          <w:rtl/>
        </w:rPr>
        <w:t>תמה</w:t>
      </w:r>
      <w:r w:rsidRPr="00645109">
        <w:rPr>
          <w:rFonts w:hint="cs"/>
          <w:b/>
          <w:bCs/>
          <w:sz w:val="24"/>
          <w:rtl/>
        </w:rPr>
        <w:t>,</w:t>
      </w:r>
      <w:r w:rsidRPr="00645109" w:rsidR="00E44A70">
        <w:rPr>
          <w:b/>
          <w:bCs/>
          <w:sz w:val="24"/>
          <w:rtl/>
        </w:rPr>
        <w:t xml:space="preserve"> </w:t>
      </w:r>
      <w:r w:rsidRPr="00645109">
        <w:rPr>
          <w:b/>
          <w:bCs/>
          <w:sz w:val="24"/>
          <w:rtl/>
        </w:rPr>
        <w:t xml:space="preserve">בלי </w:t>
      </w:r>
      <w:r w:rsidRPr="00276BBD" w:rsidR="008827D4">
        <w:rPr>
          <w:rFonts w:hint="cs"/>
          <w:b/>
          <w:bCs/>
          <w:sz w:val="24"/>
          <w:rtl/>
        </w:rPr>
        <w:t>לבקש את אישורה</w:t>
      </w:r>
      <w:r w:rsidRPr="00276BBD">
        <w:rPr>
          <w:b/>
          <w:bCs/>
          <w:sz w:val="24"/>
          <w:rtl/>
        </w:rPr>
        <w:t xml:space="preserve"> </w:t>
      </w:r>
      <w:r w:rsidRPr="00276BBD" w:rsidR="008827D4">
        <w:rPr>
          <w:rFonts w:hint="cs"/>
          <w:b/>
          <w:bCs/>
          <w:sz w:val="24"/>
          <w:rtl/>
        </w:rPr>
        <w:t>ש</w:t>
      </w:r>
      <w:r w:rsidRPr="00276BBD">
        <w:rPr>
          <w:b/>
          <w:bCs/>
          <w:sz w:val="24"/>
          <w:rtl/>
        </w:rPr>
        <w:t>ל</w:t>
      </w:r>
      <w:r w:rsidRPr="00276BBD" w:rsidR="008827D4">
        <w:rPr>
          <w:rFonts w:hint="cs"/>
          <w:b/>
          <w:bCs/>
          <w:sz w:val="24"/>
          <w:rtl/>
        </w:rPr>
        <w:t xml:space="preserve"> </w:t>
      </w:r>
      <w:r w:rsidRPr="00276BBD">
        <w:rPr>
          <w:b/>
          <w:bCs/>
          <w:sz w:val="24"/>
          <w:rtl/>
        </w:rPr>
        <w:t xml:space="preserve">ועדת </w:t>
      </w:r>
      <w:r w:rsidRPr="00276BBD" w:rsidR="00E44A70">
        <w:rPr>
          <w:rFonts w:hint="cs"/>
          <w:b/>
          <w:bCs/>
          <w:sz w:val="24"/>
          <w:rtl/>
        </w:rPr>
        <w:t>ה</w:t>
      </w:r>
      <w:r w:rsidRPr="00276BBD">
        <w:rPr>
          <w:b/>
          <w:bCs/>
          <w:sz w:val="24"/>
          <w:rtl/>
        </w:rPr>
        <w:t>שרים</w:t>
      </w:r>
      <w:r w:rsidRPr="00645109" w:rsidR="00E124EC">
        <w:rPr>
          <w:rFonts w:hint="cs"/>
          <w:b/>
          <w:bCs/>
          <w:sz w:val="24"/>
          <w:rtl/>
        </w:rPr>
        <w:t>,</w:t>
      </w:r>
      <w:r w:rsidRPr="00645109">
        <w:rPr>
          <w:rFonts w:hint="cs"/>
          <w:b/>
          <w:bCs/>
          <w:sz w:val="24"/>
          <w:rtl/>
        </w:rPr>
        <w:t xml:space="preserve"> </w:t>
      </w:r>
      <w:r w:rsidRPr="00645109" w:rsidR="00A3734F">
        <w:rPr>
          <w:rFonts w:hint="cs"/>
          <w:b/>
          <w:bCs/>
          <w:sz w:val="24"/>
          <w:rtl/>
        </w:rPr>
        <w:t>זאת בהתבסס על עמדת היועץ המשפטי למערכת הביטחון</w:t>
      </w:r>
      <w:r w:rsidR="00EA7FD9">
        <w:rPr>
          <w:rFonts w:hint="cs"/>
          <w:b/>
          <w:bCs/>
          <w:sz w:val="24"/>
          <w:rtl/>
        </w:rPr>
        <w:t>.</w:t>
      </w:r>
      <w:r w:rsidR="006B102B">
        <w:rPr>
          <w:rFonts w:hint="cs"/>
          <w:b/>
          <w:bCs/>
          <w:sz w:val="24"/>
          <w:rtl/>
        </w:rPr>
        <w:t xml:space="preserve"> </w:t>
      </w:r>
      <w:r w:rsidR="00EA7FD9">
        <w:rPr>
          <w:rFonts w:hint="cs"/>
          <w:b/>
          <w:bCs/>
          <w:sz w:val="24"/>
          <w:rtl/>
        </w:rPr>
        <w:t>הדבר</w:t>
      </w:r>
      <w:r w:rsidR="00BC1DE3">
        <w:rPr>
          <w:rFonts w:hint="cs"/>
          <w:b/>
          <w:bCs/>
          <w:sz w:val="24"/>
          <w:rtl/>
        </w:rPr>
        <w:t xml:space="preserve"> לא מתיישב עם לשון החוק הקובעת את הצורך באישורה של ועדת השרים, והוא אף</w:t>
      </w:r>
      <w:r w:rsidR="00EA7FD9">
        <w:rPr>
          <w:rFonts w:hint="cs"/>
          <w:b/>
          <w:bCs/>
          <w:sz w:val="24"/>
          <w:rtl/>
        </w:rPr>
        <w:t xml:space="preserve"> </w:t>
      </w:r>
      <w:r w:rsidR="00C37DAE">
        <w:rPr>
          <w:rFonts w:hint="cs"/>
          <w:b/>
          <w:bCs/>
          <w:sz w:val="24"/>
          <w:rtl/>
        </w:rPr>
        <w:t>מנוגד</w:t>
      </w:r>
      <w:r w:rsidR="006B102B">
        <w:rPr>
          <w:rFonts w:hint="cs"/>
          <w:b/>
          <w:bCs/>
          <w:sz w:val="24"/>
          <w:rtl/>
        </w:rPr>
        <w:t xml:space="preserve"> </w:t>
      </w:r>
      <w:r w:rsidR="00EA7FD9">
        <w:rPr>
          <w:rFonts w:hint="cs"/>
          <w:b/>
          <w:bCs/>
          <w:sz w:val="24"/>
          <w:rtl/>
        </w:rPr>
        <w:t>ל</w:t>
      </w:r>
      <w:r w:rsidR="006B102B">
        <w:rPr>
          <w:rFonts w:hint="cs"/>
          <w:b/>
          <w:bCs/>
          <w:sz w:val="24"/>
          <w:rtl/>
        </w:rPr>
        <w:t>עמדותיהם של הגנז ו</w:t>
      </w:r>
      <w:r w:rsidR="00EA7FD9">
        <w:rPr>
          <w:rFonts w:hint="cs"/>
          <w:b/>
          <w:bCs/>
          <w:sz w:val="24"/>
          <w:rtl/>
        </w:rPr>
        <w:t xml:space="preserve">של </w:t>
      </w:r>
      <w:r w:rsidR="006B102B">
        <w:rPr>
          <w:rFonts w:hint="cs"/>
          <w:b/>
          <w:bCs/>
          <w:sz w:val="24"/>
          <w:rtl/>
        </w:rPr>
        <w:t xml:space="preserve">משרד רה"ם </w:t>
      </w:r>
      <w:r w:rsidR="00BC1DE3">
        <w:rPr>
          <w:rFonts w:hint="cs"/>
          <w:b/>
          <w:bCs/>
          <w:sz w:val="24"/>
          <w:rtl/>
        </w:rPr>
        <w:t>בעניין זה</w:t>
      </w:r>
      <w:r w:rsidRPr="00276BBD" w:rsidR="00A3734F">
        <w:rPr>
          <w:rFonts w:hint="cs"/>
          <w:b/>
          <w:bCs/>
          <w:sz w:val="24"/>
          <w:rtl/>
        </w:rPr>
        <w:t>.</w:t>
      </w:r>
    </w:p>
    <w:p w:rsidR="00D230E8" w:rsidRPr="00D230E8" w:rsidP="00FF6AB4" w14:paraId="07F1DB3E" w14:textId="77777777">
      <w:pPr>
        <w:pStyle w:val="a"/>
        <w:spacing w:line="269" w:lineRule="auto"/>
        <w:rPr>
          <w:rtl/>
        </w:rPr>
      </w:pPr>
    </w:p>
    <w:p w:rsidR="001B2B72" w:rsidRPr="00CD4A6C" w:rsidP="00FF6AB4" w14:paraId="647485F4" w14:textId="77777777">
      <w:pPr>
        <w:spacing w:line="269" w:lineRule="auto"/>
        <w:rPr>
          <w:sz w:val="24"/>
          <w:rtl/>
        </w:rPr>
      </w:pPr>
      <w:r w:rsidRPr="00B71516">
        <w:rPr>
          <w:rStyle w:val="7"/>
          <w:rFonts w:eastAsia="Calibri" w:hint="cs"/>
          <w:sz w:val="24"/>
          <w:rtl/>
        </w:rPr>
        <w:t>ארכיון</w:t>
      </w:r>
      <w:r w:rsidRPr="00B71516">
        <w:rPr>
          <w:rStyle w:val="7"/>
          <w:rFonts w:eastAsia="Calibri"/>
          <w:sz w:val="24"/>
          <w:rtl/>
        </w:rPr>
        <w:t xml:space="preserve"> </w:t>
      </w:r>
      <w:r w:rsidRPr="00B71516">
        <w:rPr>
          <w:rStyle w:val="7"/>
          <w:rFonts w:eastAsia="Calibri" w:hint="cs"/>
          <w:sz w:val="24"/>
          <w:rtl/>
        </w:rPr>
        <w:t>המדינה</w:t>
      </w:r>
      <w:r w:rsidRPr="00B71516">
        <w:rPr>
          <w:rStyle w:val="7"/>
          <w:rFonts w:eastAsia="Calibri"/>
          <w:sz w:val="24"/>
          <w:rtl/>
        </w:rPr>
        <w:t>:</w:t>
      </w:r>
      <w:r w:rsidR="00D230E8">
        <w:rPr>
          <w:rFonts w:hint="cs"/>
          <w:sz w:val="24"/>
          <w:rtl/>
        </w:rPr>
        <w:t xml:space="preserve"> </w:t>
      </w:r>
      <w:r w:rsidRPr="00CD4A6C" w:rsidR="00B03FF6">
        <w:rPr>
          <w:rFonts w:hint="cs"/>
          <w:sz w:val="24"/>
          <w:rtl/>
        </w:rPr>
        <w:t xml:space="preserve">במכתבו </w:t>
      </w:r>
      <w:r w:rsidR="002A01B4">
        <w:rPr>
          <w:rFonts w:hint="cs"/>
          <w:sz w:val="24"/>
          <w:rtl/>
        </w:rPr>
        <w:t>מספטמבר</w:t>
      </w:r>
      <w:r w:rsidRPr="00CD4A6C" w:rsidR="00B03FF6">
        <w:rPr>
          <w:rFonts w:hint="cs"/>
          <w:sz w:val="24"/>
          <w:rtl/>
        </w:rPr>
        <w:t xml:space="preserve"> </w:t>
      </w:r>
      <w:r w:rsidR="0096276C">
        <w:rPr>
          <w:rFonts w:hint="cs"/>
          <w:sz w:val="24"/>
          <w:rtl/>
        </w:rPr>
        <w:t xml:space="preserve">2016 </w:t>
      </w:r>
      <w:r w:rsidRPr="00CD4A6C" w:rsidR="00B03FF6">
        <w:rPr>
          <w:rFonts w:hint="cs"/>
          <w:sz w:val="24"/>
          <w:rtl/>
        </w:rPr>
        <w:t xml:space="preserve">ליועץ המשפטי לממשלה בעניין חשיפת חומר ארכיוני </w:t>
      </w:r>
      <w:r w:rsidRPr="00276BBD" w:rsidR="00B03FF6">
        <w:rPr>
          <w:rFonts w:hint="cs"/>
          <w:sz w:val="24"/>
          <w:rtl/>
        </w:rPr>
        <w:t>ציין הגנז</w:t>
      </w:r>
      <w:r w:rsidRPr="00276BBD" w:rsidR="002A01B4">
        <w:rPr>
          <w:rFonts w:hint="cs"/>
          <w:sz w:val="24"/>
          <w:rtl/>
        </w:rPr>
        <w:t xml:space="preserve"> </w:t>
      </w:r>
      <w:r w:rsidR="00A86D6C">
        <w:rPr>
          <w:rFonts w:hint="cs"/>
          <w:sz w:val="24"/>
          <w:rtl/>
        </w:rPr>
        <w:t xml:space="preserve">דאז </w:t>
      </w:r>
      <w:r w:rsidRPr="00276BBD" w:rsidR="002A01B4">
        <w:rPr>
          <w:rFonts w:hint="cs"/>
          <w:sz w:val="24"/>
          <w:rtl/>
        </w:rPr>
        <w:t>כי</w:t>
      </w:r>
      <w:r w:rsidRPr="00276BBD" w:rsidR="00B03FF6">
        <w:rPr>
          <w:rFonts w:hint="cs"/>
          <w:sz w:val="24"/>
          <w:rtl/>
        </w:rPr>
        <w:t xml:space="preserve"> קשה מאוד לכנס את ועד</w:t>
      </w:r>
      <w:r w:rsidRPr="00645109" w:rsidR="00E124EC">
        <w:rPr>
          <w:rFonts w:hint="cs"/>
          <w:sz w:val="24"/>
          <w:rtl/>
        </w:rPr>
        <w:t>ת השרים</w:t>
      </w:r>
      <w:r w:rsidRPr="00645109" w:rsidR="00B03FF6">
        <w:rPr>
          <w:rFonts w:hint="cs"/>
          <w:sz w:val="24"/>
          <w:rtl/>
        </w:rPr>
        <w:t>.</w:t>
      </w:r>
    </w:p>
    <w:p w:rsidR="00C12B16" w:rsidP="00FF6AB4" w14:paraId="6543D6D4" w14:textId="77777777">
      <w:pPr>
        <w:pStyle w:val="a"/>
        <w:spacing w:line="269" w:lineRule="auto"/>
        <w:rPr>
          <w:rtl/>
        </w:rPr>
      </w:pPr>
    </w:p>
    <w:p w:rsidR="004A37F5" w:rsidP="00FF6AB4" w14:paraId="76956026" w14:textId="77777777">
      <w:pPr>
        <w:spacing w:line="269" w:lineRule="auto"/>
        <w:rPr>
          <w:sz w:val="24"/>
          <w:rtl/>
        </w:rPr>
      </w:pPr>
      <w:r>
        <w:rPr>
          <w:rFonts w:hint="cs"/>
          <w:sz w:val="24"/>
          <w:rtl/>
        </w:rPr>
        <w:t>בדצמבר 2017</w:t>
      </w:r>
      <w:r w:rsidRPr="00B71516" w:rsidR="00B03FF6">
        <w:rPr>
          <w:sz w:val="24"/>
          <w:rtl/>
        </w:rPr>
        <w:t xml:space="preserve"> </w:t>
      </w:r>
      <w:r w:rsidRPr="00B71516" w:rsidR="00B03FF6">
        <w:rPr>
          <w:rFonts w:hint="cs"/>
          <w:sz w:val="24"/>
          <w:rtl/>
        </w:rPr>
        <w:t>כתב</w:t>
      </w:r>
      <w:r w:rsidRPr="00B71516" w:rsidR="00B03FF6">
        <w:rPr>
          <w:sz w:val="24"/>
          <w:rtl/>
        </w:rPr>
        <w:t xml:space="preserve"> </w:t>
      </w:r>
      <w:r w:rsidR="00B03FF6">
        <w:rPr>
          <w:rFonts w:hint="cs"/>
          <w:sz w:val="24"/>
          <w:rtl/>
        </w:rPr>
        <w:t>ה</w:t>
      </w:r>
      <w:r w:rsidRPr="00B71516" w:rsidR="00B03FF6">
        <w:rPr>
          <w:rFonts w:hint="cs"/>
          <w:sz w:val="24"/>
          <w:rtl/>
        </w:rPr>
        <w:t>גנז</w:t>
      </w:r>
      <w:r w:rsidR="00D4633A">
        <w:rPr>
          <w:rFonts w:hint="cs"/>
          <w:sz w:val="24"/>
          <w:rtl/>
        </w:rPr>
        <w:t xml:space="preserve"> דאז</w:t>
      </w:r>
      <w:r w:rsidRPr="00B71516" w:rsidR="00B03FF6">
        <w:rPr>
          <w:sz w:val="24"/>
          <w:rtl/>
        </w:rPr>
        <w:t xml:space="preserve"> לעובדי הארכיון</w:t>
      </w:r>
      <w:r w:rsidR="00B03FF6">
        <w:rPr>
          <w:rFonts w:hint="cs"/>
          <w:sz w:val="24"/>
          <w:rtl/>
        </w:rPr>
        <w:t xml:space="preserve"> כי</w:t>
      </w:r>
      <w:r w:rsidRPr="00B71516" w:rsidR="00B03FF6">
        <w:rPr>
          <w:sz w:val="24"/>
          <w:rtl/>
        </w:rPr>
        <w:t xml:space="preserve"> "סגירת חומר ארכיוני לאחר תום תקופת המגבלה... מותרת רק באישור ועדת שרים מיוחדת לכך</w:t>
      </w:r>
      <w:r w:rsidR="00F71B52">
        <w:rPr>
          <w:rFonts w:hint="cs"/>
          <w:sz w:val="24"/>
          <w:rtl/>
        </w:rPr>
        <w:t xml:space="preserve">... </w:t>
      </w:r>
      <w:r w:rsidRPr="00B71516" w:rsidR="00B03FF6">
        <w:rPr>
          <w:sz w:val="24"/>
          <w:rtl/>
        </w:rPr>
        <w:t xml:space="preserve">בדרך-כלל איננו מקפידים על ההוראות הללו, אף שזה החוק. אני מציע שגם הלאה נתעלם כאשר תיק נחשף בחלקו; אני לוקח על עצמי את האחריות שלא העברתי שברירי תיקים לוועדת השרים. אולם אינני מוכן לנהוג כך בתיקים מלאים". </w:t>
      </w:r>
    </w:p>
    <w:p w:rsidR="00C12B16" w:rsidP="00FF6AB4" w14:paraId="5B96898A" w14:textId="77777777">
      <w:pPr>
        <w:pStyle w:val="a"/>
        <w:spacing w:line="269" w:lineRule="auto"/>
        <w:rPr>
          <w:rtl/>
        </w:rPr>
      </w:pPr>
    </w:p>
    <w:p w:rsidR="001B2B72" w:rsidRPr="002671AC" w:rsidP="00FF6AB4" w14:paraId="3927572A" w14:textId="77777777">
      <w:pPr>
        <w:spacing w:line="269" w:lineRule="auto"/>
        <w:rPr>
          <w:sz w:val="24"/>
          <w:rtl/>
        </w:rPr>
      </w:pPr>
      <w:r w:rsidRPr="002671AC">
        <w:rPr>
          <w:rFonts w:hint="cs"/>
          <w:sz w:val="24"/>
          <w:rtl/>
        </w:rPr>
        <w:t xml:space="preserve">בדוח </w:t>
      </w:r>
      <w:r w:rsidRPr="002671AC" w:rsidR="00517675">
        <w:rPr>
          <w:rFonts w:hint="cs"/>
          <w:sz w:val="24"/>
          <w:rtl/>
        </w:rPr>
        <w:t>משנת 2018</w:t>
      </w:r>
      <w:r w:rsidR="00517675">
        <w:rPr>
          <w:rFonts w:hint="cs"/>
          <w:sz w:val="24"/>
          <w:rtl/>
        </w:rPr>
        <w:t xml:space="preserve"> </w:t>
      </w:r>
      <w:r w:rsidRPr="002671AC">
        <w:rPr>
          <w:rFonts w:hint="cs"/>
          <w:sz w:val="24"/>
          <w:rtl/>
        </w:rPr>
        <w:t>בנושא החשיפה הארכיונית</w:t>
      </w:r>
      <w:r>
        <w:rPr>
          <w:sz w:val="24"/>
          <w:vertAlign w:val="superscript"/>
          <w:rtl/>
        </w:rPr>
        <w:footnoteReference w:id="25"/>
      </w:r>
      <w:r w:rsidRPr="002671AC">
        <w:rPr>
          <w:rFonts w:hint="cs"/>
          <w:sz w:val="24"/>
          <w:rtl/>
        </w:rPr>
        <w:t xml:space="preserve"> ציין הגנז</w:t>
      </w:r>
      <w:r w:rsidRPr="002671AC" w:rsidR="00291351">
        <w:rPr>
          <w:rFonts w:hint="cs"/>
          <w:sz w:val="24"/>
          <w:rtl/>
        </w:rPr>
        <w:t xml:space="preserve"> דאז</w:t>
      </w:r>
      <w:r w:rsidRPr="002671AC">
        <w:rPr>
          <w:rFonts w:hint="cs"/>
          <w:sz w:val="24"/>
          <w:rtl/>
        </w:rPr>
        <w:t xml:space="preserve"> כי "כולם יודעים שהשרים לא ידונו</w:t>
      </w:r>
      <w:r w:rsidR="009A5EB1">
        <w:rPr>
          <w:rFonts w:hint="cs"/>
          <w:sz w:val="24"/>
          <w:rtl/>
        </w:rPr>
        <w:t>" ולכן</w:t>
      </w:r>
      <w:r w:rsidRPr="002671AC">
        <w:rPr>
          <w:rFonts w:hint="cs"/>
          <w:sz w:val="24"/>
          <w:rtl/>
        </w:rPr>
        <w:t xml:space="preserve"> הפקידים הסמיכו עצמם לסגור תיקים</w:t>
      </w:r>
      <w:r w:rsidR="009A5EB1">
        <w:rPr>
          <w:rFonts w:hint="cs"/>
          <w:sz w:val="24"/>
          <w:rtl/>
        </w:rPr>
        <w:t>.</w:t>
      </w:r>
      <w:r w:rsidRPr="002671AC">
        <w:rPr>
          <w:rFonts w:hint="cs"/>
          <w:sz w:val="24"/>
          <w:rtl/>
        </w:rPr>
        <w:t xml:space="preserve"> ב</w:t>
      </w:r>
      <w:r w:rsidRPr="002671AC" w:rsidR="00E124EC">
        <w:rPr>
          <w:rFonts w:hint="cs"/>
          <w:sz w:val="24"/>
          <w:rtl/>
        </w:rPr>
        <w:t>יולי 2018</w:t>
      </w:r>
      <w:r w:rsidRPr="002671AC">
        <w:rPr>
          <w:rFonts w:hint="cs"/>
          <w:sz w:val="24"/>
          <w:rtl/>
        </w:rPr>
        <w:t xml:space="preserve"> מסר הגנז למשרד מבקר המדינה כי </w:t>
      </w:r>
      <w:r w:rsidR="009A5EB1">
        <w:rPr>
          <w:rFonts w:hint="cs"/>
          <w:sz w:val="24"/>
          <w:rtl/>
        </w:rPr>
        <w:t>"</w:t>
      </w:r>
      <w:r w:rsidRPr="002671AC">
        <w:rPr>
          <w:rFonts w:hint="cs"/>
          <w:sz w:val="24"/>
          <w:rtl/>
        </w:rPr>
        <w:t>לוקח כשלוש שנים לכנס את הוועדה</w:t>
      </w:r>
      <w:r w:rsidR="0086524C">
        <w:rPr>
          <w:rFonts w:hint="cs"/>
          <w:sz w:val="24"/>
          <w:rtl/>
        </w:rPr>
        <w:t>".</w:t>
      </w:r>
    </w:p>
    <w:p w:rsidR="00C12B16" w:rsidP="00FF6AB4" w14:paraId="3547AC8B" w14:textId="77777777">
      <w:pPr>
        <w:pStyle w:val="a"/>
        <w:spacing w:line="269" w:lineRule="auto"/>
        <w:rPr>
          <w:rtl/>
        </w:rPr>
      </w:pPr>
    </w:p>
    <w:p w:rsidR="004A37F5" w:rsidRPr="00CD4A6C" w:rsidP="00FF6AB4" w14:paraId="19B31283" w14:textId="77777777">
      <w:pPr>
        <w:spacing w:line="269" w:lineRule="auto"/>
        <w:rPr>
          <w:b/>
          <w:bCs/>
          <w:rtl/>
        </w:rPr>
      </w:pPr>
      <w:r w:rsidRPr="00CD4A6C">
        <w:rPr>
          <w:rFonts w:hint="cs"/>
          <w:b/>
          <w:bCs/>
          <w:rtl/>
        </w:rPr>
        <w:t>מ</w:t>
      </w:r>
      <w:r w:rsidRPr="00CD4A6C" w:rsidR="00CF1600">
        <w:rPr>
          <w:rFonts w:hint="cs"/>
          <w:b/>
          <w:bCs/>
          <w:rtl/>
        </w:rPr>
        <w:t xml:space="preserve">האמור עולה כי </w:t>
      </w:r>
      <w:r w:rsidR="003424BC">
        <w:rPr>
          <w:rFonts w:hint="cs"/>
          <w:b/>
          <w:bCs/>
          <w:rtl/>
        </w:rPr>
        <w:t xml:space="preserve">נוכח הקושי לכנס את ועדת השרים כנדרש בחוק, </w:t>
      </w:r>
      <w:r w:rsidRPr="00CD4A6C" w:rsidR="00CF1600">
        <w:rPr>
          <w:rFonts w:hint="cs"/>
          <w:b/>
          <w:bCs/>
          <w:rtl/>
        </w:rPr>
        <w:t xml:space="preserve">ארכיון המדינה מטיל חיסיון על חלקי תיקים שתקופת ההגבלה שלהם </w:t>
      </w:r>
      <w:r w:rsidR="007710DB">
        <w:rPr>
          <w:rFonts w:hint="cs"/>
          <w:b/>
          <w:bCs/>
          <w:rtl/>
        </w:rPr>
        <w:t>תמה</w:t>
      </w:r>
      <w:r w:rsidRPr="00CD4A6C" w:rsidR="00CF1600">
        <w:rPr>
          <w:rFonts w:hint="cs"/>
          <w:b/>
          <w:bCs/>
          <w:rtl/>
        </w:rPr>
        <w:t>,</w:t>
      </w:r>
      <w:r w:rsidRPr="00CD4A6C" w:rsidR="00CF1600">
        <w:rPr>
          <w:b/>
          <w:bCs/>
          <w:rtl/>
        </w:rPr>
        <w:t xml:space="preserve"> בלי </w:t>
      </w:r>
      <w:r w:rsidR="0096276C">
        <w:rPr>
          <w:rFonts w:hint="cs"/>
          <w:b/>
          <w:bCs/>
          <w:rtl/>
        </w:rPr>
        <w:t>לבקש</w:t>
      </w:r>
      <w:r w:rsidR="003A15F1">
        <w:rPr>
          <w:rFonts w:hint="cs"/>
          <w:b/>
          <w:bCs/>
          <w:rtl/>
        </w:rPr>
        <w:t xml:space="preserve"> את אישורה</w:t>
      </w:r>
      <w:r w:rsidR="00115DEC">
        <w:rPr>
          <w:rFonts w:hint="cs"/>
          <w:b/>
          <w:bCs/>
          <w:rtl/>
        </w:rPr>
        <w:t>.</w:t>
      </w:r>
    </w:p>
    <w:p w:rsidR="00F74936" w:rsidP="00FF6AB4" w14:paraId="05D9E00B" w14:textId="77777777">
      <w:pPr>
        <w:pStyle w:val="a"/>
        <w:spacing w:line="269" w:lineRule="auto"/>
        <w:rPr>
          <w:rtl/>
        </w:rPr>
      </w:pPr>
    </w:p>
    <w:p w:rsidR="004A37F5" w:rsidRPr="002C4A5E" w:rsidP="00FF6AB4" w14:paraId="1274BF2B" w14:textId="77777777">
      <w:pPr>
        <w:pStyle w:val="ListParagraph"/>
        <w:spacing w:line="269" w:lineRule="auto"/>
        <w:ind w:left="709"/>
        <w:jc w:val="center"/>
        <w:rPr>
          <w:rFonts w:ascii="Arial" w:hAnsi="Arial" w:cs="Arial"/>
          <w:b/>
          <w:bCs/>
          <w:sz w:val="36"/>
          <w:rtl/>
        </w:rPr>
      </w:pPr>
      <w:r>
        <w:rPr>
          <w:rFonts w:ascii="MS Gothic" w:eastAsia="MS Gothic" w:hAnsi="MS Gothic" w:cs="MS Gothic" w:hint="eastAsia"/>
          <w:b/>
          <w:bCs/>
          <w:sz w:val="36"/>
          <w:rtl/>
        </w:rPr>
        <w:t>✰</w:t>
      </w:r>
    </w:p>
    <w:p w:rsidR="004A37F5" w:rsidP="00FF6AB4" w14:paraId="23D69ECD" w14:textId="77777777">
      <w:pPr>
        <w:pStyle w:val="a"/>
        <w:spacing w:line="269" w:lineRule="auto"/>
        <w:rPr>
          <w:rtl/>
        </w:rPr>
      </w:pPr>
    </w:p>
    <w:p w:rsidR="001876EB" w:rsidP="00FF6AB4" w14:paraId="7B96F191" w14:textId="77777777">
      <w:pPr>
        <w:spacing w:line="269" w:lineRule="auto"/>
        <w:ind w:left="-2"/>
        <w:rPr>
          <w:b/>
          <w:bCs/>
          <w:rtl/>
        </w:rPr>
      </w:pPr>
      <w:r>
        <w:rPr>
          <w:rFonts w:hint="cs"/>
          <w:b/>
          <w:bCs/>
          <w:rtl/>
        </w:rPr>
        <w:t>בעת חיקוקו של חוק הארכ</w:t>
      </w:r>
      <w:r w:rsidR="00833358">
        <w:rPr>
          <w:rFonts w:hint="cs"/>
          <w:b/>
          <w:bCs/>
          <w:rtl/>
        </w:rPr>
        <w:t xml:space="preserve">יונים עמדה לנגד עיניו של המחוקק </w:t>
      </w:r>
      <w:r>
        <w:rPr>
          <w:rFonts w:hint="cs"/>
          <w:b/>
          <w:bCs/>
          <w:rtl/>
        </w:rPr>
        <w:t>זכות הציבור לעיין בחומרים הארכיוניים</w:t>
      </w:r>
      <w:r w:rsidR="00797935">
        <w:rPr>
          <w:rFonts w:hint="cs"/>
          <w:b/>
          <w:bCs/>
          <w:rtl/>
        </w:rPr>
        <w:t>.</w:t>
      </w:r>
      <w:r>
        <w:rPr>
          <w:rFonts w:hint="cs"/>
          <w:b/>
          <w:bCs/>
          <w:rtl/>
        </w:rPr>
        <w:t xml:space="preserve"> </w:t>
      </w:r>
      <w:r w:rsidR="00797935">
        <w:rPr>
          <w:rFonts w:hint="cs"/>
          <w:b/>
          <w:bCs/>
          <w:rtl/>
        </w:rPr>
        <w:t>אולם</w:t>
      </w:r>
      <w:r w:rsidR="00E5797C">
        <w:rPr>
          <w:rFonts w:hint="cs"/>
          <w:b/>
          <w:bCs/>
          <w:rtl/>
        </w:rPr>
        <w:t>,</w:t>
      </w:r>
      <w:r w:rsidR="00797935">
        <w:rPr>
          <w:rFonts w:hint="cs"/>
          <w:b/>
          <w:bCs/>
          <w:rtl/>
        </w:rPr>
        <w:t xml:space="preserve"> בביקורת נמצא כי חומרים ארכיוניים רבים שתמה תקו</w:t>
      </w:r>
      <w:r w:rsidR="00B03FF6">
        <w:rPr>
          <w:rFonts w:hint="cs"/>
          <w:b/>
          <w:bCs/>
          <w:rtl/>
        </w:rPr>
        <w:t xml:space="preserve">פת הגבלתם </w:t>
      </w:r>
      <w:r w:rsidR="00E1570F">
        <w:rPr>
          <w:rFonts w:hint="cs"/>
          <w:b/>
          <w:bCs/>
          <w:rtl/>
        </w:rPr>
        <w:t xml:space="preserve">אינם </w:t>
      </w:r>
      <w:r w:rsidR="00115DEC">
        <w:rPr>
          <w:rFonts w:hint="cs"/>
          <w:b/>
          <w:bCs/>
          <w:rtl/>
        </w:rPr>
        <w:t xml:space="preserve">נחשפים </w:t>
      </w:r>
      <w:r w:rsidR="00B03FF6">
        <w:rPr>
          <w:rFonts w:hint="cs"/>
          <w:b/>
          <w:bCs/>
          <w:rtl/>
        </w:rPr>
        <w:t>לעיון הציבור</w:t>
      </w:r>
      <w:r w:rsidR="00CF1600">
        <w:rPr>
          <w:rFonts w:hint="cs"/>
          <w:b/>
          <w:bCs/>
          <w:rtl/>
        </w:rPr>
        <w:t>, בין היתר בשל הקושי בכינוס ועדת השרים</w:t>
      </w:r>
      <w:r w:rsidR="00B03FF6">
        <w:rPr>
          <w:rFonts w:hint="cs"/>
          <w:b/>
          <w:bCs/>
          <w:rtl/>
        </w:rPr>
        <w:t>.</w:t>
      </w:r>
    </w:p>
    <w:p w:rsidR="00C12B16" w:rsidP="00FF6AB4" w14:paraId="68BE325F" w14:textId="77777777">
      <w:pPr>
        <w:pStyle w:val="a"/>
        <w:spacing w:line="269" w:lineRule="auto"/>
        <w:rPr>
          <w:rtl/>
        </w:rPr>
      </w:pPr>
    </w:p>
    <w:p w:rsidR="00CF1600" w:rsidRPr="00CD4A6C" w:rsidP="00FF6AB4" w14:paraId="639F5986" w14:textId="77777777">
      <w:pPr>
        <w:spacing w:line="269" w:lineRule="auto"/>
        <w:rPr>
          <w:rtl/>
        </w:rPr>
      </w:pPr>
      <w:r w:rsidRPr="00CD4A6C">
        <w:rPr>
          <w:rFonts w:hint="cs"/>
          <w:rtl/>
        </w:rPr>
        <w:t>באוקטובר 2018 מסר סגן מזכיר הממשלה למשרד מבקר המדינה כי כינוס ועדת השרים מתעכב בגלל סדרי עדיפויות של השרים החברים בוועדה.</w:t>
      </w:r>
    </w:p>
    <w:p w:rsidR="00C12B16" w:rsidP="00FF6AB4" w14:paraId="733A62E9" w14:textId="77777777">
      <w:pPr>
        <w:pStyle w:val="a"/>
        <w:spacing w:line="269" w:lineRule="auto"/>
        <w:rPr>
          <w:rtl/>
        </w:rPr>
      </w:pPr>
    </w:p>
    <w:p w:rsidR="00CF1600" w:rsidP="00FF6AB4" w14:paraId="21F180CE" w14:textId="77777777">
      <w:pPr>
        <w:spacing w:line="269" w:lineRule="auto"/>
        <w:rPr>
          <w:rtl/>
        </w:rPr>
      </w:pPr>
      <w:r w:rsidRPr="00E1570F">
        <w:rPr>
          <w:rFonts w:hint="cs"/>
          <w:rtl/>
        </w:rPr>
        <w:t xml:space="preserve">בתגובתו </w:t>
      </w:r>
      <w:r w:rsidRPr="00CD4A6C" w:rsidR="00B03FF6">
        <w:rPr>
          <w:rFonts w:hint="cs"/>
          <w:rtl/>
        </w:rPr>
        <w:t xml:space="preserve">מיולי 2019 </w:t>
      </w:r>
      <w:r>
        <w:rPr>
          <w:rFonts w:hint="cs"/>
          <w:rtl/>
        </w:rPr>
        <w:t xml:space="preserve">על </w:t>
      </w:r>
      <w:r w:rsidRPr="00CD4A6C" w:rsidR="00B03FF6">
        <w:rPr>
          <w:rFonts w:hint="cs"/>
          <w:rtl/>
        </w:rPr>
        <w:t>טיוטת דוח הביקורת מסר</w:t>
      </w:r>
      <w:r w:rsidR="00231197">
        <w:rPr>
          <w:rFonts w:hint="cs"/>
          <w:rtl/>
        </w:rPr>
        <w:t xml:space="preserve"> משרד רה"ם</w:t>
      </w:r>
      <w:r w:rsidRPr="00CD4A6C" w:rsidR="00B03FF6">
        <w:rPr>
          <w:rFonts w:hint="cs"/>
          <w:rtl/>
        </w:rPr>
        <w:t xml:space="preserve"> כי קשה </w:t>
      </w:r>
      <w:r>
        <w:rPr>
          <w:rFonts w:hint="cs"/>
          <w:rtl/>
        </w:rPr>
        <w:t>לכנס את ועדת השרים</w:t>
      </w:r>
      <w:r w:rsidRPr="00CD4A6C">
        <w:rPr>
          <w:rFonts w:hint="cs"/>
          <w:rtl/>
        </w:rPr>
        <w:t xml:space="preserve"> </w:t>
      </w:r>
      <w:r w:rsidRPr="00CD4A6C" w:rsidR="00B03FF6">
        <w:rPr>
          <w:rFonts w:hint="cs"/>
          <w:rtl/>
        </w:rPr>
        <w:t>בתכיפות גבוהה מאוד</w:t>
      </w:r>
      <w:r>
        <w:rPr>
          <w:rFonts w:hint="cs"/>
          <w:rtl/>
        </w:rPr>
        <w:t>, מ</w:t>
      </w:r>
      <w:r w:rsidRPr="00CD4A6C" w:rsidR="00B03FF6">
        <w:rPr>
          <w:rFonts w:hint="cs"/>
          <w:rtl/>
        </w:rPr>
        <w:t xml:space="preserve">כיוון שהשרים עסוקים בענייני משרדיהם. </w:t>
      </w:r>
      <w:r>
        <w:rPr>
          <w:rFonts w:hint="cs"/>
          <w:rtl/>
        </w:rPr>
        <w:t xml:space="preserve">משרד רה"ם הוסיף כי </w:t>
      </w:r>
      <w:r w:rsidRPr="00CD4A6C" w:rsidR="00B03FF6">
        <w:rPr>
          <w:rFonts w:hint="cs"/>
          <w:rtl/>
        </w:rPr>
        <w:t xml:space="preserve">נוכח </w:t>
      </w:r>
      <w:r>
        <w:rPr>
          <w:rFonts w:hint="cs"/>
          <w:rtl/>
        </w:rPr>
        <w:t>ה</w:t>
      </w:r>
      <w:r w:rsidRPr="00CD4A6C" w:rsidR="00B03FF6">
        <w:rPr>
          <w:rFonts w:hint="cs"/>
          <w:rtl/>
        </w:rPr>
        <w:t xml:space="preserve">קושי </w:t>
      </w:r>
      <w:r>
        <w:rPr>
          <w:rFonts w:hint="cs"/>
          <w:rtl/>
        </w:rPr>
        <w:t>לכנס את הוועדה</w:t>
      </w:r>
      <w:r w:rsidRPr="00CD4A6C">
        <w:rPr>
          <w:rFonts w:hint="cs"/>
          <w:rtl/>
        </w:rPr>
        <w:t xml:space="preserve"> </w:t>
      </w:r>
      <w:r w:rsidRPr="00CD4A6C" w:rsidR="00B03FF6">
        <w:rPr>
          <w:rFonts w:hint="cs"/>
          <w:rtl/>
        </w:rPr>
        <w:t>"במהלך כתיבת חוק הארכיונים החדש, שעליו עמלים בחודשים האחרונים בארכיון המדינה, יוצע מנגנון חלופי לוועדת השרים".</w:t>
      </w:r>
    </w:p>
    <w:p w:rsidR="007B2AD5" w:rsidRPr="00007192" w:rsidP="00FF6AB4" w14:paraId="48E71190" w14:textId="77777777">
      <w:pPr>
        <w:pStyle w:val="a"/>
        <w:spacing w:line="269" w:lineRule="auto"/>
        <w:rPr>
          <w:rtl/>
        </w:rPr>
      </w:pPr>
    </w:p>
    <w:p w:rsidR="00797935" w:rsidP="00FF6AB4" w14:paraId="63999A07" w14:textId="77777777">
      <w:pPr>
        <w:spacing w:line="269" w:lineRule="auto"/>
        <w:ind w:left="-2"/>
        <w:rPr>
          <w:b/>
          <w:bCs/>
          <w:rtl/>
        </w:rPr>
      </w:pPr>
      <w:r>
        <w:rPr>
          <w:rFonts w:hint="cs"/>
          <w:b/>
          <w:bCs/>
          <w:rtl/>
        </w:rPr>
        <w:t>משרד מבקר המדינה ער לקשיים ביישום הוראות החוק, הן לגבי חשיפה יזומה בתום תקופת ההגבלה והן לגבי כינוסה של ועדת השרים לשם הטלת חיסיון</w:t>
      </w:r>
      <w:r w:rsidR="00010D9C">
        <w:rPr>
          <w:rFonts w:hint="cs"/>
          <w:b/>
          <w:bCs/>
          <w:rtl/>
        </w:rPr>
        <w:t>.</w:t>
      </w:r>
      <w:r w:rsidR="003869D2">
        <w:rPr>
          <w:rFonts w:hint="cs"/>
          <w:b/>
          <w:bCs/>
          <w:rtl/>
        </w:rPr>
        <w:t xml:space="preserve"> </w:t>
      </w:r>
      <w:r w:rsidR="003B599D">
        <w:rPr>
          <w:rFonts w:hint="cs"/>
          <w:b/>
          <w:bCs/>
          <w:rtl/>
        </w:rPr>
        <w:t>מוצע כי</w:t>
      </w:r>
      <w:r w:rsidRPr="00D577CD" w:rsidR="003B599D">
        <w:rPr>
          <w:rFonts w:hint="cs"/>
          <w:b/>
          <w:bCs/>
          <w:rtl/>
        </w:rPr>
        <w:t xml:space="preserve"> </w:t>
      </w:r>
      <w:r w:rsidRPr="00D577CD" w:rsidR="00720CF3">
        <w:rPr>
          <w:rFonts w:hint="cs"/>
          <w:b/>
          <w:bCs/>
          <w:rtl/>
        </w:rPr>
        <w:t>הגנז</w:t>
      </w:r>
      <w:r w:rsidR="00720CF3">
        <w:rPr>
          <w:rFonts w:hint="cs"/>
          <w:b/>
          <w:bCs/>
          <w:rtl/>
        </w:rPr>
        <w:t>, בשיתוף ארכיון צה"ל</w:t>
      </w:r>
      <w:r w:rsidR="00115DEC">
        <w:rPr>
          <w:rFonts w:hint="cs"/>
          <w:b/>
          <w:bCs/>
          <w:rtl/>
        </w:rPr>
        <w:t>,</w:t>
      </w:r>
      <w:r w:rsidR="00720CF3">
        <w:rPr>
          <w:rFonts w:hint="cs"/>
          <w:b/>
          <w:bCs/>
          <w:rtl/>
        </w:rPr>
        <w:t xml:space="preserve"> משרד המשפטים, </w:t>
      </w:r>
      <w:r w:rsidR="00115DEC">
        <w:rPr>
          <w:rFonts w:hint="cs"/>
          <w:b/>
          <w:bCs/>
          <w:rtl/>
        </w:rPr>
        <w:t>משרד רה"ם ומזכירות הממשלה</w:t>
      </w:r>
      <w:r w:rsidR="00E1570F">
        <w:rPr>
          <w:rFonts w:hint="cs"/>
          <w:b/>
          <w:bCs/>
          <w:rtl/>
        </w:rPr>
        <w:t>,</w:t>
      </w:r>
      <w:r w:rsidR="00115DEC">
        <w:rPr>
          <w:rFonts w:hint="cs"/>
          <w:b/>
          <w:bCs/>
          <w:rtl/>
        </w:rPr>
        <w:t xml:space="preserve"> </w:t>
      </w:r>
      <w:r w:rsidR="00F71B52">
        <w:rPr>
          <w:rFonts w:hint="cs"/>
          <w:b/>
          <w:bCs/>
          <w:rtl/>
        </w:rPr>
        <w:t>י</w:t>
      </w:r>
      <w:r w:rsidR="00720CF3">
        <w:rPr>
          <w:rFonts w:hint="cs"/>
          <w:b/>
          <w:bCs/>
          <w:rtl/>
        </w:rPr>
        <w:t>פעל</w:t>
      </w:r>
      <w:r w:rsidR="00F71B52">
        <w:rPr>
          <w:rFonts w:hint="cs"/>
          <w:b/>
          <w:bCs/>
          <w:rtl/>
        </w:rPr>
        <w:t>ו</w:t>
      </w:r>
      <w:r w:rsidR="00720CF3">
        <w:rPr>
          <w:rFonts w:hint="cs"/>
          <w:b/>
          <w:bCs/>
          <w:rtl/>
        </w:rPr>
        <w:t xml:space="preserve"> על מנת למצוא פתרון </w:t>
      </w:r>
      <w:r w:rsidR="008B35D3">
        <w:rPr>
          <w:rFonts w:hint="cs"/>
          <w:b/>
          <w:bCs/>
          <w:rtl/>
        </w:rPr>
        <w:t>למצב לא תקין זה</w:t>
      </w:r>
      <w:r w:rsidR="003B599D">
        <w:rPr>
          <w:rFonts w:hint="cs"/>
          <w:b/>
          <w:bCs/>
          <w:rtl/>
        </w:rPr>
        <w:t xml:space="preserve"> לרבות גיבוש מנגנון חלופי והסדרתו</w:t>
      </w:r>
      <w:r w:rsidR="008B35D3">
        <w:rPr>
          <w:rFonts w:hint="cs"/>
          <w:b/>
          <w:bCs/>
          <w:rtl/>
        </w:rPr>
        <w:t xml:space="preserve">. </w:t>
      </w:r>
    </w:p>
    <w:p w:rsidR="00FF6FE2" w:rsidP="00FF6AB4" w14:paraId="16B6DAC8" w14:textId="77777777">
      <w:pPr>
        <w:pStyle w:val="a"/>
        <w:spacing w:line="269" w:lineRule="auto"/>
        <w:rPr>
          <w:rtl/>
        </w:rPr>
      </w:pPr>
    </w:p>
    <w:p w:rsidR="004D1F4E" w:rsidP="00FF6AB4" w14:paraId="370CD0B8" w14:textId="77777777">
      <w:pPr>
        <w:pStyle w:val="Heading2"/>
        <w:spacing w:before="0" w:line="269" w:lineRule="auto"/>
        <w:rPr>
          <w:rtl/>
        </w:rPr>
      </w:pPr>
    </w:p>
    <w:p w:rsidR="004A37F5" w:rsidP="00FF6AB4" w14:paraId="7FF3F522" w14:textId="08A18235">
      <w:pPr>
        <w:pStyle w:val="Heading2"/>
        <w:spacing w:before="0" w:line="269" w:lineRule="auto"/>
        <w:rPr>
          <w:rtl/>
        </w:rPr>
      </w:pPr>
      <w:r>
        <w:rPr>
          <w:rFonts w:hint="cs"/>
          <w:rtl/>
        </w:rPr>
        <w:t>פיקוח הגנז על ארכיונים ציבוריים ופרטיים</w:t>
      </w:r>
    </w:p>
    <w:p w:rsidR="00C12B16" w:rsidRPr="00C12B16" w:rsidP="00FF6AB4" w14:paraId="4D100852" w14:textId="77777777">
      <w:pPr>
        <w:pStyle w:val="a"/>
        <w:spacing w:line="269" w:lineRule="auto"/>
        <w:rPr>
          <w:rtl/>
        </w:rPr>
      </w:pPr>
    </w:p>
    <w:p w:rsidR="004A37F5" w:rsidP="00FF6AB4" w14:paraId="7B1C0C13" w14:textId="77777777">
      <w:pPr>
        <w:spacing w:line="269" w:lineRule="auto"/>
        <w:rPr>
          <w:rtl/>
        </w:rPr>
      </w:pPr>
      <w:r>
        <w:rPr>
          <w:rFonts w:hint="cs"/>
          <w:rtl/>
        </w:rPr>
        <w:t>בדו</w:t>
      </w:r>
      <w:r w:rsidRPr="00AD7775" w:rsidR="00B03FF6">
        <w:rPr>
          <w:rFonts w:hint="cs"/>
          <w:rtl/>
        </w:rPr>
        <w:t>ח סיכום סקר ארכיונים של הספרייה הלאומית של ישראל</w:t>
      </w:r>
      <w:r>
        <w:rPr>
          <w:rStyle w:val="FootnoteReference"/>
          <w:rtl/>
        </w:rPr>
        <w:footnoteReference w:id="26"/>
      </w:r>
      <w:r w:rsidRPr="00AD7775" w:rsidR="00B03FF6">
        <w:rPr>
          <w:rFonts w:hint="cs"/>
          <w:rtl/>
        </w:rPr>
        <w:t xml:space="preserve"> משנת 2017 </w:t>
      </w:r>
      <w:r w:rsidR="00B03FF6">
        <w:rPr>
          <w:rFonts w:hint="cs"/>
          <w:rtl/>
        </w:rPr>
        <w:t xml:space="preserve">צוין </w:t>
      </w:r>
      <w:r w:rsidRPr="00AD7775" w:rsidR="00B03FF6">
        <w:rPr>
          <w:rFonts w:hint="cs"/>
          <w:rtl/>
        </w:rPr>
        <w:t xml:space="preserve">כי </w:t>
      </w:r>
      <w:r w:rsidR="00B03FF6">
        <w:rPr>
          <w:rFonts w:hint="cs"/>
          <w:rtl/>
        </w:rPr>
        <w:t xml:space="preserve">בסך הכול נספרו בארץ </w:t>
      </w:r>
      <w:r>
        <w:rPr>
          <w:rFonts w:hint="cs"/>
          <w:rtl/>
        </w:rPr>
        <w:t>יותר מ-</w:t>
      </w:r>
      <w:r w:rsidRPr="005B7206" w:rsidR="00B03FF6">
        <w:rPr>
          <w:rFonts w:hint="cs"/>
          <w:rtl/>
        </w:rPr>
        <w:t xml:space="preserve">500 ארכיונים </w:t>
      </w:r>
      <w:r w:rsidR="007710DB">
        <w:rPr>
          <w:rFonts w:hint="cs"/>
          <w:rtl/>
        </w:rPr>
        <w:t>(</w:t>
      </w:r>
      <w:r w:rsidRPr="005B7206" w:rsidR="00B03FF6">
        <w:rPr>
          <w:rFonts w:hint="cs"/>
          <w:rtl/>
        </w:rPr>
        <w:t>ממלכתיים, ציבוריים ופרטיים</w:t>
      </w:r>
      <w:r w:rsidR="007710DB">
        <w:rPr>
          <w:rFonts w:hint="cs"/>
          <w:rtl/>
        </w:rPr>
        <w:t>)</w:t>
      </w:r>
      <w:r w:rsidRPr="005B7206" w:rsidR="00B03FF6">
        <w:rPr>
          <w:rFonts w:hint="cs"/>
          <w:rtl/>
        </w:rPr>
        <w:t>, אולם "הערכות מצביעות על כך שבארץ יש כ-800 ארכיונים</w:t>
      </w:r>
      <w:r w:rsidRPr="00F63D38" w:rsidR="00B03FF6">
        <w:rPr>
          <w:rFonts w:hint="cs"/>
          <w:rtl/>
        </w:rPr>
        <w:t xml:space="preserve">, </w:t>
      </w:r>
      <w:r w:rsidRPr="00797383" w:rsidR="00B03FF6">
        <w:rPr>
          <w:rFonts w:hint="cs"/>
          <w:rtl/>
        </w:rPr>
        <w:t>שחלקם קטנים מאוד"</w:t>
      </w:r>
      <w:r>
        <w:rPr>
          <w:rStyle w:val="FootnoteReference"/>
          <w:rtl/>
        </w:rPr>
        <w:footnoteReference w:id="27"/>
      </w:r>
      <w:r w:rsidR="00B27A62">
        <w:rPr>
          <w:rFonts w:hint="cs"/>
          <w:rtl/>
        </w:rPr>
        <w:t>.</w:t>
      </w:r>
      <w:r w:rsidR="005C0CB7">
        <w:rPr>
          <w:rFonts w:hint="cs"/>
          <w:rtl/>
        </w:rPr>
        <w:t xml:space="preserve"> כפי שיתואר להלן, בחוק ובתקנות נקבעו דרכי </w:t>
      </w:r>
      <w:r w:rsidR="00875CC5">
        <w:rPr>
          <w:rFonts w:hint="cs"/>
          <w:rtl/>
        </w:rPr>
        <w:t>ה</w:t>
      </w:r>
      <w:r w:rsidR="005C0CB7">
        <w:rPr>
          <w:rFonts w:hint="cs"/>
          <w:rtl/>
        </w:rPr>
        <w:t xml:space="preserve">פיקוח של הגנז על ארכיונים אלו. </w:t>
      </w:r>
      <w:r w:rsidRPr="006A3C82" w:rsidR="00B27A62">
        <w:rPr>
          <w:rFonts w:hint="cs"/>
          <w:rtl/>
        </w:rPr>
        <w:t>יצוין</w:t>
      </w:r>
      <w:r w:rsidRPr="006A3C82" w:rsidR="00B03FF6">
        <w:rPr>
          <w:rFonts w:hint="cs"/>
          <w:rtl/>
        </w:rPr>
        <w:t xml:space="preserve"> כי בארכיונים אלו מצויים גם חומרים מסווגים, דבר</w:t>
      </w:r>
      <w:r w:rsidRPr="006A3C82" w:rsidR="00B03FF6">
        <w:rPr>
          <w:rtl/>
        </w:rPr>
        <w:t xml:space="preserve"> </w:t>
      </w:r>
      <w:r w:rsidRPr="006A3C82" w:rsidR="00B03FF6">
        <w:rPr>
          <w:rFonts w:hint="cs"/>
          <w:rtl/>
        </w:rPr>
        <w:t>שמגביר</w:t>
      </w:r>
      <w:r w:rsidRPr="006A3C82" w:rsidR="00B03FF6">
        <w:rPr>
          <w:rtl/>
        </w:rPr>
        <w:t xml:space="preserve"> </w:t>
      </w:r>
      <w:r w:rsidRPr="006A3C82" w:rsidR="00B03FF6">
        <w:rPr>
          <w:rFonts w:hint="cs"/>
          <w:rtl/>
        </w:rPr>
        <w:t>את</w:t>
      </w:r>
      <w:r w:rsidRPr="006A3C82" w:rsidR="00B03FF6">
        <w:rPr>
          <w:rtl/>
        </w:rPr>
        <w:t xml:space="preserve"> </w:t>
      </w:r>
      <w:r w:rsidRPr="006A3C82" w:rsidR="00B03FF6">
        <w:rPr>
          <w:rFonts w:hint="cs"/>
          <w:rtl/>
        </w:rPr>
        <w:t>הנחיצות</w:t>
      </w:r>
      <w:r w:rsidRPr="006A3C82" w:rsidR="00B03FF6">
        <w:rPr>
          <w:rtl/>
        </w:rPr>
        <w:t xml:space="preserve"> </w:t>
      </w:r>
      <w:r w:rsidR="002F38FA">
        <w:rPr>
          <w:rFonts w:hint="cs"/>
          <w:rtl/>
        </w:rPr>
        <w:t>ל</w:t>
      </w:r>
      <w:r w:rsidRPr="006A3C82" w:rsidR="002F38FA">
        <w:rPr>
          <w:rFonts w:hint="cs"/>
          <w:rtl/>
        </w:rPr>
        <w:t>פיקוח</w:t>
      </w:r>
      <w:r w:rsidRPr="006A3C82" w:rsidR="002F38FA">
        <w:rPr>
          <w:rtl/>
        </w:rPr>
        <w:t xml:space="preserve"> </w:t>
      </w:r>
      <w:r w:rsidRPr="006A3C82" w:rsidR="00B03FF6">
        <w:rPr>
          <w:rFonts w:hint="cs"/>
          <w:rtl/>
        </w:rPr>
        <w:t>עליהם.</w:t>
      </w:r>
    </w:p>
    <w:p w:rsidR="00FF6FE2" w:rsidP="00FF6AB4" w14:paraId="7E083061" w14:textId="77777777">
      <w:pPr>
        <w:pStyle w:val="a"/>
        <w:spacing w:line="269" w:lineRule="auto"/>
        <w:rPr>
          <w:rtl/>
        </w:rPr>
      </w:pPr>
    </w:p>
    <w:p w:rsidR="00EE3D36" w:rsidRPr="00EE3D36" w:rsidP="00EE3D36" w14:paraId="1B3506A1" w14:textId="5202BA27">
      <w:pPr>
        <w:pStyle w:val="a"/>
        <w:rPr>
          <w:rtl/>
        </w:rPr>
      </w:pPr>
    </w:p>
    <w:p w:rsidR="004A37F5" w:rsidP="00FF6AB4" w14:paraId="5C4C1F09" w14:textId="77777777">
      <w:pPr>
        <w:pStyle w:val="Heading3"/>
        <w:spacing w:before="0" w:line="269" w:lineRule="auto"/>
        <w:rPr>
          <w:rtl/>
        </w:rPr>
      </w:pPr>
      <w:r>
        <w:rPr>
          <w:rFonts w:hint="cs"/>
          <w:rtl/>
        </w:rPr>
        <w:t>ארכיונים ציבוריים</w:t>
      </w:r>
    </w:p>
    <w:p w:rsidR="00D230E8" w:rsidRPr="00D230E8" w:rsidP="00FF6AB4" w14:paraId="6F4F8039" w14:textId="77777777">
      <w:pPr>
        <w:pStyle w:val="a"/>
        <w:spacing w:line="269" w:lineRule="auto"/>
        <w:rPr>
          <w:rtl/>
        </w:rPr>
      </w:pPr>
    </w:p>
    <w:p w:rsidR="004A37F5" w:rsidP="00FF6AB4" w14:paraId="57F6F062" w14:textId="77777777">
      <w:pPr>
        <w:spacing w:line="269" w:lineRule="auto"/>
        <w:rPr>
          <w:rtl/>
        </w:rPr>
      </w:pPr>
      <w:r>
        <w:rPr>
          <w:rFonts w:hint="cs"/>
          <w:rtl/>
        </w:rPr>
        <w:t xml:space="preserve">בחוק הארכיונים נקבע כי ארכיון ציבורי הוא "ארכיון שהוא בבעלותו או בהנהלתו של גוף שאין מטרתו הפקת רווחים, ואושר על ידי הממשלה, בהודעה שפורסמה ברשומות, </w:t>
      </w:r>
      <w:r w:rsidRPr="00EA5D59">
        <w:rPr>
          <w:rFonts w:hint="cs"/>
          <w:rtl/>
        </w:rPr>
        <w:t>כארכיון ציבורי".</w:t>
      </w:r>
      <w:r w:rsidR="00FE5CBF">
        <w:rPr>
          <w:rFonts w:hint="cs"/>
          <w:rtl/>
        </w:rPr>
        <w:t xml:space="preserve"> </w:t>
      </w:r>
      <w:r>
        <w:rPr>
          <w:rFonts w:hint="cs"/>
          <w:rtl/>
        </w:rPr>
        <w:t xml:space="preserve">בישראל </w:t>
      </w:r>
      <w:r w:rsidR="00B27A62">
        <w:rPr>
          <w:rFonts w:hint="cs"/>
          <w:rtl/>
        </w:rPr>
        <w:t xml:space="preserve">יש </w:t>
      </w:r>
      <w:r>
        <w:rPr>
          <w:rFonts w:hint="cs"/>
          <w:rtl/>
        </w:rPr>
        <w:t xml:space="preserve">22 ארכיונים שהמדינה </w:t>
      </w:r>
      <w:r w:rsidR="00B27A62">
        <w:rPr>
          <w:rFonts w:hint="cs"/>
          <w:rtl/>
        </w:rPr>
        <w:t xml:space="preserve">הכירה בהם </w:t>
      </w:r>
      <w:r>
        <w:rPr>
          <w:rFonts w:hint="cs"/>
          <w:rtl/>
        </w:rPr>
        <w:t>כארכיונים ציבוריים</w:t>
      </w:r>
      <w:r w:rsidR="00B27A62">
        <w:rPr>
          <w:rFonts w:hint="cs"/>
          <w:rtl/>
        </w:rPr>
        <w:t xml:space="preserve">, </w:t>
      </w:r>
      <w:r>
        <w:rPr>
          <w:rFonts w:hint="cs"/>
          <w:rtl/>
        </w:rPr>
        <w:t>דוגמת ארכיון יד טבנקין וארכיון</w:t>
      </w:r>
      <w:r>
        <w:rPr>
          <w:rFonts w:hint="cs"/>
          <w:rtl/>
        </w:rPr>
        <w:t xml:space="preserve"> בית ברל. </w:t>
      </w:r>
    </w:p>
    <w:p w:rsidR="00C12B16" w:rsidP="00FF6AB4" w14:paraId="3770CC2C" w14:textId="77777777">
      <w:pPr>
        <w:pStyle w:val="a"/>
        <w:spacing w:line="269" w:lineRule="auto"/>
        <w:rPr>
          <w:rtl/>
        </w:rPr>
      </w:pPr>
    </w:p>
    <w:p w:rsidR="004A37F5" w:rsidP="00FF6AB4" w14:paraId="7D559563" w14:textId="77777777">
      <w:pPr>
        <w:spacing w:line="269" w:lineRule="auto"/>
        <w:rPr>
          <w:rtl/>
        </w:rPr>
      </w:pPr>
      <w:r>
        <w:rPr>
          <w:rFonts w:hint="cs"/>
          <w:rtl/>
        </w:rPr>
        <w:t>בתקנות הארכיונים (</w:t>
      </w:r>
      <w:r w:rsidR="00B27A62">
        <w:rPr>
          <w:rFonts w:hint="cs"/>
          <w:rtl/>
        </w:rPr>
        <w:t>תנאים לאישור ארכיונים ציבוריים ו</w:t>
      </w:r>
      <w:r>
        <w:rPr>
          <w:rFonts w:hint="cs"/>
          <w:rtl/>
        </w:rPr>
        <w:t xml:space="preserve">הסדרים לניהולם), </w:t>
      </w:r>
      <w:r w:rsidR="00FE5CBF">
        <w:rPr>
          <w:rtl/>
        </w:rPr>
        <w:br/>
      </w:r>
      <w:r w:rsidR="00B27A62">
        <w:rPr>
          <w:rFonts w:hint="cs"/>
          <w:rtl/>
        </w:rPr>
        <w:t>ה</w:t>
      </w:r>
      <w:r>
        <w:rPr>
          <w:rFonts w:hint="cs"/>
          <w:rtl/>
        </w:rPr>
        <w:t xml:space="preserve">תשי"ח-1957 (להלן - תקנות הארכיונים הציבוריים) נקבעו כללים </w:t>
      </w:r>
      <w:r w:rsidR="00B27A62">
        <w:rPr>
          <w:rFonts w:hint="cs"/>
          <w:rtl/>
        </w:rPr>
        <w:t xml:space="preserve">בעניין </w:t>
      </w:r>
      <w:r>
        <w:rPr>
          <w:rFonts w:hint="cs"/>
          <w:rtl/>
        </w:rPr>
        <w:t xml:space="preserve">סדרי </w:t>
      </w:r>
      <w:r w:rsidR="00B27A62">
        <w:rPr>
          <w:rFonts w:hint="cs"/>
          <w:rtl/>
        </w:rPr>
        <w:t>ה</w:t>
      </w:r>
      <w:r>
        <w:rPr>
          <w:rFonts w:hint="cs"/>
          <w:rtl/>
        </w:rPr>
        <w:t xml:space="preserve">ניהול של </w:t>
      </w:r>
      <w:r w:rsidR="00B27A62">
        <w:rPr>
          <w:rFonts w:hint="cs"/>
          <w:rtl/>
        </w:rPr>
        <w:t>ה</w:t>
      </w:r>
      <w:r>
        <w:rPr>
          <w:rFonts w:hint="cs"/>
          <w:rtl/>
        </w:rPr>
        <w:t xml:space="preserve">ארכיונים </w:t>
      </w:r>
      <w:r w:rsidR="00B27A62">
        <w:rPr>
          <w:rFonts w:hint="cs"/>
          <w:rtl/>
        </w:rPr>
        <w:t>ה</w:t>
      </w:r>
      <w:r>
        <w:rPr>
          <w:rFonts w:hint="cs"/>
          <w:rtl/>
        </w:rPr>
        <w:t xml:space="preserve">ציבוריים ודרכי הפיקוח של הגנז עליהם. </w:t>
      </w:r>
    </w:p>
    <w:p w:rsidR="00C12B16" w:rsidP="00FF6AB4" w14:paraId="5750FC43" w14:textId="77777777">
      <w:pPr>
        <w:pStyle w:val="a"/>
        <w:spacing w:line="269" w:lineRule="auto"/>
        <w:rPr>
          <w:rtl/>
        </w:rPr>
      </w:pPr>
    </w:p>
    <w:p w:rsidR="006352F6" w:rsidRPr="00276BBD" w:rsidP="00FF6AB4" w14:paraId="58EA7593" w14:textId="77777777">
      <w:pPr>
        <w:spacing w:line="269" w:lineRule="auto"/>
        <w:rPr>
          <w:rtl/>
        </w:rPr>
      </w:pPr>
      <w:r>
        <w:rPr>
          <w:rtl/>
        </w:rPr>
        <w:t xml:space="preserve">בתקנות </w:t>
      </w:r>
      <w:r>
        <w:rPr>
          <w:rFonts w:hint="cs"/>
          <w:rtl/>
        </w:rPr>
        <w:t>הארכיונים הציבוריים נקבע כי מנהל ארכיו</w:t>
      </w:r>
      <w:r>
        <w:rPr>
          <w:rFonts w:hint="cs"/>
          <w:rtl/>
        </w:rPr>
        <w:t>ן ציבורי יערוך וישל</w:t>
      </w:r>
      <w:r w:rsidR="00B27A62">
        <w:rPr>
          <w:rFonts w:hint="cs"/>
          <w:rtl/>
        </w:rPr>
        <w:t>ח לגנז לפחות אחת לשנה דוח המכיל בין היתר</w:t>
      </w:r>
      <w:r>
        <w:rPr>
          <w:rFonts w:hint="cs"/>
          <w:rtl/>
        </w:rPr>
        <w:t xml:space="preserve"> פרטים </w:t>
      </w:r>
      <w:r w:rsidR="00B27A62">
        <w:rPr>
          <w:rFonts w:hint="cs"/>
          <w:rtl/>
        </w:rPr>
        <w:t xml:space="preserve">על החומר הארכיוני שנרכש או </w:t>
      </w:r>
      <w:r w:rsidR="007710DB">
        <w:rPr>
          <w:rFonts w:hint="cs"/>
          <w:rtl/>
        </w:rPr>
        <w:t>ש</w:t>
      </w:r>
      <w:r w:rsidR="00B27A62">
        <w:rPr>
          <w:rFonts w:hint="cs"/>
          <w:rtl/>
        </w:rPr>
        <w:t>ה</w:t>
      </w:r>
      <w:r>
        <w:rPr>
          <w:rFonts w:hint="cs"/>
          <w:rtl/>
        </w:rPr>
        <w:t xml:space="preserve">תקבל על ידי הארכיון הציבורי </w:t>
      </w:r>
      <w:r w:rsidR="00B27A62">
        <w:rPr>
          <w:rFonts w:hint="cs"/>
          <w:rtl/>
        </w:rPr>
        <w:t xml:space="preserve">ועל </w:t>
      </w:r>
      <w:r>
        <w:rPr>
          <w:rFonts w:hint="cs"/>
          <w:rtl/>
        </w:rPr>
        <w:t xml:space="preserve">החומר הארכיוני שבוער </w:t>
      </w:r>
      <w:r w:rsidR="00B27A62">
        <w:rPr>
          <w:rFonts w:hint="cs"/>
          <w:rtl/>
        </w:rPr>
        <w:t xml:space="preserve">בארכיון הציבורי </w:t>
      </w:r>
      <w:r>
        <w:rPr>
          <w:rFonts w:hint="cs"/>
          <w:rtl/>
        </w:rPr>
        <w:t>או שנפגע בו</w:t>
      </w:r>
      <w:r w:rsidR="00B27A62">
        <w:rPr>
          <w:rFonts w:hint="cs"/>
          <w:rtl/>
        </w:rPr>
        <w:t xml:space="preserve"> </w:t>
      </w:r>
      <w:r w:rsidR="008032B6">
        <w:rPr>
          <w:rFonts w:hint="cs"/>
          <w:rtl/>
        </w:rPr>
        <w:t xml:space="preserve">ממועד </w:t>
      </w:r>
      <w:r w:rsidR="00B27A62">
        <w:rPr>
          <w:rFonts w:hint="cs"/>
          <w:rtl/>
        </w:rPr>
        <w:t>מסירת הדוח האחרון</w:t>
      </w:r>
      <w:r>
        <w:rPr>
          <w:rFonts w:hint="cs"/>
          <w:rtl/>
        </w:rPr>
        <w:t>, על שינויים</w:t>
      </w:r>
      <w:r w:rsidR="00B27A62">
        <w:rPr>
          <w:rFonts w:hint="cs"/>
          <w:rtl/>
        </w:rPr>
        <w:t xml:space="preserve"> בדרכי השמירה של החומר הארכיוני</w:t>
      </w:r>
      <w:r>
        <w:rPr>
          <w:rFonts w:hint="cs"/>
          <w:rtl/>
        </w:rPr>
        <w:t xml:space="preserve"> ו</w:t>
      </w:r>
      <w:r w:rsidR="00B27A62">
        <w:rPr>
          <w:rFonts w:hint="cs"/>
          <w:rtl/>
        </w:rPr>
        <w:t xml:space="preserve">על </w:t>
      </w:r>
      <w:r>
        <w:rPr>
          <w:rFonts w:hint="cs"/>
          <w:rtl/>
        </w:rPr>
        <w:t xml:space="preserve">פרסומים </w:t>
      </w:r>
      <w:r>
        <w:rPr>
          <w:rFonts w:hint="cs"/>
          <w:rtl/>
        </w:rPr>
        <w:t>מטעם הארכיון הציבורי</w:t>
      </w:r>
      <w:r w:rsidR="00B27A62">
        <w:rPr>
          <w:rFonts w:hint="cs"/>
          <w:rtl/>
        </w:rPr>
        <w:t>.</w:t>
      </w:r>
      <w:r>
        <w:rPr>
          <w:rFonts w:hint="cs"/>
          <w:rtl/>
        </w:rPr>
        <w:t xml:space="preserve"> הגנז רשאי להיכנס לכל ארכיון ציבורי בכל זמן סביר כדי לברר אם קוימו תקנות אלה, ואם מצא שלא קוימו - </w:t>
      </w:r>
      <w:r w:rsidR="00B27A62">
        <w:rPr>
          <w:rFonts w:hint="cs"/>
          <w:rtl/>
        </w:rPr>
        <w:t>עליו</w:t>
      </w:r>
      <w:r>
        <w:rPr>
          <w:rFonts w:hint="cs"/>
          <w:rtl/>
        </w:rPr>
        <w:t xml:space="preserve"> למסור על כך דוח לממשלה</w:t>
      </w:r>
      <w:r w:rsidR="00B27A62">
        <w:rPr>
          <w:rFonts w:hint="cs"/>
          <w:rtl/>
        </w:rPr>
        <w:t>.</w:t>
      </w:r>
      <w:r>
        <w:rPr>
          <w:rFonts w:hint="cs"/>
          <w:rtl/>
        </w:rPr>
        <w:t xml:space="preserve"> לאחר קבלת הדוח רשאית הממשלה לבטל את אישור הארכיון כארכיון ציבורי.</w:t>
      </w:r>
      <w:r w:rsidR="007710DB">
        <w:rPr>
          <w:rFonts w:hint="cs"/>
          <w:rtl/>
        </w:rPr>
        <w:t xml:space="preserve"> </w:t>
      </w:r>
      <w:r w:rsidRPr="00276BBD" w:rsidR="00B03FF6">
        <w:rPr>
          <w:rtl/>
        </w:rPr>
        <w:t xml:space="preserve">בעניין זה </w:t>
      </w:r>
      <w:r w:rsidR="008032B6">
        <w:rPr>
          <w:rFonts w:hint="cs"/>
          <w:rtl/>
        </w:rPr>
        <w:t>יצוין</w:t>
      </w:r>
      <w:r w:rsidRPr="00276BBD" w:rsidR="00B03FF6">
        <w:rPr>
          <w:rtl/>
        </w:rPr>
        <w:t xml:space="preserve"> כי</w:t>
      </w:r>
      <w:r w:rsidRPr="00276BBD" w:rsidR="00B03FF6">
        <w:rPr>
          <w:rFonts w:hint="cs"/>
          <w:rtl/>
        </w:rPr>
        <w:t xml:space="preserve"> ארכיונים ציבוריים זכאים לפטור מתשלום ארנונה</w:t>
      </w:r>
      <w:r w:rsidRPr="00276BBD" w:rsidR="00276BBD">
        <w:rPr>
          <w:rFonts w:hint="cs"/>
          <w:rtl/>
        </w:rPr>
        <w:t xml:space="preserve">, </w:t>
      </w:r>
      <w:r w:rsidR="008032B6">
        <w:rPr>
          <w:rFonts w:hint="cs"/>
          <w:rtl/>
        </w:rPr>
        <w:t>ו</w:t>
      </w:r>
      <w:r w:rsidRPr="00276BBD" w:rsidR="00B03FF6">
        <w:rPr>
          <w:rFonts w:hint="cs"/>
          <w:rtl/>
        </w:rPr>
        <w:t>אחד הטעמים לכך הוא העומס המוטל עליהם, הבא לידי ביטוי בין היתר ב</w:t>
      </w:r>
      <w:r w:rsidR="008032B6">
        <w:rPr>
          <w:rFonts w:hint="cs"/>
          <w:rtl/>
        </w:rPr>
        <w:t xml:space="preserve">חובה להגיש את </w:t>
      </w:r>
      <w:r w:rsidRPr="00276BBD" w:rsidR="00665DB4">
        <w:rPr>
          <w:rFonts w:hint="cs"/>
          <w:rtl/>
        </w:rPr>
        <w:t>הדוח</w:t>
      </w:r>
      <w:r w:rsidR="008032B6">
        <w:rPr>
          <w:rFonts w:hint="cs"/>
          <w:rtl/>
        </w:rPr>
        <w:t xml:space="preserve"> האמור</w:t>
      </w:r>
      <w:r w:rsidRPr="00276BBD" w:rsidR="00665DB4">
        <w:rPr>
          <w:rFonts w:hint="cs"/>
          <w:rtl/>
        </w:rPr>
        <w:t xml:space="preserve"> לגנז </w:t>
      </w:r>
      <w:r w:rsidR="008032B6">
        <w:rPr>
          <w:rFonts w:hint="cs"/>
          <w:rtl/>
        </w:rPr>
        <w:t>בכל</w:t>
      </w:r>
      <w:r w:rsidRPr="00276BBD" w:rsidR="008032B6">
        <w:rPr>
          <w:rFonts w:hint="cs"/>
          <w:rtl/>
        </w:rPr>
        <w:t xml:space="preserve"> </w:t>
      </w:r>
      <w:r w:rsidRPr="00276BBD" w:rsidR="00B03FF6">
        <w:rPr>
          <w:rFonts w:hint="cs"/>
          <w:rtl/>
        </w:rPr>
        <w:t>שנה</w:t>
      </w:r>
      <w:r>
        <w:rPr>
          <w:rStyle w:val="FootnoteReference"/>
          <w:rtl/>
        </w:rPr>
        <w:footnoteReference w:id="28"/>
      </w:r>
      <w:r w:rsidRPr="00276BBD" w:rsidR="00B03FF6">
        <w:rPr>
          <w:rFonts w:hint="cs"/>
          <w:rtl/>
        </w:rPr>
        <w:t>.</w:t>
      </w:r>
    </w:p>
    <w:p w:rsidR="00C12B16" w:rsidP="00FF6AB4" w14:paraId="35AD5D13" w14:textId="77777777">
      <w:pPr>
        <w:pStyle w:val="a"/>
        <w:spacing w:line="269" w:lineRule="auto"/>
        <w:rPr>
          <w:rtl/>
        </w:rPr>
      </w:pPr>
    </w:p>
    <w:p w:rsidR="004A37F5" w:rsidP="00FF6AB4" w14:paraId="56D85F1E" w14:textId="77777777">
      <w:pPr>
        <w:spacing w:line="269" w:lineRule="auto"/>
        <w:rPr>
          <w:rtl/>
        </w:rPr>
      </w:pPr>
      <w:r w:rsidRPr="00171F9E">
        <w:rPr>
          <w:rFonts w:hint="cs"/>
          <w:b/>
          <w:bCs/>
          <w:rtl/>
        </w:rPr>
        <w:t>בביקורת נמצא כי</w:t>
      </w:r>
      <w:r>
        <w:rPr>
          <w:rFonts w:hint="cs"/>
          <w:rtl/>
        </w:rPr>
        <w:t xml:space="preserve"> </w:t>
      </w:r>
      <w:r w:rsidR="00BC6422">
        <w:rPr>
          <w:rFonts w:hint="cs"/>
          <w:b/>
          <w:bCs/>
          <w:rtl/>
        </w:rPr>
        <w:t xml:space="preserve">זה שנים </w:t>
      </w:r>
      <w:r w:rsidR="000F761B">
        <w:rPr>
          <w:rFonts w:hint="cs"/>
          <w:b/>
          <w:bCs/>
          <w:rtl/>
        </w:rPr>
        <w:t xml:space="preserve">לא הגישו מנהלי </w:t>
      </w:r>
      <w:r>
        <w:rPr>
          <w:rFonts w:hint="cs"/>
          <w:b/>
          <w:bCs/>
          <w:rtl/>
        </w:rPr>
        <w:t>ה</w:t>
      </w:r>
      <w:r>
        <w:rPr>
          <w:b/>
          <w:bCs/>
          <w:rtl/>
        </w:rPr>
        <w:t>ארכיו</w:t>
      </w:r>
      <w:r>
        <w:rPr>
          <w:rFonts w:hint="cs"/>
          <w:b/>
          <w:bCs/>
          <w:rtl/>
        </w:rPr>
        <w:t>נים</w:t>
      </w:r>
      <w:r w:rsidRPr="00265EFF">
        <w:rPr>
          <w:b/>
          <w:bCs/>
          <w:rtl/>
        </w:rPr>
        <w:t xml:space="preserve"> </w:t>
      </w:r>
      <w:r>
        <w:rPr>
          <w:rFonts w:hint="cs"/>
          <w:b/>
          <w:bCs/>
          <w:rtl/>
        </w:rPr>
        <w:t>ה</w:t>
      </w:r>
      <w:r w:rsidRPr="00265EFF">
        <w:rPr>
          <w:b/>
          <w:bCs/>
          <w:rtl/>
        </w:rPr>
        <w:t>ציבורי</w:t>
      </w:r>
      <w:r>
        <w:rPr>
          <w:rFonts w:hint="cs"/>
          <w:b/>
          <w:bCs/>
          <w:rtl/>
        </w:rPr>
        <w:t>ים</w:t>
      </w:r>
      <w:r w:rsidRPr="00265EFF">
        <w:rPr>
          <w:b/>
          <w:bCs/>
          <w:rtl/>
        </w:rPr>
        <w:t xml:space="preserve"> דוח</w:t>
      </w:r>
      <w:r>
        <w:rPr>
          <w:rFonts w:hint="cs"/>
          <w:b/>
          <w:bCs/>
          <w:rtl/>
        </w:rPr>
        <w:t>ות</w:t>
      </w:r>
      <w:r w:rsidRPr="00265EFF">
        <w:rPr>
          <w:b/>
          <w:bCs/>
          <w:rtl/>
        </w:rPr>
        <w:t xml:space="preserve"> שנתי</w:t>
      </w:r>
      <w:r>
        <w:rPr>
          <w:rFonts w:hint="cs"/>
          <w:b/>
          <w:bCs/>
          <w:rtl/>
        </w:rPr>
        <w:t>ים</w:t>
      </w:r>
      <w:r w:rsidRPr="00265EFF">
        <w:rPr>
          <w:b/>
          <w:bCs/>
          <w:rtl/>
        </w:rPr>
        <w:t xml:space="preserve"> לגנז</w:t>
      </w:r>
      <w:r w:rsidR="00BC6422">
        <w:rPr>
          <w:rFonts w:hint="cs"/>
          <w:b/>
          <w:bCs/>
          <w:rtl/>
        </w:rPr>
        <w:t>י המדינה</w:t>
      </w:r>
      <w:r w:rsidR="008032B6">
        <w:rPr>
          <w:rFonts w:hint="cs"/>
          <w:b/>
          <w:bCs/>
          <w:rtl/>
        </w:rPr>
        <w:t>,</w:t>
      </w:r>
      <w:r w:rsidRPr="00265EFF">
        <w:rPr>
          <w:b/>
          <w:bCs/>
          <w:rtl/>
        </w:rPr>
        <w:t xml:space="preserve"> כפי שנקבע בתקנות</w:t>
      </w:r>
      <w:r>
        <w:rPr>
          <w:rFonts w:hint="cs"/>
          <w:b/>
          <w:bCs/>
          <w:rtl/>
        </w:rPr>
        <w:t xml:space="preserve"> הארכיונים הציבוריים</w:t>
      </w:r>
      <w:r w:rsidR="00B27A62">
        <w:rPr>
          <w:rFonts w:hint="cs"/>
          <w:b/>
          <w:bCs/>
          <w:rtl/>
        </w:rPr>
        <w:t>.</w:t>
      </w:r>
      <w:r>
        <w:rPr>
          <w:rFonts w:hint="cs"/>
          <w:b/>
          <w:bCs/>
          <w:rtl/>
        </w:rPr>
        <w:t xml:space="preserve"> </w:t>
      </w:r>
      <w:r w:rsidR="00821809">
        <w:rPr>
          <w:rFonts w:hint="cs"/>
          <w:b/>
          <w:bCs/>
          <w:rtl/>
        </w:rPr>
        <w:t>אשר ל</w:t>
      </w:r>
      <w:r>
        <w:rPr>
          <w:rFonts w:hint="cs"/>
          <w:b/>
          <w:bCs/>
          <w:rtl/>
        </w:rPr>
        <w:t>גנז</w:t>
      </w:r>
      <w:r w:rsidR="00BC6422">
        <w:rPr>
          <w:rFonts w:hint="cs"/>
          <w:b/>
          <w:bCs/>
          <w:rtl/>
        </w:rPr>
        <w:t>ים</w:t>
      </w:r>
      <w:r w:rsidR="00821809">
        <w:rPr>
          <w:rFonts w:hint="cs"/>
          <w:b/>
          <w:bCs/>
          <w:rtl/>
        </w:rPr>
        <w:t xml:space="preserve">, </w:t>
      </w:r>
      <w:r w:rsidR="00BC6422">
        <w:rPr>
          <w:rFonts w:hint="cs"/>
          <w:b/>
          <w:bCs/>
          <w:rtl/>
        </w:rPr>
        <w:t xml:space="preserve">הם לא </w:t>
      </w:r>
      <w:r>
        <w:rPr>
          <w:rFonts w:hint="cs"/>
          <w:b/>
          <w:bCs/>
          <w:rtl/>
        </w:rPr>
        <w:t>ד</w:t>
      </w:r>
      <w:r w:rsidR="00BC6422">
        <w:rPr>
          <w:rFonts w:hint="cs"/>
          <w:b/>
          <w:bCs/>
          <w:rtl/>
        </w:rPr>
        <w:t>רשו</w:t>
      </w:r>
      <w:r w:rsidR="00821809">
        <w:rPr>
          <w:rFonts w:hint="cs"/>
          <w:b/>
          <w:bCs/>
          <w:rtl/>
        </w:rPr>
        <w:t xml:space="preserve"> את</w:t>
      </w:r>
      <w:r>
        <w:rPr>
          <w:rFonts w:hint="cs"/>
          <w:b/>
          <w:bCs/>
          <w:rtl/>
        </w:rPr>
        <w:t xml:space="preserve"> קבלתם של דוחות </w:t>
      </w:r>
      <w:r w:rsidRPr="001F6B11">
        <w:rPr>
          <w:rFonts w:hint="cs"/>
          <w:b/>
          <w:bCs/>
          <w:rtl/>
        </w:rPr>
        <w:t>אלו</w:t>
      </w:r>
      <w:r w:rsidR="00C615CD">
        <w:rPr>
          <w:rFonts w:hint="cs"/>
          <w:b/>
          <w:bCs/>
          <w:rtl/>
        </w:rPr>
        <w:t xml:space="preserve"> וממילא גם לא דיווחו לממשלה על שדוחות כאלה לא התקבלו</w:t>
      </w:r>
      <w:r w:rsidRPr="0017535F">
        <w:rPr>
          <w:b/>
          <w:bCs/>
          <w:rtl/>
        </w:rPr>
        <w:t>.</w:t>
      </w:r>
      <w:r>
        <w:rPr>
          <w:rFonts w:hint="cs"/>
          <w:rtl/>
        </w:rPr>
        <w:t xml:space="preserve"> </w:t>
      </w:r>
    </w:p>
    <w:p w:rsidR="00C12B16" w:rsidP="00FF6AB4" w14:paraId="45C5EB19" w14:textId="77777777">
      <w:pPr>
        <w:pStyle w:val="a"/>
        <w:spacing w:line="269" w:lineRule="auto"/>
        <w:rPr>
          <w:rtl/>
        </w:rPr>
      </w:pPr>
    </w:p>
    <w:p w:rsidR="00A37D1C" w:rsidP="00FF6AB4" w14:paraId="54D8F8D2" w14:textId="77777777">
      <w:pPr>
        <w:spacing w:line="269" w:lineRule="auto"/>
        <w:rPr>
          <w:rtl/>
        </w:rPr>
      </w:pPr>
      <w:r w:rsidRPr="00E8280D">
        <w:rPr>
          <w:rFonts w:hint="cs"/>
          <w:rtl/>
        </w:rPr>
        <w:t>מנהל ארכיון בית ברל</w:t>
      </w:r>
      <w:r w:rsidR="000F2DEC">
        <w:rPr>
          <w:rFonts w:hint="cs"/>
          <w:rtl/>
        </w:rPr>
        <w:t>,</w:t>
      </w:r>
      <w:r w:rsidRPr="00E8280D">
        <w:rPr>
          <w:rFonts w:hint="cs"/>
          <w:rtl/>
        </w:rPr>
        <w:t xml:space="preserve"> </w:t>
      </w:r>
      <w:r w:rsidR="000F2DEC">
        <w:rPr>
          <w:rFonts w:hint="cs"/>
          <w:rtl/>
        </w:rPr>
        <w:t xml:space="preserve">מנהל ארכיון יד טבנקין ומנהל ארכיון יד יערי </w:t>
      </w:r>
      <w:r w:rsidR="007E745F">
        <w:rPr>
          <w:rFonts w:hint="cs"/>
          <w:rtl/>
        </w:rPr>
        <w:t>מסר</w:t>
      </w:r>
      <w:r w:rsidR="000F2DEC">
        <w:rPr>
          <w:rFonts w:hint="cs"/>
          <w:rtl/>
        </w:rPr>
        <w:t>ו</w:t>
      </w:r>
      <w:r w:rsidR="007E745F">
        <w:rPr>
          <w:rFonts w:hint="cs"/>
          <w:rtl/>
        </w:rPr>
        <w:t xml:space="preserve"> למשרד מבקר המדינה כי </w:t>
      </w:r>
      <w:r w:rsidR="000F2DEC">
        <w:rPr>
          <w:rFonts w:hint="cs"/>
          <w:rtl/>
        </w:rPr>
        <w:t>מזה שנים הם אינם מגישים דוחות שכן הם אינם מתבקשים לעשות כן.</w:t>
      </w:r>
      <w:r w:rsidRPr="00FE008A">
        <w:rPr>
          <w:rFonts w:hint="cs"/>
          <w:rtl/>
        </w:rPr>
        <w:t xml:space="preserve"> </w:t>
      </w:r>
    </w:p>
    <w:p w:rsidR="004A37F5" w:rsidP="00FF6AB4" w14:paraId="22CE68DB" w14:textId="77777777">
      <w:pPr>
        <w:pStyle w:val="a"/>
        <w:spacing w:line="269" w:lineRule="auto"/>
        <w:rPr>
          <w:rtl/>
        </w:rPr>
      </w:pPr>
    </w:p>
    <w:p w:rsidR="004A37F5" w:rsidP="00FF6AB4" w14:paraId="639967DB" w14:textId="77777777">
      <w:pPr>
        <w:spacing w:line="269" w:lineRule="auto"/>
        <w:rPr>
          <w:rtl/>
        </w:rPr>
      </w:pPr>
      <w:r>
        <w:rPr>
          <w:rFonts w:hint="cs"/>
          <w:rtl/>
        </w:rPr>
        <w:t>היועצת המ</w:t>
      </w:r>
      <w:r>
        <w:rPr>
          <w:rFonts w:hint="cs"/>
          <w:rtl/>
        </w:rPr>
        <w:t>שפטית של ארכיון המדינה מסרה ל</w:t>
      </w:r>
      <w:r w:rsidR="005E30BA">
        <w:rPr>
          <w:rFonts w:hint="cs"/>
          <w:rtl/>
        </w:rPr>
        <w:t>משרד מבקר המדינה</w:t>
      </w:r>
      <w:r>
        <w:rPr>
          <w:rFonts w:hint="cs"/>
          <w:rtl/>
        </w:rPr>
        <w:t xml:space="preserve"> </w:t>
      </w:r>
      <w:r w:rsidR="00D304E7">
        <w:rPr>
          <w:rFonts w:hint="cs"/>
          <w:rtl/>
        </w:rPr>
        <w:t>באוגוסט 2018</w:t>
      </w:r>
      <w:r>
        <w:rPr>
          <w:rFonts w:hint="cs"/>
          <w:rtl/>
        </w:rPr>
        <w:t xml:space="preserve"> כי גנזי המדינה לא דרשו דיווחים אלה בשנים האחרונות משיקולי</w:t>
      </w:r>
      <w:r w:rsidR="00CE180C">
        <w:rPr>
          <w:rFonts w:hint="cs"/>
          <w:rtl/>
        </w:rPr>
        <w:t>ם הנוגעים</w:t>
      </w:r>
      <w:r>
        <w:rPr>
          <w:rFonts w:hint="cs"/>
          <w:rtl/>
        </w:rPr>
        <w:t xml:space="preserve"> </w:t>
      </w:r>
      <w:r w:rsidR="00CE180C">
        <w:rPr>
          <w:rFonts w:hint="cs"/>
          <w:rtl/>
        </w:rPr>
        <w:t>ל</w:t>
      </w:r>
      <w:r>
        <w:rPr>
          <w:rFonts w:hint="cs"/>
          <w:rtl/>
        </w:rPr>
        <w:t>סדרי עדיפויות ו</w:t>
      </w:r>
      <w:r w:rsidR="00CE180C">
        <w:rPr>
          <w:rFonts w:hint="cs"/>
          <w:rtl/>
        </w:rPr>
        <w:t>ל</w:t>
      </w:r>
      <w:r>
        <w:rPr>
          <w:rFonts w:hint="cs"/>
          <w:rtl/>
        </w:rPr>
        <w:t xml:space="preserve">משאבים. </w:t>
      </w:r>
    </w:p>
    <w:p w:rsidR="00C12B16" w:rsidP="00FF6AB4" w14:paraId="0F3235A5" w14:textId="77777777">
      <w:pPr>
        <w:pStyle w:val="a"/>
        <w:spacing w:line="269" w:lineRule="auto"/>
        <w:rPr>
          <w:rtl/>
        </w:rPr>
      </w:pPr>
    </w:p>
    <w:p w:rsidR="00BC6422" w:rsidP="00FF6AB4" w14:paraId="1440C2CD" w14:textId="77777777">
      <w:pPr>
        <w:spacing w:line="269" w:lineRule="auto"/>
        <w:rPr>
          <w:rtl/>
        </w:rPr>
      </w:pPr>
      <w:r>
        <w:rPr>
          <w:rFonts w:hint="cs"/>
          <w:rtl/>
        </w:rPr>
        <w:t>בתגובתו</w:t>
      </w:r>
      <w:r w:rsidRPr="00B17B27">
        <w:rPr>
          <w:rFonts w:hint="cs"/>
          <w:rtl/>
        </w:rPr>
        <w:t xml:space="preserve"> </w:t>
      </w:r>
      <w:r w:rsidR="007E43C7">
        <w:rPr>
          <w:rFonts w:hint="cs"/>
          <w:rtl/>
        </w:rPr>
        <w:t xml:space="preserve">מיולי 2019 </w:t>
      </w:r>
      <w:r>
        <w:rPr>
          <w:rFonts w:hint="cs"/>
          <w:rtl/>
        </w:rPr>
        <w:t xml:space="preserve">על </w:t>
      </w:r>
      <w:r w:rsidR="007E43C7">
        <w:rPr>
          <w:rFonts w:hint="cs"/>
          <w:rtl/>
        </w:rPr>
        <w:t xml:space="preserve">טיוטת דוח הביקורת </w:t>
      </w:r>
      <w:r w:rsidR="00B03FF6">
        <w:rPr>
          <w:rFonts w:hint="cs"/>
          <w:rtl/>
        </w:rPr>
        <w:t>מסר משרד רה"ם בשם ארכיון המדינה כי הגנז הקודם אכן לא פיקח על פעילות הארכיונים הציבוריים</w:t>
      </w:r>
      <w:r w:rsidR="00EA7B88">
        <w:rPr>
          <w:rFonts w:hint="cs"/>
          <w:rtl/>
        </w:rPr>
        <w:t xml:space="preserve">, אולם </w:t>
      </w:r>
      <w:r w:rsidR="00F0628C">
        <w:rPr>
          <w:rFonts w:hint="cs"/>
          <w:rtl/>
        </w:rPr>
        <w:t>לאחרונה</w:t>
      </w:r>
      <w:r w:rsidR="009E1AB1">
        <w:rPr>
          <w:rFonts w:hint="cs"/>
          <w:rtl/>
        </w:rPr>
        <w:t xml:space="preserve"> </w:t>
      </w:r>
      <w:r>
        <w:rPr>
          <w:rFonts w:hint="cs"/>
          <w:rtl/>
        </w:rPr>
        <w:t xml:space="preserve">ביקשה </w:t>
      </w:r>
      <w:r w:rsidR="009E1AB1">
        <w:rPr>
          <w:rFonts w:hint="cs"/>
          <w:rtl/>
        </w:rPr>
        <w:t>סגנית הגנז</w:t>
      </w:r>
      <w:r>
        <w:rPr>
          <w:rStyle w:val="FootnoteReference"/>
          <w:rtl/>
        </w:rPr>
        <w:footnoteReference w:id="29"/>
      </w:r>
      <w:r w:rsidR="009E1AB1">
        <w:rPr>
          <w:rFonts w:hint="cs"/>
          <w:rtl/>
        </w:rPr>
        <w:t xml:space="preserve"> </w:t>
      </w:r>
      <w:r>
        <w:rPr>
          <w:rFonts w:hint="cs"/>
          <w:rtl/>
        </w:rPr>
        <w:t>מ</w:t>
      </w:r>
      <w:r w:rsidR="00EA7B88">
        <w:rPr>
          <w:rFonts w:hint="cs"/>
          <w:rtl/>
        </w:rPr>
        <w:t xml:space="preserve">כל מנהלי הארכיונים הציבוריים </w:t>
      </w:r>
      <w:r>
        <w:rPr>
          <w:rFonts w:hint="cs"/>
          <w:rtl/>
        </w:rPr>
        <w:t xml:space="preserve">למסור </w:t>
      </w:r>
      <w:r w:rsidR="00EA7B88">
        <w:rPr>
          <w:rFonts w:hint="cs"/>
          <w:rtl/>
        </w:rPr>
        <w:t>דוחות פעילות שנתיים.</w:t>
      </w:r>
    </w:p>
    <w:p w:rsidR="0098688E" w:rsidP="00FF6AB4" w14:paraId="137DED5F" w14:textId="77777777">
      <w:pPr>
        <w:pStyle w:val="a"/>
        <w:spacing w:line="269" w:lineRule="auto"/>
        <w:rPr>
          <w:rtl/>
        </w:rPr>
      </w:pPr>
    </w:p>
    <w:p w:rsidR="00EE3D36" w:rsidRPr="00EE3D36" w:rsidP="00EE3D36" w14:paraId="61080025" w14:textId="77777777">
      <w:pPr>
        <w:pStyle w:val="a"/>
        <w:rPr>
          <w:rtl/>
        </w:rPr>
      </w:pPr>
    </w:p>
    <w:p w:rsidR="004A37F5" w:rsidP="00FF6AB4" w14:paraId="0AFA72D9" w14:textId="77777777">
      <w:pPr>
        <w:pStyle w:val="Heading3"/>
        <w:spacing w:before="0" w:line="269" w:lineRule="auto"/>
        <w:rPr>
          <w:rtl/>
        </w:rPr>
      </w:pPr>
      <w:r>
        <w:rPr>
          <w:rFonts w:hint="cs"/>
          <w:rtl/>
        </w:rPr>
        <w:t>ארכיונים פרטיים</w:t>
      </w:r>
    </w:p>
    <w:p w:rsidR="00D230E8" w:rsidRPr="00D230E8" w:rsidP="00FF6AB4" w14:paraId="4514956C" w14:textId="77777777">
      <w:pPr>
        <w:pStyle w:val="a"/>
        <w:spacing w:line="269" w:lineRule="auto"/>
        <w:rPr>
          <w:rtl/>
        </w:rPr>
      </w:pPr>
    </w:p>
    <w:p w:rsidR="004A37F5" w:rsidP="00FF6AB4" w14:paraId="41B5189E" w14:textId="77777777">
      <w:pPr>
        <w:spacing w:line="269" w:lineRule="auto"/>
        <w:rPr>
          <w:rtl/>
        </w:rPr>
      </w:pPr>
      <w:r>
        <w:rPr>
          <w:rFonts w:hint="cs"/>
          <w:rtl/>
        </w:rPr>
        <w:t>חומרים ארכיוניים מצויים גם ב</w:t>
      </w:r>
      <w:r w:rsidR="00F0628C">
        <w:rPr>
          <w:rFonts w:hint="cs"/>
          <w:rtl/>
        </w:rPr>
        <w:t>ידי אנשים פרטיים (</w:t>
      </w:r>
      <w:r>
        <w:rPr>
          <w:rFonts w:hint="cs"/>
          <w:rtl/>
        </w:rPr>
        <w:t>ארכיונים פרטיים</w:t>
      </w:r>
      <w:r w:rsidR="00F0628C">
        <w:rPr>
          <w:rFonts w:hint="cs"/>
          <w:rtl/>
        </w:rPr>
        <w:t>)</w:t>
      </w:r>
      <w:r>
        <w:rPr>
          <w:rFonts w:hint="cs"/>
          <w:rtl/>
        </w:rPr>
        <w:t>. ב</w:t>
      </w:r>
      <w:r w:rsidRPr="00886A03">
        <w:rPr>
          <w:rFonts w:hint="cs"/>
          <w:rtl/>
        </w:rPr>
        <w:t>חוק האר</w:t>
      </w:r>
      <w:r>
        <w:rPr>
          <w:rFonts w:hint="cs"/>
          <w:rtl/>
        </w:rPr>
        <w:t>כ</w:t>
      </w:r>
      <w:r>
        <w:rPr>
          <w:rFonts w:hint="cs"/>
          <w:rtl/>
        </w:rPr>
        <w:t>יונים נקבע כי "הגנז ינהל פנקס חומר ארכיוני הנמצא בידי בעלים פרטיים (להלן</w:t>
      </w:r>
      <w:r w:rsidR="00F0628C">
        <w:rPr>
          <w:rFonts w:hint="cs"/>
          <w:rtl/>
        </w:rPr>
        <w:t xml:space="preserve"> </w:t>
      </w:r>
      <w:r>
        <w:rPr>
          <w:rFonts w:hint="cs"/>
          <w:rtl/>
        </w:rPr>
        <w:t>-</w:t>
      </w:r>
      <w:r w:rsidR="00F0628C">
        <w:rPr>
          <w:rFonts w:hint="cs"/>
          <w:rtl/>
        </w:rPr>
        <w:t xml:space="preserve"> </w:t>
      </w:r>
      <w:r>
        <w:rPr>
          <w:rFonts w:hint="cs"/>
          <w:rtl/>
        </w:rPr>
        <w:t>הפנקס)".</w:t>
      </w:r>
      <w:r w:rsidR="00C001D3">
        <w:rPr>
          <w:rFonts w:hint="cs"/>
          <w:rtl/>
        </w:rPr>
        <w:t xml:space="preserve"> עוד נקבע בחוק הארכיונים כי</w:t>
      </w:r>
      <w:r>
        <w:rPr>
          <w:rFonts w:hint="cs"/>
          <w:rtl/>
        </w:rPr>
        <w:t xml:space="preserve"> "</w:t>
      </w:r>
      <w:r w:rsidRPr="00722FDA">
        <w:rPr>
          <w:rFonts w:hint="cs"/>
          <w:rtl/>
        </w:rPr>
        <w:t>ב</w:t>
      </w:r>
      <w:r w:rsidRPr="00420BD3">
        <w:rPr>
          <w:rFonts w:eastAsia="Times New Roman" w:hint="cs"/>
          <w:b/>
          <w:sz w:val="18"/>
          <w:rtl/>
        </w:rPr>
        <w:t>פנקס יירשם חומר ארכיוני בעל ערך, כפי שייקבע על ידי הגנז, הנמצא בבעלותם או בהחזקתם של אנשים ומוסדות פרטיים ואינו מ</w:t>
      </w:r>
      <w:r>
        <w:rPr>
          <w:rFonts w:eastAsia="Times New Roman" w:hint="cs"/>
          <w:b/>
          <w:sz w:val="18"/>
          <w:rtl/>
        </w:rPr>
        <w:t>ו</w:t>
      </w:r>
      <w:r w:rsidR="00C001D3">
        <w:rPr>
          <w:rFonts w:eastAsia="Times New Roman" w:hint="cs"/>
          <w:b/>
          <w:sz w:val="18"/>
          <w:rtl/>
        </w:rPr>
        <w:t>פקד בארכיון ציבורי". כן נקבע בחוק כי</w:t>
      </w:r>
      <w:r w:rsidRPr="00420BD3">
        <w:rPr>
          <w:rFonts w:eastAsia="Times New Roman" w:hint="cs"/>
          <w:b/>
          <w:sz w:val="18"/>
          <w:rtl/>
        </w:rPr>
        <w:t xml:space="preserve"> "הרישום ייעשה על יסוד הצהרת הבעלים של החומר הארכיוני, או של המחזיק בו, או על יסוד ידיעה שהגיעה לגנז על מציאות החומר"</w:t>
      </w:r>
      <w:r>
        <w:rPr>
          <w:rStyle w:val="FootnoteReference"/>
          <w:rFonts w:eastAsia="Times New Roman"/>
          <w:b/>
          <w:sz w:val="18"/>
          <w:rtl/>
        </w:rPr>
        <w:footnoteReference w:id="30"/>
      </w:r>
      <w:r w:rsidRPr="00420BD3">
        <w:rPr>
          <w:rFonts w:eastAsia="Times New Roman" w:hint="cs"/>
          <w:b/>
          <w:sz w:val="18"/>
          <w:rtl/>
        </w:rPr>
        <w:t>.</w:t>
      </w:r>
      <w:r w:rsidRPr="00420BD3">
        <w:rPr>
          <w:rFonts w:eastAsia="Times New Roman" w:hint="cs"/>
          <w:bCs/>
          <w:szCs w:val="28"/>
          <w:rtl/>
        </w:rPr>
        <w:t xml:space="preserve"> </w:t>
      </w:r>
      <w:r w:rsidR="00C001D3">
        <w:rPr>
          <w:rFonts w:hint="cs"/>
          <w:rtl/>
        </w:rPr>
        <w:t xml:space="preserve">נוסף על כך </w:t>
      </w:r>
      <w:r>
        <w:rPr>
          <w:rFonts w:hint="cs"/>
          <w:rtl/>
        </w:rPr>
        <w:t>נקבע בחוק כי "הגנז רשאי לדרוש מכל אדם ידיעות על חומר ארכיוני הנמצא בבעלותו או בהחזקתו"</w:t>
      </w:r>
      <w:r>
        <w:rPr>
          <w:rStyle w:val="FootnoteReference"/>
          <w:rtl/>
        </w:rPr>
        <w:footnoteReference w:id="31"/>
      </w:r>
      <w:r>
        <w:rPr>
          <w:rFonts w:hint="cs"/>
          <w:rtl/>
        </w:rPr>
        <w:t xml:space="preserve">. </w:t>
      </w:r>
    </w:p>
    <w:p w:rsidR="0098688E" w:rsidP="00FF6AB4" w14:paraId="5B7E2AB5" w14:textId="77777777">
      <w:pPr>
        <w:pStyle w:val="a"/>
        <w:spacing w:line="269" w:lineRule="auto"/>
        <w:rPr>
          <w:rtl/>
        </w:rPr>
      </w:pPr>
    </w:p>
    <w:p w:rsidR="00B3510A" w:rsidP="00FF6AB4" w14:paraId="12393C45" w14:textId="77777777">
      <w:pPr>
        <w:spacing w:line="269" w:lineRule="auto"/>
        <w:rPr>
          <w:rtl/>
        </w:rPr>
      </w:pPr>
      <w:r>
        <w:rPr>
          <w:rFonts w:hint="cs"/>
          <w:rtl/>
        </w:rPr>
        <w:t xml:space="preserve">היועצת המשפטית של ארכיון </w:t>
      </w:r>
      <w:r>
        <w:rPr>
          <w:rFonts w:hint="cs"/>
          <w:rtl/>
        </w:rPr>
        <w:t>המדינה מסרה ל</w:t>
      </w:r>
      <w:r w:rsidR="00C001D3">
        <w:rPr>
          <w:rFonts w:hint="cs"/>
          <w:rtl/>
        </w:rPr>
        <w:t>משרד מבקר המדינה</w:t>
      </w:r>
      <w:r>
        <w:rPr>
          <w:rFonts w:hint="cs"/>
          <w:rtl/>
        </w:rPr>
        <w:t xml:space="preserve"> </w:t>
      </w:r>
      <w:r w:rsidR="004742CA">
        <w:rPr>
          <w:rFonts w:hint="cs"/>
          <w:rtl/>
        </w:rPr>
        <w:t>באוגוסט 2018</w:t>
      </w:r>
      <w:r>
        <w:rPr>
          <w:rFonts w:hint="cs"/>
          <w:rtl/>
        </w:rPr>
        <w:t xml:space="preserve"> כי הגנז אינו מנהל פנקס </w:t>
      </w:r>
      <w:r w:rsidR="00CE180C">
        <w:rPr>
          <w:rFonts w:hint="cs"/>
          <w:rtl/>
        </w:rPr>
        <w:t xml:space="preserve">לגבי </w:t>
      </w:r>
      <w:r>
        <w:rPr>
          <w:rFonts w:hint="cs"/>
          <w:rtl/>
        </w:rPr>
        <w:t>ארכיונים פרטיים ואינו עוקב אחר הנעשה בהם.</w:t>
      </w:r>
    </w:p>
    <w:p w:rsidR="0098688E" w:rsidP="00FF6AB4" w14:paraId="38C9E6BA" w14:textId="77777777">
      <w:pPr>
        <w:pStyle w:val="a"/>
        <w:spacing w:line="269" w:lineRule="auto"/>
        <w:rPr>
          <w:rtl/>
        </w:rPr>
      </w:pPr>
    </w:p>
    <w:p w:rsidR="005E59B6" w:rsidRPr="00B3510A" w:rsidP="00FF6AB4" w14:paraId="34A5483C" w14:textId="77777777">
      <w:pPr>
        <w:spacing w:line="269" w:lineRule="auto"/>
        <w:rPr>
          <w:rtl/>
        </w:rPr>
      </w:pPr>
      <w:r>
        <w:rPr>
          <w:rFonts w:hint="cs"/>
          <w:rtl/>
        </w:rPr>
        <w:t>בתגובתו</w:t>
      </w:r>
      <w:r w:rsidRPr="00B17B27">
        <w:rPr>
          <w:rFonts w:hint="cs"/>
          <w:rtl/>
        </w:rPr>
        <w:t xml:space="preserve"> </w:t>
      </w:r>
      <w:r w:rsidR="0096276C">
        <w:rPr>
          <w:rFonts w:hint="cs"/>
          <w:rtl/>
        </w:rPr>
        <w:t xml:space="preserve">מיולי 2019 </w:t>
      </w:r>
      <w:r>
        <w:rPr>
          <w:rFonts w:hint="cs"/>
          <w:rtl/>
        </w:rPr>
        <w:t xml:space="preserve">על </w:t>
      </w:r>
      <w:r w:rsidR="007E43C7">
        <w:rPr>
          <w:rFonts w:hint="cs"/>
          <w:rtl/>
        </w:rPr>
        <w:t xml:space="preserve">טיוטת דוח הביקורת </w:t>
      </w:r>
      <w:r w:rsidR="00B03FF6">
        <w:rPr>
          <w:rFonts w:hint="cs"/>
          <w:rtl/>
        </w:rPr>
        <w:t>מסר משרד רה"ם בשם ארכיון המדינה</w:t>
      </w:r>
      <w:r w:rsidR="007E43C7">
        <w:rPr>
          <w:rFonts w:hint="cs"/>
          <w:rtl/>
        </w:rPr>
        <w:t>,</w:t>
      </w:r>
      <w:r w:rsidR="00B03FF6">
        <w:rPr>
          <w:rFonts w:hint="cs"/>
          <w:rtl/>
        </w:rPr>
        <w:t xml:space="preserve"> כי עד כה לא ניהל ארכיון המדינה רישום כזה משום ש</w:t>
      </w:r>
      <w:r w:rsidR="00954399">
        <w:rPr>
          <w:rFonts w:hint="cs"/>
          <w:rtl/>
        </w:rPr>
        <w:t xml:space="preserve">אופן </w:t>
      </w:r>
      <w:r w:rsidR="009C0CFD">
        <w:rPr>
          <w:rFonts w:hint="cs"/>
          <w:rtl/>
        </w:rPr>
        <w:t>הרישום ה</w:t>
      </w:r>
      <w:r w:rsidR="00954399">
        <w:rPr>
          <w:rFonts w:hint="cs"/>
          <w:rtl/>
        </w:rPr>
        <w:t xml:space="preserve">קבוע בחוק </w:t>
      </w:r>
      <w:r w:rsidR="00B03FF6">
        <w:rPr>
          <w:rFonts w:hint="cs"/>
          <w:rtl/>
        </w:rPr>
        <w:t>אינו ישים</w:t>
      </w:r>
      <w:r w:rsidR="00954399">
        <w:rPr>
          <w:rFonts w:hint="cs"/>
          <w:rtl/>
        </w:rPr>
        <w:t>. עוד מסר</w:t>
      </w:r>
      <w:r w:rsidR="009C0CFD">
        <w:rPr>
          <w:rFonts w:hint="cs"/>
          <w:rtl/>
        </w:rPr>
        <w:t xml:space="preserve"> משרד רה"ם</w:t>
      </w:r>
      <w:r w:rsidR="00954399">
        <w:rPr>
          <w:rFonts w:hint="cs"/>
          <w:rtl/>
        </w:rPr>
        <w:t xml:space="preserve"> כי "</w:t>
      </w:r>
      <w:r w:rsidR="00B03FF6">
        <w:rPr>
          <w:rFonts w:hint="cs"/>
          <w:rtl/>
        </w:rPr>
        <w:t>לגנז ידיעות בודדות על חומר ארכיוני כזה</w:t>
      </w:r>
      <w:r w:rsidR="00954399">
        <w:rPr>
          <w:rFonts w:hint="cs"/>
          <w:rtl/>
        </w:rPr>
        <w:t>.</w:t>
      </w:r>
      <w:r w:rsidR="00B03FF6">
        <w:rPr>
          <w:rFonts w:hint="cs"/>
          <w:rtl/>
        </w:rPr>
        <w:t xml:space="preserve"> בחוק הארכיונים החדש </w:t>
      </w:r>
      <w:r w:rsidR="00954399">
        <w:rPr>
          <w:rFonts w:hint="cs"/>
          <w:rtl/>
        </w:rPr>
        <w:t>נ</w:t>
      </w:r>
      <w:r w:rsidR="00B03FF6">
        <w:rPr>
          <w:rFonts w:hint="cs"/>
          <w:rtl/>
        </w:rPr>
        <w:t>צ</w:t>
      </w:r>
      <w:r w:rsidR="00954399">
        <w:rPr>
          <w:rFonts w:hint="cs"/>
          <w:rtl/>
        </w:rPr>
        <w:t>י</w:t>
      </w:r>
      <w:r w:rsidR="00B03FF6">
        <w:rPr>
          <w:rFonts w:hint="cs"/>
          <w:rtl/>
        </w:rPr>
        <w:t>ע לבטל חובת ניהול פנקס זה</w:t>
      </w:r>
      <w:r w:rsidR="00954399">
        <w:rPr>
          <w:rFonts w:hint="cs"/>
          <w:rtl/>
        </w:rPr>
        <w:t>"</w:t>
      </w:r>
      <w:r w:rsidR="00B03FF6">
        <w:rPr>
          <w:rFonts w:hint="cs"/>
          <w:rtl/>
        </w:rPr>
        <w:t>.</w:t>
      </w:r>
    </w:p>
    <w:p w:rsidR="000D5D59" w:rsidP="00FF6AB4" w14:paraId="43D0F765" w14:textId="77777777">
      <w:pPr>
        <w:pStyle w:val="a"/>
        <w:spacing w:line="269" w:lineRule="auto"/>
        <w:rPr>
          <w:rtl/>
        </w:rPr>
      </w:pPr>
    </w:p>
    <w:p w:rsidR="004A37F5" w:rsidRPr="009A1BDC" w:rsidP="00FF6AB4" w14:paraId="42AFB01D" w14:textId="77777777">
      <w:pPr>
        <w:spacing w:line="269" w:lineRule="auto"/>
        <w:jc w:val="center"/>
        <w:rPr>
          <w:rFonts w:ascii="Arial" w:hAnsi="Arial" w:cs="Arial"/>
          <w:sz w:val="36"/>
          <w:rtl/>
        </w:rPr>
      </w:pPr>
      <w:r>
        <w:rPr>
          <w:rFonts w:ascii="MS Gothic" w:eastAsia="MS Gothic" w:hAnsi="MS Gothic" w:cs="MS Gothic" w:hint="eastAsia"/>
          <w:sz w:val="36"/>
          <w:rtl/>
        </w:rPr>
        <w:t>✰</w:t>
      </w:r>
    </w:p>
    <w:p w:rsidR="0098688E" w:rsidP="00FF6AB4" w14:paraId="69041AE1" w14:textId="77777777">
      <w:pPr>
        <w:pStyle w:val="a"/>
        <w:spacing w:line="269" w:lineRule="auto"/>
        <w:rPr>
          <w:rtl/>
        </w:rPr>
      </w:pPr>
    </w:p>
    <w:p w:rsidR="004A37F5" w:rsidP="00FF6AB4" w14:paraId="5D881B7A" w14:textId="6272B1CF">
      <w:pPr>
        <w:spacing w:line="269" w:lineRule="auto"/>
        <w:rPr>
          <w:b/>
          <w:bCs/>
          <w:rtl/>
        </w:rPr>
      </w:pPr>
      <w:r>
        <w:rPr>
          <w:rFonts w:hint="cs"/>
          <w:b/>
          <w:bCs/>
          <w:rtl/>
        </w:rPr>
        <w:t xml:space="preserve">משרד מבקר המדינה </w:t>
      </w:r>
      <w:r w:rsidR="00FB64F9">
        <w:rPr>
          <w:rFonts w:hint="cs"/>
          <w:b/>
          <w:bCs/>
          <w:rtl/>
        </w:rPr>
        <w:t>מציין כי על הגנז להקפיד על קבלת דוחות שנתיים כנדרש</w:t>
      </w:r>
      <w:r w:rsidR="007B7A42">
        <w:rPr>
          <w:rFonts w:hint="cs"/>
          <w:b/>
          <w:bCs/>
          <w:rtl/>
        </w:rPr>
        <w:t xml:space="preserve"> שכן בארכיונים אלו קיימים חומרים מסווגים שעלולה להיות לחשיפתם השפעה על ביטחון המדינה</w:t>
      </w:r>
      <w:r w:rsidRPr="003F6E38" w:rsidR="00F275C1">
        <w:rPr>
          <w:rFonts w:hint="cs"/>
          <w:b/>
          <w:bCs/>
          <w:rtl/>
        </w:rPr>
        <w:t xml:space="preserve">. </w:t>
      </w:r>
      <w:r w:rsidRPr="003F6E38" w:rsidR="00356C42">
        <w:rPr>
          <w:rFonts w:hint="cs"/>
          <w:b/>
          <w:bCs/>
          <w:rtl/>
        </w:rPr>
        <w:t>נוסף</w:t>
      </w:r>
      <w:r w:rsidR="00F22D4D">
        <w:rPr>
          <w:rFonts w:hint="cs"/>
          <w:b/>
          <w:bCs/>
          <w:rtl/>
        </w:rPr>
        <w:t xml:space="preserve"> לכך</w:t>
      </w:r>
      <w:r w:rsidRPr="003F6E38" w:rsidR="00356C42">
        <w:rPr>
          <w:rFonts w:hint="cs"/>
          <w:b/>
          <w:bCs/>
          <w:rtl/>
        </w:rPr>
        <w:t xml:space="preserve">, </w:t>
      </w:r>
      <w:r w:rsidRPr="003F6E38" w:rsidR="00D9173A">
        <w:rPr>
          <w:rFonts w:hint="cs"/>
          <w:b/>
          <w:bCs/>
          <w:rtl/>
        </w:rPr>
        <w:t>במסגרת גיבוש הצעת</w:t>
      </w:r>
      <w:r w:rsidRPr="003F6E38" w:rsidR="00356C42">
        <w:rPr>
          <w:rFonts w:hint="cs"/>
          <w:b/>
          <w:bCs/>
          <w:rtl/>
        </w:rPr>
        <w:t xml:space="preserve"> חוק הארכיונים</w:t>
      </w:r>
      <w:r w:rsidRPr="003F6E38" w:rsidR="00D9173A">
        <w:rPr>
          <w:rFonts w:hint="cs"/>
          <w:b/>
          <w:bCs/>
          <w:rtl/>
        </w:rPr>
        <w:t xml:space="preserve"> החדש</w:t>
      </w:r>
      <w:r w:rsidRPr="003F6E38" w:rsidR="00356C42">
        <w:rPr>
          <w:rFonts w:hint="cs"/>
          <w:b/>
          <w:bCs/>
          <w:rtl/>
        </w:rPr>
        <w:t xml:space="preserve">, </w:t>
      </w:r>
      <w:r w:rsidR="00FB64F9">
        <w:rPr>
          <w:rFonts w:hint="cs"/>
          <w:b/>
          <w:bCs/>
          <w:rtl/>
        </w:rPr>
        <w:t>מוצע לבחון את מתכונת הדיווח הנדרשת מארכיונים ציבוריים ו</w:t>
      </w:r>
      <w:r w:rsidR="001A23E0">
        <w:rPr>
          <w:rFonts w:hint="cs"/>
          <w:b/>
          <w:bCs/>
          <w:rtl/>
        </w:rPr>
        <w:t xml:space="preserve">את דרכי קבלת המידע מארכיונים </w:t>
      </w:r>
      <w:r w:rsidR="00FB64F9">
        <w:rPr>
          <w:rFonts w:hint="cs"/>
          <w:b/>
          <w:bCs/>
          <w:rtl/>
        </w:rPr>
        <w:t xml:space="preserve">פרטיים </w:t>
      </w:r>
      <w:r w:rsidR="006B3A65">
        <w:rPr>
          <w:rFonts w:hint="cs"/>
          <w:b/>
          <w:bCs/>
          <w:rtl/>
        </w:rPr>
        <w:t>-</w:t>
      </w:r>
      <w:r w:rsidR="00FB64F9">
        <w:rPr>
          <w:rFonts w:hint="cs"/>
          <w:b/>
          <w:bCs/>
          <w:rtl/>
        </w:rPr>
        <w:t xml:space="preserve"> ובפרט בכל הנוגע לחומרים מסווגים</w:t>
      </w:r>
      <w:r w:rsidR="00775039">
        <w:rPr>
          <w:rFonts w:hint="cs"/>
          <w:b/>
          <w:bCs/>
          <w:rtl/>
        </w:rPr>
        <w:t>.</w:t>
      </w:r>
      <w:r w:rsidR="00470380">
        <w:rPr>
          <w:rFonts w:hint="cs"/>
          <w:b/>
          <w:bCs/>
          <w:rtl/>
        </w:rPr>
        <w:t xml:space="preserve"> </w:t>
      </w:r>
    </w:p>
    <w:p w:rsidR="00EE3D36" w:rsidP="00EE3D36" w14:paraId="49930D2F" w14:textId="77777777">
      <w:pPr>
        <w:pStyle w:val="a"/>
        <w:rPr>
          <w:rtl/>
        </w:rPr>
      </w:pPr>
    </w:p>
    <w:p w:rsidR="004A37F5" w:rsidP="00FF6AB4" w14:paraId="296D9333" w14:textId="77777777">
      <w:pPr>
        <w:pStyle w:val="Heading2"/>
        <w:spacing w:before="0" w:line="269" w:lineRule="auto"/>
        <w:rPr>
          <w:rtl/>
        </w:rPr>
      </w:pPr>
      <w:r w:rsidRPr="00276BBD">
        <w:rPr>
          <w:rFonts w:hint="cs"/>
          <w:rtl/>
        </w:rPr>
        <w:t xml:space="preserve">חומרים ארכיוניים מסווגים </w:t>
      </w:r>
      <w:r w:rsidR="008817A4">
        <w:rPr>
          <w:rFonts w:hint="cs"/>
          <w:rtl/>
        </w:rPr>
        <w:t xml:space="preserve">המצויים </w:t>
      </w:r>
      <w:r w:rsidRPr="00276BBD">
        <w:rPr>
          <w:rFonts w:hint="cs"/>
          <w:rtl/>
        </w:rPr>
        <w:t>בארכיונים ציבוריים</w:t>
      </w:r>
      <w:r>
        <w:rPr>
          <w:rFonts w:hint="cs"/>
          <w:rtl/>
        </w:rPr>
        <w:t xml:space="preserve"> ופרטיים </w:t>
      </w:r>
    </w:p>
    <w:p w:rsidR="0098688E" w:rsidRPr="0098688E" w:rsidP="00FF6AB4" w14:paraId="6BB4DE2C" w14:textId="77777777">
      <w:pPr>
        <w:pStyle w:val="a"/>
        <w:spacing w:line="269" w:lineRule="auto"/>
        <w:rPr>
          <w:rtl/>
        </w:rPr>
      </w:pPr>
    </w:p>
    <w:p w:rsidR="004A37F5" w:rsidP="00FF6AB4" w14:paraId="14BC253D" w14:textId="77777777">
      <w:pPr>
        <w:spacing w:line="269" w:lineRule="auto"/>
        <w:rPr>
          <w:rtl/>
        </w:rPr>
      </w:pPr>
      <w:r>
        <w:rPr>
          <w:rFonts w:hint="cs"/>
          <w:rtl/>
        </w:rPr>
        <w:t xml:space="preserve">על פי </w:t>
      </w:r>
      <w:r w:rsidRPr="00914232">
        <w:rPr>
          <w:rFonts w:hint="cs"/>
          <w:rtl/>
        </w:rPr>
        <w:t>סעיף 1(2) לחוק הארכיונים</w:t>
      </w:r>
      <w:r w:rsidR="00E22BE4">
        <w:rPr>
          <w:rFonts w:hint="cs"/>
          <w:rtl/>
        </w:rPr>
        <w:t xml:space="preserve">, </w:t>
      </w:r>
      <w:r>
        <w:rPr>
          <w:rFonts w:hint="cs"/>
          <w:rtl/>
        </w:rPr>
        <w:t>יכולים להימצא בארכיונים ציבוריים ופרטיים</w:t>
      </w:r>
      <w:r w:rsidR="00E22BE4">
        <w:rPr>
          <w:rFonts w:hint="cs"/>
          <w:rtl/>
        </w:rPr>
        <w:t xml:space="preserve">, </w:t>
      </w:r>
      <w:r>
        <w:rPr>
          <w:rFonts w:hint="cs"/>
          <w:rtl/>
        </w:rPr>
        <w:t>חומרים</w:t>
      </w:r>
      <w:r w:rsidR="0015081A">
        <w:rPr>
          <w:rFonts w:hint="cs"/>
          <w:rtl/>
        </w:rPr>
        <w:t xml:space="preserve"> ארכיוניים</w:t>
      </w:r>
      <w:r>
        <w:rPr>
          <w:rFonts w:hint="cs"/>
          <w:rtl/>
        </w:rPr>
        <w:t xml:space="preserve"> "</w:t>
      </w:r>
      <w:r w:rsidRPr="00914232">
        <w:rPr>
          <w:rFonts w:hint="cs"/>
          <w:rtl/>
        </w:rPr>
        <w:t>שיש בהם ענין לחקר העבר, העם, המדינה או החברה, או שהם קשורים לזכרם או לפעולתם של אנשי שם".</w:t>
      </w:r>
      <w:r w:rsidR="00E22BE4">
        <w:rPr>
          <w:rFonts w:hint="cs"/>
          <w:rtl/>
        </w:rPr>
        <w:t xml:space="preserve"> </w:t>
      </w:r>
      <w:r>
        <w:rPr>
          <w:rFonts w:hint="cs"/>
          <w:rtl/>
        </w:rPr>
        <w:t xml:space="preserve">יש </w:t>
      </w:r>
      <w:r>
        <w:rPr>
          <w:rFonts w:hint="cs"/>
          <w:rtl/>
        </w:rPr>
        <w:t>לציין כי חוק</w:t>
      </w:r>
      <w:r w:rsidR="00D36B36">
        <w:rPr>
          <w:rFonts w:hint="cs"/>
          <w:rtl/>
        </w:rPr>
        <w:t xml:space="preserve"> הארכיונים</w:t>
      </w:r>
      <w:r w:rsidR="001A604D">
        <w:rPr>
          <w:rFonts w:hint="cs"/>
          <w:rtl/>
        </w:rPr>
        <w:t xml:space="preserve"> </w:t>
      </w:r>
      <w:r w:rsidR="008817A4">
        <w:rPr>
          <w:rFonts w:hint="cs"/>
          <w:rtl/>
        </w:rPr>
        <w:t xml:space="preserve">אינו </w:t>
      </w:r>
      <w:r w:rsidR="006D56A3">
        <w:rPr>
          <w:rFonts w:hint="cs"/>
          <w:rtl/>
        </w:rPr>
        <w:t>קובע מגבלת סיווג</w:t>
      </w:r>
      <w:r w:rsidR="008817A4">
        <w:rPr>
          <w:rFonts w:hint="cs"/>
          <w:rtl/>
        </w:rPr>
        <w:t xml:space="preserve"> בנוגע</w:t>
      </w:r>
      <w:r w:rsidR="006D56A3">
        <w:rPr>
          <w:rFonts w:hint="cs"/>
          <w:rtl/>
        </w:rPr>
        <w:t xml:space="preserve"> </w:t>
      </w:r>
      <w:r w:rsidR="00331CEA">
        <w:rPr>
          <w:rFonts w:hint="cs"/>
          <w:rtl/>
        </w:rPr>
        <w:t xml:space="preserve">לחומרים </w:t>
      </w:r>
      <w:r>
        <w:rPr>
          <w:rFonts w:hint="cs"/>
          <w:rtl/>
        </w:rPr>
        <w:t>שארכיון ציבורי או פרטי רשאי להחזיק.</w:t>
      </w:r>
    </w:p>
    <w:p w:rsidR="0098688E" w:rsidP="00FF6AB4" w14:paraId="10ED5454" w14:textId="77777777">
      <w:pPr>
        <w:pStyle w:val="a"/>
        <w:spacing w:line="269" w:lineRule="auto"/>
        <w:rPr>
          <w:rtl/>
        </w:rPr>
      </w:pPr>
    </w:p>
    <w:p w:rsidR="0015509C" w:rsidP="00FF6AB4" w14:paraId="7BC8D2B5" w14:textId="77777777">
      <w:pPr>
        <w:spacing w:line="269" w:lineRule="auto"/>
        <w:rPr>
          <w:rtl/>
        </w:rPr>
      </w:pPr>
      <w:r w:rsidRPr="001C4648">
        <w:rPr>
          <w:rFonts w:hint="cs"/>
          <w:rtl/>
        </w:rPr>
        <w:t>כעולה ממסמכי המלמ"ב, חומרים ארכיוניים, ובהם חומרים מסווגים, נמצאים בארכיונים ציבוריים ופרטיים</w:t>
      </w:r>
      <w:r>
        <w:rPr>
          <w:rFonts w:hint="cs"/>
          <w:b/>
          <w:bCs/>
          <w:rtl/>
        </w:rPr>
        <w:t xml:space="preserve"> </w:t>
      </w:r>
      <w:r w:rsidRPr="00426D91">
        <w:rPr>
          <w:rFonts w:hint="cs"/>
          <w:rtl/>
        </w:rPr>
        <w:t xml:space="preserve">(על פעילות </w:t>
      </w:r>
      <w:r w:rsidR="00671D51">
        <w:rPr>
          <w:rFonts w:hint="cs"/>
          <w:rtl/>
        </w:rPr>
        <w:t>המלמ</w:t>
      </w:r>
      <w:r w:rsidR="00671D51">
        <w:rPr>
          <w:rtl/>
        </w:rPr>
        <w:t>"</w:t>
      </w:r>
      <w:r w:rsidR="00671D51">
        <w:rPr>
          <w:rFonts w:hint="cs"/>
          <w:rtl/>
        </w:rPr>
        <w:t>ב</w:t>
      </w:r>
      <w:r w:rsidRPr="00426D91">
        <w:rPr>
          <w:rFonts w:hint="cs"/>
          <w:rtl/>
        </w:rPr>
        <w:t xml:space="preserve"> בארכיונים ציבוריים ופרטיים ראו בהרחבה </w:t>
      </w:r>
      <w:r w:rsidR="00E361AF">
        <w:rPr>
          <w:rFonts w:hint="cs"/>
          <w:rtl/>
        </w:rPr>
        <w:t>ב</w:t>
      </w:r>
      <w:r w:rsidRPr="00426D91">
        <w:rPr>
          <w:rFonts w:hint="cs"/>
          <w:rtl/>
        </w:rPr>
        <w:t xml:space="preserve">פרק </w:t>
      </w:r>
      <w:r w:rsidR="00E361AF">
        <w:rPr>
          <w:rFonts w:hint="cs"/>
          <w:rtl/>
        </w:rPr>
        <w:t xml:space="preserve">בנושא </w:t>
      </w:r>
      <w:r w:rsidRPr="00426D91">
        <w:rPr>
          <w:rFonts w:hint="cs"/>
          <w:rtl/>
        </w:rPr>
        <w:t xml:space="preserve">"פעילות </w:t>
      </w:r>
      <w:r w:rsidR="0096276C">
        <w:rPr>
          <w:rFonts w:hint="cs"/>
          <w:rtl/>
        </w:rPr>
        <w:t xml:space="preserve">של </w:t>
      </w:r>
      <w:r w:rsidRPr="00426D91">
        <w:rPr>
          <w:rFonts w:hint="cs"/>
          <w:rtl/>
        </w:rPr>
        <w:t>המלמ"ב בארכיונים")</w:t>
      </w:r>
      <w:r w:rsidRPr="004D1F4E">
        <w:rPr>
          <w:rtl/>
        </w:rPr>
        <w:t>.</w:t>
      </w:r>
      <w:r w:rsidR="00C8058B">
        <w:rPr>
          <w:rFonts w:hint="cs"/>
          <w:b/>
          <w:bCs/>
          <w:rtl/>
        </w:rPr>
        <w:t xml:space="preserve"> </w:t>
      </w:r>
    </w:p>
    <w:p w:rsidR="0098688E" w:rsidRPr="0098688E" w:rsidP="00FF6AB4" w14:paraId="624872CC" w14:textId="77777777">
      <w:pPr>
        <w:pStyle w:val="a"/>
        <w:spacing w:line="269" w:lineRule="auto"/>
        <w:rPr>
          <w:rtl/>
        </w:rPr>
      </w:pPr>
    </w:p>
    <w:p w:rsidR="00F2298C" w:rsidRPr="00120B6E" w:rsidP="00FF6AB4" w14:paraId="1068DE7E" w14:textId="77777777">
      <w:pPr>
        <w:spacing w:line="269" w:lineRule="auto"/>
        <w:rPr>
          <w:b/>
          <w:bCs/>
          <w:rtl/>
        </w:rPr>
      </w:pPr>
      <w:r>
        <w:rPr>
          <w:rFonts w:hint="cs"/>
          <w:b/>
          <w:bCs/>
          <w:rtl/>
        </w:rPr>
        <w:t>ה</w:t>
      </w:r>
      <w:r w:rsidRPr="003C7DE8" w:rsidR="0015509C">
        <w:rPr>
          <w:rFonts w:hint="cs"/>
          <w:b/>
          <w:bCs/>
          <w:rtl/>
        </w:rPr>
        <w:t>ארכיונים</w:t>
      </w:r>
      <w:r w:rsidR="008817A4">
        <w:rPr>
          <w:rFonts w:hint="cs"/>
          <w:b/>
          <w:bCs/>
          <w:rtl/>
        </w:rPr>
        <w:t xml:space="preserve"> הציבוריים והפרטיים</w:t>
      </w:r>
      <w:r w:rsidR="00CD48DC">
        <w:rPr>
          <w:rFonts w:hint="cs"/>
          <w:b/>
          <w:bCs/>
          <w:rtl/>
        </w:rPr>
        <w:t xml:space="preserve"> </w:t>
      </w:r>
      <w:r w:rsidRPr="003C7DE8" w:rsidR="0015509C">
        <w:rPr>
          <w:rFonts w:hint="cs"/>
          <w:b/>
          <w:bCs/>
          <w:rtl/>
        </w:rPr>
        <w:t>אינם</w:t>
      </w:r>
      <w:r w:rsidR="0015509C">
        <w:rPr>
          <w:b/>
          <w:bCs/>
          <w:rtl/>
        </w:rPr>
        <w:t xml:space="preserve"> </w:t>
      </w:r>
      <w:r w:rsidR="0015509C">
        <w:rPr>
          <w:rFonts w:hint="cs"/>
          <w:b/>
          <w:bCs/>
          <w:rtl/>
        </w:rPr>
        <w:t>מנויים</w:t>
      </w:r>
      <w:r w:rsidRPr="003C7DE8" w:rsidR="0015509C">
        <w:rPr>
          <w:b/>
          <w:bCs/>
          <w:rtl/>
        </w:rPr>
        <w:t xml:space="preserve"> בתו</w:t>
      </w:r>
      <w:r w:rsidR="0015509C">
        <w:rPr>
          <w:b/>
          <w:bCs/>
          <w:rtl/>
        </w:rPr>
        <w:t xml:space="preserve">ספות לחוק להסדרת הביטחון, </w:t>
      </w:r>
      <w:r w:rsidR="008817A4">
        <w:rPr>
          <w:rFonts w:hint="cs"/>
          <w:b/>
          <w:bCs/>
          <w:rtl/>
        </w:rPr>
        <w:t>ולפיכך</w:t>
      </w:r>
      <w:r w:rsidRPr="003C7DE8" w:rsidR="008817A4">
        <w:rPr>
          <w:b/>
          <w:bCs/>
          <w:rtl/>
        </w:rPr>
        <w:t xml:space="preserve"> </w:t>
      </w:r>
      <w:r w:rsidRPr="003C7DE8" w:rsidR="0015509C">
        <w:rPr>
          <w:b/>
          <w:bCs/>
          <w:rtl/>
        </w:rPr>
        <w:t>אינם מחויבים ל</w:t>
      </w:r>
      <w:r w:rsidR="008817A4">
        <w:rPr>
          <w:rFonts w:hint="cs"/>
          <w:b/>
          <w:bCs/>
          <w:rtl/>
        </w:rPr>
        <w:t xml:space="preserve">נהוג לפי </w:t>
      </w:r>
      <w:r w:rsidRPr="003C7DE8" w:rsidR="0015509C">
        <w:rPr>
          <w:rFonts w:hint="cs"/>
          <w:b/>
          <w:bCs/>
          <w:rtl/>
        </w:rPr>
        <w:t>כללי</w:t>
      </w:r>
      <w:r w:rsidRPr="003C7DE8" w:rsidR="0015509C">
        <w:rPr>
          <w:b/>
          <w:bCs/>
          <w:rtl/>
        </w:rPr>
        <w:t xml:space="preserve"> שב"כ</w:t>
      </w:r>
      <w:r w:rsidRPr="003C7DE8" w:rsidR="0015509C">
        <w:rPr>
          <w:rFonts w:hint="cs"/>
          <w:b/>
          <w:bCs/>
          <w:rtl/>
        </w:rPr>
        <w:t xml:space="preserve"> לאבטחת מידע</w:t>
      </w:r>
      <w:r w:rsidRPr="003C7DE8" w:rsidR="0015509C">
        <w:rPr>
          <w:b/>
          <w:bCs/>
          <w:rtl/>
        </w:rPr>
        <w:t xml:space="preserve"> </w:t>
      </w:r>
      <w:r w:rsidR="0015509C">
        <w:rPr>
          <w:rFonts w:hint="cs"/>
          <w:b/>
          <w:bCs/>
          <w:rtl/>
        </w:rPr>
        <w:t>ב</w:t>
      </w:r>
      <w:r w:rsidRPr="003C7DE8" w:rsidR="0015509C">
        <w:rPr>
          <w:rFonts w:hint="cs"/>
          <w:b/>
          <w:bCs/>
          <w:rtl/>
        </w:rPr>
        <w:t>עניין</w:t>
      </w:r>
      <w:r w:rsidRPr="003C7DE8" w:rsidR="0015509C">
        <w:rPr>
          <w:b/>
          <w:bCs/>
          <w:rtl/>
        </w:rPr>
        <w:t xml:space="preserve"> </w:t>
      </w:r>
      <w:r w:rsidRPr="003C7DE8" w:rsidR="0015509C">
        <w:rPr>
          <w:rFonts w:hint="cs"/>
          <w:b/>
          <w:bCs/>
          <w:rtl/>
        </w:rPr>
        <w:t>אופן</w:t>
      </w:r>
      <w:r w:rsidRPr="003C7DE8" w:rsidR="0015509C">
        <w:rPr>
          <w:b/>
          <w:bCs/>
          <w:rtl/>
        </w:rPr>
        <w:t xml:space="preserve"> </w:t>
      </w:r>
      <w:r w:rsidRPr="003C7DE8" w:rsidR="0015509C">
        <w:rPr>
          <w:rFonts w:hint="cs"/>
          <w:b/>
          <w:bCs/>
          <w:rtl/>
        </w:rPr>
        <w:t>הטיפול</w:t>
      </w:r>
      <w:r w:rsidRPr="003C7DE8" w:rsidR="0015509C">
        <w:rPr>
          <w:b/>
          <w:bCs/>
          <w:rtl/>
        </w:rPr>
        <w:t xml:space="preserve"> </w:t>
      </w:r>
      <w:r w:rsidRPr="003C7DE8" w:rsidR="0015509C">
        <w:rPr>
          <w:rFonts w:hint="cs"/>
          <w:b/>
          <w:bCs/>
          <w:rtl/>
        </w:rPr>
        <w:t>במידע</w:t>
      </w:r>
      <w:r w:rsidRPr="003C7DE8" w:rsidR="0015509C">
        <w:rPr>
          <w:b/>
          <w:bCs/>
          <w:rtl/>
        </w:rPr>
        <w:t xml:space="preserve"> </w:t>
      </w:r>
      <w:r w:rsidRPr="003C7DE8" w:rsidR="0015509C">
        <w:rPr>
          <w:rFonts w:hint="cs"/>
          <w:b/>
          <w:bCs/>
          <w:rtl/>
        </w:rPr>
        <w:t>המסווג</w:t>
      </w:r>
      <w:r w:rsidRPr="003C7DE8" w:rsidR="0015509C">
        <w:rPr>
          <w:b/>
          <w:bCs/>
          <w:rtl/>
        </w:rPr>
        <w:t xml:space="preserve"> </w:t>
      </w:r>
      <w:r w:rsidRPr="003C7DE8" w:rsidR="0015509C">
        <w:rPr>
          <w:rFonts w:hint="cs"/>
          <w:b/>
          <w:bCs/>
          <w:rtl/>
        </w:rPr>
        <w:t xml:space="preserve">שברשותם וקביעת האנשים המורשים להיחשף לו (התאמה </w:t>
      </w:r>
      <w:r w:rsidRPr="007E3569" w:rsidR="0015509C">
        <w:rPr>
          <w:rFonts w:hint="cs"/>
          <w:b/>
          <w:bCs/>
          <w:rtl/>
        </w:rPr>
        <w:t>ביטחונית)</w:t>
      </w:r>
      <w:r w:rsidRPr="007E3569" w:rsidR="0015509C">
        <w:rPr>
          <w:b/>
          <w:bCs/>
          <w:rtl/>
        </w:rPr>
        <w:t>.</w:t>
      </w:r>
      <w:r w:rsidRPr="007E3569">
        <w:rPr>
          <w:rFonts w:hint="cs"/>
          <w:b/>
          <w:bCs/>
          <w:rtl/>
        </w:rPr>
        <w:t xml:space="preserve"> זאת, אף שיש בהם חומרים מסווגים.</w:t>
      </w:r>
      <w:r w:rsidRPr="007E3569" w:rsidR="000C0E54">
        <w:rPr>
          <w:rFonts w:hint="cs"/>
          <w:rtl/>
        </w:rPr>
        <w:t xml:space="preserve"> </w:t>
      </w:r>
      <w:r w:rsidRPr="007E3569" w:rsidR="00B03FF6">
        <w:rPr>
          <w:rFonts w:hint="cs"/>
          <w:rtl/>
        </w:rPr>
        <w:t xml:space="preserve">להלן </w:t>
      </w:r>
      <w:r w:rsidRPr="007E3569" w:rsidR="003844A1">
        <w:rPr>
          <w:rFonts w:hint="cs"/>
          <w:rtl/>
        </w:rPr>
        <w:t>דוגמאות</w:t>
      </w:r>
      <w:r w:rsidRPr="007E3569" w:rsidR="00B03FF6">
        <w:rPr>
          <w:rFonts w:hint="cs"/>
          <w:rtl/>
        </w:rPr>
        <w:t>:</w:t>
      </w:r>
    </w:p>
    <w:p w:rsidR="0098688E" w:rsidP="00FF6AB4" w14:paraId="222C4E35" w14:textId="77777777">
      <w:pPr>
        <w:pStyle w:val="a"/>
        <w:spacing w:line="269" w:lineRule="auto"/>
        <w:rPr>
          <w:rtl/>
        </w:rPr>
      </w:pPr>
    </w:p>
    <w:p w:rsidR="004012B9" w:rsidP="00FF6AB4" w14:paraId="18C11735" w14:textId="77777777">
      <w:pPr>
        <w:spacing w:line="269" w:lineRule="auto"/>
        <w:rPr>
          <w:rtl/>
        </w:rPr>
      </w:pPr>
      <w:r w:rsidRPr="00D35C48">
        <w:rPr>
          <w:rStyle w:val="5"/>
          <w:rFonts w:eastAsia="Calibri" w:hint="cs"/>
          <w:rtl/>
        </w:rPr>
        <w:t>ארכיון בית ברל (ארכיון ציבורי)</w:t>
      </w:r>
      <w:r w:rsidRPr="00D35C48" w:rsidR="00000002">
        <w:rPr>
          <w:rStyle w:val="5"/>
          <w:rFonts w:eastAsia="Calibri" w:hint="cs"/>
          <w:rtl/>
        </w:rPr>
        <w:t>:</w:t>
      </w:r>
      <w:r w:rsidR="00F93E87">
        <w:rPr>
          <w:rFonts w:hint="cs"/>
          <w:rtl/>
        </w:rPr>
        <w:t xml:space="preserve"> בארכיון </w:t>
      </w:r>
      <w:r>
        <w:rPr>
          <w:rFonts w:hint="cs"/>
          <w:rtl/>
        </w:rPr>
        <w:t>נמצאו חומרים מסווגים רבים, ואלו סומנו כמוגבלים לעיון הציבור.</w:t>
      </w:r>
      <w:r w:rsidRPr="00276BBD">
        <w:rPr>
          <w:rFonts w:hint="cs"/>
          <w:rtl/>
        </w:rPr>
        <w:t xml:space="preserve"> </w:t>
      </w:r>
      <w:r w:rsidRPr="00645109" w:rsidR="00B03FF6">
        <w:rPr>
          <w:rFonts w:hint="cs"/>
          <w:rtl/>
        </w:rPr>
        <w:t xml:space="preserve">מנהל </w:t>
      </w:r>
      <w:r w:rsidR="000A323F">
        <w:rPr>
          <w:rFonts w:hint="cs"/>
          <w:rtl/>
        </w:rPr>
        <w:t xml:space="preserve">הארכיון </w:t>
      </w:r>
      <w:r w:rsidRPr="00645109" w:rsidR="00435EB9">
        <w:rPr>
          <w:rFonts w:hint="cs"/>
          <w:rtl/>
        </w:rPr>
        <w:t>ציין</w:t>
      </w:r>
      <w:r w:rsidRPr="00645109" w:rsidR="00B03FF6">
        <w:rPr>
          <w:rFonts w:hint="cs"/>
          <w:rtl/>
        </w:rPr>
        <w:t xml:space="preserve"> כי בשנת 2002 מסר משרד רה"ם </w:t>
      </w:r>
      <w:r w:rsidRPr="00276BBD" w:rsidR="00B03FF6">
        <w:rPr>
          <w:rFonts w:hint="cs"/>
          <w:rtl/>
        </w:rPr>
        <w:t xml:space="preserve">לארכיון הוראות </w:t>
      </w:r>
      <w:r w:rsidR="00704338">
        <w:rPr>
          <w:rFonts w:hint="cs"/>
          <w:rtl/>
        </w:rPr>
        <w:t xml:space="preserve">בעניין </w:t>
      </w:r>
      <w:r w:rsidRPr="00276BBD" w:rsidR="007E5395">
        <w:rPr>
          <w:rFonts w:hint="cs"/>
          <w:rtl/>
        </w:rPr>
        <w:t xml:space="preserve">סדרי </w:t>
      </w:r>
      <w:r w:rsidR="00704338">
        <w:rPr>
          <w:rFonts w:hint="cs"/>
          <w:rtl/>
        </w:rPr>
        <w:t>ה</w:t>
      </w:r>
      <w:r w:rsidRPr="00276BBD" w:rsidR="00B03FF6">
        <w:rPr>
          <w:rFonts w:hint="cs"/>
          <w:rtl/>
        </w:rPr>
        <w:t xml:space="preserve">אבטחה </w:t>
      </w:r>
      <w:r w:rsidR="00704338">
        <w:rPr>
          <w:rFonts w:hint="cs"/>
          <w:rtl/>
        </w:rPr>
        <w:t>של</w:t>
      </w:r>
      <w:r w:rsidRPr="00276BBD" w:rsidR="00704338">
        <w:rPr>
          <w:rFonts w:hint="cs"/>
          <w:rtl/>
        </w:rPr>
        <w:t xml:space="preserve"> </w:t>
      </w:r>
      <w:r w:rsidRPr="00276BBD" w:rsidR="007E5395">
        <w:rPr>
          <w:rFonts w:hint="cs"/>
          <w:rtl/>
        </w:rPr>
        <w:t>חומר מסווג</w:t>
      </w:r>
      <w:r w:rsidR="00704338">
        <w:rPr>
          <w:rFonts w:hint="cs"/>
          <w:rtl/>
        </w:rPr>
        <w:t xml:space="preserve"> המוחזק בו.</w:t>
      </w:r>
      <w:r w:rsidR="008B1937">
        <w:rPr>
          <w:rFonts w:hint="cs"/>
          <w:rtl/>
        </w:rPr>
        <w:t xml:space="preserve"> </w:t>
      </w:r>
    </w:p>
    <w:p w:rsidR="0098688E" w:rsidP="00FF6AB4" w14:paraId="42A3F876" w14:textId="77777777">
      <w:pPr>
        <w:pStyle w:val="a"/>
        <w:spacing w:line="269" w:lineRule="auto"/>
        <w:rPr>
          <w:rtl/>
        </w:rPr>
      </w:pPr>
    </w:p>
    <w:p w:rsidR="004012B9" w:rsidRPr="00C750EB" w:rsidP="00FF6AB4" w14:paraId="277FA727" w14:textId="77777777">
      <w:pPr>
        <w:spacing w:line="269" w:lineRule="auto"/>
        <w:rPr>
          <w:rtl/>
        </w:rPr>
      </w:pPr>
      <w:r>
        <w:rPr>
          <w:rFonts w:hint="cs"/>
          <w:rtl/>
        </w:rPr>
        <w:t>צוות הביקורת</w:t>
      </w:r>
      <w:r w:rsidR="00B03FF6">
        <w:rPr>
          <w:rFonts w:hint="cs"/>
          <w:rtl/>
        </w:rPr>
        <w:t xml:space="preserve"> </w:t>
      </w:r>
      <w:r>
        <w:rPr>
          <w:rFonts w:hint="cs"/>
          <w:rtl/>
        </w:rPr>
        <w:t xml:space="preserve">ערך באוגוסט 2018 ביקור </w:t>
      </w:r>
      <w:r w:rsidR="00B03FF6">
        <w:rPr>
          <w:rFonts w:hint="cs"/>
          <w:rtl/>
        </w:rPr>
        <w:t>בארכיון</w:t>
      </w:r>
      <w:r w:rsidR="00704338">
        <w:rPr>
          <w:rFonts w:hint="cs"/>
          <w:rtl/>
        </w:rPr>
        <w:t xml:space="preserve"> בית ברל</w:t>
      </w:r>
      <w:r w:rsidR="00B03FF6">
        <w:rPr>
          <w:rFonts w:hint="cs"/>
          <w:rtl/>
        </w:rPr>
        <w:t xml:space="preserve"> </w:t>
      </w:r>
      <w:r>
        <w:rPr>
          <w:rFonts w:hint="cs"/>
          <w:rtl/>
        </w:rPr>
        <w:t xml:space="preserve">ומצא </w:t>
      </w:r>
      <w:r w:rsidR="00D759B9">
        <w:rPr>
          <w:rFonts w:hint="cs"/>
          <w:rtl/>
        </w:rPr>
        <w:t xml:space="preserve">אי התאמות בין </w:t>
      </w:r>
      <w:r w:rsidR="003C1125">
        <w:rPr>
          <w:rFonts w:hint="cs"/>
          <w:rtl/>
        </w:rPr>
        <w:t>ההוראות שמסר</w:t>
      </w:r>
      <w:r w:rsidR="00D759B9">
        <w:rPr>
          <w:rFonts w:hint="cs"/>
          <w:rtl/>
        </w:rPr>
        <w:t xml:space="preserve"> משרד רה"ם לבין סדרי הביטחון במקום</w:t>
      </w:r>
      <w:r w:rsidRPr="009A157B" w:rsidR="00B03FF6">
        <w:rPr>
          <w:rtl/>
        </w:rPr>
        <w:t>.</w:t>
      </w:r>
      <w:r w:rsidRPr="00C750EB" w:rsidR="00B03FF6">
        <w:rPr>
          <w:rFonts w:hint="cs"/>
          <w:rtl/>
        </w:rPr>
        <w:t xml:space="preserve"> </w:t>
      </w:r>
      <w:r w:rsidRPr="00C750EB" w:rsidR="00B03FF6">
        <w:rPr>
          <w:rtl/>
        </w:rPr>
        <w:t xml:space="preserve">מנהל הארכיון ציין </w:t>
      </w:r>
      <w:r w:rsidR="00D759B9">
        <w:rPr>
          <w:rFonts w:hint="cs"/>
          <w:rtl/>
        </w:rPr>
        <w:t>כי חלק מההנחיות לא בוצעו בשל שיקולי בטיחות</w:t>
      </w:r>
      <w:r w:rsidRPr="008235C6" w:rsidR="00B03FF6">
        <w:rPr>
          <w:rtl/>
        </w:rPr>
        <w:t>.</w:t>
      </w:r>
      <w:r w:rsidRPr="00C750EB" w:rsidR="00B03FF6">
        <w:rPr>
          <w:rFonts w:hint="cs"/>
          <w:rtl/>
        </w:rPr>
        <w:t xml:space="preserve"> </w:t>
      </w:r>
    </w:p>
    <w:p w:rsidR="0098688E" w:rsidP="00FF6AB4" w14:paraId="673C464D" w14:textId="77777777">
      <w:pPr>
        <w:pStyle w:val="a"/>
        <w:spacing w:line="269" w:lineRule="auto"/>
        <w:rPr>
          <w:rtl/>
        </w:rPr>
      </w:pPr>
    </w:p>
    <w:p w:rsidR="00F2298C" w:rsidP="00FF6AB4" w14:paraId="0E61EE96" w14:textId="77777777">
      <w:pPr>
        <w:spacing w:line="269" w:lineRule="auto"/>
        <w:rPr>
          <w:rtl/>
        </w:rPr>
      </w:pPr>
      <w:r>
        <w:rPr>
          <w:rFonts w:hint="cs"/>
          <w:rtl/>
        </w:rPr>
        <w:t>בדצמבר 2018</w:t>
      </w:r>
      <w:r w:rsidR="004012B9">
        <w:rPr>
          <w:rFonts w:hint="cs"/>
          <w:rtl/>
        </w:rPr>
        <w:t xml:space="preserve"> </w:t>
      </w:r>
      <w:r w:rsidRPr="000053A8" w:rsidR="004012B9">
        <w:rPr>
          <w:rFonts w:hint="cs"/>
          <w:rtl/>
        </w:rPr>
        <w:t>כתב מנ</w:t>
      </w:r>
      <w:r w:rsidR="004012B9">
        <w:rPr>
          <w:rFonts w:hint="cs"/>
          <w:rtl/>
        </w:rPr>
        <w:t>הל ארכיון בית ברל למשרד מבקר המדינה</w:t>
      </w:r>
      <w:r w:rsidRPr="000053A8" w:rsidR="004012B9">
        <w:rPr>
          <w:rFonts w:hint="cs"/>
          <w:rtl/>
        </w:rPr>
        <w:t xml:space="preserve"> כי לעובדי הארכיון ולו עצמו לא נקבע סיווג ביטחוני</w:t>
      </w:r>
      <w:r w:rsidR="004012B9">
        <w:rPr>
          <w:rFonts w:hint="cs"/>
          <w:rtl/>
        </w:rPr>
        <w:t>,</w:t>
      </w:r>
      <w:r w:rsidRPr="000053A8" w:rsidR="004012B9">
        <w:rPr>
          <w:rFonts w:hint="cs"/>
          <w:rtl/>
        </w:rPr>
        <w:t xml:space="preserve"> אף על פי שהם נחשפים לחומרים מסווגים.</w:t>
      </w:r>
      <w:r w:rsidR="004012B9">
        <w:rPr>
          <w:rFonts w:hint="cs"/>
          <w:rtl/>
        </w:rPr>
        <w:t xml:space="preserve"> </w:t>
      </w:r>
      <w:r w:rsidR="00FC6432">
        <w:rPr>
          <w:rtl/>
        </w:rPr>
        <w:br/>
      </w:r>
      <w:r w:rsidR="00704338">
        <w:rPr>
          <w:rFonts w:hint="cs"/>
          <w:rtl/>
        </w:rPr>
        <w:t>בתגובתו</w:t>
      </w:r>
      <w:r w:rsidRPr="00B17B27" w:rsidR="00704338">
        <w:rPr>
          <w:rFonts w:hint="cs"/>
          <w:rtl/>
        </w:rPr>
        <w:t xml:space="preserve"> </w:t>
      </w:r>
      <w:r>
        <w:rPr>
          <w:rFonts w:hint="cs"/>
          <w:rtl/>
        </w:rPr>
        <w:t>מאפריל 2019</w:t>
      </w:r>
      <w:r w:rsidRPr="00C07A6A">
        <w:rPr>
          <w:rFonts w:hint="cs"/>
          <w:rtl/>
        </w:rPr>
        <w:t xml:space="preserve"> </w:t>
      </w:r>
      <w:r w:rsidR="00704338">
        <w:rPr>
          <w:rFonts w:hint="cs"/>
          <w:rtl/>
        </w:rPr>
        <w:t xml:space="preserve">על </w:t>
      </w:r>
      <w:r>
        <w:rPr>
          <w:rFonts w:hint="cs"/>
          <w:rtl/>
        </w:rPr>
        <w:t xml:space="preserve">טיוטת דוח הביקורת </w:t>
      </w:r>
      <w:r w:rsidRPr="00C07A6A" w:rsidR="004012B9">
        <w:rPr>
          <w:rFonts w:hint="cs"/>
          <w:rtl/>
        </w:rPr>
        <w:t>כתב היועץ המשפטי לקרן</w:t>
      </w:r>
      <w:r w:rsidRPr="00C07A6A" w:rsidR="00F93E87">
        <w:rPr>
          <w:rFonts w:hint="cs"/>
          <w:rtl/>
        </w:rPr>
        <w:t xml:space="preserve"> </w:t>
      </w:r>
      <w:r w:rsidRPr="00C07A6A" w:rsidR="004012B9">
        <w:rPr>
          <w:rFonts w:hint="cs"/>
          <w:rtl/>
        </w:rPr>
        <w:t>ברל כצנלסון כי "כלל המסמכים המסווגים</w:t>
      </w:r>
      <w:r w:rsidR="00761E69">
        <w:rPr>
          <w:rFonts w:hint="cs"/>
          <w:rtl/>
        </w:rPr>
        <w:t>...</w:t>
      </w:r>
      <w:r w:rsidRPr="00C07A6A" w:rsidR="004012B9">
        <w:rPr>
          <w:rFonts w:hint="cs"/>
          <w:rtl/>
        </w:rPr>
        <w:t xml:space="preserve"> אינם ניתנים לגישה על ידי אף אחד למעט מנהל הארכיון".</w:t>
      </w:r>
    </w:p>
    <w:p w:rsidR="0098688E" w:rsidP="00FF6AB4" w14:paraId="5E0AB892" w14:textId="77777777">
      <w:pPr>
        <w:pStyle w:val="a"/>
        <w:spacing w:line="269" w:lineRule="auto"/>
        <w:rPr>
          <w:rStyle w:val="7"/>
          <w:rFonts w:eastAsia="Calibri"/>
          <w:b/>
          <w:rtl/>
        </w:rPr>
      </w:pPr>
    </w:p>
    <w:p w:rsidR="00451DF8" w:rsidRPr="007E5609" w:rsidP="00FF6AB4" w14:paraId="5C57AF33" w14:textId="77777777">
      <w:pPr>
        <w:spacing w:line="269" w:lineRule="auto"/>
        <w:rPr>
          <w:b/>
        </w:rPr>
      </w:pPr>
      <w:r w:rsidRPr="001947A4">
        <w:rPr>
          <w:rStyle w:val="7"/>
          <w:rFonts w:eastAsia="Calibri" w:hint="cs"/>
          <w:b/>
          <w:rtl/>
        </w:rPr>
        <w:t>ארכיון</w:t>
      </w:r>
      <w:r w:rsidRPr="001947A4">
        <w:rPr>
          <w:rStyle w:val="7"/>
          <w:rFonts w:eastAsia="Calibri"/>
          <w:b/>
          <w:rtl/>
        </w:rPr>
        <w:t xml:space="preserve"> </w:t>
      </w:r>
      <w:r w:rsidRPr="001947A4">
        <w:rPr>
          <w:rStyle w:val="7"/>
          <w:rFonts w:eastAsia="Calibri" w:hint="cs"/>
          <w:b/>
          <w:rtl/>
        </w:rPr>
        <w:t>יד</w:t>
      </w:r>
      <w:r w:rsidRPr="001947A4">
        <w:rPr>
          <w:rStyle w:val="7"/>
          <w:rFonts w:eastAsia="Calibri"/>
          <w:b/>
          <w:rtl/>
        </w:rPr>
        <w:t xml:space="preserve"> </w:t>
      </w:r>
      <w:r w:rsidRPr="001947A4">
        <w:rPr>
          <w:rStyle w:val="7"/>
          <w:rFonts w:eastAsia="Calibri" w:hint="cs"/>
          <w:b/>
          <w:rtl/>
        </w:rPr>
        <w:t>י</w:t>
      </w:r>
      <w:r w:rsidRPr="001947A4">
        <w:rPr>
          <w:rStyle w:val="7"/>
          <w:rFonts w:eastAsia="Calibri" w:hint="cs"/>
          <w:b/>
          <w:rtl/>
        </w:rPr>
        <w:t>ערי</w:t>
      </w:r>
      <w:r>
        <w:rPr>
          <w:rStyle w:val="7"/>
          <w:rFonts w:eastAsia="Calibri" w:hint="cs"/>
          <w:b/>
          <w:rtl/>
        </w:rPr>
        <w:t xml:space="preserve"> (ארכיון ציבורי)</w:t>
      </w:r>
      <w:r w:rsidR="00000002">
        <w:rPr>
          <w:rStyle w:val="7"/>
          <w:rFonts w:eastAsia="Calibri" w:hint="cs"/>
          <w:b/>
          <w:rtl/>
        </w:rPr>
        <w:t xml:space="preserve">: </w:t>
      </w:r>
      <w:r w:rsidR="00A96C01">
        <w:rPr>
          <w:rFonts w:hint="cs"/>
          <w:b/>
          <w:rtl/>
        </w:rPr>
        <w:t>נציגי משרד מבקר המדינה</w:t>
      </w:r>
      <w:r w:rsidR="00704338">
        <w:rPr>
          <w:rFonts w:hint="cs"/>
          <w:b/>
          <w:rtl/>
        </w:rPr>
        <w:t xml:space="preserve"> ביקרו בארכיון </w:t>
      </w:r>
      <w:r w:rsidR="005810B2">
        <w:rPr>
          <w:rFonts w:hint="cs"/>
          <w:b/>
          <w:rtl/>
        </w:rPr>
        <w:t xml:space="preserve">זה </w:t>
      </w:r>
      <w:r w:rsidR="00704338">
        <w:rPr>
          <w:rFonts w:hint="cs"/>
          <w:b/>
          <w:rtl/>
        </w:rPr>
        <w:t>באוגוסט 2018 ומצאו</w:t>
      </w:r>
      <w:r w:rsidRPr="006716FD">
        <w:rPr>
          <w:b/>
          <w:rtl/>
        </w:rPr>
        <w:t xml:space="preserve"> כי חומרים מסווגים מוחזקים </w:t>
      </w:r>
      <w:r>
        <w:rPr>
          <w:rFonts w:hint="cs"/>
          <w:b/>
          <w:rtl/>
        </w:rPr>
        <w:t xml:space="preserve">באולם נעול </w:t>
      </w:r>
      <w:r w:rsidR="00704338">
        <w:rPr>
          <w:rFonts w:hint="cs"/>
          <w:b/>
          <w:rtl/>
        </w:rPr>
        <w:t>ו</w:t>
      </w:r>
      <w:r>
        <w:rPr>
          <w:rFonts w:hint="cs"/>
          <w:b/>
          <w:rtl/>
        </w:rPr>
        <w:t>בו חדר כספת שדלתו פתוחה.</w:t>
      </w:r>
      <w:r w:rsidR="00623392">
        <w:rPr>
          <w:rFonts w:hint="cs"/>
          <w:b/>
          <w:rtl/>
        </w:rPr>
        <w:t xml:space="preserve"> </w:t>
      </w:r>
      <w:r w:rsidR="00704338">
        <w:rPr>
          <w:rFonts w:hint="cs"/>
          <w:rtl/>
        </w:rPr>
        <w:t>בתגובתו</w:t>
      </w:r>
      <w:r w:rsidR="00704338">
        <w:rPr>
          <w:rFonts w:hint="cs"/>
          <w:b/>
          <w:rtl/>
        </w:rPr>
        <w:t xml:space="preserve"> </w:t>
      </w:r>
      <w:r w:rsidR="00A96C01">
        <w:rPr>
          <w:rFonts w:hint="cs"/>
          <w:b/>
          <w:rtl/>
        </w:rPr>
        <w:t xml:space="preserve">מאפריל 2019 </w:t>
      </w:r>
      <w:r w:rsidR="00704338">
        <w:rPr>
          <w:rFonts w:hint="cs"/>
          <w:b/>
          <w:rtl/>
        </w:rPr>
        <w:t xml:space="preserve">על </w:t>
      </w:r>
      <w:r w:rsidR="00A96C01">
        <w:rPr>
          <w:rFonts w:hint="cs"/>
          <w:b/>
          <w:rtl/>
        </w:rPr>
        <w:t>ממצאי דוח הביקורת</w:t>
      </w:r>
      <w:r w:rsidRPr="00C07A6A">
        <w:rPr>
          <w:rFonts w:hint="cs"/>
          <w:b/>
          <w:rtl/>
        </w:rPr>
        <w:t xml:space="preserve"> כתב מנהל הארכיון למשרד מבקר המדינה כי בחדר הכספת נמצאים חומרים חסויים מסיבות</w:t>
      </w:r>
      <w:r w:rsidR="00704338">
        <w:rPr>
          <w:rFonts w:hint="cs"/>
          <w:b/>
          <w:rtl/>
        </w:rPr>
        <w:t xml:space="preserve"> רבות,</w:t>
      </w:r>
      <w:r w:rsidRPr="00C07A6A">
        <w:rPr>
          <w:rFonts w:hint="cs"/>
          <w:b/>
          <w:rtl/>
        </w:rPr>
        <w:t xml:space="preserve"> לאו דווקא ביטחוניות, וכי צוות הארכיון מטפל בהם על פי "השכל הישר" וזאת "הן מפני שאנחנו בעלי מקצוע שהוכשרנו לכך ומנוסים בזאת... והן מפני שכך מסמיך אותנו החוק".</w:t>
      </w:r>
      <w:r w:rsidRPr="00C07A6A">
        <w:rPr>
          <w:rFonts w:hint="cs"/>
          <w:rtl/>
        </w:rPr>
        <w:t xml:space="preserve"> עוד כתב</w:t>
      </w:r>
      <w:r w:rsidR="00704338">
        <w:rPr>
          <w:rFonts w:hint="cs"/>
          <w:rtl/>
        </w:rPr>
        <w:t xml:space="preserve"> מנהל הארכיון</w:t>
      </w:r>
      <w:r w:rsidRPr="00C07A6A">
        <w:rPr>
          <w:rFonts w:hint="cs"/>
          <w:rtl/>
        </w:rPr>
        <w:t xml:space="preserve"> כי "חומרים מסווגים מהווים חלק זעיר מפריטי ארכיון יד יערי, ורובם ככולם חומרים משנת 1948 שהוויכוח על חשיפתם נמשך ויימשך</w:t>
      </w:r>
      <w:r w:rsidRPr="00C07A6A">
        <w:rPr>
          <w:rFonts w:hint="cs"/>
          <w:b/>
          <w:rtl/>
        </w:rPr>
        <w:t>".</w:t>
      </w:r>
      <w:r w:rsidR="00CC5FD8">
        <w:rPr>
          <w:rFonts w:hint="cs"/>
          <w:b/>
          <w:rtl/>
        </w:rPr>
        <w:t xml:space="preserve"> עוד הוסיף כי </w:t>
      </w:r>
      <w:r w:rsidRPr="00C07A6A">
        <w:rPr>
          <w:rFonts w:hint="cs"/>
          <w:rtl/>
        </w:rPr>
        <w:t>"צוות הארכיון עבר הכשרה מקצועית ובקי עקב כך בחובותיו בנוגע למסמכים הקשורים לביטחון המדינה"</w:t>
      </w:r>
      <w:r w:rsidR="00704338">
        <w:rPr>
          <w:rFonts w:hint="cs"/>
          <w:rtl/>
        </w:rPr>
        <w:t>. עם זאת ציין המנהל ש</w:t>
      </w:r>
      <w:r w:rsidR="00EA4B0E">
        <w:rPr>
          <w:rFonts w:hint="cs"/>
          <w:rtl/>
        </w:rPr>
        <w:t xml:space="preserve">הוא עצמו לא עבר תהליך של סיווג </w:t>
      </w:r>
      <w:r w:rsidRPr="00EA4B0E" w:rsidR="00EA4B0E">
        <w:rPr>
          <w:rFonts w:hint="cs"/>
          <w:rtl/>
        </w:rPr>
        <w:t>ביטחוני</w:t>
      </w:r>
      <w:r w:rsidR="004F2FFA">
        <w:rPr>
          <w:rFonts w:hint="cs"/>
          <w:rtl/>
        </w:rPr>
        <w:t>.</w:t>
      </w:r>
    </w:p>
    <w:p w:rsidR="00F2298C" w:rsidP="00FF6AB4" w14:paraId="2AE92287" w14:textId="77777777">
      <w:pPr>
        <w:pStyle w:val="a"/>
        <w:spacing w:line="269" w:lineRule="auto"/>
        <w:rPr>
          <w:rtl/>
        </w:rPr>
      </w:pPr>
    </w:p>
    <w:p w:rsidR="00F2298C" w:rsidP="00FF6AB4" w14:paraId="4CDE5734" w14:textId="77777777">
      <w:pPr>
        <w:spacing w:line="269" w:lineRule="auto"/>
        <w:rPr>
          <w:rtl/>
        </w:rPr>
      </w:pPr>
      <w:r w:rsidRPr="00AD74BF">
        <w:rPr>
          <w:rStyle w:val="7"/>
          <w:rFonts w:eastAsia="Calibri" w:hint="cs"/>
          <w:rtl/>
        </w:rPr>
        <w:t>ארכיון יד טבנקין (ארכיון ציבורי)</w:t>
      </w:r>
      <w:r w:rsidRPr="00AD74BF" w:rsidR="00000002">
        <w:rPr>
          <w:rStyle w:val="7"/>
          <w:rFonts w:eastAsia="Calibri" w:hint="cs"/>
          <w:rtl/>
        </w:rPr>
        <w:t>:</w:t>
      </w:r>
      <w:r w:rsidR="00000002">
        <w:rPr>
          <w:rFonts w:hint="cs"/>
          <w:rtl/>
        </w:rPr>
        <w:t xml:space="preserve"> </w:t>
      </w:r>
      <w:r w:rsidR="00F93E87">
        <w:rPr>
          <w:rFonts w:hint="cs"/>
          <w:rtl/>
        </w:rPr>
        <w:t xml:space="preserve">בארכיון </w:t>
      </w:r>
      <w:r>
        <w:rPr>
          <w:rFonts w:hint="cs"/>
          <w:rtl/>
        </w:rPr>
        <w:t>נמצאו בשנת 2016 חומרים מסווגים</w:t>
      </w:r>
      <w:r w:rsidRPr="00C07A6A">
        <w:rPr>
          <w:rFonts w:hint="cs"/>
          <w:rtl/>
        </w:rPr>
        <w:t xml:space="preserve">. </w:t>
      </w:r>
      <w:r w:rsidR="00704338">
        <w:rPr>
          <w:rFonts w:hint="cs"/>
          <w:rtl/>
        </w:rPr>
        <w:t>בתגובתו</w:t>
      </w:r>
      <w:r w:rsidRPr="00B17B27" w:rsidR="00704338">
        <w:rPr>
          <w:rFonts w:hint="cs"/>
          <w:rtl/>
        </w:rPr>
        <w:t xml:space="preserve"> </w:t>
      </w:r>
      <w:r w:rsidR="001662A3">
        <w:rPr>
          <w:rFonts w:hint="cs"/>
          <w:rtl/>
        </w:rPr>
        <w:t xml:space="preserve">מאפריל 2019 </w:t>
      </w:r>
      <w:r w:rsidR="00704338">
        <w:rPr>
          <w:rFonts w:hint="cs"/>
          <w:rtl/>
        </w:rPr>
        <w:t xml:space="preserve">על </w:t>
      </w:r>
      <w:r w:rsidR="001662A3">
        <w:rPr>
          <w:rFonts w:hint="cs"/>
          <w:rtl/>
        </w:rPr>
        <w:t>טיוטת דוח הביקורת</w:t>
      </w:r>
      <w:r w:rsidRPr="00C07A6A">
        <w:rPr>
          <w:rFonts w:hint="cs"/>
          <w:rtl/>
        </w:rPr>
        <w:t xml:space="preserve"> כתב מנהל הארכיון </w:t>
      </w:r>
      <w:r w:rsidR="009C6A49">
        <w:rPr>
          <w:rFonts w:hint="cs"/>
          <w:rtl/>
        </w:rPr>
        <w:t>למשרד מבקר המדינה</w:t>
      </w:r>
      <w:r w:rsidRPr="00C07A6A">
        <w:rPr>
          <w:rFonts w:hint="cs"/>
          <w:rtl/>
        </w:rPr>
        <w:t xml:space="preserve"> כי בעניין החומרים המסווגים "מתקיים קשר מקצועי רציף עם נציגי המלמ"ב, </w:t>
      </w:r>
      <w:r w:rsidRPr="00C07A6A">
        <w:rPr>
          <w:rFonts w:hint="cs"/>
          <w:rtl/>
        </w:rPr>
        <w:t>הבודקים את תיקי הארכיון, והמלצותיהם מבוצעות על ידי צוות הארכיון".</w:t>
      </w:r>
    </w:p>
    <w:p w:rsidR="0098688E" w:rsidP="00FF6AB4" w14:paraId="08C44EA5" w14:textId="77777777">
      <w:pPr>
        <w:pStyle w:val="a"/>
        <w:spacing w:line="269" w:lineRule="auto"/>
        <w:rPr>
          <w:rStyle w:val="7"/>
          <w:rFonts w:eastAsia="Calibri"/>
          <w:b/>
          <w:rtl/>
        </w:rPr>
      </w:pPr>
    </w:p>
    <w:p w:rsidR="004012B9" w:rsidP="00FF6AB4" w14:paraId="6E09C0DE" w14:textId="77777777">
      <w:pPr>
        <w:spacing w:line="269" w:lineRule="auto"/>
        <w:rPr>
          <w:rtl/>
        </w:rPr>
      </w:pPr>
      <w:r w:rsidRPr="009A157B">
        <w:rPr>
          <w:rStyle w:val="7"/>
          <w:rFonts w:eastAsia="Calibri" w:hint="cs"/>
          <w:b/>
          <w:rtl/>
        </w:rPr>
        <w:t xml:space="preserve">ארכיון </w:t>
      </w:r>
      <w:r>
        <w:rPr>
          <w:rStyle w:val="7"/>
          <w:rFonts w:eastAsia="Calibri" w:hint="cs"/>
          <w:b/>
          <w:rtl/>
        </w:rPr>
        <w:t>המכון למחקר ע"</w:t>
      </w:r>
      <w:r w:rsidR="0012144D">
        <w:rPr>
          <w:rStyle w:val="7"/>
          <w:rFonts w:eastAsia="Calibri" w:hint="cs"/>
          <w:b/>
          <w:rtl/>
        </w:rPr>
        <w:t>ש הרי ס. טרומן למען קידום השלום</w:t>
      </w:r>
      <w:r>
        <w:rPr>
          <w:rStyle w:val="7"/>
          <w:rFonts w:eastAsia="Calibri" w:hint="cs"/>
          <w:b/>
          <w:rtl/>
        </w:rPr>
        <w:t xml:space="preserve"> </w:t>
      </w:r>
      <w:r w:rsidRPr="009A157B">
        <w:rPr>
          <w:rStyle w:val="7"/>
          <w:rFonts w:eastAsia="Calibri" w:hint="cs"/>
          <w:b/>
          <w:rtl/>
        </w:rPr>
        <w:t>(ארכיון פרטי)</w:t>
      </w:r>
      <w:r w:rsidR="00000002">
        <w:rPr>
          <w:rStyle w:val="7"/>
          <w:rFonts w:eastAsia="Calibri" w:hint="cs"/>
          <w:b/>
          <w:rtl/>
        </w:rPr>
        <w:t>:</w:t>
      </w:r>
      <w:r>
        <w:rPr>
          <w:rFonts w:hint="cs"/>
          <w:rtl/>
        </w:rPr>
        <w:t xml:space="preserve"> </w:t>
      </w:r>
      <w:r w:rsidR="00F93E87">
        <w:rPr>
          <w:rFonts w:hint="cs"/>
          <w:rtl/>
        </w:rPr>
        <w:t xml:space="preserve">בארכיון </w:t>
      </w:r>
      <w:r>
        <w:rPr>
          <w:rFonts w:hint="cs"/>
          <w:rtl/>
        </w:rPr>
        <w:t xml:space="preserve">נמצאו תיקים מסווגים ורגישים מהארכיון הפרטי של אבא אבן, ואלו סומנו כמוגבלים לעיון הציבור. </w:t>
      </w:r>
      <w:r w:rsidR="009C6A49">
        <w:rPr>
          <w:rFonts w:hint="cs"/>
          <w:rtl/>
        </w:rPr>
        <w:t>בתגובתו</w:t>
      </w:r>
      <w:r w:rsidRPr="00B17B27" w:rsidR="009C6A49">
        <w:rPr>
          <w:rFonts w:hint="cs"/>
          <w:rtl/>
        </w:rPr>
        <w:t xml:space="preserve"> </w:t>
      </w:r>
      <w:r w:rsidR="001662A3">
        <w:rPr>
          <w:rFonts w:hint="cs"/>
          <w:rtl/>
        </w:rPr>
        <w:t xml:space="preserve">מאפריל 2019 </w:t>
      </w:r>
      <w:r w:rsidR="009C6A49">
        <w:rPr>
          <w:rFonts w:hint="cs"/>
          <w:rtl/>
        </w:rPr>
        <w:t xml:space="preserve">על </w:t>
      </w:r>
      <w:r w:rsidR="001662A3">
        <w:rPr>
          <w:rFonts w:hint="cs"/>
          <w:rtl/>
        </w:rPr>
        <w:t>טיוטת דוח</w:t>
      </w:r>
      <w:r w:rsidR="009C6A49">
        <w:rPr>
          <w:rFonts w:hint="cs"/>
          <w:rtl/>
        </w:rPr>
        <w:t xml:space="preserve"> הביקורת</w:t>
      </w:r>
      <w:r w:rsidRPr="00C07A6A">
        <w:rPr>
          <w:rFonts w:hint="cs"/>
          <w:rtl/>
        </w:rPr>
        <w:t xml:space="preserve"> מסר המנהל בפועל של </w:t>
      </w:r>
      <w:r w:rsidR="009C6A49">
        <w:rPr>
          <w:rFonts w:hint="cs"/>
          <w:rtl/>
        </w:rPr>
        <w:t>ה</w:t>
      </w:r>
      <w:r w:rsidRPr="00C07A6A">
        <w:rPr>
          <w:rFonts w:hint="cs"/>
          <w:rtl/>
        </w:rPr>
        <w:t>ארכיון כי לדעתו</w:t>
      </w:r>
      <w:r w:rsidR="009C6A49">
        <w:rPr>
          <w:rFonts w:hint="cs"/>
          <w:rtl/>
        </w:rPr>
        <w:t>,</w:t>
      </w:r>
      <w:r w:rsidRPr="00C07A6A">
        <w:rPr>
          <w:rFonts w:hint="cs"/>
          <w:rtl/>
        </w:rPr>
        <w:t xml:space="preserve"> המסמכים המופקדים במכון מאובטחים כראוי - הם </w:t>
      </w:r>
      <w:r w:rsidR="009C6A49">
        <w:rPr>
          <w:rFonts w:hint="cs"/>
          <w:rtl/>
        </w:rPr>
        <w:t>נמצאים</w:t>
      </w:r>
      <w:r w:rsidRPr="00C07A6A" w:rsidR="009C6A49">
        <w:rPr>
          <w:rFonts w:hint="cs"/>
          <w:rtl/>
        </w:rPr>
        <w:t xml:space="preserve"> </w:t>
      </w:r>
      <w:r w:rsidRPr="00C07A6A">
        <w:rPr>
          <w:rFonts w:hint="cs"/>
          <w:rtl/>
        </w:rPr>
        <w:t>בחדר נעול היטב, שאין אליו גישה חופשית</w:t>
      </w:r>
      <w:r w:rsidR="009C6A49">
        <w:rPr>
          <w:rFonts w:hint="cs"/>
          <w:rtl/>
        </w:rPr>
        <w:t>,</w:t>
      </w:r>
      <w:r w:rsidRPr="00C07A6A">
        <w:rPr>
          <w:rFonts w:hint="cs"/>
          <w:rtl/>
        </w:rPr>
        <w:t xml:space="preserve"> </w:t>
      </w:r>
      <w:r w:rsidR="009C6A49">
        <w:rPr>
          <w:rFonts w:hint="cs"/>
          <w:rtl/>
        </w:rPr>
        <w:t>והוא</w:t>
      </w:r>
      <w:r w:rsidRPr="00C07A6A" w:rsidR="009C6A49">
        <w:rPr>
          <w:rFonts w:hint="cs"/>
          <w:rtl/>
        </w:rPr>
        <w:t xml:space="preserve"> </w:t>
      </w:r>
      <w:r w:rsidRPr="00C07A6A">
        <w:rPr>
          <w:rFonts w:hint="cs"/>
          <w:rtl/>
        </w:rPr>
        <w:t>מוגן באמצעות מערכת אזעקה</w:t>
      </w:r>
      <w:r w:rsidRPr="00C07A6A">
        <w:rPr>
          <w:rtl/>
        </w:rPr>
        <w:t>.</w:t>
      </w:r>
    </w:p>
    <w:p w:rsidR="0098688E" w:rsidP="00FF6AB4" w14:paraId="0738F5F2" w14:textId="77777777">
      <w:pPr>
        <w:pStyle w:val="a"/>
        <w:spacing w:line="269" w:lineRule="auto"/>
        <w:rPr>
          <w:rtl/>
        </w:rPr>
      </w:pPr>
    </w:p>
    <w:p w:rsidR="00F2298C" w:rsidP="00FF6AB4" w14:paraId="2F3FEA9B" w14:textId="77777777">
      <w:pPr>
        <w:spacing w:line="269" w:lineRule="auto"/>
        <w:rPr>
          <w:rtl/>
        </w:rPr>
      </w:pPr>
      <w:r w:rsidRPr="00AD74BF">
        <w:rPr>
          <w:rStyle w:val="7"/>
          <w:rFonts w:eastAsia="Calibri" w:hint="cs"/>
          <w:rtl/>
        </w:rPr>
        <w:t>ה</w:t>
      </w:r>
      <w:r w:rsidRPr="00AD74BF" w:rsidR="00F93E87">
        <w:rPr>
          <w:rStyle w:val="7"/>
          <w:rFonts w:eastAsia="Calibri" w:hint="cs"/>
          <w:rtl/>
        </w:rPr>
        <w:t>ארכיון בחוות השקמים</w:t>
      </w:r>
      <w:r w:rsidRPr="00AD74BF" w:rsidR="000C0E54">
        <w:rPr>
          <w:rStyle w:val="7"/>
          <w:rFonts w:eastAsia="Calibri" w:hint="cs"/>
          <w:rtl/>
        </w:rPr>
        <w:t xml:space="preserve"> (ארכיון פרטי)</w:t>
      </w:r>
      <w:r w:rsidRPr="00AD74BF" w:rsidR="00000002">
        <w:rPr>
          <w:rStyle w:val="7"/>
          <w:rFonts w:eastAsia="Calibri" w:hint="cs"/>
          <w:rtl/>
        </w:rPr>
        <w:t>:</w:t>
      </w:r>
      <w:r w:rsidR="00F93E87">
        <w:rPr>
          <w:rFonts w:hint="cs"/>
          <w:rtl/>
        </w:rPr>
        <w:t xml:space="preserve"> </w:t>
      </w:r>
      <w:r w:rsidR="009C2714">
        <w:rPr>
          <w:rFonts w:hint="cs"/>
          <w:rtl/>
        </w:rPr>
        <w:t>במסמכי המלמ"ב</w:t>
      </w:r>
      <w:r w:rsidR="00B03FF6">
        <w:rPr>
          <w:rFonts w:hint="cs"/>
          <w:rtl/>
        </w:rPr>
        <w:t xml:space="preserve"> </w:t>
      </w:r>
      <w:r w:rsidR="00C06805">
        <w:rPr>
          <w:rFonts w:hint="cs"/>
          <w:rtl/>
        </w:rPr>
        <w:t>נ</w:t>
      </w:r>
      <w:r w:rsidR="000962B3">
        <w:rPr>
          <w:rFonts w:hint="cs"/>
          <w:rtl/>
        </w:rPr>
        <w:t>כתב</w:t>
      </w:r>
      <w:r w:rsidR="00C06805">
        <w:rPr>
          <w:rFonts w:hint="cs"/>
          <w:rtl/>
        </w:rPr>
        <w:t xml:space="preserve"> </w:t>
      </w:r>
      <w:r w:rsidR="000962B3">
        <w:rPr>
          <w:rFonts w:hint="cs"/>
          <w:rtl/>
        </w:rPr>
        <w:t>שבארכיון בחוות השקמים קיימים</w:t>
      </w:r>
      <w:r w:rsidR="00C06805">
        <w:rPr>
          <w:rFonts w:hint="cs"/>
          <w:rtl/>
        </w:rPr>
        <w:t xml:space="preserve"> </w:t>
      </w:r>
      <w:r w:rsidR="00B03FF6">
        <w:rPr>
          <w:rFonts w:hint="cs"/>
          <w:rtl/>
        </w:rPr>
        <w:t>חומרים מסווגים</w:t>
      </w:r>
      <w:r w:rsidR="000962B3">
        <w:rPr>
          <w:rFonts w:hint="cs"/>
          <w:rtl/>
        </w:rPr>
        <w:t>.</w:t>
      </w:r>
      <w:r w:rsidR="00B03FF6">
        <w:rPr>
          <w:rFonts w:hint="cs"/>
          <w:rtl/>
        </w:rPr>
        <w:t xml:space="preserve"> </w:t>
      </w:r>
    </w:p>
    <w:p w:rsidR="0098688E" w:rsidP="00FF6AB4" w14:paraId="4217FDCC" w14:textId="77777777">
      <w:pPr>
        <w:pStyle w:val="a"/>
        <w:spacing w:line="269" w:lineRule="auto"/>
        <w:rPr>
          <w:rtl/>
        </w:rPr>
      </w:pPr>
    </w:p>
    <w:p w:rsidR="00F2298C" w:rsidRPr="00C07A6A" w:rsidP="00FF6AB4" w14:paraId="2D704B82" w14:textId="77777777">
      <w:pPr>
        <w:spacing w:line="269" w:lineRule="auto"/>
      </w:pPr>
      <w:r>
        <w:rPr>
          <w:rFonts w:hint="cs"/>
          <w:rtl/>
        </w:rPr>
        <w:t>בתגובתו</w:t>
      </w:r>
      <w:r w:rsidRPr="00B17B27">
        <w:rPr>
          <w:rFonts w:hint="cs"/>
          <w:rtl/>
        </w:rPr>
        <w:t xml:space="preserve"> </w:t>
      </w:r>
      <w:r w:rsidR="001662A3">
        <w:rPr>
          <w:rFonts w:hint="cs"/>
          <w:rtl/>
        </w:rPr>
        <w:t xml:space="preserve">מאפריל 2019 </w:t>
      </w:r>
      <w:r>
        <w:rPr>
          <w:rFonts w:hint="cs"/>
          <w:rtl/>
        </w:rPr>
        <w:t xml:space="preserve">על </w:t>
      </w:r>
      <w:r w:rsidR="001662A3">
        <w:rPr>
          <w:rFonts w:hint="cs"/>
          <w:rtl/>
        </w:rPr>
        <w:t>טיוטת הדוח</w:t>
      </w:r>
      <w:r w:rsidRPr="00C07A6A" w:rsidR="00B03FF6">
        <w:rPr>
          <w:rFonts w:hint="cs"/>
          <w:rtl/>
        </w:rPr>
        <w:t xml:space="preserve"> כתב </w:t>
      </w:r>
      <w:r w:rsidR="004A65A8">
        <w:rPr>
          <w:rFonts w:hint="cs"/>
          <w:rtl/>
        </w:rPr>
        <w:t>בעל הארכיון</w:t>
      </w:r>
      <w:r w:rsidRPr="00C07A6A" w:rsidR="00B03FF6">
        <w:rPr>
          <w:rFonts w:hint="cs"/>
          <w:rtl/>
        </w:rPr>
        <w:t xml:space="preserve"> ל</w:t>
      </w:r>
      <w:r>
        <w:rPr>
          <w:rFonts w:hint="cs"/>
          <w:rtl/>
        </w:rPr>
        <w:t>משרד מבקר המדינה</w:t>
      </w:r>
      <w:r w:rsidRPr="00C07A6A" w:rsidR="00B03FF6">
        <w:rPr>
          <w:rFonts w:hint="cs"/>
          <w:rtl/>
        </w:rPr>
        <w:t xml:space="preserve"> כי רובו הגדול של החומר כבר הועבר לארכיון המדינה</w:t>
      </w:r>
      <w:r>
        <w:rPr>
          <w:rFonts w:hint="cs"/>
          <w:rtl/>
        </w:rPr>
        <w:t xml:space="preserve">. </w:t>
      </w:r>
    </w:p>
    <w:p w:rsidR="0098688E" w:rsidP="00FF6AB4" w14:paraId="480D903E" w14:textId="77777777">
      <w:pPr>
        <w:pStyle w:val="a"/>
        <w:spacing w:line="269" w:lineRule="auto"/>
        <w:rPr>
          <w:rStyle w:val="7"/>
          <w:rFonts w:eastAsia="Calibri"/>
          <w:rtl/>
        </w:rPr>
      </w:pPr>
    </w:p>
    <w:p w:rsidR="00F2298C" w:rsidRPr="00C07A6A" w:rsidP="00FF6AB4" w14:paraId="4B638871" w14:textId="77777777">
      <w:pPr>
        <w:spacing w:line="269" w:lineRule="auto"/>
        <w:rPr>
          <w:rtl/>
        </w:rPr>
      </w:pPr>
      <w:r w:rsidRPr="00C07A6A">
        <w:rPr>
          <w:rStyle w:val="7"/>
          <w:rFonts w:eastAsia="Calibri" w:hint="cs"/>
          <w:rtl/>
        </w:rPr>
        <w:t xml:space="preserve">חומרים </w:t>
      </w:r>
      <w:r w:rsidRPr="00C07A6A" w:rsidR="003C5D13">
        <w:rPr>
          <w:rStyle w:val="7"/>
          <w:rFonts w:eastAsia="Calibri" w:hint="cs"/>
          <w:rtl/>
        </w:rPr>
        <w:t>ה</w:t>
      </w:r>
      <w:r w:rsidRPr="00C07A6A">
        <w:rPr>
          <w:rStyle w:val="7"/>
          <w:rFonts w:eastAsia="Calibri" w:hint="cs"/>
          <w:rtl/>
        </w:rPr>
        <w:t>מצויים אצל בתו של בכיר לשעבר במערכת הביטחון</w:t>
      </w:r>
      <w:r w:rsidRPr="00C07A6A" w:rsidR="000C0E54">
        <w:rPr>
          <w:rStyle w:val="7"/>
          <w:rFonts w:eastAsia="Calibri" w:hint="cs"/>
          <w:rtl/>
        </w:rPr>
        <w:t xml:space="preserve"> (ארכיון פרטי)</w:t>
      </w:r>
      <w:r w:rsidR="00000002">
        <w:rPr>
          <w:rStyle w:val="7"/>
          <w:rFonts w:eastAsia="Calibri" w:hint="cs"/>
          <w:rtl/>
        </w:rPr>
        <w:t>:</w:t>
      </w:r>
      <w:r w:rsidRPr="00C07A6A">
        <w:rPr>
          <w:rFonts w:hint="cs"/>
          <w:rtl/>
        </w:rPr>
        <w:t xml:space="preserve"> </w:t>
      </w:r>
      <w:r w:rsidR="00856D22">
        <w:rPr>
          <w:rFonts w:hint="cs"/>
          <w:rtl/>
        </w:rPr>
        <w:t xml:space="preserve">משנפטר אותו בכיר, הועברו חומרים שהיו מצויים אצלו אל בתו. </w:t>
      </w:r>
      <w:r w:rsidRPr="00C07A6A" w:rsidR="009C2714">
        <w:rPr>
          <w:rFonts w:hint="cs"/>
          <w:rtl/>
        </w:rPr>
        <w:t xml:space="preserve">במסמכי המלמ"ב נכתב כי </w:t>
      </w:r>
      <w:r w:rsidRPr="00C07A6A">
        <w:rPr>
          <w:rFonts w:hint="cs"/>
          <w:rtl/>
        </w:rPr>
        <w:t>החומרים "לא נבדקו בשל חילוקי דעות של מלמ"ב עם הבת לגבי עתיד המסמכים. להערכת צוות החשיפה יש בחומר [מסמכים מסווגים]... מתקופת כהונתו</w:t>
      </w:r>
      <w:r w:rsidR="008F2C8E">
        <w:rPr>
          <w:rFonts w:hint="cs"/>
          <w:rtl/>
        </w:rPr>
        <w:t xml:space="preserve"> [של הבכיר]</w:t>
      </w:r>
      <w:r w:rsidRPr="00C07A6A">
        <w:rPr>
          <w:rFonts w:hint="cs"/>
          <w:rtl/>
        </w:rPr>
        <w:t xml:space="preserve"> בתפקיד".</w:t>
      </w:r>
    </w:p>
    <w:p w:rsidR="0098688E" w:rsidP="00FF6AB4" w14:paraId="447642CC" w14:textId="77777777">
      <w:pPr>
        <w:pStyle w:val="a"/>
        <w:spacing w:line="269" w:lineRule="auto"/>
        <w:rPr>
          <w:rtl/>
        </w:rPr>
      </w:pPr>
    </w:p>
    <w:p w:rsidR="00AC253A" w:rsidP="00FF6AB4" w14:paraId="07ED6D98" w14:textId="77777777">
      <w:pPr>
        <w:spacing w:line="269" w:lineRule="auto"/>
        <w:rPr>
          <w:rtl/>
        </w:rPr>
      </w:pPr>
      <w:r>
        <w:rPr>
          <w:rFonts w:hint="cs"/>
          <w:rtl/>
        </w:rPr>
        <w:t>בתגובתה</w:t>
      </w:r>
      <w:r w:rsidR="00E63F2B">
        <w:rPr>
          <w:rFonts w:hint="cs"/>
          <w:rtl/>
        </w:rPr>
        <w:t xml:space="preserve"> </w:t>
      </w:r>
      <w:r w:rsidR="001662A3">
        <w:rPr>
          <w:rFonts w:hint="cs"/>
          <w:rtl/>
        </w:rPr>
        <w:t xml:space="preserve">מאפריל 2019 </w:t>
      </w:r>
      <w:r>
        <w:rPr>
          <w:rFonts w:hint="cs"/>
          <w:rtl/>
        </w:rPr>
        <w:t xml:space="preserve">על </w:t>
      </w:r>
      <w:r w:rsidR="001662A3">
        <w:rPr>
          <w:rFonts w:hint="cs"/>
          <w:rtl/>
        </w:rPr>
        <w:t>טיוטת דוח הביקורת</w:t>
      </w:r>
      <w:r w:rsidRPr="00C07A6A" w:rsidR="00882E8E">
        <w:rPr>
          <w:rFonts w:hint="cs"/>
          <w:rtl/>
        </w:rPr>
        <w:t xml:space="preserve"> מסרה בתו של אותו בכיר כי "לא זכורה לי כל פנייה רשמית בכתב, מיחידה כלשהי במשרד הביטחון לגבי בקשה לבדוק חומרים כלשהם אשר קשורים לתקופת כהונתו של אבי".</w:t>
      </w:r>
    </w:p>
    <w:p w:rsidR="0098688E" w:rsidP="00FF6AB4" w14:paraId="3A921FC2" w14:textId="77777777">
      <w:pPr>
        <w:pStyle w:val="a"/>
        <w:spacing w:line="269" w:lineRule="auto"/>
        <w:rPr>
          <w:rtl/>
        </w:rPr>
      </w:pPr>
    </w:p>
    <w:p w:rsidR="001B38F7" w:rsidP="00FF6AB4" w14:paraId="12D93084" w14:textId="77777777">
      <w:pPr>
        <w:spacing w:line="269" w:lineRule="auto"/>
        <w:rPr>
          <w:rtl/>
        </w:rPr>
      </w:pPr>
      <w:r>
        <w:rPr>
          <w:rFonts w:hint="cs"/>
          <w:rtl/>
        </w:rPr>
        <w:t>בתגובתו</w:t>
      </w:r>
      <w:r w:rsidRPr="00B17B27">
        <w:rPr>
          <w:rFonts w:hint="cs"/>
          <w:rtl/>
        </w:rPr>
        <w:t xml:space="preserve"> </w:t>
      </w:r>
      <w:r w:rsidR="003E0FE4">
        <w:rPr>
          <w:rFonts w:hint="cs"/>
          <w:rtl/>
        </w:rPr>
        <w:t xml:space="preserve">מיולי 2019 </w:t>
      </w:r>
      <w:r>
        <w:rPr>
          <w:rFonts w:hint="cs"/>
          <w:rtl/>
        </w:rPr>
        <w:t xml:space="preserve">על </w:t>
      </w:r>
      <w:r w:rsidR="003E0FE4">
        <w:rPr>
          <w:rFonts w:hint="cs"/>
          <w:rtl/>
        </w:rPr>
        <w:t>טיוטת דוח הביקורת</w:t>
      </w:r>
      <w:r w:rsidR="00B03FF6">
        <w:rPr>
          <w:rFonts w:hint="cs"/>
          <w:rtl/>
        </w:rPr>
        <w:t xml:space="preserve"> מסר משרד רה"ם כי </w:t>
      </w:r>
      <w:r w:rsidR="001A604D">
        <w:rPr>
          <w:rFonts w:hint="cs"/>
          <w:rtl/>
        </w:rPr>
        <w:t xml:space="preserve">חוק הארכיונים כלל </w:t>
      </w:r>
      <w:r>
        <w:rPr>
          <w:rFonts w:hint="cs"/>
          <w:rtl/>
        </w:rPr>
        <w:t xml:space="preserve">אינו </w:t>
      </w:r>
      <w:r w:rsidR="001A604D">
        <w:rPr>
          <w:rFonts w:hint="cs"/>
          <w:rtl/>
        </w:rPr>
        <w:t xml:space="preserve">מתייחס לחומרים מסווגים </w:t>
      </w:r>
      <w:r>
        <w:rPr>
          <w:rFonts w:hint="cs"/>
          <w:rtl/>
        </w:rPr>
        <w:t xml:space="preserve">ואינו </w:t>
      </w:r>
      <w:r w:rsidR="00106087">
        <w:rPr>
          <w:rFonts w:hint="cs"/>
          <w:rtl/>
        </w:rPr>
        <w:t xml:space="preserve">קובע מה רשאי או </w:t>
      </w:r>
      <w:r>
        <w:rPr>
          <w:rFonts w:hint="cs"/>
          <w:rtl/>
        </w:rPr>
        <w:t xml:space="preserve">אינו </w:t>
      </w:r>
      <w:r w:rsidR="00106087">
        <w:rPr>
          <w:rFonts w:hint="cs"/>
          <w:rtl/>
        </w:rPr>
        <w:t xml:space="preserve">רשאי ארכיון ציבורי או פרטי להחזיק, וכי חוק העונשין </w:t>
      </w:r>
      <w:r w:rsidR="001662A3">
        <w:rPr>
          <w:rFonts w:hint="cs"/>
          <w:rtl/>
        </w:rPr>
        <w:t>ותקנות שירות המדינה</w:t>
      </w:r>
      <w:r w:rsidR="00106087">
        <w:rPr>
          <w:rFonts w:hint="cs"/>
          <w:rtl/>
        </w:rPr>
        <w:t xml:space="preserve"> מסדירים הוצאת מסמכים ממשמורת המדינה.</w:t>
      </w:r>
      <w:r w:rsidR="001A604D">
        <w:rPr>
          <w:rFonts w:hint="cs"/>
          <w:rtl/>
        </w:rPr>
        <w:t xml:space="preserve"> </w:t>
      </w:r>
      <w:r w:rsidR="00106087">
        <w:rPr>
          <w:rFonts w:hint="cs"/>
          <w:rtl/>
        </w:rPr>
        <w:t>עוד מסר</w:t>
      </w:r>
      <w:r w:rsidR="004C4965">
        <w:rPr>
          <w:rFonts w:hint="cs"/>
          <w:rtl/>
        </w:rPr>
        <w:t xml:space="preserve"> משרד רה"ם</w:t>
      </w:r>
      <w:r w:rsidR="001A604D">
        <w:rPr>
          <w:rFonts w:hint="cs"/>
          <w:rtl/>
        </w:rPr>
        <w:t xml:space="preserve"> </w:t>
      </w:r>
      <w:r w:rsidR="00106087">
        <w:rPr>
          <w:rFonts w:hint="cs"/>
          <w:rtl/>
        </w:rPr>
        <w:t xml:space="preserve">כי </w:t>
      </w:r>
      <w:r w:rsidR="001A604D">
        <w:rPr>
          <w:rFonts w:hint="cs"/>
          <w:rtl/>
        </w:rPr>
        <w:t xml:space="preserve">חומר </w:t>
      </w:r>
      <w:r w:rsidR="00106087">
        <w:rPr>
          <w:rFonts w:hint="cs"/>
          <w:rtl/>
        </w:rPr>
        <w:t>ארכיוני ממלכתי</w:t>
      </w:r>
      <w:r w:rsidR="004C4965">
        <w:rPr>
          <w:rFonts w:hint="cs"/>
          <w:rtl/>
        </w:rPr>
        <w:t>,</w:t>
      </w:r>
      <w:r w:rsidR="00106087">
        <w:rPr>
          <w:rFonts w:hint="cs"/>
          <w:rtl/>
        </w:rPr>
        <w:t xml:space="preserve"> ובכללו חומר </w:t>
      </w:r>
      <w:r w:rsidR="001A604D">
        <w:rPr>
          <w:rFonts w:hint="cs"/>
          <w:rtl/>
        </w:rPr>
        <w:t>מסווג</w:t>
      </w:r>
      <w:r w:rsidR="004C4965">
        <w:rPr>
          <w:rFonts w:hint="cs"/>
          <w:rtl/>
        </w:rPr>
        <w:t>, אינו</w:t>
      </w:r>
      <w:r w:rsidR="001A604D">
        <w:rPr>
          <w:rFonts w:hint="cs"/>
          <w:rtl/>
        </w:rPr>
        <w:t xml:space="preserve"> אמור </w:t>
      </w:r>
      <w:r w:rsidR="004C4965">
        <w:rPr>
          <w:rFonts w:hint="cs"/>
          <w:rtl/>
        </w:rPr>
        <w:t xml:space="preserve">כלל </w:t>
      </w:r>
      <w:r w:rsidR="001A604D">
        <w:rPr>
          <w:rFonts w:hint="cs"/>
          <w:rtl/>
        </w:rPr>
        <w:t>להגיע לארכיונים ציבוריים או פרטיים, ו</w:t>
      </w:r>
      <w:r w:rsidR="004C4965">
        <w:rPr>
          <w:rFonts w:hint="cs"/>
          <w:rtl/>
        </w:rPr>
        <w:t xml:space="preserve">כי </w:t>
      </w:r>
      <w:r w:rsidR="00B03FF6">
        <w:rPr>
          <w:rFonts w:hint="cs"/>
          <w:rtl/>
        </w:rPr>
        <w:t>ארכיון המדינה פועל בימים אלו להשבת חומרים ממלכתיים שנמצאים בידיים פרטיות.</w:t>
      </w:r>
      <w:r w:rsidR="008B1937">
        <w:rPr>
          <w:rFonts w:hint="cs"/>
          <w:rtl/>
        </w:rPr>
        <w:t xml:space="preserve"> </w:t>
      </w:r>
    </w:p>
    <w:p w:rsidR="0098688E" w:rsidP="00FF6AB4" w14:paraId="31270608" w14:textId="77777777">
      <w:pPr>
        <w:pStyle w:val="a"/>
        <w:spacing w:line="269" w:lineRule="auto"/>
        <w:rPr>
          <w:rtl/>
        </w:rPr>
      </w:pPr>
    </w:p>
    <w:p w:rsidR="003E4EAA" w:rsidP="00FF6AB4" w14:paraId="411F1EB9" w14:textId="77777777">
      <w:pPr>
        <w:spacing w:line="269" w:lineRule="auto"/>
        <w:rPr>
          <w:rtl/>
        </w:rPr>
      </w:pPr>
      <w:r>
        <w:rPr>
          <w:rFonts w:hint="cs"/>
          <w:rtl/>
        </w:rPr>
        <w:t>בתגובתו</w:t>
      </w:r>
      <w:r w:rsidRPr="00B17B27">
        <w:rPr>
          <w:rFonts w:hint="cs"/>
          <w:rtl/>
        </w:rPr>
        <w:t xml:space="preserve"> </w:t>
      </w:r>
      <w:r w:rsidR="00B21C9C">
        <w:rPr>
          <w:rFonts w:hint="cs"/>
          <w:rtl/>
        </w:rPr>
        <w:t xml:space="preserve">מיולי 2019 </w:t>
      </w:r>
      <w:r>
        <w:rPr>
          <w:rFonts w:hint="cs"/>
          <w:rtl/>
        </w:rPr>
        <w:t xml:space="preserve">על </w:t>
      </w:r>
      <w:r w:rsidR="00B21C9C">
        <w:rPr>
          <w:rFonts w:hint="cs"/>
          <w:rtl/>
        </w:rPr>
        <w:t xml:space="preserve">טיוטת דוח הביקורת </w:t>
      </w:r>
      <w:r w:rsidR="00B03FF6">
        <w:rPr>
          <w:rFonts w:hint="cs"/>
          <w:rtl/>
        </w:rPr>
        <w:t xml:space="preserve">מסר שב"כ כי </w:t>
      </w:r>
      <w:r w:rsidR="00B21C9C">
        <w:rPr>
          <w:rFonts w:hint="cs"/>
          <w:rtl/>
        </w:rPr>
        <w:t>מידע מסווג אינו יכול להיות מוחזק על ידי גורמים שאינם מורשים לכך</w:t>
      </w:r>
      <w:r w:rsidR="001662A3">
        <w:rPr>
          <w:rFonts w:hint="cs"/>
          <w:rtl/>
        </w:rPr>
        <w:t>, וכי</w:t>
      </w:r>
      <w:r w:rsidR="00B21C9C">
        <w:rPr>
          <w:rFonts w:hint="cs"/>
          <w:rtl/>
        </w:rPr>
        <w:t xml:space="preserve"> השירות </w:t>
      </w:r>
      <w:r w:rsidR="00DD53B4">
        <w:rPr>
          <w:rFonts w:hint="cs"/>
          <w:rtl/>
        </w:rPr>
        <w:t>"</w:t>
      </w:r>
      <w:r w:rsidR="00B21C9C">
        <w:rPr>
          <w:rFonts w:hint="cs"/>
          <w:rtl/>
        </w:rPr>
        <w:t xml:space="preserve">יפעל בשיתוף פעולה עם הגורמים הרלוונטיים לבחינת דרכי הטיפול והאכיפה בנוגע להחזקת מידע מסווג על ידי גורמים שאינם מורשים". עוד מסר </w:t>
      </w:r>
      <w:r w:rsidR="00B03FF6">
        <w:rPr>
          <w:rFonts w:hint="cs"/>
          <w:rtl/>
        </w:rPr>
        <w:t xml:space="preserve">שב"כ </w:t>
      </w:r>
      <w:r w:rsidR="00B21C9C">
        <w:rPr>
          <w:rFonts w:hint="cs"/>
          <w:rtl/>
        </w:rPr>
        <w:t xml:space="preserve">כי הוא </w:t>
      </w:r>
      <w:r w:rsidR="00B03FF6">
        <w:rPr>
          <w:rFonts w:hint="cs"/>
          <w:rtl/>
        </w:rPr>
        <w:t>אינו מוגדר כ</w:t>
      </w:r>
      <w:r>
        <w:rPr>
          <w:rFonts w:hint="cs"/>
          <w:rtl/>
        </w:rPr>
        <w:t>"</w:t>
      </w:r>
      <w:r w:rsidR="00B03FF6">
        <w:rPr>
          <w:rFonts w:hint="cs"/>
          <w:rtl/>
        </w:rPr>
        <w:t>קצין מוסמך</w:t>
      </w:r>
      <w:r>
        <w:rPr>
          <w:rFonts w:hint="cs"/>
          <w:rtl/>
        </w:rPr>
        <w:t>"</w:t>
      </w:r>
      <w:r w:rsidR="00B03FF6">
        <w:rPr>
          <w:rFonts w:hint="cs"/>
          <w:rtl/>
        </w:rPr>
        <w:t xml:space="preserve"> ב</w:t>
      </w:r>
      <w:r>
        <w:rPr>
          <w:rFonts w:hint="cs"/>
          <w:rtl/>
        </w:rPr>
        <w:t>נוגע ל</w:t>
      </w:r>
      <w:r w:rsidR="00B03FF6">
        <w:rPr>
          <w:rFonts w:hint="cs"/>
          <w:rtl/>
        </w:rPr>
        <w:t xml:space="preserve">ארכיונים </w:t>
      </w:r>
      <w:r w:rsidR="00DD53B4">
        <w:rPr>
          <w:rFonts w:hint="cs"/>
          <w:rtl/>
        </w:rPr>
        <w:t>ציבוריים ופרטיים</w:t>
      </w:r>
      <w:r w:rsidR="00B03FF6">
        <w:rPr>
          <w:rFonts w:hint="cs"/>
          <w:rtl/>
        </w:rPr>
        <w:t xml:space="preserve"> בהתאם לחוק להסדרת הביטחון</w:t>
      </w:r>
      <w:r w:rsidR="00783609">
        <w:rPr>
          <w:rFonts w:hint="cs"/>
          <w:rtl/>
        </w:rPr>
        <w:t xml:space="preserve"> ולכן, </w:t>
      </w:r>
      <w:r>
        <w:rPr>
          <w:rFonts w:hint="cs"/>
          <w:rtl/>
        </w:rPr>
        <w:t xml:space="preserve">אם </w:t>
      </w:r>
      <w:r w:rsidR="00783609">
        <w:rPr>
          <w:rFonts w:hint="cs"/>
          <w:rtl/>
        </w:rPr>
        <w:t>יוחלט ל</w:t>
      </w:r>
      <w:r w:rsidR="00B21C9C">
        <w:rPr>
          <w:rFonts w:hint="cs"/>
          <w:rtl/>
        </w:rPr>
        <w:t>התיר ל</w:t>
      </w:r>
      <w:r w:rsidR="00783609">
        <w:rPr>
          <w:rFonts w:hint="cs"/>
          <w:rtl/>
        </w:rPr>
        <w:t>ארכיו</w:t>
      </w:r>
      <w:r>
        <w:rPr>
          <w:rFonts w:hint="cs"/>
          <w:rtl/>
        </w:rPr>
        <w:t>נים</w:t>
      </w:r>
      <w:r w:rsidR="00783609">
        <w:rPr>
          <w:rFonts w:hint="cs"/>
          <w:rtl/>
        </w:rPr>
        <w:t xml:space="preserve"> </w:t>
      </w:r>
      <w:r w:rsidR="00B21C9C">
        <w:rPr>
          <w:rFonts w:hint="cs"/>
          <w:rtl/>
        </w:rPr>
        <w:t>שאינ</w:t>
      </w:r>
      <w:r>
        <w:rPr>
          <w:rFonts w:hint="cs"/>
          <w:rtl/>
        </w:rPr>
        <w:t>ם</w:t>
      </w:r>
      <w:r w:rsidR="00B21C9C">
        <w:rPr>
          <w:rFonts w:hint="cs"/>
          <w:rtl/>
        </w:rPr>
        <w:t xml:space="preserve"> חלק מארכיון המדינה</w:t>
      </w:r>
      <w:r w:rsidR="00783609">
        <w:rPr>
          <w:rFonts w:hint="cs"/>
          <w:rtl/>
        </w:rPr>
        <w:t xml:space="preserve"> להחזיק במידע מסווג, יש לפעול להסדרה חוקית שתאפשר להנחות </w:t>
      </w:r>
      <w:r>
        <w:rPr>
          <w:rFonts w:hint="cs"/>
          <w:rtl/>
        </w:rPr>
        <w:t xml:space="preserve">ארכיונים </w:t>
      </w:r>
      <w:r w:rsidR="00783609">
        <w:rPr>
          <w:rFonts w:hint="cs"/>
          <w:rtl/>
        </w:rPr>
        <w:t xml:space="preserve">אלו בהיבטי אבטחת מידע </w:t>
      </w:r>
      <w:r>
        <w:rPr>
          <w:rFonts w:hint="cs"/>
          <w:rtl/>
        </w:rPr>
        <w:t xml:space="preserve">ובעניין </w:t>
      </w:r>
      <w:r w:rsidR="00783609">
        <w:rPr>
          <w:rFonts w:hint="cs"/>
          <w:rtl/>
        </w:rPr>
        <w:t>ביצוע התאמה ביטחונית.</w:t>
      </w:r>
    </w:p>
    <w:p w:rsidR="0098688E" w:rsidP="00FF6AB4" w14:paraId="61EA736D" w14:textId="77777777">
      <w:pPr>
        <w:pStyle w:val="a"/>
        <w:spacing w:line="269" w:lineRule="auto"/>
        <w:rPr>
          <w:rtl/>
        </w:rPr>
      </w:pPr>
    </w:p>
    <w:p w:rsidR="007E0B02" w:rsidP="00FF6AB4" w14:paraId="7A5AFCBA" w14:textId="77777777">
      <w:pPr>
        <w:spacing w:line="269" w:lineRule="auto"/>
        <w:rPr>
          <w:rtl/>
        </w:rPr>
      </w:pPr>
      <w:r>
        <w:rPr>
          <w:rFonts w:hint="cs"/>
          <w:rtl/>
        </w:rPr>
        <w:t>בתגובתו</w:t>
      </w:r>
      <w:r w:rsidRPr="00B17B27">
        <w:rPr>
          <w:rFonts w:hint="cs"/>
          <w:rtl/>
        </w:rPr>
        <w:t xml:space="preserve"> </w:t>
      </w:r>
      <w:r w:rsidR="007400C6">
        <w:rPr>
          <w:rFonts w:hint="cs"/>
          <w:rtl/>
        </w:rPr>
        <w:t>מ</w:t>
      </w:r>
      <w:r w:rsidR="00B03FF6">
        <w:rPr>
          <w:rFonts w:hint="cs"/>
          <w:rtl/>
        </w:rPr>
        <w:t xml:space="preserve">יוני 2019 </w:t>
      </w:r>
      <w:r>
        <w:rPr>
          <w:rFonts w:hint="cs"/>
          <w:rtl/>
        </w:rPr>
        <w:t xml:space="preserve">על </w:t>
      </w:r>
      <w:r w:rsidR="00B03FF6">
        <w:rPr>
          <w:rFonts w:hint="cs"/>
          <w:rtl/>
        </w:rPr>
        <w:t xml:space="preserve">טיוטת דוח הביקורת </w:t>
      </w:r>
      <w:r w:rsidR="007400C6">
        <w:rPr>
          <w:rFonts w:hint="cs"/>
          <w:rtl/>
        </w:rPr>
        <w:t xml:space="preserve">מסר המלמ"ב </w:t>
      </w:r>
      <w:r w:rsidR="00B03FF6">
        <w:rPr>
          <w:rFonts w:hint="cs"/>
          <w:rtl/>
        </w:rPr>
        <w:t>כי חומרים מסווגים אינם יכולים להיות בידיים פרטיות וכי</w:t>
      </w:r>
      <w:r>
        <w:rPr>
          <w:rFonts w:hint="cs"/>
          <w:rtl/>
        </w:rPr>
        <w:t xml:space="preserve"> גורם פרטי</w:t>
      </w:r>
      <w:r w:rsidR="00B03FF6">
        <w:rPr>
          <w:rFonts w:hint="cs"/>
          <w:rtl/>
        </w:rPr>
        <w:t xml:space="preserve"> המחזיק בהם עוב</w:t>
      </w:r>
      <w:r w:rsidR="001662A3">
        <w:rPr>
          <w:rFonts w:hint="cs"/>
          <w:rtl/>
        </w:rPr>
        <w:t>ר</w:t>
      </w:r>
      <w:r w:rsidR="00B03FF6">
        <w:rPr>
          <w:rFonts w:hint="cs"/>
          <w:rtl/>
        </w:rPr>
        <w:t xml:space="preserve"> על חוקי המדינה </w:t>
      </w:r>
      <w:r>
        <w:rPr>
          <w:rFonts w:hint="cs"/>
          <w:rtl/>
        </w:rPr>
        <w:t>ב</w:t>
      </w:r>
      <w:r w:rsidR="00B03FF6">
        <w:rPr>
          <w:rFonts w:hint="cs"/>
          <w:rtl/>
        </w:rPr>
        <w:t>עניין החזקת חומרים מסווגים על ידי גורם שאינו מורשה.</w:t>
      </w:r>
    </w:p>
    <w:p w:rsidR="0098688E" w:rsidP="00FF6AB4" w14:paraId="0F9E6D80" w14:textId="77777777">
      <w:pPr>
        <w:pStyle w:val="a"/>
        <w:spacing w:line="269" w:lineRule="auto"/>
        <w:rPr>
          <w:rtl/>
        </w:rPr>
      </w:pPr>
    </w:p>
    <w:p w:rsidR="00545536" w:rsidP="00FF6AB4" w14:paraId="4BDB79C7" w14:textId="77777777">
      <w:pPr>
        <w:spacing w:line="269" w:lineRule="auto"/>
        <w:rPr>
          <w:rtl/>
        </w:rPr>
      </w:pPr>
      <w:r>
        <w:rPr>
          <w:rFonts w:hint="cs"/>
          <w:rtl/>
        </w:rPr>
        <w:t>בתגובתו</w:t>
      </w:r>
      <w:r w:rsidRPr="00B17B27">
        <w:rPr>
          <w:rFonts w:hint="cs"/>
          <w:rtl/>
        </w:rPr>
        <w:t xml:space="preserve"> </w:t>
      </w:r>
      <w:r w:rsidR="007400C6">
        <w:rPr>
          <w:rFonts w:hint="cs"/>
          <w:rtl/>
        </w:rPr>
        <w:t>מי</w:t>
      </w:r>
      <w:r w:rsidR="00B03FF6">
        <w:rPr>
          <w:rFonts w:hint="cs"/>
          <w:rtl/>
        </w:rPr>
        <w:t xml:space="preserve">ולי 2019 </w:t>
      </w:r>
      <w:r>
        <w:rPr>
          <w:rFonts w:hint="cs"/>
          <w:rtl/>
        </w:rPr>
        <w:t xml:space="preserve">על </w:t>
      </w:r>
      <w:r w:rsidR="007400C6">
        <w:rPr>
          <w:rFonts w:hint="cs"/>
          <w:rtl/>
        </w:rPr>
        <w:t xml:space="preserve">טיוטת דוח הביקורת מסר המשרד לביטחון הפנים </w:t>
      </w:r>
      <w:r w:rsidR="00B03FF6">
        <w:rPr>
          <w:rFonts w:hint="cs"/>
          <w:rtl/>
        </w:rPr>
        <w:t>כי הוא רואה חשיבות רבה בהסדרת נושא השמירה על חומרים ארכיוניים מסווגים.</w:t>
      </w:r>
    </w:p>
    <w:p w:rsidR="0098688E" w:rsidP="00FF6AB4" w14:paraId="3DDB9C90" w14:textId="77777777">
      <w:pPr>
        <w:pStyle w:val="a"/>
        <w:spacing w:line="269" w:lineRule="auto"/>
        <w:rPr>
          <w:rtl/>
        </w:rPr>
      </w:pPr>
    </w:p>
    <w:p w:rsidR="004A37F5" w:rsidRPr="004566D9" w:rsidP="00FF6AB4" w14:paraId="2D120EEA" w14:textId="77777777">
      <w:pPr>
        <w:spacing w:line="269" w:lineRule="auto"/>
        <w:rPr>
          <w:b/>
          <w:bCs/>
          <w:rtl/>
        </w:rPr>
      </w:pPr>
      <w:r>
        <w:rPr>
          <w:rFonts w:hint="cs"/>
          <w:b/>
          <w:bCs/>
          <w:rtl/>
        </w:rPr>
        <w:t xml:space="preserve">חוק הארכיונים ותקנותיו אינם מסייגים </w:t>
      </w:r>
      <w:r w:rsidR="002D7FE0">
        <w:rPr>
          <w:rFonts w:hint="cs"/>
          <w:b/>
          <w:bCs/>
          <w:rtl/>
        </w:rPr>
        <w:t>החזקת</w:t>
      </w:r>
      <w:r>
        <w:rPr>
          <w:rFonts w:hint="cs"/>
          <w:b/>
          <w:bCs/>
          <w:rtl/>
        </w:rPr>
        <w:t xml:space="preserve"> חומרים ארכיוניים מסווגים בארכיו</w:t>
      </w:r>
      <w:r>
        <w:rPr>
          <w:rFonts w:hint="cs"/>
          <w:b/>
          <w:bCs/>
          <w:rtl/>
        </w:rPr>
        <w:t>נים ציבוריים ופרטיים</w:t>
      </w:r>
      <w:r w:rsidR="004C4965">
        <w:rPr>
          <w:rFonts w:hint="cs"/>
          <w:b/>
          <w:bCs/>
          <w:rtl/>
        </w:rPr>
        <w:t>,</w:t>
      </w:r>
      <w:r>
        <w:rPr>
          <w:rFonts w:hint="cs"/>
          <w:b/>
          <w:bCs/>
          <w:rtl/>
        </w:rPr>
        <w:t xml:space="preserve"> </w:t>
      </w:r>
      <w:r w:rsidR="004C4965">
        <w:rPr>
          <w:rFonts w:hint="cs"/>
          <w:b/>
          <w:bCs/>
          <w:rtl/>
        </w:rPr>
        <w:t>ו</w:t>
      </w:r>
      <w:r>
        <w:rPr>
          <w:rFonts w:hint="cs"/>
          <w:b/>
          <w:bCs/>
          <w:rtl/>
        </w:rPr>
        <w:t xml:space="preserve">בפועל, חומרים מסווגים נמצאים באותם ארכיונים. </w:t>
      </w:r>
      <w:r w:rsidR="00CC6077">
        <w:rPr>
          <w:rFonts w:hint="cs"/>
          <w:b/>
          <w:bCs/>
          <w:rtl/>
        </w:rPr>
        <w:t>מכיוון שהחוק להסדרת הביטחון אינו</w:t>
      </w:r>
      <w:r>
        <w:rPr>
          <w:rFonts w:hint="cs"/>
          <w:b/>
          <w:bCs/>
          <w:rtl/>
        </w:rPr>
        <w:t xml:space="preserve"> חל על ארכיונים אלה</w:t>
      </w:r>
      <w:r w:rsidR="00CC6077">
        <w:rPr>
          <w:rFonts w:hint="cs"/>
          <w:b/>
          <w:bCs/>
          <w:rtl/>
        </w:rPr>
        <w:t>,</w:t>
      </w:r>
      <w:r>
        <w:rPr>
          <w:rFonts w:hint="cs"/>
          <w:b/>
          <w:bCs/>
          <w:rtl/>
        </w:rPr>
        <w:t xml:space="preserve"> הם פועלים</w:t>
      </w:r>
      <w:r w:rsidRPr="00404BE9">
        <w:rPr>
          <w:rFonts w:hint="cs"/>
          <w:b/>
          <w:bCs/>
          <w:rtl/>
        </w:rPr>
        <w:t xml:space="preserve"> בעניין </w:t>
      </w:r>
      <w:r w:rsidRPr="004566D9">
        <w:rPr>
          <w:rFonts w:hint="cs"/>
          <w:b/>
          <w:bCs/>
          <w:rtl/>
        </w:rPr>
        <w:t>אבטחתם</w:t>
      </w:r>
      <w:r w:rsidRPr="004566D9" w:rsidR="009171D8">
        <w:rPr>
          <w:rFonts w:hint="cs"/>
          <w:b/>
          <w:bCs/>
          <w:rtl/>
        </w:rPr>
        <w:t xml:space="preserve"> - אבטחה פיזית</w:t>
      </w:r>
      <w:r w:rsidRPr="004566D9" w:rsidR="003177B3">
        <w:rPr>
          <w:rFonts w:hint="cs"/>
          <w:b/>
          <w:bCs/>
          <w:rtl/>
        </w:rPr>
        <w:t>,</w:t>
      </w:r>
      <w:r w:rsidRPr="004566D9" w:rsidR="009171D8">
        <w:rPr>
          <w:rFonts w:hint="cs"/>
          <w:b/>
          <w:bCs/>
          <w:rtl/>
        </w:rPr>
        <w:t xml:space="preserve"> אבטחת מידע </w:t>
      </w:r>
      <w:r w:rsidRPr="004566D9" w:rsidR="003177B3">
        <w:rPr>
          <w:rFonts w:hint="cs"/>
          <w:b/>
          <w:bCs/>
          <w:rtl/>
        </w:rPr>
        <w:t xml:space="preserve">ומתן הרשאות הגישה לחומר </w:t>
      </w:r>
      <w:r w:rsidRPr="004566D9" w:rsidR="009171D8">
        <w:rPr>
          <w:rFonts w:hint="cs"/>
          <w:b/>
          <w:bCs/>
          <w:rtl/>
        </w:rPr>
        <w:t>-</w:t>
      </w:r>
      <w:r w:rsidRPr="004566D9">
        <w:rPr>
          <w:rFonts w:hint="cs"/>
          <w:b/>
          <w:bCs/>
          <w:rtl/>
        </w:rPr>
        <w:t xml:space="preserve"> ללא הנחיה של גורם ממלכתי מוסמך</w:t>
      </w:r>
      <w:r w:rsidRPr="004566D9">
        <w:rPr>
          <w:rFonts w:hint="cs"/>
          <w:rtl/>
        </w:rPr>
        <w:t>.</w:t>
      </w:r>
      <w:r w:rsidRPr="004C2AE6">
        <w:rPr>
          <w:rFonts w:hint="cs"/>
          <w:b/>
          <w:bCs/>
          <w:rtl/>
        </w:rPr>
        <w:t xml:space="preserve"> עקב כך החומרים המסווגים שבה</w:t>
      </w:r>
      <w:r w:rsidRPr="004C2AE6">
        <w:rPr>
          <w:rFonts w:hint="cs"/>
          <w:b/>
          <w:bCs/>
          <w:rtl/>
        </w:rPr>
        <w:t>ם נגישים לגורמים בלתי מוסמכים ועלולים אף להיות נגישים לגורמים עוינים.</w:t>
      </w:r>
      <w:r w:rsidRPr="004C2AE6" w:rsidR="005024AC">
        <w:rPr>
          <w:rFonts w:hint="cs"/>
          <w:b/>
          <w:bCs/>
          <w:rtl/>
        </w:rPr>
        <w:t xml:space="preserve"> </w:t>
      </w:r>
      <w:r w:rsidRPr="004C2AE6" w:rsidR="007A39DE">
        <w:rPr>
          <w:rFonts w:hint="cs"/>
          <w:b/>
          <w:bCs/>
          <w:rtl/>
        </w:rPr>
        <w:t xml:space="preserve">משמעות הדבר היא </w:t>
      </w:r>
      <w:r w:rsidRPr="004566D9" w:rsidR="007A39DE">
        <w:rPr>
          <w:rFonts w:hint="cs"/>
          <w:b/>
          <w:bCs/>
          <w:rtl/>
        </w:rPr>
        <w:t>ש</w:t>
      </w:r>
      <w:r w:rsidRPr="004566D9" w:rsidR="00CA3786">
        <w:rPr>
          <w:rFonts w:hint="cs"/>
          <w:b/>
          <w:bCs/>
          <w:rtl/>
        </w:rPr>
        <w:t>מידע מסווג</w:t>
      </w:r>
      <w:r w:rsidRPr="004566D9" w:rsidR="007A39DE">
        <w:rPr>
          <w:rFonts w:hint="cs"/>
          <w:b/>
          <w:bCs/>
          <w:rtl/>
        </w:rPr>
        <w:t>, שהושקעו מאמצים בהסתרת</w:t>
      </w:r>
      <w:r w:rsidRPr="004566D9" w:rsidR="00CA3786">
        <w:rPr>
          <w:rFonts w:hint="cs"/>
          <w:b/>
          <w:bCs/>
          <w:rtl/>
        </w:rPr>
        <w:t>ו</w:t>
      </w:r>
      <w:r w:rsidRPr="004566D9" w:rsidR="007A39DE">
        <w:rPr>
          <w:rFonts w:hint="cs"/>
          <w:b/>
          <w:bCs/>
          <w:rtl/>
        </w:rPr>
        <w:t>, עלול להגיע לידי האויב ובכך לסכן</w:t>
      </w:r>
      <w:r w:rsidRPr="004566D9" w:rsidR="005024AC">
        <w:rPr>
          <w:rFonts w:hint="cs"/>
          <w:b/>
          <w:bCs/>
          <w:rtl/>
        </w:rPr>
        <w:t xml:space="preserve"> את ביטחון המדינה.</w:t>
      </w:r>
      <w:r w:rsidRPr="004566D9" w:rsidR="00FC2B3C">
        <w:rPr>
          <w:rFonts w:hint="cs"/>
          <w:b/>
          <w:bCs/>
          <w:rtl/>
        </w:rPr>
        <w:t xml:space="preserve"> </w:t>
      </w:r>
    </w:p>
    <w:p w:rsidR="0098688E" w:rsidRPr="004566D9" w:rsidP="00FF6AB4" w14:paraId="28D2EF3E" w14:textId="77777777">
      <w:pPr>
        <w:pStyle w:val="a"/>
        <w:spacing w:line="269" w:lineRule="auto"/>
        <w:rPr>
          <w:rtl/>
        </w:rPr>
      </w:pPr>
    </w:p>
    <w:p w:rsidR="004A37F5" w:rsidP="00FF6AB4" w14:paraId="3F30D4E5" w14:textId="77777777">
      <w:pPr>
        <w:spacing w:line="269" w:lineRule="auto"/>
        <w:rPr>
          <w:b/>
          <w:bCs/>
          <w:rtl/>
        </w:rPr>
      </w:pPr>
      <w:r w:rsidRPr="004C2AE6">
        <w:rPr>
          <w:rFonts w:hint="cs"/>
          <w:b/>
          <w:bCs/>
          <w:rtl/>
        </w:rPr>
        <w:t xml:space="preserve">יודגש כי </w:t>
      </w:r>
      <w:r w:rsidRPr="004C2AE6" w:rsidR="004C4965">
        <w:rPr>
          <w:rFonts w:hint="cs"/>
          <w:b/>
          <w:bCs/>
          <w:rtl/>
        </w:rPr>
        <w:t xml:space="preserve">גודל </w:t>
      </w:r>
      <w:r w:rsidRPr="004C2AE6">
        <w:rPr>
          <w:rFonts w:hint="cs"/>
          <w:b/>
          <w:bCs/>
          <w:rtl/>
        </w:rPr>
        <w:t xml:space="preserve">הסיכון </w:t>
      </w:r>
      <w:r w:rsidRPr="004C2AE6" w:rsidR="00CC6077">
        <w:rPr>
          <w:rFonts w:hint="cs"/>
          <w:b/>
          <w:bCs/>
          <w:rtl/>
        </w:rPr>
        <w:t>הנובע ממצב זה אינו ידוע, משום שכאמור, ל</w:t>
      </w:r>
      <w:r w:rsidRPr="004C2AE6">
        <w:rPr>
          <w:rFonts w:hint="cs"/>
          <w:b/>
          <w:bCs/>
          <w:rtl/>
        </w:rPr>
        <w:t>פני הגנז אין</w:t>
      </w:r>
      <w:r w:rsidRPr="004C2AE6" w:rsidR="00A87C60">
        <w:rPr>
          <w:rFonts w:hint="cs"/>
          <w:b/>
          <w:bCs/>
          <w:rtl/>
        </w:rPr>
        <w:t xml:space="preserve"> </w:t>
      </w:r>
      <w:r w:rsidRPr="00B15F22">
        <w:rPr>
          <w:rFonts w:hint="cs"/>
          <w:b/>
          <w:bCs/>
          <w:rtl/>
        </w:rPr>
        <w:t xml:space="preserve">תמונת מצב מלאה לגבי כלל החומרים הארכיוניים, לרבות חומרים מסווגים, המצויים בארכיונים </w:t>
      </w:r>
      <w:r w:rsidRPr="00B15F22" w:rsidR="004C4965">
        <w:rPr>
          <w:rFonts w:hint="cs"/>
          <w:b/>
          <w:bCs/>
          <w:rtl/>
        </w:rPr>
        <w:t>אלה</w:t>
      </w:r>
      <w:r w:rsidRPr="00B15F22">
        <w:rPr>
          <w:rFonts w:hint="cs"/>
          <w:b/>
          <w:bCs/>
          <w:rtl/>
        </w:rPr>
        <w:t xml:space="preserve">. </w:t>
      </w:r>
      <w:r w:rsidRPr="00B15F22" w:rsidR="00A87C60">
        <w:rPr>
          <w:rFonts w:hint="cs"/>
          <w:b/>
          <w:bCs/>
          <w:rtl/>
        </w:rPr>
        <w:t>מן האמור עולה כי המצב הנוכחי טומן בחובו</w:t>
      </w:r>
      <w:r w:rsidRPr="00B15F22">
        <w:rPr>
          <w:rFonts w:hint="cs"/>
          <w:b/>
          <w:bCs/>
          <w:rtl/>
        </w:rPr>
        <w:t xml:space="preserve"> סיכון ממשי לחשיפת </w:t>
      </w:r>
      <w:r w:rsidRPr="004566D9" w:rsidR="00CA3786">
        <w:rPr>
          <w:rFonts w:hint="cs"/>
          <w:b/>
          <w:bCs/>
          <w:rtl/>
        </w:rPr>
        <w:t>מידע מסווג</w:t>
      </w:r>
      <w:r w:rsidRPr="004566D9">
        <w:rPr>
          <w:rFonts w:hint="cs"/>
          <w:b/>
          <w:bCs/>
          <w:rtl/>
        </w:rPr>
        <w:t>.</w:t>
      </w:r>
      <w:r w:rsidRPr="006C158D">
        <w:rPr>
          <w:rFonts w:hint="cs"/>
          <w:b/>
          <w:bCs/>
          <w:rtl/>
        </w:rPr>
        <w:t xml:space="preserve"> </w:t>
      </w:r>
    </w:p>
    <w:p w:rsidR="0098688E" w:rsidP="00FF6AB4" w14:paraId="4F6437F2" w14:textId="77777777">
      <w:pPr>
        <w:pStyle w:val="a"/>
        <w:spacing w:line="269" w:lineRule="auto"/>
        <w:rPr>
          <w:rtl/>
        </w:rPr>
      </w:pPr>
    </w:p>
    <w:p w:rsidR="004A37F5" w:rsidP="00FF6AB4" w14:paraId="52C32830" w14:textId="77777777">
      <w:pPr>
        <w:spacing w:line="269" w:lineRule="auto"/>
        <w:rPr>
          <w:b/>
          <w:bCs/>
          <w:rtl/>
        </w:rPr>
      </w:pPr>
      <w:r w:rsidRPr="009253DF">
        <w:rPr>
          <w:rFonts w:hint="cs"/>
          <w:b/>
          <w:bCs/>
          <w:rtl/>
        </w:rPr>
        <w:t xml:space="preserve">על שב"כ - האחראי </w:t>
      </w:r>
      <w:r w:rsidR="00C06805">
        <w:rPr>
          <w:rFonts w:hint="cs"/>
          <w:b/>
          <w:bCs/>
          <w:rtl/>
        </w:rPr>
        <w:t>ל</w:t>
      </w:r>
      <w:r w:rsidR="00AE38ED">
        <w:rPr>
          <w:rFonts w:hint="cs"/>
          <w:b/>
          <w:bCs/>
          <w:rtl/>
        </w:rPr>
        <w:t xml:space="preserve">שמירת הסוד במדינה - להוביל עבודת מטה </w:t>
      </w:r>
      <w:r w:rsidRPr="009253DF">
        <w:rPr>
          <w:rFonts w:hint="cs"/>
          <w:b/>
          <w:bCs/>
          <w:rtl/>
        </w:rPr>
        <w:t xml:space="preserve">בסוגיית הימצאות חומרים </w:t>
      </w:r>
      <w:r>
        <w:rPr>
          <w:rFonts w:hint="cs"/>
          <w:b/>
          <w:bCs/>
          <w:rtl/>
        </w:rPr>
        <w:t xml:space="preserve">ארכיוניים </w:t>
      </w:r>
      <w:r>
        <w:rPr>
          <w:rFonts w:hint="cs"/>
          <w:b/>
          <w:bCs/>
          <w:rtl/>
        </w:rPr>
        <w:t>מסווגים, לרבות של מוסדות המדינה</w:t>
      </w:r>
      <w:r w:rsidR="001D7BAB">
        <w:rPr>
          <w:rFonts w:hint="cs"/>
          <w:b/>
          <w:bCs/>
          <w:rtl/>
        </w:rPr>
        <w:t>,</w:t>
      </w:r>
      <w:r>
        <w:rPr>
          <w:rFonts w:hint="cs"/>
          <w:b/>
          <w:bCs/>
          <w:rtl/>
        </w:rPr>
        <w:t xml:space="preserve"> </w:t>
      </w:r>
      <w:r w:rsidRPr="009253DF">
        <w:rPr>
          <w:rFonts w:hint="cs"/>
          <w:b/>
          <w:bCs/>
          <w:rtl/>
        </w:rPr>
        <w:t>בארכיונים ציבוריים ופרטיים</w:t>
      </w:r>
      <w:r>
        <w:rPr>
          <w:rFonts w:hint="cs"/>
          <w:b/>
          <w:bCs/>
          <w:rtl/>
        </w:rPr>
        <w:t>,</w:t>
      </w:r>
      <w:r w:rsidRPr="009253DF">
        <w:rPr>
          <w:rFonts w:hint="cs"/>
          <w:b/>
          <w:bCs/>
          <w:rtl/>
        </w:rPr>
        <w:t xml:space="preserve"> </w:t>
      </w:r>
      <w:r w:rsidR="00E7198F">
        <w:rPr>
          <w:rFonts w:hint="cs"/>
          <w:b/>
          <w:bCs/>
          <w:rtl/>
        </w:rPr>
        <w:t>ולקבוע</w:t>
      </w:r>
      <w:r>
        <w:rPr>
          <w:rFonts w:hint="cs"/>
          <w:b/>
          <w:bCs/>
          <w:rtl/>
        </w:rPr>
        <w:t xml:space="preserve"> דרך פעולה לטיפול בבעיה זו</w:t>
      </w:r>
      <w:r w:rsidR="00E7198F">
        <w:rPr>
          <w:rFonts w:hint="cs"/>
          <w:b/>
          <w:bCs/>
          <w:rtl/>
        </w:rPr>
        <w:t>.</w:t>
      </w:r>
      <w:r>
        <w:rPr>
          <w:rFonts w:hint="cs"/>
          <w:b/>
          <w:bCs/>
          <w:rtl/>
        </w:rPr>
        <w:t xml:space="preserve"> </w:t>
      </w:r>
      <w:r w:rsidR="001D7BAB">
        <w:rPr>
          <w:rFonts w:hint="cs"/>
          <w:b/>
          <w:bCs/>
          <w:rtl/>
        </w:rPr>
        <w:t>על עבודת המטה להיעשות בשיתוף המשרד לביטחון הפנים,</w:t>
      </w:r>
      <w:r w:rsidRPr="009253DF" w:rsidR="001D7BAB">
        <w:rPr>
          <w:rFonts w:hint="cs"/>
          <w:b/>
          <w:bCs/>
          <w:rtl/>
        </w:rPr>
        <w:t xml:space="preserve"> האחראי </w:t>
      </w:r>
      <w:r w:rsidR="001D7BAB">
        <w:rPr>
          <w:rFonts w:hint="cs"/>
          <w:b/>
          <w:bCs/>
          <w:rtl/>
        </w:rPr>
        <w:t>על ה</w:t>
      </w:r>
      <w:r w:rsidRPr="009253DF" w:rsidR="001D7BAB">
        <w:rPr>
          <w:rFonts w:hint="cs"/>
          <w:b/>
          <w:bCs/>
          <w:rtl/>
        </w:rPr>
        <w:t xml:space="preserve">חוק להסדרת הביטחון, </w:t>
      </w:r>
      <w:r w:rsidR="001D7BAB">
        <w:rPr>
          <w:rFonts w:hint="cs"/>
          <w:b/>
          <w:bCs/>
          <w:rtl/>
        </w:rPr>
        <w:t>וכן בשיתוף הגנז, המלמ"ב</w:t>
      </w:r>
      <w:r w:rsidR="00E7198F">
        <w:rPr>
          <w:rFonts w:hint="cs"/>
          <w:b/>
          <w:bCs/>
          <w:rtl/>
        </w:rPr>
        <w:t>,</w:t>
      </w:r>
      <w:r w:rsidR="001D7BAB">
        <w:rPr>
          <w:rFonts w:hint="cs"/>
          <w:b/>
          <w:bCs/>
          <w:rtl/>
        </w:rPr>
        <w:t xml:space="preserve"> היועץ המשפטי לממשלה</w:t>
      </w:r>
      <w:r w:rsidRPr="009253DF" w:rsidR="001D7BAB">
        <w:rPr>
          <w:rFonts w:hint="cs"/>
          <w:b/>
          <w:bCs/>
          <w:rtl/>
        </w:rPr>
        <w:t xml:space="preserve"> </w:t>
      </w:r>
      <w:r w:rsidR="001D7BAB">
        <w:rPr>
          <w:rFonts w:hint="cs"/>
          <w:b/>
          <w:bCs/>
          <w:rtl/>
        </w:rPr>
        <w:t>וה</w:t>
      </w:r>
      <w:r w:rsidRPr="009253DF" w:rsidR="001D7BAB">
        <w:rPr>
          <w:rFonts w:hint="cs"/>
          <w:b/>
          <w:bCs/>
          <w:rtl/>
        </w:rPr>
        <w:t xml:space="preserve">גורמים </w:t>
      </w:r>
      <w:r w:rsidR="001D7BAB">
        <w:rPr>
          <w:rFonts w:hint="cs"/>
          <w:b/>
          <w:bCs/>
          <w:rtl/>
        </w:rPr>
        <w:t>ה</w:t>
      </w:r>
      <w:r w:rsidRPr="009253DF" w:rsidR="001D7BAB">
        <w:rPr>
          <w:rFonts w:hint="cs"/>
          <w:b/>
          <w:bCs/>
          <w:rtl/>
        </w:rPr>
        <w:t xml:space="preserve">משפטיים </w:t>
      </w:r>
      <w:r w:rsidR="001D7BAB">
        <w:rPr>
          <w:rFonts w:hint="cs"/>
          <w:b/>
          <w:bCs/>
          <w:rtl/>
        </w:rPr>
        <w:t>ה</w:t>
      </w:r>
      <w:r w:rsidRPr="009253DF" w:rsidR="001D7BAB">
        <w:rPr>
          <w:rFonts w:hint="cs"/>
          <w:b/>
          <w:bCs/>
          <w:rtl/>
        </w:rPr>
        <w:t>רלוונטיים</w:t>
      </w:r>
      <w:r w:rsidR="001D7BAB">
        <w:rPr>
          <w:rFonts w:hint="cs"/>
          <w:b/>
          <w:bCs/>
          <w:rtl/>
        </w:rPr>
        <w:t>.</w:t>
      </w:r>
    </w:p>
    <w:p w:rsidR="008B1937" w:rsidP="00FF6AB4" w14:paraId="23E99B25" w14:textId="77777777">
      <w:pPr>
        <w:spacing w:line="269" w:lineRule="auto"/>
        <w:rPr>
          <w:b/>
          <w:bCs/>
          <w:rtl/>
        </w:rPr>
      </w:pPr>
    </w:p>
    <w:p w:rsidR="004D1F4E" w:rsidP="00FF6AB4" w14:paraId="1E488577" w14:textId="77777777">
      <w:pPr>
        <w:pStyle w:val="Heading2"/>
        <w:tabs>
          <w:tab w:val="center" w:pos="3685"/>
        </w:tabs>
        <w:spacing w:before="0" w:line="269" w:lineRule="auto"/>
        <w:rPr>
          <w:rtl/>
        </w:rPr>
      </w:pPr>
    </w:p>
    <w:p w:rsidR="00475743" w:rsidP="00FF6AB4" w14:paraId="53F1AEE2" w14:textId="2769BB70">
      <w:pPr>
        <w:pStyle w:val="Heading2"/>
        <w:tabs>
          <w:tab w:val="center" w:pos="3685"/>
        </w:tabs>
        <w:spacing w:before="0" w:line="269" w:lineRule="auto"/>
        <w:rPr>
          <w:rtl/>
        </w:rPr>
      </w:pPr>
      <w:r w:rsidRPr="008B3B18">
        <w:rPr>
          <w:rFonts w:hint="eastAsia"/>
          <w:rtl/>
        </w:rPr>
        <w:t>פעילות</w:t>
      </w:r>
      <w:r w:rsidRPr="008B3B18">
        <w:rPr>
          <w:rtl/>
        </w:rPr>
        <w:t xml:space="preserve"> של </w:t>
      </w:r>
      <w:r w:rsidR="00CC6077">
        <w:rPr>
          <w:rFonts w:hint="cs"/>
          <w:rtl/>
        </w:rPr>
        <w:t>ה</w:t>
      </w:r>
      <w:r w:rsidRPr="008B3B18">
        <w:rPr>
          <w:rFonts w:hint="eastAsia"/>
          <w:rtl/>
        </w:rPr>
        <w:t>מלמ</w:t>
      </w:r>
      <w:r w:rsidRPr="008B3B18">
        <w:rPr>
          <w:rtl/>
        </w:rPr>
        <w:t>"ב</w:t>
      </w:r>
      <w:r>
        <w:rPr>
          <w:rFonts w:hint="cs"/>
          <w:rtl/>
        </w:rPr>
        <w:t xml:space="preserve"> </w:t>
      </w:r>
      <w:r w:rsidRPr="008B3B18">
        <w:rPr>
          <w:rtl/>
        </w:rPr>
        <w:t>בארכיונים</w:t>
      </w:r>
    </w:p>
    <w:p w:rsidR="00EE3D36" w:rsidP="00EE3D36" w14:paraId="79CF0923" w14:textId="77777777">
      <w:pPr>
        <w:pStyle w:val="a"/>
        <w:rPr>
          <w:rtl/>
        </w:rPr>
      </w:pPr>
    </w:p>
    <w:p w:rsidR="00982369" w:rsidP="00FF6AB4" w14:paraId="589F727B" w14:textId="77777777">
      <w:pPr>
        <w:pStyle w:val="Heading3"/>
        <w:spacing w:before="0" w:line="269" w:lineRule="auto"/>
        <w:rPr>
          <w:rtl/>
        </w:rPr>
      </w:pPr>
      <w:r>
        <w:rPr>
          <w:rFonts w:hint="cs"/>
          <w:rtl/>
        </w:rPr>
        <w:t xml:space="preserve">סמכות </w:t>
      </w:r>
      <w:r w:rsidR="00397624">
        <w:rPr>
          <w:rFonts w:hint="cs"/>
          <w:rtl/>
        </w:rPr>
        <w:t>ה</w:t>
      </w:r>
      <w:r>
        <w:rPr>
          <w:rFonts w:hint="cs"/>
          <w:rtl/>
        </w:rPr>
        <w:t>מלמ"ב לפעול בארכיונים ציבוריים ופרטיים</w:t>
      </w:r>
    </w:p>
    <w:p w:rsidR="00D230E8" w:rsidRPr="00D230E8" w:rsidP="00FF6AB4" w14:paraId="77F7C2C7" w14:textId="77777777">
      <w:pPr>
        <w:pStyle w:val="a"/>
        <w:spacing w:line="269" w:lineRule="auto"/>
        <w:rPr>
          <w:rtl/>
        </w:rPr>
      </w:pPr>
    </w:p>
    <w:p w:rsidR="00727F29" w:rsidP="00FF6AB4" w14:paraId="76F85449" w14:textId="77777777">
      <w:pPr>
        <w:spacing w:line="269" w:lineRule="auto"/>
        <w:rPr>
          <w:rtl/>
        </w:rPr>
      </w:pPr>
      <w:r>
        <w:rPr>
          <w:rFonts w:hint="cs"/>
          <w:rtl/>
        </w:rPr>
        <w:t xml:space="preserve">כאמור, </w:t>
      </w:r>
      <w:r w:rsidRPr="00EA267C" w:rsidR="00B03FF6">
        <w:rPr>
          <w:rFonts w:hint="cs"/>
          <w:rtl/>
        </w:rPr>
        <w:t>הגם שחומרים מסווגים מופקדים בארכיונים ציבוריים ופרטיים, ארכיונים אלו</w:t>
      </w:r>
      <w:r w:rsidRPr="00EA267C" w:rsidR="00B03FF6">
        <w:rPr>
          <w:rtl/>
        </w:rPr>
        <w:t xml:space="preserve"> </w:t>
      </w:r>
      <w:r w:rsidRPr="00EA267C" w:rsidR="00B03FF6">
        <w:rPr>
          <w:rFonts w:hint="cs"/>
          <w:rtl/>
        </w:rPr>
        <w:t>אינם</w:t>
      </w:r>
      <w:r w:rsidRPr="00EA267C" w:rsidR="00B03FF6">
        <w:rPr>
          <w:rtl/>
        </w:rPr>
        <w:t xml:space="preserve"> </w:t>
      </w:r>
      <w:r w:rsidRPr="00EA267C" w:rsidR="00B03FF6">
        <w:rPr>
          <w:rFonts w:hint="cs"/>
          <w:rtl/>
        </w:rPr>
        <w:t>מנויים</w:t>
      </w:r>
      <w:r w:rsidRPr="00EA267C" w:rsidR="00B03FF6">
        <w:rPr>
          <w:rtl/>
        </w:rPr>
        <w:t xml:space="preserve"> בתוספות לחוק להסדרת הביטחון, </w:t>
      </w:r>
      <w:r w:rsidR="00B03FF6">
        <w:rPr>
          <w:rFonts w:hint="cs"/>
          <w:rtl/>
        </w:rPr>
        <w:t xml:space="preserve">והוא אינו חל עליהם. משמעות הדבר היא שאין גורם </w:t>
      </w:r>
      <w:r w:rsidR="00C06805">
        <w:rPr>
          <w:rFonts w:hint="cs"/>
          <w:rtl/>
        </w:rPr>
        <w:t>ה</w:t>
      </w:r>
      <w:r w:rsidR="00B03FF6">
        <w:rPr>
          <w:rFonts w:hint="cs"/>
          <w:rtl/>
        </w:rPr>
        <w:t>מוסמך</w:t>
      </w:r>
      <w:r w:rsidR="00C06805">
        <w:rPr>
          <w:rFonts w:hint="cs"/>
          <w:rtl/>
        </w:rPr>
        <w:t xml:space="preserve"> על פי חוק</w:t>
      </w:r>
      <w:r w:rsidR="00B03FF6">
        <w:rPr>
          <w:rFonts w:hint="cs"/>
          <w:rtl/>
        </w:rPr>
        <w:t xml:space="preserve"> להנחות גופים אלה </w:t>
      </w:r>
      <w:r w:rsidR="00397624">
        <w:rPr>
          <w:rFonts w:hint="cs"/>
          <w:rtl/>
        </w:rPr>
        <w:t>בנוגע ל</w:t>
      </w:r>
      <w:r w:rsidR="00B03FF6">
        <w:rPr>
          <w:rFonts w:hint="cs"/>
          <w:rtl/>
        </w:rPr>
        <w:t xml:space="preserve">אבטחה פיזית </w:t>
      </w:r>
      <w:r w:rsidR="00397624">
        <w:rPr>
          <w:rFonts w:hint="cs"/>
          <w:rtl/>
        </w:rPr>
        <w:t>של החומרים המסווגים ול</w:t>
      </w:r>
      <w:r w:rsidR="00B03FF6">
        <w:rPr>
          <w:rFonts w:hint="cs"/>
          <w:rtl/>
        </w:rPr>
        <w:t xml:space="preserve">אבטחת המידע </w:t>
      </w:r>
      <w:r w:rsidR="00397624">
        <w:rPr>
          <w:rFonts w:hint="cs"/>
          <w:rtl/>
        </w:rPr>
        <w:t>המצוי בהם</w:t>
      </w:r>
      <w:r w:rsidR="00B03FF6">
        <w:rPr>
          <w:rFonts w:hint="cs"/>
          <w:rtl/>
        </w:rPr>
        <w:t>.</w:t>
      </w:r>
      <w:r w:rsidR="006B66E1">
        <w:rPr>
          <w:rFonts w:hint="cs"/>
          <w:rtl/>
        </w:rPr>
        <w:t xml:space="preserve"> בביקורת נמצא שבפועל </w:t>
      </w:r>
      <w:r w:rsidR="00111BDD">
        <w:rPr>
          <w:rFonts w:hint="cs"/>
          <w:rtl/>
        </w:rPr>
        <w:t>ה</w:t>
      </w:r>
      <w:r w:rsidR="006B66E1">
        <w:rPr>
          <w:rFonts w:hint="cs"/>
          <w:rtl/>
        </w:rPr>
        <w:t xml:space="preserve">מלמ"ב </w:t>
      </w:r>
      <w:r w:rsidR="00123E21">
        <w:rPr>
          <w:rFonts w:hint="cs"/>
          <w:rtl/>
        </w:rPr>
        <w:t xml:space="preserve">מבצע </w:t>
      </w:r>
      <w:r w:rsidR="005B3977">
        <w:rPr>
          <w:rFonts w:hint="cs"/>
          <w:rtl/>
        </w:rPr>
        <w:t>"</w:t>
      </w:r>
      <w:r w:rsidR="00123E21">
        <w:rPr>
          <w:rFonts w:hint="cs"/>
          <w:rtl/>
        </w:rPr>
        <w:t>בהרשאת גנז המדינה בעבר, פעילות אל מול ארכיונים ציבוריים וגם אל מול ארכיונים פרטיים וזא</w:t>
      </w:r>
      <w:r w:rsidR="006B66E1">
        <w:rPr>
          <w:rFonts w:hint="cs"/>
          <w:rtl/>
        </w:rPr>
        <w:t>ת משום הצורך להבטיח כי מסמכים [</w:t>
      </w:r>
      <w:r w:rsidR="00761E69">
        <w:rPr>
          <w:rFonts w:hint="cs"/>
          <w:rtl/>
        </w:rPr>
        <w:t>מסווגים</w:t>
      </w:r>
      <w:r w:rsidR="006B66E1">
        <w:rPr>
          <w:rFonts w:hint="cs"/>
          <w:rtl/>
        </w:rPr>
        <w:t>] לא יזלגו החוצה".</w:t>
      </w:r>
      <w:r w:rsidRPr="00EF0A40" w:rsidR="00EF0A40">
        <w:rPr>
          <w:rFonts w:hint="cs"/>
          <w:rtl/>
        </w:rPr>
        <w:t xml:space="preserve"> </w:t>
      </w:r>
      <w:r w:rsidR="00EF0A40">
        <w:rPr>
          <w:rFonts w:hint="cs"/>
          <w:rtl/>
        </w:rPr>
        <w:t xml:space="preserve">צוותים של </w:t>
      </w:r>
      <w:r w:rsidR="00397624">
        <w:rPr>
          <w:rFonts w:hint="cs"/>
          <w:rtl/>
        </w:rPr>
        <w:t>ה</w:t>
      </w:r>
      <w:r w:rsidR="00EF0A40">
        <w:rPr>
          <w:rFonts w:hint="cs"/>
          <w:rtl/>
        </w:rPr>
        <w:t>מלמ"ב שפעלו בארכיונים איתרו חומרים מסווגים רבים.</w:t>
      </w:r>
    </w:p>
    <w:p w:rsidR="0098688E" w:rsidP="00FF6AB4" w14:paraId="2FC6686F" w14:textId="77777777">
      <w:pPr>
        <w:pStyle w:val="a"/>
        <w:spacing w:line="269" w:lineRule="auto"/>
        <w:rPr>
          <w:rtl/>
        </w:rPr>
      </w:pPr>
    </w:p>
    <w:p w:rsidR="00084CF9" w:rsidP="00FF6AB4" w14:paraId="69A14429" w14:textId="77777777">
      <w:pPr>
        <w:spacing w:line="269" w:lineRule="auto"/>
        <w:rPr>
          <w:rtl/>
        </w:rPr>
      </w:pPr>
      <w:r>
        <w:rPr>
          <w:rFonts w:hint="cs"/>
          <w:rtl/>
        </w:rPr>
        <w:t xml:space="preserve">יצוין כי </w:t>
      </w:r>
      <w:r w:rsidR="004A37F5">
        <w:rPr>
          <w:rFonts w:hint="cs"/>
          <w:rtl/>
        </w:rPr>
        <w:t xml:space="preserve">המלמ"ב </w:t>
      </w:r>
      <w:r w:rsidR="006B66E1">
        <w:rPr>
          <w:rFonts w:hint="cs"/>
          <w:rtl/>
        </w:rPr>
        <w:t>הוא גוף ה</w:t>
      </w:r>
      <w:r w:rsidR="004A37F5">
        <w:rPr>
          <w:rFonts w:hint="cs"/>
          <w:rtl/>
        </w:rPr>
        <w:t xml:space="preserve">פועל מתוקף החוק להסדרת הביטחון והוא </w:t>
      </w:r>
      <w:r w:rsidR="00CC6077">
        <w:rPr>
          <w:rFonts w:hint="cs"/>
          <w:rtl/>
        </w:rPr>
        <w:t xml:space="preserve">הן </w:t>
      </w:r>
      <w:r w:rsidR="004A37F5">
        <w:rPr>
          <w:rFonts w:hint="cs"/>
          <w:rtl/>
        </w:rPr>
        <w:t>הממונה על הביטחון במשרד הביטחון ו</w:t>
      </w:r>
      <w:r w:rsidR="00CC6077">
        <w:rPr>
          <w:rFonts w:hint="cs"/>
          <w:rtl/>
        </w:rPr>
        <w:t xml:space="preserve">הן </w:t>
      </w:r>
      <w:r w:rsidR="004A37F5">
        <w:rPr>
          <w:rFonts w:hint="cs"/>
          <w:rtl/>
        </w:rPr>
        <w:t xml:space="preserve">הקצין המוסמך של משרד הביטחון ושל "מפעלי מערכת הביטחון", כפי </w:t>
      </w:r>
      <w:r w:rsidR="00397624">
        <w:rPr>
          <w:rFonts w:hint="cs"/>
          <w:rtl/>
        </w:rPr>
        <w:t xml:space="preserve">שהגדיר </w:t>
      </w:r>
      <w:r w:rsidR="004A37F5">
        <w:rPr>
          <w:rFonts w:hint="cs"/>
          <w:rtl/>
        </w:rPr>
        <w:t>בצו שר הביטחון</w:t>
      </w:r>
      <w:r>
        <w:rPr>
          <w:rStyle w:val="FootnoteReference"/>
          <w:rtl/>
        </w:rPr>
        <w:footnoteReference w:id="32"/>
      </w:r>
      <w:r w:rsidR="004A37F5">
        <w:rPr>
          <w:rFonts w:hint="cs"/>
          <w:rtl/>
        </w:rPr>
        <w:t xml:space="preserve">. </w:t>
      </w:r>
      <w:r w:rsidR="00CC6077">
        <w:rPr>
          <w:rFonts w:hint="cs"/>
          <w:rtl/>
        </w:rPr>
        <w:t>ה</w:t>
      </w:r>
      <w:r w:rsidRPr="008A09BD" w:rsidR="004A37F5">
        <w:rPr>
          <w:rFonts w:hint="cs"/>
          <w:rtl/>
        </w:rPr>
        <w:t xml:space="preserve">מלמ"ב </w:t>
      </w:r>
      <w:r w:rsidR="00397624">
        <w:rPr>
          <w:rFonts w:hint="cs"/>
          <w:rtl/>
        </w:rPr>
        <w:t>פועל</w:t>
      </w:r>
      <w:r w:rsidRPr="008A09BD" w:rsidR="00397624">
        <w:rPr>
          <w:rFonts w:hint="cs"/>
          <w:rtl/>
        </w:rPr>
        <w:t xml:space="preserve"> </w:t>
      </w:r>
      <w:r w:rsidR="00CC6077">
        <w:rPr>
          <w:rFonts w:hint="cs"/>
          <w:rtl/>
        </w:rPr>
        <w:t xml:space="preserve">בגופים אלה </w:t>
      </w:r>
      <w:r w:rsidR="00397624">
        <w:rPr>
          <w:rFonts w:hint="cs"/>
          <w:rtl/>
        </w:rPr>
        <w:t>על פי</w:t>
      </w:r>
      <w:r w:rsidRPr="008A09BD" w:rsidR="00397624">
        <w:rPr>
          <w:rFonts w:hint="cs"/>
          <w:rtl/>
        </w:rPr>
        <w:t xml:space="preserve"> </w:t>
      </w:r>
      <w:r w:rsidRPr="008A09BD" w:rsidR="004A37F5">
        <w:rPr>
          <w:rFonts w:hint="cs"/>
          <w:rtl/>
        </w:rPr>
        <w:t xml:space="preserve">האחריות </w:t>
      </w:r>
      <w:r w:rsidRPr="00412A6E" w:rsidR="004A37F5">
        <w:rPr>
          <w:rFonts w:hint="cs"/>
          <w:rtl/>
        </w:rPr>
        <w:t>המוטלת</w:t>
      </w:r>
      <w:r w:rsidRPr="00412A6E" w:rsidR="00666986">
        <w:rPr>
          <w:rFonts w:hint="cs"/>
          <w:rtl/>
        </w:rPr>
        <w:t xml:space="preserve"> עליו</w:t>
      </w:r>
      <w:r w:rsidRPr="00412A6E" w:rsidR="004A37F5">
        <w:rPr>
          <w:rFonts w:hint="cs"/>
          <w:rtl/>
        </w:rPr>
        <w:t xml:space="preserve"> </w:t>
      </w:r>
      <w:r w:rsidRPr="00412A6E" w:rsidR="00CC6077">
        <w:rPr>
          <w:rFonts w:hint="cs"/>
          <w:rtl/>
        </w:rPr>
        <w:t>בנוגע להנחיית</w:t>
      </w:r>
      <w:r w:rsidRPr="00412A6E" w:rsidR="004A37F5">
        <w:rPr>
          <w:rFonts w:hint="cs"/>
          <w:rtl/>
        </w:rPr>
        <w:t xml:space="preserve"> פעולות האבטחה הפיזית ואבטחת המידע, כולל הטיפול ב</w:t>
      </w:r>
      <w:r w:rsidRPr="00412A6E" w:rsidR="00306862">
        <w:rPr>
          <w:rFonts w:hint="cs"/>
          <w:rtl/>
        </w:rPr>
        <w:t xml:space="preserve">מניעת חשיפתם של </w:t>
      </w:r>
      <w:r w:rsidRPr="00412A6E" w:rsidR="004A37F5">
        <w:rPr>
          <w:rFonts w:hint="cs"/>
          <w:rtl/>
        </w:rPr>
        <w:t>מסמכים</w:t>
      </w:r>
      <w:r w:rsidRPr="008A09BD" w:rsidR="004A37F5">
        <w:rPr>
          <w:rFonts w:hint="cs"/>
          <w:rtl/>
        </w:rPr>
        <w:t xml:space="preserve"> מסווגים</w:t>
      </w:r>
      <w:r w:rsidR="00275B6B">
        <w:rPr>
          <w:rFonts w:hint="cs"/>
          <w:rtl/>
        </w:rPr>
        <w:t>.</w:t>
      </w:r>
    </w:p>
    <w:p w:rsidR="00C4066A" w:rsidP="00FF6AB4" w14:paraId="6AC0D0ED" w14:textId="77777777">
      <w:pPr>
        <w:pStyle w:val="a"/>
        <w:spacing w:line="269" w:lineRule="auto"/>
        <w:rPr>
          <w:rtl/>
        </w:rPr>
      </w:pPr>
    </w:p>
    <w:p w:rsidR="00B652DA" w:rsidRPr="005F7CE8" w:rsidP="00FF6AB4" w14:paraId="021C13DB" w14:textId="77777777">
      <w:pPr>
        <w:spacing w:line="269" w:lineRule="auto"/>
        <w:rPr>
          <w:rtl/>
        </w:rPr>
      </w:pPr>
      <w:r>
        <w:rPr>
          <w:rFonts w:hint="cs"/>
          <w:b/>
          <w:bCs/>
          <w:rtl/>
        </w:rPr>
        <w:t xml:space="preserve">יוצא </w:t>
      </w:r>
      <w:r w:rsidR="00CA17F5">
        <w:rPr>
          <w:rFonts w:hint="cs"/>
          <w:b/>
          <w:bCs/>
          <w:rtl/>
        </w:rPr>
        <w:t>א</w:t>
      </w:r>
      <w:r w:rsidR="00EB743E">
        <w:rPr>
          <w:rFonts w:hint="cs"/>
          <w:b/>
          <w:bCs/>
          <w:rtl/>
        </w:rPr>
        <w:t>פוא ש</w:t>
      </w:r>
      <w:r w:rsidR="006B66E1">
        <w:rPr>
          <w:rFonts w:hint="cs"/>
          <w:b/>
          <w:bCs/>
          <w:rtl/>
        </w:rPr>
        <w:t xml:space="preserve">פעילות </w:t>
      </w:r>
      <w:r w:rsidRPr="005F7CE8" w:rsidR="005C752C">
        <w:rPr>
          <w:rFonts w:hint="cs"/>
          <w:b/>
          <w:bCs/>
          <w:rtl/>
        </w:rPr>
        <w:t xml:space="preserve">המלמ"ב </w:t>
      </w:r>
      <w:r w:rsidR="006B66E1">
        <w:rPr>
          <w:rFonts w:hint="cs"/>
          <w:b/>
          <w:bCs/>
          <w:rtl/>
        </w:rPr>
        <w:t>בארכיונים הציבוריים והפרטיים</w:t>
      </w:r>
      <w:r w:rsidRPr="005F7CE8" w:rsidR="005C752C">
        <w:rPr>
          <w:rFonts w:hint="cs"/>
          <w:b/>
          <w:bCs/>
          <w:rtl/>
        </w:rPr>
        <w:t xml:space="preserve"> </w:t>
      </w:r>
      <w:r w:rsidRPr="005F7CE8" w:rsidR="00B44937">
        <w:rPr>
          <w:rFonts w:hint="cs"/>
          <w:b/>
          <w:bCs/>
          <w:rtl/>
        </w:rPr>
        <w:t>ל</w:t>
      </w:r>
      <w:r w:rsidR="00214441">
        <w:rPr>
          <w:rFonts w:hint="cs"/>
          <w:b/>
          <w:bCs/>
          <w:rtl/>
        </w:rPr>
        <w:t>מניעת חשיפת מידע שעלול לפגוע בביטחון המדינה</w:t>
      </w:r>
      <w:r w:rsidRPr="005F7CE8" w:rsidR="00294D6B">
        <w:rPr>
          <w:rFonts w:hint="cs"/>
          <w:b/>
          <w:bCs/>
          <w:rtl/>
        </w:rPr>
        <w:t xml:space="preserve"> </w:t>
      </w:r>
      <w:r w:rsidR="006B66E1">
        <w:rPr>
          <w:rFonts w:hint="cs"/>
          <w:b/>
          <w:bCs/>
          <w:rtl/>
        </w:rPr>
        <w:t xml:space="preserve">מתבצעת </w:t>
      </w:r>
      <w:r w:rsidRPr="005F7CE8" w:rsidR="005C752C">
        <w:rPr>
          <w:rFonts w:hint="cs"/>
          <w:b/>
          <w:bCs/>
          <w:rtl/>
        </w:rPr>
        <w:t>מ</w:t>
      </w:r>
      <w:r w:rsidRPr="005F7CE8" w:rsidR="00294D6B">
        <w:rPr>
          <w:rFonts w:hint="cs"/>
          <w:b/>
          <w:bCs/>
          <w:rtl/>
        </w:rPr>
        <w:t>תוקף</w:t>
      </w:r>
      <w:r w:rsidR="00397624">
        <w:rPr>
          <w:rFonts w:hint="cs"/>
          <w:b/>
          <w:bCs/>
          <w:rtl/>
        </w:rPr>
        <w:t xml:space="preserve"> </w:t>
      </w:r>
      <w:r w:rsidRPr="005F7CE8" w:rsidR="004E49D0">
        <w:rPr>
          <w:rFonts w:hint="cs"/>
          <w:b/>
          <w:bCs/>
          <w:rtl/>
        </w:rPr>
        <w:t>הרשאה של גנזי המדינה לשעבר וב</w:t>
      </w:r>
      <w:r w:rsidRPr="005F7CE8" w:rsidR="00294D6B">
        <w:rPr>
          <w:rFonts w:hint="cs"/>
          <w:b/>
          <w:bCs/>
          <w:rtl/>
        </w:rPr>
        <w:t>הסכמה</w:t>
      </w:r>
      <w:r w:rsidRPr="00336E13" w:rsidR="00294D6B">
        <w:rPr>
          <w:rFonts w:hint="cs"/>
          <w:b/>
          <w:bCs/>
          <w:rtl/>
        </w:rPr>
        <w:t xml:space="preserve"> של מנהל</w:t>
      </w:r>
      <w:r w:rsidRPr="00336E13" w:rsidR="004E49D0">
        <w:rPr>
          <w:rFonts w:hint="cs"/>
          <w:b/>
          <w:bCs/>
          <w:rtl/>
        </w:rPr>
        <w:t>י</w:t>
      </w:r>
      <w:r w:rsidRPr="00336E13" w:rsidR="00294D6B">
        <w:rPr>
          <w:rFonts w:hint="cs"/>
          <w:b/>
          <w:bCs/>
          <w:rtl/>
        </w:rPr>
        <w:t xml:space="preserve"> </w:t>
      </w:r>
      <w:r w:rsidRPr="00336E13" w:rsidR="004E49D0">
        <w:rPr>
          <w:rFonts w:hint="cs"/>
          <w:b/>
          <w:bCs/>
          <w:rtl/>
        </w:rPr>
        <w:t>ה</w:t>
      </w:r>
      <w:r w:rsidRPr="00336E13" w:rsidR="00294D6B">
        <w:rPr>
          <w:rFonts w:hint="cs"/>
          <w:b/>
          <w:bCs/>
          <w:rtl/>
        </w:rPr>
        <w:t>ארכיו</w:t>
      </w:r>
      <w:r w:rsidRPr="00336E13" w:rsidR="004E49D0">
        <w:rPr>
          <w:rFonts w:hint="cs"/>
          <w:b/>
          <w:bCs/>
          <w:rtl/>
        </w:rPr>
        <w:t>נים</w:t>
      </w:r>
      <w:r w:rsidR="0018109E">
        <w:rPr>
          <w:rFonts w:hint="cs"/>
          <w:b/>
          <w:bCs/>
          <w:rtl/>
        </w:rPr>
        <w:t xml:space="preserve">, אך אינה </w:t>
      </w:r>
      <w:r w:rsidR="007E7E83">
        <w:rPr>
          <w:rFonts w:hint="cs"/>
          <w:b/>
          <w:bCs/>
          <w:rtl/>
        </w:rPr>
        <w:t>מוסדרת בחקיקה</w:t>
      </w:r>
      <w:r w:rsidR="00A87C60">
        <w:rPr>
          <w:rFonts w:hint="cs"/>
          <w:b/>
          <w:bCs/>
          <w:rtl/>
        </w:rPr>
        <w:t>.</w:t>
      </w:r>
    </w:p>
    <w:p w:rsidR="006A4B3A" w:rsidP="00FF6AB4" w14:paraId="0A32606D" w14:textId="77777777">
      <w:pPr>
        <w:pStyle w:val="a"/>
        <w:spacing w:line="269" w:lineRule="auto"/>
        <w:rPr>
          <w:rtl/>
        </w:rPr>
      </w:pPr>
    </w:p>
    <w:p w:rsidR="00121E3F" w:rsidP="00FF6AB4" w14:paraId="49A9DAFD" w14:textId="77777777">
      <w:pPr>
        <w:spacing w:line="269" w:lineRule="auto"/>
        <w:rPr>
          <w:rtl/>
        </w:rPr>
      </w:pPr>
      <w:r>
        <w:rPr>
          <w:rFonts w:hint="cs"/>
          <w:rtl/>
        </w:rPr>
        <w:t xml:space="preserve">בפברואר 2010 </w:t>
      </w:r>
      <w:r w:rsidR="00792DD4">
        <w:rPr>
          <w:rFonts w:hint="cs"/>
          <w:rtl/>
        </w:rPr>
        <w:t>כתב</w:t>
      </w:r>
      <w:r w:rsidRPr="00522708">
        <w:rPr>
          <w:rFonts w:hint="cs"/>
          <w:rtl/>
        </w:rPr>
        <w:t xml:space="preserve"> הגנז </w:t>
      </w:r>
      <w:r>
        <w:rPr>
          <w:rFonts w:hint="cs"/>
          <w:rtl/>
        </w:rPr>
        <w:t>דאז</w:t>
      </w:r>
      <w:r w:rsidRPr="00522708">
        <w:rPr>
          <w:rFonts w:hint="cs"/>
          <w:rtl/>
        </w:rPr>
        <w:t xml:space="preserve"> </w:t>
      </w:r>
      <w:r w:rsidR="00792DD4">
        <w:rPr>
          <w:rFonts w:hint="cs"/>
          <w:rtl/>
        </w:rPr>
        <w:t xml:space="preserve">למנהלי ארכיונים כי </w:t>
      </w:r>
      <w:r w:rsidRPr="00522708">
        <w:rPr>
          <w:rFonts w:hint="cs"/>
          <w:rtl/>
        </w:rPr>
        <w:t xml:space="preserve">צוותי </w:t>
      </w:r>
      <w:r>
        <w:rPr>
          <w:rFonts w:hint="cs"/>
          <w:rtl/>
        </w:rPr>
        <w:t>ה</w:t>
      </w:r>
      <w:r w:rsidRPr="00522708">
        <w:rPr>
          <w:rFonts w:hint="cs"/>
          <w:rtl/>
        </w:rPr>
        <w:t xml:space="preserve">מלמ"ב </w:t>
      </w:r>
      <w:r w:rsidR="00792DD4">
        <w:rPr>
          <w:rFonts w:hint="cs"/>
          <w:rtl/>
        </w:rPr>
        <w:t>פועלים</w:t>
      </w:r>
      <w:r w:rsidRPr="00522708">
        <w:rPr>
          <w:rFonts w:hint="cs"/>
          <w:rtl/>
        </w:rPr>
        <w:t xml:space="preserve"> "מטעמי ובתיאום איתי" </w:t>
      </w:r>
      <w:r w:rsidR="00792DD4">
        <w:rPr>
          <w:rFonts w:hint="cs"/>
          <w:rtl/>
        </w:rPr>
        <w:t xml:space="preserve">לבדיקת </w:t>
      </w:r>
      <w:r w:rsidRPr="00522708">
        <w:rPr>
          <w:rFonts w:hint="cs"/>
          <w:rtl/>
        </w:rPr>
        <w:t>חומר</w:t>
      </w:r>
      <w:r>
        <w:rPr>
          <w:rFonts w:hint="cs"/>
          <w:rtl/>
        </w:rPr>
        <w:t>ים</w:t>
      </w:r>
      <w:r w:rsidRPr="00522708">
        <w:rPr>
          <w:rFonts w:hint="cs"/>
          <w:rtl/>
        </w:rPr>
        <w:t xml:space="preserve"> בארכיונים של "מוסדות וגופים ציבוריים"</w:t>
      </w:r>
      <w:r>
        <w:rPr>
          <w:rFonts w:hint="cs"/>
          <w:rtl/>
        </w:rPr>
        <w:t>. מטרת הבדיקה הייתה "למנוע חשיפה של</w:t>
      </w:r>
      <w:r>
        <w:rPr>
          <w:rFonts w:hint="cs"/>
          <w:rtl/>
        </w:rPr>
        <w:t xml:space="preserve"> מידע העשוי לפגוע בביטחון המדינה או בקשרי החוץ שלה ולייעץ למנהלי הארכיונים לגבי אפשרותם לחשוף מידע היסטורי על פעילות גופי </w:t>
      </w:r>
      <w:r>
        <w:rPr>
          <w:rFonts w:hint="cs"/>
          <w:rtl/>
        </w:rPr>
        <w:t>הממשל בישראל ובמערכת הביטחון"</w:t>
      </w:r>
      <w:r w:rsidRPr="00522708">
        <w:rPr>
          <w:rFonts w:hint="cs"/>
          <w:rtl/>
        </w:rPr>
        <w:t xml:space="preserve">. </w:t>
      </w:r>
      <w:r>
        <w:rPr>
          <w:rFonts w:hint="cs"/>
          <w:rtl/>
        </w:rPr>
        <w:t xml:space="preserve">גם </w:t>
      </w:r>
      <w:r w:rsidRPr="00522708">
        <w:rPr>
          <w:rFonts w:hint="cs"/>
          <w:rtl/>
        </w:rPr>
        <w:t xml:space="preserve">הגנז </w:t>
      </w:r>
      <w:r>
        <w:rPr>
          <w:rFonts w:hint="cs"/>
          <w:rtl/>
        </w:rPr>
        <w:t xml:space="preserve">שכיהן בתקופת הביקורת </w:t>
      </w:r>
      <w:r w:rsidR="00792DD4">
        <w:rPr>
          <w:rFonts w:hint="cs"/>
          <w:rtl/>
        </w:rPr>
        <w:t>הוציא מכתבים דומים</w:t>
      </w:r>
      <w:r w:rsidRPr="00522708">
        <w:rPr>
          <w:rFonts w:hint="cs"/>
          <w:rtl/>
        </w:rPr>
        <w:t>.</w:t>
      </w:r>
    </w:p>
    <w:p w:rsidR="0098688E" w:rsidP="00FF6AB4" w14:paraId="1442FEE2" w14:textId="77777777">
      <w:pPr>
        <w:pStyle w:val="a"/>
        <w:spacing w:line="269" w:lineRule="auto"/>
        <w:rPr>
          <w:rtl/>
        </w:rPr>
      </w:pPr>
    </w:p>
    <w:p w:rsidR="004F02A3" w:rsidP="00FF6AB4" w14:paraId="6938ECA1" w14:textId="77777777">
      <w:pPr>
        <w:spacing w:line="269" w:lineRule="auto"/>
        <w:rPr>
          <w:rtl/>
        </w:rPr>
      </w:pPr>
      <w:r w:rsidRPr="003077A7">
        <w:rPr>
          <w:rFonts w:hint="cs"/>
          <w:rtl/>
        </w:rPr>
        <w:t>בנובמבר 2017 כתב גנז המדינה דאז</w:t>
      </w:r>
      <w:r w:rsidR="006B0A7B">
        <w:rPr>
          <w:rFonts w:hint="cs"/>
          <w:rtl/>
        </w:rPr>
        <w:t xml:space="preserve"> </w:t>
      </w:r>
      <w:r w:rsidRPr="00C274B5">
        <w:rPr>
          <w:rFonts w:hint="cs"/>
          <w:rtl/>
        </w:rPr>
        <w:t xml:space="preserve">כי בקיץ 2011 "החתימו </w:t>
      </w:r>
      <w:r w:rsidRPr="00C274B5">
        <w:rPr>
          <w:rFonts w:hint="cs"/>
          <w:rtl/>
        </w:rPr>
        <w:t xml:space="preserve">אותי על מכתב שמסמיך את אנשי המלמ"ב [לפעול בארכיונים]", מאחר "שזה נוהל קיים, ושכך נהג קודמי". הגנז דאז ציין כי כמה שנים </w:t>
      </w:r>
      <w:r w:rsidR="002C3959">
        <w:rPr>
          <w:rFonts w:hint="cs"/>
          <w:rtl/>
        </w:rPr>
        <w:t>לאחר מכן</w:t>
      </w:r>
      <w:r w:rsidRPr="00C274B5">
        <w:rPr>
          <w:rFonts w:hint="cs"/>
          <w:rtl/>
        </w:rPr>
        <w:t xml:space="preserve"> גי</w:t>
      </w:r>
      <w:r w:rsidRPr="007F4C46">
        <w:rPr>
          <w:rFonts w:hint="cs"/>
          <w:rtl/>
        </w:rPr>
        <w:t xml:space="preserve">לה כי </w:t>
      </w:r>
      <w:r w:rsidR="00133FF5">
        <w:rPr>
          <w:rFonts w:hint="cs"/>
          <w:rtl/>
        </w:rPr>
        <w:t xml:space="preserve">החתימה על </w:t>
      </w:r>
      <w:r w:rsidR="00D07DE0">
        <w:rPr>
          <w:rFonts w:hint="cs"/>
          <w:rtl/>
        </w:rPr>
        <w:t>ייפוי הכוח לא הי</w:t>
      </w:r>
      <w:r w:rsidR="00133FF5">
        <w:rPr>
          <w:rFonts w:hint="cs"/>
          <w:rtl/>
        </w:rPr>
        <w:t>ית</w:t>
      </w:r>
      <w:r w:rsidR="00D07DE0">
        <w:rPr>
          <w:rFonts w:hint="cs"/>
          <w:rtl/>
        </w:rPr>
        <w:t xml:space="preserve">ה בסמכותו. </w:t>
      </w:r>
      <w:r w:rsidRPr="007F4C46">
        <w:rPr>
          <w:rFonts w:hint="cs"/>
          <w:rtl/>
        </w:rPr>
        <w:t>היועצת המשפטית של ארכיון המדינה כתבה למשרד מבקר המדינה בספטמבר 2018 כי לא ידוע לה</w:t>
      </w:r>
      <w:r w:rsidRPr="007F4C46">
        <w:rPr>
          <w:rFonts w:hint="cs"/>
          <w:rtl/>
        </w:rPr>
        <w:t xml:space="preserve"> שלמלמ"ב יש סמכות לפקח על חשיפת מסמכים ב</w:t>
      </w:r>
      <w:r w:rsidRPr="00717646">
        <w:rPr>
          <w:rFonts w:hint="cs"/>
          <w:rtl/>
        </w:rPr>
        <w:t>ארכיונים, וכי למיטב ידיעתה בעבר היו גנזים שהסמיכו את המלמ"ב לכך, אבל ללא בסיס חוקי ברור</w:t>
      </w:r>
      <w:r w:rsidR="00B03FF6">
        <w:rPr>
          <w:rFonts w:hint="cs"/>
          <w:rtl/>
        </w:rPr>
        <w:t>.</w:t>
      </w:r>
    </w:p>
    <w:p w:rsidR="00EF0A40" w:rsidP="00FF6AB4" w14:paraId="47DAD619" w14:textId="77777777">
      <w:pPr>
        <w:pStyle w:val="a"/>
        <w:spacing w:line="269" w:lineRule="auto"/>
        <w:rPr>
          <w:rtl/>
        </w:rPr>
      </w:pPr>
    </w:p>
    <w:p w:rsidR="00EA267C" w:rsidP="00FF6AB4" w14:paraId="31544F5B" w14:textId="77777777">
      <w:pPr>
        <w:spacing w:line="269" w:lineRule="auto"/>
        <w:rPr>
          <w:rtl/>
        </w:rPr>
      </w:pPr>
      <w:r>
        <w:rPr>
          <w:rFonts w:hint="cs"/>
          <w:rtl/>
        </w:rPr>
        <w:t xml:space="preserve">באוגוסט 2018 </w:t>
      </w:r>
      <w:r w:rsidRPr="00CB4C31">
        <w:rPr>
          <w:rFonts w:hint="cs"/>
          <w:rtl/>
        </w:rPr>
        <w:t xml:space="preserve">הנחה רה"ם את ראש המל"ל לקדם </w:t>
      </w:r>
      <w:r w:rsidR="002C3959">
        <w:rPr>
          <w:rFonts w:hint="cs"/>
          <w:rtl/>
        </w:rPr>
        <w:t>הסדרה של</w:t>
      </w:r>
      <w:r>
        <w:rPr>
          <w:rFonts w:hint="cs"/>
          <w:rtl/>
        </w:rPr>
        <w:t xml:space="preserve"> </w:t>
      </w:r>
      <w:r w:rsidRPr="00CB4C31">
        <w:rPr>
          <w:rFonts w:hint="cs"/>
          <w:rtl/>
        </w:rPr>
        <w:t xml:space="preserve">סמכויות </w:t>
      </w:r>
      <w:r>
        <w:rPr>
          <w:rFonts w:hint="cs"/>
          <w:rtl/>
        </w:rPr>
        <w:t>ה</w:t>
      </w:r>
      <w:r w:rsidRPr="00CB4C31">
        <w:rPr>
          <w:rFonts w:hint="cs"/>
          <w:rtl/>
        </w:rPr>
        <w:t xml:space="preserve">מלמ"ב </w:t>
      </w:r>
      <w:r>
        <w:rPr>
          <w:rFonts w:hint="cs"/>
          <w:rtl/>
        </w:rPr>
        <w:t xml:space="preserve">לגבי </w:t>
      </w:r>
      <w:r w:rsidRPr="00412A6E" w:rsidR="00306862">
        <w:rPr>
          <w:rFonts w:hint="cs"/>
          <w:rtl/>
        </w:rPr>
        <w:t xml:space="preserve">הטיפול במניעת חשיפתם של </w:t>
      </w:r>
      <w:r w:rsidRPr="00412A6E">
        <w:rPr>
          <w:rFonts w:hint="cs"/>
          <w:rtl/>
        </w:rPr>
        <w:t>חומרים</w:t>
      </w:r>
      <w:r>
        <w:rPr>
          <w:rFonts w:hint="cs"/>
          <w:rtl/>
        </w:rPr>
        <w:t xml:space="preserve"> מסווגים המצויים ב</w:t>
      </w:r>
      <w:r w:rsidRPr="00CB4C31">
        <w:rPr>
          <w:rFonts w:hint="cs"/>
          <w:rtl/>
        </w:rPr>
        <w:t>ארכיונים</w:t>
      </w:r>
      <w:r w:rsidRPr="00CB4C31">
        <w:rPr>
          <w:rFonts w:hint="cs"/>
          <w:rtl/>
        </w:rPr>
        <w:t xml:space="preserve"> הציבוריים והפרטיים.</w:t>
      </w:r>
      <w:r>
        <w:rPr>
          <w:rFonts w:hint="cs"/>
          <w:rtl/>
        </w:rPr>
        <w:t xml:space="preserve"> </w:t>
      </w:r>
      <w:r w:rsidR="00B03FF6">
        <w:rPr>
          <w:rFonts w:hint="cs"/>
          <w:rtl/>
        </w:rPr>
        <w:t xml:space="preserve">בדיון </w:t>
      </w:r>
      <w:r w:rsidR="002C3959">
        <w:rPr>
          <w:rFonts w:hint="cs"/>
          <w:rtl/>
        </w:rPr>
        <w:t>שהתקיים ב</w:t>
      </w:r>
      <w:r w:rsidR="00B03FF6">
        <w:rPr>
          <w:rFonts w:hint="cs"/>
          <w:rtl/>
        </w:rPr>
        <w:t xml:space="preserve">נובמבר 2018 </w:t>
      </w:r>
      <w:r w:rsidR="002C3959">
        <w:rPr>
          <w:rFonts w:hint="cs"/>
          <w:rtl/>
        </w:rPr>
        <w:t xml:space="preserve">צוין לפני </w:t>
      </w:r>
      <w:r w:rsidR="008D56F4">
        <w:rPr>
          <w:rFonts w:hint="cs"/>
          <w:rtl/>
        </w:rPr>
        <w:t xml:space="preserve">רה"ם </w:t>
      </w:r>
      <w:r w:rsidR="00B03FF6">
        <w:rPr>
          <w:rFonts w:hint="cs"/>
          <w:rtl/>
        </w:rPr>
        <w:t xml:space="preserve">כי פעילות המלמ"ב "מבוצעת מתוך רצונם הטוב של מנהלי הארכיונים ולא מתוך סמכות ישירה מכוח החוק אלא בדרך עקיפה, מכוח סמכות הגנז על הארכיונים הציבוריים. יש צורך לתת מענה חוקי למלמ"ב, כמו גם לשאר הגופים המנחים בחוק להסדרת הביטחון לעניין אבטחת מידע לפעול ע"מ להבטיח כי סודות המדינה עליהם הם אמונים </w:t>
      </w:r>
      <w:r w:rsidR="00C06805">
        <w:rPr>
          <w:rFonts w:hint="cs"/>
          <w:rtl/>
        </w:rPr>
        <w:t>[י]</w:t>
      </w:r>
      <w:r w:rsidR="00B03FF6">
        <w:rPr>
          <w:rFonts w:hint="cs"/>
          <w:rtl/>
        </w:rPr>
        <w:t>ישמרו"</w:t>
      </w:r>
      <w:r w:rsidR="009A3106">
        <w:rPr>
          <w:rFonts w:hint="cs"/>
          <w:rtl/>
        </w:rPr>
        <w:t>.</w:t>
      </w:r>
    </w:p>
    <w:p w:rsidR="0098688E" w:rsidP="00FF6AB4" w14:paraId="0A751A79" w14:textId="77777777">
      <w:pPr>
        <w:pStyle w:val="a"/>
        <w:spacing w:line="269" w:lineRule="auto"/>
        <w:rPr>
          <w:rtl/>
        </w:rPr>
      </w:pPr>
    </w:p>
    <w:p w:rsidR="00B003E0" w:rsidP="00FF6AB4" w14:paraId="49854137" w14:textId="77777777">
      <w:pPr>
        <w:spacing w:line="269" w:lineRule="auto"/>
        <w:rPr>
          <w:rtl/>
        </w:rPr>
      </w:pPr>
      <w:r>
        <w:rPr>
          <w:rFonts w:hint="cs"/>
          <w:rtl/>
        </w:rPr>
        <w:t>בעקבות זאת</w:t>
      </w:r>
      <w:r w:rsidR="00B03FF6">
        <w:rPr>
          <w:rFonts w:hint="cs"/>
          <w:rtl/>
        </w:rPr>
        <w:t xml:space="preserve"> התקיים בינואר 2019 דיון במל"ל בנושא "חוק הארכיונים - סמכויות מלמ"ב". בדיון סוכם כי משרד הביטחון יגיש בכתב "מיפוי של כלל הדרכים האפשריות למתן סמכות הנחיה ואכיפה למלמ"ב בהקשר של מסמכים מסווגים</w:t>
      </w:r>
      <w:r w:rsidR="00761E69">
        <w:rPr>
          <w:rFonts w:hint="cs"/>
          <w:rtl/>
        </w:rPr>
        <w:t>...</w:t>
      </w:r>
      <w:r w:rsidR="00B03FF6">
        <w:rPr>
          <w:rFonts w:hint="cs"/>
          <w:rtl/>
        </w:rPr>
        <w:t xml:space="preserve"> המצויים בארכיונים השונים</w:t>
      </w:r>
      <w:r w:rsidR="00846128">
        <w:rPr>
          <w:rFonts w:hint="cs"/>
          <w:rtl/>
        </w:rPr>
        <w:t>"</w:t>
      </w:r>
      <w:r w:rsidR="00B03FF6">
        <w:rPr>
          <w:rFonts w:hint="cs"/>
          <w:rtl/>
        </w:rPr>
        <w:t xml:space="preserve">. </w:t>
      </w:r>
    </w:p>
    <w:p w:rsidR="0098688E" w:rsidP="00FF6AB4" w14:paraId="1823A9BC" w14:textId="77777777">
      <w:pPr>
        <w:pStyle w:val="a"/>
        <w:spacing w:line="269" w:lineRule="auto"/>
        <w:rPr>
          <w:rtl/>
        </w:rPr>
      </w:pPr>
    </w:p>
    <w:p w:rsidR="00336E13" w:rsidP="00FF6AB4" w14:paraId="2B33411A" w14:textId="77777777">
      <w:pPr>
        <w:spacing w:line="269" w:lineRule="auto"/>
        <w:rPr>
          <w:rtl/>
        </w:rPr>
      </w:pPr>
      <w:r>
        <w:rPr>
          <w:rFonts w:hint="cs"/>
          <w:rtl/>
        </w:rPr>
        <w:t xml:space="preserve">בתגובתו </w:t>
      </w:r>
      <w:r w:rsidR="007E7E83">
        <w:rPr>
          <w:rFonts w:hint="cs"/>
          <w:rtl/>
        </w:rPr>
        <w:t xml:space="preserve">מיולי 2019 </w:t>
      </w:r>
      <w:r>
        <w:rPr>
          <w:rFonts w:hint="cs"/>
          <w:rtl/>
        </w:rPr>
        <w:t xml:space="preserve">על </w:t>
      </w:r>
      <w:r w:rsidR="007E7E83">
        <w:rPr>
          <w:rFonts w:hint="cs"/>
          <w:rtl/>
        </w:rPr>
        <w:t xml:space="preserve">טיוטת דוח הביקורת </w:t>
      </w:r>
      <w:r w:rsidR="009D5C98">
        <w:rPr>
          <w:rFonts w:hint="cs"/>
          <w:rtl/>
        </w:rPr>
        <w:t>מסר משרד רה"ם</w:t>
      </w:r>
      <w:r w:rsidR="007E7E83">
        <w:rPr>
          <w:rFonts w:hint="cs"/>
          <w:rtl/>
        </w:rPr>
        <w:t xml:space="preserve"> בשם המל"ל</w:t>
      </w:r>
      <w:r w:rsidR="00B03FF6">
        <w:rPr>
          <w:rFonts w:hint="cs"/>
          <w:rtl/>
        </w:rPr>
        <w:t xml:space="preserve"> כי </w:t>
      </w:r>
      <w:r w:rsidR="009D03F0">
        <w:rPr>
          <w:rFonts w:hint="cs"/>
          <w:rtl/>
        </w:rPr>
        <w:t>מדובר בנושא מורכב ששנים רבות לא נמצא הסדר מיטבי עבורו</w:t>
      </w:r>
      <w:r>
        <w:rPr>
          <w:rFonts w:hint="cs"/>
          <w:rtl/>
        </w:rPr>
        <w:t>,</w:t>
      </w:r>
      <w:r w:rsidR="009D03F0">
        <w:rPr>
          <w:rFonts w:hint="cs"/>
          <w:rtl/>
        </w:rPr>
        <w:t xml:space="preserve"> ולכן גם עבודת המטה בעניינו </w:t>
      </w:r>
      <w:r>
        <w:rPr>
          <w:rFonts w:hint="cs"/>
          <w:rtl/>
        </w:rPr>
        <w:t xml:space="preserve">נמשכת </w:t>
      </w:r>
      <w:r w:rsidR="009D03F0">
        <w:rPr>
          <w:rFonts w:hint="cs"/>
          <w:rtl/>
        </w:rPr>
        <w:t>זמן</w:t>
      </w:r>
      <w:r>
        <w:rPr>
          <w:rFonts w:hint="cs"/>
          <w:rtl/>
        </w:rPr>
        <w:t xml:space="preserve"> רב.</w:t>
      </w:r>
      <w:r w:rsidR="001662A3">
        <w:rPr>
          <w:rFonts w:hint="cs"/>
          <w:rtl/>
        </w:rPr>
        <w:t xml:space="preserve"> </w:t>
      </w:r>
      <w:r>
        <w:rPr>
          <w:rFonts w:hint="cs"/>
          <w:rtl/>
        </w:rPr>
        <w:t xml:space="preserve">משרד רה"ם הוסיף </w:t>
      </w:r>
      <w:r w:rsidR="001662A3">
        <w:rPr>
          <w:rFonts w:hint="cs"/>
          <w:rtl/>
        </w:rPr>
        <w:t>כי</w:t>
      </w:r>
      <w:r w:rsidR="009D03F0">
        <w:rPr>
          <w:rFonts w:hint="cs"/>
          <w:rtl/>
        </w:rPr>
        <w:t xml:space="preserve"> </w:t>
      </w:r>
      <w:r w:rsidR="00B03FF6">
        <w:rPr>
          <w:rFonts w:hint="cs"/>
          <w:rtl/>
        </w:rPr>
        <w:t>ה</w:t>
      </w:r>
      <w:r w:rsidR="007E7E83">
        <w:rPr>
          <w:rFonts w:hint="cs"/>
          <w:rtl/>
        </w:rPr>
        <w:t>מל"ל</w:t>
      </w:r>
      <w:r w:rsidR="00B03FF6">
        <w:rPr>
          <w:rFonts w:hint="cs"/>
          <w:rtl/>
        </w:rPr>
        <w:t xml:space="preserve"> ימשיך לפעול לשם יישום הנחיית רה"ם בהקדם האפשרי </w:t>
      </w:r>
      <w:r w:rsidR="00F1555B">
        <w:rPr>
          <w:rFonts w:hint="cs"/>
          <w:rtl/>
        </w:rPr>
        <w:t>ויבצע</w:t>
      </w:r>
      <w:r w:rsidR="00B03FF6">
        <w:rPr>
          <w:rFonts w:hint="cs"/>
          <w:rtl/>
        </w:rPr>
        <w:t xml:space="preserve"> עבודת מטה שתסדיר את האחריות לטיפול בחומרים המסווגים שבארכיונים הציבוריים והפרטיים. עם זאת, קידום הנושא תלוי </w:t>
      </w:r>
      <w:r>
        <w:rPr>
          <w:rFonts w:hint="cs"/>
          <w:rtl/>
        </w:rPr>
        <w:t xml:space="preserve">גם </w:t>
      </w:r>
      <w:r w:rsidR="00B03FF6">
        <w:rPr>
          <w:rFonts w:hint="cs"/>
          <w:rtl/>
        </w:rPr>
        <w:t xml:space="preserve">בגורמים </w:t>
      </w:r>
      <w:r>
        <w:rPr>
          <w:rFonts w:hint="cs"/>
          <w:rtl/>
        </w:rPr>
        <w:t>אחרים, שצריכים לשם כך לבצע</w:t>
      </w:r>
      <w:r w:rsidR="00B03FF6">
        <w:rPr>
          <w:rFonts w:hint="cs"/>
          <w:rtl/>
        </w:rPr>
        <w:t xml:space="preserve"> עבודת מטה מורכבת.</w:t>
      </w:r>
    </w:p>
    <w:p w:rsidR="0098688E" w:rsidP="00FF6AB4" w14:paraId="685557F0" w14:textId="77777777">
      <w:pPr>
        <w:pStyle w:val="a"/>
        <w:spacing w:line="269" w:lineRule="auto"/>
        <w:rPr>
          <w:rtl/>
        </w:rPr>
      </w:pPr>
    </w:p>
    <w:p w:rsidR="00645109" w:rsidRPr="00645109" w:rsidP="00FF6AB4" w14:paraId="2D1B75B2" w14:textId="77777777">
      <w:pPr>
        <w:spacing w:line="269" w:lineRule="auto"/>
        <w:rPr>
          <w:rtl/>
        </w:rPr>
      </w:pPr>
      <w:r w:rsidRPr="00645109">
        <w:rPr>
          <w:rFonts w:hint="cs"/>
          <w:rtl/>
        </w:rPr>
        <w:t xml:space="preserve">עוד מסר משרד רה"ם </w:t>
      </w:r>
      <w:r w:rsidRPr="00645109" w:rsidR="00BB5819">
        <w:rPr>
          <w:rFonts w:hint="cs"/>
          <w:rtl/>
        </w:rPr>
        <w:t>בתגובתו</w:t>
      </w:r>
      <w:r w:rsidRPr="00645109">
        <w:rPr>
          <w:rFonts w:hint="cs"/>
          <w:rtl/>
        </w:rPr>
        <w:t>,</w:t>
      </w:r>
      <w:r w:rsidRPr="00645109" w:rsidR="00BB5819">
        <w:rPr>
          <w:rFonts w:hint="cs"/>
          <w:rtl/>
        </w:rPr>
        <w:t xml:space="preserve"> בשם ארכיון המדינה, כי חוק הארכיונים מסמיך את הגנז לדרוש מכל אדם </w:t>
      </w:r>
      <w:r w:rsidR="002C3959">
        <w:rPr>
          <w:rFonts w:hint="cs"/>
          <w:rtl/>
        </w:rPr>
        <w:t xml:space="preserve">למסור לו </w:t>
      </w:r>
      <w:r w:rsidRPr="00645109" w:rsidR="00BB5819">
        <w:rPr>
          <w:rFonts w:hint="cs"/>
          <w:rtl/>
        </w:rPr>
        <w:t>ידיעות על חומר ארכיוני הנמצא בהחזקתו</w:t>
      </w:r>
      <w:r w:rsidR="00216772">
        <w:rPr>
          <w:rFonts w:hint="cs"/>
          <w:rtl/>
        </w:rPr>
        <w:t>. כמו כן נמסר כי בסמכות הגנז</w:t>
      </w:r>
      <w:r w:rsidRPr="00645109" w:rsidR="00BB5819">
        <w:rPr>
          <w:rFonts w:hint="cs"/>
          <w:rtl/>
        </w:rPr>
        <w:t xml:space="preserve"> להעתיק</w:t>
      </w:r>
      <w:r w:rsidR="002C3959">
        <w:rPr>
          <w:rFonts w:hint="cs"/>
          <w:rtl/>
        </w:rPr>
        <w:t xml:space="preserve"> חומר זה</w:t>
      </w:r>
      <w:r w:rsidR="00216772">
        <w:rPr>
          <w:rFonts w:hint="cs"/>
          <w:rtl/>
        </w:rPr>
        <w:t xml:space="preserve"> בהסכמת בעלי החומר הארכיוני</w:t>
      </w:r>
      <w:r w:rsidRPr="00645109" w:rsidR="00BB5819">
        <w:rPr>
          <w:rFonts w:hint="cs"/>
          <w:rtl/>
        </w:rPr>
        <w:t xml:space="preserve"> וכי הוא האציל סמכותו</w:t>
      </w:r>
      <w:r w:rsidR="002C3959">
        <w:rPr>
          <w:rFonts w:hint="cs"/>
          <w:rtl/>
        </w:rPr>
        <w:t xml:space="preserve"> זו</w:t>
      </w:r>
      <w:r w:rsidRPr="00645109" w:rsidR="00BB5819">
        <w:rPr>
          <w:rFonts w:hint="cs"/>
          <w:rtl/>
        </w:rPr>
        <w:t xml:space="preserve"> לנציגי </w:t>
      </w:r>
      <w:r w:rsidR="002C3959">
        <w:rPr>
          <w:rFonts w:hint="cs"/>
          <w:rtl/>
        </w:rPr>
        <w:t>ה</w:t>
      </w:r>
      <w:r w:rsidRPr="00645109" w:rsidR="00BB5819">
        <w:rPr>
          <w:rFonts w:hint="cs"/>
          <w:rtl/>
        </w:rPr>
        <w:t>מלמ"ב.</w:t>
      </w:r>
      <w:r w:rsidR="0043773A">
        <w:rPr>
          <w:rFonts w:hint="cs"/>
          <w:rtl/>
        </w:rPr>
        <w:t xml:space="preserve"> </w:t>
      </w:r>
    </w:p>
    <w:p w:rsidR="0098688E" w:rsidP="00FF6AB4" w14:paraId="117EE989" w14:textId="77777777">
      <w:pPr>
        <w:pStyle w:val="a"/>
        <w:spacing w:line="269" w:lineRule="auto"/>
        <w:rPr>
          <w:rtl/>
        </w:rPr>
      </w:pPr>
    </w:p>
    <w:p w:rsidR="00D52671" w:rsidP="00FF6AB4" w14:paraId="4CD1E544" w14:textId="77777777">
      <w:pPr>
        <w:spacing w:line="269" w:lineRule="auto"/>
        <w:rPr>
          <w:rtl/>
        </w:rPr>
      </w:pPr>
      <w:r>
        <w:rPr>
          <w:rFonts w:hint="cs"/>
          <w:rtl/>
        </w:rPr>
        <w:t xml:space="preserve">בתגובתו מיולי 2019 </w:t>
      </w:r>
      <w:r w:rsidR="00B77E31">
        <w:rPr>
          <w:rFonts w:hint="cs"/>
          <w:rtl/>
        </w:rPr>
        <w:t xml:space="preserve">על </w:t>
      </w:r>
      <w:r>
        <w:rPr>
          <w:rFonts w:hint="cs"/>
          <w:rtl/>
        </w:rPr>
        <w:t xml:space="preserve">טיוטת דוח הביקורת </w:t>
      </w:r>
      <w:r w:rsidR="009D5C98">
        <w:rPr>
          <w:rFonts w:hint="cs"/>
          <w:rtl/>
        </w:rPr>
        <w:t>מסר היועץ המשפטי למערכת הביטחון</w:t>
      </w:r>
      <w:r>
        <w:rPr>
          <w:rFonts w:hint="cs"/>
          <w:rtl/>
        </w:rPr>
        <w:t xml:space="preserve"> כי סעיף 9 לחוק הארכיונים (דרישת מידע על ידי הגנז מכל אדם)</w:t>
      </w:r>
      <w:r w:rsidR="00321FEC">
        <w:rPr>
          <w:rFonts w:hint="cs"/>
          <w:rtl/>
        </w:rPr>
        <w:t>,</w:t>
      </w:r>
      <w:r>
        <w:rPr>
          <w:rFonts w:hint="cs"/>
          <w:rtl/>
        </w:rPr>
        <w:t xml:space="preserve"> סעיף 113 לחוק העונשין (</w:t>
      </w:r>
      <w:r w:rsidR="00135F43">
        <w:rPr>
          <w:rFonts w:hint="cs"/>
          <w:rtl/>
        </w:rPr>
        <w:t xml:space="preserve">איסור החזקת ידיעה סודית ללא הרשאה), </w:t>
      </w:r>
      <w:r w:rsidR="0043773A">
        <w:rPr>
          <w:rFonts w:hint="cs"/>
          <w:rtl/>
        </w:rPr>
        <w:t>ו</w:t>
      </w:r>
      <w:r w:rsidR="00135F43">
        <w:rPr>
          <w:rFonts w:hint="cs"/>
          <w:rtl/>
        </w:rPr>
        <w:t xml:space="preserve">הסמכתו של </w:t>
      </w:r>
      <w:r w:rsidR="0043773A">
        <w:rPr>
          <w:rFonts w:hint="cs"/>
          <w:rtl/>
        </w:rPr>
        <w:t>ה</w:t>
      </w:r>
      <w:r w:rsidR="00135F43">
        <w:rPr>
          <w:rFonts w:hint="cs"/>
          <w:rtl/>
        </w:rPr>
        <w:t>מלמ"ב לשמירת הסוד במערכת הביטחון</w:t>
      </w:r>
      <w:r w:rsidR="00B77E31">
        <w:rPr>
          <w:rFonts w:hint="cs"/>
          <w:rtl/>
        </w:rPr>
        <w:t xml:space="preserve"> - החיבור של כל אלה </w:t>
      </w:r>
      <w:r w:rsidR="00135F43">
        <w:rPr>
          <w:rFonts w:hint="cs"/>
          <w:rtl/>
        </w:rPr>
        <w:t xml:space="preserve">מאפשר </w:t>
      </w:r>
      <w:r w:rsidR="00B77E31">
        <w:rPr>
          <w:rFonts w:hint="cs"/>
          <w:rtl/>
        </w:rPr>
        <w:t>להסמיך את ה</w:t>
      </w:r>
      <w:r w:rsidR="00135F43">
        <w:rPr>
          <w:rFonts w:hint="cs"/>
          <w:rtl/>
        </w:rPr>
        <w:t>מלמ"ב לפעול מול ארכיונים פרטיים</w:t>
      </w:r>
      <w:r w:rsidR="00846128">
        <w:rPr>
          <w:rFonts w:hint="cs"/>
          <w:rtl/>
        </w:rPr>
        <w:t>,</w:t>
      </w:r>
      <w:r w:rsidR="00135F43">
        <w:rPr>
          <w:rFonts w:hint="cs"/>
          <w:rtl/>
        </w:rPr>
        <w:t xml:space="preserve"> כל עוד הדבר נעשה בהסכמתם. על בסיס זה הושתתה ההסמכה שניתנה מהגנז </w:t>
      </w:r>
      <w:r w:rsidR="00E3020C">
        <w:rPr>
          <w:rFonts w:hint="cs"/>
          <w:rtl/>
        </w:rPr>
        <w:t xml:space="preserve">ואשר </w:t>
      </w:r>
      <w:r w:rsidR="00135F43">
        <w:rPr>
          <w:rFonts w:hint="cs"/>
          <w:rtl/>
        </w:rPr>
        <w:t>נבחנה משפטית טרם ניתנה. עוד הוסיף היועץ המשפטי, כי "אין בכך כדי לייתר את העבודה שהוטלה על המל"ל לקידום של הסדר חדש ומשופר לעניין זה".</w:t>
      </w:r>
    </w:p>
    <w:p w:rsidR="0098688E" w:rsidP="00FF6AB4" w14:paraId="2B5539E5" w14:textId="77777777">
      <w:pPr>
        <w:pStyle w:val="a"/>
        <w:spacing w:line="269" w:lineRule="auto"/>
        <w:rPr>
          <w:rtl/>
        </w:rPr>
      </w:pPr>
    </w:p>
    <w:p w:rsidR="00100D6E" w:rsidP="00FF6AB4" w14:paraId="7F9AD802" w14:textId="77777777">
      <w:pPr>
        <w:spacing w:line="269" w:lineRule="auto"/>
        <w:rPr>
          <w:rtl/>
        </w:rPr>
      </w:pPr>
      <w:r>
        <w:rPr>
          <w:rFonts w:hint="cs"/>
          <w:rtl/>
        </w:rPr>
        <w:t xml:space="preserve">בתגובתו </w:t>
      </w:r>
      <w:r w:rsidR="00B003E0">
        <w:rPr>
          <w:rFonts w:hint="cs"/>
          <w:rtl/>
        </w:rPr>
        <w:t xml:space="preserve">מיוני 2019 </w:t>
      </w:r>
      <w:r>
        <w:rPr>
          <w:rFonts w:hint="cs"/>
          <w:rtl/>
        </w:rPr>
        <w:t xml:space="preserve">על </w:t>
      </w:r>
      <w:r w:rsidR="009D5C98">
        <w:rPr>
          <w:rFonts w:hint="cs"/>
          <w:rtl/>
        </w:rPr>
        <w:t>טיוטת דוח הביקורת מסר המלמ</w:t>
      </w:r>
      <w:r w:rsidR="009D5C98">
        <w:rPr>
          <w:rtl/>
        </w:rPr>
        <w:t>"</w:t>
      </w:r>
      <w:r w:rsidR="009D5C98">
        <w:rPr>
          <w:rFonts w:hint="cs"/>
          <w:rtl/>
        </w:rPr>
        <w:t xml:space="preserve">ב </w:t>
      </w:r>
      <w:r w:rsidR="00B03FF6">
        <w:rPr>
          <w:rFonts w:hint="cs"/>
          <w:rtl/>
        </w:rPr>
        <w:t xml:space="preserve">כי </w:t>
      </w:r>
      <w:r w:rsidR="00BB5819">
        <w:rPr>
          <w:rFonts w:hint="cs"/>
          <w:rtl/>
        </w:rPr>
        <w:t xml:space="preserve">ללא פעילותו בארכיונים היה נגרם נזק ממשי לביטחון המדינה, וכי הוא פועל בארכיונים בתיאום מלא עם גנזי המדינה. עם זאת, מקובל על </w:t>
      </w:r>
      <w:r w:rsidR="00F1555B">
        <w:rPr>
          <w:rFonts w:hint="cs"/>
          <w:rtl/>
        </w:rPr>
        <w:t>ה</w:t>
      </w:r>
      <w:r w:rsidR="00BB5819">
        <w:rPr>
          <w:rFonts w:hint="cs"/>
          <w:rtl/>
        </w:rPr>
        <w:t>מלמ"ב כי נדרש להסדיר באופן מלא את סמכויות</w:t>
      </w:r>
      <w:r>
        <w:rPr>
          <w:rFonts w:hint="cs"/>
          <w:rtl/>
        </w:rPr>
        <w:t>יו</w:t>
      </w:r>
      <w:r w:rsidR="00BB5819">
        <w:rPr>
          <w:rFonts w:hint="cs"/>
          <w:rtl/>
        </w:rPr>
        <w:t xml:space="preserve"> לפעול בארכיונים ציבוריים וארכיונים פרטיים.</w:t>
      </w:r>
    </w:p>
    <w:p w:rsidR="0098688E" w:rsidP="00FF6AB4" w14:paraId="725DD26A" w14:textId="77777777">
      <w:pPr>
        <w:pStyle w:val="a"/>
        <w:spacing w:line="269" w:lineRule="auto"/>
        <w:rPr>
          <w:rtl/>
        </w:rPr>
      </w:pPr>
    </w:p>
    <w:p w:rsidR="00F61735" w:rsidP="00FF6AB4" w14:paraId="145E18EF" w14:textId="77777777">
      <w:pPr>
        <w:spacing w:line="269" w:lineRule="auto"/>
        <w:rPr>
          <w:rtl/>
        </w:rPr>
      </w:pPr>
      <w:r w:rsidRPr="00C36363">
        <w:rPr>
          <w:rFonts w:hint="cs"/>
          <w:rtl/>
        </w:rPr>
        <w:t xml:space="preserve">בתגובתו </w:t>
      </w:r>
      <w:r w:rsidRPr="00876FBF" w:rsidR="004170DC">
        <w:rPr>
          <w:rFonts w:hint="cs"/>
          <w:rtl/>
        </w:rPr>
        <w:t xml:space="preserve">מיוני 2019 </w:t>
      </w:r>
      <w:r>
        <w:rPr>
          <w:rFonts w:hint="cs"/>
          <w:rtl/>
        </w:rPr>
        <w:t xml:space="preserve">על </w:t>
      </w:r>
      <w:r w:rsidRPr="00876FBF" w:rsidR="00386771">
        <w:rPr>
          <w:rFonts w:hint="cs"/>
          <w:rtl/>
        </w:rPr>
        <w:t>טיוטת דוח</w:t>
      </w:r>
      <w:r w:rsidRPr="00876FBF" w:rsidR="004170DC">
        <w:rPr>
          <w:rFonts w:hint="cs"/>
          <w:rtl/>
        </w:rPr>
        <w:t xml:space="preserve"> הביקורת מסר </w:t>
      </w:r>
      <w:r w:rsidR="00D40F26">
        <w:rPr>
          <w:rFonts w:hint="cs"/>
          <w:rtl/>
        </w:rPr>
        <w:t>אגף המודיעין בצה"ל</w:t>
      </w:r>
      <w:r w:rsidRPr="00876FBF" w:rsidR="004170DC">
        <w:rPr>
          <w:rFonts w:hint="cs"/>
          <w:rtl/>
        </w:rPr>
        <w:t xml:space="preserve"> כי </w:t>
      </w:r>
      <w:r w:rsidRPr="00876FBF" w:rsidR="00386771">
        <w:rPr>
          <w:rFonts w:hint="cs"/>
          <w:rtl/>
        </w:rPr>
        <w:t>הוא תומך בהסדרת סמכויות מלמ"ב בעניין זה</w:t>
      </w:r>
      <w:r w:rsidR="00F1555B">
        <w:rPr>
          <w:rFonts w:hint="cs"/>
          <w:rtl/>
        </w:rPr>
        <w:t>,</w:t>
      </w:r>
      <w:r w:rsidRPr="00876FBF" w:rsidR="00386771">
        <w:rPr>
          <w:rFonts w:hint="cs"/>
          <w:rtl/>
        </w:rPr>
        <w:t xml:space="preserve"> וכי </w:t>
      </w:r>
      <w:r w:rsidRPr="00876FBF" w:rsidR="004170DC">
        <w:rPr>
          <w:rFonts w:hint="cs"/>
          <w:rtl/>
        </w:rPr>
        <w:t xml:space="preserve">כל עוד סמכויות </w:t>
      </w:r>
      <w:r w:rsidRPr="00641DC9" w:rsidR="00671D51">
        <w:rPr>
          <w:rFonts w:hint="cs"/>
          <w:rtl/>
        </w:rPr>
        <w:t>המלמ</w:t>
      </w:r>
      <w:r w:rsidRPr="00641DC9" w:rsidR="00671D51">
        <w:rPr>
          <w:rtl/>
        </w:rPr>
        <w:t>"</w:t>
      </w:r>
      <w:r w:rsidRPr="00641DC9" w:rsidR="00671D51">
        <w:rPr>
          <w:rFonts w:hint="cs"/>
          <w:rtl/>
        </w:rPr>
        <w:t>ב</w:t>
      </w:r>
      <w:r w:rsidRPr="00641DC9" w:rsidR="004170DC">
        <w:rPr>
          <w:rFonts w:hint="cs"/>
          <w:rtl/>
        </w:rPr>
        <w:t xml:space="preserve"> לא יוסדרו הדבר יפגע בסוד הצה"לי</w:t>
      </w:r>
      <w:r w:rsidRPr="00641DC9" w:rsidR="00386771">
        <w:rPr>
          <w:rFonts w:hint="cs"/>
          <w:rtl/>
        </w:rPr>
        <w:t>.</w:t>
      </w:r>
    </w:p>
    <w:p w:rsidR="0098688E" w:rsidP="00FF6AB4" w14:paraId="78EF3601" w14:textId="77777777">
      <w:pPr>
        <w:pStyle w:val="a"/>
        <w:spacing w:line="269" w:lineRule="auto"/>
        <w:rPr>
          <w:rtl/>
        </w:rPr>
      </w:pPr>
    </w:p>
    <w:p w:rsidR="00D00DBE" w:rsidRPr="009601B6" w:rsidP="00FF6AB4" w14:paraId="0BF7B283" w14:textId="77777777">
      <w:pPr>
        <w:spacing w:line="269" w:lineRule="auto"/>
        <w:rPr>
          <w:b/>
          <w:bCs/>
          <w:rtl/>
        </w:rPr>
      </w:pPr>
      <w:r w:rsidRPr="00641DC9">
        <w:rPr>
          <w:rFonts w:hint="cs"/>
          <w:b/>
          <w:bCs/>
          <w:rtl/>
        </w:rPr>
        <w:t xml:space="preserve">משרד מבקר המדינה </w:t>
      </w:r>
      <w:r w:rsidR="008335C1">
        <w:rPr>
          <w:rFonts w:hint="cs"/>
          <w:b/>
          <w:bCs/>
          <w:rtl/>
        </w:rPr>
        <w:t>מ</w:t>
      </w:r>
      <w:r w:rsidRPr="00641DC9">
        <w:rPr>
          <w:rFonts w:hint="cs"/>
          <w:b/>
          <w:bCs/>
          <w:rtl/>
        </w:rPr>
        <w:t xml:space="preserve">ציין לחיוב את הפעילות של המלמ"ב למניעת דליפתם של </w:t>
      </w:r>
      <w:r w:rsidRPr="003A6818" w:rsidR="00CB61FD">
        <w:rPr>
          <w:rFonts w:hint="cs"/>
          <w:b/>
          <w:bCs/>
          <w:rtl/>
        </w:rPr>
        <w:t>חומרים מסווגים</w:t>
      </w:r>
      <w:r w:rsidRPr="003A6818">
        <w:rPr>
          <w:rFonts w:hint="cs"/>
          <w:b/>
          <w:bCs/>
          <w:rtl/>
        </w:rPr>
        <w:t xml:space="preserve"> המצויים בארכיונים השונים, </w:t>
      </w:r>
      <w:r w:rsidRPr="003A6818" w:rsidR="00B77E31">
        <w:rPr>
          <w:rFonts w:hint="cs"/>
          <w:b/>
          <w:bCs/>
          <w:rtl/>
        </w:rPr>
        <w:t xml:space="preserve">ובייחוד </w:t>
      </w:r>
      <w:r w:rsidRPr="003A6818">
        <w:rPr>
          <w:rFonts w:hint="cs"/>
          <w:b/>
          <w:bCs/>
          <w:rtl/>
        </w:rPr>
        <w:t xml:space="preserve">בארכיונים הציבוריים ובארכיונים הפרטיים, נוכח מציאות שבה אין גורם מקצועי </w:t>
      </w:r>
      <w:r w:rsidRPr="00AB22D4">
        <w:rPr>
          <w:rFonts w:hint="cs"/>
          <w:b/>
          <w:bCs/>
          <w:rtl/>
        </w:rPr>
        <w:t>המוסמך על פי חוק לעשות כן</w:t>
      </w:r>
      <w:r w:rsidRPr="00AB22D4">
        <w:rPr>
          <w:rFonts w:hint="cs"/>
          <w:rtl/>
        </w:rPr>
        <w:t>.</w:t>
      </w:r>
      <w:r w:rsidRPr="00D978C2">
        <w:rPr>
          <w:rFonts w:hint="cs"/>
          <w:b/>
          <w:bCs/>
          <w:rtl/>
        </w:rPr>
        <w:t xml:space="preserve"> עם זאת, משרד מבקר המדינה מעיר כי </w:t>
      </w:r>
      <w:r w:rsidRPr="00483F73" w:rsidR="000E6D63">
        <w:rPr>
          <w:rFonts w:hint="cs"/>
          <w:b/>
          <w:bCs/>
          <w:rtl/>
        </w:rPr>
        <w:t>הסמכות לבצע פעילות זו אינה מוסדרת בחוק</w:t>
      </w:r>
      <w:r w:rsidRPr="00483F73" w:rsidR="00B77E31">
        <w:rPr>
          <w:rFonts w:hint="cs"/>
          <w:b/>
          <w:bCs/>
          <w:rtl/>
        </w:rPr>
        <w:t>,</w:t>
      </w:r>
      <w:r w:rsidRPr="00483F73" w:rsidR="000E6D63">
        <w:rPr>
          <w:rFonts w:hint="cs"/>
          <w:b/>
          <w:bCs/>
          <w:rtl/>
        </w:rPr>
        <w:t xml:space="preserve"> </w:t>
      </w:r>
      <w:r w:rsidRPr="00483F73" w:rsidR="00B77E31">
        <w:rPr>
          <w:rFonts w:hint="cs"/>
          <w:b/>
          <w:bCs/>
          <w:rtl/>
        </w:rPr>
        <w:t>וה</w:t>
      </w:r>
      <w:r w:rsidRPr="00483F73" w:rsidR="002E724C">
        <w:rPr>
          <w:rFonts w:hint="cs"/>
          <w:b/>
          <w:bCs/>
          <w:rtl/>
        </w:rPr>
        <w:t xml:space="preserve">פעולות </w:t>
      </w:r>
      <w:r w:rsidRPr="004566D9" w:rsidR="005738F5">
        <w:rPr>
          <w:rFonts w:hint="cs"/>
          <w:b/>
          <w:bCs/>
          <w:rtl/>
        </w:rPr>
        <w:t xml:space="preserve">שהמלמ"ב </w:t>
      </w:r>
      <w:r w:rsidRPr="004566D9" w:rsidR="00B77E31">
        <w:rPr>
          <w:rFonts w:hint="cs"/>
          <w:b/>
          <w:bCs/>
          <w:rtl/>
        </w:rPr>
        <w:t xml:space="preserve">מבצע להקטנת הסיכון לדליפת </w:t>
      </w:r>
      <w:r w:rsidRPr="003A6818" w:rsidR="00553952">
        <w:rPr>
          <w:rFonts w:hint="cs"/>
          <w:b/>
          <w:bCs/>
          <w:rtl/>
        </w:rPr>
        <w:t>מידע מסווג</w:t>
      </w:r>
      <w:r w:rsidRPr="003A6818" w:rsidR="00B77E31">
        <w:rPr>
          <w:rFonts w:hint="cs"/>
          <w:b/>
          <w:bCs/>
          <w:rtl/>
        </w:rPr>
        <w:t xml:space="preserve"> תלויות</w:t>
      </w:r>
      <w:r w:rsidRPr="003A6818" w:rsidR="002E724C">
        <w:rPr>
          <w:rFonts w:hint="cs"/>
          <w:b/>
          <w:bCs/>
          <w:rtl/>
        </w:rPr>
        <w:t xml:space="preserve"> </w:t>
      </w:r>
      <w:r w:rsidRPr="003A6818" w:rsidR="000E6D63">
        <w:rPr>
          <w:rFonts w:hint="cs"/>
          <w:b/>
          <w:bCs/>
          <w:rtl/>
        </w:rPr>
        <w:t>בהסמכת</w:t>
      </w:r>
      <w:r w:rsidRPr="00B44E7A" w:rsidR="000E6D63">
        <w:rPr>
          <w:rFonts w:hint="cs"/>
          <w:b/>
          <w:bCs/>
          <w:rtl/>
        </w:rPr>
        <w:t xml:space="preserve"> הגנז ובהסכמתם של מנהלי הארכיונים</w:t>
      </w:r>
      <w:r w:rsidRPr="00B44E7A" w:rsidR="002E724C">
        <w:rPr>
          <w:rFonts w:hint="cs"/>
          <w:b/>
          <w:bCs/>
          <w:rtl/>
        </w:rPr>
        <w:t>.</w:t>
      </w:r>
      <w:r w:rsidRPr="00E62E12" w:rsidR="00E62E12">
        <w:rPr>
          <w:rFonts w:hint="cs"/>
          <w:b/>
          <w:bCs/>
          <w:rtl/>
        </w:rPr>
        <w:t xml:space="preserve"> </w:t>
      </w:r>
    </w:p>
    <w:p w:rsidR="0098688E" w:rsidP="00FF6AB4" w14:paraId="3887FFAA" w14:textId="77777777">
      <w:pPr>
        <w:pStyle w:val="a"/>
        <w:spacing w:line="269" w:lineRule="auto"/>
        <w:rPr>
          <w:rtl/>
        </w:rPr>
      </w:pPr>
    </w:p>
    <w:p w:rsidR="00D00DBE" w:rsidRPr="00D00DBE" w:rsidP="00FF6AB4" w14:paraId="5467FFD0" w14:textId="77777777">
      <w:pPr>
        <w:spacing w:line="269" w:lineRule="auto"/>
        <w:rPr>
          <w:b/>
          <w:bCs/>
          <w:rtl/>
        </w:rPr>
      </w:pPr>
      <w:r w:rsidRPr="00552497">
        <w:rPr>
          <w:b/>
          <w:bCs/>
          <w:rtl/>
        </w:rPr>
        <w:t xml:space="preserve">על </w:t>
      </w:r>
      <w:r w:rsidRPr="00552497">
        <w:rPr>
          <w:rFonts w:hint="cs"/>
          <w:b/>
          <w:bCs/>
          <w:rtl/>
        </w:rPr>
        <w:t>המל</w:t>
      </w:r>
      <w:r w:rsidRPr="00552497">
        <w:rPr>
          <w:b/>
          <w:bCs/>
          <w:rtl/>
        </w:rPr>
        <w:t>"ל</w:t>
      </w:r>
      <w:r w:rsidRPr="00552497">
        <w:rPr>
          <w:rFonts w:hint="cs"/>
          <w:b/>
          <w:bCs/>
          <w:rtl/>
        </w:rPr>
        <w:t>, בשיתוף גורמים רל</w:t>
      </w:r>
      <w:r w:rsidRPr="00D80300">
        <w:rPr>
          <w:rFonts w:hint="cs"/>
          <w:b/>
          <w:bCs/>
          <w:rtl/>
        </w:rPr>
        <w:t xml:space="preserve">וונטיים </w:t>
      </w:r>
      <w:r w:rsidR="00E62E12">
        <w:rPr>
          <w:rFonts w:hint="cs"/>
          <w:b/>
          <w:bCs/>
          <w:rtl/>
        </w:rPr>
        <w:t>אחרים</w:t>
      </w:r>
      <w:r w:rsidRPr="00D80300">
        <w:rPr>
          <w:rFonts w:hint="cs"/>
          <w:b/>
          <w:bCs/>
          <w:rtl/>
        </w:rPr>
        <w:t xml:space="preserve">, </w:t>
      </w:r>
      <w:r w:rsidRPr="00B1019B">
        <w:rPr>
          <w:b/>
          <w:bCs/>
          <w:rtl/>
        </w:rPr>
        <w:t>ל</w:t>
      </w:r>
      <w:r w:rsidRPr="00B1019B">
        <w:rPr>
          <w:rFonts w:hint="cs"/>
          <w:b/>
          <w:bCs/>
          <w:rtl/>
        </w:rPr>
        <w:t xml:space="preserve">הוסיף </w:t>
      </w:r>
      <w:r>
        <w:rPr>
          <w:rFonts w:hint="cs"/>
          <w:b/>
          <w:bCs/>
          <w:rtl/>
        </w:rPr>
        <w:t xml:space="preserve">ולפעול לקידום </w:t>
      </w:r>
      <w:r w:rsidRPr="00F56A27">
        <w:rPr>
          <w:rFonts w:hint="cs"/>
          <w:b/>
          <w:bCs/>
          <w:rtl/>
        </w:rPr>
        <w:t>הסדרת</w:t>
      </w:r>
      <w:r w:rsidRPr="00F56A27">
        <w:rPr>
          <w:b/>
          <w:bCs/>
          <w:rtl/>
        </w:rPr>
        <w:t xml:space="preserve"> ה</w:t>
      </w:r>
      <w:r w:rsidRPr="00F56A27">
        <w:rPr>
          <w:rFonts w:hint="cs"/>
          <w:b/>
          <w:bCs/>
          <w:rtl/>
        </w:rPr>
        <w:t>אחריות ל</w:t>
      </w:r>
      <w:r w:rsidRPr="00F56A27">
        <w:rPr>
          <w:b/>
          <w:bCs/>
          <w:rtl/>
        </w:rPr>
        <w:t xml:space="preserve">טיפול </w:t>
      </w:r>
      <w:r w:rsidRPr="00F56A27">
        <w:rPr>
          <w:rFonts w:hint="cs"/>
          <w:b/>
          <w:bCs/>
          <w:rtl/>
        </w:rPr>
        <w:t>בכלל</w:t>
      </w:r>
      <w:r w:rsidRPr="00F56A27">
        <w:rPr>
          <w:b/>
          <w:bCs/>
          <w:rtl/>
        </w:rPr>
        <w:t xml:space="preserve"> </w:t>
      </w:r>
      <w:r w:rsidRPr="00F56A27">
        <w:rPr>
          <w:rFonts w:hint="cs"/>
          <w:b/>
          <w:bCs/>
          <w:rtl/>
        </w:rPr>
        <w:t>החומרים</w:t>
      </w:r>
      <w:r w:rsidRPr="00F56A27">
        <w:rPr>
          <w:b/>
          <w:bCs/>
          <w:rtl/>
        </w:rPr>
        <w:t xml:space="preserve"> </w:t>
      </w:r>
      <w:r w:rsidRPr="00F56A27">
        <w:rPr>
          <w:rFonts w:hint="cs"/>
          <w:b/>
          <w:bCs/>
          <w:rtl/>
        </w:rPr>
        <w:t>המסווגים</w:t>
      </w:r>
      <w:r w:rsidRPr="00F56A27">
        <w:rPr>
          <w:b/>
          <w:bCs/>
          <w:rtl/>
        </w:rPr>
        <w:t xml:space="preserve"> </w:t>
      </w:r>
      <w:r w:rsidRPr="002D7187">
        <w:rPr>
          <w:rFonts w:hint="cs"/>
          <w:b/>
          <w:bCs/>
          <w:rtl/>
        </w:rPr>
        <w:t>שבארכיונים</w:t>
      </w:r>
      <w:r w:rsidRPr="002D7187">
        <w:rPr>
          <w:b/>
          <w:bCs/>
          <w:rtl/>
        </w:rPr>
        <w:t xml:space="preserve"> </w:t>
      </w:r>
      <w:r w:rsidRPr="002D7187">
        <w:rPr>
          <w:rFonts w:hint="cs"/>
          <w:b/>
          <w:bCs/>
          <w:rtl/>
        </w:rPr>
        <w:t>הציבוריים</w:t>
      </w:r>
      <w:r w:rsidRPr="002D7187">
        <w:rPr>
          <w:b/>
          <w:bCs/>
          <w:rtl/>
        </w:rPr>
        <w:t xml:space="preserve"> </w:t>
      </w:r>
      <w:r w:rsidRPr="002D7187">
        <w:rPr>
          <w:rFonts w:hint="cs"/>
          <w:b/>
          <w:bCs/>
          <w:rtl/>
        </w:rPr>
        <w:t>והפרטיים</w:t>
      </w:r>
      <w:r w:rsidRPr="002D7187">
        <w:rPr>
          <w:b/>
          <w:bCs/>
          <w:rtl/>
        </w:rPr>
        <w:t xml:space="preserve">, </w:t>
      </w:r>
      <w:r w:rsidRPr="002D7187">
        <w:rPr>
          <w:rFonts w:hint="cs"/>
          <w:b/>
          <w:bCs/>
          <w:rtl/>
        </w:rPr>
        <w:t>בכל</w:t>
      </w:r>
      <w:r w:rsidRPr="002D7187">
        <w:rPr>
          <w:b/>
          <w:bCs/>
          <w:rtl/>
        </w:rPr>
        <w:t xml:space="preserve"> </w:t>
      </w:r>
      <w:r w:rsidRPr="002D7187">
        <w:rPr>
          <w:rFonts w:hint="cs"/>
          <w:b/>
          <w:bCs/>
          <w:rtl/>
        </w:rPr>
        <w:t>רמות</w:t>
      </w:r>
      <w:r w:rsidRPr="002D7187">
        <w:rPr>
          <w:b/>
          <w:bCs/>
          <w:rtl/>
        </w:rPr>
        <w:t xml:space="preserve"> </w:t>
      </w:r>
      <w:r w:rsidRPr="002D7187">
        <w:rPr>
          <w:rFonts w:hint="cs"/>
          <w:b/>
          <w:bCs/>
          <w:rtl/>
        </w:rPr>
        <w:t>הסיווג</w:t>
      </w:r>
      <w:r>
        <w:rPr>
          <w:b/>
          <w:bCs/>
          <w:rtl/>
        </w:rPr>
        <w:t>.</w:t>
      </w:r>
    </w:p>
    <w:p w:rsidR="0098688E" w:rsidP="00EE3D36" w14:paraId="34CDAD59" w14:textId="77777777">
      <w:pPr>
        <w:pStyle w:val="a"/>
        <w:rPr>
          <w:rtl/>
        </w:rPr>
      </w:pPr>
    </w:p>
    <w:p w:rsidR="00EE3D36" w:rsidP="00EE3D36" w14:paraId="5180008E" w14:textId="77777777">
      <w:pPr>
        <w:pStyle w:val="a"/>
        <w:rPr>
          <w:rtl/>
        </w:rPr>
      </w:pPr>
    </w:p>
    <w:p w:rsidR="00B26D72" w:rsidP="00FF6AB4" w14:paraId="36A21D88" w14:textId="77777777">
      <w:pPr>
        <w:pStyle w:val="Heading3"/>
        <w:spacing w:before="0" w:line="269" w:lineRule="auto"/>
        <w:rPr>
          <w:rtl/>
        </w:rPr>
      </w:pPr>
      <w:r w:rsidRPr="00AB22D4">
        <w:rPr>
          <w:rFonts w:hint="cs"/>
          <w:rtl/>
        </w:rPr>
        <w:t>הטלת ח</w:t>
      </w:r>
      <w:r w:rsidRPr="00AB22D4" w:rsidR="00C06805">
        <w:rPr>
          <w:rFonts w:hint="cs"/>
          <w:rtl/>
        </w:rPr>
        <w:t>י</w:t>
      </w:r>
      <w:r w:rsidRPr="00AB22D4">
        <w:rPr>
          <w:rFonts w:hint="cs"/>
          <w:rtl/>
        </w:rPr>
        <w:t>סיון על מסמכים ארכיוניים ללא הגבלת זמן</w:t>
      </w:r>
    </w:p>
    <w:p w:rsidR="00D230E8" w:rsidRPr="00D230E8" w:rsidP="00FF6AB4" w14:paraId="0453AB00" w14:textId="77777777">
      <w:pPr>
        <w:pStyle w:val="a"/>
        <w:spacing w:line="269" w:lineRule="auto"/>
        <w:rPr>
          <w:rtl/>
        </w:rPr>
      </w:pPr>
    </w:p>
    <w:p w:rsidR="00A33625" w:rsidRPr="00641DC9" w:rsidP="00FF6AB4" w14:paraId="18D3C225" w14:textId="77777777">
      <w:pPr>
        <w:spacing w:line="269" w:lineRule="auto"/>
        <w:rPr>
          <w:rtl/>
        </w:rPr>
      </w:pPr>
      <w:r w:rsidRPr="00317382">
        <w:rPr>
          <w:rFonts w:hint="cs"/>
          <w:rtl/>
        </w:rPr>
        <w:t>בחוק הארכיונים נקבע כי "כל אדם רשאי לעיין בחומר הארכיוני המופקד בגנזך, אך אפשר להגביל זכות זו בתקנות". תקנות העיון מגבי</w:t>
      </w:r>
      <w:r w:rsidR="00B47DE2">
        <w:rPr>
          <w:rFonts w:hint="cs"/>
          <w:rtl/>
        </w:rPr>
        <w:t xml:space="preserve">לות את העיון במסמכים ארכיוניים </w:t>
      </w:r>
      <w:r w:rsidRPr="00317382">
        <w:rPr>
          <w:rFonts w:hint="cs"/>
          <w:rtl/>
        </w:rPr>
        <w:t xml:space="preserve">מסוגים שונים לתקופות קצובות </w:t>
      </w:r>
      <w:r w:rsidR="00FD71CC">
        <w:rPr>
          <w:rFonts w:hint="cs"/>
          <w:rtl/>
        </w:rPr>
        <w:t>של לא יותר מ-</w:t>
      </w:r>
      <w:r w:rsidRPr="00317382">
        <w:rPr>
          <w:rFonts w:hint="cs"/>
          <w:rtl/>
        </w:rPr>
        <w:t>90 שנה.</w:t>
      </w:r>
      <w:r w:rsidRPr="00317382" w:rsidR="00645109">
        <w:rPr>
          <w:rFonts w:hint="cs"/>
          <w:rtl/>
        </w:rPr>
        <w:t xml:space="preserve"> תקנות אלו חלות על ארכיון המדינה ושלוחותיו. לגבי ארכיונים ציבוריים - א</w:t>
      </w:r>
      <w:r w:rsidR="00FD71CC">
        <w:rPr>
          <w:rFonts w:hint="cs"/>
          <w:rtl/>
        </w:rPr>
        <w:t>ו</w:t>
      </w:r>
      <w:r w:rsidRPr="00317382" w:rsidR="00645109">
        <w:rPr>
          <w:rFonts w:hint="cs"/>
          <w:rtl/>
        </w:rPr>
        <w:t xml:space="preserve">מנם תקנות העיון אינן חלות עליהם, ואולם בתקנות הארכיונים הציבוריים נקבע כי </w:t>
      </w:r>
      <w:r w:rsidRPr="00317382" w:rsidR="00F025B7">
        <w:rPr>
          <w:rFonts w:hint="cs"/>
          <w:rtl/>
        </w:rPr>
        <w:t>תנאי לאישו</w:t>
      </w:r>
      <w:r w:rsidR="00C06805">
        <w:rPr>
          <w:rFonts w:hint="cs"/>
          <w:rtl/>
        </w:rPr>
        <w:t>ר</w:t>
      </w:r>
      <w:r w:rsidRPr="00317382" w:rsidR="00F025B7">
        <w:rPr>
          <w:rFonts w:hint="cs"/>
          <w:rtl/>
        </w:rPr>
        <w:t xml:space="preserve">ו של ארכיון כציבורי הוא בין היתר שבתקנון שלו </w:t>
      </w:r>
      <w:r w:rsidR="007F12D8">
        <w:rPr>
          <w:rFonts w:hint="cs"/>
          <w:rtl/>
        </w:rPr>
        <w:t>יפורטו</w:t>
      </w:r>
      <w:r w:rsidRPr="00317382" w:rsidR="007F12D8">
        <w:rPr>
          <w:rFonts w:hint="cs"/>
          <w:rtl/>
        </w:rPr>
        <w:t xml:space="preserve"> </w:t>
      </w:r>
      <w:r w:rsidRPr="00317382" w:rsidR="00F025B7">
        <w:rPr>
          <w:rFonts w:hint="cs"/>
          <w:rtl/>
        </w:rPr>
        <w:t xml:space="preserve">התנאים </w:t>
      </w:r>
      <w:r w:rsidR="007F12D8">
        <w:rPr>
          <w:rFonts w:hint="cs"/>
          <w:rtl/>
        </w:rPr>
        <w:t>ש</w:t>
      </w:r>
      <w:r w:rsidRPr="00317382" w:rsidR="00F025B7">
        <w:rPr>
          <w:rFonts w:hint="cs"/>
          <w:rtl/>
        </w:rPr>
        <w:t xml:space="preserve">לפיהם תותר גישת הציבור לחומר הארכיוני "שהם </w:t>
      </w:r>
      <w:r w:rsidRPr="00317382" w:rsidR="00645109">
        <w:rPr>
          <w:rFonts w:hint="cs"/>
          <w:rtl/>
        </w:rPr>
        <w:t>לדעת</w:t>
      </w:r>
      <w:r w:rsidRPr="00317382" w:rsidR="00F025B7">
        <w:rPr>
          <w:rFonts w:hint="cs"/>
          <w:rtl/>
        </w:rPr>
        <w:t xml:space="preserve"> הגנז דומים לתנאים שנקבעו [בתקנות העיון]".</w:t>
      </w:r>
      <w:r w:rsidRPr="00641DC9" w:rsidR="00B03FF6">
        <w:rPr>
          <w:rFonts w:hint="cs"/>
          <w:rtl/>
        </w:rPr>
        <w:t xml:space="preserve"> </w:t>
      </w:r>
    </w:p>
    <w:p w:rsidR="0098688E" w:rsidP="00FF6AB4" w14:paraId="0ECBC030" w14:textId="77777777">
      <w:pPr>
        <w:pStyle w:val="a"/>
        <w:spacing w:line="269" w:lineRule="auto"/>
        <w:rPr>
          <w:rtl/>
        </w:rPr>
      </w:pPr>
    </w:p>
    <w:p w:rsidR="00D00DBE" w:rsidP="00FF6AB4" w14:paraId="3998B480" w14:textId="77777777">
      <w:pPr>
        <w:spacing w:line="269" w:lineRule="auto"/>
        <w:rPr>
          <w:b/>
          <w:bCs/>
          <w:rtl/>
        </w:rPr>
      </w:pPr>
      <w:r w:rsidRPr="00641DC9">
        <w:rPr>
          <w:rFonts w:hint="cs"/>
          <w:b/>
          <w:bCs/>
          <w:rtl/>
        </w:rPr>
        <w:t xml:space="preserve">בביקורת עלה כי </w:t>
      </w:r>
      <w:r w:rsidRPr="00641DC9" w:rsidR="00982369">
        <w:rPr>
          <w:rFonts w:hint="cs"/>
          <w:b/>
          <w:bCs/>
          <w:rtl/>
        </w:rPr>
        <w:t xml:space="preserve">בארכיון בן-גוריון (המהווה חלק מארכיון המדינה) </w:t>
      </w:r>
      <w:r w:rsidRPr="00641DC9">
        <w:rPr>
          <w:rFonts w:hint="cs"/>
          <w:b/>
          <w:bCs/>
          <w:rtl/>
        </w:rPr>
        <w:t xml:space="preserve">נמצאים </w:t>
      </w:r>
      <w:r w:rsidRPr="00641DC9" w:rsidR="00982369">
        <w:rPr>
          <w:rFonts w:hint="cs"/>
          <w:b/>
          <w:bCs/>
          <w:rtl/>
        </w:rPr>
        <w:t xml:space="preserve">תיקים </w:t>
      </w:r>
      <w:r w:rsidRPr="00AB22D4" w:rsidR="00982369">
        <w:rPr>
          <w:rFonts w:hint="cs"/>
          <w:b/>
          <w:bCs/>
          <w:rtl/>
        </w:rPr>
        <w:t xml:space="preserve">שעליהם כתב צוות המלמ"ב כי הם </w:t>
      </w:r>
      <w:r w:rsidRPr="00AB22D4" w:rsidR="00D61695">
        <w:rPr>
          <w:rFonts w:hint="cs"/>
          <w:b/>
          <w:bCs/>
          <w:rtl/>
        </w:rPr>
        <w:t>סגורים</w:t>
      </w:r>
      <w:r w:rsidRPr="00AB22D4" w:rsidR="00AB22D4">
        <w:rPr>
          <w:rFonts w:hint="cs"/>
          <w:b/>
          <w:bCs/>
          <w:rtl/>
        </w:rPr>
        <w:t xml:space="preserve"> לעיון</w:t>
      </w:r>
      <w:r w:rsidRPr="00AB22D4" w:rsidR="00982369">
        <w:rPr>
          <w:rFonts w:hint="cs"/>
          <w:b/>
          <w:bCs/>
          <w:rtl/>
        </w:rPr>
        <w:t xml:space="preserve"> לתמיד.</w:t>
      </w:r>
      <w:r w:rsidRPr="00AB22D4" w:rsidR="00B24512">
        <w:rPr>
          <w:rFonts w:hint="cs"/>
          <w:b/>
          <w:bCs/>
          <w:rtl/>
        </w:rPr>
        <w:t xml:space="preserve"> עוד עלה, כי בארכיון</w:t>
      </w:r>
      <w:r w:rsidRPr="00641DC9" w:rsidR="00B24512">
        <w:rPr>
          <w:rFonts w:hint="cs"/>
          <w:b/>
          <w:bCs/>
          <w:rtl/>
        </w:rPr>
        <w:t xml:space="preserve"> יד יערי (ארכיון ציבורי) קיימים תיקים המכילים חומרים ארכיוניים שעל חלקם כתב המלמ"ב "סגור"</w:t>
      </w:r>
      <w:r w:rsidR="0030516A">
        <w:rPr>
          <w:rFonts w:hint="cs"/>
          <w:b/>
          <w:bCs/>
          <w:rtl/>
        </w:rPr>
        <w:t>,</w:t>
      </w:r>
      <w:r w:rsidRPr="00641DC9" w:rsidR="00B24512">
        <w:rPr>
          <w:rFonts w:hint="cs"/>
          <w:b/>
          <w:bCs/>
          <w:rtl/>
        </w:rPr>
        <w:t xml:space="preserve"> ללא ציון תאריך יעד לפתיחה או לבדיקה מחדש.</w:t>
      </w:r>
    </w:p>
    <w:p w:rsidR="00C4066A" w:rsidP="00FF6AB4" w14:paraId="32515BC8" w14:textId="77777777">
      <w:pPr>
        <w:pStyle w:val="a"/>
        <w:spacing w:line="269" w:lineRule="auto"/>
        <w:rPr>
          <w:rtl/>
        </w:rPr>
      </w:pPr>
    </w:p>
    <w:p w:rsidR="00986FCC" w:rsidP="00FF6AB4" w14:paraId="763AD3DB" w14:textId="77777777">
      <w:pPr>
        <w:spacing w:line="269" w:lineRule="auto"/>
        <w:rPr>
          <w:rtl/>
        </w:rPr>
      </w:pPr>
      <w:r w:rsidRPr="00AB22D4">
        <w:rPr>
          <w:rFonts w:hint="cs"/>
          <w:b/>
          <w:bCs/>
          <w:rtl/>
        </w:rPr>
        <w:t>משרד מבקר המדינה</w:t>
      </w:r>
      <w:r w:rsidRPr="00AB22D4" w:rsidR="00D00DBE">
        <w:rPr>
          <w:rFonts w:hint="cs"/>
          <w:b/>
          <w:bCs/>
          <w:rtl/>
        </w:rPr>
        <w:t xml:space="preserve"> מעיר</w:t>
      </w:r>
      <w:r w:rsidRPr="00AB22D4">
        <w:rPr>
          <w:rFonts w:hint="cs"/>
          <w:b/>
          <w:bCs/>
          <w:rtl/>
        </w:rPr>
        <w:t xml:space="preserve"> כי אין כל הוראת חוק המאפשרת להטיל חיסיון ללא הגבלת זמן על חומרים ארכיוניים, </w:t>
      </w:r>
      <w:r w:rsidRPr="00AB22D4" w:rsidR="00D51B0F">
        <w:rPr>
          <w:rFonts w:hint="cs"/>
          <w:b/>
          <w:bCs/>
          <w:rtl/>
        </w:rPr>
        <w:t>ו</w:t>
      </w:r>
      <w:r w:rsidRPr="00AB22D4" w:rsidR="0030516A">
        <w:rPr>
          <w:rFonts w:hint="cs"/>
          <w:b/>
          <w:bCs/>
          <w:rtl/>
        </w:rPr>
        <w:t xml:space="preserve">לכן </w:t>
      </w:r>
      <w:r w:rsidRPr="00AB22D4" w:rsidR="00D61695">
        <w:rPr>
          <w:rFonts w:hint="cs"/>
          <w:b/>
          <w:bCs/>
          <w:rtl/>
        </w:rPr>
        <w:t>סגירתם</w:t>
      </w:r>
      <w:r w:rsidRPr="00AB22D4" w:rsidR="00D51B0F">
        <w:rPr>
          <w:rFonts w:hint="cs"/>
          <w:b/>
          <w:bCs/>
          <w:rtl/>
        </w:rPr>
        <w:t xml:space="preserve"> כאמור על ידי </w:t>
      </w:r>
      <w:r w:rsidRPr="00AB22D4">
        <w:rPr>
          <w:rFonts w:hint="cs"/>
          <w:b/>
          <w:bCs/>
          <w:rtl/>
        </w:rPr>
        <w:t xml:space="preserve">המלמ"ב </w:t>
      </w:r>
      <w:r w:rsidRPr="00AB22D4" w:rsidR="00D51B0F">
        <w:rPr>
          <w:rFonts w:hint="cs"/>
          <w:b/>
          <w:bCs/>
          <w:rtl/>
        </w:rPr>
        <w:t xml:space="preserve">אינה </w:t>
      </w:r>
      <w:r w:rsidRPr="00AB22D4" w:rsidR="002E1B4E">
        <w:rPr>
          <w:rFonts w:hint="cs"/>
          <w:b/>
          <w:bCs/>
          <w:rtl/>
        </w:rPr>
        <w:t>ע</w:t>
      </w:r>
      <w:r w:rsidRPr="00AB22D4" w:rsidR="00D51B0F">
        <w:rPr>
          <w:rFonts w:hint="cs"/>
          <w:b/>
          <w:bCs/>
          <w:rtl/>
        </w:rPr>
        <w:t>ולה</w:t>
      </w:r>
      <w:r w:rsidRPr="00AB22D4">
        <w:rPr>
          <w:rFonts w:hint="cs"/>
          <w:b/>
          <w:bCs/>
          <w:rtl/>
        </w:rPr>
        <w:t xml:space="preserve"> בקנה אחד עם הוראות החקיקה.</w:t>
      </w:r>
    </w:p>
    <w:p w:rsidR="008B1937" w:rsidRPr="00641DC9" w:rsidP="00EE3D36" w14:paraId="49DE6E58" w14:textId="77777777">
      <w:pPr>
        <w:pStyle w:val="a"/>
        <w:rPr>
          <w:rtl/>
        </w:rPr>
      </w:pPr>
    </w:p>
    <w:p w:rsidR="004A37F5" w:rsidP="00FF6AB4" w14:paraId="753C147C" w14:textId="77777777">
      <w:pPr>
        <w:pStyle w:val="Heading2"/>
        <w:tabs>
          <w:tab w:val="center" w:pos="4110"/>
        </w:tabs>
        <w:spacing w:before="0" w:line="269" w:lineRule="auto"/>
        <w:rPr>
          <w:rtl/>
        </w:rPr>
      </w:pPr>
      <w:r w:rsidRPr="00641DC9">
        <w:rPr>
          <w:rFonts w:hint="cs"/>
          <w:rtl/>
        </w:rPr>
        <w:t>מעורבות הצנזורה בארכיו</w:t>
      </w:r>
      <w:r w:rsidRPr="00641DC9" w:rsidR="006B47B2">
        <w:rPr>
          <w:rFonts w:hint="cs"/>
          <w:rtl/>
        </w:rPr>
        <w:t>ן המדינה ובשלוחותיו</w:t>
      </w:r>
    </w:p>
    <w:p w:rsidR="0098688E" w:rsidRPr="0098688E" w:rsidP="00FF6AB4" w14:paraId="1CEAD62E" w14:textId="77777777">
      <w:pPr>
        <w:pStyle w:val="a"/>
        <w:spacing w:line="269" w:lineRule="auto"/>
        <w:rPr>
          <w:rtl/>
        </w:rPr>
      </w:pPr>
    </w:p>
    <w:p w:rsidR="004A37F5" w:rsidRPr="00087F4D" w:rsidP="00FF6AB4" w14:paraId="7827635F" w14:textId="77777777">
      <w:pPr>
        <w:spacing w:line="269" w:lineRule="auto"/>
        <w:rPr>
          <w:rtl/>
        </w:rPr>
      </w:pPr>
      <w:r>
        <w:rPr>
          <w:rFonts w:hint="cs"/>
          <w:rtl/>
        </w:rPr>
        <w:t xml:space="preserve">כאמור, </w:t>
      </w:r>
      <w:r w:rsidR="00B03FF6">
        <w:rPr>
          <w:rFonts w:hint="cs"/>
          <w:rtl/>
        </w:rPr>
        <w:t>על פי תקנות העיון, חומר שהעיון בו הוגבל יועמד לעיון הציבור לאחר בדיקה</w:t>
      </w:r>
      <w:r>
        <w:rPr>
          <w:rFonts w:hint="cs"/>
          <w:rtl/>
        </w:rPr>
        <w:t xml:space="preserve"> </w:t>
      </w:r>
      <w:r w:rsidRPr="00D938B9">
        <w:rPr>
          <w:rFonts w:hint="cs"/>
          <w:rtl/>
        </w:rPr>
        <w:t>(</w:t>
      </w:r>
      <w:r w:rsidRPr="006B47B2" w:rsidR="00B03FF6">
        <w:rPr>
          <w:rFonts w:hint="cs"/>
          <w:rtl/>
        </w:rPr>
        <w:t>תהליך</w:t>
      </w:r>
      <w:r w:rsidRPr="006B47B2" w:rsidR="00B03FF6">
        <w:rPr>
          <w:rtl/>
        </w:rPr>
        <w:t xml:space="preserve"> </w:t>
      </w:r>
      <w:r w:rsidRPr="006B47B2">
        <w:rPr>
          <w:rFonts w:hint="cs"/>
          <w:rtl/>
        </w:rPr>
        <w:t>ה</w:t>
      </w:r>
      <w:r w:rsidRPr="006B47B2" w:rsidR="00B03FF6">
        <w:rPr>
          <w:rFonts w:hint="cs"/>
          <w:rtl/>
        </w:rPr>
        <w:t>חשיפה</w:t>
      </w:r>
      <w:r w:rsidRPr="00D938B9">
        <w:rPr>
          <w:rFonts w:hint="cs"/>
          <w:rtl/>
        </w:rPr>
        <w:t>)</w:t>
      </w:r>
      <w:r w:rsidRPr="00D938B9" w:rsidR="00C11FCD">
        <w:rPr>
          <w:rFonts w:hint="cs"/>
          <w:rtl/>
        </w:rPr>
        <w:t>.</w:t>
      </w:r>
      <w:r w:rsidR="00B03FF6">
        <w:rPr>
          <w:rFonts w:hint="cs"/>
          <w:rtl/>
        </w:rPr>
        <w:t xml:space="preserve"> מחלקת החשיפה שבארכיון המדינה היא שחושפת את החומר הארכיוני</w:t>
      </w:r>
      <w:r w:rsidR="00825988">
        <w:rPr>
          <w:rFonts w:hint="cs"/>
          <w:rtl/>
        </w:rPr>
        <w:t xml:space="preserve"> </w:t>
      </w:r>
      <w:r w:rsidR="00C11FCD">
        <w:rPr>
          <w:rFonts w:hint="cs"/>
          <w:rtl/>
        </w:rPr>
        <w:t>על פי הקריטריונים שקבעה</w:t>
      </w:r>
      <w:r w:rsidRPr="00C42684" w:rsidR="00B03FF6">
        <w:rPr>
          <w:rFonts w:hint="cs"/>
          <w:rtl/>
        </w:rPr>
        <w:t xml:space="preserve"> ו</w:t>
      </w:r>
      <w:r w:rsidR="00C11FCD">
        <w:rPr>
          <w:rFonts w:hint="cs"/>
          <w:rtl/>
        </w:rPr>
        <w:t>עדת השרים</w:t>
      </w:r>
      <w:r w:rsidRPr="00C42684" w:rsidR="00B03FF6">
        <w:rPr>
          <w:rFonts w:hint="cs"/>
          <w:rtl/>
        </w:rPr>
        <w:t xml:space="preserve"> </w:t>
      </w:r>
      <w:r w:rsidR="0030516A">
        <w:rPr>
          <w:rFonts w:hint="cs"/>
          <w:rtl/>
        </w:rPr>
        <w:t>למתן</w:t>
      </w:r>
      <w:r w:rsidRPr="00C42684" w:rsidR="0030516A">
        <w:rPr>
          <w:rFonts w:hint="cs"/>
          <w:rtl/>
        </w:rPr>
        <w:t xml:space="preserve"> </w:t>
      </w:r>
      <w:r w:rsidR="0030516A">
        <w:rPr>
          <w:rFonts w:hint="cs"/>
          <w:rtl/>
        </w:rPr>
        <w:t xml:space="preserve">היתר לפרסומים ולעניין </w:t>
      </w:r>
      <w:r w:rsidRPr="00C42684" w:rsidR="00B03FF6">
        <w:rPr>
          <w:rFonts w:hint="cs"/>
          <w:rtl/>
        </w:rPr>
        <w:t xml:space="preserve">רשות העיון בחומר ארכיוני מסווג. עיקרם של קריטריונים אלו הוא </w:t>
      </w:r>
      <w:r w:rsidR="00296916">
        <w:rPr>
          <w:rFonts w:hint="cs"/>
          <w:rtl/>
        </w:rPr>
        <w:t>אי-חשיפת</w:t>
      </w:r>
      <w:r w:rsidRPr="00C42684" w:rsidR="00B03FF6">
        <w:rPr>
          <w:rFonts w:hint="cs"/>
          <w:rtl/>
        </w:rPr>
        <w:t xml:space="preserve"> חומר שידיעתו ע</w:t>
      </w:r>
      <w:r w:rsidR="00A207AB">
        <w:rPr>
          <w:rFonts w:hint="cs"/>
          <w:rtl/>
        </w:rPr>
        <w:t>ל</w:t>
      </w:r>
      <w:r w:rsidRPr="00C42684" w:rsidR="00B03FF6">
        <w:rPr>
          <w:rFonts w:hint="cs"/>
          <w:rtl/>
        </w:rPr>
        <w:t>ו</w:t>
      </w:r>
      <w:r w:rsidR="00A207AB">
        <w:rPr>
          <w:rFonts w:hint="cs"/>
          <w:rtl/>
        </w:rPr>
        <w:t>ל</w:t>
      </w:r>
      <w:r w:rsidRPr="00C42684" w:rsidR="00B03FF6">
        <w:rPr>
          <w:rFonts w:hint="cs"/>
          <w:rtl/>
        </w:rPr>
        <w:t>ה לגרום נזק לביטחון המדינה, ליחסי החוץ שלה או לצנעת הפרט.</w:t>
      </w:r>
      <w:r w:rsidR="00825988">
        <w:rPr>
          <w:rFonts w:hint="cs"/>
          <w:rtl/>
        </w:rPr>
        <w:t xml:space="preserve"> כאשר מסתיים תהליך החשיפה מועלים </w:t>
      </w:r>
      <w:r w:rsidRPr="00087F4D" w:rsidR="00825988">
        <w:rPr>
          <w:rFonts w:hint="cs"/>
          <w:rtl/>
        </w:rPr>
        <w:t>החומרים הארכיוניים שנחשפו לאתר המרשתת של הארכיון.</w:t>
      </w:r>
    </w:p>
    <w:p w:rsidR="0098688E" w:rsidP="00FF6AB4" w14:paraId="1A1C2A5A" w14:textId="77777777">
      <w:pPr>
        <w:pStyle w:val="a"/>
        <w:spacing w:line="269" w:lineRule="auto"/>
        <w:rPr>
          <w:rtl/>
        </w:rPr>
      </w:pPr>
    </w:p>
    <w:p w:rsidR="00D85E5A" w:rsidRPr="00087F4D" w:rsidP="00FF6AB4" w14:paraId="45917578" w14:textId="77777777">
      <w:pPr>
        <w:spacing w:line="269" w:lineRule="auto"/>
        <w:rPr>
          <w:rtl/>
        </w:rPr>
      </w:pPr>
      <w:r w:rsidRPr="00087F4D">
        <w:rPr>
          <w:rFonts w:hint="cs"/>
          <w:rtl/>
        </w:rPr>
        <w:t xml:space="preserve">כיום, </w:t>
      </w:r>
      <w:r w:rsidRPr="00087F4D" w:rsidR="00983274">
        <w:rPr>
          <w:rFonts w:hint="cs"/>
          <w:rtl/>
        </w:rPr>
        <w:t>העיון במסמכים נעשה על פי רוב באתר המרשתת של הארכיון</w:t>
      </w:r>
      <w:r w:rsidRPr="00087F4D">
        <w:rPr>
          <w:rFonts w:hint="cs"/>
          <w:rtl/>
        </w:rPr>
        <w:t xml:space="preserve">, </w:t>
      </w:r>
      <w:r w:rsidR="0030516A">
        <w:rPr>
          <w:rFonts w:hint="cs"/>
          <w:rtl/>
        </w:rPr>
        <w:t>ואילו</w:t>
      </w:r>
      <w:r w:rsidRPr="00087F4D" w:rsidR="0030516A">
        <w:rPr>
          <w:rFonts w:hint="cs"/>
          <w:rtl/>
        </w:rPr>
        <w:t xml:space="preserve"> </w:t>
      </w:r>
      <w:r w:rsidRPr="00087F4D">
        <w:rPr>
          <w:rFonts w:hint="cs"/>
          <w:rtl/>
        </w:rPr>
        <w:t xml:space="preserve">בעבר </w:t>
      </w:r>
      <w:r w:rsidR="00C06805">
        <w:rPr>
          <w:rFonts w:hint="cs"/>
          <w:rtl/>
        </w:rPr>
        <w:t xml:space="preserve">הוא </w:t>
      </w:r>
      <w:r w:rsidRPr="00087F4D">
        <w:rPr>
          <w:rFonts w:hint="cs"/>
          <w:rtl/>
        </w:rPr>
        <w:t>נעשה באולמות הקריאה שבארכיון</w:t>
      </w:r>
      <w:r>
        <w:rPr>
          <w:rStyle w:val="FootnoteReference"/>
          <w:rtl/>
        </w:rPr>
        <w:footnoteReference w:id="33"/>
      </w:r>
      <w:r w:rsidRPr="00087F4D" w:rsidR="001405D2">
        <w:rPr>
          <w:rFonts w:hint="cs"/>
          <w:rtl/>
        </w:rPr>
        <w:t xml:space="preserve">. </w:t>
      </w:r>
      <w:r w:rsidR="000429F0">
        <w:rPr>
          <w:rFonts w:hint="cs"/>
          <w:rtl/>
        </w:rPr>
        <w:t>ל</w:t>
      </w:r>
      <w:r w:rsidR="00C912EE">
        <w:rPr>
          <w:rFonts w:hint="cs"/>
          <w:rtl/>
        </w:rPr>
        <w:t>צוות ה</w:t>
      </w:r>
      <w:r w:rsidR="000429F0">
        <w:rPr>
          <w:rFonts w:hint="cs"/>
          <w:rtl/>
        </w:rPr>
        <w:t xml:space="preserve">ביקורת נמסר כי </w:t>
      </w:r>
      <w:r w:rsidR="00CC728D">
        <w:rPr>
          <w:rFonts w:hint="cs"/>
          <w:rtl/>
        </w:rPr>
        <w:t>ממ</w:t>
      </w:r>
      <w:r w:rsidR="00A24CDE">
        <w:rPr>
          <w:rFonts w:hint="cs"/>
          <w:rtl/>
        </w:rPr>
        <w:t>וצע המשתמשים</w:t>
      </w:r>
      <w:r w:rsidR="00895DDC">
        <w:rPr>
          <w:rFonts w:hint="cs"/>
          <w:rtl/>
        </w:rPr>
        <w:t xml:space="preserve"> (אנשים שנכנסו למערכת)</w:t>
      </w:r>
      <w:r w:rsidR="00A24CDE">
        <w:rPr>
          <w:rFonts w:hint="cs"/>
          <w:rtl/>
        </w:rPr>
        <w:t xml:space="preserve"> החודשי באתר ארכיון המדינה </w:t>
      </w:r>
      <w:r w:rsidR="00CC728D">
        <w:rPr>
          <w:rFonts w:hint="cs"/>
          <w:rtl/>
        </w:rPr>
        <w:t>בחודשים ינואר-אוקטובר 2019</w:t>
      </w:r>
      <w:r w:rsidR="00A24CDE">
        <w:rPr>
          <w:rFonts w:hint="cs"/>
          <w:rtl/>
        </w:rPr>
        <w:t xml:space="preserve"> היה כ-27,637 משתמשים.</w:t>
      </w:r>
    </w:p>
    <w:p w:rsidR="0098688E" w:rsidP="00FF6AB4" w14:paraId="78544DF6" w14:textId="77777777">
      <w:pPr>
        <w:pStyle w:val="a"/>
        <w:spacing w:line="269" w:lineRule="auto"/>
        <w:rPr>
          <w:rtl/>
        </w:rPr>
      </w:pPr>
    </w:p>
    <w:p w:rsidR="004A37F5" w:rsidP="00FF6AB4" w14:paraId="553FE09C" w14:textId="77777777">
      <w:pPr>
        <w:spacing w:line="269" w:lineRule="auto"/>
        <w:rPr>
          <w:rtl/>
        </w:rPr>
      </w:pPr>
      <w:r w:rsidRPr="00087F4D">
        <w:rPr>
          <w:rFonts w:hint="cs"/>
          <w:rtl/>
        </w:rPr>
        <w:t xml:space="preserve">בעניין זה </w:t>
      </w:r>
      <w:r w:rsidR="0030516A">
        <w:rPr>
          <w:rFonts w:hint="cs"/>
          <w:rtl/>
        </w:rPr>
        <w:t>יצוין</w:t>
      </w:r>
      <w:r w:rsidRPr="00087F4D">
        <w:rPr>
          <w:rFonts w:hint="cs"/>
          <w:rtl/>
        </w:rPr>
        <w:t xml:space="preserve"> כי לצנזורה </w:t>
      </w:r>
      <w:r w:rsidR="0030516A">
        <w:rPr>
          <w:rFonts w:hint="cs"/>
          <w:rtl/>
        </w:rPr>
        <w:t>יש</w:t>
      </w:r>
      <w:r w:rsidRPr="00087F4D" w:rsidR="0030516A">
        <w:rPr>
          <w:rFonts w:hint="cs"/>
          <w:rtl/>
        </w:rPr>
        <w:t xml:space="preserve"> </w:t>
      </w:r>
      <w:r w:rsidRPr="00087F4D">
        <w:rPr>
          <w:rFonts w:hint="cs"/>
          <w:rtl/>
        </w:rPr>
        <w:t>סמכות לאסור פרסום</w:t>
      </w:r>
      <w:r w:rsidR="00C06805">
        <w:rPr>
          <w:rFonts w:hint="cs"/>
          <w:rtl/>
        </w:rPr>
        <w:t xml:space="preserve"> </w:t>
      </w:r>
      <w:r w:rsidRPr="00087F4D">
        <w:rPr>
          <w:rFonts w:hint="cs"/>
          <w:rtl/>
        </w:rPr>
        <w:t xml:space="preserve">של מידע העלול לפגוע בביטחון המדינה, וזאת מכוח </w:t>
      </w:r>
      <w:r w:rsidRPr="00087F4D" w:rsidR="00B03FF6">
        <w:rPr>
          <w:rFonts w:hint="cs"/>
          <w:rtl/>
        </w:rPr>
        <w:t>תקנות ההגנה (שעת</w:t>
      </w:r>
      <w:r w:rsidRPr="00087F4D" w:rsidR="00296916">
        <w:rPr>
          <w:rFonts w:hint="cs"/>
          <w:rtl/>
        </w:rPr>
        <w:t>-</w:t>
      </w:r>
      <w:r w:rsidRPr="00087F4D" w:rsidR="00B03FF6">
        <w:rPr>
          <w:rFonts w:hint="cs"/>
          <w:rtl/>
        </w:rPr>
        <w:t xml:space="preserve">חירום), </w:t>
      </w:r>
      <w:r w:rsidRPr="00087F4D" w:rsidR="00CE3207">
        <w:rPr>
          <w:rFonts w:hint="cs"/>
          <w:rtl/>
        </w:rPr>
        <w:t>1945 (להלן - תקנות ההגנה).</w:t>
      </w:r>
      <w:r w:rsidRPr="00087F4D">
        <w:rPr>
          <w:rFonts w:hint="cs"/>
          <w:rtl/>
        </w:rPr>
        <w:t xml:space="preserve"> הקריטריונים </w:t>
      </w:r>
      <w:r w:rsidR="0030516A">
        <w:rPr>
          <w:rFonts w:hint="cs"/>
          <w:rtl/>
        </w:rPr>
        <w:t>ש</w:t>
      </w:r>
      <w:r w:rsidRPr="00087F4D">
        <w:rPr>
          <w:rFonts w:hint="cs"/>
          <w:rtl/>
        </w:rPr>
        <w:t>לפיהם פועלת הצנזורה נקבעו</w:t>
      </w:r>
      <w:r w:rsidRPr="00087F4D" w:rsidR="00B03FF6">
        <w:rPr>
          <w:rFonts w:hint="cs"/>
          <w:rtl/>
        </w:rPr>
        <w:t xml:space="preserve"> </w:t>
      </w:r>
      <w:r w:rsidRPr="00087F4D" w:rsidR="00B03FF6">
        <w:rPr>
          <w:rFonts w:hint="cs"/>
          <w:b/>
          <w:bCs/>
          <w:rtl/>
        </w:rPr>
        <w:t>בבג"ץ שניצר</w:t>
      </w:r>
      <w:r>
        <w:rPr>
          <w:rStyle w:val="FootnoteReference"/>
          <w:b/>
          <w:bCs/>
          <w:rtl/>
        </w:rPr>
        <w:footnoteReference w:id="34"/>
      </w:r>
      <w:r w:rsidR="0030516A">
        <w:rPr>
          <w:rFonts w:hint="cs"/>
          <w:rtl/>
        </w:rPr>
        <w:t>,</w:t>
      </w:r>
      <w:r w:rsidRPr="00087F4D" w:rsidR="00B03FF6">
        <w:rPr>
          <w:rFonts w:hint="cs"/>
          <w:rtl/>
        </w:rPr>
        <w:t xml:space="preserve"> </w:t>
      </w:r>
      <w:r w:rsidRPr="00087F4D">
        <w:rPr>
          <w:rFonts w:hint="cs"/>
          <w:rtl/>
        </w:rPr>
        <w:t>ולפיהם</w:t>
      </w:r>
      <w:r w:rsidRPr="00087F4D" w:rsidR="00B03FF6">
        <w:rPr>
          <w:rFonts w:hint="cs"/>
          <w:rtl/>
        </w:rPr>
        <w:t xml:space="preserve"> הצנזור רשאי לאסור פרסום רק אם הדבר יגרום בוודאות קרובה לפגיעה ממשית בביטחון המדינה.</w:t>
      </w:r>
    </w:p>
    <w:p w:rsidR="001A180B" w:rsidRPr="00087F4D" w:rsidP="00FF6AB4" w14:paraId="0E989F76" w14:textId="77777777">
      <w:pPr>
        <w:pStyle w:val="a"/>
        <w:spacing w:line="269" w:lineRule="auto"/>
        <w:rPr>
          <w:rtl/>
        </w:rPr>
      </w:pPr>
    </w:p>
    <w:p w:rsidR="004A37F5" w:rsidP="00FF6AB4" w14:paraId="102A1CBB" w14:textId="77777777">
      <w:pPr>
        <w:pStyle w:val="Heading3"/>
        <w:spacing w:before="0" w:line="269" w:lineRule="auto"/>
        <w:rPr>
          <w:rtl/>
        </w:rPr>
      </w:pPr>
      <w:r w:rsidRPr="00087F4D">
        <w:rPr>
          <w:rFonts w:hint="cs"/>
          <w:rtl/>
        </w:rPr>
        <w:t>היעדר אחידות ב</w:t>
      </w:r>
      <w:r w:rsidR="0030516A">
        <w:rPr>
          <w:rFonts w:hint="cs"/>
          <w:rtl/>
        </w:rPr>
        <w:t xml:space="preserve">פעילות </w:t>
      </w:r>
      <w:r w:rsidRPr="00087F4D">
        <w:rPr>
          <w:rFonts w:hint="cs"/>
          <w:rtl/>
        </w:rPr>
        <w:t xml:space="preserve">הצנזורה </w:t>
      </w:r>
      <w:r w:rsidR="0030516A">
        <w:rPr>
          <w:rFonts w:hint="cs"/>
          <w:rtl/>
        </w:rPr>
        <w:t>מול</w:t>
      </w:r>
      <w:r w:rsidRPr="00087F4D" w:rsidR="0030516A">
        <w:rPr>
          <w:rFonts w:hint="cs"/>
          <w:rtl/>
        </w:rPr>
        <w:t xml:space="preserve"> </w:t>
      </w:r>
      <w:r w:rsidRPr="00087F4D">
        <w:rPr>
          <w:rFonts w:hint="cs"/>
          <w:rtl/>
        </w:rPr>
        <w:t>ארכיון המדינה ו</w:t>
      </w:r>
      <w:r w:rsidR="0030516A">
        <w:rPr>
          <w:rFonts w:hint="cs"/>
          <w:rtl/>
        </w:rPr>
        <w:t xml:space="preserve">מול </w:t>
      </w:r>
      <w:r w:rsidRPr="00087F4D">
        <w:rPr>
          <w:rFonts w:hint="cs"/>
          <w:rtl/>
        </w:rPr>
        <w:t>שלוחותיו</w:t>
      </w:r>
    </w:p>
    <w:p w:rsidR="00D230E8" w:rsidRPr="00D230E8" w:rsidP="00FF6AB4" w14:paraId="3A9CE184" w14:textId="77777777">
      <w:pPr>
        <w:pStyle w:val="a"/>
        <w:spacing w:line="269" w:lineRule="auto"/>
        <w:rPr>
          <w:rtl/>
        </w:rPr>
      </w:pPr>
    </w:p>
    <w:p w:rsidR="004A37F5" w:rsidRPr="00087F4D" w:rsidP="00FF6AB4" w14:paraId="2F84458B" w14:textId="77777777">
      <w:pPr>
        <w:spacing w:line="269" w:lineRule="auto"/>
        <w:rPr>
          <w:b/>
          <w:bCs/>
          <w:rtl/>
        </w:rPr>
      </w:pPr>
      <w:r>
        <w:rPr>
          <w:rFonts w:hint="cs"/>
          <w:b/>
          <w:bCs/>
          <w:rtl/>
        </w:rPr>
        <w:t xml:space="preserve">הצנזורה בודקת חומרים ארכיוניים שמצויים בארכיון המדינה טרם </w:t>
      </w:r>
      <w:r w:rsidRPr="00087F4D" w:rsidR="00A41AD7">
        <w:rPr>
          <w:rFonts w:hint="cs"/>
          <w:b/>
          <w:bCs/>
          <w:rtl/>
        </w:rPr>
        <w:t>העלאת</w:t>
      </w:r>
      <w:r>
        <w:rPr>
          <w:rFonts w:hint="cs"/>
          <w:b/>
          <w:bCs/>
          <w:rtl/>
        </w:rPr>
        <w:t>ם</w:t>
      </w:r>
      <w:r w:rsidRPr="00087F4D" w:rsidR="00A41AD7">
        <w:rPr>
          <w:rFonts w:hint="cs"/>
          <w:b/>
          <w:bCs/>
          <w:rtl/>
        </w:rPr>
        <w:t xml:space="preserve"> לאתר </w:t>
      </w:r>
      <w:r w:rsidRPr="00087F4D" w:rsidR="00CB5F84">
        <w:rPr>
          <w:rFonts w:hint="cs"/>
          <w:b/>
          <w:bCs/>
          <w:rtl/>
        </w:rPr>
        <w:t xml:space="preserve">המרשתת של </w:t>
      </w:r>
      <w:r>
        <w:rPr>
          <w:rFonts w:hint="cs"/>
          <w:b/>
          <w:bCs/>
          <w:rtl/>
        </w:rPr>
        <w:t>ה</w:t>
      </w:r>
      <w:r w:rsidRPr="00087F4D" w:rsidR="00A41AD7">
        <w:rPr>
          <w:rFonts w:hint="cs"/>
          <w:b/>
          <w:bCs/>
          <w:rtl/>
        </w:rPr>
        <w:t>ארכיון</w:t>
      </w:r>
      <w:r>
        <w:rPr>
          <w:rFonts w:hint="cs"/>
          <w:b/>
          <w:bCs/>
          <w:rtl/>
        </w:rPr>
        <w:t>. זאת, כיוון</w:t>
      </w:r>
      <w:r w:rsidRPr="00087F4D" w:rsidR="00CB5F84">
        <w:rPr>
          <w:rFonts w:hint="cs"/>
          <w:b/>
          <w:bCs/>
          <w:rtl/>
        </w:rPr>
        <w:t xml:space="preserve"> שהיא רואה </w:t>
      </w:r>
      <w:r w:rsidR="0030516A">
        <w:rPr>
          <w:rFonts w:hint="cs"/>
          <w:b/>
          <w:bCs/>
          <w:rtl/>
        </w:rPr>
        <w:t>בהעלאה כאמור</w:t>
      </w:r>
      <w:r w:rsidRPr="00087F4D" w:rsidR="0030516A">
        <w:rPr>
          <w:rFonts w:hint="cs"/>
          <w:b/>
          <w:bCs/>
          <w:rtl/>
        </w:rPr>
        <w:t xml:space="preserve"> </w:t>
      </w:r>
      <w:r w:rsidRPr="00087F4D" w:rsidR="00CB5F84">
        <w:rPr>
          <w:rFonts w:hint="cs"/>
          <w:b/>
          <w:bCs/>
          <w:rtl/>
        </w:rPr>
        <w:t>פרסום</w:t>
      </w:r>
      <w:r w:rsidRPr="00087F4D" w:rsidR="00B03FF6">
        <w:rPr>
          <w:rFonts w:hint="cs"/>
          <w:b/>
          <w:bCs/>
          <w:rtl/>
        </w:rPr>
        <w:t>. לעומת זאת</w:t>
      </w:r>
      <w:r w:rsidRPr="00087F4D" w:rsidR="00CE3207">
        <w:rPr>
          <w:rFonts w:hint="cs"/>
          <w:b/>
          <w:bCs/>
          <w:rtl/>
        </w:rPr>
        <w:t xml:space="preserve">, הצנזורה </w:t>
      </w:r>
      <w:r w:rsidR="0030516A">
        <w:rPr>
          <w:rFonts w:hint="cs"/>
          <w:b/>
          <w:bCs/>
          <w:rtl/>
        </w:rPr>
        <w:t>אינה</w:t>
      </w:r>
      <w:r w:rsidRPr="00087F4D" w:rsidR="0030516A">
        <w:rPr>
          <w:rFonts w:hint="cs"/>
          <w:b/>
          <w:bCs/>
          <w:rtl/>
        </w:rPr>
        <w:t xml:space="preserve"> </w:t>
      </w:r>
      <w:r w:rsidR="00735FD9">
        <w:rPr>
          <w:rFonts w:hint="cs"/>
          <w:b/>
          <w:bCs/>
          <w:rtl/>
        </w:rPr>
        <w:t xml:space="preserve">בודקת </w:t>
      </w:r>
      <w:r w:rsidRPr="00087F4D" w:rsidR="00B03FF6">
        <w:rPr>
          <w:rFonts w:hint="cs"/>
          <w:b/>
          <w:bCs/>
          <w:rtl/>
        </w:rPr>
        <w:t xml:space="preserve">חומרים </w:t>
      </w:r>
      <w:r w:rsidRPr="00087F4D" w:rsidR="00CE3207">
        <w:rPr>
          <w:rFonts w:hint="cs"/>
          <w:b/>
          <w:bCs/>
          <w:rtl/>
        </w:rPr>
        <w:t>לפני העלאתם לאתרי המרשתת</w:t>
      </w:r>
      <w:r w:rsidRPr="00087F4D" w:rsidR="001652BC">
        <w:rPr>
          <w:rFonts w:hint="cs"/>
          <w:b/>
          <w:bCs/>
          <w:rtl/>
        </w:rPr>
        <w:t xml:space="preserve"> </w:t>
      </w:r>
      <w:r w:rsidR="0030516A">
        <w:rPr>
          <w:rFonts w:hint="cs"/>
          <w:b/>
          <w:bCs/>
          <w:rtl/>
        </w:rPr>
        <w:t>של</w:t>
      </w:r>
      <w:r w:rsidRPr="0030516A" w:rsidR="0030516A">
        <w:rPr>
          <w:rFonts w:hint="cs"/>
          <w:b/>
          <w:bCs/>
          <w:rtl/>
        </w:rPr>
        <w:t xml:space="preserve"> </w:t>
      </w:r>
      <w:r w:rsidRPr="00087F4D" w:rsidR="0030516A">
        <w:rPr>
          <w:rFonts w:hint="cs"/>
          <w:b/>
          <w:bCs/>
          <w:rtl/>
        </w:rPr>
        <w:t>שלוחותיו של ארכיון המדינה (הן ארכיונים המהווים חלק מארכיון המדינה והן שלוחות של ארכיון המדינה בגופים הביטחוניים)</w:t>
      </w:r>
      <w:r w:rsidRPr="00087F4D" w:rsidR="00B03FF6">
        <w:rPr>
          <w:rFonts w:hint="cs"/>
          <w:b/>
          <w:bCs/>
          <w:rtl/>
        </w:rPr>
        <w:t xml:space="preserve">. </w:t>
      </w:r>
      <w:r w:rsidRPr="00087F4D" w:rsidR="00B03FF6">
        <w:rPr>
          <w:rFonts w:hint="cs"/>
          <w:rtl/>
        </w:rPr>
        <w:t>להלן פרטים:</w:t>
      </w:r>
      <w:r w:rsidRPr="00087F4D" w:rsidR="00B03FF6">
        <w:rPr>
          <w:rFonts w:hint="cs"/>
          <w:b/>
          <w:bCs/>
          <w:rtl/>
        </w:rPr>
        <w:t xml:space="preserve"> </w:t>
      </w:r>
    </w:p>
    <w:p w:rsidR="0098688E" w:rsidP="00FF6AB4" w14:paraId="006CAF01" w14:textId="77777777">
      <w:pPr>
        <w:pStyle w:val="a"/>
        <w:spacing w:line="269" w:lineRule="auto"/>
        <w:rPr>
          <w:rStyle w:val="5"/>
          <w:rFonts w:eastAsia="Calibri"/>
          <w:rtl/>
        </w:rPr>
      </w:pPr>
    </w:p>
    <w:p w:rsidR="004A37F5" w:rsidRPr="00A41AD7" w:rsidP="00FF6AB4" w14:paraId="6482741B" w14:textId="77777777">
      <w:pPr>
        <w:spacing w:line="269" w:lineRule="auto"/>
        <w:rPr>
          <w:rtl/>
        </w:rPr>
      </w:pPr>
      <w:r w:rsidRPr="00D34B3B">
        <w:rPr>
          <w:rStyle w:val="5"/>
          <w:rFonts w:eastAsia="Calibri" w:hint="cs"/>
          <w:rtl/>
        </w:rPr>
        <w:t>ארכיון ה</w:t>
      </w:r>
      <w:r>
        <w:rPr>
          <w:rStyle w:val="5"/>
          <w:rFonts w:eastAsia="Calibri" w:hint="cs"/>
          <w:rtl/>
        </w:rPr>
        <w:t>מדינה</w:t>
      </w:r>
      <w:r w:rsidRPr="00D34B3B">
        <w:rPr>
          <w:rStyle w:val="5"/>
          <w:rFonts w:eastAsia="Calibri" w:hint="cs"/>
          <w:rtl/>
        </w:rPr>
        <w:t>:</w:t>
      </w:r>
      <w:r>
        <w:rPr>
          <w:rFonts w:hint="cs"/>
          <w:rtl/>
        </w:rPr>
        <w:t xml:space="preserve"> בשנת 2010 </w:t>
      </w:r>
      <w:r w:rsidRPr="00C57A92">
        <w:rPr>
          <w:rFonts w:hint="cs"/>
          <w:rtl/>
        </w:rPr>
        <w:t xml:space="preserve">קבעה </w:t>
      </w:r>
      <w:r>
        <w:rPr>
          <w:rFonts w:hint="cs"/>
          <w:rtl/>
        </w:rPr>
        <w:t>יועצת משפטית במשרד ראש הממשלה כי "ככל שהגנזך מעונין לפרסם מסמכים שחשף,</w:t>
      </w:r>
      <w:r>
        <w:rPr>
          <w:rFonts w:hint="cs"/>
          <w:rtl/>
        </w:rPr>
        <w:t xml:space="preserve"> בין באתר האינטרנט של הגנזך ובין במסגרת ספרים שהוא מוציא לאור, הרי ש</w:t>
      </w:r>
      <w:r w:rsidRPr="00D9534B">
        <w:rPr>
          <w:rFonts w:hint="cs"/>
          <w:b/>
          <w:bCs/>
          <w:rtl/>
        </w:rPr>
        <w:t>פרסומם ברבים</w:t>
      </w:r>
      <w:r>
        <w:rPr>
          <w:rFonts w:hint="cs"/>
          <w:rtl/>
        </w:rPr>
        <w:t xml:space="preserve"> כאמור מחייב אישור מוקדם של הצנזורה" (ההדגשה במקור)</w:t>
      </w:r>
      <w:r w:rsidR="006E6BB2">
        <w:rPr>
          <w:rStyle w:val="FootnoteReference"/>
          <w:rtl/>
        </w:rPr>
        <w:t xml:space="preserve"> </w:t>
      </w:r>
      <w:r>
        <w:rPr>
          <w:rFonts w:hint="cs"/>
          <w:rtl/>
        </w:rPr>
        <w:t>.</w:t>
      </w:r>
    </w:p>
    <w:p w:rsidR="0098688E" w:rsidP="00FF6AB4" w14:paraId="7BAD193B" w14:textId="77777777">
      <w:pPr>
        <w:pStyle w:val="a"/>
        <w:spacing w:line="269" w:lineRule="auto"/>
        <w:rPr>
          <w:rStyle w:val="5"/>
          <w:rFonts w:eastAsia="Calibri"/>
          <w:rtl/>
        </w:rPr>
      </w:pPr>
    </w:p>
    <w:p w:rsidR="001211BB" w:rsidRPr="00407BAA" w:rsidP="00FF6AB4" w14:paraId="3AADE78B" w14:textId="77777777">
      <w:pPr>
        <w:spacing w:line="269" w:lineRule="auto"/>
        <w:rPr>
          <w:rtl/>
        </w:rPr>
      </w:pPr>
      <w:r w:rsidRPr="009F3A13">
        <w:rPr>
          <w:rStyle w:val="5"/>
          <w:rFonts w:eastAsia="Calibri" w:hint="cs"/>
          <w:rtl/>
        </w:rPr>
        <w:t>ארכיון צה"ל:</w:t>
      </w:r>
      <w:r>
        <w:rPr>
          <w:rFonts w:hint="cs"/>
          <w:rtl/>
        </w:rPr>
        <w:t xml:space="preserve"> </w:t>
      </w:r>
      <w:r w:rsidRPr="008E1BB4">
        <w:rPr>
          <w:rFonts w:hint="cs"/>
          <w:rtl/>
        </w:rPr>
        <w:t>ארכיון צה"ל פועל לפי חוות דעת משנת 2016</w:t>
      </w:r>
      <w:r w:rsidRPr="008E1BB4" w:rsidR="0078317D">
        <w:rPr>
          <w:rFonts w:hint="cs"/>
          <w:rtl/>
        </w:rPr>
        <w:t>,</w:t>
      </w:r>
      <w:r w:rsidRPr="008E1BB4">
        <w:rPr>
          <w:rFonts w:hint="cs"/>
          <w:rtl/>
        </w:rPr>
        <w:t xml:space="preserve"> </w:t>
      </w:r>
      <w:r w:rsidRPr="008E1BB4" w:rsidR="0078317D">
        <w:rPr>
          <w:rFonts w:hint="cs"/>
          <w:rtl/>
        </w:rPr>
        <w:t>ש</w:t>
      </w:r>
      <w:r w:rsidRPr="008E1BB4">
        <w:rPr>
          <w:rFonts w:hint="cs"/>
          <w:rtl/>
        </w:rPr>
        <w:t>בה קבע היועץ המשפטי למערכת הביטחון כי "המחוקק מניח שהממשלה יודעת מ</w:t>
      </w:r>
      <w:r w:rsidRPr="008E1BB4">
        <w:rPr>
          <w:rFonts w:hint="cs"/>
          <w:rtl/>
        </w:rPr>
        <w:t xml:space="preserve">ה היא מפרסמת. שמירת הסודות הממשלתיים לא אמורה להיות תחום הסמכות והפעולה של הצנזורה היונקת סמכותה מתקנות ההגנה שכאמור, אינן חלות על המדינה". </w:t>
      </w:r>
      <w:r w:rsidRPr="008E1BB4" w:rsidR="0078317D">
        <w:rPr>
          <w:rFonts w:hint="cs"/>
          <w:rtl/>
        </w:rPr>
        <w:t>לפיכך</w:t>
      </w:r>
      <w:r w:rsidRPr="008E1BB4">
        <w:rPr>
          <w:rFonts w:hint="cs"/>
          <w:rtl/>
        </w:rPr>
        <w:t xml:space="preserve"> ארכיון צה"ל מעלה חומרים לאתר המרשתת שלו </w:t>
      </w:r>
      <w:r w:rsidRPr="00876FBF">
        <w:rPr>
          <w:rFonts w:hint="cs"/>
          <w:sz w:val="24"/>
          <w:rtl/>
        </w:rPr>
        <w:t xml:space="preserve">ללא </w:t>
      </w:r>
      <w:r w:rsidRPr="00876FBF" w:rsidR="00B03FF6">
        <w:rPr>
          <w:rFonts w:hint="cs"/>
          <w:sz w:val="24"/>
          <w:rtl/>
        </w:rPr>
        <w:t xml:space="preserve">בדיקתה המוקדמת של </w:t>
      </w:r>
      <w:r w:rsidRPr="00876FBF">
        <w:rPr>
          <w:rFonts w:hint="cs"/>
          <w:sz w:val="24"/>
          <w:rtl/>
        </w:rPr>
        <w:t>הצנזורה</w:t>
      </w:r>
      <w:r>
        <w:rPr>
          <w:rFonts w:hint="cs"/>
          <w:rtl/>
        </w:rPr>
        <w:t>.</w:t>
      </w:r>
    </w:p>
    <w:p w:rsidR="0098688E" w:rsidP="00FF6AB4" w14:paraId="3C9883C2" w14:textId="77777777">
      <w:pPr>
        <w:pStyle w:val="a"/>
        <w:spacing w:line="269" w:lineRule="auto"/>
        <w:rPr>
          <w:rStyle w:val="5"/>
          <w:rFonts w:eastAsia="Calibri"/>
          <w:b/>
          <w:rtl/>
        </w:rPr>
      </w:pPr>
    </w:p>
    <w:p w:rsidR="004A37F5" w:rsidP="00FF6AB4" w14:paraId="42036F29" w14:textId="77777777">
      <w:pPr>
        <w:spacing w:line="269" w:lineRule="auto"/>
        <w:rPr>
          <w:rtl/>
        </w:rPr>
      </w:pPr>
      <w:r w:rsidRPr="00D34B3B">
        <w:rPr>
          <w:rStyle w:val="5"/>
          <w:rFonts w:eastAsia="Calibri" w:hint="cs"/>
          <w:b/>
          <w:rtl/>
        </w:rPr>
        <w:t>ארכיון שב"כ:</w:t>
      </w:r>
      <w:r w:rsidRPr="003E09EC">
        <w:rPr>
          <w:rFonts w:hint="cs"/>
          <w:rtl/>
        </w:rPr>
        <w:t xml:space="preserve"> </w:t>
      </w:r>
      <w:r>
        <w:rPr>
          <w:rFonts w:hint="cs"/>
          <w:rtl/>
        </w:rPr>
        <w:t xml:space="preserve">אתר </w:t>
      </w:r>
      <w:r w:rsidR="0078317D">
        <w:rPr>
          <w:rFonts w:hint="cs"/>
          <w:rtl/>
        </w:rPr>
        <w:t>ה</w:t>
      </w:r>
      <w:r>
        <w:rPr>
          <w:rFonts w:hint="cs"/>
          <w:rtl/>
        </w:rPr>
        <w:t xml:space="preserve">מרשתת </w:t>
      </w:r>
      <w:r w:rsidR="0078317D">
        <w:rPr>
          <w:rFonts w:hint="cs"/>
          <w:rtl/>
        </w:rPr>
        <w:t xml:space="preserve">של שב"כ </w:t>
      </w:r>
      <w:r w:rsidR="00F85257">
        <w:rPr>
          <w:rFonts w:hint="cs"/>
          <w:rtl/>
        </w:rPr>
        <w:t xml:space="preserve">מאפשר </w:t>
      </w:r>
      <w:r>
        <w:rPr>
          <w:rFonts w:hint="cs"/>
          <w:rtl/>
        </w:rPr>
        <w:t>לעיין בחומרים ארכיוניים.</w:t>
      </w:r>
      <w:r w:rsidRPr="00233CEA">
        <w:rPr>
          <w:rFonts w:hint="cs"/>
          <w:rtl/>
        </w:rPr>
        <w:t xml:space="preserve"> </w:t>
      </w:r>
      <w:r>
        <w:rPr>
          <w:rFonts w:hint="cs"/>
          <w:rtl/>
        </w:rPr>
        <w:t>על פ</w:t>
      </w:r>
      <w:r w:rsidRPr="00233CEA">
        <w:rPr>
          <w:rFonts w:hint="cs"/>
          <w:rtl/>
        </w:rPr>
        <w:t>י נוהל</w:t>
      </w:r>
      <w:r>
        <w:rPr>
          <w:rFonts w:hint="cs"/>
          <w:rtl/>
        </w:rPr>
        <w:t xml:space="preserve"> של שב"כ בנושא חשיפת חומר ארכיוני של </w:t>
      </w:r>
      <w:r w:rsidR="00FC4565">
        <w:rPr>
          <w:rFonts w:hint="cs"/>
          <w:rtl/>
        </w:rPr>
        <w:t>שב"כ</w:t>
      </w:r>
      <w:r w:rsidRPr="00233CEA">
        <w:rPr>
          <w:rFonts w:hint="cs"/>
          <w:rtl/>
        </w:rPr>
        <w:t xml:space="preserve">, כל פרסום של חומר ארכיוני ביוזמת שב"כ ייעשה באישור </w:t>
      </w:r>
      <w:r w:rsidR="00FC4565">
        <w:rPr>
          <w:rFonts w:hint="cs"/>
          <w:rtl/>
        </w:rPr>
        <w:t>הגורם המוסמך בשב"כ</w:t>
      </w:r>
      <w:r w:rsidRPr="00233CEA">
        <w:rPr>
          <w:rFonts w:hint="cs"/>
          <w:rtl/>
        </w:rPr>
        <w:t xml:space="preserve">, וזאת בתום תהליך בקרה פנימי. </w:t>
      </w:r>
      <w:r>
        <w:rPr>
          <w:rFonts w:hint="cs"/>
          <w:rtl/>
        </w:rPr>
        <w:t>ה</w:t>
      </w:r>
      <w:r w:rsidRPr="00233CEA">
        <w:rPr>
          <w:rFonts w:hint="cs"/>
          <w:rtl/>
        </w:rPr>
        <w:t xml:space="preserve">נוהל </w:t>
      </w:r>
      <w:r w:rsidR="0078317D">
        <w:rPr>
          <w:rFonts w:hint="cs"/>
          <w:rtl/>
        </w:rPr>
        <w:t>אינו</w:t>
      </w:r>
      <w:r w:rsidRPr="00233CEA">
        <w:rPr>
          <w:rFonts w:hint="cs"/>
          <w:rtl/>
        </w:rPr>
        <w:t xml:space="preserve"> ד</w:t>
      </w:r>
      <w:r>
        <w:rPr>
          <w:rFonts w:hint="cs"/>
          <w:rtl/>
        </w:rPr>
        <w:t>ו</w:t>
      </w:r>
      <w:r w:rsidRPr="00233CEA">
        <w:rPr>
          <w:rFonts w:hint="cs"/>
          <w:rtl/>
        </w:rPr>
        <w:t xml:space="preserve">רש בדיקה של הצנזורה לפני פרסומו של </w:t>
      </w:r>
      <w:r w:rsidRPr="00087F4D">
        <w:rPr>
          <w:rFonts w:hint="cs"/>
          <w:rtl/>
        </w:rPr>
        <w:t>החומר הארכיוני</w:t>
      </w:r>
      <w:r w:rsidRPr="00087F4D" w:rsidR="00983274">
        <w:rPr>
          <w:rFonts w:hint="cs"/>
          <w:rtl/>
        </w:rPr>
        <w:t xml:space="preserve"> ומשכך בדיקה כזו אינה מבוצעת</w:t>
      </w:r>
      <w:r w:rsidRPr="00087F4D">
        <w:rPr>
          <w:rFonts w:hint="cs"/>
          <w:rtl/>
        </w:rPr>
        <w:t>.</w:t>
      </w:r>
      <w:r w:rsidRPr="00087F4D" w:rsidR="0078317D">
        <w:rPr>
          <w:rFonts w:hint="cs"/>
          <w:rtl/>
        </w:rPr>
        <w:t xml:space="preserve"> </w:t>
      </w:r>
    </w:p>
    <w:p w:rsidR="0098688E" w:rsidP="00FF6AB4" w14:paraId="18CC4EE4" w14:textId="77777777">
      <w:pPr>
        <w:pStyle w:val="a"/>
        <w:spacing w:line="269" w:lineRule="auto"/>
        <w:rPr>
          <w:rStyle w:val="5"/>
          <w:rFonts w:eastAsia="Calibri"/>
          <w:b/>
          <w:rtl/>
        </w:rPr>
      </w:pPr>
    </w:p>
    <w:p w:rsidR="004A37F5" w:rsidP="00FF6AB4" w14:paraId="70FB2FE1" w14:textId="77777777">
      <w:pPr>
        <w:spacing w:line="269" w:lineRule="auto"/>
        <w:rPr>
          <w:rtl/>
        </w:rPr>
      </w:pPr>
      <w:r w:rsidRPr="00D34B3B">
        <w:rPr>
          <w:rStyle w:val="5"/>
          <w:rFonts w:eastAsia="Calibri" w:hint="cs"/>
          <w:b/>
          <w:rtl/>
        </w:rPr>
        <w:t>ארכיון בן</w:t>
      </w:r>
      <w:r>
        <w:rPr>
          <w:rStyle w:val="5"/>
          <w:rFonts w:eastAsia="Calibri" w:hint="cs"/>
          <w:b/>
          <w:rtl/>
        </w:rPr>
        <w:t>-</w:t>
      </w:r>
      <w:r w:rsidRPr="00D34B3B">
        <w:rPr>
          <w:rStyle w:val="5"/>
          <w:rFonts w:eastAsia="Calibri" w:hint="cs"/>
          <w:b/>
          <w:rtl/>
        </w:rPr>
        <w:t>גוריון:</w:t>
      </w:r>
      <w:r>
        <w:rPr>
          <w:rFonts w:hint="cs"/>
          <w:rtl/>
        </w:rPr>
        <w:t xml:space="preserve"> כאמור, </w:t>
      </w:r>
      <w:r w:rsidR="00407BAA">
        <w:rPr>
          <w:rFonts w:hint="cs"/>
          <w:rtl/>
        </w:rPr>
        <w:t xml:space="preserve">גם </w:t>
      </w:r>
      <w:r>
        <w:rPr>
          <w:rFonts w:hint="cs"/>
          <w:rtl/>
        </w:rPr>
        <w:t xml:space="preserve">בארכיון בן-גוריון מופקדים חומרים מסווגים. </w:t>
      </w:r>
      <w:r w:rsidRPr="003E09EC">
        <w:rPr>
          <w:rFonts w:hint="cs"/>
          <w:rtl/>
        </w:rPr>
        <w:t xml:space="preserve">מנהל הארכיון מסר </w:t>
      </w:r>
      <w:r w:rsidR="00F85257">
        <w:rPr>
          <w:rFonts w:hint="cs"/>
          <w:rtl/>
        </w:rPr>
        <w:t>למשרד מבקר המדינה</w:t>
      </w:r>
      <w:r w:rsidRPr="003E09EC">
        <w:rPr>
          <w:rFonts w:hint="cs"/>
          <w:rtl/>
        </w:rPr>
        <w:t xml:space="preserve"> </w:t>
      </w:r>
      <w:r w:rsidR="00407BAA">
        <w:rPr>
          <w:rFonts w:hint="cs"/>
          <w:rtl/>
        </w:rPr>
        <w:t>באוקטובר 2018</w:t>
      </w:r>
      <w:r w:rsidRPr="003E09EC">
        <w:rPr>
          <w:rFonts w:hint="cs"/>
          <w:rtl/>
        </w:rPr>
        <w:t xml:space="preserve"> כי הארכיון אינו מקיים קשרי עבודה עם הצנזורה</w:t>
      </w:r>
      <w:r w:rsidR="007013F9">
        <w:rPr>
          <w:rFonts w:hint="cs"/>
          <w:rtl/>
        </w:rPr>
        <w:t xml:space="preserve">, זאת אף </w:t>
      </w:r>
      <w:r w:rsidR="00F85257">
        <w:rPr>
          <w:rFonts w:hint="cs"/>
          <w:rtl/>
        </w:rPr>
        <w:t>שהוא מעלה מסמכים לאתר המרשתת שלו</w:t>
      </w:r>
      <w:r w:rsidRPr="003E09EC">
        <w:rPr>
          <w:rFonts w:hint="cs"/>
          <w:rtl/>
        </w:rPr>
        <w:t>.</w:t>
      </w:r>
    </w:p>
    <w:p w:rsidR="0098688E" w:rsidP="00FF6AB4" w14:paraId="6F68CDA3" w14:textId="77777777">
      <w:pPr>
        <w:pStyle w:val="a"/>
        <w:spacing w:line="269" w:lineRule="auto"/>
        <w:rPr>
          <w:rtl/>
        </w:rPr>
      </w:pPr>
    </w:p>
    <w:p w:rsidR="004A37F5" w:rsidP="00FF6AB4" w14:paraId="22A5CCA5" w14:textId="77777777">
      <w:pPr>
        <w:spacing w:line="269" w:lineRule="auto"/>
        <w:rPr>
          <w:b/>
          <w:bCs/>
          <w:rtl/>
        </w:rPr>
      </w:pPr>
      <w:r w:rsidRPr="008F671C">
        <w:rPr>
          <w:rFonts w:hint="cs"/>
          <w:b/>
          <w:bCs/>
          <w:rtl/>
        </w:rPr>
        <w:t xml:space="preserve">מן האמור עולה כי </w:t>
      </w:r>
      <w:r w:rsidR="00651860">
        <w:rPr>
          <w:rFonts w:hint="cs"/>
          <w:b/>
          <w:bCs/>
          <w:rtl/>
        </w:rPr>
        <w:t>קיים שוני</w:t>
      </w:r>
      <w:r w:rsidRPr="008F671C">
        <w:rPr>
          <w:rFonts w:hint="cs"/>
          <w:b/>
          <w:bCs/>
          <w:rtl/>
        </w:rPr>
        <w:t xml:space="preserve"> </w:t>
      </w:r>
      <w:r>
        <w:rPr>
          <w:rFonts w:hint="cs"/>
          <w:b/>
          <w:bCs/>
          <w:rtl/>
        </w:rPr>
        <w:t>בין הנעשה</w:t>
      </w:r>
      <w:r w:rsidRPr="008F671C">
        <w:rPr>
          <w:rFonts w:hint="cs"/>
          <w:b/>
          <w:bCs/>
          <w:rtl/>
        </w:rPr>
        <w:t xml:space="preserve"> </w:t>
      </w:r>
      <w:r>
        <w:rPr>
          <w:rFonts w:hint="cs"/>
          <w:b/>
          <w:bCs/>
          <w:rtl/>
        </w:rPr>
        <w:t>ב</w:t>
      </w:r>
      <w:r w:rsidRPr="008F671C">
        <w:rPr>
          <w:rFonts w:hint="cs"/>
          <w:b/>
          <w:bCs/>
          <w:rtl/>
        </w:rPr>
        <w:t xml:space="preserve">ארכיון המדינה </w:t>
      </w:r>
      <w:r w:rsidR="007013F9">
        <w:rPr>
          <w:rFonts w:hint="cs"/>
          <w:b/>
          <w:bCs/>
          <w:rtl/>
        </w:rPr>
        <w:t>ובין</w:t>
      </w:r>
      <w:r>
        <w:rPr>
          <w:rFonts w:hint="cs"/>
          <w:b/>
          <w:bCs/>
          <w:rtl/>
        </w:rPr>
        <w:t xml:space="preserve"> הנעשה</w:t>
      </w:r>
      <w:r w:rsidRPr="008F671C">
        <w:rPr>
          <w:rFonts w:hint="cs"/>
          <w:b/>
          <w:bCs/>
          <w:rtl/>
        </w:rPr>
        <w:t xml:space="preserve"> </w:t>
      </w:r>
      <w:r>
        <w:rPr>
          <w:rFonts w:hint="cs"/>
          <w:b/>
          <w:bCs/>
          <w:rtl/>
        </w:rPr>
        <w:t>ב</w:t>
      </w:r>
      <w:r w:rsidRPr="008F671C">
        <w:rPr>
          <w:rFonts w:hint="cs"/>
          <w:b/>
          <w:bCs/>
          <w:rtl/>
        </w:rPr>
        <w:t xml:space="preserve">שלוחותיו בנוגע לבדיקת חומרים על ידי הצנזורה </w:t>
      </w:r>
      <w:r w:rsidR="007013F9">
        <w:rPr>
          <w:rFonts w:hint="cs"/>
          <w:b/>
          <w:bCs/>
          <w:rtl/>
        </w:rPr>
        <w:t>לפני</w:t>
      </w:r>
      <w:r w:rsidRPr="008F671C">
        <w:rPr>
          <w:rFonts w:hint="cs"/>
          <w:b/>
          <w:bCs/>
          <w:rtl/>
        </w:rPr>
        <w:t xml:space="preserve"> העלאתם </w:t>
      </w:r>
      <w:r w:rsidR="007013F9">
        <w:rPr>
          <w:rFonts w:hint="cs"/>
          <w:b/>
          <w:bCs/>
          <w:rtl/>
        </w:rPr>
        <w:t>ל</w:t>
      </w:r>
      <w:r w:rsidRPr="008F671C">
        <w:rPr>
          <w:rFonts w:hint="cs"/>
          <w:b/>
          <w:bCs/>
          <w:rtl/>
        </w:rPr>
        <w:t>מרשתת</w:t>
      </w:r>
      <w:r w:rsidR="004A74D5">
        <w:rPr>
          <w:rFonts w:hint="cs"/>
          <w:b/>
          <w:bCs/>
          <w:rtl/>
        </w:rPr>
        <w:t>, וזאת אף ש</w:t>
      </w:r>
      <w:r w:rsidR="00C912EE">
        <w:rPr>
          <w:rFonts w:hint="cs"/>
          <w:b/>
          <w:bCs/>
          <w:rtl/>
        </w:rPr>
        <w:t>ב</w:t>
      </w:r>
      <w:r w:rsidR="004A74D5">
        <w:rPr>
          <w:rFonts w:hint="cs"/>
          <w:b/>
          <w:bCs/>
          <w:rtl/>
        </w:rPr>
        <w:t>ארכיון המדינה ו</w:t>
      </w:r>
      <w:r w:rsidR="00C912EE">
        <w:rPr>
          <w:rFonts w:hint="cs"/>
          <w:b/>
          <w:bCs/>
          <w:rtl/>
        </w:rPr>
        <w:t>ב</w:t>
      </w:r>
      <w:r w:rsidR="004A74D5">
        <w:rPr>
          <w:rFonts w:hint="cs"/>
          <w:b/>
          <w:bCs/>
          <w:rtl/>
        </w:rPr>
        <w:t xml:space="preserve">שלוחותיו - </w:t>
      </w:r>
      <w:r w:rsidR="00F85257">
        <w:rPr>
          <w:rFonts w:hint="cs"/>
          <w:b/>
          <w:bCs/>
          <w:rtl/>
        </w:rPr>
        <w:t xml:space="preserve">ובייחוד </w:t>
      </w:r>
      <w:r w:rsidR="004A74D5">
        <w:rPr>
          <w:rFonts w:hint="cs"/>
          <w:b/>
          <w:bCs/>
          <w:rtl/>
        </w:rPr>
        <w:t xml:space="preserve">ארכיון צה"ל </w:t>
      </w:r>
      <w:r w:rsidR="00234E12">
        <w:rPr>
          <w:rFonts w:hint="cs"/>
          <w:b/>
          <w:bCs/>
          <w:rtl/>
        </w:rPr>
        <w:t>-</w:t>
      </w:r>
      <w:r w:rsidR="004A74D5">
        <w:rPr>
          <w:rFonts w:hint="cs"/>
          <w:b/>
          <w:bCs/>
          <w:rtl/>
        </w:rPr>
        <w:t xml:space="preserve"> </w:t>
      </w:r>
      <w:r w:rsidR="00C912EE">
        <w:rPr>
          <w:rFonts w:hint="cs"/>
          <w:b/>
          <w:bCs/>
          <w:rtl/>
        </w:rPr>
        <w:t xml:space="preserve">קיימים </w:t>
      </w:r>
      <w:r w:rsidR="00C06805">
        <w:rPr>
          <w:rFonts w:hint="cs"/>
          <w:b/>
          <w:bCs/>
          <w:rtl/>
        </w:rPr>
        <w:t>חומרים מסווגים</w:t>
      </w:r>
      <w:r w:rsidRPr="008F671C">
        <w:rPr>
          <w:rFonts w:hint="cs"/>
          <w:b/>
          <w:bCs/>
          <w:rtl/>
        </w:rPr>
        <w:t>.</w:t>
      </w:r>
    </w:p>
    <w:p w:rsidR="0098688E" w:rsidP="00FF6AB4" w14:paraId="4DA8951B" w14:textId="77777777">
      <w:pPr>
        <w:pStyle w:val="a"/>
        <w:spacing w:line="269" w:lineRule="auto"/>
        <w:rPr>
          <w:rtl/>
        </w:rPr>
      </w:pPr>
    </w:p>
    <w:p w:rsidR="00EE3D36" w:rsidRPr="00EE3D36" w:rsidP="00EE3D36" w14:paraId="576D0B5E" w14:textId="77777777">
      <w:pPr>
        <w:pStyle w:val="a"/>
        <w:rPr>
          <w:rtl/>
        </w:rPr>
      </w:pPr>
    </w:p>
    <w:p w:rsidR="00677E0C" w:rsidP="00FF6AB4" w14:paraId="0D59F7D5" w14:textId="77777777">
      <w:pPr>
        <w:pStyle w:val="Heading3"/>
        <w:spacing w:before="0" w:line="269" w:lineRule="auto"/>
        <w:rPr>
          <w:rtl/>
        </w:rPr>
      </w:pPr>
      <w:r w:rsidRPr="00087F4D">
        <w:rPr>
          <w:rFonts w:hint="cs"/>
          <w:rtl/>
        </w:rPr>
        <w:t>ה</w:t>
      </w:r>
      <w:r w:rsidR="00AF1904">
        <w:rPr>
          <w:rFonts w:hint="cs"/>
          <w:rtl/>
        </w:rPr>
        <w:t>צורך בקיומם של שני הליכים - חשיפה וצנזורה</w:t>
      </w:r>
    </w:p>
    <w:p w:rsidR="0048055E" w:rsidRPr="0048055E" w:rsidP="00FF6AB4" w14:paraId="4F856252" w14:textId="77777777">
      <w:pPr>
        <w:pStyle w:val="a"/>
        <w:spacing w:line="269" w:lineRule="auto"/>
        <w:rPr>
          <w:rtl/>
        </w:rPr>
      </w:pPr>
    </w:p>
    <w:p w:rsidR="00AF1904" w:rsidP="00FF6AB4" w14:paraId="4B19C99E" w14:textId="77777777">
      <w:pPr>
        <w:spacing w:line="269" w:lineRule="auto"/>
        <w:rPr>
          <w:rtl/>
        </w:rPr>
      </w:pPr>
      <w:r w:rsidRPr="00AF1904">
        <w:rPr>
          <w:rFonts w:hint="cs"/>
          <w:rtl/>
        </w:rPr>
        <w:t xml:space="preserve">כאמור, </w:t>
      </w:r>
      <w:r w:rsidR="00C32068">
        <w:rPr>
          <w:rFonts w:hint="cs"/>
          <w:rtl/>
        </w:rPr>
        <w:t>ה</w:t>
      </w:r>
      <w:r w:rsidRPr="00AF1904">
        <w:rPr>
          <w:rFonts w:hint="cs"/>
          <w:rtl/>
        </w:rPr>
        <w:t xml:space="preserve">ליך החשיפה </w:t>
      </w:r>
      <w:r w:rsidR="00C32068">
        <w:rPr>
          <w:rFonts w:hint="cs"/>
          <w:rtl/>
        </w:rPr>
        <w:t xml:space="preserve">בארכיונים נועד </w:t>
      </w:r>
      <w:r w:rsidRPr="00AF1904">
        <w:rPr>
          <w:rFonts w:hint="cs"/>
          <w:rtl/>
        </w:rPr>
        <w:t xml:space="preserve">למנוע חשיפת חומר </w:t>
      </w:r>
      <w:r w:rsidR="00F85257">
        <w:rPr>
          <w:rFonts w:hint="cs"/>
          <w:rtl/>
        </w:rPr>
        <w:t>שגילויו</w:t>
      </w:r>
      <w:r w:rsidRPr="00AF1904" w:rsidR="00F85257">
        <w:rPr>
          <w:rFonts w:hint="cs"/>
          <w:rtl/>
        </w:rPr>
        <w:t xml:space="preserve"> </w:t>
      </w:r>
      <w:r w:rsidRPr="00AF1904">
        <w:rPr>
          <w:rFonts w:hint="cs"/>
          <w:rtl/>
        </w:rPr>
        <w:t>עלול לגרום נזק</w:t>
      </w:r>
      <w:r w:rsidRPr="00C42684">
        <w:rPr>
          <w:rFonts w:hint="cs"/>
          <w:rtl/>
        </w:rPr>
        <w:t xml:space="preserve"> לביטחון המדינה, ליחסי החוץ שלה או לצנעת הפרט</w:t>
      </w:r>
      <w:r>
        <w:rPr>
          <w:rFonts w:hint="cs"/>
          <w:rtl/>
        </w:rPr>
        <w:t xml:space="preserve">. </w:t>
      </w:r>
      <w:r w:rsidR="00C32068">
        <w:rPr>
          <w:rFonts w:hint="cs"/>
          <w:rtl/>
        </w:rPr>
        <w:t>ההליך המתקיים ב</w:t>
      </w:r>
      <w:r>
        <w:rPr>
          <w:rFonts w:hint="cs"/>
          <w:rtl/>
        </w:rPr>
        <w:t>צנזורה</w:t>
      </w:r>
      <w:r w:rsidR="00C32068">
        <w:rPr>
          <w:rFonts w:hint="cs"/>
          <w:rtl/>
        </w:rPr>
        <w:t xml:space="preserve"> נועד</w:t>
      </w:r>
      <w:r>
        <w:rPr>
          <w:rFonts w:hint="cs"/>
          <w:rtl/>
        </w:rPr>
        <w:t xml:space="preserve"> </w:t>
      </w:r>
      <w:r w:rsidR="00F85257">
        <w:rPr>
          <w:rFonts w:hint="cs"/>
          <w:rtl/>
        </w:rPr>
        <w:t xml:space="preserve">למנוע </w:t>
      </w:r>
      <w:r>
        <w:rPr>
          <w:rFonts w:hint="cs"/>
          <w:rtl/>
        </w:rPr>
        <w:t>פרסום של מידע העלול לפגוע בביטחון המדינה.</w:t>
      </w:r>
    </w:p>
    <w:p w:rsidR="0098688E" w:rsidP="00FF6AB4" w14:paraId="37588678" w14:textId="77777777">
      <w:pPr>
        <w:pStyle w:val="a"/>
        <w:spacing w:line="269" w:lineRule="auto"/>
        <w:rPr>
          <w:rtl/>
        </w:rPr>
      </w:pPr>
    </w:p>
    <w:p w:rsidR="00677E0C" w:rsidP="00FF6AB4" w14:paraId="5A2B7BCA" w14:textId="77777777">
      <w:pPr>
        <w:spacing w:line="269" w:lineRule="auto"/>
        <w:rPr>
          <w:b/>
          <w:bCs/>
          <w:rtl/>
        </w:rPr>
      </w:pPr>
      <w:r>
        <w:rPr>
          <w:rFonts w:hint="cs"/>
          <w:b/>
          <w:bCs/>
          <w:rtl/>
        </w:rPr>
        <w:t>כיוון ש</w:t>
      </w:r>
      <w:r w:rsidR="00F85257">
        <w:rPr>
          <w:rFonts w:hint="cs"/>
          <w:b/>
          <w:bCs/>
          <w:rtl/>
        </w:rPr>
        <w:t xml:space="preserve">על פי רוב </w:t>
      </w:r>
      <w:r>
        <w:rPr>
          <w:rFonts w:hint="cs"/>
          <w:b/>
          <w:bCs/>
          <w:rtl/>
        </w:rPr>
        <w:t xml:space="preserve">חומרים ארכיוניים </w:t>
      </w:r>
      <w:r w:rsidR="00F85257">
        <w:rPr>
          <w:rFonts w:hint="cs"/>
          <w:b/>
          <w:bCs/>
          <w:rtl/>
        </w:rPr>
        <w:t xml:space="preserve">נחשפים </w:t>
      </w:r>
      <w:r w:rsidR="00C912EE">
        <w:rPr>
          <w:rFonts w:hint="cs"/>
          <w:b/>
          <w:bCs/>
          <w:rtl/>
        </w:rPr>
        <w:t xml:space="preserve">כיום </w:t>
      </w:r>
      <w:r w:rsidR="00F85257">
        <w:rPr>
          <w:rFonts w:hint="cs"/>
          <w:b/>
          <w:bCs/>
          <w:rtl/>
        </w:rPr>
        <w:t>לעיון הציבור</w:t>
      </w:r>
      <w:r>
        <w:rPr>
          <w:rFonts w:hint="cs"/>
          <w:b/>
          <w:bCs/>
          <w:rtl/>
        </w:rPr>
        <w:t xml:space="preserve"> </w:t>
      </w:r>
      <w:r w:rsidR="00F85257">
        <w:rPr>
          <w:rFonts w:hint="cs"/>
          <w:b/>
          <w:bCs/>
          <w:rtl/>
        </w:rPr>
        <w:t xml:space="preserve">באמצעות העלאתם </w:t>
      </w:r>
      <w:r>
        <w:rPr>
          <w:rFonts w:hint="cs"/>
          <w:b/>
          <w:bCs/>
          <w:rtl/>
        </w:rPr>
        <w:t>ישירות</w:t>
      </w:r>
      <w:r w:rsidR="00F85257">
        <w:rPr>
          <w:rFonts w:hint="cs"/>
          <w:b/>
          <w:bCs/>
          <w:rtl/>
        </w:rPr>
        <w:t xml:space="preserve"> </w:t>
      </w:r>
      <w:r>
        <w:rPr>
          <w:rFonts w:hint="cs"/>
          <w:b/>
          <w:bCs/>
          <w:rtl/>
        </w:rPr>
        <w:t>לאתר המרשתת של הארכיון, כאמור לעיל,</w:t>
      </w:r>
      <w:r w:rsidR="00B03FF6">
        <w:rPr>
          <w:rFonts w:hint="cs"/>
          <w:b/>
          <w:bCs/>
          <w:rtl/>
        </w:rPr>
        <w:t xml:space="preserve"> עולה השאלה </w:t>
      </w:r>
      <w:r w:rsidR="00735FD9">
        <w:rPr>
          <w:rFonts w:hint="cs"/>
          <w:b/>
          <w:bCs/>
          <w:rtl/>
        </w:rPr>
        <w:t>אם</w:t>
      </w:r>
      <w:r w:rsidR="005541B0">
        <w:rPr>
          <w:rFonts w:hint="cs"/>
          <w:b/>
          <w:bCs/>
          <w:rtl/>
        </w:rPr>
        <w:t xml:space="preserve"> יש צורך</w:t>
      </w:r>
      <w:r w:rsidR="00735FD9">
        <w:rPr>
          <w:rFonts w:hint="cs"/>
          <w:b/>
          <w:bCs/>
          <w:rtl/>
        </w:rPr>
        <w:t xml:space="preserve"> </w:t>
      </w:r>
      <w:r w:rsidR="005541B0">
        <w:rPr>
          <w:rFonts w:hint="cs"/>
          <w:b/>
          <w:bCs/>
          <w:rtl/>
        </w:rPr>
        <w:t>בבדיקת</w:t>
      </w:r>
      <w:r w:rsidR="005B79E0">
        <w:rPr>
          <w:rFonts w:hint="cs"/>
          <w:b/>
          <w:bCs/>
          <w:rtl/>
        </w:rPr>
        <w:t>ם</w:t>
      </w:r>
      <w:r w:rsidR="00B03FF6">
        <w:rPr>
          <w:rFonts w:hint="cs"/>
          <w:b/>
          <w:bCs/>
          <w:rtl/>
        </w:rPr>
        <w:t xml:space="preserve"> על ידי שני גורמים - צוותי חשיפה של הארכיון </w:t>
      </w:r>
      <w:r w:rsidR="009417BF">
        <w:rPr>
          <w:rFonts w:hint="cs"/>
          <w:b/>
          <w:bCs/>
          <w:rtl/>
        </w:rPr>
        <w:t>המאשרים את העיון בחומר</w:t>
      </w:r>
      <w:r w:rsidR="005B79E0">
        <w:rPr>
          <w:rFonts w:hint="cs"/>
          <w:b/>
          <w:bCs/>
          <w:rtl/>
        </w:rPr>
        <w:t>ים</w:t>
      </w:r>
      <w:r w:rsidR="009417BF">
        <w:rPr>
          <w:rFonts w:hint="cs"/>
          <w:b/>
          <w:bCs/>
          <w:rtl/>
        </w:rPr>
        <w:t xml:space="preserve">, </w:t>
      </w:r>
      <w:r w:rsidR="00B03FF6">
        <w:rPr>
          <w:rFonts w:hint="cs"/>
          <w:b/>
          <w:bCs/>
          <w:rtl/>
        </w:rPr>
        <w:t>וגורמים מטעם הצנזורה</w:t>
      </w:r>
      <w:r w:rsidR="009417BF">
        <w:rPr>
          <w:rFonts w:hint="cs"/>
          <w:b/>
          <w:bCs/>
          <w:rtl/>
        </w:rPr>
        <w:t xml:space="preserve"> המא</w:t>
      </w:r>
      <w:r w:rsidR="005B79E0">
        <w:rPr>
          <w:rFonts w:hint="cs"/>
          <w:b/>
          <w:bCs/>
          <w:rtl/>
        </w:rPr>
        <w:t>ש</w:t>
      </w:r>
      <w:r w:rsidR="009417BF">
        <w:rPr>
          <w:rFonts w:hint="cs"/>
          <w:b/>
          <w:bCs/>
          <w:rtl/>
        </w:rPr>
        <w:t>רים את פרסומ</w:t>
      </w:r>
      <w:r w:rsidR="005B79E0">
        <w:rPr>
          <w:rFonts w:hint="cs"/>
          <w:b/>
          <w:bCs/>
          <w:rtl/>
        </w:rPr>
        <w:t>ם</w:t>
      </w:r>
      <w:r w:rsidR="00E56642">
        <w:rPr>
          <w:rFonts w:hint="cs"/>
          <w:b/>
          <w:bCs/>
          <w:rtl/>
        </w:rPr>
        <w:t>.</w:t>
      </w:r>
    </w:p>
    <w:p w:rsidR="00E56642" w:rsidP="00FF6AB4" w14:paraId="5138D830" w14:textId="77777777">
      <w:pPr>
        <w:pStyle w:val="a"/>
        <w:spacing w:line="269" w:lineRule="auto"/>
        <w:rPr>
          <w:rtl/>
        </w:rPr>
      </w:pPr>
    </w:p>
    <w:p w:rsidR="00677E0C" w:rsidP="00FF6AB4" w14:paraId="0CCA812F" w14:textId="77777777">
      <w:pPr>
        <w:spacing w:line="269" w:lineRule="auto"/>
        <w:rPr>
          <w:rtl/>
        </w:rPr>
      </w:pPr>
      <w:r>
        <w:rPr>
          <w:rFonts w:hint="cs"/>
          <w:rtl/>
        </w:rPr>
        <w:t>הצנזורית הצבאית הראשית מסרה ביולי 2018 למשרד מבקר המדינה כ</w:t>
      </w:r>
      <w:r>
        <w:rPr>
          <w:rFonts w:hint="cs"/>
          <w:rtl/>
        </w:rPr>
        <w:t xml:space="preserve">י בראייתה, </w:t>
      </w:r>
      <w:r w:rsidRPr="008958A1">
        <w:rPr>
          <w:rFonts w:hint="cs"/>
          <w:rtl/>
        </w:rPr>
        <w:t>העמדה</w:t>
      </w:r>
      <w:r w:rsidRPr="0090550D">
        <w:rPr>
          <w:rFonts w:hint="cs"/>
          <w:rtl/>
        </w:rPr>
        <w:t xml:space="preserve"> </w:t>
      </w:r>
      <w:r w:rsidR="009F5077">
        <w:rPr>
          <w:rFonts w:hint="cs"/>
          <w:rtl/>
        </w:rPr>
        <w:t>לעיון</w:t>
      </w:r>
      <w:r w:rsidRPr="003654B9" w:rsidR="009F5077">
        <w:rPr>
          <w:rFonts w:hint="cs"/>
          <w:rtl/>
        </w:rPr>
        <w:t xml:space="preserve"> </w:t>
      </w:r>
      <w:r w:rsidRPr="003654B9">
        <w:rPr>
          <w:rFonts w:hint="cs"/>
          <w:rtl/>
        </w:rPr>
        <w:t>הציבור ופרסום</w:t>
      </w:r>
      <w:r>
        <w:rPr>
          <w:rFonts w:hint="cs"/>
          <w:rtl/>
        </w:rPr>
        <w:t xml:space="preserve"> הם כיום היינו הך. </w:t>
      </w:r>
      <w:r w:rsidR="009F5077">
        <w:rPr>
          <w:rFonts w:hint="cs"/>
          <w:rtl/>
        </w:rPr>
        <w:t>בתגובתה</w:t>
      </w:r>
      <w:r>
        <w:rPr>
          <w:rFonts w:hint="cs"/>
          <w:rtl/>
        </w:rPr>
        <w:t xml:space="preserve"> מיוני 2019 </w:t>
      </w:r>
      <w:r w:rsidR="009F5077">
        <w:rPr>
          <w:rFonts w:hint="cs"/>
          <w:rtl/>
        </w:rPr>
        <w:t xml:space="preserve">על </w:t>
      </w:r>
      <w:r>
        <w:rPr>
          <w:rFonts w:hint="cs"/>
          <w:rtl/>
        </w:rPr>
        <w:t>ממצאי הביקורת מסרה</w:t>
      </w:r>
      <w:r w:rsidR="009F5077">
        <w:rPr>
          <w:rFonts w:hint="cs"/>
          <w:rtl/>
        </w:rPr>
        <w:t xml:space="preserve"> הצנזורית</w:t>
      </w:r>
      <w:r>
        <w:rPr>
          <w:rFonts w:hint="cs"/>
          <w:rtl/>
        </w:rPr>
        <w:t xml:space="preserve"> כי מכוח תקנות ההגנה היא מוסמכת לבחון חומר ארכיוני הנוגע לביטחון המדינה לפני העמדתו לעיון וכן לפני העלאתו למרשתת, שכן בשני המקרים מדובר בפרסום, המוגדר בתקנה 86 לתקנות ההגנה "להפיץ, לפזר, למסור, להודיע או לעשות מצוי לכל בן-אדם או בני-אדם". סמכות זו אינה מוג</w:t>
      </w:r>
      <w:r>
        <w:rPr>
          <w:rFonts w:hint="cs"/>
          <w:rtl/>
        </w:rPr>
        <w:t>בלת לשלב שלפני העלאת מידע למרשתת</w:t>
      </w:r>
      <w:r>
        <w:rPr>
          <w:rStyle w:val="FootnoteReference"/>
          <w:rtl/>
        </w:rPr>
        <w:footnoteReference w:id="35"/>
      </w:r>
      <w:r>
        <w:rPr>
          <w:rFonts w:hint="cs"/>
          <w:rtl/>
        </w:rPr>
        <w:t>.</w:t>
      </w:r>
    </w:p>
    <w:p w:rsidR="0098688E" w:rsidP="00FF6AB4" w14:paraId="4FCA9016" w14:textId="77777777">
      <w:pPr>
        <w:pStyle w:val="a"/>
        <w:spacing w:line="269" w:lineRule="auto"/>
        <w:rPr>
          <w:rtl/>
        </w:rPr>
      </w:pPr>
    </w:p>
    <w:p w:rsidR="00F07D90" w:rsidP="00FF6AB4" w14:paraId="290675AF" w14:textId="77777777">
      <w:pPr>
        <w:spacing w:line="269" w:lineRule="auto"/>
        <w:rPr>
          <w:rtl/>
        </w:rPr>
      </w:pPr>
      <w:r>
        <w:rPr>
          <w:rFonts w:hint="cs"/>
          <w:rtl/>
        </w:rPr>
        <w:t xml:space="preserve">בתגובתה </w:t>
      </w:r>
      <w:r w:rsidR="00352A7B">
        <w:rPr>
          <w:rFonts w:hint="cs"/>
          <w:rtl/>
        </w:rPr>
        <w:t xml:space="preserve">מיוני 2019 </w:t>
      </w:r>
      <w:r>
        <w:rPr>
          <w:rFonts w:hint="cs"/>
          <w:rtl/>
        </w:rPr>
        <w:t xml:space="preserve">על </w:t>
      </w:r>
      <w:r w:rsidR="00352A7B">
        <w:rPr>
          <w:rFonts w:hint="cs"/>
          <w:rtl/>
        </w:rPr>
        <w:t xml:space="preserve">טיוטת דוח הביקורת מסרה הצנזורה כי פרסום חומר שנוגע לביטחון המדינה ללא אישור מוקדם של הצנזור אסור מכוח תקנות ההגנה, והדבר נכון </w:t>
      </w:r>
      <w:r>
        <w:rPr>
          <w:rFonts w:hint="cs"/>
          <w:rtl/>
        </w:rPr>
        <w:t xml:space="preserve">הן בנוגע </w:t>
      </w:r>
      <w:r w:rsidR="00352A7B">
        <w:rPr>
          <w:rFonts w:hint="cs"/>
          <w:rtl/>
        </w:rPr>
        <w:t xml:space="preserve">להעמדת מידע לעיון </w:t>
      </w:r>
      <w:r>
        <w:rPr>
          <w:rFonts w:hint="cs"/>
          <w:rtl/>
        </w:rPr>
        <w:t>והן בנוגע</w:t>
      </w:r>
      <w:r w:rsidR="00352A7B">
        <w:rPr>
          <w:rFonts w:hint="cs"/>
          <w:rtl/>
        </w:rPr>
        <w:t xml:space="preserve"> להעלאתו למרשתת. הגבלה זו </w:t>
      </w:r>
      <w:r>
        <w:rPr>
          <w:rFonts w:hint="cs"/>
          <w:rtl/>
        </w:rPr>
        <w:t>ש</w:t>
      </w:r>
      <w:r w:rsidR="00352A7B">
        <w:rPr>
          <w:rFonts w:hint="cs"/>
          <w:rtl/>
        </w:rPr>
        <w:t>ל זכות העיון נקבעה בתקנות ההגנה</w:t>
      </w:r>
      <w:r w:rsidR="00A207AB">
        <w:rPr>
          <w:rFonts w:hint="cs"/>
          <w:rtl/>
        </w:rPr>
        <w:t>,</w:t>
      </w:r>
      <w:r w:rsidR="00352A7B">
        <w:rPr>
          <w:rFonts w:hint="cs"/>
          <w:rtl/>
        </w:rPr>
        <w:t xml:space="preserve"> ובהתאם לתקנה 14 בתקנות העיון</w:t>
      </w:r>
      <w:r>
        <w:rPr>
          <w:rStyle w:val="FootnoteReference"/>
          <w:rtl/>
        </w:rPr>
        <w:footnoteReference w:id="36"/>
      </w:r>
      <w:r w:rsidR="00352A7B">
        <w:rPr>
          <w:rFonts w:hint="cs"/>
          <w:rtl/>
        </w:rPr>
        <w:t xml:space="preserve"> היא גוברת על ההסדר שנקבע בחוק הארכיונים ובתקנות העיון.</w:t>
      </w:r>
      <w:r w:rsidR="00B03FF6">
        <w:rPr>
          <w:rFonts w:hint="cs"/>
          <w:rtl/>
        </w:rPr>
        <w:t xml:space="preserve"> </w:t>
      </w:r>
      <w:r w:rsidR="00352A7B">
        <w:rPr>
          <w:rFonts w:hint="cs"/>
          <w:rtl/>
        </w:rPr>
        <w:t xml:space="preserve">עוד </w:t>
      </w:r>
      <w:r w:rsidR="00B03FF6">
        <w:rPr>
          <w:rFonts w:hint="cs"/>
          <w:rtl/>
        </w:rPr>
        <w:t xml:space="preserve">מסרה הצנזורה כי סמכויותיה </w:t>
      </w:r>
      <w:r w:rsidR="00A41B25">
        <w:rPr>
          <w:rFonts w:hint="cs"/>
          <w:rtl/>
        </w:rPr>
        <w:t xml:space="preserve">האמורות </w:t>
      </w:r>
      <w:r w:rsidR="00B03FF6">
        <w:rPr>
          <w:rFonts w:hint="cs"/>
          <w:rtl/>
        </w:rPr>
        <w:t xml:space="preserve">מכוח תקנות ההגנה </w:t>
      </w:r>
      <w:r w:rsidR="00A41B25">
        <w:rPr>
          <w:rFonts w:hint="cs"/>
          <w:rtl/>
        </w:rPr>
        <w:t xml:space="preserve">חלות גם על ארכיון המדינה וגם על </w:t>
      </w:r>
      <w:r w:rsidR="00B03FF6">
        <w:rPr>
          <w:rFonts w:hint="cs"/>
          <w:rtl/>
        </w:rPr>
        <w:t>"</w:t>
      </w:r>
      <w:r w:rsidR="00A41B25">
        <w:rPr>
          <w:rFonts w:hint="cs"/>
          <w:rtl/>
        </w:rPr>
        <w:t xml:space="preserve">מסמכים המוחזקים </w:t>
      </w:r>
      <w:r w:rsidR="00B03FF6">
        <w:rPr>
          <w:rFonts w:hint="cs"/>
          <w:rtl/>
        </w:rPr>
        <w:t>בארכיונים הנוספים".</w:t>
      </w:r>
      <w:r w:rsidR="00C84CF7">
        <w:rPr>
          <w:rFonts w:hint="cs"/>
          <w:rtl/>
        </w:rPr>
        <w:t xml:space="preserve"> הצנזורה </w:t>
      </w:r>
      <w:r w:rsidR="005036F2">
        <w:rPr>
          <w:rFonts w:hint="cs"/>
          <w:rtl/>
        </w:rPr>
        <w:t>הציעה</w:t>
      </w:r>
      <w:r w:rsidR="00C84CF7">
        <w:rPr>
          <w:rFonts w:hint="cs"/>
          <w:rtl/>
        </w:rPr>
        <w:t xml:space="preserve"> </w:t>
      </w:r>
      <w:r w:rsidR="00D41A8E">
        <w:rPr>
          <w:rFonts w:hint="cs"/>
          <w:rtl/>
        </w:rPr>
        <w:t>להקים מנהלת חשיפה לאומי</w:t>
      </w:r>
      <w:r w:rsidR="00A207AB">
        <w:rPr>
          <w:rFonts w:hint="cs"/>
          <w:rtl/>
        </w:rPr>
        <w:t>ת</w:t>
      </w:r>
      <w:r w:rsidR="00D41A8E">
        <w:rPr>
          <w:rFonts w:hint="cs"/>
          <w:rtl/>
        </w:rPr>
        <w:t xml:space="preserve"> "אשר תפעל לפי מבחני הצנזורה, תאפשר חשיפה ופרסום של יותר חומרים ארכיונים בנושאי חוץ וביטחון, בצורה מבוקרת ואחראית</w:t>
      </w:r>
      <w:r w:rsidR="002B4800">
        <w:rPr>
          <w:rFonts w:hint="cs"/>
          <w:rtl/>
        </w:rPr>
        <w:t xml:space="preserve">... [ו]תבטיח, כי </w:t>
      </w:r>
      <w:r w:rsidR="005036F2">
        <w:rPr>
          <w:rFonts w:hint="cs"/>
          <w:rtl/>
        </w:rPr>
        <w:t>[י]</w:t>
      </w:r>
      <w:r w:rsidR="002B4800">
        <w:rPr>
          <w:rFonts w:hint="cs"/>
          <w:rtl/>
        </w:rPr>
        <w:t>ישמר האיזון הראוי בין חופש הביטוי וזכות הציבור לדעת מחד, וביטחון המדינה מאידך</w:t>
      </w:r>
      <w:r w:rsidR="00D41A8E">
        <w:rPr>
          <w:rFonts w:hint="cs"/>
          <w:rtl/>
        </w:rPr>
        <w:t>".</w:t>
      </w:r>
      <w:r w:rsidR="00390D82">
        <w:rPr>
          <w:rFonts w:hint="cs"/>
          <w:rtl/>
        </w:rPr>
        <w:t xml:space="preserve"> </w:t>
      </w:r>
    </w:p>
    <w:p w:rsidR="0098688E" w:rsidP="00FF6AB4" w14:paraId="77DD7E4E" w14:textId="77777777">
      <w:pPr>
        <w:pStyle w:val="a"/>
        <w:spacing w:line="269" w:lineRule="auto"/>
        <w:rPr>
          <w:rtl/>
        </w:rPr>
      </w:pPr>
    </w:p>
    <w:p w:rsidR="00740C01" w:rsidP="00FF6AB4" w14:paraId="07437E56" w14:textId="77777777">
      <w:pPr>
        <w:spacing w:line="269" w:lineRule="auto"/>
        <w:rPr>
          <w:rtl/>
        </w:rPr>
      </w:pPr>
      <w:r>
        <w:rPr>
          <w:rFonts w:hint="cs"/>
          <w:rtl/>
        </w:rPr>
        <w:t xml:space="preserve">בתגובתו </w:t>
      </w:r>
      <w:r w:rsidR="00B03FF6">
        <w:rPr>
          <w:rFonts w:hint="cs"/>
          <w:rtl/>
        </w:rPr>
        <w:t xml:space="preserve">מיולי 2019 </w:t>
      </w:r>
      <w:r>
        <w:rPr>
          <w:rFonts w:hint="cs"/>
          <w:rtl/>
        </w:rPr>
        <w:t xml:space="preserve">על </w:t>
      </w:r>
      <w:r w:rsidR="00B03FF6">
        <w:rPr>
          <w:rFonts w:hint="cs"/>
          <w:rtl/>
        </w:rPr>
        <w:t>טיוטת דוח הביקורת מסר משרד רה"ם בשם ארכיון המדינה, כי "ארכיון המדינה מפרסם לעיון הציבור הרחב רק חומר שעבר בדיקה, חשיפה וצנזורה בהתאם לחוק...</w:t>
      </w:r>
      <w:r w:rsidRPr="00740C01" w:rsidR="00B03FF6">
        <w:rPr>
          <w:rFonts w:hint="cs"/>
          <w:rtl/>
        </w:rPr>
        <w:t xml:space="preserve"> </w:t>
      </w:r>
      <w:r w:rsidRPr="00214FE9" w:rsidR="00B03FF6">
        <w:rPr>
          <w:rFonts w:hint="cs"/>
          <w:rtl/>
        </w:rPr>
        <w:t>עם זאת ארכיון המדינה חולק על עמדת הצנזורה וסבור כי עדיין יש מקום להבחין בין עיון באולם קריאה לבין פרסום</w:t>
      </w:r>
      <w:r w:rsidR="00B03FF6">
        <w:rPr>
          <w:rFonts w:hint="cs"/>
          <w:rtl/>
        </w:rPr>
        <w:t xml:space="preserve">". </w:t>
      </w:r>
    </w:p>
    <w:p w:rsidR="0098688E" w:rsidP="00FF6AB4" w14:paraId="4352506E" w14:textId="77777777">
      <w:pPr>
        <w:pStyle w:val="a"/>
        <w:spacing w:line="269" w:lineRule="auto"/>
        <w:rPr>
          <w:rtl/>
        </w:rPr>
      </w:pPr>
    </w:p>
    <w:p w:rsidR="00087F4D" w:rsidP="00FF6AB4" w14:paraId="47E465BA" w14:textId="77777777">
      <w:pPr>
        <w:spacing w:line="269" w:lineRule="auto"/>
        <w:rPr>
          <w:rtl/>
        </w:rPr>
      </w:pPr>
      <w:r>
        <w:rPr>
          <w:rFonts w:hint="cs"/>
          <w:rtl/>
        </w:rPr>
        <w:t xml:space="preserve">בתגובתו </w:t>
      </w:r>
      <w:r w:rsidR="009E08B6">
        <w:rPr>
          <w:rFonts w:hint="cs"/>
          <w:rtl/>
        </w:rPr>
        <w:t xml:space="preserve">מיולי 2019 </w:t>
      </w:r>
      <w:r>
        <w:rPr>
          <w:rFonts w:hint="cs"/>
          <w:rtl/>
        </w:rPr>
        <w:t xml:space="preserve">על </w:t>
      </w:r>
      <w:r w:rsidR="009E08B6">
        <w:rPr>
          <w:rFonts w:hint="cs"/>
          <w:rtl/>
        </w:rPr>
        <w:t>טיוטת דוח</w:t>
      </w:r>
      <w:r w:rsidR="00407BAA">
        <w:rPr>
          <w:rFonts w:hint="cs"/>
          <w:rtl/>
        </w:rPr>
        <w:t xml:space="preserve"> הביקורת מסר היועץ המשפטי למערכת הביטחון כי</w:t>
      </w:r>
      <w:r w:rsidR="00EF2002">
        <w:rPr>
          <w:rFonts w:hint="cs"/>
          <w:rtl/>
        </w:rPr>
        <w:t xml:space="preserve"> תקנות ההגנה</w:t>
      </w:r>
      <w:r w:rsidR="006D423E">
        <w:rPr>
          <w:rFonts w:hint="cs"/>
          <w:rtl/>
        </w:rPr>
        <w:t xml:space="preserve"> </w:t>
      </w:r>
      <w:r>
        <w:rPr>
          <w:rFonts w:hint="cs"/>
          <w:rtl/>
        </w:rPr>
        <w:t xml:space="preserve">אינן </w:t>
      </w:r>
      <w:r w:rsidR="006D423E">
        <w:rPr>
          <w:rFonts w:hint="cs"/>
          <w:rtl/>
        </w:rPr>
        <w:t>חלות על המדינה ולכן אין בסיס לדרישת הצנזורה ל</w:t>
      </w:r>
      <w:r>
        <w:rPr>
          <w:rFonts w:hint="cs"/>
          <w:rtl/>
        </w:rPr>
        <w:t xml:space="preserve">בצע </w:t>
      </w:r>
      <w:r w:rsidR="006D423E">
        <w:rPr>
          <w:rFonts w:hint="cs"/>
          <w:rtl/>
        </w:rPr>
        <w:t>ביקורת</w:t>
      </w:r>
      <w:r w:rsidR="004A74D5">
        <w:rPr>
          <w:rFonts w:hint="cs"/>
          <w:rtl/>
        </w:rPr>
        <w:t xml:space="preserve"> מטעמה</w:t>
      </w:r>
      <w:r w:rsidR="006D423E">
        <w:rPr>
          <w:rFonts w:hint="cs"/>
          <w:rtl/>
        </w:rPr>
        <w:t xml:space="preserve"> </w:t>
      </w:r>
      <w:r w:rsidR="005D4600">
        <w:rPr>
          <w:rFonts w:hint="cs"/>
          <w:rtl/>
        </w:rPr>
        <w:t>על החלטות של צוותי החשיפה</w:t>
      </w:r>
      <w:r w:rsidR="004A74D5">
        <w:rPr>
          <w:rFonts w:hint="cs"/>
          <w:rtl/>
        </w:rPr>
        <w:t xml:space="preserve"> בארכיון,</w:t>
      </w:r>
      <w:r>
        <w:rPr>
          <w:rFonts w:hint="cs"/>
          <w:rtl/>
        </w:rPr>
        <w:t xml:space="preserve"> מה גם שצוותים אלה</w:t>
      </w:r>
      <w:r w:rsidR="004A74D5">
        <w:rPr>
          <w:rFonts w:hint="cs"/>
          <w:rtl/>
        </w:rPr>
        <w:t xml:space="preserve"> הוסמכו לכך על פי דין ויש להם הכישורים הנדרשים לביצוע המשימה</w:t>
      </w:r>
      <w:r w:rsidR="005D4600">
        <w:rPr>
          <w:rFonts w:hint="cs"/>
          <w:rtl/>
        </w:rPr>
        <w:t>.</w:t>
      </w:r>
      <w:r>
        <w:rPr>
          <w:rFonts w:hint="cs"/>
          <w:rtl/>
        </w:rPr>
        <w:t xml:space="preserve"> היועץ המשפטי הוסיף כי</w:t>
      </w:r>
      <w:r w:rsidR="005D4600">
        <w:rPr>
          <w:rFonts w:hint="cs"/>
          <w:rtl/>
        </w:rPr>
        <w:t xml:space="preserve"> </w:t>
      </w:r>
      <w:r w:rsidR="00740C01">
        <w:rPr>
          <w:rFonts w:hint="cs"/>
          <w:rtl/>
        </w:rPr>
        <w:t>ראוי שהצנזורה והארכיונים יפעלו לקיום נוהל עבודה סדור בעניין פרסום חומר ארכיוני לציבור, לרבות פרסום במרשתת, תוך התייחסות ומתן משקל הולם לכללי הצנזורה ולהחלטותיה וכן לתכליות חוק הארכיונים והסמכויות ש</w:t>
      </w:r>
      <w:r>
        <w:rPr>
          <w:rFonts w:hint="cs"/>
          <w:rtl/>
        </w:rPr>
        <w:t xml:space="preserve">הוקנו </w:t>
      </w:r>
      <w:r w:rsidR="00740C01">
        <w:rPr>
          <w:rFonts w:hint="cs"/>
          <w:rtl/>
        </w:rPr>
        <w:t>על פיו</w:t>
      </w:r>
      <w:r w:rsidR="005C0AA8">
        <w:rPr>
          <w:rFonts w:hint="cs"/>
          <w:rtl/>
        </w:rPr>
        <w:t xml:space="preserve">. </w:t>
      </w:r>
      <w:r w:rsidR="004A74D5">
        <w:rPr>
          <w:rFonts w:hint="cs"/>
          <w:rtl/>
        </w:rPr>
        <w:t>עם זאת ציין היועץ המשפטי</w:t>
      </w:r>
      <w:r w:rsidR="00407BAA">
        <w:rPr>
          <w:rFonts w:hint="cs"/>
          <w:rtl/>
        </w:rPr>
        <w:t xml:space="preserve"> </w:t>
      </w:r>
      <w:r w:rsidR="004A74D5">
        <w:rPr>
          <w:rFonts w:hint="cs"/>
          <w:rtl/>
        </w:rPr>
        <w:t xml:space="preserve">כי </w:t>
      </w:r>
      <w:r w:rsidR="009E08B6">
        <w:rPr>
          <w:rFonts w:hint="cs"/>
          <w:rtl/>
        </w:rPr>
        <w:t xml:space="preserve">על מנת לטייב את עבודת הבדיקה של צוותי החשיפה </w:t>
      </w:r>
      <w:r w:rsidR="004A74D5">
        <w:rPr>
          <w:rFonts w:hint="cs"/>
          <w:rtl/>
        </w:rPr>
        <w:t>הוא הציע ושב ומציע</w:t>
      </w:r>
      <w:r w:rsidR="005D4600">
        <w:rPr>
          <w:rFonts w:hint="cs"/>
          <w:rtl/>
        </w:rPr>
        <w:t xml:space="preserve"> ש</w:t>
      </w:r>
      <w:r w:rsidR="009E08B6">
        <w:rPr>
          <w:rFonts w:hint="cs"/>
          <w:rtl/>
        </w:rPr>
        <w:t xml:space="preserve">גם </w:t>
      </w:r>
      <w:r w:rsidR="00407BAA">
        <w:rPr>
          <w:rFonts w:hint="cs"/>
          <w:rtl/>
        </w:rPr>
        <w:t>הצנזורית תפעל להסמכתם המקצועית.</w:t>
      </w:r>
      <w:r w:rsidR="00A55620">
        <w:rPr>
          <w:rFonts w:hint="cs"/>
          <w:rtl/>
        </w:rPr>
        <w:t xml:space="preserve"> יצוין כי הצנזורה לא </w:t>
      </w:r>
      <w:r w:rsidR="00D37879">
        <w:rPr>
          <w:rFonts w:hint="cs"/>
          <w:rtl/>
        </w:rPr>
        <w:t xml:space="preserve">הביעה </w:t>
      </w:r>
      <w:r>
        <w:rPr>
          <w:rFonts w:hint="cs"/>
          <w:rtl/>
        </w:rPr>
        <w:t xml:space="preserve">בתגובתה </w:t>
      </w:r>
      <w:r w:rsidR="00D37879">
        <w:rPr>
          <w:rFonts w:hint="cs"/>
          <w:rtl/>
        </w:rPr>
        <w:t xml:space="preserve">את עמדתה לגבי תחולת תקנות ההגנה על המדינה. </w:t>
      </w:r>
    </w:p>
    <w:p w:rsidR="0098688E" w:rsidP="00FF6AB4" w14:paraId="201F5B47" w14:textId="77777777">
      <w:pPr>
        <w:pStyle w:val="a"/>
        <w:spacing w:line="269" w:lineRule="auto"/>
        <w:rPr>
          <w:rtl/>
        </w:rPr>
      </w:pPr>
    </w:p>
    <w:p w:rsidR="00B46FB1" w:rsidP="00FF6AB4" w14:paraId="6DFD69F0" w14:textId="77777777">
      <w:pPr>
        <w:spacing w:line="269" w:lineRule="auto"/>
        <w:rPr>
          <w:rtl/>
        </w:rPr>
      </w:pPr>
      <w:r>
        <w:rPr>
          <w:rFonts w:hint="cs"/>
          <w:rtl/>
        </w:rPr>
        <w:t xml:space="preserve">ארכיון צה"ל מסר בתגובתו </w:t>
      </w:r>
      <w:r w:rsidR="009F5077">
        <w:rPr>
          <w:rFonts w:hint="cs"/>
          <w:rtl/>
        </w:rPr>
        <w:t xml:space="preserve">על </w:t>
      </w:r>
      <w:r>
        <w:rPr>
          <w:rFonts w:hint="cs"/>
          <w:rtl/>
        </w:rPr>
        <w:t>טיוטת דוח הביקורת כי הוא נסמך בעניין זה ע</w:t>
      </w:r>
      <w:r>
        <w:rPr>
          <w:rFonts w:hint="cs"/>
          <w:rtl/>
        </w:rPr>
        <w:t>ל עמדת היועץ המשפטי למערכת הביטחון.</w:t>
      </w:r>
    </w:p>
    <w:p w:rsidR="00000002" w:rsidP="00EE3D36" w14:paraId="2DD61067" w14:textId="77777777">
      <w:pPr>
        <w:pStyle w:val="a"/>
        <w:rPr>
          <w:rtl/>
        </w:rPr>
      </w:pPr>
    </w:p>
    <w:p w:rsidR="004A37F5" w:rsidP="00FF6AB4" w14:paraId="08400EC5" w14:textId="77777777">
      <w:pPr>
        <w:pStyle w:val="ListParagraph"/>
        <w:spacing w:line="269" w:lineRule="auto"/>
        <w:ind w:left="312"/>
        <w:jc w:val="center"/>
        <w:rPr>
          <w:rFonts w:ascii="Arial" w:hAnsi="Arial" w:cs="Arial"/>
          <w:b/>
          <w:bCs/>
          <w:sz w:val="36"/>
          <w:rtl/>
        </w:rPr>
      </w:pPr>
      <w:r>
        <w:rPr>
          <w:rFonts w:ascii="MS Gothic" w:eastAsia="MS Gothic" w:hAnsi="MS Gothic" w:cs="MS Gothic" w:hint="eastAsia"/>
          <w:b/>
          <w:bCs/>
          <w:sz w:val="36"/>
          <w:rtl/>
        </w:rPr>
        <w:t>✰</w:t>
      </w:r>
    </w:p>
    <w:p w:rsidR="000F2DC6" w:rsidRPr="00BD3668" w:rsidP="00FF6AB4" w14:paraId="1C835CC2" w14:textId="77777777">
      <w:pPr>
        <w:pStyle w:val="a"/>
        <w:spacing w:line="269" w:lineRule="auto"/>
        <w:rPr>
          <w:rtl/>
        </w:rPr>
      </w:pPr>
    </w:p>
    <w:p w:rsidR="0051544D" w:rsidRPr="005C0AA8" w:rsidP="00FF6AB4" w14:paraId="768A3300" w14:textId="77777777">
      <w:pPr>
        <w:spacing w:line="269" w:lineRule="auto"/>
        <w:rPr>
          <w:b/>
          <w:bCs/>
          <w:rtl/>
        </w:rPr>
      </w:pPr>
      <w:r w:rsidRPr="00A10208">
        <w:rPr>
          <w:rFonts w:hint="cs"/>
          <w:b/>
          <w:bCs/>
          <w:rtl/>
        </w:rPr>
        <w:t>הן ארכיון המדינה והן שלוחותיו</w:t>
      </w:r>
      <w:r w:rsidRPr="00A10208" w:rsidR="000F2DC6">
        <w:rPr>
          <w:rFonts w:hint="cs"/>
          <w:b/>
          <w:bCs/>
          <w:rtl/>
        </w:rPr>
        <w:t xml:space="preserve"> -</w:t>
      </w:r>
      <w:r w:rsidRPr="00A10208">
        <w:rPr>
          <w:rFonts w:hint="cs"/>
          <w:b/>
          <w:bCs/>
          <w:rtl/>
        </w:rPr>
        <w:t xml:space="preserve"> </w:t>
      </w:r>
      <w:r w:rsidR="009F5077">
        <w:rPr>
          <w:rFonts w:hint="cs"/>
          <w:b/>
          <w:bCs/>
          <w:rtl/>
        </w:rPr>
        <w:t>ובייחוד</w:t>
      </w:r>
      <w:r w:rsidRPr="00A10208" w:rsidR="009F5077">
        <w:rPr>
          <w:rFonts w:hint="cs"/>
          <w:b/>
          <w:bCs/>
          <w:rtl/>
        </w:rPr>
        <w:t xml:space="preserve"> </w:t>
      </w:r>
      <w:r w:rsidRPr="00A10208">
        <w:rPr>
          <w:rFonts w:hint="cs"/>
          <w:b/>
          <w:bCs/>
          <w:rtl/>
        </w:rPr>
        <w:t xml:space="preserve">ארכיון צה"ל </w:t>
      </w:r>
      <w:r w:rsidRPr="00A10208" w:rsidR="000F2DC6">
        <w:rPr>
          <w:rFonts w:hint="cs"/>
          <w:b/>
          <w:bCs/>
          <w:rtl/>
        </w:rPr>
        <w:t xml:space="preserve">- </w:t>
      </w:r>
      <w:r w:rsidRPr="00A10208">
        <w:rPr>
          <w:rFonts w:hint="cs"/>
          <w:b/>
          <w:bCs/>
          <w:rtl/>
        </w:rPr>
        <w:t xml:space="preserve">מחזיקים </w:t>
      </w:r>
      <w:r w:rsidR="009F5077">
        <w:rPr>
          <w:rFonts w:hint="cs"/>
          <w:b/>
          <w:bCs/>
          <w:rtl/>
        </w:rPr>
        <w:t>ב</w:t>
      </w:r>
      <w:r w:rsidRPr="00A10208">
        <w:rPr>
          <w:rFonts w:hint="cs"/>
          <w:b/>
          <w:bCs/>
          <w:rtl/>
        </w:rPr>
        <w:t>חומרים מסווגים. אף על פי</w:t>
      </w:r>
      <w:r w:rsidRPr="00A10208" w:rsidR="001C0DB8">
        <w:rPr>
          <w:rFonts w:hint="cs"/>
          <w:b/>
          <w:bCs/>
          <w:rtl/>
        </w:rPr>
        <w:t xml:space="preserve"> כן </w:t>
      </w:r>
      <w:r w:rsidRPr="00A10208">
        <w:rPr>
          <w:rFonts w:hint="cs"/>
          <w:b/>
          <w:bCs/>
          <w:rtl/>
        </w:rPr>
        <w:t>לא קיימת אחידות דעים</w:t>
      </w:r>
      <w:r w:rsidRPr="00A10208" w:rsidR="00A541B1">
        <w:rPr>
          <w:rFonts w:hint="cs"/>
          <w:b/>
          <w:bCs/>
          <w:rtl/>
        </w:rPr>
        <w:t xml:space="preserve"> </w:t>
      </w:r>
      <w:r w:rsidRPr="00A10208">
        <w:rPr>
          <w:rFonts w:hint="cs"/>
          <w:b/>
          <w:bCs/>
          <w:rtl/>
        </w:rPr>
        <w:t xml:space="preserve">לגבי סמכות </w:t>
      </w:r>
      <w:r w:rsidRPr="00A10208" w:rsidR="000F2DC6">
        <w:rPr>
          <w:rFonts w:hint="cs"/>
          <w:b/>
          <w:bCs/>
          <w:rtl/>
        </w:rPr>
        <w:t xml:space="preserve">הצנזורה </w:t>
      </w:r>
      <w:r w:rsidRPr="00A10208">
        <w:rPr>
          <w:rFonts w:hint="cs"/>
          <w:b/>
          <w:bCs/>
          <w:rtl/>
        </w:rPr>
        <w:t xml:space="preserve">לבדוק חומרים ארכיוניים מסווגים </w:t>
      </w:r>
      <w:r w:rsidRPr="00A10208" w:rsidR="005C0AA8">
        <w:rPr>
          <w:rFonts w:hint="cs"/>
          <w:b/>
          <w:bCs/>
          <w:rtl/>
        </w:rPr>
        <w:t xml:space="preserve">שעברו תהליך חשיפה </w:t>
      </w:r>
      <w:r w:rsidRPr="00A10208">
        <w:rPr>
          <w:rFonts w:hint="cs"/>
          <w:b/>
          <w:bCs/>
          <w:rtl/>
        </w:rPr>
        <w:t>לפני העלאתם למרשתת</w:t>
      </w:r>
      <w:r w:rsidRPr="00A10208" w:rsidR="00651860">
        <w:rPr>
          <w:rFonts w:hint="cs"/>
          <w:b/>
          <w:bCs/>
          <w:rtl/>
        </w:rPr>
        <w:t xml:space="preserve">. משום כך </w:t>
      </w:r>
      <w:r w:rsidR="00A13395">
        <w:rPr>
          <w:rFonts w:hint="cs"/>
          <w:b/>
          <w:bCs/>
          <w:rtl/>
        </w:rPr>
        <w:t>הארכיונים</w:t>
      </w:r>
      <w:r w:rsidRPr="00A10208" w:rsidR="00A13395">
        <w:rPr>
          <w:rFonts w:hint="cs"/>
          <w:b/>
          <w:bCs/>
          <w:rtl/>
        </w:rPr>
        <w:t xml:space="preserve"> </w:t>
      </w:r>
      <w:r w:rsidRPr="00A10208" w:rsidR="00651860">
        <w:rPr>
          <w:rFonts w:hint="cs"/>
          <w:b/>
          <w:bCs/>
          <w:rtl/>
        </w:rPr>
        <w:t xml:space="preserve">פועלים </w:t>
      </w:r>
      <w:r w:rsidR="00A13395">
        <w:rPr>
          <w:rFonts w:hint="cs"/>
          <w:b/>
          <w:bCs/>
          <w:rtl/>
        </w:rPr>
        <w:t>בעניין בדרכים</w:t>
      </w:r>
      <w:r w:rsidRPr="00A10208" w:rsidR="00A13395">
        <w:rPr>
          <w:rFonts w:hint="cs"/>
          <w:b/>
          <w:bCs/>
          <w:rtl/>
        </w:rPr>
        <w:t xml:space="preserve"> </w:t>
      </w:r>
      <w:r w:rsidRPr="00A10208" w:rsidR="00651860">
        <w:rPr>
          <w:rFonts w:hint="cs"/>
          <w:b/>
          <w:bCs/>
          <w:rtl/>
        </w:rPr>
        <w:t>שונ</w:t>
      </w:r>
      <w:r w:rsidR="00A13395">
        <w:rPr>
          <w:rFonts w:hint="cs"/>
          <w:b/>
          <w:bCs/>
          <w:rtl/>
        </w:rPr>
        <w:t>ות</w:t>
      </w:r>
      <w:r w:rsidRPr="00A10208" w:rsidR="00651860">
        <w:rPr>
          <w:rFonts w:hint="cs"/>
          <w:b/>
          <w:bCs/>
          <w:rtl/>
        </w:rPr>
        <w:t xml:space="preserve"> - ארכיון המדינה </w:t>
      </w:r>
      <w:r w:rsidRPr="00A10208" w:rsidR="00C4544D">
        <w:rPr>
          <w:rFonts w:hint="cs"/>
          <w:b/>
          <w:bCs/>
          <w:rtl/>
        </w:rPr>
        <w:t>מעביר</w:t>
      </w:r>
      <w:r w:rsidRPr="00A10208" w:rsidR="00651860">
        <w:rPr>
          <w:rFonts w:hint="cs"/>
          <w:b/>
          <w:bCs/>
          <w:rtl/>
        </w:rPr>
        <w:t xml:space="preserve"> </w:t>
      </w:r>
      <w:r w:rsidRPr="00A10208" w:rsidR="00C4544D">
        <w:rPr>
          <w:rFonts w:hint="cs"/>
          <w:b/>
          <w:bCs/>
          <w:rtl/>
        </w:rPr>
        <w:t>ל</w:t>
      </w:r>
      <w:r w:rsidRPr="00A10208" w:rsidR="00651860">
        <w:rPr>
          <w:rFonts w:hint="cs"/>
          <w:b/>
          <w:bCs/>
          <w:rtl/>
        </w:rPr>
        <w:t xml:space="preserve">בדיקת </w:t>
      </w:r>
      <w:r w:rsidRPr="00A10208" w:rsidR="00C4544D">
        <w:rPr>
          <w:rFonts w:hint="cs"/>
          <w:b/>
          <w:bCs/>
          <w:rtl/>
        </w:rPr>
        <w:t>ה</w:t>
      </w:r>
      <w:r w:rsidRPr="00A10208" w:rsidR="00651860">
        <w:rPr>
          <w:rFonts w:hint="cs"/>
          <w:b/>
          <w:bCs/>
          <w:rtl/>
        </w:rPr>
        <w:t>צנזורה</w:t>
      </w:r>
      <w:r w:rsidRPr="00A10208" w:rsidR="00C4544D">
        <w:rPr>
          <w:rFonts w:hint="cs"/>
          <w:b/>
          <w:bCs/>
          <w:rtl/>
        </w:rPr>
        <w:t xml:space="preserve"> מסמכים שנחשפו</w:t>
      </w:r>
      <w:r w:rsidRPr="00A10208" w:rsidR="00651860">
        <w:rPr>
          <w:rFonts w:hint="cs"/>
          <w:b/>
          <w:bCs/>
          <w:rtl/>
        </w:rPr>
        <w:t xml:space="preserve"> </w:t>
      </w:r>
      <w:r w:rsidRPr="00A10208" w:rsidR="00651860">
        <w:rPr>
          <w:rFonts w:hint="cs"/>
          <w:b/>
          <w:bCs/>
          <w:rtl/>
        </w:rPr>
        <w:t xml:space="preserve">לפני העלאתם למרשתת, </w:t>
      </w:r>
      <w:r w:rsidR="00A13395">
        <w:rPr>
          <w:rFonts w:hint="cs"/>
          <w:b/>
          <w:bCs/>
          <w:rtl/>
        </w:rPr>
        <w:t xml:space="preserve">ואילו </w:t>
      </w:r>
      <w:r w:rsidRPr="00A10208" w:rsidR="00651860">
        <w:rPr>
          <w:rFonts w:hint="cs"/>
          <w:b/>
          <w:bCs/>
          <w:rtl/>
        </w:rPr>
        <w:t>ארכיון</w:t>
      </w:r>
      <w:r w:rsidRPr="00A10208" w:rsidR="00C4544D">
        <w:rPr>
          <w:rFonts w:hint="cs"/>
          <w:b/>
          <w:bCs/>
          <w:rtl/>
        </w:rPr>
        <w:t xml:space="preserve"> צה"ל, ארכיון שב"כ וארכיון בן-גוריון אינם נוהגים כך.</w:t>
      </w:r>
    </w:p>
    <w:p w:rsidR="0098688E" w:rsidP="00FF6AB4" w14:paraId="2ED36D81" w14:textId="77777777">
      <w:pPr>
        <w:pStyle w:val="a"/>
        <w:spacing w:line="269" w:lineRule="auto"/>
        <w:rPr>
          <w:rtl/>
        </w:rPr>
      </w:pPr>
    </w:p>
    <w:p w:rsidR="00107143" w:rsidRPr="005C0AA8" w:rsidP="00FF6AB4" w14:paraId="001CB3ED" w14:textId="77777777">
      <w:pPr>
        <w:spacing w:line="269" w:lineRule="auto"/>
        <w:rPr>
          <w:b/>
          <w:bCs/>
          <w:rtl/>
        </w:rPr>
      </w:pPr>
      <w:r w:rsidRPr="005C0AA8">
        <w:rPr>
          <w:rFonts w:hint="cs"/>
          <w:b/>
          <w:bCs/>
          <w:rtl/>
        </w:rPr>
        <w:t>זאת ועוד</w:t>
      </w:r>
      <w:r w:rsidR="005C0AA8">
        <w:rPr>
          <w:rFonts w:hint="cs"/>
          <w:b/>
          <w:bCs/>
          <w:rtl/>
        </w:rPr>
        <w:t>,</w:t>
      </w:r>
      <w:r w:rsidRPr="005C0AA8">
        <w:rPr>
          <w:rFonts w:hint="cs"/>
          <w:rtl/>
        </w:rPr>
        <w:t xml:space="preserve"> </w:t>
      </w:r>
      <w:r w:rsidRPr="005C0AA8" w:rsidR="004A37F5">
        <w:rPr>
          <w:rFonts w:hint="cs"/>
          <w:b/>
          <w:bCs/>
          <w:rtl/>
        </w:rPr>
        <w:t>במציאות הטכנולוגית של ימינו</w:t>
      </w:r>
      <w:r w:rsidRPr="005C0AA8" w:rsidR="002C1545">
        <w:rPr>
          <w:rFonts w:hint="cs"/>
          <w:b/>
          <w:bCs/>
          <w:rtl/>
        </w:rPr>
        <w:t>,</w:t>
      </w:r>
      <w:r w:rsidRPr="005C0AA8" w:rsidR="004A37F5">
        <w:rPr>
          <w:rFonts w:hint="cs"/>
          <w:b/>
          <w:bCs/>
          <w:rtl/>
        </w:rPr>
        <w:t xml:space="preserve"> שבה מסמך </w:t>
      </w:r>
      <w:r w:rsidRPr="005C0AA8" w:rsidR="006C4EEE">
        <w:rPr>
          <w:rFonts w:hint="cs"/>
          <w:b/>
          <w:bCs/>
          <w:rtl/>
        </w:rPr>
        <w:t>ארכיוני שנחשף</w:t>
      </w:r>
      <w:r w:rsidRPr="005C0AA8" w:rsidR="001405D2">
        <w:rPr>
          <w:rFonts w:hint="cs"/>
          <w:b/>
          <w:bCs/>
          <w:rtl/>
        </w:rPr>
        <w:t xml:space="preserve"> עולה בפועל לאתר המרשתת של הארכיון</w:t>
      </w:r>
      <w:r w:rsidRPr="005C0AA8" w:rsidR="009F0A8C">
        <w:rPr>
          <w:rFonts w:hint="cs"/>
          <w:b/>
          <w:bCs/>
          <w:rtl/>
        </w:rPr>
        <w:t>,</w:t>
      </w:r>
      <w:r w:rsidRPr="005C0AA8" w:rsidR="004A37F5">
        <w:rPr>
          <w:rFonts w:hint="cs"/>
          <w:b/>
          <w:bCs/>
          <w:rtl/>
        </w:rPr>
        <w:t xml:space="preserve"> מ</w:t>
      </w:r>
      <w:r w:rsidRPr="005C0AA8" w:rsidR="009F0A8C">
        <w:rPr>
          <w:rFonts w:hint="cs"/>
          <w:b/>
          <w:bCs/>
          <w:rtl/>
        </w:rPr>
        <w:t>י</w:t>
      </w:r>
      <w:r w:rsidRPr="005C0AA8" w:rsidR="004A37F5">
        <w:rPr>
          <w:rFonts w:hint="cs"/>
          <w:b/>
          <w:bCs/>
          <w:rtl/>
        </w:rPr>
        <w:t>טשטשים הגבולות בין "עיון" בחומר ארכיוני שנחשף לבין "פרסום"</w:t>
      </w:r>
      <w:r w:rsidRPr="005C0AA8" w:rsidR="00B03FF6">
        <w:rPr>
          <w:rFonts w:hint="cs"/>
          <w:b/>
          <w:bCs/>
          <w:rtl/>
        </w:rPr>
        <w:t xml:space="preserve">. </w:t>
      </w:r>
      <w:r w:rsidRPr="005C0AA8" w:rsidR="004A37F5">
        <w:rPr>
          <w:rFonts w:hint="cs"/>
          <w:b/>
          <w:bCs/>
          <w:rtl/>
        </w:rPr>
        <w:t xml:space="preserve">הדבר </w:t>
      </w:r>
      <w:r w:rsidRPr="005C0AA8" w:rsidR="009F0A8C">
        <w:rPr>
          <w:rFonts w:hint="cs"/>
          <w:b/>
          <w:bCs/>
          <w:rtl/>
        </w:rPr>
        <w:t>מעלה את</w:t>
      </w:r>
      <w:r w:rsidRPr="005C0AA8" w:rsidR="004A37F5">
        <w:rPr>
          <w:rFonts w:hint="cs"/>
          <w:b/>
          <w:bCs/>
          <w:rtl/>
        </w:rPr>
        <w:t xml:space="preserve"> שאלת הצורך </w:t>
      </w:r>
      <w:r w:rsidR="00201DE7">
        <w:rPr>
          <w:rFonts w:hint="cs"/>
          <w:b/>
          <w:bCs/>
          <w:rtl/>
        </w:rPr>
        <w:t xml:space="preserve">בבדיקתו של אותו החומר </w:t>
      </w:r>
      <w:r w:rsidR="00A13395">
        <w:rPr>
          <w:rFonts w:hint="cs"/>
          <w:b/>
          <w:bCs/>
          <w:rtl/>
        </w:rPr>
        <w:t>על ידי שני גורמים נפרדים</w:t>
      </w:r>
      <w:r w:rsidR="009E65E2">
        <w:rPr>
          <w:rFonts w:hint="cs"/>
          <w:b/>
          <w:bCs/>
          <w:rtl/>
        </w:rPr>
        <w:t>.</w:t>
      </w:r>
      <w:r w:rsidR="00A13395">
        <w:rPr>
          <w:rFonts w:hint="cs"/>
          <w:b/>
          <w:bCs/>
          <w:rtl/>
        </w:rPr>
        <w:t xml:space="preserve"> </w:t>
      </w:r>
    </w:p>
    <w:p w:rsidR="0098688E" w:rsidP="00FF6AB4" w14:paraId="682F3834" w14:textId="77777777">
      <w:pPr>
        <w:pStyle w:val="a"/>
        <w:spacing w:line="269" w:lineRule="auto"/>
        <w:rPr>
          <w:rtl/>
        </w:rPr>
      </w:pPr>
    </w:p>
    <w:p w:rsidR="000F2DC6" w:rsidP="00FF6AB4" w14:paraId="768C0A11" w14:textId="77777777">
      <w:pPr>
        <w:spacing w:line="269" w:lineRule="auto"/>
        <w:rPr>
          <w:b/>
          <w:bCs/>
          <w:rtl/>
        </w:rPr>
      </w:pPr>
      <w:r w:rsidRPr="001E3EA0">
        <w:rPr>
          <w:rFonts w:hint="cs"/>
          <w:b/>
          <w:bCs/>
          <w:rtl/>
        </w:rPr>
        <w:t>על</w:t>
      </w:r>
      <w:r w:rsidRPr="001E3EA0">
        <w:rPr>
          <w:b/>
          <w:bCs/>
          <w:rtl/>
        </w:rPr>
        <w:t xml:space="preserve"> </w:t>
      </w:r>
      <w:r w:rsidRPr="001E3EA0">
        <w:rPr>
          <w:rFonts w:hint="cs"/>
          <w:b/>
          <w:bCs/>
          <w:rtl/>
        </w:rPr>
        <w:t>הגנז</w:t>
      </w:r>
      <w:r w:rsidR="009F0A8C">
        <w:rPr>
          <w:rFonts w:hint="cs"/>
          <w:b/>
          <w:bCs/>
          <w:rtl/>
        </w:rPr>
        <w:t>,</w:t>
      </w:r>
      <w:r w:rsidRPr="001E3EA0">
        <w:rPr>
          <w:b/>
          <w:bCs/>
          <w:rtl/>
        </w:rPr>
        <w:t xml:space="preserve"> </w:t>
      </w:r>
      <w:r w:rsidRPr="001E3EA0">
        <w:rPr>
          <w:rFonts w:hint="cs"/>
          <w:b/>
          <w:bCs/>
          <w:rtl/>
        </w:rPr>
        <w:t>בשיתוף</w:t>
      </w:r>
      <w:r w:rsidRPr="001E3EA0">
        <w:rPr>
          <w:b/>
          <w:bCs/>
          <w:rtl/>
        </w:rPr>
        <w:t xml:space="preserve"> </w:t>
      </w:r>
      <w:r w:rsidRPr="001E3EA0">
        <w:rPr>
          <w:rFonts w:hint="cs"/>
          <w:b/>
          <w:bCs/>
          <w:rtl/>
        </w:rPr>
        <w:t>הצנזורית</w:t>
      </w:r>
      <w:r w:rsidRPr="001E3EA0">
        <w:rPr>
          <w:b/>
          <w:bCs/>
          <w:rtl/>
        </w:rPr>
        <w:t xml:space="preserve"> </w:t>
      </w:r>
      <w:r w:rsidRPr="001E3EA0">
        <w:rPr>
          <w:rFonts w:hint="cs"/>
          <w:b/>
          <w:bCs/>
          <w:rtl/>
        </w:rPr>
        <w:t>הצבאית</w:t>
      </w:r>
      <w:r w:rsidRPr="001E3EA0">
        <w:rPr>
          <w:b/>
          <w:bCs/>
          <w:rtl/>
        </w:rPr>
        <w:t xml:space="preserve"> </w:t>
      </w:r>
      <w:r w:rsidRPr="001E3EA0">
        <w:rPr>
          <w:rFonts w:hint="cs"/>
          <w:b/>
          <w:bCs/>
          <w:rtl/>
        </w:rPr>
        <w:t>הראשית</w:t>
      </w:r>
      <w:r w:rsidRPr="001E3EA0">
        <w:rPr>
          <w:b/>
          <w:bCs/>
          <w:rtl/>
        </w:rPr>
        <w:t xml:space="preserve"> </w:t>
      </w:r>
      <w:r w:rsidRPr="001E3EA0">
        <w:rPr>
          <w:rFonts w:hint="cs"/>
          <w:b/>
          <w:bCs/>
          <w:rtl/>
        </w:rPr>
        <w:t>ומנהלת</w:t>
      </w:r>
      <w:r w:rsidRPr="001E3EA0">
        <w:rPr>
          <w:b/>
          <w:bCs/>
          <w:rtl/>
        </w:rPr>
        <w:t xml:space="preserve"> </w:t>
      </w:r>
      <w:r w:rsidRPr="001E3EA0">
        <w:rPr>
          <w:rFonts w:hint="cs"/>
          <w:b/>
          <w:bCs/>
          <w:rtl/>
        </w:rPr>
        <w:t>ארכיון</w:t>
      </w:r>
      <w:r w:rsidRPr="001E3EA0">
        <w:rPr>
          <w:b/>
          <w:bCs/>
          <w:rtl/>
        </w:rPr>
        <w:t xml:space="preserve"> צה"ל,</w:t>
      </w:r>
      <w:r w:rsidR="00657BBF">
        <w:rPr>
          <w:rFonts w:hint="cs"/>
          <w:b/>
          <w:bCs/>
          <w:rtl/>
        </w:rPr>
        <w:t xml:space="preserve"> להעלות </w:t>
      </w:r>
      <w:r w:rsidR="00E22899">
        <w:rPr>
          <w:rFonts w:hint="cs"/>
          <w:b/>
          <w:bCs/>
          <w:rtl/>
        </w:rPr>
        <w:t xml:space="preserve">ליועץ המשפטי לממשלה את </w:t>
      </w:r>
      <w:r w:rsidRPr="00E22899" w:rsidR="00E22899">
        <w:rPr>
          <w:b/>
          <w:bCs/>
          <w:rtl/>
        </w:rPr>
        <w:t xml:space="preserve">סוגיית המחלוקת לגבי סמכות הצנזורה לבדוק חומרים ארכיוניים </w:t>
      </w:r>
      <w:r w:rsidRPr="00E22899" w:rsidR="00E22899">
        <w:rPr>
          <w:rFonts w:hint="cs"/>
          <w:b/>
          <w:bCs/>
          <w:rtl/>
        </w:rPr>
        <w:t>מסווגים</w:t>
      </w:r>
      <w:r w:rsidRPr="00E22899" w:rsidR="00E22899">
        <w:rPr>
          <w:b/>
          <w:bCs/>
          <w:rtl/>
        </w:rPr>
        <w:t>, כדי שיכריע בה</w:t>
      </w:r>
      <w:r w:rsidR="008B633C">
        <w:rPr>
          <w:rFonts w:hint="cs"/>
          <w:b/>
          <w:bCs/>
          <w:rtl/>
        </w:rPr>
        <w:t>.</w:t>
      </w:r>
      <w:r w:rsidRPr="001E3EA0" w:rsidR="008B633C">
        <w:rPr>
          <w:rFonts w:hint="cs"/>
          <w:b/>
          <w:bCs/>
          <w:rtl/>
        </w:rPr>
        <w:t xml:space="preserve"> </w:t>
      </w:r>
      <w:r w:rsidR="008B633C">
        <w:rPr>
          <w:rFonts w:hint="cs"/>
          <w:b/>
          <w:bCs/>
          <w:rtl/>
        </w:rPr>
        <w:t xml:space="preserve">על היועץ המשפטי להביא בחשבון בשיקוליו </w:t>
      </w:r>
      <w:r w:rsidR="00344D03">
        <w:rPr>
          <w:rFonts w:hint="cs"/>
          <w:b/>
          <w:bCs/>
          <w:rtl/>
        </w:rPr>
        <w:t xml:space="preserve">שני אינטרסים ציבוריים חשובים: </w:t>
      </w:r>
      <w:r w:rsidR="00171F2C">
        <w:rPr>
          <w:rFonts w:hint="cs"/>
          <w:b/>
          <w:bCs/>
          <w:rtl/>
        </w:rPr>
        <w:t xml:space="preserve">הימנעות </w:t>
      </w:r>
      <w:r w:rsidR="008B633C">
        <w:rPr>
          <w:rFonts w:hint="cs"/>
          <w:b/>
          <w:bCs/>
          <w:rtl/>
        </w:rPr>
        <w:t xml:space="preserve">מלחשוף </w:t>
      </w:r>
      <w:r w:rsidR="00171F2C">
        <w:rPr>
          <w:rFonts w:hint="cs"/>
          <w:b/>
          <w:bCs/>
          <w:rtl/>
        </w:rPr>
        <w:t>לציבור מידע שעלול לפגוע בביטחון המדינה ו</w:t>
      </w:r>
      <w:r w:rsidR="00B03FF6">
        <w:rPr>
          <w:rFonts w:hint="cs"/>
          <w:b/>
          <w:bCs/>
          <w:rtl/>
        </w:rPr>
        <w:t>שאיפה ליעילות ו</w:t>
      </w:r>
      <w:r w:rsidR="002C1545">
        <w:rPr>
          <w:rFonts w:hint="cs"/>
          <w:b/>
          <w:bCs/>
          <w:rtl/>
        </w:rPr>
        <w:t>ל</w:t>
      </w:r>
      <w:r w:rsidR="00171F2C">
        <w:rPr>
          <w:rFonts w:hint="cs"/>
          <w:b/>
          <w:bCs/>
          <w:rtl/>
        </w:rPr>
        <w:t xml:space="preserve">הימנעות </w:t>
      </w:r>
      <w:r w:rsidR="002842B4">
        <w:rPr>
          <w:rFonts w:hint="cs"/>
          <w:b/>
          <w:bCs/>
          <w:rtl/>
        </w:rPr>
        <w:t>מבזבוז משאבי</w:t>
      </w:r>
      <w:r w:rsidR="0039727D">
        <w:rPr>
          <w:rFonts w:hint="cs"/>
          <w:b/>
          <w:bCs/>
          <w:rtl/>
        </w:rPr>
        <w:t xml:space="preserve"> ציבור</w:t>
      </w:r>
      <w:r w:rsidRPr="001E3EA0">
        <w:rPr>
          <w:rFonts w:hint="cs"/>
          <w:b/>
          <w:bCs/>
          <w:rtl/>
        </w:rPr>
        <w:t>.</w:t>
      </w:r>
      <w:r w:rsidR="00B03FF6">
        <w:rPr>
          <w:rFonts w:hint="cs"/>
          <w:b/>
          <w:bCs/>
          <w:rtl/>
        </w:rPr>
        <w:t xml:space="preserve"> </w:t>
      </w:r>
    </w:p>
    <w:p w:rsidR="008B1937" w:rsidP="00EE3D36" w14:paraId="756B1AF8" w14:textId="77777777">
      <w:pPr>
        <w:pStyle w:val="a"/>
        <w:rPr>
          <w:rtl/>
        </w:rPr>
      </w:pPr>
    </w:p>
    <w:p w:rsidR="004A37F5" w:rsidP="00FF6AB4" w14:paraId="28F69268" w14:textId="77777777">
      <w:pPr>
        <w:pStyle w:val="Heading2"/>
        <w:spacing w:before="0" w:line="269" w:lineRule="auto"/>
        <w:rPr>
          <w:rtl/>
        </w:rPr>
      </w:pPr>
      <w:r>
        <w:rPr>
          <w:rFonts w:hint="cs"/>
          <w:rtl/>
        </w:rPr>
        <w:t>גילוי</w:t>
      </w:r>
      <w:r w:rsidR="00B03FF6">
        <w:rPr>
          <w:rFonts w:hint="cs"/>
          <w:rtl/>
        </w:rPr>
        <w:t xml:space="preserve"> מידע מסווג לגורמים בלתי מורשים בתהליך כתיבת ספרים על ידי עובדי ציבור ועובדי ציבור לשעבר</w:t>
      </w:r>
    </w:p>
    <w:p w:rsidR="0098688E" w:rsidRPr="0098688E" w:rsidP="00FF6AB4" w14:paraId="165B726E" w14:textId="77777777">
      <w:pPr>
        <w:pStyle w:val="a"/>
        <w:spacing w:line="269" w:lineRule="auto"/>
        <w:rPr>
          <w:rtl/>
        </w:rPr>
      </w:pPr>
    </w:p>
    <w:p w:rsidR="004A37F5" w:rsidP="00FF6AB4" w14:paraId="4D41A6D9" w14:textId="77777777">
      <w:pPr>
        <w:spacing w:line="269" w:lineRule="auto"/>
        <w:rPr>
          <w:rtl/>
        </w:rPr>
      </w:pPr>
      <w:r>
        <w:rPr>
          <w:rFonts w:hint="cs"/>
          <w:rtl/>
        </w:rPr>
        <w:t>ב</w:t>
      </w:r>
      <w:r w:rsidR="00657BBF">
        <w:rPr>
          <w:rFonts w:hint="cs"/>
          <w:rtl/>
        </w:rPr>
        <w:t>סעיף 113א לחוק העונשין נקבע האיסור</w:t>
      </w:r>
      <w:r>
        <w:rPr>
          <w:rFonts w:hint="cs"/>
          <w:rtl/>
        </w:rPr>
        <w:t xml:space="preserve"> על כל אדם </w:t>
      </w:r>
      <w:r w:rsidR="00657BBF">
        <w:rPr>
          <w:rFonts w:hint="cs"/>
          <w:rtl/>
        </w:rPr>
        <w:t xml:space="preserve">שאינו מוסמך לכך </w:t>
      </w:r>
      <w:r>
        <w:rPr>
          <w:rFonts w:hint="cs"/>
          <w:rtl/>
        </w:rPr>
        <w:t>למסור ידיעה סודית. בסעיף 117 לחוק העונשין נקבעו איסורים על עובדי ציבור</w:t>
      </w:r>
      <w:r>
        <w:rPr>
          <w:rStyle w:val="FootnoteReference"/>
          <w:rtl/>
        </w:rPr>
        <w:footnoteReference w:id="37"/>
      </w:r>
      <w:r>
        <w:rPr>
          <w:rFonts w:hint="cs"/>
          <w:rtl/>
        </w:rPr>
        <w:t xml:space="preserve"> להחזי</w:t>
      </w:r>
      <w:r>
        <w:rPr>
          <w:rFonts w:hint="cs"/>
          <w:rtl/>
        </w:rPr>
        <w:t xml:space="preserve">ק ולמסור ללא סמכות ידיעות שהגיעו אליהם בתוקף תפקידם. האיסור תקף גם לגבי עובד ציבור </w:t>
      </w:r>
      <w:r w:rsidR="00657BBF">
        <w:rPr>
          <w:rFonts w:hint="cs"/>
          <w:rtl/>
        </w:rPr>
        <w:t>לשעבר</w:t>
      </w:r>
      <w:r>
        <w:rPr>
          <w:rFonts w:hint="cs"/>
          <w:rtl/>
        </w:rPr>
        <w:t xml:space="preserve">. </w:t>
      </w:r>
    </w:p>
    <w:p w:rsidR="0098688E" w:rsidP="00FF6AB4" w14:paraId="6AAAB835" w14:textId="77777777">
      <w:pPr>
        <w:pStyle w:val="a"/>
        <w:spacing w:line="269" w:lineRule="auto"/>
        <w:rPr>
          <w:rtl/>
        </w:rPr>
      </w:pPr>
    </w:p>
    <w:p w:rsidR="004A37F5" w:rsidP="004D1F4E" w14:paraId="3269C03E" w14:textId="5EB22B7C">
      <w:pPr>
        <w:spacing w:line="269" w:lineRule="auto"/>
        <w:rPr>
          <w:rtl/>
        </w:rPr>
      </w:pPr>
      <w:r w:rsidRPr="00DA2AB5">
        <w:rPr>
          <w:rFonts w:hint="cs"/>
          <w:sz w:val="24"/>
          <w:rtl/>
        </w:rPr>
        <w:t>נבחרי</w:t>
      </w:r>
      <w:r w:rsidRPr="00DA2AB5">
        <w:rPr>
          <w:sz w:val="24"/>
          <w:rtl/>
        </w:rPr>
        <w:t xml:space="preserve"> </w:t>
      </w:r>
      <w:r w:rsidRPr="00DA2AB5">
        <w:rPr>
          <w:rFonts w:hint="cs"/>
          <w:sz w:val="24"/>
          <w:rtl/>
        </w:rPr>
        <w:t>ציבור</w:t>
      </w:r>
      <w:r w:rsidRPr="00DA2AB5">
        <w:rPr>
          <w:sz w:val="24"/>
          <w:rtl/>
        </w:rPr>
        <w:t xml:space="preserve">, </w:t>
      </w:r>
      <w:r w:rsidRPr="00DA2AB5">
        <w:rPr>
          <w:rFonts w:hint="cs"/>
          <w:sz w:val="24"/>
          <w:rtl/>
        </w:rPr>
        <w:t>מדינאים</w:t>
      </w:r>
      <w:r w:rsidRPr="00DA2AB5">
        <w:rPr>
          <w:sz w:val="24"/>
          <w:rtl/>
        </w:rPr>
        <w:t xml:space="preserve"> </w:t>
      </w:r>
      <w:r w:rsidRPr="00DA2AB5">
        <w:rPr>
          <w:rFonts w:hint="cs"/>
          <w:sz w:val="24"/>
          <w:rtl/>
        </w:rPr>
        <w:t>ועובדי</w:t>
      </w:r>
      <w:r w:rsidRPr="00DA2AB5">
        <w:rPr>
          <w:sz w:val="24"/>
          <w:rtl/>
        </w:rPr>
        <w:t xml:space="preserve"> </w:t>
      </w:r>
      <w:r w:rsidRPr="00DA2AB5">
        <w:rPr>
          <w:rFonts w:hint="cs"/>
          <w:sz w:val="24"/>
          <w:rtl/>
        </w:rPr>
        <w:t>ציבור</w:t>
      </w:r>
      <w:r w:rsidRPr="00DA2AB5">
        <w:rPr>
          <w:sz w:val="24"/>
          <w:rtl/>
        </w:rPr>
        <w:t xml:space="preserve"> </w:t>
      </w:r>
      <w:r w:rsidRPr="00DA2AB5">
        <w:rPr>
          <w:rFonts w:hint="cs"/>
          <w:sz w:val="24"/>
          <w:rtl/>
        </w:rPr>
        <w:t>אחרים</w:t>
      </w:r>
      <w:r w:rsidRPr="00DA2AB5">
        <w:rPr>
          <w:sz w:val="24"/>
          <w:rtl/>
        </w:rPr>
        <w:t xml:space="preserve"> </w:t>
      </w:r>
      <w:r>
        <w:rPr>
          <w:rFonts w:hint="cs"/>
          <w:sz w:val="24"/>
          <w:rtl/>
        </w:rPr>
        <w:t xml:space="preserve">(להלן </w:t>
      </w:r>
      <w:r w:rsidR="0043132B">
        <w:rPr>
          <w:rFonts w:hint="cs"/>
          <w:sz w:val="24"/>
          <w:rtl/>
        </w:rPr>
        <w:t xml:space="preserve">- </w:t>
      </w:r>
      <w:r w:rsidR="004D2898">
        <w:rPr>
          <w:rFonts w:hint="cs"/>
          <w:sz w:val="24"/>
          <w:rtl/>
        </w:rPr>
        <w:t xml:space="preserve">נבחרי </w:t>
      </w:r>
      <w:r w:rsidR="00234E12">
        <w:rPr>
          <w:rFonts w:hint="cs"/>
          <w:sz w:val="24"/>
          <w:rtl/>
        </w:rPr>
        <w:t xml:space="preserve">ציבור או </w:t>
      </w:r>
      <w:r>
        <w:rPr>
          <w:rFonts w:hint="cs"/>
          <w:sz w:val="24"/>
          <w:rtl/>
        </w:rPr>
        <w:t xml:space="preserve">עובדי ציבור) </w:t>
      </w:r>
      <w:r w:rsidRPr="00DA2AB5">
        <w:rPr>
          <w:rFonts w:hint="cs"/>
          <w:sz w:val="24"/>
          <w:rtl/>
        </w:rPr>
        <w:t>נוהגים</w:t>
      </w:r>
      <w:r w:rsidRPr="00DA2AB5">
        <w:rPr>
          <w:sz w:val="24"/>
          <w:rtl/>
        </w:rPr>
        <w:t xml:space="preserve"> </w:t>
      </w:r>
      <w:r w:rsidRPr="00DA2AB5">
        <w:rPr>
          <w:rFonts w:hint="cs"/>
          <w:sz w:val="24"/>
          <w:rtl/>
        </w:rPr>
        <w:t>לכתוב</w:t>
      </w:r>
      <w:r w:rsidRPr="00DA2AB5">
        <w:rPr>
          <w:sz w:val="24"/>
          <w:rtl/>
        </w:rPr>
        <w:t xml:space="preserve"> </w:t>
      </w:r>
      <w:r w:rsidRPr="00DA2AB5">
        <w:rPr>
          <w:rFonts w:hint="cs"/>
          <w:sz w:val="24"/>
          <w:rtl/>
        </w:rPr>
        <w:t>ספרים</w:t>
      </w:r>
      <w:r w:rsidRPr="00DA2AB5">
        <w:rPr>
          <w:sz w:val="24"/>
          <w:rtl/>
        </w:rPr>
        <w:t xml:space="preserve"> </w:t>
      </w:r>
      <w:r w:rsidRPr="00DA2AB5">
        <w:rPr>
          <w:rFonts w:hint="cs"/>
          <w:sz w:val="24"/>
          <w:rtl/>
        </w:rPr>
        <w:t>הנוגעים</w:t>
      </w:r>
      <w:r w:rsidRPr="00DA2AB5">
        <w:rPr>
          <w:sz w:val="24"/>
          <w:rtl/>
        </w:rPr>
        <w:t xml:space="preserve"> </w:t>
      </w:r>
      <w:r w:rsidRPr="00DA2AB5">
        <w:rPr>
          <w:rFonts w:hint="cs"/>
          <w:sz w:val="24"/>
          <w:rtl/>
        </w:rPr>
        <w:t>לפועלם</w:t>
      </w:r>
      <w:r w:rsidRPr="00DA2AB5">
        <w:rPr>
          <w:sz w:val="24"/>
          <w:rtl/>
        </w:rPr>
        <w:t xml:space="preserve"> </w:t>
      </w:r>
      <w:r w:rsidRPr="00DA2AB5">
        <w:rPr>
          <w:rFonts w:hint="cs"/>
          <w:sz w:val="24"/>
          <w:rtl/>
        </w:rPr>
        <w:t>ולעשייתם</w:t>
      </w:r>
      <w:r w:rsidRPr="00DA2AB5">
        <w:rPr>
          <w:sz w:val="24"/>
          <w:rtl/>
        </w:rPr>
        <w:t xml:space="preserve">, </w:t>
      </w:r>
      <w:r w:rsidRPr="00DA2AB5">
        <w:rPr>
          <w:rFonts w:hint="cs"/>
          <w:sz w:val="24"/>
          <w:rtl/>
        </w:rPr>
        <w:t>וזאת</w:t>
      </w:r>
      <w:r w:rsidRPr="00DA2AB5">
        <w:rPr>
          <w:sz w:val="24"/>
          <w:rtl/>
        </w:rPr>
        <w:t xml:space="preserve"> </w:t>
      </w:r>
      <w:r w:rsidRPr="00DA2AB5">
        <w:rPr>
          <w:rFonts w:hint="cs"/>
          <w:sz w:val="24"/>
          <w:rtl/>
        </w:rPr>
        <w:t>על</w:t>
      </w:r>
      <w:r w:rsidRPr="00DA2AB5">
        <w:rPr>
          <w:sz w:val="24"/>
          <w:rtl/>
        </w:rPr>
        <w:t xml:space="preserve"> </w:t>
      </w:r>
      <w:r w:rsidRPr="00DA2AB5">
        <w:rPr>
          <w:rFonts w:hint="cs"/>
          <w:sz w:val="24"/>
          <w:rtl/>
        </w:rPr>
        <w:t>פי</w:t>
      </w:r>
      <w:r w:rsidRPr="00DA2AB5">
        <w:rPr>
          <w:sz w:val="24"/>
          <w:rtl/>
        </w:rPr>
        <w:t xml:space="preserve"> </w:t>
      </w:r>
      <w:r w:rsidRPr="00DA2AB5">
        <w:rPr>
          <w:rFonts w:hint="cs"/>
          <w:sz w:val="24"/>
          <w:rtl/>
        </w:rPr>
        <w:t>רוב</w:t>
      </w:r>
      <w:r w:rsidRPr="00DA2AB5">
        <w:rPr>
          <w:sz w:val="24"/>
          <w:rtl/>
        </w:rPr>
        <w:t xml:space="preserve"> </w:t>
      </w:r>
      <w:r w:rsidRPr="00DA2AB5">
        <w:rPr>
          <w:rFonts w:hint="cs"/>
          <w:sz w:val="24"/>
          <w:rtl/>
        </w:rPr>
        <w:t>לאחר</w:t>
      </w:r>
      <w:r w:rsidRPr="00DA2AB5">
        <w:rPr>
          <w:sz w:val="24"/>
          <w:rtl/>
        </w:rPr>
        <w:t xml:space="preserve"> </w:t>
      </w:r>
      <w:r w:rsidRPr="00DA2AB5">
        <w:rPr>
          <w:rFonts w:hint="cs"/>
          <w:sz w:val="24"/>
          <w:rtl/>
        </w:rPr>
        <w:t>סיום</w:t>
      </w:r>
      <w:r w:rsidRPr="00DA2AB5">
        <w:rPr>
          <w:sz w:val="24"/>
          <w:rtl/>
        </w:rPr>
        <w:t xml:space="preserve"> </w:t>
      </w:r>
      <w:r w:rsidRPr="00DA2AB5">
        <w:rPr>
          <w:rFonts w:hint="cs"/>
          <w:sz w:val="24"/>
          <w:rtl/>
        </w:rPr>
        <w:t>תפקידם</w:t>
      </w:r>
      <w:r w:rsidRPr="00DA2AB5">
        <w:rPr>
          <w:sz w:val="24"/>
          <w:rtl/>
        </w:rPr>
        <w:t>.</w:t>
      </w:r>
      <w:r>
        <w:rPr>
          <w:rFonts w:eastAsia="Times New Roman" w:hint="cs"/>
          <w:sz w:val="24"/>
          <w:rtl/>
        </w:rPr>
        <w:t xml:space="preserve"> ספרים כאלה עוסקים לא אחת בנושאים הקשורים לביטחון המדינה וליחסי החוץ שלה.</w:t>
      </w:r>
      <w:r w:rsidRPr="00DA2AB5">
        <w:rPr>
          <w:rFonts w:eastAsia="Times New Roman"/>
          <w:sz w:val="24"/>
          <w:rtl/>
        </w:rPr>
        <w:t xml:space="preserve"> </w:t>
      </w:r>
      <w:r>
        <w:rPr>
          <w:rFonts w:hint="cs"/>
          <w:rtl/>
        </w:rPr>
        <w:t>על פי "כללים לענין היתרים לפרסום ספרים בידי עובדי הציבור"</w:t>
      </w:r>
      <w:r>
        <w:rPr>
          <w:rStyle w:val="FootnoteReference"/>
          <w:rtl/>
        </w:rPr>
        <w:footnoteReference w:id="38"/>
      </w:r>
      <w:r w:rsidR="00657BBF">
        <w:rPr>
          <w:rFonts w:hint="cs"/>
          <w:rtl/>
        </w:rPr>
        <w:t xml:space="preserve"> (להלן - כללי הפרסום) שקבעה בשנת </w:t>
      </w:r>
      <w:r>
        <w:rPr>
          <w:rFonts w:hint="cs"/>
          <w:rtl/>
        </w:rPr>
        <w:t>1975 ממשלת ישראל, על עובד ציבור וכן</w:t>
      </w:r>
      <w:r w:rsidR="00657BBF">
        <w:rPr>
          <w:rFonts w:hint="cs"/>
          <w:rtl/>
        </w:rPr>
        <w:t xml:space="preserve"> על מי שחדל להיות עובד ציבור המעוניינים לפרסם ספר או חוברת</w:t>
      </w:r>
      <w:r>
        <w:rPr>
          <w:rFonts w:hint="cs"/>
          <w:rtl/>
        </w:rPr>
        <w:t xml:space="preserve"> להגיש בקשה להיתר לו</w:t>
      </w:r>
      <w:r w:rsidRPr="009B276C">
        <w:rPr>
          <w:rFonts w:hint="cs"/>
          <w:rtl/>
        </w:rPr>
        <w:t xml:space="preserve">ועדת </w:t>
      </w:r>
      <w:r>
        <w:rPr>
          <w:rFonts w:hint="cs"/>
          <w:rtl/>
        </w:rPr>
        <w:t>ה</w:t>
      </w:r>
      <w:r w:rsidRPr="009B276C">
        <w:rPr>
          <w:rFonts w:hint="cs"/>
          <w:rtl/>
        </w:rPr>
        <w:t xml:space="preserve">שרים </w:t>
      </w:r>
      <w:r>
        <w:rPr>
          <w:rFonts w:hint="cs"/>
          <w:rtl/>
        </w:rPr>
        <w:t xml:space="preserve">לפרסומים. </w:t>
      </w:r>
    </w:p>
    <w:p w:rsidR="0098688E" w:rsidP="00FF6AB4" w14:paraId="1E00CF16" w14:textId="77777777">
      <w:pPr>
        <w:pStyle w:val="a"/>
        <w:spacing w:line="269" w:lineRule="auto"/>
        <w:rPr>
          <w:rtl/>
        </w:rPr>
      </w:pPr>
    </w:p>
    <w:p w:rsidR="004A37F5" w:rsidP="00FF6AB4" w14:paraId="20153A30" w14:textId="77777777">
      <w:pPr>
        <w:spacing w:line="269" w:lineRule="auto"/>
        <w:rPr>
          <w:rtl/>
        </w:rPr>
      </w:pPr>
      <w:r>
        <w:rPr>
          <w:rFonts w:hint="cs"/>
          <w:rtl/>
        </w:rPr>
        <w:t>על פי כללי הפרסום</w:t>
      </w:r>
      <w:r w:rsidR="00B03FF6">
        <w:rPr>
          <w:rFonts w:hint="cs"/>
          <w:rtl/>
        </w:rPr>
        <w:t xml:space="preserve">, אם </w:t>
      </w:r>
      <w:r w:rsidR="00F17CDC">
        <w:rPr>
          <w:rFonts w:hint="cs"/>
          <w:rtl/>
        </w:rPr>
        <w:t xml:space="preserve">הפרסום </w:t>
      </w:r>
      <w:r w:rsidR="00B03FF6">
        <w:rPr>
          <w:rFonts w:hint="cs"/>
          <w:rtl/>
        </w:rPr>
        <w:t>כולל ידיעה אשר</w:t>
      </w:r>
      <w:r>
        <w:rPr>
          <w:rFonts w:hint="cs"/>
          <w:rtl/>
        </w:rPr>
        <w:t xml:space="preserve"> חלה</w:t>
      </w:r>
      <w:r w:rsidR="00B03FF6">
        <w:rPr>
          <w:rFonts w:hint="cs"/>
          <w:rtl/>
        </w:rPr>
        <w:t xml:space="preserve"> עליה </w:t>
      </w:r>
      <w:r>
        <w:rPr>
          <w:rFonts w:hint="cs"/>
          <w:rtl/>
        </w:rPr>
        <w:t xml:space="preserve">חובת </w:t>
      </w:r>
      <w:r w:rsidR="00F17CDC">
        <w:rPr>
          <w:rFonts w:hint="cs"/>
          <w:rtl/>
        </w:rPr>
        <w:t xml:space="preserve">בדיקת </w:t>
      </w:r>
      <w:r w:rsidR="00B03FF6">
        <w:rPr>
          <w:rFonts w:hint="cs"/>
          <w:rtl/>
        </w:rPr>
        <w:t xml:space="preserve">צנזורה לפי תקנות ההגנה, יעביר </w:t>
      </w:r>
      <w:r w:rsidR="00F17CDC">
        <w:rPr>
          <w:rFonts w:hint="cs"/>
          <w:rtl/>
        </w:rPr>
        <w:t xml:space="preserve">אותו </w:t>
      </w:r>
      <w:r w:rsidR="00B03FF6">
        <w:rPr>
          <w:rFonts w:hint="cs"/>
          <w:rtl/>
        </w:rPr>
        <w:t>עובד הציבור תחילה לבדיקת הצנזורה</w:t>
      </w:r>
      <w:r>
        <w:rPr>
          <w:rStyle w:val="FootnoteReference"/>
          <w:rtl/>
        </w:rPr>
        <w:footnoteReference w:id="39"/>
      </w:r>
      <w:r w:rsidR="00B03FF6">
        <w:rPr>
          <w:rFonts w:hint="cs"/>
          <w:rtl/>
        </w:rPr>
        <w:t xml:space="preserve"> ורק לאחר מכן לוועדת השרים לפרסומים. </w:t>
      </w:r>
    </w:p>
    <w:p w:rsidR="009C7742" w:rsidP="00FF6AB4" w14:paraId="696609F1" w14:textId="77777777">
      <w:pPr>
        <w:pStyle w:val="a"/>
        <w:spacing w:line="269" w:lineRule="auto"/>
        <w:rPr>
          <w:rtl/>
        </w:rPr>
      </w:pPr>
    </w:p>
    <w:p w:rsidR="00FF6FE2" w:rsidP="00FF6AB4" w14:paraId="0A985FD6" w14:textId="77777777">
      <w:pPr>
        <w:spacing w:line="269" w:lineRule="auto"/>
        <w:rPr>
          <w:b/>
          <w:bCs/>
          <w:rtl/>
        </w:rPr>
      </w:pPr>
      <w:r w:rsidRPr="00EE5747">
        <w:rPr>
          <w:rFonts w:hint="cs"/>
          <w:rtl/>
        </w:rPr>
        <w:t>תהלי</w:t>
      </w:r>
      <w:r>
        <w:rPr>
          <w:rFonts w:hint="cs"/>
          <w:rtl/>
        </w:rPr>
        <w:t>ך</w:t>
      </w:r>
      <w:r w:rsidRPr="00EE5747">
        <w:rPr>
          <w:rtl/>
        </w:rPr>
        <w:t xml:space="preserve"> כתיבת ספר </w:t>
      </w:r>
      <w:r>
        <w:rPr>
          <w:rFonts w:hint="cs"/>
          <w:rtl/>
        </w:rPr>
        <w:t xml:space="preserve">על ידי עובדי ציבור ועובדי ציבור לשעבר </w:t>
      </w:r>
      <w:r w:rsidR="00872918">
        <w:rPr>
          <w:rFonts w:hint="cs"/>
          <w:rtl/>
        </w:rPr>
        <w:t>כולל את העברת</w:t>
      </w:r>
      <w:r w:rsidRPr="00FB2E00">
        <w:rPr>
          <w:rtl/>
        </w:rPr>
        <w:t xml:space="preserve"> </w:t>
      </w:r>
      <w:r w:rsidRPr="00FB2E00">
        <w:rPr>
          <w:rFonts w:hint="cs"/>
          <w:rtl/>
        </w:rPr>
        <w:t>כתב</w:t>
      </w:r>
      <w:r w:rsidRPr="00FB2E00">
        <w:rPr>
          <w:rtl/>
        </w:rPr>
        <w:t xml:space="preserve"> </w:t>
      </w:r>
      <w:r w:rsidRPr="00FB2E00">
        <w:rPr>
          <w:rFonts w:hint="cs"/>
          <w:rtl/>
        </w:rPr>
        <w:t>היד</w:t>
      </w:r>
      <w:r w:rsidRPr="00FB2E00">
        <w:rPr>
          <w:rtl/>
        </w:rPr>
        <w:t xml:space="preserve"> </w:t>
      </w:r>
      <w:r w:rsidR="00872918">
        <w:rPr>
          <w:rFonts w:hint="cs"/>
          <w:rtl/>
        </w:rPr>
        <w:t>ל</w:t>
      </w:r>
      <w:r w:rsidRPr="00FB2E00">
        <w:rPr>
          <w:rFonts w:hint="cs"/>
          <w:rtl/>
        </w:rPr>
        <w:t>גורמים</w:t>
      </w:r>
      <w:r w:rsidRPr="00FB2E00">
        <w:rPr>
          <w:rtl/>
        </w:rPr>
        <w:t xml:space="preserve"> </w:t>
      </w:r>
      <w:r w:rsidRPr="00FB2E00">
        <w:rPr>
          <w:rFonts w:hint="cs"/>
          <w:rtl/>
        </w:rPr>
        <w:t>שונים</w:t>
      </w:r>
      <w:r>
        <w:rPr>
          <w:rFonts w:hint="cs"/>
          <w:rtl/>
        </w:rPr>
        <w:t xml:space="preserve"> השותפים להפקתו</w:t>
      </w:r>
      <w:r w:rsidR="00872918">
        <w:rPr>
          <w:rFonts w:hint="cs"/>
          <w:rtl/>
        </w:rPr>
        <w:t xml:space="preserve"> של הספר</w:t>
      </w:r>
      <w:r>
        <w:rPr>
          <w:rFonts w:hint="cs"/>
          <w:rtl/>
        </w:rPr>
        <w:t xml:space="preserve"> - </w:t>
      </w:r>
      <w:r w:rsidRPr="00FB2E00">
        <w:rPr>
          <w:rFonts w:hint="cs"/>
          <w:rtl/>
        </w:rPr>
        <w:t>עורך</w:t>
      </w:r>
      <w:r w:rsidRPr="00FB2E00">
        <w:rPr>
          <w:rtl/>
        </w:rPr>
        <w:t xml:space="preserve"> ראשי, עורך לשוני, </w:t>
      </w:r>
      <w:r>
        <w:rPr>
          <w:rFonts w:hint="cs"/>
          <w:rtl/>
        </w:rPr>
        <w:t xml:space="preserve">מעצבים, </w:t>
      </w:r>
      <w:r w:rsidRPr="00FB2E00">
        <w:rPr>
          <w:rFonts w:hint="cs"/>
          <w:rtl/>
        </w:rPr>
        <w:t>אנשי</w:t>
      </w:r>
      <w:r w:rsidRPr="00FB2E00">
        <w:rPr>
          <w:rtl/>
        </w:rPr>
        <w:t xml:space="preserve"> </w:t>
      </w:r>
      <w:r w:rsidRPr="00FB2E00">
        <w:rPr>
          <w:rFonts w:hint="cs"/>
          <w:rtl/>
        </w:rPr>
        <w:t>דפוס</w:t>
      </w:r>
      <w:r w:rsidRPr="00FB2E00">
        <w:rPr>
          <w:rtl/>
        </w:rPr>
        <w:t xml:space="preserve"> </w:t>
      </w:r>
      <w:r w:rsidRPr="00FB2E00">
        <w:rPr>
          <w:rFonts w:hint="cs"/>
          <w:rtl/>
        </w:rPr>
        <w:t>ועוד</w:t>
      </w:r>
      <w:r w:rsidRPr="00FB2E00">
        <w:rPr>
          <w:rtl/>
        </w:rPr>
        <w:t>.</w:t>
      </w:r>
      <w:r w:rsidRPr="0027344D">
        <w:rPr>
          <w:rFonts w:hint="cs"/>
          <w:rtl/>
        </w:rPr>
        <w:t xml:space="preserve"> </w:t>
      </w:r>
      <w:r>
        <w:rPr>
          <w:rFonts w:hint="cs"/>
          <w:rtl/>
        </w:rPr>
        <w:t>עובדי ציבור לשעבר הכותבים</w:t>
      </w:r>
      <w:r w:rsidR="00872918">
        <w:rPr>
          <w:rFonts w:hint="cs"/>
          <w:rtl/>
        </w:rPr>
        <w:t xml:space="preserve"> את </w:t>
      </w:r>
      <w:r>
        <w:rPr>
          <w:rFonts w:hint="cs"/>
          <w:rtl/>
        </w:rPr>
        <w:t>זיכרונותיהם, נעזרים לע</w:t>
      </w:r>
      <w:r w:rsidR="00872918">
        <w:rPr>
          <w:rFonts w:hint="cs"/>
          <w:rtl/>
        </w:rPr>
        <w:t>י</w:t>
      </w:r>
      <w:r>
        <w:rPr>
          <w:rFonts w:hint="cs"/>
          <w:rtl/>
        </w:rPr>
        <w:t>תים גם ב</w:t>
      </w:r>
      <w:r w:rsidRPr="006A0197">
        <w:rPr>
          <w:rFonts w:hint="cs"/>
          <w:rtl/>
        </w:rPr>
        <w:t>סופרי צללים</w:t>
      </w:r>
      <w:r>
        <w:rPr>
          <w:rFonts w:hint="cs"/>
          <w:rtl/>
        </w:rPr>
        <w:t>.</w:t>
      </w:r>
    </w:p>
    <w:p w:rsidR="00FF6FE2" w:rsidP="00FF6AB4" w14:paraId="12A13CD5" w14:textId="77777777">
      <w:pPr>
        <w:pStyle w:val="a"/>
        <w:spacing w:line="269" w:lineRule="auto"/>
        <w:rPr>
          <w:rtl/>
        </w:rPr>
      </w:pPr>
    </w:p>
    <w:p w:rsidR="00FF6FE2" w:rsidP="00FF6AB4" w14:paraId="4EA771AC" w14:textId="77777777">
      <w:pPr>
        <w:spacing w:line="269" w:lineRule="auto"/>
        <w:rPr>
          <w:rtl/>
        </w:rPr>
      </w:pPr>
      <w:r>
        <w:rPr>
          <w:rFonts w:hint="cs"/>
          <w:b/>
          <w:bCs/>
          <w:rtl/>
        </w:rPr>
        <w:t>נמצא כי הגם שמתקיים התהליך הנדרש בכת</w:t>
      </w:r>
      <w:r>
        <w:rPr>
          <w:rFonts w:hint="cs"/>
          <w:b/>
          <w:bCs/>
          <w:rtl/>
        </w:rPr>
        <w:t>יבת ספרים</w:t>
      </w:r>
      <w:r w:rsidR="00B41650">
        <w:rPr>
          <w:rFonts w:hint="cs"/>
          <w:b/>
          <w:bCs/>
          <w:rtl/>
        </w:rPr>
        <w:t xml:space="preserve"> כדין</w:t>
      </w:r>
      <w:r>
        <w:rPr>
          <w:rFonts w:hint="cs"/>
          <w:b/>
          <w:bCs/>
          <w:rtl/>
        </w:rPr>
        <w:t xml:space="preserve">, כלומר הגשתם לצנזורה ולוועדת </w:t>
      </w:r>
      <w:r w:rsidR="00872918">
        <w:rPr>
          <w:rFonts w:hint="cs"/>
          <w:b/>
          <w:bCs/>
          <w:rtl/>
        </w:rPr>
        <w:t>ה</w:t>
      </w:r>
      <w:r>
        <w:rPr>
          <w:rFonts w:hint="cs"/>
          <w:b/>
          <w:bCs/>
          <w:rtl/>
        </w:rPr>
        <w:t xml:space="preserve">שרים לפרסומים </w:t>
      </w:r>
      <w:r w:rsidR="00872918">
        <w:rPr>
          <w:rFonts w:hint="cs"/>
          <w:b/>
          <w:bCs/>
          <w:rtl/>
        </w:rPr>
        <w:t>לפני</w:t>
      </w:r>
      <w:r>
        <w:rPr>
          <w:rFonts w:hint="cs"/>
          <w:b/>
          <w:bCs/>
          <w:rtl/>
        </w:rPr>
        <w:t xml:space="preserve"> פרסומם, במהלך </w:t>
      </w:r>
      <w:r w:rsidR="008A444A">
        <w:rPr>
          <w:rFonts w:hint="cs"/>
          <w:b/>
          <w:bCs/>
          <w:rtl/>
        </w:rPr>
        <w:t xml:space="preserve">הפקת הספר </w:t>
      </w:r>
      <w:r>
        <w:rPr>
          <w:rFonts w:hint="cs"/>
          <w:b/>
          <w:bCs/>
          <w:rtl/>
        </w:rPr>
        <w:t xml:space="preserve">נחשפים למידע מסווג גורמים השותפים </w:t>
      </w:r>
      <w:r w:rsidR="005820C0">
        <w:rPr>
          <w:rFonts w:hint="cs"/>
          <w:b/>
          <w:bCs/>
          <w:rtl/>
        </w:rPr>
        <w:t xml:space="preserve">להפקה </w:t>
      </w:r>
      <w:r>
        <w:rPr>
          <w:rFonts w:hint="cs"/>
          <w:b/>
          <w:bCs/>
          <w:rtl/>
        </w:rPr>
        <w:t>שאינם מורשים מבחינה ביטחונית</w:t>
      </w:r>
      <w:r w:rsidR="005820C0">
        <w:rPr>
          <w:rFonts w:hint="cs"/>
          <w:b/>
          <w:bCs/>
          <w:rtl/>
        </w:rPr>
        <w:t xml:space="preserve"> להיחשף למידע כזה</w:t>
      </w:r>
      <w:r>
        <w:rPr>
          <w:rFonts w:hint="cs"/>
          <w:b/>
          <w:bCs/>
          <w:rtl/>
        </w:rPr>
        <w:t xml:space="preserve">. </w:t>
      </w:r>
    </w:p>
    <w:p w:rsidR="004A37F5" w:rsidP="00FF6AB4" w14:paraId="08C0B977" w14:textId="77777777">
      <w:pPr>
        <w:pStyle w:val="a"/>
        <w:spacing w:line="269" w:lineRule="auto"/>
        <w:rPr>
          <w:rtl/>
        </w:rPr>
      </w:pPr>
    </w:p>
    <w:p w:rsidR="007342A4" w:rsidP="00FF6AB4" w14:paraId="6497C5DF" w14:textId="77777777">
      <w:pPr>
        <w:spacing w:line="269" w:lineRule="auto"/>
        <w:rPr>
          <w:rtl/>
        </w:rPr>
      </w:pPr>
      <w:r w:rsidRPr="00113D91">
        <w:rPr>
          <w:rFonts w:hint="cs"/>
          <w:rtl/>
        </w:rPr>
        <w:t xml:space="preserve">צוות הביקורת בחן דוגמאות </w:t>
      </w:r>
      <w:r w:rsidRPr="00113D91" w:rsidR="00DF3189">
        <w:rPr>
          <w:rFonts w:hint="cs"/>
          <w:rtl/>
        </w:rPr>
        <w:t xml:space="preserve">של פסילות שביצעה הצנזורה בכתבי יד </w:t>
      </w:r>
      <w:r w:rsidR="00853180">
        <w:rPr>
          <w:rFonts w:hint="cs"/>
          <w:rtl/>
        </w:rPr>
        <w:t xml:space="preserve">של כמה כותבי ספרים </w:t>
      </w:r>
      <w:r w:rsidRPr="00113D91" w:rsidR="00DF3189">
        <w:rPr>
          <w:rFonts w:hint="cs"/>
          <w:rtl/>
        </w:rPr>
        <w:t xml:space="preserve">טרם פרסומם. בבדיקה עלה כי כתבי יד אלו היו בידי גורמים השותפים להפקתם </w:t>
      </w:r>
      <w:r w:rsidRPr="00113D91" w:rsidR="00DF3189">
        <w:rPr>
          <w:rFonts w:hint="cs"/>
          <w:rtl/>
        </w:rPr>
        <w:t>טרם הגעתם לצנזורה, כלומר כשהם כללו עדיין את המידע המסווג</w:t>
      </w:r>
      <w:r w:rsidRPr="00113D91" w:rsidR="00C93280">
        <w:rPr>
          <w:rFonts w:hint="cs"/>
          <w:rtl/>
        </w:rPr>
        <w:t>. להלן פירוט תגובות כותבי</w:t>
      </w:r>
      <w:r w:rsidR="00853180">
        <w:rPr>
          <w:rFonts w:hint="cs"/>
          <w:rtl/>
        </w:rPr>
        <w:t xml:space="preserve"> הספרים הללו </w:t>
      </w:r>
      <w:r w:rsidR="00EE7051">
        <w:rPr>
          <w:rFonts w:hint="cs"/>
          <w:rtl/>
        </w:rPr>
        <w:t>לממצאי הביקורת</w:t>
      </w:r>
      <w:r w:rsidRPr="00113D91" w:rsidR="00C93280">
        <w:rPr>
          <w:rFonts w:hint="cs"/>
          <w:rtl/>
        </w:rPr>
        <w:t>:</w:t>
      </w:r>
    </w:p>
    <w:p w:rsidR="00FF6FE2" w:rsidRPr="00FF6FE2" w:rsidP="00FF6AB4" w14:paraId="2D8EEC55" w14:textId="77777777">
      <w:pPr>
        <w:pStyle w:val="a"/>
        <w:spacing w:line="269" w:lineRule="auto"/>
        <w:rPr>
          <w:rtl/>
        </w:rPr>
      </w:pPr>
    </w:p>
    <w:p w:rsidR="007342A4" w:rsidP="00FF6AB4" w14:paraId="5F0D3711" w14:textId="77777777">
      <w:pPr>
        <w:spacing w:line="269" w:lineRule="auto"/>
      </w:pPr>
      <w:r>
        <w:rPr>
          <w:rFonts w:hint="cs"/>
          <w:rtl/>
        </w:rPr>
        <w:t xml:space="preserve">בתגובתו </w:t>
      </w:r>
      <w:r w:rsidR="00214FE9">
        <w:rPr>
          <w:rFonts w:hint="cs"/>
          <w:rtl/>
        </w:rPr>
        <w:t xml:space="preserve">מאפריל 2019 </w:t>
      </w:r>
      <w:r>
        <w:rPr>
          <w:rFonts w:hint="cs"/>
          <w:rtl/>
        </w:rPr>
        <w:t xml:space="preserve">על </w:t>
      </w:r>
      <w:r w:rsidR="00214FE9">
        <w:rPr>
          <w:rFonts w:hint="cs"/>
          <w:rtl/>
        </w:rPr>
        <w:t>טיוטת דוח הביקורת</w:t>
      </w:r>
      <w:r w:rsidRPr="00AE0598" w:rsidR="00B03FF6">
        <w:rPr>
          <w:rFonts w:hint="cs"/>
          <w:rtl/>
        </w:rPr>
        <w:t xml:space="preserve"> כתב </w:t>
      </w:r>
      <w:r w:rsidR="007005C9">
        <w:rPr>
          <w:rFonts w:hint="cs"/>
          <w:rtl/>
        </w:rPr>
        <w:t xml:space="preserve">נבחר ציבור </w:t>
      </w:r>
      <w:r w:rsidR="0008481B">
        <w:rPr>
          <w:rFonts w:hint="cs"/>
          <w:rtl/>
        </w:rPr>
        <w:t>א'</w:t>
      </w:r>
      <w:r w:rsidRPr="00AE0598" w:rsidR="00B03FF6">
        <w:rPr>
          <w:rFonts w:hint="cs"/>
          <w:rtl/>
        </w:rPr>
        <w:t xml:space="preserve"> </w:t>
      </w:r>
      <w:r>
        <w:rPr>
          <w:rFonts w:hint="cs"/>
          <w:rtl/>
        </w:rPr>
        <w:t>למשרד מבקר המדינה</w:t>
      </w:r>
      <w:r w:rsidRPr="00AE0598" w:rsidR="00B03FF6">
        <w:rPr>
          <w:rFonts w:hint="cs"/>
          <w:rtl/>
        </w:rPr>
        <w:t xml:space="preserve"> כי </w:t>
      </w:r>
      <w:r w:rsidRPr="00AE0598" w:rsidR="00AC4E14">
        <w:rPr>
          <w:rFonts w:hint="cs"/>
          <w:rtl/>
        </w:rPr>
        <w:t>כתב את ספרו ללא סיוע של סופר</w:t>
      </w:r>
      <w:r>
        <w:rPr>
          <w:rFonts w:hint="cs"/>
          <w:rtl/>
        </w:rPr>
        <w:t>, העביר</w:t>
      </w:r>
      <w:r w:rsidRPr="00AE0598" w:rsidR="00AC4E14">
        <w:rPr>
          <w:rFonts w:hint="cs"/>
          <w:rtl/>
        </w:rPr>
        <w:t xml:space="preserve"> את טיוטת הספר</w:t>
      </w:r>
      <w:r>
        <w:rPr>
          <w:rFonts w:hint="cs"/>
          <w:rtl/>
        </w:rPr>
        <w:t>,</w:t>
      </w:r>
      <w:r w:rsidRPr="00AE0598" w:rsidR="00AC4E14">
        <w:rPr>
          <w:rFonts w:hint="cs"/>
          <w:rtl/>
        </w:rPr>
        <w:t xml:space="preserve"> שנכתבה בכתב ידו</w:t>
      </w:r>
      <w:r>
        <w:rPr>
          <w:rFonts w:hint="cs"/>
          <w:rtl/>
        </w:rPr>
        <w:t xml:space="preserve">, </w:t>
      </w:r>
      <w:r w:rsidRPr="00AE0598" w:rsidR="00AC4E14">
        <w:rPr>
          <w:rFonts w:hint="cs"/>
          <w:rtl/>
        </w:rPr>
        <w:t xml:space="preserve">להוצאת ספרים, </w:t>
      </w:r>
      <w:r>
        <w:rPr>
          <w:rFonts w:hint="cs"/>
          <w:rtl/>
        </w:rPr>
        <w:t xml:space="preserve">וזו </w:t>
      </w:r>
      <w:r w:rsidRPr="00AE0598" w:rsidR="00AC4E14">
        <w:rPr>
          <w:rFonts w:hint="cs"/>
          <w:rtl/>
        </w:rPr>
        <w:t>הדפיסה את</w:t>
      </w:r>
      <w:r>
        <w:rPr>
          <w:rFonts w:hint="cs"/>
          <w:rtl/>
        </w:rPr>
        <w:t xml:space="preserve"> הספר</w:t>
      </w:r>
      <w:r w:rsidRPr="00AE0598" w:rsidR="00AC4E14">
        <w:rPr>
          <w:rFonts w:hint="cs"/>
          <w:rtl/>
        </w:rPr>
        <w:t xml:space="preserve">. לאחר שהושלמה כתיבת הספר ועריכתו, הועבר עותק לצנזורה הצבאית. </w:t>
      </w:r>
      <w:r w:rsidR="007005C9">
        <w:rPr>
          <w:rFonts w:hint="cs"/>
          <w:rtl/>
        </w:rPr>
        <w:t>הוא</w:t>
      </w:r>
      <w:r w:rsidRPr="00AE0598" w:rsidR="007005C9">
        <w:rPr>
          <w:rFonts w:hint="cs"/>
          <w:rtl/>
        </w:rPr>
        <w:t xml:space="preserve"> </w:t>
      </w:r>
      <w:r w:rsidRPr="00AE0598" w:rsidR="00AC4E14">
        <w:rPr>
          <w:rFonts w:hint="cs"/>
          <w:rtl/>
        </w:rPr>
        <w:t>הדגיש כי "</w:t>
      </w:r>
      <w:r w:rsidRPr="00AE0598" w:rsidR="00B03FF6">
        <w:rPr>
          <w:rFonts w:hint="cs"/>
          <w:rtl/>
        </w:rPr>
        <w:t xml:space="preserve">כל המהלכים </w:t>
      </w:r>
      <w:r w:rsidRPr="00AE0598" w:rsidR="00AC4E14">
        <w:rPr>
          <w:rFonts w:hint="cs"/>
          <w:rtl/>
        </w:rPr>
        <w:t>הללו...</w:t>
      </w:r>
      <w:r w:rsidRPr="00AE0598" w:rsidR="002F5E27">
        <w:rPr>
          <w:rFonts w:hint="cs"/>
          <w:rtl/>
        </w:rPr>
        <w:t xml:space="preserve"> </w:t>
      </w:r>
      <w:r w:rsidRPr="00AE0598" w:rsidR="00B03FF6">
        <w:rPr>
          <w:rFonts w:hint="cs"/>
          <w:rtl/>
        </w:rPr>
        <w:t>זהים לחלוטין לנוהג הקיים שנים רבות בישראל לגבי פרסום של ספרי זיכרונות על ידי מי שמילאו בעבר תפקידים בשירות המדינה</w:t>
      </w:r>
      <w:r w:rsidRPr="00AE0598" w:rsidR="00B3719B">
        <w:rPr>
          <w:rFonts w:hint="cs"/>
          <w:rtl/>
        </w:rPr>
        <w:t xml:space="preserve">... </w:t>
      </w:r>
      <w:r w:rsidRPr="00AE0598" w:rsidR="00B3719B">
        <w:rPr>
          <w:rFonts w:hint="cs"/>
          <w:b/>
          <w:bCs/>
          <w:rtl/>
        </w:rPr>
        <w:t>הצורך בשינוי הנהלים אינו נתון בוויכוח</w:t>
      </w:r>
      <w:r w:rsidRPr="00AE0598" w:rsidR="00AC4E14">
        <w:rPr>
          <w:rFonts w:hint="cs"/>
          <w:rtl/>
        </w:rPr>
        <w:t>"</w:t>
      </w:r>
      <w:r w:rsidRPr="00AE0598" w:rsidR="00D166E8">
        <w:rPr>
          <w:rFonts w:hint="cs"/>
          <w:rtl/>
        </w:rPr>
        <w:t xml:space="preserve"> (ההדגשה אינה במקור)</w:t>
      </w:r>
      <w:r w:rsidRPr="00AE0598" w:rsidR="00B03FF6">
        <w:rPr>
          <w:rFonts w:hint="cs"/>
          <w:rtl/>
        </w:rPr>
        <w:t>.</w:t>
      </w:r>
    </w:p>
    <w:p w:rsidR="00FF6FE2" w:rsidP="00FF6AB4" w14:paraId="19067E3D" w14:textId="77777777">
      <w:pPr>
        <w:pStyle w:val="a"/>
        <w:spacing w:line="269" w:lineRule="auto"/>
        <w:rPr>
          <w:rtl/>
        </w:rPr>
      </w:pPr>
    </w:p>
    <w:p w:rsidR="00BA761E" w:rsidP="00FF6AB4" w14:paraId="2925B5B1" w14:textId="77777777">
      <w:pPr>
        <w:spacing w:line="269" w:lineRule="auto"/>
      </w:pPr>
      <w:r>
        <w:rPr>
          <w:rFonts w:hint="cs"/>
          <w:rtl/>
        </w:rPr>
        <w:t xml:space="preserve">בתגובתו </w:t>
      </w:r>
      <w:r w:rsidR="00214FE9">
        <w:rPr>
          <w:rFonts w:hint="cs"/>
          <w:rtl/>
        </w:rPr>
        <w:t xml:space="preserve">מאפריל 2019 </w:t>
      </w:r>
      <w:r>
        <w:rPr>
          <w:rFonts w:hint="cs"/>
          <w:rtl/>
        </w:rPr>
        <w:t xml:space="preserve">על </w:t>
      </w:r>
      <w:r w:rsidR="00214FE9">
        <w:rPr>
          <w:rFonts w:hint="cs"/>
          <w:rtl/>
        </w:rPr>
        <w:t>טיוטת דוח הביקורת</w:t>
      </w:r>
      <w:r w:rsidRPr="00AE0598" w:rsidR="00DD6DEB">
        <w:rPr>
          <w:rFonts w:hint="cs"/>
          <w:rtl/>
        </w:rPr>
        <w:t xml:space="preserve"> כתב </w:t>
      </w:r>
      <w:r w:rsidR="007005C9">
        <w:rPr>
          <w:rFonts w:hint="cs"/>
          <w:rtl/>
        </w:rPr>
        <w:t xml:space="preserve">נבחר ציבור </w:t>
      </w:r>
      <w:r w:rsidR="0008481B">
        <w:rPr>
          <w:rFonts w:hint="cs"/>
          <w:rtl/>
        </w:rPr>
        <w:t xml:space="preserve">ב' </w:t>
      </w:r>
      <w:r w:rsidRPr="00AE0598" w:rsidR="00DD6DEB">
        <w:rPr>
          <w:rFonts w:hint="cs"/>
          <w:rtl/>
        </w:rPr>
        <w:t xml:space="preserve">למשרד מבקר המדינה כי </w:t>
      </w:r>
      <w:r w:rsidRPr="00AE0598" w:rsidR="00BE5187">
        <w:rPr>
          <w:rFonts w:hint="cs"/>
          <w:rtl/>
        </w:rPr>
        <w:t>"הנושא של הביקורת הוא אכן מענה לפרצה שחשוב לסגור</w:t>
      </w:r>
      <w:r w:rsidRPr="00AE0598" w:rsidR="001E6EAD">
        <w:rPr>
          <w:rFonts w:hint="cs"/>
          <w:rtl/>
        </w:rPr>
        <w:t xml:space="preserve">... </w:t>
      </w:r>
      <w:r w:rsidRPr="00AE0598" w:rsidR="00BE5187">
        <w:rPr>
          <w:rFonts w:hint="cs"/>
          <w:rtl/>
        </w:rPr>
        <w:t xml:space="preserve">אני סבור שהתערבות מבקר המדינה בנושא </w:t>
      </w:r>
      <w:r w:rsidRPr="00AE0598" w:rsidR="001E6EAD">
        <w:rPr>
          <w:rFonts w:hint="cs"/>
          <w:rtl/>
        </w:rPr>
        <w:t>-</w:t>
      </w:r>
      <w:r w:rsidRPr="00AE0598" w:rsidR="00BE5187">
        <w:rPr>
          <w:rFonts w:hint="cs"/>
          <w:rtl/>
        </w:rPr>
        <w:t xml:space="preserve"> נכונה בעיקרה ובמסקנותיה</w:t>
      </w:r>
      <w:r w:rsidRPr="00AE0598" w:rsidR="00D166E8">
        <w:rPr>
          <w:rFonts w:hint="cs"/>
          <w:rtl/>
        </w:rPr>
        <w:t>. ככל שיעודכנו הכללים בעקבות יוזמת המבקר אשתף כמובן פעולה עם לשונם ורוחם</w:t>
      </w:r>
      <w:r w:rsidRPr="00AE0598" w:rsidR="00BE5187">
        <w:rPr>
          <w:rFonts w:hint="cs"/>
          <w:rtl/>
        </w:rPr>
        <w:t>".</w:t>
      </w:r>
    </w:p>
    <w:p w:rsidR="007A1F69" w:rsidP="00FF6AB4" w14:paraId="26B7FE60" w14:textId="77777777">
      <w:pPr>
        <w:pStyle w:val="a"/>
        <w:tabs>
          <w:tab w:val="center" w:pos="3401"/>
        </w:tabs>
        <w:spacing w:line="269" w:lineRule="auto"/>
        <w:rPr>
          <w:rtl/>
        </w:rPr>
      </w:pPr>
    </w:p>
    <w:p w:rsidR="007A1F69" w:rsidP="00FF6AB4" w14:paraId="7BA66FC1" w14:textId="77777777">
      <w:pPr>
        <w:spacing w:line="269" w:lineRule="auto"/>
      </w:pPr>
      <w:r>
        <w:rPr>
          <w:rFonts w:hint="cs"/>
          <w:rtl/>
        </w:rPr>
        <w:t xml:space="preserve">בתגובתו </w:t>
      </w:r>
      <w:r w:rsidR="00214FE9">
        <w:rPr>
          <w:rFonts w:hint="cs"/>
          <w:rtl/>
        </w:rPr>
        <w:t xml:space="preserve">מאפריל 2019 </w:t>
      </w:r>
      <w:r>
        <w:rPr>
          <w:rFonts w:hint="cs"/>
          <w:rtl/>
        </w:rPr>
        <w:t xml:space="preserve">על </w:t>
      </w:r>
      <w:r w:rsidR="00214FE9">
        <w:rPr>
          <w:rFonts w:hint="cs"/>
          <w:rtl/>
        </w:rPr>
        <w:t>טיוטת דוח הביקורת</w:t>
      </w:r>
      <w:r w:rsidR="00C51676">
        <w:rPr>
          <w:rFonts w:hint="cs"/>
          <w:rtl/>
        </w:rPr>
        <w:t xml:space="preserve"> </w:t>
      </w:r>
      <w:r w:rsidRPr="00AE0598" w:rsidR="00DF5304">
        <w:rPr>
          <w:rFonts w:hint="cs"/>
          <w:rtl/>
        </w:rPr>
        <w:t xml:space="preserve">כתב </w:t>
      </w:r>
      <w:r w:rsidR="007005C9">
        <w:rPr>
          <w:rFonts w:hint="cs"/>
          <w:rtl/>
        </w:rPr>
        <w:t xml:space="preserve">נבחר ציבור </w:t>
      </w:r>
      <w:r w:rsidR="0008481B">
        <w:rPr>
          <w:rFonts w:hint="cs"/>
          <w:rtl/>
        </w:rPr>
        <w:t>ג'</w:t>
      </w:r>
      <w:r w:rsidRPr="00AE0598" w:rsidR="00DF5304">
        <w:rPr>
          <w:rFonts w:hint="cs"/>
          <w:rtl/>
        </w:rPr>
        <w:t xml:space="preserve"> </w:t>
      </w:r>
      <w:r>
        <w:rPr>
          <w:rFonts w:hint="cs"/>
          <w:rtl/>
        </w:rPr>
        <w:t>למשרד מבקר המדינה</w:t>
      </w:r>
      <w:r w:rsidRPr="00AE0598" w:rsidR="00DF5304">
        <w:rPr>
          <w:rFonts w:hint="cs"/>
          <w:rtl/>
        </w:rPr>
        <w:t xml:space="preserve"> כי בספרו הקפיד שלא </w:t>
      </w:r>
      <w:r>
        <w:rPr>
          <w:rFonts w:hint="cs"/>
          <w:rtl/>
        </w:rPr>
        <w:t>לכלול</w:t>
      </w:r>
      <w:r w:rsidRPr="00AE0598">
        <w:rPr>
          <w:rFonts w:hint="cs"/>
          <w:rtl/>
        </w:rPr>
        <w:t xml:space="preserve"> </w:t>
      </w:r>
      <w:r w:rsidRPr="00AE0598" w:rsidR="00DF5304">
        <w:rPr>
          <w:rFonts w:hint="cs"/>
          <w:rtl/>
        </w:rPr>
        <w:t xml:space="preserve">מידע הידוע לו אך ורק מתוקף חברותו בוועדת החוץ והביטחון של הכנסת ובגופי המשנה שלה, וכי אין בספר </w:t>
      </w:r>
      <w:r w:rsidRPr="00AE0598" w:rsidR="001E6EAD">
        <w:rPr>
          <w:rFonts w:hint="cs"/>
          <w:rtl/>
        </w:rPr>
        <w:t>"</w:t>
      </w:r>
      <w:r w:rsidRPr="00AE0598" w:rsidR="00DF5304">
        <w:rPr>
          <w:rFonts w:hint="cs"/>
          <w:rtl/>
        </w:rPr>
        <w:t>ולו פרט אחד של מידע</w:t>
      </w:r>
      <w:r w:rsidRPr="00AE0598" w:rsidR="001E6EAD">
        <w:rPr>
          <w:rFonts w:hint="cs"/>
          <w:rtl/>
        </w:rPr>
        <w:t xml:space="preserve"> (להבדיל מדעה),</w:t>
      </w:r>
      <w:r w:rsidRPr="00AE0598" w:rsidR="00DF5304">
        <w:rPr>
          <w:rFonts w:hint="cs"/>
          <w:rtl/>
        </w:rPr>
        <w:t xml:space="preserve"> שלא נחשף בתקשורת גלויה</w:t>
      </w:r>
      <w:r w:rsidRPr="00AE0598" w:rsidR="001E6EAD">
        <w:rPr>
          <w:rFonts w:hint="cs"/>
          <w:rtl/>
        </w:rPr>
        <w:t>"</w:t>
      </w:r>
      <w:r w:rsidRPr="00AE0598" w:rsidR="00DF5304">
        <w:rPr>
          <w:rFonts w:hint="cs"/>
          <w:rtl/>
        </w:rPr>
        <w:t>. עוד כתב</w:t>
      </w:r>
      <w:r>
        <w:rPr>
          <w:rFonts w:hint="cs"/>
          <w:rtl/>
        </w:rPr>
        <w:t xml:space="preserve"> </w:t>
      </w:r>
      <w:r w:rsidRPr="00AE0598" w:rsidR="00FF3231">
        <w:rPr>
          <w:rFonts w:hint="cs"/>
          <w:rtl/>
        </w:rPr>
        <w:t xml:space="preserve">כי </w:t>
      </w:r>
      <w:r w:rsidRPr="00AE0598" w:rsidR="002A30B5">
        <w:rPr>
          <w:rFonts w:hint="cs"/>
          <w:rtl/>
        </w:rPr>
        <w:t xml:space="preserve">הצנזור סבר שאמירות מסוימות </w:t>
      </w:r>
      <w:r w:rsidRPr="00AE0598" w:rsidR="00FF3231">
        <w:rPr>
          <w:rFonts w:hint="cs"/>
          <w:rtl/>
        </w:rPr>
        <w:t>מקבל</w:t>
      </w:r>
      <w:r w:rsidRPr="00AE0598" w:rsidR="002A30B5">
        <w:rPr>
          <w:rFonts w:hint="cs"/>
          <w:rtl/>
        </w:rPr>
        <w:t>ות</w:t>
      </w:r>
      <w:r w:rsidRPr="00AE0598" w:rsidR="00FF3231">
        <w:rPr>
          <w:rFonts w:hint="cs"/>
          <w:rtl/>
        </w:rPr>
        <w:t xml:space="preserve"> משנה </w:t>
      </w:r>
      <w:r>
        <w:rPr>
          <w:rFonts w:hint="cs"/>
          <w:rtl/>
        </w:rPr>
        <w:t>תוקף</w:t>
      </w:r>
      <w:r w:rsidRPr="00AE0598">
        <w:rPr>
          <w:rFonts w:hint="cs"/>
          <w:rtl/>
        </w:rPr>
        <w:t xml:space="preserve"> </w:t>
      </w:r>
      <w:r w:rsidRPr="00AE0598" w:rsidR="002A30B5">
        <w:rPr>
          <w:rFonts w:hint="cs"/>
          <w:rtl/>
        </w:rPr>
        <w:t xml:space="preserve">כשהן נאמרות על ידי אדם בתפקידו </w:t>
      </w:r>
      <w:r>
        <w:rPr>
          <w:rFonts w:hint="cs"/>
          <w:rtl/>
        </w:rPr>
        <w:t>ולפיכך</w:t>
      </w:r>
      <w:r w:rsidRPr="00AE0598" w:rsidR="00F841F3">
        <w:rPr>
          <w:rFonts w:hint="cs"/>
          <w:rtl/>
        </w:rPr>
        <w:t xml:space="preserve"> בהיותו חבר כנסת</w:t>
      </w:r>
      <w:r w:rsidRPr="00AE0598" w:rsidR="002A30B5">
        <w:rPr>
          <w:rFonts w:hint="cs"/>
          <w:rtl/>
        </w:rPr>
        <w:t xml:space="preserve"> הוא</w:t>
      </w:r>
      <w:r w:rsidRPr="00AE0598" w:rsidR="00F841F3">
        <w:rPr>
          <w:rFonts w:hint="cs"/>
          <w:rtl/>
        </w:rPr>
        <w:t xml:space="preserve"> הסכים ללא עוררין לכל הפסילות של הצנזורה. </w:t>
      </w:r>
      <w:r w:rsidR="007005C9">
        <w:rPr>
          <w:rFonts w:hint="cs"/>
          <w:rtl/>
        </w:rPr>
        <w:t>הוא</w:t>
      </w:r>
      <w:r w:rsidRPr="00AE0598" w:rsidR="007005C9">
        <w:rPr>
          <w:rFonts w:hint="cs"/>
          <w:rtl/>
        </w:rPr>
        <w:t xml:space="preserve"> </w:t>
      </w:r>
      <w:r w:rsidRPr="00AE0598" w:rsidR="002A30B5">
        <w:rPr>
          <w:rFonts w:hint="cs"/>
          <w:rtl/>
        </w:rPr>
        <w:t>הדגיש</w:t>
      </w:r>
      <w:r w:rsidRPr="00AE0598" w:rsidR="00F841F3">
        <w:rPr>
          <w:rFonts w:hint="cs"/>
          <w:rtl/>
        </w:rPr>
        <w:t xml:space="preserve"> </w:t>
      </w:r>
      <w:r w:rsidRPr="00AE0598" w:rsidR="002A30B5">
        <w:rPr>
          <w:rFonts w:hint="cs"/>
          <w:rtl/>
        </w:rPr>
        <w:t xml:space="preserve">כי </w:t>
      </w:r>
      <w:r w:rsidRPr="00AE0598" w:rsidR="00F841F3">
        <w:rPr>
          <w:rFonts w:hint="cs"/>
          <w:rtl/>
        </w:rPr>
        <w:t>קודם הגשת הספר לבדיקת הצנזורה הוא נחשף לעיניו של אדם אחד בלבד - העורך.</w:t>
      </w:r>
    </w:p>
    <w:p w:rsidR="00FF6FE2" w:rsidP="00FF6AB4" w14:paraId="3B1A38DF" w14:textId="77777777">
      <w:pPr>
        <w:pStyle w:val="a"/>
        <w:spacing w:line="269" w:lineRule="auto"/>
        <w:rPr>
          <w:rtl/>
        </w:rPr>
      </w:pPr>
    </w:p>
    <w:p w:rsidR="003B76D0" w:rsidP="00FF6AB4" w14:paraId="7804A34B" w14:textId="77777777">
      <w:pPr>
        <w:spacing w:line="269" w:lineRule="auto"/>
        <w:rPr>
          <w:rtl/>
        </w:rPr>
      </w:pPr>
      <w:r>
        <w:rPr>
          <w:rFonts w:hint="cs"/>
          <w:rtl/>
        </w:rPr>
        <w:t xml:space="preserve">בתגובתו </w:t>
      </w:r>
      <w:r w:rsidR="00214FE9">
        <w:rPr>
          <w:rFonts w:hint="cs"/>
          <w:rtl/>
        </w:rPr>
        <w:t xml:space="preserve">מאפריל 2019 </w:t>
      </w:r>
      <w:r>
        <w:rPr>
          <w:rFonts w:hint="cs"/>
          <w:rtl/>
        </w:rPr>
        <w:t xml:space="preserve">על </w:t>
      </w:r>
      <w:r w:rsidR="00214FE9">
        <w:rPr>
          <w:rFonts w:hint="cs"/>
          <w:rtl/>
        </w:rPr>
        <w:t xml:space="preserve">טיוטת דוח הביקורת </w:t>
      </w:r>
      <w:r w:rsidRPr="00AE0598" w:rsidR="007F2C9A">
        <w:rPr>
          <w:rtl/>
        </w:rPr>
        <w:t xml:space="preserve">כתב </w:t>
      </w:r>
      <w:r w:rsidR="007005C9">
        <w:rPr>
          <w:rFonts w:hint="cs"/>
          <w:rtl/>
        </w:rPr>
        <w:t xml:space="preserve">עובד ציבור </w:t>
      </w:r>
      <w:r w:rsidR="0008481B">
        <w:rPr>
          <w:rFonts w:hint="cs"/>
          <w:rtl/>
        </w:rPr>
        <w:t>ד'</w:t>
      </w:r>
      <w:r w:rsidRPr="00AE0598" w:rsidR="007F2C9A">
        <w:rPr>
          <w:rtl/>
        </w:rPr>
        <w:t xml:space="preserve"> </w:t>
      </w:r>
      <w:r>
        <w:rPr>
          <w:rFonts w:hint="cs"/>
          <w:rtl/>
        </w:rPr>
        <w:t>למשרד מבקר המדינה</w:t>
      </w:r>
      <w:r w:rsidRPr="00AE0598" w:rsidR="007F2C9A">
        <w:rPr>
          <w:rtl/>
        </w:rPr>
        <w:t xml:space="preserve"> כי כל המידע בספרו התבסס על מידע גלוי</w:t>
      </w:r>
      <w:r w:rsidRPr="00AE0598" w:rsidR="007F2C9A">
        <w:rPr>
          <w:rFonts w:hint="cs"/>
          <w:rtl/>
        </w:rPr>
        <w:t>, בד</w:t>
      </w:r>
      <w:r w:rsidR="00214FE9">
        <w:rPr>
          <w:rFonts w:hint="cs"/>
          <w:rtl/>
        </w:rPr>
        <w:t>רך כלל</w:t>
      </w:r>
      <w:r w:rsidRPr="00AE0598" w:rsidR="007F2C9A">
        <w:rPr>
          <w:rFonts w:hint="cs"/>
          <w:rtl/>
        </w:rPr>
        <w:t xml:space="preserve"> עיתונאי</w:t>
      </w:r>
      <w:r w:rsidRPr="00AE0598" w:rsidR="00D46442">
        <w:rPr>
          <w:rFonts w:hint="cs"/>
          <w:rtl/>
        </w:rPr>
        <w:t>,</w:t>
      </w:r>
      <w:r w:rsidRPr="00AE0598" w:rsidR="007F2C9A">
        <w:rPr>
          <w:rtl/>
        </w:rPr>
        <w:t xml:space="preserve"> </w:t>
      </w:r>
      <w:r w:rsidRPr="00AE0598" w:rsidR="00D46442">
        <w:rPr>
          <w:rFonts w:hint="cs"/>
          <w:rtl/>
        </w:rPr>
        <w:t>ש</w:t>
      </w:r>
      <w:r w:rsidRPr="00AE0598" w:rsidR="007F2C9A">
        <w:rPr>
          <w:rtl/>
        </w:rPr>
        <w:t xml:space="preserve">לא הגיע לידיעתו מתוקף עבודתו אלא </w:t>
      </w:r>
      <w:r>
        <w:rPr>
          <w:rFonts w:hint="cs"/>
          <w:rtl/>
        </w:rPr>
        <w:t>בעקבות</w:t>
      </w:r>
      <w:r w:rsidRPr="00AE0598">
        <w:rPr>
          <w:rtl/>
        </w:rPr>
        <w:t xml:space="preserve"> </w:t>
      </w:r>
      <w:r w:rsidRPr="00AE0598" w:rsidR="007F2C9A">
        <w:rPr>
          <w:rtl/>
        </w:rPr>
        <w:t xml:space="preserve">עבודת מחקר יסודית, </w:t>
      </w:r>
      <w:r>
        <w:rPr>
          <w:rFonts w:hint="cs"/>
          <w:rtl/>
        </w:rPr>
        <w:t>שכללה בין היתר</w:t>
      </w:r>
      <w:r w:rsidRPr="00AE0598">
        <w:rPr>
          <w:rFonts w:hint="cs"/>
          <w:rtl/>
        </w:rPr>
        <w:t xml:space="preserve"> </w:t>
      </w:r>
      <w:r w:rsidRPr="00AE0598" w:rsidR="007F2C9A">
        <w:rPr>
          <w:rFonts w:hint="cs"/>
          <w:rtl/>
        </w:rPr>
        <w:t>סריקת</w:t>
      </w:r>
      <w:r>
        <w:rPr>
          <w:rFonts w:hint="cs"/>
          <w:rtl/>
        </w:rPr>
        <w:t xml:space="preserve"> קטעי</w:t>
      </w:r>
      <w:r w:rsidRPr="00AE0598" w:rsidR="007F2C9A">
        <w:rPr>
          <w:rFonts w:hint="cs"/>
          <w:rtl/>
        </w:rPr>
        <w:t xml:space="preserve"> עיתונות </w:t>
      </w:r>
      <w:r w:rsidRPr="00AE0598" w:rsidR="007F2C9A">
        <w:rPr>
          <w:rtl/>
        </w:rPr>
        <w:t>בארכיון. עוד כתב</w:t>
      </w:r>
      <w:r>
        <w:rPr>
          <w:rFonts w:hint="cs"/>
          <w:rtl/>
        </w:rPr>
        <w:t xml:space="preserve"> </w:t>
      </w:r>
      <w:r w:rsidRPr="00AE0598" w:rsidR="007F2C9A">
        <w:rPr>
          <w:rtl/>
        </w:rPr>
        <w:t xml:space="preserve">כי </w:t>
      </w:r>
      <w:r w:rsidRPr="00AE0598" w:rsidR="00D46442">
        <w:rPr>
          <w:rFonts w:hint="cs"/>
          <w:rtl/>
        </w:rPr>
        <w:t>"ממה ש</w:t>
      </w:r>
      <w:r w:rsidRPr="00AE0598" w:rsidR="007F2C9A">
        <w:rPr>
          <w:rtl/>
        </w:rPr>
        <w:t>נמסר ל</w:t>
      </w:r>
      <w:r w:rsidRPr="00AE0598" w:rsidR="00D46442">
        <w:rPr>
          <w:rFonts w:hint="cs"/>
          <w:rtl/>
        </w:rPr>
        <w:t>י</w:t>
      </w:r>
      <w:r w:rsidRPr="00AE0598" w:rsidR="007F2C9A">
        <w:rPr>
          <w:rtl/>
        </w:rPr>
        <w:t xml:space="preserve"> ע</w:t>
      </w:r>
      <w:r w:rsidRPr="00AE0598" w:rsidR="00D46442">
        <w:rPr>
          <w:rFonts w:hint="cs"/>
          <w:rtl/>
        </w:rPr>
        <w:t>"</w:t>
      </w:r>
      <w:r w:rsidRPr="00AE0598" w:rsidR="007F2C9A">
        <w:rPr>
          <w:rtl/>
        </w:rPr>
        <w:t>י הצנזורה</w:t>
      </w:r>
      <w:r w:rsidRPr="00AE0598" w:rsidR="00D46442">
        <w:rPr>
          <w:rFonts w:hint="cs"/>
          <w:rtl/>
        </w:rPr>
        <w:t>...</w:t>
      </w:r>
      <w:r w:rsidRPr="00AE0598" w:rsidR="007F2C9A">
        <w:rPr>
          <w:rtl/>
        </w:rPr>
        <w:t xml:space="preserve"> הפסיל</w:t>
      </w:r>
      <w:r w:rsidRPr="00AE0598" w:rsidR="00D46442">
        <w:rPr>
          <w:rFonts w:hint="cs"/>
          <w:rtl/>
        </w:rPr>
        <w:t>ה</w:t>
      </w:r>
      <w:r w:rsidRPr="00AE0598" w:rsidR="007F2C9A">
        <w:rPr>
          <w:rtl/>
        </w:rPr>
        <w:t xml:space="preserve"> נבע</w:t>
      </w:r>
      <w:r w:rsidRPr="00AE0598" w:rsidR="00D46442">
        <w:rPr>
          <w:rFonts w:hint="cs"/>
          <w:rtl/>
        </w:rPr>
        <w:t>ה</w:t>
      </w:r>
      <w:r w:rsidRPr="00AE0598" w:rsidR="007F2C9A">
        <w:rPr>
          <w:rtl/>
        </w:rPr>
        <w:t xml:space="preserve"> </w:t>
      </w:r>
      <w:r w:rsidRPr="00AE0598" w:rsidR="00722156">
        <w:rPr>
          <w:rFonts w:hint="cs"/>
          <w:rtl/>
        </w:rPr>
        <w:t>לא</w:t>
      </w:r>
      <w:r w:rsidRPr="00AE0598" w:rsidR="00722156">
        <w:rPr>
          <w:rtl/>
        </w:rPr>
        <w:t xml:space="preserve"> </w:t>
      </w:r>
      <w:r w:rsidRPr="00AE0598" w:rsidR="007F2C9A">
        <w:rPr>
          <w:rtl/>
        </w:rPr>
        <w:t>מ</w:t>
      </w:r>
      <w:r w:rsidRPr="00AE0598" w:rsidR="00722156">
        <w:rPr>
          <w:rFonts w:hint="cs"/>
          <w:rtl/>
        </w:rPr>
        <w:t>שום</w:t>
      </w:r>
      <w:r w:rsidRPr="00AE0598" w:rsidR="007F2C9A">
        <w:rPr>
          <w:rtl/>
        </w:rPr>
        <w:t xml:space="preserve"> </w:t>
      </w:r>
      <w:r w:rsidRPr="00AE0598" w:rsidR="00722156">
        <w:rPr>
          <w:rFonts w:hint="cs"/>
          <w:rtl/>
        </w:rPr>
        <w:t>שהיו</w:t>
      </w:r>
      <w:r w:rsidRPr="00AE0598" w:rsidR="00722156">
        <w:rPr>
          <w:rtl/>
        </w:rPr>
        <w:t xml:space="preserve"> [חומרים]</w:t>
      </w:r>
      <w:r w:rsidRPr="00AE0598" w:rsidR="007F2C9A">
        <w:rPr>
          <w:rtl/>
        </w:rPr>
        <w:t xml:space="preserve"> מסווג</w:t>
      </w:r>
      <w:r w:rsidRPr="00AE0598" w:rsidR="00722156">
        <w:rPr>
          <w:rFonts w:hint="cs"/>
          <w:rtl/>
        </w:rPr>
        <w:t>ים</w:t>
      </w:r>
      <w:r w:rsidRPr="00AE0598" w:rsidR="007F2C9A">
        <w:rPr>
          <w:rtl/>
        </w:rPr>
        <w:t xml:space="preserve"> או שהגיע</w:t>
      </w:r>
      <w:r w:rsidRPr="00AE0598" w:rsidR="00722156">
        <w:rPr>
          <w:rFonts w:hint="cs"/>
          <w:rtl/>
        </w:rPr>
        <w:t>ו</w:t>
      </w:r>
      <w:r w:rsidRPr="00AE0598" w:rsidR="007F2C9A">
        <w:rPr>
          <w:rtl/>
        </w:rPr>
        <w:t xml:space="preserve"> אלי מתוקף עבודת</w:t>
      </w:r>
      <w:r w:rsidRPr="00AE0598" w:rsidR="00722156">
        <w:rPr>
          <w:rFonts w:hint="cs"/>
          <w:rtl/>
        </w:rPr>
        <w:t>י</w:t>
      </w:r>
      <w:r w:rsidRPr="00AE0598" w:rsidR="007F2C9A">
        <w:rPr>
          <w:rtl/>
        </w:rPr>
        <w:t>, אלא משום רגישות מדינית או צבאית".</w:t>
      </w:r>
    </w:p>
    <w:p w:rsidR="008B1937" w:rsidP="00FF6AB4" w14:paraId="64F95DBE" w14:textId="77777777">
      <w:pPr>
        <w:pStyle w:val="a"/>
        <w:spacing w:line="269" w:lineRule="auto"/>
        <w:rPr>
          <w:rtl/>
        </w:rPr>
      </w:pPr>
    </w:p>
    <w:p w:rsidR="004A37F5" w:rsidRPr="00F12637" w:rsidP="00FF6AB4" w14:paraId="4D8E38A2" w14:textId="77777777">
      <w:pPr>
        <w:spacing w:line="269" w:lineRule="auto"/>
        <w:rPr>
          <w:b/>
          <w:bCs/>
          <w:rtl/>
        </w:rPr>
      </w:pPr>
      <w:r w:rsidRPr="00FE4C21">
        <w:rPr>
          <w:rStyle w:val="5"/>
          <w:rFonts w:eastAsia="Calibri" w:hint="cs"/>
          <w:rtl/>
        </w:rPr>
        <w:t>צוות סופרי צללים:</w:t>
      </w:r>
      <w:r>
        <w:rPr>
          <w:rFonts w:hint="cs"/>
          <w:rtl/>
        </w:rPr>
        <w:t xml:space="preserve"> בדצמבר 2015 </w:t>
      </w:r>
      <w:r w:rsidR="000D51E7">
        <w:rPr>
          <w:rFonts w:hint="cs"/>
          <w:rtl/>
        </w:rPr>
        <w:t xml:space="preserve">כתב </w:t>
      </w:r>
      <w:r>
        <w:rPr>
          <w:rFonts w:hint="cs"/>
          <w:rtl/>
        </w:rPr>
        <w:t>היועץ המשפטי לממשלה לשעבר ש"נוכח הרושם כי סוגיית חשיפת המידע בעת כתיבת ספרים מצריכה התייחסות רוחבית" הוא מורה "על הקמת צוות שיבחן קידום הנחיה מערכתית לטיפול בתופעה של שיח בכירים לשעבר במערכת הביטחון עם '</w:t>
      </w:r>
      <w:r>
        <w:rPr>
          <w:rFonts w:hint="cs"/>
          <w:rtl/>
        </w:rPr>
        <w:t xml:space="preserve">סופרי צללים' או עם עיתונאים". </w:t>
      </w:r>
      <w:r w:rsidR="000D51E7">
        <w:rPr>
          <w:rFonts w:hint="cs"/>
          <w:rtl/>
        </w:rPr>
        <w:t>היועץ המשפטי</w:t>
      </w:r>
      <w:r>
        <w:rPr>
          <w:rFonts w:hint="cs"/>
          <w:rtl/>
        </w:rPr>
        <w:t xml:space="preserve"> </w:t>
      </w:r>
      <w:r w:rsidRPr="003377B6">
        <w:rPr>
          <w:rFonts w:hint="cs"/>
          <w:rtl/>
        </w:rPr>
        <w:t>לממשלה</w:t>
      </w:r>
      <w:r>
        <w:rPr>
          <w:rFonts w:hint="cs"/>
          <w:rtl/>
        </w:rPr>
        <w:t xml:space="preserve"> הטיל</w:t>
      </w:r>
      <w:r w:rsidR="000D51E7">
        <w:rPr>
          <w:rFonts w:hint="cs"/>
          <w:rtl/>
        </w:rPr>
        <w:t xml:space="preserve"> על המשנה ליועץ המשפטי</w:t>
      </w:r>
      <w:r w:rsidRPr="003377B6">
        <w:rPr>
          <w:rFonts w:hint="cs"/>
          <w:rtl/>
        </w:rPr>
        <w:t xml:space="preserve"> לממשלה (</w:t>
      </w:r>
      <w:r>
        <w:rPr>
          <w:rFonts w:hint="cs"/>
          <w:rtl/>
        </w:rPr>
        <w:t>ייעוץ</w:t>
      </w:r>
      <w:r w:rsidRPr="003377B6">
        <w:rPr>
          <w:rFonts w:hint="cs"/>
          <w:rtl/>
        </w:rPr>
        <w:t>)</w:t>
      </w:r>
      <w:r w:rsidR="000D51E7">
        <w:rPr>
          <w:rFonts w:hint="cs"/>
          <w:rtl/>
        </w:rPr>
        <w:t xml:space="preserve"> </w:t>
      </w:r>
      <w:r w:rsidRPr="003377B6">
        <w:rPr>
          <w:rFonts w:hint="cs"/>
          <w:rtl/>
        </w:rPr>
        <w:t xml:space="preserve">להקים </w:t>
      </w:r>
      <w:r>
        <w:rPr>
          <w:rFonts w:hint="cs"/>
          <w:rtl/>
        </w:rPr>
        <w:t>את ה</w:t>
      </w:r>
      <w:r w:rsidRPr="003377B6">
        <w:rPr>
          <w:rFonts w:hint="cs"/>
          <w:rtl/>
        </w:rPr>
        <w:t>צוות</w:t>
      </w:r>
      <w:r>
        <w:rPr>
          <w:rStyle w:val="FootnoteReference"/>
          <w:rtl/>
        </w:rPr>
        <w:footnoteReference w:id="40"/>
      </w:r>
      <w:r w:rsidRPr="003377B6">
        <w:rPr>
          <w:rFonts w:hint="cs"/>
          <w:rtl/>
        </w:rPr>
        <w:t xml:space="preserve"> </w:t>
      </w:r>
      <w:r w:rsidR="003678F2">
        <w:rPr>
          <w:rFonts w:hint="cs"/>
          <w:rtl/>
        </w:rPr>
        <w:t>לרכז את עבודתו</w:t>
      </w:r>
      <w:r w:rsidR="005220CD">
        <w:rPr>
          <w:rFonts w:hint="cs"/>
          <w:rtl/>
        </w:rPr>
        <w:t xml:space="preserve"> </w:t>
      </w:r>
      <w:r w:rsidR="003678F2">
        <w:rPr>
          <w:rFonts w:hint="cs"/>
          <w:rtl/>
        </w:rPr>
        <w:t xml:space="preserve">ולהציג לפניו </w:t>
      </w:r>
      <w:r w:rsidR="005220CD">
        <w:rPr>
          <w:rFonts w:hint="cs"/>
          <w:rtl/>
        </w:rPr>
        <w:t xml:space="preserve">את המלצותיו </w:t>
      </w:r>
      <w:r w:rsidR="003678F2">
        <w:rPr>
          <w:rFonts w:hint="cs"/>
          <w:rtl/>
        </w:rPr>
        <w:t>(להלן - צוות סופרי הצללים או הצוות)</w:t>
      </w:r>
      <w:r w:rsidRPr="003377B6">
        <w:rPr>
          <w:rFonts w:hint="cs"/>
          <w:rtl/>
        </w:rPr>
        <w:t>.</w:t>
      </w:r>
      <w:r w:rsidRPr="008B06E8">
        <w:rPr>
          <w:rStyle w:val="FootnoteReference"/>
          <w:rtl/>
        </w:rPr>
        <w:t xml:space="preserve"> </w:t>
      </w:r>
      <w:r>
        <w:rPr>
          <w:rFonts w:hint="cs"/>
          <w:rtl/>
        </w:rPr>
        <w:t>יצ</w:t>
      </w:r>
      <w:r w:rsidR="005220CD">
        <w:rPr>
          <w:rFonts w:hint="cs"/>
          <w:rtl/>
        </w:rPr>
        <w:t>וין כי כבר בתחילת עבודת</w:t>
      </w:r>
      <w:r w:rsidR="003678F2">
        <w:rPr>
          <w:rFonts w:hint="cs"/>
          <w:rtl/>
        </w:rPr>
        <w:t>ו ציין</w:t>
      </w:r>
      <w:r w:rsidR="005220CD">
        <w:rPr>
          <w:rFonts w:hint="cs"/>
          <w:rtl/>
        </w:rPr>
        <w:t xml:space="preserve"> הצוות </w:t>
      </w:r>
      <w:r>
        <w:rPr>
          <w:rFonts w:hint="cs"/>
          <w:rtl/>
        </w:rPr>
        <w:t xml:space="preserve">כי "הבעיה טמונה... [לא רק במסירת </w:t>
      </w:r>
      <w:r>
        <w:rPr>
          <w:rFonts w:hint="cs"/>
          <w:rtl/>
        </w:rPr>
        <w:t xml:space="preserve">המידע עצמו אלא גם] במידע הגולמי המצוי בידי האנשים שאינו מועבר לאישור הצנזורה, ומשמש ליצירת התוצר הסופי שרק הוא מועבר לאישור". </w:t>
      </w:r>
    </w:p>
    <w:p w:rsidR="00D97EFF" w:rsidP="00FF6AB4" w14:paraId="641F8D4B" w14:textId="77777777">
      <w:pPr>
        <w:pStyle w:val="a"/>
        <w:spacing w:line="269" w:lineRule="auto"/>
        <w:rPr>
          <w:rtl/>
        </w:rPr>
      </w:pPr>
    </w:p>
    <w:p w:rsidR="004A37F5" w:rsidP="00FF6AB4" w14:paraId="297C6C69" w14:textId="77777777">
      <w:pPr>
        <w:spacing w:line="269" w:lineRule="auto"/>
        <w:rPr>
          <w:rtl/>
        </w:rPr>
      </w:pPr>
      <w:r w:rsidRPr="002B1C18">
        <w:rPr>
          <w:rFonts w:hint="cs"/>
          <w:rtl/>
        </w:rPr>
        <w:t xml:space="preserve">צוות סופרי </w:t>
      </w:r>
      <w:r w:rsidRPr="002B1C18" w:rsidR="005220CD">
        <w:rPr>
          <w:rFonts w:hint="cs"/>
          <w:rtl/>
        </w:rPr>
        <w:t>ה</w:t>
      </w:r>
      <w:r w:rsidRPr="0050642F">
        <w:rPr>
          <w:rFonts w:hint="cs"/>
          <w:rtl/>
        </w:rPr>
        <w:t xml:space="preserve">צללים </w:t>
      </w:r>
      <w:r w:rsidR="003678F2">
        <w:rPr>
          <w:rFonts w:hint="cs"/>
          <w:rtl/>
        </w:rPr>
        <w:t>קיים מ</w:t>
      </w:r>
      <w:r w:rsidR="00912A5E">
        <w:rPr>
          <w:rFonts w:hint="cs"/>
          <w:rtl/>
        </w:rPr>
        <w:t xml:space="preserve">מועד </w:t>
      </w:r>
      <w:r w:rsidR="003678F2">
        <w:rPr>
          <w:rFonts w:hint="cs"/>
          <w:rtl/>
        </w:rPr>
        <w:t>הקמתו</w:t>
      </w:r>
      <w:r w:rsidRPr="00C70D5A">
        <w:rPr>
          <w:rFonts w:hint="cs"/>
          <w:rtl/>
        </w:rPr>
        <w:t xml:space="preserve"> </w:t>
      </w:r>
      <w:r w:rsidRPr="002B1C18" w:rsidR="003E1A38">
        <w:rPr>
          <w:rFonts w:hint="cs"/>
          <w:rtl/>
        </w:rPr>
        <w:t xml:space="preserve">ועד לתום תקופת הביקורת </w:t>
      </w:r>
      <w:r w:rsidRPr="002B1C18">
        <w:rPr>
          <w:rFonts w:hint="cs"/>
          <w:rtl/>
        </w:rPr>
        <w:t>שמונה דיונים,</w:t>
      </w:r>
      <w:r>
        <w:rPr>
          <w:rFonts w:hint="cs"/>
          <w:rtl/>
        </w:rPr>
        <w:t xml:space="preserve"> האחרון שבהם בינואר 2017. לדיוני הצוות הוזמנו גם עיתונאים, פוליטיקאים</w:t>
      </w:r>
      <w:r w:rsidR="005220CD">
        <w:rPr>
          <w:rFonts w:hint="cs"/>
          <w:rtl/>
        </w:rPr>
        <w:t>,</w:t>
      </w:r>
      <w:r>
        <w:rPr>
          <w:rFonts w:hint="cs"/>
          <w:rtl/>
        </w:rPr>
        <w:t xml:space="preserve"> אנשי מערכת הביטחון, אנשי אקדמיה ו</w:t>
      </w:r>
      <w:r w:rsidR="005220CD">
        <w:rPr>
          <w:rFonts w:hint="cs"/>
          <w:rtl/>
        </w:rPr>
        <w:t xml:space="preserve">אנשי </w:t>
      </w:r>
      <w:r>
        <w:rPr>
          <w:rFonts w:hint="cs"/>
          <w:rtl/>
        </w:rPr>
        <w:t xml:space="preserve">משפט. </w:t>
      </w:r>
    </w:p>
    <w:p w:rsidR="00D97EFF" w:rsidP="00FF6AB4" w14:paraId="2557BCC8" w14:textId="77777777">
      <w:pPr>
        <w:pStyle w:val="a"/>
        <w:spacing w:line="269" w:lineRule="auto"/>
        <w:rPr>
          <w:rtl/>
        </w:rPr>
      </w:pPr>
    </w:p>
    <w:p w:rsidR="004A37F5" w:rsidP="00FF6AB4" w14:paraId="31F206D2" w14:textId="77777777">
      <w:pPr>
        <w:spacing w:line="269" w:lineRule="auto"/>
        <w:rPr>
          <w:rtl/>
        </w:rPr>
      </w:pPr>
      <w:r>
        <w:rPr>
          <w:rFonts w:hint="cs"/>
          <w:rtl/>
        </w:rPr>
        <w:t>הצוות עסק בבעייתיות ובמורכבות של השליטה של ה</w:t>
      </w:r>
      <w:r w:rsidR="005220CD">
        <w:rPr>
          <w:rFonts w:hint="cs"/>
          <w:rtl/>
        </w:rPr>
        <w:t>מדינה במידע ביטחוני ומדיני רגיש</w:t>
      </w:r>
      <w:r w:rsidR="00661B47">
        <w:rPr>
          <w:rFonts w:hint="cs"/>
          <w:rtl/>
        </w:rPr>
        <w:t>,</w:t>
      </w:r>
      <w:r>
        <w:rPr>
          <w:rFonts w:hint="cs"/>
          <w:rtl/>
        </w:rPr>
        <w:t xml:space="preserve"> ו</w:t>
      </w:r>
      <w:r w:rsidR="005220CD">
        <w:rPr>
          <w:rFonts w:hint="cs"/>
          <w:rtl/>
        </w:rPr>
        <w:t xml:space="preserve">בכלל זה </w:t>
      </w:r>
      <w:r w:rsidR="00661B47">
        <w:rPr>
          <w:rFonts w:hint="cs"/>
          <w:rtl/>
        </w:rPr>
        <w:t>ב</w:t>
      </w:r>
      <w:r>
        <w:rPr>
          <w:rFonts w:hint="cs"/>
          <w:rtl/>
        </w:rPr>
        <w:t xml:space="preserve">מניעת דליפתו לגורמים בלתי מוסמכים, </w:t>
      </w:r>
      <w:r w:rsidR="00FB4B51">
        <w:rPr>
          <w:rFonts w:hint="cs"/>
          <w:rtl/>
        </w:rPr>
        <w:t xml:space="preserve">זאת </w:t>
      </w:r>
      <w:r>
        <w:rPr>
          <w:rFonts w:hint="cs"/>
          <w:rtl/>
        </w:rPr>
        <w:t>בהתחשב בהתפתח</w:t>
      </w:r>
      <w:r>
        <w:rPr>
          <w:rFonts w:hint="cs"/>
          <w:rtl/>
        </w:rPr>
        <w:t xml:space="preserve">ות </w:t>
      </w:r>
      <w:r>
        <w:rPr>
          <w:rFonts w:hint="cs"/>
          <w:rtl/>
        </w:rPr>
        <w:t>הטכנולוגיה ו</w:t>
      </w:r>
      <w:r w:rsidR="005220CD">
        <w:rPr>
          <w:rFonts w:hint="cs"/>
          <w:rtl/>
        </w:rPr>
        <w:t>ב</w:t>
      </w:r>
      <w:r>
        <w:rPr>
          <w:rFonts w:hint="cs"/>
          <w:rtl/>
        </w:rPr>
        <w:t xml:space="preserve">ערוצי </w:t>
      </w:r>
      <w:r w:rsidR="005220CD">
        <w:rPr>
          <w:rFonts w:hint="cs"/>
          <w:rtl/>
        </w:rPr>
        <w:t>התקשורת</w:t>
      </w:r>
      <w:r>
        <w:rPr>
          <w:rFonts w:hint="cs"/>
          <w:rtl/>
        </w:rPr>
        <w:t xml:space="preserve"> המגוונים</w:t>
      </w:r>
      <w:r w:rsidR="00FB4B51">
        <w:rPr>
          <w:rFonts w:hint="cs"/>
          <w:rtl/>
        </w:rPr>
        <w:t xml:space="preserve">. </w:t>
      </w:r>
      <w:r w:rsidR="005220CD">
        <w:rPr>
          <w:rFonts w:hint="cs"/>
          <w:rtl/>
        </w:rPr>
        <w:t xml:space="preserve">כן </w:t>
      </w:r>
      <w:r w:rsidR="00FB4B51">
        <w:rPr>
          <w:rFonts w:hint="cs"/>
          <w:rtl/>
        </w:rPr>
        <w:t xml:space="preserve">עסק הצוות </w:t>
      </w:r>
      <w:r w:rsidR="005220CD">
        <w:rPr>
          <w:rFonts w:hint="cs"/>
          <w:rtl/>
        </w:rPr>
        <w:t>ב</w:t>
      </w:r>
      <w:r>
        <w:rPr>
          <w:rFonts w:hint="cs"/>
          <w:rtl/>
        </w:rPr>
        <w:t>חשיבותה של הזירה התקשורתית כ"זירת לחימה" ו</w:t>
      </w:r>
      <w:r w:rsidR="00DE6864">
        <w:rPr>
          <w:rFonts w:hint="cs"/>
          <w:rtl/>
        </w:rPr>
        <w:t>ב</w:t>
      </w:r>
      <w:r>
        <w:rPr>
          <w:rFonts w:hint="cs"/>
          <w:rtl/>
        </w:rPr>
        <w:t>שמירה על עקרונות חופש הביטוי וחופש העיתונות.</w:t>
      </w:r>
      <w:r w:rsidRPr="004E7D35">
        <w:rPr>
          <w:rFonts w:hint="cs"/>
          <w:rtl/>
        </w:rPr>
        <w:t xml:space="preserve"> הצוות </w:t>
      </w:r>
      <w:r>
        <w:rPr>
          <w:rFonts w:hint="cs"/>
          <w:rtl/>
        </w:rPr>
        <w:t xml:space="preserve">דן בין היתר בסוגיות שלהלן: </w:t>
      </w:r>
    </w:p>
    <w:p w:rsidR="00D97EFF" w:rsidRPr="00EE5747" w:rsidP="00FF6AB4" w14:paraId="2CFC68AD" w14:textId="77777777">
      <w:pPr>
        <w:pStyle w:val="a"/>
        <w:spacing w:line="269" w:lineRule="auto"/>
        <w:rPr>
          <w:rtl/>
        </w:rPr>
      </w:pPr>
    </w:p>
    <w:p w:rsidR="004A37F5" w:rsidRPr="00A50125" w:rsidP="00FF6AB4" w14:paraId="6A488C23" w14:textId="77777777">
      <w:pPr>
        <w:pStyle w:val="ListParagraph"/>
        <w:numPr>
          <w:ilvl w:val="0"/>
          <w:numId w:val="2"/>
        </w:numPr>
        <w:spacing w:line="269" w:lineRule="auto"/>
        <w:ind w:left="312"/>
        <w:rPr>
          <w:b/>
          <w:bCs/>
          <w:rtl/>
        </w:rPr>
      </w:pPr>
      <w:r w:rsidRPr="00FB4B51">
        <w:rPr>
          <w:rStyle w:val="5"/>
          <w:rFonts w:eastAsia="Calibri" w:hint="cs"/>
          <w:rtl/>
        </w:rPr>
        <w:t>הבעייתיות</w:t>
      </w:r>
      <w:r w:rsidRPr="00FB4B51">
        <w:rPr>
          <w:rStyle w:val="5"/>
          <w:rFonts w:eastAsia="Calibri"/>
          <w:rtl/>
        </w:rPr>
        <w:t xml:space="preserve"> </w:t>
      </w:r>
      <w:r w:rsidRPr="00FB4B51">
        <w:rPr>
          <w:rStyle w:val="5"/>
          <w:rFonts w:eastAsia="Calibri" w:hint="cs"/>
          <w:rtl/>
        </w:rPr>
        <w:t>בסעיף</w:t>
      </w:r>
      <w:r w:rsidRPr="00FB4B51">
        <w:rPr>
          <w:rStyle w:val="5"/>
          <w:rFonts w:eastAsia="Calibri"/>
          <w:rtl/>
        </w:rPr>
        <w:t xml:space="preserve"> 117 </w:t>
      </w:r>
      <w:r w:rsidRPr="00FB4B51">
        <w:rPr>
          <w:rStyle w:val="5"/>
          <w:rFonts w:eastAsia="Calibri" w:hint="cs"/>
          <w:rtl/>
        </w:rPr>
        <w:t>לחוק</w:t>
      </w:r>
      <w:r w:rsidRPr="00FB4B51">
        <w:rPr>
          <w:rStyle w:val="5"/>
          <w:rFonts w:eastAsia="Calibri"/>
          <w:rtl/>
        </w:rPr>
        <w:t xml:space="preserve"> </w:t>
      </w:r>
      <w:r w:rsidRPr="00FB4B51">
        <w:rPr>
          <w:rStyle w:val="5"/>
          <w:rFonts w:eastAsia="Calibri" w:hint="cs"/>
          <w:rtl/>
        </w:rPr>
        <w:t>העונשין:</w:t>
      </w:r>
      <w:r>
        <w:rPr>
          <w:rFonts w:hint="cs"/>
          <w:rtl/>
        </w:rPr>
        <w:t xml:space="preserve"> </w:t>
      </w:r>
      <w:r w:rsidR="00B03FF6">
        <w:rPr>
          <w:rFonts w:hint="cs"/>
          <w:rtl/>
        </w:rPr>
        <w:t>סעיף 113 לחוק העונשין אוסר על כל אדם למסור ידיעה סודית</w:t>
      </w:r>
      <w:r w:rsidR="00DE6864">
        <w:rPr>
          <w:rFonts w:hint="cs"/>
          <w:rtl/>
        </w:rPr>
        <w:t>; אשר ל</w:t>
      </w:r>
      <w:r w:rsidR="00B03FF6">
        <w:rPr>
          <w:rFonts w:hint="cs"/>
          <w:rtl/>
        </w:rPr>
        <w:t>סעיף 117 לחוק זה</w:t>
      </w:r>
      <w:r w:rsidR="00DE6864">
        <w:rPr>
          <w:rFonts w:hint="cs"/>
          <w:rtl/>
        </w:rPr>
        <w:t>, הוא</w:t>
      </w:r>
      <w:r w:rsidR="00B03FF6">
        <w:rPr>
          <w:rFonts w:hint="cs"/>
          <w:rtl/>
        </w:rPr>
        <w:t xml:space="preserve"> אוסר על עובדי ציבור ועובדי ציבור לשעבר למסור כל ידיעה שהגיעה לידיעתם בתוקף תפקידם, לכאורה גם ללא קשר להיותה ידי</w:t>
      </w:r>
      <w:r w:rsidR="00DE6864">
        <w:rPr>
          <w:rFonts w:hint="cs"/>
          <w:rtl/>
        </w:rPr>
        <w:t xml:space="preserve">עה סודית. במצע לדיון הפתיחה של </w:t>
      </w:r>
      <w:r w:rsidR="00B03FF6">
        <w:rPr>
          <w:rFonts w:hint="cs"/>
          <w:rtl/>
        </w:rPr>
        <w:t>צוות</w:t>
      </w:r>
      <w:r w:rsidR="00DE6864">
        <w:rPr>
          <w:rFonts w:hint="cs"/>
          <w:rtl/>
        </w:rPr>
        <w:t xml:space="preserve"> סופרי הצללים</w:t>
      </w:r>
      <w:r w:rsidR="00B03FF6">
        <w:rPr>
          <w:rFonts w:hint="cs"/>
          <w:rtl/>
        </w:rPr>
        <w:t xml:space="preserve"> צוין כי "</w:t>
      </w:r>
      <w:r w:rsidRPr="003A7492" w:rsidR="00B03FF6">
        <w:rPr>
          <w:rFonts w:hint="cs"/>
          <w:rtl/>
        </w:rPr>
        <w:t>אין ספק שסעיף 117 בנוסחו הנוכחי, מהווה הגבלה משמעותית מאוד על זכות היסוד לחופש הביטוי של עובדי הציבור, ובפרט של עובדי הציבור לשעבר...</w:t>
      </w:r>
      <w:r w:rsidR="00B03FF6">
        <w:rPr>
          <w:rFonts w:hint="cs"/>
          <w:rtl/>
        </w:rPr>
        <w:t xml:space="preserve"> הסעיף עלול להפוך להיות כלי פעולה כנגד עובדים... גם בנושאים בלתי מסווגים לחלוטין".</w:t>
      </w:r>
    </w:p>
    <w:p w:rsidR="00D97EFF" w:rsidP="00FF6AB4" w14:paraId="7C350C01" w14:textId="77777777">
      <w:pPr>
        <w:pStyle w:val="a"/>
        <w:spacing w:line="269" w:lineRule="auto"/>
        <w:rPr>
          <w:rtl/>
        </w:rPr>
      </w:pPr>
    </w:p>
    <w:p w:rsidR="004A37F5" w:rsidP="00FF6AB4" w14:paraId="1A1A74C8" w14:textId="77777777">
      <w:pPr>
        <w:spacing w:line="269" w:lineRule="auto"/>
        <w:ind w:left="312"/>
        <w:rPr>
          <w:rtl/>
        </w:rPr>
      </w:pPr>
      <w:r>
        <w:rPr>
          <w:rFonts w:hint="cs"/>
          <w:rtl/>
        </w:rPr>
        <w:t xml:space="preserve">בדיון צוות סופרי </w:t>
      </w:r>
      <w:r w:rsidR="00DE6864">
        <w:rPr>
          <w:rFonts w:hint="cs"/>
          <w:rtl/>
        </w:rPr>
        <w:t>ה</w:t>
      </w:r>
      <w:r>
        <w:rPr>
          <w:rFonts w:hint="cs"/>
          <w:rtl/>
        </w:rPr>
        <w:t xml:space="preserve">צללים </w:t>
      </w:r>
      <w:r w:rsidR="00FB4B51">
        <w:rPr>
          <w:rFonts w:hint="cs"/>
          <w:rtl/>
        </w:rPr>
        <w:t>שהתקיים ב</w:t>
      </w:r>
      <w:r w:rsidR="00661B47">
        <w:rPr>
          <w:rFonts w:hint="cs"/>
          <w:rtl/>
        </w:rPr>
        <w:t>ספטמבר 2016</w:t>
      </w:r>
      <w:r>
        <w:rPr>
          <w:rFonts w:hint="cs"/>
          <w:rtl/>
        </w:rPr>
        <w:t xml:space="preserve"> צ</w:t>
      </w:r>
      <w:r w:rsidR="00D82EA4">
        <w:rPr>
          <w:rFonts w:hint="cs"/>
          <w:rtl/>
        </w:rPr>
        <w:t>ו</w:t>
      </w:r>
      <w:r>
        <w:rPr>
          <w:rFonts w:hint="cs"/>
          <w:rtl/>
        </w:rPr>
        <w:t>ינ</w:t>
      </w:r>
      <w:r w:rsidR="00AF3789">
        <w:rPr>
          <w:rFonts w:hint="cs"/>
          <w:rtl/>
        </w:rPr>
        <w:t>ו</w:t>
      </w:r>
      <w:r>
        <w:rPr>
          <w:rFonts w:hint="cs"/>
          <w:rtl/>
        </w:rPr>
        <w:t xml:space="preserve"> </w:t>
      </w:r>
      <w:r w:rsidR="00AF3789">
        <w:rPr>
          <w:rFonts w:hint="cs"/>
          <w:rtl/>
        </w:rPr>
        <w:t>העמדות הבאות</w:t>
      </w:r>
      <w:r w:rsidR="006456A6">
        <w:rPr>
          <w:rFonts w:hint="cs"/>
          <w:rtl/>
        </w:rPr>
        <w:t>:</w:t>
      </w:r>
      <w:r>
        <w:rPr>
          <w:rFonts w:hint="cs"/>
          <w:rtl/>
        </w:rPr>
        <w:t xml:space="preserve"> כי "המדובר בחקיקה ב</w:t>
      </w:r>
      <w:r>
        <w:rPr>
          <w:rFonts w:hint="cs"/>
          <w:rtl/>
        </w:rPr>
        <w:t>עייתית מאוד מכיוון שהיא רחבה מידי</w:t>
      </w:r>
      <w:r w:rsidRPr="003A7492">
        <w:rPr>
          <w:rFonts w:hint="cs"/>
          <w:rtl/>
        </w:rPr>
        <w:t xml:space="preserve">... יש ליצור נוסח חוק חדש ובו איסורים מצומצמים מאוד". </w:t>
      </w:r>
      <w:r w:rsidR="006456A6">
        <w:rPr>
          <w:rFonts w:hint="cs"/>
          <w:rtl/>
        </w:rPr>
        <w:t xml:space="preserve">וכן </w:t>
      </w:r>
      <w:r w:rsidRPr="003A7492">
        <w:rPr>
          <w:rFonts w:hint="cs"/>
          <w:rtl/>
        </w:rPr>
        <w:t>כי "ההסדר המשפטי הקיים יוצר זילות של מוסד הסוד, זאת כיוון שכאשר הכל סוד - שום דבר אינו סוד".</w:t>
      </w:r>
      <w:r>
        <w:rPr>
          <w:rFonts w:hint="cs"/>
          <w:rtl/>
        </w:rPr>
        <w:t xml:space="preserve"> </w:t>
      </w:r>
    </w:p>
    <w:p w:rsidR="00D97EFF" w:rsidP="00FF6AB4" w14:paraId="03FEDE39" w14:textId="77777777">
      <w:pPr>
        <w:pStyle w:val="a"/>
        <w:spacing w:line="269" w:lineRule="auto"/>
        <w:rPr>
          <w:rtl/>
        </w:rPr>
      </w:pPr>
    </w:p>
    <w:p w:rsidR="004A37F5" w:rsidRPr="00D63BB7" w:rsidP="00FF6AB4" w14:paraId="639FE1B5" w14:textId="77777777">
      <w:pPr>
        <w:spacing w:line="269" w:lineRule="auto"/>
        <w:ind w:left="312"/>
        <w:rPr>
          <w:rtl/>
        </w:rPr>
      </w:pPr>
      <w:r>
        <w:rPr>
          <w:rFonts w:hint="cs"/>
          <w:rtl/>
        </w:rPr>
        <w:t xml:space="preserve">יצוין כי </w:t>
      </w:r>
      <w:r w:rsidR="00B03FF6">
        <w:rPr>
          <w:rFonts w:hint="cs"/>
          <w:rtl/>
        </w:rPr>
        <w:t xml:space="preserve">בשנת 2001 תוקן חוק העונשין ונקבעה בו הגנה מסוימת למי שחדל </w:t>
      </w:r>
      <w:r w:rsidR="00FB4B51">
        <w:rPr>
          <w:rFonts w:hint="cs"/>
          <w:rtl/>
        </w:rPr>
        <w:t>ל</w:t>
      </w:r>
      <w:r w:rsidR="00B03FF6">
        <w:rPr>
          <w:rFonts w:hint="cs"/>
          <w:rtl/>
        </w:rPr>
        <w:t xml:space="preserve">היות עובד ציבור </w:t>
      </w:r>
      <w:r w:rsidR="00DE6864">
        <w:rPr>
          <w:rFonts w:hint="cs"/>
          <w:rtl/>
        </w:rPr>
        <w:t>יותר</w:t>
      </w:r>
      <w:r w:rsidR="00B03FF6">
        <w:rPr>
          <w:rFonts w:hint="cs"/>
          <w:rtl/>
        </w:rPr>
        <w:t xml:space="preserve"> מחמש שנים </w:t>
      </w:r>
      <w:r w:rsidR="00FB4B51">
        <w:rPr>
          <w:rFonts w:hint="cs"/>
          <w:rtl/>
        </w:rPr>
        <w:t>לפני ש</w:t>
      </w:r>
      <w:r w:rsidR="00B03FF6">
        <w:rPr>
          <w:rFonts w:hint="cs"/>
          <w:rtl/>
        </w:rPr>
        <w:t>מסר ידיעה הנוגעת לביטחון המדינה, ובלבד שהגורם המוסמך</w:t>
      </w:r>
      <w:r w:rsidR="00DE6864">
        <w:rPr>
          <w:rFonts w:hint="cs"/>
          <w:rtl/>
        </w:rPr>
        <w:t xml:space="preserve"> אישר קודם למסירתה</w:t>
      </w:r>
      <w:r w:rsidR="00B03FF6">
        <w:rPr>
          <w:rFonts w:hint="cs"/>
          <w:rtl/>
        </w:rPr>
        <w:t xml:space="preserve"> כי מסירת הידיעה לא תפגע בביטחון המדינה או ביחסי </w:t>
      </w:r>
      <w:r>
        <w:rPr>
          <w:rFonts w:hint="cs"/>
          <w:rtl/>
        </w:rPr>
        <w:t>ה</w:t>
      </w:r>
      <w:r w:rsidR="00B03FF6">
        <w:rPr>
          <w:rFonts w:hint="cs"/>
          <w:rtl/>
        </w:rPr>
        <w:t>חוץ שלה</w:t>
      </w:r>
      <w:r w:rsidR="00DE6864">
        <w:rPr>
          <w:rFonts w:hint="cs"/>
          <w:rtl/>
        </w:rPr>
        <w:t>. בתיקון נקבע שהגורם המוסמך</w:t>
      </w:r>
      <w:r w:rsidR="00B03FF6">
        <w:rPr>
          <w:rFonts w:hint="cs"/>
          <w:rtl/>
        </w:rPr>
        <w:t xml:space="preserve"> לעניין זה </w:t>
      </w:r>
      <w:r w:rsidR="00DE6864">
        <w:rPr>
          <w:rFonts w:hint="cs"/>
          <w:rtl/>
        </w:rPr>
        <w:t xml:space="preserve">הוא </w:t>
      </w:r>
      <w:r w:rsidR="00B03FF6">
        <w:rPr>
          <w:rFonts w:hint="cs"/>
          <w:rtl/>
        </w:rPr>
        <w:t xml:space="preserve">הצנזור הצבאי הראשי או בעל תפקיד אחר, </w:t>
      </w:r>
      <w:r w:rsidR="00DE6864">
        <w:rPr>
          <w:rFonts w:hint="cs"/>
          <w:rtl/>
        </w:rPr>
        <w:t>"</w:t>
      </w:r>
      <w:r w:rsidR="00B03FF6">
        <w:rPr>
          <w:rFonts w:hint="cs"/>
          <w:rtl/>
        </w:rPr>
        <w:t xml:space="preserve">הכל כפי שתקבע הממשלה בצו, באישור ועדת החוקה חוק ומשפט של הכנסת". בדיון צוות סופרי </w:t>
      </w:r>
      <w:r w:rsidR="00DE6864">
        <w:rPr>
          <w:rFonts w:hint="cs"/>
          <w:rtl/>
        </w:rPr>
        <w:t>ה</w:t>
      </w:r>
      <w:r w:rsidR="00B03FF6">
        <w:rPr>
          <w:rFonts w:hint="cs"/>
          <w:rtl/>
        </w:rPr>
        <w:t>צללים</w:t>
      </w:r>
      <w:r w:rsidR="00DE6864">
        <w:rPr>
          <w:rFonts w:hint="cs"/>
          <w:rtl/>
        </w:rPr>
        <w:t xml:space="preserve"> שהתקיים ב</w:t>
      </w:r>
      <w:r>
        <w:rPr>
          <w:rFonts w:hint="cs"/>
          <w:rtl/>
        </w:rPr>
        <w:t>ינואר 2017</w:t>
      </w:r>
      <w:r w:rsidR="00B03FF6">
        <w:rPr>
          <w:rFonts w:hint="cs"/>
          <w:rtl/>
        </w:rPr>
        <w:t xml:space="preserve"> צוין כי "עד היום לא אושר ופורסם הצו שמגדיר מיהו 'הגורם המוסמך'".</w:t>
      </w:r>
    </w:p>
    <w:p w:rsidR="004A37F5" w:rsidP="00FF6AB4" w14:paraId="07A2D504" w14:textId="77777777">
      <w:pPr>
        <w:pStyle w:val="a"/>
        <w:spacing w:line="269" w:lineRule="auto"/>
        <w:rPr>
          <w:rtl/>
        </w:rPr>
      </w:pPr>
    </w:p>
    <w:p w:rsidR="00AE0598" w:rsidRPr="00A50125" w:rsidP="00FF6AB4" w14:paraId="0CD2C263" w14:textId="77777777">
      <w:pPr>
        <w:pStyle w:val="ListParagraph"/>
        <w:numPr>
          <w:ilvl w:val="0"/>
          <w:numId w:val="2"/>
        </w:numPr>
        <w:spacing w:line="269" w:lineRule="auto"/>
        <w:ind w:left="312"/>
        <w:rPr>
          <w:b/>
          <w:bCs/>
        </w:rPr>
      </w:pPr>
      <w:r w:rsidRPr="005B79E0">
        <w:rPr>
          <w:rStyle w:val="5"/>
          <w:rFonts w:eastAsia="Calibri" w:hint="cs"/>
          <w:rtl/>
        </w:rPr>
        <w:t>קשיים באכיפת חוק העונשין</w:t>
      </w:r>
      <w:r w:rsidRPr="005B79E0" w:rsidR="00661B47">
        <w:rPr>
          <w:rStyle w:val="5"/>
          <w:rFonts w:eastAsia="Calibri" w:hint="cs"/>
          <w:rtl/>
        </w:rPr>
        <w:t xml:space="preserve"> ופער ב"סל הכלים" להתמודדות עם התופעה</w:t>
      </w:r>
      <w:r w:rsidRPr="005B79E0" w:rsidR="00FB4B51">
        <w:rPr>
          <w:rStyle w:val="5"/>
          <w:rFonts w:eastAsia="Calibri" w:hint="cs"/>
          <w:rtl/>
        </w:rPr>
        <w:t>:</w:t>
      </w:r>
      <w:r w:rsidR="00FB4B51">
        <w:rPr>
          <w:rFonts w:hint="cs"/>
          <w:rtl/>
        </w:rPr>
        <w:t xml:space="preserve"> </w:t>
      </w:r>
      <w:r w:rsidRPr="005B79E0" w:rsidR="00DE6864">
        <w:rPr>
          <w:rFonts w:hint="cs"/>
          <w:rtl/>
        </w:rPr>
        <w:t xml:space="preserve">במצע לדיון הפתיחה של </w:t>
      </w:r>
      <w:r w:rsidRPr="005B79E0">
        <w:rPr>
          <w:rFonts w:hint="cs"/>
          <w:rtl/>
        </w:rPr>
        <w:t xml:space="preserve">צוות </w:t>
      </w:r>
      <w:r w:rsidRPr="005B79E0" w:rsidR="00DE6864">
        <w:rPr>
          <w:rFonts w:hint="cs"/>
          <w:rtl/>
        </w:rPr>
        <w:t xml:space="preserve">סופרי הצללים </w:t>
      </w:r>
      <w:r w:rsidRPr="005B79E0">
        <w:rPr>
          <w:rFonts w:hint="cs"/>
          <w:rtl/>
        </w:rPr>
        <w:t xml:space="preserve">צוין כי על רקע </w:t>
      </w:r>
      <w:r w:rsidRPr="005B79E0" w:rsidR="00DE6864">
        <w:rPr>
          <w:rFonts w:hint="cs"/>
          <w:rtl/>
        </w:rPr>
        <w:t>נוסחו</w:t>
      </w:r>
      <w:r w:rsidRPr="005B79E0">
        <w:rPr>
          <w:rFonts w:hint="cs"/>
          <w:rtl/>
        </w:rPr>
        <w:t xml:space="preserve"> של סעיף 117 "לא מפתיע לגלות כי הפרקליטות ממעטת עד מאוד לעשות שימוש בסעיף זה ולהגיש כתבי אישום על הפרת האיסור הקבוע בו". בדיון הצוות הראשון ציין נציג מחלקת ייעוץ וחקיקה כי "הגורם לפרשיות חוזרות ונשנות בנושא הוא הפער הדרמטי </w:t>
      </w:r>
      <w:r w:rsidRPr="005B79E0">
        <w:rPr>
          <w:rFonts w:hint="cs"/>
          <w:rtl/>
        </w:rPr>
        <w:t>בין התשתית הנורמטיבית הקיימת מאז ימי המנדט למציאות... פער זה משפיע על מדיניות האכיפה בתחום זה שכמעט אינה קיימת</w:t>
      </w:r>
      <w:r w:rsidRPr="005B79E0" w:rsidR="003A4093">
        <w:rPr>
          <w:rFonts w:hint="cs"/>
          <w:rtl/>
        </w:rPr>
        <w:t>"</w:t>
      </w:r>
      <w:r w:rsidRPr="006526B8" w:rsidR="003A4093">
        <w:rPr>
          <w:rFonts w:hint="cs"/>
          <w:rtl/>
        </w:rPr>
        <w:t xml:space="preserve">. </w:t>
      </w:r>
      <w:r w:rsidRPr="006526B8" w:rsidR="00D95F3B">
        <w:rPr>
          <w:rFonts w:hint="cs"/>
          <w:rtl/>
        </w:rPr>
        <w:t>נציג היועץ המשפטי ל</w:t>
      </w:r>
      <w:r w:rsidRPr="00101908">
        <w:rPr>
          <w:rFonts w:hint="cs"/>
          <w:rtl/>
        </w:rPr>
        <w:t>משרד רה"ם ציין כי "הבעיה האמיתית היא שכאשר מגיעים למקרי מבחן, אין אכיפה פלילית בפועל</w:t>
      </w:r>
      <w:r w:rsidRPr="00BA4D37" w:rsidR="003A4093">
        <w:rPr>
          <w:rFonts w:hint="cs"/>
          <w:rtl/>
        </w:rPr>
        <w:t xml:space="preserve">". </w:t>
      </w:r>
      <w:r w:rsidRPr="00134DD4">
        <w:rPr>
          <w:rFonts w:hint="cs"/>
          <w:rtl/>
        </w:rPr>
        <w:t xml:space="preserve">נציג מחלקת הבג"צים ציין כי "חשוב לתת </w:t>
      </w:r>
      <w:r w:rsidRPr="00134DD4">
        <w:rPr>
          <w:rFonts w:hint="cs"/>
          <w:rtl/>
        </w:rPr>
        <w:t>את הדעת לכך שלעיתים הנזק שנגרם כתוצאה מנקיטת הליכים פליליים</w:t>
      </w:r>
      <w:r w:rsidRPr="00B27EDB">
        <w:rPr>
          <w:rFonts w:hint="cs"/>
          <w:rtl/>
        </w:rPr>
        <w:t xml:space="preserve"> גדול מן התועלת". המשנה ליועץ המשפטי לממשלה סיכמה, כי צוות סופרי צללים יתמקד "במציאת פתרונות מניעתיים ואכיפתיים מגוונים".</w:t>
      </w:r>
      <w:r w:rsidRPr="0010725E" w:rsidR="00661B47">
        <w:rPr>
          <w:rFonts w:hint="cs"/>
          <w:rtl/>
        </w:rPr>
        <w:t xml:space="preserve"> בדיון צוות סופרי הצללים שהתקיים במאי 2016 צוין כי סנקציות המוטלות על עובדים במקום העבודה, דוגמת פיטורין, אינן </w:t>
      </w:r>
      <w:r w:rsidRPr="0010725E" w:rsidR="003A4093">
        <w:rPr>
          <w:rFonts w:hint="cs"/>
          <w:rtl/>
        </w:rPr>
        <w:t>רלוונטיות בנוגע</w:t>
      </w:r>
      <w:r w:rsidRPr="004041BA" w:rsidR="00661B47">
        <w:rPr>
          <w:rFonts w:hint="cs"/>
          <w:rtl/>
        </w:rPr>
        <w:t xml:space="preserve"> לעובדי ציבור לשעבר, וכי </w:t>
      </w:r>
      <w:r w:rsidRPr="008C5525" w:rsidR="00661B47">
        <w:rPr>
          <w:rFonts w:hint="cs"/>
          <w:rtl/>
        </w:rPr>
        <w:t>"ניתן להפעיל עליהם סנקציה של פגיעה בפנסיה, אך עדי</w:t>
      </w:r>
      <w:r w:rsidRPr="008C5525" w:rsidR="008C700F">
        <w:rPr>
          <w:rFonts w:hint="cs"/>
          <w:rtl/>
        </w:rPr>
        <w:t>י</w:t>
      </w:r>
      <w:r w:rsidRPr="008C5525" w:rsidR="00661B47">
        <w:rPr>
          <w:rFonts w:hint="cs"/>
          <w:rtl/>
        </w:rPr>
        <w:t>ן היא אינה מבטיחה את</w:t>
      </w:r>
      <w:r w:rsidRPr="005B79E0" w:rsidR="00661B47">
        <w:rPr>
          <w:rFonts w:hint="cs"/>
          <w:rtl/>
        </w:rPr>
        <w:t xml:space="preserve"> מניעת הפרסום, וממילא אינה פשוטה משפטית".</w:t>
      </w:r>
    </w:p>
    <w:p w:rsidR="00C4066A" w:rsidRPr="005B79E0" w:rsidP="00FF6AB4" w14:paraId="0C7811D5" w14:textId="77777777">
      <w:pPr>
        <w:pStyle w:val="a"/>
        <w:spacing w:line="269" w:lineRule="auto"/>
        <w:rPr>
          <w:rtl/>
        </w:rPr>
      </w:pPr>
    </w:p>
    <w:p w:rsidR="004A37F5" w:rsidP="00FF6AB4" w14:paraId="7550BEE4" w14:textId="77777777">
      <w:pPr>
        <w:pStyle w:val="ListParagraph"/>
        <w:spacing w:line="269" w:lineRule="auto"/>
        <w:ind w:left="312"/>
        <w:rPr>
          <w:rtl/>
        </w:rPr>
      </w:pPr>
      <w:r>
        <w:rPr>
          <w:rFonts w:hint="cs"/>
          <w:rtl/>
        </w:rPr>
        <w:t>עוד צוין בדיון צוות סופרי הצללים כי</w:t>
      </w:r>
      <w:r w:rsidRPr="00C70D5A" w:rsidR="00B03FF6">
        <w:rPr>
          <w:rFonts w:hint="cs"/>
          <w:rtl/>
        </w:rPr>
        <w:t xml:space="preserve"> כללי הפרסום המסדירים את הקמת ועדת השרים לפרסומים </w:t>
      </w:r>
      <w:r>
        <w:rPr>
          <w:rFonts w:hint="cs"/>
          <w:rtl/>
        </w:rPr>
        <w:t>מקורם</w:t>
      </w:r>
      <w:r w:rsidRPr="00C70D5A" w:rsidR="00B03FF6">
        <w:rPr>
          <w:rFonts w:hint="cs"/>
          <w:rtl/>
        </w:rPr>
        <w:t xml:space="preserve"> בחוק שבוטל</w:t>
      </w:r>
      <w:r>
        <w:rPr>
          <w:rStyle w:val="FootnoteReference"/>
          <w:rtl/>
        </w:rPr>
        <w:footnoteReference w:id="41"/>
      </w:r>
      <w:r w:rsidRPr="00C70D5A" w:rsidR="00D95F3B">
        <w:rPr>
          <w:rFonts w:hint="cs"/>
          <w:rtl/>
        </w:rPr>
        <w:t>,</w:t>
      </w:r>
      <w:r w:rsidRPr="00C70D5A" w:rsidR="00B03FF6">
        <w:rPr>
          <w:rFonts w:hint="cs"/>
          <w:rtl/>
        </w:rPr>
        <w:t xml:space="preserve"> והוראותיו מוזגו בסעיף 117 לחוק העונשין</w:t>
      </w:r>
      <w:r w:rsidR="003A4093">
        <w:rPr>
          <w:rFonts w:hint="cs"/>
          <w:rtl/>
        </w:rPr>
        <w:t>,</w:t>
      </w:r>
      <w:r w:rsidRPr="00C70D5A" w:rsidR="00B03FF6">
        <w:rPr>
          <w:rFonts w:hint="cs"/>
          <w:rtl/>
        </w:rPr>
        <w:t xml:space="preserve"> </w:t>
      </w:r>
      <w:r>
        <w:rPr>
          <w:rFonts w:hint="cs"/>
          <w:rtl/>
        </w:rPr>
        <w:t>ולכן</w:t>
      </w:r>
      <w:r w:rsidRPr="00C70D5A" w:rsidR="00B03FF6">
        <w:rPr>
          <w:rFonts w:hint="cs"/>
          <w:rtl/>
        </w:rPr>
        <w:t xml:space="preserve"> </w:t>
      </w:r>
      <w:r>
        <w:rPr>
          <w:rFonts w:hint="cs"/>
          <w:rtl/>
        </w:rPr>
        <w:t>"</w:t>
      </w:r>
      <w:r w:rsidRPr="00C70D5A" w:rsidR="00B03FF6">
        <w:rPr>
          <w:rFonts w:hint="cs"/>
          <w:rtl/>
        </w:rPr>
        <w:t>העיגון שלהם מאוד בעייתי".</w:t>
      </w:r>
      <w:r w:rsidR="00B03FF6">
        <w:rPr>
          <w:rFonts w:hint="cs"/>
          <w:rtl/>
        </w:rPr>
        <w:t xml:space="preserve"> </w:t>
      </w:r>
    </w:p>
    <w:p w:rsidR="00D97EFF" w:rsidP="00FF6AB4" w14:paraId="35B8189B" w14:textId="77777777">
      <w:pPr>
        <w:pStyle w:val="a"/>
        <w:spacing w:line="269" w:lineRule="auto"/>
        <w:rPr>
          <w:rtl/>
        </w:rPr>
      </w:pPr>
    </w:p>
    <w:p w:rsidR="004A37F5" w:rsidRPr="00D577CD" w:rsidP="00FF6AB4" w14:paraId="7294BBCF" w14:textId="77777777">
      <w:pPr>
        <w:spacing w:line="269" w:lineRule="auto"/>
        <w:rPr>
          <w:b/>
          <w:bCs/>
          <w:rtl/>
        </w:rPr>
      </w:pPr>
      <w:r w:rsidRPr="00AF3070">
        <w:rPr>
          <w:rFonts w:hint="cs"/>
          <w:rtl/>
        </w:rPr>
        <w:t>צוות</w:t>
      </w:r>
      <w:r w:rsidRPr="00AF3070">
        <w:rPr>
          <w:rtl/>
        </w:rPr>
        <w:t xml:space="preserve"> סופרי </w:t>
      </w:r>
      <w:r w:rsidR="003A4093">
        <w:rPr>
          <w:rFonts w:hint="cs"/>
          <w:rtl/>
        </w:rPr>
        <w:t>ה</w:t>
      </w:r>
      <w:r w:rsidRPr="00AF3070">
        <w:rPr>
          <w:rtl/>
        </w:rPr>
        <w:t xml:space="preserve">צללים </w:t>
      </w:r>
      <w:r w:rsidR="00C06805">
        <w:rPr>
          <w:rFonts w:hint="cs"/>
          <w:rtl/>
        </w:rPr>
        <w:t>גיבש</w:t>
      </w:r>
      <w:r w:rsidRPr="00AF3070" w:rsidR="00C06805">
        <w:rPr>
          <w:rtl/>
        </w:rPr>
        <w:t xml:space="preserve"> </w:t>
      </w:r>
      <w:r w:rsidRPr="00AF3070">
        <w:rPr>
          <w:rtl/>
        </w:rPr>
        <w:t xml:space="preserve">שתי טיוטות </w:t>
      </w:r>
      <w:r w:rsidR="00D95F3B">
        <w:rPr>
          <w:rFonts w:hint="cs"/>
          <w:rtl/>
        </w:rPr>
        <w:t>הכוללות</w:t>
      </w:r>
      <w:r w:rsidRPr="00AF3070">
        <w:rPr>
          <w:rtl/>
        </w:rPr>
        <w:t xml:space="preserve"> הצעות לטיוב השמירה על סודות המדינה </w:t>
      </w:r>
      <w:r w:rsidRPr="00AF3070">
        <w:rPr>
          <w:rFonts w:hint="cs"/>
          <w:rtl/>
        </w:rPr>
        <w:t>הן</w:t>
      </w:r>
      <w:r w:rsidRPr="00AF3070">
        <w:rPr>
          <w:rtl/>
        </w:rPr>
        <w:t xml:space="preserve"> במישור הנורמטיבי </w:t>
      </w:r>
      <w:r w:rsidRPr="00AF3070">
        <w:rPr>
          <w:rFonts w:hint="cs"/>
          <w:rtl/>
        </w:rPr>
        <w:t>והן</w:t>
      </w:r>
      <w:r w:rsidRPr="00AF3070">
        <w:rPr>
          <w:rtl/>
        </w:rPr>
        <w:t xml:space="preserve"> בהיבטים של ח</w:t>
      </w:r>
      <w:r w:rsidRPr="00AF3070">
        <w:rPr>
          <w:rtl/>
        </w:rPr>
        <w:t>יזוק מנגנוני אבטחת המידע</w:t>
      </w:r>
      <w:r w:rsidR="003A4093">
        <w:rPr>
          <w:rFonts w:hint="cs"/>
          <w:rtl/>
        </w:rPr>
        <w:t>,</w:t>
      </w:r>
      <w:r w:rsidR="00D95F3B">
        <w:rPr>
          <w:rFonts w:hint="cs"/>
          <w:rtl/>
        </w:rPr>
        <w:t xml:space="preserve"> </w:t>
      </w:r>
      <w:r w:rsidRPr="00AF3070">
        <w:rPr>
          <w:rFonts w:hint="cs"/>
          <w:rtl/>
        </w:rPr>
        <w:t>ניהול</w:t>
      </w:r>
      <w:r w:rsidRPr="00AF3070">
        <w:rPr>
          <w:rtl/>
        </w:rPr>
        <w:t xml:space="preserve"> </w:t>
      </w:r>
      <w:r w:rsidRPr="00AF3070">
        <w:rPr>
          <w:rFonts w:hint="cs"/>
          <w:rtl/>
        </w:rPr>
        <w:t>כוח</w:t>
      </w:r>
      <w:r w:rsidRPr="00AF3070">
        <w:rPr>
          <w:rtl/>
        </w:rPr>
        <w:t xml:space="preserve"> </w:t>
      </w:r>
      <w:r w:rsidR="00D95F3B">
        <w:rPr>
          <w:rFonts w:hint="cs"/>
          <w:rtl/>
        </w:rPr>
        <w:t>ה</w:t>
      </w:r>
      <w:r w:rsidRPr="00AF3070">
        <w:rPr>
          <w:rFonts w:hint="cs"/>
          <w:rtl/>
        </w:rPr>
        <w:t>אדם</w:t>
      </w:r>
      <w:r w:rsidR="003A4093">
        <w:rPr>
          <w:rFonts w:hint="cs"/>
          <w:rtl/>
        </w:rPr>
        <w:t>,</w:t>
      </w:r>
      <w:r w:rsidR="00D95F3B">
        <w:rPr>
          <w:rFonts w:hint="cs"/>
          <w:rtl/>
        </w:rPr>
        <w:t xml:space="preserve"> </w:t>
      </w:r>
      <w:r w:rsidRPr="00AF3070">
        <w:rPr>
          <w:rFonts w:hint="cs"/>
          <w:rtl/>
        </w:rPr>
        <w:t>היבטים</w:t>
      </w:r>
      <w:r w:rsidRPr="00AF3070">
        <w:rPr>
          <w:rtl/>
        </w:rPr>
        <w:t xml:space="preserve"> </w:t>
      </w:r>
      <w:r w:rsidRPr="00AF3070">
        <w:rPr>
          <w:rFonts w:hint="cs"/>
          <w:rtl/>
        </w:rPr>
        <w:t>טכנולוגיים</w:t>
      </w:r>
      <w:r w:rsidRPr="00AF3070">
        <w:rPr>
          <w:rtl/>
        </w:rPr>
        <w:t xml:space="preserve"> </w:t>
      </w:r>
      <w:r w:rsidR="00D95F3B">
        <w:rPr>
          <w:rFonts w:hint="cs"/>
          <w:rtl/>
        </w:rPr>
        <w:t>ו</w:t>
      </w:r>
      <w:r w:rsidR="003A4093">
        <w:rPr>
          <w:rFonts w:hint="cs"/>
          <w:rtl/>
        </w:rPr>
        <w:t>היבטים</w:t>
      </w:r>
      <w:r w:rsidR="00106E57">
        <w:rPr>
          <w:rFonts w:hint="cs"/>
          <w:rtl/>
        </w:rPr>
        <w:t xml:space="preserve"> </w:t>
      </w:r>
      <w:r w:rsidR="00D95F3B">
        <w:rPr>
          <w:rFonts w:hint="cs"/>
          <w:rtl/>
        </w:rPr>
        <w:t>אחרים</w:t>
      </w:r>
      <w:r w:rsidRPr="00AF3070">
        <w:rPr>
          <w:rtl/>
        </w:rPr>
        <w:t>.</w:t>
      </w:r>
      <w:r w:rsidRPr="00D577CD">
        <w:rPr>
          <w:rFonts w:hint="cs"/>
          <w:b/>
          <w:bCs/>
          <w:rtl/>
        </w:rPr>
        <w:t xml:space="preserve"> </w:t>
      </w:r>
    </w:p>
    <w:p w:rsidR="00D97EFF" w:rsidP="00FF6AB4" w14:paraId="4EF5FBAB" w14:textId="77777777">
      <w:pPr>
        <w:pStyle w:val="a"/>
        <w:spacing w:line="269" w:lineRule="auto"/>
        <w:rPr>
          <w:rtl/>
        </w:rPr>
      </w:pPr>
    </w:p>
    <w:p w:rsidR="004A37F5" w:rsidP="00FF6AB4" w14:paraId="4DC4B88B" w14:textId="77777777">
      <w:pPr>
        <w:spacing w:line="269" w:lineRule="auto"/>
        <w:rPr>
          <w:rtl/>
        </w:rPr>
      </w:pPr>
      <w:r w:rsidRPr="00D422EE">
        <w:rPr>
          <w:rFonts w:hint="cs"/>
          <w:rtl/>
        </w:rPr>
        <w:t>יצוין כי באפריל 2017 ציין בג"ץ</w:t>
      </w:r>
      <w:r>
        <w:rPr>
          <w:rStyle w:val="FootnoteReference"/>
          <w:rtl/>
        </w:rPr>
        <w:footnoteReference w:id="42"/>
      </w:r>
      <w:r w:rsidRPr="00D422EE">
        <w:rPr>
          <w:rFonts w:hint="cs"/>
          <w:rtl/>
        </w:rPr>
        <w:t xml:space="preserve"> </w:t>
      </w:r>
      <w:r w:rsidRPr="00D422EE" w:rsidR="00D95F3B">
        <w:rPr>
          <w:rFonts w:hint="cs"/>
          <w:rtl/>
        </w:rPr>
        <w:t>בהחלטתו בעתירה שהוגשה נגד החלטת היועץ המשפטי</w:t>
      </w:r>
      <w:r w:rsidRPr="00D422EE">
        <w:rPr>
          <w:rFonts w:hint="cs"/>
          <w:rtl/>
        </w:rPr>
        <w:t xml:space="preserve"> לממשלה שלא לפתוח בחקירה פלילית</w:t>
      </w:r>
      <w:r w:rsidRPr="00D422EE" w:rsidR="00D95F3B">
        <w:rPr>
          <w:rFonts w:hint="cs"/>
          <w:rtl/>
        </w:rPr>
        <w:t>:</w:t>
      </w:r>
      <w:r w:rsidRPr="00D422EE">
        <w:rPr>
          <w:rFonts w:hint="cs"/>
          <w:rtl/>
        </w:rPr>
        <w:t xml:space="preserve"> "רשמנו לפנינו את העובדה כי בד בבד עם ההחלטה לסגור את תיק התלונה שבנדון הוחלט גם להקים צוות שיבחן קידום הנחיה מערכתית לטיפול בתופעות של שיח בכירים לשעבר במערכת הביטחון עם 'סופרי צללים' או עיתונאים, על מנת למנוע הישנות מקרים כאלה בעתיד". בסיום פסק הדין </w:t>
      </w:r>
      <w:r w:rsidR="00DE5963">
        <w:rPr>
          <w:rFonts w:hint="cs"/>
          <w:rtl/>
        </w:rPr>
        <w:t>צוין</w:t>
      </w:r>
      <w:r w:rsidRPr="00D422EE" w:rsidR="00DE5963">
        <w:rPr>
          <w:rFonts w:hint="cs"/>
          <w:rtl/>
        </w:rPr>
        <w:t xml:space="preserve"> </w:t>
      </w:r>
      <w:r w:rsidRPr="00D422EE">
        <w:rPr>
          <w:rFonts w:hint="cs"/>
          <w:rtl/>
        </w:rPr>
        <w:t xml:space="preserve">כי "יש לקוות כי המלצות אלה [של צוות סופרי </w:t>
      </w:r>
      <w:r w:rsidRPr="00D422EE" w:rsidR="00D95F3B">
        <w:rPr>
          <w:rFonts w:hint="cs"/>
          <w:rtl/>
        </w:rPr>
        <w:t>ה</w:t>
      </w:r>
      <w:r w:rsidRPr="00D422EE">
        <w:rPr>
          <w:rFonts w:hint="cs"/>
          <w:rtl/>
        </w:rPr>
        <w:t>צללים] תוגשנה בהקדם שכן מדובר בתופעה שהטיפול בה נדרש ויפה שעה אחת קודם".</w:t>
      </w:r>
    </w:p>
    <w:p w:rsidR="00D97EFF" w:rsidP="00FF6AB4" w14:paraId="0EE89C24" w14:textId="77777777">
      <w:pPr>
        <w:pStyle w:val="a"/>
        <w:spacing w:line="269" w:lineRule="auto"/>
        <w:rPr>
          <w:rtl/>
        </w:rPr>
      </w:pPr>
    </w:p>
    <w:p w:rsidR="004A37F5" w:rsidP="00FF6AB4" w14:paraId="0CBADD49" w14:textId="77777777">
      <w:pPr>
        <w:spacing w:line="269" w:lineRule="auto"/>
        <w:rPr>
          <w:rtl/>
        </w:rPr>
      </w:pPr>
      <w:r>
        <w:rPr>
          <w:rFonts w:hint="cs"/>
          <w:rtl/>
        </w:rPr>
        <w:t xml:space="preserve">בשנת 2018 </w:t>
      </w:r>
      <w:r w:rsidR="00D95F3B">
        <w:rPr>
          <w:rFonts w:hint="cs"/>
          <w:rtl/>
        </w:rPr>
        <w:t>הטיל</w:t>
      </w:r>
      <w:r>
        <w:rPr>
          <w:rFonts w:hint="cs"/>
          <w:rtl/>
        </w:rPr>
        <w:t xml:space="preserve"> שר הביטחון דאז </w:t>
      </w:r>
      <w:r w:rsidR="00D95F3B">
        <w:rPr>
          <w:rFonts w:hint="cs"/>
          <w:rtl/>
        </w:rPr>
        <w:t>על</w:t>
      </w:r>
      <w:r>
        <w:rPr>
          <w:rFonts w:hint="cs"/>
          <w:rtl/>
        </w:rPr>
        <w:t xml:space="preserve"> </w:t>
      </w:r>
      <w:r w:rsidR="00670D9D">
        <w:rPr>
          <w:rFonts w:hint="cs"/>
          <w:rtl/>
        </w:rPr>
        <w:t xml:space="preserve">המשנה לנשיאת בית המשפט העליון לשעבר, </w:t>
      </w:r>
      <w:r w:rsidR="00DE5963">
        <w:rPr>
          <w:rFonts w:hint="cs"/>
          <w:rtl/>
        </w:rPr>
        <w:t xml:space="preserve">לגבש </w:t>
      </w:r>
      <w:r>
        <w:rPr>
          <w:rFonts w:hint="cs"/>
          <w:rtl/>
        </w:rPr>
        <w:t>חוות דעת בעניין הדלפות שיש בהן סכנה לביטחון המדינה. ה</w:t>
      </w:r>
      <w:r w:rsidR="00D95F3B">
        <w:rPr>
          <w:rFonts w:hint="cs"/>
          <w:rtl/>
        </w:rPr>
        <w:t>שופט התייחס בין היתר</w:t>
      </w:r>
      <w:r>
        <w:rPr>
          <w:rFonts w:hint="cs"/>
          <w:rtl/>
        </w:rPr>
        <w:t xml:space="preserve"> לעבודת </w:t>
      </w:r>
      <w:r w:rsidRPr="00287DDD">
        <w:rPr>
          <w:rFonts w:hint="cs"/>
          <w:rtl/>
        </w:rPr>
        <w:t>צוות</w:t>
      </w:r>
      <w:r>
        <w:rPr>
          <w:rFonts w:hint="cs"/>
          <w:rtl/>
        </w:rPr>
        <w:t xml:space="preserve"> סופרי </w:t>
      </w:r>
      <w:r w:rsidR="00DE5963">
        <w:rPr>
          <w:rFonts w:hint="cs"/>
          <w:rtl/>
        </w:rPr>
        <w:t>ה</w:t>
      </w:r>
      <w:r>
        <w:rPr>
          <w:rFonts w:hint="cs"/>
          <w:rtl/>
        </w:rPr>
        <w:t>צללים</w:t>
      </w:r>
      <w:r w:rsidRPr="00287DDD">
        <w:rPr>
          <w:rtl/>
        </w:rPr>
        <w:t xml:space="preserve"> וציין </w:t>
      </w:r>
      <w:r w:rsidR="00D95F3B">
        <w:rPr>
          <w:rFonts w:hint="cs"/>
          <w:rtl/>
        </w:rPr>
        <w:t>לגבי</w:t>
      </w:r>
      <w:r>
        <w:rPr>
          <w:rFonts w:hint="cs"/>
          <w:rtl/>
        </w:rPr>
        <w:t xml:space="preserve"> הצעות שהעלה </w:t>
      </w:r>
      <w:r w:rsidR="00DE5963">
        <w:rPr>
          <w:rFonts w:hint="cs"/>
          <w:rtl/>
        </w:rPr>
        <w:t>ה</w:t>
      </w:r>
      <w:r>
        <w:rPr>
          <w:rFonts w:hint="cs"/>
          <w:rtl/>
        </w:rPr>
        <w:t xml:space="preserve">צוות </w:t>
      </w:r>
      <w:r w:rsidRPr="00287DDD">
        <w:rPr>
          <w:rtl/>
        </w:rPr>
        <w:t>כי "יש להביא לקידומן בהקדם האפשרי, תוך ניסוחן באופן סופי על דעת היועץ המשפטי לממשלה ופרקליט המדינה, שהן מצויות בפניהם לעיון"</w:t>
      </w:r>
      <w:r>
        <w:rPr>
          <w:rFonts w:hint="cs"/>
          <w:rtl/>
        </w:rPr>
        <w:t xml:space="preserve">. </w:t>
      </w:r>
    </w:p>
    <w:p w:rsidR="0048055E" w:rsidRPr="00BA5735" w:rsidP="00FF6AB4" w14:paraId="77C7E294" w14:textId="77777777">
      <w:pPr>
        <w:pStyle w:val="a"/>
        <w:spacing w:line="269" w:lineRule="auto"/>
        <w:rPr>
          <w:rtl/>
        </w:rPr>
      </w:pPr>
    </w:p>
    <w:p w:rsidR="000B4AB0" w:rsidP="00FF6AB4" w14:paraId="4A4C3649" w14:textId="77777777">
      <w:pPr>
        <w:spacing w:line="269" w:lineRule="auto"/>
        <w:rPr>
          <w:rtl/>
        </w:rPr>
      </w:pPr>
      <w:r w:rsidRPr="00D577CD">
        <w:rPr>
          <w:rFonts w:hint="cs"/>
          <w:b/>
          <w:bCs/>
          <w:rtl/>
        </w:rPr>
        <w:t xml:space="preserve">בביקורת עלה כי </w:t>
      </w:r>
      <w:r w:rsidR="00D95F3B">
        <w:rPr>
          <w:rFonts w:hint="cs"/>
          <w:b/>
          <w:bCs/>
          <w:rtl/>
        </w:rPr>
        <w:t xml:space="preserve">אף שעברו </w:t>
      </w:r>
      <w:r w:rsidRPr="00D577CD">
        <w:rPr>
          <w:rFonts w:hint="cs"/>
          <w:b/>
          <w:bCs/>
          <w:rtl/>
        </w:rPr>
        <w:t>כשלוש שנים מ</w:t>
      </w:r>
      <w:r w:rsidR="00D95F3B">
        <w:rPr>
          <w:rFonts w:hint="cs"/>
          <w:b/>
          <w:bCs/>
          <w:rtl/>
        </w:rPr>
        <w:t xml:space="preserve">אז </w:t>
      </w:r>
      <w:r w:rsidR="008E1432">
        <w:rPr>
          <w:rFonts w:hint="cs"/>
          <w:b/>
          <w:bCs/>
          <w:rtl/>
        </w:rPr>
        <w:t>ש</w:t>
      </w:r>
      <w:r w:rsidRPr="00D577CD">
        <w:rPr>
          <w:rFonts w:hint="cs"/>
          <w:b/>
          <w:bCs/>
          <w:rtl/>
        </w:rPr>
        <w:t>ה</w:t>
      </w:r>
      <w:r w:rsidR="00D95F3B">
        <w:rPr>
          <w:rFonts w:hint="cs"/>
          <w:b/>
          <w:bCs/>
          <w:rtl/>
        </w:rPr>
        <w:t>ו</w:t>
      </w:r>
      <w:r w:rsidRPr="00D577CD">
        <w:rPr>
          <w:rFonts w:hint="cs"/>
          <w:b/>
          <w:bCs/>
          <w:rtl/>
        </w:rPr>
        <w:t>ק</w:t>
      </w:r>
      <w:r w:rsidR="00D95F3B">
        <w:rPr>
          <w:rFonts w:hint="cs"/>
          <w:b/>
          <w:bCs/>
          <w:rtl/>
        </w:rPr>
        <w:t>ם</w:t>
      </w:r>
      <w:r w:rsidRPr="00D577CD">
        <w:rPr>
          <w:rFonts w:hint="cs"/>
          <w:b/>
          <w:bCs/>
          <w:rtl/>
        </w:rPr>
        <w:t xml:space="preserve"> צוות סופרי הצללים </w:t>
      </w:r>
      <w:r w:rsidR="00DE5963">
        <w:rPr>
          <w:rFonts w:hint="cs"/>
          <w:b/>
          <w:bCs/>
          <w:rtl/>
        </w:rPr>
        <w:t>ו</w:t>
      </w:r>
      <w:r w:rsidR="001A3D4A">
        <w:rPr>
          <w:rFonts w:hint="cs"/>
          <w:b/>
          <w:bCs/>
          <w:rtl/>
        </w:rPr>
        <w:t>כשנתיים</w:t>
      </w:r>
      <w:r w:rsidRPr="00D577CD">
        <w:rPr>
          <w:rFonts w:hint="cs"/>
          <w:b/>
          <w:bCs/>
          <w:rtl/>
        </w:rPr>
        <w:t xml:space="preserve"> מאז </w:t>
      </w:r>
      <w:r w:rsidR="008E1432">
        <w:rPr>
          <w:rFonts w:hint="cs"/>
          <w:b/>
          <w:bCs/>
          <w:rtl/>
        </w:rPr>
        <w:t>ש</w:t>
      </w:r>
      <w:r w:rsidRPr="00D577CD">
        <w:rPr>
          <w:rFonts w:hint="cs"/>
          <w:b/>
          <w:bCs/>
          <w:rtl/>
        </w:rPr>
        <w:t>הביע בג"ץ תקווה כי המלצות הצוות יוגשו בהקדם</w:t>
      </w:r>
      <w:r w:rsidR="00D95F3B">
        <w:rPr>
          <w:rFonts w:hint="cs"/>
          <w:b/>
          <w:bCs/>
          <w:rtl/>
        </w:rPr>
        <w:t xml:space="preserve"> -</w:t>
      </w:r>
      <w:r w:rsidRPr="00D577CD">
        <w:rPr>
          <w:rFonts w:hint="cs"/>
          <w:b/>
          <w:bCs/>
          <w:rtl/>
        </w:rPr>
        <w:t xml:space="preserve"> לא הגיש צוות סופרי צללים את המלצותיו</w:t>
      </w:r>
      <w:r w:rsidR="00D95F3B">
        <w:rPr>
          <w:rFonts w:hint="cs"/>
          <w:b/>
          <w:bCs/>
          <w:rtl/>
        </w:rPr>
        <w:t>,</w:t>
      </w:r>
      <w:r w:rsidRPr="00D577CD">
        <w:rPr>
          <w:rFonts w:hint="cs"/>
          <w:b/>
          <w:bCs/>
          <w:rtl/>
        </w:rPr>
        <w:t xml:space="preserve"> וממילא טרם הסתיים הטיפול </w:t>
      </w:r>
      <w:r>
        <w:rPr>
          <w:rFonts w:hint="cs"/>
          <w:b/>
          <w:bCs/>
          <w:rtl/>
        </w:rPr>
        <w:t xml:space="preserve">בנושא </w:t>
      </w:r>
      <w:r w:rsidR="00D95F3B">
        <w:rPr>
          <w:rFonts w:hint="cs"/>
          <w:b/>
          <w:bCs/>
          <w:rtl/>
        </w:rPr>
        <w:t xml:space="preserve">והוא לא סוכם על ידי </w:t>
      </w:r>
      <w:r w:rsidR="00D74019">
        <w:rPr>
          <w:rFonts w:hint="cs"/>
          <w:b/>
          <w:bCs/>
          <w:rtl/>
        </w:rPr>
        <w:t>היועץ המשפטי לממשלה.</w:t>
      </w:r>
    </w:p>
    <w:p w:rsidR="00D97EFF" w:rsidP="00FF6AB4" w14:paraId="68CB655C" w14:textId="77777777">
      <w:pPr>
        <w:pStyle w:val="a"/>
        <w:spacing w:line="269" w:lineRule="auto"/>
        <w:rPr>
          <w:rtl/>
        </w:rPr>
      </w:pPr>
    </w:p>
    <w:p w:rsidR="000B4AB0" w:rsidRPr="00905263" w:rsidP="00FF6AB4" w14:paraId="5DFC6844" w14:textId="77777777">
      <w:pPr>
        <w:spacing w:line="269" w:lineRule="auto"/>
        <w:rPr>
          <w:rtl/>
        </w:rPr>
      </w:pPr>
      <w:r>
        <w:rPr>
          <w:rFonts w:hint="cs"/>
          <w:rtl/>
        </w:rPr>
        <w:t xml:space="preserve">בתגובתו </w:t>
      </w:r>
      <w:r w:rsidR="00D47E95">
        <w:rPr>
          <w:rFonts w:hint="cs"/>
          <w:rtl/>
        </w:rPr>
        <w:t xml:space="preserve">מיוני 2019 </w:t>
      </w:r>
      <w:r>
        <w:rPr>
          <w:rFonts w:hint="cs"/>
          <w:rtl/>
        </w:rPr>
        <w:t xml:space="preserve">על </w:t>
      </w:r>
      <w:r w:rsidR="00B03FF6">
        <w:rPr>
          <w:rFonts w:hint="cs"/>
          <w:rtl/>
        </w:rPr>
        <w:t>טיוטת דוח הביקורת מסר משרד המשפטים כי בשבועות הקרובים תועבר ליועץ המשפטי לממשלה טיוטה מעודכנת של דוח</w:t>
      </w:r>
      <w:r>
        <w:rPr>
          <w:rFonts w:hint="cs"/>
          <w:rtl/>
        </w:rPr>
        <w:t xml:space="preserve"> צוות סופרי הצללים</w:t>
      </w:r>
      <w:r w:rsidR="00B03FF6">
        <w:rPr>
          <w:rFonts w:hint="cs"/>
          <w:rtl/>
        </w:rPr>
        <w:t>, במטרה לקדם את השלמת עבודת הצוות.</w:t>
      </w:r>
    </w:p>
    <w:p w:rsidR="004A37F5" w:rsidP="00FF6AB4" w14:paraId="3738DD7C" w14:textId="77777777">
      <w:pPr>
        <w:pStyle w:val="a"/>
        <w:spacing w:line="269" w:lineRule="auto"/>
        <w:rPr>
          <w:rtl/>
        </w:rPr>
      </w:pPr>
    </w:p>
    <w:p w:rsidR="004A37F5" w:rsidRPr="008C54D2" w:rsidP="00FF6AB4" w14:paraId="1B959D4A" w14:textId="77777777">
      <w:pPr>
        <w:spacing w:line="269" w:lineRule="auto"/>
        <w:jc w:val="center"/>
        <w:rPr>
          <w:rFonts w:ascii="Arial" w:hAnsi="Arial" w:cs="Arial"/>
          <w:b/>
          <w:bCs/>
          <w:sz w:val="36"/>
          <w:rtl/>
        </w:rPr>
      </w:pPr>
      <w:r>
        <w:rPr>
          <w:rFonts w:ascii="MS Gothic" w:eastAsia="MS Gothic" w:hAnsi="MS Gothic" w:cs="MS Gothic" w:hint="eastAsia"/>
          <w:b/>
          <w:bCs/>
          <w:sz w:val="36"/>
          <w:rtl/>
        </w:rPr>
        <w:t>✰</w:t>
      </w:r>
    </w:p>
    <w:p w:rsidR="00D97EFF" w:rsidP="00FF6AB4" w14:paraId="55BFDF0C" w14:textId="77777777">
      <w:pPr>
        <w:pStyle w:val="a"/>
        <w:spacing w:line="269" w:lineRule="auto"/>
        <w:rPr>
          <w:rtl/>
        </w:rPr>
      </w:pPr>
    </w:p>
    <w:p w:rsidR="004A37F5" w:rsidP="00FF6AB4" w14:paraId="3CDCADEB" w14:textId="77777777">
      <w:pPr>
        <w:spacing w:line="269" w:lineRule="auto"/>
        <w:rPr>
          <w:b/>
          <w:bCs/>
          <w:rtl/>
        </w:rPr>
      </w:pPr>
      <w:r>
        <w:rPr>
          <w:rFonts w:hint="cs"/>
          <w:b/>
          <w:bCs/>
          <w:rtl/>
        </w:rPr>
        <w:t>בביקורת עלה</w:t>
      </w:r>
      <w:r w:rsidR="00B03FF6">
        <w:rPr>
          <w:rFonts w:hint="cs"/>
          <w:b/>
          <w:bCs/>
          <w:rtl/>
        </w:rPr>
        <w:t xml:space="preserve"> כי גם כאשר כללי הפרסום והצנזורה מקוימים במלואם, נחשפים גורמים בלתי מורשים למידע מסווג </w:t>
      </w:r>
      <w:r>
        <w:rPr>
          <w:rFonts w:hint="cs"/>
          <w:b/>
          <w:bCs/>
          <w:rtl/>
        </w:rPr>
        <w:t>עקב</w:t>
      </w:r>
      <w:r w:rsidR="00B03FF6">
        <w:rPr>
          <w:rFonts w:hint="cs"/>
          <w:b/>
          <w:bCs/>
          <w:rtl/>
        </w:rPr>
        <w:t xml:space="preserve"> היותם שותפים לתהליך כתיבתם והפקתם של ספרים </w:t>
      </w:r>
      <w:r>
        <w:rPr>
          <w:rFonts w:hint="cs"/>
          <w:b/>
          <w:bCs/>
          <w:rtl/>
        </w:rPr>
        <w:t>לפני</w:t>
      </w:r>
      <w:r w:rsidR="00B03FF6">
        <w:rPr>
          <w:rFonts w:hint="cs"/>
          <w:b/>
          <w:bCs/>
          <w:rtl/>
        </w:rPr>
        <w:t xml:space="preserve"> הגשתם לצנזורה ולוועדת </w:t>
      </w:r>
      <w:r>
        <w:rPr>
          <w:rFonts w:hint="cs"/>
          <w:b/>
          <w:bCs/>
          <w:rtl/>
        </w:rPr>
        <w:t>ה</w:t>
      </w:r>
      <w:r w:rsidR="00B03FF6">
        <w:rPr>
          <w:rFonts w:hint="cs"/>
          <w:b/>
          <w:bCs/>
          <w:rtl/>
        </w:rPr>
        <w:t>שרים לפרסומים</w:t>
      </w:r>
      <w:r w:rsidRPr="00B42ECB" w:rsidR="00B03FF6">
        <w:rPr>
          <w:rFonts w:hint="cs"/>
          <w:b/>
          <w:bCs/>
          <w:rtl/>
        </w:rPr>
        <w:t>.</w:t>
      </w:r>
      <w:r>
        <w:rPr>
          <w:rFonts w:hint="cs"/>
          <w:b/>
          <w:bCs/>
          <w:rtl/>
        </w:rPr>
        <w:t xml:space="preserve"> נוסף על </w:t>
      </w:r>
      <w:r w:rsidR="00B03FF6">
        <w:rPr>
          <w:rFonts w:hint="cs"/>
          <w:b/>
          <w:bCs/>
          <w:rtl/>
        </w:rPr>
        <w:t>כ</w:t>
      </w:r>
      <w:r>
        <w:rPr>
          <w:rFonts w:hint="cs"/>
          <w:b/>
          <w:bCs/>
          <w:rtl/>
        </w:rPr>
        <w:t>ך, מדיוני צוות סופרי צללים עולה כי יש</w:t>
      </w:r>
      <w:r w:rsidR="00B03FF6">
        <w:rPr>
          <w:rFonts w:hint="cs"/>
          <w:b/>
          <w:bCs/>
          <w:rtl/>
        </w:rPr>
        <w:t xml:space="preserve"> בעיות </w:t>
      </w:r>
      <w:r>
        <w:rPr>
          <w:rFonts w:hint="cs"/>
          <w:b/>
          <w:bCs/>
          <w:rtl/>
        </w:rPr>
        <w:t>ניכרות ב</w:t>
      </w:r>
      <w:r w:rsidR="00B03FF6">
        <w:rPr>
          <w:rFonts w:hint="cs"/>
          <w:b/>
          <w:bCs/>
          <w:rtl/>
        </w:rPr>
        <w:t>כללים הקיימים, בישימות של הוראות חוק העונשין ובאפשרות לאכוף אותן.</w:t>
      </w:r>
      <w:r w:rsidR="00A54323">
        <w:rPr>
          <w:rFonts w:hint="cs"/>
          <w:b/>
          <w:bCs/>
          <w:rtl/>
        </w:rPr>
        <w:t xml:space="preserve"> משרד מבקר המדינה מעיר כי הנושא אינו מקודם דיו, אף על פי ש</w:t>
      </w:r>
      <w:r>
        <w:rPr>
          <w:rFonts w:hint="cs"/>
          <w:b/>
          <w:bCs/>
          <w:rtl/>
        </w:rPr>
        <w:t xml:space="preserve">הן בג"ץ והן </w:t>
      </w:r>
      <w:r w:rsidR="00DE5963">
        <w:rPr>
          <w:rFonts w:hint="cs"/>
          <w:b/>
          <w:bCs/>
          <w:rtl/>
        </w:rPr>
        <w:t>ה</w:t>
      </w:r>
      <w:r w:rsidR="00670D9D">
        <w:rPr>
          <w:rFonts w:hint="cs"/>
          <w:b/>
          <w:bCs/>
          <w:rtl/>
        </w:rPr>
        <w:t xml:space="preserve">שופט </w:t>
      </w:r>
      <w:r w:rsidR="00912A5E">
        <w:rPr>
          <w:rFonts w:hint="cs"/>
          <w:b/>
          <w:bCs/>
          <w:rtl/>
        </w:rPr>
        <w:t>שמינה</w:t>
      </w:r>
      <w:r w:rsidR="006456A6">
        <w:rPr>
          <w:rFonts w:hint="cs"/>
          <w:b/>
          <w:bCs/>
          <w:rtl/>
        </w:rPr>
        <w:t xml:space="preserve"> שר הביטחון דאז</w:t>
      </w:r>
      <w:r w:rsidR="00B03FF6">
        <w:rPr>
          <w:rFonts w:hint="cs"/>
          <w:b/>
          <w:bCs/>
          <w:rtl/>
        </w:rPr>
        <w:t xml:space="preserve"> הכירו בחשיבות</w:t>
      </w:r>
      <w:r w:rsidR="00DE14BB">
        <w:rPr>
          <w:rFonts w:hint="cs"/>
          <w:b/>
          <w:bCs/>
          <w:rtl/>
        </w:rPr>
        <w:t>ו.</w:t>
      </w:r>
      <w:r w:rsidR="00B03FF6">
        <w:rPr>
          <w:rFonts w:hint="cs"/>
          <w:b/>
          <w:bCs/>
          <w:rtl/>
        </w:rPr>
        <w:t xml:space="preserve"> </w:t>
      </w:r>
    </w:p>
    <w:p w:rsidR="00D97EFF" w:rsidP="00FF6AB4" w14:paraId="7908F30C" w14:textId="77777777">
      <w:pPr>
        <w:pStyle w:val="a"/>
        <w:spacing w:line="269" w:lineRule="auto"/>
        <w:rPr>
          <w:rtl/>
        </w:rPr>
      </w:pPr>
    </w:p>
    <w:p w:rsidR="004F6A39" w:rsidP="00FF6AB4" w14:paraId="67611C07" w14:textId="77777777">
      <w:pPr>
        <w:spacing w:line="269" w:lineRule="auto"/>
        <w:rPr>
          <w:b/>
          <w:bCs/>
          <w:rtl/>
        </w:rPr>
      </w:pPr>
      <w:r w:rsidRPr="00F13533">
        <w:rPr>
          <w:rFonts w:hint="cs"/>
          <w:b/>
          <w:bCs/>
          <w:rtl/>
        </w:rPr>
        <w:t>על היוע</w:t>
      </w:r>
      <w:r>
        <w:rPr>
          <w:rFonts w:hint="cs"/>
          <w:b/>
          <w:bCs/>
          <w:rtl/>
        </w:rPr>
        <w:t>ץ המשפטי</w:t>
      </w:r>
      <w:r w:rsidRPr="00F13533">
        <w:rPr>
          <w:rFonts w:hint="cs"/>
          <w:b/>
          <w:bCs/>
          <w:rtl/>
        </w:rPr>
        <w:t xml:space="preserve"> </w:t>
      </w:r>
      <w:r>
        <w:rPr>
          <w:rFonts w:hint="cs"/>
          <w:b/>
          <w:bCs/>
          <w:rtl/>
        </w:rPr>
        <w:t xml:space="preserve">לממשלה </w:t>
      </w:r>
      <w:r w:rsidRPr="00F13533">
        <w:rPr>
          <w:rFonts w:hint="cs"/>
          <w:b/>
          <w:bCs/>
          <w:rtl/>
        </w:rPr>
        <w:t xml:space="preserve">לוודא </w:t>
      </w:r>
      <w:r>
        <w:rPr>
          <w:rFonts w:hint="cs"/>
          <w:b/>
          <w:bCs/>
          <w:rtl/>
        </w:rPr>
        <w:t>כי</w:t>
      </w:r>
      <w:r w:rsidRPr="00F13533">
        <w:rPr>
          <w:rFonts w:hint="cs"/>
          <w:b/>
          <w:bCs/>
          <w:rtl/>
        </w:rPr>
        <w:t xml:space="preserve"> צוות</w:t>
      </w:r>
      <w:r>
        <w:rPr>
          <w:rFonts w:hint="cs"/>
          <w:b/>
          <w:bCs/>
          <w:rtl/>
        </w:rPr>
        <w:t xml:space="preserve"> סופרי </w:t>
      </w:r>
      <w:r w:rsidR="00736077">
        <w:rPr>
          <w:rFonts w:hint="cs"/>
          <w:b/>
          <w:bCs/>
          <w:rtl/>
        </w:rPr>
        <w:t>ה</w:t>
      </w:r>
      <w:r>
        <w:rPr>
          <w:rFonts w:hint="cs"/>
          <w:b/>
          <w:bCs/>
          <w:rtl/>
        </w:rPr>
        <w:t xml:space="preserve">צללים ישלים את עבודתו. </w:t>
      </w:r>
      <w:r w:rsidR="00736077">
        <w:rPr>
          <w:rFonts w:hint="cs"/>
          <w:b/>
          <w:bCs/>
          <w:rtl/>
        </w:rPr>
        <w:t>אשר למשרד המשפטים, לאחר שיבחן את המלצות הצוות</w:t>
      </w:r>
      <w:r>
        <w:rPr>
          <w:rFonts w:hint="cs"/>
          <w:b/>
          <w:bCs/>
          <w:rtl/>
        </w:rPr>
        <w:t xml:space="preserve"> על</w:t>
      </w:r>
      <w:r w:rsidR="00736077">
        <w:rPr>
          <w:rFonts w:hint="cs"/>
          <w:b/>
          <w:bCs/>
          <w:rtl/>
        </w:rPr>
        <w:t>יו</w:t>
      </w:r>
      <w:r>
        <w:rPr>
          <w:rFonts w:hint="cs"/>
          <w:b/>
          <w:bCs/>
          <w:rtl/>
        </w:rPr>
        <w:t xml:space="preserve"> לגבש פתרונות </w:t>
      </w:r>
      <w:r w:rsidR="00727FEE">
        <w:rPr>
          <w:rFonts w:hint="cs"/>
          <w:b/>
          <w:bCs/>
          <w:rtl/>
        </w:rPr>
        <w:t>ברי אכיפה</w:t>
      </w:r>
      <w:r>
        <w:rPr>
          <w:rFonts w:hint="cs"/>
          <w:b/>
          <w:bCs/>
          <w:rtl/>
        </w:rPr>
        <w:t xml:space="preserve"> </w:t>
      </w:r>
      <w:r w:rsidR="00DE5963">
        <w:rPr>
          <w:rFonts w:hint="cs"/>
          <w:b/>
          <w:bCs/>
          <w:rtl/>
        </w:rPr>
        <w:t xml:space="preserve">למניעת חשיפת חומר מסווג לפני מי שאינו מורשה לכך בעת </w:t>
      </w:r>
      <w:r>
        <w:rPr>
          <w:rFonts w:hint="cs"/>
          <w:b/>
          <w:bCs/>
          <w:rtl/>
        </w:rPr>
        <w:t>כתיבת ספרים על ידי עובדי ציבור מכהנים ו</w:t>
      </w:r>
      <w:r w:rsidR="00C810E6">
        <w:rPr>
          <w:rFonts w:hint="cs"/>
          <w:b/>
          <w:bCs/>
          <w:rtl/>
        </w:rPr>
        <w:t xml:space="preserve">עובדי ציבור </w:t>
      </w:r>
      <w:r>
        <w:rPr>
          <w:rFonts w:hint="cs"/>
          <w:b/>
          <w:bCs/>
          <w:rtl/>
        </w:rPr>
        <w:t>לשעבר.</w:t>
      </w:r>
    </w:p>
    <w:p w:rsidR="004F6A39" w:rsidP="00FF6AB4" w14:paraId="137D1E60" w14:textId="77777777">
      <w:pPr>
        <w:spacing w:line="269" w:lineRule="auto"/>
        <w:rPr>
          <w:b/>
          <w:bCs/>
          <w:rtl/>
        </w:rPr>
      </w:pPr>
    </w:p>
    <w:p w:rsidR="004F6A39" w:rsidRPr="004F6A39" w:rsidP="00FF6AB4" w14:paraId="4202F695" w14:textId="77777777">
      <w:pPr>
        <w:spacing w:line="269" w:lineRule="auto"/>
        <w:jc w:val="center"/>
        <w:rPr>
          <w:rFonts w:ascii="Arial" w:hAnsi="Arial" w:cs="Arial"/>
          <w:b/>
          <w:bCs/>
          <w:sz w:val="36"/>
          <w:rtl/>
        </w:rPr>
      </w:pPr>
      <w:r>
        <w:rPr>
          <w:rFonts w:ascii="Wingdings" w:hAnsi="Wingdings" w:cs="Arial"/>
          <w:b/>
          <w:bCs/>
          <w:sz w:val="36"/>
        </w:rPr>
        <w:sym w:font="Wingdings" w:char="F074"/>
      </w:r>
    </w:p>
    <w:p w:rsidR="009C6DE5" w:rsidP="00FF6AB4" w14:paraId="06BA8454" w14:textId="77777777">
      <w:pPr>
        <w:pStyle w:val="a"/>
        <w:spacing w:line="269" w:lineRule="auto"/>
        <w:rPr>
          <w:rtl/>
        </w:rPr>
      </w:pPr>
    </w:p>
    <w:p w:rsidR="009C6DE5" w:rsidP="00FF6AB4" w14:paraId="3C7347F5" w14:textId="77777777">
      <w:pPr>
        <w:pStyle w:val="Heading3"/>
        <w:spacing w:before="0" w:line="269" w:lineRule="auto"/>
        <w:rPr>
          <w:rtl/>
        </w:rPr>
      </w:pPr>
      <w:r>
        <w:rPr>
          <w:rFonts w:hint="cs"/>
          <w:rtl/>
        </w:rPr>
        <w:t>סיכום</w:t>
      </w:r>
    </w:p>
    <w:p w:rsidR="009C6DE5" w:rsidP="00FF6AB4" w14:paraId="2D9C59BF" w14:textId="77777777">
      <w:pPr>
        <w:pStyle w:val="a"/>
        <w:spacing w:line="269" w:lineRule="auto"/>
        <w:rPr>
          <w:rtl/>
        </w:rPr>
      </w:pPr>
    </w:p>
    <w:p w:rsidR="009C6DE5" w:rsidP="00FF6AB4" w14:paraId="622BC2C3" w14:textId="77777777">
      <w:pPr>
        <w:spacing w:line="269" w:lineRule="auto"/>
        <w:rPr>
          <w:rtl/>
        </w:rPr>
      </w:pPr>
      <w:r w:rsidRPr="00791EF1">
        <w:rPr>
          <w:b/>
          <w:bCs/>
          <w:rtl/>
        </w:rPr>
        <w:t xml:space="preserve">בארכיון המדינה ובשלוחותיו וכן בארכיונים ציבוריים ופרטיים מצויים חומרים ארכיוניים מסווגים. </w:t>
      </w:r>
      <w:r>
        <w:rPr>
          <w:rFonts w:hint="cs"/>
          <w:b/>
          <w:bCs/>
          <w:rtl/>
        </w:rPr>
        <w:t>זאת, אף שחלק ניכר מהם</w:t>
      </w:r>
      <w:r w:rsidRPr="00791EF1">
        <w:rPr>
          <w:b/>
          <w:bCs/>
          <w:rtl/>
        </w:rPr>
        <w:t xml:space="preserve"> אינם כפופים להסדרי ביטחון מידע ממלכתיים או שכפיפותם להסדרים אלה מוטלת בספק. </w:t>
      </w:r>
      <w:r>
        <w:rPr>
          <w:rFonts w:hint="cs"/>
          <w:b/>
          <w:bCs/>
          <w:rtl/>
        </w:rPr>
        <w:t>מצב זה</w:t>
      </w:r>
      <w:r w:rsidRPr="00791EF1">
        <w:rPr>
          <w:b/>
          <w:bCs/>
          <w:rtl/>
        </w:rPr>
        <w:t xml:space="preserve"> טומ</w:t>
      </w:r>
      <w:r>
        <w:rPr>
          <w:rFonts w:hint="cs"/>
          <w:b/>
          <w:bCs/>
          <w:rtl/>
        </w:rPr>
        <w:t>ן</w:t>
      </w:r>
      <w:r w:rsidRPr="00791EF1">
        <w:rPr>
          <w:b/>
          <w:bCs/>
          <w:rtl/>
        </w:rPr>
        <w:t xml:space="preserve"> בחוב</w:t>
      </w:r>
      <w:r>
        <w:rPr>
          <w:rFonts w:hint="cs"/>
          <w:b/>
          <w:bCs/>
          <w:rtl/>
        </w:rPr>
        <w:t>ו</w:t>
      </w:r>
      <w:r w:rsidRPr="00791EF1">
        <w:rPr>
          <w:b/>
          <w:bCs/>
          <w:rtl/>
        </w:rPr>
        <w:t xml:space="preserve"> סכנה </w:t>
      </w:r>
      <w:r w:rsidRPr="00D978C2">
        <w:rPr>
          <w:b/>
          <w:bCs/>
          <w:rtl/>
        </w:rPr>
        <w:t>לגילוי</w:t>
      </w:r>
      <w:r w:rsidRPr="00D978C2" w:rsidR="00110A64">
        <w:rPr>
          <w:rFonts w:hint="cs"/>
          <w:b/>
          <w:bCs/>
          <w:rtl/>
        </w:rPr>
        <w:t>ו</w:t>
      </w:r>
      <w:r w:rsidRPr="00D978C2">
        <w:rPr>
          <w:b/>
          <w:bCs/>
          <w:rtl/>
        </w:rPr>
        <w:t xml:space="preserve"> של </w:t>
      </w:r>
      <w:r w:rsidRPr="00D978C2" w:rsidR="00110A64">
        <w:rPr>
          <w:rFonts w:hint="cs"/>
          <w:b/>
          <w:bCs/>
          <w:rtl/>
        </w:rPr>
        <w:t>מידע מסווג</w:t>
      </w:r>
      <w:r w:rsidRPr="00D978C2">
        <w:rPr>
          <w:b/>
          <w:bCs/>
          <w:rtl/>
        </w:rPr>
        <w:t xml:space="preserve"> ו</w:t>
      </w:r>
      <w:r w:rsidRPr="00D978C2" w:rsidR="00110A64">
        <w:rPr>
          <w:rFonts w:hint="cs"/>
          <w:b/>
          <w:bCs/>
          <w:rtl/>
        </w:rPr>
        <w:t>ל</w:t>
      </w:r>
      <w:r w:rsidRPr="00D978C2">
        <w:rPr>
          <w:b/>
          <w:bCs/>
          <w:rtl/>
        </w:rPr>
        <w:t>פגיעה בביטחו</w:t>
      </w:r>
      <w:r w:rsidRPr="00D978C2" w:rsidR="00110A64">
        <w:rPr>
          <w:rFonts w:hint="cs"/>
          <w:b/>
          <w:bCs/>
          <w:rtl/>
        </w:rPr>
        <w:t>ן המדינה</w:t>
      </w:r>
      <w:r w:rsidRPr="00D978C2">
        <w:rPr>
          <w:b/>
          <w:bCs/>
          <w:rtl/>
        </w:rPr>
        <w:t>. הפעילות שמקיים המלמ"ב על מנת למנוע את גילוים של חומרים אלה לעין הציבור היא אומנם חשובה אך אינה מבוצעת מכוח חוק והיא תלויה ב</w:t>
      </w:r>
      <w:r w:rsidRPr="00D978C2">
        <w:rPr>
          <w:rFonts w:hint="cs"/>
          <w:b/>
          <w:bCs/>
          <w:rtl/>
        </w:rPr>
        <w:t>הסמכת הגנז וב</w:t>
      </w:r>
      <w:r w:rsidRPr="00D978C2">
        <w:rPr>
          <w:b/>
          <w:bCs/>
          <w:rtl/>
        </w:rPr>
        <w:t>הסכמתם של מנהלי הארכיונים. סכנה לגילוי</w:t>
      </w:r>
      <w:r w:rsidRPr="00D978C2" w:rsidR="009E65C0">
        <w:rPr>
          <w:rFonts w:hint="cs"/>
          <w:b/>
          <w:bCs/>
          <w:rtl/>
        </w:rPr>
        <w:t>ו</w:t>
      </w:r>
      <w:r w:rsidRPr="00D978C2">
        <w:rPr>
          <w:b/>
          <w:bCs/>
          <w:rtl/>
        </w:rPr>
        <w:t xml:space="preserve"> של </w:t>
      </w:r>
      <w:r w:rsidRPr="00D978C2" w:rsidR="009E65C0">
        <w:rPr>
          <w:rFonts w:hint="cs"/>
          <w:b/>
          <w:bCs/>
          <w:rtl/>
        </w:rPr>
        <w:t>מידע מסווג</w:t>
      </w:r>
      <w:r w:rsidRPr="00D978C2">
        <w:rPr>
          <w:b/>
          <w:bCs/>
          <w:rtl/>
        </w:rPr>
        <w:t xml:space="preserve"> קיימת גם בתהליך כתיבת</w:t>
      </w:r>
      <w:r w:rsidRPr="00D978C2">
        <w:rPr>
          <w:rFonts w:hint="cs"/>
          <w:b/>
          <w:bCs/>
          <w:rtl/>
        </w:rPr>
        <w:t>ם</w:t>
      </w:r>
      <w:r w:rsidRPr="00791EF1">
        <w:rPr>
          <w:b/>
          <w:bCs/>
          <w:rtl/>
        </w:rPr>
        <w:t xml:space="preserve"> </w:t>
      </w:r>
      <w:r w:rsidRPr="00791EF1">
        <w:rPr>
          <w:rFonts w:hint="cs"/>
          <w:b/>
          <w:bCs/>
          <w:rtl/>
        </w:rPr>
        <w:t>של</w:t>
      </w:r>
      <w:r w:rsidRPr="00791EF1">
        <w:rPr>
          <w:b/>
          <w:bCs/>
          <w:rtl/>
        </w:rPr>
        <w:t xml:space="preserve"> ספרים על י</w:t>
      </w:r>
      <w:r w:rsidRPr="00791EF1">
        <w:rPr>
          <w:b/>
          <w:bCs/>
          <w:rtl/>
        </w:rPr>
        <w:t xml:space="preserve">די </w:t>
      </w:r>
      <w:r>
        <w:rPr>
          <w:rFonts w:hint="cs"/>
          <w:b/>
          <w:bCs/>
          <w:rtl/>
        </w:rPr>
        <w:t>נבחרי ציבור ו</w:t>
      </w:r>
      <w:r w:rsidRPr="00791EF1">
        <w:rPr>
          <w:b/>
          <w:bCs/>
          <w:rtl/>
        </w:rPr>
        <w:t xml:space="preserve">עובדי ציבור בהווה ובעבר. הגם </w:t>
      </w:r>
      <w:r w:rsidRPr="00791EF1">
        <w:rPr>
          <w:rFonts w:hint="cs"/>
          <w:b/>
          <w:bCs/>
          <w:rtl/>
        </w:rPr>
        <w:t>שטרם פרסום הספרים קיימת חובה להעבירם לאישור הצנזורה ו</w:t>
      </w:r>
      <w:r>
        <w:rPr>
          <w:rFonts w:hint="cs"/>
          <w:b/>
          <w:bCs/>
          <w:rtl/>
        </w:rPr>
        <w:t xml:space="preserve">לאישור </w:t>
      </w:r>
      <w:r w:rsidRPr="00791EF1">
        <w:rPr>
          <w:rFonts w:hint="cs"/>
          <w:b/>
          <w:bCs/>
          <w:rtl/>
        </w:rPr>
        <w:t xml:space="preserve">ועדת השרים לענייני פרסומים, אין </w:t>
      </w:r>
      <w:r>
        <w:rPr>
          <w:rFonts w:hint="cs"/>
          <w:b/>
          <w:bCs/>
          <w:rtl/>
        </w:rPr>
        <w:t xml:space="preserve">זה מן הנמנע </w:t>
      </w:r>
      <w:r w:rsidRPr="00791EF1">
        <w:rPr>
          <w:b/>
          <w:bCs/>
          <w:rtl/>
        </w:rPr>
        <w:t xml:space="preserve">שסוד ידלוף לגורמים שאינם מורשים תוך כדי </w:t>
      </w:r>
      <w:r w:rsidRPr="00791EF1">
        <w:rPr>
          <w:rFonts w:hint="cs"/>
          <w:b/>
          <w:bCs/>
          <w:rtl/>
        </w:rPr>
        <w:t xml:space="preserve">תהליך </w:t>
      </w:r>
      <w:r w:rsidRPr="00791EF1">
        <w:rPr>
          <w:b/>
          <w:bCs/>
          <w:rtl/>
        </w:rPr>
        <w:t xml:space="preserve">הכתיבה </w:t>
      </w:r>
      <w:r w:rsidRPr="00791EF1">
        <w:rPr>
          <w:rFonts w:hint="cs"/>
          <w:b/>
          <w:bCs/>
          <w:rtl/>
        </w:rPr>
        <w:t>וההבאה לדפוס</w:t>
      </w:r>
      <w:r w:rsidRPr="00791EF1">
        <w:rPr>
          <w:b/>
          <w:bCs/>
          <w:rtl/>
        </w:rPr>
        <w:t>. צוות שהקים היועץ המשפטי לממשלה כדי לבחון</w:t>
      </w:r>
      <w:r w:rsidRPr="00791EF1">
        <w:rPr>
          <w:b/>
          <w:bCs/>
          <w:rtl/>
        </w:rPr>
        <w:t xml:space="preserve"> את הסוגיה דן בנושא מזה למעלה משלוש שנים ואולם טרם הגיש המלצותיו</w:t>
      </w:r>
      <w:r>
        <w:rPr>
          <w:rFonts w:hint="cs"/>
          <w:rtl/>
        </w:rPr>
        <w:t>.</w:t>
      </w:r>
    </w:p>
    <w:p w:rsidR="009C6DE5" w:rsidP="00FF6AB4" w14:paraId="43DB8C87" w14:textId="77777777">
      <w:pPr>
        <w:pStyle w:val="a"/>
        <w:spacing w:line="269" w:lineRule="auto"/>
        <w:rPr>
          <w:rtl/>
        </w:rPr>
      </w:pPr>
    </w:p>
    <w:p w:rsidR="009C6DE5" w:rsidP="00D41F80" w14:paraId="58AB0124" w14:textId="77777777">
      <w:pPr>
        <w:spacing w:line="269" w:lineRule="auto"/>
        <w:rPr>
          <w:rtl/>
        </w:rPr>
      </w:pPr>
      <w:r w:rsidRPr="00791EF1">
        <w:rPr>
          <w:b/>
          <w:bCs/>
          <w:rtl/>
        </w:rPr>
        <w:t>בדוח זה עלתה גם סוגיית מעורבות הצנזורה בארכיונים. במציאות הטכנולוגית הקיימת מ</w:t>
      </w:r>
      <w:r w:rsidR="00D41F80">
        <w:rPr>
          <w:rFonts w:hint="cs"/>
          <w:b/>
          <w:bCs/>
          <w:rtl/>
        </w:rPr>
        <w:t>י</w:t>
      </w:r>
      <w:r w:rsidRPr="00791EF1">
        <w:rPr>
          <w:b/>
          <w:bCs/>
          <w:rtl/>
        </w:rPr>
        <w:t>טַשְטְשים הגבולות בין עיון בחומר ארכיוני לבין פרסומו, שכן העיון במסמכים ארכיוניים שנחשפו נעשה על פי רוב באתר המ</w:t>
      </w:r>
      <w:r w:rsidRPr="00791EF1">
        <w:rPr>
          <w:b/>
          <w:bCs/>
          <w:rtl/>
        </w:rPr>
        <w:t xml:space="preserve">רשתת של הארכיון. הדבר מוביל לשאלת הצורך בקיומן של שתי בדיקות נפרדות - </w:t>
      </w:r>
      <w:r>
        <w:rPr>
          <w:rFonts w:hint="cs"/>
          <w:b/>
          <w:bCs/>
          <w:rtl/>
        </w:rPr>
        <w:t>של</w:t>
      </w:r>
      <w:r w:rsidRPr="00791EF1">
        <w:rPr>
          <w:b/>
          <w:bCs/>
          <w:rtl/>
        </w:rPr>
        <w:t xml:space="preserve"> מחלקת החשיפה </w:t>
      </w:r>
      <w:r>
        <w:rPr>
          <w:rFonts w:hint="cs"/>
          <w:b/>
          <w:bCs/>
          <w:rtl/>
        </w:rPr>
        <w:t>ושל</w:t>
      </w:r>
      <w:r w:rsidRPr="00791EF1">
        <w:rPr>
          <w:b/>
          <w:bCs/>
          <w:rtl/>
        </w:rPr>
        <w:t xml:space="preserve"> הצנזורה - כפי שמתבצע בארכיון המדינה. נדרשת בחינה ממצה של שני המושגים הללו - עיון ופרסום - בכל הנוגע למהותם ולהתאמת ההסדרים החלים עליהם למציאות הנוכחית</w:t>
      </w:r>
      <w:r>
        <w:rPr>
          <w:rFonts w:hint="cs"/>
          <w:rtl/>
        </w:rPr>
        <w:t>.</w:t>
      </w:r>
    </w:p>
    <w:p w:rsidR="009C6DE5" w:rsidP="00FF6AB4" w14:paraId="3357A3B6" w14:textId="77777777">
      <w:pPr>
        <w:pStyle w:val="a"/>
        <w:spacing w:line="269" w:lineRule="auto"/>
        <w:rPr>
          <w:rtl/>
        </w:rPr>
      </w:pPr>
    </w:p>
    <w:p w:rsidR="009C6DE5" w:rsidP="00FF6AB4" w14:paraId="44304A98" w14:textId="77777777">
      <w:pPr>
        <w:spacing w:line="269" w:lineRule="auto"/>
        <w:rPr>
          <w:rtl/>
        </w:rPr>
      </w:pPr>
      <w:r w:rsidRPr="006E574B">
        <w:rPr>
          <w:rFonts w:hint="cs"/>
          <w:b/>
          <w:bCs/>
          <w:rtl/>
        </w:rPr>
        <w:t>בעידן בו השימ</w:t>
      </w:r>
      <w:r w:rsidRPr="006E574B">
        <w:rPr>
          <w:rFonts w:hint="cs"/>
          <w:b/>
          <w:bCs/>
          <w:rtl/>
        </w:rPr>
        <w:t>וש בניירת הולך ונעלם, נדרשת היערכות לאומית לניהול ארכיונים באופן דיגיטלי. בכלל זה יש לוודא כי המערכות המשמשות ארכיונים אלו מוגנות מפני חדירה אליהן, כי הן מאפשרות שינוע מאובטח של מידע מסווג ורגיש, וכי הן כוללות מנועי חיפוש מתקדמים לטובת הציבור</w:t>
      </w:r>
      <w:r>
        <w:rPr>
          <w:rFonts w:hint="cs"/>
          <w:rtl/>
        </w:rPr>
        <w:t>.</w:t>
      </w:r>
    </w:p>
    <w:p w:rsidR="009C6DE5" w:rsidP="00FF6AB4" w14:paraId="0BAA7C05" w14:textId="77777777">
      <w:pPr>
        <w:pStyle w:val="a"/>
        <w:spacing w:line="269" w:lineRule="auto"/>
        <w:rPr>
          <w:rtl/>
        </w:rPr>
      </w:pPr>
    </w:p>
    <w:p w:rsidR="00B9165F" w:rsidRPr="00B9165F" w:rsidP="00EE3D36" w14:paraId="26647448" w14:textId="77777777">
      <w:pPr>
        <w:spacing w:line="269" w:lineRule="auto"/>
        <w:rPr>
          <w:rtl/>
        </w:rPr>
      </w:pPr>
      <w:r w:rsidRPr="00791EF1">
        <w:rPr>
          <w:b/>
          <w:bCs/>
          <w:rtl/>
        </w:rPr>
        <w:t>נוכח הרגישו</w:t>
      </w:r>
      <w:r w:rsidRPr="00791EF1">
        <w:rPr>
          <w:b/>
          <w:bCs/>
          <w:rtl/>
        </w:rPr>
        <w:t>ת הביטחונית הגלומה בתפוצתם הנרחבת של חומרים מסווגים, כפי שעלה בדוח זה, וחוסר הבהירות לגבי הכללים החלים על אבטחתם, קיימת חשיבות לטיפול בממצאי דוח זה</w:t>
      </w:r>
      <w:r>
        <w:rPr>
          <w:rFonts w:hint="cs"/>
          <w:b/>
          <w:bCs/>
          <w:rtl/>
        </w:rPr>
        <w:t xml:space="preserve"> בהקדם האפשרי</w:t>
      </w:r>
      <w:r w:rsidRPr="00791EF1">
        <w:rPr>
          <w:b/>
          <w:bCs/>
          <w:rtl/>
        </w:rPr>
        <w:t xml:space="preserve">. במסגרת זאת, יש להקפיד כי יתקיים איזון ראוי בין זכות הציבור לדעת וחופש הביטוי לבין השמירה על </w:t>
      </w:r>
      <w:r w:rsidRPr="00791EF1">
        <w:rPr>
          <w:b/>
          <w:bCs/>
          <w:rtl/>
        </w:rPr>
        <w:t>הסוד וביטחון המדינה</w:t>
      </w:r>
      <w:r>
        <w:rPr>
          <w:rFonts w:hint="cs"/>
          <w:rtl/>
        </w:rPr>
        <w:t>.</w:t>
      </w:r>
    </w:p>
    <w:sectPr w:rsidSect="005E3F90">
      <w:headerReference w:type="default" r:id="rId8"/>
      <w:headerReference w:type="first" r:id="rId9"/>
      <w:pgSz w:w="11906" w:h="16838" w:code="9"/>
      <w:pgMar w:top="1701" w:right="2268" w:bottom="1701" w:left="2268" w:header="851" w:footer="851" w:gutter="0"/>
      <w:pgNumType w:start="1"/>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riam">
    <w:altName w:val="Malgun Gothic Semilight"/>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5DC0" w:rsidP="00C23CC9" w14:paraId="62DDF4B4" w14:textId="77777777">
      <w:pPr>
        <w:spacing w:line="240" w:lineRule="auto"/>
      </w:pPr>
      <w:r>
        <w:separator/>
      </w:r>
    </w:p>
  </w:footnote>
  <w:footnote w:type="continuationSeparator" w:id="1">
    <w:p w:rsidR="00855DC0" w:rsidP="00C23CC9" w14:paraId="6C89D59E" w14:textId="77777777">
      <w:pPr>
        <w:spacing w:line="240" w:lineRule="auto"/>
      </w:pPr>
      <w:r>
        <w:continuationSeparator/>
      </w:r>
    </w:p>
  </w:footnote>
  <w:footnote w:id="2">
    <w:p w:rsidR="00DD2580" w:rsidP="004A37F5" w14:paraId="6A86416C" w14:textId="77777777">
      <w:pPr>
        <w:pStyle w:val="FootnoteText"/>
        <w:rPr>
          <w:rtl/>
        </w:rPr>
      </w:pPr>
      <w:r>
        <w:rPr>
          <w:rStyle w:val="FootnoteReference"/>
        </w:rPr>
        <w:footnoteRef/>
      </w:r>
      <w:r>
        <w:rPr>
          <w:rtl/>
        </w:rPr>
        <w:t xml:space="preserve"> </w:t>
      </w:r>
      <w:r>
        <w:rPr>
          <w:rtl/>
        </w:rPr>
        <w:tab/>
      </w:r>
      <w:r w:rsidRPr="009D6310">
        <w:rPr>
          <w:rtl/>
        </w:rPr>
        <w:t xml:space="preserve">חוק העונשין, </w:t>
      </w:r>
      <w:r>
        <w:rPr>
          <w:rtl/>
        </w:rPr>
        <w:t>התשל"ז-1977</w:t>
      </w:r>
      <w:r>
        <w:rPr>
          <w:rFonts w:hint="cs"/>
          <w:rtl/>
        </w:rPr>
        <w:t>, סעיף 113(ב).</w:t>
      </w:r>
    </w:p>
  </w:footnote>
  <w:footnote w:id="3">
    <w:p w:rsidR="00DD2580" w:rsidP="004A37F5" w14:paraId="3B88C458" w14:textId="77777777">
      <w:pPr>
        <w:pStyle w:val="FootnoteText"/>
        <w:rPr>
          <w:rtl/>
        </w:rPr>
      </w:pPr>
      <w:r>
        <w:rPr>
          <w:rStyle w:val="FootnoteReference"/>
        </w:rPr>
        <w:footnoteRef/>
      </w:r>
      <w:r>
        <w:rPr>
          <w:rtl/>
        </w:rPr>
        <w:t xml:space="preserve"> </w:t>
      </w:r>
      <w:r>
        <w:rPr>
          <w:rtl/>
        </w:rPr>
        <w:tab/>
      </w:r>
      <w:r>
        <w:rPr>
          <w:rFonts w:hint="cs"/>
          <w:rtl/>
        </w:rPr>
        <w:t>חוק להסדרת הבטחון בגופים ציבוריים, התשנ"ח-1998, סעיף 1.</w:t>
      </w:r>
    </w:p>
  </w:footnote>
  <w:footnote w:id="4">
    <w:p w:rsidR="00DD2580" w:rsidP="004A37F5" w14:paraId="08E14455" w14:textId="77777777">
      <w:pPr>
        <w:pStyle w:val="FootnoteText"/>
        <w:rPr>
          <w:rtl/>
        </w:rPr>
      </w:pPr>
      <w:r>
        <w:rPr>
          <w:rStyle w:val="FootnoteReference"/>
        </w:rPr>
        <w:footnoteRef/>
      </w:r>
      <w:r>
        <w:rPr>
          <w:rtl/>
        </w:rPr>
        <w:t xml:space="preserve"> </w:t>
      </w:r>
      <w:r>
        <w:rPr>
          <w:rtl/>
        </w:rPr>
        <w:tab/>
      </w:r>
      <w:r>
        <w:rPr>
          <w:rFonts w:hint="cs"/>
          <w:rtl/>
        </w:rPr>
        <w:t>מסמכים, מפות, תרשימים, סרטים, קלטות וכו'.</w:t>
      </w:r>
    </w:p>
  </w:footnote>
  <w:footnote w:id="5">
    <w:p w:rsidR="00DD2580" w:rsidP="00A93F63" w14:paraId="4507149F" w14:textId="77777777">
      <w:pPr>
        <w:pStyle w:val="FootnoteText"/>
        <w:rPr>
          <w:rtl/>
        </w:rPr>
      </w:pPr>
      <w:r>
        <w:rPr>
          <w:rStyle w:val="FootnoteReference"/>
        </w:rPr>
        <w:footnoteRef/>
      </w:r>
      <w:r>
        <w:rPr>
          <w:rtl/>
        </w:rPr>
        <w:t xml:space="preserve"> </w:t>
      </w:r>
      <w:r>
        <w:rPr>
          <w:rFonts w:hint="cs"/>
          <w:rtl/>
        </w:rPr>
        <w:tab/>
        <w:t xml:space="preserve">בעניין ניהול ארכיון המדינה ראו: מבקר המדינה, </w:t>
      </w:r>
      <w:r w:rsidRPr="003037D6">
        <w:rPr>
          <w:rFonts w:hint="cs"/>
          <w:b/>
          <w:bCs/>
          <w:rtl/>
        </w:rPr>
        <w:t>דוח שנתי 66ג</w:t>
      </w:r>
      <w:r>
        <w:rPr>
          <w:rFonts w:hint="cs"/>
          <w:rtl/>
        </w:rPr>
        <w:t xml:space="preserve"> (2016), "גנזך המדינה - היבטים בניהול א</w:t>
      </w:r>
      <w:r>
        <w:rPr>
          <w:rFonts w:hint="cs"/>
          <w:rtl/>
        </w:rPr>
        <w:t>רכיון המדינה", עמ' 306-265.</w:t>
      </w:r>
    </w:p>
  </w:footnote>
  <w:footnote w:id="6">
    <w:p w:rsidR="00DD2580" w:rsidP="008B596F" w14:paraId="3BAEE3E4" w14:textId="77777777">
      <w:pPr>
        <w:pStyle w:val="FootnoteText"/>
      </w:pPr>
      <w:r>
        <w:rPr>
          <w:rStyle w:val="FootnoteReference"/>
        </w:rPr>
        <w:footnoteRef/>
      </w:r>
      <w:r>
        <w:rPr>
          <w:rtl/>
        </w:rPr>
        <w:t xml:space="preserve"> </w:t>
      </w:r>
      <w:r>
        <w:rPr>
          <w:rtl/>
        </w:rPr>
        <w:tab/>
      </w:r>
      <w:r>
        <w:rPr>
          <w:rFonts w:hint="cs"/>
          <w:rtl/>
        </w:rPr>
        <w:t>בסוף ספטמבר 2018 סיים את כהונתו הגנז הקודם ו</w:t>
      </w:r>
      <w:r w:rsidRPr="00C26BDA">
        <w:rPr>
          <w:rFonts w:hint="cs"/>
          <w:rtl/>
        </w:rPr>
        <w:t>ביולי 2019 מונתה גנזת</w:t>
      </w:r>
      <w:r>
        <w:rPr>
          <w:rFonts w:hint="cs"/>
          <w:rtl/>
        </w:rPr>
        <w:t xml:space="preserve"> שכיהנה לפני כן כסגנית הגנז</w:t>
      </w:r>
      <w:r w:rsidRPr="00C26BDA">
        <w:rPr>
          <w:rFonts w:hint="cs"/>
          <w:rtl/>
        </w:rPr>
        <w:t>.</w:t>
      </w:r>
    </w:p>
  </w:footnote>
  <w:footnote w:id="7">
    <w:p w:rsidR="00DD2580" w:rsidP="00684563" w14:paraId="3F696A49" w14:textId="77777777">
      <w:pPr>
        <w:pStyle w:val="FootnoteText"/>
        <w:rPr>
          <w:rtl/>
        </w:rPr>
      </w:pPr>
      <w:r>
        <w:rPr>
          <w:rStyle w:val="FootnoteReference"/>
        </w:rPr>
        <w:footnoteRef/>
      </w:r>
      <w:r>
        <w:rPr>
          <w:rtl/>
        </w:rPr>
        <w:t xml:space="preserve"> </w:t>
      </w:r>
      <w:r>
        <w:rPr>
          <w:rFonts w:hint="cs"/>
          <w:rtl/>
        </w:rPr>
        <w:tab/>
        <w:t>בסך הכול קיימים במדינת ישראל שבעה ארכיונים שהוגדרו בחוק "חלק מארכיון המדינה".</w:t>
      </w:r>
    </w:p>
  </w:footnote>
  <w:footnote w:id="8">
    <w:p w:rsidR="00DD2580" w:rsidP="00FD7688" w14:paraId="4A1F3ECC" w14:textId="77777777">
      <w:pPr>
        <w:pStyle w:val="FootnoteText"/>
      </w:pPr>
      <w:r>
        <w:rPr>
          <w:rStyle w:val="FootnoteReference"/>
        </w:rPr>
        <w:footnoteRef/>
      </w:r>
      <w:r>
        <w:rPr>
          <w:rtl/>
        </w:rPr>
        <w:t xml:space="preserve"> </w:t>
      </w:r>
      <w:r>
        <w:rPr>
          <w:rFonts w:hint="cs"/>
          <w:rtl/>
        </w:rPr>
        <w:tab/>
        <w:t xml:space="preserve">על פי הוראת משרד הביטחון 11.81, "ארכיון צה"ל </w:t>
      </w:r>
      <w:r>
        <w:rPr>
          <w:rFonts w:hint="cs"/>
          <w:rtl/>
        </w:rPr>
        <w:t>ומעהב"ט ומחקר היסטורי - הוראת ארגון", ארכיון צה"ל משמש גם מגנזה מרכזית של צה"ל.</w:t>
      </w:r>
    </w:p>
  </w:footnote>
  <w:footnote w:id="9">
    <w:p w:rsidR="00DD2580" w:rsidP="00661F2E" w14:paraId="2BB8EE81" w14:textId="77777777">
      <w:pPr>
        <w:pStyle w:val="FootnoteText"/>
        <w:rPr>
          <w:rtl/>
        </w:rPr>
      </w:pPr>
      <w:r>
        <w:rPr>
          <w:rStyle w:val="FootnoteReference"/>
        </w:rPr>
        <w:footnoteRef/>
      </w:r>
      <w:r>
        <w:rPr>
          <w:rtl/>
        </w:rPr>
        <w:t xml:space="preserve"> </w:t>
      </w:r>
      <w:r>
        <w:rPr>
          <w:rtl/>
        </w:rPr>
        <w:tab/>
      </w:r>
      <w:r>
        <w:rPr>
          <w:rFonts w:hint="cs"/>
          <w:rtl/>
        </w:rPr>
        <w:t>בסך הכול קיימים במדינת ישראל ארבעה ארכיונים שהגנז הכיר בהם כשלוחות של ארכיון המדינה.</w:t>
      </w:r>
    </w:p>
  </w:footnote>
  <w:footnote w:id="10">
    <w:p w:rsidR="00DD2580" w:rsidP="004A37F5" w14:paraId="70A28EE5" w14:textId="77777777">
      <w:pPr>
        <w:pStyle w:val="FootnoteText"/>
      </w:pPr>
      <w:r>
        <w:rPr>
          <w:rStyle w:val="FootnoteReference"/>
        </w:rPr>
        <w:footnoteRef/>
      </w:r>
      <w:r>
        <w:rPr>
          <w:rtl/>
        </w:rPr>
        <w:t xml:space="preserve"> </w:t>
      </w:r>
      <w:r>
        <w:rPr>
          <w:rtl/>
        </w:rPr>
        <w:tab/>
      </w:r>
      <w:r>
        <w:rPr>
          <w:rFonts w:hint="cs"/>
          <w:rtl/>
        </w:rPr>
        <w:t xml:space="preserve">על פי חוק הארכיונים, "ארכיון ציבורי" הוא "ארכיון שהוא בבעלותו או בהנהלתו של גוף שאין </w:t>
      </w:r>
      <w:r>
        <w:rPr>
          <w:rFonts w:hint="cs"/>
          <w:rtl/>
        </w:rPr>
        <w:t>מטרתו הפקת רווחים ואושר על ידי הממשלה, בהודעה שפורסמה ברשומות, כארכיון ציבורי".</w:t>
      </w:r>
    </w:p>
  </w:footnote>
  <w:footnote w:id="11">
    <w:p w:rsidR="00DD2580" w:rsidP="00623B74" w14:paraId="2750E4B3" w14:textId="77777777">
      <w:pPr>
        <w:pStyle w:val="FootnoteText"/>
      </w:pPr>
      <w:r>
        <w:rPr>
          <w:rStyle w:val="FootnoteReference"/>
        </w:rPr>
        <w:footnoteRef/>
      </w:r>
      <w:r>
        <w:rPr>
          <w:rtl/>
        </w:rPr>
        <w:t xml:space="preserve"> </w:t>
      </w:r>
      <w:r>
        <w:rPr>
          <w:rFonts w:hint="cs"/>
          <w:rtl/>
        </w:rPr>
        <w:tab/>
        <w:t>"סופר צללים" על פי מילון רב-מילים הוא "אדם הכותב בשמו ומטעמו של אדם אחר".</w:t>
      </w:r>
    </w:p>
  </w:footnote>
  <w:footnote w:id="12">
    <w:p w:rsidR="00DD2580" w:rsidP="00F4142A" w14:paraId="65626418" w14:textId="77777777">
      <w:pPr>
        <w:pStyle w:val="FootnoteText"/>
      </w:pPr>
      <w:r>
        <w:rPr>
          <w:rStyle w:val="FootnoteReference"/>
        </w:rPr>
        <w:footnoteRef/>
      </w:r>
      <w:r>
        <w:rPr>
          <w:rtl/>
        </w:rPr>
        <w:t xml:space="preserve"> </w:t>
      </w:r>
      <w:r>
        <w:rPr>
          <w:rFonts w:hint="cs"/>
          <w:rtl/>
        </w:rPr>
        <w:tab/>
        <w:t>טיוטת דוח הביקורת נשלחה גם למשרד לביטחון הפנים לקבלת תגובתו בהיותו של השר לביטחון הפנים ממונה על</w:t>
      </w:r>
      <w:r>
        <w:rPr>
          <w:rFonts w:hint="cs"/>
          <w:rtl/>
        </w:rPr>
        <w:t xml:space="preserve"> ביצועו של החוק להסדרת הבטחון בגופים ציבוריים, התשנ"ח-1998 (בעניין החוק ראו בהמשך).</w:t>
      </w:r>
    </w:p>
  </w:footnote>
  <w:footnote w:id="13">
    <w:p w:rsidR="00DD2580" w:rsidP="004A37F5" w14:paraId="0AA6C7FC" w14:textId="77777777">
      <w:pPr>
        <w:pStyle w:val="FootnoteText"/>
        <w:rPr>
          <w:rtl/>
        </w:rPr>
      </w:pPr>
      <w:r>
        <w:rPr>
          <w:rStyle w:val="FootnoteReference"/>
        </w:rPr>
        <w:footnoteRef/>
      </w:r>
      <w:r>
        <w:rPr>
          <w:rtl/>
        </w:rPr>
        <w:t xml:space="preserve"> </w:t>
      </w:r>
      <w:r>
        <w:rPr>
          <w:rtl/>
        </w:rPr>
        <w:tab/>
      </w:r>
      <w:r>
        <w:rPr>
          <w:rFonts w:hint="cs"/>
          <w:rtl/>
        </w:rPr>
        <w:t>חוק הארכיונים, סעיף 4.</w:t>
      </w:r>
    </w:p>
  </w:footnote>
  <w:footnote w:id="14">
    <w:p w:rsidR="00DD2580" w14:paraId="3B52CB2A" w14:textId="77777777">
      <w:pPr>
        <w:pStyle w:val="FootnoteText"/>
        <w:rPr>
          <w:rtl/>
        </w:rPr>
      </w:pPr>
      <w:r>
        <w:rPr>
          <w:rStyle w:val="FootnoteReference"/>
        </w:rPr>
        <w:footnoteRef/>
      </w:r>
      <w:r>
        <w:rPr>
          <w:rtl/>
        </w:rPr>
        <w:t xml:space="preserve"> </w:t>
      </w:r>
      <w:r>
        <w:rPr>
          <w:rFonts w:hint="cs"/>
          <w:rtl/>
        </w:rPr>
        <w:tab/>
        <w:t>פורסם בס"ח תשס"ב מספר 1832 מיום 21.2.2002.</w:t>
      </w:r>
    </w:p>
  </w:footnote>
  <w:footnote w:id="15">
    <w:p w:rsidR="00DD2580" w:rsidP="00E44873" w14:paraId="7248E212" w14:textId="77777777">
      <w:pPr>
        <w:pStyle w:val="FootnoteText"/>
      </w:pPr>
      <w:r>
        <w:rPr>
          <w:rStyle w:val="FootnoteReference"/>
        </w:rPr>
        <w:footnoteRef/>
      </w:r>
      <w:r>
        <w:rPr>
          <w:rtl/>
        </w:rPr>
        <w:t xml:space="preserve"> </w:t>
      </w:r>
      <w:r>
        <w:rPr>
          <w:rtl/>
        </w:rPr>
        <w:tab/>
      </w:r>
      <w:r>
        <w:rPr>
          <w:rFonts w:hint="cs"/>
          <w:rtl/>
        </w:rPr>
        <w:t>במשך שנים פועל ה</w:t>
      </w:r>
      <w:r w:rsidRPr="00833A0F">
        <w:rPr>
          <w:rtl/>
        </w:rPr>
        <w:t>מלמ"ב לאיתור חומרים מסווגים בארכיונים (בעניין פעילות זו של המלמ"ב ראו בהרחבה בהמש</w:t>
      </w:r>
      <w:r w:rsidRPr="00833A0F">
        <w:rPr>
          <w:rtl/>
        </w:rPr>
        <w:t>ך)</w:t>
      </w:r>
      <w:r>
        <w:rPr>
          <w:rFonts w:hint="cs"/>
          <w:rtl/>
        </w:rPr>
        <w:t>.</w:t>
      </w:r>
    </w:p>
  </w:footnote>
  <w:footnote w:id="16">
    <w:p w:rsidR="00DD2580" w:rsidP="003D4A8F" w14:paraId="7115C83E" w14:textId="77777777">
      <w:pPr>
        <w:pStyle w:val="FootnoteText"/>
        <w:rPr>
          <w:rtl/>
        </w:rPr>
      </w:pPr>
      <w:r w:rsidRPr="00ED51AD">
        <w:rPr>
          <w:rStyle w:val="FootnoteReference"/>
        </w:rPr>
        <w:footnoteRef/>
      </w:r>
      <w:r w:rsidRPr="00ED51AD">
        <w:rPr>
          <w:rtl/>
        </w:rPr>
        <w:t xml:space="preserve"> </w:t>
      </w:r>
      <w:r w:rsidRPr="00ED51AD">
        <w:rPr>
          <w:rFonts w:hint="cs"/>
          <w:rtl/>
        </w:rPr>
        <w:tab/>
        <w:t>כאמור, ביולי 2019 מונתה גנזת.</w:t>
      </w:r>
    </w:p>
  </w:footnote>
  <w:footnote w:id="17">
    <w:p w:rsidR="00DD2580" w:rsidP="000472E6" w14:paraId="6BAFEE87" w14:textId="77777777">
      <w:pPr>
        <w:pStyle w:val="FootnoteText"/>
        <w:rPr>
          <w:rtl/>
        </w:rPr>
      </w:pPr>
      <w:r>
        <w:rPr>
          <w:rStyle w:val="FootnoteReference"/>
        </w:rPr>
        <w:footnoteRef/>
      </w:r>
      <w:r>
        <w:rPr>
          <w:rtl/>
        </w:rPr>
        <w:t xml:space="preserve"> </w:t>
      </w:r>
      <w:r>
        <w:rPr>
          <w:rFonts w:hint="cs"/>
          <w:rtl/>
        </w:rPr>
        <w:tab/>
        <w:t>כאמור, לגבי שאר המשרות בארכיון בן-גוריון לא נקבעו דרישות לסיווג ביטחוני.</w:t>
      </w:r>
    </w:p>
  </w:footnote>
  <w:footnote w:id="18">
    <w:p w:rsidR="00DD2580" w:rsidP="00237848" w14:paraId="575EA28F" w14:textId="77777777">
      <w:pPr>
        <w:pStyle w:val="FootnoteText"/>
        <w:tabs>
          <w:tab w:val="left" w:pos="720"/>
          <w:tab w:val="left" w:pos="1440"/>
          <w:tab w:val="left" w:pos="2160"/>
          <w:tab w:val="left" w:pos="6050"/>
        </w:tabs>
      </w:pPr>
      <w:r>
        <w:rPr>
          <w:rStyle w:val="FootnoteReference"/>
        </w:rPr>
        <w:footnoteRef/>
      </w:r>
      <w:r>
        <w:rPr>
          <w:rtl/>
        </w:rPr>
        <w:t xml:space="preserve"> </w:t>
      </w:r>
      <w:r>
        <w:rPr>
          <w:rtl/>
        </w:rPr>
        <w:tab/>
      </w:r>
      <w:r>
        <w:rPr>
          <w:rFonts w:hint="cs"/>
          <w:rtl/>
        </w:rPr>
        <w:t>חוק הארכיונים, סעיף 10 (ב).</w:t>
      </w:r>
      <w:r>
        <w:rPr>
          <w:rtl/>
        </w:rPr>
        <w:tab/>
      </w:r>
    </w:p>
  </w:footnote>
  <w:footnote w:id="19">
    <w:p w:rsidR="00DD2580" w:rsidP="00F72CF1" w14:paraId="648F28FB" w14:textId="77777777">
      <w:pPr>
        <w:pStyle w:val="FootnoteText"/>
        <w:rPr>
          <w:rtl/>
        </w:rPr>
      </w:pPr>
      <w:r>
        <w:rPr>
          <w:rStyle w:val="FootnoteReference"/>
        </w:rPr>
        <w:footnoteRef/>
      </w:r>
      <w:r>
        <w:rPr>
          <w:rtl/>
        </w:rPr>
        <w:t xml:space="preserve"> </w:t>
      </w:r>
      <w:r>
        <w:rPr>
          <w:rFonts w:hint="cs"/>
          <w:rtl/>
        </w:rPr>
        <w:tab/>
        <w:t>ב-3.2.19 הוארכה תקופת ההגבלה של חשיפת חומרים ארכיוניים של גופים אלה, מ-70 שנה</w:t>
      </w:r>
      <w:r>
        <w:rPr>
          <w:rtl/>
        </w:rPr>
        <w:br/>
      </w:r>
      <w:r>
        <w:rPr>
          <w:rFonts w:hint="cs"/>
          <w:rtl/>
        </w:rPr>
        <w:t>ל-90 שנה. העדכון פורסם בקובץ ה</w:t>
      </w:r>
      <w:r>
        <w:rPr>
          <w:rFonts w:hint="cs"/>
          <w:rtl/>
        </w:rPr>
        <w:t>תקנות מס' 8162.</w:t>
      </w:r>
    </w:p>
  </w:footnote>
  <w:footnote w:id="20">
    <w:p w:rsidR="00DD2580" w:rsidP="0050741C" w14:paraId="632407A3" w14:textId="77777777">
      <w:pPr>
        <w:pStyle w:val="FootnoteText"/>
      </w:pPr>
      <w:r>
        <w:rPr>
          <w:rStyle w:val="FootnoteReference"/>
        </w:rPr>
        <w:footnoteRef/>
      </w:r>
      <w:r>
        <w:rPr>
          <w:rtl/>
        </w:rPr>
        <w:t xml:space="preserve"> </w:t>
      </w:r>
      <w:r>
        <w:rPr>
          <w:rtl/>
        </w:rPr>
        <w:tab/>
      </w:r>
      <w:r>
        <w:rPr>
          <w:rFonts w:hint="cs"/>
          <w:rtl/>
        </w:rPr>
        <w:t>גם תקופת ההגבלה של חשיפת חומרים ארכיוניים של המוסד ושל שב"כ הוארכה כאמור.</w:t>
      </w:r>
    </w:p>
  </w:footnote>
  <w:footnote w:id="21">
    <w:p w:rsidR="00DD2580" w:rsidP="00582F0F" w14:paraId="7845EBFA" w14:textId="77777777">
      <w:pPr>
        <w:pStyle w:val="FootnoteText"/>
        <w:rPr>
          <w:rtl/>
        </w:rPr>
      </w:pPr>
      <w:r w:rsidRPr="0077385C">
        <w:rPr>
          <w:rStyle w:val="FootnoteReference"/>
        </w:rPr>
        <w:footnoteRef/>
      </w:r>
      <w:r w:rsidRPr="0077385C">
        <w:rPr>
          <w:rtl/>
        </w:rPr>
        <w:t xml:space="preserve"> </w:t>
      </w:r>
      <w:r w:rsidRPr="0077385C">
        <w:rPr>
          <w:rtl/>
        </w:rPr>
        <w:tab/>
      </w:r>
      <w:r w:rsidRPr="0077385C">
        <w:rPr>
          <w:rFonts w:hint="cs"/>
          <w:rtl/>
        </w:rPr>
        <w:t>מוסד ממוסדות המדינה או רשות מקומית שהפקידה בגנזך חומר ארכיוני. מפקיד רשאי</w:t>
      </w:r>
      <w:r>
        <w:rPr>
          <w:rFonts w:hint="cs"/>
          <w:rtl/>
        </w:rPr>
        <w:t xml:space="preserve"> להסמיך את גנז המדינה לחשוף עבורו חומרים.</w:t>
      </w:r>
    </w:p>
  </w:footnote>
  <w:footnote w:id="22">
    <w:p w:rsidR="00DD2580" w:rsidP="006043F5" w14:paraId="2D7AC803" w14:textId="77777777">
      <w:pPr>
        <w:pStyle w:val="FootnoteText"/>
        <w:rPr>
          <w:rtl/>
        </w:rPr>
      </w:pPr>
      <w:r>
        <w:rPr>
          <w:rStyle w:val="FootnoteReference"/>
        </w:rPr>
        <w:footnoteRef/>
      </w:r>
      <w:r>
        <w:rPr>
          <w:rtl/>
        </w:rPr>
        <w:t xml:space="preserve"> </w:t>
      </w:r>
      <w:r>
        <w:rPr>
          <w:rtl/>
        </w:rPr>
        <w:tab/>
      </w:r>
      <w:r>
        <w:rPr>
          <w:rFonts w:hint="cs"/>
          <w:rtl/>
        </w:rPr>
        <w:t xml:space="preserve">החלטה פס/35 של ועדת השרים למתן היתר </w:t>
      </w:r>
      <w:r>
        <w:rPr>
          <w:rFonts w:hint="cs"/>
          <w:rtl/>
        </w:rPr>
        <w:t>לפרסומים ולעניין רשות העיון בחומר ארכיוני מסווג, מ-25.7.94.</w:t>
      </w:r>
    </w:p>
  </w:footnote>
  <w:footnote w:id="23">
    <w:p w:rsidR="00DD2580" w14:paraId="5A57EE09" w14:textId="77777777">
      <w:pPr>
        <w:pStyle w:val="FootnoteText"/>
      </w:pPr>
      <w:r>
        <w:rPr>
          <w:rStyle w:val="FootnoteReference"/>
        </w:rPr>
        <w:footnoteRef/>
      </w:r>
      <w:r>
        <w:rPr>
          <w:rtl/>
        </w:rPr>
        <w:t xml:space="preserve"> </w:t>
      </w:r>
      <w:r>
        <w:rPr>
          <w:rFonts w:hint="cs"/>
          <w:rtl/>
        </w:rPr>
        <w:tab/>
        <w:t>המידע התקבל מאתרים רשמיים רלוונטיים במרשתת.</w:t>
      </w:r>
    </w:p>
  </w:footnote>
  <w:footnote w:id="24">
    <w:p w:rsidR="00DD2580" w:rsidP="003635C3" w14:paraId="7A53AC07" w14:textId="77777777">
      <w:pPr>
        <w:pStyle w:val="FootnoteText"/>
      </w:pPr>
      <w:r>
        <w:rPr>
          <w:rStyle w:val="FootnoteReference"/>
        </w:rPr>
        <w:footnoteRef/>
      </w:r>
      <w:r>
        <w:rPr>
          <w:rtl/>
        </w:rPr>
        <w:t xml:space="preserve"> </w:t>
      </w:r>
      <w:r>
        <w:rPr>
          <w:rFonts w:hint="cs"/>
          <w:rtl/>
        </w:rPr>
        <w:tab/>
        <w:t>בתגובתו</w:t>
      </w:r>
      <w:r w:rsidRPr="00B17B27">
        <w:rPr>
          <w:rFonts w:hint="cs"/>
          <w:rtl/>
        </w:rPr>
        <w:t xml:space="preserve"> </w:t>
      </w:r>
      <w:r>
        <w:rPr>
          <w:rFonts w:hint="cs"/>
          <w:rtl/>
        </w:rPr>
        <w:t>האמורה של היועץ המשפטי הוא הפנה לפסק דין 10343/07 שנתן בג"ץ. לטענת היועץ המשפטי קיבל בית המשפט בפסק דין זה את עמדת המדינה, ולפיה ניתן לבחו</w:t>
      </w:r>
      <w:r>
        <w:rPr>
          <w:rFonts w:hint="cs"/>
          <w:rtl/>
        </w:rPr>
        <w:t xml:space="preserve">ן את החיסיון רק כאשר מוגשת פנייה לעיון בחומר מסוים, והמדינה אינה חייבת לבחון את כל החומר שברשותה באופן יזום. יש להדגיש כי בפסק דין זה צוטטה עמדת </w:t>
      </w:r>
      <w:r w:rsidRPr="003F6E38">
        <w:rPr>
          <w:rFonts w:hint="cs"/>
          <w:rtl/>
        </w:rPr>
        <w:t xml:space="preserve">המדינה ואולם </w:t>
      </w:r>
      <w:r>
        <w:rPr>
          <w:rFonts w:hint="cs"/>
          <w:rtl/>
        </w:rPr>
        <w:t>אין בו הכרעה מפורשת לגביה</w:t>
      </w:r>
      <w:r w:rsidRPr="003F6E38">
        <w:rPr>
          <w:rFonts w:hint="cs"/>
          <w:rtl/>
        </w:rPr>
        <w:t xml:space="preserve">. </w:t>
      </w:r>
    </w:p>
  </w:footnote>
  <w:footnote w:id="25">
    <w:p w:rsidR="00DD2580" w:rsidP="00A5139C" w14:paraId="76FB83CC" w14:textId="77777777">
      <w:pPr>
        <w:pStyle w:val="FootnoteText"/>
        <w:rPr>
          <w:rtl/>
        </w:rPr>
      </w:pPr>
      <w:r>
        <w:rPr>
          <w:rStyle w:val="FootnoteReference"/>
        </w:rPr>
        <w:footnoteRef/>
      </w:r>
      <w:r>
        <w:rPr>
          <w:rtl/>
        </w:rPr>
        <w:t xml:space="preserve"> </w:t>
      </w:r>
      <w:r>
        <w:rPr>
          <w:rtl/>
        </w:rPr>
        <w:tab/>
      </w:r>
      <w:r>
        <w:rPr>
          <w:rFonts w:hint="cs"/>
          <w:rtl/>
        </w:rPr>
        <w:t>דו"ח הגנז על נושא החשיפה הארכיונית, ארכיון המדינה, מ-15.1.18.</w:t>
      </w:r>
    </w:p>
  </w:footnote>
  <w:footnote w:id="26">
    <w:p w:rsidR="00DD2580" w:rsidP="004A37F5" w14:paraId="29FC21AC" w14:textId="77777777">
      <w:pPr>
        <w:pStyle w:val="FootnoteText"/>
      </w:pPr>
      <w:r>
        <w:rPr>
          <w:rStyle w:val="FootnoteReference"/>
        </w:rPr>
        <w:footnoteRef/>
      </w:r>
      <w:r>
        <w:rPr>
          <w:rtl/>
        </w:rPr>
        <w:t xml:space="preserve"> </w:t>
      </w:r>
      <w:r>
        <w:rPr>
          <w:rtl/>
        </w:rPr>
        <w:tab/>
      </w:r>
      <w:r>
        <w:rPr>
          <w:rFonts w:hint="cs"/>
          <w:rtl/>
        </w:rPr>
        <w:t>הג</w:t>
      </w:r>
      <w:r>
        <w:rPr>
          <w:rFonts w:hint="cs"/>
          <w:rtl/>
        </w:rPr>
        <w:t>וף הלאומי מטעם מדינת ישראל המופקד על האוצרות המודפסים של מדינת ישראל ושל תרבות העם היהודי. הספרייה הלאומית של ישראל פועלת על פי חוק הספרייה הלאומית, התשס"ח-2007.</w:t>
      </w:r>
    </w:p>
  </w:footnote>
  <w:footnote w:id="27">
    <w:p w:rsidR="00DD2580" w:rsidP="00BE0083" w14:paraId="48A48100" w14:textId="77777777">
      <w:pPr>
        <w:pStyle w:val="FootnoteText"/>
      </w:pPr>
      <w:r>
        <w:rPr>
          <w:rStyle w:val="FootnoteReference"/>
        </w:rPr>
        <w:footnoteRef/>
      </w:r>
      <w:r>
        <w:rPr>
          <w:rtl/>
        </w:rPr>
        <w:t xml:space="preserve"> </w:t>
      </w:r>
      <w:r>
        <w:rPr>
          <w:rtl/>
        </w:rPr>
        <w:tab/>
      </w:r>
      <w:r>
        <w:rPr>
          <w:rFonts w:hint="cs"/>
          <w:rtl/>
        </w:rPr>
        <w:t xml:space="preserve">הספרייה הלאומית, "דו"ח סיכום סקר ארכיונים, פרויקט 'אז' - רשת ארכיוני ישראל", אוקטובר 2017, </w:t>
      </w:r>
      <w:r>
        <w:rPr>
          <w:rFonts w:hint="cs"/>
          <w:rtl/>
        </w:rPr>
        <w:t>עמ' 15.</w:t>
      </w:r>
    </w:p>
  </w:footnote>
  <w:footnote w:id="28">
    <w:p w:rsidR="00DD2580" w:rsidP="000D5524" w14:paraId="69F5BBB5" w14:textId="77777777">
      <w:pPr>
        <w:pStyle w:val="FootnoteText"/>
        <w:rPr>
          <w:rtl/>
        </w:rPr>
      </w:pPr>
      <w:r>
        <w:rPr>
          <w:rStyle w:val="FootnoteReference"/>
        </w:rPr>
        <w:footnoteRef/>
      </w:r>
      <w:r>
        <w:rPr>
          <w:rtl/>
        </w:rPr>
        <w:t xml:space="preserve"> </w:t>
      </w:r>
      <w:r>
        <w:rPr>
          <w:rtl/>
        </w:rPr>
        <w:tab/>
      </w:r>
      <w:r>
        <w:rPr>
          <w:rFonts w:hint="cs"/>
          <w:rtl/>
        </w:rPr>
        <w:t>מדברי ההסבר ל</w:t>
      </w:r>
      <w:r>
        <w:rPr>
          <w:rtl/>
        </w:rPr>
        <w:t xml:space="preserve">הצעת </w:t>
      </w:r>
      <w:r>
        <w:rPr>
          <w:rFonts w:hint="cs"/>
          <w:rtl/>
        </w:rPr>
        <w:t>ה</w:t>
      </w:r>
      <w:r>
        <w:rPr>
          <w:rtl/>
        </w:rPr>
        <w:t>חוק לתיקון פקודת מיסי העירייה ומיסי הממשלה (פטורין) (פטור מארנונה לארכיון ציבורי), התשע"ד-2014, פורסם באתר המרשתת של נבו (פ/2074/19).</w:t>
      </w:r>
    </w:p>
  </w:footnote>
  <w:footnote w:id="29">
    <w:p w:rsidR="00DD2580" w:rsidP="00B35D76" w14:paraId="132EFF60" w14:textId="77777777">
      <w:pPr>
        <w:pStyle w:val="FootnoteText"/>
        <w:rPr>
          <w:rtl/>
        </w:rPr>
      </w:pPr>
      <w:r>
        <w:rPr>
          <w:rStyle w:val="FootnoteReference"/>
        </w:rPr>
        <w:footnoteRef/>
      </w:r>
      <w:r>
        <w:rPr>
          <w:rtl/>
        </w:rPr>
        <w:t xml:space="preserve"> </w:t>
      </w:r>
      <w:r>
        <w:rPr>
          <w:rFonts w:hint="cs"/>
          <w:rtl/>
        </w:rPr>
        <w:tab/>
        <w:t>כאמור, ביולי 2019 מונתה אותה סגנית לגנזת.</w:t>
      </w:r>
    </w:p>
  </w:footnote>
  <w:footnote w:id="30">
    <w:p w:rsidR="00DD2580" w:rsidP="004A37F5" w14:paraId="0D07B994" w14:textId="77777777">
      <w:pPr>
        <w:pStyle w:val="FootnoteText"/>
      </w:pPr>
      <w:r>
        <w:rPr>
          <w:rStyle w:val="FootnoteReference"/>
        </w:rPr>
        <w:footnoteRef/>
      </w:r>
      <w:r>
        <w:rPr>
          <w:rtl/>
        </w:rPr>
        <w:t xml:space="preserve"> </w:t>
      </w:r>
      <w:r>
        <w:rPr>
          <w:rtl/>
        </w:rPr>
        <w:tab/>
      </w:r>
      <w:r>
        <w:rPr>
          <w:rFonts w:hint="cs"/>
          <w:rtl/>
        </w:rPr>
        <w:t>חוק הארכיונים, סעיף 8.</w:t>
      </w:r>
    </w:p>
  </w:footnote>
  <w:footnote w:id="31">
    <w:p w:rsidR="00DD2580" w:rsidP="004A37F5" w14:paraId="7C6722FA" w14:textId="77777777">
      <w:pPr>
        <w:pStyle w:val="FootnoteText"/>
      </w:pPr>
      <w:r>
        <w:rPr>
          <w:rStyle w:val="FootnoteReference"/>
        </w:rPr>
        <w:footnoteRef/>
      </w:r>
      <w:r>
        <w:rPr>
          <w:rtl/>
        </w:rPr>
        <w:t xml:space="preserve"> </w:t>
      </w:r>
      <w:r>
        <w:rPr>
          <w:rtl/>
        </w:rPr>
        <w:tab/>
      </w:r>
      <w:r>
        <w:rPr>
          <w:rFonts w:hint="cs"/>
          <w:rtl/>
        </w:rPr>
        <w:t>שם, סעיף 9.</w:t>
      </w:r>
    </w:p>
  </w:footnote>
  <w:footnote w:id="32">
    <w:p w:rsidR="00DD2580" w:rsidP="000E6CFF" w14:paraId="1BB5C436" w14:textId="77777777">
      <w:pPr>
        <w:pStyle w:val="FootnoteText"/>
      </w:pPr>
      <w:r>
        <w:rPr>
          <w:rStyle w:val="FootnoteReference"/>
        </w:rPr>
        <w:footnoteRef/>
      </w:r>
      <w:r>
        <w:rPr>
          <w:rtl/>
        </w:rPr>
        <w:t xml:space="preserve"> </w:t>
      </w:r>
      <w:r>
        <w:rPr>
          <w:rtl/>
        </w:rPr>
        <w:tab/>
      </w:r>
      <w:r>
        <w:rPr>
          <w:rFonts w:hint="cs"/>
          <w:rtl/>
        </w:rPr>
        <w:t>החו</w:t>
      </w:r>
      <w:r>
        <w:rPr>
          <w:rFonts w:hint="cs"/>
          <w:rtl/>
        </w:rPr>
        <w:t>ק להסדרת הביטחון, סעיף 21.</w:t>
      </w:r>
    </w:p>
  </w:footnote>
  <w:footnote w:id="33">
    <w:p w:rsidR="00DD2580" w:rsidP="00C06805" w14:paraId="27351AF8" w14:textId="77777777">
      <w:pPr>
        <w:pStyle w:val="FootnoteText"/>
        <w:rPr>
          <w:rtl/>
        </w:rPr>
      </w:pPr>
      <w:r>
        <w:rPr>
          <w:rStyle w:val="FootnoteReference"/>
        </w:rPr>
        <w:footnoteRef/>
      </w:r>
      <w:r>
        <w:rPr>
          <w:rtl/>
        </w:rPr>
        <w:t xml:space="preserve"> </w:t>
      </w:r>
      <w:r>
        <w:rPr>
          <w:rtl/>
        </w:rPr>
        <w:tab/>
      </w:r>
      <w:r>
        <w:rPr>
          <w:rFonts w:hint="cs"/>
          <w:rtl/>
        </w:rPr>
        <w:t xml:space="preserve"> העמדת חומרים לעיון באולם הקריאה נעשית כיום במקרים חריגים בלבד.</w:t>
      </w:r>
    </w:p>
  </w:footnote>
  <w:footnote w:id="34">
    <w:p w:rsidR="00DD2580" w:rsidP="005005B1" w14:paraId="3B585D48" w14:textId="77777777">
      <w:pPr>
        <w:pStyle w:val="FootnoteText"/>
      </w:pPr>
      <w:r>
        <w:rPr>
          <w:rStyle w:val="FootnoteReference"/>
        </w:rPr>
        <w:footnoteRef/>
      </w:r>
      <w:r>
        <w:rPr>
          <w:rtl/>
        </w:rPr>
        <w:t xml:space="preserve"> </w:t>
      </w:r>
      <w:r>
        <w:rPr>
          <w:rFonts w:hint="cs"/>
          <w:rtl/>
        </w:rPr>
        <w:tab/>
      </w:r>
      <w:r w:rsidRPr="003232FC">
        <w:rPr>
          <w:rFonts w:hint="cs"/>
          <w:rtl/>
        </w:rPr>
        <w:t xml:space="preserve">בג"ץ 680/88 </w:t>
      </w:r>
      <w:r w:rsidRPr="003232FC">
        <w:rPr>
          <w:rFonts w:hint="cs"/>
          <w:b/>
          <w:bCs/>
          <w:rtl/>
        </w:rPr>
        <w:t>שניצר ואחרים נ' הצנזור הצבאי הראשי,</w:t>
      </w:r>
      <w:r w:rsidRPr="003232FC">
        <w:rPr>
          <w:rFonts w:hint="cs"/>
          <w:rtl/>
        </w:rPr>
        <w:t xml:space="preserve"> פ'ד מב(4) 617, </w:t>
      </w:r>
      <w:r>
        <w:rPr>
          <w:rFonts w:hint="cs"/>
          <w:rtl/>
        </w:rPr>
        <w:t>630</w:t>
      </w:r>
      <w:r w:rsidRPr="003232FC">
        <w:rPr>
          <w:rFonts w:hint="cs"/>
          <w:rtl/>
        </w:rPr>
        <w:t xml:space="preserve"> (10.1.89).</w:t>
      </w:r>
      <w:r w:rsidRPr="00430F16">
        <w:rPr>
          <w:rFonts w:hint="cs"/>
          <w:rtl/>
        </w:rPr>
        <w:t xml:space="preserve"> </w:t>
      </w:r>
    </w:p>
  </w:footnote>
  <w:footnote w:id="35">
    <w:p w:rsidR="00DD2580" w:rsidP="009E6A7D" w14:paraId="47FF6E0B" w14:textId="77777777">
      <w:pPr>
        <w:pStyle w:val="FootnoteText"/>
        <w:rPr>
          <w:rtl/>
        </w:rPr>
      </w:pPr>
      <w:r>
        <w:rPr>
          <w:rStyle w:val="FootnoteReference"/>
        </w:rPr>
        <w:footnoteRef/>
      </w:r>
      <w:r>
        <w:rPr>
          <w:rtl/>
        </w:rPr>
        <w:t xml:space="preserve"> </w:t>
      </w:r>
      <w:r>
        <w:rPr>
          <w:rFonts w:hint="cs"/>
          <w:rtl/>
        </w:rPr>
        <w:tab/>
        <w:t>למרות התייחסות עקרונית זאת לשאלת סמכותה, הצנזורה כאמור דורשת בדיקתם של חומרים</w:t>
      </w:r>
      <w:r>
        <w:rPr>
          <w:rFonts w:hint="cs"/>
          <w:rtl/>
        </w:rPr>
        <w:t xml:space="preserve"> ארכיוניים רק לפני העלאתם למרשתת.</w:t>
      </w:r>
    </w:p>
  </w:footnote>
  <w:footnote w:id="36">
    <w:p w:rsidR="00DD2580" w14:paraId="2D2D8280" w14:textId="77777777">
      <w:pPr>
        <w:pStyle w:val="FootnoteText"/>
      </w:pPr>
      <w:r>
        <w:rPr>
          <w:rStyle w:val="FootnoteReference"/>
        </w:rPr>
        <w:footnoteRef/>
      </w:r>
      <w:r>
        <w:rPr>
          <w:rtl/>
        </w:rPr>
        <w:t xml:space="preserve"> </w:t>
      </w:r>
      <w:r>
        <w:rPr>
          <w:rFonts w:hint="cs"/>
          <w:rtl/>
        </w:rPr>
        <w:tab/>
        <w:t>התקנה קובעת כי הוראות תקנות העיון לא יחולו, בין היתר, על חומר שזכות העיון בו הוגבלה על פי חיקוק.</w:t>
      </w:r>
    </w:p>
  </w:footnote>
  <w:footnote w:id="37">
    <w:p w:rsidR="00DD2580" w:rsidP="00542E2E" w14:paraId="45F42E8F" w14:textId="77777777">
      <w:pPr>
        <w:pStyle w:val="FootnoteText"/>
      </w:pPr>
      <w:r>
        <w:rPr>
          <w:rStyle w:val="FootnoteReference"/>
        </w:rPr>
        <w:footnoteRef/>
      </w:r>
      <w:r>
        <w:rPr>
          <w:rtl/>
        </w:rPr>
        <w:t xml:space="preserve"> </w:t>
      </w:r>
      <w:r>
        <w:rPr>
          <w:rtl/>
        </w:rPr>
        <w:tab/>
      </w:r>
      <w:r w:rsidRPr="00542E2E">
        <w:rPr>
          <w:rFonts w:hint="cs"/>
          <w:rtl/>
        </w:rPr>
        <w:t xml:space="preserve">עובד הציבור מוגדר בסעיף 34כד. לחוק העונשין בין היתר כ"עובד המדינה, לרבות חייל", ו"נושא משרה או תפקיד על פי חיקוק, בין </w:t>
      </w:r>
      <w:r w:rsidRPr="00542E2E">
        <w:rPr>
          <w:rFonts w:hint="cs"/>
          <w:rtl/>
        </w:rPr>
        <w:t>במינוי, בין בבחירה ובין בהסכם".</w:t>
      </w:r>
    </w:p>
  </w:footnote>
  <w:footnote w:id="38">
    <w:p w:rsidR="00DD2580" w:rsidP="00255A4C" w14:paraId="43AAF76B" w14:textId="77777777">
      <w:pPr>
        <w:pStyle w:val="FootnoteText"/>
      </w:pPr>
      <w:r>
        <w:rPr>
          <w:rStyle w:val="FootnoteReference"/>
        </w:rPr>
        <w:footnoteRef/>
      </w:r>
      <w:r>
        <w:rPr>
          <w:rtl/>
        </w:rPr>
        <w:t xml:space="preserve"> </w:t>
      </w:r>
      <w:r>
        <w:rPr>
          <w:rtl/>
        </w:rPr>
        <w:tab/>
      </w:r>
      <w:r>
        <w:rPr>
          <w:rFonts w:hint="cs"/>
          <w:rtl/>
        </w:rPr>
        <w:t>הודעה בדבר כללים לענין היתרים לפרסום, י"פ 2097, 13.3.75.</w:t>
      </w:r>
    </w:p>
  </w:footnote>
  <w:footnote w:id="39">
    <w:p w:rsidR="00DD2580" w:rsidP="00F17CDC" w14:paraId="10E2AB0D" w14:textId="77777777">
      <w:pPr>
        <w:pStyle w:val="FootnoteText"/>
      </w:pPr>
      <w:r>
        <w:rPr>
          <w:rStyle w:val="FootnoteReference"/>
        </w:rPr>
        <w:footnoteRef/>
      </w:r>
      <w:r>
        <w:rPr>
          <w:rtl/>
        </w:rPr>
        <w:t xml:space="preserve"> </w:t>
      </w:r>
      <w:r>
        <w:rPr>
          <w:rFonts w:hint="cs"/>
          <w:rtl/>
        </w:rPr>
        <w:tab/>
        <w:t xml:space="preserve">הצנזור הפועל מכוחן של תקנות ההגנה רשאי לאסור לפרסם "חומר שפרסומו היה </w:t>
      </w:r>
      <w:r w:rsidRPr="0095386C">
        <w:rPr>
          <w:rFonts w:hint="cs"/>
          <w:rtl/>
        </w:rPr>
        <w:t>עשוי, או עלול להיות עשוי, לפגוע</w:t>
      </w:r>
      <w:r>
        <w:rPr>
          <w:rFonts w:hint="cs"/>
          <w:rtl/>
        </w:rPr>
        <w:t xml:space="preserve">, לדעתו, בהגנתה של ישראל או בשלומו של הציבור או בסדר </w:t>
      </w:r>
      <w:r>
        <w:rPr>
          <w:rFonts w:hint="cs"/>
          <w:rtl/>
        </w:rPr>
        <w:t>הציבורי".</w:t>
      </w:r>
    </w:p>
  </w:footnote>
  <w:footnote w:id="40">
    <w:p w:rsidR="00DD2580" w:rsidP="009E7C76" w14:paraId="62C8C9C4" w14:textId="77777777">
      <w:pPr>
        <w:pStyle w:val="FootnoteText"/>
        <w:rPr>
          <w:rtl/>
        </w:rPr>
      </w:pPr>
      <w:r>
        <w:rPr>
          <w:rStyle w:val="FootnoteReference"/>
        </w:rPr>
        <w:footnoteRef/>
      </w:r>
      <w:r>
        <w:rPr>
          <w:rtl/>
        </w:rPr>
        <w:t xml:space="preserve"> </w:t>
      </w:r>
      <w:r>
        <w:rPr>
          <w:rFonts w:hint="cs"/>
          <w:rtl/>
        </w:rPr>
        <w:tab/>
        <w:t xml:space="preserve">הצוות כולל </w:t>
      </w:r>
      <w:r w:rsidRPr="003377B6">
        <w:rPr>
          <w:rFonts w:hint="cs"/>
          <w:rtl/>
        </w:rPr>
        <w:t>נציגים</w:t>
      </w:r>
      <w:r>
        <w:rPr>
          <w:rFonts w:hint="cs"/>
          <w:rtl/>
        </w:rPr>
        <w:t xml:space="preserve"> של הפרקליטות הצבאית הראשית, הצנזורה הצבאית, המלמ"ב, היועץ המשפטי לשב"כ, היועץ המשפטי למוסד, המשנה ליועץ המשפטי לממשלה (פלילי), המשנה לפרקליט המדינה (תפקידים מיוחדים) ו"כל גורם אחר שתמצאי לנכון לצורך קידום העניין".</w:t>
      </w:r>
    </w:p>
  </w:footnote>
  <w:footnote w:id="41">
    <w:p w:rsidR="00DD2580" w:rsidP="00035FDD" w14:paraId="4BF15F4F" w14:textId="77777777">
      <w:pPr>
        <w:pStyle w:val="FootnoteText"/>
        <w:tabs>
          <w:tab w:val="left" w:pos="720"/>
          <w:tab w:val="left" w:pos="1440"/>
          <w:tab w:val="left" w:pos="2160"/>
          <w:tab w:val="left" w:pos="2880"/>
          <w:tab w:val="left" w:pos="3600"/>
          <w:tab w:val="left" w:pos="4320"/>
          <w:tab w:val="left" w:pos="5040"/>
          <w:tab w:val="left" w:pos="5760"/>
          <w:tab w:val="left" w:pos="6268"/>
        </w:tabs>
        <w:rPr>
          <w:rtl/>
        </w:rPr>
      </w:pPr>
      <w:r>
        <w:rPr>
          <w:rStyle w:val="FootnoteReference"/>
        </w:rPr>
        <w:footnoteRef/>
      </w:r>
      <w:r>
        <w:rPr>
          <w:rtl/>
        </w:rPr>
        <w:t xml:space="preserve"> </w:t>
      </w:r>
      <w:r>
        <w:rPr>
          <w:rFonts w:hint="cs"/>
          <w:rtl/>
        </w:rPr>
        <w:tab/>
        <w:t>דיני עונ</w:t>
      </w:r>
      <w:r>
        <w:rPr>
          <w:rFonts w:hint="cs"/>
          <w:rtl/>
        </w:rPr>
        <w:t>שין (ביטחון המדינה, יחסי חוץ וסודות רשמיים), התשי"ז-1957.</w:t>
      </w:r>
    </w:p>
  </w:footnote>
  <w:footnote w:id="42">
    <w:p w:rsidR="00DD2580" w:rsidRPr="00CD45AA" w:rsidP="004F6A39" w14:paraId="05E24440" w14:textId="77777777">
      <w:pPr>
        <w:pStyle w:val="FootnoteText"/>
        <w:rPr>
          <w:rtl/>
        </w:rPr>
      </w:pPr>
      <w:r>
        <w:rPr>
          <w:rStyle w:val="FootnoteReference"/>
        </w:rPr>
        <w:footnoteRef/>
      </w:r>
      <w:r>
        <w:rPr>
          <w:rtl/>
        </w:rPr>
        <w:t xml:space="preserve"> </w:t>
      </w:r>
      <w:r>
        <w:rPr>
          <w:rFonts w:hint="cs"/>
          <w:rtl/>
        </w:rPr>
        <w:tab/>
        <w:t xml:space="preserve">בג"ץ 8784/15 </w:t>
      </w:r>
      <w:r>
        <w:rPr>
          <w:rFonts w:hint="cs"/>
          <w:b/>
          <w:bCs/>
          <w:rtl/>
        </w:rPr>
        <w:t>ד"ר הראל פרימק ואח' נ' משטרת ישראל ואח'</w:t>
      </w:r>
      <w:r>
        <w:rPr>
          <w:rFonts w:hint="cs"/>
          <w:rtl/>
        </w:rPr>
        <w:t>, 27.4.17.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2580" w14:paraId="0BDA59FB" w14:textId="7485D774">
    <w:pPr>
      <w:pStyle w:val="Header"/>
      <w:jc w:val="center"/>
      <w:rPr>
        <w:rtl/>
      </w:rPr>
    </w:pPr>
    <w:r>
      <w:rPr>
        <w:rFonts w:hint="cs"/>
        <w:rtl/>
      </w:rPr>
      <w:t xml:space="preserve">- </w:t>
    </w:r>
    <w:r>
      <w:fldChar w:fldCharType="begin"/>
    </w:r>
    <w:r>
      <w:rPr>
        <w:rtl/>
        <w:cs/>
      </w:rPr>
      <w:instrText>PAGE   \* MERGEFORMAT</w:instrText>
    </w:r>
    <w:r>
      <w:fldChar w:fldCharType="separate"/>
    </w:r>
    <w:r w:rsidRPr="004D1F4E">
      <w:rPr>
        <w:noProof/>
        <w:rtl/>
        <w:lang w:val="he-IL"/>
      </w:rPr>
      <w:t>21</w:t>
    </w:r>
    <w:r>
      <w:fldChar w:fldCharType="end"/>
    </w:r>
    <w:r>
      <w:rPr>
        <w:rFonts w:hint="cs"/>
        <w:rtl/>
      </w:rPr>
      <w:t xml:space="preserve"> -</w:t>
    </w:r>
  </w:p>
  <w:p w:rsidR="00DD2580" w14:paraId="52BAAB5A" w14:textId="77777777">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2580" w:rsidRPr="00187B46" w:rsidP="00DC382E" w14:paraId="39ACD342" w14:textId="77777777">
    <w:pPr>
      <w:pStyle w:val="Header"/>
      <w:tabs>
        <w:tab w:val="clear" w:pos="4153"/>
        <w:tab w:val="left" w:pos="7042"/>
        <w:tab w:val="clear" w:pos="8306"/>
      </w:tabs>
      <w:spacing w:line="260" w:lineRule="exact"/>
    </w:pPr>
    <w:r>
      <w:rPr>
        <w:noProof/>
      </w:rPr>
      <mc:AlternateContent>
        <mc:Choice Requires="wps">
          <w:drawing>
            <wp:anchor distT="0" distB="0" distL="114300" distR="114300" simplePos="0" relativeHeight="251658240" behindDoc="0" locked="0" layoutInCell="1" allowOverlap="1" hidden="1">
              <wp:simplePos x="0" y="0"/>
              <wp:positionH relativeFrom="column">
                <wp:posOffset>4189095</wp:posOffset>
              </wp:positionH>
              <wp:positionV relativeFrom="paragraph">
                <wp:posOffset>117475</wp:posOffset>
              </wp:positionV>
              <wp:extent cx="1498600" cy="247650"/>
              <wp:effectExtent l="0" t="3175" r="0" b="0"/>
              <wp:wrapNone/>
              <wp:docPr id="1" name="HeadOne" hidden="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8600" cy="2476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D2580" w:rsidP="00187B46" w14:paraId="2071C2E3" w14:textId="77777777">
                          <w:pPr>
                            <w:rPr>
                              <w:rtl/>
                            </w:rPr>
                          </w:pPr>
                          <w:r>
                            <w:rPr>
                              <w:rFonts w:cs="Miriam" w:hint="cs"/>
                              <w:color w:val="0000FF"/>
                              <w:sz w:val="27"/>
                              <w:szCs w:val="27"/>
                              <w:rtl/>
                            </w:rPr>
                            <w:t>משרד מבקר המדינה</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eadOne" o:spid="_x0000_s2049" type="#_x0000_t202" style="width:118pt;height:19.5pt;margin-top:9.25pt;margin-left:329.85pt;mso-height-percent:0;mso-height-relative:page;mso-width-percent:0;mso-width-relative:page;mso-wrap-distance-bottom:0;mso-wrap-distance-left:9pt;mso-wrap-distance-right:9pt;mso-wrap-distance-top:0;mso-wrap-style:square;position:absolute;visibility:hidden;v-text-anchor:top;z-index:251659264" stroked="f">
              <v:textbox>
                <w:txbxContent>
                  <w:p w:rsidR="00DD2580" w:rsidP="00187B46" w14:paraId="29C823D8" w14:textId="77777777">
                    <w:pPr>
                      <w:rPr>
                        <w:rtl/>
                      </w:rPr>
                    </w:pPr>
                    <w:r>
                      <w:rPr>
                        <w:rFonts w:cs="Miriam" w:hint="cs"/>
                        <w:color w:val="0000FF"/>
                        <w:sz w:val="27"/>
                        <w:szCs w:val="27"/>
                        <w:rtl/>
                      </w:rPr>
                      <w:t>משרד מבקר המדינה</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368DC"/>
    <w:multiLevelType w:val="hybridMultilevel"/>
    <w:tmpl w:val="61C4094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2D2664"/>
    <w:multiLevelType w:val="hybridMultilevel"/>
    <w:tmpl w:val="5F0A70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D57A26"/>
    <w:multiLevelType w:val="hybridMultilevel"/>
    <w:tmpl w:val="406840FC"/>
    <w:lvl w:ilvl="0">
      <w:start w:val="1"/>
      <w:numFmt w:val="bullet"/>
      <w:lvlText w:val=""/>
      <w:lvlJc w:val="left"/>
      <w:pPr>
        <w:ind w:left="720" w:hanging="360"/>
      </w:pPr>
      <w:rPr>
        <w:rFonts w:ascii="Symbol" w:hAnsi="Symbol" w:hint="default"/>
        <w:color w:val="C00000"/>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8F00E3"/>
    <w:multiLevelType w:val="hybridMultilevel"/>
    <w:tmpl w:val="54082C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D204E4"/>
    <w:multiLevelType w:val="hybridMultilevel"/>
    <w:tmpl w:val="9D44DD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CC0E56"/>
    <w:multiLevelType w:val="hybridMultilevel"/>
    <w:tmpl w:val="9DA0AF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BF2D6B"/>
    <w:multiLevelType w:val="hybridMultilevel"/>
    <w:tmpl w:val="29FACD76"/>
    <w:lvl w:ilvl="0">
      <w:start w:val="1"/>
      <w:numFmt w:val="decimal"/>
      <w:lvlText w:val="%1."/>
      <w:lvlJc w:val="left"/>
      <w:pPr>
        <w:ind w:left="643"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D6667D"/>
    <w:multiLevelType w:val="multilevel"/>
    <w:tmpl w:val="B158F67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443F5610"/>
    <w:multiLevelType w:val="hybridMultilevel"/>
    <w:tmpl w:val="08E239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4941F0E"/>
    <w:multiLevelType w:val="hybridMultilevel"/>
    <w:tmpl w:val="6B760932"/>
    <w:lvl w:ilvl="0">
      <w:start w:val="1"/>
      <w:numFmt w:val="bullet"/>
      <w:lvlText w:val=""/>
      <w:lvlJc w:val="left"/>
      <w:pPr>
        <w:ind w:left="1032" w:hanging="360"/>
      </w:pPr>
      <w:rPr>
        <w:rFonts w:ascii="Symbol" w:hAnsi="Symbol" w:hint="default"/>
        <w:color w:val="00B0F0"/>
        <w:sz w:val="28"/>
        <w:szCs w:val="28"/>
        <w:lang w:bidi="he-IL"/>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6626C49"/>
    <w:multiLevelType w:val="hybridMultilevel"/>
    <w:tmpl w:val="D4926E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AE53F3"/>
    <w:multiLevelType w:val="hybridMultilevel"/>
    <w:tmpl w:val="255CA6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7F1C9D"/>
    <w:multiLevelType w:val="hybridMultilevel"/>
    <w:tmpl w:val="C1E4D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0EE7D74"/>
    <w:multiLevelType w:val="hybridMultilevel"/>
    <w:tmpl w:val="819814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64020DE"/>
    <w:multiLevelType w:val="hybridMultilevel"/>
    <w:tmpl w:val="8D28E2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81328A"/>
    <w:multiLevelType w:val="multilevel"/>
    <w:tmpl w:val="E4C6FF5C"/>
    <w:lvl w:ilvl="0">
      <w:start w:val="1"/>
      <w:numFmt w:val="decimal"/>
      <w:lvlText w:val="%1."/>
      <w:lvlJc w:val="left"/>
      <w:pPr>
        <w:ind w:left="340" w:hanging="340"/>
      </w:pPr>
      <w:rPr>
        <w:rFonts w:hint="default"/>
        <w:sz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585E61B2"/>
    <w:multiLevelType w:val="hybridMultilevel"/>
    <w:tmpl w:val="91482318"/>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DE85FA1"/>
    <w:multiLevelType w:val="hybridMultilevel"/>
    <w:tmpl w:val="6B3670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D7E4D9E"/>
    <w:multiLevelType w:val="hybridMultilevel"/>
    <w:tmpl w:val="6EFC39B2"/>
    <w:lvl w:ilvl="0">
      <w:start w:val="1"/>
      <w:numFmt w:val="bullet"/>
      <w:lvlText w:val=""/>
      <w:lvlJc w:val="left"/>
      <w:pPr>
        <w:ind w:left="360" w:hanging="360"/>
      </w:pPr>
      <w:rPr>
        <w:rFonts w:ascii="Symbol" w:hAnsi="Symbol" w:hint="default"/>
        <w:color w:val="00B05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2E50216"/>
    <w:multiLevelType w:val="hybridMultilevel"/>
    <w:tmpl w:val="FF9E0CC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A642A6"/>
    <w:multiLevelType w:val="hybridMultilevel"/>
    <w:tmpl w:val="E3B2DC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A55266"/>
    <w:multiLevelType w:val="hybridMultilevel"/>
    <w:tmpl w:val="8D28E2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6"/>
  </w:num>
  <w:num w:numId="3">
    <w:abstractNumId w:val="18"/>
  </w:num>
  <w:num w:numId="4">
    <w:abstractNumId w:val="9"/>
  </w:num>
  <w:num w:numId="5">
    <w:abstractNumId w:val="2"/>
  </w:num>
  <w:num w:numId="6">
    <w:abstractNumId w:val="12"/>
  </w:num>
  <w:num w:numId="7">
    <w:abstractNumId w:val="19"/>
  </w:num>
  <w:num w:numId="8">
    <w:abstractNumId w:val="21"/>
  </w:num>
  <w:num w:numId="9">
    <w:abstractNumId w:val="20"/>
  </w:num>
  <w:num w:numId="10">
    <w:abstractNumId w:val="10"/>
  </w:num>
  <w:num w:numId="11">
    <w:abstractNumId w:val="7"/>
  </w:num>
  <w:num w:numId="12">
    <w:abstractNumId w:val="17"/>
  </w:num>
  <w:num w:numId="13">
    <w:abstractNumId w:val="1"/>
  </w:num>
  <w:num w:numId="14">
    <w:abstractNumId w:val="11"/>
  </w:num>
  <w:num w:numId="15">
    <w:abstractNumId w:val="4"/>
  </w:num>
  <w:num w:numId="16">
    <w:abstractNumId w:val="8"/>
  </w:num>
  <w:num w:numId="17">
    <w:abstractNumId w:val="0"/>
  </w:num>
  <w:num w:numId="18">
    <w:abstractNumId w:val="13"/>
  </w:num>
  <w:num w:numId="19">
    <w:abstractNumId w:val="3"/>
  </w:num>
  <w:num w:numId="20">
    <w:abstractNumId w:val="5"/>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6D"/>
    <w:rsid w:val="00000002"/>
    <w:rsid w:val="00000E69"/>
    <w:rsid w:val="000016A5"/>
    <w:rsid w:val="00001DBD"/>
    <w:rsid w:val="00001FEE"/>
    <w:rsid w:val="000036B0"/>
    <w:rsid w:val="000039FA"/>
    <w:rsid w:val="00003B77"/>
    <w:rsid w:val="000049F4"/>
    <w:rsid w:val="000051B7"/>
    <w:rsid w:val="000053A8"/>
    <w:rsid w:val="00005ACE"/>
    <w:rsid w:val="000067DB"/>
    <w:rsid w:val="00006926"/>
    <w:rsid w:val="00007192"/>
    <w:rsid w:val="000075FB"/>
    <w:rsid w:val="00007E41"/>
    <w:rsid w:val="00010D9C"/>
    <w:rsid w:val="0001131B"/>
    <w:rsid w:val="000116D1"/>
    <w:rsid w:val="00011AF4"/>
    <w:rsid w:val="00011C19"/>
    <w:rsid w:val="00011E45"/>
    <w:rsid w:val="000121C3"/>
    <w:rsid w:val="000136D7"/>
    <w:rsid w:val="00013E51"/>
    <w:rsid w:val="0001405E"/>
    <w:rsid w:val="00014869"/>
    <w:rsid w:val="0001642E"/>
    <w:rsid w:val="000176A9"/>
    <w:rsid w:val="00017A62"/>
    <w:rsid w:val="00020213"/>
    <w:rsid w:val="00020905"/>
    <w:rsid w:val="000223C4"/>
    <w:rsid w:val="00022BA0"/>
    <w:rsid w:val="00022C6E"/>
    <w:rsid w:val="000238E8"/>
    <w:rsid w:val="00024708"/>
    <w:rsid w:val="000249AD"/>
    <w:rsid w:val="00024A24"/>
    <w:rsid w:val="0002546D"/>
    <w:rsid w:val="00026360"/>
    <w:rsid w:val="00027E4C"/>
    <w:rsid w:val="00030BBC"/>
    <w:rsid w:val="00030E02"/>
    <w:rsid w:val="0003188C"/>
    <w:rsid w:val="000332DF"/>
    <w:rsid w:val="00033422"/>
    <w:rsid w:val="000343ED"/>
    <w:rsid w:val="00034AA7"/>
    <w:rsid w:val="0003539C"/>
    <w:rsid w:val="00035FDD"/>
    <w:rsid w:val="000363C5"/>
    <w:rsid w:val="000368DF"/>
    <w:rsid w:val="00036917"/>
    <w:rsid w:val="00037153"/>
    <w:rsid w:val="00040011"/>
    <w:rsid w:val="0004186A"/>
    <w:rsid w:val="00041BA7"/>
    <w:rsid w:val="00041C11"/>
    <w:rsid w:val="00041F62"/>
    <w:rsid w:val="00042837"/>
    <w:rsid w:val="000429F0"/>
    <w:rsid w:val="000432B8"/>
    <w:rsid w:val="00043C5B"/>
    <w:rsid w:val="0004488A"/>
    <w:rsid w:val="00044CAE"/>
    <w:rsid w:val="00044F64"/>
    <w:rsid w:val="00045443"/>
    <w:rsid w:val="0004614D"/>
    <w:rsid w:val="00046613"/>
    <w:rsid w:val="00046BFD"/>
    <w:rsid w:val="000472E6"/>
    <w:rsid w:val="00047373"/>
    <w:rsid w:val="0004778C"/>
    <w:rsid w:val="00047F8B"/>
    <w:rsid w:val="000501A4"/>
    <w:rsid w:val="00051483"/>
    <w:rsid w:val="00052D91"/>
    <w:rsid w:val="000571C1"/>
    <w:rsid w:val="000604BC"/>
    <w:rsid w:val="00060784"/>
    <w:rsid w:val="00061A88"/>
    <w:rsid w:val="00061FB2"/>
    <w:rsid w:val="000625D1"/>
    <w:rsid w:val="00063847"/>
    <w:rsid w:val="00063907"/>
    <w:rsid w:val="00064567"/>
    <w:rsid w:val="00064B5E"/>
    <w:rsid w:val="00066AB7"/>
    <w:rsid w:val="0006706D"/>
    <w:rsid w:val="0006737E"/>
    <w:rsid w:val="000675CF"/>
    <w:rsid w:val="00067E5D"/>
    <w:rsid w:val="0007127C"/>
    <w:rsid w:val="00072239"/>
    <w:rsid w:val="000723C5"/>
    <w:rsid w:val="000730F9"/>
    <w:rsid w:val="000732D6"/>
    <w:rsid w:val="00074F0F"/>
    <w:rsid w:val="000753FF"/>
    <w:rsid w:val="00075ABA"/>
    <w:rsid w:val="000818FA"/>
    <w:rsid w:val="00082CDA"/>
    <w:rsid w:val="0008302B"/>
    <w:rsid w:val="0008481B"/>
    <w:rsid w:val="00084CF9"/>
    <w:rsid w:val="000861EA"/>
    <w:rsid w:val="00086E3E"/>
    <w:rsid w:val="00087E50"/>
    <w:rsid w:val="00087F4D"/>
    <w:rsid w:val="00090B41"/>
    <w:rsid w:val="00090E0A"/>
    <w:rsid w:val="00091A00"/>
    <w:rsid w:val="00091EEF"/>
    <w:rsid w:val="000925C1"/>
    <w:rsid w:val="00092A16"/>
    <w:rsid w:val="00092B1F"/>
    <w:rsid w:val="00093015"/>
    <w:rsid w:val="00093263"/>
    <w:rsid w:val="000938B9"/>
    <w:rsid w:val="00093C08"/>
    <w:rsid w:val="00094389"/>
    <w:rsid w:val="0009439A"/>
    <w:rsid w:val="00094FC0"/>
    <w:rsid w:val="000957E5"/>
    <w:rsid w:val="00095C69"/>
    <w:rsid w:val="00095C8A"/>
    <w:rsid w:val="000962B3"/>
    <w:rsid w:val="00096647"/>
    <w:rsid w:val="00096BDB"/>
    <w:rsid w:val="00096F13"/>
    <w:rsid w:val="000A011A"/>
    <w:rsid w:val="000A1F31"/>
    <w:rsid w:val="000A243D"/>
    <w:rsid w:val="000A2D5E"/>
    <w:rsid w:val="000A323F"/>
    <w:rsid w:val="000A4316"/>
    <w:rsid w:val="000A517A"/>
    <w:rsid w:val="000A579A"/>
    <w:rsid w:val="000A6633"/>
    <w:rsid w:val="000A6F3D"/>
    <w:rsid w:val="000A78FD"/>
    <w:rsid w:val="000B04E2"/>
    <w:rsid w:val="000B0FF7"/>
    <w:rsid w:val="000B1102"/>
    <w:rsid w:val="000B1C2C"/>
    <w:rsid w:val="000B25CA"/>
    <w:rsid w:val="000B3E1A"/>
    <w:rsid w:val="000B40F4"/>
    <w:rsid w:val="000B4AB0"/>
    <w:rsid w:val="000B4F7F"/>
    <w:rsid w:val="000B530E"/>
    <w:rsid w:val="000B5F81"/>
    <w:rsid w:val="000B61B7"/>
    <w:rsid w:val="000B6C13"/>
    <w:rsid w:val="000B7DB9"/>
    <w:rsid w:val="000C0E54"/>
    <w:rsid w:val="000C250A"/>
    <w:rsid w:val="000C261F"/>
    <w:rsid w:val="000C262B"/>
    <w:rsid w:val="000C3D7D"/>
    <w:rsid w:val="000C49A6"/>
    <w:rsid w:val="000C54AD"/>
    <w:rsid w:val="000C58E2"/>
    <w:rsid w:val="000C5ACF"/>
    <w:rsid w:val="000C5DB0"/>
    <w:rsid w:val="000C6E93"/>
    <w:rsid w:val="000C73FC"/>
    <w:rsid w:val="000C7459"/>
    <w:rsid w:val="000C76CE"/>
    <w:rsid w:val="000C7B5B"/>
    <w:rsid w:val="000D24A7"/>
    <w:rsid w:val="000D25FA"/>
    <w:rsid w:val="000D2DAB"/>
    <w:rsid w:val="000D2E33"/>
    <w:rsid w:val="000D3F6C"/>
    <w:rsid w:val="000D4EEB"/>
    <w:rsid w:val="000D51E7"/>
    <w:rsid w:val="000D5524"/>
    <w:rsid w:val="000D5B90"/>
    <w:rsid w:val="000D5D59"/>
    <w:rsid w:val="000D70C6"/>
    <w:rsid w:val="000D7523"/>
    <w:rsid w:val="000E013E"/>
    <w:rsid w:val="000E15E3"/>
    <w:rsid w:val="000E2438"/>
    <w:rsid w:val="000E2F2E"/>
    <w:rsid w:val="000E4001"/>
    <w:rsid w:val="000E42BD"/>
    <w:rsid w:val="000E4F0B"/>
    <w:rsid w:val="000E6CFF"/>
    <w:rsid w:val="000E6D63"/>
    <w:rsid w:val="000F0313"/>
    <w:rsid w:val="000F1877"/>
    <w:rsid w:val="000F248D"/>
    <w:rsid w:val="000F2DC6"/>
    <w:rsid w:val="000F2DEC"/>
    <w:rsid w:val="000F4829"/>
    <w:rsid w:val="000F48FD"/>
    <w:rsid w:val="000F4EF9"/>
    <w:rsid w:val="000F51E9"/>
    <w:rsid w:val="000F52F3"/>
    <w:rsid w:val="000F552B"/>
    <w:rsid w:val="000F5F08"/>
    <w:rsid w:val="000F761B"/>
    <w:rsid w:val="000F7D93"/>
    <w:rsid w:val="0010052D"/>
    <w:rsid w:val="00100D6E"/>
    <w:rsid w:val="00101908"/>
    <w:rsid w:val="00101A19"/>
    <w:rsid w:val="00101BC3"/>
    <w:rsid w:val="00101D0F"/>
    <w:rsid w:val="001022AA"/>
    <w:rsid w:val="00105AAF"/>
    <w:rsid w:val="00106087"/>
    <w:rsid w:val="00106E57"/>
    <w:rsid w:val="00106F5C"/>
    <w:rsid w:val="00107143"/>
    <w:rsid w:val="0010725E"/>
    <w:rsid w:val="00107A21"/>
    <w:rsid w:val="00107FC1"/>
    <w:rsid w:val="00110A64"/>
    <w:rsid w:val="00111625"/>
    <w:rsid w:val="00111BDD"/>
    <w:rsid w:val="00111C39"/>
    <w:rsid w:val="00111E5A"/>
    <w:rsid w:val="00112667"/>
    <w:rsid w:val="00113D91"/>
    <w:rsid w:val="00115C24"/>
    <w:rsid w:val="00115DEC"/>
    <w:rsid w:val="00117492"/>
    <w:rsid w:val="00120626"/>
    <w:rsid w:val="00120B6E"/>
    <w:rsid w:val="001211BB"/>
    <w:rsid w:val="0012144D"/>
    <w:rsid w:val="00121E3F"/>
    <w:rsid w:val="001223D2"/>
    <w:rsid w:val="00122721"/>
    <w:rsid w:val="00123E21"/>
    <w:rsid w:val="0012420D"/>
    <w:rsid w:val="00125290"/>
    <w:rsid w:val="00125A3F"/>
    <w:rsid w:val="001269BB"/>
    <w:rsid w:val="001310FD"/>
    <w:rsid w:val="00131695"/>
    <w:rsid w:val="0013192B"/>
    <w:rsid w:val="0013231F"/>
    <w:rsid w:val="00132660"/>
    <w:rsid w:val="00132EBE"/>
    <w:rsid w:val="00132F92"/>
    <w:rsid w:val="00133683"/>
    <w:rsid w:val="00133B1F"/>
    <w:rsid w:val="00133B37"/>
    <w:rsid w:val="00133FF5"/>
    <w:rsid w:val="00134DD4"/>
    <w:rsid w:val="00135F43"/>
    <w:rsid w:val="00136DC9"/>
    <w:rsid w:val="001373EE"/>
    <w:rsid w:val="001375C7"/>
    <w:rsid w:val="001405D2"/>
    <w:rsid w:val="00140D70"/>
    <w:rsid w:val="001414F1"/>
    <w:rsid w:val="001416A2"/>
    <w:rsid w:val="001419ED"/>
    <w:rsid w:val="00141A68"/>
    <w:rsid w:val="00142A1A"/>
    <w:rsid w:val="00143370"/>
    <w:rsid w:val="00143431"/>
    <w:rsid w:val="0014438E"/>
    <w:rsid w:val="001456BE"/>
    <w:rsid w:val="00145DFA"/>
    <w:rsid w:val="00146636"/>
    <w:rsid w:val="00146D0E"/>
    <w:rsid w:val="00147679"/>
    <w:rsid w:val="00147E75"/>
    <w:rsid w:val="0015081A"/>
    <w:rsid w:val="001515F5"/>
    <w:rsid w:val="00151881"/>
    <w:rsid w:val="00152135"/>
    <w:rsid w:val="00152ED4"/>
    <w:rsid w:val="0015509C"/>
    <w:rsid w:val="001563C3"/>
    <w:rsid w:val="001573EC"/>
    <w:rsid w:val="00157E8A"/>
    <w:rsid w:val="00160CA2"/>
    <w:rsid w:val="00162B00"/>
    <w:rsid w:val="0016437D"/>
    <w:rsid w:val="00164FD6"/>
    <w:rsid w:val="00165104"/>
    <w:rsid w:val="001652BC"/>
    <w:rsid w:val="0016540D"/>
    <w:rsid w:val="001656C9"/>
    <w:rsid w:val="00165BD7"/>
    <w:rsid w:val="00165F65"/>
    <w:rsid w:val="001662A3"/>
    <w:rsid w:val="00166477"/>
    <w:rsid w:val="00166F9D"/>
    <w:rsid w:val="00167D34"/>
    <w:rsid w:val="0017010C"/>
    <w:rsid w:val="00170E50"/>
    <w:rsid w:val="00171F2C"/>
    <w:rsid w:val="00171F9E"/>
    <w:rsid w:val="00172D89"/>
    <w:rsid w:val="001730B0"/>
    <w:rsid w:val="001731DE"/>
    <w:rsid w:val="00173202"/>
    <w:rsid w:val="00174436"/>
    <w:rsid w:val="001751F9"/>
    <w:rsid w:val="0017535F"/>
    <w:rsid w:val="0017548B"/>
    <w:rsid w:val="0017551D"/>
    <w:rsid w:val="00176527"/>
    <w:rsid w:val="001767AB"/>
    <w:rsid w:val="0017737F"/>
    <w:rsid w:val="001776AA"/>
    <w:rsid w:val="00177C6E"/>
    <w:rsid w:val="001809F7"/>
    <w:rsid w:val="0018109E"/>
    <w:rsid w:val="00181836"/>
    <w:rsid w:val="00181B87"/>
    <w:rsid w:val="00182482"/>
    <w:rsid w:val="00182BF9"/>
    <w:rsid w:val="00183175"/>
    <w:rsid w:val="001834FC"/>
    <w:rsid w:val="001840F1"/>
    <w:rsid w:val="00184376"/>
    <w:rsid w:val="0018529A"/>
    <w:rsid w:val="0018532F"/>
    <w:rsid w:val="00185800"/>
    <w:rsid w:val="00186EFA"/>
    <w:rsid w:val="001876EB"/>
    <w:rsid w:val="00187B46"/>
    <w:rsid w:val="001903BE"/>
    <w:rsid w:val="00190837"/>
    <w:rsid w:val="00190B8D"/>
    <w:rsid w:val="00190D5C"/>
    <w:rsid w:val="001920E8"/>
    <w:rsid w:val="00192E5D"/>
    <w:rsid w:val="0019319E"/>
    <w:rsid w:val="0019378E"/>
    <w:rsid w:val="00193905"/>
    <w:rsid w:val="00193F9D"/>
    <w:rsid w:val="001947A4"/>
    <w:rsid w:val="00194AF0"/>
    <w:rsid w:val="00195C0B"/>
    <w:rsid w:val="0019606E"/>
    <w:rsid w:val="001960B4"/>
    <w:rsid w:val="00197179"/>
    <w:rsid w:val="001979DC"/>
    <w:rsid w:val="001A1114"/>
    <w:rsid w:val="001A117E"/>
    <w:rsid w:val="001A180B"/>
    <w:rsid w:val="001A1A4B"/>
    <w:rsid w:val="001A23E0"/>
    <w:rsid w:val="001A2918"/>
    <w:rsid w:val="001A2E36"/>
    <w:rsid w:val="001A3381"/>
    <w:rsid w:val="001A3D4A"/>
    <w:rsid w:val="001A4BCB"/>
    <w:rsid w:val="001A50CE"/>
    <w:rsid w:val="001A5BCB"/>
    <w:rsid w:val="001A5D60"/>
    <w:rsid w:val="001A604D"/>
    <w:rsid w:val="001A7151"/>
    <w:rsid w:val="001A7E91"/>
    <w:rsid w:val="001B1F95"/>
    <w:rsid w:val="001B26BC"/>
    <w:rsid w:val="001B2821"/>
    <w:rsid w:val="001B2B72"/>
    <w:rsid w:val="001B368D"/>
    <w:rsid w:val="001B38F7"/>
    <w:rsid w:val="001B410F"/>
    <w:rsid w:val="001B4A6C"/>
    <w:rsid w:val="001B4CD2"/>
    <w:rsid w:val="001B5C9A"/>
    <w:rsid w:val="001B6D04"/>
    <w:rsid w:val="001B7442"/>
    <w:rsid w:val="001C0DB8"/>
    <w:rsid w:val="001C285A"/>
    <w:rsid w:val="001C394D"/>
    <w:rsid w:val="001C43DD"/>
    <w:rsid w:val="001C4648"/>
    <w:rsid w:val="001C4A6B"/>
    <w:rsid w:val="001C4ADE"/>
    <w:rsid w:val="001C4D5F"/>
    <w:rsid w:val="001C5AA1"/>
    <w:rsid w:val="001C6F4A"/>
    <w:rsid w:val="001C7679"/>
    <w:rsid w:val="001C7C96"/>
    <w:rsid w:val="001D0D73"/>
    <w:rsid w:val="001D3C0C"/>
    <w:rsid w:val="001D4DAC"/>
    <w:rsid w:val="001D53B3"/>
    <w:rsid w:val="001D6428"/>
    <w:rsid w:val="001D7BAB"/>
    <w:rsid w:val="001E0012"/>
    <w:rsid w:val="001E0319"/>
    <w:rsid w:val="001E090F"/>
    <w:rsid w:val="001E0D59"/>
    <w:rsid w:val="001E1153"/>
    <w:rsid w:val="001E20F9"/>
    <w:rsid w:val="001E31D6"/>
    <w:rsid w:val="001E3939"/>
    <w:rsid w:val="001E3EA0"/>
    <w:rsid w:val="001E4172"/>
    <w:rsid w:val="001E53F3"/>
    <w:rsid w:val="001E5F39"/>
    <w:rsid w:val="001E6445"/>
    <w:rsid w:val="001E6E39"/>
    <w:rsid w:val="001E6EAD"/>
    <w:rsid w:val="001E7291"/>
    <w:rsid w:val="001E7778"/>
    <w:rsid w:val="001F0880"/>
    <w:rsid w:val="001F0F75"/>
    <w:rsid w:val="001F1F52"/>
    <w:rsid w:val="001F22EF"/>
    <w:rsid w:val="001F2BE3"/>
    <w:rsid w:val="001F3A5C"/>
    <w:rsid w:val="001F3E3A"/>
    <w:rsid w:val="001F493D"/>
    <w:rsid w:val="001F5797"/>
    <w:rsid w:val="001F6B11"/>
    <w:rsid w:val="002004D5"/>
    <w:rsid w:val="00200575"/>
    <w:rsid w:val="00201718"/>
    <w:rsid w:val="00201DE7"/>
    <w:rsid w:val="0020282C"/>
    <w:rsid w:val="002037BF"/>
    <w:rsid w:val="00204FA4"/>
    <w:rsid w:val="002064F7"/>
    <w:rsid w:val="0020652D"/>
    <w:rsid w:val="002066D4"/>
    <w:rsid w:val="00207307"/>
    <w:rsid w:val="00207434"/>
    <w:rsid w:val="00210905"/>
    <w:rsid w:val="002112C9"/>
    <w:rsid w:val="0021321D"/>
    <w:rsid w:val="00213EA4"/>
    <w:rsid w:val="00214441"/>
    <w:rsid w:val="00214E50"/>
    <w:rsid w:val="00214FE9"/>
    <w:rsid w:val="00215ABC"/>
    <w:rsid w:val="00215E23"/>
    <w:rsid w:val="00216191"/>
    <w:rsid w:val="0021667C"/>
    <w:rsid w:val="00216772"/>
    <w:rsid w:val="0021678C"/>
    <w:rsid w:val="002204A1"/>
    <w:rsid w:val="00220BA0"/>
    <w:rsid w:val="00220D1C"/>
    <w:rsid w:val="00220DF3"/>
    <w:rsid w:val="0022461C"/>
    <w:rsid w:val="002249BA"/>
    <w:rsid w:val="00224EAD"/>
    <w:rsid w:val="00226DCE"/>
    <w:rsid w:val="00226FE8"/>
    <w:rsid w:val="0022767F"/>
    <w:rsid w:val="00227EBF"/>
    <w:rsid w:val="0023005B"/>
    <w:rsid w:val="00230771"/>
    <w:rsid w:val="00230F24"/>
    <w:rsid w:val="00231197"/>
    <w:rsid w:val="002313DD"/>
    <w:rsid w:val="00231AF4"/>
    <w:rsid w:val="00231E34"/>
    <w:rsid w:val="00232B12"/>
    <w:rsid w:val="00233CEA"/>
    <w:rsid w:val="00234E12"/>
    <w:rsid w:val="00234ED6"/>
    <w:rsid w:val="0023549C"/>
    <w:rsid w:val="00237848"/>
    <w:rsid w:val="00240887"/>
    <w:rsid w:val="002421A6"/>
    <w:rsid w:val="002422D7"/>
    <w:rsid w:val="00242C33"/>
    <w:rsid w:val="00243016"/>
    <w:rsid w:val="002436DA"/>
    <w:rsid w:val="0024413C"/>
    <w:rsid w:val="00246829"/>
    <w:rsid w:val="00246858"/>
    <w:rsid w:val="00246E73"/>
    <w:rsid w:val="002477B6"/>
    <w:rsid w:val="00247E5B"/>
    <w:rsid w:val="0025068F"/>
    <w:rsid w:val="0025098A"/>
    <w:rsid w:val="002514A2"/>
    <w:rsid w:val="002517AD"/>
    <w:rsid w:val="00251B3B"/>
    <w:rsid w:val="002528E7"/>
    <w:rsid w:val="00254189"/>
    <w:rsid w:val="00255A4C"/>
    <w:rsid w:val="00256E3B"/>
    <w:rsid w:val="002572A3"/>
    <w:rsid w:val="0025768C"/>
    <w:rsid w:val="00260421"/>
    <w:rsid w:val="00260909"/>
    <w:rsid w:val="002616C8"/>
    <w:rsid w:val="00261911"/>
    <w:rsid w:val="00261CAB"/>
    <w:rsid w:val="002638AE"/>
    <w:rsid w:val="002638B7"/>
    <w:rsid w:val="00263A8D"/>
    <w:rsid w:val="00265EFF"/>
    <w:rsid w:val="00266451"/>
    <w:rsid w:val="00266B33"/>
    <w:rsid w:val="002670A9"/>
    <w:rsid w:val="002671AC"/>
    <w:rsid w:val="002702C8"/>
    <w:rsid w:val="00270C1A"/>
    <w:rsid w:val="00270C2E"/>
    <w:rsid w:val="00271C1B"/>
    <w:rsid w:val="00271FAD"/>
    <w:rsid w:val="0027326F"/>
    <w:rsid w:val="0027344D"/>
    <w:rsid w:val="002734BF"/>
    <w:rsid w:val="0027405B"/>
    <w:rsid w:val="00274814"/>
    <w:rsid w:val="002750A6"/>
    <w:rsid w:val="002753A4"/>
    <w:rsid w:val="00275B6B"/>
    <w:rsid w:val="00276474"/>
    <w:rsid w:val="00276B40"/>
    <w:rsid w:val="00276BBD"/>
    <w:rsid w:val="00277C07"/>
    <w:rsid w:val="00277D01"/>
    <w:rsid w:val="0028041A"/>
    <w:rsid w:val="00280B52"/>
    <w:rsid w:val="00281AAC"/>
    <w:rsid w:val="00281D90"/>
    <w:rsid w:val="0028310D"/>
    <w:rsid w:val="002832FE"/>
    <w:rsid w:val="002833B5"/>
    <w:rsid w:val="00283D62"/>
    <w:rsid w:val="002842B4"/>
    <w:rsid w:val="002860DD"/>
    <w:rsid w:val="002863F2"/>
    <w:rsid w:val="0028694A"/>
    <w:rsid w:val="0028748E"/>
    <w:rsid w:val="00287D6D"/>
    <w:rsid w:val="00287DDD"/>
    <w:rsid w:val="002906E6"/>
    <w:rsid w:val="00291351"/>
    <w:rsid w:val="00293324"/>
    <w:rsid w:val="00293604"/>
    <w:rsid w:val="00293D28"/>
    <w:rsid w:val="00294D6B"/>
    <w:rsid w:val="0029504E"/>
    <w:rsid w:val="00295A92"/>
    <w:rsid w:val="00295CE2"/>
    <w:rsid w:val="00296916"/>
    <w:rsid w:val="002A0158"/>
    <w:rsid w:val="002A01B4"/>
    <w:rsid w:val="002A0271"/>
    <w:rsid w:val="002A06A8"/>
    <w:rsid w:val="002A0880"/>
    <w:rsid w:val="002A0F07"/>
    <w:rsid w:val="002A183F"/>
    <w:rsid w:val="002A2A4D"/>
    <w:rsid w:val="002A30B5"/>
    <w:rsid w:val="002A3622"/>
    <w:rsid w:val="002A3BF7"/>
    <w:rsid w:val="002A3DC9"/>
    <w:rsid w:val="002A43D0"/>
    <w:rsid w:val="002A4D9B"/>
    <w:rsid w:val="002A4F04"/>
    <w:rsid w:val="002A566D"/>
    <w:rsid w:val="002A7D21"/>
    <w:rsid w:val="002B11A3"/>
    <w:rsid w:val="002B197B"/>
    <w:rsid w:val="002B1C18"/>
    <w:rsid w:val="002B1E5F"/>
    <w:rsid w:val="002B1EB0"/>
    <w:rsid w:val="002B379B"/>
    <w:rsid w:val="002B37AF"/>
    <w:rsid w:val="002B392C"/>
    <w:rsid w:val="002B4800"/>
    <w:rsid w:val="002B5597"/>
    <w:rsid w:val="002B58A8"/>
    <w:rsid w:val="002B6529"/>
    <w:rsid w:val="002C0B90"/>
    <w:rsid w:val="002C1545"/>
    <w:rsid w:val="002C1C94"/>
    <w:rsid w:val="002C24A5"/>
    <w:rsid w:val="002C2AD0"/>
    <w:rsid w:val="002C3959"/>
    <w:rsid w:val="002C3C26"/>
    <w:rsid w:val="002C4139"/>
    <w:rsid w:val="002C4A5E"/>
    <w:rsid w:val="002C4ACB"/>
    <w:rsid w:val="002C64CF"/>
    <w:rsid w:val="002C64DA"/>
    <w:rsid w:val="002D5CCE"/>
    <w:rsid w:val="002D5DEA"/>
    <w:rsid w:val="002D6030"/>
    <w:rsid w:val="002D6E1F"/>
    <w:rsid w:val="002D7054"/>
    <w:rsid w:val="002D7187"/>
    <w:rsid w:val="002D7240"/>
    <w:rsid w:val="002D78A5"/>
    <w:rsid w:val="002D7FE0"/>
    <w:rsid w:val="002E002B"/>
    <w:rsid w:val="002E157F"/>
    <w:rsid w:val="002E183C"/>
    <w:rsid w:val="002E1B4E"/>
    <w:rsid w:val="002E2719"/>
    <w:rsid w:val="002E28A0"/>
    <w:rsid w:val="002E2A0B"/>
    <w:rsid w:val="002E36F2"/>
    <w:rsid w:val="002E3725"/>
    <w:rsid w:val="002E3851"/>
    <w:rsid w:val="002E3A43"/>
    <w:rsid w:val="002E46AA"/>
    <w:rsid w:val="002E4E69"/>
    <w:rsid w:val="002E5217"/>
    <w:rsid w:val="002E5B4E"/>
    <w:rsid w:val="002E5DB7"/>
    <w:rsid w:val="002E6B02"/>
    <w:rsid w:val="002E6CC5"/>
    <w:rsid w:val="002E7007"/>
    <w:rsid w:val="002E71B2"/>
    <w:rsid w:val="002E724C"/>
    <w:rsid w:val="002E7D36"/>
    <w:rsid w:val="002F075B"/>
    <w:rsid w:val="002F1268"/>
    <w:rsid w:val="002F22DD"/>
    <w:rsid w:val="002F2FA1"/>
    <w:rsid w:val="002F38FA"/>
    <w:rsid w:val="002F4384"/>
    <w:rsid w:val="002F4918"/>
    <w:rsid w:val="002F5E27"/>
    <w:rsid w:val="002F742A"/>
    <w:rsid w:val="002F7D8B"/>
    <w:rsid w:val="00300BF2"/>
    <w:rsid w:val="00301153"/>
    <w:rsid w:val="00301F19"/>
    <w:rsid w:val="00302886"/>
    <w:rsid w:val="003037D6"/>
    <w:rsid w:val="003050BA"/>
    <w:rsid w:val="0030516A"/>
    <w:rsid w:val="003057F8"/>
    <w:rsid w:val="00305D99"/>
    <w:rsid w:val="00305E78"/>
    <w:rsid w:val="00306862"/>
    <w:rsid w:val="003077A7"/>
    <w:rsid w:val="0031065B"/>
    <w:rsid w:val="0031090E"/>
    <w:rsid w:val="00311E90"/>
    <w:rsid w:val="00312983"/>
    <w:rsid w:val="00313769"/>
    <w:rsid w:val="00313E0E"/>
    <w:rsid w:val="00314050"/>
    <w:rsid w:val="00314C81"/>
    <w:rsid w:val="00316E83"/>
    <w:rsid w:val="00317382"/>
    <w:rsid w:val="003177B3"/>
    <w:rsid w:val="00321FEC"/>
    <w:rsid w:val="00322165"/>
    <w:rsid w:val="00322E1B"/>
    <w:rsid w:val="003232FC"/>
    <w:rsid w:val="003236BC"/>
    <w:rsid w:val="00323BAA"/>
    <w:rsid w:val="003248E0"/>
    <w:rsid w:val="00324F72"/>
    <w:rsid w:val="0032680F"/>
    <w:rsid w:val="00326FA1"/>
    <w:rsid w:val="0032798F"/>
    <w:rsid w:val="00327A22"/>
    <w:rsid w:val="00327B6F"/>
    <w:rsid w:val="0033199D"/>
    <w:rsid w:val="00331C16"/>
    <w:rsid w:val="00331CEA"/>
    <w:rsid w:val="00332406"/>
    <w:rsid w:val="0033277A"/>
    <w:rsid w:val="0033284A"/>
    <w:rsid w:val="00332921"/>
    <w:rsid w:val="00332B83"/>
    <w:rsid w:val="003333AE"/>
    <w:rsid w:val="0033397B"/>
    <w:rsid w:val="0033544E"/>
    <w:rsid w:val="00335685"/>
    <w:rsid w:val="003361D8"/>
    <w:rsid w:val="00336DC9"/>
    <w:rsid w:val="00336E13"/>
    <w:rsid w:val="003377B6"/>
    <w:rsid w:val="003403EC"/>
    <w:rsid w:val="0034075C"/>
    <w:rsid w:val="00340912"/>
    <w:rsid w:val="00340BC0"/>
    <w:rsid w:val="00340F6E"/>
    <w:rsid w:val="003410F6"/>
    <w:rsid w:val="003411B9"/>
    <w:rsid w:val="003420F7"/>
    <w:rsid w:val="003424BC"/>
    <w:rsid w:val="00342C72"/>
    <w:rsid w:val="003431F2"/>
    <w:rsid w:val="00343667"/>
    <w:rsid w:val="00343696"/>
    <w:rsid w:val="00343A83"/>
    <w:rsid w:val="00343B18"/>
    <w:rsid w:val="00343C86"/>
    <w:rsid w:val="003443DD"/>
    <w:rsid w:val="00344AF8"/>
    <w:rsid w:val="00344D03"/>
    <w:rsid w:val="00347430"/>
    <w:rsid w:val="003503A3"/>
    <w:rsid w:val="00350E90"/>
    <w:rsid w:val="00350F38"/>
    <w:rsid w:val="00351132"/>
    <w:rsid w:val="003517C0"/>
    <w:rsid w:val="00352A7B"/>
    <w:rsid w:val="00352C93"/>
    <w:rsid w:val="00352CCC"/>
    <w:rsid w:val="0035374C"/>
    <w:rsid w:val="0035401D"/>
    <w:rsid w:val="00354734"/>
    <w:rsid w:val="003547D1"/>
    <w:rsid w:val="003548F9"/>
    <w:rsid w:val="00355753"/>
    <w:rsid w:val="0035636E"/>
    <w:rsid w:val="00356847"/>
    <w:rsid w:val="00356C42"/>
    <w:rsid w:val="00356CC6"/>
    <w:rsid w:val="00357231"/>
    <w:rsid w:val="003576EF"/>
    <w:rsid w:val="00361899"/>
    <w:rsid w:val="00362C10"/>
    <w:rsid w:val="003635C3"/>
    <w:rsid w:val="00363B0F"/>
    <w:rsid w:val="003654B9"/>
    <w:rsid w:val="00366C01"/>
    <w:rsid w:val="003678F2"/>
    <w:rsid w:val="00367DB9"/>
    <w:rsid w:val="00367F8B"/>
    <w:rsid w:val="00370645"/>
    <w:rsid w:val="00370AB3"/>
    <w:rsid w:val="00371864"/>
    <w:rsid w:val="003718F3"/>
    <w:rsid w:val="00372386"/>
    <w:rsid w:val="003723E4"/>
    <w:rsid w:val="00372895"/>
    <w:rsid w:val="00372A0B"/>
    <w:rsid w:val="0037370B"/>
    <w:rsid w:val="0037444F"/>
    <w:rsid w:val="00374B44"/>
    <w:rsid w:val="00375581"/>
    <w:rsid w:val="0037752E"/>
    <w:rsid w:val="00380052"/>
    <w:rsid w:val="003807CF"/>
    <w:rsid w:val="00380E8D"/>
    <w:rsid w:val="003821ED"/>
    <w:rsid w:val="00382569"/>
    <w:rsid w:val="0038321C"/>
    <w:rsid w:val="0038393F"/>
    <w:rsid w:val="003844A1"/>
    <w:rsid w:val="003855D2"/>
    <w:rsid w:val="00385C8F"/>
    <w:rsid w:val="00386771"/>
    <w:rsid w:val="003869D2"/>
    <w:rsid w:val="0038732A"/>
    <w:rsid w:val="00387FD3"/>
    <w:rsid w:val="00390D82"/>
    <w:rsid w:val="003914E6"/>
    <w:rsid w:val="003916A1"/>
    <w:rsid w:val="003921F7"/>
    <w:rsid w:val="00396291"/>
    <w:rsid w:val="00396CED"/>
    <w:rsid w:val="0039727D"/>
    <w:rsid w:val="00397624"/>
    <w:rsid w:val="00397654"/>
    <w:rsid w:val="003977E7"/>
    <w:rsid w:val="003A0483"/>
    <w:rsid w:val="003A0EAD"/>
    <w:rsid w:val="003A118F"/>
    <w:rsid w:val="003A15F1"/>
    <w:rsid w:val="003A19C4"/>
    <w:rsid w:val="003A1C66"/>
    <w:rsid w:val="003A1F0A"/>
    <w:rsid w:val="003A4093"/>
    <w:rsid w:val="003A66FF"/>
    <w:rsid w:val="003A6818"/>
    <w:rsid w:val="003A68EB"/>
    <w:rsid w:val="003A6E13"/>
    <w:rsid w:val="003A71C1"/>
    <w:rsid w:val="003A7492"/>
    <w:rsid w:val="003A7D63"/>
    <w:rsid w:val="003A7D9F"/>
    <w:rsid w:val="003B0274"/>
    <w:rsid w:val="003B1D37"/>
    <w:rsid w:val="003B2351"/>
    <w:rsid w:val="003B2452"/>
    <w:rsid w:val="003B3E28"/>
    <w:rsid w:val="003B3F0E"/>
    <w:rsid w:val="003B599D"/>
    <w:rsid w:val="003B6DD4"/>
    <w:rsid w:val="003B7164"/>
    <w:rsid w:val="003B76D0"/>
    <w:rsid w:val="003B77E4"/>
    <w:rsid w:val="003B7E8B"/>
    <w:rsid w:val="003C05DC"/>
    <w:rsid w:val="003C1125"/>
    <w:rsid w:val="003C143E"/>
    <w:rsid w:val="003C1BEA"/>
    <w:rsid w:val="003C2332"/>
    <w:rsid w:val="003C2697"/>
    <w:rsid w:val="003C2A41"/>
    <w:rsid w:val="003C32C0"/>
    <w:rsid w:val="003C34E4"/>
    <w:rsid w:val="003C46BF"/>
    <w:rsid w:val="003C46F9"/>
    <w:rsid w:val="003C475B"/>
    <w:rsid w:val="003C52B2"/>
    <w:rsid w:val="003C5D13"/>
    <w:rsid w:val="003C65E9"/>
    <w:rsid w:val="003C69FF"/>
    <w:rsid w:val="003C7DE8"/>
    <w:rsid w:val="003D0B2F"/>
    <w:rsid w:val="003D0DF2"/>
    <w:rsid w:val="003D10BD"/>
    <w:rsid w:val="003D1FA0"/>
    <w:rsid w:val="003D3245"/>
    <w:rsid w:val="003D364F"/>
    <w:rsid w:val="003D36C7"/>
    <w:rsid w:val="003D382E"/>
    <w:rsid w:val="003D43F3"/>
    <w:rsid w:val="003D4A8F"/>
    <w:rsid w:val="003D4D1A"/>
    <w:rsid w:val="003D60D7"/>
    <w:rsid w:val="003D7847"/>
    <w:rsid w:val="003E0696"/>
    <w:rsid w:val="003E09EC"/>
    <w:rsid w:val="003E0FE4"/>
    <w:rsid w:val="003E1A38"/>
    <w:rsid w:val="003E2F31"/>
    <w:rsid w:val="003E4613"/>
    <w:rsid w:val="003E4CF2"/>
    <w:rsid w:val="003E4EAA"/>
    <w:rsid w:val="003E6E08"/>
    <w:rsid w:val="003E75D1"/>
    <w:rsid w:val="003E7711"/>
    <w:rsid w:val="003F246A"/>
    <w:rsid w:val="003F26A2"/>
    <w:rsid w:val="003F29E6"/>
    <w:rsid w:val="003F31BC"/>
    <w:rsid w:val="003F3CDE"/>
    <w:rsid w:val="003F4A78"/>
    <w:rsid w:val="003F4C14"/>
    <w:rsid w:val="003F4CDA"/>
    <w:rsid w:val="003F5849"/>
    <w:rsid w:val="003F5E54"/>
    <w:rsid w:val="003F6D67"/>
    <w:rsid w:val="003F6E38"/>
    <w:rsid w:val="003F7418"/>
    <w:rsid w:val="003F748D"/>
    <w:rsid w:val="00400B0D"/>
    <w:rsid w:val="004012AA"/>
    <w:rsid w:val="004012B9"/>
    <w:rsid w:val="004015EF"/>
    <w:rsid w:val="004019D3"/>
    <w:rsid w:val="00402261"/>
    <w:rsid w:val="004026CF"/>
    <w:rsid w:val="00402F98"/>
    <w:rsid w:val="004034E3"/>
    <w:rsid w:val="00403549"/>
    <w:rsid w:val="004041BA"/>
    <w:rsid w:val="0040448A"/>
    <w:rsid w:val="00404B2C"/>
    <w:rsid w:val="00404BE9"/>
    <w:rsid w:val="00405EE0"/>
    <w:rsid w:val="0040639F"/>
    <w:rsid w:val="00406D54"/>
    <w:rsid w:val="00407BAA"/>
    <w:rsid w:val="00407BE8"/>
    <w:rsid w:val="004101C4"/>
    <w:rsid w:val="00410735"/>
    <w:rsid w:val="00410836"/>
    <w:rsid w:val="004108F4"/>
    <w:rsid w:val="00410D08"/>
    <w:rsid w:val="00411F10"/>
    <w:rsid w:val="0041287C"/>
    <w:rsid w:val="00412A6E"/>
    <w:rsid w:val="00412DE2"/>
    <w:rsid w:val="004138AC"/>
    <w:rsid w:val="0041625F"/>
    <w:rsid w:val="004167BD"/>
    <w:rsid w:val="004170DC"/>
    <w:rsid w:val="00417FE8"/>
    <w:rsid w:val="00420860"/>
    <w:rsid w:val="00420B45"/>
    <w:rsid w:val="00420BD3"/>
    <w:rsid w:val="0042111F"/>
    <w:rsid w:val="004228B6"/>
    <w:rsid w:val="0042294A"/>
    <w:rsid w:val="0042319D"/>
    <w:rsid w:val="004234A3"/>
    <w:rsid w:val="004249B3"/>
    <w:rsid w:val="004260D4"/>
    <w:rsid w:val="0042642E"/>
    <w:rsid w:val="00426ADC"/>
    <w:rsid w:val="00426D91"/>
    <w:rsid w:val="00426E6C"/>
    <w:rsid w:val="00430481"/>
    <w:rsid w:val="004306C7"/>
    <w:rsid w:val="00430BD9"/>
    <w:rsid w:val="00430F16"/>
    <w:rsid w:val="0043132B"/>
    <w:rsid w:val="004325CE"/>
    <w:rsid w:val="00432B74"/>
    <w:rsid w:val="00433DDF"/>
    <w:rsid w:val="00434E2D"/>
    <w:rsid w:val="00435EB9"/>
    <w:rsid w:val="00436376"/>
    <w:rsid w:val="00436C48"/>
    <w:rsid w:val="0043718A"/>
    <w:rsid w:val="00437563"/>
    <w:rsid w:val="0043773A"/>
    <w:rsid w:val="0043779F"/>
    <w:rsid w:val="00440434"/>
    <w:rsid w:val="004405CF"/>
    <w:rsid w:val="004407D9"/>
    <w:rsid w:val="00440AFF"/>
    <w:rsid w:val="0044109E"/>
    <w:rsid w:val="00442E19"/>
    <w:rsid w:val="00442E88"/>
    <w:rsid w:val="004435F9"/>
    <w:rsid w:val="00443DC1"/>
    <w:rsid w:val="00444111"/>
    <w:rsid w:val="00444D82"/>
    <w:rsid w:val="00447496"/>
    <w:rsid w:val="004476DF"/>
    <w:rsid w:val="00447DC7"/>
    <w:rsid w:val="00451CFB"/>
    <w:rsid w:val="00451DF8"/>
    <w:rsid w:val="00451F1E"/>
    <w:rsid w:val="00452A79"/>
    <w:rsid w:val="00453494"/>
    <w:rsid w:val="00453905"/>
    <w:rsid w:val="004566D9"/>
    <w:rsid w:val="004603DE"/>
    <w:rsid w:val="004608B2"/>
    <w:rsid w:val="00460F86"/>
    <w:rsid w:val="004611E4"/>
    <w:rsid w:val="00461929"/>
    <w:rsid w:val="00461E72"/>
    <w:rsid w:val="00462048"/>
    <w:rsid w:val="00462715"/>
    <w:rsid w:val="004628C1"/>
    <w:rsid w:val="00463343"/>
    <w:rsid w:val="004635A1"/>
    <w:rsid w:val="00464999"/>
    <w:rsid w:val="00465040"/>
    <w:rsid w:val="00465C9F"/>
    <w:rsid w:val="00465D08"/>
    <w:rsid w:val="00466053"/>
    <w:rsid w:val="0046607B"/>
    <w:rsid w:val="00467760"/>
    <w:rsid w:val="00470380"/>
    <w:rsid w:val="004705C1"/>
    <w:rsid w:val="004707D3"/>
    <w:rsid w:val="00470A5F"/>
    <w:rsid w:val="00470AD8"/>
    <w:rsid w:val="004711AC"/>
    <w:rsid w:val="0047188C"/>
    <w:rsid w:val="004728C1"/>
    <w:rsid w:val="00473071"/>
    <w:rsid w:val="00473323"/>
    <w:rsid w:val="0047366C"/>
    <w:rsid w:val="0047379F"/>
    <w:rsid w:val="00473F8D"/>
    <w:rsid w:val="004742CA"/>
    <w:rsid w:val="0047493B"/>
    <w:rsid w:val="00474CBE"/>
    <w:rsid w:val="00474E3A"/>
    <w:rsid w:val="0047505E"/>
    <w:rsid w:val="00475743"/>
    <w:rsid w:val="00475E73"/>
    <w:rsid w:val="0047639F"/>
    <w:rsid w:val="00476684"/>
    <w:rsid w:val="00477222"/>
    <w:rsid w:val="004779AA"/>
    <w:rsid w:val="00480150"/>
    <w:rsid w:val="004801A0"/>
    <w:rsid w:val="0048055E"/>
    <w:rsid w:val="0048129C"/>
    <w:rsid w:val="004826BA"/>
    <w:rsid w:val="004828CA"/>
    <w:rsid w:val="004831AB"/>
    <w:rsid w:val="00483627"/>
    <w:rsid w:val="0048393E"/>
    <w:rsid w:val="00483F73"/>
    <w:rsid w:val="0048440A"/>
    <w:rsid w:val="00485D80"/>
    <w:rsid w:val="00486F6F"/>
    <w:rsid w:val="00487467"/>
    <w:rsid w:val="00487A23"/>
    <w:rsid w:val="00487E6C"/>
    <w:rsid w:val="00490A97"/>
    <w:rsid w:val="004917E1"/>
    <w:rsid w:val="00492C4B"/>
    <w:rsid w:val="00493080"/>
    <w:rsid w:val="00494707"/>
    <w:rsid w:val="004957A0"/>
    <w:rsid w:val="00495D02"/>
    <w:rsid w:val="0049758F"/>
    <w:rsid w:val="004979B6"/>
    <w:rsid w:val="004A02D9"/>
    <w:rsid w:val="004A0385"/>
    <w:rsid w:val="004A0582"/>
    <w:rsid w:val="004A248B"/>
    <w:rsid w:val="004A259E"/>
    <w:rsid w:val="004A3532"/>
    <w:rsid w:val="004A36EC"/>
    <w:rsid w:val="004A37F5"/>
    <w:rsid w:val="004A46C4"/>
    <w:rsid w:val="004A4E91"/>
    <w:rsid w:val="004A5011"/>
    <w:rsid w:val="004A65A8"/>
    <w:rsid w:val="004A6C23"/>
    <w:rsid w:val="004A72C6"/>
    <w:rsid w:val="004A74D5"/>
    <w:rsid w:val="004B0F42"/>
    <w:rsid w:val="004B28F3"/>
    <w:rsid w:val="004B4524"/>
    <w:rsid w:val="004B65D8"/>
    <w:rsid w:val="004B6DB4"/>
    <w:rsid w:val="004B7B2C"/>
    <w:rsid w:val="004B7E46"/>
    <w:rsid w:val="004C0B06"/>
    <w:rsid w:val="004C2AE6"/>
    <w:rsid w:val="004C2E08"/>
    <w:rsid w:val="004C4965"/>
    <w:rsid w:val="004C5A2B"/>
    <w:rsid w:val="004C66E8"/>
    <w:rsid w:val="004C74DE"/>
    <w:rsid w:val="004C7D9F"/>
    <w:rsid w:val="004D08DC"/>
    <w:rsid w:val="004D1376"/>
    <w:rsid w:val="004D1AC6"/>
    <w:rsid w:val="004D1F4E"/>
    <w:rsid w:val="004D2686"/>
    <w:rsid w:val="004D2898"/>
    <w:rsid w:val="004D2A3C"/>
    <w:rsid w:val="004D2A43"/>
    <w:rsid w:val="004D5E40"/>
    <w:rsid w:val="004D60EE"/>
    <w:rsid w:val="004D61CB"/>
    <w:rsid w:val="004D633B"/>
    <w:rsid w:val="004D7760"/>
    <w:rsid w:val="004D7893"/>
    <w:rsid w:val="004D7D78"/>
    <w:rsid w:val="004E2FFF"/>
    <w:rsid w:val="004E38DF"/>
    <w:rsid w:val="004E4376"/>
    <w:rsid w:val="004E49D0"/>
    <w:rsid w:val="004E5D22"/>
    <w:rsid w:val="004E6024"/>
    <w:rsid w:val="004E6A9D"/>
    <w:rsid w:val="004E6E7F"/>
    <w:rsid w:val="004E7D35"/>
    <w:rsid w:val="004F02A3"/>
    <w:rsid w:val="004F09C3"/>
    <w:rsid w:val="004F0CDD"/>
    <w:rsid w:val="004F2480"/>
    <w:rsid w:val="004F2FFA"/>
    <w:rsid w:val="004F34E3"/>
    <w:rsid w:val="004F3646"/>
    <w:rsid w:val="004F3C87"/>
    <w:rsid w:val="004F51E0"/>
    <w:rsid w:val="004F591A"/>
    <w:rsid w:val="004F5DCC"/>
    <w:rsid w:val="004F6110"/>
    <w:rsid w:val="004F6A39"/>
    <w:rsid w:val="004F70CD"/>
    <w:rsid w:val="004F747C"/>
    <w:rsid w:val="004F7BE6"/>
    <w:rsid w:val="005005B1"/>
    <w:rsid w:val="005006C5"/>
    <w:rsid w:val="00500CE5"/>
    <w:rsid w:val="00501423"/>
    <w:rsid w:val="00502372"/>
    <w:rsid w:val="005024AC"/>
    <w:rsid w:val="00502D32"/>
    <w:rsid w:val="0050353E"/>
    <w:rsid w:val="005036F2"/>
    <w:rsid w:val="00503EEF"/>
    <w:rsid w:val="00504FE5"/>
    <w:rsid w:val="00505EAF"/>
    <w:rsid w:val="0050642F"/>
    <w:rsid w:val="0050741C"/>
    <w:rsid w:val="0051113F"/>
    <w:rsid w:val="00511576"/>
    <w:rsid w:val="00511DDB"/>
    <w:rsid w:val="00514179"/>
    <w:rsid w:val="005141C1"/>
    <w:rsid w:val="00514424"/>
    <w:rsid w:val="0051544D"/>
    <w:rsid w:val="00515539"/>
    <w:rsid w:val="00515BDF"/>
    <w:rsid w:val="00516D4E"/>
    <w:rsid w:val="00517675"/>
    <w:rsid w:val="00517921"/>
    <w:rsid w:val="00517CC9"/>
    <w:rsid w:val="00517F75"/>
    <w:rsid w:val="00521036"/>
    <w:rsid w:val="00521278"/>
    <w:rsid w:val="00521575"/>
    <w:rsid w:val="005220CD"/>
    <w:rsid w:val="00522708"/>
    <w:rsid w:val="00524EC4"/>
    <w:rsid w:val="005257E1"/>
    <w:rsid w:val="00526CD7"/>
    <w:rsid w:val="005277C8"/>
    <w:rsid w:val="00530EED"/>
    <w:rsid w:val="00531932"/>
    <w:rsid w:val="00532AED"/>
    <w:rsid w:val="00533AEC"/>
    <w:rsid w:val="00533BD4"/>
    <w:rsid w:val="00534124"/>
    <w:rsid w:val="005351CD"/>
    <w:rsid w:val="00535F67"/>
    <w:rsid w:val="0053753D"/>
    <w:rsid w:val="00540DA7"/>
    <w:rsid w:val="005414C0"/>
    <w:rsid w:val="005415F3"/>
    <w:rsid w:val="00541652"/>
    <w:rsid w:val="00542E2E"/>
    <w:rsid w:val="005436EB"/>
    <w:rsid w:val="00543B74"/>
    <w:rsid w:val="00544E32"/>
    <w:rsid w:val="00544E81"/>
    <w:rsid w:val="00545536"/>
    <w:rsid w:val="00545C1C"/>
    <w:rsid w:val="00551B42"/>
    <w:rsid w:val="005520D1"/>
    <w:rsid w:val="00552497"/>
    <w:rsid w:val="00552BD5"/>
    <w:rsid w:val="00553952"/>
    <w:rsid w:val="00554029"/>
    <w:rsid w:val="005541B0"/>
    <w:rsid w:val="00554F80"/>
    <w:rsid w:val="00556591"/>
    <w:rsid w:val="00556C79"/>
    <w:rsid w:val="00557288"/>
    <w:rsid w:val="00557F25"/>
    <w:rsid w:val="00560F00"/>
    <w:rsid w:val="00563853"/>
    <w:rsid w:val="0056442F"/>
    <w:rsid w:val="005656D0"/>
    <w:rsid w:val="00567361"/>
    <w:rsid w:val="005676C8"/>
    <w:rsid w:val="0057111A"/>
    <w:rsid w:val="00571DD5"/>
    <w:rsid w:val="00572093"/>
    <w:rsid w:val="00572E1A"/>
    <w:rsid w:val="005736EA"/>
    <w:rsid w:val="005738F5"/>
    <w:rsid w:val="00573DAE"/>
    <w:rsid w:val="00574175"/>
    <w:rsid w:val="00574445"/>
    <w:rsid w:val="00574579"/>
    <w:rsid w:val="00574FB5"/>
    <w:rsid w:val="0057600B"/>
    <w:rsid w:val="005775B2"/>
    <w:rsid w:val="00577BFC"/>
    <w:rsid w:val="00580C5C"/>
    <w:rsid w:val="005810B2"/>
    <w:rsid w:val="0058131F"/>
    <w:rsid w:val="0058137C"/>
    <w:rsid w:val="00581AB9"/>
    <w:rsid w:val="00581CB9"/>
    <w:rsid w:val="00581CCF"/>
    <w:rsid w:val="005820C0"/>
    <w:rsid w:val="0058223A"/>
    <w:rsid w:val="005823B8"/>
    <w:rsid w:val="005827F7"/>
    <w:rsid w:val="00582F0F"/>
    <w:rsid w:val="00583417"/>
    <w:rsid w:val="005839C2"/>
    <w:rsid w:val="00583BA8"/>
    <w:rsid w:val="00583C16"/>
    <w:rsid w:val="00584F0B"/>
    <w:rsid w:val="00585765"/>
    <w:rsid w:val="005869A1"/>
    <w:rsid w:val="00587465"/>
    <w:rsid w:val="0059081B"/>
    <w:rsid w:val="0059091E"/>
    <w:rsid w:val="00590D1F"/>
    <w:rsid w:val="005911ED"/>
    <w:rsid w:val="00591F84"/>
    <w:rsid w:val="00592870"/>
    <w:rsid w:val="00595608"/>
    <w:rsid w:val="00596054"/>
    <w:rsid w:val="0059675D"/>
    <w:rsid w:val="00597AD6"/>
    <w:rsid w:val="00597CC4"/>
    <w:rsid w:val="005A021D"/>
    <w:rsid w:val="005A02A6"/>
    <w:rsid w:val="005A03E8"/>
    <w:rsid w:val="005A06AD"/>
    <w:rsid w:val="005A0895"/>
    <w:rsid w:val="005A284B"/>
    <w:rsid w:val="005A2F34"/>
    <w:rsid w:val="005A3248"/>
    <w:rsid w:val="005A50AE"/>
    <w:rsid w:val="005A6B13"/>
    <w:rsid w:val="005A7717"/>
    <w:rsid w:val="005B0361"/>
    <w:rsid w:val="005B07AA"/>
    <w:rsid w:val="005B0842"/>
    <w:rsid w:val="005B16D8"/>
    <w:rsid w:val="005B18A8"/>
    <w:rsid w:val="005B1B4A"/>
    <w:rsid w:val="005B34FD"/>
    <w:rsid w:val="005B3977"/>
    <w:rsid w:val="005B4892"/>
    <w:rsid w:val="005B531C"/>
    <w:rsid w:val="005B560E"/>
    <w:rsid w:val="005B5888"/>
    <w:rsid w:val="005B58B7"/>
    <w:rsid w:val="005B5A7A"/>
    <w:rsid w:val="005B5F60"/>
    <w:rsid w:val="005B676C"/>
    <w:rsid w:val="005B7109"/>
    <w:rsid w:val="005B7206"/>
    <w:rsid w:val="005B7325"/>
    <w:rsid w:val="005B7654"/>
    <w:rsid w:val="005B79E0"/>
    <w:rsid w:val="005C0AA8"/>
    <w:rsid w:val="005C0CB7"/>
    <w:rsid w:val="005C1C63"/>
    <w:rsid w:val="005C2039"/>
    <w:rsid w:val="005C2574"/>
    <w:rsid w:val="005C3279"/>
    <w:rsid w:val="005C381F"/>
    <w:rsid w:val="005C3A84"/>
    <w:rsid w:val="005C40CC"/>
    <w:rsid w:val="005C52D7"/>
    <w:rsid w:val="005C593D"/>
    <w:rsid w:val="005C701F"/>
    <w:rsid w:val="005C71EE"/>
    <w:rsid w:val="005C752C"/>
    <w:rsid w:val="005C7910"/>
    <w:rsid w:val="005C7A77"/>
    <w:rsid w:val="005D27A6"/>
    <w:rsid w:val="005D29A0"/>
    <w:rsid w:val="005D2FD5"/>
    <w:rsid w:val="005D4187"/>
    <w:rsid w:val="005D4600"/>
    <w:rsid w:val="005D56E3"/>
    <w:rsid w:val="005D5894"/>
    <w:rsid w:val="005D72C5"/>
    <w:rsid w:val="005E006B"/>
    <w:rsid w:val="005E060A"/>
    <w:rsid w:val="005E27CA"/>
    <w:rsid w:val="005E29C4"/>
    <w:rsid w:val="005E30BA"/>
    <w:rsid w:val="005E3962"/>
    <w:rsid w:val="005E3F90"/>
    <w:rsid w:val="005E51C8"/>
    <w:rsid w:val="005E56D0"/>
    <w:rsid w:val="005E59B6"/>
    <w:rsid w:val="005E6885"/>
    <w:rsid w:val="005E6C58"/>
    <w:rsid w:val="005E7185"/>
    <w:rsid w:val="005F00F3"/>
    <w:rsid w:val="005F207A"/>
    <w:rsid w:val="005F49D3"/>
    <w:rsid w:val="005F4D6F"/>
    <w:rsid w:val="005F5796"/>
    <w:rsid w:val="005F6215"/>
    <w:rsid w:val="005F6685"/>
    <w:rsid w:val="005F72DE"/>
    <w:rsid w:val="005F7CE8"/>
    <w:rsid w:val="006006F9"/>
    <w:rsid w:val="00600CEF"/>
    <w:rsid w:val="00601456"/>
    <w:rsid w:val="0060331D"/>
    <w:rsid w:val="0060387C"/>
    <w:rsid w:val="00603A79"/>
    <w:rsid w:val="00603F3F"/>
    <w:rsid w:val="006042BA"/>
    <w:rsid w:val="006043F5"/>
    <w:rsid w:val="0060514B"/>
    <w:rsid w:val="00606B5D"/>
    <w:rsid w:val="00606FA4"/>
    <w:rsid w:val="006074A5"/>
    <w:rsid w:val="006075F4"/>
    <w:rsid w:val="0060782F"/>
    <w:rsid w:val="00610F08"/>
    <w:rsid w:val="0061129A"/>
    <w:rsid w:val="00611FCE"/>
    <w:rsid w:val="006120CB"/>
    <w:rsid w:val="00613B8D"/>
    <w:rsid w:val="00614354"/>
    <w:rsid w:val="00614C69"/>
    <w:rsid w:val="006169F8"/>
    <w:rsid w:val="006172C5"/>
    <w:rsid w:val="00620068"/>
    <w:rsid w:val="006203D4"/>
    <w:rsid w:val="00620470"/>
    <w:rsid w:val="006218FC"/>
    <w:rsid w:val="00623392"/>
    <w:rsid w:val="00623B74"/>
    <w:rsid w:val="00624006"/>
    <w:rsid w:val="00624A4D"/>
    <w:rsid w:val="00625D84"/>
    <w:rsid w:val="00626467"/>
    <w:rsid w:val="006268A1"/>
    <w:rsid w:val="006273C8"/>
    <w:rsid w:val="00627634"/>
    <w:rsid w:val="006310FE"/>
    <w:rsid w:val="00631EFE"/>
    <w:rsid w:val="00631F71"/>
    <w:rsid w:val="00633186"/>
    <w:rsid w:val="00634DAD"/>
    <w:rsid w:val="006352F6"/>
    <w:rsid w:val="0063586B"/>
    <w:rsid w:val="0063702A"/>
    <w:rsid w:val="00637A71"/>
    <w:rsid w:val="00637CCD"/>
    <w:rsid w:val="006404A4"/>
    <w:rsid w:val="0064099E"/>
    <w:rsid w:val="006409C8"/>
    <w:rsid w:val="00641802"/>
    <w:rsid w:val="00641DC9"/>
    <w:rsid w:val="00642601"/>
    <w:rsid w:val="00643114"/>
    <w:rsid w:val="00643CB6"/>
    <w:rsid w:val="00643E3F"/>
    <w:rsid w:val="00644912"/>
    <w:rsid w:val="00644ABF"/>
    <w:rsid w:val="00645109"/>
    <w:rsid w:val="006456A6"/>
    <w:rsid w:val="006457EB"/>
    <w:rsid w:val="0064594A"/>
    <w:rsid w:val="00645CEF"/>
    <w:rsid w:val="00645FF8"/>
    <w:rsid w:val="006462D6"/>
    <w:rsid w:val="00646504"/>
    <w:rsid w:val="00646D93"/>
    <w:rsid w:val="0064757C"/>
    <w:rsid w:val="00647ADB"/>
    <w:rsid w:val="006513AC"/>
    <w:rsid w:val="0065147F"/>
    <w:rsid w:val="00651860"/>
    <w:rsid w:val="006520F9"/>
    <w:rsid w:val="006523A2"/>
    <w:rsid w:val="006526B8"/>
    <w:rsid w:val="00652A90"/>
    <w:rsid w:val="00652DD2"/>
    <w:rsid w:val="006531CB"/>
    <w:rsid w:val="00653B3B"/>
    <w:rsid w:val="0065401E"/>
    <w:rsid w:val="00654895"/>
    <w:rsid w:val="00654F0F"/>
    <w:rsid w:val="00655E88"/>
    <w:rsid w:val="00656B6E"/>
    <w:rsid w:val="00656FED"/>
    <w:rsid w:val="006572E4"/>
    <w:rsid w:val="00657BBF"/>
    <w:rsid w:val="006617B6"/>
    <w:rsid w:val="00661B47"/>
    <w:rsid w:val="00661F2E"/>
    <w:rsid w:val="0066280E"/>
    <w:rsid w:val="00662ACD"/>
    <w:rsid w:val="00662E22"/>
    <w:rsid w:val="00663737"/>
    <w:rsid w:val="00663B99"/>
    <w:rsid w:val="00663F96"/>
    <w:rsid w:val="006652BA"/>
    <w:rsid w:val="00665725"/>
    <w:rsid w:val="00665DB4"/>
    <w:rsid w:val="006665E7"/>
    <w:rsid w:val="00666986"/>
    <w:rsid w:val="00666AF8"/>
    <w:rsid w:val="00666B58"/>
    <w:rsid w:val="00666BC1"/>
    <w:rsid w:val="00666F5F"/>
    <w:rsid w:val="00667D69"/>
    <w:rsid w:val="00667EC6"/>
    <w:rsid w:val="00670C10"/>
    <w:rsid w:val="00670D9D"/>
    <w:rsid w:val="006716FD"/>
    <w:rsid w:val="00671D51"/>
    <w:rsid w:val="0067203A"/>
    <w:rsid w:val="00673194"/>
    <w:rsid w:val="00674973"/>
    <w:rsid w:val="00675011"/>
    <w:rsid w:val="00675158"/>
    <w:rsid w:val="006759FA"/>
    <w:rsid w:val="00675EE0"/>
    <w:rsid w:val="00677479"/>
    <w:rsid w:val="00677E0C"/>
    <w:rsid w:val="006801D8"/>
    <w:rsid w:val="00680915"/>
    <w:rsid w:val="006809E7"/>
    <w:rsid w:val="00680CA0"/>
    <w:rsid w:val="00681320"/>
    <w:rsid w:val="00681E46"/>
    <w:rsid w:val="00682053"/>
    <w:rsid w:val="00682244"/>
    <w:rsid w:val="00682BC9"/>
    <w:rsid w:val="00684093"/>
    <w:rsid w:val="00684438"/>
    <w:rsid w:val="00684563"/>
    <w:rsid w:val="00684811"/>
    <w:rsid w:val="00684B23"/>
    <w:rsid w:val="00684CDF"/>
    <w:rsid w:val="00684EEA"/>
    <w:rsid w:val="00687435"/>
    <w:rsid w:val="00690691"/>
    <w:rsid w:val="00690ACF"/>
    <w:rsid w:val="00690D34"/>
    <w:rsid w:val="006910BB"/>
    <w:rsid w:val="006910F0"/>
    <w:rsid w:val="00691B7B"/>
    <w:rsid w:val="00691C06"/>
    <w:rsid w:val="00693CA3"/>
    <w:rsid w:val="00695E57"/>
    <w:rsid w:val="00696057"/>
    <w:rsid w:val="00696789"/>
    <w:rsid w:val="00696F8F"/>
    <w:rsid w:val="0069760B"/>
    <w:rsid w:val="00697BBA"/>
    <w:rsid w:val="00697E1B"/>
    <w:rsid w:val="006A010B"/>
    <w:rsid w:val="006A0197"/>
    <w:rsid w:val="006A18F2"/>
    <w:rsid w:val="006A219D"/>
    <w:rsid w:val="006A28E9"/>
    <w:rsid w:val="006A2B7A"/>
    <w:rsid w:val="006A323E"/>
    <w:rsid w:val="006A368D"/>
    <w:rsid w:val="006A385F"/>
    <w:rsid w:val="006A3C82"/>
    <w:rsid w:val="006A4150"/>
    <w:rsid w:val="006A4B3A"/>
    <w:rsid w:val="006A7711"/>
    <w:rsid w:val="006B0275"/>
    <w:rsid w:val="006B086E"/>
    <w:rsid w:val="006B0A7B"/>
    <w:rsid w:val="006B102B"/>
    <w:rsid w:val="006B1585"/>
    <w:rsid w:val="006B15C8"/>
    <w:rsid w:val="006B256C"/>
    <w:rsid w:val="006B3A65"/>
    <w:rsid w:val="006B47B2"/>
    <w:rsid w:val="006B5437"/>
    <w:rsid w:val="006B608A"/>
    <w:rsid w:val="006B64F3"/>
    <w:rsid w:val="006B66E1"/>
    <w:rsid w:val="006B6845"/>
    <w:rsid w:val="006B7A9F"/>
    <w:rsid w:val="006B7CE4"/>
    <w:rsid w:val="006B7DB4"/>
    <w:rsid w:val="006C04EF"/>
    <w:rsid w:val="006C158D"/>
    <w:rsid w:val="006C227A"/>
    <w:rsid w:val="006C2338"/>
    <w:rsid w:val="006C2733"/>
    <w:rsid w:val="006C2A3F"/>
    <w:rsid w:val="006C2C23"/>
    <w:rsid w:val="006C3865"/>
    <w:rsid w:val="006C46EA"/>
    <w:rsid w:val="006C4EEE"/>
    <w:rsid w:val="006C6350"/>
    <w:rsid w:val="006C726B"/>
    <w:rsid w:val="006C799E"/>
    <w:rsid w:val="006D0030"/>
    <w:rsid w:val="006D0276"/>
    <w:rsid w:val="006D105B"/>
    <w:rsid w:val="006D1929"/>
    <w:rsid w:val="006D1BCE"/>
    <w:rsid w:val="006D3485"/>
    <w:rsid w:val="006D410F"/>
    <w:rsid w:val="006D4161"/>
    <w:rsid w:val="006D422A"/>
    <w:rsid w:val="006D423E"/>
    <w:rsid w:val="006D46DB"/>
    <w:rsid w:val="006D4749"/>
    <w:rsid w:val="006D47A7"/>
    <w:rsid w:val="006D520D"/>
    <w:rsid w:val="006D56A3"/>
    <w:rsid w:val="006D572B"/>
    <w:rsid w:val="006D57DE"/>
    <w:rsid w:val="006D67F9"/>
    <w:rsid w:val="006D6C18"/>
    <w:rsid w:val="006D6D45"/>
    <w:rsid w:val="006D6F25"/>
    <w:rsid w:val="006D786C"/>
    <w:rsid w:val="006E0220"/>
    <w:rsid w:val="006E0826"/>
    <w:rsid w:val="006E0DB0"/>
    <w:rsid w:val="006E163C"/>
    <w:rsid w:val="006E182A"/>
    <w:rsid w:val="006E2CC2"/>
    <w:rsid w:val="006E2E8A"/>
    <w:rsid w:val="006E3435"/>
    <w:rsid w:val="006E4436"/>
    <w:rsid w:val="006E574B"/>
    <w:rsid w:val="006E6BB2"/>
    <w:rsid w:val="006E71F4"/>
    <w:rsid w:val="006E7D9C"/>
    <w:rsid w:val="006F01F4"/>
    <w:rsid w:val="006F0212"/>
    <w:rsid w:val="006F202A"/>
    <w:rsid w:val="006F285F"/>
    <w:rsid w:val="006F2FB3"/>
    <w:rsid w:val="006F30E1"/>
    <w:rsid w:val="006F332C"/>
    <w:rsid w:val="006F347B"/>
    <w:rsid w:val="006F4B41"/>
    <w:rsid w:val="006F4E70"/>
    <w:rsid w:val="006F4F8F"/>
    <w:rsid w:val="006F5320"/>
    <w:rsid w:val="006F5F5A"/>
    <w:rsid w:val="006F61E5"/>
    <w:rsid w:val="006F72BA"/>
    <w:rsid w:val="007005C9"/>
    <w:rsid w:val="00701103"/>
    <w:rsid w:val="007013F9"/>
    <w:rsid w:val="00701CBD"/>
    <w:rsid w:val="00702B33"/>
    <w:rsid w:val="00702D89"/>
    <w:rsid w:val="00703D01"/>
    <w:rsid w:val="00704338"/>
    <w:rsid w:val="007043F0"/>
    <w:rsid w:val="0070539E"/>
    <w:rsid w:val="007053D7"/>
    <w:rsid w:val="0070541D"/>
    <w:rsid w:val="00706DE9"/>
    <w:rsid w:val="00707551"/>
    <w:rsid w:val="00710153"/>
    <w:rsid w:val="007121D5"/>
    <w:rsid w:val="00712669"/>
    <w:rsid w:val="0071310A"/>
    <w:rsid w:val="0071586B"/>
    <w:rsid w:val="00716A24"/>
    <w:rsid w:val="00717646"/>
    <w:rsid w:val="007204CE"/>
    <w:rsid w:val="007206DB"/>
    <w:rsid w:val="00720916"/>
    <w:rsid w:val="00720CF3"/>
    <w:rsid w:val="007214FF"/>
    <w:rsid w:val="00721D0E"/>
    <w:rsid w:val="00722148"/>
    <w:rsid w:val="00722156"/>
    <w:rsid w:val="00722FDA"/>
    <w:rsid w:val="007235A9"/>
    <w:rsid w:val="00723DFB"/>
    <w:rsid w:val="0072423D"/>
    <w:rsid w:val="00724555"/>
    <w:rsid w:val="0072458B"/>
    <w:rsid w:val="00724780"/>
    <w:rsid w:val="007249E8"/>
    <w:rsid w:val="007251F9"/>
    <w:rsid w:val="00725C93"/>
    <w:rsid w:val="00726D1B"/>
    <w:rsid w:val="00727F29"/>
    <w:rsid w:val="00727FEE"/>
    <w:rsid w:val="0073015A"/>
    <w:rsid w:val="00730905"/>
    <w:rsid w:val="007314AD"/>
    <w:rsid w:val="007316EA"/>
    <w:rsid w:val="00731C77"/>
    <w:rsid w:val="00732337"/>
    <w:rsid w:val="00733B12"/>
    <w:rsid w:val="00733DEF"/>
    <w:rsid w:val="007342A4"/>
    <w:rsid w:val="00734B29"/>
    <w:rsid w:val="00734F88"/>
    <w:rsid w:val="00735E4D"/>
    <w:rsid w:val="00735FD9"/>
    <w:rsid w:val="00736077"/>
    <w:rsid w:val="00736EB0"/>
    <w:rsid w:val="00737091"/>
    <w:rsid w:val="0073718C"/>
    <w:rsid w:val="00737F06"/>
    <w:rsid w:val="007400C6"/>
    <w:rsid w:val="007408A2"/>
    <w:rsid w:val="00740C01"/>
    <w:rsid w:val="00742EE4"/>
    <w:rsid w:val="0074300F"/>
    <w:rsid w:val="00743D02"/>
    <w:rsid w:val="00744709"/>
    <w:rsid w:val="00744938"/>
    <w:rsid w:val="00745077"/>
    <w:rsid w:val="00745378"/>
    <w:rsid w:val="00745399"/>
    <w:rsid w:val="00745518"/>
    <w:rsid w:val="007459D6"/>
    <w:rsid w:val="00746516"/>
    <w:rsid w:val="00746656"/>
    <w:rsid w:val="00746835"/>
    <w:rsid w:val="007474F0"/>
    <w:rsid w:val="00750267"/>
    <w:rsid w:val="00750EBD"/>
    <w:rsid w:val="00752437"/>
    <w:rsid w:val="00752640"/>
    <w:rsid w:val="007529FF"/>
    <w:rsid w:val="00752FDD"/>
    <w:rsid w:val="00754011"/>
    <w:rsid w:val="00754463"/>
    <w:rsid w:val="0075478F"/>
    <w:rsid w:val="00755CFD"/>
    <w:rsid w:val="00756816"/>
    <w:rsid w:val="00756AC1"/>
    <w:rsid w:val="00756EEB"/>
    <w:rsid w:val="00757497"/>
    <w:rsid w:val="00757FC0"/>
    <w:rsid w:val="0076181C"/>
    <w:rsid w:val="00761E69"/>
    <w:rsid w:val="007634C4"/>
    <w:rsid w:val="00764109"/>
    <w:rsid w:val="00764C60"/>
    <w:rsid w:val="00765861"/>
    <w:rsid w:val="007658AF"/>
    <w:rsid w:val="00765E35"/>
    <w:rsid w:val="00766020"/>
    <w:rsid w:val="00766704"/>
    <w:rsid w:val="00767625"/>
    <w:rsid w:val="007679D2"/>
    <w:rsid w:val="00770EF1"/>
    <w:rsid w:val="007710DB"/>
    <w:rsid w:val="0077176C"/>
    <w:rsid w:val="00771E9C"/>
    <w:rsid w:val="0077385C"/>
    <w:rsid w:val="00773F61"/>
    <w:rsid w:val="00775039"/>
    <w:rsid w:val="007753DE"/>
    <w:rsid w:val="0077566D"/>
    <w:rsid w:val="00775F7A"/>
    <w:rsid w:val="007760AE"/>
    <w:rsid w:val="00776644"/>
    <w:rsid w:val="00776BA3"/>
    <w:rsid w:val="007804B1"/>
    <w:rsid w:val="0078174C"/>
    <w:rsid w:val="00782002"/>
    <w:rsid w:val="0078234C"/>
    <w:rsid w:val="0078317D"/>
    <w:rsid w:val="00783609"/>
    <w:rsid w:val="007838B2"/>
    <w:rsid w:val="00784572"/>
    <w:rsid w:val="007847F9"/>
    <w:rsid w:val="00786B4B"/>
    <w:rsid w:val="00787473"/>
    <w:rsid w:val="00787E5C"/>
    <w:rsid w:val="00787FDB"/>
    <w:rsid w:val="007903EF"/>
    <w:rsid w:val="007905A5"/>
    <w:rsid w:val="00791841"/>
    <w:rsid w:val="00791EF1"/>
    <w:rsid w:val="00792DD4"/>
    <w:rsid w:val="00795C11"/>
    <w:rsid w:val="00795F23"/>
    <w:rsid w:val="00796081"/>
    <w:rsid w:val="007960A5"/>
    <w:rsid w:val="007963FA"/>
    <w:rsid w:val="00796928"/>
    <w:rsid w:val="007969C9"/>
    <w:rsid w:val="00797383"/>
    <w:rsid w:val="007976C7"/>
    <w:rsid w:val="00797935"/>
    <w:rsid w:val="007A0505"/>
    <w:rsid w:val="007A0AF8"/>
    <w:rsid w:val="007A1EC6"/>
    <w:rsid w:val="007A1F69"/>
    <w:rsid w:val="007A21C2"/>
    <w:rsid w:val="007A3155"/>
    <w:rsid w:val="007A39DE"/>
    <w:rsid w:val="007A4EBD"/>
    <w:rsid w:val="007A6016"/>
    <w:rsid w:val="007A6BE8"/>
    <w:rsid w:val="007A6FFE"/>
    <w:rsid w:val="007A72CE"/>
    <w:rsid w:val="007B0160"/>
    <w:rsid w:val="007B04EE"/>
    <w:rsid w:val="007B0B90"/>
    <w:rsid w:val="007B0C88"/>
    <w:rsid w:val="007B0DA7"/>
    <w:rsid w:val="007B112B"/>
    <w:rsid w:val="007B2AD5"/>
    <w:rsid w:val="007B303D"/>
    <w:rsid w:val="007B37B5"/>
    <w:rsid w:val="007B3E35"/>
    <w:rsid w:val="007B4DE1"/>
    <w:rsid w:val="007B5B26"/>
    <w:rsid w:val="007B699B"/>
    <w:rsid w:val="007B7A42"/>
    <w:rsid w:val="007B7D8E"/>
    <w:rsid w:val="007C0BA6"/>
    <w:rsid w:val="007C0C3E"/>
    <w:rsid w:val="007C1FF6"/>
    <w:rsid w:val="007C27DD"/>
    <w:rsid w:val="007C32B0"/>
    <w:rsid w:val="007C4046"/>
    <w:rsid w:val="007C4B60"/>
    <w:rsid w:val="007C5967"/>
    <w:rsid w:val="007C60B8"/>
    <w:rsid w:val="007C64EF"/>
    <w:rsid w:val="007C7015"/>
    <w:rsid w:val="007C78A6"/>
    <w:rsid w:val="007D0C1B"/>
    <w:rsid w:val="007D0D1F"/>
    <w:rsid w:val="007D1066"/>
    <w:rsid w:val="007D13F8"/>
    <w:rsid w:val="007D1A4E"/>
    <w:rsid w:val="007D1BDC"/>
    <w:rsid w:val="007D1E99"/>
    <w:rsid w:val="007D2584"/>
    <w:rsid w:val="007D2596"/>
    <w:rsid w:val="007D382E"/>
    <w:rsid w:val="007D50FD"/>
    <w:rsid w:val="007D5D11"/>
    <w:rsid w:val="007D61B8"/>
    <w:rsid w:val="007D7335"/>
    <w:rsid w:val="007E0B02"/>
    <w:rsid w:val="007E10DE"/>
    <w:rsid w:val="007E17DB"/>
    <w:rsid w:val="007E1DEA"/>
    <w:rsid w:val="007E24B2"/>
    <w:rsid w:val="007E3569"/>
    <w:rsid w:val="007E43C7"/>
    <w:rsid w:val="007E497E"/>
    <w:rsid w:val="007E4DED"/>
    <w:rsid w:val="007E5395"/>
    <w:rsid w:val="007E5439"/>
    <w:rsid w:val="007E5609"/>
    <w:rsid w:val="007E6A58"/>
    <w:rsid w:val="007E6A9A"/>
    <w:rsid w:val="007E717E"/>
    <w:rsid w:val="007E745F"/>
    <w:rsid w:val="007E7E83"/>
    <w:rsid w:val="007F0A76"/>
    <w:rsid w:val="007F12D8"/>
    <w:rsid w:val="007F18F1"/>
    <w:rsid w:val="007F25F3"/>
    <w:rsid w:val="007F2C9A"/>
    <w:rsid w:val="007F354E"/>
    <w:rsid w:val="007F3AD4"/>
    <w:rsid w:val="007F4C46"/>
    <w:rsid w:val="007F4D1F"/>
    <w:rsid w:val="007F515F"/>
    <w:rsid w:val="007F5E97"/>
    <w:rsid w:val="007F5F1E"/>
    <w:rsid w:val="007F7213"/>
    <w:rsid w:val="007F742B"/>
    <w:rsid w:val="007F7D74"/>
    <w:rsid w:val="007F7F96"/>
    <w:rsid w:val="007F7FF2"/>
    <w:rsid w:val="00800008"/>
    <w:rsid w:val="00800059"/>
    <w:rsid w:val="008004B1"/>
    <w:rsid w:val="0080109E"/>
    <w:rsid w:val="00801AFE"/>
    <w:rsid w:val="00802C1D"/>
    <w:rsid w:val="00802E5F"/>
    <w:rsid w:val="00802F15"/>
    <w:rsid w:val="00802FC0"/>
    <w:rsid w:val="0080327D"/>
    <w:rsid w:val="008032B6"/>
    <w:rsid w:val="008037DA"/>
    <w:rsid w:val="008038FC"/>
    <w:rsid w:val="0080419F"/>
    <w:rsid w:val="00804CC1"/>
    <w:rsid w:val="00804DCF"/>
    <w:rsid w:val="008053D2"/>
    <w:rsid w:val="00805B42"/>
    <w:rsid w:val="00805E8C"/>
    <w:rsid w:val="00807058"/>
    <w:rsid w:val="00807B3D"/>
    <w:rsid w:val="00810958"/>
    <w:rsid w:val="008120EE"/>
    <w:rsid w:val="008123C2"/>
    <w:rsid w:val="008130BB"/>
    <w:rsid w:val="008132E6"/>
    <w:rsid w:val="008132F4"/>
    <w:rsid w:val="00813833"/>
    <w:rsid w:val="00815440"/>
    <w:rsid w:val="00815AFF"/>
    <w:rsid w:val="00816D24"/>
    <w:rsid w:val="008202D5"/>
    <w:rsid w:val="008206D0"/>
    <w:rsid w:val="00820A06"/>
    <w:rsid w:val="00821809"/>
    <w:rsid w:val="00821A6F"/>
    <w:rsid w:val="00821D45"/>
    <w:rsid w:val="0082214F"/>
    <w:rsid w:val="00822CC7"/>
    <w:rsid w:val="0082311D"/>
    <w:rsid w:val="008235C6"/>
    <w:rsid w:val="0082408A"/>
    <w:rsid w:val="00825988"/>
    <w:rsid w:val="00825A4E"/>
    <w:rsid w:val="00825EE2"/>
    <w:rsid w:val="00826A7F"/>
    <w:rsid w:val="00826CEC"/>
    <w:rsid w:val="008270A2"/>
    <w:rsid w:val="00827D38"/>
    <w:rsid w:val="0083068D"/>
    <w:rsid w:val="00831CD7"/>
    <w:rsid w:val="00831DF1"/>
    <w:rsid w:val="00832102"/>
    <w:rsid w:val="00832A06"/>
    <w:rsid w:val="008332DE"/>
    <w:rsid w:val="00833358"/>
    <w:rsid w:val="008335C1"/>
    <w:rsid w:val="00833A0F"/>
    <w:rsid w:val="00834821"/>
    <w:rsid w:val="00834DF7"/>
    <w:rsid w:val="008351CB"/>
    <w:rsid w:val="00837539"/>
    <w:rsid w:val="0083775F"/>
    <w:rsid w:val="008400E7"/>
    <w:rsid w:val="0084038B"/>
    <w:rsid w:val="00842D3E"/>
    <w:rsid w:val="00842FC3"/>
    <w:rsid w:val="00843021"/>
    <w:rsid w:val="008439A0"/>
    <w:rsid w:val="008444FE"/>
    <w:rsid w:val="00845459"/>
    <w:rsid w:val="00845D19"/>
    <w:rsid w:val="00846128"/>
    <w:rsid w:val="0084642B"/>
    <w:rsid w:val="0084652B"/>
    <w:rsid w:val="00846C78"/>
    <w:rsid w:val="0084769A"/>
    <w:rsid w:val="00850066"/>
    <w:rsid w:val="00850B3E"/>
    <w:rsid w:val="00850BDC"/>
    <w:rsid w:val="00853180"/>
    <w:rsid w:val="008533EC"/>
    <w:rsid w:val="00853624"/>
    <w:rsid w:val="008539D7"/>
    <w:rsid w:val="00853E40"/>
    <w:rsid w:val="00855D49"/>
    <w:rsid w:val="00855DC0"/>
    <w:rsid w:val="00856082"/>
    <w:rsid w:val="008562BE"/>
    <w:rsid w:val="00856651"/>
    <w:rsid w:val="00856D0B"/>
    <w:rsid w:val="00856D22"/>
    <w:rsid w:val="00856F1F"/>
    <w:rsid w:val="008575D1"/>
    <w:rsid w:val="00857A22"/>
    <w:rsid w:val="00860E3A"/>
    <w:rsid w:val="00861291"/>
    <w:rsid w:val="008614BA"/>
    <w:rsid w:val="0086163F"/>
    <w:rsid w:val="00861C45"/>
    <w:rsid w:val="00863111"/>
    <w:rsid w:val="00863E14"/>
    <w:rsid w:val="008642FF"/>
    <w:rsid w:val="0086524C"/>
    <w:rsid w:val="00867FC5"/>
    <w:rsid w:val="008712F2"/>
    <w:rsid w:val="00871F21"/>
    <w:rsid w:val="0087211E"/>
    <w:rsid w:val="008728BA"/>
    <w:rsid w:val="00872918"/>
    <w:rsid w:val="00872A58"/>
    <w:rsid w:val="00873700"/>
    <w:rsid w:val="00875754"/>
    <w:rsid w:val="00875A0F"/>
    <w:rsid w:val="00875CC5"/>
    <w:rsid w:val="00876016"/>
    <w:rsid w:val="008761FC"/>
    <w:rsid w:val="00876584"/>
    <w:rsid w:val="008765C8"/>
    <w:rsid w:val="00876FBF"/>
    <w:rsid w:val="00880256"/>
    <w:rsid w:val="00880B9B"/>
    <w:rsid w:val="008816EC"/>
    <w:rsid w:val="0088179A"/>
    <w:rsid w:val="008817A4"/>
    <w:rsid w:val="008827D4"/>
    <w:rsid w:val="00882A49"/>
    <w:rsid w:val="00882E8E"/>
    <w:rsid w:val="008832B6"/>
    <w:rsid w:val="00883BA2"/>
    <w:rsid w:val="00884A2D"/>
    <w:rsid w:val="00886A03"/>
    <w:rsid w:val="00887212"/>
    <w:rsid w:val="0088729B"/>
    <w:rsid w:val="00887793"/>
    <w:rsid w:val="0089027E"/>
    <w:rsid w:val="00892B37"/>
    <w:rsid w:val="00892F5F"/>
    <w:rsid w:val="008931CE"/>
    <w:rsid w:val="00895391"/>
    <w:rsid w:val="008958A1"/>
    <w:rsid w:val="00895DDC"/>
    <w:rsid w:val="008963BF"/>
    <w:rsid w:val="008964FC"/>
    <w:rsid w:val="008967C0"/>
    <w:rsid w:val="00896AE8"/>
    <w:rsid w:val="008A09BD"/>
    <w:rsid w:val="008A1B2C"/>
    <w:rsid w:val="008A1CD7"/>
    <w:rsid w:val="008A2B7F"/>
    <w:rsid w:val="008A36DC"/>
    <w:rsid w:val="008A444A"/>
    <w:rsid w:val="008A5EBA"/>
    <w:rsid w:val="008A6C7F"/>
    <w:rsid w:val="008A6F91"/>
    <w:rsid w:val="008A7CA0"/>
    <w:rsid w:val="008A7CAE"/>
    <w:rsid w:val="008A7E7B"/>
    <w:rsid w:val="008A7F5C"/>
    <w:rsid w:val="008B06E8"/>
    <w:rsid w:val="008B0FF5"/>
    <w:rsid w:val="008B1937"/>
    <w:rsid w:val="008B1E69"/>
    <w:rsid w:val="008B20D5"/>
    <w:rsid w:val="008B22D5"/>
    <w:rsid w:val="008B2AF8"/>
    <w:rsid w:val="008B35D3"/>
    <w:rsid w:val="008B3B18"/>
    <w:rsid w:val="008B5126"/>
    <w:rsid w:val="008B596F"/>
    <w:rsid w:val="008B633C"/>
    <w:rsid w:val="008B7AE7"/>
    <w:rsid w:val="008B7D7A"/>
    <w:rsid w:val="008C1373"/>
    <w:rsid w:val="008C201F"/>
    <w:rsid w:val="008C2678"/>
    <w:rsid w:val="008C338F"/>
    <w:rsid w:val="008C3828"/>
    <w:rsid w:val="008C38E4"/>
    <w:rsid w:val="008C4D1F"/>
    <w:rsid w:val="008C5107"/>
    <w:rsid w:val="008C54D2"/>
    <w:rsid w:val="008C5525"/>
    <w:rsid w:val="008C611F"/>
    <w:rsid w:val="008C69AE"/>
    <w:rsid w:val="008C6B3B"/>
    <w:rsid w:val="008C6B86"/>
    <w:rsid w:val="008C6DB3"/>
    <w:rsid w:val="008C700F"/>
    <w:rsid w:val="008D3D9A"/>
    <w:rsid w:val="008D485B"/>
    <w:rsid w:val="008D56F4"/>
    <w:rsid w:val="008D5E87"/>
    <w:rsid w:val="008E0B00"/>
    <w:rsid w:val="008E1432"/>
    <w:rsid w:val="008E1BB4"/>
    <w:rsid w:val="008E21B4"/>
    <w:rsid w:val="008E2BA0"/>
    <w:rsid w:val="008E3624"/>
    <w:rsid w:val="008E37E7"/>
    <w:rsid w:val="008E4712"/>
    <w:rsid w:val="008E706F"/>
    <w:rsid w:val="008E763B"/>
    <w:rsid w:val="008E79D4"/>
    <w:rsid w:val="008E7CDB"/>
    <w:rsid w:val="008E7E77"/>
    <w:rsid w:val="008F0DF1"/>
    <w:rsid w:val="008F1641"/>
    <w:rsid w:val="008F21A2"/>
    <w:rsid w:val="008F22AD"/>
    <w:rsid w:val="008F2C8E"/>
    <w:rsid w:val="008F2EC9"/>
    <w:rsid w:val="008F313D"/>
    <w:rsid w:val="008F380F"/>
    <w:rsid w:val="008F39B7"/>
    <w:rsid w:val="008F3C56"/>
    <w:rsid w:val="008F3F4B"/>
    <w:rsid w:val="008F41AE"/>
    <w:rsid w:val="008F4324"/>
    <w:rsid w:val="008F46F0"/>
    <w:rsid w:val="008F5647"/>
    <w:rsid w:val="008F61D7"/>
    <w:rsid w:val="008F671C"/>
    <w:rsid w:val="008F67B0"/>
    <w:rsid w:val="008F6807"/>
    <w:rsid w:val="008F7B78"/>
    <w:rsid w:val="00900575"/>
    <w:rsid w:val="009015B2"/>
    <w:rsid w:val="00904F89"/>
    <w:rsid w:val="00905090"/>
    <w:rsid w:val="00905263"/>
    <w:rsid w:val="00905431"/>
    <w:rsid w:val="0090550D"/>
    <w:rsid w:val="0090559F"/>
    <w:rsid w:val="00906030"/>
    <w:rsid w:val="009061E3"/>
    <w:rsid w:val="00906E90"/>
    <w:rsid w:val="00907F33"/>
    <w:rsid w:val="00910001"/>
    <w:rsid w:val="0091051D"/>
    <w:rsid w:val="009110E2"/>
    <w:rsid w:val="009114B1"/>
    <w:rsid w:val="00912865"/>
    <w:rsid w:val="00912A5E"/>
    <w:rsid w:val="00912BE3"/>
    <w:rsid w:val="0091309D"/>
    <w:rsid w:val="00914232"/>
    <w:rsid w:val="00915A84"/>
    <w:rsid w:val="00916055"/>
    <w:rsid w:val="00916363"/>
    <w:rsid w:val="009168D8"/>
    <w:rsid w:val="00916B9D"/>
    <w:rsid w:val="00916C14"/>
    <w:rsid w:val="009171D8"/>
    <w:rsid w:val="00920C1A"/>
    <w:rsid w:val="009227F1"/>
    <w:rsid w:val="00923300"/>
    <w:rsid w:val="009237E5"/>
    <w:rsid w:val="00924B94"/>
    <w:rsid w:val="009252CD"/>
    <w:rsid w:val="00925324"/>
    <w:rsid w:val="009253DF"/>
    <w:rsid w:val="00925AF6"/>
    <w:rsid w:val="00926CDD"/>
    <w:rsid w:val="0092750B"/>
    <w:rsid w:val="0093182E"/>
    <w:rsid w:val="009322A1"/>
    <w:rsid w:val="009326E2"/>
    <w:rsid w:val="009336A2"/>
    <w:rsid w:val="00934C55"/>
    <w:rsid w:val="00936700"/>
    <w:rsid w:val="0093688B"/>
    <w:rsid w:val="00936F84"/>
    <w:rsid w:val="00940239"/>
    <w:rsid w:val="0094038F"/>
    <w:rsid w:val="009407F8"/>
    <w:rsid w:val="00940851"/>
    <w:rsid w:val="009413C7"/>
    <w:rsid w:val="009417BF"/>
    <w:rsid w:val="009431B1"/>
    <w:rsid w:val="00943A00"/>
    <w:rsid w:val="009451E6"/>
    <w:rsid w:val="00946B2B"/>
    <w:rsid w:val="00946F83"/>
    <w:rsid w:val="00947D72"/>
    <w:rsid w:val="009504E3"/>
    <w:rsid w:val="009509B0"/>
    <w:rsid w:val="00950BA5"/>
    <w:rsid w:val="00950FC9"/>
    <w:rsid w:val="009514C2"/>
    <w:rsid w:val="00952999"/>
    <w:rsid w:val="00952E41"/>
    <w:rsid w:val="0095386C"/>
    <w:rsid w:val="00953F2C"/>
    <w:rsid w:val="009540BB"/>
    <w:rsid w:val="00954399"/>
    <w:rsid w:val="00954ED1"/>
    <w:rsid w:val="009555E9"/>
    <w:rsid w:val="009559DF"/>
    <w:rsid w:val="009561A5"/>
    <w:rsid w:val="00957708"/>
    <w:rsid w:val="009578C2"/>
    <w:rsid w:val="009601B6"/>
    <w:rsid w:val="009606DA"/>
    <w:rsid w:val="00960A2A"/>
    <w:rsid w:val="00960CEC"/>
    <w:rsid w:val="0096108C"/>
    <w:rsid w:val="00961C5A"/>
    <w:rsid w:val="00961EBE"/>
    <w:rsid w:val="00962737"/>
    <w:rsid w:val="0096276C"/>
    <w:rsid w:val="009634C4"/>
    <w:rsid w:val="009638B6"/>
    <w:rsid w:val="00964274"/>
    <w:rsid w:val="009651D8"/>
    <w:rsid w:val="009652FF"/>
    <w:rsid w:val="0096783B"/>
    <w:rsid w:val="0097430A"/>
    <w:rsid w:val="00974BF4"/>
    <w:rsid w:val="00974F5B"/>
    <w:rsid w:val="00976448"/>
    <w:rsid w:val="00976DFA"/>
    <w:rsid w:val="009807EE"/>
    <w:rsid w:val="00980C91"/>
    <w:rsid w:val="00980CE4"/>
    <w:rsid w:val="00981433"/>
    <w:rsid w:val="00982369"/>
    <w:rsid w:val="00983274"/>
    <w:rsid w:val="00983700"/>
    <w:rsid w:val="009840D4"/>
    <w:rsid w:val="00984262"/>
    <w:rsid w:val="009858C3"/>
    <w:rsid w:val="0098688E"/>
    <w:rsid w:val="00986FCC"/>
    <w:rsid w:val="00987052"/>
    <w:rsid w:val="00987690"/>
    <w:rsid w:val="009910A0"/>
    <w:rsid w:val="009920BE"/>
    <w:rsid w:val="009921D5"/>
    <w:rsid w:val="009955F1"/>
    <w:rsid w:val="00995DEE"/>
    <w:rsid w:val="00995FFC"/>
    <w:rsid w:val="0099652F"/>
    <w:rsid w:val="00996622"/>
    <w:rsid w:val="00997D01"/>
    <w:rsid w:val="00997D5A"/>
    <w:rsid w:val="009A0202"/>
    <w:rsid w:val="009A12DC"/>
    <w:rsid w:val="009A157B"/>
    <w:rsid w:val="009A1BDC"/>
    <w:rsid w:val="009A29D0"/>
    <w:rsid w:val="009A3106"/>
    <w:rsid w:val="009A35F3"/>
    <w:rsid w:val="009A4D2E"/>
    <w:rsid w:val="009A4DAB"/>
    <w:rsid w:val="009A4E66"/>
    <w:rsid w:val="009A502F"/>
    <w:rsid w:val="009A5115"/>
    <w:rsid w:val="009A5EB1"/>
    <w:rsid w:val="009A674A"/>
    <w:rsid w:val="009A7133"/>
    <w:rsid w:val="009A7C19"/>
    <w:rsid w:val="009A7CFA"/>
    <w:rsid w:val="009B1706"/>
    <w:rsid w:val="009B276C"/>
    <w:rsid w:val="009B4F7A"/>
    <w:rsid w:val="009B573E"/>
    <w:rsid w:val="009B6863"/>
    <w:rsid w:val="009B78BB"/>
    <w:rsid w:val="009C07F6"/>
    <w:rsid w:val="009C0CFD"/>
    <w:rsid w:val="009C0F13"/>
    <w:rsid w:val="009C110B"/>
    <w:rsid w:val="009C2714"/>
    <w:rsid w:val="009C3999"/>
    <w:rsid w:val="009C3C1A"/>
    <w:rsid w:val="009C3D2F"/>
    <w:rsid w:val="009C4A3B"/>
    <w:rsid w:val="009C582B"/>
    <w:rsid w:val="009C5DD1"/>
    <w:rsid w:val="009C634A"/>
    <w:rsid w:val="009C698B"/>
    <w:rsid w:val="009C6A49"/>
    <w:rsid w:val="009C6BAE"/>
    <w:rsid w:val="009C6D32"/>
    <w:rsid w:val="009C6DE5"/>
    <w:rsid w:val="009C7529"/>
    <w:rsid w:val="009C7742"/>
    <w:rsid w:val="009C7A12"/>
    <w:rsid w:val="009D03F0"/>
    <w:rsid w:val="009D0D5E"/>
    <w:rsid w:val="009D28F5"/>
    <w:rsid w:val="009D2A09"/>
    <w:rsid w:val="009D3511"/>
    <w:rsid w:val="009D3FFB"/>
    <w:rsid w:val="009D4757"/>
    <w:rsid w:val="009D4839"/>
    <w:rsid w:val="009D5C98"/>
    <w:rsid w:val="009D6310"/>
    <w:rsid w:val="009D71B4"/>
    <w:rsid w:val="009D7218"/>
    <w:rsid w:val="009D73F5"/>
    <w:rsid w:val="009D7718"/>
    <w:rsid w:val="009E010C"/>
    <w:rsid w:val="009E0605"/>
    <w:rsid w:val="009E08B6"/>
    <w:rsid w:val="009E0D7F"/>
    <w:rsid w:val="009E15C7"/>
    <w:rsid w:val="009E1A3F"/>
    <w:rsid w:val="009E1AB1"/>
    <w:rsid w:val="009E20FC"/>
    <w:rsid w:val="009E2680"/>
    <w:rsid w:val="009E279E"/>
    <w:rsid w:val="009E5317"/>
    <w:rsid w:val="009E57CF"/>
    <w:rsid w:val="009E59C1"/>
    <w:rsid w:val="009E5C14"/>
    <w:rsid w:val="009E5CC5"/>
    <w:rsid w:val="009E65C0"/>
    <w:rsid w:val="009E65E2"/>
    <w:rsid w:val="009E6A7D"/>
    <w:rsid w:val="009E6B17"/>
    <w:rsid w:val="009E6C00"/>
    <w:rsid w:val="009E7C76"/>
    <w:rsid w:val="009F0A8C"/>
    <w:rsid w:val="009F0AB3"/>
    <w:rsid w:val="009F0BD3"/>
    <w:rsid w:val="009F0FA0"/>
    <w:rsid w:val="009F0FB7"/>
    <w:rsid w:val="009F20E5"/>
    <w:rsid w:val="009F34ED"/>
    <w:rsid w:val="009F3A13"/>
    <w:rsid w:val="009F5077"/>
    <w:rsid w:val="009F5356"/>
    <w:rsid w:val="009F5A4B"/>
    <w:rsid w:val="009F6E3A"/>
    <w:rsid w:val="009F7A1B"/>
    <w:rsid w:val="00A003E4"/>
    <w:rsid w:val="00A00811"/>
    <w:rsid w:val="00A00833"/>
    <w:rsid w:val="00A00AA3"/>
    <w:rsid w:val="00A00CCD"/>
    <w:rsid w:val="00A00FA7"/>
    <w:rsid w:val="00A0224E"/>
    <w:rsid w:val="00A02AE1"/>
    <w:rsid w:val="00A02DD0"/>
    <w:rsid w:val="00A044D5"/>
    <w:rsid w:val="00A046F5"/>
    <w:rsid w:val="00A05538"/>
    <w:rsid w:val="00A059F3"/>
    <w:rsid w:val="00A062F5"/>
    <w:rsid w:val="00A063DA"/>
    <w:rsid w:val="00A0717D"/>
    <w:rsid w:val="00A10208"/>
    <w:rsid w:val="00A13395"/>
    <w:rsid w:val="00A13532"/>
    <w:rsid w:val="00A13931"/>
    <w:rsid w:val="00A14139"/>
    <w:rsid w:val="00A14251"/>
    <w:rsid w:val="00A14905"/>
    <w:rsid w:val="00A15264"/>
    <w:rsid w:val="00A17224"/>
    <w:rsid w:val="00A17848"/>
    <w:rsid w:val="00A207AB"/>
    <w:rsid w:val="00A213D4"/>
    <w:rsid w:val="00A213F9"/>
    <w:rsid w:val="00A21AD7"/>
    <w:rsid w:val="00A21FAB"/>
    <w:rsid w:val="00A222E2"/>
    <w:rsid w:val="00A23069"/>
    <w:rsid w:val="00A241B1"/>
    <w:rsid w:val="00A24A31"/>
    <w:rsid w:val="00A24CD5"/>
    <w:rsid w:val="00A24CDE"/>
    <w:rsid w:val="00A31895"/>
    <w:rsid w:val="00A31BF4"/>
    <w:rsid w:val="00A32832"/>
    <w:rsid w:val="00A3287E"/>
    <w:rsid w:val="00A33625"/>
    <w:rsid w:val="00A34E1E"/>
    <w:rsid w:val="00A35BE0"/>
    <w:rsid w:val="00A366FD"/>
    <w:rsid w:val="00A36AF7"/>
    <w:rsid w:val="00A3734F"/>
    <w:rsid w:val="00A37B48"/>
    <w:rsid w:val="00A37B75"/>
    <w:rsid w:val="00A37CB8"/>
    <w:rsid w:val="00A37D1C"/>
    <w:rsid w:val="00A40DD1"/>
    <w:rsid w:val="00A41503"/>
    <w:rsid w:val="00A418AD"/>
    <w:rsid w:val="00A41AD7"/>
    <w:rsid w:val="00A41B25"/>
    <w:rsid w:val="00A42BDB"/>
    <w:rsid w:val="00A42E83"/>
    <w:rsid w:val="00A42FF8"/>
    <w:rsid w:val="00A44194"/>
    <w:rsid w:val="00A45C79"/>
    <w:rsid w:val="00A46CF0"/>
    <w:rsid w:val="00A47314"/>
    <w:rsid w:val="00A47A3F"/>
    <w:rsid w:val="00A47E94"/>
    <w:rsid w:val="00A50125"/>
    <w:rsid w:val="00A50232"/>
    <w:rsid w:val="00A50453"/>
    <w:rsid w:val="00A5085A"/>
    <w:rsid w:val="00A5139C"/>
    <w:rsid w:val="00A51F6E"/>
    <w:rsid w:val="00A529E2"/>
    <w:rsid w:val="00A541B1"/>
    <w:rsid w:val="00A54323"/>
    <w:rsid w:val="00A544F8"/>
    <w:rsid w:val="00A54B2D"/>
    <w:rsid w:val="00A54E31"/>
    <w:rsid w:val="00A55620"/>
    <w:rsid w:val="00A55CBB"/>
    <w:rsid w:val="00A56149"/>
    <w:rsid w:val="00A563BB"/>
    <w:rsid w:val="00A56845"/>
    <w:rsid w:val="00A56A2B"/>
    <w:rsid w:val="00A56B1A"/>
    <w:rsid w:val="00A5716F"/>
    <w:rsid w:val="00A57C0F"/>
    <w:rsid w:val="00A60668"/>
    <w:rsid w:val="00A60FFF"/>
    <w:rsid w:val="00A61686"/>
    <w:rsid w:val="00A61799"/>
    <w:rsid w:val="00A61AD5"/>
    <w:rsid w:val="00A62122"/>
    <w:rsid w:val="00A62B89"/>
    <w:rsid w:val="00A6326E"/>
    <w:rsid w:val="00A6417B"/>
    <w:rsid w:val="00A643C4"/>
    <w:rsid w:val="00A6449D"/>
    <w:rsid w:val="00A6549A"/>
    <w:rsid w:val="00A658F3"/>
    <w:rsid w:val="00A65EB2"/>
    <w:rsid w:val="00A66090"/>
    <w:rsid w:val="00A66323"/>
    <w:rsid w:val="00A66413"/>
    <w:rsid w:val="00A66477"/>
    <w:rsid w:val="00A667F2"/>
    <w:rsid w:val="00A6685D"/>
    <w:rsid w:val="00A668AE"/>
    <w:rsid w:val="00A66C5C"/>
    <w:rsid w:val="00A6733F"/>
    <w:rsid w:val="00A70B6A"/>
    <w:rsid w:val="00A71A14"/>
    <w:rsid w:val="00A71AF3"/>
    <w:rsid w:val="00A71F35"/>
    <w:rsid w:val="00A723F7"/>
    <w:rsid w:val="00A73687"/>
    <w:rsid w:val="00A74D34"/>
    <w:rsid w:val="00A75830"/>
    <w:rsid w:val="00A75D60"/>
    <w:rsid w:val="00A761B7"/>
    <w:rsid w:val="00A76C99"/>
    <w:rsid w:val="00A7733E"/>
    <w:rsid w:val="00A77D8F"/>
    <w:rsid w:val="00A77E2C"/>
    <w:rsid w:val="00A80D34"/>
    <w:rsid w:val="00A81630"/>
    <w:rsid w:val="00A81EBE"/>
    <w:rsid w:val="00A82FA4"/>
    <w:rsid w:val="00A833A2"/>
    <w:rsid w:val="00A83DFB"/>
    <w:rsid w:val="00A845E5"/>
    <w:rsid w:val="00A85EC5"/>
    <w:rsid w:val="00A85F72"/>
    <w:rsid w:val="00A86D6C"/>
    <w:rsid w:val="00A87682"/>
    <w:rsid w:val="00A87708"/>
    <w:rsid w:val="00A87C60"/>
    <w:rsid w:val="00A87CF3"/>
    <w:rsid w:val="00A900B3"/>
    <w:rsid w:val="00A927E8"/>
    <w:rsid w:val="00A92BA9"/>
    <w:rsid w:val="00A93DFE"/>
    <w:rsid w:val="00A93F63"/>
    <w:rsid w:val="00A94174"/>
    <w:rsid w:val="00A96750"/>
    <w:rsid w:val="00A96C01"/>
    <w:rsid w:val="00A970C1"/>
    <w:rsid w:val="00A97114"/>
    <w:rsid w:val="00A9777A"/>
    <w:rsid w:val="00A97BD8"/>
    <w:rsid w:val="00AA195B"/>
    <w:rsid w:val="00AA2E9E"/>
    <w:rsid w:val="00AA2EFD"/>
    <w:rsid w:val="00AA340E"/>
    <w:rsid w:val="00AA5DE4"/>
    <w:rsid w:val="00AA5F6B"/>
    <w:rsid w:val="00AA6097"/>
    <w:rsid w:val="00AA611A"/>
    <w:rsid w:val="00AA6156"/>
    <w:rsid w:val="00AA615E"/>
    <w:rsid w:val="00AA747B"/>
    <w:rsid w:val="00AA779C"/>
    <w:rsid w:val="00AB1274"/>
    <w:rsid w:val="00AB157E"/>
    <w:rsid w:val="00AB2022"/>
    <w:rsid w:val="00AB22D4"/>
    <w:rsid w:val="00AB3208"/>
    <w:rsid w:val="00AB44DA"/>
    <w:rsid w:val="00AB4871"/>
    <w:rsid w:val="00AB4D6E"/>
    <w:rsid w:val="00AB5B19"/>
    <w:rsid w:val="00AB5ECC"/>
    <w:rsid w:val="00AB60EA"/>
    <w:rsid w:val="00AB63BB"/>
    <w:rsid w:val="00AC1759"/>
    <w:rsid w:val="00AC1E98"/>
    <w:rsid w:val="00AC253A"/>
    <w:rsid w:val="00AC4E14"/>
    <w:rsid w:val="00AC50A2"/>
    <w:rsid w:val="00AC5B55"/>
    <w:rsid w:val="00AC5F3D"/>
    <w:rsid w:val="00AC6A9E"/>
    <w:rsid w:val="00AC6B95"/>
    <w:rsid w:val="00AC7137"/>
    <w:rsid w:val="00AC750B"/>
    <w:rsid w:val="00AC7A0B"/>
    <w:rsid w:val="00AD13F2"/>
    <w:rsid w:val="00AD2592"/>
    <w:rsid w:val="00AD276F"/>
    <w:rsid w:val="00AD2996"/>
    <w:rsid w:val="00AD3CCC"/>
    <w:rsid w:val="00AD3E34"/>
    <w:rsid w:val="00AD4AEC"/>
    <w:rsid w:val="00AD5C3B"/>
    <w:rsid w:val="00AD692C"/>
    <w:rsid w:val="00AD74BF"/>
    <w:rsid w:val="00AD7643"/>
    <w:rsid w:val="00AD7775"/>
    <w:rsid w:val="00AD77BA"/>
    <w:rsid w:val="00AE0598"/>
    <w:rsid w:val="00AE0964"/>
    <w:rsid w:val="00AE0A43"/>
    <w:rsid w:val="00AE14A4"/>
    <w:rsid w:val="00AE1580"/>
    <w:rsid w:val="00AE20F3"/>
    <w:rsid w:val="00AE328D"/>
    <w:rsid w:val="00AE38ED"/>
    <w:rsid w:val="00AE427F"/>
    <w:rsid w:val="00AE4698"/>
    <w:rsid w:val="00AE517E"/>
    <w:rsid w:val="00AE624C"/>
    <w:rsid w:val="00AE65AA"/>
    <w:rsid w:val="00AE7C23"/>
    <w:rsid w:val="00AF03A1"/>
    <w:rsid w:val="00AF188F"/>
    <w:rsid w:val="00AF1904"/>
    <w:rsid w:val="00AF2A69"/>
    <w:rsid w:val="00AF2BD0"/>
    <w:rsid w:val="00AF3070"/>
    <w:rsid w:val="00AF375D"/>
    <w:rsid w:val="00AF3789"/>
    <w:rsid w:val="00AF39BA"/>
    <w:rsid w:val="00AF512D"/>
    <w:rsid w:val="00AF54DA"/>
    <w:rsid w:val="00AF5D30"/>
    <w:rsid w:val="00AF5E03"/>
    <w:rsid w:val="00AF6188"/>
    <w:rsid w:val="00AF6487"/>
    <w:rsid w:val="00AF664F"/>
    <w:rsid w:val="00AF6BA2"/>
    <w:rsid w:val="00AF74C3"/>
    <w:rsid w:val="00AF7784"/>
    <w:rsid w:val="00B003E0"/>
    <w:rsid w:val="00B008BF"/>
    <w:rsid w:val="00B008FB"/>
    <w:rsid w:val="00B00B5A"/>
    <w:rsid w:val="00B00CF3"/>
    <w:rsid w:val="00B00E5C"/>
    <w:rsid w:val="00B0142D"/>
    <w:rsid w:val="00B0313C"/>
    <w:rsid w:val="00B038E7"/>
    <w:rsid w:val="00B03A7F"/>
    <w:rsid w:val="00B03FF6"/>
    <w:rsid w:val="00B04119"/>
    <w:rsid w:val="00B04EB6"/>
    <w:rsid w:val="00B05174"/>
    <w:rsid w:val="00B056C4"/>
    <w:rsid w:val="00B05CF3"/>
    <w:rsid w:val="00B0609B"/>
    <w:rsid w:val="00B073D6"/>
    <w:rsid w:val="00B07D88"/>
    <w:rsid w:val="00B1019B"/>
    <w:rsid w:val="00B105E4"/>
    <w:rsid w:val="00B10895"/>
    <w:rsid w:val="00B112B0"/>
    <w:rsid w:val="00B11A45"/>
    <w:rsid w:val="00B124E0"/>
    <w:rsid w:val="00B12717"/>
    <w:rsid w:val="00B14A7D"/>
    <w:rsid w:val="00B14F48"/>
    <w:rsid w:val="00B156B8"/>
    <w:rsid w:val="00B15F22"/>
    <w:rsid w:val="00B17B27"/>
    <w:rsid w:val="00B20486"/>
    <w:rsid w:val="00B21968"/>
    <w:rsid w:val="00B21C9C"/>
    <w:rsid w:val="00B22867"/>
    <w:rsid w:val="00B23172"/>
    <w:rsid w:val="00B240D8"/>
    <w:rsid w:val="00B243C5"/>
    <w:rsid w:val="00B24512"/>
    <w:rsid w:val="00B24FF1"/>
    <w:rsid w:val="00B26276"/>
    <w:rsid w:val="00B26D72"/>
    <w:rsid w:val="00B27780"/>
    <w:rsid w:val="00B277EE"/>
    <w:rsid w:val="00B27A62"/>
    <w:rsid w:val="00B27EDB"/>
    <w:rsid w:val="00B30306"/>
    <w:rsid w:val="00B305A5"/>
    <w:rsid w:val="00B30C53"/>
    <w:rsid w:val="00B318CF"/>
    <w:rsid w:val="00B337E4"/>
    <w:rsid w:val="00B3446A"/>
    <w:rsid w:val="00B3495F"/>
    <w:rsid w:val="00B34D06"/>
    <w:rsid w:val="00B3510A"/>
    <w:rsid w:val="00B35D76"/>
    <w:rsid w:val="00B36ED9"/>
    <w:rsid w:val="00B3719B"/>
    <w:rsid w:val="00B37358"/>
    <w:rsid w:val="00B40C2A"/>
    <w:rsid w:val="00B4134E"/>
    <w:rsid w:val="00B41650"/>
    <w:rsid w:val="00B420AD"/>
    <w:rsid w:val="00B42ECB"/>
    <w:rsid w:val="00B446DC"/>
    <w:rsid w:val="00B44807"/>
    <w:rsid w:val="00B44937"/>
    <w:rsid w:val="00B44E4E"/>
    <w:rsid w:val="00B44E7A"/>
    <w:rsid w:val="00B45206"/>
    <w:rsid w:val="00B46FB1"/>
    <w:rsid w:val="00B4763D"/>
    <w:rsid w:val="00B47DE2"/>
    <w:rsid w:val="00B5012A"/>
    <w:rsid w:val="00B51237"/>
    <w:rsid w:val="00B51321"/>
    <w:rsid w:val="00B519B1"/>
    <w:rsid w:val="00B527F9"/>
    <w:rsid w:val="00B52C37"/>
    <w:rsid w:val="00B52EF8"/>
    <w:rsid w:val="00B533EE"/>
    <w:rsid w:val="00B53527"/>
    <w:rsid w:val="00B53D93"/>
    <w:rsid w:val="00B53EB2"/>
    <w:rsid w:val="00B53F1B"/>
    <w:rsid w:val="00B54125"/>
    <w:rsid w:val="00B54665"/>
    <w:rsid w:val="00B54A64"/>
    <w:rsid w:val="00B5550F"/>
    <w:rsid w:val="00B55517"/>
    <w:rsid w:val="00B557DB"/>
    <w:rsid w:val="00B5581F"/>
    <w:rsid w:val="00B55987"/>
    <w:rsid w:val="00B6060B"/>
    <w:rsid w:val="00B60C5E"/>
    <w:rsid w:val="00B613D5"/>
    <w:rsid w:val="00B63EAC"/>
    <w:rsid w:val="00B64F41"/>
    <w:rsid w:val="00B652DA"/>
    <w:rsid w:val="00B65868"/>
    <w:rsid w:val="00B65A30"/>
    <w:rsid w:val="00B65C85"/>
    <w:rsid w:val="00B666B9"/>
    <w:rsid w:val="00B67A95"/>
    <w:rsid w:val="00B67EF2"/>
    <w:rsid w:val="00B700D1"/>
    <w:rsid w:val="00B70E3A"/>
    <w:rsid w:val="00B71516"/>
    <w:rsid w:val="00B71AF5"/>
    <w:rsid w:val="00B72AF5"/>
    <w:rsid w:val="00B73199"/>
    <w:rsid w:val="00B73439"/>
    <w:rsid w:val="00B7591D"/>
    <w:rsid w:val="00B76DC1"/>
    <w:rsid w:val="00B7767D"/>
    <w:rsid w:val="00B77E31"/>
    <w:rsid w:val="00B80825"/>
    <w:rsid w:val="00B81535"/>
    <w:rsid w:val="00B8341F"/>
    <w:rsid w:val="00B8353F"/>
    <w:rsid w:val="00B87060"/>
    <w:rsid w:val="00B90853"/>
    <w:rsid w:val="00B90CFB"/>
    <w:rsid w:val="00B910A1"/>
    <w:rsid w:val="00B9165F"/>
    <w:rsid w:val="00B9190D"/>
    <w:rsid w:val="00B9371D"/>
    <w:rsid w:val="00B93B28"/>
    <w:rsid w:val="00B94A29"/>
    <w:rsid w:val="00B957C1"/>
    <w:rsid w:val="00B9619D"/>
    <w:rsid w:val="00B9698E"/>
    <w:rsid w:val="00B97031"/>
    <w:rsid w:val="00B97EE6"/>
    <w:rsid w:val="00BA1C38"/>
    <w:rsid w:val="00BA268D"/>
    <w:rsid w:val="00BA2EE4"/>
    <w:rsid w:val="00BA2EFA"/>
    <w:rsid w:val="00BA3937"/>
    <w:rsid w:val="00BA3AEC"/>
    <w:rsid w:val="00BA4337"/>
    <w:rsid w:val="00BA4D37"/>
    <w:rsid w:val="00BA5559"/>
    <w:rsid w:val="00BA5735"/>
    <w:rsid w:val="00BA5F42"/>
    <w:rsid w:val="00BA665D"/>
    <w:rsid w:val="00BA75AF"/>
    <w:rsid w:val="00BA7618"/>
    <w:rsid w:val="00BA761E"/>
    <w:rsid w:val="00BA776C"/>
    <w:rsid w:val="00BB1909"/>
    <w:rsid w:val="00BB34C0"/>
    <w:rsid w:val="00BB3793"/>
    <w:rsid w:val="00BB3C52"/>
    <w:rsid w:val="00BB3E1E"/>
    <w:rsid w:val="00BB415E"/>
    <w:rsid w:val="00BB4278"/>
    <w:rsid w:val="00BB4314"/>
    <w:rsid w:val="00BB45FA"/>
    <w:rsid w:val="00BB46A4"/>
    <w:rsid w:val="00BB4801"/>
    <w:rsid w:val="00BB483E"/>
    <w:rsid w:val="00BB4A9F"/>
    <w:rsid w:val="00BB4EEB"/>
    <w:rsid w:val="00BB51E2"/>
    <w:rsid w:val="00BB5819"/>
    <w:rsid w:val="00BB608E"/>
    <w:rsid w:val="00BC00F2"/>
    <w:rsid w:val="00BC1C14"/>
    <w:rsid w:val="00BC1DE3"/>
    <w:rsid w:val="00BC2AD8"/>
    <w:rsid w:val="00BC3C1B"/>
    <w:rsid w:val="00BC47C2"/>
    <w:rsid w:val="00BC5D2E"/>
    <w:rsid w:val="00BC5DF6"/>
    <w:rsid w:val="00BC6422"/>
    <w:rsid w:val="00BC72C4"/>
    <w:rsid w:val="00BD0242"/>
    <w:rsid w:val="00BD0C69"/>
    <w:rsid w:val="00BD149D"/>
    <w:rsid w:val="00BD2215"/>
    <w:rsid w:val="00BD257B"/>
    <w:rsid w:val="00BD2F92"/>
    <w:rsid w:val="00BD3668"/>
    <w:rsid w:val="00BD3705"/>
    <w:rsid w:val="00BD3D51"/>
    <w:rsid w:val="00BD406D"/>
    <w:rsid w:val="00BD5231"/>
    <w:rsid w:val="00BD536C"/>
    <w:rsid w:val="00BD56BD"/>
    <w:rsid w:val="00BD5F88"/>
    <w:rsid w:val="00BE0018"/>
    <w:rsid w:val="00BE0083"/>
    <w:rsid w:val="00BE02BD"/>
    <w:rsid w:val="00BE0B44"/>
    <w:rsid w:val="00BE0D9F"/>
    <w:rsid w:val="00BE1302"/>
    <w:rsid w:val="00BE1614"/>
    <w:rsid w:val="00BE1AB2"/>
    <w:rsid w:val="00BE1F1C"/>
    <w:rsid w:val="00BE22FF"/>
    <w:rsid w:val="00BE2DD8"/>
    <w:rsid w:val="00BE5187"/>
    <w:rsid w:val="00BE555C"/>
    <w:rsid w:val="00BE6CF5"/>
    <w:rsid w:val="00BE6DF3"/>
    <w:rsid w:val="00BE704F"/>
    <w:rsid w:val="00BE720C"/>
    <w:rsid w:val="00BE7708"/>
    <w:rsid w:val="00BE791A"/>
    <w:rsid w:val="00BE7C19"/>
    <w:rsid w:val="00BF07B1"/>
    <w:rsid w:val="00BF0A90"/>
    <w:rsid w:val="00BF219D"/>
    <w:rsid w:val="00BF28B4"/>
    <w:rsid w:val="00BF3119"/>
    <w:rsid w:val="00BF318A"/>
    <w:rsid w:val="00BF3B53"/>
    <w:rsid w:val="00BF3B7F"/>
    <w:rsid w:val="00BF3C34"/>
    <w:rsid w:val="00BF4D49"/>
    <w:rsid w:val="00BF588F"/>
    <w:rsid w:val="00BF60CA"/>
    <w:rsid w:val="00BF6E8A"/>
    <w:rsid w:val="00C001D3"/>
    <w:rsid w:val="00C00348"/>
    <w:rsid w:val="00C01D02"/>
    <w:rsid w:val="00C01FFF"/>
    <w:rsid w:val="00C033F7"/>
    <w:rsid w:val="00C036F9"/>
    <w:rsid w:val="00C04003"/>
    <w:rsid w:val="00C04383"/>
    <w:rsid w:val="00C050BD"/>
    <w:rsid w:val="00C057F3"/>
    <w:rsid w:val="00C05844"/>
    <w:rsid w:val="00C05966"/>
    <w:rsid w:val="00C064F3"/>
    <w:rsid w:val="00C06805"/>
    <w:rsid w:val="00C07A6A"/>
    <w:rsid w:val="00C11315"/>
    <w:rsid w:val="00C11A37"/>
    <w:rsid w:val="00C11FCD"/>
    <w:rsid w:val="00C121AD"/>
    <w:rsid w:val="00C12B16"/>
    <w:rsid w:val="00C130A1"/>
    <w:rsid w:val="00C135A1"/>
    <w:rsid w:val="00C14954"/>
    <w:rsid w:val="00C155DB"/>
    <w:rsid w:val="00C15CEC"/>
    <w:rsid w:val="00C1647A"/>
    <w:rsid w:val="00C165A7"/>
    <w:rsid w:val="00C169D2"/>
    <w:rsid w:val="00C16AC0"/>
    <w:rsid w:val="00C2015E"/>
    <w:rsid w:val="00C20F01"/>
    <w:rsid w:val="00C21D54"/>
    <w:rsid w:val="00C22323"/>
    <w:rsid w:val="00C2305A"/>
    <w:rsid w:val="00C23CC9"/>
    <w:rsid w:val="00C243CA"/>
    <w:rsid w:val="00C256EC"/>
    <w:rsid w:val="00C26710"/>
    <w:rsid w:val="00C26A51"/>
    <w:rsid w:val="00C26BDA"/>
    <w:rsid w:val="00C274B5"/>
    <w:rsid w:val="00C2786F"/>
    <w:rsid w:val="00C304D2"/>
    <w:rsid w:val="00C30C68"/>
    <w:rsid w:val="00C32068"/>
    <w:rsid w:val="00C32CEE"/>
    <w:rsid w:val="00C32EA7"/>
    <w:rsid w:val="00C338D7"/>
    <w:rsid w:val="00C339D2"/>
    <w:rsid w:val="00C33AE2"/>
    <w:rsid w:val="00C34C99"/>
    <w:rsid w:val="00C35011"/>
    <w:rsid w:val="00C35CBB"/>
    <w:rsid w:val="00C36363"/>
    <w:rsid w:val="00C3655F"/>
    <w:rsid w:val="00C36950"/>
    <w:rsid w:val="00C36F7E"/>
    <w:rsid w:val="00C372DD"/>
    <w:rsid w:val="00C3747A"/>
    <w:rsid w:val="00C37DAE"/>
    <w:rsid w:val="00C4066A"/>
    <w:rsid w:val="00C4129F"/>
    <w:rsid w:val="00C4204A"/>
    <w:rsid w:val="00C42684"/>
    <w:rsid w:val="00C426B2"/>
    <w:rsid w:val="00C44DD5"/>
    <w:rsid w:val="00C4544D"/>
    <w:rsid w:val="00C4554F"/>
    <w:rsid w:val="00C45BA0"/>
    <w:rsid w:val="00C46337"/>
    <w:rsid w:val="00C46B30"/>
    <w:rsid w:val="00C50281"/>
    <w:rsid w:val="00C502D6"/>
    <w:rsid w:val="00C5046A"/>
    <w:rsid w:val="00C505A8"/>
    <w:rsid w:val="00C5061B"/>
    <w:rsid w:val="00C51676"/>
    <w:rsid w:val="00C51A7E"/>
    <w:rsid w:val="00C51BB7"/>
    <w:rsid w:val="00C51C6C"/>
    <w:rsid w:val="00C521EA"/>
    <w:rsid w:val="00C529B4"/>
    <w:rsid w:val="00C53094"/>
    <w:rsid w:val="00C537E6"/>
    <w:rsid w:val="00C53BFA"/>
    <w:rsid w:val="00C55676"/>
    <w:rsid w:val="00C565D8"/>
    <w:rsid w:val="00C574EA"/>
    <w:rsid w:val="00C5784C"/>
    <w:rsid w:val="00C579B1"/>
    <w:rsid w:val="00C57A92"/>
    <w:rsid w:val="00C60A0C"/>
    <w:rsid w:val="00C612B8"/>
    <w:rsid w:val="00C615CD"/>
    <w:rsid w:val="00C61983"/>
    <w:rsid w:val="00C62281"/>
    <w:rsid w:val="00C62858"/>
    <w:rsid w:val="00C62EE7"/>
    <w:rsid w:val="00C63205"/>
    <w:rsid w:val="00C634D0"/>
    <w:rsid w:val="00C63A63"/>
    <w:rsid w:val="00C64863"/>
    <w:rsid w:val="00C64D9D"/>
    <w:rsid w:val="00C663ED"/>
    <w:rsid w:val="00C67D21"/>
    <w:rsid w:val="00C67F05"/>
    <w:rsid w:val="00C70D5A"/>
    <w:rsid w:val="00C70E87"/>
    <w:rsid w:val="00C70F64"/>
    <w:rsid w:val="00C72AAA"/>
    <w:rsid w:val="00C73BD1"/>
    <w:rsid w:val="00C73E79"/>
    <w:rsid w:val="00C74B2E"/>
    <w:rsid w:val="00C74C09"/>
    <w:rsid w:val="00C750EB"/>
    <w:rsid w:val="00C75BB6"/>
    <w:rsid w:val="00C75E5C"/>
    <w:rsid w:val="00C76D61"/>
    <w:rsid w:val="00C779A1"/>
    <w:rsid w:val="00C8058B"/>
    <w:rsid w:val="00C8096C"/>
    <w:rsid w:val="00C810E6"/>
    <w:rsid w:val="00C829E3"/>
    <w:rsid w:val="00C82F0E"/>
    <w:rsid w:val="00C8385C"/>
    <w:rsid w:val="00C83EAF"/>
    <w:rsid w:val="00C83F2B"/>
    <w:rsid w:val="00C846C2"/>
    <w:rsid w:val="00C84CF7"/>
    <w:rsid w:val="00C85D50"/>
    <w:rsid w:val="00C86232"/>
    <w:rsid w:val="00C86F0C"/>
    <w:rsid w:val="00C87E03"/>
    <w:rsid w:val="00C912EE"/>
    <w:rsid w:val="00C93280"/>
    <w:rsid w:val="00C9455A"/>
    <w:rsid w:val="00C94567"/>
    <w:rsid w:val="00C947FF"/>
    <w:rsid w:val="00C94917"/>
    <w:rsid w:val="00C94BDE"/>
    <w:rsid w:val="00C953B9"/>
    <w:rsid w:val="00C9600C"/>
    <w:rsid w:val="00C96821"/>
    <w:rsid w:val="00C96AAD"/>
    <w:rsid w:val="00CA0721"/>
    <w:rsid w:val="00CA0893"/>
    <w:rsid w:val="00CA0CB3"/>
    <w:rsid w:val="00CA1464"/>
    <w:rsid w:val="00CA1506"/>
    <w:rsid w:val="00CA1564"/>
    <w:rsid w:val="00CA17F5"/>
    <w:rsid w:val="00CA20FD"/>
    <w:rsid w:val="00CA2A5D"/>
    <w:rsid w:val="00CA3786"/>
    <w:rsid w:val="00CA41D2"/>
    <w:rsid w:val="00CA4F20"/>
    <w:rsid w:val="00CA5B6A"/>
    <w:rsid w:val="00CA5D7E"/>
    <w:rsid w:val="00CA694E"/>
    <w:rsid w:val="00CA6970"/>
    <w:rsid w:val="00CA7103"/>
    <w:rsid w:val="00CB0922"/>
    <w:rsid w:val="00CB17F3"/>
    <w:rsid w:val="00CB1E64"/>
    <w:rsid w:val="00CB2A64"/>
    <w:rsid w:val="00CB2CAE"/>
    <w:rsid w:val="00CB3485"/>
    <w:rsid w:val="00CB42FF"/>
    <w:rsid w:val="00CB4814"/>
    <w:rsid w:val="00CB4C31"/>
    <w:rsid w:val="00CB531C"/>
    <w:rsid w:val="00CB5AA7"/>
    <w:rsid w:val="00CB5F84"/>
    <w:rsid w:val="00CB61FD"/>
    <w:rsid w:val="00CB6941"/>
    <w:rsid w:val="00CC0220"/>
    <w:rsid w:val="00CC025E"/>
    <w:rsid w:val="00CC1A59"/>
    <w:rsid w:val="00CC2363"/>
    <w:rsid w:val="00CC24BA"/>
    <w:rsid w:val="00CC283F"/>
    <w:rsid w:val="00CC3575"/>
    <w:rsid w:val="00CC430C"/>
    <w:rsid w:val="00CC4761"/>
    <w:rsid w:val="00CC481F"/>
    <w:rsid w:val="00CC4E66"/>
    <w:rsid w:val="00CC5609"/>
    <w:rsid w:val="00CC5AFF"/>
    <w:rsid w:val="00CC5FD8"/>
    <w:rsid w:val="00CC6077"/>
    <w:rsid w:val="00CC6108"/>
    <w:rsid w:val="00CC728D"/>
    <w:rsid w:val="00CD12BC"/>
    <w:rsid w:val="00CD1515"/>
    <w:rsid w:val="00CD28DB"/>
    <w:rsid w:val="00CD3419"/>
    <w:rsid w:val="00CD3579"/>
    <w:rsid w:val="00CD45AA"/>
    <w:rsid w:val="00CD48DC"/>
    <w:rsid w:val="00CD4A6C"/>
    <w:rsid w:val="00CD693E"/>
    <w:rsid w:val="00CD7134"/>
    <w:rsid w:val="00CD72C3"/>
    <w:rsid w:val="00CE0475"/>
    <w:rsid w:val="00CE051D"/>
    <w:rsid w:val="00CE08D1"/>
    <w:rsid w:val="00CE0DA8"/>
    <w:rsid w:val="00CE180C"/>
    <w:rsid w:val="00CE2188"/>
    <w:rsid w:val="00CE2FE6"/>
    <w:rsid w:val="00CE314D"/>
    <w:rsid w:val="00CE3207"/>
    <w:rsid w:val="00CE33FC"/>
    <w:rsid w:val="00CE406A"/>
    <w:rsid w:val="00CE4FAF"/>
    <w:rsid w:val="00CE5111"/>
    <w:rsid w:val="00CE5337"/>
    <w:rsid w:val="00CE5635"/>
    <w:rsid w:val="00CE57C8"/>
    <w:rsid w:val="00CE5CDE"/>
    <w:rsid w:val="00CE5FA3"/>
    <w:rsid w:val="00CE63F7"/>
    <w:rsid w:val="00CE6FBB"/>
    <w:rsid w:val="00CE7BF3"/>
    <w:rsid w:val="00CF06E9"/>
    <w:rsid w:val="00CF072B"/>
    <w:rsid w:val="00CF0880"/>
    <w:rsid w:val="00CF1600"/>
    <w:rsid w:val="00CF17AC"/>
    <w:rsid w:val="00CF1D2C"/>
    <w:rsid w:val="00CF24C2"/>
    <w:rsid w:val="00CF2B7C"/>
    <w:rsid w:val="00CF2C24"/>
    <w:rsid w:val="00CF35F1"/>
    <w:rsid w:val="00CF3A89"/>
    <w:rsid w:val="00CF4D6C"/>
    <w:rsid w:val="00CF4FD1"/>
    <w:rsid w:val="00CF5A29"/>
    <w:rsid w:val="00CF7585"/>
    <w:rsid w:val="00D00DBE"/>
    <w:rsid w:val="00D030F8"/>
    <w:rsid w:val="00D03525"/>
    <w:rsid w:val="00D0441A"/>
    <w:rsid w:val="00D04EE8"/>
    <w:rsid w:val="00D0565B"/>
    <w:rsid w:val="00D0622A"/>
    <w:rsid w:val="00D063B0"/>
    <w:rsid w:val="00D068AB"/>
    <w:rsid w:val="00D06C64"/>
    <w:rsid w:val="00D07DE0"/>
    <w:rsid w:val="00D101BA"/>
    <w:rsid w:val="00D11345"/>
    <w:rsid w:val="00D12D1B"/>
    <w:rsid w:val="00D14E4D"/>
    <w:rsid w:val="00D162D1"/>
    <w:rsid w:val="00D164E9"/>
    <w:rsid w:val="00D166E8"/>
    <w:rsid w:val="00D168BC"/>
    <w:rsid w:val="00D1718F"/>
    <w:rsid w:val="00D1727A"/>
    <w:rsid w:val="00D2004F"/>
    <w:rsid w:val="00D208C7"/>
    <w:rsid w:val="00D21B4A"/>
    <w:rsid w:val="00D225EE"/>
    <w:rsid w:val="00D22748"/>
    <w:rsid w:val="00D228A9"/>
    <w:rsid w:val="00D228F7"/>
    <w:rsid w:val="00D230E8"/>
    <w:rsid w:val="00D2378D"/>
    <w:rsid w:val="00D23B61"/>
    <w:rsid w:val="00D24746"/>
    <w:rsid w:val="00D252AD"/>
    <w:rsid w:val="00D252D7"/>
    <w:rsid w:val="00D2681D"/>
    <w:rsid w:val="00D26918"/>
    <w:rsid w:val="00D269A3"/>
    <w:rsid w:val="00D26B16"/>
    <w:rsid w:val="00D278C0"/>
    <w:rsid w:val="00D304E7"/>
    <w:rsid w:val="00D31393"/>
    <w:rsid w:val="00D3142B"/>
    <w:rsid w:val="00D31DB5"/>
    <w:rsid w:val="00D32B66"/>
    <w:rsid w:val="00D3437B"/>
    <w:rsid w:val="00D34815"/>
    <w:rsid w:val="00D34B3B"/>
    <w:rsid w:val="00D34D3C"/>
    <w:rsid w:val="00D3518E"/>
    <w:rsid w:val="00D35B69"/>
    <w:rsid w:val="00D35C48"/>
    <w:rsid w:val="00D36B36"/>
    <w:rsid w:val="00D37121"/>
    <w:rsid w:val="00D37879"/>
    <w:rsid w:val="00D37F29"/>
    <w:rsid w:val="00D407E6"/>
    <w:rsid w:val="00D40877"/>
    <w:rsid w:val="00D40F26"/>
    <w:rsid w:val="00D4140C"/>
    <w:rsid w:val="00D41A8E"/>
    <w:rsid w:val="00D41F80"/>
    <w:rsid w:val="00D422EE"/>
    <w:rsid w:val="00D452FE"/>
    <w:rsid w:val="00D4633A"/>
    <w:rsid w:val="00D46442"/>
    <w:rsid w:val="00D46569"/>
    <w:rsid w:val="00D47A8A"/>
    <w:rsid w:val="00D47E15"/>
    <w:rsid w:val="00D47E95"/>
    <w:rsid w:val="00D50BAB"/>
    <w:rsid w:val="00D518BD"/>
    <w:rsid w:val="00D51B0F"/>
    <w:rsid w:val="00D52671"/>
    <w:rsid w:val="00D53384"/>
    <w:rsid w:val="00D53D04"/>
    <w:rsid w:val="00D54B9B"/>
    <w:rsid w:val="00D54C77"/>
    <w:rsid w:val="00D55061"/>
    <w:rsid w:val="00D5691F"/>
    <w:rsid w:val="00D57258"/>
    <w:rsid w:val="00D577CD"/>
    <w:rsid w:val="00D57F04"/>
    <w:rsid w:val="00D61695"/>
    <w:rsid w:val="00D63A27"/>
    <w:rsid w:val="00D63A7B"/>
    <w:rsid w:val="00D63BB7"/>
    <w:rsid w:val="00D64260"/>
    <w:rsid w:val="00D658DD"/>
    <w:rsid w:val="00D65B0A"/>
    <w:rsid w:val="00D66057"/>
    <w:rsid w:val="00D66958"/>
    <w:rsid w:val="00D67A1C"/>
    <w:rsid w:val="00D67E30"/>
    <w:rsid w:val="00D7076D"/>
    <w:rsid w:val="00D71806"/>
    <w:rsid w:val="00D72657"/>
    <w:rsid w:val="00D72CB4"/>
    <w:rsid w:val="00D72CEA"/>
    <w:rsid w:val="00D74019"/>
    <w:rsid w:val="00D759B9"/>
    <w:rsid w:val="00D765FA"/>
    <w:rsid w:val="00D7706A"/>
    <w:rsid w:val="00D775C1"/>
    <w:rsid w:val="00D779F7"/>
    <w:rsid w:val="00D77D0A"/>
    <w:rsid w:val="00D77DCD"/>
    <w:rsid w:val="00D80300"/>
    <w:rsid w:val="00D80E5B"/>
    <w:rsid w:val="00D810D9"/>
    <w:rsid w:val="00D81399"/>
    <w:rsid w:val="00D82EA4"/>
    <w:rsid w:val="00D84714"/>
    <w:rsid w:val="00D84B42"/>
    <w:rsid w:val="00D84B45"/>
    <w:rsid w:val="00D84CD9"/>
    <w:rsid w:val="00D84DE6"/>
    <w:rsid w:val="00D85671"/>
    <w:rsid w:val="00D85900"/>
    <w:rsid w:val="00D85E5A"/>
    <w:rsid w:val="00D87406"/>
    <w:rsid w:val="00D87542"/>
    <w:rsid w:val="00D87606"/>
    <w:rsid w:val="00D87E96"/>
    <w:rsid w:val="00D903AB"/>
    <w:rsid w:val="00D914AA"/>
    <w:rsid w:val="00D9173A"/>
    <w:rsid w:val="00D9235F"/>
    <w:rsid w:val="00D938B9"/>
    <w:rsid w:val="00D947D7"/>
    <w:rsid w:val="00D950D8"/>
    <w:rsid w:val="00D9534B"/>
    <w:rsid w:val="00D955CF"/>
    <w:rsid w:val="00D95C20"/>
    <w:rsid w:val="00D95F3B"/>
    <w:rsid w:val="00D9616D"/>
    <w:rsid w:val="00D962AC"/>
    <w:rsid w:val="00D971A7"/>
    <w:rsid w:val="00D978C2"/>
    <w:rsid w:val="00D97AD6"/>
    <w:rsid w:val="00D97C16"/>
    <w:rsid w:val="00D97EFF"/>
    <w:rsid w:val="00DA0456"/>
    <w:rsid w:val="00DA06B2"/>
    <w:rsid w:val="00DA08A2"/>
    <w:rsid w:val="00DA0BAB"/>
    <w:rsid w:val="00DA0BB2"/>
    <w:rsid w:val="00DA117F"/>
    <w:rsid w:val="00DA13F1"/>
    <w:rsid w:val="00DA1ADB"/>
    <w:rsid w:val="00DA1B49"/>
    <w:rsid w:val="00DA251C"/>
    <w:rsid w:val="00DA2599"/>
    <w:rsid w:val="00DA2AB5"/>
    <w:rsid w:val="00DA5641"/>
    <w:rsid w:val="00DA6C46"/>
    <w:rsid w:val="00DB22E2"/>
    <w:rsid w:val="00DB265B"/>
    <w:rsid w:val="00DB2D81"/>
    <w:rsid w:val="00DB36AB"/>
    <w:rsid w:val="00DB403B"/>
    <w:rsid w:val="00DB6757"/>
    <w:rsid w:val="00DB692C"/>
    <w:rsid w:val="00DC2C86"/>
    <w:rsid w:val="00DC32B6"/>
    <w:rsid w:val="00DC382E"/>
    <w:rsid w:val="00DC3E7D"/>
    <w:rsid w:val="00DC4CE2"/>
    <w:rsid w:val="00DC509F"/>
    <w:rsid w:val="00DC5986"/>
    <w:rsid w:val="00DC6FBB"/>
    <w:rsid w:val="00DC754C"/>
    <w:rsid w:val="00DC7B8D"/>
    <w:rsid w:val="00DD020A"/>
    <w:rsid w:val="00DD0C74"/>
    <w:rsid w:val="00DD1117"/>
    <w:rsid w:val="00DD17E0"/>
    <w:rsid w:val="00DD1C59"/>
    <w:rsid w:val="00DD2580"/>
    <w:rsid w:val="00DD3261"/>
    <w:rsid w:val="00DD36D7"/>
    <w:rsid w:val="00DD3B31"/>
    <w:rsid w:val="00DD3FC9"/>
    <w:rsid w:val="00DD53B4"/>
    <w:rsid w:val="00DD57FB"/>
    <w:rsid w:val="00DD5AFE"/>
    <w:rsid w:val="00DD5D99"/>
    <w:rsid w:val="00DD6DEB"/>
    <w:rsid w:val="00DD7D8B"/>
    <w:rsid w:val="00DD7EED"/>
    <w:rsid w:val="00DE14BB"/>
    <w:rsid w:val="00DE20A2"/>
    <w:rsid w:val="00DE2775"/>
    <w:rsid w:val="00DE2DA3"/>
    <w:rsid w:val="00DE3422"/>
    <w:rsid w:val="00DE50E8"/>
    <w:rsid w:val="00DE51C5"/>
    <w:rsid w:val="00DE5236"/>
    <w:rsid w:val="00DE5774"/>
    <w:rsid w:val="00DE5963"/>
    <w:rsid w:val="00DE6864"/>
    <w:rsid w:val="00DE7018"/>
    <w:rsid w:val="00DE79F0"/>
    <w:rsid w:val="00DE7C39"/>
    <w:rsid w:val="00DF1847"/>
    <w:rsid w:val="00DF23DE"/>
    <w:rsid w:val="00DF24BB"/>
    <w:rsid w:val="00DF26A9"/>
    <w:rsid w:val="00DF3165"/>
    <w:rsid w:val="00DF3189"/>
    <w:rsid w:val="00DF4999"/>
    <w:rsid w:val="00DF5304"/>
    <w:rsid w:val="00DF5597"/>
    <w:rsid w:val="00DF57D8"/>
    <w:rsid w:val="00DF5E36"/>
    <w:rsid w:val="00DF6402"/>
    <w:rsid w:val="00DF654E"/>
    <w:rsid w:val="00DF7627"/>
    <w:rsid w:val="00E0026D"/>
    <w:rsid w:val="00E01582"/>
    <w:rsid w:val="00E0197C"/>
    <w:rsid w:val="00E0242A"/>
    <w:rsid w:val="00E04492"/>
    <w:rsid w:val="00E05419"/>
    <w:rsid w:val="00E0611C"/>
    <w:rsid w:val="00E0639E"/>
    <w:rsid w:val="00E107F5"/>
    <w:rsid w:val="00E108E8"/>
    <w:rsid w:val="00E10B4D"/>
    <w:rsid w:val="00E10C1F"/>
    <w:rsid w:val="00E11041"/>
    <w:rsid w:val="00E124EC"/>
    <w:rsid w:val="00E12CA3"/>
    <w:rsid w:val="00E1376B"/>
    <w:rsid w:val="00E13E56"/>
    <w:rsid w:val="00E144AF"/>
    <w:rsid w:val="00E150DF"/>
    <w:rsid w:val="00E1570F"/>
    <w:rsid w:val="00E1603E"/>
    <w:rsid w:val="00E179DB"/>
    <w:rsid w:val="00E20220"/>
    <w:rsid w:val="00E2221D"/>
    <w:rsid w:val="00E22440"/>
    <w:rsid w:val="00E2247F"/>
    <w:rsid w:val="00E22899"/>
    <w:rsid w:val="00E22BE4"/>
    <w:rsid w:val="00E23F69"/>
    <w:rsid w:val="00E24E1D"/>
    <w:rsid w:val="00E2505A"/>
    <w:rsid w:val="00E251DC"/>
    <w:rsid w:val="00E252B5"/>
    <w:rsid w:val="00E25B4D"/>
    <w:rsid w:val="00E2637B"/>
    <w:rsid w:val="00E2640B"/>
    <w:rsid w:val="00E26C4C"/>
    <w:rsid w:val="00E26EE2"/>
    <w:rsid w:val="00E3020C"/>
    <w:rsid w:val="00E30284"/>
    <w:rsid w:val="00E30699"/>
    <w:rsid w:val="00E3082F"/>
    <w:rsid w:val="00E30F3D"/>
    <w:rsid w:val="00E30FF7"/>
    <w:rsid w:val="00E3102F"/>
    <w:rsid w:val="00E31C5C"/>
    <w:rsid w:val="00E31FDD"/>
    <w:rsid w:val="00E3249D"/>
    <w:rsid w:val="00E32C59"/>
    <w:rsid w:val="00E334E4"/>
    <w:rsid w:val="00E33E26"/>
    <w:rsid w:val="00E33F7D"/>
    <w:rsid w:val="00E343DA"/>
    <w:rsid w:val="00E34517"/>
    <w:rsid w:val="00E34F59"/>
    <w:rsid w:val="00E35682"/>
    <w:rsid w:val="00E361AF"/>
    <w:rsid w:val="00E36FEC"/>
    <w:rsid w:val="00E377AB"/>
    <w:rsid w:val="00E4025C"/>
    <w:rsid w:val="00E407D0"/>
    <w:rsid w:val="00E412A9"/>
    <w:rsid w:val="00E418B2"/>
    <w:rsid w:val="00E41ADF"/>
    <w:rsid w:val="00E42815"/>
    <w:rsid w:val="00E43373"/>
    <w:rsid w:val="00E44873"/>
    <w:rsid w:val="00E44A70"/>
    <w:rsid w:val="00E44E36"/>
    <w:rsid w:val="00E459DF"/>
    <w:rsid w:val="00E464A3"/>
    <w:rsid w:val="00E46EA3"/>
    <w:rsid w:val="00E472A7"/>
    <w:rsid w:val="00E4758A"/>
    <w:rsid w:val="00E47B42"/>
    <w:rsid w:val="00E5074A"/>
    <w:rsid w:val="00E5132F"/>
    <w:rsid w:val="00E520FE"/>
    <w:rsid w:val="00E526FA"/>
    <w:rsid w:val="00E53A64"/>
    <w:rsid w:val="00E53DA7"/>
    <w:rsid w:val="00E54700"/>
    <w:rsid w:val="00E55D30"/>
    <w:rsid w:val="00E56410"/>
    <w:rsid w:val="00E56642"/>
    <w:rsid w:val="00E575BE"/>
    <w:rsid w:val="00E5797C"/>
    <w:rsid w:val="00E57A3A"/>
    <w:rsid w:val="00E612F8"/>
    <w:rsid w:val="00E6156B"/>
    <w:rsid w:val="00E61A9F"/>
    <w:rsid w:val="00E62431"/>
    <w:rsid w:val="00E62E12"/>
    <w:rsid w:val="00E62F2C"/>
    <w:rsid w:val="00E63508"/>
    <w:rsid w:val="00E63966"/>
    <w:rsid w:val="00E63F2B"/>
    <w:rsid w:val="00E64669"/>
    <w:rsid w:val="00E65B39"/>
    <w:rsid w:val="00E6615D"/>
    <w:rsid w:val="00E665EF"/>
    <w:rsid w:val="00E66940"/>
    <w:rsid w:val="00E6735B"/>
    <w:rsid w:val="00E67661"/>
    <w:rsid w:val="00E67B4D"/>
    <w:rsid w:val="00E67B6C"/>
    <w:rsid w:val="00E67B76"/>
    <w:rsid w:val="00E70B30"/>
    <w:rsid w:val="00E7142C"/>
    <w:rsid w:val="00E718FA"/>
    <w:rsid w:val="00E7198F"/>
    <w:rsid w:val="00E71B13"/>
    <w:rsid w:val="00E73547"/>
    <w:rsid w:val="00E737BA"/>
    <w:rsid w:val="00E73A08"/>
    <w:rsid w:val="00E740F0"/>
    <w:rsid w:val="00E74613"/>
    <w:rsid w:val="00E74DD1"/>
    <w:rsid w:val="00E754D6"/>
    <w:rsid w:val="00E75A33"/>
    <w:rsid w:val="00E76105"/>
    <w:rsid w:val="00E766BB"/>
    <w:rsid w:val="00E76911"/>
    <w:rsid w:val="00E771F1"/>
    <w:rsid w:val="00E77B7D"/>
    <w:rsid w:val="00E77ECC"/>
    <w:rsid w:val="00E81353"/>
    <w:rsid w:val="00E8136B"/>
    <w:rsid w:val="00E8137E"/>
    <w:rsid w:val="00E818A3"/>
    <w:rsid w:val="00E81E7B"/>
    <w:rsid w:val="00E8206E"/>
    <w:rsid w:val="00E82381"/>
    <w:rsid w:val="00E82485"/>
    <w:rsid w:val="00E8280D"/>
    <w:rsid w:val="00E82B7B"/>
    <w:rsid w:val="00E82CE2"/>
    <w:rsid w:val="00E82FEF"/>
    <w:rsid w:val="00E8352E"/>
    <w:rsid w:val="00E839B3"/>
    <w:rsid w:val="00E84104"/>
    <w:rsid w:val="00E846C2"/>
    <w:rsid w:val="00E85322"/>
    <w:rsid w:val="00E85B4F"/>
    <w:rsid w:val="00E85E93"/>
    <w:rsid w:val="00E86655"/>
    <w:rsid w:val="00E86903"/>
    <w:rsid w:val="00E87141"/>
    <w:rsid w:val="00E8773A"/>
    <w:rsid w:val="00E90348"/>
    <w:rsid w:val="00E90D9D"/>
    <w:rsid w:val="00E91405"/>
    <w:rsid w:val="00E92E02"/>
    <w:rsid w:val="00E94FD5"/>
    <w:rsid w:val="00E9621F"/>
    <w:rsid w:val="00E97B6F"/>
    <w:rsid w:val="00E97F7F"/>
    <w:rsid w:val="00EA008E"/>
    <w:rsid w:val="00EA03B2"/>
    <w:rsid w:val="00EA091C"/>
    <w:rsid w:val="00EA14C7"/>
    <w:rsid w:val="00EA1AD9"/>
    <w:rsid w:val="00EA1F67"/>
    <w:rsid w:val="00EA267C"/>
    <w:rsid w:val="00EA2FAD"/>
    <w:rsid w:val="00EA4B0E"/>
    <w:rsid w:val="00EA4D53"/>
    <w:rsid w:val="00EA5501"/>
    <w:rsid w:val="00EA5D59"/>
    <w:rsid w:val="00EA5E02"/>
    <w:rsid w:val="00EA70EE"/>
    <w:rsid w:val="00EA7AB0"/>
    <w:rsid w:val="00EA7B5A"/>
    <w:rsid w:val="00EA7B88"/>
    <w:rsid w:val="00EA7EDA"/>
    <w:rsid w:val="00EA7FD9"/>
    <w:rsid w:val="00EB09D9"/>
    <w:rsid w:val="00EB0D18"/>
    <w:rsid w:val="00EB111E"/>
    <w:rsid w:val="00EB1144"/>
    <w:rsid w:val="00EB1B6C"/>
    <w:rsid w:val="00EB1CC3"/>
    <w:rsid w:val="00EB2FC5"/>
    <w:rsid w:val="00EB3801"/>
    <w:rsid w:val="00EB39B3"/>
    <w:rsid w:val="00EB4274"/>
    <w:rsid w:val="00EB5FEA"/>
    <w:rsid w:val="00EB743E"/>
    <w:rsid w:val="00EC1A13"/>
    <w:rsid w:val="00EC25D3"/>
    <w:rsid w:val="00EC2D15"/>
    <w:rsid w:val="00EC46A1"/>
    <w:rsid w:val="00EC52A7"/>
    <w:rsid w:val="00EC557F"/>
    <w:rsid w:val="00EC5F0F"/>
    <w:rsid w:val="00EC60BA"/>
    <w:rsid w:val="00EC6B44"/>
    <w:rsid w:val="00EC767D"/>
    <w:rsid w:val="00ED0934"/>
    <w:rsid w:val="00ED17F6"/>
    <w:rsid w:val="00ED1BE8"/>
    <w:rsid w:val="00ED25F0"/>
    <w:rsid w:val="00ED44B9"/>
    <w:rsid w:val="00ED4A82"/>
    <w:rsid w:val="00ED4F79"/>
    <w:rsid w:val="00ED51AD"/>
    <w:rsid w:val="00ED5283"/>
    <w:rsid w:val="00ED5294"/>
    <w:rsid w:val="00ED590E"/>
    <w:rsid w:val="00ED61C6"/>
    <w:rsid w:val="00ED672F"/>
    <w:rsid w:val="00ED723D"/>
    <w:rsid w:val="00ED76CC"/>
    <w:rsid w:val="00EE00BE"/>
    <w:rsid w:val="00EE0147"/>
    <w:rsid w:val="00EE1C23"/>
    <w:rsid w:val="00EE2378"/>
    <w:rsid w:val="00EE27F3"/>
    <w:rsid w:val="00EE37A3"/>
    <w:rsid w:val="00EE3D36"/>
    <w:rsid w:val="00EE5747"/>
    <w:rsid w:val="00EE58F9"/>
    <w:rsid w:val="00EE7051"/>
    <w:rsid w:val="00EF03BC"/>
    <w:rsid w:val="00EF042B"/>
    <w:rsid w:val="00EF0465"/>
    <w:rsid w:val="00EF0A40"/>
    <w:rsid w:val="00EF1DE4"/>
    <w:rsid w:val="00EF2002"/>
    <w:rsid w:val="00EF34D6"/>
    <w:rsid w:val="00EF4C7A"/>
    <w:rsid w:val="00EF5308"/>
    <w:rsid w:val="00EF5EA6"/>
    <w:rsid w:val="00EF5F22"/>
    <w:rsid w:val="00EF6C00"/>
    <w:rsid w:val="00EF7830"/>
    <w:rsid w:val="00EF7D49"/>
    <w:rsid w:val="00EF7D7E"/>
    <w:rsid w:val="00F00A49"/>
    <w:rsid w:val="00F015F8"/>
    <w:rsid w:val="00F0219A"/>
    <w:rsid w:val="00F025B7"/>
    <w:rsid w:val="00F0293E"/>
    <w:rsid w:val="00F02CC8"/>
    <w:rsid w:val="00F03CA8"/>
    <w:rsid w:val="00F03FAC"/>
    <w:rsid w:val="00F05398"/>
    <w:rsid w:val="00F0545D"/>
    <w:rsid w:val="00F05672"/>
    <w:rsid w:val="00F05779"/>
    <w:rsid w:val="00F0628C"/>
    <w:rsid w:val="00F06814"/>
    <w:rsid w:val="00F06DE9"/>
    <w:rsid w:val="00F07727"/>
    <w:rsid w:val="00F07D90"/>
    <w:rsid w:val="00F1133A"/>
    <w:rsid w:val="00F12637"/>
    <w:rsid w:val="00F13533"/>
    <w:rsid w:val="00F13AC3"/>
    <w:rsid w:val="00F1552B"/>
    <w:rsid w:val="00F1555B"/>
    <w:rsid w:val="00F1713B"/>
    <w:rsid w:val="00F17AD1"/>
    <w:rsid w:val="00F17CDC"/>
    <w:rsid w:val="00F17D12"/>
    <w:rsid w:val="00F17E4A"/>
    <w:rsid w:val="00F20417"/>
    <w:rsid w:val="00F20E90"/>
    <w:rsid w:val="00F2123A"/>
    <w:rsid w:val="00F222FB"/>
    <w:rsid w:val="00F2298C"/>
    <w:rsid w:val="00F22C7B"/>
    <w:rsid w:val="00F22D4D"/>
    <w:rsid w:val="00F23063"/>
    <w:rsid w:val="00F235DD"/>
    <w:rsid w:val="00F23B37"/>
    <w:rsid w:val="00F23DD0"/>
    <w:rsid w:val="00F275C1"/>
    <w:rsid w:val="00F277A8"/>
    <w:rsid w:val="00F311D1"/>
    <w:rsid w:val="00F31373"/>
    <w:rsid w:val="00F31383"/>
    <w:rsid w:val="00F31E66"/>
    <w:rsid w:val="00F3376D"/>
    <w:rsid w:val="00F34C54"/>
    <w:rsid w:val="00F34C92"/>
    <w:rsid w:val="00F36BC4"/>
    <w:rsid w:val="00F37111"/>
    <w:rsid w:val="00F37858"/>
    <w:rsid w:val="00F4094F"/>
    <w:rsid w:val="00F409D1"/>
    <w:rsid w:val="00F4142A"/>
    <w:rsid w:val="00F4192D"/>
    <w:rsid w:val="00F4385E"/>
    <w:rsid w:val="00F44E1E"/>
    <w:rsid w:val="00F4575A"/>
    <w:rsid w:val="00F457D1"/>
    <w:rsid w:val="00F45AD1"/>
    <w:rsid w:val="00F462B5"/>
    <w:rsid w:val="00F46FFF"/>
    <w:rsid w:val="00F47193"/>
    <w:rsid w:val="00F50D4E"/>
    <w:rsid w:val="00F50F9E"/>
    <w:rsid w:val="00F51F3B"/>
    <w:rsid w:val="00F52126"/>
    <w:rsid w:val="00F52780"/>
    <w:rsid w:val="00F52BB9"/>
    <w:rsid w:val="00F5377F"/>
    <w:rsid w:val="00F546BD"/>
    <w:rsid w:val="00F55118"/>
    <w:rsid w:val="00F55AEF"/>
    <w:rsid w:val="00F562DF"/>
    <w:rsid w:val="00F56A27"/>
    <w:rsid w:val="00F61735"/>
    <w:rsid w:val="00F61776"/>
    <w:rsid w:val="00F61E56"/>
    <w:rsid w:val="00F627EB"/>
    <w:rsid w:val="00F63103"/>
    <w:rsid w:val="00F63D38"/>
    <w:rsid w:val="00F6415C"/>
    <w:rsid w:val="00F64B4C"/>
    <w:rsid w:val="00F67768"/>
    <w:rsid w:val="00F703B9"/>
    <w:rsid w:val="00F7078D"/>
    <w:rsid w:val="00F70E38"/>
    <w:rsid w:val="00F71B52"/>
    <w:rsid w:val="00F72CF1"/>
    <w:rsid w:val="00F736A0"/>
    <w:rsid w:val="00F7396B"/>
    <w:rsid w:val="00F73A9F"/>
    <w:rsid w:val="00F74936"/>
    <w:rsid w:val="00F75A10"/>
    <w:rsid w:val="00F75B32"/>
    <w:rsid w:val="00F76D8F"/>
    <w:rsid w:val="00F77276"/>
    <w:rsid w:val="00F7737D"/>
    <w:rsid w:val="00F80600"/>
    <w:rsid w:val="00F8211A"/>
    <w:rsid w:val="00F830EE"/>
    <w:rsid w:val="00F83D21"/>
    <w:rsid w:val="00F841F3"/>
    <w:rsid w:val="00F849F7"/>
    <w:rsid w:val="00F8521C"/>
    <w:rsid w:val="00F85257"/>
    <w:rsid w:val="00F86F29"/>
    <w:rsid w:val="00F87261"/>
    <w:rsid w:val="00F87C86"/>
    <w:rsid w:val="00F90C69"/>
    <w:rsid w:val="00F9176A"/>
    <w:rsid w:val="00F91B13"/>
    <w:rsid w:val="00F92AF8"/>
    <w:rsid w:val="00F936DB"/>
    <w:rsid w:val="00F93A03"/>
    <w:rsid w:val="00F93E87"/>
    <w:rsid w:val="00F94F80"/>
    <w:rsid w:val="00F959A1"/>
    <w:rsid w:val="00F95BAA"/>
    <w:rsid w:val="00F95F27"/>
    <w:rsid w:val="00FA079C"/>
    <w:rsid w:val="00FA19AE"/>
    <w:rsid w:val="00FA336A"/>
    <w:rsid w:val="00FA36DD"/>
    <w:rsid w:val="00FA38C2"/>
    <w:rsid w:val="00FA4B6C"/>
    <w:rsid w:val="00FA51EF"/>
    <w:rsid w:val="00FA5806"/>
    <w:rsid w:val="00FA5C1F"/>
    <w:rsid w:val="00FA5D4C"/>
    <w:rsid w:val="00FA6628"/>
    <w:rsid w:val="00FA6BF5"/>
    <w:rsid w:val="00FA747C"/>
    <w:rsid w:val="00FA7F94"/>
    <w:rsid w:val="00FB01A4"/>
    <w:rsid w:val="00FB135B"/>
    <w:rsid w:val="00FB1C9C"/>
    <w:rsid w:val="00FB2023"/>
    <w:rsid w:val="00FB2E00"/>
    <w:rsid w:val="00FB3151"/>
    <w:rsid w:val="00FB3F26"/>
    <w:rsid w:val="00FB41EF"/>
    <w:rsid w:val="00FB4B51"/>
    <w:rsid w:val="00FB5980"/>
    <w:rsid w:val="00FB5B27"/>
    <w:rsid w:val="00FB6352"/>
    <w:rsid w:val="00FB64F9"/>
    <w:rsid w:val="00FB6DAA"/>
    <w:rsid w:val="00FC114F"/>
    <w:rsid w:val="00FC1499"/>
    <w:rsid w:val="00FC1675"/>
    <w:rsid w:val="00FC22B7"/>
    <w:rsid w:val="00FC273D"/>
    <w:rsid w:val="00FC2B3C"/>
    <w:rsid w:val="00FC3213"/>
    <w:rsid w:val="00FC360E"/>
    <w:rsid w:val="00FC37CD"/>
    <w:rsid w:val="00FC4565"/>
    <w:rsid w:val="00FC4752"/>
    <w:rsid w:val="00FC48C6"/>
    <w:rsid w:val="00FC6122"/>
    <w:rsid w:val="00FC6432"/>
    <w:rsid w:val="00FC6DD1"/>
    <w:rsid w:val="00FD03C8"/>
    <w:rsid w:val="00FD0684"/>
    <w:rsid w:val="00FD0E88"/>
    <w:rsid w:val="00FD1345"/>
    <w:rsid w:val="00FD210A"/>
    <w:rsid w:val="00FD21D2"/>
    <w:rsid w:val="00FD2C12"/>
    <w:rsid w:val="00FD5419"/>
    <w:rsid w:val="00FD5A33"/>
    <w:rsid w:val="00FD64BF"/>
    <w:rsid w:val="00FD695B"/>
    <w:rsid w:val="00FD697F"/>
    <w:rsid w:val="00FD6BF3"/>
    <w:rsid w:val="00FD6DB5"/>
    <w:rsid w:val="00FD71CC"/>
    <w:rsid w:val="00FD7688"/>
    <w:rsid w:val="00FE008A"/>
    <w:rsid w:val="00FE04D2"/>
    <w:rsid w:val="00FE10C1"/>
    <w:rsid w:val="00FE1432"/>
    <w:rsid w:val="00FE29DD"/>
    <w:rsid w:val="00FE2DFE"/>
    <w:rsid w:val="00FE3ADC"/>
    <w:rsid w:val="00FE43A0"/>
    <w:rsid w:val="00FE4AFD"/>
    <w:rsid w:val="00FE4C21"/>
    <w:rsid w:val="00FE4ED5"/>
    <w:rsid w:val="00FE4EEB"/>
    <w:rsid w:val="00FE5CBF"/>
    <w:rsid w:val="00FE6A9A"/>
    <w:rsid w:val="00FE716C"/>
    <w:rsid w:val="00FE75DB"/>
    <w:rsid w:val="00FE7AE1"/>
    <w:rsid w:val="00FE7BDB"/>
    <w:rsid w:val="00FE7D1F"/>
    <w:rsid w:val="00FF02B6"/>
    <w:rsid w:val="00FF0652"/>
    <w:rsid w:val="00FF0BAB"/>
    <w:rsid w:val="00FF1283"/>
    <w:rsid w:val="00FF1F83"/>
    <w:rsid w:val="00FF2478"/>
    <w:rsid w:val="00FF26BD"/>
    <w:rsid w:val="00FF3231"/>
    <w:rsid w:val="00FF3F1A"/>
    <w:rsid w:val="00FF667D"/>
    <w:rsid w:val="00FF6AB4"/>
    <w:rsid w:val="00FF6FE2"/>
    <w:rsid w:val="00FF7123"/>
    <w:rsid w:val="00FF7459"/>
    <w:rsid w:val="00FF75C0"/>
    <w:rsid w:val="00FF7CC8"/>
  </w:rsids>
  <w:docVars>
    <w:docVar w:name="btnwarning" w:val="1"/>
    <w:docVar w:name="sivug" w:val="0"/>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1A9FCDBE-8F06-4191-8675-98AE76E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David"/>
        <w:lang w:val="en-US" w:eastAsia="en-US" w:bidi="he-IL"/>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A4"/>
    <w:pPr>
      <w:bidi/>
      <w:spacing w:line="312" w:lineRule="auto"/>
      <w:jc w:val="both"/>
    </w:pPr>
    <w:rPr>
      <w:szCs w:val="24"/>
    </w:rPr>
  </w:style>
  <w:style w:type="paragraph" w:styleId="Heading1">
    <w:name w:val="heading 1"/>
    <w:basedOn w:val="Normal"/>
    <w:next w:val="Normal"/>
    <w:link w:val="1"/>
    <w:uiPriority w:val="1"/>
    <w:qFormat/>
    <w:rsid w:val="000501A4"/>
    <w:pPr>
      <w:keepNext/>
      <w:keepLines/>
      <w:jc w:val="center"/>
      <w:outlineLvl w:val="0"/>
    </w:pPr>
    <w:rPr>
      <w:rFonts w:eastAsia="Times New Roman"/>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imes New Roman"/>
      <w:bCs/>
      <w:szCs w:val="32"/>
    </w:rPr>
  </w:style>
  <w:style w:type="paragraph" w:styleId="Heading3">
    <w:name w:val="heading 3"/>
    <w:basedOn w:val="Normal"/>
    <w:next w:val="Normal"/>
    <w:link w:val="3"/>
    <w:uiPriority w:val="1"/>
    <w:qFormat/>
    <w:rsid w:val="006D786C"/>
    <w:pPr>
      <w:keepNext/>
      <w:keepLines/>
      <w:spacing w:before="120"/>
      <w:outlineLvl w:val="2"/>
    </w:pPr>
    <w:rPr>
      <w:rFonts w:eastAsia="Times New Roman"/>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imes New Roman"/>
      <w:bCs/>
      <w:szCs w:val="26"/>
    </w:rPr>
  </w:style>
  <w:style w:type="paragraph" w:styleId="Heading5">
    <w:name w:val="heading 5"/>
    <w:basedOn w:val="Normal"/>
    <w:next w:val="Normal"/>
    <w:link w:val="5"/>
    <w:uiPriority w:val="1"/>
    <w:qFormat/>
    <w:rsid w:val="000501A4"/>
    <w:pPr>
      <w:keepNext/>
      <w:keepLines/>
      <w:outlineLvl w:val="4"/>
    </w:pPr>
    <w:rPr>
      <w:rFonts w:eastAsia="Times New Roman"/>
      <w:bCs/>
      <w:spacing w:val="40"/>
    </w:rPr>
  </w:style>
  <w:style w:type="paragraph" w:styleId="Heading6">
    <w:name w:val="heading 6"/>
    <w:basedOn w:val="Normal"/>
    <w:next w:val="Normal"/>
    <w:link w:val="6"/>
    <w:uiPriority w:val="1"/>
    <w:qFormat/>
    <w:rsid w:val="000501A4"/>
    <w:pPr>
      <w:keepNext/>
      <w:keepLines/>
      <w:outlineLvl w:val="5"/>
    </w:pPr>
    <w:rPr>
      <w:rFonts w:eastAsia="Times New Roman"/>
      <w:spacing w:val="40"/>
    </w:rPr>
  </w:style>
  <w:style w:type="paragraph" w:styleId="Heading7">
    <w:name w:val="heading 7"/>
    <w:basedOn w:val="Normal"/>
    <w:next w:val="Normal"/>
    <w:link w:val="7"/>
    <w:uiPriority w:val="1"/>
    <w:qFormat/>
    <w:rsid w:val="000501A4"/>
    <w:pPr>
      <w:keepNext/>
      <w:keepLines/>
      <w:outlineLvl w:val="6"/>
    </w:pPr>
    <w:rPr>
      <w:rFonts w:eastAsia="Times New Roman"/>
      <w:bCs/>
      <w:spacing w:val="40"/>
    </w:rPr>
  </w:style>
  <w:style w:type="paragraph" w:styleId="Heading8">
    <w:name w:val="heading 8"/>
    <w:basedOn w:val="Normal"/>
    <w:next w:val="Normal"/>
    <w:link w:val="8"/>
    <w:uiPriority w:val="1"/>
    <w:qFormat/>
    <w:rsid w:val="000501A4"/>
    <w:pPr>
      <w:keepNext/>
      <w:keepLines/>
      <w:outlineLvl w:val="7"/>
    </w:pPr>
    <w:rPr>
      <w:rFonts w:eastAsia="Times New Roman"/>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uiPriority w:val="1"/>
    <w:rsid w:val="000501A4"/>
    <w:rPr>
      <w:rFonts w:eastAsia="Times New Roman"/>
      <w:bCs/>
      <w:szCs w:val="36"/>
      <w:u w:val="single"/>
    </w:rPr>
  </w:style>
  <w:style w:type="character" w:customStyle="1" w:styleId="2">
    <w:name w:val="כותרת 2 תו"/>
    <w:link w:val="Heading2"/>
    <w:uiPriority w:val="1"/>
    <w:rsid w:val="000501A4"/>
    <w:rPr>
      <w:rFonts w:eastAsia="Times New Roman"/>
      <w:bCs/>
      <w:szCs w:val="32"/>
    </w:rPr>
  </w:style>
  <w:style w:type="character" w:customStyle="1" w:styleId="3">
    <w:name w:val="כותרת 3 תו"/>
    <w:link w:val="Heading3"/>
    <w:uiPriority w:val="1"/>
    <w:rsid w:val="006D786C"/>
    <w:rPr>
      <w:rFonts w:eastAsia="Times New Roman"/>
      <w:bCs/>
      <w:szCs w:val="28"/>
      <w:u w:val="single"/>
    </w:rPr>
  </w:style>
  <w:style w:type="character" w:customStyle="1" w:styleId="4">
    <w:name w:val="כותרת 4 תו"/>
    <w:link w:val="Heading4"/>
    <w:uiPriority w:val="1"/>
    <w:rsid w:val="006D786C"/>
    <w:rPr>
      <w:rFonts w:eastAsia="Times New Roman"/>
      <w:bCs/>
      <w:szCs w:val="26"/>
    </w:rPr>
  </w:style>
  <w:style w:type="character" w:customStyle="1" w:styleId="5">
    <w:name w:val="כותרת 5 תו"/>
    <w:link w:val="Heading5"/>
    <w:uiPriority w:val="1"/>
    <w:rsid w:val="000501A4"/>
    <w:rPr>
      <w:rFonts w:eastAsia="Times New Roman"/>
      <w:bCs/>
      <w:spacing w:val="40"/>
    </w:rPr>
  </w:style>
  <w:style w:type="character" w:customStyle="1" w:styleId="6">
    <w:name w:val="כותרת 6 תו"/>
    <w:link w:val="Heading6"/>
    <w:uiPriority w:val="1"/>
    <w:rsid w:val="000501A4"/>
    <w:rPr>
      <w:rFonts w:eastAsia="Times New Roman"/>
      <w:spacing w:val="40"/>
    </w:rPr>
  </w:style>
  <w:style w:type="character" w:customStyle="1" w:styleId="7">
    <w:name w:val="כותרת 7 תו"/>
    <w:link w:val="Heading7"/>
    <w:uiPriority w:val="1"/>
    <w:rsid w:val="000501A4"/>
    <w:rPr>
      <w:rFonts w:eastAsia="Times New Roman"/>
      <w:bCs/>
      <w:spacing w:val="40"/>
    </w:rPr>
  </w:style>
  <w:style w:type="character" w:customStyle="1" w:styleId="8">
    <w:name w:val="כותרת 8 תו"/>
    <w:link w:val="Heading8"/>
    <w:uiPriority w:val="1"/>
    <w:rsid w:val="000501A4"/>
    <w:rPr>
      <w:rFonts w:eastAsia="Times New Roman"/>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link w:val="FootnoteText"/>
    <w:uiPriority w:val="99"/>
    <w:rsid w:val="00574579"/>
    <w:rPr>
      <w:szCs w:val="20"/>
    </w:rPr>
  </w:style>
  <w:style w:type="character" w:styleId="FootnoteReference">
    <w:name w:val="footnote reference"/>
    <w:uiPriority w:val="99"/>
    <w:semiHidden/>
    <w:unhideWhenUsed/>
    <w:rsid w:val="000501A4"/>
    <w:rPr>
      <w:vertAlign w:val="superscript"/>
    </w:rPr>
  </w:style>
  <w:style w:type="paragraph" w:styleId="BalloonText">
    <w:name w:val="Balloon Text"/>
    <w:basedOn w:val="Normal"/>
    <w:link w:val="a5"/>
    <w:uiPriority w:val="99"/>
    <w:semiHidden/>
    <w:unhideWhenUsed/>
    <w:rsid w:val="00A54E31"/>
    <w:pPr>
      <w:spacing w:line="240" w:lineRule="auto"/>
    </w:pPr>
    <w:rPr>
      <w:rFonts w:ascii="Tahoma" w:hAnsi="Tahoma" w:cs="Tahoma"/>
      <w:sz w:val="16"/>
      <w:szCs w:val="16"/>
    </w:rPr>
  </w:style>
  <w:style w:type="character" w:customStyle="1" w:styleId="a5">
    <w:name w:val="טקסט בלונים תו"/>
    <w:link w:val="BalloonText"/>
    <w:uiPriority w:val="99"/>
    <w:semiHidden/>
    <w:rsid w:val="00A54E31"/>
    <w:rPr>
      <w:rFonts w:ascii="Tahoma" w:hAnsi="Tahoma" w:cs="Tahoma"/>
      <w:sz w:val="16"/>
      <w:szCs w:val="16"/>
    </w:rPr>
  </w:style>
  <w:style w:type="table" w:styleId="TableGrid">
    <w:name w:val="Table Grid"/>
    <w:basedOn w:val="TableNormal"/>
    <w:uiPriority w:val="59"/>
    <w:rsid w:val="007E1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A37F5"/>
    <w:rPr>
      <w:sz w:val="16"/>
      <w:szCs w:val="16"/>
    </w:rPr>
  </w:style>
  <w:style w:type="paragraph" w:styleId="CommentText">
    <w:name w:val="annotation text"/>
    <w:basedOn w:val="Normal"/>
    <w:link w:val="a6"/>
    <w:uiPriority w:val="99"/>
    <w:unhideWhenUsed/>
    <w:rsid w:val="004A37F5"/>
    <w:pPr>
      <w:spacing w:line="240" w:lineRule="auto"/>
    </w:pPr>
    <w:rPr>
      <w:szCs w:val="20"/>
    </w:rPr>
  </w:style>
  <w:style w:type="character" w:customStyle="1" w:styleId="a6">
    <w:name w:val="טקסט הערה תו"/>
    <w:link w:val="CommentText"/>
    <w:uiPriority w:val="99"/>
    <w:rsid w:val="004A37F5"/>
    <w:rPr>
      <w:rFonts w:eastAsia="Calibri"/>
      <w:szCs w:val="20"/>
    </w:rPr>
  </w:style>
  <w:style w:type="paragraph" w:styleId="CommentSubject">
    <w:name w:val="annotation subject"/>
    <w:basedOn w:val="CommentText"/>
    <w:next w:val="CommentText"/>
    <w:link w:val="a7"/>
    <w:uiPriority w:val="99"/>
    <w:semiHidden/>
    <w:unhideWhenUsed/>
    <w:rsid w:val="004A37F5"/>
    <w:rPr>
      <w:b/>
      <w:bCs/>
    </w:rPr>
  </w:style>
  <w:style w:type="character" w:customStyle="1" w:styleId="a7">
    <w:name w:val="נושא הערה תו"/>
    <w:link w:val="CommentSubject"/>
    <w:uiPriority w:val="99"/>
    <w:semiHidden/>
    <w:rsid w:val="004A37F5"/>
    <w:rPr>
      <w:rFonts w:eastAsia="Calibri"/>
      <w:b/>
      <w:bCs/>
      <w:szCs w:val="20"/>
    </w:rPr>
  </w:style>
  <w:style w:type="paragraph" w:styleId="ListParagraph">
    <w:name w:val="List Paragraph"/>
    <w:basedOn w:val="Normal"/>
    <w:uiPriority w:val="34"/>
    <w:qFormat/>
    <w:rsid w:val="004A37F5"/>
    <w:pPr>
      <w:ind w:left="720"/>
      <w:contextualSpacing/>
    </w:pPr>
  </w:style>
  <w:style w:type="paragraph" w:styleId="Revision">
    <w:name w:val="Revision"/>
    <w:hidden/>
    <w:uiPriority w:val="99"/>
    <w:semiHidden/>
    <w:rsid w:val="004A37F5"/>
    <w:rPr>
      <w:szCs w:val="24"/>
    </w:rPr>
  </w:style>
  <w:style w:type="paragraph" w:styleId="TOCHeading">
    <w:name w:val="TOC Heading"/>
    <w:basedOn w:val="Heading1"/>
    <w:next w:val="Normal"/>
    <w:uiPriority w:val="39"/>
    <w:unhideWhenUsed/>
    <w:qFormat/>
    <w:rsid w:val="004A37F5"/>
    <w:pPr>
      <w:spacing w:before="480" w:line="276" w:lineRule="auto"/>
      <w:jc w:val="left"/>
      <w:outlineLvl w:val="9"/>
    </w:pPr>
    <w:rPr>
      <w:rFonts w:ascii="Cambria" w:hAnsi="Cambria" w:cs="Times New Roman"/>
      <w:b/>
      <w:color w:val="365F91"/>
      <w:sz w:val="28"/>
      <w:szCs w:val="28"/>
      <w:u w:val="none"/>
      <w:rtl/>
      <w:cs/>
    </w:rPr>
  </w:style>
  <w:style w:type="paragraph" w:styleId="TOC1">
    <w:name w:val="toc 1"/>
    <w:basedOn w:val="Normal"/>
    <w:next w:val="Normal"/>
    <w:autoRedefine/>
    <w:uiPriority w:val="39"/>
    <w:unhideWhenUsed/>
    <w:qFormat/>
    <w:rsid w:val="004A37F5"/>
    <w:pPr>
      <w:spacing w:after="100"/>
    </w:pPr>
  </w:style>
  <w:style w:type="paragraph" w:styleId="TOC3">
    <w:name w:val="toc 3"/>
    <w:basedOn w:val="Normal"/>
    <w:next w:val="Normal"/>
    <w:autoRedefine/>
    <w:uiPriority w:val="39"/>
    <w:unhideWhenUsed/>
    <w:qFormat/>
    <w:rsid w:val="004A37F5"/>
    <w:pPr>
      <w:spacing w:after="100"/>
      <w:ind w:left="400"/>
    </w:pPr>
  </w:style>
  <w:style w:type="paragraph" w:styleId="TOC2">
    <w:name w:val="toc 2"/>
    <w:basedOn w:val="Normal"/>
    <w:next w:val="Normal"/>
    <w:autoRedefine/>
    <w:uiPriority w:val="39"/>
    <w:unhideWhenUsed/>
    <w:qFormat/>
    <w:rsid w:val="004A37F5"/>
    <w:pPr>
      <w:spacing w:after="100"/>
      <w:ind w:left="200"/>
    </w:pPr>
  </w:style>
  <w:style w:type="character" w:styleId="Hyperlink">
    <w:name w:val="Hyperlink"/>
    <w:uiPriority w:val="99"/>
    <w:unhideWhenUsed/>
    <w:rsid w:val="004A37F5"/>
    <w:rPr>
      <w:color w:val="0000FF"/>
      <w:u w:val="single"/>
    </w:rPr>
  </w:style>
  <w:style w:type="character" w:styleId="PageNumber">
    <w:name w:val="page number"/>
    <w:basedOn w:val="DefaultParagraphFont"/>
    <w:unhideWhenUsed/>
    <w:rsid w:val="004A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customXml" Target="../customXml/item3.xml"/></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514;%20&#1500;&#1499;&#1514;&#1497;&#1489;&#1514;%20&#1502;&#1496;&#1500;&#1514;%20&#1489;&#1497;&#1511;&#1493;&#1512;&#1514;.dotx"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334740-1055-47EA-9235-81D42F37A25D}">
  <ds:schemaRefs>
    <ds:schemaRef ds:uri="http://schemas.openxmlformats.org/officeDocument/2006/bibliography"/>
  </ds:schemaRefs>
</ds:datastoreItem>
</file>

<file path=customXml/itemProps2.xml><?xml version="1.0" encoding="utf-8"?>
<ds:datastoreItem xmlns:ds="http://schemas.openxmlformats.org/officeDocument/2006/customXml" ds:itemID="{880BE0E6-DAF8-4734-808E-0B464B3D6A62}"/>
</file>

<file path=customXml/itemProps3.xml><?xml version="1.0" encoding="utf-8"?>
<ds:datastoreItem xmlns:ds="http://schemas.openxmlformats.org/officeDocument/2006/customXml" ds:itemID="{2AE4A4BA-8447-4459-B400-5E74C1CBABC1}"/>
</file>

<file path=customXml/itemProps4.xml><?xml version="1.0" encoding="utf-8"?>
<ds:datastoreItem xmlns:ds="http://schemas.openxmlformats.org/officeDocument/2006/customXml" ds:itemID="{79952D35-4EEF-42E3-A712-104C704CFEB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