
<file path=[Content_Types].xml><?xml version="1.0" encoding="utf-8"?>
<Types xmlns="http://schemas.openxmlformats.org/package/2006/content-types">
  <Default Extension="emf" ContentType="image/x-emf"/>
  <Default Extension="jpeg" ContentType="image/jpeg"/>
  <Default Extension="wmf" ContentType="image/x-wmf"/>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11 -->
  <w:body>
    <w:p w:rsidR="000F76A8" w:rsidRPr="00170230" w:rsidP="00482559">
      <w:pPr>
        <w:spacing w:line="240" w:lineRule="atLeast"/>
        <w:jc w:val="center"/>
        <w:rPr>
          <w:rFonts w:ascii="Tahoma" w:hAnsi="Tahoma" w:cs="Tahoma"/>
          <w:szCs w:val="18"/>
        </w:rPr>
      </w:pPr>
      <w:bookmarkStart w:id="0" w:name="_GoBack"/>
      <w:bookmarkEnd w:id="0"/>
      <w:r>
        <w:rPr>
          <w:rFonts w:ascii="Tahoma" w:hAnsi="Tahoma" w:cs="Tahoma"/>
          <w:noProof/>
          <w:szCs w:val="18"/>
        </w:rPr>
        <w:drawing>
          <wp:inline distT="0" distB="0" distL="0" distR="0">
            <wp:extent cx="658369" cy="810770"/>
            <wp:effectExtent l="0" t="0" r="889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rsidR="000F76A8" w:rsidRPr="0066027D" w:rsidP="00482559">
      <w:pPr>
        <w:spacing w:before="120"/>
        <w:jc w:val="center"/>
        <w:rPr>
          <w:rFonts w:ascii="Tahoma" w:hAnsi="Tahoma" w:cs="Tahoma"/>
          <w:color w:val="2A2AA6"/>
          <w:sz w:val="28"/>
          <w:szCs w:val="28"/>
          <w:rtl/>
        </w:rPr>
      </w:pPr>
      <w:r w:rsidRPr="0066027D">
        <w:rPr>
          <w:rFonts w:ascii="Tahoma" w:hAnsi="Tahoma" w:cs="Tahoma"/>
          <w:color w:val="2A2AA6"/>
          <w:sz w:val="28"/>
          <w:szCs w:val="28"/>
          <w:rtl/>
        </w:rPr>
        <w:t>מבקר המדינה</w:t>
      </w:r>
    </w:p>
    <w:p w:rsidR="00084E3A" w:rsidP="008D2388">
      <w:pPr>
        <w:spacing w:before="1080" w:line="240" w:lineRule="auto"/>
        <w:jc w:val="center"/>
        <w:rPr>
          <w:rFonts w:ascii="Tahoma" w:hAnsi="Tahoma" w:cs="Tahoma"/>
          <w:color w:val="2A2AA6"/>
          <w:sz w:val="32"/>
          <w:szCs w:val="32"/>
        </w:rPr>
      </w:pPr>
    </w:p>
    <w:p w:rsidR="00084E3A" w:rsidP="00084E3A">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w:t>
      </w:r>
      <w:r w:rsidR="00AC7669">
        <w:rPr>
          <w:rFonts w:ascii="Tahoma" w:hAnsi="Tahoma" w:cs="Tahoma" w:hint="cs"/>
          <w:color w:val="2A2AA6"/>
          <w:sz w:val="32"/>
          <w:szCs w:val="32"/>
          <w:rtl/>
        </w:rPr>
        <w:t>ב</w:t>
      </w:r>
    </w:p>
    <w:p w:rsidR="00F85873" w:rsidRPr="00DE1ACD" w:rsidP="00F85873">
      <w:pPr>
        <w:pStyle w:val="121"/>
        <w:rPr>
          <w:rtl/>
        </w:rPr>
      </w:pPr>
      <w:r w:rsidRPr="008022B2">
        <w:rPr>
          <w:rtl/>
        </w:rPr>
        <w:t>הסדרי הפנסייה במדינה</w:t>
      </w:r>
      <w:r>
        <w:rPr>
          <w:rtl/>
        </w:rPr>
        <w:br/>
      </w:r>
      <w:r w:rsidRPr="00382804">
        <w:rPr>
          <w:rFonts w:eastAsia="Times New Roman" w:hint="cs"/>
          <w:color w:val="009692"/>
          <w:sz w:val="32"/>
          <w:szCs w:val="32"/>
          <w:rtl/>
        </w:rPr>
        <w:t>ביקורת מעקב</w:t>
      </w:r>
    </w:p>
    <w:p w:rsidR="00CD2D37" w:rsidP="008D2388">
      <w:pPr>
        <w:spacing w:line="240" w:lineRule="atLeast"/>
        <w:jc w:val="center"/>
        <w:rPr>
          <w:rFonts w:ascii="Tahoma" w:hAnsi="Tahoma" w:cs="Tahoma"/>
          <w:color w:val="387026"/>
          <w:sz w:val="22"/>
          <w:szCs w:val="22"/>
          <w:rtl/>
        </w:rPr>
      </w:pPr>
    </w:p>
    <w:p w:rsidR="00F85873" w:rsidRPr="00671202" w:rsidP="008D2388">
      <w:pPr>
        <w:spacing w:line="240" w:lineRule="atLeast"/>
        <w:jc w:val="center"/>
        <w:rPr>
          <w:rFonts w:ascii="Tahoma" w:hAnsi="Tahoma" w:cs="Tahoma"/>
          <w:color w:val="387026"/>
          <w:sz w:val="22"/>
          <w:szCs w:val="22"/>
          <w:rtl/>
        </w:rPr>
      </w:pPr>
    </w:p>
    <w:p w:rsidR="008B2E28" w:rsidP="008D2388">
      <w:pPr>
        <w:spacing w:line="240" w:lineRule="atLeast"/>
        <w:jc w:val="center"/>
        <w:rPr>
          <w:rFonts w:ascii="Tahoma" w:hAnsi="Tahoma" w:cs="Tahoma"/>
          <w:sz w:val="22"/>
          <w:szCs w:val="22"/>
          <w:rtl/>
        </w:rPr>
      </w:pPr>
    </w:p>
    <w:p w:rsidR="008B2E28" w:rsidP="008D2388">
      <w:pPr>
        <w:spacing w:line="240" w:lineRule="atLeast"/>
        <w:jc w:val="center"/>
        <w:rPr>
          <w:rFonts w:ascii="Tahoma" w:hAnsi="Tahoma" w:cs="Tahoma"/>
          <w:sz w:val="22"/>
          <w:szCs w:val="22"/>
          <w:rtl/>
        </w:rPr>
      </w:pPr>
    </w:p>
    <w:p w:rsidR="008B2E28" w:rsidP="008D2388">
      <w:pPr>
        <w:spacing w:line="240" w:lineRule="atLeast"/>
        <w:jc w:val="center"/>
        <w:rPr>
          <w:rFonts w:ascii="Tahoma" w:hAnsi="Tahoma" w:cs="Tahoma"/>
          <w:sz w:val="22"/>
          <w:szCs w:val="22"/>
          <w:rtl/>
        </w:rPr>
      </w:pPr>
    </w:p>
    <w:p w:rsidR="008B2E28" w:rsidP="008D2388">
      <w:pPr>
        <w:spacing w:line="240" w:lineRule="atLeast"/>
        <w:jc w:val="center"/>
        <w:rPr>
          <w:rFonts w:ascii="Tahoma" w:hAnsi="Tahoma" w:cs="Tahoma"/>
          <w:sz w:val="22"/>
          <w:szCs w:val="22"/>
          <w:rtl/>
        </w:rPr>
      </w:pPr>
    </w:p>
    <w:p w:rsidR="00E35DF9" w:rsidP="008D2388">
      <w:pPr>
        <w:spacing w:line="240" w:lineRule="atLeast"/>
        <w:jc w:val="center"/>
        <w:rPr>
          <w:rFonts w:ascii="Tahoma" w:hAnsi="Tahoma" w:cs="Tahoma"/>
          <w:sz w:val="22"/>
          <w:szCs w:val="22"/>
          <w:rtl/>
        </w:rPr>
      </w:pPr>
    </w:p>
    <w:p w:rsidR="008C0B8B" w:rsidP="008D2388">
      <w:pPr>
        <w:spacing w:line="240" w:lineRule="atLeast"/>
        <w:jc w:val="center"/>
        <w:rPr>
          <w:rFonts w:ascii="Tahoma" w:hAnsi="Tahoma" w:cs="Tahoma"/>
          <w:sz w:val="22"/>
          <w:szCs w:val="22"/>
          <w:rtl/>
        </w:rPr>
      </w:pPr>
    </w:p>
    <w:p w:rsidR="008C0B8B" w:rsidP="008D2388">
      <w:pPr>
        <w:spacing w:line="240" w:lineRule="atLeast"/>
        <w:jc w:val="center"/>
        <w:rPr>
          <w:rFonts w:ascii="Tahoma" w:hAnsi="Tahoma" w:cs="Tahoma"/>
          <w:sz w:val="22"/>
          <w:szCs w:val="22"/>
          <w:rtl/>
        </w:rPr>
      </w:pPr>
    </w:p>
    <w:p w:rsidR="00E35DF9" w:rsidP="008D2388">
      <w:pPr>
        <w:spacing w:line="240" w:lineRule="atLeast"/>
        <w:jc w:val="center"/>
        <w:rPr>
          <w:rFonts w:ascii="Tahoma" w:hAnsi="Tahoma" w:cs="Tahoma"/>
          <w:sz w:val="22"/>
          <w:szCs w:val="22"/>
          <w:rtl/>
        </w:rPr>
      </w:pPr>
    </w:p>
    <w:p w:rsidR="008022B2" w:rsidP="008D2388">
      <w:pPr>
        <w:spacing w:line="240" w:lineRule="atLeast"/>
        <w:jc w:val="center"/>
        <w:rPr>
          <w:rFonts w:ascii="Tahoma" w:hAnsi="Tahoma" w:cs="Tahoma"/>
          <w:sz w:val="22"/>
          <w:szCs w:val="22"/>
          <w:rtl/>
        </w:rPr>
      </w:pPr>
    </w:p>
    <w:p w:rsidR="008C0B8B" w:rsidP="008D2388">
      <w:pPr>
        <w:spacing w:line="240" w:lineRule="atLeast"/>
        <w:jc w:val="center"/>
        <w:rPr>
          <w:rFonts w:ascii="Tahoma" w:hAnsi="Tahoma" w:cs="Tahoma"/>
          <w:sz w:val="22"/>
          <w:szCs w:val="22"/>
          <w:rtl/>
        </w:rPr>
      </w:pPr>
    </w:p>
    <w:p w:rsidR="00E35DF9" w:rsidP="008D2388">
      <w:pPr>
        <w:spacing w:line="240" w:lineRule="atLeast"/>
        <w:jc w:val="center"/>
        <w:rPr>
          <w:rFonts w:ascii="Tahoma" w:hAnsi="Tahoma" w:cs="Tahoma"/>
          <w:sz w:val="22"/>
          <w:szCs w:val="22"/>
          <w:rtl/>
        </w:rPr>
      </w:pPr>
    </w:p>
    <w:p w:rsidR="00E35DF9" w:rsidP="008D2388">
      <w:pPr>
        <w:spacing w:line="240" w:lineRule="atLeast"/>
        <w:jc w:val="center"/>
        <w:rPr>
          <w:rFonts w:ascii="Tahoma" w:hAnsi="Tahoma" w:cs="Tahoma"/>
          <w:sz w:val="22"/>
          <w:szCs w:val="22"/>
          <w:rtl/>
        </w:rPr>
      </w:pPr>
    </w:p>
    <w:p w:rsidR="00E35DF9" w:rsidP="008D2388">
      <w:pPr>
        <w:spacing w:line="240" w:lineRule="atLeast"/>
        <w:jc w:val="center"/>
        <w:rPr>
          <w:rFonts w:ascii="Tahoma" w:hAnsi="Tahoma" w:cs="Tahoma"/>
          <w:sz w:val="22"/>
          <w:szCs w:val="22"/>
          <w:rtl/>
        </w:rPr>
      </w:pPr>
    </w:p>
    <w:p w:rsidR="00E35DF9" w:rsidP="008D2388">
      <w:pPr>
        <w:spacing w:line="240" w:lineRule="atLeast"/>
        <w:jc w:val="center"/>
        <w:rPr>
          <w:rFonts w:ascii="Tahoma" w:hAnsi="Tahoma" w:cs="Tahoma"/>
          <w:sz w:val="22"/>
          <w:szCs w:val="22"/>
          <w:rtl/>
        </w:rPr>
      </w:pPr>
    </w:p>
    <w:p w:rsidR="00084E3A" w:rsidP="008D2388">
      <w:pPr>
        <w:spacing w:line="240" w:lineRule="atLeast"/>
        <w:jc w:val="center"/>
        <w:rPr>
          <w:rFonts w:ascii="Tahoma" w:hAnsi="Tahoma" w:cs="Tahoma"/>
          <w:sz w:val="22"/>
          <w:szCs w:val="22"/>
          <w:rtl/>
        </w:rPr>
      </w:pPr>
      <w:r>
        <w:rPr>
          <w:noProof/>
          <w:rtl/>
        </w:rPr>
        <w:drawing>
          <wp:inline distT="0" distB="0" distL="0" distR="0">
            <wp:extent cx="744855" cy="489585"/>
            <wp:effectExtent l="0" t="0" r="0" b="571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42544" name="Picture 12"/>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inline>
        </w:drawing>
      </w:r>
    </w:p>
    <w:p w:rsidR="00F87B6F" w:rsidP="00F87B6F">
      <w:pPr>
        <w:spacing w:line="240" w:lineRule="auto"/>
        <w:jc w:val="center"/>
        <w:rPr>
          <w:rFonts w:ascii="Tahoma" w:hAnsi="Tahoma" w:cs="Tahoma"/>
          <w:sz w:val="22"/>
          <w:szCs w:val="22"/>
          <w:rtl/>
        </w:rPr>
      </w:pPr>
      <w:r>
        <w:rPr>
          <w:rFonts w:ascii="Tahoma" w:hAnsi="Tahoma" w:cs="Tahoma"/>
          <w:sz w:val="22"/>
          <w:szCs w:val="22"/>
          <w:rtl/>
        </w:rPr>
        <w:t xml:space="preserve">ירושלים, </w:t>
      </w:r>
      <w:r>
        <w:rPr>
          <w:rFonts w:ascii="Tahoma" w:hAnsi="Tahoma" w:cs="Tahoma" w:hint="cs"/>
          <w:sz w:val="22"/>
          <w:szCs w:val="22"/>
          <w:rtl/>
        </w:rPr>
        <w:t xml:space="preserve">אייר </w:t>
      </w:r>
      <w:r>
        <w:rPr>
          <w:rFonts w:ascii="Tahoma" w:hAnsi="Tahoma" w:cs="Tahoma"/>
          <w:sz w:val="22"/>
          <w:szCs w:val="22"/>
          <w:rtl/>
        </w:rPr>
        <w:t xml:space="preserve">התש"ף, </w:t>
      </w:r>
      <w:r>
        <w:rPr>
          <w:rFonts w:ascii="Tahoma" w:hAnsi="Tahoma" w:cs="Tahoma" w:hint="cs"/>
          <w:sz w:val="22"/>
          <w:szCs w:val="22"/>
          <w:rtl/>
        </w:rPr>
        <w:t xml:space="preserve">מאי </w:t>
      </w:r>
      <w:r>
        <w:rPr>
          <w:rFonts w:ascii="Tahoma" w:hAnsi="Tahoma" w:cs="Tahoma"/>
          <w:sz w:val="22"/>
          <w:szCs w:val="22"/>
          <w:rtl/>
        </w:rPr>
        <w:t>2020</w:t>
      </w:r>
    </w:p>
    <w:p w:rsidR="00DE6C5F">
      <w:pPr>
        <w:bidi w:val="0"/>
        <w:spacing w:after="200" w:line="276" w:lineRule="auto"/>
        <w:rPr>
          <w:rFonts w:ascii="Tahoma" w:hAnsi="Tahoma" w:cs="Tahoma"/>
          <w:sz w:val="22"/>
          <w:szCs w:val="22"/>
          <w:rtl/>
        </w:rPr>
        <w:sectPr w:rsidSect="00F62588">
          <w:headerReference w:type="default" r:id="rId8"/>
          <w:footerReference w:type="default" r:id="rId9"/>
          <w:pgSz w:w="11906" w:h="16838" w:code="9"/>
          <w:pgMar w:top="2268" w:right="1985" w:bottom="2155" w:left="1701" w:header="1559" w:footer="709" w:gutter="0"/>
          <w:cols w:space="720"/>
          <w:titlePg/>
          <w:bidi/>
          <w:rtlGutter/>
          <w:docGrid w:linePitch="272"/>
        </w:sectPr>
      </w:pPr>
      <w:r>
        <w:rPr>
          <w:rFonts w:ascii="Tahoma" w:hAnsi="Tahoma" w:cs="Tahoma"/>
          <w:sz w:val="22"/>
          <w:szCs w:val="22"/>
          <w:rtl/>
        </w:rPr>
        <w:br w:type="page"/>
      </w:r>
    </w:p>
    <w:p w:rsidR="00327593" w:rsidP="005F2129">
      <w:pPr>
        <w:spacing w:line="240" w:lineRule="atLeast"/>
        <w:jc w:val="center"/>
        <w:rPr>
          <w:rFonts w:ascii="Tahoma" w:hAnsi="Tahoma" w:cs="Tahoma"/>
          <w:sz w:val="22"/>
          <w:szCs w:val="22"/>
        </w:rPr>
      </w:pPr>
      <w:r>
        <w:rPr>
          <w:rFonts w:ascii="Tahoma" w:hAnsi="Tahoma" w:cs="Tahoma"/>
          <w:noProof/>
          <w:sz w:val="22"/>
          <w:szCs w:val="22"/>
        </w:rPr>
        <w:drawing>
          <wp:inline distT="0" distB="0" distL="0" distR="0">
            <wp:extent cx="5219999" cy="6891653"/>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85049" name="104 - 4 - הבטחת היתרון והחדשנות הטכנולוגיים של המשק הישראלי.jp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9999" cy="689165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64581" w:rsidP="00154682">
      <w:pPr>
        <w:spacing w:line="240" w:lineRule="atLeast"/>
        <w:jc w:val="left"/>
        <w:rPr>
          <w:rFonts w:ascii="Tahoma" w:hAnsi="Tahoma" w:cs="Tahoma"/>
          <w:sz w:val="22"/>
          <w:szCs w:val="22"/>
        </w:rPr>
      </w:pPr>
      <w:r>
        <w:rPr>
          <w:rFonts w:ascii="Tahoma" w:hAnsi="Tahoma" w:cs="Tahoma"/>
          <w:noProof/>
          <w:sz w:val="22"/>
          <w:szCs w:val="22"/>
        </w:rPr>
        <w:drawing>
          <wp:inline distT="0" distB="0" distL="0" distR="0">
            <wp:extent cx="5219999" cy="6891653"/>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88063" name="104 - 4 - הבטחת היתרון והחדשנות הטכנולוגיים של המשק הישראלי2.jp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9999" cy="689165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64581" w:rsidP="005F2129">
      <w:pPr>
        <w:spacing w:line="240" w:lineRule="atLeast"/>
        <w:jc w:val="center"/>
        <w:rPr>
          <w:rFonts w:ascii="Tahoma" w:hAnsi="Tahoma" w:cs="Tahoma"/>
          <w:sz w:val="22"/>
          <w:szCs w:val="22"/>
        </w:rPr>
      </w:pPr>
      <w:r>
        <w:rPr>
          <w:rFonts w:ascii="Tahoma" w:hAnsi="Tahoma" w:cs="Tahoma"/>
          <w:noProof/>
          <w:sz w:val="22"/>
          <w:szCs w:val="22"/>
        </w:rPr>
        <w:drawing>
          <wp:inline distT="0" distB="0" distL="0" distR="0">
            <wp:extent cx="5219700" cy="6362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89951" name="104 - 4 - הבטחת היתרון והחדשנות הטכנולוגיים של המשק הישראלי3.jp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000" cy="636306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54682" w:rsidP="005F2129">
      <w:pPr>
        <w:spacing w:line="240" w:lineRule="atLeast"/>
        <w:jc w:val="center"/>
        <w:rPr>
          <w:rFonts w:ascii="Tahoma" w:hAnsi="Tahoma" w:cs="Tahoma"/>
          <w:sz w:val="22"/>
          <w:szCs w:val="22"/>
        </w:rPr>
      </w:pPr>
      <w:r>
        <w:rPr>
          <w:rFonts w:ascii="Tahoma" w:hAnsi="Tahoma" w:cs="Tahoma"/>
          <w:noProof/>
          <w:sz w:val="22"/>
          <w:szCs w:val="22"/>
        </w:rPr>
        <w:drawing>
          <wp:inline distT="0" distB="0" distL="0" distR="0">
            <wp:extent cx="5225197" cy="344925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69568" name="104 - 4 - הבטחת היתרון והחדשנות הטכנולוגיים של המשק הישראלי4.jp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5197" cy="344925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27593" w:rsidP="00327593">
      <w:pPr>
        <w:spacing w:after="200" w:line="276" w:lineRule="auto"/>
        <w:rPr>
          <w:rFonts w:ascii="Tahoma" w:hAnsi="Tahoma" w:cs="Tahoma"/>
          <w:sz w:val="22"/>
          <w:szCs w:val="22"/>
        </w:rPr>
      </w:pPr>
    </w:p>
    <w:p w:rsidR="00084E3A" w:rsidP="00084E3A">
      <w:pPr>
        <w:bidi w:val="0"/>
        <w:spacing w:line="240" w:lineRule="auto"/>
        <w:jc w:val="left"/>
        <w:rPr>
          <w:rFonts w:ascii="Tahoma" w:hAnsi="Tahoma" w:cs="Tahoma"/>
          <w:sz w:val="22"/>
          <w:szCs w:val="22"/>
          <w:rtl/>
        </w:rPr>
        <w:sectPr w:rsidSect="00DE6C5F">
          <w:pgSz w:w="11906" w:h="16838" w:code="9"/>
          <w:pgMar w:top="2268" w:right="1985" w:bottom="2155" w:left="1701" w:header="709" w:footer="709" w:gutter="0"/>
          <w:cols w:space="720"/>
          <w:bidi/>
          <w:rtlGutter/>
          <w:docGrid w:linePitch="272"/>
        </w:sectPr>
      </w:pPr>
    </w:p>
    <w:p w:rsidR="00382804" w:rsidRPr="00DE1ACD" w:rsidP="00382804">
      <w:pPr>
        <w:pStyle w:val="121"/>
        <w:rPr>
          <w:rtl/>
        </w:rPr>
      </w:pPr>
      <w:r w:rsidRPr="008022B2">
        <w:rPr>
          <w:rtl/>
        </w:rPr>
        <w:t>הסדרי הפנסייה במדינה</w:t>
      </w:r>
      <w:r>
        <w:rPr>
          <w:rtl/>
        </w:rPr>
        <w:br/>
      </w:r>
      <w:r w:rsidRPr="00382804">
        <w:rPr>
          <w:rFonts w:eastAsia="Times New Roman" w:hint="cs"/>
          <w:color w:val="009692"/>
          <w:sz w:val="32"/>
          <w:szCs w:val="32"/>
          <w:rtl/>
        </w:rPr>
        <w:t>ביקורת מעקב</w:t>
      </w:r>
    </w:p>
    <w:p w:rsidR="00CF1EB5" w:rsidP="00A2617B">
      <w:pPr>
        <w:pStyle w:val="316"/>
        <w:rPr>
          <w:rtl/>
        </w:rPr>
      </w:pPr>
      <w:r w:rsidRPr="001C72B2">
        <w:rPr>
          <w:rtl/>
        </w:rPr>
        <w:t>מבוא</w:t>
      </w:r>
      <w:bookmarkStart w:id="1" w:name="_Toc24624820"/>
      <w:bookmarkStart w:id="2" w:name="_Toc23159657"/>
      <w:bookmarkStart w:id="3" w:name="_Toc23160155"/>
    </w:p>
    <w:p w:rsidR="008022B2" w:rsidP="0006501C">
      <w:pPr>
        <w:pStyle w:val="100"/>
        <w:rPr>
          <w:rtl/>
        </w:rPr>
      </w:pPr>
      <w:bookmarkStart w:id="4" w:name="_Toc14955276"/>
      <w:bookmarkStart w:id="5" w:name="copyNevSelection"/>
      <w:r>
        <w:rPr>
          <w:rFonts w:hint="cs"/>
          <w:rtl/>
        </w:rPr>
        <w:t>באוקטובר 2016 פרסם מבקר המדינה דוח בנושא "הסדרי הפנסייה במדינה" (להלן - הדוח הקודם)</w:t>
      </w:r>
      <w:r>
        <w:rPr>
          <w:rStyle w:val="FootnoteReference0"/>
          <w:rtl/>
        </w:rPr>
        <w:footnoteReference w:id="2"/>
      </w:r>
      <w:r>
        <w:rPr>
          <w:rFonts w:hint="cs"/>
          <w:rtl/>
        </w:rPr>
        <w:t xml:space="preserve">. הדוח עסק במגוון סוגיות </w:t>
      </w:r>
      <w:r>
        <w:rPr>
          <w:rFonts w:hint="cs"/>
          <w:rtl/>
        </w:rPr>
        <w:t>הקשורות למערך הפנסייה במדינת ישראל. הדוח כלל כמה פרקים שכל אחד מהם עסק בנושא מזווית אחרת, החל מסוגיות מאקרו כלכליות הקשורות בפנסייה וכלה בסוגיות הנוגעות לכל אזרח.</w:t>
      </w:r>
    </w:p>
    <w:p w:rsidR="008022B2" w:rsidP="0006501C">
      <w:pPr>
        <w:pStyle w:val="100"/>
        <w:rPr>
          <w:rtl/>
        </w:rPr>
      </w:pPr>
      <w:r>
        <w:rPr>
          <w:rFonts w:hint="cs"/>
          <w:rtl/>
        </w:rPr>
        <w:t>נוכח החשיבות הרבה של הנושא, ערך משרד מבקר המדינה מעקב נקודתי אחר תיקון ליקויים בכמה נושאים מה</w:t>
      </w:r>
      <w:r>
        <w:rPr>
          <w:rFonts w:hint="cs"/>
          <w:rtl/>
        </w:rPr>
        <w:t xml:space="preserve">ותיים שעלו בדוח הקודם. כמו כן, במסגרת המעקב נבחנו דיווחי הגופים המבוקרים למשרד ראש הממשלה ולמשרד מבקר המדינה על הפעולות שנקטו לתיקונם של הליקויים שצוינו בעניינם בדוח הקודם. </w:t>
      </w:r>
    </w:p>
    <w:p w:rsidR="008022B2" w:rsidP="00B17166">
      <w:pPr>
        <w:pStyle w:val="100"/>
        <w:rPr>
          <w:rtl/>
        </w:rPr>
      </w:pPr>
      <w:r w:rsidRPr="00D0201E">
        <w:rPr>
          <w:rFonts w:hint="cs"/>
          <w:rtl/>
        </w:rPr>
        <w:t xml:space="preserve">להלן הנושאים שנבדקו </w:t>
      </w:r>
      <w:r>
        <w:rPr>
          <w:rFonts w:hint="cs"/>
          <w:rtl/>
        </w:rPr>
        <w:t>בביקורת ה</w:t>
      </w:r>
      <w:r w:rsidRPr="00D0201E">
        <w:rPr>
          <w:rFonts w:hint="cs"/>
          <w:rtl/>
        </w:rPr>
        <w:t>מעקב</w:t>
      </w:r>
      <w:r>
        <w:rPr>
          <w:rFonts w:hint="cs"/>
          <w:rtl/>
        </w:rPr>
        <w:t>:</w:t>
      </w:r>
    </w:p>
    <w:p w:rsidR="008022B2" w:rsidP="004B2891">
      <w:pPr>
        <w:pStyle w:val="a5"/>
      </w:pPr>
      <w:r w:rsidRPr="004B2891">
        <w:rPr>
          <w:rStyle w:val="51"/>
          <w:rFonts w:eastAsia="Calibri" w:hint="cs"/>
          <w:color w:val="387026"/>
          <w:spacing w:val="0"/>
          <w:rtl/>
        </w:rPr>
        <w:t>הגדלות אחוזי הפנסייה שהרמטכ"ל מאשר לפורשי צה"ל:</w:t>
      </w:r>
      <w:r w:rsidRPr="004B2891">
        <w:rPr>
          <w:rFonts w:hint="cs"/>
          <w:color w:val="387026"/>
          <w:rtl/>
        </w:rPr>
        <w:t xml:space="preserve"> </w:t>
      </w:r>
      <w:r>
        <w:rPr>
          <w:rFonts w:hint="cs"/>
          <w:rtl/>
        </w:rPr>
        <w:t>היקף והסדרת ההגדלות של אחוזי הפנסייה מעבר לשיעורים שלהם זכאי הפורש בהתאם לתקופת שירותו, שמאשר הרמטכ"ל לרובם המוחלט של פורשי הצבא (להלן - הגדלות הרמטכ"ל). מנתונים שהעביר צה"ל במהלך ביקורת המעקב עולה כי העלות השנתית בשנת 2017 בגין הגדלות הרמטכ"ל לפורשים באו</w:t>
      </w:r>
      <w:r>
        <w:rPr>
          <w:rFonts w:hint="cs"/>
          <w:rtl/>
        </w:rPr>
        <w:t>תה השנה עמדה על כ-17.5 מיליון ש"ח לקצינים וכ-6.5 מיליון ש"ח לנגדים</w:t>
      </w:r>
      <w:r>
        <w:rPr>
          <w:rStyle w:val="FootnoteReference0"/>
          <w:rtl/>
        </w:rPr>
        <w:footnoteReference w:id="3"/>
      </w:r>
      <w:r>
        <w:rPr>
          <w:rFonts w:hint="cs"/>
          <w:rtl/>
        </w:rPr>
        <w:t>. על פי אומדן משרד האוצר, התשלום השנתי הכולל מתקציב המדינה בשנת 2018 בגין הגדלות הרמטכ"ל לכלל פורשי צה"ל עד אותו מועד עמד על כ-1.1 מיליארד ש"ח.</w:t>
      </w:r>
      <w:r>
        <w:rPr>
          <w:rStyle w:val="FootnoteReference0"/>
          <w:rtl/>
        </w:rPr>
        <w:footnoteReference w:id="4"/>
      </w:r>
      <w:r>
        <w:rPr>
          <w:rFonts w:hint="cs"/>
          <w:rtl/>
        </w:rPr>
        <w:t xml:space="preserve"> </w:t>
      </w:r>
    </w:p>
    <w:p w:rsidR="008022B2" w:rsidP="00BC0498">
      <w:pPr>
        <w:pStyle w:val="a5"/>
      </w:pPr>
      <w:r w:rsidRPr="00BC0498">
        <w:rPr>
          <w:rStyle w:val="51"/>
          <w:rFonts w:eastAsia="Calibri" w:hint="cs"/>
          <w:color w:val="387026"/>
          <w:spacing w:val="0"/>
          <w:rtl/>
        </w:rPr>
        <w:t>תשלום פנסיית גישור לפורשי צה"ל ורישום החבות</w:t>
      </w:r>
      <w:r w:rsidRPr="00BC0498">
        <w:rPr>
          <w:rStyle w:val="51"/>
          <w:rFonts w:eastAsia="Calibri" w:hint="cs"/>
          <w:color w:val="387026"/>
          <w:spacing w:val="0"/>
          <w:rtl/>
        </w:rPr>
        <w:t xml:space="preserve"> בגינה במאזן המדינה:</w:t>
      </w:r>
      <w:r w:rsidRPr="00BC0498">
        <w:rPr>
          <w:rFonts w:hint="cs"/>
          <w:color w:val="387026"/>
          <w:rtl/>
        </w:rPr>
        <w:t xml:space="preserve"> </w:t>
      </w:r>
      <w:r>
        <w:rPr>
          <w:rFonts w:hint="cs"/>
          <w:rtl/>
        </w:rPr>
        <w:t xml:space="preserve">יישום ההסכם שנחתם בין משרד הביטחון למשרד האוצר בעניין תשלום פנסיית גישור לפורשי צה"ל בפנסייה צוברת, ורישום תקין של החבות במאזן המדינה (להלן - פנסיית הגישור). </w:t>
      </w:r>
    </w:p>
    <w:p w:rsidR="008022B2" w:rsidP="00BC0498">
      <w:pPr>
        <w:pStyle w:val="a5"/>
      </w:pPr>
      <w:r w:rsidRPr="00BC0498">
        <w:rPr>
          <w:rStyle w:val="51"/>
          <w:rFonts w:eastAsia="Calibri" w:hint="cs"/>
          <w:color w:val="387026"/>
          <w:spacing w:val="0"/>
          <w:rtl/>
        </w:rPr>
        <w:t>אי-העלאת גיל הפרישה לנשים:</w:t>
      </w:r>
      <w:r>
        <w:rPr>
          <w:rFonts w:hint="cs"/>
          <w:b/>
          <w:bCs/>
          <w:rtl/>
        </w:rPr>
        <w:t xml:space="preserve"> </w:t>
      </w:r>
      <w:r>
        <w:rPr>
          <w:rFonts w:hint="cs"/>
          <w:rtl/>
        </w:rPr>
        <w:t xml:space="preserve">בעשורים האחרונים </w:t>
      </w:r>
      <w:r w:rsidRPr="00851F71">
        <w:rPr>
          <w:rFonts w:hint="cs"/>
          <w:rtl/>
        </w:rPr>
        <w:t xml:space="preserve">סוגיה </w:t>
      </w:r>
      <w:r>
        <w:rPr>
          <w:rFonts w:hint="cs"/>
          <w:rtl/>
        </w:rPr>
        <w:t xml:space="preserve">זו </w:t>
      </w:r>
      <w:r w:rsidRPr="00851F71">
        <w:rPr>
          <w:rFonts w:hint="cs"/>
          <w:rtl/>
        </w:rPr>
        <w:t>נדונ</w:t>
      </w:r>
      <w:r>
        <w:rPr>
          <w:rFonts w:hint="cs"/>
          <w:rtl/>
        </w:rPr>
        <w:t>ה בהרחבה בישראל</w:t>
      </w:r>
      <w:r w:rsidRPr="00851F71">
        <w:rPr>
          <w:rFonts w:hint="cs"/>
          <w:rtl/>
        </w:rPr>
        <w:t>. מר</w:t>
      </w:r>
      <w:r w:rsidRPr="00851F71">
        <w:rPr>
          <w:rFonts w:hint="cs"/>
          <w:rtl/>
        </w:rPr>
        <w:t>בית מדינות</w:t>
      </w:r>
      <w:r>
        <w:rPr>
          <w:rFonts w:hint="cs"/>
          <w:rtl/>
        </w:rPr>
        <w:t xml:space="preserve"> ה-</w:t>
      </w:r>
      <w:r w:rsidRPr="00851F71">
        <w:rPr>
          <w:rFonts w:hint="cs"/>
          <w:rtl/>
        </w:rPr>
        <w:t xml:space="preserve"> </w:t>
      </w:r>
      <w:r w:rsidRPr="00851F71">
        <w:t>OECD</w:t>
      </w:r>
      <w:r w:rsidRPr="00851F71">
        <w:rPr>
          <w:rFonts w:hint="cs"/>
          <w:rtl/>
        </w:rPr>
        <w:t xml:space="preserve"> ביצעו רפורמות משמעותיות בהסדרי גיל הפרישה שכללו העלאה של גיל הפרישה והשוואתו בין נשים לגברים. בין היתר, מדינות אימצו מנגנונים </w:t>
      </w:r>
      <w:r>
        <w:rPr>
          <w:rFonts w:hint="cs"/>
          <w:rtl/>
        </w:rPr>
        <w:t>ש</w:t>
      </w:r>
      <w:r w:rsidRPr="00851F71">
        <w:rPr>
          <w:rFonts w:hint="cs"/>
          <w:rtl/>
        </w:rPr>
        <w:t>בהם גיל הפרישה מוצמד לתוחלת החיים. נכון להיום, גיל הפרישה לנשים בישראל הוא מהנמוכים במדינות אלו, וישראל היא אח</w:t>
      </w:r>
      <w:r w:rsidRPr="00851F71">
        <w:rPr>
          <w:rFonts w:hint="cs"/>
          <w:rtl/>
        </w:rPr>
        <w:t xml:space="preserve">ת המדינות הבודדות </w:t>
      </w:r>
      <w:r>
        <w:rPr>
          <w:rFonts w:hint="cs"/>
          <w:rtl/>
        </w:rPr>
        <w:t>ש</w:t>
      </w:r>
      <w:r w:rsidRPr="00851F71">
        <w:rPr>
          <w:rFonts w:hint="cs"/>
          <w:rtl/>
        </w:rPr>
        <w:t xml:space="preserve">בהן קיים פער בין </w:t>
      </w:r>
      <w:r>
        <w:rPr>
          <w:rFonts w:hint="cs"/>
          <w:rtl/>
        </w:rPr>
        <w:t xml:space="preserve">גיל הפרישה לנשים לבין גיל הפרישה </w:t>
      </w:r>
      <w:r w:rsidRPr="00851F71">
        <w:rPr>
          <w:rFonts w:hint="cs"/>
          <w:rtl/>
        </w:rPr>
        <w:t>לגברים.</w:t>
      </w:r>
    </w:p>
    <w:p w:rsidR="008022B2" w:rsidP="00A373CA">
      <w:pPr>
        <w:pStyle w:val="a3"/>
        <w:rPr>
          <w:rtl/>
        </w:rPr>
      </w:pPr>
      <w:r w:rsidRPr="00562100">
        <w:rPr>
          <w:rFonts w:hint="cs"/>
          <w:rtl/>
        </w:rPr>
        <w:t>תרשים 1</w:t>
      </w:r>
      <w:r>
        <w:rPr>
          <w:rFonts w:hint="cs"/>
          <w:rtl/>
        </w:rPr>
        <w:t xml:space="preserve">: </w:t>
      </w:r>
      <w:r w:rsidRPr="00A373CA">
        <w:rPr>
          <w:rFonts w:hint="cs"/>
          <w:b/>
          <w:bCs/>
          <w:rtl/>
        </w:rPr>
        <w:t>עיקרי ממצאי ביקורת המעקב</w:t>
      </w:r>
    </w:p>
    <w:p w:rsidR="008022B2" w:rsidRPr="00FB5951" w:rsidP="00A373CA">
      <w:pPr>
        <w:spacing w:line="269" w:lineRule="auto"/>
        <w:rPr>
          <w:b/>
          <w:bCs/>
          <w:sz w:val="28"/>
          <w:szCs w:val="28"/>
          <w:u w:val="single"/>
          <w:rtl/>
        </w:rPr>
      </w:pPr>
      <w:r w:rsidRPr="00E566DF">
        <w:rPr>
          <w:noProof/>
          <w:szCs w:val="20"/>
          <w:rtl/>
        </w:rPr>
        <w:drawing>
          <wp:inline distT="0" distB="0" distL="0" distR="0">
            <wp:extent cx="5220335" cy="2483273"/>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588339" name="Picture 1"/>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335" cy="2483273"/>
                    </a:xfrm>
                    <a:prstGeom prst="rect">
                      <a:avLst/>
                    </a:prstGeom>
                    <a:noFill/>
                    <a:ln>
                      <a:noFill/>
                    </a:ln>
                  </pic:spPr>
                </pic:pic>
              </a:graphicData>
            </a:graphic>
          </wp:inline>
        </w:drawing>
      </w:r>
    </w:p>
    <w:p w:rsidR="008022B2" w:rsidRPr="00B94EED" w:rsidP="00CD7C48">
      <w:pPr>
        <w:pStyle w:val="316"/>
        <w:rPr>
          <w:rtl/>
        </w:rPr>
      </w:pPr>
      <w:r w:rsidRPr="00B94EED">
        <w:rPr>
          <w:rtl/>
        </w:rPr>
        <w:t>פעולות הביקורת</w:t>
      </w:r>
    </w:p>
    <w:p w:rsidR="00CD7C48" w:rsidP="00CD7C48">
      <w:pPr>
        <w:pStyle w:val="100"/>
        <w:rPr>
          <w:rtl/>
        </w:rPr>
      </w:pPr>
      <w:r w:rsidRPr="000E21F2">
        <w:rPr>
          <w:rFonts w:hint="cs"/>
          <w:rtl/>
        </w:rPr>
        <w:t>בדוח המעקב נבדקו הגדלות אחוזי ה</w:t>
      </w:r>
      <w:r>
        <w:rPr>
          <w:rFonts w:hint="cs"/>
          <w:rtl/>
        </w:rPr>
        <w:t>פנסייה ש</w:t>
      </w:r>
      <w:r w:rsidRPr="000E21F2">
        <w:rPr>
          <w:rFonts w:hint="cs"/>
          <w:rtl/>
        </w:rPr>
        <w:t>הרמטכ"ל</w:t>
      </w:r>
      <w:r>
        <w:rPr>
          <w:rFonts w:hint="cs"/>
          <w:rtl/>
        </w:rPr>
        <w:t xml:space="preserve"> מאשר</w:t>
      </w:r>
      <w:r w:rsidRPr="000E21F2">
        <w:rPr>
          <w:rFonts w:hint="cs"/>
          <w:rtl/>
        </w:rPr>
        <w:t xml:space="preserve"> לפורשי צה"ל, תשלום פנסיית גישור לפורשי צה"ל ורישום החבות בגינה במאזן המדינה, ואי העלאת גיל הפרישה לנשים.</w:t>
      </w:r>
      <w:r>
        <w:rPr>
          <w:rFonts w:hint="cs"/>
          <w:rtl/>
        </w:rPr>
        <w:t xml:space="preserve"> </w:t>
      </w:r>
      <w:r w:rsidRPr="00F003BE">
        <w:rPr>
          <w:rFonts w:hint="cs"/>
          <w:rtl/>
        </w:rPr>
        <w:t>כמו כן, במסגרת המעקב נבחנו דיווחי הגופים המבוקרים למשרד ראש הממ</w:t>
      </w:r>
      <w:r>
        <w:rPr>
          <w:rFonts w:hint="cs"/>
          <w:rtl/>
        </w:rPr>
        <w:t>שלה ולמשרד מבקר המדינה על</w:t>
      </w:r>
      <w:r w:rsidRPr="00F003BE">
        <w:rPr>
          <w:rFonts w:hint="cs"/>
          <w:rtl/>
        </w:rPr>
        <w:t xml:space="preserve"> הפעולות שנקטו לתיקונם של הליקויים שצוינו בעניינם בדוח הקודם.</w:t>
      </w:r>
      <w:r>
        <w:rPr>
          <w:rFonts w:hint="cs"/>
          <w:rtl/>
        </w:rPr>
        <w:t xml:space="preserve"> הביקורת </w:t>
      </w:r>
      <w:r w:rsidRPr="000E21F2">
        <w:rPr>
          <w:rFonts w:hint="cs"/>
          <w:rtl/>
        </w:rPr>
        <w:t>נעשתה במשרד</w:t>
      </w:r>
      <w:r>
        <w:rPr>
          <w:rFonts w:hint="cs"/>
          <w:rtl/>
        </w:rPr>
        <w:t>י האוצר, המשפטים ו</w:t>
      </w:r>
      <w:r w:rsidRPr="000E21F2">
        <w:rPr>
          <w:rFonts w:hint="cs"/>
          <w:rtl/>
        </w:rPr>
        <w:t>הביטחון, ובצה"ל.</w:t>
      </w:r>
    </w:p>
    <w:p w:rsidR="00CD7C48">
      <w:pPr>
        <w:bidi w:val="0"/>
        <w:spacing w:after="200" w:line="276" w:lineRule="auto"/>
        <w:rPr>
          <w:rFonts w:ascii="Tahoma" w:hAnsi="Tahoma" w:cs="Tahoma"/>
          <w:szCs w:val="20"/>
          <w:rtl/>
        </w:rPr>
      </w:pPr>
      <w:r>
        <w:rPr>
          <w:rtl/>
        </w:rPr>
        <w:br w:type="page"/>
      </w:r>
    </w:p>
    <w:p w:rsidR="008022B2" w:rsidRPr="00851F71" w:rsidP="00CD7C48">
      <w:pPr>
        <w:pStyle w:val="316"/>
        <w:rPr>
          <w:rtl/>
        </w:rPr>
      </w:pPr>
      <w:r w:rsidRPr="00851F71">
        <w:rPr>
          <w:rFonts w:hint="eastAsia"/>
          <w:rtl/>
        </w:rPr>
        <w:t>הגדלות</w:t>
      </w:r>
      <w:r w:rsidRPr="00851F71">
        <w:rPr>
          <w:rtl/>
        </w:rPr>
        <w:t xml:space="preserve"> </w:t>
      </w:r>
      <w:r w:rsidRPr="00851F71">
        <w:rPr>
          <w:rFonts w:hint="eastAsia"/>
          <w:rtl/>
        </w:rPr>
        <w:t>הרמטכ</w:t>
      </w:r>
      <w:r w:rsidRPr="00851F71">
        <w:rPr>
          <w:rtl/>
        </w:rPr>
        <w:t>"ל</w:t>
      </w:r>
    </w:p>
    <w:p w:rsidR="008022B2" w:rsidP="00CD7C48">
      <w:pPr>
        <w:pStyle w:val="100"/>
        <w:rPr>
          <w:rtl/>
        </w:rPr>
      </w:pPr>
      <w:r>
        <w:rPr>
          <w:rFonts w:hint="cs"/>
          <w:rtl/>
        </w:rPr>
        <w:t>שירות הקבע בצה"ל הוא שירות ייחודי שראוי להוקרה ציבורית ושכר הולם. שירות הקבע מתייחד בין היתר בכך שהוא דורש הקרבה וטוטליות לארגון, עד כדי נכונות להקרבת חיים למען ביטחון המדינה. אנשי הקב</w:t>
      </w:r>
      <w:r>
        <w:rPr>
          <w:rFonts w:hint="cs"/>
          <w:rtl/>
        </w:rPr>
        <w:t xml:space="preserve">ע מנוידים לפי צורכי המערכת ואין להם זכות לשבות או להתאגד, הם אינם יכולים לפנות לבתי הדין לעבודה והם כפופים לחוק השיפוט הצבאי. כמו כן, יש עילות פיטורין נרחבות ביוזמת המערכת הצבאית כבר לפני גיל 40. </w:t>
      </w:r>
    </w:p>
    <w:p w:rsidR="008022B2" w:rsidRPr="0011138C" w:rsidP="00CD7C48">
      <w:pPr>
        <w:pStyle w:val="100"/>
        <w:rPr>
          <w:rtl/>
        </w:rPr>
      </w:pPr>
      <w:r>
        <w:rPr>
          <w:rFonts w:hint="cs"/>
          <w:rtl/>
        </w:rPr>
        <w:t>סגן הרמטכ"ל כתב למשרד מבקר המדינה בתשובתו מיום 18.8.19 כי "</w:t>
      </w:r>
      <w:r>
        <w:rPr>
          <w:rFonts w:hint="cs"/>
          <w:rtl/>
        </w:rPr>
        <w:t xml:space="preserve">קיים שוני מהותי בין פרופיל שירות הקבע בצה"ל לבין פרופיל העבודה בשאר המגזר הציבורי... משרתי הקבע הם המגזר היחידי שמפוטר לקצבה באופן כפוי בגיל צעיר יחסית, כשהם רחוקים מלמקסם את זכויותיהם הפנסיוניות. משרתי קבע רבים מעוניינים להמשיך ולשרת בצה"ל... ואנו מנועים </w:t>
      </w:r>
      <w:r>
        <w:rPr>
          <w:rFonts w:hint="cs"/>
          <w:rtl/>
        </w:rPr>
        <w:t>מלאפשר זאת". יצוין כי מנתונים ששלח צה"ל למשרד מבקר המדינה עולה כי כ-60% מפורשי צה"ל בשנים 2016-2018, הועסקו בסמוך לאחר פרישתם מצה"ל.</w:t>
      </w:r>
    </w:p>
    <w:p w:rsidR="008022B2" w:rsidP="00CD7C48">
      <w:pPr>
        <w:pStyle w:val="100"/>
        <w:rPr>
          <w:rtl/>
        </w:rPr>
      </w:pPr>
      <w:r>
        <w:rPr>
          <w:rFonts w:hint="cs"/>
          <w:rtl/>
        </w:rPr>
        <w:t>מהדוחות הכספיים של הממשלה ליום 31.12.18 עולה כי הגיל הממוצע של כלל הפורשים מצה"ל עד ליום 31.12.17 היה 45; הקצבה הממוצעת היי</w:t>
      </w:r>
      <w:r>
        <w:rPr>
          <w:rFonts w:hint="cs"/>
          <w:rtl/>
        </w:rPr>
        <w:t xml:space="preserve">תה 13,787 ש"ח; ממוצע הקצבה כאחוז מהשכר הקובע (שיעור התחלופה) עמד על 54%; והיחס בין שיעור התחלופה לממוצע גיל הפרישה היה 1.2. כלומר, גמלאי צה"ל פורשים בגיל צעיר יחסית, ושיעור התחלופה שלהם המותאם לגיל הפרישה הוא הגבוה ביותר בקרב האוכלוסיות המקבלות את הפנסייה </w:t>
      </w:r>
      <w:r>
        <w:rPr>
          <w:rFonts w:hint="cs"/>
          <w:rtl/>
        </w:rPr>
        <w:t>התקציבית</w:t>
      </w:r>
      <w:r>
        <w:rPr>
          <w:rStyle w:val="FootnoteReference0"/>
          <w:rtl/>
        </w:rPr>
        <w:footnoteReference w:id="5"/>
      </w:r>
      <w:r>
        <w:rPr>
          <w:rFonts w:hint="cs"/>
          <w:rtl/>
        </w:rPr>
        <w:t xml:space="preserve">. עוד עולה מהדוחות הכספיים כי הגיל הממוצע של פורשי צה"ל בשנת 2018 לבדה היה 46, הקצבה הממוצעת שלהם הייתה 17,256 ש"ח ושיעור התחלופה עמד על 61%. היחס בין שיעור התחלופה לממוצע גיל הפרישה עמד על כ-1.3. </w:t>
      </w:r>
    </w:p>
    <w:p w:rsidR="008022B2" w:rsidRPr="00D6020C" w:rsidP="00CD7C48">
      <w:pPr>
        <w:pStyle w:val="100"/>
        <w:rPr>
          <w:rtl/>
        </w:rPr>
      </w:pPr>
      <w:r>
        <w:rPr>
          <w:rFonts w:hint="cs"/>
          <w:rtl/>
        </w:rPr>
        <w:t>בתשובתו של צה"ל למשרד מבקר המדינה מיום 26.1.20 (ל</w:t>
      </w:r>
      <w:r>
        <w:rPr>
          <w:rFonts w:hint="cs"/>
          <w:rtl/>
        </w:rPr>
        <w:t>הלן - תשובת צה"ל) נכתב כי "מנתוני צה"ל לשנים 2016 עד 2018 עולה כי ישנה מגמה של ירידה בגובה קצבת הקצינים ומגמת עליה בגובה קצבת הנגדים. קצבת הקצינים ירדה מממוצע של 19,085 בשנת 2016 לממוצע של 18,966 בשנת</w:t>
      </w:r>
      <w:r w:rsidR="002643E6">
        <w:rPr>
          <w:rFonts w:hint="cs"/>
          <w:rtl/>
        </w:rPr>
        <w:t xml:space="preserve"> 2018</w:t>
      </w:r>
      <w:r>
        <w:rPr>
          <w:rStyle w:val="FootnoteReference0"/>
          <w:rtl/>
        </w:rPr>
        <w:footnoteReference w:id="6"/>
      </w:r>
      <w:r>
        <w:rPr>
          <w:rFonts w:hint="cs"/>
          <w:rtl/>
        </w:rPr>
        <w:t xml:space="preserve"> ואילו קצבת הנגדים עלתה מממוצע של 13,368 בשנת 2016</w:t>
      </w:r>
      <w:r>
        <w:rPr>
          <w:rFonts w:hint="cs"/>
          <w:rtl/>
        </w:rPr>
        <w:t xml:space="preserve"> לממוצע של 13,787 בשנת 2018. נתונים אלה עולים בקנה אחד עם מגמת הצערת הקצינים על-ידי הורדת גיל הפרישה מ-48 ל-43 והארכת גיל הפרישה לנגדים מ-48 ל-53, כפי שנקבע במודל הקבע החדש שנכנס לתוקפו בשנת 2016". </w:t>
      </w:r>
    </w:p>
    <w:p w:rsidR="008022B2" w:rsidP="00CD7C48">
      <w:pPr>
        <w:pStyle w:val="100"/>
        <w:rPr>
          <w:rtl/>
        </w:rPr>
      </w:pPr>
      <w:r>
        <w:rPr>
          <w:rFonts w:hint="cs"/>
          <w:rtl/>
        </w:rPr>
        <w:t>במשך השנים הרמטכ"לים אישרו לפורשי הקבע הגדלה של אחוזי הפנ</w:t>
      </w:r>
      <w:r>
        <w:rPr>
          <w:rFonts w:hint="cs"/>
          <w:rtl/>
        </w:rPr>
        <w:t xml:space="preserve">סייה בהתאם למנגנון "הגדלות רמטכ"ל". יצוין כי בשירות המדינה קיימים הסדרים אחרים המיטיבים עם הפורשים, שחלקם אינו נהוג בצה"ל. </w:t>
      </w:r>
    </w:p>
    <w:p w:rsidR="008022B2" w:rsidP="00CD7C48">
      <w:pPr>
        <w:pStyle w:val="100"/>
        <w:rPr>
          <w:rtl/>
        </w:rPr>
      </w:pPr>
      <w:r>
        <w:rPr>
          <w:rFonts w:hint="cs"/>
          <w:rtl/>
        </w:rPr>
        <w:t>גם בתשובת צה"ל צוין כי "בשירות המדינה קיימים מזה שנים ארוכות מנגנונים שונים ומגוונים שנועדו להגדיל את שיעור הקצבה של עובדים רבים מאו</w:t>
      </w:r>
      <w:r>
        <w:rPr>
          <w:rFonts w:hint="cs"/>
          <w:rtl/>
        </w:rPr>
        <w:t xml:space="preserve">ד" ובכלל זה הגדלת תקופת השירות של עובדי מדינה שונים המועסקים בתנאים מיוחדים, הגדלת תקופת השירות לשופטים, הגדלת </w:t>
      </w:r>
      <w:r>
        <w:rPr>
          <w:rFonts w:hint="cs"/>
          <w:rtl/>
        </w:rPr>
        <w:t>תקופת השירות לעובדי גופים סטטוטוריי</w:t>
      </w:r>
      <w:r>
        <w:rPr>
          <w:rFonts w:hint="eastAsia"/>
          <w:rtl/>
        </w:rPr>
        <w:t>ם</w:t>
      </w:r>
      <w:r>
        <w:rPr>
          <w:rFonts w:hint="cs"/>
          <w:rtl/>
        </w:rPr>
        <w:t xml:space="preserve">, העלאת העובדים הפורשים בדרגות פרישה לפני פרישתם, ותוכניות פרישה מוקדמת מרצון. </w:t>
      </w:r>
    </w:p>
    <w:p w:rsidR="008022B2" w:rsidP="00CD7C48">
      <w:pPr>
        <w:pStyle w:val="100"/>
        <w:rPr>
          <w:rtl/>
        </w:rPr>
      </w:pPr>
      <w:r>
        <w:rPr>
          <w:rFonts w:hint="cs"/>
          <w:rtl/>
        </w:rPr>
        <w:t>בדוח הקודם צוין כי שיעור ההגד</w:t>
      </w:r>
      <w:r>
        <w:rPr>
          <w:rFonts w:hint="cs"/>
          <w:rtl/>
        </w:rPr>
        <w:t>לה הממוצע שאישר הרמטכ"ל לפורשים בשנת 2015 עמד על כ-8.8%, וכי באותה שנה יותר ממחצית הפורשים מצה"ל קיבלו הגדלת רמטכ"ל של 7% ומעלה. עוד צוין בדוח הקודם כי הגדלות הרמטכ"ל האמורות שאושרו מכוח סעיף 18(ב) לחוק שירות הקבע בצבא הגנה לישראל (גמלאות) [נוסח משולב], הת</w:t>
      </w:r>
      <w:r>
        <w:rPr>
          <w:rFonts w:hint="cs"/>
          <w:rtl/>
        </w:rPr>
        <w:t xml:space="preserve">שמ"ה - 1985 (להלן - חוק גמלאות צבא הקבע) מתווספות להגדלה קבועה בשיעור של 6% הניתנת מכוח סעיף 8 לחוק גמלאות צבא הקבע לכל איש קבע שהתגייס עד ל-31.12.97 לשירות החובה. </w:t>
      </w:r>
    </w:p>
    <w:p w:rsidR="008022B2" w:rsidP="00CD7C48">
      <w:pPr>
        <w:pStyle w:val="100"/>
        <w:rPr>
          <w:rtl/>
        </w:rPr>
      </w:pPr>
      <w:r>
        <w:rPr>
          <w:rFonts w:hint="cs"/>
          <w:rtl/>
        </w:rPr>
        <w:t>מבקר המדינה המליץ בדוח הקודם כי הממשלה תבחן את המגבלות של הרמטכ"ל, של נציב שירות המדינה ושל</w:t>
      </w:r>
      <w:r>
        <w:rPr>
          <w:rFonts w:hint="cs"/>
          <w:rtl/>
        </w:rPr>
        <w:t xml:space="preserve"> ראשי הגופים הביטחוניים בכל הקשור להגדלת אחוזי הפנסייה לעמיתי הפנסייה התקציבית מעל לתקופת השירות בפועל, וכי הרמטכ"ל יבחן את מדיניותו להגדלה של שיעור הגמלה מעבר לשיעור שמזכה תקופת השירות בפועל, בשים לב למגבלות התקציב ולהשפעות האקטואריות של ההגדלות האחוזיות </w:t>
      </w:r>
      <w:r>
        <w:rPr>
          <w:rFonts w:hint="cs"/>
          <w:rtl/>
        </w:rPr>
        <w:t xml:space="preserve">על החבות של הממשלה לפנסייה תקציבית, ויבחן אם מדיניותו עולה בקנה אחד עם החלטות הממשלה. </w:t>
      </w:r>
    </w:p>
    <w:p w:rsidR="008022B2" w:rsidP="00CD7C48">
      <w:pPr>
        <w:pStyle w:val="100"/>
        <w:rPr>
          <w:rtl/>
        </w:rPr>
      </w:pPr>
      <w:r>
        <w:rPr>
          <w:rFonts w:hint="cs"/>
          <w:rtl/>
        </w:rPr>
        <w:t xml:space="preserve">במסגרת הדיווח על תיקון הליקויים לפי סעיף 21ב לחוק מבקר המדינה, התשי"ח-1958 [נוסח משולב], ציין צה"ל בפברואר 2017 כי "המלצת מבקר המדינה מקובלת. למעשה, עוד לפני פרסום דו"ח </w:t>
      </w:r>
      <w:r>
        <w:rPr>
          <w:rFonts w:hint="cs"/>
          <w:rtl/>
        </w:rPr>
        <w:t>הביקורת מינה הרמטכ"ל צוות שהחל בעבודת מטה לגיבוש המודל הרצוי להגדלת תקופת השירות... יודגש, כי גם היום מדיניות הגדלת תקופת השירות בצה"ל עולה בקנה אחד עם החלטות הממשלה שהתקבלו בנושא, כפי שנדרש מכוח סעיף 18 לחוק שירות הקבע בצבא ההגנה לישראל (גמלאות) [נוסח משו</w:t>
      </w:r>
      <w:r>
        <w:rPr>
          <w:rFonts w:hint="cs"/>
          <w:rtl/>
        </w:rPr>
        <w:t>לב], התשמ"ה- 1985".</w:t>
      </w:r>
    </w:p>
    <w:p w:rsidR="008022B2" w:rsidP="00CD7C48">
      <w:pPr>
        <w:pStyle w:val="100"/>
        <w:rPr>
          <w:rtl/>
        </w:rPr>
      </w:pPr>
      <w:r>
        <w:rPr>
          <w:rFonts w:hint="cs"/>
          <w:rtl/>
        </w:rPr>
        <w:t>נתונים שהעביר ראש מחלקת תקציבי יבשה ושכר בצה"ל (להלן- רמ"ח תקציבי יבשה) למשרד מבקר המדינה באוקטובר 2018 מעלים כי ממוצע ההגדלות שאישר הרמטכ"ל בשנת 2017 עלה בכעשירית האחוז לעומת הממוצע בשנת 2015 ועמד על 8.89%. ההגדלה האחוזית הממוצעת שניתנ</w:t>
      </w:r>
      <w:r>
        <w:rPr>
          <w:rFonts w:hint="cs"/>
          <w:rtl/>
        </w:rPr>
        <w:t xml:space="preserve">ה לקצינים עמדה על 9.26% ולנגדים 8.27%. </w:t>
      </w:r>
    </w:p>
    <w:p w:rsidR="008022B2" w:rsidP="00CD7C48">
      <w:pPr>
        <w:pStyle w:val="100"/>
        <w:rPr>
          <w:rtl/>
        </w:rPr>
      </w:pPr>
      <w:r>
        <w:rPr>
          <w:rFonts w:hint="cs"/>
          <w:rtl/>
        </w:rPr>
        <w:t xml:space="preserve">נתונים נוספים שהועברו למשרד מבקר המדינה ביוני 2019 על ידי ראש ענף תכנון שכר וגמלאות (להלן - רע"ן תשו"ג) בצה"ל הצביעו על כך כי ממוצע סך ההגדלות שאישר הרמטכ"ל בשנת 2018 עלה ל-9.53%, וכי ההגדלה הממוצעת שניתנה באותה שנה </w:t>
      </w:r>
      <w:r w:rsidRPr="0007116E">
        <w:rPr>
          <w:rFonts w:hint="cs"/>
          <w:sz w:val="24"/>
          <w:rtl/>
        </w:rPr>
        <w:t>לקצינים ה</w:t>
      </w:r>
      <w:r>
        <w:rPr>
          <w:rFonts w:hint="cs"/>
          <w:sz w:val="24"/>
          <w:rtl/>
        </w:rPr>
        <w:t>י</w:t>
      </w:r>
      <w:r w:rsidRPr="0007116E">
        <w:rPr>
          <w:rFonts w:hint="cs"/>
          <w:sz w:val="24"/>
          <w:rtl/>
        </w:rPr>
        <w:t xml:space="preserve">יתה </w:t>
      </w:r>
      <w:r>
        <w:rPr>
          <w:rFonts w:hint="cs"/>
          <w:sz w:val="24"/>
          <w:rtl/>
        </w:rPr>
        <w:t xml:space="preserve">9.66% </w:t>
      </w:r>
      <w:r w:rsidRPr="0007116E">
        <w:rPr>
          <w:rFonts w:hint="cs"/>
          <w:sz w:val="24"/>
          <w:rtl/>
        </w:rPr>
        <w:t xml:space="preserve">ולנגדים 9.25%. </w:t>
      </w:r>
    </w:p>
    <w:p w:rsidR="00CD7C48" w:rsidP="00CD7C48">
      <w:pPr>
        <w:pStyle w:val="100"/>
        <w:rPr>
          <w:rtl/>
        </w:rPr>
      </w:pPr>
      <w:r>
        <w:rPr>
          <w:rFonts w:hint="cs"/>
          <w:rtl/>
        </w:rPr>
        <w:t>להלן בלוח 1 נתוני ממוצעי הגדלות הרמטכ"ל שניתנו לפורשים, כפי שעלו בדוח הקודם (לשנת 2015) ובדוח המעקב (לשנים 2017-2018):</w:t>
      </w:r>
    </w:p>
    <w:p w:rsidR="00CD7C48">
      <w:pPr>
        <w:bidi w:val="0"/>
        <w:spacing w:after="200" w:line="276" w:lineRule="auto"/>
        <w:rPr>
          <w:rFonts w:ascii="Tahoma" w:hAnsi="Tahoma" w:cs="Tahoma"/>
          <w:szCs w:val="20"/>
          <w:rtl/>
        </w:rPr>
      </w:pPr>
      <w:r>
        <w:rPr>
          <w:rtl/>
        </w:rPr>
        <w:br w:type="page"/>
      </w:r>
    </w:p>
    <w:p w:rsidR="008022B2" w:rsidRPr="00CD7C48" w:rsidP="00CD7C48">
      <w:pPr>
        <w:pStyle w:val="a3"/>
        <w:rPr>
          <w:b/>
          <w:bCs/>
          <w:rtl/>
        </w:rPr>
      </w:pPr>
      <w:r w:rsidRPr="008A356D">
        <w:rPr>
          <w:rFonts w:hint="cs"/>
          <w:rtl/>
        </w:rPr>
        <w:t>לוח 1</w:t>
      </w:r>
      <w:r>
        <w:rPr>
          <w:rFonts w:hint="cs"/>
          <w:rtl/>
        </w:rPr>
        <w:t xml:space="preserve">: </w:t>
      </w:r>
      <w:r w:rsidRPr="00CD7C48">
        <w:rPr>
          <w:rFonts w:hint="cs"/>
          <w:b/>
          <w:bCs/>
          <w:rtl/>
        </w:rPr>
        <w:t>השיעורים הממוצעים של הגדלות הרמטכ"ל (באחוזים)</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9"/>
        <w:gridCol w:w="1275"/>
        <w:gridCol w:w="1250"/>
        <w:gridCol w:w="1299"/>
      </w:tblGrid>
      <w:tr w:rsidTr="00CD7C48">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3689" w:type="dxa"/>
            <w:shd w:val="clear" w:color="auto" w:fill="C6D9F1"/>
            <w:vAlign w:val="bottom"/>
          </w:tcPr>
          <w:p w:rsidR="008022B2" w:rsidRPr="00CD7C48" w:rsidP="00CD7C48">
            <w:pPr>
              <w:pStyle w:val="a13"/>
              <w:rPr>
                <w:rtl/>
              </w:rPr>
            </w:pPr>
            <w:r w:rsidRPr="00CD7C48">
              <w:rPr>
                <w:rFonts w:hint="cs"/>
                <w:rtl/>
              </w:rPr>
              <w:t xml:space="preserve"> הגדלות הרמטכ"ל הממוצעות שניתנו לפורשי צה"ל </w:t>
            </w:r>
          </w:p>
        </w:tc>
        <w:tc>
          <w:tcPr>
            <w:tcW w:w="1275" w:type="dxa"/>
            <w:shd w:val="clear" w:color="auto" w:fill="C6D9F1"/>
            <w:vAlign w:val="bottom"/>
          </w:tcPr>
          <w:p w:rsidR="008022B2" w:rsidRPr="00CD7C48" w:rsidP="00CD7C48">
            <w:pPr>
              <w:pStyle w:val="a13"/>
              <w:rPr>
                <w:rtl/>
              </w:rPr>
            </w:pPr>
            <w:r w:rsidRPr="00CD7C48">
              <w:rPr>
                <w:rFonts w:hint="cs"/>
                <w:rtl/>
              </w:rPr>
              <w:t>2018</w:t>
            </w:r>
          </w:p>
        </w:tc>
        <w:tc>
          <w:tcPr>
            <w:tcW w:w="1250" w:type="dxa"/>
            <w:shd w:val="clear" w:color="auto" w:fill="C6D9F1"/>
            <w:vAlign w:val="bottom"/>
          </w:tcPr>
          <w:p w:rsidR="008022B2" w:rsidRPr="00CD7C48" w:rsidP="00CD7C48">
            <w:pPr>
              <w:pStyle w:val="a13"/>
              <w:rPr>
                <w:rtl/>
              </w:rPr>
            </w:pPr>
            <w:r w:rsidRPr="00CD7C48">
              <w:rPr>
                <w:rFonts w:hint="cs"/>
                <w:rtl/>
              </w:rPr>
              <w:t>2017</w:t>
            </w:r>
          </w:p>
        </w:tc>
        <w:tc>
          <w:tcPr>
            <w:tcW w:w="1299" w:type="dxa"/>
            <w:shd w:val="clear" w:color="auto" w:fill="C6D9F1"/>
            <w:vAlign w:val="bottom"/>
          </w:tcPr>
          <w:p w:rsidR="008022B2" w:rsidRPr="00CD7C48" w:rsidP="00CD7C48">
            <w:pPr>
              <w:pStyle w:val="a13"/>
              <w:rPr>
                <w:rtl/>
              </w:rPr>
            </w:pPr>
            <w:r w:rsidRPr="00CD7C48">
              <w:rPr>
                <w:rFonts w:hint="cs"/>
                <w:rtl/>
              </w:rPr>
              <w:t>2015</w:t>
            </w:r>
          </w:p>
        </w:tc>
      </w:tr>
      <w:tr w:rsidTr="00E01B48">
        <w:tblPrEx>
          <w:tblW w:w="0" w:type="auto"/>
          <w:jc w:val="center"/>
          <w:tblLook w:val="04A0"/>
        </w:tblPrEx>
        <w:trPr>
          <w:jc w:val="center"/>
        </w:trPr>
        <w:tc>
          <w:tcPr>
            <w:tcW w:w="3689" w:type="dxa"/>
            <w:shd w:val="clear" w:color="auto" w:fill="auto"/>
            <w:vAlign w:val="bottom"/>
          </w:tcPr>
          <w:p w:rsidR="008022B2" w:rsidRPr="00CD7C48" w:rsidP="00CD7C48">
            <w:pPr>
              <w:pStyle w:val="B"/>
              <w:rPr>
                <w:szCs w:val="20"/>
                <w:rtl/>
              </w:rPr>
            </w:pPr>
            <w:r w:rsidRPr="00CD7C48">
              <w:rPr>
                <w:rFonts w:hint="cs"/>
                <w:szCs w:val="20"/>
                <w:rtl/>
              </w:rPr>
              <w:t>ממוצע כולל</w:t>
            </w:r>
          </w:p>
        </w:tc>
        <w:tc>
          <w:tcPr>
            <w:tcW w:w="1275" w:type="dxa"/>
            <w:shd w:val="clear" w:color="auto" w:fill="auto"/>
            <w:vAlign w:val="bottom"/>
          </w:tcPr>
          <w:p w:rsidR="008022B2" w:rsidRPr="00CD7C48" w:rsidP="00CD7C48">
            <w:pPr>
              <w:pStyle w:val="R"/>
              <w:rPr>
                <w:rtl/>
              </w:rPr>
            </w:pPr>
            <w:r w:rsidRPr="00CD7C48">
              <w:rPr>
                <w:rFonts w:hint="cs"/>
                <w:rtl/>
              </w:rPr>
              <w:t>9.53</w:t>
            </w:r>
          </w:p>
        </w:tc>
        <w:tc>
          <w:tcPr>
            <w:tcW w:w="1250" w:type="dxa"/>
            <w:shd w:val="clear" w:color="auto" w:fill="auto"/>
            <w:vAlign w:val="bottom"/>
          </w:tcPr>
          <w:p w:rsidR="008022B2" w:rsidRPr="00CD7C48" w:rsidP="00CD7C48">
            <w:pPr>
              <w:pStyle w:val="R"/>
              <w:rPr>
                <w:rtl/>
              </w:rPr>
            </w:pPr>
            <w:r w:rsidRPr="00CD7C48">
              <w:rPr>
                <w:rFonts w:hint="cs"/>
                <w:rtl/>
              </w:rPr>
              <w:t>8.89</w:t>
            </w:r>
          </w:p>
        </w:tc>
        <w:tc>
          <w:tcPr>
            <w:tcW w:w="1299" w:type="dxa"/>
            <w:shd w:val="clear" w:color="auto" w:fill="auto"/>
            <w:vAlign w:val="bottom"/>
          </w:tcPr>
          <w:p w:rsidR="008022B2" w:rsidRPr="00CD7C48" w:rsidP="00CD7C48">
            <w:pPr>
              <w:pStyle w:val="R"/>
              <w:rPr>
                <w:rtl/>
              </w:rPr>
            </w:pPr>
            <w:r w:rsidRPr="00CD7C48">
              <w:rPr>
                <w:rFonts w:hint="cs"/>
                <w:rtl/>
              </w:rPr>
              <w:t>8.8</w:t>
            </w:r>
          </w:p>
        </w:tc>
      </w:tr>
      <w:tr w:rsidTr="00E01B48">
        <w:tblPrEx>
          <w:tblW w:w="0" w:type="auto"/>
          <w:jc w:val="center"/>
          <w:tblLook w:val="04A0"/>
        </w:tblPrEx>
        <w:trPr>
          <w:jc w:val="center"/>
        </w:trPr>
        <w:tc>
          <w:tcPr>
            <w:tcW w:w="3689" w:type="dxa"/>
            <w:shd w:val="clear" w:color="auto" w:fill="auto"/>
            <w:vAlign w:val="bottom"/>
          </w:tcPr>
          <w:p w:rsidR="008022B2" w:rsidRPr="00CD7C48" w:rsidP="00CD7C48">
            <w:pPr>
              <w:pStyle w:val="B"/>
              <w:rPr>
                <w:szCs w:val="20"/>
                <w:rtl/>
              </w:rPr>
            </w:pPr>
            <w:r w:rsidRPr="00CD7C48">
              <w:rPr>
                <w:rFonts w:hint="cs"/>
                <w:szCs w:val="20"/>
                <w:rtl/>
              </w:rPr>
              <w:t>ממוצע קצינים</w:t>
            </w:r>
          </w:p>
        </w:tc>
        <w:tc>
          <w:tcPr>
            <w:tcW w:w="1275" w:type="dxa"/>
            <w:shd w:val="clear" w:color="auto" w:fill="auto"/>
            <w:vAlign w:val="bottom"/>
          </w:tcPr>
          <w:p w:rsidR="008022B2" w:rsidRPr="00CD7C48" w:rsidP="00CD7C48">
            <w:pPr>
              <w:pStyle w:val="R"/>
              <w:rPr>
                <w:rtl/>
              </w:rPr>
            </w:pPr>
            <w:r w:rsidRPr="00CD7C48">
              <w:rPr>
                <w:rFonts w:hint="cs"/>
                <w:rtl/>
              </w:rPr>
              <w:t>9.66</w:t>
            </w:r>
          </w:p>
        </w:tc>
        <w:tc>
          <w:tcPr>
            <w:tcW w:w="1250" w:type="dxa"/>
            <w:shd w:val="clear" w:color="auto" w:fill="auto"/>
            <w:vAlign w:val="bottom"/>
          </w:tcPr>
          <w:p w:rsidR="008022B2" w:rsidRPr="00CD7C48" w:rsidP="00CD7C48">
            <w:pPr>
              <w:pStyle w:val="R"/>
              <w:rPr>
                <w:rtl/>
              </w:rPr>
            </w:pPr>
            <w:r w:rsidRPr="00CD7C48">
              <w:rPr>
                <w:rFonts w:hint="cs"/>
                <w:rtl/>
              </w:rPr>
              <w:t>9.26</w:t>
            </w:r>
          </w:p>
        </w:tc>
        <w:tc>
          <w:tcPr>
            <w:tcW w:w="1299" w:type="dxa"/>
            <w:shd w:val="clear" w:color="auto" w:fill="auto"/>
            <w:vAlign w:val="bottom"/>
          </w:tcPr>
          <w:p w:rsidR="008022B2" w:rsidRPr="00CD7C48" w:rsidP="00CD7C48">
            <w:pPr>
              <w:pStyle w:val="R"/>
              <w:rPr>
                <w:rtl/>
              </w:rPr>
            </w:pPr>
          </w:p>
        </w:tc>
      </w:tr>
      <w:tr w:rsidTr="00E01B48">
        <w:tblPrEx>
          <w:tblW w:w="0" w:type="auto"/>
          <w:jc w:val="center"/>
          <w:tblLook w:val="04A0"/>
        </w:tblPrEx>
        <w:trPr>
          <w:jc w:val="center"/>
        </w:trPr>
        <w:tc>
          <w:tcPr>
            <w:tcW w:w="3689" w:type="dxa"/>
            <w:shd w:val="clear" w:color="auto" w:fill="auto"/>
            <w:vAlign w:val="bottom"/>
          </w:tcPr>
          <w:p w:rsidR="008022B2" w:rsidRPr="00CD7C48" w:rsidP="00CD7C48">
            <w:pPr>
              <w:pStyle w:val="B"/>
              <w:rPr>
                <w:szCs w:val="20"/>
                <w:rtl/>
              </w:rPr>
            </w:pPr>
            <w:r w:rsidRPr="00CD7C48">
              <w:rPr>
                <w:rFonts w:hint="cs"/>
                <w:szCs w:val="20"/>
                <w:rtl/>
              </w:rPr>
              <w:t>ממוצע נגדים</w:t>
            </w:r>
          </w:p>
        </w:tc>
        <w:tc>
          <w:tcPr>
            <w:tcW w:w="1275" w:type="dxa"/>
            <w:shd w:val="clear" w:color="auto" w:fill="auto"/>
            <w:vAlign w:val="bottom"/>
          </w:tcPr>
          <w:p w:rsidR="008022B2" w:rsidRPr="00CD7C48" w:rsidP="00CD7C48">
            <w:pPr>
              <w:pStyle w:val="R"/>
              <w:rPr>
                <w:rtl/>
              </w:rPr>
            </w:pPr>
            <w:r w:rsidRPr="00CD7C48">
              <w:rPr>
                <w:rFonts w:hint="cs"/>
                <w:rtl/>
              </w:rPr>
              <w:t>9.25</w:t>
            </w:r>
          </w:p>
        </w:tc>
        <w:tc>
          <w:tcPr>
            <w:tcW w:w="1250" w:type="dxa"/>
            <w:shd w:val="clear" w:color="auto" w:fill="auto"/>
            <w:vAlign w:val="bottom"/>
          </w:tcPr>
          <w:p w:rsidR="008022B2" w:rsidRPr="00CD7C48" w:rsidP="00CD7C48">
            <w:pPr>
              <w:pStyle w:val="R"/>
              <w:rPr>
                <w:rtl/>
              </w:rPr>
            </w:pPr>
            <w:r w:rsidRPr="00CD7C48">
              <w:rPr>
                <w:rFonts w:hint="cs"/>
                <w:rtl/>
              </w:rPr>
              <w:t>8.27</w:t>
            </w:r>
          </w:p>
        </w:tc>
        <w:tc>
          <w:tcPr>
            <w:tcW w:w="1299" w:type="dxa"/>
            <w:shd w:val="clear" w:color="auto" w:fill="auto"/>
            <w:vAlign w:val="bottom"/>
          </w:tcPr>
          <w:p w:rsidR="008022B2" w:rsidRPr="00CD7C48" w:rsidP="00CD7C48">
            <w:pPr>
              <w:pStyle w:val="R"/>
              <w:rPr>
                <w:rtl/>
              </w:rPr>
            </w:pPr>
          </w:p>
        </w:tc>
      </w:tr>
    </w:tbl>
    <w:p w:rsidR="008022B2" w:rsidP="0020612A">
      <w:pPr>
        <w:pStyle w:val="100"/>
        <w:rPr>
          <w:rtl/>
        </w:rPr>
      </w:pPr>
    </w:p>
    <w:p w:rsidR="008022B2" w:rsidP="0020612A">
      <w:pPr>
        <w:pStyle w:val="100"/>
        <w:rPr>
          <w:rtl/>
        </w:rPr>
      </w:pPr>
      <w:r>
        <w:rPr>
          <w:rFonts w:hint="cs"/>
          <w:rtl/>
        </w:rPr>
        <w:t xml:space="preserve">מהלוח עולה כי מאז הדוח הקודם, בשנים 2018-2015 עלה ממוצע הגדלות הרמטכ"ל לפורשים בכ-0.73%. בתשובת צה"ל נכתב כי ההסבר לעליה הזמנית בהגדלות הוא "נוכח השינויים שחלו במודל הקבע ובגיל הפרישה של המשרתים כפי שסוכם עם משרד האוצר ונקבע בחוק בעקבות התחייבויות שנטל על </w:t>
      </w:r>
      <w:r>
        <w:rPr>
          <w:rFonts w:hint="cs"/>
          <w:rtl/>
        </w:rPr>
        <w:t xml:space="preserve">עצמו צה"ל, שהביאו לעלייה בשיעור ההגדלות בטווח הקרוב אך יביאו להפחתה משמעותית בטווח הרחוק". </w:t>
      </w:r>
    </w:p>
    <w:p w:rsidR="008022B2" w:rsidP="0020612A">
      <w:pPr>
        <w:pStyle w:val="100"/>
        <w:rPr>
          <w:rtl/>
        </w:rPr>
      </w:pPr>
      <w:r>
        <w:rPr>
          <w:rFonts w:hint="cs"/>
          <w:rtl/>
        </w:rPr>
        <w:t>רמ"ח תקציבי יבשה כתב למשרד מבקר המדינה ב-8.10.18 כי "השלמת תקופות שירות מחושבת ומאושרת ע"י הממונה על תשלומי הגמלאות בצה"ל בהתאם לכללי הגדלת תקופת השירות... יודגש כי</w:t>
      </w:r>
      <w:r>
        <w:rPr>
          <w:rFonts w:hint="cs"/>
          <w:rtl/>
        </w:rPr>
        <w:t xml:space="preserve"> הכללים </w:t>
      </w:r>
      <w:r w:rsidRPr="00B82FEA">
        <w:rPr>
          <w:rFonts w:hint="cs"/>
          <w:rtl/>
        </w:rPr>
        <w:t xml:space="preserve">עודכנו בשנת 2017 ובמסגרתם החליט הרמטכ"ל על קיצוץ חד בגובה ההשלמה המקסימלית וקטימתה ב-10%, בנוסף לשינויים נוספים שבוצעו באופן חישוב מרחב </w:t>
      </w:r>
      <w:r w:rsidRPr="00B82FEA">
        <w:rPr>
          <w:rFonts w:hint="eastAsia"/>
          <w:rtl/>
        </w:rPr>
        <w:t>ההשלמה</w:t>
      </w:r>
      <w:r w:rsidRPr="00B82FEA">
        <w:rPr>
          <w:rtl/>
        </w:rPr>
        <w:t xml:space="preserve">, </w:t>
      </w:r>
      <w:r w:rsidRPr="00B82FEA">
        <w:rPr>
          <w:rFonts w:hint="eastAsia"/>
          <w:rtl/>
        </w:rPr>
        <w:t>תוך</w:t>
      </w:r>
      <w:r w:rsidRPr="00B82FEA">
        <w:rPr>
          <w:rtl/>
        </w:rPr>
        <w:t xml:space="preserve"> </w:t>
      </w:r>
      <w:r w:rsidRPr="00B82FEA">
        <w:rPr>
          <w:rFonts w:hint="eastAsia"/>
          <w:rtl/>
        </w:rPr>
        <w:t>קביעת</w:t>
      </w:r>
      <w:r w:rsidRPr="00B82FEA">
        <w:rPr>
          <w:rtl/>
        </w:rPr>
        <w:t xml:space="preserve"> </w:t>
      </w:r>
      <w:r w:rsidRPr="00B82FEA">
        <w:rPr>
          <w:rFonts w:hint="eastAsia"/>
          <w:rtl/>
        </w:rPr>
        <w:t>דור</w:t>
      </w:r>
      <w:r w:rsidRPr="00B82FEA">
        <w:rPr>
          <w:rtl/>
        </w:rPr>
        <w:t xml:space="preserve"> </w:t>
      </w:r>
      <w:r w:rsidRPr="00B82FEA">
        <w:rPr>
          <w:rFonts w:hint="eastAsia"/>
          <w:rtl/>
        </w:rPr>
        <w:t>מעבר</w:t>
      </w:r>
      <w:r w:rsidRPr="00B82FEA">
        <w:rPr>
          <w:rtl/>
        </w:rPr>
        <w:t xml:space="preserve">. </w:t>
      </w:r>
      <w:r w:rsidRPr="00B82FEA">
        <w:rPr>
          <w:rFonts w:hint="eastAsia"/>
          <w:rtl/>
        </w:rPr>
        <w:t>שינויים</w:t>
      </w:r>
      <w:r w:rsidRPr="00B82FEA">
        <w:rPr>
          <w:rtl/>
        </w:rPr>
        <w:t xml:space="preserve"> </w:t>
      </w:r>
      <w:r w:rsidRPr="00B82FEA">
        <w:rPr>
          <w:rFonts w:hint="eastAsia"/>
          <w:rtl/>
        </w:rPr>
        <w:t>אלה</w:t>
      </w:r>
      <w:r w:rsidRPr="00B82FEA">
        <w:rPr>
          <w:rtl/>
        </w:rPr>
        <w:t xml:space="preserve">, </w:t>
      </w:r>
      <w:r w:rsidRPr="00B82FEA">
        <w:rPr>
          <w:rFonts w:hint="eastAsia"/>
          <w:rtl/>
        </w:rPr>
        <w:t>יחד</w:t>
      </w:r>
      <w:r w:rsidRPr="00B82FEA">
        <w:rPr>
          <w:rtl/>
        </w:rPr>
        <w:t xml:space="preserve"> </w:t>
      </w:r>
      <w:r w:rsidRPr="00B82FEA">
        <w:rPr>
          <w:rFonts w:hint="eastAsia"/>
          <w:rtl/>
        </w:rPr>
        <w:t>עם</w:t>
      </w:r>
      <w:r w:rsidRPr="00B82FEA">
        <w:rPr>
          <w:rtl/>
        </w:rPr>
        <w:t xml:space="preserve"> </w:t>
      </w:r>
      <w:r w:rsidRPr="00B82FEA">
        <w:rPr>
          <w:rFonts w:hint="eastAsia"/>
          <w:rtl/>
        </w:rPr>
        <w:t>מודל</w:t>
      </w:r>
      <w:r w:rsidRPr="00B82FEA">
        <w:rPr>
          <w:rtl/>
        </w:rPr>
        <w:t xml:space="preserve"> </w:t>
      </w:r>
      <w:r w:rsidRPr="00B82FEA">
        <w:rPr>
          <w:rFonts w:hint="eastAsia"/>
          <w:rtl/>
        </w:rPr>
        <w:t>הקבע</w:t>
      </w:r>
      <w:r w:rsidRPr="00B82FEA">
        <w:rPr>
          <w:rtl/>
        </w:rPr>
        <w:t xml:space="preserve"> </w:t>
      </w:r>
      <w:r w:rsidRPr="00B82FEA">
        <w:rPr>
          <w:rFonts w:hint="eastAsia"/>
          <w:rtl/>
        </w:rPr>
        <w:t>החדש</w:t>
      </w:r>
      <w:r w:rsidRPr="00B82FEA">
        <w:rPr>
          <w:rtl/>
        </w:rPr>
        <w:t xml:space="preserve">, </w:t>
      </w:r>
      <w:r w:rsidRPr="00B82FEA">
        <w:rPr>
          <w:rFonts w:hint="eastAsia"/>
          <w:rtl/>
        </w:rPr>
        <w:t>צפויים</w:t>
      </w:r>
      <w:r w:rsidRPr="00B82FEA">
        <w:rPr>
          <w:rtl/>
        </w:rPr>
        <w:t xml:space="preserve"> </w:t>
      </w:r>
      <w:r w:rsidRPr="00B82FEA">
        <w:rPr>
          <w:rFonts w:hint="eastAsia"/>
          <w:rtl/>
        </w:rPr>
        <w:t>להביא</w:t>
      </w:r>
      <w:r w:rsidRPr="00B82FEA">
        <w:rPr>
          <w:rtl/>
        </w:rPr>
        <w:t xml:space="preserve"> </w:t>
      </w:r>
      <w:r w:rsidRPr="00B82FEA">
        <w:rPr>
          <w:rFonts w:hint="eastAsia"/>
          <w:rtl/>
        </w:rPr>
        <w:t>להפחתה</w:t>
      </w:r>
      <w:r w:rsidRPr="00B82FEA">
        <w:rPr>
          <w:rFonts w:hint="cs"/>
          <w:rtl/>
        </w:rPr>
        <w:t xml:space="preserve"> משמעותית בגובה הגמלה העתידית של משרתי הקבע". </w:t>
      </w:r>
    </w:p>
    <w:p w:rsidR="008022B2" w:rsidP="0020612A">
      <w:pPr>
        <w:pStyle w:val="100"/>
        <w:rPr>
          <w:rtl/>
        </w:rPr>
      </w:pPr>
      <w:r>
        <w:rPr>
          <w:rFonts w:hint="cs"/>
          <w:rtl/>
        </w:rPr>
        <w:t>בפגישות שנערכו עם ראשת מטה אגף כוח אדם (להלן - רמ"ט אכ"א) ועם רע"ן תשו"ג בצה"ל ביוני 2019 נמסר לנציגי משרד מבקר המדינה כי בעקבות מודל הקבע החדש וההתחייבות לעמוד בעתיד בגמלה ממוצעת של 12,000 ש"ח, אמורים להשתחרר</w:t>
      </w:r>
      <w:r>
        <w:rPr>
          <w:rFonts w:hint="cs"/>
          <w:rtl/>
        </w:rPr>
        <w:t xml:space="preserve"> מצה"ל בשנים הקרובות קצינים ונגדים מבוגרים שעל פי הכללים החלים עליהם ההגדלות שלהם זכאים גדולות יותר, דבר המסביר את העלייה הזמנית בגובה ההגדלות.</w:t>
      </w:r>
    </w:p>
    <w:p w:rsidR="008022B2" w:rsidP="0020612A">
      <w:pPr>
        <w:pStyle w:val="100"/>
        <w:rPr>
          <w:rtl/>
        </w:rPr>
      </w:pPr>
      <w:r>
        <w:rPr>
          <w:rFonts w:hint="cs"/>
          <w:rtl/>
        </w:rPr>
        <w:t>נוסף על כך, נציגי צה"ל העבירו למשרד מבקר המדינה את הכללים החדשים של הרמטכ"ל בדבר ההגדלות ("כללים להשלמת תקופת שי</w:t>
      </w:r>
      <w:r>
        <w:rPr>
          <w:rFonts w:hint="cs"/>
          <w:rtl/>
        </w:rPr>
        <w:t>רות לפי סעיף 18(ב) לחוק שירות הקבע (גמלאות)" (להלן - הכללים החדשים). בכללים החדשים נעשו שני שינויים מרכזיים לעומת הכללים הישנים:</w:t>
      </w:r>
    </w:p>
    <w:p w:rsidR="008022B2" w:rsidP="0020612A">
      <w:pPr>
        <w:pStyle w:val="a5"/>
        <w:numPr>
          <w:ilvl w:val="0"/>
          <w:numId w:val="18"/>
        </w:numPr>
      </w:pPr>
      <w:r>
        <w:rPr>
          <w:rFonts w:hint="cs"/>
          <w:rtl/>
        </w:rPr>
        <w:t>הרמטכ"ל קטם את שיעור ההגדלה המרבי שיינתן לפורשים ל-10% (במקום 19% שנהגה קודם לכן), זאת למשרתי קבע שהחלו את שירותם בקבע מובהק לא</w:t>
      </w:r>
      <w:r>
        <w:rPr>
          <w:rFonts w:hint="cs"/>
          <w:rtl/>
        </w:rPr>
        <w:t>חר 1.4.2017.</w:t>
      </w:r>
    </w:p>
    <w:p w:rsidR="008022B2" w:rsidP="0020612A">
      <w:pPr>
        <w:pStyle w:val="a5"/>
        <w:rPr>
          <w:rtl/>
        </w:rPr>
      </w:pPr>
      <w:r>
        <w:rPr>
          <w:rFonts w:hint="cs"/>
          <w:rtl/>
        </w:rPr>
        <w:t xml:space="preserve">הרמטכ"ל צמצם את ההגדלה המגיעה בכל שנה לחיילים שלא היו בשירות החל מאותו מועד. לדוגמה, אחוז ההגדלה המגיעה בגין התקופה שמגיל הגיוס ועד הגיוס בפועל לשירות חובה צומצם ל-0.75% במקום 2% על פי הכללים הישנים. </w:t>
      </w:r>
    </w:p>
    <w:p w:rsidR="008022B2" w:rsidP="00B231C0">
      <w:pPr>
        <w:pStyle w:val="100"/>
        <w:rPr>
          <w:rtl/>
        </w:rPr>
      </w:pPr>
      <w:r w:rsidRPr="000979D0">
        <w:rPr>
          <w:rFonts w:hint="cs"/>
          <w:rtl/>
        </w:rPr>
        <w:t>בתשובת צה"ל מאוגוסט 2016</w:t>
      </w:r>
      <w:r>
        <w:rPr>
          <w:rFonts w:hint="cs"/>
          <w:rtl/>
        </w:rPr>
        <w:t xml:space="preserve"> </w:t>
      </w:r>
      <w:r w:rsidRPr="000979D0">
        <w:rPr>
          <w:rFonts w:hint="cs"/>
          <w:rtl/>
        </w:rPr>
        <w:t>לדוח הקודם (שם, ע</w:t>
      </w:r>
      <w:r w:rsidRPr="000979D0">
        <w:rPr>
          <w:rFonts w:hint="cs"/>
          <w:rtl/>
        </w:rPr>
        <w:t xml:space="preserve">"מ 68-69) נכללו דברים אלה של הרמטכ"ל לשעבר: "נושא הדוח וממצאיו חשובים מאוד והביאו אותי לערוך סדרת דיונים והחלטות </w:t>
      </w:r>
      <w:r w:rsidRPr="000979D0">
        <w:rPr>
          <w:rFonts w:hint="cs"/>
          <w:rtl/>
        </w:rPr>
        <w:t>בנושא... חלק מהתהליכים שהנחתי עליהם...: א. אישור גובה ההגדלה ע"י ראש אכ"א בלבד... ג. הנחיה על גיבוש מתווה לצמצום חד בהגדלות תוך 3 שנים</w:t>
      </w:r>
      <w:r>
        <w:rPr>
          <w:rFonts w:hint="cs"/>
          <w:rtl/>
        </w:rPr>
        <w:t>".</w:t>
      </w:r>
    </w:p>
    <w:p w:rsidR="008022B2" w:rsidP="00B231C0">
      <w:pPr>
        <w:pStyle w:val="100"/>
        <w:rPr>
          <w:rtl/>
        </w:rPr>
      </w:pPr>
      <w:r>
        <w:rPr>
          <w:rFonts w:hint="cs"/>
          <w:rtl/>
        </w:rPr>
        <w:t xml:space="preserve">במהלך </w:t>
      </w:r>
      <w:r>
        <w:rPr>
          <w:rFonts w:hint="cs"/>
          <w:rtl/>
        </w:rPr>
        <w:t>ביקורת המעקב מסר רע"ן תשו"ג לנציגי משרד מבקר המדינה ביוני 2019 כי גובה ההגדלות לפורשים מובא לאישור פרטני של ראש אגף כוח אדם (להלן - ראש אכ"א), והנתונים המפורטים מועברים לרמטכ"ל</w:t>
      </w:r>
      <w:r w:rsidRPr="000F45BF">
        <w:rPr>
          <w:rFonts w:hint="cs"/>
          <w:rtl/>
        </w:rPr>
        <w:t xml:space="preserve"> </w:t>
      </w:r>
      <w:r>
        <w:rPr>
          <w:rFonts w:hint="cs"/>
          <w:rtl/>
        </w:rPr>
        <w:t>מדי חודש.</w:t>
      </w:r>
    </w:p>
    <w:p w:rsidR="008022B2" w:rsidRPr="008C6863" w:rsidP="00B231C0">
      <w:pPr>
        <w:pStyle w:val="a18"/>
        <w:rPr>
          <w:rtl/>
        </w:rPr>
      </w:pPr>
      <w:r w:rsidRPr="004F17D6">
        <w:rPr>
          <w:rFonts w:hint="cs"/>
          <w:rtl/>
        </w:rPr>
        <w:t>מאחר וכאמור</w:t>
      </w:r>
      <w:r>
        <w:rPr>
          <w:rFonts w:hint="cs"/>
          <w:rtl/>
        </w:rPr>
        <w:t>,</w:t>
      </w:r>
      <w:r w:rsidRPr="004F17D6">
        <w:rPr>
          <w:rFonts w:hint="cs"/>
          <w:rtl/>
        </w:rPr>
        <w:t xml:space="preserve"> </w:t>
      </w:r>
      <w:r>
        <w:rPr>
          <w:rFonts w:hint="cs"/>
          <w:rtl/>
        </w:rPr>
        <w:t xml:space="preserve">מחד </w:t>
      </w:r>
      <w:r w:rsidRPr="004F17D6">
        <w:rPr>
          <w:rFonts w:hint="cs"/>
          <w:rtl/>
        </w:rPr>
        <w:t>הכללים החדשים יחולו על מי שהחל בשירות קבע מובהק אחרי</w:t>
      </w:r>
      <w:r w:rsidRPr="004F17D6">
        <w:rPr>
          <w:rFonts w:hint="cs"/>
          <w:rtl/>
        </w:rPr>
        <w:t xml:space="preserve"> 1.4.17</w:t>
      </w:r>
      <w:r>
        <w:rPr>
          <w:rFonts w:hint="cs"/>
          <w:rtl/>
        </w:rPr>
        <w:t xml:space="preserve"> </w:t>
      </w:r>
      <w:r w:rsidRPr="00FA4B2F">
        <w:rPr>
          <w:rFonts w:hint="cs"/>
          <w:rtl/>
        </w:rPr>
        <w:t xml:space="preserve">ומאידך בהתאם לדיווחי צה"ל בשנים הקרובות </w:t>
      </w:r>
      <w:r w:rsidRPr="00395E1A">
        <w:rPr>
          <w:rFonts w:hint="cs"/>
          <w:rtl/>
        </w:rPr>
        <w:t xml:space="preserve">אמורים להשתחרר מצה"ל קצינים ונגדים מבוגרים שעל פי הכללים החלים עליהם ההגדלות </w:t>
      </w:r>
      <w:r>
        <w:rPr>
          <w:rFonts w:hint="cs"/>
          <w:rtl/>
        </w:rPr>
        <w:t>ש</w:t>
      </w:r>
      <w:r w:rsidRPr="00395E1A">
        <w:rPr>
          <w:rFonts w:hint="cs"/>
          <w:rtl/>
        </w:rPr>
        <w:t>להם</w:t>
      </w:r>
      <w:r>
        <w:rPr>
          <w:rFonts w:hint="cs"/>
          <w:rtl/>
        </w:rPr>
        <w:t xml:space="preserve"> זכאים</w:t>
      </w:r>
      <w:r w:rsidRPr="00395E1A">
        <w:rPr>
          <w:rFonts w:hint="cs"/>
          <w:rtl/>
        </w:rPr>
        <w:t xml:space="preserve"> גדולות יותר</w:t>
      </w:r>
      <w:r w:rsidRPr="00FA4B2F">
        <w:rPr>
          <w:rFonts w:hint="cs"/>
          <w:rtl/>
        </w:rPr>
        <w:t>,</w:t>
      </w:r>
      <w:r w:rsidRPr="004F17D6">
        <w:rPr>
          <w:rFonts w:hint="cs"/>
          <w:rtl/>
        </w:rPr>
        <w:t xml:space="preserve"> נראה כי השינוי בהגדלות יבוא לידי ביטוי</w:t>
      </w:r>
      <w:r>
        <w:rPr>
          <w:rFonts w:hint="cs"/>
          <w:rtl/>
        </w:rPr>
        <w:t xml:space="preserve"> רק</w:t>
      </w:r>
      <w:r w:rsidRPr="004F17D6">
        <w:rPr>
          <w:rFonts w:hint="cs"/>
          <w:rtl/>
        </w:rPr>
        <w:t xml:space="preserve"> </w:t>
      </w:r>
      <w:r>
        <w:rPr>
          <w:rFonts w:hint="cs"/>
          <w:rtl/>
        </w:rPr>
        <w:t xml:space="preserve">לקראת </w:t>
      </w:r>
      <w:r w:rsidRPr="004F17D6">
        <w:rPr>
          <w:rFonts w:hint="cs"/>
          <w:rtl/>
        </w:rPr>
        <w:t>שנת 2030</w:t>
      </w:r>
      <w:r>
        <w:rPr>
          <w:rFonts w:hint="cs"/>
          <w:rtl/>
        </w:rPr>
        <w:t>, לאחר</w:t>
      </w:r>
      <w:r w:rsidRPr="004F17D6">
        <w:rPr>
          <w:rFonts w:hint="cs"/>
          <w:rtl/>
        </w:rPr>
        <w:t xml:space="preserve"> פרישתם של משרתים אלו לגמלאות</w:t>
      </w:r>
      <w:r>
        <w:rPr>
          <w:rFonts w:hint="cs"/>
          <w:rtl/>
        </w:rPr>
        <w:t>. זאת ועוד, מאחר</w:t>
      </w:r>
      <w:r>
        <w:rPr>
          <w:rFonts w:hint="cs"/>
          <w:rtl/>
        </w:rPr>
        <w:t xml:space="preserve"> וגיל הפרישה מצה"ל אמור לרדת משמעותית עד 2030, ראוי לבחון את אפקטיביות ההשפעה של הכללים החדשים שגיבש הרמטכ"ל הכוללים קביעת שיעור התוספת המרבית ל-10% (במקום התוספת המרבית שנהגה בשיעור 19%). </w:t>
      </w:r>
    </w:p>
    <w:p w:rsidR="008022B2" w:rsidRPr="000979D0" w:rsidP="00B231C0">
      <w:pPr>
        <w:pStyle w:val="100"/>
        <w:rPr>
          <w:rtl/>
        </w:rPr>
      </w:pPr>
      <w:r w:rsidRPr="000979D0">
        <w:rPr>
          <w:rFonts w:hint="cs"/>
          <w:rtl/>
        </w:rPr>
        <w:t xml:space="preserve">בפברואר 2017 העביר מנכ"ל משרד הביטחון למשרד מבקר המדינה דיווח על </w:t>
      </w:r>
      <w:r>
        <w:rPr>
          <w:rFonts w:hint="cs"/>
          <w:rtl/>
        </w:rPr>
        <w:t>ה</w:t>
      </w:r>
      <w:r>
        <w:rPr>
          <w:rFonts w:hint="cs"/>
          <w:rtl/>
        </w:rPr>
        <w:t>החלטות שקיבל ה</w:t>
      </w:r>
      <w:r w:rsidRPr="000979D0">
        <w:rPr>
          <w:rFonts w:hint="cs"/>
          <w:rtl/>
        </w:rPr>
        <w:t xml:space="preserve">צוות לתיקון הליקויים </w:t>
      </w:r>
      <w:r>
        <w:rPr>
          <w:rFonts w:hint="cs"/>
          <w:rtl/>
        </w:rPr>
        <w:t xml:space="preserve">בראשות המנכ"ל הנוגעות לליקויים </w:t>
      </w:r>
      <w:r w:rsidRPr="000979D0">
        <w:rPr>
          <w:rFonts w:hint="cs"/>
          <w:rtl/>
        </w:rPr>
        <w:t xml:space="preserve">שהועלו בדוח הקודם. </w:t>
      </w:r>
      <w:r>
        <w:rPr>
          <w:rFonts w:hint="cs"/>
          <w:rtl/>
        </w:rPr>
        <w:t xml:space="preserve">בעניין </w:t>
      </w:r>
      <w:r w:rsidRPr="000979D0">
        <w:rPr>
          <w:rFonts w:hint="cs"/>
          <w:rtl/>
        </w:rPr>
        <w:t>ההתייחסות לשיקולי מגבלות התקציב בקביעת ההגדלות ולעני</w:t>
      </w:r>
      <w:r>
        <w:rPr>
          <w:rFonts w:hint="cs"/>
          <w:rtl/>
        </w:rPr>
        <w:t>י</w:t>
      </w:r>
      <w:r w:rsidRPr="000979D0">
        <w:rPr>
          <w:rFonts w:hint="cs"/>
          <w:rtl/>
        </w:rPr>
        <w:t xml:space="preserve">ן השקיפות והבקרה של ההגדלות </w:t>
      </w:r>
      <w:r>
        <w:rPr>
          <w:rFonts w:hint="cs"/>
          <w:rtl/>
        </w:rPr>
        <w:t xml:space="preserve">כתב צה"ל </w:t>
      </w:r>
      <w:r w:rsidRPr="000979D0">
        <w:rPr>
          <w:rFonts w:hint="cs"/>
          <w:rtl/>
        </w:rPr>
        <w:t>כי "המלצת מבקר המדינה מקובלת" וכי "בהתאם להחלטת הרמטכ"ל בכל חציון יוצגו לו</w:t>
      </w:r>
      <w:r w:rsidRPr="000979D0">
        <w:rPr>
          <w:rFonts w:hint="cs"/>
          <w:rtl/>
        </w:rPr>
        <w:t xml:space="preserve"> גם ההשלכות האקטואריות הנגזרות מתשלומי ה</w:t>
      </w:r>
      <w:r>
        <w:rPr>
          <w:rFonts w:hint="cs"/>
          <w:rtl/>
        </w:rPr>
        <w:t>פנסייה</w:t>
      </w:r>
      <w:r w:rsidRPr="000979D0">
        <w:rPr>
          <w:rFonts w:hint="cs"/>
          <w:rtl/>
        </w:rPr>
        <w:t xml:space="preserve"> המשולמים ע"י צה"ל". עוד כתב צה"ל כי "כבר היום אכ"א מתעד באופן מלא ומרוכז מדי חודש את נתוניהם של כלל הפורשים לגמלאות ברמת הפרט". דברים ברוח דומה כתב רמ"ח תקציבי יבשה למשרד מבקר המדינה בתשובתו מאוקטובר 2018. </w:t>
      </w:r>
    </w:p>
    <w:p w:rsidR="008022B2" w:rsidRPr="00484FBA" w:rsidP="00B231C0">
      <w:pPr>
        <w:pStyle w:val="a18"/>
        <w:rPr>
          <w:rtl/>
        </w:rPr>
      </w:pPr>
      <w:r>
        <w:rPr>
          <w:rFonts w:hint="cs"/>
          <w:rtl/>
        </w:rPr>
        <w:t>מב</w:t>
      </w:r>
      <w:r>
        <w:rPr>
          <w:rFonts w:hint="cs"/>
          <w:rtl/>
        </w:rPr>
        <w:t xml:space="preserve">קר המדינה מציין לחיוב את גיבוש הכללים החדשים אשר קטמו את גובה התוספת ל-10% (במקום התוספת המרבית שנהגה בשיעור 19%) וזאת לצד המחויבות של המערכת הצה"לית לנקוט בצעדים נוספים על מנת לטפל בממצאי הביקורת שעלו בדוח הקודם. </w:t>
      </w:r>
    </w:p>
    <w:p w:rsidR="008022B2" w:rsidRPr="008C6863" w:rsidP="00B231C0">
      <w:pPr>
        <w:pStyle w:val="a18"/>
        <w:rPr>
          <w:rtl/>
        </w:rPr>
      </w:pPr>
      <w:r>
        <w:rPr>
          <w:rFonts w:hint="cs"/>
          <w:rtl/>
        </w:rPr>
        <w:t xml:space="preserve">עם זאת, נראה כי </w:t>
      </w:r>
      <w:r w:rsidRPr="00395E1A">
        <w:rPr>
          <w:rFonts w:hint="cs"/>
          <w:rtl/>
        </w:rPr>
        <w:t>יישום מודל הקבע החדש, שיב</w:t>
      </w:r>
      <w:r w:rsidRPr="00395E1A">
        <w:rPr>
          <w:rFonts w:hint="cs"/>
          <w:rtl/>
        </w:rPr>
        <w:t xml:space="preserve">יא לגיל פרישה מוקדם יותר מצה"ל בשנים הקרובות, צפוי להביא להקטנת גובה ההגדלות לפורשים (מאחר וגובה התוספת תלוי גם בגיל הפרישה בהתאם לכללים) וכי </w:t>
      </w:r>
      <w:r w:rsidRPr="003A6DE4">
        <w:rPr>
          <w:rFonts w:hint="cs"/>
          <w:rtl/>
        </w:rPr>
        <w:t xml:space="preserve">הכללים החדשים של הרמטכ"ל צפויים להביא לצמצום חד בהגדלות רק לקראת שנת 2030, עם פרישתם של המשרתים </w:t>
      </w:r>
      <w:r>
        <w:rPr>
          <w:rFonts w:hint="cs"/>
          <w:rtl/>
        </w:rPr>
        <w:t>עליהם</w:t>
      </w:r>
      <w:r w:rsidRPr="003A6DE4">
        <w:rPr>
          <w:rFonts w:hint="cs"/>
          <w:rtl/>
        </w:rPr>
        <w:t xml:space="preserve"> חלים הכללים החדשים לגמלאות</w:t>
      </w:r>
      <w:r>
        <w:rPr>
          <w:rFonts w:hint="cs"/>
          <w:rtl/>
        </w:rPr>
        <w:t>.</w:t>
      </w:r>
      <w:r w:rsidRPr="003A6DE4">
        <w:rPr>
          <w:rFonts w:hint="cs"/>
          <w:rtl/>
        </w:rPr>
        <w:t xml:space="preserve"> </w:t>
      </w:r>
    </w:p>
    <w:p w:rsidR="008022B2" w:rsidRPr="00B82FEA" w:rsidP="00B231C0">
      <w:pPr>
        <w:pStyle w:val="100"/>
        <w:rPr>
          <w:rtl/>
        </w:rPr>
      </w:pPr>
      <w:r>
        <w:rPr>
          <w:rFonts w:hint="cs"/>
          <w:rtl/>
        </w:rPr>
        <w:t>אשר ל</w:t>
      </w:r>
      <w:r w:rsidRPr="00B82FEA">
        <w:rPr>
          <w:rFonts w:hint="cs"/>
          <w:rtl/>
        </w:rPr>
        <w:t xml:space="preserve">עלות השנתית של ההגדלות </w:t>
      </w:r>
      <w:r>
        <w:rPr>
          <w:rFonts w:hint="cs"/>
          <w:rtl/>
        </w:rPr>
        <w:t xml:space="preserve">בשנת 2017 </w:t>
      </w:r>
      <w:r w:rsidRPr="00B82FEA">
        <w:rPr>
          <w:rFonts w:hint="cs"/>
          <w:rtl/>
        </w:rPr>
        <w:t>כתב רמ"ח תקציבי יבשה</w:t>
      </w:r>
      <w:r>
        <w:rPr>
          <w:rFonts w:hint="cs"/>
          <w:rtl/>
        </w:rPr>
        <w:t xml:space="preserve"> כי היא עומדת על 17.5 מיליון ש"ח לקצינים ו-6.5 מיליון ש"ח</w:t>
      </w:r>
      <w:r w:rsidRPr="00B82FEA">
        <w:rPr>
          <w:rFonts w:hint="cs"/>
          <w:rtl/>
        </w:rPr>
        <w:t xml:space="preserve"> לנגדים</w:t>
      </w:r>
      <w:r>
        <w:rPr>
          <w:rFonts w:hint="cs"/>
          <w:rtl/>
        </w:rPr>
        <w:t xml:space="preserve"> הפורשים</w:t>
      </w:r>
      <w:r w:rsidRPr="00B82FEA">
        <w:rPr>
          <w:rFonts w:hint="cs"/>
          <w:rtl/>
        </w:rPr>
        <w:t>, וכי "העלות גבוהה בשנים הראשונות, וצפויה להתייצב בהמשך על כ- 15-20 מיליון ₪ לשנה</w:t>
      </w:r>
      <w:r>
        <w:rPr>
          <w:rFonts w:hint="cs"/>
          <w:rtl/>
        </w:rPr>
        <w:t>"</w:t>
      </w:r>
      <w:r w:rsidRPr="00B82FEA">
        <w:rPr>
          <w:rFonts w:hint="cs"/>
          <w:rtl/>
        </w:rPr>
        <w:t>. בעניין העלות</w:t>
      </w:r>
      <w:r w:rsidRPr="00B82FEA">
        <w:rPr>
          <w:rFonts w:hint="cs"/>
          <w:rtl/>
        </w:rPr>
        <w:t xml:space="preserve"> האקטוארית של ההגדלות כתב הרמ"ח כי האחריות לחישובה מוטלת על משרד האוצר, וכי בדוחות הכספיים של הממשלה לשנת 2017 מוצגת החבות האקטוארית "מבלי שהוצגה או תואמה לפני כן עם משרד הביטחון"</w:t>
      </w:r>
      <w:r>
        <w:rPr>
          <w:rFonts w:hint="cs"/>
          <w:rtl/>
        </w:rPr>
        <w:t xml:space="preserve">. </w:t>
      </w:r>
    </w:p>
    <w:p w:rsidR="008022B2" w:rsidRPr="00B82FEA" w:rsidP="00B231C0">
      <w:pPr>
        <w:pStyle w:val="a18"/>
        <w:rPr>
          <w:rtl/>
        </w:rPr>
      </w:pPr>
      <w:r w:rsidRPr="00B82FEA">
        <w:rPr>
          <w:rFonts w:hint="cs"/>
          <w:rtl/>
        </w:rPr>
        <w:t xml:space="preserve">משרד מבקר המדינה </w:t>
      </w:r>
      <w:r>
        <w:rPr>
          <w:rFonts w:hint="cs"/>
          <w:rtl/>
        </w:rPr>
        <w:t xml:space="preserve">שב ומדגיש בפני </w:t>
      </w:r>
      <w:r w:rsidRPr="00B82FEA">
        <w:rPr>
          <w:rFonts w:hint="cs"/>
          <w:rtl/>
        </w:rPr>
        <w:t xml:space="preserve">צה"ל ומשרד הביטחון, </w:t>
      </w:r>
      <w:r>
        <w:rPr>
          <w:rFonts w:hint="cs"/>
          <w:rtl/>
        </w:rPr>
        <w:t xml:space="preserve">כי </w:t>
      </w:r>
      <w:r w:rsidRPr="00B82FEA">
        <w:rPr>
          <w:rFonts w:hint="cs"/>
          <w:rtl/>
        </w:rPr>
        <w:t>כפי ש</w:t>
      </w:r>
      <w:r>
        <w:rPr>
          <w:rFonts w:hint="cs"/>
          <w:rtl/>
        </w:rPr>
        <w:t xml:space="preserve">נכתב </w:t>
      </w:r>
      <w:r w:rsidRPr="00B82FEA">
        <w:rPr>
          <w:rFonts w:hint="cs"/>
          <w:rtl/>
        </w:rPr>
        <w:t>בדוח הקוד</w:t>
      </w:r>
      <w:r w:rsidRPr="00B82FEA">
        <w:rPr>
          <w:rFonts w:hint="cs"/>
          <w:rtl/>
        </w:rPr>
        <w:t>ם [שם, ע"מ 58] "התחשיב שהוצג על ידי צה"ל ומשרד הביטחון מתייחס רק לעלות השנתית שמתווספת בגין הפורשים באותה שנה. תקציב הגמלאות בתקציב המדינה כולל את תשלומי הגמלאות לרבות החלק של הגדלות הרמטכ"ל בגין פורשים משנים קודמות, ולא רק בגין פורשים בשנת התקציב, לכן עלו</w:t>
      </w:r>
      <w:r w:rsidRPr="00B82FEA">
        <w:rPr>
          <w:rFonts w:hint="cs"/>
          <w:rtl/>
        </w:rPr>
        <w:t xml:space="preserve">יות אלה מסתכמות במאות מיליוני </w:t>
      </w:r>
      <w:r>
        <w:rPr>
          <w:rFonts w:hint="cs"/>
          <w:rtl/>
        </w:rPr>
        <w:t>ש"ח</w:t>
      </w:r>
      <w:r w:rsidRPr="00B82FEA">
        <w:rPr>
          <w:rFonts w:hint="cs"/>
          <w:rtl/>
        </w:rPr>
        <w:t xml:space="preserve"> בשנה". </w:t>
      </w:r>
    </w:p>
    <w:p w:rsidR="008022B2" w:rsidRPr="00510A83" w:rsidP="00B231C0">
      <w:pPr>
        <w:pStyle w:val="100"/>
        <w:rPr>
          <w:rtl/>
        </w:rPr>
      </w:pPr>
      <w:r>
        <w:rPr>
          <w:rFonts w:hint="cs"/>
          <w:rtl/>
        </w:rPr>
        <w:t xml:space="preserve">בעניין זה, </w:t>
      </w:r>
      <w:r w:rsidRPr="00510A83">
        <w:rPr>
          <w:rFonts w:hint="cs"/>
          <w:rtl/>
        </w:rPr>
        <w:t xml:space="preserve">היועץ המשפטי של משרד האוצר כתב למשרד מבקר המדינה במאי 2019 כי </w:t>
      </w:r>
      <w:r w:rsidRPr="00510A83">
        <w:rPr>
          <w:rtl/>
        </w:rPr>
        <w:t xml:space="preserve">על פי אומדן משרד האוצר, </w:t>
      </w:r>
      <w:r w:rsidRPr="00510A83">
        <w:rPr>
          <w:rFonts w:hint="cs"/>
          <w:rtl/>
        </w:rPr>
        <w:t xml:space="preserve">"מתוך תקציב הגמלאות של צה"ל שעמד על כ-7.8 מיליארד ש"ח בשנת 2018, </w:t>
      </w:r>
      <w:r w:rsidRPr="00510A83">
        <w:rPr>
          <w:rtl/>
        </w:rPr>
        <w:t>התשלום השנתי בגין הגדלות ה</w:t>
      </w:r>
      <w:r>
        <w:rPr>
          <w:rtl/>
        </w:rPr>
        <w:t>רמטכ"ל עמד על כ-1.1 מיליאר</w:t>
      </w:r>
      <w:r>
        <w:rPr>
          <w:rtl/>
        </w:rPr>
        <w:t>ד ש"ח</w:t>
      </w:r>
      <w:r w:rsidRPr="00510A83">
        <w:rPr>
          <w:rFonts w:hint="cs"/>
          <w:rtl/>
        </w:rPr>
        <w:t>"</w:t>
      </w:r>
      <w:r>
        <w:rPr>
          <w:rFonts w:hint="cs"/>
          <w:rtl/>
        </w:rPr>
        <w:t>.</w:t>
      </w:r>
    </w:p>
    <w:p w:rsidR="008022B2" w:rsidRPr="00B82FEA" w:rsidP="00B231C0">
      <w:pPr>
        <w:pStyle w:val="100"/>
        <w:rPr>
          <w:b/>
          <w:bCs/>
          <w:rtl/>
        </w:rPr>
      </w:pPr>
      <w:r w:rsidRPr="00510A83">
        <w:rPr>
          <w:rFonts w:hint="cs"/>
          <w:rtl/>
        </w:rPr>
        <w:t xml:space="preserve">יצוין כי </w:t>
      </w:r>
      <w:r w:rsidRPr="00510A83">
        <w:rPr>
          <w:rtl/>
        </w:rPr>
        <w:t>בדוח הקודם</w:t>
      </w:r>
      <w:r>
        <w:rPr>
          <w:rFonts w:hint="cs"/>
          <w:rtl/>
        </w:rPr>
        <w:t xml:space="preserve"> נכתב</w:t>
      </w:r>
      <w:r w:rsidRPr="00510A83">
        <w:rPr>
          <w:rtl/>
        </w:rPr>
        <w:t xml:space="preserve"> כי </w:t>
      </w:r>
      <w:r w:rsidRPr="00510A83">
        <w:rPr>
          <w:rFonts w:hint="cs"/>
          <w:rtl/>
        </w:rPr>
        <w:t xml:space="preserve">על פי חישוביה של </w:t>
      </w:r>
      <w:r w:rsidRPr="00510A83">
        <w:rPr>
          <w:rtl/>
        </w:rPr>
        <w:t>החשבת הכללית דאז</w:t>
      </w:r>
      <w:r w:rsidRPr="00510A83">
        <w:rPr>
          <w:rFonts w:hint="cs"/>
          <w:rtl/>
        </w:rPr>
        <w:t xml:space="preserve">, </w:t>
      </w:r>
      <w:r>
        <w:rPr>
          <w:rFonts w:hint="cs"/>
          <w:rtl/>
        </w:rPr>
        <w:t xml:space="preserve">עמדה </w:t>
      </w:r>
      <w:r w:rsidRPr="00510A83">
        <w:rPr>
          <w:rtl/>
        </w:rPr>
        <w:t xml:space="preserve">החבות האקטוארית </w:t>
      </w:r>
      <w:r w:rsidRPr="00510A83">
        <w:rPr>
          <w:rFonts w:hint="cs"/>
          <w:rtl/>
        </w:rPr>
        <w:t xml:space="preserve">בגין ההגדלות </w:t>
      </w:r>
      <w:r w:rsidRPr="00510A83">
        <w:rPr>
          <w:rtl/>
        </w:rPr>
        <w:t>בשנים 2013-2015 על</w:t>
      </w:r>
      <w:r w:rsidRPr="00510A83">
        <w:rPr>
          <w:rFonts w:hint="cs"/>
          <w:rtl/>
        </w:rPr>
        <w:t xml:space="preserve"> כ-</w:t>
      </w:r>
      <w:r w:rsidRPr="00510A83">
        <w:rPr>
          <w:rtl/>
        </w:rPr>
        <w:t>2.9 מיליארד ש"ח (ראו עמודים 58-57 לדוח הקודם).</w:t>
      </w:r>
    </w:p>
    <w:p w:rsidR="008022B2" w:rsidP="00B231C0">
      <w:pPr>
        <w:pStyle w:val="a18"/>
        <w:rPr>
          <w:rtl/>
        </w:rPr>
      </w:pPr>
      <w:r>
        <w:rPr>
          <w:rFonts w:hint="cs"/>
          <w:rtl/>
        </w:rPr>
        <w:t>מבקר המדינה כבר העיר לחשבת הכללית</w:t>
      </w:r>
      <w:r w:rsidRPr="00990BCB">
        <w:rPr>
          <w:rFonts w:hint="cs"/>
          <w:rtl/>
        </w:rPr>
        <w:t xml:space="preserve"> בדו"ח ה</w:t>
      </w:r>
      <w:r>
        <w:rPr>
          <w:rFonts w:hint="cs"/>
          <w:rtl/>
        </w:rPr>
        <w:t>קודם</w:t>
      </w:r>
      <w:r w:rsidRPr="00990BCB">
        <w:rPr>
          <w:rFonts w:hint="cs"/>
          <w:rtl/>
        </w:rPr>
        <w:t xml:space="preserve"> כי "אין זה ראוי למנוע מנציגי צה"ל מיד</w:t>
      </w:r>
      <w:r w:rsidRPr="00990BCB">
        <w:rPr>
          <w:rFonts w:hint="cs"/>
          <w:rtl/>
        </w:rPr>
        <w:t>ע בנוגע לדרך חישוב החבות האקטוארית של משרתי הקבע וגמלאי צה"ל" וכי "</w:t>
      </w:r>
      <w:r>
        <w:rPr>
          <w:rFonts w:hint="cs"/>
          <w:rtl/>
        </w:rPr>
        <w:t>על החשבת הכללית להעביר מידע זה";</w:t>
      </w:r>
      <w:r w:rsidRPr="00990BCB">
        <w:rPr>
          <w:rFonts w:hint="cs"/>
          <w:rtl/>
        </w:rPr>
        <w:t xml:space="preserve"> </w:t>
      </w:r>
      <w:r>
        <w:rPr>
          <w:rFonts w:hint="cs"/>
          <w:rtl/>
        </w:rPr>
        <w:t xml:space="preserve">אולם עד מועד סיום ביקורת המעקב </w:t>
      </w:r>
      <w:r w:rsidRPr="00990BCB">
        <w:rPr>
          <w:rFonts w:hint="cs"/>
          <w:rtl/>
        </w:rPr>
        <w:t>המידע לא הועבר</w:t>
      </w:r>
      <w:r>
        <w:rPr>
          <w:rFonts w:hint="cs"/>
          <w:rtl/>
        </w:rPr>
        <w:t>. עם זאת, ומאחר שהנתונים המלאים בעניין תשלומי הגמלאות מצויים בידי צה"ל, מן הראוי שצה"ל יאמוד את החבות האקטוארית</w:t>
      </w:r>
      <w:r>
        <w:rPr>
          <w:rFonts w:hint="cs"/>
          <w:rtl/>
        </w:rPr>
        <w:t xml:space="preserve"> של משרתי הקבע וגמלאיו, ויבחן אילו צעדים עליו לנקוט על מנת לעמוד במגבלת תקציב הביטחון.</w:t>
      </w:r>
      <w:r w:rsidRPr="00990BCB">
        <w:rPr>
          <w:rFonts w:hint="cs"/>
          <w:rtl/>
        </w:rPr>
        <w:t xml:space="preserve"> </w:t>
      </w:r>
    </w:p>
    <w:p w:rsidR="008022B2" w:rsidRPr="0007116E" w:rsidP="00B231C0">
      <w:pPr>
        <w:pStyle w:val="100"/>
        <w:rPr>
          <w:rtl/>
        </w:rPr>
      </w:pPr>
      <w:r>
        <w:rPr>
          <w:rFonts w:hint="cs"/>
          <w:rtl/>
        </w:rPr>
        <w:t>אשר ל</w:t>
      </w:r>
      <w:r w:rsidRPr="0007116E">
        <w:rPr>
          <w:rFonts w:hint="cs"/>
          <w:rtl/>
        </w:rPr>
        <w:t xml:space="preserve">חבות האקטוארית ציין סגן הרמטכ"ל </w:t>
      </w:r>
      <w:r>
        <w:rPr>
          <w:rFonts w:hint="cs"/>
          <w:rtl/>
        </w:rPr>
        <w:t xml:space="preserve">בתשובתו מיום 18.8.19 </w:t>
      </w:r>
      <w:r w:rsidRPr="0007116E">
        <w:rPr>
          <w:rFonts w:hint="cs"/>
          <w:rtl/>
        </w:rPr>
        <w:t>כי "חישוב החבות האקטוארית של הגמלאות מבוצע על ידי משרד האוצר ומצוי באחריותו. משרד הביטחון וצה"ל אינם יודעים כי</w:t>
      </w:r>
      <w:r w:rsidRPr="0007116E">
        <w:rPr>
          <w:rFonts w:hint="cs"/>
          <w:rtl/>
        </w:rPr>
        <w:t>צד מחושבת החבות האקטוארית על ידי אגף החשכ"ל במשרד האוצר ואינם חשופים לחישוביו. צה"ל ומשרד הביטחון פנו פעמים רבות לאגף החשב הכללי בבקשה לקבל את אופן החישוב ומתודולוגיית החישוב... וכל נתון אחר שנדרש לצורך חישוב החבות האקטוארית של משרתי הקבע והגמלאים בצורה מד</w:t>
      </w:r>
      <w:r w:rsidRPr="0007116E">
        <w:rPr>
          <w:rFonts w:hint="cs"/>
          <w:rtl/>
        </w:rPr>
        <w:t>ויקת ועצמאית, אך המידע שהתבקש לא התקבל".</w:t>
      </w:r>
    </w:p>
    <w:p w:rsidR="008022B2" w:rsidRPr="001F31C0" w:rsidP="00B231C0">
      <w:pPr>
        <w:pStyle w:val="100"/>
        <w:rPr>
          <w:rtl/>
        </w:rPr>
      </w:pPr>
      <w:r>
        <w:rPr>
          <w:rFonts w:hint="cs"/>
          <w:rtl/>
        </w:rPr>
        <w:t>בתשובתו מיום</w:t>
      </w:r>
      <w:r>
        <w:rPr>
          <w:rFonts w:hint="cs"/>
          <w:color w:val="000000"/>
          <w:rtl/>
          <w:lang w:val="he-IL" w:eastAsia="he-IL"/>
        </w:rPr>
        <w:t xml:space="preserve"> 22.1.20 (שעליה חתום היועץ המשפטי של המשרד והיא על דעתם של החשב הכללי ושל הממונה על התקציבים במשרד האוצר)</w:t>
      </w:r>
      <w:r w:rsidRPr="002D1506">
        <w:rPr>
          <w:color w:val="000000"/>
          <w:rtl/>
          <w:lang w:val="he-IL" w:eastAsia="he-IL"/>
        </w:rPr>
        <w:t xml:space="preserve"> </w:t>
      </w:r>
      <w:r>
        <w:rPr>
          <w:rFonts w:hint="cs"/>
          <w:color w:val="000000"/>
          <w:rtl/>
          <w:lang w:val="he-IL" w:eastAsia="he-IL"/>
        </w:rPr>
        <w:t>(להלן - תשובת האוצר</w:t>
      </w:r>
      <w:r w:rsidRPr="0094754C">
        <w:rPr>
          <w:rFonts w:hint="cs"/>
          <w:rtl/>
          <w:lang w:val="he-IL" w:eastAsia="he-IL"/>
        </w:rPr>
        <w:t>)</w:t>
      </w:r>
      <w:r>
        <w:rPr>
          <w:rFonts w:hint="cs"/>
          <w:rtl/>
          <w:lang w:val="he-IL" w:eastAsia="he-IL"/>
        </w:rPr>
        <w:t xml:space="preserve"> כתב משרד האוצר</w:t>
      </w:r>
      <w:r>
        <w:rPr>
          <w:rFonts w:hint="cs"/>
          <w:rtl/>
          <w:lang w:eastAsia="he-IL"/>
        </w:rPr>
        <w:t xml:space="preserve"> למשרד מבקר המדינה </w:t>
      </w:r>
      <w:r w:rsidRPr="0094754C">
        <w:rPr>
          <w:rtl/>
          <w:lang w:eastAsia="he-IL"/>
        </w:rPr>
        <w:t>כי</w:t>
      </w:r>
      <w:r w:rsidRPr="0094754C">
        <w:rPr>
          <w:color w:val="FF0000"/>
          <w:rtl/>
          <w:lang w:eastAsia="he-IL"/>
        </w:rPr>
        <w:t xml:space="preserve"> </w:t>
      </w:r>
      <w:r w:rsidRPr="0094754C">
        <w:rPr>
          <w:color w:val="000000"/>
          <w:rtl/>
          <w:lang w:eastAsia="he-IL"/>
        </w:rPr>
        <w:t xml:space="preserve">"תהליך חישוב החבות האקטוארית בגין </w:t>
      </w:r>
      <w:r>
        <w:rPr>
          <w:color w:val="000000"/>
          <w:rtl/>
          <w:lang w:eastAsia="he-IL"/>
        </w:rPr>
        <w:t>פנסייה</w:t>
      </w:r>
      <w:r w:rsidRPr="0094754C">
        <w:rPr>
          <w:color w:val="000000"/>
          <w:rtl/>
          <w:lang w:eastAsia="he-IL"/>
        </w:rPr>
        <w:t xml:space="preserve"> תקציבית מתבצע באופן מרכזי במשרד האוצר, על בסיס נתוני הפעילים והגמלאים המתקבלים בממשקים מכלל משרדי הממשלה, לרבות צה״ל והגופים הביטחוניים. החבות </w:t>
      </w:r>
      <w:r w:rsidRPr="0094754C">
        <w:rPr>
          <w:rtl/>
          <w:lang w:eastAsia="he-IL"/>
        </w:rPr>
        <w:t>האקטוארית מחושבת מידי שנה ב-'</w:t>
      </w:r>
      <w:r w:rsidRPr="0094754C">
        <w:rPr>
          <w:rFonts w:hint="cs"/>
          <w:b/>
          <w:bCs/>
          <w:rtl/>
          <w:lang w:eastAsia="he-IL"/>
        </w:rPr>
        <w:t>מערכת האקטואריה</w:t>
      </w:r>
      <w:r w:rsidRPr="0094754C">
        <w:rPr>
          <w:b/>
          <w:bCs/>
          <w:rtl/>
          <w:lang w:eastAsia="he-IL"/>
        </w:rPr>
        <w:t xml:space="preserve">' </w:t>
      </w:r>
      <w:r w:rsidRPr="0094754C">
        <w:rPr>
          <w:rtl/>
          <w:lang w:eastAsia="he-IL"/>
        </w:rPr>
        <w:t>שפותחה לצורך כך במשרד האוצר בהתאם למתודולוגיה מקובלת ואחידה, לצורך</w:t>
      </w:r>
      <w:r w:rsidRPr="0094754C">
        <w:rPr>
          <w:rtl/>
          <w:lang w:eastAsia="he-IL"/>
        </w:rPr>
        <w:t xml:space="preserve"> הצגת נתוני החבות והביאורים הנכללים בדוחות הכספיים של ממשלת ישראל"</w:t>
      </w:r>
      <w:r>
        <w:rPr>
          <w:rFonts w:hint="cs"/>
          <w:rtl/>
          <w:lang w:eastAsia="he-IL"/>
        </w:rPr>
        <w:t>.</w:t>
      </w:r>
      <w:r>
        <w:rPr>
          <w:rtl/>
          <w:lang w:eastAsia="he-IL"/>
        </w:rPr>
        <w:t xml:space="preserve"> </w:t>
      </w:r>
      <w:r>
        <w:rPr>
          <w:rFonts w:hint="cs"/>
          <w:rtl/>
          <w:lang w:eastAsia="he-IL"/>
        </w:rPr>
        <w:t>משרד האוצר הוסיף כי</w:t>
      </w:r>
      <w:r w:rsidRPr="0094754C">
        <w:rPr>
          <w:rtl/>
          <w:lang w:eastAsia="he-IL"/>
        </w:rPr>
        <w:t xml:space="preserve"> "מערכת האקטואריה היא מערכת תפעולית פנימית ללא ממשק משתמש המאפשר התקנה מרוחקת במש</w:t>
      </w:r>
      <w:r>
        <w:rPr>
          <w:rtl/>
          <w:lang w:eastAsia="he-IL"/>
        </w:rPr>
        <w:t>רד הביטחון</w:t>
      </w:r>
      <w:r w:rsidRPr="0094754C">
        <w:rPr>
          <w:rtl/>
          <w:lang w:eastAsia="he-IL"/>
        </w:rPr>
        <w:t>"</w:t>
      </w:r>
      <w:r>
        <w:rPr>
          <w:rFonts w:hint="cs"/>
          <w:rtl/>
          <w:lang w:eastAsia="he-IL"/>
        </w:rPr>
        <w:t>.</w:t>
      </w:r>
      <w:r>
        <w:rPr>
          <w:rtl/>
          <w:lang w:eastAsia="he-IL"/>
        </w:rPr>
        <w:t xml:space="preserve"> לפי </w:t>
      </w:r>
      <w:r>
        <w:rPr>
          <w:rFonts w:hint="cs"/>
          <w:rtl/>
          <w:lang w:eastAsia="he-IL"/>
        </w:rPr>
        <w:t>תשובת האוצר</w:t>
      </w:r>
      <w:r w:rsidRPr="0094754C">
        <w:rPr>
          <w:rtl/>
          <w:lang w:eastAsia="he-IL"/>
        </w:rPr>
        <w:t xml:space="preserve">, פעמים רבות הוזמנו נציגי משרד הביטחון </w:t>
      </w:r>
      <w:r>
        <w:rPr>
          <w:rtl/>
          <w:lang w:eastAsia="he-IL"/>
        </w:rPr>
        <w:t>להגיע למשרד האוצר</w:t>
      </w:r>
      <w:r w:rsidRPr="0094754C">
        <w:rPr>
          <w:rtl/>
          <w:lang w:eastAsia="he-IL"/>
        </w:rPr>
        <w:t xml:space="preserve"> לקב</w:t>
      </w:r>
      <w:r w:rsidRPr="0094754C">
        <w:rPr>
          <w:rtl/>
          <w:lang w:eastAsia="he-IL"/>
        </w:rPr>
        <w:t xml:space="preserve">ל הסברים מלאים על </w:t>
      </w:r>
      <w:r>
        <w:rPr>
          <w:rtl/>
          <w:lang w:eastAsia="he-IL"/>
        </w:rPr>
        <w:t xml:space="preserve">מתודולוגיית </w:t>
      </w:r>
      <w:r>
        <w:rPr>
          <w:rtl/>
          <w:lang w:eastAsia="he-IL"/>
        </w:rPr>
        <w:t>החישוב במערכת ו</w:t>
      </w:r>
      <w:r>
        <w:rPr>
          <w:rFonts w:hint="cs"/>
          <w:rtl/>
          <w:lang w:eastAsia="he-IL"/>
        </w:rPr>
        <w:t>גם</w:t>
      </w:r>
      <w:r w:rsidRPr="0094754C">
        <w:rPr>
          <w:rtl/>
          <w:lang w:eastAsia="he-IL"/>
        </w:rPr>
        <w:t xml:space="preserve"> לקבל כל תוצר רלוונטי לחבות האקטוארית של צה״ל מתוך המערכת, אולם עקב דרישות של נציגי צה״ל שמשרד האוצר לא ראה בסיס להיענות להן, ביחס לקבלת נתוני האקטואריה בגין גופים ביטחוניים אחרים, לא הגיעו נציגי צה״ל עד כה לק</w:t>
      </w:r>
      <w:r w:rsidRPr="0094754C">
        <w:rPr>
          <w:rtl/>
          <w:lang w:eastAsia="he-IL"/>
        </w:rPr>
        <w:t>בל את הנתונים שנוגעים לחבות האקטוארית של צה״ל.</w:t>
      </w:r>
    </w:p>
    <w:p w:rsidR="008022B2" w:rsidRPr="008C6863" w:rsidP="00B231C0">
      <w:pPr>
        <w:pStyle w:val="100"/>
        <w:rPr>
          <w:sz w:val="24"/>
          <w:rtl/>
        </w:rPr>
      </w:pPr>
      <w:r>
        <w:rPr>
          <w:rFonts w:hint="cs"/>
          <w:rtl/>
        </w:rPr>
        <w:t>סגן הרמטכ"ל פירט בתשובתו שורה של צעדי התייעלות וחיסכון שצה"ל ומשרד הביטחון נקטו, שלדבריו יש בהם כדי להקטין את החבות האקטוארית בגין תשלומי הגמלאות, אף שהם כרוכים בפגיעה לא מבוטלת במשרתי הקבע. הוא הוסיף שצה"ל נת</w:t>
      </w:r>
      <w:r>
        <w:rPr>
          <w:rFonts w:hint="cs"/>
          <w:rtl/>
        </w:rPr>
        <w:t>קל גם כך בקשיים בשנים האחרונות בניסיונותיו לשמר כוח אדם איכותי, בין היתר על רקע השינויים במודל השירות</w:t>
      </w:r>
      <w:r>
        <w:rPr>
          <w:rStyle w:val="FootnoteReference0"/>
          <w:rtl/>
        </w:rPr>
        <w:footnoteReference w:id="7"/>
      </w:r>
      <w:r>
        <w:rPr>
          <w:rFonts w:hint="cs"/>
          <w:rtl/>
        </w:rPr>
        <w:t>.</w:t>
      </w:r>
    </w:p>
    <w:p w:rsidR="008022B2" w:rsidP="00B231C0">
      <w:pPr>
        <w:pStyle w:val="100"/>
        <w:rPr>
          <w:sz w:val="24"/>
          <w:rtl/>
        </w:rPr>
      </w:pPr>
      <w:r>
        <w:rPr>
          <w:rFonts w:hint="cs"/>
          <w:sz w:val="24"/>
          <w:rtl/>
        </w:rPr>
        <w:t xml:space="preserve">בתשובתו ציין סגן הרמטכ"ל </w:t>
      </w:r>
      <w:r w:rsidRPr="000F6504">
        <w:rPr>
          <w:rFonts w:hint="cs"/>
          <w:sz w:val="24"/>
          <w:rtl/>
        </w:rPr>
        <w:t>כי "</w:t>
      </w:r>
      <w:r>
        <w:rPr>
          <w:rFonts w:hint="cs"/>
          <w:sz w:val="24"/>
          <w:rtl/>
        </w:rPr>
        <w:t>השלמת תקופת השירות היא רכיב אחד בקצבת הפרישה של גמלאי צה"ל, ולא הרכיב המרכזי בה. ההתמקדות בה מחמיצה את התמונה הכוללת שהיא מורכבת הרבה יותר. טיוטת הדוח מתעלמת מהצעדים מרחיקי הלכת שצה"ל נוקט בשנים האחרונות לשם הפחתת הקצבאות של הפורשים מצה"ל, צעדים שאין להם א</w:t>
      </w:r>
      <w:r>
        <w:rPr>
          <w:rFonts w:hint="cs"/>
          <w:sz w:val="24"/>
          <w:rtl/>
        </w:rPr>
        <w:t xml:space="preserve">ח ורע במגזר הציבורי... </w:t>
      </w:r>
      <w:r w:rsidRPr="000F6504">
        <w:rPr>
          <w:rFonts w:hint="cs"/>
          <w:sz w:val="24"/>
          <w:rtl/>
        </w:rPr>
        <w:t xml:space="preserve">הכללים החדשים שקבע הרמטכ"ל </w:t>
      </w:r>
      <w:r>
        <w:rPr>
          <w:rFonts w:hint="cs"/>
          <w:sz w:val="24"/>
          <w:rtl/>
        </w:rPr>
        <w:t>היוצא... הם צעד נוסף בשורת צעדים אלו... אין בטיוטת הדוח בירור מהותי, האם הקצבה המשולמת לפורשים עם השלמת תקופת השירות היא הוגנת וראויה, והאם ניתן לכפות פרישה בלעדיה... טיוטת הדוח מתעלמת ממורכבות קביעת הכללים</w:t>
      </w:r>
      <w:r>
        <w:rPr>
          <w:rFonts w:hint="cs"/>
          <w:sz w:val="24"/>
          <w:rtl/>
        </w:rPr>
        <w:t xml:space="preserve"> החדשים של הרמטכ"ל ומהצורך בקביעת 'דור מעבר'... טיוטת הדוח אינה נותנת משקל ראוי לתהליך חישוב השלמת תקופות השירות ולמנגנוני הבקרה שנקבעו... ובכלל זה העברת עדכונים באופן שיטתי מדי חודש ללשכת הרמטכ"ל".</w:t>
      </w:r>
    </w:p>
    <w:p w:rsidR="008022B2" w:rsidP="00B231C0">
      <w:pPr>
        <w:pStyle w:val="100"/>
        <w:rPr>
          <w:sz w:val="24"/>
          <w:rtl/>
        </w:rPr>
      </w:pPr>
      <w:r>
        <w:rPr>
          <w:rFonts w:hint="cs"/>
          <w:sz w:val="24"/>
          <w:rtl/>
        </w:rPr>
        <w:t>עוד ציין כי "לא בכדי ישנם בשירות המדינה מנגנונים שונים שנ</w:t>
      </w:r>
      <w:r>
        <w:rPr>
          <w:rFonts w:hint="cs"/>
          <w:sz w:val="24"/>
          <w:rtl/>
        </w:rPr>
        <w:t xml:space="preserve">ועדו להגדיל את שיעור הקצבה של עובדים שונים... מנגנונים אלו אינם רלוונטיים בצה"ל, ולכן הדרך היחידה להבטיח שקצבתם של הפורשים תהיה </w:t>
      </w:r>
      <w:r w:rsidRPr="000F6504">
        <w:rPr>
          <w:rFonts w:hint="cs"/>
          <w:b/>
          <w:bCs/>
          <w:sz w:val="24"/>
          <w:rtl/>
        </w:rPr>
        <w:t>הולמת</w:t>
      </w:r>
      <w:r>
        <w:rPr>
          <w:rFonts w:hint="cs"/>
          <w:sz w:val="24"/>
          <w:rtl/>
        </w:rPr>
        <w:t xml:space="preserve"> לתרומתם לצבא ולמדינה במשך שנות שירותם הצבאי - היא מנגנון השלמת תקופת השירות". (ההדגשה במקור). </w:t>
      </w:r>
    </w:p>
    <w:p w:rsidR="008022B2" w:rsidP="00B231C0">
      <w:pPr>
        <w:pStyle w:val="a18"/>
        <w:rPr>
          <w:rtl/>
        </w:rPr>
      </w:pPr>
      <w:r w:rsidRPr="00DC10F5">
        <w:rPr>
          <w:rFonts w:hint="cs"/>
          <w:rtl/>
        </w:rPr>
        <w:t xml:space="preserve">משרד מבקר המדינה מציין כי </w:t>
      </w:r>
      <w:r w:rsidRPr="00DC10F5">
        <w:rPr>
          <w:rFonts w:hint="cs"/>
          <w:rtl/>
        </w:rPr>
        <w:t>בספטמבר 2016 מונה צוות משותף לבחינת השקיפו</w:t>
      </w:r>
      <w:r>
        <w:rPr>
          <w:rFonts w:hint="cs"/>
          <w:rtl/>
        </w:rPr>
        <w:t>ת והעברת מידע ונתונים בין צה"ל ל</w:t>
      </w:r>
      <w:r w:rsidRPr="00DC10F5">
        <w:rPr>
          <w:rFonts w:hint="cs"/>
          <w:rtl/>
        </w:rPr>
        <w:t xml:space="preserve">משרד האוצר. מבקר המדינה מציין לחיוב את הקמת הצוות וממליץ </w:t>
      </w:r>
      <w:r>
        <w:rPr>
          <w:rFonts w:hint="cs"/>
          <w:rtl/>
        </w:rPr>
        <w:t xml:space="preserve">שהצדדים יפעלו להעברה </w:t>
      </w:r>
      <w:r w:rsidRPr="00DC10F5">
        <w:rPr>
          <w:rFonts w:hint="cs"/>
          <w:rtl/>
        </w:rPr>
        <w:t>הדדית</w:t>
      </w:r>
      <w:r>
        <w:rPr>
          <w:rFonts w:hint="cs"/>
          <w:rtl/>
        </w:rPr>
        <w:t xml:space="preserve"> של מידע, לרבות </w:t>
      </w:r>
      <w:r w:rsidRPr="00DC10F5">
        <w:rPr>
          <w:rFonts w:hint="cs"/>
          <w:rtl/>
        </w:rPr>
        <w:t>נתונים מלאים בכל הקשור לגמלאות</w:t>
      </w:r>
      <w:r>
        <w:rPr>
          <w:rFonts w:hint="cs"/>
          <w:rtl/>
        </w:rPr>
        <w:t xml:space="preserve"> של</w:t>
      </w:r>
      <w:r w:rsidRPr="00DC10F5">
        <w:rPr>
          <w:rFonts w:hint="cs"/>
          <w:rtl/>
        </w:rPr>
        <w:t xml:space="preserve"> פורשי צה"ל.</w:t>
      </w:r>
    </w:p>
    <w:p w:rsidR="008022B2" w:rsidP="00B231C0">
      <w:pPr>
        <w:pStyle w:val="100"/>
        <w:rPr>
          <w:rtl/>
        </w:rPr>
      </w:pPr>
      <w:r>
        <w:rPr>
          <w:rFonts w:hint="cs"/>
          <w:rtl/>
        </w:rPr>
        <w:t>משרד האוצר טען בתשובתו כי על אף "הקמת</w:t>
      </w:r>
      <w:r>
        <w:rPr>
          <w:rFonts w:hint="cs"/>
          <w:rtl/>
        </w:rPr>
        <w:t xml:space="preserve"> צוות משותף להעברת ידע... טרם הועברו לידי משרד האוצר הנתונים הפרטניים של גמלאי צה"ל ושל אזרחים עובדי צה"ל". </w:t>
      </w:r>
    </w:p>
    <w:p w:rsidR="008022B2" w:rsidP="00B231C0">
      <w:pPr>
        <w:pStyle w:val="100"/>
        <w:rPr>
          <w:rtl/>
        </w:rPr>
      </w:pPr>
      <w:r>
        <w:rPr>
          <w:rFonts w:hint="cs"/>
          <w:rtl/>
        </w:rPr>
        <w:t>במענה על פניית משרד מבקר המדינה מ-2.10.18 השיבה מחלקת ייעוץ וחקיקה במשרד המשפטים ב-23.10.18 כי "ביום 8 לנובמבר 2017, בעקבות דו"ח מבקר המדינה שפורסם</w:t>
      </w:r>
      <w:r>
        <w:rPr>
          <w:rFonts w:hint="cs"/>
          <w:rtl/>
        </w:rPr>
        <w:t xml:space="preserve"> באוקטובר 2016, פנתה התנועה למען איכות השלטון אל היועץ המשפטי לממשלה בדרישה להפסיק את התשלומים הנעשים מתוקף סעיף 18(ב) לחוק... המסמיך את הרמטכ"ל להגדיל את </w:t>
      </w:r>
      <w:r w:rsidRPr="00B82FEA">
        <w:rPr>
          <w:rFonts w:hint="cs"/>
          <w:rtl/>
        </w:rPr>
        <w:t>קצבאות ה</w:t>
      </w:r>
      <w:r>
        <w:rPr>
          <w:rFonts w:hint="cs"/>
          <w:rtl/>
        </w:rPr>
        <w:t>פנסייה</w:t>
      </w:r>
      <w:r w:rsidRPr="00B82FEA">
        <w:rPr>
          <w:rFonts w:hint="cs"/>
          <w:rtl/>
        </w:rPr>
        <w:t xml:space="preserve"> של גמלאי צה"ל". משרד המשפטים</w:t>
      </w:r>
      <w:r>
        <w:rPr>
          <w:rFonts w:hint="cs"/>
          <w:rtl/>
        </w:rPr>
        <w:t xml:space="preserve"> הוסיף</w:t>
      </w:r>
      <w:r w:rsidRPr="00B82FEA">
        <w:rPr>
          <w:rFonts w:hint="cs"/>
          <w:rtl/>
        </w:rPr>
        <w:t xml:space="preserve"> כי הנושא הובא לבחינת </w:t>
      </w:r>
      <w:r w:rsidRPr="00B82FEA">
        <w:rPr>
          <w:rFonts w:hint="cs"/>
          <w:rtl/>
        </w:rPr>
        <w:t xml:space="preserve">המשנה ליועץ המשפטי </w:t>
      </w:r>
      <w:r w:rsidRPr="00484FBA">
        <w:rPr>
          <w:rFonts w:hint="cs"/>
          <w:rtl/>
        </w:rPr>
        <w:t>לממשלה (ציב</w:t>
      </w:r>
      <w:r w:rsidRPr="00484FBA">
        <w:rPr>
          <w:rFonts w:hint="cs"/>
          <w:rtl/>
        </w:rPr>
        <w:t>ורי-חוקתי)</w:t>
      </w:r>
      <w:r>
        <w:rPr>
          <w:rFonts w:hint="cs"/>
          <w:rtl/>
        </w:rPr>
        <w:t>,</w:t>
      </w:r>
      <w:r w:rsidRPr="00484FBA">
        <w:rPr>
          <w:rFonts w:hint="cs"/>
        </w:rPr>
        <w:t xml:space="preserve"> </w:t>
      </w:r>
      <w:r w:rsidRPr="00484FBA">
        <w:rPr>
          <w:rFonts w:hint="cs"/>
          <w:rtl/>
        </w:rPr>
        <w:t xml:space="preserve">ולאחר שמיעת עמדות הצדדים ובחינת הנושא התקיים במשרדו </w:t>
      </w:r>
      <w:r w:rsidRPr="00484FBA">
        <w:rPr>
          <w:rFonts w:hint="eastAsia"/>
          <w:rtl/>
        </w:rPr>
        <w:t>ב</w:t>
      </w:r>
      <w:r w:rsidRPr="00484FBA">
        <w:rPr>
          <w:rtl/>
        </w:rPr>
        <w:t>-23.5.2018</w:t>
      </w:r>
      <w:r w:rsidRPr="00484FBA">
        <w:rPr>
          <w:rFonts w:hint="cs"/>
          <w:rtl/>
        </w:rPr>
        <w:t xml:space="preserve"> דיון מסכם </w:t>
      </w:r>
      <w:r w:rsidRPr="00484FBA">
        <w:rPr>
          <w:rFonts w:hint="eastAsia"/>
          <w:rtl/>
        </w:rPr>
        <w:t>שבו</w:t>
      </w:r>
      <w:r w:rsidRPr="00484FBA">
        <w:rPr>
          <w:rtl/>
        </w:rPr>
        <w:t xml:space="preserve"> </w:t>
      </w:r>
      <w:r w:rsidRPr="00484FBA">
        <w:rPr>
          <w:rFonts w:hint="eastAsia"/>
          <w:rtl/>
        </w:rPr>
        <w:t>נידון</w:t>
      </w:r>
      <w:r w:rsidRPr="00484FBA">
        <w:rPr>
          <w:rtl/>
        </w:rPr>
        <w:t xml:space="preserve"> </w:t>
      </w:r>
      <w:r w:rsidRPr="00484FBA">
        <w:rPr>
          <w:rFonts w:hint="eastAsia"/>
          <w:rtl/>
        </w:rPr>
        <w:t>הנושא</w:t>
      </w:r>
      <w:r w:rsidRPr="00484FBA">
        <w:rPr>
          <w:rtl/>
        </w:rPr>
        <w:t>.</w:t>
      </w:r>
      <w:r>
        <w:rPr>
          <w:rFonts w:hint="cs"/>
          <w:rtl/>
        </w:rPr>
        <w:t xml:space="preserve"> </w:t>
      </w:r>
    </w:p>
    <w:p w:rsidR="008022B2" w:rsidRPr="00484FBA" w:rsidP="008E4108">
      <w:pPr>
        <w:pStyle w:val="100"/>
        <w:rPr>
          <w:rtl/>
        </w:rPr>
      </w:pPr>
      <w:r>
        <w:rPr>
          <w:rFonts w:hint="cs"/>
          <w:rtl/>
        </w:rPr>
        <w:t xml:space="preserve">בסיכום הדיון שהופץ לגורמים שהשתתפו בו ממשרד המשפטים, ממשרד האוצר ומצה"ל סקר המשנה ליועץ </w:t>
      </w:r>
      <w:r w:rsidRPr="00395E1A">
        <w:rPr>
          <w:rFonts w:hint="cs"/>
          <w:rtl/>
        </w:rPr>
        <w:t xml:space="preserve">המשפטי לממשלה את הדעות המנוגדות בדבר הגדלות הרמטכ"ל. </w:t>
      </w:r>
      <w:r w:rsidRPr="00484FBA">
        <w:rPr>
          <w:rFonts w:hint="eastAsia"/>
          <w:rtl/>
        </w:rPr>
        <w:t>עמדת</w:t>
      </w:r>
      <w:r>
        <w:rPr>
          <w:rtl/>
        </w:rPr>
        <w:t xml:space="preserve"> משרד ה</w:t>
      </w:r>
      <w:r>
        <w:rPr>
          <w:rtl/>
        </w:rPr>
        <w:t xml:space="preserve">אוצר </w:t>
      </w:r>
      <w:r w:rsidRPr="00484FBA">
        <w:rPr>
          <w:rFonts w:hint="eastAsia"/>
          <w:rtl/>
        </w:rPr>
        <w:t>הייתה</w:t>
      </w:r>
      <w:r w:rsidRPr="00484FBA">
        <w:rPr>
          <w:rtl/>
        </w:rPr>
        <w:t xml:space="preserve"> </w:t>
      </w:r>
      <w:r w:rsidRPr="00484FBA">
        <w:rPr>
          <w:rFonts w:hint="eastAsia"/>
          <w:rtl/>
        </w:rPr>
        <w:t>כי</w:t>
      </w:r>
      <w:r w:rsidRPr="00484FBA">
        <w:rPr>
          <w:rtl/>
        </w:rPr>
        <w:t xml:space="preserve"> </w:t>
      </w:r>
      <w:r w:rsidRPr="00484FBA">
        <w:rPr>
          <w:rFonts w:hint="eastAsia"/>
          <w:rtl/>
        </w:rPr>
        <w:t>כללי</w:t>
      </w:r>
      <w:r w:rsidRPr="00484FBA">
        <w:rPr>
          <w:rtl/>
        </w:rPr>
        <w:t xml:space="preserve"> </w:t>
      </w:r>
      <w:r w:rsidRPr="00484FBA">
        <w:rPr>
          <w:rFonts w:hint="eastAsia"/>
          <w:rtl/>
        </w:rPr>
        <w:t>הרמטכ</w:t>
      </w:r>
      <w:r w:rsidRPr="00484FBA">
        <w:rPr>
          <w:rtl/>
        </w:rPr>
        <w:t xml:space="preserve">"ל </w:t>
      </w:r>
      <w:r w:rsidRPr="00484FBA">
        <w:rPr>
          <w:rFonts w:hint="eastAsia"/>
          <w:rtl/>
        </w:rPr>
        <w:t>נקבעו</w:t>
      </w:r>
      <w:r w:rsidRPr="00484FBA">
        <w:rPr>
          <w:rtl/>
        </w:rPr>
        <w:t xml:space="preserve"> </w:t>
      </w:r>
      <w:r w:rsidRPr="00484FBA">
        <w:rPr>
          <w:rFonts w:hint="eastAsia"/>
          <w:rtl/>
        </w:rPr>
        <w:t>בחוסר</w:t>
      </w:r>
      <w:r w:rsidRPr="00484FBA">
        <w:rPr>
          <w:rtl/>
        </w:rPr>
        <w:t xml:space="preserve"> </w:t>
      </w:r>
      <w:r w:rsidRPr="00484FBA">
        <w:rPr>
          <w:rFonts w:hint="eastAsia"/>
          <w:rtl/>
        </w:rPr>
        <w:t>סמכות</w:t>
      </w:r>
      <w:r w:rsidRPr="00484FBA">
        <w:rPr>
          <w:rtl/>
        </w:rPr>
        <w:t xml:space="preserve">, </w:t>
      </w:r>
      <w:r w:rsidRPr="00484FBA">
        <w:rPr>
          <w:rFonts w:hint="eastAsia"/>
          <w:rtl/>
        </w:rPr>
        <w:t>שכן</w:t>
      </w:r>
      <w:r w:rsidRPr="00484FBA">
        <w:rPr>
          <w:rtl/>
        </w:rPr>
        <w:t xml:space="preserve"> </w:t>
      </w:r>
      <w:r w:rsidRPr="00484FBA">
        <w:rPr>
          <w:rFonts w:hint="eastAsia"/>
          <w:rtl/>
        </w:rPr>
        <w:t>מדובר</w:t>
      </w:r>
      <w:r w:rsidRPr="00484FBA">
        <w:rPr>
          <w:rtl/>
        </w:rPr>
        <w:t xml:space="preserve"> </w:t>
      </w:r>
      <w:r w:rsidRPr="00484FBA">
        <w:rPr>
          <w:rFonts w:hint="eastAsia"/>
          <w:rtl/>
        </w:rPr>
        <w:t>בהחלטות</w:t>
      </w:r>
      <w:r w:rsidRPr="00484FBA">
        <w:rPr>
          <w:rtl/>
        </w:rPr>
        <w:t xml:space="preserve"> </w:t>
      </w:r>
      <w:r w:rsidRPr="00484FBA">
        <w:rPr>
          <w:rFonts w:hint="eastAsia"/>
          <w:rtl/>
        </w:rPr>
        <w:t>רוחביות</w:t>
      </w:r>
      <w:r w:rsidRPr="00484FBA">
        <w:rPr>
          <w:rtl/>
        </w:rPr>
        <w:t>, בעוד שהחלטת הממשלה (</w:t>
      </w:r>
      <w:r w:rsidRPr="00484FBA">
        <w:rPr>
          <w:rFonts w:hint="eastAsia"/>
          <w:rtl/>
        </w:rPr>
        <w:t>החלטה</w:t>
      </w:r>
      <w:r w:rsidRPr="00484FBA">
        <w:rPr>
          <w:rtl/>
        </w:rPr>
        <w:t xml:space="preserve"> 849 </w:t>
      </w:r>
      <w:r w:rsidRPr="00484FBA">
        <w:rPr>
          <w:rFonts w:hint="eastAsia"/>
          <w:rtl/>
        </w:rPr>
        <w:t>משנת</w:t>
      </w:r>
      <w:r w:rsidRPr="00484FBA">
        <w:rPr>
          <w:rtl/>
        </w:rPr>
        <w:t xml:space="preserve"> 1961) </w:t>
      </w:r>
      <w:r w:rsidRPr="00484FBA">
        <w:rPr>
          <w:rFonts w:hint="eastAsia"/>
          <w:rtl/>
        </w:rPr>
        <w:t>הסמיכה</w:t>
      </w:r>
      <w:r w:rsidRPr="00484FBA">
        <w:rPr>
          <w:rtl/>
        </w:rPr>
        <w:t xml:space="preserve"> </w:t>
      </w:r>
      <w:r w:rsidRPr="00484FBA">
        <w:rPr>
          <w:rFonts w:hint="eastAsia"/>
          <w:rtl/>
        </w:rPr>
        <w:t>את</w:t>
      </w:r>
      <w:r w:rsidRPr="00484FBA">
        <w:rPr>
          <w:rtl/>
        </w:rPr>
        <w:t xml:space="preserve"> </w:t>
      </w:r>
      <w:r w:rsidRPr="00484FBA">
        <w:rPr>
          <w:rFonts w:hint="eastAsia"/>
          <w:rtl/>
        </w:rPr>
        <w:t>הרמטכ</w:t>
      </w:r>
      <w:r w:rsidRPr="00484FBA">
        <w:rPr>
          <w:rtl/>
        </w:rPr>
        <w:t xml:space="preserve">"ל </w:t>
      </w:r>
      <w:r w:rsidRPr="00484FBA">
        <w:rPr>
          <w:rFonts w:hint="eastAsia"/>
          <w:rtl/>
        </w:rPr>
        <w:t>לקבוע</w:t>
      </w:r>
      <w:r w:rsidRPr="00484FBA">
        <w:rPr>
          <w:rtl/>
        </w:rPr>
        <w:t xml:space="preserve"> </w:t>
      </w:r>
      <w:r w:rsidRPr="00484FBA">
        <w:rPr>
          <w:rFonts w:hint="eastAsia"/>
          <w:rtl/>
        </w:rPr>
        <w:t>כללים</w:t>
      </w:r>
      <w:r w:rsidRPr="00484FBA">
        <w:rPr>
          <w:rtl/>
        </w:rPr>
        <w:t xml:space="preserve"> לגבי "חייל פלוני"</w:t>
      </w:r>
      <w:r>
        <w:rPr>
          <w:rStyle w:val="FootnoteReference0"/>
          <w:rtl/>
        </w:rPr>
        <w:footnoteReference w:id="8"/>
      </w:r>
      <w:r w:rsidRPr="00484FBA">
        <w:rPr>
          <w:rtl/>
        </w:rPr>
        <w:t xml:space="preserve">. </w:t>
      </w:r>
      <w:r w:rsidRPr="00484FBA">
        <w:rPr>
          <w:rFonts w:hint="eastAsia"/>
          <w:rtl/>
        </w:rPr>
        <w:t>לעמדת</w:t>
      </w:r>
      <w:r w:rsidRPr="00484FBA">
        <w:rPr>
          <w:rtl/>
        </w:rPr>
        <w:t xml:space="preserve"> משרד האוצר</w:t>
      </w:r>
      <w:r>
        <w:rPr>
          <w:rFonts w:hint="cs"/>
          <w:rtl/>
        </w:rPr>
        <w:t>,</w:t>
      </w:r>
      <w:r w:rsidRPr="00484FBA">
        <w:rPr>
          <w:rtl/>
        </w:rPr>
        <w:t xml:space="preserve"> </w:t>
      </w:r>
      <w:r w:rsidRPr="00484FBA">
        <w:rPr>
          <w:rFonts w:hint="eastAsia"/>
          <w:rtl/>
        </w:rPr>
        <w:t>יש</w:t>
      </w:r>
      <w:r w:rsidRPr="00484FBA">
        <w:rPr>
          <w:rtl/>
        </w:rPr>
        <w:t xml:space="preserve"> לבטל </w:t>
      </w:r>
      <w:r w:rsidRPr="00484FBA">
        <w:rPr>
          <w:rFonts w:hint="eastAsia"/>
          <w:rtl/>
        </w:rPr>
        <w:t>את</w:t>
      </w:r>
      <w:r w:rsidRPr="00484FBA">
        <w:rPr>
          <w:rtl/>
        </w:rPr>
        <w:t xml:space="preserve"> </w:t>
      </w:r>
      <w:r w:rsidRPr="00484FBA">
        <w:rPr>
          <w:rFonts w:hint="eastAsia"/>
          <w:rtl/>
        </w:rPr>
        <w:t>כללי</w:t>
      </w:r>
      <w:r w:rsidRPr="00484FBA">
        <w:rPr>
          <w:rtl/>
        </w:rPr>
        <w:t xml:space="preserve"> </w:t>
      </w:r>
      <w:r w:rsidRPr="00484FBA">
        <w:rPr>
          <w:rFonts w:hint="eastAsia"/>
          <w:rtl/>
        </w:rPr>
        <w:t>הרמטכ</w:t>
      </w:r>
      <w:r w:rsidRPr="00484FBA">
        <w:rPr>
          <w:rtl/>
        </w:rPr>
        <w:t xml:space="preserve">"ל, </w:t>
      </w:r>
      <w:r w:rsidRPr="00484FBA">
        <w:rPr>
          <w:rFonts w:hint="eastAsia"/>
          <w:rtl/>
        </w:rPr>
        <w:t>ו</w:t>
      </w:r>
      <w:r>
        <w:rPr>
          <w:rFonts w:hint="eastAsia"/>
          <w:rtl/>
        </w:rPr>
        <w:t>ב</w:t>
      </w:r>
      <w:r>
        <w:rPr>
          <w:rFonts w:hint="cs"/>
          <w:rtl/>
        </w:rPr>
        <w:t>יחו</w:t>
      </w:r>
      <w:r w:rsidRPr="00484FBA">
        <w:rPr>
          <w:rFonts w:hint="eastAsia"/>
          <w:rtl/>
        </w:rPr>
        <w:t>ד</w:t>
      </w:r>
      <w:r w:rsidRPr="00484FBA">
        <w:rPr>
          <w:rtl/>
        </w:rPr>
        <w:t xml:space="preserve"> </w:t>
      </w:r>
      <w:r w:rsidRPr="00484FBA">
        <w:rPr>
          <w:rFonts w:hint="eastAsia"/>
          <w:rtl/>
        </w:rPr>
        <w:t>את</w:t>
      </w:r>
      <w:r w:rsidRPr="00484FBA">
        <w:rPr>
          <w:rtl/>
        </w:rPr>
        <w:t xml:space="preserve"> </w:t>
      </w:r>
      <w:r w:rsidRPr="00484FBA">
        <w:rPr>
          <w:rFonts w:hint="eastAsia"/>
          <w:rtl/>
        </w:rPr>
        <w:t>ההגדלה</w:t>
      </w:r>
      <w:r w:rsidRPr="00484FBA">
        <w:rPr>
          <w:rtl/>
        </w:rPr>
        <w:t xml:space="preserve"> </w:t>
      </w:r>
      <w:r w:rsidRPr="00484FBA">
        <w:rPr>
          <w:rFonts w:hint="eastAsia"/>
          <w:rtl/>
        </w:rPr>
        <w:t>לגבי</w:t>
      </w:r>
      <w:r w:rsidRPr="00484FBA">
        <w:rPr>
          <w:rtl/>
        </w:rPr>
        <w:t xml:space="preserve"> </w:t>
      </w:r>
      <w:r w:rsidRPr="00484FBA">
        <w:rPr>
          <w:rFonts w:hint="eastAsia"/>
          <w:rtl/>
        </w:rPr>
        <w:t>שירות</w:t>
      </w:r>
      <w:r w:rsidRPr="00484FBA">
        <w:rPr>
          <w:rtl/>
        </w:rPr>
        <w:t xml:space="preserve"> </w:t>
      </w:r>
      <w:r w:rsidRPr="00484FBA">
        <w:rPr>
          <w:rFonts w:hint="eastAsia"/>
          <w:rtl/>
        </w:rPr>
        <w:t>החובה</w:t>
      </w:r>
      <w:r w:rsidRPr="00484FBA">
        <w:rPr>
          <w:rtl/>
        </w:rPr>
        <w:t xml:space="preserve"> </w:t>
      </w:r>
      <w:r w:rsidRPr="00484FBA">
        <w:rPr>
          <w:rFonts w:hint="eastAsia"/>
          <w:rtl/>
        </w:rPr>
        <w:t>ואת</w:t>
      </w:r>
      <w:r w:rsidRPr="00484FBA">
        <w:rPr>
          <w:rtl/>
        </w:rPr>
        <w:t xml:space="preserve"> </w:t>
      </w:r>
      <w:r w:rsidRPr="00484FBA">
        <w:rPr>
          <w:rFonts w:hint="eastAsia"/>
          <w:rtl/>
        </w:rPr>
        <w:t>ההגדלה</w:t>
      </w:r>
      <w:r>
        <w:rPr>
          <w:rtl/>
        </w:rPr>
        <w:t xml:space="preserve"> לגבי התקופה </w:t>
      </w:r>
      <w:r w:rsidRPr="00484FBA">
        <w:rPr>
          <w:rtl/>
        </w:rPr>
        <w:t xml:space="preserve">מגיל 18 עד גיל הגיוס. </w:t>
      </w:r>
    </w:p>
    <w:p w:rsidR="008022B2" w:rsidP="008E4108">
      <w:pPr>
        <w:pStyle w:val="100"/>
        <w:rPr>
          <w:rtl/>
        </w:rPr>
      </w:pPr>
      <w:r w:rsidRPr="00484FBA">
        <w:rPr>
          <w:rFonts w:hint="eastAsia"/>
          <w:rtl/>
        </w:rPr>
        <w:t>מנגד</w:t>
      </w:r>
      <w:r w:rsidRPr="00484FBA">
        <w:rPr>
          <w:rtl/>
        </w:rPr>
        <w:t xml:space="preserve"> טען צה"ל </w:t>
      </w:r>
      <w:r w:rsidRPr="00484FBA">
        <w:rPr>
          <w:rFonts w:hint="eastAsia"/>
          <w:rtl/>
        </w:rPr>
        <w:t>כי</w:t>
      </w:r>
      <w:r w:rsidRPr="00484FBA">
        <w:rPr>
          <w:rtl/>
        </w:rPr>
        <w:t xml:space="preserve"> "</w:t>
      </w:r>
      <w:r w:rsidRPr="00484FBA">
        <w:rPr>
          <w:rFonts w:hint="eastAsia"/>
          <w:rtl/>
        </w:rPr>
        <w:t>הן</w:t>
      </w:r>
      <w:r w:rsidRPr="00484FBA">
        <w:rPr>
          <w:rtl/>
        </w:rPr>
        <w:t xml:space="preserve"> החלטת הממשלה והן כללי הרמטכ"ל נקבעו בסמכות וכי אין ללמוד משימוש במילה </w:t>
      </w:r>
      <w:r>
        <w:rPr>
          <w:rFonts w:hint="cs"/>
          <w:rtl/>
        </w:rPr>
        <w:t>'</w:t>
      </w:r>
      <w:r w:rsidRPr="00484FBA">
        <w:rPr>
          <w:rFonts w:hint="eastAsia"/>
          <w:rtl/>
        </w:rPr>
        <w:t>חייל</w:t>
      </w:r>
      <w:r w:rsidRPr="00484FBA">
        <w:rPr>
          <w:rtl/>
        </w:rPr>
        <w:t xml:space="preserve"> </w:t>
      </w:r>
      <w:r w:rsidRPr="00484FBA">
        <w:rPr>
          <w:rFonts w:hint="eastAsia"/>
          <w:rtl/>
        </w:rPr>
        <w:t>פלוני</w:t>
      </w:r>
      <w:r>
        <w:rPr>
          <w:rFonts w:hint="cs"/>
          <w:rtl/>
        </w:rPr>
        <w:t>'</w:t>
      </w:r>
      <w:r w:rsidRPr="00484FBA">
        <w:rPr>
          <w:rtl/>
        </w:rPr>
        <w:t xml:space="preserve"> </w:t>
      </w:r>
      <w:r w:rsidRPr="00484FBA">
        <w:rPr>
          <w:rFonts w:hint="eastAsia"/>
          <w:rtl/>
        </w:rPr>
        <w:t>כי</w:t>
      </w:r>
      <w:r w:rsidRPr="00484FBA">
        <w:rPr>
          <w:rtl/>
        </w:rPr>
        <w:t xml:space="preserve"> </w:t>
      </w:r>
      <w:r w:rsidRPr="00484FBA">
        <w:rPr>
          <w:rFonts w:hint="eastAsia"/>
          <w:rtl/>
        </w:rPr>
        <w:t>הממשלה</w:t>
      </w:r>
      <w:r w:rsidRPr="00484FBA">
        <w:rPr>
          <w:rtl/>
        </w:rPr>
        <w:t xml:space="preserve"> </w:t>
      </w:r>
      <w:r w:rsidRPr="00484FBA">
        <w:rPr>
          <w:rFonts w:hint="eastAsia"/>
          <w:rtl/>
        </w:rPr>
        <w:t>והרמטכ</w:t>
      </w:r>
      <w:r w:rsidRPr="00484FBA">
        <w:rPr>
          <w:rtl/>
        </w:rPr>
        <w:t xml:space="preserve">"ל </w:t>
      </w:r>
      <w:r w:rsidRPr="00484FBA">
        <w:rPr>
          <w:rFonts w:hint="eastAsia"/>
          <w:rtl/>
        </w:rPr>
        <w:t>אינם</w:t>
      </w:r>
      <w:r w:rsidRPr="00484FBA">
        <w:rPr>
          <w:rtl/>
        </w:rPr>
        <w:t xml:space="preserve"> </w:t>
      </w:r>
      <w:r w:rsidRPr="00484FBA">
        <w:rPr>
          <w:rFonts w:hint="eastAsia"/>
          <w:rtl/>
        </w:rPr>
        <w:t>יכולים</w:t>
      </w:r>
      <w:r w:rsidRPr="00484FBA">
        <w:rPr>
          <w:rtl/>
        </w:rPr>
        <w:t xml:space="preserve"> </w:t>
      </w:r>
      <w:r w:rsidRPr="00484FBA">
        <w:rPr>
          <w:rFonts w:hint="eastAsia"/>
          <w:rtl/>
        </w:rPr>
        <w:t>לקבוע</w:t>
      </w:r>
      <w:r w:rsidRPr="00484FBA">
        <w:rPr>
          <w:rtl/>
        </w:rPr>
        <w:t xml:space="preserve"> </w:t>
      </w:r>
      <w:r w:rsidRPr="00484FBA">
        <w:rPr>
          <w:rFonts w:hint="eastAsia"/>
          <w:rtl/>
        </w:rPr>
        <w:t>תנאים</w:t>
      </w:r>
      <w:r w:rsidRPr="00484FBA">
        <w:rPr>
          <w:rtl/>
        </w:rPr>
        <w:t xml:space="preserve"> </w:t>
      </w:r>
      <w:r w:rsidRPr="00484FBA">
        <w:rPr>
          <w:rFonts w:hint="eastAsia"/>
          <w:rtl/>
        </w:rPr>
        <w:t>שיחולו</w:t>
      </w:r>
      <w:r w:rsidRPr="00484FBA">
        <w:rPr>
          <w:rtl/>
        </w:rPr>
        <w:t xml:space="preserve"> </w:t>
      </w:r>
      <w:r w:rsidRPr="00484FBA">
        <w:rPr>
          <w:rFonts w:hint="eastAsia"/>
          <w:rtl/>
        </w:rPr>
        <w:t>על</w:t>
      </w:r>
      <w:r w:rsidRPr="00484FBA">
        <w:rPr>
          <w:rtl/>
        </w:rPr>
        <w:t xml:space="preserve"> </w:t>
      </w:r>
      <w:r w:rsidRPr="00484FBA">
        <w:rPr>
          <w:rFonts w:hint="eastAsia"/>
          <w:rtl/>
        </w:rPr>
        <w:t>קבוצה</w:t>
      </w:r>
      <w:r w:rsidRPr="00484FBA">
        <w:rPr>
          <w:rtl/>
        </w:rPr>
        <w:t xml:space="preserve"> </w:t>
      </w:r>
      <w:r w:rsidRPr="00484FBA">
        <w:rPr>
          <w:rFonts w:hint="eastAsia"/>
          <w:rtl/>
        </w:rPr>
        <w:t>של</w:t>
      </w:r>
      <w:r w:rsidRPr="00484FBA">
        <w:rPr>
          <w:rtl/>
        </w:rPr>
        <w:t xml:space="preserve"> </w:t>
      </w:r>
      <w:r w:rsidRPr="00484FBA">
        <w:rPr>
          <w:rFonts w:hint="eastAsia"/>
          <w:rtl/>
        </w:rPr>
        <w:t>חיילים</w:t>
      </w:r>
      <w:r w:rsidRPr="00484FBA">
        <w:rPr>
          <w:rtl/>
        </w:rPr>
        <w:t xml:space="preserve"> </w:t>
      </w:r>
      <w:r w:rsidRPr="00484FBA">
        <w:rPr>
          <w:rFonts w:hint="eastAsia"/>
          <w:rtl/>
        </w:rPr>
        <w:t>פלונים</w:t>
      </w:r>
      <w:r>
        <w:rPr>
          <w:rFonts w:hint="cs"/>
          <w:rtl/>
        </w:rPr>
        <w:t>"</w:t>
      </w:r>
      <w:r w:rsidRPr="00484FBA">
        <w:rPr>
          <w:rtl/>
        </w:rPr>
        <w:t xml:space="preserve">. </w:t>
      </w:r>
      <w:r w:rsidRPr="00484FBA">
        <w:rPr>
          <w:rFonts w:hint="eastAsia"/>
          <w:rtl/>
        </w:rPr>
        <w:t>צה</w:t>
      </w:r>
      <w:r w:rsidRPr="00484FBA">
        <w:rPr>
          <w:rtl/>
        </w:rPr>
        <w:t xml:space="preserve">"ל </w:t>
      </w:r>
      <w:r w:rsidRPr="00484FBA">
        <w:rPr>
          <w:rFonts w:hint="eastAsia"/>
          <w:rtl/>
        </w:rPr>
        <w:t>הוסיף</w:t>
      </w:r>
      <w:r w:rsidRPr="00484FBA">
        <w:rPr>
          <w:rtl/>
        </w:rPr>
        <w:t xml:space="preserve"> </w:t>
      </w:r>
      <w:r w:rsidRPr="00484FBA">
        <w:rPr>
          <w:rFonts w:hint="eastAsia"/>
          <w:rtl/>
        </w:rPr>
        <w:t>וציין</w:t>
      </w:r>
      <w:r w:rsidRPr="00484FBA">
        <w:rPr>
          <w:rtl/>
        </w:rPr>
        <w:t xml:space="preserve"> </w:t>
      </w:r>
      <w:r w:rsidRPr="00484FBA">
        <w:rPr>
          <w:rFonts w:hint="eastAsia"/>
          <w:rtl/>
        </w:rPr>
        <w:t>כי</w:t>
      </w:r>
      <w:r w:rsidRPr="00484FBA">
        <w:rPr>
          <w:rtl/>
        </w:rPr>
        <w:t xml:space="preserve"> </w:t>
      </w:r>
      <w:r w:rsidRPr="00484FBA">
        <w:rPr>
          <w:rFonts w:hint="eastAsia"/>
          <w:rtl/>
        </w:rPr>
        <w:t>מדובר</w:t>
      </w:r>
      <w:r w:rsidRPr="00484FBA">
        <w:rPr>
          <w:rtl/>
        </w:rPr>
        <w:t xml:space="preserve"> </w:t>
      </w:r>
      <w:r w:rsidRPr="00484FBA">
        <w:rPr>
          <w:rFonts w:hint="eastAsia"/>
          <w:rtl/>
        </w:rPr>
        <w:t>בהטבות</w:t>
      </w:r>
      <w:r w:rsidRPr="00484FBA">
        <w:rPr>
          <w:rtl/>
        </w:rPr>
        <w:t xml:space="preserve"> </w:t>
      </w:r>
      <w:r w:rsidRPr="00484FBA">
        <w:rPr>
          <w:rFonts w:hint="eastAsia"/>
          <w:rtl/>
        </w:rPr>
        <w:t>הניתנות</w:t>
      </w:r>
      <w:r w:rsidRPr="00484FBA">
        <w:rPr>
          <w:rtl/>
        </w:rPr>
        <w:t xml:space="preserve"> </w:t>
      </w:r>
      <w:r w:rsidRPr="00484FBA">
        <w:rPr>
          <w:rFonts w:hint="eastAsia"/>
          <w:rtl/>
        </w:rPr>
        <w:t>מזה</w:t>
      </w:r>
      <w:r w:rsidRPr="00484FBA">
        <w:rPr>
          <w:rtl/>
        </w:rPr>
        <w:t xml:space="preserve"> </w:t>
      </w:r>
      <w:r w:rsidRPr="00484FBA">
        <w:rPr>
          <w:rFonts w:hint="eastAsia"/>
          <w:rtl/>
        </w:rPr>
        <w:t>עשרות</w:t>
      </w:r>
      <w:r w:rsidRPr="00484FBA">
        <w:rPr>
          <w:rtl/>
        </w:rPr>
        <w:t xml:space="preserve"> </w:t>
      </w:r>
      <w:r w:rsidRPr="00484FBA">
        <w:rPr>
          <w:rFonts w:hint="eastAsia"/>
          <w:rtl/>
        </w:rPr>
        <w:t>רבות</w:t>
      </w:r>
      <w:r w:rsidRPr="00484FBA">
        <w:rPr>
          <w:rtl/>
        </w:rPr>
        <w:t xml:space="preserve"> </w:t>
      </w:r>
      <w:r w:rsidRPr="00484FBA">
        <w:rPr>
          <w:rFonts w:hint="eastAsia"/>
          <w:rtl/>
        </w:rPr>
        <w:t>של</w:t>
      </w:r>
      <w:r w:rsidRPr="00484FBA">
        <w:rPr>
          <w:rtl/>
        </w:rPr>
        <w:t xml:space="preserve"> </w:t>
      </w:r>
      <w:r w:rsidRPr="00484FBA">
        <w:rPr>
          <w:rFonts w:hint="eastAsia"/>
          <w:rtl/>
        </w:rPr>
        <w:t>שנים</w:t>
      </w:r>
      <w:r w:rsidRPr="00484FBA">
        <w:rPr>
          <w:rtl/>
        </w:rPr>
        <w:t>.</w:t>
      </w:r>
    </w:p>
    <w:p w:rsidR="008022B2" w:rsidP="00B231C0">
      <w:pPr>
        <w:pStyle w:val="100"/>
        <w:rPr>
          <w:rtl/>
        </w:rPr>
      </w:pPr>
      <w:r>
        <w:rPr>
          <w:rFonts w:hint="cs"/>
          <w:rtl/>
        </w:rPr>
        <w:t>לאחר שמיעת העמדות השונות סיכם המשנה ליועץ המשפטי כדלקמן:</w:t>
      </w:r>
    </w:p>
    <w:p w:rsidR="008022B2" w:rsidP="00B231C0">
      <w:pPr>
        <w:pStyle w:val="a40"/>
      </w:pPr>
      <w:r>
        <w:rPr>
          <w:rFonts w:hint="cs"/>
          <w:rtl/>
        </w:rPr>
        <w:t>"הגדלות השירות שנעשות על בסיס החלטת ממשלה 849, שנוסחה באופן עמום. החלטת הממשלה קובעת כי ההגדלה תהיה כאשר הרמטכ"ל סבור 'שקיימות נסיבות כלכליות או אחרות המצדיקות זאת'. מ</w:t>
      </w:r>
      <w:r>
        <w:rPr>
          <w:rFonts w:hint="cs"/>
          <w:rtl/>
        </w:rPr>
        <w:t xml:space="preserve">הנתונים שנמסרו בדיון, גם על-ידי אנשי צה"ל עולה כי למעשה לא נשקלים פרמטרים אלו במסגרת ההחלטה על מתן הגדלה וקשה לראות בנוסח הנוכחי של ההחלטה כהולם סיטואציה בה למעשה ניתנת </w:t>
      </w:r>
      <w:r w:rsidRPr="00007196">
        <w:rPr>
          <w:rFonts w:hint="cs"/>
          <w:u w:val="single"/>
          <w:rtl/>
        </w:rPr>
        <w:t>לרובם ככולם</w:t>
      </w:r>
      <w:r>
        <w:rPr>
          <w:rFonts w:hint="cs"/>
          <w:rtl/>
        </w:rPr>
        <w:t xml:space="preserve"> של משרתי הקבע תוספת לקצבה [לפי דו"ח מבקר המדינה, כ-97%].</w:t>
      </w:r>
    </w:p>
    <w:p w:rsidR="008022B2" w:rsidRPr="00B82FEA" w:rsidP="00B231C0">
      <w:pPr>
        <w:pStyle w:val="a40"/>
      </w:pPr>
      <w:r w:rsidRPr="00B82FEA">
        <w:rPr>
          <w:rFonts w:hint="eastAsia"/>
          <w:rtl/>
        </w:rPr>
        <w:t>נוכח</w:t>
      </w:r>
      <w:r w:rsidRPr="00B82FEA">
        <w:rPr>
          <w:rtl/>
        </w:rPr>
        <w:t xml:space="preserve"> </w:t>
      </w:r>
      <w:r w:rsidRPr="00B82FEA">
        <w:rPr>
          <w:rFonts w:hint="eastAsia"/>
          <w:rtl/>
        </w:rPr>
        <w:t>האמור</w:t>
      </w:r>
      <w:r w:rsidRPr="00B82FEA">
        <w:rPr>
          <w:rtl/>
        </w:rPr>
        <w:t xml:space="preserve">, </w:t>
      </w:r>
      <w:r w:rsidRPr="00B82FEA">
        <w:rPr>
          <w:rFonts w:hint="eastAsia"/>
          <w:rtl/>
        </w:rPr>
        <w:t>הסדרת</w:t>
      </w:r>
      <w:r w:rsidRPr="00B82FEA">
        <w:rPr>
          <w:rtl/>
        </w:rPr>
        <w:t xml:space="preserve"> </w:t>
      </w:r>
      <w:r w:rsidRPr="00B82FEA">
        <w:rPr>
          <w:rFonts w:hint="eastAsia"/>
          <w:rtl/>
        </w:rPr>
        <w:t>הכללים</w:t>
      </w:r>
      <w:r w:rsidRPr="00B82FEA">
        <w:rPr>
          <w:rtl/>
        </w:rPr>
        <w:t xml:space="preserve"> </w:t>
      </w:r>
      <w:r w:rsidRPr="00B82FEA">
        <w:rPr>
          <w:rFonts w:hint="eastAsia"/>
          <w:rtl/>
        </w:rPr>
        <w:t>לגבי</w:t>
      </w:r>
      <w:r w:rsidRPr="00B82FEA">
        <w:rPr>
          <w:rtl/>
        </w:rPr>
        <w:t xml:space="preserve"> </w:t>
      </w:r>
      <w:r w:rsidRPr="00B82FEA">
        <w:rPr>
          <w:rFonts w:hint="eastAsia"/>
          <w:rtl/>
        </w:rPr>
        <w:t>הגדלות</w:t>
      </w:r>
      <w:r w:rsidRPr="00B82FEA">
        <w:rPr>
          <w:rtl/>
        </w:rPr>
        <w:t xml:space="preserve"> </w:t>
      </w:r>
      <w:r w:rsidRPr="00B82FEA">
        <w:rPr>
          <w:rFonts w:hint="eastAsia"/>
          <w:rtl/>
        </w:rPr>
        <w:t>השירות</w:t>
      </w:r>
      <w:r w:rsidRPr="00B82FEA">
        <w:rPr>
          <w:rtl/>
        </w:rPr>
        <w:t xml:space="preserve"> </w:t>
      </w:r>
      <w:r w:rsidRPr="00B82FEA">
        <w:rPr>
          <w:rFonts w:hint="eastAsia"/>
          <w:rtl/>
        </w:rPr>
        <w:t>נכון</w:t>
      </w:r>
      <w:r w:rsidRPr="00B82FEA">
        <w:rPr>
          <w:rtl/>
        </w:rPr>
        <w:t xml:space="preserve"> </w:t>
      </w:r>
      <w:r w:rsidRPr="00B82FEA">
        <w:rPr>
          <w:rFonts w:hint="eastAsia"/>
          <w:rtl/>
        </w:rPr>
        <w:t>שתיעשה</w:t>
      </w:r>
      <w:r w:rsidRPr="00B82FEA">
        <w:rPr>
          <w:rtl/>
        </w:rPr>
        <w:t xml:space="preserve"> </w:t>
      </w:r>
      <w:r w:rsidRPr="00B82FEA">
        <w:rPr>
          <w:rFonts w:hint="eastAsia"/>
          <w:rtl/>
        </w:rPr>
        <w:t>לעתיד</w:t>
      </w:r>
      <w:r w:rsidRPr="00B82FEA">
        <w:rPr>
          <w:rtl/>
        </w:rPr>
        <w:t xml:space="preserve"> </w:t>
      </w:r>
      <w:r w:rsidRPr="00B82FEA">
        <w:rPr>
          <w:rFonts w:hint="eastAsia"/>
          <w:rtl/>
        </w:rPr>
        <w:t>לבוא</w:t>
      </w:r>
      <w:r w:rsidRPr="00B82FEA">
        <w:rPr>
          <w:rtl/>
        </w:rPr>
        <w:t xml:space="preserve"> </w:t>
      </w:r>
      <w:r w:rsidRPr="00B82FEA">
        <w:rPr>
          <w:rFonts w:hint="eastAsia"/>
          <w:rtl/>
        </w:rPr>
        <w:t>בהחלטת</w:t>
      </w:r>
      <w:r w:rsidRPr="00B82FEA">
        <w:rPr>
          <w:rtl/>
        </w:rPr>
        <w:t xml:space="preserve"> </w:t>
      </w:r>
      <w:r w:rsidRPr="00B82FEA">
        <w:rPr>
          <w:rFonts w:hint="eastAsia"/>
          <w:rtl/>
        </w:rPr>
        <w:t>ממשלה</w:t>
      </w:r>
      <w:r w:rsidRPr="00B82FEA">
        <w:rPr>
          <w:rtl/>
        </w:rPr>
        <w:t xml:space="preserve"> </w:t>
      </w:r>
      <w:r w:rsidRPr="00B82FEA">
        <w:rPr>
          <w:rFonts w:hint="eastAsia"/>
          <w:rtl/>
        </w:rPr>
        <w:t>בהירה</w:t>
      </w:r>
      <w:r w:rsidRPr="00B82FEA">
        <w:rPr>
          <w:rtl/>
        </w:rPr>
        <w:t xml:space="preserve"> </w:t>
      </w:r>
      <w:r w:rsidRPr="00B82FEA">
        <w:rPr>
          <w:rFonts w:hint="eastAsia"/>
          <w:rtl/>
        </w:rPr>
        <w:t>ומובנת</w:t>
      </w:r>
      <w:r w:rsidRPr="00B82FEA">
        <w:rPr>
          <w:rtl/>
        </w:rPr>
        <w:t xml:space="preserve">, </w:t>
      </w:r>
      <w:r w:rsidRPr="00B82FEA">
        <w:rPr>
          <w:rFonts w:hint="eastAsia"/>
          <w:rtl/>
        </w:rPr>
        <w:t>ולפיכך</w:t>
      </w:r>
      <w:r w:rsidRPr="00B82FEA">
        <w:rPr>
          <w:rtl/>
        </w:rPr>
        <w:t xml:space="preserve"> </w:t>
      </w:r>
      <w:r w:rsidRPr="00B82FEA">
        <w:rPr>
          <w:rFonts w:hint="eastAsia"/>
          <w:rtl/>
        </w:rPr>
        <w:t>יש</w:t>
      </w:r>
      <w:r w:rsidRPr="00B82FEA">
        <w:rPr>
          <w:rtl/>
        </w:rPr>
        <w:t xml:space="preserve"> </w:t>
      </w:r>
      <w:r w:rsidRPr="00B82FEA">
        <w:rPr>
          <w:rFonts w:hint="eastAsia"/>
          <w:rtl/>
        </w:rPr>
        <w:t>לפעול</w:t>
      </w:r>
      <w:r w:rsidRPr="00B82FEA">
        <w:rPr>
          <w:rtl/>
        </w:rPr>
        <w:t xml:space="preserve"> </w:t>
      </w:r>
      <w:r w:rsidRPr="00B82FEA">
        <w:rPr>
          <w:rFonts w:hint="eastAsia"/>
          <w:rtl/>
        </w:rPr>
        <w:t>לגיבוש</w:t>
      </w:r>
      <w:r w:rsidRPr="00B82FEA">
        <w:rPr>
          <w:rtl/>
        </w:rPr>
        <w:t xml:space="preserve"> </w:t>
      </w:r>
      <w:r w:rsidRPr="00B82FEA">
        <w:rPr>
          <w:rFonts w:hint="eastAsia"/>
          <w:rtl/>
        </w:rPr>
        <w:t>החלטת</w:t>
      </w:r>
      <w:r w:rsidRPr="00B82FEA">
        <w:rPr>
          <w:rtl/>
        </w:rPr>
        <w:t xml:space="preserve"> </w:t>
      </w:r>
      <w:r w:rsidRPr="00B82FEA">
        <w:rPr>
          <w:rFonts w:hint="eastAsia"/>
          <w:rtl/>
        </w:rPr>
        <w:t>ממשלה</w:t>
      </w:r>
      <w:r w:rsidRPr="00B82FEA">
        <w:rPr>
          <w:rtl/>
        </w:rPr>
        <w:t xml:space="preserve"> </w:t>
      </w:r>
      <w:r w:rsidRPr="00B82FEA">
        <w:rPr>
          <w:rFonts w:hint="eastAsia"/>
          <w:rtl/>
        </w:rPr>
        <w:t>חדשה</w:t>
      </w:r>
      <w:r w:rsidRPr="00B82FEA">
        <w:rPr>
          <w:rtl/>
        </w:rPr>
        <w:t xml:space="preserve"> </w:t>
      </w:r>
      <w:r w:rsidRPr="00B82FEA">
        <w:rPr>
          <w:rFonts w:hint="eastAsia"/>
          <w:rtl/>
        </w:rPr>
        <w:t>שתחליף</w:t>
      </w:r>
      <w:r w:rsidRPr="00B82FEA">
        <w:rPr>
          <w:rtl/>
        </w:rPr>
        <w:t xml:space="preserve"> </w:t>
      </w:r>
      <w:r w:rsidRPr="00B82FEA">
        <w:rPr>
          <w:rFonts w:hint="eastAsia"/>
          <w:rtl/>
        </w:rPr>
        <w:t>את</w:t>
      </w:r>
      <w:r w:rsidRPr="00B82FEA">
        <w:rPr>
          <w:rtl/>
        </w:rPr>
        <w:t xml:space="preserve"> </w:t>
      </w:r>
      <w:r w:rsidRPr="00B82FEA">
        <w:rPr>
          <w:rFonts w:hint="eastAsia"/>
          <w:rtl/>
        </w:rPr>
        <w:t>החלטה</w:t>
      </w:r>
      <w:r w:rsidRPr="00B82FEA">
        <w:rPr>
          <w:rtl/>
        </w:rPr>
        <w:t xml:space="preserve"> </w:t>
      </w:r>
      <w:r w:rsidRPr="00B82FEA">
        <w:rPr>
          <w:rFonts w:hint="eastAsia"/>
          <w:rtl/>
        </w:rPr>
        <w:t>מס</w:t>
      </w:r>
      <w:r w:rsidRPr="00B82FEA">
        <w:rPr>
          <w:rtl/>
        </w:rPr>
        <w:t xml:space="preserve">' 849 </w:t>
      </w:r>
      <w:r w:rsidRPr="00B82FEA">
        <w:rPr>
          <w:rFonts w:hint="eastAsia"/>
          <w:rtl/>
        </w:rPr>
        <w:t>הנ</w:t>
      </w:r>
      <w:r w:rsidRPr="00B82FEA">
        <w:rPr>
          <w:rtl/>
        </w:rPr>
        <w:t>"ל.</w:t>
      </w:r>
    </w:p>
    <w:p w:rsidR="008022B2" w:rsidP="00B231C0">
      <w:pPr>
        <w:pStyle w:val="a40"/>
      </w:pPr>
      <w:r>
        <w:rPr>
          <w:rFonts w:hint="cs"/>
          <w:rtl/>
        </w:rPr>
        <w:t xml:space="preserve">נוכח ההשלכות כבדות המשקל של קביעה מעין זו על צה"ל, ועל יציאת אנשי קבע לגמלאות, ניתן יהיה להמשיך לפעול מכוח </w:t>
      </w:r>
      <w:r>
        <w:rPr>
          <w:rFonts w:hint="cs"/>
          <w:rtl/>
        </w:rPr>
        <w:t>החלטת ממשלה זו לפרק זמן של חצי שנה. בבוא העת, וככל שיהיו נסיבות המצדיקות זאת, תישקל הארכת התקופה לפרק זמן מסוים נוסף.</w:t>
      </w:r>
    </w:p>
    <w:p w:rsidR="008022B2" w:rsidP="00B231C0">
      <w:pPr>
        <w:pStyle w:val="a40"/>
      </w:pPr>
      <w:r>
        <w:rPr>
          <w:rFonts w:hint="cs"/>
          <w:rtl/>
        </w:rPr>
        <w:t xml:space="preserve">משרד הביטחון, בשיתוף כלל הגורמים הרלבנטיים, יכין בהקדם הצעת החלטה חלופית כאמור. </w:t>
      </w:r>
    </w:p>
    <w:p w:rsidR="008022B2" w:rsidP="00B231C0">
      <w:pPr>
        <w:pStyle w:val="a40"/>
      </w:pPr>
      <w:r>
        <w:rPr>
          <w:rFonts w:hint="cs"/>
          <w:rtl/>
        </w:rPr>
        <w:t>משרד הביטחון יעדכן את המשנה ליועץ המשפטי לממשלה לגבי התקד</w:t>
      </w:r>
      <w:r>
        <w:rPr>
          <w:rFonts w:hint="cs"/>
          <w:rtl/>
        </w:rPr>
        <w:t>מות גיבוש הצעת ההחלטה עד ליום 1.10.18, ולאחר התייעצות עם משרד האוצר, יביא בפניו את טיוטת הצעת ההחלטה שתגובש לפני העברתה לממשלה.</w:t>
      </w:r>
    </w:p>
    <w:p w:rsidR="008022B2" w:rsidP="00B231C0">
      <w:pPr>
        <w:pStyle w:val="a40"/>
      </w:pPr>
      <w:r>
        <w:rPr>
          <w:rFonts w:hint="cs"/>
          <w:rtl/>
        </w:rPr>
        <w:t xml:space="preserve">בנוגע להגדלת השירות לגבי שירות החובה, צה"ל יכין בתוך שלושה חודשים תיקון לכללי הרמטכ"ל שיעגן את ההגדלה (או הגדלה שוות ערך) באופן </w:t>
      </w:r>
      <w:r>
        <w:rPr>
          <w:rFonts w:hint="cs"/>
          <w:rtl/>
        </w:rPr>
        <w:t xml:space="preserve">שיתיישב עם החלטה 849 ויחול עד למועד כניסתה לתוקף של החלטת הממשלה כאמור בפסקה (א). עד יום 1.9.2018 יעדכן צה"ל את המשנה ליועץ המשפטי לממשלה לגבי התקדמות גיבוש </w:t>
      </w:r>
      <w:r>
        <w:rPr>
          <w:rFonts w:hint="cs"/>
          <w:rtl/>
        </w:rPr>
        <w:t>הכללים. טיוטת התיקון תועבר להתייחסות משרדי האוצר והמשפטים. נוכח ההשלכות הכרוכות בעניין זה, ולאחר שק</w:t>
      </w:r>
      <w:r>
        <w:rPr>
          <w:rFonts w:hint="cs"/>
          <w:rtl/>
        </w:rPr>
        <w:t>ילת הדברים, במהלך התקופה הקרובה יבחן המשנה ליועץ המשפטי לממשלה האם יש צורך שהתיקון לכללי הרמטכ"ל יכלול גם התייחסות להגדלה בגין התקופה שמגיל 18 עד גיל הגיוס.</w:t>
      </w:r>
    </w:p>
    <w:p w:rsidR="008022B2" w:rsidP="00B231C0">
      <w:pPr>
        <w:pStyle w:val="a40"/>
      </w:pPr>
      <w:r>
        <w:rPr>
          <w:rFonts w:hint="cs"/>
          <w:rtl/>
        </w:rPr>
        <w:t>סוגיית תשלומי העבר תדון בנפרד, בין היתר בהתחשב בהחלטת הממשלה החדשה שתגובש."</w:t>
      </w:r>
    </w:p>
    <w:p w:rsidR="008022B2" w:rsidP="0029607C">
      <w:pPr>
        <w:pStyle w:val="100"/>
        <w:rPr>
          <w:rtl/>
        </w:rPr>
      </w:pPr>
      <w:r w:rsidRPr="0070739B">
        <w:rPr>
          <w:rFonts w:hint="cs"/>
          <w:rtl/>
        </w:rPr>
        <w:t xml:space="preserve">ביום 6.6.2018 </w:t>
      </w:r>
      <w:r>
        <w:rPr>
          <w:rFonts w:hint="cs"/>
          <w:rtl/>
        </w:rPr>
        <w:t>בטרם הופץ</w:t>
      </w:r>
      <w:r>
        <w:rPr>
          <w:rFonts w:hint="cs"/>
          <w:rtl/>
        </w:rPr>
        <w:t xml:space="preserve"> סיכום הדיון האמור - הודיע הפרקליט הצבאי הראשי (להלן - הפצ"ר) ללשכת היועץ המשפטי לממשלה כי צה"ל חולק על האמור בו וכי הוא מבקש, על דעת הרמטכ"ל, לקבוע דיון בראשות היועץ המשפטי לממשלה. הפצ"ר התבקש בידי לשכת היועץ המשפטי לממשלה להעביר פנייה מפורטת ומנומקת בנדו</w:t>
      </w:r>
      <w:r>
        <w:rPr>
          <w:rFonts w:hint="cs"/>
          <w:rtl/>
        </w:rPr>
        <w:t>ן, ואכן פנייה כזו התקבלה אצל היועץ ב-20.8.18.</w:t>
      </w:r>
    </w:p>
    <w:p w:rsidR="008022B2" w:rsidP="0029607C">
      <w:pPr>
        <w:pStyle w:val="100"/>
        <w:rPr>
          <w:rtl/>
        </w:rPr>
      </w:pPr>
      <w:r>
        <w:rPr>
          <w:rFonts w:hint="cs"/>
          <w:rtl/>
        </w:rPr>
        <w:t>לאחר ששקל את העניין החליט היועץ המשפטי לממשלה להימנע מלדון ולהכריע בנושא בעצמו מפאת היותו גמלאי צה"ל המקבל את התוספת האמורה במסגרת הפנסייה שהוא זכאי לה. היועץ החליט כי השגת הפצ"ר על החלטת המשנה ליועץ תידון לפני</w:t>
      </w:r>
      <w:r>
        <w:rPr>
          <w:rFonts w:hint="cs"/>
          <w:rtl/>
        </w:rPr>
        <w:t xml:space="preserve"> פרקליט המדינה.</w:t>
      </w:r>
    </w:p>
    <w:p w:rsidR="008022B2" w:rsidP="0029607C">
      <w:pPr>
        <w:pStyle w:val="100"/>
        <w:rPr>
          <w:rtl/>
        </w:rPr>
      </w:pPr>
      <w:r>
        <w:rPr>
          <w:rFonts w:hint="cs"/>
          <w:rtl/>
        </w:rPr>
        <w:t>הייעוץ המשפטי לממשלה הסביר למשרד מבקר המדינה כי על רקע השגת הפצ"ר, ובהמשך לכך - נוכח העברת הטיפול בנושא להכרעתו של פרקליט המדינה, טרם יושם</w:t>
      </w:r>
      <w:r w:rsidRPr="00BC7832">
        <w:rPr>
          <w:rFonts w:hint="cs"/>
          <w:rtl/>
        </w:rPr>
        <w:t xml:space="preserve"> </w:t>
      </w:r>
      <w:r>
        <w:rPr>
          <w:rFonts w:hint="cs"/>
          <w:rtl/>
        </w:rPr>
        <w:t>האמור בסיכום הדיון מיום 18.7.18, ובכלל זה המועדים שנקבעו בו.</w:t>
      </w:r>
    </w:p>
    <w:p w:rsidR="008022B2" w:rsidRPr="00484FBA" w:rsidP="0029607C">
      <w:pPr>
        <w:pStyle w:val="100"/>
        <w:rPr>
          <w:rtl/>
        </w:rPr>
      </w:pPr>
      <w:r w:rsidRPr="00395E1A">
        <w:rPr>
          <w:rFonts w:hint="cs"/>
          <w:rtl/>
        </w:rPr>
        <w:t>ביום 11.9.19 התקיימה ישיבה בראשות פרק</w:t>
      </w:r>
      <w:r>
        <w:rPr>
          <w:rFonts w:hint="cs"/>
          <w:rtl/>
        </w:rPr>
        <w:t>ליט</w:t>
      </w:r>
      <w:r>
        <w:rPr>
          <w:rFonts w:hint="cs"/>
          <w:rtl/>
        </w:rPr>
        <w:t xml:space="preserve"> המדינה בנושא הגדלות הרמטכ"ל, ובהשתתפות נציגי צה"ל, בראשות סגן הרמטכ"ל, ונציגי האוצר, בראשות מנכ"ל המשרד וראש אגף תקציבים ונציגים רלוונטיים נוספים ממשרד המשפטים ובראשם המשנה ליועץ המשפטי לממשלה (תפקידים מיוחדים). במסגרת הדיון הציגו הצדדים טענות, הן במישור </w:t>
      </w:r>
      <w:r>
        <w:rPr>
          <w:rFonts w:hint="cs"/>
          <w:rtl/>
        </w:rPr>
        <w:t>התכלית, הן לגבי החלטת הממשלה 849 שפורסמה ביום 31.5.1961, הן במישור הרישא של ההחלטה - משמעות המושג "חייל פלוני" והן במישור שיטת החישוב. סגן הרמטכ"ל פירט על חשיבות תנאי הפנסייה עבור משרתי הקבע ועל חשיבות שמירת ההון האנושי בצה"ל. בהמשך לכך פרטו הפצ"ר ונציגי ה</w:t>
      </w:r>
      <w:r>
        <w:rPr>
          <w:rFonts w:hint="cs"/>
          <w:rtl/>
        </w:rPr>
        <w:t>צבא את עמדתם המשפטית לפיה החלטת הממשלה 849 מבססת היטב לשיטתם את מדיניות הצבא הנהוגה מזה שנים. מנכ"ל האוצר, ראש אגף תקציבים והיועץ המשפטי למשרד האוצר, פרטו את עמדת משרדם לפיה החלטת ממשלה 849 אינה מעניקה סמכות כה רחבה כפי שפירשה הצבא עד כה. לקראת הדיון ובסמו</w:t>
      </w:r>
      <w:r>
        <w:rPr>
          <w:rFonts w:hint="cs"/>
          <w:rtl/>
        </w:rPr>
        <w:t xml:space="preserve">ך אליו הועברו לפרקליט המדינה החלטות </w:t>
      </w:r>
      <w:r w:rsidRPr="00484FBA">
        <w:rPr>
          <w:rFonts w:hint="cs"/>
          <w:rtl/>
        </w:rPr>
        <w:t xml:space="preserve">ממשלה נוספות </w:t>
      </w:r>
      <w:r w:rsidRPr="00484FBA">
        <w:rPr>
          <w:rFonts w:hint="eastAsia"/>
          <w:rtl/>
        </w:rPr>
        <w:t>שלא</w:t>
      </w:r>
      <w:r w:rsidRPr="00484FBA">
        <w:rPr>
          <w:rFonts w:hint="cs"/>
          <w:rtl/>
        </w:rPr>
        <w:t xml:space="preserve"> נדונו קודם</w:t>
      </w:r>
      <w:r>
        <w:rPr>
          <w:rFonts w:hint="cs"/>
          <w:rtl/>
        </w:rPr>
        <w:t xml:space="preserve"> לכן ולכן בתום הצדדים התבקשו הצדדים לדיון להעביר נייר עמדה מסודר בו יתייחסו להשלכות של החלטות אלו על נושאי המחלוקת.</w:t>
      </w:r>
    </w:p>
    <w:p w:rsidR="008022B2" w:rsidP="0029607C">
      <w:pPr>
        <w:pStyle w:val="100"/>
        <w:rPr>
          <w:rtl/>
        </w:rPr>
      </w:pPr>
      <w:r w:rsidRPr="00484FBA">
        <w:rPr>
          <w:rFonts w:hint="cs"/>
          <w:rtl/>
        </w:rPr>
        <w:t xml:space="preserve">פרקליטות המדינה בתגובתה מיום 15.1.20 הפנתה למכתב סיכום של לשכת פרקליט המדינה </w:t>
      </w:r>
      <w:r w:rsidRPr="00484FBA">
        <w:rPr>
          <w:rFonts w:hint="cs"/>
          <w:rtl/>
        </w:rPr>
        <w:t>מיום 16.12.19 בנושא "הגדלות הרמטכ"ל". במכתב צוין כי צה"ל ומשרד האוצר לא העבירו ניירות עמדה כפי שהתבקשו, וכי "פרקליט המדינה הביע את עמדתו עוד במסגרת הדיון, כי מדובר בשאלה משפטית קשה ביותר - מחד גיסא, החלטות הרמטכ"ל פירשו בהרחבה את החלטות הממשלה, ומאידך גיסא</w:t>
      </w:r>
      <w:r w:rsidRPr="00484FBA">
        <w:rPr>
          <w:rFonts w:hint="cs"/>
          <w:rtl/>
        </w:rPr>
        <w:t>,</w:t>
      </w:r>
      <w:r>
        <w:rPr>
          <w:rFonts w:hint="cs"/>
          <w:rtl/>
        </w:rPr>
        <w:t xml:space="preserve"> </w:t>
      </w:r>
      <w:r w:rsidRPr="00484FBA">
        <w:rPr>
          <w:rFonts w:hint="cs"/>
          <w:rtl/>
        </w:rPr>
        <w:t xml:space="preserve">קביעה כעת כי פרשנות הצבא את החלטת הממשלה, שנהגה כמעט כ-60 שנה, הייתה מופרכת ודינה בטלות - הינה קשה". פרקליט המדינה אף ציין כי הוא מסכים עם עמדתו של המשנה ליועץ המשפטי לממשלה (ציבורי-חוקתי) לפיה "הסדרת </w:t>
      </w:r>
      <w:r w:rsidRPr="00484FBA">
        <w:rPr>
          <w:rFonts w:hint="cs"/>
          <w:rtl/>
        </w:rPr>
        <w:t>הכללים לגבי הגדלת השירות נכון שתיעשה לעתיד לבוא בהחלט</w:t>
      </w:r>
      <w:r w:rsidRPr="00484FBA">
        <w:rPr>
          <w:rFonts w:hint="cs"/>
          <w:rtl/>
        </w:rPr>
        <w:t xml:space="preserve">ת ממשלה בהירה ומובנת". בנסיבות אלה "פרקליט המדינה שב וממליץ כי הצדדים ישבו יחד וינסו להגיע להסכמה מהותית במישור הכלכלי, שתיקח בחשבון את מכלול טענות הצדדים, ויגבשו יחדיו הצעה להחלטת ממשלה חדשה כאמור. אם לא יעלה הדבר, נבקש קבלת ההתייחסות האמורה לעיל, ובהמשך </w:t>
      </w:r>
      <w:r w:rsidRPr="00484FBA">
        <w:rPr>
          <w:rFonts w:hint="cs"/>
          <w:rtl/>
        </w:rPr>
        <w:t xml:space="preserve">לכך </w:t>
      </w:r>
      <w:r w:rsidRPr="00484FBA">
        <w:rPr>
          <w:rFonts w:hint="cs"/>
          <w:u w:val="single"/>
          <w:rtl/>
        </w:rPr>
        <w:t>וטרם</w:t>
      </w:r>
      <w:r w:rsidRPr="00484FBA">
        <w:rPr>
          <w:rFonts w:hint="cs"/>
          <w:rtl/>
        </w:rPr>
        <w:t xml:space="preserve"> הכרעה משפטית, עמדת פרקליט המדינה הינה כי יש מקום להביא העניין בפני ראש הממשלה, שר האוצר ושר הביטחון, על מנת שיידרשו לנושא. כן תובא בפניהם העמדה שראוי לקבל החלטת ממשלה עדכנית בנושא זה, חלף הכרעה משפטית בסוגיה שעלתה".</w:t>
      </w:r>
      <w:r>
        <w:rPr>
          <w:rFonts w:hint="cs"/>
          <w:rtl/>
        </w:rPr>
        <w:t xml:space="preserve"> </w:t>
      </w:r>
    </w:p>
    <w:p w:rsidR="008022B2" w:rsidP="0029607C">
      <w:pPr>
        <w:pStyle w:val="100"/>
        <w:rPr>
          <w:rtl/>
        </w:rPr>
      </w:pPr>
      <w:r>
        <w:rPr>
          <w:rFonts w:hint="cs"/>
          <w:rtl/>
        </w:rPr>
        <w:t>צה"ל הדגיש בתשובתו כי בכל הנוג</w:t>
      </w:r>
      <w:r>
        <w:rPr>
          <w:rFonts w:hint="cs"/>
          <w:rtl/>
        </w:rPr>
        <w:t>ע להגדלות הרמטכ"ל - השלמת תקופת השירות כמו גם בעניין תשלום פנסיית הגישור הוא פועל "</w:t>
      </w:r>
      <w:r w:rsidRPr="00AF2328">
        <w:rPr>
          <w:rFonts w:hint="cs"/>
          <w:b/>
          <w:bCs/>
          <w:rtl/>
        </w:rPr>
        <w:t>באופן חוקי ומקצועי</w:t>
      </w:r>
      <w:r>
        <w:rPr>
          <w:rFonts w:hint="cs"/>
          <w:rtl/>
        </w:rPr>
        <w:t>" וכי "שתי הסוגיות נדונו בהרחבה בדיונים במשרד המשפטים, בדרגים הבכירים ביותר ו</w:t>
      </w:r>
      <w:r>
        <w:rPr>
          <w:rFonts w:hint="cs"/>
          <w:b/>
          <w:bCs/>
          <w:rtl/>
        </w:rPr>
        <w:t>מעולם לא נקבע כי בפעול</w:t>
      </w:r>
      <w:r w:rsidRPr="00F61878">
        <w:rPr>
          <w:rFonts w:hint="cs"/>
          <w:b/>
          <w:bCs/>
          <w:rtl/>
        </w:rPr>
        <w:t>ת צה"ל נפל פגם של אי תקינות או אי חוקיות</w:t>
      </w:r>
      <w:r>
        <w:rPr>
          <w:rFonts w:hint="cs"/>
          <w:rtl/>
        </w:rPr>
        <w:t>" (הדגשה במקור).</w:t>
      </w:r>
    </w:p>
    <w:p w:rsidR="008022B2" w:rsidP="0029607C">
      <w:pPr>
        <w:pStyle w:val="a18"/>
        <w:rPr>
          <w:rtl/>
        </w:rPr>
      </w:pPr>
      <w:r>
        <w:rPr>
          <w:rFonts w:hint="cs"/>
          <w:rtl/>
        </w:rPr>
        <w:t>המחלוקת המשפטית בדבר הפרשנות של החלטת ממשלה 849 משנת 1961, וסמכותו של הרמטכ"ל במתן ההגדלות בגינה, הובאה לשולחנו של משרד המשפטים עוד בשנת 2017 אך טרם הוכרעה. נוכח התמשכות הטיפול בסוגיה עד כה, מצופה כי ככל שתידרש הכרעה או החלטה עתידית בעניין זה על ידי פרקלי</w:t>
      </w:r>
      <w:r>
        <w:rPr>
          <w:rFonts w:hint="cs"/>
          <w:rtl/>
        </w:rPr>
        <w:t xml:space="preserve">ט המדינה, זו תתקבל ללא שיהוי. </w:t>
      </w:r>
    </w:p>
    <w:p w:rsidR="008022B2" w:rsidP="0029607C">
      <w:pPr>
        <w:pStyle w:val="a18"/>
        <w:rPr>
          <w:rtl/>
        </w:rPr>
      </w:pPr>
      <w:r w:rsidRPr="004E629D">
        <w:rPr>
          <w:rFonts w:hint="cs"/>
          <w:rtl/>
        </w:rPr>
        <w:t xml:space="preserve">נוכח השיהוי בהסדרת הנושא, </w:t>
      </w:r>
      <w:r>
        <w:rPr>
          <w:rFonts w:hint="cs"/>
          <w:rtl/>
        </w:rPr>
        <w:t>ו</w:t>
      </w:r>
      <w:r w:rsidRPr="004E629D">
        <w:rPr>
          <w:rFonts w:hint="cs"/>
          <w:rtl/>
        </w:rPr>
        <w:t>נוכח הסכום</w:t>
      </w:r>
      <w:r>
        <w:rPr>
          <w:rFonts w:hint="cs"/>
          <w:rtl/>
        </w:rPr>
        <w:t xml:space="preserve"> המשמעותי של הגדלות הרמטכ"ל (</w:t>
      </w:r>
      <w:r w:rsidRPr="004E629D">
        <w:rPr>
          <w:rFonts w:hint="cs"/>
          <w:rtl/>
        </w:rPr>
        <w:t>כ-2</w:t>
      </w:r>
      <w:r>
        <w:rPr>
          <w:rFonts w:hint="cs"/>
          <w:rtl/>
        </w:rPr>
        <w:t>4</w:t>
      </w:r>
      <w:r w:rsidRPr="004E629D">
        <w:rPr>
          <w:rFonts w:hint="cs"/>
          <w:rtl/>
        </w:rPr>
        <w:t xml:space="preserve"> מ</w:t>
      </w:r>
      <w:r>
        <w:rPr>
          <w:rFonts w:hint="cs"/>
          <w:rtl/>
        </w:rPr>
        <w:t>י</w:t>
      </w:r>
      <w:r w:rsidRPr="004E629D">
        <w:rPr>
          <w:rFonts w:hint="cs"/>
          <w:rtl/>
        </w:rPr>
        <w:t>ל</w:t>
      </w:r>
      <w:r>
        <w:rPr>
          <w:rFonts w:hint="cs"/>
          <w:rtl/>
        </w:rPr>
        <w:t xml:space="preserve">יון </w:t>
      </w:r>
      <w:r w:rsidRPr="004E629D">
        <w:rPr>
          <w:rFonts w:hint="cs"/>
          <w:rtl/>
        </w:rPr>
        <w:t>ש"ח</w:t>
      </w:r>
      <w:r>
        <w:rPr>
          <w:rStyle w:val="FootnoteReference0"/>
          <w:b/>
          <w:bCs/>
          <w:rtl/>
        </w:rPr>
        <w:footnoteReference w:id="9"/>
      </w:r>
      <w:r w:rsidRPr="004E629D">
        <w:rPr>
          <w:rFonts w:hint="cs"/>
          <w:rtl/>
        </w:rPr>
        <w:t xml:space="preserve"> בגין מתן ההגדלות בשנת 2017, שהשפעתן המצטברת העתידית על תקציב המדינה</w:t>
      </w:r>
      <w:r>
        <w:rPr>
          <w:rFonts w:hint="cs"/>
          <w:rtl/>
        </w:rPr>
        <w:t xml:space="preserve"> הינה משמעותית</w:t>
      </w:r>
      <w:r w:rsidRPr="004E629D">
        <w:rPr>
          <w:rFonts w:hint="cs"/>
          <w:rtl/>
        </w:rPr>
        <w:t xml:space="preserve"> </w:t>
      </w:r>
      <w:r>
        <w:rPr>
          <w:rFonts w:hint="cs"/>
          <w:rtl/>
        </w:rPr>
        <w:t xml:space="preserve">וסכום סך ההגדלות לכלל פורשי צה"ל המשולמות כל שנה מסתכם בלמעלה ממיליארד ₪), </w:t>
      </w:r>
      <w:r w:rsidRPr="004E629D">
        <w:rPr>
          <w:rFonts w:hint="cs"/>
          <w:rtl/>
        </w:rPr>
        <w:t>ע</w:t>
      </w:r>
      <w:r>
        <w:rPr>
          <w:rFonts w:hint="cs"/>
          <w:rtl/>
        </w:rPr>
        <w:t xml:space="preserve">ל צה"ל ומשרדי הביטחון והאוצר לפעול להסדיר את הנושא בהקדם, ובמידת הצורך להביא את העניין לפני ראש הממשלה, שר האוצר ושר הביטחון כפי שהמליץ פרקליט המדינה. </w:t>
      </w:r>
    </w:p>
    <w:p w:rsidR="008022B2" w:rsidRPr="00851F71" w:rsidP="0029607C">
      <w:pPr>
        <w:pStyle w:val="316"/>
        <w:rPr>
          <w:rtl/>
        </w:rPr>
      </w:pPr>
      <w:r w:rsidRPr="00851F71">
        <w:rPr>
          <w:rFonts w:hint="eastAsia"/>
          <w:rtl/>
        </w:rPr>
        <w:t>פנסיית</w:t>
      </w:r>
      <w:r w:rsidRPr="00851F71">
        <w:rPr>
          <w:rtl/>
        </w:rPr>
        <w:t xml:space="preserve"> </w:t>
      </w:r>
      <w:r w:rsidRPr="00851F71">
        <w:rPr>
          <w:rFonts w:hint="eastAsia"/>
          <w:rtl/>
        </w:rPr>
        <w:t>גישור</w:t>
      </w:r>
    </w:p>
    <w:p w:rsidR="008022B2" w:rsidP="0029607C">
      <w:pPr>
        <w:pStyle w:val="100"/>
        <w:rPr>
          <w:rtl/>
        </w:rPr>
      </w:pPr>
      <w:r>
        <w:rPr>
          <w:rFonts w:hint="cs"/>
          <w:rtl/>
        </w:rPr>
        <w:t xml:space="preserve">הדוח הקודם סקר </w:t>
      </w:r>
      <w:r>
        <w:rPr>
          <w:rFonts w:hint="cs"/>
          <w:rtl/>
        </w:rPr>
        <w:t>את הסכם העקרונות מ-19.5.16 ליישום הסיכום התקציבי שנחתם בין משרד האוצר ומשרד הביטחון ב-24.11.15 (להלן - הסיכום התקציבי)</w:t>
      </w:r>
      <w:r>
        <w:rPr>
          <w:rStyle w:val="FootnoteReference0"/>
          <w:rtl/>
        </w:rPr>
        <w:footnoteReference w:id="10"/>
      </w:r>
      <w:r>
        <w:rPr>
          <w:rFonts w:hint="cs"/>
          <w:rtl/>
        </w:rPr>
        <w:t>. בהסכם העקרונות נקבע כי פנסיית הגישור תעוגן כהוראת שעה לשמונה שנים וממוצע פנסיית הגישור שתשולם לקצינים בשנה התשיעית לא יעלה על 12,000 ש"</w:t>
      </w:r>
      <w:r>
        <w:rPr>
          <w:rFonts w:hint="cs"/>
          <w:rtl/>
        </w:rPr>
        <w:t xml:space="preserve">ח לחודש (במחירי 2015); אם משרד הביטחון יחרוג מתנאי זה, אזי ייקבע בחקיקה כי שר האוצר מחויב עד סוף השנה התשיעית לקבוע תיקון שווה ערך לפנסיית גישור, ולפיו מתום השנה התשיעית יעמוד ממוצע פנסיית הגישור המשולמת על 12,000 ש"ח לחודש (במחירי 2015). </w:t>
      </w:r>
    </w:p>
    <w:p w:rsidR="008022B2" w:rsidP="0029607C">
      <w:pPr>
        <w:pStyle w:val="100"/>
        <w:rPr>
          <w:rtl/>
        </w:rPr>
      </w:pPr>
      <w:r>
        <w:rPr>
          <w:rFonts w:hint="cs"/>
          <w:rtl/>
        </w:rPr>
        <w:t>משרד מבקר המדינה</w:t>
      </w:r>
      <w:r>
        <w:rPr>
          <w:rFonts w:hint="cs"/>
          <w:rtl/>
        </w:rPr>
        <w:t xml:space="preserve"> ציין בדוח הקודם כי ראוי שצה"ל, משרד הביטחון ומשרד האוצר יקבעו אבני דרך למעקב שוטף על יישום הסיכום התקציבי והסכם העקרונות על מנת לאפשר מתן מענה בזמן סביר במקרים שבהם תהיה חריגה מהעמידה במגבלות שנקבעו [שם, ע"מ 73].</w:t>
      </w:r>
    </w:p>
    <w:p w:rsidR="008022B2" w:rsidP="0029607C">
      <w:pPr>
        <w:pStyle w:val="100"/>
        <w:rPr>
          <w:rtl/>
        </w:rPr>
      </w:pPr>
      <w:r>
        <w:rPr>
          <w:rFonts w:hint="cs"/>
          <w:rtl/>
        </w:rPr>
        <w:t xml:space="preserve">התיקון לחוק גמלאות צבא הקבע שפורסם במסגרת </w:t>
      </w:r>
      <w:r>
        <w:rPr>
          <w:rFonts w:hint="cs"/>
          <w:rtl/>
        </w:rPr>
        <w:t>חוק ההתייעלות הכלכלית (תיקוני חקיקה ליישום המדיניות הכלכלית לשנות התקציב 2017 ו-2018), התשע"ז-2016 (להלן - חוק ההתייעלות), עיגן בחקיקה את ההסדר שעליו הוסכם בין משרד הביטחון וצה"ל למשרד האוצר. בסעיף 37(6) לחוק ההתייעלות תוקן סעיף 67ו לחוק גמלאות צבא הקבע, ו</w:t>
      </w:r>
      <w:r>
        <w:rPr>
          <w:rFonts w:hint="cs"/>
          <w:rtl/>
        </w:rPr>
        <w:t xml:space="preserve">נקבע בו בין היתר כי: </w:t>
      </w:r>
    </w:p>
    <w:p w:rsidR="008022B2" w:rsidRPr="00DF0297" w:rsidP="00DF0297">
      <w:pPr>
        <w:pStyle w:val="a6"/>
        <w:ind w:left="397"/>
        <w:rPr>
          <w:rStyle w:val="default"/>
          <w:rFonts w:ascii="Tahoma" w:hAnsi="Tahoma" w:cs="Tahoma"/>
          <w:sz w:val="20"/>
          <w:szCs w:val="20"/>
          <w:rtl/>
        </w:rPr>
      </w:pPr>
      <w:r w:rsidRPr="00DF0297">
        <w:rPr>
          <w:rStyle w:val="default"/>
          <w:rFonts w:ascii="Tahoma" w:hAnsi="Tahoma" w:cs="Tahoma" w:hint="cs"/>
          <w:sz w:val="20"/>
          <w:szCs w:val="20"/>
          <w:rtl/>
        </w:rPr>
        <w:t>67ו.</w:t>
      </w:r>
      <w:r w:rsidR="00DF0297">
        <w:rPr>
          <w:rStyle w:val="default"/>
          <w:rFonts w:ascii="Tahoma" w:hAnsi="Tahoma" w:cs="Tahoma" w:hint="cs"/>
          <w:sz w:val="20"/>
          <w:szCs w:val="20"/>
          <w:rtl/>
        </w:rPr>
        <w:t xml:space="preserve">   </w:t>
      </w:r>
      <w:r w:rsidRPr="00DF0297">
        <w:rPr>
          <w:rStyle w:val="default"/>
          <w:rFonts w:ascii="Tahoma" w:hAnsi="Tahoma" w:cs="Tahoma" w:hint="cs"/>
          <w:sz w:val="20"/>
          <w:szCs w:val="20"/>
          <w:rtl/>
        </w:rPr>
        <w:t>(א)</w:t>
      </w:r>
      <w:r w:rsidRPr="00DF0297">
        <w:rPr>
          <w:rStyle w:val="default"/>
          <w:rFonts w:ascii="Tahoma" w:hAnsi="Tahoma" w:cs="Tahoma" w:hint="cs"/>
          <w:sz w:val="20"/>
          <w:szCs w:val="20"/>
          <w:rtl/>
        </w:rPr>
        <w:tab/>
        <w:t xml:space="preserve">שר הביטחון ושר האוצר (בסעיף זה </w:t>
      </w:r>
      <w:r w:rsidRPr="00DF0297">
        <w:rPr>
          <w:rStyle w:val="default"/>
          <w:rFonts w:ascii="Tahoma" w:hAnsi="Tahoma" w:cs="Tahoma"/>
          <w:sz w:val="20"/>
          <w:szCs w:val="20"/>
          <w:rtl/>
        </w:rPr>
        <w:t>–</w:t>
      </w:r>
      <w:r w:rsidRPr="00DF0297">
        <w:rPr>
          <w:rStyle w:val="default"/>
          <w:rFonts w:ascii="Tahoma" w:hAnsi="Tahoma" w:cs="Tahoma" w:hint="cs"/>
          <w:sz w:val="20"/>
          <w:szCs w:val="20"/>
          <w:rtl/>
        </w:rPr>
        <w:t xml:space="preserve"> השרים), באישור ועדה משותפת לוועדת החוץ והביטחון ולוועדת העבודה הרווחה והבריאות של הכנסת (בסעיף זה </w:t>
      </w:r>
      <w:r w:rsidRPr="00DF0297">
        <w:rPr>
          <w:rStyle w:val="default"/>
          <w:rFonts w:ascii="Tahoma" w:hAnsi="Tahoma" w:cs="Tahoma"/>
          <w:sz w:val="20"/>
          <w:szCs w:val="20"/>
          <w:rtl/>
        </w:rPr>
        <w:t>–</w:t>
      </w:r>
      <w:r w:rsidRPr="00DF0297">
        <w:rPr>
          <w:rStyle w:val="default"/>
          <w:rFonts w:ascii="Tahoma" w:hAnsi="Tahoma" w:cs="Tahoma" w:hint="cs"/>
          <w:sz w:val="20"/>
          <w:szCs w:val="20"/>
          <w:rtl/>
        </w:rPr>
        <w:t xml:space="preserve"> הוועדה), יקבעו זכאות לקצבת גישור לחייל חדש שפוטר עד יום י"א בטבת התשפ"ו (31 בדצמבר 2025) ו</w:t>
      </w:r>
      <w:r w:rsidRPr="00DF0297">
        <w:rPr>
          <w:rStyle w:val="default"/>
          <w:rFonts w:ascii="Tahoma" w:hAnsi="Tahoma" w:cs="Tahoma" w:hint="cs"/>
          <w:sz w:val="20"/>
          <w:szCs w:val="20"/>
          <w:rtl/>
        </w:rPr>
        <w:t>מתקיימים בו התנאים לפי סעיף קטן (ב), ואת תנאי קצבת הגישור; לעניין חייל חדש שהחל לשרת בשירות קבע לפני יום ג' בטבת התשע"ז (1 בינואר 2017) יכללו התקנות כאמור הוראות ותנאים בדבר תשלום סכום חד-פעמי נוסף על קצבת הגישור שישולם לקופת הגמל לקצבה של החייל החדש, סמוך</w:t>
      </w:r>
      <w:r w:rsidRPr="00DF0297">
        <w:rPr>
          <w:rStyle w:val="default"/>
          <w:rFonts w:ascii="Tahoma" w:hAnsi="Tahoma" w:cs="Tahoma" w:hint="cs"/>
          <w:sz w:val="20"/>
          <w:szCs w:val="20"/>
          <w:rtl/>
        </w:rPr>
        <w:t xml:space="preserve"> לפני תחילת זכאותו לקצבה מקופת הגמל לקצבה.</w:t>
      </w:r>
    </w:p>
    <w:p w:rsidR="008022B2" w:rsidRPr="00EF1679" w:rsidP="00A435A2">
      <w:pPr>
        <w:pStyle w:val="100"/>
        <w:rPr>
          <w:rtl/>
        </w:rPr>
      </w:pPr>
      <w:r w:rsidRPr="00A435A2">
        <w:rPr>
          <w:rFonts w:hint="cs"/>
          <w:rtl/>
        </w:rPr>
        <w:t>סעיף 38 לחוק ההתייעלות קובע</w:t>
      </w:r>
      <w:r w:rsidRPr="000A1CD2">
        <w:rPr>
          <w:rStyle w:val="default"/>
          <w:rFonts w:cs="David" w:hint="cs"/>
          <w:sz w:val="24"/>
          <w:szCs w:val="24"/>
          <w:rtl/>
        </w:rPr>
        <w:t xml:space="preserve"> </w:t>
      </w:r>
      <w:r w:rsidRPr="00A435A2">
        <w:rPr>
          <w:rFonts w:hint="cs"/>
          <w:rtl/>
        </w:rPr>
        <w:t>כי תקנות ראשונות ליישום הסעיף יותקנו עד 1.6.17</w:t>
      </w:r>
      <w:r>
        <w:rPr>
          <w:rStyle w:val="FootnoteReference0"/>
          <w:rtl/>
        </w:rPr>
        <w:footnoteReference w:id="11"/>
      </w:r>
      <w:r>
        <w:rPr>
          <w:rStyle w:val="default"/>
          <w:rFonts w:cs="David" w:hint="cs"/>
          <w:sz w:val="24"/>
          <w:szCs w:val="24"/>
          <w:rtl/>
        </w:rPr>
        <w:t>.</w:t>
      </w:r>
      <w:r w:rsidRPr="000A1CD2">
        <w:rPr>
          <w:rFonts w:hint="cs"/>
          <w:rtl/>
        </w:rPr>
        <w:t xml:space="preserve"> באשר ליתר גופי הביטחון, סעיף 108ז לחוק שירות המדינה</w:t>
      </w:r>
      <w:r>
        <w:rPr>
          <w:rFonts w:hint="cs"/>
          <w:rtl/>
        </w:rPr>
        <w:t xml:space="preserve"> </w:t>
      </w:r>
      <w:r w:rsidRPr="000A1CD2">
        <w:rPr>
          <w:rFonts w:hint="cs"/>
          <w:rtl/>
        </w:rPr>
        <w:t xml:space="preserve">(גמלאות) </w:t>
      </w:r>
      <w:r>
        <w:rPr>
          <w:rFonts w:hint="cs"/>
          <w:rtl/>
        </w:rPr>
        <w:t xml:space="preserve">[נוסח משולב], התש"ל-1970 (להלן - חוק שירות המדינה (גמלאות) </w:t>
      </w:r>
      <w:r w:rsidRPr="000A1CD2">
        <w:rPr>
          <w:rFonts w:hint="cs"/>
          <w:rtl/>
        </w:rPr>
        <w:t xml:space="preserve">מסמיך את שר </w:t>
      </w:r>
      <w:r w:rsidRPr="000A1CD2">
        <w:rPr>
          <w:rFonts w:hint="cs"/>
          <w:rtl/>
        </w:rPr>
        <w:t>האוצר באישור ועדת הכספים של הכנסת, להתקין תקנות בעניין "תשלום גמלאות לעובד ביטחון חדש שפרש לפני גיל הפרישה כהגדרתו בחו</w:t>
      </w:r>
      <w:r>
        <w:rPr>
          <w:rFonts w:hint="cs"/>
          <w:rtl/>
        </w:rPr>
        <w:t>ק</w:t>
      </w:r>
      <w:r w:rsidRPr="000A1CD2">
        <w:rPr>
          <w:rFonts w:hint="cs"/>
          <w:rtl/>
        </w:rPr>
        <w:t xml:space="preserve"> גיל פרישה, התשס"ד-2004" - תשלומים שנהוג לכנות "פנסיית הגישור". </w:t>
      </w:r>
      <w:r>
        <w:rPr>
          <w:rFonts w:hint="cs"/>
          <w:rtl/>
        </w:rPr>
        <w:t>בנוגע ל</w:t>
      </w:r>
      <w:r w:rsidRPr="000A1CD2">
        <w:rPr>
          <w:rFonts w:hint="cs"/>
          <w:rtl/>
        </w:rPr>
        <w:t>ארגוני הביטחון הכפופים לראש הממשלה</w:t>
      </w:r>
      <w:r>
        <w:rPr>
          <w:rFonts w:hint="cs"/>
          <w:rtl/>
        </w:rPr>
        <w:t xml:space="preserve"> </w:t>
      </w:r>
      <w:r w:rsidRPr="000A1CD2">
        <w:rPr>
          <w:rFonts w:hint="cs"/>
          <w:rtl/>
        </w:rPr>
        <w:t>החוק קובע כי התקנות יותקנו בהתי</w:t>
      </w:r>
      <w:r w:rsidRPr="000A1CD2">
        <w:rPr>
          <w:rFonts w:hint="cs"/>
          <w:rtl/>
        </w:rPr>
        <w:t>יעצ</w:t>
      </w:r>
      <w:r>
        <w:rPr>
          <w:rFonts w:hint="cs"/>
          <w:rtl/>
        </w:rPr>
        <w:t xml:space="preserve">ות עם ראש הממשלה, ובמשטרה ובשירות בתי הסוהר יותקנו התקנות בהתייעצות עם השר לביטחון פנים. </w:t>
      </w:r>
    </w:p>
    <w:p w:rsidR="008022B2" w:rsidP="00A435A2">
      <w:pPr>
        <w:pStyle w:val="a18"/>
        <w:rPr>
          <w:rtl/>
        </w:rPr>
      </w:pPr>
      <w:r>
        <w:rPr>
          <w:rFonts w:hint="cs"/>
          <w:rtl/>
        </w:rPr>
        <w:t>ה</w:t>
      </w:r>
      <w:r w:rsidRPr="006208A4">
        <w:rPr>
          <w:rFonts w:hint="eastAsia"/>
          <w:rtl/>
        </w:rPr>
        <w:t>הסדרי</w:t>
      </w:r>
      <w:r>
        <w:rPr>
          <w:rFonts w:hint="cs"/>
          <w:rtl/>
        </w:rPr>
        <w:t>ם בדבר</w:t>
      </w:r>
      <w:r w:rsidRPr="006208A4">
        <w:rPr>
          <w:rtl/>
        </w:rPr>
        <w:t xml:space="preserve"> </w:t>
      </w:r>
      <w:r>
        <w:rPr>
          <w:rFonts w:hint="cs"/>
          <w:rtl/>
        </w:rPr>
        <w:t xml:space="preserve">פנסיית </w:t>
      </w:r>
      <w:r w:rsidRPr="006208A4">
        <w:rPr>
          <w:rFonts w:hint="eastAsia"/>
          <w:rtl/>
        </w:rPr>
        <w:t>גישור</w:t>
      </w:r>
      <w:r w:rsidRPr="006208A4">
        <w:rPr>
          <w:rtl/>
        </w:rPr>
        <w:t xml:space="preserve"> </w:t>
      </w:r>
      <w:r w:rsidRPr="006208A4">
        <w:rPr>
          <w:rFonts w:hint="eastAsia"/>
          <w:rtl/>
        </w:rPr>
        <w:t>לכוחות</w:t>
      </w:r>
      <w:r w:rsidRPr="006208A4">
        <w:rPr>
          <w:rtl/>
        </w:rPr>
        <w:t xml:space="preserve"> </w:t>
      </w:r>
      <w:r w:rsidRPr="006208A4">
        <w:rPr>
          <w:rFonts w:hint="eastAsia"/>
          <w:rtl/>
        </w:rPr>
        <w:t>הביטחון</w:t>
      </w:r>
      <w:r>
        <w:rPr>
          <w:rFonts w:hint="cs"/>
          <w:rtl/>
        </w:rPr>
        <w:t>,</w:t>
      </w:r>
      <w:r w:rsidRPr="006208A4">
        <w:rPr>
          <w:rtl/>
        </w:rPr>
        <w:t xml:space="preserve"> </w:t>
      </w:r>
      <w:r w:rsidRPr="006208A4">
        <w:rPr>
          <w:rFonts w:hint="eastAsia"/>
          <w:rtl/>
        </w:rPr>
        <w:t>ובכללם</w:t>
      </w:r>
      <w:r w:rsidRPr="006208A4">
        <w:rPr>
          <w:rtl/>
        </w:rPr>
        <w:t xml:space="preserve"> </w:t>
      </w:r>
      <w:r w:rsidRPr="006208A4">
        <w:rPr>
          <w:rFonts w:hint="eastAsia"/>
          <w:rtl/>
        </w:rPr>
        <w:t>צה</w:t>
      </w:r>
      <w:r w:rsidRPr="006208A4">
        <w:rPr>
          <w:rtl/>
        </w:rPr>
        <w:t xml:space="preserve">"ל, </w:t>
      </w:r>
      <w:r w:rsidRPr="006208A4">
        <w:rPr>
          <w:rFonts w:hint="eastAsia"/>
          <w:rtl/>
        </w:rPr>
        <w:t>המוסד</w:t>
      </w:r>
      <w:r w:rsidRPr="006208A4">
        <w:rPr>
          <w:rtl/>
        </w:rPr>
        <w:t xml:space="preserve">, </w:t>
      </w:r>
      <w:r>
        <w:rPr>
          <w:rFonts w:hint="cs"/>
          <w:rtl/>
        </w:rPr>
        <w:t>שירות הביטחון הכללי (להלן - שב"כ)</w:t>
      </w:r>
      <w:r w:rsidRPr="006208A4">
        <w:rPr>
          <w:rtl/>
        </w:rPr>
        <w:t xml:space="preserve">, </w:t>
      </w:r>
      <w:r w:rsidRPr="006208A4">
        <w:rPr>
          <w:rFonts w:hint="eastAsia"/>
          <w:rtl/>
        </w:rPr>
        <w:t>המשטרה</w:t>
      </w:r>
      <w:r w:rsidRPr="006208A4">
        <w:rPr>
          <w:rtl/>
        </w:rPr>
        <w:t xml:space="preserve"> </w:t>
      </w:r>
      <w:r>
        <w:rPr>
          <w:rFonts w:hint="eastAsia"/>
          <w:rtl/>
        </w:rPr>
        <w:t>ו</w:t>
      </w:r>
      <w:r>
        <w:rPr>
          <w:rFonts w:hint="cs"/>
          <w:rtl/>
        </w:rPr>
        <w:t>שירות בתי הסוהר</w:t>
      </w:r>
      <w:r w:rsidRPr="006208A4">
        <w:rPr>
          <w:rtl/>
        </w:rPr>
        <w:t>,</w:t>
      </w:r>
      <w:r>
        <w:rPr>
          <w:rFonts w:hint="cs"/>
          <w:rtl/>
        </w:rPr>
        <w:t xml:space="preserve"> היו</w:t>
      </w:r>
      <w:r w:rsidRPr="006208A4">
        <w:rPr>
          <w:rtl/>
        </w:rPr>
        <w:t xml:space="preserve"> </w:t>
      </w:r>
      <w:r w:rsidRPr="006208A4">
        <w:rPr>
          <w:rFonts w:hint="eastAsia"/>
          <w:rtl/>
        </w:rPr>
        <w:t>צריכים</w:t>
      </w:r>
      <w:r>
        <w:rPr>
          <w:rFonts w:hint="cs"/>
          <w:rtl/>
        </w:rPr>
        <w:t xml:space="preserve"> </w:t>
      </w:r>
      <w:r w:rsidRPr="006208A4">
        <w:rPr>
          <w:rFonts w:hint="eastAsia"/>
          <w:rtl/>
        </w:rPr>
        <w:t>להיקבע</w:t>
      </w:r>
      <w:r w:rsidRPr="006208A4">
        <w:rPr>
          <w:rtl/>
        </w:rPr>
        <w:t xml:space="preserve"> </w:t>
      </w:r>
      <w:r w:rsidRPr="006208A4">
        <w:rPr>
          <w:rFonts w:hint="eastAsia"/>
          <w:rtl/>
        </w:rPr>
        <w:t>בתקנות</w:t>
      </w:r>
      <w:r>
        <w:rPr>
          <w:rFonts w:hint="cs"/>
          <w:rtl/>
        </w:rPr>
        <w:t>. עד מועד סיום בי</w:t>
      </w:r>
      <w:r>
        <w:rPr>
          <w:rFonts w:hint="cs"/>
          <w:rtl/>
        </w:rPr>
        <w:t>קורת המעקב,</w:t>
      </w:r>
      <w:r w:rsidRPr="006208A4">
        <w:rPr>
          <w:rtl/>
        </w:rPr>
        <w:t xml:space="preserve"> </w:t>
      </w:r>
      <w:r>
        <w:rPr>
          <w:rFonts w:hint="cs"/>
          <w:rtl/>
        </w:rPr>
        <w:t>לא התקין משרד האוצר תקנות לפי סעיף 108ז לחוק שירות המדינה (גמלאות)</w:t>
      </w:r>
      <w:r w:rsidRPr="006208A4">
        <w:rPr>
          <w:rtl/>
        </w:rPr>
        <w:t xml:space="preserve">. </w:t>
      </w:r>
      <w:r>
        <w:rPr>
          <w:rFonts w:hint="cs"/>
          <w:rtl/>
        </w:rPr>
        <w:t xml:space="preserve">כמו כן, משרד הביטחון ומשרד האוצר לא התקינו תקנות לפי סעיף 67ו לחוק גמלאות צבא הקבע, חרף ההוראה החוקית המחייבת התקנתן עד 1.6.17 כאמור. </w:t>
      </w:r>
    </w:p>
    <w:p w:rsidR="008022B2" w:rsidP="00A435A2">
      <w:pPr>
        <w:pStyle w:val="100"/>
        <w:rPr>
          <w:rtl/>
        </w:rPr>
      </w:pPr>
      <w:r w:rsidRPr="00D87162">
        <w:rPr>
          <w:rFonts w:hint="cs"/>
          <w:rtl/>
        </w:rPr>
        <w:t>בסיכום דיון שהתקיים ב-30.11.17 בלשכת היוע</w:t>
      </w:r>
      <w:r w:rsidRPr="00D87162">
        <w:rPr>
          <w:rFonts w:hint="cs"/>
          <w:rtl/>
        </w:rPr>
        <w:t xml:space="preserve">ץ המשפטי לממשלה (ציבורי-חוקתי) </w:t>
      </w:r>
      <w:r>
        <w:rPr>
          <w:rFonts w:hint="cs"/>
          <w:rtl/>
        </w:rPr>
        <w:t xml:space="preserve">בהשתתפות נציגים ממשרדי המשפטים והאוצר ומצה"ל </w:t>
      </w:r>
      <w:r w:rsidRPr="00D87162">
        <w:rPr>
          <w:rFonts w:hint="cs"/>
          <w:rtl/>
        </w:rPr>
        <w:t>נכתב כי "מצב העניינים שבו תקנות הגישור עדיין לא הותקנו יוצר אי וודאות רבה בקרב מי מהפורשים ומן הרא</w:t>
      </w:r>
      <w:r>
        <w:rPr>
          <w:rFonts w:hint="cs"/>
          <w:rtl/>
        </w:rPr>
        <w:t xml:space="preserve">וי לסיים מצב זה בהקדם האפשרי". </w:t>
      </w:r>
      <w:r w:rsidRPr="00D87162">
        <w:rPr>
          <w:rFonts w:hint="cs"/>
          <w:rtl/>
        </w:rPr>
        <w:t>על כן</w:t>
      </w:r>
      <w:r>
        <w:rPr>
          <w:rFonts w:hint="cs"/>
          <w:rtl/>
        </w:rPr>
        <w:t>,</w:t>
      </w:r>
      <w:r w:rsidRPr="00D87162">
        <w:rPr>
          <w:rFonts w:hint="cs"/>
          <w:rtl/>
        </w:rPr>
        <w:t xml:space="preserve"> </w:t>
      </w:r>
      <w:r>
        <w:rPr>
          <w:rFonts w:hint="cs"/>
          <w:rtl/>
        </w:rPr>
        <w:t>בסיכום הדיון</w:t>
      </w:r>
      <w:r w:rsidRPr="00D87162">
        <w:rPr>
          <w:rFonts w:hint="cs"/>
          <w:rtl/>
        </w:rPr>
        <w:t xml:space="preserve"> התבקשו משרד</w:t>
      </w:r>
      <w:r>
        <w:rPr>
          <w:rFonts w:hint="cs"/>
          <w:rtl/>
        </w:rPr>
        <w:t>י</w:t>
      </w:r>
      <w:r w:rsidRPr="00D87162">
        <w:rPr>
          <w:rFonts w:hint="cs"/>
          <w:rtl/>
        </w:rPr>
        <w:t xml:space="preserve"> האוצר והביטחון להש</w:t>
      </w:r>
      <w:r w:rsidRPr="00D87162">
        <w:rPr>
          <w:rFonts w:hint="cs"/>
          <w:rtl/>
        </w:rPr>
        <w:t>לים בהקדם האפשרי את התקנת תקנות הגישור כמתחייב גם מסעיף 38 לחוק ההתייעלות</w:t>
      </w:r>
      <w:r>
        <w:rPr>
          <w:rFonts w:hint="cs"/>
          <w:rtl/>
        </w:rPr>
        <w:t>,</w:t>
      </w:r>
      <w:r w:rsidRPr="00D87162">
        <w:rPr>
          <w:rFonts w:hint="cs"/>
          <w:rtl/>
        </w:rPr>
        <w:t xml:space="preserve"> שלפיו התקנת </w:t>
      </w:r>
      <w:r w:rsidRPr="00D87162">
        <w:rPr>
          <w:rFonts w:hint="cs"/>
          <w:rtl/>
        </w:rPr>
        <w:t xml:space="preserve">התקנות </w:t>
      </w:r>
      <w:r w:rsidRPr="00D87162">
        <w:rPr>
          <w:rFonts w:hint="eastAsia"/>
          <w:rtl/>
        </w:rPr>
        <w:t>הייתה</w:t>
      </w:r>
      <w:r w:rsidRPr="00D87162">
        <w:rPr>
          <w:rtl/>
        </w:rPr>
        <w:t xml:space="preserve"> </w:t>
      </w:r>
      <w:r w:rsidRPr="00D87162">
        <w:rPr>
          <w:rFonts w:hint="eastAsia"/>
          <w:rtl/>
        </w:rPr>
        <w:t>צ</w:t>
      </w:r>
      <w:r w:rsidRPr="00D87162">
        <w:rPr>
          <w:rFonts w:hint="cs"/>
          <w:rtl/>
        </w:rPr>
        <w:t xml:space="preserve">ריכה להסתיים </w:t>
      </w:r>
      <w:r>
        <w:rPr>
          <w:rFonts w:hint="cs"/>
          <w:rtl/>
        </w:rPr>
        <w:t>עד 1.6.17</w:t>
      </w:r>
      <w:r w:rsidRPr="00D87162">
        <w:rPr>
          <w:rFonts w:hint="cs"/>
          <w:rtl/>
        </w:rPr>
        <w:t>. משרד האוצר התבקש גם להשלים בהקדם האפשרי את התקנת תקנו</w:t>
      </w:r>
      <w:r>
        <w:rPr>
          <w:rFonts w:hint="cs"/>
          <w:rtl/>
        </w:rPr>
        <w:t>ת הגישור לגבי יתר גופי הביטחון (</w:t>
      </w:r>
      <w:r w:rsidRPr="00D87162">
        <w:rPr>
          <w:rFonts w:hint="cs"/>
          <w:rtl/>
        </w:rPr>
        <w:t>מתוקף חוק שירות המדינה (גמלאות)</w:t>
      </w:r>
      <w:r>
        <w:rPr>
          <w:rFonts w:hint="cs"/>
          <w:rtl/>
        </w:rPr>
        <w:t>)</w:t>
      </w:r>
      <w:r w:rsidRPr="00D87162">
        <w:rPr>
          <w:rFonts w:hint="cs"/>
          <w:rtl/>
        </w:rPr>
        <w:t xml:space="preserve">. </w:t>
      </w:r>
      <w:r>
        <w:rPr>
          <w:rFonts w:hint="cs"/>
          <w:rtl/>
        </w:rPr>
        <w:t xml:space="preserve">זאת ועוד, </w:t>
      </w:r>
      <w:r w:rsidRPr="00D87162">
        <w:rPr>
          <w:rFonts w:hint="cs"/>
          <w:rtl/>
        </w:rPr>
        <w:t xml:space="preserve">בסיכום דיון בנושא זה שהתקיים בלשכת היועץ המשפטי לממשלה ב-14.2.18 הנחה היועץ המשפטי לממשלה את היועץ המשפטי של משרד האוצר לעדכן את משרד המשפטים עד 5.4.18 בכל הנוגע להתקדמות הליכי </w:t>
      </w:r>
      <w:r>
        <w:rPr>
          <w:rFonts w:hint="cs"/>
          <w:rtl/>
        </w:rPr>
        <w:t xml:space="preserve">התקנת תקנות הגישור הן בנוגע </w:t>
      </w:r>
      <w:r w:rsidRPr="00D87162">
        <w:rPr>
          <w:rFonts w:hint="cs"/>
          <w:rtl/>
        </w:rPr>
        <w:t xml:space="preserve">לצה"ל </w:t>
      </w:r>
      <w:r w:rsidRPr="00D87162">
        <w:rPr>
          <w:rFonts w:hint="eastAsia"/>
          <w:rtl/>
        </w:rPr>
        <w:t>כמתחייב</w:t>
      </w:r>
      <w:r w:rsidRPr="00D87162">
        <w:rPr>
          <w:rFonts w:hint="cs"/>
          <w:rtl/>
        </w:rPr>
        <w:t xml:space="preserve"> מסעיף 38 לחוק ההתייעלות</w:t>
      </w:r>
      <w:r>
        <w:rPr>
          <w:rFonts w:hint="cs"/>
          <w:rtl/>
        </w:rPr>
        <w:t xml:space="preserve"> </w:t>
      </w:r>
      <w:r w:rsidRPr="00D87162">
        <w:rPr>
          <w:rFonts w:hint="cs"/>
          <w:rtl/>
        </w:rPr>
        <w:t>והן ב</w:t>
      </w:r>
      <w:r>
        <w:rPr>
          <w:rFonts w:hint="cs"/>
          <w:rtl/>
        </w:rPr>
        <w:t>נוגע</w:t>
      </w:r>
      <w:r w:rsidRPr="00D87162">
        <w:rPr>
          <w:rFonts w:hint="cs"/>
          <w:rtl/>
        </w:rPr>
        <w:t xml:space="preserve"> לית</w:t>
      </w:r>
      <w:r w:rsidRPr="00D87162">
        <w:rPr>
          <w:rFonts w:hint="cs"/>
          <w:rtl/>
        </w:rPr>
        <w:t>ר גופי מערכת הביטחון.</w:t>
      </w:r>
    </w:p>
    <w:p w:rsidR="008022B2" w:rsidP="00A435A2">
      <w:pPr>
        <w:pStyle w:val="100"/>
        <w:rPr>
          <w:rtl/>
        </w:rPr>
      </w:pPr>
      <w:r>
        <w:rPr>
          <w:rFonts w:hint="cs"/>
          <w:rtl/>
        </w:rPr>
        <w:t xml:space="preserve">במכתבו למשנה ליועץ המשפטי לממשלה מיום 27.9.17 כתב היועץ המשפטי של משרד האוצר כי "ניתן לבחון מתן מקדמות בגובה הקצבה הנמוכה ביותר שצפויה להשתלם בהתאם להסדרים החדשים, בכפוף למתן התחייבות של הפורשים על כך שמדובר במקדמות בלבד, ועל כן יכול </w:t>
      </w:r>
      <w:r>
        <w:rPr>
          <w:rFonts w:hint="cs"/>
          <w:rtl/>
        </w:rPr>
        <w:t>והם יידרשו להשיב כספים בעתיד, כולם או חלקם, ככל שהמקדמה תעלה על הקצבה שיוחלט שתגיע להם בפועל, בהתאם לתקנות".</w:t>
      </w:r>
    </w:p>
    <w:p w:rsidR="008022B2" w:rsidP="00A435A2">
      <w:pPr>
        <w:pStyle w:val="100"/>
        <w:rPr>
          <w:rtl/>
        </w:rPr>
      </w:pPr>
      <w:r>
        <w:rPr>
          <w:rFonts w:hint="cs"/>
          <w:rtl/>
        </w:rPr>
        <w:t xml:space="preserve">השאלה בדבר תשלום פנסיית גישור לכוחות הביטחון עד שיותקנו התקנות כאמור הונחה על שולחנו של המשנה ליועץ המשפטי לממשלה (ציבורי-חוקתי), ובעקבות השגות של </w:t>
      </w:r>
      <w:r>
        <w:rPr>
          <w:rFonts w:hint="cs"/>
          <w:rtl/>
        </w:rPr>
        <w:t>משרד האוצר הכריע בסוגיה היועץ המשפטי לממשלה</w:t>
      </w:r>
      <w:r>
        <w:rPr>
          <w:rStyle w:val="FootnoteReference0"/>
          <w:rtl/>
        </w:rPr>
        <w:footnoteReference w:id="12"/>
      </w:r>
      <w:r>
        <w:rPr>
          <w:rFonts w:hint="cs"/>
          <w:rtl/>
        </w:rPr>
        <w:t xml:space="preserve">. </w:t>
      </w:r>
    </w:p>
    <w:p w:rsidR="008022B2" w:rsidP="00A435A2">
      <w:pPr>
        <w:pStyle w:val="100"/>
        <w:rPr>
          <w:rtl/>
        </w:rPr>
      </w:pPr>
      <w:r>
        <w:rPr>
          <w:rFonts w:hint="cs"/>
          <w:rtl/>
        </w:rPr>
        <w:t>המשנה ליועץ המשפטי (ציבורי-חוקתי) הכריע בדיון מ-30.11.17 בעניין המשטרה, שירות בתי הסוהר, המוסד ושב"כ, כי כל מי שפרש עד מועד החלטתו (19.12.17) ימשיך לקבל את פנסיית הגישור כפי שהוא קיבל עד כה, וכן גם מי שנמצא בח</w:t>
      </w:r>
      <w:r>
        <w:rPr>
          <w:rFonts w:hint="cs"/>
          <w:rtl/>
        </w:rPr>
        <w:t>ופשת פרישה או החל בפועל בהליכי פרישה. במשטרה ובשירות בתי הסוהר, יוכרו פנסיית הגישור ששולמה עד כה ופנסיות הגישור שישולמו עד התקנת התקנות כמקדמות בלבד, משום שאין כל סיכום בכתב לגביהן.</w:t>
      </w:r>
    </w:p>
    <w:p w:rsidR="008022B2" w:rsidP="00A435A2">
      <w:pPr>
        <w:pStyle w:val="100"/>
        <w:rPr>
          <w:rtl/>
        </w:rPr>
      </w:pPr>
      <w:r>
        <w:rPr>
          <w:rFonts w:hint="cs"/>
          <w:rtl/>
        </w:rPr>
        <w:t>המשנה הוסיף וקבע כי כל מי שמתחיל בהליכי פרישה מכל אחד מהגופים האמורים (למע</w:t>
      </w:r>
      <w:r>
        <w:rPr>
          <w:rFonts w:hint="cs"/>
          <w:rtl/>
        </w:rPr>
        <w:t xml:space="preserve">ט צה"ל) לאחר 19.12.17, ייקבעו הסדרי הגישור בעניינו בשיח בין משרד האוצר לגופים הרלוונטיים, ובמסגרתו "יישקלו כלל השיקולים הנוגעים בדבר, ובכלל זה תנאי הסכם 2015 שנחתם עם צה"ל" וכי "התשלומים שישולמו ייחשבו כמקדמות". </w:t>
      </w:r>
    </w:p>
    <w:p w:rsidR="008022B2" w:rsidP="00A435A2">
      <w:pPr>
        <w:pStyle w:val="100"/>
        <w:rPr>
          <w:rtl/>
        </w:rPr>
      </w:pPr>
      <w:r>
        <w:rPr>
          <w:rFonts w:hint="cs"/>
          <w:rtl/>
        </w:rPr>
        <w:t>לגבי צה"ל קבע המשנה כי התשלומים בגין פנסיית</w:t>
      </w:r>
      <w:r>
        <w:rPr>
          <w:rFonts w:hint="cs"/>
          <w:rtl/>
        </w:rPr>
        <w:t xml:space="preserve"> הגישור צריכים להיעשות לפי הסיכום התקציבי משנת 2015, והתשלומים ששולמו לאחר 19.12.17 ועד התקנת התקנות ייחשבו כמקדמות. המשנה המליץ כי כל המקדמות שישולמו בכל גופי הביטחון לא יוחזרו לאוצר המדינה, והדבר ייקבע בתקנות. </w:t>
      </w:r>
    </w:p>
    <w:p w:rsidR="008022B2" w:rsidP="00A435A2">
      <w:pPr>
        <w:pStyle w:val="100"/>
        <w:rPr>
          <w:rtl/>
        </w:rPr>
      </w:pPr>
      <w:r>
        <w:rPr>
          <w:rFonts w:hint="cs"/>
          <w:rtl/>
        </w:rPr>
        <w:t>בדיון מ-14.2.18 קיבל היועץ המשפטי לממשלה את</w:t>
      </w:r>
      <w:r>
        <w:rPr>
          <w:rFonts w:hint="cs"/>
          <w:rtl/>
        </w:rPr>
        <w:t xml:space="preserve"> הכרעתו של המשנה לעניין כוחות הביטחון וצה"ל. </w:t>
      </w:r>
    </w:p>
    <w:p w:rsidR="008022B2" w:rsidP="00A435A2">
      <w:pPr>
        <w:pStyle w:val="100"/>
        <w:rPr>
          <w:rtl/>
        </w:rPr>
      </w:pPr>
      <w:r>
        <w:rPr>
          <w:rFonts w:hint="cs"/>
          <w:rtl/>
        </w:rPr>
        <w:t xml:space="preserve">אשר לפורשי צה"ל קבע היועץ כי: "פנסיית הגישור צריכה להשתלם לפי הסיכום התקציבי בנושא תקציב הביטחון מיום 24.11.15 ... אשר אומץ בהחלטת ממשלה... בין לגבי מי שפרשו מאז הסיכום התקציבי ועד עתה ובין לגבי מי שיפרשו מכאן </w:t>
      </w:r>
      <w:r>
        <w:rPr>
          <w:rFonts w:hint="cs"/>
          <w:rtl/>
        </w:rPr>
        <w:t xml:space="preserve">ולהבא ועד להתקנות התקנות. </w:t>
      </w:r>
      <w:r>
        <w:rPr>
          <w:rFonts w:hint="cs"/>
          <w:rtl/>
        </w:rPr>
        <w:t>התשלומים שישולמו למי שהחל בפועל בהליכי פרישה לאחר הכרעתו של המשנה... ייחשבו כמקדמות."</w:t>
      </w:r>
    </w:p>
    <w:p w:rsidR="008022B2" w:rsidP="00A435A2">
      <w:pPr>
        <w:pStyle w:val="100"/>
        <w:rPr>
          <w:rtl/>
        </w:rPr>
      </w:pPr>
      <w:r>
        <w:rPr>
          <w:rFonts w:hint="cs"/>
          <w:rtl/>
        </w:rPr>
        <w:t>בנוגע למענק הגישור לאנשי הקבע שיחלו בהליכי פרישה אחרי 19.12.17 ציין היועץ כי הובא לידיעתו במכתב ממנכ"ל משרד הביטחון כי המנכ"ל הורה על הפסקת המענ</w:t>
      </w:r>
      <w:r>
        <w:rPr>
          <w:rFonts w:hint="cs"/>
          <w:rtl/>
        </w:rPr>
        <w:t>קים עד לסיכום התקנות בנושא, ולפיכך הדיון בסוגיה זו</w:t>
      </w:r>
      <w:r w:rsidRPr="00D47E04">
        <w:rPr>
          <w:rFonts w:hint="cs"/>
          <w:rtl/>
        </w:rPr>
        <w:t xml:space="preserve"> </w:t>
      </w:r>
      <w:r>
        <w:rPr>
          <w:rFonts w:hint="cs"/>
          <w:rtl/>
        </w:rPr>
        <w:t xml:space="preserve">מתייתר. </w:t>
      </w:r>
    </w:p>
    <w:p w:rsidR="008022B2" w:rsidP="00A435A2">
      <w:pPr>
        <w:pStyle w:val="100"/>
        <w:rPr>
          <w:rtl/>
        </w:rPr>
      </w:pPr>
      <w:r>
        <w:rPr>
          <w:rFonts w:hint="cs"/>
          <w:rtl/>
        </w:rPr>
        <w:t>משרד המשפטים מסר למשרד מבקר המדינה במכתבו מ-23.10.18 כי "תשלום המקדמות היה הכרחי לאור העיכוב הרב בהתקנת תקנות הגישור שיצר מצב שבו החלה פרישה של משרתים שאין להם פנסייה תקציבית. הדבר יצר קושי הן כאש</w:t>
      </w:r>
      <w:r>
        <w:rPr>
          <w:rFonts w:hint="cs"/>
          <w:rtl/>
        </w:rPr>
        <w:t>ר הפרישה הייתה כפויה (צה"ל), והן כאשר הפרישה הייתה רצונית (בעיקר בשב"כ ובמוסד)". עוד צוין שגם היועץ המשפטי של משרד האוצר הסכים בנסיבות העניין לתשלום המקדמות.</w:t>
      </w:r>
    </w:p>
    <w:p w:rsidR="008022B2" w:rsidP="00D0156F">
      <w:pPr>
        <w:pStyle w:val="a18"/>
        <w:rPr>
          <w:rtl/>
        </w:rPr>
      </w:pPr>
      <w:r w:rsidRPr="00C352EB">
        <w:rPr>
          <w:rFonts w:hint="eastAsia"/>
          <w:rtl/>
        </w:rPr>
        <w:t>ב</w:t>
      </w:r>
      <w:r>
        <w:rPr>
          <w:rFonts w:hint="cs"/>
          <w:rtl/>
        </w:rPr>
        <w:t>ביקור</w:t>
      </w:r>
      <w:r w:rsidRPr="00C352EB">
        <w:rPr>
          <w:rFonts w:hint="eastAsia"/>
          <w:rtl/>
        </w:rPr>
        <w:t>ת</w:t>
      </w:r>
      <w:r w:rsidRPr="00C352EB">
        <w:rPr>
          <w:rtl/>
        </w:rPr>
        <w:t xml:space="preserve"> </w:t>
      </w:r>
      <w:r w:rsidRPr="00C352EB">
        <w:rPr>
          <w:rFonts w:hint="eastAsia"/>
          <w:rtl/>
        </w:rPr>
        <w:t>המעקב</w:t>
      </w:r>
      <w:r w:rsidRPr="00C352EB">
        <w:rPr>
          <w:rtl/>
        </w:rPr>
        <w:t xml:space="preserve"> </w:t>
      </w:r>
      <w:r w:rsidRPr="00C352EB">
        <w:rPr>
          <w:rFonts w:hint="eastAsia"/>
          <w:rtl/>
        </w:rPr>
        <w:t>נמצא</w:t>
      </w:r>
      <w:r w:rsidRPr="00C352EB">
        <w:rPr>
          <w:rtl/>
        </w:rPr>
        <w:t xml:space="preserve"> כי </w:t>
      </w:r>
      <w:r w:rsidRPr="00C352EB">
        <w:rPr>
          <w:rFonts w:hint="eastAsia"/>
          <w:rtl/>
        </w:rPr>
        <w:t>בפועל</w:t>
      </w:r>
      <w:r>
        <w:rPr>
          <w:rFonts w:hint="cs"/>
          <w:rtl/>
        </w:rPr>
        <w:t>,</w:t>
      </w:r>
      <w:r w:rsidRPr="00C352EB">
        <w:rPr>
          <w:rtl/>
        </w:rPr>
        <w:t xml:space="preserve"> </w:t>
      </w:r>
      <w:r>
        <w:rPr>
          <w:rFonts w:hint="cs"/>
          <w:rtl/>
        </w:rPr>
        <w:t xml:space="preserve">ובהתאם לסיכום הייעוץ המשפטי לממשלה, </w:t>
      </w:r>
      <w:r w:rsidRPr="00C352EB">
        <w:rPr>
          <w:rFonts w:hint="eastAsia"/>
          <w:rtl/>
        </w:rPr>
        <w:t>צה</w:t>
      </w:r>
      <w:r w:rsidRPr="00C352EB">
        <w:rPr>
          <w:rtl/>
        </w:rPr>
        <w:t xml:space="preserve">"ל </w:t>
      </w:r>
      <w:r>
        <w:rPr>
          <w:rFonts w:hint="cs"/>
          <w:rtl/>
        </w:rPr>
        <w:t>ממשיך ל</w:t>
      </w:r>
      <w:r w:rsidRPr="00C352EB">
        <w:rPr>
          <w:rtl/>
        </w:rPr>
        <w:t>שלם ל</w:t>
      </w:r>
      <w:r>
        <w:rPr>
          <w:rFonts w:hint="cs"/>
          <w:rtl/>
        </w:rPr>
        <w:t>פורשים</w:t>
      </w:r>
      <w:r w:rsidRPr="00C352EB">
        <w:rPr>
          <w:rtl/>
        </w:rPr>
        <w:t xml:space="preserve"> מקדמות על</w:t>
      </w:r>
      <w:r w:rsidRPr="00C352EB">
        <w:rPr>
          <w:rtl/>
        </w:rPr>
        <w:t xml:space="preserve"> חשבון פנסיית הגישור</w:t>
      </w:r>
      <w:r>
        <w:rPr>
          <w:rFonts w:hint="cs"/>
          <w:rtl/>
        </w:rPr>
        <w:t>. עם זאת, בשל מחלוקות על גובה הקצבה, הסכומים משולמים</w:t>
      </w:r>
      <w:r w:rsidRPr="00C352EB">
        <w:rPr>
          <w:rtl/>
        </w:rPr>
        <w:t xml:space="preserve"> ללא תיאום עם משרד האוצר</w:t>
      </w:r>
      <w:r>
        <w:rPr>
          <w:rFonts w:hint="cs"/>
          <w:rtl/>
        </w:rPr>
        <w:t xml:space="preserve"> וטרם הותקנו התקנות, כפי שיפורט. </w:t>
      </w:r>
    </w:p>
    <w:p w:rsidR="008022B2" w:rsidRPr="00AD2AD1" w:rsidP="00D0156F">
      <w:pPr>
        <w:pStyle w:val="100"/>
        <w:rPr>
          <w:rtl/>
        </w:rPr>
      </w:pPr>
      <w:r>
        <w:rPr>
          <w:rFonts w:hint="cs"/>
          <w:rtl/>
        </w:rPr>
        <w:t>בתשובת צה"ל מיום 26.1.20 נכתב כי "משרד האוצר מחשב את הקצבה המגיעה לפורשים מצה"ל בניגוד לסיכומי העבר, באופן חד-צדדי ושרירותי, ו</w:t>
      </w:r>
      <w:r>
        <w:rPr>
          <w:rFonts w:hint="cs"/>
          <w:rtl/>
        </w:rPr>
        <w:t>לאחר מכן תובע לראות בחישובים הנמוכים אליהם הגיע סכום שאינו שנוי במחלוקת שרק אותו יש לשלם. מסיבה זאת, חישוב קצבת הגישור נעשה על-ידי צה"ל ללא תיאום עם משרד האוצר וללא אישור פרטני של החשב הכללי".</w:t>
      </w:r>
    </w:p>
    <w:p w:rsidR="008022B2" w:rsidRPr="00484FBA" w:rsidP="00D0156F">
      <w:pPr>
        <w:pStyle w:val="100"/>
        <w:rPr>
          <w:rtl/>
        </w:rPr>
      </w:pPr>
      <w:r>
        <w:rPr>
          <w:rFonts w:hint="cs"/>
          <w:rtl/>
        </w:rPr>
        <w:t>ביום 17.7.19 כתב סגן בכיר לחשב הכללי לראש אכ"א כי צה"ל העביר לח</w:t>
      </w:r>
      <w:r>
        <w:rPr>
          <w:rFonts w:hint="cs"/>
          <w:rtl/>
        </w:rPr>
        <w:t>שב הכללי ביום 1.5.19 נוהל עבודה פנימי שלו ונתונים על חישוב מקדמות לקצבת גישור ל-21 פורשים</w:t>
      </w:r>
      <w:r w:rsidR="00431CAE">
        <w:rPr>
          <w:rtl/>
        </w:rPr>
        <w:br/>
      </w:r>
      <w:r>
        <w:rPr>
          <w:rFonts w:hint="cs"/>
          <w:rtl/>
        </w:rPr>
        <w:t>מ- 30.11.18 עד 28.2.19, הוא הוסיף: "על אף התראתנו במכתבים... ועל אף הדיונים שהתקיימו בין נציגי משרד האוצר וצה"ל... לא יושמו על ידכם השינויים המתחייבים בנוהל העבודה. ח</w:t>
      </w:r>
      <w:r>
        <w:rPr>
          <w:rFonts w:hint="cs"/>
          <w:rtl/>
        </w:rPr>
        <w:t>רף העובדה שידוע לכם כי הסכום שהנכם משלמים כיום הינו מקדמה, דבר זה אינו מקבל ביטוי בתלוש השכר והמקדמה נרשמת כקצבת גישור... לא העברתם לידינו 'טופס הצהרה בדבר קבלת מקדמה' חתום על ידי הפורשים, כפי שהתבקשתם... ובהתאם להצהרתכם מיום 4.3.19 בדיון שהתקיים אצל המשנה</w:t>
      </w:r>
      <w:r>
        <w:rPr>
          <w:rFonts w:hint="cs"/>
          <w:rtl/>
        </w:rPr>
        <w:t xml:space="preserve"> ליועץ המשפטי לממשלה... קיימים פערים של עשרות אחוזים בין התשלומים המאושרים על בסיס מתודולוגיית החישוב לבין התשלומים בפועל. מעבר לכך, עולה מן הנתונים כי הנכם משלמים </w:t>
      </w:r>
      <w:r w:rsidRPr="00484FBA">
        <w:rPr>
          <w:rFonts w:hint="cs"/>
          <w:rtl/>
        </w:rPr>
        <w:t>לשלושה פורשים שכלל אינם זכאים לקצבת גישור".</w:t>
      </w:r>
    </w:p>
    <w:p w:rsidR="008022B2" w:rsidP="00D0156F">
      <w:pPr>
        <w:pStyle w:val="100"/>
        <w:rPr>
          <w:rtl/>
        </w:rPr>
      </w:pPr>
      <w:r w:rsidRPr="00484FBA">
        <w:rPr>
          <w:rFonts w:hint="eastAsia"/>
          <w:rtl/>
        </w:rPr>
        <w:t>בסיום</w:t>
      </w:r>
      <w:r w:rsidRPr="00484FBA">
        <w:rPr>
          <w:rtl/>
        </w:rPr>
        <w:t xml:space="preserve"> מכתבו </w:t>
      </w:r>
      <w:r w:rsidRPr="00484FBA">
        <w:rPr>
          <w:rFonts w:hint="eastAsia"/>
          <w:rtl/>
        </w:rPr>
        <w:t>הדגיש</w:t>
      </w:r>
      <w:r>
        <w:rPr>
          <w:rFonts w:hint="cs"/>
          <w:rtl/>
        </w:rPr>
        <w:t>:</w:t>
      </w:r>
      <w:r w:rsidRPr="00484FBA">
        <w:rPr>
          <w:rtl/>
        </w:rPr>
        <w:t xml:space="preserve"> "</w:t>
      </w:r>
      <w:r w:rsidRPr="00484FBA">
        <w:rPr>
          <w:rFonts w:hint="eastAsia"/>
          <w:rtl/>
        </w:rPr>
        <w:t>החריגות</w:t>
      </w:r>
      <w:r w:rsidRPr="00484FBA">
        <w:rPr>
          <w:rtl/>
        </w:rPr>
        <w:t xml:space="preserve"> לעיל אושרו על ידך בחוסר סמכות, והנך מתבקש לפעול בהקדם לתיקון הליקויים ולגביית תשלומי היתר, לכלל הפורשים בגישור, בהתאם לכל </w:t>
      </w:r>
      <w:r w:rsidRPr="00484FBA">
        <w:rPr>
          <w:rFonts w:hint="eastAsia"/>
          <w:rtl/>
        </w:rPr>
        <w:t>דין</w:t>
      </w:r>
      <w:r w:rsidRPr="00484FBA">
        <w:rPr>
          <w:rtl/>
        </w:rPr>
        <w:t>."</w:t>
      </w:r>
      <w:r>
        <w:rPr>
          <w:rFonts w:hint="cs"/>
          <w:rtl/>
        </w:rPr>
        <w:t xml:space="preserve"> </w:t>
      </w:r>
    </w:p>
    <w:p w:rsidR="008022B2" w:rsidP="00D0156F">
      <w:pPr>
        <w:pStyle w:val="100"/>
        <w:rPr>
          <w:rtl/>
        </w:rPr>
      </w:pPr>
      <w:r>
        <w:rPr>
          <w:rFonts w:hint="cs"/>
          <w:rtl/>
        </w:rPr>
        <w:t>היועץ המשפטי למשרד האוצר כתב למשרד מבקר המדינה ביום 14.11.19 כי "לא הושגה התקדמות בשיח מול צה"ל... צה"ל ממשיך לשלם לפורשים מקדמות על חשבון פנסיית הגישור ללא תיאום עם משרד האוצר וללא אישור פרטני של החשב הכללי כמתחייב מהחלטת הממשלה ב/136 מחודש אוגוסט 2016...</w:t>
      </w:r>
      <w:r>
        <w:rPr>
          <w:rFonts w:hint="cs"/>
          <w:rtl/>
        </w:rPr>
        <w:t xml:space="preserve"> אציין כי ביום 15 ביולי 2018 נשלחה לגורמים </w:t>
      </w:r>
      <w:r>
        <w:rPr>
          <w:rFonts w:hint="cs"/>
          <w:rtl/>
        </w:rPr>
        <w:t xml:space="preserve">הרלוונטיים בצה"ל הנחיית החשב הכללי לגבי האופן שבו יש לחשב ולשלם מקדמות עד למועד התקנת תקנות הגישור. הנחייה זו אינה מיושמת על ידם." היועץ המשפטי למשרד האוצר הזכיר בתשובתו את מכתבו האמור של סגן בכיר לחשב הכללי לראש </w:t>
      </w:r>
      <w:r>
        <w:rPr>
          <w:rFonts w:hint="cs"/>
          <w:rtl/>
        </w:rPr>
        <w:t xml:space="preserve">אכ"א, וציין כי "למרות שעברו כ-4 חודשים מיום הפצת המכתב [לראש אכ"א], טרם התקבל מענה מצה"ל למכתב זה". </w:t>
      </w:r>
    </w:p>
    <w:p w:rsidR="008022B2" w:rsidP="00D0156F">
      <w:pPr>
        <w:pStyle w:val="100"/>
        <w:rPr>
          <w:rtl/>
        </w:rPr>
      </w:pPr>
      <w:r>
        <w:rPr>
          <w:rFonts w:hint="cs"/>
          <w:rtl/>
        </w:rPr>
        <w:t>מנגד, משרד הביטחון וצה"ל טוענים כי התקנת תקנות הגישור לפורשים מצה"ל אמורה הייתה להיות תהליך פשוט, וכי העקרונות והנוסחאות נקבעו בסיכום התקציבי ובהחלטת הקבינ</w:t>
      </w:r>
      <w:r>
        <w:rPr>
          <w:rFonts w:hint="cs"/>
          <w:rtl/>
        </w:rPr>
        <w:t>ט ב/136 מיום 11.8.16, וכל שנדרש הוא לתרגם לשפה משפטית את הסיכומים הבין-משרדיים. דא עקא, לטענתם, משרד האוצר הציב דרישות חדשות המנוגדות להסכמים. כך למשל דרש משרד האוצר לקבוע בתקנות כי קצבת הגישור תשולם עד גיל 60 בלבד, במקום עד גיל 67, וזאת בניגוד להסכמים שגו</w:t>
      </w:r>
      <w:r>
        <w:rPr>
          <w:rFonts w:hint="cs"/>
          <w:rtl/>
        </w:rPr>
        <w:t>בשו ועוגנו בחקיקה ראשית.</w:t>
      </w:r>
    </w:p>
    <w:p w:rsidR="008022B2" w:rsidRPr="009E6D2C" w:rsidP="00D0156F">
      <w:pPr>
        <w:pStyle w:val="100"/>
        <w:rPr>
          <w:rtl/>
        </w:rPr>
      </w:pPr>
      <w:r>
        <w:rPr>
          <w:rFonts w:hint="cs"/>
          <w:rtl/>
        </w:rPr>
        <w:t>משרד האוצר ציין בתשובתו כי לא מדובר בדרישה חדשה אלא בעניין שהיה חלק מההסדר מלכתחילה, וכי "</w:t>
      </w:r>
      <w:r w:rsidRPr="0007116E">
        <w:rPr>
          <w:rtl/>
        </w:rPr>
        <w:t>בהחלטת קבינט ב/</w:t>
      </w:r>
      <w:r w:rsidRPr="0007116E">
        <w:t>136</w:t>
      </w:r>
      <w:r w:rsidRPr="0007116E">
        <w:rPr>
          <w:rtl/>
        </w:rPr>
        <w:t xml:space="preserve"> שעיגנה את הסיכום התקציבי בין משרד האוצר למשרד הביטחון נכתב מפורשות בסעיף ו(</w:t>
      </w:r>
      <w:r w:rsidRPr="0007116E">
        <w:t>3</w:t>
      </w:r>
      <w:r w:rsidRPr="0007116E">
        <w:rPr>
          <w:rtl/>
        </w:rPr>
        <w:t xml:space="preserve">) כי קצבת הגישור התקציבית תינתן </w:t>
      </w:r>
      <w:r>
        <w:rPr>
          <w:rFonts w:hint="cs"/>
          <w:b/>
          <w:bCs/>
          <w:rtl/>
        </w:rPr>
        <w:t>'</w:t>
      </w:r>
      <w:r w:rsidRPr="0007116E">
        <w:rPr>
          <w:b/>
          <w:bCs/>
          <w:rtl/>
        </w:rPr>
        <w:t>מהמועד שבו פו</w:t>
      </w:r>
      <w:r w:rsidRPr="0007116E">
        <w:rPr>
          <w:b/>
          <w:bCs/>
          <w:rtl/>
        </w:rPr>
        <w:t>טר משירות ועד להגיעו לגיל הזכאות לקצבה מקופת הגמל לקצבה</w:t>
      </w:r>
      <w:r>
        <w:rPr>
          <w:rFonts w:hint="cs"/>
          <w:b/>
          <w:bCs/>
          <w:rtl/>
        </w:rPr>
        <w:t>'</w:t>
      </w:r>
      <w:r w:rsidRPr="0007116E">
        <w:rPr>
          <w:rtl/>
        </w:rPr>
        <w:t xml:space="preserve"> </w:t>
      </w:r>
      <w:r>
        <w:rPr>
          <w:rFonts w:hint="cs"/>
          <w:rtl/>
        </w:rPr>
        <w:t>(ההדגשה במקור).</w:t>
      </w:r>
      <w:r w:rsidRPr="00F931E9">
        <w:rPr>
          <w:rStyle w:val="FootnoteReference0"/>
          <w:rtl/>
        </w:rPr>
        <w:t xml:space="preserve"> </w:t>
      </w:r>
      <w:r>
        <w:rPr>
          <w:rFonts w:hint="cs"/>
          <w:rtl/>
        </w:rPr>
        <w:t xml:space="preserve">לפי </w:t>
      </w:r>
      <w:r w:rsidRPr="0007116E">
        <w:rPr>
          <w:rtl/>
        </w:rPr>
        <w:t>עמדת משרד האוצר גיל זה בהתאם לחוק גיל פרישה, התשס״ד-</w:t>
      </w:r>
      <w:r w:rsidRPr="0007116E">
        <w:t>2004</w:t>
      </w:r>
      <w:r w:rsidRPr="0007116E">
        <w:rPr>
          <w:rtl/>
        </w:rPr>
        <w:t>,</w:t>
      </w:r>
      <w:r w:rsidRPr="0007116E">
        <w:rPr>
          <w:rFonts w:hint="cs"/>
          <w:rtl/>
        </w:rPr>
        <w:t xml:space="preserve"> </w:t>
      </w:r>
      <w:r w:rsidRPr="0007116E">
        <w:rPr>
          <w:rtl/>
        </w:rPr>
        <w:t xml:space="preserve">הוא גיל </w:t>
      </w:r>
      <w:r w:rsidRPr="0007116E">
        <w:t>60</w:t>
      </w:r>
      <w:r>
        <w:rPr>
          <w:rStyle w:val="FootnoteReference0"/>
          <w:rtl/>
        </w:rPr>
        <w:footnoteReference w:id="13"/>
      </w:r>
      <w:r>
        <w:rPr>
          <w:rFonts w:hint="cs"/>
          <w:rtl/>
        </w:rPr>
        <w:t>.</w:t>
      </w:r>
    </w:p>
    <w:p w:rsidR="008022B2" w:rsidP="00D0156F">
      <w:pPr>
        <w:pStyle w:val="100"/>
        <w:rPr>
          <w:rtl/>
        </w:rPr>
      </w:pPr>
      <w:r>
        <w:rPr>
          <w:rFonts w:hint="cs"/>
          <w:rtl/>
        </w:rPr>
        <w:t>במצב הנוכחי שבו קיימת הימנעות מתמשכת מהתקנת התקנות, צה"ל ומשרד הביטחון ממשיכים בפועל לשלם פנסיית גישור על פי</w:t>
      </w:r>
      <w:r>
        <w:rPr>
          <w:rFonts w:hint="cs"/>
          <w:rtl/>
        </w:rPr>
        <w:t xml:space="preserve"> חישוביהם שאינם מוסכמים על משרד האוצר. </w:t>
      </w:r>
    </w:p>
    <w:p w:rsidR="008022B2" w:rsidP="00D0156F">
      <w:pPr>
        <w:pStyle w:val="100"/>
        <w:rPr>
          <w:rtl/>
        </w:rPr>
      </w:pPr>
      <w:r>
        <w:rPr>
          <w:rFonts w:hint="cs"/>
          <w:rtl/>
        </w:rPr>
        <w:t xml:space="preserve">אף שעל פי החלטת היועץ הסכומים המשולמים לפורשים הם מקדמות בלבד, המציאות מלמדת כי בפועל השבת מקדמות ששולמו לאוצר המדינה אינה שכיחה וקשה מאוד לביצוע. זאת </w:t>
      </w:r>
      <w:r w:rsidRPr="002C6000">
        <w:rPr>
          <w:rFonts w:hint="cs"/>
          <w:rtl/>
        </w:rPr>
        <w:t>בנוסף לקביעת המשנה שלפיה הוא ממליץ כי המקדמ</w:t>
      </w:r>
      <w:r>
        <w:rPr>
          <w:rFonts w:hint="cs"/>
          <w:rtl/>
        </w:rPr>
        <w:t>ות שישולמו בכל גופי הב</w:t>
      </w:r>
      <w:r>
        <w:rPr>
          <w:rFonts w:hint="cs"/>
          <w:rtl/>
        </w:rPr>
        <w:t xml:space="preserve">יטחון עד </w:t>
      </w:r>
      <w:r w:rsidRPr="002C6000">
        <w:rPr>
          <w:rFonts w:hint="cs"/>
          <w:rtl/>
        </w:rPr>
        <w:t>התקנת התקנות "לא יוחזרו לאוצר המדינה וכי הדבר יעוגן בתקנות".</w:t>
      </w:r>
    </w:p>
    <w:p w:rsidR="008022B2" w:rsidP="00D0156F">
      <w:pPr>
        <w:pStyle w:val="100"/>
        <w:rPr>
          <w:rtl/>
        </w:rPr>
      </w:pPr>
      <w:r>
        <w:rPr>
          <w:rFonts w:hint="cs"/>
          <w:rtl/>
        </w:rPr>
        <w:t xml:space="preserve">בתשובת משרד האוצר נכתב כי </w:t>
      </w:r>
      <w:r w:rsidRPr="001F31C0">
        <w:rPr>
          <w:color w:val="000000"/>
          <w:rtl/>
          <w:lang w:val="he-IL" w:eastAsia="he-IL"/>
        </w:rPr>
        <w:t>ניתן להניח כי בעתיד הנראה לעין לא יותקנו תקנות גישור</w:t>
      </w:r>
      <w:r>
        <w:rPr>
          <w:rFonts w:hint="cs"/>
          <w:color w:val="000000"/>
          <w:rtl/>
          <w:lang w:val="he-IL" w:eastAsia="he-IL"/>
        </w:rPr>
        <w:t xml:space="preserve"> מאחר</w:t>
      </w:r>
      <w:r w:rsidRPr="001F31C0">
        <w:rPr>
          <w:color w:val="000000"/>
          <w:rtl/>
          <w:lang w:val="he-IL" w:eastAsia="he-IL"/>
        </w:rPr>
        <w:t xml:space="preserve"> </w:t>
      </w:r>
      <w:r>
        <w:rPr>
          <w:rFonts w:hint="cs"/>
          <w:color w:val="000000"/>
          <w:rtl/>
          <w:lang w:val="he-IL" w:eastAsia="he-IL"/>
        </w:rPr>
        <w:t>ו</w:t>
      </w:r>
      <w:r w:rsidRPr="001F31C0">
        <w:rPr>
          <w:color w:val="000000"/>
          <w:rtl/>
          <w:lang w:val="he-IL" w:eastAsia="he-IL"/>
        </w:rPr>
        <w:t xml:space="preserve">לצה״ל אין כל תמריץ להגיע לשולחן המשא ומתן עם </w:t>
      </w:r>
      <w:r w:rsidRPr="00FB5D0D">
        <w:rPr>
          <w:rtl/>
        </w:rPr>
        <w:t xml:space="preserve">משרד האוצר בכדי לסכם את נוסח תקנות הגישור, </w:t>
      </w:r>
      <w:r w:rsidRPr="00FB5D0D">
        <w:rPr>
          <w:rFonts w:hint="eastAsia"/>
          <w:rtl/>
        </w:rPr>
        <w:t>וכי</w:t>
      </w:r>
      <w:r w:rsidRPr="00FB5D0D">
        <w:rPr>
          <w:rtl/>
        </w:rPr>
        <w:t xml:space="preserve"> </w:t>
      </w:r>
      <w:r w:rsidRPr="00FB5D0D">
        <w:rPr>
          <w:rFonts w:hint="eastAsia"/>
          <w:rtl/>
        </w:rPr>
        <w:t>כבר</w:t>
      </w:r>
      <w:r w:rsidRPr="00FB5D0D">
        <w:rPr>
          <w:rtl/>
        </w:rPr>
        <w:t xml:space="preserve"> שנה ש</w:t>
      </w:r>
      <w:r w:rsidRPr="00FB5D0D">
        <w:rPr>
          <w:rtl/>
        </w:rPr>
        <w:t>לא מתנהל כל משא ומתן עם צה״ל בנושא פנסיית הגישור (ובוודאי לא משא ומתן אפקטיבי), ופגישות בנושא זה אף לא מתוכננות לעתיד</w:t>
      </w:r>
      <w:r>
        <w:rPr>
          <w:rFonts w:hint="cs"/>
          <w:rtl/>
        </w:rPr>
        <w:t>.</w:t>
      </w:r>
    </w:p>
    <w:p w:rsidR="008022B2" w:rsidP="00D0156F">
      <w:pPr>
        <w:pStyle w:val="100"/>
        <w:rPr>
          <w:rtl/>
        </w:rPr>
      </w:pPr>
      <w:r>
        <w:rPr>
          <w:rFonts w:hint="cs"/>
          <w:rtl/>
        </w:rPr>
        <w:t>רמ"ט אכ"א הסבירה לנציגי משרד מבקר המדינה כי כתנאי לקבלת המקדמה הפורשים חותמים על הצהרה שבה הם מצהירים כי "הסכומים שישולמו לי מצה"ל לרגל פרישתי מהשירות הצבאי הם בבחינת מקדמה על חשבון קצבת הגישור, ששיעורה המדויק ייקבע בעתיד בתקנות... ככל שיתברר כי המקדמות שי</w:t>
      </w:r>
      <w:r>
        <w:rPr>
          <w:rFonts w:hint="cs"/>
          <w:rtl/>
        </w:rPr>
        <w:t xml:space="preserve">שולמו לי גבוהות מקצבת הגישור שתשולם לי בהתאם לתקנות, </w:t>
      </w:r>
      <w:r w:rsidRPr="00F931E9">
        <w:rPr>
          <w:rFonts w:hint="cs"/>
          <w:b/>
          <w:bCs/>
          <w:rtl/>
        </w:rPr>
        <w:t>אני מתחייב להשיב את ההפרשים כשהם צמודים למדד</w:t>
      </w:r>
      <w:r>
        <w:rPr>
          <w:rFonts w:hint="cs"/>
          <w:rtl/>
        </w:rPr>
        <w:t>. המדינה תהיה רשאית לקזז את סכום המקדמות ששולמו ביתר מכל תשלום שמגיע לי מהמדינה". (הדגשה אינה במקור).</w:t>
      </w:r>
    </w:p>
    <w:p w:rsidR="008022B2" w:rsidRPr="002C6000" w:rsidP="00D0156F">
      <w:pPr>
        <w:pStyle w:val="100"/>
        <w:rPr>
          <w:rtl/>
        </w:rPr>
      </w:pPr>
      <w:r>
        <w:rPr>
          <w:rFonts w:hint="cs"/>
          <w:rtl/>
        </w:rPr>
        <w:t>צה"ל כתב בתשובתו כי הוא "הגוף היחיד במדינה שתשלומי הפנסיי</w:t>
      </w:r>
      <w:r>
        <w:rPr>
          <w:rFonts w:hint="cs"/>
          <w:rtl/>
        </w:rPr>
        <w:t xml:space="preserve">ה של פורשיו אינם מובטחים אלא מוגדרים כמקדמות ואפופים בחוסר ודאות, באופן שמשפיע בצורה שלילית ביותר על המשרתים ועל צה"ל". </w:t>
      </w:r>
    </w:p>
    <w:p w:rsidR="008022B2" w:rsidRPr="00851F71" w:rsidP="00D0156F">
      <w:pPr>
        <w:pStyle w:val="100"/>
        <w:rPr>
          <w:rtl/>
        </w:rPr>
      </w:pPr>
      <w:r w:rsidRPr="00851F71">
        <w:rPr>
          <w:rFonts w:hint="cs"/>
          <w:rtl/>
        </w:rPr>
        <w:t>מחד התשלום המלא של המקדמות לפי חישוב צה"ל יש בו לכאורה בכדי להפחית את התמריץ להתקנת התקנות מ</w:t>
      </w:r>
      <w:r>
        <w:rPr>
          <w:rFonts w:hint="cs"/>
          <w:rtl/>
        </w:rPr>
        <w:t>צד</w:t>
      </w:r>
      <w:r w:rsidRPr="00851F71">
        <w:rPr>
          <w:rFonts w:hint="cs"/>
          <w:rtl/>
        </w:rPr>
        <w:t xml:space="preserve"> צה"ל ומשרד הביטחון, ומאידך, חוסר הוודאות</w:t>
      </w:r>
      <w:r w:rsidRPr="00851F71">
        <w:rPr>
          <w:rFonts w:hint="cs"/>
          <w:rtl/>
        </w:rPr>
        <w:t xml:space="preserve"> הקיימת לפורשים,</w:t>
      </w:r>
      <w:r w:rsidRPr="003E6AA1">
        <w:rPr>
          <w:rFonts w:hint="cs"/>
          <w:rtl/>
        </w:rPr>
        <w:t xml:space="preserve"> בהיות</w:t>
      </w:r>
      <w:r>
        <w:rPr>
          <w:rFonts w:hint="cs"/>
          <w:rtl/>
        </w:rPr>
        <w:t xml:space="preserve"> התשלום</w:t>
      </w:r>
      <w:r w:rsidRPr="003E6AA1">
        <w:rPr>
          <w:rFonts w:hint="cs"/>
          <w:rtl/>
        </w:rPr>
        <w:t xml:space="preserve"> מקדמ</w:t>
      </w:r>
      <w:r>
        <w:rPr>
          <w:rFonts w:hint="cs"/>
          <w:rtl/>
        </w:rPr>
        <w:t>ה</w:t>
      </w:r>
      <w:r w:rsidRPr="00851F71">
        <w:rPr>
          <w:rFonts w:hint="cs"/>
          <w:rtl/>
        </w:rPr>
        <w:t xml:space="preserve"> בלבד, דווקא </w:t>
      </w:r>
      <w:r>
        <w:rPr>
          <w:rFonts w:hint="cs"/>
          <w:rtl/>
        </w:rPr>
        <w:t xml:space="preserve">עשוי לשמש, לטענתו של צה"ל, </w:t>
      </w:r>
      <w:r w:rsidRPr="00851F71">
        <w:rPr>
          <w:rFonts w:hint="cs"/>
          <w:rtl/>
        </w:rPr>
        <w:t>תמריץ להתקין את התקנות.</w:t>
      </w:r>
    </w:p>
    <w:p w:rsidR="008022B2" w:rsidP="00D0156F">
      <w:pPr>
        <w:pStyle w:val="a18"/>
        <w:rPr>
          <w:rtl/>
        </w:rPr>
      </w:pPr>
      <w:r>
        <w:rPr>
          <w:rFonts w:hint="cs"/>
          <w:rtl/>
        </w:rPr>
        <w:t>במצב הקיים, הפורשים אכן אינם יודעים איזה חלק מגמלתם שנוי במחלוקת וייתכן שיאלצו להחזיר אותו. לדעת משרד מבקר המדינה, יש לבחון מתן מידע לפורשים אודות החלק מהמקד</w:t>
      </w:r>
      <w:r>
        <w:rPr>
          <w:rFonts w:hint="cs"/>
          <w:rtl/>
        </w:rPr>
        <w:t xml:space="preserve">מה שהינו בגדר סכום הנתון במחלוקת בעת חתימה על הצהרתם וכן בעת תקבול הגמלה החודשית. </w:t>
      </w:r>
    </w:p>
    <w:p w:rsidR="008022B2" w:rsidP="00D0156F">
      <w:pPr>
        <w:pStyle w:val="a18"/>
        <w:rPr>
          <w:rtl/>
        </w:rPr>
      </w:pPr>
      <w:r>
        <w:rPr>
          <w:rFonts w:hint="cs"/>
          <w:rtl/>
        </w:rPr>
        <w:t>המצב שבו הפורשים נתונים בחוסר ודאות לגבי הגמלה שתשולם להם בעתיד, ויתרה מכך גם אינם יודעים אם ואיזה סכום מתוך המקדמה יתכן ויאלצו להחזיר, הוא מצב שאין להשלים עימו. התקנת התקנו</w:t>
      </w:r>
      <w:r>
        <w:rPr>
          <w:rFonts w:hint="cs"/>
          <w:rtl/>
        </w:rPr>
        <w:t>ת תתרום לוודאו</w:t>
      </w:r>
      <w:r>
        <w:rPr>
          <w:rFonts w:hint="eastAsia"/>
          <w:rtl/>
        </w:rPr>
        <w:t>ת</w:t>
      </w:r>
      <w:r>
        <w:rPr>
          <w:rFonts w:hint="cs"/>
          <w:rtl/>
        </w:rPr>
        <w:t xml:space="preserve"> הכלכלית של הפורשים ותאפשר גם למשרתים להיערך מהבחינה הכלכלית לפרישתם. משכך, </w:t>
      </w:r>
      <w:r w:rsidRPr="002C6000">
        <w:rPr>
          <w:rFonts w:hint="cs"/>
          <w:rtl/>
        </w:rPr>
        <w:t>על משרד האוצר</w:t>
      </w:r>
      <w:r>
        <w:rPr>
          <w:rFonts w:hint="cs"/>
          <w:rtl/>
        </w:rPr>
        <w:t>,</w:t>
      </w:r>
      <w:r w:rsidRPr="002C6000">
        <w:rPr>
          <w:rFonts w:hint="cs"/>
          <w:rtl/>
        </w:rPr>
        <w:t xml:space="preserve"> </w:t>
      </w:r>
      <w:r>
        <w:rPr>
          <w:rFonts w:hint="cs"/>
          <w:rtl/>
        </w:rPr>
        <w:t xml:space="preserve">על </w:t>
      </w:r>
      <w:r w:rsidRPr="002C6000">
        <w:rPr>
          <w:rFonts w:hint="cs"/>
          <w:rtl/>
        </w:rPr>
        <w:t>משרד הביטחון</w:t>
      </w:r>
      <w:r>
        <w:rPr>
          <w:rFonts w:hint="cs"/>
          <w:rtl/>
        </w:rPr>
        <w:t>,</w:t>
      </w:r>
      <w:r w:rsidRPr="002C6000">
        <w:rPr>
          <w:rFonts w:hint="cs"/>
          <w:rtl/>
        </w:rPr>
        <w:t xml:space="preserve"> ו</w:t>
      </w:r>
      <w:r>
        <w:rPr>
          <w:rFonts w:hint="cs"/>
          <w:rtl/>
        </w:rPr>
        <w:t xml:space="preserve">על </w:t>
      </w:r>
      <w:r w:rsidRPr="002C6000">
        <w:rPr>
          <w:rFonts w:hint="cs"/>
          <w:rtl/>
        </w:rPr>
        <w:t>צה"ל להשלים את התהליכים</w:t>
      </w:r>
      <w:r>
        <w:rPr>
          <w:rFonts w:hint="cs"/>
          <w:rtl/>
        </w:rPr>
        <w:t xml:space="preserve"> הנדרשים לשם התקנת התקנות בנוגע</w:t>
      </w:r>
      <w:r w:rsidRPr="002C6000">
        <w:rPr>
          <w:rFonts w:hint="cs"/>
          <w:rtl/>
        </w:rPr>
        <w:t xml:space="preserve"> </w:t>
      </w:r>
      <w:r w:rsidR="000E1F31">
        <w:rPr>
          <w:rFonts w:hint="cs"/>
          <w:rtl/>
        </w:rPr>
        <w:t>ל</w:t>
      </w:r>
      <w:r w:rsidRPr="002C6000">
        <w:rPr>
          <w:rFonts w:hint="cs"/>
          <w:rtl/>
        </w:rPr>
        <w:t xml:space="preserve">פנסיית </w:t>
      </w:r>
      <w:r w:rsidR="000E1F31">
        <w:rPr>
          <w:rFonts w:hint="cs"/>
          <w:rtl/>
        </w:rPr>
        <w:t>ה</w:t>
      </w:r>
      <w:r w:rsidRPr="002C6000">
        <w:rPr>
          <w:rFonts w:hint="cs"/>
          <w:rtl/>
        </w:rPr>
        <w:t>גישור</w:t>
      </w:r>
      <w:r>
        <w:rPr>
          <w:rFonts w:hint="cs"/>
          <w:rtl/>
        </w:rPr>
        <w:t>.</w:t>
      </w:r>
    </w:p>
    <w:p w:rsidR="008022B2" w:rsidRPr="00430136" w:rsidP="00F0711E">
      <w:pPr>
        <w:pStyle w:val="100"/>
        <w:rPr>
          <w:rtl/>
        </w:rPr>
      </w:pPr>
      <w:r w:rsidRPr="00430136">
        <w:rPr>
          <w:rFonts w:hint="cs"/>
          <w:rtl/>
        </w:rPr>
        <w:t xml:space="preserve">במענה </w:t>
      </w:r>
      <w:r>
        <w:rPr>
          <w:rFonts w:hint="cs"/>
          <w:rtl/>
        </w:rPr>
        <w:t>ע</w:t>
      </w:r>
      <w:r w:rsidRPr="00430136">
        <w:rPr>
          <w:rFonts w:hint="cs"/>
          <w:rtl/>
        </w:rPr>
        <w:t>ל</w:t>
      </w:r>
      <w:r>
        <w:rPr>
          <w:rFonts w:hint="cs"/>
          <w:rtl/>
        </w:rPr>
        <w:t xml:space="preserve"> </w:t>
      </w:r>
      <w:r w:rsidRPr="00430136">
        <w:rPr>
          <w:rFonts w:hint="cs"/>
          <w:rtl/>
        </w:rPr>
        <w:t>פניית משרד מבקר המדינה מ-13.12.2018 השיבה מחלקת י</w:t>
      </w:r>
      <w:r>
        <w:rPr>
          <w:rFonts w:hint="cs"/>
          <w:rtl/>
        </w:rPr>
        <w:t>י</w:t>
      </w:r>
      <w:r w:rsidRPr="00430136">
        <w:rPr>
          <w:rFonts w:hint="cs"/>
          <w:rtl/>
        </w:rPr>
        <w:t xml:space="preserve">עוץ וחקיקה </w:t>
      </w:r>
      <w:r>
        <w:rPr>
          <w:rFonts w:hint="cs"/>
          <w:rtl/>
        </w:rPr>
        <w:t>ב</w:t>
      </w:r>
      <w:r w:rsidRPr="00430136">
        <w:rPr>
          <w:rFonts w:hint="cs"/>
          <w:rtl/>
        </w:rPr>
        <w:t xml:space="preserve">משרד המשפטים כי ב-18.11.18 פנה היועץ המשפטי של משרד האוצר ליועץ המשפטי לממשלה בבקשה לקבוע כי "צה"ל אינו רשאי לשלם פנסיית גישור, </w:t>
      </w:r>
      <w:r w:rsidRPr="00851F71">
        <w:rPr>
          <w:rFonts w:hint="cs"/>
          <w:rtl/>
        </w:rPr>
        <w:t>לרבות מקדמות, על חשבון פנסיית הגישור, וזאת עד להתקנת תקנות בעניין כנדרש בהתאם לחוק". לחלופין ביקש כי "תשלום המקדמות</w:t>
      </w:r>
      <w:r w:rsidRPr="00851F71">
        <w:rPr>
          <w:rFonts w:hint="cs"/>
          <w:rtl/>
        </w:rPr>
        <w:t xml:space="preserve"> יותנה באישור החשב הכללי</w:t>
      </w:r>
      <w:r>
        <w:rPr>
          <w:rFonts w:hint="cs"/>
          <w:rtl/>
        </w:rPr>
        <w:t xml:space="preserve">". בתשובתה למשרד מבקר המדינה מסרה מחלקת ייעוץ וחקיקה </w:t>
      </w:r>
      <w:r w:rsidRPr="00851F71">
        <w:rPr>
          <w:rFonts w:hint="cs"/>
          <w:rtl/>
        </w:rPr>
        <w:t>כי דיון בסוגיה ז</w:t>
      </w:r>
      <w:r>
        <w:rPr>
          <w:rFonts w:hint="cs"/>
          <w:rtl/>
        </w:rPr>
        <w:t>ו</w:t>
      </w:r>
      <w:r w:rsidRPr="00851F71">
        <w:rPr>
          <w:rFonts w:hint="cs"/>
          <w:rtl/>
        </w:rPr>
        <w:t xml:space="preserve"> אמור להתקיים בראשות</w:t>
      </w:r>
      <w:r>
        <w:rPr>
          <w:rFonts w:hint="cs"/>
          <w:rtl/>
        </w:rPr>
        <w:t>ו של</w:t>
      </w:r>
      <w:r w:rsidRPr="00851F71">
        <w:rPr>
          <w:rFonts w:hint="cs"/>
          <w:rtl/>
        </w:rPr>
        <w:t xml:space="preserve"> המשנה ליועץ המשפטי לממשלה ביום 13.1.19.</w:t>
      </w:r>
      <w:r w:rsidRPr="00430136">
        <w:rPr>
          <w:rFonts w:hint="cs"/>
          <w:rtl/>
        </w:rPr>
        <w:t xml:space="preserve"> </w:t>
      </w:r>
    </w:p>
    <w:p w:rsidR="008022B2" w:rsidRPr="00430136" w:rsidP="00F0711E">
      <w:pPr>
        <w:pStyle w:val="100"/>
        <w:rPr>
          <w:rtl/>
        </w:rPr>
      </w:pPr>
      <w:r>
        <w:rPr>
          <w:rFonts w:hint="cs"/>
          <w:rtl/>
        </w:rPr>
        <w:t xml:space="preserve">ביקורת המעקב העלתה </w:t>
      </w:r>
      <w:r w:rsidRPr="00430136">
        <w:rPr>
          <w:rFonts w:hint="cs"/>
          <w:rtl/>
        </w:rPr>
        <w:t xml:space="preserve">כי הדיון </w:t>
      </w:r>
      <w:r>
        <w:rPr>
          <w:rFonts w:hint="cs"/>
          <w:rtl/>
        </w:rPr>
        <w:t xml:space="preserve">שאמור היה להתקיים </w:t>
      </w:r>
      <w:r w:rsidRPr="00430136">
        <w:rPr>
          <w:rFonts w:hint="cs"/>
          <w:rtl/>
        </w:rPr>
        <w:t xml:space="preserve">בינואר </w:t>
      </w:r>
      <w:r>
        <w:rPr>
          <w:rFonts w:hint="cs"/>
          <w:rtl/>
        </w:rPr>
        <w:t xml:space="preserve">2019 </w:t>
      </w:r>
      <w:r w:rsidRPr="00430136">
        <w:rPr>
          <w:rFonts w:hint="cs"/>
          <w:rtl/>
        </w:rPr>
        <w:t>נדחה</w:t>
      </w:r>
      <w:r>
        <w:rPr>
          <w:rFonts w:hint="cs"/>
          <w:rtl/>
        </w:rPr>
        <w:t xml:space="preserve"> בכמה חודשים.</w:t>
      </w:r>
      <w:r w:rsidRPr="00430136">
        <w:rPr>
          <w:rFonts w:hint="cs"/>
          <w:rtl/>
        </w:rPr>
        <w:t xml:space="preserve"> </w:t>
      </w:r>
    </w:p>
    <w:p w:rsidR="008022B2" w:rsidRPr="00DF39C2" w:rsidP="00F0711E">
      <w:pPr>
        <w:pStyle w:val="100"/>
        <w:rPr>
          <w:rtl/>
        </w:rPr>
      </w:pPr>
      <w:r w:rsidRPr="00DF39C2">
        <w:rPr>
          <w:rFonts w:hint="cs"/>
          <w:rtl/>
        </w:rPr>
        <w:t xml:space="preserve">בתשובת סגן הרמטכ"ל </w:t>
      </w:r>
      <w:r w:rsidRPr="00DF39C2">
        <w:rPr>
          <w:rFonts w:hint="cs"/>
          <w:rtl/>
        </w:rPr>
        <w:t>נכתב כי נוכח קביעתו החד</w:t>
      </w:r>
      <w:r>
        <w:rPr>
          <w:rFonts w:hint="cs"/>
          <w:rtl/>
        </w:rPr>
        <w:t>-</w:t>
      </w:r>
      <w:r w:rsidRPr="00DF39C2">
        <w:rPr>
          <w:rFonts w:hint="cs"/>
          <w:rtl/>
        </w:rPr>
        <w:t xml:space="preserve">משמעית של המשנה ליועץ המשפטי לממשלה שדחה את טענות משרד האוצר וקבע כי צה"ל רשאי לשלם קצבאות גישור לפורשים </w:t>
      </w:r>
      <w:r>
        <w:rPr>
          <w:rFonts w:hint="cs"/>
          <w:rtl/>
        </w:rPr>
        <w:t xml:space="preserve">מבלי שהותקנו תקנות, הרי </w:t>
      </w:r>
      <w:r w:rsidRPr="00DF39C2">
        <w:rPr>
          <w:rFonts w:hint="cs"/>
          <w:rtl/>
        </w:rPr>
        <w:t>צה"ל נוה</w:t>
      </w:r>
      <w:r>
        <w:rPr>
          <w:rFonts w:hint="cs"/>
          <w:rtl/>
        </w:rPr>
        <w:t xml:space="preserve">ג כדין, ברשות ובסמכות, ובוודאי </w:t>
      </w:r>
      <w:r w:rsidRPr="00DF39C2">
        <w:rPr>
          <w:rFonts w:hint="cs"/>
          <w:rtl/>
        </w:rPr>
        <w:t>אין בכך משום חוסר סבירות. עוד נכתב כי בתקופת בחירות ממילא אין אפ</w:t>
      </w:r>
      <w:r w:rsidRPr="00DF39C2">
        <w:rPr>
          <w:rFonts w:hint="cs"/>
          <w:rtl/>
        </w:rPr>
        <w:t xml:space="preserve">שרות מעשית לגבש נוסח מוסכם של תקנות גישור, וכי יש סבירות גבוהה יותר להגיע להסכמות בדיון על מכלול של נושאים הנוגעים לתקציב הביטחון. </w:t>
      </w:r>
    </w:p>
    <w:p w:rsidR="008022B2" w:rsidP="00F0711E">
      <w:pPr>
        <w:pStyle w:val="100"/>
        <w:rPr>
          <w:rtl/>
        </w:rPr>
      </w:pPr>
      <w:r w:rsidRPr="00DF39C2">
        <w:rPr>
          <w:rFonts w:hint="cs"/>
          <w:rtl/>
        </w:rPr>
        <w:t>סגן הרמטכ"ל הוסיף כי "צה"ל מוכן לחתום באופן מיידי על תקנות הגישור, ובלבד שהן יתאמו להסכם שנחתם עם משרד האוצר. אלא שמשרד האוצ</w:t>
      </w:r>
      <w:r w:rsidRPr="00DF39C2">
        <w:rPr>
          <w:rFonts w:hint="cs"/>
          <w:rtl/>
        </w:rPr>
        <w:t>ר ניסח טיוטה של תקנות הנוגדות את ההסכם... אין מקום לבוא בטענות לצה"ל על כך שהוא מסרב לחתום על תקנות שחורגות במידה ניכרת מהסיכום הקודם, ושיובילו לפגיעה של עשרות אחוזים בקצבתם של הפורשים".</w:t>
      </w:r>
      <w:r>
        <w:rPr>
          <w:rFonts w:hint="cs"/>
          <w:rtl/>
        </w:rPr>
        <w:t xml:space="preserve"> </w:t>
      </w:r>
    </w:p>
    <w:p w:rsidR="008022B2" w:rsidRPr="00C47E96" w:rsidP="00F0711E">
      <w:pPr>
        <w:pStyle w:val="100"/>
        <w:rPr>
          <w:rtl/>
        </w:rPr>
      </w:pPr>
      <w:r>
        <w:rPr>
          <w:rFonts w:hint="cs"/>
          <w:rtl/>
        </w:rPr>
        <w:t>בתשובתו טען מנגד משרד האוצר "כי</w:t>
      </w:r>
      <w:r w:rsidRPr="00C47E96">
        <w:rPr>
          <w:color w:val="000000"/>
          <w:rtl/>
          <w:lang w:val="he-IL" w:eastAsia="he-IL"/>
        </w:rPr>
        <w:t xml:space="preserve"> </w:t>
      </w:r>
      <w:r w:rsidRPr="001F31C0">
        <w:rPr>
          <w:color w:val="000000"/>
          <w:rtl/>
          <w:lang w:val="he-IL" w:eastAsia="he-IL"/>
        </w:rPr>
        <w:t>במסגרת החוק נקבע כי יעד הקצבה הממוצע</w:t>
      </w:r>
      <w:r w:rsidRPr="001F31C0">
        <w:rPr>
          <w:color w:val="000000"/>
          <w:rtl/>
          <w:lang w:val="he-IL" w:eastAsia="he-IL"/>
        </w:rPr>
        <w:t xml:space="preserve">ת יעמוד על </w:t>
      </w:r>
      <w:r w:rsidRPr="00404F74">
        <w:t>12,000</w:t>
      </w:r>
      <w:r w:rsidRPr="00404F74">
        <w:rPr>
          <w:rtl/>
        </w:rPr>
        <w:t xml:space="preserve"> </w:t>
      </w:r>
      <w:r w:rsidRPr="001F31C0">
        <w:rPr>
          <w:color w:val="000000"/>
          <w:rtl/>
          <w:lang w:val="he-IL" w:eastAsia="he-IL"/>
        </w:rPr>
        <w:t>ש״ח לפורשי שנ</w:t>
      </w:r>
      <w:r w:rsidRPr="00404F74">
        <w:rPr>
          <w:rtl/>
        </w:rPr>
        <w:t xml:space="preserve">ת </w:t>
      </w:r>
      <w:r w:rsidRPr="00404F74">
        <w:t>2025</w:t>
      </w:r>
      <w:r w:rsidRPr="00404F74">
        <w:rPr>
          <w:rtl/>
        </w:rPr>
        <w:t xml:space="preserve">. </w:t>
      </w:r>
      <w:r w:rsidRPr="001F31C0">
        <w:rPr>
          <w:color w:val="000000"/>
          <w:rtl/>
          <w:lang w:val="he-IL" w:eastAsia="he-IL"/>
        </w:rPr>
        <w:t xml:space="preserve">על פי אומדן משרד האוצר, שהועבר והוצג לנציגי צה״ל ומשרד הביטחון, דרישות משרד הביטחון יובילו לקצבה ממוצעת גבוהה יותר בסכום העולה על </w:t>
      </w:r>
      <w:r w:rsidRPr="00404F74">
        <w:rPr>
          <w:color w:val="000000"/>
          <w:rtl/>
          <w:lang w:val="he-IL" w:eastAsia="he-IL"/>
        </w:rPr>
        <w:t>3,000</w:t>
      </w:r>
      <w:r w:rsidRPr="001F31C0">
        <w:rPr>
          <w:color w:val="000000"/>
          <w:rtl/>
          <w:lang w:val="he-IL" w:eastAsia="he-IL"/>
        </w:rPr>
        <w:t xml:space="preserve"> ש"ח לחודש ואילו נוסח האוצר לתקנות מוביל לעמידה ביעד הקצבה הממוצעת</w:t>
      </w:r>
      <w:r>
        <w:rPr>
          <w:rFonts w:hint="cs"/>
          <w:color w:val="000000"/>
          <w:rtl/>
          <w:lang w:val="he-IL" w:eastAsia="he-IL"/>
        </w:rPr>
        <w:t>"</w:t>
      </w:r>
      <w:r w:rsidRPr="001F31C0">
        <w:rPr>
          <w:color w:val="000000"/>
          <w:rtl/>
          <w:lang w:val="he-IL" w:eastAsia="he-IL"/>
        </w:rPr>
        <w:t>.</w:t>
      </w:r>
    </w:p>
    <w:p w:rsidR="008022B2" w:rsidP="00F0711E">
      <w:pPr>
        <w:pStyle w:val="100"/>
        <w:rPr>
          <w:rtl/>
        </w:rPr>
      </w:pPr>
      <w:r>
        <w:rPr>
          <w:rFonts w:hint="cs"/>
          <w:rtl/>
        </w:rPr>
        <w:t xml:space="preserve">משרד המשפטים </w:t>
      </w:r>
      <w:r>
        <w:rPr>
          <w:rFonts w:hint="cs"/>
          <w:rtl/>
        </w:rPr>
        <w:t xml:space="preserve">מסר בתשובתו למשרד מבקר המדינה במאי 2019 כי העיכוב אינו רובץ לפתחו של היועץ המשפטי לממשלה, אלא על מי שבסמכותו להתקין את התקנות והוא אינו </w:t>
      </w:r>
      <w:r w:rsidRPr="00851F71">
        <w:rPr>
          <w:rFonts w:hint="cs"/>
          <w:rtl/>
        </w:rPr>
        <w:t>עושה זאת - שרי הבי</w:t>
      </w:r>
      <w:r>
        <w:rPr>
          <w:rFonts w:hint="cs"/>
          <w:rtl/>
        </w:rPr>
        <w:t>טחון והאוצר. הוא הוסיף כי</w:t>
      </w:r>
      <w:r w:rsidRPr="00851F71">
        <w:rPr>
          <w:rFonts w:hint="cs"/>
          <w:rtl/>
        </w:rPr>
        <w:t xml:space="preserve"> ביום 4.3.19 התקיימה ישיבה בראשות המשנה ליועץ המשפטי לממשלה, בהשתתפות נציגי מ</w:t>
      </w:r>
      <w:r w:rsidRPr="00851F71">
        <w:rPr>
          <w:rFonts w:hint="cs"/>
          <w:rtl/>
        </w:rPr>
        <w:t>שרד האוצר וצה"ל, ובמסגרתה נדונו הטענות שהועלו בפנייתו של היועץ המשפטי של משרד האוצר.</w:t>
      </w:r>
      <w:r>
        <w:rPr>
          <w:rFonts w:hint="cs"/>
          <w:rtl/>
        </w:rPr>
        <w:t xml:space="preserve"> </w:t>
      </w:r>
      <w:r w:rsidRPr="00851F71">
        <w:rPr>
          <w:rFonts w:hint="cs"/>
          <w:rtl/>
        </w:rPr>
        <w:t>המשנה הכריע בסוגיה ודחה את הבקשות כמפורט בסיכום הישיבה.</w:t>
      </w:r>
      <w:r>
        <w:rPr>
          <w:rFonts w:hint="cs"/>
          <w:rtl/>
        </w:rPr>
        <w:t xml:space="preserve"> </w:t>
      </w:r>
    </w:p>
    <w:p w:rsidR="008022B2" w:rsidP="00F0711E">
      <w:pPr>
        <w:pStyle w:val="100"/>
        <w:rPr>
          <w:rtl/>
        </w:rPr>
      </w:pPr>
      <w:r>
        <w:rPr>
          <w:rFonts w:hint="cs"/>
          <w:rtl/>
        </w:rPr>
        <w:t xml:space="preserve">המשנה ליועץ המשפטי לממשלה סיכם בישיבה האמורה: "בנסיבות העניין וככל שהמחלוקות יעמדו בעינן, על שר האוצר ושר הביטחון </w:t>
      </w:r>
      <w:r>
        <w:rPr>
          <w:rFonts w:hint="cs"/>
          <w:rtl/>
        </w:rPr>
        <w:t>בממשלה הבאה לעשות כל מאמץ להגיע להסכמות כך שתתאפשר התקנת תקנות הגישור בהקדם האפשרי. כפי שנמסר בכוונת הצבא להעלות זאת במסגרת דיוני התקציב הבא וניתן להניח שבמסגרת סיכום כללי בסוגיות הרבות שעל הפרק שידונו בתקציב 2020 יהיה קל יותר להגיע להסכמות בנושא ספציפי זה</w:t>
      </w:r>
      <w:r>
        <w:rPr>
          <w:rFonts w:hint="cs"/>
          <w:rtl/>
        </w:rPr>
        <w:t>. ככל שיתברר שסוגיית פנסיית הגישור לא תסוכם במסגרת דיוני התקציב לשנת 2020, משרד האוצר יוכל לפנות אלינו שוב בבקשה להפחית את המקדמות לפורשים חדשים בצירוף הנימוקים המשפטיים לבקשה. לאחר שמיעת עמדתו של צה"ל תתקבל ע"י המשנה ליועץ המשפטי לממשלה (ציבורי-חוקתי) החל</w:t>
      </w:r>
      <w:r>
        <w:rPr>
          <w:rFonts w:hint="cs"/>
          <w:rtl/>
        </w:rPr>
        <w:t xml:space="preserve">טה אם ניתן להיעתר לבקשה מן הבחינה המשפטית, תוך שימת הלב לזמן הרב שחלף, לכך שהתקנות בעניין המחויבות ע"פ חוק לא הותקנו, ובהתחשב במכלול נסיבות העניין". </w:t>
      </w:r>
    </w:p>
    <w:p w:rsidR="008022B2" w:rsidP="00F0711E">
      <w:pPr>
        <w:pStyle w:val="100"/>
        <w:rPr>
          <w:rtl/>
        </w:rPr>
      </w:pPr>
      <w:r>
        <w:rPr>
          <w:rFonts w:hint="cs"/>
          <w:rtl/>
        </w:rPr>
        <w:t>ביום 23.10.19 כתב משרד המשפטים למשרד מבקר המדינה כי "לא חלה התקדמות בנושא ויש בכך כדי להקשות גם על השגת הס</w:t>
      </w:r>
      <w:r>
        <w:rPr>
          <w:rFonts w:hint="cs"/>
          <w:rtl/>
        </w:rPr>
        <w:t xml:space="preserve">כמות על נוסח מוסכם של תקנות הגישור ביתר גופי הביטחון. עם זאת, ההערכה אותה שמענו מגורמי מקצוע בממשלה המלווים את הנושא היא שסוגיית פנסיית הגישור בצה"ל צפויה להיות מסוכמת בדיוני התר"ש [התוכנית הרב שנתית] בצה"ל שיתקיימו במסגרת הדיונים בחוק התקציב הקרוב". משרד </w:t>
      </w:r>
      <w:r>
        <w:rPr>
          <w:rFonts w:hint="cs"/>
          <w:rtl/>
        </w:rPr>
        <w:t>המשפטים הוסיף כי ביוני 2019 פנה למשרד ראש הממשלה בבקשה לסיוע ביישוב המחלוקות שבין משרד האוצר לצה"ל וגופי הביטחון, וכי בימים אלו מתקיימים דיונים במשרד ראש הממשלה שבהם נעשה ניסיון להביא את הצדדים לידי הסכמה.</w:t>
      </w:r>
    </w:p>
    <w:p w:rsidR="008022B2" w:rsidP="00F0711E">
      <w:pPr>
        <w:pStyle w:val="100"/>
        <w:rPr>
          <w:rtl/>
        </w:rPr>
      </w:pPr>
      <w:r>
        <w:rPr>
          <w:rFonts w:hint="cs"/>
          <w:rtl/>
        </w:rPr>
        <w:t>משרד המשפטים ציין כי "בנוגע למחלוקת שבין משרד האוצ</w:t>
      </w:r>
      <w:r>
        <w:rPr>
          <w:rFonts w:hint="cs"/>
          <w:rtl/>
        </w:rPr>
        <w:t xml:space="preserve">ר לבין צה"ל, נציגי משרד ראש הממשלה סבורים שהמסגרת הנכונה לדיון בתקנות הגישור בצה"ל הם דיוני התר"ש שיתקיימו במסגרת הדיונים בחוק התקציב הקרוב, ובדיונים אלו משרד ראש הממשלה ממילא מעורב. עמדה זו נראית בעינינו". </w:t>
      </w:r>
    </w:p>
    <w:p w:rsidR="008022B2" w:rsidRPr="00E36FCD" w:rsidP="00DF5D3F">
      <w:pPr>
        <w:pStyle w:val="a18"/>
        <w:rPr>
          <w:rtl/>
        </w:rPr>
      </w:pPr>
      <w:r>
        <w:rPr>
          <w:rFonts w:hint="cs"/>
          <w:rtl/>
        </w:rPr>
        <w:t>מאמור עולה כי התמשכות ההליכים ודחיית ההכרעה בנוג</w:t>
      </w:r>
      <w:r>
        <w:rPr>
          <w:rFonts w:hint="cs"/>
          <w:rtl/>
        </w:rPr>
        <w:t xml:space="preserve">ע לפנסיית הגישור אינה מאפשרת הכרעה בסוגיה והתקנת התקנות שהיו אמורות להיות מותקנות על פי החוק עד יוני 2017. מסתמן כי הנושא לא יוכל לבוא על פתרונו עד דיוני תקציב המדינה לשנת 2020, שצפוי שיתקיימו רק במחצית השנייה של שנת 2020. </w:t>
      </w:r>
      <w:r w:rsidRPr="00430136">
        <w:rPr>
          <w:rFonts w:hint="cs"/>
          <w:rtl/>
        </w:rPr>
        <w:t>המשך תשלום מקדמות פנסיית הגישור (</w:t>
      </w:r>
      <w:r w:rsidRPr="00430136">
        <w:rPr>
          <w:rFonts w:hint="cs"/>
          <w:rtl/>
        </w:rPr>
        <w:t>ש</w:t>
      </w:r>
      <w:r>
        <w:rPr>
          <w:rFonts w:hint="cs"/>
          <w:rtl/>
        </w:rPr>
        <w:t>סכומן</w:t>
      </w:r>
      <w:r w:rsidRPr="00430136">
        <w:rPr>
          <w:rFonts w:hint="cs"/>
          <w:rtl/>
        </w:rPr>
        <w:t xml:space="preserve"> כאמור נקבע על ידי צה"ל</w:t>
      </w:r>
      <w:r>
        <w:rPr>
          <w:rFonts w:hint="cs"/>
          <w:rtl/>
        </w:rPr>
        <w:t>, ויוצרות חוסר ודאות אצל הפורשים</w:t>
      </w:r>
      <w:r w:rsidRPr="00430136">
        <w:rPr>
          <w:rFonts w:hint="cs"/>
          <w:rtl/>
        </w:rPr>
        <w:t>) לאחר</w:t>
      </w:r>
      <w:r>
        <w:rPr>
          <w:rFonts w:hint="cs"/>
          <w:rtl/>
        </w:rPr>
        <w:t xml:space="preserve"> שחלפו</w:t>
      </w:r>
      <w:r w:rsidRPr="00430136">
        <w:rPr>
          <w:rFonts w:hint="cs"/>
          <w:rtl/>
        </w:rPr>
        <w:t xml:space="preserve"> </w:t>
      </w:r>
      <w:r>
        <w:rPr>
          <w:rFonts w:hint="cs"/>
          <w:u w:val="single"/>
          <w:rtl/>
        </w:rPr>
        <w:t>יותר משנתיים</w:t>
      </w:r>
      <w:r w:rsidRPr="00431CAE">
        <w:rPr>
          <w:rFonts w:hint="cs"/>
          <w:rtl/>
        </w:rPr>
        <w:t xml:space="preserve"> </w:t>
      </w:r>
      <w:r w:rsidRPr="00430136">
        <w:rPr>
          <w:rFonts w:hint="cs"/>
          <w:rtl/>
        </w:rPr>
        <w:t>מהמועד שנקבע בחוק להתקנת התקנות</w:t>
      </w:r>
      <w:r>
        <w:rPr>
          <w:rFonts w:hint="cs"/>
          <w:rtl/>
        </w:rPr>
        <w:t xml:space="preserve">, מקבע מצב זמני ויוצר חוסר ודאות, ועל משרדי האוצר והביטחון ועל צה"ל להסדירו. </w:t>
      </w:r>
    </w:p>
    <w:p w:rsidR="008022B2" w:rsidP="00DF5D3F">
      <w:pPr>
        <w:pStyle w:val="100"/>
        <w:rPr>
          <w:rtl/>
        </w:rPr>
      </w:pPr>
      <w:r>
        <w:rPr>
          <w:rFonts w:hint="cs"/>
          <w:rtl/>
        </w:rPr>
        <w:t>על פי הסיכום</w:t>
      </w:r>
      <w:r w:rsidRPr="00EF6802">
        <w:rPr>
          <w:rFonts w:hint="cs"/>
          <w:rtl/>
        </w:rPr>
        <w:t xml:space="preserve"> לסיכום בין משרד האוצר</w:t>
      </w:r>
      <w:r>
        <w:rPr>
          <w:rFonts w:hint="cs"/>
          <w:rtl/>
        </w:rPr>
        <w:t xml:space="preserve"> לבין</w:t>
      </w:r>
      <w:r w:rsidRPr="00EF6802">
        <w:rPr>
          <w:rFonts w:hint="cs"/>
          <w:rtl/>
        </w:rPr>
        <w:t xml:space="preserve"> משרד הב</w:t>
      </w:r>
      <w:r>
        <w:rPr>
          <w:rFonts w:hint="cs"/>
          <w:rtl/>
        </w:rPr>
        <w:t>י</w:t>
      </w:r>
      <w:r w:rsidRPr="00EF6802">
        <w:rPr>
          <w:rFonts w:hint="cs"/>
          <w:rtl/>
        </w:rPr>
        <w:t>טחון וצה"ל</w:t>
      </w:r>
      <w:r>
        <w:rPr>
          <w:rFonts w:hint="cs"/>
          <w:rtl/>
        </w:rPr>
        <w:t>,</w:t>
      </w:r>
      <w:r w:rsidRPr="00EF6802">
        <w:rPr>
          <w:rFonts w:hint="cs"/>
          <w:rtl/>
        </w:rPr>
        <w:t xml:space="preserve"> בחוק </w:t>
      </w:r>
      <w:r>
        <w:rPr>
          <w:rFonts w:hint="cs"/>
          <w:rtl/>
        </w:rPr>
        <w:t xml:space="preserve">גמלאות צבא הקבע </w:t>
      </w:r>
      <w:r w:rsidRPr="00EF6802">
        <w:rPr>
          <w:rFonts w:hint="cs"/>
          <w:rtl/>
        </w:rPr>
        <w:t>נקבע</w:t>
      </w:r>
      <w:r>
        <w:rPr>
          <w:rFonts w:hint="cs"/>
          <w:rtl/>
        </w:rPr>
        <w:t xml:space="preserve"> כי </w:t>
      </w:r>
      <w:r w:rsidRPr="00EF6802">
        <w:rPr>
          <w:rFonts w:hint="cs"/>
          <w:rtl/>
        </w:rPr>
        <w:t xml:space="preserve">קצבת </w:t>
      </w:r>
      <w:r>
        <w:rPr>
          <w:rFonts w:hint="cs"/>
          <w:rtl/>
        </w:rPr>
        <w:t>פנסיית ה</w:t>
      </w:r>
      <w:r w:rsidRPr="00EF6802">
        <w:rPr>
          <w:rFonts w:hint="cs"/>
          <w:rtl/>
        </w:rPr>
        <w:t xml:space="preserve">גישור </w:t>
      </w:r>
      <w:r>
        <w:rPr>
          <w:rFonts w:hint="cs"/>
          <w:rtl/>
        </w:rPr>
        <w:t>ה</w:t>
      </w:r>
      <w:r w:rsidRPr="00EF6802">
        <w:rPr>
          <w:rFonts w:hint="cs"/>
          <w:rtl/>
        </w:rPr>
        <w:t>ממוצעת לקצינים בשנת 2025 לא תעלה על</w:t>
      </w:r>
      <w:r>
        <w:rPr>
          <w:rFonts w:hint="cs"/>
          <w:rtl/>
        </w:rPr>
        <w:t xml:space="preserve"> 12,000</w:t>
      </w:r>
      <w:r w:rsidRPr="00EF6802">
        <w:rPr>
          <w:rFonts w:hint="cs"/>
          <w:rtl/>
        </w:rPr>
        <w:t xml:space="preserve"> ש"ח. </w:t>
      </w:r>
      <w:r>
        <w:rPr>
          <w:rFonts w:hint="cs"/>
          <w:rtl/>
        </w:rPr>
        <w:t>עוד נקבע כי במידה והקצבה הממוצעת תחרוג מסכום זה יקבע שר האוצר באופן חד צדדי (באישור ועדת הכנסת) "הסדר לתשלום פנסיית הגישור" שיעמיד את הגמלה הממוצעת על סכום של</w:t>
      </w:r>
      <w:r>
        <w:rPr>
          <w:rFonts w:hint="cs"/>
          <w:rtl/>
        </w:rPr>
        <w:t xml:space="preserve"> 12,000 אלף ש"ח.</w:t>
      </w:r>
    </w:p>
    <w:p w:rsidR="008022B2" w:rsidP="00DF5D3F">
      <w:pPr>
        <w:pStyle w:val="100"/>
        <w:rPr>
          <w:rtl/>
        </w:rPr>
      </w:pPr>
      <w:r>
        <w:rPr>
          <w:rFonts w:hint="cs"/>
          <w:rtl/>
        </w:rPr>
        <w:t>דיונים בדבר עמידה בתקרה המקסימלית של פנסיית הגישור הממוצעת התקיימו גם בוועדה המשותפת של ועדת חוץ וביטחון וועדת העבודה הרווחה והבריאות של הכנסת. אחד החששות המרכזיים שהביע משרד האוצר הוא כי משרד הביטחון וצה"ל יחרגו מהיעד של הקצבה הממוצעת שעל</w:t>
      </w:r>
      <w:r>
        <w:rPr>
          <w:rFonts w:hint="cs"/>
          <w:rtl/>
        </w:rPr>
        <w:t xml:space="preserve">יו הוסכם לשנת 2025. </w:t>
      </w:r>
    </w:p>
    <w:p w:rsidR="008022B2" w:rsidRPr="00240A0E" w:rsidP="00DF5D3F">
      <w:pPr>
        <w:pStyle w:val="100"/>
        <w:rPr>
          <w:rtl/>
        </w:rPr>
      </w:pPr>
      <w:r>
        <w:rPr>
          <w:rFonts w:hint="cs"/>
          <w:rtl/>
        </w:rPr>
        <w:t xml:space="preserve">רמ"ט אכ"א מסרה לנציגי משרד מבקר המדינה ביוני 2019 כי הוחלט והוסכם שצה"ל יציג בשנת 2021 את המתווה שממנו יעלה כי בשנת 2025 הקצבה הממוצעת לקצינים תעמוד על 12,000 ש"ח. עוד מסרה רמ"ט אכ"א כי מאחר שהחוק מסמיך את שר האוצר לקבוע באופן חד-צדדי </w:t>
      </w:r>
      <w:r>
        <w:rPr>
          <w:rFonts w:hint="cs"/>
          <w:rtl/>
        </w:rPr>
        <w:t>את ההסדר לתשלום פנסיית הגישור, הרי אם צה"ל ומשרד הביטחון לא יעמדו בגובה הקצבה הממוצעת, הטענה שלפיה צה"ל יוכל לשלם לקצינים הפורשים קצבה בסכום גבוה יותר, ללא כל השלכות, אינה נכונה.</w:t>
      </w:r>
    </w:p>
    <w:p w:rsidR="008022B2" w:rsidP="00DF5D3F">
      <w:pPr>
        <w:pStyle w:val="100"/>
        <w:rPr>
          <w:rtl/>
        </w:rPr>
      </w:pPr>
      <w:r>
        <w:rPr>
          <w:rFonts w:hint="cs"/>
          <w:rtl/>
        </w:rPr>
        <w:t>בדוח הקודם נכתב כי על החשב הכללי "לחשב את החבות האקטוארית של פנסיית הגישור הת</w:t>
      </w:r>
      <w:r>
        <w:rPr>
          <w:rFonts w:hint="cs"/>
          <w:rtl/>
        </w:rPr>
        <w:t>קציבית לעובדי מערכת הביטחון, ולהוסיפה לחבות האקטוארית לפנסייה תקציבית המוצגת בדוחות הכספיים של הממשלה".</w:t>
      </w:r>
    </w:p>
    <w:p w:rsidR="008022B2" w:rsidP="00DF5D3F">
      <w:pPr>
        <w:pStyle w:val="100"/>
        <w:rPr>
          <w:rtl/>
        </w:rPr>
      </w:pPr>
      <w:r>
        <w:rPr>
          <w:rFonts w:hint="cs"/>
          <w:rtl/>
        </w:rPr>
        <w:t>בדוח הכספי של הממשלה ליום 31.12.17 שפורסם באוגוסט 2018, נכתב כי "עד מועד פרסום הדוח הכספי, טרם נקבעו תקנות לחישוב פנסיית הגישור של משרתי הקבע בפנסייה צו</w:t>
      </w:r>
      <w:r>
        <w:rPr>
          <w:rFonts w:hint="cs"/>
          <w:rtl/>
        </w:rPr>
        <w:t xml:space="preserve">ברת, לרבות הכלל כי פנסיית הגישור לא תעלה על קצבת הפנסייה התקציבית הרעיונית של משרתי הקבע, וזאת כחלק מיישום עקרונות הסיכום התקציבי לתקציב הביטחון לשנים 2020-2015... לאור האמור לעיל חישוב החבות בגין הפנסייה התקציבית במערכת הביטחון הינה חלקית ואינה מייצגת את </w:t>
      </w:r>
      <w:r>
        <w:rPr>
          <w:rFonts w:hint="cs"/>
          <w:rtl/>
        </w:rPr>
        <w:t>מלוא החבות". בדו"ח הכספי של הממשלה ליום 31.12.18 נכתב כי "בהתאם להחלטת היועץ המשפטי לממשלה והנחיות יישום של אגף החשב הכללי, יש לשלם לפורשים מקדמות עד להתקנת תקנות לחישוב פנסיית הגישור. לאחר התקנת התקנות יהיה ניתן לבצע הערכות לצורך הערכה ראשונית של החבות בג</w:t>
      </w:r>
      <w:r>
        <w:rPr>
          <w:rFonts w:hint="cs"/>
          <w:rtl/>
        </w:rPr>
        <w:t>ין פנסיית הגישור של משרתי הקבע".</w:t>
      </w:r>
    </w:p>
    <w:p w:rsidR="008022B2" w:rsidP="00DF5D3F">
      <w:pPr>
        <w:pStyle w:val="100"/>
        <w:rPr>
          <w:rtl/>
        </w:rPr>
      </w:pPr>
      <w:r>
        <w:rPr>
          <w:rFonts w:hint="cs"/>
          <w:rtl/>
        </w:rPr>
        <w:t xml:space="preserve">לדעת משרד מבקר המדינה, ובייחוד נוכח ההסדר המוסכם שלפיו ממוצע פנסיית הגישור לא יעלה על 12,000 ש"ח, היה מקום שמשרד האוצר יציג בדוחות הכספיים של הממשלה לכל </w:t>
      </w:r>
      <w:r>
        <w:rPr>
          <w:rFonts w:hint="cs"/>
          <w:rtl/>
        </w:rPr>
        <w:t>הפחות הערכה כללית בדבר החבות הכוללת בגין פנסיית הגישור, הן במצב שבו צה</w:t>
      </w:r>
      <w:r>
        <w:rPr>
          <w:rFonts w:hint="cs"/>
          <w:rtl/>
        </w:rPr>
        <w:t>"ל ומשרד הביטחון עומדים בהסדר המוסכם האמור והן לפי תרחישים אחרים שניתן לכלול בביאור לדוחות אלו.</w:t>
      </w:r>
    </w:p>
    <w:p w:rsidR="008022B2" w:rsidP="00DF5D3F">
      <w:pPr>
        <w:pStyle w:val="100"/>
        <w:rPr>
          <w:rtl/>
        </w:rPr>
      </w:pPr>
      <w:r>
        <w:rPr>
          <w:rFonts w:hint="cs"/>
          <w:rtl/>
        </w:rPr>
        <w:t xml:space="preserve">משרד האוצר ציין בתשובתו כי </w:t>
      </w:r>
      <w:r>
        <w:rPr>
          <w:rFonts w:hint="cs"/>
          <w:color w:val="000000"/>
          <w:rtl/>
          <w:lang w:val="he-IL" w:eastAsia="he-IL"/>
        </w:rPr>
        <w:t>"</w:t>
      </w:r>
      <w:r w:rsidRPr="001F31C0">
        <w:rPr>
          <w:color w:val="000000"/>
          <w:rtl/>
          <w:lang w:val="he-IL" w:eastAsia="he-IL"/>
        </w:rPr>
        <w:t>מאחר שאין בידי האוצר נתונים מפורטים לגבי פורשי צה״ל, ובכלל זה: לגבי מי שפרשו לפנסיית גישור מצה״ל, אין ביכולת משרד האוצר לבצע רישום ש</w:t>
      </w:r>
      <w:r w:rsidRPr="001F31C0">
        <w:rPr>
          <w:color w:val="000000"/>
          <w:rtl/>
          <w:lang w:val="he-IL" w:eastAsia="he-IL"/>
        </w:rPr>
        <w:t>ל החבות האקטוארית בגין פנסיית הגישור במאזן המדינה. יובהר כי משלא הותקנו התקנות, לא ידוע מה יהיה סכום הקצבאות המדויק שישולמו, ובהתחשב במצב הדברים הנוכחי המפורט לעיל ובהיקף חוסר ההסכמות, לא ניתן אף להעריך את גובה החבות. יחד עם זאת, לנוכח הערת משרד המבקר בכוו</w:t>
      </w:r>
      <w:r w:rsidRPr="001F31C0">
        <w:rPr>
          <w:color w:val="000000"/>
          <w:rtl/>
          <w:lang w:val="he-IL" w:eastAsia="he-IL"/>
        </w:rPr>
        <w:t>נת אגף החשב הכללי לבחון פעם נוספת את האפשרות להציג נתונים בדוחות הכספיים, וזאת בהתחשב בכל האמור, ובפרט: ביכולת לקבל נתונים מדויקים מצה״ל</w:t>
      </w:r>
      <w:r>
        <w:rPr>
          <w:rFonts w:hint="cs"/>
          <w:color w:val="000000"/>
          <w:rtl/>
          <w:lang w:val="he-IL" w:eastAsia="he-IL"/>
        </w:rPr>
        <w:t>"</w:t>
      </w:r>
      <w:r w:rsidRPr="001F31C0">
        <w:rPr>
          <w:color w:val="000000"/>
          <w:rtl/>
          <w:lang w:val="he-IL" w:eastAsia="he-IL"/>
        </w:rPr>
        <w:t>.</w:t>
      </w:r>
    </w:p>
    <w:p w:rsidR="008022B2" w:rsidRPr="0072039C" w:rsidP="00DF5D3F">
      <w:pPr>
        <w:pStyle w:val="100"/>
        <w:rPr>
          <w:rtl/>
        </w:rPr>
      </w:pPr>
      <w:r>
        <w:rPr>
          <w:rFonts w:hint="cs"/>
          <w:rtl/>
        </w:rPr>
        <w:t xml:space="preserve">בתשובתה מיום 15.1.20 מסרה מחלקת ייעוץ וחקיקה במשרד המשפטים למשרד מבקר המדינה כי "משרד האוצר ומשרד הביטחון מופקדים על </w:t>
      </w:r>
      <w:r>
        <w:rPr>
          <w:rFonts w:hint="cs"/>
          <w:rtl/>
        </w:rPr>
        <w:t>גיבוש ההסדר המהותי שייכלל בתקנות שהוא הסדר כלכלי בעיקרו ולא משפטי. כמקובל, היועץ המשפטי לממשלה או מי מטעמו, צפוי להיות מעורב בכך אם יתגלעו מחלוקות או קשיים משפטיים".</w:t>
      </w:r>
    </w:p>
    <w:p w:rsidR="008022B2" w:rsidP="00DF5D3F">
      <w:pPr>
        <w:pStyle w:val="a18"/>
        <w:rPr>
          <w:rtl/>
        </w:rPr>
      </w:pPr>
      <w:r w:rsidRPr="009F51DA">
        <w:rPr>
          <w:rFonts w:hint="eastAsia"/>
          <w:rtl/>
        </w:rPr>
        <w:t>העיכוב</w:t>
      </w:r>
      <w:r w:rsidRPr="009F51DA">
        <w:rPr>
          <w:rtl/>
        </w:rPr>
        <w:t xml:space="preserve"> בהתקנת תקנות מכוח סעיף 67ו לחוק גמלאות צבא הקבע </w:t>
      </w:r>
      <w:r w:rsidRPr="009F51DA">
        <w:rPr>
          <w:rFonts w:hint="eastAsia"/>
          <w:rtl/>
        </w:rPr>
        <w:t>מפר</w:t>
      </w:r>
      <w:r w:rsidRPr="009F51DA">
        <w:rPr>
          <w:rtl/>
        </w:rPr>
        <w:t xml:space="preserve"> את </w:t>
      </w:r>
      <w:r w:rsidRPr="009F51DA">
        <w:rPr>
          <w:rFonts w:hint="eastAsia"/>
          <w:rtl/>
        </w:rPr>
        <w:t>הוראות</w:t>
      </w:r>
      <w:r w:rsidRPr="009F51DA">
        <w:rPr>
          <w:rtl/>
        </w:rPr>
        <w:t xml:space="preserve"> המחוקק </w:t>
      </w:r>
      <w:r w:rsidRPr="009F51DA">
        <w:rPr>
          <w:rFonts w:hint="eastAsia"/>
          <w:rtl/>
        </w:rPr>
        <w:t>שלפיהן</w:t>
      </w:r>
      <w:r w:rsidRPr="009F51DA">
        <w:rPr>
          <w:rtl/>
        </w:rPr>
        <w:t xml:space="preserve"> </w:t>
      </w:r>
      <w:r w:rsidRPr="009F51DA">
        <w:rPr>
          <w:rFonts w:hint="eastAsia"/>
          <w:rtl/>
        </w:rPr>
        <w:t>הזכאות</w:t>
      </w:r>
      <w:r w:rsidRPr="009F51DA">
        <w:rPr>
          <w:rtl/>
        </w:rPr>
        <w:t xml:space="preserve"> </w:t>
      </w:r>
      <w:r w:rsidRPr="009F51DA">
        <w:rPr>
          <w:rFonts w:hint="eastAsia"/>
          <w:rtl/>
        </w:rPr>
        <w:t>לפנסיית</w:t>
      </w:r>
      <w:r w:rsidRPr="009F51DA">
        <w:rPr>
          <w:rtl/>
        </w:rPr>
        <w:t xml:space="preserve"> </w:t>
      </w:r>
      <w:r w:rsidRPr="009F51DA">
        <w:rPr>
          <w:rFonts w:hint="eastAsia"/>
          <w:rtl/>
        </w:rPr>
        <w:t>גישור</w:t>
      </w:r>
      <w:r w:rsidRPr="009F51DA">
        <w:rPr>
          <w:rtl/>
        </w:rPr>
        <w:t xml:space="preserve"> </w:t>
      </w:r>
      <w:r w:rsidRPr="009F51DA">
        <w:rPr>
          <w:rFonts w:hint="eastAsia"/>
          <w:rtl/>
        </w:rPr>
        <w:t>ותנאיה</w:t>
      </w:r>
      <w:r w:rsidRPr="009F51DA">
        <w:rPr>
          <w:rtl/>
        </w:rPr>
        <w:t xml:space="preserve"> </w:t>
      </w:r>
      <w:r>
        <w:rPr>
          <w:rFonts w:hint="eastAsia"/>
          <w:rtl/>
        </w:rPr>
        <w:t>צריכ</w:t>
      </w:r>
      <w:r>
        <w:rPr>
          <w:rFonts w:hint="cs"/>
          <w:rtl/>
        </w:rPr>
        <w:t>ים</w:t>
      </w:r>
      <w:r w:rsidRPr="009F51DA">
        <w:rPr>
          <w:rtl/>
        </w:rPr>
        <w:t xml:space="preserve"> </w:t>
      </w:r>
      <w:r w:rsidRPr="009F51DA">
        <w:rPr>
          <w:rFonts w:hint="eastAsia"/>
          <w:rtl/>
        </w:rPr>
        <w:t>להיקבע</w:t>
      </w:r>
      <w:r w:rsidRPr="009F51DA">
        <w:rPr>
          <w:rtl/>
        </w:rPr>
        <w:t xml:space="preserve"> </w:t>
      </w:r>
      <w:r w:rsidRPr="009F51DA">
        <w:rPr>
          <w:rFonts w:hint="eastAsia"/>
          <w:rtl/>
        </w:rPr>
        <w:t>על</w:t>
      </w:r>
      <w:r w:rsidRPr="009F51DA">
        <w:rPr>
          <w:rtl/>
        </w:rPr>
        <w:t xml:space="preserve"> </w:t>
      </w:r>
      <w:r w:rsidRPr="009F51DA">
        <w:rPr>
          <w:rFonts w:hint="eastAsia"/>
          <w:rtl/>
        </w:rPr>
        <w:t>פי</w:t>
      </w:r>
      <w:r w:rsidRPr="009F51DA">
        <w:rPr>
          <w:rtl/>
        </w:rPr>
        <w:t xml:space="preserve"> </w:t>
      </w:r>
      <w:r w:rsidRPr="009F51DA">
        <w:rPr>
          <w:rFonts w:hint="eastAsia"/>
          <w:rtl/>
        </w:rPr>
        <w:t>תקנות</w:t>
      </w:r>
      <w:r w:rsidRPr="009F51DA">
        <w:rPr>
          <w:rtl/>
        </w:rPr>
        <w:t xml:space="preserve"> </w:t>
      </w:r>
      <w:r w:rsidRPr="009F51DA">
        <w:rPr>
          <w:rFonts w:hint="eastAsia"/>
          <w:rtl/>
        </w:rPr>
        <w:t>שיקבעו</w:t>
      </w:r>
      <w:r w:rsidRPr="009F51DA">
        <w:rPr>
          <w:rtl/>
        </w:rPr>
        <w:t xml:space="preserve"> </w:t>
      </w:r>
      <w:r w:rsidRPr="009F51DA">
        <w:rPr>
          <w:rFonts w:hint="eastAsia"/>
          <w:rtl/>
        </w:rPr>
        <w:t>השרים</w:t>
      </w:r>
      <w:r w:rsidRPr="009F51DA">
        <w:rPr>
          <w:rtl/>
        </w:rPr>
        <w:t xml:space="preserve"> </w:t>
      </w:r>
      <w:r w:rsidRPr="009F51DA">
        <w:rPr>
          <w:rFonts w:hint="eastAsia"/>
          <w:rtl/>
        </w:rPr>
        <w:t>בפיקוח</w:t>
      </w:r>
      <w:r w:rsidRPr="009F51DA">
        <w:rPr>
          <w:rtl/>
        </w:rPr>
        <w:t xml:space="preserve"> </w:t>
      </w:r>
      <w:r w:rsidRPr="009F51DA">
        <w:rPr>
          <w:rFonts w:hint="eastAsia"/>
          <w:rtl/>
        </w:rPr>
        <w:t>פרלמנטרי</w:t>
      </w:r>
      <w:r w:rsidRPr="009F51DA">
        <w:rPr>
          <w:rtl/>
        </w:rPr>
        <w:t>.</w:t>
      </w:r>
      <w:r w:rsidR="006479B4">
        <w:rPr>
          <w:rFonts w:hint="cs"/>
          <w:rtl/>
        </w:rPr>
        <w:t xml:space="preserve"> </w:t>
      </w:r>
      <w:r w:rsidRPr="009F51DA">
        <w:rPr>
          <w:rFonts w:hint="eastAsia"/>
          <w:rtl/>
        </w:rPr>
        <w:t>עיגון</w:t>
      </w:r>
      <w:r w:rsidRPr="009F51DA">
        <w:rPr>
          <w:rtl/>
        </w:rPr>
        <w:t xml:space="preserve"> </w:t>
      </w:r>
      <w:r w:rsidRPr="009F51DA">
        <w:rPr>
          <w:rFonts w:hint="eastAsia"/>
          <w:rtl/>
        </w:rPr>
        <w:t>הסוגיה</w:t>
      </w:r>
      <w:r w:rsidRPr="009F51DA">
        <w:rPr>
          <w:rtl/>
        </w:rPr>
        <w:t xml:space="preserve"> </w:t>
      </w:r>
      <w:r w:rsidRPr="009F51DA">
        <w:rPr>
          <w:rFonts w:hint="eastAsia"/>
          <w:rtl/>
        </w:rPr>
        <w:t>בתקנות</w:t>
      </w:r>
      <w:r w:rsidRPr="009F51DA">
        <w:rPr>
          <w:rtl/>
        </w:rPr>
        <w:t xml:space="preserve"> </w:t>
      </w:r>
      <w:r w:rsidRPr="009F51DA">
        <w:rPr>
          <w:rFonts w:hint="eastAsia"/>
          <w:rtl/>
        </w:rPr>
        <w:t>יצור</w:t>
      </w:r>
      <w:r w:rsidRPr="009F51DA">
        <w:rPr>
          <w:rtl/>
        </w:rPr>
        <w:t xml:space="preserve"> </w:t>
      </w:r>
      <w:r w:rsidRPr="009F51DA">
        <w:rPr>
          <w:rFonts w:hint="eastAsia"/>
          <w:rtl/>
        </w:rPr>
        <w:t>ודאות</w:t>
      </w:r>
      <w:r w:rsidRPr="009F51DA">
        <w:rPr>
          <w:rtl/>
        </w:rPr>
        <w:t xml:space="preserve"> </w:t>
      </w:r>
      <w:r w:rsidRPr="009F51DA">
        <w:rPr>
          <w:rFonts w:hint="eastAsia"/>
          <w:rtl/>
        </w:rPr>
        <w:t>אצל</w:t>
      </w:r>
      <w:r w:rsidRPr="009F51DA">
        <w:rPr>
          <w:rtl/>
        </w:rPr>
        <w:t xml:space="preserve"> </w:t>
      </w:r>
      <w:r w:rsidRPr="009F51DA">
        <w:rPr>
          <w:rFonts w:hint="eastAsia"/>
          <w:rtl/>
        </w:rPr>
        <w:t>הפורשים</w:t>
      </w:r>
      <w:r w:rsidRPr="009F51DA">
        <w:rPr>
          <w:rtl/>
        </w:rPr>
        <w:t xml:space="preserve"> </w:t>
      </w:r>
      <w:r w:rsidRPr="009F51DA">
        <w:rPr>
          <w:rFonts w:hint="eastAsia"/>
          <w:rtl/>
        </w:rPr>
        <w:t>ויבטיח</w:t>
      </w:r>
      <w:r w:rsidRPr="009F51DA">
        <w:rPr>
          <w:rtl/>
        </w:rPr>
        <w:t xml:space="preserve"> </w:t>
      </w:r>
      <w:r w:rsidRPr="009F51DA">
        <w:rPr>
          <w:rFonts w:hint="eastAsia"/>
          <w:rtl/>
        </w:rPr>
        <w:t>אחידות</w:t>
      </w:r>
      <w:r w:rsidRPr="009F51DA">
        <w:rPr>
          <w:rtl/>
        </w:rPr>
        <w:t xml:space="preserve"> </w:t>
      </w:r>
      <w:r w:rsidRPr="009F51DA">
        <w:rPr>
          <w:rFonts w:hint="eastAsia"/>
          <w:rtl/>
        </w:rPr>
        <w:t>ושוויון</w:t>
      </w:r>
      <w:r w:rsidRPr="009F51DA">
        <w:rPr>
          <w:rtl/>
        </w:rPr>
        <w:t xml:space="preserve"> </w:t>
      </w:r>
      <w:r w:rsidRPr="009F51DA">
        <w:rPr>
          <w:rFonts w:hint="eastAsia"/>
          <w:rtl/>
        </w:rPr>
        <w:t>בהענקת</w:t>
      </w:r>
      <w:r w:rsidRPr="009F51DA">
        <w:rPr>
          <w:rtl/>
        </w:rPr>
        <w:t xml:space="preserve"> </w:t>
      </w:r>
      <w:r w:rsidRPr="009F51DA">
        <w:rPr>
          <w:rFonts w:hint="eastAsia"/>
          <w:rtl/>
        </w:rPr>
        <w:t>הזכות</w:t>
      </w:r>
      <w:r w:rsidRPr="009F51DA">
        <w:rPr>
          <w:rtl/>
        </w:rPr>
        <w:t xml:space="preserve">. </w:t>
      </w:r>
      <w:r w:rsidRPr="009F51DA">
        <w:rPr>
          <w:rFonts w:hint="eastAsia"/>
          <w:rtl/>
        </w:rPr>
        <w:t>נוסף</w:t>
      </w:r>
      <w:r w:rsidRPr="009F51DA">
        <w:rPr>
          <w:rtl/>
        </w:rPr>
        <w:t xml:space="preserve"> </w:t>
      </w:r>
      <w:r w:rsidRPr="009F51DA">
        <w:rPr>
          <w:rFonts w:hint="eastAsia"/>
          <w:rtl/>
        </w:rPr>
        <w:t>על</w:t>
      </w:r>
      <w:r w:rsidRPr="009F51DA">
        <w:rPr>
          <w:rtl/>
        </w:rPr>
        <w:t xml:space="preserve"> </w:t>
      </w:r>
      <w:r w:rsidRPr="009F51DA">
        <w:rPr>
          <w:rFonts w:hint="eastAsia"/>
          <w:rtl/>
        </w:rPr>
        <w:t>כך</w:t>
      </w:r>
      <w:r w:rsidRPr="009F51DA">
        <w:rPr>
          <w:rtl/>
        </w:rPr>
        <w:t xml:space="preserve">, </w:t>
      </w:r>
      <w:r w:rsidRPr="009F51DA">
        <w:rPr>
          <w:rFonts w:hint="eastAsia"/>
          <w:rtl/>
        </w:rPr>
        <w:t>לא</w:t>
      </w:r>
      <w:r w:rsidRPr="009F51DA">
        <w:rPr>
          <w:rtl/>
        </w:rPr>
        <w:t xml:space="preserve"> </w:t>
      </w:r>
      <w:r w:rsidRPr="009F51DA">
        <w:rPr>
          <w:rFonts w:hint="eastAsia"/>
          <w:rtl/>
        </w:rPr>
        <w:t>רק</w:t>
      </w:r>
      <w:r w:rsidRPr="009F51DA">
        <w:rPr>
          <w:rtl/>
        </w:rPr>
        <w:t xml:space="preserve"> </w:t>
      </w:r>
      <w:r w:rsidRPr="009F51DA">
        <w:rPr>
          <w:rFonts w:hint="eastAsia"/>
          <w:rtl/>
        </w:rPr>
        <w:t>שאי</w:t>
      </w:r>
      <w:r w:rsidRPr="009F51DA">
        <w:rPr>
          <w:rtl/>
        </w:rPr>
        <w:t>-</w:t>
      </w:r>
      <w:r w:rsidRPr="009F51DA">
        <w:rPr>
          <w:rFonts w:hint="eastAsia"/>
          <w:rtl/>
        </w:rPr>
        <w:t>התקנת</w:t>
      </w:r>
      <w:r w:rsidRPr="009F51DA">
        <w:rPr>
          <w:rtl/>
        </w:rPr>
        <w:t xml:space="preserve"> התקנות מנוגד</w:t>
      </w:r>
      <w:r>
        <w:rPr>
          <w:rFonts w:hint="cs"/>
          <w:rtl/>
        </w:rPr>
        <w:t>ת</w:t>
      </w:r>
      <w:r w:rsidRPr="009F51DA">
        <w:rPr>
          <w:rtl/>
        </w:rPr>
        <w:t xml:space="preserve"> ללשון החוק והתשלום שניתן בה</w:t>
      </w:r>
      <w:r>
        <w:rPr>
          <w:rFonts w:hint="cs"/>
          <w:rtl/>
        </w:rPr>
        <w:t>י</w:t>
      </w:r>
      <w:r w:rsidRPr="009F51DA">
        <w:rPr>
          <w:rtl/>
        </w:rPr>
        <w:t xml:space="preserve">עדר תקנות אינו מוסכם, אלא יש </w:t>
      </w:r>
      <w:r w:rsidRPr="009F51DA">
        <w:rPr>
          <w:rtl/>
        </w:rPr>
        <w:t>בכך כדי לגרום לרישום חלקי ולא מלא של החבות בגין ה</w:t>
      </w:r>
      <w:r>
        <w:rPr>
          <w:rtl/>
        </w:rPr>
        <w:t>פנסייה</w:t>
      </w:r>
      <w:r w:rsidRPr="009F51DA">
        <w:rPr>
          <w:rtl/>
        </w:rPr>
        <w:t xml:space="preserve"> התקציבית במערכת הביטחון בדוחות הכספי</w:t>
      </w:r>
      <w:r w:rsidRPr="009F51DA">
        <w:rPr>
          <w:rFonts w:hint="eastAsia"/>
          <w:rtl/>
        </w:rPr>
        <w:t>ים</w:t>
      </w:r>
      <w:r w:rsidRPr="009F51DA">
        <w:rPr>
          <w:rtl/>
        </w:rPr>
        <w:t xml:space="preserve"> </w:t>
      </w:r>
      <w:r w:rsidRPr="009F51DA">
        <w:rPr>
          <w:rFonts w:hint="eastAsia"/>
          <w:rtl/>
        </w:rPr>
        <w:t>של</w:t>
      </w:r>
      <w:r w:rsidRPr="009F51DA">
        <w:rPr>
          <w:rtl/>
        </w:rPr>
        <w:t xml:space="preserve"> </w:t>
      </w:r>
      <w:r w:rsidRPr="009F51DA">
        <w:rPr>
          <w:rFonts w:hint="eastAsia"/>
          <w:rtl/>
        </w:rPr>
        <w:t>הממשלה</w:t>
      </w:r>
      <w:r w:rsidRPr="009F51DA">
        <w:rPr>
          <w:rtl/>
        </w:rPr>
        <w:t>.</w:t>
      </w:r>
      <w:r>
        <w:rPr>
          <w:rFonts w:hint="cs"/>
          <w:rtl/>
        </w:rPr>
        <w:t xml:space="preserve"> </w:t>
      </w:r>
    </w:p>
    <w:p w:rsidR="008022B2" w:rsidRPr="003576E5" w:rsidP="00DF5D3F">
      <w:pPr>
        <w:pStyle w:val="a18"/>
        <w:rPr>
          <w:rtl/>
        </w:rPr>
      </w:pPr>
      <w:r w:rsidRPr="003576E5">
        <w:rPr>
          <w:rFonts w:hint="cs"/>
          <w:rtl/>
        </w:rPr>
        <w:t>על משרד</w:t>
      </w:r>
      <w:r>
        <w:rPr>
          <w:rFonts w:hint="cs"/>
          <w:rtl/>
        </w:rPr>
        <w:t>י</w:t>
      </w:r>
      <w:r w:rsidRPr="003576E5">
        <w:rPr>
          <w:rFonts w:hint="cs"/>
          <w:rtl/>
        </w:rPr>
        <w:t xml:space="preserve"> הביטחון </w:t>
      </w:r>
      <w:r>
        <w:rPr>
          <w:rFonts w:hint="cs"/>
          <w:rtl/>
        </w:rPr>
        <w:t>ו</w:t>
      </w:r>
      <w:r w:rsidRPr="003576E5">
        <w:rPr>
          <w:rFonts w:hint="cs"/>
          <w:rtl/>
        </w:rPr>
        <w:t>האוצר ו</w:t>
      </w:r>
      <w:r>
        <w:rPr>
          <w:rFonts w:hint="cs"/>
          <w:rtl/>
        </w:rPr>
        <w:t xml:space="preserve">על </w:t>
      </w:r>
      <w:r w:rsidRPr="003576E5">
        <w:rPr>
          <w:rFonts w:hint="cs"/>
          <w:rtl/>
        </w:rPr>
        <w:t>היועץ המשפטי לממשלה להשלים את הדיונים לצורך התקנת התקנות וקבל</w:t>
      </w:r>
      <w:r>
        <w:rPr>
          <w:rFonts w:hint="cs"/>
          <w:rtl/>
        </w:rPr>
        <w:t>ת</w:t>
      </w:r>
      <w:r w:rsidRPr="003576E5">
        <w:rPr>
          <w:rFonts w:hint="cs"/>
          <w:rtl/>
        </w:rPr>
        <w:t xml:space="preserve"> החלטה בעניין תשלום המקדמות לפורשי</w:t>
      </w:r>
      <w:r>
        <w:rPr>
          <w:rFonts w:hint="cs"/>
          <w:rtl/>
        </w:rPr>
        <w:t xml:space="preserve"> צה"ל</w:t>
      </w:r>
      <w:r w:rsidRPr="003576E5">
        <w:rPr>
          <w:rFonts w:hint="cs"/>
          <w:rtl/>
        </w:rPr>
        <w:t>, כך שעם כינון הממשל</w:t>
      </w:r>
      <w:r w:rsidRPr="003576E5">
        <w:rPr>
          <w:rFonts w:hint="cs"/>
          <w:rtl/>
        </w:rPr>
        <w:t>ה החדשה הדבר יובא</w:t>
      </w:r>
      <w:r>
        <w:rPr>
          <w:rFonts w:hint="cs"/>
          <w:rtl/>
        </w:rPr>
        <w:t xml:space="preserve"> </w:t>
      </w:r>
      <w:r w:rsidRPr="003576E5">
        <w:rPr>
          <w:rFonts w:hint="cs"/>
          <w:rtl/>
        </w:rPr>
        <w:t>בפני השרים לשם הסדרת הנושא</w:t>
      </w:r>
      <w:r>
        <w:rPr>
          <w:rFonts w:hint="cs"/>
          <w:rtl/>
        </w:rPr>
        <w:t xml:space="preserve">. קידום הנושא חשוב </w:t>
      </w:r>
      <w:r w:rsidRPr="003576E5">
        <w:rPr>
          <w:rFonts w:hint="cs"/>
          <w:rtl/>
        </w:rPr>
        <w:t xml:space="preserve">בפרט לאור העיכוב שנוצר בשנים 2019 - 2020 </w:t>
      </w:r>
      <w:r>
        <w:rPr>
          <w:rFonts w:hint="cs"/>
          <w:rtl/>
        </w:rPr>
        <w:t>בשל</w:t>
      </w:r>
      <w:r w:rsidRPr="003576E5">
        <w:rPr>
          <w:rFonts w:hint="cs"/>
          <w:rtl/>
        </w:rPr>
        <w:t xml:space="preserve"> מערכות הבחירות לכנסת.</w:t>
      </w:r>
    </w:p>
    <w:p w:rsidR="008022B2" w:rsidRPr="004E629D" w:rsidP="00DF5D3F">
      <w:pPr>
        <w:pStyle w:val="a18"/>
        <w:rPr>
          <w:sz w:val="24"/>
          <w:rtl/>
        </w:rPr>
      </w:pPr>
      <w:r w:rsidRPr="004E629D">
        <w:rPr>
          <w:rFonts w:hint="cs"/>
          <w:sz w:val="24"/>
          <w:rtl/>
        </w:rPr>
        <w:t>נוכח ההשפעות המשמעותיות של הגדלות הרמטכ"ל ו</w:t>
      </w:r>
      <w:r>
        <w:rPr>
          <w:rFonts w:hint="cs"/>
          <w:sz w:val="24"/>
          <w:rtl/>
        </w:rPr>
        <w:t xml:space="preserve">של </w:t>
      </w:r>
      <w:r w:rsidRPr="004E629D">
        <w:rPr>
          <w:rFonts w:hint="cs"/>
          <w:sz w:val="24"/>
          <w:rtl/>
        </w:rPr>
        <w:t xml:space="preserve">פנסיית הגישור על היקף תשלומי הגמלאות בתקציב הביטחון, על תקציב המדינה ועל החבות </w:t>
      </w:r>
      <w:r w:rsidRPr="004E629D">
        <w:rPr>
          <w:rFonts w:hint="cs"/>
          <w:sz w:val="24"/>
          <w:rtl/>
        </w:rPr>
        <w:t>האקטוארית של הממשלה, משרד מבקר המדינה ממליץ כי צה"ל ומשרד האוצר יפעלו בשיתוף פעולה על מנת לקדם את הטיפול בסוגיות אלו. כל זאת במסגרת הדיונים על תקציב המדינה ועל התקציב הרב שנתי הבא של צה"ל.</w:t>
      </w:r>
      <w:r>
        <w:rPr>
          <w:rFonts w:hint="cs"/>
          <w:sz w:val="24"/>
          <w:rtl/>
        </w:rPr>
        <w:t xml:space="preserve"> </w:t>
      </w:r>
    </w:p>
    <w:p w:rsidR="008022B2" w:rsidP="00DF5D3F">
      <w:pPr>
        <w:pStyle w:val="316"/>
        <w:rPr>
          <w:sz w:val="26"/>
          <w:szCs w:val="26"/>
          <w:rtl/>
        </w:rPr>
      </w:pPr>
      <w:r>
        <w:rPr>
          <w:rFonts w:hint="cs"/>
          <w:rtl/>
        </w:rPr>
        <w:t>אי-</w:t>
      </w:r>
      <w:r w:rsidRPr="00851F71">
        <w:rPr>
          <w:rFonts w:hint="cs"/>
          <w:rtl/>
        </w:rPr>
        <w:t>העלאת גיל הפרישה לנשים</w:t>
      </w:r>
    </w:p>
    <w:p w:rsidR="008022B2" w:rsidP="00DF5D3F">
      <w:pPr>
        <w:pStyle w:val="100"/>
        <w:rPr>
          <w:rtl/>
        </w:rPr>
      </w:pPr>
      <w:r w:rsidRPr="008C56FB">
        <w:rPr>
          <w:rFonts w:hint="cs"/>
          <w:rtl/>
        </w:rPr>
        <w:t>בפרק ד' ל</w:t>
      </w:r>
      <w:r>
        <w:rPr>
          <w:rFonts w:hint="cs"/>
          <w:rtl/>
        </w:rPr>
        <w:t>חוק גיל פרישה, התשס"ד-2004 (להל</w:t>
      </w:r>
      <w:r>
        <w:rPr>
          <w:rFonts w:hint="cs"/>
          <w:rtl/>
        </w:rPr>
        <w:t>ן - החוק)</w:t>
      </w:r>
      <w:r w:rsidRPr="008C56FB">
        <w:rPr>
          <w:rFonts w:hint="cs"/>
          <w:rtl/>
        </w:rPr>
        <w:t xml:space="preserve"> נקבע </w:t>
      </w:r>
      <w:r>
        <w:rPr>
          <w:rFonts w:hint="cs"/>
          <w:rtl/>
        </w:rPr>
        <w:t>הגיל שבהגיעו אליו זכאי אדם לפרוש מעבודתו מחמת גילו, ולקבל גמלה בשל פרישתו מעבודתו. עד חקיקת החוק היה גיל הפרישה לנשים 60, ולגברים 65. במסגרת החוק נקבע כי גיל הפרישה לגבר יועלה בהדרגה לגיל 67, וגיל זה יהיה גיל פרישת חובה לנשים וגברים. בנוגע ל</w:t>
      </w:r>
      <w:r>
        <w:rPr>
          <w:rFonts w:hint="cs"/>
          <w:rtl/>
        </w:rPr>
        <w:t>גיל הפרישה לנשים נקבע כי הוא יועלה בהדרגה ל-62, בכפוף להוראות החוק שחייבו הקמת ועדה ציבורית לבחינת גיל הפרישה (לאישה שנולדה בשנת 1950 ואילך). עוד נקבע כי שר האוצר יבחן את המלצותיה של הוועדה ויביאן לאישור הכנסת. אם ועדת הכספים לא תקבל את ההמלצות יעמוד גיל ה</w:t>
      </w:r>
      <w:r>
        <w:rPr>
          <w:rFonts w:hint="cs"/>
          <w:rtl/>
        </w:rPr>
        <w:t>פרישה לאישה שנולדה במאי 1953 ואילך על 64</w:t>
      </w:r>
      <w:r>
        <w:rPr>
          <w:rStyle w:val="FootnoteReference0"/>
          <w:rtl/>
        </w:rPr>
        <w:footnoteReference w:id="14"/>
      </w:r>
      <w:r>
        <w:rPr>
          <w:rFonts w:hint="cs"/>
          <w:rtl/>
        </w:rPr>
        <w:t xml:space="preserve">. באוגוסט 2017 תוקן החוק ונקבע בין היתר כי ככל ששר האוצר לא יביא את המלצותיו בנוגע להעלאת גיל הפרישה לנשים לוועדת הכספים, יעמוד גיל הפרישה לאישה על 62. </w:t>
      </w:r>
    </w:p>
    <w:p w:rsidR="008022B2" w:rsidP="00DF5D3F">
      <w:pPr>
        <w:pStyle w:val="100"/>
        <w:rPr>
          <w:rtl/>
        </w:rPr>
      </w:pPr>
      <w:r w:rsidRPr="00851F71">
        <w:rPr>
          <w:rFonts w:hint="cs"/>
          <w:rtl/>
        </w:rPr>
        <w:t>בעשורים האחרונים נדונה הסוגיה</w:t>
      </w:r>
      <w:r>
        <w:rPr>
          <w:rFonts w:hint="cs"/>
          <w:rtl/>
        </w:rPr>
        <w:t xml:space="preserve"> הזאת</w:t>
      </w:r>
      <w:r w:rsidRPr="00851F71">
        <w:rPr>
          <w:rFonts w:hint="cs"/>
          <w:rtl/>
        </w:rPr>
        <w:t xml:space="preserve"> בהרחבה בישראל. מרבית מדינות</w:t>
      </w:r>
      <w:r>
        <w:rPr>
          <w:rFonts w:hint="cs"/>
          <w:rtl/>
        </w:rPr>
        <w:t xml:space="preserve"> ה-</w:t>
      </w:r>
      <w:r w:rsidRPr="00851F71">
        <w:t>OECD</w:t>
      </w:r>
      <w:r w:rsidRPr="00851F71">
        <w:rPr>
          <w:rFonts w:hint="cs"/>
          <w:rtl/>
        </w:rPr>
        <w:t xml:space="preserve"> ביצעו רפורמות משמעותיות בהסדרי גיל הפרישה שכללו העלאה של גיל הפרישה</w:t>
      </w:r>
      <w:r>
        <w:rPr>
          <w:rFonts w:hint="cs"/>
          <w:rtl/>
        </w:rPr>
        <w:t>,</w:t>
      </w:r>
      <w:r w:rsidRPr="00851F71">
        <w:rPr>
          <w:rFonts w:hint="cs"/>
          <w:rtl/>
        </w:rPr>
        <w:t xml:space="preserve"> והשוואתו בין נשים לגברים. בין היתר, מדינות אימצו מנגנונים </w:t>
      </w:r>
      <w:r>
        <w:rPr>
          <w:rFonts w:hint="cs"/>
          <w:rtl/>
        </w:rPr>
        <w:t>ש</w:t>
      </w:r>
      <w:r w:rsidRPr="00851F71">
        <w:rPr>
          <w:rFonts w:hint="cs"/>
          <w:rtl/>
        </w:rPr>
        <w:t>בהם גיל הפרישה</w:t>
      </w:r>
      <w:r>
        <w:rPr>
          <w:rFonts w:hint="cs"/>
          <w:rtl/>
        </w:rPr>
        <w:t xml:space="preserve"> שנקבע י</w:t>
      </w:r>
      <w:r w:rsidRPr="00851F71">
        <w:rPr>
          <w:rFonts w:hint="cs"/>
          <w:rtl/>
        </w:rPr>
        <w:t>וצמד לתוחלת החיים. נכון להיום, גיל הפרישה לנשים בישראל הוא מהנמוכים ב</w:t>
      </w:r>
      <w:r>
        <w:rPr>
          <w:rFonts w:hint="cs"/>
          <w:rtl/>
        </w:rPr>
        <w:t xml:space="preserve">קרב </w:t>
      </w:r>
      <w:r w:rsidRPr="00851F71">
        <w:rPr>
          <w:rFonts w:hint="cs"/>
          <w:rtl/>
        </w:rPr>
        <w:t>מדינות אלו, וישראל היא אח</w:t>
      </w:r>
      <w:r w:rsidRPr="00851F71">
        <w:rPr>
          <w:rFonts w:hint="cs"/>
          <w:rtl/>
        </w:rPr>
        <w:t xml:space="preserve">ת המדינות הבודדות </w:t>
      </w:r>
      <w:r>
        <w:rPr>
          <w:rFonts w:hint="cs"/>
          <w:rtl/>
        </w:rPr>
        <w:t>ש</w:t>
      </w:r>
      <w:r w:rsidRPr="00851F71">
        <w:rPr>
          <w:rFonts w:hint="cs"/>
          <w:rtl/>
        </w:rPr>
        <w:t>בהן קיים פער בין גיל הפרישה לנשים ולגברים.</w:t>
      </w:r>
    </w:p>
    <w:p w:rsidR="008022B2" w:rsidP="00DF5D3F">
      <w:pPr>
        <w:pStyle w:val="100"/>
        <w:rPr>
          <w:rtl/>
        </w:rPr>
      </w:pPr>
      <w:r>
        <w:rPr>
          <w:rFonts w:hint="cs"/>
          <w:rtl/>
        </w:rPr>
        <w:t>להלן בתרשים 2 נתוני תוחלת החיים וגילי הפרישה הממוצעים של נשים וגברים בישראל בעשרים השנים האחרונות</w:t>
      </w:r>
      <w:r w:rsidR="00B14BCA">
        <w:rPr>
          <w:rFonts w:hint="cs"/>
          <w:rtl/>
        </w:rPr>
        <w:t>:</w:t>
      </w:r>
    </w:p>
    <w:p w:rsidR="008022B2" w:rsidP="00DF5D3F">
      <w:pPr>
        <w:pStyle w:val="a3"/>
        <w:rPr>
          <w:b/>
          <w:bCs/>
          <w:rtl/>
        </w:rPr>
      </w:pPr>
      <w:r w:rsidRPr="00121C06">
        <w:rPr>
          <w:rFonts w:hint="cs"/>
          <w:rtl/>
        </w:rPr>
        <w:t xml:space="preserve">תרשים </w:t>
      </w:r>
      <w:r>
        <w:rPr>
          <w:rFonts w:hint="cs"/>
          <w:rtl/>
        </w:rPr>
        <w:t xml:space="preserve">2: </w:t>
      </w:r>
      <w:r w:rsidRPr="00DF5D3F">
        <w:rPr>
          <w:rFonts w:hint="cs"/>
          <w:b/>
          <w:bCs/>
          <w:rtl/>
        </w:rPr>
        <w:t>תוחלת החיים וגילי הפרישה הממוצעים של נשים וגברים בישראל,</w:t>
      </w:r>
      <w:r w:rsidRPr="00DF5D3F" w:rsidR="00DF5D3F">
        <w:rPr>
          <w:b/>
          <w:bCs/>
          <w:rtl/>
        </w:rPr>
        <w:br/>
      </w:r>
      <w:r w:rsidRPr="00DF5D3F">
        <w:rPr>
          <w:rFonts w:hint="cs"/>
          <w:b/>
          <w:bCs/>
          <w:rtl/>
        </w:rPr>
        <w:t>בשנים 1997-2018</w:t>
      </w:r>
    </w:p>
    <w:p w:rsidR="00B23A4E" w:rsidRPr="00DF5D3F" w:rsidP="00DF5D3F">
      <w:pPr>
        <w:pStyle w:val="a3"/>
        <w:rPr>
          <w:b/>
          <w:bCs/>
          <w:rtl/>
        </w:rPr>
      </w:pPr>
      <w:r>
        <w:rPr>
          <w:noProof/>
        </w:rPr>
        <w:drawing>
          <wp:inline distT="0" distB="0" distL="0" distR="0">
            <wp:extent cx="5541118" cy="2952750"/>
            <wp:effectExtent l="0" t="0" r="2540" b="0"/>
            <wp:docPr id="5" name="תרשים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719246" name="תרשים 1" descr="cid:image001.png@01D5C494.12AD2A40"/>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541118" cy="2952750"/>
                    </a:xfrm>
                    <a:prstGeom prst="rect">
                      <a:avLst/>
                    </a:prstGeom>
                    <a:noFill/>
                    <a:ln>
                      <a:noFill/>
                    </a:ln>
                  </pic:spPr>
                </pic:pic>
              </a:graphicData>
            </a:graphic>
          </wp:inline>
        </w:drawing>
      </w:r>
    </w:p>
    <w:p w:rsidR="008022B2" w:rsidRPr="00A71E43" w:rsidP="00DF5D3F">
      <w:pPr>
        <w:pStyle w:val="a8"/>
        <w:rPr>
          <w:rFonts w:ascii="Calibri" w:hAnsi="Calibri"/>
        </w:rPr>
      </w:pPr>
      <w:r w:rsidRPr="00A71E43">
        <w:rPr>
          <w:rtl/>
        </w:rPr>
        <w:t>מקור:</w:t>
      </w:r>
      <w:r w:rsidRPr="00A71E43">
        <w:rPr>
          <w:rFonts w:hint="cs"/>
          <w:rtl/>
        </w:rPr>
        <w:t xml:space="preserve"> </w:t>
      </w:r>
      <w:r w:rsidRPr="00A71E43">
        <w:rPr>
          <w:rtl/>
        </w:rPr>
        <w:t>הלשכה</w:t>
      </w:r>
      <w:r w:rsidRPr="00A71E43">
        <w:rPr>
          <w:rtl/>
        </w:rPr>
        <w:t xml:space="preserve"> המרכזית לסטטיסטיקה, בעיבוד משרד מבקר המדינה</w:t>
      </w:r>
    </w:p>
    <w:p w:rsidR="008022B2" w:rsidRPr="00A71E43" w:rsidP="00DF5D3F">
      <w:pPr>
        <w:pStyle w:val="100"/>
        <w:rPr>
          <w:rtl/>
        </w:rPr>
      </w:pPr>
    </w:p>
    <w:p w:rsidR="008022B2" w:rsidP="00DF5D3F">
      <w:pPr>
        <w:pStyle w:val="100"/>
        <w:rPr>
          <w:rtl/>
        </w:rPr>
      </w:pPr>
      <w:r>
        <w:rPr>
          <w:rFonts w:hint="cs"/>
          <w:rtl/>
        </w:rPr>
        <w:t>מהתרשים עולה כדלהלן:</w:t>
      </w:r>
    </w:p>
    <w:p w:rsidR="008022B2" w:rsidP="00DF5D3F">
      <w:pPr>
        <w:pStyle w:val="a5"/>
        <w:numPr>
          <w:ilvl w:val="0"/>
          <w:numId w:val="19"/>
        </w:numPr>
      </w:pPr>
      <w:r>
        <w:rPr>
          <w:rFonts w:hint="cs"/>
          <w:rtl/>
        </w:rPr>
        <w:t xml:space="preserve">בשנים האמורות חלה עלייה משמעותית בתוחלת החיים של נשים וגברים, כאשר תוחלת החיים של נשים בשנת 2018 עמדה כמעט על גיל 85, לעומת קרוב ל-81 אצל גברים. </w:t>
      </w:r>
    </w:p>
    <w:p w:rsidR="008022B2" w:rsidP="00DF5D3F">
      <w:pPr>
        <w:pStyle w:val="a5"/>
      </w:pPr>
      <w:r>
        <w:rPr>
          <w:rFonts w:hint="cs"/>
          <w:rtl/>
        </w:rPr>
        <w:t>גילי הפרישה של נשים וגברים כמעט שלא השתנו ב</w:t>
      </w:r>
      <w:r>
        <w:rPr>
          <w:rFonts w:hint="cs"/>
          <w:rtl/>
        </w:rPr>
        <w:t>אותן שנים, וגיל הפרישה לנשים (62) נמוך בחמש שנים מגיל הפרישה של גברים (67).</w:t>
      </w:r>
    </w:p>
    <w:p w:rsidR="008022B2" w:rsidP="00DF5D3F">
      <w:pPr>
        <w:pStyle w:val="a5"/>
        <w:rPr>
          <w:rtl/>
        </w:rPr>
      </w:pPr>
      <w:r>
        <w:rPr>
          <w:rFonts w:hint="cs"/>
          <w:rtl/>
        </w:rPr>
        <w:t>ישנו פער משמעותי בין קצב הגידול בתוחלת החיים של נשים, שממשיך לעלות, לבין גיל הפרישה שלהן שלא חל בו שינוי בשנים האחרונות. משכך, וכפי שעולה מהתרשים, תוחלת החיים של אישה שפרשה לגמלאות</w:t>
      </w:r>
      <w:r>
        <w:rPr>
          <w:rFonts w:hint="cs"/>
          <w:rtl/>
        </w:rPr>
        <w:t xml:space="preserve"> בגיל 62 היא כ-23 שנים.</w:t>
      </w:r>
    </w:p>
    <w:p w:rsidR="008022B2" w:rsidP="00B23A4E">
      <w:pPr>
        <w:pStyle w:val="100"/>
        <w:rPr>
          <w:rtl/>
        </w:rPr>
      </w:pPr>
      <w:r>
        <w:rPr>
          <w:rFonts w:hint="cs"/>
          <w:rtl/>
        </w:rPr>
        <w:t>קיימים נימוקים כבדי משקל בעד ונגד העלאת גיל הפרישה לנשים. הנימוקים נגד העלאת גיל הפרישה נובעים בין היתר משחיקה גבוהה של נשים המצויות בשוק העבודה, מפערים הקיימים</w:t>
      </w:r>
      <w:r w:rsidR="00B23A4E">
        <w:rPr>
          <w:rFonts w:hint="cs"/>
          <w:rtl/>
        </w:rPr>
        <w:t xml:space="preserve"> </w:t>
      </w:r>
      <w:r>
        <w:rPr>
          <w:rFonts w:hint="cs"/>
          <w:rtl/>
        </w:rPr>
        <w:t>בתחום התעסוקה בין גברים לנשים, ומחסמים הקיימים לנשים מבוגרות בשוק התעסוקה. מנגד, הנימוקים בעד העלאת גיל הפרישה נסמכים בין היתר על ההבדלים בתוחלת החיים בין גברים לנשים, על שמירת רמת החיים של הנשים בעת פרישה</w:t>
      </w:r>
      <w:r>
        <w:rPr>
          <w:rStyle w:val="FootnoteReference0"/>
          <w:rtl/>
        </w:rPr>
        <w:footnoteReference w:id="15"/>
      </w:r>
      <w:r>
        <w:rPr>
          <w:rFonts w:hint="cs"/>
          <w:rtl/>
        </w:rPr>
        <w:t xml:space="preserve">, על הגדלת שיעורי התעסוקה </w:t>
      </w:r>
      <w:r>
        <w:rPr>
          <w:rFonts w:hint="cs"/>
          <w:rtl/>
        </w:rPr>
        <w:t>של נשים, על השוואה למקוב</w:t>
      </w:r>
      <w:r>
        <w:rPr>
          <w:rFonts w:hint="cs"/>
          <w:rtl/>
        </w:rPr>
        <w:t>ל במדינות ה-</w:t>
      </w:r>
      <w:r>
        <w:rPr>
          <w:rFonts w:hint="cs"/>
        </w:rPr>
        <w:t>OECD</w:t>
      </w:r>
      <w:r>
        <w:rPr>
          <w:rFonts w:hint="cs"/>
          <w:rtl/>
        </w:rPr>
        <w:t>, על השפעה אקטוארית על האיתנות הפיננסית של המוסד לביטוח לאומי, ועל הפגיעה בזכויות עמיתי קרנות הפנסייה הוותיקות</w:t>
      </w:r>
      <w:r>
        <w:rPr>
          <w:rStyle w:val="FootnoteReference0"/>
          <w:rtl/>
        </w:rPr>
        <w:footnoteReference w:id="16"/>
      </w:r>
      <w:r>
        <w:rPr>
          <w:rFonts w:hint="cs"/>
          <w:rtl/>
        </w:rPr>
        <w:t xml:space="preserve">. </w:t>
      </w:r>
    </w:p>
    <w:p w:rsidR="008022B2" w:rsidP="00DF5D3F">
      <w:pPr>
        <w:pStyle w:val="100"/>
        <w:rPr>
          <w:rtl/>
        </w:rPr>
      </w:pPr>
      <w:r>
        <w:rPr>
          <w:rFonts w:hint="cs"/>
          <w:rtl/>
        </w:rPr>
        <w:t xml:space="preserve">להלן בתרשים 3 נתוני גילי הפרישה של נשים וגברים במדינות </w:t>
      </w:r>
      <w:r>
        <w:t>OECD</w:t>
      </w:r>
      <w:r>
        <w:rPr>
          <w:rFonts w:hint="cs"/>
          <w:rtl/>
        </w:rPr>
        <w:t xml:space="preserve">: </w:t>
      </w:r>
    </w:p>
    <w:p w:rsidR="008022B2" w:rsidRPr="00DF5D3F" w:rsidP="00DF5D3F">
      <w:pPr>
        <w:pStyle w:val="a3"/>
        <w:rPr>
          <w:b/>
          <w:bCs/>
          <w:rtl/>
        </w:rPr>
      </w:pPr>
      <w:r w:rsidRPr="008A356D">
        <w:rPr>
          <w:rFonts w:hint="cs"/>
          <w:rtl/>
        </w:rPr>
        <w:t xml:space="preserve">תרשים </w:t>
      </w:r>
      <w:r w:rsidRPr="008A356D">
        <w:t>3</w:t>
      </w:r>
      <w:r>
        <w:rPr>
          <w:rFonts w:hint="cs"/>
          <w:szCs w:val="22"/>
          <w:rtl/>
        </w:rPr>
        <w:t>:</w:t>
      </w:r>
      <w:r>
        <w:rPr>
          <w:rFonts w:hint="cs"/>
          <w:rtl/>
        </w:rPr>
        <w:t xml:space="preserve"> </w:t>
      </w:r>
      <w:r w:rsidRPr="00DF5D3F">
        <w:rPr>
          <w:rFonts w:hint="cs"/>
          <w:b/>
          <w:bCs/>
          <w:rtl/>
        </w:rPr>
        <w:t>גיל הפרישה</w:t>
      </w:r>
      <w:r w:rsidRPr="00DF5D3F">
        <w:rPr>
          <w:rFonts w:hint="cs"/>
          <w:b/>
          <w:bCs/>
        </w:rPr>
        <w:t xml:space="preserve"> </w:t>
      </w:r>
      <w:r w:rsidRPr="00DF5D3F">
        <w:rPr>
          <w:rFonts w:hint="cs"/>
          <w:b/>
          <w:bCs/>
          <w:rtl/>
        </w:rPr>
        <w:t>לפנסייה במדינות ה-</w:t>
      </w:r>
      <w:r w:rsidRPr="00DF5D3F">
        <w:rPr>
          <w:b/>
          <w:bCs/>
        </w:rPr>
        <w:t>OECD</w:t>
      </w:r>
      <w:r w:rsidRPr="00DF5D3F">
        <w:rPr>
          <w:rFonts w:hint="cs"/>
          <w:b/>
          <w:bCs/>
          <w:rtl/>
        </w:rPr>
        <w:t xml:space="preserve"> לפי חלוקה למגדרים בשנ</w:t>
      </w:r>
      <w:r w:rsidRPr="00DF5D3F">
        <w:rPr>
          <w:rFonts w:hint="cs"/>
          <w:b/>
          <w:bCs/>
          <w:rtl/>
        </w:rPr>
        <w:t>ת 2018</w:t>
      </w:r>
    </w:p>
    <w:p w:rsidR="008022B2" w:rsidRPr="00121574" w:rsidP="008022B2">
      <w:pPr>
        <w:spacing w:line="269" w:lineRule="auto"/>
        <w:ind w:left="-1"/>
        <w:jc w:val="right"/>
        <w:rPr>
          <w:b/>
          <w:bCs/>
          <w:rtl/>
        </w:rPr>
      </w:pPr>
      <w:r>
        <w:rPr>
          <w:noProof/>
        </w:rPr>
        <w:drawing>
          <wp:inline distT="0" distB="0" distL="0" distR="0">
            <wp:extent cx="5238750" cy="2400300"/>
            <wp:effectExtent l="0" t="0" r="0" b="0"/>
            <wp:docPr id="3" name="תמונה 3" descr="OECD - גיל פרישה לפי מגדר - מודגש באדום + ממוצע במסג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093912" name="Picture 3" descr="OECD - גיל פרישה לפי מגדר - מודגש באדום + ממוצע במסגרות"/>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238750" cy="2400300"/>
                    </a:xfrm>
                    <a:prstGeom prst="rect">
                      <a:avLst/>
                    </a:prstGeom>
                    <a:noFill/>
                    <a:ln>
                      <a:noFill/>
                    </a:ln>
                  </pic:spPr>
                </pic:pic>
              </a:graphicData>
            </a:graphic>
          </wp:inline>
        </w:drawing>
      </w:r>
    </w:p>
    <w:p w:rsidR="008022B2" w:rsidRPr="00A71E43" w:rsidP="00DF5D3F">
      <w:pPr>
        <w:pStyle w:val="a8"/>
        <w:rPr>
          <w:rtl/>
        </w:rPr>
      </w:pPr>
      <w:r w:rsidRPr="000F6504">
        <w:rPr>
          <w:rFonts w:hint="cs"/>
          <w:sz w:val="18"/>
          <w:rtl/>
        </w:rPr>
        <w:t xml:space="preserve">מקור: </w:t>
      </w:r>
      <w:r w:rsidRPr="000F6504">
        <w:rPr>
          <w:rFonts w:hint="cs"/>
          <w:rtl/>
        </w:rPr>
        <w:t>אתר ה-</w:t>
      </w:r>
      <w:r w:rsidRPr="000F6504">
        <w:t>OECD</w:t>
      </w:r>
      <w:r w:rsidRPr="000F6504">
        <w:rPr>
          <w:rFonts w:hint="cs"/>
          <w:rtl/>
        </w:rPr>
        <w:t xml:space="preserve">, </w:t>
      </w:r>
      <w:r w:rsidRPr="000F6504">
        <w:t>Pensions at a Glance 2019</w:t>
      </w:r>
      <w:r w:rsidRPr="000F6504">
        <w:rPr>
          <w:rFonts w:hint="cs"/>
          <w:rtl/>
        </w:rPr>
        <w:t>, 27.11.2019</w:t>
      </w:r>
      <w:r>
        <w:rPr>
          <w:rFonts w:hint="cs"/>
          <w:rtl/>
        </w:rPr>
        <w:t>, ועיבודי משרד מבקר המדינה</w:t>
      </w:r>
    </w:p>
    <w:p w:rsidR="008022B2" w:rsidP="00DF5D3F">
      <w:pPr>
        <w:pStyle w:val="100"/>
        <w:rPr>
          <w:rtl/>
        </w:rPr>
      </w:pPr>
    </w:p>
    <w:p w:rsidR="008022B2" w:rsidP="00DF5D3F">
      <w:pPr>
        <w:pStyle w:val="100"/>
        <w:rPr>
          <w:rtl/>
        </w:rPr>
      </w:pPr>
      <w:r>
        <w:rPr>
          <w:rFonts w:hint="cs"/>
          <w:rtl/>
        </w:rPr>
        <w:t>מהתרשים עולה כדלהלן:</w:t>
      </w:r>
    </w:p>
    <w:p w:rsidR="008022B2" w:rsidP="00DF5D3F">
      <w:pPr>
        <w:pStyle w:val="a5"/>
        <w:numPr>
          <w:ilvl w:val="0"/>
          <w:numId w:val="20"/>
        </w:numPr>
      </w:pPr>
      <w:r>
        <w:rPr>
          <w:rFonts w:hint="cs"/>
          <w:rtl/>
        </w:rPr>
        <w:t xml:space="preserve">גיל הפרישה לנשים בישראל (62) הוא מהנמוכים ביותר לעומת המדינות האחרות (למעט שלוש מדינות), בעוד גיל הפרישה לגברים (67) הוא מהגבוהים ביותר (עם שלוש מדינות נוספות). לפיכך, הפער בין גילי הפרישה של נשים וגברים בישראל (חמש שנים) הוא הגבוה ביותר בקרב מדינות </w:t>
      </w:r>
      <w:r>
        <w:t>OECD</w:t>
      </w:r>
      <w:r>
        <w:rPr>
          <w:rFonts w:hint="cs"/>
          <w:rtl/>
        </w:rPr>
        <w:t xml:space="preserve"> (</w:t>
      </w:r>
      <w:r>
        <w:rPr>
          <w:rFonts w:hint="cs"/>
          <w:rtl/>
        </w:rPr>
        <w:t>עם אוסטריה).</w:t>
      </w:r>
    </w:p>
    <w:p w:rsidR="008022B2" w:rsidP="00DF5D3F">
      <w:pPr>
        <w:pStyle w:val="a5"/>
      </w:pPr>
      <w:r>
        <w:rPr>
          <w:rFonts w:hint="cs"/>
          <w:rtl/>
        </w:rPr>
        <w:t>במרבית המדינות גילי הפרישה של נשים וגברים זהים ונעים סביב גיל 65. בממוצע, גיל הפרישה של נשים (כ-63.5) גבוה מגיל הפרישה בישראל, והפער הממוצע בין גילי הפרישה של נשים וגברים הוא נמוך מאוד (כשנה אחת).</w:t>
      </w:r>
    </w:p>
    <w:p w:rsidR="008022B2" w:rsidP="008022B2">
      <w:pPr>
        <w:bidi w:val="0"/>
        <w:spacing w:line="240" w:lineRule="auto"/>
        <w:jc w:val="left"/>
        <w:rPr>
          <w:szCs w:val="20"/>
          <w:rtl/>
        </w:rPr>
      </w:pPr>
      <w:r>
        <w:rPr>
          <w:rtl/>
        </w:rPr>
        <w:br w:type="page"/>
      </w:r>
    </w:p>
    <w:p w:rsidR="008022B2" w:rsidRPr="00DF5D3F" w:rsidP="00DF5D3F">
      <w:pPr>
        <w:pStyle w:val="a3"/>
        <w:rPr>
          <w:b/>
          <w:bCs/>
        </w:rPr>
      </w:pPr>
      <w:r w:rsidRPr="004D2E6E">
        <w:rPr>
          <w:rFonts w:hint="cs"/>
          <w:rtl/>
        </w:rPr>
        <w:t xml:space="preserve">תרשים 4: </w:t>
      </w:r>
      <w:r w:rsidRPr="00DF5D3F">
        <w:rPr>
          <w:b/>
          <w:bCs/>
          <w:rtl/>
        </w:rPr>
        <w:t>גיל הפרישה בישראל ובמדינות</w:t>
      </w:r>
      <w:r w:rsidRPr="00DF5D3F">
        <w:rPr>
          <w:rFonts w:hint="cs"/>
          <w:b/>
          <w:bCs/>
          <w:rtl/>
        </w:rPr>
        <w:t xml:space="preserve"> ה-</w:t>
      </w:r>
      <w:r w:rsidRPr="00DF5D3F">
        <w:rPr>
          <w:rFonts w:hint="cs"/>
          <w:b/>
          <w:bCs/>
        </w:rPr>
        <w:t>OECD</w:t>
      </w:r>
      <w:r w:rsidRPr="00DF5D3F">
        <w:rPr>
          <w:rFonts w:hint="cs"/>
          <w:b/>
          <w:bCs/>
          <w:rtl/>
        </w:rPr>
        <w:t xml:space="preserve">, </w:t>
      </w:r>
      <w:r w:rsidRPr="00DF5D3F">
        <w:rPr>
          <w:b/>
          <w:bCs/>
          <w:rtl/>
        </w:rPr>
        <w:t>נשים שפורשות בשנת</w:t>
      </w:r>
      <w:r w:rsidRPr="00DF5D3F">
        <w:rPr>
          <w:b/>
          <w:bCs/>
        </w:rPr>
        <w:t xml:space="preserve"> 2018 </w:t>
      </w:r>
      <w:r w:rsidRPr="00DF5D3F">
        <w:rPr>
          <w:b/>
          <w:bCs/>
          <w:rtl/>
        </w:rPr>
        <w:t>ונשים בגיל 22 שנכנסות בשנת 2018 לשוק העבודה</w:t>
      </w:r>
    </w:p>
    <w:p w:rsidR="008022B2" w:rsidRPr="003031A9" w:rsidP="008022B2">
      <w:pPr>
        <w:spacing w:line="269" w:lineRule="auto"/>
        <w:jc w:val="center"/>
        <w:rPr>
          <w:rtl/>
        </w:rPr>
      </w:pPr>
      <w:r>
        <w:rPr>
          <w:noProof/>
        </w:rPr>
        <w:drawing>
          <wp:inline distT="0" distB="0" distL="0" distR="0">
            <wp:extent cx="5486400" cy="3019425"/>
            <wp:effectExtent l="0" t="0" r="0" b="0"/>
            <wp:docPr id="4" name="תמונה 4" descr="גרף עם עיבוד מקר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84685" name="Picture 4" descr="גרף עם עיבוד מקרא"/>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3019425"/>
                    </a:xfrm>
                    <a:prstGeom prst="rect">
                      <a:avLst/>
                    </a:prstGeom>
                    <a:noFill/>
                    <a:ln>
                      <a:noFill/>
                    </a:ln>
                  </pic:spPr>
                </pic:pic>
              </a:graphicData>
            </a:graphic>
          </wp:inline>
        </w:drawing>
      </w:r>
    </w:p>
    <w:p w:rsidR="008022B2" w:rsidP="00DF5D3F">
      <w:pPr>
        <w:pStyle w:val="a8"/>
        <w:rPr>
          <w:rtl/>
        </w:rPr>
      </w:pPr>
      <w:r>
        <w:rPr>
          <w:rtl/>
        </w:rPr>
        <w:tab/>
      </w:r>
      <w:r>
        <w:rPr>
          <w:rFonts w:hint="cs"/>
          <w:rtl/>
        </w:rPr>
        <w:t>מקור: נתוני ה</w:t>
      </w:r>
      <w:r>
        <w:t>oecd -</w:t>
      </w:r>
      <w:r>
        <w:rPr>
          <w:rFonts w:hint="cs"/>
          <w:rtl/>
        </w:rPr>
        <w:t xml:space="preserve"> בעיבוד משרד האוצר.</w:t>
      </w:r>
    </w:p>
    <w:p w:rsidR="008022B2" w:rsidP="00DF5D3F">
      <w:pPr>
        <w:pStyle w:val="100"/>
        <w:rPr>
          <w:rtl/>
        </w:rPr>
      </w:pPr>
    </w:p>
    <w:p w:rsidR="008022B2" w:rsidRPr="003031A9" w:rsidP="00DF5D3F">
      <w:pPr>
        <w:pStyle w:val="100"/>
        <w:rPr>
          <w:rtl/>
        </w:rPr>
      </w:pPr>
      <w:r>
        <w:rPr>
          <w:rFonts w:hint="cs"/>
          <w:rtl/>
        </w:rPr>
        <w:t>מתרשים 4 ומהנתונים של ה-</w:t>
      </w:r>
      <w:r>
        <w:rPr>
          <w:rFonts w:hint="cs"/>
        </w:rPr>
        <w:t>OECD</w:t>
      </w:r>
      <w:r>
        <w:rPr>
          <w:rFonts w:hint="cs"/>
          <w:rtl/>
        </w:rPr>
        <w:t xml:space="preserve"> עולה, כי שינויים שביצעו מדינות בנוגע לגיל הפרישה לפנסייה של נשים הנכנסות לעבודה בשנת 2018, העלו את ממוצע גיל הפרישה ה</w:t>
      </w:r>
      <w:r>
        <w:rPr>
          <w:rFonts w:hint="cs"/>
          <w:rtl/>
        </w:rPr>
        <w:t xml:space="preserve">עתידי של נשים באותן מדינות ל-65.8, דהיינו כמעט ארבע שנים יותר מגיל הפרישה העתידי של נשים בישראל (62). </w:t>
      </w:r>
    </w:p>
    <w:p w:rsidR="008022B2" w:rsidRPr="008C56FB" w:rsidP="00DF5D3F">
      <w:pPr>
        <w:pStyle w:val="100"/>
        <w:rPr>
          <w:rtl/>
        </w:rPr>
      </w:pPr>
      <w:r w:rsidRPr="008C56FB">
        <w:rPr>
          <w:rFonts w:hint="cs"/>
          <w:rtl/>
        </w:rPr>
        <w:t>ב</w:t>
      </w:r>
      <w:r>
        <w:rPr>
          <w:rFonts w:hint="cs"/>
          <w:rtl/>
        </w:rPr>
        <w:t xml:space="preserve">דוח הקודם נכתב </w:t>
      </w:r>
      <w:r w:rsidRPr="008C56FB">
        <w:rPr>
          <w:rFonts w:hint="cs"/>
          <w:rtl/>
        </w:rPr>
        <w:t>כי</w:t>
      </w:r>
      <w:r>
        <w:rPr>
          <w:rFonts w:hint="cs"/>
          <w:rtl/>
        </w:rPr>
        <w:t xml:space="preserve"> </w:t>
      </w:r>
      <w:r w:rsidRPr="008C56FB">
        <w:rPr>
          <w:rFonts w:hint="cs"/>
          <w:rtl/>
        </w:rPr>
        <w:t>"המשך אי-העלאת גיל הפרישה לנשים אינו בר-קיימה, וצפויות להיות לו השפעות שליליות מהותיות על המשק ועל הנשים המבוגרות הפורשות ל</w:t>
      </w:r>
      <w:r>
        <w:rPr>
          <w:rFonts w:hint="cs"/>
          <w:rtl/>
        </w:rPr>
        <w:t>פנסייה</w:t>
      </w:r>
      <w:r w:rsidRPr="008C56FB">
        <w:rPr>
          <w:rFonts w:hint="cs"/>
          <w:rtl/>
        </w:rPr>
        <w:t>. אי-</w:t>
      </w:r>
      <w:r w:rsidRPr="008C56FB">
        <w:rPr>
          <w:rFonts w:hint="cs"/>
          <w:rtl/>
        </w:rPr>
        <w:t>העלאת גיל הפרישה לנשים עלולה להנציח פערים כלכליי</w:t>
      </w:r>
      <w:r>
        <w:rPr>
          <w:rFonts w:hint="cs"/>
          <w:rtl/>
        </w:rPr>
        <w:t xml:space="preserve">ם ואי-שוויון בין גברים לנשים כתוצאה מהנצחת שיעור התחלופה הנמוך יותר של נשים בהשוואה לזו של הגברים, </w:t>
      </w:r>
      <w:r w:rsidRPr="008C56FB">
        <w:rPr>
          <w:rFonts w:hint="cs"/>
          <w:rtl/>
        </w:rPr>
        <w:t>וכן צפויה להנציח את שיעורי העוני הגבוהים יותר של נשים מבוגרות לעומת גברים מבוגרים. הפגיעה האפשרית במשק מאי-הע</w:t>
      </w:r>
      <w:r w:rsidRPr="008C56FB">
        <w:rPr>
          <w:rFonts w:hint="cs"/>
          <w:rtl/>
        </w:rPr>
        <w:t xml:space="preserve">לאת גיל הפרישה צפויה להתבטא בפגיעה באיתנות הפיננסית של המוסד לביטוח לאומי; בסיוע ממשלתי בהיקפים של מיליארדי </w:t>
      </w:r>
      <w:r>
        <w:rPr>
          <w:rFonts w:hint="cs"/>
          <w:rtl/>
        </w:rPr>
        <w:t>ש"ח</w:t>
      </w:r>
      <w:r w:rsidRPr="008C56FB">
        <w:rPr>
          <w:rFonts w:hint="cs"/>
          <w:rtl/>
        </w:rPr>
        <w:t xml:space="preserve"> לקרנות ה</w:t>
      </w:r>
      <w:r>
        <w:rPr>
          <w:rFonts w:hint="cs"/>
          <w:rtl/>
        </w:rPr>
        <w:t>פנסייה</w:t>
      </w:r>
      <w:r w:rsidRPr="008C56FB">
        <w:rPr>
          <w:rFonts w:hint="cs"/>
          <w:rtl/>
        </w:rPr>
        <w:t xml:space="preserve"> הוותיקות; בירידה בהכנסות המדינה; בעלי</w:t>
      </w:r>
      <w:r>
        <w:rPr>
          <w:rFonts w:hint="cs"/>
          <w:rtl/>
        </w:rPr>
        <w:t>י</w:t>
      </w:r>
      <w:r w:rsidRPr="008C56FB">
        <w:rPr>
          <w:rFonts w:hint="cs"/>
          <w:rtl/>
        </w:rPr>
        <w:t>ה בהוצאות הממשלה; ובהרעה ניכרת ביחס חוב-תוצר בטווח הארוך. גופים מקצועיים רבים, ובהם ארגון ה</w:t>
      </w:r>
      <w:r w:rsidRPr="008C56FB">
        <w:rPr>
          <w:rFonts w:hint="cs"/>
          <w:rtl/>
        </w:rPr>
        <w:t>-</w:t>
      </w:r>
      <w:r w:rsidRPr="008C56FB">
        <w:rPr>
          <w:rFonts w:hint="cs"/>
        </w:rPr>
        <w:t>OECD</w:t>
      </w:r>
      <w:r w:rsidRPr="008C56FB">
        <w:rPr>
          <w:rFonts w:hint="cs"/>
          <w:rtl/>
        </w:rPr>
        <w:t>, ועדות ציבוריות שהקימה הממשלה, המועצה הלאומית לכלכלה ובנק ישראל המליצו להעלות את גיל הפרישה לנשים באופן מדורג".</w:t>
      </w:r>
    </w:p>
    <w:p w:rsidR="008022B2" w:rsidRPr="008C56FB" w:rsidP="00DF5D3F">
      <w:pPr>
        <w:pStyle w:val="100"/>
        <w:rPr>
          <w:rtl/>
        </w:rPr>
      </w:pPr>
      <w:r w:rsidRPr="008C56FB">
        <w:rPr>
          <w:rFonts w:hint="cs"/>
          <w:rtl/>
        </w:rPr>
        <w:t xml:space="preserve">משרד מבקר המדינה העיר לשר האוצר בדוח הקודם כי "לקבלת החלטות בהקדם האפשרי השפעות על היכולת להעלות את גיל הפרישה באופן מדורג, ולאפשר לנשים, </w:t>
      </w:r>
      <w:r w:rsidRPr="008C56FB">
        <w:rPr>
          <w:rFonts w:hint="cs"/>
          <w:rtl/>
        </w:rPr>
        <w:t xml:space="preserve">למעסיקים ולממשלה להתאים </w:t>
      </w:r>
      <w:r>
        <w:rPr>
          <w:rFonts w:hint="cs"/>
          <w:rtl/>
        </w:rPr>
        <w:t>את עצמם לשינוי</w:t>
      </w:r>
      <w:r w:rsidRPr="008C56FB">
        <w:rPr>
          <w:rFonts w:hint="cs"/>
          <w:rtl/>
        </w:rPr>
        <w:t>".</w:t>
      </w:r>
    </w:p>
    <w:p w:rsidR="008022B2" w:rsidRPr="008C56FB" w:rsidP="00DF5D3F">
      <w:pPr>
        <w:pStyle w:val="100"/>
        <w:rPr>
          <w:rtl/>
        </w:rPr>
      </w:pPr>
      <w:r w:rsidRPr="008C56FB">
        <w:rPr>
          <w:rFonts w:hint="cs"/>
          <w:rtl/>
        </w:rPr>
        <w:t>מבקר המדינה המליץ בדוח הקודם לממשלה "לבחון דרכים להתמודדות עם העלייה בתוחלת החיים של נשים וגברים שתהיה בת קיימה" ובין היתר לבחון את הצמדת גיל הפרישה לתוחלת החיים, כפי שהמליץ ארגון ה-</w:t>
      </w:r>
      <w:r w:rsidRPr="008C56FB">
        <w:rPr>
          <w:rFonts w:hint="cs"/>
        </w:rPr>
        <w:t>OECD</w:t>
      </w:r>
      <w:r w:rsidRPr="008C56FB">
        <w:rPr>
          <w:rFonts w:hint="cs"/>
          <w:rtl/>
        </w:rPr>
        <w:t xml:space="preserve">. </w:t>
      </w:r>
    </w:p>
    <w:p w:rsidR="008022B2" w:rsidP="00DF5D3F">
      <w:pPr>
        <w:pStyle w:val="100"/>
        <w:rPr>
          <w:rtl/>
        </w:rPr>
      </w:pPr>
      <w:r w:rsidRPr="008C56FB">
        <w:rPr>
          <w:rFonts w:hint="cs"/>
          <w:rtl/>
        </w:rPr>
        <w:t>עוד המליץ מבקר המדינה בדוח</w:t>
      </w:r>
      <w:r w:rsidRPr="008C56FB">
        <w:rPr>
          <w:rFonts w:hint="cs"/>
          <w:rtl/>
        </w:rPr>
        <w:t xml:space="preserve"> הקודם כי שר האוצר "יקדם ביתר שאת את יישום החלטת הממשלה 145</w:t>
      </w:r>
      <w:r>
        <w:rPr>
          <w:vertAlign w:val="superscript"/>
          <w:rtl/>
        </w:rPr>
        <w:footnoteReference w:id="17"/>
      </w:r>
      <w:r w:rsidRPr="008C56FB">
        <w:rPr>
          <w:rFonts w:hint="cs"/>
          <w:rtl/>
        </w:rPr>
        <w:t xml:space="preserve"> להתאמה הדרגתית של גיל הפרישה על מנת לאפשר להגדיל את גיל הפרישה באופן מדורג ולאפשר לנשים, למעסיקים ולממשלה להתאים את עצמם לשינוי".</w:t>
      </w:r>
    </w:p>
    <w:p w:rsidR="008022B2" w:rsidRPr="008C6863" w:rsidP="00DF5D3F">
      <w:pPr>
        <w:pStyle w:val="100"/>
        <w:rPr>
          <w:rtl/>
        </w:rPr>
      </w:pPr>
      <w:r w:rsidRPr="008C56FB">
        <w:rPr>
          <w:rFonts w:hint="cs"/>
          <w:rtl/>
        </w:rPr>
        <w:t xml:space="preserve">ביום 28.3.16 מינה שר האוצר ועדה ציבורית לבחינת גיל הפרישה לנשים. </w:t>
      </w:r>
      <w:r w:rsidRPr="008C56FB">
        <w:rPr>
          <w:rFonts w:hint="cs"/>
          <w:rtl/>
        </w:rPr>
        <w:t>הוועדה הגישה לשר</w:t>
      </w:r>
      <w:r>
        <w:rPr>
          <w:rFonts w:hint="cs"/>
          <w:rtl/>
        </w:rPr>
        <w:t xml:space="preserve"> האוצר את המלצותיה בספטמבר 2016.</w:t>
      </w:r>
      <w:r>
        <w:rPr>
          <w:rStyle w:val="FootnoteReference0"/>
          <w:rtl/>
        </w:rPr>
        <w:footnoteReference w:id="18"/>
      </w:r>
      <w:r w:rsidRPr="008C56FB">
        <w:rPr>
          <w:rFonts w:hint="cs"/>
          <w:rtl/>
        </w:rPr>
        <w:t xml:space="preserve"> הוועדה </w:t>
      </w:r>
      <w:r>
        <w:rPr>
          <w:rFonts w:hint="cs"/>
          <w:rtl/>
        </w:rPr>
        <w:t>כתבה</w:t>
      </w:r>
      <w:r w:rsidRPr="008C56FB">
        <w:rPr>
          <w:rFonts w:hint="cs"/>
          <w:rtl/>
        </w:rPr>
        <w:t xml:space="preserve"> כי "לאחר איזון השיקולים הנובעים מהיתרונות והחסרונות של המהלך, ממליצה הועדה בפני שר ה</w:t>
      </w:r>
      <w:r>
        <w:rPr>
          <w:rFonts w:hint="cs"/>
          <w:rtl/>
        </w:rPr>
        <w:t xml:space="preserve">אוצר על העלאת גיל הפרישה לנשים", </w:t>
      </w:r>
      <w:r w:rsidRPr="008C56FB">
        <w:rPr>
          <w:rFonts w:hint="cs"/>
          <w:rtl/>
        </w:rPr>
        <w:t>וכי "יש הכרח ללוות את העלאת גיל הפרישה בצעדים משלימים אשר מטרתם למזער את הפגי</w:t>
      </w:r>
      <w:r w:rsidRPr="008C56FB">
        <w:rPr>
          <w:rFonts w:hint="cs"/>
          <w:rtl/>
        </w:rPr>
        <w:t>עה בנשים אשר עשויות להיפגע מהמהלך".</w:t>
      </w:r>
      <w:r>
        <w:rPr>
          <w:rFonts w:hint="cs"/>
          <w:rtl/>
        </w:rPr>
        <w:t xml:space="preserve"> הוועדה המליצה כי גיל הפרישה לנשים יועלה בשני שלבים: בשלב הראשון לגיל 65 באופן הדרגתי, ולאחר מכן יוחל מנגנון אוטומטי להעלאת גיל הפרישה, ולפיו יוצמד גיל הפרישה לאישה בשיעור של שני שלישים מהעלייה בתוחלת החיים, עד שיגיע לגיל</w:t>
      </w:r>
      <w:r>
        <w:rPr>
          <w:rFonts w:hint="cs"/>
          <w:rtl/>
        </w:rPr>
        <w:t xml:space="preserve"> הפרישה לגבר, בדומה למנגנון שאומץ בכמה ממדינות ה-</w:t>
      </w:r>
      <w:r>
        <w:t>OECD</w:t>
      </w:r>
      <w:r>
        <w:rPr>
          <w:rFonts w:hint="cs"/>
          <w:rtl/>
        </w:rPr>
        <w:t>.</w:t>
      </w:r>
      <w:r w:rsidRPr="008C56FB">
        <w:rPr>
          <w:rFonts w:hint="cs"/>
          <w:rtl/>
        </w:rPr>
        <w:t xml:space="preserve"> </w:t>
      </w:r>
    </w:p>
    <w:p w:rsidR="008022B2" w:rsidRPr="008C56FB" w:rsidP="00DF5D3F">
      <w:pPr>
        <w:pStyle w:val="100"/>
        <w:rPr>
          <w:b/>
          <w:bCs/>
          <w:rtl/>
        </w:rPr>
      </w:pPr>
      <w:r w:rsidRPr="008C56FB">
        <w:rPr>
          <w:rFonts w:hint="cs"/>
          <w:rtl/>
        </w:rPr>
        <w:t xml:space="preserve">באוגוסט 2017, בעקבות אי העברת ההמלצות על ידי שר האוצר לוועדה כמתחייב בחוק, תוקן חוק גיל הפרישה. בסעיף 9(ה) שהוסף לחוק נקבע כי אם "לא הביא השר את המלצותיו לוועדת הכספים של הכנסת ולא החליטה ועדת הכספים </w:t>
      </w:r>
      <w:r w:rsidRPr="008C56FB">
        <w:rPr>
          <w:rFonts w:hint="cs"/>
          <w:rtl/>
        </w:rPr>
        <w:t>אחרת - יהיה גיל הפרישה לאישה 62"</w:t>
      </w:r>
      <w:r w:rsidRPr="008C56FB">
        <w:rPr>
          <w:rFonts w:hint="cs"/>
          <w:b/>
          <w:bCs/>
          <w:rtl/>
        </w:rPr>
        <w:t xml:space="preserve">. </w:t>
      </w:r>
    </w:p>
    <w:p w:rsidR="008022B2" w:rsidP="00DF5D3F">
      <w:pPr>
        <w:pStyle w:val="a18"/>
        <w:rPr>
          <w:rtl/>
        </w:rPr>
      </w:pPr>
      <w:r>
        <w:rPr>
          <w:rFonts w:hint="cs"/>
          <w:rtl/>
        </w:rPr>
        <w:t xml:space="preserve">לפי החוק, ומאחר שהשר לא הביא את המלצותיו, נקבע גיל הפרישה לאישה ל-62. </w:t>
      </w:r>
    </w:p>
    <w:p w:rsidR="008022B2" w:rsidP="00DF5D3F">
      <w:pPr>
        <w:pStyle w:val="a18"/>
        <w:rPr>
          <w:rtl/>
        </w:rPr>
      </w:pPr>
      <w:r>
        <w:rPr>
          <w:rFonts w:hint="cs"/>
          <w:rtl/>
        </w:rPr>
        <w:t>אי-העלאת גיל הפרישה לנשים משפיע בין היתר על האיזון האקטוארי של קרנות הפנסייה הוותיקות שבהסדר (להלן - הקרנות הוותיקות)</w:t>
      </w:r>
      <w:r>
        <w:rPr>
          <w:rStyle w:val="FootnoteReference0"/>
          <w:b/>
          <w:bCs/>
          <w:rtl/>
        </w:rPr>
        <w:footnoteReference w:id="19"/>
      </w:r>
      <w:r>
        <w:rPr>
          <w:rFonts w:hint="cs"/>
          <w:rtl/>
        </w:rPr>
        <w:t>. אשר על כן, על פי הוראות התקנון</w:t>
      </w:r>
      <w:r>
        <w:rPr>
          <w:rFonts w:hint="cs"/>
          <w:rtl/>
        </w:rPr>
        <w:t xml:space="preserve"> האחיד של הקרנות הוותיקות, ובשל הצורך לשמור על איזון אקטוארי, אישרה הממונה דאז על שוק ההון, ביטוח וחיסכון (להלן - הממונה על שוק ההון) לקרנות הוותיקות להפחית את הקצבה החודשית של הגמלאים החברים בקרנות אלו בכ-1.2% החל מיוני 2019. </w:t>
      </w:r>
    </w:p>
    <w:p w:rsidR="008022B2" w:rsidRPr="00372372" w:rsidP="00DF5D3F">
      <w:pPr>
        <w:pStyle w:val="100"/>
        <w:rPr>
          <w:rtl/>
        </w:rPr>
      </w:pPr>
      <w:r w:rsidRPr="00372372">
        <w:rPr>
          <w:rFonts w:hint="cs"/>
          <w:rtl/>
        </w:rPr>
        <w:t>ביוני 2019 פרסם משרד האוצר ת</w:t>
      </w:r>
      <w:r w:rsidRPr="00372372">
        <w:rPr>
          <w:rFonts w:hint="cs"/>
          <w:rtl/>
        </w:rPr>
        <w:t>זכיר חוק לתיקון חוק גיל פרישה (להלן - תזכיר החוק). בדברי ההסבר לתזכיר החוק נאמר כי במסגרת התיקון מוצ</w:t>
      </w:r>
      <w:r>
        <w:rPr>
          <w:rFonts w:hint="cs"/>
          <w:rtl/>
        </w:rPr>
        <w:t>ע מתווה להעלאת גיל הפרישה לנשים -</w:t>
      </w:r>
      <w:r w:rsidRPr="00372372">
        <w:rPr>
          <w:rFonts w:hint="cs"/>
          <w:rtl/>
        </w:rPr>
        <w:t xml:space="preserve"> בשלב הראשון לגיל 65 באופן הדרגתי, ו</w:t>
      </w:r>
      <w:r>
        <w:rPr>
          <w:rFonts w:hint="cs"/>
          <w:rtl/>
        </w:rPr>
        <w:t>בשלב השני, החל מחודש ינואר 2037</w:t>
      </w:r>
      <w:r w:rsidRPr="00372372">
        <w:rPr>
          <w:rFonts w:hint="cs"/>
          <w:rtl/>
        </w:rPr>
        <w:t xml:space="preserve"> מוצע להחיל מנגנון אוטומטי להעלאת גיל הפרישה בהתאם לשינו</w:t>
      </w:r>
      <w:r w:rsidRPr="00372372">
        <w:rPr>
          <w:rFonts w:hint="cs"/>
          <w:rtl/>
        </w:rPr>
        <w:t xml:space="preserve">יים בתוחלת החיים. הצעת התיקון </w:t>
      </w:r>
      <w:r w:rsidRPr="00372372">
        <w:rPr>
          <w:rFonts w:hint="cs"/>
          <w:rtl/>
        </w:rPr>
        <w:t xml:space="preserve">מבוססת על המלצות הוועדה הציבורית כאמור, תוך התאמות למשך הזמן שחלף ממועד פרסום המלצות הוועדה, ובשים לב לכך שלקצב העלאת הגיל יש השפעה על גירעון הקרנות הוותיקות שבהסדר. </w:t>
      </w:r>
    </w:p>
    <w:p w:rsidR="008022B2" w:rsidRPr="00372372" w:rsidP="00DF5D3F">
      <w:pPr>
        <w:pStyle w:val="100"/>
        <w:rPr>
          <w:rtl/>
        </w:rPr>
      </w:pPr>
      <w:r w:rsidRPr="00372372">
        <w:rPr>
          <w:rFonts w:hint="cs"/>
          <w:rtl/>
        </w:rPr>
        <w:t>ביום 20.6.19 כתב הממונה על שוק ההון למנהל הקרנות הוותיקות כ</w:t>
      </w:r>
      <w:r w:rsidRPr="00372372">
        <w:rPr>
          <w:rFonts w:hint="cs"/>
          <w:rtl/>
        </w:rPr>
        <w:t xml:space="preserve">י מתוקף סמכותו הוא החליט </w:t>
      </w:r>
      <w:r>
        <w:rPr>
          <w:rFonts w:hint="cs"/>
          <w:rtl/>
        </w:rPr>
        <w:t>ש</w:t>
      </w:r>
      <w:r w:rsidRPr="00372372">
        <w:rPr>
          <w:rFonts w:hint="cs"/>
          <w:rtl/>
        </w:rPr>
        <w:t>"הפחתת הקצבאות בשל הגדלת ההתחייבויות של הקרנות תעשה החל מהקצבאות המשתלמות מחודש אפריל 2020 ואילך</w:t>
      </w:r>
      <w:r>
        <w:rPr>
          <w:rFonts w:hint="cs"/>
          <w:rtl/>
        </w:rPr>
        <w:t>"</w:t>
      </w:r>
      <w:r w:rsidRPr="00372372">
        <w:rPr>
          <w:rFonts w:hint="cs"/>
          <w:rtl/>
        </w:rPr>
        <w:t>. הממונה נימק את החלטתו זו נוכח הקשיים באפשרות לקדם חקיקה בכנסת בנדון במהלך 2019, ונוכח פרסום תזכיר החוק "אשר במסגרתו מוצע מתווה להעל</w:t>
      </w:r>
      <w:r w:rsidRPr="00372372">
        <w:rPr>
          <w:rFonts w:hint="cs"/>
          <w:rtl/>
        </w:rPr>
        <w:t>את גיל הפרישה לנשים באופן שישפיע על שיעור ההפחתה הנדרש בקרנות הוותיקות שבהסדר".</w:t>
      </w:r>
      <w:r>
        <w:rPr>
          <w:rFonts w:hint="cs"/>
          <w:rtl/>
        </w:rPr>
        <w:t xml:space="preserve"> </w:t>
      </w:r>
    </w:p>
    <w:p w:rsidR="008022B2" w:rsidP="00DF5D3F">
      <w:pPr>
        <w:pStyle w:val="a18"/>
        <w:rPr>
          <w:rtl/>
        </w:rPr>
      </w:pPr>
      <w:r w:rsidRPr="00695495">
        <w:rPr>
          <w:rFonts w:hint="cs"/>
          <w:rtl/>
        </w:rPr>
        <w:t xml:space="preserve">דחיית ההחלטות בעניין גיל הפרישה לנשים </w:t>
      </w:r>
      <w:r>
        <w:rPr>
          <w:rFonts w:hint="cs"/>
          <w:rtl/>
        </w:rPr>
        <w:t>עלולה ל</w:t>
      </w:r>
      <w:r w:rsidRPr="00695495">
        <w:rPr>
          <w:rFonts w:hint="cs"/>
          <w:rtl/>
        </w:rPr>
        <w:t>פג</w:t>
      </w:r>
      <w:r>
        <w:rPr>
          <w:rFonts w:hint="cs"/>
          <w:rtl/>
        </w:rPr>
        <w:t>ו</w:t>
      </w:r>
      <w:r w:rsidRPr="00695495">
        <w:rPr>
          <w:rFonts w:hint="cs"/>
          <w:rtl/>
        </w:rPr>
        <w:t xml:space="preserve">ע ביכולת להעלות את גיל הפרישה באופן הדרגתי על פני זמן, </w:t>
      </w:r>
      <w:r>
        <w:rPr>
          <w:rFonts w:hint="cs"/>
          <w:rtl/>
        </w:rPr>
        <w:t xml:space="preserve">שיכול שתביא לידי </w:t>
      </w:r>
      <w:r w:rsidRPr="00695495">
        <w:rPr>
          <w:rFonts w:hint="cs"/>
          <w:rtl/>
        </w:rPr>
        <w:t>פגיעה כלכלית במדינה. לסוג</w:t>
      </w:r>
      <w:r>
        <w:rPr>
          <w:rFonts w:hint="cs"/>
          <w:rtl/>
        </w:rPr>
        <w:t>י</w:t>
      </w:r>
      <w:r w:rsidRPr="00695495">
        <w:rPr>
          <w:rFonts w:hint="cs"/>
          <w:rtl/>
        </w:rPr>
        <w:t>י</w:t>
      </w:r>
      <w:r>
        <w:rPr>
          <w:rFonts w:hint="cs"/>
          <w:rtl/>
        </w:rPr>
        <w:t xml:space="preserve">ת גיל הפרישה לנשים יש </w:t>
      </w:r>
      <w:r w:rsidRPr="00695495">
        <w:rPr>
          <w:rFonts w:hint="cs"/>
          <w:rtl/>
        </w:rPr>
        <w:t>גם השל</w:t>
      </w:r>
      <w:r w:rsidRPr="00695495">
        <w:rPr>
          <w:rFonts w:hint="cs"/>
          <w:rtl/>
        </w:rPr>
        <w:t xml:space="preserve">כות חברתיות וסוציאליות שנדרש לשקול אותן. דחיית ההכרעה בעניין </w:t>
      </w:r>
      <w:r>
        <w:rPr>
          <w:rFonts w:hint="cs"/>
          <w:rtl/>
        </w:rPr>
        <w:t>עלולה להעצים</w:t>
      </w:r>
      <w:r w:rsidRPr="00695495">
        <w:rPr>
          <w:rFonts w:hint="cs"/>
          <w:rtl/>
        </w:rPr>
        <w:t xml:space="preserve"> את הנזק העתידי במישורים השונים.</w:t>
      </w:r>
    </w:p>
    <w:p w:rsidR="008022B2" w:rsidP="00DF5D3F">
      <w:pPr>
        <w:pStyle w:val="a18"/>
        <w:rPr>
          <w:rtl/>
        </w:rPr>
      </w:pPr>
      <w:r>
        <w:rPr>
          <w:rFonts w:hint="cs"/>
          <w:rtl/>
        </w:rPr>
        <w:t>משרד מבקר המדינה ממליץ למשרד האוצר לבחון את קידום הנושא עם כינונה הצפוי של הממשלה, לשם השלמת גיבוש המדיניות. זאת בשל המשמעויות הנרחבות הנוגעות לסוגיה,</w:t>
      </w:r>
      <w:r>
        <w:rPr>
          <w:rFonts w:hint="cs"/>
          <w:rtl/>
        </w:rPr>
        <w:t xml:space="preserve"> לרבות בכל הנוגע לפעולות הנדרשות בהתייחס לגירעון הקרנות הוותיקות שבהסדר.</w:t>
      </w:r>
    </w:p>
    <w:p w:rsidR="008022B2" w:rsidRPr="00703907" w:rsidP="00DF5D3F">
      <w:pPr>
        <w:pStyle w:val="316"/>
        <w:rPr>
          <w:rtl/>
        </w:rPr>
      </w:pPr>
      <w:r w:rsidRPr="00703907">
        <w:rPr>
          <w:rFonts w:hint="cs"/>
          <w:rtl/>
        </w:rPr>
        <w:t>סיכום</w:t>
      </w:r>
    </w:p>
    <w:p w:rsidR="008C0B8B" w:rsidRPr="008022B2" w:rsidP="00DF5D3F">
      <w:pPr>
        <w:pStyle w:val="a18"/>
        <w:rPr>
          <w:rFonts w:ascii="Times New Roman" w:hAnsi="Times New Roman" w:cs="David"/>
          <w:szCs w:val="24"/>
          <w:rtl/>
        </w:rPr>
      </w:pPr>
      <w:r w:rsidRPr="00703907">
        <w:rPr>
          <w:rtl/>
        </w:rPr>
        <w:t>החיסכון הפנסיוני נועד לשמש מקור הכנסה עיקרי לאחר הפרישה מעבודה. אין עוררין על כך שהפורשים מצה"ל</w:t>
      </w:r>
      <w:r w:rsidRPr="00703907">
        <w:rPr>
          <w:rFonts w:hint="cs"/>
          <w:rtl/>
        </w:rPr>
        <w:t>,</w:t>
      </w:r>
      <w:r w:rsidRPr="00703907">
        <w:rPr>
          <w:rtl/>
        </w:rPr>
        <w:t xml:space="preserve"> שבמשך שנים פעלו למען ב</w:t>
      </w:r>
      <w:r w:rsidRPr="00703907">
        <w:rPr>
          <w:rFonts w:hint="cs"/>
          <w:rtl/>
        </w:rPr>
        <w:t>י</w:t>
      </w:r>
      <w:r w:rsidRPr="00703907">
        <w:rPr>
          <w:rtl/>
        </w:rPr>
        <w:t>טחון המדינה, זכאים לפנסי</w:t>
      </w:r>
      <w:r w:rsidRPr="00703907">
        <w:rPr>
          <w:rFonts w:hint="cs"/>
          <w:rtl/>
        </w:rPr>
        <w:t>י</w:t>
      </w:r>
      <w:r w:rsidRPr="00703907">
        <w:rPr>
          <w:rtl/>
        </w:rPr>
        <w:t xml:space="preserve">ה הוגנת וראויה. </w:t>
      </w:r>
      <w:r w:rsidRPr="00703907">
        <w:rPr>
          <w:rFonts w:hint="cs"/>
          <w:rtl/>
        </w:rPr>
        <w:t>ראוי כי המחלוקות</w:t>
      </w:r>
      <w:r w:rsidRPr="00703907">
        <w:rPr>
          <w:rFonts w:hint="cs"/>
          <w:rtl/>
        </w:rPr>
        <w:t xml:space="preserve"> רבות השנים בין צה"ל למשרד האוצר בסוגיות אלו, וכך גם הסדרת שקיפות הנתונים, יבואו על פתרונן בהקדם.</w:t>
      </w:r>
      <w:r w:rsidRPr="00703907">
        <w:rPr>
          <w:rtl/>
        </w:rPr>
        <w:t xml:space="preserve"> העלי</w:t>
      </w:r>
      <w:r w:rsidRPr="00703907">
        <w:rPr>
          <w:rFonts w:hint="cs"/>
          <w:rtl/>
        </w:rPr>
        <w:t>י</w:t>
      </w:r>
      <w:r w:rsidRPr="00703907">
        <w:rPr>
          <w:rtl/>
        </w:rPr>
        <w:t xml:space="preserve">ה המתמשכת בתוחלת החיים מחייבת בחינה של מתווה העלאת גיל הפרישה של נשים </w:t>
      </w:r>
      <w:r w:rsidRPr="00703907">
        <w:rPr>
          <w:rFonts w:hint="cs"/>
          <w:rtl/>
        </w:rPr>
        <w:t>תוך השוואה ל</w:t>
      </w:r>
      <w:r w:rsidRPr="00703907">
        <w:rPr>
          <w:rtl/>
        </w:rPr>
        <w:t>מקובל בעולם</w:t>
      </w:r>
      <w:bookmarkEnd w:id="1"/>
      <w:bookmarkEnd w:id="2"/>
      <w:bookmarkEnd w:id="3"/>
      <w:bookmarkEnd w:id="4"/>
      <w:bookmarkEnd w:id="5"/>
      <w:r>
        <w:rPr>
          <w:rFonts w:hint="cs"/>
          <w:rtl/>
        </w:rPr>
        <w:t>.</w:t>
      </w:r>
    </w:p>
    <w:sectPr w:rsidSect="00CA4D91">
      <w:footerReference w:type="default" r:id="rId18"/>
      <w:headerReference w:type="first" r:id="rId19"/>
      <w:footerReference w:type="first" r:id="rId20"/>
      <w:pgSz w:w="11906" w:h="16838"/>
      <w:pgMar w:top="2268" w:right="1985" w:bottom="2155" w:left="1701"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TypoUpright BT">
    <w:charset w:val="00"/>
    <w:family w:val="script"/>
    <w:pitch w:val="variable"/>
    <w:sig w:usb0="800000AF" w:usb1="1000204A" w:usb2="00000000" w:usb3="00000000" w:csb0="0000001B"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rankRuehl">
    <w:panose1 w:val="020E0503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C5CE1" w:rsidRPr="006668CA" w:rsidP="006668CA">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הסדרי הפנסייה בישראל</w:t>
    </w:r>
    <w:r w:rsidR="00382804">
      <w:rPr>
        <w:rFonts w:ascii="Tahoma" w:hAnsi="Tahoma" w:cs="Tahoma" w:hint="cs"/>
        <w:color w:val="002060"/>
        <w:sz w:val="18"/>
        <w:szCs w:val="18"/>
        <w:rtl/>
      </w:rPr>
      <w:t xml:space="preserve"> </w:t>
    </w:r>
    <w:r w:rsidR="00382804">
      <w:rPr>
        <w:rFonts w:ascii="Tahoma" w:hAnsi="Tahoma" w:cs="Tahoma"/>
        <w:color w:val="002060"/>
        <w:sz w:val="18"/>
        <w:szCs w:val="18"/>
        <w:rtl/>
      </w:rPr>
      <w:t>–</w:t>
    </w:r>
    <w:r w:rsidR="00382804">
      <w:rPr>
        <w:rFonts w:ascii="Tahoma" w:hAnsi="Tahoma" w:cs="Tahoma" w:hint="cs"/>
        <w:color w:val="002060"/>
        <w:sz w:val="18"/>
        <w:szCs w:val="18"/>
        <w:rtl/>
      </w:rPr>
      <w:t xml:space="preserve"> ביקורת מעקב</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C5CE1" w:rsidRPr="009229FC" w:rsidP="009229FC">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 xml:space="preserve">הסדרי הפנסייה בישראל </w:t>
    </w:r>
    <w:r>
      <w:rPr>
        <w:rFonts w:ascii="Tahoma" w:hAnsi="Tahoma" w:cs="Tahoma"/>
        <w:color w:val="002060"/>
        <w:sz w:val="18"/>
        <w:szCs w:val="18"/>
        <w:rtl/>
      </w:rPr>
      <w:t>–</w:t>
    </w:r>
    <w:r>
      <w:rPr>
        <w:rFonts w:ascii="Tahoma" w:hAnsi="Tahoma" w:cs="Tahoma" w:hint="cs"/>
        <w:color w:val="002060"/>
        <w:sz w:val="18"/>
        <w:szCs w:val="18"/>
        <w:rtl/>
      </w:rPr>
      <w:t xml:space="preserve"> ביקורת מעקב</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C5CE1" w:rsidRPr="00D15500" w:rsidP="00D15500">
    <w:pPr>
      <w:pStyle w:val="Footer"/>
      <w:spacing w:after="120" w:line="312" w:lineRule="auto"/>
      <w:jc w:val="right"/>
      <w:rPr>
        <w:rFonts w:ascii="Tahoma" w:hAnsi="Tahoma" w:cs="Tahoma"/>
        <w:color w:val="002060"/>
        <w:sz w:val="18"/>
        <w:szCs w:val="18"/>
      </w:rPr>
    </w:pPr>
    <w:bookmarkStart w:id="6" w:name="tempMark"/>
    <w:bookmarkEnd w:id="6"/>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CC5CE1" w:rsidP="00C23CC9">
      <w:pPr>
        <w:spacing w:line="240" w:lineRule="auto"/>
      </w:pPr>
      <w:r>
        <w:separator/>
      </w:r>
    </w:p>
  </w:footnote>
  <w:footnote w:type="continuationSeparator" w:id="1">
    <w:p w:rsidR="00CC5CE1" w:rsidP="00C23CC9">
      <w:pPr>
        <w:spacing w:line="240" w:lineRule="auto"/>
      </w:pPr>
      <w:r>
        <w:continuationSeparator/>
      </w:r>
    </w:p>
    <w:p w:rsidR="00CC5CE1"/>
  </w:footnote>
  <w:footnote w:id="2">
    <w:p w:rsidR="008022B2" w:rsidRPr="0006501C" w:rsidP="0006501C">
      <w:pPr>
        <w:pStyle w:val="a2"/>
        <w:rPr>
          <w:rtl/>
        </w:rPr>
      </w:pPr>
      <w:r w:rsidRPr="0006501C">
        <w:footnoteRef/>
      </w:r>
      <w:r w:rsidRPr="0006501C">
        <w:rPr>
          <w:rtl/>
        </w:rPr>
        <w:t xml:space="preserve"> </w:t>
      </w:r>
      <w:r w:rsidRPr="0006501C">
        <w:rPr>
          <w:rtl/>
        </w:rPr>
        <w:tab/>
      </w:r>
      <w:r w:rsidRPr="0006501C">
        <w:rPr>
          <w:rFonts w:hint="cs"/>
          <w:rtl/>
        </w:rPr>
        <w:t>ראו מבקר המדינה</w:t>
      </w:r>
      <w:r>
        <w:rPr>
          <w:rFonts w:hint="cs"/>
          <w:rtl/>
        </w:rPr>
        <w:t xml:space="preserve">, </w:t>
      </w:r>
      <w:r w:rsidRPr="00A91CC7">
        <w:rPr>
          <w:rFonts w:hint="eastAsia"/>
          <w:b/>
          <w:bCs/>
          <w:rtl/>
        </w:rPr>
        <w:t>דוח</w:t>
      </w:r>
      <w:r w:rsidRPr="00A91CC7">
        <w:rPr>
          <w:b/>
          <w:bCs/>
          <w:rtl/>
        </w:rPr>
        <w:t xml:space="preserve"> </w:t>
      </w:r>
      <w:r w:rsidRPr="00A91CC7">
        <w:rPr>
          <w:rFonts w:hint="eastAsia"/>
          <w:b/>
          <w:bCs/>
          <w:rtl/>
        </w:rPr>
        <w:t>ביקורת</w:t>
      </w:r>
      <w:r w:rsidRPr="00A91CC7">
        <w:rPr>
          <w:b/>
          <w:bCs/>
          <w:rtl/>
        </w:rPr>
        <w:t xml:space="preserve"> </w:t>
      </w:r>
      <w:r w:rsidRPr="00A91CC7">
        <w:rPr>
          <w:rFonts w:hint="eastAsia"/>
          <w:b/>
          <w:bCs/>
          <w:rtl/>
        </w:rPr>
        <w:t>מיוחד</w:t>
      </w:r>
      <w:r w:rsidRPr="00A91CC7">
        <w:rPr>
          <w:b/>
          <w:bCs/>
          <w:rtl/>
        </w:rPr>
        <w:t xml:space="preserve"> - </w:t>
      </w:r>
      <w:r w:rsidRPr="00A91CC7">
        <w:rPr>
          <w:rFonts w:hint="eastAsia"/>
          <w:b/>
          <w:bCs/>
          <w:rtl/>
        </w:rPr>
        <w:t>הסדרי</w:t>
      </w:r>
      <w:r w:rsidRPr="00A91CC7">
        <w:rPr>
          <w:b/>
          <w:bCs/>
          <w:rtl/>
        </w:rPr>
        <w:t xml:space="preserve"> </w:t>
      </w:r>
      <w:r w:rsidRPr="00A91CC7">
        <w:rPr>
          <w:rFonts w:hint="eastAsia"/>
          <w:b/>
          <w:bCs/>
          <w:rtl/>
        </w:rPr>
        <w:t>ה</w:t>
      </w:r>
      <w:r>
        <w:rPr>
          <w:rFonts w:hint="eastAsia"/>
          <w:b/>
          <w:bCs/>
          <w:rtl/>
        </w:rPr>
        <w:t>פנסייה</w:t>
      </w:r>
      <w:r w:rsidRPr="00A91CC7">
        <w:rPr>
          <w:b/>
          <w:bCs/>
          <w:rtl/>
        </w:rPr>
        <w:t xml:space="preserve"> </w:t>
      </w:r>
      <w:r w:rsidRPr="00A91CC7">
        <w:rPr>
          <w:rFonts w:hint="eastAsia"/>
          <w:b/>
          <w:bCs/>
          <w:rtl/>
        </w:rPr>
        <w:t>במדינה</w:t>
      </w:r>
      <w:r>
        <w:rPr>
          <w:rFonts w:hint="cs"/>
          <w:rtl/>
        </w:rPr>
        <w:t xml:space="preserve"> (201</w:t>
      </w:r>
      <w:r w:rsidRPr="0006501C">
        <w:rPr>
          <w:rFonts w:hint="cs"/>
          <w:rtl/>
        </w:rPr>
        <w:t>6), ע"מ</w:t>
      </w:r>
      <w:r w:rsidR="00570FF1">
        <w:rPr>
          <w:rFonts w:hint="cs"/>
          <w:rtl/>
        </w:rPr>
        <w:t xml:space="preserve"> </w:t>
      </w:r>
      <w:r w:rsidR="006122B0">
        <w:t>10</w:t>
      </w:r>
      <w:r w:rsidR="00570FF1">
        <w:rPr>
          <w:rFonts w:hint="cs"/>
          <w:rtl/>
        </w:rPr>
        <w:t xml:space="preserve"> - 1</w:t>
      </w:r>
      <w:r w:rsidR="006122B0">
        <w:rPr>
          <w:rFonts w:hint="cs"/>
          <w:rtl/>
        </w:rPr>
        <w:t>2</w:t>
      </w:r>
      <w:r w:rsidRPr="0006501C">
        <w:rPr>
          <w:rFonts w:hint="cs"/>
          <w:rtl/>
        </w:rPr>
        <w:t xml:space="preserve">, 15, 17 - 21, 44 - 77, 123 - 137. </w:t>
      </w:r>
    </w:p>
  </w:footnote>
  <w:footnote w:id="3">
    <w:p w:rsidR="008022B2" w:rsidRPr="0006501C" w:rsidP="0006501C">
      <w:pPr>
        <w:pStyle w:val="a2"/>
      </w:pPr>
      <w:r w:rsidRPr="0006501C">
        <w:rPr>
          <w:rStyle w:val="FootnoteReference0"/>
          <w:vertAlign w:val="baseline"/>
        </w:rPr>
        <w:footnoteRef/>
      </w:r>
      <w:r w:rsidRPr="0006501C">
        <w:rPr>
          <w:rtl/>
        </w:rPr>
        <w:t xml:space="preserve"> </w:t>
      </w:r>
      <w:r w:rsidRPr="0006501C">
        <w:rPr>
          <w:rtl/>
        </w:rPr>
        <w:tab/>
      </w:r>
      <w:r w:rsidRPr="0006501C">
        <w:rPr>
          <w:rFonts w:hint="cs"/>
          <w:rtl/>
        </w:rPr>
        <w:t>יצוין כי נתון זה הוא תוספת העלות השנתית בגין פורשים חדשים שפרשו באותה השנה, ואינו כולל את התשלומים השנתיים בגין הגדלות שניתנו לפורשי העבר, ולא את הנטל התקציבי לשנים הבאות. צה"ל הסביר כי במסגרת מימוש מודל הקבע החדש, שבגינו יחול קיטון במספר הפורשים ובגיל הפר</w:t>
      </w:r>
      <w:r w:rsidRPr="0006501C">
        <w:rPr>
          <w:rFonts w:hint="cs"/>
          <w:rtl/>
        </w:rPr>
        <w:t xml:space="preserve">ישה הממוצע, העלות השנתית צפויה להתייצב על 15-20 מיליון ש"ח לשנה.  </w:t>
      </w:r>
    </w:p>
  </w:footnote>
  <w:footnote w:id="4">
    <w:p w:rsidR="008022B2" w:rsidP="0006501C">
      <w:pPr>
        <w:pStyle w:val="a2"/>
        <w:rPr>
          <w:rtl/>
        </w:rPr>
      </w:pPr>
      <w:r w:rsidRPr="0006501C">
        <w:rPr>
          <w:rStyle w:val="FootnoteReference0"/>
          <w:vertAlign w:val="baseline"/>
        </w:rPr>
        <w:footnoteRef/>
      </w:r>
      <w:r w:rsidRPr="0006501C">
        <w:rPr>
          <w:rtl/>
        </w:rPr>
        <w:t xml:space="preserve"> </w:t>
      </w:r>
      <w:r w:rsidRPr="0006501C">
        <w:rPr>
          <w:rtl/>
        </w:rPr>
        <w:tab/>
      </w:r>
      <w:r w:rsidRPr="0006501C">
        <w:rPr>
          <w:rFonts w:hint="cs"/>
          <w:rtl/>
        </w:rPr>
        <w:t>תשובתו של היועץ המשפטי למשרד האוצר מיום 15.5.19. לעניין החבות האקטוארית בגין ההגדלות, בדוח הקוד</w:t>
      </w:r>
      <w:r>
        <w:rPr>
          <w:rFonts w:hint="cs"/>
          <w:rtl/>
        </w:rPr>
        <w:t>ם נקבע כי החשבת הכללית דאז חישבה את החבות האקטוארית בשנים 2013-2015, וכי החישוב העלה כי החב</w:t>
      </w:r>
      <w:r>
        <w:rPr>
          <w:rFonts w:hint="cs"/>
          <w:rtl/>
        </w:rPr>
        <w:t>ות בגין ההגדלות בשלוש שנים אלו בלבד עמדה על 2.9 מיליארד ש"ח (ראו עמודים 58-57 לדוח הקודם).</w:t>
      </w:r>
    </w:p>
  </w:footnote>
  <w:footnote w:id="5">
    <w:p w:rsidR="008022B2" w:rsidRPr="00CD7C48" w:rsidP="00CD7C48">
      <w:pPr>
        <w:pStyle w:val="a2"/>
      </w:pPr>
      <w:r w:rsidRPr="00CD7C48">
        <w:rPr>
          <w:rStyle w:val="FootnoteReference0"/>
          <w:vertAlign w:val="baseline"/>
        </w:rPr>
        <w:footnoteRef/>
      </w:r>
      <w:r w:rsidRPr="00CD7C48">
        <w:rPr>
          <w:rtl/>
        </w:rPr>
        <w:t xml:space="preserve"> </w:t>
      </w:r>
      <w:r w:rsidRPr="00CD7C48">
        <w:rPr>
          <w:rtl/>
        </w:rPr>
        <w:tab/>
      </w:r>
      <w:r w:rsidRPr="00CD7C48">
        <w:rPr>
          <w:rFonts w:hint="cs"/>
          <w:rtl/>
        </w:rPr>
        <w:t>ראו בעניין זה הדוח הכספי של ממשלת ישראל ליום 31.12.18, וכן בדוח הקודם בעמודים 49-47.</w:t>
      </w:r>
    </w:p>
  </w:footnote>
  <w:footnote w:id="6">
    <w:p w:rsidR="008022B2" w:rsidP="00CD7C48">
      <w:pPr>
        <w:pStyle w:val="a2"/>
        <w:rPr>
          <w:rtl/>
        </w:rPr>
      </w:pPr>
      <w:r w:rsidRPr="00CD7C48">
        <w:rPr>
          <w:rStyle w:val="FootnoteReference0"/>
          <w:vertAlign w:val="baseline"/>
        </w:rPr>
        <w:footnoteRef/>
      </w:r>
      <w:r w:rsidRPr="00CD7C48">
        <w:rPr>
          <w:rtl/>
        </w:rPr>
        <w:t xml:space="preserve"> </w:t>
      </w:r>
      <w:r w:rsidRPr="00CD7C48">
        <w:rPr>
          <w:rtl/>
        </w:rPr>
        <w:tab/>
      </w:r>
      <w:r w:rsidRPr="00CD7C48">
        <w:rPr>
          <w:rFonts w:hint="cs"/>
          <w:rtl/>
        </w:rPr>
        <w:t>לטענת האוצר הקצבה</w:t>
      </w:r>
      <w:r>
        <w:rPr>
          <w:rFonts w:hint="cs"/>
          <w:rtl/>
        </w:rPr>
        <w:t xml:space="preserve"> הממוצעת לקצינים שפרשנו בשנת 2018 הייתה 19,844.</w:t>
      </w:r>
    </w:p>
  </w:footnote>
  <w:footnote w:id="7">
    <w:p w:rsidR="008022B2" w:rsidP="00B231C0">
      <w:pPr>
        <w:pStyle w:val="a2"/>
        <w:rPr>
          <w:rtl/>
        </w:rPr>
      </w:pPr>
      <w:r w:rsidRPr="00B231C0">
        <w:footnoteRef/>
      </w:r>
      <w:r w:rsidRPr="00B231C0">
        <w:rPr>
          <w:rtl/>
        </w:rPr>
        <w:t xml:space="preserve"> </w:t>
      </w:r>
      <w:r w:rsidRPr="00B231C0">
        <w:rPr>
          <w:rtl/>
        </w:rPr>
        <w:tab/>
      </w:r>
      <w:r w:rsidRPr="00B231C0">
        <w:rPr>
          <w:rFonts w:hint="cs"/>
          <w:rtl/>
        </w:rPr>
        <w:t>בין ית</w:t>
      </w:r>
      <w:r w:rsidRPr="00B231C0">
        <w:rPr>
          <w:rFonts w:hint="cs"/>
          <w:rtl/>
        </w:rPr>
        <w:t>ר הצעדים שצה"ל נקט היו העברת משרתי הקבע למודל של פנסייה צוברת; החלת מודל הקבע החדש; קטימת ההגדלות האחוזיות ל-10%; הגבלת פנסיית הגישור בתקרה של הפנסייה התקציבית לו היו הפורשים משויכים</w:t>
      </w:r>
      <w:r>
        <w:rPr>
          <w:rFonts w:hint="cs"/>
          <w:rtl/>
        </w:rPr>
        <w:t xml:space="preserve"> למסלול זה; ומגוון מהלכים המקטינים את השכר הקובע. </w:t>
      </w:r>
    </w:p>
  </w:footnote>
  <w:footnote w:id="8">
    <w:p w:rsidR="008022B2" w:rsidP="0029607C">
      <w:pPr>
        <w:pStyle w:val="a2"/>
      </w:pPr>
      <w:r w:rsidRPr="0029607C">
        <w:footnoteRef/>
      </w:r>
      <w:r w:rsidRPr="0029607C">
        <w:rPr>
          <w:rFonts w:hint="cs"/>
          <w:rtl/>
        </w:rPr>
        <w:t xml:space="preserve"> </w:t>
      </w:r>
      <w:r w:rsidRPr="0029607C">
        <w:rPr>
          <w:rtl/>
        </w:rPr>
        <w:tab/>
      </w:r>
      <w:r w:rsidRPr="0029607C">
        <w:rPr>
          <w:rFonts w:hint="cs"/>
          <w:rtl/>
        </w:rPr>
        <w:t xml:space="preserve">החלטת הממשלה 849 </w:t>
      </w:r>
      <w:r w:rsidRPr="0029607C">
        <w:rPr>
          <w:rFonts w:hint="cs"/>
          <w:rtl/>
        </w:rPr>
        <w:t>מיום 31.5.61 קובעת כי הרמטכ"ל מוסמך "להגדיל את קצבתו של חייל פלוני אם היה סבור שקיימות נסיבות</w:t>
      </w:r>
      <w:r>
        <w:rPr>
          <w:rFonts w:hint="cs"/>
          <w:rtl/>
        </w:rPr>
        <w:t xml:space="preserve"> כלכליות או אחרות המצדיקות זאת".</w:t>
      </w:r>
    </w:p>
  </w:footnote>
  <w:footnote w:id="9">
    <w:p w:rsidR="008022B2" w:rsidRPr="0029607C" w:rsidP="0029607C">
      <w:pPr>
        <w:pStyle w:val="a2"/>
      </w:pPr>
      <w:r w:rsidRPr="0029607C">
        <w:rPr>
          <w:rStyle w:val="FootnoteReference0"/>
          <w:vertAlign w:val="baseline"/>
        </w:rPr>
        <w:footnoteRef/>
      </w:r>
      <w:r w:rsidRPr="0029607C">
        <w:rPr>
          <w:rtl/>
        </w:rPr>
        <w:t xml:space="preserve"> </w:t>
      </w:r>
      <w:r w:rsidRPr="0029607C">
        <w:rPr>
          <w:rtl/>
        </w:rPr>
        <w:tab/>
      </w:r>
      <w:r w:rsidRPr="0029607C">
        <w:rPr>
          <w:rFonts w:hint="cs"/>
          <w:rtl/>
        </w:rPr>
        <w:t>על פי חישובי משרד האוצר, הסכום השנתי עומד על כ-38 מיליון ש"ח.</w:t>
      </w:r>
    </w:p>
  </w:footnote>
  <w:footnote w:id="10">
    <w:p w:rsidR="008022B2" w:rsidRPr="00E74A11" w:rsidP="0029607C">
      <w:pPr>
        <w:pStyle w:val="a2"/>
        <w:rPr>
          <w:rtl/>
        </w:rPr>
      </w:pPr>
      <w:r w:rsidRPr="0029607C">
        <w:rPr>
          <w:rStyle w:val="FootnoteReference0"/>
          <w:vertAlign w:val="baseline"/>
        </w:rPr>
        <w:footnoteRef/>
      </w:r>
      <w:r w:rsidRPr="0029607C">
        <w:rPr>
          <w:rtl/>
        </w:rPr>
        <w:t xml:space="preserve"> </w:t>
      </w:r>
      <w:r w:rsidRPr="0029607C">
        <w:rPr>
          <w:rFonts w:hint="cs"/>
          <w:rtl/>
        </w:rPr>
        <w:t xml:space="preserve"> </w:t>
      </w:r>
      <w:r w:rsidRPr="0029607C">
        <w:rPr>
          <w:rtl/>
        </w:rPr>
        <w:tab/>
      </w:r>
      <w:r w:rsidRPr="0029607C">
        <w:rPr>
          <w:rFonts w:hint="cs"/>
          <w:rtl/>
        </w:rPr>
        <w:t>את הסיכום</w:t>
      </w:r>
      <w:r w:rsidRPr="00E74A11">
        <w:rPr>
          <w:rtl/>
        </w:rPr>
        <w:t xml:space="preserve"> </w:t>
      </w:r>
      <w:r w:rsidRPr="00E74A11">
        <w:rPr>
          <w:rFonts w:hint="cs"/>
          <w:rtl/>
        </w:rPr>
        <w:t>התקציבי</w:t>
      </w:r>
      <w:r w:rsidRPr="00E74A11">
        <w:rPr>
          <w:rtl/>
        </w:rPr>
        <w:t xml:space="preserve"> </w:t>
      </w:r>
      <w:r>
        <w:rPr>
          <w:rFonts w:hint="cs"/>
          <w:rtl/>
        </w:rPr>
        <w:t>אימצה</w:t>
      </w:r>
      <w:r w:rsidRPr="00E74A11">
        <w:rPr>
          <w:rtl/>
        </w:rPr>
        <w:t xml:space="preserve"> </w:t>
      </w:r>
      <w:r w:rsidRPr="00E74A11">
        <w:rPr>
          <w:rFonts w:hint="cs"/>
          <w:rtl/>
        </w:rPr>
        <w:t>הממשלה</w:t>
      </w:r>
      <w:r w:rsidRPr="00E74A11">
        <w:rPr>
          <w:rtl/>
        </w:rPr>
        <w:t xml:space="preserve"> </w:t>
      </w:r>
      <w:r w:rsidRPr="00E74A11">
        <w:rPr>
          <w:rFonts w:hint="cs"/>
          <w:rtl/>
        </w:rPr>
        <w:t>בהחלטה</w:t>
      </w:r>
      <w:r w:rsidR="008E4108">
        <w:rPr>
          <w:rFonts w:hint="cs"/>
          <w:rtl/>
        </w:rPr>
        <w:t xml:space="preserve"> ב/136</w:t>
      </w:r>
      <w:r w:rsidRPr="00E74A11">
        <w:rPr>
          <w:rtl/>
        </w:rPr>
        <w:t xml:space="preserve"> </w:t>
      </w:r>
      <w:r w:rsidRPr="00E74A11">
        <w:rPr>
          <w:rFonts w:hint="cs"/>
          <w:rtl/>
        </w:rPr>
        <w:t>של</w:t>
      </w:r>
      <w:r w:rsidRPr="00E74A11">
        <w:rPr>
          <w:rtl/>
        </w:rPr>
        <w:t xml:space="preserve"> </w:t>
      </w:r>
      <w:r w:rsidRPr="00E74A11">
        <w:rPr>
          <w:rFonts w:hint="cs"/>
          <w:rtl/>
        </w:rPr>
        <w:t>ועדת</w:t>
      </w:r>
      <w:r w:rsidRPr="00E74A11">
        <w:rPr>
          <w:rtl/>
        </w:rPr>
        <w:t xml:space="preserve"> </w:t>
      </w:r>
      <w:r w:rsidRPr="00E74A11">
        <w:rPr>
          <w:rFonts w:hint="cs"/>
          <w:rtl/>
        </w:rPr>
        <w:t>השרים</w:t>
      </w:r>
      <w:r w:rsidRPr="00E74A11">
        <w:rPr>
          <w:rtl/>
        </w:rPr>
        <w:t xml:space="preserve"> </w:t>
      </w:r>
      <w:r w:rsidRPr="00E74A11">
        <w:rPr>
          <w:rFonts w:hint="cs"/>
          <w:rtl/>
        </w:rPr>
        <w:t>לענ</w:t>
      </w:r>
      <w:r w:rsidRPr="00E74A11">
        <w:rPr>
          <w:rFonts w:hint="cs"/>
          <w:rtl/>
        </w:rPr>
        <w:t>ייני</w:t>
      </w:r>
      <w:r w:rsidRPr="00E74A11">
        <w:rPr>
          <w:rtl/>
        </w:rPr>
        <w:t xml:space="preserve"> </w:t>
      </w:r>
      <w:r w:rsidRPr="00E74A11">
        <w:rPr>
          <w:rFonts w:hint="cs"/>
          <w:rtl/>
        </w:rPr>
        <w:t>ביטחון</w:t>
      </w:r>
      <w:r w:rsidRPr="00E74A11">
        <w:rPr>
          <w:rtl/>
        </w:rPr>
        <w:t xml:space="preserve"> </w:t>
      </w:r>
      <w:r w:rsidRPr="00E74A11">
        <w:rPr>
          <w:rFonts w:hint="cs"/>
          <w:rtl/>
        </w:rPr>
        <w:t>לאומי</w:t>
      </w:r>
      <w:r w:rsidRPr="00E74A11">
        <w:rPr>
          <w:rtl/>
        </w:rPr>
        <w:t xml:space="preserve"> </w:t>
      </w:r>
      <w:r w:rsidRPr="00E74A11">
        <w:rPr>
          <w:rFonts w:hint="cs"/>
          <w:rtl/>
        </w:rPr>
        <w:t>מיום</w:t>
      </w:r>
      <w:r w:rsidRPr="00E74A11">
        <w:rPr>
          <w:rtl/>
        </w:rPr>
        <w:t xml:space="preserve"> </w:t>
      </w:r>
      <w:r w:rsidR="008E4108">
        <w:rPr>
          <w:rFonts w:hint="cs"/>
          <w:rtl/>
        </w:rPr>
        <w:t>11.8.16.</w:t>
      </w:r>
      <w:r>
        <w:rPr>
          <w:rFonts w:hint="cs"/>
          <w:rtl/>
        </w:rPr>
        <w:t xml:space="preserve"> </w:t>
      </w:r>
    </w:p>
  </w:footnote>
  <w:footnote w:id="11">
    <w:p w:rsidR="008022B2" w:rsidP="00A435A2">
      <w:pPr>
        <w:pStyle w:val="a2"/>
        <w:rPr>
          <w:rtl/>
        </w:rPr>
      </w:pPr>
      <w:r w:rsidRPr="00A435A2">
        <w:footnoteRef/>
      </w:r>
      <w:r w:rsidRPr="00A435A2">
        <w:rPr>
          <w:rtl/>
        </w:rPr>
        <w:t xml:space="preserve"> </w:t>
      </w:r>
      <w:r w:rsidRPr="00A435A2">
        <w:rPr>
          <w:rFonts w:hint="cs"/>
          <w:rtl/>
        </w:rPr>
        <w:t xml:space="preserve"> </w:t>
      </w:r>
      <w:r w:rsidRPr="00A435A2">
        <w:rPr>
          <w:rtl/>
        </w:rPr>
        <w:tab/>
      </w:r>
      <w:r w:rsidRPr="00A435A2">
        <w:rPr>
          <w:rFonts w:hint="cs"/>
          <w:rtl/>
        </w:rPr>
        <w:t>תקנות</w:t>
      </w:r>
      <w:r w:rsidRPr="00A435A2">
        <w:rPr>
          <w:rtl/>
        </w:rPr>
        <w:t xml:space="preserve"> </w:t>
      </w:r>
      <w:r w:rsidRPr="00A435A2">
        <w:rPr>
          <w:rFonts w:hint="cs"/>
          <w:rtl/>
        </w:rPr>
        <w:t>ראשונות</w:t>
      </w:r>
      <w:r w:rsidRPr="00A435A2">
        <w:rPr>
          <w:rtl/>
        </w:rPr>
        <w:t xml:space="preserve"> </w:t>
      </w:r>
      <w:r w:rsidRPr="00A435A2">
        <w:rPr>
          <w:rFonts w:hint="cs"/>
          <w:rtl/>
        </w:rPr>
        <w:t>לפי</w:t>
      </w:r>
      <w:r w:rsidRPr="00A435A2">
        <w:rPr>
          <w:rtl/>
        </w:rPr>
        <w:t xml:space="preserve"> </w:t>
      </w:r>
      <w:r w:rsidRPr="00A435A2">
        <w:rPr>
          <w:rFonts w:hint="cs"/>
          <w:rtl/>
        </w:rPr>
        <w:t>סעיפים</w:t>
      </w:r>
      <w:r w:rsidRPr="00A435A2">
        <w:rPr>
          <w:rtl/>
        </w:rPr>
        <w:t xml:space="preserve"> 10(א)(5)(ג) </w:t>
      </w:r>
      <w:r w:rsidRPr="00A435A2">
        <w:rPr>
          <w:rFonts w:hint="cs"/>
          <w:rtl/>
        </w:rPr>
        <w:t>ו</w:t>
      </w:r>
      <w:r w:rsidRPr="00A435A2">
        <w:rPr>
          <w:rtl/>
        </w:rPr>
        <w:t xml:space="preserve">-67ו(א) </w:t>
      </w:r>
      <w:r w:rsidRPr="00A435A2">
        <w:rPr>
          <w:rFonts w:hint="cs"/>
          <w:rtl/>
        </w:rPr>
        <w:t>לחוק</w:t>
      </w:r>
      <w:r w:rsidRPr="00A435A2">
        <w:rPr>
          <w:rtl/>
        </w:rPr>
        <w:t xml:space="preserve"> </w:t>
      </w:r>
      <w:r w:rsidRPr="00A435A2">
        <w:rPr>
          <w:rFonts w:hint="cs"/>
          <w:rtl/>
        </w:rPr>
        <w:t>שירות</w:t>
      </w:r>
      <w:r w:rsidRPr="00A435A2">
        <w:rPr>
          <w:rtl/>
        </w:rPr>
        <w:t xml:space="preserve"> </w:t>
      </w:r>
      <w:r w:rsidRPr="00A435A2">
        <w:rPr>
          <w:rFonts w:hint="cs"/>
          <w:rtl/>
        </w:rPr>
        <w:t>הקבע</w:t>
      </w:r>
      <w:r w:rsidRPr="00A435A2">
        <w:rPr>
          <w:rtl/>
        </w:rPr>
        <w:t xml:space="preserve">, </w:t>
      </w:r>
      <w:r w:rsidRPr="00A435A2">
        <w:rPr>
          <w:rFonts w:hint="cs"/>
          <w:rtl/>
        </w:rPr>
        <w:t>כנוסחם</w:t>
      </w:r>
      <w:r w:rsidRPr="00A435A2">
        <w:rPr>
          <w:rtl/>
        </w:rPr>
        <w:t xml:space="preserve"> </w:t>
      </w:r>
      <w:r w:rsidRPr="00A435A2">
        <w:rPr>
          <w:rFonts w:hint="cs"/>
          <w:rtl/>
        </w:rPr>
        <w:t>בסעיף</w:t>
      </w:r>
      <w:r w:rsidRPr="00A435A2">
        <w:rPr>
          <w:rtl/>
        </w:rPr>
        <w:t xml:space="preserve"> 37 </w:t>
      </w:r>
      <w:r w:rsidRPr="00A435A2">
        <w:rPr>
          <w:rFonts w:hint="cs"/>
          <w:rtl/>
        </w:rPr>
        <w:t>לחוק</w:t>
      </w:r>
      <w:r w:rsidRPr="00A435A2">
        <w:rPr>
          <w:rtl/>
        </w:rPr>
        <w:t xml:space="preserve"> </w:t>
      </w:r>
      <w:r w:rsidRPr="00A435A2">
        <w:rPr>
          <w:rFonts w:hint="cs"/>
          <w:rtl/>
        </w:rPr>
        <w:t>זה</w:t>
      </w:r>
      <w:r w:rsidRPr="00A435A2">
        <w:rPr>
          <w:rtl/>
        </w:rPr>
        <w:t xml:space="preserve">, </w:t>
      </w:r>
      <w:r w:rsidRPr="00A435A2">
        <w:rPr>
          <w:rFonts w:hint="cs"/>
          <w:rtl/>
        </w:rPr>
        <w:t>יותקנו</w:t>
      </w:r>
      <w:r w:rsidRPr="00A435A2">
        <w:rPr>
          <w:rtl/>
        </w:rPr>
        <w:t xml:space="preserve"> </w:t>
      </w:r>
      <w:r w:rsidRPr="00A435A2">
        <w:rPr>
          <w:rFonts w:hint="cs"/>
          <w:rtl/>
        </w:rPr>
        <w:t>עד</w:t>
      </w:r>
      <w:r w:rsidRPr="00A435A2">
        <w:rPr>
          <w:rtl/>
        </w:rPr>
        <w:t xml:space="preserve"> </w:t>
      </w:r>
      <w:r w:rsidRPr="00A435A2">
        <w:rPr>
          <w:rFonts w:hint="cs"/>
          <w:rtl/>
        </w:rPr>
        <w:t>יום</w:t>
      </w:r>
      <w:r w:rsidRPr="00A435A2">
        <w:rPr>
          <w:rtl/>
        </w:rPr>
        <w:t xml:space="preserve"> </w:t>
      </w:r>
      <w:r w:rsidRPr="00A435A2">
        <w:rPr>
          <w:rFonts w:hint="cs"/>
          <w:rtl/>
        </w:rPr>
        <w:t>ז</w:t>
      </w:r>
      <w:r w:rsidRPr="00A435A2">
        <w:rPr>
          <w:rtl/>
        </w:rPr>
        <w:t xml:space="preserve">' </w:t>
      </w:r>
      <w:r w:rsidRPr="00A435A2">
        <w:rPr>
          <w:rFonts w:hint="cs"/>
          <w:rtl/>
        </w:rPr>
        <w:t>בסיוון</w:t>
      </w:r>
      <w:r w:rsidRPr="00A435A2">
        <w:rPr>
          <w:rtl/>
        </w:rPr>
        <w:t xml:space="preserve"> </w:t>
      </w:r>
      <w:r w:rsidRPr="00A435A2">
        <w:rPr>
          <w:rFonts w:hint="cs"/>
          <w:rtl/>
        </w:rPr>
        <w:t>התשע</w:t>
      </w:r>
      <w:r w:rsidRPr="00E74A11">
        <w:rPr>
          <w:rStyle w:val="default"/>
          <w:rFonts w:cs="David"/>
          <w:sz w:val="20"/>
          <w:szCs w:val="20"/>
          <w:rtl/>
        </w:rPr>
        <w:t xml:space="preserve">"ז (1 </w:t>
      </w:r>
      <w:r w:rsidRPr="00E74A11">
        <w:rPr>
          <w:rStyle w:val="default"/>
          <w:rFonts w:cs="David" w:hint="cs"/>
          <w:sz w:val="20"/>
          <w:szCs w:val="20"/>
          <w:rtl/>
        </w:rPr>
        <w:t>ביוני</w:t>
      </w:r>
      <w:r w:rsidRPr="00E74A11">
        <w:rPr>
          <w:rStyle w:val="default"/>
          <w:rFonts w:cs="David"/>
          <w:sz w:val="20"/>
          <w:szCs w:val="20"/>
          <w:rtl/>
        </w:rPr>
        <w:t xml:space="preserve"> 2017).</w:t>
      </w:r>
      <w:r w:rsidRPr="00E74A11">
        <w:rPr>
          <w:sz w:val="18"/>
          <w:szCs w:val="22"/>
          <w:rtl/>
        </w:rPr>
        <w:t xml:space="preserve"> </w:t>
      </w:r>
    </w:p>
  </w:footnote>
  <w:footnote w:id="12">
    <w:p w:rsidR="008022B2" w:rsidP="00A435A2">
      <w:pPr>
        <w:pStyle w:val="a2"/>
        <w:rPr>
          <w:rtl/>
        </w:rPr>
      </w:pPr>
      <w:r w:rsidRPr="00A435A2">
        <w:footnoteRef/>
      </w:r>
      <w:r w:rsidRPr="00A435A2">
        <w:rPr>
          <w:rtl/>
        </w:rPr>
        <w:t xml:space="preserve"> </w:t>
      </w:r>
      <w:r w:rsidRPr="00A435A2">
        <w:rPr>
          <w:rtl/>
        </w:rPr>
        <w:tab/>
      </w:r>
      <w:r w:rsidRPr="00A435A2">
        <w:rPr>
          <w:rFonts w:hint="cs"/>
          <w:rtl/>
        </w:rPr>
        <w:t>יצוין</w:t>
      </w:r>
      <w:r w:rsidRPr="00A435A2">
        <w:rPr>
          <w:rtl/>
        </w:rPr>
        <w:t xml:space="preserve"> </w:t>
      </w:r>
      <w:r w:rsidRPr="00A435A2">
        <w:rPr>
          <w:rFonts w:hint="cs"/>
          <w:rtl/>
        </w:rPr>
        <w:t>כי</w:t>
      </w:r>
      <w:r w:rsidRPr="00A435A2">
        <w:rPr>
          <w:rtl/>
        </w:rPr>
        <w:t xml:space="preserve"> </w:t>
      </w:r>
      <w:r w:rsidRPr="00A435A2">
        <w:rPr>
          <w:rFonts w:hint="cs"/>
          <w:rtl/>
        </w:rPr>
        <w:t>בנוגע</w:t>
      </w:r>
      <w:r>
        <w:rPr>
          <w:rFonts w:hint="cs"/>
          <w:rtl/>
        </w:rPr>
        <w:t xml:space="preserve"> ל</w:t>
      </w:r>
      <w:r w:rsidRPr="00E74A11">
        <w:rPr>
          <w:rFonts w:hint="cs"/>
          <w:rtl/>
        </w:rPr>
        <w:t>שב</w:t>
      </w:r>
      <w:r w:rsidRPr="00E74A11">
        <w:rPr>
          <w:rtl/>
        </w:rPr>
        <w:t xml:space="preserve">"כ </w:t>
      </w:r>
      <w:r w:rsidRPr="00E74A11">
        <w:rPr>
          <w:rFonts w:hint="cs"/>
          <w:rtl/>
        </w:rPr>
        <w:t>והמוסד</w:t>
      </w:r>
      <w:r w:rsidRPr="00E74A11">
        <w:rPr>
          <w:rtl/>
        </w:rPr>
        <w:t xml:space="preserve"> </w:t>
      </w:r>
      <w:r w:rsidRPr="00E74A11">
        <w:rPr>
          <w:rFonts w:hint="cs"/>
          <w:rtl/>
        </w:rPr>
        <w:t>תשלום</w:t>
      </w:r>
      <w:r w:rsidRPr="00E74A11">
        <w:rPr>
          <w:rtl/>
        </w:rPr>
        <w:t xml:space="preserve"> </w:t>
      </w:r>
      <w:r w:rsidRPr="00E74A11">
        <w:rPr>
          <w:rFonts w:hint="cs"/>
          <w:rtl/>
        </w:rPr>
        <w:t>פנסיית</w:t>
      </w:r>
      <w:r w:rsidRPr="00E74A11">
        <w:rPr>
          <w:rtl/>
        </w:rPr>
        <w:t xml:space="preserve"> </w:t>
      </w:r>
      <w:r w:rsidRPr="00E74A11">
        <w:rPr>
          <w:rFonts w:hint="cs"/>
          <w:rtl/>
        </w:rPr>
        <w:t>הגישור</w:t>
      </w:r>
      <w:r w:rsidRPr="00E74A11">
        <w:rPr>
          <w:rtl/>
        </w:rPr>
        <w:t xml:space="preserve"> </w:t>
      </w:r>
      <w:r w:rsidRPr="00E74A11">
        <w:rPr>
          <w:rFonts w:hint="cs"/>
          <w:rtl/>
        </w:rPr>
        <w:t>לפורשים</w:t>
      </w:r>
      <w:r w:rsidRPr="00E74A11">
        <w:rPr>
          <w:rtl/>
        </w:rPr>
        <w:t xml:space="preserve"> </w:t>
      </w:r>
      <w:r w:rsidRPr="00E74A11">
        <w:rPr>
          <w:rFonts w:hint="cs"/>
          <w:rtl/>
        </w:rPr>
        <w:t>נסמך</w:t>
      </w:r>
      <w:r w:rsidRPr="00E74A11">
        <w:rPr>
          <w:rtl/>
        </w:rPr>
        <w:t xml:space="preserve"> </w:t>
      </w:r>
      <w:r w:rsidRPr="00E74A11">
        <w:rPr>
          <w:rFonts w:hint="cs"/>
          <w:rtl/>
        </w:rPr>
        <w:t>על</w:t>
      </w:r>
      <w:r w:rsidRPr="00E74A11">
        <w:rPr>
          <w:rtl/>
        </w:rPr>
        <w:t xml:space="preserve"> </w:t>
      </w:r>
      <w:r w:rsidRPr="00E74A11">
        <w:rPr>
          <w:rFonts w:hint="cs"/>
          <w:rtl/>
        </w:rPr>
        <w:t>סיכום</w:t>
      </w:r>
      <w:r w:rsidRPr="00E74A11">
        <w:rPr>
          <w:rtl/>
        </w:rPr>
        <w:t xml:space="preserve"> </w:t>
      </w:r>
      <w:r w:rsidRPr="00E74A11">
        <w:rPr>
          <w:rFonts w:hint="cs"/>
          <w:rtl/>
        </w:rPr>
        <w:t>משנת</w:t>
      </w:r>
      <w:r w:rsidRPr="00E74A11">
        <w:rPr>
          <w:rtl/>
        </w:rPr>
        <w:t xml:space="preserve"> 2009 </w:t>
      </w:r>
      <w:r w:rsidRPr="00E74A11">
        <w:rPr>
          <w:rFonts w:hint="cs"/>
          <w:rtl/>
        </w:rPr>
        <w:t>בין</w:t>
      </w:r>
      <w:r w:rsidRPr="00E74A11">
        <w:rPr>
          <w:rtl/>
        </w:rPr>
        <w:t xml:space="preserve"> </w:t>
      </w:r>
      <w:r w:rsidRPr="00E74A11">
        <w:rPr>
          <w:rFonts w:hint="cs"/>
          <w:rtl/>
        </w:rPr>
        <w:t>דרגי</w:t>
      </w:r>
      <w:r w:rsidRPr="00E74A11">
        <w:rPr>
          <w:rtl/>
        </w:rPr>
        <w:t xml:space="preserve"> </w:t>
      </w:r>
      <w:r w:rsidRPr="00E74A11">
        <w:rPr>
          <w:rFonts w:hint="cs"/>
          <w:rtl/>
        </w:rPr>
        <w:t>המקצוע</w:t>
      </w:r>
      <w:r>
        <w:rPr>
          <w:rFonts w:hint="cs"/>
          <w:rtl/>
        </w:rPr>
        <w:t>,</w:t>
      </w:r>
      <w:r w:rsidRPr="00E74A11">
        <w:rPr>
          <w:rtl/>
        </w:rPr>
        <w:t xml:space="preserve"> </w:t>
      </w:r>
      <w:r w:rsidRPr="00E74A11">
        <w:rPr>
          <w:rFonts w:hint="cs"/>
          <w:rtl/>
        </w:rPr>
        <w:t>שקיימות</w:t>
      </w:r>
      <w:r w:rsidRPr="00E74A11">
        <w:rPr>
          <w:rtl/>
        </w:rPr>
        <w:t xml:space="preserve"> </w:t>
      </w:r>
      <w:r w:rsidRPr="00E74A11">
        <w:rPr>
          <w:rFonts w:hint="cs"/>
          <w:rtl/>
        </w:rPr>
        <w:t>שאלות</w:t>
      </w:r>
      <w:r w:rsidRPr="00E74A11">
        <w:rPr>
          <w:rtl/>
        </w:rPr>
        <w:t xml:space="preserve"> </w:t>
      </w:r>
      <w:r w:rsidRPr="00E74A11">
        <w:rPr>
          <w:rFonts w:hint="cs"/>
          <w:rtl/>
        </w:rPr>
        <w:t>ב</w:t>
      </w:r>
      <w:r>
        <w:rPr>
          <w:rFonts w:hint="cs"/>
          <w:rtl/>
        </w:rPr>
        <w:t>דבר</w:t>
      </w:r>
      <w:r w:rsidRPr="00E74A11">
        <w:rPr>
          <w:rtl/>
        </w:rPr>
        <w:t xml:space="preserve"> </w:t>
      </w:r>
      <w:r w:rsidRPr="00E74A11">
        <w:rPr>
          <w:rFonts w:hint="cs"/>
          <w:rtl/>
        </w:rPr>
        <w:t>מעמדו</w:t>
      </w:r>
      <w:r w:rsidRPr="00E74A11">
        <w:rPr>
          <w:rtl/>
        </w:rPr>
        <w:t xml:space="preserve">; </w:t>
      </w:r>
      <w:r>
        <w:rPr>
          <w:rFonts w:hint="cs"/>
          <w:rtl/>
        </w:rPr>
        <w:t>אשר</w:t>
      </w:r>
      <w:r w:rsidRPr="00E74A11">
        <w:rPr>
          <w:rtl/>
        </w:rPr>
        <w:t xml:space="preserve"> </w:t>
      </w:r>
      <w:r>
        <w:rPr>
          <w:rFonts w:hint="cs"/>
          <w:rtl/>
        </w:rPr>
        <w:t>ל</w:t>
      </w:r>
      <w:r w:rsidRPr="00E74A11">
        <w:rPr>
          <w:rFonts w:hint="cs"/>
          <w:rtl/>
        </w:rPr>
        <w:t>משטרה</w:t>
      </w:r>
      <w:r w:rsidRPr="00E74A11">
        <w:rPr>
          <w:rtl/>
        </w:rPr>
        <w:t xml:space="preserve"> </w:t>
      </w:r>
      <w:r w:rsidRPr="00E74A11">
        <w:rPr>
          <w:rFonts w:hint="cs"/>
          <w:rtl/>
        </w:rPr>
        <w:t>ו</w:t>
      </w:r>
      <w:r>
        <w:rPr>
          <w:rFonts w:hint="cs"/>
          <w:rtl/>
        </w:rPr>
        <w:t>לשירות בתי הסוהר</w:t>
      </w:r>
      <w:r w:rsidRPr="00E74A11">
        <w:rPr>
          <w:rtl/>
        </w:rPr>
        <w:t xml:space="preserve"> </w:t>
      </w:r>
      <w:r w:rsidRPr="00E74A11">
        <w:rPr>
          <w:rFonts w:hint="cs"/>
          <w:rtl/>
        </w:rPr>
        <w:t>אין</w:t>
      </w:r>
      <w:r w:rsidRPr="00E74A11">
        <w:rPr>
          <w:rtl/>
        </w:rPr>
        <w:t xml:space="preserve"> </w:t>
      </w:r>
      <w:r w:rsidRPr="00E74A11">
        <w:rPr>
          <w:rFonts w:hint="cs"/>
          <w:rtl/>
        </w:rPr>
        <w:t>כל</w:t>
      </w:r>
      <w:r w:rsidRPr="00E74A11">
        <w:rPr>
          <w:rtl/>
        </w:rPr>
        <w:t xml:space="preserve"> </w:t>
      </w:r>
      <w:r w:rsidRPr="00E74A11">
        <w:rPr>
          <w:rFonts w:hint="cs"/>
          <w:rtl/>
        </w:rPr>
        <w:t>הסדר</w:t>
      </w:r>
      <w:r w:rsidRPr="00E74A11">
        <w:rPr>
          <w:rtl/>
        </w:rPr>
        <w:t xml:space="preserve"> </w:t>
      </w:r>
      <w:r>
        <w:rPr>
          <w:rFonts w:hint="cs"/>
          <w:rtl/>
        </w:rPr>
        <w:t>כתוב.</w:t>
      </w:r>
      <w:r w:rsidRPr="00E74A11">
        <w:rPr>
          <w:rtl/>
        </w:rPr>
        <w:t xml:space="preserve"> </w:t>
      </w:r>
      <w:r w:rsidRPr="00E74A11">
        <w:rPr>
          <w:rFonts w:hint="cs"/>
          <w:rtl/>
        </w:rPr>
        <w:t>לעני</w:t>
      </w:r>
      <w:r>
        <w:rPr>
          <w:rFonts w:hint="cs"/>
          <w:rtl/>
        </w:rPr>
        <w:t>י</w:t>
      </w:r>
      <w:r w:rsidRPr="00E74A11">
        <w:rPr>
          <w:rFonts w:hint="cs"/>
          <w:rtl/>
        </w:rPr>
        <w:t>ן</w:t>
      </w:r>
      <w:r w:rsidRPr="00E74A11">
        <w:rPr>
          <w:rtl/>
        </w:rPr>
        <w:t xml:space="preserve"> </w:t>
      </w:r>
      <w:r w:rsidRPr="00E74A11">
        <w:rPr>
          <w:rFonts w:hint="cs"/>
          <w:rtl/>
        </w:rPr>
        <w:t>צה</w:t>
      </w:r>
      <w:r w:rsidRPr="00E74A11">
        <w:rPr>
          <w:rtl/>
        </w:rPr>
        <w:t xml:space="preserve">"ל, </w:t>
      </w:r>
      <w:r w:rsidRPr="00E74A11">
        <w:rPr>
          <w:rFonts w:hint="cs"/>
          <w:rtl/>
        </w:rPr>
        <w:t>שלגביו</w:t>
      </w:r>
      <w:r w:rsidRPr="00E74A11">
        <w:rPr>
          <w:rtl/>
        </w:rPr>
        <w:t xml:space="preserve"> מדובר בסיכום תקציבי שעוגן בהחלטת ממשלה, קיימות שאלות בדבר יישומו.</w:t>
      </w:r>
      <w:r>
        <w:rPr>
          <w:rtl/>
        </w:rPr>
        <w:t xml:space="preserve"> </w:t>
      </w:r>
    </w:p>
  </w:footnote>
  <w:footnote w:id="13">
    <w:p w:rsidR="008022B2" w:rsidP="00D0156F">
      <w:pPr>
        <w:pStyle w:val="a2"/>
        <w:rPr>
          <w:rtl/>
        </w:rPr>
      </w:pPr>
      <w:r w:rsidRPr="00D0156F">
        <w:footnoteRef/>
      </w:r>
      <w:r w:rsidRPr="00D0156F">
        <w:rPr>
          <w:rtl/>
        </w:rPr>
        <w:t xml:space="preserve"> </w:t>
      </w:r>
      <w:r w:rsidRPr="00D0156F">
        <w:rPr>
          <w:rtl/>
        </w:rPr>
        <w:tab/>
      </w:r>
      <w:r w:rsidRPr="00D0156F">
        <w:rPr>
          <w:rFonts w:hint="cs"/>
          <w:rtl/>
        </w:rPr>
        <w:t xml:space="preserve">לעמדת משרד האוצר, בהגיעו לגיל 60 אמור החייל הפורש להתחיל לקבל כבר קצבת </w:t>
      </w:r>
      <w:r w:rsidRPr="00D0156F">
        <w:rPr>
          <w:rFonts w:hint="cs"/>
          <w:rtl/>
        </w:rPr>
        <w:t>פנסייה עם הפסקת תשלום פנסיית</w:t>
      </w:r>
      <w:r>
        <w:rPr>
          <w:rFonts w:hint="cs"/>
          <w:rtl/>
        </w:rPr>
        <w:t xml:space="preserve"> הגישור.</w:t>
      </w:r>
    </w:p>
  </w:footnote>
  <w:footnote w:id="14">
    <w:p w:rsidR="008022B2" w:rsidP="00DF5D3F">
      <w:pPr>
        <w:pStyle w:val="a2"/>
        <w:rPr>
          <w:rtl/>
        </w:rPr>
      </w:pPr>
      <w:r w:rsidRPr="00DF5D3F">
        <w:footnoteRef/>
      </w:r>
      <w:r w:rsidRPr="00DF5D3F">
        <w:rPr>
          <w:rtl/>
        </w:rPr>
        <w:t xml:space="preserve"> </w:t>
      </w:r>
      <w:r w:rsidRPr="00DF5D3F">
        <w:rPr>
          <w:rtl/>
        </w:rPr>
        <w:tab/>
      </w:r>
      <w:r w:rsidRPr="00DF5D3F">
        <w:rPr>
          <w:rFonts w:hint="cs"/>
          <w:rtl/>
        </w:rPr>
        <w:t>במהלך השנים</w:t>
      </w:r>
      <w:r>
        <w:rPr>
          <w:rFonts w:hint="cs"/>
          <w:rtl/>
        </w:rPr>
        <w:t xml:space="preserve"> תוקן החוק פעמים מספר והמועדים לבחינת העלאת גיל הפרישה לאישה לגיל 64 נדחו. </w:t>
      </w:r>
    </w:p>
  </w:footnote>
  <w:footnote w:id="15">
    <w:p w:rsidR="008022B2" w:rsidRPr="00DF5D3F" w:rsidP="00DF5D3F">
      <w:pPr>
        <w:pStyle w:val="a2"/>
      </w:pPr>
      <w:r w:rsidRPr="00DF5D3F">
        <w:rPr>
          <w:rStyle w:val="FootnoteReference0"/>
          <w:vertAlign w:val="baseline"/>
        </w:rPr>
        <w:footnoteRef/>
      </w:r>
      <w:r w:rsidRPr="00DF5D3F">
        <w:rPr>
          <w:rtl/>
        </w:rPr>
        <w:t xml:space="preserve"> </w:t>
      </w:r>
      <w:r w:rsidRPr="00DF5D3F">
        <w:rPr>
          <w:rtl/>
        </w:rPr>
        <w:tab/>
      </w:r>
      <w:r w:rsidRPr="00DF5D3F">
        <w:rPr>
          <w:rFonts w:hint="cs"/>
          <w:rtl/>
        </w:rPr>
        <w:t>על פי חישובי משרד האוצר, כל שנת דחייה של גיל הפרישה לנשים  תגדיל את הקצבה הפנסיונית של אישה בכ-9%.</w:t>
      </w:r>
    </w:p>
  </w:footnote>
  <w:footnote w:id="16">
    <w:p w:rsidR="008022B2" w:rsidP="00DF5D3F">
      <w:pPr>
        <w:pStyle w:val="a2"/>
        <w:rPr>
          <w:rtl/>
        </w:rPr>
      </w:pPr>
      <w:r w:rsidRPr="00DF5D3F">
        <w:rPr>
          <w:rStyle w:val="FootnoteReference0"/>
          <w:vertAlign w:val="baseline"/>
        </w:rPr>
        <w:footnoteRef/>
      </w:r>
      <w:r w:rsidRPr="00DF5D3F">
        <w:rPr>
          <w:rtl/>
        </w:rPr>
        <w:t xml:space="preserve"> </w:t>
      </w:r>
      <w:r w:rsidRPr="00DF5D3F">
        <w:rPr>
          <w:rtl/>
        </w:rPr>
        <w:tab/>
      </w:r>
      <w:r w:rsidRPr="00DF5D3F">
        <w:rPr>
          <w:rFonts w:hint="cs"/>
          <w:rtl/>
        </w:rPr>
        <w:t>הדוח הקודם</w:t>
      </w:r>
      <w:r>
        <w:rPr>
          <w:rFonts w:hint="cs"/>
          <w:rtl/>
        </w:rPr>
        <w:t>, עמ' 134-126.</w:t>
      </w:r>
    </w:p>
  </w:footnote>
  <w:footnote w:id="17">
    <w:p w:rsidR="008022B2" w:rsidRPr="00DF5D3F" w:rsidP="00DF5D3F">
      <w:pPr>
        <w:pStyle w:val="a2"/>
      </w:pPr>
      <w:r w:rsidRPr="00DF5D3F">
        <w:rPr>
          <w:rStyle w:val="FootnoteReference0"/>
          <w:vertAlign w:val="baseline"/>
        </w:rPr>
        <w:footnoteRef/>
      </w:r>
      <w:r w:rsidRPr="00DF5D3F">
        <w:rPr>
          <w:rtl/>
        </w:rPr>
        <w:t xml:space="preserve"> </w:t>
      </w:r>
      <w:r w:rsidRPr="00DF5D3F">
        <w:rPr>
          <w:rtl/>
        </w:rPr>
        <w:tab/>
      </w:r>
      <w:r w:rsidRPr="00DF5D3F">
        <w:rPr>
          <w:rFonts w:hint="eastAsia"/>
          <w:rtl/>
        </w:rPr>
        <w:t>החלט</w:t>
      </w:r>
      <w:r w:rsidRPr="00DF5D3F">
        <w:rPr>
          <w:rFonts w:hint="cs"/>
          <w:rtl/>
        </w:rPr>
        <w:t>ת הממשלה</w:t>
      </w:r>
      <w:r w:rsidRPr="00DF5D3F">
        <w:rPr>
          <w:rtl/>
        </w:rPr>
        <w:t xml:space="preserve"> 145  "אימוץ </w:t>
      </w:r>
      <w:r w:rsidRPr="00DF5D3F">
        <w:rPr>
          <w:rFonts w:hint="eastAsia"/>
          <w:rtl/>
        </w:rPr>
        <w:t>הערכת</w:t>
      </w:r>
      <w:r w:rsidRPr="00DF5D3F">
        <w:rPr>
          <w:rtl/>
        </w:rPr>
        <w:t xml:space="preserve"> </w:t>
      </w:r>
      <w:r w:rsidRPr="00DF5D3F">
        <w:rPr>
          <w:rFonts w:hint="eastAsia"/>
          <w:rtl/>
        </w:rPr>
        <w:t>המצב</w:t>
      </w:r>
      <w:r w:rsidRPr="00DF5D3F">
        <w:rPr>
          <w:rtl/>
        </w:rPr>
        <w:t xml:space="preserve"> </w:t>
      </w:r>
      <w:r w:rsidRPr="00DF5D3F">
        <w:rPr>
          <w:rFonts w:hint="eastAsia"/>
          <w:rtl/>
        </w:rPr>
        <w:t>האסטרטגית</w:t>
      </w:r>
      <w:r w:rsidRPr="00DF5D3F">
        <w:rPr>
          <w:rtl/>
        </w:rPr>
        <w:t xml:space="preserve"> </w:t>
      </w:r>
      <w:r w:rsidRPr="00DF5D3F">
        <w:rPr>
          <w:rFonts w:hint="eastAsia"/>
          <w:rtl/>
        </w:rPr>
        <w:t>כלכלית</w:t>
      </w:r>
      <w:r w:rsidRPr="00DF5D3F">
        <w:rPr>
          <w:rtl/>
        </w:rPr>
        <w:t xml:space="preserve">-חברתית </w:t>
      </w:r>
      <w:r w:rsidRPr="00DF5D3F">
        <w:rPr>
          <w:rFonts w:hint="eastAsia"/>
          <w:rtl/>
        </w:rPr>
        <w:t>לממשלה</w:t>
      </w:r>
      <w:r w:rsidRPr="00DF5D3F">
        <w:rPr>
          <w:rtl/>
        </w:rPr>
        <w:t xml:space="preserve"> </w:t>
      </w:r>
      <w:r w:rsidRPr="00DF5D3F">
        <w:rPr>
          <w:rFonts w:hint="eastAsia"/>
          <w:rtl/>
        </w:rPr>
        <w:t>ה</w:t>
      </w:r>
      <w:r w:rsidRPr="00DF5D3F">
        <w:rPr>
          <w:rtl/>
        </w:rPr>
        <w:t>-34" (28.6.15).</w:t>
      </w:r>
    </w:p>
  </w:footnote>
  <w:footnote w:id="18">
    <w:p w:rsidR="008022B2" w:rsidRPr="00DF5D3F" w:rsidP="00DF5D3F">
      <w:pPr>
        <w:pStyle w:val="a2"/>
      </w:pPr>
      <w:r w:rsidRPr="00DF5D3F">
        <w:rPr>
          <w:rStyle w:val="FootnoteReference0"/>
          <w:vertAlign w:val="baseline"/>
        </w:rPr>
        <w:footnoteRef/>
      </w:r>
      <w:r w:rsidRPr="00DF5D3F">
        <w:rPr>
          <w:rtl/>
        </w:rPr>
        <w:t xml:space="preserve"> </w:t>
      </w:r>
      <w:r w:rsidRPr="00DF5D3F">
        <w:rPr>
          <w:rtl/>
        </w:rPr>
        <w:tab/>
      </w:r>
      <w:r w:rsidRPr="00DF5D3F">
        <w:rPr>
          <w:rFonts w:hint="cs"/>
          <w:rtl/>
        </w:rPr>
        <w:t>כבר קודם לכן, במרץ 2011, מינה שר האוצר דאז ועדה ציבורית לבחינת גיל הפרישה לנשים שבראשה עמד הממונה על התקציבים דאז. בין היתר המליצה הוועדה על העלאת גיל הפרישה לנשים ו</w:t>
      </w:r>
      <w:r w:rsidRPr="00DF5D3F">
        <w:rPr>
          <w:rFonts w:hint="cs"/>
          <w:rtl/>
        </w:rPr>
        <w:t>השוואתו לגיל הפרישה לגברים; המלצות אלו לא יושמו.</w:t>
      </w:r>
    </w:p>
  </w:footnote>
  <w:footnote w:id="19">
    <w:p w:rsidR="008022B2" w:rsidP="00DF5D3F">
      <w:pPr>
        <w:pStyle w:val="a2"/>
        <w:rPr>
          <w:rtl/>
        </w:rPr>
      </w:pPr>
      <w:r w:rsidRPr="00DF5D3F">
        <w:rPr>
          <w:rStyle w:val="FootnoteReference0"/>
          <w:vertAlign w:val="baseline"/>
        </w:rPr>
        <w:footnoteRef/>
      </w:r>
      <w:r w:rsidRPr="00DF5D3F">
        <w:rPr>
          <w:rtl/>
        </w:rPr>
        <w:t xml:space="preserve"> </w:t>
      </w:r>
      <w:r w:rsidRPr="00DF5D3F">
        <w:rPr>
          <w:rtl/>
        </w:rPr>
        <w:tab/>
      </w:r>
      <w:r w:rsidRPr="00DF5D3F">
        <w:rPr>
          <w:rFonts w:hint="cs"/>
          <w:rtl/>
        </w:rPr>
        <w:t>כפי שנאמר</w:t>
      </w:r>
      <w:r>
        <w:rPr>
          <w:rFonts w:hint="cs"/>
          <w:rtl/>
        </w:rPr>
        <w:t xml:space="preserve"> בדוח הקודם, אי-העלאת גיל הפרישה לנשים תשפיע על האיתנות הפיננסית של המוסד לביטוח לאומי, ותגדיל את הסיוע הממשלתי מתקציב המדינה לקרנות הפנסייה הוותיקות.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C5CE1" w:rsidP="001526AC">
    <w:pPr>
      <w:pStyle w:val="Header"/>
      <w:tabs>
        <w:tab w:val="left" w:pos="493"/>
        <w:tab w:val="center" w:pos="4111"/>
        <w:tab w:val="clear" w:pos="4153"/>
        <w:tab w:val="right" w:pos="7478"/>
        <w:tab w:val="right" w:pos="8222"/>
        <w:tab w:val="clear" w:pos="8306"/>
      </w:tabs>
      <w:jc w:val="left"/>
    </w:pPr>
    <w:r>
      <w:rPr>
        <w:noProof/>
      </w:rPr>
      <w:drawing>
        <wp:anchor distT="0" distB="0" distL="114300" distR="114300" simplePos="0" relativeHeight="251664384" behindDoc="1" locked="0" layoutInCell="1" allowOverlap="1">
          <wp:simplePos x="0" y="0"/>
          <wp:positionH relativeFrom="column">
            <wp:posOffset>-635</wp:posOffset>
          </wp:positionH>
          <wp:positionV relativeFrom="paragraph">
            <wp:posOffset>-81915</wp:posOffset>
          </wp:positionV>
          <wp:extent cx="5219700" cy="309245"/>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3408" name="temp-layout.wmf"/>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noProof/>
        <w:rtl/>
      </w:rPr>
      <w:t>31</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w:t>
    </w:r>
    <w:r>
      <w:rPr>
        <w:rFonts w:ascii="Tahoma" w:hAnsi="Tahoma" w:cs="Tahoma" w:hint="cs"/>
        <w:color w:val="002060"/>
        <w:sz w:val="18"/>
        <w:szCs w:val="18"/>
        <w:rtl/>
      </w:rPr>
      <w:t>ב</w:t>
    </w:r>
  </w:p>
  <w:p w:rsidR="00CC5CE1" w:rsidRPr="001526AC" w:rsidP="001526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C5CE1" w:rsidRPr="00D15500" w:rsidP="005B4811">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CC5CE1" w:rsidRPr="005B481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49"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1312" stroked="f">
              <v:textbox>
                <w:txbxContent>
                  <w:p w:rsidR="00CC5CE1"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rsidR="00CC5CE1" w:rsidRPr="005B4811"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50"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59264" stroked="f">
              <v:textbox style="mso-fit-shape-to-text:t">
                <w:txbxContent>
                  <w:p w:rsidR="00CC5CE1"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A512FC"/>
    <w:multiLevelType w:val="hybridMultilevel"/>
    <w:tmpl w:val="14A8BD0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7C54509"/>
    <w:multiLevelType w:val="multilevel"/>
    <w:tmpl w:val="3030E6FC"/>
    <w:lvl w:ilvl="0">
      <w:start w:val="1"/>
      <w:numFmt w:val="decimal"/>
      <w:pStyle w:val="a35"/>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nsid w:val="0DDA1A01"/>
    <w:multiLevelType w:val="hybridMultilevel"/>
    <w:tmpl w:val="CD76C6BE"/>
    <w:lvl w:ilvl="0">
      <w:start w:val="1"/>
      <w:numFmt w:val="bullet"/>
      <w:pStyle w:val="BULLETS2"/>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DDD178A"/>
    <w:multiLevelType w:val="hybridMultilevel"/>
    <w:tmpl w:val="FEFEF4F2"/>
    <w:lvl w:ilvl="0">
      <w:start w:val="1"/>
      <w:numFmt w:val="bullet"/>
      <w:pStyle w:val="BULLETS1"/>
      <w:lvlText w:val=""/>
      <w:lvlJc w:val="left"/>
      <w:pPr>
        <w:ind w:left="1414" w:hanging="360"/>
      </w:pPr>
      <w:rPr>
        <w:rFonts w:ascii="Symbol" w:hAnsi="Symbol" w:hint="default"/>
      </w:rPr>
    </w:lvl>
    <w:lvl w:ilvl="1" w:tentative="1">
      <w:start w:val="1"/>
      <w:numFmt w:val="bullet"/>
      <w:lvlText w:val="o"/>
      <w:lvlJc w:val="left"/>
      <w:pPr>
        <w:ind w:left="2134" w:hanging="360"/>
      </w:pPr>
      <w:rPr>
        <w:rFonts w:ascii="Courier New" w:hAnsi="Courier New" w:cs="Courier New" w:hint="default"/>
      </w:rPr>
    </w:lvl>
    <w:lvl w:ilvl="2" w:tentative="1">
      <w:start w:val="1"/>
      <w:numFmt w:val="bullet"/>
      <w:lvlText w:val=""/>
      <w:lvlJc w:val="left"/>
      <w:pPr>
        <w:ind w:left="2854" w:hanging="360"/>
      </w:pPr>
      <w:rPr>
        <w:rFonts w:ascii="Wingdings" w:hAnsi="Wingdings" w:hint="default"/>
      </w:rPr>
    </w:lvl>
    <w:lvl w:ilvl="3" w:tentative="1">
      <w:start w:val="1"/>
      <w:numFmt w:val="bullet"/>
      <w:lvlText w:val=""/>
      <w:lvlJc w:val="left"/>
      <w:pPr>
        <w:ind w:left="3574" w:hanging="360"/>
      </w:pPr>
      <w:rPr>
        <w:rFonts w:ascii="Symbol" w:hAnsi="Symbol" w:hint="default"/>
      </w:rPr>
    </w:lvl>
    <w:lvl w:ilvl="4" w:tentative="1">
      <w:start w:val="1"/>
      <w:numFmt w:val="bullet"/>
      <w:lvlText w:val="o"/>
      <w:lvlJc w:val="left"/>
      <w:pPr>
        <w:ind w:left="4294" w:hanging="360"/>
      </w:pPr>
      <w:rPr>
        <w:rFonts w:ascii="Courier New" w:hAnsi="Courier New" w:cs="Courier New" w:hint="default"/>
      </w:rPr>
    </w:lvl>
    <w:lvl w:ilvl="5" w:tentative="1">
      <w:start w:val="1"/>
      <w:numFmt w:val="bullet"/>
      <w:lvlText w:val=""/>
      <w:lvlJc w:val="left"/>
      <w:pPr>
        <w:ind w:left="5014" w:hanging="360"/>
      </w:pPr>
      <w:rPr>
        <w:rFonts w:ascii="Wingdings" w:hAnsi="Wingdings" w:hint="default"/>
      </w:rPr>
    </w:lvl>
    <w:lvl w:ilvl="6" w:tentative="1">
      <w:start w:val="1"/>
      <w:numFmt w:val="bullet"/>
      <w:lvlText w:val=""/>
      <w:lvlJc w:val="left"/>
      <w:pPr>
        <w:ind w:left="5734" w:hanging="360"/>
      </w:pPr>
      <w:rPr>
        <w:rFonts w:ascii="Symbol" w:hAnsi="Symbol" w:hint="default"/>
      </w:rPr>
    </w:lvl>
    <w:lvl w:ilvl="7" w:tentative="1">
      <w:start w:val="1"/>
      <w:numFmt w:val="bullet"/>
      <w:lvlText w:val="o"/>
      <w:lvlJc w:val="left"/>
      <w:pPr>
        <w:ind w:left="6454" w:hanging="360"/>
      </w:pPr>
      <w:rPr>
        <w:rFonts w:ascii="Courier New" w:hAnsi="Courier New" w:cs="Courier New" w:hint="default"/>
      </w:rPr>
    </w:lvl>
    <w:lvl w:ilvl="8" w:tentative="1">
      <w:start w:val="1"/>
      <w:numFmt w:val="bullet"/>
      <w:lvlText w:val=""/>
      <w:lvlJc w:val="left"/>
      <w:pPr>
        <w:ind w:left="7174" w:hanging="360"/>
      </w:pPr>
      <w:rPr>
        <w:rFonts w:ascii="Wingdings" w:hAnsi="Wingdings" w:hint="default"/>
      </w:rPr>
    </w:lvl>
  </w:abstractNum>
  <w:abstractNum w:abstractNumId="4">
    <w:nsid w:val="18CD13C9"/>
    <w:multiLevelType w:val="hybridMultilevel"/>
    <w:tmpl w:val="D0DC396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CCB5BF3"/>
    <w:multiLevelType w:val="multilevel"/>
    <w:tmpl w:val="646C0440"/>
    <w:lvl w:ilvl="0">
      <w:start w:val="1"/>
      <w:numFmt w:val="decimal"/>
      <w:lvlText w:val="%1."/>
      <w:lvlJc w:val="left"/>
      <w:pPr>
        <w:ind w:left="340" w:hanging="340"/>
      </w:pPr>
      <w:rPr>
        <w:rFonts w:hint="default"/>
      </w:rPr>
    </w:lvl>
    <w:lvl w:ilvl="1">
      <w:start w:val="1"/>
      <w:numFmt w:val="none"/>
      <w:pStyle w:val="a7"/>
      <w:lvlText w:val="א."/>
      <w:lvlJc w:val="left"/>
      <w:pPr>
        <w:tabs>
          <w:tab w:val="num" w:pos="794"/>
        </w:tabs>
        <w:ind w:left="794" w:hanging="8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nsid w:val="2BC56766"/>
    <w:multiLevelType w:val="hybridMultilevel"/>
    <w:tmpl w:val="D8C0FE00"/>
    <w:lvl w:ilvl="0">
      <w:start w:val="1"/>
      <w:numFmt w:val="hebrew1"/>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DE0203A"/>
    <w:multiLevelType w:val="hybridMultilevel"/>
    <w:tmpl w:val="7394804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9">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nsid w:val="3BC1088C"/>
    <w:multiLevelType w:val="multilevel"/>
    <w:tmpl w:val="1B9ECDF4"/>
    <w:lvl w:ilvl="0">
      <w:start w:val="1"/>
      <w:numFmt w:val="decimal"/>
      <w:pStyle w:val="a5"/>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pStyle w:val="16"/>
      <w:lvlText w:val="%2."/>
      <w:lvlJc w:val="left"/>
      <w:pPr>
        <w:ind w:left="765" w:hanging="340"/>
      </w:pPr>
      <w:rPr>
        <w:rFonts w:hint="default"/>
        <w:lang w:val="en-US"/>
      </w:rPr>
    </w:lvl>
    <w:lvl w:ilvl="2">
      <w:start w:val="1"/>
      <w:numFmt w:val="decimal"/>
      <w:pStyle w:val="a14"/>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nsid w:val="459C2999"/>
    <w:multiLevelType w:val="multilevel"/>
    <w:tmpl w:val="065C52B0"/>
    <w:lvl w:ilvl="0">
      <w:start w:val="1"/>
      <w:numFmt w:val="hebrew1"/>
      <w:pStyle w:val="a4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3">
    <w:nsid w:val="5F743717"/>
    <w:multiLevelType w:val="multilevel"/>
    <w:tmpl w:val="54B40DD4"/>
    <w:lvl w:ilvl="0">
      <w:start w:val="1"/>
      <w:numFmt w:val="decimal"/>
      <w:pStyle w:val="a45"/>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4">
    <w:nsid w:val="65A40F89"/>
    <w:multiLevelType w:val="hybridMultilevel"/>
    <w:tmpl w:val="BBCC21D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6DB6403D"/>
    <w:multiLevelType w:val="multilevel"/>
    <w:tmpl w:val="F1C00854"/>
    <w:lvl w:ilvl="0">
      <w:start w:val="1"/>
      <w:numFmt w:val="decimal"/>
      <w:lvlText w:val="%1."/>
      <w:lvlJc w:val="left"/>
      <w:pPr>
        <w:ind w:left="340" w:hanging="340"/>
      </w:pPr>
      <w:rPr>
        <w:rFonts w:hint="default"/>
        <w:b w:val="0"/>
        <w:bCs w:val="0"/>
      </w:rPr>
    </w:lvl>
    <w:lvl w:ilvl="1">
      <w:start w:val="1"/>
      <w:numFmt w:val="decimal"/>
      <w:pStyle w:val="a19"/>
      <w:lvlText w:val="%2."/>
      <w:lvlJc w:val="left"/>
      <w:pPr>
        <w:ind w:left="680" w:hanging="3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nsid w:val="7D365B29"/>
    <w:multiLevelType w:val="multilevel"/>
    <w:tmpl w:val="E3AA6D54"/>
    <w:lvl w:ilvl="0">
      <w:start w:val="1"/>
      <w:numFmt w:val="hebrew1"/>
      <w:pStyle w:val="a34"/>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5"/>
  </w:num>
  <w:num w:numId="2">
    <w:abstractNumId w:val="10"/>
  </w:num>
  <w:num w:numId="3">
    <w:abstractNumId w:val="15"/>
  </w:num>
  <w:num w:numId="4">
    <w:abstractNumId w:val="12"/>
  </w:num>
  <w:num w:numId="5">
    <w:abstractNumId w:val="8"/>
  </w:num>
  <w:num w:numId="6">
    <w:abstractNumId w:val="9"/>
  </w:num>
  <w:num w:numId="7">
    <w:abstractNumId w:val="16"/>
  </w:num>
  <w:num w:numId="8">
    <w:abstractNumId w:val="1"/>
  </w:num>
  <w:num w:numId="9">
    <w:abstractNumId w:val="11"/>
  </w:num>
  <w:num w:numId="10">
    <w:abstractNumId w:val="3"/>
  </w:num>
  <w:num w:numId="11">
    <w:abstractNumId w:val="13"/>
  </w:num>
  <w:num w:numId="12">
    <w:abstractNumId w:val="2"/>
  </w:num>
  <w:num w:numId="13">
    <w:abstractNumId w:val="6"/>
  </w:num>
  <w:num w:numId="14">
    <w:abstractNumId w:val="7"/>
  </w:num>
  <w:num w:numId="15">
    <w:abstractNumId w:val="0"/>
  </w:num>
  <w:num w:numId="16">
    <w:abstractNumId w:val="14"/>
  </w:num>
  <w:num w:numId="17">
    <w:abstractNumId w:val="4"/>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proofState w:spelling="clean" w:grammar="clean"/>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5CC"/>
    <w:rsid w:val="0000085D"/>
    <w:rsid w:val="00001D5A"/>
    <w:rsid w:val="00002EF7"/>
    <w:rsid w:val="00003B77"/>
    <w:rsid w:val="00003D51"/>
    <w:rsid w:val="00003F96"/>
    <w:rsid w:val="0000520D"/>
    <w:rsid w:val="000054B7"/>
    <w:rsid w:val="00005EE0"/>
    <w:rsid w:val="00006B59"/>
    <w:rsid w:val="00007196"/>
    <w:rsid w:val="000100D8"/>
    <w:rsid w:val="0001014C"/>
    <w:rsid w:val="00011BFC"/>
    <w:rsid w:val="00011DF7"/>
    <w:rsid w:val="00012657"/>
    <w:rsid w:val="00013BC3"/>
    <w:rsid w:val="000155F0"/>
    <w:rsid w:val="000157CF"/>
    <w:rsid w:val="00015A22"/>
    <w:rsid w:val="000168DE"/>
    <w:rsid w:val="0001735B"/>
    <w:rsid w:val="000206F1"/>
    <w:rsid w:val="00021FFB"/>
    <w:rsid w:val="00023E81"/>
    <w:rsid w:val="00024E0C"/>
    <w:rsid w:val="000251E2"/>
    <w:rsid w:val="0002582E"/>
    <w:rsid w:val="00026367"/>
    <w:rsid w:val="000264D7"/>
    <w:rsid w:val="00026ACC"/>
    <w:rsid w:val="0002705C"/>
    <w:rsid w:val="000303C9"/>
    <w:rsid w:val="00031C68"/>
    <w:rsid w:val="00031C69"/>
    <w:rsid w:val="00031CEB"/>
    <w:rsid w:val="00032932"/>
    <w:rsid w:val="0003410F"/>
    <w:rsid w:val="0003494D"/>
    <w:rsid w:val="00035B80"/>
    <w:rsid w:val="00036B0F"/>
    <w:rsid w:val="00040918"/>
    <w:rsid w:val="00040C4D"/>
    <w:rsid w:val="000413AB"/>
    <w:rsid w:val="000419ED"/>
    <w:rsid w:val="00042688"/>
    <w:rsid w:val="00042837"/>
    <w:rsid w:val="0004293F"/>
    <w:rsid w:val="00043204"/>
    <w:rsid w:val="000436EC"/>
    <w:rsid w:val="00043931"/>
    <w:rsid w:val="000448BE"/>
    <w:rsid w:val="00045038"/>
    <w:rsid w:val="000456D3"/>
    <w:rsid w:val="00046172"/>
    <w:rsid w:val="00046670"/>
    <w:rsid w:val="000470AE"/>
    <w:rsid w:val="00047976"/>
    <w:rsid w:val="00047A92"/>
    <w:rsid w:val="00047CF6"/>
    <w:rsid w:val="000501A4"/>
    <w:rsid w:val="00050BDE"/>
    <w:rsid w:val="00050DDE"/>
    <w:rsid w:val="00052281"/>
    <w:rsid w:val="00052AE4"/>
    <w:rsid w:val="000532AA"/>
    <w:rsid w:val="00053AA7"/>
    <w:rsid w:val="00053D09"/>
    <w:rsid w:val="00054B57"/>
    <w:rsid w:val="0005582D"/>
    <w:rsid w:val="0005596D"/>
    <w:rsid w:val="00055CB5"/>
    <w:rsid w:val="00055E07"/>
    <w:rsid w:val="00055E4C"/>
    <w:rsid w:val="00055EC9"/>
    <w:rsid w:val="00056B3E"/>
    <w:rsid w:val="000571B9"/>
    <w:rsid w:val="0005725C"/>
    <w:rsid w:val="00057574"/>
    <w:rsid w:val="00060045"/>
    <w:rsid w:val="00060178"/>
    <w:rsid w:val="00061760"/>
    <w:rsid w:val="0006189A"/>
    <w:rsid w:val="000618D0"/>
    <w:rsid w:val="00063297"/>
    <w:rsid w:val="00063A11"/>
    <w:rsid w:val="0006411D"/>
    <w:rsid w:val="00064637"/>
    <w:rsid w:val="0006501C"/>
    <w:rsid w:val="00066AF6"/>
    <w:rsid w:val="0006721D"/>
    <w:rsid w:val="000672AB"/>
    <w:rsid w:val="000675B0"/>
    <w:rsid w:val="00067A76"/>
    <w:rsid w:val="00067F12"/>
    <w:rsid w:val="000706BF"/>
    <w:rsid w:val="000707EE"/>
    <w:rsid w:val="00070E3F"/>
    <w:rsid w:val="000710A8"/>
    <w:rsid w:val="0007116E"/>
    <w:rsid w:val="00071F2E"/>
    <w:rsid w:val="00072B83"/>
    <w:rsid w:val="00072FE8"/>
    <w:rsid w:val="000736B3"/>
    <w:rsid w:val="000738F6"/>
    <w:rsid w:val="00073D9F"/>
    <w:rsid w:val="0007429C"/>
    <w:rsid w:val="00074533"/>
    <w:rsid w:val="00074F31"/>
    <w:rsid w:val="00076758"/>
    <w:rsid w:val="00076ED7"/>
    <w:rsid w:val="0007717F"/>
    <w:rsid w:val="0007762A"/>
    <w:rsid w:val="00077B79"/>
    <w:rsid w:val="00080072"/>
    <w:rsid w:val="00081D0E"/>
    <w:rsid w:val="000824F8"/>
    <w:rsid w:val="0008345D"/>
    <w:rsid w:val="00083692"/>
    <w:rsid w:val="00084E3A"/>
    <w:rsid w:val="00085086"/>
    <w:rsid w:val="00085A22"/>
    <w:rsid w:val="00085B99"/>
    <w:rsid w:val="00086738"/>
    <w:rsid w:val="00086BCD"/>
    <w:rsid w:val="000907D0"/>
    <w:rsid w:val="00091811"/>
    <w:rsid w:val="00091A72"/>
    <w:rsid w:val="00093E30"/>
    <w:rsid w:val="0009432F"/>
    <w:rsid w:val="00094D5D"/>
    <w:rsid w:val="00094F15"/>
    <w:rsid w:val="0009524E"/>
    <w:rsid w:val="0009559D"/>
    <w:rsid w:val="00096CF4"/>
    <w:rsid w:val="000979D0"/>
    <w:rsid w:val="00097CDE"/>
    <w:rsid w:val="000A00AE"/>
    <w:rsid w:val="000A01F2"/>
    <w:rsid w:val="000A0884"/>
    <w:rsid w:val="000A0915"/>
    <w:rsid w:val="000A134E"/>
    <w:rsid w:val="000A15B1"/>
    <w:rsid w:val="000A1610"/>
    <w:rsid w:val="000A1CD2"/>
    <w:rsid w:val="000A26F1"/>
    <w:rsid w:val="000A2BD8"/>
    <w:rsid w:val="000A3690"/>
    <w:rsid w:val="000A4686"/>
    <w:rsid w:val="000A5140"/>
    <w:rsid w:val="000A567C"/>
    <w:rsid w:val="000A5B75"/>
    <w:rsid w:val="000A65A9"/>
    <w:rsid w:val="000A69A7"/>
    <w:rsid w:val="000B1102"/>
    <w:rsid w:val="000B1C94"/>
    <w:rsid w:val="000B2074"/>
    <w:rsid w:val="000B2C5B"/>
    <w:rsid w:val="000B2DBE"/>
    <w:rsid w:val="000B3056"/>
    <w:rsid w:val="000B3A23"/>
    <w:rsid w:val="000B4419"/>
    <w:rsid w:val="000B55BB"/>
    <w:rsid w:val="000B597C"/>
    <w:rsid w:val="000B6604"/>
    <w:rsid w:val="000B7912"/>
    <w:rsid w:val="000B7B95"/>
    <w:rsid w:val="000C05CB"/>
    <w:rsid w:val="000C089C"/>
    <w:rsid w:val="000C0B98"/>
    <w:rsid w:val="000C0F17"/>
    <w:rsid w:val="000C164B"/>
    <w:rsid w:val="000C16F6"/>
    <w:rsid w:val="000C27DC"/>
    <w:rsid w:val="000C2AB9"/>
    <w:rsid w:val="000C404B"/>
    <w:rsid w:val="000C43E0"/>
    <w:rsid w:val="000C492E"/>
    <w:rsid w:val="000C50A1"/>
    <w:rsid w:val="000C5E23"/>
    <w:rsid w:val="000C6AAF"/>
    <w:rsid w:val="000C7459"/>
    <w:rsid w:val="000D11EB"/>
    <w:rsid w:val="000D1714"/>
    <w:rsid w:val="000D2056"/>
    <w:rsid w:val="000D22F0"/>
    <w:rsid w:val="000D2F93"/>
    <w:rsid w:val="000D53BB"/>
    <w:rsid w:val="000D5B81"/>
    <w:rsid w:val="000D5C0B"/>
    <w:rsid w:val="000D7666"/>
    <w:rsid w:val="000E013E"/>
    <w:rsid w:val="000E1F31"/>
    <w:rsid w:val="000E1FBD"/>
    <w:rsid w:val="000E21F2"/>
    <w:rsid w:val="000E2359"/>
    <w:rsid w:val="000E23EA"/>
    <w:rsid w:val="000E2715"/>
    <w:rsid w:val="000E2B2C"/>
    <w:rsid w:val="000E3022"/>
    <w:rsid w:val="000E3D52"/>
    <w:rsid w:val="000E44FD"/>
    <w:rsid w:val="000E4DF7"/>
    <w:rsid w:val="000E50E1"/>
    <w:rsid w:val="000E5149"/>
    <w:rsid w:val="000E5834"/>
    <w:rsid w:val="000E6198"/>
    <w:rsid w:val="000E6F44"/>
    <w:rsid w:val="000E73AF"/>
    <w:rsid w:val="000E7622"/>
    <w:rsid w:val="000F158C"/>
    <w:rsid w:val="000F1DEA"/>
    <w:rsid w:val="000F2408"/>
    <w:rsid w:val="000F2AFD"/>
    <w:rsid w:val="000F3700"/>
    <w:rsid w:val="000F4578"/>
    <w:rsid w:val="000F45BF"/>
    <w:rsid w:val="000F4B6E"/>
    <w:rsid w:val="000F60AB"/>
    <w:rsid w:val="000F6504"/>
    <w:rsid w:val="000F6F38"/>
    <w:rsid w:val="000F76A8"/>
    <w:rsid w:val="000F7725"/>
    <w:rsid w:val="000F78AE"/>
    <w:rsid w:val="00101157"/>
    <w:rsid w:val="00101681"/>
    <w:rsid w:val="00101BB0"/>
    <w:rsid w:val="00101D0F"/>
    <w:rsid w:val="0010231B"/>
    <w:rsid w:val="001026B0"/>
    <w:rsid w:val="00102EF3"/>
    <w:rsid w:val="0010413A"/>
    <w:rsid w:val="00105970"/>
    <w:rsid w:val="00106A59"/>
    <w:rsid w:val="00107175"/>
    <w:rsid w:val="0010747A"/>
    <w:rsid w:val="00107A35"/>
    <w:rsid w:val="00107D4A"/>
    <w:rsid w:val="0011138C"/>
    <w:rsid w:val="00111AD4"/>
    <w:rsid w:val="00111F8A"/>
    <w:rsid w:val="00112134"/>
    <w:rsid w:val="00112E28"/>
    <w:rsid w:val="00113C2F"/>
    <w:rsid w:val="00113E28"/>
    <w:rsid w:val="00114325"/>
    <w:rsid w:val="00114E4E"/>
    <w:rsid w:val="00115432"/>
    <w:rsid w:val="001157CE"/>
    <w:rsid w:val="00115E66"/>
    <w:rsid w:val="001172DF"/>
    <w:rsid w:val="00117408"/>
    <w:rsid w:val="0012150C"/>
    <w:rsid w:val="00121574"/>
    <w:rsid w:val="00121C06"/>
    <w:rsid w:val="00121EA1"/>
    <w:rsid w:val="001223C6"/>
    <w:rsid w:val="0012279D"/>
    <w:rsid w:val="001239A8"/>
    <w:rsid w:val="001239E1"/>
    <w:rsid w:val="00124DC1"/>
    <w:rsid w:val="00125628"/>
    <w:rsid w:val="00125881"/>
    <w:rsid w:val="001305E5"/>
    <w:rsid w:val="001321A1"/>
    <w:rsid w:val="0013406B"/>
    <w:rsid w:val="00134F83"/>
    <w:rsid w:val="001354CB"/>
    <w:rsid w:val="00135695"/>
    <w:rsid w:val="00135742"/>
    <w:rsid w:val="00135A23"/>
    <w:rsid w:val="00136479"/>
    <w:rsid w:val="00136496"/>
    <w:rsid w:val="0013664A"/>
    <w:rsid w:val="0013667B"/>
    <w:rsid w:val="00136A10"/>
    <w:rsid w:val="0013702C"/>
    <w:rsid w:val="00137337"/>
    <w:rsid w:val="001378D5"/>
    <w:rsid w:val="00137FF0"/>
    <w:rsid w:val="00140CC4"/>
    <w:rsid w:val="00141BD6"/>
    <w:rsid w:val="00142206"/>
    <w:rsid w:val="00143176"/>
    <w:rsid w:val="00143FFA"/>
    <w:rsid w:val="00144908"/>
    <w:rsid w:val="00144BB3"/>
    <w:rsid w:val="00144C4B"/>
    <w:rsid w:val="001451A4"/>
    <w:rsid w:val="001460BB"/>
    <w:rsid w:val="001466D7"/>
    <w:rsid w:val="0014715B"/>
    <w:rsid w:val="00150611"/>
    <w:rsid w:val="00150A48"/>
    <w:rsid w:val="00150BE4"/>
    <w:rsid w:val="00150BE7"/>
    <w:rsid w:val="00150BEB"/>
    <w:rsid w:val="00150CC9"/>
    <w:rsid w:val="00150F89"/>
    <w:rsid w:val="00152452"/>
    <w:rsid w:val="001526AC"/>
    <w:rsid w:val="00152C2F"/>
    <w:rsid w:val="00153149"/>
    <w:rsid w:val="00153A60"/>
    <w:rsid w:val="00153D95"/>
    <w:rsid w:val="00154091"/>
    <w:rsid w:val="0015454A"/>
    <w:rsid w:val="00154682"/>
    <w:rsid w:val="00154827"/>
    <w:rsid w:val="00154F60"/>
    <w:rsid w:val="00155501"/>
    <w:rsid w:val="00156CAA"/>
    <w:rsid w:val="00156DEF"/>
    <w:rsid w:val="0015702B"/>
    <w:rsid w:val="00157577"/>
    <w:rsid w:val="00157D86"/>
    <w:rsid w:val="00160155"/>
    <w:rsid w:val="0016031C"/>
    <w:rsid w:val="00161124"/>
    <w:rsid w:val="00161DA5"/>
    <w:rsid w:val="00162EAF"/>
    <w:rsid w:val="001630E8"/>
    <w:rsid w:val="001637C1"/>
    <w:rsid w:val="001639FB"/>
    <w:rsid w:val="001643E4"/>
    <w:rsid w:val="00164534"/>
    <w:rsid w:val="00164B64"/>
    <w:rsid w:val="00164C99"/>
    <w:rsid w:val="00166477"/>
    <w:rsid w:val="00166D27"/>
    <w:rsid w:val="00170230"/>
    <w:rsid w:val="00170320"/>
    <w:rsid w:val="00170625"/>
    <w:rsid w:val="0017146B"/>
    <w:rsid w:val="00171B4A"/>
    <w:rsid w:val="0017200D"/>
    <w:rsid w:val="0017265F"/>
    <w:rsid w:val="001730B0"/>
    <w:rsid w:val="00173FDD"/>
    <w:rsid w:val="001747CF"/>
    <w:rsid w:val="00174A21"/>
    <w:rsid w:val="00175053"/>
    <w:rsid w:val="0017513A"/>
    <w:rsid w:val="00175FE2"/>
    <w:rsid w:val="00176411"/>
    <w:rsid w:val="00176B96"/>
    <w:rsid w:val="00177D09"/>
    <w:rsid w:val="00177D2F"/>
    <w:rsid w:val="00180392"/>
    <w:rsid w:val="00181A6A"/>
    <w:rsid w:val="001821A3"/>
    <w:rsid w:val="00182DC0"/>
    <w:rsid w:val="00183085"/>
    <w:rsid w:val="001839FA"/>
    <w:rsid w:val="00183DDC"/>
    <w:rsid w:val="001850C6"/>
    <w:rsid w:val="0018586A"/>
    <w:rsid w:val="001858E5"/>
    <w:rsid w:val="00185B85"/>
    <w:rsid w:val="0018758B"/>
    <w:rsid w:val="0019015A"/>
    <w:rsid w:val="00190396"/>
    <w:rsid w:val="00190F93"/>
    <w:rsid w:val="00191FF6"/>
    <w:rsid w:val="00192E51"/>
    <w:rsid w:val="00192F16"/>
    <w:rsid w:val="00193071"/>
    <w:rsid w:val="0019399F"/>
    <w:rsid w:val="00194286"/>
    <w:rsid w:val="00195BC7"/>
    <w:rsid w:val="00195EBA"/>
    <w:rsid w:val="001960B4"/>
    <w:rsid w:val="00197B6F"/>
    <w:rsid w:val="00197B8A"/>
    <w:rsid w:val="001A0CA6"/>
    <w:rsid w:val="001A2081"/>
    <w:rsid w:val="001A2F88"/>
    <w:rsid w:val="001A325B"/>
    <w:rsid w:val="001A38A7"/>
    <w:rsid w:val="001A3974"/>
    <w:rsid w:val="001A40B6"/>
    <w:rsid w:val="001A5D04"/>
    <w:rsid w:val="001A613C"/>
    <w:rsid w:val="001A6276"/>
    <w:rsid w:val="001A72F6"/>
    <w:rsid w:val="001A7D06"/>
    <w:rsid w:val="001B1655"/>
    <w:rsid w:val="001B17FB"/>
    <w:rsid w:val="001B2821"/>
    <w:rsid w:val="001B285C"/>
    <w:rsid w:val="001B2ACB"/>
    <w:rsid w:val="001B2D16"/>
    <w:rsid w:val="001B2DBB"/>
    <w:rsid w:val="001B3BE6"/>
    <w:rsid w:val="001B3EFA"/>
    <w:rsid w:val="001B41A2"/>
    <w:rsid w:val="001B4B0A"/>
    <w:rsid w:val="001B4EA7"/>
    <w:rsid w:val="001B5656"/>
    <w:rsid w:val="001B5DFF"/>
    <w:rsid w:val="001B65B8"/>
    <w:rsid w:val="001B70CA"/>
    <w:rsid w:val="001B75F0"/>
    <w:rsid w:val="001C00D8"/>
    <w:rsid w:val="001C057E"/>
    <w:rsid w:val="001C2CAD"/>
    <w:rsid w:val="001C308D"/>
    <w:rsid w:val="001C3232"/>
    <w:rsid w:val="001C34D5"/>
    <w:rsid w:val="001C3ED9"/>
    <w:rsid w:val="001C45D9"/>
    <w:rsid w:val="001C49B8"/>
    <w:rsid w:val="001C5A02"/>
    <w:rsid w:val="001C5BF5"/>
    <w:rsid w:val="001C72B2"/>
    <w:rsid w:val="001D1192"/>
    <w:rsid w:val="001D223A"/>
    <w:rsid w:val="001D2793"/>
    <w:rsid w:val="001D2F2A"/>
    <w:rsid w:val="001D3679"/>
    <w:rsid w:val="001D3CC2"/>
    <w:rsid w:val="001D461F"/>
    <w:rsid w:val="001D6714"/>
    <w:rsid w:val="001D713E"/>
    <w:rsid w:val="001D77E6"/>
    <w:rsid w:val="001E0D0D"/>
    <w:rsid w:val="001E1C40"/>
    <w:rsid w:val="001E1EC3"/>
    <w:rsid w:val="001E1FB9"/>
    <w:rsid w:val="001E1FD1"/>
    <w:rsid w:val="001E23E2"/>
    <w:rsid w:val="001E3778"/>
    <w:rsid w:val="001E3F7F"/>
    <w:rsid w:val="001E475C"/>
    <w:rsid w:val="001E4BD2"/>
    <w:rsid w:val="001E59BD"/>
    <w:rsid w:val="001E641F"/>
    <w:rsid w:val="001E773D"/>
    <w:rsid w:val="001F068F"/>
    <w:rsid w:val="001F31C0"/>
    <w:rsid w:val="001F407D"/>
    <w:rsid w:val="001F5566"/>
    <w:rsid w:val="001F6AE0"/>
    <w:rsid w:val="001F6B1F"/>
    <w:rsid w:val="001F6BA7"/>
    <w:rsid w:val="00200434"/>
    <w:rsid w:val="00200E5B"/>
    <w:rsid w:val="002014C8"/>
    <w:rsid w:val="00202068"/>
    <w:rsid w:val="00202878"/>
    <w:rsid w:val="00202F8B"/>
    <w:rsid w:val="00203277"/>
    <w:rsid w:val="00203604"/>
    <w:rsid w:val="0020612A"/>
    <w:rsid w:val="002064F7"/>
    <w:rsid w:val="00206BDB"/>
    <w:rsid w:val="0021058F"/>
    <w:rsid w:val="0021135F"/>
    <w:rsid w:val="0021150C"/>
    <w:rsid w:val="002127FD"/>
    <w:rsid w:val="00212B04"/>
    <w:rsid w:val="00212EEA"/>
    <w:rsid w:val="002130B4"/>
    <w:rsid w:val="00214BC0"/>
    <w:rsid w:val="00214CAA"/>
    <w:rsid w:val="002154D1"/>
    <w:rsid w:val="00215BEE"/>
    <w:rsid w:val="0021654E"/>
    <w:rsid w:val="0022072A"/>
    <w:rsid w:val="0022100A"/>
    <w:rsid w:val="00221160"/>
    <w:rsid w:val="002213EE"/>
    <w:rsid w:val="00221922"/>
    <w:rsid w:val="00221B94"/>
    <w:rsid w:val="00222AAD"/>
    <w:rsid w:val="00224723"/>
    <w:rsid w:val="002248C1"/>
    <w:rsid w:val="00224C04"/>
    <w:rsid w:val="002251A4"/>
    <w:rsid w:val="00225718"/>
    <w:rsid w:val="00225CAE"/>
    <w:rsid w:val="00227E88"/>
    <w:rsid w:val="0023004B"/>
    <w:rsid w:val="00230B94"/>
    <w:rsid w:val="00231C3C"/>
    <w:rsid w:val="00231DC5"/>
    <w:rsid w:val="00232836"/>
    <w:rsid w:val="002338F8"/>
    <w:rsid w:val="00234167"/>
    <w:rsid w:val="00234AB5"/>
    <w:rsid w:val="00234F9B"/>
    <w:rsid w:val="0023589B"/>
    <w:rsid w:val="00235AEE"/>
    <w:rsid w:val="00235D75"/>
    <w:rsid w:val="002366CE"/>
    <w:rsid w:val="0024001A"/>
    <w:rsid w:val="00240887"/>
    <w:rsid w:val="00240A0E"/>
    <w:rsid w:val="002419F2"/>
    <w:rsid w:val="00243E20"/>
    <w:rsid w:val="00244096"/>
    <w:rsid w:val="0024417D"/>
    <w:rsid w:val="00244C55"/>
    <w:rsid w:val="00245470"/>
    <w:rsid w:val="00246CD7"/>
    <w:rsid w:val="00247C83"/>
    <w:rsid w:val="00250370"/>
    <w:rsid w:val="0025068A"/>
    <w:rsid w:val="00250751"/>
    <w:rsid w:val="002516DF"/>
    <w:rsid w:val="00254CF4"/>
    <w:rsid w:val="00255877"/>
    <w:rsid w:val="0025701A"/>
    <w:rsid w:val="002575ED"/>
    <w:rsid w:val="002576EB"/>
    <w:rsid w:val="00260BF5"/>
    <w:rsid w:val="00260D04"/>
    <w:rsid w:val="0026130F"/>
    <w:rsid w:val="00261C84"/>
    <w:rsid w:val="00263521"/>
    <w:rsid w:val="00263DB7"/>
    <w:rsid w:val="002643E6"/>
    <w:rsid w:val="00265428"/>
    <w:rsid w:val="0027101D"/>
    <w:rsid w:val="0027121E"/>
    <w:rsid w:val="0027188F"/>
    <w:rsid w:val="002739B2"/>
    <w:rsid w:val="00275A79"/>
    <w:rsid w:val="00276D55"/>
    <w:rsid w:val="002813A0"/>
    <w:rsid w:val="00281F46"/>
    <w:rsid w:val="002841CB"/>
    <w:rsid w:val="00284ABA"/>
    <w:rsid w:val="00284B06"/>
    <w:rsid w:val="00285EC0"/>
    <w:rsid w:val="0028686C"/>
    <w:rsid w:val="0028694C"/>
    <w:rsid w:val="00286A23"/>
    <w:rsid w:val="00291775"/>
    <w:rsid w:val="002920D3"/>
    <w:rsid w:val="00292A58"/>
    <w:rsid w:val="00293FC3"/>
    <w:rsid w:val="00294784"/>
    <w:rsid w:val="00294AF0"/>
    <w:rsid w:val="0029607C"/>
    <w:rsid w:val="00296A9F"/>
    <w:rsid w:val="00297B77"/>
    <w:rsid w:val="00297FD7"/>
    <w:rsid w:val="002A04CC"/>
    <w:rsid w:val="002A1117"/>
    <w:rsid w:val="002A18D6"/>
    <w:rsid w:val="002A2132"/>
    <w:rsid w:val="002A2C5A"/>
    <w:rsid w:val="002A4153"/>
    <w:rsid w:val="002A4707"/>
    <w:rsid w:val="002A4B57"/>
    <w:rsid w:val="002A53E2"/>
    <w:rsid w:val="002A57EB"/>
    <w:rsid w:val="002A598C"/>
    <w:rsid w:val="002A6418"/>
    <w:rsid w:val="002A64F8"/>
    <w:rsid w:val="002A68DE"/>
    <w:rsid w:val="002A6A8F"/>
    <w:rsid w:val="002A6B3B"/>
    <w:rsid w:val="002A7D21"/>
    <w:rsid w:val="002B10E8"/>
    <w:rsid w:val="002B30DB"/>
    <w:rsid w:val="002B5C10"/>
    <w:rsid w:val="002B5D65"/>
    <w:rsid w:val="002B637F"/>
    <w:rsid w:val="002B65DC"/>
    <w:rsid w:val="002B6FB4"/>
    <w:rsid w:val="002C06EB"/>
    <w:rsid w:val="002C1D86"/>
    <w:rsid w:val="002C1EE0"/>
    <w:rsid w:val="002C28D3"/>
    <w:rsid w:val="002C2B0E"/>
    <w:rsid w:val="002C316A"/>
    <w:rsid w:val="002C3B87"/>
    <w:rsid w:val="002C4139"/>
    <w:rsid w:val="002C4302"/>
    <w:rsid w:val="002C4F9F"/>
    <w:rsid w:val="002C54FF"/>
    <w:rsid w:val="002C6000"/>
    <w:rsid w:val="002C65B3"/>
    <w:rsid w:val="002C6D22"/>
    <w:rsid w:val="002C70A2"/>
    <w:rsid w:val="002C7D35"/>
    <w:rsid w:val="002D055C"/>
    <w:rsid w:val="002D1506"/>
    <w:rsid w:val="002D1688"/>
    <w:rsid w:val="002D2963"/>
    <w:rsid w:val="002D3201"/>
    <w:rsid w:val="002D3AC8"/>
    <w:rsid w:val="002D4E81"/>
    <w:rsid w:val="002D555F"/>
    <w:rsid w:val="002D572F"/>
    <w:rsid w:val="002D5930"/>
    <w:rsid w:val="002D65CF"/>
    <w:rsid w:val="002D6964"/>
    <w:rsid w:val="002D69A4"/>
    <w:rsid w:val="002D6DBD"/>
    <w:rsid w:val="002D79C7"/>
    <w:rsid w:val="002E0151"/>
    <w:rsid w:val="002E01CC"/>
    <w:rsid w:val="002E188D"/>
    <w:rsid w:val="002E1E1F"/>
    <w:rsid w:val="002E24BB"/>
    <w:rsid w:val="002E2DB0"/>
    <w:rsid w:val="002E3AA6"/>
    <w:rsid w:val="002E424B"/>
    <w:rsid w:val="002E4818"/>
    <w:rsid w:val="002E5757"/>
    <w:rsid w:val="002E6B3E"/>
    <w:rsid w:val="002E707E"/>
    <w:rsid w:val="002E70B8"/>
    <w:rsid w:val="002E7528"/>
    <w:rsid w:val="002F06E7"/>
    <w:rsid w:val="002F1184"/>
    <w:rsid w:val="002F11D2"/>
    <w:rsid w:val="002F1610"/>
    <w:rsid w:val="002F2019"/>
    <w:rsid w:val="002F24F0"/>
    <w:rsid w:val="002F29CA"/>
    <w:rsid w:val="002F3162"/>
    <w:rsid w:val="002F42B0"/>
    <w:rsid w:val="002F5163"/>
    <w:rsid w:val="002F5628"/>
    <w:rsid w:val="002F5A80"/>
    <w:rsid w:val="002F5B51"/>
    <w:rsid w:val="002F5CEC"/>
    <w:rsid w:val="002F6FA5"/>
    <w:rsid w:val="002F724D"/>
    <w:rsid w:val="002F7C75"/>
    <w:rsid w:val="0030043A"/>
    <w:rsid w:val="00300F74"/>
    <w:rsid w:val="0030114C"/>
    <w:rsid w:val="00301153"/>
    <w:rsid w:val="003020D6"/>
    <w:rsid w:val="00302134"/>
    <w:rsid w:val="00302DC7"/>
    <w:rsid w:val="003031A9"/>
    <w:rsid w:val="0030338B"/>
    <w:rsid w:val="003038A7"/>
    <w:rsid w:val="00304D83"/>
    <w:rsid w:val="00304E57"/>
    <w:rsid w:val="003050D0"/>
    <w:rsid w:val="0030516B"/>
    <w:rsid w:val="00305A00"/>
    <w:rsid w:val="003067B1"/>
    <w:rsid w:val="003071E1"/>
    <w:rsid w:val="00307A51"/>
    <w:rsid w:val="003108E3"/>
    <w:rsid w:val="00311190"/>
    <w:rsid w:val="0031135A"/>
    <w:rsid w:val="00313D58"/>
    <w:rsid w:val="00313EEC"/>
    <w:rsid w:val="00315624"/>
    <w:rsid w:val="00315BD6"/>
    <w:rsid w:val="00315D7F"/>
    <w:rsid w:val="00315FF2"/>
    <w:rsid w:val="00316385"/>
    <w:rsid w:val="00316C57"/>
    <w:rsid w:val="003177E2"/>
    <w:rsid w:val="0032289E"/>
    <w:rsid w:val="00322998"/>
    <w:rsid w:val="00322A81"/>
    <w:rsid w:val="00323027"/>
    <w:rsid w:val="0032331E"/>
    <w:rsid w:val="00324236"/>
    <w:rsid w:val="00324BC1"/>
    <w:rsid w:val="00324C2A"/>
    <w:rsid w:val="00324F0D"/>
    <w:rsid w:val="003257C6"/>
    <w:rsid w:val="00325F44"/>
    <w:rsid w:val="00326ABF"/>
    <w:rsid w:val="00326C7C"/>
    <w:rsid w:val="00326EF0"/>
    <w:rsid w:val="003271AB"/>
    <w:rsid w:val="00327593"/>
    <w:rsid w:val="0032765C"/>
    <w:rsid w:val="00327D99"/>
    <w:rsid w:val="003318C2"/>
    <w:rsid w:val="00332F33"/>
    <w:rsid w:val="00333BC5"/>
    <w:rsid w:val="00334A65"/>
    <w:rsid w:val="00334D20"/>
    <w:rsid w:val="00335267"/>
    <w:rsid w:val="0033564C"/>
    <w:rsid w:val="003356A2"/>
    <w:rsid w:val="00335A0A"/>
    <w:rsid w:val="00337048"/>
    <w:rsid w:val="003370BA"/>
    <w:rsid w:val="00337846"/>
    <w:rsid w:val="0033799E"/>
    <w:rsid w:val="0034038A"/>
    <w:rsid w:val="003405D2"/>
    <w:rsid w:val="003405E7"/>
    <w:rsid w:val="0034070F"/>
    <w:rsid w:val="00340C7C"/>
    <w:rsid w:val="00340D4D"/>
    <w:rsid w:val="0034149F"/>
    <w:rsid w:val="003419FB"/>
    <w:rsid w:val="00341C37"/>
    <w:rsid w:val="00343B0B"/>
    <w:rsid w:val="00344346"/>
    <w:rsid w:val="00345868"/>
    <w:rsid w:val="0034637E"/>
    <w:rsid w:val="003466B0"/>
    <w:rsid w:val="00346930"/>
    <w:rsid w:val="00347612"/>
    <w:rsid w:val="00347A15"/>
    <w:rsid w:val="003513C7"/>
    <w:rsid w:val="0035145F"/>
    <w:rsid w:val="00351F4E"/>
    <w:rsid w:val="0035346E"/>
    <w:rsid w:val="0035448A"/>
    <w:rsid w:val="00355453"/>
    <w:rsid w:val="003559A1"/>
    <w:rsid w:val="00355B59"/>
    <w:rsid w:val="00356540"/>
    <w:rsid w:val="00356926"/>
    <w:rsid w:val="00356C79"/>
    <w:rsid w:val="00356CD5"/>
    <w:rsid w:val="00357544"/>
    <w:rsid w:val="003576E5"/>
    <w:rsid w:val="003606C0"/>
    <w:rsid w:val="00361812"/>
    <w:rsid w:val="00363344"/>
    <w:rsid w:val="003633E1"/>
    <w:rsid w:val="00363FE3"/>
    <w:rsid w:val="003640C2"/>
    <w:rsid w:val="00364581"/>
    <w:rsid w:val="003651FF"/>
    <w:rsid w:val="0036568B"/>
    <w:rsid w:val="00365C9E"/>
    <w:rsid w:val="00365D63"/>
    <w:rsid w:val="00365DC9"/>
    <w:rsid w:val="00365DE2"/>
    <w:rsid w:val="0036639F"/>
    <w:rsid w:val="003675CC"/>
    <w:rsid w:val="00371181"/>
    <w:rsid w:val="0037128C"/>
    <w:rsid w:val="00371316"/>
    <w:rsid w:val="00371B1D"/>
    <w:rsid w:val="0037230B"/>
    <w:rsid w:val="00372372"/>
    <w:rsid w:val="00372476"/>
    <w:rsid w:val="0037259B"/>
    <w:rsid w:val="0037289B"/>
    <w:rsid w:val="003729F9"/>
    <w:rsid w:val="003734FE"/>
    <w:rsid w:val="0037370B"/>
    <w:rsid w:val="00373CE2"/>
    <w:rsid w:val="003757DE"/>
    <w:rsid w:val="00375AE4"/>
    <w:rsid w:val="00375C87"/>
    <w:rsid w:val="00375F4A"/>
    <w:rsid w:val="00376061"/>
    <w:rsid w:val="00376625"/>
    <w:rsid w:val="0037752E"/>
    <w:rsid w:val="0037753E"/>
    <w:rsid w:val="00377B33"/>
    <w:rsid w:val="00380052"/>
    <w:rsid w:val="003801D8"/>
    <w:rsid w:val="003806AE"/>
    <w:rsid w:val="00381983"/>
    <w:rsid w:val="00382741"/>
    <w:rsid w:val="00382804"/>
    <w:rsid w:val="00382981"/>
    <w:rsid w:val="003839AA"/>
    <w:rsid w:val="003843E4"/>
    <w:rsid w:val="00385426"/>
    <w:rsid w:val="00385CBB"/>
    <w:rsid w:val="00387987"/>
    <w:rsid w:val="003907CF"/>
    <w:rsid w:val="00391776"/>
    <w:rsid w:val="00391943"/>
    <w:rsid w:val="00391D47"/>
    <w:rsid w:val="00392578"/>
    <w:rsid w:val="003926A8"/>
    <w:rsid w:val="003929A4"/>
    <w:rsid w:val="00392CEC"/>
    <w:rsid w:val="00392E92"/>
    <w:rsid w:val="003941E1"/>
    <w:rsid w:val="0039563E"/>
    <w:rsid w:val="0039592D"/>
    <w:rsid w:val="00395E1A"/>
    <w:rsid w:val="00396082"/>
    <w:rsid w:val="00396D3F"/>
    <w:rsid w:val="00396EB2"/>
    <w:rsid w:val="003971AD"/>
    <w:rsid w:val="00397234"/>
    <w:rsid w:val="00397B41"/>
    <w:rsid w:val="00397C56"/>
    <w:rsid w:val="003A042B"/>
    <w:rsid w:val="003A08AE"/>
    <w:rsid w:val="003A3D05"/>
    <w:rsid w:val="003A613A"/>
    <w:rsid w:val="003A66EF"/>
    <w:rsid w:val="003A6DE4"/>
    <w:rsid w:val="003A769E"/>
    <w:rsid w:val="003A780A"/>
    <w:rsid w:val="003B0B84"/>
    <w:rsid w:val="003B166B"/>
    <w:rsid w:val="003B1F61"/>
    <w:rsid w:val="003B30AD"/>
    <w:rsid w:val="003B4CBF"/>
    <w:rsid w:val="003B505F"/>
    <w:rsid w:val="003B5853"/>
    <w:rsid w:val="003B5A1E"/>
    <w:rsid w:val="003B5E39"/>
    <w:rsid w:val="003B639B"/>
    <w:rsid w:val="003B71E3"/>
    <w:rsid w:val="003B7A94"/>
    <w:rsid w:val="003C0A02"/>
    <w:rsid w:val="003C2534"/>
    <w:rsid w:val="003C26AC"/>
    <w:rsid w:val="003C2A0B"/>
    <w:rsid w:val="003C2EC6"/>
    <w:rsid w:val="003C3358"/>
    <w:rsid w:val="003C4F30"/>
    <w:rsid w:val="003C5044"/>
    <w:rsid w:val="003C5153"/>
    <w:rsid w:val="003C5BB1"/>
    <w:rsid w:val="003C6C20"/>
    <w:rsid w:val="003C73F8"/>
    <w:rsid w:val="003C7AD3"/>
    <w:rsid w:val="003C7B2D"/>
    <w:rsid w:val="003D0F91"/>
    <w:rsid w:val="003D16F2"/>
    <w:rsid w:val="003D1D5C"/>
    <w:rsid w:val="003D2796"/>
    <w:rsid w:val="003D2AE6"/>
    <w:rsid w:val="003D3533"/>
    <w:rsid w:val="003D415E"/>
    <w:rsid w:val="003D4194"/>
    <w:rsid w:val="003D43B8"/>
    <w:rsid w:val="003D5549"/>
    <w:rsid w:val="003D5B8A"/>
    <w:rsid w:val="003D5CAC"/>
    <w:rsid w:val="003D6310"/>
    <w:rsid w:val="003D6CAC"/>
    <w:rsid w:val="003D6FE1"/>
    <w:rsid w:val="003D7383"/>
    <w:rsid w:val="003D7489"/>
    <w:rsid w:val="003D7A6A"/>
    <w:rsid w:val="003E000E"/>
    <w:rsid w:val="003E009E"/>
    <w:rsid w:val="003E0ABC"/>
    <w:rsid w:val="003E20EB"/>
    <w:rsid w:val="003E26E6"/>
    <w:rsid w:val="003E2F13"/>
    <w:rsid w:val="003E31EE"/>
    <w:rsid w:val="003E364E"/>
    <w:rsid w:val="003E4D5A"/>
    <w:rsid w:val="003E58C2"/>
    <w:rsid w:val="003E5FCA"/>
    <w:rsid w:val="003E66A4"/>
    <w:rsid w:val="003E6AA1"/>
    <w:rsid w:val="003E6F99"/>
    <w:rsid w:val="003E77E9"/>
    <w:rsid w:val="003E798E"/>
    <w:rsid w:val="003F06E0"/>
    <w:rsid w:val="003F0C61"/>
    <w:rsid w:val="003F0D90"/>
    <w:rsid w:val="003F0E51"/>
    <w:rsid w:val="003F2708"/>
    <w:rsid w:val="003F2DBB"/>
    <w:rsid w:val="003F2F7C"/>
    <w:rsid w:val="003F316F"/>
    <w:rsid w:val="003F48CD"/>
    <w:rsid w:val="003F5B6A"/>
    <w:rsid w:val="003F6A36"/>
    <w:rsid w:val="003F6CB2"/>
    <w:rsid w:val="003F6D65"/>
    <w:rsid w:val="003F7B2B"/>
    <w:rsid w:val="004002DD"/>
    <w:rsid w:val="00400D5E"/>
    <w:rsid w:val="00401ED1"/>
    <w:rsid w:val="004029F9"/>
    <w:rsid w:val="00403EED"/>
    <w:rsid w:val="0040494A"/>
    <w:rsid w:val="00404F74"/>
    <w:rsid w:val="00405277"/>
    <w:rsid w:val="004064E0"/>
    <w:rsid w:val="00406F61"/>
    <w:rsid w:val="00406FEF"/>
    <w:rsid w:val="004078B5"/>
    <w:rsid w:val="0041045D"/>
    <w:rsid w:val="004105DF"/>
    <w:rsid w:val="00410935"/>
    <w:rsid w:val="00410D75"/>
    <w:rsid w:val="00411671"/>
    <w:rsid w:val="0041180B"/>
    <w:rsid w:val="00411AFD"/>
    <w:rsid w:val="0041212D"/>
    <w:rsid w:val="0041284E"/>
    <w:rsid w:val="00412889"/>
    <w:rsid w:val="00413464"/>
    <w:rsid w:val="00413826"/>
    <w:rsid w:val="00414A8A"/>
    <w:rsid w:val="004156B7"/>
    <w:rsid w:val="00416D06"/>
    <w:rsid w:val="00417266"/>
    <w:rsid w:val="004175BE"/>
    <w:rsid w:val="00417D4C"/>
    <w:rsid w:val="00420371"/>
    <w:rsid w:val="004204DC"/>
    <w:rsid w:val="004206BA"/>
    <w:rsid w:val="0042090E"/>
    <w:rsid w:val="0042091E"/>
    <w:rsid w:val="00420DB1"/>
    <w:rsid w:val="00421D2C"/>
    <w:rsid w:val="0042232C"/>
    <w:rsid w:val="0042545B"/>
    <w:rsid w:val="00425E72"/>
    <w:rsid w:val="00425E85"/>
    <w:rsid w:val="00426862"/>
    <w:rsid w:val="00426CE7"/>
    <w:rsid w:val="00426D50"/>
    <w:rsid w:val="004276E0"/>
    <w:rsid w:val="00427A72"/>
    <w:rsid w:val="00427D9F"/>
    <w:rsid w:val="00430136"/>
    <w:rsid w:val="00430277"/>
    <w:rsid w:val="00431CAE"/>
    <w:rsid w:val="00432A56"/>
    <w:rsid w:val="00434C19"/>
    <w:rsid w:val="0043603B"/>
    <w:rsid w:val="00436048"/>
    <w:rsid w:val="0043662F"/>
    <w:rsid w:val="00436B23"/>
    <w:rsid w:val="00436B37"/>
    <w:rsid w:val="0043791D"/>
    <w:rsid w:val="00437CB8"/>
    <w:rsid w:val="00437D9B"/>
    <w:rsid w:val="00440C19"/>
    <w:rsid w:val="004413C7"/>
    <w:rsid w:val="004414E6"/>
    <w:rsid w:val="004424B2"/>
    <w:rsid w:val="004428A8"/>
    <w:rsid w:val="00442E2D"/>
    <w:rsid w:val="00443D1B"/>
    <w:rsid w:val="00444597"/>
    <w:rsid w:val="004453BB"/>
    <w:rsid w:val="00445522"/>
    <w:rsid w:val="0044619B"/>
    <w:rsid w:val="00446802"/>
    <w:rsid w:val="004470C5"/>
    <w:rsid w:val="004474BB"/>
    <w:rsid w:val="004503E1"/>
    <w:rsid w:val="00451A68"/>
    <w:rsid w:val="00451AA2"/>
    <w:rsid w:val="00451E5C"/>
    <w:rsid w:val="0045209D"/>
    <w:rsid w:val="00452950"/>
    <w:rsid w:val="00453265"/>
    <w:rsid w:val="00453750"/>
    <w:rsid w:val="004537EC"/>
    <w:rsid w:val="00453CEB"/>
    <w:rsid w:val="004547C8"/>
    <w:rsid w:val="0045495E"/>
    <w:rsid w:val="00455BC0"/>
    <w:rsid w:val="00455C7E"/>
    <w:rsid w:val="00456A60"/>
    <w:rsid w:val="00456AD9"/>
    <w:rsid w:val="00456F88"/>
    <w:rsid w:val="00460179"/>
    <w:rsid w:val="00460B1C"/>
    <w:rsid w:val="00462348"/>
    <w:rsid w:val="00463683"/>
    <w:rsid w:val="00464D56"/>
    <w:rsid w:val="00464DF0"/>
    <w:rsid w:val="00465562"/>
    <w:rsid w:val="00465DDF"/>
    <w:rsid w:val="004661DB"/>
    <w:rsid w:val="00466B28"/>
    <w:rsid w:val="00467D5E"/>
    <w:rsid w:val="0047012B"/>
    <w:rsid w:val="004705A4"/>
    <w:rsid w:val="00471164"/>
    <w:rsid w:val="00471E18"/>
    <w:rsid w:val="00471FC6"/>
    <w:rsid w:val="004736FF"/>
    <w:rsid w:val="004743DF"/>
    <w:rsid w:val="00474EE3"/>
    <w:rsid w:val="00474EFE"/>
    <w:rsid w:val="0047620F"/>
    <w:rsid w:val="00476508"/>
    <w:rsid w:val="004767BA"/>
    <w:rsid w:val="004779AA"/>
    <w:rsid w:val="00477F44"/>
    <w:rsid w:val="00480011"/>
    <w:rsid w:val="00480107"/>
    <w:rsid w:val="004809CB"/>
    <w:rsid w:val="00482259"/>
    <w:rsid w:val="00482559"/>
    <w:rsid w:val="0048280E"/>
    <w:rsid w:val="00482C33"/>
    <w:rsid w:val="004830BE"/>
    <w:rsid w:val="004833CE"/>
    <w:rsid w:val="004836A0"/>
    <w:rsid w:val="004845B2"/>
    <w:rsid w:val="0048469E"/>
    <w:rsid w:val="00484FBA"/>
    <w:rsid w:val="00485309"/>
    <w:rsid w:val="00485787"/>
    <w:rsid w:val="00486172"/>
    <w:rsid w:val="004865D8"/>
    <w:rsid w:val="004875EB"/>
    <w:rsid w:val="0049015A"/>
    <w:rsid w:val="004902C9"/>
    <w:rsid w:val="00491199"/>
    <w:rsid w:val="004919A3"/>
    <w:rsid w:val="00491D1E"/>
    <w:rsid w:val="00492D47"/>
    <w:rsid w:val="004930AA"/>
    <w:rsid w:val="004939B6"/>
    <w:rsid w:val="00493AE1"/>
    <w:rsid w:val="00493CBE"/>
    <w:rsid w:val="00494C49"/>
    <w:rsid w:val="00495214"/>
    <w:rsid w:val="004955D7"/>
    <w:rsid w:val="004965B9"/>
    <w:rsid w:val="00497103"/>
    <w:rsid w:val="004976B0"/>
    <w:rsid w:val="00497FC9"/>
    <w:rsid w:val="004A0385"/>
    <w:rsid w:val="004A07F3"/>
    <w:rsid w:val="004A0E02"/>
    <w:rsid w:val="004A0E75"/>
    <w:rsid w:val="004A10D0"/>
    <w:rsid w:val="004A144B"/>
    <w:rsid w:val="004A1FF4"/>
    <w:rsid w:val="004A30DB"/>
    <w:rsid w:val="004A3415"/>
    <w:rsid w:val="004A3A1C"/>
    <w:rsid w:val="004A5AE0"/>
    <w:rsid w:val="004A5FCA"/>
    <w:rsid w:val="004A6B9E"/>
    <w:rsid w:val="004A6C9C"/>
    <w:rsid w:val="004A6CC0"/>
    <w:rsid w:val="004A6FE6"/>
    <w:rsid w:val="004A77C4"/>
    <w:rsid w:val="004A7ABE"/>
    <w:rsid w:val="004B09A3"/>
    <w:rsid w:val="004B117A"/>
    <w:rsid w:val="004B18AE"/>
    <w:rsid w:val="004B21B0"/>
    <w:rsid w:val="004B2891"/>
    <w:rsid w:val="004B2D77"/>
    <w:rsid w:val="004B3850"/>
    <w:rsid w:val="004B4756"/>
    <w:rsid w:val="004B6164"/>
    <w:rsid w:val="004B7C1A"/>
    <w:rsid w:val="004C056A"/>
    <w:rsid w:val="004C0FFF"/>
    <w:rsid w:val="004C1BDC"/>
    <w:rsid w:val="004C2149"/>
    <w:rsid w:val="004C2531"/>
    <w:rsid w:val="004C2B02"/>
    <w:rsid w:val="004C3342"/>
    <w:rsid w:val="004C4396"/>
    <w:rsid w:val="004C4F65"/>
    <w:rsid w:val="004C6628"/>
    <w:rsid w:val="004C7A8F"/>
    <w:rsid w:val="004C7D9F"/>
    <w:rsid w:val="004D16BE"/>
    <w:rsid w:val="004D1983"/>
    <w:rsid w:val="004D1D1F"/>
    <w:rsid w:val="004D2576"/>
    <w:rsid w:val="004D2869"/>
    <w:rsid w:val="004D2D0A"/>
    <w:rsid w:val="004D2E6E"/>
    <w:rsid w:val="004D3387"/>
    <w:rsid w:val="004D38B0"/>
    <w:rsid w:val="004D3AAD"/>
    <w:rsid w:val="004D4C8A"/>
    <w:rsid w:val="004D5AD1"/>
    <w:rsid w:val="004D708B"/>
    <w:rsid w:val="004D7A95"/>
    <w:rsid w:val="004E0BE3"/>
    <w:rsid w:val="004E0E03"/>
    <w:rsid w:val="004E0F37"/>
    <w:rsid w:val="004E13FA"/>
    <w:rsid w:val="004E1AA9"/>
    <w:rsid w:val="004E1D0E"/>
    <w:rsid w:val="004E1DB7"/>
    <w:rsid w:val="004E1FE7"/>
    <w:rsid w:val="004E221D"/>
    <w:rsid w:val="004E229B"/>
    <w:rsid w:val="004E3112"/>
    <w:rsid w:val="004E5265"/>
    <w:rsid w:val="004E629D"/>
    <w:rsid w:val="004E6717"/>
    <w:rsid w:val="004E6D72"/>
    <w:rsid w:val="004E7219"/>
    <w:rsid w:val="004E7332"/>
    <w:rsid w:val="004E776C"/>
    <w:rsid w:val="004F01B0"/>
    <w:rsid w:val="004F17D6"/>
    <w:rsid w:val="004F19E2"/>
    <w:rsid w:val="004F1D1F"/>
    <w:rsid w:val="004F24FD"/>
    <w:rsid w:val="004F30E8"/>
    <w:rsid w:val="004F431D"/>
    <w:rsid w:val="004F43AB"/>
    <w:rsid w:val="004F4F1F"/>
    <w:rsid w:val="004F4F7A"/>
    <w:rsid w:val="004F4F85"/>
    <w:rsid w:val="004F539A"/>
    <w:rsid w:val="004F5B56"/>
    <w:rsid w:val="004F679D"/>
    <w:rsid w:val="0050010C"/>
    <w:rsid w:val="005001D1"/>
    <w:rsid w:val="005001D8"/>
    <w:rsid w:val="005006C5"/>
    <w:rsid w:val="005011A2"/>
    <w:rsid w:val="00501D89"/>
    <w:rsid w:val="0050204B"/>
    <w:rsid w:val="00502507"/>
    <w:rsid w:val="00502920"/>
    <w:rsid w:val="00502A0F"/>
    <w:rsid w:val="00503072"/>
    <w:rsid w:val="0050313A"/>
    <w:rsid w:val="005031BB"/>
    <w:rsid w:val="00503380"/>
    <w:rsid w:val="00503B67"/>
    <w:rsid w:val="00503E67"/>
    <w:rsid w:val="00503F81"/>
    <w:rsid w:val="005048AA"/>
    <w:rsid w:val="005048E9"/>
    <w:rsid w:val="00504A34"/>
    <w:rsid w:val="00505366"/>
    <w:rsid w:val="00510184"/>
    <w:rsid w:val="00510973"/>
    <w:rsid w:val="00510A83"/>
    <w:rsid w:val="00510D89"/>
    <w:rsid w:val="00511F6D"/>
    <w:rsid w:val="005130A4"/>
    <w:rsid w:val="0051326F"/>
    <w:rsid w:val="00513F33"/>
    <w:rsid w:val="005147FC"/>
    <w:rsid w:val="00514DD2"/>
    <w:rsid w:val="005158BE"/>
    <w:rsid w:val="00515C82"/>
    <w:rsid w:val="00516835"/>
    <w:rsid w:val="00516FB8"/>
    <w:rsid w:val="00517613"/>
    <w:rsid w:val="00520C3B"/>
    <w:rsid w:val="00520C4B"/>
    <w:rsid w:val="0052156D"/>
    <w:rsid w:val="00521A4E"/>
    <w:rsid w:val="00522475"/>
    <w:rsid w:val="005227A0"/>
    <w:rsid w:val="0052289F"/>
    <w:rsid w:val="00522FC1"/>
    <w:rsid w:val="005232B5"/>
    <w:rsid w:val="005239EA"/>
    <w:rsid w:val="005254F8"/>
    <w:rsid w:val="005259CE"/>
    <w:rsid w:val="00526053"/>
    <w:rsid w:val="005265D4"/>
    <w:rsid w:val="00526812"/>
    <w:rsid w:val="0052721A"/>
    <w:rsid w:val="00527B92"/>
    <w:rsid w:val="00527F31"/>
    <w:rsid w:val="00530147"/>
    <w:rsid w:val="0053022D"/>
    <w:rsid w:val="005315AB"/>
    <w:rsid w:val="005325F3"/>
    <w:rsid w:val="005326D9"/>
    <w:rsid w:val="00533572"/>
    <w:rsid w:val="00534021"/>
    <w:rsid w:val="005342AA"/>
    <w:rsid w:val="00534623"/>
    <w:rsid w:val="005346A1"/>
    <w:rsid w:val="005352B7"/>
    <w:rsid w:val="00535691"/>
    <w:rsid w:val="00535D72"/>
    <w:rsid w:val="00536216"/>
    <w:rsid w:val="005369F8"/>
    <w:rsid w:val="00536D35"/>
    <w:rsid w:val="005373BF"/>
    <w:rsid w:val="005379CF"/>
    <w:rsid w:val="00537EE4"/>
    <w:rsid w:val="0054001C"/>
    <w:rsid w:val="005402FF"/>
    <w:rsid w:val="005408D0"/>
    <w:rsid w:val="00540A49"/>
    <w:rsid w:val="00540FF0"/>
    <w:rsid w:val="005413A3"/>
    <w:rsid w:val="00541A40"/>
    <w:rsid w:val="00542C8D"/>
    <w:rsid w:val="00542CDA"/>
    <w:rsid w:val="00542EA3"/>
    <w:rsid w:val="00543699"/>
    <w:rsid w:val="00543A22"/>
    <w:rsid w:val="0054509A"/>
    <w:rsid w:val="00545927"/>
    <w:rsid w:val="00546559"/>
    <w:rsid w:val="005474F6"/>
    <w:rsid w:val="00547C0F"/>
    <w:rsid w:val="00550BA0"/>
    <w:rsid w:val="00550E94"/>
    <w:rsid w:val="00551B42"/>
    <w:rsid w:val="00551DB7"/>
    <w:rsid w:val="00553469"/>
    <w:rsid w:val="00554AAD"/>
    <w:rsid w:val="005554C5"/>
    <w:rsid w:val="005556CA"/>
    <w:rsid w:val="005559D1"/>
    <w:rsid w:val="00555D63"/>
    <w:rsid w:val="00556192"/>
    <w:rsid w:val="005565B2"/>
    <w:rsid w:val="00556E6F"/>
    <w:rsid w:val="00556F6F"/>
    <w:rsid w:val="00557296"/>
    <w:rsid w:val="00557A6C"/>
    <w:rsid w:val="005608B2"/>
    <w:rsid w:val="0056099A"/>
    <w:rsid w:val="00560A43"/>
    <w:rsid w:val="00561000"/>
    <w:rsid w:val="00561471"/>
    <w:rsid w:val="00562100"/>
    <w:rsid w:val="00563749"/>
    <w:rsid w:val="00563C85"/>
    <w:rsid w:val="00563DDB"/>
    <w:rsid w:val="00564813"/>
    <w:rsid w:val="0056546C"/>
    <w:rsid w:val="0056563A"/>
    <w:rsid w:val="00565966"/>
    <w:rsid w:val="00565BD3"/>
    <w:rsid w:val="00566629"/>
    <w:rsid w:val="00567686"/>
    <w:rsid w:val="005676DC"/>
    <w:rsid w:val="005702C5"/>
    <w:rsid w:val="00570FF1"/>
    <w:rsid w:val="005715C9"/>
    <w:rsid w:val="00571D67"/>
    <w:rsid w:val="00572E40"/>
    <w:rsid w:val="00573801"/>
    <w:rsid w:val="00574579"/>
    <w:rsid w:val="00574593"/>
    <w:rsid w:val="00574757"/>
    <w:rsid w:val="0057527E"/>
    <w:rsid w:val="00575A1D"/>
    <w:rsid w:val="00575A7F"/>
    <w:rsid w:val="005764A9"/>
    <w:rsid w:val="00576529"/>
    <w:rsid w:val="00576867"/>
    <w:rsid w:val="00576D2C"/>
    <w:rsid w:val="00576EFD"/>
    <w:rsid w:val="00577BC4"/>
    <w:rsid w:val="00580508"/>
    <w:rsid w:val="00580C5C"/>
    <w:rsid w:val="00580DA8"/>
    <w:rsid w:val="00580F79"/>
    <w:rsid w:val="0058142E"/>
    <w:rsid w:val="00583B95"/>
    <w:rsid w:val="005850FD"/>
    <w:rsid w:val="0058597D"/>
    <w:rsid w:val="00585BB5"/>
    <w:rsid w:val="00585F34"/>
    <w:rsid w:val="00587DC2"/>
    <w:rsid w:val="005906E5"/>
    <w:rsid w:val="00590AE1"/>
    <w:rsid w:val="00590EBE"/>
    <w:rsid w:val="0059185F"/>
    <w:rsid w:val="00592EBE"/>
    <w:rsid w:val="00593050"/>
    <w:rsid w:val="0059393A"/>
    <w:rsid w:val="005950C8"/>
    <w:rsid w:val="0059531A"/>
    <w:rsid w:val="0059595B"/>
    <w:rsid w:val="00595A3D"/>
    <w:rsid w:val="00595D44"/>
    <w:rsid w:val="0059614A"/>
    <w:rsid w:val="005963B4"/>
    <w:rsid w:val="005977BF"/>
    <w:rsid w:val="0059796B"/>
    <w:rsid w:val="005A021D"/>
    <w:rsid w:val="005A0CEA"/>
    <w:rsid w:val="005A1450"/>
    <w:rsid w:val="005A1852"/>
    <w:rsid w:val="005A190A"/>
    <w:rsid w:val="005A1A1B"/>
    <w:rsid w:val="005A20C9"/>
    <w:rsid w:val="005A2216"/>
    <w:rsid w:val="005A24B5"/>
    <w:rsid w:val="005A2CFC"/>
    <w:rsid w:val="005A40BA"/>
    <w:rsid w:val="005A504A"/>
    <w:rsid w:val="005A57D6"/>
    <w:rsid w:val="005A5A70"/>
    <w:rsid w:val="005A7389"/>
    <w:rsid w:val="005A78EE"/>
    <w:rsid w:val="005A7CA2"/>
    <w:rsid w:val="005B02F2"/>
    <w:rsid w:val="005B1071"/>
    <w:rsid w:val="005B1790"/>
    <w:rsid w:val="005B1F44"/>
    <w:rsid w:val="005B20D0"/>
    <w:rsid w:val="005B3945"/>
    <w:rsid w:val="005B4811"/>
    <w:rsid w:val="005B4C75"/>
    <w:rsid w:val="005B529D"/>
    <w:rsid w:val="005B53E0"/>
    <w:rsid w:val="005B5853"/>
    <w:rsid w:val="005B5E6C"/>
    <w:rsid w:val="005B63E4"/>
    <w:rsid w:val="005B6AB5"/>
    <w:rsid w:val="005B6CCC"/>
    <w:rsid w:val="005B71CE"/>
    <w:rsid w:val="005B757C"/>
    <w:rsid w:val="005B78A1"/>
    <w:rsid w:val="005C05FF"/>
    <w:rsid w:val="005C14A0"/>
    <w:rsid w:val="005C198B"/>
    <w:rsid w:val="005C23D7"/>
    <w:rsid w:val="005C2859"/>
    <w:rsid w:val="005C438E"/>
    <w:rsid w:val="005C43F3"/>
    <w:rsid w:val="005C552D"/>
    <w:rsid w:val="005C5648"/>
    <w:rsid w:val="005C608E"/>
    <w:rsid w:val="005C62D9"/>
    <w:rsid w:val="005D00DB"/>
    <w:rsid w:val="005D07D2"/>
    <w:rsid w:val="005D0F46"/>
    <w:rsid w:val="005D14F8"/>
    <w:rsid w:val="005D1BB8"/>
    <w:rsid w:val="005D25B7"/>
    <w:rsid w:val="005D293C"/>
    <w:rsid w:val="005D30B8"/>
    <w:rsid w:val="005D48FE"/>
    <w:rsid w:val="005D5DA2"/>
    <w:rsid w:val="005D5EAC"/>
    <w:rsid w:val="005D66B0"/>
    <w:rsid w:val="005D6BA1"/>
    <w:rsid w:val="005D6C63"/>
    <w:rsid w:val="005D7598"/>
    <w:rsid w:val="005E009F"/>
    <w:rsid w:val="005E1528"/>
    <w:rsid w:val="005E2189"/>
    <w:rsid w:val="005E25F7"/>
    <w:rsid w:val="005E2A5A"/>
    <w:rsid w:val="005E2C15"/>
    <w:rsid w:val="005E3DDA"/>
    <w:rsid w:val="005E4642"/>
    <w:rsid w:val="005E46DC"/>
    <w:rsid w:val="005E4A51"/>
    <w:rsid w:val="005E4C95"/>
    <w:rsid w:val="005E58A5"/>
    <w:rsid w:val="005E5E61"/>
    <w:rsid w:val="005F00DC"/>
    <w:rsid w:val="005F038B"/>
    <w:rsid w:val="005F0B3C"/>
    <w:rsid w:val="005F0E3E"/>
    <w:rsid w:val="005F1D95"/>
    <w:rsid w:val="005F2129"/>
    <w:rsid w:val="005F27EF"/>
    <w:rsid w:val="005F3AEF"/>
    <w:rsid w:val="005F492A"/>
    <w:rsid w:val="005F49D2"/>
    <w:rsid w:val="005F4CED"/>
    <w:rsid w:val="005F5352"/>
    <w:rsid w:val="005F5527"/>
    <w:rsid w:val="005F6F91"/>
    <w:rsid w:val="005F7321"/>
    <w:rsid w:val="00600F74"/>
    <w:rsid w:val="00603ABE"/>
    <w:rsid w:val="00603F19"/>
    <w:rsid w:val="00604D69"/>
    <w:rsid w:val="006052E4"/>
    <w:rsid w:val="00605442"/>
    <w:rsid w:val="00607532"/>
    <w:rsid w:val="00607C9B"/>
    <w:rsid w:val="006104FE"/>
    <w:rsid w:val="00610930"/>
    <w:rsid w:val="00610B37"/>
    <w:rsid w:val="00611216"/>
    <w:rsid w:val="006122B0"/>
    <w:rsid w:val="006125B0"/>
    <w:rsid w:val="00612FC6"/>
    <w:rsid w:val="00613D28"/>
    <w:rsid w:val="0061404F"/>
    <w:rsid w:val="0061424C"/>
    <w:rsid w:val="00614C2C"/>
    <w:rsid w:val="00614E96"/>
    <w:rsid w:val="00614EA9"/>
    <w:rsid w:val="00615EA0"/>
    <w:rsid w:val="00615F30"/>
    <w:rsid w:val="00616E27"/>
    <w:rsid w:val="00617088"/>
    <w:rsid w:val="00617831"/>
    <w:rsid w:val="0062007E"/>
    <w:rsid w:val="00620205"/>
    <w:rsid w:val="006202CC"/>
    <w:rsid w:val="00620470"/>
    <w:rsid w:val="00620736"/>
    <w:rsid w:val="006208A4"/>
    <w:rsid w:val="00621EF4"/>
    <w:rsid w:val="00622128"/>
    <w:rsid w:val="006241BE"/>
    <w:rsid w:val="00625009"/>
    <w:rsid w:val="00625759"/>
    <w:rsid w:val="00625B32"/>
    <w:rsid w:val="00625B8F"/>
    <w:rsid w:val="006278CC"/>
    <w:rsid w:val="0063189C"/>
    <w:rsid w:val="00632878"/>
    <w:rsid w:val="00632C05"/>
    <w:rsid w:val="00633595"/>
    <w:rsid w:val="00634521"/>
    <w:rsid w:val="0063468C"/>
    <w:rsid w:val="00634DAD"/>
    <w:rsid w:val="006358A5"/>
    <w:rsid w:val="006359D0"/>
    <w:rsid w:val="00635B2E"/>
    <w:rsid w:val="006364F7"/>
    <w:rsid w:val="00636EAC"/>
    <w:rsid w:val="0063728E"/>
    <w:rsid w:val="006372F2"/>
    <w:rsid w:val="0063730B"/>
    <w:rsid w:val="006373B0"/>
    <w:rsid w:val="00637810"/>
    <w:rsid w:val="00637918"/>
    <w:rsid w:val="0063799F"/>
    <w:rsid w:val="00637E30"/>
    <w:rsid w:val="00640391"/>
    <w:rsid w:val="0064090C"/>
    <w:rsid w:val="00640A83"/>
    <w:rsid w:val="00642D42"/>
    <w:rsid w:val="00642E0E"/>
    <w:rsid w:val="00643044"/>
    <w:rsid w:val="006430ED"/>
    <w:rsid w:val="006434BE"/>
    <w:rsid w:val="00643B35"/>
    <w:rsid w:val="00644879"/>
    <w:rsid w:val="006454AC"/>
    <w:rsid w:val="006457EB"/>
    <w:rsid w:val="00646222"/>
    <w:rsid w:val="0064663D"/>
    <w:rsid w:val="006479B4"/>
    <w:rsid w:val="00650191"/>
    <w:rsid w:val="00650351"/>
    <w:rsid w:val="006505DC"/>
    <w:rsid w:val="00650BE0"/>
    <w:rsid w:val="006514C8"/>
    <w:rsid w:val="00651605"/>
    <w:rsid w:val="006516A6"/>
    <w:rsid w:val="00651A21"/>
    <w:rsid w:val="00651FD1"/>
    <w:rsid w:val="006531CB"/>
    <w:rsid w:val="00653453"/>
    <w:rsid w:val="00653E4D"/>
    <w:rsid w:val="00653F03"/>
    <w:rsid w:val="006541A6"/>
    <w:rsid w:val="00654347"/>
    <w:rsid w:val="00654926"/>
    <w:rsid w:val="00654C6A"/>
    <w:rsid w:val="00655B41"/>
    <w:rsid w:val="00656821"/>
    <w:rsid w:val="006569B1"/>
    <w:rsid w:val="006572F6"/>
    <w:rsid w:val="00657BBC"/>
    <w:rsid w:val="006600F5"/>
    <w:rsid w:val="0066027D"/>
    <w:rsid w:val="00660609"/>
    <w:rsid w:val="006609B1"/>
    <w:rsid w:val="0066318C"/>
    <w:rsid w:val="00663AAC"/>
    <w:rsid w:val="00664533"/>
    <w:rsid w:val="0066498E"/>
    <w:rsid w:val="00665B84"/>
    <w:rsid w:val="006662AD"/>
    <w:rsid w:val="006668CA"/>
    <w:rsid w:val="0066760C"/>
    <w:rsid w:val="00667ABB"/>
    <w:rsid w:val="006708C9"/>
    <w:rsid w:val="00670B88"/>
    <w:rsid w:val="00670E84"/>
    <w:rsid w:val="00671202"/>
    <w:rsid w:val="0067240D"/>
    <w:rsid w:val="006726E0"/>
    <w:rsid w:val="00674A96"/>
    <w:rsid w:val="006750F1"/>
    <w:rsid w:val="00675A81"/>
    <w:rsid w:val="0067643D"/>
    <w:rsid w:val="0067675D"/>
    <w:rsid w:val="00677A1C"/>
    <w:rsid w:val="00677C73"/>
    <w:rsid w:val="00677F7C"/>
    <w:rsid w:val="0068074C"/>
    <w:rsid w:val="006834E5"/>
    <w:rsid w:val="00683815"/>
    <w:rsid w:val="00683A28"/>
    <w:rsid w:val="00684959"/>
    <w:rsid w:val="00684DEA"/>
    <w:rsid w:val="006854F2"/>
    <w:rsid w:val="0068565C"/>
    <w:rsid w:val="0068620A"/>
    <w:rsid w:val="006862BE"/>
    <w:rsid w:val="0068667B"/>
    <w:rsid w:val="00686E12"/>
    <w:rsid w:val="00690E56"/>
    <w:rsid w:val="00691B4D"/>
    <w:rsid w:val="0069249C"/>
    <w:rsid w:val="00692613"/>
    <w:rsid w:val="0069335D"/>
    <w:rsid w:val="00694C3C"/>
    <w:rsid w:val="00695495"/>
    <w:rsid w:val="00697E8B"/>
    <w:rsid w:val="006A040F"/>
    <w:rsid w:val="006A1039"/>
    <w:rsid w:val="006A21AF"/>
    <w:rsid w:val="006A2D1D"/>
    <w:rsid w:val="006A49AE"/>
    <w:rsid w:val="006A4C49"/>
    <w:rsid w:val="006A5A4C"/>
    <w:rsid w:val="006A6846"/>
    <w:rsid w:val="006A7121"/>
    <w:rsid w:val="006A75AC"/>
    <w:rsid w:val="006A7897"/>
    <w:rsid w:val="006A7F23"/>
    <w:rsid w:val="006B056A"/>
    <w:rsid w:val="006B0630"/>
    <w:rsid w:val="006B0FA2"/>
    <w:rsid w:val="006B1475"/>
    <w:rsid w:val="006B1754"/>
    <w:rsid w:val="006B1A63"/>
    <w:rsid w:val="006B2A03"/>
    <w:rsid w:val="006B2ABD"/>
    <w:rsid w:val="006B2E94"/>
    <w:rsid w:val="006B3858"/>
    <w:rsid w:val="006B5363"/>
    <w:rsid w:val="006B56D9"/>
    <w:rsid w:val="006B657B"/>
    <w:rsid w:val="006B709C"/>
    <w:rsid w:val="006C01B3"/>
    <w:rsid w:val="006C0671"/>
    <w:rsid w:val="006C150F"/>
    <w:rsid w:val="006C1ABF"/>
    <w:rsid w:val="006C1BD3"/>
    <w:rsid w:val="006C1C44"/>
    <w:rsid w:val="006C1C92"/>
    <w:rsid w:val="006C1D80"/>
    <w:rsid w:val="006C34ED"/>
    <w:rsid w:val="006C3B12"/>
    <w:rsid w:val="006C3D2D"/>
    <w:rsid w:val="006C4023"/>
    <w:rsid w:val="006C4287"/>
    <w:rsid w:val="006C431D"/>
    <w:rsid w:val="006C4D54"/>
    <w:rsid w:val="006C58DF"/>
    <w:rsid w:val="006C6452"/>
    <w:rsid w:val="006C7199"/>
    <w:rsid w:val="006C7422"/>
    <w:rsid w:val="006D0087"/>
    <w:rsid w:val="006D04D2"/>
    <w:rsid w:val="006D167F"/>
    <w:rsid w:val="006D176D"/>
    <w:rsid w:val="006D280F"/>
    <w:rsid w:val="006D383A"/>
    <w:rsid w:val="006D4161"/>
    <w:rsid w:val="006D5CCE"/>
    <w:rsid w:val="006D60EF"/>
    <w:rsid w:val="006D6131"/>
    <w:rsid w:val="006D66B2"/>
    <w:rsid w:val="006D6CC0"/>
    <w:rsid w:val="006D6DC4"/>
    <w:rsid w:val="006D76F3"/>
    <w:rsid w:val="006D786C"/>
    <w:rsid w:val="006D795F"/>
    <w:rsid w:val="006D79E4"/>
    <w:rsid w:val="006D7BA7"/>
    <w:rsid w:val="006E07AA"/>
    <w:rsid w:val="006E123A"/>
    <w:rsid w:val="006E24C0"/>
    <w:rsid w:val="006E2C4B"/>
    <w:rsid w:val="006E36C3"/>
    <w:rsid w:val="006E3C03"/>
    <w:rsid w:val="006E42E4"/>
    <w:rsid w:val="006E4684"/>
    <w:rsid w:val="006E4ABF"/>
    <w:rsid w:val="006E52CE"/>
    <w:rsid w:val="006E57B4"/>
    <w:rsid w:val="006E585B"/>
    <w:rsid w:val="006E5FB1"/>
    <w:rsid w:val="006E6297"/>
    <w:rsid w:val="006E6560"/>
    <w:rsid w:val="006E663F"/>
    <w:rsid w:val="006E6CC2"/>
    <w:rsid w:val="006E6E66"/>
    <w:rsid w:val="006E787E"/>
    <w:rsid w:val="006F0215"/>
    <w:rsid w:val="006F0E03"/>
    <w:rsid w:val="006F10E1"/>
    <w:rsid w:val="006F11DD"/>
    <w:rsid w:val="006F161B"/>
    <w:rsid w:val="006F19AA"/>
    <w:rsid w:val="006F19AB"/>
    <w:rsid w:val="006F26FB"/>
    <w:rsid w:val="006F281D"/>
    <w:rsid w:val="006F285F"/>
    <w:rsid w:val="006F3142"/>
    <w:rsid w:val="006F347B"/>
    <w:rsid w:val="006F3536"/>
    <w:rsid w:val="006F3A6E"/>
    <w:rsid w:val="006F4A1E"/>
    <w:rsid w:val="006F713A"/>
    <w:rsid w:val="006F78A5"/>
    <w:rsid w:val="00700615"/>
    <w:rsid w:val="00701441"/>
    <w:rsid w:val="00701F32"/>
    <w:rsid w:val="007021CD"/>
    <w:rsid w:val="00702A1E"/>
    <w:rsid w:val="00702A70"/>
    <w:rsid w:val="00702E9B"/>
    <w:rsid w:val="0070320C"/>
    <w:rsid w:val="007033B5"/>
    <w:rsid w:val="00703907"/>
    <w:rsid w:val="00704670"/>
    <w:rsid w:val="00704E3E"/>
    <w:rsid w:val="00705DA7"/>
    <w:rsid w:val="00706400"/>
    <w:rsid w:val="00706474"/>
    <w:rsid w:val="0070704B"/>
    <w:rsid w:val="0070739B"/>
    <w:rsid w:val="00710AF8"/>
    <w:rsid w:val="00710BF9"/>
    <w:rsid w:val="00710F65"/>
    <w:rsid w:val="00712ACD"/>
    <w:rsid w:val="0071327A"/>
    <w:rsid w:val="00713714"/>
    <w:rsid w:val="0071397B"/>
    <w:rsid w:val="007139D1"/>
    <w:rsid w:val="00713E05"/>
    <w:rsid w:val="007149F9"/>
    <w:rsid w:val="00715002"/>
    <w:rsid w:val="007163C0"/>
    <w:rsid w:val="007202FA"/>
    <w:rsid w:val="0072039C"/>
    <w:rsid w:val="0072059F"/>
    <w:rsid w:val="00720648"/>
    <w:rsid w:val="00720B9C"/>
    <w:rsid w:val="00720C94"/>
    <w:rsid w:val="0072199D"/>
    <w:rsid w:val="0072219B"/>
    <w:rsid w:val="00722424"/>
    <w:rsid w:val="0072288D"/>
    <w:rsid w:val="00722DED"/>
    <w:rsid w:val="00723C1D"/>
    <w:rsid w:val="00723CC5"/>
    <w:rsid w:val="007244C8"/>
    <w:rsid w:val="00724A11"/>
    <w:rsid w:val="00725154"/>
    <w:rsid w:val="007264A6"/>
    <w:rsid w:val="00726680"/>
    <w:rsid w:val="00726C56"/>
    <w:rsid w:val="00727068"/>
    <w:rsid w:val="007270D6"/>
    <w:rsid w:val="00727786"/>
    <w:rsid w:val="007278B3"/>
    <w:rsid w:val="00727AE5"/>
    <w:rsid w:val="00727E46"/>
    <w:rsid w:val="00730041"/>
    <w:rsid w:val="0073024E"/>
    <w:rsid w:val="00730D60"/>
    <w:rsid w:val="00731EC4"/>
    <w:rsid w:val="00731FA8"/>
    <w:rsid w:val="0073212E"/>
    <w:rsid w:val="0073326F"/>
    <w:rsid w:val="0073378E"/>
    <w:rsid w:val="007343B1"/>
    <w:rsid w:val="00734516"/>
    <w:rsid w:val="00734D2F"/>
    <w:rsid w:val="00735043"/>
    <w:rsid w:val="00736983"/>
    <w:rsid w:val="00737520"/>
    <w:rsid w:val="007406F6"/>
    <w:rsid w:val="00740C3E"/>
    <w:rsid w:val="00740E0F"/>
    <w:rsid w:val="00742601"/>
    <w:rsid w:val="0074450C"/>
    <w:rsid w:val="00744632"/>
    <w:rsid w:val="00744A32"/>
    <w:rsid w:val="00744A94"/>
    <w:rsid w:val="007452B3"/>
    <w:rsid w:val="0074683C"/>
    <w:rsid w:val="00746F99"/>
    <w:rsid w:val="007474F0"/>
    <w:rsid w:val="00747AC3"/>
    <w:rsid w:val="00747B67"/>
    <w:rsid w:val="00750F58"/>
    <w:rsid w:val="007524DB"/>
    <w:rsid w:val="007526C7"/>
    <w:rsid w:val="00753115"/>
    <w:rsid w:val="007536B9"/>
    <w:rsid w:val="00753941"/>
    <w:rsid w:val="00753A65"/>
    <w:rsid w:val="00753ADE"/>
    <w:rsid w:val="00756E3A"/>
    <w:rsid w:val="0075719C"/>
    <w:rsid w:val="00757B56"/>
    <w:rsid w:val="00760B67"/>
    <w:rsid w:val="00760F3C"/>
    <w:rsid w:val="00761CE2"/>
    <w:rsid w:val="00761E1F"/>
    <w:rsid w:val="00761E43"/>
    <w:rsid w:val="00763CCF"/>
    <w:rsid w:val="00763E35"/>
    <w:rsid w:val="00764C13"/>
    <w:rsid w:val="007657FC"/>
    <w:rsid w:val="00766829"/>
    <w:rsid w:val="00766AEC"/>
    <w:rsid w:val="0077170D"/>
    <w:rsid w:val="00771F85"/>
    <w:rsid w:val="00772487"/>
    <w:rsid w:val="00772730"/>
    <w:rsid w:val="00773308"/>
    <w:rsid w:val="0077389E"/>
    <w:rsid w:val="00773F61"/>
    <w:rsid w:val="00774E68"/>
    <w:rsid w:val="0077505C"/>
    <w:rsid w:val="0077594D"/>
    <w:rsid w:val="007761EE"/>
    <w:rsid w:val="0077727E"/>
    <w:rsid w:val="00777388"/>
    <w:rsid w:val="00777DAD"/>
    <w:rsid w:val="00780097"/>
    <w:rsid w:val="007809A9"/>
    <w:rsid w:val="00780D40"/>
    <w:rsid w:val="00781F3B"/>
    <w:rsid w:val="00783850"/>
    <w:rsid w:val="00784D2F"/>
    <w:rsid w:val="00784F53"/>
    <w:rsid w:val="00786364"/>
    <w:rsid w:val="00787591"/>
    <w:rsid w:val="007877E8"/>
    <w:rsid w:val="00787AC0"/>
    <w:rsid w:val="00787EAD"/>
    <w:rsid w:val="00790BF1"/>
    <w:rsid w:val="00791581"/>
    <w:rsid w:val="00792B80"/>
    <w:rsid w:val="007938BB"/>
    <w:rsid w:val="00795121"/>
    <w:rsid w:val="00795C02"/>
    <w:rsid w:val="00795E68"/>
    <w:rsid w:val="00795F23"/>
    <w:rsid w:val="00796843"/>
    <w:rsid w:val="0079764A"/>
    <w:rsid w:val="007A0926"/>
    <w:rsid w:val="007A1E36"/>
    <w:rsid w:val="007A3DF5"/>
    <w:rsid w:val="007A3F08"/>
    <w:rsid w:val="007A4DFA"/>
    <w:rsid w:val="007A4EBD"/>
    <w:rsid w:val="007A521B"/>
    <w:rsid w:val="007A54C1"/>
    <w:rsid w:val="007A582C"/>
    <w:rsid w:val="007A711B"/>
    <w:rsid w:val="007A75A0"/>
    <w:rsid w:val="007A7E74"/>
    <w:rsid w:val="007A7F2A"/>
    <w:rsid w:val="007B0184"/>
    <w:rsid w:val="007B06A5"/>
    <w:rsid w:val="007B0A01"/>
    <w:rsid w:val="007B0C46"/>
    <w:rsid w:val="007B112B"/>
    <w:rsid w:val="007B566B"/>
    <w:rsid w:val="007B5B26"/>
    <w:rsid w:val="007B619F"/>
    <w:rsid w:val="007B6592"/>
    <w:rsid w:val="007B687A"/>
    <w:rsid w:val="007B691A"/>
    <w:rsid w:val="007B6D25"/>
    <w:rsid w:val="007B78B6"/>
    <w:rsid w:val="007C0288"/>
    <w:rsid w:val="007C0832"/>
    <w:rsid w:val="007C096F"/>
    <w:rsid w:val="007C1372"/>
    <w:rsid w:val="007C17FC"/>
    <w:rsid w:val="007C1C85"/>
    <w:rsid w:val="007C1FF6"/>
    <w:rsid w:val="007C2E02"/>
    <w:rsid w:val="007C2F86"/>
    <w:rsid w:val="007C4108"/>
    <w:rsid w:val="007C45FB"/>
    <w:rsid w:val="007C4A9A"/>
    <w:rsid w:val="007C553D"/>
    <w:rsid w:val="007C56CB"/>
    <w:rsid w:val="007C5CAC"/>
    <w:rsid w:val="007C7734"/>
    <w:rsid w:val="007D01B9"/>
    <w:rsid w:val="007D0632"/>
    <w:rsid w:val="007D0E2D"/>
    <w:rsid w:val="007D15AE"/>
    <w:rsid w:val="007D16B5"/>
    <w:rsid w:val="007D1D12"/>
    <w:rsid w:val="007D337B"/>
    <w:rsid w:val="007D4382"/>
    <w:rsid w:val="007D56D2"/>
    <w:rsid w:val="007D5C93"/>
    <w:rsid w:val="007D61B8"/>
    <w:rsid w:val="007D6945"/>
    <w:rsid w:val="007D6C89"/>
    <w:rsid w:val="007D6DE7"/>
    <w:rsid w:val="007D70B5"/>
    <w:rsid w:val="007D7181"/>
    <w:rsid w:val="007D72D2"/>
    <w:rsid w:val="007D760B"/>
    <w:rsid w:val="007D77AF"/>
    <w:rsid w:val="007D7EB3"/>
    <w:rsid w:val="007E01DB"/>
    <w:rsid w:val="007E10DE"/>
    <w:rsid w:val="007E36FC"/>
    <w:rsid w:val="007E3828"/>
    <w:rsid w:val="007E3B77"/>
    <w:rsid w:val="007E3C92"/>
    <w:rsid w:val="007E405F"/>
    <w:rsid w:val="007E4217"/>
    <w:rsid w:val="007E5629"/>
    <w:rsid w:val="007E5AD7"/>
    <w:rsid w:val="007E68C3"/>
    <w:rsid w:val="007E69A8"/>
    <w:rsid w:val="007E6E5C"/>
    <w:rsid w:val="007E750F"/>
    <w:rsid w:val="007E7D7C"/>
    <w:rsid w:val="007F02E3"/>
    <w:rsid w:val="007F1517"/>
    <w:rsid w:val="007F1621"/>
    <w:rsid w:val="007F1D4F"/>
    <w:rsid w:val="007F29A8"/>
    <w:rsid w:val="007F34DE"/>
    <w:rsid w:val="007F34EB"/>
    <w:rsid w:val="007F3B2C"/>
    <w:rsid w:val="007F42D5"/>
    <w:rsid w:val="007F4A1B"/>
    <w:rsid w:val="007F4AD9"/>
    <w:rsid w:val="007F53B3"/>
    <w:rsid w:val="007F572D"/>
    <w:rsid w:val="007F5D02"/>
    <w:rsid w:val="007F6056"/>
    <w:rsid w:val="007F7FF2"/>
    <w:rsid w:val="00800889"/>
    <w:rsid w:val="00800A64"/>
    <w:rsid w:val="0080175F"/>
    <w:rsid w:val="00802129"/>
    <w:rsid w:val="008022B2"/>
    <w:rsid w:val="008024D4"/>
    <w:rsid w:val="00802E55"/>
    <w:rsid w:val="00803CE5"/>
    <w:rsid w:val="00804642"/>
    <w:rsid w:val="008050AB"/>
    <w:rsid w:val="008059B4"/>
    <w:rsid w:val="00805B42"/>
    <w:rsid w:val="00805E4B"/>
    <w:rsid w:val="00806D63"/>
    <w:rsid w:val="00807409"/>
    <w:rsid w:val="0080798A"/>
    <w:rsid w:val="008102AD"/>
    <w:rsid w:val="0081167C"/>
    <w:rsid w:val="00811EF6"/>
    <w:rsid w:val="0081297F"/>
    <w:rsid w:val="008148B4"/>
    <w:rsid w:val="00815EB6"/>
    <w:rsid w:val="0081653B"/>
    <w:rsid w:val="008166A5"/>
    <w:rsid w:val="008168F8"/>
    <w:rsid w:val="00820393"/>
    <w:rsid w:val="008203CF"/>
    <w:rsid w:val="00820603"/>
    <w:rsid w:val="0082350D"/>
    <w:rsid w:val="00823E80"/>
    <w:rsid w:val="00824AA0"/>
    <w:rsid w:val="00825A1B"/>
    <w:rsid w:val="00825AAA"/>
    <w:rsid w:val="00831AF4"/>
    <w:rsid w:val="00831C86"/>
    <w:rsid w:val="008327D7"/>
    <w:rsid w:val="00832A1F"/>
    <w:rsid w:val="00833E19"/>
    <w:rsid w:val="00834535"/>
    <w:rsid w:val="00834E18"/>
    <w:rsid w:val="00834E9C"/>
    <w:rsid w:val="00835707"/>
    <w:rsid w:val="0083622F"/>
    <w:rsid w:val="00836462"/>
    <w:rsid w:val="008368AA"/>
    <w:rsid w:val="00837276"/>
    <w:rsid w:val="008372A9"/>
    <w:rsid w:val="008375AA"/>
    <w:rsid w:val="00837997"/>
    <w:rsid w:val="00842138"/>
    <w:rsid w:val="00842561"/>
    <w:rsid w:val="00842BBF"/>
    <w:rsid w:val="00842F70"/>
    <w:rsid w:val="00844CA1"/>
    <w:rsid w:val="0084533D"/>
    <w:rsid w:val="00845894"/>
    <w:rsid w:val="00845E79"/>
    <w:rsid w:val="00845E9A"/>
    <w:rsid w:val="0084668B"/>
    <w:rsid w:val="008474A5"/>
    <w:rsid w:val="008478AA"/>
    <w:rsid w:val="00847B0A"/>
    <w:rsid w:val="00847B8A"/>
    <w:rsid w:val="00847C79"/>
    <w:rsid w:val="00847D4E"/>
    <w:rsid w:val="00850080"/>
    <w:rsid w:val="00850599"/>
    <w:rsid w:val="00850910"/>
    <w:rsid w:val="00851076"/>
    <w:rsid w:val="008511EC"/>
    <w:rsid w:val="00851CD4"/>
    <w:rsid w:val="00851F71"/>
    <w:rsid w:val="00851FD3"/>
    <w:rsid w:val="00852213"/>
    <w:rsid w:val="0085238A"/>
    <w:rsid w:val="008524EB"/>
    <w:rsid w:val="00852890"/>
    <w:rsid w:val="0085318D"/>
    <w:rsid w:val="008565BC"/>
    <w:rsid w:val="00856648"/>
    <w:rsid w:val="00856A67"/>
    <w:rsid w:val="00856B71"/>
    <w:rsid w:val="00856C93"/>
    <w:rsid w:val="008573F9"/>
    <w:rsid w:val="00857D59"/>
    <w:rsid w:val="00861731"/>
    <w:rsid w:val="0086190F"/>
    <w:rsid w:val="00862862"/>
    <w:rsid w:val="00863B4F"/>
    <w:rsid w:val="00864147"/>
    <w:rsid w:val="008642D0"/>
    <w:rsid w:val="0086437F"/>
    <w:rsid w:val="0086613E"/>
    <w:rsid w:val="008676E6"/>
    <w:rsid w:val="00867ECB"/>
    <w:rsid w:val="00867FC5"/>
    <w:rsid w:val="008714DB"/>
    <w:rsid w:val="00871578"/>
    <w:rsid w:val="00871B57"/>
    <w:rsid w:val="00871BB6"/>
    <w:rsid w:val="00871E21"/>
    <w:rsid w:val="0087267C"/>
    <w:rsid w:val="008736E6"/>
    <w:rsid w:val="008747C9"/>
    <w:rsid w:val="00875402"/>
    <w:rsid w:val="00875449"/>
    <w:rsid w:val="00875858"/>
    <w:rsid w:val="00876359"/>
    <w:rsid w:val="00876705"/>
    <w:rsid w:val="00877544"/>
    <w:rsid w:val="00877E88"/>
    <w:rsid w:val="0088002F"/>
    <w:rsid w:val="008802A2"/>
    <w:rsid w:val="00881072"/>
    <w:rsid w:val="008816A3"/>
    <w:rsid w:val="008829F7"/>
    <w:rsid w:val="00882E18"/>
    <w:rsid w:val="00884B09"/>
    <w:rsid w:val="00885345"/>
    <w:rsid w:val="00885469"/>
    <w:rsid w:val="008862D8"/>
    <w:rsid w:val="008865D6"/>
    <w:rsid w:val="008866DF"/>
    <w:rsid w:val="00886AEF"/>
    <w:rsid w:val="00887178"/>
    <w:rsid w:val="00887446"/>
    <w:rsid w:val="0088747B"/>
    <w:rsid w:val="00887648"/>
    <w:rsid w:val="008879D3"/>
    <w:rsid w:val="00890168"/>
    <w:rsid w:val="00890A6C"/>
    <w:rsid w:val="00890D9C"/>
    <w:rsid w:val="00892310"/>
    <w:rsid w:val="00892F80"/>
    <w:rsid w:val="00893A03"/>
    <w:rsid w:val="00894610"/>
    <w:rsid w:val="00894E27"/>
    <w:rsid w:val="00895566"/>
    <w:rsid w:val="00895BAB"/>
    <w:rsid w:val="00895CB8"/>
    <w:rsid w:val="00895E96"/>
    <w:rsid w:val="0089661E"/>
    <w:rsid w:val="00896C38"/>
    <w:rsid w:val="00897D19"/>
    <w:rsid w:val="00897F55"/>
    <w:rsid w:val="008A056C"/>
    <w:rsid w:val="008A0C03"/>
    <w:rsid w:val="008A0D84"/>
    <w:rsid w:val="008A12D8"/>
    <w:rsid w:val="008A14DB"/>
    <w:rsid w:val="008A1A62"/>
    <w:rsid w:val="008A1D01"/>
    <w:rsid w:val="008A1DEE"/>
    <w:rsid w:val="008A1FFE"/>
    <w:rsid w:val="008A21D4"/>
    <w:rsid w:val="008A2836"/>
    <w:rsid w:val="008A2C51"/>
    <w:rsid w:val="008A342D"/>
    <w:rsid w:val="008A356D"/>
    <w:rsid w:val="008A45D1"/>
    <w:rsid w:val="008A4780"/>
    <w:rsid w:val="008A5963"/>
    <w:rsid w:val="008A5ABF"/>
    <w:rsid w:val="008A5FD4"/>
    <w:rsid w:val="008A774D"/>
    <w:rsid w:val="008A78F7"/>
    <w:rsid w:val="008B0887"/>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C07C7"/>
    <w:rsid w:val="008C0B8B"/>
    <w:rsid w:val="008C0E17"/>
    <w:rsid w:val="008C1006"/>
    <w:rsid w:val="008C2AB9"/>
    <w:rsid w:val="008C329B"/>
    <w:rsid w:val="008C3DBB"/>
    <w:rsid w:val="008C4092"/>
    <w:rsid w:val="008C5036"/>
    <w:rsid w:val="008C56FB"/>
    <w:rsid w:val="008C5D99"/>
    <w:rsid w:val="008C61AE"/>
    <w:rsid w:val="008C6863"/>
    <w:rsid w:val="008C6F75"/>
    <w:rsid w:val="008C7200"/>
    <w:rsid w:val="008C7627"/>
    <w:rsid w:val="008D0D42"/>
    <w:rsid w:val="008D111E"/>
    <w:rsid w:val="008D12BF"/>
    <w:rsid w:val="008D1B62"/>
    <w:rsid w:val="008D1B9E"/>
    <w:rsid w:val="008D1F9A"/>
    <w:rsid w:val="008D2082"/>
    <w:rsid w:val="008D2388"/>
    <w:rsid w:val="008D4146"/>
    <w:rsid w:val="008D42F6"/>
    <w:rsid w:val="008D5013"/>
    <w:rsid w:val="008D59E9"/>
    <w:rsid w:val="008D7367"/>
    <w:rsid w:val="008D7D2D"/>
    <w:rsid w:val="008E0F0B"/>
    <w:rsid w:val="008E1159"/>
    <w:rsid w:val="008E1580"/>
    <w:rsid w:val="008E1A9C"/>
    <w:rsid w:val="008E20F1"/>
    <w:rsid w:val="008E2F17"/>
    <w:rsid w:val="008E3175"/>
    <w:rsid w:val="008E32CE"/>
    <w:rsid w:val="008E372E"/>
    <w:rsid w:val="008E3CC4"/>
    <w:rsid w:val="008E4108"/>
    <w:rsid w:val="008E417F"/>
    <w:rsid w:val="008E4F24"/>
    <w:rsid w:val="008E5512"/>
    <w:rsid w:val="008E59C0"/>
    <w:rsid w:val="008E5F4E"/>
    <w:rsid w:val="008E6EF3"/>
    <w:rsid w:val="008E76F8"/>
    <w:rsid w:val="008F080D"/>
    <w:rsid w:val="008F08C3"/>
    <w:rsid w:val="008F1056"/>
    <w:rsid w:val="008F1589"/>
    <w:rsid w:val="008F1873"/>
    <w:rsid w:val="008F18E5"/>
    <w:rsid w:val="008F2E02"/>
    <w:rsid w:val="008F3327"/>
    <w:rsid w:val="008F3549"/>
    <w:rsid w:val="008F49E7"/>
    <w:rsid w:val="008F4A43"/>
    <w:rsid w:val="008F4BA0"/>
    <w:rsid w:val="008F4D58"/>
    <w:rsid w:val="008F5110"/>
    <w:rsid w:val="008F51FC"/>
    <w:rsid w:val="008F5B13"/>
    <w:rsid w:val="008F6006"/>
    <w:rsid w:val="008F62CE"/>
    <w:rsid w:val="008F71B1"/>
    <w:rsid w:val="008F71BC"/>
    <w:rsid w:val="008F7246"/>
    <w:rsid w:val="008F7DE6"/>
    <w:rsid w:val="009015B2"/>
    <w:rsid w:val="009022AF"/>
    <w:rsid w:val="009040D4"/>
    <w:rsid w:val="00904723"/>
    <w:rsid w:val="00905ACD"/>
    <w:rsid w:val="00906209"/>
    <w:rsid w:val="0090659B"/>
    <w:rsid w:val="0090660F"/>
    <w:rsid w:val="00906D38"/>
    <w:rsid w:val="00906E90"/>
    <w:rsid w:val="00906F53"/>
    <w:rsid w:val="00907652"/>
    <w:rsid w:val="0091051D"/>
    <w:rsid w:val="00910533"/>
    <w:rsid w:val="00910C50"/>
    <w:rsid w:val="009117BF"/>
    <w:rsid w:val="00912CB8"/>
    <w:rsid w:val="00913B73"/>
    <w:rsid w:val="00913C62"/>
    <w:rsid w:val="009143C1"/>
    <w:rsid w:val="009147BA"/>
    <w:rsid w:val="00914E96"/>
    <w:rsid w:val="0091566D"/>
    <w:rsid w:val="00916484"/>
    <w:rsid w:val="00916B7D"/>
    <w:rsid w:val="00916F2F"/>
    <w:rsid w:val="00917575"/>
    <w:rsid w:val="009176BF"/>
    <w:rsid w:val="00917ABD"/>
    <w:rsid w:val="00920136"/>
    <w:rsid w:val="009209E3"/>
    <w:rsid w:val="00921847"/>
    <w:rsid w:val="0092228B"/>
    <w:rsid w:val="009229FC"/>
    <w:rsid w:val="00923216"/>
    <w:rsid w:val="009234D0"/>
    <w:rsid w:val="00923A33"/>
    <w:rsid w:val="00923DB7"/>
    <w:rsid w:val="009261BF"/>
    <w:rsid w:val="009266A4"/>
    <w:rsid w:val="00926AD5"/>
    <w:rsid w:val="00926EC9"/>
    <w:rsid w:val="009272C6"/>
    <w:rsid w:val="0093107E"/>
    <w:rsid w:val="009313EE"/>
    <w:rsid w:val="00931A9D"/>
    <w:rsid w:val="00931E55"/>
    <w:rsid w:val="009336A3"/>
    <w:rsid w:val="00933910"/>
    <w:rsid w:val="00933A3E"/>
    <w:rsid w:val="00934D39"/>
    <w:rsid w:val="00934DEB"/>
    <w:rsid w:val="0093548A"/>
    <w:rsid w:val="00936381"/>
    <w:rsid w:val="00936F5C"/>
    <w:rsid w:val="00936F84"/>
    <w:rsid w:val="009376D7"/>
    <w:rsid w:val="00937A6E"/>
    <w:rsid w:val="00940851"/>
    <w:rsid w:val="00941194"/>
    <w:rsid w:val="0094160F"/>
    <w:rsid w:val="009422BC"/>
    <w:rsid w:val="0094287F"/>
    <w:rsid w:val="00942B51"/>
    <w:rsid w:val="009430E5"/>
    <w:rsid w:val="0094315F"/>
    <w:rsid w:val="009432CB"/>
    <w:rsid w:val="009436D4"/>
    <w:rsid w:val="00943AFE"/>
    <w:rsid w:val="00943DE3"/>
    <w:rsid w:val="00944192"/>
    <w:rsid w:val="0094678B"/>
    <w:rsid w:val="00946AB7"/>
    <w:rsid w:val="00946B07"/>
    <w:rsid w:val="0094754C"/>
    <w:rsid w:val="009505BB"/>
    <w:rsid w:val="009510AD"/>
    <w:rsid w:val="009513BE"/>
    <w:rsid w:val="00951DBF"/>
    <w:rsid w:val="00951EFA"/>
    <w:rsid w:val="00952259"/>
    <w:rsid w:val="0095242E"/>
    <w:rsid w:val="00953B97"/>
    <w:rsid w:val="00954408"/>
    <w:rsid w:val="00954FE1"/>
    <w:rsid w:val="0095542B"/>
    <w:rsid w:val="009556AE"/>
    <w:rsid w:val="00955DD9"/>
    <w:rsid w:val="009565BD"/>
    <w:rsid w:val="00956939"/>
    <w:rsid w:val="00956AAC"/>
    <w:rsid w:val="00956AB0"/>
    <w:rsid w:val="00961EF6"/>
    <w:rsid w:val="00962780"/>
    <w:rsid w:val="00962B87"/>
    <w:rsid w:val="00962FF1"/>
    <w:rsid w:val="009630CE"/>
    <w:rsid w:val="009641AD"/>
    <w:rsid w:val="009647A2"/>
    <w:rsid w:val="00965427"/>
    <w:rsid w:val="00965842"/>
    <w:rsid w:val="009679D9"/>
    <w:rsid w:val="009703F8"/>
    <w:rsid w:val="0097067B"/>
    <w:rsid w:val="009712AE"/>
    <w:rsid w:val="00971BE0"/>
    <w:rsid w:val="00971EFA"/>
    <w:rsid w:val="0097253D"/>
    <w:rsid w:val="009725A2"/>
    <w:rsid w:val="00972CE5"/>
    <w:rsid w:val="00973381"/>
    <w:rsid w:val="00974915"/>
    <w:rsid w:val="009752C7"/>
    <w:rsid w:val="009759F2"/>
    <w:rsid w:val="00976190"/>
    <w:rsid w:val="00976469"/>
    <w:rsid w:val="00976532"/>
    <w:rsid w:val="0097654B"/>
    <w:rsid w:val="00976A43"/>
    <w:rsid w:val="009770B8"/>
    <w:rsid w:val="00977C6D"/>
    <w:rsid w:val="00977F17"/>
    <w:rsid w:val="00980499"/>
    <w:rsid w:val="00981AF3"/>
    <w:rsid w:val="00982497"/>
    <w:rsid w:val="00982C61"/>
    <w:rsid w:val="00982CD1"/>
    <w:rsid w:val="0098342A"/>
    <w:rsid w:val="00983AE1"/>
    <w:rsid w:val="009854B6"/>
    <w:rsid w:val="00985829"/>
    <w:rsid w:val="00985D36"/>
    <w:rsid w:val="00985DBA"/>
    <w:rsid w:val="009865D6"/>
    <w:rsid w:val="00986975"/>
    <w:rsid w:val="0098757B"/>
    <w:rsid w:val="00990506"/>
    <w:rsid w:val="00990BCB"/>
    <w:rsid w:val="00990F79"/>
    <w:rsid w:val="009910DC"/>
    <w:rsid w:val="00991584"/>
    <w:rsid w:val="0099172C"/>
    <w:rsid w:val="00991B19"/>
    <w:rsid w:val="00993599"/>
    <w:rsid w:val="00994CCA"/>
    <w:rsid w:val="009974A8"/>
    <w:rsid w:val="009975C9"/>
    <w:rsid w:val="009A0A09"/>
    <w:rsid w:val="009A245B"/>
    <w:rsid w:val="009A2516"/>
    <w:rsid w:val="009A2FAA"/>
    <w:rsid w:val="009A349F"/>
    <w:rsid w:val="009A3852"/>
    <w:rsid w:val="009A4788"/>
    <w:rsid w:val="009B10AE"/>
    <w:rsid w:val="009B1240"/>
    <w:rsid w:val="009B1690"/>
    <w:rsid w:val="009B18D7"/>
    <w:rsid w:val="009B23EE"/>
    <w:rsid w:val="009B3610"/>
    <w:rsid w:val="009B37D3"/>
    <w:rsid w:val="009B4C61"/>
    <w:rsid w:val="009B4CE0"/>
    <w:rsid w:val="009B52FD"/>
    <w:rsid w:val="009B54CF"/>
    <w:rsid w:val="009B5A8C"/>
    <w:rsid w:val="009B5C74"/>
    <w:rsid w:val="009B661E"/>
    <w:rsid w:val="009B68A4"/>
    <w:rsid w:val="009B75F0"/>
    <w:rsid w:val="009C01B9"/>
    <w:rsid w:val="009C0342"/>
    <w:rsid w:val="009C0408"/>
    <w:rsid w:val="009C161A"/>
    <w:rsid w:val="009C1E60"/>
    <w:rsid w:val="009C3C12"/>
    <w:rsid w:val="009C4088"/>
    <w:rsid w:val="009C5D49"/>
    <w:rsid w:val="009C718C"/>
    <w:rsid w:val="009C7345"/>
    <w:rsid w:val="009C7BBD"/>
    <w:rsid w:val="009C7FE0"/>
    <w:rsid w:val="009D05CC"/>
    <w:rsid w:val="009D09AE"/>
    <w:rsid w:val="009D11AB"/>
    <w:rsid w:val="009D1B21"/>
    <w:rsid w:val="009D2A1F"/>
    <w:rsid w:val="009D2BAC"/>
    <w:rsid w:val="009D55EE"/>
    <w:rsid w:val="009D5970"/>
    <w:rsid w:val="009D5C32"/>
    <w:rsid w:val="009D73F5"/>
    <w:rsid w:val="009D740A"/>
    <w:rsid w:val="009D7D93"/>
    <w:rsid w:val="009E040E"/>
    <w:rsid w:val="009E1607"/>
    <w:rsid w:val="009E1A3F"/>
    <w:rsid w:val="009E21B7"/>
    <w:rsid w:val="009E2CF2"/>
    <w:rsid w:val="009E2EA7"/>
    <w:rsid w:val="009E312B"/>
    <w:rsid w:val="009E3966"/>
    <w:rsid w:val="009E4844"/>
    <w:rsid w:val="009E4CC2"/>
    <w:rsid w:val="009E564F"/>
    <w:rsid w:val="009E6184"/>
    <w:rsid w:val="009E655C"/>
    <w:rsid w:val="009E6D2C"/>
    <w:rsid w:val="009E6F2E"/>
    <w:rsid w:val="009F0A3A"/>
    <w:rsid w:val="009F0BD3"/>
    <w:rsid w:val="009F3218"/>
    <w:rsid w:val="009F394C"/>
    <w:rsid w:val="009F3A44"/>
    <w:rsid w:val="009F51DA"/>
    <w:rsid w:val="009F556C"/>
    <w:rsid w:val="009F711E"/>
    <w:rsid w:val="009F7F2B"/>
    <w:rsid w:val="00A0001D"/>
    <w:rsid w:val="00A01037"/>
    <w:rsid w:val="00A0119C"/>
    <w:rsid w:val="00A017D4"/>
    <w:rsid w:val="00A01F05"/>
    <w:rsid w:val="00A0287D"/>
    <w:rsid w:val="00A03332"/>
    <w:rsid w:val="00A0369C"/>
    <w:rsid w:val="00A03771"/>
    <w:rsid w:val="00A04595"/>
    <w:rsid w:val="00A0541B"/>
    <w:rsid w:val="00A06208"/>
    <w:rsid w:val="00A0628B"/>
    <w:rsid w:val="00A068D9"/>
    <w:rsid w:val="00A06EB9"/>
    <w:rsid w:val="00A1016F"/>
    <w:rsid w:val="00A10996"/>
    <w:rsid w:val="00A10B74"/>
    <w:rsid w:val="00A10C18"/>
    <w:rsid w:val="00A10EC9"/>
    <w:rsid w:val="00A11F7F"/>
    <w:rsid w:val="00A12648"/>
    <w:rsid w:val="00A136A9"/>
    <w:rsid w:val="00A13855"/>
    <w:rsid w:val="00A140A3"/>
    <w:rsid w:val="00A15500"/>
    <w:rsid w:val="00A155A6"/>
    <w:rsid w:val="00A15B34"/>
    <w:rsid w:val="00A16421"/>
    <w:rsid w:val="00A1647B"/>
    <w:rsid w:val="00A177A3"/>
    <w:rsid w:val="00A17907"/>
    <w:rsid w:val="00A20EFE"/>
    <w:rsid w:val="00A21556"/>
    <w:rsid w:val="00A21903"/>
    <w:rsid w:val="00A22AF7"/>
    <w:rsid w:val="00A2405B"/>
    <w:rsid w:val="00A2551C"/>
    <w:rsid w:val="00A25C16"/>
    <w:rsid w:val="00A2617B"/>
    <w:rsid w:val="00A27672"/>
    <w:rsid w:val="00A30028"/>
    <w:rsid w:val="00A301EF"/>
    <w:rsid w:val="00A3040F"/>
    <w:rsid w:val="00A3123A"/>
    <w:rsid w:val="00A3168A"/>
    <w:rsid w:val="00A31CD2"/>
    <w:rsid w:val="00A32EFA"/>
    <w:rsid w:val="00A335F7"/>
    <w:rsid w:val="00A339B5"/>
    <w:rsid w:val="00A339FB"/>
    <w:rsid w:val="00A348FE"/>
    <w:rsid w:val="00A35D28"/>
    <w:rsid w:val="00A35E53"/>
    <w:rsid w:val="00A36254"/>
    <w:rsid w:val="00A3635F"/>
    <w:rsid w:val="00A36905"/>
    <w:rsid w:val="00A36916"/>
    <w:rsid w:val="00A36941"/>
    <w:rsid w:val="00A373CA"/>
    <w:rsid w:val="00A3747B"/>
    <w:rsid w:val="00A37995"/>
    <w:rsid w:val="00A4189A"/>
    <w:rsid w:val="00A41A4E"/>
    <w:rsid w:val="00A42565"/>
    <w:rsid w:val="00A42621"/>
    <w:rsid w:val="00A435A2"/>
    <w:rsid w:val="00A436D2"/>
    <w:rsid w:val="00A43752"/>
    <w:rsid w:val="00A443B8"/>
    <w:rsid w:val="00A452B2"/>
    <w:rsid w:val="00A454E3"/>
    <w:rsid w:val="00A463F3"/>
    <w:rsid w:val="00A472D1"/>
    <w:rsid w:val="00A47902"/>
    <w:rsid w:val="00A47B8B"/>
    <w:rsid w:val="00A50258"/>
    <w:rsid w:val="00A5085F"/>
    <w:rsid w:val="00A51149"/>
    <w:rsid w:val="00A53DBB"/>
    <w:rsid w:val="00A53FB6"/>
    <w:rsid w:val="00A5498C"/>
    <w:rsid w:val="00A54FE4"/>
    <w:rsid w:val="00A5541A"/>
    <w:rsid w:val="00A56092"/>
    <w:rsid w:val="00A567CB"/>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C0E"/>
    <w:rsid w:val="00A65327"/>
    <w:rsid w:val="00A653AC"/>
    <w:rsid w:val="00A65BF7"/>
    <w:rsid w:val="00A65DCD"/>
    <w:rsid w:val="00A66506"/>
    <w:rsid w:val="00A66E2A"/>
    <w:rsid w:val="00A67E6C"/>
    <w:rsid w:val="00A67FE1"/>
    <w:rsid w:val="00A70081"/>
    <w:rsid w:val="00A7067D"/>
    <w:rsid w:val="00A7189A"/>
    <w:rsid w:val="00A71C9E"/>
    <w:rsid w:val="00A71DDE"/>
    <w:rsid w:val="00A71E43"/>
    <w:rsid w:val="00A7228B"/>
    <w:rsid w:val="00A72A7B"/>
    <w:rsid w:val="00A72B75"/>
    <w:rsid w:val="00A73038"/>
    <w:rsid w:val="00A7328F"/>
    <w:rsid w:val="00A73F8D"/>
    <w:rsid w:val="00A749FD"/>
    <w:rsid w:val="00A74B8A"/>
    <w:rsid w:val="00A74C77"/>
    <w:rsid w:val="00A74D94"/>
    <w:rsid w:val="00A75387"/>
    <w:rsid w:val="00A758BE"/>
    <w:rsid w:val="00A75C2A"/>
    <w:rsid w:val="00A7668A"/>
    <w:rsid w:val="00A76C99"/>
    <w:rsid w:val="00A76F14"/>
    <w:rsid w:val="00A775D5"/>
    <w:rsid w:val="00A800C8"/>
    <w:rsid w:val="00A801F8"/>
    <w:rsid w:val="00A811CB"/>
    <w:rsid w:val="00A81D2F"/>
    <w:rsid w:val="00A81E59"/>
    <w:rsid w:val="00A81EBE"/>
    <w:rsid w:val="00A826F1"/>
    <w:rsid w:val="00A82D02"/>
    <w:rsid w:val="00A84364"/>
    <w:rsid w:val="00A84CD0"/>
    <w:rsid w:val="00A85E73"/>
    <w:rsid w:val="00A915F4"/>
    <w:rsid w:val="00A917A9"/>
    <w:rsid w:val="00A91C36"/>
    <w:rsid w:val="00A91CC7"/>
    <w:rsid w:val="00A91D41"/>
    <w:rsid w:val="00A96010"/>
    <w:rsid w:val="00A9684D"/>
    <w:rsid w:val="00A97402"/>
    <w:rsid w:val="00A97873"/>
    <w:rsid w:val="00AA0B30"/>
    <w:rsid w:val="00AA0EFF"/>
    <w:rsid w:val="00AA1E6C"/>
    <w:rsid w:val="00AA321D"/>
    <w:rsid w:val="00AA3259"/>
    <w:rsid w:val="00AA383C"/>
    <w:rsid w:val="00AA3C4B"/>
    <w:rsid w:val="00AA4CFF"/>
    <w:rsid w:val="00AA4D52"/>
    <w:rsid w:val="00AA63AE"/>
    <w:rsid w:val="00AA6669"/>
    <w:rsid w:val="00AA690A"/>
    <w:rsid w:val="00AA6AB3"/>
    <w:rsid w:val="00AA6D26"/>
    <w:rsid w:val="00AA74C0"/>
    <w:rsid w:val="00AB0541"/>
    <w:rsid w:val="00AB09EE"/>
    <w:rsid w:val="00AB19B4"/>
    <w:rsid w:val="00AB2400"/>
    <w:rsid w:val="00AB25DF"/>
    <w:rsid w:val="00AB5377"/>
    <w:rsid w:val="00AB5B77"/>
    <w:rsid w:val="00AB7D08"/>
    <w:rsid w:val="00AB7F83"/>
    <w:rsid w:val="00AC0B81"/>
    <w:rsid w:val="00AC3451"/>
    <w:rsid w:val="00AC3506"/>
    <w:rsid w:val="00AC387E"/>
    <w:rsid w:val="00AC4DD2"/>
    <w:rsid w:val="00AC5210"/>
    <w:rsid w:val="00AC5BDF"/>
    <w:rsid w:val="00AC662A"/>
    <w:rsid w:val="00AC6903"/>
    <w:rsid w:val="00AC6B95"/>
    <w:rsid w:val="00AC7669"/>
    <w:rsid w:val="00AC79C9"/>
    <w:rsid w:val="00AD0AF6"/>
    <w:rsid w:val="00AD277E"/>
    <w:rsid w:val="00AD2AD1"/>
    <w:rsid w:val="00AD343E"/>
    <w:rsid w:val="00AD4267"/>
    <w:rsid w:val="00AD476A"/>
    <w:rsid w:val="00AD47AA"/>
    <w:rsid w:val="00AD4ABF"/>
    <w:rsid w:val="00AD4C67"/>
    <w:rsid w:val="00AD52D1"/>
    <w:rsid w:val="00AD54E1"/>
    <w:rsid w:val="00AD5632"/>
    <w:rsid w:val="00AD6306"/>
    <w:rsid w:val="00AD67DE"/>
    <w:rsid w:val="00AD7076"/>
    <w:rsid w:val="00AE0764"/>
    <w:rsid w:val="00AE16D1"/>
    <w:rsid w:val="00AE1BC1"/>
    <w:rsid w:val="00AE1BD1"/>
    <w:rsid w:val="00AE1DBE"/>
    <w:rsid w:val="00AE276C"/>
    <w:rsid w:val="00AE3DF4"/>
    <w:rsid w:val="00AE4788"/>
    <w:rsid w:val="00AE4BEA"/>
    <w:rsid w:val="00AE4C6D"/>
    <w:rsid w:val="00AE50A3"/>
    <w:rsid w:val="00AE54FF"/>
    <w:rsid w:val="00AE563F"/>
    <w:rsid w:val="00AE6595"/>
    <w:rsid w:val="00AE6B0B"/>
    <w:rsid w:val="00AE71A8"/>
    <w:rsid w:val="00AE74B3"/>
    <w:rsid w:val="00AE7678"/>
    <w:rsid w:val="00AF0329"/>
    <w:rsid w:val="00AF0774"/>
    <w:rsid w:val="00AF11B5"/>
    <w:rsid w:val="00AF2328"/>
    <w:rsid w:val="00AF2612"/>
    <w:rsid w:val="00AF3889"/>
    <w:rsid w:val="00AF39DC"/>
    <w:rsid w:val="00AF3BD3"/>
    <w:rsid w:val="00AF3F13"/>
    <w:rsid w:val="00AF3FE3"/>
    <w:rsid w:val="00AF4A53"/>
    <w:rsid w:val="00AF4F33"/>
    <w:rsid w:val="00AF52DC"/>
    <w:rsid w:val="00AF6305"/>
    <w:rsid w:val="00AF6A68"/>
    <w:rsid w:val="00AF72F9"/>
    <w:rsid w:val="00B001C6"/>
    <w:rsid w:val="00B008DF"/>
    <w:rsid w:val="00B00E5C"/>
    <w:rsid w:val="00B011D8"/>
    <w:rsid w:val="00B0131B"/>
    <w:rsid w:val="00B014AD"/>
    <w:rsid w:val="00B01819"/>
    <w:rsid w:val="00B022D8"/>
    <w:rsid w:val="00B02540"/>
    <w:rsid w:val="00B039AB"/>
    <w:rsid w:val="00B03B7D"/>
    <w:rsid w:val="00B04DC3"/>
    <w:rsid w:val="00B04EED"/>
    <w:rsid w:val="00B0529B"/>
    <w:rsid w:val="00B05E03"/>
    <w:rsid w:val="00B0644E"/>
    <w:rsid w:val="00B1077D"/>
    <w:rsid w:val="00B10B1F"/>
    <w:rsid w:val="00B11176"/>
    <w:rsid w:val="00B13CB1"/>
    <w:rsid w:val="00B14BCA"/>
    <w:rsid w:val="00B14BEA"/>
    <w:rsid w:val="00B167CE"/>
    <w:rsid w:val="00B16B62"/>
    <w:rsid w:val="00B17166"/>
    <w:rsid w:val="00B17A2E"/>
    <w:rsid w:val="00B17C66"/>
    <w:rsid w:val="00B20292"/>
    <w:rsid w:val="00B206B1"/>
    <w:rsid w:val="00B22004"/>
    <w:rsid w:val="00B22C0A"/>
    <w:rsid w:val="00B22FF9"/>
    <w:rsid w:val="00B231C0"/>
    <w:rsid w:val="00B23A4E"/>
    <w:rsid w:val="00B23F87"/>
    <w:rsid w:val="00B24213"/>
    <w:rsid w:val="00B242E1"/>
    <w:rsid w:val="00B24980"/>
    <w:rsid w:val="00B25B42"/>
    <w:rsid w:val="00B2635D"/>
    <w:rsid w:val="00B267F1"/>
    <w:rsid w:val="00B2725F"/>
    <w:rsid w:val="00B27998"/>
    <w:rsid w:val="00B308E1"/>
    <w:rsid w:val="00B31D3D"/>
    <w:rsid w:val="00B331DC"/>
    <w:rsid w:val="00B33BCF"/>
    <w:rsid w:val="00B35546"/>
    <w:rsid w:val="00B3556A"/>
    <w:rsid w:val="00B35594"/>
    <w:rsid w:val="00B3580D"/>
    <w:rsid w:val="00B36B6D"/>
    <w:rsid w:val="00B3756E"/>
    <w:rsid w:val="00B401AE"/>
    <w:rsid w:val="00B402BB"/>
    <w:rsid w:val="00B414AF"/>
    <w:rsid w:val="00B41708"/>
    <w:rsid w:val="00B4301A"/>
    <w:rsid w:val="00B43B6A"/>
    <w:rsid w:val="00B43FF7"/>
    <w:rsid w:val="00B4438B"/>
    <w:rsid w:val="00B453BE"/>
    <w:rsid w:val="00B46241"/>
    <w:rsid w:val="00B46422"/>
    <w:rsid w:val="00B46735"/>
    <w:rsid w:val="00B47C72"/>
    <w:rsid w:val="00B507E9"/>
    <w:rsid w:val="00B50878"/>
    <w:rsid w:val="00B50D0F"/>
    <w:rsid w:val="00B51EF7"/>
    <w:rsid w:val="00B524C0"/>
    <w:rsid w:val="00B52CF9"/>
    <w:rsid w:val="00B52D9E"/>
    <w:rsid w:val="00B53C31"/>
    <w:rsid w:val="00B5445A"/>
    <w:rsid w:val="00B555A9"/>
    <w:rsid w:val="00B55E82"/>
    <w:rsid w:val="00B563AF"/>
    <w:rsid w:val="00B563E9"/>
    <w:rsid w:val="00B56902"/>
    <w:rsid w:val="00B56B70"/>
    <w:rsid w:val="00B57983"/>
    <w:rsid w:val="00B604C8"/>
    <w:rsid w:val="00B60ED0"/>
    <w:rsid w:val="00B62189"/>
    <w:rsid w:val="00B627E7"/>
    <w:rsid w:val="00B6283F"/>
    <w:rsid w:val="00B62F33"/>
    <w:rsid w:val="00B65066"/>
    <w:rsid w:val="00B6668D"/>
    <w:rsid w:val="00B666B9"/>
    <w:rsid w:val="00B66A94"/>
    <w:rsid w:val="00B66F81"/>
    <w:rsid w:val="00B67145"/>
    <w:rsid w:val="00B677F1"/>
    <w:rsid w:val="00B707AF"/>
    <w:rsid w:val="00B70882"/>
    <w:rsid w:val="00B709B8"/>
    <w:rsid w:val="00B72D75"/>
    <w:rsid w:val="00B72F97"/>
    <w:rsid w:val="00B741EF"/>
    <w:rsid w:val="00B75001"/>
    <w:rsid w:val="00B75D6E"/>
    <w:rsid w:val="00B75F72"/>
    <w:rsid w:val="00B76DC1"/>
    <w:rsid w:val="00B77CFD"/>
    <w:rsid w:val="00B800B7"/>
    <w:rsid w:val="00B805C4"/>
    <w:rsid w:val="00B81548"/>
    <w:rsid w:val="00B81633"/>
    <w:rsid w:val="00B81763"/>
    <w:rsid w:val="00B82FEA"/>
    <w:rsid w:val="00B82FF5"/>
    <w:rsid w:val="00B83A38"/>
    <w:rsid w:val="00B850CE"/>
    <w:rsid w:val="00B862C0"/>
    <w:rsid w:val="00B863D9"/>
    <w:rsid w:val="00B86C03"/>
    <w:rsid w:val="00B86E98"/>
    <w:rsid w:val="00B90192"/>
    <w:rsid w:val="00B90A49"/>
    <w:rsid w:val="00B90B9B"/>
    <w:rsid w:val="00B90C7D"/>
    <w:rsid w:val="00B91455"/>
    <w:rsid w:val="00B919E1"/>
    <w:rsid w:val="00B92313"/>
    <w:rsid w:val="00B933BC"/>
    <w:rsid w:val="00B93791"/>
    <w:rsid w:val="00B93921"/>
    <w:rsid w:val="00B945A2"/>
    <w:rsid w:val="00B94EED"/>
    <w:rsid w:val="00B962AB"/>
    <w:rsid w:val="00B966B6"/>
    <w:rsid w:val="00B96C66"/>
    <w:rsid w:val="00B97B6F"/>
    <w:rsid w:val="00BA05AF"/>
    <w:rsid w:val="00BA0622"/>
    <w:rsid w:val="00BA096B"/>
    <w:rsid w:val="00BA13D0"/>
    <w:rsid w:val="00BA1C0C"/>
    <w:rsid w:val="00BA1C65"/>
    <w:rsid w:val="00BA1F66"/>
    <w:rsid w:val="00BA23AE"/>
    <w:rsid w:val="00BA2A52"/>
    <w:rsid w:val="00BA3293"/>
    <w:rsid w:val="00BA35C3"/>
    <w:rsid w:val="00BA3C29"/>
    <w:rsid w:val="00BA3F2E"/>
    <w:rsid w:val="00BA4357"/>
    <w:rsid w:val="00BA4760"/>
    <w:rsid w:val="00BA4FF0"/>
    <w:rsid w:val="00BA5FB5"/>
    <w:rsid w:val="00BA6E60"/>
    <w:rsid w:val="00BA7003"/>
    <w:rsid w:val="00BA71ED"/>
    <w:rsid w:val="00BA7CCE"/>
    <w:rsid w:val="00BB065D"/>
    <w:rsid w:val="00BB14CF"/>
    <w:rsid w:val="00BB17C8"/>
    <w:rsid w:val="00BB1CF9"/>
    <w:rsid w:val="00BB2133"/>
    <w:rsid w:val="00BB26DC"/>
    <w:rsid w:val="00BB315F"/>
    <w:rsid w:val="00BB325E"/>
    <w:rsid w:val="00BB3D90"/>
    <w:rsid w:val="00BB48F1"/>
    <w:rsid w:val="00BB5036"/>
    <w:rsid w:val="00BB5BAF"/>
    <w:rsid w:val="00BB6888"/>
    <w:rsid w:val="00BB6EFD"/>
    <w:rsid w:val="00BB779D"/>
    <w:rsid w:val="00BB7A4D"/>
    <w:rsid w:val="00BC0498"/>
    <w:rsid w:val="00BC068E"/>
    <w:rsid w:val="00BC107E"/>
    <w:rsid w:val="00BC3D44"/>
    <w:rsid w:val="00BC4213"/>
    <w:rsid w:val="00BC5C80"/>
    <w:rsid w:val="00BC5D5B"/>
    <w:rsid w:val="00BC5F08"/>
    <w:rsid w:val="00BC65A4"/>
    <w:rsid w:val="00BC65B2"/>
    <w:rsid w:val="00BC75B3"/>
    <w:rsid w:val="00BC7832"/>
    <w:rsid w:val="00BC7E15"/>
    <w:rsid w:val="00BC7E36"/>
    <w:rsid w:val="00BD09B1"/>
    <w:rsid w:val="00BD16D6"/>
    <w:rsid w:val="00BD1B72"/>
    <w:rsid w:val="00BD31B3"/>
    <w:rsid w:val="00BD3BB5"/>
    <w:rsid w:val="00BD41C0"/>
    <w:rsid w:val="00BD485C"/>
    <w:rsid w:val="00BD4AA0"/>
    <w:rsid w:val="00BD6053"/>
    <w:rsid w:val="00BD6593"/>
    <w:rsid w:val="00BD66B2"/>
    <w:rsid w:val="00BD71AD"/>
    <w:rsid w:val="00BD76B1"/>
    <w:rsid w:val="00BD7725"/>
    <w:rsid w:val="00BD78AD"/>
    <w:rsid w:val="00BD78F4"/>
    <w:rsid w:val="00BE0F6C"/>
    <w:rsid w:val="00BE1D73"/>
    <w:rsid w:val="00BE1EC9"/>
    <w:rsid w:val="00BE1F09"/>
    <w:rsid w:val="00BE26F9"/>
    <w:rsid w:val="00BE2DD8"/>
    <w:rsid w:val="00BE301A"/>
    <w:rsid w:val="00BE400A"/>
    <w:rsid w:val="00BE458A"/>
    <w:rsid w:val="00BE4BE8"/>
    <w:rsid w:val="00BE4E51"/>
    <w:rsid w:val="00BE5D07"/>
    <w:rsid w:val="00BE61FC"/>
    <w:rsid w:val="00BE7A1E"/>
    <w:rsid w:val="00BF0159"/>
    <w:rsid w:val="00BF0D84"/>
    <w:rsid w:val="00BF1423"/>
    <w:rsid w:val="00BF18FE"/>
    <w:rsid w:val="00BF1C55"/>
    <w:rsid w:val="00BF224A"/>
    <w:rsid w:val="00BF28A4"/>
    <w:rsid w:val="00BF37C5"/>
    <w:rsid w:val="00BF3AAA"/>
    <w:rsid w:val="00BF42FD"/>
    <w:rsid w:val="00BF497A"/>
    <w:rsid w:val="00BF4AC8"/>
    <w:rsid w:val="00BF5E37"/>
    <w:rsid w:val="00BF6983"/>
    <w:rsid w:val="00BF70D4"/>
    <w:rsid w:val="00BF71E4"/>
    <w:rsid w:val="00BF7B13"/>
    <w:rsid w:val="00C0163D"/>
    <w:rsid w:val="00C017CA"/>
    <w:rsid w:val="00C02152"/>
    <w:rsid w:val="00C0264E"/>
    <w:rsid w:val="00C03CE8"/>
    <w:rsid w:val="00C0494D"/>
    <w:rsid w:val="00C05806"/>
    <w:rsid w:val="00C06A1F"/>
    <w:rsid w:val="00C07158"/>
    <w:rsid w:val="00C108A9"/>
    <w:rsid w:val="00C10D63"/>
    <w:rsid w:val="00C123A3"/>
    <w:rsid w:val="00C12466"/>
    <w:rsid w:val="00C141FB"/>
    <w:rsid w:val="00C143BD"/>
    <w:rsid w:val="00C1441B"/>
    <w:rsid w:val="00C14FB5"/>
    <w:rsid w:val="00C151EC"/>
    <w:rsid w:val="00C1544B"/>
    <w:rsid w:val="00C15A04"/>
    <w:rsid w:val="00C1656A"/>
    <w:rsid w:val="00C16815"/>
    <w:rsid w:val="00C17D4D"/>
    <w:rsid w:val="00C205F8"/>
    <w:rsid w:val="00C2100C"/>
    <w:rsid w:val="00C2106B"/>
    <w:rsid w:val="00C21175"/>
    <w:rsid w:val="00C226C2"/>
    <w:rsid w:val="00C2297F"/>
    <w:rsid w:val="00C2305A"/>
    <w:rsid w:val="00C23CC9"/>
    <w:rsid w:val="00C24114"/>
    <w:rsid w:val="00C248DD"/>
    <w:rsid w:val="00C2492B"/>
    <w:rsid w:val="00C2557A"/>
    <w:rsid w:val="00C255F6"/>
    <w:rsid w:val="00C256E7"/>
    <w:rsid w:val="00C2605E"/>
    <w:rsid w:val="00C26EDD"/>
    <w:rsid w:val="00C27C80"/>
    <w:rsid w:val="00C30577"/>
    <w:rsid w:val="00C30B3D"/>
    <w:rsid w:val="00C30BEF"/>
    <w:rsid w:val="00C30DC6"/>
    <w:rsid w:val="00C31631"/>
    <w:rsid w:val="00C316BC"/>
    <w:rsid w:val="00C32004"/>
    <w:rsid w:val="00C323BD"/>
    <w:rsid w:val="00C33180"/>
    <w:rsid w:val="00C33462"/>
    <w:rsid w:val="00C33AE2"/>
    <w:rsid w:val="00C34138"/>
    <w:rsid w:val="00C34324"/>
    <w:rsid w:val="00C344E9"/>
    <w:rsid w:val="00C3492B"/>
    <w:rsid w:val="00C352EB"/>
    <w:rsid w:val="00C35315"/>
    <w:rsid w:val="00C3555A"/>
    <w:rsid w:val="00C3626C"/>
    <w:rsid w:val="00C36CE9"/>
    <w:rsid w:val="00C37741"/>
    <w:rsid w:val="00C37E3D"/>
    <w:rsid w:val="00C4041E"/>
    <w:rsid w:val="00C40C64"/>
    <w:rsid w:val="00C433C4"/>
    <w:rsid w:val="00C43D52"/>
    <w:rsid w:val="00C43FBA"/>
    <w:rsid w:val="00C441CC"/>
    <w:rsid w:val="00C44475"/>
    <w:rsid w:val="00C44F87"/>
    <w:rsid w:val="00C45757"/>
    <w:rsid w:val="00C46807"/>
    <w:rsid w:val="00C47E96"/>
    <w:rsid w:val="00C50B1E"/>
    <w:rsid w:val="00C51C72"/>
    <w:rsid w:val="00C521B4"/>
    <w:rsid w:val="00C52914"/>
    <w:rsid w:val="00C544CC"/>
    <w:rsid w:val="00C546E7"/>
    <w:rsid w:val="00C55114"/>
    <w:rsid w:val="00C56262"/>
    <w:rsid w:val="00C57198"/>
    <w:rsid w:val="00C578CE"/>
    <w:rsid w:val="00C617BF"/>
    <w:rsid w:val="00C62791"/>
    <w:rsid w:val="00C62FA1"/>
    <w:rsid w:val="00C64069"/>
    <w:rsid w:val="00C64B36"/>
    <w:rsid w:val="00C64C87"/>
    <w:rsid w:val="00C653BA"/>
    <w:rsid w:val="00C6774F"/>
    <w:rsid w:val="00C677AA"/>
    <w:rsid w:val="00C71914"/>
    <w:rsid w:val="00C7263B"/>
    <w:rsid w:val="00C727EF"/>
    <w:rsid w:val="00C72D01"/>
    <w:rsid w:val="00C73290"/>
    <w:rsid w:val="00C74636"/>
    <w:rsid w:val="00C752C9"/>
    <w:rsid w:val="00C7613A"/>
    <w:rsid w:val="00C77AEB"/>
    <w:rsid w:val="00C77C98"/>
    <w:rsid w:val="00C80069"/>
    <w:rsid w:val="00C805DA"/>
    <w:rsid w:val="00C8096C"/>
    <w:rsid w:val="00C80A78"/>
    <w:rsid w:val="00C80F33"/>
    <w:rsid w:val="00C80FD0"/>
    <w:rsid w:val="00C8100B"/>
    <w:rsid w:val="00C816BC"/>
    <w:rsid w:val="00C825DD"/>
    <w:rsid w:val="00C82DDB"/>
    <w:rsid w:val="00C852AC"/>
    <w:rsid w:val="00C857F9"/>
    <w:rsid w:val="00C86543"/>
    <w:rsid w:val="00C8683F"/>
    <w:rsid w:val="00C87D19"/>
    <w:rsid w:val="00C9091D"/>
    <w:rsid w:val="00C90FA2"/>
    <w:rsid w:val="00C91CA5"/>
    <w:rsid w:val="00C92267"/>
    <w:rsid w:val="00C94857"/>
    <w:rsid w:val="00C959C2"/>
    <w:rsid w:val="00C95BC5"/>
    <w:rsid w:val="00C95DEA"/>
    <w:rsid w:val="00C95FCA"/>
    <w:rsid w:val="00C974ED"/>
    <w:rsid w:val="00C976AC"/>
    <w:rsid w:val="00C97A8D"/>
    <w:rsid w:val="00CA0083"/>
    <w:rsid w:val="00CA04C0"/>
    <w:rsid w:val="00CA0837"/>
    <w:rsid w:val="00CA4064"/>
    <w:rsid w:val="00CA41D2"/>
    <w:rsid w:val="00CA4753"/>
    <w:rsid w:val="00CA4D91"/>
    <w:rsid w:val="00CA4F20"/>
    <w:rsid w:val="00CA5908"/>
    <w:rsid w:val="00CA5D21"/>
    <w:rsid w:val="00CA6512"/>
    <w:rsid w:val="00CA7A61"/>
    <w:rsid w:val="00CB0C16"/>
    <w:rsid w:val="00CB1327"/>
    <w:rsid w:val="00CB149F"/>
    <w:rsid w:val="00CB1EAE"/>
    <w:rsid w:val="00CB1F5B"/>
    <w:rsid w:val="00CB2147"/>
    <w:rsid w:val="00CB30F5"/>
    <w:rsid w:val="00CB315D"/>
    <w:rsid w:val="00CB3B4E"/>
    <w:rsid w:val="00CB3EC6"/>
    <w:rsid w:val="00CB4BEE"/>
    <w:rsid w:val="00CB4F56"/>
    <w:rsid w:val="00CB598E"/>
    <w:rsid w:val="00CB68CC"/>
    <w:rsid w:val="00CB6BB5"/>
    <w:rsid w:val="00CB6D6A"/>
    <w:rsid w:val="00CB7873"/>
    <w:rsid w:val="00CC07DB"/>
    <w:rsid w:val="00CC0A26"/>
    <w:rsid w:val="00CC0AB1"/>
    <w:rsid w:val="00CC341C"/>
    <w:rsid w:val="00CC3645"/>
    <w:rsid w:val="00CC3F55"/>
    <w:rsid w:val="00CC54B1"/>
    <w:rsid w:val="00CC5CE1"/>
    <w:rsid w:val="00CC79A2"/>
    <w:rsid w:val="00CD0153"/>
    <w:rsid w:val="00CD02C6"/>
    <w:rsid w:val="00CD0A75"/>
    <w:rsid w:val="00CD11DE"/>
    <w:rsid w:val="00CD143E"/>
    <w:rsid w:val="00CD1963"/>
    <w:rsid w:val="00CD19CA"/>
    <w:rsid w:val="00CD2D37"/>
    <w:rsid w:val="00CD34FD"/>
    <w:rsid w:val="00CD3E17"/>
    <w:rsid w:val="00CD467E"/>
    <w:rsid w:val="00CD50A4"/>
    <w:rsid w:val="00CD51ED"/>
    <w:rsid w:val="00CD5CFC"/>
    <w:rsid w:val="00CD6C4D"/>
    <w:rsid w:val="00CD7357"/>
    <w:rsid w:val="00CD7B3A"/>
    <w:rsid w:val="00CD7C48"/>
    <w:rsid w:val="00CE0199"/>
    <w:rsid w:val="00CE0440"/>
    <w:rsid w:val="00CE05E1"/>
    <w:rsid w:val="00CE0620"/>
    <w:rsid w:val="00CE1146"/>
    <w:rsid w:val="00CE16F2"/>
    <w:rsid w:val="00CE178F"/>
    <w:rsid w:val="00CE1CC5"/>
    <w:rsid w:val="00CE253C"/>
    <w:rsid w:val="00CE2EE4"/>
    <w:rsid w:val="00CE3346"/>
    <w:rsid w:val="00CE3797"/>
    <w:rsid w:val="00CE3ADA"/>
    <w:rsid w:val="00CE41CB"/>
    <w:rsid w:val="00CE48D3"/>
    <w:rsid w:val="00CE498F"/>
    <w:rsid w:val="00CE5D42"/>
    <w:rsid w:val="00CE5FE1"/>
    <w:rsid w:val="00CE6803"/>
    <w:rsid w:val="00CE6D99"/>
    <w:rsid w:val="00CF0777"/>
    <w:rsid w:val="00CF0FF4"/>
    <w:rsid w:val="00CF1622"/>
    <w:rsid w:val="00CF1EB5"/>
    <w:rsid w:val="00CF34DB"/>
    <w:rsid w:val="00CF3CAD"/>
    <w:rsid w:val="00CF425F"/>
    <w:rsid w:val="00CF4635"/>
    <w:rsid w:val="00CF46ED"/>
    <w:rsid w:val="00CF5173"/>
    <w:rsid w:val="00CF51E8"/>
    <w:rsid w:val="00CF5BA3"/>
    <w:rsid w:val="00CF637A"/>
    <w:rsid w:val="00CF7C31"/>
    <w:rsid w:val="00D0156F"/>
    <w:rsid w:val="00D0201E"/>
    <w:rsid w:val="00D025CC"/>
    <w:rsid w:val="00D028B3"/>
    <w:rsid w:val="00D02DA7"/>
    <w:rsid w:val="00D0304E"/>
    <w:rsid w:val="00D04EC9"/>
    <w:rsid w:val="00D053C2"/>
    <w:rsid w:val="00D05E0E"/>
    <w:rsid w:val="00D06218"/>
    <w:rsid w:val="00D104AC"/>
    <w:rsid w:val="00D10566"/>
    <w:rsid w:val="00D11C6E"/>
    <w:rsid w:val="00D12AD5"/>
    <w:rsid w:val="00D138B4"/>
    <w:rsid w:val="00D13D12"/>
    <w:rsid w:val="00D140C2"/>
    <w:rsid w:val="00D15500"/>
    <w:rsid w:val="00D15C15"/>
    <w:rsid w:val="00D16725"/>
    <w:rsid w:val="00D16D23"/>
    <w:rsid w:val="00D17643"/>
    <w:rsid w:val="00D17FB4"/>
    <w:rsid w:val="00D20188"/>
    <w:rsid w:val="00D201E3"/>
    <w:rsid w:val="00D2027A"/>
    <w:rsid w:val="00D20B23"/>
    <w:rsid w:val="00D20C94"/>
    <w:rsid w:val="00D218EF"/>
    <w:rsid w:val="00D22433"/>
    <w:rsid w:val="00D22748"/>
    <w:rsid w:val="00D22E55"/>
    <w:rsid w:val="00D232AE"/>
    <w:rsid w:val="00D233E0"/>
    <w:rsid w:val="00D2347F"/>
    <w:rsid w:val="00D23626"/>
    <w:rsid w:val="00D25371"/>
    <w:rsid w:val="00D26918"/>
    <w:rsid w:val="00D27734"/>
    <w:rsid w:val="00D27BED"/>
    <w:rsid w:val="00D3182A"/>
    <w:rsid w:val="00D32136"/>
    <w:rsid w:val="00D3222B"/>
    <w:rsid w:val="00D3227D"/>
    <w:rsid w:val="00D330D8"/>
    <w:rsid w:val="00D33197"/>
    <w:rsid w:val="00D33567"/>
    <w:rsid w:val="00D33EEE"/>
    <w:rsid w:val="00D341A7"/>
    <w:rsid w:val="00D34B4B"/>
    <w:rsid w:val="00D34DDE"/>
    <w:rsid w:val="00D35236"/>
    <w:rsid w:val="00D35305"/>
    <w:rsid w:val="00D3579C"/>
    <w:rsid w:val="00D37121"/>
    <w:rsid w:val="00D376AA"/>
    <w:rsid w:val="00D40043"/>
    <w:rsid w:val="00D40A47"/>
    <w:rsid w:val="00D41051"/>
    <w:rsid w:val="00D410F8"/>
    <w:rsid w:val="00D417AE"/>
    <w:rsid w:val="00D41B6F"/>
    <w:rsid w:val="00D457ED"/>
    <w:rsid w:val="00D468B0"/>
    <w:rsid w:val="00D46D32"/>
    <w:rsid w:val="00D46EB7"/>
    <w:rsid w:val="00D476EB"/>
    <w:rsid w:val="00D478AA"/>
    <w:rsid w:val="00D47E04"/>
    <w:rsid w:val="00D47F55"/>
    <w:rsid w:val="00D50FBA"/>
    <w:rsid w:val="00D51372"/>
    <w:rsid w:val="00D5162F"/>
    <w:rsid w:val="00D51C50"/>
    <w:rsid w:val="00D5266D"/>
    <w:rsid w:val="00D52BBA"/>
    <w:rsid w:val="00D52C1C"/>
    <w:rsid w:val="00D54AEA"/>
    <w:rsid w:val="00D54E4B"/>
    <w:rsid w:val="00D558F6"/>
    <w:rsid w:val="00D55A96"/>
    <w:rsid w:val="00D56796"/>
    <w:rsid w:val="00D56D40"/>
    <w:rsid w:val="00D56D85"/>
    <w:rsid w:val="00D6020C"/>
    <w:rsid w:val="00D60B6B"/>
    <w:rsid w:val="00D60D72"/>
    <w:rsid w:val="00D60D80"/>
    <w:rsid w:val="00D61918"/>
    <w:rsid w:val="00D63019"/>
    <w:rsid w:val="00D631BD"/>
    <w:rsid w:val="00D64502"/>
    <w:rsid w:val="00D64812"/>
    <w:rsid w:val="00D64E31"/>
    <w:rsid w:val="00D65604"/>
    <w:rsid w:val="00D656B6"/>
    <w:rsid w:val="00D65F9D"/>
    <w:rsid w:val="00D666E7"/>
    <w:rsid w:val="00D678F8"/>
    <w:rsid w:val="00D67C66"/>
    <w:rsid w:val="00D67E37"/>
    <w:rsid w:val="00D705C5"/>
    <w:rsid w:val="00D706C6"/>
    <w:rsid w:val="00D721EC"/>
    <w:rsid w:val="00D726CE"/>
    <w:rsid w:val="00D73677"/>
    <w:rsid w:val="00D73943"/>
    <w:rsid w:val="00D74912"/>
    <w:rsid w:val="00D74A6E"/>
    <w:rsid w:val="00D75805"/>
    <w:rsid w:val="00D75B50"/>
    <w:rsid w:val="00D76480"/>
    <w:rsid w:val="00D779F7"/>
    <w:rsid w:val="00D80754"/>
    <w:rsid w:val="00D81F77"/>
    <w:rsid w:val="00D82F54"/>
    <w:rsid w:val="00D83026"/>
    <w:rsid w:val="00D83045"/>
    <w:rsid w:val="00D83354"/>
    <w:rsid w:val="00D844D3"/>
    <w:rsid w:val="00D857E6"/>
    <w:rsid w:val="00D85885"/>
    <w:rsid w:val="00D8653A"/>
    <w:rsid w:val="00D87162"/>
    <w:rsid w:val="00D871CE"/>
    <w:rsid w:val="00D87542"/>
    <w:rsid w:val="00D87D77"/>
    <w:rsid w:val="00D91AF5"/>
    <w:rsid w:val="00D920CA"/>
    <w:rsid w:val="00D92BFA"/>
    <w:rsid w:val="00D935D1"/>
    <w:rsid w:val="00D9375F"/>
    <w:rsid w:val="00D937F8"/>
    <w:rsid w:val="00D93883"/>
    <w:rsid w:val="00D93A88"/>
    <w:rsid w:val="00D93B43"/>
    <w:rsid w:val="00D93D76"/>
    <w:rsid w:val="00D93D78"/>
    <w:rsid w:val="00D93FAF"/>
    <w:rsid w:val="00D940D3"/>
    <w:rsid w:val="00D94DB5"/>
    <w:rsid w:val="00D95202"/>
    <w:rsid w:val="00D95B44"/>
    <w:rsid w:val="00D95C20"/>
    <w:rsid w:val="00D961B5"/>
    <w:rsid w:val="00D96BFE"/>
    <w:rsid w:val="00D96F7E"/>
    <w:rsid w:val="00D9778A"/>
    <w:rsid w:val="00D97B59"/>
    <w:rsid w:val="00D97C16"/>
    <w:rsid w:val="00D97D49"/>
    <w:rsid w:val="00DA025F"/>
    <w:rsid w:val="00DA0755"/>
    <w:rsid w:val="00DA08A5"/>
    <w:rsid w:val="00DA23AB"/>
    <w:rsid w:val="00DA2B4B"/>
    <w:rsid w:val="00DA4D03"/>
    <w:rsid w:val="00DA4EAF"/>
    <w:rsid w:val="00DA5A16"/>
    <w:rsid w:val="00DA7D0B"/>
    <w:rsid w:val="00DB07CA"/>
    <w:rsid w:val="00DB0823"/>
    <w:rsid w:val="00DB0E2A"/>
    <w:rsid w:val="00DB111E"/>
    <w:rsid w:val="00DB2718"/>
    <w:rsid w:val="00DB2773"/>
    <w:rsid w:val="00DB2A06"/>
    <w:rsid w:val="00DB383F"/>
    <w:rsid w:val="00DB3A50"/>
    <w:rsid w:val="00DB532F"/>
    <w:rsid w:val="00DB53D6"/>
    <w:rsid w:val="00DB5CC0"/>
    <w:rsid w:val="00DB5FF0"/>
    <w:rsid w:val="00DB63F1"/>
    <w:rsid w:val="00DB65D7"/>
    <w:rsid w:val="00DB6791"/>
    <w:rsid w:val="00DB6C38"/>
    <w:rsid w:val="00DB6E76"/>
    <w:rsid w:val="00DB7445"/>
    <w:rsid w:val="00DB7D53"/>
    <w:rsid w:val="00DC0464"/>
    <w:rsid w:val="00DC0787"/>
    <w:rsid w:val="00DC0F18"/>
    <w:rsid w:val="00DC10F5"/>
    <w:rsid w:val="00DC1303"/>
    <w:rsid w:val="00DC1403"/>
    <w:rsid w:val="00DC389B"/>
    <w:rsid w:val="00DC394C"/>
    <w:rsid w:val="00DC3A46"/>
    <w:rsid w:val="00DC42A4"/>
    <w:rsid w:val="00DC42EA"/>
    <w:rsid w:val="00DC4933"/>
    <w:rsid w:val="00DC558C"/>
    <w:rsid w:val="00DC693E"/>
    <w:rsid w:val="00DC7C31"/>
    <w:rsid w:val="00DD0C3F"/>
    <w:rsid w:val="00DD1F41"/>
    <w:rsid w:val="00DD26CC"/>
    <w:rsid w:val="00DD3543"/>
    <w:rsid w:val="00DD3766"/>
    <w:rsid w:val="00DD380F"/>
    <w:rsid w:val="00DD503F"/>
    <w:rsid w:val="00DD514C"/>
    <w:rsid w:val="00DD6DE7"/>
    <w:rsid w:val="00DD71D6"/>
    <w:rsid w:val="00DD73A8"/>
    <w:rsid w:val="00DD7687"/>
    <w:rsid w:val="00DD7B55"/>
    <w:rsid w:val="00DE0797"/>
    <w:rsid w:val="00DE08C3"/>
    <w:rsid w:val="00DE094A"/>
    <w:rsid w:val="00DE1ACD"/>
    <w:rsid w:val="00DE1DAB"/>
    <w:rsid w:val="00DE20A2"/>
    <w:rsid w:val="00DE261E"/>
    <w:rsid w:val="00DE269D"/>
    <w:rsid w:val="00DE3288"/>
    <w:rsid w:val="00DE52B7"/>
    <w:rsid w:val="00DE6636"/>
    <w:rsid w:val="00DE6C5F"/>
    <w:rsid w:val="00DF0175"/>
    <w:rsid w:val="00DF0297"/>
    <w:rsid w:val="00DF0B89"/>
    <w:rsid w:val="00DF131B"/>
    <w:rsid w:val="00DF164A"/>
    <w:rsid w:val="00DF299E"/>
    <w:rsid w:val="00DF2BC6"/>
    <w:rsid w:val="00DF3044"/>
    <w:rsid w:val="00DF353C"/>
    <w:rsid w:val="00DF39C2"/>
    <w:rsid w:val="00DF3DF8"/>
    <w:rsid w:val="00DF4216"/>
    <w:rsid w:val="00DF46B7"/>
    <w:rsid w:val="00DF46C8"/>
    <w:rsid w:val="00DF476B"/>
    <w:rsid w:val="00DF4978"/>
    <w:rsid w:val="00DF55D6"/>
    <w:rsid w:val="00DF58F4"/>
    <w:rsid w:val="00DF5AAF"/>
    <w:rsid w:val="00DF5D3F"/>
    <w:rsid w:val="00DF6074"/>
    <w:rsid w:val="00DF73B6"/>
    <w:rsid w:val="00DF781C"/>
    <w:rsid w:val="00E00270"/>
    <w:rsid w:val="00E008D8"/>
    <w:rsid w:val="00E00C6B"/>
    <w:rsid w:val="00E02A3C"/>
    <w:rsid w:val="00E02F70"/>
    <w:rsid w:val="00E032F6"/>
    <w:rsid w:val="00E03F4C"/>
    <w:rsid w:val="00E03F4E"/>
    <w:rsid w:val="00E051FB"/>
    <w:rsid w:val="00E056B0"/>
    <w:rsid w:val="00E05984"/>
    <w:rsid w:val="00E05C27"/>
    <w:rsid w:val="00E063DE"/>
    <w:rsid w:val="00E0671B"/>
    <w:rsid w:val="00E07453"/>
    <w:rsid w:val="00E07F6A"/>
    <w:rsid w:val="00E118AB"/>
    <w:rsid w:val="00E11E0F"/>
    <w:rsid w:val="00E11E5E"/>
    <w:rsid w:val="00E12077"/>
    <w:rsid w:val="00E121E9"/>
    <w:rsid w:val="00E129D1"/>
    <w:rsid w:val="00E12F2F"/>
    <w:rsid w:val="00E1319F"/>
    <w:rsid w:val="00E13A48"/>
    <w:rsid w:val="00E13FB6"/>
    <w:rsid w:val="00E14ACF"/>
    <w:rsid w:val="00E14BAD"/>
    <w:rsid w:val="00E14D14"/>
    <w:rsid w:val="00E159EC"/>
    <w:rsid w:val="00E15C68"/>
    <w:rsid w:val="00E16E4C"/>
    <w:rsid w:val="00E173EF"/>
    <w:rsid w:val="00E20A78"/>
    <w:rsid w:val="00E20B50"/>
    <w:rsid w:val="00E20B5E"/>
    <w:rsid w:val="00E20F69"/>
    <w:rsid w:val="00E221AF"/>
    <w:rsid w:val="00E224BF"/>
    <w:rsid w:val="00E22732"/>
    <w:rsid w:val="00E22B39"/>
    <w:rsid w:val="00E2398E"/>
    <w:rsid w:val="00E23A5C"/>
    <w:rsid w:val="00E2459F"/>
    <w:rsid w:val="00E262A9"/>
    <w:rsid w:val="00E2688C"/>
    <w:rsid w:val="00E2693C"/>
    <w:rsid w:val="00E2710F"/>
    <w:rsid w:val="00E3047D"/>
    <w:rsid w:val="00E3066D"/>
    <w:rsid w:val="00E30AF9"/>
    <w:rsid w:val="00E31FB7"/>
    <w:rsid w:val="00E32363"/>
    <w:rsid w:val="00E32488"/>
    <w:rsid w:val="00E327E4"/>
    <w:rsid w:val="00E32E77"/>
    <w:rsid w:val="00E34C86"/>
    <w:rsid w:val="00E34DB8"/>
    <w:rsid w:val="00E35369"/>
    <w:rsid w:val="00E35682"/>
    <w:rsid w:val="00E35DF9"/>
    <w:rsid w:val="00E3649B"/>
    <w:rsid w:val="00E36FCD"/>
    <w:rsid w:val="00E3745E"/>
    <w:rsid w:val="00E37A35"/>
    <w:rsid w:val="00E37B12"/>
    <w:rsid w:val="00E41042"/>
    <w:rsid w:val="00E4127C"/>
    <w:rsid w:val="00E41B14"/>
    <w:rsid w:val="00E41DD4"/>
    <w:rsid w:val="00E424A0"/>
    <w:rsid w:val="00E42698"/>
    <w:rsid w:val="00E4274A"/>
    <w:rsid w:val="00E43B12"/>
    <w:rsid w:val="00E43E66"/>
    <w:rsid w:val="00E443AB"/>
    <w:rsid w:val="00E444BC"/>
    <w:rsid w:val="00E4510E"/>
    <w:rsid w:val="00E46906"/>
    <w:rsid w:val="00E46EA3"/>
    <w:rsid w:val="00E47D3D"/>
    <w:rsid w:val="00E50223"/>
    <w:rsid w:val="00E5059B"/>
    <w:rsid w:val="00E50F61"/>
    <w:rsid w:val="00E51C1B"/>
    <w:rsid w:val="00E5332C"/>
    <w:rsid w:val="00E53353"/>
    <w:rsid w:val="00E535A6"/>
    <w:rsid w:val="00E53C45"/>
    <w:rsid w:val="00E53CE0"/>
    <w:rsid w:val="00E53DA7"/>
    <w:rsid w:val="00E54C11"/>
    <w:rsid w:val="00E55DB0"/>
    <w:rsid w:val="00E577EC"/>
    <w:rsid w:val="00E57C4D"/>
    <w:rsid w:val="00E602BD"/>
    <w:rsid w:val="00E62337"/>
    <w:rsid w:val="00E62809"/>
    <w:rsid w:val="00E63321"/>
    <w:rsid w:val="00E634AD"/>
    <w:rsid w:val="00E635BD"/>
    <w:rsid w:val="00E63675"/>
    <w:rsid w:val="00E638A7"/>
    <w:rsid w:val="00E63FAC"/>
    <w:rsid w:val="00E645E9"/>
    <w:rsid w:val="00E64C9D"/>
    <w:rsid w:val="00E6537A"/>
    <w:rsid w:val="00E65567"/>
    <w:rsid w:val="00E65B31"/>
    <w:rsid w:val="00E65B3E"/>
    <w:rsid w:val="00E65FF3"/>
    <w:rsid w:val="00E6618A"/>
    <w:rsid w:val="00E67470"/>
    <w:rsid w:val="00E67A24"/>
    <w:rsid w:val="00E67D62"/>
    <w:rsid w:val="00E7025B"/>
    <w:rsid w:val="00E70552"/>
    <w:rsid w:val="00E712F8"/>
    <w:rsid w:val="00E71416"/>
    <w:rsid w:val="00E72B05"/>
    <w:rsid w:val="00E72E0E"/>
    <w:rsid w:val="00E72FE7"/>
    <w:rsid w:val="00E73D0E"/>
    <w:rsid w:val="00E74A11"/>
    <w:rsid w:val="00E74A39"/>
    <w:rsid w:val="00E75609"/>
    <w:rsid w:val="00E75790"/>
    <w:rsid w:val="00E75BCD"/>
    <w:rsid w:val="00E76031"/>
    <w:rsid w:val="00E76714"/>
    <w:rsid w:val="00E80437"/>
    <w:rsid w:val="00E81525"/>
    <w:rsid w:val="00E81B55"/>
    <w:rsid w:val="00E82CEF"/>
    <w:rsid w:val="00E83A79"/>
    <w:rsid w:val="00E83DC4"/>
    <w:rsid w:val="00E83DCE"/>
    <w:rsid w:val="00E842A8"/>
    <w:rsid w:val="00E84360"/>
    <w:rsid w:val="00E847B3"/>
    <w:rsid w:val="00E84E89"/>
    <w:rsid w:val="00E86804"/>
    <w:rsid w:val="00E86871"/>
    <w:rsid w:val="00E870BF"/>
    <w:rsid w:val="00E871BC"/>
    <w:rsid w:val="00E90229"/>
    <w:rsid w:val="00E90F39"/>
    <w:rsid w:val="00E91899"/>
    <w:rsid w:val="00E92268"/>
    <w:rsid w:val="00E92604"/>
    <w:rsid w:val="00E936C2"/>
    <w:rsid w:val="00E942AE"/>
    <w:rsid w:val="00E96274"/>
    <w:rsid w:val="00E96D36"/>
    <w:rsid w:val="00E974B7"/>
    <w:rsid w:val="00E97DD3"/>
    <w:rsid w:val="00EA00A6"/>
    <w:rsid w:val="00EA1489"/>
    <w:rsid w:val="00EA1A6D"/>
    <w:rsid w:val="00EA21DA"/>
    <w:rsid w:val="00EA28D1"/>
    <w:rsid w:val="00EA335A"/>
    <w:rsid w:val="00EA3D63"/>
    <w:rsid w:val="00EA55C1"/>
    <w:rsid w:val="00EA61F0"/>
    <w:rsid w:val="00EA67DD"/>
    <w:rsid w:val="00EA6854"/>
    <w:rsid w:val="00EA7391"/>
    <w:rsid w:val="00EB0AA6"/>
    <w:rsid w:val="00EB1273"/>
    <w:rsid w:val="00EB22C0"/>
    <w:rsid w:val="00EB396F"/>
    <w:rsid w:val="00EB400B"/>
    <w:rsid w:val="00EB4B77"/>
    <w:rsid w:val="00EB4F3B"/>
    <w:rsid w:val="00EB50F0"/>
    <w:rsid w:val="00EB5C40"/>
    <w:rsid w:val="00EB6A2C"/>
    <w:rsid w:val="00EB6B83"/>
    <w:rsid w:val="00EB6DA9"/>
    <w:rsid w:val="00EC08AD"/>
    <w:rsid w:val="00EC1828"/>
    <w:rsid w:val="00EC1B2E"/>
    <w:rsid w:val="00EC2514"/>
    <w:rsid w:val="00EC287C"/>
    <w:rsid w:val="00EC2AB4"/>
    <w:rsid w:val="00EC2B87"/>
    <w:rsid w:val="00EC3089"/>
    <w:rsid w:val="00EC4214"/>
    <w:rsid w:val="00EC4338"/>
    <w:rsid w:val="00EC4966"/>
    <w:rsid w:val="00EC4FF0"/>
    <w:rsid w:val="00EC6B44"/>
    <w:rsid w:val="00EC73C2"/>
    <w:rsid w:val="00EC749B"/>
    <w:rsid w:val="00EC760C"/>
    <w:rsid w:val="00EC7CED"/>
    <w:rsid w:val="00ED0541"/>
    <w:rsid w:val="00ED0A14"/>
    <w:rsid w:val="00ED0D39"/>
    <w:rsid w:val="00ED0EA7"/>
    <w:rsid w:val="00ED172E"/>
    <w:rsid w:val="00ED1F4F"/>
    <w:rsid w:val="00ED353C"/>
    <w:rsid w:val="00ED41B5"/>
    <w:rsid w:val="00ED41DC"/>
    <w:rsid w:val="00ED42A0"/>
    <w:rsid w:val="00ED4BE0"/>
    <w:rsid w:val="00ED5433"/>
    <w:rsid w:val="00ED78DB"/>
    <w:rsid w:val="00ED7DE0"/>
    <w:rsid w:val="00EE0BC0"/>
    <w:rsid w:val="00EE11C7"/>
    <w:rsid w:val="00EE123E"/>
    <w:rsid w:val="00EE298D"/>
    <w:rsid w:val="00EE2BB3"/>
    <w:rsid w:val="00EE37A3"/>
    <w:rsid w:val="00EE4E61"/>
    <w:rsid w:val="00EE4F91"/>
    <w:rsid w:val="00EE6737"/>
    <w:rsid w:val="00EE7093"/>
    <w:rsid w:val="00EE70C3"/>
    <w:rsid w:val="00EE7375"/>
    <w:rsid w:val="00EE7465"/>
    <w:rsid w:val="00EE75B5"/>
    <w:rsid w:val="00EE7E8F"/>
    <w:rsid w:val="00EF1679"/>
    <w:rsid w:val="00EF2215"/>
    <w:rsid w:val="00EF302F"/>
    <w:rsid w:val="00EF3B49"/>
    <w:rsid w:val="00EF45CF"/>
    <w:rsid w:val="00EF4B52"/>
    <w:rsid w:val="00EF5517"/>
    <w:rsid w:val="00EF5CDA"/>
    <w:rsid w:val="00EF6802"/>
    <w:rsid w:val="00EF70BA"/>
    <w:rsid w:val="00F002A4"/>
    <w:rsid w:val="00F0031B"/>
    <w:rsid w:val="00F003BE"/>
    <w:rsid w:val="00F00B5D"/>
    <w:rsid w:val="00F013CB"/>
    <w:rsid w:val="00F018BF"/>
    <w:rsid w:val="00F01B1E"/>
    <w:rsid w:val="00F02214"/>
    <w:rsid w:val="00F0267C"/>
    <w:rsid w:val="00F03379"/>
    <w:rsid w:val="00F0345E"/>
    <w:rsid w:val="00F03FC4"/>
    <w:rsid w:val="00F04BF2"/>
    <w:rsid w:val="00F05790"/>
    <w:rsid w:val="00F05CF9"/>
    <w:rsid w:val="00F06960"/>
    <w:rsid w:val="00F06967"/>
    <w:rsid w:val="00F0711E"/>
    <w:rsid w:val="00F07E52"/>
    <w:rsid w:val="00F106E4"/>
    <w:rsid w:val="00F10ECA"/>
    <w:rsid w:val="00F1171C"/>
    <w:rsid w:val="00F119FB"/>
    <w:rsid w:val="00F11F70"/>
    <w:rsid w:val="00F12F5F"/>
    <w:rsid w:val="00F145D4"/>
    <w:rsid w:val="00F14AEC"/>
    <w:rsid w:val="00F15F5B"/>
    <w:rsid w:val="00F16210"/>
    <w:rsid w:val="00F164D5"/>
    <w:rsid w:val="00F1792F"/>
    <w:rsid w:val="00F17A56"/>
    <w:rsid w:val="00F20474"/>
    <w:rsid w:val="00F209A2"/>
    <w:rsid w:val="00F21AB6"/>
    <w:rsid w:val="00F223D5"/>
    <w:rsid w:val="00F2283A"/>
    <w:rsid w:val="00F22A84"/>
    <w:rsid w:val="00F22A8F"/>
    <w:rsid w:val="00F22ED6"/>
    <w:rsid w:val="00F23EB4"/>
    <w:rsid w:val="00F24BD2"/>
    <w:rsid w:val="00F2529A"/>
    <w:rsid w:val="00F25333"/>
    <w:rsid w:val="00F25A72"/>
    <w:rsid w:val="00F25F5E"/>
    <w:rsid w:val="00F260CB"/>
    <w:rsid w:val="00F26C19"/>
    <w:rsid w:val="00F3192A"/>
    <w:rsid w:val="00F322C3"/>
    <w:rsid w:val="00F32553"/>
    <w:rsid w:val="00F32690"/>
    <w:rsid w:val="00F327CE"/>
    <w:rsid w:val="00F332ED"/>
    <w:rsid w:val="00F3334B"/>
    <w:rsid w:val="00F33552"/>
    <w:rsid w:val="00F335AB"/>
    <w:rsid w:val="00F33C8D"/>
    <w:rsid w:val="00F348D1"/>
    <w:rsid w:val="00F35955"/>
    <w:rsid w:val="00F3669D"/>
    <w:rsid w:val="00F378C1"/>
    <w:rsid w:val="00F40CC5"/>
    <w:rsid w:val="00F40E48"/>
    <w:rsid w:val="00F410B5"/>
    <w:rsid w:val="00F41AF4"/>
    <w:rsid w:val="00F41DE0"/>
    <w:rsid w:val="00F42FBC"/>
    <w:rsid w:val="00F4385E"/>
    <w:rsid w:val="00F43BFB"/>
    <w:rsid w:val="00F43F5D"/>
    <w:rsid w:val="00F4401D"/>
    <w:rsid w:val="00F44398"/>
    <w:rsid w:val="00F448C3"/>
    <w:rsid w:val="00F44C53"/>
    <w:rsid w:val="00F45085"/>
    <w:rsid w:val="00F450F4"/>
    <w:rsid w:val="00F45564"/>
    <w:rsid w:val="00F463F1"/>
    <w:rsid w:val="00F46892"/>
    <w:rsid w:val="00F469B2"/>
    <w:rsid w:val="00F47200"/>
    <w:rsid w:val="00F47953"/>
    <w:rsid w:val="00F50572"/>
    <w:rsid w:val="00F505BC"/>
    <w:rsid w:val="00F50E5A"/>
    <w:rsid w:val="00F50EC6"/>
    <w:rsid w:val="00F511FB"/>
    <w:rsid w:val="00F51333"/>
    <w:rsid w:val="00F52456"/>
    <w:rsid w:val="00F5281E"/>
    <w:rsid w:val="00F531AA"/>
    <w:rsid w:val="00F536B7"/>
    <w:rsid w:val="00F537AD"/>
    <w:rsid w:val="00F53BDD"/>
    <w:rsid w:val="00F53FEE"/>
    <w:rsid w:val="00F54DAB"/>
    <w:rsid w:val="00F56161"/>
    <w:rsid w:val="00F561CC"/>
    <w:rsid w:val="00F563CD"/>
    <w:rsid w:val="00F56862"/>
    <w:rsid w:val="00F56FE5"/>
    <w:rsid w:val="00F575AF"/>
    <w:rsid w:val="00F604F4"/>
    <w:rsid w:val="00F60AFA"/>
    <w:rsid w:val="00F61878"/>
    <w:rsid w:val="00F62588"/>
    <w:rsid w:val="00F627EB"/>
    <w:rsid w:val="00F629BF"/>
    <w:rsid w:val="00F633D8"/>
    <w:rsid w:val="00F6431B"/>
    <w:rsid w:val="00F64B3B"/>
    <w:rsid w:val="00F64BF7"/>
    <w:rsid w:val="00F64C76"/>
    <w:rsid w:val="00F64CCC"/>
    <w:rsid w:val="00F64ED6"/>
    <w:rsid w:val="00F65747"/>
    <w:rsid w:val="00F65AD5"/>
    <w:rsid w:val="00F65F15"/>
    <w:rsid w:val="00F660F7"/>
    <w:rsid w:val="00F6638A"/>
    <w:rsid w:val="00F6692A"/>
    <w:rsid w:val="00F66E97"/>
    <w:rsid w:val="00F6754F"/>
    <w:rsid w:val="00F6755D"/>
    <w:rsid w:val="00F675B0"/>
    <w:rsid w:val="00F707C9"/>
    <w:rsid w:val="00F70DE9"/>
    <w:rsid w:val="00F710FE"/>
    <w:rsid w:val="00F71BEA"/>
    <w:rsid w:val="00F744F4"/>
    <w:rsid w:val="00F74A01"/>
    <w:rsid w:val="00F74AA8"/>
    <w:rsid w:val="00F74F89"/>
    <w:rsid w:val="00F75A10"/>
    <w:rsid w:val="00F75D9F"/>
    <w:rsid w:val="00F76063"/>
    <w:rsid w:val="00F76D11"/>
    <w:rsid w:val="00F77276"/>
    <w:rsid w:val="00F77A8D"/>
    <w:rsid w:val="00F77D27"/>
    <w:rsid w:val="00F80013"/>
    <w:rsid w:val="00F8095A"/>
    <w:rsid w:val="00F8143C"/>
    <w:rsid w:val="00F81476"/>
    <w:rsid w:val="00F81681"/>
    <w:rsid w:val="00F81E11"/>
    <w:rsid w:val="00F8260F"/>
    <w:rsid w:val="00F83228"/>
    <w:rsid w:val="00F834A7"/>
    <w:rsid w:val="00F847A0"/>
    <w:rsid w:val="00F85873"/>
    <w:rsid w:val="00F85D19"/>
    <w:rsid w:val="00F860A3"/>
    <w:rsid w:val="00F864FC"/>
    <w:rsid w:val="00F86808"/>
    <w:rsid w:val="00F8760E"/>
    <w:rsid w:val="00F8773E"/>
    <w:rsid w:val="00F87B6F"/>
    <w:rsid w:val="00F9142D"/>
    <w:rsid w:val="00F915A4"/>
    <w:rsid w:val="00F91EF0"/>
    <w:rsid w:val="00F92104"/>
    <w:rsid w:val="00F931E9"/>
    <w:rsid w:val="00F93676"/>
    <w:rsid w:val="00F93A3D"/>
    <w:rsid w:val="00F93C99"/>
    <w:rsid w:val="00F93DCD"/>
    <w:rsid w:val="00F94009"/>
    <w:rsid w:val="00F9412A"/>
    <w:rsid w:val="00F94C16"/>
    <w:rsid w:val="00F94D3F"/>
    <w:rsid w:val="00F9591A"/>
    <w:rsid w:val="00F9689E"/>
    <w:rsid w:val="00FA066D"/>
    <w:rsid w:val="00FA0956"/>
    <w:rsid w:val="00FA0FB3"/>
    <w:rsid w:val="00FA1126"/>
    <w:rsid w:val="00FA1B03"/>
    <w:rsid w:val="00FA24F3"/>
    <w:rsid w:val="00FA2798"/>
    <w:rsid w:val="00FA3A4D"/>
    <w:rsid w:val="00FA42BC"/>
    <w:rsid w:val="00FA4635"/>
    <w:rsid w:val="00FA4B2F"/>
    <w:rsid w:val="00FA509C"/>
    <w:rsid w:val="00FA5C21"/>
    <w:rsid w:val="00FA5FCE"/>
    <w:rsid w:val="00FA6B30"/>
    <w:rsid w:val="00FA6C13"/>
    <w:rsid w:val="00FA761A"/>
    <w:rsid w:val="00FA786A"/>
    <w:rsid w:val="00FB0515"/>
    <w:rsid w:val="00FB0EE9"/>
    <w:rsid w:val="00FB0EFB"/>
    <w:rsid w:val="00FB0F8A"/>
    <w:rsid w:val="00FB1300"/>
    <w:rsid w:val="00FB19BF"/>
    <w:rsid w:val="00FB252E"/>
    <w:rsid w:val="00FB2EB5"/>
    <w:rsid w:val="00FB30F6"/>
    <w:rsid w:val="00FB34E4"/>
    <w:rsid w:val="00FB38ED"/>
    <w:rsid w:val="00FB3DE3"/>
    <w:rsid w:val="00FB3F26"/>
    <w:rsid w:val="00FB4C8E"/>
    <w:rsid w:val="00FB4D15"/>
    <w:rsid w:val="00FB4E84"/>
    <w:rsid w:val="00FB5951"/>
    <w:rsid w:val="00FB5D0D"/>
    <w:rsid w:val="00FB68DD"/>
    <w:rsid w:val="00FB7F99"/>
    <w:rsid w:val="00FC02F4"/>
    <w:rsid w:val="00FC2683"/>
    <w:rsid w:val="00FC2810"/>
    <w:rsid w:val="00FC3213"/>
    <w:rsid w:val="00FC3C6C"/>
    <w:rsid w:val="00FC48C6"/>
    <w:rsid w:val="00FC4A91"/>
    <w:rsid w:val="00FC4E0B"/>
    <w:rsid w:val="00FC6141"/>
    <w:rsid w:val="00FC646D"/>
    <w:rsid w:val="00FC65E5"/>
    <w:rsid w:val="00FC6C78"/>
    <w:rsid w:val="00FC6CEF"/>
    <w:rsid w:val="00FC6E1D"/>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207"/>
    <w:rsid w:val="00FE1303"/>
    <w:rsid w:val="00FE291B"/>
    <w:rsid w:val="00FE40C1"/>
    <w:rsid w:val="00FE410C"/>
    <w:rsid w:val="00FE546C"/>
    <w:rsid w:val="00FE54AE"/>
    <w:rsid w:val="00FE5671"/>
    <w:rsid w:val="00FE59BB"/>
    <w:rsid w:val="00FE5E25"/>
    <w:rsid w:val="00FE6AE8"/>
    <w:rsid w:val="00FE70D5"/>
    <w:rsid w:val="00FE7127"/>
    <w:rsid w:val="00FF041F"/>
    <w:rsid w:val="00FF0C67"/>
    <w:rsid w:val="00FF0E6A"/>
    <w:rsid w:val="00FF0F69"/>
    <w:rsid w:val="00FF1623"/>
    <w:rsid w:val="00FF21EF"/>
    <w:rsid w:val="00FF2A34"/>
    <w:rsid w:val="00FF4A4D"/>
    <w:rsid w:val="00FF5813"/>
    <w:rsid w:val="00FF5E54"/>
    <w:rsid w:val="00FF5E85"/>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C08AD"/>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basedOn w:val="Normal"/>
    <w:link w:val="2"/>
    <w:uiPriority w:val="99"/>
    <w:unhideWhenUsed/>
    <w:rsid w:val="000501A4"/>
    <w:pPr>
      <w:tabs>
        <w:tab w:val="center" w:pos="4153"/>
        <w:tab w:val="right" w:pos="8306"/>
      </w:tabs>
      <w:spacing w:line="240" w:lineRule="auto"/>
    </w:pPr>
  </w:style>
  <w:style w:type="character" w:customStyle="1" w:styleId="2">
    <w:name w:val="כותרת תחתונה תו2"/>
    <w:basedOn w:val="DefaultParagraphFont"/>
    <w:link w:val="Footer"/>
    <w:uiPriority w:val="99"/>
    <w:rsid w:val="000501A4"/>
  </w:style>
  <w:style w:type="paragraph" w:styleId="Date">
    <w:name w:val="Date"/>
    <w:basedOn w:val="Normal"/>
    <w:next w:val="Normal"/>
    <w:link w:val="20"/>
    <w:uiPriority w:val="99"/>
    <w:unhideWhenUsed/>
    <w:rsid w:val="000501A4"/>
    <w:pPr>
      <w:spacing w:before="120" w:line="240" w:lineRule="auto"/>
    </w:pPr>
  </w:style>
  <w:style w:type="character" w:customStyle="1" w:styleId="20">
    <w:name w:val="תאריך תו2"/>
    <w:basedOn w:val="DefaultParagraphFont"/>
    <w:link w:val="Date"/>
    <w:uiPriority w:val="99"/>
    <w:rsid w:val="000501A4"/>
  </w:style>
  <w:style w:type="paragraph" w:styleId="FootnoteText">
    <w:name w:val="footnote text"/>
    <w:aliases w:val=" Char,Char,FOOTNOTES,Footnote Text - Sharp,Footnote Text - Sharp Char,Footnote Text - Sharp Char Char,Footnote Text Char Char Char Char Char,Footnote reference,Sharp - Footnote Text,Sharp - Footnote Text1 Char,fn,footnote text"/>
    <w:basedOn w:val="Normal"/>
    <w:link w:val="3"/>
    <w:uiPriority w:val="99"/>
    <w:rsid w:val="00574579"/>
    <w:pPr>
      <w:spacing w:line="240" w:lineRule="auto"/>
      <w:ind w:left="720" w:hanging="720"/>
    </w:pPr>
    <w:rPr>
      <w:szCs w:val="20"/>
    </w:rPr>
  </w:style>
  <w:style w:type="character" w:customStyle="1" w:styleId="3">
    <w:name w:val="טקסט הערת שוליים תו3"/>
    <w:aliases w:val=" Char תו1,Char תו,FOOTNOTES תו1,Footnote Text - Sharp Char Char תו1,Footnote Text - Sharp Char תו1,Footnote Text - Sharp תו1,Footnote Text Char Char Char Char Char תו1,Footnote reference תו1,Sharp - Footnote Text תו1,fn תו1"/>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0_0_0_0,Footnote Reference_1,Footnote Reference_2,Footnote Reference_3,Footnote Reference_3_0,Footnote Reference_4,Footnote text"/>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1"/>
    <w:uiPriority w:val="99"/>
    <w:unhideWhenUsed/>
    <w:rsid w:val="005F492A"/>
    <w:rPr>
      <w:b/>
      <w:bCs/>
    </w:rPr>
  </w:style>
  <w:style w:type="character" w:customStyle="1" w:styleId="21">
    <w:name w:val="נושא הערה תו2"/>
    <w:basedOn w:val="12"/>
    <w:link w:val="CommentSubject"/>
    <w:uiPriority w:val="99"/>
    <w:rsid w:val="005F492A"/>
    <w:rPr>
      <w:b/>
      <w:bCs/>
      <w:szCs w:val="20"/>
    </w:rPr>
  </w:style>
  <w:style w:type="paragraph" w:styleId="ListParagraph">
    <w:name w:val="List Paragraph"/>
    <w:aliases w:val="LP1,פיסקת bullets"/>
    <w:basedOn w:val="Normal"/>
    <w:link w:val="a4"/>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hAnsi="Tahoma" w:eastAsiaTheme="minorEastAsi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aliases w:val="Spacing 0 pt"/>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hAnsi="Tahoma" w:eastAsiaTheme="minorEastAsia" w:cs="Tahoma"/>
      <w:sz w:val="17"/>
      <w:szCs w:val="18"/>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tab-name"/>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3">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316">
    <w:name w:val="כותרת 3_16"/>
    <w:basedOn w:val="Heading3"/>
    <w:link w:val="316Char"/>
    <w:qFormat/>
    <w:rsid w:val="00417266"/>
    <w:pPr>
      <w:keepLines w:val="0"/>
      <w:spacing w:before="600" w:after="120"/>
      <w:jc w:val="left"/>
    </w:pPr>
    <w:rPr>
      <w:rFonts w:ascii="Tahoma" w:eastAsia="Times New Roman" w:hAnsi="Tahoma" w:cs="Tahoma"/>
      <w:bCs w:val="0"/>
      <w:color w:val="009692"/>
      <w:sz w:val="32"/>
      <w:szCs w:val="32"/>
      <w:u w:val="none"/>
    </w:rPr>
  </w:style>
  <w:style w:type="paragraph" w:customStyle="1" w:styleId="100">
    <w:name w:val="טקסט רץ 10"/>
    <w:basedOn w:val="Normal"/>
    <w:qFormat/>
    <w:rsid w:val="00705DA7"/>
    <w:pPr>
      <w:spacing w:after="120"/>
    </w:pPr>
    <w:rPr>
      <w:rFonts w:ascii="Tahoma" w:hAnsi="Tahoma" w:cs="Tahoma"/>
      <w:szCs w:val="20"/>
    </w:rPr>
  </w:style>
  <w:style w:type="character" w:customStyle="1" w:styleId="316Char">
    <w:name w:val="כותרת 3_16 Char"/>
    <w:basedOn w:val="32"/>
    <w:link w:val="316"/>
    <w:rsid w:val="00417266"/>
    <w:rPr>
      <w:rFonts w:ascii="Tahoma" w:eastAsia="Times New Roman" w:hAnsi="Tahoma" w:cs="Tahoma"/>
      <w:bCs w:val="0"/>
      <w:color w:val="009692"/>
      <w:sz w:val="32"/>
      <w:szCs w:val="32"/>
      <w:u w:val="single"/>
    </w:rPr>
  </w:style>
  <w:style w:type="paragraph" w:customStyle="1" w:styleId="a2">
    <w:name w:val="הערות שוליים"/>
    <w:basedOn w:val="FootnoteText"/>
    <w:qFormat/>
    <w:rsid w:val="00705DA7"/>
    <w:pPr>
      <w:spacing w:after="60" w:line="312" w:lineRule="auto"/>
      <w:ind w:left="397" w:hanging="397"/>
    </w:pPr>
    <w:rPr>
      <w:rFonts w:ascii="Tahoma" w:hAnsi="Tahoma" w:cs="Tahoma"/>
      <w:sz w:val="16"/>
      <w:szCs w:val="16"/>
    </w:rPr>
  </w:style>
  <w:style w:type="paragraph" w:customStyle="1" w:styleId="a3">
    <w:name w:val="לוחות/תרשימים/תמונות/אינפוגרפיקה/מפות"/>
    <w:basedOn w:val="Normal"/>
    <w:qFormat/>
    <w:rsid w:val="0058142E"/>
    <w:pPr>
      <w:keepNext/>
      <w:spacing w:after="200"/>
      <w:jc w:val="center"/>
    </w:pPr>
    <w:rPr>
      <w:rFonts w:ascii="Tahoma" w:hAnsi="Tahoma" w:eastAsiaTheme="minorEastAsia" w:cs="Tahoma"/>
      <w:color w:val="365F91" w:themeColor="accent1" w:themeShade="BF"/>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4">
    <w:name w:val="פיסקת רשימה תו"/>
    <w:aliases w:val="LP1 תו,פיסקת bullets תו"/>
    <w:link w:val="ListParagraph"/>
    <w:uiPriority w:val="34"/>
    <w:rsid w:val="00DD7B55"/>
  </w:style>
  <w:style w:type="paragraph" w:customStyle="1" w:styleId="a5">
    <w:name w:val="הזחה ראשונה מספר"/>
    <w:basedOn w:val="ListParagraph"/>
    <w:qFormat/>
    <w:rsid w:val="00FA6B30"/>
    <w:pPr>
      <w:numPr>
        <w:numId w:val="2"/>
      </w:numPr>
      <w:spacing w:after="120"/>
      <w:contextualSpacing w:val="0"/>
    </w:pPr>
    <w:rPr>
      <w:rFonts w:ascii="Tahoma" w:hAnsi="Tahoma" w:cs="Tahoma"/>
      <w:szCs w:val="20"/>
    </w:rPr>
  </w:style>
  <w:style w:type="paragraph" w:customStyle="1" w:styleId="a6">
    <w:name w:val="הזחה שנייה ריק"/>
    <w:basedOn w:val="BodyTextIndent"/>
    <w:link w:val="Char2"/>
    <w:qFormat/>
    <w:rsid w:val="00E07453"/>
    <w:pPr>
      <w:ind w:left="794"/>
    </w:pPr>
    <w:rPr>
      <w:sz w:val="20"/>
    </w:rPr>
  </w:style>
  <w:style w:type="paragraph" w:customStyle="1" w:styleId="a7">
    <w:name w:val="הזחה שנייה אותיות"/>
    <w:basedOn w:val="ListParagraph"/>
    <w:qFormat/>
    <w:rsid w:val="005C23D7"/>
    <w:pPr>
      <w:numPr>
        <w:ilvl w:val="1"/>
        <w:numId w:val="1"/>
      </w:numPr>
      <w:spacing w:after="120"/>
    </w:pPr>
    <w:rPr>
      <w:rFonts w:ascii="Tahoma" w:hAnsi="Tahoma" w:cs="Tahoma"/>
      <w:szCs w:val="20"/>
    </w:rPr>
  </w:style>
  <w:style w:type="paragraph" w:customStyle="1" w:styleId="a8">
    <w:name w:val="מקרא+הערות לתרשים/לוח/תמונה"/>
    <w:basedOn w:val="a2"/>
    <w:qFormat/>
    <w:rsid w:val="00FE0207"/>
    <w:pPr>
      <w:spacing w:before="120"/>
      <w:jc w:val="center"/>
    </w:pPr>
  </w:style>
  <w:style w:type="paragraph" w:customStyle="1" w:styleId="a9">
    <w:name w:val="קוביה כחולה הזחה שנייה"/>
    <w:basedOn w:val="RESHET"/>
    <w:qFormat/>
    <w:rsid w:val="00CA4D91"/>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1077" w:right="284"/>
    </w:pPr>
    <w:rPr>
      <w:rFonts w:ascii="Tahoma" w:hAnsi="Tahoma" w:cs="Tahoma"/>
      <w:b w:val="0"/>
      <w:bCs w:val="0"/>
      <w:sz w:val="20"/>
      <w:szCs w:val="20"/>
    </w:rPr>
  </w:style>
  <w:style w:type="paragraph" w:customStyle="1" w:styleId="a10">
    <w:name w:val="קוביה כחולה בתוך הזחה ראשונה"/>
    <w:basedOn w:val="a9"/>
    <w:qFormat/>
    <w:rsid w:val="00445522"/>
    <w:pPr>
      <w:ind w:left="680"/>
    </w:pPr>
  </w:style>
  <w:style w:type="paragraph" w:customStyle="1" w:styleId="710">
    <w:name w:val="כותרת 7_10"/>
    <w:basedOn w:val="a7"/>
    <w:qFormat/>
    <w:rsid w:val="00774E68"/>
    <w:pPr>
      <w:ind w:left="1191"/>
    </w:pPr>
  </w:style>
  <w:style w:type="paragraph" w:customStyle="1" w:styleId="a11">
    <w:name w:val="הזחה שנייה ללא מספר"/>
    <w:basedOn w:val="a6"/>
    <w:link w:val="Char3"/>
    <w:qFormat/>
    <w:rsid w:val="00D053C2"/>
  </w:style>
  <w:style w:type="character" w:customStyle="1" w:styleId="Char2">
    <w:name w:val="הזחה שנייה ריק Char"/>
    <w:basedOn w:val="a"/>
    <w:link w:val="a6"/>
    <w:rsid w:val="008A78F7"/>
    <w:rPr>
      <w:rFonts w:ascii="Tahoma" w:hAnsi="Tahoma" w:cs="Tahoma"/>
      <w:sz w:val="16"/>
      <w:szCs w:val="20"/>
    </w:rPr>
  </w:style>
  <w:style w:type="character" w:customStyle="1" w:styleId="Char3">
    <w:name w:val="הזחה שנייה ללא מספר Char"/>
    <w:basedOn w:val="Char2"/>
    <w:link w:val="a11"/>
    <w:rsid w:val="00D053C2"/>
    <w:rPr>
      <w:rFonts w:ascii="Tahoma" w:hAnsi="Tahoma" w:cs="Tahoma"/>
      <w:sz w:val="16"/>
      <w:szCs w:val="20"/>
    </w:rPr>
  </w:style>
  <w:style w:type="paragraph" w:customStyle="1" w:styleId="a12">
    <w:name w:val="מספור הערות שוליים"/>
    <w:basedOn w:val="a2"/>
    <w:qFormat/>
    <w:rsid w:val="003B639B"/>
  </w:style>
  <w:style w:type="paragraph" w:customStyle="1" w:styleId="R">
    <w:name w:val="טקסט R טבלה"/>
    <w:basedOn w:val="Normal"/>
    <w:qFormat/>
    <w:rsid w:val="00BF28A4"/>
    <w:pPr>
      <w:spacing w:before="40" w:after="40"/>
      <w:jc w:val="left"/>
    </w:pPr>
    <w:rPr>
      <w:rFonts w:ascii="Tahoma" w:hAnsi="Tahoma" w:eastAsiaTheme="minorEastAsia" w:cs="Tahoma"/>
      <w:szCs w:val="20"/>
    </w:rPr>
  </w:style>
  <w:style w:type="paragraph" w:customStyle="1" w:styleId="B">
    <w:name w:val="טקסט B טבלה"/>
    <w:basedOn w:val="Normal"/>
    <w:qFormat/>
    <w:rsid w:val="00BF28A4"/>
    <w:pPr>
      <w:spacing w:before="40" w:after="40"/>
      <w:jc w:val="left"/>
    </w:pPr>
    <w:rPr>
      <w:rFonts w:ascii="Tahoma" w:hAnsi="Tahoma" w:eastAsiaTheme="minorEastAsia" w:cs="Tahoma"/>
      <w:b/>
      <w:bCs/>
      <w:szCs w:val="16"/>
    </w:rPr>
  </w:style>
  <w:style w:type="paragraph" w:customStyle="1" w:styleId="a13">
    <w:name w:val="כותרת טבלה"/>
    <w:basedOn w:val="Normal"/>
    <w:qFormat/>
    <w:rsid w:val="00625B8F"/>
    <w:pPr>
      <w:spacing w:before="40" w:after="40"/>
      <w:jc w:val="left"/>
    </w:pPr>
    <w:rPr>
      <w:rFonts w:ascii="Tahoma" w:hAnsi="Tahoma" w:eastAsiaTheme="minorEastAsia" w:cs="Tahoma"/>
      <w:b/>
      <w:bCs/>
      <w:color w:val="000000" w:themeColor="text1"/>
      <w:szCs w:val="20"/>
    </w:rPr>
  </w:style>
  <w:style w:type="paragraph" w:customStyle="1" w:styleId="Style1">
    <w:name w:val="Style1"/>
    <w:basedOn w:val="a7"/>
    <w:qFormat/>
    <w:rsid w:val="00085B99"/>
  </w:style>
  <w:style w:type="paragraph" w:customStyle="1" w:styleId="a14">
    <w:name w:val="כניסה שלישית"/>
    <w:basedOn w:val="ListParagraph"/>
    <w:qFormat/>
    <w:rsid w:val="008E5512"/>
    <w:pPr>
      <w:numPr>
        <w:ilvl w:val="2"/>
        <w:numId w:val="2"/>
      </w:numPr>
      <w:spacing w:after="120"/>
    </w:pPr>
    <w:rPr>
      <w:rFonts w:ascii="Tahoma" w:hAnsi="Tahoma" w:cs="Tahoma"/>
      <w:szCs w:val="20"/>
    </w:rPr>
  </w:style>
  <w:style w:type="paragraph" w:customStyle="1" w:styleId="a15">
    <w:name w:val="הזחה שלישית"/>
    <w:basedOn w:val="a11"/>
    <w:qFormat/>
    <w:rsid w:val="008D42F6"/>
    <w:pPr>
      <w:ind w:left="1191"/>
    </w:pPr>
  </w:style>
  <w:style w:type="paragraph" w:customStyle="1" w:styleId="a16">
    <w:name w:val="קוביה כחולה הזחה שלישית"/>
    <w:basedOn w:val="a9"/>
    <w:qFormat/>
    <w:rsid w:val="00230B94"/>
    <w:pPr>
      <w:ind w:left="1474"/>
    </w:pPr>
  </w:style>
  <w:style w:type="paragraph" w:customStyle="1" w:styleId="15">
    <w:name w:val="קוביה הזחה 1"/>
    <w:basedOn w:val="a9"/>
    <w:qFormat/>
    <w:rsid w:val="005C2859"/>
    <w:pPr>
      <w:ind w:left="680"/>
    </w:pPr>
  </w:style>
  <w:style w:type="paragraph" w:customStyle="1" w:styleId="a17">
    <w:name w:val="הזחה ראשונה ללא מספר"/>
    <w:basedOn w:val="a11"/>
    <w:qFormat/>
    <w:rsid w:val="008203CF"/>
    <w:pPr>
      <w:ind w:left="397"/>
    </w:pPr>
  </w:style>
  <w:style w:type="paragraph" w:customStyle="1" w:styleId="a18">
    <w:name w:val="קוביה רצה"/>
    <w:basedOn w:val="a10"/>
    <w:qFormat/>
    <w:rsid w:val="000E4DF7"/>
    <w:pPr>
      <w:ind w:left="284" w:right="227"/>
    </w:pPr>
  </w:style>
  <w:style w:type="paragraph" w:customStyle="1" w:styleId="414">
    <w:name w:val="כותרת 4_14"/>
    <w:basedOn w:val="Heading4"/>
    <w:qFormat/>
    <w:rsid w:val="00742601"/>
    <w:pPr>
      <w:spacing w:before="360" w:after="120" w:line="269" w:lineRule="auto"/>
      <w:jc w:val="left"/>
    </w:pPr>
    <w:rPr>
      <w:rFonts w:ascii="Tahoma" w:hAnsi="Tahoma" w:cs="Tahoma"/>
      <w:b/>
      <w:bCs w:val="0"/>
      <w:color w:val="387026"/>
      <w:sz w:val="28"/>
      <w:szCs w:val="28"/>
    </w:rPr>
  </w:style>
  <w:style w:type="paragraph" w:customStyle="1" w:styleId="a19">
    <w:name w:val="הזחה בתוך קוביה"/>
    <w:basedOn w:val="a18"/>
    <w:qFormat/>
    <w:rsid w:val="004C0FFF"/>
    <w:pPr>
      <w:numPr>
        <w:ilvl w:val="1"/>
        <w:numId w:val="3"/>
      </w:numPr>
    </w:pPr>
  </w:style>
  <w:style w:type="paragraph" w:customStyle="1" w:styleId="5115">
    <w:name w:val="כותרת 5_11.5"/>
    <w:basedOn w:val="100"/>
    <w:qFormat/>
    <w:rsid w:val="00FD64B8"/>
    <w:pPr>
      <w:spacing w:before="240" w:line="269" w:lineRule="auto"/>
      <w:jc w:val="left"/>
    </w:pPr>
    <w:rPr>
      <w:color w:val="387026"/>
      <w:sz w:val="23"/>
      <w:szCs w:val="23"/>
    </w:rPr>
  </w:style>
  <w:style w:type="paragraph" w:customStyle="1" w:styleId="a20">
    <w:name w:val="אותיות בתוך קוביה"/>
    <w:basedOn w:val="a19"/>
    <w:rsid w:val="004F431D"/>
  </w:style>
  <w:style w:type="paragraph" w:customStyle="1" w:styleId="16">
    <w:name w:val="אותיות בתוך קוביה 1"/>
    <w:basedOn w:val="a20"/>
    <w:qFormat/>
    <w:rsid w:val="00086738"/>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21"/>
    <w:uiPriority w:val="99"/>
    <w:unhideWhenUsed/>
    <w:rsid w:val="006D5CCE"/>
    <w:pPr>
      <w:spacing w:line="240" w:lineRule="auto"/>
      <w:jc w:val="left"/>
    </w:pPr>
    <w:rPr>
      <w:rFonts w:ascii="Calibri" w:hAnsi="Calibri" w:cstheme="minorBidi"/>
      <w:sz w:val="22"/>
      <w:szCs w:val="21"/>
    </w:rPr>
  </w:style>
  <w:style w:type="character" w:customStyle="1" w:styleId="a21">
    <w:name w:val="טקסט רגיל תו"/>
    <w:basedOn w:val="DefaultParagraphFont"/>
    <w:link w:val="PlainText"/>
    <w:uiPriority w:val="99"/>
    <w:rsid w:val="006D5CCE"/>
    <w:rPr>
      <w:rFonts w:ascii="Calibri" w:hAnsi="Calibri" w:cstheme="minorBidi"/>
      <w:sz w:val="22"/>
      <w:szCs w:val="21"/>
    </w:rPr>
  </w:style>
  <w:style w:type="table" w:customStyle="1" w:styleId="24">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22"/>
    <w:uiPriority w:val="99"/>
    <w:semiHidden/>
    <w:unhideWhenUsed/>
    <w:rsid w:val="006D5CCE"/>
    <w:pPr>
      <w:spacing w:line="240" w:lineRule="auto"/>
    </w:pPr>
    <w:rPr>
      <w:szCs w:val="20"/>
    </w:rPr>
  </w:style>
  <w:style w:type="character" w:customStyle="1" w:styleId="a22">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8"/>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5"/>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1">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7">
    <w:name w:val="ללא רשימה1"/>
    <w:uiPriority w:val="99"/>
    <w:semiHidden/>
    <w:unhideWhenUsed/>
    <w:rsid w:val="002516DF"/>
  </w:style>
  <w:style w:type="character" w:customStyle="1" w:styleId="18">
    <w:name w:val="כותרת 1 תו"/>
    <w:link w:val="110"/>
    <w:uiPriority w:val="1"/>
    <w:rsid w:val="002516DF"/>
    <w:rPr>
      <w:rFonts w:eastAsia="Times New Roman"/>
      <w:bCs/>
      <w:szCs w:val="36"/>
      <w:u w:val="single"/>
    </w:rPr>
  </w:style>
  <w:style w:type="character" w:customStyle="1" w:styleId="25">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1"/>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9">
    <w:name w:val="כותרת עליונה1"/>
    <w:basedOn w:val="Normal"/>
    <w:link w:val="a23"/>
    <w:uiPriority w:val="99"/>
    <w:unhideWhenUsed/>
    <w:rsid w:val="002516DF"/>
    <w:pPr>
      <w:tabs>
        <w:tab w:val="center" w:pos="4153"/>
        <w:tab w:val="right" w:pos="8306"/>
      </w:tabs>
      <w:spacing w:line="240" w:lineRule="auto"/>
    </w:pPr>
    <w:rPr>
      <w:rFonts w:eastAsia="Calibri"/>
    </w:rPr>
  </w:style>
  <w:style w:type="character" w:customStyle="1" w:styleId="a23">
    <w:name w:val="כותרת עליונה תו"/>
    <w:basedOn w:val="DefaultParagraphFont"/>
    <w:link w:val="19"/>
    <w:uiPriority w:val="99"/>
    <w:rsid w:val="002516DF"/>
    <w:rPr>
      <w:rFonts w:eastAsia="Calibri"/>
    </w:rPr>
  </w:style>
  <w:style w:type="paragraph" w:customStyle="1" w:styleId="111">
    <w:name w:val="כותרת תחתונה1"/>
    <w:basedOn w:val="Normal"/>
    <w:link w:val="a24"/>
    <w:uiPriority w:val="99"/>
    <w:unhideWhenUsed/>
    <w:rsid w:val="002516DF"/>
    <w:pPr>
      <w:tabs>
        <w:tab w:val="center" w:pos="4153"/>
        <w:tab w:val="right" w:pos="8306"/>
      </w:tabs>
      <w:spacing w:line="240" w:lineRule="auto"/>
    </w:pPr>
    <w:rPr>
      <w:rFonts w:eastAsia="Calibri"/>
    </w:rPr>
  </w:style>
  <w:style w:type="character" w:customStyle="1" w:styleId="a24">
    <w:name w:val="כותרת תחתונה תו"/>
    <w:basedOn w:val="DefaultParagraphFont"/>
    <w:link w:val="111"/>
    <w:uiPriority w:val="99"/>
    <w:rsid w:val="002516DF"/>
    <w:rPr>
      <w:rFonts w:eastAsia="Calibri"/>
    </w:rPr>
  </w:style>
  <w:style w:type="paragraph" w:customStyle="1" w:styleId="112">
    <w:name w:val="תאריך1"/>
    <w:basedOn w:val="Normal"/>
    <w:next w:val="Normal"/>
    <w:link w:val="a25"/>
    <w:uiPriority w:val="99"/>
    <w:unhideWhenUsed/>
    <w:rsid w:val="002516DF"/>
    <w:pPr>
      <w:spacing w:before="120" w:line="240" w:lineRule="auto"/>
    </w:pPr>
    <w:rPr>
      <w:rFonts w:eastAsia="Calibri"/>
    </w:rPr>
  </w:style>
  <w:style w:type="character" w:customStyle="1" w:styleId="a25">
    <w:name w:val="תאריך תו"/>
    <w:basedOn w:val="DefaultParagraphFont"/>
    <w:link w:val="112"/>
    <w:uiPriority w:val="99"/>
    <w:rsid w:val="002516DF"/>
    <w:rPr>
      <w:rFonts w:eastAsia="Calibri"/>
    </w:rPr>
  </w:style>
  <w:style w:type="character" w:customStyle="1" w:styleId="a2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3">
    <w:name w:val="הפניה להערת שוליים1"/>
    <w:semiHidden/>
    <w:unhideWhenUsed/>
    <w:rsid w:val="002516DF"/>
    <w:rPr>
      <w:vertAlign w:val="superscript"/>
    </w:rPr>
  </w:style>
  <w:style w:type="paragraph" w:customStyle="1" w:styleId="114">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2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5">
    <w:name w:val="טקסט בלונים1"/>
    <w:basedOn w:val="Normal"/>
    <w:link w:val="a28"/>
    <w:uiPriority w:val="99"/>
    <w:semiHidden/>
    <w:unhideWhenUsed/>
    <w:rsid w:val="002516DF"/>
    <w:pPr>
      <w:spacing w:line="240" w:lineRule="auto"/>
    </w:pPr>
    <w:rPr>
      <w:rFonts w:ascii="Tahoma" w:eastAsia="Calibri" w:hAnsi="Tahoma" w:cs="Tahoma"/>
      <w:sz w:val="18"/>
      <w:szCs w:val="18"/>
    </w:rPr>
  </w:style>
  <w:style w:type="character" w:customStyle="1" w:styleId="a28">
    <w:name w:val="טקסט בלונים תו"/>
    <w:link w:val="115"/>
    <w:uiPriority w:val="99"/>
    <w:semiHidden/>
    <w:rsid w:val="002516DF"/>
    <w:rPr>
      <w:rFonts w:ascii="Tahoma" w:eastAsia="Calibri" w:hAnsi="Tahoma" w:cs="Tahoma"/>
      <w:sz w:val="18"/>
      <w:szCs w:val="18"/>
    </w:rPr>
  </w:style>
  <w:style w:type="paragraph" w:customStyle="1" w:styleId="116">
    <w:name w:val="גוף טקסט1"/>
    <w:basedOn w:val="Normal"/>
    <w:link w:val="117"/>
    <w:uiPriority w:val="99"/>
    <w:rsid w:val="002516DF"/>
    <w:pPr>
      <w:spacing w:before="180" w:after="120" w:line="230" w:lineRule="exact"/>
    </w:pPr>
    <w:rPr>
      <w:rFonts w:eastAsia="Times New Roman" w:cs="FrankRuehl"/>
      <w:sz w:val="22"/>
      <w:szCs w:val="22"/>
    </w:rPr>
  </w:style>
  <w:style w:type="character" w:customStyle="1" w:styleId="a29">
    <w:name w:val="גוף טקסט תו"/>
    <w:basedOn w:val="DefaultParagraphFont"/>
    <w:uiPriority w:val="99"/>
    <w:semiHidden/>
    <w:rsid w:val="002516DF"/>
  </w:style>
  <w:style w:type="character" w:customStyle="1" w:styleId="117">
    <w:name w:val="גוף טקסט תו1"/>
    <w:link w:val="116"/>
    <w:uiPriority w:val="99"/>
    <w:rsid w:val="002516DF"/>
    <w:rPr>
      <w:rFonts w:eastAsia="Times New Roman" w:cs="FrankRuehl"/>
      <w:sz w:val="22"/>
      <w:szCs w:val="22"/>
    </w:rPr>
  </w:style>
  <w:style w:type="character" w:customStyle="1" w:styleId="118">
    <w:name w:val="כותרת תחתונה תו1"/>
    <w:uiPriority w:val="99"/>
    <w:rsid w:val="002516DF"/>
    <w:rPr>
      <w:rFonts w:cs="David"/>
      <w:sz w:val="24"/>
      <w:szCs w:val="24"/>
    </w:rPr>
  </w:style>
  <w:style w:type="character" w:customStyle="1" w:styleId="119">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20">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22">
    <w:name w:val="הפניה להערה1"/>
    <w:uiPriority w:val="99"/>
    <w:semiHidden/>
    <w:unhideWhenUsed/>
    <w:rsid w:val="002516DF"/>
    <w:rPr>
      <w:sz w:val="16"/>
      <w:szCs w:val="16"/>
    </w:rPr>
  </w:style>
  <w:style w:type="paragraph" w:customStyle="1" w:styleId="123">
    <w:name w:val="טקסט הערה1"/>
    <w:basedOn w:val="Normal"/>
    <w:link w:val="a30"/>
    <w:uiPriority w:val="99"/>
    <w:unhideWhenUsed/>
    <w:rsid w:val="002516DF"/>
    <w:pPr>
      <w:spacing w:line="240" w:lineRule="auto"/>
    </w:pPr>
    <w:rPr>
      <w:rFonts w:eastAsia="Calibri"/>
      <w:szCs w:val="20"/>
    </w:rPr>
  </w:style>
  <w:style w:type="character" w:customStyle="1" w:styleId="a30">
    <w:name w:val="טקסט הערה תו"/>
    <w:link w:val="123"/>
    <w:uiPriority w:val="99"/>
    <w:rsid w:val="002516DF"/>
    <w:rPr>
      <w:rFonts w:eastAsia="Calibri"/>
      <w:szCs w:val="20"/>
    </w:rPr>
  </w:style>
  <w:style w:type="paragraph" w:customStyle="1" w:styleId="124">
    <w:name w:val="נושא הערה1"/>
    <w:basedOn w:val="123"/>
    <w:next w:val="123"/>
    <w:link w:val="a31"/>
    <w:uiPriority w:val="99"/>
    <w:semiHidden/>
    <w:unhideWhenUsed/>
    <w:rsid w:val="002516DF"/>
    <w:rPr>
      <w:b/>
      <w:bCs/>
    </w:rPr>
  </w:style>
  <w:style w:type="character" w:customStyle="1" w:styleId="a31">
    <w:name w:val="נושא הערה תו"/>
    <w:link w:val="124"/>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25">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a32">
    <w:name w:val="כוכבית טקסט רץ"/>
    <w:basedOn w:val="Normal"/>
    <w:qFormat/>
    <w:rsid w:val="00F32690"/>
    <w:pPr>
      <w:spacing w:line="269" w:lineRule="auto"/>
      <w:jc w:val="center"/>
    </w:pPr>
    <w:rPr>
      <w:rFonts w:ascii="Segoe UI Symbol" w:hAnsi="Segoe UI Symbol" w:cs="Segoe UI Symbol"/>
      <w:szCs w:val="20"/>
    </w:rPr>
  </w:style>
  <w:style w:type="paragraph" w:customStyle="1" w:styleId="a33">
    <w:name w:val="כוכבית בתוך קוביה"/>
    <w:basedOn w:val="a18"/>
    <w:qFormat/>
    <w:rsid w:val="00391776"/>
    <w:pPr>
      <w:jc w:val="center"/>
    </w:pPr>
    <w:rPr>
      <w:rFonts w:ascii="Segoe UI Symbol" w:hAnsi="Segoe UI Symbol" w:cs="Segoe UI Symbol"/>
    </w:rPr>
  </w:style>
  <w:style w:type="paragraph" w:customStyle="1" w:styleId="a34">
    <w:name w:val="רשימה אותיות הזחה"/>
    <w:basedOn w:val="ListParagraph"/>
    <w:qFormat/>
    <w:rsid w:val="00F563CD"/>
    <w:pPr>
      <w:numPr>
        <w:numId w:val="7"/>
      </w:numPr>
      <w:spacing w:after="120"/>
      <w:ind w:left="794" w:hanging="397"/>
    </w:pPr>
    <w:rPr>
      <w:rFonts w:ascii="Tahoma" w:hAnsi="Tahoma" w:cs="Tahoma"/>
      <w:color w:val="000000"/>
      <w:szCs w:val="20"/>
    </w:rPr>
  </w:style>
  <w:style w:type="paragraph" w:customStyle="1" w:styleId="a35">
    <w:name w:val="מספור בתוך קוביה"/>
    <w:basedOn w:val="ListParagraph"/>
    <w:qFormat/>
    <w:rsid w:val="00CF425F"/>
    <w:pPr>
      <w:numPr>
        <w:numId w:val="8"/>
      </w:numPr>
      <w:pBdr>
        <w:top w:val="single" w:sz="4" w:space="4" w:color="FFFFFF" w:themeColor="background1"/>
        <w:left w:val="single" w:sz="4" w:space="11" w:color="FFFFFF" w:themeColor="background1"/>
        <w:bottom w:val="single" w:sz="4" w:space="6" w:color="FFFFFF" w:themeColor="background1"/>
        <w:right w:val="single" w:sz="4" w:space="11" w:color="FFFFFF" w:themeColor="background1"/>
      </w:pBdr>
      <w:shd w:val="solid" w:color="CEEAF5" w:fill="CEEAF5"/>
      <w:spacing w:after="160"/>
      <w:ind w:left="397" w:right="227" w:hanging="397"/>
      <w:contextualSpacing w:val="0"/>
    </w:pPr>
    <w:rPr>
      <w:rFonts w:ascii="Tahoma" w:hAnsi="Tahoma" w:cs="Tahoma"/>
      <w:szCs w:val="20"/>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36">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26"/>
    <w:uiPriority w:val="99"/>
    <w:unhideWhenUsed/>
    <w:rsid w:val="00114E4E"/>
    <w:pPr>
      <w:spacing w:after="120"/>
    </w:pPr>
  </w:style>
  <w:style w:type="character" w:customStyle="1" w:styleId="26">
    <w:name w:val="גוף טקסט תו2"/>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37"/>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37">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a38"/>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38">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39">
    <w:name w:val="הערות מתחת לטבלה"/>
    <w:basedOn w:val="a2"/>
    <w:qFormat/>
    <w:rsid w:val="002B6FB4"/>
  </w:style>
  <w:style w:type="paragraph" w:customStyle="1" w:styleId="a40">
    <w:name w:val="אותיות רשימה א"/>
    <w:aliases w:val="ב"/>
    <w:basedOn w:val="ListParagraph"/>
    <w:qFormat/>
    <w:rsid w:val="00107D4A"/>
    <w:pPr>
      <w:widowControl w:val="0"/>
      <w:numPr>
        <w:numId w:val="9"/>
      </w:numPr>
      <w:spacing w:after="120"/>
    </w:pPr>
    <w:rPr>
      <w:rFonts w:ascii="Tahoma" w:hAnsi="Tahoma" w:cs="Tahoma"/>
      <w:szCs w:val="20"/>
    </w:rPr>
  </w:style>
  <w:style w:type="paragraph" w:customStyle="1" w:styleId="BULLETS1">
    <w:name w:val="בולטים BULLETS"/>
    <w:basedOn w:val="ListParagraph"/>
    <w:qFormat/>
    <w:rsid w:val="00856C93"/>
    <w:pPr>
      <w:numPr>
        <w:numId w:val="10"/>
      </w:numPr>
      <w:pBdr>
        <w:top w:val="single" w:sz="12" w:space="4" w:color="CEEAF5"/>
        <w:left w:val="single" w:sz="12" w:space="11" w:color="CEEAF5"/>
        <w:bottom w:val="single" w:sz="12" w:space="6" w:color="CEEAF5"/>
        <w:right w:val="single" w:sz="12" w:space="11" w:color="CEEAF5"/>
      </w:pBdr>
      <w:shd w:val="solid" w:color="CEEAF5" w:fill="auto"/>
      <w:tabs>
        <w:tab w:val="left" w:pos="70"/>
        <w:tab w:val="left" w:pos="990"/>
        <w:tab w:val="left" w:pos="1510"/>
      </w:tabs>
      <w:spacing w:after="160"/>
      <w:ind w:left="681" w:right="227" w:hanging="397"/>
    </w:pPr>
    <w:rPr>
      <w:rFonts w:ascii="Tahoma" w:hAnsi="Tahoma" w:cs="Tahoma"/>
      <w:szCs w:val="20"/>
    </w:rPr>
  </w:style>
  <w:style w:type="paragraph" w:customStyle="1" w:styleId="a41">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42">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43">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5">
    <w:name w:val="ציטוט בג&quot;צ Char"/>
    <w:link w:val="a44"/>
    <w:locked/>
    <w:rsid w:val="00CF1EB5"/>
    <w:rPr>
      <w:bCs/>
      <w:noProof/>
      <w:sz w:val="24"/>
      <w:lang w:eastAsia="he-IL"/>
    </w:rPr>
  </w:style>
  <w:style w:type="paragraph" w:customStyle="1" w:styleId="a44">
    <w:name w:val="ציטוט בג&quot;צ"/>
    <w:basedOn w:val="Normal"/>
    <w:link w:val="Char5"/>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8100">
    <w:name w:val="כותרת 8_10"/>
    <w:basedOn w:val="Heading8"/>
    <w:qFormat/>
    <w:rsid w:val="0098757B"/>
    <w:pPr>
      <w:spacing w:after="120"/>
    </w:pPr>
    <w:rPr>
      <w:rFonts w:ascii="Tahoma" w:hAnsi="Tahoma" w:cs="Tahoma"/>
      <w:color w:val="004E6C"/>
      <w:spacing w:val="0"/>
      <w:szCs w:val="20"/>
    </w:rPr>
  </w:style>
  <w:style w:type="paragraph" w:customStyle="1" w:styleId="6105">
    <w:name w:val="כותרת 6_10.5"/>
    <w:basedOn w:val="5115"/>
    <w:qFormat/>
    <w:rsid w:val="00ED41DC"/>
    <w:rPr>
      <w:sz w:val="21"/>
      <w:szCs w:val="21"/>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26">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45">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BULLETS2">
    <w:name w:val="בולטים BULLETS ריק"/>
    <w:basedOn w:val="ListParagraph"/>
    <w:qFormat/>
    <w:rsid w:val="008E6EF3"/>
    <w:pPr>
      <w:widowControl w:val="0"/>
      <w:numPr>
        <w:numId w:val="12"/>
      </w:numPr>
      <w:spacing w:after="120"/>
      <w:ind w:left="397" w:hanging="397"/>
      <w:contextualSpacing w:val="0"/>
    </w:pPr>
    <w:rPr>
      <w:rFonts w:ascii="Tahoma" w:eastAsia="Times New Roman" w:hAnsi="Tahoma" w:cs="Tahoma"/>
      <w:szCs w:val="20"/>
      <w:lang w:eastAsia="he-IL"/>
    </w:rPr>
  </w:style>
  <w:style w:type="paragraph" w:customStyle="1" w:styleId="BULLETS07">
    <w:name w:val="בולטים BULLETS ריק הזחה 0.7"/>
    <w:basedOn w:val="BULLETS2"/>
    <w:qFormat/>
    <w:rsid w:val="00740E0F"/>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
    <w:name w:val="Unresolved Mention"/>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footer" Target="footer2.xml"/><Relationship Id="rId8" Type="http://schemas.openxmlformats.org/officeDocument/2006/relationships/header" Target="header1.xml"/><Relationship Id="rId26" Type="http://schemas.openxmlformats.org/officeDocument/2006/relationships/customXml" Target="../customXml/item4.xml"/><Relationship Id="rId2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1.jpeg"/><Relationship Id="rId7" Type="http://schemas.openxmlformats.org/officeDocument/2006/relationships/image" Target="media/image2.jpeg"/><Relationship Id="rId25" Type="http://schemas.openxmlformats.org/officeDocument/2006/relationships/customXml" Target="../customXml/item3.xml"/><Relationship Id="rId16" Type="http://schemas.openxmlformats.org/officeDocument/2006/relationships/image" Target="media/image10.jpeg"/><Relationship Id="rId2" Type="http://schemas.openxmlformats.org/officeDocument/2006/relationships/settings" Target="settings.xml"/><Relationship Id="rId20" Type="http://schemas.openxmlformats.org/officeDocument/2006/relationships/footer" Target="footer3.xml"/><Relationship Id="rId1" Type="http://schemas.openxmlformats.org/officeDocument/2006/relationships/footnotes" Target="footnotes.xml"/><Relationship Id="rId11" Type="http://schemas.openxmlformats.org/officeDocument/2006/relationships/image" Target="media/image5.jpeg"/><Relationship Id="rId6" Type="http://schemas.openxmlformats.org/officeDocument/2006/relationships/image" Target="media/image1.jpeg"/><Relationship Id="rId24" Type="http://schemas.openxmlformats.org/officeDocument/2006/relationships/customXml" Target="../customXml/item2.xml"/><Relationship Id="rId15" Type="http://schemas.openxmlformats.org/officeDocument/2006/relationships/image" Target="media/image9.jpeg"/><Relationship Id="rId23" Type="http://schemas.openxmlformats.org/officeDocument/2006/relationships/styles" Target="styles.xml"/><Relationship Id="rId5" Type="http://schemas.openxmlformats.org/officeDocument/2006/relationships/customXml" Target="../customXml/item1.xml"/><Relationship Id="rId10" Type="http://schemas.openxmlformats.org/officeDocument/2006/relationships/image" Target="media/image4.jpeg"/><Relationship Id="rId19" Type="http://schemas.openxmlformats.org/officeDocument/2006/relationships/header" Target="header2.xml"/><Relationship Id="rId14" Type="http://schemas.openxmlformats.org/officeDocument/2006/relationships/image" Target="media/image8.emf"/><Relationship Id="rId22" Type="http://schemas.openxmlformats.org/officeDocument/2006/relationships/numbering" Target="numbering.xml"/><Relationship Id="rId4" Type="http://schemas.openxmlformats.org/officeDocument/2006/relationships/fontTable" Target="fontTable.xml"/><Relationship Id="rId9" Type="http://schemas.openxmlformats.org/officeDocument/2006/relationships/footer" Target="footer1.xml"/></Relationships>
</file>

<file path=word/_rels/header1.xml.rels>&#65279;<?xml version="1.0" encoding="utf-8" standalone="yes"?><Relationships xmlns="http://schemas.openxmlformats.org/package/2006/relationships"><Relationship Id="rId1" Type="http://schemas.openxmlformats.org/officeDocument/2006/relationships/image" Target="media/image3.wmf" /></Relationships>
</file>

<file path=word/_rels/header2.xml.rels>&#65279;<?xml version="1.0" encoding="utf-8" standalone="yes"?><Relationships xmlns="http://schemas.openxmlformats.org/package/2006/relationships"><Relationship Id="rId1" Type="http://schemas.openxmlformats.org/officeDocument/2006/relationships/image" Target="media/image12.jpeg" /><Relationship Id="rId2" Type="http://schemas.openxmlformats.org/officeDocument/2006/relationships/image" Target="media/image13.jpe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C8F4814-1361-4E4E-9914-9E45198BF5E2}">
  <ds:schemaRefs>
    <ds:schemaRef ds:uri="http://schemas.openxmlformats.org/officeDocument/2006/bibliography"/>
  </ds:schemaRefs>
</ds:datastoreItem>
</file>

<file path=customXml/itemProps2.xml><?xml version="1.0" encoding="utf-8"?>
<ds:datastoreItem xmlns:ds="http://schemas.openxmlformats.org/officeDocument/2006/customXml" ds:itemID="{2D95750F-400C-4EE3-AAB4-311524C2F7A7}"/>
</file>

<file path=customXml/itemProps3.xml><?xml version="1.0" encoding="utf-8"?>
<ds:datastoreItem xmlns:ds="http://schemas.openxmlformats.org/officeDocument/2006/customXml" ds:itemID="{626CDA5F-2CC5-4086-A588-5A79BDFCCCDD}"/>
</file>

<file path=customXml/itemProps4.xml><?xml version="1.0" encoding="utf-8"?>
<ds:datastoreItem xmlns:ds="http://schemas.openxmlformats.org/officeDocument/2006/customXml" ds:itemID="{80470EEE-DB6E-4524-AA49-7BDD849AAE30}"/>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