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wmf" ContentType="image/x-wmf"/>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diagrams/data1.xml" ContentType="application/vnd.openxmlformats-officedocument.drawingml.diagramData+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CA082" w14:textId="77777777" w:rsidR="000F76A8" w:rsidRPr="00170230" w:rsidRDefault="00417266" w:rsidP="00482559">
      <w:pPr>
        <w:spacing w:line="240" w:lineRule="atLeast"/>
        <w:jc w:val="center"/>
        <w:rPr>
          <w:rFonts w:ascii="Tahoma" w:hAnsi="Tahoma" w:cs="Tahoma"/>
          <w:szCs w:val="18"/>
        </w:rPr>
      </w:pPr>
      <w:r>
        <w:rPr>
          <w:rFonts w:ascii="Tahoma" w:hAnsi="Tahoma" w:cs="Tahoma"/>
          <w:noProof/>
          <w:szCs w:val="18"/>
        </w:rPr>
        <w:drawing>
          <wp:inline distT="0" distB="0" distL="0" distR="0" wp14:anchorId="689226D7" wp14:editId="49E8F36D">
            <wp:extent cx="658369" cy="810770"/>
            <wp:effectExtent l="0" t="0" r="889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14:paraId="799656DE" w14:textId="77777777" w:rsidR="000F76A8" w:rsidRPr="0066027D" w:rsidRDefault="00417266" w:rsidP="00482559">
      <w:pPr>
        <w:spacing w:before="120"/>
        <w:jc w:val="center"/>
        <w:rPr>
          <w:rFonts w:ascii="Tahoma" w:hAnsi="Tahoma" w:cs="Tahoma"/>
          <w:color w:val="2A2AA6"/>
          <w:sz w:val="28"/>
          <w:szCs w:val="28"/>
          <w:rtl/>
        </w:rPr>
      </w:pPr>
      <w:r w:rsidRPr="0066027D">
        <w:rPr>
          <w:rFonts w:ascii="Tahoma" w:hAnsi="Tahoma" w:cs="Tahoma"/>
          <w:color w:val="2A2AA6"/>
          <w:sz w:val="28"/>
          <w:szCs w:val="28"/>
          <w:rtl/>
        </w:rPr>
        <w:t>מבקר המדינה</w:t>
      </w:r>
    </w:p>
    <w:p w14:paraId="178F72F8" w14:textId="77777777" w:rsidR="00084E3A" w:rsidRDefault="00084E3A" w:rsidP="008D2388">
      <w:pPr>
        <w:spacing w:before="1080" w:line="240" w:lineRule="auto"/>
        <w:jc w:val="center"/>
        <w:rPr>
          <w:rFonts w:ascii="Tahoma" w:hAnsi="Tahoma" w:cs="Tahoma"/>
          <w:color w:val="2A2AA6"/>
          <w:sz w:val="32"/>
          <w:szCs w:val="32"/>
        </w:rPr>
      </w:pPr>
    </w:p>
    <w:p w14:paraId="753A5DE5" w14:textId="3106684E" w:rsidR="00084E3A" w:rsidRDefault="00417266" w:rsidP="00084E3A">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w:t>
      </w:r>
      <w:r w:rsidR="00AC7669">
        <w:rPr>
          <w:rFonts w:ascii="Tahoma" w:hAnsi="Tahoma" w:cs="Tahoma" w:hint="cs"/>
          <w:color w:val="2A2AA6"/>
          <w:sz w:val="32"/>
          <w:szCs w:val="32"/>
          <w:rtl/>
        </w:rPr>
        <w:t>ב</w:t>
      </w:r>
    </w:p>
    <w:p w14:paraId="0552CBEE" w14:textId="420E1D78" w:rsidR="00084E3A" w:rsidRDefault="009A28D9" w:rsidP="00737520">
      <w:pPr>
        <w:pStyle w:val="121"/>
        <w:rPr>
          <w:rtl/>
        </w:rPr>
      </w:pPr>
      <w:r>
        <w:rPr>
          <w:rFonts w:hint="cs"/>
          <w:rtl/>
        </w:rPr>
        <w:t>עבודות תכנון קרקע ברשות מקרקעי ישראל ובמשרד הבינוי והשיכון</w:t>
      </w:r>
    </w:p>
    <w:p w14:paraId="6413AC08" w14:textId="77777777" w:rsidR="00E35DF9" w:rsidRDefault="00E35DF9" w:rsidP="008D2388">
      <w:pPr>
        <w:spacing w:line="240" w:lineRule="atLeast"/>
        <w:jc w:val="center"/>
        <w:rPr>
          <w:rFonts w:ascii="Tahoma" w:hAnsi="Tahoma" w:cs="Tahoma"/>
          <w:sz w:val="22"/>
          <w:szCs w:val="22"/>
          <w:rtl/>
        </w:rPr>
      </w:pPr>
    </w:p>
    <w:p w14:paraId="781158A7" w14:textId="77777777" w:rsidR="00E35DF9" w:rsidRDefault="00E35DF9" w:rsidP="008D2388">
      <w:pPr>
        <w:spacing w:line="240" w:lineRule="atLeast"/>
        <w:jc w:val="center"/>
        <w:rPr>
          <w:rFonts w:ascii="Tahoma" w:hAnsi="Tahoma" w:cs="Tahoma"/>
          <w:sz w:val="22"/>
          <w:szCs w:val="22"/>
          <w:rtl/>
        </w:rPr>
      </w:pPr>
    </w:p>
    <w:p w14:paraId="558D2462" w14:textId="77777777" w:rsidR="00E35DF9" w:rsidRDefault="00E35DF9" w:rsidP="008D2388">
      <w:pPr>
        <w:spacing w:line="240" w:lineRule="atLeast"/>
        <w:jc w:val="center"/>
        <w:rPr>
          <w:rFonts w:ascii="Tahoma" w:hAnsi="Tahoma" w:cs="Tahoma"/>
          <w:sz w:val="22"/>
          <w:szCs w:val="22"/>
          <w:rtl/>
        </w:rPr>
      </w:pPr>
    </w:p>
    <w:p w14:paraId="466C6320" w14:textId="77777777" w:rsidR="00E35DF9" w:rsidRDefault="00E35DF9" w:rsidP="008D2388">
      <w:pPr>
        <w:spacing w:line="240" w:lineRule="atLeast"/>
        <w:jc w:val="center"/>
        <w:rPr>
          <w:rFonts w:ascii="Tahoma" w:hAnsi="Tahoma" w:cs="Tahoma"/>
          <w:sz w:val="22"/>
          <w:szCs w:val="22"/>
          <w:rtl/>
        </w:rPr>
      </w:pPr>
    </w:p>
    <w:p w14:paraId="3F249126" w14:textId="77777777" w:rsidR="00E35DF9" w:rsidRDefault="00E35DF9" w:rsidP="008D2388">
      <w:pPr>
        <w:spacing w:line="240" w:lineRule="atLeast"/>
        <w:jc w:val="center"/>
        <w:rPr>
          <w:rFonts w:ascii="Tahoma" w:hAnsi="Tahoma" w:cs="Tahoma"/>
          <w:sz w:val="22"/>
          <w:szCs w:val="22"/>
          <w:rtl/>
        </w:rPr>
      </w:pPr>
    </w:p>
    <w:p w14:paraId="14C75337" w14:textId="7435F8EB" w:rsidR="00E35DF9" w:rsidRDefault="00E35DF9" w:rsidP="008D2388">
      <w:pPr>
        <w:spacing w:line="240" w:lineRule="atLeast"/>
        <w:jc w:val="center"/>
        <w:rPr>
          <w:rFonts w:ascii="Tahoma" w:hAnsi="Tahoma" w:cs="Tahoma"/>
          <w:sz w:val="22"/>
          <w:szCs w:val="22"/>
          <w:rtl/>
        </w:rPr>
      </w:pPr>
    </w:p>
    <w:p w14:paraId="559B55DE" w14:textId="433A0149" w:rsidR="00E35DF9" w:rsidRDefault="00E35DF9" w:rsidP="008D2388">
      <w:pPr>
        <w:spacing w:line="240" w:lineRule="atLeast"/>
        <w:jc w:val="center"/>
        <w:rPr>
          <w:rFonts w:ascii="Tahoma" w:hAnsi="Tahoma" w:cs="Tahoma"/>
          <w:sz w:val="22"/>
          <w:szCs w:val="22"/>
          <w:rtl/>
        </w:rPr>
      </w:pPr>
    </w:p>
    <w:p w14:paraId="23502CFB" w14:textId="55DA5C65" w:rsidR="00E35DF9" w:rsidRDefault="00E35DF9" w:rsidP="008D2388">
      <w:pPr>
        <w:spacing w:line="240" w:lineRule="atLeast"/>
        <w:jc w:val="center"/>
        <w:rPr>
          <w:rFonts w:ascii="Tahoma" w:hAnsi="Tahoma" w:cs="Tahoma"/>
          <w:sz w:val="22"/>
          <w:szCs w:val="22"/>
          <w:rtl/>
        </w:rPr>
      </w:pPr>
    </w:p>
    <w:p w14:paraId="351765E9" w14:textId="5DAD5F9A" w:rsidR="00E35DF9" w:rsidRDefault="00E35DF9" w:rsidP="008D2388">
      <w:pPr>
        <w:spacing w:line="240" w:lineRule="atLeast"/>
        <w:jc w:val="center"/>
        <w:rPr>
          <w:rFonts w:ascii="Tahoma" w:hAnsi="Tahoma" w:cs="Tahoma"/>
          <w:sz w:val="22"/>
          <w:szCs w:val="22"/>
          <w:rtl/>
        </w:rPr>
      </w:pPr>
    </w:p>
    <w:p w14:paraId="5F398D7B" w14:textId="3DF58F29" w:rsidR="00E35DF9" w:rsidRDefault="00E35DF9" w:rsidP="008D2388">
      <w:pPr>
        <w:spacing w:line="240" w:lineRule="atLeast"/>
        <w:jc w:val="center"/>
        <w:rPr>
          <w:rFonts w:ascii="Tahoma" w:hAnsi="Tahoma" w:cs="Tahoma"/>
          <w:sz w:val="22"/>
          <w:szCs w:val="22"/>
          <w:rtl/>
        </w:rPr>
      </w:pPr>
    </w:p>
    <w:p w14:paraId="1081EBD1" w14:textId="6340752F" w:rsidR="00E35DF9" w:rsidRDefault="00E35DF9" w:rsidP="008D2388">
      <w:pPr>
        <w:spacing w:line="240" w:lineRule="atLeast"/>
        <w:jc w:val="center"/>
        <w:rPr>
          <w:rFonts w:ascii="Tahoma" w:hAnsi="Tahoma" w:cs="Tahoma"/>
          <w:sz w:val="22"/>
          <w:szCs w:val="22"/>
          <w:rtl/>
        </w:rPr>
      </w:pPr>
    </w:p>
    <w:p w14:paraId="3ADC781F" w14:textId="36F91441" w:rsidR="00E35DF9" w:rsidRDefault="00E35DF9" w:rsidP="008D2388">
      <w:pPr>
        <w:spacing w:line="240" w:lineRule="atLeast"/>
        <w:jc w:val="center"/>
        <w:rPr>
          <w:rFonts w:ascii="Tahoma" w:hAnsi="Tahoma" w:cs="Tahoma"/>
          <w:sz w:val="22"/>
          <w:szCs w:val="22"/>
          <w:rtl/>
        </w:rPr>
      </w:pPr>
    </w:p>
    <w:p w14:paraId="0C8AD709" w14:textId="45682A71" w:rsidR="00E35DF9" w:rsidRDefault="00E35DF9" w:rsidP="008D2388">
      <w:pPr>
        <w:spacing w:line="240" w:lineRule="atLeast"/>
        <w:jc w:val="center"/>
        <w:rPr>
          <w:rFonts w:ascii="Tahoma" w:hAnsi="Tahoma" w:cs="Tahoma"/>
          <w:sz w:val="22"/>
          <w:szCs w:val="22"/>
          <w:rtl/>
        </w:rPr>
      </w:pPr>
    </w:p>
    <w:p w14:paraId="48311767" w14:textId="1E5BA8E8" w:rsidR="00E35DF9" w:rsidRDefault="00E35DF9" w:rsidP="008D2388">
      <w:pPr>
        <w:spacing w:line="240" w:lineRule="atLeast"/>
        <w:jc w:val="center"/>
        <w:rPr>
          <w:rFonts w:ascii="Tahoma" w:hAnsi="Tahoma" w:cs="Tahoma"/>
          <w:sz w:val="22"/>
          <w:szCs w:val="22"/>
          <w:rtl/>
        </w:rPr>
      </w:pPr>
    </w:p>
    <w:p w14:paraId="3D6B81A1" w14:textId="6058E3EA" w:rsidR="00E35DF9" w:rsidRDefault="00E35DF9" w:rsidP="008D2388">
      <w:pPr>
        <w:spacing w:line="240" w:lineRule="atLeast"/>
        <w:jc w:val="center"/>
        <w:rPr>
          <w:rFonts w:ascii="Tahoma" w:hAnsi="Tahoma" w:cs="Tahoma"/>
          <w:sz w:val="22"/>
          <w:szCs w:val="22"/>
          <w:rtl/>
        </w:rPr>
      </w:pPr>
    </w:p>
    <w:p w14:paraId="77438443" w14:textId="77777777" w:rsidR="00E35DF9" w:rsidRDefault="00E35DF9" w:rsidP="008D2388">
      <w:pPr>
        <w:spacing w:line="240" w:lineRule="atLeast"/>
        <w:jc w:val="center"/>
        <w:rPr>
          <w:rFonts w:ascii="Tahoma" w:hAnsi="Tahoma" w:cs="Tahoma"/>
          <w:sz w:val="22"/>
          <w:szCs w:val="22"/>
          <w:rtl/>
        </w:rPr>
      </w:pPr>
    </w:p>
    <w:p w14:paraId="6A2F2EDA" w14:textId="3DD0330E" w:rsidR="00084E3A" w:rsidRDefault="00417266" w:rsidP="008D2388">
      <w:pPr>
        <w:spacing w:line="240" w:lineRule="atLeast"/>
        <w:jc w:val="center"/>
        <w:rPr>
          <w:rFonts w:ascii="Tahoma" w:hAnsi="Tahoma" w:cs="Tahoma"/>
          <w:sz w:val="22"/>
          <w:szCs w:val="22"/>
          <w:rtl/>
        </w:rPr>
      </w:pPr>
      <w:r>
        <w:rPr>
          <w:noProof/>
          <w:rtl/>
        </w:rPr>
        <w:drawing>
          <wp:inline distT="0" distB="0" distL="0" distR="0" wp14:anchorId="08CF76F7" wp14:editId="1A139775">
            <wp:extent cx="744855" cy="489585"/>
            <wp:effectExtent l="0" t="0" r="0" b="571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42544" name="Picture 1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inline>
        </w:drawing>
      </w:r>
    </w:p>
    <w:p w14:paraId="6041ACDA" w14:textId="77777777" w:rsidR="00CB2192" w:rsidRDefault="00CB2192" w:rsidP="00CB2192">
      <w:pPr>
        <w:spacing w:line="240" w:lineRule="auto"/>
        <w:jc w:val="center"/>
        <w:rPr>
          <w:rFonts w:ascii="Tahoma" w:hAnsi="Tahoma" w:cs="Tahoma"/>
          <w:sz w:val="22"/>
          <w:szCs w:val="22"/>
          <w:rtl/>
        </w:rPr>
      </w:pPr>
      <w:r>
        <w:rPr>
          <w:rFonts w:ascii="Tahoma" w:hAnsi="Tahoma" w:cs="Tahoma"/>
          <w:sz w:val="22"/>
          <w:szCs w:val="22"/>
          <w:rtl/>
        </w:rPr>
        <w:t xml:space="preserve">ירושלים, </w:t>
      </w:r>
      <w:r>
        <w:rPr>
          <w:rFonts w:ascii="Tahoma" w:hAnsi="Tahoma" w:cs="Tahoma" w:hint="cs"/>
          <w:sz w:val="22"/>
          <w:szCs w:val="22"/>
          <w:rtl/>
        </w:rPr>
        <w:t xml:space="preserve">אייר </w:t>
      </w:r>
      <w:r>
        <w:rPr>
          <w:rFonts w:ascii="Tahoma" w:hAnsi="Tahoma" w:cs="Tahoma"/>
          <w:sz w:val="22"/>
          <w:szCs w:val="22"/>
          <w:rtl/>
        </w:rPr>
        <w:t xml:space="preserve">התש"ף, </w:t>
      </w:r>
      <w:r>
        <w:rPr>
          <w:rFonts w:ascii="Tahoma" w:hAnsi="Tahoma" w:cs="Tahoma" w:hint="cs"/>
          <w:sz w:val="22"/>
          <w:szCs w:val="22"/>
          <w:rtl/>
        </w:rPr>
        <w:t xml:space="preserve">מאי </w:t>
      </w:r>
      <w:r>
        <w:rPr>
          <w:rFonts w:ascii="Tahoma" w:hAnsi="Tahoma" w:cs="Tahoma"/>
          <w:sz w:val="22"/>
          <w:szCs w:val="22"/>
          <w:rtl/>
        </w:rPr>
        <w:t>2020</w:t>
      </w:r>
    </w:p>
    <w:p w14:paraId="45AC5388" w14:textId="77777777" w:rsidR="00DE6C5F" w:rsidRDefault="00417266">
      <w:pPr>
        <w:bidi w:val="0"/>
        <w:spacing w:after="200" w:line="276" w:lineRule="auto"/>
        <w:rPr>
          <w:rFonts w:ascii="Tahoma" w:hAnsi="Tahoma" w:cs="Tahoma"/>
          <w:sz w:val="22"/>
          <w:szCs w:val="22"/>
          <w:rtl/>
        </w:rPr>
        <w:sectPr w:rsidR="00DE6C5F" w:rsidSect="00F62588">
          <w:headerReference w:type="default" r:id="rId10"/>
          <w:footerReference w:type="default" r:id="rId11"/>
          <w:pgSz w:w="11906" w:h="16838" w:code="9"/>
          <w:pgMar w:top="2268" w:right="1985" w:bottom="2155" w:left="1701" w:header="1559" w:footer="709" w:gutter="0"/>
          <w:cols w:space="720"/>
          <w:titlePg/>
          <w:bidi/>
          <w:rtlGutter/>
          <w:docGrid w:linePitch="272"/>
        </w:sectPr>
      </w:pPr>
      <w:r>
        <w:rPr>
          <w:rFonts w:ascii="Tahoma" w:hAnsi="Tahoma" w:cs="Tahoma"/>
          <w:sz w:val="22"/>
          <w:szCs w:val="22"/>
          <w:rtl/>
        </w:rPr>
        <w:lastRenderedPageBreak/>
        <w:br w:type="page"/>
      </w:r>
    </w:p>
    <w:p w14:paraId="7F0D6577" w14:textId="77777777" w:rsidR="00F62588" w:rsidRDefault="00F62588">
      <w:pPr>
        <w:bidi w:val="0"/>
        <w:spacing w:after="200" w:line="276" w:lineRule="auto"/>
        <w:rPr>
          <w:rFonts w:ascii="Tahoma" w:hAnsi="Tahoma" w:cs="Tahoma"/>
          <w:sz w:val="22"/>
          <w:szCs w:val="22"/>
          <w:rtl/>
        </w:rPr>
      </w:pPr>
    </w:p>
    <w:p w14:paraId="41F2B76C" w14:textId="78DBD9A0" w:rsidR="00327593" w:rsidRDefault="00417266" w:rsidP="005F2129">
      <w:pPr>
        <w:spacing w:line="240" w:lineRule="atLeast"/>
        <w:jc w:val="center"/>
        <w:rPr>
          <w:rFonts w:ascii="Tahoma" w:hAnsi="Tahoma" w:cs="Tahoma"/>
          <w:sz w:val="22"/>
          <w:szCs w:val="22"/>
        </w:rPr>
      </w:pPr>
      <w:r>
        <w:rPr>
          <w:rFonts w:ascii="Tahoma" w:hAnsi="Tahoma" w:cs="Tahoma"/>
          <w:noProof/>
          <w:sz w:val="22"/>
          <w:szCs w:val="22"/>
        </w:rPr>
        <w:drawing>
          <wp:inline distT="0" distB="0" distL="0" distR="0" wp14:anchorId="7CA6200B" wp14:editId="6A101A01">
            <wp:extent cx="5219999" cy="63528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85049" name="104 - 4 - הבטחת היתרון והחדשנות הטכנולוגיים של המשק הישראלי.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219999" cy="6352802"/>
                    </a:xfrm>
                    <a:prstGeom prst="rect">
                      <a:avLst/>
                    </a:prstGeom>
                    <a:ln>
                      <a:noFill/>
                    </a:ln>
                    <a:extLst>
                      <a:ext uri="{53640926-AAD7-44D8-BBD7-CCE9431645EC}">
                        <a14:shadowObscured xmlns:a14="http://schemas.microsoft.com/office/drawing/2010/main"/>
                      </a:ext>
                    </a:extLst>
                  </pic:spPr>
                </pic:pic>
              </a:graphicData>
            </a:graphic>
          </wp:inline>
        </w:drawing>
      </w:r>
    </w:p>
    <w:p w14:paraId="177373E4" w14:textId="17520414" w:rsidR="00364581" w:rsidRDefault="00417266" w:rsidP="00154682">
      <w:pPr>
        <w:spacing w:line="240" w:lineRule="atLeast"/>
        <w:jc w:val="left"/>
        <w:rPr>
          <w:rFonts w:ascii="Tahoma" w:hAnsi="Tahoma" w:cs="Tahoma"/>
          <w:sz w:val="22"/>
          <w:szCs w:val="22"/>
        </w:rPr>
      </w:pPr>
      <w:r>
        <w:rPr>
          <w:rFonts w:ascii="Tahoma" w:hAnsi="Tahoma" w:cs="Tahoma"/>
          <w:noProof/>
          <w:sz w:val="22"/>
          <w:szCs w:val="22"/>
        </w:rPr>
        <w:lastRenderedPageBreak/>
        <w:drawing>
          <wp:inline distT="0" distB="0" distL="0" distR="0" wp14:anchorId="7EC0F3CA" wp14:editId="6DCEF91C">
            <wp:extent cx="5219999" cy="635280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88063" name="104 - 4 - הבטחת היתרון והחדשנות הטכנולוגיים של המשק הישראלי2.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19999" cy="6352802"/>
                    </a:xfrm>
                    <a:prstGeom prst="rect">
                      <a:avLst/>
                    </a:prstGeom>
                    <a:ln>
                      <a:noFill/>
                    </a:ln>
                    <a:extLst>
                      <a:ext uri="{53640926-AAD7-44D8-BBD7-CCE9431645EC}">
                        <a14:shadowObscured xmlns:a14="http://schemas.microsoft.com/office/drawing/2010/main"/>
                      </a:ext>
                    </a:extLst>
                  </pic:spPr>
                </pic:pic>
              </a:graphicData>
            </a:graphic>
          </wp:inline>
        </w:drawing>
      </w:r>
    </w:p>
    <w:p w14:paraId="4331BA82" w14:textId="43F9D9F5" w:rsidR="00364581"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2C58444E" wp14:editId="490EABC7">
            <wp:extent cx="5220000" cy="635280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89951" name="104 - 4 - הבטחת היתרון והחדשנות הטכנולוגיים של המשק הישראלי3.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20000" cy="6352802"/>
                    </a:xfrm>
                    <a:prstGeom prst="rect">
                      <a:avLst/>
                    </a:prstGeom>
                    <a:ln>
                      <a:noFill/>
                    </a:ln>
                    <a:extLst>
                      <a:ext uri="{53640926-AAD7-44D8-BBD7-CCE9431645EC}">
                        <a14:shadowObscured xmlns:a14="http://schemas.microsoft.com/office/drawing/2010/main"/>
                      </a:ext>
                    </a:extLst>
                  </pic:spPr>
                </pic:pic>
              </a:graphicData>
            </a:graphic>
          </wp:inline>
        </w:drawing>
      </w:r>
    </w:p>
    <w:p w14:paraId="65CCEE68" w14:textId="6CD838D0" w:rsidR="00154682"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4F1AB499" wp14:editId="01A30833">
            <wp:extent cx="5219508" cy="391477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69568" name="104 - 4 - הבטחת היתרון והחדשנות הטכנולוגיים של המשק הישראלי4.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21772" cy="3916473"/>
                    </a:xfrm>
                    <a:prstGeom prst="rect">
                      <a:avLst/>
                    </a:prstGeom>
                    <a:ln>
                      <a:noFill/>
                    </a:ln>
                    <a:extLst>
                      <a:ext uri="{53640926-AAD7-44D8-BBD7-CCE9431645EC}">
                        <a14:shadowObscured xmlns:a14="http://schemas.microsoft.com/office/drawing/2010/main"/>
                      </a:ext>
                    </a:extLst>
                  </pic:spPr>
                </pic:pic>
              </a:graphicData>
            </a:graphic>
          </wp:inline>
        </w:drawing>
      </w:r>
    </w:p>
    <w:p w14:paraId="01E2FC2E" w14:textId="77777777" w:rsidR="00327593" w:rsidRDefault="00327593" w:rsidP="00327593">
      <w:pPr>
        <w:spacing w:after="200" w:line="276" w:lineRule="auto"/>
        <w:rPr>
          <w:rFonts w:ascii="Tahoma" w:hAnsi="Tahoma" w:cs="Tahoma"/>
          <w:sz w:val="22"/>
          <w:szCs w:val="22"/>
        </w:rPr>
      </w:pPr>
    </w:p>
    <w:p w14:paraId="7BF10F81" w14:textId="77777777" w:rsidR="00084E3A" w:rsidRDefault="00084E3A" w:rsidP="00084E3A">
      <w:pPr>
        <w:bidi w:val="0"/>
        <w:spacing w:line="240" w:lineRule="auto"/>
        <w:jc w:val="left"/>
        <w:rPr>
          <w:rFonts w:ascii="Tahoma" w:hAnsi="Tahoma" w:cs="Tahoma"/>
          <w:sz w:val="22"/>
          <w:szCs w:val="22"/>
          <w:rtl/>
        </w:rPr>
        <w:sectPr w:rsidR="00084E3A" w:rsidSect="00DE6C5F">
          <w:pgSz w:w="11906" w:h="16838" w:code="9"/>
          <w:pgMar w:top="2268" w:right="1985" w:bottom="2155" w:left="1701" w:header="709" w:footer="709" w:gutter="0"/>
          <w:cols w:space="720"/>
          <w:bidi/>
          <w:rtlGutter/>
          <w:docGrid w:linePitch="272"/>
        </w:sectPr>
      </w:pPr>
    </w:p>
    <w:p w14:paraId="73C275F3" w14:textId="77A56851" w:rsidR="006D5CCE" w:rsidRPr="003F48CD" w:rsidRDefault="009A28D9" w:rsidP="00BD16D6">
      <w:pPr>
        <w:pStyle w:val="121"/>
        <w:rPr>
          <w:rtl/>
        </w:rPr>
      </w:pPr>
      <w:r>
        <w:rPr>
          <w:rFonts w:hint="cs"/>
          <w:rtl/>
        </w:rPr>
        <w:lastRenderedPageBreak/>
        <w:t>עבודות תכנון קרקע ברשות מקרקעי ישראל ובמשרד הבינוי והשיכון</w:t>
      </w:r>
    </w:p>
    <w:p w14:paraId="6924D494" w14:textId="77777777" w:rsidR="006D5CCE" w:rsidRPr="001C72B2" w:rsidRDefault="006D5CCE" w:rsidP="006D5CCE">
      <w:pPr>
        <w:pStyle w:val="316"/>
        <w:rPr>
          <w:bCs/>
          <w:rtl/>
        </w:rPr>
      </w:pPr>
      <w:r w:rsidRPr="001C72B2">
        <w:rPr>
          <w:rtl/>
        </w:rPr>
        <w:t>מבוא</w:t>
      </w:r>
    </w:p>
    <w:p w14:paraId="569FB66D" w14:textId="77777777" w:rsidR="009A28D9" w:rsidRPr="009A28D9" w:rsidRDefault="009A28D9" w:rsidP="009A28D9">
      <w:pPr>
        <w:pStyle w:val="100"/>
        <w:rPr>
          <w:rtl/>
        </w:rPr>
      </w:pPr>
      <w:r w:rsidRPr="009A28D9">
        <w:rPr>
          <w:rFonts w:hint="cs"/>
          <w:rtl/>
        </w:rPr>
        <w:t xml:space="preserve">כדי לאפשר מתן פתרונות דיור לכלל האוכלוסייה יש להפוך את הקרקע לזמינה לבנייה למטרת מגורים, וזאת באמצעות תכנון מתארי ומפורט של הקרקע. גופי השלטון העיקריים שיוזמים ומבצעים תכנון קרקעות למגורים, הם </w:t>
      </w:r>
      <w:r w:rsidRPr="009A28D9">
        <w:rPr>
          <w:rtl/>
        </w:rPr>
        <w:t>רשות מקרקעי ישראל (להלן - רמ"י</w:t>
      </w:r>
      <w:r w:rsidRPr="009A28D9">
        <w:rPr>
          <w:rFonts w:hint="cs"/>
          <w:rtl/>
        </w:rPr>
        <w:t>),</w:t>
      </w:r>
      <w:r w:rsidRPr="009A28D9">
        <w:rPr>
          <w:rtl/>
        </w:rPr>
        <w:t xml:space="preserve"> </w:t>
      </w:r>
      <w:r w:rsidRPr="009A28D9">
        <w:rPr>
          <w:rFonts w:hint="cs"/>
          <w:rtl/>
        </w:rPr>
        <w:t>שאחראית ל</w:t>
      </w:r>
      <w:r w:rsidRPr="009A28D9">
        <w:rPr>
          <w:rtl/>
        </w:rPr>
        <w:t>נ</w:t>
      </w:r>
      <w:r w:rsidRPr="009A28D9">
        <w:rPr>
          <w:rFonts w:hint="cs"/>
          <w:rtl/>
        </w:rPr>
        <w:t>י</w:t>
      </w:r>
      <w:r w:rsidRPr="009A28D9">
        <w:rPr>
          <w:rtl/>
        </w:rPr>
        <w:t>ה</w:t>
      </w:r>
      <w:r w:rsidRPr="009A28D9">
        <w:rPr>
          <w:rFonts w:hint="cs"/>
          <w:rtl/>
        </w:rPr>
        <w:t>ו</w:t>
      </w:r>
      <w:r w:rsidRPr="009A28D9">
        <w:rPr>
          <w:rtl/>
        </w:rPr>
        <w:t xml:space="preserve">ל </w:t>
      </w:r>
      <w:r w:rsidRPr="009A28D9">
        <w:rPr>
          <w:rFonts w:hint="cs"/>
          <w:rtl/>
        </w:rPr>
        <w:t>מקרקעי</w:t>
      </w:r>
      <w:r w:rsidRPr="009A28D9">
        <w:rPr>
          <w:rtl/>
        </w:rPr>
        <w:t xml:space="preserve"> </w:t>
      </w:r>
      <w:r w:rsidRPr="009A28D9">
        <w:rPr>
          <w:rFonts w:hint="cs"/>
          <w:rtl/>
        </w:rPr>
        <w:t>ישראל</w:t>
      </w:r>
      <w:r w:rsidRPr="009A28D9">
        <w:rPr>
          <w:rStyle w:val="FootnoteReference"/>
          <w:rtl/>
        </w:rPr>
        <w:footnoteReference w:id="1"/>
      </w:r>
      <w:r w:rsidRPr="009A28D9">
        <w:rPr>
          <w:rFonts w:hint="cs"/>
          <w:vertAlign w:val="superscript"/>
          <w:rtl/>
        </w:rPr>
        <w:t>,</w:t>
      </w:r>
      <w:r w:rsidRPr="009A28D9">
        <w:rPr>
          <w:rFonts w:hint="cs"/>
          <w:rtl/>
        </w:rPr>
        <w:t xml:space="preserve"> ו</w:t>
      </w:r>
      <w:r w:rsidRPr="009A28D9">
        <w:rPr>
          <w:rtl/>
        </w:rPr>
        <w:t>משרד הבינוי והשיכון (להלן - משרד הבינוי)</w:t>
      </w:r>
      <w:r w:rsidRPr="009A28D9">
        <w:rPr>
          <w:rFonts w:hint="cs"/>
          <w:rtl/>
        </w:rPr>
        <w:t>,</w:t>
      </w:r>
      <w:r w:rsidRPr="009A28D9">
        <w:rPr>
          <w:rtl/>
        </w:rPr>
        <w:t xml:space="preserve"> </w:t>
      </w:r>
      <w:r w:rsidRPr="009A28D9">
        <w:rPr>
          <w:rFonts w:hint="cs"/>
          <w:rtl/>
        </w:rPr>
        <w:t>ה</w:t>
      </w:r>
      <w:r w:rsidRPr="009A28D9">
        <w:rPr>
          <w:rtl/>
        </w:rPr>
        <w:t>ממונה על ייזו</w:t>
      </w:r>
      <w:r w:rsidRPr="009A28D9">
        <w:rPr>
          <w:rFonts w:hint="cs"/>
          <w:rtl/>
        </w:rPr>
        <w:t>ם</w:t>
      </w:r>
      <w:r w:rsidRPr="009A28D9">
        <w:rPr>
          <w:rtl/>
        </w:rPr>
        <w:t xml:space="preserve"> וביצוע מדיניות</w:t>
      </w:r>
      <w:r w:rsidRPr="009A28D9">
        <w:rPr>
          <w:rFonts w:hint="cs"/>
          <w:rtl/>
        </w:rPr>
        <w:t xml:space="preserve"> </w:t>
      </w:r>
      <w:r w:rsidRPr="009A28D9">
        <w:rPr>
          <w:rtl/>
        </w:rPr>
        <w:t xml:space="preserve">הממשלה </w:t>
      </w:r>
      <w:r w:rsidRPr="009A28D9">
        <w:rPr>
          <w:rFonts w:hint="cs"/>
          <w:rtl/>
        </w:rPr>
        <w:t>ב</w:t>
      </w:r>
      <w:r w:rsidRPr="009A28D9">
        <w:rPr>
          <w:rtl/>
        </w:rPr>
        <w:t>תחו</w:t>
      </w:r>
      <w:r w:rsidRPr="009A28D9">
        <w:rPr>
          <w:rFonts w:hint="cs"/>
          <w:rtl/>
        </w:rPr>
        <w:t>ם</w:t>
      </w:r>
      <w:r w:rsidRPr="009A28D9">
        <w:rPr>
          <w:rtl/>
        </w:rPr>
        <w:t xml:space="preserve"> הבנייה </w:t>
      </w:r>
      <w:r w:rsidRPr="009A28D9">
        <w:rPr>
          <w:rFonts w:hint="cs"/>
          <w:rtl/>
        </w:rPr>
        <w:t>ל</w:t>
      </w:r>
      <w:r w:rsidRPr="009A28D9">
        <w:rPr>
          <w:rtl/>
        </w:rPr>
        <w:t>מגורי</w:t>
      </w:r>
      <w:r w:rsidRPr="009A28D9">
        <w:rPr>
          <w:rFonts w:hint="cs"/>
          <w:rtl/>
        </w:rPr>
        <w:t>ם. את פעולותיהם בתחום התכנון, ובהן ביצוע סקרי היתכנות, הכנת תוכניות סטטוטוריות</w:t>
      </w:r>
      <w:r w:rsidRPr="009A28D9">
        <w:rPr>
          <w:rStyle w:val="FootnoteReference"/>
          <w:rtl/>
        </w:rPr>
        <w:footnoteReference w:id="2"/>
      </w:r>
      <w:r w:rsidRPr="009A28D9">
        <w:rPr>
          <w:rFonts w:hint="cs"/>
          <w:rtl/>
        </w:rPr>
        <w:t xml:space="preserve"> על </w:t>
      </w:r>
      <w:r w:rsidRPr="009A28D9">
        <w:rPr>
          <w:rtl/>
        </w:rPr>
        <w:t>הקרקע</w:t>
      </w:r>
      <w:r w:rsidRPr="009A28D9">
        <w:rPr>
          <w:rFonts w:hint="cs"/>
          <w:rtl/>
        </w:rPr>
        <w:t xml:space="preserve"> והבאתן לאישור</w:t>
      </w:r>
      <w:r w:rsidRPr="009A28D9">
        <w:rPr>
          <w:rtl/>
        </w:rPr>
        <w:t xml:space="preserve"> </w:t>
      </w:r>
      <w:r w:rsidRPr="009A28D9">
        <w:rPr>
          <w:rFonts w:hint="cs"/>
          <w:rtl/>
        </w:rPr>
        <w:t>מוסדות התכנון</w:t>
      </w:r>
      <w:r w:rsidRPr="009A28D9">
        <w:rPr>
          <w:rStyle w:val="FootnoteReference"/>
          <w:rtl/>
        </w:rPr>
        <w:footnoteReference w:id="3"/>
      </w:r>
      <w:r w:rsidRPr="009A28D9">
        <w:rPr>
          <w:rFonts w:hint="cs"/>
          <w:rtl/>
        </w:rPr>
        <w:t xml:space="preserve"> </w:t>
      </w:r>
      <w:r w:rsidRPr="009A28D9">
        <w:rPr>
          <w:rtl/>
        </w:rPr>
        <w:t>(להלן - פעולות התכנון)</w:t>
      </w:r>
      <w:r w:rsidRPr="009A28D9">
        <w:rPr>
          <w:rFonts w:hint="cs"/>
          <w:rtl/>
        </w:rPr>
        <w:t>, מבצעים</w:t>
      </w:r>
      <w:r w:rsidRPr="009A28D9">
        <w:rPr>
          <w:rtl/>
        </w:rPr>
        <w:t xml:space="preserve"> רמ"י </w:t>
      </w:r>
      <w:r w:rsidRPr="009A28D9">
        <w:rPr>
          <w:rFonts w:hint="cs"/>
          <w:rtl/>
        </w:rPr>
        <w:t xml:space="preserve">ומשרד הבינוי </w:t>
      </w:r>
      <w:r w:rsidRPr="009A28D9">
        <w:rPr>
          <w:rtl/>
        </w:rPr>
        <w:t>ב</w:t>
      </w:r>
      <w:r w:rsidRPr="009A28D9">
        <w:rPr>
          <w:rFonts w:hint="cs"/>
          <w:rtl/>
        </w:rPr>
        <w:t xml:space="preserve">דרך של </w:t>
      </w:r>
      <w:r w:rsidRPr="009A28D9">
        <w:rPr>
          <w:rtl/>
        </w:rPr>
        <w:t>רכישת שירותים במיקור חוץ מ</w:t>
      </w:r>
      <w:r w:rsidRPr="009A28D9">
        <w:rPr>
          <w:rFonts w:hint="cs"/>
          <w:rtl/>
        </w:rPr>
        <w:t>גופים פרטיים המתמחים בכך</w:t>
      </w:r>
      <w:r w:rsidRPr="009A28D9">
        <w:rPr>
          <w:rtl/>
        </w:rPr>
        <w:t>.</w:t>
      </w:r>
      <w:r w:rsidRPr="009A28D9">
        <w:rPr>
          <w:rFonts w:hint="cs"/>
          <w:rtl/>
        </w:rPr>
        <w:t xml:space="preserve"> גופים ציבוריים נוספים יוזמים ומבצעים תכנון למגורים, ובהם רשויות מקומיות, מינהל התכנון ו"דירה להשכיר - החברה הממשלתית לדיור להשכרה בע"מ", ואפשר שגם גופים פרטיים יעשו זאת</w:t>
      </w:r>
      <w:r w:rsidRPr="009A28D9">
        <w:rPr>
          <w:rStyle w:val="FootnoteReference"/>
          <w:rtl/>
        </w:rPr>
        <w:footnoteReference w:id="4"/>
      </w:r>
      <w:r w:rsidRPr="009A28D9">
        <w:rPr>
          <w:rFonts w:hint="cs"/>
          <w:rtl/>
        </w:rPr>
        <w:t xml:space="preserve">. </w:t>
      </w:r>
    </w:p>
    <w:p w14:paraId="04D0E12F" w14:textId="77777777" w:rsidR="009A28D9" w:rsidRDefault="009A28D9" w:rsidP="00B12B1A">
      <w:pPr>
        <w:pStyle w:val="100"/>
        <w:rPr>
          <w:rtl/>
          <w:lang w:eastAsia="he-IL"/>
        </w:rPr>
      </w:pPr>
      <w:r w:rsidRPr="000C4380">
        <w:rPr>
          <w:rFonts w:hint="cs"/>
          <w:rtl/>
          <w:lang w:eastAsia="he-IL"/>
        </w:rPr>
        <w:t xml:space="preserve">בתרשימים להלן מוצגים נתונים בדבר היקף הפעילות של רמ"י, של משרד הבינוי ושל גופים </w:t>
      </w:r>
      <w:r>
        <w:rPr>
          <w:rFonts w:hint="cs"/>
          <w:rtl/>
          <w:lang w:eastAsia="he-IL"/>
        </w:rPr>
        <w:t>שלטוניים</w:t>
      </w:r>
      <w:r w:rsidRPr="000C4380">
        <w:rPr>
          <w:rFonts w:hint="cs"/>
          <w:rtl/>
          <w:lang w:eastAsia="he-IL"/>
        </w:rPr>
        <w:t xml:space="preserve"> אחרים בתחום התכנון למגורים על מקרקעי ישראל בשנים </w:t>
      </w:r>
      <w:r w:rsidRPr="000C4380">
        <w:rPr>
          <w:rtl/>
          <w:lang w:eastAsia="he-IL"/>
        </w:rPr>
        <w:t>2016 - 2018</w:t>
      </w:r>
      <w:r w:rsidRPr="000C4380">
        <w:rPr>
          <w:rFonts w:hint="cs"/>
          <w:rtl/>
          <w:lang w:eastAsia="he-IL"/>
        </w:rPr>
        <w:t>. כמו כן מובאים נתונים בדבר תקציבי רמ"י ומשרד הבינוי למימון פעולות התכנון</w:t>
      </w:r>
      <w:r>
        <w:rPr>
          <w:rFonts w:hint="cs"/>
          <w:rtl/>
          <w:lang w:eastAsia="he-IL"/>
        </w:rPr>
        <w:t>.</w:t>
      </w:r>
    </w:p>
    <w:p w14:paraId="5C5B8763" w14:textId="77777777" w:rsidR="009A28D9" w:rsidRPr="00875236" w:rsidRDefault="009A28D9" w:rsidP="009A28D9">
      <w:pPr>
        <w:spacing w:line="269" w:lineRule="auto"/>
        <w:rPr>
          <w:rtl/>
          <w:lang w:eastAsia="he-IL"/>
        </w:rPr>
      </w:pPr>
    </w:p>
    <w:p w14:paraId="23152CC7" w14:textId="77777777" w:rsidR="00B12B1A" w:rsidRDefault="00B12B1A">
      <w:pPr>
        <w:bidi w:val="0"/>
        <w:spacing w:after="200" w:line="276" w:lineRule="auto"/>
        <w:rPr>
          <w:b/>
          <w:bCs/>
          <w:sz w:val="24"/>
          <w:rtl/>
        </w:rPr>
      </w:pPr>
      <w:r>
        <w:rPr>
          <w:b/>
          <w:bCs/>
          <w:sz w:val="24"/>
          <w:rtl/>
        </w:rPr>
        <w:br w:type="page"/>
      </w:r>
    </w:p>
    <w:p w14:paraId="3E65CD76" w14:textId="7B19AD2A" w:rsidR="009A28D9" w:rsidRPr="001B4EC1" w:rsidRDefault="009A28D9" w:rsidP="00B12B1A">
      <w:pPr>
        <w:pStyle w:val="a6"/>
        <w:rPr>
          <w:rFonts w:ascii="Gisha" w:hAnsi="Gisha" w:cs="Gisha"/>
          <w:b/>
          <w:bCs/>
          <w:spacing w:val="-10"/>
          <w:rtl/>
        </w:rPr>
      </w:pPr>
      <w:r w:rsidRPr="001B4EC1">
        <w:rPr>
          <w:rFonts w:hint="cs"/>
          <w:spacing w:val="-10"/>
          <w:rtl/>
        </w:rPr>
        <w:lastRenderedPageBreak/>
        <w:t xml:space="preserve">תרשים 1: </w:t>
      </w:r>
      <w:r w:rsidRPr="001B4EC1">
        <w:rPr>
          <w:rFonts w:hint="eastAsia"/>
          <w:b/>
          <w:bCs/>
          <w:spacing w:val="-10"/>
          <w:rtl/>
        </w:rPr>
        <w:t>ייזום</w:t>
      </w:r>
      <w:r w:rsidRPr="001B4EC1">
        <w:rPr>
          <w:b/>
          <w:bCs/>
          <w:spacing w:val="-10"/>
          <w:rtl/>
        </w:rPr>
        <w:t xml:space="preserve"> תוכניות מפורטות </w:t>
      </w:r>
      <w:r w:rsidRPr="001B4EC1">
        <w:rPr>
          <w:rFonts w:hint="eastAsia"/>
          <w:b/>
          <w:bCs/>
          <w:spacing w:val="-10"/>
          <w:rtl/>
        </w:rPr>
        <w:t>למגורים</w:t>
      </w:r>
      <w:r w:rsidRPr="001B4EC1">
        <w:rPr>
          <w:rFonts w:hint="cs"/>
          <w:b/>
          <w:bCs/>
          <w:spacing w:val="-10"/>
          <w:rtl/>
        </w:rPr>
        <w:t xml:space="preserve"> לפי גופים שלטוניים</w:t>
      </w:r>
      <w:r w:rsidRPr="001B4EC1">
        <w:rPr>
          <w:b/>
          <w:bCs/>
          <w:spacing w:val="-10"/>
          <w:rtl/>
        </w:rPr>
        <w:t>, 2016 - 2018 (ביחידות דיור)</w:t>
      </w:r>
    </w:p>
    <w:p w14:paraId="16CD4D65" w14:textId="77777777" w:rsidR="009A28D9" w:rsidRDefault="009A28D9" w:rsidP="00C17096">
      <w:pPr>
        <w:pStyle w:val="a6"/>
        <w:rPr>
          <w:rFonts w:ascii="Gisha" w:hAnsi="Gisha" w:cs="Gisha"/>
          <w:rtl/>
          <w:lang w:eastAsia="he-IL"/>
        </w:rPr>
      </w:pPr>
      <w:r>
        <w:rPr>
          <w:noProof/>
        </w:rPr>
        <w:drawing>
          <wp:inline distT="0" distB="0" distL="0" distR="0" wp14:anchorId="7ACC15A3" wp14:editId="657357B2">
            <wp:extent cx="4362450" cy="2385542"/>
            <wp:effectExtent l="0" t="0" r="0" b="15240"/>
            <wp:docPr id="3" name="תרשים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D1ED41C" w14:textId="6B0EE361" w:rsidR="009A28D9" w:rsidRDefault="009A28D9" w:rsidP="00B12B1A">
      <w:pPr>
        <w:pStyle w:val="a8"/>
        <w:rPr>
          <w:rtl/>
          <w:lang w:eastAsia="he-IL"/>
        </w:rPr>
      </w:pPr>
      <w:r w:rsidRPr="00186202">
        <w:rPr>
          <w:rtl/>
          <w:lang w:eastAsia="he-IL"/>
        </w:rPr>
        <w:t xml:space="preserve">על פי </w:t>
      </w:r>
      <w:r>
        <w:rPr>
          <w:rFonts w:hint="cs"/>
          <w:rtl/>
          <w:lang w:eastAsia="he-IL"/>
        </w:rPr>
        <w:t>נתוני רמ"י</w:t>
      </w:r>
      <w:r w:rsidRPr="00186202">
        <w:rPr>
          <w:rtl/>
          <w:lang w:eastAsia="he-IL"/>
        </w:rPr>
        <w:t>, בעיבוד משרד מבקר המדינה.</w:t>
      </w:r>
    </w:p>
    <w:p w14:paraId="2371BC07" w14:textId="77777777" w:rsidR="00C17096" w:rsidRDefault="00C17096" w:rsidP="00B12B1A">
      <w:pPr>
        <w:pStyle w:val="100"/>
        <w:rPr>
          <w:rtl/>
          <w:lang w:eastAsia="he-IL"/>
        </w:rPr>
      </w:pPr>
    </w:p>
    <w:p w14:paraId="0834416C" w14:textId="5D472C89" w:rsidR="009A28D9" w:rsidRDefault="009A28D9" w:rsidP="0099060E">
      <w:pPr>
        <w:pStyle w:val="100"/>
        <w:spacing w:after="240"/>
        <w:rPr>
          <w:rtl/>
          <w:lang w:eastAsia="he-IL"/>
        </w:rPr>
      </w:pPr>
      <w:r w:rsidRPr="00186202">
        <w:rPr>
          <w:rFonts w:hint="eastAsia"/>
          <w:rtl/>
          <w:lang w:eastAsia="he-IL"/>
        </w:rPr>
        <w:t>מהתרשים</w:t>
      </w:r>
      <w:r w:rsidRPr="00186202">
        <w:rPr>
          <w:rtl/>
          <w:lang w:eastAsia="he-IL"/>
        </w:rPr>
        <w:t xml:space="preserve"> </w:t>
      </w:r>
      <w:r w:rsidRPr="00186202">
        <w:rPr>
          <w:rFonts w:hint="eastAsia"/>
          <w:rtl/>
          <w:lang w:eastAsia="he-IL"/>
        </w:rPr>
        <w:t>עולה</w:t>
      </w:r>
      <w:r w:rsidRPr="00186202">
        <w:rPr>
          <w:rtl/>
          <w:lang w:eastAsia="he-IL"/>
        </w:rPr>
        <w:t xml:space="preserve"> </w:t>
      </w:r>
      <w:r w:rsidRPr="00186202">
        <w:rPr>
          <w:rFonts w:hint="eastAsia"/>
          <w:rtl/>
          <w:lang w:eastAsia="he-IL"/>
        </w:rPr>
        <w:t>כי</w:t>
      </w:r>
      <w:r w:rsidRPr="00186202">
        <w:rPr>
          <w:rtl/>
          <w:lang w:eastAsia="he-IL"/>
        </w:rPr>
        <w:t xml:space="preserve"> </w:t>
      </w:r>
      <w:r w:rsidRPr="00186202">
        <w:rPr>
          <w:rFonts w:hint="eastAsia"/>
          <w:rtl/>
          <w:lang w:eastAsia="he-IL"/>
        </w:rPr>
        <w:t>רמ</w:t>
      </w:r>
      <w:r w:rsidRPr="00186202">
        <w:rPr>
          <w:rtl/>
          <w:lang w:eastAsia="he-IL"/>
        </w:rPr>
        <w:t xml:space="preserve">"י </w:t>
      </w:r>
      <w:r w:rsidRPr="00186202">
        <w:rPr>
          <w:rFonts w:hint="eastAsia"/>
          <w:rtl/>
          <w:lang w:eastAsia="he-IL"/>
        </w:rPr>
        <w:t>היא</w:t>
      </w:r>
      <w:r w:rsidRPr="00186202">
        <w:rPr>
          <w:rtl/>
          <w:lang w:eastAsia="he-IL"/>
        </w:rPr>
        <w:t xml:space="preserve"> </w:t>
      </w:r>
      <w:r w:rsidRPr="00186202">
        <w:rPr>
          <w:rFonts w:hint="eastAsia"/>
          <w:rtl/>
          <w:lang w:eastAsia="he-IL"/>
        </w:rPr>
        <w:t>הגוף</w:t>
      </w:r>
      <w:r w:rsidRPr="00186202">
        <w:rPr>
          <w:rtl/>
          <w:lang w:eastAsia="he-IL"/>
        </w:rPr>
        <w:t xml:space="preserve"> </w:t>
      </w:r>
      <w:r w:rsidRPr="00186202">
        <w:rPr>
          <w:rFonts w:hint="eastAsia"/>
          <w:rtl/>
          <w:lang w:eastAsia="he-IL"/>
        </w:rPr>
        <w:t>העיקרי</w:t>
      </w:r>
      <w:r w:rsidRPr="00186202">
        <w:rPr>
          <w:rtl/>
          <w:lang w:eastAsia="he-IL"/>
        </w:rPr>
        <w:t xml:space="preserve"> </w:t>
      </w:r>
      <w:r w:rsidRPr="00186202">
        <w:rPr>
          <w:rFonts w:hint="eastAsia"/>
          <w:rtl/>
          <w:lang w:eastAsia="he-IL"/>
        </w:rPr>
        <w:t>שמבצע</w:t>
      </w:r>
      <w:r w:rsidRPr="00186202">
        <w:rPr>
          <w:rtl/>
          <w:lang w:eastAsia="he-IL"/>
        </w:rPr>
        <w:t xml:space="preserve"> </w:t>
      </w:r>
      <w:r w:rsidRPr="00186202">
        <w:rPr>
          <w:rFonts w:hint="eastAsia"/>
          <w:rtl/>
          <w:lang w:eastAsia="he-IL"/>
        </w:rPr>
        <w:t>את</w:t>
      </w:r>
      <w:r w:rsidRPr="00186202">
        <w:rPr>
          <w:rtl/>
          <w:lang w:eastAsia="he-IL"/>
        </w:rPr>
        <w:t xml:space="preserve"> </w:t>
      </w:r>
      <w:r w:rsidRPr="00186202">
        <w:rPr>
          <w:rFonts w:hint="eastAsia"/>
          <w:rtl/>
          <w:lang w:eastAsia="he-IL"/>
        </w:rPr>
        <w:t>תכנון</w:t>
      </w:r>
      <w:r w:rsidRPr="00186202">
        <w:rPr>
          <w:rtl/>
          <w:lang w:eastAsia="he-IL"/>
        </w:rPr>
        <w:t xml:space="preserve"> </w:t>
      </w:r>
      <w:r w:rsidRPr="00186202">
        <w:rPr>
          <w:rFonts w:hint="eastAsia"/>
          <w:rtl/>
          <w:lang w:eastAsia="he-IL"/>
        </w:rPr>
        <w:t>הקרקע</w:t>
      </w:r>
      <w:r w:rsidRPr="00186202">
        <w:rPr>
          <w:rtl/>
          <w:lang w:eastAsia="he-IL"/>
        </w:rPr>
        <w:t xml:space="preserve"> </w:t>
      </w:r>
      <w:r w:rsidRPr="00186202">
        <w:rPr>
          <w:rFonts w:hint="eastAsia"/>
          <w:rtl/>
          <w:lang w:eastAsia="he-IL"/>
        </w:rPr>
        <w:t>למגורים</w:t>
      </w:r>
      <w:r w:rsidRPr="00186202">
        <w:rPr>
          <w:rtl/>
          <w:lang w:eastAsia="he-IL"/>
        </w:rPr>
        <w:t xml:space="preserve"> </w:t>
      </w:r>
      <w:r w:rsidRPr="00186202">
        <w:rPr>
          <w:rFonts w:hint="eastAsia"/>
          <w:rtl/>
          <w:lang w:eastAsia="he-IL"/>
        </w:rPr>
        <w:t>על</w:t>
      </w:r>
      <w:r w:rsidRPr="00186202">
        <w:rPr>
          <w:rtl/>
          <w:lang w:eastAsia="he-IL"/>
        </w:rPr>
        <w:t xml:space="preserve"> </w:t>
      </w:r>
      <w:r w:rsidRPr="00186202">
        <w:rPr>
          <w:rFonts w:hint="eastAsia"/>
          <w:rtl/>
          <w:lang w:eastAsia="he-IL"/>
        </w:rPr>
        <w:t>מקרקעי</w:t>
      </w:r>
      <w:r w:rsidRPr="00186202">
        <w:rPr>
          <w:rtl/>
          <w:lang w:eastAsia="he-IL"/>
        </w:rPr>
        <w:t xml:space="preserve"> </w:t>
      </w:r>
      <w:r w:rsidRPr="00186202">
        <w:rPr>
          <w:rFonts w:hint="eastAsia"/>
          <w:rtl/>
          <w:lang w:eastAsia="he-IL"/>
        </w:rPr>
        <w:t>ישראל</w:t>
      </w:r>
      <w:r w:rsidRPr="00186202">
        <w:rPr>
          <w:rtl/>
          <w:lang w:eastAsia="he-IL"/>
        </w:rPr>
        <w:t xml:space="preserve">, </w:t>
      </w:r>
      <w:r w:rsidRPr="00186202">
        <w:rPr>
          <w:rFonts w:hint="eastAsia"/>
          <w:rtl/>
          <w:lang w:eastAsia="he-IL"/>
        </w:rPr>
        <w:t>ו</w:t>
      </w:r>
      <w:r>
        <w:rPr>
          <w:rFonts w:hint="cs"/>
          <w:rtl/>
          <w:lang w:eastAsia="he-IL"/>
        </w:rPr>
        <w:t xml:space="preserve">כי </w:t>
      </w:r>
      <w:r w:rsidRPr="00186202">
        <w:rPr>
          <w:rFonts w:hint="eastAsia"/>
          <w:rtl/>
          <w:lang w:eastAsia="he-IL"/>
        </w:rPr>
        <w:t>חלקו</w:t>
      </w:r>
      <w:r w:rsidRPr="00186202">
        <w:rPr>
          <w:rtl/>
          <w:lang w:eastAsia="he-IL"/>
        </w:rPr>
        <w:t xml:space="preserve"> </w:t>
      </w:r>
      <w:r w:rsidRPr="00186202">
        <w:rPr>
          <w:rFonts w:hint="eastAsia"/>
          <w:rtl/>
          <w:lang w:eastAsia="he-IL"/>
        </w:rPr>
        <w:t>של</w:t>
      </w:r>
      <w:r w:rsidRPr="00186202">
        <w:rPr>
          <w:rtl/>
          <w:lang w:eastAsia="he-IL"/>
        </w:rPr>
        <w:t xml:space="preserve"> </w:t>
      </w:r>
      <w:r w:rsidRPr="00186202">
        <w:rPr>
          <w:rFonts w:hint="eastAsia"/>
          <w:rtl/>
          <w:lang w:eastAsia="he-IL"/>
        </w:rPr>
        <w:t>משרד</w:t>
      </w:r>
      <w:r w:rsidRPr="00186202">
        <w:rPr>
          <w:rtl/>
          <w:lang w:eastAsia="he-IL"/>
        </w:rPr>
        <w:t xml:space="preserve"> </w:t>
      </w:r>
      <w:r w:rsidRPr="00186202">
        <w:rPr>
          <w:rFonts w:hint="eastAsia"/>
          <w:rtl/>
          <w:lang w:eastAsia="he-IL"/>
        </w:rPr>
        <w:t>הבינוי</w:t>
      </w:r>
      <w:r w:rsidRPr="00186202">
        <w:rPr>
          <w:rtl/>
          <w:lang w:eastAsia="he-IL"/>
        </w:rPr>
        <w:t xml:space="preserve"> </w:t>
      </w:r>
      <w:r>
        <w:rPr>
          <w:rFonts w:hint="cs"/>
          <w:rtl/>
          <w:lang w:eastAsia="he-IL"/>
        </w:rPr>
        <w:t xml:space="preserve">בתכנון הקרקע למגורים </w:t>
      </w:r>
      <w:r w:rsidRPr="00186202">
        <w:rPr>
          <w:rFonts w:hint="eastAsia"/>
          <w:rtl/>
          <w:lang w:eastAsia="he-IL"/>
        </w:rPr>
        <w:t>מצוי</w:t>
      </w:r>
      <w:r w:rsidRPr="00186202">
        <w:rPr>
          <w:rtl/>
          <w:lang w:eastAsia="he-IL"/>
        </w:rPr>
        <w:t xml:space="preserve"> </w:t>
      </w:r>
      <w:r w:rsidRPr="00186202">
        <w:rPr>
          <w:rFonts w:hint="eastAsia"/>
          <w:rtl/>
          <w:lang w:eastAsia="he-IL"/>
        </w:rPr>
        <w:t>במגמת</w:t>
      </w:r>
      <w:r w:rsidRPr="00186202">
        <w:rPr>
          <w:rtl/>
          <w:lang w:eastAsia="he-IL"/>
        </w:rPr>
        <w:t xml:space="preserve"> </w:t>
      </w:r>
      <w:r w:rsidRPr="00186202">
        <w:rPr>
          <w:rFonts w:hint="eastAsia"/>
          <w:rtl/>
          <w:lang w:eastAsia="he-IL"/>
        </w:rPr>
        <w:t>עלייה</w:t>
      </w:r>
      <w:r w:rsidRPr="00186202">
        <w:rPr>
          <w:rtl/>
          <w:lang w:eastAsia="he-IL"/>
        </w:rPr>
        <w:t>.</w:t>
      </w:r>
    </w:p>
    <w:p w14:paraId="442D5B27" w14:textId="77777777" w:rsidR="009A28D9" w:rsidRPr="00186202" w:rsidRDefault="009A28D9" w:rsidP="001B4EC1">
      <w:pPr>
        <w:pStyle w:val="a6"/>
        <w:rPr>
          <w:rFonts w:ascii="Gisha" w:hAnsi="Gisha" w:cs="Gisha"/>
          <w:rtl/>
          <w:lang w:eastAsia="he-IL"/>
        </w:rPr>
      </w:pPr>
      <w:r w:rsidRPr="00186202">
        <w:rPr>
          <w:rFonts w:hint="cs"/>
          <w:rtl/>
          <w:lang w:eastAsia="he-IL"/>
        </w:rPr>
        <w:t xml:space="preserve">תרשים 2: </w:t>
      </w:r>
      <w:r w:rsidRPr="001B4EC1">
        <w:rPr>
          <w:rFonts w:hint="eastAsia"/>
          <w:b/>
          <w:bCs/>
          <w:spacing w:val="-10"/>
          <w:rtl/>
        </w:rPr>
        <w:t>תקציב</w:t>
      </w:r>
      <w:r w:rsidRPr="001B4EC1">
        <w:rPr>
          <w:rStyle w:val="FootnoteReference"/>
          <w:rFonts w:eastAsia="Times New Roman"/>
          <w:b/>
          <w:bCs/>
          <w:spacing w:val="-10"/>
          <w:sz w:val="24"/>
          <w:rtl/>
          <w:lang w:eastAsia="he-IL"/>
        </w:rPr>
        <w:footnoteReference w:id="5"/>
      </w:r>
      <w:r w:rsidRPr="001B4EC1">
        <w:rPr>
          <w:rFonts w:eastAsia="Times New Roman" w:hint="cs"/>
          <w:b/>
          <w:bCs/>
          <w:spacing w:val="-10"/>
          <w:rtl/>
          <w:lang w:eastAsia="he-IL"/>
        </w:rPr>
        <w:t xml:space="preserve"> </w:t>
      </w:r>
      <w:r w:rsidRPr="001B4EC1">
        <w:rPr>
          <w:rFonts w:eastAsia="Times New Roman" w:hint="eastAsia"/>
          <w:b/>
          <w:bCs/>
          <w:spacing w:val="-10"/>
          <w:rtl/>
          <w:lang w:eastAsia="he-IL"/>
        </w:rPr>
        <w:t>לפעולות</w:t>
      </w:r>
      <w:r w:rsidRPr="001B4EC1">
        <w:rPr>
          <w:rFonts w:eastAsia="Times New Roman"/>
          <w:b/>
          <w:bCs/>
          <w:spacing w:val="-10"/>
          <w:rtl/>
          <w:lang w:eastAsia="he-IL"/>
        </w:rPr>
        <w:t xml:space="preserve"> </w:t>
      </w:r>
      <w:r w:rsidRPr="001B4EC1">
        <w:rPr>
          <w:rFonts w:eastAsia="Times New Roman" w:hint="eastAsia"/>
          <w:b/>
          <w:bCs/>
          <w:spacing w:val="-10"/>
          <w:rtl/>
          <w:lang w:eastAsia="he-IL"/>
        </w:rPr>
        <w:t>התכנון</w:t>
      </w:r>
      <w:r w:rsidRPr="001B4EC1">
        <w:rPr>
          <w:rFonts w:eastAsia="Times New Roman"/>
          <w:b/>
          <w:bCs/>
          <w:spacing w:val="-10"/>
          <w:rtl/>
          <w:lang w:eastAsia="he-IL"/>
        </w:rPr>
        <w:t xml:space="preserve"> של רמ"י </w:t>
      </w:r>
      <w:r w:rsidRPr="001B4EC1">
        <w:rPr>
          <w:rFonts w:eastAsia="Times New Roman" w:hint="eastAsia"/>
          <w:b/>
          <w:bCs/>
          <w:spacing w:val="-10"/>
          <w:rtl/>
          <w:lang w:eastAsia="he-IL"/>
        </w:rPr>
        <w:t>למגורים</w:t>
      </w:r>
      <w:r w:rsidRPr="001B4EC1">
        <w:rPr>
          <w:rFonts w:eastAsia="Times New Roman" w:hint="cs"/>
          <w:b/>
          <w:bCs/>
          <w:spacing w:val="-10"/>
          <w:rtl/>
          <w:lang w:eastAsia="he-IL"/>
        </w:rPr>
        <w:t xml:space="preserve"> וביצועו, 2016 - 2018 (במיליוני ש"ח)</w:t>
      </w:r>
      <w:r w:rsidRPr="001B4EC1">
        <w:rPr>
          <w:rFonts w:eastAsia="Times New Roman"/>
          <w:b/>
          <w:bCs/>
          <w:spacing w:val="-10"/>
          <w:rtl/>
          <w:lang w:eastAsia="he-IL"/>
        </w:rPr>
        <w:t xml:space="preserve"> </w:t>
      </w:r>
    </w:p>
    <w:p w14:paraId="1D7FD8E3" w14:textId="77777777" w:rsidR="009A28D9" w:rsidRDefault="009A28D9" w:rsidP="00C17096">
      <w:pPr>
        <w:pStyle w:val="a6"/>
        <w:rPr>
          <w:rtl/>
          <w:lang w:eastAsia="he-IL"/>
        </w:rPr>
      </w:pPr>
      <w:r>
        <w:rPr>
          <w:noProof/>
        </w:rPr>
        <w:drawing>
          <wp:inline distT="0" distB="0" distL="0" distR="0" wp14:anchorId="44FD4380" wp14:editId="4A2881E0">
            <wp:extent cx="4286250" cy="2571750"/>
            <wp:effectExtent l="0" t="0" r="0" b="0"/>
            <wp:docPr id="20" name="תרשים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CB0425F" w14:textId="77777777" w:rsidR="009A28D9" w:rsidRDefault="009A28D9" w:rsidP="001B4EC1">
      <w:pPr>
        <w:pStyle w:val="a8"/>
        <w:rPr>
          <w:rtl/>
          <w:lang w:eastAsia="he-IL"/>
        </w:rPr>
      </w:pPr>
      <w:r w:rsidRPr="001B4EC1">
        <w:rPr>
          <w:rFonts w:hint="cs"/>
          <w:rtl/>
          <w:lang w:eastAsia="he-IL"/>
        </w:rPr>
        <w:t xml:space="preserve"> </w:t>
      </w:r>
      <w:r w:rsidRPr="001B4EC1">
        <w:rPr>
          <w:rtl/>
          <w:lang w:eastAsia="he-IL"/>
        </w:rPr>
        <w:t xml:space="preserve">על פי </w:t>
      </w:r>
      <w:r w:rsidRPr="001B4EC1">
        <w:rPr>
          <w:rFonts w:hint="cs"/>
          <w:rtl/>
          <w:lang w:eastAsia="he-IL"/>
        </w:rPr>
        <w:t>נתוני רמ"י</w:t>
      </w:r>
      <w:r w:rsidRPr="001B4EC1">
        <w:rPr>
          <w:rtl/>
          <w:lang w:eastAsia="he-IL"/>
        </w:rPr>
        <w:t>, בעיבוד משרד מבקר המדינה.</w:t>
      </w:r>
    </w:p>
    <w:p w14:paraId="20EF2269" w14:textId="77777777" w:rsidR="009A28D9" w:rsidRPr="001B4EC1" w:rsidRDefault="009A28D9" w:rsidP="001B4EC1">
      <w:pPr>
        <w:pStyle w:val="a8"/>
        <w:rPr>
          <w:rtl/>
          <w:lang w:eastAsia="he-IL"/>
        </w:rPr>
      </w:pPr>
    </w:p>
    <w:p w14:paraId="1107DF34" w14:textId="77777777" w:rsidR="009A28D9" w:rsidRPr="00C17096" w:rsidRDefault="009A28D9" w:rsidP="00C17096">
      <w:pPr>
        <w:pStyle w:val="a6"/>
        <w:rPr>
          <w:b/>
          <w:bCs/>
          <w:rtl/>
          <w:lang w:eastAsia="he-IL"/>
        </w:rPr>
      </w:pPr>
      <w:r w:rsidRPr="00186202">
        <w:rPr>
          <w:rtl/>
          <w:lang w:eastAsia="he-IL"/>
        </w:rPr>
        <w:t xml:space="preserve">תרשים </w:t>
      </w:r>
      <w:r w:rsidRPr="00186202">
        <w:rPr>
          <w:rFonts w:hint="cs"/>
          <w:rtl/>
          <w:lang w:eastAsia="he-IL"/>
        </w:rPr>
        <w:t>3</w:t>
      </w:r>
      <w:r w:rsidRPr="00186202">
        <w:rPr>
          <w:rtl/>
          <w:lang w:eastAsia="he-IL"/>
        </w:rPr>
        <w:t xml:space="preserve">: </w:t>
      </w:r>
      <w:r w:rsidRPr="00C17096">
        <w:rPr>
          <w:b/>
          <w:bCs/>
          <w:rtl/>
          <w:lang w:eastAsia="he-IL"/>
        </w:rPr>
        <w:t>תקציב</w:t>
      </w:r>
      <w:r w:rsidRPr="00C17096">
        <w:rPr>
          <w:rStyle w:val="FootnoteReference"/>
          <w:b/>
          <w:bCs/>
          <w:rtl/>
          <w:lang w:eastAsia="he-IL"/>
        </w:rPr>
        <w:footnoteReference w:id="6"/>
      </w:r>
      <w:r w:rsidRPr="00C17096">
        <w:rPr>
          <w:b/>
          <w:bCs/>
          <w:rtl/>
          <w:lang w:eastAsia="he-IL"/>
        </w:rPr>
        <w:t xml:space="preserve"> לפעולות התכנון של </w:t>
      </w:r>
      <w:r w:rsidRPr="00C17096">
        <w:rPr>
          <w:rFonts w:hint="eastAsia"/>
          <w:b/>
          <w:bCs/>
          <w:rtl/>
          <w:lang w:eastAsia="he-IL"/>
        </w:rPr>
        <w:t>משרד</w:t>
      </w:r>
      <w:r w:rsidRPr="00C17096">
        <w:rPr>
          <w:b/>
          <w:bCs/>
          <w:rtl/>
          <w:lang w:eastAsia="he-IL"/>
        </w:rPr>
        <w:t xml:space="preserve"> </w:t>
      </w:r>
      <w:r w:rsidRPr="00C17096">
        <w:rPr>
          <w:rFonts w:hint="eastAsia"/>
          <w:b/>
          <w:bCs/>
          <w:rtl/>
          <w:lang w:eastAsia="he-IL"/>
        </w:rPr>
        <w:t>הבינוי</w:t>
      </w:r>
      <w:r w:rsidRPr="00C17096">
        <w:rPr>
          <w:rFonts w:hint="cs"/>
          <w:b/>
          <w:bCs/>
          <w:rtl/>
          <w:lang w:eastAsia="he-IL"/>
        </w:rPr>
        <w:t xml:space="preserve"> למגורים וביצועו, 2016 - 2018 (במיליוני ש"ח)</w:t>
      </w:r>
    </w:p>
    <w:p w14:paraId="0CA45E3A" w14:textId="77777777" w:rsidR="009A28D9" w:rsidRDefault="009A28D9" w:rsidP="009A28D9">
      <w:pPr>
        <w:spacing w:line="269" w:lineRule="auto"/>
        <w:ind w:left="312"/>
        <w:jc w:val="left"/>
        <w:rPr>
          <w:sz w:val="18"/>
          <w:szCs w:val="22"/>
          <w:rtl/>
          <w:lang w:eastAsia="he-IL"/>
        </w:rPr>
      </w:pPr>
      <w:r>
        <w:rPr>
          <w:noProof/>
        </w:rPr>
        <w:drawing>
          <wp:inline distT="0" distB="0" distL="0" distR="0" wp14:anchorId="5865DEFB" wp14:editId="572815AE">
            <wp:extent cx="4572000" cy="2743200"/>
            <wp:effectExtent l="0" t="0" r="0" b="0"/>
            <wp:docPr id="23" name="תרשים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D030BB">
        <w:rPr>
          <w:sz w:val="18"/>
          <w:szCs w:val="22"/>
          <w:rtl/>
          <w:lang w:eastAsia="he-IL"/>
        </w:rPr>
        <w:t xml:space="preserve"> </w:t>
      </w:r>
    </w:p>
    <w:p w14:paraId="18BF9E2E" w14:textId="77777777" w:rsidR="009A28D9" w:rsidRPr="00D030BB" w:rsidRDefault="009A28D9" w:rsidP="0099060E">
      <w:pPr>
        <w:pStyle w:val="a8"/>
        <w:rPr>
          <w:rtl/>
          <w:lang w:eastAsia="he-IL"/>
        </w:rPr>
      </w:pPr>
      <w:r w:rsidRPr="00D030BB">
        <w:rPr>
          <w:rtl/>
          <w:lang w:eastAsia="he-IL"/>
        </w:rPr>
        <w:t xml:space="preserve">על פי </w:t>
      </w:r>
      <w:r w:rsidRPr="00D030BB">
        <w:rPr>
          <w:rFonts w:hint="cs"/>
          <w:rtl/>
          <w:lang w:eastAsia="he-IL"/>
        </w:rPr>
        <w:t>נתוני משרד הבינוי</w:t>
      </w:r>
      <w:r w:rsidRPr="00D030BB">
        <w:rPr>
          <w:rtl/>
          <w:lang w:eastAsia="he-IL"/>
        </w:rPr>
        <w:t>, בעיבוד משרד מבקר המדינה.</w:t>
      </w:r>
    </w:p>
    <w:p w14:paraId="0A240CA7" w14:textId="654AFAE0" w:rsidR="009A28D9" w:rsidRDefault="009A28D9" w:rsidP="009A28D9">
      <w:pPr>
        <w:spacing w:line="269" w:lineRule="auto"/>
        <w:rPr>
          <w:rtl/>
        </w:rPr>
      </w:pPr>
    </w:p>
    <w:p w14:paraId="24061027" w14:textId="77777777" w:rsidR="009A28D9" w:rsidRPr="00FE666B" w:rsidRDefault="009A28D9" w:rsidP="0099060E">
      <w:pPr>
        <w:pStyle w:val="100"/>
        <w:rPr>
          <w:rtl/>
        </w:rPr>
      </w:pPr>
      <w:r w:rsidRPr="00FE666B">
        <w:rPr>
          <w:rFonts w:hint="eastAsia"/>
          <w:rtl/>
        </w:rPr>
        <w:t>מתרשימים</w:t>
      </w:r>
      <w:r w:rsidRPr="00FE666B">
        <w:rPr>
          <w:rtl/>
        </w:rPr>
        <w:t xml:space="preserve"> 2 </w:t>
      </w:r>
      <w:r w:rsidRPr="00FE666B">
        <w:rPr>
          <w:rFonts w:hint="eastAsia"/>
          <w:rtl/>
        </w:rPr>
        <w:t>ו</w:t>
      </w:r>
      <w:r w:rsidRPr="00FE666B">
        <w:rPr>
          <w:rtl/>
        </w:rPr>
        <w:t xml:space="preserve">-3 </w:t>
      </w:r>
      <w:r w:rsidRPr="00FE666B">
        <w:rPr>
          <w:rFonts w:hint="eastAsia"/>
          <w:rtl/>
        </w:rPr>
        <w:t>עולה</w:t>
      </w:r>
      <w:r w:rsidRPr="00FE666B">
        <w:rPr>
          <w:rtl/>
        </w:rPr>
        <w:t xml:space="preserve"> </w:t>
      </w:r>
      <w:r w:rsidRPr="00FE666B">
        <w:rPr>
          <w:rFonts w:hint="eastAsia"/>
          <w:rtl/>
        </w:rPr>
        <w:t>כי</w:t>
      </w:r>
      <w:r w:rsidRPr="00FE666B">
        <w:rPr>
          <w:rtl/>
        </w:rPr>
        <w:t xml:space="preserve"> </w:t>
      </w:r>
      <w:r w:rsidRPr="00FE666B">
        <w:rPr>
          <w:rFonts w:hint="eastAsia"/>
          <w:rtl/>
        </w:rPr>
        <w:t>בשנים</w:t>
      </w:r>
      <w:r w:rsidRPr="00FE666B">
        <w:rPr>
          <w:rtl/>
        </w:rPr>
        <w:t xml:space="preserve"> 2016 - 2018 </w:t>
      </w:r>
      <w:r w:rsidRPr="00FE666B">
        <w:rPr>
          <w:rFonts w:hint="eastAsia"/>
          <w:rtl/>
        </w:rPr>
        <w:t>הוציאו</w:t>
      </w:r>
      <w:r w:rsidRPr="00FE666B">
        <w:rPr>
          <w:rtl/>
        </w:rPr>
        <w:t xml:space="preserve"> רמ"י ומשרד הבינוי (תקציב מזומנים והרשאות להתחייב) </w:t>
      </w:r>
      <w:r>
        <w:rPr>
          <w:rFonts w:hint="cs"/>
          <w:rtl/>
        </w:rPr>
        <w:t>כ-2</w:t>
      </w:r>
      <w:r w:rsidRPr="00FE666B">
        <w:rPr>
          <w:rtl/>
        </w:rPr>
        <w:t xml:space="preserve"> </w:t>
      </w:r>
      <w:r w:rsidRPr="00FE666B">
        <w:rPr>
          <w:rFonts w:hint="eastAsia"/>
          <w:rtl/>
        </w:rPr>
        <w:t>מיליארד</w:t>
      </w:r>
      <w:r w:rsidRPr="00FE666B">
        <w:rPr>
          <w:rtl/>
        </w:rPr>
        <w:t xml:space="preserve"> ש"ח (</w:t>
      </w:r>
      <w:r w:rsidRPr="00FE666B">
        <w:rPr>
          <w:rFonts w:hint="eastAsia"/>
          <w:rtl/>
        </w:rPr>
        <w:t>כ</w:t>
      </w:r>
      <w:r w:rsidRPr="00FE666B">
        <w:rPr>
          <w:rtl/>
        </w:rPr>
        <w:t xml:space="preserve">-650 מיליון ש"ח בממוצע עבור כל שנה) בגין תכנון קרקע למגורים. </w:t>
      </w:r>
    </w:p>
    <w:p w14:paraId="403E821A" w14:textId="77777777" w:rsidR="009A28D9" w:rsidRDefault="009A28D9" w:rsidP="0099060E">
      <w:pPr>
        <w:pStyle w:val="316"/>
        <w:rPr>
          <w:rtl/>
        </w:rPr>
      </w:pPr>
      <w:r>
        <w:rPr>
          <w:rFonts w:hint="cs"/>
          <w:rtl/>
        </w:rPr>
        <w:t>פעולות הביקורת</w:t>
      </w:r>
    </w:p>
    <w:p w14:paraId="0172B8BF" w14:textId="77777777" w:rsidR="009A28D9" w:rsidRDefault="009A28D9" w:rsidP="00537E14">
      <w:pPr>
        <w:pStyle w:val="100"/>
        <w:rPr>
          <w:rtl/>
        </w:rPr>
      </w:pPr>
      <w:r w:rsidRPr="00AA442A">
        <w:rPr>
          <w:rtl/>
        </w:rPr>
        <w:t xml:space="preserve">בחודשים </w:t>
      </w:r>
      <w:r>
        <w:rPr>
          <w:rFonts w:hint="cs"/>
          <w:rtl/>
        </w:rPr>
        <w:t xml:space="preserve">פברואר עד </w:t>
      </w:r>
      <w:r w:rsidRPr="00AA442A">
        <w:rPr>
          <w:rtl/>
        </w:rPr>
        <w:t>ספטמבר 20</w:t>
      </w:r>
      <w:r>
        <w:rPr>
          <w:rFonts w:hint="cs"/>
          <w:rtl/>
        </w:rPr>
        <w:t>19</w:t>
      </w:r>
      <w:r w:rsidRPr="00AA442A">
        <w:rPr>
          <w:rtl/>
        </w:rPr>
        <w:t xml:space="preserve"> בדק משרד מבקר המדינה את פעולות רמ"י ומשרד הבינוי בכל הנוגע למסירת עבודות תכנון </w:t>
      </w:r>
      <w:r>
        <w:rPr>
          <w:rFonts w:hint="cs"/>
          <w:rtl/>
        </w:rPr>
        <w:t>לבנייה למגורים</w:t>
      </w:r>
      <w:r w:rsidRPr="00AA442A">
        <w:rPr>
          <w:rtl/>
        </w:rPr>
        <w:t xml:space="preserve"> למתכננים</w:t>
      </w:r>
      <w:r>
        <w:rPr>
          <w:rFonts w:hint="cs"/>
          <w:rtl/>
        </w:rPr>
        <w:t xml:space="preserve"> פרטיים, </w:t>
      </w:r>
      <w:r w:rsidRPr="00AA442A">
        <w:rPr>
          <w:rtl/>
        </w:rPr>
        <w:t>וב</w:t>
      </w:r>
      <w:r>
        <w:rPr>
          <w:rFonts w:hint="cs"/>
          <w:rtl/>
        </w:rPr>
        <w:t xml:space="preserve">כלל זה </w:t>
      </w:r>
      <w:r w:rsidRPr="00AA442A">
        <w:rPr>
          <w:rtl/>
        </w:rPr>
        <w:t xml:space="preserve">בחירת </w:t>
      </w:r>
      <w:r>
        <w:rPr>
          <w:rFonts w:hint="cs"/>
          <w:rtl/>
        </w:rPr>
        <w:t>ה</w:t>
      </w:r>
      <w:r w:rsidRPr="00AA442A">
        <w:rPr>
          <w:rtl/>
        </w:rPr>
        <w:t>מתכננים, אופן הקצאת עבודות התכנון</w:t>
      </w:r>
      <w:r>
        <w:rPr>
          <w:rFonts w:hint="cs"/>
          <w:rtl/>
        </w:rPr>
        <w:t xml:space="preserve"> וה</w:t>
      </w:r>
      <w:r w:rsidRPr="00AA442A">
        <w:rPr>
          <w:rtl/>
        </w:rPr>
        <w:t>ליווי</w:t>
      </w:r>
      <w:r>
        <w:rPr>
          <w:rFonts w:hint="cs"/>
          <w:rtl/>
        </w:rPr>
        <w:t xml:space="preserve"> שלהן</w:t>
      </w:r>
      <w:r w:rsidRPr="00AA442A">
        <w:rPr>
          <w:rtl/>
        </w:rPr>
        <w:t xml:space="preserve">. </w:t>
      </w:r>
      <w:r>
        <w:rPr>
          <w:rFonts w:hint="cs"/>
          <w:rtl/>
        </w:rPr>
        <w:t xml:space="preserve">כמו כן </w:t>
      </w:r>
      <w:r w:rsidRPr="00AA442A">
        <w:rPr>
          <w:rtl/>
        </w:rPr>
        <w:t xml:space="preserve">נבדק </w:t>
      </w:r>
      <w:r w:rsidRPr="00DF27F9">
        <w:rPr>
          <w:rtl/>
        </w:rPr>
        <w:t>יישום החלט</w:t>
      </w:r>
      <w:r>
        <w:rPr>
          <w:rFonts w:hint="cs"/>
          <w:rtl/>
        </w:rPr>
        <w:t>ו</w:t>
      </w:r>
      <w:r w:rsidRPr="00DF27F9">
        <w:rPr>
          <w:rtl/>
        </w:rPr>
        <w:t>ת הממשלה בעניין העברת תחום התכנון מרמ"י לגורמים אחרים</w:t>
      </w:r>
      <w:r>
        <w:rPr>
          <w:rStyle w:val="FootnoteReference"/>
          <w:rtl/>
        </w:rPr>
        <w:footnoteReference w:id="7"/>
      </w:r>
      <w:r w:rsidRPr="00DF27F9">
        <w:rPr>
          <w:rtl/>
        </w:rPr>
        <w:t>.</w:t>
      </w:r>
      <w:r w:rsidRPr="00AA442A">
        <w:rPr>
          <w:rtl/>
        </w:rPr>
        <w:t xml:space="preserve"> </w:t>
      </w:r>
      <w:r>
        <w:rPr>
          <w:rFonts w:hint="cs"/>
          <w:rtl/>
        </w:rPr>
        <w:t xml:space="preserve">בדיקות השלמה נעשו במשרד האוצר - במינהל התכנון, באגף החשב הכללי (להלן - החשב הכללי) ובמטה הדיור הלאומי, ובמשרד הביטחון. </w:t>
      </w:r>
    </w:p>
    <w:p w14:paraId="29263581" w14:textId="77777777" w:rsidR="009A28D9" w:rsidRDefault="009A28D9" w:rsidP="009A28D9">
      <w:pPr>
        <w:spacing w:line="269" w:lineRule="auto"/>
        <w:rPr>
          <w:rtl/>
        </w:rPr>
      </w:pPr>
    </w:p>
    <w:p w14:paraId="332D1110" w14:textId="77777777" w:rsidR="00537E14" w:rsidRDefault="00537E14">
      <w:pPr>
        <w:bidi w:val="0"/>
        <w:spacing w:after="200" w:line="276" w:lineRule="auto"/>
        <w:rPr>
          <w:rFonts w:eastAsiaTheme="majorEastAsia"/>
          <w:bCs/>
          <w:szCs w:val="28"/>
          <w:u w:val="single"/>
          <w:rtl/>
        </w:rPr>
      </w:pPr>
      <w:r>
        <w:rPr>
          <w:rtl/>
        </w:rPr>
        <w:br w:type="page"/>
      </w:r>
    </w:p>
    <w:p w14:paraId="39DF5F98" w14:textId="26E4D0DA" w:rsidR="009A28D9" w:rsidRPr="00537E14" w:rsidRDefault="009A28D9" w:rsidP="00537E14">
      <w:pPr>
        <w:pStyle w:val="316"/>
        <w:rPr>
          <w:rtl/>
        </w:rPr>
      </w:pPr>
      <w:r w:rsidRPr="00537E14">
        <w:rPr>
          <w:rFonts w:hint="cs"/>
          <w:rtl/>
        </w:rPr>
        <w:lastRenderedPageBreak/>
        <w:t xml:space="preserve">האחריות </w:t>
      </w:r>
      <w:r w:rsidRPr="00537E14">
        <w:rPr>
          <w:rStyle w:val="316Char"/>
          <w:rFonts w:hint="cs"/>
          <w:u w:val="none"/>
          <w:rtl/>
        </w:rPr>
        <w:t>לקידום</w:t>
      </w:r>
      <w:r w:rsidRPr="00537E14">
        <w:rPr>
          <w:rFonts w:hint="cs"/>
          <w:rtl/>
        </w:rPr>
        <w:t xml:space="preserve"> התכנון </w:t>
      </w:r>
    </w:p>
    <w:p w14:paraId="7B9D72E4" w14:textId="77777777" w:rsidR="009A28D9" w:rsidRPr="0015582E" w:rsidRDefault="009A28D9" w:rsidP="0015582E">
      <w:pPr>
        <w:pStyle w:val="a0"/>
        <w:rPr>
          <w:rtl/>
        </w:rPr>
      </w:pPr>
      <w:r w:rsidRPr="0015582E">
        <w:rPr>
          <w:rFonts w:hint="cs"/>
          <w:rtl/>
        </w:rPr>
        <w:t xml:space="preserve">כאמור לעיל, רמ"י היא הגוף שיוזם ומבצע את עיקר פעולות תכנון הקרקע למגורים. </w:t>
      </w:r>
      <w:r w:rsidRPr="0015582E">
        <w:rPr>
          <w:rtl/>
        </w:rPr>
        <w:t>ב</w:t>
      </w:r>
      <w:r w:rsidRPr="0015582E">
        <w:rPr>
          <w:rFonts w:hint="cs"/>
          <w:rtl/>
        </w:rPr>
        <w:t xml:space="preserve">שנת </w:t>
      </w:r>
      <w:r w:rsidRPr="0015582E">
        <w:rPr>
          <w:rtl/>
        </w:rPr>
        <w:t>2009 החליטה</w:t>
      </w:r>
      <w:r w:rsidRPr="0015582E">
        <w:rPr>
          <w:rFonts w:hint="cs"/>
          <w:rtl/>
        </w:rPr>
        <w:t xml:space="preserve"> הממשלה</w:t>
      </w:r>
      <w:r w:rsidRPr="0015582E">
        <w:rPr>
          <w:rStyle w:val="FootnoteReference"/>
          <w:rtl/>
        </w:rPr>
        <w:footnoteReference w:id="8"/>
      </w:r>
      <w:r w:rsidRPr="0015582E">
        <w:rPr>
          <w:vertAlign w:val="superscript"/>
          <w:rtl/>
        </w:rPr>
        <w:t xml:space="preserve"> </w:t>
      </w:r>
      <w:r w:rsidRPr="0015582E">
        <w:rPr>
          <w:rtl/>
        </w:rPr>
        <w:t>על רפורמה ברמ"י (מינהל מקרקעי ישראל דאז)</w:t>
      </w:r>
      <w:r w:rsidRPr="0015582E">
        <w:rPr>
          <w:rFonts w:hint="cs"/>
          <w:rtl/>
        </w:rPr>
        <w:t>, ואחת ממטרותיה העיקריות הייתה לאפשר לרמ"י להתמקד בתפקידי הליבה שלה - הקצאה ושיווק של קרקעות בהתאם לצורכי המשק ושמירה על המקרקעין בישראל</w:t>
      </w:r>
      <w:r w:rsidRPr="0015582E">
        <w:rPr>
          <w:rStyle w:val="FootnoteReference"/>
          <w:rtl/>
        </w:rPr>
        <w:footnoteReference w:id="9"/>
      </w:r>
      <w:r w:rsidRPr="0015582E">
        <w:rPr>
          <w:rFonts w:hint="cs"/>
          <w:rtl/>
        </w:rPr>
        <w:t xml:space="preserve">, וכן להאיץ את תהליכי הקניית הבעלות על קרקעות לחוכרים ורישום הדירות בלשכות רישום המקרקעין. כדי לסייע ליישום מגמה זו וכדי שרמ"י אכן תתמקד בתפקידי הליבה, נקבע באותה החלטה </w:t>
      </w:r>
      <w:r w:rsidRPr="0015582E">
        <w:rPr>
          <w:rtl/>
        </w:rPr>
        <w:t xml:space="preserve">להעביר את </w:t>
      </w:r>
      <w:r w:rsidRPr="0015582E">
        <w:rPr>
          <w:rFonts w:hint="cs"/>
          <w:rtl/>
        </w:rPr>
        <w:t xml:space="preserve">האחריות לקידום </w:t>
      </w:r>
      <w:r w:rsidRPr="0015582E">
        <w:rPr>
          <w:rtl/>
        </w:rPr>
        <w:t>פע</w:t>
      </w:r>
      <w:r w:rsidRPr="0015582E">
        <w:rPr>
          <w:rFonts w:hint="cs"/>
          <w:rtl/>
        </w:rPr>
        <w:t>ו</w:t>
      </w:r>
      <w:r w:rsidRPr="0015582E">
        <w:rPr>
          <w:rtl/>
        </w:rPr>
        <w:t xml:space="preserve">לות התכנון למגורים מרמ"י </w:t>
      </w:r>
      <w:r w:rsidRPr="0015582E">
        <w:rPr>
          <w:rFonts w:hint="cs"/>
          <w:rtl/>
        </w:rPr>
        <w:t>א</w:t>
      </w:r>
      <w:r w:rsidRPr="0015582E">
        <w:rPr>
          <w:rtl/>
        </w:rPr>
        <w:t>ל</w:t>
      </w:r>
      <w:r w:rsidRPr="0015582E">
        <w:rPr>
          <w:rFonts w:hint="cs"/>
          <w:rtl/>
        </w:rPr>
        <w:t xml:space="preserve"> ה</w:t>
      </w:r>
      <w:r w:rsidRPr="0015582E">
        <w:rPr>
          <w:rtl/>
        </w:rPr>
        <w:t xml:space="preserve">רשויות המקומיות, </w:t>
      </w:r>
      <w:r w:rsidRPr="0015582E">
        <w:rPr>
          <w:rFonts w:hint="cs"/>
          <w:rtl/>
        </w:rPr>
        <w:t xml:space="preserve">אל </w:t>
      </w:r>
      <w:r w:rsidRPr="0015582E">
        <w:rPr>
          <w:rtl/>
        </w:rPr>
        <w:t>רשויות סטטוטוריות העוסקות ב</w:t>
      </w:r>
      <w:r w:rsidRPr="0015582E">
        <w:rPr>
          <w:rFonts w:hint="eastAsia"/>
          <w:rtl/>
        </w:rPr>
        <w:t>תכנון</w:t>
      </w:r>
      <w:r w:rsidRPr="0015582E">
        <w:rPr>
          <w:rtl/>
        </w:rPr>
        <w:t xml:space="preserve"> </w:t>
      </w:r>
      <w:r w:rsidRPr="0015582E">
        <w:rPr>
          <w:rFonts w:hint="eastAsia"/>
          <w:rtl/>
        </w:rPr>
        <w:t>ו</w:t>
      </w:r>
      <w:r w:rsidRPr="0015582E">
        <w:rPr>
          <w:rtl/>
        </w:rPr>
        <w:t>פיתוח, ו</w:t>
      </w:r>
      <w:r w:rsidRPr="0015582E">
        <w:rPr>
          <w:rFonts w:hint="eastAsia"/>
          <w:rtl/>
        </w:rPr>
        <w:t>אל</w:t>
      </w:r>
      <w:r w:rsidRPr="0015582E">
        <w:rPr>
          <w:rtl/>
        </w:rPr>
        <w:t xml:space="preserve"> </w:t>
      </w:r>
      <w:r w:rsidRPr="0015582E">
        <w:rPr>
          <w:rFonts w:hint="eastAsia"/>
          <w:rtl/>
        </w:rPr>
        <w:t>ה</w:t>
      </w:r>
      <w:r w:rsidRPr="0015582E">
        <w:rPr>
          <w:rtl/>
        </w:rPr>
        <w:t>מגזר הפרטי</w:t>
      </w:r>
      <w:r w:rsidRPr="0015582E">
        <w:rPr>
          <w:rFonts w:hint="cs"/>
          <w:rtl/>
        </w:rPr>
        <w:t>,</w:t>
      </w:r>
      <w:r w:rsidRPr="0015582E">
        <w:rPr>
          <w:rtl/>
        </w:rPr>
        <w:t xml:space="preserve"> עד סוף שנת 2009. בהחלטה צוין כי רק </w:t>
      </w:r>
      <w:r w:rsidRPr="0015582E">
        <w:rPr>
          <w:rFonts w:hint="cs"/>
          <w:rtl/>
        </w:rPr>
        <w:t>במקרים מסוימים, כגון היעדר יכולת מוכחת של רשות מקומית לבצע את התכנון</w:t>
      </w:r>
      <w:r w:rsidRPr="0015582E">
        <w:rPr>
          <w:rtl/>
        </w:rPr>
        <w:t xml:space="preserve">, </w:t>
      </w:r>
      <w:r w:rsidRPr="0015582E">
        <w:rPr>
          <w:rFonts w:hint="cs"/>
          <w:rtl/>
        </w:rPr>
        <w:t>י</w:t>
      </w:r>
      <w:r w:rsidRPr="0015582E">
        <w:rPr>
          <w:rtl/>
        </w:rPr>
        <w:t>וכל</w:t>
      </w:r>
      <w:r w:rsidRPr="0015582E">
        <w:rPr>
          <w:rFonts w:hint="cs"/>
          <w:rtl/>
        </w:rPr>
        <w:t>ו</w:t>
      </w:r>
      <w:r w:rsidRPr="0015582E">
        <w:rPr>
          <w:rtl/>
        </w:rPr>
        <w:t xml:space="preserve"> </w:t>
      </w:r>
      <w:r w:rsidRPr="0015582E">
        <w:rPr>
          <w:rFonts w:hint="cs"/>
          <w:rtl/>
        </w:rPr>
        <w:t>משרד הבינוי או משרד התעשייה, המסחר והתעסוקה</w:t>
      </w:r>
      <w:r w:rsidRPr="0015582E">
        <w:rPr>
          <w:rStyle w:val="FootnoteReference"/>
          <w:rtl/>
        </w:rPr>
        <w:footnoteReference w:id="10"/>
      </w:r>
      <w:r w:rsidRPr="0015582E">
        <w:rPr>
          <w:vertAlign w:val="superscript"/>
          <w:rtl/>
        </w:rPr>
        <w:t xml:space="preserve"> </w:t>
      </w:r>
      <w:r w:rsidRPr="0015582E">
        <w:rPr>
          <w:rtl/>
        </w:rPr>
        <w:t>לעשות זאת במקומה</w:t>
      </w:r>
      <w:r w:rsidRPr="0015582E">
        <w:rPr>
          <w:rFonts w:hint="cs"/>
          <w:rtl/>
        </w:rPr>
        <w:t xml:space="preserve">, </w:t>
      </w:r>
      <w:r w:rsidRPr="0015582E">
        <w:rPr>
          <w:rtl/>
        </w:rPr>
        <w:t>באישור ועדת פרויקטים בין</w:t>
      </w:r>
      <w:r w:rsidRPr="0015582E">
        <w:rPr>
          <w:rFonts w:hint="cs"/>
          <w:rtl/>
        </w:rPr>
        <w:t>-</w:t>
      </w:r>
      <w:r w:rsidRPr="0015582E">
        <w:rPr>
          <w:rtl/>
        </w:rPr>
        <w:t>משרדית.</w:t>
      </w:r>
      <w:r w:rsidRPr="0015582E">
        <w:rPr>
          <w:rFonts w:hint="cs"/>
          <w:rtl/>
        </w:rPr>
        <w:t xml:space="preserve"> מועצת מקרקעי ישראל (להלן - המועצה) </w:t>
      </w:r>
      <w:r w:rsidRPr="0015582E">
        <w:rPr>
          <w:rtl/>
        </w:rPr>
        <w:t>עיגנה בהחלטותיה</w:t>
      </w:r>
      <w:r w:rsidRPr="0015582E">
        <w:rPr>
          <w:rStyle w:val="FootnoteReference"/>
          <w:rtl/>
        </w:rPr>
        <w:footnoteReference w:id="11"/>
      </w:r>
      <w:r w:rsidRPr="0015582E">
        <w:rPr>
          <w:vertAlign w:val="superscript"/>
          <w:rtl/>
        </w:rPr>
        <w:t xml:space="preserve"> </w:t>
      </w:r>
      <w:r w:rsidRPr="0015582E">
        <w:rPr>
          <w:rtl/>
        </w:rPr>
        <w:t>את החלטת הממשלה ה</w:t>
      </w:r>
      <w:r w:rsidRPr="0015582E">
        <w:rPr>
          <w:rFonts w:hint="cs"/>
          <w:rtl/>
        </w:rPr>
        <w:t>אמורה</w:t>
      </w:r>
      <w:r w:rsidRPr="0015582E">
        <w:rPr>
          <w:rtl/>
        </w:rPr>
        <w:t>.</w:t>
      </w:r>
      <w:r w:rsidRPr="0015582E">
        <w:rPr>
          <w:rFonts w:hint="cs"/>
          <w:rtl/>
        </w:rPr>
        <w:t xml:space="preserve"> </w:t>
      </w:r>
      <w:r w:rsidRPr="0015582E">
        <w:rPr>
          <w:rtl/>
        </w:rPr>
        <w:t>בהמשך לכך, ביוני 2013 קיבלה הממשלה החלטה נוספת</w:t>
      </w:r>
      <w:r w:rsidRPr="0015582E">
        <w:rPr>
          <w:rStyle w:val="FootnoteReference"/>
          <w:rtl/>
        </w:rPr>
        <w:footnoteReference w:id="12"/>
      </w:r>
      <w:r w:rsidRPr="0015582E">
        <w:rPr>
          <w:rFonts w:hint="cs"/>
          <w:rtl/>
        </w:rPr>
        <w:t xml:space="preserve"> בעניין הרפורמה, ו</w:t>
      </w:r>
      <w:r w:rsidRPr="0015582E">
        <w:rPr>
          <w:rtl/>
        </w:rPr>
        <w:t xml:space="preserve">בה נקבע כי על רמ"י לפעול </w:t>
      </w:r>
      <w:r w:rsidRPr="0015582E">
        <w:rPr>
          <w:rFonts w:hint="cs"/>
          <w:rtl/>
        </w:rPr>
        <w:t>ל</w:t>
      </w:r>
      <w:r w:rsidRPr="0015582E">
        <w:rPr>
          <w:rtl/>
        </w:rPr>
        <w:t>העברת התכנון לרשויות מקומיות ו</w:t>
      </w:r>
      <w:r w:rsidRPr="0015582E">
        <w:rPr>
          <w:rFonts w:hint="cs"/>
          <w:rtl/>
        </w:rPr>
        <w:t>למשרדי ממשלה בעלי יכולת תכנון, לרבות משרד הבינוי,</w:t>
      </w:r>
      <w:r w:rsidRPr="0015582E">
        <w:rPr>
          <w:rtl/>
        </w:rPr>
        <w:t xml:space="preserve"> </w:t>
      </w:r>
      <w:r w:rsidRPr="0015582E">
        <w:rPr>
          <w:rFonts w:hint="cs"/>
          <w:rtl/>
        </w:rPr>
        <w:t xml:space="preserve">בעוד רמ"י תישאר </w:t>
      </w:r>
      <w:r w:rsidRPr="0015582E">
        <w:rPr>
          <w:rtl/>
        </w:rPr>
        <w:t xml:space="preserve">אחראית </w:t>
      </w:r>
      <w:r w:rsidRPr="0015582E">
        <w:rPr>
          <w:rFonts w:hint="cs"/>
          <w:rtl/>
        </w:rPr>
        <w:t>ל</w:t>
      </w:r>
      <w:r w:rsidRPr="0015582E">
        <w:rPr>
          <w:rtl/>
        </w:rPr>
        <w:t>ניהול ייזום התכנון בלבד</w:t>
      </w:r>
      <w:r w:rsidRPr="0015582E">
        <w:rPr>
          <w:rFonts w:hint="cs"/>
          <w:rtl/>
        </w:rPr>
        <w:t>,</w:t>
      </w:r>
      <w:r w:rsidRPr="0015582E">
        <w:rPr>
          <w:rtl/>
        </w:rPr>
        <w:t xml:space="preserve"> שמשמעו איתור מתחמים </w:t>
      </w:r>
      <w:r w:rsidRPr="0015582E">
        <w:rPr>
          <w:rFonts w:hint="cs"/>
          <w:rtl/>
        </w:rPr>
        <w:t>ה</w:t>
      </w:r>
      <w:r w:rsidRPr="0015582E">
        <w:rPr>
          <w:rtl/>
        </w:rPr>
        <w:t xml:space="preserve">מיועדים לפיתוח והענקת הרשאות לתכנון מפורט לגורמי </w:t>
      </w:r>
      <w:r w:rsidRPr="0015582E">
        <w:rPr>
          <w:rFonts w:hint="cs"/>
          <w:rtl/>
        </w:rPr>
        <w:t>ה</w:t>
      </w:r>
      <w:r w:rsidRPr="0015582E">
        <w:rPr>
          <w:rtl/>
        </w:rPr>
        <w:t xml:space="preserve">תכנון </w:t>
      </w:r>
      <w:r w:rsidRPr="0015582E">
        <w:rPr>
          <w:rFonts w:hint="cs"/>
          <w:rtl/>
        </w:rPr>
        <w:t>האמורים</w:t>
      </w:r>
      <w:r w:rsidRPr="0015582E">
        <w:rPr>
          <w:rtl/>
        </w:rPr>
        <w:t xml:space="preserve">. </w:t>
      </w:r>
      <w:r w:rsidRPr="0015582E">
        <w:rPr>
          <w:rFonts w:hint="cs"/>
          <w:rtl/>
        </w:rPr>
        <w:t>בהחלטה נקבע כי רמ"י תפעל לכך שאת קידום התכנון המפורט יבצעו רשויות מקומיות וגופי ממשלה שונים על פי סדר העדיפות שלהלן: (א) רשויות מקומיות; (ב) משרד הבינוי או משרד ממשלתי אחר בעל יכולת תכנון; (ג) רמ"י עצמה.</w:t>
      </w:r>
    </w:p>
    <w:p w14:paraId="56805876" w14:textId="77777777" w:rsidR="009A28D9" w:rsidRPr="006A3DE9" w:rsidRDefault="009A28D9" w:rsidP="0033140E">
      <w:pPr>
        <w:pStyle w:val="aa"/>
        <w:rPr>
          <w:rtl/>
        </w:rPr>
      </w:pPr>
      <w:r>
        <w:rPr>
          <w:rFonts w:hint="cs"/>
          <w:rtl/>
        </w:rPr>
        <w:t xml:space="preserve">בדיקת משרד מבקר המדינה העלתה כי נכון לשנת 2019, החלטות הממשלה והמועצה האמורות לא יושמו וגם לא ננקטו פעולות לשם קידום יישומן. כך, למשל, היה מתבקש שרמ"י תקבע מתווה להעברת פעולות התכנון, אולם הדבר לא נעשה, וממילא גם לא נקבעו יעדים, אבני דרך ולוחות זמנים בנדון. כפועל יוצא מכך רמ"י היא עדיין </w:t>
      </w:r>
      <w:r w:rsidRPr="00F73B79">
        <w:rPr>
          <w:rFonts w:hint="cs"/>
          <w:rtl/>
        </w:rPr>
        <w:t>ה</w:t>
      </w:r>
      <w:r w:rsidRPr="00F73B79">
        <w:rPr>
          <w:rtl/>
        </w:rPr>
        <w:t>גורם הממשלתי העיקרי שעוסק בקידום פעולות התכנון על מקרקעי ישראל</w:t>
      </w:r>
      <w:r>
        <w:rPr>
          <w:rFonts w:hint="cs"/>
          <w:rtl/>
        </w:rPr>
        <w:t xml:space="preserve">. בכך נפגמו </w:t>
      </w:r>
      <w:r w:rsidRPr="00F73B79">
        <w:rPr>
          <w:rtl/>
        </w:rPr>
        <w:t xml:space="preserve">יישום הרפורמה </w:t>
      </w:r>
      <w:r>
        <w:rPr>
          <w:rFonts w:hint="cs"/>
          <w:rtl/>
        </w:rPr>
        <w:t>ומאמצי הממשלה והמועצה למקד את רמ"י בתפקידי הליבה שלה</w:t>
      </w:r>
      <w:r w:rsidRPr="00F73B79">
        <w:rPr>
          <w:rtl/>
        </w:rPr>
        <w:t>.</w:t>
      </w:r>
      <w:r>
        <w:rPr>
          <w:rFonts w:hint="cs"/>
          <w:rtl/>
        </w:rPr>
        <w:t xml:space="preserve"> </w:t>
      </w:r>
    </w:p>
    <w:p w14:paraId="14CE88E0" w14:textId="77777777" w:rsidR="009A28D9" w:rsidRDefault="009A28D9" w:rsidP="009A28D9">
      <w:pPr>
        <w:bidi w:val="0"/>
        <w:spacing w:after="200" w:line="276" w:lineRule="auto"/>
        <w:rPr>
          <w:szCs w:val="20"/>
          <w:rtl/>
        </w:rPr>
      </w:pPr>
      <w:r>
        <w:rPr>
          <w:rtl/>
        </w:rPr>
        <w:br w:type="page"/>
      </w:r>
    </w:p>
    <w:p w14:paraId="25035212" w14:textId="77777777" w:rsidR="009A28D9" w:rsidRPr="007939E2" w:rsidRDefault="009A28D9" w:rsidP="00FC4B58">
      <w:pPr>
        <w:pStyle w:val="af0"/>
        <w:rPr>
          <w:rtl/>
        </w:rPr>
      </w:pPr>
      <w:r w:rsidRPr="007939E2">
        <w:rPr>
          <w:rFonts w:hint="cs"/>
          <w:rtl/>
        </w:rPr>
        <w:lastRenderedPageBreak/>
        <w:t xml:space="preserve">מנגד יש לציין כי בשנים </w:t>
      </w:r>
      <w:r>
        <w:rPr>
          <w:rFonts w:hint="cs"/>
          <w:rtl/>
        </w:rPr>
        <w:t xml:space="preserve">2016 - 2018 </w:t>
      </w:r>
      <w:r w:rsidRPr="007939E2">
        <w:rPr>
          <w:rFonts w:hint="cs"/>
          <w:rtl/>
        </w:rPr>
        <w:t>עמדו</w:t>
      </w:r>
      <w:r>
        <w:rPr>
          <w:rFonts w:hint="cs"/>
          <w:rtl/>
        </w:rPr>
        <w:t xml:space="preserve"> </w:t>
      </w:r>
      <w:r w:rsidRPr="007939E2">
        <w:rPr>
          <w:rFonts w:hint="cs"/>
          <w:rtl/>
        </w:rPr>
        <w:t xml:space="preserve">רמ"י </w:t>
      </w:r>
      <w:r>
        <w:rPr>
          <w:rFonts w:hint="cs"/>
          <w:rtl/>
        </w:rPr>
        <w:t>ו</w:t>
      </w:r>
      <w:r w:rsidRPr="007939E2">
        <w:rPr>
          <w:rFonts w:hint="cs"/>
          <w:rtl/>
        </w:rPr>
        <w:t>משרד הבינוי ביעדי התכנון</w:t>
      </w:r>
      <w:r>
        <w:rPr>
          <w:rStyle w:val="FootnoteReference"/>
          <w:rtl/>
        </w:rPr>
        <w:footnoteReference w:id="13"/>
      </w:r>
      <w:r w:rsidRPr="007939E2">
        <w:rPr>
          <w:rFonts w:hint="cs"/>
          <w:rtl/>
        </w:rPr>
        <w:t xml:space="preserve"> למגורים שקבעה להם הממשלה בהחלטותי</w:t>
      </w:r>
      <w:r w:rsidRPr="007939E2">
        <w:rPr>
          <w:rFonts w:hint="eastAsia"/>
          <w:rtl/>
        </w:rPr>
        <w:t>ה</w:t>
      </w:r>
      <w:r>
        <w:rPr>
          <w:rStyle w:val="FootnoteReference"/>
          <w:rtl/>
        </w:rPr>
        <w:footnoteReference w:id="14"/>
      </w:r>
      <w:r>
        <w:rPr>
          <w:rFonts w:hint="cs"/>
          <w:rtl/>
        </w:rPr>
        <w:t xml:space="preserve"> ואף מעבר לכך</w:t>
      </w:r>
      <w:r w:rsidRPr="007939E2">
        <w:rPr>
          <w:rFonts w:hint="cs"/>
          <w:rtl/>
        </w:rPr>
        <w:t xml:space="preserve">. </w:t>
      </w:r>
      <w:r>
        <w:rPr>
          <w:rFonts w:hint="cs"/>
          <w:rtl/>
        </w:rPr>
        <w:t>להלן ב</w:t>
      </w:r>
      <w:r w:rsidRPr="007939E2">
        <w:rPr>
          <w:rFonts w:hint="cs"/>
          <w:rtl/>
        </w:rPr>
        <w:t>תרשים</w:t>
      </w:r>
      <w:r>
        <w:rPr>
          <w:rFonts w:hint="cs"/>
          <w:rtl/>
        </w:rPr>
        <w:t xml:space="preserve"> </w:t>
      </w:r>
      <w:r w:rsidRPr="007939E2">
        <w:rPr>
          <w:rFonts w:hint="cs"/>
          <w:rtl/>
        </w:rPr>
        <w:t xml:space="preserve">כמות </w:t>
      </w:r>
      <w:r>
        <w:rPr>
          <w:rFonts w:hint="cs"/>
          <w:rtl/>
        </w:rPr>
        <w:t xml:space="preserve">יחידות דיור (להלן - </w:t>
      </w:r>
      <w:r w:rsidRPr="007939E2">
        <w:rPr>
          <w:rFonts w:hint="cs"/>
          <w:rtl/>
        </w:rPr>
        <w:t>יח"ד</w:t>
      </w:r>
      <w:r>
        <w:rPr>
          <w:rFonts w:hint="cs"/>
          <w:rtl/>
        </w:rPr>
        <w:t>)</w:t>
      </w:r>
      <w:r w:rsidRPr="007939E2">
        <w:rPr>
          <w:rFonts w:hint="cs"/>
          <w:rtl/>
        </w:rPr>
        <w:t xml:space="preserve"> שאושרו בתוכניות מפורטות של רמ"י ומשרד הבינוי אל מול יעדי הממשלה בשנים </w:t>
      </w:r>
      <w:r>
        <w:rPr>
          <w:rFonts w:hint="cs"/>
          <w:rtl/>
        </w:rPr>
        <w:t>2016 - 2018</w:t>
      </w:r>
      <w:r w:rsidRPr="007939E2">
        <w:rPr>
          <w:rFonts w:hint="cs"/>
          <w:rtl/>
        </w:rPr>
        <w:t>.</w:t>
      </w:r>
    </w:p>
    <w:p w14:paraId="0B704D3E" w14:textId="77777777" w:rsidR="009A28D9" w:rsidRDefault="009A28D9" w:rsidP="009A28D9">
      <w:pPr>
        <w:spacing w:line="269" w:lineRule="auto"/>
        <w:rPr>
          <w:rtl/>
        </w:rPr>
      </w:pPr>
    </w:p>
    <w:p w14:paraId="6E4FE8AF" w14:textId="77777777" w:rsidR="009A28D9" w:rsidRPr="00111919" w:rsidRDefault="009A28D9" w:rsidP="00111919">
      <w:pPr>
        <w:pStyle w:val="a6"/>
        <w:rPr>
          <w:b/>
          <w:bCs/>
          <w:rtl/>
        </w:rPr>
      </w:pPr>
      <w:r w:rsidRPr="00336D5F">
        <w:rPr>
          <w:rFonts w:hint="cs"/>
          <w:rtl/>
        </w:rPr>
        <w:t xml:space="preserve">תרשים </w:t>
      </w:r>
      <w:r>
        <w:rPr>
          <w:rFonts w:hint="cs"/>
          <w:rtl/>
        </w:rPr>
        <w:t>4</w:t>
      </w:r>
      <w:r w:rsidRPr="00336D5F">
        <w:rPr>
          <w:rFonts w:hint="cs"/>
          <w:rtl/>
        </w:rPr>
        <w:t xml:space="preserve">: </w:t>
      </w:r>
      <w:r w:rsidRPr="00111919">
        <w:rPr>
          <w:b/>
          <w:bCs/>
          <w:rtl/>
        </w:rPr>
        <w:t>יח</w:t>
      </w:r>
      <w:r w:rsidRPr="00111919">
        <w:rPr>
          <w:rFonts w:hint="cs"/>
          <w:b/>
          <w:bCs/>
          <w:rtl/>
        </w:rPr>
        <w:t>ידות דיור</w:t>
      </w:r>
      <w:r w:rsidRPr="00111919">
        <w:rPr>
          <w:b/>
          <w:bCs/>
          <w:rtl/>
        </w:rPr>
        <w:t xml:space="preserve"> שאושרו בתוכניות מפורטות </w:t>
      </w:r>
      <w:r w:rsidRPr="00111919">
        <w:rPr>
          <w:rFonts w:hint="eastAsia"/>
          <w:b/>
          <w:bCs/>
          <w:rtl/>
        </w:rPr>
        <w:t>של</w:t>
      </w:r>
      <w:r w:rsidRPr="00111919">
        <w:rPr>
          <w:b/>
          <w:bCs/>
          <w:rtl/>
        </w:rPr>
        <w:t xml:space="preserve"> רמ"י ומשרד הבינוי</w:t>
      </w:r>
      <w:r w:rsidRPr="00111919">
        <w:rPr>
          <w:rFonts w:hint="cs"/>
          <w:b/>
          <w:bCs/>
          <w:rtl/>
        </w:rPr>
        <w:t xml:space="preserve"> </w:t>
      </w:r>
      <w:r w:rsidRPr="00111919">
        <w:rPr>
          <w:rFonts w:hint="eastAsia"/>
          <w:b/>
          <w:bCs/>
          <w:rtl/>
        </w:rPr>
        <w:t>אל</w:t>
      </w:r>
      <w:r w:rsidRPr="00111919">
        <w:rPr>
          <w:b/>
          <w:bCs/>
          <w:rtl/>
        </w:rPr>
        <w:t xml:space="preserve"> מול</w:t>
      </w:r>
      <w:r w:rsidRPr="00111919">
        <w:rPr>
          <w:rFonts w:hint="cs"/>
          <w:b/>
          <w:bCs/>
          <w:rtl/>
        </w:rPr>
        <w:t xml:space="preserve"> היעד הממשלתי,</w:t>
      </w:r>
      <w:r w:rsidRPr="00111919">
        <w:rPr>
          <w:b/>
          <w:bCs/>
          <w:rtl/>
        </w:rPr>
        <w:t xml:space="preserve"> 201</w:t>
      </w:r>
      <w:r w:rsidRPr="00111919">
        <w:rPr>
          <w:rFonts w:hint="cs"/>
          <w:b/>
          <w:bCs/>
          <w:rtl/>
        </w:rPr>
        <w:t>6</w:t>
      </w:r>
      <w:r w:rsidRPr="00111919">
        <w:rPr>
          <w:b/>
          <w:bCs/>
          <w:rtl/>
        </w:rPr>
        <w:t xml:space="preserve"> -</w:t>
      </w:r>
      <w:r w:rsidRPr="00111919">
        <w:rPr>
          <w:rFonts w:hint="cs"/>
          <w:b/>
          <w:bCs/>
          <w:rtl/>
        </w:rPr>
        <w:t xml:space="preserve"> </w:t>
      </w:r>
      <w:r w:rsidRPr="00111919">
        <w:rPr>
          <w:b/>
          <w:bCs/>
          <w:rtl/>
        </w:rPr>
        <w:t>201</w:t>
      </w:r>
      <w:r w:rsidRPr="00111919">
        <w:rPr>
          <w:rFonts w:hint="cs"/>
          <w:b/>
          <w:bCs/>
          <w:rtl/>
        </w:rPr>
        <w:t>8</w:t>
      </w:r>
    </w:p>
    <w:p w14:paraId="7E6F7AD4" w14:textId="77777777" w:rsidR="009A28D9" w:rsidRDefault="009A28D9" w:rsidP="009A28D9">
      <w:pPr>
        <w:spacing w:line="269" w:lineRule="auto"/>
        <w:ind w:left="312"/>
        <w:rPr>
          <w:rtl/>
        </w:rPr>
      </w:pPr>
      <w:r>
        <w:rPr>
          <w:noProof/>
        </w:rPr>
        <w:drawing>
          <wp:inline distT="0" distB="0" distL="0" distR="0" wp14:anchorId="37D48D87" wp14:editId="70463B4C">
            <wp:extent cx="4638139" cy="2274125"/>
            <wp:effectExtent l="0" t="0" r="10160" b="12065"/>
            <wp:docPr id="11" name="תרשים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5C817BF" w14:textId="7E28F98B" w:rsidR="009A28D9" w:rsidRDefault="009A28D9" w:rsidP="00111919">
      <w:pPr>
        <w:pStyle w:val="a8"/>
        <w:rPr>
          <w:rtl/>
          <w:lang w:eastAsia="he-IL"/>
        </w:rPr>
      </w:pPr>
      <w:r w:rsidRPr="003144E4">
        <w:rPr>
          <w:rtl/>
          <w:lang w:eastAsia="he-IL"/>
        </w:rPr>
        <w:t xml:space="preserve">על פי </w:t>
      </w:r>
      <w:r w:rsidRPr="003144E4">
        <w:rPr>
          <w:rFonts w:hint="cs"/>
          <w:rtl/>
          <w:lang w:eastAsia="he-IL"/>
        </w:rPr>
        <w:t>נתוני רמ"י</w:t>
      </w:r>
      <w:r w:rsidRPr="003144E4">
        <w:rPr>
          <w:rtl/>
          <w:lang w:eastAsia="he-IL"/>
        </w:rPr>
        <w:t>, בעיבוד משרד מבקר המדינה.</w:t>
      </w:r>
    </w:p>
    <w:p w14:paraId="04FA37CB" w14:textId="77777777" w:rsidR="00111919" w:rsidRDefault="00111919" w:rsidP="00111919">
      <w:pPr>
        <w:pStyle w:val="a8"/>
        <w:spacing w:after="120"/>
        <w:rPr>
          <w:rtl/>
        </w:rPr>
      </w:pPr>
    </w:p>
    <w:p w14:paraId="17CDC4D2" w14:textId="77777777" w:rsidR="009A28D9" w:rsidRDefault="009A28D9" w:rsidP="00111919">
      <w:pPr>
        <w:pStyle w:val="a0"/>
      </w:pPr>
      <w:r>
        <w:rPr>
          <w:rFonts w:hint="cs"/>
          <w:rtl/>
        </w:rPr>
        <w:t>כדי להתמודד עם משבר הדיור</w:t>
      </w:r>
      <w:r>
        <w:rPr>
          <w:rStyle w:val="FootnoteReference"/>
          <w:rtl/>
        </w:rPr>
        <w:footnoteReference w:id="15"/>
      </w:r>
      <w:r>
        <w:rPr>
          <w:rFonts w:hint="cs"/>
          <w:rtl/>
        </w:rPr>
        <w:t xml:space="preserve"> ולהאיץ את פעולות התכנון באמצעות ריכוז כל הגורמים שנוגעים לתכנון הקרקע, החליטה הממשלה ביוני 2015</w:t>
      </w:r>
      <w:r>
        <w:rPr>
          <w:rStyle w:val="FootnoteReference"/>
          <w:rtl/>
        </w:rPr>
        <w:footnoteReference w:id="16"/>
      </w:r>
      <w:r>
        <w:rPr>
          <w:rFonts w:hint="cs"/>
          <w:rtl/>
        </w:rPr>
        <w:t xml:space="preserve"> על הקמת ועדה לתכנון ופיתוח (להלן - ות"פ) שבראשה נציג שר האוצר. החברים בוועדה הם מנהל רמ"י או נציג מטעמו, מנכ"ל משרד הבינוי או נציג מטעמו, ונציגי מינהל התכנון, אגף התקציבים והחשב הכללי שבמשרד האוצר. נקבע כי אחד מתפקידי הוועדה הוא להורות לרמ"י על הקצאת הרשאות לתכנון </w:t>
      </w:r>
      <w:r w:rsidRPr="003D4CE1">
        <w:rPr>
          <w:rtl/>
        </w:rPr>
        <w:t xml:space="preserve">לגורמים </w:t>
      </w:r>
      <w:r>
        <w:rPr>
          <w:rFonts w:hint="cs"/>
          <w:rtl/>
        </w:rPr>
        <w:t>ה</w:t>
      </w:r>
      <w:r w:rsidRPr="003D4CE1">
        <w:rPr>
          <w:rtl/>
        </w:rPr>
        <w:t>מתכננים</w:t>
      </w:r>
      <w:r>
        <w:rPr>
          <w:rFonts w:hint="cs"/>
          <w:rtl/>
        </w:rPr>
        <w:t>, ולשם כך יועברו לוות"פ סמכויות ועדת ההרשאות לעניין אישור הרשאות התכנון לצורכי דיור ברמ"י.</w:t>
      </w:r>
      <w:r w:rsidRPr="003D4CE1">
        <w:rPr>
          <w:rtl/>
        </w:rPr>
        <w:t xml:space="preserve"> </w:t>
      </w:r>
      <w:r>
        <w:rPr>
          <w:rFonts w:hint="cs"/>
          <w:rtl/>
        </w:rPr>
        <w:t>עוד נקבע כי על הוות"פ לקבוע</w:t>
      </w:r>
      <w:r w:rsidRPr="003D4CE1">
        <w:rPr>
          <w:rtl/>
        </w:rPr>
        <w:t xml:space="preserve"> מדיניות מנחה לחלוקת ההרשאות בין הגורמים</w:t>
      </w:r>
      <w:r>
        <w:rPr>
          <w:rFonts w:hint="cs"/>
          <w:rtl/>
        </w:rPr>
        <w:t xml:space="preserve">, והיא הגורם המוסמך והאחראי מטעם ממשלת ישראל להעניק </w:t>
      </w:r>
      <w:r>
        <w:rPr>
          <w:rFonts w:hint="cs"/>
          <w:rtl/>
        </w:rPr>
        <w:lastRenderedPageBreak/>
        <w:t>הרשאות לגורמים המתכננים לתכנון תוכניות לצורכי דיור או תוכניות משולבות דיור על מקרקעי ישראל</w:t>
      </w:r>
      <w:r w:rsidRPr="008647E3">
        <w:rPr>
          <w:rFonts w:hint="cs"/>
          <w:rtl/>
        </w:rPr>
        <w:t xml:space="preserve">. </w:t>
      </w:r>
      <w:r w:rsidRPr="008647E3">
        <w:rPr>
          <w:rFonts w:hint="eastAsia"/>
          <w:rtl/>
        </w:rPr>
        <w:t>המועצה</w:t>
      </w:r>
      <w:r w:rsidRPr="008647E3">
        <w:rPr>
          <w:rtl/>
        </w:rPr>
        <w:t xml:space="preserve"> עיגנה בהחלטת</w:t>
      </w:r>
      <w:r w:rsidRPr="008647E3">
        <w:rPr>
          <w:rFonts w:hint="eastAsia"/>
          <w:rtl/>
        </w:rPr>
        <w:t>ה</w:t>
      </w:r>
      <w:r w:rsidRPr="008647E3">
        <w:rPr>
          <w:rtl/>
        </w:rPr>
        <w:t xml:space="preserve"> את</w:t>
      </w:r>
      <w:r w:rsidRPr="00E76B9A">
        <w:rPr>
          <w:rtl/>
        </w:rPr>
        <w:t xml:space="preserve"> החלטת הממשלה</w:t>
      </w:r>
      <w:r>
        <w:rPr>
          <w:rStyle w:val="FootnoteReference"/>
          <w:rtl/>
        </w:rPr>
        <w:footnoteReference w:id="17"/>
      </w:r>
      <w:r w:rsidRPr="00E76B9A">
        <w:rPr>
          <w:rtl/>
        </w:rPr>
        <w:t>.</w:t>
      </w:r>
    </w:p>
    <w:p w14:paraId="62054F67" w14:textId="77777777" w:rsidR="009A28D9" w:rsidRDefault="009A28D9" w:rsidP="00111919">
      <w:pPr>
        <w:pStyle w:val="aa"/>
        <w:rPr>
          <w:rtl/>
        </w:rPr>
      </w:pPr>
      <w:r>
        <w:rPr>
          <w:rFonts w:hint="cs"/>
          <w:rtl/>
        </w:rPr>
        <w:t xml:space="preserve">בביקורת עלה </w:t>
      </w:r>
      <w:r w:rsidRPr="00583AD4">
        <w:rPr>
          <w:rFonts w:hint="cs"/>
          <w:rtl/>
        </w:rPr>
        <w:t xml:space="preserve">כי </w:t>
      </w:r>
      <w:r>
        <w:rPr>
          <w:rFonts w:hint="cs"/>
          <w:rtl/>
        </w:rPr>
        <w:t xml:space="preserve">אף שבהחלטה נקבע שהוות"פ תהיה הגורם האחראי למתן הרשאות </w:t>
      </w:r>
      <w:r w:rsidRPr="00583AD4">
        <w:rPr>
          <w:rFonts w:hint="cs"/>
          <w:rtl/>
        </w:rPr>
        <w:t xml:space="preserve">התכנון לגורמים </w:t>
      </w:r>
      <w:r>
        <w:rPr>
          <w:rFonts w:hint="cs"/>
          <w:rtl/>
        </w:rPr>
        <w:t>ה</w:t>
      </w:r>
      <w:r w:rsidRPr="00583AD4">
        <w:rPr>
          <w:rFonts w:hint="cs"/>
          <w:rtl/>
        </w:rPr>
        <w:t>מתכננים</w:t>
      </w:r>
      <w:r>
        <w:rPr>
          <w:rFonts w:hint="cs"/>
          <w:rtl/>
        </w:rPr>
        <w:t xml:space="preserve">, </w:t>
      </w:r>
      <w:r w:rsidRPr="00583AD4">
        <w:rPr>
          <w:rFonts w:hint="cs"/>
          <w:rtl/>
        </w:rPr>
        <w:t>רמ"</w:t>
      </w:r>
      <w:r>
        <w:rPr>
          <w:rFonts w:hint="cs"/>
          <w:rtl/>
        </w:rPr>
        <w:t xml:space="preserve">י נשארה הגורם האחראי לכך. </w:t>
      </w:r>
    </w:p>
    <w:p w14:paraId="7DB0939B" w14:textId="6AE41DBF" w:rsidR="009A28D9" w:rsidRPr="00111919" w:rsidRDefault="009A28D9" w:rsidP="00111919">
      <w:pPr>
        <w:pStyle w:val="aa"/>
        <w:rPr>
          <w:rtl/>
        </w:rPr>
      </w:pPr>
      <w:r w:rsidRPr="00111919">
        <w:rPr>
          <w:rFonts w:hint="cs"/>
          <w:rtl/>
        </w:rPr>
        <w:t>לעניין אחריותה של הוות"פ לקביעת מדיניות לחלוקת הרשא</w:t>
      </w:r>
      <w:r w:rsidR="007D5232">
        <w:rPr>
          <w:rFonts w:hint="cs"/>
          <w:rtl/>
        </w:rPr>
        <w:t>ו</w:t>
      </w:r>
      <w:r w:rsidRPr="00111919">
        <w:rPr>
          <w:rFonts w:hint="cs"/>
          <w:rtl/>
        </w:rPr>
        <w:t xml:space="preserve">ת התכנון לצורכי מגורים בין הגורמים המתכננים, עלה כי רק באוקטובר 2018, יותר משלוש שנים מקבלת ההחלטה בממשלה, גיבשה הוות"פ טיוטת מסמך "הסכם עקרונות </w:t>
      </w:r>
      <w:r w:rsidRPr="00111919">
        <w:rPr>
          <w:rtl/>
        </w:rPr>
        <w:t>לחלוקת האחריות לתכנון, שיווק ופיתוח קרקעות מדינה</w:t>
      </w:r>
      <w:r w:rsidRPr="00111919">
        <w:rPr>
          <w:rFonts w:hint="cs"/>
          <w:rtl/>
        </w:rPr>
        <w:t>" (להלן - טיוטת ההסכם). מסמך זה היה אמור להסדיר בכתב את חלוקת העבודה בין רמ"י ובין משרד הבינוי, ונקבעה בו רשימת היישובים שבהם אחד הגופים יהיה אחראי לתכנון קרקע למגורים. ואולם חברי הוות"פ טרם אישרו את ההסכם, ובפועל רמ"י ומשרד הבינוי אינם פועלים על פיו באופן מלא. לדוגמה, ביישובים קדימה-צורן, קריית שמונה וכוכב יאיר, שעל פי טיוטת ההסכם קידום פעולות התכנון בהם באחריות משרד הבינוי, רמ"י היא שיזמה תכנון תוכניות מפורטות.</w:t>
      </w:r>
    </w:p>
    <w:p w14:paraId="0F9A4CB1" w14:textId="4566F92C" w:rsidR="009A28D9" w:rsidRDefault="009A28D9" w:rsidP="0096636C">
      <w:pPr>
        <w:pStyle w:val="af0"/>
        <w:rPr>
          <w:rtl/>
        </w:rPr>
      </w:pPr>
      <w:r>
        <w:rPr>
          <w:rFonts w:hint="cs"/>
          <w:rtl/>
        </w:rPr>
        <w:t xml:space="preserve">מטה הדיור מסר למשרד מבקר המדינה בתשובתו מינואר 2020 כי </w:t>
      </w:r>
      <w:r>
        <w:rPr>
          <w:rtl/>
          <w:lang w:val="he-IL" w:eastAsia="he-IL"/>
        </w:rPr>
        <w:t>הוות״פ משמשת כגוף האחראי לקבלת ההחלטות בנושאים עקרוניים הנוגעים לחלוקת הרשאות התכנון</w:t>
      </w:r>
      <w:r>
        <w:rPr>
          <w:rFonts w:hint="cs"/>
          <w:rtl/>
          <w:lang w:val="he-IL" w:eastAsia="he-IL"/>
        </w:rPr>
        <w:t>,</w:t>
      </w:r>
      <w:r>
        <w:rPr>
          <w:rtl/>
          <w:lang w:val="he-IL" w:eastAsia="he-IL"/>
        </w:rPr>
        <w:t xml:space="preserve"> והיא הגורם המכריע בכל מחלוקת בין הגופים הממשלתיים העוסקים בתכנון</w:t>
      </w:r>
      <w:r>
        <w:rPr>
          <w:rFonts w:hint="cs"/>
          <w:rtl/>
          <w:lang w:val="he-IL" w:eastAsia="he-IL"/>
        </w:rPr>
        <w:t xml:space="preserve">. </w:t>
      </w:r>
      <w:r w:rsidRPr="00CF2CC3">
        <w:rPr>
          <w:rtl/>
        </w:rPr>
        <w:t>הוועדה קבעה עקרונות מנחים לחלוקת אחריות התכנון בין רמ״י ומשרד הבינוי</w:t>
      </w:r>
      <w:r>
        <w:rPr>
          <w:rFonts w:hint="cs"/>
          <w:rtl/>
        </w:rPr>
        <w:t>. ו</w:t>
      </w:r>
      <w:r w:rsidRPr="00CF2CC3">
        <w:rPr>
          <w:rtl/>
        </w:rPr>
        <w:t xml:space="preserve">אף שטיוטת </w:t>
      </w:r>
      <w:r>
        <w:rPr>
          <w:rFonts w:hint="cs"/>
          <w:rtl/>
        </w:rPr>
        <w:t>ההסכם</w:t>
      </w:r>
      <w:r w:rsidRPr="00CF2CC3">
        <w:rPr>
          <w:rtl/>
        </w:rPr>
        <w:t xml:space="preserve"> לא התגבשה לכדי מסמך מחייב</w:t>
      </w:r>
      <w:r w:rsidR="007965A0">
        <w:rPr>
          <w:rFonts w:hint="cs"/>
          <w:rtl/>
        </w:rPr>
        <w:t>,</w:t>
      </w:r>
      <w:r>
        <w:rPr>
          <w:rFonts w:hint="cs"/>
          <w:rtl/>
        </w:rPr>
        <w:t xml:space="preserve"> ה</w:t>
      </w:r>
      <w:r w:rsidRPr="00CF2CC3">
        <w:rPr>
          <w:rtl/>
        </w:rPr>
        <w:t>חלוקה בין ה</w:t>
      </w:r>
      <w:r>
        <w:rPr>
          <w:rFonts w:hint="cs"/>
          <w:rtl/>
        </w:rPr>
        <w:t>יישובים</w:t>
      </w:r>
      <w:r w:rsidRPr="00CF2CC3">
        <w:rPr>
          <w:rtl/>
        </w:rPr>
        <w:t xml:space="preserve"> התקיימה גם בהקשר התכנוני, ועל כן הוחלט כי הגופים לא יגיעו לאישור הרשאות ל</w:t>
      </w:r>
      <w:r>
        <w:rPr>
          <w:rFonts w:hint="cs"/>
          <w:rtl/>
        </w:rPr>
        <w:t>ו</w:t>
      </w:r>
      <w:r w:rsidRPr="00CF2CC3">
        <w:rPr>
          <w:rtl/>
        </w:rPr>
        <w:t xml:space="preserve">ות״פ, אלא יעבדו בהתאם למתכונת האמורה, </w:t>
      </w:r>
      <w:r>
        <w:rPr>
          <w:rFonts w:hint="cs"/>
          <w:rtl/>
        </w:rPr>
        <w:t>ו</w:t>
      </w:r>
      <w:r w:rsidRPr="00CF2CC3">
        <w:rPr>
          <w:rtl/>
        </w:rPr>
        <w:t>מחלוק</w:t>
      </w:r>
      <w:r>
        <w:rPr>
          <w:rFonts w:hint="cs"/>
          <w:rtl/>
        </w:rPr>
        <w:t>ו</w:t>
      </w:r>
      <w:r w:rsidRPr="00CF2CC3">
        <w:rPr>
          <w:rtl/>
        </w:rPr>
        <w:t xml:space="preserve">ת או חסמים </w:t>
      </w:r>
      <w:r>
        <w:rPr>
          <w:rFonts w:hint="cs"/>
          <w:rtl/>
        </w:rPr>
        <w:t>י</w:t>
      </w:r>
      <w:r w:rsidRPr="00CF2CC3">
        <w:rPr>
          <w:rtl/>
        </w:rPr>
        <w:t>ובא</w:t>
      </w:r>
      <w:r>
        <w:rPr>
          <w:rFonts w:hint="cs"/>
          <w:rtl/>
        </w:rPr>
        <w:t>ו</w:t>
      </w:r>
      <w:r w:rsidRPr="00CF2CC3">
        <w:rPr>
          <w:rtl/>
        </w:rPr>
        <w:t xml:space="preserve"> לפתחה של הוועדה</w:t>
      </w:r>
      <w:r>
        <w:rPr>
          <w:rFonts w:hint="cs"/>
          <w:rtl/>
        </w:rPr>
        <w:t xml:space="preserve">. לדברי המטה, </w:t>
      </w:r>
      <w:r w:rsidRPr="00CF2CC3">
        <w:rPr>
          <w:rtl/>
        </w:rPr>
        <w:t>בפ</w:t>
      </w:r>
      <w:r>
        <w:rPr>
          <w:rFonts w:hint="cs"/>
          <w:rtl/>
        </w:rPr>
        <w:t>ועל</w:t>
      </w:r>
      <w:r w:rsidRPr="00CF2CC3">
        <w:rPr>
          <w:rtl/>
        </w:rPr>
        <w:t xml:space="preserve"> כל ההרשאות שניתנות ברמ</w:t>
      </w:r>
      <w:r>
        <w:rPr>
          <w:rFonts w:hint="cs"/>
          <w:rtl/>
        </w:rPr>
        <w:t>"</w:t>
      </w:r>
      <w:r w:rsidRPr="00CF2CC3">
        <w:rPr>
          <w:rtl/>
        </w:rPr>
        <w:t xml:space="preserve">י ובמשרד </w:t>
      </w:r>
      <w:r>
        <w:rPr>
          <w:rFonts w:hint="cs"/>
          <w:rtl/>
        </w:rPr>
        <w:t>הבינוי</w:t>
      </w:r>
      <w:r w:rsidRPr="00CF2CC3">
        <w:rPr>
          <w:rtl/>
        </w:rPr>
        <w:t xml:space="preserve"> מועברות ליו״ר הוות״פ</w:t>
      </w:r>
      <w:r>
        <w:rPr>
          <w:rFonts w:hint="cs"/>
          <w:rtl/>
        </w:rPr>
        <w:t>, ובישיבותיה מוכרעת כל מחלוקת שמתגלעת.</w:t>
      </w:r>
    </w:p>
    <w:p w14:paraId="29C2FDB9" w14:textId="77777777" w:rsidR="009A28D9" w:rsidRPr="006A0BEF" w:rsidRDefault="009A28D9" w:rsidP="0096636C">
      <w:pPr>
        <w:pStyle w:val="af0"/>
        <w:rPr>
          <w:rtl/>
        </w:rPr>
      </w:pPr>
      <w:r>
        <w:rPr>
          <w:rFonts w:hint="cs"/>
          <w:rtl/>
        </w:rPr>
        <w:t>רמ"י מסרה בתשובתה למשרד מבקר המדינה מינואר 2020 (להלן - תשובת רמ"י) כי היא הגורם העיקרי בקידום פעולות התכנון במקרקעי ישראל, והיא רואה בפעילות זו אחד מתפקידי הליבה שלה. עוד ציינה כי מאחר שגורמים ממשלתיים אחרים העוסקים בתחום התכנון אינם יכולים לספק את הנדרש, ונוכח מצוקת הדיור, רמ"י נאלצה לבצע את פעולות התכנון. רמ"י הוסיפה כי בהחלטת הממשלה מיוני 2013 נקבע כי היא תהיה אחראית לייצר מנגנוני בקרה ופיקוח על קידום פעולות התכנון שמקדמים גופים ממשלתיים אחרים. כלומר, הממשלה הכירה בתפקידה של רמ"י כגורם עיקרי בניהול פעולות התכנון.</w:t>
      </w:r>
    </w:p>
    <w:p w14:paraId="00576BD9" w14:textId="77777777" w:rsidR="009A28D9" w:rsidRPr="007950F6" w:rsidRDefault="009A28D9" w:rsidP="0096636C">
      <w:pPr>
        <w:pStyle w:val="af0"/>
        <w:rPr>
          <w:rtl/>
        </w:rPr>
      </w:pPr>
      <w:r>
        <w:rPr>
          <w:rFonts w:hint="cs"/>
          <w:rtl/>
        </w:rPr>
        <w:t xml:space="preserve">עוד מסרה רמ"י בתשובתה כי </w:t>
      </w:r>
      <w:r w:rsidRPr="006A0BEF">
        <w:rPr>
          <w:rtl/>
        </w:rPr>
        <w:t>הגופים הממשלתיים העוסקים בתכנון פועלים בשיתוף פעולה</w:t>
      </w:r>
      <w:r>
        <w:rPr>
          <w:rFonts w:hint="cs"/>
          <w:rtl/>
        </w:rPr>
        <w:t>,</w:t>
      </w:r>
      <w:r w:rsidRPr="006A0BEF">
        <w:rPr>
          <w:rtl/>
        </w:rPr>
        <w:t xml:space="preserve"> ומחלוק</w:t>
      </w:r>
      <w:r>
        <w:rPr>
          <w:rFonts w:hint="cs"/>
          <w:rtl/>
        </w:rPr>
        <w:t>ו</w:t>
      </w:r>
      <w:r w:rsidRPr="006A0BEF">
        <w:rPr>
          <w:rtl/>
        </w:rPr>
        <w:t>ת מובא</w:t>
      </w:r>
      <w:r>
        <w:rPr>
          <w:rFonts w:hint="cs"/>
          <w:rtl/>
        </w:rPr>
        <w:t>ו</w:t>
      </w:r>
      <w:r w:rsidRPr="006A0BEF">
        <w:rPr>
          <w:rtl/>
        </w:rPr>
        <w:t>ת לדיון והכרעה בפני ה</w:t>
      </w:r>
      <w:r>
        <w:rPr>
          <w:rFonts w:hint="cs"/>
          <w:rtl/>
        </w:rPr>
        <w:t>ו</w:t>
      </w:r>
      <w:r w:rsidRPr="006A0BEF">
        <w:rPr>
          <w:rtl/>
        </w:rPr>
        <w:t>ות״פ</w:t>
      </w:r>
      <w:r>
        <w:rPr>
          <w:rFonts w:hint="cs"/>
          <w:rtl/>
        </w:rPr>
        <w:t>.</w:t>
      </w:r>
      <w:r w:rsidRPr="006A0BEF">
        <w:rPr>
          <w:rtl/>
        </w:rPr>
        <w:t xml:space="preserve"> </w:t>
      </w:r>
      <w:r>
        <w:rPr>
          <w:rFonts w:hint="cs"/>
          <w:rtl/>
        </w:rPr>
        <w:t xml:space="preserve">לעניין </w:t>
      </w:r>
      <w:r w:rsidRPr="006A0BEF">
        <w:rPr>
          <w:rtl/>
        </w:rPr>
        <w:t xml:space="preserve">טיוטת </w:t>
      </w:r>
      <w:r>
        <w:rPr>
          <w:rFonts w:hint="cs"/>
          <w:rtl/>
        </w:rPr>
        <w:t xml:space="preserve">ההסכם רמ"י הוסיפה </w:t>
      </w:r>
      <w:r>
        <w:rPr>
          <w:rFonts w:hint="cs"/>
          <w:rtl/>
        </w:rPr>
        <w:lastRenderedPageBreak/>
        <w:t>כי אף ש</w:t>
      </w:r>
      <w:r w:rsidRPr="006A0BEF">
        <w:rPr>
          <w:rtl/>
        </w:rPr>
        <w:t>לא התגבשה לכדי מסמך סופי ומחייב, הסכ</w:t>
      </w:r>
      <w:r>
        <w:rPr>
          <w:rFonts w:hint="cs"/>
          <w:rtl/>
        </w:rPr>
        <w:t>ימו</w:t>
      </w:r>
      <w:r w:rsidRPr="006A0BEF">
        <w:rPr>
          <w:rtl/>
        </w:rPr>
        <w:t xml:space="preserve"> הצדדים לראות ב</w:t>
      </w:r>
      <w:r>
        <w:rPr>
          <w:rFonts w:hint="cs"/>
          <w:rtl/>
        </w:rPr>
        <w:t>ה</w:t>
      </w:r>
      <w:r w:rsidRPr="006A0BEF">
        <w:rPr>
          <w:rtl/>
        </w:rPr>
        <w:t xml:space="preserve"> החלטה מנחה</w:t>
      </w:r>
      <w:r>
        <w:rPr>
          <w:rFonts w:hint="cs"/>
          <w:rtl/>
        </w:rPr>
        <w:t>,</w:t>
      </w:r>
      <w:r w:rsidRPr="006A0BEF">
        <w:rPr>
          <w:rtl/>
        </w:rPr>
        <w:t xml:space="preserve"> בעיקר בתחומי השיווק והפיתוח</w:t>
      </w:r>
      <w:r>
        <w:rPr>
          <w:rFonts w:hint="cs"/>
          <w:rtl/>
        </w:rPr>
        <w:t>.</w:t>
      </w:r>
    </w:p>
    <w:p w14:paraId="518CA4FF" w14:textId="77777777" w:rsidR="009A28D9" w:rsidRDefault="009A28D9" w:rsidP="008900FF">
      <w:pPr>
        <w:pStyle w:val="af0"/>
        <w:rPr>
          <w:rtl/>
        </w:rPr>
      </w:pPr>
      <w:r w:rsidRPr="000F5391">
        <w:rPr>
          <w:rFonts w:hint="eastAsia"/>
          <w:rtl/>
        </w:rPr>
        <w:t>משרד</w:t>
      </w:r>
      <w:r w:rsidRPr="000F5391">
        <w:rPr>
          <w:rtl/>
        </w:rPr>
        <w:t xml:space="preserve"> </w:t>
      </w:r>
      <w:r w:rsidRPr="000F5391">
        <w:rPr>
          <w:rFonts w:hint="eastAsia"/>
          <w:rtl/>
        </w:rPr>
        <w:t>הבינוי</w:t>
      </w:r>
      <w:r w:rsidRPr="000F5391">
        <w:rPr>
          <w:rtl/>
        </w:rPr>
        <w:t xml:space="preserve"> </w:t>
      </w:r>
      <w:r>
        <w:rPr>
          <w:rFonts w:hint="cs"/>
          <w:rtl/>
        </w:rPr>
        <w:t>מסר בתשובתו למשרד מבקר המדינה מדצמבר 2019 כי יש מקום לעגן את החלוקה של תכנון ופיתוח קרקע למגורים בינו ובין רמ"י.</w:t>
      </w:r>
    </w:p>
    <w:p w14:paraId="4B3BDA98" w14:textId="77777777" w:rsidR="009A28D9" w:rsidRDefault="009A28D9" w:rsidP="008900FF">
      <w:pPr>
        <w:pStyle w:val="af1"/>
        <w:rPr>
          <w:rtl/>
        </w:rPr>
      </w:pPr>
      <w:r>
        <w:rPr>
          <w:rFonts w:hint="cs"/>
          <w:rtl/>
        </w:rPr>
        <w:t xml:space="preserve">נוכח העובדה כי החלטות הממשלה והמועצה בעניין העברת התכנון מרמ"י לא יושמו, ונוכח הזמן הרב שחלף מאז התקבלו כמה מהן, ראוי כי הממשלה, באמצעות שר האוצר, והמועצה ישקלו לבחון שוב את נושא מדיניות תכנון הקרקע למגורים ויישומה, כדי להשיג את מרב התועלת לציבור ובשים לב לכלל פעולות רמ"י. </w:t>
      </w:r>
    </w:p>
    <w:p w14:paraId="281EC066" w14:textId="77777777" w:rsidR="009A28D9" w:rsidRDefault="009A28D9" w:rsidP="008900FF">
      <w:pPr>
        <w:pStyle w:val="af1"/>
        <w:rPr>
          <w:rtl/>
        </w:rPr>
      </w:pPr>
      <w:r>
        <w:rPr>
          <w:rFonts w:hint="cs"/>
          <w:rtl/>
        </w:rPr>
        <w:t xml:space="preserve">בד בבד, כל עוד לא נקבע אחרת, מצופה מרמ"י ומהוות"פ לפעול ליישום אותן החלטות. </w:t>
      </w:r>
      <w:r w:rsidRPr="003A4581">
        <w:rPr>
          <w:rtl/>
        </w:rPr>
        <w:t>במסגרת זו,</w:t>
      </w:r>
      <w:r>
        <w:rPr>
          <w:rtl/>
        </w:rPr>
        <w:t xml:space="preserve"> </w:t>
      </w:r>
      <w:r w:rsidRPr="003A4581">
        <w:rPr>
          <w:rtl/>
        </w:rPr>
        <w:t>על הוות"פ להסדיר את חלוקת העבודה בין רמ"י ובין משרד הבינוי, לרבות קביעת רשימת היישובים שבהם אחד הגופים יהיה אחראי לתכנון קרקע למגורים</w:t>
      </w:r>
      <w:r>
        <w:rPr>
          <w:rFonts w:hint="cs"/>
          <w:rtl/>
        </w:rPr>
        <w:t>,</w:t>
      </w:r>
      <w:r w:rsidRPr="003A4581">
        <w:rPr>
          <w:rtl/>
        </w:rPr>
        <w:t xml:space="preserve"> </w:t>
      </w:r>
      <w:r>
        <w:rPr>
          <w:rFonts w:hint="cs"/>
          <w:rtl/>
        </w:rPr>
        <w:t>ו</w:t>
      </w:r>
      <w:r w:rsidRPr="003A4581">
        <w:rPr>
          <w:rtl/>
        </w:rPr>
        <w:t>בהתאם לסדר העדיפות שנקבע בהחלטות הממשלה.</w:t>
      </w:r>
    </w:p>
    <w:p w14:paraId="148F05EB" w14:textId="20029633" w:rsidR="009A28D9" w:rsidRPr="00DB41AC" w:rsidRDefault="009A28D9" w:rsidP="00B05CA8">
      <w:pPr>
        <w:pStyle w:val="a0"/>
        <w:rPr>
          <w:rtl/>
          <w:lang w:eastAsia="he-IL"/>
        </w:rPr>
      </w:pPr>
      <w:r>
        <w:rPr>
          <w:rFonts w:hint="cs"/>
          <w:rtl/>
          <w:lang w:eastAsia="he-IL"/>
        </w:rPr>
        <w:t xml:space="preserve">נתוני תוכניות מאושרות: בתרשים להלן מוצגים </w:t>
      </w:r>
      <w:r w:rsidRPr="000C4380">
        <w:rPr>
          <w:rFonts w:hint="cs"/>
          <w:rtl/>
          <w:lang w:eastAsia="he-IL"/>
        </w:rPr>
        <w:t xml:space="preserve">נתונים בדבר </w:t>
      </w:r>
      <w:r w:rsidRPr="00745F56">
        <w:rPr>
          <w:rFonts w:hint="eastAsia"/>
          <w:rtl/>
        </w:rPr>
        <w:t>יח</w:t>
      </w:r>
      <w:r>
        <w:rPr>
          <w:rFonts w:hint="cs"/>
          <w:rtl/>
        </w:rPr>
        <w:t>"</w:t>
      </w:r>
      <w:r w:rsidRPr="00745F56">
        <w:rPr>
          <w:rFonts w:hint="eastAsia"/>
          <w:rtl/>
        </w:rPr>
        <w:t>ד</w:t>
      </w:r>
      <w:r w:rsidRPr="00745F56">
        <w:rPr>
          <w:rtl/>
        </w:rPr>
        <w:t xml:space="preserve"> </w:t>
      </w:r>
      <w:r w:rsidRPr="00745F56">
        <w:rPr>
          <w:rFonts w:hint="eastAsia"/>
          <w:rtl/>
        </w:rPr>
        <w:t>שאושרו</w:t>
      </w:r>
      <w:r w:rsidRPr="00745F56">
        <w:rPr>
          <w:rtl/>
        </w:rPr>
        <w:t xml:space="preserve"> </w:t>
      </w:r>
      <w:r w:rsidRPr="00745F56">
        <w:rPr>
          <w:rFonts w:hint="eastAsia"/>
          <w:rtl/>
        </w:rPr>
        <w:t>בתוכניות</w:t>
      </w:r>
      <w:r w:rsidRPr="00745F56">
        <w:rPr>
          <w:rtl/>
        </w:rPr>
        <w:t xml:space="preserve"> </w:t>
      </w:r>
      <w:r w:rsidRPr="00745F56">
        <w:rPr>
          <w:rFonts w:hint="eastAsia"/>
          <w:rtl/>
        </w:rPr>
        <w:t>מפורטות</w:t>
      </w:r>
      <w:r w:rsidRPr="00745F56">
        <w:rPr>
          <w:rtl/>
        </w:rPr>
        <w:t xml:space="preserve"> </w:t>
      </w:r>
      <w:r w:rsidRPr="00745F56">
        <w:rPr>
          <w:rFonts w:hint="eastAsia"/>
          <w:rtl/>
        </w:rPr>
        <w:t>על</w:t>
      </w:r>
      <w:r w:rsidRPr="00745F56">
        <w:rPr>
          <w:rtl/>
        </w:rPr>
        <w:t xml:space="preserve"> </w:t>
      </w:r>
      <w:r w:rsidRPr="00745F56">
        <w:rPr>
          <w:rFonts w:hint="eastAsia"/>
          <w:rtl/>
        </w:rPr>
        <w:t>כלל</w:t>
      </w:r>
      <w:r w:rsidRPr="00745F56">
        <w:rPr>
          <w:rtl/>
        </w:rPr>
        <w:t xml:space="preserve"> </w:t>
      </w:r>
      <w:r w:rsidRPr="00745F56">
        <w:rPr>
          <w:rFonts w:hint="eastAsia"/>
          <w:rtl/>
        </w:rPr>
        <w:t>קרקעות</w:t>
      </w:r>
      <w:r w:rsidRPr="00745F56">
        <w:rPr>
          <w:rtl/>
        </w:rPr>
        <w:t xml:space="preserve"> </w:t>
      </w:r>
      <w:r w:rsidRPr="00745F56">
        <w:rPr>
          <w:rFonts w:hint="eastAsia"/>
          <w:rtl/>
        </w:rPr>
        <w:t>המדינה</w:t>
      </w:r>
      <w:r w:rsidRPr="00745F56">
        <w:rPr>
          <w:rtl/>
        </w:rPr>
        <w:t xml:space="preserve"> (בבעלות </w:t>
      </w:r>
      <w:r w:rsidRPr="00745F56">
        <w:rPr>
          <w:rFonts w:hint="eastAsia"/>
          <w:rtl/>
        </w:rPr>
        <w:t>פרטית</w:t>
      </w:r>
      <w:r w:rsidRPr="00745F56">
        <w:rPr>
          <w:rtl/>
        </w:rPr>
        <w:t xml:space="preserve"> </w:t>
      </w:r>
      <w:r w:rsidRPr="00745F56">
        <w:rPr>
          <w:rFonts w:hint="eastAsia"/>
          <w:rtl/>
        </w:rPr>
        <w:t>וציבורית</w:t>
      </w:r>
      <w:r w:rsidRPr="00745F56">
        <w:rPr>
          <w:rtl/>
        </w:rPr>
        <w:t xml:space="preserve">) </w:t>
      </w:r>
      <w:r w:rsidRPr="00745F56">
        <w:rPr>
          <w:rFonts w:hint="eastAsia"/>
          <w:rtl/>
        </w:rPr>
        <w:t>בחתך</w:t>
      </w:r>
      <w:r w:rsidRPr="00745F56">
        <w:rPr>
          <w:rtl/>
        </w:rPr>
        <w:t xml:space="preserve"> </w:t>
      </w:r>
      <w:r w:rsidR="00597981">
        <w:rPr>
          <w:rFonts w:hint="cs"/>
          <w:rtl/>
        </w:rPr>
        <w:t xml:space="preserve">לפי </w:t>
      </w:r>
      <w:r w:rsidRPr="00745F56">
        <w:rPr>
          <w:rFonts w:hint="eastAsia"/>
          <w:rtl/>
        </w:rPr>
        <w:t>מגזרים</w:t>
      </w:r>
      <w:r>
        <w:rPr>
          <w:rStyle w:val="FootnoteReference"/>
          <w:sz w:val="24"/>
          <w:rtl/>
        </w:rPr>
        <w:footnoteReference w:id="18"/>
      </w:r>
      <w:r w:rsidRPr="00745F56">
        <w:rPr>
          <w:rtl/>
        </w:rPr>
        <w:t xml:space="preserve"> בשנים</w:t>
      </w:r>
      <w:r w:rsidR="00B05CA8">
        <w:rPr>
          <w:rtl/>
        </w:rPr>
        <w:br/>
      </w:r>
      <w:r w:rsidRPr="00745F56">
        <w:rPr>
          <w:rtl/>
        </w:rPr>
        <w:t>2017 - 2019</w:t>
      </w:r>
      <w:r w:rsidRPr="000C4380">
        <w:rPr>
          <w:rFonts w:hint="cs"/>
          <w:rtl/>
          <w:lang w:eastAsia="he-IL"/>
        </w:rPr>
        <w:t>.</w:t>
      </w:r>
    </w:p>
    <w:p w14:paraId="4DE2CF54" w14:textId="77777777" w:rsidR="009A28D9" w:rsidRPr="00DB41AC" w:rsidRDefault="009A28D9" w:rsidP="009A28D9">
      <w:pPr>
        <w:spacing w:line="269" w:lineRule="auto"/>
        <w:rPr>
          <w:rtl/>
        </w:rPr>
      </w:pPr>
    </w:p>
    <w:p w14:paraId="1138A3E2" w14:textId="77777777" w:rsidR="009A28D9" w:rsidRPr="00CB1C59" w:rsidRDefault="009A28D9" w:rsidP="00CB1C59">
      <w:pPr>
        <w:pStyle w:val="a6"/>
        <w:rPr>
          <w:b/>
          <w:bCs/>
          <w:rtl/>
        </w:rPr>
      </w:pPr>
      <w:r w:rsidRPr="0021767D">
        <w:rPr>
          <w:rFonts w:hint="eastAsia"/>
          <w:rtl/>
        </w:rPr>
        <w:t>תרשים</w:t>
      </w:r>
      <w:r w:rsidRPr="0021767D">
        <w:rPr>
          <w:rtl/>
        </w:rPr>
        <w:t xml:space="preserve"> </w:t>
      </w:r>
      <w:r>
        <w:rPr>
          <w:rFonts w:hint="cs"/>
          <w:rtl/>
        </w:rPr>
        <w:t>5</w:t>
      </w:r>
      <w:r w:rsidRPr="0021767D">
        <w:rPr>
          <w:rtl/>
        </w:rPr>
        <w:t xml:space="preserve">: </w:t>
      </w:r>
      <w:r w:rsidRPr="00CB1C59">
        <w:rPr>
          <w:rFonts w:hint="eastAsia"/>
          <w:b/>
          <w:bCs/>
          <w:rtl/>
        </w:rPr>
        <w:t>יחידות</w:t>
      </w:r>
      <w:r w:rsidRPr="00CB1C59">
        <w:rPr>
          <w:b/>
          <w:bCs/>
          <w:rtl/>
        </w:rPr>
        <w:t xml:space="preserve"> דיור שאושרו בתוכניות מפורטות על כלל קרקעות המדינה (בבעלות פרטית וציבורית)</w:t>
      </w:r>
      <w:r w:rsidRPr="00CB1C59">
        <w:rPr>
          <w:rFonts w:hint="cs"/>
          <w:b/>
          <w:bCs/>
          <w:rtl/>
        </w:rPr>
        <w:t>,</w:t>
      </w:r>
      <w:r w:rsidRPr="00CB1C59">
        <w:rPr>
          <w:b/>
          <w:bCs/>
          <w:rtl/>
        </w:rPr>
        <w:t xml:space="preserve"> לפי מגזרים</w:t>
      </w:r>
      <w:r w:rsidRPr="00CB1C59">
        <w:rPr>
          <w:rFonts w:hint="cs"/>
          <w:b/>
          <w:bCs/>
          <w:rtl/>
        </w:rPr>
        <w:t>,</w:t>
      </w:r>
      <w:r w:rsidRPr="00CB1C59">
        <w:rPr>
          <w:b/>
          <w:bCs/>
          <w:rtl/>
        </w:rPr>
        <w:t xml:space="preserve"> 201</w:t>
      </w:r>
      <w:r w:rsidRPr="00CB1C59">
        <w:rPr>
          <w:rFonts w:hint="cs"/>
          <w:b/>
          <w:bCs/>
          <w:rtl/>
        </w:rPr>
        <w:t xml:space="preserve">7 </w:t>
      </w:r>
      <w:r w:rsidRPr="00CB1C59">
        <w:rPr>
          <w:b/>
          <w:bCs/>
          <w:rtl/>
        </w:rPr>
        <w:t>-</w:t>
      </w:r>
      <w:r w:rsidRPr="00CB1C59">
        <w:rPr>
          <w:rFonts w:hint="cs"/>
          <w:b/>
          <w:bCs/>
          <w:rtl/>
        </w:rPr>
        <w:t xml:space="preserve"> </w:t>
      </w:r>
      <w:r w:rsidRPr="00CB1C59">
        <w:rPr>
          <w:b/>
          <w:bCs/>
          <w:rtl/>
        </w:rPr>
        <w:t>201</w:t>
      </w:r>
      <w:r w:rsidRPr="00CB1C59">
        <w:rPr>
          <w:rFonts w:hint="cs"/>
          <w:b/>
          <w:bCs/>
          <w:rtl/>
        </w:rPr>
        <w:t>9</w:t>
      </w:r>
      <w:r w:rsidRPr="00CB1C59">
        <w:rPr>
          <w:rStyle w:val="FootnoteReference"/>
          <w:b/>
          <w:bCs/>
          <w:sz w:val="24"/>
          <w:rtl/>
        </w:rPr>
        <w:footnoteReference w:id="19"/>
      </w:r>
    </w:p>
    <w:p w14:paraId="57B8E38E" w14:textId="77777777" w:rsidR="009A28D9" w:rsidRDefault="009A28D9" w:rsidP="00CB1C59">
      <w:pPr>
        <w:pStyle w:val="a6"/>
        <w:rPr>
          <w:rtl/>
        </w:rPr>
      </w:pPr>
      <w:r>
        <w:rPr>
          <w:noProof/>
        </w:rPr>
        <w:drawing>
          <wp:inline distT="0" distB="0" distL="0" distR="0" wp14:anchorId="515DC8D8" wp14:editId="5EE50E38">
            <wp:extent cx="4743450" cy="2462687"/>
            <wp:effectExtent l="0" t="0" r="0" b="13970"/>
            <wp:docPr id="16" name="תרשים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AFEB5CB" w14:textId="77777777" w:rsidR="009A28D9" w:rsidRPr="000B5C6C" w:rsidRDefault="009A28D9" w:rsidP="00CB1C59">
      <w:pPr>
        <w:pStyle w:val="a8"/>
        <w:rPr>
          <w:rtl/>
        </w:rPr>
      </w:pPr>
      <w:r w:rsidRPr="00186202">
        <w:rPr>
          <w:rtl/>
          <w:lang w:eastAsia="he-IL"/>
        </w:rPr>
        <w:t xml:space="preserve">על פי </w:t>
      </w:r>
      <w:r w:rsidRPr="008F7BF1">
        <w:rPr>
          <w:rFonts w:hint="cs"/>
          <w:rtl/>
          <w:lang w:eastAsia="he-IL"/>
        </w:rPr>
        <w:t>נתוני מינהל התכנון</w:t>
      </w:r>
      <w:r w:rsidRPr="00186202">
        <w:rPr>
          <w:rtl/>
          <w:lang w:eastAsia="he-IL"/>
        </w:rPr>
        <w:t>, בעיבוד משרד מבקר המדינה.</w:t>
      </w:r>
    </w:p>
    <w:p w14:paraId="6A45CC35" w14:textId="77777777" w:rsidR="00B9195C" w:rsidRDefault="00B9195C" w:rsidP="009A28D9">
      <w:pPr>
        <w:spacing w:line="269" w:lineRule="auto"/>
        <w:rPr>
          <w:rtl/>
          <w:lang w:eastAsia="he-IL"/>
        </w:rPr>
      </w:pPr>
    </w:p>
    <w:p w14:paraId="0467D8C0" w14:textId="21919D21" w:rsidR="009A28D9" w:rsidRDefault="009A28D9" w:rsidP="00B9195C">
      <w:pPr>
        <w:pStyle w:val="af0"/>
        <w:rPr>
          <w:rtl/>
          <w:lang w:eastAsia="he-IL"/>
        </w:rPr>
      </w:pPr>
      <w:r w:rsidRPr="0024549C">
        <w:rPr>
          <w:rFonts w:hint="cs"/>
          <w:rtl/>
          <w:lang w:eastAsia="he-IL"/>
        </w:rPr>
        <w:lastRenderedPageBreak/>
        <w:t>מהתרשים ניכרת שונות בין המגזרים בהיקף יח</w:t>
      </w:r>
      <w:r>
        <w:rPr>
          <w:rFonts w:hint="cs"/>
          <w:rtl/>
          <w:lang w:eastAsia="he-IL"/>
        </w:rPr>
        <w:t>"</w:t>
      </w:r>
      <w:r w:rsidRPr="0024549C">
        <w:rPr>
          <w:rFonts w:hint="cs"/>
          <w:rtl/>
          <w:lang w:eastAsia="he-IL"/>
        </w:rPr>
        <w:t>ד שאושרו בתוכניות המתאר בשנים 2017 - 2019.</w:t>
      </w:r>
    </w:p>
    <w:p w14:paraId="6879371D" w14:textId="77777777" w:rsidR="009A28D9" w:rsidRDefault="009A28D9" w:rsidP="00B9195C">
      <w:pPr>
        <w:pStyle w:val="af0"/>
        <w:rPr>
          <w:sz w:val="24"/>
          <w:rtl/>
        </w:rPr>
      </w:pPr>
      <w:r w:rsidRPr="002959EE">
        <w:rPr>
          <w:rFonts w:hint="cs"/>
          <w:sz w:val="24"/>
          <w:rtl/>
        </w:rPr>
        <w:t xml:space="preserve">משרד הבינוי </w:t>
      </w:r>
      <w:r>
        <w:rPr>
          <w:rFonts w:hint="cs"/>
          <w:sz w:val="24"/>
          <w:rtl/>
        </w:rPr>
        <w:t>ציין</w:t>
      </w:r>
      <w:r w:rsidRPr="002959EE">
        <w:rPr>
          <w:rFonts w:hint="cs"/>
          <w:sz w:val="24"/>
          <w:rtl/>
        </w:rPr>
        <w:t xml:space="preserve"> בתשובתו כי הוא </w:t>
      </w:r>
      <w:r w:rsidRPr="002959EE">
        <w:rPr>
          <w:sz w:val="24"/>
          <w:rtl/>
        </w:rPr>
        <w:t>בוחן את</w:t>
      </w:r>
      <w:r w:rsidRPr="002959EE">
        <w:rPr>
          <w:rFonts w:hint="cs"/>
          <w:sz w:val="24"/>
          <w:rtl/>
        </w:rPr>
        <w:t xml:space="preserve"> </w:t>
      </w:r>
      <w:r w:rsidRPr="002959EE">
        <w:rPr>
          <w:sz w:val="24"/>
          <w:rtl/>
        </w:rPr>
        <w:t>היצע יח״ד המתוכננות אל מול הצרכים של המגזרים השונים</w:t>
      </w:r>
      <w:r w:rsidRPr="002959EE">
        <w:rPr>
          <w:rFonts w:hint="cs"/>
          <w:sz w:val="24"/>
          <w:rtl/>
        </w:rPr>
        <w:t>, ו</w:t>
      </w:r>
      <w:r w:rsidRPr="002959EE">
        <w:rPr>
          <w:sz w:val="24"/>
          <w:rtl/>
        </w:rPr>
        <w:t>הדבר בא לידי ביטוי בבחינה ומעקב אחר</w:t>
      </w:r>
      <w:r w:rsidRPr="002959EE">
        <w:rPr>
          <w:rFonts w:hint="cs"/>
          <w:sz w:val="24"/>
          <w:rtl/>
        </w:rPr>
        <w:t xml:space="preserve"> יישום </w:t>
      </w:r>
      <w:r w:rsidRPr="002959EE">
        <w:rPr>
          <w:sz w:val="24"/>
          <w:rtl/>
        </w:rPr>
        <w:t xml:space="preserve">החלטות הממשלה </w:t>
      </w:r>
      <w:r w:rsidRPr="002959EE">
        <w:rPr>
          <w:rFonts w:hint="cs"/>
          <w:sz w:val="24"/>
          <w:rtl/>
        </w:rPr>
        <w:t xml:space="preserve">הנוגעות </w:t>
      </w:r>
      <w:r w:rsidRPr="002959EE">
        <w:rPr>
          <w:sz w:val="24"/>
          <w:rtl/>
        </w:rPr>
        <w:t xml:space="preserve">למגזרים השונים בדגש על </w:t>
      </w:r>
      <w:r w:rsidRPr="002959EE">
        <w:rPr>
          <w:rFonts w:hint="cs"/>
          <w:sz w:val="24"/>
          <w:rtl/>
        </w:rPr>
        <w:t>ההחלטות</w:t>
      </w:r>
      <w:r w:rsidRPr="002959EE">
        <w:rPr>
          <w:sz w:val="24"/>
          <w:rtl/>
        </w:rPr>
        <w:t xml:space="preserve"> </w:t>
      </w:r>
      <w:r>
        <w:rPr>
          <w:rFonts w:hint="cs"/>
          <w:sz w:val="24"/>
          <w:rtl/>
        </w:rPr>
        <w:t xml:space="preserve">שבהן </w:t>
      </w:r>
      <w:r w:rsidRPr="002959EE">
        <w:rPr>
          <w:rFonts w:hint="cs"/>
          <w:sz w:val="24"/>
          <w:rtl/>
        </w:rPr>
        <w:t>נקבעו</w:t>
      </w:r>
      <w:r>
        <w:rPr>
          <w:sz w:val="24"/>
          <w:rtl/>
        </w:rPr>
        <w:t xml:space="preserve"> יעדי</w:t>
      </w:r>
      <w:r>
        <w:rPr>
          <w:rFonts w:hint="cs"/>
          <w:sz w:val="24"/>
          <w:rtl/>
        </w:rPr>
        <w:t xml:space="preserve"> </w:t>
      </w:r>
      <w:r w:rsidRPr="002959EE">
        <w:rPr>
          <w:sz w:val="24"/>
          <w:rtl/>
        </w:rPr>
        <w:t>תכנון לאוכלוסייה החרדית</w:t>
      </w:r>
      <w:r w:rsidRPr="002959EE">
        <w:rPr>
          <w:rFonts w:hint="cs"/>
          <w:sz w:val="24"/>
          <w:rtl/>
        </w:rPr>
        <w:t>, ה</w:t>
      </w:r>
      <w:r w:rsidRPr="002959EE">
        <w:rPr>
          <w:sz w:val="24"/>
          <w:rtl/>
        </w:rPr>
        <w:t xml:space="preserve">ערבית, </w:t>
      </w:r>
      <w:r w:rsidRPr="002959EE">
        <w:rPr>
          <w:rFonts w:hint="cs"/>
          <w:sz w:val="24"/>
          <w:rtl/>
        </w:rPr>
        <w:t>ה</w:t>
      </w:r>
      <w:r w:rsidRPr="002959EE">
        <w:rPr>
          <w:sz w:val="24"/>
          <w:rtl/>
        </w:rPr>
        <w:t>דרוזית ו</w:t>
      </w:r>
      <w:r w:rsidRPr="002959EE">
        <w:rPr>
          <w:rFonts w:hint="cs"/>
          <w:sz w:val="24"/>
          <w:rtl/>
        </w:rPr>
        <w:t>ה</w:t>
      </w:r>
      <w:r w:rsidRPr="002959EE">
        <w:rPr>
          <w:sz w:val="24"/>
          <w:rtl/>
        </w:rPr>
        <w:t>בדואית.</w:t>
      </w:r>
      <w:r w:rsidRPr="002959EE">
        <w:rPr>
          <w:rFonts w:hint="cs"/>
          <w:sz w:val="24"/>
          <w:rtl/>
        </w:rPr>
        <w:t xml:space="preserve"> </w:t>
      </w:r>
      <w:r>
        <w:rPr>
          <w:rFonts w:hint="cs"/>
          <w:sz w:val="24"/>
          <w:rtl/>
        </w:rPr>
        <w:t>בכל הנוגע לחברה החרדית מסר מ</w:t>
      </w:r>
      <w:r w:rsidRPr="002959EE">
        <w:rPr>
          <w:sz w:val="24"/>
          <w:rtl/>
        </w:rPr>
        <w:t>שרד הבינוי כי</w:t>
      </w:r>
      <w:r>
        <w:rPr>
          <w:sz w:val="24"/>
          <w:rtl/>
        </w:rPr>
        <w:t xml:space="preserve"> </w:t>
      </w:r>
      <w:r>
        <w:rPr>
          <w:rFonts w:hint="cs"/>
          <w:sz w:val="24"/>
          <w:rtl/>
        </w:rPr>
        <w:t>בדצמבר 2019 הוא סיים את הכנתו של דוח תמונת מצב בנושא "</w:t>
      </w:r>
      <w:r w:rsidRPr="00AA7914">
        <w:rPr>
          <w:sz w:val="24"/>
          <w:rtl/>
        </w:rPr>
        <w:t>ת</w:t>
      </w:r>
      <w:r>
        <w:rPr>
          <w:rFonts w:hint="cs"/>
          <w:sz w:val="24"/>
          <w:rtl/>
        </w:rPr>
        <w:t>ו</w:t>
      </w:r>
      <w:r w:rsidRPr="00AA7914">
        <w:rPr>
          <w:sz w:val="24"/>
          <w:rtl/>
        </w:rPr>
        <w:t>כניות דיור ממשלתיות</w:t>
      </w:r>
      <w:r>
        <w:rPr>
          <w:rFonts w:hint="cs"/>
          <w:sz w:val="24"/>
          <w:rtl/>
        </w:rPr>
        <w:t xml:space="preserve"> </w:t>
      </w:r>
      <w:r w:rsidRPr="00AA7914">
        <w:rPr>
          <w:sz w:val="24"/>
          <w:rtl/>
        </w:rPr>
        <w:t>עבור המגזר החרדי</w:t>
      </w:r>
      <w:r>
        <w:rPr>
          <w:rFonts w:hint="cs"/>
          <w:sz w:val="24"/>
          <w:rtl/>
        </w:rPr>
        <w:t xml:space="preserve">", שבו בין היתר יש התייחסות לפער שנאמד בין צורכי הדיור במגזר החרדי לבין </w:t>
      </w:r>
      <w:r w:rsidRPr="002959EE">
        <w:rPr>
          <w:sz w:val="24"/>
          <w:rtl/>
        </w:rPr>
        <w:t>פוטנציאל יח</w:t>
      </w:r>
      <w:r>
        <w:rPr>
          <w:rFonts w:hint="cs"/>
          <w:sz w:val="24"/>
          <w:rtl/>
        </w:rPr>
        <w:t>"</w:t>
      </w:r>
      <w:r w:rsidRPr="002959EE">
        <w:rPr>
          <w:sz w:val="24"/>
          <w:rtl/>
        </w:rPr>
        <w:t xml:space="preserve">ד </w:t>
      </w:r>
      <w:r>
        <w:rPr>
          <w:rFonts w:hint="cs"/>
          <w:sz w:val="24"/>
          <w:rtl/>
        </w:rPr>
        <w:t>ה</w:t>
      </w:r>
      <w:r w:rsidRPr="002959EE">
        <w:rPr>
          <w:sz w:val="24"/>
          <w:rtl/>
        </w:rPr>
        <w:t xml:space="preserve">מותאמות לחרדים </w:t>
      </w:r>
      <w:r>
        <w:rPr>
          <w:rFonts w:hint="cs"/>
          <w:sz w:val="24"/>
          <w:rtl/>
        </w:rPr>
        <w:t xml:space="preserve">הכלולות בתוכניות מאושרות או מקודמות ובמיזמי התחדשות עירונית. המשרד ציין כי הדוח יוגש לשרת הבינוי והשיכון. </w:t>
      </w:r>
    </w:p>
    <w:p w14:paraId="0C31662E" w14:textId="0162BF31" w:rsidR="009A28D9" w:rsidRDefault="009A28D9" w:rsidP="00B9195C">
      <w:pPr>
        <w:pStyle w:val="af0"/>
        <w:rPr>
          <w:sz w:val="24"/>
          <w:rtl/>
        </w:rPr>
      </w:pPr>
      <w:r>
        <w:rPr>
          <w:rFonts w:hint="cs"/>
          <w:sz w:val="24"/>
          <w:rtl/>
        </w:rPr>
        <w:t>מה</w:t>
      </w:r>
      <w:r w:rsidRPr="002959EE">
        <w:rPr>
          <w:rFonts w:hint="cs"/>
          <w:sz w:val="24"/>
          <w:rtl/>
        </w:rPr>
        <w:t xml:space="preserve">דוח </w:t>
      </w:r>
      <w:r>
        <w:rPr>
          <w:rFonts w:hint="cs"/>
          <w:sz w:val="24"/>
          <w:rtl/>
        </w:rPr>
        <w:t>של משרד הבינוי עולה</w:t>
      </w:r>
      <w:r w:rsidRPr="002959EE">
        <w:rPr>
          <w:rFonts w:hint="cs"/>
          <w:sz w:val="24"/>
          <w:rtl/>
        </w:rPr>
        <w:t xml:space="preserve"> כי </w:t>
      </w:r>
      <w:r w:rsidRPr="006D390F">
        <w:rPr>
          <w:sz w:val="24"/>
          <w:rtl/>
        </w:rPr>
        <w:t xml:space="preserve">במסגרת העדכון הנדרש </w:t>
      </w:r>
      <w:r>
        <w:rPr>
          <w:rFonts w:hint="cs"/>
          <w:sz w:val="24"/>
          <w:rtl/>
        </w:rPr>
        <w:t>ל</w:t>
      </w:r>
      <w:r w:rsidRPr="006D390F">
        <w:rPr>
          <w:sz w:val="24"/>
          <w:rtl/>
        </w:rPr>
        <w:t>יעדי התכנון</w:t>
      </w:r>
      <w:r>
        <w:rPr>
          <w:rFonts w:hint="cs"/>
          <w:sz w:val="24"/>
          <w:rtl/>
        </w:rPr>
        <w:t xml:space="preserve"> הכלליים שנקבעו בהחלטת הממשלה</w:t>
      </w:r>
      <w:r>
        <w:rPr>
          <w:rStyle w:val="FootnoteReference"/>
          <w:sz w:val="24"/>
          <w:rtl/>
        </w:rPr>
        <w:footnoteReference w:id="20"/>
      </w:r>
      <w:r>
        <w:rPr>
          <w:rFonts w:hint="cs"/>
          <w:sz w:val="24"/>
          <w:rtl/>
        </w:rPr>
        <w:t xml:space="preserve"> מציע </w:t>
      </w:r>
      <w:r w:rsidRPr="002959EE">
        <w:rPr>
          <w:rFonts w:hint="cs"/>
          <w:sz w:val="24"/>
          <w:rtl/>
        </w:rPr>
        <w:t>משרד</w:t>
      </w:r>
      <w:r>
        <w:rPr>
          <w:rFonts w:hint="cs"/>
          <w:sz w:val="24"/>
          <w:rtl/>
        </w:rPr>
        <w:t xml:space="preserve"> הבינוי</w:t>
      </w:r>
      <w:r w:rsidRPr="002959EE">
        <w:rPr>
          <w:rFonts w:hint="cs"/>
          <w:sz w:val="24"/>
          <w:rtl/>
        </w:rPr>
        <w:t xml:space="preserve"> </w:t>
      </w:r>
      <w:r>
        <w:rPr>
          <w:rFonts w:hint="cs"/>
          <w:sz w:val="24"/>
          <w:rtl/>
        </w:rPr>
        <w:t xml:space="preserve">להעמיד את </w:t>
      </w:r>
      <w:r w:rsidRPr="002959EE">
        <w:rPr>
          <w:rFonts w:hint="cs"/>
          <w:sz w:val="24"/>
          <w:rtl/>
        </w:rPr>
        <w:t>יעד התכנון</w:t>
      </w:r>
      <w:r>
        <w:rPr>
          <w:rFonts w:hint="cs"/>
          <w:sz w:val="24"/>
          <w:rtl/>
        </w:rPr>
        <w:t xml:space="preserve"> למגזר החרדי ל</w:t>
      </w:r>
      <w:r w:rsidRPr="002959EE">
        <w:rPr>
          <w:rFonts w:hint="cs"/>
          <w:sz w:val="24"/>
          <w:rtl/>
        </w:rPr>
        <w:t>שנים</w:t>
      </w:r>
      <w:r>
        <w:rPr>
          <w:rFonts w:hint="cs"/>
          <w:sz w:val="24"/>
          <w:rtl/>
        </w:rPr>
        <w:t xml:space="preserve"> </w:t>
      </w:r>
      <w:r w:rsidRPr="002959EE">
        <w:rPr>
          <w:rFonts w:hint="cs"/>
          <w:sz w:val="24"/>
          <w:rtl/>
        </w:rPr>
        <w:t>20</w:t>
      </w:r>
      <w:r>
        <w:rPr>
          <w:rFonts w:hint="cs"/>
          <w:sz w:val="24"/>
          <w:rtl/>
        </w:rPr>
        <w:t xml:space="preserve">17 </w:t>
      </w:r>
      <w:r w:rsidRPr="002959EE">
        <w:rPr>
          <w:rFonts w:hint="cs"/>
          <w:sz w:val="24"/>
          <w:rtl/>
        </w:rPr>
        <w:t>-</w:t>
      </w:r>
      <w:r>
        <w:rPr>
          <w:rFonts w:hint="cs"/>
          <w:sz w:val="24"/>
          <w:rtl/>
        </w:rPr>
        <w:t xml:space="preserve"> </w:t>
      </w:r>
      <w:r w:rsidRPr="002959EE">
        <w:rPr>
          <w:rFonts w:hint="cs"/>
          <w:sz w:val="24"/>
          <w:rtl/>
        </w:rPr>
        <w:t>20</w:t>
      </w:r>
      <w:r>
        <w:rPr>
          <w:rFonts w:hint="cs"/>
          <w:sz w:val="24"/>
          <w:rtl/>
        </w:rPr>
        <w:t>20</w:t>
      </w:r>
      <w:r w:rsidRPr="002959EE">
        <w:rPr>
          <w:rFonts w:hint="cs"/>
          <w:sz w:val="24"/>
          <w:rtl/>
        </w:rPr>
        <w:t xml:space="preserve"> על כ</w:t>
      </w:r>
      <w:r>
        <w:rPr>
          <w:rFonts w:hint="cs"/>
          <w:sz w:val="24"/>
          <w:rtl/>
        </w:rPr>
        <w:t>-32,000 יח"ד, וכי עד 2040 יידרש לתכנן כ-300,000 יח"ד סך הכול</w:t>
      </w:r>
      <w:r w:rsidRPr="002959EE">
        <w:rPr>
          <w:rFonts w:hint="cs"/>
          <w:sz w:val="24"/>
          <w:rtl/>
        </w:rPr>
        <w:t>.</w:t>
      </w:r>
      <w:r>
        <w:rPr>
          <w:rFonts w:hint="cs"/>
          <w:sz w:val="24"/>
          <w:rtl/>
        </w:rPr>
        <w:t xml:space="preserve"> </w:t>
      </w:r>
      <w:r w:rsidRPr="00AA7914">
        <w:rPr>
          <w:sz w:val="24"/>
          <w:rtl/>
        </w:rPr>
        <w:t>עוד צוין בדוח כי</w:t>
      </w:r>
      <w:r>
        <w:rPr>
          <w:rFonts w:hint="cs"/>
          <w:sz w:val="24"/>
          <w:rtl/>
        </w:rPr>
        <w:t xml:space="preserve"> </w:t>
      </w:r>
      <w:r w:rsidRPr="00AA7914">
        <w:rPr>
          <w:sz w:val="24"/>
          <w:rtl/>
        </w:rPr>
        <w:t xml:space="preserve">בקביעת היעדים בשנים הקרובות יש להתחשב בפערים בין יעד תקופת השנים </w:t>
      </w:r>
      <w:r>
        <w:rPr>
          <w:rFonts w:hint="cs"/>
          <w:sz w:val="24"/>
          <w:rtl/>
        </w:rPr>
        <w:t>2017 - 2020 לבין הביצוע בפועל בשנים אלו.</w:t>
      </w:r>
    </w:p>
    <w:p w14:paraId="7E12FA08" w14:textId="77777777" w:rsidR="009A28D9" w:rsidRPr="00075608" w:rsidRDefault="009A28D9" w:rsidP="00B9195C">
      <w:pPr>
        <w:pStyle w:val="aa"/>
        <w:rPr>
          <w:rtl/>
        </w:rPr>
      </w:pPr>
      <w:r w:rsidRPr="00075608">
        <w:rPr>
          <w:rFonts w:hint="eastAsia"/>
          <w:rtl/>
        </w:rPr>
        <w:t>משרד</w:t>
      </w:r>
      <w:r w:rsidRPr="00075608">
        <w:rPr>
          <w:rtl/>
        </w:rPr>
        <w:t xml:space="preserve"> </w:t>
      </w:r>
      <w:r w:rsidRPr="00075608">
        <w:rPr>
          <w:rFonts w:hint="eastAsia"/>
          <w:rtl/>
        </w:rPr>
        <w:t>מבקר</w:t>
      </w:r>
      <w:r w:rsidRPr="00075608">
        <w:rPr>
          <w:rtl/>
        </w:rPr>
        <w:t xml:space="preserve"> </w:t>
      </w:r>
      <w:r w:rsidRPr="00075608">
        <w:rPr>
          <w:rFonts w:hint="eastAsia"/>
          <w:rtl/>
        </w:rPr>
        <w:t>המדינה</w:t>
      </w:r>
      <w:r w:rsidRPr="00075608">
        <w:rPr>
          <w:rtl/>
        </w:rPr>
        <w:t xml:space="preserve"> </w:t>
      </w:r>
      <w:r w:rsidRPr="00075608">
        <w:rPr>
          <w:rFonts w:hint="eastAsia"/>
          <w:rtl/>
        </w:rPr>
        <w:t>ממליץ</w:t>
      </w:r>
      <w:r w:rsidRPr="00075608">
        <w:rPr>
          <w:rFonts w:hint="cs"/>
          <w:rtl/>
        </w:rPr>
        <w:t xml:space="preserve"> ל</w:t>
      </w:r>
      <w:r w:rsidRPr="00075608">
        <w:rPr>
          <w:rtl/>
        </w:rPr>
        <w:t>משרד הבינוי ו</w:t>
      </w:r>
      <w:r w:rsidRPr="00075608">
        <w:rPr>
          <w:rFonts w:hint="cs"/>
          <w:rtl/>
        </w:rPr>
        <w:t>ל</w:t>
      </w:r>
      <w:r w:rsidRPr="00075608">
        <w:rPr>
          <w:rtl/>
        </w:rPr>
        <w:t>מינהל התכנון להמשיך ולעקוב אחר מידת העמידה ביעדי התכנון בשנים הקרובות ולבחון את הצורך בעדכונם בהתאם לצרכים המשתנים של המגזר</w:t>
      </w:r>
      <w:r w:rsidRPr="00075608">
        <w:rPr>
          <w:rFonts w:hint="eastAsia"/>
          <w:rtl/>
        </w:rPr>
        <w:t>ים</w:t>
      </w:r>
      <w:r w:rsidRPr="00075608">
        <w:rPr>
          <w:rtl/>
        </w:rPr>
        <w:t xml:space="preserve"> </w:t>
      </w:r>
      <w:r w:rsidRPr="00075608">
        <w:rPr>
          <w:rFonts w:hint="eastAsia"/>
          <w:rtl/>
        </w:rPr>
        <w:t>השונים</w:t>
      </w:r>
      <w:r w:rsidRPr="00075608">
        <w:rPr>
          <w:rtl/>
        </w:rPr>
        <w:t>.</w:t>
      </w:r>
    </w:p>
    <w:p w14:paraId="56D83F6C" w14:textId="77777777" w:rsidR="009A28D9" w:rsidRDefault="009A28D9" w:rsidP="008A12DF">
      <w:pPr>
        <w:pStyle w:val="316"/>
        <w:rPr>
          <w:rtl/>
        </w:rPr>
      </w:pPr>
      <w:r>
        <w:rPr>
          <w:rFonts w:hint="cs"/>
          <w:rtl/>
        </w:rPr>
        <w:t>ההתקשרויות לביצוע עבודות התכנון</w:t>
      </w:r>
    </w:p>
    <w:p w14:paraId="410606E6" w14:textId="77777777" w:rsidR="009A28D9" w:rsidRDefault="009A28D9" w:rsidP="008A12DF">
      <w:pPr>
        <w:pStyle w:val="414"/>
        <w:rPr>
          <w:rtl/>
        </w:rPr>
      </w:pPr>
      <w:r w:rsidRPr="007C7318">
        <w:rPr>
          <w:rFonts w:hint="cs"/>
          <w:rtl/>
        </w:rPr>
        <w:t>סדרי בחירת החברות המתכננות</w:t>
      </w:r>
    </w:p>
    <w:p w14:paraId="7A6A03A5" w14:textId="77777777" w:rsidR="009A28D9" w:rsidRDefault="009A28D9" w:rsidP="008A12DF">
      <w:pPr>
        <w:pStyle w:val="100"/>
        <w:rPr>
          <w:rtl/>
        </w:rPr>
      </w:pPr>
      <w:r>
        <w:rPr>
          <w:rFonts w:hint="cs"/>
          <w:rtl/>
        </w:rPr>
        <w:t xml:space="preserve">רמ"י ומשרד הבינוי הם גופים של המדינה, וככלל עליהם לבצע את התקשרויותיהם על פי הוראות </w:t>
      </w:r>
      <w:r>
        <w:rPr>
          <w:rtl/>
        </w:rPr>
        <w:t>חוק חובת המכרזים, התשנ"ב</w:t>
      </w:r>
      <w:r>
        <w:rPr>
          <w:rFonts w:hint="cs"/>
          <w:rtl/>
        </w:rPr>
        <w:t>-1992</w:t>
      </w:r>
      <w:r>
        <w:rPr>
          <w:rtl/>
        </w:rPr>
        <w:t xml:space="preserve">, </w:t>
      </w:r>
      <w:r>
        <w:rPr>
          <w:rFonts w:hint="cs"/>
          <w:rtl/>
        </w:rPr>
        <w:t xml:space="preserve">על פי </w:t>
      </w:r>
      <w:r>
        <w:rPr>
          <w:rtl/>
        </w:rPr>
        <w:t>תקנות חובת</w:t>
      </w:r>
      <w:r>
        <w:rPr>
          <w:rFonts w:hint="cs"/>
          <w:rtl/>
        </w:rPr>
        <w:t xml:space="preserve"> </w:t>
      </w:r>
      <w:r>
        <w:rPr>
          <w:rtl/>
        </w:rPr>
        <w:t>המכרזים, התשנ"ג</w:t>
      </w:r>
      <w:r>
        <w:rPr>
          <w:rFonts w:hint="cs"/>
          <w:rtl/>
        </w:rPr>
        <w:t xml:space="preserve">-1993 (להלן - התקנות), ועל פי </w:t>
      </w:r>
      <w:r>
        <w:rPr>
          <w:rtl/>
        </w:rPr>
        <w:t xml:space="preserve">תקנון כספים ומשק </w:t>
      </w:r>
      <w:r>
        <w:rPr>
          <w:rFonts w:hint="cs"/>
          <w:rtl/>
        </w:rPr>
        <w:t xml:space="preserve">שמפרסם </w:t>
      </w:r>
      <w:r>
        <w:rPr>
          <w:rtl/>
        </w:rPr>
        <w:t>החשב</w:t>
      </w:r>
      <w:r>
        <w:rPr>
          <w:rFonts w:hint="cs"/>
          <w:rtl/>
        </w:rPr>
        <w:t xml:space="preserve"> </w:t>
      </w:r>
      <w:r>
        <w:rPr>
          <w:rtl/>
        </w:rPr>
        <w:t xml:space="preserve">הכללי </w:t>
      </w:r>
      <w:r>
        <w:rPr>
          <w:rFonts w:hint="cs"/>
          <w:rtl/>
        </w:rPr>
        <w:t>(להלן - הוראות תכ"ם)</w:t>
      </w:r>
      <w:r>
        <w:rPr>
          <w:rtl/>
        </w:rPr>
        <w:t xml:space="preserve">. </w:t>
      </w:r>
    </w:p>
    <w:p w14:paraId="30F2DD76" w14:textId="77777777" w:rsidR="009A28D9" w:rsidRPr="001B54C6" w:rsidRDefault="009A28D9" w:rsidP="008A12DF">
      <w:pPr>
        <w:pStyle w:val="100"/>
        <w:rPr>
          <w:rtl/>
        </w:rPr>
      </w:pPr>
      <w:r w:rsidRPr="001B54C6">
        <w:rPr>
          <w:rtl/>
        </w:rPr>
        <w:t xml:space="preserve">על פי </w:t>
      </w:r>
      <w:r>
        <w:rPr>
          <w:rFonts w:hint="cs"/>
          <w:rtl/>
        </w:rPr>
        <w:t>ה</w:t>
      </w:r>
      <w:r w:rsidRPr="001B54C6">
        <w:rPr>
          <w:rtl/>
        </w:rPr>
        <w:t>תק</w:t>
      </w:r>
      <w:r>
        <w:rPr>
          <w:rtl/>
        </w:rPr>
        <w:t>נות</w:t>
      </w:r>
      <w:r>
        <w:rPr>
          <w:rStyle w:val="FootnoteReference"/>
          <w:rtl/>
        </w:rPr>
        <w:footnoteReference w:id="21"/>
      </w:r>
      <w:r>
        <w:rPr>
          <w:rtl/>
        </w:rPr>
        <w:t>, מכרז מסגרת הוא מכרז פומבי</w:t>
      </w:r>
      <w:r>
        <w:rPr>
          <w:rStyle w:val="FootnoteReference"/>
          <w:rtl/>
        </w:rPr>
        <w:footnoteReference w:id="22"/>
      </w:r>
      <w:r>
        <w:rPr>
          <w:rtl/>
        </w:rPr>
        <w:t xml:space="preserve"> </w:t>
      </w:r>
      <w:r w:rsidRPr="001B54C6">
        <w:rPr>
          <w:rtl/>
        </w:rPr>
        <w:t xml:space="preserve">שנבחר בו יותר מספק אחד (להלן - ספק מכרז מסגרת), ועם כל אחד מאותם ספקים יש לחתום </w:t>
      </w:r>
      <w:r>
        <w:rPr>
          <w:rFonts w:hint="cs"/>
          <w:rtl/>
        </w:rPr>
        <w:t xml:space="preserve">על </w:t>
      </w:r>
      <w:r w:rsidRPr="001B54C6">
        <w:rPr>
          <w:rtl/>
        </w:rPr>
        <w:t>הסכ</w:t>
      </w:r>
      <w:r>
        <w:rPr>
          <w:rFonts w:hint="cs"/>
          <w:rtl/>
        </w:rPr>
        <w:t>ם</w:t>
      </w:r>
      <w:r w:rsidRPr="001B54C6">
        <w:rPr>
          <w:rtl/>
        </w:rPr>
        <w:t xml:space="preserve"> מסגרת על פי תנאי המכרז</w:t>
      </w:r>
      <w:r w:rsidRPr="00D82826">
        <w:rPr>
          <w:rtl/>
        </w:rPr>
        <w:t>.</w:t>
      </w:r>
      <w:r w:rsidRPr="001B54C6">
        <w:rPr>
          <w:rtl/>
        </w:rPr>
        <w:t xml:space="preserve"> עוד נקבע </w:t>
      </w:r>
      <w:r>
        <w:rPr>
          <w:rFonts w:hint="cs"/>
          <w:rtl/>
        </w:rPr>
        <w:t>בתקנות</w:t>
      </w:r>
      <w:r w:rsidRPr="001B54C6">
        <w:rPr>
          <w:rtl/>
        </w:rPr>
        <w:t xml:space="preserve"> כי זהות הספק ש</w:t>
      </w:r>
      <w:r>
        <w:rPr>
          <w:rFonts w:hint="cs"/>
          <w:rtl/>
        </w:rPr>
        <w:t>י</w:t>
      </w:r>
      <w:r w:rsidRPr="001B54C6">
        <w:rPr>
          <w:rtl/>
        </w:rPr>
        <w:t xml:space="preserve">בצע בפועל כל הזמנה של טובין, </w:t>
      </w:r>
      <w:r>
        <w:rPr>
          <w:rFonts w:hint="cs"/>
          <w:rtl/>
        </w:rPr>
        <w:t xml:space="preserve">של </w:t>
      </w:r>
      <w:r w:rsidRPr="001B54C6">
        <w:rPr>
          <w:rtl/>
        </w:rPr>
        <w:t xml:space="preserve">עבודה או </w:t>
      </w:r>
      <w:r>
        <w:rPr>
          <w:rFonts w:hint="cs"/>
          <w:rtl/>
        </w:rPr>
        <w:t xml:space="preserve">של </w:t>
      </w:r>
      <w:r w:rsidRPr="001B54C6">
        <w:rPr>
          <w:rtl/>
        </w:rPr>
        <w:t>שירותים תיקבע מפעם לפעם בתקופת הסכם המסגרת, לפי תנאי מכרז המסגרת.</w:t>
      </w:r>
    </w:p>
    <w:p w14:paraId="1AA7112E" w14:textId="77777777" w:rsidR="009A28D9" w:rsidRDefault="009A28D9" w:rsidP="008A12DF">
      <w:pPr>
        <w:pStyle w:val="100"/>
        <w:rPr>
          <w:rFonts w:ascii="Arial" w:eastAsia="Times New Roman" w:hAnsi="Arial"/>
          <w:color w:val="000000"/>
          <w:sz w:val="24"/>
          <w:rtl/>
        </w:rPr>
      </w:pPr>
      <w:r>
        <w:rPr>
          <w:rFonts w:hint="cs"/>
          <w:rtl/>
        </w:rPr>
        <w:lastRenderedPageBreak/>
        <w:t xml:space="preserve">לצורך קידום פעולות התכנון וביצוען התקשרו רמ"י בשנת 2015 ומשרד הבינוי בשנת 2016 בדרך של מכרז עם 14 ו-15 חברות (בהתאמה) שעוסקות בתחום (להלן - חברות מתכננות). </w:t>
      </w:r>
      <w:r>
        <w:rPr>
          <w:rFonts w:ascii="Arial" w:eastAsia="Times New Roman" w:hAnsi="Arial" w:hint="cs"/>
          <w:color w:val="000000"/>
          <w:sz w:val="24"/>
          <w:rtl/>
        </w:rPr>
        <w:t xml:space="preserve">מטרת המכרזים הייתה לבחור כמה ספקים אשר מהם יבחרו מפעם לפעם את מי שיספק שירותים לקידום פעולות התכנון באתרים שונים, כפי שיקבעו רמ"י ומשרד הבינוי. בין פעולות תכנון אלה יהיו הכנת פרוגרמות ותכנון ראשוני, והכנת תוכניות שלד, תוכניות אב, תוכניות מתאר ותוכניות מפורטות, לרבות טיפול בכל הליכי אישורן במוסדות התכנון. מכרז זה, כפי שעולה ממהותו, הוא מכרז מסגרת. בהסכמים </w:t>
      </w:r>
      <w:r w:rsidRPr="008A12DF">
        <w:rPr>
          <w:rFonts w:ascii="Arial" w:eastAsia="Times New Roman" w:hAnsi="Arial" w:hint="cs"/>
          <w:color w:val="000000"/>
          <w:spacing w:val="-10"/>
          <w:sz w:val="24"/>
          <w:rtl/>
        </w:rPr>
        <w:t>שנחתמו</w:t>
      </w:r>
      <w:r>
        <w:rPr>
          <w:rFonts w:ascii="Arial" w:eastAsia="Times New Roman" w:hAnsi="Arial" w:hint="cs"/>
          <w:color w:val="000000"/>
          <w:sz w:val="24"/>
          <w:rtl/>
        </w:rPr>
        <w:t xml:space="preserve"> </w:t>
      </w:r>
      <w:r>
        <w:rPr>
          <w:rFonts w:hint="cs"/>
          <w:rtl/>
        </w:rPr>
        <w:t xml:space="preserve">בעקבות המכרזים </w:t>
      </w:r>
      <w:r>
        <w:rPr>
          <w:rFonts w:ascii="Arial" w:eastAsia="Times New Roman" w:hAnsi="Arial" w:hint="cs"/>
          <w:color w:val="000000"/>
          <w:sz w:val="24"/>
          <w:rtl/>
        </w:rPr>
        <w:t xml:space="preserve">עם החברות </w:t>
      </w:r>
      <w:r w:rsidRPr="00D82826">
        <w:rPr>
          <w:rFonts w:hint="cs"/>
          <w:rtl/>
        </w:rPr>
        <w:t>נקבעו</w:t>
      </w:r>
      <w:r>
        <w:rPr>
          <w:rFonts w:hint="cs"/>
          <w:rtl/>
        </w:rPr>
        <w:t xml:space="preserve">, בין היתר, </w:t>
      </w:r>
      <w:r w:rsidRPr="00D82826">
        <w:rPr>
          <w:rFonts w:hint="cs"/>
          <w:rtl/>
        </w:rPr>
        <w:t xml:space="preserve">אופן מסירת עבודת התכנון לחברה </w:t>
      </w:r>
      <w:r>
        <w:rPr>
          <w:rFonts w:hint="cs"/>
          <w:rtl/>
        </w:rPr>
        <w:t>ו</w:t>
      </w:r>
      <w:r w:rsidRPr="00D82826">
        <w:rPr>
          <w:rFonts w:hint="cs"/>
          <w:rtl/>
        </w:rPr>
        <w:t>אופן חישוב התמורה בגין ביצוע התכנון וניהולו</w:t>
      </w:r>
      <w:r>
        <w:rPr>
          <w:rFonts w:ascii="Arial" w:eastAsia="Times New Roman" w:hAnsi="Arial" w:hint="cs"/>
          <w:color w:val="000000"/>
          <w:sz w:val="24"/>
          <w:rtl/>
        </w:rPr>
        <w:t xml:space="preserve">. יצוין כי ביוני 2019 פרסמה רמ"י מכרז חדש למתן שירות תכנון וניהול תכנון, ונכון למועד סיום הביקורת הוא נמצא בשלב הגשת הצעות בידי ספקים. </w:t>
      </w:r>
    </w:p>
    <w:p w14:paraId="50BD2E9B" w14:textId="77777777" w:rsidR="009A28D9" w:rsidRDefault="009A28D9" w:rsidP="008A12DF">
      <w:pPr>
        <w:pStyle w:val="100"/>
        <w:rPr>
          <w:rFonts w:ascii="Arial" w:eastAsia="Times New Roman" w:hAnsi="Arial"/>
          <w:color w:val="000000"/>
          <w:sz w:val="24"/>
          <w:rtl/>
        </w:rPr>
      </w:pPr>
      <w:r>
        <w:rPr>
          <w:rFonts w:ascii="Arial" w:eastAsia="Times New Roman" w:hAnsi="Arial" w:hint="cs"/>
          <w:color w:val="000000"/>
          <w:sz w:val="24"/>
          <w:rtl/>
        </w:rPr>
        <w:t>בתרשימים להלן מוצגת, במונחים כספיים, חלוקת העבודה בין החברות המתכננות ברמ"י ובמשרד הבינוי.</w:t>
      </w:r>
    </w:p>
    <w:p w14:paraId="04B1C3DC" w14:textId="77777777" w:rsidR="009A28D9" w:rsidRDefault="009A28D9" w:rsidP="009A28D9">
      <w:pPr>
        <w:spacing w:line="269" w:lineRule="auto"/>
        <w:rPr>
          <w:rtl/>
        </w:rPr>
      </w:pPr>
    </w:p>
    <w:p w14:paraId="32B37057" w14:textId="77777777" w:rsidR="009A28D9" w:rsidRPr="008A12DF" w:rsidRDefault="009A28D9" w:rsidP="008A12DF">
      <w:pPr>
        <w:pStyle w:val="a6"/>
        <w:rPr>
          <w:b/>
          <w:bCs/>
          <w:spacing w:val="-8"/>
          <w:rtl/>
        </w:rPr>
      </w:pPr>
      <w:r w:rsidRPr="008A12DF">
        <w:rPr>
          <w:rFonts w:hint="cs"/>
          <w:spacing w:val="-8"/>
          <w:rtl/>
        </w:rPr>
        <w:t xml:space="preserve">תרשים 6: </w:t>
      </w:r>
      <w:r w:rsidRPr="008A12DF">
        <w:rPr>
          <w:rFonts w:hint="cs"/>
          <w:b/>
          <w:bCs/>
          <w:spacing w:val="-8"/>
          <w:rtl/>
        </w:rPr>
        <w:t>חלוקת העבודה בין החברות המתכננות ברמ"י, 2015 - 2019 (במיליוני ש"ח)</w:t>
      </w:r>
    </w:p>
    <w:p w14:paraId="23DB8D50" w14:textId="77777777" w:rsidR="009A28D9" w:rsidRDefault="009A28D9" w:rsidP="008A12DF">
      <w:pPr>
        <w:pStyle w:val="a6"/>
        <w:rPr>
          <w:rtl/>
        </w:rPr>
      </w:pPr>
      <w:r>
        <w:rPr>
          <w:noProof/>
        </w:rPr>
        <w:drawing>
          <wp:inline distT="0" distB="0" distL="0" distR="0" wp14:anchorId="0BC35E79" wp14:editId="610C0279">
            <wp:extent cx="4572000" cy="2743200"/>
            <wp:effectExtent l="0" t="0" r="0" b="0"/>
            <wp:docPr id="18" name="תרשים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8C8F6BA" w14:textId="77777777" w:rsidR="009A28D9" w:rsidRDefault="009A28D9" w:rsidP="008A12DF">
      <w:pPr>
        <w:pStyle w:val="a8"/>
        <w:rPr>
          <w:rtl/>
        </w:rPr>
      </w:pPr>
      <w:r w:rsidRPr="00A75171">
        <w:rPr>
          <w:rFonts w:hint="cs"/>
          <w:rtl/>
        </w:rPr>
        <w:t>על פי נתוני רמ"י, בעיבוד משרד מבקר המדינה</w:t>
      </w:r>
      <w:r>
        <w:rPr>
          <w:rFonts w:hint="cs"/>
          <w:rtl/>
        </w:rPr>
        <w:t>.</w:t>
      </w:r>
    </w:p>
    <w:p w14:paraId="10AE0E0C" w14:textId="77777777" w:rsidR="009A28D9" w:rsidRPr="00A75171" w:rsidRDefault="009A28D9" w:rsidP="009A28D9">
      <w:pPr>
        <w:spacing w:line="269" w:lineRule="auto"/>
        <w:jc w:val="left"/>
        <w:rPr>
          <w:sz w:val="18"/>
          <w:szCs w:val="22"/>
          <w:rtl/>
        </w:rPr>
      </w:pPr>
    </w:p>
    <w:p w14:paraId="005D98FC" w14:textId="77777777" w:rsidR="009A28D9" w:rsidRPr="001B2E9B" w:rsidRDefault="009A28D9" w:rsidP="009A28D9">
      <w:pPr>
        <w:spacing w:line="269" w:lineRule="auto"/>
        <w:rPr>
          <w:rtl/>
        </w:rPr>
      </w:pPr>
    </w:p>
    <w:p w14:paraId="21C2BEFC" w14:textId="77777777" w:rsidR="009A28D9" w:rsidRDefault="009A28D9" w:rsidP="009A28D9">
      <w:pPr>
        <w:spacing w:line="269" w:lineRule="auto"/>
        <w:jc w:val="center"/>
        <w:rPr>
          <w:b/>
          <w:bCs/>
          <w:rtl/>
        </w:rPr>
      </w:pPr>
    </w:p>
    <w:p w14:paraId="33E8A1E4" w14:textId="77777777" w:rsidR="008A12DF" w:rsidRDefault="008A12DF">
      <w:pPr>
        <w:bidi w:val="0"/>
        <w:spacing w:after="200" w:line="276" w:lineRule="auto"/>
        <w:rPr>
          <w:b/>
          <w:bCs/>
          <w:rtl/>
        </w:rPr>
      </w:pPr>
      <w:r>
        <w:rPr>
          <w:b/>
          <w:bCs/>
          <w:rtl/>
        </w:rPr>
        <w:br w:type="page"/>
      </w:r>
    </w:p>
    <w:p w14:paraId="47258F4E" w14:textId="78C836BB" w:rsidR="009A28D9" w:rsidRPr="008A12DF" w:rsidRDefault="009A28D9" w:rsidP="008A12DF">
      <w:pPr>
        <w:pStyle w:val="a6"/>
        <w:rPr>
          <w:b/>
          <w:bCs/>
          <w:rtl/>
        </w:rPr>
      </w:pPr>
      <w:r>
        <w:rPr>
          <w:rFonts w:hint="cs"/>
          <w:rtl/>
        </w:rPr>
        <w:lastRenderedPageBreak/>
        <w:t>תרשים 7</w:t>
      </w:r>
      <w:r w:rsidRPr="00336D5F">
        <w:rPr>
          <w:rFonts w:hint="cs"/>
          <w:rtl/>
        </w:rPr>
        <w:t xml:space="preserve">: </w:t>
      </w:r>
      <w:r w:rsidRPr="008A12DF">
        <w:rPr>
          <w:rFonts w:eastAsia="Times New Roman" w:hint="cs"/>
          <w:b/>
          <w:bCs/>
          <w:rtl/>
        </w:rPr>
        <w:t>חלוקת העבודה בין החברות המתכננות במשרד הבינוי,</w:t>
      </w:r>
      <w:r w:rsidRPr="008A12DF">
        <w:rPr>
          <w:rFonts w:hint="cs"/>
          <w:b/>
          <w:bCs/>
          <w:rtl/>
        </w:rPr>
        <w:t xml:space="preserve"> 2017 - 2019 (במיליוני ש"ח</w:t>
      </w:r>
      <w:r w:rsidRPr="008A12DF">
        <w:rPr>
          <w:b/>
          <w:bCs/>
          <w:rtl/>
        </w:rPr>
        <w:t>)</w:t>
      </w:r>
    </w:p>
    <w:p w14:paraId="624FF913" w14:textId="77777777" w:rsidR="009A28D9" w:rsidRDefault="009A28D9" w:rsidP="00D5503B">
      <w:pPr>
        <w:pStyle w:val="a6"/>
        <w:rPr>
          <w:rtl/>
        </w:rPr>
      </w:pPr>
      <w:r>
        <w:rPr>
          <w:noProof/>
        </w:rPr>
        <w:drawing>
          <wp:inline distT="0" distB="0" distL="0" distR="0" wp14:anchorId="24C7D6D7" wp14:editId="2189CBC0">
            <wp:extent cx="4572000" cy="2743200"/>
            <wp:effectExtent l="0" t="0" r="0" b="0"/>
            <wp:docPr id="6" name="תרשים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1133933" w14:textId="77777777" w:rsidR="009A28D9" w:rsidRPr="00A75171" w:rsidRDefault="009A28D9" w:rsidP="00D5503B">
      <w:pPr>
        <w:pStyle w:val="a8"/>
        <w:rPr>
          <w:rtl/>
        </w:rPr>
      </w:pPr>
      <w:r w:rsidRPr="00A75171">
        <w:rPr>
          <w:rFonts w:hint="cs"/>
          <w:rtl/>
        </w:rPr>
        <w:t xml:space="preserve">על פי נתוני </w:t>
      </w:r>
      <w:r>
        <w:rPr>
          <w:rFonts w:hint="cs"/>
          <w:rtl/>
        </w:rPr>
        <w:t>משרד הבינוי</w:t>
      </w:r>
      <w:r w:rsidRPr="00A75171">
        <w:rPr>
          <w:rFonts w:hint="cs"/>
          <w:rtl/>
        </w:rPr>
        <w:t>, בעיבוד משרד מבקר המדינה</w:t>
      </w:r>
      <w:r>
        <w:rPr>
          <w:rFonts w:hint="cs"/>
          <w:rtl/>
        </w:rPr>
        <w:t>.</w:t>
      </w:r>
    </w:p>
    <w:p w14:paraId="49863790" w14:textId="331BCE2C" w:rsidR="009A28D9" w:rsidRDefault="009A28D9" w:rsidP="009A28D9">
      <w:pPr>
        <w:spacing w:line="269" w:lineRule="auto"/>
        <w:rPr>
          <w:rtl/>
        </w:rPr>
      </w:pPr>
      <w:r>
        <w:rPr>
          <w:rFonts w:ascii="Arial" w:eastAsia="Times New Roman" w:hAnsi="Arial" w:hint="cs"/>
          <w:color w:val="000000"/>
          <w:sz w:val="24"/>
          <w:rtl/>
        </w:rPr>
        <w:t xml:space="preserve"> </w:t>
      </w:r>
    </w:p>
    <w:p w14:paraId="3D0E6794" w14:textId="77777777" w:rsidR="009A28D9" w:rsidRDefault="009A28D9" w:rsidP="00D5503B">
      <w:pPr>
        <w:pStyle w:val="100"/>
        <w:rPr>
          <w:rtl/>
        </w:rPr>
      </w:pPr>
      <w:r>
        <w:rPr>
          <w:rFonts w:hint="cs"/>
          <w:rtl/>
        </w:rPr>
        <w:t>ב</w:t>
      </w:r>
      <w:r w:rsidRPr="001B54C6">
        <w:rPr>
          <w:rtl/>
        </w:rPr>
        <w:t>תקנות</w:t>
      </w:r>
      <w:r>
        <w:rPr>
          <w:rStyle w:val="FootnoteReference"/>
          <w:rtl/>
        </w:rPr>
        <w:footnoteReference w:id="23"/>
      </w:r>
      <w:r w:rsidRPr="001B54C6">
        <w:rPr>
          <w:rtl/>
        </w:rPr>
        <w:t xml:space="preserve"> </w:t>
      </w:r>
      <w:r>
        <w:rPr>
          <w:rFonts w:hint="cs"/>
          <w:rtl/>
        </w:rPr>
        <w:t>נ</w:t>
      </w:r>
      <w:r w:rsidRPr="001B54C6">
        <w:rPr>
          <w:rtl/>
        </w:rPr>
        <w:t>קבע</w:t>
      </w:r>
      <w:r>
        <w:rPr>
          <w:rFonts w:hint="cs"/>
          <w:rtl/>
        </w:rPr>
        <w:t xml:space="preserve"> כי</w:t>
      </w:r>
      <w:r w:rsidRPr="001B54C6">
        <w:rPr>
          <w:rtl/>
        </w:rPr>
        <w:t xml:space="preserve"> </w:t>
      </w:r>
      <w:r>
        <w:rPr>
          <w:rFonts w:hint="cs"/>
          <w:rtl/>
        </w:rPr>
        <w:t xml:space="preserve">בביצוע </w:t>
      </w:r>
      <w:r w:rsidRPr="001B54C6">
        <w:rPr>
          <w:rtl/>
        </w:rPr>
        <w:t xml:space="preserve">הזמנה </w:t>
      </w:r>
      <w:r>
        <w:rPr>
          <w:rFonts w:hint="cs"/>
          <w:rtl/>
        </w:rPr>
        <w:t>בעקבות מכרז מסגרת</w:t>
      </w:r>
      <w:r w:rsidRPr="001B54C6">
        <w:rPr>
          <w:rtl/>
        </w:rPr>
        <w:t xml:space="preserve"> </w:t>
      </w:r>
      <w:r>
        <w:rPr>
          <w:rFonts w:hint="cs"/>
          <w:rtl/>
        </w:rPr>
        <w:t xml:space="preserve">תפנה </w:t>
      </w:r>
      <w:r w:rsidRPr="001B54C6">
        <w:rPr>
          <w:rtl/>
        </w:rPr>
        <w:t xml:space="preserve">ועדת המכרזים לקבלת הצעות מכל ספקי </w:t>
      </w:r>
      <w:r>
        <w:rPr>
          <w:rFonts w:hint="cs"/>
          <w:rtl/>
        </w:rPr>
        <w:t>ה</w:t>
      </w:r>
      <w:r w:rsidRPr="001B54C6">
        <w:rPr>
          <w:rtl/>
        </w:rPr>
        <w:t xml:space="preserve">מכרז, בדרך שנקבעה </w:t>
      </w:r>
      <w:r>
        <w:rPr>
          <w:rFonts w:hint="cs"/>
          <w:rtl/>
        </w:rPr>
        <w:t>בו</w:t>
      </w:r>
      <w:r w:rsidRPr="001B54C6">
        <w:rPr>
          <w:rtl/>
        </w:rPr>
        <w:t xml:space="preserve"> (</w:t>
      </w:r>
      <w:r>
        <w:rPr>
          <w:rFonts w:hint="cs"/>
          <w:rtl/>
        </w:rPr>
        <w:t>להלן</w:t>
      </w:r>
      <w:r w:rsidRPr="001B54C6">
        <w:rPr>
          <w:rtl/>
        </w:rPr>
        <w:t xml:space="preserve"> - פנייה פרטנית)</w:t>
      </w:r>
      <w:r>
        <w:rPr>
          <w:rFonts w:hint="cs"/>
          <w:rtl/>
        </w:rPr>
        <w:t>,</w:t>
      </w:r>
      <w:r w:rsidRPr="001B54C6">
        <w:rPr>
          <w:rtl/>
        </w:rPr>
        <w:t xml:space="preserve"> </w:t>
      </w:r>
      <w:r>
        <w:rPr>
          <w:rFonts w:hint="cs"/>
          <w:rtl/>
        </w:rPr>
        <w:t>ו</w:t>
      </w:r>
      <w:r w:rsidRPr="001B54C6">
        <w:rPr>
          <w:rtl/>
        </w:rPr>
        <w:t>ספקי מכרז המסגרת יגישו את הצעותיהם במענה לפנייה הפרטנית על פי תנאי ההתקשרות שנקבעו במכרז</w:t>
      </w:r>
      <w:r>
        <w:rPr>
          <w:rFonts w:hint="cs"/>
          <w:rtl/>
        </w:rPr>
        <w:t>.</w:t>
      </w:r>
      <w:r w:rsidRPr="001B54C6">
        <w:rPr>
          <w:rtl/>
        </w:rPr>
        <w:t xml:space="preserve"> ועדת המכרזים</w:t>
      </w:r>
      <w:r>
        <w:rPr>
          <w:rStyle w:val="FootnoteReference"/>
          <w:rtl/>
        </w:rPr>
        <w:footnoteReference w:id="24"/>
      </w:r>
      <w:r>
        <w:rPr>
          <w:rFonts w:hint="cs"/>
          <w:rtl/>
        </w:rPr>
        <w:t xml:space="preserve"> </w:t>
      </w:r>
      <w:r w:rsidRPr="001B54C6">
        <w:rPr>
          <w:rtl/>
        </w:rPr>
        <w:t xml:space="preserve">תבחר בספק שיספק את ההזמנה הפרטנית בהתאם לתנאי </w:t>
      </w:r>
      <w:r>
        <w:rPr>
          <w:rFonts w:hint="cs"/>
          <w:rtl/>
        </w:rPr>
        <w:t>ה</w:t>
      </w:r>
      <w:r w:rsidRPr="001B54C6">
        <w:rPr>
          <w:rtl/>
        </w:rPr>
        <w:t>מכרז.</w:t>
      </w:r>
      <w:r>
        <w:rPr>
          <w:rFonts w:hint="cs"/>
          <w:rtl/>
        </w:rPr>
        <w:t xml:space="preserve"> </w:t>
      </w:r>
    </w:p>
    <w:p w14:paraId="151937CB" w14:textId="77777777" w:rsidR="009A28D9" w:rsidRDefault="009A28D9" w:rsidP="00D5503B">
      <w:pPr>
        <w:pStyle w:val="100"/>
        <w:rPr>
          <w:rFonts w:ascii="Arial" w:eastAsia="Times New Roman" w:hAnsi="Arial"/>
          <w:color w:val="000000"/>
          <w:sz w:val="24"/>
          <w:rtl/>
        </w:rPr>
      </w:pPr>
      <w:r>
        <w:rPr>
          <w:rFonts w:hint="cs"/>
          <w:rtl/>
        </w:rPr>
        <w:t>במסמכי המכרזים</w:t>
      </w:r>
      <w:r w:rsidRPr="00E968F3">
        <w:rPr>
          <w:rtl/>
        </w:rPr>
        <w:t xml:space="preserve"> של </w:t>
      </w:r>
      <w:r w:rsidRPr="00E968F3">
        <w:rPr>
          <w:rFonts w:hint="eastAsia"/>
          <w:rtl/>
        </w:rPr>
        <w:t>רמ</w:t>
      </w:r>
      <w:r w:rsidRPr="00E968F3">
        <w:rPr>
          <w:rtl/>
        </w:rPr>
        <w:t xml:space="preserve">"י ושל משרד הבינוי </w:t>
      </w:r>
      <w:r>
        <w:rPr>
          <w:rFonts w:hint="cs"/>
          <w:rtl/>
        </w:rPr>
        <w:t>ל</w:t>
      </w:r>
      <w:r w:rsidRPr="00E968F3">
        <w:rPr>
          <w:rFonts w:hint="eastAsia"/>
          <w:rtl/>
        </w:rPr>
        <w:t>ביצוע</w:t>
      </w:r>
      <w:r w:rsidRPr="00E968F3">
        <w:rPr>
          <w:rtl/>
        </w:rPr>
        <w:t xml:space="preserve"> </w:t>
      </w:r>
      <w:r w:rsidRPr="00E968F3">
        <w:rPr>
          <w:rFonts w:hint="eastAsia"/>
          <w:rtl/>
        </w:rPr>
        <w:t>פעולות</w:t>
      </w:r>
      <w:r w:rsidRPr="00E968F3">
        <w:rPr>
          <w:rtl/>
        </w:rPr>
        <w:t xml:space="preserve"> </w:t>
      </w:r>
      <w:r w:rsidRPr="00E968F3">
        <w:rPr>
          <w:rFonts w:hint="eastAsia"/>
          <w:rtl/>
        </w:rPr>
        <w:t>התכנון</w:t>
      </w:r>
      <w:r w:rsidRPr="00E968F3">
        <w:rPr>
          <w:rtl/>
        </w:rPr>
        <w:t xml:space="preserve"> נקבע </w:t>
      </w:r>
      <w:r>
        <w:rPr>
          <w:rFonts w:hint="cs"/>
          <w:rtl/>
        </w:rPr>
        <w:t>ש</w:t>
      </w:r>
      <w:r w:rsidRPr="00E968F3">
        <w:rPr>
          <w:rFonts w:hint="eastAsia"/>
          <w:rtl/>
        </w:rPr>
        <w:t>לצורך</w:t>
      </w:r>
      <w:r w:rsidRPr="00E968F3">
        <w:rPr>
          <w:rtl/>
        </w:rPr>
        <w:t xml:space="preserve"> </w:t>
      </w:r>
      <w:r w:rsidRPr="00E968F3">
        <w:rPr>
          <w:rFonts w:hint="eastAsia"/>
          <w:rtl/>
        </w:rPr>
        <w:t>ביצוע</w:t>
      </w:r>
      <w:r w:rsidRPr="00E968F3">
        <w:rPr>
          <w:rtl/>
        </w:rPr>
        <w:t xml:space="preserve"> </w:t>
      </w:r>
      <w:r w:rsidRPr="00E968F3">
        <w:rPr>
          <w:rFonts w:hint="eastAsia"/>
          <w:rtl/>
        </w:rPr>
        <w:t>העבודה</w:t>
      </w:r>
      <w:r w:rsidRPr="00E968F3">
        <w:rPr>
          <w:rtl/>
        </w:rPr>
        <w:t xml:space="preserve"> </w:t>
      </w:r>
      <w:r>
        <w:rPr>
          <w:rFonts w:hint="cs"/>
          <w:rtl/>
        </w:rPr>
        <w:t>יפנו</w:t>
      </w:r>
      <w:r w:rsidRPr="00E968F3">
        <w:rPr>
          <w:rtl/>
        </w:rPr>
        <w:t xml:space="preserve"> הגופים </w:t>
      </w:r>
      <w:r>
        <w:rPr>
          <w:rFonts w:hint="cs"/>
          <w:rtl/>
        </w:rPr>
        <w:t xml:space="preserve">בכל פעם </w:t>
      </w:r>
      <w:r w:rsidRPr="00E968F3">
        <w:rPr>
          <w:rFonts w:hint="eastAsia"/>
          <w:rtl/>
        </w:rPr>
        <w:t>לאחת</w:t>
      </w:r>
      <w:r w:rsidRPr="00E968F3">
        <w:rPr>
          <w:rtl/>
        </w:rPr>
        <w:t xml:space="preserve"> </w:t>
      </w:r>
      <w:r>
        <w:rPr>
          <w:rFonts w:hint="cs"/>
          <w:rtl/>
        </w:rPr>
        <w:t>מה</w:t>
      </w:r>
      <w:r w:rsidRPr="00E968F3">
        <w:rPr>
          <w:rFonts w:hint="eastAsia"/>
          <w:rtl/>
        </w:rPr>
        <w:t>חברות</w:t>
      </w:r>
      <w:r w:rsidRPr="00E968F3">
        <w:rPr>
          <w:rtl/>
        </w:rPr>
        <w:t xml:space="preserve"> </w:t>
      </w:r>
      <w:r w:rsidRPr="00E968F3">
        <w:rPr>
          <w:rFonts w:hint="eastAsia"/>
          <w:rtl/>
        </w:rPr>
        <w:t>שנבחר</w:t>
      </w:r>
      <w:r>
        <w:rPr>
          <w:rFonts w:hint="cs"/>
          <w:rtl/>
        </w:rPr>
        <w:t>ו</w:t>
      </w:r>
      <w:r w:rsidRPr="00E968F3">
        <w:rPr>
          <w:rtl/>
        </w:rPr>
        <w:t xml:space="preserve"> </w:t>
      </w:r>
      <w:r w:rsidRPr="00E968F3">
        <w:rPr>
          <w:rFonts w:hint="eastAsia"/>
          <w:rtl/>
        </w:rPr>
        <w:t>במכרז</w:t>
      </w:r>
      <w:r w:rsidRPr="00E968F3">
        <w:rPr>
          <w:rtl/>
        </w:rPr>
        <w:t xml:space="preserve">. </w:t>
      </w:r>
      <w:r w:rsidRPr="00E968F3">
        <w:rPr>
          <w:rFonts w:hint="eastAsia"/>
          <w:rtl/>
        </w:rPr>
        <w:t>בפנ</w:t>
      </w:r>
      <w:r>
        <w:rPr>
          <w:rFonts w:hint="cs"/>
          <w:rtl/>
        </w:rPr>
        <w:t>י</w:t>
      </w:r>
      <w:r w:rsidRPr="00E968F3">
        <w:rPr>
          <w:rFonts w:hint="eastAsia"/>
          <w:rtl/>
        </w:rPr>
        <w:t>יה</w:t>
      </w:r>
      <w:r w:rsidRPr="00E968F3">
        <w:rPr>
          <w:rtl/>
        </w:rPr>
        <w:t xml:space="preserve"> </w:t>
      </w:r>
      <w:r>
        <w:rPr>
          <w:rFonts w:hint="cs"/>
          <w:rtl/>
        </w:rPr>
        <w:t xml:space="preserve">לחברה </w:t>
      </w:r>
      <w:r w:rsidRPr="00E968F3">
        <w:rPr>
          <w:rtl/>
        </w:rPr>
        <w:t>יפ</w:t>
      </w:r>
      <w:r>
        <w:rPr>
          <w:rFonts w:hint="cs"/>
          <w:rtl/>
        </w:rPr>
        <w:t>ו</w:t>
      </w:r>
      <w:r w:rsidRPr="00E968F3">
        <w:rPr>
          <w:rtl/>
        </w:rPr>
        <w:t xml:space="preserve">רטו </w:t>
      </w:r>
      <w:r w:rsidRPr="00E968F3">
        <w:rPr>
          <w:rFonts w:hint="eastAsia"/>
          <w:rtl/>
        </w:rPr>
        <w:t>התנאים</w:t>
      </w:r>
      <w:r w:rsidRPr="00E968F3">
        <w:rPr>
          <w:rtl/>
        </w:rPr>
        <w:t xml:space="preserve"> </w:t>
      </w:r>
      <w:r w:rsidRPr="00E968F3">
        <w:rPr>
          <w:rFonts w:hint="eastAsia"/>
          <w:rtl/>
        </w:rPr>
        <w:t>והמטלות</w:t>
      </w:r>
      <w:r w:rsidRPr="00E968F3">
        <w:rPr>
          <w:rtl/>
        </w:rPr>
        <w:t xml:space="preserve"> </w:t>
      </w:r>
      <w:r w:rsidRPr="00E968F3">
        <w:rPr>
          <w:rFonts w:hint="eastAsia"/>
          <w:rtl/>
        </w:rPr>
        <w:t>לביצוע</w:t>
      </w:r>
      <w:r w:rsidRPr="00E968F3">
        <w:rPr>
          <w:rtl/>
        </w:rPr>
        <w:t xml:space="preserve"> </w:t>
      </w:r>
      <w:r w:rsidRPr="00E968F3">
        <w:rPr>
          <w:rFonts w:hint="eastAsia"/>
          <w:rtl/>
        </w:rPr>
        <w:t>העבודה</w:t>
      </w:r>
      <w:r w:rsidRPr="00E968F3">
        <w:rPr>
          <w:rtl/>
        </w:rPr>
        <w:t xml:space="preserve"> הנדרשת. החברה </w:t>
      </w:r>
      <w:r>
        <w:rPr>
          <w:rFonts w:hint="cs"/>
          <w:rtl/>
        </w:rPr>
        <w:t>תידרש לה</w:t>
      </w:r>
      <w:r w:rsidRPr="00E968F3">
        <w:rPr>
          <w:rFonts w:hint="eastAsia"/>
          <w:rtl/>
        </w:rPr>
        <w:t>צי</w:t>
      </w:r>
      <w:r>
        <w:rPr>
          <w:rFonts w:hint="cs"/>
          <w:rtl/>
        </w:rPr>
        <w:t>ג</w:t>
      </w:r>
      <w:r w:rsidRPr="00E968F3">
        <w:rPr>
          <w:rtl/>
        </w:rPr>
        <w:t xml:space="preserve"> לוח זמנים, </w:t>
      </w:r>
      <w:r>
        <w:rPr>
          <w:rFonts w:hint="cs"/>
          <w:rtl/>
        </w:rPr>
        <w:t xml:space="preserve">את </w:t>
      </w:r>
      <w:r w:rsidRPr="00E968F3">
        <w:rPr>
          <w:rtl/>
        </w:rPr>
        <w:t xml:space="preserve">רשימת </w:t>
      </w:r>
      <w:r>
        <w:rPr>
          <w:rFonts w:hint="cs"/>
          <w:rtl/>
        </w:rPr>
        <w:t>ה</w:t>
      </w:r>
      <w:r w:rsidRPr="00E968F3">
        <w:rPr>
          <w:rtl/>
        </w:rPr>
        <w:t xml:space="preserve">צוות </w:t>
      </w:r>
      <w:r>
        <w:rPr>
          <w:rFonts w:hint="cs"/>
          <w:rtl/>
        </w:rPr>
        <w:t>ה</w:t>
      </w:r>
      <w:r w:rsidRPr="00E968F3">
        <w:rPr>
          <w:rtl/>
        </w:rPr>
        <w:t>מקצועי לביצוע העבודה ו</w:t>
      </w:r>
      <w:r>
        <w:rPr>
          <w:rFonts w:hint="cs"/>
          <w:rtl/>
        </w:rPr>
        <w:t xml:space="preserve">את </w:t>
      </w:r>
      <w:r w:rsidRPr="00E968F3">
        <w:rPr>
          <w:rtl/>
        </w:rPr>
        <w:t xml:space="preserve">חלוקת התמורה לכל מרכיביה. </w:t>
      </w:r>
    </w:p>
    <w:p w14:paraId="1A952DCB" w14:textId="77777777" w:rsidR="009A28D9" w:rsidRPr="00844F94" w:rsidRDefault="009A28D9" w:rsidP="00D5503B">
      <w:pPr>
        <w:pStyle w:val="af1"/>
        <w:rPr>
          <w:rtl/>
        </w:rPr>
      </w:pPr>
      <w:r w:rsidRPr="00844F94">
        <w:rPr>
          <w:rFonts w:hint="eastAsia"/>
          <w:rtl/>
        </w:rPr>
        <w:t>יוצא</w:t>
      </w:r>
      <w:r w:rsidRPr="00844F94">
        <w:rPr>
          <w:rtl/>
        </w:rPr>
        <w:t xml:space="preserve"> </w:t>
      </w:r>
      <w:r w:rsidRPr="00844F94">
        <w:rPr>
          <w:rFonts w:hint="eastAsia"/>
          <w:rtl/>
        </w:rPr>
        <w:t>אפוא</w:t>
      </w:r>
      <w:r w:rsidRPr="00844F94">
        <w:rPr>
          <w:rtl/>
        </w:rPr>
        <w:t xml:space="preserve"> כי </w:t>
      </w:r>
      <w:r w:rsidRPr="00844F94">
        <w:rPr>
          <w:rFonts w:hint="eastAsia"/>
          <w:rtl/>
        </w:rPr>
        <w:t>בהליך</w:t>
      </w:r>
      <w:r w:rsidRPr="00844F94">
        <w:rPr>
          <w:rtl/>
        </w:rPr>
        <w:t xml:space="preserve"> </w:t>
      </w:r>
      <w:r w:rsidRPr="00844F94">
        <w:rPr>
          <w:rFonts w:hint="eastAsia"/>
          <w:rtl/>
        </w:rPr>
        <w:t>של</w:t>
      </w:r>
      <w:r w:rsidRPr="00844F94">
        <w:rPr>
          <w:rtl/>
        </w:rPr>
        <w:t xml:space="preserve"> </w:t>
      </w:r>
      <w:r w:rsidRPr="00844F94">
        <w:rPr>
          <w:rFonts w:hint="eastAsia"/>
          <w:rtl/>
        </w:rPr>
        <w:t>בחירת</w:t>
      </w:r>
      <w:r w:rsidRPr="00844F94">
        <w:rPr>
          <w:rtl/>
        </w:rPr>
        <w:t xml:space="preserve"> </w:t>
      </w:r>
      <w:r w:rsidRPr="00844F94">
        <w:rPr>
          <w:rFonts w:hint="eastAsia"/>
          <w:rtl/>
        </w:rPr>
        <w:t>חברה</w:t>
      </w:r>
      <w:r w:rsidRPr="00844F94">
        <w:rPr>
          <w:rtl/>
        </w:rPr>
        <w:t xml:space="preserve"> </w:t>
      </w:r>
      <w:r w:rsidRPr="00844F94">
        <w:rPr>
          <w:rFonts w:hint="eastAsia"/>
          <w:rtl/>
        </w:rPr>
        <w:t>מתכננת</w:t>
      </w:r>
      <w:r w:rsidRPr="00844F94">
        <w:rPr>
          <w:rtl/>
        </w:rPr>
        <w:t xml:space="preserve"> </w:t>
      </w:r>
      <w:r w:rsidRPr="00844F94">
        <w:rPr>
          <w:rFonts w:hint="eastAsia"/>
          <w:rtl/>
        </w:rPr>
        <w:t>לעבודת</w:t>
      </w:r>
      <w:r w:rsidRPr="00844F94">
        <w:rPr>
          <w:rtl/>
        </w:rPr>
        <w:t xml:space="preserve"> </w:t>
      </w:r>
      <w:r w:rsidRPr="00844F94">
        <w:rPr>
          <w:rFonts w:hint="eastAsia"/>
          <w:rtl/>
        </w:rPr>
        <w:t>תכנון</w:t>
      </w:r>
      <w:r w:rsidRPr="00844F94">
        <w:rPr>
          <w:rtl/>
        </w:rPr>
        <w:t xml:space="preserve">, </w:t>
      </w:r>
      <w:r w:rsidRPr="00844F94">
        <w:rPr>
          <w:rFonts w:hint="eastAsia"/>
          <w:rtl/>
        </w:rPr>
        <w:t>ועדות</w:t>
      </w:r>
      <w:r w:rsidRPr="00844F94">
        <w:rPr>
          <w:rtl/>
        </w:rPr>
        <w:t xml:space="preserve"> המכרזים</w:t>
      </w:r>
      <w:r w:rsidRPr="00844F94">
        <w:rPr>
          <w:rFonts w:hint="cs"/>
          <w:rtl/>
        </w:rPr>
        <w:t xml:space="preserve"> -</w:t>
      </w:r>
      <w:r w:rsidRPr="00844F94">
        <w:rPr>
          <w:rtl/>
        </w:rPr>
        <w:t xml:space="preserve"> </w:t>
      </w:r>
      <w:r w:rsidRPr="00844F94">
        <w:rPr>
          <w:rFonts w:hint="eastAsia"/>
          <w:rtl/>
        </w:rPr>
        <w:t>הן</w:t>
      </w:r>
      <w:r w:rsidRPr="00844F94">
        <w:rPr>
          <w:rtl/>
        </w:rPr>
        <w:t xml:space="preserve"> </w:t>
      </w:r>
      <w:r w:rsidRPr="00844F94">
        <w:rPr>
          <w:rFonts w:hint="eastAsia"/>
          <w:rtl/>
        </w:rPr>
        <w:t>ברמ</w:t>
      </w:r>
      <w:r w:rsidRPr="00844F94">
        <w:rPr>
          <w:rtl/>
        </w:rPr>
        <w:t xml:space="preserve">"י </w:t>
      </w:r>
      <w:r w:rsidRPr="00844F94">
        <w:rPr>
          <w:rFonts w:hint="eastAsia"/>
          <w:rtl/>
        </w:rPr>
        <w:t>הן</w:t>
      </w:r>
      <w:r w:rsidRPr="00844F94">
        <w:rPr>
          <w:rtl/>
        </w:rPr>
        <w:t xml:space="preserve"> </w:t>
      </w:r>
      <w:r w:rsidRPr="00844F94">
        <w:rPr>
          <w:rFonts w:hint="eastAsia"/>
          <w:rtl/>
        </w:rPr>
        <w:t>במשרד</w:t>
      </w:r>
      <w:r w:rsidRPr="00844F94">
        <w:rPr>
          <w:rtl/>
        </w:rPr>
        <w:t xml:space="preserve"> הבינוי</w:t>
      </w:r>
      <w:r w:rsidRPr="00844F94">
        <w:rPr>
          <w:rFonts w:hint="cs"/>
          <w:rtl/>
        </w:rPr>
        <w:t xml:space="preserve"> -</w:t>
      </w:r>
      <w:r w:rsidRPr="00844F94">
        <w:rPr>
          <w:rtl/>
        </w:rPr>
        <w:t xml:space="preserve"> אינן </w:t>
      </w:r>
      <w:r w:rsidRPr="00844F94">
        <w:rPr>
          <w:rFonts w:hint="eastAsia"/>
          <w:rtl/>
        </w:rPr>
        <w:t>פונות</w:t>
      </w:r>
      <w:r w:rsidRPr="00844F94">
        <w:rPr>
          <w:rtl/>
        </w:rPr>
        <w:t xml:space="preserve"> לקבלת הצעות מכל ספקי מכרז המסגרת</w:t>
      </w:r>
      <w:r w:rsidRPr="00844F94">
        <w:rPr>
          <w:rFonts w:hint="cs"/>
          <w:rtl/>
        </w:rPr>
        <w:t xml:space="preserve"> כנדרש בתקנות.</w:t>
      </w:r>
      <w:r w:rsidRPr="00844F94">
        <w:rPr>
          <w:rtl/>
        </w:rPr>
        <w:t xml:space="preserve"> </w:t>
      </w:r>
      <w:r w:rsidRPr="00844F94">
        <w:rPr>
          <w:rFonts w:hint="eastAsia"/>
          <w:rtl/>
        </w:rPr>
        <w:t>בפועל</w:t>
      </w:r>
      <w:r w:rsidRPr="00844F94">
        <w:rPr>
          <w:rtl/>
        </w:rPr>
        <w:t xml:space="preserve"> </w:t>
      </w:r>
      <w:r w:rsidRPr="00844F94">
        <w:rPr>
          <w:rFonts w:hint="eastAsia"/>
          <w:rtl/>
        </w:rPr>
        <w:t>זהות</w:t>
      </w:r>
      <w:r w:rsidRPr="00844F94">
        <w:rPr>
          <w:rtl/>
        </w:rPr>
        <w:t xml:space="preserve"> החברה </w:t>
      </w:r>
      <w:r w:rsidRPr="00844F94">
        <w:rPr>
          <w:rFonts w:hint="eastAsia"/>
          <w:rtl/>
        </w:rPr>
        <w:t>הנבחרת</w:t>
      </w:r>
      <w:r w:rsidRPr="00844F94">
        <w:rPr>
          <w:rtl/>
        </w:rPr>
        <w:t xml:space="preserve"> </w:t>
      </w:r>
      <w:r w:rsidRPr="00844F94">
        <w:rPr>
          <w:rFonts w:hint="eastAsia"/>
          <w:rtl/>
        </w:rPr>
        <w:t>נקבעת</w:t>
      </w:r>
      <w:r w:rsidRPr="00844F94">
        <w:rPr>
          <w:rtl/>
        </w:rPr>
        <w:t xml:space="preserve"> </w:t>
      </w:r>
      <w:r w:rsidRPr="00844F94">
        <w:rPr>
          <w:rFonts w:hint="eastAsia"/>
          <w:rtl/>
        </w:rPr>
        <w:t>על</w:t>
      </w:r>
      <w:r w:rsidRPr="00844F94">
        <w:rPr>
          <w:rtl/>
        </w:rPr>
        <w:t xml:space="preserve"> </w:t>
      </w:r>
      <w:r w:rsidRPr="00844F94">
        <w:rPr>
          <w:rFonts w:hint="eastAsia"/>
          <w:rtl/>
        </w:rPr>
        <w:t>יד</w:t>
      </w:r>
      <w:r w:rsidRPr="00844F94">
        <w:rPr>
          <w:rFonts w:hint="cs"/>
          <w:rtl/>
        </w:rPr>
        <w:t>י משרד הבינוי בהתאם לסבב מחזורי, ועל ידי רמ"י בהתאם לעומס העבודה שהוטל על החברות, ובמקרים מסוימים בהתאם לשיקולים מקצועיים ומומחיות הנדרשת מהחברה בביצוע העבודה.</w:t>
      </w:r>
      <w:r w:rsidRPr="00844F94">
        <w:rPr>
          <w:rtl/>
        </w:rPr>
        <w:t xml:space="preserve"> </w:t>
      </w:r>
    </w:p>
    <w:p w14:paraId="2D3DE337" w14:textId="77777777" w:rsidR="00D5503B" w:rsidRDefault="00D5503B">
      <w:pPr>
        <w:bidi w:val="0"/>
        <w:spacing w:after="200" w:line="276" w:lineRule="auto"/>
        <w:rPr>
          <w:rtl/>
        </w:rPr>
      </w:pPr>
      <w:r>
        <w:rPr>
          <w:rtl/>
        </w:rPr>
        <w:br w:type="page"/>
      </w:r>
    </w:p>
    <w:p w14:paraId="743A39CF" w14:textId="4CC14341" w:rsidR="009A28D9" w:rsidRDefault="009A28D9" w:rsidP="00D5503B">
      <w:pPr>
        <w:pStyle w:val="100"/>
        <w:rPr>
          <w:rtl/>
        </w:rPr>
      </w:pPr>
      <w:r>
        <w:rPr>
          <w:rFonts w:hint="cs"/>
          <w:rtl/>
        </w:rPr>
        <w:lastRenderedPageBreak/>
        <w:t>משרד הבינוי מסר בתשובתו כי ה</w:t>
      </w:r>
      <w:r>
        <w:rPr>
          <w:rtl/>
        </w:rPr>
        <w:t xml:space="preserve">מכרז </w:t>
      </w:r>
      <w:r>
        <w:rPr>
          <w:rFonts w:hint="cs"/>
          <w:rtl/>
        </w:rPr>
        <w:t xml:space="preserve">שבו נבחרו </w:t>
      </w:r>
      <w:r>
        <w:rPr>
          <w:rtl/>
        </w:rPr>
        <w:t>חברות מתכננות</w:t>
      </w:r>
      <w:r>
        <w:rPr>
          <w:rFonts w:hint="cs"/>
          <w:rtl/>
        </w:rPr>
        <w:t xml:space="preserve"> לצורך קידום פעולות התכנון הוא</w:t>
      </w:r>
      <w:r>
        <w:rPr>
          <w:rtl/>
        </w:rPr>
        <w:t xml:space="preserve"> מכרז פומבי</w:t>
      </w:r>
      <w:r>
        <w:rPr>
          <w:rFonts w:hint="cs"/>
          <w:rtl/>
        </w:rPr>
        <w:t xml:space="preserve"> שאינו מכרז מסגרת,</w:t>
      </w:r>
      <w:r>
        <w:rPr>
          <w:rtl/>
        </w:rPr>
        <w:t xml:space="preserve"> </w:t>
      </w:r>
      <w:r>
        <w:rPr>
          <w:rFonts w:hint="cs"/>
          <w:rtl/>
        </w:rPr>
        <w:t>ו</w:t>
      </w:r>
      <w:r>
        <w:rPr>
          <w:rtl/>
        </w:rPr>
        <w:t>״כללי</w:t>
      </w:r>
      <w:r>
        <w:rPr>
          <w:rFonts w:hint="cs"/>
          <w:rtl/>
        </w:rPr>
        <w:t xml:space="preserve"> </w:t>
      </w:r>
      <w:r>
        <w:rPr>
          <w:rtl/>
        </w:rPr>
        <w:t xml:space="preserve">המשחק״ </w:t>
      </w:r>
      <w:r>
        <w:rPr>
          <w:rFonts w:hint="cs"/>
          <w:rtl/>
        </w:rPr>
        <w:t xml:space="preserve">בו נקבעו </w:t>
      </w:r>
      <w:r>
        <w:rPr>
          <w:rtl/>
        </w:rPr>
        <w:t>בשלב הראשון, ועל בסיסם התקיימה התחרות בשלב המכרז הפומבי</w:t>
      </w:r>
      <w:r>
        <w:rPr>
          <w:rFonts w:hint="cs"/>
          <w:rtl/>
        </w:rPr>
        <w:t xml:space="preserve">. </w:t>
      </w:r>
      <w:r>
        <w:rPr>
          <w:rtl/>
        </w:rPr>
        <w:t xml:space="preserve">בכל רמת תכנון נקבעו </w:t>
      </w:r>
      <w:r>
        <w:rPr>
          <w:rFonts w:hint="cs"/>
          <w:rtl/>
        </w:rPr>
        <w:t>ודורגו כמה</w:t>
      </w:r>
      <w:r>
        <w:rPr>
          <w:rtl/>
        </w:rPr>
        <w:t xml:space="preserve"> זוכים לפי</w:t>
      </w:r>
      <w:r>
        <w:rPr>
          <w:rFonts w:hint="cs"/>
          <w:rtl/>
        </w:rPr>
        <w:t xml:space="preserve"> </w:t>
      </w:r>
      <w:r>
        <w:rPr>
          <w:rtl/>
        </w:rPr>
        <w:t>הכללים המפורטים במכרז</w:t>
      </w:r>
      <w:r>
        <w:rPr>
          <w:rFonts w:hint="cs"/>
          <w:rtl/>
        </w:rPr>
        <w:t>. הזמנה ראשונה של שירותי תכנון נעשית לפי הדירוג הראשוני, ולאחר מכן לפי סבב מחזורי.</w:t>
      </w:r>
    </w:p>
    <w:p w14:paraId="44C3F446" w14:textId="77777777" w:rsidR="009A28D9" w:rsidRPr="00844F94" w:rsidRDefault="009A28D9" w:rsidP="00D5503B">
      <w:pPr>
        <w:pStyle w:val="100"/>
        <w:rPr>
          <w:rtl/>
        </w:rPr>
      </w:pPr>
      <w:r>
        <w:rPr>
          <w:rFonts w:hint="cs"/>
          <w:rtl/>
        </w:rPr>
        <w:t>רמ"י מסרה בתשובתה כי בחירת הספקים בעקבות מכרז המסגרת נעשית בהתאם למה שנקבע במסמכי המכרז.</w:t>
      </w:r>
      <w:r w:rsidRPr="00920116">
        <w:rPr>
          <w:b/>
          <w:bCs/>
          <w:rtl/>
        </w:rPr>
        <w:t xml:space="preserve"> </w:t>
      </w:r>
    </w:p>
    <w:p w14:paraId="1C976D78" w14:textId="77777777" w:rsidR="009A28D9" w:rsidRDefault="009A28D9" w:rsidP="00D5503B">
      <w:pPr>
        <w:pStyle w:val="100"/>
        <w:rPr>
          <w:rtl/>
        </w:rPr>
      </w:pPr>
      <w:r w:rsidRPr="00B666C9">
        <w:rPr>
          <w:rFonts w:hint="cs"/>
          <w:rtl/>
        </w:rPr>
        <w:t>החשב הכללי</w:t>
      </w:r>
      <w:r>
        <w:rPr>
          <w:rFonts w:hint="cs"/>
          <w:rtl/>
        </w:rPr>
        <w:t xml:space="preserve"> מסר למשרד מבקר המדינה בתשובתו מפברואר 2020 כי </w:t>
      </w:r>
      <w:r>
        <w:rPr>
          <w:rtl/>
        </w:rPr>
        <w:t>משרדי הממשלה רשאים להפעיל שיקול דעת עצמאי בבחירת האופן המיטבי ל</w:t>
      </w:r>
      <w:r>
        <w:rPr>
          <w:rFonts w:hint="cs"/>
          <w:rtl/>
        </w:rPr>
        <w:t>ניהול</w:t>
      </w:r>
      <w:r>
        <w:rPr>
          <w:rtl/>
        </w:rPr>
        <w:t xml:space="preserve"> התקשרויות במכרז, כך שיענו על צ</w:t>
      </w:r>
      <w:r>
        <w:rPr>
          <w:rFonts w:hint="cs"/>
          <w:rtl/>
        </w:rPr>
        <w:t>ו</w:t>
      </w:r>
      <w:r>
        <w:rPr>
          <w:rtl/>
        </w:rPr>
        <w:t>רכיהם, והכ</w:t>
      </w:r>
      <w:r>
        <w:rPr>
          <w:rFonts w:hint="cs"/>
          <w:rtl/>
        </w:rPr>
        <w:t>ו</w:t>
      </w:r>
      <w:r>
        <w:rPr>
          <w:rtl/>
        </w:rPr>
        <w:t xml:space="preserve">ל בהתאם לחוק חובת המכרזים ותקנותיו </w:t>
      </w:r>
      <w:r>
        <w:rPr>
          <w:rFonts w:hint="cs"/>
          <w:rtl/>
        </w:rPr>
        <w:t>ול</w:t>
      </w:r>
      <w:r>
        <w:rPr>
          <w:rtl/>
        </w:rPr>
        <w:t>הוראות תכ"</w:t>
      </w:r>
      <w:r>
        <w:rPr>
          <w:rFonts w:hint="cs"/>
          <w:rtl/>
        </w:rPr>
        <w:t>ם</w:t>
      </w:r>
      <w:r>
        <w:rPr>
          <w:rtl/>
        </w:rPr>
        <w:t xml:space="preserve"> ולפי כל דין.</w:t>
      </w:r>
      <w:r>
        <w:rPr>
          <w:rFonts w:hint="cs"/>
          <w:rtl/>
        </w:rPr>
        <w:t xml:space="preserve"> </w:t>
      </w:r>
      <w:r>
        <w:rPr>
          <w:rtl/>
        </w:rPr>
        <w:t xml:space="preserve">מסמכי המכרז ופרסומו </w:t>
      </w:r>
      <w:r>
        <w:rPr>
          <w:rFonts w:hint="cs"/>
          <w:rtl/>
        </w:rPr>
        <w:t>מאושרים</w:t>
      </w:r>
      <w:r>
        <w:rPr>
          <w:rtl/>
        </w:rPr>
        <w:t xml:space="preserve"> ע</w:t>
      </w:r>
      <w:r>
        <w:rPr>
          <w:rFonts w:hint="cs"/>
          <w:rtl/>
        </w:rPr>
        <w:t>ל יד</w:t>
      </w:r>
      <w:r>
        <w:rPr>
          <w:rtl/>
        </w:rPr>
        <w:t xml:space="preserve">י ועדת המכרזים של המשרד, </w:t>
      </w:r>
      <w:r>
        <w:rPr>
          <w:rFonts w:hint="cs"/>
          <w:rtl/>
        </w:rPr>
        <w:t>ש</w:t>
      </w:r>
      <w:r>
        <w:rPr>
          <w:rtl/>
        </w:rPr>
        <w:t>בה חבר חשב המשרד או סגנו, שהם עובדי החשב הכללי, וככלל הם מונחים מקצועית ע</w:t>
      </w:r>
      <w:r>
        <w:rPr>
          <w:rFonts w:hint="cs"/>
          <w:rtl/>
        </w:rPr>
        <w:t>ל יד</w:t>
      </w:r>
      <w:r>
        <w:rPr>
          <w:rtl/>
        </w:rPr>
        <w:t>י מטה החשב הכללי.</w:t>
      </w:r>
      <w:r>
        <w:rPr>
          <w:rFonts w:hint="cs"/>
          <w:rtl/>
        </w:rPr>
        <w:t xml:space="preserve"> לעמדת החשב הכללי, אין</w:t>
      </w:r>
      <w:r>
        <w:rPr>
          <w:rtl/>
        </w:rPr>
        <w:t xml:space="preserve"> מקום להתערב בשיקול דעתן של ועדות המכרזים, והן רשאיות </w:t>
      </w:r>
      <w:r>
        <w:rPr>
          <w:rFonts w:hint="cs"/>
          <w:rtl/>
        </w:rPr>
        <w:t>לקיים</w:t>
      </w:r>
      <w:r>
        <w:rPr>
          <w:rtl/>
        </w:rPr>
        <w:t xml:space="preserve"> מכרזים שונים זה מזה להתקשרות עם חברות מתכננות בהתאם לצורכיהן.</w:t>
      </w:r>
    </w:p>
    <w:p w14:paraId="14C069E3" w14:textId="77777777" w:rsidR="009A28D9" w:rsidRPr="005D6E6F" w:rsidRDefault="009A28D9" w:rsidP="00D5503B">
      <w:pPr>
        <w:pStyle w:val="af1"/>
        <w:rPr>
          <w:rtl/>
        </w:rPr>
      </w:pPr>
      <w:r w:rsidRPr="005664CD">
        <w:rPr>
          <w:rFonts w:hint="eastAsia"/>
          <w:rtl/>
        </w:rPr>
        <w:t>נוכח</w:t>
      </w:r>
      <w:r w:rsidRPr="005664CD">
        <w:rPr>
          <w:rtl/>
        </w:rPr>
        <w:t xml:space="preserve"> </w:t>
      </w:r>
      <w:r w:rsidRPr="005664CD">
        <w:rPr>
          <w:rFonts w:hint="eastAsia"/>
          <w:rtl/>
        </w:rPr>
        <w:t>היעדר</w:t>
      </w:r>
      <w:r w:rsidRPr="005664CD">
        <w:rPr>
          <w:rtl/>
        </w:rPr>
        <w:t xml:space="preserve"> </w:t>
      </w:r>
      <w:r w:rsidRPr="005664CD">
        <w:rPr>
          <w:rFonts w:hint="eastAsia"/>
          <w:rtl/>
        </w:rPr>
        <w:t>אחידות</w:t>
      </w:r>
      <w:r w:rsidRPr="005664CD">
        <w:rPr>
          <w:rtl/>
        </w:rPr>
        <w:t xml:space="preserve"> </w:t>
      </w:r>
      <w:r w:rsidRPr="005664CD">
        <w:rPr>
          <w:rFonts w:hint="eastAsia"/>
          <w:rtl/>
        </w:rPr>
        <w:t>דעים</w:t>
      </w:r>
      <w:r>
        <w:rPr>
          <w:rFonts w:hint="cs"/>
          <w:rtl/>
        </w:rPr>
        <w:t xml:space="preserve"> בין הגופים </w:t>
      </w:r>
      <w:r w:rsidRPr="005664CD">
        <w:rPr>
          <w:rFonts w:hint="eastAsia"/>
          <w:rtl/>
        </w:rPr>
        <w:t>בכל</w:t>
      </w:r>
      <w:r w:rsidRPr="005664CD">
        <w:rPr>
          <w:rtl/>
        </w:rPr>
        <w:t xml:space="preserve"> </w:t>
      </w:r>
      <w:r w:rsidRPr="005664CD">
        <w:rPr>
          <w:rFonts w:hint="eastAsia"/>
          <w:rtl/>
        </w:rPr>
        <w:t>הנוגע</w:t>
      </w:r>
      <w:r w:rsidRPr="005664CD">
        <w:rPr>
          <w:rtl/>
        </w:rPr>
        <w:t xml:space="preserve"> </w:t>
      </w:r>
      <w:r w:rsidRPr="005664CD">
        <w:rPr>
          <w:rFonts w:hint="eastAsia"/>
          <w:rtl/>
        </w:rPr>
        <w:t>לסיווג</w:t>
      </w:r>
      <w:r w:rsidRPr="005664CD">
        <w:rPr>
          <w:rtl/>
        </w:rPr>
        <w:t xml:space="preserve"> </w:t>
      </w:r>
      <w:r w:rsidRPr="005664CD">
        <w:rPr>
          <w:rFonts w:hint="eastAsia"/>
          <w:rtl/>
        </w:rPr>
        <w:t>המכרזים</w:t>
      </w:r>
      <w:r>
        <w:rPr>
          <w:rFonts w:hint="cs"/>
          <w:rtl/>
        </w:rPr>
        <w:t xml:space="preserve"> כמכרזי מסגרת</w:t>
      </w:r>
      <w:r w:rsidRPr="005664CD">
        <w:rPr>
          <w:rtl/>
        </w:rPr>
        <w:t>,</w:t>
      </w:r>
      <w:r>
        <w:rPr>
          <w:rFonts w:hint="cs"/>
          <w:rtl/>
        </w:rPr>
        <w:t xml:space="preserve"> על</w:t>
      </w:r>
      <w:r w:rsidRPr="005664CD">
        <w:rPr>
          <w:rtl/>
        </w:rPr>
        <w:t xml:space="preserve"> משרד הבינוי, רמ"י והחשב הכללי </w:t>
      </w:r>
      <w:r>
        <w:rPr>
          <w:rFonts w:hint="cs"/>
          <w:rtl/>
        </w:rPr>
        <w:t>לבחון</w:t>
      </w:r>
      <w:r w:rsidRPr="005664CD">
        <w:rPr>
          <w:rtl/>
        </w:rPr>
        <w:t xml:space="preserve"> את </w:t>
      </w:r>
      <w:r>
        <w:rPr>
          <w:rFonts w:hint="cs"/>
          <w:rtl/>
        </w:rPr>
        <w:t xml:space="preserve">יישום </w:t>
      </w:r>
      <w:r w:rsidRPr="005664CD">
        <w:rPr>
          <w:rFonts w:hint="eastAsia"/>
          <w:rtl/>
        </w:rPr>
        <w:t>ההליכים</w:t>
      </w:r>
      <w:r w:rsidRPr="005664CD">
        <w:rPr>
          <w:rtl/>
        </w:rPr>
        <w:t xml:space="preserve"> הקיימים אל מול התקנות.</w:t>
      </w:r>
    </w:p>
    <w:p w14:paraId="1A3B579B" w14:textId="77777777" w:rsidR="009A28D9" w:rsidRDefault="009A28D9" w:rsidP="00597981">
      <w:pPr>
        <w:pStyle w:val="414"/>
        <w:rPr>
          <w:rtl/>
        </w:rPr>
      </w:pPr>
      <w:r>
        <w:rPr>
          <w:rFonts w:hint="cs"/>
          <w:rtl/>
        </w:rPr>
        <w:t xml:space="preserve">אמות המידה להערכת איכות הספקים במכרזים </w:t>
      </w:r>
    </w:p>
    <w:p w14:paraId="1D1B99FD" w14:textId="77777777" w:rsidR="009A28D9" w:rsidRDefault="009A28D9" w:rsidP="00D5503B">
      <w:pPr>
        <w:pStyle w:val="100"/>
        <w:rPr>
          <w:rtl/>
        </w:rPr>
      </w:pPr>
      <w:r>
        <w:rPr>
          <w:rFonts w:hint="cs"/>
          <w:rtl/>
        </w:rPr>
        <w:t>בעקבות "אסון ורסאי"</w:t>
      </w:r>
      <w:r>
        <w:rPr>
          <w:rStyle w:val="FootnoteReference"/>
          <w:rtl/>
        </w:rPr>
        <w:footnoteReference w:id="25"/>
      </w:r>
      <w:r>
        <w:rPr>
          <w:rFonts w:hint="cs"/>
          <w:rtl/>
        </w:rPr>
        <w:t xml:space="preserve"> </w:t>
      </w:r>
      <w:r w:rsidRPr="007077FD">
        <w:rPr>
          <w:rtl/>
        </w:rPr>
        <w:t>החליטה הממשלה להקים ועדת חקירה ממלכתית לעניין בטיחות מבנים ומקומות המשמשים ציבור</w:t>
      </w:r>
      <w:r>
        <w:rPr>
          <w:rFonts w:hint="cs"/>
          <w:rtl/>
        </w:rPr>
        <w:t xml:space="preserve">, בראשות </w:t>
      </w:r>
      <w:r w:rsidRPr="00E12074">
        <w:rPr>
          <w:rtl/>
        </w:rPr>
        <w:t xml:space="preserve">השופט </w:t>
      </w:r>
      <w:r w:rsidRPr="00E12074">
        <w:rPr>
          <w:rFonts w:hint="cs"/>
          <w:rtl/>
        </w:rPr>
        <w:t>ב</w:t>
      </w:r>
      <w:r w:rsidRPr="00E12074">
        <w:rPr>
          <w:rtl/>
        </w:rPr>
        <w:t>דימ</w:t>
      </w:r>
      <w:r w:rsidRPr="00E12074">
        <w:rPr>
          <w:rFonts w:hint="cs"/>
          <w:rtl/>
        </w:rPr>
        <w:t>' ורדימוס</w:t>
      </w:r>
      <w:r w:rsidRPr="00E12074">
        <w:rPr>
          <w:rtl/>
        </w:rPr>
        <w:t xml:space="preserve"> </w:t>
      </w:r>
      <w:r>
        <w:rPr>
          <w:rtl/>
        </w:rPr>
        <w:t>זילר</w:t>
      </w:r>
      <w:r w:rsidRPr="00E12074">
        <w:rPr>
          <w:rtl/>
        </w:rPr>
        <w:t xml:space="preserve"> </w:t>
      </w:r>
      <w:r w:rsidRPr="00E12074">
        <w:rPr>
          <w:rFonts w:hint="cs"/>
          <w:rtl/>
        </w:rPr>
        <w:t>ז</w:t>
      </w:r>
      <w:r w:rsidRPr="00E12074">
        <w:rPr>
          <w:rtl/>
        </w:rPr>
        <w:t>"ל</w:t>
      </w:r>
      <w:r>
        <w:rPr>
          <w:rFonts w:hint="cs"/>
          <w:rtl/>
        </w:rPr>
        <w:t xml:space="preserve"> (להלן - ועדת זילר)</w:t>
      </w:r>
      <w:r w:rsidRPr="007077FD">
        <w:rPr>
          <w:rtl/>
        </w:rPr>
        <w:t>.</w:t>
      </w:r>
      <w:r>
        <w:rPr>
          <w:rFonts w:hint="cs"/>
          <w:rtl/>
        </w:rPr>
        <w:t xml:space="preserve"> </w:t>
      </w:r>
      <w:r w:rsidRPr="00E12074">
        <w:rPr>
          <w:rFonts w:hint="cs"/>
          <w:sz w:val="24"/>
          <w:rtl/>
        </w:rPr>
        <w:t xml:space="preserve">בפברואר 2004 </w:t>
      </w:r>
      <w:r>
        <w:rPr>
          <w:rFonts w:hint="cs"/>
          <w:sz w:val="24"/>
          <w:rtl/>
        </w:rPr>
        <w:t xml:space="preserve">החליטה </w:t>
      </w:r>
      <w:r w:rsidRPr="00E12074">
        <w:rPr>
          <w:sz w:val="24"/>
          <w:rtl/>
        </w:rPr>
        <w:t>הממשלה</w:t>
      </w:r>
      <w:r>
        <w:rPr>
          <w:rStyle w:val="FootnoteReference"/>
          <w:sz w:val="24"/>
          <w:rtl/>
        </w:rPr>
        <w:footnoteReference w:id="26"/>
      </w:r>
      <w:r w:rsidRPr="00E12074">
        <w:rPr>
          <w:sz w:val="24"/>
          <w:rtl/>
        </w:rPr>
        <w:t xml:space="preserve"> ל</w:t>
      </w:r>
      <w:r w:rsidRPr="00E12074">
        <w:rPr>
          <w:rFonts w:hint="cs"/>
          <w:sz w:val="24"/>
          <w:rtl/>
        </w:rPr>
        <w:t>מנות</w:t>
      </w:r>
      <w:r w:rsidRPr="00E12074">
        <w:rPr>
          <w:sz w:val="24"/>
          <w:rtl/>
        </w:rPr>
        <w:t xml:space="preserve"> ועדת היגוי </w:t>
      </w:r>
      <w:r>
        <w:rPr>
          <w:rFonts w:hint="cs"/>
          <w:sz w:val="24"/>
          <w:rtl/>
        </w:rPr>
        <w:t>(להלן - ועדת ההיגוי)</w:t>
      </w:r>
      <w:r>
        <w:rPr>
          <w:rFonts w:hint="cs"/>
          <w:rtl/>
        </w:rPr>
        <w:t xml:space="preserve"> ש</w:t>
      </w:r>
      <w:r w:rsidRPr="00903B98">
        <w:rPr>
          <w:rtl/>
        </w:rPr>
        <w:t>תכין הצעה לת</w:t>
      </w:r>
      <w:r>
        <w:rPr>
          <w:rFonts w:hint="cs"/>
          <w:rtl/>
        </w:rPr>
        <w:t>ו</w:t>
      </w:r>
      <w:r w:rsidRPr="00903B98">
        <w:rPr>
          <w:rtl/>
        </w:rPr>
        <w:t>כנית פעולה ליישו</w:t>
      </w:r>
      <w:r>
        <w:rPr>
          <w:rFonts w:hint="cs"/>
          <w:rtl/>
        </w:rPr>
        <w:t xml:space="preserve">ם המלצות הוועדה. </w:t>
      </w:r>
      <w:r w:rsidRPr="00E12074">
        <w:rPr>
          <w:rFonts w:hint="cs"/>
          <w:rtl/>
        </w:rPr>
        <w:t>במרץ 2005 הגישה</w:t>
      </w:r>
      <w:r w:rsidRPr="00E12074">
        <w:rPr>
          <w:rtl/>
        </w:rPr>
        <w:t xml:space="preserve"> </w:t>
      </w:r>
      <w:r w:rsidRPr="00E12074">
        <w:rPr>
          <w:rFonts w:hint="cs"/>
          <w:rtl/>
        </w:rPr>
        <w:t>ועדת</w:t>
      </w:r>
      <w:r w:rsidRPr="00E12074">
        <w:rPr>
          <w:rtl/>
        </w:rPr>
        <w:t xml:space="preserve"> </w:t>
      </w:r>
      <w:r w:rsidRPr="00E12074">
        <w:rPr>
          <w:rFonts w:hint="cs"/>
          <w:rtl/>
        </w:rPr>
        <w:t>ההיגוי</w:t>
      </w:r>
      <w:r w:rsidRPr="00E12074">
        <w:rPr>
          <w:rtl/>
        </w:rPr>
        <w:t xml:space="preserve"> לממשלה את </w:t>
      </w:r>
      <w:r w:rsidRPr="00E12074">
        <w:rPr>
          <w:rFonts w:hint="cs"/>
          <w:rtl/>
        </w:rPr>
        <w:t>המלצותיה</w:t>
      </w:r>
      <w:r w:rsidRPr="00E12074">
        <w:rPr>
          <w:rtl/>
        </w:rPr>
        <w:t xml:space="preserve"> בדבר אופן </w:t>
      </w:r>
      <w:r w:rsidRPr="00E12074">
        <w:rPr>
          <w:rFonts w:hint="cs"/>
          <w:rtl/>
        </w:rPr>
        <w:t>היישום</w:t>
      </w:r>
      <w:r w:rsidRPr="00E12074">
        <w:rPr>
          <w:rtl/>
        </w:rPr>
        <w:t xml:space="preserve"> </w:t>
      </w:r>
      <w:r w:rsidRPr="00E12074">
        <w:rPr>
          <w:rFonts w:hint="cs"/>
          <w:rtl/>
        </w:rPr>
        <w:t>של</w:t>
      </w:r>
      <w:r w:rsidRPr="00E12074">
        <w:rPr>
          <w:rtl/>
        </w:rPr>
        <w:t xml:space="preserve"> </w:t>
      </w:r>
      <w:r>
        <w:rPr>
          <w:rFonts w:hint="cs"/>
          <w:rtl/>
        </w:rPr>
        <w:t xml:space="preserve">המלצות </w:t>
      </w:r>
      <w:r w:rsidRPr="00E12074">
        <w:rPr>
          <w:rFonts w:hint="cs"/>
          <w:rtl/>
        </w:rPr>
        <w:t>דוח</w:t>
      </w:r>
      <w:r w:rsidRPr="00E12074">
        <w:rPr>
          <w:rtl/>
        </w:rPr>
        <w:t xml:space="preserve"> ועדת </w:t>
      </w:r>
      <w:r>
        <w:rPr>
          <w:rFonts w:hint="cs"/>
          <w:rtl/>
        </w:rPr>
        <w:t>זילר</w:t>
      </w:r>
      <w:r w:rsidRPr="00E12074">
        <w:rPr>
          <w:rtl/>
        </w:rPr>
        <w:t>.</w:t>
      </w:r>
      <w:r>
        <w:rPr>
          <w:rFonts w:hint="cs"/>
          <w:rtl/>
        </w:rPr>
        <w:t xml:space="preserve"> </w:t>
      </w:r>
      <w:r w:rsidRPr="00E12074">
        <w:rPr>
          <w:rFonts w:hint="cs"/>
          <w:rtl/>
        </w:rPr>
        <w:t>בדצמבר 2006</w:t>
      </w:r>
      <w:r>
        <w:rPr>
          <w:rFonts w:hint="cs"/>
          <w:rtl/>
        </w:rPr>
        <w:t xml:space="preserve"> </w:t>
      </w:r>
      <w:r w:rsidRPr="00E12074">
        <w:rPr>
          <w:rtl/>
        </w:rPr>
        <w:t>קיבלה הממשלה החלטה</w:t>
      </w:r>
      <w:r>
        <w:rPr>
          <w:rStyle w:val="FootnoteReference"/>
          <w:rtl/>
        </w:rPr>
        <w:footnoteReference w:id="27"/>
      </w:r>
      <w:r>
        <w:rPr>
          <w:rtl/>
        </w:rPr>
        <w:t xml:space="preserve"> </w:t>
      </w:r>
      <w:r w:rsidRPr="00E12074">
        <w:rPr>
          <w:rFonts w:hint="cs"/>
          <w:rtl/>
        </w:rPr>
        <w:t>לפעול</w:t>
      </w:r>
      <w:r w:rsidRPr="00E12074">
        <w:rPr>
          <w:rtl/>
        </w:rPr>
        <w:t xml:space="preserve">, </w:t>
      </w:r>
      <w:r w:rsidRPr="00E12074">
        <w:rPr>
          <w:rFonts w:hint="cs"/>
          <w:rtl/>
        </w:rPr>
        <w:t>על</w:t>
      </w:r>
      <w:r w:rsidRPr="00E12074">
        <w:rPr>
          <w:rtl/>
        </w:rPr>
        <w:t xml:space="preserve"> פי </w:t>
      </w:r>
      <w:r w:rsidRPr="00E12074">
        <w:rPr>
          <w:rFonts w:hint="cs"/>
          <w:rtl/>
        </w:rPr>
        <w:t>המלצות</w:t>
      </w:r>
      <w:r w:rsidRPr="00E12074">
        <w:rPr>
          <w:rtl/>
        </w:rPr>
        <w:t xml:space="preserve"> </w:t>
      </w:r>
      <w:r w:rsidRPr="00E12074">
        <w:rPr>
          <w:rFonts w:hint="cs"/>
          <w:rtl/>
        </w:rPr>
        <w:t>דוח</w:t>
      </w:r>
      <w:r w:rsidRPr="00E12074">
        <w:rPr>
          <w:rtl/>
        </w:rPr>
        <w:t xml:space="preserve"> ועדת </w:t>
      </w:r>
      <w:r>
        <w:rPr>
          <w:rFonts w:hint="cs"/>
          <w:rtl/>
        </w:rPr>
        <w:t>זילר</w:t>
      </w:r>
      <w:r w:rsidRPr="00E12074">
        <w:rPr>
          <w:rtl/>
        </w:rPr>
        <w:t xml:space="preserve"> </w:t>
      </w:r>
      <w:r w:rsidRPr="00E12074">
        <w:rPr>
          <w:rFonts w:hint="cs"/>
          <w:rtl/>
        </w:rPr>
        <w:t>וועדת</w:t>
      </w:r>
      <w:r w:rsidRPr="00E12074">
        <w:rPr>
          <w:rtl/>
        </w:rPr>
        <w:t xml:space="preserve"> </w:t>
      </w:r>
      <w:r w:rsidRPr="00E12074">
        <w:rPr>
          <w:rFonts w:hint="cs"/>
          <w:rtl/>
        </w:rPr>
        <w:t>ההיגוי</w:t>
      </w:r>
      <w:r w:rsidRPr="00E12074">
        <w:rPr>
          <w:rtl/>
        </w:rPr>
        <w:t>, להסדרת מכלול הנושאים הקובעים את איכות</w:t>
      </w:r>
      <w:r>
        <w:rPr>
          <w:rFonts w:hint="cs"/>
          <w:rtl/>
        </w:rPr>
        <w:t>ה של הבנייה ואת</w:t>
      </w:r>
      <w:r w:rsidRPr="00E12074">
        <w:rPr>
          <w:rtl/>
        </w:rPr>
        <w:t xml:space="preserve"> בטיחותה</w:t>
      </w:r>
      <w:r>
        <w:rPr>
          <w:rStyle w:val="FootnoteReference"/>
          <w:rtl/>
        </w:rPr>
        <w:footnoteReference w:id="28"/>
      </w:r>
      <w:r w:rsidRPr="00E12074">
        <w:rPr>
          <w:rtl/>
        </w:rPr>
        <w:t xml:space="preserve">, </w:t>
      </w:r>
      <w:r>
        <w:rPr>
          <w:rFonts w:hint="cs"/>
          <w:rtl/>
        </w:rPr>
        <w:t xml:space="preserve">ובכלל זה </w:t>
      </w:r>
      <w:r w:rsidRPr="00E12074">
        <w:rPr>
          <w:rFonts w:hint="cs"/>
          <w:rtl/>
        </w:rPr>
        <w:t>הסדרת</w:t>
      </w:r>
      <w:r w:rsidRPr="00E12074">
        <w:rPr>
          <w:rtl/>
        </w:rPr>
        <w:t xml:space="preserve"> </w:t>
      </w:r>
      <w:r>
        <w:rPr>
          <w:rFonts w:hint="cs"/>
          <w:rtl/>
        </w:rPr>
        <w:t xml:space="preserve">התקשרויות עם בעלי המקצוע בענף התכנון והבנייה. </w:t>
      </w:r>
    </w:p>
    <w:p w14:paraId="61C8CD7F" w14:textId="77777777" w:rsidR="009A28D9" w:rsidRDefault="009A28D9" w:rsidP="00D5503B">
      <w:pPr>
        <w:pStyle w:val="100"/>
        <w:rPr>
          <w:sz w:val="24"/>
          <w:rtl/>
          <w:lang w:eastAsia="he-IL"/>
        </w:rPr>
      </w:pPr>
      <w:r>
        <w:rPr>
          <w:rFonts w:hint="cs"/>
          <w:rtl/>
        </w:rPr>
        <w:t xml:space="preserve">ועדת ההיגוי בחנה לעומק את המלצות ועדת זילר בעניין התקשרויות עם מתכננים, וגם הובאו בפניה המלצות של גופים מקצועיים בתחום, ובהם הארגון הבין-לאומי של המהנדסים. הארגון ציין כי הוא </w:t>
      </w:r>
      <w:r w:rsidRPr="000518C7">
        <w:rPr>
          <w:rtl/>
        </w:rPr>
        <w:t>דוגל במדיניות של "מכרזים חכמים" שאומצה ברוב מדינות אר</w:t>
      </w:r>
      <w:r>
        <w:rPr>
          <w:rFonts w:hint="cs"/>
          <w:rtl/>
        </w:rPr>
        <w:t>צות הברית</w:t>
      </w:r>
      <w:r w:rsidRPr="000518C7">
        <w:rPr>
          <w:rtl/>
        </w:rPr>
        <w:t xml:space="preserve"> בפרויקטים ממשלתיים ובמדינות כמו אוסטרליה ויפן</w:t>
      </w:r>
      <w:r>
        <w:rPr>
          <w:rFonts w:hint="cs"/>
          <w:rtl/>
        </w:rPr>
        <w:t xml:space="preserve"> </w:t>
      </w:r>
      <w:r w:rsidRPr="000518C7">
        <w:rPr>
          <w:rtl/>
        </w:rPr>
        <w:t>כהנחיה לא מחייבת</w:t>
      </w:r>
      <w:r>
        <w:rPr>
          <w:rFonts w:hint="cs"/>
          <w:rtl/>
        </w:rPr>
        <w:t>, ו</w:t>
      </w:r>
      <w:r w:rsidRPr="000518C7">
        <w:rPr>
          <w:rtl/>
        </w:rPr>
        <w:t xml:space="preserve">לפיה </w:t>
      </w:r>
      <w:r>
        <w:rPr>
          <w:rFonts w:hint="cs"/>
          <w:rtl/>
        </w:rPr>
        <w:t xml:space="preserve">משקלו של </w:t>
      </w:r>
      <w:r w:rsidRPr="000518C7">
        <w:rPr>
          <w:rtl/>
        </w:rPr>
        <w:t xml:space="preserve">מרכיב האיכות </w:t>
      </w:r>
      <w:r w:rsidRPr="000518C7">
        <w:rPr>
          <w:rtl/>
        </w:rPr>
        <w:lastRenderedPageBreak/>
        <w:t>בהצעה יכול להגיע ל-80%</w:t>
      </w:r>
      <w:r>
        <w:rPr>
          <w:rFonts w:hint="cs"/>
          <w:rtl/>
        </w:rPr>
        <w:t xml:space="preserve"> עד </w:t>
      </w:r>
      <w:r w:rsidRPr="000518C7">
        <w:rPr>
          <w:rtl/>
        </w:rPr>
        <w:t>90% מסך הניקוד</w:t>
      </w:r>
      <w:r>
        <w:rPr>
          <w:rStyle w:val="FootnoteReference"/>
          <w:rtl/>
        </w:rPr>
        <w:footnoteReference w:id="29"/>
      </w:r>
      <w:r>
        <w:rPr>
          <w:rFonts w:hint="cs"/>
          <w:rtl/>
        </w:rPr>
        <w:t xml:space="preserve">. בהתאם, על פי ההמלצות של ועדת זילר ושל הגופים המקצועיים, השיטה להתקשרויות עם המתכננים "צריכה להיות כזו שתבטיח מחיר הוגן למתכנן ובחירה על-פי מרכיבי איכות", </w:t>
      </w:r>
      <w:r>
        <w:rPr>
          <w:rFonts w:hint="cs"/>
          <w:sz w:val="24"/>
          <w:rtl/>
          <w:lang w:eastAsia="he-IL"/>
        </w:rPr>
        <w:t>וכדי</w:t>
      </w:r>
      <w:r w:rsidRPr="00F713BD">
        <w:rPr>
          <w:sz w:val="24"/>
          <w:rtl/>
          <w:lang w:eastAsia="he-IL"/>
        </w:rPr>
        <w:t xml:space="preserve"> להשי</w:t>
      </w:r>
      <w:r>
        <w:rPr>
          <w:sz w:val="24"/>
          <w:rtl/>
          <w:lang w:eastAsia="he-IL"/>
        </w:rPr>
        <w:t xml:space="preserve">ג תכנון איכותי יש לקבוע </w:t>
      </w:r>
      <w:r>
        <w:rPr>
          <w:rFonts w:hint="cs"/>
          <w:sz w:val="24"/>
          <w:rtl/>
          <w:lang w:eastAsia="he-IL"/>
        </w:rPr>
        <w:t xml:space="preserve">בתנאי המכרז </w:t>
      </w:r>
      <w:r w:rsidRPr="00F713BD">
        <w:rPr>
          <w:sz w:val="24"/>
          <w:rtl/>
          <w:lang w:eastAsia="he-IL"/>
        </w:rPr>
        <w:t>פרמטרים</w:t>
      </w:r>
      <w:r>
        <w:rPr>
          <w:rFonts w:hint="cs"/>
          <w:sz w:val="24"/>
          <w:rtl/>
          <w:lang w:eastAsia="he-IL"/>
        </w:rPr>
        <w:t xml:space="preserve"> ואמות מידה</w:t>
      </w:r>
      <w:r w:rsidRPr="00F713BD">
        <w:rPr>
          <w:sz w:val="24"/>
          <w:rtl/>
          <w:lang w:eastAsia="he-IL"/>
        </w:rPr>
        <w:t xml:space="preserve"> </w:t>
      </w:r>
      <w:r>
        <w:rPr>
          <w:rFonts w:hint="cs"/>
          <w:sz w:val="24"/>
          <w:rtl/>
          <w:lang w:eastAsia="he-IL"/>
        </w:rPr>
        <w:t>ש</w:t>
      </w:r>
      <w:r w:rsidRPr="00F713BD">
        <w:rPr>
          <w:sz w:val="24"/>
          <w:rtl/>
          <w:lang w:eastAsia="he-IL"/>
        </w:rPr>
        <w:t xml:space="preserve">לפיהם יהיה </w:t>
      </w:r>
      <w:r>
        <w:rPr>
          <w:rFonts w:hint="cs"/>
          <w:sz w:val="24"/>
          <w:rtl/>
          <w:lang w:eastAsia="he-IL"/>
        </w:rPr>
        <w:t xml:space="preserve">אפשר </w:t>
      </w:r>
      <w:r w:rsidRPr="00F713BD">
        <w:rPr>
          <w:sz w:val="24"/>
          <w:rtl/>
          <w:lang w:eastAsia="he-IL"/>
        </w:rPr>
        <w:t xml:space="preserve">להעריך את איכות ההצעות לביצוע התכנון </w:t>
      </w:r>
      <w:r>
        <w:rPr>
          <w:rFonts w:hint="cs"/>
          <w:sz w:val="24"/>
          <w:rtl/>
          <w:lang w:eastAsia="he-IL"/>
        </w:rPr>
        <w:t xml:space="preserve">שמגישים מתכננים, </w:t>
      </w:r>
      <w:r w:rsidRPr="00F713BD">
        <w:rPr>
          <w:sz w:val="24"/>
          <w:rtl/>
          <w:lang w:eastAsia="he-IL"/>
        </w:rPr>
        <w:t>ובהם</w:t>
      </w:r>
      <w:r>
        <w:rPr>
          <w:rFonts w:hint="cs"/>
          <w:sz w:val="24"/>
          <w:rtl/>
          <w:lang w:eastAsia="he-IL"/>
        </w:rPr>
        <w:t>:</w:t>
      </w:r>
      <w:r w:rsidRPr="00F713BD">
        <w:rPr>
          <w:sz w:val="24"/>
          <w:rtl/>
          <w:lang w:eastAsia="he-IL"/>
        </w:rPr>
        <w:t xml:space="preserve"> השכלת המתכנן, ניסיון בעבודות קודמות, חוות דעת על עבודותיו הקודמות, צוות עובדים</w:t>
      </w:r>
      <w:r>
        <w:rPr>
          <w:rFonts w:hint="cs"/>
          <w:sz w:val="24"/>
          <w:rtl/>
          <w:lang w:eastAsia="he-IL"/>
        </w:rPr>
        <w:t xml:space="preserve"> ו</w:t>
      </w:r>
      <w:r w:rsidRPr="00F713BD">
        <w:rPr>
          <w:sz w:val="24"/>
          <w:rtl/>
          <w:lang w:eastAsia="he-IL"/>
        </w:rPr>
        <w:t>ציוד טכנולוגי העומד לרשותו.</w:t>
      </w:r>
    </w:p>
    <w:p w14:paraId="2D599606" w14:textId="77777777" w:rsidR="009A28D9" w:rsidRDefault="009A28D9" w:rsidP="00D5503B">
      <w:pPr>
        <w:pStyle w:val="100"/>
        <w:rPr>
          <w:rtl/>
        </w:rPr>
      </w:pPr>
      <w:r w:rsidRPr="004B74EE">
        <w:rPr>
          <w:rFonts w:hint="cs"/>
          <w:rtl/>
        </w:rPr>
        <w:t>במכרזים למתן שירותי תכנון</w:t>
      </w:r>
      <w:r w:rsidRPr="00F603CD">
        <w:rPr>
          <w:rFonts w:hint="cs"/>
          <w:rtl/>
        </w:rPr>
        <w:t xml:space="preserve"> של רמ"י </w:t>
      </w:r>
      <w:r>
        <w:rPr>
          <w:rFonts w:hint="cs"/>
          <w:rtl/>
        </w:rPr>
        <w:t xml:space="preserve">(מ-2014) </w:t>
      </w:r>
      <w:r w:rsidRPr="00F603CD">
        <w:rPr>
          <w:rFonts w:hint="cs"/>
          <w:rtl/>
        </w:rPr>
        <w:t xml:space="preserve">ושל משרד הבינוי </w:t>
      </w:r>
      <w:r>
        <w:rPr>
          <w:rFonts w:hint="cs"/>
          <w:rtl/>
        </w:rPr>
        <w:t xml:space="preserve">(מ-2015) </w:t>
      </w:r>
      <w:r w:rsidRPr="00F603CD">
        <w:rPr>
          <w:rFonts w:hint="cs"/>
          <w:rtl/>
        </w:rPr>
        <w:t xml:space="preserve">נקבע כי </w:t>
      </w:r>
      <w:r>
        <w:rPr>
          <w:rFonts w:hint="cs"/>
          <w:rtl/>
        </w:rPr>
        <w:t xml:space="preserve">החברות המתכננות שיזכו במכרז </w:t>
      </w:r>
      <w:r w:rsidRPr="00F603CD">
        <w:rPr>
          <w:rtl/>
        </w:rPr>
        <w:t>י</w:t>
      </w:r>
      <w:r>
        <w:rPr>
          <w:rFonts w:hint="cs"/>
          <w:rtl/>
        </w:rPr>
        <w:t>י</w:t>
      </w:r>
      <w:r w:rsidRPr="00F603CD">
        <w:rPr>
          <w:rtl/>
        </w:rPr>
        <w:t xml:space="preserve">בחרו </w:t>
      </w:r>
      <w:r>
        <w:rPr>
          <w:rFonts w:hint="cs"/>
          <w:rtl/>
        </w:rPr>
        <w:t>באמצעות</w:t>
      </w:r>
      <w:r w:rsidRPr="00F603CD">
        <w:rPr>
          <w:rtl/>
        </w:rPr>
        <w:t xml:space="preserve"> </w:t>
      </w:r>
      <w:r w:rsidRPr="00F603CD">
        <w:rPr>
          <w:rFonts w:hint="cs"/>
          <w:rtl/>
        </w:rPr>
        <w:t xml:space="preserve">קביעת ציון </w:t>
      </w:r>
      <w:r>
        <w:rPr>
          <w:rFonts w:hint="cs"/>
          <w:rtl/>
        </w:rPr>
        <w:t>לכל חברה. הציון י</w:t>
      </w:r>
      <w:r w:rsidRPr="00F603CD">
        <w:rPr>
          <w:rFonts w:hint="cs"/>
          <w:rtl/>
        </w:rPr>
        <w:t>שקלל</w:t>
      </w:r>
      <w:r w:rsidRPr="00F603CD">
        <w:rPr>
          <w:rtl/>
        </w:rPr>
        <w:t xml:space="preserve"> </w:t>
      </w:r>
      <w:r>
        <w:rPr>
          <w:rFonts w:hint="cs"/>
          <w:rtl/>
        </w:rPr>
        <w:t>את</w:t>
      </w:r>
      <w:r w:rsidRPr="00F603CD">
        <w:rPr>
          <w:rFonts w:hint="cs"/>
          <w:rtl/>
        </w:rPr>
        <w:t xml:space="preserve"> </w:t>
      </w:r>
      <w:r w:rsidRPr="00F603CD">
        <w:rPr>
          <w:rtl/>
        </w:rPr>
        <w:t>הערכת ה</w:t>
      </w:r>
      <w:r>
        <w:rPr>
          <w:rFonts w:hint="cs"/>
          <w:rtl/>
        </w:rPr>
        <w:t>ה</w:t>
      </w:r>
      <w:r w:rsidRPr="00F603CD">
        <w:rPr>
          <w:rtl/>
        </w:rPr>
        <w:t>תאמה של חלק מצוות ה</w:t>
      </w:r>
      <w:r>
        <w:rPr>
          <w:rFonts w:hint="cs"/>
          <w:rtl/>
        </w:rPr>
        <w:t>חברה</w:t>
      </w:r>
      <w:r>
        <w:rPr>
          <w:rStyle w:val="FootnoteReference"/>
          <w:rtl/>
        </w:rPr>
        <w:footnoteReference w:id="30"/>
      </w:r>
      <w:r w:rsidRPr="00F603CD">
        <w:rPr>
          <w:rtl/>
        </w:rPr>
        <w:t xml:space="preserve"> </w:t>
      </w:r>
      <w:r w:rsidRPr="00F603CD">
        <w:rPr>
          <w:rFonts w:hint="cs"/>
          <w:rtl/>
        </w:rPr>
        <w:t>(להלן - צוות הליבה)</w:t>
      </w:r>
      <w:r>
        <w:rPr>
          <w:rFonts w:hint="cs"/>
          <w:rtl/>
        </w:rPr>
        <w:t>,</w:t>
      </w:r>
      <w:r w:rsidRPr="00F603CD">
        <w:rPr>
          <w:rFonts w:hint="cs"/>
          <w:rtl/>
        </w:rPr>
        <w:t xml:space="preserve"> המבטא</w:t>
      </w:r>
      <w:r>
        <w:rPr>
          <w:rFonts w:hint="cs"/>
          <w:rtl/>
        </w:rPr>
        <w:t>ת</w:t>
      </w:r>
      <w:r w:rsidRPr="00F603CD">
        <w:rPr>
          <w:rFonts w:hint="cs"/>
          <w:rtl/>
        </w:rPr>
        <w:t xml:space="preserve"> את איכות ההצעה</w:t>
      </w:r>
      <w:r>
        <w:rPr>
          <w:rFonts w:hint="cs"/>
          <w:rtl/>
        </w:rPr>
        <w:t>,</w:t>
      </w:r>
      <w:r w:rsidRPr="00F603CD">
        <w:rPr>
          <w:rFonts w:hint="cs"/>
          <w:rtl/>
        </w:rPr>
        <w:t xml:space="preserve"> </w:t>
      </w:r>
      <w:r>
        <w:rPr>
          <w:rFonts w:hint="cs"/>
          <w:rtl/>
        </w:rPr>
        <w:t>עם</w:t>
      </w:r>
      <w:r w:rsidRPr="00F603CD">
        <w:rPr>
          <w:rFonts w:hint="cs"/>
          <w:rtl/>
        </w:rPr>
        <w:t xml:space="preserve"> </w:t>
      </w:r>
      <w:r w:rsidRPr="00F603CD">
        <w:rPr>
          <w:rtl/>
        </w:rPr>
        <w:t>ההצעה הכספית</w:t>
      </w:r>
      <w:r>
        <w:rPr>
          <w:rFonts w:hint="cs"/>
          <w:rtl/>
        </w:rPr>
        <w:t xml:space="preserve"> לביצוע העבודות</w:t>
      </w:r>
      <w:r>
        <w:rPr>
          <w:rStyle w:val="FootnoteReference"/>
          <w:rtl/>
        </w:rPr>
        <w:footnoteReference w:id="31"/>
      </w:r>
      <w:r w:rsidRPr="00F603CD">
        <w:rPr>
          <w:rFonts w:hint="cs"/>
          <w:rtl/>
        </w:rPr>
        <w:t xml:space="preserve">. </w:t>
      </w:r>
      <w:r>
        <w:rPr>
          <w:rFonts w:hint="cs"/>
          <w:rtl/>
        </w:rPr>
        <w:t xml:space="preserve">בציון הסופי </w:t>
      </w:r>
      <w:r w:rsidRPr="00F603CD">
        <w:rPr>
          <w:rFonts w:hint="cs"/>
          <w:rtl/>
        </w:rPr>
        <w:t xml:space="preserve">יינתן משקל של 80% </w:t>
      </w:r>
      <w:r>
        <w:rPr>
          <w:rFonts w:hint="cs"/>
          <w:rtl/>
        </w:rPr>
        <w:t>למרכיב של איכות ההצעה (</w:t>
      </w:r>
      <w:r w:rsidRPr="00F603CD">
        <w:rPr>
          <w:rFonts w:hint="cs"/>
          <w:rtl/>
        </w:rPr>
        <w:t xml:space="preserve">הערכת ההתאמה של </w:t>
      </w:r>
      <w:r>
        <w:rPr>
          <w:rFonts w:hint="cs"/>
          <w:rtl/>
        </w:rPr>
        <w:t>הצוות),</w:t>
      </w:r>
      <w:r w:rsidRPr="00F603CD">
        <w:rPr>
          <w:rFonts w:hint="cs"/>
          <w:rtl/>
        </w:rPr>
        <w:t xml:space="preserve"> ולהצעה הכספית </w:t>
      </w:r>
      <w:r>
        <w:rPr>
          <w:rFonts w:hint="cs"/>
          <w:rtl/>
        </w:rPr>
        <w:t>-</w:t>
      </w:r>
      <w:r w:rsidRPr="00F603CD">
        <w:rPr>
          <w:rFonts w:hint="cs"/>
          <w:rtl/>
        </w:rPr>
        <w:t xml:space="preserve"> 20%.</w:t>
      </w:r>
      <w:r>
        <w:rPr>
          <w:rFonts w:hint="cs"/>
          <w:rtl/>
        </w:rPr>
        <w:t xml:space="preserve"> מכאן שבמכרזי התכנון הדגש הוא על איכות ההצעה.</w:t>
      </w:r>
    </w:p>
    <w:p w14:paraId="662668DB" w14:textId="77777777" w:rsidR="009A28D9" w:rsidRDefault="009A28D9" w:rsidP="00D5503B">
      <w:pPr>
        <w:pStyle w:val="5115"/>
        <w:rPr>
          <w:rtl/>
        </w:rPr>
      </w:pPr>
      <w:r w:rsidRPr="00CD592F">
        <w:rPr>
          <w:rFonts w:hint="eastAsia"/>
          <w:rtl/>
        </w:rPr>
        <w:t>הערכת</w:t>
      </w:r>
      <w:r w:rsidRPr="00CD592F">
        <w:rPr>
          <w:rtl/>
        </w:rPr>
        <w:t xml:space="preserve"> </w:t>
      </w:r>
      <w:r w:rsidRPr="00CD592F">
        <w:rPr>
          <w:rFonts w:hint="eastAsia"/>
          <w:rtl/>
        </w:rPr>
        <w:t>חברות</w:t>
      </w:r>
      <w:r w:rsidRPr="00CD592F">
        <w:rPr>
          <w:rtl/>
        </w:rPr>
        <w:t xml:space="preserve"> </w:t>
      </w:r>
      <w:r w:rsidRPr="00CD592F">
        <w:rPr>
          <w:rFonts w:hint="eastAsia"/>
          <w:rtl/>
        </w:rPr>
        <w:t>מתכננות</w:t>
      </w:r>
    </w:p>
    <w:p w14:paraId="6A04B637" w14:textId="77777777" w:rsidR="009A28D9" w:rsidRPr="00D5503B" w:rsidRDefault="009A28D9" w:rsidP="00D5503B">
      <w:pPr>
        <w:pStyle w:val="a0"/>
        <w:numPr>
          <w:ilvl w:val="0"/>
          <w:numId w:val="17"/>
        </w:numPr>
        <w:rPr>
          <w:b/>
          <w:bCs/>
        </w:rPr>
      </w:pPr>
      <w:r>
        <w:rPr>
          <w:rFonts w:hint="cs"/>
          <w:rtl/>
        </w:rPr>
        <w:t xml:space="preserve">לצורך הערכת ההתאמה של הצוותים לביצוע העבודה, שהיא כאמור המרכיב המכריע בבחירה, נקבעו במכרזים של רמ"י (מ-2014) ושל משרד הבינוי (מ-2015) כמה אמות מידה, ובהן: </w:t>
      </w:r>
      <w:r w:rsidRPr="00654CB8">
        <w:rPr>
          <w:rFonts w:hint="cs"/>
          <w:rtl/>
        </w:rPr>
        <w:t xml:space="preserve">היקף </w:t>
      </w:r>
      <w:r>
        <w:rPr>
          <w:rFonts w:hint="cs"/>
          <w:rtl/>
        </w:rPr>
        <w:t>ה</w:t>
      </w:r>
      <w:r w:rsidRPr="00654CB8">
        <w:rPr>
          <w:rtl/>
        </w:rPr>
        <w:t xml:space="preserve">ניסיון של </w:t>
      </w:r>
      <w:r w:rsidRPr="00654CB8">
        <w:rPr>
          <w:rFonts w:hint="cs"/>
          <w:rtl/>
        </w:rPr>
        <w:t>צוות הליבה</w:t>
      </w:r>
      <w:r>
        <w:rPr>
          <w:rFonts w:hint="cs"/>
          <w:rtl/>
        </w:rPr>
        <w:t xml:space="preserve">; </w:t>
      </w:r>
      <w:r w:rsidRPr="00654CB8">
        <w:rPr>
          <w:rFonts w:hint="cs"/>
          <w:rtl/>
        </w:rPr>
        <w:t>מגוון התוכניות שת</w:t>
      </w:r>
      <w:r>
        <w:rPr>
          <w:rFonts w:hint="cs"/>
          <w:rtl/>
        </w:rPr>
        <w:t>כנן צוות הליבה (</w:t>
      </w:r>
      <w:r w:rsidRPr="00654CB8">
        <w:rPr>
          <w:rFonts w:hint="cs"/>
          <w:rtl/>
        </w:rPr>
        <w:t>מבחינ</w:t>
      </w:r>
      <w:r>
        <w:rPr>
          <w:rFonts w:hint="cs"/>
          <w:rtl/>
        </w:rPr>
        <w:t xml:space="preserve">ות כגון פריסה גיאוגרפית, ייעודי קרקע ושימושים); </w:t>
      </w:r>
      <w:r w:rsidRPr="00654CB8">
        <w:rPr>
          <w:rtl/>
        </w:rPr>
        <w:t>מורכבות התכנון</w:t>
      </w:r>
      <w:r>
        <w:rPr>
          <w:rFonts w:hint="cs"/>
          <w:rtl/>
        </w:rPr>
        <w:t>;</w:t>
      </w:r>
      <w:r w:rsidRPr="00654CB8">
        <w:rPr>
          <w:rFonts w:hint="cs"/>
          <w:rtl/>
        </w:rPr>
        <w:t xml:space="preserve"> </w:t>
      </w:r>
      <w:r>
        <w:rPr>
          <w:rFonts w:hint="cs"/>
          <w:rtl/>
        </w:rPr>
        <w:t>ו</w:t>
      </w:r>
      <w:r w:rsidRPr="00654CB8">
        <w:rPr>
          <w:rtl/>
        </w:rPr>
        <w:t xml:space="preserve">שביעות </w:t>
      </w:r>
      <w:r>
        <w:rPr>
          <w:rFonts w:hint="cs"/>
          <w:rtl/>
        </w:rPr>
        <w:t>ה</w:t>
      </w:r>
      <w:r w:rsidRPr="00654CB8">
        <w:rPr>
          <w:rtl/>
        </w:rPr>
        <w:t xml:space="preserve">רצון </w:t>
      </w:r>
      <w:r>
        <w:rPr>
          <w:rFonts w:hint="cs"/>
          <w:rtl/>
        </w:rPr>
        <w:t xml:space="preserve">של רמ"י או משרד הבינוי </w:t>
      </w:r>
      <w:r w:rsidRPr="00654CB8">
        <w:rPr>
          <w:rtl/>
        </w:rPr>
        <w:t>מאופן ביצוע התקשרויות קודמות ע</w:t>
      </w:r>
      <w:r>
        <w:rPr>
          <w:rFonts w:hint="cs"/>
          <w:rtl/>
        </w:rPr>
        <w:t>ם בעלי התפקידים בצוות</w:t>
      </w:r>
      <w:r w:rsidRPr="00654CB8">
        <w:rPr>
          <w:rFonts w:hint="cs"/>
          <w:rtl/>
        </w:rPr>
        <w:t>.</w:t>
      </w:r>
      <w:r w:rsidRPr="00D5503B">
        <w:rPr>
          <w:rFonts w:hint="cs"/>
          <w:b/>
          <w:bCs/>
          <w:rtl/>
        </w:rPr>
        <w:t xml:space="preserve"> </w:t>
      </w:r>
    </w:p>
    <w:p w14:paraId="17C60EA4" w14:textId="77777777" w:rsidR="009A28D9" w:rsidRPr="00D740BB" w:rsidRDefault="009A28D9" w:rsidP="00D5503B">
      <w:pPr>
        <w:pStyle w:val="af0"/>
        <w:rPr>
          <w:rtl/>
        </w:rPr>
      </w:pPr>
      <w:r w:rsidRPr="00D740BB">
        <w:rPr>
          <w:rFonts w:hint="cs"/>
          <w:rtl/>
        </w:rPr>
        <w:t xml:space="preserve">על היקף הניסיון, </w:t>
      </w:r>
      <w:r>
        <w:rPr>
          <w:rFonts w:hint="cs"/>
          <w:rtl/>
        </w:rPr>
        <w:t xml:space="preserve">על </w:t>
      </w:r>
      <w:r w:rsidRPr="00D740BB">
        <w:rPr>
          <w:rFonts w:hint="cs"/>
          <w:rtl/>
        </w:rPr>
        <w:t>מגוון התוכניות ו</w:t>
      </w:r>
      <w:r>
        <w:rPr>
          <w:rFonts w:hint="cs"/>
          <w:rtl/>
        </w:rPr>
        <w:t xml:space="preserve">על </w:t>
      </w:r>
      <w:r w:rsidRPr="00D740BB">
        <w:rPr>
          <w:rFonts w:hint="cs"/>
          <w:rtl/>
        </w:rPr>
        <w:t>מורכבות התכנון יש ללמוד מן המסמכים שעל החברות להגיש במכרז</w:t>
      </w:r>
      <w:r>
        <w:rPr>
          <w:rFonts w:hint="cs"/>
          <w:rtl/>
        </w:rPr>
        <w:t>ים.</w:t>
      </w:r>
      <w:r w:rsidRPr="00D740BB">
        <w:rPr>
          <w:rFonts w:hint="cs"/>
          <w:rtl/>
        </w:rPr>
        <w:t xml:space="preserve"> </w:t>
      </w:r>
      <w:r>
        <w:rPr>
          <w:rFonts w:hint="cs"/>
          <w:rtl/>
        </w:rPr>
        <w:t xml:space="preserve">לעומת זאת, </w:t>
      </w:r>
      <w:r w:rsidRPr="00D740BB">
        <w:rPr>
          <w:rFonts w:hint="cs"/>
          <w:rtl/>
        </w:rPr>
        <w:t>את התשתית העובדתית הנדרשת להערכת שביעות רצונ</w:t>
      </w:r>
      <w:r>
        <w:rPr>
          <w:rFonts w:hint="cs"/>
          <w:rtl/>
        </w:rPr>
        <w:t>ם</w:t>
      </w:r>
      <w:r w:rsidRPr="00D740BB">
        <w:rPr>
          <w:rFonts w:hint="cs"/>
          <w:rtl/>
        </w:rPr>
        <w:t xml:space="preserve"> של רמ"י </w:t>
      </w:r>
      <w:r>
        <w:rPr>
          <w:rFonts w:hint="cs"/>
          <w:rtl/>
        </w:rPr>
        <w:t xml:space="preserve">ושל משרד הבינוי </w:t>
      </w:r>
      <w:r w:rsidRPr="00D740BB">
        <w:rPr>
          <w:rFonts w:hint="cs"/>
          <w:rtl/>
        </w:rPr>
        <w:t>מהתקשרויות קודמות עליה</w:t>
      </w:r>
      <w:r>
        <w:rPr>
          <w:rFonts w:hint="cs"/>
          <w:rtl/>
        </w:rPr>
        <w:t>ם</w:t>
      </w:r>
      <w:r w:rsidRPr="00D740BB">
        <w:rPr>
          <w:rFonts w:hint="cs"/>
          <w:rtl/>
        </w:rPr>
        <w:t xml:space="preserve"> לבסס </w:t>
      </w:r>
      <w:r>
        <w:rPr>
          <w:rFonts w:hint="cs"/>
          <w:rtl/>
        </w:rPr>
        <w:t>כמובן בעצמם</w:t>
      </w:r>
      <w:r w:rsidRPr="00D740BB">
        <w:rPr>
          <w:rFonts w:hint="cs"/>
          <w:rtl/>
        </w:rPr>
        <w:t xml:space="preserve">. </w:t>
      </w:r>
      <w:r>
        <w:rPr>
          <w:rFonts w:hint="cs"/>
          <w:rtl/>
        </w:rPr>
        <w:t>אחד ה</w:t>
      </w:r>
      <w:r w:rsidRPr="00DC711F">
        <w:rPr>
          <w:rFonts w:hint="cs"/>
          <w:rtl/>
        </w:rPr>
        <w:t>מקור</w:t>
      </w:r>
      <w:r>
        <w:rPr>
          <w:rFonts w:hint="cs"/>
          <w:rtl/>
        </w:rPr>
        <w:t>ות</w:t>
      </w:r>
      <w:r w:rsidRPr="00DC711F">
        <w:rPr>
          <w:rFonts w:hint="cs"/>
          <w:rtl/>
        </w:rPr>
        <w:t xml:space="preserve"> </w:t>
      </w:r>
      <w:r>
        <w:rPr>
          <w:rFonts w:hint="cs"/>
          <w:rtl/>
        </w:rPr>
        <w:t>ה</w:t>
      </w:r>
      <w:r w:rsidRPr="00DC711F">
        <w:rPr>
          <w:rFonts w:hint="cs"/>
          <w:rtl/>
        </w:rPr>
        <w:t>מרכזי</w:t>
      </w:r>
      <w:r>
        <w:rPr>
          <w:rFonts w:hint="cs"/>
          <w:rtl/>
        </w:rPr>
        <w:t>ים</w:t>
      </w:r>
      <w:r w:rsidRPr="00DC711F">
        <w:rPr>
          <w:rFonts w:hint="cs"/>
          <w:rtl/>
        </w:rPr>
        <w:t xml:space="preserve"> לכך ה</w:t>
      </w:r>
      <w:r>
        <w:rPr>
          <w:rFonts w:hint="cs"/>
          <w:rtl/>
        </w:rPr>
        <w:t>וא</w:t>
      </w:r>
      <w:r w:rsidRPr="00DC711F">
        <w:rPr>
          <w:rFonts w:hint="cs"/>
          <w:rtl/>
        </w:rPr>
        <w:t xml:space="preserve"> חוות דעתם</w:t>
      </w:r>
      <w:r>
        <w:rPr>
          <w:rFonts w:hint="cs"/>
          <w:rtl/>
        </w:rPr>
        <w:t>,</w:t>
      </w:r>
      <w:r w:rsidRPr="00DC711F">
        <w:rPr>
          <w:rFonts w:hint="cs"/>
          <w:rtl/>
        </w:rPr>
        <w:t xml:space="preserve"> </w:t>
      </w:r>
      <w:r>
        <w:rPr>
          <w:rFonts w:hint="cs"/>
          <w:rtl/>
        </w:rPr>
        <w:t xml:space="preserve">המבוססת על התקשרויות קודמות, </w:t>
      </w:r>
      <w:r w:rsidRPr="00DC711F">
        <w:rPr>
          <w:rFonts w:hint="cs"/>
          <w:rtl/>
        </w:rPr>
        <w:t>של המרחבים ברמ"י</w:t>
      </w:r>
      <w:r>
        <w:rPr>
          <w:rStyle w:val="FootnoteReference"/>
          <w:rtl/>
        </w:rPr>
        <w:footnoteReference w:id="32"/>
      </w:r>
      <w:r w:rsidRPr="00DC711F">
        <w:rPr>
          <w:rFonts w:hint="cs"/>
          <w:rtl/>
        </w:rPr>
        <w:t xml:space="preserve"> </w:t>
      </w:r>
      <w:r>
        <w:rPr>
          <w:rFonts w:hint="cs"/>
          <w:rtl/>
        </w:rPr>
        <w:t xml:space="preserve">ושל המחוזות במשרד הבינוי, </w:t>
      </w:r>
      <w:r w:rsidRPr="00DC711F">
        <w:rPr>
          <w:rFonts w:hint="cs"/>
          <w:rtl/>
        </w:rPr>
        <w:t xml:space="preserve">שהם שעובדים ישירות ובאופן שוטף </w:t>
      </w:r>
      <w:r>
        <w:rPr>
          <w:rFonts w:hint="cs"/>
          <w:rtl/>
        </w:rPr>
        <w:t>עם</w:t>
      </w:r>
      <w:r w:rsidRPr="00DC711F">
        <w:rPr>
          <w:rFonts w:hint="cs"/>
          <w:rtl/>
        </w:rPr>
        <w:t xml:space="preserve"> צוותי החברות.</w:t>
      </w:r>
    </w:p>
    <w:p w14:paraId="57A3F51B" w14:textId="77777777" w:rsidR="009A28D9" w:rsidRPr="00671847" w:rsidRDefault="009A28D9" w:rsidP="00D5503B">
      <w:pPr>
        <w:pStyle w:val="12"/>
      </w:pPr>
      <w:r w:rsidRPr="00671847">
        <w:rPr>
          <w:rFonts w:hint="eastAsia"/>
          <w:rtl/>
        </w:rPr>
        <w:lastRenderedPageBreak/>
        <w:t>בבדיקת</w:t>
      </w:r>
      <w:r w:rsidRPr="00671847">
        <w:rPr>
          <w:rtl/>
        </w:rPr>
        <w:t xml:space="preserve"> </w:t>
      </w:r>
      <w:r>
        <w:rPr>
          <w:rFonts w:hint="cs"/>
          <w:rtl/>
        </w:rPr>
        <w:t>מסמכי</w:t>
      </w:r>
      <w:r w:rsidRPr="00671847">
        <w:rPr>
          <w:rtl/>
        </w:rPr>
        <w:t xml:space="preserve"> המכרז </w:t>
      </w:r>
      <w:r w:rsidRPr="00671847">
        <w:rPr>
          <w:rFonts w:hint="cs"/>
          <w:rtl/>
        </w:rPr>
        <w:t xml:space="preserve">של רמ"י </w:t>
      </w:r>
      <w:r w:rsidRPr="00671847">
        <w:rPr>
          <w:rFonts w:hint="eastAsia"/>
          <w:rtl/>
        </w:rPr>
        <w:t>נמצא</w:t>
      </w:r>
      <w:r w:rsidRPr="00671847">
        <w:rPr>
          <w:rtl/>
        </w:rPr>
        <w:t xml:space="preserve"> </w:t>
      </w:r>
      <w:r w:rsidRPr="00671847">
        <w:rPr>
          <w:rFonts w:hint="eastAsia"/>
          <w:rtl/>
        </w:rPr>
        <w:t>כי</w:t>
      </w:r>
      <w:r>
        <w:rPr>
          <w:rFonts w:hint="cs"/>
          <w:rtl/>
        </w:rPr>
        <w:t xml:space="preserve"> </w:t>
      </w:r>
      <w:r w:rsidRPr="00671847">
        <w:rPr>
          <w:rFonts w:hint="eastAsia"/>
          <w:rtl/>
        </w:rPr>
        <w:t>התשתית</w:t>
      </w:r>
      <w:r w:rsidRPr="00671847">
        <w:rPr>
          <w:rtl/>
        </w:rPr>
        <w:t xml:space="preserve"> </w:t>
      </w:r>
      <w:r w:rsidRPr="00671847">
        <w:rPr>
          <w:rFonts w:hint="eastAsia"/>
          <w:rtl/>
        </w:rPr>
        <w:t>העובדתית</w:t>
      </w:r>
      <w:r w:rsidRPr="00671847">
        <w:rPr>
          <w:rtl/>
        </w:rPr>
        <w:t xml:space="preserve"> </w:t>
      </w:r>
      <w:r w:rsidRPr="00671847">
        <w:rPr>
          <w:rFonts w:hint="eastAsia"/>
          <w:rtl/>
        </w:rPr>
        <w:t>ש</w:t>
      </w:r>
      <w:r w:rsidRPr="00671847">
        <w:rPr>
          <w:rFonts w:hint="cs"/>
          <w:rtl/>
        </w:rPr>
        <w:t xml:space="preserve">היא </w:t>
      </w:r>
      <w:r w:rsidRPr="00671847">
        <w:rPr>
          <w:rFonts w:hint="eastAsia"/>
          <w:rtl/>
        </w:rPr>
        <w:t>ריכזה</w:t>
      </w:r>
      <w:r w:rsidRPr="00671847">
        <w:rPr>
          <w:rtl/>
        </w:rPr>
        <w:t xml:space="preserve"> </w:t>
      </w:r>
      <w:r w:rsidRPr="00671847">
        <w:rPr>
          <w:rFonts w:hint="eastAsia"/>
          <w:rtl/>
        </w:rPr>
        <w:t>מן</w:t>
      </w:r>
      <w:r w:rsidRPr="00671847">
        <w:rPr>
          <w:rtl/>
        </w:rPr>
        <w:t xml:space="preserve"> </w:t>
      </w:r>
      <w:r w:rsidRPr="00671847">
        <w:rPr>
          <w:rFonts w:hint="eastAsia"/>
          <w:rtl/>
        </w:rPr>
        <w:t>המרחבים</w:t>
      </w:r>
      <w:r w:rsidRPr="00671847">
        <w:rPr>
          <w:rtl/>
        </w:rPr>
        <w:t xml:space="preserve"> </w:t>
      </w:r>
      <w:r w:rsidRPr="00671847">
        <w:rPr>
          <w:rFonts w:hint="eastAsia"/>
          <w:rtl/>
        </w:rPr>
        <w:t>לצורך</w:t>
      </w:r>
      <w:r w:rsidRPr="00671847">
        <w:rPr>
          <w:rtl/>
        </w:rPr>
        <w:t xml:space="preserve"> </w:t>
      </w:r>
      <w:r w:rsidRPr="00671847">
        <w:rPr>
          <w:rFonts w:hint="eastAsia"/>
          <w:rtl/>
        </w:rPr>
        <w:t>הערכת</w:t>
      </w:r>
      <w:r w:rsidRPr="00671847">
        <w:rPr>
          <w:rtl/>
        </w:rPr>
        <w:t xml:space="preserve"> שביעות רצונה מהתקשרויות קודמות עם </w:t>
      </w:r>
      <w:r w:rsidRPr="00671847">
        <w:rPr>
          <w:rFonts w:hint="eastAsia"/>
          <w:rtl/>
        </w:rPr>
        <w:t>צוותי</w:t>
      </w:r>
      <w:r w:rsidRPr="00671847">
        <w:rPr>
          <w:rtl/>
        </w:rPr>
        <w:t xml:space="preserve"> הליבה </w:t>
      </w:r>
      <w:r w:rsidRPr="00671847">
        <w:rPr>
          <w:rFonts w:hint="eastAsia"/>
          <w:rtl/>
        </w:rPr>
        <w:t>שהתמודדו</w:t>
      </w:r>
      <w:r w:rsidRPr="00671847">
        <w:rPr>
          <w:rtl/>
        </w:rPr>
        <w:t xml:space="preserve"> במכרז </w:t>
      </w:r>
      <w:r w:rsidRPr="00671847">
        <w:rPr>
          <w:rFonts w:hint="eastAsia"/>
          <w:rtl/>
        </w:rPr>
        <w:t>הייתה</w:t>
      </w:r>
      <w:r w:rsidRPr="00671847">
        <w:rPr>
          <w:rtl/>
        </w:rPr>
        <w:t xml:space="preserve"> דלה </w:t>
      </w:r>
      <w:r w:rsidRPr="00671847">
        <w:rPr>
          <w:rFonts w:hint="eastAsia"/>
          <w:rtl/>
        </w:rPr>
        <w:t>ביותר</w:t>
      </w:r>
      <w:r>
        <w:rPr>
          <w:rFonts w:hint="cs"/>
          <w:rtl/>
        </w:rPr>
        <w:t xml:space="preserve">, ונעדרו ממנה אמות מידה שביכולתן לכוון את המעריכים לתחומים שחשוב להתמקד בהם. באופן זה הערכת שביעות הרצון אינה </w:t>
      </w:r>
      <w:r w:rsidRPr="00671847">
        <w:rPr>
          <w:rFonts w:hint="eastAsia"/>
          <w:rtl/>
        </w:rPr>
        <w:t>שיט</w:t>
      </w:r>
      <w:r>
        <w:rPr>
          <w:rFonts w:hint="cs"/>
          <w:rtl/>
        </w:rPr>
        <w:t xml:space="preserve">תית, ולכן אינה יעילה. לדוגמה, </w:t>
      </w:r>
      <w:r w:rsidRPr="00671847">
        <w:rPr>
          <w:rFonts w:hint="eastAsia"/>
          <w:rtl/>
        </w:rPr>
        <w:t>בתיק</w:t>
      </w:r>
      <w:r w:rsidRPr="00671847">
        <w:rPr>
          <w:rtl/>
        </w:rPr>
        <w:t xml:space="preserve"> המכרז נמצאו </w:t>
      </w:r>
      <w:r>
        <w:rPr>
          <w:rFonts w:hint="cs"/>
          <w:rtl/>
        </w:rPr>
        <w:t xml:space="preserve">הערכות </w:t>
      </w:r>
      <w:r w:rsidRPr="00671847">
        <w:rPr>
          <w:rFonts w:hint="eastAsia"/>
          <w:rtl/>
        </w:rPr>
        <w:t>של</w:t>
      </w:r>
      <w:r w:rsidRPr="00671847">
        <w:rPr>
          <w:rtl/>
        </w:rPr>
        <w:t xml:space="preserve"> </w:t>
      </w:r>
      <w:r w:rsidRPr="00671847">
        <w:rPr>
          <w:rFonts w:hint="eastAsia"/>
          <w:rtl/>
        </w:rPr>
        <w:t>שלושה</w:t>
      </w:r>
      <w:r w:rsidRPr="00671847">
        <w:rPr>
          <w:rtl/>
        </w:rPr>
        <w:t xml:space="preserve"> </w:t>
      </w:r>
      <w:r w:rsidRPr="00671847">
        <w:rPr>
          <w:rFonts w:hint="eastAsia"/>
          <w:rtl/>
        </w:rPr>
        <w:t>מרחבים</w:t>
      </w:r>
      <w:r>
        <w:rPr>
          <w:rFonts w:hint="cs"/>
          <w:rtl/>
        </w:rPr>
        <w:t xml:space="preserve"> בלבד</w:t>
      </w:r>
      <w:r w:rsidRPr="00671847">
        <w:rPr>
          <w:rtl/>
        </w:rPr>
        <w:t xml:space="preserve"> </w:t>
      </w:r>
      <w:r>
        <w:rPr>
          <w:rFonts w:hint="cs"/>
          <w:rtl/>
        </w:rPr>
        <w:t xml:space="preserve">מתוך חמשת המרחבים </w:t>
      </w:r>
      <w:r w:rsidRPr="00671847">
        <w:rPr>
          <w:rFonts w:hint="eastAsia"/>
          <w:rtl/>
        </w:rPr>
        <w:t>של</w:t>
      </w:r>
      <w:r w:rsidRPr="00671847">
        <w:rPr>
          <w:rtl/>
        </w:rPr>
        <w:t xml:space="preserve"> </w:t>
      </w:r>
      <w:r w:rsidRPr="00671847">
        <w:rPr>
          <w:rFonts w:hint="eastAsia"/>
          <w:rtl/>
        </w:rPr>
        <w:t>רמ</w:t>
      </w:r>
      <w:r w:rsidRPr="00671847">
        <w:rPr>
          <w:rtl/>
        </w:rPr>
        <w:t>"י</w:t>
      </w:r>
      <w:r>
        <w:rPr>
          <w:rFonts w:hint="cs"/>
          <w:rtl/>
        </w:rPr>
        <w:t>, כלומר ב</w:t>
      </w:r>
      <w:r w:rsidRPr="00671847">
        <w:rPr>
          <w:rtl/>
        </w:rPr>
        <w:t>שני מ</w:t>
      </w:r>
      <w:r w:rsidRPr="00671847">
        <w:rPr>
          <w:rFonts w:hint="eastAsia"/>
          <w:rtl/>
        </w:rPr>
        <w:t>רחבים</w:t>
      </w:r>
      <w:r w:rsidRPr="00671847">
        <w:rPr>
          <w:rtl/>
        </w:rPr>
        <w:t xml:space="preserve"> </w:t>
      </w:r>
      <w:r>
        <w:rPr>
          <w:rFonts w:hint="cs"/>
          <w:rtl/>
        </w:rPr>
        <w:t xml:space="preserve">לא ניתנה הערכה </w:t>
      </w:r>
      <w:r w:rsidRPr="00671847">
        <w:rPr>
          <w:rFonts w:hint="eastAsia"/>
          <w:rtl/>
        </w:rPr>
        <w:t>כלל</w:t>
      </w:r>
      <w:r>
        <w:rPr>
          <w:rFonts w:hint="cs"/>
          <w:rtl/>
        </w:rPr>
        <w:t>. אשר לשלוש ההערכות שניתנו - בשתיים מהן צוין מלל ובאחת - מספרים, ולכן לא היה אפשר להשוות ביניהן; ההערכות</w:t>
      </w:r>
      <w:r w:rsidRPr="00671847">
        <w:rPr>
          <w:rtl/>
        </w:rPr>
        <w:t xml:space="preserve"> </w:t>
      </w:r>
      <w:r w:rsidRPr="00671847">
        <w:rPr>
          <w:rFonts w:hint="eastAsia"/>
          <w:rtl/>
        </w:rPr>
        <w:t>המילוליות</w:t>
      </w:r>
      <w:r w:rsidRPr="00671847">
        <w:rPr>
          <w:rtl/>
        </w:rPr>
        <w:t xml:space="preserve"> </w:t>
      </w:r>
      <w:r w:rsidRPr="00671847">
        <w:rPr>
          <w:rFonts w:hint="eastAsia"/>
          <w:rtl/>
        </w:rPr>
        <w:t>כשלעצמן</w:t>
      </w:r>
      <w:r w:rsidRPr="00671847">
        <w:rPr>
          <w:rtl/>
        </w:rPr>
        <w:t xml:space="preserve"> היו </w:t>
      </w:r>
      <w:r w:rsidRPr="00671847">
        <w:rPr>
          <w:rFonts w:hint="eastAsia"/>
          <w:rtl/>
        </w:rPr>
        <w:t>דלות</w:t>
      </w:r>
      <w:r w:rsidRPr="00671847">
        <w:rPr>
          <w:rtl/>
        </w:rPr>
        <w:t xml:space="preserve"> </w:t>
      </w:r>
      <w:r w:rsidRPr="00671847">
        <w:rPr>
          <w:rFonts w:hint="eastAsia"/>
          <w:rtl/>
        </w:rPr>
        <w:t>ולא</w:t>
      </w:r>
      <w:r w:rsidRPr="00671847">
        <w:rPr>
          <w:rtl/>
        </w:rPr>
        <w:t xml:space="preserve"> </w:t>
      </w:r>
      <w:r w:rsidRPr="00671847">
        <w:rPr>
          <w:rFonts w:hint="eastAsia"/>
          <w:rtl/>
        </w:rPr>
        <w:t>ב</w:t>
      </w:r>
      <w:r>
        <w:rPr>
          <w:rFonts w:hint="cs"/>
          <w:rtl/>
        </w:rPr>
        <w:t>נ</w:t>
      </w:r>
      <w:r w:rsidRPr="00671847">
        <w:rPr>
          <w:rFonts w:hint="eastAsia"/>
          <w:rtl/>
        </w:rPr>
        <w:t>ות</w:t>
      </w:r>
      <w:r w:rsidRPr="00671847">
        <w:rPr>
          <w:rtl/>
        </w:rPr>
        <w:t xml:space="preserve"> </w:t>
      </w:r>
      <w:r w:rsidRPr="00671847">
        <w:rPr>
          <w:rFonts w:hint="eastAsia"/>
          <w:rtl/>
        </w:rPr>
        <w:t>השוואה</w:t>
      </w:r>
      <w:r w:rsidRPr="00671847">
        <w:rPr>
          <w:rtl/>
        </w:rPr>
        <w:t>.</w:t>
      </w:r>
      <w:r>
        <w:rPr>
          <w:rFonts w:hint="cs"/>
          <w:rtl/>
        </w:rPr>
        <w:t xml:space="preserve"> כמו כן, </w:t>
      </w:r>
      <w:r w:rsidRPr="00C0739B">
        <w:rPr>
          <w:rtl/>
        </w:rPr>
        <w:t xml:space="preserve">לא </w:t>
      </w:r>
      <w:r>
        <w:rPr>
          <w:rFonts w:hint="cs"/>
          <w:rtl/>
        </w:rPr>
        <w:t>היה אפשר</w:t>
      </w:r>
      <w:r w:rsidRPr="00671847">
        <w:rPr>
          <w:rtl/>
        </w:rPr>
        <w:t xml:space="preserve"> לדעת אם ההערכה התייחסה לכל בעלי התפקידים בצוות או רק לחלקם</w:t>
      </w:r>
      <w:r>
        <w:rPr>
          <w:rFonts w:hint="cs"/>
          <w:rtl/>
        </w:rPr>
        <w:t>,</w:t>
      </w:r>
      <w:r w:rsidRPr="00671847">
        <w:rPr>
          <w:rtl/>
        </w:rPr>
        <w:t xml:space="preserve"> ולמי </w:t>
      </w:r>
      <w:r w:rsidRPr="00671847">
        <w:rPr>
          <w:rFonts w:hint="eastAsia"/>
          <w:rtl/>
        </w:rPr>
        <w:t>מהם</w:t>
      </w:r>
      <w:r w:rsidRPr="00671847">
        <w:rPr>
          <w:rtl/>
        </w:rPr>
        <w:t>.</w:t>
      </w:r>
    </w:p>
    <w:p w14:paraId="1BEE3CEF" w14:textId="77777777" w:rsidR="009A28D9" w:rsidRDefault="009A28D9" w:rsidP="00D5503B">
      <w:pPr>
        <w:pStyle w:val="af0"/>
        <w:rPr>
          <w:rtl/>
        </w:rPr>
      </w:pPr>
      <w:r>
        <w:rPr>
          <w:rFonts w:hint="cs"/>
          <w:rtl/>
        </w:rPr>
        <w:t xml:space="preserve">בכל הנוגע למשרד הבינוי, יצוין לחיוב כי נמצאו במסמכי המכרז טופסי הערכות מובנים בדבר שביעות רצון קודמת מהספק, ובהם ניקדו חברי ועדת המכרזים את הערכותיהם בערכים 1 עד 10 (10 - מצוין, 1 - חלש), על פי אמות מידה של איכות התוצר ורמת השירות. </w:t>
      </w:r>
      <w:r w:rsidRPr="00E75022">
        <w:rPr>
          <w:rFonts w:hint="cs"/>
          <w:rtl/>
        </w:rPr>
        <w:t xml:space="preserve">להלן </w:t>
      </w:r>
      <w:r>
        <w:rPr>
          <w:rFonts w:hint="cs"/>
          <w:rtl/>
        </w:rPr>
        <w:t>דוגמה</w:t>
      </w:r>
      <w:r w:rsidRPr="00E75022">
        <w:rPr>
          <w:rFonts w:hint="cs"/>
          <w:rtl/>
        </w:rPr>
        <w:t xml:space="preserve"> של טופס הערכה</w:t>
      </w:r>
      <w:r>
        <w:rPr>
          <w:rFonts w:hint="cs"/>
          <w:rtl/>
        </w:rPr>
        <w:t xml:space="preserve">: </w:t>
      </w:r>
    </w:p>
    <w:p w14:paraId="323F6338" w14:textId="77777777" w:rsidR="009A28D9" w:rsidRDefault="009A28D9" w:rsidP="009A28D9">
      <w:pPr>
        <w:spacing w:line="269" w:lineRule="auto"/>
        <w:rPr>
          <w:rtl/>
        </w:rPr>
      </w:pPr>
      <w:r>
        <w:rPr>
          <w:noProof/>
          <w:rtl/>
        </w:rPr>
        <w:tab/>
      </w:r>
      <w:r>
        <w:rPr>
          <w:noProof/>
        </w:rPr>
        <w:drawing>
          <wp:inline distT="0" distB="0" distL="0" distR="0" wp14:anchorId="3E5A4FD4" wp14:editId="6D35325B">
            <wp:extent cx="3743851" cy="4243970"/>
            <wp:effectExtent l="266700" t="228600" r="257175" b="233045"/>
            <wp:docPr id="21" name="תמונה 5" descr="C:\Users\dan_na\AppData\Local\Microsoft\Windows\INetCache\Content.Word\Tichnon-grades 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_na\AppData\Local\Microsoft\Windows\INetCache\Content.Word\Tichnon-grades for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49629" cy="4250520"/>
                    </a:xfrm>
                    <a:prstGeom prst="rect">
                      <a:avLst/>
                    </a:prstGeom>
                    <a:noFill/>
                    <a:ln>
                      <a:noFill/>
                    </a:ln>
                  </pic:spPr>
                </pic:pic>
              </a:graphicData>
            </a:graphic>
          </wp:inline>
        </w:drawing>
      </w:r>
    </w:p>
    <w:p w14:paraId="3653D851" w14:textId="77777777" w:rsidR="009A28D9" w:rsidRPr="006E3E35" w:rsidRDefault="009A28D9" w:rsidP="00AE3DC0">
      <w:pPr>
        <w:pStyle w:val="a0"/>
        <w:rPr>
          <w:b/>
          <w:bCs/>
        </w:rPr>
      </w:pPr>
      <w:r>
        <w:rPr>
          <w:rFonts w:hint="cs"/>
          <w:rtl/>
        </w:rPr>
        <w:lastRenderedPageBreak/>
        <w:t>מצופה מרמ"י וממשרד הבינוי שעם סיום כל עבודה יעריכו את הביצוע של החברות המתכננות, לצורך למידה, הפקת לקחים וגיבוש עמדה בנוגע להתקשרויות נוספות עם החברות, שייצרו בסיס להערכת ספקים במכרזים עתידיים.</w:t>
      </w:r>
    </w:p>
    <w:p w14:paraId="5C032608" w14:textId="77777777" w:rsidR="009A28D9" w:rsidRPr="00B66383" w:rsidRDefault="009A28D9" w:rsidP="00AE3DC0">
      <w:pPr>
        <w:pStyle w:val="af0"/>
        <w:rPr>
          <w:b/>
          <w:bCs/>
          <w:rtl/>
        </w:rPr>
      </w:pPr>
      <w:r>
        <w:rPr>
          <w:rFonts w:hint="cs"/>
          <w:rtl/>
        </w:rPr>
        <w:t>יצוין כי ב</w:t>
      </w:r>
      <w:r w:rsidRPr="00E27A74">
        <w:rPr>
          <w:rFonts w:hint="cs"/>
          <w:rtl/>
        </w:rPr>
        <w:t xml:space="preserve">מכרז החדש </w:t>
      </w:r>
      <w:r>
        <w:rPr>
          <w:rFonts w:hint="cs"/>
          <w:rtl/>
        </w:rPr>
        <w:t xml:space="preserve">של רמ"י </w:t>
      </w:r>
      <w:r w:rsidRPr="00E27A74">
        <w:rPr>
          <w:rFonts w:hint="cs"/>
          <w:rtl/>
        </w:rPr>
        <w:t>מ</w:t>
      </w:r>
      <w:r>
        <w:rPr>
          <w:rFonts w:hint="cs"/>
          <w:rtl/>
        </w:rPr>
        <w:t>אוגוסט</w:t>
      </w:r>
      <w:r w:rsidRPr="00E27A74">
        <w:rPr>
          <w:rFonts w:hint="cs"/>
          <w:rtl/>
        </w:rPr>
        <w:t xml:space="preserve"> 2019 נקבע</w:t>
      </w:r>
      <w:r>
        <w:rPr>
          <w:rFonts w:hint="cs"/>
          <w:rtl/>
        </w:rPr>
        <w:t xml:space="preserve"> שוב</w:t>
      </w:r>
      <w:r w:rsidRPr="00E27A74">
        <w:rPr>
          <w:rFonts w:hint="cs"/>
          <w:rtl/>
        </w:rPr>
        <w:t xml:space="preserve"> ש</w:t>
      </w:r>
      <w:r>
        <w:rPr>
          <w:rFonts w:hint="cs"/>
          <w:rtl/>
        </w:rPr>
        <w:t>אחת מאמות המידה ל</w:t>
      </w:r>
      <w:r w:rsidRPr="00E27A74">
        <w:rPr>
          <w:rFonts w:hint="cs"/>
          <w:rtl/>
        </w:rPr>
        <w:t xml:space="preserve">הערכת התאמה של החברה המתכננת </w:t>
      </w:r>
      <w:r>
        <w:rPr>
          <w:rFonts w:hint="cs"/>
          <w:rtl/>
        </w:rPr>
        <w:t>לביצוע העבודה היא</w:t>
      </w:r>
      <w:r w:rsidRPr="00E27A74">
        <w:rPr>
          <w:rFonts w:hint="cs"/>
          <w:rtl/>
        </w:rPr>
        <w:t xml:space="preserve"> שביעות רצון מצוות התכנון שלה</w:t>
      </w:r>
      <w:r>
        <w:rPr>
          <w:rFonts w:hint="cs"/>
          <w:rtl/>
        </w:rPr>
        <w:t>.</w:t>
      </w:r>
      <w:r w:rsidRPr="00E27A74">
        <w:rPr>
          <w:rFonts w:hint="cs"/>
          <w:rtl/>
        </w:rPr>
        <w:t xml:space="preserve"> </w:t>
      </w:r>
      <w:r>
        <w:rPr>
          <w:rFonts w:hint="cs"/>
          <w:rtl/>
        </w:rPr>
        <w:t>צוין</w:t>
      </w:r>
      <w:r w:rsidRPr="00113D1B">
        <w:rPr>
          <w:rFonts w:hint="cs"/>
          <w:rtl/>
        </w:rPr>
        <w:t xml:space="preserve"> </w:t>
      </w:r>
      <w:r>
        <w:rPr>
          <w:rFonts w:hint="cs"/>
          <w:rtl/>
        </w:rPr>
        <w:t xml:space="preserve">גם כי הדבר </w:t>
      </w:r>
      <w:r w:rsidRPr="00E27A74">
        <w:rPr>
          <w:rFonts w:hint="cs"/>
          <w:rtl/>
        </w:rPr>
        <w:t xml:space="preserve">יתבסס על "המלצות בכתב ו/או בעל פה מגורמים שאנשי הצוות העניקו </w:t>
      </w:r>
      <w:r>
        <w:rPr>
          <w:rFonts w:hint="cs"/>
          <w:rtl/>
        </w:rPr>
        <w:t xml:space="preserve">[להם] </w:t>
      </w:r>
      <w:r w:rsidRPr="00E27A74">
        <w:rPr>
          <w:rFonts w:hint="cs"/>
          <w:rtl/>
        </w:rPr>
        <w:t>שירותי תכנון ו/או ניהול תכנון בעבר, כולל בהתקשרויות קודמות עם הרשות ומינהל מקרקעי ישראל".</w:t>
      </w:r>
      <w:r>
        <w:rPr>
          <w:rFonts w:hint="cs"/>
          <w:rtl/>
        </w:rPr>
        <w:t xml:space="preserve"> </w:t>
      </w:r>
    </w:p>
    <w:p w14:paraId="750AAF95" w14:textId="77777777" w:rsidR="009A28D9" w:rsidRDefault="009A28D9" w:rsidP="00AE3DC0">
      <w:pPr>
        <w:pStyle w:val="aa"/>
        <w:rPr>
          <w:rtl/>
        </w:rPr>
      </w:pPr>
      <w:r>
        <w:rPr>
          <w:rFonts w:hint="cs"/>
          <w:rtl/>
        </w:rPr>
        <w:t>בביקורת עלה כי למרות הצורך החיוני בלמידה ארגונית, ואף שהערכת עבודות קודמות היא נדבך חיוני בהחלטה על בחירת החברה המתכננת, מבצעים רמ"י ומשרד הבינוי הערכה כזו לקראת המכרזים ולא באופן שיטתי רצוף.</w:t>
      </w:r>
    </w:p>
    <w:p w14:paraId="10566A1C" w14:textId="77777777" w:rsidR="009A28D9" w:rsidRDefault="009A28D9" w:rsidP="000C3CBC">
      <w:pPr>
        <w:pStyle w:val="af0"/>
        <w:rPr>
          <w:rtl/>
        </w:rPr>
      </w:pPr>
      <w:r>
        <w:rPr>
          <w:rFonts w:hint="cs"/>
          <w:rtl/>
        </w:rPr>
        <w:t xml:space="preserve">רמ"י מסרה בתשובתה כי </w:t>
      </w:r>
      <w:r>
        <w:rPr>
          <w:rtl/>
        </w:rPr>
        <w:t xml:space="preserve">שביעות הרצון </w:t>
      </w:r>
      <w:r>
        <w:rPr>
          <w:rFonts w:hint="cs"/>
          <w:rtl/>
        </w:rPr>
        <w:t xml:space="preserve">מהחברות המתכננות </w:t>
      </w:r>
      <w:r>
        <w:rPr>
          <w:rtl/>
        </w:rPr>
        <w:t xml:space="preserve">נמדדת במסגרת הפעילות השוטפת </w:t>
      </w:r>
      <w:r>
        <w:rPr>
          <w:rFonts w:hint="cs"/>
          <w:rtl/>
        </w:rPr>
        <w:t>עימן,</w:t>
      </w:r>
      <w:r>
        <w:rPr>
          <w:rtl/>
        </w:rPr>
        <w:t xml:space="preserve"> לרבות בישיבות ליווי</w:t>
      </w:r>
      <w:r>
        <w:rPr>
          <w:rFonts w:hint="cs"/>
          <w:rtl/>
        </w:rPr>
        <w:t>,</w:t>
      </w:r>
      <w:r>
        <w:rPr>
          <w:rtl/>
        </w:rPr>
        <w:t xml:space="preserve"> מעקב ובקרה</w:t>
      </w:r>
      <w:r>
        <w:rPr>
          <w:rFonts w:hint="cs"/>
          <w:rtl/>
        </w:rPr>
        <w:t>,</w:t>
      </w:r>
      <w:r>
        <w:rPr>
          <w:rtl/>
        </w:rPr>
        <w:t xml:space="preserve"> </w:t>
      </w:r>
      <w:r>
        <w:rPr>
          <w:rFonts w:hint="cs"/>
          <w:rtl/>
        </w:rPr>
        <w:t>ש</w:t>
      </w:r>
      <w:r>
        <w:rPr>
          <w:rtl/>
        </w:rPr>
        <w:t>ב</w:t>
      </w:r>
      <w:r>
        <w:rPr>
          <w:rFonts w:hint="cs"/>
          <w:rtl/>
        </w:rPr>
        <w:t>ה</w:t>
      </w:r>
      <w:r>
        <w:rPr>
          <w:rtl/>
        </w:rPr>
        <w:t>ן נחשפים אנשי המקצוע לטיב עבודתן.</w:t>
      </w:r>
      <w:r>
        <w:rPr>
          <w:rFonts w:hint="cs"/>
          <w:rtl/>
        </w:rPr>
        <w:t xml:space="preserve"> עוד ציינה כי </w:t>
      </w:r>
      <w:r>
        <w:rPr>
          <w:rtl/>
        </w:rPr>
        <w:t>לקראת מכרז חדש פונה אגף התכנון במטה הרשות למרחבי</w:t>
      </w:r>
      <w:r>
        <w:rPr>
          <w:rFonts w:hint="cs"/>
          <w:rtl/>
        </w:rPr>
        <w:t>ם בבקשה</w:t>
      </w:r>
      <w:r>
        <w:rPr>
          <w:rtl/>
        </w:rPr>
        <w:t xml:space="preserve"> לקבל בכתב ו/או בע</w:t>
      </w:r>
      <w:r>
        <w:rPr>
          <w:rFonts w:hint="cs"/>
          <w:rtl/>
        </w:rPr>
        <w:t>ל-פה</w:t>
      </w:r>
      <w:r>
        <w:rPr>
          <w:rtl/>
        </w:rPr>
        <w:t xml:space="preserve"> את חוות דעתם </w:t>
      </w:r>
      <w:r>
        <w:rPr>
          <w:rFonts w:hint="cs"/>
          <w:rtl/>
        </w:rPr>
        <w:t>ע</w:t>
      </w:r>
      <w:r>
        <w:rPr>
          <w:rtl/>
        </w:rPr>
        <w:t>ל</w:t>
      </w:r>
      <w:r>
        <w:rPr>
          <w:rFonts w:hint="cs"/>
          <w:rtl/>
        </w:rPr>
        <w:t xml:space="preserve"> </w:t>
      </w:r>
      <w:r>
        <w:rPr>
          <w:rtl/>
        </w:rPr>
        <w:t>עבודת החברות המתכננות.</w:t>
      </w:r>
      <w:r>
        <w:rPr>
          <w:rFonts w:hint="cs"/>
          <w:rtl/>
        </w:rPr>
        <w:t xml:space="preserve"> רמ"י הוסיפה כי </w:t>
      </w:r>
      <w:r>
        <w:rPr>
          <w:rtl/>
        </w:rPr>
        <w:t>ישנה מורכבות בהערכת חברות מתכננות בשל חילופים תכופים של אנשי מקצוע בי</w:t>
      </w:r>
      <w:r>
        <w:rPr>
          <w:rFonts w:hint="cs"/>
          <w:rtl/>
        </w:rPr>
        <w:t>ניה</w:t>
      </w:r>
      <w:r>
        <w:rPr>
          <w:rtl/>
        </w:rPr>
        <w:t>ן</w:t>
      </w:r>
      <w:r>
        <w:rPr>
          <w:rFonts w:hint="cs"/>
          <w:rtl/>
        </w:rPr>
        <w:t>,</w:t>
      </w:r>
      <w:r>
        <w:rPr>
          <w:rtl/>
        </w:rPr>
        <w:t xml:space="preserve"> המשפיע</w:t>
      </w:r>
      <w:r>
        <w:rPr>
          <w:rFonts w:hint="cs"/>
          <w:rtl/>
        </w:rPr>
        <w:t>ים</w:t>
      </w:r>
      <w:r>
        <w:rPr>
          <w:rtl/>
        </w:rPr>
        <w:t xml:space="preserve"> על דירוג איכות החברה.</w:t>
      </w:r>
    </w:p>
    <w:p w14:paraId="29FD2A7C" w14:textId="77777777" w:rsidR="009A28D9" w:rsidRDefault="009A28D9" w:rsidP="000C3CBC">
      <w:pPr>
        <w:pStyle w:val="af0"/>
        <w:rPr>
          <w:rtl/>
        </w:rPr>
      </w:pPr>
      <w:r w:rsidRPr="000F5391">
        <w:rPr>
          <w:rFonts w:hint="eastAsia"/>
          <w:rtl/>
        </w:rPr>
        <w:t>משרד</w:t>
      </w:r>
      <w:r w:rsidRPr="000F5391">
        <w:rPr>
          <w:rtl/>
        </w:rPr>
        <w:t xml:space="preserve"> </w:t>
      </w:r>
      <w:r w:rsidRPr="000F5391">
        <w:rPr>
          <w:rFonts w:hint="eastAsia"/>
          <w:rtl/>
        </w:rPr>
        <w:t>הבינוי</w:t>
      </w:r>
      <w:r>
        <w:rPr>
          <w:rFonts w:hint="cs"/>
          <w:rtl/>
        </w:rPr>
        <w:t xml:space="preserve"> מסר בתשובתו</w:t>
      </w:r>
      <w:r w:rsidRPr="000F5391">
        <w:rPr>
          <w:rtl/>
        </w:rPr>
        <w:t xml:space="preserve"> </w:t>
      </w:r>
      <w:r w:rsidRPr="000F5391">
        <w:rPr>
          <w:rFonts w:hint="eastAsia"/>
          <w:rtl/>
        </w:rPr>
        <w:t>כי</w:t>
      </w:r>
      <w:r w:rsidRPr="000F5391">
        <w:rPr>
          <w:rtl/>
        </w:rPr>
        <w:t xml:space="preserve"> </w:t>
      </w:r>
      <w:r>
        <w:rPr>
          <w:rFonts w:hint="cs"/>
          <w:rtl/>
        </w:rPr>
        <w:t>הוא מ</w:t>
      </w:r>
      <w:r w:rsidRPr="000F5391">
        <w:rPr>
          <w:rtl/>
        </w:rPr>
        <w:t xml:space="preserve">סכים </w:t>
      </w:r>
      <w:r>
        <w:rPr>
          <w:rFonts w:hint="cs"/>
          <w:rtl/>
        </w:rPr>
        <w:t>ש</w:t>
      </w:r>
      <w:r w:rsidRPr="000F5391">
        <w:rPr>
          <w:rtl/>
        </w:rPr>
        <w:t xml:space="preserve">קיים צורך </w:t>
      </w:r>
      <w:r w:rsidRPr="000F5391">
        <w:rPr>
          <w:rFonts w:hint="eastAsia"/>
          <w:rtl/>
        </w:rPr>
        <w:t>חיוני</w:t>
      </w:r>
      <w:r w:rsidRPr="000F5391">
        <w:rPr>
          <w:rtl/>
        </w:rPr>
        <w:t xml:space="preserve"> </w:t>
      </w:r>
      <w:r w:rsidRPr="000F5391">
        <w:rPr>
          <w:rFonts w:hint="eastAsia"/>
          <w:rtl/>
        </w:rPr>
        <w:t>בלמידה</w:t>
      </w:r>
      <w:r w:rsidRPr="000F5391">
        <w:rPr>
          <w:rtl/>
        </w:rPr>
        <w:t xml:space="preserve"> </w:t>
      </w:r>
      <w:r w:rsidRPr="000F5391">
        <w:rPr>
          <w:rFonts w:hint="eastAsia"/>
          <w:rtl/>
        </w:rPr>
        <w:t>ארגונית</w:t>
      </w:r>
      <w:r w:rsidRPr="000F5391">
        <w:rPr>
          <w:rtl/>
        </w:rPr>
        <w:t xml:space="preserve"> </w:t>
      </w:r>
      <w:r w:rsidRPr="000F5391">
        <w:rPr>
          <w:rFonts w:hint="eastAsia"/>
          <w:rtl/>
        </w:rPr>
        <w:t>ו</w:t>
      </w:r>
      <w:r>
        <w:rPr>
          <w:rFonts w:hint="cs"/>
          <w:rtl/>
        </w:rPr>
        <w:t xml:space="preserve">כי הוא </w:t>
      </w:r>
      <w:r w:rsidRPr="000F5391">
        <w:rPr>
          <w:rFonts w:hint="eastAsia"/>
          <w:rtl/>
        </w:rPr>
        <w:t>פועל</w:t>
      </w:r>
      <w:r w:rsidRPr="000F5391">
        <w:rPr>
          <w:rtl/>
        </w:rPr>
        <w:t xml:space="preserve"> </w:t>
      </w:r>
      <w:r w:rsidRPr="000F5391">
        <w:rPr>
          <w:rFonts w:hint="eastAsia"/>
          <w:rtl/>
        </w:rPr>
        <w:t>להכנת</w:t>
      </w:r>
      <w:r w:rsidRPr="000F5391">
        <w:rPr>
          <w:rtl/>
        </w:rPr>
        <w:t xml:space="preserve"> </w:t>
      </w:r>
      <w:r>
        <w:rPr>
          <w:rFonts w:hint="cs"/>
          <w:rtl/>
        </w:rPr>
        <w:t>תבנית</w:t>
      </w:r>
      <w:r w:rsidRPr="000F5391">
        <w:rPr>
          <w:rtl/>
        </w:rPr>
        <w:t xml:space="preserve"> </w:t>
      </w:r>
      <w:r w:rsidRPr="000F5391">
        <w:rPr>
          <w:rFonts w:hint="eastAsia"/>
          <w:rtl/>
        </w:rPr>
        <w:t>להערכת</w:t>
      </w:r>
      <w:r w:rsidRPr="000F5391">
        <w:rPr>
          <w:rtl/>
        </w:rPr>
        <w:t xml:space="preserve"> </w:t>
      </w:r>
      <w:r w:rsidRPr="000F5391">
        <w:rPr>
          <w:rFonts w:hint="eastAsia"/>
          <w:rtl/>
        </w:rPr>
        <w:t>תפקודה</w:t>
      </w:r>
      <w:r w:rsidRPr="000F5391">
        <w:rPr>
          <w:rtl/>
        </w:rPr>
        <w:t xml:space="preserve"> </w:t>
      </w:r>
      <w:r w:rsidRPr="000F5391">
        <w:rPr>
          <w:rFonts w:hint="eastAsia"/>
          <w:rtl/>
        </w:rPr>
        <w:t>של</w:t>
      </w:r>
      <w:r w:rsidRPr="000F5391">
        <w:rPr>
          <w:rtl/>
        </w:rPr>
        <w:t xml:space="preserve"> </w:t>
      </w:r>
      <w:r w:rsidRPr="000F5391">
        <w:rPr>
          <w:rFonts w:hint="eastAsia"/>
          <w:rtl/>
        </w:rPr>
        <w:t>כל</w:t>
      </w:r>
      <w:r w:rsidRPr="000F5391">
        <w:rPr>
          <w:rtl/>
        </w:rPr>
        <w:t xml:space="preserve"> </w:t>
      </w:r>
      <w:r w:rsidRPr="000F5391">
        <w:rPr>
          <w:rFonts w:hint="eastAsia"/>
          <w:rtl/>
        </w:rPr>
        <w:t>חברה</w:t>
      </w:r>
      <w:r w:rsidRPr="000F5391">
        <w:rPr>
          <w:rtl/>
        </w:rPr>
        <w:t xml:space="preserve"> </w:t>
      </w:r>
      <w:r w:rsidRPr="000F5391">
        <w:rPr>
          <w:rFonts w:hint="eastAsia"/>
          <w:rtl/>
        </w:rPr>
        <w:t>מתכננת</w:t>
      </w:r>
      <w:r w:rsidRPr="000F5391">
        <w:rPr>
          <w:rtl/>
        </w:rPr>
        <w:t xml:space="preserve"> </w:t>
      </w:r>
      <w:r>
        <w:rPr>
          <w:rFonts w:hint="cs"/>
          <w:rtl/>
        </w:rPr>
        <w:t>בסיום עבודתה.</w:t>
      </w:r>
      <w:r w:rsidRPr="000F5391">
        <w:rPr>
          <w:rFonts w:hint="eastAsia"/>
          <w:rtl/>
        </w:rPr>
        <w:t xml:space="preserve"> </w:t>
      </w:r>
      <w:r>
        <w:rPr>
          <w:rFonts w:hint="cs"/>
          <w:rtl/>
        </w:rPr>
        <w:t xml:space="preserve">המשרד גם ציין כי </w:t>
      </w:r>
      <w:r w:rsidRPr="000F5391">
        <w:rPr>
          <w:rFonts w:hint="eastAsia"/>
          <w:rtl/>
        </w:rPr>
        <w:t>מרבית</w:t>
      </w:r>
      <w:r w:rsidRPr="000F5391">
        <w:rPr>
          <w:rtl/>
        </w:rPr>
        <w:t xml:space="preserve"> </w:t>
      </w:r>
      <w:r w:rsidRPr="000F5391">
        <w:rPr>
          <w:rFonts w:hint="eastAsia"/>
          <w:rtl/>
        </w:rPr>
        <w:t>החברות</w:t>
      </w:r>
      <w:r w:rsidRPr="000F5391">
        <w:rPr>
          <w:rtl/>
        </w:rPr>
        <w:t xml:space="preserve"> </w:t>
      </w:r>
      <w:r w:rsidRPr="000F5391">
        <w:rPr>
          <w:rFonts w:hint="eastAsia"/>
          <w:rtl/>
        </w:rPr>
        <w:t>טרם</w:t>
      </w:r>
      <w:r w:rsidRPr="000F5391">
        <w:rPr>
          <w:rtl/>
        </w:rPr>
        <w:t xml:space="preserve"> </w:t>
      </w:r>
      <w:r w:rsidRPr="000F5391">
        <w:rPr>
          <w:rFonts w:hint="eastAsia"/>
          <w:rtl/>
        </w:rPr>
        <w:t>סיימו</w:t>
      </w:r>
      <w:r w:rsidRPr="000F5391">
        <w:rPr>
          <w:rtl/>
        </w:rPr>
        <w:t xml:space="preserve"> </w:t>
      </w:r>
      <w:r w:rsidRPr="000F5391">
        <w:rPr>
          <w:rFonts w:hint="eastAsia"/>
          <w:rtl/>
        </w:rPr>
        <w:t>את</w:t>
      </w:r>
      <w:r w:rsidRPr="000F5391">
        <w:rPr>
          <w:rtl/>
        </w:rPr>
        <w:t xml:space="preserve"> </w:t>
      </w:r>
      <w:r w:rsidRPr="000F5391">
        <w:rPr>
          <w:rFonts w:hint="eastAsia"/>
          <w:rtl/>
        </w:rPr>
        <w:t>עבודת</w:t>
      </w:r>
      <w:r w:rsidRPr="000F5391">
        <w:rPr>
          <w:rtl/>
        </w:rPr>
        <w:t xml:space="preserve"> </w:t>
      </w:r>
      <w:r w:rsidRPr="000F5391">
        <w:rPr>
          <w:rFonts w:hint="eastAsia"/>
          <w:rtl/>
        </w:rPr>
        <w:t>התכנון</w:t>
      </w:r>
      <w:r>
        <w:rPr>
          <w:rFonts w:hint="cs"/>
          <w:rtl/>
        </w:rPr>
        <w:t>,</w:t>
      </w:r>
      <w:r w:rsidRPr="000F5391">
        <w:rPr>
          <w:rtl/>
        </w:rPr>
        <w:t xml:space="preserve"> </w:t>
      </w:r>
      <w:r w:rsidRPr="000F5391">
        <w:rPr>
          <w:rFonts w:hint="eastAsia"/>
          <w:rtl/>
        </w:rPr>
        <w:t>ולכן</w:t>
      </w:r>
      <w:r w:rsidRPr="000F5391">
        <w:rPr>
          <w:rtl/>
        </w:rPr>
        <w:t xml:space="preserve"> </w:t>
      </w:r>
      <w:r w:rsidRPr="000F5391">
        <w:rPr>
          <w:rFonts w:hint="eastAsia"/>
          <w:rtl/>
        </w:rPr>
        <w:t>טרם</w:t>
      </w:r>
      <w:r w:rsidRPr="000F5391">
        <w:rPr>
          <w:rtl/>
        </w:rPr>
        <w:t xml:space="preserve"> </w:t>
      </w:r>
      <w:r>
        <w:rPr>
          <w:rFonts w:hint="cs"/>
          <w:rtl/>
        </w:rPr>
        <w:t>הוערכה</w:t>
      </w:r>
      <w:r w:rsidRPr="000F5391">
        <w:rPr>
          <w:rtl/>
        </w:rPr>
        <w:t xml:space="preserve"> עבודתן.</w:t>
      </w:r>
    </w:p>
    <w:p w14:paraId="72F6050F" w14:textId="77777777" w:rsidR="009A28D9" w:rsidRPr="000F5391" w:rsidRDefault="009A28D9" w:rsidP="000C3CBC">
      <w:pPr>
        <w:pStyle w:val="aa"/>
        <w:rPr>
          <w:rtl/>
        </w:rPr>
      </w:pPr>
      <w:r>
        <w:rPr>
          <w:rFonts w:hint="cs"/>
          <w:rtl/>
        </w:rPr>
        <w:t>ע</w:t>
      </w:r>
      <w:r w:rsidRPr="00183E6E">
        <w:rPr>
          <w:rFonts w:hint="cs"/>
          <w:rtl/>
        </w:rPr>
        <w:t>ל</w:t>
      </w:r>
      <w:r>
        <w:rPr>
          <w:rFonts w:hint="cs"/>
          <w:rtl/>
        </w:rPr>
        <w:t xml:space="preserve"> </w:t>
      </w:r>
      <w:r w:rsidRPr="00183E6E">
        <w:rPr>
          <w:rFonts w:hint="cs"/>
          <w:rtl/>
        </w:rPr>
        <w:t xml:space="preserve">רמ"י </w:t>
      </w:r>
      <w:r>
        <w:rPr>
          <w:rFonts w:hint="cs"/>
          <w:rtl/>
        </w:rPr>
        <w:t>ומשרד הבינוי לבחון הסדרת תהליך עבודה להערכה שיטתית ומובנית של כל עבודה עם סיומה או באופן תקופתי רצוף. ראוי גם שבמסגרת זו ישקלו להכין טופס מובנה ובו אמות המידה להערכה ומדדי ההערכה והציונים לכל מדד. מידע זה יובא במלואו לכל מכרז שבו משתתפת החברה המתכננת ויתרום להחלטת ועדת המכרזים בבחירה בהצעה</w:t>
      </w:r>
      <w:r w:rsidRPr="00857BA9">
        <w:rPr>
          <w:rtl/>
        </w:rPr>
        <w:t xml:space="preserve"> מיטבית הן מבחינת </w:t>
      </w:r>
      <w:r>
        <w:rPr>
          <w:rFonts w:hint="cs"/>
          <w:rtl/>
        </w:rPr>
        <w:t>ה</w:t>
      </w:r>
      <w:r w:rsidRPr="00857BA9">
        <w:rPr>
          <w:rtl/>
        </w:rPr>
        <w:t xml:space="preserve">איכות הן מבחינת </w:t>
      </w:r>
      <w:r>
        <w:rPr>
          <w:rFonts w:hint="cs"/>
          <w:rtl/>
        </w:rPr>
        <w:t>ה</w:t>
      </w:r>
      <w:r w:rsidRPr="00857BA9">
        <w:rPr>
          <w:rtl/>
        </w:rPr>
        <w:t>מחיר</w:t>
      </w:r>
      <w:r>
        <w:rPr>
          <w:rFonts w:hint="cs"/>
          <w:rtl/>
        </w:rPr>
        <w:t>. הנהגת מתכונת זו תייצר בסיס משותף להערכת ספקים במכרזים עתידיים בתחום התכנון, ובד בבד תבטיח שההערכות ייעשו בזמן אמת, קרי סמוך לסיום העבודה, ולא יתבססו על זיכרון המעריך, דבר שפוגע באובייקטיביות ההערכה ובאמינותה.</w:t>
      </w:r>
      <w:r w:rsidRPr="000F5391">
        <w:rPr>
          <w:rtl/>
        </w:rPr>
        <w:t xml:space="preserve"> </w:t>
      </w:r>
    </w:p>
    <w:p w14:paraId="52F8C795" w14:textId="77777777" w:rsidR="009A28D9" w:rsidRPr="00E27A74" w:rsidRDefault="009A28D9" w:rsidP="000C3CBC">
      <w:pPr>
        <w:pStyle w:val="a0"/>
        <w:rPr>
          <w:rtl/>
        </w:rPr>
      </w:pPr>
      <w:r w:rsidRPr="00E27A74">
        <w:rPr>
          <w:rFonts w:hint="cs"/>
          <w:rtl/>
        </w:rPr>
        <w:t xml:space="preserve">בדוח מבקר המדינה </w:t>
      </w:r>
      <w:r>
        <w:rPr>
          <w:rFonts w:hint="cs"/>
          <w:rtl/>
        </w:rPr>
        <w:t xml:space="preserve">משנת 2019 </w:t>
      </w:r>
      <w:r w:rsidRPr="00E27A74">
        <w:rPr>
          <w:rFonts w:hint="cs"/>
          <w:rtl/>
        </w:rPr>
        <w:t>בנושא "היבטים בהתקשרויות משרדי הממשלה בתחום התקשוב"</w:t>
      </w:r>
      <w:r>
        <w:rPr>
          <w:rStyle w:val="FootnoteReference"/>
          <w:rtl/>
        </w:rPr>
        <w:footnoteReference w:id="33"/>
      </w:r>
      <w:r>
        <w:rPr>
          <w:rFonts w:hint="cs"/>
          <w:rtl/>
        </w:rPr>
        <w:t xml:space="preserve">, בפרק </w:t>
      </w:r>
      <w:r w:rsidRPr="00E27A74">
        <w:rPr>
          <w:rFonts w:hint="cs"/>
          <w:rtl/>
        </w:rPr>
        <w:t>"התחשבות</w:t>
      </w:r>
      <w:r w:rsidRPr="00E27A74">
        <w:rPr>
          <w:rtl/>
        </w:rPr>
        <w:t xml:space="preserve"> בביצועים הקודמים של הספקים</w:t>
      </w:r>
      <w:r w:rsidRPr="00E27A74">
        <w:rPr>
          <w:rFonts w:hint="cs"/>
          <w:rtl/>
        </w:rPr>
        <w:t xml:space="preserve"> </w:t>
      </w:r>
      <w:r w:rsidRPr="00E27A74">
        <w:rPr>
          <w:rtl/>
        </w:rPr>
        <w:t>בהתקשרויות עם הממשלה כאמת מידה</w:t>
      </w:r>
      <w:r w:rsidRPr="00E27A74">
        <w:rPr>
          <w:rFonts w:hint="cs"/>
          <w:rtl/>
        </w:rPr>
        <w:t xml:space="preserve"> </w:t>
      </w:r>
      <w:r w:rsidRPr="00E27A74">
        <w:rPr>
          <w:rtl/>
        </w:rPr>
        <w:t>לבחינת התקשרויות חדשות של הממשלה</w:t>
      </w:r>
      <w:r w:rsidRPr="00E27A74">
        <w:rPr>
          <w:rFonts w:hint="cs"/>
          <w:rtl/>
        </w:rPr>
        <w:t>", צוין כי באר</w:t>
      </w:r>
      <w:r>
        <w:rPr>
          <w:rFonts w:hint="cs"/>
          <w:rtl/>
        </w:rPr>
        <w:t>צות הברית</w:t>
      </w:r>
      <w:r w:rsidRPr="00E27A74">
        <w:rPr>
          <w:rFonts w:hint="cs"/>
          <w:rtl/>
        </w:rPr>
        <w:t xml:space="preserve"> ההתחשבות בביצועי העבר של המציע היא אמת מידה מרכזית וחיונית בכל התקשרות פדרלית</w:t>
      </w:r>
      <w:r>
        <w:rPr>
          <w:rFonts w:hint="cs"/>
          <w:rtl/>
        </w:rPr>
        <w:t>.</w:t>
      </w:r>
      <w:r w:rsidRPr="00E27A74">
        <w:rPr>
          <w:rFonts w:hint="cs"/>
          <w:rtl/>
        </w:rPr>
        <w:t xml:space="preserve"> </w:t>
      </w:r>
      <w:r>
        <w:rPr>
          <w:rFonts w:hint="cs"/>
          <w:rtl/>
        </w:rPr>
        <w:t xml:space="preserve">עוד נכתב כי </w:t>
      </w:r>
      <w:r w:rsidRPr="00E27A74">
        <w:rPr>
          <w:rFonts w:hint="cs"/>
          <w:rtl/>
        </w:rPr>
        <w:t xml:space="preserve">במסמך מדיניות שפרסם הממשל הפדרלי בשנת 2000 צוין שהערכת </w:t>
      </w:r>
      <w:r w:rsidRPr="00E27A74">
        <w:rPr>
          <w:rFonts w:hint="cs"/>
          <w:rtl/>
        </w:rPr>
        <w:lastRenderedPageBreak/>
        <w:t>ביצועי הספק הנבחר משרתת שתי מטרות: יצירת "בנק הערכות", שיאפשר</w:t>
      </w:r>
      <w:r w:rsidRPr="00E27A74">
        <w:rPr>
          <w:rtl/>
        </w:rPr>
        <w:t xml:space="preserve"> לבחור את הספקים</w:t>
      </w:r>
      <w:r w:rsidRPr="00E27A74">
        <w:rPr>
          <w:rFonts w:hint="cs"/>
          <w:rtl/>
        </w:rPr>
        <w:t xml:space="preserve"> </w:t>
      </w:r>
      <w:r w:rsidRPr="00E27A74">
        <w:rPr>
          <w:rtl/>
        </w:rPr>
        <w:t>הטובים ביותר בהתקשרויות עתידיות, ושימוש במנגנון ההערכה ככלי ניהולי</w:t>
      </w:r>
      <w:r w:rsidRPr="00E27A74">
        <w:rPr>
          <w:rFonts w:hint="cs"/>
          <w:rtl/>
        </w:rPr>
        <w:t xml:space="preserve"> </w:t>
      </w:r>
      <w:r w:rsidRPr="00E27A74">
        <w:rPr>
          <w:rtl/>
        </w:rPr>
        <w:t>ש</w:t>
      </w:r>
      <w:r>
        <w:rPr>
          <w:rFonts w:hint="cs"/>
          <w:rtl/>
        </w:rPr>
        <w:t>מ</w:t>
      </w:r>
      <w:r w:rsidRPr="00E27A74">
        <w:rPr>
          <w:rtl/>
        </w:rPr>
        <w:t xml:space="preserve">מריץ את הספק לשפר את </w:t>
      </w:r>
      <w:r>
        <w:rPr>
          <w:rFonts w:hint="cs"/>
          <w:rtl/>
        </w:rPr>
        <w:t>עבודת</w:t>
      </w:r>
      <w:r w:rsidRPr="00E27A74">
        <w:rPr>
          <w:rtl/>
        </w:rPr>
        <w:t>ו כדי לזכות בהערכה חיובית.</w:t>
      </w:r>
      <w:r>
        <w:rPr>
          <w:rFonts w:hint="cs"/>
          <w:rtl/>
        </w:rPr>
        <w:t xml:space="preserve"> </w:t>
      </w:r>
    </w:p>
    <w:p w14:paraId="7C590C0F" w14:textId="77777777" w:rsidR="009A28D9" w:rsidRDefault="009A28D9" w:rsidP="000C3CBC">
      <w:pPr>
        <w:pStyle w:val="af0"/>
        <w:rPr>
          <w:rtl/>
        </w:rPr>
      </w:pPr>
      <w:r w:rsidRPr="00E27A74">
        <w:rPr>
          <w:rFonts w:hint="cs"/>
          <w:rtl/>
        </w:rPr>
        <w:t xml:space="preserve">מבקר המדינה </w:t>
      </w:r>
      <w:r>
        <w:rPr>
          <w:rFonts w:hint="cs"/>
          <w:rtl/>
        </w:rPr>
        <w:t>המליץ</w:t>
      </w:r>
      <w:r w:rsidRPr="00E27A74">
        <w:rPr>
          <w:rFonts w:hint="cs"/>
          <w:rtl/>
        </w:rPr>
        <w:t xml:space="preserve"> </w:t>
      </w:r>
      <w:r>
        <w:rPr>
          <w:rFonts w:hint="cs"/>
          <w:rtl/>
        </w:rPr>
        <w:t xml:space="preserve">אז כי </w:t>
      </w:r>
      <w:r w:rsidRPr="00E27A74">
        <w:rPr>
          <w:rFonts w:hint="cs"/>
          <w:rtl/>
        </w:rPr>
        <w:t>על</w:t>
      </w:r>
      <w:r w:rsidRPr="00E27A74">
        <w:rPr>
          <w:rtl/>
        </w:rPr>
        <w:t xml:space="preserve"> רשות התקשוב והחש</w:t>
      </w:r>
      <w:r>
        <w:rPr>
          <w:rFonts w:hint="cs"/>
          <w:rtl/>
        </w:rPr>
        <w:t>ב הכללי</w:t>
      </w:r>
      <w:r w:rsidRPr="00E27A74">
        <w:rPr>
          <w:rtl/>
        </w:rPr>
        <w:t xml:space="preserve"> לשקול להקים מאגר מידע ממשלתי </w:t>
      </w:r>
      <w:r w:rsidRPr="00E27A74">
        <w:rPr>
          <w:rFonts w:hint="cs"/>
          <w:rtl/>
        </w:rPr>
        <w:t xml:space="preserve">בתחום התקשוב </w:t>
      </w:r>
      <w:r>
        <w:rPr>
          <w:rFonts w:hint="cs"/>
          <w:rtl/>
        </w:rPr>
        <w:t>ש</w:t>
      </w:r>
      <w:r w:rsidRPr="00E27A74">
        <w:rPr>
          <w:rtl/>
        </w:rPr>
        <w:t>בו</w:t>
      </w:r>
      <w:r w:rsidRPr="00E27A74">
        <w:rPr>
          <w:rFonts w:hint="cs"/>
          <w:rtl/>
        </w:rPr>
        <w:t xml:space="preserve"> </w:t>
      </w:r>
      <w:r w:rsidRPr="00E27A74">
        <w:rPr>
          <w:rtl/>
        </w:rPr>
        <w:t>יירשמו חוות הדעת על טיב עבודת הספקים, בדומה</w:t>
      </w:r>
      <w:r w:rsidRPr="00E27A74">
        <w:rPr>
          <w:rFonts w:hint="cs"/>
          <w:rtl/>
        </w:rPr>
        <w:t xml:space="preserve"> </w:t>
      </w:r>
      <w:r w:rsidRPr="00E27A74">
        <w:rPr>
          <w:rtl/>
        </w:rPr>
        <w:t>למאגרים שהוקמו בארצות הברית. מאגר כזה יכול לתרום לשיפור רמת</w:t>
      </w:r>
      <w:r w:rsidRPr="00E27A74">
        <w:rPr>
          <w:rFonts w:hint="cs"/>
          <w:rtl/>
        </w:rPr>
        <w:t xml:space="preserve"> </w:t>
      </w:r>
      <w:r w:rsidRPr="00E27A74">
        <w:rPr>
          <w:rtl/>
        </w:rPr>
        <w:t>השירות של הספקים בהתקשרויות הקיימות ולסייע בבחירת הספקים</w:t>
      </w:r>
      <w:r w:rsidRPr="00E27A74">
        <w:rPr>
          <w:rFonts w:hint="cs"/>
          <w:rtl/>
        </w:rPr>
        <w:t xml:space="preserve"> </w:t>
      </w:r>
      <w:r w:rsidRPr="00E27A74">
        <w:rPr>
          <w:rtl/>
        </w:rPr>
        <w:t xml:space="preserve">הטובים ביותר בהתקשרויות עתידיות. </w:t>
      </w:r>
      <w:r>
        <w:rPr>
          <w:rFonts w:hint="cs"/>
          <w:rtl/>
        </w:rPr>
        <w:t xml:space="preserve">הומלץ כי אם </w:t>
      </w:r>
      <w:r w:rsidRPr="00E27A74">
        <w:rPr>
          <w:rtl/>
        </w:rPr>
        <w:t xml:space="preserve">יוקם מאגר מידע </w:t>
      </w:r>
      <w:r>
        <w:rPr>
          <w:rFonts w:hint="cs"/>
          <w:rtl/>
        </w:rPr>
        <w:t>כזה</w:t>
      </w:r>
      <w:r w:rsidRPr="00E27A74">
        <w:rPr>
          <w:rtl/>
        </w:rPr>
        <w:t>,</w:t>
      </w:r>
      <w:r w:rsidRPr="00E27A74">
        <w:rPr>
          <w:rFonts w:hint="cs"/>
          <w:rtl/>
        </w:rPr>
        <w:t xml:space="preserve"> </w:t>
      </w:r>
      <w:r>
        <w:rPr>
          <w:rFonts w:hint="cs"/>
          <w:rtl/>
        </w:rPr>
        <w:t>הוא יורחב</w:t>
      </w:r>
      <w:r w:rsidRPr="00E27A74">
        <w:rPr>
          <w:rtl/>
        </w:rPr>
        <w:t xml:space="preserve"> גם להתקשרויות שאינן בתחום התקשוב.</w:t>
      </w:r>
      <w:r>
        <w:rPr>
          <w:rFonts w:hint="cs"/>
          <w:rtl/>
        </w:rPr>
        <w:t xml:space="preserve"> </w:t>
      </w:r>
      <w:r>
        <w:rPr>
          <w:rtl/>
        </w:rPr>
        <w:t xml:space="preserve">בתשובתו </w:t>
      </w:r>
      <w:r>
        <w:rPr>
          <w:rFonts w:hint="cs"/>
          <w:rtl/>
        </w:rPr>
        <w:t xml:space="preserve">לדוח משנת 2019 </w:t>
      </w:r>
      <w:r>
        <w:rPr>
          <w:rtl/>
        </w:rPr>
        <w:t>הודיע החש</w:t>
      </w:r>
      <w:r>
        <w:rPr>
          <w:rFonts w:hint="cs"/>
          <w:rtl/>
        </w:rPr>
        <w:t xml:space="preserve">ב הכללי </w:t>
      </w:r>
      <w:r>
        <w:rPr>
          <w:rtl/>
        </w:rPr>
        <w:t>כי ההערה מקובלת וכי הנושא ייבחן מול רשות</w:t>
      </w:r>
      <w:r>
        <w:rPr>
          <w:rFonts w:hint="cs"/>
          <w:rtl/>
        </w:rPr>
        <w:t xml:space="preserve"> </w:t>
      </w:r>
      <w:r>
        <w:rPr>
          <w:rtl/>
        </w:rPr>
        <w:t>התקשוב, ע</w:t>
      </w:r>
      <w:r>
        <w:rPr>
          <w:rFonts w:hint="cs"/>
          <w:rtl/>
        </w:rPr>
        <w:t>ל</w:t>
      </w:r>
      <w:r>
        <w:rPr>
          <w:rtl/>
        </w:rPr>
        <w:t xml:space="preserve"> המשמעויות הנלוות לכך.</w:t>
      </w:r>
      <w:r>
        <w:rPr>
          <w:rFonts w:hint="cs"/>
          <w:rtl/>
        </w:rPr>
        <w:t xml:space="preserve"> </w:t>
      </w:r>
    </w:p>
    <w:p w14:paraId="06DE86B2" w14:textId="77777777" w:rsidR="009A28D9" w:rsidRDefault="009A28D9" w:rsidP="000C3CBC">
      <w:pPr>
        <w:pStyle w:val="12"/>
        <w:rPr>
          <w:rtl/>
        </w:rPr>
      </w:pPr>
      <w:r w:rsidRPr="00E27A74">
        <w:rPr>
          <w:rFonts w:hint="cs"/>
          <w:rtl/>
        </w:rPr>
        <w:t>משרד מבקר המדינה</w:t>
      </w:r>
      <w:r>
        <w:rPr>
          <w:rFonts w:hint="cs"/>
          <w:rtl/>
        </w:rPr>
        <w:t xml:space="preserve"> ממליץ כי </w:t>
      </w:r>
      <w:r w:rsidRPr="00E27A74">
        <w:rPr>
          <w:rFonts w:hint="cs"/>
          <w:rtl/>
        </w:rPr>
        <w:t xml:space="preserve">מאחר </w:t>
      </w:r>
      <w:r>
        <w:rPr>
          <w:rFonts w:hint="cs"/>
          <w:rtl/>
        </w:rPr>
        <w:t>ש</w:t>
      </w:r>
      <w:r w:rsidRPr="00E27A74">
        <w:rPr>
          <w:rFonts w:hint="cs"/>
          <w:rtl/>
        </w:rPr>
        <w:t>תחום התכנון ייחודי ודורש מומחיות</w:t>
      </w:r>
      <w:r>
        <w:rPr>
          <w:rFonts w:hint="cs"/>
          <w:rtl/>
        </w:rPr>
        <w:t xml:space="preserve"> כמפורט לעיל</w:t>
      </w:r>
      <w:r w:rsidRPr="00E27A74">
        <w:rPr>
          <w:rFonts w:hint="cs"/>
          <w:rtl/>
        </w:rPr>
        <w:t xml:space="preserve">, </w:t>
      </w:r>
      <w:r>
        <w:rPr>
          <w:rFonts w:hint="cs"/>
          <w:rtl/>
        </w:rPr>
        <w:t>והואיל ול</w:t>
      </w:r>
      <w:r w:rsidRPr="00E27A74">
        <w:rPr>
          <w:rFonts w:hint="cs"/>
          <w:rtl/>
        </w:rPr>
        <w:t>שביעות הרצון מעבוד</w:t>
      </w:r>
      <w:r>
        <w:rPr>
          <w:rFonts w:hint="cs"/>
          <w:rtl/>
        </w:rPr>
        <w:t>ו</w:t>
      </w:r>
      <w:r w:rsidRPr="00E27A74">
        <w:rPr>
          <w:rFonts w:hint="cs"/>
          <w:rtl/>
        </w:rPr>
        <w:t>ת ה</w:t>
      </w:r>
      <w:r>
        <w:rPr>
          <w:rFonts w:hint="cs"/>
          <w:rtl/>
        </w:rPr>
        <w:t>עבר יש משקל בבחירת הספקים, ראוי שה</w:t>
      </w:r>
      <w:r w:rsidRPr="00AF0DC5">
        <w:rPr>
          <w:rtl/>
        </w:rPr>
        <w:t>גופים העוסקים בקידום פעולות התכנון</w:t>
      </w:r>
      <w:r>
        <w:rPr>
          <w:rFonts w:hint="cs"/>
          <w:rtl/>
        </w:rPr>
        <w:t>,</w:t>
      </w:r>
      <w:r w:rsidRPr="00AF0DC5">
        <w:rPr>
          <w:rtl/>
        </w:rPr>
        <w:t xml:space="preserve"> ובהם רמ"י, משרד הבינוי, מינהל התכנון והחשב הכללי, </w:t>
      </w:r>
      <w:r>
        <w:rPr>
          <w:rFonts w:hint="cs"/>
          <w:rtl/>
        </w:rPr>
        <w:t xml:space="preserve">ישקלו </w:t>
      </w:r>
      <w:r w:rsidRPr="00E27A74">
        <w:rPr>
          <w:rFonts w:hint="cs"/>
          <w:rtl/>
        </w:rPr>
        <w:t xml:space="preserve">הקמת מאגר מידע ממשלתי </w:t>
      </w:r>
      <w:r>
        <w:rPr>
          <w:rFonts w:hint="cs"/>
          <w:rtl/>
        </w:rPr>
        <w:t>גם בתחום זה; זאת בלי לפגוע באפשרות הכללת ספקים חדשים במאגר (ראו גם להלן ב</w:t>
      </w:r>
      <w:r w:rsidRPr="00E27A74">
        <w:rPr>
          <w:rFonts w:hint="cs"/>
          <w:rtl/>
        </w:rPr>
        <w:t>פרק</w:t>
      </w:r>
      <w:r w:rsidRPr="00E27A74">
        <w:rPr>
          <w:rtl/>
        </w:rPr>
        <w:t xml:space="preserve"> </w:t>
      </w:r>
      <w:r w:rsidRPr="00E27A74">
        <w:rPr>
          <w:rFonts w:hint="cs"/>
          <w:rtl/>
        </w:rPr>
        <w:t>"</w:t>
      </w:r>
      <w:r w:rsidRPr="00D65210">
        <w:rPr>
          <w:rtl/>
        </w:rPr>
        <w:t>שיתוף מידע בין הגופים הממשלתיים העוסקים בתכנון</w:t>
      </w:r>
      <w:r w:rsidRPr="00E27A74">
        <w:rPr>
          <w:rFonts w:hint="cs"/>
          <w:rtl/>
        </w:rPr>
        <w:t>"</w:t>
      </w:r>
      <w:r>
        <w:rPr>
          <w:rFonts w:hint="cs"/>
          <w:rtl/>
        </w:rPr>
        <w:t>)</w:t>
      </w:r>
      <w:r w:rsidRPr="00E27A74">
        <w:rPr>
          <w:rFonts w:hint="cs"/>
          <w:rtl/>
        </w:rPr>
        <w:t>.</w:t>
      </w:r>
    </w:p>
    <w:p w14:paraId="7AE02EBE" w14:textId="77777777" w:rsidR="009A28D9" w:rsidRDefault="009A28D9" w:rsidP="000C3CBC">
      <w:pPr>
        <w:pStyle w:val="100"/>
        <w:rPr>
          <w:rtl/>
        </w:rPr>
      </w:pPr>
      <w:r>
        <w:rPr>
          <w:rFonts w:hint="cs"/>
          <w:rtl/>
        </w:rPr>
        <w:t xml:space="preserve">החשב הכללי ציין בתשובתו מדצמבר 2019 </w:t>
      </w:r>
      <w:r w:rsidRPr="00347AD2">
        <w:rPr>
          <w:rtl/>
        </w:rPr>
        <w:t>כי</w:t>
      </w:r>
      <w:r>
        <w:rPr>
          <w:rFonts w:hint="cs"/>
          <w:rtl/>
        </w:rPr>
        <w:t xml:space="preserve"> מנגנון הערכת ספקים הוטמע בשני מכרזים מרכזיים לאספקת שירותי דיגיטל ולאספקת שירותי טכנולוגיות המידע של מינהל הרכש הממשלתי שפורסמו ב-2019. עוד ציין כי הוחלט על ביצוע פיילוט להערכת קבלנים </w:t>
      </w:r>
      <w:r>
        <w:rPr>
          <w:rtl/>
        </w:rPr>
        <w:t>במסגרת מכרז מאגר הקבלנים הממשלתי</w:t>
      </w:r>
      <w:r>
        <w:rPr>
          <w:rFonts w:hint="cs"/>
          <w:rtl/>
        </w:rPr>
        <w:t>, ו</w:t>
      </w:r>
      <w:r>
        <w:rPr>
          <w:rtl/>
        </w:rPr>
        <w:t xml:space="preserve">בימים אלו מבוצעת עבודת מטה </w:t>
      </w:r>
      <w:r>
        <w:rPr>
          <w:rFonts w:hint="cs"/>
          <w:rtl/>
        </w:rPr>
        <w:t>לקביעת</w:t>
      </w:r>
      <w:r>
        <w:rPr>
          <w:rtl/>
        </w:rPr>
        <w:t xml:space="preserve"> הכללים והמדדים להערכת הספקים בפיילוט. בהתאם לממצאי הפיילוט, מידת הצלחתו ולקחים שיופקו ממנו, </w:t>
      </w:r>
      <w:r>
        <w:rPr>
          <w:rFonts w:hint="cs"/>
          <w:rtl/>
        </w:rPr>
        <w:t xml:space="preserve">הוא </w:t>
      </w:r>
      <w:r>
        <w:rPr>
          <w:rtl/>
        </w:rPr>
        <w:t>יורחב לתחומים נוספים רלוונטיים</w:t>
      </w:r>
      <w:r>
        <w:rPr>
          <w:rFonts w:hint="cs"/>
          <w:rtl/>
        </w:rPr>
        <w:t>,</w:t>
      </w:r>
      <w:r>
        <w:rPr>
          <w:rtl/>
        </w:rPr>
        <w:t xml:space="preserve"> כגון יועצים ומתכננים בתחום הבנייה</w:t>
      </w:r>
      <w:r>
        <w:rPr>
          <w:rFonts w:hint="cs"/>
          <w:rtl/>
        </w:rPr>
        <w:t>,</w:t>
      </w:r>
      <w:r>
        <w:rPr>
          <w:rtl/>
        </w:rPr>
        <w:t xml:space="preserve"> והכ</w:t>
      </w:r>
      <w:r>
        <w:rPr>
          <w:rFonts w:hint="cs"/>
          <w:rtl/>
        </w:rPr>
        <w:t>ו</w:t>
      </w:r>
      <w:r>
        <w:rPr>
          <w:rtl/>
        </w:rPr>
        <w:t>ל בכפוף ל</w:t>
      </w:r>
      <w:r>
        <w:rPr>
          <w:rFonts w:hint="cs"/>
          <w:rtl/>
        </w:rPr>
        <w:t xml:space="preserve">הקצאת </w:t>
      </w:r>
      <w:r>
        <w:rPr>
          <w:rtl/>
        </w:rPr>
        <w:t>משאבים מתאימים.</w:t>
      </w:r>
      <w:r w:rsidRPr="002E46D2">
        <w:rPr>
          <w:rFonts w:hint="cs"/>
          <w:rtl/>
        </w:rPr>
        <w:t xml:space="preserve"> </w:t>
      </w:r>
      <w:r>
        <w:rPr>
          <w:rFonts w:hint="cs"/>
          <w:rtl/>
        </w:rPr>
        <w:t xml:space="preserve">בתשובה מינואר 2020 הוסיף החשב הכללי כי טרם נקבע </w:t>
      </w:r>
      <w:r w:rsidRPr="00B65553">
        <w:rPr>
          <w:rtl/>
        </w:rPr>
        <w:t>מועד</w:t>
      </w:r>
      <w:r>
        <w:rPr>
          <w:rtl/>
        </w:rPr>
        <w:t xml:space="preserve"> </w:t>
      </w:r>
      <w:r w:rsidRPr="00B65553">
        <w:rPr>
          <w:rtl/>
        </w:rPr>
        <w:t xml:space="preserve">להתחלת הפיילוט </w:t>
      </w:r>
      <w:r>
        <w:rPr>
          <w:rFonts w:hint="cs"/>
          <w:rtl/>
        </w:rPr>
        <w:t xml:space="preserve">בהיעדר </w:t>
      </w:r>
      <w:r w:rsidRPr="00B65553">
        <w:rPr>
          <w:rtl/>
        </w:rPr>
        <w:t xml:space="preserve">תשתית טכנולוגית </w:t>
      </w:r>
      <w:r>
        <w:rPr>
          <w:rFonts w:hint="cs"/>
          <w:rtl/>
        </w:rPr>
        <w:t>ה</w:t>
      </w:r>
      <w:r w:rsidRPr="00B65553">
        <w:rPr>
          <w:rtl/>
        </w:rPr>
        <w:t>תומכת</w:t>
      </w:r>
      <w:r>
        <w:rPr>
          <w:rFonts w:hint="cs"/>
          <w:rtl/>
        </w:rPr>
        <w:t xml:space="preserve"> בו, וכי </w:t>
      </w:r>
      <w:r w:rsidRPr="00B65553">
        <w:rPr>
          <w:rtl/>
        </w:rPr>
        <w:t>בימים אלו</w:t>
      </w:r>
      <w:r>
        <w:rPr>
          <w:rFonts w:hint="cs"/>
          <w:rtl/>
        </w:rPr>
        <w:t xml:space="preserve"> הוא פועל</w:t>
      </w:r>
      <w:r w:rsidRPr="00B65553">
        <w:rPr>
          <w:rtl/>
        </w:rPr>
        <w:t xml:space="preserve"> </w:t>
      </w:r>
      <w:r>
        <w:rPr>
          <w:rFonts w:hint="cs"/>
          <w:rtl/>
        </w:rPr>
        <w:t xml:space="preserve">לקידום תשתית זו </w:t>
      </w:r>
      <w:r w:rsidRPr="00B65553">
        <w:rPr>
          <w:rtl/>
        </w:rPr>
        <w:t>מול הגורמים הרלוונטיים.</w:t>
      </w:r>
    </w:p>
    <w:p w14:paraId="6F78516B" w14:textId="77777777" w:rsidR="009A28D9" w:rsidRPr="005B558F" w:rsidRDefault="009A28D9" w:rsidP="003D7A3D">
      <w:pPr>
        <w:pStyle w:val="5115"/>
        <w:rPr>
          <w:rtl/>
        </w:rPr>
      </w:pPr>
      <w:r w:rsidRPr="00495131">
        <w:rPr>
          <w:rFonts w:hint="eastAsia"/>
          <w:rtl/>
        </w:rPr>
        <w:t>ציוד</w:t>
      </w:r>
      <w:r w:rsidRPr="00495131">
        <w:rPr>
          <w:rtl/>
        </w:rPr>
        <w:t xml:space="preserve"> </w:t>
      </w:r>
      <w:r w:rsidRPr="00495131">
        <w:rPr>
          <w:rFonts w:hint="eastAsia"/>
          <w:rtl/>
        </w:rPr>
        <w:t>טכנולוגי</w:t>
      </w:r>
    </w:p>
    <w:p w14:paraId="09708885" w14:textId="77777777" w:rsidR="009A28D9" w:rsidRPr="00835BA2" w:rsidRDefault="009A28D9" w:rsidP="003D7A3D">
      <w:pPr>
        <w:pStyle w:val="100"/>
      </w:pPr>
      <w:r w:rsidRPr="00835BA2">
        <w:rPr>
          <w:rFonts w:hint="cs"/>
          <w:rtl/>
        </w:rPr>
        <w:t>אחד המרכיבים ש</w:t>
      </w:r>
      <w:r>
        <w:rPr>
          <w:rFonts w:hint="cs"/>
          <w:rtl/>
        </w:rPr>
        <w:t>ו</w:t>
      </w:r>
      <w:r w:rsidRPr="00835BA2">
        <w:rPr>
          <w:rFonts w:hint="cs"/>
          <w:rtl/>
        </w:rPr>
        <w:t xml:space="preserve">ועדת זילר </w:t>
      </w:r>
      <w:r>
        <w:rPr>
          <w:rFonts w:hint="cs"/>
          <w:rtl/>
        </w:rPr>
        <w:t>ציינה</w:t>
      </w:r>
      <w:r w:rsidRPr="00835BA2">
        <w:rPr>
          <w:rFonts w:hint="cs"/>
          <w:rtl/>
        </w:rPr>
        <w:t xml:space="preserve"> כנחוץ בהערכת איכות ההצעות היה הציוד הטכנולוגי העומד לרשות המתכנן. </w:t>
      </w:r>
    </w:p>
    <w:p w14:paraId="0A84F6F6" w14:textId="77777777" w:rsidR="009A28D9" w:rsidRPr="00D24CEB" w:rsidRDefault="009A28D9" w:rsidP="003D7A3D">
      <w:pPr>
        <w:pStyle w:val="af1"/>
        <w:rPr>
          <w:rtl/>
        </w:rPr>
      </w:pPr>
      <w:r w:rsidRPr="00D24CEB">
        <w:rPr>
          <w:rFonts w:hint="eastAsia"/>
          <w:rtl/>
        </w:rPr>
        <w:t>נמצא</w:t>
      </w:r>
      <w:r w:rsidRPr="00D24CEB">
        <w:rPr>
          <w:rtl/>
        </w:rPr>
        <w:t xml:space="preserve"> </w:t>
      </w:r>
      <w:r w:rsidRPr="00D24CEB">
        <w:rPr>
          <w:rFonts w:hint="eastAsia"/>
          <w:rtl/>
        </w:rPr>
        <w:t>כי</w:t>
      </w:r>
      <w:r>
        <w:rPr>
          <w:rFonts w:hint="cs"/>
          <w:rtl/>
        </w:rPr>
        <w:t xml:space="preserve"> </w:t>
      </w:r>
      <w:r w:rsidRPr="00D24CEB">
        <w:rPr>
          <w:rFonts w:hint="eastAsia"/>
          <w:rtl/>
        </w:rPr>
        <w:t>במכרז</w:t>
      </w:r>
      <w:r w:rsidRPr="00D24CEB">
        <w:rPr>
          <w:rtl/>
        </w:rPr>
        <w:t xml:space="preserve"> של משרד הבינוי נקבע שה</w:t>
      </w:r>
      <w:r w:rsidRPr="00D24CEB">
        <w:rPr>
          <w:rFonts w:hint="eastAsia"/>
          <w:rtl/>
        </w:rPr>
        <w:t>ציון</w:t>
      </w:r>
      <w:r w:rsidRPr="00D24CEB">
        <w:rPr>
          <w:rtl/>
        </w:rPr>
        <w:t xml:space="preserve"> </w:t>
      </w:r>
      <w:r w:rsidRPr="00D24CEB">
        <w:rPr>
          <w:rFonts w:hint="eastAsia"/>
          <w:rtl/>
        </w:rPr>
        <w:t>לאיכות</w:t>
      </w:r>
      <w:r w:rsidRPr="00D24CEB">
        <w:rPr>
          <w:rtl/>
        </w:rPr>
        <w:t xml:space="preserve"> </w:t>
      </w:r>
      <w:r w:rsidRPr="00D24CEB">
        <w:rPr>
          <w:rFonts w:hint="eastAsia"/>
          <w:rtl/>
        </w:rPr>
        <w:t>ההצעה</w:t>
      </w:r>
      <w:r w:rsidRPr="00D24CEB">
        <w:rPr>
          <w:rtl/>
        </w:rPr>
        <w:t xml:space="preserve"> </w:t>
      </w:r>
      <w:r w:rsidRPr="00D24CEB">
        <w:rPr>
          <w:rFonts w:hint="eastAsia"/>
          <w:rtl/>
        </w:rPr>
        <w:t>ייקבע</w:t>
      </w:r>
      <w:r w:rsidRPr="00D24CEB">
        <w:rPr>
          <w:rtl/>
        </w:rPr>
        <w:t xml:space="preserve"> </w:t>
      </w:r>
      <w:r w:rsidRPr="00D24CEB">
        <w:rPr>
          <w:rFonts w:hint="eastAsia"/>
          <w:rtl/>
        </w:rPr>
        <w:t>גם</w:t>
      </w:r>
      <w:r w:rsidRPr="00D24CEB">
        <w:rPr>
          <w:rtl/>
        </w:rPr>
        <w:t xml:space="preserve"> </w:t>
      </w:r>
      <w:r w:rsidRPr="00D24CEB">
        <w:rPr>
          <w:rFonts w:hint="eastAsia"/>
          <w:rtl/>
        </w:rPr>
        <w:t>על</w:t>
      </w:r>
      <w:r w:rsidRPr="00D24CEB">
        <w:rPr>
          <w:rtl/>
        </w:rPr>
        <w:t xml:space="preserve"> </w:t>
      </w:r>
      <w:r w:rsidRPr="00D24CEB">
        <w:rPr>
          <w:rFonts w:hint="eastAsia"/>
          <w:rtl/>
        </w:rPr>
        <w:t>סמך</w:t>
      </w:r>
      <w:r w:rsidRPr="00D24CEB">
        <w:rPr>
          <w:rtl/>
        </w:rPr>
        <w:t xml:space="preserve"> ציוד טכנולוגי, </w:t>
      </w:r>
      <w:r w:rsidRPr="00D24CEB">
        <w:rPr>
          <w:rFonts w:hint="eastAsia"/>
          <w:rtl/>
        </w:rPr>
        <w:t>ובכלל</w:t>
      </w:r>
      <w:r w:rsidRPr="00D24CEB">
        <w:rPr>
          <w:rtl/>
        </w:rPr>
        <w:t xml:space="preserve"> </w:t>
      </w:r>
      <w:r w:rsidRPr="00D24CEB">
        <w:rPr>
          <w:rFonts w:hint="eastAsia"/>
          <w:rtl/>
        </w:rPr>
        <w:t>זה</w:t>
      </w:r>
      <w:r w:rsidRPr="00D24CEB">
        <w:rPr>
          <w:rtl/>
        </w:rPr>
        <w:t xml:space="preserve"> </w:t>
      </w:r>
      <w:r w:rsidRPr="00D24CEB">
        <w:rPr>
          <w:rFonts w:hint="eastAsia"/>
          <w:rtl/>
        </w:rPr>
        <w:t>מערכות</w:t>
      </w:r>
      <w:r w:rsidRPr="00D24CEB">
        <w:rPr>
          <w:rtl/>
        </w:rPr>
        <w:t xml:space="preserve"> </w:t>
      </w:r>
      <w:r w:rsidRPr="00D24CEB">
        <w:rPr>
          <w:rFonts w:hint="eastAsia"/>
          <w:rtl/>
        </w:rPr>
        <w:t>מחשוב</w:t>
      </w:r>
      <w:r w:rsidRPr="00D24CEB">
        <w:rPr>
          <w:rtl/>
        </w:rPr>
        <w:t xml:space="preserve"> ועזרים טכניים </w:t>
      </w:r>
      <w:r w:rsidRPr="00D24CEB">
        <w:rPr>
          <w:rFonts w:hint="eastAsia"/>
          <w:rtl/>
        </w:rPr>
        <w:t>ש</w:t>
      </w:r>
      <w:r w:rsidRPr="00D24CEB">
        <w:rPr>
          <w:rtl/>
        </w:rPr>
        <w:t>ע</w:t>
      </w:r>
      <w:r w:rsidRPr="00D24CEB">
        <w:rPr>
          <w:rFonts w:hint="eastAsia"/>
          <w:rtl/>
        </w:rPr>
        <w:t>ו</w:t>
      </w:r>
      <w:r w:rsidRPr="00D24CEB">
        <w:rPr>
          <w:rtl/>
        </w:rPr>
        <w:t>מד</w:t>
      </w:r>
      <w:r w:rsidRPr="00D24CEB">
        <w:rPr>
          <w:rFonts w:hint="eastAsia"/>
          <w:rtl/>
        </w:rPr>
        <w:t>ים</w:t>
      </w:r>
      <w:r w:rsidRPr="00D24CEB">
        <w:rPr>
          <w:rtl/>
        </w:rPr>
        <w:t xml:space="preserve"> לרשות המציע</w:t>
      </w:r>
      <w:r>
        <w:rPr>
          <w:rFonts w:hint="cs"/>
          <w:rtl/>
        </w:rPr>
        <w:t xml:space="preserve">, אולם </w:t>
      </w:r>
      <w:r w:rsidRPr="00D24CEB">
        <w:rPr>
          <w:rtl/>
        </w:rPr>
        <w:t>במכרז</w:t>
      </w:r>
      <w:r w:rsidRPr="00D24CEB">
        <w:rPr>
          <w:rFonts w:hint="eastAsia"/>
          <w:rtl/>
        </w:rPr>
        <w:t>ים</w:t>
      </w:r>
      <w:r w:rsidRPr="00D24CEB">
        <w:rPr>
          <w:rtl/>
        </w:rPr>
        <w:t xml:space="preserve"> של רמ"י אין כל התייחסות למרכיב זה.</w:t>
      </w:r>
    </w:p>
    <w:p w14:paraId="4F607152" w14:textId="77777777" w:rsidR="009A28D9" w:rsidRDefault="009A28D9" w:rsidP="003D7A3D">
      <w:pPr>
        <w:pStyle w:val="af1"/>
        <w:rPr>
          <w:rtl/>
        </w:rPr>
      </w:pPr>
      <w:r w:rsidRPr="00136118">
        <w:rPr>
          <w:rFonts w:hint="cs"/>
          <w:rtl/>
        </w:rPr>
        <w:t xml:space="preserve">נוכח </w:t>
      </w:r>
      <w:r>
        <w:rPr>
          <w:rFonts w:hint="cs"/>
          <w:rtl/>
        </w:rPr>
        <w:t xml:space="preserve">האמור ראוי כי </w:t>
      </w:r>
      <w:r w:rsidRPr="00136118">
        <w:rPr>
          <w:rFonts w:hint="cs"/>
          <w:rtl/>
        </w:rPr>
        <w:t xml:space="preserve">רמ"י </w:t>
      </w:r>
      <w:r>
        <w:rPr>
          <w:rFonts w:hint="cs"/>
          <w:rtl/>
        </w:rPr>
        <w:t>ת</w:t>
      </w:r>
      <w:r w:rsidRPr="00136118">
        <w:rPr>
          <w:rFonts w:hint="cs"/>
          <w:rtl/>
        </w:rPr>
        <w:t xml:space="preserve">בחן </w:t>
      </w:r>
      <w:r>
        <w:rPr>
          <w:rFonts w:hint="cs"/>
          <w:rtl/>
        </w:rPr>
        <w:t xml:space="preserve">ותשקול את האפשרות לכלול פרמטר זה גם במכרזיה. </w:t>
      </w:r>
    </w:p>
    <w:p w14:paraId="41E824DD" w14:textId="77777777" w:rsidR="009A28D9" w:rsidRDefault="009A28D9" w:rsidP="009A28D9">
      <w:pPr>
        <w:spacing w:line="269" w:lineRule="auto"/>
        <w:rPr>
          <w:b/>
          <w:bCs/>
          <w:rtl/>
        </w:rPr>
      </w:pPr>
    </w:p>
    <w:p w14:paraId="252D7465" w14:textId="77777777" w:rsidR="003D7A3D" w:rsidRDefault="003D7A3D">
      <w:pPr>
        <w:bidi w:val="0"/>
        <w:spacing w:after="200" w:line="276" w:lineRule="auto"/>
        <w:rPr>
          <w:rFonts w:eastAsiaTheme="majorEastAsia"/>
          <w:bCs/>
          <w:szCs w:val="26"/>
          <w:rtl/>
        </w:rPr>
      </w:pPr>
      <w:r>
        <w:rPr>
          <w:rtl/>
        </w:rPr>
        <w:br w:type="page"/>
      </w:r>
    </w:p>
    <w:p w14:paraId="01DB1678" w14:textId="582882C4" w:rsidR="009A28D9" w:rsidRDefault="009A28D9" w:rsidP="001C4D37">
      <w:pPr>
        <w:pStyle w:val="414"/>
        <w:rPr>
          <w:rtl/>
        </w:rPr>
      </w:pPr>
      <w:r>
        <w:rPr>
          <w:rFonts w:hint="cs"/>
          <w:rtl/>
        </w:rPr>
        <w:lastRenderedPageBreak/>
        <w:t>שילוב עסקים זעירים, קטנים ובינוניים במכרזים</w:t>
      </w:r>
    </w:p>
    <w:p w14:paraId="2099C6EA" w14:textId="77777777" w:rsidR="009A28D9" w:rsidRDefault="009A28D9" w:rsidP="001C4D37">
      <w:pPr>
        <w:pStyle w:val="100"/>
        <w:rPr>
          <w:rtl/>
        </w:rPr>
      </w:pPr>
      <w:r>
        <w:rPr>
          <w:rFonts w:hint="cs"/>
          <w:rtl/>
        </w:rPr>
        <w:t>רמ"י ומשרד הבינוי הם כאמור הגורמים הממשלתיים העיקריים</w:t>
      </w:r>
      <w:r>
        <w:rPr>
          <w:rFonts w:eastAsia="Times New Roman" w:hint="cs"/>
          <w:sz w:val="24"/>
          <w:rtl/>
          <w:lang w:eastAsia="he-IL"/>
        </w:rPr>
        <w:t xml:space="preserve"> האחראים לייזום התכנון </w:t>
      </w:r>
      <w:r>
        <w:rPr>
          <w:rFonts w:hint="cs"/>
          <w:rtl/>
        </w:rPr>
        <w:t>של מקרקעי ישראל, ומאחר שהם רוכשים את שירותי התכנון מחברות מתכננות וממתכננים פרטיים, יוצא שהם המעסיקים הממשלתיים העיקריים בתחום התכנון.</w:t>
      </w:r>
    </w:p>
    <w:p w14:paraId="7030A60A" w14:textId="77777777" w:rsidR="009A28D9" w:rsidRDefault="009A28D9" w:rsidP="001C4D37">
      <w:pPr>
        <w:pStyle w:val="100"/>
        <w:rPr>
          <w:rtl/>
        </w:rPr>
      </w:pPr>
      <w:r>
        <w:rPr>
          <w:rFonts w:hint="cs"/>
          <w:rtl/>
        </w:rPr>
        <w:t>בדוח מבקר המדינה</w:t>
      </w:r>
      <w:r>
        <w:rPr>
          <w:rStyle w:val="FootnoteReference"/>
          <w:rtl/>
        </w:rPr>
        <w:footnoteReference w:id="34"/>
      </w:r>
      <w:r>
        <w:rPr>
          <w:rFonts w:hint="cs"/>
          <w:rtl/>
        </w:rPr>
        <w:t xml:space="preserve"> משנת 2015 בנושא "הטיפול בעסקים קטנים</w:t>
      </w:r>
      <w:r w:rsidRPr="005F7C9F">
        <w:rPr>
          <w:rFonts w:hint="cs"/>
          <w:vertAlign w:val="superscript"/>
          <w:rtl/>
        </w:rPr>
        <w:t>[</w:t>
      </w:r>
      <w:r>
        <w:rPr>
          <w:rStyle w:val="FootnoteReference"/>
          <w:rtl/>
        </w:rPr>
        <w:footnoteReference w:id="35"/>
      </w:r>
      <w:r w:rsidRPr="005F7C9F">
        <w:rPr>
          <w:rFonts w:hint="cs"/>
          <w:vertAlign w:val="superscript"/>
          <w:rtl/>
        </w:rPr>
        <w:t>]</w:t>
      </w:r>
      <w:r>
        <w:rPr>
          <w:rFonts w:hint="cs"/>
          <w:rtl/>
        </w:rPr>
        <w:t xml:space="preserve"> ובינוניים</w:t>
      </w:r>
      <w:r w:rsidRPr="005F7C9F">
        <w:rPr>
          <w:rFonts w:hint="cs"/>
          <w:vertAlign w:val="superscript"/>
          <w:rtl/>
        </w:rPr>
        <w:t>[</w:t>
      </w:r>
      <w:r>
        <w:rPr>
          <w:rStyle w:val="FootnoteReference"/>
          <w:rtl/>
        </w:rPr>
        <w:footnoteReference w:id="36"/>
      </w:r>
      <w:r w:rsidRPr="005F7C9F">
        <w:rPr>
          <w:rFonts w:hint="cs"/>
          <w:vertAlign w:val="superscript"/>
          <w:rtl/>
        </w:rPr>
        <w:t>]</w:t>
      </w:r>
      <w:r>
        <w:rPr>
          <w:rFonts w:hint="cs"/>
          <w:rtl/>
        </w:rPr>
        <w:t>" צוין כי ל</w:t>
      </w:r>
      <w:r w:rsidRPr="00F76EC6">
        <w:rPr>
          <w:rtl/>
        </w:rPr>
        <w:t>עסקים קטנים</w:t>
      </w:r>
      <w:r>
        <w:rPr>
          <w:rFonts w:hint="cs"/>
          <w:rtl/>
        </w:rPr>
        <w:t xml:space="preserve"> </w:t>
      </w:r>
      <w:r w:rsidRPr="00F76EC6">
        <w:rPr>
          <w:rtl/>
        </w:rPr>
        <w:t>ובינוניים</w:t>
      </w:r>
      <w:r w:rsidRPr="005F7C9F">
        <w:rPr>
          <w:vertAlign w:val="superscript"/>
          <w:rtl/>
        </w:rPr>
        <w:t xml:space="preserve"> </w:t>
      </w:r>
      <w:r w:rsidRPr="00F76EC6">
        <w:rPr>
          <w:rtl/>
        </w:rPr>
        <w:t>נודעת חשיבות רבה בהתפתחותן הכלכלית של מדינות, שכן הם נתפסים כיחידות בעלות כושר הסתגלות</w:t>
      </w:r>
      <w:r>
        <w:rPr>
          <w:rtl/>
        </w:rPr>
        <w:t xml:space="preserve"> </w:t>
      </w:r>
      <w:r w:rsidRPr="00F76EC6">
        <w:rPr>
          <w:rtl/>
        </w:rPr>
        <w:t>לדרישות</w:t>
      </w:r>
      <w:r>
        <w:rPr>
          <w:rtl/>
        </w:rPr>
        <w:t xml:space="preserve"> </w:t>
      </w:r>
      <w:r w:rsidRPr="00F76EC6">
        <w:rPr>
          <w:rtl/>
        </w:rPr>
        <w:t>המשתנות</w:t>
      </w:r>
      <w:r>
        <w:rPr>
          <w:rtl/>
        </w:rPr>
        <w:t xml:space="preserve"> </w:t>
      </w:r>
      <w:r w:rsidRPr="00F76EC6">
        <w:rPr>
          <w:rtl/>
        </w:rPr>
        <w:t>של</w:t>
      </w:r>
      <w:r>
        <w:rPr>
          <w:rtl/>
        </w:rPr>
        <w:t xml:space="preserve"> </w:t>
      </w:r>
      <w:r w:rsidRPr="00F76EC6">
        <w:rPr>
          <w:rtl/>
        </w:rPr>
        <w:t>השווקים</w:t>
      </w:r>
      <w:r>
        <w:rPr>
          <w:rtl/>
        </w:rPr>
        <w:t xml:space="preserve"> </w:t>
      </w:r>
      <w:r w:rsidRPr="00F76EC6">
        <w:rPr>
          <w:rtl/>
        </w:rPr>
        <w:t>וכמקור</w:t>
      </w:r>
      <w:r>
        <w:rPr>
          <w:rtl/>
        </w:rPr>
        <w:t xml:space="preserve"> </w:t>
      </w:r>
      <w:r w:rsidRPr="00F76EC6">
        <w:rPr>
          <w:rtl/>
        </w:rPr>
        <w:t>ליצירת</w:t>
      </w:r>
      <w:r>
        <w:rPr>
          <w:rtl/>
        </w:rPr>
        <w:t xml:space="preserve"> </w:t>
      </w:r>
      <w:r w:rsidRPr="00F76EC6">
        <w:rPr>
          <w:rtl/>
        </w:rPr>
        <w:t>מקומות</w:t>
      </w:r>
      <w:r>
        <w:rPr>
          <w:rtl/>
        </w:rPr>
        <w:t xml:space="preserve"> </w:t>
      </w:r>
      <w:r w:rsidRPr="00F76EC6">
        <w:rPr>
          <w:rtl/>
        </w:rPr>
        <w:t>תעסוקה חדשים</w:t>
      </w:r>
      <w:r>
        <w:rPr>
          <w:rFonts w:hint="cs"/>
          <w:rtl/>
        </w:rPr>
        <w:t xml:space="preserve">. ואולם אף שמרבית העסקים </w:t>
      </w:r>
      <w:r w:rsidRPr="00E54958">
        <w:rPr>
          <w:rtl/>
        </w:rPr>
        <w:t>במשק</w:t>
      </w:r>
      <w:r>
        <w:rPr>
          <w:rFonts w:hint="cs"/>
          <w:rtl/>
        </w:rPr>
        <w:t xml:space="preserve"> הם קטנים או בינוניים,</w:t>
      </w:r>
      <w:r w:rsidRPr="00E54958">
        <w:rPr>
          <w:rtl/>
        </w:rPr>
        <w:t xml:space="preserve"> לאורך שנים סיפק מגזר זה רק חלק</w:t>
      </w:r>
      <w:r>
        <w:rPr>
          <w:rFonts w:hint="cs"/>
          <w:rtl/>
        </w:rPr>
        <w:t xml:space="preserve"> </w:t>
      </w:r>
      <w:r w:rsidRPr="00E54958">
        <w:rPr>
          <w:rtl/>
        </w:rPr>
        <w:t>קטן ביותר מ</w:t>
      </w:r>
      <w:r>
        <w:rPr>
          <w:rFonts w:hint="cs"/>
          <w:rtl/>
        </w:rPr>
        <w:t>ה</w:t>
      </w:r>
      <w:r w:rsidRPr="00E54958">
        <w:rPr>
          <w:rtl/>
        </w:rPr>
        <w:t>שירותים שרכשה המדינה</w:t>
      </w:r>
      <w:r>
        <w:rPr>
          <w:rFonts w:hint="cs"/>
          <w:rtl/>
        </w:rPr>
        <w:t xml:space="preserve">. </w:t>
      </w:r>
    </w:p>
    <w:p w14:paraId="6E64FB02" w14:textId="77777777" w:rsidR="009A28D9" w:rsidRDefault="009A28D9" w:rsidP="001C4D37">
      <w:pPr>
        <w:pStyle w:val="100"/>
        <w:rPr>
          <w:rtl/>
        </w:rPr>
      </w:pPr>
      <w:r>
        <w:rPr>
          <w:rFonts w:hint="cs"/>
          <w:rtl/>
        </w:rPr>
        <w:t>על מנת להגביר את השתתפותם של</w:t>
      </w:r>
      <w:r w:rsidRPr="00E54958">
        <w:rPr>
          <w:rtl/>
        </w:rPr>
        <w:t xml:space="preserve"> עסקים </w:t>
      </w:r>
      <w:r>
        <w:rPr>
          <w:rFonts w:hint="cs"/>
          <w:rtl/>
        </w:rPr>
        <w:t>קטנים, בינוניים וזעירים</w:t>
      </w:r>
      <w:r>
        <w:rPr>
          <w:rStyle w:val="FootnoteReference"/>
          <w:rtl/>
        </w:rPr>
        <w:footnoteReference w:id="37"/>
      </w:r>
      <w:r>
        <w:rPr>
          <w:rFonts w:hint="cs"/>
          <w:rtl/>
        </w:rPr>
        <w:t xml:space="preserve"> </w:t>
      </w:r>
      <w:r w:rsidRPr="00E54958">
        <w:rPr>
          <w:rtl/>
        </w:rPr>
        <w:t xml:space="preserve">במכרזים </w:t>
      </w:r>
      <w:r>
        <w:rPr>
          <w:rFonts w:hint="cs"/>
          <w:rtl/>
        </w:rPr>
        <w:t>ממשלתיים</w:t>
      </w:r>
      <w:r w:rsidRPr="005F7C9F">
        <w:rPr>
          <w:rFonts w:hint="cs"/>
          <w:rtl/>
        </w:rPr>
        <w:t xml:space="preserve"> </w:t>
      </w:r>
      <w:r>
        <w:rPr>
          <w:rFonts w:hint="cs"/>
          <w:rtl/>
        </w:rPr>
        <w:t>תוקן באוגוסט 2016 חוק חובת המכרזים, התשנ"ב-1992</w:t>
      </w:r>
      <w:r>
        <w:rPr>
          <w:rStyle w:val="FootnoteReference"/>
          <w:rtl/>
        </w:rPr>
        <w:footnoteReference w:id="38"/>
      </w:r>
      <w:r>
        <w:rPr>
          <w:rFonts w:hint="cs"/>
          <w:rtl/>
        </w:rPr>
        <w:t>, ונקבע כי "</w:t>
      </w:r>
      <w:r>
        <w:rPr>
          <w:rtl/>
        </w:rPr>
        <w:t xml:space="preserve">עורך המכרז </w:t>
      </w:r>
      <w:r w:rsidRPr="00B30DB3">
        <w:rPr>
          <w:rtl/>
        </w:rPr>
        <w:t xml:space="preserve">יבחן בכל התקשרות אם אפשר לבצעה באמצעות עסק זעיר קטן או בינוני, בלי שיהיה בכך כדי לפגוע במוצר, בעבודה או בשירות המבוקשים, ואם הדבר אפשרי </w:t>
      </w:r>
      <w:r>
        <w:rPr>
          <w:rFonts w:hint="cs"/>
          <w:rtl/>
        </w:rPr>
        <w:t xml:space="preserve">- </w:t>
      </w:r>
      <w:r w:rsidRPr="00B30DB3">
        <w:rPr>
          <w:rtl/>
        </w:rPr>
        <w:t>יפעל לקביעת התאמות בתנאי המכרז או ההתקשרות בהתאם</w:t>
      </w:r>
      <w:r>
        <w:rPr>
          <w:rFonts w:hint="cs"/>
          <w:rtl/>
        </w:rPr>
        <w:t>"</w:t>
      </w:r>
      <w:r w:rsidRPr="00410D5F">
        <w:rPr>
          <w:rtl/>
        </w:rPr>
        <w:t>.</w:t>
      </w:r>
    </w:p>
    <w:p w14:paraId="6524EAF7" w14:textId="77777777" w:rsidR="009A28D9" w:rsidRDefault="009A28D9" w:rsidP="00DB38D2">
      <w:pPr>
        <w:pStyle w:val="a0"/>
        <w:numPr>
          <w:ilvl w:val="0"/>
          <w:numId w:val="18"/>
        </w:numPr>
        <w:rPr>
          <w:rtl/>
        </w:rPr>
      </w:pPr>
      <w:r>
        <w:rPr>
          <w:rtl/>
        </w:rPr>
        <w:t>באוגוסט</w:t>
      </w:r>
      <w:r>
        <w:rPr>
          <w:rFonts w:hint="cs"/>
          <w:rtl/>
        </w:rPr>
        <w:t xml:space="preserve"> 2013, כלומר עוד לפני התיקון לחוק, קבע החשב הכללי ב</w:t>
      </w:r>
      <w:r w:rsidRPr="00DA4B58">
        <w:rPr>
          <w:rtl/>
        </w:rPr>
        <w:t>הורא</w:t>
      </w:r>
      <w:r>
        <w:rPr>
          <w:rFonts w:hint="cs"/>
          <w:rtl/>
        </w:rPr>
        <w:t xml:space="preserve">ת </w:t>
      </w:r>
      <w:r w:rsidRPr="00DA4B58">
        <w:rPr>
          <w:rtl/>
        </w:rPr>
        <w:t>תכ"ם</w:t>
      </w:r>
      <w:r>
        <w:rPr>
          <w:rStyle w:val="FootnoteReference"/>
          <w:rtl/>
        </w:rPr>
        <w:footnoteReference w:id="39"/>
      </w:r>
      <w:r>
        <w:rPr>
          <w:rFonts w:hint="cs"/>
          <w:rtl/>
        </w:rPr>
        <w:t xml:space="preserve"> </w:t>
      </w:r>
      <w:r w:rsidRPr="00DA4B58">
        <w:rPr>
          <w:rtl/>
        </w:rPr>
        <w:t xml:space="preserve">כללים לשילוב </w:t>
      </w:r>
      <w:r>
        <w:rPr>
          <w:rFonts w:hint="cs"/>
          <w:rtl/>
        </w:rPr>
        <w:t xml:space="preserve">עסקים קטנים ובינוניים </w:t>
      </w:r>
      <w:r w:rsidRPr="00DA4B58">
        <w:rPr>
          <w:rtl/>
        </w:rPr>
        <w:t>במכרזים ממשלתיים</w:t>
      </w:r>
      <w:r>
        <w:rPr>
          <w:rFonts w:hint="cs"/>
          <w:rtl/>
        </w:rPr>
        <w:t xml:space="preserve">, ולפיהם </w:t>
      </w:r>
      <w:r>
        <w:rPr>
          <w:rtl/>
        </w:rPr>
        <w:t>על</w:t>
      </w:r>
      <w:r>
        <w:rPr>
          <w:rFonts w:hint="cs"/>
          <w:rtl/>
        </w:rPr>
        <w:t xml:space="preserve"> </w:t>
      </w:r>
      <w:r w:rsidRPr="00DA4B58">
        <w:rPr>
          <w:rtl/>
        </w:rPr>
        <w:t xml:space="preserve">ועדת המכרזים בכל </w:t>
      </w:r>
      <w:r>
        <w:rPr>
          <w:rFonts w:hint="cs"/>
          <w:rtl/>
        </w:rPr>
        <w:t>גוף ממשלתי</w:t>
      </w:r>
      <w:r w:rsidRPr="00DA4B58">
        <w:rPr>
          <w:rtl/>
        </w:rPr>
        <w:t xml:space="preserve"> לבחון</w:t>
      </w:r>
      <w:r>
        <w:rPr>
          <w:rFonts w:hint="cs"/>
          <w:rtl/>
        </w:rPr>
        <w:t xml:space="preserve"> </w:t>
      </w:r>
      <w:r w:rsidRPr="00DA4B58">
        <w:rPr>
          <w:rtl/>
        </w:rPr>
        <w:t>בטרם החלטה על יציאה למכר</w:t>
      </w:r>
      <w:r>
        <w:rPr>
          <w:rFonts w:hint="cs"/>
          <w:rtl/>
        </w:rPr>
        <w:t>ז</w:t>
      </w:r>
      <w:r w:rsidRPr="00DA4B58">
        <w:rPr>
          <w:rtl/>
        </w:rPr>
        <w:t>:</w:t>
      </w:r>
      <w:r>
        <w:rPr>
          <w:rtl/>
        </w:rPr>
        <w:t xml:space="preserve"> </w:t>
      </w:r>
      <w:r w:rsidRPr="00DA4B58">
        <w:rPr>
          <w:rtl/>
        </w:rPr>
        <w:t>(א)</w:t>
      </w:r>
      <w:r>
        <w:rPr>
          <w:rFonts w:hint="cs"/>
          <w:rtl/>
        </w:rPr>
        <w:t xml:space="preserve"> </w:t>
      </w:r>
      <w:r w:rsidRPr="00DA4B58">
        <w:rPr>
          <w:rtl/>
        </w:rPr>
        <w:t xml:space="preserve">האם ההתקשרות מתאימה לביצוע </w:t>
      </w:r>
      <w:r>
        <w:rPr>
          <w:rFonts w:hint="cs"/>
          <w:rtl/>
        </w:rPr>
        <w:t>ב</w:t>
      </w:r>
      <w:r w:rsidRPr="00DA4B58">
        <w:rPr>
          <w:rtl/>
        </w:rPr>
        <w:t>ידי עסקים קטנים ובינוניים בלי לפגוע בתוצרים המבוקשים;</w:t>
      </w:r>
      <w:r>
        <w:rPr>
          <w:rtl/>
        </w:rPr>
        <w:t xml:space="preserve"> </w:t>
      </w:r>
      <w:r w:rsidRPr="00DA4B58">
        <w:rPr>
          <w:rtl/>
        </w:rPr>
        <w:t>(ב)</w:t>
      </w:r>
      <w:r>
        <w:rPr>
          <w:rFonts w:hint="cs"/>
          <w:rtl/>
        </w:rPr>
        <w:t xml:space="preserve"> </w:t>
      </w:r>
      <w:r w:rsidRPr="00DA4B58">
        <w:rPr>
          <w:rtl/>
        </w:rPr>
        <w:t>האם היקף</w:t>
      </w:r>
      <w:r>
        <w:rPr>
          <w:rFonts w:hint="cs"/>
          <w:rtl/>
        </w:rPr>
        <w:t xml:space="preserve"> </w:t>
      </w:r>
      <w:r w:rsidRPr="00DA4B58">
        <w:rPr>
          <w:rtl/>
        </w:rPr>
        <w:t>ההתקשרות</w:t>
      </w:r>
      <w:r>
        <w:rPr>
          <w:rFonts w:hint="cs"/>
          <w:rtl/>
        </w:rPr>
        <w:t xml:space="preserve"> </w:t>
      </w:r>
      <w:r w:rsidRPr="00DA4B58">
        <w:rPr>
          <w:rtl/>
        </w:rPr>
        <w:t>אינו</w:t>
      </w:r>
      <w:r>
        <w:rPr>
          <w:rFonts w:hint="cs"/>
          <w:rtl/>
        </w:rPr>
        <w:t xml:space="preserve"> </w:t>
      </w:r>
      <w:r w:rsidRPr="00DA4B58">
        <w:rPr>
          <w:rtl/>
        </w:rPr>
        <w:t>חסם</w:t>
      </w:r>
      <w:r>
        <w:rPr>
          <w:rFonts w:hint="cs"/>
          <w:rtl/>
        </w:rPr>
        <w:t xml:space="preserve"> </w:t>
      </w:r>
      <w:r w:rsidRPr="00DA4B58">
        <w:rPr>
          <w:rtl/>
        </w:rPr>
        <w:t>להשתתפות</w:t>
      </w:r>
      <w:r>
        <w:rPr>
          <w:rFonts w:hint="cs"/>
          <w:rtl/>
        </w:rPr>
        <w:t xml:space="preserve"> </w:t>
      </w:r>
      <w:r w:rsidRPr="00DA4B58">
        <w:rPr>
          <w:rtl/>
        </w:rPr>
        <w:t>עסקים</w:t>
      </w:r>
      <w:r>
        <w:rPr>
          <w:rFonts w:hint="cs"/>
          <w:rtl/>
        </w:rPr>
        <w:t xml:space="preserve"> </w:t>
      </w:r>
      <w:r w:rsidRPr="00DA4B58">
        <w:rPr>
          <w:rtl/>
        </w:rPr>
        <w:t>קטנים ובינוניים,</w:t>
      </w:r>
      <w:r>
        <w:rPr>
          <w:rFonts w:hint="cs"/>
          <w:rtl/>
        </w:rPr>
        <w:t xml:space="preserve"> </w:t>
      </w:r>
      <w:r w:rsidRPr="00DA4B58">
        <w:rPr>
          <w:rtl/>
        </w:rPr>
        <w:t>ואם</w:t>
      </w:r>
      <w:r>
        <w:rPr>
          <w:rFonts w:hint="cs"/>
          <w:rtl/>
        </w:rPr>
        <w:t xml:space="preserve"> </w:t>
      </w:r>
      <w:r w:rsidRPr="00DA4B58">
        <w:rPr>
          <w:rtl/>
        </w:rPr>
        <w:t>כן, האם אפשר</w:t>
      </w:r>
      <w:r>
        <w:rPr>
          <w:rFonts w:hint="cs"/>
          <w:rtl/>
        </w:rPr>
        <w:t xml:space="preserve"> </w:t>
      </w:r>
      <w:r w:rsidRPr="00DA4B58">
        <w:rPr>
          <w:rtl/>
        </w:rPr>
        <w:t xml:space="preserve">לצמצמו. </w:t>
      </w:r>
      <w:r>
        <w:rPr>
          <w:rFonts w:hint="cs"/>
          <w:rtl/>
        </w:rPr>
        <w:t xml:space="preserve">עוד נקבע </w:t>
      </w:r>
      <w:r w:rsidRPr="00DA4B58">
        <w:rPr>
          <w:rtl/>
        </w:rPr>
        <w:t>כי תוצאות הבחינה האמורה לעיל יובאו בפרוטוקול ועדת המכרזים</w:t>
      </w:r>
      <w:r>
        <w:rPr>
          <w:rFonts w:hint="cs"/>
          <w:rtl/>
        </w:rPr>
        <w:t>, ו</w:t>
      </w:r>
      <w:r w:rsidRPr="00DA4B58">
        <w:rPr>
          <w:rtl/>
        </w:rPr>
        <w:t>זו אמורה לסייע לעורכי המכרז לנסח את מסמכי</w:t>
      </w:r>
      <w:r>
        <w:rPr>
          <w:rFonts w:hint="cs"/>
          <w:rtl/>
        </w:rPr>
        <w:t>ו</w:t>
      </w:r>
      <w:r w:rsidRPr="00DA4B58">
        <w:rPr>
          <w:rtl/>
        </w:rPr>
        <w:t xml:space="preserve"> בהתאם להוראות </w:t>
      </w:r>
      <w:r>
        <w:rPr>
          <w:rFonts w:hint="cs"/>
          <w:rtl/>
        </w:rPr>
        <w:t xml:space="preserve">תכ"ם </w:t>
      </w:r>
      <w:r w:rsidRPr="00DA4B58">
        <w:rPr>
          <w:rtl/>
        </w:rPr>
        <w:t>לפני פרסומו.</w:t>
      </w:r>
    </w:p>
    <w:p w14:paraId="27A5A95B" w14:textId="77777777" w:rsidR="009A28D9" w:rsidRDefault="009A28D9" w:rsidP="00DB38D2">
      <w:pPr>
        <w:pStyle w:val="aa"/>
        <w:rPr>
          <w:rtl/>
        </w:rPr>
      </w:pPr>
      <w:r>
        <w:rPr>
          <w:rFonts w:hint="cs"/>
          <w:rtl/>
        </w:rPr>
        <w:t xml:space="preserve">נמצא כי </w:t>
      </w:r>
      <w:r w:rsidRPr="009F5EB6">
        <w:rPr>
          <w:rFonts w:hint="cs"/>
          <w:rtl/>
        </w:rPr>
        <w:t xml:space="preserve">ועדות המכרזים </w:t>
      </w:r>
      <w:r>
        <w:rPr>
          <w:rFonts w:hint="cs"/>
          <w:rtl/>
        </w:rPr>
        <w:t>ברמ"י ובמשרד הבינוי</w:t>
      </w:r>
      <w:r w:rsidRPr="009F5EB6">
        <w:rPr>
          <w:rFonts w:hint="cs"/>
          <w:rtl/>
        </w:rPr>
        <w:t xml:space="preserve"> לא בחנו טרם פרסום המכרזים</w:t>
      </w:r>
      <w:r w:rsidRPr="009F5EB6">
        <w:rPr>
          <w:rtl/>
        </w:rPr>
        <w:t xml:space="preserve"> למתן שירותי תכנון בשנת </w:t>
      </w:r>
      <w:r>
        <w:rPr>
          <w:rFonts w:hint="cs"/>
          <w:rtl/>
        </w:rPr>
        <w:t>2014</w:t>
      </w:r>
      <w:r w:rsidRPr="009F5EB6">
        <w:rPr>
          <w:rtl/>
        </w:rPr>
        <w:t xml:space="preserve"> ובשנת </w:t>
      </w:r>
      <w:r>
        <w:rPr>
          <w:rFonts w:hint="cs"/>
          <w:rtl/>
        </w:rPr>
        <w:t>2015,</w:t>
      </w:r>
      <w:r w:rsidRPr="009F5EB6">
        <w:rPr>
          <w:rFonts w:hint="cs"/>
          <w:rtl/>
        </w:rPr>
        <w:t xml:space="preserve"> בהתאמה</w:t>
      </w:r>
      <w:r>
        <w:rPr>
          <w:rFonts w:hint="cs"/>
          <w:rtl/>
        </w:rPr>
        <w:t xml:space="preserve">, </w:t>
      </w:r>
      <w:r>
        <w:rPr>
          <w:rtl/>
        </w:rPr>
        <w:t>אם ההתקשרות מתאימה לביצוע</w:t>
      </w:r>
      <w:r>
        <w:rPr>
          <w:rFonts w:hint="cs"/>
          <w:rtl/>
        </w:rPr>
        <w:t xml:space="preserve"> ב</w:t>
      </w:r>
      <w:r w:rsidRPr="009F5EB6">
        <w:rPr>
          <w:rtl/>
        </w:rPr>
        <w:t>ידי עסקים קטנים ובינוניים</w:t>
      </w:r>
      <w:r>
        <w:rPr>
          <w:rFonts w:hint="cs"/>
          <w:rtl/>
        </w:rPr>
        <w:t>, כפי שנקבע בהוראת התכ"ם,</w:t>
      </w:r>
      <w:r w:rsidRPr="009F5EB6">
        <w:rPr>
          <w:rtl/>
        </w:rPr>
        <w:t xml:space="preserve"> </w:t>
      </w:r>
      <w:r>
        <w:rPr>
          <w:rFonts w:hint="cs"/>
          <w:rtl/>
        </w:rPr>
        <w:t>ו</w:t>
      </w:r>
      <w:r w:rsidRPr="009F5EB6">
        <w:rPr>
          <w:rtl/>
        </w:rPr>
        <w:t>אם היקף ההתקשרות אינו חסם להשתתפות</w:t>
      </w:r>
      <w:r w:rsidRPr="009F5EB6">
        <w:rPr>
          <w:rFonts w:hint="cs"/>
          <w:rtl/>
        </w:rPr>
        <w:t>ם</w:t>
      </w:r>
      <w:r w:rsidRPr="009F5EB6">
        <w:rPr>
          <w:rtl/>
        </w:rPr>
        <w:t xml:space="preserve"> </w:t>
      </w:r>
      <w:r w:rsidRPr="009F5EB6">
        <w:rPr>
          <w:rFonts w:hint="cs"/>
          <w:rtl/>
        </w:rPr>
        <w:t>במכרזים</w:t>
      </w:r>
      <w:r>
        <w:rPr>
          <w:rFonts w:hint="cs"/>
          <w:rtl/>
        </w:rPr>
        <w:t xml:space="preserve">. </w:t>
      </w:r>
    </w:p>
    <w:p w14:paraId="631F1F00" w14:textId="77777777" w:rsidR="009A28D9" w:rsidRPr="00C45BEB" w:rsidRDefault="009A28D9" w:rsidP="00DB38D2">
      <w:pPr>
        <w:pStyle w:val="af0"/>
        <w:rPr>
          <w:rtl/>
        </w:rPr>
      </w:pPr>
      <w:r w:rsidRPr="00C45BEB">
        <w:rPr>
          <w:rFonts w:hint="cs"/>
          <w:rtl/>
        </w:rPr>
        <w:t>יצוין</w:t>
      </w:r>
      <w:r w:rsidRPr="00C45BEB">
        <w:rPr>
          <w:rtl/>
        </w:rPr>
        <w:t xml:space="preserve"> </w:t>
      </w:r>
      <w:r w:rsidRPr="00C45BEB">
        <w:rPr>
          <w:rFonts w:hint="eastAsia"/>
          <w:rtl/>
        </w:rPr>
        <w:t>כי</w:t>
      </w:r>
      <w:r w:rsidRPr="00C45BEB">
        <w:rPr>
          <w:rtl/>
        </w:rPr>
        <w:t xml:space="preserve"> </w:t>
      </w:r>
      <w:r w:rsidRPr="00C45BEB">
        <w:rPr>
          <w:rFonts w:hint="eastAsia"/>
          <w:rtl/>
        </w:rPr>
        <w:t>במכרז</w:t>
      </w:r>
      <w:r w:rsidRPr="00C45BEB">
        <w:rPr>
          <w:rtl/>
        </w:rPr>
        <w:t xml:space="preserve"> </w:t>
      </w:r>
      <w:r w:rsidRPr="00C45BEB">
        <w:rPr>
          <w:rFonts w:hint="eastAsia"/>
          <w:rtl/>
        </w:rPr>
        <w:t>של</w:t>
      </w:r>
      <w:r w:rsidRPr="00C45BEB">
        <w:rPr>
          <w:rtl/>
        </w:rPr>
        <w:t xml:space="preserve"> </w:t>
      </w:r>
      <w:r w:rsidRPr="00C45BEB">
        <w:rPr>
          <w:rFonts w:hint="eastAsia"/>
          <w:rtl/>
        </w:rPr>
        <w:t>משרד</w:t>
      </w:r>
      <w:r w:rsidRPr="00C45BEB">
        <w:rPr>
          <w:rtl/>
        </w:rPr>
        <w:t xml:space="preserve"> </w:t>
      </w:r>
      <w:r w:rsidRPr="00C45BEB">
        <w:rPr>
          <w:rFonts w:hint="eastAsia"/>
          <w:rtl/>
        </w:rPr>
        <w:t>הבינוי</w:t>
      </w:r>
      <w:r w:rsidRPr="00C45BEB">
        <w:rPr>
          <w:rtl/>
        </w:rPr>
        <w:t xml:space="preserve"> </w:t>
      </w:r>
      <w:r w:rsidRPr="00C45BEB">
        <w:rPr>
          <w:rFonts w:hint="eastAsia"/>
          <w:rtl/>
        </w:rPr>
        <w:t>עבודות</w:t>
      </w:r>
      <w:r w:rsidRPr="00C45BEB">
        <w:rPr>
          <w:rtl/>
        </w:rPr>
        <w:t xml:space="preserve"> </w:t>
      </w:r>
      <w:r w:rsidRPr="00C45BEB">
        <w:rPr>
          <w:rFonts w:hint="eastAsia"/>
          <w:rtl/>
        </w:rPr>
        <w:t>התכנון</w:t>
      </w:r>
      <w:r w:rsidRPr="00C45BEB">
        <w:rPr>
          <w:rtl/>
        </w:rPr>
        <w:t xml:space="preserve"> </w:t>
      </w:r>
      <w:r w:rsidRPr="00C45BEB">
        <w:rPr>
          <w:rFonts w:hint="eastAsia"/>
          <w:rtl/>
        </w:rPr>
        <w:t>חולקו</w:t>
      </w:r>
      <w:r w:rsidRPr="00C45BEB">
        <w:rPr>
          <w:rtl/>
        </w:rPr>
        <w:t xml:space="preserve"> </w:t>
      </w:r>
      <w:r w:rsidRPr="00C45BEB">
        <w:rPr>
          <w:rFonts w:hint="eastAsia"/>
          <w:rtl/>
        </w:rPr>
        <w:t>לשלוש</w:t>
      </w:r>
      <w:r w:rsidRPr="00C45BEB">
        <w:rPr>
          <w:rtl/>
        </w:rPr>
        <w:t xml:space="preserve"> </w:t>
      </w:r>
      <w:r w:rsidRPr="00C45BEB">
        <w:rPr>
          <w:rFonts w:hint="eastAsia"/>
          <w:rtl/>
        </w:rPr>
        <w:t>רמות</w:t>
      </w:r>
      <w:r w:rsidRPr="00C45BEB">
        <w:rPr>
          <w:rtl/>
        </w:rPr>
        <w:t xml:space="preserve"> </w:t>
      </w:r>
      <w:r w:rsidRPr="00C45BEB">
        <w:rPr>
          <w:rFonts w:hint="eastAsia"/>
          <w:rtl/>
        </w:rPr>
        <w:t>התמחות</w:t>
      </w:r>
      <w:r w:rsidRPr="00C45BEB">
        <w:rPr>
          <w:rtl/>
        </w:rPr>
        <w:t xml:space="preserve">: </w:t>
      </w:r>
      <w:r w:rsidRPr="00C45BEB">
        <w:rPr>
          <w:rFonts w:hint="eastAsia"/>
          <w:rtl/>
        </w:rPr>
        <w:t>תוכניות</w:t>
      </w:r>
      <w:r w:rsidRPr="00C45BEB">
        <w:rPr>
          <w:rtl/>
        </w:rPr>
        <w:t xml:space="preserve"> </w:t>
      </w:r>
      <w:r w:rsidRPr="00C45BEB">
        <w:rPr>
          <w:rFonts w:hint="eastAsia"/>
          <w:rtl/>
        </w:rPr>
        <w:t>בהיקף</w:t>
      </w:r>
      <w:r w:rsidRPr="00C45BEB">
        <w:rPr>
          <w:rtl/>
        </w:rPr>
        <w:t xml:space="preserve"> </w:t>
      </w:r>
      <w:r w:rsidRPr="00C45BEB">
        <w:rPr>
          <w:rFonts w:hint="eastAsia"/>
          <w:rtl/>
        </w:rPr>
        <w:t>של</w:t>
      </w:r>
      <w:r w:rsidRPr="00C45BEB">
        <w:rPr>
          <w:rtl/>
        </w:rPr>
        <w:t xml:space="preserve"> </w:t>
      </w:r>
      <w:r w:rsidRPr="00C45BEB">
        <w:rPr>
          <w:rFonts w:hint="eastAsia"/>
          <w:rtl/>
        </w:rPr>
        <w:t>עד</w:t>
      </w:r>
      <w:r w:rsidRPr="00C45BEB">
        <w:rPr>
          <w:rtl/>
        </w:rPr>
        <w:t xml:space="preserve"> 500 </w:t>
      </w:r>
      <w:r w:rsidRPr="00C45BEB">
        <w:rPr>
          <w:rFonts w:hint="eastAsia"/>
          <w:rtl/>
        </w:rPr>
        <w:t>יח</w:t>
      </w:r>
      <w:r w:rsidRPr="00C45BEB">
        <w:rPr>
          <w:rtl/>
        </w:rPr>
        <w:t xml:space="preserve">"ד; </w:t>
      </w:r>
      <w:r w:rsidRPr="00C45BEB">
        <w:rPr>
          <w:rFonts w:hint="eastAsia"/>
          <w:rtl/>
        </w:rPr>
        <w:t>תוכניות</w:t>
      </w:r>
      <w:r w:rsidRPr="00C45BEB">
        <w:rPr>
          <w:rtl/>
        </w:rPr>
        <w:t xml:space="preserve"> </w:t>
      </w:r>
      <w:r w:rsidRPr="00C45BEB">
        <w:rPr>
          <w:rFonts w:hint="eastAsia"/>
          <w:rtl/>
        </w:rPr>
        <w:t>בהיקף</w:t>
      </w:r>
      <w:r w:rsidRPr="00C45BEB">
        <w:rPr>
          <w:rtl/>
        </w:rPr>
        <w:t xml:space="preserve"> </w:t>
      </w:r>
      <w:r w:rsidRPr="00C45BEB">
        <w:rPr>
          <w:rFonts w:hint="eastAsia"/>
          <w:rtl/>
        </w:rPr>
        <w:t>של</w:t>
      </w:r>
      <w:r w:rsidRPr="00C45BEB">
        <w:rPr>
          <w:rtl/>
        </w:rPr>
        <w:t xml:space="preserve"> </w:t>
      </w:r>
      <w:r w:rsidRPr="00C45BEB">
        <w:rPr>
          <w:rFonts w:hint="eastAsia"/>
          <w:rtl/>
        </w:rPr>
        <w:t>בין</w:t>
      </w:r>
      <w:r w:rsidRPr="00C45BEB">
        <w:rPr>
          <w:rtl/>
        </w:rPr>
        <w:t xml:space="preserve"> 500 </w:t>
      </w:r>
      <w:r w:rsidRPr="00C45BEB">
        <w:rPr>
          <w:rFonts w:hint="eastAsia"/>
          <w:rtl/>
        </w:rPr>
        <w:t>ל</w:t>
      </w:r>
      <w:r w:rsidRPr="00C45BEB">
        <w:rPr>
          <w:rtl/>
        </w:rPr>
        <w:t xml:space="preserve">-1,000 </w:t>
      </w:r>
      <w:r w:rsidRPr="00C45BEB">
        <w:rPr>
          <w:rFonts w:hint="eastAsia"/>
          <w:rtl/>
        </w:rPr>
        <w:t>יח</w:t>
      </w:r>
      <w:r w:rsidRPr="00C45BEB">
        <w:rPr>
          <w:rtl/>
        </w:rPr>
        <w:t xml:space="preserve">"ד; </w:t>
      </w:r>
      <w:r w:rsidRPr="00C45BEB">
        <w:rPr>
          <w:rFonts w:hint="eastAsia"/>
          <w:rtl/>
        </w:rPr>
        <w:t>ותוכניות</w:t>
      </w:r>
      <w:r w:rsidRPr="00C45BEB">
        <w:rPr>
          <w:rtl/>
        </w:rPr>
        <w:t xml:space="preserve"> </w:t>
      </w:r>
      <w:r w:rsidRPr="00C45BEB">
        <w:rPr>
          <w:rFonts w:hint="eastAsia"/>
          <w:rtl/>
        </w:rPr>
        <w:t>בהיקף</w:t>
      </w:r>
      <w:r w:rsidRPr="00C45BEB">
        <w:rPr>
          <w:rtl/>
        </w:rPr>
        <w:t xml:space="preserve"> </w:t>
      </w:r>
      <w:r w:rsidRPr="00C45BEB">
        <w:rPr>
          <w:rFonts w:hint="eastAsia"/>
          <w:rtl/>
        </w:rPr>
        <w:t>של</w:t>
      </w:r>
      <w:r w:rsidRPr="00C45BEB">
        <w:rPr>
          <w:rtl/>
        </w:rPr>
        <w:t xml:space="preserve"> </w:t>
      </w:r>
      <w:r w:rsidRPr="00C45BEB">
        <w:rPr>
          <w:rFonts w:hint="eastAsia"/>
          <w:rtl/>
        </w:rPr>
        <w:lastRenderedPageBreak/>
        <w:t>מעל</w:t>
      </w:r>
      <w:r w:rsidRPr="00C45BEB">
        <w:rPr>
          <w:rtl/>
        </w:rPr>
        <w:t xml:space="preserve"> 1,000 </w:t>
      </w:r>
      <w:r w:rsidRPr="00C45BEB">
        <w:rPr>
          <w:rFonts w:hint="eastAsia"/>
          <w:rtl/>
        </w:rPr>
        <w:t>יח</w:t>
      </w:r>
      <w:r w:rsidRPr="00C45BEB">
        <w:rPr>
          <w:rtl/>
        </w:rPr>
        <w:t>"ד</w:t>
      </w:r>
      <w:r w:rsidRPr="00C45BEB">
        <w:rPr>
          <w:rFonts w:hint="cs"/>
          <w:rtl/>
        </w:rPr>
        <w:t>.</w:t>
      </w:r>
      <w:r w:rsidRPr="00C45BEB">
        <w:rPr>
          <w:rtl/>
        </w:rPr>
        <w:t xml:space="preserve"> </w:t>
      </w:r>
      <w:r w:rsidRPr="00C45BEB">
        <w:rPr>
          <w:rFonts w:hint="eastAsia"/>
          <w:rtl/>
        </w:rPr>
        <w:t>אולם</w:t>
      </w:r>
      <w:r w:rsidRPr="00C45BEB">
        <w:rPr>
          <w:rtl/>
        </w:rPr>
        <w:t xml:space="preserve"> </w:t>
      </w:r>
      <w:r w:rsidRPr="00C45BEB">
        <w:rPr>
          <w:rFonts w:hint="eastAsia"/>
          <w:rtl/>
        </w:rPr>
        <w:t>ועדת</w:t>
      </w:r>
      <w:r w:rsidRPr="00C45BEB">
        <w:rPr>
          <w:rtl/>
        </w:rPr>
        <w:t xml:space="preserve"> </w:t>
      </w:r>
      <w:r w:rsidRPr="00C45BEB">
        <w:rPr>
          <w:rFonts w:hint="eastAsia"/>
          <w:rtl/>
        </w:rPr>
        <w:t>המכרזים</w:t>
      </w:r>
      <w:r w:rsidRPr="00C45BEB">
        <w:rPr>
          <w:rtl/>
        </w:rPr>
        <w:t xml:space="preserve"> </w:t>
      </w:r>
      <w:r w:rsidRPr="00C45BEB">
        <w:rPr>
          <w:rFonts w:hint="eastAsia"/>
          <w:rtl/>
        </w:rPr>
        <w:t>של</w:t>
      </w:r>
      <w:r w:rsidRPr="00C45BEB">
        <w:rPr>
          <w:rtl/>
        </w:rPr>
        <w:t xml:space="preserve"> </w:t>
      </w:r>
      <w:r w:rsidRPr="00C45BEB">
        <w:rPr>
          <w:rFonts w:hint="eastAsia"/>
          <w:rtl/>
        </w:rPr>
        <w:t>המשרד</w:t>
      </w:r>
      <w:r w:rsidRPr="00C45BEB">
        <w:rPr>
          <w:rtl/>
        </w:rPr>
        <w:t xml:space="preserve"> </w:t>
      </w:r>
      <w:r w:rsidRPr="00C45BEB">
        <w:rPr>
          <w:rFonts w:hint="eastAsia"/>
          <w:rtl/>
        </w:rPr>
        <w:t>לא</w:t>
      </w:r>
      <w:r w:rsidRPr="00C45BEB">
        <w:rPr>
          <w:rtl/>
        </w:rPr>
        <w:t xml:space="preserve"> </w:t>
      </w:r>
      <w:r w:rsidRPr="00C45BEB">
        <w:rPr>
          <w:rFonts w:hint="eastAsia"/>
          <w:rtl/>
        </w:rPr>
        <w:t>בחנה</w:t>
      </w:r>
      <w:r w:rsidRPr="00C45BEB">
        <w:rPr>
          <w:rtl/>
        </w:rPr>
        <w:t xml:space="preserve"> </w:t>
      </w:r>
      <w:r w:rsidRPr="00C45BEB">
        <w:rPr>
          <w:rFonts w:hint="eastAsia"/>
          <w:rtl/>
        </w:rPr>
        <w:t>אם</w:t>
      </w:r>
      <w:r w:rsidRPr="00C45BEB">
        <w:rPr>
          <w:rtl/>
        </w:rPr>
        <w:t xml:space="preserve"> </w:t>
      </w:r>
      <w:r w:rsidRPr="00C45BEB">
        <w:rPr>
          <w:rFonts w:hint="eastAsia"/>
          <w:rtl/>
        </w:rPr>
        <w:t>יש</w:t>
      </w:r>
      <w:r w:rsidRPr="00C45BEB">
        <w:rPr>
          <w:rtl/>
        </w:rPr>
        <w:t xml:space="preserve"> בחלוקה זו </w:t>
      </w:r>
      <w:r w:rsidRPr="00C45BEB">
        <w:rPr>
          <w:rFonts w:hint="eastAsia"/>
          <w:rtl/>
        </w:rPr>
        <w:t>כדי</w:t>
      </w:r>
      <w:r w:rsidRPr="00C45BEB">
        <w:rPr>
          <w:rtl/>
        </w:rPr>
        <w:t xml:space="preserve"> להבטיח התאמת המכרז לעסקים קטנים ובינוניים.</w:t>
      </w:r>
    </w:p>
    <w:p w14:paraId="659CF27B" w14:textId="77777777" w:rsidR="009A28D9" w:rsidRDefault="009A28D9" w:rsidP="00DB38D2">
      <w:pPr>
        <w:pStyle w:val="af0"/>
        <w:rPr>
          <w:rtl/>
        </w:rPr>
      </w:pPr>
      <w:r>
        <w:rPr>
          <w:rFonts w:hint="cs"/>
          <w:rtl/>
        </w:rPr>
        <w:t>בינואר 2017, בעקבות התיקון לחוק, פורסמה הוראת תכ"ם חדשה</w:t>
      </w:r>
      <w:r>
        <w:rPr>
          <w:rStyle w:val="FootnoteReference"/>
          <w:rtl/>
        </w:rPr>
        <w:footnoteReference w:id="40"/>
      </w:r>
      <w:r>
        <w:rPr>
          <w:rFonts w:hint="cs"/>
          <w:rtl/>
        </w:rPr>
        <w:t xml:space="preserve"> בנושא שילוב עסקים זעירים, קטנים ובינוניים במכרזים ממשלתיים, ובה הוחלו גם על עסקים זעירים הכללים שנקבעו בהוראת התכ"ם מ-2013 ביחס לעסקים קטנים ובינוניים. </w:t>
      </w:r>
    </w:p>
    <w:p w14:paraId="518A73E6" w14:textId="77777777" w:rsidR="009A28D9" w:rsidRDefault="009A28D9" w:rsidP="00DB38D2">
      <w:pPr>
        <w:pStyle w:val="af0"/>
        <w:rPr>
          <w:rtl/>
        </w:rPr>
      </w:pPr>
      <w:r>
        <w:rPr>
          <w:rFonts w:hint="cs"/>
          <w:rtl/>
        </w:rPr>
        <w:t>כאמור, ביוני 2019 פרסמה רמ"י מכרז חדש למתן שירותי תכנון וניהול תכנון, ובו חולקו שירותי התכנון המבוקשים לשתי קטגוריות: קטגוריה "קטנה" לתכנון תוכניות הכוללות עד 500 יח"ד וקטגוריה "גדולה" לתכנון תוכניות הכוללות מעל 500 יח"ד. במכרז צוין כי ל</w:t>
      </w:r>
      <w:r w:rsidRPr="00225D98">
        <w:rPr>
          <w:rtl/>
        </w:rPr>
        <w:t xml:space="preserve">כל מציע </w:t>
      </w:r>
      <w:r>
        <w:rPr>
          <w:rFonts w:hint="cs"/>
          <w:rtl/>
        </w:rPr>
        <w:t>יתאפשר</w:t>
      </w:r>
      <w:r w:rsidRPr="00225D98">
        <w:rPr>
          <w:rtl/>
        </w:rPr>
        <w:t xml:space="preserve"> להגיש הצעה ולזכות בקטגוריה אחת בלבד</w:t>
      </w:r>
      <w:r>
        <w:rPr>
          <w:rFonts w:hint="cs"/>
          <w:rtl/>
        </w:rPr>
        <w:t xml:space="preserve">. מעיון בפרוטוקול הדיון של ועדת המכרזים העליונה ברמ"י מיוני </w:t>
      </w:r>
      <w:r w:rsidRPr="00182471">
        <w:rPr>
          <w:rFonts w:hint="cs"/>
          <w:rtl/>
        </w:rPr>
        <w:t>2019</w:t>
      </w:r>
      <w:r>
        <w:rPr>
          <w:rFonts w:hint="cs"/>
          <w:rtl/>
        </w:rPr>
        <w:t xml:space="preserve">, שבו אישרה את הבקשה לאישור מסמכי המכרז, עלה כי השינויים שנעשו במכרז ביחס למכרז משנת 2014 נועדו "להגביר את התחרות על ידי הוספת חברות תכנון חדשות והורדת העומס מהחברות הקיימות... וכן מתן מענה לטיפול בחברות שמסרבות לקבל עבודה או שנתנו תוצרים לא איכותיים מספיק". </w:t>
      </w:r>
    </w:p>
    <w:p w14:paraId="0CF8D4D4" w14:textId="77777777" w:rsidR="009A28D9" w:rsidRDefault="009A28D9" w:rsidP="00DB38D2">
      <w:pPr>
        <w:pStyle w:val="12"/>
        <w:rPr>
          <w:rtl/>
        </w:rPr>
      </w:pPr>
      <w:r>
        <w:rPr>
          <w:rFonts w:hint="cs"/>
          <w:rtl/>
        </w:rPr>
        <w:t xml:space="preserve">נמצא </w:t>
      </w:r>
      <w:r w:rsidRPr="00475A1E">
        <w:rPr>
          <w:rFonts w:hint="cs"/>
          <w:rtl/>
        </w:rPr>
        <w:t xml:space="preserve">כי </w:t>
      </w:r>
      <w:r>
        <w:rPr>
          <w:rFonts w:hint="cs"/>
          <w:rtl/>
        </w:rPr>
        <w:t xml:space="preserve">גם במכרז זה </w:t>
      </w:r>
      <w:r w:rsidRPr="001F6F0E">
        <w:rPr>
          <w:rFonts w:hint="cs"/>
          <w:rtl/>
        </w:rPr>
        <w:t xml:space="preserve">ועדת המכרזים לא </w:t>
      </w:r>
      <w:r>
        <w:rPr>
          <w:rFonts w:hint="cs"/>
          <w:rtl/>
        </w:rPr>
        <w:t>בחנה את</w:t>
      </w:r>
      <w:r w:rsidRPr="001F6F0E">
        <w:rPr>
          <w:rFonts w:hint="cs"/>
          <w:rtl/>
        </w:rPr>
        <w:t xml:space="preserve"> התאמת</w:t>
      </w:r>
      <w:r>
        <w:rPr>
          <w:rFonts w:hint="cs"/>
          <w:rtl/>
        </w:rPr>
        <w:t xml:space="preserve"> </w:t>
      </w:r>
      <w:r w:rsidRPr="001F6F0E">
        <w:rPr>
          <w:rtl/>
        </w:rPr>
        <w:t>ההתקשרות</w:t>
      </w:r>
      <w:r w:rsidRPr="001F6F0E">
        <w:rPr>
          <w:rFonts w:hint="cs"/>
          <w:rtl/>
        </w:rPr>
        <w:t xml:space="preserve"> </w:t>
      </w:r>
      <w:r w:rsidRPr="001F6F0E">
        <w:rPr>
          <w:rtl/>
        </w:rPr>
        <w:t xml:space="preserve">לביצוע </w:t>
      </w:r>
      <w:r>
        <w:rPr>
          <w:rFonts w:hint="cs"/>
          <w:rtl/>
        </w:rPr>
        <w:t>ב</w:t>
      </w:r>
      <w:r w:rsidRPr="001F6F0E">
        <w:rPr>
          <w:rtl/>
        </w:rPr>
        <w:t xml:space="preserve">ידי עסקים </w:t>
      </w:r>
      <w:r w:rsidRPr="001F6F0E">
        <w:rPr>
          <w:rFonts w:hint="cs"/>
          <w:rtl/>
        </w:rPr>
        <w:t xml:space="preserve">זעירים, </w:t>
      </w:r>
      <w:r w:rsidRPr="001F6F0E">
        <w:rPr>
          <w:rtl/>
        </w:rPr>
        <w:t>קטנים ובינוניים</w:t>
      </w:r>
      <w:r>
        <w:rPr>
          <w:rFonts w:hint="cs"/>
          <w:rtl/>
        </w:rPr>
        <w:t>,</w:t>
      </w:r>
      <w:r w:rsidRPr="001F6F0E">
        <w:rPr>
          <w:rFonts w:hint="cs"/>
          <w:rtl/>
        </w:rPr>
        <w:t xml:space="preserve"> וממילא לא קבעה </w:t>
      </w:r>
      <w:r>
        <w:rPr>
          <w:rFonts w:hint="cs"/>
          <w:rtl/>
        </w:rPr>
        <w:t xml:space="preserve">בהתאם לבחינה </w:t>
      </w:r>
      <w:r w:rsidRPr="001F6F0E">
        <w:rPr>
          <w:rFonts w:hint="cs"/>
          <w:rtl/>
        </w:rPr>
        <w:t>הנחיות ל</w:t>
      </w:r>
      <w:r>
        <w:rPr>
          <w:rFonts w:hint="cs"/>
          <w:rtl/>
        </w:rPr>
        <w:t>התאמת תנאי המכרז</w:t>
      </w:r>
      <w:r w:rsidRPr="001F6F0E">
        <w:rPr>
          <w:rFonts w:hint="cs"/>
          <w:rtl/>
        </w:rPr>
        <w:t>.</w:t>
      </w:r>
      <w:r>
        <w:rPr>
          <w:rFonts w:hint="cs"/>
          <w:rtl/>
        </w:rPr>
        <w:t xml:space="preserve"> עם זאת ניתן לראות בחלוקה לקטגוריות צעד קדימה בכל הנוגע להרחבת מספר הספקים וגיוונם. </w:t>
      </w:r>
    </w:p>
    <w:p w14:paraId="267DA27A" w14:textId="77777777" w:rsidR="009A28D9" w:rsidRDefault="009A28D9" w:rsidP="00DB38D2">
      <w:pPr>
        <w:pStyle w:val="af0"/>
        <w:rPr>
          <w:rtl/>
        </w:rPr>
      </w:pPr>
      <w:r w:rsidRPr="00EF104F">
        <w:rPr>
          <w:rFonts w:hint="cs"/>
          <w:rtl/>
        </w:rPr>
        <w:t xml:space="preserve">רמ"י </w:t>
      </w:r>
      <w:r>
        <w:rPr>
          <w:rFonts w:hint="cs"/>
          <w:rtl/>
        </w:rPr>
        <w:t>מסרה בתשובתה כי הוספת הקטגוריה של חברות בעלות היקף פעילות קטן יותר, וכן הצבת תנאים מקלים - בין היתר בנוגע לביטוח אחריות - כפי שעשתה במכרז החדש מיוני 2019, נותנות מענה לדרישה מהבחינה המהותית.</w:t>
      </w:r>
    </w:p>
    <w:p w14:paraId="6B3F477A" w14:textId="77777777" w:rsidR="009A28D9" w:rsidRPr="00EF104F" w:rsidRDefault="009A28D9" w:rsidP="00DB38D2">
      <w:pPr>
        <w:pStyle w:val="af0"/>
        <w:rPr>
          <w:rtl/>
        </w:rPr>
      </w:pPr>
      <w:r w:rsidRPr="001D2F7F">
        <w:rPr>
          <w:rFonts w:hint="cs"/>
          <w:rtl/>
        </w:rPr>
        <w:t xml:space="preserve">משרד הבינוי </w:t>
      </w:r>
      <w:r>
        <w:rPr>
          <w:rFonts w:hint="cs"/>
          <w:rtl/>
        </w:rPr>
        <w:t>מסר בתשובתו</w:t>
      </w:r>
      <w:r w:rsidRPr="001D2F7F">
        <w:rPr>
          <w:rFonts w:hint="cs"/>
          <w:rtl/>
        </w:rPr>
        <w:t xml:space="preserve"> כי</w:t>
      </w:r>
      <w:r>
        <w:rPr>
          <w:rFonts w:hint="cs"/>
          <w:rtl/>
        </w:rPr>
        <w:t xml:space="preserve"> רובם המכריע של המתכננים הפועלים עבורו הם עסקים קטנים ובינוניים, וכי מכרזי התכנון של המשרד אינם כוללים חסמים לעוסקים בתכנון. יתרה מכך, התכנון באמצעות חברות מתכננות מסייע לעוסקים קטנים וזעירים להשתלב בצוותי התכנון. </w:t>
      </w:r>
    </w:p>
    <w:p w14:paraId="7FAF48C4" w14:textId="77777777" w:rsidR="009A28D9" w:rsidRDefault="009A28D9" w:rsidP="00DB38D2">
      <w:pPr>
        <w:pStyle w:val="12"/>
        <w:rPr>
          <w:rtl/>
        </w:rPr>
      </w:pPr>
      <w:r>
        <w:rPr>
          <w:rFonts w:hint="cs"/>
          <w:rtl/>
        </w:rPr>
        <w:t xml:space="preserve">נוכח חשיבות שילובם של העסקים הקטנים, </w:t>
      </w:r>
      <w:r w:rsidRPr="000F3EB2">
        <w:rPr>
          <w:rFonts w:hint="cs"/>
          <w:rtl/>
        </w:rPr>
        <w:t xml:space="preserve">לא בכדי </w:t>
      </w:r>
      <w:r>
        <w:rPr>
          <w:rFonts w:hint="cs"/>
          <w:rtl/>
        </w:rPr>
        <w:t xml:space="preserve">קבע </w:t>
      </w:r>
      <w:r w:rsidRPr="000F3EB2">
        <w:rPr>
          <w:rFonts w:hint="cs"/>
          <w:rtl/>
        </w:rPr>
        <w:t>המחוקק</w:t>
      </w:r>
      <w:r>
        <w:rPr>
          <w:rFonts w:hint="cs"/>
          <w:rtl/>
        </w:rPr>
        <w:t xml:space="preserve"> כי בטרם יציאה לכל מכרז ממשלתי</w:t>
      </w:r>
      <w:r w:rsidRPr="00EE1BB3">
        <w:rPr>
          <w:rFonts w:hint="cs"/>
          <w:rtl/>
        </w:rPr>
        <w:t xml:space="preserve"> </w:t>
      </w:r>
      <w:r w:rsidRPr="000F3EB2">
        <w:rPr>
          <w:rFonts w:hint="cs"/>
          <w:rtl/>
        </w:rPr>
        <w:t>יש לבחון</w:t>
      </w:r>
      <w:r>
        <w:rPr>
          <w:rFonts w:hint="cs"/>
          <w:rtl/>
        </w:rPr>
        <w:t xml:space="preserve"> </w:t>
      </w:r>
      <w:r w:rsidRPr="000F3EB2">
        <w:rPr>
          <w:rFonts w:hint="cs"/>
          <w:rtl/>
        </w:rPr>
        <w:t xml:space="preserve">את </w:t>
      </w:r>
      <w:r>
        <w:rPr>
          <w:rFonts w:hint="cs"/>
          <w:rtl/>
        </w:rPr>
        <w:t>האפשרות לביצוע עבודה באמצעותם ובמידת הצורך לפעול ל</w:t>
      </w:r>
      <w:r w:rsidRPr="000F3EB2">
        <w:rPr>
          <w:rFonts w:hint="cs"/>
          <w:rtl/>
        </w:rPr>
        <w:t xml:space="preserve">התאמת </w:t>
      </w:r>
      <w:r>
        <w:rPr>
          <w:rFonts w:hint="cs"/>
          <w:rtl/>
        </w:rPr>
        <w:t>תנאי המכרז לכך</w:t>
      </w:r>
      <w:r w:rsidRPr="000F3EB2">
        <w:rPr>
          <w:rFonts w:hint="cs"/>
          <w:rtl/>
        </w:rPr>
        <w:t>.</w:t>
      </w:r>
      <w:r>
        <w:rPr>
          <w:rFonts w:hint="cs"/>
          <w:rtl/>
        </w:rPr>
        <w:t xml:space="preserve"> </w:t>
      </w:r>
      <w:r w:rsidRPr="000F3EB2">
        <w:rPr>
          <w:rFonts w:hint="cs"/>
          <w:rtl/>
        </w:rPr>
        <w:t xml:space="preserve">על רמ"י ומשרד הבינוי </w:t>
      </w:r>
      <w:r>
        <w:rPr>
          <w:rFonts w:hint="cs"/>
          <w:rtl/>
        </w:rPr>
        <w:t xml:space="preserve">להקפיד על ביצוע הבחינה הנדרשת בנדון בטרם פרסום כל מכרז, ולהמשיך לנקוט צעדים להרחבת שילובם של העסקים הקטנים. </w:t>
      </w:r>
    </w:p>
    <w:p w14:paraId="2622DE5B" w14:textId="77777777" w:rsidR="009A28D9" w:rsidRDefault="009A28D9" w:rsidP="00D615CD">
      <w:pPr>
        <w:pStyle w:val="a0"/>
      </w:pPr>
      <w:r>
        <w:rPr>
          <w:rFonts w:hint="cs"/>
          <w:rtl/>
        </w:rPr>
        <w:t>מבירור שעשה צוות הביקורת באגף ההנדסה והבינוי שבמשרד הביטחון</w:t>
      </w:r>
      <w:r>
        <w:rPr>
          <w:rStyle w:val="FootnoteReference"/>
          <w:rtl/>
        </w:rPr>
        <w:footnoteReference w:id="41"/>
      </w:r>
      <w:r>
        <w:rPr>
          <w:rFonts w:hint="cs"/>
          <w:rtl/>
        </w:rPr>
        <w:t xml:space="preserve">, שמרבה להתקשר עם גופים בתחום התכנון, עלה כי הוא יזם פעולות לשילוב עסקים קטנים ובינוניים </w:t>
      </w:r>
      <w:r>
        <w:rPr>
          <w:rFonts w:hint="cs"/>
          <w:rtl/>
        </w:rPr>
        <w:lastRenderedPageBreak/>
        <w:t>במערך הספקים שלו, לרבות בתחום שירותי התכנון. לדוגמה, משרד הביטחון, בשיתוף עם הסוכנות לעסקים קטנים ובינוניים</w:t>
      </w:r>
      <w:r>
        <w:rPr>
          <w:rStyle w:val="FootnoteReference"/>
          <w:rtl/>
        </w:rPr>
        <w:footnoteReference w:id="42"/>
      </w:r>
      <w:r>
        <w:rPr>
          <w:rFonts w:hint="cs"/>
          <w:rtl/>
        </w:rPr>
        <w:t xml:space="preserve"> שבמשרד הכלכלה והתעשייה, יזם כנסים לעסקים קטנים ובינוניים, והציג בהם את תחומי פעילותו ודרכים להצטרפות למערך הספקים.</w:t>
      </w:r>
    </w:p>
    <w:p w14:paraId="301B8128" w14:textId="77777777" w:rsidR="009A28D9" w:rsidRDefault="009A28D9" w:rsidP="00D615CD">
      <w:pPr>
        <w:pStyle w:val="12"/>
        <w:rPr>
          <w:rtl/>
        </w:rPr>
      </w:pPr>
      <w:r>
        <w:rPr>
          <w:rFonts w:hint="cs"/>
          <w:rtl/>
        </w:rPr>
        <w:t xml:space="preserve">על </w:t>
      </w:r>
      <w:r w:rsidRPr="00775B4D">
        <w:rPr>
          <w:rFonts w:hint="cs"/>
          <w:rtl/>
        </w:rPr>
        <w:t>רמ"י ו</w:t>
      </w:r>
      <w:r>
        <w:rPr>
          <w:rFonts w:hint="cs"/>
          <w:rtl/>
        </w:rPr>
        <w:t xml:space="preserve">על </w:t>
      </w:r>
      <w:r w:rsidRPr="00775B4D">
        <w:rPr>
          <w:rFonts w:hint="cs"/>
          <w:rtl/>
        </w:rPr>
        <w:t>משרד הבינוי לשקול ל</w:t>
      </w:r>
      <w:r>
        <w:rPr>
          <w:rFonts w:hint="cs"/>
          <w:rtl/>
        </w:rPr>
        <w:t>נקוט יוזמה</w:t>
      </w:r>
      <w:r w:rsidRPr="00775B4D">
        <w:rPr>
          <w:rFonts w:hint="cs"/>
          <w:rtl/>
        </w:rPr>
        <w:t xml:space="preserve"> </w:t>
      </w:r>
      <w:r>
        <w:rPr>
          <w:rFonts w:hint="cs"/>
          <w:rtl/>
        </w:rPr>
        <w:t xml:space="preserve">בדומה למשרד </w:t>
      </w:r>
      <w:r w:rsidRPr="00775B4D">
        <w:rPr>
          <w:rFonts w:hint="cs"/>
          <w:rtl/>
        </w:rPr>
        <w:t xml:space="preserve">הביטחון </w:t>
      </w:r>
      <w:r>
        <w:rPr>
          <w:rFonts w:hint="cs"/>
          <w:rtl/>
        </w:rPr>
        <w:t>ב</w:t>
      </w:r>
      <w:r w:rsidRPr="00775B4D">
        <w:rPr>
          <w:rFonts w:hint="cs"/>
          <w:rtl/>
        </w:rPr>
        <w:t>מטר</w:t>
      </w:r>
      <w:r>
        <w:rPr>
          <w:rFonts w:hint="cs"/>
          <w:rtl/>
        </w:rPr>
        <w:t>ה</w:t>
      </w:r>
      <w:r w:rsidRPr="00775B4D">
        <w:rPr>
          <w:rFonts w:hint="cs"/>
          <w:rtl/>
        </w:rPr>
        <w:t xml:space="preserve"> ל</w:t>
      </w:r>
      <w:r>
        <w:rPr>
          <w:rFonts w:hint="cs"/>
          <w:rtl/>
        </w:rPr>
        <w:t>הגביר באופן פרו-אקטיבי את המודעות של</w:t>
      </w:r>
      <w:r w:rsidRPr="00775B4D">
        <w:rPr>
          <w:rFonts w:hint="cs"/>
          <w:rtl/>
        </w:rPr>
        <w:t xml:space="preserve"> עסקים זעירים, קטנים ובינוניים</w:t>
      </w:r>
      <w:r>
        <w:rPr>
          <w:rFonts w:hint="cs"/>
          <w:rtl/>
        </w:rPr>
        <w:t xml:space="preserve"> לאפשרות להשתתף במכרזיהם, ובכלל זה במכרזים</w:t>
      </w:r>
      <w:r w:rsidRPr="00775B4D">
        <w:rPr>
          <w:rFonts w:hint="cs"/>
          <w:rtl/>
        </w:rPr>
        <w:t xml:space="preserve"> </w:t>
      </w:r>
      <w:r>
        <w:rPr>
          <w:rFonts w:hint="cs"/>
          <w:rtl/>
        </w:rPr>
        <w:t>למתן שירותי התכנון</w:t>
      </w:r>
      <w:r w:rsidRPr="00775B4D">
        <w:rPr>
          <w:rFonts w:hint="cs"/>
          <w:rtl/>
        </w:rPr>
        <w:t>.</w:t>
      </w:r>
      <w:r>
        <w:rPr>
          <w:rFonts w:hint="cs"/>
          <w:rtl/>
        </w:rPr>
        <w:t xml:space="preserve"> כמו כן, ראוי כי הם</w:t>
      </w:r>
      <w:r w:rsidRPr="00344B10">
        <w:rPr>
          <w:rFonts w:hint="cs"/>
          <w:rtl/>
        </w:rPr>
        <w:t xml:space="preserve"> </w:t>
      </w:r>
      <w:r>
        <w:rPr>
          <w:rFonts w:hint="cs"/>
          <w:rtl/>
        </w:rPr>
        <w:t>ישקלו שיתוף פעולה עם הסוכנות לעסקים קטנים ובינוניים בעניין זה. שילובם של עסקים כאלו יאפשר להם לצבור ניסיון ולהתפתח מקצועית, כדי שיוכלו להתמודד במכרזים בהיקף ניכר</w:t>
      </w:r>
      <w:r w:rsidRPr="00F63872">
        <w:rPr>
          <w:rFonts w:hint="cs"/>
          <w:rtl/>
        </w:rPr>
        <w:t xml:space="preserve"> </w:t>
      </w:r>
      <w:r>
        <w:rPr>
          <w:rFonts w:hint="cs"/>
          <w:rtl/>
        </w:rPr>
        <w:t>בעתיד.</w:t>
      </w:r>
    </w:p>
    <w:p w14:paraId="1057497F" w14:textId="77777777" w:rsidR="009A28D9" w:rsidRDefault="009A28D9" w:rsidP="00902897">
      <w:pPr>
        <w:pStyle w:val="316"/>
        <w:rPr>
          <w:rtl/>
        </w:rPr>
      </w:pPr>
      <w:r>
        <w:rPr>
          <w:rFonts w:hint="cs"/>
          <w:rtl/>
        </w:rPr>
        <w:t xml:space="preserve">סדרי </w:t>
      </w:r>
      <w:r w:rsidRPr="00705B3C">
        <w:rPr>
          <w:rtl/>
        </w:rPr>
        <w:t>ניהול</w:t>
      </w:r>
      <w:r>
        <w:rPr>
          <w:rFonts w:hint="cs"/>
          <w:rtl/>
        </w:rPr>
        <w:t>, ליווי</w:t>
      </w:r>
      <w:r>
        <w:rPr>
          <w:rtl/>
        </w:rPr>
        <w:t xml:space="preserve"> </w:t>
      </w:r>
      <w:r w:rsidRPr="00705B3C">
        <w:rPr>
          <w:rtl/>
        </w:rPr>
        <w:t>ובקרה</w:t>
      </w:r>
    </w:p>
    <w:p w14:paraId="7FAB4AA6" w14:textId="77777777" w:rsidR="009A28D9" w:rsidRDefault="009A28D9" w:rsidP="00902897">
      <w:pPr>
        <w:pStyle w:val="414"/>
        <w:rPr>
          <w:rtl/>
        </w:rPr>
      </w:pPr>
      <w:r>
        <w:rPr>
          <w:rFonts w:hint="cs"/>
          <w:rtl/>
        </w:rPr>
        <w:t>לוחות הזמנים לתכנון</w:t>
      </w:r>
      <w:r w:rsidRPr="00A06D6C">
        <w:rPr>
          <w:rFonts w:hint="cs"/>
          <w:rtl/>
        </w:rPr>
        <w:t xml:space="preserve"> </w:t>
      </w:r>
      <w:r>
        <w:rPr>
          <w:rFonts w:hint="cs"/>
          <w:rtl/>
        </w:rPr>
        <w:t>ברמ"י ובמשרד הבינוי</w:t>
      </w:r>
    </w:p>
    <w:p w14:paraId="00FC9E7F" w14:textId="77777777" w:rsidR="009A28D9" w:rsidRPr="00F1570C" w:rsidRDefault="009A28D9" w:rsidP="00902897">
      <w:pPr>
        <w:pStyle w:val="100"/>
        <w:rPr>
          <w:rtl/>
        </w:rPr>
      </w:pPr>
      <w:r w:rsidRPr="00890351">
        <w:rPr>
          <w:rFonts w:hint="eastAsia"/>
          <w:rtl/>
        </w:rPr>
        <w:t>נוכח</w:t>
      </w:r>
      <w:r w:rsidRPr="00890351">
        <w:rPr>
          <w:rtl/>
        </w:rPr>
        <w:t xml:space="preserve"> החשיבות של התכנון למגורים </w:t>
      </w:r>
      <w:r w:rsidRPr="00890351">
        <w:rPr>
          <w:rFonts w:hint="cs"/>
          <w:rtl/>
        </w:rPr>
        <w:t>ו</w:t>
      </w:r>
      <w:r w:rsidRPr="00890351">
        <w:rPr>
          <w:rtl/>
        </w:rPr>
        <w:t xml:space="preserve">היקף המשאבים </w:t>
      </w:r>
      <w:r w:rsidRPr="00890351">
        <w:rPr>
          <w:rFonts w:hint="cs"/>
          <w:rtl/>
        </w:rPr>
        <w:t>שהגופים השקיעו ב</w:t>
      </w:r>
      <w:r w:rsidRPr="00890351">
        <w:rPr>
          <w:rtl/>
        </w:rPr>
        <w:t>ו</w:t>
      </w:r>
      <w:r w:rsidRPr="00890351">
        <w:rPr>
          <w:rFonts w:hint="cs"/>
          <w:rtl/>
        </w:rPr>
        <w:t>,</w:t>
      </w:r>
      <w:r w:rsidRPr="00890351">
        <w:rPr>
          <w:rtl/>
        </w:rPr>
        <w:t xml:space="preserve"> ונוכח השימוש בגופים </w:t>
      </w:r>
      <w:r w:rsidRPr="00890351">
        <w:rPr>
          <w:rFonts w:hint="cs"/>
          <w:rtl/>
        </w:rPr>
        <w:t>פרטיים</w:t>
      </w:r>
      <w:r w:rsidRPr="00890351">
        <w:rPr>
          <w:rtl/>
        </w:rPr>
        <w:t xml:space="preserve"> </w:t>
      </w:r>
      <w:r w:rsidRPr="00890351">
        <w:rPr>
          <w:rFonts w:hint="eastAsia"/>
          <w:rtl/>
        </w:rPr>
        <w:t>ל</w:t>
      </w:r>
      <w:r w:rsidRPr="00890351">
        <w:rPr>
          <w:rFonts w:hint="cs"/>
          <w:rtl/>
        </w:rPr>
        <w:t>צורך ה</w:t>
      </w:r>
      <w:r w:rsidRPr="00890351">
        <w:rPr>
          <w:rtl/>
        </w:rPr>
        <w:t>תכנון, מתחייב כי יתקיימו</w:t>
      </w:r>
      <w:r w:rsidRPr="00890351">
        <w:rPr>
          <w:rFonts w:hint="cs"/>
          <w:rtl/>
        </w:rPr>
        <w:t xml:space="preserve"> מעקב ובקרה הדוקים אחרי ביצוען של עבודות תכנון, במטרה להשיג </w:t>
      </w:r>
      <w:r w:rsidRPr="00890351">
        <w:rPr>
          <w:rFonts w:hint="eastAsia"/>
          <w:rtl/>
        </w:rPr>
        <w:t>תכנון</w:t>
      </w:r>
      <w:r w:rsidRPr="00890351">
        <w:rPr>
          <w:rtl/>
        </w:rPr>
        <w:t xml:space="preserve"> </w:t>
      </w:r>
      <w:r w:rsidRPr="00890351">
        <w:rPr>
          <w:rFonts w:hint="eastAsia"/>
          <w:rtl/>
        </w:rPr>
        <w:t>איכותי</w:t>
      </w:r>
      <w:r w:rsidRPr="00890351">
        <w:rPr>
          <w:rFonts w:hint="cs"/>
          <w:rtl/>
        </w:rPr>
        <w:t xml:space="preserve"> ויעיל,</w:t>
      </w:r>
      <w:r w:rsidRPr="00890351">
        <w:rPr>
          <w:rtl/>
        </w:rPr>
        <w:t xml:space="preserve"> </w:t>
      </w:r>
      <w:r w:rsidRPr="00890351">
        <w:rPr>
          <w:rFonts w:hint="cs"/>
          <w:rtl/>
        </w:rPr>
        <w:t xml:space="preserve">תוך עמידה בלוחות זמנים. </w:t>
      </w:r>
    </w:p>
    <w:p w14:paraId="5473F552" w14:textId="77777777" w:rsidR="009A28D9" w:rsidRDefault="009A28D9" w:rsidP="00902897">
      <w:pPr>
        <w:pStyle w:val="100"/>
        <w:rPr>
          <w:rtl/>
        </w:rPr>
      </w:pPr>
      <w:r>
        <w:rPr>
          <w:rFonts w:hint="cs"/>
          <w:rtl/>
        </w:rPr>
        <w:t>בדוח ועדת טרכטנברג</w:t>
      </w:r>
      <w:r>
        <w:rPr>
          <w:rStyle w:val="FootnoteReference"/>
          <w:rtl/>
        </w:rPr>
        <w:footnoteReference w:id="43"/>
      </w:r>
      <w:r>
        <w:rPr>
          <w:rFonts w:hint="cs"/>
          <w:rtl/>
        </w:rPr>
        <w:t xml:space="preserve"> בפרק בנושא הדיור</w:t>
      </w:r>
      <w:r>
        <w:rPr>
          <w:rStyle w:val="FootnoteReference"/>
          <w:rtl/>
        </w:rPr>
        <w:footnoteReference w:id="44"/>
      </w:r>
      <w:r>
        <w:rPr>
          <w:rFonts w:hint="cs"/>
          <w:rtl/>
        </w:rPr>
        <w:t xml:space="preserve"> ציינה הוועדה כי אחד הגורמים למחסור שנוצר בהיצע הדירות ולעליית מחירי הדיור בשנים 2007 - 2011 היה הליכי התכנון הממושכים של הקרקע, שהובילו למחסור במלאי תכנוני זמין. כמו כן, בדוח בנק ישראל לשנת 2014 צוין כי נדרשות בממוצע כ-13 שנים לתכנון ולבנייה של דירה, מהן כשש שנים לבדיקת היתכנות והכנת התוכנית להגשה למוסדות התכנון (כשנה) ולאישורה במוסדות (כחמש שנים נוספות)</w:t>
      </w:r>
      <w:r>
        <w:rPr>
          <w:rStyle w:val="FootnoteReference"/>
          <w:rtl/>
        </w:rPr>
        <w:footnoteReference w:id="45"/>
      </w:r>
      <w:r>
        <w:rPr>
          <w:rFonts w:hint="cs"/>
          <w:rtl/>
        </w:rPr>
        <w:t>. בשנתון של מינהל התכנון לשנת 2018 צוין כי הזמן הממוצע הארצי לאישור תוכנית במוסדות תכנון מחוזיים היה כ-2.4 שנים - הזמן הממוצע הנמוך היה 1.9 שנים (במחוז ירושלים), והזמן הממוצע הגבוה היה 4.8 שנים (במחוז מרכז)</w:t>
      </w:r>
      <w:r>
        <w:rPr>
          <w:rStyle w:val="FootnoteReference"/>
          <w:rtl/>
        </w:rPr>
        <w:footnoteReference w:id="46"/>
      </w:r>
      <w:r>
        <w:rPr>
          <w:rFonts w:hint="cs"/>
          <w:rtl/>
        </w:rPr>
        <w:t xml:space="preserve">. </w:t>
      </w:r>
    </w:p>
    <w:p w14:paraId="6437083A" w14:textId="77777777" w:rsidR="009A28D9" w:rsidRDefault="009A28D9" w:rsidP="00902897">
      <w:pPr>
        <w:pStyle w:val="100"/>
        <w:rPr>
          <w:rtl/>
        </w:rPr>
      </w:pPr>
      <w:r>
        <w:rPr>
          <w:rFonts w:hint="cs"/>
          <w:rtl/>
        </w:rPr>
        <w:t xml:space="preserve">הליכי התכנון מתחלקים כפי שצוין לעיל לשני שלבים עיקריים: (א) הכנת התוכנית; (ב) האישור הסטטוטורי של התוכנית במוסדות התכנון. במסגרת הביקורת בדק משרד מבקר המדינה היבטים בסדרי המעקב והבקרה של רמ"י ושל משרד הבינוי בנוגע ל-177 עבודות תכנון שמסרה </w:t>
      </w:r>
      <w:r>
        <w:rPr>
          <w:rFonts w:hint="cs"/>
          <w:rtl/>
        </w:rPr>
        <w:lastRenderedPageBreak/>
        <w:t xml:space="preserve">רמ"י בשנים 2015 - 2018 ול-789 עבודות תכנון שמסר משרד הבינוי בשנים 2016 </w:t>
      </w:r>
      <w:r>
        <w:rPr>
          <w:rtl/>
        </w:rPr>
        <w:t>-</w:t>
      </w:r>
      <w:r>
        <w:rPr>
          <w:rFonts w:hint="cs"/>
          <w:rtl/>
        </w:rPr>
        <w:t xml:space="preserve"> 2018 - עבודות שהיה לגביהן מידע על שלב התכנון שבו הן מצויות ועל מועד תחילת ביצוע התכנון. להלן פרטים:</w:t>
      </w:r>
    </w:p>
    <w:p w14:paraId="70B2773D" w14:textId="77777777" w:rsidR="009A28D9" w:rsidRPr="0053000C" w:rsidRDefault="009A28D9" w:rsidP="00902897">
      <w:pPr>
        <w:pStyle w:val="5115"/>
        <w:rPr>
          <w:rtl/>
        </w:rPr>
      </w:pPr>
      <w:r>
        <w:rPr>
          <w:rFonts w:hint="cs"/>
          <w:rtl/>
        </w:rPr>
        <w:t>לוחות זמנים לתוכניות שבאחריות רמ"י</w:t>
      </w:r>
    </w:p>
    <w:p w14:paraId="41D18C08" w14:textId="77777777" w:rsidR="009A28D9" w:rsidRDefault="009A28D9" w:rsidP="00A96316">
      <w:pPr>
        <w:pStyle w:val="100"/>
      </w:pPr>
      <w:r w:rsidRPr="004D49A5">
        <w:rPr>
          <w:rFonts w:hint="cs"/>
          <w:rtl/>
        </w:rPr>
        <w:t>לאחר קבלת הרשאה לתכנון הקרקע מתקשרת רמ"י בהסכם עם חברה מתכננת לצורך קידום פעולות התכנון. כמו כן, לעיתים כשגורם תכנון שלטוני מסוים (רשויות מקומיות, חברות ממשלתיות, משרדי ממשלה) יוזם תכנון על מקרקעי ישראל, הוא מקבל מרמ"י הרשאה לתכנון, ובמקרים רבים היא גם משתתפת במימון הוצאות התכנון. במקרה כזה נחתם בין רמ"י לבין גורם התכנון הסכם התחייבות על תשלום עבור התכנון. בהסכמים עם חברות מתכננות וגורמי תכנון שלטוניים נקבעות אבני דרך לפעולות התכנון</w:t>
      </w:r>
      <w:r w:rsidRPr="004D49A5">
        <w:rPr>
          <w:rStyle w:val="FootnoteReference"/>
          <w:rtl/>
        </w:rPr>
        <w:footnoteReference w:id="47"/>
      </w:r>
      <w:r w:rsidRPr="004D49A5">
        <w:rPr>
          <w:rFonts w:hint="cs"/>
          <w:rtl/>
        </w:rPr>
        <w:t xml:space="preserve"> שהן בבחינת שלבי הליך התכנון. לפי נתוני רמ"י, נכון למרץ 2019 היא מסרה לחברות מתכננות שזכו במכרז, משנת 2014, 232 עבודות תכנון למגורים שבהן כ-600,000 יח"ד בעלות כוללת של כ-340 מיליון ש"ח.</w:t>
      </w:r>
      <w:r>
        <w:rPr>
          <w:rFonts w:hint="cs"/>
          <w:rtl/>
        </w:rPr>
        <w:t xml:space="preserve"> </w:t>
      </w:r>
    </w:p>
    <w:p w14:paraId="5D3BFE8C" w14:textId="77777777" w:rsidR="009A28D9" w:rsidRPr="009C2A19" w:rsidRDefault="009A28D9" w:rsidP="00A96316">
      <w:pPr>
        <w:pStyle w:val="100"/>
        <w:rPr>
          <w:rtl/>
        </w:rPr>
      </w:pPr>
      <w:r w:rsidRPr="009C2A19">
        <w:rPr>
          <w:rFonts w:hint="cs"/>
          <w:rtl/>
        </w:rPr>
        <w:t>נוהל של רמ"י בנושא "עקרונות ניהול ומעקב אחר ביצוע תכנון" מ</w:t>
      </w:r>
      <w:r>
        <w:rPr>
          <w:rFonts w:hint="cs"/>
          <w:rtl/>
        </w:rPr>
        <w:t>אוקטובר 2000</w:t>
      </w:r>
      <w:r>
        <w:rPr>
          <w:rStyle w:val="FootnoteReference"/>
          <w:rtl/>
        </w:rPr>
        <w:footnoteReference w:id="48"/>
      </w:r>
      <w:r w:rsidRPr="009C2A19">
        <w:rPr>
          <w:rFonts w:hint="cs"/>
          <w:rtl/>
        </w:rPr>
        <w:t xml:space="preserve"> קובע כי עבור כל תוכנית יוגדרו מראש שלבי התכנון וייקבעו לוחות זמנים לכל שלב.</w:t>
      </w:r>
    </w:p>
    <w:p w14:paraId="7C5938E5" w14:textId="1EAFC33E" w:rsidR="009A28D9" w:rsidRDefault="009A28D9" w:rsidP="001A692D">
      <w:pPr>
        <w:pStyle w:val="a2"/>
        <w:ind w:left="340"/>
      </w:pPr>
      <w:r w:rsidRPr="00B4107B">
        <w:rPr>
          <w:rFonts w:hint="cs"/>
          <w:rtl/>
        </w:rPr>
        <w:t xml:space="preserve">בביקורת עלה כי בכל </w:t>
      </w:r>
      <w:r>
        <w:rPr>
          <w:rFonts w:hint="cs"/>
          <w:rtl/>
        </w:rPr>
        <w:t xml:space="preserve">177 </w:t>
      </w:r>
      <w:r w:rsidRPr="00B4107B">
        <w:rPr>
          <w:rFonts w:hint="cs"/>
          <w:rtl/>
        </w:rPr>
        <w:t>ה</w:t>
      </w:r>
      <w:r>
        <w:rPr>
          <w:rFonts w:hint="cs"/>
          <w:rtl/>
        </w:rPr>
        <w:t>עבודות</w:t>
      </w:r>
      <w:r w:rsidRPr="00B4107B">
        <w:rPr>
          <w:rFonts w:hint="cs"/>
          <w:rtl/>
        </w:rPr>
        <w:t xml:space="preserve"> שנבדקו</w:t>
      </w:r>
      <w:r>
        <w:rPr>
          <w:rFonts w:hint="cs"/>
          <w:rtl/>
        </w:rPr>
        <w:t xml:space="preserve"> רמ"י </w:t>
      </w:r>
      <w:r w:rsidRPr="00B4107B">
        <w:rPr>
          <w:rFonts w:hint="cs"/>
          <w:rtl/>
        </w:rPr>
        <w:t xml:space="preserve">קבעה בהסכם עם </w:t>
      </w:r>
      <w:r>
        <w:rPr>
          <w:rFonts w:hint="cs"/>
          <w:rtl/>
        </w:rPr>
        <w:t>ה</w:t>
      </w:r>
      <w:r w:rsidRPr="00B4107B">
        <w:rPr>
          <w:rFonts w:hint="cs"/>
          <w:rtl/>
        </w:rPr>
        <w:t xml:space="preserve">חברות </w:t>
      </w:r>
      <w:r>
        <w:rPr>
          <w:rFonts w:hint="cs"/>
          <w:rtl/>
        </w:rPr>
        <w:t>ה</w:t>
      </w:r>
      <w:r w:rsidRPr="00B4107B">
        <w:rPr>
          <w:rFonts w:hint="cs"/>
          <w:rtl/>
        </w:rPr>
        <w:t>מתכננות את פרק הזמן הכללי לביצוע התכנון, שעמד על שלוש שנים</w:t>
      </w:r>
      <w:r>
        <w:rPr>
          <w:rFonts w:hint="cs"/>
          <w:rtl/>
        </w:rPr>
        <w:t xml:space="preserve">. נוסף על כך, במסגרת ישיבת ההתנעה של כל תוכנית נקבע לוח זמנים משוער לשלבי קידום התוכנית במוסדות התכנון עד </w:t>
      </w:r>
      <w:r w:rsidRPr="00DD7827">
        <w:rPr>
          <w:rFonts w:ascii="Arial" w:hAnsi="Arial" w:hint="cs"/>
          <w:color w:val="000000"/>
          <w:sz w:val="24"/>
          <w:rtl/>
        </w:rPr>
        <w:t>אישורה.</w:t>
      </w:r>
      <w:r>
        <w:rPr>
          <w:rFonts w:ascii="Arial" w:hAnsi="Arial" w:hint="cs"/>
          <w:color w:val="000000"/>
          <w:sz w:val="24"/>
          <w:rtl/>
        </w:rPr>
        <w:t xml:space="preserve"> </w:t>
      </w:r>
      <w:r w:rsidRPr="00B4107B">
        <w:rPr>
          <w:rFonts w:hint="cs"/>
          <w:rtl/>
        </w:rPr>
        <w:t xml:space="preserve">אולם </w:t>
      </w:r>
      <w:r>
        <w:rPr>
          <w:rFonts w:hint="cs"/>
          <w:rtl/>
        </w:rPr>
        <w:t xml:space="preserve">רמ"י לא </w:t>
      </w:r>
      <w:r w:rsidRPr="00B4107B">
        <w:rPr>
          <w:rFonts w:hint="cs"/>
          <w:rtl/>
        </w:rPr>
        <w:t xml:space="preserve">קבעה </w:t>
      </w:r>
      <w:r>
        <w:rPr>
          <w:rFonts w:hint="cs"/>
          <w:rtl/>
        </w:rPr>
        <w:t xml:space="preserve">באותה מסגרת </w:t>
      </w:r>
      <w:r w:rsidRPr="00B4107B">
        <w:rPr>
          <w:rFonts w:hint="cs"/>
          <w:rtl/>
        </w:rPr>
        <w:t>לוח זמ</w:t>
      </w:r>
      <w:r>
        <w:rPr>
          <w:rFonts w:hint="cs"/>
          <w:rtl/>
        </w:rPr>
        <w:t xml:space="preserve">נים כלשהו הנוגע </w:t>
      </w:r>
      <w:r w:rsidRPr="00B4107B">
        <w:rPr>
          <w:rFonts w:hint="cs"/>
          <w:rtl/>
        </w:rPr>
        <w:t>לשלב</w:t>
      </w:r>
      <w:r>
        <w:rPr>
          <w:rFonts w:hint="cs"/>
          <w:rtl/>
        </w:rPr>
        <w:t xml:space="preserve"> הכנת התוכנית (עד הגשתה למוסדות התכנון)</w:t>
      </w:r>
      <w:r w:rsidRPr="00B4107B">
        <w:rPr>
          <w:rFonts w:hint="cs"/>
          <w:rtl/>
        </w:rPr>
        <w:t>.</w:t>
      </w:r>
    </w:p>
    <w:p w14:paraId="58FCAF4F" w14:textId="4630436B" w:rsidR="009A28D9" w:rsidRPr="00EC1E15" w:rsidRDefault="00AC763F" w:rsidP="00AC763F">
      <w:pPr>
        <w:pStyle w:val="21"/>
        <w:rPr>
          <w:rtl/>
        </w:rPr>
      </w:pPr>
      <w:r>
        <w:rPr>
          <w:rFonts w:hint="cs"/>
          <w:rtl/>
        </w:rPr>
        <w:t xml:space="preserve">2. </w:t>
      </w:r>
      <w:r>
        <w:rPr>
          <w:rtl/>
        </w:rPr>
        <w:tab/>
      </w:r>
      <w:r w:rsidR="009A28D9" w:rsidRPr="00DC29F4">
        <w:rPr>
          <w:rFonts w:hint="eastAsia"/>
          <w:rtl/>
        </w:rPr>
        <w:t>בתרשים</w:t>
      </w:r>
      <w:r w:rsidR="009A28D9" w:rsidRPr="00DC29F4">
        <w:rPr>
          <w:rtl/>
        </w:rPr>
        <w:t xml:space="preserve"> </w:t>
      </w:r>
      <w:r w:rsidR="009A28D9" w:rsidRPr="00DC29F4">
        <w:rPr>
          <w:rFonts w:hint="eastAsia"/>
          <w:rtl/>
        </w:rPr>
        <w:t>שלהלן</w:t>
      </w:r>
      <w:r w:rsidR="009A28D9" w:rsidRPr="00DC29F4">
        <w:rPr>
          <w:rtl/>
        </w:rPr>
        <w:t xml:space="preserve"> </w:t>
      </w:r>
      <w:r w:rsidR="009A28D9" w:rsidRPr="00DC29F4">
        <w:rPr>
          <w:rFonts w:hint="eastAsia"/>
          <w:rtl/>
        </w:rPr>
        <w:t>מוצג</w:t>
      </w:r>
      <w:r w:rsidR="009A28D9">
        <w:rPr>
          <w:rFonts w:hint="cs"/>
          <w:rtl/>
        </w:rPr>
        <w:t>ת</w:t>
      </w:r>
      <w:r w:rsidR="009A28D9" w:rsidRPr="00DC29F4">
        <w:rPr>
          <w:rtl/>
        </w:rPr>
        <w:t xml:space="preserve"> </w:t>
      </w:r>
      <w:r w:rsidR="009A28D9" w:rsidRPr="00DC29F4">
        <w:rPr>
          <w:rFonts w:hint="eastAsia"/>
          <w:rtl/>
        </w:rPr>
        <w:t>התפלגות</w:t>
      </w:r>
      <w:r w:rsidR="009A28D9" w:rsidRPr="00DC29F4">
        <w:rPr>
          <w:rtl/>
        </w:rPr>
        <w:t xml:space="preserve"> </w:t>
      </w:r>
      <w:r w:rsidR="009A28D9" w:rsidRPr="00DC29F4">
        <w:rPr>
          <w:rFonts w:hint="eastAsia"/>
          <w:rtl/>
        </w:rPr>
        <w:t>עבודות</w:t>
      </w:r>
      <w:r w:rsidR="009A28D9" w:rsidRPr="00DC29F4">
        <w:rPr>
          <w:rtl/>
        </w:rPr>
        <w:t xml:space="preserve"> </w:t>
      </w:r>
      <w:r w:rsidR="009A28D9" w:rsidRPr="00DC29F4">
        <w:rPr>
          <w:rFonts w:hint="eastAsia"/>
          <w:rtl/>
        </w:rPr>
        <w:t>התכנון</w:t>
      </w:r>
      <w:r w:rsidR="009A28D9" w:rsidRPr="00DC29F4">
        <w:rPr>
          <w:rtl/>
        </w:rPr>
        <w:t xml:space="preserve"> </w:t>
      </w:r>
      <w:r w:rsidR="009A28D9" w:rsidRPr="00DC29F4">
        <w:rPr>
          <w:rFonts w:hint="eastAsia"/>
          <w:rtl/>
        </w:rPr>
        <w:t>על</w:t>
      </w:r>
      <w:r w:rsidR="009A28D9" w:rsidRPr="00DC29F4">
        <w:rPr>
          <w:rtl/>
        </w:rPr>
        <w:t xml:space="preserve"> </w:t>
      </w:r>
      <w:r w:rsidR="009A28D9" w:rsidRPr="00DC29F4">
        <w:rPr>
          <w:rFonts w:hint="eastAsia"/>
          <w:rtl/>
        </w:rPr>
        <w:t>פי</w:t>
      </w:r>
      <w:r w:rsidR="009A28D9" w:rsidRPr="00DC29F4">
        <w:rPr>
          <w:rtl/>
        </w:rPr>
        <w:t xml:space="preserve"> </w:t>
      </w:r>
      <w:r w:rsidR="009A28D9" w:rsidRPr="00DC29F4">
        <w:rPr>
          <w:rFonts w:hint="eastAsia"/>
          <w:rtl/>
        </w:rPr>
        <w:t>משך</w:t>
      </w:r>
      <w:r w:rsidR="009A28D9" w:rsidRPr="00DC29F4">
        <w:rPr>
          <w:rtl/>
        </w:rPr>
        <w:t xml:space="preserve"> </w:t>
      </w:r>
      <w:r w:rsidR="009A28D9" w:rsidRPr="00DC29F4">
        <w:rPr>
          <w:rFonts w:hint="eastAsia"/>
          <w:rtl/>
        </w:rPr>
        <w:t>התכנון</w:t>
      </w:r>
      <w:r w:rsidR="009A28D9" w:rsidRPr="00DC29F4">
        <w:rPr>
          <w:rtl/>
        </w:rPr>
        <w:t xml:space="preserve"> </w:t>
      </w:r>
      <w:r w:rsidR="009A28D9" w:rsidRPr="00DC29F4">
        <w:rPr>
          <w:rFonts w:hint="eastAsia"/>
          <w:rtl/>
        </w:rPr>
        <w:t>שמסרה</w:t>
      </w:r>
      <w:r w:rsidR="009A28D9" w:rsidRPr="00DC29F4">
        <w:rPr>
          <w:rtl/>
        </w:rPr>
        <w:t xml:space="preserve"> </w:t>
      </w:r>
      <w:r w:rsidR="009A28D9" w:rsidRPr="00DC29F4">
        <w:rPr>
          <w:rFonts w:hint="eastAsia"/>
          <w:rtl/>
        </w:rPr>
        <w:t>רמ</w:t>
      </w:r>
      <w:r w:rsidR="009A28D9" w:rsidRPr="00DC29F4">
        <w:rPr>
          <w:rtl/>
        </w:rPr>
        <w:t>"י בשנים</w:t>
      </w:r>
      <w:r w:rsidR="009A28D9">
        <w:rPr>
          <w:rtl/>
        </w:rPr>
        <w:t xml:space="preserve"> </w:t>
      </w:r>
      <w:r w:rsidR="009A28D9" w:rsidRPr="00DC29F4">
        <w:rPr>
          <w:rtl/>
        </w:rPr>
        <w:t>201</w:t>
      </w:r>
      <w:r w:rsidR="009A28D9">
        <w:rPr>
          <w:rFonts w:hint="cs"/>
          <w:rtl/>
        </w:rPr>
        <w:t xml:space="preserve">5 </w:t>
      </w:r>
      <w:r w:rsidR="009A28D9" w:rsidRPr="00DC29F4">
        <w:rPr>
          <w:rtl/>
        </w:rPr>
        <w:t>-</w:t>
      </w:r>
      <w:r w:rsidR="009A28D9">
        <w:rPr>
          <w:rFonts w:hint="cs"/>
          <w:rtl/>
        </w:rPr>
        <w:t xml:space="preserve"> </w:t>
      </w:r>
      <w:r w:rsidR="009A28D9" w:rsidRPr="00DC29F4">
        <w:rPr>
          <w:rtl/>
        </w:rPr>
        <w:t>201</w:t>
      </w:r>
      <w:r w:rsidR="009A28D9">
        <w:rPr>
          <w:rFonts w:hint="cs"/>
          <w:rtl/>
        </w:rPr>
        <w:t>8</w:t>
      </w:r>
      <w:r w:rsidR="009A28D9" w:rsidRPr="00DC29F4">
        <w:rPr>
          <w:rtl/>
        </w:rPr>
        <w:t xml:space="preserve">. </w:t>
      </w:r>
    </w:p>
    <w:p w14:paraId="70DE5119" w14:textId="77777777" w:rsidR="009A28D9" w:rsidRDefault="009A28D9" w:rsidP="009A28D9">
      <w:pPr>
        <w:spacing w:line="269" w:lineRule="auto"/>
        <w:rPr>
          <w:rtl/>
        </w:rPr>
      </w:pPr>
    </w:p>
    <w:p w14:paraId="72719119" w14:textId="77777777" w:rsidR="00AC763F" w:rsidRDefault="00AC763F">
      <w:pPr>
        <w:bidi w:val="0"/>
        <w:spacing w:after="200" w:line="276" w:lineRule="auto"/>
        <w:rPr>
          <w:b/>
          <w:bCs/>
          <w:rtl/>
        </w:rPr>
      </w:pPr>
      <w:r>
        <w:rPr>
          <w:b/>
          <w:bCs/>
          <w:rtl/>
        </w:rPr>
        <w:br w:type="page"/>
      </w:r>
    </w:p>
    <w:p w14:paraId="1BDA1F66" w14:textId="46FCFC8D" w:rsidR="009A28D9" w:rsidRPr="00AC763F" w:rsidRDefault="009A28D9" w:rsidP="00AC763F">
      <w:pPr>
        <w:pStyle w:val="a6"/>
        <w:rPr>
          <w:b/>
          <w:bCs/>
          <w:rtl/>
        </w:rPr>
      </w:pPr>
      <w:r w:rsidRPr="0032609E">
        <w:rPr>
          <w:rFonts w:hint="eastAsia"/>
          <w:rtl/>
        </w:rPr>
        <w:lastRenderedPageBreak/>
        <w:t>תרשים</w:t>
      </w:r>
      <w:r w:rsidRPr="0032609E">
        <w:rPr>
          <w:rtl/>
        </w:rPr>
        <w:t xml:space="preserve"> </w:t>
      </w:r>
      <w:r>
        <w:rPr>
          <w:rFonts w:hint="cs"/>
          <w:rtl/>
        </w:rPr>
        <w:t>8</w:t>
      </w:r>
      <w:r w:rsidRPr="0032609E">
        <w:rPr>
          <w:rtl/>
        </w:rPr>
        <w:t xml:space="preserve">: </w:t>
      </w:r>
      <w:r w:rsidRPr="00AC763F">
        <w:rPr>
          <w:rFonts w:hint="eastAsia"/>
          <w:b/>
          <w:bCs/>
          <w:rtl/>
        </w:rPr>
        <w:t>התפלגות</w:t>
      </w:r>
      <w:r w:rsidRPr="00AC763F">
        <w:rPr>
          <w:b/>
          <w:bCs/>
          <w:rtl/>
        </w:rPr>
        <w:t xml:space="preserve"> </w:t>
      </w:r>
      <w:r w:rsidRPr="00AC763F">
        <w:rPr>
          <w:rFonts w:hint="eastAsia"/>
          <w:b/>
          <w:bCs/>
          <w:rtl/>
        </w:rPr>
        <w:t>עבודות</w:t>
      </w:r>
      <w:r w:rsidRPr="00AC763F">
        <w:rPr>
          <w:b/>
          <w:bCs/>
          <w:rtl/>
        </w:rPr>
        <w:t xml:space="preserve"> </w:t>
      </w:r>
      <w:r w:rsidRPr="00AC763F">
        <w:rPr>
          <w:rFonts w:hint="eastAsia"/>
          <w:b/>
          <w:bCs/>
          <w:rtl/>
        </w:rPr>
        <w:t>התכנון</w:t>
      </w:r>
      <w:r w:rsidRPr="00AC763F">
        <w:rPr>
          <w:b/>
          <w:bCs/>
          <w:rtl/>
        </w:rPr>
        <w:t xml:space="preserve"> </w:t>
      </w:r>
      <w:r w:rsidRPr="00AC763F">
        <w:rPr>
          <w:rFonts w:hint="eastAsia"/>
          <w:b/>
          <w:bCs/>
          <w:rtl/>
        </w:rPr>
        <w:t>על</w:t>
      </w:r>
      <w:r w:rsidRPr="00AC763F">
        <w:rPr>
          <w:b/>
          <w:bCs/>
          <w:rtl/>
        </w:rPr>
        <w:t xml:space="preserve"> </w:t>
      </w:r>
      <w:r w:rsidRPr="00AC763F">
        <w:rPr>
          <w:rFonts w:hint="eastAsia"/>
          <w:b/>
          <w:bCs/>
          <w:rtl/>
        </w:rPr>
        <w:t>פי</w:t>
      </w:r>
      <w:r w:rsidRPr="00AC763F">
        <w:rPr>
          <w:b/>
          <w:bCs/>
          <w:rtl/>
        </w:rPr>
        <w:t xml:space="preserve"> </w:t>
      </w:r>
      <w:r w:rsidRPr="00AC763F">
        <w:rPr>
          <w:rFonts w:hint="eastAsia"/>
          <w:b/>
          <w:bCs/>
          <w:rtl/>
        </w:rPr>
        <w:t>משך</w:t>
      </w:r>
      <w:r w:rsidRPr="00AC763F">
        <w:rPr>
          <w:b/>
          <w:bCs/>
          <w:rtl/>
        </w:rPr>
        <w:t xml:space="preserve"> </w:t>
      </w:r>
      <w:r w:rsidRPr="00AC763F">
        <w:rPr>
          <w:rFonts w:hint="eastAsia"/>
          <w:b/>
          <w:bCs/>
          <w:rtl/>
        </w:rPr>
        <w:t>התכנון</w:t>
      </w:r>
      <w:r w:rsidRPr="00AC763F">
        <w:rPr>
          <w:b/>
          <w:bCs/>
          <w:rtl/>
        </w:rPr>
        <w:t xml:space="preserve"> שמסרה </w:t>
      </w:r>
      <w:r w:rsidRPr="00AC763F">
        <w:rPr>
          <w:rFonts w:hint="eastAsia"/>
          <w:b/>
          <w:bCs/>
          <w:rtl/>
        </w:rPr>
        <w:t>רמ</w:t>
      </w:r>
      <w:r w:rsidRPr="00AC763F">
        <w:rPr>
          <w:b/>
          <w:bCs/>
          <w:rtl/>
        </w:rPr>
        <w:t>"י</w:t>
      </w:r>
      <w:r w:rsidRPr="00AC763F">
        <w:rPr>
          <w:rFonts w:hint="cs"/>
          <w:b/>
          <w:bCs/>
          <w:rtl/>
        </w:rPr>
        <w:t>,</w:t>
      </w:r>
      <w:r w:rsidRPr="00AC763F">
        <w:rPr>
          <w:b/>
          <w:bCs/>
          <w:rtl/>
        </w:rPr>
        <w:t xml:space="preserve"> 201</w:t>
      </w:r>
      <w:r w:rsidRPr="00AC763F">
        <w:rPr>
          <w:rFonts w:hint="cs"/>
          <w:b/>
          <w:bCs/>
          <w:rtl/>
        </w:rPr>
        <w:t xml:space="preserve">5 </w:t>
      </w:r>
      <w:r w:rsidRPr="00AC763F">
        <w:rPr>
          <w:b/>
          <w:bCs/>
          <w:rtl/>
        </w:rPr>
        <w:t>-</w:t>
      </w:r>
      <w:r w:rsidRPr="00AC763F">
        <w:rPr>
          <w:rFonts w:hint="cs"/>
          <w:b/>
          <w:bCs/>
          <w:rtl/>
        </w:rPr>
        <w:t xml:space="preserve"> </w:t>
      </w:r>
      <w:r w:rsidRPr="00AC763F">
        <w:rPr>
          <w:b/>
          <w:bCs/>
          <w:rtl/>
        </w:rPr>
        <w:t>201</w:t>
      </w:r>
      <w:r w:rsidRPr="00AC763F">
        <w:rPr>
          <w:rFonts w:hint="cs"/>
          <w:b/>
          <w:bCs/>
          <w:rtl/>
        </w:rPr>
        <w:t>8 (במספרים ובאחוזים)</w:t>
      </w:r>
    </w:p>
    <w:p w14:paraId="26FDF1DE" w14:textId="77777777" w:rsidR="009A28D9" w:rsidRDefault="009A28D9" w:rsidP="009A28D9">
      <w:pPr>
        <w:spacing w:line="269" w:lineRule="auto"/>
        <w:jc w:val="center"/>
        <w:rPr>
          <w:rtl/>
        </w:rPr>
      </w:pPr>
      <w:r w:rsidRPr="00417C26">
        <w:rPr>
          <w:noProof/>
          <w:color w:val="993366"/>
        </w:rPr>
        <w:drawing>
          <wp:inline distT="0" distB="0" distL="0" distR="0" wp14:anchorId="2C17CFF9" wp14:editId="4D8F2A0A">
            <wp:extent cx="4250131" cy="2369820"/>
            <wp:effectExtent l="0" t="0" r="0" b="5080"/>
            <wp:docPr id="13" name="תרשים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734A80A" w14:textId="37969673" w:rsidR="009A28D9" w:rsidRDefault="009A28D9" w:rsidP="00AC763F">
      <w:pPr>
        <w:pStyle w:val="a8"/>
        <w:rPr>
          <w:rtl/>
        </w:rPr>
      </w:pPr>
      <w:r w:rsidRPr="00362663">
        <w:rPr>
          <w:rtl/>
          <w:lang w:eastAsia="he-IL"/>
        </w:rPr>
        <w:t xml:space="preserve">על פי </w:t>
      </w:r>
      <w:r w:rsidRPr="00362663">
        <w:rPr>
          <w:rFonts w:hint="cs"/>
          <w:rtl/>
          <w:lang w:eastAsia="he-IL"/>
        </w:rPr>
        <w:t>נתוני רמ"י</w:t>
      </w:r>
      <w:r w:rsidRPr="00362663">
        <w:rPr>
          <w:rtl/>
          <w:lang w:eastAsia="he-IL"/>
        </w:rPr>
        <w:t>, בעיבוד</w:t>
      </w:r>
      <w:r w:rsidRPr="00186202">
        <w:rPr>
          <w:rtl/>
          <w:lang w:eastAsia="he-IL"/>
        </w:rPr>
        <w:t xml:space="preserve"> משרד מבקר המדינה.</w:t>
      </w:r>
    </w:p>
    <w:p w14:paraId="27169E2F" w14:textId="77777777" w:rsidR="008832B0" w:rsidRDefault="008832B0" w:rsidP="00AC763F">
      <w:pPr>
        <w:pStyle w:val="a8"/>
        <w:rPr>
          <w:rtl/>
        </w:rPr>
      </w:pPr>
    </w:p>
    <w:p w14:paraId="6366740C" w14:textId="77777777" w:rsidR="009A28D9" w:rsidRDefault="009A28D9" w:rsidP="000E7FB2">
      <w:pPr>
        <w:pStyle w:val="aa"/>
        <w:rPr>
          <w:rtl/>
        </w:rPr>
      </w:pPr>
      <w:r>
        <w:rPr>
          <w:rFonts w:hint="cs"/>
          <w:rtl/>
        </w:rPr>
        <w:t xml:space="preserve">מהתרשים עולה </w:t>
      </w:r>
      <w:r w:rsidRPr="007F5353">
        <w:rPr>
          <w:rtl/>
        </w:rPr>
        <w:t>כי כ-</w:t>
      </w:r>
      <w:r w:rsidRPr="007F5353">
        <w:rPr>
          <w:rFonts w:hint="cs"/>
          <w:rtl/>
        </w:rPr>
        <w:t>2</w:t>
      </w:r>
      <w:r>
        <w:rPr>
          <w:rFonts w:hint="cs"/>
          <w:rtl/>
        </w:rPr>
        <w:t>2</w:t>
      </w:r>
      <w:r w:rsidRPr="007F5353">
        <w:rPr>
          <w:rtl/>
        </w:rPr>
        <w:t>%</w:t>
      </w:r>
      <w:r w:rsidRPr="007F5353">
        <w:rPr>
          <w:rFonts w:hint="cs"/>
          <w:rtl/>
        </w:rPr>
        <w:t xml:space="preserve"> </w:t>
      </w:r>
      <w:r>
        <w:rPr>
          <w:rFonts w:hint="cs"/>
          <w:rtl/>
        </w:rPr>
        <w:t xml:space="preserve">(38 </w:t>
      </w:r>
      <w:r w:rsidRPr="007F5353">
        <w:rPr>
          <w:rtl/>
        </w:rPr>
        <w:t>מ</w:t>
      </w:r>
      <w:r>
        <w:rPr>
          <w:rFonts w:hint="cs"/>
          <w:rtl/>
        </w:rPr>
        <w:t>בין</w:t>
      </w:r>
      <w:r w:rsidRPr="007F5353">
        <w:rPr>
          <w:rtl/>
        </w:rPr>
        <w:t xml:space="preserve"> </w:t>
      </w:r>
      <w:r w:rsidRPr="007F5353">
        <w:rPr>
          <w:rFonts w:hint="cs"/>
          <w:rtl/>
        </w:rPr>
        <w:t>177</w:t>
      </w:r>
      <w:r>
        <w:rPr>
          <w:rFonts w:hint="cs"/>
          <w:rtl/>
        </w:rPr>
        <w:t>)</w:t>
      </w:r>
      <w:r w:rsidRPr="007F5353">
        <w:rPr>
          <w:rtl/>
        </w:rPr>
        <w:t xml:space="preserve"> </w:t>
      </w:r>
      <w:r>
        <w:rPr>
          <w:rFonts w:hint="cs"/>
          <w:rtl/>
        </w:rPr>
        <w:t>מ</w:t>
      </w:r>
      <w:r w:rsidRPr="007F5353">
        <w:rPr>
          <w:rFonts w:hint="cs"/>
          <w:rtl/>
        </w:rPr>
        <w:t>עבודות התכנון</w:t>
      </w:r>
      <w:r w:rsidRPr="007F5353">
        <w:rPr>
          <w:rtl/>
        </w:rPr>
        <w:t xml:space="preserve"> </w:t>
      </w:r>
      <w:r w:rsidRPr="007F5353">
        <w:rPr>
          <w:rFonts w:hint="cs"/>
          <w:rtl/>
        </w:rPr>
        <w:t xml:space="preserve">שנבדקו ושרמ"י מסרה לחברות מתכננות לתכנון למגורים במסגרת המכרז, ושלגביהן היו נתונים </w:t>
      </w:r>
      <w:r>
        <w:rPr>
          <w:rFonts w:hint="cs"/>
          <w:rtl/>
        </w:rPr>
        <w:t xml:space="preserve">על </w:t>
      </w:r>
      <w:r w:rsidRPr="007F5353">
        <w:rPr>
          <w:rFonts w:hint="cs"/>
          <w:rtl/>
        </w:rPr>
        <w:t>אודות מועד תחילת התכנון</w:t>
      </w:r>
      <w:r w:rsidRPr="000D1055">
        <w:rPr>
          <w:rStyle w:val="FootnoteReference"/>
          <w:rtl/>
        </w:rPr>
        <w:footnoteReference w:id="49"/>
      </w:r>
      <w:r w:rsidRPr="000D1055">
        <w:rPr>
          <w:rtl/>
        </w:rPr>
        <w:t>,</w:t>
      </w:r>
      <w:r w:rsidRPr="007F5353">
        <w:rPr>
          <w:rtl/>
        </w:rPr>
        <w:t xml:space="preserve"> </w:t>
      </w:r>
      <w:r w:rsidRPr="007F5353">
        <w:rPr>
          <w:rFonts w:hint="cs"/>
          <w:rtl/>
        </w:rPr>
        <w:t xml:space="preserve">מצויות בהליך התכנון כבר </w:t>
      </w:r>
      <w:r w:rsidRPr="007F5353">
        <w:rPr>
          <w:rtl/>
        </w:rPr>
        <w:t>מעל שלוש</w:t>
      </w:r>
      <w:r w:rsidRPr="007F5353">
        <w:rPr>
          <w:rFonts w:hint="cs"/>
          <w:rtl/>
        </w:rPr>
        <w:t xml:space="preserve"> </w:t>
      </w:r>
      <w:r w:rsidRPr="007F5353">
        <w:rPr>
          <w:rtl/>
        </w:rPr>
        <w:t>שנים</w:t>
      </w:r>
      <w:r>
        <w:rPr>
          <w:rFonts w:hint="cs"/>
          <w:rtl/>
        </w:rPr>
        <w:t xml:space="preserve"> - פרק זמן החורג מהקבוע בהסכם לביצוע הכולל של התכנון</w:t>
      </w:r>
      <w:r w:rsidRPr="007F5353">
        <w:rPr>
          <w:rFonts w:hint="cs"/>
          <w:rtl/>
        </w:rPr>
        <w:t xml:space="preserve">. </w:t>
      </w:r>
    </w:p>
    <w:p w14:paraId="588CE7C6" w14:textId="77777777" w:rsidR="009A28D9" w:rsidRPr="00497DD3" w:rsidRDefault="009A28D9" w:rsidP="000E7FB2">
      <w:pPr>
        <w:pStyle w:val="af0"/>
      </w:pPr>
      <w:r w:rsidRPr="00497DD3">
        <w:rPr>
          <w:rFonts w:hint="cs"/>
          <w:rtl/>
        </w:rPr>
        <w:t xml:space="preserve">בתרשים שלהלן מוצגת התפלגות עבודות התכנון שתכנונן נמשך מעל שלוש שנים על פי שלבי התכנון. </w:t>
      </w:r>
    </w:p>
    <w:p w14:paraId="30A47E1B" w14:textId="77777777" w:rsidR="009A28D9" w:rsidRDefault="009A28D9" w:rsidP="009A28D9">
      <w:pPr>
        <w:spacing w:line="269" w:lineRule="auto"/>
        <w:rPr>
          <w:rtl/>
        </w:rPr>
      </w:pPr>
    </w:p>
    <w:p w14:paraId="3186B038" w14:textId="4E4D24CF" w:rsidR="009A28D9" w:rsidRPr="008714A1" w:rsidRDefault="009A28D9" w:rsidP="008714A1">
      <w:pPr>
        <w:pStyle w:val="a6"/>
        <w:rPr>
          <w:b/>
          <w:bCs/>
          <w:rtl/>
        </w:rPr>
      </w:pPr>
      <w:r w:rsidRPr="006F6865">
        <w:rPr>
          <w:rFonts w:hint="eastAsia"/>
          <w:rtl/>
        </w:rPr>
        <w:lastRenderedPageBreak/>
        <w:t>תרשים</w:t>
      </w:r>
      <w:r w:rsidRPr="006F6865">
        <w:rPr>
          <w:rtl/>
        </w:rPr>
        <w:t xml:space="preserve"> </w:t>
      </w:r>
      <w:r>
        <w:rPr>
          <w:rFonts w:hint="cs"/>
          <w:rtl/>
        </w:rPr>
        <w:t>9</w:t>
      </w:r>
      <w:r w:rsidRPr="006F6865">
        <w:rPr>
          <w:rtl/>
        </w:rPr>
        <w:t xml:space="preserve">: </w:t>
      </w:r>
      <w:r w:rsidRPr="008714A1">
        <w:rPr>
          <w:b/>
          <w:bCs/>
          <w:rtl/>
        </w:rPr>
        <w:t xml:space="preserve">התפלגות עבודות התכנון </w:t>
      </w:r>
      <w:r w:rsidRPr="008714A1">
        <w:rPr>
          <w:rFonts w:hint="cs"/>
          <w:b/>
          <w:bCs/>
          <w:rtl/>
        </w:rPr>
        <w:t>שנמשכו יותר משלוש שנים, ל</w:t>
      </w:r>
      <w:r w:rsidRPr="008714A1">
        <w:rPr>
          <w:b/>
          <w:bCs/>
          <w:rtl/>
        </w:rPr>
        <w:t xml:space="preserve">פי שלבי התכנון שמסרה </w:t>
      </w:r>
      <w:r w:rsidRPr="008714A1">
        <w:rPr>
          <w:rFonts w:hint="eastAsia"/>
          <w:b/>
          <w:bCs/>
          <w:rtl/>
        </w:rPr>
        <w:t>רמ</w:t>
      </w:r>
      <w:r w:rsidRPr="008714A1">
        <w:rPr>
          <w:b/>
          <w:bCs/>
          <w:rtl/>
        </w:rPr>
        <w:t>"י</w:t>
      </w:r>
      <w:r w:rsidRPr="008714A1">
        <w:rPr>
          <w:rFonts w:hint="cs"/>
          <w:b/>
          <w:bCs/>
          <w:rtl/>
        </w:rPr>
        <w:t>, 2015 - 2018 (במספרים ובאחוזים)</w:t>
      </w:r>
    </w:p>
    <w:p w14:paraId="3AEC1B8A" w14:textId="77777777" w:rsidR="009A28D9" w:rsidRPr="000C4380" w:rsidRDefault="009A28D9" w:rsidP="008714A1">
      <w:pPr>
        <w:pStyle w:val="a6"/>
        <w:rPr>
          <w:rtl/>
        </w:rPr>
      </w:pPr>
      <w:r>
        <w:rPr>
          <w:noProof/>
        </w:rPr>
        <w:drawing>
          <wp:inline distT="0" distB="0" distL="0" distR="0" wp14:anchorId="10C48D49" wp14:editId="303870CF">
            <wp:extent cx="4448810" cy="2253082"/>
            <wp:effectExtent l="0" t="0" r="9525" b="16510"/>
            <wp:docPr id="14" name="תרשים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EE96237" w14:textId="77777777" w:rsidR="009A28D9" w:rsidRDefault="009A28D9" w:rsidP="008714A1">
      <w:pPr>
        <w:pStyle w:val="a8"/>
        <w:rPr>
          <w:rtl/>
        </w:rPr>
      </w:pPr>
      <w:r w:rsidRPr="00362663">
        <w:rPr>
          <w:rtl/>
          <w:lang w:eastAsia="he-IL"/>
        </w:rPr>
        <w:t xml:space="preserve">על פי </w:t>
      </w:r>
      <w:r w:rsidRPr="00362663">
        <w:rPr>
          <w:rFonts w:hint="cs"/>
          <w:rtl/>
          <w:lang w:eastAsia="he-IL"/>
        </w:rPr>
        <w:t>נתוני רמ"י</w:t>
      </w:r>
      <w:r w:rsidRPr="00362663">
        <w:rPr>
          <w:rtl/>
          <w:lang w:eastAsia="he-IL"/>
        </w:rPr>
        <w:t>, בעיבוד משרד מבקר המדינה.</w:t>
      </w:r>
    </w:p>
    <w:p w14:paraId="2A698CBB" w14:textId="77777777" w:rsidR="009A28D9" w:rsidRDefault="009A28D9" w:rsidP="009A28D9">
      <w:pPr>
        <w:spacing w:line="269" w:lineRule="auto"/>
        <w:rPr>
          <w:rtl/>
        </w:rPr>
      </w:pPr>
    </w:p>
    <w:p w14:paraId="36A074E1" w14:textId="77777777" w:rsidR="009A28D9" w:rsidRPr="00F3615E" w:rsidRDefault="009A28D9" w:rsidP="00F3615E">
      <w:pPr>
        <w:pStyle w:val="aa"/>
        <w:rPr>
          <w:rtl/>
        </w:rPr>
      </w:pPr>
      <w:r w:rsidRPr="00F3615E">
        <w:rPr>
          <w:rFonts w:hint="cs"/>
          <w:rtl/>
        </w:rPr>
        <w:t>מהתרשים עולה כי רוב העבודות המתעכבות - 74% - מצויות בשלב ה"הכנה", קרי בשלב הראשון של התכנון.</w:t>
      </w:r>
    </w:p>
    <w:p w14:paraId="4969897D" w14:textId="38F69A85" w:rsidR="009A28D9" w:rsidRPr="00F3615E" w:rsidRDefault="00F3615E" w:rsidP="00F3615E">
      <w:pPr>
        <w:pStyle w:val="a2"/>
        <w:numPr>
          <w:ilvl w:val="0"/>
          <w:numId w:val="0"/>
        </w:numPr>
        <w:ind w:left="340" w:hanging="340"/>
      </w:pPr>
      <w:r>
        <w:rPr>
          <w:rFonts w:hint="cs"/>
          <w:rtl/>
        </w:rPr>
        <w:t>3.</w:t>
      </w:r>
      <w:r>
        <w:rPr>
          <w:rtl/>
        </w:rPr>
        <w:tab/>
      </w:r>
      <w:r w:rsidR="009A28D9" w:rsidRPr="003E3D10">
        <w:rPr>
          <w:rFonts w:hint="cs"/>
          <w:rtl/>
        </w:rPr>
        <w:t xml:space="preserve">בדיקה פרטנית של 24 מעבודות התכנון שיזמה רמ"י ושנבחרו באקראי העלתה שב-12 מהן תהליך התכנון נמשך מעל שלוש שנים, בעוד שמונה מהן מצויות בשלב ה"הכנה". אולם </w:t>
      </w:r>
      <w:r w:rsidR="009A28D9" w:rsidRPr="003E3D10">
        <w:rPr>
          <w:rFonts w:hint="eastAsia"/>
          <w:rtl/>
        </w:rPr>
        <w:t>ר</w:t>
      </w:r>
      <w:r w:rsidR="009A28D9" w:rsidRPr="00F3615E">
        <w:rPr>
          <w:rFonts w:hint="eastAsia"/>
          <w:rtl/>
        </w:rPr>
        <w:t>מ</w:t>
      </w:r>
      <w:r w:rsidR="009A28D9" w:rsidRPr="00F3615E">
        <w:rPr>
          <w:rtl/>
        </w:rPr>
        <w:t xml:space="preserve">"י </w:t>
      </w:r>
      <w:r w:rsidR="009A28D9" w:rsidRPr="00F3615E">
        <w:rPr>
          <w:rFonts w:hint="cs"/>
          <w:rtl/>
        </w:rPr>
        <w:t>טרם</w:t>
      </w:r>
      <w:r w:rsidR="009A28D9" w:rsidRPr="00F3615E">
        <w:rPr>
          <w:rtl/>
        </w:rPr>
        <w:t xml:space="preserve"> בחנה את הסיבות ל</w:t>
      </w:r>
      <w:r w:rsidR="009A28D9" w:rsidRPr="00F3615E">
        <w:rPr>
          <w:rFonts w:hint="cs"/>
          <w:rtl/>
        </w:rPr>
        <w:t>עיכובים ולא נקטה פעולות כלשהן כדי להסיר את העיכובים.</w:t>
      </w:r>
    </w:p>
    <w:p w14:paraId="6D9A794B" w14:textId="67D789E1" w:rsidR="009A28D9" w:rsidRDefault="009A28D9" w:rsidP="00F42AA2">
      <w:pPr>
        <w:pStyle w:val="af0"/>
        <w:rPr>
          <w:rtl/>
        </w:rPr>
      </w:pPr>
      <w:r w:rsidRPr="002A7A45">
        <w:rPr>
          <w:rFonts w:hint="cs"/>
          <w:rtl/>
        </w:rPr>
        <w:t xml:space="preserve">רמ"י מסרה בתשובתה כי </w:t>
      </w:r>
      <w:r>
        <w:rPr>
          <w:rFonts w:hint="cs"/>
          <w:rtl/>
        </w:rPr>
        <w:t xml:space="preserve">היא מקיימת ישיבות מעקב </w:t>
      </w:r>
      <w:r>
        <w:rPr>
          <w:rtl/>
        </w:rPr>
        <w:t>בהשתתפות מתכנני המרחבים, החברות המתכננות וצוותי תכנון</w:t>
      </w:r>
      <w:r>
        <w:rPr>
          <w:rFonts w:hint="cs"/>
          <w:rtl/>
        </w:rPr>
        <w:t>, ש</w:t>
      </w:r>
      <w:r>
        <w:rPr>
          <w:rtl/>
        </w:rPr>
        <w:t>במסגרת</w:t>
      </w:r>
      <w:r>
        <w:rPr>
          <w:rFonts w:hint="cs"/>
          <w:rtl/>
        </w:rPr>
        <w:t>ן</w:t>
      </w:r>
      <w:r>
        <w:rPr>
          <w:rtl/>
        </w:rPr>
        <w:t xml:space="preserve"> </w:t>
      </w:r>
      <w:r>
        <w:rPr>
          <w:rFonts w:hint="cs"/>
          <w:rtl/>
        </w:rPr>
        <w:t xml:space="preserve">נבחנות </w:t>
      </w:r>
      <w:r>
        <w:rPr>
          <w:rtl/>
        </w:rPr>
        <w:t>ת</w:t>
      </w:r>
      <w:r>
        <w:rPr>
          <w:rFonts w:hint="cs"/>
          <w:rtl/>
        </w:rPr>
        <w:t>ו</w:t>
      </w:r>
      <w:r>
        <w:rPr>
          <w:rtl/>
        </w:rPr>
        <w:t>כני</w:t>
      </w:r>
      <w:r>
        <w:rPr>
          <w:rFonts w:hint="cs"/>
          <w:rtl/>
        </w:rPr>
        <w:t>ו</w:t>
      </w:r>
      <w:r>
        <w:rPr>
          <w:rtl/>
        </w:rPr>
        <w:t xml:space="preserve">ת </w:t>
      </w:r>
      <w:r>
        <w:rPr>
          <w:rFonts w:hint="cs"/>
          <w:rtl/>
        </w:rPr>
        <w:t>ו</w:t>
      </w:r>
      <w:r>
        <w:rPr>
          <w:rtl/>
        </w:rPr>
        <w:t>נקבע</w:t>
      </w:r>
      <w:r>
        <w:rPr>
          <w:rFonts w:hint="cs"/>
          <w:rtl/>
        </w:rPr>
        <w:t>ים לוחות זמנים</w:t>
      </w:r>
      <w:r>
        <w:rPr>
          <w:rtl/>
        </w:rPr>
        <w:t xml:space="preserve"> </w:t>
      </w:r>
      <w:r>
        <w:rPr>
          <w:rFonts w:hint="cs"/>
          <w:rtl/>
        </w:rPr>
        <w:t>ו</w:t>
      </w:r>
      <w:r>
        <w:rPr>
          <w:rtl/>
        </w:rPr>
        <w:t>משימות להמשך.</w:t>
      </w:r>
      <w:r>
        <w:rPr>
          <w:rFonts w:hint="cs"/>
          <w:rtl/>
        </w:rPr>
        <w:t xml:space="preserve"> בסיום הישיבות </w:t>
      </w:r>
      <w:r>
        <w:rPr>
          <w:rtl/>
        </w:rPr>
        <w:t>מופץ פרוטוקול לחברה המתכננת המפרט את לוחות הזמנים לכל שלב סטטוטורי.</w:t>
      </w:r>
      <w:r>
        <w:rPr>
          <w:rFonts w:hint="cs"/>
          <w:rtl/>
        </w:rPr>
        <w:t xml:space="preserve"> </w:t>
      </w:r>
      <w:r>
        <w:rPr>
          <w:rtl/>
        </w:rPr>
        <w:t xml:space="preserve">לוחות הזמנים הסטטוטוריים מוזנים במערכת המאפשרת </w:t>
      </w:r>
      <w:r>
        <w:rPr>
          <w:rFonts w:hint="cs"/>
          <w:rtl/>
        </w:rPr>
        <w:t>הפקת</w:t>
      </w:r>
      <w:r>
        <w:rPr>
          <w:rtl/>
        </w:rPr>
        <w:t xml:space="preserve"> דוחות מעקב </w:t>
      </w:r>
      <w:r>
        <w:rPr>
          <w:rFonts w:hint="cs"/>
          <w:rtl/>
        </w:rPr>
        <w:t>על</w:t>
      </w:r>
      <w:r>
        <w:rPr>
          <w:rtl/>
        </w:rPr>
        <w:t xml:space="preserve"> סטטוס עמידה</w:t>
      </w:r>
      <w:r>
        <w:rPr>
          <w:rFonts w:hint="cs"/>
          <w:rtl/>
        </w:rPr>
        <w:t xml:space="preserve"> </w:t>
      </w:r>
      <w:r>
        <w:rPr>
          <w:rtl/>
        </w:rPr>
        <w:t>באבני הדרך.</w:t>
      </w:r>
      <w:r w:rsidRPr="002A7A45">
        <w:rPr>
          <w:rFonts w:hint="cs"/>
          <w:rtl/>
        </w:rPr>
        <w:t xml:space="preserve"> </w:t>
      </w:r>
      <w:r>
        <w:rPr>
          <w:rFonts w:hint="cs"/>
          <w:rtl/>
        </w:rPr>
        <w:t xml:space="preserve">עוד ציינה כי </w:t>
      </w:r>
      <w:r>
        <w:rPr>
          <w:rtl/>
        </w:rPr>
        <w:t xml:space="preserve">מתכנני המרחבים </w:t>
      </w:r>
      <w:r>
        <w:rPr>
          <w:rFonts w:hint="cs"/>
          <w:rtl/>
        </w:rPr>
        <w:t>עוקבים באופן</w:t>
      </w:r>
      <w:r>
        <w:rPr>
          <w:rtl/>
        </w:rPr>
        <w:t xml:space="preserve"> שוטף אחר הת</w:t>
      </w:r>
      <w:r>
        <w:rPr>
          <w:rFonts w:hint="cs"/>
          <w:rtl/>
        </w:rPr>
        <w:t>ו</w:t>
      </w:r>
      <w:r>
        <w:rPr>
          <w:rtl/>
        </w:rPr>
        <w:t>כניות במרחב</w:t>
      </w:r>
      <w:r>
        <w:rPr>
          <w:rFonts w:hint="cs"/>
          <w:rtl/>
        </w:rPr>
        <w:t>,</w:t>
      </w:r>
      <w:r>
        <w:rPr>
          <w:rtl/>
        </w:rPr>
        <w:t xml:space="preserve"> </w:t>
      </w:r>
      <w:r>
        <w:rPr>
          <w:rFonts w:hint="cs"/>
          <w:rtl/>
        </w:rPr>
        <w:t>ו</w:t>
      </w:r>
      <w:r>
        <w:rPr>
          <w:rtl/>
        </w:rPr>
        <w:t>אגף</w:t>
      </w:r>
      <w:r>
        <w:rPr>
          <w:rFonts w:hint="cs"/>
          <w:rtl/>
        </w:rPr>
        <w:t xml:space="preserve"> ה</w:t>
      </w:r>
      <w:r>
        <w:rPr>
          <w:rtl/>
        </w:rPr>
        <w:t xml:space="preserve">תכנון במטה הרשות </w:t>
      </w:r>
      <w:r>
        <w:rPr>
          <w:rFonts w:hint="cs"/>
          <w:rtl/>
        </w:rPr>
        <w:t>עוקב</w:t>
      </w:r>
      <w:r>
        <w:rPr>
          <w:rtl/>
        </w:rPr>
        <w:t xml:space="preserve"> באמצעות חברת הבקרה אחר כל הפרויקטים.</w:t>
      </w:r>
      <w:r>
        <w:rPr>
          <w:rFonts w:hint="cs"/>
          <w:rtl/>
        </w:rPr>
        <w:t xml:space="preserve"> רמ"י הוסיפה כי </w:t>
      </w:r>
      <w:r w:rsidRPr="002A7A45">
        <w:rPr>
          <w:rtl/>
        </w:rPr>
        <w:t xml:space="preserve">שלב ההכנה נמשך תקופה ארוכה הואיל וועדות התכנון מבקשות לקבל לידן </w:t>
      </w:r>
      <w:r>
        <w:rPr>
          <w:rFonts w:hint="cs"/>
          <w:rtl/>
        </w:rPr>
        <w:t>"</w:t>
      </w:r>
      <w:r w:rsidRPr="002A7A45">
        <w:rPr>
          <w:rtl/>
        </w:rPr>
        <w:t>מוצר סופי</w:t>
      </w:r>
      <w:r>
        <w:rPr>
          <w:rFonts w:hint="cs"/>
          <w:rtl/>
        </w:rPr>
        <w:t>" -</w:t>
      </w:r>
      <w:r w:rsidRPr="002A7A45">
        <w:rPr>
          <w:rtl/>
        </w:rPr>
        <w:t xml:space="preserve"> דרישה </w:t>
      </w:r>
      <w:r>
        <w:rPr>
          <w:rFonts w:hint="cs"/>
          <w:rtl/>
        </w:rPr>
        <w:t>ה</w:t>
      </w:r>
      <w:r w:rsidRPr="002A7A45">
        <w:rPr>
          <w:rtl/>
        </w:rPr>
        <w:t xml:space="preserve">כרוכה בהתכנסות של </w:t>
      </w:r>
      <w:r>
        <w:rPr>
          <w:rFonts w:hint="cs"/>
          <w:rtl/>
        </w:rPr>
        <w:t>כמה</w:t>
      </w:r>
      <w:r w:rsidRPr="002A7A45">
        <w:rPr>
          <w:rtl/>
        </w:rPr>
        <w:t xml:space="preserve"> גורמים הפועלים מאינטרסים שונים לכדי מפגש רצונות אחד. מטבע הדברים, התכנסות זו מעוררת קשיים ועיכובים בהנעת הת</w:t>
      </w:r>
      <w:r>
        <w:rPr>
          <w:rFonts w:hint="cs"/>
          <w:rtl/>
        </w:rPr>
        <w:t>ו</w:t>
      </w:r>
      <w:r w:rsidRPr="002A7A45">
        <w:rPr>
          <w:rtl/>
        </w:rPr>
        <w:t>כנית</w:t>
      </w:r>
      <w:r>
        <w:rPr>
          <w:rFonts w:hint="cs"/>
          <w:rtl/>
        </w:rPr>
        <w:t>,</w:t>
      </w:r>
      <w:r w:rsidRPr="002A7A45">
        <w:rPr>
          <w:rtl/>
        </w:rPr>
        <w:t xml:space="preserve"> </w:t>
      </w:r>
      <w:r>
        <w:rPr>
          <w:rFonts w:hint="cs"/>
          <w:rtl/>
        </w:rPr>
        <w:t>אך</w:t>
      </w:r>
      <w:r w:rsidRPr="002A7A45">
        <w:rPr>
          <w:rtl/>
        </w:rPr>
        <w:t xml:space="preserve"> השגת ההסכמות מקלה </w:t>
      </w:r>
      <w:r>
        <w:rPr>
          <w:rFonts w:hint="cs"/>
          <w:rtl/>
        </w:rPr>
        <w:t>את</w:t>
      </w:r>
      <w:r w:rsidRPr="002A7A45">
        <w:rPr>
          <w:rtl/>
        </w:rPr>
        <w:t xml:space="preserve"> המשך הליכי התכנון בשלבים הסטטוטוריים</w:t>
      </w:r>
      <w:r w:rsidRPr="002A7A45">
        <w:rPr>
          <w:rFonts w:hint="cs"/>
          <w:rtl/>
        </w:rPr>
        <w:t>.</w:t>
      </w:r>
      <w:r>
        <w:rPr>
          <w:rFonts w:hint="cs"/>
          <w:rtl/>
        </w:rPr>
        <w:t xml:space="preserve"> </w:t>
      </w:r>
    </w:p>
    <w:p w14:paraId="6CF43362" w14:textId="77777777" w:rsidR="009A28D9" w:rsidRPr="002A7A45" w:rsidRDefault="009A28D9" w:rsidP="00F42AA2">
      <w:pPr>
        <w:pStyle w:val="af0"/>
        <w:rPr>
          <w:rtl/>
        </w:rPr>
      </w:pPr>
      <w:r>
        <w:rPr>
          <w:rFonts w:hint="cs"/>
          <w:rtl/>
        </w:rPr>
        <w:t xml:space="preserve">רמ"י הוסיפה כי </w:t>
      </w:r>
      <w:r w:rsidRPr="00EC12D1">
        <w:rPr>
          <w:rtl/>
        </w:rPr>
        <w:t xml:space="preserve">פעלה לפתח מודל תמרוץ המהווה מנגנון להערכת עבודת החברות המתכננות. </w:t>
      </w:r>
      <w:r>
        <w:rPr>
          <w:rFonts w:hint="cs"/>
          <w:rtl/>
        </w:rPr>
        <w:t>במסגרת ה</w:t>
      </w:r>
      <w:r w:rsidRPr="00EC12D1">
        <w:rPr>
          <w:rtl/>
        </w:rPr>
        <w:t>מודל נקבעו מדדי תמרוץ לחברות המתכננות לעמידה בלוחות הזמנים.</w:t>
      </w:r>
    </w:p>
    <w:p w14:paraId="710D805F" w14:textId="010DF874" w:rsidR="009A28D9" w:rsidRPr="0007031A" w:rsidRDefault="009A28D9" w:rsidP="00F42AA2">
      <w:pPr>
        <w:pStyle w:val="aa"/>
        <w:rPr>
          <w:rtl/>
        </w:rPr>
      </w:pPr>
      <w:r w:rsidRPr="005D2E0A">
        <w:rPr>
          <w:rFonts w:hint="cs"/>
          <w:rtl/>
        </w:rPr>
        <w:lastRenderedPageBreak/>
        <w:t xml:space="preserve">משרד מבקר המדינה </w:t>
      </w:r>
      <w:r>
        <w:rPr>
          <w:rFonts w:hint="cs"/>
          <w:rtl/>
        </w:rPr>
        <w:t>מציין</w:t>
      </w:r>
      <w:r w:rsidRPr="005D2E0A">
        <w:rPr>
          <w:rFonts w:hint="cs"/>
          <w:rtl/>
        </w:rPr>
        <w:t xml:space="preserve"> כי הימשכות תהליכי התכנון מעבר לנקבע בהסכמים עם חברות מתכננות </w:t>
      </w:r>
      <w:r>
        <w:rPr>
          <w:rFonts w:hint="cs"/>
          <w:rtl/>
        </w:rPr>
        <w:t>מחייבת</w:t>
      </w:r>
      <w:r w:rsidRPr="005D2E0A">
        <w:rPr>
          <w:rFonts w:hint="cs"/>
          <w:rtl/>
        </w:rPr>
        <w:t xml:space="preserve"> בירור מעמיק</w:t>
      </w:r>
      <w:r>
        <w:rPr>
          <w:rFonts w:hint="cs"/>
          <w:rtl/>
        </w:rPr>
        <w:t>,</w:t>
      </w:r>
      <w:r w:rsidRPr="005D2E0A">
        <w:rPr>
          <w:rFonts w:hint="cs"/>
          <w:rtl/>
        </w:rPr>
        <w:t xml:space="preserve"> </w:t>
      </w:r>
      <w:r>
        <w:rPr>
          <w:rFonts w:hint="cs"/>
          <w:rtl/>
        </w:rPr>
        <w:t xml:space="preserve">ניתוח </w:t>
      </w:r>
      <w:r w:rsidRPr="005D2E0A">
        <w:rPr>
          <w:rFonts w:hint="cs"/>
          <w:rtl/>
        </w:rPr>
        <w:t>הסיבות לעיכובים ונקיטת צעדים</w:t>
      </w:r>
      <w:r>
        <w:rPr>
          <w:rFonts w:hint="cs"/>
          <w:rtl/>
        </w:rPr>
        <w:t xml:space="preserve"> להסרתם</w:t>
      </w:r>
      <w:r w:rsidRPr="005D2E0A">
        <w:rPr>
          <w:rFonts w:hint="cs"/>
          <w:rtl/>
        </w:rPr>
        <w:t>.</w:t>
      </w:r>
      <w:r>
        <w:rPr>
          <w:rFonts w:hint="cs"/>
          <w:rtl/>
        </w:rPr>
        <w:t xml:space="preserve"> כמו כן, על מנת לזהות מבעוד מועד עיכובים וחסמים שעלולים למנוע עמידה בלוח הזמנים הכולל שנקבע, ראוי כי רמ"י תשקול לקבוע לוח זמנים משוער גם לאבני דרך עיקריות בשלב ההכנה.</w:t>
      </w:r>
    </w:p>
    <w:p w14:paraId="3A760592" w14:textId="75008E79" w:rsidR="009A28D9" w:rsidRPr="000D1055" w:rsidRDefault="000D1055" w:rsidP="000D1055">
      <w:pPr>
        <w:pStyle w:val="a0"/>
        <w:numPr>
          <w:ilvl w:val="0"/>
          <w:numId w:val="0"/>
        </w:numPr>
        <w:ind w:left="340" w:hanging="340"/>
        <w:rPr>
          <w:rtl/>
        </w:rPr>
      </w:pPr>
      <w:r w:rsidRPr="000D1055">
        <w:rPr>
          <w:rFonts w:hint="cs"/>
          <w:rtl/>
        </w:rPr>
        <w:t>4.</w:t>
      </w:r>
      <w:r w:rsidRPr="000D1055">
        <w:rPr>
          <w:rtl/>
        </w:rPr>
        <w:tab/>
      </w:r>
      <w:r w:rsidR="009A28D9" w:rsidRPr="000D1055">
        <w:rPr>
          <w:rFonts w:hint="cs"/>
          <w:rtl/>
        </w:rPr>
        <w:t xml:space="preserve">הנוהל העדכני של רמ"י </w:t>
      </w:r>
      <w:r w:rsidR="009A28D9" w:rsidRPr="000D1055">
        <w:rPr>
          <w:rtl/>
        </w:rPr>
        <w:t xml:space="preserve">בנושא "מעקב וקידום פרויקטים להם ניתנו הרשאות לתכנון" </w:t>
      </w:r>
      <w:r w:rsidR="009A28D9" w:rsidRPr="000D1055">
        <w:rPr>
          <w:rFonts w:hint="cs"/>
          <w:rtl/>
        </w:rPr>
        <w:t>(</w:t>
      </w:r>
      <w:r w:rsidR="009A28D9" w:rsidRPr="000D1055">
        <w:rPr>
          <w:rtl/>
        </w:rPr>
        <w:t>מ</w:t>
      </w:r>
      <w:r w:rsidR="009A28D9" w:rsidRPr="000D1055">
        <w:rPr>
          <w:rFonts w:hint="cs"/>
          <w:rtl/>
        </w:rPr>
        <w:t>נובמבר 2018) קובע כי בתוכניות ש</w:t>
      </w:r>
      <w:r w:rsidR="009A28D9" w:rsidRPr="000D1055">
        <w:rPr>
          <w:rtl/>
        </w:rPr>
        <w:t>בהשתתפות תקציבית</w:t>
      </w:r>
      <w:r w:rsidR="009A28D9" w:rsidRPr="000D1055">
        <w:rPr>
          <w:rFonts w:hint="cs"/>
          <w:rtl/>
        </w:rPr>
        <w:t xml:space="preserve"> של רמ"י ושבהן </w:t>
      </w:r>
      <w:r w:rsidR="009A28D9" w:rsidRPr="000D1055">
        <w:rPr>
          <w:rtl/>
        </w:rPr>
        <w:t xml:space="preserve">גורם </w:t>
      </w:r>
      <w:r w:rsidR="009A28D9" w:rsidRPr="000D1055">
        <w:rPr>
          <w:rFonts w:hint="cs"/>
          <w:rtl/>
        </w:rPr>
        <w:t>ה</w:t>
      </w:r>
      <w:r w:rsidR="009A28D9" w:rsidRPr="000D1055">
        <w:rPr>
          <w:rtl/>
        </w:rPr>
        <w:t xml:space="preserve">תכנון </w:t>
      </w:r>
      <w:r w:rsidR="009A28D9" w:rsidRPr="000D1055">
        <w:rPr>
          <w:rFonts w:hint="cs"/>
          <w:rtl/>
        </w:rPr>
        <w:t xml:space="preserve">הוא </w:t>
      </w:r>
      <w:r w:rsidR="009A28D9" w:rsidRPr="000D1055">
        <w:rPr>
          <w:rtl/>
        </w:rPr>
        <w:t>רשויות</w:t>
      </w:r>
      <w:r w:rsidR="009A28D9" w:rsidRPr="000D1055">
        <w:rPr>
          <w:rFonts w:hint="cs"/>
          <w:rtl/>
        </w:rPr>
        <w:t xml:space="preserve"> מקומיות או גוף ממשלתי אחר</w:t>
      </w:r>
      <w:r w:rsidR="009A28D9" w:rsidRPr="000D1055">
        <w:rPr>
          <w:rtl/>
        </w:rPr>
        <w:t xml:space="preserve">, מתכנן המרחב ו/או מי מטעמו ילווה את עבודת צוות התכנון </w:t>
      </w:r>
      <w:r w:rsidR="009A28D9" w:rsidRPr="000D1055">
        <w:rPr>
          <w:rFonts w:hint="cs"/>
          <w:rtl/>
        </w:rPr>
        <w:t>ו</w:t>
      </w:r>
      <w:r w:rsidR="009A28D9" w:rsidRPr="000D1055">
        <w:rPr>
          <w:rtl/>
        </w:rPr>
        <w:t>יקיים פגישות מעקב בהשתתפות</w:t>
      </w:r>
      <w:r w:rsidR="009A28D9" w:rsidRPr="000D1055">
        <w:rPr>
          <w:rFonts w:hint="cs"/>
          <w:rtl/>
        </w:rPr>
        <w:t xml:space="preserve"> </w:t>
      </w:r>
      <w:r w:rsidR="009A28D9" w:rsidRPr="000D1055">
        <w:rPr>
          <w:rtl/>
        </w:rPr>
        <w:t>הרשות</w:t>
      </w:r>
      <w:r w:rsidR="009A28D9" w:rsidRPr="000D1055">
        <w:rPr>
          <w:rFonts w:hint="cs"/>
          <w:rtl/>
        </w:rPr>
        <w:t>.</w:t>
      </w:r>
      <w:r w:rsidR="009A28D9" w:rsidRPr="000D1055">
        <w:rPr>
          <w:rtl/>
        </w:rPr>
        <w:t xml:space="preserve"> ב</w:t>
      </w:r>
      <w:r w:rsidR="009A28D9" w:rsidRPr="000D1055">
        <w:rPr>
          <w:rFonts w:hint="cs"/>
          <w:rtl/>
        </w:rPr>
        <w:t xml:space="preserve">פגישות אלו </w:t>
      </w:r>
      <w:r w:rsidR="009A28D9" w:rsidRPr="000D1055">
        <w:rPr>
          <w:rtl/>
        </w:rPr>
        <w:t>יפגוש את צוות התכנון</w:t>
      </w:r>
      <w:r w:rsidR="009A28D9" w:rsidRPr="000D1055">
        <w:rPr>
          <w:rFonts w:hint="cs"/>
          <w:rtl/>
        </w:rPr>
        <w:t>,</w:t>
      </w:r>
      <w:r w:rsidR="009A28D9" w:rsidRPr="000D1055">
        <w:rPr>
          <w:rtl/>
        </w:rPr>
        <w:t xml:space="preserve"> </w:t>
      </w:r>
      <w:r w:rsidR="009A28D9" w:rsidRPr="000D1055">
        <w:rPr>
          <w:rFonts w:hint="cs"/>
          <w:rtl/>
        </w:rPr>
        <w:t xml:space="preserve">את </w:t>
      </w:r>
      <w:r w:rsidR="009A28D9" w:rsidRPr="000D1055">
        <w:rPr>
          <w:rtl/>
        </w:rPr>
        <w:t>האדריכל ו</w:t>
      </w:r>
      <w:r w:rsidR="009A28D9" w:rsidRPr="000D1055">
        <w:rPr>
          <w:rFonts w:hint="cs"/>
          <w:rtl/>
        </w:rPr>
        <w:t xml:space="preserve">את </w:t>
      </w:r>
      <w:r w:rsidR="009A28D9" w:rsidRPr="000D1055">
        <w:rPr>
          <w:rtl/>
        </w:rPr>
        <w:t xml:space="preserve">מנהל הפרויקט, </w:t>
      </w:r>
      <w:r w:rsidR="009A28D9" w:rsidRPr="000D1055">
        <w:rPr>
          <w:rFonts w:hint="cs"/>
          <w:rtl/>
        </w:rPr>
        <w:t>ו</w:t>
      </w:r>
      <w:r w:rsidR="009A28D9" w:rsidRPr="000D1055">
        <w:rPr>
          <w:rtl/>
        </w:rPr>
        <w:t>יבחן את הפרוגרמה והתאמת</w:t>
      </w:r>
      <w:r w:rsidR="009A28D9" w:rsidRPr="000D1055">
        <w:rPr>
          <w:rFonts w:hint="cs"/>
          <w:rtl/>
        </w:rPr>
        <w:t>ה</w:t>
      </w:r>
      <w:r w:rsidR="009A28D9" w:rsidRPr="000D1055">
        <w:rPr>
          <w:rtl/>
        </w:rPr>
        <w:t xml:space="preserve"> להרשאה לתכנון שניתנה ואת </w:t>
      </w:r>
      <w:r w:rsidR="009A28D9" w:rsidRPr="000D1055">
        <w:rPr>
          <w:rFonts w:hint="cs"/>
          <w:rtl/>
        </w:rPr>
        <w:t>לוח הזמנים</w:t>
      </w:r>
      <w:r w:rsidR="009A28D9" w:rsidRPr="000D1055">
        <w:rPr>
          <w:rtl/>
        </w:rPr>
        <w:t xml:space="preserve"> להליך התכנון</w:t>
      </w:r>
      <w:r w:rsidR="009A28D9" w:rsidRPr="000D1055">
        <w:rPr>
          <w:rFonts w:hint="cs"/>
          <w:rtl/>
        </w:rPr>
        <w:t>.</w:t>
      </w:r>
    </w:p>
    <w:p w14:paraId="6380945D" w14:textId="77777777" w:rsidR="009A28D9" w:rsidRPr="00F42AA2" w:rsidRDefault="009A28D9" w:rsidP="00F42AA2">
      <w:pPr>
        <w:pStyle w:val="aa"/>
        <w:rPr>
          <w:rtl/>
        </w:rPr>
      </w:pPr>
      <w:r w:rsidRPr="00F42AA2">
        <w:rPr>
          <w:rFonts w:hint="cs"/>
          <w:rtl/>
        </w:rPr>
        <w:t xml:space="preserve">בדיקה פרטנית של 11 תוכניות שביוזמת רשויות מקומיות שהחלו בשנים 2014 - 2017 וטרם אושרו, ואשר נבחרו אקראית, העלתה כי בשנת 2019 בשש מהן רמ"י לא קיימה כלל פגישות מעקב. </w:t>
      </w:r>
    </w:p>
    <w:p w14:paraId="68DF4E6C" w14:textId="77777777" w:rsidR="009A28D9" w:rsidRDefault="009A28D9" w:rsidP="00F42AA2">
      <w:pPr>
        <w:pStyle w:val="af0"/>
        <w:rPr>
          <w:rtl/>
        </w:rPr>
      </w:pPr>
      <w:r w:rsidRPr="008815D2">
        <w:rPr>
          <w:rFonts w:hint="cs"/>
          <w:rtl/>
        </w:rPr>
        <w:t xml:space="preserve">לדוגמה, </w:t>
      </w:r>
      <w:r>
        <w:rPr>
          <w:rFonts w:hint="cs"/>
          <w:rtl/>
        </w:rPr>
        <w:t xml:space="preserve">באחת מן התוכניות הללו, </w:t>
      </w:r>
      <w:r w:rsidRPr="008815D2">
        <w:rPr>
          <w:rFonts w:hint="cs"/>
          <w:rtl/>
        </w:rPr>
        <w:t>שבה רמ"י משתתפת במחצית מהוצאות התכנון, עלה כי אף שהרשאה לתכנון ניתנה</w:t>
      </w:r>
      <w:r>
        <w:rPr>
          <w:rFonts w:hint="cs"/>
          <w:rtl/>
        </w:rPr>
        <w:t xml:space="preserve"> </w:t>
      </w:r>
      <w:r w:rsidRPr="008815D2">
        <w:rPr>
          <w:rFonts w:hint="cs"/>
          <w:rtl/>
        </w:rPr>
        <w:t xml:space="preserve">לפני </w:t>
      </w:r>
      <w:r>
        <w:rPr>
          <w:rFonts w:hint="cs"/>
          <w:rtl/>
        </w:rPr>
        <w:t>יותר</w:t>
      </w:r>
      <w:r w:rsidRPr="008815D2">
        <w:rPr>
          <w:rFonts w:hint="cs"/>
          <w:rtl/>
        </w:rPr>
        <w:t xml:space="preserve"> משלוש שנים</w:t>
      </w:r>
      <w:r>
        <w:rPr>
          <w:rFonts w:hint="cs"/>
          <w:rtl/>
        </w:rPr>
        <w:t>,</w:t>
      </w:r>
      <w:r w:rsidRPr="008815D2">
        <w:rPr>
          <w:rFonts w:hint="cs"/>
          <w:rtl/>
        </w:rPr>
        <w:t xml:space="preserve"> עוד במאי 2016, התוכנית עדיין בשלב ההכנה</w:t>
      </w:r>
      <w:r>
        <w:rPr>
          <w:rFonts w:hint="cs"/>
          <w:rtl/>
        </w:rPr>
        <w:t>;</w:t>
      </w:r>
      <w:r w:rsidRPr="008815D2">
        <w:rPr>
          <w:rFonts w:hint="cs"/>
          <w:rtl/>
        </w:rPr>
        <w:t xml:space="preserve"> </w:t>
      </w:r>
      <w:r>
        <w:rPr>
          <w:rFonts w:hint="cs"/>
          <w:rtl/>
        </w:rPr>
        <w:t xml:space="preserve">בזמן שחלף קיימה </w:t>
      </w:r>
      <w:r w:rsidRPr="008815D2">
        <w:rPr>
          <w:rFonts w:hint="cs"/>
          <w:rtl/>
        </w:rPr>
        <w:t>רמ"י רק ישיבת מעקב אחת</w:t>
      </w:r>
      <w:r>
        <w:rPr>
          <w:rFonts w:hint="cs"/>
          <w:rtl/>
        </w:rPr>
        <w:t>,</w:t>
      </w:r>
      <w:r w:rsidRPr="008815D2">
        <w:rPr>
          <w:rFonts w:hint="cs"/>
          <w:rtl/>
        </w:rPr>
        <w:t xml:space="preserve"> באוגוסט 2018</w:t>
      </w:r>
      <w:r>
        <w:rPr>
          <w:rFonts w:hint="cs"/>
          <w:rtl/>
        </w:rPr>
        <w:t>, ומאז הסתפקה</w:t>
      </w:r>
      <w:r w:rsidRPr="008815D2">
        <w:rPr>
          <w:rFonts w:hint="cs"/>
          <w:rtl/>
        </w:rPr>
        <w:t xml:space="preserve"> בעדכונים טלפוניים ולא קיימה אף ישיבת בקרה משותפת עם הגורמים המתכננים </w:t>
      </w:r>
      <w:r>
        <w:rPr>
          <w:rFonts w:hint="cs"/>
          <w:rtl/>
        </w:rPr>
        <w:t>כדי</w:t>
      </w:r>
      <w:r w:rsidRPr="008815D2">
        <w:rPr>
          <w:rFonts w:hint="cs"/>
          <w:rtl/>
        </w:rPr>
        <w:t xml:space="preserve"> לברר את הסיבה להימשכות הליכי התכנון</w:t>
      </w:r>
      <w:r>
        <w:rPr>
          <w:rFonts w:hint="cs"/>
          <w:rtl/>
        </w:rPr>
        <w:t>.</w:t>
      </w:r>
      <w:r w:rsidRPr="008815D2">
        <w:rPr>
          <w:rFonts w:hint="cs"/>
          <w:rtl/>
        </w:rPr>
        <w:t xml:space="preserve"> </w:t>
      </w:r>
    </w:p>
    <w:p w14:paraId="2C2F32CE" w14:textId="77777777" w:rsidR="009A28D9" w:rsidRDefault="009A28D9" w:rsidP="00F42AA2">
      <w:pPr>
        <w:pStyle w:val="af0"/>
        <w:rPr>
          <w:rtl/>
        </w:rPr>
      </w:pPr>
      <w:r>
        <w:rPr>
          <w:rFonts w:hint="cs"/>
          <w:rtl/>
        </w:rPr>
        <w:t>רמ"י מסרה בתשובתה כי בעבר ה</w:t>
      </w:r>
      <w:r w:rsidRPr="00355C40">
        <w:rPr>
          <w:rtl/>
        </w:rPr>
        <w:t xml:space="preserve">מעקב </w:t>
      </w:r>
      <w:r>
        <w:rPr>
          <w:rFonts w:hint="cs"/>
          <w:rtl/>
        </w:rPr>
        <w:t>שלה</w:t>
      </w:r>
      <w:r w:rsidRPr="00355C40">
        <w:rPr>
          <w:rtl/>
        </w:rPr>
        <w:t xml:space="preserve"> אחרי ת</w:t>
      </w:r>
      <w:r>
        <w:rPr>
          <w:rFonts w:hint="cs"/>
          <w:rtl/>
        </w:rPr>
        <w:t>ו</w:t>
      </w:r>
      <w:r w:rsidRPr="00355C40">
        <w:rPr>
          <w:rtl/>
        </w:rPr>
        <w:t>כניות בהשתתפות עם הרשו</w:t>
      </w:r>
      <w:r>
        <w:rPr>
          <w:rFonts w:hint="cs"/>
          <w:rtl/>
        </w:rPr>
        <w:t>יו</w:t>
      </w:r>
      <w:r w:rsidRPr="00355C40">
        <w:rPr>
          <w:rtl/>
        </w:rPr>
        <w:t>ת המקומי</w:t>
      </w:r>
      <w:r>
        <w:rPr>
          <w:rFonts w:hint="cs"/>
          <w:rtl/>
        </w:rPr>
        <w:t>ו</w:t>
      </w:r>
      <w:r w:rsidRPr="00355C40">
        <w:rPr>
          <w:rtl/>
        </w:rPr>
        <w:t xml:space="preserve">ת </w:t>
      </w:r>
      <w:r>
        <w:rPr>
          <w:rFonts w:hint="cs"/>
          <w:rtl/>
        </w:rPr>
        <w:t>בא לביטוי</w:t>
      </w:r>
      <w:r w:rsidRPr="00355C40">
        <w:rPr>
          <w:rtl/>
        </w:rPr>
        <w:t xml:space="preserve"> בעיקר באבני דרך מרכזיות</w:t>
      </w:r>
      <w:r>
        <w:rPr>
          <w:rFonts w:hint="cs"/>
          <w:rtl/>
        </w:rPr>
        <w:t>, ו</w:t>
      </w:r>
      <w:r w:rsidRPr="00355C40">
        <w:rPr>
          <w:rtl/>
        </w:rPr>
        <w:t xml:space="preserve">בשנים האחרונות, נוסף </w:t>
      </w:r>
      <w:r>
        <w:rPr>
          <w:rFonts w:hint="cs"/>
          <w:rtl/>
        </w:rPr>
        <w:t>ע</w:t>
      </w:r>
      <w:r w:rsidRPr="00355C40">
        <w:rPr>
          <w:rtl/>
        </w:rPr>
        <w:t>ל</w:t>
      </w:r>
      <w:r>
        <w:rPr>
          <w:rFonts w:hint="cs"/>
          <w:rtl/>
        </w:rPr>
        <w:t xml:space="preserve"> ה</w:t>
      </w:r>
      <w:r w:rsidRPr="00355C40">
        <w:rPr>
          <w:rtl/>
        </w:rPr>
        <w:t xml:space="preserve">מעקב של המרחבים, מבצע המטה באמצעות אגף התכנון מעקב אינטנסיבי שוטף עם כל רשות ורשות </w:t>
      </w:r>
      <w:r>
        <w:rPr>
          <w:rFonts w:hint="cs"/>
          <w:rtl/>
        </w:rPr>
        <w:t>אחר</w:t>
      </w:r>
      <w:r w:rsidRPr="00355C40">
        <w:rPr>
          <w:rtl/>
        </w:rPr>
        <w:t xml:space="preserve"> כל פרויקט ש</w:t>
      </w:r>
      <w:r>
        <w:rPr>
          <w:rFonts w:hint="cs"/>
          <w:rtl/>
        </w:rPr>
        <w:t>הן מקדמות</w:t>
      </w:r>
      <w:r w:rsidRPr="00355C40">
        <w:rPr>
          <w:rtl/>
        </w:rPr>
        <w:t>. תוצאות המעקב ולוח הזמנים מתועדים במערכות הממוחשבות</w:t>
      </w:r>
      <w:r>
        <w:rPr>
          <w:rFonts w:hint="cs"/>
          <w:rtl/>
        </w:rPr>
        <w:t xml:space="preserve">. עוד מסרה כי </w:t>
      </w:r>
      <w:r w:rsidRPr="00355C40">
        <w:rPr>
          <w:rtl/>
        </w:rPr>
        <w:t xml:space="preserve">בשל היקף הפעילות של הרשויות המקומיות ומספרן הרב קורה כי ברשויות </w:t>
      </w:r>
      <w:r>
        <w:rPr>
          <w:rFonts w:hint="cs"/>
          <w:rtl/>
        </w:rPr>
        <w:t>ש</w:t>
      </w:r>
      <w:r w:rsidRPr="00355C40">
        <w:rPr>
          <w:rtl/>
        </w:rPr>
        <w:t>בהן אין הרבה ת</w:t>
      </w:r>
      <w:r>
        <w:rPr>
          <w:rFonts w:hint="cs"/>
          <w:rtl/>
        </w:rPr>
        <w:t>ו</w:t>
      </w:r>
      <w:r w:rsidRPr="00355C40">
        <w:rPr>
          <w:rtl/>
        </w:rPr>
        <w:t xml:space="preserve">כניות לא </w:t>
      </w:r>
      <w:r>
        <w:rPr>
          <w:rFonts w:hint="cs"/>
          <w:rtl/>
        </w:rPr>
        <w:t>מתנהלת</w:t>
      </w:r>
      <w:r w:rsidRPr="00355C40">
        <w:rPr>
          <w:rtl/>
        </w:rPr>
        <w:t xml:space="preserve"> ישיבה במשרדי </w:t>
      </w:r>
      <w:r>
        <w:rPr>
          <w:rFonts w:hint="cs"/>
          <w:rtl/>
        </w:rPr>
        <w:t>רמ"י</w:t>
      </w:r>
      <w:r w:rsidRPr="00355C40">
        <w:rPr>
          <w:rtl/>
        </w:rPr>
        <w:t xml:space="preserve"> אלא </w:t>
      </w:r>
      <w:r>
        <w:rPr>
          <w:rFonts w:hint="cs"/>
          <w:rtl/>
        </w:rPr>
        <w:t>מתקיימים</w:t>
      </w:r>
      <w:r w:rsidRPr="00355C40">
        <w:rPr>
          <w:rtl/>
        </w:rPr>
        <w:t xml:space="preserve"> מעקב ובירור טלפוני, כפי שעולה בדוגמ</w:t>
      </w:r>
      <w:r>
        <w:rPr>
          <w:rFonts w:hint="cs"/>
          <w:rtl/>
        </w:rPr>
        <w:t>ה</w:t>
      </w:r>
      <w:r w:rsidRPr="00355C40">
        <w:rPr>
          <w:rtl/>
        </w:rPr>
        <w:t xml:space="preserve"> המוצגת בדוח</w:t>
      </w:r>
      <w:r>
        <w:rPr>
          <w:rFonts w:hint="cs"/>
          <w:rtl/>
        </w:rPr>
        <w:t>.</w:t>
      </w:r>
    </w:p>
    <w:p w14:paraId="59A0B797" w14:textId="07285298" w:rsidR="009A28D9" w:rsidRPr="00F42AA2" w:rsidRDefault="009A28D9" w:rsidP="00F42AA2">
      <w:pPr>
        <w:pStyle w:val="aa"/>
        <w:rPr>
          <w:bCs/>
          <w:rtl/>
        </w:rPr>
      </w:pPr>
      <w:r w:rsidRPr="00F42AA2">
        <w:rPr>
          <w:rFonts w:hint="cs"/>
          <w:rtl/>
        </w:rPr>
        <w:t>על רמ"י להקפיד על ביצוע מעקב שוטף אחרי כלל התוכניות שמצויות בתהליכי עבודה, ובפרט אחר תוכניות גדולות,</w:t>
      </w:r>
      <w:r w:rsidRPr="00F42AA2">
        <w:t xml:space="preserve"> </w:t>
      </w:r>
      <w:r w:rsidRPr="00F42AA2">
        <w:rPr>
          <w:rFonts w:hint="cs"/>
          <w:rtl/>
        </w:rPr>
        <w:t xml:space="preserve">ולהקפיד על פגישות מעקב, כנדרש בנהליה. </w:t>
      </w:r>
    </w:p>
    <w:p w14:paraId="05B0073B" w14:textId="77777777" w:rsidR="009A28D9" w:rsidRPr="009D0BDC" w:rsidRDefault="009A28D9" w:rsidP="009D0BDC">
      <w:pPr>
        <w:pStyle w:val="5115"/>
        <w:rPr>
          <w:rStyle w:val="Heading5Char"/>
          <w:rFonts w:eastAsiaTheme="minorHAnsi"/>
          <w:bCs w:val="0"/>
          <w:spacing w:val="0"/>
        </w:rPr>
      </w:pPr>
      <w:r w:rsidRPr="009D0BDC">
        <w:rPr>
          <w:rStyle w:val="Heading5Char"/>
          <w:rFonts w:eastAsiaTheme="minorHAnsi" w:hint="cs"/>
          <w:bCs w:val="0"/>
          <w:spacing w:val="0"/>
          <w:rtl/>
        </w:rPr>
        <w:t>לוחות זמנים לתוכניות שבאחריות משרד הבינוי</w:t>
      </w:r>
    </w:p>
    <w:p w14:paraId="4B8BAA0C" w14:textId="77777777" w:rsidR="009A28D9" w:rsidRPr="004F4E64" w:rsidRDefault="009A28D9" w:rsidP="009D0BDC">
      <w:pPr>
        <w:pStyle w:val="100"/>
        <w:rPr>
          <w:rtl/>
        </w:rPr>
      </w:pPr>
      <w:r w:rsidRPr="004F4E64">
        <w:rPr>
          <w:rFonts w:hint="cs"/>
          <w:rtl/>
        </w:rPr>
        <w:t>הכללים וההוראות בדבר תהליך ליווי התכנון במשרד הבינוי ואישורו במוסדות התכנון נקבעו בנוהל משרד הבינוי "ליווי תכנון, הגשת תכניות ואישורן</w:t>
      </w:r>
      <w:r>
        <w:rPr>
          <w:rFonts w:hint="cs"/>
          <w:rtl/>
        </w:rPr>
        <w:t>"</w:t>
      </w:r>
      <w:r w:rsidRPr="004F4E64">
        <w:rPr>
          <w:rFonts w:hint="cs"/>
          <w:rtl/>
        </w:rPr>
        <w:t xml:space="preserve"> (להלן - נוהל ליווי תכנון). לפי הנוהל</w:t>
      </w:r>
      <w:r>
        <w:rPr>
          <w:rFonts w:hint="cs"/>
          <w:rtl/>
        </w:rPr>
        <w:t>,</w:t>
      </w:r>
      <w:r w:rsidRPr="004F4E64">
        <w:rPr>
          <w:rFonts w:hint="cs"/>
          <w:rtl/>
        </w:rPr>
        <w:t xml:space="preserve"> תהליך הכנת התוכניות ואישורן במשרד הבינוי יבוצע בשלבים, ובהם:</w:t>
      </w:r>
      <w:r>
        <w:rPr>
          <w:rFonts w:hint="cs"/>
          <w:rtl/>
        </w:rPr>
        <w:t xml:space="preserve"> </w:t>
      </w:r>
      <w:r w:rsidRPr="004F4E64">
        <w:rPr>
          <w:rFonts w:hint="cs"/>
          <w:rtl/>
        </w:rPr>
        <w:t xml:space="preserve">(א) הכנת התוכנית, ליווי </w:t>
      </w:r>
      <w:r>
        <w:rPr>
          <w:rFonts w:hint="cs"/>
          <w:rtl/>
        </w:rPr>
        <w:lastRenderedPageBreak/>
        <w:t>ה</w:t>
      </w:r>
      <w:r w:rsidRPr="004F4E64">
        <w:rPr>
          <w:rFonts w:hint="cs"/>
          <w:rtl/>
        </w:rPr>
        <w:t>תכנון על ידי צוות ליווי תכנון</w:t>
      </w:r>
      <w:r>
        <w:rPr>
          <w:rStyle w:val="FootnoteReference"/>
          <w:rFonts w:ascii="Arial" w:eastAsia="Times New Roman" w:hAnsi="Arial"/>
          <w:color w:val="000000"/>
          <w:sz w:val="24"/>
          <w:rtl/>
        </w:rPr>
        <w:footnoteReference w:id="50"/>
      </w:r>
      <w:r w:rsidRPr="004F4E64">
        <w:rPr>
          <w:rFonts w:hint="cs"/>
          <w:rtl/>
        </w:rPr>
        <w:t xml:space="preserve"> ואישור התוכנית במשרד</w:t>
      </w:r>
      <w:r>
        <w:rPr>
          <w:rFonts w:hint="cs"/>
          <w:rtl/>
        </w:rPr>
        <w:t xml:space="preserve"> (להלן - שלב הכנת התוכנית)</w:t>
      </w:r>
      <w:r w:rsidRPr="004F4E64">
        <w:rPr>
          <w:rFonts w:hint="cs"/>
          <w:rtl/>
        </w:rPr>
        <w:t>;</w:t>
      </w:r>
      <w:r>
        <w:rPr>
          <w:rFonts w:hint="cs"/>
          <w:rtl/>
        </w:rPr>
        <w:t xml:space="preserve"> </w:t>
      </w:r>
      <w:r w:rsidRPr="004F4E64">
        <w:rPr>
          <w:rFonts w:hint="cs"/>
          <w:rtl/>
        </w:rPr>
        <w:t>(ב) אישור התוכנית במוסדות התכנון.</w:t>
      </w:r>
    </w:p>
    <w:p w14:paraId="5F1B5F5D" w14:textId="77777777" w:rsidR="009A28D9" w:rsidRDefault="009A28D9" w:rsidP="009D0BDC">
      <w:pPr>
        <w:pStyle w:val="100"/>
        <w:rPr>
          <w:rtl/>
        </w:rPr>
      </w:pPr>
      <w:r w:rsidRPr="00CD736A">
        <w:rPr>
          <w:rFonts w:hint="cs"/>
          <w:rtl/>
        </w:rPr>
        <w:t xml:space="preserve">בנוהל ליווי תכנון נקבע כי ליווי התכנון יכלול: גיבוש עקרונות התכנון, בדיקת חלופות ופתרונות תכנוניים, מתן הנחיות לתכנון, קביעת סדרי עבודת התכנון וקביעת לוחות זמנים. עוד נקבע כי לפני מסירת עבודת התכנון לביצוע </w:t>
      </w:r>
      <w:r>
        <w:rPr>
          <w:rFonts w:hint="cs"/>
          <w:rtl/>
        </w:rPr>
        <w:t xml:space="preserve">יאשר </w:t>
      </w:r>
      <w:r w:rsidRPr="00CD736A">
        <w:rPr>
          <w:rFonts w:hint="cs"/>
          <w:rtl/>
        </w:rPr>
        <w:t>צוות התכנון תדריך תכנון לפרויקט</w:t>
      </w:r>
      <w:r>
        <w:rPr>
          <w:rFonts w:hint="cs"/>
          <w:rtl/>
        </w:rPr>
        <w:t>,</w:t>
      </w:r>
      <w:r w:rsidRPr="00CD736A">
        <w:rPr>
          <w:rFonts w:hint="cs"/>
          <w:rtl/>
        </w:rPr>
        <w:t xml:space="preserve"> שיכלול פירוט לגבי המדיניות הרצויה ביחס לפרוגרמה </w:t>
      </w:r>
      <w:r>
        <w:rPr>
          <w:rFonts w:hint="cs"/>
          <w:rtl/>
        </w:rPr>
        <w:t xml:space="preserve">וביחס </w:t>
      </w:r>
      <w:r w:rsidRPr="00CD736A">
        <w:rPr>
          <w:rFonts w:hint="cs"/>
          <w:rtl/>
        </w:rPr>
        <w:t>לפיתוח ובינוי של האתר המיועד לתכנון וחומר רקע לגביו. עוד יכלול התדריך המלצה ללוח זמנים משוער להשלמת תכנון האתר</w:t>
      </w:r>
      <w:r>
        <w:rPr>
          <w:rFonts w:hint="cs"/>
          <w:rtl/>
        </w:rPr>
        <w:t>,</w:t>
      </w:r>
      <w:r w:rsidRPr="00CD736A">
        <w:rPr>
          <w:rFonts w:hint="cs"/>
          <w:rtl/>
        </w:rPr>
        <w:t xml:space="preserve"> לשלב הרלוונטי להזמנת התכנון. ההמלצה תהיה חלק מהזמנת התכנון ותיקבע סופית בחוזה עם המתכננים. בחוזים נקבע</w:t>
      </w:r>
      <w:r>
        <w:rPr>
          <w:rFonts w:hint="cs"/>
          <w:rtl/>
        </w:rPr>
        <w:t>ות</w:t>
      </w:r>
      <w:r w:rsidRPr="00CD736A">
        <w:rPr>
          <w:rFonts w:hint="cs"/>
          <w:rtl/>
        </w:rPr>
        <w:t xml:space="preserve"> גם אבני דרך לתהליך התכנון</w:t>
      </w:r>
      <w:r>
        <w:rPr>
          <w:rFonts w:hint="cs"/>
          <w:rtl/>
        </w:rPr>
        <w:t>;</w:t>
      </w:r>
      <w:r w:rsidRPr="00CD736A">
        <w:rPr>
          <w:rFonts w:hint="cs"/>
          <w:rtl/>
        </w:rPr>
        <w:t xml:space="preserve"> תהליך תכנון תוכנית מתאר ותוכנית מפורטת כולל 15 אבני דרך. </w:t>
      </w:r>
    </w:p>
    <w:p w14:paraId="30144AC6" w14:textId="77777777" w:rsidR="009A28D9" w:rsidRPr="00CD736A" w:rsidRDefault="009A28D9" w:rsidP="009D0BDC">
      <w:pPr>
        <w:pStyle w:val="100"/>
        <w:rPr>
          <w:rtl/>
        </w:rPr>
      </w:pPr>
      <w:r>
        <w:rPr>
          <w:rFonts w:hint="cs"/>
          <w:rtl/>
        </w:rPr>
        <w:t>לפי נתוני משרד הבינוי</w:t>
      </w:r>
      <w:r w:rsidRPr="009971DA">
        <w:rPr>
          <w:rFonts w:hint="cs"/>
          <w:rtl/>
        </w:rPr>
        <w:t xml:space="preserve">, </w:t>
      </w:r>
      <w:r w:rsidRPr="009971DA">
        <w:rPr>
          <w:rFonts w:hint="eastAsia"/>
          <w:rtl/>
        </w:rPr>
        <w:t>נכון</w:t>
      </w:r>
      <w:r w:rsidRPr="009971DA">
        <w:rPr>
          <w:rtl/>
        </w:rPr>
        <w:t xml:space="preserve"> </w:t>
      </w:r>
      <w:r w:rsidRPr="009971DA">
        <w:rPr>
          <w:rFonts w:hint="eastAsia"/>
          <w:rtl/>
        </w:rPr>
        <w:t>ליולי</w:t>
      </w:r>
      <w:r w:rsidRPr="009971DA">
        <w:rPr>
          <w:rtl/>
        </w:rPr>
        <w:t xml:space="preserve"> 201</w:t>
      </w:r>
      <w:r w:rsidRPr="009971DA">
        <w:rPr>
          <w:rFonts w:hint="cs"/>
          <w:rtl/>
        </w:rPr>
        <w:t>9 היו כאמור</w:t>
      </w:r>
      <w:r>
        <w:rPr>
          <w:rFonts w:hint="cs"/>
          <w:rtl/>
        </w:rPr>
        <w:t xml:space="preserve"> בתהליכי תכנון שונים 789 עבודות תכנון למטרת מגורים שהמשרד מסר בשנים 2016 - 2018 לחברות מתכננות ולמתכננים מהמאגר. </w:t>
      </w:r>
    </w:p>
    <w:p w14:paraId="36CE8610" w14:textId="77777777" w:rsidR="009A28D9" w:rsidRPr="009D0BDC" w:rsidRDefault="009A28D9" w:rsidP="009D0BDC">
      <w:pPr>
        <w:pStyle w:val="a0"/>
        <w:numPr>
          <w:ilvl w:val="0"/>
          <w:numId w:val="24"/>
        </w:numPr>
        <w:rPr>
          <w:rFonts w:ascii="Arial" w:eastAsia="Times New Roman" w:hAnsi="Arial"/>
          <w:color w:val="000000"/>
          <w:sz w:val="24"/>
          <w:rtl/>
        </w:rPr>
      </w:pPr>
      <w:r w:rsidRPr="009D0BDC">
        <w:rPr>
          <w:rFonts w:ascii="Arial" w:eastAsia="Times New Roman" w:hAnsi="Arial" w:hint="cs"/>
          <w:color w:val="000000"/>
          <w:sz w:val="24"/>
          <w:rtl/>
        </w:rPr>
        <w:t xml:space="preserve">בתרשים שלהלן </w:t>
      </w:r>
      <w:r w:rsidRPr="00F22052">
        <w:rPr>
          <w:rFonts w:hint="cs"/>
          <w:rtl/>
        </w:rPr>
        <w:t>מוצג</w:t>
      </w:r>
      <w:r>
        <w:rPr>
          <w:rFonts w:hint="cs"/>
          <w:rtl/>
        </w:rPr>
        <w:t>ת</w:t>
      </w:r>
      <w:r w:rsidRPr="00F22052">
        <w:rPr>
          <w:rFonts w:hint="cs"/>
          <w:rtl/>
        </w:rPr>
        <w:t xml:space="preserve"> התפלגות עבודות התכנון על פי משך התכנון שמסר משרד הבינוי בשנים </w:t>
      </w:r>
      <w:r>
        <w:rPr>
          <w:rFonts w:hint="cs"/>
          <w:rtl/>
        </w:rPr>
        <w:t>2016 - 2018</w:t>
      </w:r>
      <w:r w:rsidRPr="00F22052">
        <w:rPr>
          <w:rFonts w:hint="cs"/>
          <w:rtl/>
        </w:rPr>
        <w:t>.</w:t>
      </w:r>
    </w:p>
    <w:p w14:paraId="2CA66248" w14:textId="77777777" w:rsidR="009A28D9" w:rsidRPr="009309A2" w:rsidRDefault="009A28D9" w:rsidP="009309A2">
      <w:pPr>
        <w:pStyle w:val="a6"/>
        <w:rPr>
          <w:b/>
          <w:bCs/>
          <w:rtl/>
        </w:rPr>
      </w:pPr>
      <w:r>
        <w:rPr>
          <w:rFonts w:hint="cs"/>
          <w:rtl/>
        </w:rPr>
        <w:t xml:space="preserve"> </w:t>
      </w:r>
      <w:r w:rsidRPr="0032609E">
        <w:rPr>
          <w:rFonts w:hint="eastAsia"/>
          <w:rtl/>
        </w:rPr>
        <w:t>תרשים</w:t>
      </w:r>
      <w:r w:rsidRPr="0032609E">
        <w:rPr>
          <w:rtl/>
        </w:rPr>
        <w:t xml:space="preserve"> </w:t>
      </w:r>
      <w:r>
        <w:rPr>
          <w:rFonts w:hint="cs"/>
          <w:rtl/>
        </w:rPr>
        <w:t>10</w:t>
      </w:r>
      <w:r w:rsidRPr="0032609E">
        <w:rPr>
          <w:rtl/>
        </w:rPr>
        <w:t xml:space="preserve">: </w:t>
      </w:r>
      <w:r w:rsidRPr="009309A2">
        <w:rPr>
          <w:b/>
          <w:bCs/>
          <w:rtl/>
        </w:rPr>
        <w:t xml:space="preserve">התפלגות עבודות התכנון על פי משך התכנון שמסר משרד הבינוי בשנים 2016 - 2018 </w:t>
      </w:r>
      <w:r w:rsidRPr="009309A2">
        <w:rPr>
          <w:rFonts w:hint="cs"/>
          <w:b/>
          <w:bCs/>
          <w:rtl/>
        </w:rPr>
        <w:t>(במספרים ובאחוזים)</w:t>
      </w:r>
    </w:p>
    <w:p w14:paraId="78514D4C" w14:textId="77777777" w:rsidR="009A28D9" w:rsidRDefault="009A28D9" w:rsidP="009309A2">
      <w:pPr>
        <w:pStyle w:val="a6"/>
        <w:rPr>
          <w:rtl/>
        </w:rPr>
      </w:pPr>
      <w:r>
        <w:rPr>
          <w:noProof/>
        </w:rPr>
        <w:drawing>
          <wp:inline distT="0" distB="0" distL="0" distR="0" wp14:anchorId="70FC1690" wp14:editId="11FA76F2">
            <wp:extent cx="4269179" cy="2499756"/>
            <wp:effectExtent l="0" t="0" r="17145" b="15240"/>
            <wp:docPr id="9" name="תרשים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20F4FB3" w14:textId="77777777" w:rsidR="009A28D9" w:rsidRDefault="009A28D9" w:rsidP="009309A2">
      <w:pPr>
        <w:pStyle w:val="a8"/>
        <w:rPr>
          <w:rtl/>
        </w:rPr>
      </w:pPr>
      <w:r w:rsidRPr="00186202">
        <w:rPr>
          <w:rtl/>
          <w:lang w:eastAsia="he-IL"/>
        </w:rPr>
        <w:t xml:space="preserve">על פי </w:t>
      </w:r>
      <w:r w:rsidRPr="006F3EBB">
        <w:rPr>
          <w:rFonts w:hint="cs"/>
          <w:rtl/>
          <w:lang w:eastAsia="he-IL"/>
        </w:rPr>
        <w:t>נתוני משרד הב</w:t>
      </w:r>
      <w:r>
        <w:rPr>
          <w:rFonts w:hint="cs"/>
          <w:rtl/>
          <w:lang w:eastAsia="he-IL"/>
        </w:rPr>
        <w:t>ינוי</w:t>
      </w:r>
      <w:r w:rsidRPr="006F3EBB">
        <w:rPr>
          <w:rtl/>
          <w:lang w:eastAsia="he-IL"/>
        </w:rPr>
        <w:t>,</w:t>
      </w:r>
      <w:r w:rsidRPr="00186202">
        <w:rPr>
          <w:rtl/>
          <w:lang w:eastAsia="he-IL"/>
        </w:rPr>
        <w:t xml:space="preserve"> בעיבוד משרד מבקר המדינה.</w:t>
      </w:r>
    </w:p>
    <w:p w14:paraId="39980180" w14:textId="77777777" w:rsidR="009309A2" w:rsidRDefault="009309A2">
      <w:pPr>
        <w:bidi w:val="0"/>
        <w:spacing w:after="200" w:line="276" w:lineRule="auto"/>
        <w:rPr>
          <w:rFonts w:ascii="Arial" w:eastAsia="Times New Roman" w:hAnsi="Arial" w:cs="Tahoma"/>
          <w:color w:val="000000"/>
          <w:sz w:val="24"/>
          <w:szCs w:val="20"/>
          <w:rtl/>
          <w:lang w:eastAsia="he-IL"/>
        </w:rPr>
      </w:pPr>
      <w:r>
        <w:rPr>
          <w:rFonts w:ascii="Arial" w:hAnsi="Arial"/>
          <w:color w:val="000000"/>
          <w:sz w:val="24"/>
          <w:rtl/>
        </w:rPr>
        <w:br w:type="page"/>
      </w:r>
    </w:p>
    <w:p w14:paraId="18779953" w14:textId="15069BE9" w:rsidR="009A28D9" w:rsidRDefault="009A28D9" w:rsidP="009309A2">
      <w:pPr>
        <w:pStyle w:val="aa"/>
        <w:rPr>
          <w:rtl/>
        </w:rPr>
      </w:pPr>
      <w:r>
        <w:rPr>
          <w:rFonts w:ascii="Arial" w:hAnsi="Arial" w:hint="cs"/>
          <w:color w:val="000000"/>
          <w:sz w:val="24"/>
          <w:rtl/>
        </w:rPr>
        <w:lastRenderedPageBreak/>
        <w:t>מהתרשים עולה</w:t>
      </w:r>
      <w:r w:rsidRPr="00D74889">
        <w:rPr>
          <w:rFonts w:hint="cs"/>
          <w:rtl/>
        </w:rPr>
        <w:t xml:space="preserve"> </w:t>
      </w:r>
      <w:r w:rsidRPr="00D74889">
        <w:rPr>
          <w:rtl/>
        </w:rPr>
        <w:t>כי</w:t>
      </w:r>
      <w:r>
        <w:rPr>
          <w:rFonts w:hint="cs"/>
          <w:rtl/>
        </w:rPr>
        <w:t xml:space="preserve"> הליך התכנון של </w:t>
      </w:r>
      <w:r w:rsidRPr="00D74889">
        <w:rPr>
          <w:rFonts w:ascii="Arial" w:hAnsi="Arial" w:hint="cs"/>
          <w:color w:val="000000"/>
          <w:sz w:val="24"/>
          <w:rtl/>
        </w:rPr>
        <w:t>כ-11%</w:t>
      </w:r>
      <w:r w:rsidRPr="00D74889">
        <w:rPr>
          <w:rFonts w:hint="cs"/>
          <w:rtl/>
        </w:rPr>
        <w:t xml:space="preserve"> </w:t>
      </w:r>
      <w:r>
        <w:rPr>
          <w:rFonts w:ascii="Arial" w:hAnsi="Arial" w:hint="cs"/>
          <w:color w:val="000000"/>
          <w:sz w:val="24"/>
          <w:rtl/>
        </w:rPr>
        <w:t>(</w:t>
      </w:r>
      <w:r w:rsidRPr="00D74889">
        <w:rPr>
          <w:rFonts w:ascii="Arial" w:hAnsi="Arial" w:hint="cs"/>
          <w:color w:val="000000"/>
          <w:sz w:val="24"/>
          <w:rtl/>
        </w:rPr>
        <w:t xml:space="preserve">87 </w:t>
      </w:r>
      <w:r w:rsidRPr="00D74889">
        <w:rPr>
          <w:rFonts w:ascii="Arial" w:hAnsi="Arial" w:hint="eastAsia"/>
          <w:color w:val="000000"/>
          <w:sz w:val="24"/>
          <w:rtl/>
        </w:rPr>
        <w:t>מ</w:t>
      </w:r>
      <w:r>
        <w:rPr>
          <w:rFonts w:ascii="Arial" w:hAnsi="Arial" w:hint="cs"/>
          <w:color w:val="000000"/>
          <w:sz w:val="24"/>
          <w:rtl/>
        </w:rPr>
        <w:t>בין</w:t>
      </w:r>
      <w:r w:rsidRPr="00D74889">
        <w:rPr>
          <w:rFonts w:ascii="Arial" w:hAnsi="Arial"/>
          <w:color w:val="000000"/>
          <w:sz w:val="24"/>
          <w:rtl/>
        </w:rPr>
        <w:t xml:space="preserve"> </w:t>
      </w:r>
      <w:r w:rsidRPr="00D74889">
        <w:rPr>
          <w:rFonts w:ascii="Arial" w:hAnsi="Arial" w:hint="cs"/>
          <w:color w:val="000000"/>
          <w:sz w:val="24"/>
          <w:rtl/>
        </w:rPr>
        <w:t>789</w:t>
      </w:r>
      <w:r>
        <w:rPr>
          <w:rFonts w:ascii="Arial" w:hAnsi="Arial" w:hint="cs"/>
          <w:color w:val="000000"/>
          <w:sz w:val="24"/>
          <w:rtl/>
        </w:rPr>
        <w:t>) מ</w:t>
      </w:r>
      <w:r w:rsidRPr="00D74889">
        <w:rPr>
          <w:rFonts w:hint="cs"/>
          <w:rtl/>
        </w:rPr>
        <w:t>עבודות</w:t>
      </w:r>
      <w:r>
        <w:rPr>
          <w:rFonts w:hint="cs"/>
          <w:rtl/>
        </w:rPr>
        <w:t xml:space="preserve"> </w:t>
      </w:r>
      <w:r w:rsidRPr="00D74889">
        <w:rPr>
          <w:rFonts w:hint="cs"/>
          <w:rtl/>
        </w:rPr>
        <w:t>התכנון</w:t>
      </w:r>
      <w:r w:rsidRPr="00D74889">
        <w:rPr>
          <w:rFonts w:ascii="Arial" w:hAnsi="Arial" w:hint="cs"/>
          <w:color w:val="000000"/>
          <w:sz w:val="24"/>
          <w:rtl/>
        </w:rPr>
        <w:t xml:space="preserve"> </w:t>
      </w:r>
      <w:r>
        <w:rPr>
          <w:rFonts w:hint="cs"/>
          <w:rtl/>
        </w:rPr>
        <w:t>נמשך</w:t>
      </w:r>
      <w:r w:rsidRPr="007F5353">
        <w:rPr>
          <w:rFonts w:hint="cs"/>
          <w:rtl/>
        </w:rPr>
        <w:t xml:space="preserve"> כבר </w:t>
      </w:r>
      <w:r>
        <w:rPr>
          <w:rFonts w:hint="cs"/>
          <w:rtl/>
        </w:rPr>
        <w:t>יותר</w:t>
      </w:r>
      <w:r w:rsidRPr="007F5353">
        <w:rPr>
          <w:rtl/>
        </w:rPr>
        <w:t xml:space="preserve"> </w:t>
      </w:r>
      <w:r>
        <w:rPr>
          <w:rFonts w:hint="cs"/>
          <w:rtl/>
        </w:rPr>
        <w:t>מ</w:t>
      </w:r>
      <w:r w:rsidRPr="007F5353">
        <w:rPr>
          <w:rtl/>
        </w:rPr>
        <w:t>שלוש</w:t>
      </w:r>
      <w:r w:rsidRPr="007F5353">
        <w:rPr>
          <w:rFonts w:hint="cs"/>
          <w:rtl/>
        </w:rPr>
        <w:t xml:space="preserve"> </w:t>
      </w:r>
      <w:r w:rsidRPr="007F5353">
        <w:rPr>
          <w:rtl/>
        </w:rPr>
        <w:t>שנים</w:t>
      </w:r>
      <w:r w:rsidRPr="00D74889">
        <w:rPr>
          <w:rFonts w:ascii="Arial" w:hAnsi="Arial" w:hint="cs"/>
          <w:color w:val="000000"/>
          <w:sz w:val="24"/>
          <w:rtl/>
        </w:rPr>
        <w:t xml:space="preserve">. </w:t>
      </w:r>
    </w:p>
    <w:p w14:paraId="57439670" w14:textId="77777777" w:rsidR="009A28D9" w:rsidRPr="00497DD3" w:rsidRDefault="009A28D9" w:rsidP="009309A2">
      <w:pPr>
        <w:pStyle w:val="af0"/>
        <w:rPr>
          <w:rtl/>
        </w:rPr>
      </w:pPr>
      <w:r w:rsidRPr="00497DD3">
        <w:rPr>
          <w:rFonts w:hint="eastAsia"/>
          <w:rtl/>
        </w:rPr>
        <w:t>להלן</w:t>
      </w:r>
      <w:r w:rsidRPr="00497DD3">
        <w:rPr>
          <w:rtl/>
        </w:rPr>
        <w:t xml:space="preserve"> בתרשים </w:t>
      </w:r>
      <w:r w:rsidRPr="00497DD3">
        <w:rPr>
          <w:rFonts w:hint="eastAsia"/>
          <w:rtl/>
        </w:rPr>
        <w:t>התפלגות</w:t>
      </w:r>
      <w:r w:rsidRPr="00497DD3">
        <w:rPr>
          <w:rtl/>
        </w:rPr>
        <w:t xml:space="preserve"> </w:t>
      </w:r>
      <w:r w:rsidRPr="00497DD3">
        <w:rPr>
          <w:rFonts w:hint="eastAsia"/>
          <w:rtl/>
        </w:rPr>
        <w:t>התוכניות</w:t>
      </w:r>
      <w:r w:rsidRPr="00497DD3">
        <w:rPr>
          <w:rtl/>
        </w:rPr>
        <w:t xml:space="preserve"> </w:t>
      </w:r>
      <w:r w:rsidRPr="00497DD3">
        <w:rPr>
          <w:rFonts w:hint="eastAsia"/>
          <w:rtl/>
        </w:rPr>
        <w:t>שהעבודה</w:t>
      </w:r>
      <w:r w:rsidRPr="00497DD3">
        <w:rPr>
          <w:rtl/>
        </w:rPr>
        <w:t xml:space="preserve"> </w:t>
      </w:r>
      <w:r w:rsidRPr="00497DD3">
        <w:rPr>
          <w:rFonts w:hint="eastAsia"/>
          <w:rtl/>
        </w:rPr>
        <w:t>עליהן</w:t>
      </w:r>
      <w:r w:rsidRPr="00497DD3">
        <w:rPr>
          <w:rtl/>
        </w:rPr>
        <w:t xml:space="preserve"> נמשכת </w:t>
      </w:r>
      <w:r w:rsidRPr="00497DD3">
        <w:rPr>
          <w:rFonts w:hint="cs"/>
          <w:rtl/>
        </w:rPr>
        <w:t>יותר</w:t>
      </w:r>
      <w:r w:rsidRPr="00497DD3">
        <w:rPr>
          <w:rtl/>
        </w:rPr>
        <w:t xml:space="preserve"> </w:t>
      </w:r>
      <w:r w:rsidRPr="00497DD3">
        <w:rPr>
          <w:rFonts w:hint="cs"/>
          <w:rtl/>
        </w:rPr>
        <w:t>מ</w:t>
      </w:r>
      <w:r w:rsidRPr="00497DD3">
        <w:rPr>
          <w:rtl/>
        </w:rPr>
        <w:t>שלוש שנים</w:t>
      </w:r>
      <w:r w:rsidRPr="00497DD3">
        <w:rPr>
          <w:rFonts w:hint="cs"/>
          <w:rtl/>
        </w:rPr>
        <w:t>,</w:t>
      </w:r>
      <w:r w:rsidRPr="00497DD3">
        <w:rPr>
          <w:rtl/>
        </w:rPr>
        <w:t xml:space="preserve"> על פי שלבי התכנון.</w:t>
      </w:r>
    </w:p>
    <w:p w14:paraId="2ED3CBD0" w14:textId="77777777" w:rsidR="009A28D9" w:rsidRPr="009309A2" w:rsidRDefault="009A28D9" w:rsidP="009309A2">
      <w:pPr>
        <w:pStyle w:val="a6"/>
        <w:rPr>
          <w:b/>
          <w:bCs/>
          <w:rtl/>
        </w:rPr>
      </w:pPr>
      <w:r>
        <w:rPr>
          <w:rFonts w:hint="cs"/>
          <w:rtl/>
        </w:rPr>
        <w:t xml:space="preserve"> </w:t>
      </w:r>
      <w:r w:rsidRPr="006F6865">
        <w:rPr>
          <w:rtl/>
        </w:rPr>
        <w:t xml:space="preserve">תרשים </w:t>
      </w:r>
      <w:r>
        <w:rPr>
          <w:rFonts w:hint="cs"/>
          <w:rtl/>
        </w:rPr>
        <w:t>11</w:t>
      </w:r>
      <w:r w:rsidRPr="006F6865">
        <w:rPr>
          <w:rtl/>
        </w:rPr>
        <w:t xml:space="preserve">: </w:t>
      </w:r>
      <w:r w:rsidRPr="009309A2">
        <w:rPr>
          <w:rFonts w:hint="eastAsia"/>
          <w:b/>
          <w:bCs/>
          <w:rtl/>
        </w:rPr>
        <w:t>התפלגות</w:t>
      </w:r>
      <w:r w:rsidRPr="009309A2">
        <w:rPr>
          <w:b/>
          <w:bCs/>
          <w:rtl/>
        </w:rPr>
        <w:t xml:space="preserve"> </w:t>
      </w:r>
      <w:r w:rsidRPr="009309A2">
        <w:rPr>
          <w:rFonts w:hint="eastAsia"/>
          <w:b/>
          <w:bCs/>
          <w:rtl/>
        </w:rPr>
        <w:t>עבודות</w:t>
      </w:r>
      <w:r w:rsidRPr="009309A2">
        <w:rPr>
          <w:b/>
          <w:bCs/>
          <w:rtl/>
        </w:rPr>
        <w:t xml:space="preserve"> </w:t>
      </w:r>
      <w:r w:rsidRPr="009309A2">
        <w:rPr>
          <w:rFonts w:hint="eastAsia"/>
          <w:b/>
          <w:bCs/>
          <w:rtl/>
        </w:rPr>
        <w:t>התכנון</w:t>
      </w:r>
      <w:r w:rsidRPr="009309A2">
        <w:rPr>
          <w:rFonts w:hint="cs"/>
          <w:b/>
          <w:bCs/>
          <w:rtl/>
        </w:rPr>
        <w:t xml:space="preserve"> שנמשכות יותר משלוש שנים,</w:t>
      </w:r>
      <w:r w:rsidRPr="009309A2">
        <w:rPr>
          <w:b/>
          <w:bCs/>
          <w:rtl/>
        </w:rPr>
        <w:t xml:space="preserve"> </w:t>
      </w:r>
      <w:r w:rsidRPr="009309A2">
        <w:rPr>
          <w:rFonts w:hint="eastAsia"/>
          <w:b/>
          <w:bCs/>
          <w:rtl/>
        </w:rPr>
        <w:t>לפי</w:t>
      </w:r>
      <w:r w:rsidRPr="009309A2">
        <w:rPr>
          <w:b/>
          <w:bCs/>
          <w:rtl/>
        </w:rPr>
        <w:t xml:space="preserve"> </w:t>
      </w:r>
      <w:r w:rsidRPr="009309A2">
        <w:rPr>
          <w:rFonts w:hint="eastAsia"/>
          <w:b/>
          <w:bCs/>
          <w:rtl/>
        </w:rPr>
        <w:t>שלבי</w:t>
      </w:r>
      <w:r w:rsidRPr="009309A2">
        <w:rPr>
          <w:b/>
          <w:bCs/>
          <w:rtl/>
        </w:rPr>
        <w:t xml:space="preserve"> </w:t>
      </w:r>
      <w:r w:rsidRPr="009309A2">
        <w:rPr>
          <w:rFonts w:hint="eastAsia"/>
          <w:b/>
          <w:bCs/>
          <w:rtl/>
        </w:rPr>
        <w:t>התכנון</w:t>
      </w:r>
      <w:r w:rsidRPr="009309A2">
        <w:rPr>
          <w:b/>
          <w:bCs/>
          <w:rtl/>
        </w:rPr>
        <w:t xml:space="preserve"> </w:t>
      </w:r>
      <w:r w:rsidRPr="009309A2">
        <w:rPr>
          <w:rFonts w:hint="eastAsia"/>
          <w:b/>
          <w:bCs/>
          <w:rtl/>
        </w:rPr>
        <w:t>שמסר</w:t>
      </w:r>
      <w:r w:rsidRPr="009309A2">
        <w:rPr>
          <w:b/>
          <w:bCs/>
          <w:rtl/>
        </w:rPr>
        <w:t xml:space="preserve"> </w:t>
      </w:r>
      <w:r w:rsidRPr="009309A2">
        <w:rPr>
          <w:rFonts w:hint="eastAsia"/>
          <w:b/>
          <w:bCs/>
          <w:rtl/>
        </w:rPr>
        <w:t>משרד</w:t>
      </w:r>
      <w:r w:rsidRPr="009309A2">
        <w:rPr>
          <w:b/>
          <w:bCs/>
          <w:rtl/>
        </w:rPr>
        <w:t xml:space="preserve"> </w:t>
      </w:r>
      <w:r w:rsidRPr="009309A2">
        <w:rPr>
          <w:rFonts w:hint="eastAsia"/>
          <w:b/>
          <w:bCs/>
          <w:rtl/>
        </w:rPr>
        <w:t>הבינוי</w:t>
      </w:r>
      <w:r w:rsidRPr="009309A2">
        <w:rPr>
          <w:rFonts w:hint="cs"/>
          <w:b/>
          <w:bCs/>
          <w:rtl/>
        </w:rPr>
        <w:t>,</w:t>
      </w:r>
      <w:r w:rsidRPr="009309A2">
        <w:rPr>
          <w:b/>
          <w:bCs/>
          <w:rtl/>
        </w:rPr>
        <w:t xml:space="preserve"> 2016 - 2018 </w:t>
      </w:r>
      <w:r w:rsidRPr="009309A2">
        <w:rPr>
          <w:rFonts w:hint="cs"/>
          <w:b/>
          <w:bCs/>
          <w:rtl/>
        </w:rPr>
        <w:t>(במספרים ובאחוזים)</w:t>
      </w:r>
    </w:p>
    <w:p w14:paraId="149D87A9" w14:textId="77777777" w:rsidR="009A28D9" w:rsidRDefault="009A28D9" w:rsidP="009309A2">
      <w:pPr>
        <w:pStyle w:val="a6"/>
        <w:rPr>
          <w:rtl/>
        </w:rPr>
      </w:pPr>
      <w:r>
        <w:rPr>
          <w:noProof/>
        </w:rPr>
        <w:drawing>
          <wp:inline distT="0" distB="0" distL="0" distR="0" wp14:anchorId="50B1D34B" wp14:editId="5103B29F">
            <wp:extent cx="4001984" cy="2511631"/>
            <wp:effectExtent l="0" t="0" r="17780" b="3175"/>
            <wp:docPr id="17" name="תרשים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A6A117E" w14:textId="10CE6688" w:rsidR="009A28D9" w:rsidRDefault="009A28D9" w:rsidP="009309A2">
      <w:pPr>
        <w:pStyle w:val="a8"/>
        <w:rPr>
          <w:rtl/>
        </w:rPr>
      </w:pPr>
      <w:r>
        <w:rPr>
          <w:rFonts w:hint="cs"/>
          <w:rtl/>
          <w:lang w:eastAsia="he-IL"/>
        </w:rPr>
        <w:t xml:space="preserve"> </w:t>
      </w:r>
      <w:r w:rsidRPr="00186202">
        <w:rPr>
          <w:rtl/>
          <w:lang w:eastAsia="he-IL"/>
        </w:rPr>
        <w:t xml:space="preserve">על פי </w:t>
      </w:r>
      <w:r w:rsidRPr="006F3EBB">
        <w:rPr>
          <w:rFonts w:hint="cs"/>
          <w:rtl/>
          <w:lang w:eastAsia="he-IL"/>
        </w:rPr>
        <w:t>נתוני משרד הב</w:t>
      </w:r>
      <w:r>
        <w:rPr>
          <w:rFonts w:hint="cs"/>
          <w:rtl/>
          <w:lang w:eastAsia="he-IL"/>
        </w:rPr>
        <w:t>ינוי</w:t>
      </w:r>
      <w:r w:rsidRPr="006F3EBB">
        <w:rPr>
          <w:rtl/>
          <w:lang w:eastAsia="he-IL"/>
        </w:rPr>
        <w:t>,</w:t>
      </w:r>
      <w:r w:rsidRPr="00186202">
        <w:rPr>
          <w:rtl/>
          <w:lang w:eastAsia="he-IL"/>
        </w:rPr>
        <w:t xml:space="preserve"> בעיבוד משרד מבקר המדינה.</w:t>
      </w:r>
    </w:p>
    <w:p w14:paraId="594039F5" w14:textId="77777777" w:rsidR="009309A2" w:rsidRDefault="009309A2" w:rsidP="009309A2">
      <w:pPr>
        <w:pStyle w:val="a8"/>
        <w:rPr>
          <w:rtl/>
        </w:rPr>
      </w:pPr>
    </w:p>
    <w:p w14:paraId="4B4F2696" w14:textId="77777777" w:rsidR="009A28D9" w:rsidRPr="009309A2" w:rsidRDefault="009A28D9" w:rsidP="009309A2">
      <w:pPr>
        <w:pStyle w:val="aa"/>
        <w:rPr>
          <w:rtl/>
        </w:rPr>
      </w:pPr>
      <w:r w:rsidRPr="009309A2">
        <w:rPr>
          <w:rtl/>
        </w:rPr>
        <w:t xml:space="preserve">מהתרשים עולה כי כ-76% </w:t>
      </w:r>
      <w:r w:rsidRPr="009309A2">
        <w:rPr>
          <w:rFonts w:hint="eastAsia"/>
          <w:rtl/>
        </w:rPr>
        <w:t>מאותן</w:t>
      </w:r>
      <w:r w:rsidRPr="009309A2">
        <w:rPr>
          <w:rtl/>
        </w:rPr>
        <w:t xml:space="preserve"> </w:t>
      </w:r>
      <w:r w:rsidRPr="009309A2">
        <w:rPr>
          <w:rFonts w:hint="eastAsia"/>
          <w:rtl/>
        </w:rPr>
        <w:t>תוכניות</w:t>
      </w:r>
      <w:r w:rsidRPr="009309A2">
        <w:rPr>
          <w:rtl/>
        </w:rPr>
        <w:t xml:space="preserve"> מצויות בשלבי "התנעה" או "טרום הכנה" - </w:t>
      </w:r>
      <w:r w:rsidRPr="009309A2">
        <w:rPr>
          <w:rFonts w:hint="cs"/>
          <w:rtl/>
        </w:rPr>
        <w:t xml:space="preserve">כלומר </w:t>
      </w:r>
      <w:r w:rsidRPr="009309A2">
        <w:rPr>
          <w:rFonts w:hint="eastAsia"/>
          <w:rtl/>
        </w:rPr>
        <w:t>ב</w:t>
      </w:r>
      <w:r w:rsidRPr="009309A2">
        <w:rPr>
          <w:rtl/>
        </w:rPr>
        <w:t xml:space="preserve">שלבים </w:t>
      </w:r>
      <w:r w:rsidRPr="009309A2">
        <w:rPr>
          <w:rFonts w:hint="cs"/>
          <w:rtl/>
        </w:rPr>
        <w:t xml:space="preserve">הראשונים </w:t>
      </w:r>
      <w:r w:rsidRPr="009309A2">
        <w:rPr>
          <w:rtl/>
        </w:rPr>
        <w:t>ש</w:t>
      </w:r>
      <w:r w:rsidRPr="009309A2">
        <w:rPr>
          <w:rFonts w:hint="eastAsia"/>
          <w:rtl/>
        </w:rPr>
        <w:t>ל</w:t>
      </w:r>
      <w:r w:rsidRPr="009309A2">
        <w:rPr>
          <w:rtl/>
        </w:rPr>
        <w:t xml:space="preserve"> </w:t>
      </w:r>
      <w:r w:rsidRPr="009309A2">
        <w:rPr>
          <w:rFonts w:hint="eastAsia"/>
          <w:rtl/>
        </w:rPr>
        <w:t>תהליך</w:t>
      </w:r>
      <w:r w:rsidRPr="009309A2">
        <w:rPr>
          <w:rtl/>
        </w:rPr>
        <w:t xml:space="preserve"> התכנון.</w:t>
      </w:r>
      <w:r w:rsidRPr="009309A2">
        <w:rPr>
          <w:rFonts w:hint="cs"/>
          <w:rtl/>
        </w:rPr>
        <w:t xml:space="preserve"> </w:t>
      </w:r>
    </w:p>
    <w:p w14:paraId="1E9FD3CE" w14:textId="77777777" w:rsidR="009A28D9" w:rsidRDefault="009A28D9" w:rsidP="00184789">
      <w:pPr>
        <w:pStyle w:val="af0"/>
        <w:rPr>
          <w:rtl/>
        </w:rPr>
      </w:pPr>
      <w:r>
        <w:rPr>
          <w:rFonts w:hint="cs"/>
          <w:rtl/>
        </w:rPr>
        <w:t xml:space="preserve">משרד הבינוי מסר בתגובתו כי הסיבה לכך שעבודות התכנון מצויות בהליך תכנון יותר משלוש שנים היא בעיקר היעדר כוח אדם, ביחס לכמות העבודה העצומה שנדרשה מהמשרד במסגרת ההתמודדות עם משבר הדיור והיעדים הגבוהים שקבעה הממשלה. עוד ציין כי המטלות המוטלות על אדריכלי המחוזות, שתפקידם לייצג את המשרד בוועדות התכנון השונות ובו זמנית לקדם תוכניות לאלפי יח"ד, באות על חשבון התקדמות בלוחות הזמנים של התנעת פרויקטים חדשים והוצאתם לדרך. </w:t>
      </w:r>
    </w:p>
    <w:p w14:paraId="6AC80D9E" w14:textId="77777777" w:rsidR="009A28D9" w:rsidRPr="00856187" w:rsidRDefault="009A28D9" w:rsidP="00184789">
      <w:pPr>
        <w:pStyle w:val="aa"/>
        <w:rPr>
          <w:rtl/>
        </w:rPr>
      </w:pPr>
      <w:r>
        <w:rPr>
          <w:rFonts w:hint="cs"/>
          <w:rtl/>
        </w:rPr>
        <w:t xml:space="preserve">נוכח החשיבות של קידום תוכניות של אלפי יח"ד, מומלץ כי משרד הבינוי יבחן את היקף המשימות של אדריכלי המחוזות כנגד כוח האדם הנדרש להן ואת הדרכים לייעול עבודתם. </w:t>
      </w:r>
    </w:p>
    <w:p w14:paraId="22A24CC9" w14:textId="77777777" w:rsidR="009A28D9" w:rsidRPr="00184789" w:rsidRDefault="009A28D9" w:rsidP="00184789">
      <w:pPr>
        <w:pStyle w:val="a0"/>
        <w:numPr>
          <w:ilvl w:val="0"/>
          <w:numId w:val="24"/>
        </w:numPr>
        <w:rPr>
          <w:rFonts w:ascii="Arial" w:eastAsia="Times New Roman" w:hAnsi="Arial"/>
          <w:color w:val="000000"/>
          <w:sz w:val="24"/>
          <w:rtl/>
        </w:rPr>
      </w:pPr>
      <w:r w:rsidRPr="00184789">
        <w:rPr>
          <w:rFonts w:ascii="Arial" w:eastAsia="Times New Roman" w:hAnsi="Arial" w:hint="cs"/>
          <w:color w:val="000000"/>
          <w:sz w:val="24"/>
          <w:rtl/>
        </w:rPr>
        <w:lastRenderedPageBreak/>
        <w:t>במסגרת הביקורת נעשתה בדיקה פרטנית</w:t>
      </w:r>
      <w:r w:rsidRPr="00F54413">
        <w:rPr>
          <w:rFonts w:ascii="Arial" w:eastAsia="Times New Roman" w:hAnsi="Arial" w:hint="cs"/>
          <w:color w:val="000000"/>
          <w:sz w:val="24"/>
          <w:rtl/>
        </w:rPr>
        <w:t xml:space="preserve"> של 26 עבודות תכנון שמשרד </w:t>
      </w:r>
      <w:r>
        <w:rPr>
          <w:rFonts w:ascii="Arial" w:eastAsia="Times New Roman" w:hAnsi="Arial" w:hint="cs"/>
          <w:color w:val="000000"/>
          <w:sz w:val="24"/>
          <w:rtl/>
        </w:rPr>
        <w:t xml:space="preserve">הבינוי </w:t>
      </w:r>
      <w:r w:rsidRPr="00F54413">
        <w:rPr>
          <w:rFonts w:ascii="Arial" w:eastAsia="Times New Roman" w:hAnsi="Arial" w:hint="cs"/>
          <w:color w:val="000000"/>
          <w:sz w:val="24"/>
          <w:rtl/>
        </w:rPr>
        <w:t>מסר בשנים 2015 - 2018 לחברות מתכננות ומתכננים לצורך פעולות התכנון.</w:t>
      </w:r>
      <w:r w:rsidRPr="00184789">
        <w:rPr>
          <w:rFonts w:ascii="Arial" w:eastAsia="Times New Roman" w:hAnsi="Arial" w:hint="cs"/>
          <w:color w:val="000000"/>
          <w:sz w:val="24"/>
          <w:rtl/>
        </w:rPr>
        <w:t xml:space="preserve"> </w:t>
      </w:r>
    </w:p>
    <w:p w14:paraId="0C722F2A" w14:textId="77777777" w:rsidR="009A28D9" w:rsidRPr="009F43D8" w:rsidRDefault="009A28D9" w:rsidP="00184789">
      <w:pPr>
        <w:pStyle w:val="aa"/>
        <w:rPr>
          <w:rtl/>
        </w:rPr>
      </w:pPr>
      <w:r w:rsidRPr="009F43D8">
        <w:rPr>
          <w:rFonts w:hint="cs"/>
          <w:rtl/>
        </w:rPr>
        <w:t xml:space="preserve">בבדיקה נמצא </w:t>
      </w:r>
      <w:r w:rsidRPr="009F43D8">
        <w:rPr>
          <w:rtl/>
        </w:rPr>
        <w:t xml:space="preserve">כי במערכת מעקב תכנון </w:t>
      </w:r>
      <w:r w:rsidRPr="009F43D8">
        <w:rPr>
          <w:rFonts w:hint="cs"/>
          <w:rtl/>
        </w:rPr>
        <w:t xml:space="preserve">של המשרד </w:t>
      </w:r>
      <w:r>
        <w:rPr>
          <w:rFonts w:hint="cs"/>
          <w:rtl/>
        </w:rPr>
        <w:t xml:space="preserve">מפורטים </w:t>
      </w:r>
      <w:r w:rsidRPr="009F43D8">
        <w:rPr>
          <w:rFonts w:hint="cs"/>
          <w:rtl/>
        </w:rPr>
        <w:t xml:space="preserve">אבני דרך </w:t>
      </w:r>
      <w:r>
        <w:rPr>
          <w:rFonts w:hint="cs"/>
          <w:rtl/>
        </w:rPr>
        <w:t>ו</w:t>
      </w:r>
      <w:r w:rsidRPr="009F43D8">
        <w:rPr>
          <w:rtl/>
        </w:rPr>
        <w:t>לוחות זמנים</w:t>
      </w:r>
      <w:r w:rsidRPr="009F43D8">
        <w:rPr>
          <w:rFonts w:hint="cs"/>
          <w:rtl/>
        </w:rPr>
        <w:t xml:space="preserve"> </w:t>
      </w:r>
      <w:r>
        <w:rPr>
          <w:rtl/>
        </w:rPr>
        <w:t>לשלבי</w:t>
      </w:r>
      <w:r>
        <w:rPr>
          <w:rFonts w:hint="cs"/>
          <w:rtl/>
        </w:rPr>
        <w:t xml:space="preserve"> </w:t>
      </w:r>
      <w:r>
        <w:rPr>
          <w:rtl/>
        </w:rPr>
        <w:t>תכנון</w:t>
      </w:r>
      <w:r>
        <w:rPr>
          <w:rFonts w:hint="cs"/>
          <w:rtl/>
        </w:rPr>
        <w:t xml:space="preserve"> </w:t>
      </w:r>
      <w:r w:rsidRPr="009F43D8">
        <w:rPr>
          <w:rtl/>
        </w:rPr>
        <w:t>אחדים</w:t>
      </w:r>
      <w:r w:rsidRPr="009F43D8">
        <w:rPr>
          <w:rFonts w:hint="cs"/>
          <w:rtl/>
        </w:rPr>
        <w:t>,</w:t>
      </w:r>
      <w:r>
        <w:rPr>
          <w:rFonts w:hint="cs"/>
          <w:rtl/>
        </w:rPr>
        <w:t xml:space="preserve"> </w:t>
      </w:r>
      <w:r>
        <w:rPr>
          <w:rtl/>
        </w:rPr>
        <w:t>כגון</w:t>
      </w:r>
      <w:r>
        <w:rPr>
          <w:rFonts w:hint="cs"/>
          <w:rtl/>
        </w:rPr>
        <w:t xml:space="preserve"> </w:t>
      </w:r>
      <w:r>
        <w:rPr>
          <w:rtl/>
        </w:rPr>
        <w:t>התנעת</w:t>
      </w:r>
      <w:r>
        <w:rPr>
          <w:rFonts w:hint="cs"/>
          <w:rtl/>
        </w:rPr>
        <w:t xml:space="preserve"> </w:t>
      </w:r>
      <w:r>
        <w:rPr>
          <w:rtl/>
        </w:rPr>
        <w:t>התכנון,</w:t>
      </w:r>
      <w:r>
        <w:rPr>
          <w:rFonts w:hint="cs"/>
          <w:rtl/>
        </w:rPr>
        <w:t xml:space="preserve"> </w:t>
      </w:r>
      <w:r w:rsidRPr="009F43D8">
        <w:rPr>
          <w:rtl/>
        </w:rPr>
        <w:t>עמידת הת</w:t>
      </w:r>
      <w:r w:rsidRPr="009F43D8">
        <w:rPr>
          <w:rFonts w:hint="cs"/>
          <w:rtl/>
        </w:rPr>
        <w:t>ו</w:t>
      </w:r>
      <w:r w:rsidRPr="009F43D8">
        <w:rPr>
          <w:rtl/>
        </w:rPr>
        <w:t xml:space="preserve">כנית בתנאי סף לקליטה בוועדה סטטוטורית, החלטה להפקדה, פרסום הפקדה, החלטה למתן תוקף, פרסום מתן תוקף </w:t>
      </w:r>
      <w:r w:rsidRPr="009F43D8">
        <w:rPr>
          <w:rFonts w:hint="cs"/>
          <w:rtl/>
        </w:rPr>
        <w:t>ו</w:t>
      </w:r>
      <w:r w:rsidRPr="009F43D8">
        <w:rPr>
          <w:rtl/>
        </w:rPr>
        <w:t>בינוי מפורט לביצוע</w:t>
      </w:r>
      <w:r>
        <w:rPr>
          <w:rFonts w:hint="cs"/>
          <w:rtl/>
        </w:rPr>
        <w:t>;</w:t>
      </w:r>
      <w:r w:rsidRPr="009F43D8">
        <w:rPr>
          <w:rtl/>
        </w:rPr>
        <w:t xml:space="preserve"> </w:t>
      </w:r>
      <w:r w:rsidRPr="009F43D8">
        <w:rPr>
          <w:rFonts w:hint="cs"/>
          <w:rtl/>
        </w:rPr>
        <w:t xml:space="preserve">אולם </w:t>
      </w:r>
      <w:r w:rsidRPr="009F43D8">
        <w:rPr>
          <w:rtl/>
        </w:rPr>
        <w:t>חסר</w:t>
      </w:r>
      <w:r w:rsidRPr="009F43D8">
        <w:rPr>
          <w:rFonts w:hint="cs"/>
          <w:rtl/>
        </w:rPr>
        <w:t xml:space="preserve"> </w:t>
      </w:r>
      <w:r>
        <w:rPr>
          <w:rFonts w:hint="cs"/>
          <w:rtl/>
        </w:rPr>
        <w:t xml:space="preserve">בה </w:t>
      </w:r>
      <w:r w:rsidRPr="009F43D8">
        <w:rPr>
          <w:rFonts w:hint="cs"/>
          <w:rtl/>
        </w:rPr>
        <w:t xml:space="preserve">מעקב אחר אבני הדרך </w:t>
      </w:r>
      <w:r w:rsidRPr="009F43D8">
        <w:rPr>
          <w:rtl/>
        </w:rPr>
        <w:t xml:space="preserve">לתהליכים הכלולים בשלב </w:t>
      </w:r>
      <w:r w:rsidRPr="009F43D8">
        <w:rPr>
          <w:rFonts w:hint="eastAsia"/>
          <w:rtl/>
        </w:rPr>
        <w:t>הכנת</w:t>
      </w:r>
      <w:r w:rsidRPr="009F43D8">
        <w:rPr>
          <w:rtl/>
        </w:rPr>
        <w:t xml:space="preserve"> </w:t>
      </w:r>
      <w:r w:rsidRPr="009F43D8">
        <w:rPr>
          <w:rFonts w:hint="eastAsia"/>
          <w:rtl/>
        </w:rPr>
        <w:t>התוכנית</w:t>
      </w:r>
      <w:r w:rsidRPr="009F43D8">
        <w:rPr>
          <w:rtl/>
        </w:rPr>
        <w:t xml:space="preserve"> כ</w:t>
      </w:r>
      <w:r>
        <w:rPr>
          <w:rFonts w:hint="cs"/>
          <w:rtl/>
        </w:rPr>
        <w:t>מ</w:t>
      </w:r>
      <w:r w:rsidRPr="009F43D8">
        <w:rPr>
          <w:rtl/>
        </w:rPr>
        <w:t xml:space="preserve">תואר לעיל. </w:t>
      </w:r>
    </w:p>
    <w:p w14:paraId="68B52D18" w14:textId="77777777" w:rsidR="009A28D9" w:rsidRDefault="009A28D9" w:rsidP="00184789">
      <w:pPr>
        <w:pStyle w:val="af0"/>
        <w:rPr>
          <w:rtl/>
        </w:rPr>
      </w:pPr>
      <w:r w:rsidRPr="00816CC8">
        <w:rPr>
          <w:rFonts w:hint="cs"/>
          <w:rtl/>
        </w:rPr>
        <w:t xml:space="preserve">משרד הבינוי </w:t>
      </w:r>
      <w:r>
        <w:rPr>
          <w:rFonts w:hint="cs"/>
          <w:rtl/>
        </w:rPr>
        <w:t xml:space="preserve">מסר בתגובתו כי הוא מקבל את ההערה על כך שבתהליך הליווי נדרש לבצע בקרה גם על אבני הדרך שמההתנעה ועד הדיון להפקדה, וכי ישקול שילובן של חלק מאבני הדרך הללו במערכת מעקב תכנון, ובלבד שלא יעמיסו ויכבידו על המעקב הקיים. </w:t>
      </w:r>
    </w:p>
    <w:p w14:paraId="6D80D31C" w14:textId="77777777" w:rsidR="009A28D9" w:rsidRDefault="009A28D9" w:rsidP="00184789">
      <w:pPr>
        <w:pStyle w:val="af0"/>
        <w:rPr>
          <w:rtl/>
        </w:rPr>
      </w:pPr>
      <w:r w:rsidRPr="00A528C8">
        <w:rPr>
          <w:rFonts w:hint="cs"/>
          <w:rtl/>
        </w:rPr>
        <w:t xml:space="preserve">עוד </w:t>
      </w:r>
      <w:r>
        <w:rPr>
          <w:rFonts w:hint="cs"/>
          <w:rtl/>
        </w:rPr>
        <w:t>מסר</w:t>
      </w:r>
      <w:r w:rsidRPr="00A528C8">
        <w:rPr>
          <w:rFonts w:hint="cs"/>
          <w:rtl/>
        </w:rPr>
        <w:t xml:space="preserve"> המשרד </w:t>
      </w:r>
      <w:r>
        <w:rPr>
          <w:rFonts w:hint="cs"/>
          <w:rtl/>
        </w:rPr>
        <w:t xml:space="preserve">בתגובתו </w:t>
      </w:r>
      <w:r w:rsidRPr="00A528C8">
        <w:rPr>
          <w:rFonts w:hint="cs"/>
          <w:rtl/>
        </w:rPr>
        <w:t xml:space="preserve">כי </w:t>
      </w:r>
      <w:r w:rsidRPr="00A528C8">
        <w:rPr>
          <w:rtl/>
        </w:rPr>
        <w:t>אחד הכשלים החמורים, לטעמו,</w:t>
      </w:r>
      <w:r w:rsidRPr="00A528C8">
        <w:rPr>
          <w:rFonts w:hint="cs"/>
          <w:rtl/>
        </w:rPr>
        <w:t xml:space="preserve"> </w:t>
      </w:r>
      <w:r>
        <w:rPr>
          <w:rFonts w:hint="cs"/>
          <w:rtl/>
        </w:rPr>
        <w:t>לגבי</w:t>
      </w:r>
      <w:r w:rsidRPr="00A528C8">
        <w:rPr>
          <w:rtl/>
        </w:rPr>
        <w:t xml:space="preserve"> סרבול</w:t>
      </w:r>
      <w:r>
        <w:rPr>
          <w:rFonts w:hint="cs"/>
          <w:rtl/>
        </w:rPr>
        <w:t>ם</w:t>
      </w:r>
      <w:r w:rsidRPr="00A528C8">
        <w:rPr>
          <w:rtl/>
        </w:rPr>
        <w:t xml:space="preserve"> והימשכות</w:t>
      </w:r>
      <w:r>
        <w:rPr>
          <w:rFonts w:hint="cs"/>
          <w:rtl/>
        </w:rPr>
        <w:t>ם של</w:t>
      </w:r>
      <w:r w:rsidRPr="00A528C8">
        <w:rPr>
          <w:rtl/>
        </w:rPr>
        <w:t xml:space="preserve"> ההליכים הנדרשים להשלמת התקשרות עם מתכנן</w:t>
      </w:r>
      <w:r>
        <w:rPr>
          <w:rFonts w:hint="cs"/>
          <w:rtl/>
        </w:rPr>
        <w:t xml:space="preserve"> הוא שההוראות הקבועות בתקנות חובת המכרזים בנוגע להתקשרויות, ובפרט התקשרויות המשך, </w:t>
      </w:r>
      <w:r w:rsidRPr="00A528C8">
        <w:rPr>
          <w:rtl/>
        </w:rPr>
        <w:t>אינן מתאימות</w:t>
      </w:r>
      <w:r w:rsidRPr="00A528C8">
        <w:rPr>
          <w:rFonts w:hint="cs"/>
          <w:rtl/>
        </w:rPr>
        <w:t xml:space="preserve"> </w:t>
      </w:r>
      <w:r>
        <w:rPr>
          <w:rtl/>
        </w:rPr>
        <w:t>להתקשרויות עם מתכננים</w:t>
      </w:r>
      <w:r>
        <w:rPr>
          <w:rFonts w:hint="cs"/>
          <w:rtl/>
        </w:rPr>
        <w:t>, שכן הליכי תכנון מעצם טיבם מתמשכים שנים רבות</w:t>
      </w:r>
      <w:r w:rsidRPr="00A528C8">
        <w:rPr>
          <w:rFonts w:hint="cs"/>
          <w:rtl/>
        </w:rPr>
        <w:t xml:space="preserve">. </w:t>
      </w:r>
      <w:r>
        <w:rPr>
          <w:rFonts w:hint="cs"/>
          <w:rtl/>
        </w:rPr>
        <w:t xml:space="preserve">יוצא שכמעט בכל התקשרות בדרך של בחירה מהמאגר נדרש המשרד להליך נוסף של אישור ההתקשרות בוועדת פטור משרדית. כמו כן ברוב התקשרויות ההמשך עם מתכננים הוא נדרש לקבל את אישור ועדת הפטור במשרד האוצר, ולדעתו אין כל הצדקה לקיום הליכים אלה. </w:t>
      </w:r>
      <w:r w:rsidRPr="00A528C8">
        <w:rPr>
          <w:rFonts w:hint="cs"/>
          <w:rtl/>
        </w:rPr>
        <w:t>המשרד ציין כי פנה</w:t>
      </w:r>
      <w:r w:rsidRPr="00A528C8">
        <w:rPr>
          <w:rtl/>
        </w:rPr>
        <w:t xml:space="preserve"> </w:t>
      </w:r>
      <w:r w:rsidRPr="00A528C8">
        <w:rPr>
          <w:rFonts w:hint="cs"/>
          <w:rtl/>
        </w:rPr>
        <w:t xml:space="preserve">בעבר </w:t>
      </w:r>
      <w:r w:rsidRPr="00A528C8">
        <w:rPr>
          <w:rtl/>
        </w:rPr>
        <w:t>למשרד</w:t>
      </w:r>
      <w:r w:rsidRPr="00A528C8">
        <w:rPr>
          <w:rFonts w:hint="cs"/>
          <w:rtl/>
        </w:rPr>
        <w:t xml:space="preserve"> האוצר </w:t>
      </w:r>
      <w:r w:rsidRPr="00A528C8">
        <w:rPr>
          <w:rtl/>
        </w:rPr>
        <w:t>בהצעה לשינויים מתאימים בתקנות</w:t>
      </w:r>
      <w:r>
        <w:rPr>
          <w:rFonts w:hint="cs"/>
          <w:rtl/>
        </w:rPr>
        <w:t>,</w:t>
      </w:r>
      <w:r w:rsidRPr="00A528C8">
        <w:rPr>
          <w:rtl/>
        </w:rPr>
        <w:t xml:space="preserve"> לש</w:t>
      </w:r>
      <w:r w:rsidRPr="00A528C8">
        <w:rPr>
          <w:rFonts w:hint="cs"/>
          <w:rtl/>
        </w:rPr>
        <w:t>י</w:t>
      </w:r>
      <w:r w:rsidRPr="00A528C8">
        <w:rPr>
          <w:rtl/>
        </w:rPr>
        <w:t>פ</w:t>
      </w:r>
      <w:r w:rsidRPr="00A528C8">
        <w:rPr>
          <w:rFonts w:hint="cs"/>
          <w:rtl/>
        </w:rPr>
        <w:t>ו</w:t>
      </w:r>
      <w:r w:rsidRPr="00A528C8">
        <w:rPr>
          <w:rtl/>
        </w:rPr>
        <w:t>ר וייע</w:t>
      </w:r>
      <w:r w:rsidRPr="00A528C8">
        <w:rPr>
          <w:rFonts w:hint="cs"/>
          <w:rtl/>
        </w:rPr>
        <w:t>ו</w:t>
      </w:r>
      <w:r w:rsidRPr="00A528C8">
        <w:rPr>
          <w:rtl/>
        </w:rPr>
        <w:t xml:space="preserve">ל הליכי העבודה בתחום </w:t>
      </w:r>
      <w:r w:rsidRPr="00A528C8">
        <w:rPr>
          <w:rFonts w:hint="cs"/>
          <w:rtl/>
        </w:rPr>
        <w:t>ה</w:t>
      </w:r>
      <w:r w:rsidRPr="00A528C8">
        <w:rPr>
          <w:rtl/>
        </w:rPr>
        <w:t>התקשרויות</w:t>
      </w:r>
      <w:r w:rsidRPr="00A528C8">
        <w:rPr>
          <w:rFonts w:hint="cs"/>
          <w:rtl/>
        </w:rPr>
        <w:t>, אולם הצע</w:t>
      </w:r>
      <w:r>
        <w:rPr>
          <w:rFonts w:hint="cs"/>
          <w:rtl/>
        </w:rPr>
        <w:t xml:space="preserve">תו </w:t>
      </w:r>
      <w:r w:rsidRPr="00A528C8">
        <w:rPr>
          <w:rFonts w:hint="cs"/>
          <w:rtl/>
        </w:rPr>
        <w:t>לא התקבלה</w:t>
      </w:r>
      <w:r>
        <w:rPr>
          <w:rFonts w:hint="cs"/>
          <w:rtl/>
        </w:rPr>
        <w:t xml:space="preserve">. בהצעה שהעלה </w:t>
      </w:r>
      <w:r w:rsidRPr="00A528C8">
        <w:rPr>
          <w:rFonts w:hint="cs"/>
          <w:rtl/>
        </w:rPr>
        <w:t xml:space="preserve">לאחרונה </w:t>
      </w:r>
      <w:r>
        <w:rPr>
          <w:rFonts w:hint="cs"/>
          <w:rtl/>
        </w:rPr>
        <w:t>משרד האוצר בנדון</w:t>
      </w:r>
      <w:r w:rsidRPr="00A528C8">
        <w:rPr>
          <w:rtl/>
        </w:rPr>
        <w:t xml:space="preserve"> אין</w:t>
      </w:r>
      <w:r>
        <w:rPr>
          <w:rFonts w:hint="cs"/>
          <w:rtl/>
        </w:rPr>
        <w:t>,</w:t>
      </w:r>
      <w:r w:rsidRPr="00A528C8">
        <w:rPr>
          <w:rtl/>
        </w:rPr>
        <w:t xml:space="preserve"> </w:t>
      </w:r>
      <w:r>
        <w:rPr>
          <w:rFonts w:hint="cs"/>
          <w:rtl/>
        </w:rPr>
        <w:t xml:space="preserve">לדעת משרד הבינוי, </w:t>
      </w:r>
      <w:r w:rsidRPr="00A528C8">
        <w:rPr>
          <w:rtl/>
        </w:rPr>
        <w:t>מענה לבעיות שה</w:t>
      </w:r>
      <w:r w:rsidRPr="00A528C8">
        <w:rPr>
          <w:rFonts w:hint="cs"/>
          <w:rtl/>
        </w:rPr>
        <w:t>וא ה</w:t>
      </w:r>
      <w:r w:rsidRPr="00A528C8">
        <w:rPr>
          <w:rtl/>
        </w:rPr>
        <w:t>ציג.</w:t>
      </w:r>
    </w:p>
    <w:p w14:paraId="7D68CF96" w14:textId="77777777" w:rsidR="009A28D9" w:rsidRPr="007C1874" w:rsidRDefault="009A28D9" w:rsidP="00184789">
      <w:pPr>
        <w:pStyle w:val="af0"/>
        <w:rPr>
          <w:rtl/>
        </w:rPr>
      </w:pPr>
      <w:r>
        <w:rPr>
          <w:rFonts w:hint="cs"/>
          <w:rtl/>
        </w:rPr>
        <w:t xml:space="preserve">החשב הכללי מסר בתשובה מפברואר 2020 כי הוא הגיע לאחרונה למתווה מוסכם עם </w:t>
      </w:r>
      <w:r w:rsidRPr="00942ECB">
        <w:rPr>
          <w:rtl/>
        </w:rPr>
        <w:t>הלשכה המשפטית במשרד האוצר, אשר גם משרד הבינוי הסכים שיקודם</w:t>
      </w:r>
      <w:r>
        <w:rPr>
          <w:rFonts w:hint="cs"/>
          <w:rtl/>
        </w:rPr>
        <w:t xml:space="preserve"> - מתווה</w:t>
      </w:r>
      <w:r w:rsidRPr="00942ECB">
        <w:rPr>
          <w:rtl/>
        </w:rPr>
        <w:t xml:space="preserve"> שמטרתו לפשט ולייעל את הליך בחינת התקשרוי</w:t>
      </w:r>
      <w:r>
        <w:rPr>
          <w:rtl/>
        </w:rPr>
        <w:t xml:space="preserve">ות </w:t>
      </w:r>
      <w:r>
        <w:rPr>
          <w:rFonts w:hint="cs"/>
          <w:rtl/>
        </w:rPr>
        <w:t>ה</w:t>
      </w:r>
      <w:r>
        <w:rPr>
          <w:rtl/>
        </w:rPr>
        <w:t>המשך עם מתכננים בפטור ממכרז</w:t>
      </w:r>
      <w:r>
        <w:rPr>
          <w:rFonts w:hint="cs"/>
          <w:rtl/>
        </w:rPr>
        <w:t xml:space="preserve"> ואישורן</w:t>
      </w:r>
      <w:r>
        <w:rPr>
          <w:rtl/>
        </w:rPr>
        <w:t>.</w:t>
      </w:r>
      <w:r>
        <w:rPr>
          <w:rFonts w:hint="cs"/>
          <w:rtl/>
        </w:rPr>
        <w:t xml:space="preserve"> </w:t>
      </w:r>
      <w:r w:rsidRPr="00942ECB">
        <w:rPr>
          <w:rtl/>
        </w:rPr>
        <w:t xml:space="preserve">המתווה החדש צפוי להיות מובא </w:t>
      </w:r>
      <w:r>
        <w:rPr>
          <w:rFonts w:hint="cs"/>
          <w:rtl/>
        </w:rPr>
        <w:t>לאישור</w:t>
      </w:r>
      <w:r w:rsidRPr="00942ECB">
        <w:rPr>
          <w:rtl/>
        </w:rPr>
        <w:t xml:space="preserve"> ועדת הפטור בשבועות הקרובים, ו</w:t>
      </w:r>
      <w:r>
        <w:rPr>
          <w:rtl/>
        </w:rPr>
        <w:t>ייכנס לתוקף מיד עם אישורו.</w:t>
      </w:r>
      <w:r>
        <w:rPr>
          <w:rFonts w:hint="cs"/>
          <w:rtl/>
        </w:rPr>
        <w:t xml:space="preserve"> </w:t>
      </w:r>
      <w:r w:rsidRPr="00942ECB">
        <w:rPr>
          <w:rtl/>
        </w:rPr>
        <w:t xml:space="preserve">לאור זאת יש לבחון תחילה את המענה שייתן </w:t>
      </w:r>
      <w:r>
        <w:rPr>
          <w:rFonts w:hint="cs"/>
          <w:rtl/>
        </w:rPr>
        <w:t xml:space="preserve">המתווה החדש </w:t>
      </w:r>
      <w:r w:rsidRPr="00942ECB">
        <w:rPr>
          <w:rtl/>
        </w:rPr>
        <w:t xml:space="preserve">לבעיה, ובהתאם לכך </w:t>
      </w:r>
      <w:r>
        <w:rPr>
          <w:rFonts w:hint="cs"/>
          <w:rtl/>
        </w:rPr>
        <w:t>י</w:t>
      </w:r>
      <w:r w:rsidRPr="00942ECB">
        <w:rPr>
          <w:rtl/>
        </w:rPr>
        <w:t xml:space="preserve">בחן </w:t>
      </w:r>
      <w:r>
        <w:rPr>
          <w:rFonts w:hint="cs"/>
          <w:rtl/>
        </w:rPr>
        <w:t xml:space="preserve">החשב הכללי </w:t>
      </w:r>
      <w:r w:rsidRPr="00942ECB">
        <w:rPr>
          <w:rtl/>
        </w:rPr>
        <w:t xml:space="preserve">בהמשך אם יש צורך בהתאמות </w:t>
      </w:r>
      <w:r>
        <w:rPr>
          <w:rtl/>
        </w:rPr>
        <w:t>או בקידום פתרונות נוספים.</w:t>
      </w:r>
    </w:p>
    <w:p w14:paraId="034499EE" w14:textId="77777777" w:rsidR="009A28D9" w:rsidRPr="00D42933" w:rsidRDefault="009A28D9" w:rsidP="00D42933">
      <w:pPr>
        <w:pStyle w:val="aa"/>
        <w:rPr>
          <w:rtl/>
        </w:rPr>
      </w:pPr>
      <w:r w:rsidRPr="00D42933">
        <w:rPr>
          <w:rtl/>
        </w:rPr>
        <w:t>משרד מבקר המדינה ממליץ לגופים הנוגעים בדבר - משרד הבינוי</w:t>
      </w:r>
      <w:r w:rsidRPr="00D42933">
        <w:rPr>
          <w:rFonts w:hint="cs"/>
          <w:rtl/>
        </w:rPr>
        <w:t>, משרד האוצר,</w:t>
      </w:r>
      <w:r w:rsidRPr="00D42933">
        <w:rPr>
          <w:rtl/>
        </w:rPr>
        <w:t xml:space="preserve"> רמ"י</w:t>
      </w:r>
      <w:r w:rsidRPr="00D42933">
        <w:rPr>
          <w:rFonts w:hint="cs"/>
          <w:rtl/>
        </w:rPr>
        <w:t xml:space="preserve"> וגופים נוספים, אם ימצאו לנכון</w:t>
      </w:r>
      <w:r w:rsidRPr="00D42933">
        <w:rPr>
          <w:rtl/>
        </w:rPr>
        <w:t xml:space="preserve"> -</w:t>
      </w:r>
      <w:r w:rsidRPr="00D42933">
        <w:rPr>
          <w:rFonts w:hint="cs"/>
          <w:rtl/>
        </w:rPr>
        <w:t xml:space="preserve"> לשקול הקמת "שולחן עגול" לצורך ליבון </w:t>
      </w:r>
      <w:r w:rsidRPr="00D42933">
        <w:rPr>
          <w:rtl/>
        </w:rPr>
        <w:t>סוגיית ייעול מנגנוני ההתקשרות לעבודות תכנון</w:t>
      </w:r>
      <w:r w:rsidRPr="00D42933">
        <w:rPr>
          <w:rFonts w:hint="cs"/>
          <w:rtl/>
        </w:rPr>
        <w:t xml:space="preserve">; זאת כדי לקדם פתרונות לבעיות שנוגעות לפעילותם של הגופים הממשלתיים בתחום התכנון. </w:t>
      </w:r>
    </w:p>
    <w:p w14:paraId="79D1DF87" w14:textId="77777777" w:rsidR="009A28D9" w:rsidRPr="00400FDA" w:rsidRDefault="009A28D9" w:rsidP="009A28D9">
      <w:pPr>
        <w:spacing w:line="269" w:lineRule="auto"/>
        <w:ind w:left="312"/>
        <w:jc w:val="center"/>
        <w:rPr>
          <w:rFonts w:ascii="Arial" w:hAnsi="Arial" w:cs="Arial"/>
          <w:b/>
          <w:bCs/>
          <w:sz w:val="36"/>
          <w:rtl/>
        </w:rPr>
      </w:pPr>
      <w:r>
        <w:rPr>
          <w:rFonts w:ascii="Segoe UI Symbol" w:hAnsi="Segoe UI Symbol" w:cs="Segoe UI Symbol" w:hint="cs"/>
          <w:b/>
          <w:bCs/>
          <w:sz w:val="36"/>
          <w:rtl/>
        </w:rPr>
        <w:t>✰</w:t>
      </w:r>
    </w:p>
    <w:p w14:paraId="5BDA70A2" w14:textId="77777777" w:rsidR="009A28D9" w:rsidRDefault="009A28D9" w:rsidP="00D42933">
      <w:pPr>
        <w:pStyle w:val="af1"/>
        <w:rPr>
          <w:rtl/>
        </w:rPr>
      </w:pPr>
      <w:r>
        <w:rPr>
          <w:rFonts w:hint="cs"/>
          <w:rtl/>
        </w:rPr>
        <w:lastRenderedPageBreak/>
        <w:t xml:space="preserve">לקביעת </w:t>
      </w:r>
      <w:r w:rsidRPr="00EC6B7A">
        <w:rPr>
          <w:rFonts w:hint="cs"/>
          <w:rtl/>
        </w:rPr>
        <w:t xml:space="preserve">לוחות זמנים לתכנון מתארי ומפורט </w:t>
      </w:r>
      <w:r>
        <w:rPr>
          <w:rFonts w:hint="cs"/>
          <w:rtl/>
        </w:rPr>
        <w:t xml:space="preserve">ולעמידה בהם </w:t>
      </w:r>
      <w:r w:rsidRPr="00EC6B7A">
        <w:rPr>
          <w:rFonts w:hint="cs"/>
          <w:rtl/>
        </w:rPr>
        <w:t xml:space="preserve">השפעה </w:t>
      </w:r>
      <w:r>
        <w:rPr>
          <w:rFonts w:hint="cs"/>
          <w:rtl/>
        </w:rPr>
        <w:t>ניכרת ב</w:t>
      </w:r>
      <w:r w:rsidRPr="00EC6B7A">
        <w:rPr>
          <w:rFonts w:hint="cs"/>
          <w:rtl/>
        </w:rPr>
        <w:t>טווח הארוך</w:t>
      </w:r>
      <w:r>
        <w:rPr>
          <w:rFonts w:hint="cs"/>
          <w:rtl/>
        </w:rPr>
        <w:t xml:space="preserve"> </w:t>
      </w:r>
      <w:r w:rsidRPr="00EC6B7A">
        <w:rPr>
          <w:rFonts w:hint="cs"/>
          <w:rtl/>
        </w:rPr>
        <w:t xml:space="preserve">על </w:t>
      </w:r>
      <w:r>
        <w:rPr>
          <w:rFonts w:hint="cs"/>
          <w:rtl/>
        </w:rPr>
        <w:t>ה</w:t>
      </w:r>
      <w:r w:rsidRPr="00EC6B7A">
        <w:rPr>
          <w:rFonts w:hint="cs"/>
          <w:rtl/>
        </w:rPr>
        <w:t xml:space="preserve">מלאי </w:t>
      </w:r>
      <w:r>
        <w:rPr>
          <w:rFonts w:hint="cs"/>
          <w:rtl/>
        </w:rPr>
        <w:t>ה</w:t>
      </w:r>
      <w:r w:rsidRPr="00EC6B7A">
        <w:rPr>
          <w:rFonts w:hint="cs"/>
          <w:rtl/>
        </w:rPr>
        <w:t xml:space="preserve">תכנוני </w:t>
      </w:r>
      <w:r>
        <w:rPr>
          <w:rFonts w:hint="cs"/>
          <w:rtl/>
        </w:rPr>
        <w:t>ה</w:t>
      </w:r>
      <w:r w:rsidRPr="00EC6B7A">
        <w:rPr>
          <w:rFonts w:hint="cs"/>
          <w:rtl/>
        </w:rPr>
        <w:t xml:space="preserve">זמין של </w:t>
      </w:r>
      <w:r>
        <w:rPr>
          <w:rFonts w:hint="cs"/>
          <w:rtl/>
        </w:rPr>
        <w:t>יח"ד,</w:t>
      </w:r>
      <w:r w:rsidRPr="00EC6B7A">
        <w:rPr>
          <w:rFonts w:hint="cs"/>
          <w:rtl/>
        </w:rPr>
        <w:t xml:space="preserve"> ו</w:t>
      </w:r>
      <w:r>
        <w:rPr>
          <w:rFonts w:hint="cs"/>
          <w:rtl/>
        </w:rPr>
        <w:t>מכאן גם</w:t>
      </w:r>
      <w:r w:rsidRPr="00EC6B7A">
        <w:rPr>
          <w:rFonts w:hint="cs"/>
          <w:rtl/>
        </w:rPr>
        <w:t xml:space="preserve"> על מחיר</w:t>
      </w:r>
      <w:r>
        <w:rPr>
          <w:rFonts w:hint="cs"/>
          <w:rtl/>
        </w:rPr>
        <w:t>י</w:t>
      </w:r>
      <w:r w:rsidRPr="00EC6B7A">
        <w:rPr>
          <w:rFonts w:hint="cs"/>
          <w:rtl/>
        </w:rPr>
        <w:t xml:space="preserve"> הדיור.</w:t>
      </w:r>
      <w:r>
        <w:rPr>
          <w:rFonts w:hint="cs"/>
          <w:rtl/>
        </w:rPr>
        <w:t xml:space="preserve"> הליקויים שעלו בביקורת מחייבים את רמ"י ומשרד הבינוי להקפיד על בקרה ו</w:t>
      </w:r>
      <w:r w:rsidRPr="002B3C56">
        <w:rPr>
          <w:rFonts w:hint="cs"/>
          <w:rtl/>
        </w:rPr>
        <w:t xml:space="preserve">מעקב </w:t>
      </w:r>
      <w:r>
        <w:rPr>
          <w:rFonts w:hint="cs"/>
          <w:rtl/>
        </w:rPr>
        <w:t xml:space="preserve">הדוקים </w:t>
      </w:r>
      <w:r w:rsidRPr="002B3C56">
        <w:rPr>
          <w:rFonts w:hint="cs"/>
          <w:rtl/>
        </w:rPr>
        <w:t xml:space="preserve">אחרי </w:t>
      </w:r>
      <w:r>
        <w:rPr>
          <w:rFonts w:hint="cs"/>
          <w:rtl/>
        </w:rPr>
        <w:t xml:space="preserve">כלל </w:t>
      </w:r>
      <w:r w:rsidRPr="002B3C56">
        <w:rPr>
          <w:rFonts w:hint="cs"/>
          <w:rtl/>
        </w:rPr>
        <w:t>התוכניות</w:t>
      </w:r>
      <w:r>
        <w:rPr>
          <w:rFonts w:hint="cs"/>
          <w:rtl/>
        </w:rPr>
        <w:t xml:space="preserve"> שבתהליכי עבודה, ובכלל זה אחר אבני הדרך העיקריות בשלב הכנת התוכנית, ועל העמידה בלוחות הזמנים שנקבעו. בתוכניות</w:t>
      </w:r>
      <w:r w:rsidRPr="005D2E0A">
        <w:rPr>
          <w:rFonts w:hint="cs"/>
          <w:rtl/>
        </w:rPr>
        <w:t xml:space="preserve"> </w:t>
      </w:r>
      <w:r>
        <w:rPr>
          <w:rFonts w:hint="cs"/>
          <w:rtl/>
        </w:rPr>
        <w:t>ש</w:t>
      </w:r>
      <w:r w:rsidRPr="005D2E0A">
        <w:rPr>
          <w:rFonts w:hint="cs"/>
          <w:rtl/>
        </w:rPr>
        <w:t xml:space="preserve">תהליכי התכנון </w:t>
      </w:r>
      <w:r>
        <w:rPr>
          <w:rFonts w:hint="cs"/>
          <w:rtl/>
        </w:rPr>
        <w:t xml:space="preserve">שלהן נמשכים </w:t>
      </w:r>
      <w:r w:rsidRPr="005D2E0A">
        <w:rPr>
          <w:rFonts w:hint="cs"/>
          <w:rtl/>
        </w:rPr>
        <w:t xml:space="preserve">מעבר לנקבע בהסכמים עם </w:t>
      </w:r>
      <w:r>
        <w:rPr>
          <w:rFonts w:hint="cs"/>
          <w:rtl/>
        </w:rPr>
        <w:t>ה</w:t>
      </w:r>
      <w:r w:rsidRPr="005D2E0A">
        <w:rPr>
          <w:rFonts w:hint="cs"/>
          <w:rtl/>
        </w:rPr>
        <w:t xml:space="preserve">חברות </w:t>
      </w:r>
      <w:r>
        <w:rPr>
          <w:rFonts w:hint="cs"/>
          <w:rtl/>
        </w:rPr>
        <w:t>ה</w:t>
      </w:r>
      <w:r w:rsidRPr="005D2E0A">
        <w:rPr>
          <w:rFonts w:hint="cs"/>
          <w:rtl/>
        </w:rPr>
        <w:t>מתכננות</w:t>
      </w:r>
      <w:r>
        <w:rPr>
          <w:rFonts w:hint="cs"/>
          <w:rtl/>
        </w:rPr>
        <w:t>, על הגופים</w:t>
      </w:r>
      <w:r w:rsidRPr="005D2E0A">
        <w:rPr>
          <w:rFonts w:hint="cs"/>
          <w:rtl/>
        </w:rPr>
        <w:t xml:space="preserve"> </w:t>
      </w:r>
      <w:r>
        <w:rPr>
          <w:rFonts w:hint="cs"/>
          <w:rtl/>
        </w:rPr>
        <w:t xml:space="preserve">לערוך </w:t>
      </w:r>
      <w:r w:rsidRPr="005D2E0A">
        <w:rPr>
          <w:rFonts w:hint="cs"/>
          <w:rtl/>
        </w:rPr>
        <w:t xml:space="preserve">בירור מעמיק </w:t>
      </w:r>
      <w:r>
        <w:rPr>
          <w:rFonts w:hint="cs"/>
          <w:rtl/>
        </w:rPr>
        <w:t>של</w:t>
      </w:r>
      <w:r w:rsidRPr="005D2E0A">
        <w:rPr>
          <w:rFonts w:hint="cs"/>
          <w:rtl/>
        </w:rPr>
        <w:t xml:space="preserve"> הסיבות לעיכובים ו</w:t>
      </w:r>
      <w:r>
        <w:rPr>
          <w:rFonts w:hint="cs"/>
          <w:rtl/>
        </w:rPr>
        <w:t>לנקוט</w:t>
      </w:r>
      <w:r w:rsidRPr="005D2E0A">
        <w:rPr>
          <w:rFonts w:hint="cs"/>
          <w:rtl/>
        </w:rPr>
        <w:t xml:space="preserve"> צעדים</w:t>
      </w:r>
      <w:r>
        <w:rPr>
          <w:rFonts w:hint="cs"/>
          <w:rtl/>
        </w:rPr>
        <w:t xml:space="preserve"> להסרתם</w:t>
      </w:r>
      <w:r w:rsidRPr="005D2E0A">
        <w:rPr>
          <w:rFonts w:hint="cs"/>
          <w:rtl/>
        </w:rPr>
        <w:t>.</w:t>
      </w:r>
      <w:r>
        <w:rPr>
          <w:rFonts w:hint="cs"/>
          <w:rtl/>
        </w:rPr>
        <w:t xml:space="preserve"> </w:t>
      </w:r>
    </w:p>
    <w:p w14:paraId="661FCE11" w14:textId="77777777" w:rsidR="009A28D9" w:rsidRDefault="009A28D9" w:rsidP="00D42933">
      <w:pPr>
        <w:pStyle w:val="414"/>
        <w:rPr>
          <w:rtl/>
        </w:rPr>
      </w:pPr>
      <w:r>
        <w:rPr>
          <w:rFonts w:hint="cs"/>
          <w:rtl/>
        </w:rPr>
        <w:t xml:space="preserve">הנחיות לתכנון ומדדי איכות </w:t>
      </w:r>
    </w:p>
    <w:p w14:paraId="17509AAD" w14:textId="77777777" w:rsidR="009A28D9" w:rsidRDefault="009A28D9" w:rsidP="00E90528">
      <w:pPr>
        <w:pStyle w:val="a0"/>
        <w:numPr>
          <w:ilvl w:val="0"/>
          <w:numId w:val="26"/>
        </w:numPr>
        <w:rPr>
          <w:rtl/>
        </w:rPr>
      </w:pPr>
      <w:r w:rsidRPr="00E90528">
        <w:rPr>
          <w:rStyle w:val="Heading7Char"/>
          <w:rFonts w:eastAsiaTheme="minorHAnsi" w:hint="eastAsia"/>
          <w:b/>
          <w:color w:val="004E6C"/>
          <w:spacing w:val="0"/>
          <w:rtl/>
        </w:rPr>
        <w:t>משרד</w:t>
      </w:r>
      <w:r w:rsidRPr="00E90528">
        <w:rPr>
          <w:rStyle w:val="Heading7Char"/>
          <w:rFonts w:eastAsiaTheme="minorHAnsi"/>
          <w:b/>
          <w:color w:val="004E6C"/>
          <w:spacing w:val="0"/>
          <w:rtl/>
        </w:rPr>
        <w:t xml:space="preserve"> </w:t>
      </w:r>
      <w:r w:rsidRPr="00E90528">
        <w:rPr>
          <w:rStyle w:val="Heading7Char"/>
          <w:rFonts w:eastAsiaTheme="minorHAnsi" w:hint="eastAsia"/>
          <w:b/>
          <w:color w:val="004E6C"/>
          <w:spacing w:val="0"/>
          <w:rtl/>
        </w:rPr>
        <w:t>הבינוי</w:t>
      </w:r>
      <w:r w:rsidRPr="00E90528">
        <w:rPr>
          <w:rStyle w:val="Heading7Char"/>
          <w:rFonts w:eastAsiaTheme="minorHAnsi"/>
          <w:b/>
          <w:color w:val="004E6C"/>
          <w:spacing w:val="0"/>
          <w:rtl/>
        </w:rPr>
        <w:t>:</w:t>
      </w:r>
      <w:r>
        <w:rPr>
          <w:rFonts w:hint="cs"/>
          <w:rtl/>
        </w:rPr>
        <w:t xml:space="preserve"> במסגרת הפעולות של משרד הבינוי בליווי החברות המתכננות והמתכננים בעבודתם, חייב אותם המשרד בהסכמי ההתקשרות לבצע את התכנון בהתאם לקובצי הנחיות שמפורסמים באתר המרשתת (אינטרנט) שלו, והם חלק בלתי נפרד מההסכם, ובהם: (א) הנחיות לעבודות תכנון; (ב) תדריך התכנון; (ג) "תדריך תכנון שלד, תב"ע ובינוי ופיתוח בקנ"מ 1:500 תהליכים, שירותים, תעריפים ונהלים". מטרת ההנחיות היא לקבוע סטנדרטים מינימליים מחייבים לתכנון ולשמש ככלי עזר לבדיקת התוכניות. </w:t>
      </w:r>
    </w:p>
    <w:p w14:paraId="6BED3407" w14:textId="77777777" w:rsidR="009A28D9" w:rsidRDefault="009A28D9" w:rsidP="00E90528">
      <w:pPr>
        <w:pStyle w:val="af0"/>
        <w:rPr>
          <w:rtl/>
        </w:rPr>
      </w:pPr>
      <w:r w:rsidRPr="009C2A19">
        <w:rPr>
          <w:rFonts w:hint="cs"/>
          <w:rtl/>
        </w:rPr>
        <w:t xml:space="preserve">לדוגמה, </w:t>
      </w:r>
      <w:r>
        <w:rPr>
          <w:rFonts w:hint="cs"/>
          <w:rtl/>
        </w:rPr>
        <w:t>ב</w:t>
      </w:r>
      <w:r w:rsidRPr="009C2A19">
        <w:rPr>
          <w:rFonts w:hint="cs"/>
          <w:rtl/>
        </w:rPr>
        <w:t xml:space="preserve">"הנחיות </w:t>
      </w:r>
      <w:r>
        <w:rPr>
          <w:rFonts w:hint="cs"/>
          <w:rtl/>
        </w:rPr>
        <w:t xml:space="preserve">לעבודות תכנון, שלבי תכנון שכונת מגורים" יש הנחיות מפורטות למתכננים בדבר הקמת שכונות מגורים, ובכלל זה הנחיות לתהליך התכנון של תוכניות מפורטות על כל שלביו: הנחיות בדבר הכנת חלופות, והנחיות בדבר </w:t>
      </w:r>
      <w:r>
        <w:rPr>
          <w:rtl/>
        </w:rPr>
        <w:t xml:space="preserve">הכנת מסמך מסכם </w:t>
      </w:r>
      <w:r>
        <w:rPr>
          <w:rFonts w:hint="cs"/>
          <w:rtl/>
        </w:rPr>
        <w:t xml:space="preserve">של התוכנית, לרבות הכנת </w:t>
      </w:r>
      <w:r>
        <w:rPr>
          <w:rtl/>
        </w:rPr>
        <w:t>ת</w:t>
      </w:r>
      <w:r>
        <w:rPr>
          <w:rFonts w:hint="cs"/>
          <w:rtl/>
        </w:rPr>
        <w:t>ש</w:t>
      </w:r>
      <w:r>
        <w:rPr>
          <w:rtl/>
        </w:rPr>
        <w:t>ריט, תקנון וכל הנספחים הדרושים</w:t>
      </w:r>
      <w:r>
        <w:rPr>
          <w:rFonts w:hint="cs"/>
          <w:rtl/>
        </w:rPr>
        <w:t>,</w:t>
      </w:r>
      <w:r>
        <w:rPr>
          <w:rtl/>
        </w:rPr>
        <w:t xml:space="preserve"> כגון</w:t>
      </w:r>
      <w:r>
        <w:rPr>
          <w:rFonts w:hint="cs"/>
          <w:rtl/>
        </w:rPr>
        <w:t xml:space="preserve"> </w:t>
      </w:r>
      <w:r>
        <w:rPr>
          <w:rtl/>
        </w:rPr>
        <w:t>ת</w:t>
      </w:r>
      <w:r>
        <w:rPr>
          <w:rFonts w:hint="cs"/>
          <w:rtl/>
        </w:rPr>
        <w:t>ו</w:t>
      </w:r>
      <w:r>
        <w:rPr>
          <w:rtl/>
        </w:rPr>
        <w:t>כנית בינוי מנחה, ת</w:t>
      </w:r>
      <w:r>
        <w:rPr>
          <w:rFonts w:hint="cs"/>
          <w:rtl/>
        </w:rPr>
        <w:t>ו</w:t>
      </w:r>
      <w:r>
        <w:rPr>
          <w:rtl/>
        </w:rPr>
        <w:t>כנית כבישים וחניה, ת</w:t>
      </w:r>
      <w:r>
        <w:rPr>
          <w:rFonts w:hint="cs"/>
          <w:rtl/>
        </w:rPr>
        <w:t>ו</w:t>
      </w:r>
      <w:r>
        <w:rPr>
          <w:rtl/>
        </w:rPr>
        <w:t>כנית נוף ופיתוח ות</w:t>
      </w:r>
      <w:r>
        <w:rPr>
          <w:rFonts w:hint="cs"/>
          <w:rtl/>
        </w:rPr>
        <w:t>ו</w:t>
      </w:r>
      <w:r>
        <w:rPr>
          <w:rtl/>
        </w:rPr>
        <w:t>כניות</w:t>
      </w:r>
      <w:r>
        <w:rPr>
          <w:rFonts w:hint="cs"/>
          <w:rtl/>
        </w:rPr>
        <w:t xml:space="preserve"> </w:t>
      </w:r>
      <w:r>
        <w:rPr>
          <w:rtl/>
        </w:rPr>
        <w:t>למערכות תשתית.</w:t>
      </w:r>
      <w:r>
        <w:rPr>
          <w:rFonts w:hint="cs"/>
          <w:rtl/>
        </w:rPr>
        <w:t xml:space="preserve"> </w:t>
      </w:r>
    </w:p>
    <w:p w14:paraId="2935949B" w14:textId="77777777" w:rsidR="009A28D9" w:rsidRDefault="009A28D9" w:rsidP="00E90528">
      <w:pPr>
        <w:pStyle w:val="af0"/>
        <w:rPr>
          <w:rtl/>
        </w:rPr>
      </w:pPr>
      <w:r w:rsidRPr="00E90528">
        <w:rPr>
          <w:rStyle w:val="Heading7Char"/>
          <w:rFonts w:eastAsiaTheme="minorHAnsi" w:hint="eastAsia"/>
          <w:b/>
          <w:color w:val="004E6C"/>
          <w:spacing w:val="0"/>
          <w:rtl/>
        </w:rPr>
        <w:t>משרד</w:t>
      </w:r>
      <w:r w:rsidRPr="00E90528">
        <w:rPr>
          <w:rStyle w:val="Heading7Char"/>
          <w:rFonts w:eastAsiaTheme="minorHAnsi"/>
          <w:b/>
          <w:color w:val="004E6C"/>
          <w:spacing w:val="0"/>
          <w:rtl/>
        </w:rPr>
        <w:t xml:space="preserve"> </w:t>
      </w:r>
      <w:r w:rsidRPr="00E90528">
        <w:rPr>
          <w:rStyle w:val="Heading7Char"/>
          <w:rFonts w:eastAsiaTheme="minorHAnsi" w:hint="eastAsia"/>
          <w:b/>
          <w:color w:val="004E6C"/>
          <w:spacing w:val="0"/>
          <w:rtl/>
        </w:rPr>
        <w:t>הביטחון</w:t>
      </w:r>
      <w:r w:rsidRPr="00E90528">
        <w:rPr>
          <w:rStyle w:val="Heading7Char"/>
          <w:rFonts w:eastAsiaTheme="minorHAnsi"/>
          <w:b/>
          <w:color w:val="004E6C"/>
          <w:spacing w:val="0"/>
          <w:rtl/>
        </w:rPr>
        <w:t>:</w:t>
      </w:r>
      <w:r>
        <w:rPr>
          <w:rFonts w:hint="cs"/>
          <w:rtl/>
        </w:rPr>
        <w:t xml:space="preserve"> בדומה למשרד הבינוי, גם משרד הביטחון מחייב את המתכננים שהוא מתקשר איתם לפעול על פי הנחיות תכנון בנושאים שונים, ובהן: "ספר הנחיות תכנון - תוכן והגדרות", "מגורים", "תכנון אב למחנות" ו"תכנון נוף וסביבה".</w:t>
      </w:r>
    </w:p>
    <w:p w14:paraId="270AE086" w14:textId="77777777" w:rsidR="009A28D9" w:rsidRPr="00D735C2" w:rsidRDefault="009A28D9" w:rsidP="000443B1">
      <w:pPr>
        <w:pStyle w:val="12"/>
        <w:rPr>
          <w:rtl/>
        </w:rPr>
      </w:pPr>
      <w:r w:rsidRPr="000443B1">
        <w:rPr>
          <w:rStyle w:val="Heading7Char"/>
          <w:rFonts w:eastAsiaTheme="minorHAnsi" w:hint="eastAsia"/>
          <w:b/>
          <w:color w:val="004E6C"/>
          <w:spacing w:val="0"/>
          <w:rtl/>
          <w:lang w:eastAsia="en-US"/>
        </w:rPr>
        <w:t>רמ</w:t>
      </w:r>
      <w:r w:rsidRPr="000443B1">
        <w:rPr>
          <w:rStyle w:val="Heading7Char"/>
          <w:rFonts w:eastAsiaTheme="minorHAnsi"/>
          <w:b/>
          <w:color w:val="004E6C"/>
          <w:spacing w:val="0"/>
          <w:rtl/>
          <w:lang w:eastAsia="en-US"/>
        </w:rPr>
        <w:t>"י</w:t>
      </w:r>
      <w:r w:rsidRPr="000443B1">
        <w:rPr>
          <w:rStyle w:val="Heading7Char"/>
          <w:rFonts w:eastAsiaTheme="minorHAnsi" w:hint="cs"/>
          <w:b/>
          <w:color w:val="004E6C"/>
          <w:spacing w:val="0"/>
          <w:rtl/>
          <w:lang w:eastAsia="en-US"/>
        </w:rPr>
        <w:t>:</w:t>
      </w:r>
      <w:r>
        <w:rPr>
          <w:rFonts w:hint="cs"/>
          <w:rtl/>
        </w:rPr>
        <w:t xml:space="preserve"> </w:t>
      </w:r>
      <w:r w:rsidRPr="00D735C2">
        <w:rPr>
          <w:rFonts w:hint="cs"/>
          <w:rtl/>
        </w:rPr>
        <w:t xml:space="preserve">בביקורת עלה כי </w:t>
      </w:r>
      <w:r>
        <w:rPr>
          <w:rFonts w:hint="cs"/>
          <w:rtl/>
        </w:rPr>
        <w:t xml:space="preserve">בשונה ממשרד הבינוי וממשרד הביטחון, </w:t>
      </w:r>
      <w:r w:rsidRPr="00D735C2">
        <w:rPr>
          <w:rtl/>
        </w:rPr>
        <w:t>רמ"י</w:t>
      </w:r>
      <w:r w:rsidRPr="00D735C2">
        <w:rPr>
          <w:rFonts w:hint="cs"/>
          <w:rtl/>
        </w:rPr>
        <w:t xml:space="preserve"> </w:t>
      </w:r>
      <w:r w:rsidRPr="00D735C2">
        <w:rPr>
          <w:rtl/>
        </w:rPr>
        <w:t xml:space="preserve">לא קבעה הנחיות תכנון </w:t>
      </w:r>
      <w:r>
        <w:rPr>
          <w:rFonts w:hint="cs"/>
          <w:rtl/>
        </w:rPr>
        <w:t>ומדדי איכות ש</w:t>
      </w:r>
      <w:r w:rsidRPr="00D735C2">
        <w:rPr>
          <w:rtl/>
        </w:rPr>
        <w:t>על פיה</w:t>
      </w:r>
      <w:r>
        <w:rPr>
          <w:rFonts w:hint="cs"/>
          <w:rtl/>
        </w:rPr>
        <w:t>ם</w:t>
      </w:r>
      <w:r w:rsidRPr="00D735C2">
        <w:rPr>
          <w:rtl/>
        </w:rPr>
        <w:t xml:space="preserve"> </w:t>
      </w:r>
      <w:r>
        <w:rPr>
          <w:rFonts w:hint="cs"/>
          <w:rtl/>
        </w:rPr>
        <w:t xml:space="preserve">אמורות </w:t>
      </w:r>
      <w:r w:rsidRPr="00D735C2">
        <w:rPr>
          <w:rtl/>
        </w:rPr>
        <w:t>החבר</w:t>
      </w:r>
      <w:r>
        <w:rPr>
          <w:rFonts w:hint="cs"/>
          <w:rtl/>
        </w:rPr>
        <w:t>ות</w:t>
      </w:r>
      <w:r w:rsidRPr="00D735C2">
        <w:rPr>
          <w:rtl/>
        </w:rPr>
        <w:t xml:space="preserve"> המתכננ</w:t>
      </w:r>
      <w:r>
        <w:rPr>
          <w:rFonts w:hint="cs"/>
          <w:rtl/>
        </w:rPr>
        <w:t>ו</w:t>
      </w:r>
      <w:r w:rsidRPr="00D735C2">
        <w:rPr>
          <w:rtl/>
        </w:rPr>
        <w:t>ת לתכנן</w:t>
      </w:r>
      <w:r>
        <w:rPr>
          <w:rFonts w:hint="cs"/>
          <w:rtl/>
        </w:rPr>
        <w:t>,</w:t>
      </w:r>
      <w:r w:rsidRPr="00D735C2">
        <w:rPr>
          <w:rFonts w:hint="cs"/>
          <w:rtl/>
        </w:rPr>
        <w:t xml:space="preserve"> </w:t>
      </w:r>
      <w:r>
        <w:rPr>
          <w:rFonts w:hint="cs"/>
          <w:rtl/>
        </w:rPr>
        <w:t>ולחלופין</w:t>
      </w:r>
      <w:r w:rsidRPr="00D735C2">
        <w:rPr>
          <w:rFonts w:hint="cs"/>
          <w:rtl/>
        </w:rPr>
        <w:t xml:space="preserve"> </w:t>
      </w:r>
      <w:r>
        <w:rPr>
          <w:rFonts w:hint="cs"/>
          <w:rtl/>
        </w:rPr>
        <w:t xml:space="preserve">גם </w:t>
      </w:r>
      <w:r w:rsidRPr="00D735C2">
        <w:rPr>
          <w:rFonts w:hint="cs"/>
          <w:rtl/>
        </w:rPr>
        <w:t>לא חייבה א</w:t>
      </w:r>
      <w:r>
        <w:rPr>
          <w:rFonts w:hint="cs"/>
          <w:rtl/>
        </w:rPr>
        <w:t>ו</w:t>
      </w:r>
      <w:r w:rsidRPr="00D735C2">
        <w:rPr>
          <w:rFonts w:hint="cs"/>
          <w:rtl/>
        </w:rPr>
        <w:t>ת</w:t>
      </w:r>
      <w:r>
        <w:rPr>
          <w:rFonts w:hint="cs"/>
          <w:rtl/>
        </w:rPr>
        <w:t>ן</w:t>
      </w:r>
      <w:r w:rsidRPr="00D735C2">
        <w:rPr>
          <w:rFonts w:hint="cs"/>
          <w:rtl/>
        </w:rPr>
        <w:t xml:space="preserve"> לפעול על פי הנחיות </w:t>
      </w:r>
      <w:r>
        <w:rPr>
          <w:rFonts w:hint="cs"/>
          <w:rtl/>
        </w:rPr>
        <w:t xml:space="preserve">קיימות </w:t>
      </w:r>
      <w:r w:rsidRPr="00D735C2">
        <w:rPr>
          <w:rFonts w:hint="cs"/>
          <w:rtl/>
        </w:rPr>
        <w:t>של גורמים ממשלתיים אחרים. בפועל הסתפקה רמ"י בקביעה</w:t>
      </w:r>
      <w:r>
        <w:rPr>
          <w:rFonts w:hint="cs"/>
          <w:rtl/>
        </w:rPr>
        <w:t xml:space="preserve"> ש</w:t>
      </w:r>
      <w:r w:rsidRPr="00D735C2">
        <w:rPr>
          <w:rFonts w:hint="cs"/>
          <w:rtl/>
        </w:rPr>
        <w:t>לפיה על ה</w:t>
      </w:r>
      <w:r w:rsidRPr="00D735C2">
        <w:rPr>
          <w:rtl/>
        </w:rPr>
        <w:t xml:space="preserve">חברות </w:t>
      </w:r>
      <w:r w:rsidRPr="00D735C2">
        <w:rPr>
          <w:rFonts w:hint="cs"/>
          <w:rtl/>
        </w:rPr>
        <w:t>המתכננות לבצע</w:t>
      </w:r>
      <w:r w:rsidRPr="00D735C2">
        <w:rPr>
          <w:rtl/>
        </w:rPr>
        <w:t xml:space="preserve"> </w:t>
      </w:r>
      <w:r>
        <w:rPr>
          <w:rFonts w:hint="cs"/>
          <w:rtl/>
        </w:rPr>
        <w:t xml:space="preserve">"פיקוח </w:t>
      </w:r>
      <w:r w:rsidRPr="00767A3C">
        <w:rPr>
          <w:rtl/>
        </w:rPr>
        <w:t>על איכות התכנון בהתאם לרמה המקצועית הנדרשת בכל תחום ותחום, ולת</w:t>
      </w:r>
      <w:r>
        <w:rPr>
          <w:rFonts w:hint="cs"/>
          <w:rtl/>
        </w:rPr>
        <w:t>ו</w:t>
      </w:r>
      <w:r w:rsidRPr="00767A3C">
        <w:rPr>
          <w:rtl/>
        </w:rPr>
        <w:t>כנית כולה כמכלול,</w:t>
      </w:r>
      <w:r>
        <w:rPr>
          <w:rFonts w:hint="cs"/>
          <w:rtl/>
        </w:rPr>
        <w:t xml:space="preserve"> </w:t>
      </w:r>
      <w:r w:rsidRPr="00767A3C">
        <w:rPr>
          <w:rtl/>
        </w:rPr>
        <w:t>ובהתאם לדרישות הרשות</w:t>
      </w:r>
      <w:r>
        <w:rPr>
          <w:rFonts w:hint="cs"/>
          <w:rtl/>
        </w:rPr>
        <w:t xml:space="preserve"> [רמ"י]</w:t>
      </w:r>
      <w:r w:rsidRPr="00D735C2">
        <w:rPr>
          <w:rFonts w:hint="cs"/>
          <w:rtl/>
        </w:rPr>
        <w:t>"</w:t>
      </w:r>
      <w:r w:rsidRPr="00267025">
        <w:rPr>
          <w:rStyle w:val="FootnoteReference"/>
          <w:rtl/>
        </w:rPr>
        <w:footnoteReference w:id="51"/>
      </w:r>
      <w:r>
        <w:rPr>
          <w:rFonts w:hint="cs"/>
          <w:rtl/>
        </w:rPr>
        <w:t>;</w:t>
      </w:r>
      <w:r w:rsidRPr="00D735C2">
        <w:rPr>
          <w:rFonts w:hint="cs"/>
          <w:rtl/>
        </w:rPr>
        <w:t xml:space="preserve"> אך היא לא קבעה מדדים לצורך כך או דרישות כלשהן</w:t>
      </w:r>
      <w:r w:rsidRPr="00D735C2">
        <w:rPr>
          <w:rtl/>
        </w:rPr>
        <w:t xml:space="preserve">. </w:t>
      </w:r>
    </w:p>
    <w:p w14:paraId="239AEC70" w14:textId="77777777" w:rsidR="009A28D9" w:rsidRDefault="009A28D9" w:rsidP="00D042AA">
      <w:pPr>
        <w:pStyle w:val="af0"/>
        <w:rPr>
          <w:rtl/>
        </w:rPr>
      </w:pPr>
      <w:r>
        <w:rPr>
          <w:rFonts w:hint="cs"/>
          <w:rtl/>
        </w:rPr>
        <w:t>רמ"י ציינה בתשובתה כי "</w:t>
      </w:r>
      <w:r w:rsidRPr="00D02CBC">
        <w:rPr>
          <w:rtl/>
        </w:rPr>
        <w:t xml:space="preserve">החברות המתכננות מחויבות לעבוד לפי הנחיות המבא״ת </w:t>
      </w:r>
      <w:r>
        <w:rPr>
          <w:rFonts w:hint="cs"/>
          <w:rtl/>
        </w:rPr>
        <w:t xml:space="preserve">[מבנה אחיד לתוכניות] </w:t>
      </w:r>
      <w:r w:rsidRPr="00D02CBC">
        <w:rPr>
          <w:rtl/>
        </w:rPr>
        <w:t>של מינהל התכנון וכן לפי הנחיות ותקנים מחייבים לפרוגרמה של משרדי הממשלה הרלוונטיים כגון משרד התחבורה, הגנת הסביבה וכיוצ״ב</w:t>
      </w:r>
      <w:r>
        <w:rPr>
          <w:rFonts w:hint="cs"/>
          <w:rtl/>
        </w:rPr>
        <w:t>".</w:t>
      </w:r>
    </w:p>
    <w:p w14:paraId="3F49C6D5" w14:textId="77777777" w:rsidR="009A28D9" w:rsidRPr="00D042AA" w:rsidRDefault="009A28D9" w:rsidP="00D042AA">
      <w:pPr>
        <w:pStyle w:val="12"/>
      </w:pPr>
      <w:r w:rsidRPr="00D042AA">
        <w:rPr>
          <w:rFonts w:hint="cs"/>
          <w:rtl/>
        </w:rPr>
        <w:lastRenderedPageBreak/>
        <w:t>יצוין כי ההנחיות לתכנון דוגמת אלה שהפיצו משרד הבינוי ומשרד הביטחון משמשות את המתכננים מטעמם נוסף על ההנחיות שרמ"י ציינה בתשובתה, וזאת כדי לקבוע סטנדרטים מינימליים מחייבים לתכנון ול</w:t>
      </w:r>
      <w:r w:rsidRPr="00D042AA">
        <w:rPr>
          <w:rtl/>
        </w:rPr>
        <w:t xml:space="preserve">הנחות </w:t>
      </w:r>
      <w:r w:rsidRPr="00D042AA">
        <w:rPr>
          <w:rFonts w:hint="cs"/>
          <w:rtl/>
        </w:rPr>
        <w:t xml:space="preserve">את המתכננים </w:t>
      </w:r>
      <w:r w:rsidRPr="00D042AA">
        <w:rPr>
          <w:rtl/>
        </w:rPr>
        <w:t>בדבר תהליך התכנון של תוכניות מפורטות על כל שלביו</w:t>
      </w:r>
      <w:r w:rsidRPr="00D042AA">
        <w:rPr>
          <w:rFonts w:hint="cs"/>
          <w:rtl/>
        </w:rPr>
        <w:t xml:space="preserve">. לאור תכליתן הראויה של ההנחיות, ראוי כי גם רמ"י תשקול הטמעתן. </w:t>
      </w:r>
    </w:p>
    <w:p w14:paraId="034C4A87" w14:textId="77777777" w:rsidR="009A28D9" w:rsidRDefault="009A28D9" w:rsidP="00D042AA">
      <w:pPr>
        <w:pStyle w:val="a0"/>
      </w:pPr>
      <w:r>
        <w:rPr>
          <w:rFonts w:hint="cs"/>
          <w:rtl/>
        </w:rPr>
        <w:t>בשנים האחרונות פעל משרד הבינוי בשיתוף עם המועצה הישראלית לבנייה ירוקה לגיבוש ולפיתוח של כלי מדידה שמטרתו לקדם תכנון שכונות איכותיות ומשגשגות לאורך זמן</w:t>
      </w:r>
      <w:r>
        <w:rPr>
          <w:rStyle w:val="FootnoteReference"/>
          <w:rtl/>
        </w:rPr>
        <w:footnoteReference w:id="52"/>
      </w:r>
      <w:r>
        <w:rPr>
          <w:rFonts w:hint="cs"/>
          <w:rtl/>
        </w:rPr>
        <w:t>. כלי מדידה זה מתייחס להיבטים שונים של תכנון מרחבי בסביבת המגורים, ובהם: שימוש יעיל במשאב הקרקע, יצירת מרחב ציבורי איכותי, תמהיל הדיור, שילוב היבטים חברתיים בתכנון, תכנון רחובות המעודדים הליכה, תחבורה ציבורית תדירה ונגישה, שימוש מופחת במים שפירים ועוד. בפברואר 2019 משרד הבינוי פרסם את גרסת הביניים של המסמך, ולדברי האדריכלית הראשית הוא משתמש בו בבדיקת התוכניות.</w:t>
      </w:r>
    </w:p>
    <w:p w14:paraId="76CE48B0" w14:textId="77777777" w:rsidR="009A28D9" w:rsidRPr="009D5175" w:rsidRDefault="009A28D9" w:rsidP="00D042AA">
      <w:pPr>
        <w:pStyle w:val="af0"/>
        <w:rPr>
          <w:rtl/>
        </w:rPr>
      </w:pPr>
      <w:r>
        <w:rPr>
          <w:rFonts w:hint="cs"/>
          <w:rtl/>
        </w:rPr>
        <w:t xml:space="preserve">רמ"י מסרה בתשובתה כי </w:t>
      </w:r>
      <w:r w:rsidRPr="009D5175">
        <w:rPr>
          <w:rtl/>
        </w:rPr>
        <w:t>אגף התכנון מעדכן את החברות המתכננות ואת המתכננים במרחבים בתדריכים חדשים ובהנחיות חדשות. למשל</w:t>
      </w:r>
      <w:r>
        <w:rPr>
          <w:rFonts w:hint="cs"/>
          <w:rtl/>
        </w:rPr>
        <w:t>,</w:t>
      </w:r>
      <w:r w:rsidRPr="009D5175">
        <w:rPr>
          <w:rtl/>
        </w:rPr>
        <w:t xml:space="preserve"> מתכנני </w:t>
      </w:r>
      <w:r>
        <w:rPr>
          <w:rFonts w:hint="cs"/>
          <w:rtl/>
        </w:rPr>
        <w:t>רמ"י</w:t>
      </w:r>
      <w:r w:rsidRPr="009D5175">
        <w:rPr>
          <w:rtl/>
        </w:rPr>
        <w:t xml:space="preserve"> עודכנו </w:t>
      </w:r>
      <w:r>
        <w:rPr>
          <w:rFonts w:hint="cs"/>
          <w:rtl/>
        </w:rPr>
        <w:t>ב</w:t>
      </w:r>
      <w:r w:rsidRPr="009D5175">
        <w:rPr>
          <w:rtl/>
        </w:rPr>
        <w:t xml:space="preserve">תדריך </w:t>
      </w:r>
      <w:r w:rsidRPr="00E86CC6">
        <w:rPr>
          <w:rtl/>
        </w:rPr>
        <w:t>"שכונה 360, מדדים לתכנון ופיתוח סביבת מגורים"</w:t>
      </w:r>
      <w:r w:rsidRPr="009D5175">
        <w:rPr>
          <w:rtl/>
        </w:rPr>
        <w:t xml:space="preserve"> </w:t>
      </w:r>
      <w:r>
        <w:rPr>
          <w:rFonts w:hint="cs"/>
          <w:rtl/>
        </w:rPr>
        <w:t>והשתתפו</w:t>
      </w:r>
      <w:r w:rsidRPr="009D5175">
        <w:rPr>
          <w:rtl/>
        </w:rPr>
        <w:t xml:space="preserve"> </w:t>
      </w:r>
      <w:r>
        <w:rPr>
          <w:rFonts w:hint="cs"/>
          <w:rtl/>
        </w:rPr>
        <w:t>ב</w:t>
      </w:r>
      <w:r w:rsidRPr="009D5175">
        <w:rPr>
          <w:rtl/>
        </w:rPr>
        <w:t xml:space="preserve">סדנה בנושא </w:t>
      </w:r>
      <w:r>
        <w:rPr>
          <w:rFonts w:hint="cs"/>
          <w:rtl/>
        </w:rPr>
        <w:t>ה</w:t>
      </w:r>
      <w:r w:rsidRPr="009D5175">
        <w:rPr>
          <w:rtl/>
        </w:rPr>
        <w:t>תדריך.</w:t>
      </w:r>
    </w:p>
    <w:p w14:paraId="1C59D7D8" w14:textId="77777777" w:rsidR="009A28D9" w:rsidRPr="00D042AA" w:rsidRDefault="009A28D9" w:rsidP="00D042AA">
      <w:pPr>
        <w:pStyle w:val="12"/>
        <w:rPr>
          <w:rtl/>
        </w:rPr>
      </w:pPr>
      <w:r w:rsidRPr="00D042AA">
        <w:rPr>
          <w:rFonts w:hint="cs"/>
          <w:rtl/>
        </w:rPr>
        <w:t xml:space="preserve">יש לראות בחיוב את פעולות רמ"י בכל הנוגע לעדכון המתכננים בתדריכים חדשים. ראוי כי רמ"י תבחן את השימוש בכלי עזר זה כאחד מהכלים לבחינת תוכניות שבאחריותה. </w:t>
      </w:r>
    </w:p>
    <w:p w14:paraId="2C7A5925" w14:textId="7789C989" w:rsidR="009A28D9" w:rsidRPr="003C3B8C" w:rsidRDefault="009A28D9" w:rsidP="0059702F">
      <w:pPr>
        <w:pStyle w:val="414"/>
        <w:rPr>
          <w:rFonts w:eastAsia="Times New Roman"/>
          <w:rtl/>
        </w:rPr>
      </w:pPr>
      <w:r>
        <w:rPr>
          <w:rFonts w:eastAsia="Times New Roman" w:hint="cs"/>
          <w:rtl/>
        </w:rPr>
        <w:t xml:space="preserve">בקרה על </w:t>
      </w:r>
      <w:r w:rsidRPr="003C3B8C">
        <w:rPr>
          <w:rFonts w:eastAsia="Times New Roman" w:hint="cs"/>
          <w:rtl/>
        </w:rPr>
        <w:t>התוכני</w:t>
      </w:r>
      <w:r>
        <w:rPr>
          <w:rFonts w:eastAsia="Times New Roman" w:hint="cs"/>
          <w:rtl/>
        </w:rPr>
        <w:t>ו</w:t>
      </w:r>
      <w:r w:rsidRPr="003C3B8C">
        <w:rPr>
          <w:rFonts w:eastAsia="Times New Roman" w:hint="cs"/>
          <w:rtl/>
        </w:rPr>
        <w:t>ת במשרד הבינוי</w:t>
      </w:r>
      <w:r>
        <w:rPr>
          <w:rFonts w:eastAsia="Times New Roman" w:hint="cs"/>
          <w:rtl/>
        </w:rPr>
        <w:t xml:space="preserve"> לפני הגשתן למוסדות התכנון</w:t>
      </w:r>
    </w:p>
    <w:p w14:paraId="50BA62A6" w14:textId="77777777" w:rsidR="009A28D9" w:rsidRPr="003C3B8C" w:rsidRDefault="009A28D9" w:rsidP="0059702F">
      <w:pPr>
        <w:pStyle w:val="100"/>
      </w:pPr>
      <w:r>
        <w:rPr>
          <w:rFonts w:hint="cs"/>
          <w:rtl/>
        </w:rPr>
        <w:t xml:space="preserve">בעבר היה תחום התכנון והביצוע במשרד הבינוי, לרבות קידום פעולות התכנון והוצאת התכנון לפועל, באחריות </w:t>
      </w:r>
      <w:r w:rsidRPr="003C3B8C">
        <w:rPr>
          <w:rFonts w:hint="cs"/>
          <w:rtl/>
        </w:rPr>
        <w:t>מינהל תכנון והנדסה</w:t>
      </w:r>
      <w:r>
        <w:rPr>
          <w:rFonts w:hint="cs"/>
          <w:rtl/>
        </w:rPr>
        <w:t xml:space="preserve">. בשנת 2011, בעקבות </w:t>
      </w:r>
      <w:r w:rsidRPr="003C3B8C">
        <w:rPr>
          <w:rFonts w:hint="cs"/>
          <w:rtl/>
        </w:rPr>
        <w:t>שינוי במבנה הארגוני</w:t>
      </w:r>
      <w:r>
        <w:rPr>
          <w:rFonts w:hint="cs"/>
          <w:rtl/>
        </w:rPr>
        <w:t xml:space="preserve"> של המשרד, </w:t>
      </w:r>
      <w:r w:rsidRPr="003C3B8C">
        <w:rPr>
          <w:rtl/>
        </w:rPr>
        <w:t xml:space="preserve">פורק </w:t>
      </w:r>
      <w:r>
        <w:rPr>
          <w:rFonts w:hint="cs"/>
          <w:rtl/>
        </w:rPr>
        <w:t xml:space="preserve">המינהל </w:t>
      </w:r>
      <w:r w:rsidRPr="003C3B8C">
        <w:rPr>
          <w:rtl/>
        </w:rPr>
        <w:t>לשני אגפים נפרדים</w:t>
      </w:r>
      <w:r w:rsidRPr="003C3B8C">
        <w:rPr>
          <w:rFonts w:hint="cs"/>
          <w:rtl/>
        </w:rPr>
        <w:t>: מינהל בני</w:t>
      </w:r>
      <w:r>
        <w:rPr>
          <w:rFonts w:hint="cs"/>
          <w:rtl/>
        </w:rPr>
        <w:t>י</w:t>
      </w:r>
      <w:r w:rsidRPr="003C3B8C">
        <w:rPr>
          <w:rFonts w:hint="cs"/>
          <w:rtl/>
        </w:rPr>
        <w:t>ה חדשה</w:t>
      </w:r>
      <w:r>
        <w:rPr>
          <w:rFonts w:hint="cs"/>
          <w:rtl/>
        </w:rPr>
        <w:t>,</w:t>
      </w:r>
      <w:r w:rsidRPr="003C3B8C">
        <w:rPr>
          <w:rFonts w:hint="cs"/>
          <w:rtl/>
        </w:rPr>
        <w:t xml:space="preserve"> </w:t>
      </w:r>
      <w:r>
        <w:rPr>
          <w:rFonts w:hint="cs"/>
          <w:rtl/>
        </w:rPr>
        <w:t>ש</w:t>
      </w:r>
      <w:r w:rsidRPr="003C3B8C">
        <w:rPr>
          <w:rtl/>
        </w:rPr>
        <w:t xml:space="preserve">מרכז את שלבי </w:t>
      </w:r>
      <w:r>
        <w:rPr>
          <w:rFonts w:hint="cs"/>
          <w:rtl/>
        </w:rPr>
        <w:t>ה</w:t>
      </w:r>
      <w:r w:rsidRPr="003C3B8C">
        <w:rPr>
          <w:rtl/>
        </w:rPr>
        <w:t xml:space="preserve">תכנון, </w:t>
      </w:r>
      <w:r>
        <w:rPr>
          <w:rFonts w:hint="cs"/>
          <w:rtl/>
        </w:rPr>
        <w:t>ה</w:t>
      </w:r>
      <w:r w:rsidRPr="003C3B8C">
        <w:rPr>
          <w:rtl/>
        </w:rPr>
        <w:t>פיתוח</w:t>
      </w:r>
      <w:r>
        <w:rPr>
          <w:rFonts w:hint="cs"/>
          <w:rtl/>
        </w:rPr>
        <w:t xml:space="preserve"> וה</w:t>
      </w:r>
      <w:r w:rsidRPr="003C3B8C">
        <w:rPr>
          <w:rtl/>
        </w:rPr>
        <w:t xml:space="preserve">שיווק </w:t>
      </w:r>
      <w:r>
        <w:rPr>
          <w:rFonts w:hint="cs"/>
          <w:rtl/>
        </w:rPr>
        <w:t>של הבנייה,</w:t>
      </w:r>
      <w:r w:rsidRPr="003C3B8C">
        <w:rPr>
          <w:rFonts w:hint="cs"/>
          <w:rtl/>
        </w:rPr>
        <w:t xml:space="preserve"> ומינהל הנדסה וביצוע</w:t>
      </w:r>
      <w:r>
        <w:rPr>
          <w:rFonts w:hint="cs"/>
          <w:rtl/>
        </w:rPr>
        <w:t>,</w:t>
      </w:r>
      <w:r w:rsidRPr="003C3B8C">
        <w:rPr>
          <w:rFonts w:hint="cs"/>
          <w:rtl/>
        </w:rPr>
        <w:t xml:space="preserve"> שתפקידו ה</w:t>
      </w:r>
      <w:r>
        <w:rPr>
          <w:rFonts w:hint="cs"/>
          <w:rtl/>
        </w:rPr>
        <w:t>עיקרי הוא לפעול כדי להוציא לפועל את ה</w:t>
      </w:r>
      <w:r w:rsidRPr="003C3B8C">
        <w:rPr>
          <w:rFonts w:hint="cs"/>
          <w:rtl/>
        </w:rPr>
        <w:t>תוכניות שהכין מינהל בנ</w:t>
      </w:r>
      <w:r>
        <w:rPr>
          <w:rFonts w:hint="cs"/>
          <w:rtl/>
        </w:rPr>
        <w:t>י</w:t>
      </w:r>
      <w:r w:rsidRPr="003C3B8C">
        <w:rPr>
          <w:rFonts w:hint="cs"/>
          <w:rtl/>
        </w:rPr>
        <w:t xml:space="preserve">יה חדשה. </w:t>
      </w:r>
    </w:p>
    <w:p w14:paraId="2DB78E3C" w14:textId="77777777" w:rsidR="009A28D9" w:rsidRPr="003C3B8C" w:rsidRDefault="009A28D9" w:rsidP="0059702F">
      <w:pPr>
        <w:pStyle w:val="100"/>
        <w:rPr>
          <w:rtl/>
        </w:rPr>
      </w:pPr>
      <w:r w:rsidRPr="003C3B8C">
        <w:rPr>
          <w:rFonts w:hint="cs"/>
          <w:rtl/>
        </w:rPr>
        <w:t>נוהל ליווי תכנון ק</w:t>
      </w:r>
      <w:r>
        <w:rPr>
          <w:rFonts w:hint="cs"/>
          <w:rtl/>
        </w:rPr>
        <w:t>ו</w:t>
      </w:r>
      <w:r w:rsidRPr="003C3B8C">
        <w:rPr>
          <w:rFonts w:hint="cs"/>
          <w:rtl/>
        </w:rPr>
        <w:t>ב</w:t>
      </w:r>
      <w:r>
        <w:rPr>
          <w:rFonts w:hint="cs"/>
          <w:rtl/>
        </w:rPr>
        <w:t>ע</w:t>
      </w:r>
      <w:r w:rsidRPr="003C3B8C">
        <w:rPr>
          <w:rFonts w:hint="cs"/>
          <w:rtl/>
        </w:rPr>
        <w:t xml:space="preserve"> כי תנאי מוקדם להגשת ת</w:t>
      </w:r>
      <w:r>
        <w:rPr>
          <w:rFonts w:hint="cs"/>
          <w:rtl/>
        </w:rPr>
        <w:t>ו</w:t>
      </w:r>
      <w:r w:rsidRPr="003C3B8C">
        <w:rPr>
          <w:rFonts w:hint="cs"/>
          <w:rtl/>
        </w:rPr>
        <w:t>כנית לוועדה סטטוטורית</w:t>
      </w:r>
      <w:r>
        <w:rPr>
          <w:rStyle w:val="FootnoteReference"/>
          <w:rFonts w:ascii="Arial" w:eastAsia="Times New Roman" w:hAnsi="Arial"/>
          <w:color w:val="000000"/>
          <w:sz w:val="24"/>
          <w:rtl/>
        </w:rPr>
        <w:footnoteReference w:id="53"/>
      </w:r>
      <w:r>
        <w:rPr>
          <w:rFonts w:hint="cs"/>
          <w:rtl/>
        </w:rPr>
        <w:t xml:space="preserve"> הוא </w:t>
      </w:r>
      <w:r w:rsidRPr="003C3B8C">
        <w:rPr>
          <w:rFonts w:hint="cs"/>
          <w:rtl/>
        </w:rPr>
        <w:t>אישור</w:t>
      </w:r>
      <w:r>
        <w:rPr>
          <w:rFonts w:hint="cs"/>
          <w:rtl/>
        </w:rPr>
        <w:t>ה</w:t>
      </w:r>
      <w:r w:rsidRPr="003C3B8C">
        <w:rPr>
          <w:rFonts w:hint="cs"/>
          <w:rtl/>
        </w:rPr>
        <w:t xml:space="preserve"> ב"ועדת אישורים" </w:t>
      </w:r>
      <w:r>
        <w:rPr>
          <w:rFonts w:hint="cs"/>
          <w:rtl/>
        </w:rPr>
        <w:t xml:space="preserve">משרדית </w:t>
      </w:r>
      <w:r w:rsidRPr="003C3B8C">
        <w:rPr>
          <w:rFonts w:hint="cs"/>
          <w:rtl/>
        </w:rPr>
        <w:t>שמתפקידיה לבחון ולבקר את הת</w:t>
      </w:r>
      <w:r>
        <w:rPr>
          <w:rFonts w:hint="cs"/>
          <w:rtl/>
        </w:rPr>
        <w:t>ו</w:t>
      </w:r>
      <w:r w:rsidRPr="003C3B8C">
        <w:rPr>
          <w:rFonts w:hint="cs"/>
          <w:rtl/>
        </w:rPr>
        <w:t>כניות</w:t>
      </w:r>
      <w:r>
        <w:rPr>
          <w:rFonts w:hint="cs"/>
          <w:rtl/>
        </w:rPr>
        <w:t xml:space="preserve"> ואת מידת </w:t>
      </w:r>
      <w:r w:rsidRPr="003C3B8C">
        <w:rPr>
          <w:rFonts w:hint="cs"/>
          <w:rtl/>
        </w:rPr>
        <w:t>התא</w:t>
      </w:r>
      <w:r>
        <w:rPr>
          <w:rFonts w:hint="cs"/>
          <w:rtl/>
        </w:rPr>
        <w:t>מתן</w:t>
      </w:r>
      <w:r w:rsidRPr="003C3B8C">
        <w:rPr>
          <w:rFonts w:hint="cs"/>
          <w:rtl/>
        </w:rPr>
        <w:t xml:space="preserve"> למדיניות </w:t>
      </w:r>
      <w:r>
        <w:rPr>
          <w:rFonts w:hint="cs"/>
          <w:rtl/>
        </w:rPr>
        <w:t>ה</w:t>
      </w:r>
      <w:r w:rsidRPr="003C3B8C">
        <w:rPr>
          <w:rFonts w:hint="cs"/>
          <w:rtl/>
        </w:rPr>
        <w:t>משרד</w:t>
      </w:r>
      <w:r>
        <w:rPr>
          <w:rFonts w:hint="cs"/>
          <w:rtl/>
        </w:rPr>
        <w:t xml:space="preserve"> </w:t>
      </w:r>
      <w:r w:rsidRPr="003C3B8C">
        <w:rPr>
          <w:rFonts w:hint="cs"/>
          <w:rtl/>
        </w:rPr>
        <w:t xml:space="preserve">בטרם הגשתן. בסמכות הוועדה </w:t>
      </w:r>
      <w:r>
        <w:rPr>
          <w:rFonts w:hint="cs"/>
          <w:rtl/>
        </w:rPr>
        <w:t xml:space="preserve">למשל </w:t>
      </w:r>
      <w:r w:rsidRPr="003C3B8C">
        <w:rPr>
          <w:rFonts w:hint="cs"/>
          <w:rtl/>
        </w:rPr>
        <w:t>להורות על עיבוד הת</w:t>
      </w:r>
      <w:r>
        <w:rPr>
          <w:rFonts w:hint="cs"/>
          <w:rtl/>
        </w:rPr>
        <w:t>ו</w:t>
      </w:r>
      <w:r w:rsidRPr="003C3B8C">
        <w:rPr>
          <w:rFonts w:hint="cs"/>
          <w:rtl/>
        </w:rPr>
        <w:t>כנית המוצעת,</w:t>
      </w:r>
      <w:r>
        <w:rPr>
          <w:rFonts w:hint="cs"/>
          <w:rtl/>
        </w:rPr>
        <w:t xml:space="preserve"> </w:t>
      </w:r>
      <w:r w:rsidRPr="003C3B8C">
        <w:rPr>
          <w:rFonts w:hint="cs"/>
          <w:rtl/>
        </w:rPr>
        <w:t>תיקונה, הקפאתה או ביטולה. לפי הנוהל</w:t>
      </w:r>
      <w:r>
        <w:rPr>
          <w:rFonts w:hint="cs"/>
          <w:rtl/>
        </w:rPr>
        <w:t>,</w:t>
      </w:r>
      <w:r w:rsidRPr="003C3B8C">
        <w:rPr>
          <w:rFonts w:hint="cs"/>
          <w:rtl/>
        </w:rPr>
        <w:t xml:space="preserve"> בראש </w:t>
      </w:r>
      <w:r>
        <w:rPr>
          <w:rFonts w:hint="cs"/>
          <w:rtl/>
        </w:rPr>
        <w:t>הו</w:t>
      </w:r>
      <w:r w:rsidRPr="003C3B8C">
        <w:rPr>
          <w:rFonts w:hint="cs"/>
          <w:rtl/>
        </w:rPr>
        <w:t>ועד</w:t>
      </w:r>
      <w:r>
        <w:rPr>
          <w:rFonts w:hint="cs"/>
          <w:rtl/>
        </w:rPr>
        <w:t>ה</w:t>
      </w:r>
      <w:r w:rsidRPr="003C3B8C">
        <w:rPr>
          <w:rFonts w:hint="cs"/>
          <w:rtl/>
        </w:rPr>
        <w:t xml:space="preserve"> י</w:t>
      </w:r>
      <w:r>
        <w:rPr>
          <w:rFonts w:hint="cs"/>
          <w:rtl/>
        </w:rPr>
        <w:t>כהן</w:t>
      </w:r>
      <w:r w:rsidRPr="003C3B8C">
        <w:rPr>
          <w:rFonts w:hint="cs"/>
          <w:rtl/>
        </w:rPr>
        <w:t xml:space="preserve"> מנהל מינהל תכנון והנדסה</w:t>
      </w:r>
      <w:r>
        <w:rPr>
          <w:rFonts w:hint="cs"/>
          <w:rtl/>
        </w:rPr>
        <w:t>,</w:t>
      </w:r>
      <w:r w:rsidRPr="003C3B8C">
        <w:rPr>
          <w:rFonts w:hint="cs"/>
          <w:rtl/>
        </w:rPr>
        <w:t xml:space="preserve"> שכאמור פורק. </w:t>
      </w:r>
    </w:p>
    <w:p w14:paraId="06F385EE" w14:textId="77777777" w:rsidR="009A28D9" w:rsidRDefault="009A28D9" w:rsidP="0059702F">
      <w:pPr>
        <w:pStyle w:val="af1"/>
        <w:rPr>
          <w:rtl/>
        </w:rPr>
      </w:pPr>
      <w:r w:rsidRPr="003C3B8C">
        <w:rPr>
          <w:rFonts w:hint="eastAsia"/>
          <w:rtl/>
        </w:rPr>
        <w:lastRenderedPageBreak/>
        <w:t>בביקורת</w:t>
      </w:r>
      <w:r w:rsidRPr="003C3B8C">
        <w:rPr>
          <w:rtl/>
        </w:rPr>
        <w:t xml:space="preserve"> </w:t>
      </w:r>
      <w:r w:rsidRPr="003C3B8C">
        <w:rPr>
          <w:rFonts w:hint="eastAsia"/>
          <w:rtl/>
        </w:rPr>
        <w:t>עלה</w:t>
      </w:r>
      <w:r w:rsidRPr="003C3B8C">
        <w:rPr>
          <w:rtl/>
        </w:rPr>
        <w:t xml:space="preserve"> </w:t>
      </w:r>
      <w:r w:rsidRPr="003C3B8C">
        <w:rPr>
          <w:rFonts w:hint="eastAsia"/>
          <w:rtl/>
        </w:rPr>
        <w:t>כי</w:t>
      </w:r>
      <w:r w:rsidRPr="003C3B8C">
        <w:rPr>
          <w:rtl/>
        </w:rPr>
        <w:t xml:space="preserve"> </w:t>
      </w:r>
      <w:r w:rsidRPr="003C3B8C">
        <w:rPr>
          <w:rFonts w:hint="eastAsia"/>
          <w:rtl/>
        </w:rPr>
        <w:t>מ</w:t>
      </w:r>
      <w:r>
        <w:rPr>
          <w:rFonts w:hint="cs"/>
          <w:rtl/>
        </w:rPr>
        <w:t>אז השינוי הארגוני במשרד הבינוי ב</w:t>
      </w:r>
      <w:r w:rsidRPr="003C3B8C">
        <w:rPr>
          <w:rFonts w:hint="eastAsia"/>
          <w:rtl/>
        </w:rPr>
        <w:t>שנת</w:t>
      </w:r>
      <w:r w:rsidRPr="003C3B8C">
        <w:rPr>
          <w:rtl/>
        </w:rPr>
        <w:t xml:space="preserve"> 2011</w:t>
      </w:r>
      <w:r>
        <w:rPr>
          <w:rFonts w:hint="cs"/>
          <w:rtl/>
        </w:rPr>
        <w:t xml:space="preserve"> </w:t>
      </w:r>
      <w:r w:rsidRPr="003C3B8C">
        <w:rPr>
          <w:rFonts w:hint="eastAsia"/>
          <w:rtl/>
        </w:rPr>
        <w:t>ועדת</w:t>
      </w:r>
      <w:r w:rsidRPr="003C3B8C">
        <w:rPr>
          <w:rtl/>
        </w:rPr>
        <w:t xml:space="preserve"> </w:t>
      </w:r>
      <w:r w:rsidRPr="003C3B8C">
        <w:rPr>
          <w:rFonts w:hint="eastAsia"/>
          <w:rtl/>
        </w:rPr>
        <w:t>האישורים</w:t>
      </w:r>
      <w:r w:rsidRPr="003C3B8C">
        <w:rPr>
          <w:rtl/>
        </w:rPr>
        <w:t xml:space="preserve"> </w:t>
      </w:r>
      <w:r w:rsidRPr="003C3B8C">
        <w:rPr>
          <w:rFonts w:hint="eastAsia"/>
          <w:rtl/>
        </w:rPr>
        <w:t>אינה</w:t>
      </w:r>
      <w:r w:rsidRPr="003C3B8C">
        <w:rPr>
          <w:rtl/>
        </w:rPr>
        <w:t xml:space="preserve"> </w:t>
      </w:r>
      <w:r w:rsidRPr="003C3B8C">
        <w:rPr>
          <w:rFonts w:hint="eastAsia"/>
          <w:rtl/>
        </w:rPr>
        <w:t>פועלת</w:t>
      </w:r>
      <w:r>
        <w:rPr>
          <w:rFonts w:hint="cs"/>
          <w:rtl/>
        </w:rPr>
        <w:t>, וכי אין החלטה עקרונית שהתקבלה בנוגע לכך.</w:t>
      </w:r>
    </w:p>
    <w:p w14:paraId="244DEF58" w14:textId="77777777" w:rsidR="009A28D9" w:rsidRDefault="009A28D9" w:rsidP="0059702F">
      <w:pPr>
        <w:pStyle w:val="af1"/>
        <w:rPr>
          <w:b/>
          <w:bCs/>
          <w:rtl/>
        </w:rPr>
      </w:pPr>
      <w:r w:rsidRPr="0059702F">
        <w:rPr>
          <w:rFonts w:hint="cs"/>
          <w:rtl/>
        </w:rPr>
        <w:t>משרד מבקר המדינה ממליץ למשרד הבינוי, נוכח הזמן הרב שחלף מאז חדלה הוועדה לפעול, ונוכח השינויים הארגוניים שבוצעו, לבחון את מכלול סדרי הליווי והבקרה של התוכניות שבאחריותו ואת התאמתם למבנה הארגוני הנוכחי.</w:t>
      </w:r>
    </w:p>
    <w:p w14:paraId="276ABE9F" w14:textId="77777777" w:rsidR="009A28D9" w:rsidRDefault="009A28D9" w:rsidP="0059702F">
      <w:pPr>
        <w:pStyle w:val="100"/>
        <w:rPr>
          <w:rtl/>
        </w:rPr>
      </w:pPr>
      <w:r w:rsidRPr="00C1547B">
        <w:rPr>
          <w:rFonts w:hint="cs"/>
          <w:rtl/>
        </w:rPr>
        <w:t xml:space="preserve">משרד הבינוי </w:t>
      </w:r>
      <w:r>
        <w:rPr>
          <w:rFonts w:hint="cs"/>
          <w:rtl/>
        </w:rPr>
        <w:t>מסר בתשובתו</w:t>
      </w:r>
      <w:r w:rsidRPr="00C1547B">
        <w:rPr>
          <w:rFonts w:hint="cs"/>
          <w:rtl/>
        </w:rPr>
        <w:t xml:space="preserve"> כי </w:t>
      </w:r>
      <w:r>
        <w:rPr>
          <w:rFonts w:hint="cs"/>
          <w:rtl/>
        </w:rPr>
        <w:t xml:space="preserve">יפעל לעדכן את הנוהל הפנימי ולהתאים את המבנה הארגוני למכלול סידורי הליווי והבקרה של התוכניות שבאחריותו. הוא הוסיף כי </w:t>
      </w:r>
      <w:r>
        <w:rPr>
          <w:rtl/>
        </w:rPr>
        <w:t>אף ש</w:t>
      </w:r>
      <w:r>
        <w:rPr>
          <w:rFonts w:hint="cs"/>
          <w:rtl/>
        </w:rPr>
        <w:t>ו</w:t>
      </w:r>
      <w:r>
        <w:rPr>
          <w:rtl/>
        </w:rPr>
        <w:t>ועדת האישורים אינה פועלת</w:t>
      </w:r>
      <w:r>
        <w:rPr>
          <w:rFonts w:hint="cs"/>
          <w:rtl/>
        </w:rPr>
        <w:t>,</w:t>
      </w:r>
      <w:r>
        <w:rPr>
          <w:rtl/>
        </w:rPr>
        <w:t xml:space="preserve"> ימי</w:t>
      </w:r>
      <w:r>
        <w:rPr>
          <w:rFonts w:hint="cs"/>
          <w:rtl/>
        </w:rPr>
        <w:t xml:space="preserve"> </w:t>
      </w:r>
      <w:r>
        <w:rPr>
          <w:rtl/>
        </w:rPr>
        <w:t>ליווי תכנון מקצועיים מתקיימים על בסיס קבוע וסדור ובנוכחות האדריכלית הראשית, רפרנטים מהמחוז</w:t>
      </w:r>
      <w:r>
        <w:rPr>
          <w:rFonts w:hint="cs"/>
          <w:rtl/>
        </w:rPr>
        <w:t xml:space="preserve"> </w:t>
      </w:r>
      <w:r>
        <w:rPr>
          <w:rtl/>
        </w:rPr>
        <w:t>ורפרנטים מהמטה</w:t>
      </w:r>
      <w:r>
        <w:rPr>
          <w:rFonts w:hint="cs"/>
          <w:rtl/>
        </w:rPr>
        <w:t>.</w:t>
      </w:r>
    </w:p>
    <w:p w14:paraId="6A0685F6" w14:textId="77777777" w:rsidR="009A28D9" w:rsidRDefault="009A28D9" w:rsidP="0059702F">
      <w:pPr>
        <w:pStyle w:val="414"/>
        <w:rPr>
          <w:rtl/>
        </w:rPr>
      </w:pPr>
      <w:r w:rsidRPr="00FB31E1">
        <w:rPr>
          <w:rFonts w:eastAsia="Times New Roman" w:hint="cs"/>
          <w:rtl/>
        </w:rPr>
        <w:t>פעולות לקידום זרימת המידע בין המערכות הממוחשבות במשרד הבינוי</w:t>
      </w:r>
    </w:p>
    <w:p w14:paraId="2D9CA5DE" w14:textId="77777777" w:rsidR="009A28D9" w:rsidRDefault="009A28D9" w:rsidP="0059702F">
      <w:pPr>
        <w:pStyle w:val="100"/>
        <w:rPr>
          <w:rtl/>
        </w:rPr>
      </w:pPr>
      <w:r w:rsidRPr="00B96FE0">
        <w:rPr>
          <w:rFonts w:hint="cs"/>
          <w:rtl/>
        </w:rPr>
        <w:t>פע</w:t>
      </w:r>
      <w:r>
        <w:rPr>
          <w:rFonts w:hint="cs"/>
          <w:rtl/>
        </w:rPr>
        <w:t>ו</w:t>
      </w:r>
      <w:r w:rsidRPr="00B96FE0">
        <w:rPr>
          <w:rFonts w:hint="cs"/>
          <w:rtl/>
        </w:rPr>
        <w:t xml:space="preserve">לות קידום </w:t>
      </w:r>
      <w:r>
        <w:rPr>
          <w:rFonts w:hint="cs"/>
          <w:rtl/>
        </w:rPr>
        <w:t>עבודות התכנון</w:t>
      </w:r>
      <w:r w:rsidRPr="00B96FE0">
        <w:rPr>
          <w:rFonts w:hint="cs"/>
          <w:rtl/>
        </w:rPr>
        <w:t xml:space="preserve"> וה</w:t>
      </w:r>
      <w:r>
        <w:rPr>
          <w:rFonts w:hint="cs"/>
          <w:rtl/>
        </w:rPr>
        <w:t>ה</w:t>
      </w:r>
      <w:r w:rsidRPr="00B96FE0">
        <w:rPr>
          <w:rFonts w:hint="cs"/>
          <w:rtl/>
        </w:rPr>
        <w:t>תקשרויות עם מתכננים</w:t>
      </w:r>
      <w:r>
        <w:rPr>
          <w:rFonts w:hint="cs"/>
          <w:rtl/>
        </w:rPr>
        <w:t xml:space="preserve"> וחברות מתכננות</w:t>
      </w:r>
      <w:r w:rsidRPr="00B96FE0">
        <w:rPr>
          <w:rFonts w:hint="cs"/>
          <w:rtl/>
        </w:rPr>
        <w:t xml:space="preserve"> במשרד הבינוי מ</w:t>
      </w:r>
      <w:r>
        <w:rPr>
          <w:rFonts w:hint="cs"/>
          <w:rtl/>
        </w:rPr>
        <w:t>נוהלות ב</w:t>
      </w:r>
      <w:r w:rsidRPr="00B96FE0">
        <w:rPr>
          <w:rFonts w:hint="cs"/>
          <w:rtl/>
        </w:rPr>
        <w:t>ארבע מערכות מידע ממוחשבות:</w:t>
      </w:r>
      <w:r>
        <w:rPr>
          <w:rFonts w:hint="cs"/>
          <w:rtl/>
        </w:rPr>
        <w:t xml:space="preserve"> </w:t>
      </w:r>
      <w:r w:rsidRPr="00B96FE0">
        <w:rPr>
          <w:rFonts w:hint="cs"/>
          <w:rtl/>
        </w:rPr>
        <w:t xml:space="preserve">(א) התקשרויות מתכננים - מערכת </w:t>
      </w:r>
      <w:r>
        <w:rPr>
          <w:rFonts w:hint="cs"/>
          <w:rtl/>
        </w:rPr>
        <w:t>ש</w:t>
      </w:r>
      <w:r w:rsidRPr="00B96FE0">
        <w:rPr>
          <w:rFonts w:hint="cs"/>
          <w:rtl/>
        </w:rPr>
        <w:t>אליה מזינים נתונים לצורך הכנת חוזי התקשר</w:t>
      </w:r>
      <w:r>
        <w:rPr>
          <w:rFonts w:hint="cs"/>
          <w:rtl/>
        </w:rPr>
        <w:t>ות עם מתכננים</w:t>
      </w:r>
      <w:r w:rsidRPr="00B96FE0">
        <w:rPr>
          <w:rFonts w:hint="cs"/>
          <w:rtl/>
        </w:rPr>
        <w:t>;</w:t>
      </w:r>
      <w:r>
        <w:rPr>
          <w:rFonts w:hint="cs"/>
          <w:rtl/>
        </w:rPr>
        <w:t xml:space="preserve"> </w:t>
      </w:r>
      <w:r w:rsidRPr="00B96FE0">
        <w:rPr>
          <w:rFonts w:hint="cs"/>
          <w:rtl/>
        </w:rPr>
        <w:t xml:space="preserve">(ב) מעקב תכנון </w:t>
      </w:r>
      <w:r>
        <w:rPr>
          <w:rtl/>
        </w:rPr>
        <w:t>-</w:t>
      </w:r>
      <w:r w:rsidRPr="00B96FE0">
        <w:rPr>
          <w:rFonts w:hint="cs"/>
          <w:rtl/>
        </w:rPr>
        <w:t xml:space="preserve"> </w:t>
      </w:r>
      <w:r>
        <w:rPr>
          <w:rFonts w:hint="cs"/>
          <w:rtl/>
        </w:rPr>
        <w:t>מערכת ה</w:t>
      </w:r>
      <w:r w:rsidRPr="00B96FE0">
        <w:rPr>
          <w:rFonts w:hint="cs"/>
          <w:rtl/>
        </w:rPr>
        <w:t>כוללת</w:t>
      </w:r>
      <w:r>
        <w:rPr>
          <w:rFonts w:hint="cs"/>
          <w:rtl/>
        </w:rPr>
        <w:t xml:space="preserve"> את אבני הדרך ואת השלב שבו מצוי הפרויקט</w:t>
      </w:r>
      <w:r w:rsidRPr="00B96FE0">
        <w:rPr>
          <w:rFonts w:hint="cs"/>
          <w:rtl/>
        </w:rPr>
        <w:t>;</w:t>
      </w:r>
      <w:r>
        <w:rPr>
          <w:rFonts w:hint="cs"/>
          <w:rtl/>
        </w:rPr>
        <w:t xml:space="preserve"> </w:t>
      </w:r>
      <w:r w:rsidRPr="00B96FE0">
        <w:rPr>
          <w:rFonts w:hint="cs"/>
          <w:rtl/>
        </w:rPr>
        <w:t>(ג) מערכת</w:t>
      </w:r>
      <w:r w:rsidRPr="00B96FE0">
        <w:rPr>
          <w:rtl/>
        </w:rPr>
        <w:t xml:space="preserve"> המודל התכנוני הדינמי</w:t>
      </w:r>
      <w:r w:rsidRPr="00B96FE0">
        <w:rPr>
          <w:rFonts w:hint="cs"/>
          <w:rtl/>
        </w:rPr>
        <w:t xml:space="preserve"> - כלי טכנולוגי </w:t>
      </w:r>
      <w:r>
        <w:rPr>
          <w:rFonts w:hint="cs"/>
          <w:rtl/>
        </w:rPr>
        <w:t>ש</w:t>
      </w:r>
      <w:r w:rsidRPr="00B96FE0">
        <w:rPr>
          <w:rFonts w:hint="cs"/>
          <w:rtl/>
        </w:rPr>
        <w:t>מזינים</w:t>
      </w:r>
      <w:r>
        <w:rPr>
          <w:rFonts w:hint="cs"/>
          <w:rtl/>
        </w:rPr>
        <w:t xml:space="preserve"> אותו</w:t>
      </w:r>
      <w:r w:rsidRPr="00B96FE0">
        <w:rPr>
          <w:rFonts w:hint="cs"/>
          <w:rtl/>
        </w:rPr>
        <w:t xml:space="preserve"> בנתונים של שטח הת</w:t>
      </w:r>
      <w:r>
        <w:rPr>
          <w:rFonts w:hint="cs"/>
          <w:rtl/>
        </w:rPr>
        <w:t>ו</w:t>
      </w:r>
      <w:r w:rsidRPr="00B96FE0">
        <w:rPr>
          <w:rFonts w:hint="cs"/>
          <w:rtl/>
        </w:rPr>
        <w:t xml:space="preserve">כנית, כמות יח"ד וצפיפות ומקבלים את הפרוגרמה הכוללת </w:t>
      </w:r>
      <w:r>
        <w:rPr>
          <w:rFonts w:hint="cs"/>
          <w:rtl/>
        </w:rPr>
        <w:t xml:space="preserve">את </w:t>
      </w:r>
      <w:r w:rsidRPr="00B96FE0">
        <w:rPr>
          <w:rFonts w:hint="cs"/>
          <w:rtl/>
        </w:rPr>
        <w:t>כמות המגורים וכמות השטחים הציבוריים, השטחים הפתוחים</w:t>
      </w:r>
      <w:r>
        <w:rPr>
          <w:rFonts w:hint="cs"/>
          <w:rtl/>
        </w:rPr>
        <w:t>,</w:t>
      </w:r>
      <w:r w:rsidRPr="00B96FE0">
        <w:rPr>
          <w:rFonts w:hint="cs"/>
          <w:rtl/>
        </w:rPr>
        <w:t xml:space="preserve"> שטחי הדרכים, שטחי מסחר ותעסוקה ועוד. מהמודל נגזר התעריף של עלות הת</w:t>
      </w:r>
      <w:r>
        <w:rPr>
          <w:rFonts w:hint="cs"/>
          <w:rtl/>
        </w:rPr>
        <w:t>ו</w:t>
      </w:r>
      <w:r w:rsidRPr="00B96FE0">
        <w:rPr>
          <w:rFonts w:hint="cs"/>
          <w:rtl/>
        </w:rPr>
        <w:t>כנית ו</w:t>
      </w:r>
      <w:r>
        <w:rPr>
          <w:rFonts w:hint="cs"/>
          <w:rtl/>
        </w:rPr>
        <w:t xml:space="preserve">של </w:t>
      </w:r>
      <w:r w:rsidRPr="00B96FE0">
        <w:rPr>
          <w:rFonts w:hint="cs"/>
          <w:rtl/>
        </w:rPr>
        <w:t>שכר הטרחה של המתכננים והיועצים;</w:t>
      </w:r>
      <w:r>
        <w:rPr>
          <w:rFonts w:hint="cs"/>
          <w:rtl/>
        </w:rPr>
        <w:t xml:space="preserve"> </w:t>
      </w:r>
      <w:r w:rsidRPr="00B96FE0">
        <w:rPr>
          <w:rFonts w:hint="cs"/>
          <w:rtl/>
        </w:rPr>
        <w:t>(ד) משל"ט - מערכת שבודקת לוחות זמנים וחשבונות בעיכוב.</w:t>
      </w:r>
    </w:p>
    <w:p w14:paraId="6D940119" w14:textId="77777777" w:rsidR="009A28D9" w:rsidRPr="00C50DCB" w:rsidRDefault="009A28D9" w:rsidP="009A28D9">
      <w:pPr>
        <w:spacing w:line="269" w:lineRule="auto"/>
        <w:rPr>
          <w:rFonts w:ascii="Arial" w:eastAsia="Times New Roman" w:hAnsi="Arial"/>
          <w:color w:val="000000"/>
          <w:sz w:val="24"/>
          <w:rtl/>
        </w:rPr>
      </w:pPr>
    </w:p>
    <w:p w14:paraId="22DB556C" w14:textId="77777777" w:rsidR="00B26669" w:rsidRDefault="00B26669">
      <w:pPr>
        <w:bidi w:val="0"/>
        <w:spacing w:after="200" w:line="276" w:lineRule="auto"/>
        <w:rPr>
          <w:b/>
          <w:bCs/>
          <w:rtl/>
        </w:rPr>
      </w:pPr>
      <w:r>
        <w:rPr>
          <w:b/>
          <w:bCs/>
          <w:rtl/>
        </w:rPr>
        <w:br w:type="page"/>
      </w:r>
    </w:p>
    <w:p w14:paraId="61FB18E9" w14:textId="5F6DB019" w:rsidR="009A28D9" w:rsidRPr="002803A8" w:rsidRDefault="009A28D9" w:rsidP="00B26669">
      <w:pPr>
        <w:pStyle w:val="a6"/>
        <w:rPr>
          <w:rtl/>
        </w:rPr>
      </w:pPr>
      <w:r w:rsidRPr="002803A8">
        <w:rPr>
          <w:rFonts w:hint="eastAsia"/>
          <w:rtl/>
        </w:rPr>
        <w:lastRenderedPageBreak/>
        <w:t>תרשים</w:t>
      </w:r>
      <w:r w:rsidRPr="002803A8">
        <w:rPr>
          <w:rtl/>
        </w:rPr>
        <w:t xml:space="preserve"> 1</w:t>
      </w:r>
      <w:r>
        <w:rPr>
          <w:rFonts w:hint="cs"/>
          <w:rtl/>
        </w:rPr>
        <w:t>2</w:t>
      </w:r>
      <w:r w:rsidRPr="002803A8">
        <w:rPr>
          <w:rtl/>
        </w:rPr>
        <w:t xml:space="preserve">: </w:t>
      </w:r>
      <w:r w:rsidRPr="00B26669">
        <w:rPr>
          <w:b/>
          <w:bCs/>
          <w:rtl/>
        </w:rPr>
        <w:t xml:space="preserve">מערכות מידע ממוחשבות </w:t>
      </w:r>
      <w:r w:rsidRPr="00B26669">
        <w:rPr>
          <w:rFonts w:hint="cs"/>
          <w:b/>
          <w:bCs/>
          <w:rtl/>
        </w:rPr>
        <w:t>במשרד הבינוי ה</w:t>
      </w:r>
      <w:r w:rsidRPr="00B26669">
        <w:rPr>
          <w:b/>
          <w:bCs/>
          <w:rtl/>
        </w:rPr>
        <w:t xml:space="preserve">תומכות </w:t>
      </w:r>
      <w:r w:rsidRPr="00B26669">
        <w:rPr>
          <w:rFonts w:hint="cs"/>
          <w:b/>
          <w:bCs/>
          <w:rtl/>
        </w:rPr>
        <w:t>ב</w:t>
      </w:r>
      <w:r w:rsidRPr="00B26669">
        <w:rPr>
          <w:b/>
          <w:bCs/>
          <w:rtl/>
        </w:rPr>
        <w:t>שלבים</w:t>
      </w:r>
      <w:r w:rsidR="00B26669">
        <w:rPr>
          <w:b/>
          <w:bCs/>
          <w:rtl/>
        </w:rPr>
        <w:br/>
      </w:r>
      <w:r w:rsidRPr="00B26669">
        <w:rPr>
          <w:b/>
          <w:bCs/>
          <w:rtl/>
        </w:rPr>
        <w:t>בתהליך התכנון</w:t>
      </w:r>
    </w:p>
    <w:p w14:paraId="4CFBC9DA" w14:textId="6BAA0DB6" w:rsidR="009A28D9" w:rsidRPr="00B26669" w:rsidRDefault="009A28D9" w:rsidP="00B26669">
      <w:pPr>
        <w:pStyle w:val="100"/>
        <w:jc w:val="center"/>
        <w:rPr>
          <w:b/>
          <w:bCs/>
          <w:rtl/>
        </w:rPr>
      </w:pPr>
      <w:r w:rsidRPr="00B26669">
        <w:rPr>
          <w:rFonts w:hint="cs"/>
          <w:b/>
          <w:bCs/>
          <w:rtl/>
        </w:rPr>
        <w:t>מערכות המידע</w:t>
      </w:r>
      <w:r w:rsidR="00267025">
        <w:rPr>
          <w:rFonts w:hint="cs"/>
          <w:b/>
          <w:bCs/>
          <w:rtl/>
        </w:rPr>
        <w:t xml:space="preserve">                                                                                       </w:t>
      </w:r>
      <w:r w:rsidRPr="00B26669">
        <w:rPr>
          <w:rFonts w:hint="cs"/>
          <w:b/>
          <w:bCs/>
          <w:rtl/>
        </w:rPr>
        <w:t>שלבים</w:t>
      </w:r>
    </w:p>
    <w:p w14:paraId="727B8BD4" w14:textId="77777777" w:rsidR="009A28D9" w:rsidRDefault="009A28D9" w:rsidP="00B26669">
      <w:pPr>
        <w:pStyle w:val="a6"/>
        <w:rPr>
          <w:rtl/>
        </w:rPr>
      </w:pPr>
      <w:r>
        <w:rPr>
          <w:rFonts w:hint="cs"/>
          <w:noProof/>
          <w:rtl/>
        </w:rPr>
        <w:drawing>
          <wp:inline distT="0" distB="0" distL="0" distR="0" wp14:anchorId="15E85774" wp14:editId="7A65524F">
            <wp:extent cx="4967785" cy="2777319"/>
            <wp:effectExtent l="38100" t="19050" r="61595" b="42545"/>
            <wp:docPr id="30" name="דיאגרמה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6E0D8077" w14:textId="77777777" w:rsidR="009A28D9" w:rsidRDefault="009A28D9" w:rsidP="00B26669">
      <w:pPr>
        <w:pStyle w:val="af1"/>
        <w:rPr>
          <w:rtl/>
        </w:rPr>
      </w:pPr>
      <w:r>
        <w:rPr>
          <w:rFonts w:hint="cs"/>
          <w:rtl/>
        </w:rPr>
        <w:t>נמצא שאף שייעודן של המערכות הוא לנהל את פעולות התכנון על כל שלביהן, הן</w:t>
      </w:r>
      <w:r w:rsidRPr="0053153E">
        <w:rPr>
          <w:rtl/>
        </w:rPr>
        <w:t xml:space="preserve"> אינן מתקשרות ביניהן</w:t>
      </w:r>
      <w:r>
        <w:rPr>
          <w:rFonts w:hint="cs"/>
          <w:rtl/>
        </w:rPr>
        <w:t>.</w:t>
      </w:r>
      <w:r w:rsidRPr="0053153E">
        <w:rPr>
          <w:rtl/>
        </w:rPr>
        <w:t xml:space="preserve"> כל אחת </w:t>
      </w:r>
      <w:r>
        <w:rPr>
          <w:rFonts w:hint="cs"/>
          <w:rtl/>
        </w:rPr>
        <w:t xml:space="preserve">מהן פועלת </w:t>
      </w:r>
      <w:r w:rsidRPr="0053153E">
        <w:rPr>
          <w:rtl/>
        </w:rPr>
        <w:t>בנפרד</w:t>
      </w:r>
      <w:r>
        <w:rPr>
          <w:rFonts w:hint="cs"/>
          <w:rtl/>
        </w:rPr>
        <w:t xml:space="preserve"> ויש לה בסיס נתונים עצמאי,</w:t>
      </w:r>
      <w:r w:rsidRPr="0053153E">
        <w:rPr>
          <w:rtl/>
        </w:rPr>
        <w:t xml:space="preserve"> למעט חיבור חלקי בין משל"ט למערכת מעקב תכנון.</w:t>
      </w:r>
      <w:r>
        <w:rPr>
          <w:rFonts w:hint="cs"/>
          <w:rtl/>
        </w:rPr>
        <w:t xml:space="preserve"> </w:t>
      </w:r>
    </w:p>
    <w:p w14:paraId="64FAA3D5" w14:textId="77777777" w:rsidR="009A28D9" w:rsidRDefault="009A28D9" w:rsidP="00B26669">
      <w:pPr>
        <w:pStyle w:val="100"/>
        <w:rPr>
          <w:rtl/>
        </w:rPr>
      </w:pPr>
      <w:r>
        <w:rPr>
          <w:rFonts w:hint="cs"/>
          <w:rtl/>
        </w:rPr>
        <w:t xml:space="preserve">לדוגמה, </w:t>
      </w:r>
      <w:r w:rsidRPr="00AF76E2">
        <w:rPr>
          <w:rFonts w:hint="cs"/>
          <w:rtl/>
        </w:rPr>
        <w:t xml:space="preserve">מערכת המודל התכנוני הדינמי אינה מקושרת למערכת </w:t>
      </w:r>
      <w:r>
        <w:rPr>
          <w:rFonts w:hint="cs"/>
          <w:rtl/>
        </w:rPr>
        <w:t>התקשרויות מתכננים. משמעות הדבר</w:t>
      </w:r>
      <w:r w:rsidRPr="00AF76E2">
        <w:rPr>
          <w:rFonts w:hint="cs"/>
          <w:rtl/>
        </w:rPr>
        <w:t xml:space="preserve"> שבכל מקרה של שינוי בתנאי ההתקשרות, הנובע למשל מתוספת יח</w:t>
      </w:r>
      <w:r>
        <w:rPr>
          <w:rFonts w:hint="cs"/>
          <w:rtl/>
        </w:rPr>
        <w:t>"</w:t>
      </w:r>
      <w:r w:rsidRPr="00AF76E2">
        <w:rPr>
          <w:rFonts w:hint="cs"/>
          <w:rtl/>
        </w:rPr>
        <w:t>ד בתו</w:t>
      </w:r>
      <w:r>
        <w:rPr>
          <w:rFonts w:hint="cs"/>
          <w:rtl/>
        </w:rPr>
        <w:t>כנית, התמורה בגין השינוי מחושבת ב</w:t>
      </w:r>
      <w:r w:rsidRPr="00AF76E2">
        <w:rPr>
          <w:rFonts w:hint="cs"/>
          <w:rtl/>
        </w:rPr>
        <w:t>אגף התכנון שבמטה</w:t>
      </w:r>
      <w:r>
        <w:rPr>
          <w:rFonts w:hint="cs"/>
          <w:rtl/>
        </w:rPr>
        <w:t>,</w:t>
      </w:r>
      <w:r w:rsidRPr="00AF76E2">
        <w:rPr>
          <w:rFonts w:hint="cs"/>
          <w:rtl/>
        </w:rPr>
        <w:t xml:space="preserve"> והנתונים החדשים מוזנים באופן ידני </w:t>
      </w:r>
      <w:r>
        <w:rPr>
          <w:rFonts w:hint="cs"/>
          <w:rtl/>
        </w:rPr>
        <w:t>ב</w:t>
      </w:r>
      <w:r w:rsidRPr="00AF76E2">
        <w:rPr>
          <w:rFonts w:hint="cs"/>
          <w:rtl/>
        </w:rPr>
        <w:t xml:space="preserve">מערכת </w:t>
      </w:r>
      <w:r>
        <w:rPr>
          <w:rFonts w:hint="cs"/>
          <w:rtl/>
        </w:rPr>
        <w:t>התקשרויות מתכננים</w:t>
      </w:r>
      <w:r w:rsidRPr="00AF76E2">
        <w:rPr>
          <w:rFonts w:hint="cs"/>
          <w:rtl/>
        </w:rPr>
        <w:t xml:space="preserve">. </w:t>
      </w:r>
      <w:r>
        <w:rPr>
          <w:rFonts w:hint="cs"/>
          <w:rtl/>
        </w:rPr>
        <w:t xml:space="preserve">זאת ועוד, משל"ט ומעקב תכנון הן שתי מערכות העוקבות אחרי תהליך התכנון על פי אבני דרך, אולם אינן מסונכרנות ביניהן - שינוי בלוח הזמנים להשלמת אבן דרך במערכת אחת אינו מתעדכן אוטומטית במערכת האחרת, ונדרש עדכון ידני, שאינו תמיד מתבצע בזמן אמת. יוצא אפוא כי </w:t>
      </w:r>
      <w:r w:rsidRPr="009D4308">
        <w:rPr>
          <w:rFonts w:hint="cs"/>
          <w:rtl/>
        </w:rPr>
        <w:t>בנסיבות שבהן פועלות המערכות לניהול התכנון במשרד הבינוי, מתחייבים תהליכים ידניים להזנת נתונים. תהליכים אלו חשופים מטבעם לטעויות, לחוסר התאמה ולקושי בבקרה איכותית.</w:t>
      </w:r>
      <w:r>
        <w:rPr>
          <w:rFonts w:hint="cs"/>
          <w:b/>
          <w:bCs/>
          <w:rtl/>
        </w:rPr>
        <w:t xml:space="preserve"> </w:t>
      </w:r>
    </w:p>
    <w:p w14:paraId="1078595B" w14:textId="77777777" w:rsidR="009A28D9" w:rsidRPr="009D4308" w:rsidRDefault="009A28D9" w:rsidP="00B26669">
      <w:pPr>
        <w:pStyle w:val="100"/>
        <w:rPr>
          <w:rtl/>
        </w:rPr>
      </w:pPr>
      <w:r w:rsidRPr="000F5391">
        <w:rPr>
          <w:rFonts w:hint="cs"/>
          <w:rtl/>
        </w:rPr>
        <w:t xml:space="preserve">משרד הבינוי </w:t>
      </w:r>
      <w:r>
        <w:rPr>
          <w:rFonts w:hint="cs"/>
          <w:rtl/>
        </w:rPr>
        <w:t>מסר בתשובתו</w:t>
      </w:r>
      <w:r w:rsidRPr="000F5391">
        <w:rPr>
          <w:rFonts w:hint="cs"/>
          <w:rtl/>
        </w:rPr>
        <w:t xml:space="preserve"> כי</w:t>
      </w:r>
      <w:r>
        <w:rPr>
          <w:rFonts w:hint="cs"/>
          <w:rtl/>
        </w:rPr>
        <w:t xml:space="preserve"> מערכת המודל התכנוני הדינמי אמורה הייתה להיטמע במערכת התקשרויות מתכננים. אגף המחשוב החל בביצוע ההטמעה, אך הוא טרם הושלם בשל סדרי עדיפויות של המשרד.</w:t>
      </w:r>
    </w:p>
    <w:p w14:paraId="0A78C627" w14:textId="77777777" w:rsidR="009A28D9" w:rsidRPr="00B26669" w:rsidRDefault="009A28D9" w:rsidP="00B26669">
      <w:pPr>
        <w:pStyle w:val="af1"/>
        <w:rPr>
          <w:rtl/>
        </w:rPr>
      </w:pPr>
      <w:r w:rsidRPr="00B26669">
        <w:rPr>
          <w:rFonts w:hint="cs"/>
          <w:rtl/>
        </w:rPr>
        <w:lastRenderedPageBreak/>
        <w:t xml:space="preserve">נוכח המשאבים הניכרים המושקעים בעבודות התכנון ממליץ משרד מבקר המדינה למשרד הבינוי למפות את כלל התהליכים להעברת נתונים בין המערכות אשר מבוצעים כיום ידנית, ולקדם את ממשק המידע בין המערכות ואת האינטגרציה ביניהן באמצעות בניית בסיס נתונים אחוד. </w:t>
      </w:r>
    </w:p>
    <w:p w14:paraId="50AD67C8" w14:textId="77777777" w:rsidR="009A28D9" w:rsidRDefault="009A28D9" w:rsidP="003150D8">
      <w:pPr>
        <w:pStyle w:val="414"/>
        <w:rPr>
          <w:rtl/>
        </w:rPr>
      </w:pPr>
      <w:r>
        <w:rPr>
          <w:rFonts w:hint="cs"/>
          <w:rtl/>
        </w:rPr>
        <w:t xml:space="preserve">ביצוע תכנון מחדש </w:t>
      </w:r>
    </w:p>
    <w:p w14:paraId="0D21AAC2" w14:textId="77777777" w:rsidR="009A28D9" w:rsidRDefault="009A28D9" w:rsidP="003150D8">
      <w:pPr>
        <w:pStyle w:val="100"/>
        <w:rPr>
          <w:rtl/>
        </w:rPr>
      </w:pPr>
      <w:r>
        <w:rPr>
          <w:rFonts w:hint="cs"/>
          <w:rtl/>
        </w:rPr>
        <w:t>נוכח הסדרי עבודה בין משרד הבינוי ובין רמ"י, ונוכח חלוקת האחריות על התכנון והפיתוח של שכונות מגורים ברשויות מקומיות, קורה לעיתים ש</w:t>
      </w:r>
      <w:r>
        <w:rPr>
          <w:rtl/>
        </w:rPr>
        <w:t xml:space="preserve">תכנון </w:t>
      </w:r>
      <w:r>
        <w:rPr>
          <w:rFonts w:hint="cs"/>
          <w:rtl/>
        </w:rPr>
        <w:t>שעשה גוף אחד</w:t>
      </w:r>
      <w:r>
        <w:rPr>
          <w:rtl/>
        </w:rPr>
        <w:t xml:space="preserve"> מועבר אל ה</w:t>
      </w:r>
      <w:r>
        <w:rPr>
          <w:rFonts w:hint="cs"/>
          <w:rtl/>
        </w:rPr>
        <w:t>אחר</w:t>
      </w:r>
      <w:r>
        <w:rPr>
          <w:rtl/>
        </w:rPr>
        <w:t xml:space="preserve"> לצורך הפיתוח. </w:t>
      </w:r>
    </w:p>
    <w:p w14:paraId="2C97ECCC" w14:textId="77777777" w:rsidR="009A28D9" w:rsidRPr="003150D8" w:rsidRDefault="009A28D9" w:rsidP="003150D8">
      <w:pPr>
        <w:pStyle w:val="af1"/>
        <w:rPr>
          <w:rtl/>
        </w:rPr>
      </w:pPr>
      <w:r w:rsidRPr="003150D8">
        <w:rPr>
          <w:rtl/>
        </w:rPr>
        <w:t xml:space="preserve">עלה כי </w:t>
      </w:r>
      <w:r w:rsidRPr="003150D8">
        <w:rPr>
          <w:rFonts w:hint="cs"/>
          <w:rtl/>
        </w:rPr>
        <w:t xml:space="preserve">היו פרויקטים שבהם </w:t>
      </w:r>
      <w:r w:rsidRPr="003150D8">
        <w:rPr>
          <w:rtl/>
        </w:rPr>
        <w:t>משרד הבינוי קיבל ל</w:t>
      </w:r>
      <w:r w:rsidRPr="003150D8">
        <w:rPr>
          <w:rFonts w:hint="cs"/>
          <w:rtl/>
        </w:rPr>
        <w:t>פיתו</w:t>
      </w:r>
      <w:r w:rsidRPr="003150D8">
        <w:rPr>
          <w:rtl/>
        </w:rPr>
        <w:t xml:space="preserve">ח מתחמים שתוכננו באמצעות רמ"י, </w:t>
      </w:r>
      <w:r w:rsidRPr="003150D8">
        <w:rPr>
          <w:rFonts w:hint="cs"/>
          <w:rtl/>
        </w:rPr>
        <w:t>ו</w:t>
      </w:r>
      <w:r w:rsidRPr="003150D8">
        <w:rPr>
          <w:rFonts w:hint="eastAsia"/>
          <w:rtl/>
        </w:rPr>
        <w:t>לא</w:t>
      </w:r>
      <w:r w:rsidRPr="003150D8">
        <w:rPr>
          <w:rtl/>
        </w:rPr>
        <w:t xml:space="preserve"> </w:t>
      </w:r>
      <w:r w:rsidRPr="003150D8">
        <w:rPr>
          <w:rFonts w:hint="eastAsia"/>
          <w:rtl/>
        </w:rPr>
        <w:t>אחת</w:t>
      </w:r>
      <w:r w:rsidRPr="003150D8">
        <w:rPr>
          <w:rtl/>
        </w:rPr>
        <w:t xml:space="preserve"> </w:t>
      </w:r>
      <w:r w:rsidRPr="003150D8">
        <w:rPr>
          <w:rFonts w:hint="cs"/>
          <w:rtl/>
        </w:rPr>
        <w:t xml:space="preserve">הוא </w:t>
      </w:r>
      <w:r w:rsidRPr="003150D8">
        <w:rPr>
          <w:rFonts w:hint="eastAsia"/>
          <w:rtl/>
        </w:rPr>
        <w:t>נאלץ</w:t>
      </w:r>
      <w:r w:rsidRPr="003150D8">
        <w:rPr>
          <w:rtl/>
        </w:rPr>
        <w:t xml:space="preserve"> ל</w:t>
      </w:r>
      <w:r w:rsidRPr="003150D8">
        <w:rPr>
          <w:rFonts w:hint="eastAsia"/>
          <w:rtl/>
        </w:rPr>
        <w:t>תכנן</w:t>
      </w:r>
      <w:r w:rsidRPr="003150D8">
        <w:rPr>
          <w:rtl/>
        </w:rPr>
        <w:t xml:space="preserve"> מחדש ת</w:t>
      </w:r>
      <w:r w:rsidRPr="003150D8">
        <w:rPr>
          <w:rFonts w:hint="cs"/>
          <w:rtl/>
        </w:rPr>
        <w:t>ו</w:t>
      </w:r>
      <w:r w:rsidRPr="003150D8">
        <w:rPr>
          <w:rtl/>
        </w:rPr>
        <w:t xml:space="preserve">כניות </w:t>
      </w:r>
      <w:r w:rsidRPr="003150D8">
        <w:rPr>
          <w:rFonts w:hint="eastAsia"/>
          <w:rtl/>
        </w:rPr>
        <w:t>שרמ</w:t>
      </w:r>
      <w:r w:rsidRPr="003150D8">
        <w:rPr>
          <w:rtl/>
        </w:rPr>
        <w:t xml:space="preserve">"י כבר </w:t>
      </w:r>
      <w:r w:rsidRPr="003150D8">
        <w:rPr>
          <w:rFonts w:hint="cs"/>
          <w:rtl/>
        </w:rPr>
        <w:t>תכננה</w:t>
      </w:r>
      <w:r w:rsidRPr="003150D8">
        <w:rPr>
          <w:rtl/>
        </w:rPr>
        <w:t xml:space="preserve"> </w:t>
      </w:r>
      <w:r w:rsidRPr="003150D8">
        <w:rPr>
          <w:rFonts w:hint="eastAsia"/>
          <w:rtl/>
        </w:rPr>
        <w:t>עקב</w:t>
      </w:r>
      <w:r w:rsidRPr="003150D8">
        <w:rPr>
          <w:rtl/>
        </w:rPr>
        <w:t xml:space="preserve"> </w:t>
      </w:r>
      <w:r w:rsidRPr="003150D8">
        <w:rPr>
          <w:rFonts w:hint="eastAsia"/>
          <w:rtl/>
        </w:rPr>
        <w:t>קושי</w:t>
      </w:r>
      <w:r w:rsidRPr="003150D8">
        <w:rPr>
          <w:rtl/>
        </w:rPr>
        <w:t xml:space="preserve"> </w:t>
      </w:r>
      <w:r w:rsidRPr="003150D8">
        <w:rPr>
          <w:rFonts w:hint="eastAsia"/>
          <w:rtl/>
        </w:rPr>
        <w:t>ליישמן</w:t>
      </w:r>
      <w:r w:rsidRPr="003150D8">
        <w:rPr>
          <w:rtl/>
        </w:rPr>
        <w:t xml:space="preserve"> מסיבות </w:t>
      </w:r>
      <w:r w:rsidRPr="003150D8">
        <w:rPr>
          <w:rFonts w:hint="eastAsia"/>
          <w:rtl/>
        </w:rPr>
        <w:t>שונות</w:t>
      </w:r>
      <w:r w:rsidRPr="003150D8">
        <w:rPr>
          <w:rFonts w:hint="cs"/>
          <w:rtl/>
        </w:rPr>
        <w:t>,</w:t>
      </w:r>
      <w:r w:rsidRPr="003150D8">
        <w:rPr>
          <w:rtl/>
        </w:rPr>
        <w:t xml:space="preserve"> כגון: תכנון </w:t>
      </w:r>
      <w:r w:rsidRPr="003150D8">
        <w:rPr>
          <w:rFonts w:hint="cs"/>
          <w:rtl/>
        </w:rPr>
        <w:t xml:space="preserve">שאינו תואם </w:t>
      </w:r>
      <w:r w:rsidRPr="003150D8">
        <w:rPr>
          <w:rtl/>
        </w:rPr>
        <w:t xml:space="preserve">לטופוגרפיה </w:t>
      </w:r>
      <w:r w:rsidRPr="003150D8">
        <w:rPr>
          <w:rFonts w:hint="cs"/>
          <w:rtl/>
        </w:rPr>
        <w:t xml:space="preserve">או </w:t>
      </w:r>
      <w:r w:rsidRPr="003150D8">
        <w:rPr>
          <w:rtl/>
        </w:rPr>
        <w:t xml:space="preserve">דורש עבודות עפר בהיקפים שאינם כלכליים, תכנון תנועה לקוי כמו רדיוסי סיבוב או שיפועי כביש שאינם בטוחים, חוסר בפתרונות ניקוז או חניה, חוסר בשטחי ציבור, מתחמים </w:t>
      </w:r>
      <w:r w:rsidRPr="003150D8">
        <w:rPr>
          <w:rFonts w:hint="eastAsia"/>
          <w:rtl/>
        </w:rPr>
        <w:t>הכוללים</w:t>
      </w:r>
      <w:r w:rsidRPr="003150D8">
        <w:rPr>
          <w:rtl/>
        </w:rPr>
        <w:t xml:space="preserve"> ממצאים ארכיאולוגיים שלא </w:t>
      </w:r>
      <w:r w:rsidRPr="003150D8">
        <w:rPr>
          <w:rFonts w:hint="cs"/>
          <w:rtl/>
        </w:rPr>
        <w:t>הובאו</w:t>
      </w:r>
      <w:r w:rsidRPr="003150D8">
        <w:rPr>
          <w:rtl/>
        </w:rPr>
        <w:t xml:space="preserve"> בחשבון ואי</w:t>
      </w:r>
      <w:r w:rsidRPr="003150D8">
        <w:rPr>
          <w:rFonts w:hint="cs"/>
          <w:rtl/>
        </w:rPr>
        <w:t>-</w:t>
      </w:r>
      <w:r w:rsidRPr="003150D8">
        <w:rPr>
          <w:rtl/>
        </w:rPr>
        <w:t>בדיקה של קרינה מקווי חשמל.</w:t>
      </w:r>
    </w:p>
    <w:p w14:paraId="29D3C42E" w14:textId="77777777" w:rsidR="009A28D9" w:rsidRDefault="009A28D9" w:rsidP="003150D8">
      <w:pPr>
        <w:pStyle w:val="100"/>
      </w:pPr>
      <w:r>
        <w:rPr>
          <w:rFonts w:hint="cs"/>
          <w:rtl/>
        </w:rPr>
        <w:t xml:space="preserve">משרד מבקר המדינה בדק והעלה כי על פי נתוני משרד הבינוי, </w:t>
      </w:r>
      <w:r>
        <w:rPr>
          <w:rtl/>
        </w:rPr>
        <w:t>בשנים</w:t>
      </w:r>
      <w:r>
        <w:rPr>
          <w:rFonts w:hint="cs"/>
          <w:rtl/>
        </w:rPr>
        <w:t xml:space="preserve"> 2016 - 2019 הוא</w:t>
      </w:r>
      <w:r>
        <w:rPr>
          <w:rtl/>
        </w:rPr>
        <w:t xml:space="preserve"> הזמין </w:t>
      </w:r>
      <w:r>
        <w:rPr>
          <w:rFonts w:hint="cs"/>
          <w:rtl/>
        </w:rPr>
        <w:t xml:space="preserve">בסך הכול </w:t>
      </w:r>
      <w:r>
        <w:rPr>
          <w:rtl/>
        </w:rPr>
        <w:t>23 ת</w:t>
      </w:r>
      <w:r>
        <w:rPr>
          <w:rFonts w:hint="cs"/>
          <w:rtl/>
        </w:rPr>
        <w:t>ו</w:t>
      </w:r>
      <w:r>
        <w:rPr>
          <w:rtl/>
        </w:rPr>
        <w:t xml:space="preserve">כניות לצורך </w:t>
      </w:r>
      <w:r>
        <w:rPr>
          <w:rFonts w:hint="cs"/>
          <w:rtl/>
        </w:rPr>
        <w:t>תכנון מחדש</w:t>
      </w:r>
      <w:r>
        <w:rPr>
          <w:rtl/>
        </w:rPr>
        <w:t xml:space="preserve"> </w:t>
      </w:r>
      <w:r>
        <w:rPr>
          <w:rFonts w:hint="cs"/>
          <w:rtl/>
        </w:rPr>
        <w:t>ש</w:t>
      </w:r>
      <w:r>
        <w:rPr>
          <w:rtl/>
        </w:rPr>
        <w:t>ל</w:t>
      </w:r>
      <w:r>
        <w:rPr>
          <w:rFonts w:hint="cs"/>
          <w:rtl/>
        </w:rPr>
        <w:t xml:space="preserve"> </w:t>
      </w:r>
      <w:r>
        <w:rPr>
          <w:rtl/>
        </w:rPr>
        <w:t>שכונות מגורים ש</w:t>
      </w:r>
      <w:r>
        <w:rPr>
          <w:rFonts w:hint="cs"/>
          <w:rtl/>
        </w:rPr>
        <w:t xml:space="preserve">רמ"י כבר </w:t>
      </w:r>
      <w:r>
        <w:rPr>
          <w:rtl/>
        </w:rPr>
        <w:t>תכננ</w:t>
      </w:r>
      <w:r>
        <w:rPr>
          <w:rFonts w:hint="cs"/>
          <w:rtl/>
        </w:rPr>
        <w:t xml:space="preserve">ה. התוכניות </w:t>
      </w:r>
      <w:r>
        <w:rPr>
          <w:rtl/>
        </w:rPr>
        <w:t xml:space="preserve">כוללות </w:t>
      </w:r>
      <w:r>
        <w:rPr>
          <w:rFonts w:hint="cs"/>
          <w:rtl/>
        </w:rPr>
        <w:t xml:space="preserve">בסך הכול </w:t>
      </w:r>
      <w:r>
        <w:rPr>
          <w:rtl/>
        </w:rPr>
        <w:t>כ-16,800 יח"ד</w:t>
      </w:r>
      <w:r>
        <w:rPr>
          <w:rFonts w:hint="cs"/>
          <w:rtl/>
        </w:rPr>
        <w:t>,</w:t>
      </w:r>
      <w:r>
        <w:rPr>
          <w:rtl/>
        </w:rPr>
        <w:t xml:space="preserve"> </w:t>
      </w:r>
      <w:r>
        <w:rPr>
          <w:rFonts w:hint="cs"/>
          <w:rtl/>
        </w:rPr>
        <w:t>ו</w:t>
      </w:r>
      <w:r>
        <w:rPr>
          <w:rtl/>
        </w:rPr>
        <w:t>עלות</w:t>
      </w:r>
      <w:r>
        <w:rPr>
          <w:rFonts w:hint="cs"/>
          <w:rtl/>
        </w:rPr>
        <w:t>ו</w:t>
      </w:r>
      <w:r>
        <w:rPr>
          <w:rtl/>
        </w:rPr>
        <w:t xml:space="preserve"> </w:t>
      </w:r>
      <w:r>
        <w:rPr>
          <w:rFonts w:hint="cs"/>
          <w:rtl/>
        </w:rPr>
        <w:t>ה</w:t>
      </w:r>
      <w:r>
        <w:rPr>
          <w:rtl/>
        </w:rPr>
        <w:t>כוללת של</w:t>
      </w:r>
      <w:r>
        <w:rPr>
          <w:rFonts w:hint="cs"/>
          <w:rtl/>
        </w:rPr>
        <w:t xml:space="preserve"> התכנון החדש עמדה על </w:t>
      </w:r>
      <w:r>
        <w:rPr>
          <w:rtl/>
        </w:rPr>
        <w:t>כ-59 מיליון ש"ח.</w:t>
      </w:r>
      <w:r>
        <w:rPr>
          <w:rFonts w:hint="cs"/>
          <w:rtl/>
        </w:rPr>
        <w:t xml:space="preserve"> </w:t>
      </w:r>
    </w:p>
    <w:p w14:paraId="46420D85" w14:textId="77777777" w:rsidR="009A28D9" w:rsidRDefault="009A28D9" w:rsidP="003150D8">
      <w:pPr>
        <w:pStyle w:val="100"/>
      </w:pPr>
      <w:r>
        <w:rPr>
          <w:rFonts w:hint="cs"/>
          <w:rtl/>
        </w:rPr>
        <w:t>למשל, משרד הבינוי תכנן מחדש תוכנית מאושרת</w:t>
      </w:r>
      <w:r>
        <w:rPr>
          <w:rtl/>
        </w:rPr>
        <w:t xml:space="preserve"> ב</w:t>
      </w:r>
      <w:r>
        <w:rPr>
          <w:rFonts w:hint="cs"/>
          <w:rtl/>
        </w:rPr>
        <w:t>נהריה</w:t>
      </w:r>
      <w:r>
        <w:rPr>
          <w:rtl/>
        </w:rPr>
        <w:t xml:space="preserve"> </w:t>
      </w:r>
      <w:r>
        <w:rPr>
          <w:rFonts w:hint="cs"/>
          <w:rtl/>
        </w:rPr>
        <w:t xml:space="preserve">שתכננה </w:t>
      </w:r>
      <w:r>
        <w:rPr>
          <w:rtl/>
        </w:rPr>
        <w:t>רמ"י</w:t>
      </w:r>
      <w:r>
        <w:rPr>
          <w:rFonts w:hint="cs"/>
          <w:rtl/>
        </w:rPr>
        <w:t xml:space="preserve">. ממסמכי התוכנית עלה כי </w:t>
      </w:r>
      <w:r>
        <w:rPr>
          <w:rtl/>
        </w:rPr>
        <w:t>מטרת התכ</w:t>
      </w:r>
      <w:r>
        <w:rPr>
          <w:rFonts w:hint="cs"/>
          <w:rtl/>
        </w:rPr>
        <w:t>נון החדש הייתה</w:t>
      </w:r>
      <w:r>
        <w:rPr>
          <w:rtl/>
        </w:rPr>
        <w:t xml:space="preserve"> לשפר את פריסת ייעודי הקרקע, לחלק </w:t>
      </w:r>
      <w:r>
        <w:rPr>
          <w:rFonts w:hint="cs"/>
          <w:rtl/>
        </w:rPr>
        <w:t>את ה</w:t>
      </w:r>
      <w:r>
        <w:rPr>
          <w:rtl/>
        </w:rPr>
        <w:t>מגרשים</w:t>
      </w:r>
      <w:r>
        <w:rPr>
          <w:rFonts w:hint="cs"/>
          <w:rtl/>
        </w:rPr>
        <w:t xml:space="preserve"> מחדש</w:t>
      </w:r>
      <w:r>
        <w:rPr>
          <w:rtl/>
        </w:rPr>
        <w:t xml:space="preserve"> ולשפר את הנגישות אליהם. </w:t>
      </w:r>
      <w:r>
        <w:rPr>
          <w:rFonts w:hint="cs"/>
          <w:rtl/>
        </w:rPr>
        <w:t xml:space="preserve">כמו כן, </w:t>
      </w:r>
      <w:r>
        <w:rPr>
          <w:rtl/>
        </w:rPr>
        <w:t xml:space="preserve">בדברי ההסבר </w:t>
      </w:r>
      <w:r>
        <w:rPr>
          <w:rFonts w:hint="cs"/>
          <w:rtl/>
        </w:rPr>
        <w:t xml:space="preserve">לתוכנית </w:t>
      </w:r>
      <w:r>
        <w:rPr>
          <w:rtl/>
        </w:rPr>
        <w:t xml:space="preserve">צוין </w:t>
      </w:r>
      <w:r>
        <w:rPr>
          <w:rFonts w:hint="cs"/>
          <w:rtl/>
        </w:rPr>
        <w:t>כי יש צורך</w:t>
      </w:r>
      <w:r>
        <w:rPr>
          <w:rtl/>
        </w:rPr>
        <w:t xml:space="preserve"> לאפשר את הקמת המבנים בצורה יעילה</w:t>
      </w:r>
      <w:r>
        <w:rPr>
          <w:rFonts w:hint="cs"/>
          <w:rtl/>
        </w:rPr>
        <w:t xml:space="preserve"> יותר</w:t>
      </w:r>
      <w:r>
        <w:rPr>
          <w:rtl/>
        </w:rPr>
        <w:t xml:space="preserve">. עלות התכנון </w:t>
      </w:r>
      <w:r>
        <w:rPr>
          <w:rFonts w:hint="cs"/>
          <w:rtl/>
        </w:rPr>
        <w:t xml:space="preserve">של משרד הבינוי </w:t>
      </w:r>
      <w:r>
        <w:rPr>
          <w:rtl/>
        </w:rPr>
        <w:t>הגיע</w:t>
      </w:r>
      <w:r>
        <w:rPr>
          <w:rFonts w:hint="cs"/>
          <w:rtl/>
        </w:rPr>
        <w:t>ה</w:t>
      </w:r>
      <w:r>
        <w:rPr>
          <w:rtl/>
        </w:rPr>
        <w:t xml:space="preserve"> לכדי 12 מיליון ש"ח.</w:t>
      </w:r>
      <w:r>
        <w:rPr>
          <w:rFonts w:hint="cs"/>
          <w:rtl/>
        </w:rPr>
        <w:t xml:space="preserve"> בפרויקט אחר, משרד הבינוי תכנן מחדש תוכנית מאושרת בבאר שבע. </w:t>
      </w:r>
      <w:r w:rsidRPr="00716179">
        <w:rPr>
          <w:rFonts w:hint="cs"/>
          <w:rtl/>
        </w:rPr>
        <w:t>ממסמכי המשרד עלה</w:t>
      </w:r>
      <w:r>
        <w:rPr>
          <w:rFonts w:hint="cs"/>
          <w:rtl/>
        </w:rPr>
        <w:t xml:space="preserve"> ש</w:t>
      </w:r>
      <w:r>
        <w:rPr>
          <w:rtl/>
        </w:rPr>
        <w:t>הסיבה העיקרית ל</w:t>
      </w:r>
      <w:r>
        <w:rPr>
          <w:rFonts w:hint="cs"/>
          <w:rtl/>
        </w:rPr>
        <w:t>תכנון החדש</w:t>
      </w:r>
      <w:r>
        <w:rPr>
          <w:rtl/>
        </w:rPr>
        <w:t xml:space="preserve"> </w:t>
      </w:r>
      <w:r>
        <w:rPr>
          <w:rFonts w:hint="cs"/>
          <w:rtl/>
        </w:rPr>
        <w:t xml:space="preserve">הייתה </w:t>
      </w:r>
      <w:r>
        <w:rPr>
          <w:rtl/>
        </w:rPr>
        <w:t>אי</w:t>
      </w:r>
      <w:r>
        <w:rPr>
          <w:rFonts w:hint="cs"/>
          <w:rtl/>
        </w:rPr>
        <w:t>-</w:t>
      </w:r>
      <w:r>
        <w:rPr>
          <w:rtl/>
        </w:rPr>
        <w:t>ישימות של הת</w:t>
      </w:r>
      <w:r>
        <w:rPr>
          <w:rFonts w:hint="cs"/>
          <w:rtl/>
        </w:rPr>
        <w:t>ו</w:t>
      </w:r>
      <w:r>
        <w:rPr>
          <w:rtl/>
        </w:rPr>
        <w:t>כנית המאושרת</w:t>
      </w:r>
      <w:r>
        <w:rPr>
          <w:rFonts w:hint="cs"/>
          <w:rtl/>
        </w:rPr>
        <w:t>,</w:t>
      </w:r>
      <w:r>
        <w:rPr>
          <w:rtl/>
        </w:rPr>
        <w:t xml:space="preserve"> </w:t>
      </w:r>
      <w:r>
        <w:rPr>
          <w:rFonts w:hint="cs"/>
          <w:rtl/>
        </w:rPr>
        <w:t>ובכלל זה - ה</w:t>
      </w:r>
      <w:r>
        <w:rPr>
          <w:rtl/>
        </w:rPr>
        <w:t xml:space="preserve">בינוי </w:t>
      </w:r>
      <w:r>
        <w:rPr>
          <w:rFonts w:hint="cs"/>
          <w:rtl/>
        </w:rPr>
        <w:t xml:space="preserve">שהוצע </w:t>
      </w:r>
      <w:r>
        <w:rPr>
          <w:rtl/>
        </w:rPr>
        <w:t>לא התאים לסביבה ולטופוגרפיה</w:t>
      </w:r>
      <w:r>
        <w:rPr>
          <w:rFonts w:hint="cs"/>
          <w:rtl/>
        </w:rPr>
        <w:t xml:space="preserve"> והיה חוסר בתוכנית בינוי בקנ"מ 1:500. </w:t>
      </w:r>
      <w:r>
        <w:rPr>
          <w:rtl/>
        </w:rPr>
        <w:t>עלות התכנון</w:t>
      </w:r>
      <w:r>
        <w:rPr>
          <w:rFonts w:hint="cs"/>
          <w:rtl/>
        </w:rPr>
        <w:t xml:space="preserve"> החדש</w:t>
      </w:r>
      <w:r>
        <w:rPr>
          <w:rtl/>
        </w:rPr>
        <w:t xml:space="preserve"> </w:t>
      </w:r>
      <w:r>
        <w:rPr>
          <w:rFonts w:hint="cs"/>
          <w:rtl/>
        </w:rPr>
        <w:t xml:space="preserve">של משרד הבינוי </w:t>
      </w:r>
      <w:r>
        <w:rPr>
          <w:rtl/>
        </w:rPr>
        <w:t>הגיע</w:t>
      </w:r>
      <w:r>
        <w:rPr>
          <w:rFonts w:hint="cs"/>
          <w:rtl/>
        </w:rPr>
        <w:t>ה</w:t>
      </w:r>
      <w:r>
        <w:rPr>
          <w:rtl/>
        </w:rPr>
        <w:t xml:space="preserve"> לכדי 8.4 מיליון ש"ח.</w:t>
      </w:r>
    </w:p>
    <w:p w14:paraId="764E541C" w14:textId="77777777" w:rsidR="009A28D9" w:rsidRDefault="009A28D9" w:rsidP="003150D8">
      <w:pPr>
        <w:pStyle w:val="af1"/>
        <w:rPr>
          <w:rtl/>
        </w:rPr>
      </w:pPr>
      <w:r w:rsidRPr="003150D8">
        <w:rPr>
          <w:rFonts w:hint="cs"/>
          <w:rtl/>
        </w:rPr>
        <w:t>תכנון מחדש של תוכניות מאושרות מצריך השקעת משאבים נוספת על אלו שכבר הושקעו בתכנון הראשוני. כפי שעולה מן האמור, מדובר במשאבים כספיים שאינם בטלים בשישים, ומטבע הדברים מתווספים להם גם משאבים יקרים של זמן וניהול. מצופה על כן כי יתקיים תהליך משותף של הפקת לקחים על מנת לצמצם את המקרים הללו. ואולם בביקורת נמצא כי משרד הבינוי ורמ"י לא קיימו תהליך כזה.</w:t>
      </w:r>
    </w:p>
    <w:p w14:paraId="7E4ED051" w14:textId="77777777" w:rsidR="003150D8" w:rsidRDefault="003150D8">
      <w:pPr>
        <w:bidi w:val="0"/>
        <w:spacing w:after="200" w:line="276" w:lineRule="auto"/>
        <w:rPr>
          <w:rtl/>
        </w:rPr>
      </w:pPr>
      <w:r>
        <w:rPr>
          <w:rtl/>
        </w:rPr>
        <w:br w:type="page"/>
      </w:r>
    </w:p>
    <w:p w14:paraId="6224C8CB" w14:textId="2F94E62B" w:rsidR="009A28D9" w:rsidRPr="003150D8" w:rsidRDefault="009A28D9" w:rsidP="003150D8">
      <w:pPr>
        <w:pStyle w:val="100"/>
        <w:rPr>
          <w:rtl/>
        </w:rPr>
      </w:pPr>
      <w:r w:rsidRPr="003150D8">
        <w:rPr>
          <w:rFonts w:hint="cs"/>
          <w:rtl/>
        </w:rPr>
        <w:lastRenderedPageBreak/>
        <w:t>רמ"י מסרה בתשובתה כי בפרויקטים</w:t>
      </w:r>
      <w:r w:rsidRPr="003150D8">
        <w:rPr>
          <w:rtl/>
        </w:rPr>
        <w:t xml:space="preserve"> שהוצגו</w:t>
      </w:r>
      <w:r w:rsidRPr="003150D8">
        <w:rPr>
          <w:rFonts w:hint="cs"/>
          <w:rtl/>
        </w:rPr>
        <w:t>,</w:t>
      </w:r>
      <w:r w:rsidRPr="003150D8">
        <w:rPr>
          <w:rtl/>
        </w:rPr>
        <w:t xml:space="preserve"> </w:t>
      </w:r>
      <w:r w:rsidRPr="003150D8">
        <w:rPr>
          <w:rFonts w:hint="cs"/>
          <w:rtl/>
        </w:rPr>
        <w:t>ה</w:t>
      </w:r>
      <w:r w:rsidRPr="003150D8">
        <w:rPr>
          <w:rtl/>
        </w:rPr>
        <w:t xml:space="preserve">תכנון </w:t>
      </w:r>
      <w:r w:rsidRPr="003150D8">
        <w:rPr>
          <w:rFonts w:hint="cs"/>
          <w:rtl/>
        </w:rPr>
        <w:t>ה</w:t>
      </w:r>
      <w:r w:rsidRPr="003150D8">
        <w:rPr>
          <w:rtl/>
        </w:rPr>
        <w:t xml:space="preserve">חדש </w:t>
      </w:r>
      <w:r w:rsidRPr="003150D8">
        <w:rPr>
          <w:rFonts w:hint="cs"/>
          <w:rtl/>
        </w:rPr>
        <w:t>נבע מהצורך</w:t>
      </w:r>
      <w:r w:rsidRPr="003150D8">
        <w:rPr>
          <w:rtl/>
        </w:rPr>
        <w:t xml:space="preserve"> בעדכו</w:t>
      </w:r>
      <w:r w:rsidRPr="003150D8">
        <w:rPr>
          <w:rFonts w:hint="cs"/>
          <w:rtl/>
        </w:rPr>
        <w:t>ן התוכניות הישנות.</w:t>
      </w:r>
      <w:r w:rsidRPr="003150D8">
        <w:rPr>
          <w:rtl/>
        </w:rPr>
        <w:t xml:space="preserve"> </w:t>
      </w:r>
      <w:r w:rsidRPr="003150D8">
        <w:rPr>
          <w:rFonts w:hint="cs"/>
          <w:rtl/>
        </w:rPr>
        <w:t>עוד ציינה</w:t>
      </w:r>
      <w:r w:rsidRPr="003150D8">
        <w:rPr>
          <w:rtl/>
        </w:rPr>
        <w:t xml:space="preserve"> </w:t>
      </w:r>
      <w:r w:rsidRPr="003150D8">
        <w:rPr>
          <w:rFonts w:hint="cs"/>
          <w:rtl/>
        </w:rPr>
        <w:t>כי מאחר ש</w:t>
      </w:r>
      <w:r w:rsidRPr="003150D8">
        <w:rPr>
          <w:rtl/>
        </w:rPr>
        <w:t>תהליכי התכנון אורכים זמן רב</w:t>
      </w:r>
      <w:r w:rsidRPr="003150D8">
        <w:rPr>
          <w:rFonts w:hint="cs"/>
          <w:rtl/>
        </w:rPr>
        <w:t>, ב</w:t>
      </w:r>
      <w:r w:rsidRPr="003150D8">
        <w:rPr>
          <w:rtl/>
        </w:rPr>
        <w:t>מספר לא מבוטל של ת</w:t>
      </w:r>
      <w:r w:rsidRPr="003150D8">
        <w:rPr>
          <w:rFonts w:hint="cs"/>
          <w:rtl/>
        </w:rPr>
        <w:t>ו</w:t>
      </w:r>
      <w:r w:rsidRPr="003150D8">
        <w:rPr>
          <w:rtl/>
        </w:rPr>
        <w:t>כניות ח</w:t>
      </w:r>
      <w:r w:rsidRPr="003150D8">
        <w:rPr>
          <w:rFonts w:hint="cs"/>
          <w:rtl/>
        </w:rPr>
        <w:t>ו</w:t>
      </w:r>
      <w:r w:rsidRPr="003150D8">
        <w:rPr>
          <w:rtl/>
        </w:rPr>
        <w:t>לף פרק זמן ניכר בין ייזומן לאישורן</w:t>
      </w:r>
      <w:r w:rsidRPr="003150D8">
        <w:rPr>
          <w:rFonts w:hint="cs"/>
          <w:rtl/>
        </w:rPr>
        <w:t xml:space="preserve">, </w:t>
      </w:r>
      <w:r w:rsidRPr="003150D8">
        <w:rPr>
          <w:rtl/>
        </w:rPr>
        <w:t xml:space="preserve">כך שנדרש </w:t>
      </w:r>
      <w:r w:rsidRPr="003150D8">
        <w:rPr>
          <w:rFonts w:hint="cs"/>
          <w:rtl/>
        </w:rPr>
        <w:t xml:space="preserve">לבצע </w:t>
      </w:r>
      <w:r w:rsidRPr="003150D8">
        <w:rPr>
          <w:rtl/>
        </w:rPr>
        <w:t>תכנון מחדש</w:t>
      </w:r>
      <w:r w:rsidRPr="003150D8">
        <w:rPr>
          <w:rFonts w:hint="cs"/>
          <w:rtl/>
        </w:rPr>
        <w:t>,</w:t>
      </w:r>
      <w:r w:rsidRPr="003150D8">
        <w:rPr>
          <w:rtl/>
        </w:rPr>
        <w:t xml:space="preserve"> בעיקר </w:t>
      </w:r>
      <w:r w:rsidRPr="003150D8">
        <w:rPr>
          <w:rFonts w:hint="cs"/>
          <w:rtl/>
        </w:rPr>
        <w:t>בשל שינוי בהנחיות התכנון</w:t>
      </w:r>
      <w:r w:rsidRPr="003150D8">
        <w:rPr>
          <w:rtl/>
        </w:rPr>
        <w:t xml:space="preserve"> שהתעדכנו במהלך השנים</w:t>
      </w:r>
      <w:r w:rsidRPr="003150D8">
        <w:rPr>
          <w:rFonts w:hint="cs"/>
          <w:rtl/>
        </w:rPr>
        <w:t>, לרבות מדדי ה</w:t>
      </w:r>
      <w:r w:rsidRPr="003150D8">
        <w:rPr>
          <w:rtl/>
        </w:rPr>
        <w:t>צפיפות</w:t>
      </w:r>
      <w:r w:rsidRPr="003150D8">
        <w:rPr>
          <w:rFonts w:hint="cs"/>
          <w:rtl/>
        </w:rPr>
        <w:t xml:space="preserve"> שאיפשרו </w:t>
      </w:r>
      <w:r w:rsidRPr="003150D8">
        <w:rPr>
          <w:rtl/>
        </w:rPr>
        <w:t>לתכנן בצפיפות גבוהה</w:t>
      </w:r>
      <w:r w:rsidRPr="003150D8">
        <w:rPr>
          <w:rFonts w:hint="cs"/>
          <w:rtl/>
        </w:rPr>
        <w:t xml:space="preserve"> </w:t>
      </w:r>
      <w:r w:rsidRPr="003150D8">
        <w:rPr>
          <w:rtl/>
        </w:rPr>
        <w:t xml:space="preserve">יותר ובאופן המאפשר תוספת </w:t>
      </w:r>
      <w:r w:rsidRPr="003150D8">
        <w:rPr>
          <w:rFonts w:hint="cs"/>
          <w:rtl/>
        </w:rPr>
        <w:t>יח"ד</w:t>
      </w:r>
      <w:r w:rsidRPr="003150D8">
        <w:rPr>
          <w:rtl/>
        </w:rPr>
        <w:t xml:space="preserve"> והוזלת עלויות פיתוח</w:t>
      </w:r>
      <w:r w:rsidRPr="003150D8">
        <w:rPr>
          <w:rFonts w:hint="cs"/>
          <w:rtl/>
        </w:rPr>
        <w:t xml:space="preserve"> הקרקע</w:t>
      </w:r>
      <w:r w:rsidRPr="003150D8">
        <w:rPr>
          <w:rtl/>
        </w:rPr>
        <w:t>.</w:t>
      </w:r>
    </w:p>
    <w:p w14:paraId="54AB04C6" w14:textId="77777777" w:rsidR="009A28D9" w:rsidRPr="003150D8" w:rsidRDefault="009A28D9" w:rsidP="003150D8">
      <w:pPr>
        <w:pStyle w:val="100"/>
        <w:rPr>
          <w:rtl/>
        </w:rPr>
      </w:pPr>
      <w:r w:rsidRPr="003150D8">
        <w:rPr>
          <w:rFonts w:hint="cs"/>
          <w:rtl/>
        </w:rPr>
        <w:t xml:space="preserve">משרד הבינוי מסר בתשובתו כי יש מקום ליצירת מנגנון מובנה להפקת לקחים, וכי על מנת להימנע מהצורך בתכנון מחדש הוא מיישם מדיניות סדורה הבוחנת את הצרכים ואת ישימות הפרויקט כבר בעת התכנון הסטטוטורי. </w:t>
      </w:r>
    </w:p>
    <w:p w14:paraId="28372644" w14:textId="77777777" w:rsidR="009A28D9" w:rsidRDefault="009A28D9" w:rsidP="003150D8">
      <w:pPr>
        <w:pStyle w:val="af1"/>
        <w:rPr>
          <w:rtl/>
        </w:rPr>
      </w:pPr>
      <w:r w:rsidRPr="003150D8">
        <w:rPr>
          <w:rFonts w:hint="cs"/>
          <w:rtl/>
        </w:rPr>
        <w:t>מן המתואר לעיל עולה כי הצורך בעדכון תוכנית עקב יושנה הוא רק אחת מן הסיבות לביצוע תכנון מחדש. ראוי על כן שרמ"י ומשרד הבינוי יסדירו ויקיימו תהליך משותף של הפקת לקחים, ובמסגרתו ייבחנו לעומקן כל הסיבות לתכנון מחדש, יוסקו מסקנות וייבחנו פתרונות. הפקת לקחים עשויה לצמצם את הישנות המקרים שבהם עולה הצורך לתכנן מחדש, ולהביא לחיסכון במשאבים.</w:t>
      </w:r>
      <w:r>
        <w:rPr>
          <w:rFonts w:hint="cs"/>
          <w:rtl/>
        </w:rPr>
        <w:t xml:space="preserve"> </w:t>
      </w:r>
      <w:r w:rsidRPr="003150D8">
        <w:rPr>
          <w:rFonts w:hint="eastAsia"/>
          <w:rtl/>
        </w:rPr>
        <w:t>כמו</w:t>
      </w:r>
      <w:r w:rsidRPr="003150D8">
        <w:rPr>
          <w:rtl/>
        </w:rPr>
        <w:t xml:space="preserve"> כן, </w:t>
      </w:r>
      <w:r w:rsidRPr="003150D8">
        <w:rPr>
          <w:rFonts w:hint="cs"/>
          <w:rtl/>
        </w:rPr>
        <w:t>ראוי</w:t>
      </w:r>
      <w:r w:rsidRPr="003150D8">
        <w:rPr>
          <w:rtl/>
        </w:rPr>
        <w:t xml:space="preserve"> </w:t>
      </w:r>
      <w:r w:rsidRPr="003150D8">
        <w:rPr>
          <w:rFonts w:hint="cs"/>
          <w:rtl/>
        </w:rPr>
        <w:t>לבחון אפשרות ליצור מראש, בהסכמים עם החברות המתכננות, מנגנון שיסדיר המשך עבודה עם אותה חברה אם יידרש תכנון מחדש, דבר שעשוי לצמצם את ההוצאות עבור התכנון.</w:t>
      </w:r>
    </w:p>
    <w:p w14:paraId="027F5C5D" w14:textId="77777777" w:rsidR="009A28D9" w:rsidRDefault="009A28D9" w:rsidP="00C274E8">
      <w:pPr>
        <w:pStyle w:val="316"/>
        <w:rPr>
          <w:rtl/>
        </w:rPr>
      </w:pPr>
      <w:r>
        <w:rPr>
          <w:rFonts w:hint="cs"/>
          <w:rtl/>
        </w:rPr>
        <w:t xml:space="preserve">היבטים בניהול </w:t>
      </w:r>
      <w:r w:rsidRPr="00490C42">
        <w:rPr>
          <w:rFonts w:hint="cs"/>
          <w:rtl/>
        </w:rPr>
        <w:t>מ</w:t>
      </w:r>
      <w:r w:rsidRPr="004638D1">
        <w:rPr>
          <w:rFonts w:hint="cs"/>
          <w:rtl/>
        </w:rPr>
        <w:t xml:space="preserve">אגר </w:t>
      </w:r>
      <w:r>
        <w:rPr>
          <w:rFonts w:hint="cs"/>
          <w:rtl/>
        </w:rPr>
        <w:t>ה</w:t>
      </w:r>
      <w:r w:rsidRPr="004638D1">
        <w:rPr>
          <w:rFonts w:hint="cs"/>
          <w:rtl/>
        </w:rPr>
        <w:t>מתכננים</w:t>
      </w:r>
      <w:r>
        <w:rPr>
          <w:rFonts w:hint="cs"/>
          <w:rtl/>
        </w:rPr>
        <w:t xml:space="preserve"> של משרד הבינוי</w:t>
      </w:r>
    </w:p>
    <w:p w14:paraId="05EA7129" w14:textId="77777777" w:rsidR="009A28D9" w:rsidRDefault="009A28D9" w:rsidP="00C274E8">
      <w:pPr>
        <w:pStyle w:val="100"/>
        <w:rPr>
          <w:rFonts w:ascii="Arial" w:eastAsia="Times New Roman" w:hAnsi="Arial"/>
          <w:color w:val="000000"/>
          <w:rtl/>
        </w:rPr>
      </w:pPr>
      <w:r>
        <w:rPr>
          <w:rFonts w:hint="cs"/>
          <w:rtl/>
          <w:lang w:eastAsia="he-IL"/>
        </w:rPr>
        <w:t xml:space="preserve">נוסף על ההתקשרויות עם חברות מתכננות מבצע </w:t>
      </w:r>
      <w:r w:rsidRPr="001379C0">
        <w:rPr>
          <w:rtl/>
          <w:lang w:eastAsia="he-IL"/>
        </w:rPr>
        <w:t>משרד</w:t>
      </w:r>
      <w:r w:rsidRPr="001379C0">
        <w:rPr>
          <w:rFonts w:hint="cs"/>
          <w:rtl/>
          <w:lang w:eastAsia="he-IL"/>
        </w:rPr>
        <w:t xml:space="preserve"> הבינוי</w:t>
      </w:r>
      <w:r>
        <w:rPr>
          <w:rFonts w:hint="cs"/>
          <w:rtl/>
          <w:lang w:eastAsia="he-IL"/>
        </w:rPr>
        <w:t>,</w:t>
      </w:r>
      <w:r w:rsidRPr="001379C0">
        <w:rPr>
          <w:rtl/>
          <w:lang w:eastAsia="he-IL"/>
        </w:rPr>
        <w:t xml:space="preserve"> </w:t>
      </w:r>
      <w:r>
        <w:rPr>
          <w:rFonts w:hint="cs"/>
          <w:rtl/>
          <w:lang w:eastAsia="he-IL"/>
        </w:rPr>
        <w:t>מכוח ה</w:t>
      </w:r>
      <w:r w:rsidRPr="001379C0">
        <w:rPr>
          <w:rtl/>
          <w:lang w:eastAsia="he-IL"/>
        </w:rPr>
        <w:t>ת</w:t>
      </w:r>
      <w:r w:rsidRPr="001379C0">
        <w:rPr>
          <w:rFonts w:hint="cs"/>
          <w:rtl/>
          <w:lang w:eastAsia="he-IL"/>
        </w:rPr>
        <w:t>קנות</w:t>
      </w:r>
      <w:r>
        <w:rPr>
          <w:rStyle w:val="FootnoteReference"/>
          <w:sz w:val="24"/>
          <w:rtl/>
          <w:lang w:eastAsia="he-IL"/>
        </w:rPr>
        <w:footnoteReference w:id="54"/>
      </w:r>
      <w:r>
        <w:rPr>
          <w:rFonts w:hint="cs"/>
          <w:rtl/>
          <w:lang w:eastAsia="he-IL"/>
        </w:rPr>
        <w:t xml:space="preserve">, </w:t>
      </w:r>
      <w:r w:rsidRPr="001379C0">
        <w:rPr>
          <w:rtl/>
          <w:lang w:eastAsia="he-IL"/>
        </w:rPr>
        <w:t xml:space="preserve">התקשרויות עם מתכננים לביצוע עבודה מקצועית הדורשת ידע ומומחיות מיוחדים </w:t>
      </w:r>
      <w:r>
        <w:rPr>
          <w:rFonts w:hint="cs"/>
          <w:rtl/>
          <w:lang w:eastAsia="he-IL"/>
        </w:rPr>
        <w:t>בענף התכנון</w:t>
      </w:r>
      <w:r w:rsidRPr="001379C0">
        <w:rPr>
          <w:rtl/>
          <w:lang w:eastAsia="he-IL"/>
        </w:rPr>
        <w:t>, כחלק מפעילות</w:t>
      </w:r>
      <w:r w:rsidRPr="001379C0">
        <w:rPr>
          <w:rFonts w:hint="cs"/>
          <w:rtl/>
          <w:lang w:eastAsia="he-IL"/>
        </w:rPr>
        <w:t>ו</w:t>
      </w:r>
      <w:r w:rsidRPr="001379C0">
        <w:rPr>
          <w:rtl/>
          <w:lang w:eastAsia="he-IL"/>
        </w:rPr>
        <w:t xml:space="preserve"> השוטפת.</w:t>
      </w:r>
      <w:r w:rsidRPr="001379C0">
        <w:rPr>
          <w:rFonts w:hint="cs"/>
          <w:rtl/>
          <w:lang w:eastAsia="he-IL"/>
        </w:rPr>
        <w:t xml:space="preserve"> </w:t>
      </w:r>
      <w:r w:rsidRPr="00F421A5">
        <w:rPr>
          <w:rFonts w:ascii="Arial" w:eastAsia="Times New Roman" w:hAnsi="Arial"/>
          <w:color w:val="000000"/>
          <w:rtl/>
        </w:rPr>
        <w:t xml:space="preserve">לצורך כך </w:t>
      </w:r>
      <w:r>
        <w:rPr>
          <w:rFonts w:ascii="Arial" w:eastAsia="Times New Roman" w:hAnsi="Arial" w:hint="cs"/>
          <w:color w:val="000000"/>
          <w:rtl/>
        </w:rPr>
        <w:t>מנהל משרד הבינוי מאגר</w:t>
      </w:r>
      <w:r>
        <w:rPr>
          <w:rStyle w:val="FootnoteReference"/>
          <w:rFonts w:ascii="Arial" w:eastAsia="Times New Roman" w:hAnsi="Arial"/>
          <w:color w:val="000000"/>
          <w:sz w:val="24"/>
          <w:rtl/>
        </w:rPr>
        <w:footnoteReference w:id="55"/>
      </w:r>
      <w:r>
        <w:rPr>
          <w:rFonts w:ascii="Arial" w:eastAsia="Times New Roman" w:hAnsi="Arial" w:hint="cs"/>
          <w:color w:val="000000"/>
          <w:rtl/>
        </w:rPr>
        <w:t xml:space="preserve"> של בעלי מקצוע לתכנון, ייעוץ, תיאום, ניהול ופיקוח על פרויקטים, מדידות ומקצועות נוספים בתחומים דומים (להלן - המאגר). ב</w:t>
      </w:r>
      <w:r w:rsidRPr="00F72449">
        <w:rPr>
          <w:rFonts w:ascii="Arial" w:eastAsia="Times New Roman" w:hAnsi="Arial"/>
          <w:color w:val="000000"/>
          <w:rtl/>
        </w:rPr>
        <w:t>הוראת</w:t>
      </w:r>
      <w:r w:rsidRPr="00F421A5">
        <w:rPr>
          <w:rFonts w:ascii="Arial" w:eastAsia="Times New Roman" w:hAnsi="Arial"/>
          <w:color w:val="000000"/>
          <w:rtl/>
        </w:rPr>
        <w:t xml:space="preserve"> </w:t>
      </w:r>
      <w:r>
        <w:rPr>
          <w:rFonts w:ascii="Arial" w:eastAsia="Times New Roman" w:hAnsi="Arial" w:hint="cs"/>
          <w:color w:val="000000"/>
          <w:rtl/>
        </w:rPr>
        <w:t xml:space="preserve">תכ"ם בנושא "כללים להקמת רשימת מציעים (מאגר) ולניהולה" נקבעו כללים </w:t>
      </w:r>
      <w:r w:rsidRPr="00B80157">
        <w:rPr>
          <w:rtl/>
        </w:rPr>
        <w:t xml:space="preserve">להקמת </w:t>
      </w:r>
      <w:r>
        <w:rPr>
          <w:rFonts w:hint="cs"/>
          <w:rtl/>
        </w:rPr>
        <w:t>ה</w:t>
      </w:r>
      <w:r w:rsidRPr="00B80157">
        <w:rPr>
          <w:rtl/>
        </w:rPr>
        <w:t>מאגר, לניהול</w:t>
      </w:r>
      <w:r>
        <w:rPr>
          <w:rFonts w:hint="cs"/>
          <w:rtl/>
        </w:rPr>
        <w:t>ו</w:t>
      </w:r>
      <w:r w:rsidRPr="00B80157">
        <w:rPr>
          <w:rtl/>
        </w:rPr>
        <w:t xml:space="preserve"> ול</w:t>
      </w:r>
      <w:r>
        <w:rPr>
          <w:rFonts w:hint="cs"/>
          <w:rtl/>
        </w:rPr>
        <w:t>ה</w:t>
      </w:r>
      <w:r w:rsidRPr="00B80157">
        <w:rPr>
          <w:rtl/>
        </w:rPr>
        <w:t>פעל</w:t>
      </w:r>
      <w:r>
        <w:rPr>
          <w:rFonts w:hint="cs"/>
          <w:rtl/>
        </w:rPr>
        <w:t>תו, ובכלל זה האפשרות להקים בו התמחויות שונות</w:t>
      </w:r>
      <w:r>
        <w:rPr>
          <w:rFonts w:ascii="Arial" w:eastAsia="Times New Roman" w:hAnsi="Arial" w:hint="cs"/>
          <w:color w:val="000000"/>
          <w:rtl/>
        </w:rPr>
        <w:t xml:space="preserve">. משרד הבינוי קבע גם בנוהל "הפעלת מאגר מתכננים" (להלן - נוהל הפעלת המאגר) את הכללים להפעלת המאגר. </w:t>
      </w:r>
      <w:r>
        <w:rPr>
          <w:rFonts w:hint="cs"/>
          <w:rtl/>
          <w:lang w:eastAsia="he-IL"/>
        </w:rPr>
        <w:t>לניהול המאגר אחראי מנהל מינהל הנדסה וביצוע (להלן - מנהל המאגר)</w:t>
      </w:r>
      <w:r>
        <w:rPr>
          <w:rFonts w:ascii="Arial" w:eastAsia="Times New Roman" w:hAnsi="Arial" w:hint="cs"/>
          <w:color w:val="000000"/>
          <w:rtl/>
        </w:rPr>
        <w:t>.</w:t>
      </w:r>
    </w:p>
    <w:p w14:paraId="4638828C" w14:textId="77777777" w:rsidR="009A28D9" w:rsidRDefault="009A28D9" w:rsidP="00C274E8">
      <w:pPr>
        <w:pStyle w:val="100"/>
        <w:rPr>
          <w:rFonts w:ascii="Arial" w:eastAsia="Times New Roman" w:hAnsi="Arial"/>
          <w:color w:val="000000"/>
          <w:rtl/>
        </w:rPr>
      </w:pPr>
      <w:r>
        <w:rPr>
          <w:rFonts w:ascii="Arial" w:eastAsia="Times New Roman" w:hAnsi="Arial" w:hint="cs"/>
          <w:color w:val="000000"/>
          <w:rtl/>
        </w:rPr>
        <w:t xml:space="preserve">בתחילת 2019 היו רשומים במאגר כ-1,500 ספקים (פרטיים וציבוריים). המאגר מונה 232 התמחויות ותתי-התמחויות. רבים מהספקים רשומים בכמה </w:t>
      </w:r>
      <w:r w:rsidRPr="001243AE">
        <w:rPr>
          <w:rFonts w:ascii="Arial" w:eastAsia="Times New Roman" w:hAnsi="Arial" w:hint="cs"/>
          <w:color w:val="000000"/>
          <w:rtl/>
        </w:rPr>
        <w:t xml:space="preserve">מהן. </w:t>
      </w:r>
      <w:r>
        <w:rPr>
          <w:rFonts w:ascii="Arial" w:eastAsia="Times New Roman" w:hAnsi="Arial" w:hint="cs"/>
          <w:color w:val="000000"/>
          <w:rtl/>
        </w:rPr>
        <w:t>להלן בתרשימים ההיקף הכספי וכמות העבודות שמשרד הבינוי מסר למתכננים מהמאגר בשנים 2015 - 2018.</w:t>
      </w:r>
    </w:p>
    <w:p w14:paraId="00F50650" w14:textId="77777777" w:rsidR="009A28D9" w:rsidRDefault="009A28D9" w:rsidP="00C274E8">
      <w:pPr>
        <w:pStyle w:val="100"/>
        <w:rPr>
          <w:rFonts w:ascii="Arial" w:eastAsia="Times New Roman" w:hAnsi="Arial"/>
          <w:color w:val="000000"/>
          <w:rtl/>
        </w:rPr>
      </w:pPr>
    </w:p>
    <w:p w14:paraId="533BEA36" w14:textId="77777777" w:rsidR="00C274E8" w:rsidRDefault="00C274E8">
      <w:pPr>
        <w:bidi w:val="0"/>
        <w:spacing w:after="200" w:line="276" w:lineRule="auto"/>
        <w:rPr>
          <w:b/>
          <w:bCs/>
          <w:rtl/>
        </w:rPr>
      </w:pPr>
      <w:r>
        <w:rPr>
          <w:b/>
          <w:bCs/>
          <w:rtl/>
        </w:rPr>
        <w:br w:type="page"/>
      </w:r>
    </w:p>
    <w:p w14:paraId="52FFC92F" w14:textId="32827E81" w:rsidR="009A28D9" w:rsidRPr="00C274E8" w:rsidRDefault="009A28D9" w:rsidP="00C274E8">
      <w:pPr>
        <w:pStyle w:val="a6"/>
        <w:rPr>
          <w:b/>
          <w:bCs/>
          <w:rtl/>
        </w:rPr>
      </w:pPr>
      <w:r w:rsidRPr="006E37A1">
        <w:rPr>
          <w:rFonts w:hint="eastAsia"/>
          <w:rtl/>
        </w:rPr>
        <w:lastRenderedPageBreak/>
        <w:t>תרשים</w:t>
      </w:r>
      <w:r w:rsidRPr="006E37A1">
        <w:rPr>
          <w:rtl/>
        </w:rPr>
        <w:t xml:space="preserve"> 1</w:t>
      </w:r>
      <w:r>
        <w:rPr>
          <w:rFonts w:hint="cs"/>
          <w:rtl/>
        </w:rPr>
        <w:t>3</w:t>
      </w:r>
      <w:r w:rsidRPr="006E37A1">
        <w:rPr>
          <w:rtl/>
        </w:rPr>
        <w:t xml:space="preserve">: </w:t>
      </w:r>
      <w:r w:rsidRPr="00C274E8">
        <w:rPr>
          <w:rFonts w:eastAsia="Times New Roman" w:hint="eastAsia"/>
          <w:b/>
          <w:bCs/>
          <w:rtl/>
        </w:rPr>
        <w:t>כמות</w:t>
      </w:r>
      <w:r w:rsidRPr="00C274E8">
        <w:rPr>
          <w:rFonts w:eastAsia="Times New Roman"/>
          <w:b/>
          <w:bCs/>
          <w:rtl/>
        </w:rPr>
        <w:t xml:space="preserve"> </w:t>
      </w:r>
      <w:r w:rsidRPr="00C274E8">
        <w:rPr>
          <w:rFonts w:eastAsia="Times New Roman" w:hint="eastAsia"/>
          <w:b/>
          <w:bCs/>
          <w:rtl/>
        </w:rPr>
        <w:t>והיקף</w:t>
      </w:r>
      <w:r w:rsidRPr="00C274E8">
        <w:rPr>
          <w:rFonts w:eastAsia="Times New Roman"/>
          <w:b/>
          <w:bCs/>
          <w:rtl/>
        </w:rPr>
        <w:t xml:space="preserve"> כספי של </w:t>
      </w:r>
      <w:r w:rsidRPr="00C274E8">
        <w:rPr>
          <w:rFonts w:eastAsia="Times New Roman" w:hint="eastAsia"/>
          <w:b/>
          <w:bCs/>
          <w:rtl/>
        </w:rPr>
        <w:t>כלל</w:t>
      </w:r>
      <w:r w:rsidRPr="00C274E8">
        <w:rPr>
          <w:rFonts w:eastAsia="Times New Roman"/>
          <w:b/>
          <w:bCs/>
          <w:rtl/>
        </w:rPr>
        <w:t xml:space="preserve"> העבודות שמשרד הבינוי מסר למתכננים מהמאגר</w:t>
      </w:r>
      <w:r w:rsidRPr="00C274E8">
        <w:rPr>
          <w:rFonts w:eastAsia="Times New Roman" w:hint="cs"/>
          <w:b/>
          <w:bCs/>
          <w:rtl/>
        </w:rPr>
        <w:t>,</w:t>
      </w:r>
      <w:r w:rsidRPr="00C274E8">
        <w:rPr>
          <w:rFonts w:eastAsia="Times New Roman"/>
          <w:b/>
          <w:bCs/>
          <w:rtl/>
        </w:rPr>
        <w:t xml:space="preserve"> 2015 - 2018 (</w:t>
      </w:r>
      <w:r w:rsidRPr="00C274E8">
        <w:rPr>
          <w:rFonts w:eastAsia="Times New Roman" w:hint="cs"/>
          <w:b/>
          <w:bCs/>
          <w:rtl/>
        </w:rPr>
        <w:t>במספרים ו</w:t>
      </w:r>
      <w:r w:rsidRPr="00C274E8">
        <w:rPr>
          <w:rFonts w:eastAsia="Times New Roman"/>
          <w:b/>
          <w:bCs/>
          <w:rtl/>
        </w:rPr>
        <w:t xml:space="preserve">במיליוני </w:t>
      </w:r>
      <w:r w:rsidRPr="00C274E8">
        <w:rPr>
          <w:rFonts w:eastAsia="Times New Roman" w:hint="eastAsia"/>
          <w:b/>
          <w:bCs/>
          <w:rtl/>
        </w:rPr>
        <w:t>ש</w:t>
      </w:r>
      <w:r w:rsidRPr="00C274E8">
        <w:rPr>
          <w:rFonts w:eastAsia="Times New Roman"/>
          <w:b/>
          <w:bCs/>
          <w:rtl/>
        </w:rPr>
        <w:t>"ח)</w:t>
      </w:r>
    </w:p>
    <w:p w14:paraId="5E9851D9" w14:textId="4FCC3AF0" w:rsidR="009A28D9" w:rsidRDefault="009A28D9" w:rsidP="00C274E8">
      <w:pPr>
        <w:pStyle w:val="a6"/>
        <w:rPr>
          <w:rtl/>
        </w:rPr>
      </w:pPr>
      <w:r>
        <w:rPr>
          <w:noProof/>
        </w:rPr>
        <w:drawing>
          <wp:inline distT="0" distB="0" distL="0" distR="0" wp14:anchorId="13473302" wp14:editId="2D7CA134">
            <wp:extent cx="4708937" cy="2535381"/>
            <wp:effectExtent l="0" t="0" r="15875" b="17780"/>
            <wp:docPr id="22" name="תרשים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488E6B9" w14:textId="77777777" w:rsidR="009A28D9" w:rsidRDefault="009A28D9" w:rsidP="00C274E8">
      <w:pPr>
        <w:pStyle w:val="a8"/>
        <w:rPr>
          <w:rtl/>
        </w:rPr>
      </w:pPr>
      <w:r w:rsidRPr="00186202">
        <w:rPr>
          <w:rtl/>
          <w:lang w:eastAsia="he-IL"/>
        </w:rPr>
        <w:t xml:space="preserve">על פי </w:t>
      </w:r>
      <w:r w:rsidRPr="006F3EBB">
        <w:rPr>
          <w:rFonts w:hint="cs"/>
          <w:rtl/>
          <w:lang w:eastAsia="he-IL"/>
        </w:rPr>
        <w:t>נתוני משרד הב</w:t>
      </w:r>
      <w:r>
        <w:rPr>
          <w:rFonts w:hint="cs"/>
          <w:rtl/>
          <w:lang w:eastAsia="he-IL"/>
        </w:rPr>
        <w:t>ינוי,</w:t>
      </w:r>
      <w:r w:rsidRPr="006F3EBB">
        <w:rPr>
          <w:rFonts w:hint="cs"/>
          <w:rtl/>
          <w:lang w:eastAsia="he-IL"/>
        </w:rPr>
        <w:t xml:space="preserve"> </w:t>
      </w:r>
      <w:r w:rsidRPr="00186202">
        <w:rPr>
          <w:rtl/>
          <w:lang w:eastAsia="he-IL"/>
        </w:rPr>
        <w:t>בעיבוד משרד מבקר המדינה.</w:t>
      </w:r>
    </w:p>
    <w:p w14:paraId="63080878" w14:textId="77777777" w:rsidR="009A28D9" w:rsidRPr="008A2833" w:rsidRDefault="009A28D9" w:rsidP="009A28D9">
      <w:pPr>
        <w:spacing w:line="269" w:lineRule="auto"/>
        <w:rPr>
          <w:rtl/>
        </w:rPr>
      </w:pPr>
    </w:p>
    <w:p w14:paraId="32447E54" w14:textId="2231FDC1" w:rsidR="009A28D9" w:rsidRPr="001F1A68" w:rsidRDefault="009A28D9" w:rsidP="001F1A68">
      <w:pPr>
        <w:pStyle w:val="a6"/>
        <w:rPr>
          <w:b/>
          <w:bCs/>
          <w:rtl/>
        </w:rPr>
      </w:pPr>
      <w:r w:rsidRPr="006E37A1">
        <w:rPr>
          <w:rFonts w:hint="eastAsia"/>
          <w:rtl/>
        </w:rPr>
        <w:t>תרשים</w:t>
      </w:r>
      <w:r w:rsidRPr="006E37A1">
        <w:rPr>
          <w:rtl/>
        </w:rPr>
        <w:t xml:space="preserve"> 1</w:t>
      </w:r>
      <w:r>
        <w:rPr>
          <w:rFonts w:hint="cs"/>
          <w:rtl/>
        </w:rPr>
        <w:t>4</w:t>
      </w:r>
      <w:r w:rsidRPr="006E37A1">
        <w:rPr>
          <w:rtl/>
        </w:rPr>
        <w:t xml:space="preserve">: </w:t>
      </w:r>
      <w:r w:rsidRPr="001F1A68">
        <w:rPr>
          <w:rFonts w:eastAsia="Times New Roman" w:hint="eastAsia"/>
          <w:b/>
          <w:bCs/>
          <w:rtl/>
        </w:rPr>
        <w:t>היקף</w:t>
      </w:r>
      <w:r w:rsidRPr="001F1A68">
        <w:rPr>
          <w:rFonts w:eastAsia="Times New Roman"/>
          <w:b/>
          <w:bCs/>
          <w:rtl/>
        </w:rPr>
        <w:t xml:space="preserve"> </w:t>
      </w:r>
      <w:r w:rsidRPr="001F1A68">
        <w:rPr>
          <w:rFonts w:eastAsia="Times New Roman" w:hint="eastAsia"/>
          <w:b/>
          <w:bCs/>
          <w:rtl/>
        </w:rPr>
        <w:t>כספי</w:t>
      </w:r>
      <w:r w:rsidRPr="001F1A68">
        <w:rPr>
          <w:rFonts w:eastAsia="Times New Roman"/>
          <w:b/>
          <w:bCs/>
          <w:rtl/>
        </w:rPr>
        <w:t xml:space="preserve"> </w:t>
      </w:r>
      <w:r w:rsidRPr="001F1A68">
        <w:rPr>
          <w:rFonts w:eastAsia="Times New Roman" w:hint="eastAsia"/>
          <w:b/>
          <w:bCs/>
          <w:rtl/>
        </w:rPr>
        <w:t>של</w:t>
      </w:r>
      <w:r w:rsidRPr="001F1A68">
        <w:rPr>
          <w:rFonts w:eastAsia="Times New Roman"/>
          <w:b/>
          <w:bCs/>
          <w:rtl/>
        </w:rPr>
        <w:t xml:space="preserve"> </w:t>
      </w:r>
      <w:r w:rsidRPr="001F1A68">
        <w:rPr>
          <w:rFonts w:eastAsia="Times New Roman" w:hint="eastAsia"/>
          <w:b/>
          <w:bCs/>
          <w:rtl/>
        </w:rPr>
        <w:t>העבודות</w:t>
      </w:r>
      <w:r w:rsidRPr="001F1A68">
        <w:rPr>
          <w:rFonts w:eastAsia="Times New Roman"/>
          <w:b/>
          <w:bCs/>
          <w:rtl/>
        </w:rPr>
        <w:t xml:space="preserve"> </w:t>
      </w:r>
      <w:r w:rsidRPr="001F1A68">
        <w:rPr>
          <w:rFonts w:eastAsia="Times New Roman" w:hint="eastAsia"/>
          <w:b/>
          <w:bCs/>
          <w:rtl/>
        </w:rPr>
        <w:t>שמשרד</w:t>
      </w:r>
      <w:r w:rsidRPr="001F1A68">
        <w:rPr>
          <w:rFonts w:eastAsia="Times New Roman"/>
          <w:b/>
          <w:bCs/>
          <w:rtl/>
        </w:rPr>
        <w:t xml:space="preserve"> </w:t>
      </w:r>
      <w:r w:rsidRPr="001F1A68">
        <w:rPr>
          <w:rFonts w:eastAsia="Times New Roman" w:hint="eastAsia"/>
          <w:b/>
          <w:bCs/>
          <w:rtl/>
        </w:rPr>
        <w:t>הבינוי</w:t>
      </w:r>
      <w:r w:rsidRPr="001F1A68">
        <w:rPr>
          <w:rFonts w:eastAsia="Times New Roman"/>
          <w:b/>
          <w:bCs/>
          <w:rtl/>
        </w:rPr>
        <w:t xml:space="preserve"> </w:t>
      </w:r>
      <w:r w:rsidRPr="001F1A68">
        <w:rPr>
          <w:rFonts w:eastAsia="Times New Roman" w:hint="eastAsia"/>
          <w:b/>
          <w:bCs/>
          <w:rtl/>
        </w:rPr>
        <w:t>מסר</w:t>
      </w:r>
      <w:r w:rsidRPr="001F1A68">
        <w:rPr>
          <w:rFonts w:eastAsia="Times New Roman"/>
          <w:b/>
          <w:bCs/>
          <w:rtl/>
        </w:rPr>
        <w:t xml:space="preserve"> </w:t>
      </w:r>
      <w:r w:rsidRPr="001F1A68">
        <w:rPr>
          <w:rFonts w:eastAsia="Times New Roman" w:hint="eastAsia"/>
          <w:b/>
          <w:bCs/>
          <w:rtl/>
        </w:rPr>
        <w:t>למתכננים</w:t>
      </w:r>
      <w:r w:rsidRPr="001F1A68">
        <w:rPr>
          <w:rFonts w:eastAsia="Times New Roman"/>
          <w:b/>
          <w:bCs/>
          <w:rtl/>
        </w:rPr>
        <w:t xml:space="preserve"> </w:t>
      </w:r>
      <w:r w:rsidRPr="001F1A68">
        <w:rPr>
          <w:rFonts w:eastAsia="Times New Roman" w:hint="eastAsia"/>
          <w:b/>
          <w:bCs/>
          <w:rtl/>
        </w:rPr>
        <w:t>מהמאגר</w:t>
      </w:r>
      <w:r w:rsidR="001F1A68" w:rsidRPr="001F1A68">
        <w:rPr>
          <w:rFonts w:eastAsia="Times New Roman" w:hint="cs"/>
          <w:b/>
          <w:bCs/>
          <w:rtl/>
        </w:rPr>
        <w:t xml:space="preserve"> </w:t>
      </w:r>
      <w:r w:rsidRPr="001F1A68">
        <w:rPr>
          <w:rFonts w:eastAsia="Times New Roman" w:hint="eastAsia"/>
          <w:b/>
          <w:bCs/>
          <w:rtl/>
        </w:rPr>
        <w:t>לצורך</w:t>
      </w:r>
      <w:r w:rsidRPr="001F1A68">
        <w:rPr>
          <w:rFonts w:eastAsia="Times New Roman"/>
          <w:b/>
          <w:bCs/>
          <w:rtl/>
        </w:rPr>
        <w:t xml:space="preserve"> תכנון מתארי ומפורט</w:t>
      </w:r>
      <w:r w:rsidRPr="001F1A68">
        <w:rPr>
          <w:rFonts w:eastAsia="Times New Roman" w:hint="cs"/>
          <w:b/>
          <w:bCs/>
          <w:rtl/>
        </w:rPr>
        <w:t>,</w:t>
      </w:r>
      <w:r w:rsidRPr="001F1A68">
        <w:rPr>
          <w:rFonts w:eastAsia="Times New Roman"/>
          <w:b/>
          <w:bCs/>
          <w:rtl/>
        </w:rPr>
        <w:t xml:space="preserve"> </w:t>
      </w:r>
      <w:r w:rsidRPr="001F1A68">
        <w:rPr>
          <w:rFonts w:eastAsia="Times New Roman" w:hint="cs"/>
          <w:b/>
          <w:bCs/>
          <w:rtl/>
        </w:rPr>
        <w:t xml:space="preserve">2015 - 2018 </w:t>
      </w:r>
      <w:r w:rsidRPr="001F1A68">
        <w:rPr>
          <w:b/>
          <w:bCs/>
          <w:rtl/>
        </w:rPr>
        <w:t>(ב</w:t>
      </w:r>
      <w:r w:rsidRPr="001F1A68">
        <w:rPr>
          <w:rFonts w:hint="eastAsia"/>
          <w:b/>
          <w:bCs/>
          <w:rtl/>
        </w:rPr>
        <w:t>מיליוני</w:t>
      </w:r>
      <w:r w:rsidRPr="001F1A68">
        <w:rPr>
          <w:b/>
          <w:bCs/>
          <w:rtl/>
        </w:rPr>
        <w:t xml:space="preserve"> </w:t>
      </w:r>
      <w:r w:rsidRPr="001F1A68">
        <w:rPr>
          <w:rFonts w:hint="eastAsia"/>
          <w:b/>
          <w:bCs/>
          <w:rtl/>
        </w:rPr>
        <w:t>ש</w:t>
      </w:r>
      <w:r w:rsidRPr="001F1A68">
        <w:rPr>
          <w:b/>
          <w:bCs/>
          <w:rtl/>
        </w:rPr>
        <w:t>"ח)</w:t>
      </w:r>
    </w:p>
    <w:p w14:paraId="4349A3CD" w14:textId="77777777" w:rsidR="009A28D9" w:rsidRDefault="009A28D9" w:rsidP="001F1A68">
      <w:pPr>
        <w:pStyle w:val="a6"/>
        <w:rPr>
          <w:rtl/>
        </w:rPr>
      </w:pPr>
      <w:r w:rsidRPr="006B1BB9">
        <w:rPr>
          <w:noProof/>
        </w:rPr>
        <w:t xml:space="preserve"> </w:t>
      </w:r>
      <w:r>
        <w:rPr>
          <w:noProof/>
        </w:rPr>
        <w:drawing>
          <wp:inline distT="0" distB="0" distL="0" distR="0" wp14:anchorId="21411AB0" wp14:editId="59A9A0C3">
            <wp:extent cx="4092039" cy="2392878"/>
            <wp:effectExtent l="0" t="0" r="3810" b="7620"/>
            <wp:docPr id="19" name="תרשים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B1DCFC1" w14:textId="77777777" w:rsidR="009A28D9" w:rsidRDefault="009A28D9" w:rsidP="001F1A68">
      <w:pPr>
        <w:pStyle w:val="a8"/>
        <w:rPr>
          <w:rtl/>
        </w:rPr>
      </w:pPr>
      <w:r>
        <w:rPr>
          <w:rFonts w:hint="cs"/>
          <w:rtl/>
          <w:lang w:eastAsia="he-IL"/>
        </w:rPr>
        <w:t xml:space="preserve"> </w:t>
      </w:r>
      <w:r w:rsidRPr="00186202">
        <w:rPr>
          <w:rtl/>
          <w:lang w:eastAsia="he-IL"/>
        </w:rPr>
        <w:t xml:space="preserve">על פי </w:t>
      </w:r>
      <w:r w:rsidRPr="006F3EBB">
        <w:rPr>
          <w:rFonts w:hint="cs"/>
          <w:rtl/>
          <w:lang w:eastAsia="he-IL"/>
        </w:rPr>
        <w:t>נתוני משרד הב</w:t>
      </w:r>
      <w:r>
        <w:rPr>
          <w:rFonts w:hint="cs"/>
          <w:rtl/>
          <w:lang w:eastAsia="he-IL"/>
        </w:rPr>
        <w:t>ינוי,</w:t>
      </w:r>
      <w:r w:rsidRPr="006F3EBB">
        <w:rPr>
          <w:rFonts w:hint="cs"/>
          <w:rtl/>
          <w:lang w:eastAsia="he-IL"/>
        </w:rPr>
        <w:t xml:space="preserve"> </w:t>
      </w:r>
      <w:r w:rsidRPr="00186202">
        <w:rPr>
          <w:rtl/>
          <w:lang w:eastAsia="he-IL"/>
        </w:rPr>
        <w:t>בעיבוד משרד מבקר המדינה.</w:t>
      </w:r>
    </w:p>
    <w:p w14:paraId="2F5FC6ED" w14:textId="77777777" w:rsidR="001F1A68" w:rsidRDefault="001F1A68">
      <w:pPr>
        <w:bidi w:val="0"/>
        <w:spacing w:after="200" w:line="276" w:lineRule="auto"/>
        <w:rPr>
          <w:rFonts w:ascii="Tahoma" w:hAnsi="Tahoma" w:cs="Tahoma"/>
          <w:szCs w:val="20"/>
          <w:rtl/>
        </w:rPr>
      </w:pPr>
      <w:r>
        <w:rPr>
          <w:rtl/>
        </w:rPr>
        <w:br w:type="page"/>
      </w:r>
    </w:p>
    <w:p w14:paraId="4C2F3F48" w14:textId="72E0A67C" w:rsidR="009A28D9" w:rsidRDefault="009A28D9" w:rsidP="001F1A68">
      <w:pPr>
        <w:pStyle w:val="100"/>
        <w:rPr>
          <w:rtl/>
        </w:rPr>
      </w:pPr>
      <w:r>
        <w:rPr>
          <w:rFonts w:hint="cs"/>
          <w:rtl/>
        </w:rPr>
        <w:lastRenderedPageBreak/>
        <w:t xml:space="preserve">מתרשימים 13 ו-14 עולה כי בתחום התכנון המתארי והמפורט חלה בשלוש השנים האחרונות ירידה במספר ההתקשרויות באמצעות </w:t>
      </w:r>
      <w:r>
        <w:rPr>
          <w:rtl/>
        </w:rPr>
        <w:t>"בחירה</w:t>
      </w:r>
      <w:r>
        <w:rPr>
          <w:rFonts w:hint="cs"/>
          <w:rtl/>
        </w:rPr>
        <w:t xml:space="preserve"> </w:t>
      </w:r>
      <w:r>
        <w:rPr>
          <w:rtl/>
        </w:rPr>
        <w:t>ממאגר"</w:t>
      </w:r>
      <w:r>
        <w:rPr>
          <w:rFonts w:hint="cs"/>
          <w:rtl/>
        </w:rPr>
        <w:t xml:space="preserve">, וכן בהיקפן הכספי. </w:t>
      </w:r>
      <w:r w:rsidRPr="00495131">
        <w:rPr>
          <w:rFonts w:hint="eastAsia"/>
          <w:rtl/>
        </w:rPr>
        <w:t>הדבר</w:t>
      </w:r>
      <w:r w:rsidRPr="00495131">
        <w:rPr>
          <w:rtl/>
        </w:rPr>
        <w:t xml:space="preserve"> נובע מכך שמשרד הבינוי הגביר את </w:t>
      </w:r>
      <w:r w:rsidRPr="00495131">
        <w:rPr>
          <w:rFonts w:hint="eastAsia"/>
          <w:rtl/>
        </w:rPr>
        <w:t>ביצוע</w:t>
      </w:r>
      <w:r w:rsidRPr="00495131">
        <w:rPr>
          <w:rtl/>
        </w:rPr>
        <w:t xml:space="preserve"> פעולות התכנון באמצעות </w:t>
      </w:r>
      <w:r w:rsidRPr="00495131">
        <w:rPr>
          <w:rFonts w:hint="eastAsia"/>
          <w:rtl/>
        </w:rPr>
        <w:t>חברות</w:t>
      </w:r>
      <w:r w:rsidRPr="00495131">
        <w:rPr>
          <w:rtl/>
        </w:rPr>
        <w:t xml:space="preserve"> מתכננות ורשויות מקומיות.</w:t>
      </w:r>
    </w:p>
    <w:p w14:paraId="2BAD32BF" w14:textId="77777777" w:rsidR="009A28D9" w:rsidRDefault="009A28D9" w:rsidP="001F1A68">
      <w:pPr>
        <w:pStyle w:val="414"/>
        <w:rPr>
          <w:rFonts w:eastAsia="Times New Roman"/>
          <w:rtl/>
        </w:rPr>
      </w:pPr>
      <w:r w:rsidRPr="00495131">
        <w:rPr>
          <w:rFonts w:hint="eastAsia"/>
          <w:rtl/>
          <w:lang w:eastAsia="he-IL"/>
        </w:rPr>
        <w:t>הקמת</w:t>
      </w:r>
      <w:r w:rsidRPr="00495131">
        <w:rPr>
          <w:rtl/>
          <w:lang w:eastAsia="he-IL"/>
        </w:rPr>
        <w:t xml:space="preserve"> </w:t>
      </w:r>
      <w:r w:rsidRPr="00495131">
        <w:rPr>
          <w:rFonts w:hint="eastAsia"/>
          <w:rtl/>
          <w:lang w:eastAsia="he-IL"/>
        </w:rPr>
        <w:t>התמחויות</w:t>
      </w:r>
      <w:r w:rsidRPr="00495131">
        <w:rPr>
          <w:rtl/>
          <w:lang w:eastAsia="he-IL"/>
        </w:rPr>
        <w:t xml:space="preserve"> </w:t>
      </w:r>
      <w:r w:rsidRPr="00495131">
        <w:rPr>
          <w:rFonts w:hint="eastAsia"/>
          <w:rtl/>
          <w:lang w:eastAsia="he-IL"/>
        </w:rPr>
        <w:t>במאגר</w:t>
      </w:r>
      <w:r w:rsidRPr="004638D1">
        <w:rPr>
          <w:rFonts w:eastAsia="Times New Roman" w:hint="cs"/>
          <w:rtl/>
        </w:rPr>
        <w:t xml:space="preserve"> </w:t>
      </w:r>
    </w:p>
    <w:p w14:paraId="14D53E58" w14:textId="77777777" w:rsidR="009A28D9" w:rsidRPr="00D46C1F" w:rsidRDefault="009A28D9" w:rsidP="001F1A68">
      <w:pPr>
        <w:pStyle w:val="100"/>
        <w:rPr>
          <w:rtl/>
          <w:lang w:eastAsia="he-IL"/>
        </w:rPr>
      </w:pPr>
      <w:r w:rsidRPr="00D46C1F">
        <w:rPr>
          <w:rFonts w:hint="cs"/>
          <w:rtl/>
          <w:lang w:eastAsia="he-IL"/>
        </w:rPr>
        <w:t xml:space="preserve">בהוראת </w:t>
      </w:r>
      <w:r>
        <w:rPr>
          <w:rFonts w:hint="cs"/>
          <w:rtl/>
          <w:lang w:eastAsia="he-IL"/>
        </w:rPr>
        <w:t>ה</w:t>
      </w:r>
      <w:r w:rsidRPr="00D46C1F">
        <w:rPr>
          <w:rFonts w:hint="cs"/>
          <w:rtl/>
          <w:lang w:eastAsia="he-IL"/>
        </w:rPr>
        <w:t>תכ"ם</w:t>
      </w:r>
      <w:r>
        <w:rPr>
          <w:rFonts w:hint="cs"/>
          <w:rtl/>
          <w:lang w:eastAsia="he-IL"/>
        </w:rPr>
        <w:t xml:space="preserve"> האמורה</w:t>
      </w:r>
      <w:r w:rsidRPr="00D46C1F">
        <w:rPr>
          <w:rFonts w:hint="cs"/>
          <w:rtl/>
          <w:lang w:eastAsia="he-IL"/>
        </w:rPr>
        <w:t xml:space="preserve"> נקבע כי לצורך הקמת </w:t>
      </w:r>
      <w:r>
        <w:rPr>
          <w:rFonts w:hint="cs"/>
          <w:rtl/>
          <w:lang w:eastAsia="he-IL"/>
        </w:rPr>
        <w:t>התמחות ב</w:t>
      </w:r>
      <w:r w:rsidRPr="00D46C1F">
        <w:rPr>
          <w:rFonts w:hint="cs"/>
          <w:rtl/>
          <w:lang w:eastAsia="he-IL"/>
        </w:rPr>
        <w:t>מאגר, ועדת המכרזים תבחן אם קיימת הצדקה להקימ</w:t>
      </w:r>
      <w:r>
        <w:rPr>
          <w:rFonts w:hint="cs"/>
          <w:rtl/>
          <w:lang w:eastAsia="he-IL"/>
        </w:rPr>
        <w:t>ה</w:t>
      </w:r>
      <w:r w:rsidRPr="00D46C1F">
        <w:rPr>
          <w:rFonts w:hint="cs"/>
          <w:rtl/>
          <w:lang w:eastAsia="he-IL"/>
        </w:rPr>
        <w:t xml:space="preserve"> ותציין את נימוקי החלטתה בפרוטוקול. </w:t>
      </w:r>
      <w:r>
        <w:rPr>
          <w:rFonts w:hint="cs"/>
          <w:rtl/>
          <w:lang w:eastAsia="he-IL"/>
        </w:rPr>
        <w:t>כמו כן</w:t>
      </w:r>
      <w:r w:rsidRPr="00D46C1F">
        <w:rPr>
          <w:rFonts w:hint="cs"/>
          <w:rtl/>
          <w:lang w:eastAsia="he-IL"/>
        </w:rPr>
        <w:t xml:space="preserve"> נקבע </w:t>
      </w:r>
      <w:r>
        <w:rPr>
          <w:rFonts w:ascii="Arial" w:eastAsia="Times New Roman" w:hAnsi="Arial" w:hint="cs"/>
          <w:color w:val="000000"/>
          <w:rtl/>
        </w:rPr>
        <w:t>בנוהל הפעלת המאגר</w:t>
      </w:r>
      <w:r>
        <w:rPr>
          <w:rFonts w:hint="cs"/>
          <w:rtl/>
          <w:lang w:eastAsia="he-IL"/>
        </w:rPr>
        <w:t xml:space="preserve"> כי מתכנן יירשם ב</w:t>
      </w:r>
      <w:r w:rsidRPr="00274C05">
        <w:rPr>
          <w:rtl/>
          <w:lang w:eastAsia="he-IL"/>
        </w:rPr>
        <w:t xml:space="preserve">מאגר </w:t>
      </w:r>
      <w:r w:rsidRPr="00274C05">
        <w:rPr>
          <w:rFonts w:hint="eastAsia"/>
          <w:rtl/>
          <w:lang w:eastAsia="he-IL"/>
        </w:rPr>
        <w:t>בכפוף</w:t>
      </w:r>
      <w:r w:rsidRPr="00274C05">
        <w:rPr>
          <w:rtl/>
          <w:lang w:eastAsia="he-IL"/>
        </w:rPr>
        <w:t xml:space="preserve"> </w:t>
      </w:r>
      <w:r w:rsidRPr="00274C05">
        <w:rPr>
          <w:rFonts w:hint="eastAsia"/>
          <w:rtl/>
          <w:lang w:eastAsia="he-IL"/>
        </w:rPr>
        <w:t>ל</w:t>
      </w:r>
      <w:r>
        <w:rPr>
          <w:rFonts w:hint="cs"/>
          <w:rtl/>
          <w:lang w:eastAsia="he-IL"/>
        </w:rPr>
        <w:t xml:space="preserve">הצגת </w:t>
      </w:r>
      <w:r w:rsidRPr="00274C05">
        <w:rPr>
          <w:rFonts w:hint="eastAsia"/>
          <w:rtl/>
          <w:lang w:eastAsia="he-IL"/>
        </w:rPr>
        <w:t>הוכחת</w:t>
      </w:r>
      <w:r w:rsidRPr="00274C05">
        <w:rPr>
          <w:rtl/>
          <w:lang w:eastAsia="he-IL"/>
        </w:rPr>
        <w:t xml:space="preserve"> </w:t>
      </w:r>
      <w:r w:rsidRPr="00274C05">
        <w:rPr>
          <w:rFonts w:hint="eastAsia"/>
          <w:rtl/>
          <w:lang w:eastAsia="he-IL"/>
        </w:rPr>
        <w:t>הכשרה</w:t>
      </w:r>
      <w:r w:rsidRPr="00274C05">
        <w:rPr>
          <w:rtl/>
          <w:lang w:eastAsia="he-IL"/>
        </w:rPr>
        <w:t xml:space="preserve"> </w:t>
      </w:r>
      <w:r w:rsidRPr="00274C05">
        <w:rPr>
          <w:rFonts w:hint="eastAsia"/>
          <w:rtl/>
          <w:lang w:eastAsia="he-IL"/>
        </w:rPr>
        <w:t>מקצועית</w:t>
      </w:r>
      <w:r w:rsidRPr="00274C05">
        <w:rPr>
          <w:rtl/>
          <w:lang w:eastAsia="he-IL"/>
        </w:rPr>
        <w:t xml:space="preserve"> </w:t>
      </w:r>
      <w:r w:rsidRPr="00274C05">
        <w:rPr>
          <w:rFonts w:hint="eastAsia"/>
          <w:rtl/>
          <w:lang w:eastAsia="he-IL"/>
        </w:rPr>
        <w:t>רלוונטית</w:t>
      </w:r>
      <w:r w:rsidRPr="00274C05">
        <w:rPr>
          <w:rtl/>
          <w:lang w:eastAsia="he-IL"/>
        </w:rPr>
        <w:t xml:space="preserve"> </w:t>
      </w:r>
      <w:r w:rsidRPr="00274C05">
        <w:rPr>
          <w:rFonts w:hint="eastAsia"/>
          <w:rtl/>
          <w:lang w:eastAsia="he-IL"/>
        </w:rPr>
        <w:t>לתחום</w:t>
      </w:r>
      <w:r w:rsidRPr="00274C05">
        <w:rPr>
          <w:rtl/>
          <w:lang w:eastAsia="he-IL"/>
        </w:rPr>
        <w:t xml:space="preserve"> </w:t>
      </w:r>
      <w:r w:rsidRPr="00274C05">
        <w:rPr>
          <w:rFonts w:hint="eastAsia"/>
          <w:rtl/>
          <w:lang w:eastAsia="he-IL"/>
        </w:rPr>
        <w:t>ההתמחות</w:t>
      </w:r>
      <w:r w:rsidRPr="00274C05">
        <w:rPr>
          <w:rtl/>
          <w:lang w:eastAsia="he-IL"/>
        </w:rPr>
        <w:t xml:space="preserve">, </w:t>
      </w:r>
      <w:r w:rsidRPr="00274C05">
        <w:rPr>
          <w:rFonts w:hint="eastAsia"/>
          <w:rtl/>
          <w:lang w:eastAsia="he-IL"/>
        </w:rPr>
        <w:t>ניסיון</w:t>
      </w:r>
      <w:r w:rsidRPr="00274C05">
        <w:rPr>
          <w:rtl/>
          <w:lang w:eastAsia="he-IL"/>
        </w:rPr>
        <w:t xml:space="preserve"> </w:t>
      </w:r>
      <w:r w:rsidRPr="00274C05">
        <w:rPr>
          <w:rFonts w:hint="eastAsia"/>
          <w:rtl/>
          <w:lang w:eastAsia="he-IL"/>
        </w:rPr>
        <w:t>בעבודות</w:t>
      </w:r>
      <w:r w:rsidRPr="00274C05">
        <w:rPr>
          <w:rtl/>
          <w:lang w:eastAsia="he-IL"/>
        </w:rPr>
        <w:t xml:space="preserve"> </w:t>
      </w:r>
      <w:r w:rsidRPr="00274C05">
        <w:rPr>
          <w:rFonts w:hint="eastAsia"/>
          <w:rtl/>
          <w:lang w:eastAsia="he-IL"/>
        </w:rPr>
        <w:t>בתחום</w:t>
      </w:r>
      <w:r w:rsidRPr="00274C05">
        <w:rPr>
          <w:rtl/>
          <w:lang w:eastAsia="he-IL"/>
        </w:rPr>
        <w:t xml:space="preserve"> </w:t>
      </w:r>
      <w:r w:rsidRPr="00274C05">
        <w:rPr>
          <w:rFonts w:hint="eastAsia"/>
          <w:rtl/>
          <w:lang w:eastAsia="he-IL"/>
        </w:rPr>
        <w:t>ההתמחות</w:t>
      </w:r>
      <w:r w:rsidRPr="00274C05">
        <w:rPr>
          <w:rtl/>
          <w:lang w:eastAsia="he-IL"/>
        </w:rPr>
        <w:t xml:space="preserve"> </w:t>
      </w:r>
      <w:r w:rsidRPr="00274C05">
        <w:rPr>
          <w:rFonts w:hint="eastAsia"/>
          <w:rtl/>
          <w:lang w:eastAsia="he-IL"/>
        </w:rPr>
        <w:t>והמלצות</w:t>
      </w:r>
      <w:r w:rsidRPr="00274C05">
        <w:rPr>
          <w:rtl/>
          <w:lang w:eastAsia="he-IL"/>
        </w:rPr>
        <w:t xml:space="preserve"> </w:t>
      </w:r>
      <w:r w:rsidRPr="00274C05">
        <w:rPr>
          <w:rFonts w:hint="eastAsia"/>
          <w:rtl/>
          <w:lang w:eastAsia="he-IL"/>
        </w:rPr>
        <w:t>לגבי</w:t>
      </w:r>
      <w:r w:rsidRPr="00274C05">
        <w:rPr>
          <w:rtl/>
          <w:lang w:eastAsia="he-IL"/>
        </w:rPr>
        <w:t xml:space="preserve"> </w:t>
      </w:r>
      <w:r w:rsidRPr="00274C05">
        <w:rPr>
          <w:rFonts w:hint="eastAsia"/>
          <w:rtl/>
          <w:lang w:eastAsia="he-IL"/>
        </w:rPr>
        <w:t>טיב</w:t>
      </w:r>
      <w:r w:rsidRPr="00274C05">
        <w:rPr>
          <w:rtl/>
          <w:lang w:eastAsia="he-IL"/>
        </w:rPr>
        <w:t xml:space="preserve"> </w:t>
      </w:r>
      <w:r w:rsidRPr="00274C05">
        <w:rPr>
          <w:rFonts w:hint="eastAsia"/>
          <w:rtl/>
          <w:lang w:eastAsia="he-IL"/>
        </w:rPr>
        <w:t>השירות</w:t>
      </w:r>
      <w:r w:rsidRPr="00274C05">
        <w:rPr>
          <w:rtl/>
          <w:lang w:eastAsia="he-IL"/>
        </w:rPr>
        <w:t xml:space="preserve"> </w:t>
      </w:r>
      <w:r w:rsidRPr="00274C05">
        <w:rPr>
          <w:rFonts w:hint="eastAsia"/>
          <w:rtl/>
          <w:lang w:eastAsia="he-IL"/>
        </w:rPr>
        <w:t>שנ</w:t>
      </w:r>
      <w:r>
        <w:rPr>
          <w:rFonts w:hint="cs"/>
          <w:rtl/>
          <w:lang w:eastAsia="he-IL"/>
        </w:rPr>
        <w:t>י</w:t>
      </w:r>
      <w:r w:rsidRPr="00274C05">
        <w:rPr>
          <w:rFonts w:hint="eastAsia"/>
          <w:rtl/>
          <w:lang w:eastAsia="he-IL"/>
        </w:rPr>
        <w:t>תן</w:t>
      </w:r>
      <w:r w:rsidRPr="00274C05">
        <w:rPr>
          <w:rtl/>
          <w:lang w:eastAsia="he-IL"/>
        </w:rPr>
        <w:t xml:space="preserve"> </w:t>
      </w:r>
      <w:r w:rsidRPr="00274C05">
        <w:rPr>
          <w:rFonts w:hint="eastAsia"/>
          <w:rtl/>
          <w:lang w:eastAsia="he-IL"/>
        </w:rPr>
        <w:t>בפרויקטים</w:t>
      </w:r>
      <w:r>
        <w:rPr>
          <w:rFonts w:hint="cs"/>
          <w:rtl/>
          <w:lang w:eastAsia="he-IL"/>
        </w:rPr>
        <w:t xml:space="preserve"> שביצע (להלן - תנאי סף פרטניים). </w:t>
      </w:r>
    </w:p>
    <w:p w14:paraId="59A71259" w14:textId="77777777" w:rsidR="009A28D9" w:rsidRPr="0016776D" w:rsidRDefault="009A28D9" w:rsidP="001F1A68">
      <w:pPr>
        <w:pStyle w:val="a0"/>
        <w:numPr>
          <w:ilvl w:val="0"/>
          <w:numId w:val="27"/>
        </w:numPr>
        <w:rPr>
          <w:rtl/>
          <w:lang w:eastAsia="he-IL"/>
        </w:rPr>
      </w:pPr>
      <w:r w:rsidRPr="0016776D">
        <w:rPr>
          <w:rFonts w:hint="cs"/>
          <w:rtl/>
          <w:lang w:eastAsia="he-IL"/>
        </w:rPr>
        <w:t>על פי נתוני משרד הבינוי, אחרי אוגוסט 2013 הוקמו במאגר 42 התמחויות, מ</w:t>
      </w:r>
      <w:r>
        <w:rPr>
          <w:rFonts w:hint="cs"/>
          <w:rtl/>
          <w:lang w:eastAsia="he-IL"/>
        </w:rPr>
        <w:t>ה</w:t>
      </w:r>
      <w:r w:rsidRPr="0016776D">
        <w:rPr>
          <w:rFonts w:hint="cs"/>
          <w:rtl/>
          <w:lang w:eastAsia="he-IL"/>
        </w:rPr>
        <w:t>ן 10 התמחויות בתחום "הייעוץ התכנוני". משרד מבקר המדינה בחן את סדרי ההקמה והניהול של שלוש התמחויות בתחום הייעוץ התכנוני שנבחרו אקראית: התמחות "היערכות לחירום"</w:t>
      </w:r>
      <w:r>
        <w:rPr>
          <w:rFonts w:hint="cs"/>
          <w:rtl/>
          <w:lang w:eastAsia="he-IL"/>
        </w:rPr>
        <w:t>,</w:t>
      </w:r>
      <w:r w:rsidRPr="0016776D">
        <w:rPr>
          <w:rFonts w:hint="cs"/>
          <w:rtl/>
          <w:lang w:eastAsia="he-IL"/>
        </w:rPr>
        <w:t xml:space="preserve"> שהוקמה בספטמבר 2013; התמחות "יועץ לוחות זמנים"</w:t>
      </w:r>
      <w:r>
        <w:rPr>
          <w:rFonts w:hint="cs"/>
          <w:rtl/>
          <w:lang w:eastAsia="he-IL"/>
        </w:rPr>
        <w:t>,</w:t>
      </w:r>
      <w:r w:rsidRPr="0016776D">
        <w:rPr>
          <w:rFonts w:hint="cs"/>
          <w:rtl/>
          <w:lang w:eastAsia="he-IL"/>
        </w:rPr>
        <w:t xml:space="preserve"> שהוקמה במרץ 2014; והתמחות "יועץ לבקרה כללית ו/או הנדסית ו/או הסרת חסמים" שהוקמה ביולי 2015. </w:t>
      </w:r>
    </w:p>
    <w:p w14:paraId="04B1B32E" w14:textId="77777777" w:rsidR="009A28D9" w:rsidRPr="00FC23ED" w:rsidRDefault="009A28D9" w:rsidP="001F1A68">
      <w:pPr>
        <w:pStyle w:val="12"/>
        <w:rPr>
          <w:rtl/>
        </w:rPr>
      </w:pPr>
      <w:r>
        <w:rPr>
          <w:rFonts w:hint="cs"/>
          <w:rtl/>
        </w:rPr>
        <w:t xml:space="preserve">נמצא </w:t>
      </w:r>
      <w:r w:rsidRPr="00FC23ED">
        <w:rPr>
          <w:rFonts w:hint="cs"/>
          <w:rtl/>
        </w:rPr>
        <w:t>כי בשלוש ההתמחויות שנבדקו ועדת המכרזים לא הגדירה תנאי סף פרטניים. הדבר עלול לפגוע בסדרי המינהל התקין ו</w:t>
      </w:r>
      <w:r>
        <w:rPr>
          <w:rFonts w:hint="cs"/>
          <w:rtl/>
        </w:rPr>
        <w:t>להשפיע לרעה</w:t>
      </w:r>
      <w:r w:rsidRPr="00FC23ED">
        <w:rPr>
          <w:rFonts w:hint="cs"/>
          <w:rtl/>
        </w:rPr>
        <w:t xml:space="preserve"> על ביצוע עבודות התכנון ועל איכותן.</w:t>
      </w:r>
    </w:p>
    <w:p w14:paraId="498B2DCC" w14:textId="77777777" w:rsidR="009A28D9" w:rsidRDefault="009A28D9" w:rsidP="001F1A68">
      <w:pPr>
        <w:pStyle w:val="a0"/>
        <w:rPr>
          <w:rtl/>
          <w:lang w:eastAsia="he-IL"/>
        </w:rPr>
      </w:pPr>
      <w:r w:rsidRPr="00B84908">
        <w:rPr>
          <w:rFonts w:hint="eastAsia"/>
          <w:rtl/>
          <w:lang w:eastAsia="he-IL"/>
        </w:rPr>
        <w:t>ביוני</w:t>
      </w:r>
      <w:r w:rsidRPr="00B84908">
        <w:rPr>
          <w:rtl/>
          <w:lang w:eastAsia="he-IL"/>
        </w:rPr>
        <w:t xml:space="preserve"> 2017 </w:t>
      </w:r>
      <w:r w:rsidRPr="00B84908">
        <w:rPr>
          <w:rFonts w:hint="eastAsia"/>
          <w:rtl/>
          <w:lang w:eastAsia="he-IL"/>
        </w:rPr>
        <w:t>התקיימה</w:t>
      </w:r>
      <w:r w:rsidRPr="00B84908">
        <w:rPr>
          <w:rtl/>
          <w:lang w:eastAsia="he-IL"/>
        </w:rPr>
        <w:t xml:space="preserve"> </w:t>
      </w:r>
      <w:r w:rsidRPr="00B84908">
        <w:rPr>
          <w:rFonts w:hint="eastAsia"/>
          <w:rtl/>
          <w:lang w:eastAsia="he-IL"/>
        </w:rPr>
        <w:t>ישיבה</w:t>
      </w:r>
      <w:r w:rsidRPr="00B84908">
        <w:rPr>
          <w:rtl/>
          <w:lang w:eastAsia="he-IL"/>
        </w:rPr>
        <w:t xml:space="preserve"> </w:t>
      </w:r>
      <w:r w:rsidRPr="00B84908">
        <w:rPr>
          <w:rFonts w:hint="eastAsia"/>
          <w:rtl/>
          <w:lang w:eastAsia="he-IL"/>
        </w:rPr>
        <w:t>במשרד</w:t>
      </w:r>
      <w:r w:rsidRPr="00B84908">
        <w:rPr>
          <w:rtl/>
          <w:lang w:eastAsia="he-IL"/>
        </w:rPr>
        <w:t xml:space="preserve"> </w:t>
      </w:r>
      <w:r w:rsidRPr="00B84908">
        <w:rPr>
          <w:rFonts w:hint="eastAsia"/>
          <w:rtl/>
          <w:lang w:eastAsia="he-IL"/>
        </w:rPr>
        <w:t>הבינוי</w:t>
      </w:r>
      <w:r w:rsidRPr="00B84908">
        <w:rPr>
          <w:rtl/>
          <w:lang w:eastAsia="he-IL"/>
        </w:rPr>
        <w:t xml:space="preserve"> </w:t>
      </w:r>
      <w:r w:rsidRPr="00B84908">
        <w:rPr>
          <w:rFonts w:hint="eastAsia"/>
          <w:rtl/>
          <w:lang w:eastAsia="he-IL"/>
        </w:rPr>
        <w:t>בהשתתפות</w:t>
      </w:r>
      <w:r w:rsidRPr="00B84908">
        <w:rPr>
          <w:rtl/>
          <w:lang w:eastAsia="he-IL"/>
        </w:rPr>
        <w:t xml:space="preserve"> </w:t>
      </w:r>
      <w:r w:rsidRPr="00B84908">
        <w:rPr>
          <w:rFonts w:hint="eastAsia"/>
          <w:rtl/>
          <w:lang w:eastAsia="he-IL"/>
        </w:rPr>
        <w:t>מנהל</w:t>
      </w:r>
      <w:r w:rsidRPr="00B84908">
        <w:rPr>
          <w:rtl/>
          <w:lang w:eastAsia="he-IL"/>
        </w:rPr>
        <w:t xml:space="preserve"> </w:t>
      </w:r>
      <w:r w:rsidRPr="00B84908">
        <w:rPr>
          <w:rFonts w:hint="eastAsia"/>
          <w:rtl/>
          <w:lang w:eastAsia="he-IL"/>
        </w:rPr>
        <w:t>המאגר</w:t>
      </w:r>
      <w:r w:rsidRPr="00B84908">
        <w:rPr>
          <w:rtl/>
          <w:lang w:eastAsia="he-IL"/>
        </w:rPr>
        <w:t xml:space="preserve">, </w:t>
      </w:r>
      <w:r w:rsidRPr="00B84908">
        <w:rPr>
          <w:rFonts w:hint="eastAsia"/>
          <w:rtl/>
          <w:lang w:eastAsia="he-IL"/>
        </w:rPr>
        <w:t>חשב</w:t>
      </w:r>
      <w:r w:rsidRPr="00B84908">
        <w:rPr>
          <w:rtl/>
          <w:lang w:eastAsia="he-IL"/>
        </w:rPr>
        <w:t xml:space="preserve"> </w:t>
      </w:r>
      <w:r w:rsidRPr="00B84908">
        <w:rPr>
          <w:rFonts w:hint="eastAsia"/>
          <w:rtl/>
          <w:lang w:eastAsia="he-IL"/>
        </w:rPr>
        <w:t>המשרד</w:t>
      </w:r>
      <w:r w:rsidRPr="00B84908">
        <w:rPr>
          <w:rtl/>
          <w:lang w:eastAsia="he-IL"/>
        </w:rPr>
        <w:t xml:space="preserve">, </w:t>
      </w:r>
      <w:r w:rsidRPr="00B84908">
        <w:rPr>
          <w:rFonts w:hint="eastAsia"/>
          <w:rtl/>
          <w:lang w:eastAsia="he-IL"/>
        </w:rPr>
        <w:t>אגף</w:t>
      </w:r>
      <w:r w:rsidRPr="00B84908">
        <w:rPr>
          <w:rFonts w:hint="cs"/>
          <w:rtl/>
          <w:lang w:eastAsia="he-IL"/>
        </w:rPr>
        <w:t xml:space="preserve"> היועץ המשפטי של המשרד ואחרים. בישיבה חודדה ההוראה בדבר הצורך בבדיקת ההצדקה להקמת התמחויות חדשות, והוחלט לבדוק גם את נחיצות כל ההתמחויות הקיימות.</w:t>
      </w:r>
      <w:r>
        <w:rPr>
          <w:rFonts w:hint="cs"/>
          <w:rtl/>
          <w:lang w:eastAsia="he-IL"/>
        </w:rPr>
        <w:t xml:space="preserve"> </w:t>
      </w:r>
    </w:p>
    <w:p w14:paraId="7C27BDA8" w14:textId="77777777" w:rsidR="009A28D9" w:rsidRDefault="009A28D9" w:rsidP="00F46DF1">
      <w:pPr>
        <w:pStyle w:val="af0"/>
        <w:rPr>
          <w:rtl/>
          <w:lang w:eastAsia="he-IL"/>
        </w:rPr>
      </w:pPr>
      <w:r>
        <w:rPr>
          <w:rFonts w:hint="cs"/>
          <w:rtl/>
          <w:lang w:eastAsia="he-IL"/>
        </w:rPr>
        <w:t xml:space="preserve">משרד הבינוי מסר בתשובתו מדצמבר 2019 כי </w:t>
      </w:r>
      <w:r>
        <w:rPr>
          <w:rtl/>
          <w:lang w:eastAsia="he-IL"/>
        </w:rPr>
        <w:t xml:space="preserve">בעקבות הישיבה </w:t>
      </w:r>
      <w:r>
        <w:rPr>
          <w:rFonts w:hint="cs"/>
          <w:rtl/>
          <w:lang w:eastAsia="he-IL"/>
        </w:rPr>
        <w:t>מיוני 2017</w:t>
      </w:r>
      <w:r>
        <w:rPr>
          <w:rtl/>
          <w:lang w:eastAsia="he-IL"/>
        </w:rPr>
        <w:t xml:space="preserve"> </w:t>
      </w:r>
      <w:r>
        <w:rPr>
          <w:rFonts w:hint="cs"/>
          <w:rtl/>
          <w:lang w:eastAsia="he-IL"/>
        </w:rPr>
        <w:t xml:space="preserve">בדקו </w:t>
      </w:r>
      <w:r>
        <w:rPr>
          <w:rtl/>
          <w:lang w:eastAsia="he-IL"/>
        </w:rPr>
        <w:t>גורמי המקצוע</w:t>
      </w:r>
      <w:r>
        <w:rPr>
          <w:rFonts w:hint="cs"/>
          <w:rtl/>
          <w:lang w:eastAsia="he-IL"/>
        </w:rPr>
        <w:t>, לגבי</w:t>
      </w:r>
      <w:r>
        <w:rPr>
          <w:rtl/>
          <w:lang w:eastAsia="he-IL"/>
        </w:rPr>
        <w:t xml:space="preserve"> כל ההתמחויות</w:t>
      </w:r>
      <w:r>
        <w:rPr>
          <w:rFonts w:hint="cs"/>
          <w:rtl/>
          <w:lang w:eastAsia="he-IL"/>
        </w:rPr>
        <w:t xml:space="preserve"> </w:t>
      </w:r>
      <w:r>
        <w:rPr>
          <w:rtl/>
          <w:lang w:eastAsia="he-IL"/>
        </w:rPr>
        <w:t>הקיימות במאגר</w:t>
      </w:r>
      <w:r>
        <w:rPr>
          <w:rFonts w:hint="cs"/>
          <w:rtl/>
          <w:lang w:eastAsia="he-IL"/>
        </w:rPr>
        <w:t xml:space="preserve">, את </w:t>
      </w:r>
      <w:r>
        <w:rPr>
          <w:rtl/>
          <w:lang w:eastAsia="he-IL"/>
        </w:rPr>
        <w:t xml:space="preserve">הצורך </w:t>
      </w:r>
      <w:r>
        <w:rPr>
          <w:rFonts w:hint="cs"/>
          <w:rtl/>
          <w:lang w:eastAsia="he-IL"/>
        </w:rPr>
        <w:t>בהן ואת</w:t>
      </w:r>
      <w:r>
        <w:rPr>
          <w:rtl/>
          <w:lang w:eastAsia="he-IL"/>
        </w:rPr>
        <w:t xml:space="preserve"> </w:t>
      </w:r>
      <w:r>
        <w:rPr>
          <w:rFonts w:hint="cs"/>
          <w:rtl/>
          <w:lang w:eastAsia="he-IL"/>
        </w:rPr>
        <w:t xml:space="preserve">קיום </w:t>
      </w:r>
      <w:r>
        <w:rPr>
          <w:rtl/>
          <w:lang w:eastAsia="he-IL"/>
        </w:rPr>
        <w:t xml:space="preserve">תנאי </w:t>
      </w:r>
      <w:r>
        <w:rPr>
          <w:rFonts w:hint="cs"/>
          <w:rtl/>
          <w:lang w:eastAsia="he-IL"/>
        </w:rPr>
        <w:t>ה</w:t>
      </w:r>
      <w:r>
        <w:rPr>
          <w:rtl/>
          <w:lang w:eastAsia="he-IL"/>
        </w:rPr>
        <w:t xml:space="preserve">סף. בעקבות </w:t>
      </w:r>
      <w:r>
        <w:rPr>
          <w:rFonts w:hint="cs"/>
          <w:rtl/>
          <w:lang w:eastAsia="he-IL"/>
        </w:rPr>
        <w:t>הבדיקה</w:t>
      </w:r>
      <w:r>
        <w:rPr>
          <w:rtl/>
          <w:lang w:eastAsia="he-IL"/>
        </w:rPr>
        <w:t xml:space="preserve"> </w:t>
      </w:r>
      <w:r>
        <w:rPr>
          <w:rFonts w:hint="cs"/>
          <w:rtl/>
          <w:lang w:eastAsia="he-IL"/>
        </w:rPr>
        <w:t xml:space="preserve">גם </w:t>
      </w:r>
      <w:r>
        <w:rPr>
          <w:rtl/>
          <w:lang w:eastAsia="he-IL"/>
        </w:rPr>
        <w:t>הוחלט לבטל התמחויות שאין בהן צורך יותר</w:t>
      </w:r>
      <w:r>
        <w:rPr>
          <w:rFonts w:hint="cs"/>
          <w:rtl/>
          <w:lang w:eastAsia="he-IL"/>
        </w:rPr>
        <w:t xml:space="preserve">. בתשובה מינואר 2020 הוסיף המשרד כי הליך בחינת ההתמחויות הסתיים אך המאגר טרם עודכן פורמלית, והדבר ייעשה בתקופה הקרובה. </w:t>
      </w:r>
    </w:p>
    <w:p w14:paraId="121573EE" w14:textId="77777777" w:rsidR="009A28D9" w:rsidRPr="00F46DF1" w:rsidRDefault="009A28D9" w:rsidP="00F46DF1">
      <w:pPr>
        <w:pStyle w:val="12"/>
        <w:rPr>
          <w:rtl/>
        </w:rPr>
      </w:pPr>
      <w:r w:rsidRPr="00F46DF1">
        <w:rPr>
          <w:rFonts w:hint="cs"/>
          <w:rtl/>
        </w:rPr>
        <w:t xml:space="preserve">יש לראות בחיוב את הפעולות שנעשו בדבר בחינת ההתמחויות במאגר. על משרד הבינוי להשלים את עדכון המאגר ולוודא את קיומם של תנאי סף פרטניים בהתמחויות שנמצאו מוצדקות ורלוונטיות לתחום התכנון. </w:t>
      </w:r>
    </w:p>
    <w:p w14:paraId="49FA382D" w14:textId="77777777" w:rsidR="00601EC3" w:rsidRDefault="00601EC3">
      <w:pPr>
        <w:bidi w:val="0"/>
        <w:spacing w:after="200" w:line="276" w:lineRule="auto"/>
        <w:rPr>
          <w:rFonts w:ascii="Tahoma" w:eastAsiaTheme="majorEastAsia" w:hAnsi="Tahoma" w:cs="Tahoma"/>
          <w:b/>
          <w:color w:val="387026"/>
          <w:sz w:val="28"/>
          <w:szCs w:val="28"/>
          <w:rtl/>
        </w:rPr>
      </w:pPr>
      <w:r>
        <w:rPr>
          <w:rtl/>
        </w:rPr>
        <w:br w:type="page"/>
      </w:r>
    </w:p>
    <w:p w14:paraId="017F63A5" w14:textId="47DED0BA" w:rsidR="009A28D9" w:rsidRDefault="009A28D9" w:rsidP="00601EC3">
      <w:pPr>
        <w:pStyle w:val="414"/>
        <w:rPr>
          <w:rtl/>
        </w:rPr>
      </w:pPr>
      <w:r w:rsidRPr="00FB6CE2">
        <w:rPr>
          <w:rtl/>
        </w:rPr>
        <w:lastRenderedPageBreak/>
        <w:t xml:space="preserve">הערכת </w:t>
      </w:r>
      <w:r>
        <w:rPr>
          <w:rtl/>
        </w:rPr>
        <w:t>מתכננים מהמאג</w:t>
      </w:r>
      <w:r>
        <w:rPr>
          <w:rFonts w:hint="cs"/>
          <w:rtl/>
        </w:rPr>
        <w:t>ר</w:t>
      </w:r>
    </w:p>
    <w:p w14:paraId="1C3B8BD5" w14:textId="77777777" w:rsidR="009A28D9" w:rsidRPr="005B1B3F" w:rsidRDefault="009A28D9" w:rsidP="00601EC3">
      <w:pPr>
        <w:pStyle w:val="100"/>
        <w:rPr>
          <w:rtl/>
        </w:rPr>
      </w:pPr>
      <w:r w:rsidRPr="005B1B3F">
        <w:rPr>
          <w:rtl/>
        </w:rPr>
        <w:t>בהוראת תכ"ם</w:t>
      </w:r>
      <w:r>
        <w:rPr>
          <w:rFonts w:hint="cs"/>
          <w:rtl/>
        </w:rPr>
        <w:t xml:space="preserve"> בנושא </w:t>
      </w:r>
      <w:r w:rsidRPr="00F17943">
        <w:rPr>
          <w:rtl/>
        </w:rPr>
        <w:t>כללים להקמת רשימת מציעים (מאגר) ולניהולה</w:t>
      </w:r>
      <w:r>
        <w:rPr>
          <w:rFonts w:hint="cs"/>
          <w:rtl/>
        </w:rPr>
        <w:t xml:space="preserve"> </w:t>
      </w:r>
      <w:r w:rsidRPr="005B1B3F">
        <w:rPr>
          <w:rtl/>
        </w:rPr>
        <w:t>נקבע שוועדת המכרזים רשאית לכלול הערכת ספקים במסגרת הניהול והמעקב אחריהם, ובתנאי שכללי הערכתם י</w:t>
      </w:r>
      <w:r>
        <w:rPr>
          <w:rFonts w:hint="cs"/>
          <w:rtl/>
        </w:rPr>
        <w:t>י</w:t>
      </w:r>
      <w:r w:rsidRPr="005B1B3F">
        <w:rPr>
          <w:rtl/>
        </w:rPr>
        <w:t>כללו בנוהל המאגר. בהתאם</w:t>
      </w:r>
      <w:r>
        <w:rPr>
          <w:rFonts w:hint="cs"/>
          <w:rtl/>
        </w:rPr>
        <w:t xml:space="preserve"> לכך</w:t>
      </w:r>
      <w:r w:rsidRPr="005B1B3F">
        <w:rPr>
          <w:rtl/>
        </w:rPr>
        <w:t xml:space="preserve"> נקבע בנוהל משרד הבינוי להפעלת </w:t>
      </w:r>
      <w:r>
        <w:rPr>
          <w:rFonts w:hint="cs"/>
          <w:rtl/>
        </w:rPr>
        <w:t>ה</w:t>
      </w:r>
      <w:r w:rsidRPr="005B1B3F">
        <w:rPr>
          <w:rtl/>
        </w:rPr>
        <w:t>מאגר כי הערכת עבודות המתכנן נועדה לה</w:t>
      </w:r>
      <w:r>
        <w:rPr>
          <w:rFonts w:hint="cs"/>
          <w:rtl/>
        </w:rPr>
        <w:t>י</w:t>
      </w:r>
      <w:r w:rsidRPr="005B1B3F">
        <w:rPr>
          <w:rtl/>
        </w:rPr>
        <w:t xml:space="preserve">ות מרכיב בקבלת החלטה </w:t>
      </w:r>
      <w:r>
        <w:rPr>
          <w:rFonts w:hint="cs"/>
          <w:rtl/>
        </w:rPr>
        <w:t xml:space="preserve">על </w:t>
      </w:r>
      <w:r w:rsidRPr="005B1B3F">
        <w:rPr>
          <w:rtl/>
        </w:rPr>
        <w:t xml:space="preserve">העלאת רמת ההתמחות של המתכנן, </w:t>
      </w:r>
      <w:r>
        <w:rPr>
          <w:rFonts w:hint="cs"/>
          <w:rtl/>
        </w:rPr>
        <w:t xml:space="preserve">על </w:t>
      </w:r>
      <w:r w:rsidRPr="005B1B3F">
        <w:rPr>
          <w:rtl/>
        </w:rPr>
        <w:t>הורדתה</w:t>
      </w:r>
      <w:r>
        <w:rPr>
          <w:rFonts w:hint="cs"/>
          <w:rtl/>
        </w:rPr>
        <w:t xml:space="preserve">, על </w:t>
      </w:r>
      <w:r w:rsidRPr="005B1B3F">
        <w:rPr>
          <w:rtl/>
        </w:rPr>
        <w:t xml:space="preserve">שימורה או </w:t>
      </w:r>
      <w:r>
        <w:rPr>
          <w:rFonts w:hint="cs"/>
          <w:rtl/>
        </w:rPr>
        <w:t xml:space="preserve">על </w:t>
      </w:r>
      <w:r w:rsidRPr="005B1B3F">
        <w:rPr>
          <w:rtl/>
        </w:rPr>
        <w:t>הוצאתו מהמאגר.</w:t>
      </w:r>
    </w:p>
    <w:p w14:paraId="6F659A18" w14:textId="77777777" w:rsidR="009A28D9" w:rsidRPr="005B1B3F" w:rsidRDefault="009A28D9" w:rsidP="00601EC3">
      <w:pPr>
        <w:pStyle w:val="100"/>
        <w:rPr>
          <w:rtl/>
        </w:rPr>
      </w:pPr>
      <w:r w:rsidRPr="00713C52">
        <w:rPr>
          <w:rtl/>
        </w:rPr>
        <w:t xml:space="preserve">עוד נקבע בנוהל כי בחינת המתכננים תוערך בהתאם לגורמי שיפוט והערכה המפורטים </w:t>
      </w:r>
      <w:r w:rsidRPr="00713C52">
        <w:rPr>
          <w:rFonts w:hint="eastAsia"/>
          <w:rtl/>
        </w:rPr>
        <w:t>בו</w:t>
      </w:r>
      <w:r w:rsidRPr="00713C52">
        <w:rPr>
          <w:rtl/>
        </w:rPr>
        <w:t>:</w:t>
      </w:r>
      <w:r>
        <w:rPr>
          <w:rtl/>
        </w:rPr>
        <w:t xml:space="preserve"> </w:t>
      </w:r>
      <w:r w:rsidRPr="00713C52">
        <w:rPr>
          <w:rtl/>
        </w:rPr>
        <w:t>(א)</w:t>
      </w:r>
      <w:r w:rsidRPr="005B1B3F">
        <w:rPr>
          <w:rtl/>
        </w:rPr>
        <w:t xml:space="preserve"> איכות התוצר - איכות הת</w:t>
      </w:r>
      <w:r>
        <w:rPr>
          <w:rFonts w:hint="cs"/>
          <w:rtl/>
        </w:rPr>
        <w:t>ו</w:t>
      </w:r>
      <w:r w:rsidRPr="005B1B3F">
        <w:rPr>
          <w:rtl/>
        </w:rPr>
        <w:t>כנית על נספחיה, מידת מימוש הפרוגרמה, עמידה באומדן עלויות, יצירתיות;</w:t>
      </w:r>
      <w:r>
        <w:rPr>
          <w:rtl/>
        </w:rPr>
        <w:t xml:space="preserve"> </w:t>
      </w:r>
      <w:r w:rsidRPr="005B1B3F">
        <w:rPr>
          <w:rtl/>
        </w:rPr>
        <w:t xml:space="preserve">(ב) רמת השירות - אופן </w:t>
      </w:r>
      <w:r>
        <w:rPr>
          <w:rFonts w:hint="cs"/>
          <w:rtl/>
        </w:rPr>
        <w:t xml:space="preserve">ההתייחסות </w:t>
      </w:r>
      <w:r w:rsidRPr="005B1B3F">
        <w:rPr>
          <w:rtl/>
        </w:rPr>
        <w:t xml:space="preserve">ורמת </w:t>
      </w:r>
      <w:r>
        <w:rPr>
          <w:rFonts w:hint="cs"/>
          <w:rtl/>
        </w:rPr>
        <w:t>ה</w:t>
      </w:r>
      <w:r w:rsidRPr="005B1B3F">
        <w:rPr>
          <w:rtl/>
        </w:rPr>
        <w:t>התייחסות להנחיות צוות ההיגוי, עמידה בלו</w:t>
      </w:r>
      <w:r>
        <w:rPr>
          <w:rFonts w:hint="cs"/>
          <w:rtl/>
        </w:rPr>
        <w:t>ח זמנים</w:t>
      </w:r>
      <w:r w:rsidRPr="005B1B3F">
        <w:rPr>
          <w:rtl/>
        </w:rPr>
        <w:t xml:space="preserve">, זמינות, מהירות תגובה, אמינות, אופן ניהול צוות עובדים, יוזמה </w:t>
      </w:r>
      <w:r>
        <w:rPr>
          <w:rFonts w:hint="cs"/>
          <w:rtl/>
        </w:rPr>
        <w:t>ו</w:t>
      </w:r>
      <w:r w:rsidRPr="005B1B3F">
        <w:rPr>
          <w:rtl/>
        </w:rPr>
        <w:t>שירותי מחשוב.</w:t>
      </w:r>
      <w:r>
        <w:rPr>
          <w:rFonts w:hint="cs"/>
          <w:rtl/>
        </w:rPr>
        <w:t xml:space="preserve"> </w:t>
      </w:r>
    </w:p>
    <w:p w14:paraId="449D1443" w14:textId="729E9276" w:rsidR="009A28D9" w:rsidRDefault="009A28D9" w:rsidP="00601EC3">
      <w:pPr>
        <w:pStyle w:val="100"/>
        <w:rPr>
          <w:rtl/>
        </w:rPr>
      </w:pPr>
      <w:r w:rsidRPr="0037501E">
        <w:rPr>
          <w:rFonts w:hint="cs"/>
          <w:rtl/>
        </w:rPr>
        <w:t>במסגרת ה</w:t>
      </w:r>
      <w:r w:rsidRPr="0037501E">
        <w:rPr>
          <w:rtl/>
        </w:rPr>
        <w:t xml:space="preserve">ביקורת </w:t>
      </w:r>
      <w:r w:rsidRPr="0037501E">
        <w:rPr>
          <w:rFonts w:hint="cs"/>
          <w:rtl/>
        </w:rPr>
        <w:t>נדגמו אקראית</w:t>
      </w:r>
      <w:r w:rsidRPr="0037501E">
        <w:rPr>
          <w:rtl/>
        </w:rPr>
        <w:t xml:space="preserve"> 1</w:t>
      </w:r>
      <w:r w:rsidRPr="0037501E">
        <w:rPr>
          <w:rFonts w:hint="cs"/>
          <w:rtl/>
        </w:rPr>
        <w:t>2</w:t>
      </w:r>
      <w:r w:rsidRPr="0037501E">
        <w:rPr>
          <w:rtl/>
        </w:rPr>
        <w:t xml:space="preserve"> מתכננים מ</w:t>
      </w:r>
      <w:r>
        <w:rPr>
          <w:rFonts w:hint="cs"/>
          <w:rtl/>
        </w:rPr>
        <w:t>ה</w:t>
      </w:r>
      <w:r w:rsidRPr="0037501E">
        <w:rPr>
          <w:rtl/>
        </w:rPr>
        <w:t>מאגר</w:t>
      </w:r>
      <w:r w:rsidRPr="0037501E">
        <w:rPr>
          <w:rFonts w:hint="cs"/>
          <w:rtl/>
        </w:rPr>
        <w:t xml:space="preserve">. </w:t>
      </w:r>
      <w:r>
        <w:rPr>
          <w:rFonts w:hint="cs"/>
          <w:rtl/>
        </w:rPr>
        <w:t xml:space="preserve">להלן </w:t>
      </w:r>
      <w:r w:rsidRPr="0037501E">
        <w:rPr>
          <w:rFonts w:hint="cs"/>
          <w:rtl/>
        </w:rPr>
        <w:t xml:space="preserve">בתרשים </w:t>
      </w:r>
      <w:r>
        <w:rPr>
          <w:rFonts w:hint="cs"/>
          <w:rtl/>
        </w:rPr>
        <w:t>ממצאי הדגימה</w:t>
      </w:r>
      <w:r w:rsidRPr="0037501E">
        <w:rPr>
          <w:rFonts w:hint="cs"/>
          <w:rtl/>
        </w:rPr>
        <w:t xml:space="preserve">. </w:t>
      </w:r>
    </w:p>
    <w:p w14:paraId="4865A404" w14:textId="77777777" w:rsidR="00601EC3" w:rsidRDefault="00601EC3" w:rsidP="00601EC3">
      <w:pPr>
        <w:pStyle w:val="100"/>
        <w:rPr>
          <w:rtl/>
        </w:rPr>
      </w:pPr>
    </w:p>
    <w:p w14:paraId="19A8F1A8" w14:textId="77777777" w:rsidR="009A28D9" w:rsidRPr="00601EC3" w:rsidRDefault="009A28D9" w:rsidP="00601EC3">
      <w:pPr>
        <w:pStyle w:val="a6"/>
        <w:rPr>
          <w:b/>
          <w:bCs/>
          <w:rtl/>
        </w:rPr>
      </w:pPr>
      <w:r w:rsidRPr="00AB2BC0">
        <w:rPr>
          <w:rFonts w:hint="eastAsia"/>
          <w:rtl/>
        </w:rPr>
        <w:t>תרשים</w:t>
      </w:r>
      <w:r w:rsidRPr="00AB2BC0">
        <w:rPr>
          <w:rtl/>
        </w:rPr>
        <w:t xml:space="preserve"> 1</w:t>
      </w:r>
      <w:r>
        <w:rPr>
          <w:rFonts w:hint="cs"/>
          <w:rtl/>
        </w:rPr>
        <w:t>5</w:t>
      </w:r>
      <w:r w:rsidRPr="00AB2BC0">
        <w:rPr>
          <w:rtl/>
        </w:rPr>
        <w:t xml:space="preserve">: </w:t>
      </w:r>
      <w:r w:rsidRPr="00601EC3">
        <w:rPr>
          <w:b/>
          <w:bCs/>
          <w:rtl/>
        </w:rPr>
        <w:t xml:space="preserve">הערכות </w:t>
      </w:r>
      <w:r w:rsidRPr="00601EC3">
        <w:rPr>
          <w:rFonts w:hint="eastAsia"/>
          <w:b/>
          <w:bCs/>
          <w:rtl/>
        </w:rPr>
        <w:t>למתכננים</w:t>
      </w:r>
      <w:r w:rsidRPr="00601EC3">
        <w:rPr>
          <w:b/>
          <w:bCs/>
          <w:rtl/>
        </w:rPr>
        <w:t xml:space="preserve"> </w:t>
      </w:r>
      <w:r w:rsidRPr="00601EC3">
        <w:rPr>
          <w:rFonts w:hint="eastAsia"/>
          <w:b/>
          <w:bCs/>
          <w:rtl/>
        </w:rPr>
        <w:t>שנבדקו</w:t>
      </w:r>
      <w:r w:rsidRPr="00601EC3">
        <w:rPr>
          <w:rFonts w:hint="cs"/>
          <w:b/>
          <w:bCs/>
          <w:rtl/>
        </w:rPr>
        <w:t xml:space="preserve"> (במספרים)</w:t>
      </w:r>
    </w:p>
    <w:p w14:paraId="45AC4649" w14:textId="77777777" w:rsidR="009A28D9" w:rsidRDefault="009A28D9" w:rsidP="00C15588">
      <w:pPr>
        <w:pStyle w:val="a6"/>
        <w:rPr>
          <w:rtl/>
        </w:rPr>
      </w:pPr>
      <w:r>
        <w:rPr>
          <w:noProof/>
        </w:rPr>
        <w:drawing>
          <wp:inline distT="0" distB="0" distL="0" distR="0" wp14:anchorId="5B8935F9" wp14:editId="39E88931">
            <wp:extent cx="4251259" cy="2286000"/>
            <wp:effectExtent l="0" t="0" r="16510" b="0"/>
            <wp:docPr id="4" name="תרשים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D114445" w14:textId="225537AD" w:rsidR="009A28D9" w:rsidRDefault="009A28D9" w:rsidP="00C15588">
      <w:pPr>
        <w:pStyle w:val="a8"/>
        <w:rPr>
          <w:rtl/>
          <w:lang w:eastAsia="he-IL"/>
        </w:rPr>
      </w:pPr>
      <w:r w:rsidRPr="00186202">
        <w:rPr>
          <w:rtl/>
          <w:lang w:eastAsia="he-IL"/>
        </w:rPr>
        <w:t xml:space="preserve">על פי </w:t>
      </w:r>
      <w:r>
        <w:rPr>
          <w:rFonts w:hint="cs"/>
          <w:rtl/>
          <w:lang w:eastAsia="he-IL"/>
        </w:rPr>
        <w:t>נתוני</w:t>
      </w:r>
      <w:r w:rsidRPr="006F3EBB">
        <w:rPr>
          <w:rFonts w:hint="cs"/>
          <w:rtl/>
          <w:lang w:eastAsia="he-IL"/>
        </w:rPr>
        <w:t xml:space="preserve"> משרד הב</w:t>
      </w:r>
      <w:r>
        <w:rPr>
          <w:rFonts w:hint="cs"/>
          <w:rtl/>
          <w:lang w:eastAsia="he-IL"/>
        </w:rPr>
        <w:t>ינוי</w:t>
      </w:r>
      <w:r w:rsidRPr="006F3EBB">
        <w:rPr>
          <w:rtl/>
          <w:lang w:eastAsia="he-IL"/>
        </w:rPr>
        <w:t>,</w:t>
      </w:r>
      <w:r w:rsidRPr="00186202">
        <w:rPr>
          <w:rtl/>
          <w:lang w:eastAsia="he-IL"/>
        </w:rPr>
        <w:t xml:space="preserve"> בעיבוד משרד מבקר המדינה.</w:t>
      </w:r>
    </w:p>
    <w:p w14:paraId="3A459CAC" w14:textId="77777777" w:rsidR="00C15588" w:rsidRPr="00F90808" w:rsidRDefault="00C15588" w:rsidP="00C15588">
      <w:pPr>
        <w:pStyle w:val="a8"/>
        <w:rPr>
          <w:rtl/>
          <w:lang w:eastAsia="he-IL"/>
        </w:rPr>
      </w:pPr>
    </w:p>
    <w:p w14:paraId="170D4A17" w14:textId="77777777" w:rsidR="009A28D9" w:rsidRDefault="009A28D9" w:rsidP="00C15588">
      <w:pPr>
        <w:pStyle w:val="af1"/>
        <w:rPr>
          <w:rtl/>
        </w:rPr>
      </w:pPr>
      <w:r>
        <w:rPr>
          <w:rFonts w:hint="cs"/>
          <w:rtl/>
        </w:rPr>
        <w:t xml:space="preserve">הבדיקה העלתה כי </w:t>
      </w:r>
      <w:r>
        <w:rPr>
          <w:rtl/>
        </w:rPr>
        <w:t>לשניים</w:t>
      </w:r>
      <w:r>
        <w:rPr>
          <w:rFonts w:hint="cs"/>
          <w:rtl/>
        </w:rPr>
        <w:t xml:space="preserve"> מהמתכננים</w:t>
      </w:r>
      <w:r>
        <w:rPr>
          <w:rtl/>
        </w:rPr>
        <w:t xml:space="preserve"> </w:t>
      </w:r>
      <w:r w:rsidRPr="00FB6CE2">
        <w:rPr>
          <w:rtl/>
        </w:rPr>
        <w:t xml:space="preserve">לא </w:t>
      </w:r>
      <w:r>
        <w:rPr>
          <w:rFonts w:hint="cs"/>
          <w:rtl/>
        </w:rPr>
        <w:t>היו</w:t>
      </w:r>
      <w:r w:rsidRPr="00FB6CE2">
        <w:rPr>
          <w:rtl/>
        </w:rPr>
        <w:t xml:space="preserve"> כלל הערכות</w:t>
      </w:r>
      <w:r>
        <w:rPr>
          <w:rFonts w:hint="cs"/>
          <w:rtl/>
        </w:rPr>
        <w:t xml:space="preserve">. יצוין כי עם </w:t>
      </w:r>
      <w:r w:rsidRPr="00FB6CE2">
        <w:rPr>
          <w:rtl/>
        </w:rPr>
        <w:t>אחד</w:t>
      </w:r>
      <w:r>
        <w:rPr>
          <w:rFonts w:hint="cs"/>
          <w:rtl/>
        </w:rPr>
        <w:t xml:space="preserve"> מהם</w:t>
      </w:r>
      <w:r w:rsidRPr="00FB6CE2">
        <w:rPr>
          <w:rtl/>
        </w:rPr>
        <w:t xml:space="preserve"> נחתמו</w:t>
      </w:r>
      <w:r>
        <w:rPr>
          <w:rFonts w:hint="cs"/>
          <w:rtl/>
        </w:rPr>
        <w:t xml:space="preserve"> </w:t>
      </w:r>
      <w:r w:rsidRPr="00FB6CE2">
        <w:rPr>
          <w:rtl/>
        </w:rPr>
        <w:t>16 חוזי</w:t>
      </w:r>
      <w:r>
        <w:rPr>
          <w:rtl/>
        </w:rPr>
        <w:t xml:space="preserve">ם בסכום כולל של </w:t>
      </w:r>
      <w:r>
        <w:rPr>
          <w:rFonts w:hint="cs"/>
          <w:rtl/>
        </w:rPr>
        <w:t>כ-35 מיליון ש"ח מאז ספטמבר 2015.</w:t>
      </w:r>
    </w:p>
    <w:p w14:paraId="759EDC47" w14:textId="77777777" w:rsidR="009A28D9" w:rsidRPr="00FB6CE2" w:rsidRDefault="009A28D9" w:rsidP="00C15588">
      <w:pPr>
        <w:pStyle w:val="af1"/>
        <w:rPr>
          <w:rtl/>
        </w:rPr>
      </w:pPr>
      <w:r w:rsidRPr="00FB6CE2">
        <w:rPr>
          <w:rtl/>
        </w:rPr>
        <w:t xml:space="preserve">עוד עלה כי </w:t>
      </w:r>
      <w:r>
        <w:rPr>
          <w:rFonts w:hint="cs"/>
          <w:rtl/>
        </w:rPr>
        <w:t>בנוגע לתשעה</w:t>
      </w:r>
      <w:r w:rsidRPr="00FB6CE2">
        <w:rPr>
          <w:rtl/>
        </w:rPr>
        <w:t xml:space="preserve"> מתכננים ש</w:t>
      </w:r>
      <w:r>
        <w:rPr>
          <w:rFonts w:hint="cs"/>
          <w:rtl/>
        </w:rPr>
        <w:t xml:space="preserve">קיבלו </w:t>
      </w:r>
      <w:r w:rsidRPr="00FB6CE2">
        <w:rPr>
          <w:rtl/>
        </w:rPr>
        <w:t>הערכות</w:t>
      </w:r>
      <w:r>
        <w:rPr>
          <w:rFonts w:hint="cs"/>
          <w:rtl/>
        </w:rPr>
        <w:t>,</w:t>
      </w:r>
      <w:r w:rsidRPr="00FB6CE2">
        <w:rPr>
          <w:rtl/>
        </w:rPr>
        <w:t xml:space="preserve"> רישומן נכלל בטופסי ההערכה כציונים משוקללים בלבד</w:t>
      </w:r>
      <w:r>
        <w:rPr>
          <w:rFonts w:hint="cs"/>
          <w:rtl/>
        </w:rPr>
        <w:t>,</w:t>
      </w:r>
      <w:r w:rsidRPr="00FB6CE2">
        <w:rPr>
          <w:rtl/>
        </w:rPr>
        <w:t xml:space="preserve"> ללא פירוט גורמי השיפוט וההערכה</w:t>
      </w:r>
      <w:r>
        <w:rPr>
          <w:rFonts w:hint="cs"/>
          <w:rtl/>
        </w:rPr>
        <w:t xml:space="preserve"> כנדרש בנוהל. למתכנן אחד כלל לא ניתן ציון מספרי</w:t>
      </w:r>
      <w:r w:rsidRPr="00FB6CE2">
        <w:rPr>
          <w:rtl/>
        </w:rPr>
        <w:t xml:space="preserve">. </w:t>
      </w:r>
    </w:p>
    <w:p w14:paraId="3C5E2D28" w14:textId="77777777" w:rsidR="009A28D9" w:rsidRDefault="009A28D9" w:rsidP="00C15588">
      <w:pPr>
        <w:pStyle w:val="af1"/>
        <w:rPr>
          <w:rtl/>
        </w:rPr>
      </w:pPr>
      <w:r>
        <w:rPr>
          <w:rFonts w:ascii="Arial" w:hAnsi="Arial" w:hint="cs"/>
          <w:color w:val="000000"/>
          <w:sz w:val="24"/>
          <w:rtl/>
        </w:rPr>
        <w:lastRenderedPageBreak/>
        <w:t>מהמקובץ עולה כי משרד הבינוי העריך את המתכננים שלא בהתאם למלוא ההנחיות בנוהל המשרדי במקרים שנבדקו. היעדר הערכה שיטתית ומתועדת לפי אמות המידה שנקבעו להערכת המתכננים פוגע בתקפותן</w:t>
      </w:r>
      <w:r w:rsidRPr="009422D5">
        <w:rPr>
          <w:rFonts w:ascii="Arial" w:hAnsi="Arial" w:hint="cs"/>
          <w:color w:val="000000"/>
          <w:sz w:val="24"/>
          <w:rtl/>
        </w:rPr>
        <w:t xml:space="preserve"> </w:t>
      </w:r>
      <w:r>
        <w:rPr>
          <w:rFonts w:ascii="Arial" w:hAnsi="Arial" w:hint="cs"/>
          <w:color w:val="000000"/>
          <w:sz w:val="24"/>
          <w:rtl/>
        </w:rPr>
        <w:t xml:space="preserve">של ההערכות ובתועלת שאפשר להפיק מהן: בהיעדר פירוט לפי אמות המידה לא ניתן לדעת מה הבסיס והסיבות לשוני בציון הסופי שניתן, ועשוי להתעורר קושי בשימוש עתידי בהן. כמו כן בהיעדר הערכה, ובפרט הערכה מנומקת, נפגמת היכולת של המשרד לקבל החלטות מושכלות בדבר </w:t>
      </w:r>
      <w:r w:rsidRPr="00162642">
        <w:rPr>
          <w:rFonts w:ascii="Arial" w:hAnsi="Arial"/>
          <w:color w:val="000000"/>
          <w:sz w:val="24"/>
          <w:rtl/>
        </w:rPr>
        <w:t>העלאת רמת ההתמחות של המתכנן, הורדתה</w:t>
      </w:r>
      <w:r>
        <w:rPr>
          <w:rFonts w:ascii="Arial" w:hAnsi="Arial" w:hint="cs"/>
          <w:color w:val="000000"/>
          <w:sz w:val="24"/>
          <w:rtl/>
        </w:rPr>
        <w:t xml:space="preserve">, </w:t>
      </w:r>
      <w:r w:rsidRPr="00162642">
        <w:rPr>
          <w:rFonts w:ascii="Arial" w:hAnsi="Arial"/>
          <w:color w:val="000000"/>
          <w:sz w:val="24"/>
          <w:rtl/>
        </w:rPr>
        <w:t>שימורה או הוצא</w:t>
      </w:r>
      <w:r>
        <w:rPr>
          <w:rFonts w:ascii="Arial" w:hAnsi="Arial" w:hint="cs"/>
          <w:color w:val="000000"/>
          <w:sz w:val="24"/>
          <w:rtl/>
        </w:rPr>
        <w:t>תו</w:t>
      </w:r>
      <w:r w:rsidRPr="00162642">
        <w:rPr>
          <w:rFonts w:ascii="Arial" w:hAnsi="Arial"/>
          <w:color w:val="000000"/>
          <w:sz w:val="24"/>
          <w:rtl/>
        </w:rPr>
        <w:t xml:space="preserve"> מהמאגר.</w:t>
      </w:r>
    </w:p>
    <w:p w14:paraId="3F3623C7" w14:textId="77777777" w:rsidR="009A28D9" w:rsidRDefault="009A28D9" w:rsidP="00C15588">
      <w:pPr>
        <w:pStyle w:val="af1"/>
        <w:rPr>
          <w:rtl/>
        </w:rPr>
      </w:pPr>
      <w:r>
        <w:rPr>
          <w:rFonts w:ascii="Arial" w:hAnsi="Arial" w:hint="cs"/>
          <w:color w:val="000000"/>
          <w:sz w:val="24"/>
          <w:rtl/>
        </w:rPr>
        <w:t>על משרד הבינוי להקפיד על ביצוע ההערכות בהתאם למלוא אמות המידה שנקבעו בנהליו</w:t>
      </w:r>
      <w:r>
        <w:rPr>
          <w:rFonts w:hint="cs"/>
          <w:rtl/>
        </w:rPr>
        <w:t xml:space="preserve"> ולקיים בקרה על כך.</w:t>
      </w:r>
    </w:p>
    <w:p w14:paraId="02D51F29" w14:textId="77777777" w:rsidR="009A28D9" w:rsidRDefault="009A28D9" w:rsidP="00C15588">
      <w:pPr>
        <w:pStyle w:val="100"/>
        <w:rPr>
          <w:rtl/>
        </w:rPr>
      </w:pPr>
      <w:r w:rsidRPr="000F5391">
        <w:rPr>
          <w:rFonts w:hint="cs"/>
          <w:rtl/>
        </w:rPr>
        <w:t xml:space="preserve">משרד הבינוי </w:t>
      </w:r>
      <w:r>
        <w:rPr>
          <w:rFonts w:hint="cs"/>
          <w:rtl/>
        </w:rPr>
        <w:t>מסר בתשובתו</w:t>
      </w:r>
      <w:r w:rsidRPr="000F5391">
        <w:rPr>
          <w:rFonts w:hint="cs"/>
          <w:rtl/>
        </w:rPr>
        <w:t xml:space="preserve"> כי</w:t>
      </w:r>
      <w:r>
        <w:rPr>
          <w:rFonts w:hint="cs"/>
          <w:rtl/>
        </w:rPr>
        <w:t xml:space="preserve"> מינהל הנדסה וביצוע הנחה את כל המעריכים להקפיד על ביצוע הערכות בהתאם לנוהל.</w:t>
      </w:r>
    </w:p>
    <w:p w14:paraId="6F55BC05" w14:textId="77777777" w:rsidR="009A28D9" w:rsidRDefault="009A28D9" w:rsidP="00C15588">
      <w:pPr>
        <w:pStyle w:val="414"/>
        <w:rPr>
          <w:rStyle w:val="Heading7Char"/>
          <w:bCs w:val="0"/>
          <w:szCs w:val="24"/>
          <w:rtl/>
        </w:rPr>
      </w:pPr>
      <w:r w:rsidRPr="00F904AA">
        <w:rPr>
          <w:rFonts w:hint="cs"/>
          <w:rtl/>
        </w:rPr>
        <w:t>אי</w:t>
      </w:r>
      <w:r>
        <w:rPr>
          <w:rFonts w:hint="cs"/>
          <w:rtl/>
        </w:rPr>
        <w:t>-</w:t>
      </w:r>
      <w:r w:rsidRPr="00F904AA">
        <w:rPr>
          <w:rFonts w:hint="cs"/>
          <w:rtl/>
        </w:rPr>
        <w:t>הגשת דוחות תקופתיים לוועדת המכרזים</w:t>
      </w:r>
    </w:p>
    <w:p w14:paraId="717B46A6" w14:textId="77777777" w:rsidR="009A28D9" w:rsidRPr="00AE4C08" w:rsidRDefault="009A28D9" w:rsidP="00C15588">
      <w:pPr>
        <w:pStyle w:val="100"/>
        <w:rPr>
          <w:rtl/>
        </w:rPr>
      </w:pPr>
      <w:r w:rsidRPr="00AE4C08">
        <w:rPr>
          <w:rFonts w:hint="cs"/>
          <w:rtl/>
        </w:rPr>
        <w:t xml:space="preserve">הוראת התכ"ם בנושא </w:t>
      </w:r>
      <w:r w:rsidRPr="00AE4C08">
        <w:rPr>
          <w:rtl/>
        </w:rPr>
        <w:t>כללים להקמת רשימת מציעים (מאגר) ולניהולה</w:t>
      </w:r>
      <w:r w:rsidRPr="00AE4C08">
        <w:rPr>
          <w:rFonts w:hint="cs"/>
          <w:rtl/>
        </w:rPr>
        <w:t xml:space="preserve"> קובעת</w:t>
      </w:r>
      <w:r>
        <w:rPr>
          <w:rFonts w:hint="cs"/>
          <w:rtl/>
        </w:rPr>
        <w:t xml:space="preserve"> </w:t>
      </w:r>
      <w:r w:rsidRPr="00AE4C08">
        <w:rPr>
          <w:rFonts w:hint="cs"/>
          <w:rtl/>
        </w:rPr>
        <w:t>כי אחת לשנה יעביר מנהל המאגר דוח לוועדת המכרזים</w:t>
      </w:r>
      <w:r>
        <w:rPr>
          <w:rFonts w:hint="cs"/>
          <w:rtl/>
        </w:rPr>
        <w:t>,</w:t>
      </w:r>
      <w:r w:rsidRPr="00AE4C08">
        <w:rPr>
          <w:rFonts w:hint="cs"/>
          <w:rtl/>
        </w:rPr>
        <w:t xml:space="preserve"> </w:t>
      </w:r>
      <w:r>
        <w:rPr>
          <w:rFonts w:hint="cs"/>
          <w:rtl/>
        </w:rPr>
        <w:t>ו</w:t>
      </w:r>
      <w:r w:rsidRPr="00AE4C08">
        <w:rPr>
          <w:rFonts w:hint="cs"/>
          <w:rtl/>
        </w:rPr>
        <w:t xml:space="preserve">בו יפורטו כל השינויים בנתוני המאגר. עוד נקבע שאחת לשישה חודשים יגיש מנהל המאגר לוועדת המכרזים דוח התפלגות של העבודות שניתנו לספקים במאגר, ואחת לשנה </w:t>
      </w:r>
      <w:r>
        <w:rPr>
          <w:rFonts w:hint="cs"/>
          <w:rtl/>
        </w:rPr>
        <w:t xml:space="preserve">- </w:t>
      </w:r>
      <w:r w:rsidRPr="00AE4C08">
        <w:rPr>
          <w:rFonts w:hint="cs"/>
          <w:rtl/>
        </w:rPr>
        <w:t xml:space="preserve">דוח ביצוע על פעילות המאגר. דוח הביצוע </w:t>
      </w:r>
      <w:r w:rsidRPr="00AE4C08">
        <w:rPr>
          <w:rtl/>
        </w:rPr>
        <w:t>יציג ניתוח שימושים במאגר, וכן בכל התמחות, תת</w:t>
      </w:r>
      <w:r>
        <w:rPr>
          <w:rFonts w:hint="cs"/>
          <w:rtl/>
        </w:rPr>
        <w:t>-</w:t>
      </w:r>
      <w:r w:rsidRPr="00AE4C08">
        <w:rPr>
          <w:rtl/>
        </w:rPr>
        <w:t>התמחות ורמת התמחות בנפרד</w:t>
      </w:r>
      <w:r w:rsidRPr="00AE4C08">
        <w:rPr>
          <w:rFonts w:hint="cs"/>
          <w:rtl/>
        </w:rPr>
        <w:t>. הדוח גם יכלול פרטים ב</w:t>
      </w:r>
      <w:r>
        <w:rPr>
          <w:rFonts w:hint="cs"/>
          <w:rtl/>
        </w:rPr>
        <w:t>נוגע</w:t>
      </w:r>
      <w:r w:rsidRPr="00AE4C08">
        <w:rPr>
          <w:rFonts w:hint="cs"/>
          <w:rtl/>
        </w:rPr>
        <w:t xml:space="preserve"> לכל ספק רשום במאגר</w:t>
      </w:r>
      <w:r>
        <w:rPr>
          <w:rFonts w:hint="cs"/>
          <w:rtl/>
        </w:rPr>
        <w:t>,</w:t>
      </w:r>
      <w:r w:rsidRPr="00AE4C08">
        <w:rPr>
          <w:rFonts w:hint="cs"/>
          <w:rtl/>
        </w:rPr>
        <w:t xml:space="preserve"> ובהם: מועד רישום ומועד עדכון פרטים אחרון, פירוט התקשרויות שנעשו </w:t>
      </w:r>
      <w:r>
        <w:rPr>
          <w:rFonts w:hint="cs"/>
          <w:rtl/>
        </w:rPr>
        <w:t>עימו</w:t>
      </w:r>
      <w:r w:rsidRPr="00AE4C08">
        <w:rPr>
          <w:rFonts w:hint="cs"/>
          <w:rtl/>
        </w:rPr>
        <w:t xml:space="preserve">, כמותן והיקפן הכספי המצטבר של עבודות שהוזמנו וששולם עבורן </w:t>
      </w:r>
      <w:r>
        <w:rPr>
          <w:rFonts w:hint="cs"/>
          <w:rtl/>
        </w:rPr>
        <w:t>ו</w:t>
      </w:r>
      <w:r w:rsidRPr="00AE4C08">
        <w:rPr>
          <w:rFonts w:hint="cs"/>
          <w:rtl/>
        </w:rPr>
        <w:t>חוות דעת אם היו. כמו כן נקבע כי "</w:t>
      </w:r>
      <w:r w:rsidRPr="00AE4C08">
        <w:rPr>
          <w:rtl/>
        </w:rPr>
        <w:t>ועדת המכרזים תערוך ישיבה ייעודית לדיון בממצאי הדוח אחת לשנה לפחות. עיקרי הדיון, מסקנותיו והמלצותיו יתועדו בפרוטוקול</w:t>
      </w:r>
      <w:r w:rsidRPr="00AE4C08">
        <w:rPr>
          <w:rFonts w:hint="cs"/>
          <w:rtl/>
        </w:rPr>
        <w:t>".</w:t>
      </w:r>
    </w:p>
    <w:p w14:paraId="6DA90240" w14:textId="77777777" w:rsidR="009A28D9" w:rsidRDefault="009A28D9" w:rsidP="00C15588">
      <w:pPr>
        <w:pStyle w:val="af1"/>
        <w:rPr>
          <w:rtl/>
        </w:rPr>
      </w:pPr>
      <w:r w:rsidRPr="00F904AA">
        <w:rPr>
          <w:rFonts w:hint="cs"/>
          <w:rtl/>
        </w:rPr>
        <w:t>בביקורת עלה כי</w:t>
      </w:r>
      <w:r>
        <w:rPr>
          <w:rFonts w:hint="cs"/>
          <w:rtl/>
        </w:rPr>
        <w:t xml:space="preserve"> מנהל המאגר טרם הגיש לוועדת המכרזים את הדוחות המלאים הנוגעים לשנת 2018</w:t>
      </w:r>
      <w:r w:rsidRPr="00BF5ED7">
        <w:rPr>
          <w:rFonts w:hint="cs"/>
          <w:rtl/>
        </w:rPr>
        <w:t>, ו</w:t>
      </w:r>
      <w:r>
        <w:rPr>
          <w:rFonts w:hint="cs"/>
          <w:rtl/>
        </w:rPr>
        <w:t xml:space="preserve">גם לא את הדוח החצי-שנתי של שנת 2019 שהיה עליו להגיש. </w:t>
      </w:r>
    </w:p>
    <w:p w14:paraId="27C1E54E" w14:textId="77777777" w:rsidR="009A28D9" w:rsidRPr="00C32074" w:rsidRDefault="009A28D9" w:rsidP="00C15588">
      <w:pPr>
        <w:pStyle w:val="100"/>
        <w:rPr>
          <w:sz w:val="24"/>
          <w:rtl/>
          <w:lang w:eastAsia="he-IL"/>
        </w:rPr>
      </w:pPr>
      <w:r>
        <w:rPr>
          <w:rFonts w:hint="cs"/>
          <w:sz w:val="24"/>
          <w:rtl/>
          <w:lang w:eastAsia="he-IL"/>
        </w:rPr>
        <w:t xml:space="preserve">יצוין כי אי-הגשת הדוחות </w:t>
      </w:r>
      <w:r w:rsidRPr="00C15588">
        <w:rPr>
          <w:rFonts w:hint="cs"/>
          <w:rtl/>
        </w:rPr>
        <w:t>התקופתיים</w:t>
      </w:r>
      <w:r>
        <w:rPr>
          <w:rFonts w:hint="cs"/>
          <w:sz w:val="24"/>
          <w:rtl/>
          <w:lang w:eastAsia="he-IL"/>
        </w:rPr>
        <w:t xml:space="preserve"> עלתה גם </w:t>
      </w:r>
      <w:r w:rsidRPr="00B925F2">
        <w:rPr>
          <w:rFonts w:hint="cs"/>
          <w:sz w:val="24"/>
          <w:rtl/>
          <w:lang w:eastAsia="he-IL"/>
        </w:rPr>
        <w:t>בדוח ביקורת בנושא מאגר המתכננים ש</w:t>
      </w:r>
      <w:r>
        <w:rPr>
          <w:rFonts w:hint="cs"/>
          <w:sz w:val="24"/>
          <w:rtl/>
          <w:lang w:eastAsia="he-IL"/>
        </w:rPr>
        <w:t>פרסם ה</w:t>
      </w:r>
      <w:r w:rsidRPr="00B925F2">
        <w:rPr>
          <w:rFonts w:hint="cs"/>
          <w:sz w:val="24"/>
          <w:rtl/>
          <w:lang w:eastAsia="he-IL"/>
        </w:rPr>
        <w:t>אג</w:t>
      </w:r>
      <w:r>
        <w:rPr>
          <w:rFonts w:hint="cs"/>
          <w:sz w:val="24"/>
          <w:rtl/>
          <w:lang w:eastAsia="he-IL"/>
        </w:rPr>
        <w:t xml:space="preserve">ף לביקורת הפנימית במשרד הבינוי בפברואר 2019. צוין בו כי רק ביוני 2018 הוגש בפעם הראשונה מאז הקמת המאגר </w:t>
      </w:r>
      <w:r w:rsidRPr="0051343B">
        <w:rPr>
          <w:rFonts w:hint="cs"/>
          <w:sz w:val="24"/>
          <w:rtl/>
          <w:lang w:eastAsia="he-IL"/>
        </w:rPr>
        <w:t>דוח ביצוע לוועדת המכרזים</w:t>
      </w:r>
      <w:r>
        <w:rPr>
          <w:rFonts w:hint="cs"/>
          <w:sz w:val="24"/>
          <w:rtl/>
          <w:lang w:eastAsia="he-IL"/>
        </w:rPr>
        <w:t xml:space="preserve">, ואף הדוח שהוגש לקה בחסר רב. </w:t>
      </w:r>
    </w:p>
    <w:p w14:paraId="4D1E3DAB" w14:textId="77777777" w:rsidR="009A28D9" w:rsidRPr="0059622E" w:rsidRDefault="009A28D9" w:rsidP="0059622E">
      <w:pPr>
        <w:pStyle w:val="af1"/>
        <w:rPr>
          <w:rtl/>
        </w:rPr>
      </w:pPr>
      <w:r w:rsidRPr="0059622E">
        <w:rPr>
          <w:rFonts w:hint="cs"/>
          <w:rtl/>
        </w:rPr>
        <w:t>אי-הגשת הדוחות יש בה כדי לפגוע בבקרה השוטפת של ועדת המכרזים על ניהול המאגר. על משרד הבינוי להקפיד על הגשת הדוחות התקופתיים במועד שנקבע.</w:t>
      </w:r>
    </w:p>
    <w:p w14:paraId="137ACB6D" w14:textId="77777777" w:rsidR="009A28D9" w:rsidRDefault="009A28D9" w:rsidP="0059622E">
      <w:pPr>
        <w:pStyle w:val="100"/>
        <w:rPr>
          <w:rtl/>
          <w:lang w:eastAsia="he-IL"/>
        </w:rPr>
      </w:pPr>
      <w:r w:rsidRPr="00760077">
        <w:rPr>
          <w:rFonts w:hint="cs"/>
          <w:rtl/>
          <w:lang w:eastAsia="he-IL"/>
        </w:rPr>
        <w:t xml:space="preserve">משרד הבינוי </w:t>
      </w:r>
      <w:r>
        <w:rPr>
          <w:rFonts w:hint="cs"/>
          <w:rtl/>
          <w:lang w:eastAsia="he-IL"/>
        </w:rPr>
        <w:t>מסר בתשובתו</w:t>
      </w:r>
      <w:r w:rsidRPr="00760077">
        <w:rPr>
          <w:rFonts w:hint="cs"/>
          <w:rtl/>
          <w:lang w:eastAsia="he-IL"/>
        </w:rPr>
        <w:t xml:space="preserve"> כי</w:t>
      </w:r>
      <w:r>
        <w:rPr>
          <w:rFonts w:hint="cs"/>
          <w:rtl/>
          <w:lang w:eastAsia="he-IL"/>
        </w:rPr>
        <w:t xml:space="preserve"> יפעל להנפקת דוחות באופן ממוחשב מהיר, והם יוגשו לחתימת חברי הוועדה בתקופה הקרובה.</w:t>
      </w:r>
    </w:p>
    <w:p w14:paraId="68DAD6FB" w14:textId="77777777" w:rsidR="009A28D9" w:rsidRPr="00760077" w:rsidRDefault="009A28D9" w:rsidP="009A28D9">
      <w:pPr>
        <w:spacing w:line="269" w:lineRule="auto"/>
        <w:rPr>
          <w:rtl/>
          <w:lang w:eastAsia="he-IL"/>
        </w:rPr>
      </w:pPr>
    </w:p>
    <w:p w14:paraId="2E7658D7" w14:textId="77777777" w:rsidR="009A28D9" w:rsidRDefault="009A28D9" w:rsidP="00EA2A88">
      <w:pPr>
        <w:pStyle w:val="316"/>
        <w:rPr>
          <w:rtl/>
          <w:lang w:eastAsia="he-IL"/>
        </w:rPr>
      </w:pPr>
      <w:r w:rsidRPr="00090060">
        <w:rPr>
          <w:rtl/>
          <w:lang w:eastAsia="he-IL"/>
        </w:rPr>
        <w:lastRenderedPageBreak/>
        <w:t>שיתוף מידע בין הגופים הממשלתיים העוסקים בתכנון</w:t>
      </w:r>
    </w:p>
    <w:p w14:paraId="2ABD5453" w14:textId="77777777" w:rsidR="009A28D9" w:rsidRDefault="009A28D9" w:rsidP="00EA2A88">
      <w:pPr>
        <w:pStyle w:val="100"/>
        <w:rPr>
          <w:rtl/>
        </w:rPr>
      </w:pPr>
      <w:r w:rsidRPr="00D111A4">
        <w:rPr>
          <w:rFonts w:hint="cs"/>
          <w:rtl/>
        </w:rPr>
        <w:t>ככלל, ראוי ש</w:t>
      </w:r>
      <w:r>
        <w:rPr>
          <w:rFonts w:hint="cs"/>
          <w:rtl/>
        </w:rPr>
        <w:t>י</w:t>
      </w:r>
      <w:r w:rsidRPr="00D111A4">
        <w:rPr>
          <w:rFonts w:hint="cs"/>
          <w:rtl/>
        </w:rPr>
        <w:t>תק</w:t>
      </w:r>
      <w:r>
        <w:rPr>
          <w:rFonts w:hint="cs"/>
          <w:rtl/>
        </w:rPr>
        <w:t>יי</w:t>
      </w:r>
      <w:r w:rsidRPr="00D111A4">
        <w:rPr>
          <w:rFonts w:hint="cs"/>
          <w:rtl/>
        </w:rPr>
        <w:t>ם בי</w:t>
      </w:r>
      <w:r>
        <w:rPr>
          <w:rFonts w:hint="cs"/>
          <w:rtl/>
        </w:rPr>
        <w:t>ן גופים ממשלתיים</w:t>
      </w:r>
      <w:r w:rsidRPr="00D111A4">
        <w:rPr>
          <w:rFonts w:hint="cs"/>
          <w:rtl/>
        </w:rPr>
        <w:t xml:space="preserve"> </w:t>
      </w:r>
      <w:r>
        <w:rPr>
          <w:rFonts w:hint="cs"/>
          <w:rtl/>
        </w:rPr>
        <w:t xml:space="preserve">שיתוף מידע </w:t>
      </w:r>
      <w:r w:rsidRPr="00D111A4">
        <w:rPr>
          <w:rFonts w:hint="cs"/>
          <w:rtl/>
        </w:rPr>
        <w:t xml:space="preserve">אשר </w:t>
      </w:r>
      <w:r>
        <w:rPr>
          <w:rFonts w:hint="cs"/>
          <w:rtl/>
        </w:rPr>
        <w:t>י</w:t>
      </w:r>
      <w:r w:rsidRPr="00D111A4">
        <w:rPr>
          <w:rFonts w:hint="cs"/>
          <w:rtl/>
        </w:rPr>
        <w:t>וכל לשפר ולהפרות את עבודתם</w:t>
      </w:r>
      <w:r>
        <w:rPr>
          <w:rFonts w:hint="cs"/>
          <w:rtl/>
        </w:rPr>
        <w:t xml:space="preserve"> ואת איכות השירות שהם נותנים,</w:t>
      </w:r>
      <w:r w:rsidRPr="005D6CF7">
        <w:rPr>
          <w:rFonts w:hint="cs"/>
          <w:rtl/>
        </w:rPr>
        <w:t xml:space="preserve"> </w:t>
      </w:r>
      <w:r w:rsidRPr="00D111A4">
        <w:rPr>
          <w:rFonts w:hint="cs"/>
          <w:rtl/>
        </w:rPr>
        <w:t>וב</w:t>
      </w:r>
      <w:r>
        <w:rPr>
          <w:rFonts w:hint="cs"/>
          <w:rtl/>
        </w:rPr>
        <w:t xml:space="preserve">וודאי </w:t>
      </w:r>
      <w:r w:rsidRPr="00D111A4">
        <w:rPr>
          <w:rFonts w:hint="cs"/>
          <w:rtl/>
        </w:rPr>
        <w:t>כ</w:t>
      </w:r>
      <w:r>
        <w:rPr>
          <w:rFonts w:hint="cs"/>
          <w:rtl/>
        </w:rPr>
        <w:t xml:space="preserve">אשר הם </w:t>
      </w:r>
      <w:r w:rsidRPr="00D111A4">
        <w:rPr>
          <w:rFonts w:hint="cs"/>
          <w:rtl/>
        </w:rPr>
        <w:t xml:space="preserve">עוסקים בתחומים </w:t>
      </w:r>
      <w:r>
        <w:rPr>
          <w:rFonts w:hint="cs"/>
          <w:rtl/>
        </w:rPr>
        <w:t>כמעט זהים</w:t>
      </w:r>
      <w:r w:rsidRPr="00D111A4">
        <w:rPr>
          <w:rFonts w:hint="cs"/>
          <w:rtl/>
        </w:rPr>
        <w:t>.</w:t>
      </w:r>
      <w:r>
        <w:rPr>
          <w:rFonts w:hint="cs"/>
          <w:rtl/>
        </w:rPr>
        <w:t xml:space="preserve"> כמו כן, שיתוף מידע עשוי לתרום לכך שהספקים שאליהם מופנות ההזמנות להציע הצעות ייבחרו באופן המבטיח קיומו של סבב מחזורי שוויוני והוגן כפי שנקבע בתקנות ובהוראת תכ"ם.</w:t>
      </w:r>
    </w:p>
    <w:p w14:paraId="323D24FA" w14:textId="77777777" w:rsidR="009A28D9" w:rsidRPr="003B2626" w:rsidRDefault="009A28D9" w:rsidP="00EA2A88">
      <w:pPr>
        <w:pStyle w:val="100"/>
        <w:rPr>
          <w:rFonts w:ascii="Arial" w:eastAsia="Times New Roman" w:hAnsi="Arial"/>
          <w:color w:val="000000"/>
          <w:sz w:val="24"/>
          <w:rtl/>
        </w:rPr>
      </w:pPr>
      <w:r w:rsidRPr="003B2626">
        <w:rPr>
          <w:rFonts w:ascii="Arial" w:eastAsia="Times New Roman" w:hAnsi="Arial" w:hint="eastAsia"/>
          <w:color w:val="000000"/>
          <w:sz w:val="24"/>
          <w:rtl/>
        </w:rPr>
        <w:t>משרדי</w:t>
      </w:r>
      <w:r w:rsidRPr="003B2626">
        <w:rPr>
          <w:rFonts w:ascii="Arial" w:eastAsia="Times New Roman" w:hAnsi="Arial"/>
          <w:color w:val="000000"/>
          <w:sz w:val="24"/>
          <w:rtl/>
        </w:rPr>
        <w:t xml:space="preserve"> ממשלה וגופים ממשלתיים רבים - ובהם משרד</w:t>
      </w:r>
      <w:r>
        <w:rPr>
          <w:rFonts w:ascii="Arial" w:eastAsia="Times New Roman" w:hAnsi="Arial" w:hint="cs"/>
          <w:color w:val="000000"/>
          <w:sz w:val="24"/>
          <w:rtl/>
        </w:rPr>
        <w:t>י</w:t>
      </w:r>
      <w:r w:rsidRPr="003B2626">
        <w:rPr>
          <w:rFonts w:ascii="Arial" w:eastAsia="Times New Roman" w:hAnsi="Arial"/>
          <w:color w:val="000000"/>
          <w:sz w:val="24"/>
          <w:rtl/>
        </w:rPr>
        <w:t xml:space="preserve"> הבינוי, </w:t>
      </w:r>
      <w:r>
        <w:rPr>
          <w:rFonts w:ascii="Arial" w:eastAsia="Times New Roman" w:hAnsi="Arial" w:hint="cs"/>
          <w:color w:val="000000"/>
          <w:sz w:val="24"/>
          <w:rtl/>
        </w:rPr>
        <w:t>הפנים</w:t>
      </w:r>
      <w:r w:rsidRPr="003B2626">
        <w:rPr>
          <w:rFonts w:ascii="Arial" w:eastAsia="Times New Roman" w:hAnsi="Arial"/>
          <w:color w:val="000000"/>
          <w:sz w:val="24"/>
          <w:rtl/>
        </w:rPr>
        <w:t xml:space="preserve">, הביטחון, </w:t>
      </w:r>
      <w:r w:rsidRPr="003B2626">
        <w:rPr>
          <w:rFonts w:ascii="Arial" w:eastAsia="Times New Roman" w:hAnsi="Arial" w:hint="eastAsia"/>
          <w:color w:val="000000"/>
          <w:sz w:val="24"/>
          <w:rtl/>
        </w:rPr>
        <w:t>התחבורה</w:t>
      </w:r>
      <w:r w:rsidRPr="003B2626">
        <w:rPr>
          <w:rFonts w:ascii="Arial" w:eastAsia="Times New Roman" w:hAnsi="Arial"/>
          <w:color w:val="000000"/>
          <w:sz w:val="24"/>
          <w:rtl/>
        </w:rPr>
        <w:t xml:space="preserve"> ו</w:t>
      </w:r>
      <w:r w:rsidRPr="003B2626">
        <w:rPr>
          <w:rFonts w:ascii="Arial" w:eastAsia="Times New Roman" w:hAnsi="Arial" w:hint="eastAsia"/>
          <w:color w:val="000000"/>
          <w:sz w:val="24"/>
          <w:rtl/>
        </w:rPr>
        <w:t>האוצר</w:t>
      </w:r>
      <w:r w:rsidRPr="003B2626">
        <w:rPr>
          <w:rFonts w:ascii="Arial" w:eastAsia="Times New Roman" w:hAnsi="Arial"/>
          <w:color w:val="000000"/>
          <w:sz w:val="24"/>
          <w:rtl/>
        </w:rPr>
        <w:t xml:space="preserve"> - </w:t>
      </w:r>
      <w:r w:rsidRPr="003B2626">
        <w:rPr>
          <w:rFonts w:ascii="Arial" w:eastAsia="Times New Roman" w:hAnsi="Arial" w:hint="eastAsia"/>
          <w:color w:val="000000"/>
          <w:sz w:val="24"/>
          <w:rtl/>
        </w:rPr>
        <w:t>מנהלים</w:t>
      </w:r>
      <w:r w:rsidRPr="003B2626">
        <w:rPr>
          <w:rFonts w:ascii="Arial" w:eastAsia="Times New Roman" w:hAnsi="Arial"/>
          <w:color w:val="000000"/>
          <w:sz w:val="24"/>
          <w:rtl/>
        </w:rPr>
        <w:t xml:space="preserve"> </w:t>
      </w:r>
      <w:r w:rsidRPr="003B2626">
        <w:rPr>
          <w:rFonts w:ascii="Arial" w:eastAsia="Times New Roman" w:hAnsi="Arial" w:hint="eastAsia"/>
          <w:color w:val="000000"/>
          <w:sz w:val="24"/>
          <w:rtl/>
        </w:rPr>
        <w:t>רשימת</w:t>
      </w:r>
      <w:r w:rsidRPr="003B2626">
        <w:rPr>
          <w:rFonts w:ascii="Arial" w:eastAsia="Times New Roman" w:hAnsi="Arial"/>
          <w:color w:val="000000"/>
          <w:sz w:val="24"/>
          <w:rtl/>
        </w:rPr>
        <w:t xml:space="preserve"> </w:t>
      </w:r>
      <w:r w:rsidRPr="003B2626">
        <w:rPr>
          <w:rFonts w:ascii="Arial" w:eastAsia="Times New Roman" w:hAnsi="Arial" w:hint="eastAsia"/>
          <w:color w:val="000000"/>
          <w:sz w:val="24"/>
          <w:rtl/>
        </w:rPr>
        <w:t>ספקים</w:t>
      </w:r>
      <w:r>
        <w:rPr>
          <w:rFonts w:ascii="Arial" w:eastAsia="Times New Roman" w:hAnsi="Arial" w:hint="cs"/>
          <w:color w:val="000000"/>
          <w:sz w:val="24"/>
          <w:rtl/>
        </w:rPr>
        <w:t>,</w:t>
      </w:r>
      <w:r w:rsidRPr="003B2626">
        <w:rPr>
          <w:rFonts w:ascii="Arial" w:eastAsia="Times New Roman" w:hAnsi="Arial"/>
          <w:color w:val="000000"/>
          <w:sz w:val="24"/>
          <w:rtl/>
        </w:rPr>
        <w:t xml:space="preserve"> </w:t>
      </w:r>
      <w:r>
        <w:rPr>
          <w:rFonts w:ascii="Arial" w:eastAsia="Times New Roman" w:hAnsi="Arial" w:hint="cs"/>
          <w:color w:val="000000"/>
          <w:sz w:val="24"/>
          <w:rtl/>
        </w:rPr>
        <w:t>לרבות</w:t>
      </w:r>
      <w:r w:rsidRPr="003B2626">
        <w:rPr>
          <w:rFonts w:ascii="Arial" w:eastAsia="Times New Roman" w:hAnsi="Arial"/>
          <w:color w:val="000000"/>
          <w:sz w:val="24"/>
          <w:rtl/>
        </w:rPr>
        <w:t xml:space="preserve"> </w:t>
      </w:r>
      <w:r w:rsidRPr="003B2626">
        <w:rPr>
          <w:rFonts w:ascii="Arial" w:eastAsia="Times New Roman" w:hAnsi="Arial" w:hint="eastAsia"/>
          <w:color w:val="000000"/>
          <w:sz w:val="24"/>
          <w:rtl/>
        </w:rPr>
        <w:t>מאגר</w:t>
      </w:r>
      <w:r w:rsidRPr="003B2626">
        <w:rPr>
          <w:rFonts w:ascii="Arial" w:eastAsia="Times New Roman" w:hAnsi="Arial"/>
          <w:color w:val="000000"/>
          <w:sz w:val="24"/>
          <w:rtl/>
        </w:rPr>
        <w:t xml:space="preserve"> </w:t>
      </w:r>
      <w:r w:rsidRPr="003B2626">
        <w:rPr>
          <w:rFonts w:ascii="Arial" w:eastAsia="Times New Roman" w:hAnsi="Arial" w:hint="eastAsia"/>
          <w:color w:val="000000"/>
          <w:sz w:val="24"/>
          <w:rtl/>
        </w:rPr>
        <w:t>מתכננים</w:t>
      </w:r>
      <w:r w:rsidRPr="003B2626">
        <w:rPr>
          <w:rFonts w:ascii="Arial" w:eastAsia="Times New Roman" w:hAnsi="Arial"/>
          <w:color w:val="000000"/>
          <w:sz w:val="24"/>
          <w:rtl/>
        </w:rPr>
        <w:t xml:space="preserve"> </w:t>
      </w:r>
      <w:r>
        <w:rPr>
          <w:rFonts w:ascii="Arial" w:eastAsia="Times New Roman" w:hAnsi="Arial" w:hint="cs"/>
          <w:color w:val="000000"/>
          <w:sz w:val="24"/>
          <w:rtl/>
        </w:rPr>
        <w:t>ש</w:t>
      </w:r>
      <w:r w:rsidRPr="003B2626">
        <w:rPr>
          <w:rFonts w:ascii="Arial" w:eastAsia="Times New Roman" w:hAnsi="Arial" w:hint="eastAsia"/>
          <w:color w:val="000000"/>
          <w:sz w:val="24"/>
          <w:rtl/>
        </w:rPr>
        <w:t>מתוכ</w:t>
      </w:r>
      <w:r>
        <w:rPr>
          <w:rFonts w:ascii="Arial" w:eastAsia="Times New Roman" w:hAnsi="Arial" w:hint="cs"/>
          <w:color w:val="000000"/>
          <w:sz w:val="24"/>
          <w:rtl/>
        </w:rPr>
        <w:t>ו</w:t>
      </w:r>
      <w:r w:rsidRPr="003B2626">
        <w:rPr>
          <w:rFonts w:ascii="Arial" w:eastAsia="Times New Roman" w:hAnsi="Arial"/>
          <w:color w:val="000000"/>
          <w:sz w:val="24"/>
          <w:rtl/>
        </w:rPr>
        <w:t xml:space="preserve"> </w:t>
      </w:r>
      <w:r w:rsidRPr="003B2626">
        <w:rPr>
          <w:rFonts w:ascii="Arial" w:eastAsia="Times New Roman" w:hAnsi="Arial" w:hint="eastAsia"/>
          <w:color w:val="000000"/>
          <w:sz w:val="24"/>
          <w:rtl/>
        </w:rPr>
        <w:t>הם</w:t>
      </w:r>
      <w:r w:rsidRPr="003B2626">
        <w:rPr>
          <w:rFonts w:ascii="Arial" w:eastAsia="Times New Roman" w:hAnsi="Arial"/>
          <w:color w:val="000000"/>
          <w:sz w:val="24"/>
          <w:rtl/>
        </w:rPr>
        <w:t xml:space="preserve"> מזמינים עבודות תכנון. </w:t>
      </w:r>
      <w:r w:rsidRPr="003B2626">
        <w:rPr>
          <w:rFonts w:ascii="Arial" w:eastAsia="Times New Roman" w:hAnsi="Arial" w:hint="eastAsia"/>
          <w:color w:val="000000"/>
          <w:sz w:val="24"/>
          <w:rtl/>
        </w:rPr>
        <w:t>רמ</w:t>
      </w:r>
      <w:r w:rsidRPr="003B2626">
        <w:rPr>
          <w:rFonts w:ascii="Arial" w:eastAsia="Times New Roman" w:hAnsi="Arial"/>
          <w:color w:val="000000"/>
          <w:sz w:val="24"/>
          <w:rtl/>
        </w:rPr>
        <w:t xml:space="preserve">"י </w:t>
      </w:r>
      <w:r>
        <w:rPr>
          <w:rFonts w:ascii="Arial" w:eastAsia="Times New Roman" w:hAnsi="Arial" w:hint="cs"/>
          <w:color w:val="000000"/>
          <w:sz w:val="24"/>
          <w:rtl/>
        </w:rPr>
        <w:t xml:space="preserve">ומשרד הבינוי </w:t>
      </w:r>
      <w:r w:rsidRPr="003B2626">
        <w:rPr>
          <w:rFonts w:ascii="Arial" w:eastAsia="Times New Roman" w:hAnsi="Arial" w:hint="eastAsia"/>
          <w:color w:val="000000"/>
          <w:sz w:val="24"/>
          <w:rtl/>
        </w:rPr>
        <w:t>כאמור</w:t>
      </w:r>
      <w:r w:rsidRPr="003B2626">
        <w:rPr>
          <w:rFonts w:ascii="Arial" w:eastAsia="Times New Roman" w:hAnsi="Arial"/>
          <w:color w:val="000000"/>
          <w:sz w:val="24"/>
          <w:rtl/>
        </w:rPr>
        <w:t xml:space="preserve"> עוש</w:t>
      </w:r>
      <w:r>
        <w:rPr>
          <w:rFonts w:ascii="Arial" w:eastAsia="Times New Roman" w:hAnsi="Arial" w:hint="cs"/>
          <w:color w:val="000000"/>
          <w:sz w:val="24"/>
          <w:rtl/>
        </w:rPr>
        <w:t>ים</w:t>
      </w:r>
      <w:r w:rsidRPr="003B2626">
        <w:rPr>
          <w:rFonts w:ascii="Arial" w:eastAsia="Times New Roman" w:hAnsi="Arial"/>
          <w:color w:val="000000"/>
          <w:sz w:val="24"/>
          <w:rtl/>
        </w:rPr>
        <w:t xml:space="preserve"> </w:t>
      </w:r>
      <w:r w:rsidRPr="003B2626">
        <w:rPr>
          <w:rFonts w:ascii="Arial" w:eastAsia="Times New Roman" w:hAnsi="Arial" w:hint="eastAsia"/>
          <w:color w:val="000000"/>
          <w:sz w:val="24"/>
          <w:rtl/>
        </w:rPr>
        <w:t>זאת</w:t>
      </w:r>
      <w:r w:rsidRPr="003B2626">
        <w:rPr>
          <w:rFonts w:ascii="Arial" w:eastAsia="Times New Roman" w:hAnsi="Arial"/>
          <w:color w:val="000000"/>
          <w:sz w:val="24"/>
          <w:rtl/>
        </w:rPr>
        <w:t xml:space="preserve"> </w:t>
      </w:r>
      <w:r>
        <w:rPr>
          <w:rFonts w:ascii="Arial" w:eastAsia="Times New Roman" w:hAnsi="Arial" w:hint="cs"/>
          <w:color w:val="000000"/>
          <w:sz w:val="24"/>
          <w:rtl/>
        </w:rPr>
        <w:t>גם ב</w:t>
      </w:r>
      <w:r w:rsidRPr="003B2626">
        <w:rPr>
          <w:rFonts w:ascii="Arial" w:eastAsia="Times New Roman" w:hAnsi="Arial"/>
          <w:color w:val="000000"/>
          <w:sz w:val="24"/>
          <w:rtl/>
        </w:rPr>
        <w:t xml:space="preserve">אמצעות חברות מתכננות שזכו במכרז. </w:t>
      </w:r>
    </w:p>
    <w:p w14:paraId="654FDFA9" w14:textId="77777777" w:rsidR="009A28D9" w:rsidRDefault="009A28D9" w:rsidP="00EA2A88">
      <w:pPr>
        <w:pStyle w:val="100"/>
        <w:rPr>
          <w:rFonts w:ascii="Arial" w:eastAsia="Times New Roman" w:hAnsi="Arial"/>
          <w:color w:val="000000"/>
          <w:sz w:val="24"/>
          <w:rtl/>
        </w:rPr>
      </w:pPr>
      <w:r>
        <w:rPr>
          <w:rFonts w:ascii="Arial" w:eastAsia="Times New Roman" w:hAnsi="Arial" w:hint="cs"/>
          <w:color w:val="000000"/>
          <w:sz w:val="24"/>
          <w:rtl/>
        </w:rPr>
        <w:t>ב</w:t>
      </w:r>
      <w:r w:rsidRPr="00405E45">
        <w:rPr>
          <w:rFonts w:ascii="Arial" w:eastAsia="Times New Roman" w:hAnsi="Arial"/>
          <w:color w:val="000000"/>
          <w:sz w:val="24"/>
          <w:rtl/>
        </w:rPr>
        <w:t xml:space="preserve">דוח מבקר המדינה </w:t>
      </w:r>
      <w:r>
        <w:rPr>
          <w:rFonts w:ascii="Arial" w:eastAsia="Times New Roman" w:hAnsi="Arial" w:hint="cs"/>
          <w:color w:val="000000"/>
          <w:sz w:val="24"/>
          <w:rtl/>
        </w:rPr>
        <w:t>ממאי</w:t>
      </w:r>
      <w:r w:rsidRPr="00405E45">
        <w:rPr>
          <w:rFonts w:ascii="Arial" w:eastAsia="Times New Roman" w:hAnsi="Arial"/>
          <w:color w:val="000000"/>
          <w:sz w:val="24"/>
          <w:rtl/>
        </w:rPr>
        <w:t xml:space="preserve"> 2005</w:t>
      </w:r>
      <w:r>
        <w:rPr>
          <w:rStyle w:val="FootnoteReference"/>
          <w:rFonts w:ascii="Arial" w:eastAsia="Times New Roman" w:hAnsi="Arial"/>
          <w:color w:val="000000"/>
          <w:sz w:val="24"/>
          <w:rtl/>
        </w:rPr>
        <w:footnoteReference w:id="56"/>
      </w:r>
      <w:r w:rsidRPr="00405E45">
        <w:rPr>
          <w:rFonts w:ascii="Arial" w:eastAsia="Times New Roman" w:hAnsi="Arial"/>
          <w:color w:val="000000"/>
          <w:sz w:val="24"/>
          <w:rtl/>
        </w:rPr>
        <w:t xml:space="preserve"> </w:t>
      </w:r>
      <w:r>
        <w:rPr>
          <w:rFonts w:ascii="Arial" w:eastAsia="Times New Roman" w:hAnsi="Arial" w:hint="cs"/>
          <w:color w:val="000000"/>
          <w:sz w:val="24"/>
          <w:rtl/>
        </w:rPr>
        <w:t xml:space="preserve">שעסק בנושא מסירת עבודות תכנון במשרד הבינוי נבדקו מידת התיאום הבין-משרדי וניהול מאגרי המידע בתחום זה. מבקר המדינה קבע בדוח כי "ידע בין-משרדי בעניין כישוריהם של המתכננים על היבטיהם השונים (הכשרה מקצועית, ידע וניסיון מקצועי, חוות דעת וכד') ובעניין עומס העבודה שהוטל עליהם ויצירת מערכת התקשרויות אחידה (חוזים, מפרטים, תעריפים וכד') יש בהם כדי לייעל את תהליכי ההתקשרות ולהקטין את ההוצאה הציבורית בתחום זה". בדוח הועלה כי אין מאגר מתכננים משותף לכלל משרדי הממשלה, אין מערכת תעריפים אחידה לעבודות תכנון לסוגיהן, ובחישוב העומס של המתכננים מביא כל משרד בחשבון רק את עבודות התכנון שהוא מסר למתכנן, ולא את העבודות שהטילו עליו משרדים אחרים. </w:t>
      </w:r>
    </w:p>
    <w:p w14:paraId="09AD206F" w14:textId="77777777" w:rsidR="009A28D9" w:rsidRPr="00092E9D" w:rsidRDefault="009A28D9" w:rsidP="00EA2A88">
      <w:pPr>
        <w:pStyle w:val="100"/>
        <w:rPr>
          <w:rtl/>
        </w:rPr>
      </w:pPr>
      <w:r>
        <w:rPr>
          <w:rFonts w:hint="cs"/>
          <w:rtl/>
        </w:rPr>
        <w:t xml:space="preserve">לכן הומלץ בדוח למשרד האוצר לפתח מערכת מידע משותפת למשרדי הממשלה או לקבוע כללים </w:t>
      </w:r>
      <w:r>
        <w:rPr>
          <w:rFonts w:asciiTheme="minorBidi" w:hAnsiTheme="minorBidi" w:hint="cs"/>
          <w:noProof/>
          <w:sz w:val="24"/>
          <w:rtl/>
        </w:rPr>
        <w:t>להעברת המידע ביניהם</w:t>
      </w:r>
      <w:r>
        <w:rPr>
          <w:rStyle w:val="FootnoteReference"/>
          <w:rtl/>
        </w:rPr>
        <w:footnoteReference w:id="57"/>
      </w:r>
      <w:r>
        <w:rPr>
          <w:rFonts w:hint="cs"/>
          <w:rtl/>
        </w:rPr>
        <w:t xml:space="preserve"> בנוגע להתקשרויות עם המתכננים - כך שתתאפשר הצגה כוללת של היקף ההתקשרויות עם המתכננים (כלומר העומס). המלצה דומה בדבר מערכת משותפת שתחשב את סך ההתקשרויות עם כל ספק ניתנה בסמוך לכך (מרץ 2005) גם בדוח ועדת ההיגוי ליישום דוח ועדת זילר. </w:t>
      </w:r>
    </w:p>
    <w:p w14:paraId="1A303D70" w14:textId="77777777" w:rsidR="009A28D9" w:rsidRDefault="009A28D9" w:rsidP="00EA2A88">
      <w:pPr>
        <w:pStyle w:val="100"/>
        <w:rPr>
          <w:rtl/>
        </w:rPr>
      </w:pPr>
      <w:r>
        <w:rPr>
          <w:rFonts w:hint="cs"/>
          <w:rtl/>
        </w:rPr>
        <w:t>יודגש כי הידע הבין</w:t>
      </w:r>
      <w:r>
        <w:rPr>
          <w:rFonts w:ascii="Arial" w:eastAsia="Times New Roman" w:hAnsi="Arial" w:hint="cs"/>
          <w:color w:val="000000"/>
          <w:sz w:val="24"/>
          <w:rtl/>
        </w:rPr>
        <w:t>-</w:t>
      </w:r>
      <w:r>
        <w:rPr>
          <w:rFonts w:hint="cs"/>
          <w:rtl/>
        </w:rPr>
        <w:t>משרדי בדבר כישורי המתכננים וחישובי העומס המוטל עליהם נוגע גם לעניין החברות המתכננות שזכו במכרזי משרד הבינוי ורמ"י, שכן במכרזים אלה נקבע כי בין השיקולים למסירת עבודות תכנון ייכללו שיקולים של התאמה מקצועית והיקף העבודות שכבר קיבלה החברה; כל זאת בשאיפה לחלוקה מאוזנת של שווי העבודות וכן לאור שביעות הרצון מעבודות קודמות.</w:t>
      </w:r>
    </w:p>
    <w:p w14:paraId="088F661A" w14:textId="77777777" w:rsidR="009A28D9" w:rsidRDefault="009A28D9" w:rsidP="00EA2A88">
      <w:pPr>
        <w:pStyle w:val="af1"/>
        <w:rPr>
          <w:rtl/>
        </w:rPr>
      </w:pPr>
      <w:r>
        <w:rPr>
          <w:rFonts w:hint="cs"/>
          <w:rtl/>
        </w:rPr>
        <w:t>בביקורת הנוכחית עלה</w:t>
      </w:r>
      <w:r w:rsidRPr="00F04704">
        <w:rPr>
          <w:rFonts w:hint="cs"/>
          <w:rtl/>
        </w:rPr>
        <w:t xml:space="preserve"> כי </w:t>
      </w:r>
      <w:r>
        <w:rPr>
          <w:rFonts w:hint="cs"/>
          <w:rtl/>
        </w:rPr>
        <w:t>עדיין לא הוקם</w:t>
      </w:r>
      <w:r w:rsidRPr="00F04704">
        <w:rPr>
          <w:rFonts w:hint="cs"/>
          <w:rtl/>
        </w:rPr>
        <w:t xml:space="preserve"> מאגר </w:t>
      </w:r>
      <w:r>
        <w:rPr>
          <w:rFonts w:hint="cs"/>
          <w:rtl/>
        </w:rPr>
        <w:t xml:space="preserve">מידע משותף של </w:t>
      </w:r>
      <w:r w:rsidRPr="00F04704">
        <w:rPr>
          <w:rFonts w:hint="cs"/>
          <w:rtl/>
        </w:rPr>
        <w:t>משרדי הממשלה</w:t>
      </w:r>
      <w:r>
        <w:rPr>
          <w:rFonts w:hint="cs"/>
          <w:rtl/>
        </w:rPr>
        <w:t xml:space="preserve"> ולא פותחו כללים להעברת מידע ביניהם</w:t>
      </w:r>
      <w:r w:rsidRPr="001F6393">
        <w:rPr>
          <w:rFonts w:hint="cs"/>
          <w:rtl/>
        </w:rPr>
        <w:t xml:space="preserve"> </w:t>
      </w:r>
      <w:r>
        <w:rPr>
          <w:rFonts w:hint="cs"/>
          <w:rtl/>
        </w:rPr>
        <w:t xml:space="preserve">בתחום התכנון. </w:t>
      </w:r>
    </w:p>
    <w:p w14:paraId="171CC3E0" w14:textId="77777777" w:rsidR="009A28D9" w:rsidRDefault="009A28D9" w:rsidP="00EA2A88">
      <w:pPr>
        <w:pStyle w:val="af1"/>
        <w:rPr>
          <w:rtl/>
        </w:rPr>
      </w:pPr>
      <w:r>
        <w:rPr>
          <w:rFonts w:hint="cs"/>
          <w:rtl/>
        </w:rPr>
        <w:lastRenderedPageBreak/>
        <w:t xml:space="preserve">בפועל, </w:t>
      </w:r>
      <w:r w:rsidRPr="00F04704">
        <w:rPr>
          <w:rFonts w:hint="cs"/>
          <w:rtl/>
        </w:rPr>
        <w:t>בחישוב העומס על ה</w:t>
      </w:r>
      <w:r>
        <w:rPr>
          <w:rFonts w:hint="cs"/>
          <w:rtl/>
        </w:rPr>
        <w:t>חברות המתכננות או המתכננים במאגרים,</w:t>
      </w:r>
      <w:r w:rsidRPr="00F04704">
        <w:rPr>
          <w:rFonts w:hint="cs"/>
          <w:rtl/>
        </w:rPr>
        <w:t xml:space="preserve"> </w:t>
      </w:r>
      <w:r>
        <w:rPr>
          <w:rFonts w:hint="cs"/>
          <w:rtl/>
        </w:rPr>
        <w:t xml:space="preserve">מביא </w:t>
      </w:r>
      <w:r w:rsidRPr="00F04704">
        <w:rPr>
          <w:rFonts w:hint="cs"/>
          <w:rtl/>
        </w:rPr>
        <w:t>כל משרד</w:t>
      </w:r>
      <w:r>
        <w:rPr>
          <w:rFonts w:hint="cs"/>
          <w:rtl/>
        </w:rPr>
        <w:t xml:space="preserve"> </w:t>
      </w:r>
      <w:r w:rsidRPr="00F04704">
        <w:rPr>
          <w:rFonts w:hint="cs"/>
          <w:rtl/>
        </w:rPr>
        <w:t xml:space="preserve">בחשבון רק את עבודות התכנון שהוא מסר </w:t>
      </w:r>
      <w:r>
        <w:rPr>
          <w:rFonts w:hint="cs"/>
          <w:rtl/>
        </w:rPr>
        <w:t xml:space="preserve">לספק, </w:t>
      </w:r>
      <w:r w:rsidRPr="00F04704">
        <w:rPr>
          <w:rFonts w:hint="cs"/>
          <w:rtl/>
        </w:rPr>
        <w:t>ולא את ה</w:t>
      </w:r>
      <w:r>
        <w:rPr>
          <w:rFonts w:hint="cs"/>
          <w:rtl/>
        </w:rPr>
        <w:t>עבודות שמסרו לו משרדים אחרים</w:t>
      </w:r>
      <w:r w:rsidRPr="00F04704">
        <w:rPr>
          <w:rFonts w:hint="cs"/>
          <w:rtl/>
        </w:rPr>
        <w:t>. לדוגמה</w:t>
      </w:r>
      <w:r>
        <w:rPr>
          <w:rFonts w:hint="cs"/>
          <w:rtl/>
        </w:rPr>
        <w:t>, נמצא ש</w:t>
      </w:r>
      <w:r w:rsidRPr="00F04704">
        <w:rPr>
          <w:rFonts w:hint="cs"/>
          <w:rtl/>
        </w:rPr>
        <w:t>חברה</w:t>
      </w:r>
      <w:r>
        <w:rPr>
          <w:rFonts w:hint="cs"/>
          <w:rtl/>
        </w:rPr>
        <w:t xml:space="preserve"> אחת </w:t>
      </w:r>
      <w:r w:rsidRPr="00F04704">
        <w:rPr>
          <w:rFonts w:hint="cs"/>
          <w:rtl/>
        </w:rPr>
        <w:t>שבשנים</w:t>
      </w:r>
      <w:r>
        <w:rPr>
          <w:rFonts w:hint="cs"/>
          <w:rtl/>
        </w:rPr>
        <w:t xml:space="preserve"> 2017 - 2019</w:t>
      </w:r>
      <w:r w:rsidRPr="00F04704">
        <w:rPr>
          <w:rFonts w:hint="cs"/>
          <w:rtl/>
        </w:rPr>
        <w:t xml:space="preserve"> ק</w:t>
      </w:r>
      <w:r>
        <w:rPr>
          <w:rFonts w:hint="cs"/>
          <w:rtl/>
        </w:rPr>
        <w:t>י</w:t>
      </w:r>
      <w:r w:rsidRPr="00F04704">
        <w:rPr>
          <w:rFonts w:hint="cs"/>
          <w:rtl/>
        </w:rPr>
        <w:t>בלה ממשרד הבינוי עבודות תכנון בס</w:t>
      </w:r>
      <w:r>
        <w:rPr>
          <w:rFonts w:hint="cs"/>
          <w:rtl/>
        </w:rPr>
        <w:t>כום</w:t>
      </w:r>
      <w:r w:rsidRPr="00F04704">
        <w:rPr>
          <w:rFonts w:hint="cs"/>
          <w:rtl/>
        </w:rPr>
        <w:t xml:space="preserve"> של כ-21 מיליון ש"ח, ק</w:t>
      </w:r>
      <w:r>
        <w:rPr>
          <w:rFonts w:hint="cs"/>
          <w:rtl/>
        </w:rPr>
        <w:t>י</w:t>
      </w:r>
      <w:r w:rsidRPr="00F04704">
        <w:rPr>
          <w:rFonts w:hint="cs"/>
          <w:rtl/>
        </w:rPr>
        <w:t xml:space="preserve">בלה באותן שנים </w:t>
      </w:r>
      <w:r>
        <w:rPr>
          <w:rFonts w:hint="cs"/>
          <w:rtl/>
        </w:rPr>
        <w:t xml:space="preserve">גם </w:t>
      </w:r>
      <w:r w:rsidRPr="00F04704">
        <w:rPr>
          <w:rFonts w:hint="cs"/>
          <w:rtl/>
        </w:rPr>
        <w:t>מרמ"י עבודות תכנון בסך של כ-</w:t>
      </w:r>
      <w:r>
        <w:rPr>
          <w:rFonts w:hint="cs"/>
          <w:rtl/>
        </w:rPr>
        <w:t xml:space="preserve">42 </w:t>
      </w:r>
      <w:r w:rsidRPr="00F04704">
        <w:rPr>
          <w:rFonts w:hint="cs"/>
          <w:rtl/>
        </w:rPr>
        <w:t xml:space="preserve">מיליון ש"ח; חברה מתכננת </w:t>
      </w:r>
      <w:r>
        <w:rPr>
          <w:rFonts w:hint="cs"/>
          <w:rtl/>
        </w:rPr>
        <w:t>אחרת,</w:t>
      </w:r>
      <w:r w:rsidRPr="00F04704">
        <w:rPr>
          <w:rFonts w:hint="cs"/>
          <w:rtl/>
        </w:rPr>
        <w:t xml:space="preserve"> </w:t>
      </w:r>
      <w:r>
        <w:rPr>
          <w:rFonts w:hint="cs"/>
          <w:rtl/>
        </w:rPr>
        <w:t>ש</w:t>
      </w:r>
      <w:r w:rsidRPr="00F04704">
        <w:rPr>
          <w:rFonts w:hint="cs"/>
          <w:rtl/>
        </w:rPr>
        <w:t>באותן שנים ק</w:t>
      </w:r>
      <w:r>
        <w:rPr>
          <w:rFonts w:hint="cs"/>
          <w:rtl/>
        </w:rPr>
        <w:t>י</w:t>
      </w:r>
      <w:r w:rsidRPr="00F04704">
        <w:rPr>
          <w:rFonts w:hint="cs"/>
          <w:rtl/>
        </w:rPr>
        <w:t>בלה ממשרד הבינוי עבודות תכנון בסך של כ-</w:t>
      </w:r>
      <w:r>
        <w:rPr>
          <w:rFonts w:hint="cs"/>
          <w:rtl/>
        </w:rPr>
        <w:t>14</w:t>
      </w:r>
      <w:r w:rsidRPr="00F04704">
        <w:rPr>
          <w:rFonts w:hint="cs"/>
          <w:rtl/>
        </w:rPr>
        <w:t xml:space="preserve"> מיליון </w:t>
      </w:r>
      <w:r>
        <w:rPr>
          <w:rFonts w:hint="cs"/>
          <w:rtl/>
        </w:rPr>
        <w:t>ש"ח,</w:t>
      </w:r>
      <w:r w:rsidRPr="00F04704">
        <w:rPr>
          <w:rFonts w:hint="cs"/>
          <w:rtl/>
        </w:rPr>
        <w:t xml:space="preserve"> ק</w:t>
      </w:r>
      <w:r>
        <w:rPr>
          <w:rFonts w:hint="cs"/>
          <w:rtl/>
        </w:rPr>
        <w:t>י</w:t>
      </w:r>
      <w:r w:rsidRPr="00F04704">
        <w:rPr>
          <w:rFonts w:hint="cs"/>
          <w:rtl/>
        </w:rPr>
        <w:t>בלה מרמ"י עבודות תכנון בסך של כ-</w:t>
      </w:r>
      <w:r>
        <w:rPr>
          <w:rFonts w:hint="cs"/>
          <w:rtl/>
        </w:rPr>
        <w:t xml:space="preserve">34 </w:t>
      </w:r>
      <w:r w:rsidRPr="00F04704">
        <w:rPr>
          <w:rFonts w:hint="cs"/>
          <w:rtl/>
        </w:rPr>
        <w:t xml:space="preserve">מיליון </w:t>
      </w:r>
      <w:r>
        <w:rPr>
          <w:rFonts w:hint="cs"/>
          <w:rtl/>
        </w:rPr>
        <w:t>ש"ח</w:t>
      </w:r>
      <w:r w:rsidRPr="00F04704">
        <w:rPr>
          <w:rFonts w:hint="cs"/>
          <w:rtl/>
        </w:rPr>
        <w:t>.</w:t>
      </w:r>
    </w:p>
    <w:p w14:paraId="39B14270" w14:textId="77777777" w:rsidR="009A28D9" w:rsidRDefault="009A28D9" w:rsidP="00EA2A88">
      <w:pPr>
        <w:pStyle w:val="af1"/>
        <w:rPr>
          <w:rtl/>
        </w:rPr>
      </w:pPr>
      <w:r>
        <w:rPr>
          <w:rFonts w:hint="cs"/>
          <w:rtl/>
        </w:rPr>
        <w:t xml:space="preserve">לדעת משרד מבקר המדינה, ניהול מאגר משותף של מתכננים וחברות מתכננות לכל משרדי הממשלה, מאגר שמביא בחשבון את היקף ההתקשרויות של המתכנן ושל החברה עם כלל משרדי הממשלה, יוכל לממש באופן מיטבי את עקרון ההתקשרות בסבב מחזורי הוגן. </w:t>
      </w:r>
    </w:p>
    <w:p w14:paraId="449544AB" w14:textId="77777777" w:rsidR="009A28D9" w:rsidRDefault="009A28D9" w:rsidP="00EA2A88">
      <w:pPr>
        <w:pStyle w:val="100"/>
        <w:rPr>
          <w:rtl/>
        </w:rPr>
      </w:pPr>
      <w:r>
        <w:rPr>
          <w:rFonts w:hint="cs"/>
          <w:rtl/>
        </w:rPr>
        <w:t>משרד הבינוי מסר בתשובתו כי מקובלת עליו הערת הביקורת בהתייחס לשיתוף מידע בין גופי הממשלה בנוגע לאיכות השירות של המתכננים, אולם הוא מסתייג מהקמת מאגר מתכננים וחברות מתכננות אחד משותף. לדעת המשרד, מאגר משותף עלול לצמצם את אפשרויות הבחירה העומדות בפני הגופים, ואילו מאגרים שונים יגדילו את אפשרויות הבחירה שלהם ויגדילו את ההזדמנות למתכננים שונים, גדולים וקטנים, לתת שירותים למדינה.</w:t>
      </w:r>
    </w:p>
    <w:p w14:paraId="787951AA" w14:textId="77777777" w:rsidR="009A28D9" w:rsidRDefault="009A28D9" w:rsidP="00EA2A88">
      <w:pPr>
        <w:pStyle w:val="100"/>
        <w:rPr>
          <w:rtl/>
        </w:rPr>
      </w:pPr>
      <w:r>
        <w:rPr>
          <w:rFonts w:hint="cs"/>
          <w:rtl/>
        </w:rPr>
        <w:t xml:space="preserve">רמ"י מסרה בתשובתה כי ישנן תועלות היכולות לצמוח מקיומו של מאגר מידע משותף, אך אין בידיה האפשרות לרכז את כל המידע הנדרש, והציעה שמינהל התכנון יקים מאגר כזה. עוד ציינה כי היא מקיימת </w:t>
      </w:r>
      <w:r w:rsidRPr="00F374FB">
        <w:rPr>
          <w:rtl/>
        </w:rPr>
        <w:t xml:space="preserve">ישיבות מעקב עם </w:t>
      </w:r>
      <w:r>
        <w:rPr>
          <w:rFonts w:hint="cs"/>
          <w:rtl/>
        </w:rPr>
        <w:t xml:space="preserve">משרד הבינוי </w:t>
      </w:r>
      <w:r w:rsidRPr="00F374FB">
        <w:rPr>
          <w:rtl/>
        </w:rPr>
        <w:t xml:space="preserve">אחת לרבעון </w:t>
      </w:r>
      <w:r>
        <w:rPr>
          <w:rFonts w:hint="cs"/>
          <w:rtl/>
        </w:rPr>
        <w:t xml:space="preserve">שבהן הגופים מעדכנים זה את זה </w:t>
      </w:r>
      <w:r w:rsidRPr="00F374FB">
        <w:rPr>
          <w:rtl/>
        </w:rPr>
        <w:t>בנוגע לאיכות התכנון</w:t>
      </w:r>
      <w:r>
        <w:rPr>
          <w:rFonts w:hint="cs"/>
          <w:rtl/>
        </w:rPr>
        <w:t>, ה</w:t>
      </w:r>
      <w:r w:rsidRPr="00F374FB">
        <w:rPr>
          <w:rtl/>
        </w:rPr>
        <w:t>עומס אצל החברות ו</w:t>
      </w:r>
      <w:r>
        <w:rPr>
          <w:rFonts w:hint="cs"/>
          <w:rtl/>
        </w:rPr>
        <w:t>ה</w:t>
      </w:r>
      <w:r w:rsidRPr="00F374FB">
        <w:rPr>
          <w:rtl/>
        </w:rPr>
        <w:t>בקרה</w:t>
      </w:r>
      <w:r>
        <w:rPr>
          <w:rFonts w:hint="cs"/>
          <w:rtl/>
        </w:rPr>
        <w:t xml:space="preserve"> עליהן; כמו כן</w:t>
      </w:r>
      <w:r w:rsidRPr="00F374FB">
        <w:rPr>
          <w:rtl/>
        </w:rPr>
        <w:t xml:space="preserve"> </w:t>
      </w:r>
      <w:r>
        <w:rPr>
          <w:rFonts w:hint="cs"/>
          <w:rtl/>
        </w:rPr>
        <w:t xml:space="preserve">הם </w:t>
      </w:r>
      <w:r w:rsidRPr="00F374FB">
        <w:rPr>
          <w:rtl/>
        </w:rPr>
        <w:t xml:space="preserve">קיימו </w:t>
      </w:r>
      <w:r>
        <w:rPr>
          <w:rFonts w:hint="cs"/>
          <w:rtl/>
        </w:rPr>
        <w:t>כמה</w:t>
      </w:r>
      <w:r w:rsidRPr="00F374FB">
        <w:rPr>
          <w:rtl/>
        </w:rPr>
        <w:t xml:space="preserve"> פגישות בנושא</w:t>
      </w:r>
      <w:r>
        <w:rPr>
          <w:rtl/>
        </w:rPr>
        <w:t xml:space="preserve"> </w:t>
      </w:r>
      <w:r w:rsidRPr="00F374FB">
        <w:rPr>
          <w:rtl/>
        </w:rPr>
        <w:t>תעריפים וסדרי התקשרויות.</w:t>
      </w:r>
    </w:p>
    <w:p w14:paraId="41C284A2" w14:textId="77777777" w:rsidR="009A28D9" w:rsidRDefault="009A28D9" w:rsidP="00EA2A88">
      <w:pPr>
        <w:pStyle w:val="100"/>
        <w:rPr>
          <w:rtl/>
        </w:rPr>
      </w:pPr>
      <w:r>
        <w:rPr>
          <w:rFonts w:hint="cs"/>
          <w:rtl/>
        </w:rPr>
        <w:t>החשב הכללי מסר בתשובתו כי יש מורכבות וקשיים בהקמת מאגר מתכננים רוחבי לכלל המשרדים, בשל השונות הגדולה באופי הפעילות והשירותים הנדרשים במשרדים השונים. עוד הוסיף כי במסגרת הפיילוט להערכת קבלנים</w:t>
      </w:r>
      <w:r>
        <w:rPr>
          <w:rtl/>
        </w:rPr>
        <w:t xml:space="preserve"> ת</w:t>
      </w:r>
      <w:r>
        <w:rPr>
          <w:rFonts w:hint="cs"/>
          <w:rtl/>
        </w:rPr>
        <w:t>י</w:t>
      </w:r>
      <w:r>
        <w:rPr>
          <w:rtl/>
        </w:rPr>
        <w:t xml:space="preserve">עשה בחינה של מערכת טכנולוגית רוחבית </w:t>
      </w:r>
      <w:r w:rsidRPr="0025795D">
        <w:rPr>
          <w:rtl/>
        </w:rPr>
        <w:t>והחלת כללים רוחביים</w:t>
      </w:r>
      <w:r>
        <w:rPr>
          <w:rtl/>
        </w:rPr>
        <w:t xml:space="preserve"> עבור משרדי הממשלה ויחידות הסמך</w:t>
      </w:r>
      <w:r>
        <w:rPr>
          <w:rFonts w:hint="cs"/>
          <w:rtl/>
        </w:rPr>
        <w:t>.</w:t>
      </w:r>
    </w:p>
    <w:p w14:paraId="343B3458" w14:textId="77777777" w:rsidR="009A28D9" w:rsidRDefault="009A28D9" w:rsidP="00EA2A88">
      <w:pPr>
        <w:pStyle w:val="af1"/>
        <w:rPr>
          <w:rtl/>
        </w:rPr>
      </w:pPr>
      <w:r>
        <w:rPr>
          <w:rFonts w:hint="cs"/>
          <w:rtl/>
        </w:rPr>
        <w:t xml:space="preserve">משרד מבקר המדינה מציין כי לפחות בכל הנוגע למשרד הבינוי ולרמ"י, לא ניכרת שונות גדולה באופי פעילותם בתחום התכנון. ראוי על כן לבחון את האפשרות לקיים פיילוט של מאגר משותף או שיתוף מידע מוסדר ומובנה ביניהם כבר עתה. </w:t>
      </w:r>
      <w:r w:rsidRPr="0028227C">
        <w:rPr>
          <w:rFonts w:hint="cs"/>
          <w:rtl/>
        </w:rPr>
        <w:t xml:space="preserve">שיתוף </w:t>
      </w:r>
      <w:r>
        <w:rPr>
          <w:rFonts w:hint="cs"/>
          <w:rtl/>
        </w:rPr>
        <w:t>ה</w:t>
      </w:r>
      <w:r w:rsidRPr="0028227C">
        <w:rPr>
          <w:rFonts w:hint="cs"/>
          <w:rtl/>
        </w:rPr>
        <w:t xml:space="preserve">מידע </w:t>
      </w:r>
      <w:r>
        <w:rPr>
          <w:rFonts w:hint="cs"/>
          <w:rtl/>
        </w:rPr>
        <w:t xml:space="preserve">יכול </w:t>
      </w:r>
      <w:r w:rsidRPr="0028227C">
        <w:rPr>
          <w:rFonts w:hint="cs"/>
          <w:rtl/>
        </w:rPr>
        <w:t xml:space="preserve">שיתייחס להיבטים נוספים </w:t>
      </w:r>
      <w:r>
        <w:rPr>
          <w:rFonts w:hint="cs"/>
          <w:rtl/>
        </w:rPr>
        <w:t xml:space="preserve">בתחום זה, </w:t>
      </w:r>
      <w:r w:rsidRPr="0028227C">
        <w:rPr>
          <w:rFonts w:hint="cs"/>
          <w:rtl/>
        </w:rPr>
        <w:t>כגון סטנדרטים לאיכות התכנון, סדרי ההתקשרויות, מעקב ובקרה</w:t>
      </w:r>
      <w:r>
        <w:rPr>
          <w:rFonts w:hint="cs"/>
          <w:rtl/>
        </w:rPr>
        <w:t xml:space="preserve"> והערכת ספקים</w:t>
      </w:r>
      <w:r w:rsidRPr="0028227C">
        <w:rPr>
          <w:rFonts w:hint="cs"/>
          <w:rtl/>
        </w:rPr>
        <w:t xml:space="preserve"> -</w:t>
      </w:r>
      <w:r>
        <w:rPr>
          <w:rFonts w:hint="cs"/>
          <w:rtl/>
        </w:rPr>
        <w:t xml:space="preserve"> והתהליך יוכל להביא ל</w:t>
      </w:r>
      <w:r w:rsidRPr="00806767">
        <w:rPr>
          <w:rFonts w:hint="cs"/>
          <w:rtl/>
        </w:rPr>
        <w:t>ייעול</w:t>
      </w:r>
      <w:r>
        <w:rPr>
          <w:rFonts w:hint="cs"/>
          <w:rtl/>
        </w:rPr>
        <w:t>ה</w:t>
      </w:r>
      <w:r w:rsidRPr="00806767">
        <w:rPr>
          <w:rFonts w:hint="cs"/>
          <w:rtl/>
        </w:rPr>
        <w:t xml:space="preserve"> ו</w:t>
      </w:r>
      <w:r>
        <w:rPr>
          <w:rFonts w:hint="cs"/>
          <w:rtl/>
        </w:rPr>
        <w:t>ל</w:t>
      </w:r>
      <w:r w:rsidRPr="00806767">
        <w:rPr>
          <w:rFonts w:hint="cs"/>
          <w:rtl/>
        </w:rPr>
        <w:t>שיפור</w:t>
      </w:r>
      <w:r>
        <w:rPr>
          <w:rFonts w:hint="cs"/>
          <w:rtl/>
        </w:rPr>
        <w:t>ה של</w:t>
      </w:r>
      <w:r w:rsidRPr="00806767">
        <w:rPr>
          <w:rFonts w:hint="cs"/>
          <w:rtl/>
        </w:rPr>
        <w:t xml:space="preserve"> </w:t>
      </w:r>
      <w:r>
        <w:rPr>
          <w:rFonts w:hint="cs"/>
          <w:rtl/>
        </w:rPr>
        <w:t>ה</w:t>
      </w:r>
      <w:r w:rsidRPr="00806767">
        <w:rPr>
          <w:rFonts w:hint="cs"/>
          <w:rtl/>
        </w:rPr>
        <w:t>עבוד</w:t>
      </w:r>
      <w:r>
        <w:rPr>
          <w:rFonts w:hint="cs"/>
          <w:rtl/>
        </w:rPr>
        <w:t>ה</w:t>
      </w:r>
      <w:r w:rsidRPr="00806767">
        <w:rPr>
          <w:rFonts w:hint="cs"/>
          <w:rtl/>
        </w:rPr>
        <w:t xml:space="preserve"> ולבחירת דרך הפעולה המיטבית</w:t>
      </w:r>
      <w:r>
        <w:rPr>
          <w:rFonts w:hint="cs"/>
          <w:rtl/>
        </w:rPr>
        <w:t xml:space="preserve"> בכל סוגיה</w:t>
      </w:r>
      <w:r w:rsidRPr="00806767">
        <w:rPr>
          <w:rFonts w:hint="cs"/>
          <w:rtl/>
        </w:rPr>
        <w:t>.</w:t>
      </w:r>
    </w:p>
    <w:p w14:paraId="5E53E065" w14:textId="77777777" w:rsidR="009A28D9" w:rsidRDefault="009A28D9" w:rsidP="009A28D9">
      <w:pPr>
        <w:spacing w:line="269" w:lineRule="auto"/>
        <w:rPr>
          <w:rtl/>
        </w:rPr>
      </w:pPr>
    </w:p>
    <w:p w14:paraId="293CDE3C" w14:textId="77777777" w:rsidR="00EA2A88" w:rsidRDefault="00EA2A88">
      <w:pPr>
        <w:bidi w:val="0"/>
        <w:spacing w:after="200" w:line="276" w:lineRule="auto"/>
        <w:rPr>
          <w:rStyle w:val="Heading3Char"/>
          <w:rFonts w:ascii="Tahoma" w:hAnsi="Tahoma" w:cs="Tahoma"/>
          <w:bCs w:val="0"/>
          <w:color w:val="009692"/>
          <w:sz w:val="32"/>
          <w:szCs w:val="32"/>
          <w:u w:val="none"/>
          <w:rtl/>
        </w:rPr>
      </w:pPr>
      <w:r>
        <w:rPr>
          <w:rStyle w:val="Heading3Char"/>
          <w:bCs w:val="0"/>
          <w:szCs w:val="32"/>
          <w:u w:val="none"/>
          <w:rtl/>
        </w:rPr>
        <w:br w:type="page"/>
      </w:r>
    </w:p>
    <w:p w14:paraId="52D46705" w14:textId="76C61C69" w:rsidR="009A28D9" w:rsidRPr="00EA2A88" w:rsidRDefault="009A28D9" w:rsidP="00EA2A88">
      <w:pPr>
        <w:pStyle w:val="316"/>
        <w:rPr>
          <w:rtl/>
        </w:rPr>
      </w:pPr>
      <w:r w:rsidRPr="00EA2A88">
        <w:rPr>
          <w:rStyle w:val="Heading3Char"/>
          <w:rFonts w:hint="cs"/>
          <w:bCs w:val="0"/>
          <w:szCs w:val="32"/>
          <w:u w:val="none"/>
          <w:rtl/>
        </w:rPr>
        <w:lastRenderedPageBreak/>
        <w:t>סיכום</w:t>
      </w:r>
      <w:r w:rsidRPr="00EA2A88">
        <w:rPr>
          <w:rFonts w:hint="cs"/>
          <w:rtl/>
        </w:rPr>
        <w:t xml:space="preserve"> </w:t>
      </w:r>
    </w:p>
    <w:p w14:paraId="26DB845A" w14:textId="77777777" w:rsidR="009A28D9" w:rsidRPr="001205FC" w:rsidRDefault="009A28D9" w:rsidP="00D27FE2">
      <w:pPr>
        <w:pStyle w:val="af1"/>
        <w:rPr>
          <w:rtl/>
        </w:rPr>
      </w:pPr>
      <w:r>
        <w:rPr>
          <w:rFonts w:hint="cs"/>
          <w:rtl/>
        </w:rPr>
        <w:t xml:space="preserve">תכנון קרקעות למטרת מגורים הוא שלב בסיסי וחשוב בשרשרת הייצור של פתרונות דיור לכלל האוכלוסייה. </w:t>
      </w:r>
      <w:r w:rsidRPr="001205FC">
        <w:rPr>
          <w:rFonts w:hint="cs"/>
          <w:rtl/>
        </w:rPr>
        <w:t>ר</w:t>
      </w:r>
      <w:r>
        <w:rPr>
          <w:rFonts w:hint="cs"/>
          <w:rtl/>
        </w:rPr>
        <w:t>מ"י</w:t>
      </w:r>
      <w:r w:rsidRPr="001205FC">
        <w:rPr>
          <w:rFonts w:hint="cs"/>
          <w:rtl/>
        </w:rPr>
        <w:t xml:space="preserve"> ומשרד הבינוי</w:t>
      </w:r>
      <w:r>
        <w:rPr>
          <w:rFonts w:hint="cs"/>
          <w:rtl/>
        </w:rPr>
        <w:t xml:space="preserve"> הם הגופים הממשלתיים העיקריים שיוזמים את התכנון, והם </w:t>
      </w:r>
      <w:r w:rsidRPr="001205FC">
        <w:rPr>
          <w:rFonts w:hint="cs"/>
          <w:rtl/>
        </w:rPr>
        <w:t xml:space="preserve">מבצעים </w:t>
      </w:r>
      <w:r>
        <w:rPr>
          <w:rFonts w:hint="cs"/>
          <w:rtl/>
        </w:rPr>
        <w:t xml:space="preserve">אותו </w:t>
      </w:r>
      <w:r w:rsidRPr="001205FC">
        <w:rPr>
          <w:rFonts w:hint="cs"/>
          <w:rtl/>
        </w:rPr>
        <w:t>ב</w:t>
      </w:r>
      <w:r>
        <w:rPr>
          <w:rFonts w:hint="cs"/>
          <w:rtl/>
        </w:rPr>
        <w:t xml:space="preserve">דרך של </w:t>
      </w:r>
      <w:r w:rsidRPr="001205FC">
        <w:rPr>
          <w:rtl/>
        </w:rPr>
        <w:t>מסירת עבודות ל</w:t>
      </w:r>
      <w:r w:rsidRPr="001205FC">
        <w:rPr>
          <w:rFonts w:hint="cs"/>
          <w:rtl/>
        </w:rPr>
        <w:t xml:space="preserve">חברות </w:t>
      </w:r>
      <w:r w:rsidRPr="00700E0B">
        <w:rPr>
          <w:rFonts w:hint="cs"/>
          <w:rtl/>
        </w:rPr>
        <w:t>מתכננות ול</w:t>
      </w:r>
      <w:r w:rsidRPr="00700E0B">
        <w:rPr>
          <w:rtl/>
        </w:rPr>
        <w:t>מתכננים</w:t>
      </w:r>
      <w:r w:rsidRPr="00700E0B">
        <w:rPr>
          <w:rFonts w:hint="cs"/>
          <w:rtl/>
        </w:rPr>
        <w:t xml:space="preserve"> פרטיים. חשיבות התכנון ועובדת היותו מבוזר הן בין הגופים הממשלתיים והן בין הגופים הפרטיים שלהם נמסרו העבודות, מחייבות מעקב ובקרה שוטפים והדוקים אחר ביצוע העבודות,</w:t>
      </w:r>
      <w:r>
        <w:rPr>
          <w:rFonts w:hint="cs"/>
          <w:rtl/>
        </w:rPr>
        <w:t xml:space="preserve"> לצד ראייה כוללת.</w:t>
      </w:r>
    </w:p>
    <w:p w14:paraId="65E45963" w14:textId="77777777" w:rsidR="009A28D9" w:rsidRPr="00D3677E" w:rsidRDefault="009A28D9" w:rsidP="00D27FE2">
      <w:pPr>
        <w:pStyle w:val="af1"/>
        <w:rPr>
          <w:rtl/>
        </w:rPr>
      </w:pPr>
      <w:r w:rsidRPr="00D3677E">
        <w:rPr>
          <w:rFonts w:hint="cs"/>
          <w:rtl/>
        </w:rPr>
        <w:t>ממצאי דוח זה העלו</w:t>
      </w:r>
      <w:r>
        <w:rPr>
          <w:rFonts w:hint="cs"/>
          <w:rtl/>
        </w:rPr>
        <w:t xml:space="preserve"> </w:t>
      </w:r>
      <w:r w:rsidRPr="00D3677E">
        <w:rPr>
          <w:rFonts w:hint="cs"/>
          <w:rtl/>
        </w:rPr>
        <w:t xml:space="preserve">כי רמ"י ומשרד הבינוי </w:t>
      </w:r>
      <w:r>
        <w:rPr>
          <w:rFonts w:hint="cs"/>
          <w:rtl/>
        </w:rPr>
        <w:t xml:space="preserve">עמדו ביעדי התכנון שנקבעו בהחלטות הממשלה בשנים 2016 </w:t>
      </w:r>
      <w:r>
        <w:rPr>
          <w:rtl/>
        </w:rPr>
        <w:t>-</w:t>
      </w:r>
      <w:r>
        <w:rPr>
          <w:rFonts w:hint="cs"/>
          <w:rtl/>
        </w:rPr>
        <w:t xml:space="preserve"> 2018, אך המעקב והבקרה שלהם על ביצוע עבודות התכנון טעונים שיפור, ונדרש מעקב הדוק ושוטף נוכח אי-עמידה בלוחות זמנים; רמ"י ומשרד הבינוי </w:t>
      </w:r>
      <w:r w:rsidRPr="00C95887">
        <w:rPr>
          <w:rFonts w:ascii="Arial" w:hAnsi="Arial"/>
          <w:color w:val="000000"/>
          <w:sz w:val="24"/>
          <w:rtl/>
        </w:rPr>
        <w:t xml:space="preserve">מבצעים הערכת חברות מתכננות </w:t>
      </w:r>
      <w:r>
        <w:rPr>
          <w:rFonts w:ascii="Arial" w:hAnsi="Arial" w:hint="cs"/>
          <w:color w:val="000000"/>
          <w:sz w:val="24"/>
          <w:rtl/>
        </w:rPr>
        <w:t xml:space="preserve">לקראת מכרזים ולא </w:t>
      </w:r>
      <w:r w:rsidRPr="00046F6D">
        <w:rPr>
          <w:rFonts w:ascii="Arial" w:hAnsi="Arial"/>
          <w:color w:val="000000"/>
          <w:sz w:val="24"/>
          <w:rtl/>
        </w:rPr>
        <w:t>ב</w:t>
      </w:r>
      <w:r w:rsidRPr="00046F6D">
        <w:rPr>
          <w:rFonts w:hint="cs"/>
          <w:rtl/>
        </w:rPr>
        <w:t>אופן שיטתי רצוף</w:t>
      </w:r>
      <w:r>
        <w:rPr>
          <w:rFonts w:ascii="Arial" w:hAnsi="Arial" w:hint="cs"/>
          <w:color w:val="000000"/>
          <w:sz w:val="24"/>
          <w:rtl/>
        </w:rPr>
        <w:t xml:space="preserve">; </w:t>
      </w:r>
      <w:r w:rsidRPr="00D3677E">
        <w:rPr>
          <w:rtl/>
        </w:rPr>
        <w:t>רמ"י לא קבעה דרישות, סטנדרטים או אמות מידה לאיכות התכנון ולא את הכלים להערכתו</w:t>
      </w:r>
      <w:r w:rsidRPr="00D3677E">
        <w:rPr>
          <w:rFonts w:hint="cs"/>
          <w:rtl/>
        </w:rPr>
        <w:t>;</w:t>
      </w:r>
      <w:r w:rsidRPr="00D3677E">
        <w:rPr>
          <w:rtl/>
        </w:rPr>
        <w:t xml:space="preserve"> </w:t>
      </w:r>
      <w:r>
        <w:rPr>
          <w:rFonts w:ascii="Arial" w:hAnsi="Arial" w:hint="cs"/>
          <w:color w:val="000000"/>
          <w:sz w:val="24"/>
          <w:rtl/>
        </w:rPr>
        <w:t xml:space="preserve">ניכר חסרונה של ראייה כוללת, בהיעדר </w:t>
      </w:r>
      <w:r w:rsidRPr="00F04704">
        <w:rPr>
          <w:rFonts w:ascii="Arial" w:hAnsi="Arial" w:hint="cs"/>
          <w:color w:val="000000"/>
          <w:sz w:val="24"/>
          <w:rtl/>
        </w:rPr>
        <w:t xml:space="preserve">מאגר </w:t>
      </w:r>
      <w:r>
        <w:rPr>
          <w:rFonts w:ascii="Arial" w:hAnsi="Arial" w:hint="cs"/>
          <w:color w:val="000000"/>
          <w:sz w:val="24"/>
          <w:rtl/>
        </w:rPr>
        <w:t xml:space="preserve">מידע משותף של </w:t>
      </w:r>
      <w:r w:rsidRPr="00F04704">
        <w:rPr>
          <w:rFonts w:ascii="Arial" w:hAnsi="Arial" w:hint="cs"/>
          <w:color w:val="000000"/>
          <w:sz w:val="24"/>
          <w:rtl/>
        </w:rPr>
        <w:t>משרדי הממשלה</w:t>
      </w:r>
      <w:r>
        <w:rPr>
          <w:rFonts w:ascii="Arial" w:hAnsi="Arial" w:hint="cs"/>
          <w:color w:val="000000"/>
          <w:sz w:val="24"/>
          <w:rtl/>
        </w:rPr>
        <w:t xml:space="preserve"> בתחום התכנון או כללים </w:t>
      </w:r>
      <w:r w:rsidRPr="00303849">
        <w:rPr>
          <w:rFonts w:asciiTheme="minorBidi" w:hAnsiTheme="minorBidi" w:hint="cs"/>
          <w:noProof/>
          <w:sz w:val="24"/>
          <w:rtl/>
        </w:rPr>
        <w:t xml:space="preserve">בנוגע </w:t>
      </w:r>
      <w:r>
        <w:rPr>
          <w:rFonts w:asciiTheme="minorBidi" w:hAnsiTheme="minorBidi" w:hint="cs"/>
          <w:noProof/>
          <w:sz w:val="24"/>
          <w:rtl/>
        </w:rPr>
        <w:t xml:space="preserve">לשיתוף מידע </w:t>
      </w:r>
      <w:r>
        <w:rPr>
          <w:rFonts w:ascii="Arial" w:hAnsi="Arial" w:hint="cs"/>
          <w:color w:val="000000"/>
          <w:sz w:val="24"/>
          <w:rtl/>
        </w:rPr>
        <w:t>ביניהם בתחום התכנון, ובאי-הפקת לקחים משותפת לרמ"י ומשרד הבינוי במקרים של תכנון מחדש; וטרם יושמה הסדרה של מדיניות חלוקת ההרשאות לתכנון</w:t>
      </w:r>
      <w:r>
        <w:rPr>
          <w:rFonts w:hint="cs"/>
          <w:rtl/>
        </w:rPr>
        <w:t xml:space="preserve"> בין הגופים. </w:t>
      </w:r>
    </w:p>
    <w:p w14:paraId="0FBFA727" w14:textId="77777777" w:rsidR="009A28D9" w:rsidRDefault="009A28D9" w:rsidP="00D27FE2">
      <w:pPr>
        <w:pStyle w:val="af1"/>
        <w:rPr>
          <w:rtl/>
        </w:rPr>
      </w:pPr>
      <w:r w:rsidRPr="00D3677E">
        <w:rPr>
          <w:rFonts w:hint="cs"/>
          <w:rtl/>
        </w:rPr>
        <w:t>ל</w:t>
      </w:r>
      <w:r>
        <w:rPr>
          <w:rFonts w:hint="cs"/>
          <w:rtl/>
        </w:rPr>
        <w:t>ליקויים</w:t>
      </w:r>
      <w:r w:rsidRPr="00D3677E">
        <w:rPr>
          <w:rFonts w:hint="cs"/>
          <w:rtl/>
        </w:rPr>
        <w:t xml:space="preserve"> אלה </w:t>
      </w:r>
      <w:r>
        <w:rPr>
          <w:rFonts w:hint="cs"/>
          <w:rtl/>
        </w:rPr>
        <w:t xml:space="preserve">עלולות להיות </w:t>
      </w:r>
      <w:r w:rsidRPr="00D3677E">
        <w:rPr>
          <w:rFonts w:hint="cs"/>
          <w:rtl/>
        </w:rPr>
        <w:t xml:space="preserve">השלכות </w:t>
      </w:r>
      <w:r w:rsidRPr="00D3677E">
        <w:rPr>
          <w:rtl/>
        </w:rPr>
        <w:t xml:space="preserve">על </w:t>
      </w:r>
      <w:r w:rsidRPr="00700E0B">
        <w:rPr>
          <w:rFonts w:hint="cs"/>
          <w:rtl/>
        </w:rPr>
        <w:t>איכות מרחב המחיה המתוכנן</w:t>
      </w:r>
      <w:r w:rsidRPr="00D3677E">
        <w:rPr>
          <w:rFonts w:hint="cs"/>
          <w:rtl/>
        </w:rPr>
        <w:t xml:space="preserve"> </w:t>
      </w:r>
      <w:r>
        <w:rPr>
          <w:rFonts w:hint="cs"/>
          <w:rtl/>
        </w:rPr>
        <w:t xml:space="preserve">ועל </w:t>
      </w:r>
      <w:r w:rsidRPr="00D3677E">
        <w:rPr>
          <w:rFonts w:hint="cs"/>
          <w:rtl/>
        </w:rPr>
        <w:t>ה</w:t>
      </w:r>
      <w:r w:rsidRPr="00D3677E">
        <w:rPr>
          <w:rtl/>
        </w:rPr>
        <w:t xml:space="preserve">מלאי </w:t>
      </w:r>
      <w:r w:rsidRPr="00D3677E">
        <w:rPr>
          <w:rFonts w:hint="cs"/>
          <w:rtl/>
        </w:rPr>
        <w:t>ה</w:t>
      </w:r>
      <w:r w:rsidRPr="00D3677E">
        <w:rPr>
          <w:rtl/>
        </w:rPr>
        <w:t xml:space="preserve">תכנוני </w:t>
      </w:r>
      <w:r w:rsidRPr="00D3677E">
        <w:rPr>
          <w:rFonts w:hint="cs"/>
          <w:rtl/>
        </w:rPr>
        <w:t>ה</w:t>
      </w:r>
      <w:r w:rsidRPr="00D3677E">
        <w:rPr>
          <w:rtl/>
        </w:rPr>
        <w:t xml:space="preserve">זמין </w:t>
      </w:r>
      <w:r w:rsidRPr="00D3677E">
        <w:rPr>
          <w:rFonts w:hint="cs"/>
          <w:rtl/>
        </w:rPr>
        <w:t>של יח</w:t>
      </w:r>
      <w:r>
        <w:rPr>
          <w:rFonts w:hint="cs"/>
          <w:rtl/>
        </w:rPr>
        <w:t>"</w:t>
      </w:r>
      <w:r w:rsidRPr="00D3677E">
        <w:rPr>
          <w:rFonts w:hint="cs"/>
          <w:rtl/>
        </w:rPr>
        <w:t>ד</w:t>
      </w:r>
      <w:r>
        <w:rPr>
          <w:rFonts w:hint="cs"/>
          <w:rtl/>
        </w:rPr>
        <w:t>,</w:t>
      </w:r>
      <w:r w:rsidRPr="00D3677E">
        <w:rPr>
          <w:rtl/>
        </w:rPr>
        <w:t xml:space="preserve"> ומכאן </w:t>
      </w:r>
      <w:r>
        <w:rPr>
          <w:rFonts w:hint="cs"/>
          <w:rtl/>
        </w:rPr>
        <w:t xml:space="preserve">בסופו של דבר </w:t>
      </w:r>
      <w:r w:rsidRPr="00D3677E">
        <w:rPr>
          <w:rtl/>
        </w:rPr>
        <w:t>גם על מחירי הדיור</w:t>
      </w:r>
      <w:r>
        <w:rPr>
          <w:rFonts w:hint="cs"/>
          <w:rtl/>
        </w:rPr>
        <w:t xml:space="preserve"> ועל היכולת של המדינה לספק</w:t>
      </w:r>
      <w:r w:rsidRPr="00D3677E">
        <w:rPr>
          <w:rFonts w:hint="cs"/>
          <w:rtl/>
        </w:rPr>
        <w:t xml:space="preserve"> פתרונות </w:t>
      </w:r>
      <w:r>
        <w:rPr>
          <w:rFonts w:hint="cs"/>
          <w:rtl/>
        </w:rPr>
        <w:t>ל</w:t>
      </w:r>
      <w:r w:rsidRPr="00D3677E">
        <w:rPr>
          <w:rFonts w:hint="cs"/>
          <w:rtl/>
        </w:rPr>
        <w:t xml:space="preserve">דיור </w:t>
      </w:r>
      <w:r>
        <w:rPr>
          <w:rFonts w:hint="cs"/>
          <w:rtl/>
        </w:rPr>
        <w:t xml:space="preserve">נאות </w:t>
      </w:r>
      <w:r w:rsidRPr="00D3677E">
        <w:rPr>
          <w:rFonts w:hint="cs"/>
          <w:rtl/>
        </w:rPr>
        <w:t>לכלל האוכלוסייה.</w:t>
      </w:r>
    </w:p>
    <w:p w14:paraId="775C5EFE" w14:textId="2CB34B16" w:rsidR="00D27FE2" w:rsidRDefault="009A28D9" w:rsidP="00D27FE2">
      <w:pPr>
        <w:pStyle w:val="af1"/>
        <w:rPr>
          <w:rtl/>
        </w:rPr>
      </w:pPr>
      <w:r w:rsidRPr="007627E4">
        <w:rPr>
          <w:rFonts w:hint="cs"/>
          <w:rtl/>
        </w:rPr>
        <w:t>על</w:t>
      </w:r>
      <w:r w:rsidRPr="007627E4">
        <w:rPr>
          <w:rtl/>
        </w:rPr>
        <w:t xml:space="preserve"> </w:t>
      </w:r>
      <w:r w:rsidRPr="007627E4">
        <w:rPr>
          <w:rFonts w:hint="cs"/>
          <w:rtl/>
        </w:rPr>
        <w:t>רמ"י</w:t>
      </w:r>
      <w:r w:rsidRPr="007627E4">
        <w:rPr>
          <w:rtl/>
        </w:rPr>
        <w:t xml:space="preserve"> </w:t>
      </w:r>
      <w:r w:rsidRPr="007627E4">
        <w:rPr>
          <w:rFonts w:hint="cs"/>
          <w:rtl/>
        </w:rPr>
        <w:t>ומשרד</w:t>
      </w:r>
      <w:r w:rsidRPr="007627E4">
        <w:rPr>
          <w:rtl/>
        </w:rPr>
        <w:t xml:space="preserve"> </w:t>
      </w:r>
      <w:r w:rsidRPr="007627E4">
        <w:rPr>
          <w:rFonts w:hint="cs"/>
          <w:rtl/>
        </w:rPr>
        <w:t>הבינוי</w:t>
      </w:r>
      <w:r w:rsidRPr="007627E4">
        <w:rPr>
          <w:rtl/>
        </w:rPr>
        <w:t xml:space="preserve"> </w:t>
      </w:r>
      <w:r w:rsidRPr="007627E4">
        <w:rPr>
          <w:rFonts w:hint="cs"/>
          <w:rtl/>
        </w:rPr>
        <w:t>לפעול</w:t>
      </w:r>
      <w:r w:rsidRPr="007627E4">
        <w:rPr>
          <w:rtl/>
        </w:rPr>
        <w:t xml:space="preserve"> </w:t>
      </w:r>
      <w:r w:rsidRPr="007627E4">
        <w:rPr>
          <w:rFonts w:hint="cs"/>
          <w:rtl/>
        </w:rPr>
        <w:t>לתיקון הליקויים שפורטו בדוח זה בראייה משותפת וכוללת</w:t>
      </w:r>
      <w:r>
        <w:rPr>
          <w:rFonts w:hint="cs"/>
          <w:rtl/>
        </w:rPr>
        <w:t>. לצד זאת</w:t>
      </w:r>
      <w:r w:rsidRPr="00324018">
        <w:rPr>
          <w:rFonts w:hint="cs"/>
          <w:rtl/>
        </w:rPr>
        <w:t xml:space="preserve"> </w:t>
      </w:r>
      <w:r w:rsidRPr="007627E4">
        <w:rPr>
          <w:rFonts w:hint="cs"/>
          <w:rtl/>
        </w:rPr>
        <w:t xml:space="preserve">ראוי גם שהממשלה תשקול לבחון </w:t>
      </w:r>
      <w:r w:rsidRPr="008C7116">
        <w:rPr>
          <w:rtl/>
        </w:rPr>
        <w:t>שוב את</w:t>
      </w:r>
      <w:r w:rsidRPr="008C7116">
        <w:rPr>
          <w:rFonts w:hint="cs"/>
          <w:rtl/>
        </w:rPr>
        <w:t xml:space="preserve"> מדיניות התכנון ויישומה</w:t>
      </w:r>
      <w:r w:rsidRPr="008C7116">
        <w:rPr>
          <w:rtl/>
        </w:rPr>
        <w:t>, כדי להשיג את מרב התועלת לציבור</w:t>
      </w:r>
      <w:r>
        <w:rPr>
          <w:rFonts w:hint="cs"/>
          <w:rtl/>
        </w:rPr>
        <w:t>,</w:t>
      </w:r>
      <w:r w:rsidRPr="008C7116">
        <w:rPr>
          <w:rFonts w:hint="cs"/>
          <w:rtl/>
        </w:rPr>
        <w:t xml:space="preserve"> </w:t>
      </w:r>
      <w:r>
        <w:rPr>
          <w:rFonts w:hint="cs"/>
          <w:rtl/>
        </w:rPr>
        <w:t>לאור צורכי שוק הדיור ו</w:t>
      </w:r>
      <w:r w:rsidRPr="008C7116">
        <w:rPr>
          <w:rFonts w:hint="cs"/>
          <w:rtl/>
        </w:rPr>
        <w:t>בשים לב לכלל פעולות רמ"י</w:t>
      </w:r>
      <w:r>
        <w:rPr>
          <w:rFonts w:hint="cs"/>
          <w:rtl/>
        </w:rPr>
        <w:t xml:space="preserve">. </w:t>
      </w:r>
    </w:p>
    <w:sectPr w:rsidR="00D27FE2" w:rsidSect="00CA4D91">
      <w:footerReference w:type="default" r:id="rId36"/>
      <w:headerReference w:type="first" r:id="rId37"/>
      <w:footerReference w:type="first" r:id="rId38"/>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82FF7" w14:textId="77777777" w:rsidR="00B12B1A" w:rsidRDefault="00B12B1A">
      <w:pPr>
        <w:spacing w:line="240" w:lineRule="auto"/>
      </w:pPr>
      <w:r>
        <w:separator/>
      </w:r>
    </w:p>
    <w:p w14:paraId="7FDB7CBE" w14:textId="77777777" w:rsidR="00B12B1A" w:rsidRDefault="00B12B1A"/>
  </w:endnote>
  <w:endnote w:type="continuationSeparator" w:id="0">
    <w:p w14:paraId="6956BE62" w14:textId="77777777" w:rsidR="00B12B1A" w:rsidRDefault="00B12B1A">
      <w:pPr>
        <w:spacing w:line="240" w:lineRule="auto"/>
      </w:pPr>
      <w:r>
        <w:continuationSeparator/>
      </w:r>
    </w:p>
    <w:p w14:paraId="2BC251DF" w14:textId="77777777" w:rsidR="00B12B1A" w:rsidRDefault="00B12B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A00002EF" w:usb1="400000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isha">
    <w:panose1 w:val="020B0502040204020203"/>
    <w:charset w:val="00"/>
    <w:family w:val="swiss"/>
    <w:pitch w:val="variable"/>
    <w:sig w:usb0="80000807" w:usb1="40000042" w:usb2="00000000" w:usb3="00000000" w:csb0="0000002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659D6744" w:rsidR="00B12B1A" w:rsidRPr="00DE6C5F" w:rsidRDefault="00E6567A" w:rsidP="00DE6C5F">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עבודות תכנון קרקע ברשות מקרקעי ישראל ובמשרד הבינוי והשיכון</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40256E29" w:rsidR="00B12B1A" w:rsidRPr="004A6FE6" w:rsidRDefault="00F0589F" w:rsidP="00F0589F">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 xml:space="preserve">עבודות </w:t>
    </w:r>
    <w:r>
      <w:rPr>
        <w:rFonts w:ascii="Tahoma" w:hAnsi="Tahoma" w:cs="Tahoma" w:hint="cs"/>
        <w:color w:val="002060"/>
        <w:sz w:val="18"/>
        <w:szCs w:val="18"/>
        <w:rtl/>
      </w:rPr>
      <w:t>תכנון קרקע ברשות מקרקעי ישראל ובמשרד הבינוי והשיכון</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B12B1A" w:rsidRPr="00D15500" w:rsidRDefault="00B12B1A" w:rsidP="00D15500">
    <w:pPr>
      <w:pStyle w:val="Footer"/>
      <w:spacing w:after="120" w:line="312" w:lineRule="auto"/>
      <w:jc w:val="right"/>
      <w:rPr>
        <w:rFonts w:ascii="Tahoma" w:hAnsi="Tahoma" w:cs="Tahoma"/>
        <w:color w:val="002060"/>
        <w:sz w:val="18"/>
        <w:szCs w:val="18"/>
      </w:rPr>
    </w:pPr>
    <w:bookmarkStart w:id="0" w:name="tempMark"/>
    <w:bookmarkEnd w:id="0"/>
    <w:r w:rsidRPr="00D15500">
      <w:rPr>
        <w:rFonts w:ascii="Tahoma" w:hAnsi="Tahoma" w:cs="Tahoma"/>
        <w:color w:val="002060"/>
        <w:sz w:val="18"/>
        <w:szCs w:val="18"/>
        <w:rtl/>
      </w:rPr>
      <w:t>ה</w:t>
    </w:r>
    <w:r>
      <w:rPr>
        <w:rFonts w:ascii="Tahoma" w:hAnsi="Tahoma" w:cs="Tahoma"/>
        <w:color w:val="002060"/>
        <w:sz w:val="18"/>
        <w:szCs w:val="18"/>
        <w:rtl/>
      </w:rPr>
      <w:t xml:space="preserve">היערכות </w:t>
    </w:r>
    <w:r>
      <w:rPr>
        <w:rFonts w:ascii="Tahoma" w:hAnsi="Tahoma" w:cs="Tahoma"/>
        <w:color w:val="002060"/>
        <w:sz w:val="18"/>
        <w:szCs w:val="18"/>
        <w:rtl/>
      </w:rPr>
      <w:t>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1F1EC" w14:textId="77777777" w:rsidR="00B12B1A" w:rsidRDefault="00B12B1A" w:rsidP="00C23CC9">
      <w:pPr>
        <w:spacing w:line="240" w:lineRule="auto"/>
      </w:pPr>
      <w:r>
        <w:separator/>
      </w:r>
    </w:p>
  </w:footnote>
  <w:footnote w:type="continuationSeparator" w:id="0">
    <w:p w14:paraId="10B5AFA0" w14:textId="77777777" w:rsidR="00B12B1A" w:rsidRDefault="00B12B1A" w:rsidP="00C23CC9">
      <w:pPr>
        <w:spacing w:line="240" w:lineRule="auto"/>
      </w:pPr>
      <w:r>
        <w:continuationSeparator/>
      </w:r>
    </w:p>
    <w:p w14:paraId="095B6F42" w14:textId="77777777" w:rsidR="00B12B1A" w:rsidRDefault="00B12B1A"/>
  </w:footnote>
  <w:footnote w:id="1">
    <w:p w14:paraId="28E400AF" w14:textId="77777777" w:rsidR="00B12B1A" w:rsidRPr="00B12B1A" w:rsidRDefault="00B12B1A" w:rsidP="00B12B1A">
      <w:pPr>
        <w:pStyle w:val="a5"/>
        <w:rPr>
          <w:rStyle w:val="FootnoteReference"/>
          <w:vertAlign w:val="baseline"/>
          <w:rtl/>
        </w:rPr>
      </w:pPr>
      <w:r w:rsidRPr="00B12B1A">
        <w:rPr>
          <w:rStyle w:val="FootnoteReference"/>
          <w:vertAlign w:val="baseline"/>
        </w:rPr>
        <w:footnoteRef/>
      </w:r>
      <w:r w:rsidRPr="00B12B1A">
        <w:rPr>
          <w:rStyle w:val="FootnoteReference"/>
          <w:vertAlign w:val="baseline"/>
          <w:rtl/>
        </w:rPr>
        <w:t xml:space="preserve"> </w:t>
      </w:r>
      <w:r w:rsidRPr="00B12B1A">
        <w:rPr>
          <w:rStyle w:val="FootnoteReference"/>
          <w:vertAlign w:val="baseline"/>
          <w:rtl/>
        </w:rPr>
        <w:tab/>
        <w:t>מקרקעין השייכים למדינה, לרשות הפיתוח ולקרן הקיימת לישראל</w:t>
      </w:r>
      <w:r w:rsidRPr="00B12B1A">
        <w:rPr>
          <w:rStyle w:val="FootnoteReference"/>
          <w:rFonts w:hint="cs"/>
          <w:vertAlign w:val="baseline"/>
          <w:rtl/>
        </w:rPr>
        <w:t>.</w:t>
      </w:r>
    </w:p>
  </w:footnote>
  <w:footnote w:id="2">
    <w:p w14:paraId="4DFAF1EB" w14:textId="77777777" w:rsidR="00B12B1A" w:rsidRPr="00B12B1A" w:rsidRDefault="00B12B1A" w:rsidP="00B12B1A">
      <w:pPr>
        <w:pStyle w:val="a5"/>
        <w:rPr>
          <w:rStyle w:val="FootnoteReference"/>
          <w:vertAlign w:val="baseline"/>
        </w:rPr>
      </w:pPr>
      <w:r w:rsidRPr="00B12B1A">
        <w:rPr>
          <w:rStyle w:val="FootnoteReference"/>
          <w:vertAlign w:val="baseline"/>
        </w:rPr>
        <w:footnoteRef/>
      </w:r>
      <w:r w:rsidRPr="00B12B1A">
        <w:rPr>
          <w:rStyle w:val="FootnoteReference"/>
          <w:vertAlign w:val="baseline"/>
          <w:rtl/>
        </w:rPr>
        <w:t xml:space="preserve"> </w:t>
      </w:r>
      <w:r w:rsidRPr="00B12B1A">
        <w:rPr>
          <w:rStyle w:val="FootnoteReference"/>
          <w:vertAlign w:val="baseline"/>
          <w:rtl/>
        </w:rPr>
        <w:tab/>
      </w:r>
      <w:r w:rsidRPr="00B12B1A">
        <w:rPr>
          <w:rStyle w:val="FootnoteReference"/>
          <w:rFonts w:hint="cs"/>
          <w:vertAlign w:val="baseline"/>
          <w:rtl/>
        </w:rPr>
        <w:t>מערכת התוכניות הסטטוטוריות של מדינת ישראל הקבועה בחוק התכנון והבניה, התשכ"ה-1965 (להלן - חוק התכנון והבנייה), היא מערכת היררכית אשר מורכבת מתוכניות מתאר ארציות, מחוזיות ומקומיות (להלן - תוכניות מתאר), ומהן נגזרות תוכניות מפורטות.</w:t>
      </w:r>
    </w:p>
  </w:footnote>
  <w:footnote w:id="3">
    <w:p w14:paraId="2F1FB4FD" w14:textId="77777777" w:rsidR="00B12B1A" w:rsidRPr="00B12B1A" w:rsidRDefault="00B12B1A" w:rsidP="00B12B1A">
      <w:pPr>
        <w:pStyle w:val="a5"/>
        <w:rPr>
          <w:rStyle w:val="FootnoteReference"/>
          <w:vertAlign w:val="baseline"/>
        </w:rPr>
      </w:pPr>
      <w:r w:rsidRPr="00B12B1A">
        <w:rPr>
          <w:rStyle w:val="FootnoteReference"/>
          <w:vertAlign w:val="baseline"/>
        </w:rPr>
        <w:footnoteRef/>
      </w:r>
      <w:r w:rsidRPr="00B12B1A">
        <w:rPr>
          <w:rStyle w:val="FootnoteReference"/>
          <w:vertAlign w:val="baseline"/>
          <w:rtl/>
        </w:rPr>
        <w:t xml:space="preserve"> </w:t>
      </w:r>
      <w:r w:rsidRPr="00B12B1A">
        <w:rPr>
          <w:rStyle w:val="FootnoteReference"/>
          <w:vertAlign w:val="baseline"/>
          <w:rtl/>
        </w:rPr>
        <w:tab/>
      </w:r>
      <w:r w:rsidRPr="00B12B1A">
        <w:rPr>
          <w:rStyle w:val="FootnoteReference"/>
          <w:rFonts w:hint="cs"/>
          <w:vertAlign w:val="baseline"/>
          <w:rtl/>
        </w:rPr>
        <w:t>ח</w:t>
      </w:r>
      <w:r w:rsidRPr="00B12B1A">
        <w:rPr>
          <w:rStyle w:val="FootnoteReference"/>
          <w:vertAlign w:val="baseline"/>
          <w:rtl/>
        </w:rPr>
        <w:t>וק התכנון והבנ</w:t>
      </w:r>
      <w:r w:rsidRPr="00B12B1A">
        <w:rPr>
          <w:rStyle w:val="FootnoteReference"/>
          <w:rFonts w:hint="cs"/>
          <w:vertAlign w:val="baseline"/>
          <w:rtl/>
        </w:rPr>
        <w:t>י</w:t>
      </w:r>
      <w:r w:rsidRPr="00B12B1A">
        <w:rPr>
          <w:rStyle w:val="FootnoteReference"/>
          <w:vertAlign w:val="baseline"/>
          <w:rtl/>
        </w:rPr>
        <w:t>יה קובע מדרג של מוסדות תכנון ומסמיך אותם לקבל החלטות בנוגע לתכנון המרחבי של המדינה.</w:t>
      </w:r>
    </w:p>
  </w:footnote>
  <w:footnote w:id="4">
    <w:p w14:paraId="6E6F27F9" w14:textId="77777777" w:rsidR="00B12B1A" w:rsidRPr="00B12B1A" w:rsidRDefault="00B12B1A" w:rsidP="00B12B1A">
      <w:pPr>
        <w:pStyle w:val="a5"/>
        <w:rPr>
          <w:rStyle w:val="FootnoteReference"/>
          <w:vertAlign w:val="baseline"/>
          <w:rtl/>
        </w:rPr>
      </w:pPr>
      <w:r w:rsidRPr="00B12B1A">
        <w:rPr>
          <w:rStyle w:val="FootnoteReference"/>
          <w:vertAlign w:val="baseline"/>
        </w:rPr>
        <w:footnoteRef/>
      </w:r>
      <w:r w:rsidRPr="00B12B1A">
        <w:rPr>
          <w:rStyle w:val="FootnoteReference"/>
          <w:vertAlign w:val="baseline"/>
          <w:rtl/>
        </w:rPr>
        <w:t xml:space="preserve"> </w:t>
      </w:r>
      <w:r w:rsidRPr="00B12B1A">
        <w:rPr>
          <w:rStyle w:val="FootnoteReference"/>
          <w:vertAlign w:val="baseline"/>
          <w:rtl/>
        </w:rPr>
        <w:tab/>
      </w:r>
      <w:r w:rsidRPr="00B12B1A">
        <w:rPr>
          <w:rStyle w:val="FootnoteReference"/>
          <w:rFonts w:hint="cs"/>
          <w:vertAlign w:val="baseline"/>
          <w:rtl/>
        </w:rPr>
        <w:t xml:space="preserve">לפי סעיף 61א(ב) לחוק התכנון והבנייה. </w:t>
      </w:r>
    </w:p>
  </w:footnote>
  <w:footnote w:id="5">
    <w:p w14:paraId="395D6209" w14:textId="77777777" w:rsidR="00B12B1A" w:rsidRPr="00C17096" w:rsidRDefault="00B12B1A" w:rsidP="00C17096">
      <w:pPr>
        <w:pStyle w:val="a5"/>
        <w:rPr>
          <w:rStyle w:val="FootnoteReference"/>
          <w:vertAlign w:val="baseline"/>
          <w:rtl/>
        </w:rPr>
      </w:pPr>
      <w:r w:rsidRPr="00C17096">
        <w:rPr>
          <w:rStyle w:val="FootnoteReference"/>
          <w:vertAlign w:val="baseline"/>
        </w:rPr>
        <w:footnoteRef/>
      </w:r>
      <w:r w:rsidRPr="00C17096">
        <w:rPr>
          <w:rStyle w:val="FootnoteReference"/>
          <w:vertAlign w:val="baseline"/>
          <w:rtl/>
        </w:rPr>
        <w:t xml:space="preserve"> </w:t>
      </w:r>
      <w:r>
        <w:rPr>
          <w:rtl/>
        </w:rPr>
        <w:tab/>
      </w:r>
      <w:r w:rsidRPr="00C17096">
        <w:rPr>
          <w:rStyle w:val="FootnoteReference"/>
          <w:rFonts w:hint="cs"/>
          <w:vertAlign w:val="baseline"/>
          <w:rtl/>
        </w:rPr>
        <w:t xml:space="preserve">תקציב </w:t>
      </w:r>
      <w:r w:rsidRPr="00C17096">
        <w:rPr>
          <w:rStyle w:val="FootnoteReference"/>
          <w:vertAlign w:val="baseline"/>
          <w:rtl/>
        </w:rPr>
        <w:t xml:space="preserve">מזומנים </w:t>
      </w:r>
      <w:r w:rsidRPr="00C17096">
        <w:rPr>
          <w:rStyle w:val="FootnoteReference"/>
          <w:rFonts w:hint="cs"/>
          <w:vertAlign w:val="baseline"/>
          <w:rtl/>
        </w:rPr>
        <w:t xml:space="preserve">על שינויו </w:t>
      </w:r>
      <w:r w:rsidRPr="00C17096">
        <w:rPr>
          <w:rStyle w:val="FootnoteReference"/>
          <w:vertAlign w:val="baseline"/>
          <w:rtl/>
        </w:rPr>
        <w:t xml:space="preserve">ותקציב הרשאה להתחייב </w:t>
      </w:r>
      <w:r w:rsidRPr="00C17096">
        <w:rPr>
          <w:rStyle w:val="FootnoteReference"/>
          <w:rFonts w:hint="cs"/>
          <w:vertAlign w:val="baseline"/>
          <w:rtl/>
        </w:rPr>
        <w:t>(</w:t>
      </w:r>
      <w:r w:rsidRPr="00C17096">
        <w:rPr>
          <w:rStyle w:val="FootnoteReference"/>
          <w:vertAlign w:val="baseline"/>
          <w:rtl/>
        </w:rPr>
        <w:t>סכום מרבי ש</w:t>
      </w:r>
      <w:r w:rsidRPr="00C17096">
        <w:rPr>
          <w:rStyle w:val="FootnoteReference"/>
          <w:rFonts w:hint="cs"/>
          <w:vertAlign w:val="baseline"/>
          <w:rtl/>
        </w:rPr>
        <w:t>הגוף</w:t>
      </w:r>
      <w:r w:rsidRPr="00C17096">
        <w:rPr>
          <w:rStyle w:val="FootnoteReference"/>
          <w:vertAlign w:val="baseline"/>
          <w:rtl/>
        </w:rPr>
        <w:t xml:space="preserve"> רשאי להתחייב עליו באותה הת</w:t>
      </w:r>
      <w:r w:rsidRPr="00C17096">
        <w:rPr>
          <w:rStyle w:val="FootnoteReference"/>
          <w:rFonts w:hint="cs"/>
          <w:vertAlign w:val="baseline"/>
          <w:rtl/>
        </w:rPr>
        <w:t>ו</w:t>
      </w:r>
      <w:r w:rsidRPr="00C17096">
        <w:rPr>
          <w:rStyle w:val="FootnoteReference"/>
          <w:vertAlign w:val="baseline"/>
          <w:rtl/>
        </w:rPr>
        <w:t xml:space="preserve">כנית במהלך שנת הכספים, גם אם התשלום </w:t>
      </w:r>
      <w:r w:rsidRPr="00C17096">
        <w:rPr>
          <w:rStyle w:val="FootnoteReference"/>
          <w:rFonts w:hint="cs"/>
          <w:vertAlign w:val="baseline"/>
          <w:rtl/>
        </w:rPr>
        <w:t xml:space="preserve">בפועל </w:t>
      </w:r>
      <w:r w:rsidRPr="00C17096">
        <w:rPr>
          <w:rStyle w:val="FootnoteReference"/>
          <w:vertAlign w:val="baseline"/>
          <w:rtl/>
        </w:rPr>
        <w:t>יתבצע בשנים הבאות</w:t>
      </w:r>
      <w:r w:rsidRPr="00C17096">
        <w:rPr>
          <w:rStyle w:val="FootnoteReference"/>
          <w:rFonts w:hint="cs"/>
          <w:vertAlign w:val="baseline"/>
          <w:rtl/>
        </w:rPr>
        <w:t>)</w:t>
      </w:r>
      <w:r w:rsidRPr="00C17096">
        <w:rPr>
          <w:rStyle w:val="FootnoteReference"/>
          <w:vertAlign w:val="baseline"/>
          <w:rtl/>
        </w:rPr>
        <w:t>.</w:t>
      </w:r>
    </w:p>
  </w:footnote>
  <w:footnote w:id="6">
    <w:p w14:paraId="4E86C05F" w14:textId="77777777" w:rsidR="00B12B1A" w:rsidRPr="0099060E" w:rsidRDefault="00B12B1A" w:rsidP="0099060E">
      <w:pPr>
        <w:pStyle w:val="a5"/>
        <w:rPr>
          <w:rStyle w:val="FootnoteReference"/>
          <w:vertAlign w:val="baseline"/>
          <w:rtl/>
        </w:rPr>
      </w:pPr>
      <w:r w:rsidRPr="0099060E">
        <w:rPr>
          <w:rStyle w:val="FootnoteReference"/>
          <w:vertAlign w:val="baseline"/>
        </w:rPr>
        <w:footnoteRef/>
      </w:r>
      <w:r w:rsidRPr="0099060E">
        <w:rPr>
          <w:rStyle w:val="FootnoteReference"/>
          <w:vertAlign w:val="baseline"/>
          <w:rtl/>
        </w:rPr>
        <w:t xml:space="preserve"> </w:t>
      </w:r>
      <w:r w:rsidRPr="0099060E">
        <w:rPr>
          <w:rStyle w:val="FootnoteReference"/>
          <w:vertAlign w:val="baseline"/>
          <w:rtl/>
        </w:rPr>
        <w:tab/>
      </w:r>
      <w:r w:rsidRPr="0099060E">
        <w:rPr>
          <w:rStyle w:val="FootnoteReference"/>
          <w:rFonts w:hint="cs"/>
          <w:vertAlign w:val="baseline"/>
          <w:rtl/>
        </w:rPr>
        <w:t xml:space="preserve">תקציב </w:t>
      </w:r>
      <w:r w:rsidRPr="0099060E">
        <w:rPr>
          <w:rStyle w:val="FootnoteReference"/>
          <w:vertAlign w:val="baseline"/>
          <w:rtl/>
        </w:rPr>
        <w:t xml:space="preserve">מזומנים </w:t>
      </w:r>
      <w:r w:rsidRPr="0099060E">
        <w:rPr>
          <w:rStyle w:val="FootnoteReference"/>
          <w:rFonts w:hint="cs"/>
          <w:vertAlign w:val="baseline"/>
          <w:rtl/>
        </w:rPr>
        <w:t xml:space="preserve">על שינויו </w:t>
      </w:r>
      <w:r w:rsidRPr="0099060E">
        <w:rPr>
          <w:rStyle w:val="FootnoteReference"/>
          <w:vertAlign w:val="baseline"/>
          <w:rtl/>
        </w:rPr>
        <w:t>ותקציב הרשאה להתחייב</w:t>
      </w:r>
      <w:r w:rsidRPr="0099060E">
        <w:rPr>
          <w:rStyle w:val="FootnoteReference"/>
          <w:rFonts w:hint="cs"/>
          <w:vertAlign w:val="baseline"/>
          <w:rtl/>
        </w:rPr>
        <w:t>.</w:t>
      </w:r>
    </w:p>
  </w:footnote>
  <w:footnote w:id="7">
    <w:p w14:paraId="228ED2D5" w14:textId="77777777" w:rsidR="00B12B1A" w:rsidRPr="00537E14" w:rsidRDefault="00B12B1A" w:rsidP="00537E14">
      <w:pPr>
        <w:pStyle w:val="a5"/>
        <w:rPr>
          <w:rtl/>
        </w:rPr>
      </w:pPr>
      <w:r w:rsidRPr="00537E14">
        <w:rPr>
          <w:rStyle w:val="FootnoteReference"/>
          <w:vertAlign w:val="baseline"/>
        </w:rPr>
        <w:footnoteRef/>
      </w:r>
      <w:r w:rsidRPr="00537E14">
        <w:rPr>
          <w:rtl/>
        </w:rPr>
        <w:t xml:space="preserve"> </w:t>
      </w:r>
      <w:r w:rsidRPr="00537E14">
        <w:rPr>
          <w:rtl/>
        </w:rPr>
        <w:tab/>
      </w:r>
      <w:r w:rsidRPr="00537E14">
        <w:rPr>
          <w:rFonts w:hint="cs"/>
          <w:rtl/>
        </w:rPr>
        <w:t>כגון משרד הבינוי ורשויות מקומיות.</w:t>
      </w:r>
    </w:p>
  </w:footnote>
  <w:footnote w:id="8">
    <w:p w14:paraId="5C3AF272" w14:textId="77777777" w:rsidR="00B12B1A" w:rsidRPr="00483F10" w:rsidRDefault="00B12B1A" w:rsidP="00483F10">
      <w:pPr>
        <w:pStyle w:val="a5"/>
      </w:pPr>
      <w:r w:rsidRPr="00483F10">
        <w:rPr>
          <w:rStyle w:val="FootnoteReference"/>
          <w:vertAlign w:val="baseline"/>
        </w:rPr>
        <w:footnoteRef/>
      </w:r>
      <w:r w:rsidRPr="00483F10">
        <w:rPr>
          <w:rtl/>
        </w:rPr>
        <w:t xml:space="preserve"> </w:t>
      </w:r>
      <w:r w:rsidRPr="00483F10">
        <w:rPr>
          <w:rtl/>
        </w:rPr>
        <w:tab/>
      </w:r>
      <w:r w:rsidRPr="00483F10">
        <w:rPr>
          <w:rFonts w:hint="cs"/>
          <w:rtl/>
        </w:rPr>
        <w:t>החלטת הממשלה 123 (ממי/5) (12.5.09).</w:t>
      </w:r>
    </w:p>
  </w:footnote>
  <w:footnote w:id="9">
    <w:p w14:paraId="5C73DAAD" w14:textId="77777777" w:rsidR="00B12B1A" w:rsidRPr="00483F10" w:rsidRDefault="00B12B1A" w:rsidP="00483F10">
      <w:pPr>
        <w:pStyle w:val="a5"/>
      </w:pPr>
      <w:r w:rsidRPr="00483F10">
        <w:rPr>
          <w:rStyle w:val="FootnoteReference"/>
          <w:vertAlign w:val="baseline"/>
        </w:rPr>
        <w:footnoteRef/>
      </w:r>
      <w:r w:rsidRPr="00483F10">
        <w:rPr>
          <w:rtl/>
        </w:rPr>
        <w:t xml:space="preserve"> </w:t>
      </w:r>
      <w:r w:rsidRPr="00483F10">
        <w:rPr>
          <w:rtl/>
        </w:rPr>
        <w:tab/>
      </w:r>
      <w:r w:rsidRPr="00483F10">
        <w:rPr>
          <w:rFonts w:hint="cs"/>
          <w:rtl/>
        </w:rPr>
        <w:t xml:space="preserve">על הרפורמה ראו: מבקר המדינה, </w:t>
      </w:r>
      <w:r w:rsidRPr="00483F10">
        <w:rPr>
          <w:rFonts w:hint="eastAsia"/>
          <w:b/>
          <w:bCs/>
          <w:rtl/>
        </w:rPr>
        <w:t>דוח</w:t>
      </w:r>
      <w:r w:rsidRPr="00483F10">
        <w:rPr>
          <w:b/>
          <w:bCs/>
          <w:rtl/>
        </w:rPr>
        <w:t xml:space="preserve"> שנתי 64ג</w:t>
      </w:r>
      <w:r w:rsidRPr="00483F10">
        <w:rPr>
          <w:rtl/>
        </w:rPr>
        <w:t xml:space="preserve"> </w:t>
      </w:r>
      <w:r w:rsidRPr="00483F10">
        <w:rPr>
          <w:rFonts w:hint="cs"/>
          <w:rtl/>
        </w:rPr>
        <w:t xml:space="preserve">(2014), בפרק "בחינת יישום הרפורמה ברשות מקרקעי ישראל", עמ' 319. </w:t>
      </w:r>
    </w:p>
  </w:footnote>
  <w:footnote w:id="10">
    <w:p w14:paraId="639901D3" w14:textId="77777777" w:rsidR="00B12B1A" w:rsidRPr="00483F10" w:rsidRDefault="00B12B1A" w:rsidP="00483F10">
      <w:pPr>
        <w:pStyle w:val="a5"/>
      </w:pPr>
      <w:r w:rsidRPr="00483F10">
        <w:rPr>
          <w:rStyle w:val="FootnoteReference"/>
          <w:vertAlign w:val="baseline"/>
        </w:rPr>
        <w:footnoteRef/>
      </w:r>
      <w:r w:rsidRPr="00483F10">
        <w:rPr>
          <w:rtl/>
        </w:rPr>
        <w:t xml:space="preserve"> </w:t>
      </w:r>
      <w:r w:rsidRPr="00483F10">
        <w:rPr>
          <w:rtl/>
        </w:rPr>
        <w:tab/>
        <w:t>בשנת 2015 שונה שם המשרד לשמו הנוכחי</w:t>
      </w:r>
      <w:r w:rsidRPr="00483F10">
        <w:rPr>
          <w:rFonts w:hint="cs"/>
          <w:rtl/>
        </w:rPr>
        <w:t>,</w:t>
      </w:r>
      <w:r w:rsidRPr="00483F10">
        <w:rPr>
          <w:rtl/>
        </w:rPr>
        <w:t xml:space="preserve"> משרד הכלכלה והתעשייה.</w:t>
      </w:r>
    </w:p>
  </w:footnote>
  <w:footnote w:id="11">
    <w:p w14:paraId="7FE7F9D4" w14:textId="77777777" w:rsidR="00B12B1A" w:rsidRPr="00483F10" w:rsidRDefault="00B12B1A" w:rsidP="00483F10">
      <w:pPr>
        <w:pStyle w:val="a5"/>
        <w:rPr>
          <w:rtl/>
        </w:rPr>
      </w:pPr>
      <w:r w:rsidRPr="00483F10">
        <w:rPr>
          <w:rStyle w:val="FootnoteReference"/>
          <w:vertAlign w:val="baseline"/>
        </w:rPr>
        <w:footnoteRef/>
      </w:r>
      <w:r w:rsidRPr="00483F10">
        <w:rPr>
          <w:rtl/>
        </w:rPr>
        <w:t xml:space="preserve"> </w:t>
      </w:r>
      <w:r w:rsidRPr="00483F10">
        <w:rPr>
          <w:rtl/>
        </w:rPr>
        <w:tab/>
      </w:r>
      <w:r w:rsidRPr="00483F10">
        <w:rPr>
          <w:rFonts w:hint="cs"/>
          <w:rtl/>
        </w:rPr>
        <w:t>החלטה 1185 מיום 28.12.09 ואלו שעדכנו אותה.</w:t>
      </w:r>
      <w:r w:rsidRPr="00483F10">
        <w:rPr>
          <w:rtl/>
        </w:rPr>
        <w:t xml:space="preserve"> לפי חוק רשות מקרקעי ישראל,</w:t>
      </w:r>
      <w:r w:rsidRPr="00483F10">
        <w:rPr>
          <w:rFonts w:hint="cs"/>
          <w:rtl/>
        </w:rPr>
        <w:t xml:space="preserve"> התש"ך-1960,</w:t>
      </w:r>
      <w:r w:rsidRPr="00483F10">
        <w:rPr>
          <w:rtl/>
        </w:rPr>
        <w:t xml:space="preserve"> מועצ</w:t>
      </w:r>
      <w:r w:rsidRPr="00483F10">
        <w:rPr>
          <w:rFonts w:hint="cs"/>
          <w:rtl/>
        </w:rPr>
        <w:t>ת מקרקעי ישראל</w:t>
      </w:r>
      <w:r w:rsidRPr="00483F10">
        <w:rPr>
          <w:rtl/>
        </w:rPr>
        <w:t xml:space="preserve"> קובעת את מדיניות הקרקע שרמ"י מנהלת לפיה את מקרקעי ישראל.</w:t>
      </w:r>
    </w:p>
  </w:footnote>
  <w:footnote w:id="12">
    <w:p w14:paraId="016835BA" w14:textId="77777777" w:rsidR="00B12B1A" w:rsidRPr="00483F10" w:rsidRDefault="00B12B1A" w:rsidP="00483F10">
      <w:pPr>
        <w:pStyle w:val="a5"/>
      </w:pPr>
      <w:r w:rsidRPr="00483F10">
        <w:rPr>
          <w:rStyle w:val="FootnoteReference"/>
          <w:vertAlign w:val="baseline"/>
        </w:rPr>
        <w:footnoteRef/>
      </w:r>
      <w:r w:rsidRPr="00483F10">
        <w:rPr>
          <w:rtl/>
        </w:rPr>
        <w:t xml:space="preserve"> </w:t>
      </w:r>
      <w:r w:rsidRPr="00483F10">
        <w:rPr>
          <w:rtl/>
        </w:rPr>
        <w:tab/>
      </w:r>
      <w:r w:rsidRPr="00483F10">
        <w:rPr>
          <w:rFonts w:hint="cs"/>
          <w:rtl/>
        </w:rPr>
        <w:t xml:space="preserve">החלטת הממשלה 370 (דר/6) (12.6.13). </w:t>
      </w:r>
    </w:p>
  </w:footnote>
  <w:footnote w:id="13">
    <w:p w14:paraId="15E1CFDA" w14:textId="77777777" w:rsidR="00B12B1A" w:rsidRDefault="00B12B1A" w:rsidP="00111919">
      <w:pPr>
        <w:pStyle w:val="a5"/>
      </w:pPr>
      <w:r w:rsidRPr="00111919">
        <w:rPr>
          <w:rStyle w:val="FootnoteReference"/>
          <w:vertAlign w:val="baseline"/>
        </w:rPr>
        <w:footnoteRef/>
      </w:r>
      <w:r w:rsidRPr="00111919">
        <w:rPr>
          <w:rStyle w:val="FootnoteReference"/>
          <w:vertAlign w:val="baseline"/>
          <w:rtl/>
        </w:rPr>
        <w:t xml:space="preserve"> </w:t>
      </w:r>
      <w:r>
        <w:rPr>
          <w:rtl/>
        </w:rPr>
        <w:tab/>
      </w:r>
      <w:r>
        <w:rPr>
          <w:rFonts w:hint="cs"/>
          <w:rtl/>
        </w:rPr>
        <w:t>אישור תוכנית מפורטת שמכוחה ניתן להוציא היתר בנייה.</w:t>
      </w:r>
    </w:p>
  </w:footnote>
  <w:footnote w:id="14">
    <w:p w14:paraId="12EFA947" w14:textId="77777777" w:rsidR="00B12B1A" w:rsidRDefault="00B12B1A" w:rsidP="00111919">
      <w:pPr>
        <w:pStyle w:val="a5"/>
        <w:rPr>
          <w:rtl/>
        </w:rPr>
      </w:pPr>
      <w:r w:rsidRPr="00111919">
        <w:rPr>
          <w:rStyle w:val="FootnoteReference"/>
          <w:vertAlign w:val="baseline"/>
        </w:rPr>
        <w:footnoteRef/>
      </w:r>
      <w:r>
        <w:rPr>
          <w:rtl/>
        </w:rPr>
        <w:t xml:space="preserve"> </w:t>
      </w:r>
      <w:r>
        <w:rPr>
          <w:rtl/>
        </w:rPr>
        <w:tab/>
      </w:r>
      <w:r>
        <w:rPr>
          <w:rFonts w:hint="cs"/>
          <w:rtl/>
        </w:rPr>
        <w:t>החלטת הממשלה 1316 (דר/55), "תכנית יעדי תכנון שיווק ועסקאות בתחום הדיור לשנת 2016" (24.3.16); החלטת הממשלה 2458 (דר/132), "תכנית יעדי תכנון, שיווק ועסקאות בתחום הדיור לשנת 2017" (2.3.17); החלטת הממשלה 3705 (דר/188), "תכנית יעדי תכנון, שיווק ועסקאות בתחום הדיור לשנת 2018 ותיקון החלטת ממשלה" (22.3.18).</w:t>
      </w:r>
    </w:p>
  </w:footnote>
  <w:footnote w:id="15">
    <w:p w14:paraId="0F3DC7EC" w14:textId="77777777" w:rsidR="00B12B1A" w:rsidRDefault="00B12B1A" w:rsidP="00111919">
      <w:pPr>
        <w:pStyle w:val="a5"/>
        <w:rPr>
          <w:rtl/>
        </w:rPr>
      </w:pPr>
      <w:r w:rsidRPr="00111919">
        <w:rPr>
          <w:rStyle w:val="FootnoteReference"/>
          <w:vertAlign w:val="baseline"/>
        </w:rPr>
        <w:footnoteRef/>
      </w:r>
      <w:r w:rsidRPr="00111919">
        <w:rPr>
          <w:rStyle w:val="FootnoteReference"/>
          <w:vertAlign w:val="baseline"/>
          <w:rtl/>
        </w:rPr>
        <w:t xml:space="preserve"> </w:t>
      </w:r>
      <w:r>
        <w:rPr>
          <w:rtl/>
        </w:rPr>
        <w:tab/>
      </w:r>
      <w:r>
        <w:rPr>
          <w:rFonts w:hint="cs"/>
          <w:rtl/>
        </w:rPr>
        <w:t xml:space="preserve">על משבר הדיור ראו בהרחבה </w:t>
      </w:r>
      <w:r w:rsidRPr="00B34D17">
        <w:rPr>
          <w:rFonts w:hint="cs"/>
          <w:rtl/>
        </w:rPr>
        <w:t>מבקר</w:t>
      </w:r>
      <w:r w:rsidRPr="00B34D17">
        <w:rPr>
          <w:rtl/>
        </w:rPr>
        <w:t xml:space="preserve"> </w:t>
      </w:r>
      <w:r w:rsidRPr="00B34D17">
        <w:rPr>
          <w:rFonts w:hint="cs"/>
          <w:rtl/>
        </w:rPr>
        <w:t>המדינה</w:t>
      </w:r>
      <w:r w:rsidRPr="00B34D17">
        <w:rPr>
          <w:rtl/>
        </w:rPr>
        <w:t xml:space="preserve">, </w:t>
      </w:r>
      <w:r w:rsidRPr="00D2624D">
        <w:rPr>
          <w:rFonts w:hint="eastAsia"/>
          <w:b/>
          <w:bCs/>
          <w:rtl/>
        </w:rPr>
        <w:t>דוח</w:t>
      </w:r>
      <w:r w:rsidRPr="00D2624D">
        <w:rPr>
          <w:b/>
          <w:bCs/>
          <w:rtl/>
        </w:rPr>
        <w:t xml:space="preserve"> </w:t>
      </w:r>
      <w:r w:rsidRPr="00D2624D">
        <w:rPr>
          <w:rFonts w:hint="eastAsia"/>
          <w:b/>
          <w:bCs/>
          <w:rtl/>
        </w:rPr>
        <w:t>ביקורת</w:t>
      </w:r>
      <w:r w:rsidRPr="00D2624D">
        <w:rPr>
          <w:b/>
          <w:bCs/>
          <w:rtl/>
        </w:rPr>
        <w:t xml:space="preserve"> </w:t>
      </w:r>
      <w:r w:rsidRPr="00D2624D">
        <w:rPr>
          <w:rFonts w:hint="eastAsia"/>
          <w:b/>
          <w:bCs/>
          <w:rtl/>
        </w:rPr>
        <w:t>על</w:t>
      </w:r>
      <w:r w:rsidRPr="00D2624D">
        <w:rPr>
          <w:b/>
          <w:bCs/>
          <w:rtl/>
        </w:rPr>
        <w:t xml:space="preserve"> </w:t>
      </w:r>
      <w:r w:rsidRPr="00D2624D">
        <w:rPr>
          <w:rFonts w:hint="eastAsia"/>
          <w:b/>
          <w:bCs/>
          <w:rtl/>
        </w:rPr>
        <w:t>משבר</w:t>
      </w:r>
      <w:r w:rsidRPr="00D2624D">
        <w:rPr>
          <w:b/>
          <w:bCs/>
          <w:rtl/>
        </w:rPr>
        <w:t xml:space="preserve"> </w:t>
      </w:r>
      <w:r w:rsidRPr="00D2624D">
        <w:rPr>
          <w:rFonts w:hint="eastAsia"/>
          <w:b/>
          <w:bCs/>
          <w:rtl/>
        </w:rPr>
        <w:t>הדיור</w:t>
      </w:r>
      <w:r>
        <w:rPr>
          <w:rFonts w:hint="cs"/>
          <w:rtl/>
        </w:rPr>
        <w:t xml:space="preserve"> (2015).</w:t>
      </w:r>
    </w:p>
  </w:footnote>
  <w:footnote w:id="16">
    <w:p w14:paraId="502B70A1" w14:textId="77777777" w:rsidR="00B12B1A" w:rsidRDefault="00B12B1A" w:rsidP="00111919">
      <w:pPr>
        <w:pStyle w:val="a5"/>
      </w:pPr>
      <w:r w:rsidRPr="00111919">
        <w:rPr>
          <w:rStyle w:val="FootnoteReference"/>
          <w:vertAlign w:val="baseline"/>
        </w:rPr>
        <w:footnoteRef/>
      </w:r>
      <w:r>
        <w:rPr>
          <w:rtl/>
        </w:rPr>
        <w:t xml:space="preserve"> </w:t>
      </w:r>
      <w:r>
        <w:rPr>
          <w:rtl/>
        </w:rPr>
        <w:tab/>
        <w:t>החלטות ועדת שרים לענייני תכנון, בנייה</w:t>
      </w:r>
      <w:r>
        <w:rPr>
          <w:rFonts w:hint="cs"/>
          <w:rtl/>
        </w:rPr>
        <w:t>,</w:t>
      </w:r>
      <w:r>
        <w:rPr>
          <w:rtl/>
        </w:rPr>
        <w:t xml:space="preserve"> מקרקעין ודיור </w:t>
      </w:r>
      <w:r>
        <w:rPr>
          <w:rFonts w:hint="cs"/>
          <w:rtl/>
        </w:rPr>
        <w:t>(</w:t>
      </w:r>
      <w:r>
        <w:rPr>
          <w:rtl/>
        </w:rPr>
        <w:t>קבינט הדיור</w:t>
      </w:r>
      <w:r>
        <w:rPr>
          <w:rFonts w:hint="cs"/>
          <w:rtl/>
        </w:rPr>
        <w:t>),</w:t>
      </w:r>
      <w:r>
        <w:rPr>
          <w:rtl/>
        </w:rPr>
        <w:t xml:space="preserve"> </w:t>
      </w:r>
      <w:r>
        <w:rPr>
          <w:rFonts w:hint="cs"/>
          <w:rtl/>
        </w:rPr>
        <w:t>"התאמת מבנה ניהול הנדל"ן בממשלה להתמודדות עם משבר הדיור" (8.6.15). החלטה זו קיבלה תוקף כהחלטת הממשלה 125 (דר/2) (22.6.15).</w:t>
      </w:r>
    </w:p>
  </w:footnote>
  <w:footnote w:id="17">
    <w:p w14:paraId="2D8CA20D" w14:textId="77777777" w:rsidR="00B12B1A" w:rsidRDefault="00B12B1A" w:rsidP="0096636C">
      <w:pPr>
        <w:pStyle w:val="a5"/>
        <w:rPr>
          <w:rtl/>
        </w:rPr>
      </w:pPr>
      <w:r w:rsidRPr="0096636C">
        <w:rPr>
          <w:rStyle w:val="FootnoteReference"/>
          <w:vertAlign w:val="baseline"/>
        </w:rPr>
        <w:footnoteRef/>
      </w:r>
      <w:r w:rsidRPr="0096636C">
        <w:rPr>
          <w:rStyle w:val="FootnoteReference"/>
          <w:vertAlign w:val="baseline"/>
          <w:rtl/>
        </w:rPr>
        <w:t xml:space="preserve"> </w:t>
      </w:r>
      <w:r>
        <w:rPr>
          <w:rtl/>
        </w:rPr>
        <w:tab/>
      </w:r>
      <w:r>
        <w:rPr>
          <w:rFonts w:hint="cs"/>
          <w:rtl/>
        </w:rPr>
        <w:t>החלטה 1429 של מועצת מקרקעי ישראל, "</w:t>
      </w:r>
      <w:r w:rsidRPr="00E66029">
        <w:rPr>
          <w:rtl/>
        </w:rPr>
        <w:t>הועדה לתכנון ופיתוח - התאמת מבנה ניהול הנדל"ן בממשלה נוכח משבר הדיור</w:t>
      </w:r>
      <w:r>
        <w:rPr>
          <w:rFonts w:hint="cs"/>
          <w:rtl/>
        </w:rPr>
        <w:t>" (29.6.15).</w:t>
      </w:r>
    </w:p>
  </w:footnote>
  <w:footnote w:id="18">
    <w:p w14:paraId="07318885" w14:textId="77777777" w:rsidR="00B12B1A" w:rsidRDefault="00B12B1A" w:rsidP="00B9195C">
      <w:pPr>
        <w:pStyle w:val="a5"/>
      </w:pPr>
      <w:r w:rsidRPr="00B9195C">
        <w:rPr>
          <w:rStyle w:val="FootnoteReference"/>
          <w:vertAlign w:val="baseline"/>
        </w:rPr>
        <w:footnoteRef/>
      </w:r>
      <w:r w:rsidRPr="00B9195C">
        <w:rPr>
          <w:rStyle w:val="FootnoteReference"/>
          <w:vertAlign w:val="baseline"/>
          <w:rtl/>
        </w:rPr>
        <w:t xml:space="preserve"> </w:t>
      </w:r>
      <w:r>
        <w:rPr>
          <w:rtl/>
        </w:rPr>
        <w:tab/>
      </w:r>
      <w:r>
        <w:rPr>
          <w:rFonts w:hint="cs"/>
          <w:rtl/>
        </w:rPr>
        <w:t>על פי הגדרות של מינהל התכנון.</w:t>
      </w:r>
    </w:p>
  </w:footnote>
  <w:footnote w:id="19">
    <w:p w14:paraId="124F07D9" w14:textId="77777777" w:rsidR="00B12B1A" w:rsidRDefault="00B12B1A" w:rsidP="00B9195C">
      <w:pPr>
        <w:pStyle w:val="a5"/>
        <w:rPr>
          <w:rtl/>
        </w:rPr>
      </w:pPr>
      <w:r w:rsidRPr="00B9195C">
        <w:rPr>
          <w:rStyle w:val="FootnoteReference"/>
          <w:vertAlign w:val="baseline"/>
        </w:rPr>
        <w:footnoteRef/>
      </w:r>
      <w:r w:rsidRPr="00B9195C">
        <w:rPr>
          <w:rStyle w:val="FootnoteReference"/>
          <w:vertAlign w:val="baseline"/>
          <w:rtl/>
        </w:rPr>
        <w:t xml:space="preserve"> </w:t>
      </w:r>
      <w:r>
        <w:rPr>
          <w:rtl/>
        </w:rPr>
        <w:tab/>
      </w:r>
      <w:r>
        <w:rPr>
          <w:rFonts w:hint="cs"/>
          <w:rtl/>
        </w:rPr>
        <w:t>עד אוקטובר 2019, על פי נתוני מינהל התכנון. לגבי כ-2,400 יחידות דיור לא צוין המגזר, ולכן הן לא נכללו בתרשים.</w:t>
      </w:r>
    </w:p>
  </w:footnote>
  <w:footnote w:id="20">
    <w:p w14:paraId="7CECC5C7" w14:textId="77777777" w:rsidR="00B12B1A" w:rsidRDefault="00B12B1A" w:rsidP="008A12DF">
      <w:pPr>
        <w:pStyle w:val="a5"/>
        <w:rPr>
          <w:rtl/>
        </w:rPr>
      </w:pPr>
      <w:r w:rsidRPr="008A12DF">
        <w:rPr>
          <w:rStyle w:val="FootnoteReference"/>
          <w:vertAlign w:val="baseline"/>
        </w:rPr>
        <w:footnoteRef/>
      </w:r>
      <w:r w:rsidRPr="008A12DF">
        <w:rPr>
          <w:rStyle w:val="FootnoteReference"/>
          <w:vertAlign w:val="baseline"/>
          <w:rtl/>
        </w:rPr>
        <w:t xml:space="preserve"> </w:t>
      </w:r>
      <w:r>
        <w:rPr>
          <w:rtl/>
        </w:rPr>
        <w:tab/>
      </w:r>
      <w:r>
        <w:rPr>
          <w:rFonts w:hint="cs"/>
          <w:rtl/>
        </w:rPr>
        <w:t>החלטה 2457 ממרץ 2017.</w:t>
      </w:r>
    </w:p>
  </w:footnote>
  <w:footnote w:id="21">
    <w:p w14:paraId="226C5B1B" w14:textId="77777777" w:rsidR="00B12B1A" w:rsidRDefault="00B12B1A" w:rsidP="008A12DF">
      <w:pPr>
        <w:pStyle w:val="a5"/>
      </w:pPr>
      <w:r w:rsidRPr="008A12DF">
        <w:rPr>
          <w:rStyle w:val="FootnoteReference"/>
          <w:vertAlign w:val="baseline"/>
        </w:rPr>
        <w:footnoteRef/>
      </w:r>
      <w:r w:rsidRPr="008A12DF">
        <w:rPr>
          <w:rStyle w:val="FootnoteReference"/>
          <w:vertAlign w:val="baseline"/>
          <w:rtl/>
        </w:rPr>
        <w:t xml:space="preserve"> </w:t>
      </w:r>
      <w:r>
        <w:rPr>
          <w:rtl/>
        </w:rPr>
        <w:tab/>
      </w:r>
      <w:r>
        <w:rPr>
          <w:rFonts w:hint="cs"/>
          <w:rtl/>
        </w:rPr>
        <w:t>תקנה 17 (ו).</w:t>
      </w:r>
    </w:p>
  </w:footnote>
  <w:footnote w:id="22">
    <w:p w14:paraId="31EFDF5F" w14:textId="77777777" w:rsidR="00B12B1A" w:rsidRDefault="00B12B1A" w:rsidP="008A12DF">
      <w:pPr>
        <w:pStyle w:val="a5"/>
        <w:rPr>
          <w:rtl/>
        </w:rPr>
      </w:pPr>
      <w:r w:rsidRPr="008A12DF">
        <w:rPr>
          <w:rStyle w:val="FootnoteReference"/>
          <w:vertAlign w:val="baseline"/>
        </w:rPr>
        <w:footnoteRef/>
      </w:r>
      <w:r w:rsidRPr="008A12DF">
        <w:rPr>
          <w:rStyle w:val="FootnoteReference"/>
          <w:vertAlign w:val="baseline"/>
          <w:rtl/>
        </w:rPr>
        <w:t xml:space="preserve"> </w:t>
      </w:r>
      <w:r>
        <w:rPr>
          <w:rtl/>
        </w:rPr>
        <w:tab/>
      </w:r>
      <w:r w:rsidRPr="00F14CDB">
        <w:rPr>
          <w:rtl/>
        </w:rPr>
        <w:t>מכרז שבו הפנייה לקבלת הצעות נעשית באמצעות הודעה לציבור</w:t>
      </w:r>
      <w:r>
        <w:rPr>
          <w:rFonts w:hint="cs"/>
          <w:rtl/>
        </w:rPr>
        <w:t>,</w:t>
      </w:r>
      <w:r w:rsidRPr="00F14CDB">
        <w:rPr>
          <w:rtl/>
        </w:rPr>
        <w:t xml:space="preserve"> המתפרסמת לפי תקנה 15 בתקנות.</w:t>
      </w:r>
    </w:p>
  </w:footnote>
  <w:footnote w:id="23">
    <w:p w14:paraId="5A58FAB4" w14:textId="77777777" w:rsidR="00B12B1A" w:rsidRDefault="00B12B1A" w:rsidP="00D5503B">
      <w:pPr>
        <w:pStyle w:val="a5"/>
      </w:pPr>
      <w:r w:rsidRPr="00D5503B">
        <w:rPr>
          <w:rStyle w:val="FootnoteReference"/>
          <w:vertAlign w:val="baseline"/>
        </w:rPr>
        <w:footnoteRef/>
      </w:r>
      <w:r w:rsidRPr="00D5503B">
        <w:rPr>
          <w:rStyle w:val="FootnoteReference"/>
          <w:vertAlign w:val="baseline"/>
          <w:rtl/>
        </w:rPr>
        <w:t xml:space="preserve"> </w:t>
      </w:r>
      <w:r>
        <w:rPr>
          <w:rtl/>
        </w:rPr>
        <w:tab/>
      </w:r>
      <w:r>
        <w:rPr>
          <w:rFonts w:hint="cs"/>
          <w:rtl/>
        </w:rPr>
        <w:t>תקנה 17 ו(ה).</w:t>
      </w:r>
    </w:p>
  </w:footnote>
  <w:footnote w:id="24">
    <w:p w14:paraId="2296B843" w14:textId="77777777" w:rsidR="00B12B1A" w:rsidRDefault="00B12B1A" w:rsidP="00D5503B">
      <w:pPr>
        <w:pStyle w:val="a5"/>
        <w:rPr>
          <w:rtl/>
        </w:rPr>
      </w:pPr>
      <w:r w:rsidRPr="00D5503B">
        <w:rPr>
          <w:rStyle w:val="FootnoteReference"/>
          <w:vertAlign w:val="baseline"/>
        </w:rPr>
        <w:footnoteRef/>
      </w:r>
      <w:r w:rsidRPr="00D5503B">
        <w:rPr>
          <w:rStyle w:val="FootnoteReference"/>
          <w:vertAlign w:val="baseline"/>
          <w:rtl/>
        </w:rPr>
        <w:t xml:space="preserve"> </w:t>
      </w:r>
      <w:r>
        <w:rPr>
          <w:rtl/>
        </w:rPr>
        <w:tab/>
      </w:r>
      <w:r>
        <w:rPr>
          <w:rFonts w:hint="cs"/>
          <w:rtl/>
        </w:rPr>
        <w:t xml:space="preserve">על פי </w:t>
      </w:r>
      <w:r w:rsidRPr="001B54C6">
        <w:rPr>
          <w:rtl/>
        </w:rPr>
        <w:t>התקנות</w:t>
      </w:r>
      <w:r>
        <w:rPr>
          <w:rFonts w:hint="cs"/>
          <w:rtl/>
        </w:rPr>
        <w:t>,</w:t>
      </w:r>
      <w:r w:rsidRPr="001B54C6">
        <w:rPr>
          <w:rtl/>
        </w:rPr>
        <w:t xml:space="preserve"> </w:t>
      </w:r>
      <w:r>
        <w:rPr>
          <w:rFonts w:hint="cs"/>
          <w:rtl/>
        </w:rPr>
        <w:t xml:space="preserve">בין </w:t>
      </w:r>
      <w:r w:rsidRPr="001B54C6">
        <w:rPr>
          <w:rtl/>
        </w:rPr>
        <w:t>תפקידי ועדת המכרזים: קביעת סוג המכרז; החלטה על פרסום מכרז ואישור מסמכי המכרז; בחינת הצעות שהוגשו במכרז או בעקבות פנייה לקבלת הצעות.</w:t>
      </w:r>
      <w:r>
        <w:rPr>
          <w:rFonts w:hint="cs"/>
          <w:rtl/>
        </w:rPr>
        <w:t xml:space="preserve"> </w:t>
      </w:r>
    </w:p>
  </w:footnote>
  <w:footnote w:id="25">
    <w:p w14:paraId="0B27B943" w14:textId="77777777" w:rsidR="00B12B1A" w:rsidRPr="002E754E" w:rsidRDefault="00B12B1A" w:rsidP="00E6567A">
      <w:pPr>
        <w:pStyle w:val="a5"/>
      </w:pPr>
      <w:r w:rsidRPr="00E6567A">
        <w:rPr>
          <w:rStyle w:val="FootnoteReference"/>
          <w:vertAlign w:val="baseline"/>
        </w:rPr>
        <w:footnoteRef/>
      </w:r>
      <w:r w:rsidRPr="00E6567A">
        <w:rPr>
          <w:rStyle w:val="FootnoteReference"/>
          <w:vertAlign w:val="baseline"/>
          <w:rtl/>
        </w:rPr>
        <w:t xml:space="preserve"> </w:t>
      </w:r>
      <w:r>
        <w:rPr>
          <w:rtl/>
        </w:rPr>
        <w:tab/>
      </w:r>
      <w:r w:rsidRPr="0041662F">
        <w:rPr>
          <w:rtl/>
        </w:rPr>
        <w:t>התמוטטות רצפ</w:t>
      </w:r>
      <w:r>
        <w:rPr>
          <w:rFonts w:hint="cs"/>
          <w:rtl/>
        </w:rPr>
        <w:t>ה</w:t>
      </w:r>
      <w:r w:rsidRPr="0041662F">
        <w:rPr>
          <w:rtl/>
        </w:rPr>
        <w:t xml:space="preserve"> </w:t>
      </w:r>
      <w:r>
        <w:rPr>
          <w:rFonts w:hint="cs"/>
          <w:rtl/>
        </w:rPr>
        <w:t>ב</w:t>
      </w:r>
      <w:r w:rsidRPr="0041662F">
        <w:rPr>
          <w:rtl/>
        </w:rPr>
        <w:t>אולם השמחות ורסאי בירושלים ב</w:t>
      </w:r>
      <w:r>
        <w:rPr>
          <w:rFonts w:hint="cs"/>
          <w:rtl/>
        </w:rPr>
        <w:t>שנת</w:t>
      </w:r>
      <w:r w:rsidRPr="0041662F">
        <w:rPr>
          <w:rtl/>
        </w:rPr>
        <w:t xml:space="preserve"> 2001, </w:t>
      </w:r>
      <w:r>
        <w:rPr>
          <w:rFonts w:hint="cs"/>
          <w:rtl/>
        </w:rPr>
        <w:t>שגרמה</w:t>
      </w:r>
      <w:r w:rsidRPr="0041662F">
        <w:rPr>
          <w:rtl/>
        </w:rPr>
        <w:t xml:space="preserve"> למותם של 23 בני אדם ולפציעת 380</w:t>
      </w:r>
      <w:r>
        <w:rPr>
          <w:rFonts w:hint="cs"/>
          <w:rtl/>
        </w:rPr>
        <w:t>.</w:t>
      </w:r>
    </w:p>
  </w:footnote>
  <w:footnote w:id="26">
    <w:p w14:paraId="0DFAE76E" w14:textId="77777777" w:rsidR="00B12B1A" w:rsidRDefault="00B12B1A" w:rsidP="00E6567A">
      <w:pPr>
        <w:pStyle w:val="a5"/>
      </w:pPr>
      <w:r w:rsidRPr="00E6567A">
        <w:rPr>
          <w:rStyle w:val="FootnoteReference"/>
          <w:vertAlign w:val="baseline"/>
        </w:rPr>
        <w:footnoteRef/>
      </w:r>
      <w:r w:rsidRPr="00E6567A">
        <w:rPr>
          <w:rStyle w:val="FootnoteReference"/>
          <w:vertAlign w:val="baseline"/>
          <w:rtl/>
        </w:rPr>
        <w:t xml:space="preserve"> </w:t>
      </w:r>
      <w:r w:rsidRPr="00F85F66">
        <w:rPr>
          <w:rtl/>
        </w:rPr>
        <w:tab/>
      </w:r>
      <w:r w:rsidRPr="000B3041">
        <w:rPr>
          <w:rFonts w:hint="cs"/>
          <w:rtl/>
        </w:rPr>
        <w:t>החלט</w:t>
      </w:r>
      <w:r>
        <w:rPr>
          <w:rFonts w:hint="cs"/>
          <w:rtl/>
        </w:rPr>
        <w:t>ת הממשלה</w:t>
      </w:r>
      <w:r w:rsidRPr="000B3041">
        <w:rPr>
          <w:rtl/>
        </w:rPr>
        <w:t xml:space="preserve"> 1515</w:t>
      </w:r>
      <w:r>
        <w:rPr>
          <w:rFonts w:hint="cs"/>
          <w:rtl/>
        </w:rPr>
        <w:t xml:space="preserve"> (15.2.04)</w:t>
      </w:r>
      <w:r w:rsidRPr="00F85F66">
        <w:rPr>
          <w:rFonts w:hint="cs"/>
          <w:rtl/>
        </w:rPr>
        <w:t>.</w:t>
      </w:r>
    </w:p>
  </w:footnote>
  <w:footnote w:id="27">
    <w:p w14:paraId="6D8D2141" w14:textId="77777777" w:rsidR="00B12B1A" w:rsidRDefault="00B12B1A" w:rsidP="00E6567A">
      <w:pPr>
        <w:pStyle w:val="a5"/>
        <w:rPr>
          <w:rtl/>
        </w:rPr>
      </w:pPr>
      <w:r w:rsidRPr="00E6567A">
        <w:rPr>
          <w:rStyle w:val="FootnoteReference"/>
          <w:vertAlign w:val="baseline"/>
        </w:rPr>
        <w:footnoteRef/>
      </w:r>
      <w:r w:rsidRPr="00E6567A">
        <w:rPr>
          <w:rStyle w:val="FootnoteReference"/>
          <w:vertAlign w:val="baseline"/>
          <w:rtl/>
        </w:rPr>
        <w:t xml:space="preserve"> </w:t>
      </w:r>
      <w:r>
        <w:rPr>
          <w:rtl/>
        </w:rPr>
        <w:tab/>
      </w:r>
      <w:r>
        <w:rPr>
          <w:rFonts w:hint="cs"/>
          <w:rtl/>
        </w:rPr>
        <w:t>החלטת הממשלה 964 (31.12.06).</w:t>
      </w:r>
    </w:p>
  </w:footnote>
  <w:footnote w:id="28">
    <w:p w14:paraId="5A41A097" w14:textId="77777777" w:rsidR="00B12B1A" w:rsidRPr="00FD3C0F" w:rsidRDefault="00B12B1A" w:rsidP="00E6567A">
      <w:pPr>
        <w:pStyle w:val="a5"/>
      </w:pPr>
      <w:r w:rsidRPr="00E6567A">
        <w:rPr>
          <w:rStyle w:val="FootnoteReference"/>
          <w:vertAlign w:val="baseline"/>
        </w:rPr>
        <w:footnoteRef/>
      </w:r>
      <w:r w:rsidRPr="00E6567A">
        <w:rPr>
          <w:rStyle w:val="FootnoteReference"/>
          <w:vertAlign w:val="baseline"/>
          <w:rtl/>
        </w:rPr>
        <w:t xml:space="preserve"> </w:t>
      </w:r>
      <w:r>
        <w:rPr>
          <w:rtl/>
        </w:rPr>
        <w:tab/>
      </w:r>
      <w:r>
        <w:rPr>
          <w:rFonts w:hint="cs"/>
          <w:rtl/>
        </w:rPr>
        <w:t xml:space="preserve">ראו: </w:t>
      </w:r>
      <w:r w:rsidRPr="000C0A77">
        <w:rPr>
          <w:rtl/>
        </w:rPr>
        <w:t xml:space="preserve">מבקר המדינה, </w:t>
      </w:r>
      <w:r w:rsidRPr="00B666C9">
        <w:rPr>
          <w:b/>
          <w:bCs/>
          <w:rtl/>
        </w:rPr>
        <w:t>דוח שנתי 65ג</w:t>
      </w:r>
      <w:r w:rsidRPr="000C0A77">
        <w:rPr>
          <w:rtl/>
        </w:rPr>
        <w:t xml:space="preserve"> (201</w:t>
      </w:r>
      <w:r>
        <w:rPr>
          <w:rFonts w:hint="cs"/>
          <w:rtl/>
        </w:rPr>
        <w:t>5</w:t>
      </w:r>
      <w:r w:rsidRPr="000C0A77">
        <w:rPr>
          <w:rtl/>
        </w:rPr>
        <w:t>), "</w:t>
      </w:r>
      <w:r w:rsidRPr="008656CC">
        <w:rPr>
          <w:rFonts w:hint="eastAsia"/>
          <w:rtl/>
        </w:rPr>
        <w:t>פעולות</w:t>
      </w:r>
      <w:r w:rsidRPr="008656CC">
        <w:rPr>
          <w:rtl/>
        </w:rPr>
        <w:t xml:space="preserve"> </w:t>
      </w:r>
      <w:r w:rsidRPr="008656CC">
        <w:rPr>
          <w:rFonts w:hint="eastAsia"/>
          <w:rtl/>
        </w:rPr>
        <w:t>הממשלה</w:t>
      </w:r>
      <w:r w:rsidRPr="008656CC">
        <w:rPr>
          <w:rtl/>
        </w:rPr>
        <w:t xml:space="preserve"> </w:t>
      </w:r>
      <w:r w:rsidRPr="008656CC">
        <w:rPr>
          <w:rFonts w:hint="eastAsia"/>
          <w:rtl/>
        </w:rPr>
        <w:t>להבטחת</w:t>
      </w:r>
      <w:r w:rsidRPr="008656CC">
        <w:rPr>
          <w:rtl/>
        </w:rPr>
        <w:t xml:space="preserve"> </w:t>
      </w:r>
      <w:r w:rsidRPr="008656CC">
        <w:rPr>
          <w:rFonts w:hint="eastAsia"/>
          <w:rtl/>
        </w:rPr>
        <w:t>האיכות</w:t>
      </w:r>
      <w:r w:rsidRPr="008656CC">
        <w:rPr>
          <w:rtl/>
        </w:rPr>
        <w:t xml:space="preserve"> </w:t>
      </w:r>
      <w:r w:rsidRPr="008656CC">
        <w:rPr>
          <w:rFonts w:hint="eastAsia"/>
          <w:rtl/>
        </w:rPr>
        <w:t>והבטיחות</w:t>
      </w:r>
      <w:r w:rsidRPr="008656CC">
        <w:rPr>
          <w:rtl/>
        </w:rPr>
        <w:t xml:space="preserve"> </w:t>
      </w:r>
      <w:r w:rsidRPr="008656CC">
        <w:rPr>
          <w:rFonts w:hint="eastAsia"/>
          <w:rtl/>
        </w:rPr>
        <w:t>בענף</w:t>
      </w:r>
      <w:r w:rsidRPr="008656CC">
        <w:rPr>
          <w:rtl/>
        </w:rPr>
        <w:t xml:space="preserve"> </w:t>
      </w:r>
      <w:r w:rsidRPr="008656CC">
        <w:rPr>
          <w:rFonts w:hint="eastAsia"/>
          <w:rtl/>
        </w:rPr>
        <w:t>הבני</w:t>
      </w:r>
      <w:r>
        <w:rPr>
          <w:rFonts w:hint="cs"/>
          <w:rtl/>
        </w:rPr>
        <w:t>י</w:t>
      </w:r>
      <w:r w:rsidRPr="008656CC">
        <w:rPr>
          <w:rFonts w:hint="eastAsia"/>
          <w:rtl/>
        </w:rPr>
        <w:t>ה</w:t>
      </w:r>
      <w:r w:rsidRPr="00FD3C0F">
        <w:rPr>
          <w:rtl/>
        </w:rPr>
        <w:t>".</w:t>
      </w:r>
    </w:p>
  </w:footnote>
  <w:footnote w:id="29">
    <w:p w14:paraId="22BAA2F0" w14:textId="77777777" w:rsidR="00B12B1A" w:rsidRPr="00E6567A" w:rsidRDefault="00B12B1A" w:rsidP="00E6567A">
      <w:pPr>
        <w:pStyle w:val="a5"/>
      </w:pPr>
      <w:r w:rsidRPr="00E6567A">
        <w:rPr>
          <w:rStyle w:val="FootnoteReference"/>
          <w:vertAlign w:val="baseline"/>
        </w:rPr>
        <w:footnoteRef/>
      </w:r>
      <w:r w:rsidRPr="00E6567A">
        <w:rPr>
          <w:rtl/>
        </w:rPr>
        <w:t xml:space="preserve"> </w:t>
      </w:r>
      <w:r w:rsidRPr="00E6567A">
        <w:rPr>
          <w:rtl/>
        </w:rPr>
        <w:tab/>
        <w:t>ארגון בין-לאומי של מהנדסים יועצים</w:t>
      </w:r>
      <w:r w:rsidRPr="00E6567A">
        <w:rPr>
          <w:rFonts w:hint="cs"/>
          <w:rtl/>
        </w:rPr>
        <w:t xml:space="preserve"> - </w:t>
      </w:r>
      <w:r w:rsidRPr="00E6567A">
        <w:t>FIDIC</w:t>
      </w:r>
      <w:r w:rsidRPr="00E6567A">
        <w:rPr>
          <w:rFonts w:hint="cs"/>
          <w:rtl/>
        </w:rPr>
        <w:t xml:space="preserve"> - </w:t>
      </w:r>
      <w:r w:rsidRPr="00E6567A">
        <w:rPr>
          <w:rtl/>
        </w:rPr>
        <w:t>המאגד כ-70 ארגונים מקצועיים מכל העולם</w:t>
      </w:r>
      <w:r w:rsidRPr="00E6567A">
        <w:rPr>
          <w:rFonts w:hint="cs"/>
          <w:rtl/>
        </w:rPr>
        <w:t>,</w:t>
      </w:r>
      <w:r w:rsidRPr="00E6567A">
        <w:rPr>
          <w:rtl/>
        </w:rPr>
        <w:t xml:space="preserve"> </w:t>
      </w:r>
      <w:r w:rsidRPr="00E6567A">
        <w:rPr>
          <w:rFonts w:hint="cs"/>
          <w:rtl/>
        </w:rPr>
        <w:t>ובהם</w:t>
      </w:r>
      <w:r w:rsidRPr="00E6567A">
        <w:rPr>
          <w:rtl/>
        </w:rPr>
        <w:t xml:space="preserve"> 28,000 משרדי מהנדסים</w:t>
      </w:r>
      <w:r w:rsidRPr="00E6567A">
        <w:rPr>
          <w:rFonts w:hint="cs"/>
          <w:rtl/>
        </w:rPr>
        <w:t xml:space="preserve"> (המקור: דוח ועדת ההיגוי המצומצמת ליישום דוח ועדת זילר, מרץ 2005)</w:t>
      </w:r>
      <w:r w:rsidRPr="00E6567A">
        <w:rPr>
          <w:rtl/>
        </w:rPr>
        <w:t>.</w:t>
      </w:r>
    </w:p>
  </w:footnote>
  <w:footnote w:id="30">
    <w:p w14:paraId="6D09A21C" w14:textId="35AEB3C9" w:rsidR="00B12B1A" w:rsidRPr="00E6567A" w:rsidRDefault="00B12B1A" w:rsidP="00E6567A">
      <w:pPr>
        <w:pStyle w:val="a5"/>
        <w:rPr>
          <w:rtl/>
        </w:rPr>
      </w:pPr>
      <w:r w:rsidRPr="00E6567A">
        <w:rPr>
          <w:rStyle w:val="FootnoteReference"/>
          <w:vertAlign w:val="baseline"/>
        </w:rPr>
        <w:footnoteRef/>
      </w:r>
      <w:r w:rsidRPr="00E6567A">
        <w:rPr>
          <w:rtl/>
        </w:rPr>
        <w:t xml:space="preserve"> </w:t>
      </w:r>
      <w:r w:rsidRPr="00E6567A">
        <w:rPr>
          <w:rtl/>
        </w:rPr>
        <w:tab/>
      </w:r>
      <w:r w:rsidRPr="00E6567A">
        <w:rPr>
          <w:rFonts w:hint="cs"/>
          <w:rtl/>
        </w:rPr>
        <w:t>במכרז של רמ"י בצוות הליבה חברים מנ</w:t>
      </w:r>
      <w:r w:rsidRPr="00E6567A">
        <w:rPr>
          <w:rtl/>
        </w:rPr>
        <w:t>הל</w:t>
      </w:r>
      <w:r w:rsidRPr="00E6567A">
        <w:rPr>
          <w:rFonts w:hint="cs"/>
          <w:rtl/>
        </w:rPr>
        <w:t xml:space="preserve"> </w:t>
      </w:r>
      <w:r w:rsidRPr="00E6567A">
        <w:rPr>
          <w:rtl/>
        </w:rPr>
        <w:t>התכנון ושני אדריכלים</w:t>
      </w:r>
      <w:r w:rsidRPr="00E6567A">
        <w:rPr>
          <w:rFonts w:hint="cs"/>
          <w:rtl/>
        </w:rPr>
        <w:t>. במכרז של משרד הבינוי בצוות הליבה חברים מנהל פרויקט, אדריכל וארבעה אנשי צוות נוספים: אדריכל, אדריכל נוף, מתכנן תנועה ומתכנן כבישים וניקוז.</w:t>
      </w:r>
    </w:p>
  </w:footnote>
  <w:footnote w:id="31">
    <w:p w14:paraId="259CEC9B" w14:textId="77777777" w:rsidR="00B12B1A" w:rsidRPr="00E6567A" w:rsidRDefault="00B12B1A" w:rsidP="00E6567A">
      <w:pPr>
        <w:pStyle w:val="a5"/>
        <w:rPr>
          <w:rtl/>
        </w:rPr>
      </w:pPr>
      <w:r w:rsidRPr="00E6567A">
        <w:rPr>
          <w:rStyle w:val="FootnoteReference"/>
          <w:vertAlign w:val="baseline"/>
        </w:rPr>
        <w:footnoteRef/>
      </w:r>
      <w:r w:rsidRPr="00E6567A">
        <w:rPr>
          <w:rtl/>
        </w:rPr>
        <w:t xml:space="preserve"> </w:t>
      </w:r>
      <w:r w:rsidRPr="00E6567A">
        <w:rPr>
          <w:rtl/>
        </w:rPr>
        <w:tab/>
      </w:r>
      <w:r w:rsidRPr="00E6567A">
        <w:rPr>
          <w:rFonts w:hint="cs"/>
          <w:rtl/>
        </w:rPr>
        <w:t xml:space="preserve">במכרז של רמ"י הוגשה הצעה כספית על פי יחידת השכר הבסיסית שרמ"י קבעה. במכרז של משרד הבינוי הצעה כספית ניתנה על בסיס עמלת ניהול התכנון. </w:t>
      </w:r>
    </w:p>
  </w:footnote>
  <w:footnote w:id="32">
    <w:p w14:paraId="102DC776" w14:textId="77777777" w:rsidR="00B12B1A" w:rsidRPr="00E6567A" w:rsidRDefault="00B12B1A" w:rsidP="00E6567A">
      <w:pPr>
        <w:pStyle w:val="a5"/>
        <w:rPr>
          <w:rtl/>
        </w:rPr>
      </w:pPr>
      <w:r w:rsidRPr="00E6567A">
        <w:rPr>
          <w:rStyle w:val="FootnoteReference"/>
          <w:vertAlign w:val="baseline"/>
        </w:rPr>
        <w:footnoteRef/>
      </w:r>
      <w:r w:rsidRPr="00E6567A">
        <w:rPr>
          <w:rtl/>
        </w:rPr>
        <w:t xml:space="preserve"> </w:t>
      </w:r>
      <w:r w:rsidRPr="00E6567A">
        <w:rPr>
          <w:rtl/>
        </w:rPr>
        <w:tab/>
      </w:r>
      <w:r w:rsidRPr="00E6567A">
        <w:rPr>
          <w:rFonts w:hint="cs"/>
          <w:rtl/>
        </w:rPr>
        <w:t>ל</w:t>
      </w:r>
      <w:r w:rsidRPr="00E6567A">
        <w:rPr>
          <w:rtl/>
        </w:rPr>
        <w:t xml:space="preserve">תכנון הקרקע </w:t>
      </w:r>
      <w:r w:rsidRPr="00E6567A">
        <w:rPr>
          <w:rFonts w:hint="cs"/>
          <w:rtl/>
        </w:rPr>
        <w:t>ברמ"י אחראית</w:t>
      </w:r>
      <w:r w:rsidRPr="00E6567A">
        <w:rPr>
          <w:rtl/>
        </w:rPr>
        <w:t xml:space="preserve"> חטיבה עסקית </w:t>
      </w:r>
      <w:r w:rsidRPr="00E6567A">
        <w:rPr>
          <w:rFonts w:hint="cs"/>
          <w:rtl/>
        </w:rPr>
        <w:t>המורכבת</w:t>
      </w:r>
      <w:r w:rsidRPr="00E6567A">
        <w:rPr>
          <w:rtl/>
        </w:rPr>
        <w:t xml:space="preserve"> </w:t>
      </w:r>
      <w:r w:rsidRPr="00E6567A">
        <w:rPr>
          <w:rFonts w:hint="cs"/>
          <w:rtl/>
        </w:rPr>
        <w:t>מ</w:t>
      </w:r>
      <w:r w:rsidRPr="00E6567A">
        <w:rPr>
          <w:rtl/>
        </w:rPr>
        <w:t>מטה ושישה מרחבים: דרום, צפון, מרכז, ירושלים, תל אביב וחיפה.</w:t>
      </w:r>
    </w:p>
  </w:footnote>
  <w:footnote w:id="33">
    <w:p w14:paraId="4749A27A" w14:textId="77777777" w:rsidR="00B12B1A" w:rsidRPr="00E6567A" w:rsidRDefault="00B12B1A" w:rsidP="00E6567A">
      <w:pPr>
        <w:pStyle w:val="a5"/>
      </w:pPr>
      <w:r w:rsidRPr="00E6567A">
        <w:rPr>
          <w:rStyle w:val="FootnoteReference"/>
          <w:vertAlign w:val="baseline"/>
        </w:rPr>
        <w:footnoteRef/>
      </w:r>
      <w:r w:rsidRPr="00E6567A">
        <w:rPr>
          <w:rtl/>
        </w:rPr>
        <w:t xml:space="preserve"> </w:t>
      </w:r>
      <w:r w:rsidRPr="00E6567A">
        <w:rPr>
          <w:rtl/>
        </w:rPr>
        <w:tab/>
      </w:r>
      <w:r w:rsidRPr="00E6567A">
        <w:rPr>
          <w:b/>
          <w:bCs/>
          <w:rtl/>
        </w:rPr>
        <w:t xml:space="preserve">דוח שנתי </w:t>
      </w:r>
      <w:r w:rsidRPr="00E6567A">
        <w:rPr>
          <w:rFonts w:hint="cs"/>
          <w:b/>
          <w:bCs/>
          <w:rtl/>
        </w:rPr>
        <w:t>69</w:t>
      </w:r>
      <w:r w:rsidRPr="00E6567A">
        <w:rPr>
          <w:b/>
          <w:bCs/>
          <w:rtl/>
        </w:rPr>
        <w:t>ב</w:t>
      </w:r>
      <w:r w:rsidRPr="00E6567A">
        <w:rPr>
          <w:rtl/>
        </w:rPr>
        <w:t xml:space="preserve"> (2019), "</w:t>
      </w:r>
      <w:r w:rsidRPr="00E6567A">
        <w:rPr>
          <w:rFonts w:hint="cs"/>
          <w:rtl/>
        </w:rPr>
        <w:t>היבטים</w:t>
      </w:r>
      <w:r w:rsidRPr="00E6567A">
        <w:rPr>
          <w:rtl/>
        </w:rPr>
        <w:t xml:space="preserve"> בהתקשרויות משרדי הממשלה בתחום התקשוב", עמ' 4</w:t>
      </w:r>
      <w:r w:rsidRPr="00E6567A">
        <w:rPr>
          <w:rFonts w:hint="cs"/>
          <w:rtl/>
        </w:rPr>
        <w:t>62</w:t>
      </w:r>
      <w:r w:rsidRPr="00E6567A">
        <w:rPr>
          <w:rtl/>
        </w:rPr>
        <w:t>.</w:t>
      </w:r>
    </w:p>
  </w:footnote>
  <w:footnote w:id="34">
    <w:p w14:paraId="6EEB0D64" w14:textId="77777777" w:rsidR="00B12B1A" w:rsidRPr="00E6567A" w:rsidRDefault="00B12B1A" w:rsidP="00E6567A">
      <w:pPr>
        <w:pStyle w:val="a5"/>
      </w:pPr>
      <w:r w:rsidRPr="00E6567A">
        <w:rPr>
          <w:rStyle w:val="FootnoteReference"/>
          <w:vertAlign w:val="baseline"/>
        </w:rPr>
        <w:footnoteRef/>
      </w:r>
      <w:r w:rsidRPr="00E6567A">
        <w:rPr>
          <w:rtl/>
        </w:rPr>
        <w:t xml:space="preserve"> </w:t>
      </w:r>
      <w:r w:rsidRPr="00E6567A">
        <w:rPr>
          <w:rtl/>
        </w:rPr>
        <w:tab/>
      </w:r>
      <w:r w:rsidRPr="00E6567A">
        <w:rPr>
          <w:rFonts w:hint="eastAsia"/>
          <w:b/>
          <w:bCs/>
          <w:rtl/>
        </w:rPr>
        <w:t>דוח</w:t>
      </w:r>
      <w:r w:rsidRPr="00E6567A">
        <w:rPr>
          <w:b/>
          <w:bCs/>
          <w:rtl/>
        </w:rPr>
        <w:t xml:space="preserve"> שנתי 66א </w:t>
      </w:r>
      <w:r w:rsidRPr="00E6567A">
        <w:rPr>
          <w:rFonts w:hint="cs"/>
          <w:rtl/>
        </w:rPr>
        <w:t>(2015), "הטיפול בעסקים קטנים ובינוניים", עמ' 357.</w:t>
      </w:r>
    </w:p>
  </w:footnote>
  <w:footnote w:id="35">
    <w:p w14:paraId="4A6DA4D2" w14:textId="77777777" w:rsidR="00B12B1A" w:rsidRPr="00E6567A" w:rsidRDefault="00B12B1A" w:rsidP="00E6567A">
      <w:pPr>
        <w:pStyle w:val="a5"/>
      </w:pPr>
      <w:r w:rsidRPr="00E6567A">
        <w:rPr>
          <w:rStyle w:val="FootnoteReference"/>
          <w:vertAlign w:val="baseline"/>
        </w:rPr>
        <w:footnoteRef/>
      </w:r>
      <w:r w:rsidRPr="00E6567A">
        <w:rPr>
          <w:rtl/>
        </w:rPr>
        <w:t xml:space="preserve"> </w:t>
      </w:r>
      <w:r w:rsidRPr="00E6567A">
        <w:rPr>
          <w:rtl/>
        </w:rPr>
        <w:tab/>
      </w:r>
      <w:r w:rsidRPr="00E6567A">
        <w:rPr>
          <w:rFonts w:hint="cs"/>
          <w:rtl/>
        </w:rPr>
        <w:t>עסק ש</w:t>
      </w:r>
      <w:r w:rsidRPr="00E6567A">
        <w:rPr>
          <w:rtl/>
        </w:rPr>
        <w:t>מעסיק בין שישה ל-20 עובדים</w:t>
      </w:r>
      <w:r w:rsidRPr="00E6567A">
        <w:rPr>
          <w:rFonts w:hint="cs"/>
          <w:rtl/>
        </w:rPr>
        <w:t>,</w:t>
      </w:r>
      <w:r w:rsidRPr="00E6567A">
        <w:rPr>
          <w:rtl/>
        </w:rPr>
        <w:t xml:space="preserve"> או שמחזור העסקאות השנתי שלו עולה על 2 מיליון </w:t>
      </w:r>
      <w:r w:rsidRPr="00E6567A">
        <w:rPr>
          <w:rFonts w:hint="cs"/>
          <w:rtl/>
        </w:rPr>
        <w:t>ש"ח</w:t>
      </w:r>
      <w:r w:rsidRPr="00E6567A">
        <w:rPr>
          <w:rtl/>
        </w:rPr>
        <w:t xml:space="preserve"> אך אינו עולה על 20 מיליון </w:t>
      </w:r>
      <w:r w:rsidRPr="00E6567A">
        <w:rPr>
          <w:rFonts w:hint="cs"/>
          <w:rtl/>
        </w:rPr>
        <w:t>ש"ח.</w:t>
      </w:r>
    </w:p>
  </w:footnote>
  <w:footnote w:id="36">
    <w:p w14:paraId="6B58F0EA" w14:textId="77777777" w:rsidR="00B12B1A" w:rsidRPr="00E6567A" w:rsidRDefault="00B12B1A" w:rsidP="00E6567A">
      <w:pPr>
        <w:pStyle w:val="a5"/>
        <w:rPr>
          <w:rtl/>
        </w:rPr>
      </w:pPr>
      <w:r w:rsidRPr="00E6567A">
        <w:rPr>
          <w:rStyle w:val="FootnoteReference"/>
          <w:vertAlign w:val="baseline"/>
        </w:rPr>
        <w:footnoteRef/>
      </w:r>
      <w:r w:rsidRPr="00E6567A">
        <w:rPr>
          <w:rtl/>
        </w:rPr>
        <w:t xml:space="preserve"> </w:t>
      </w:r>
      <w:r w:rsidRPr="00E6567A">
        <w:rPr>
          <w:rtl/>
        </w:rPr>
        <w:tab/>
      </w:r>
      <w:r w:rsidRPr="00E6567A">
        <w:rPr>
          <w:rFonts w:hint="cs"/>
          <w:rtl/>
        </w:rPr>
        <w:t>עסק</w:t>
      </w:r>
      <w:r w:rsidRPr="00E6567A">
        <w:rPr>
          <w:rtl/>
        </w:rPr>
        <w:t xml:space="preserve"> </w:t>
      </w:r>
      <w:r w:rsidRPr="00E6567A">
        <w:rPr>
          <w:rFonts w:hint="cs"/>
          <w:rtl/>
        </w:rPr>
        <w:t>ש</w:t>
      </w:r>
      <w:r w:rsidRPr="00E6567A">
        <w:rPr>
          <w:rtl/>
        </w:rPr>
        <w:t>מעסיק בין 21 ל-100 עובדים</w:t>
      </w:r>
      <w:r w:rsidRPr="00E6567A">
        <w:rPr>
          <w:rFonts w:hint="cs"/>
          <w:rtl/>
        </w:rPr>
        <w:t>,</w:t>
      </w:r>
      <w:r w:rsidRPr="00E6567A">
        <w:rPr>
          <w:rtl/>
        </w:rPr>
        <w:t xml:space="preserve"> או שמחזור העסקאות השנתי שלו עולה על 20 מיליון </w:t>
      </w:r>
      <w:r w:rsidRPr="00E6567A">
        <w:rPr>
          <w:rFonts w:hint="cs"/>
          <w:rtl/>
        </w:rPr>
        <w:t>ש"ח</w:t>
      </w:r>
      <w:r w:rsidRPr="00E6567A">
        <w:rPr>
          <w:rtl/>
        </w:rPr>
        <w:t xml:space="preserve"> אך אינו עולה על 100 מיליון </w:t>
      </w:r>
      <w:r w:rsidRPr="00E6567A">
        <w:rPr>
          <w:rFonts w:hint="cs"/>
          <w:rtl/>
        </w:rPr>
        <w:t>ש"ח.</w:t>
      </w:r>
    </w:p>
  </w:footnote>
  <w:footnote w:id="37">
    <w:p w14:paraId="4E1F3F09" w14:textId="77777777" w:rsidR="00B12B1A" w:rsidRPr="00E6567A" w:rsidRDefault="00B12B1A" w:rsidP="00E6567A">
      <w:pPr>
        <w:pStyle w:val="a5"/>
      </w:pPr>
      <w:r w:rsidRPr="00E6567A">
        <w:rPr>
          <w:rStyle w:val="FootnoteReference"/>
          <w:vertAlign w:val="baseline"/>
        </w:rPr>
        <w:footnoteRef/>
      </w:r>
      <w:r w:rsidRPr="00E6567A">
        <w:rPr>
          <w:rtl/>
        </w:rPr>
        <w:t xml:space="preserve"> </w:t>
      </w:r>
      <w:r w:rsidRPr="00E6567A">
        <w:rPr>
          <w:rtl/>
        </w:rPr>
        <w:tab/>
      </w:r>
      <w:r w:rsidRPr="00E6567A">
        <w:rPr>
          <w:rFonts w:hint="cs"/>
          <w:rtl/>
        </w:rPr>
        <w:t>עסק ש</w:t>
      </w:r>
      <w:r w:rsidRPr="00E6567A">
        <w:rPr>
          <w:rtl/>
        </w:rPr>
        <w:t>מעסיק עד חמישה עובדים</w:t>
      </w:r>
      <w:r w:rsidRPr="00E6567A">
        <w:rPr>
          <w:rFonts w:hint="cs"/>
          <w:rtl/>
        </w:rPr>
        <w:t>,</w:t>
      </w:r>
      <w:r w:rsidRPr="00E6567A">
        <w:rPr>
          <w:rtl/>
        </w:rPr>
        <w:t xml:space="preserve"> או שמחזור העסקאות השנתי שלו אינו עולה על 2 מיליון ש</w:t>
      </w:r>
      <w:r w:rsidRPr="00E6567A">
        <w:rPr>
          <w:rFonts w:hint="cs"/>
          <w:rtl/>
        </w:rPr>
        <w:t>"ח.</w:t>
      </w:r>
    </w:p>
  </w:footnote>
  <w:footnote w:id="38">
    <w:p w14:paraId="1FC22A31" w14:textId="77777777" w:rsidR="00B12B1A" w:rsidRPr="00E6567A" w:rsidRDefault="00B12B1A" w:rsidP="00E6567A">
      <w:pPr>
        <w:pStyle w:val="a5"/>
        <w:rPr>
          <w:rtl/>
        </w:rPr>
      </w:pPr>
      <w:r w:rsidRPr="00E6567A">
        <w:rPr>
          <w:rStyle w:val="FootnoteReference"/>
          <w:vertAlign w:val="baseline"/>
        </w:rPr>
        <w:footnoteRef/>
      </w:r>
      <w:r w:rsidRPr="00E6567A">
        <w:rPr>
          <w:rtl/>
        </w:rPr>
        <w:t xml:space="preserve"> </w:t>
      </w:r>
      <w:r w:rsidRPr="00E6567A">
        <w:rPr>
          <w:rtl/>
        </w:rPr>
        <w:tab/>
        <w:t>ס"ח תשע"ו מס' 2580 מיום 16.8.16</w:t>
      </w:r>
      <w:r w:rsidRPr="00E6567A">
        <w:rPr>
          <w:rFonts w:hint="cs"/>
          <w:rtl/>
        </w:rPr>
        <w:t>,</w:t>
      </w:r>
      <w:r w:rsidRPr="00E6567A">
        <w:rPr>
          <w:rtl/>
        </w:rPr>
        <w:t xml:space="preserve"> עמ' 1226 (ה"ח הכנסת תשע"ו מס' 645 עמ' 138) - תיקון מס' 25</w:t>
      </w:r>
      <w:r w:rsidRPr="00E6567A">
        <w:rPr>
          <w:rFonts w:hint="cs"/>
          <w:rtl/>
        </w:rPr>
        <w:t>.</w:t>
      </w:r>
    </w:p>
  </w:footnote>
  <w:footnote w:id="39">
    <w:p w14:paraId="76D95F2E" w14:textId="77777777" w:rsidR="00B12B1A" w:rsidRPr="00E6567A" w:rsidRDefault="00B12B1A" w:rsidP="00E6567A">
      <w:pPr>
        <w:pStyle w:val="a5"/>
        <w:rPr>
          <w:rtl/>
        </w:rPr>
      </w:pPr>
      <w:r w:rsidRPr="00E6567A">
        <w:rPr>
          <w:rStyle w:val="FootnoteReference"/>
          <w:vertAlign w:val="baseline"/>
        </w:rPr>
        <w:footnoteRef/>
      </w:r>
      <w:r w:rsidRPr="00E6567A">
        <w:rPr>
          <w:rtl/>
        </w:rPr>
        <w:t xml:space="preserve"> </w:t>
      </w:r>
      <w:r w:rsidRPr="00E6567A">
        <w:rPr>
          <w:rtl/>
        </w:rPr>
        <w:tab/>
      </w:r>
      <w:r w:rsidRPr="00E6567A">
        <w:rPr>
          <w:rFonts w:hint="cs"/>
          <w:rtl/>
        </w:rPr>
        <w:t>הוראת התכ"ם 7.12.7 מיום 27.8.13.</w:t>
      </w:r>
    </w:p>
  </w:footnote>
  <w:footnote w:id="40">
    <w:p w14:paraId="0C256F8F" w14:textId="77777777" w:rsidR="00B12B1A" w:rsidRPr="00E6567A" w:rsidRDefault="00B12B1A" w:rsidP="00E6567A">
      <w:pPr>
        <w:pStyle w:val="a5"/>
        <w:rPr>
          <w:rtl/>
        </w:rPr>
      </w:pPr>
      <w:r w:rsidRPr="00E6567A">
        <w:rPr>
          <w:rStyle w:val="FootnoteReference"/>
          <w:vertAlign w:val="baseline"/>
        </w:rPr>
        <w:footnoteRef/>
      </w:r>
      <w:r w:rsidRPr="00E6567A">
        <w:rPr>
          <w:rtl/>
        </w:rPr>
        <w:t xml:space="preserve"> </w:t>
      </w:r>
      <w:r w:rsidRPr="00E6567A">
        <w:rPr>
          <w:rtl/>
        </w:rPr>
        <w:tab/>
      </w:r>
      <w:r w:rsidRPr="00E6567A">
        <w:rPr>
          <w:rFonts w:hint="cs"/>
          <w:rtl/>
        </w:rPr>
        <w:t xml:space="preserve">הוראת התכ"ם 7.4.2.7 מיום 9.1.17. </w:t>
      </w:r>
    </w:p>
  </w:footnote>
  <w:footnote w:id="41">
    <w:p w14:paraId="13358091" w14:textId="77777777" w:rsidR="00B12B1A" w:rsidRDefault="00B12B1A" w:rsidP="00E6567A">
      <w:pPr>
        <w:pStyle w:val="a5"/>
        <w:rPr>
          <w:rtl/>
        </w:rPr>
      </w:pPr>
      <w:r w:rsidRPr="00E6567A">
        <w:rPr>
          <w:rStyle w:val="FootnoteReference"/>
          <w:vertAlign w:val="baseline"/>
        </w:rPr>
        <w:footnoteRef/>
      </w:r>
      <w:r w:rsidRPr="00E6567A">
        <w:rPr>
          <w:rtl/>
        </w:rPr>
        <w:t xml:space="preserve"> </w:t>
      </w:r>
      <w:r w:rsidRPr="00E6567A">
        <w:rPr>
          <w:rtl/>
        </w:rPr>
        <w:tab/>
        <w:t xml:space="preserve">האגף עוסק בייזום, </w:t>
      </w:r>
      <w:r w:rsidRPr="00E6567A">
        <w:rPr>
          <w:rFonts w:hint="cs"/>
          <w:rtl/>
        </w:rPr>
        <w:t>ב</w:t>
      </w:r>
      <w:r w:rsidRPr="00E6567A">
        <w:rPr>
          <w:rtl/>
        </w:rPr>
        <w:t>תכנון</w:t>
      </w:r>
      <w:r w:rsidRPr="00E6567A">
        <w:rPr>
          <w:rFonts w:hint="cs"/>
          <w:rtl/>
        </w:rPr>
        <w:t xml:space="preserve"> </w:t>
      </w:r>
      <w:r w:rsidRPr="00E6567A">
        <w:rPr>
          <w:rtl/>
        </w:rPr>
        <w:t>ו</w:t>
      </w:r>
      <w:r w:rsidRPr="00E6567A">
        <w:rPr>
          <w:rFonts w:hint="cs"/>
          <w:rtl/>
        </w:rPr>
        <w:t>ב</w:t>
      </w:r>
      <w:r w:rsidRPr="00E6567A">
        <w:rPr>
          <w:rtl/>
        </w:rPr>
        <w:t>הוצאה אל הפועל של פרויקטים בתחום הבינוי, ובפיתוח ו</w:t>
      </w:r>
      <w:r w:rsidRPr="00E6567A">
        <w:rPr>
          <w:rFonts w:hint="cs"/>
          <w:rtl/>
        </w:rPr>
        <w:t>ת</w:t>
      </w:r>
      <w:r w:rsidRPr="00E6567A">
        <w:rPr>
          <w:rtl/>
        </w:rPr>
        <w:t>חז</w:t>
      </w:r>
      <w:r w:rsidRPr="00E6567A">
        <w:rPr>
          <w:rFonts w:hint="cs"/>
          <w:rtl/>
        </w:rPr>
        <w:t>ו</w:t>
      </w:r>
      <w:r w:rsidRPr="00E6567A">
        <w:rPr>
          <w:rtl/>
        </w:rPr>
        <w:t>ק</w:t>
      </w:r>
      <w:r w:rsidRPr="00E6567A">
        <w:rPr>
          <w:rFonts w:hint="cs"/>
          <w:rtl/>
        </w:rPr>
        <w:t>ה של</w:t>
      </w:r>
      <w:r w:rsidRPr="00E6567A">
        <w:rPr>
          <w:rtl/>
        </w:rPr>
        <w:t xml:space="preserve"> מבנים ותשתיות</w:t>
      </w:r>
      <w:r w:rsidRPr="00083BF7">
        <w:rPr>
          <w:rtl/>
        </w:rPr>
        <w:t xml:space="preserve"> </w:t>
      </w:r>
      <w:r>
        <w:rPr>
          <w:rFonts w:hint="cs"/>
          <w:rtl/>
        </w:rPr>
        <w:t>ב</w:t>
      </w:r>
      <w:r w:rsidRPr="00083BF7">
        <w:rPr>
          <w:rtl/>
        </w:rPr>
        <w:t xml:space="preserve">מערכת הביטחון. </w:t>
      </w:r>
      <w:r w:rsidRPr="00083BF7">
        <w:rPr>
          <w:rFonts w:ascii="Arial" w:hAnsi="Arial" w:cs="Arial" w:hint="cs"/>
          <w:rtl/>
        </w:rPr>
        <w:t>​​</w:t>
      </w:r>
    </w:p>
  </w:footnote>
  <w:footnote w:id="42">
    <w:p w14:paraId="0691F653" w14:textId="77777777" w:rsidR="00B12B1A" w:rsidRPr="00E6567A" w:rsidRDefault="00B12B1A" w:rsidP="00E6567A">
      <w:pPr>
        <w:pStyle w:val="a5"/>
      </w:pPr>
      <w:r w:rsidRPr="00E6567A">
        <w:rPr>
          <w:rStyle w:val="FootnoteReference"/>
          <w:vertAlign w:val="baseline"/>
        </w:rPr>
        <w:footnoteRef/>
      </w:r>
      <w:r w:rsidRPr="00E6567A">
        <w:rPr>
          <w:rtl/>
        </w:rPr>
        <w:t xml:space="preserve"> </w:t>
      </w:r>
      <w:r w:rsidRPr="00E6567A">
        <w:rPr>
          <w:rtl/>
        </w:rPr>
        <w:tab/>
        <w:t xml:space="preserve">הסוכנות לעסקים קטנים ובינוניים </w:t>
      </w:r>
      <w:r w:rsidRPr="00E6567A">
        <w:rPr>
          <w:rFonts w:hint="cs"/>
          <w:rtl/>
        </w:rPr>
        <w:t>ב</w:t>
      </w:r>
      <w:r w:rsidRPr="00E6567A">
        <w:rPr>
          <w:rtl/>
        </w:rPr>
        <w:t xml:space="preserve">משרד הכלכלה והתעשייה </w:t>
      </w:r>
      <w:r w:rsidRPr="00E6567A">
        <w:rPr>
          <w:rFonts w:hint="cs"/>
          <w:rtl/>
        </w:rPr>
        <w:t>פ</w:t>
      </w:r>
      <w:r w:rsidRPr="00E6567A">
        <w:rPr>
          <w:rtl/>
        </w:rPr>
        <w:t xml:space="preserve">ועלת מתוקף החלטת הממשלה </w:t>
      </w:r>
      <w:r w:rsidRPr="00E6567A">
        <w:rPr>
          <w:rFonts w:hint="cs"/>
          <w:rtl/>
        </w:rPr>
        <w:t xml:space="preserve">2190 (12.8.07) </w:t>
      </w:r>
      <w:r w:rsidRPr="00E6567A">
        <w:rPr>
          <w:rtl/>
        </w:rPr>
        <w:t>לעידוד פעילותם של עסקים קטנים ובינוניים.</w:t>
      </w:r>
      <w:r w:rsidRPr="00E6567A">
        <w:rPr>
          <w:rFonts w:hint="cs"/>
          <w:rtl/>
        </w:rPr>
        <w:t xml:space="preserve"> </w:t>
      </w:r>
      <w:r w:rsidRPr="00E6567A">
        <w:rPr>
          <w:rtl/>
        </w:rPr>
        <w:t>הסוכנות מפעילה מגוון כלי סיוע ותוכניות אשראי לעידוד יזמים ו</w:t>
      </w:r>
      <w:r w:rsidRPr="00E6567A">
        <w:rPr>
          <w:rFonts w:hint="cs"/>
          <w:rtl/>
        </w:rPr>
        <w:t>ל</w:t>
      </w:r>
      <w:r w:rsidRPr="00E6567A">
        <w:rPr>
          <w:rtl/>
        </w:rPr>
        <w:t>פיתוח עסקים קיימים.</w:t>
      </w:r>
    </w:p>
  </w:footnote>
  <w:footnote w:id="43">
    <w:p w14:paraId="28A371BF" w14:textId="77777777" w:rsidR="00B12B1A" w:rsidRPr="00E6567A" w:rsidRDefault="00B12B1A" w:rsidP="00E6567A">
      <w:pPr>
        <w:pStyle w:val="a5"/>
        <w:rPr>
          <w:rtl/>
        </w:rPr>
      </w:pPr>
      <w:r w:rsidRPr="00E6567A">
        <w:rPr>
          <w:rStyle w:val="FootnoteReference"/>
          <w:vertAlign w:val="baseline"/>
        </w:rPr>
        <w:footnoteRef/>
      </w:r>
      <w:r w:rsidRPr="00E6567A">
        <w:rPr>
          <w:rtl/>
        </w:rPr>
        <w:t xml:space="preserve"> </w:t>
      </w:r>
      <w:r w:rsidRPr="00E6567A">
        <w:rPr>
          <w:rtl/>
        </w:rPr>
        <w:tab/>
      </w:r>
      <w:r w:rsidRPr="00E6567A">
        <w:rPr>
          <w:rFonts w:hint="cs"/>
          <w:rtl/>
        </w:rPr>
        <w:t xml:space="preserve">באוגוסט 2011, בעקבות מחאה חברתית, הקימה הממשלה ועדת מומחים שמטרתה לבחון ולהציע פתרונות למצוקת יוקר המחיה בישראל - הוועדה לשינוי כלכלי חברתי, בראשותו של פרופ' מנואל טרכטנברג. </w:t>
      </w:r>
    </w:p>
  </w:footnote>
  <w:footnote w:id="44">
    <w:p w14:paraId="214F6A94" w14:textId="77777777" w:rsidR="00B12B1A" w:rsidRPr="00E6567A" w:rsidRDefault="00B12B1A" w:rsidP="00E6567A">
      <w:pPr>
        <w:pStyle w:val="a5"/>
      </w:pPr>
      <w:r w:rsidRPr="00E6567A">
        <w:rPr>
          <w:rStyle w:val="FootnoteReference"/>
          <w:vertAlign w:val="baseline"/>
        </w:rPr>
        <w:footnoteRef/>
      </w:r>
      <w:r w:rsidRPr="00E6567A">
        <w:rPr>
          <w:rtl/>
        </w:rPr>
        <w:t xml:space="preserve"> </w:t>
      </w:r>
      <w:r w:rsidRPr="00E6567A">
        <w:rPr>
          <w:rtl/>
        </w:rPr>
        <w:tab/>
      </w:r>
      <w:r w:rsidRPr="00E6567A">
        <w:rPr>
          <w:rFonts w:hint="cs"/>
          <w:rtl/>
        </w:rPr>
        <w:t>פרק "הדיור, עיקרי ההמלצות", עמ' 197.</w:t>
      </w:r>
    </w:p>
  </w:footnote>
  <w:footnote w:id="45">
    <w:p w14:paraId="7EB88076" w14:textId="77777777" w:rsidR="00B12B1A" w:rsidRPr="00E6567A" w:rsidRDefault="00B12B1A" w:rsidP="00E6567A">
      <w:pPr>
        <w:pStyle w:val="a5"/>
      </w:pPr>
      <w:r w:rsidRPr="00E6567A">
        <w:rPr>
          <w:rStyle w:val="FootnoteReference"/>
          <w:vertAlign w:val="baseline"/>
        </w:rPr>
        <w:footnoteRef/>
      </w:r>
      <w:r w:rsidRPr="00E6567A">
        <w:rPr>
          <w:rtl/>
        </w:rPr>
        <w:t xml:space="preserve"> </w:t>
      </w:r>
      <w:r w:rsidRPr="00E6567A">
        <w:rPr>
          <w:rtl/>
        </w:rPr>
        <w:tab/>
      </w:r>
      <w:r w:rsidRPr="00E6567A">
        <w:rPr>
          <w:rFonts w:hint="eastAsia"/>
          <w:rtl/>
        </w:rPr>
        <w:t>בנק</w:t>
      </w:r>
      <w:r w:rsidRPr="00E6567A">
        <w:rPr>
          <w:rtl/>
        </w:rPr>
        <w:t xml:space="preserve"> </w:t>
      </w:r>
      <w:r w:rsidRPr="00E6567A">
        <w:rPr>
          <w:rFonts w:hint="eastAsia"/>
          <w:rtl/>
        </w:rPr>
        <w:t>ישראל</w:t>
      </w:r>
      <w:r w:rsidRPr="00E6567A">
        <w:rPr>
          <w:rtl/>
        </w:rPr>
        <w:t xml:space="preserve">, </w:t>
      </w:r>
      <w:r w:rsidRPr="00E6567A">
        <w:rPr>
          <w:rFonts w:hint="eastAsia"/>
          <w:b/>
          <w:bCs/>
          <w:rtl/>
        </w:rPr>
        <w:t>דין</w:t>
      </w:r>
      <w:r w:rsidRPr="00E6567A">
        <w:rPr>
          <w:b/>
          <w:bCs/>
          <w:rtl/>
        </w:rPr>
        <w:t xml:space="preserve"> </w:t>
      </w:r>
      <w:r w:rsidRPr="00E6567A">
        <w:rPr>
          <w:rFonts w:hint="eastAsia"/>
          <w:b/>
          <w:bCs/>
          <w:rtl/>
        </w:rPr>
        <w:t>וחשבון</w:t>
      </w:r>
      <w:r w:rsidRPr="00E6567A">
        <w:rPr>
          <w:b/>
          <w:bCs/>
          <w:rtl/>
        </w:rPr>
        <w:t xml:space="preserve"> 2014</w:t>
      </w:r>
      <w:r w:rsidRPr="00E6567A">
        <w:rPr>
          <w:rtl/>
        </w:rPr>
        <w:t xml:space="preserve">, </w:t>
      </w:r>
      <w:r w:rsidRPr="00E6567A">
        <w:rPr>
          <w:rFonts w:hint="eastAsia"/>
          <w:rtl/>
        </w:rPr>
        <w:t>עמ</w:t>
      </w:r>
      <w:r w:rsidRPr="00E6567A">
        <w:rPr>
          <w:rtl/>
        </w:rPr>
        <w:t>'</w:t>
      </w:r>
      <w:r w:rsidRPr="00E6567A">
        <w:rPr>
          <w:rFonts w:hint="cs"/>
          <w:rtl/>
        </w:rPr>
        <w:t xml:space="preserve"> 178. בדוח צוין כי האומדן נערך בשנת 2011 על יסוד המידע הזמין עד אז. </w:t>
      </w:r>
    </w:p>
  </w:footnote>
  <w:footnote w:id="46">
    <w:p w14:paraId="072520C3" w14:textId="77777777" w:rsidR="00B12B1A" w:rsidRPr="00E6567A" w:rsidRDefault="00B12B1A" w:rsidP="00E6567A">
      <w:pPr>
        <w:pStyle w:val="a5"/>
        <w:rPr>
          <w:rtl/>
        </w:rPr>
      </w:pPr>
      <w:r w:rsidRPr="00E6567A">
        <w:rPr>
          <w:rStyle w:val="FootnoteReference"/>
          <w:vertAlign w:val="baseline"/>
        </w:rPr>
        <w:footnoteRef/>
      </w:r>
      <w:r w:rsidRPr="00E6567A">
        <w:rPr>
          <w:rtl/>
        </w:rPr>
        <w:t xml:space="preserve"> </w:t>
      </w:r>
      <w:r w:rsidRPr="00E6567A">
        <w:rPr>
          <w:rtl/>
        </w:rPr>
        <w:tab/>
      </w:r>
      <w:r w:rsidRPr="00E6567A">
        <w:rPr>
          <w:rFonts w:hint="cs"/>
          <w:rtl/>
        </w:rPr>
        <w:t>שנתון של מינהל התכנון לשנת 2018, פרק "סיכום הוועדות המחוזיות לתכנון ולבנייה", עמ' 79.</w:t>
      </w:r>
    </w:p>
  </w:footnote>
  <w:footnote w:id="47">
    <w:p w14:paraId="36668FEA" w14:textId="77777777" w:rsidR="00B12B1A" w:rsidRPr="00E6567A" w:rsidRDefault="00B12B1A" w:rsidP="00E6567A">
      <w:pPr>
        <w:pStyle w:val="a5"/>
      </w:pPr>
      <w:r w:rsidRPr="00E6567A">
        <w:rPr>
          <w:rStyle w:val="FootnoteReference"/>
          <w:vertAlign w:val="baseline"/>
        </w:rPr>
        <w:footnoteRef/>
      </w:r>
      <w:r w:rsidRPr="00E6567A">
        <w:rPr>
          <w:rtl/>
        </w:rPr>
        <w:t xml:space="preserve"> </w:t>
      </w:r>
      <w:r w:rsidRPr="00E6567A">
        <w:rPr>
          <w:rtl/>
        </w:rPr>
        <w:tab/>
      </w:r>
      <w:r w:rsidRPr="00E6567A">
        <w:rPr>
          <w:rFonts w:hint="cs"/>
          <w:rtl/>
        </w:rPr>
        <w:t xml:space="preserve">עבור חברות מתכננות נקבעות 22 אבני דרך, ועבור רשויות מקומיות - שש אבני דרך. </w:t>
      </w:r>
    </w:p>
  </w:footnote>
  <w:footnote w:id="48">
    <w:p w14:paraId="17ABCAE5" w14:textId="77777777" w:rsidR="00B12B1A" w:rsidRPr="00E6567A" w:rsidRDefault="00B12B1A" w:rsidP="00E6567A">
      <w:pPr>
        <w:pStyle w:val="a5"/>
      </w:pPr>
      <w:r w:rsidRPr="00E6567A">
        <w:rPr>
          <w:rStyle w:val="FootnoteReference"/>
          <w:vertAlign w:val="baseline"/>
        </w:rPr>
        <w:footnoteRef/>
      </w:r>
      <w:r w:rsidRPr="00E6567A">
        <w:rPr>
          <w:rtl/>
        </w:rPr>
        <w:t xml:space="preserve"> </w:t>
      </w:r>
      <w:r w:rsidRPr="00E6567A">
        <w:rPr>
          <w:rtl/>
        </w:rPr>
        <w:tab/>
      </w:r>
      <w:r w:rsidRPr="00E6567A">
        <w:rPr>
          <w:rFonts w:hint="cs"/>
          <w:rtl/>
        </w:rPr>
        <w:t xml:space="preserve">יצוין כי קיים נוהל רמ"י מעודכן בנושא "מעקב וקידום פרויקטים להם ניתנו הרשאות לתכנון" מנובמבר 2018, אולם תכנון התוכניות שנבדקו החל לפני שהנוהל קיבל תוקף. </w:t>
      </w:r>
    </w:p>
  </w:footnote>
  <w:footnote w:id="49">
    <w:p w14:paraId="34936039" w14:textId="77777777" w:rsidR="00B12B1A" w:rsidRPr="00E6567A" w:rsidRDefault="00B12B1A" w:rsidP="00E6567A">
      <w:pPr>
        <w:pStyle w:val="a5"/>
      </w:pPr>
      <w:r w:rsidRPr="00E6567A">
        <w:rPr>
          <w:rStyle w:val="FootnoteReference"/>
          <w:vertAlign w:val="baseline"/>
        </w:rPr>
        <w:footnoteRef/>
      </w:r>
      <w:r w:rsidRPr="00E6567A">
        <w:rPr>
          <w:rtl/>
        </w:rPr>
        <w:t xml:space="preserve"> </w:t>
      </w:r>
      <w:r w:rsidRPr="00E6567A">
        <w:rPr>
          <w:rtl/>
        </w:rPr>
        <w:tab/>
      </w:r>
      <w:r w:rsidRPr="00E6567A">
        <w:rPr>
          <w:rFonts w:hint="cs"/>
          <w:rtl/>
        </w:rPr>
        <w:t>לגבי 55 תוכניות נוספות, במועד סיום הביקורת לא היו נתונים על מועד תחילת התכנון.</w:t>
      </w:r>
    </w:p>
  </w:footnote>
  <w:footnote w:id="50">
    <w:p w14:paraId="14DF4AEB" w14:textId="77777777" w:rsidR="00B12B1A" w:rsidRPr="00E6567A" w:rsidRDefault="00B12B1A" w:rsidP="00E6567A">
      <w:pPr>
        <w:pStyle w:val="a5"/>
      </w:pPr>
      <w:r w:rsidRPr="00E6567A">
        <w:rPr>
          <w:rStyle w:val="FootnoteReference"/>
          <w:vertAlign w:val="baseline"/>
        </w:rPr>
        <w:footnoteRef/>
      </w:r>
      <w:r w:rsidRPr="00E6567A">
        <w:rPr>
          <w:rtl/>
        </w:rPr>
        <w:t xml:space="preserve"> </w:t>
      </w:r>
      <w:r w:rsidRPr="00E6567A">
        <w:rPr>
          <w:rtl/>
        </w:rPr>
        <w:tab/>
      </w:r>
      <w:r w:rsidRPr="00E6567A">
        <w:rPr>
          <w:rFonts w:hint="cs"/>
          <w:rtl/>
        </w:rPr>
        <w:t>ב</w:t>
      </w:r>
      <w:r w:rsidRPr="00E6567A">
        <w:rPr>
          <w:rtl/>
        </w:rPr>
        <w:t xml:space="preserve">צוות ליווי </w:t>
      </w:r>
      <w:r w:rsidRPr="00E6567A">
        <w:rPr>
          <w:rFonts w:hint="cs"/>
          <w:rtl/>
        </w:rPr>
        <w:t xml:space="preserve">תכנון </w:t>
      </w:r>
      <w:r w:rsidRPr="00E6567A">
        <w:rPr>
          <w:rtl/>
        </w:rPr>
        <w:t>ישתתפו אנשי החטיבה הטכנית של המחוז, צוות התכנון, אדריכל ראשי או נציגו, מנהל מחלקת פרוגרמות מחוזי או נציג אגף תכנון ובינוי ערים ויועצים מקצועיים ממינהל תכנון והנדסה.</w:t>
      </w:r>
    </w:p>
  </w:footnote>
  <w:footnote w:id="51">
    <w:p w14:paraId="5549D58A" w14:textId="6EE93C06" w:rsidR="00B12B1A" w:rsidRPr="007E13E0" w:rsidRDefault="00B12B1A" w:rsidP="00D042AA">
      <w:pPr>
        <w:pStyle w:val="a5"/>
      </w:pPr>
      <w:r w:rsidRPr="00D042AA">
        <w:rPr>
          <w:rStyle w:val="FootnoteReference"/>
          <w:rFonts w:ascii="Times New Roman" w:hAnsi="Times New Roman" w:cs="David"/>
          <w:sz w:val="20"/>
          <w:szCs w:val="20"/>
        </w:rPr>
        <w:footnoteRef/>
      </w:r>
      <w:r>
        <w:rPr>
          <w:rtl/>
        </w:rPr>
        <w:t xml:space="preserve"> </w:t>
      </w:r>
      <w:r>
        <w:rPr>
          <w:rtl/>
        </w:rPr>
        <w:tab/>
      </w:r>
      <w:r>
        <w:rPr>
          <w:rFonts w:hint="cs"/>
          <w:rtl/>
        </w:rPr>
        <w:t>מכרז</w:t>
      </w:r>
      <w:r w:rsidRPr="007E13E0">
        <w:rPr>
          <w:rtl/>
        </w:rPr>
        <w:t xml:space="preserve"> מס' </w:t>
      </w:r>
      <w:r w:rsidR="008832B0">
        <w:rPr>
          <w:rFonts w:hint="cs"/>
          <w:rtl/>
        </w:rPr>
        <w:t xml:space="preserve">9/2014 </w:t>
      </w:r>
      <w:r w:rsidRPr="007E13E0">
        <w:rPr>
          <w:rtl/>
        </w:rPr>
        <w:t>"למתן שירותי תכנון וניהול תכנון עבור רשות מקרקעי ישראל", שפורסם בשנת 2014.</w:t>
      </w:r>
    </w:p>
  </w:footnote>
  <w:footnote w:id="52">
    <w:p w14:paraId="0C91E381" w14:textId="77777777" w:rsidR="00B12B1A" w:rsidRPr="00E6567A" w:rsidRDefault="00B12B1A" w:rsidP="00E6567A">
      <w:pPr>
        <w:pStyle w:val="a5"/>
      </w:pPr>
      <w:r w:rsidRPr="00E6567A">
        <w:rPr>
          <w:rStyle w:val="FootnoteReference"/>
          <w:vertAlign w:val="baseline"/>
        </w:rPr>
        <w:footnoteRef/>
      </w:r>
      <w:r w:rsidRPr="00E6567A">
        <w:rPr>
          <w:rtl/>
        </w:rPr>
        <w:t xml:space="preserve"> </w:t>
      </w:r>
      <w:r w:rsidRPr="00E6567A">
        <w:rPr>
          <w:rtl/>
        </w:rPr>
        <w:tab/>
      </w:r>
      <w:r w:rsidRPr="00E6567A">
        <w:rPr>
          <w:rFonts w:hint="cs"/>
          <w:rtl/>
        </w:rPr>
        <w:t>"שכונה 360, מדדים לתכנון ופיתוח סביבת מגורים".</w:t>
      </w:r>
    </w:p>
  </w:footnote>
  <w:footnote w:id="53">
    <w:p w14:paraId="53D19392" w14:textId="77777777" w:rsidR="00B12B1A" w:rsidRPr="00E6567A" w:rsidRDefault="00B12B1A" w:rsidP="00E6567A">
      <w:pPr>
        <w:pStyle w:val="a5"/>
        <w:rPr>
          <w:rtl/>
        </w:rPr>
      </w:pPr>
      <w:r w:rsidRPr="00E6567A">
        <w:rPr>
          <w:rStyle w:val="FootnoteReference"/>
          <w:vertAlign w:val="baseline"/>
        </w:rPr>
        <w:footnoteRef/>
      </w:r>
      <w:r w:rsidRPr="00E6567A">
        <w:rPr>
          <w:rtl/>
        </w:rPr>
        <w:t xml:space="preserve"> </w:t>
      </w:r>
      <w:r w:rsidRPr="00E6567A">
        <w:rPr>
          <w:rtl/>
        </w:rPr>
        <w:tab/>
      </w:r>
      <w:r w:rsidRPr="00E6567A">
        <w:rPr>
          <w:rFonts w:hint="cs"/>
          <w:rtl/>
        </w:rPr>
        <w:t>ועדות לתכנון ובנייה: מקומיות, מחוזיות וארצית.</w:t>
      </w:r>
    </w:p>
  </w:footnote>
  <w:footnote w:id="54">
    <w:p w14:paraId="2A171B5C" w14:textId="77777777" w:rsidR="00B12B1A" w:rsidRPr="00E6567A" w:rsidRDefault="00B12B1A" w:rsidP="00E6567A">
      <w:pPr>
        <w:pStyle w:val="a5"/>
        <w:rPr>
          <w:rtl/>
        </w:rPr>
      </w:pPr>
      <w:r w:rsidRPr="00E6567A">
        <w:rPr>
          <w:rStyle w:val="FootnoteReference"/>
          <w:vertAlign w:val="baseline"/>
        </w:rPr>
        <w:footnoteRef/>
      </w:r>
      <w:r w:rsidRPr="00E6567A">
        <w:rPr>
          <w:rtl/>
        </w:rPr>
        <w:t xml:space="preserve"> </w:t>
      </w:r>
      <w:r w:rsidRPr="00E6567A">
        <w:rPr>
          <w:rtl/>
        </w:rPr>
        <w:tab/>
      </w:r>
      <w:r w:rsidRPr="00E6567A">
        <w:rPr>
          <w:rFonts w:hint="cs"/>
          <w:rtl/>
        </w:rPr>
        <w:t>לפי תקנה 5א.</w:t>
      </w:r>
    </w:p>
  </w:footnote>
  <w:footnote w:id="55">
    <w:p w14:paraId="538171A9" w14:textId="77777777" w:rsidR="00B12B1A" w:rsidRPr="00E6567A" w:rsidRDefault="00B12B1A" w:rsidP="00E6567A">
      <w:pPr>
        <w:pStyle w:val="a5"/>
        <w:rPr>
          <w:rtl/>
        </w:rPr>
      </w:pPr>
      <w:r w:rsidRPr="00E6567A">
        <w:rPr>
          <w:rStyle w:val="FootnoteReference"/>
          <w:vertAlign w:val="baseline"/>
        </w:rPr>
        <w:footnoteRef/>
      </w:r>
      <w:r w:rsidRPr="00E6567A">
        <w:rPr>
          <w:rtl/>
        </w:rPr>
        <w:t xml:space="preserve"> </w:t>
      </w:r>
      <w:r w:rsidRPr="00E6567A">
        <w:rPr>
          <w:rtl/>
        </w:rPr>
        <w:tab/>
      </w:r>
      <w:r w:rsidRPr="00E6567A">
        <w:rPr>
          <w:rFonts w:hint="cs"/>
          <w:rtl/>
        </w:rPr>
        <w:t>לפי תקנה</w:t>
      </w:r>
      <w:r w:rsidRPr="00E6567A">
        <w:rPr>
          <w:rtl/>
        </w:rPr>
        <w:t xml:space="preserve"> 16 </w:t>
      </w:r>
      <w:r w:rsidRPr="00E6567A">
        <w:rPr>
          <w:rFonts w:hint="cs"/>
          <w:rtl/>
        </w:rPr>
        <w:t>ב</w:t>
      </w:r>
      <w:r w:rsidRPr="00E6567A">
        <w:rPr>
          <w:rtl/>
        </w:rPr>
        <w:t>תקנות</w:t>
      </w:r>
      <w:r w:rsidRPr="00E6567A">
        <w:rPr>
          <w:rFonts w:hint="cs"/>
          <w:rtl/>
        </w:rPr>
        <w:t>.</w:t>
      </w:r>
    </w:p>
  </w:footnote>
  <w:footnote w:id="56">
    <w:p w14:paraId="27F2470C" w14:textId="77777777" w:rsidR="00B12B1A" w:rsidRPr="00E6567A" w:rsidRDefault="00B12B1A" w:rsidP="00E6567A">
      <w:pPr>
        <w:pStyle w:val="a5"/>
        <w:rPr>
          <w:rtl/>
        </w:rPr>
      </w:pPr>
      <w:r w:rsidRPr="00E6567A">
        <w:rPr>
          <w:rStyle w:val="FootnoteReference"/>
          <w:vertAlign w:val="baseline"/>
        </w:rPr>
        <w:footnoteRef/>
      </w:r>
      <w:r w:rsidRPr="00E6567A">
        <w:rPr>
          <w:rtl/>
        </w:rPr>
        <w:t xml:space="preserve"> </w:t>
      </w:r>
      <w:r w:rsidRPr="00E6567A">
        <w:rPr>
          <w:rtl/>
        </w:rPr>
        <w:tab/>
      </w:r>
      <w:r w:rsidRPr="00E6567A">
        <w:rPr>
          <w:rFonts w:hint="eastAsia"/>
          <w:b/>
          <w:bCs/>
          <w:rtl/>
        </w:rPr>
        <w:t>דוח</w:t>
      </w:r>
      <w:r w:rsidRPr="00E6567A">
        <w:rPr>
          <w:b/>
          <w:bCs/>
          <w:rtl/>
        </w:rPr>
        <w:t xml:space="preserve"> שנתי 55ב</w:t>
      </w:r>
      <w:r w:rsidRPr="00E6567A">
        <w:rPr>
          <w:rtl/>
        </w:rPr>
        <w:t xml:space="preserve"> </w:t>
      </w:r>
      <w:r w:rsidRPr="00E6567A">
        <w:rPr>
          <w:rFonts w:hint="cs"/>
          <w:rtl/>
        </w:rPr>
        <w:t>(2005), "</w:t>
      </w:r>
      <w:r w:rsidRPr="00E6567A">
        <w:rPr>
          <w:rtl/>
        </w:rPr>
        <w:t>מסירת עבודות תכנון על ידי משרד הבינוי</w:t>
      </w:r>
      <w:r w:rsidRPr="00E6567A">
        <w:rPr>
          <w:rFonts w:hint="cs"/>
          <w:rtl/>
        </w:rPr>
        <w:t>", עמ' 447.</w:t>
      </w:r>
    </w:p>
  </w:footnote>
  <w:footnote w:id="57">
    <w:p w14:paraId="149C6B5B" w14:textId="77777777" w:rsidR="00B12B1A" w:rsidRPr="00E6567A" w:rsidRDefault="00B12B1A" w:rsidP="00E6567A">
      <w:pPr>
        <w:pStyle w:val="a5"/>
        <w:rPr>
          <w:rtl/>
        </w:rPr>
      </w:pPr>
      <w:r w:rsidRPr="00E6567A">
        <w:rPr>
          <w:rStyle w:val="FootnoteReference"/>
          <w:vertAlign w:val="baseline"/>
        </w:rPr>
        <w:footnoteRef/>
      </w:r>
      <w:r w:rsidRPr="00E6567A">
        <w:rPr>
          <w:rtl/>
        </w:rPr>
        <w:t xml:space="preserve"> </w:t>
      </w:r>
      <w:r w:rsidRPr="00E6567A">
        <w:rPr>
          <w:rtl/>
        </w:rPr>
        <w:tab/>
      </w:r>
      <w:r w:rsidRPr="00E6567A">
        <w:rPr>
          <w:rFonts w:hint="cs"/>
          <w:rtl/>
        </w:rPr>
        <w:t>בכפוף לתקנות הגנת הפרטיות (תנאי החזקת מידע ושמירתו וסדרי העברת מידע בין גופים ציבוריים), התשמ"ו-1986.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2F310" w14:textId="187221F1" w:rsidR="00B12B1A" w:rsidRDefault="00B12B1A" w:rsidP="0072059F">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64384" behindDoc="1" locked="0" layoutInCell="1" allowOverlap="1" wp14:anchorId="24D4D38B" wp14:editId="13C44561">
          <wp:simplePos x="0" y="0"/>
          <wp:positionH relativeFrom="column">
            <wp:posOffset>-635</wp:posOffset>
          </wp:positionH>
          <wp:positionV relativeFrom="paragraph">
            <wp:posOffset>-81915</wp:posOffset>
          </wp:positionV>
          <wp:extent cx="5219700" cy="30924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3408"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noProof/>
        <w:rtl/>
      </w:rPr>
      <w:t>21</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w:t>
    </w:r>
    <w:r>
      <w:rPr>
        <w:rFonts w:ascii="Tahoma" w:hAnsi="Tahoma" w:cs="Tahoma" w:hint="cs"/>
        <w:color w:val="002060"/>
        <w:sz w:val="18"/>
        <w:szCs w:val="18"/>
        <w:rtl/>
      </w:rPr>
      <w:t>ב</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B12B1A" w:rsidRPr="00D15500" w:rsidRDefault="00B12B1A"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14:anchorId="6BA65175" wp14:editId="668FF0AF">
          <wp:simplePos x="0" y="0"/>
          <wp:positionH relativeFrom="column">
            <wp:posOffset>1509601</wp:posOffset>
          </wp:positionH>
          <wp:positionV relativeFrom="paragraph">
            <wp:posOffset>-19685</wp:posOffset>
          </wp:positionV>
          <wp:extent cx="379095" cy="250190"/>
          <wp:effectExtent l="0" t="0" r="1905" b="0"/>
          <wp:wrapTopAndBottom/>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14:anchorId="3B115B17" wp14:editId="23E0625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B12B1A" w:rsidRPr="005B4811" w:rsidRDefault="00B12B1A"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26" type="#_x0000_t202" style="position:absolute;left:0;text-align:left;margin-left:-6.9pt;margin-top:-1.35pt;width:129.25pt;height:22.4pt;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Uue9ghkCAADgAwAADgAAAAAAAAAAAAAAAAAuAgAAZHJzL2Uyb0RvYy54bWxQSwECLQAU&#10;AAYACAAAACEAyXlHR98AAAAJAQAADwAAAAAAAAAAAAAAAABzBAAAZHJzL2Rvd25yZXYueG1sUEsF&#10;BgAAAAAEAAQA8wAAAH8FAAAAAA==&#10;" stroked="f">
              <v:textbox>
                <w:txbxContent>
                  <w:p w14:paraId="00ACE667" w14:textId="77777777" w:rsidR="00B12B1A" w:rsidRPr="005B4811" w:rsidRDefault="00B12B1A"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14:anchorId="7228728C" wp14:editId="14BF5CBF">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B12B1A" w:rsidRPr="005B4811" w:rsidRDefault="00B12B1A"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27" type="#_x0000_t202" style="position:absolute;left:0;text-align:left;margin-left:321.15pt;margin-top:-.9pt;width:70.55pt;height:123.65pt;flip:x;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" stroked="f">
              <v:textbox style="mso-fit-shape-to-text:t">
                <w:txbxContent>
                  <w:p w14:paraId="68AEB69D" w14:textId="77777777" w:rsidR="00B12B1A" w:rsidRPr="005B4811" w:rsidRDefault="00B12B1A"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14:anchorId="0C55D6D8" wp14:editId="541FCC92">
          <wp:simplePos x="0" y="0"/>
          <wp:positionH relativeFrom="column">
            <wp:posOffset>4955969</wp:posOffset>
          </wp:positionH>
          <wp:positionV relativeFrom="paragraph">
            <wp:posOffset>-43815</wp:posOffset>
          </wp:positionV>
          <wp:extent cx="245110" cy="301625"/>
          <wp:effectExtent l="0" t="0" r="2540" b="3175"/>
          <wp:wrapSquare wrapText="bothSides"/>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B0797"/>
    <w:multiLevelType w:val="hybridMultilevel"/>
    <w:tmpl w:val="3D065D70"/>
    <w:lvl w:ilvl="0" w:tplc="A5BE1A56">
      <w:start w:val="1"/>
      <w:numFmt w:val="decimal"/>
      <w:lvlText w:val="%1."/>
      <w:lvlJc w:val="left"/>
      <w:pPr>
        <w:ind w:left="1069" w:hanging="360"/>
      </w:pPr>
      <w:rPr>
        <w:rFonts w:hint="default"/>
        <w:b w:val="0"/>
        <w:bCs w:val="0"/>
      </w:rPr>
    </w:lvl>
    <w:lvl w:ilvl="1" w:tplc="A5CC2476" w:tentative="1">
      <w:start w:val="1"/>
      <w:numFmt w:val="lowerLetter"/>
      <w:lvlText w:val="%2."/>
      <w:lvlJc w:val="left"/>
      <w:pPr>
        <w:ind w:left="1789" w:hanging="360"/>
      </w:pPr>
    </w:lvl>
    <w:lvl w:ilvl="2" w:tplc="0A9EB59A" w:tentative="1">
      <w:start w:val="1"/>
      <w:numFmt w:val="lowerRoman"/>
      <w:lvlText w:val="%3."/>
      <w:lvlJc w:val="right"/>
      <w:pPr>
        <w:ind w:left="2509" w:hanging="180"/>
      </w:pPr>
    </w:lvl>
    <w:lvl w:ilvl="3" w:tplc="7EAE43BE" w:tentative="1">
      <w:start w:val="1"/>
      <w:numFmt w:val="decimal"/>
      <w:lvlText w:val="%4."/>
      <w:lvlJc w:val="left"/>
      <w:pPr>
        <w:ind w:left="3229" w:hanging="360"/>
      </w:pPr>
    </w:lvl>
    <w:lvl w:ilvl="4" w:tplc="3DE01CE8" w:tentative="1">
      <w:start w:val="1"/>
      <w:numFmt w:val="lowerLetter"/>
      <w:lvlText w:val="%5."/>
      <w:lvlJc w:val="left"/>
      <w:pPr>
        <w:ind w:left="3949" w:hanging="360"/>
      </w:pPr>
    </w:lvl>
    <w:lvl w:ilvl="5" w:tplc="45E6D52A" w:tentative="1">
      <w:start w:val="1"/>
      <w:numFmt w:val="lowerRoman"/>
      <w:lvlText w:val="%6."/>
      <w:lvlJc w:val="right"/>
      <w:pPr>
        <w:ind w:left="4669" w:hanging="180"/>
      </w:pPr>
    </w:lvl>
    <w:lvl w:ilvl="6" w:tplc="641C0730" w:tentative="1">
      <w:start w:val="1"/>
      <w:numFmt w:val="decimal"/>
      <w:lvlText w:val="%7."/>
      <w:lvlJc w:val="left"/>
      <w:pPr>
        <w:ind w:left="5389" w:hanging="360"/>
      </w:pPr>
    </w:lvl>
    <w:lvl w:ilvl="7" w:tplc="205E1D2E" w:tentative="1">
      <w:start w:val="1"/>
      <w:numFmt w:val="lowerLetter"/>
      <w:lvlText w:val="%8."/>
      <w:lvlJc w:val="left"/>
      <w:pPr>
        <w:ind w:left="6109" w:hanging="360"/>
      </w:pPr>
    </w:lvl>
    <w:lvl w:ilvl="8" w:tplc="CFD0E83A" w:tentative="1">
      <w:start w:val="1"/>
      <w:numFmt w:val="lowerRoman"/>
      <w:lvlText w:val="%9."/>
      <w:lvlJc w:val="right"/>
      <w:pPr>
        <w:ind w:left="6829" w:hanging="180"/>
      </w:pPr>
    </w:lvl>
  </w:abstractNum>
  <w:abstractNum w:abstractNumId="1" w15:restartNumberingAfterBreak="0">
    <w:nsid w:val="164629D5"/>
    <w:multiLevelType w:val="hybridMultilevel"/>
    <w:tmpl w:val="306054F6"/>
    <w:lvl w:ilvl="0" w:tplc="67EC39F2">
      <w:start w:val="1"/>
      <w:numFmt w:val="decimal"/>
      <w:lvlText w:val="%1."/>
      <w:lvlJc w:val="left"/>
      <w:pPr>
        <w:ind w:left="720" w:hanging="360"/>
      </w:pPr>
      <w:rPr>
        <w:rFonts w:hint="default"/>
        <w:b w:val="0"/>
        <w:bCs w:val="0"/>
        <w:color w:val="auto"/>
        <w:sz w:val="24"/>
      </w:rPr>
    </w:lvl>
    <w:lvl w:ilvl="1" w:tplc="7C78A666" w:tentative="1">
      <w:start w:val="1"/>
      <w:numFmt w:val="lowerLetter"/>
      <w:lvlText w:val="%2."/>
      <w:lvlJc w:val="left"/>
      <w:pPr>
        <w:ind w:left="1440" w:hanging="360"/>
      </w:pPr>
    </w:lvl>
    <w:lvl w:ilvl="2" w:tplc="2C46ED94" w:tentative="1">
      <w:start w:val="1"/>
      <w:numFmt w:val="lowerRoman"/>
      <w:lvlText w:val="%3."/>
      <w:lvlJc w:val="right"/>
      <w:pPr>
        <w:ind w:left="2160" w:hanging="180"/>
      </w:pPr>
    </w:lvl>
    <w:lvl w:ilvl="3" w:tplc="EDF2E692" w:tentative="1">
      <w:start w:val="1"/>
      <w:numFmt w:val="decimal"/>
      <w:lvlText w:val="%4."/>
      <w:lvlJc w:val="left"/>
      <w:pPr>
        <w:ind w:left="2880" w:hanging="360"/>
      </w:pPr>
    </w:lvl>
    <w:lvl w:ilvl="4" w:tplc="25D00844" w:tentative="1">
      <w:start w:val="1"/>
      <w:numFmt w:val="lowerLetter"/>
      <w:lvlText w:val="%5."/>
      <w:lvlJc w:val="left"/>
      <w:pPr>
        <w:ind w:left="3600" w:hanging="360"/>
      </w:pPr>
    </w:lvl>
    <w:lvl w:ilvl="5" w:tplc="6318F40A" w:tentative="1">
      <w:start w:val="1"/>
      <w:numFmt w:val="lowerRoman"/>
      <w:lvlText w:val="%6."/>
      <w:lvlJc w:val="right"/>
      <w:pPr>
        <w:ind w:left="4320" w:hanging="180"/>
      </w:pPr>
    </w:lvl>
    <w:lvl w:ilvl="6" w:tplc="BC8E4862" w:tentative="1">
      <w:start w:val="1"/>
      <w:numFmt w:val="decimal"/>
      <w:lvlText w:val="%7."/>
      <w:lvlJc w:val="left"/>
      <w:pPr>
        <w:ind w:left="5040" w:hanging="360"/>
      </w:pPr>
    </w:lvl>
    <w:lvl w:ilvl="7" w:tplc="35D44ED8" w:tentative="1">
      <w:start w:val="1"/>
      <w:numFmt w:val="lowerLetter"/>
      <w:lvlText w:val="%8."/>
      <w:lvlJc w:val="left"/>
      <w:pPr>
        <w:ind w:left="5760" w:hanging="360"/>
      </w:pPr>
    </w:lvl>
    <w:lvl w:ilvl="8" w:tplc="3F4E2904" w:tentative="1">
      <w:start w:val="1"/>
      <w:numFmt w:val="lowerRoman"/>
      <w:lvlText w:val="%9."/>
      <w:lvlJc w:val="right"/>
      <w:pPr>
        <w:ind w:left="6480" w:hanging="180"/>
      </w:pPr>
    </w:lvl>
  </w:abstractNum>
  <w:abstractNum w:abstractNumId="2" w15:restartNumberingAfterBreak="0">
    <w:nsid w:val="1A3052A8"/>
    <w:multiLevelType w:val="hybridMultilevel"/>
    <w:tmpl w:val="414EA1C8"/>
    <w:lvl w:ilvl="0" w:tplc="BAF86F06">
      <w:start w:val="1"/>
      <w:numFmt w:val="decimal"/>
      <w:lvlText w:val="%1."/>
      <w:lvlJc w:val="left"/>
      <w:pPr>
        <w:ind w:left="1032" w:hanging="360"/>
      </w:pPr>
    </w:lvl>
    <w:lvl w:ilvl="1" w:tplc="A48068CA" w:tentative="1">
      <w:start w:val="1"/>
      <w:numFmt w:val="lowerLetter"/>
      <w:lvlText w:val="%2."/>
      <w:lvlJc w:val="left"/>
      <w:pPr>
        <w:ind w:left="1752" w:hanging="360"/>
      </w:pPr>
    </w:lvl>
    <w:lvl w:ilvl="2" w:tplc="A2260A10" w:tentative="1">
      <w:start w:val="1"/>
      <w:numFmt w:val="lowerRoman"/>
      <w:lvlText w:val="%3."/>
      <w:lvlJc w:val="right"/>
      <w:pPr>
        <w:ind w:left="2472" w:hanging="180"/>
      </w:pPr>
    </w:lvl>
    <w:lvl w:ilvl="3" w:tplc="62B07C34" w:tentative="1">
      <w:start w:val="1"/>
      <w:numFmt w:val="decimal"/>
      <w:lvlText w:val="%4."/>
      <w:lvlJc w:val="left"/>
      <w:pPr>
        <w:ind w:left="3192" w:hanging="360"/>
      </w:pPr>
    </w:lvl>
    <w:lvl w:ilvl="4" w:tplc="47A4D336" w:tentative="1">
      <w:start w:val="1"/>
      <w:numFmt w:val="lowerLetter"/>
      <w:lvlText w:val="%5."/>
      <w:lvlJc w:val="left"/>
      <w:pPr>
        <w:ind w:left="3912" w:hanging="360"/>
      </w:pPr>
    </w:lvl>
    <w:lvl w:ilvl="5" w:tplc="441099AA" w:tentative="1">
      <w:start w:val="1"/>
      <w:numFmt w:val="lowerRoman"/>
      <w:lvlText w:val="%6."/>
      <w:lvlJc w:val="right"/>
      <w:pPr>
        <w:ind w:left="4632" w:hanging="180"/>
      </w:pPr>
    </w:lvl>
    <w:lvl w:ilvl="6" w:tplc="ADFA00D8" w:tentative="1">
      <w:start w:val="1"/>
      <w:numFmt w:val="decimal"/>
      <w:lvlText w:val="%7."/>
      <w:lvlJc w:val="left"/>
      <w:pPr>
        <w:ind w:left="5352" w:hanging="360"/>
      </w:pPr>
    </w:lvl>
    <w:lvl w:ilvl="7" w:tplc="DDE08F52" w:tentative="1">
      <w:start w:val="1"/>
      <w:numFmt w:val="lowerLetter"/>
      <w:lvlText w:val="%8."/>
      <w:lvlJc w:val="left"/>
      <w:pPr>
        <w:ind w:left="6072" w:hanging="360"/>
      </w:pPr>
    </w:lvl>
    <w:lvl w:ilvl="8" w:tplc="B5A87C12" w:tentative="1">
      <w:start w:val="1"/>
      <w:numFmt w:val="lowerRoman"/>
      <w:lvlText w:val="%9."/>
      <w:lvlJc w:val="right"/>
      <w:pPr>
        <w:ind w:left="6792" w:hanging="180"/>
      </w:pPr>
    </w:lvl>
  </w:abstractNum>
  <w:abstractNum w:abstractNumId="3"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a"/>
      <w:lvlText w:val="א."/>
      <w:lvlJc w:val="left"/>
      <w:pPr>
        <w:tabs>
          <w:tab w:val="num" w:pos="794"/>
        </w:tabs>
        <w:ind w:left="794" w:hanging="8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 w15:restartNumberingAfterBreak="0">
    <w:nsid w:val="23191CD4"/>
    <w:multiLevelType w:val="hybridMultilevel"/>
    <w:tmpl w:val="106C6D8C"/>
    <w:lvl w:ilvl="0" w:tplc="FA009AC6">
      <w:start w:val="1"/>
      <w:numFmt w:val="decimal"/>
      <w:lvlText w:val="%1."/>
      <w:lvlJc w:val="left"/>
      <w:pPr>
        <w:ind w:left="720" w:hanging="360"/>
      </w:pPr>
      <w:rPr>
        <w:rFonts w:hint="default"/>
        <w:b/>
        <w:bCs w:val="0"/>
      </w:rPr>
    </w:lvl>
    <w:lvl w:ilvl="1" w:tplc="4A02A7CE" w:tentative="1">
      <w:start w:val="1"/>
      <w:numFmt w:val="lowerLetter"/>
      <w:lvlText w:val="%2."/>
      <w:lvlJc w:val="left"/>
      <w:pPr>
        <w:ind w:left="1440" w:hanging="360"/>
      </w:pPr>
    </w:lvl>
    <w:lvl w:ilvl="2" w:tplc="1464A6C4" w:tentative="1">
      <w:start w:val="1"/>
      <w:numFmt w:val="lowerRoman"/>
      <w:lvlText w:val="%3."/>
      <w:lvlJc w:val="right"/>
      <w:pPr>
        <w:ind w:left="2160" w:hanging="180"/>
      </w:pPr>
    </w:lvl>
    <w:lvl w:ilvl="3" w:tplc="579C75EE" w:tentative="1">
      <w:start w:val="1"/>
      <w:numFmt w:val="decimal"/>
      <w:lvlText w:val="%4."/>
      <w:lvlJc w:val="left"/>
      <w:pPr>
        <w:ind w:left="2880" w:hanging="360"/>
      </w:pPr>
    </w:lvl>
    <w:lvl w:ilvl="4" w:tplc="A978D312" w:tentative="1">
      <w:start w:val="1"/>
      <w:numFmt w:val="lowerLetter"/>
      <w:lvlText w:val="%5."/>
      <w:lvlJc w:val="left"/>
      <w:pPr>
        <w:ind w:left="3600" w:hanging="360"/>
      </w:pPr>
    </w:lvl>
    <w:lvl w:ilvl="5" w:tplc="1194A9A4" w:tentative="1">
      <w:start w:val="1"/>
      <w:numFmt w:val="lowerRoman"/>
      <w:lvlText w:val="%6."/>
      <w:lvlJc w:val="right"/>
      <w:pPr>
        <w:ind w:left="4320" w:hanging="180"/>
      </w:pPr>
    </w:lvl>
    <w:lvl w:ilvl="6" w:tplc="A5B207E2" w:tentative="1">
      <w:start w:val="1"/>
      <w:numFmt w:val="decimal"/>
      <w:lvlText w:val="%7."/>
      <w:lvlJc w:val="left"/>
      <w:pPr>
        <w:ind w:left="5040" w:hanging="360"/>
      </w:pPr>
    </w:lvl>
    <w:lvl w:ilvl="7" w:tplc="CF5C824A" w:tentative="1">
      <w:start w:val="1"/>
      <w:numFmt w:val="lowerLetter"/>
      <w:lvlText w:val="%8."/>
      <w:lvlJc w:val="left"/>
      <w:pPr>
        <w:ind w:left="5760" w:hanging="360"/>
      </w:pPr>
    </w:lvl>
    <w:lvl w:ilvl="8" w:tplc="AFE472EC" w:tentative="1">
      <w:start w:val="1"/>
      <w:numFmt w:val="lowerRoman"/>
      <w:lvlText w:val="%9."/>
      <w:lvlJc w:val="right"/>
      <w:pPr>
        <w:ind w:left="6480" w:hanging="180"/>
      </w:pPr>
    </w:lvl>
  </w:abstractNum>
  <w:abstractNum w:abstractNumId="5" w15:restartNumberingAfterBreak="0">
    <w:nsid w:val="2AEA20BE"/>
    <w:multiLevelType w:val="hybridMultilevel"/>
    <w:tmpl w:val="3B904F96"/>
    <w:lvl w:ilvl="0" w:tplc="478A115E">
      <w:start w:val="1"/>
      <w:numFmt w:val="decimal"/>
      <w:lvlText w:val="%1."/>
      <w:lvlJc w:val="left"/>
      <w:pPr>
        <w:ind w:left="1069" w:hanging="360"/>
      </w:pPr>
      <w:rPr>
        <w:rFonts w:hint="default"/>
      </w:rPr>
    </w:lvl>
    <w:lvl w:ilvl="1" w:tplc="B874B098" w:tentative="1">
      <w:start w:val="1"/>
      <w:numFmt w:val="lowerLetter"/>
      <w:lvlText w:val="%2."/>
      <w:lvlJc w:val="left"/>
      <w:pPr>
        <w:ind w:left="1789" w:hanging="360"/>
      </w:pPr>
    </w:lvl>
    <w:lvl w:ilvl="2" w:tplc="2F88E21E" w:tentative="1">
      <w:start w:val="1"/>
      <w:numFmt w:val="lowerRoman"/>
      <w:lvlText w:val="%3."/>
      <w:lvlJc w:val="right"/>
      <w:pPr>
        <w:ind w:left="2509" w:hanging="180"/>
      </w:pPr>
    </w:lvl>
    <w:lvl w:ilvl="3" w:tplc="32D81380" w:tentative="1">
      <w:start w:val="1"/>
      <w:numFmt w:val="decimal"/>
      <w:lvlText w:val="%4."/>
      <w:lvlJc w:val="left"/>
      <w:pPr>
        <w:ind w:left="3229" w:hanging="360"/>
      </w:pPr>
    </w:lvl>
    <w:lvl w:ilvl="4" w:tplc="96F80DF0" w:tentative="1">
      <w:start w:val="1"/>
      <w:numFmt w:val="lowerLetter"/>
      <w:lvlText w:val="%5."/>
      <w:lvlJc w:val="left"/>
      <w:pPr>
        <w:ind w:left="3949" w:hanging="360"/>
      </w:pPr>
    </w:lvl>
    <w:lvl w:ilvl="5" w:tplc="0BA65F70" w:tentative="1">
      <w:start w:val="1"/>
      <w:numFmt w:val="lowerRoman"/>
      <w:lvlText w:val="%6."/>
      <w:lvlJc w:val="right"/>
      <w:pPr>
        <w:ind w:left="4669" w:hanging="180"/>
      </w:pPr>
    </w:lvl>
    <w:lvl w:ilvl="6" w:tplc="B0CC2D1A" w:tentative="1">
      <w:start w:val="1"/>
      <w:numFmt w:val="decimal"/>
      <w:lvlText w:val="%7."/>
      <w:lvlJc w:val="left"/>
      <w:pPr>
        <w:ind w:left="5389" w:hanging="360"/>
      </w:pPr>
    </w:lvl>
    <w:lvl w:ilvl="7" w:tplc="B17EBD16" w:tentative="1">
      <w:start w:val="1"/>
      <w:numFmt w:val="lowerLetter"/>
      <w:lvlText w:val="%8."/>
      <w:lvlJc w:val="left"/>
      <w:pPr>
        <w:ind w:left="6109" w:hanging="360"/>
      </w:pPr>
    </w:lvl>
    <w:lvl w:ilvl="8" w:tplc="78E2DE0C" w:tentative="1">
      <w:start w:val="1"/>
      <w:numFmt w:val="lowerRoman"/>
      <w:lvlText w:val="%9."/>
      <w:lvlJc w:val="right"/>
      <w:pPr>
        <w:ind w:left="6829" w:hanging="180"/>
      </w:pPr>
    </w:lvl>
  </w:abstractNum>
  <w:abstractNum w:abstractNumId="6" w15:restartNumberingAfterBreak="0">
    <w:nsid w:val="3BC1088C"/>
    <w:multiLevelType w:val="multilevel"/>
    <w:tmpl w:val="1C8A3202"/>
    <w:lvl w:ilvl="0">
      <w:start w:val="1"/>
      <w:numFmt w:val="decimal"/>
      <w:pStyle w:val="a0"/>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1"/>
      <w:lvlText w:val="%2."/>
      <w:lvlJc w:val="left"/>
      <w:pPr>
        <w:ind w:left="765" w:hanging="340"/>
      </w:pPr>
      <w:rPr>
        <w:rFonts w:hint="default"/>
        <w:lang w:val="en-US"/>
      </w:rPr>
    </w:lvl>
    <w:lvl w:ilvl="2">
      <w:start w:val="1"/>
      <w:numFmt w:val="decimal"/>
      <w:pStyle w:val="a1"/>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15:restartNumberingAfterBreak="0">
    <w:nsid w:val="51172521"/>
    <w:multiLevelType w:val="hybridMultilevel"/>
    <w:tmpl w:val="FA809DFC"/>
    <w:lvl w:ilvl="0" w:tplc="C31A44A4">
      <w:start w:val="1"/>
      <w:numFmt w:val="decimal"/>
      <w:lvlText w:val="%1."/>
      <w:lvlJc w:val="left"/>
      <w:pPr>
        <w:ind w:left="720" w:hanging="360"/>
      </w:pPr>
      <w:rPr>
        <w:rFonts w:hint="default"/>
      </w:rPr>
    </w:lvl>
    <w:lvl w:ilvl="1" w:tplc="DD34CCCC" w:tentative="1">
      <w:start w:val="1"/>
      <w:numFmt w:val="lowerLetter"/>
      <w:lvlText w:val="%2."/>
      <w:lvlJc w:val="left"/>
      <w:pPr>
        <w:ind w:left="1440" w:hanging="360"/>
      </w:pPr>
    </w:lvl>
    <w:lvl w:ilvl="2" w:tplc="5B28AB06" w:tentative="1">
      <w:start w:val="1"/>
      <w:numFmt w:val="lowerRoman"/>
      <w:lvlText w:val="%3."/>
      <w:lvlJc w:val="right"/>
      <w:pPr>
        <w:ind w:left="2160" w:hanging="180"/>
      </w:pPr>
    </w:lvl>
    <w:lvl w:ilvl="3" w:tplc="9BCED694" w:tentative="1">
      <w:start w:val="1"/>
      <w:numFmt w:val="decimal"/>
      <w:lvlText w:val="%4."/>
      <w:lvlJc w:val="left"/>
      <w:pPr>
        <w:ind w:left="2880" w:hanging="360"/>
      </w:pPr>
    </w:lvl>
    <w:lvl w:ilvl="4" w:tplc="8A566BDC" w:tentative="1">
      <w:start w:val="1"/>
      <w:numFmt w:val="lowerLetter"/>
      <w:lvlText w:val="%5."/>
      <w:lvlJc w:val="left"/>
      <w:pPr>
        <w:ind w:left="3600" w:hanging="360"/>
      </w:pPr>
    </w:lvl>
    <w:lvl w:ilvl="5" w:tplc="6DDC2730" w:tentative="1">
      <w:start w:val="1"/>
      <w:numFmt w:val="lowerRoman"/>
      <w:lvlText w:val="%6."/>
      <w:lvlJc w:val="right"/>
      <w:pPr>
        <w:ind w:left="4320" w:hanging="180"/>
      </w:pPr>
    </w:lvl>
    <w:lvl w:ilvl="6" w:tplc="C18816A8" w:tentative="1">
      <w:start w:val="1"/>
      <w:numFmt w:val="decimal"/>
      <w:lvlText w:val="%7."/>
      <w:lvlJc w:val="left"/>
      <w:pPr>
        <w:ind w:left="5040" w:hanging="360"/>
      </w:pPr>
    </w:lvl>
    <w:lvl w:ilvl="7" w:tplc="6E067D32" w:tentative="1">
      <w:start w:val="1"/>
      <w:numFmt w:val="lowerLetter"/>
      <w:lvlText w:val="%8."/>
      <w:lvlJc w:val="left"/>
      <w:pPr>
        <w:ind w:left="5760" w:hanging="360"/>
      </w:pPr>
    </w:lvl>
    <w:lvl w:ilvl="8" w:tplc="523C31B6" w:tentative="1">
      <w:start w:val="1"/>
      <w:numFmt w:val="lowerRoman"/>
      <w:lvlText w:val="%9."/>
      <w:lvlJc w:val="right"/>
      <w:pPr>
        <w:ind w:left="6480" w:hanging="180"/>
      </w:pPr>
    </w:lvl>
  </w:abstractNum>
  <w:abstractNum w:abstractNumId="8" w15:restartNumberingAfterBreak="0">
    <w:nsid w:val="56247B02"/>
    <w:multiLevelType w:val="hybridMultilevel"/>
    <w:tmpl w:val="DE54B85E"/>
    <w:lvl w:ilvl="0" w:tplc="0BF290FC">
      <w:start w:val="1"/>
      <w:numFmt w:val="decimal"/>
      <w:lvlText w:val="%1."/>
      <w:lvlJc w:val="left"/>
      <w:pPr>
        <w:ind w:left="360" w:hanging="360"/>
      </w:pPr>
      <w:rPr>
        <w:rFonts w:hint="default"/>
      </w:rPr>
    </w:lvl>
    <w:lvl w:ilvl="1" w:tplc="7CFEBA42" w:tentative="1">
      <w:start w:val="1"/>
      <w:numFmt w:val="lowerLetter"/>
      <w:lvlText w:val="%2."/>
      <w:lvlJc w:val="left"/>
      <w:pPr>
        <w:ind w:left="1080" w:hanging="360"/>
      </w:pPr>
    </w:lvl>
    <w:lvl w:ilvl="2" w:tplc="F1DC2CD0" w:tentative="1">
      <w:start w:val="1"/>
      <w:numFmt w:val="lowerRoman"/>
      <w:lvlText w:val="%3."/>
      <w:lvlJc w:val="right"/>
      <w:pPr>
        <w:ind w:left="1800" w:hanging="180"/>
      </w:pPr>
    </w:lvl>
    <w:lvl w:ilvl="3" w:tplc="B11E6AA4" w:tentative="1">
      <w:start w:val="1"/>
      <w:numFmt w:val="decimal"/>
      <w:lvlText w:val="%4."/>
      <w:lvlJc w:val="left"/>
      <w:pPr>
        <w:ind w:left="2520" w:hanging="360"/>
      </w:pPr>
    </w:lvl>
    <w:lvl w:ilvl="4" w:tplc="6C6E291E" w:tentative="1">
      <w:start w:val="1"/>
      <w:numFmt w:val="lowerLetter"/>
      <w:lvlText w:val="%5."/>
      <w:lvlJc w:val="left"/>
      <w:pPr>
        <w:ind w:left="3240" w:hanging="360"/>
      </w:pPr>
    </w:lvl>
    <w:lvl w:ilvl="5" w:tplc="DFF458DC" w:tentative="1">
      <w:start w:val="1"/>
      <w:numFmt w:val="lowerRoman"/>
      <w:lvlText w:val="%6."/>
      <w:lvlJc w:val="right"/>
      <w:pPr>
        <w:ind w:left="3960" w:hanging="180"/>
      </w:pPr>
    </w:lvl>
    <w:lvl w:ilvl="6" w:tplc="529ED20C" w:tentative="1">
      <w:start w:val="1"/>
      <w:numFmt w:val="decimal"/>
      <w:lvlText w:val="%7."/>
      <w:lvlJc w:val="left"/>
      <w:pPr>
        <w:ind w:left="4680" w:hanging="360"/>
      </w:pPr>
    </w:lvl>
    <w:lvl w:ilvl="7" w:tplc="B0E84BFA" w:tentative="1">
      <w:start w:val="1"/>
      <w:numFmt w:val="lowerLetter"/>
      <w:lvlText w:val="%8."/>
      <w:lvlJc w:val="left"/>
      <w:pPr>
        <w:ind w:left="5400" w:hanging="360"/>
      </w:pPr>
    </w:lvl>
    <w:lvl w:ilvl="8" w:tplc="15C8EF6A" w:tentative="1">
      <w:start w:val="1"/>
      <w:numFmt w:val="lowerRoman"/>
      <w:lvlText w:val="%9."/>
      <w:lvlJc w:val="right"/>
      <w:pPr>
        <w:ind w:left="6120" w:hanging="180"/>
      </w:pPr>
    </w:lvl>
  </w:abstractNum>
  <w:abstractNum w:abstractNumId="9"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 w15:restartNumberingAfterBreak="0">
    <w:nsid w:val="6DB6403D"/>
    <w:multiLevelType w:val="multilevel"/>
    <w:tmpl w:val="5396358C"/>
    <w:lvl w:ilvl="0">
      <w:start w:val="1"/>
      <w:numFmt w:val="decimal"/>
      <w:lvlRestart w:val="0"/>
      <w:lvlText w:val="%1."/>
      <w:lvlJc w:val="left"/>
      <w:pPr>
        <w:ind w:left="340" w:hanging="340"/>
      </w:pPr>
      <w:rPr>
        <w:rFonts w:hint="default"/>
        <w:b w:val="0"/>
        <w:bCs w:val="0"/>
      </w:rPr>
    </w:lvl>
    <w:lvl w:ilvl="1">
      <w:start w:val="1"/>
      <w:numFmt w:val="decimal"/>
      <w:pStyle w:val="a2"/>
      <w:lvlText w:val="%2."/>
      <w:lvlJc w:val="left"/>
      <w:pPr>
        <w:ind w:left="680" w:hanging="3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num w:numId="1">
    <w:abstractNumId w:val="3"/>
  </w:num>
  <w:num w:numId="2">
    <w:abstractNumId w:val="6"/>
  </w:num>
  <w:num w:numId="3">
    <w:abstractNumId w:val="10"/>
  </w:num>
  <w:num w:numId="4">
    <w:abstractNumId w:val="9"/>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5"/>
  </w:num>
  <w:num w:numId="12">
    <w:abstractNumId w:val="1"/>
  </w:num>
  <w:num w:numId="13">
    <w:abstractNumId w:val="0"/>
  </w:num>
  <w:num w:numId="14">
    <w:abstractNumId w:val="4"/>
  </w:num>
  <w:num w:numId="15">
    <w:abstractNumId w:val="2"/>
  </w:num>
  <w:num w:numId="16">
    <w:abstractNumId w:val="7"/>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10"/>
  </w:num>
  <w:num w:numId="23">
    <w:abstractNumId w:val="10"/>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gutterAtTop/>
  <w:proofState w:spelling="clean" w:grammar="clean"/>
  <w:attachedTemplate r:id="rId1"/>
  <w:stylePaneSortMethod w:val="0000"/>
  <w:defaultTabStop w:val="720"/>
  <w:drawingGridHorizontalSpacing w:val="10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1D5A"/>
    <w:rsid w:val="00002EF7"/>
    <w:rsid w:val="00003B77"/>
    <w:rsid w:val="00003F96"/>
    <w:rsid w:val="0000520D"/>
    <w:rsid w:val="000054B7"/>
    <w:rsid w:val="00005EE0"/>
    <w:rsid w:val="00006B59"/>
    <w:rsid w:val="0001014C"/>
    <w:rsid w:val="00011BFC"/>
    <w:rsid w:val="00011DF7"/>
    <w:rsid w:val="00012657"/>
    <w:rsid w:val="00013BC3"/>
    <w:rsid w:val="000155F0"/>
    <w:rsid w:val="000157CF"/>
    <w:rsid w:val="00015A22"/>
    <w:rsid w:val="0001735B"/>
    <w:rsid w:val="000206F1"/>
    <w:rsid w:val="00021FFB"/>
    <w:rsid w:val="00024E0C"/>
    <w:rsid w:val="0002582E"/>
    <w:rsid w:val="00026367"/>
    <w:rsid w:val="000264D7"/>
    <w:rsid w:val="00026ACC"/>
    <w:rsid w:val="000303C9"/>
    <w:rsid w:val="00031C68"/>
    <w:rsid w:val="00031CEB"/>
    <w:rsid w:val="00032932"/>
    <w:rsid w:val="0003494D"/>
    <w:rsid w:val="00035B80"/>
    <w:rsid w:val="00036B0F"/>
    <w:rsid w:val="00040918"/>
    <w:rsid w:val="00040C4D"/>
    <w:rsid w:val="000413AB"/>
    <w:rsid w:val="000419ED"/>
    <w:rsid w:val="00042688"/>
    <w:rsid w:val="00042837"/>
    <w:rsid w:val="00043204"/>
    <w:rsid w:val="00043931"/>
    <w:rsid w:val="000443B1"/>
    <w:rsid w:val="000448BE"/>
    <w:rsid w:val="00045038"/>
    <w:rsid w:val="00046670"/>
    <w:rsid w:val="00047976"/>
    <w:rsid w:val="00047A92"/>
    <w:rsid w:val="000501A4"/>
    <w:rsid w:val="00050BDE"/>
    <w:rsid w:val="00050DDE"/>
    <w:rsid w:val="00052281"/>
    <w:rsid w:val="00052AE4"/>
    <w:rsid w:val="000532AA"/>
    <w:rsid w:val="00053AA7"/>
    <w:rsid w:val="00053D09"/>
    <w:rsid w:val="0005582D"/>
    <w:rsid w:val="00055CB5"/>
    <w:rsid w:val="00055E07"/>
    <w:rsid w:val="00055E4C"/>
    <w:rsid w:val="00055EC9"/>
    <w:rsid w:val="00056B3E"/>
    <w:rsid w:val="000571B9"/>
    <w:rsid w:val="0005725C"/>
    <w:rsid w:val="00060045"/>
    <w:rsid w:val="00060178"/>
    <w:rsid w:val="00061760"/>
    <w:rsid w:val="0006189A"/>
    <w:rsid w:val="000618D0"/>
    <w:rsid w:val="00063297"/>
    <w:rsid w:val="00064637"/>
    <w:rsid w:val="0006721D"/>
    <w:rsid w:val="000675B0"/>
    <w:rsid w:val="00067F12"/>
    <w:rsid w:val="000710A8"/>
    <w:rsid w:val="00072B83"/>
    <w:rsid w:val="00072FE8"/>
    <w:rsid w:val="000736B3"/>
    <w:rsid w:val="000738F6"/>
    <w:rsid w:val="0007429C"/>
    <w:rsid w:val="00074F31"/>
    <w:rsid w:val="00076758"/>
    <w:rsid w:val="00076ED7"/>
    <w:rsid w:val="0007717F"/>
    <w:rsid w:val="0007762A"/>
    <w:rsid w:val="00080072"/>
    <w:rsid w:val="00081D0E"/>
    <w:rsid w:val="0008345D"/>
    <w:rsid w:val="00084E3A"/>
    <w:rsid w:val="00085086"/>
    <w:rsid w:val="00085B99"/>
    <w:rsid w:val="00086BCD"/>
    <w:rsid w:val="00091A72"/>
    <w:rsid w:val="00093E30"/>
    <w:rsid w:val="0009432F"/>
    <w:rsid w:val="00094F15"/>
    <w:rsid w:val="00096CF4"/>
    <w:rsid w:val="00097CDE"/>
    <w:rsid w:val="000A00AE"/>
    <w:rsid w:val="000A01F2"/>
    <w:rsid w:val="000A0884"/>
    <w:rsid w:val="000A0915"/>
    <w:rsid w:val="000A1610"/>
    <w:rsid w:val="000A26F1"/>
    <w:rsid w:val="000A2BD8"/>
    <w:rsid w:val="000A4686"/>
    <w:rsid w:val="000A567C"/>
    <w:rsid w:val="000A5B75"/>
    <w:rsid w:val="000A65A9"/>
    <w:rsid w:val="000A69A7"/>
    <w:rsid w:val="000B1102"/>
    <w:rsid w:val="000B2074"/>
    <w:rsid w:val="000B2C5B"/>
    <w:rsid w:val="000B2DBE"/>
    <w:rsid w:val="000B3056"/>
    <w:rsid w:val="000B3A23"/>
    <w:rsid w:val="000B55BB"/>
    <w:rsid w:val="000B6808"/>
    <w:rsid w:val="000B7912"/>
    <w:rsid w:val="000B7B95"/>
    <w:rsid w:val="000C05CB"/>
    <w:rsid w:val="000C0F17"/>
    <w:rsid w:val="000C164B"/>
    <w:rsid w:val="000C16F6"/>
    <w:rsid w:val="000C2AB9"/>
    <w:rsid w:val="000C3CBC"/>
    <w:rsid w:val="000C404B"/>
    <w:rsid w:val="000C50A1"/>
    <w:rsid w:val="000C6AAF"/>
    <w:rsid w:val="000C7459"/>
    <w:rsid w:val="000D1055"/>
    <w:rsid w:val="000D11EB"/>
    <w:rsid w:val="000D2056"/>
    <w:rsid w:val="000D22F0"/>
    <w:rsid w:val="000D2F93"/>
    <w:rsid w:val="000D5B81"/>
    <w:rsid w:val="000D5C0B"/>
    <w:rsid w:val="000E013E"/>
    <w:rsid w:val="000E1FBD"/>
    <w:rsid w:val="000E2359"/>
    <w:rsid w:val="000E23EA"/>
    <w:rsid w:val="000E2715"/>
    <w:rsid w:val="000E2B2C"/>
    <w:rsid w:val="000E3022"/>
    <w:rsid w:val="000E3D52"/>
    <w:rsid w:val="000E44FD"/>
    <w:rsid w:val="000E5149"/>
    <w:rsid w:val="000E5834"/>
    <w:rsid w:val="000E7622"/>
    <w:rsid w:val="000E7FB2"/>
    <w:rsid w:val="000F158C"/>
    <w:rsid w:val="000F1DEA"/>
    <w:rsid w:val="000F2408"/>
    <w:rsid w:val="000F3700"/>
    <w:rsid w:val="000F4578"/>
    <w:rsid w:val="000F4B6E"/>
    <w:rsid w:val="000F6F38"/>
    <w:rsid w:val="000F76A8"/>
    <w:rsid w:val="000F7725"/>
    <w:rsid w:val="000F78AE"/>
    <w:rsid w:val="00101681"/>
    <w:rsid w:val="00101BB0"/>
    <w:rsid w:val="00101D0F"/>
    <w:rsid w:val="00105970"/>
    <w:rsid w:val="00107175"/>
    <w:rsid w:val="00107A35"/>
    <w:rsid w:val="00111919"/>
    <w:rsid w:val="00111F8A"/>
    <w:rsid w:val="00112E28"/>
    <w:rsid w:val="00113C2F"/>
    <w:rsid w:val="00113E28"/>
    <w:rsid w:val="00114325"/>
    <w:rsid w:val="00115432"/>
    <w:rsid w:val="001157CE"/>
    <w:rsid w:val="00115E66"/>
    <w:rsid w:val="001172DF"/>
    <w:rsid w:val="00121EA1"/>
    <w:rsid w:val="0012279D"/>
    <w:rsid w:val="001239A8"/>
    <w:rsid w:val="00124DC1"/>
    <w:rsid w:val="00125881"/>
    <w:rsid w:val="00134F83"/>
    <w:rsid w:val="001354CB"/>
    <w:rsid w:val="00135695"/>
    <w:rsid w:val="00135742"/>
    <w:rsid w:val="00135A23"/>
    <w:rsid w:val="00136496"/>
    <w:rsid w:val="0013664A"/>
    <w:rsid w:val="00136A10"/>
    <w:rsid w:val="00137337"/>
    <w:rsid w:val="00137FF0"/>
    <w:rsid w:val="00140CC4"/>
    <w:rsid w:val="00141BD6"/>
    <w:rsid w:val="00142206"/>
    <w:rsid w:val="00143176"/>
    <w:rsid w:val="001451A4"/>
    <w:rsid w:val="0014715B"/>
    <w:rsid w:val="00150A48"/>
    <w:rsid w:val="00150BE4"/>
    <w:rsid w:val="00150BEB"/>
    <w:rsid w:val="00150CC9"/>
    <w:rsid w:val="00150F89"/>
    <w:rsid w:val="00152C2F"/>
    <w:rsid w:val="00153149"/>
    <w:rsid w:val="00153A60"/>
    <w:rsid w:val="00154682"/>
    <w:rsid w:val="00154827"/>
    <w:rsid w:val="00155501"/>
    <w:rsid w:val="0015582E"/>
    <w:rsid w:val="00156CAA"/>
    <w:rsid w:val="0015702B"/>
    <w:rsid w:val="00157D86"/>
    <w:rsid w:val="00160155"/>
    <w:rsid w:val="0016031C"/>
    <w:rsid w:val="00161124"/>
    <w:rsid w:val="001637C1"/>
    <w:rsid w:val="001643E4"/>
    <w:rsid w:val="00164534"/>
    <w:rsid w:val="00164B64"/>
    <w:rsid w:val="00164C99"/>
    <w:rsid w:val="00166477"/>
    <w:rsid w:val="00166D27"/>
    <w:rsid w:val="00170230"/>
    <w:rsid w:val="00170320"/>
    <w:rsid w:val="00170625"/>
    <w:rsid w:val="00171B4A"/>
    <w:rsid w:val="0017200D"/>
    <w:rsid w:val="001730B0"/>
    <w:rsid w:val="00173FDD"/>
    <w:rsid w:val="001747CF"/>
    <w:rsid w:val="00174A21"/>
    <w:rsid w:val="00175053"/>
    <w:rsid w:val="00175FE2"/>
    <w:rsid w:val="00176411"/>
    <w:rsid w:val="00176B96"/>
    <w:rsid w:val="00177D09"/>
    <w:rsid w:val="00177D2F"/>
    <w:rsid w:val="00180392"/>
    <w:rsid w:val="001821A3"/>
    <w:rsid w:val="00182DC0"/>
    <w:rsid w:val="001839FA"/>
    <w:rsid w:val="00183DDC"/>
    <w:rsid w:val="00184789"/>
    <w:rsid w:val="0018586A"/>
    <w:rsid w:val="00185B85"/>
    <w:rsid w:val="0018758B"/>
    <w:rsid w:val="0019015A"/>
    <w:rsid w:val="00190F93"/>
    <w:rsid w:val="00191FF6"/>
    <w:rsid w:val="00192F16"/>
    <w:rsid w:val="00193071"/>
    <w:rsid w:val="00194286"/>
    <w:rsid w:val="00195BC7"/>
    <w:rsid w:val="00195EBA"/>
    <w:rsid w:val="001960B4"/>
    <w:rsid w:val="00197B8A"/>
    <w:rsid w:val="001A0CA6"/>
    <w:rsid w:val="001A2081"/>
    <w:rsid w:val="001A2F88"/>
    <w:rsid w:val="001A325B"/>
    <w:rsid w:val="001A38A7"/>
    <w:rsid w:val="001A3974"/>
    <w:rsid w:val="001A5D04"/>
    <w:rsid w:val="001A613C"/>
    <w:rsid w:val="001A6276"/>
    <w:rsid w:val="001A692D"/>
    <w:rsid w:val="001A72F6"/>
    <w:rsid w:val="001A7D06"/>
    <w:rsid w:val="001B1655"/>
    <w:rsid w:val="001B17FB"/>
    <w:rsid w:val="001B2821"/>
    <w:rsid w:val="001B285C"/>
    <w:rsid w:val="001B2ACB"/>
    <w:rsid w:val="001B2DBB"/>
    <w:rsid w:val="001B3BE6"/>
    <w:rsid w:val="001B3EFA"/>
    <w:rsid w:val="001B41A2"/>
    <w:rsid w:val="001B4EA7"/>
    <w:rsid w:val="001B4EC1"/>
    <w:rsid w:val="001B5656"/>
    <w:rsid w:val="001B5DFF"/>
    <w:rsid w:val="001B65B8"/>
    <w:rsid w:val="001B70CA"/>
    <w:rsid w:val="001B75F0"/>
    <w:rsid w:val="001C00D8"/>
    <w:rsid w:val="001C057E"/>
    <w:rsid w:val="001C308D"/>
    <w:rsid w:val="001C3232"/>
    <w:rsid w:val="001C34D5"/>
    <w:rsid w:val="001C3ED9"/>
    <w:rsid w:val="001C45D9"/>
    <w:rsid w:val="001C49B8"/>
    <w:rsid w:val="001C4D37"/>
    <w:rsid w:val="001C72B2"/>
    <w:rsid w:val="001D1192"/>
    <w:rsid w:val="001D223A"/>
    <w:rsid w:val="001D2793"/>
    <w:rsid w:val="001D2F2A"/>
    <w:rsid w:val="001D3679"/>
    <w:rsid w:val="001D3CC2"/>
    <w:rsid w:val="001D461F"/>
    <w:rsid w:val="001D713E"/>
    <w:rsid w:val="001D77E6"/>
    <w:rsid w:val="001E0D0D"/>
    <w:rsid w:val="001E1C40"/>
    <w:rsid w:val="001E1EC3"/>
    <w:rsid w:val="001E1FB9"/>
    <w:rsid w:val="001E1FD1"/>
    <w:rsid w:val="001E23E2"/>
    <w:rsid w:val="001E3778"/>
    <w:rsid w:val="001E3F7F"/>
    <w:rsid w:val="001E475C"/>
    <w:rsid w:val="001E59BD"/>
    <w:rsid w:val="001E641F"/>
    <w:rsid w:val="001E773D"/>
    <w:rsid w:val="001F068F"/>
    <w:rsid w:val="001F1A68"/>
    <w:rsid w:val="001F407D"/>
    <w:rsid w:val="001F6AE0"/>
    <w:rsid w:val="001F6B1F"/>
    <w:rsid w:val="001F6BA7"/>
    <w:rsid w:val="00200434"/>
    <w:rsid w:val="00200E5B"/>
    <w:rsid w:val="00202F8B"/>
    <w:rsid w:val="00203277"/>
    <w:rsid w:val="00203604"/>
    <w:rsid w:val="002064F7"/>
    <w:rsid w:val="00206BDB"/>
    <w:rsid w:val="002127FD"/>
    <w:rsid w:val="00212B04"/>
    <w:rsid w:val="00212EEA"/>
    <w:rsid w:val="002130B4"/>
    <w:rsid w:val="00214BC0"/>
    <w:rsid w:val="00214CAA"/>
    <w:rsid w:val="00215BEE"/>
    <w:rsid w:val="0021654E"/>
    <w:rsid w:val="0022072A"/>
    <w:rsid w:val="0022100A"/>
    <w:rsid w:val="00221160"/>
    <w:rsid w:val="002213EE"/>
    <w:rsid w:val="00221879"/>
    <w:rsid w:val="00221922"/>
    <w:rsid w:val="002248C1"/>
    <w:rsid w:val="00224C04"/>
    <w:rsid w:val="00225718"/>
    <w:rsid w:val="00225CAE"/>
    <w:rsid w:val="00227E88"/>
    <w:rsid w:val="00230B94"/>
    <w:rsid w:val="00231C3C"/>
    <w:rsid w:val="00231DC5"/>
    <w:rsid w:val="00232836"/>
    <w:rsid w:val="002338F8"/>
    <w:rsid w:val="00234167"/>
    <w:rsid w:val="00234F9B"/>
    <w:rsid w:val="0023589B"/>
    <w:rsid w:val="00235AEE"/>
    <w:rsid w:val="00235D75"/>
    <w:rsid w:val="002366CE"/>
    <w:rsid w:val="0024001A"/>
    <w:rsid w:val="00240887"/>
    <w:rsid w:val="002419F2"/>
    <w:rsid w:val="00243E20"/>
    <w:rsid w:val="00244096"/>
    <w:rsid w:val="00244C55"/>
    <w:rsid w:val="00245470"/>
    <w:rsid w:val="00246CD7"/>
    <w:rsid w:val="00247C83"/>
    <w:rsid w:val="0025068A"/>
    <w:rsid w:val="00250751"/>
    <w:rsid w:val="0025701A"/>
    <w:rsid w:val="00260BF5"/>
    <w:rsid w:val="00260D04"/>
    <w:rsid w:val="0026130F"/>
    <w:rsid w:val="00261C84"/>
    <w:rsid w:val="00263521"/>
    <w:rsid w:val="00267025"/>
    <w:rsid w:val="0027121E"/>
    <w:rsid w:val="0027188F"/>
    <w:rsid w:val="002739B2"/>
    <w:rsid w:val="00275A79"/>
    <w:rsid w:val="002813A0"/>
    <w:rsid w:val="002841CB"/>
    <w:rsid w:val="00284ABA"/>
    <w:rsid w:val="0028686C"/>
    <w:rsid w:val="0028694C"/>
    <w:rsid w:val="002920D3"/>
    <w:rsid w:val="00292A58"/>
    <w:rsid w:val="00293FC3"/>
    <w:rsid w:val="00294784"/>
    <w:rsid w:val="00294AF0"/>
    <w:rsid w:val="00296A9F"/>
    <w:rsid w:val="00297B77"/>
    <w:rsid w:val="002A04CC"/>
    <w:rsid w:val="002A1117"/>
    <w:rsid w:val="002A18D6"/>
    <w:rsid w:val="002A2132"/>
    <w:rsid w:val="002A2C5A"/>
    <w:rsid w:val="002A4153"/>
    <w:rsid w:val="002A4707"/>
    <w:rsid w:val="002A4B57"/>
    <w:rsid w:val="002A57EB"/>
    <w:rsid w:val="002A598C"/>
    <w:rsid w:val="002A6418"/>
    <w:rsid w:val="002A64F8"/>
    <w:rsid w:val="002A68DE"/>
    <w:rsid w:val="002A6A8F"/>
    <w:rsid w:val="002A6B3B"/>
    <w:rsid w:val="002A7D21"/>
    <w:rsid w:val="002B10E8"/>
    <w:rsid w:val="002B637F"/>
    <w:rsid w:val="002B65DC"/>
    <w:rsid w:val="002C1D86"/>
    <w:rsid w:val="002C1EE0"/>
    <w:rsid w:val="002C28D3"/>
    <w:rsid w:val="002C2B0E"/>
    <w:rsid w:val="002C316A"/>
    <w:rsid w:val="002C3B87"/>
    <w:rsid w:val="002C4139"/>
    <w:rsid w:val="002C4302"/>
    <w:rsid w:val="002C4F9F"/>
    <w:rsid w:val="002C54FF"/>
    <w:rsid w:val="002C65B3"/>
    <w:rsid w:val="002C6D22"/>
    <w:rsid w:val="002C70A2"/>
    <w:rsid w:val="002C7D35"/>
    <w:rsid w:val="002D1688"/>
    <w:rsid w:val="002D2963"/>
    <w:rsid w:val="002D3201"/>
    <w:rsid w:val="002D3AC8"/>
    <w:rsid w:val="002D572F"/>
    <w:rsid w:val="002D5930"/>
    <w:rsid w:val="002D65CF"/>
    <w:rsid w:val="002D6964"/>
    <w:rsid w:val="002D6DBD"/>
    <w:rsid w:val="002E01CC"/>
    <w:rsid w:val="002E188D"/>
    <w:rsid w:val="002E1E1F"/>
    <w:rsid w:val="002E24BB"/>
    <w:rsid w:val="002E2DB0"/>
    <w:rsid w:val="002E3AA6"/>
    <w:rsid w:val="002E424B"/>
    <w:rsid w:val="002E4818"/>
    <w:rsid w:val="002E5757"/>
    <w:rsid w:val="002E6B3E"/>
    <w:rsid w:val="002E707E"/>
    <w:rsid w:val="002E70B8"/>
    <w:rsid w:val="002E7316"/>
    <w:rsid w:val="002F06E7"/>
    <w:rsid w:val="002F11D2"/>
    <w:rsid w:val="002F1610"/>
    <w:rsid w:val="002F2019"/>
    <w:rsid w:val="002F24F0"/>
    <w:rsid w:val="002F29CA"/>
    <w:rsid w:val="002F42B0"/>
    <w:rsid w:val="002F5163"/>
    <w:rsid w:val="002F5A80"/>
    <w:rsid w:val="002F5B51"/>
    <w:rsid w:val="002F6FA5"/>
    <w:rsid w:val="002F724D"/>
    <w:rsid w:val="002F7C75"/>
    <w:rsid w:val="0030043A"/>
    <w:rsid w:val="00301153"/>
    <w:rsid w:val="003020D6"/>
    <w:rsid w:val="00302DC7"/>
    <w:rsid w:val="0030338B"/>
    <w:rsid w:val="00304E57"/>
    <w:rsid w:val="003050D0"/>
    <w:rsid w:val="0030516B"/>
    <w:rsid w:val="003067B1"/>
    <w:rsid w:val="00307A51"/>
    <w:rsid w:val="003108E3"/>
    <w:rsid w:val="00311190"/>
    <w:rsid w:val="00313D58"/>
    <w:rsid w:val="00313EEC"/>
    <w:rsid w:val="003150D8"/>
    <w:rsid w:val="00315624"/>
    <w:rsid w:val="00315BD6"/>
    <w:rsid w:val="00315D7F"/>
    <w:rsid w:val="00315FF2"/>
    <w:rsid w:val="00316C57"/>
    <w:rsid w:val="003177E2"/>
    <w:rsid w:val="0032289E"/>
    <w:rsid w:val="00322998"/>
    <w:rsid w:val="00322A81"/>
    <w:rsid w:val="00323027"/>
    <w:rsid w:val="0032331E"/>
    <w:rsid w:val="00324236"/>
    <w:rsid w:val="00324BC1"/>
    <w:rsid w:val="00324C2A"/>
    <w:rsid w:val="00324F0D"/>
    <w:rsid w:val="003257C6"/>
    <w:rsid w:val="00325F44"/>
    <w:rsid w:val="00326ABF"/>
    <w:rsid w:val="00326C7C"/>
    <w:rsid w:val="00327593"/>
    <w:rsid w:val="0033140E"/>
    <w:rsid w:val="00332F33"/>
    <w:rsid w:val="00334A65"/>
    <w:rsid w:val="00334D20"/>
    <w:rsid w:val="0033564C"/>
    <w:rsid w:val="003356A2"/>
    <w:rsid w:val="00335A0A"/>
    <w:rsid w:val="00337048"/>
    <w:rsid w:val="003370BA"/>
    <w:rsid w:val="00337846"/>
    <w:rsid w:val="0034038A"/>
    <w:rsid w:val="003405E7"/>
    <w:rsid w:val="00340C7C"/>
    <w:rsid w:val="0034149F"/>
    <w:rsid w:val="00345868"/>
    <w:rsid w:val="0034637E"/>
    <w:rsid w:val="00346930"/>
    <w:rsid w:val="00347612"/>
    <w:rsid w:val="003513C7"/>
    <w:rsid w:val="0035145F"/>
    <w:rsid w:val="00351F4E"/>
    <w:rsid w:val="00355453"/>
    <w:rsid w:val="003559A1"/>
    <w:rsid w:val="00355B59"/>
    <w:rsid w:val="00356540"/>
    <w:rsid w:val="00356926"/>
    <w:rsid w:val="00356C79"/>
    <w:rsid w:val="003606C0"/>
    <w:rsid w:val="00363344"/>
    <w:rsid w:val="003633E1"/>
    <w:rsid w:val="00363FE3"/>
    <w:rsid w:val="00364581"/>
    <w:rsid w:val="0036568B"/>
    <w:rsid w:val="00365C9E"/>
    <w:rsid w:val="00365D63"/>
    <w:rsid w:val="00365DC9"/>
    <w:rsid w:val="00365DE2"/>
    <w:rsid w:val="0036639F"/>
    <w:rsid w:val="003675CC"/>
    <w:rsid w:val="00371181"/>
    <w:rsid w:val="0037128C"/>
    <w:rsid w:val="00372476"/>
    <w:rsid w:val="0037259B"/>
    <w:rsid w:val="0037289B"/>
    <w:rsid w:val="003729F9"/>
    <w:rsid w:val="0037370B"/>
    <w:rsid w:val="00375AE4"/>
    <w:rsid w:val="00375C87"/>
    <w:rsid w:val="00376061"/>
    <w:rsid w:val="00376625"/>
    <w:rsid w:val="0037752E"/>
    <w:rsid w:val="0037753E"/>
    <w:rsid w:val="00377B33"/>
    <w:rsid w:val="00380052"/>
    <w:rsid w:val="003806AE"/>
    <w:rsid w:val="00382741"/>
    <w:rsid w:val="00382981"/>
    <w:rsid w:val="003839AA"/>
    <w:rsid w:val="003843E4"/>
    <w:rsid w:val="00385CBB"/>
    <w:rsid w:val="003907CF"/>
    <w:rsid w:val="00391943"/>
    <w:rsid w:val="00391D47"/>
    <w:rsid w:val="003926A8"/>
    <w:rsid w:val="00392CEC"/>
    <w:rsid w:val="00392E92"/>
    <w:rsid w:val="003941E1"/>
    <w:rsid w:val="0039563E"/>
    <w:rsid w:val="0039592D"/>
    <w:rsid w:val="00396082"/>
    <w:rsid w:val="00396D3F"/>
    <w:rsid w:val="00396EB2"/>
    <w:rsid w:val="003971AD"/>
    <w:rsid w:val="00397234"/>
    <w:rsid w:val="00397C56"/>
    <w:rsid w:val="003A042B"/>
    <w:rsid w:val="003A08AE"/>
    <w:rsid w:val="003A3D05"/>
    <w:rsid w:val="003A613A"/>
    <w:rsid w:val="003A66EF"/>
    <w:rsid w:val="003A769E"/>
    <w:rsid w:val="003B166B"/>
    <w:rsid w:val="003B4CBF"/>
    <w:rsid w:val="003B505F"/>
    <w:rsid w:val="003B5A1E"/>
    <w:rsid w:val="003B5E39"/>
    <w:rsid w:val="003B639B"/>
    <w:rsid w:val="003B71E3"/>
    <w:rsid w:val="003C26AC"/>
    <w:rsid w:val="003C2A0B"/>
    <w:rsid w:val="003C2EC6"/>
    <w:rsid w:val="003C3358"/>
    <w:rsid w:val="003C4F30"/>
    <w:rsid w:val="003C5153"/>
    <w:rsid w:val="003C5BB1"/>
    <w:rsid w:val="003C6C20"/>
    <w:rsid w:val="003C7AD3"/>
    <w:rsid w:val="003C7B2D"/>
    <w:rsid w:val="003D0F91"/>
    <w:rsid w:val="003D16F2"/>
    <w:rsid w:val="003D1D5C"/>
    <w:rsid w:val="003D2796"/>
    <w:rsid w:val="003D2AE6"/>
    <w:rsid w:val="003D4194"/>
    <w:rsid w:val="003D43B8"/>
    <w:rsid w:val="003D5549"/>
    <w:rsid w:val="003D5B8A"/>
    <w:rsid w:val="003D5CAC"/>
    <w:rsid w:val="003D6CAC"/>
    <w:rsid w:val="003D6FE1"/>
    <w:rsid w:val="003D7383"/>
    <w:rsid w:val="003D7489"/>
    <w:rsid w:val="003D7A3D"/>
    <w:rsid w:val="003E0ABC"/>
    <w:rsid w:val="003E364E"/>
    <w:rsid w:val="003E3D10"/>
    <w:rsid w:val="003E4D5A"/>
    <w:rsid w:val="003E58C2"/>
    <w:rsid w:val="003E5FCA"/>
    <w:rsid w:val="003E77E9"/>
    <w:rsid w:val="003E798E"/>
    <w:rsid w:val="003F06E0"/>
    <w:rsid w:val="003F0C61"/>
    <w:rsid w:val="003F0D90"/>
    <w:rsid w:val="003F0E51"/>
    <w:rsid w:val="003F2708"/>
    <w:rsid w:val="003F316F"/>
    <w:rsid w:val="003F48CD"/>
    <w:rsid w:val="003F5B6A"/>
    <w:rsid w:val="003F6CB2"/>
    <w:rsid w:val="003F6D65"/>
    <w:rsid w:val="003F7B2B"/>
    <w:rsid w:val="004002DD"/>
    <w:rsid w:val="004029F9"/>
    <w:rsid w:val="00403EED"/>
    <w:rsid w:val="0040494A"/>
    <w:rsid w:val="00405277"/>
    <w:rsid w:val="004064E0"/>
    <w:rsid w:val="00406F61"/>
    <w:rsid w:val="00406FEF"/>
    <w:rsid w:val="004078B5"/>
    <w:rsid w:val="0041045D"/>
    <w:rsid w:val="004105DF"/>
    <w:rsid w:val="00410935"/>
    <w:rsid w:val="00410D75"/>
    <w:rsid w:val="0041180B"/>
    <w:rsid w:val="0041212D"/>
    <w:rsid w:val="0041284E"/>
    <w:rsid w:val="00413464"/>
    <w:rsid w:val="00416D06"/>
    <w:rsid w:val="00417266"/>
    <w:rsid w:val="00420371"/>
    <w:rsid w:val="004204DC"/>
    <w:rsid w:val="004206BA"/>
    <w:rsid w:val="0042090E"/>
    <w:rsid w:val="00420DB1"/>
    <w:rsid w:val="00421D2C"/>
    <w:rsid w:val="0042545B"/>
    <w:rsid w:val="00425E72"/>
    <w:rsid w:val="00425E85"/>
    <w:rsid w:val="00426862"/>
    <w:rsid w:val="004276E0"/>
    <w:rsid w:val="00427A72"/>
    <w:rsid w:val="00430277"/>
    <w:rsid w:val="00432A56"/>
    <w:rsid w:val="00434C19"/>
    <w:rsid w:val="00436048"/>
    <w:rsid w:val="00436B23"/>
    <w:rsid w:val="00436B37"/>
    <w:rsid w:val="0043791D"/>
    <w:rsid w:val="00437D9B"/>
    <w:rsid w:val="00440C19"/>
    <w:rsid w:val="004413C7"/>
    <w:rsid w:val="004414E6"/>
    <w:rsid w:val="004424B2"/>
    <w:rsid w:val="004428A8"/>
    <w:rsid w:val="00442E2D"/>
    <w:rsid w:val="00443D1B"/>
    <w:rsid w:val="00444597"/>
    <w:rsid w:val="00445522"/>
    <w:rsid w:val="004470C5"/>
    <w:rsid w:val="004474BB"/>
    <w:rsid w:val="00451A68"/>
    <w:rsid w:val="00451AA2"/>
    <w:rsid w:val="00451E5C"/>
    <w:rsid w:val="0045209D"/>
    <w:rsid w:val="00452950"/>
    <w:rsid w:val="00453CEB"/>
    <w:rsid w:val="004547C8"/>
    <w:rsid w:val="00455BC0"/>
    <w:rsid w:val="00456AD9"/>
    <w:rsid w:val="00460179"/>
    <w:rsid w:val="00460B1C"/>
    <w:rsid w:val="00462348"/>
    <w:rsid w:val="00463683"/>
    <w:rsid w:val="00464D56"/>
    <w:rsid w:val="00464DF0"/>
    <w:rsid w:val="00465DDF"/>
    <w:rsid w:val="004661DB"/>
    <w:rsid w:val="00466B28"/>
    <w:rsid w:val="00467D5E"/>
    <w:rsid w:val="004705A4"/>
    <w:rsid w:val="00471164"/>
    <w:rsid w:val="00471E18"/>
    <w:rsid w:val="004736FF"/>
    <w:rsid w:val="004743DF"/>
    <w:rsid w:val="00474EFE"/>
    <w:rsid w:val="0047620F"/>
    <w:rsid w:val="004767BA"/>
    <w:rsid w:val="004779AA"/>
    <w:rsid w:val="00480107"/>
    <w:rsid w:val="004809CB"/>
    <w:rsid w:val="00482259"/>
    <w:rsid w:val="00482559"/>
    <w:rsid w:val="0048280E"/>
    <w:rsid w:val="00482C33"/>
    <w:rsid w:val="004833CE"/>
    <w:rsid w:val="004836A0"/>
    <w:rsid w:val="00483F10"/>
    <w:rsid w:val="004845B2"/>
    <w:rsid w:val="00485787"/>
    <w:rsid w:val="00486172"/>
    <w:rsid w:val="004875EB"/>
    <w:rsid w:val="0049015A"/>
    <w:rsid w:val="00491199"/>
    <w:rsid w:val="004919A3"/>
    <w:rsid w:val="00492D47"/>
    <w:rsid w:val="004930AA"/>
    <w:rsid w:val="004939B6"/>
    <w:rsid w:val="00493CBE"/>
    <w:rsid w:val="00494C49"/>
    <w:rsid w:val="004955D7"/>
    <w:rsid w:val="004965B9"/>
    <w:rsid w:val="004A0385"/>
    <w:rsid w:val="004A07F3"/>
    <w:rsid w:val="004A0E02"/>
    <w:rsid w:val="004A0E75"/>
    <w:rsid w:val="004A144B"/>
    <w:rsid w:val="004A3415"/>
    <w:rsid w:val="004A3A1C"/>
    <w:rsid w:val="004A5AE0"/>
    <w:rsid w:val="004A5FCA"/>
    <w:rsid w:val="004A6C9C"/>
    <w:rsid w:val="004A6FE6"/>
    <w:rsid w:val="004A77C4"/>
    <w:rsid w:val="004A7ABE"/>
    <w:rsid w:val="004B09A3"/>
    <w:rsid w:val="004B117A"/>
    <w:rsid w:val="004B18AE"/>
    <w:rsid w:val="004B21B0"/>
    <w:rsid w:val="004B3850"/>
    <w:rsid w:val="004B6164"/>
    <w:rsid w:val="004B7C1A"/>
    <w:rsid w:val="004C0FFF"/>
    <w:rsid w:val="004C1BDC"/>
    <w:rsid w:val="004C2149"/>
    <w:rsid w:val="004C2531"/>
    <w:rsid w:val="004C2B02"/>
    <w:rsid w:val="004C3342"/>
    <w:rsid w:val="004C4396"/>
    <w:rsid w:val="004C4F65"/>
    <w:rsid w:val="004C7D9F"/>
    <w:rsid w:val="004D16BE"/>
    <w:rsid w:val="004D1983"/>
    <w:rsid w:val="004D1D1F"/>
    <w:rsid w:val="004D2D0A"/>
    <w:rsid w:val="004D3387"/>
    <w:rsid w:val="004D38B0"/>
    <w:rsid w:val="004D3AAD"/>
    <w:rsid w:val="004D4C8A"/>
    <w:rsid w:val="004D5AD1"/>
    <w:rsid w:val="004D708B"/>
    <w:rsid w:val="004E0BE3"/>
    <w:rsid w:val="004E0E03"/>
    <w:rsid w:val="004E0F37"/>
    <w:rsid w:val="004E13FA"/>
    <w:rsid w:val="004E1D0E"/>
    <w:rsid w:val="004E1DB7"/>
    <w:rsid w:val="004E221D"/>
    <w:rsid w:val="004E229B"/>
    <w:rsid w:val="004E3112"/>
    <w:rsid w:val="004E5265"/>
    <w:rsid w:val="004E6717"/>
    <w:rsid w:val="004E6D72"/>
    <w:rsid w:val="004E7219"/>
    <w:rsid w:val="004E7332"/>
    <w:rsid w:val="004E776C"/>
    <w:rsid w:val="004F01B0"/>
    <w:rsid w:val="004F19E2"/>
    <w:rsid w:val="004F1D1F"/>
    <w:rsid w:val="004F24FD"/>
    <w:rsid w:val="004F30E8"/>
    <w:rsid w:val="004F431D"/>
    <w:rsid w:val="004F43AB"/>
    <w:rsid w:val="004F4F1F"/>
    <w:rsid w:val="004F4F85"/>
    <w:rsid w:val="004F539A"/>
    <w:rsid w:val="004F5B56"/>
    <w:rsid w:val="0050010C"/>
    <w:rsid w:val="005001D8"/>
    <w:rsid w:val="005006C5"/>
    <w:rsid w:val="005011A2"/>
    <w:rsid w:val="00501D89"/>
    <w:rsid w:val="0050204B"/>
    <w:rsid w:val="00502507"/>
    <w:rsid w:val="00502920"/>
    <w:rsid w:val="00502A0F"/>
    <w:rsid w:val="00503072"/>
    <w:rsid w:val="0050313A"/>
    <w:rsid w:val="005031BB"/>
    <w:rsid w:val="00503380"/>
    <w:rsid w:val="00503B67"/>
    <w:rsid w:val="00503E67"/>
    <w:rsid w:val="00503F81"/>
    <w:rsid w:val="005048AA"/>
    <w:rsid w:val="005048E9"/>
    <w:rsid w:val="00504A34"/>
    <w:rsid w:val="00505366"/>
    <w:rsid w:val="00510184"/>
    <w:rsid w:val="00510973"/>
    <w:rsid w:val="00510D89"/>
    <w:rsid w:val="00511F6D"/>
    <w:rsid w:val="0051326F"/>
    <w:rsid w:val="00513F33"/>
    <w:rsid w:val="005147FC"/>
    <w:rsid w:val="005158BE"/>
    <w:rsid w:val="00515C82"/>
    <w:rsid w:val="00516835"/>
    <w:rsid w:val="00517613"/>
    <w:rsid w:val="00520C3B"/>
    <w:rsid w:val="00520C4B"/>
    <w:rsid w:val="0052156D"/>
    <w:rsid w:val="00521A4E"/>
    <w:rsid w:val="00522475"/>
    <w:rsid w:val="005227A0"/>
    <w:rsid w:val="0052289F"/>
    <w:rsid w:val="005254F8"/>
    <w:rsid w:val="005259CE"/>
    <w:rsid w:val="00526053"/>
    <w:rsid w:val="005265D4"/>
    <w:rsid w:val="00526812"/>
    <w:rsid w:val="0052721A"/>
    <w:rsid w:val="00527F31"/>
    <w:rsid w:val="00530147"/>
    <w:rsid w:val="0053022D"/>
    <w:rsid w:val="005315AB"/>
    <w:rsid w:val="005325F3"/>
    <w:rsid w:val="005326D9"/>
    <w:rsid w:val="00533572"/>
    <w:rsid w:val="00534021"/>
    <w:rsid w:val="00534623"/>
    <w:rsid w:val="005346A1"/>
    <w:rsid w:val="00535D72"/>
    <w:rsid w:val="00536D35"/>
    <w:rsid w:val="005373BF"/>
    <w:rsid w:val="00537E14"/>
    <w:rsid w:val="00537EE4"/>
    <w:rsid w:val="005402FF"/>
    <w:rsid w:val="005408D0"/>
    <w:rsid w:val="00540A49"/>
    <w:rsid w:val="00540FF0"/>
    <w:rsid w:val="005413A3"/>
    <w:rsid w:val="00542C8D"/>
    <w:rsid w:val="00542EA3"/>
    <w:rsid w:val="0054362C"/>
    <w:rsid w:val="00543699"/>
    <w:rsid w:val="00543A22"/>
    <w:rsid w:val="0054509A"/>
    <w:rsid w:val="00545927"/>
    <w:rsid w:val="005474F6"/>
    <w:rsid w:val="00550BA0"/>
    <w:rsid w:val="00550E94"/>
    <w:rsid w:val="00551B42"/>
    <w:rsid w:val="00551DB7"/>
    <w:rsid w:val="00554AAD"/>
    <w:rsid w:val="005554C5"/>
    <w:rsid w:val="005559D1"/>
    <w:rsid w:val="00555D63"/>
    <w:rsid w:val="005565B2"/>
    <w:rsid w:val="00556F6F"/>
    <w:rsid w:val="00557296"/>
    <w:rsid w:val="00557A6C"/>
    <w:rsid w:val="005608B2"/>
    <w:rsid w:val="00560A43"/>
    <w:rsid w:val="00561000"/>
    <w:rsid w:val="00563749"/>
    <w:rsid w:val="00563C85"/>
    <w:rsid w:val="00563DDB"/>
    <w:rsid w:val="00564813"/>
    <w:rsid w:val="0056546C"/>
    <w:rsid w:val="0056563A"/>
    <w:rsid w:val="00565966"/>
    <w:rsid w:val="00565BD3"/>
    <w:rsid w:val="00566629"/>
    <w:rsid w:val="00567686"/>
    <w:rsid w:val="005676DC"/>
    <w:rsid w:val="005715C9"/>
    <w:rsid w:val="00571D67"/>
    <w:rsid w:val="00572E40"/>
    <w:rsid w:val="00573801"/>
    <w:rsid w:val="00574579"/>
    <w:rsid w:val="00574593"/>
    <w:rsid w:val="0057527E"/>
    <w:rsid w:val="00575A1D"/>
    <w:rsid w:val="00575A7F"/>
    <w:rsid w:val="005764A9"/>
    <w:rsid w:val="00576867"/>
    <w:rsid w:val="00576D2C"/>
    <w:rsid w:val="00576EFD"/>
    <w:rsid w:val="00580508"/>
    <w:rsid w:val="00580C5C"/>
    <w:rsid w:val="00580DA8"/>
    <w:rsid w:val="00580F79"/>
    <w:rsid w:val="0058142E"/>
    <w:rsid w:val="0058597D"/>
    <w:rsid w:val="00585F34"/>
    <w:rsid w:val="00587DC2"/>
    <w:rsid w:val="005906E5"/>
    <w:rsid w:val="00590EBE"/>
    <w:rsid w:val="0059185F"/>
    <w:rsid w:val="00592EBE"/>
    <w:rsid w:val="0059531A"/>
    <w:rsid w:val="0059595B"/>
    <w:rsid w:val="00595A3D"/>
    <w:rsid w:val="00595D44"/>
    <w:rsid w:val="0059614A"/>
    <w:rsid w:val="0059622E"/>
    <w:rsid w:val="005963B4"/>
    <w:rsid w:val="0059702F"/>
    <w:rsid w:val="00597981"/>
    <w:rsid w:val="005A021D"/>
    <w:rsid w:val="005A0CEA"/>
    <w:rsid w:val="005A1450"/>
    <w:rsid w:val="005A190A"/>
    <w:rsid w:val="005A1A1B"/>
    <w:rsid w:val="005A2216"/>
    <w:rsid w:val="005A24B5"/>
    <w:rsid w:val="005A2CFC"/>
    <w:rsid w:val="005A40BA"/>
    <w:rsid w:val="005A5A70"/>
    <w:rsid w:val="005A7389"/>
    <w:rsid w:val="005A7CA2"/>
    <w:rsid w:val="005B02F2"/>
    <w:rsid w:val="005B1071"/>
    <w:rsid w:val="005B1790"/>
    <w:rsid w:val="005B1F44"/>
    <w:rsid w:val="005B20D0"/>
    <w:rsid w:val="005B3945"/>
    <w:rsid w:val="005B4811"/>
    <w:rsid w:val="005B4C75"/>
    <w:rsid w:val="005B53E0"/>
    <w:rsid w:val="005B6AB5"/>
    <w:rsid w:val="005B6CCC"/>
    <w:rsid w:val="005B757C"/>
    <w:rsid w:val="005B78A1"/>
    <w:rsid w:val="005C05FF"/>
    <w:rsid w:val="005C14A0"/>
    <w:rsid w:val="005C198B"/>
    <w:rsid w:val="005C23D7"/>
    <w:rsid w:val="005C2859"/>
    <w:rsid w:val="005C438E"/>
    <w:rsid w:val="005C43F3"/>
    <w:rsid w:val="005C552D"/>
    <w:rsid w:val="005C62D9"/>
    <w:rsid w:val="005D00DB"/>
    <w:rsid w:val="005D07D2"/>
    <w:rsid w:val="005D0F46"/>
    <w:rsid w:val="005D14F8"/>
    <w:rsid w:val="005D1D5B"/>
    <w:rsid w:val="005D293C"/>
    <w:rsid w:val="005D30B8"/>
    <w:rsid w:val="005D48FE"/>
    <w:rsid w:val="005D5EAC"/>
    <w:rsid w:val="005D66B0"/>
    <w:rsid w:val="005D6BA1"/>
    <w:rsid w:val="005D6C63"/>
    <w:rsid w:val="005D7598"/>
    <w:rsid w:val="005E009F"/>
    <w:rsid w:val="005E1528"/>
    <w:rsid w:val="005E2189"/>
    <w:rsid w:val="005E2A5A"/>
    <w:rsid w:val="005E2C15"/>
    <w:rsid w:val="005E46DC"/>
    <w:rsid w:val="005E4C95"/>
    <w:rsid w:val="005E58A5"/>
    <w:rsid w:val="005F00DC"/>
    <w:rsid w:val="005F0B3C"/>
    <w:rsid w:val="005F0E3E"/>
    <w:rsid w:val="005F2129"/>
    <w:rsid w:val="005F27EF"/>
    <w:rsid w:val="005F3AEF"/>
    <w:rsid w:val="005F492A"/>
    <w:rsid w:val="005F49D2"/>
    <w:rsid w:val="005F4CED"/>
    <w:rsid w:val="005F5352"/>
    <w:rsid w:val="005F5527"/>
    <w:rsid w:val="005F6F91"/>
    <w:rsid w:val="00600F74"/>
    <w:rsid w:val="00601EC3"/>
    <w:rsid w:val="00603ABE"/>
    <w:rsid w:val="00603F19"/>
    <w:rsid w:val="00604D69"/>
    <w:rsid w:val="006052E4"/>
    <w:rsid w:val="00605442"/>
    <w:rsid w:val="00607532"/>
    <w:rsid w:val="00610930"/>
    <w:rsid w:val="00610B37"/>
    <w:rsid w:val="00613D28"/>
    <w:rsid w:val="0061404F"/>
    <w:rsid w:val="0061424C"/>
    <w:rsid w:val="00614C2C"/>
    <w:rsid w:val="00614E96"/>
    <w:rsid w:val="00614EA9"/>
    <w:rsid w:val="00615EA0"/>
    <w:rsid w:val="00616E27"/>
    <w:rsid w:val="00617088"/>
    <w:rsid w:val="00617831"/>
    <w:rsid w:val="0062007E"/>
    <w:rsid w:val="00620205"/>
    <w:rsid w:val="006202CC"/>
    <w:rsid w:val="00620470"/>
    <w:rsid w:val="00620736"/>
    <w:rsid w:val="00621EF4"/>
    <w:rsid w:val="00622128"/>
    <w:rsid w:val="006241BE"/>
    <w:rsid w:val="00625009"/>
    <w:rsid w:val="006278CC"/>
    <w:rsid w:val="0063189C"/>
    <w:rsid w:val="00632878"/>
    <w:rsid w:val="00632C05"/>
    <w:rsid w:val="00633595"/>
    <w:rsid w:val="00634521"/>
    <w:rsid w:val="0063468C"/>
    <w:rsid w:val="00634DAD"/>
    <w:rsid w:val="006358A5"/>
    <w:rsid w:val="006359D0"/>
    <w:rsid w:val="00635B2E"/>
    <w:rsid w:val="00636EAC"/>
    <w:rsid w:val="0063728E"/>
    <w:rsid w:val="006372F2"/>
    <w:rsid w:val="00637810"/>
    <w:rsid w:val="00637918"/>
    <w:rsid w:val="00637E30"/>
    <w:rsid w:val="00640391"/>
    <w:rsid w:val="0064090C"/>
    <w:rsid w:val="00640A83"/>
    <w:rsid w:val="00642D42"/>
    <w:rsid w:val="00642E0E"/>
    <w:rsid w:val="00643044"/>
    <w:rsid w:val="00643B35"/>
    <w:rsid w:val="00644C77"/>
    <w:rsid w:val="006457EB"/>
    <w:rsid w:val="00650191"/>
    <w:rsid w:val="00650351"/>
    <w:rsid w:val="00650BE0"/>
    <w:rsid w:val="006514C8"/>
    <w:rsid w:val="00651A21"/>
    <w:rsid w:val="006531CB"/>
    <w:rsid w:val="00653453"/>
    <w:rsid w:val="00653F03"/>
    <w:rsid w:val="00654347"/>
    <w:rsid w:val="00654C6A"/>
    <w:rsid w:val="00655B41"/>
    <w:rsid w:val="00656821"/>
    <w:rsid w:val="006569B1"/>
    <w:rsid w:val="006572F6"/>
    <w:rsid w:val="006600F5"/>
    <w:rsid w:val="0066027D"/>
    <w:rsid w:val="00660609"/>
    <w:rsid w:val="0066318C"/>
    <w:rsid w:val="00664533"/>
    <w:rsid w:val="0066498E"/>
    <w:rsid w:val="00665B84"/>
    <w:rsid w:val="006662AD"/>
    <w:rsid w:val="00667ABB"/>
    <w:rsid w:val="00670B88"/>
    <w:rsid w:val="00670E84"/>
    <w:rsid w:val="0067240D"/>
    <w:rsid w:val="006726E0"/>
    <w:rsid w:val="00675A81"/>
    <w:rsid w:val="0067643D"/>
    <w:rsid w:val="0067675D"/>
    <w:rsid w:val="00677C73"/>
    <w:rsid w:val="00677F7C"/>
    <w:rsid w:val="006834E5"/>
    <w:rsid w:val="00683A28"/>
    <w:rsid w:val="00684959"/>
    <w:rsid w:val="00684DEA"/>
    <w:rsid w:val="006854F2"/>
    <w:rsid w:val="006862BE"/>
    <w:rsid w:val="00686E12"/>
    <w:rsid w:val="00690E56"/>
    <w:rsid w:val="00691B4D"/>
    <w:rsid w:val="0069249C"/>
    <w:rsid w:val="00692613"/>
    <w:rsid w:val="00697E8B"/>
    <w:rsid w:val="006A1039"/>
    <w:rsid w:val="006A21AF"/>
    <w:rsid w:val="006A2D1D"/>
    <w:rsid w:val="006A49AE"/>
    <w:rsid w:val="006A5A4C"/>
    <w:rsid w:val="006A6846"/>
    <w:rsid w:val="006A75AC"/>
    <w:rsid w:val="006A7897"/>
    <w:rsid w:val="006A7F23"/>
    <w:rsid w:val="006B056A"/>
    <w:rsid w:val="006B0FA2"/>
    <w:rsid w:val="006B1475"/>
    <w:rsid w:val="006B1A63"/>
    <w:rsid w:val="006B2A03"/>
    <w:rsid w:val="006B2ABD"/>
    <w:rsid w:val="006B2E94"/>
    <w:rsid w:val="006B3858"/>
    <w:rsid w:val="006B5363"/>
    <w:rsid w:val="006B56D9"/>
    <w:rsid w:val="006B657B"/>
    <w:rsid w:val="006B709C"/>
    <w:rsid w:val="006C01B3"/>
    <w:rsid w:val="006C0671"/>
    <w:rsid w:val="006C1ABF"/>
    <w:rsid w:val="006C1BD3"/>
    <w:rsid w:val="006C1C44"/>
    <w:rsid w:val="006C1C92"/>
    <w:rsid w:val="006C1D80"/>
    <w:rsid w:val="006C34ED"/>
    <w:rsid w:val="006C3B12"/>
    <w:rsid w:val="006C3D2D"/>
    <w:rsid w:val="006C4D54"/>
    <w:rsid w:val="006C7199"/>
    <w:rsid w:val="006D0087"/>
    <w:rsid w:val="006D04D2"/>
    <w:rsid w:val="006D176D"/>
    <w:rsid w:val="006D280F"/>
    <w:rsid w:val="006D383A"/>
    <w:rsid w:val="006D4161"/>
    <w:rsid w:val="006D5CCE"/>
    <w:rsid w:val="006D6131"/>
    <w:rsid w:val="006D66B2"/>
    <w:rsid w:val="006D6CC0"/>
    <w:rsid w:val="006D6DC4"/>
    <w:rsid w:val="006D76F3"/>
    <w:rsid w:val="006D786C"/>
    <w:rsid w:val="006D79E4"/>
    <w:rsid w:val="006D7BA7"/>
    <w:rsid w:val="006E07AA"/>
    <w:rsid w:val="006E123A"/>
    <w:rsid w:val="006E3C03"/>
    <w:rsid w:val="006E4684"/>
    <w:rsid w:val="006E4ABF"/>
    <w:rsid w:val="006E52CE"/>
    <w:rsid w:val="006E57B4"/>
    <w:rsid w:val="006E585B"/>
    <w:rsid w:val="006E5FB1"/>
    <w:rsid w:val="006E6297"/>
    <w:rsid w:val="006E6560"/>
    <w:rsid w:val="006E663F"/>
    <w:rsid w:val="006E787E"/>
    <w:rsid w:val="006F10E1"/>
    <w:rsid w:val="006F11DD"/>
    <w:rsid w:val="006F19AA"/>
    <w:rsid w:val="006F281D"/>
    <w:rsid w:val="006F285F"/>
    <w:rsid w:val="006F347B"/>
    <w:rsid w:val="006F3536"/>
    <w:rsid w:val="006F3A6E"/>
    <w:rsid w:val="006F4A1E"/>
    <w:rsid w:val="006F713A"/>
    <w:rsid w:val="007021CD"/>
    <w:rsid w:val="0070320C"/>
    <w:rsid w:val="007033B5"/>
    <w:rsid w:val="00704670"/>
    <w:rsid w:val="00705DA7"/>
    <w:rsid w:val="00706400"/>
    <w:rsid w:val="00710AF8"/>
    <w:rsid w:val="00710BF9"/>
    <w:rsid w:val="00710F65"/>
    <w:rsid w:val="0071327A"/>
    <w:rsid w:val="00713714"/>
    <w:rsid w:val="0071397B"/>
    <w:rsid w:val="007139D1"/>
    <w:rsid w:val="007149F9"/>
    <w:rsid w:val="00715002"/>
    <w:rsid w:val="007163C0"/>
    <w:rsid w:val="007202FA"/>
    <w:rsid w:val="0072059F"/>
    <w:rsid w:val="00720648"/>
    <w:rsid w:val="00720C94"/>
    <w:rsid w:val="0072219B"/>
    <w:rsid w:val="00722424"/>
    <w:rsid w:val="00722DED"/>
    <w:rsid w:val="00723C1D"/>
    <w:rsid w:val="00723CC5"/>
    <w:rsid w:val="007244C8"/>
    <w:rsid w:val="00724A11"/>
    <w:rsid w:val="00725154"/>
    <w:rsid w:val="007264A6"/>
    <w:rsid w:val="00726680"/>
    <w:rsid w:val="00726C56"/>
    <w:rsid w:val="00727068"/>
    <w:rsid w:val="007270D6"/>
    <w:rsid w:val="00727786"/>
    <w:rsid w:val="00727AE5"/>
    <w:rsid w:val="00727E46"/>
    <w:rsid w:val="00730041"/>
    <w:rsid w:val="0073024E"/>
    <w:rsid w:val="00730D60"/>
    <w:rsid w:val="00731EC4"/>
    <w:rsid w:val="00731FA8"/>
    <w:rsid w:val="0073212E"/>
    <w:rsid w:val="0073326F"/>
    <w:rsid w:val="0073378E"/>
    <w:rsid w:val="007343B1"/>
    <w:rsid w:val="00734516"/>
    <w:rsid w:val="00734D2F"/>
    <w:rsid w:val="00735043"/>
    <w:rsid w:val="00736983"/>
    <w:rsid w:val="00737520"/>
    <w:rsid w:val="007406F6"/>
    <w:rsid w:val="00740C3E"/>
    <w:rsid w:val="0074450C"/>
    <w:rsid w:val="00744632"/>
    <w:rsid w:val="007452B3"/>
    <w:rsid w:val="0074683C"/>
    <w:rsid w:val="00746F99"/>
    <w:rsid w:val="007474F0"/>
    <w:rsid w:val="00747AC3"/>
    <w:rsid w:val="00750F58"/>
    <w:rsid w:val="007524DB"/>
    <w:rsid w:val="007526C7"/>
    <w:rsid w:val="00753941"/>
    <w:rsid w:val="00753A65"/>
    <w:rsid w:val="00753ADE"/>
    <w:rsid w:val="00756E3A"/>
    <w:rsid w:val="0075719C"/>
    <w:rsid w:val="00757B56"/>
    <w:rsid w:val="00760B67"/>
    <w:rsid w:val="00761CE2"/>
    <w:rsid w:val="00761E43"/>
    <w:rsid w:val="00763E35"/>
    <w:rsid w:val="00764C13"/>
    <w:rsid w:val="00766829"/>
    <w:rsid w:val="00766AEC"/>
    <w:rsid w:val="0077170D"/>
    <w:rsid w:val="00771F85"/>
    <w:rsid w:val="00772487"/>
    <w:rsid w:val="00772730"/>
    <w:rsid w:val="00773308"/>
    <w:rsid w:val="0077389E"/>
    <w:rsid w:val="00773F61"/>
    <w:rsid w:val="00774E68"/>
    <w:rsid w:val="0077505C"/>
    <w:rsid w:val="0077594D"/>
    <w:rsid w:val="007761EE"/>
    <w:rsid w:val="0077727E"/>
    <w:rsid w:val="00777DAD"/>
    <w:rsid w:val="00780D40"/>
    <w:rsid w:val="00781F3B"/>
    <w:rsid w:val="00784F53"/>
    <w:rsid w:val="00786364"/>
    <w:rsid w:val="00787591"/>
    <w:rsid w:val="00787AC0"/>
    <w:rsid w:val="00791581"/>
    <w:rsid w:val="00792B80"/>
    <w:rsid w:val="007938BB"/>
    <w:rsid w:val="00795121"/>
    <w:rsid w:val="00795C02"/>
    <w:rsid w:val="00795E68"/>
    <w:rsid w:val="00795F23"/>
    <w:rsid w:val="007965A0"/>
    <w:rsid w:val="00796843"/>
    <w:rsid w:val="0079764A"/>
    <w:rsid w:val="007A0926"/>
    <w:rsid w:val="007A1E36"/>
    <w:rsid w:val="007A3DF5"/>
    <w:rsid w:val="007A3F08"/>
    <w:rsid w:val="007A4DFA"/>
    <w:rsid w:val="007A4EBD"/>
    <w:rsid w:val="007A54C1"/>
    <w:rsid w:val="007A711B"/>
    <w:rsid w:val="007A75A0"/>
    <w:rsid w:val="007A7E74"/>
    <w:rsid w:val="007A7F2A"/>
    <w:rsid w:val="007B0184"/>
    <w:rsid w:val="007B06A5"/>
    <w:rsid w:val="007B0C46"/>
    <w:rsid w:val="007B112B"/>
    <w:rsid w:val="007B5B26"/>
    <w:rsid w:val="007B687A"/>
    <w:rsid w:val="007B691A"/>
    <w:rsid w:val="007B6D25"/>
    <w:rsid w:val="007C0832"/>
    <w:rsid w:val="007C1372"/>
    <w:rsid w:val="007C17FC"/>
    <w:rsid w:val="007C1C85"/>
    <w:rsid w:val="007C1FF6"/>
    <w:rsid w:val="007C2E02"/>
    <w:rsid w:val="007C2F86"/>
    <w:rsid w:val="007C45FB"/>
    <w:rsid w:val="007C4A9A"/>
    <w:rsid w:val="007C553D"/>
    <w:rsid w:val="007C56CB"/>
    <w:rsid w:val="007C5CAC"/>
    <w:rsid w:val="007C7734"/>
    <w:rsid w:val="007D01B9"/>
    <w:rsid w:val="007D0E2D"/>
    <w:rsid w:val="007D15AE"/>
    <w:rsid w:val="007D16B5"/>
    <w:rsid w:val="007D1D12"/>
    <w:rsid w:val="007D5232"/>
    <w:rsid w:val="007D56D2"/>
    <w:rsid w:val="007D5C93"/>
    <w:rsid w:val="007D61B8"/>
    <w:rsid w:val="007D6945"/>
    <w:rsid w:val="007D70B5"/>
    <w:rsid w:val="007D7181"/>
    <w:rsid w:val="007D72D2"/>
    <w:rsid w:val="007D760B"/>
    <w:rsid w:val="007D77AF"/>
    <w:rsid w:val="007D7EB3"/>
    <w:rsid w:val="007E01DB"/>
    <w:rsid w:val="007E10DE"/>
    <w:rsid w:val="007E36FC"/>
    <w:rsid w:val="007E3828"/>
    <w:rsid w:val="007E3B77"/>
    <w:rsid w:val="007E3C92"/>
    <w:rsid w:val="007E5629"/>
    <w:rsid w:val="007E69A8"/>
    <w:rsid w:val="007E6E5C"/>
    <w:rsid w:val="007E7D7C"/>
    <w:rsid w:val="007F1621"/>
    <w:rsid w:val="007F1D4F"/>
    <w:rsid w:val="007F34DE"/>
    <w:rsid w:val="007F34EB"/>
    <w:rsid w:val="007F3B2C"/>
    <w:rsid w:val="007F42D5"/>
    <w:rsid w:val="007F4A1B"/>
    <w:rsid w:val="007F4AD9"/>
    <w:rsid w:val="007F6056"/>
    <w:rsid w:val="007F7FF2"/>
    <w:rsid w:val="00800A64"/>
    <w:rsid w:val="00802129"/>
    <w:rsid w:val="008024D4"/>
    <w:rsid w:val="00802E55"/>
    <w:rsid w:val="008059B4"/>
    <w:rsid w:val="00805B42"/>
    <w:rsid w:val="00805E4B"/>
    <w:rsid w:val="00806D63"/>
    <w:rsid w:val="00807409"/>
    <w:rsid w:val="0080798A"/>
    <w:rsid w:val="008102AD"/>
    <w:rsid w:val="0081167C"/>
    <w:rsid w:val="0081297F"/>
    <w:rsid w:val="008168F8"/>
    <w:rsid w:val="00820393"/>
    <w:rsid w:val="008203CF"/>
    <w:rsid w:val="00820603"/>
    <w:rsid w:val="0082350D"/>
    <w:rsid w:val="00823E80"/>
    <w:rsid w:val="00824AA0"/>
    <w:rsid w:val="00825A1B"/>
    <w:rsid w:val="00825AAA"/>
    <w:rsid w:val="00831AF4"/>
    <w:rsid w:val="00831C86"/>
    <w:rsid w:val="008327D7"/>
    <w:rsid w:val="00833E19"/>
    <w:rsid w:val="00834E18"/>
    <w:rsid w:val="00834E9C"/>
    <w:rsid w:val="0083622F"/>
    <w:rsid w:val="00836462"/>
    <w:rsid w:val="008368AA"/>
    <w:rsid w:val="00837276"/>
    <w:rsid w:val="008372A9"/>
    <w:rsid w:val="008375AA"/>
    <w:rsid w:val="00837997"/>
    <w:rsid w:val="00842138"/>
    <w:rsid w:val="00842F70"/>
    <w:rsid w:val="00845894"/>
    <w:rsid w:val="00845E9A"/>
    <w:rsid w:val="008474A5"/>
    <w:rsid w:val="008478AA"/>
    <w:rsid w:val="00847B0A"/>
    <w:rsid w:val="00847C79"/>
    <w:rsid w:val="00847D4E"/>
    <w:rsid w:val="00850599"/>
    <w:rsid w:val="00850910"/>
    <w:rsid w:val="00851CD4"/>
    <w:rsid w:val="00851FD3"/>
    <w:rsid w:val="00852213"/>
    <w:rsid w:val="0085238A"/>
    <w:rsid w:val="008524EB"/>
    <w:rsid w:val="00852890"/>
    <w:rsid w:val="0085318D"/>
    <w:rsid w:val="008565BC"/>
    <w:rsid w:val="00856648"/>
    <w:rsid w:val="00856A67"/>
    <w:rsid w:val="00857D59"/>
    <w:rsid w:val="00861731"/>
    <w:rsid w:val="0086190F"/>
    <w:rsid w:val="00862862"/>
    <w:rsid w:val="00863B4F"/>
    <w:rsid w:val="00864147"/>
    <w:rsid w:val="008642D0"/>
    <w:rsid w:val="0086437F"/>
    <w:rsid w:val="00867FC5"/>
    <w:rsid w:val="008714A1"/>
    <w:rsid w:val="008714DB"/>
    <w:rsid w:val="00871B57"/>
    <w:rsid w:val="00871E21"/>
    <w:rsid w:val="008747C9"/>
    <w:rsid w:val="00875402"/>
    <w:rsid w:val="00875449"/>
    <w:rsid w:val="00875858"/>
    <w:rsid w:val="00876705"/>
    <w:rsid w:val="00877E88"/>
    <w:rsid w:val="0088002F"/>
    <w:rsid w:val="008802A2"/>
    <w:rsid w:val="00881072"/>
    <w:rsid w:val="008816A3"/>
    <w:rsid w:val="008829F7"/>
    <w:rsid w:val="00882E18"/>
    <w:rsid w:val="008832B0"/>
    <w:rsid w:val="00884B09"/>
    <w:rsid w:val="00885345"/>
    <w:rsid w:val="00885469"/>
    <w:rsid w:val="008865D6"/>
    <w:rsid w:val="008866DF"/>
    <w:rsid w:val="00886AEF"/>
    <w:rsid w:val="00887178"/>
    <w:rsid w:val="0088747B"/>
    <w:rsid w:val="008879D3"/>
    <w:rsid w:val="008900FF"/>
    <w:rsid w:val="00890D9C"/>
    <w:rsid w:val="00892310"/>
    <w:rsid w:val="00892F80"/>
    <w:rsid w:val="00893A03"/>
    <w:rsid w:val="00894E27"/>
    <w:rsid w:val="00895566"/>
    <w:rsid w:val="00895CB8"/>
    <w:rsid w:val="00895E96"/>
    <w:rsid w:val="0089661E"/>
    <w:rsid w:val="00897D19"/>
    <w:rsid w:val="00897F55"/>
    <w:rsid w:val="008A056C"/>
    <w:rsid w:val="008A0D84"/>
    <w:rsid w:val="008A12DF"/>
    <w:rsid w:val="008A14DB"/>
    <w:rsid w:val="008A1A62"/>
    <w:rsid w:val="008A1D01"/>
    <w:rsid w:val="008A1FFE"/>
    <w:rsid w:val="008A21D4"/>
    <w:rsid w:val="008A2C51"/>
    <w:rsid w:val="008A342D"/>
    <w:rsid w:val="008A4780"/>
    <w:rsid w:val="008A5963"/>
    <w:rsid w:val="008A5ABF"/>
    <w:rsid w:val="008A5FD4"/>
    <w:rsid w:val="008A78F7"/>
    <w:rsid w:val="008B0887"/>
    <w:rsid w:val="008B1542"/>
    <w:rsid w:val="008B17A0"/>
    <w:rsid w:val="008B22B0"/>
    <w:rsid w:val="008B2C01"/>
    <w:rsid w:val="008B31F7"/>
    <w:rsid w:val="008B33C0"/>
    <w:rsid w:val="008B3522"/>
    <w:rsid w:val="008B3869"/>
    <w:rsid w:val="008B4F41"/>
    <w:rsid w:val="008B5F0A"/>
    <w:rsid w:val="008B6972"/>
    <w:rsid w:val="008C0E17"/>
    <w:rsid w:val="008C2AB9"/>
    <w:rsid w:val="008C3DBB"/>
    <w:rsid w:val="008C4092"/>
    <w:rsid w:val="008C5036"/>
    <w:rsid w:val="008C61AE"/>
    <w:rsid w:val="008C6F75"/>
    <w:rsid w:val="008C7200"/>
    <w:rsid w:val="008C7627"/>
    <w:rsid w:val="008D111E"/>
    <w:rsid w:val="008D1B62"/>
    <w:rsid w:val="008D1B9E"/>
    <w:rsid w:val="008D1F9A"/>
    <w:rsid w:val="008D2082"/>
    <w:rsid w:val="008D2388"/>
    <w:rsid w:val="008D4146"/>
    <w:rsid w:val="008D42F6"/>
    <w:rsid w:val="008D5013"/>
    <w:rsid w:val="008D59E9"/>
    <w:rsid w:val="008D7367"/>
    <w:rsid w:val="008D7D2D"/>
    <w:rsid w:val="008E0F0B"/>
    <w:rsid w:val="008E1159"/>
    <w:rsid w:val="008E1580"/>
    <w:rsid w:val="008E1A9C"/>
    <w:rsid w:val="008E20F1"/>
    <w:rsid w:val="008E3175"/>
    <w:rsid w:val="008E32CE"/>
    <w:rsid w:val="008E3CC4"/>
    <w:rsid w:val="008E417F"/>
    <w:rsid w:val="008E4F24"/>
    <w:rsid w:val="008E5512"/>
    <w:rsid w:val="008E59C0"/>
    <w:rsid w:val="008F1056"/>
    <w:rsid w:val="008F1589"/>
    <w:rsid w:val="008F1873"/>
    <w:rsid w:val="008F18E5"/>
    <w:rsid w:val="008F2E02"/>
    <w:rsid w:val="008F3327"/>
    <w:rsid w:val="008F3549"/>
    <w:rsid w:val="008F49E7"/>
    <w:rsid w:val="008F4BA0"/>
    <w:rsid w:val="008F4D58"/>
    <w:rsid w:val="008F5110"/>
    <w:rsid w:val="008F5B13"/>
    <w:rsid w:val="008F6006"/>
    <w:rsid w:val="008F62CE"/>
    <w:rsid w:val="008F71B1"/>
    <w:rsid w:val="008F71BC"/>
    <w:rsid w:val="008F7246"/>
    <w:rsid w:val="008F7DE6"/>
    <w:rsid w:val="009015B2"/>
    <w:rsid w:val="009022AF"/>
    <w:rsid w:val="00902897"/>
    <w:rsid w:val="009040D4"/>
    <w:rsid w:val="00904723"/>
    <w:rsid w:val="00905ACD"/>
    <w:rsid w:val="00906209"/>
    <w:rsid w:val="0090659B"/>
    <w:rsid w:val="0090660F"/>
    <w:rsid w:val="00906D38"/>
    <w:rsid w:val="00906E90"/>
    <w:rsid w:val="0091051D"/>
    <w:rsid w:val="00910533"/>
    <w:rsid w:val="00910C50"/>
    <w:rsid w:val="00912CB8"/>
    <w:rsid w:val="00916484"/>
    <w:rsid w:val="00916B7D"/>
    <w:rsid w:val="00916F2F"/>
    <w:rsid w:val="00917575"/>
    <w:rsid w:val="009176BF"/>
    <w:rsid w:val="00917ABD"/>
    <w:rsid w:val="00920136"/>
    <w:rsid w:val="009209E3"/>
    <w:rsid w:val="00921847"/>
    <w:rsid w:val="00923A33"/>
    <w:rsid w:val="00923DB7"/>
    <w:rsid w:val="009261BF"/>
    <w:rsid w:val="009266A4"/>
    <w:rsid w:val="00926AD5"/>
    <w:rsid w:val="009272C6"/>
    <w:rsid w:val="009309A2"/>
    <w:rsid w:val="009313EE"/>
    <w:rsid w:val="00931A9D"/>
    <w:rsid w:val="00933A3E"/>
    <w:rsid w:val="00934D39"/>
    <w:rsid w:val="00934DEB"/>
    <w:rsid w:val="0093548A"/>
    <w:rsid w:val="00936381"/>
    <w:rsid w:val="00936F5C"/>
    <w:rsid w:val="00936F84"/>
    <w:rsid w:val="00937A6E"/>
    <w:rsid w:val="00940851"/>
    <w:rsid w:val="00941194"/>
    <w:rsid w:val="0094160F"/>
    <w:rsid w:val="009422BC"/>
    <w:rsid w:val="0094287F"/>
    <w:rsid w:val="00942B51"/>
    <w:rsid w:val="009430E5"/>
    <w:rsid w:val="0094315F"/>
    <w:rsid w:val="009432CB"/>
    <w:rsid w:val="00943DE3"/>
    <w:rsid w:val="00944192"/>
    <w:rsid w:val="0094678B"/>
    <w:rsid w:val="00946AB7"/>
    <w:rsid w:val="00946B07"/>
    <w:rsid w:val="009513BE"/>
    <w:rsid w:val="0095242E"/>
    <w:rsid w:val="00953B97"/>
    <w:rsid w:val="00954408"/>
    <w:rsid w:val="00954FE1"/>
    <w:rsid w:val="0095542B"/>
    <w:rsid w:val="009556AE"/>
    <w:rsid w:val="00955DD9"/>
    <w:rsid w:val="009565BD"/>
    <w:rsid w:val="00956939"/>
    <w:rsid w:val="00956AB0"/>
    <w:rsid w:val="00961EF6"/>
    <w:rsid w:val="00962780"/>
    <w:rsid w:val="00962B87"/>
    <w:rsid w:val="00962FF1"/>
    <w:rsid w:val="009630CE"/>
    <w:rsid w:val="009641AD"/>
    <w:rsid w:val="00965427"/>
    <w:rsid w:val="00965842"/>
    <w:rsid w:val="0096636C"/>
    <w:rsid w:val="009679D9"/>
    <w:rsid w:val="009703F8"/>
    <w:rsid w:val="0097067B"/>
    <w:rsid w:val="009712AE"/>
    <w:rsid w:val="00971BE0"/>
    <w:rsid w:val="00971EFA"/>
    <w:rsid w:val="009725A2"/>
    <w:rsid w:val="00973381"/>
    <w:rsid w:val="00974915"/>
    <w:rsid w:val="009752C7"/>
    <w:rsid w:val="009759F2"/>
    <w:rsid w:val="00976190"/>
    <w:rsid w:val="00976469"/>
    <w:rsid w:val="00976532"/>
    <w:rsid w:val="0097654B"/>
    <w:rsid w:val="009770B8"/>
    <w:rsid w:val="00977C6D"/>
    <w:rsid w:val="00977F17"/>
    <w:rsid w:val="00981AF3"/>
    <w:rsid w:val="00982497"/>
    <w:rsid w:val="00982CD1"/>
    <w:rsid w:val="0098342A"/>
    <w:rsid w:val="00983AE1"/>
    <w:rsid w:val="00985829"/>
    <w:rsid w:val="00985D36"/>
    <w:rsid w:val="00985DBA"/>
    <w:rsid w:val="009865D6"/>
    <w:rsid w:val="00990506"/>
    <w:rsid w:val="0099060E"/>
    <w:rsid w:val="009910DC"/>
    <w:rsid w:val="0099172C"/>
    <w:rsid w:val="00991B19"/>
    <w:rsid w:val="00993599"/>
    <w:rsid w:val="009974A8"/>
    <w:rsid w:val="009975C9"/>
    <w:rsid w:val="009A0A09"/>
    <w:rsid w:val="009A245B"/>
    <w:rsid w:val="009A2516"/>
    <w:rsid w:val="009A28D9"/>
    <w:rsid w:val="009A2FAA"/>
    <w:rsid w:val="009B18D7"/>
    <w:rsid w:val="009B23EE"/>
    <w:rsid w:val="009B3610"/>
    <w:rsid w:val="009B37D3"/>
    <w:rsid w:val="009B4C61"/>
    <w:rsid w:val="009B4CE0"/>
    <w:rsid w:val="009B54CF"/>
    <w:rsid w:val="009B5A8C"/>
    <w:rsid w:val="009B5C74"/>
    <w:rsid w:val="009B661E"/>
    <w:rsid w:val="009C01B9"/>
    <w:rsid w:val="009C0342"/>
    <w:rsid w:val="009C0408"/>
    <w:rsid w:val="009C161A"/>
    <w:rsid w:val="009C1E60"/>
    <w:rsid w:val="009C3C12"/>
    <w:rsid w:val="009C4088"/>
    <w:rsid w:val="009C7BBD"/>
    <w:rsid w:val="009C7FE0"/>
    <w:rsid w:val="009D05CC"/>
    <w:rsid w:val="009D09AE"/>
    <w:rsid w:val="009D0BDC"/>
    <w:rsid w:val="009D1B21"/>
    <w:rsid w:val="009D2A1F"/>
    <w:rsid w:val="009D2BAC"/>
    <w:rsid w:val="009D55EE"/>
    <w:rsid w:val="009D5970"/>
    <w:rsid w:val="009D5C32"/>
    <w:rsid w:val="009D73F5"/>
    <w:rsid w:val="009D740A"/>
    <w:rsid w:val="009D7D93"/>
    <w:rsid w:val="009E1607"/>
    <w:rsid w:val="009E1A3F"/>
    <w:rsid w:val="009E21B7"/>
    <w:rsid w:val="009E2CF2"/>
    <w:rsid w:val="009E2EA7"/>
    <w:rsid w:val="009E312B"/>
    <w:rsid w:val="009E4844"/>
    <w:rsid w:val="009E564F"/>
    <w:rsid w:val="009E6184"/>
    <w:rsid w:val="009E655C"/>
    <w:rsid w:val="009E6F2E"/>
    <w:rsid w:val="009F0BD3"/>
    <w:rsid w:val="009F3218"/>
    <w:rsid w:val="009F7F2B"/>
    <w:rsid w:val="00A0001D"/>
    <w:rsid w:val="00A01037"/>
    <w:rsid w:val="00A0119C"/>
    <w:rsid w:val="00A03332"/>
    <w:rsid w:val="00A0541B"/>
    <w:rsid w:val="00A06208"/>
    <w:rsid w:val="00A0628B"/>
    <w:rsid w:val="00A1016F"/>
    <w:rsid w:val="00A10996"/>
    <w:rsid w:val="00A10EC9"/>
    <w:rsid w:val="00A11F7F"/>
    <w:rsid w:val="00A12648"/>
    <w:rsid w:val="00A13855"/>
    <w:rsid w:val="00A140A3"/>
    <w:rsid w:val="00A15500"/>
    <w:rsid w:val="00A155A6"/>
    <w:rsid w:val="00A15B34"/>
    <w:rsid w:val="00A1647B"/>
    <w:rsid w:val="00A177A3"/>
    <w:rsid w:val="00A20EFE"/>
    <w:rsid w:val="00A21556"/>
    <w:rsid w:val="00A21903"/>
    <w:rsid w:val="00A22AF7"/>
    <w:rsid w:val="00A2551C"/>
    <w:rsid w:val="00A25C16"/>
    <w:rsid w:val="00A30028"/>
    <w:rsid w:val="00A301EF"/>
    <w:rsid w:val="00A3040F"/>
    <w:rsid w:val="00A3168A"/>
    <w:rsid w:val="00A31CD2"/>
    <w:rsid w:val="00A32EFA"/>
    <w:rsid w:val="00A339B5"/>
    <w:rsid w:val="00A35D28"/>
    <w:rsid w:val="00A35E53"/>
    <w:rsid w:val="00A3635F"/>
    <w:rsid w:val="00A36941"/>
    <w:rsid w:val="00A37995"/>
    <w:rsid w:val="00A41A4E"/>
    <w:rsid w:val="00A42621"/>
    <w:rsid w:val="00A436D2"/>
    <w:rsid w:val="00A43752"/>
    <w:rsid w:val="00A443B8"/>
    <w:rsid w:val="00A452B2"/>
    <w:rsid w:val="00A454E3"/>
    <w:rsid w:val="00A463F3"/>
    <w:rsid w:val="00A50258"/>
    <w:rsid w:val="00A51149"/>
    <w:rsid w:val="00A5498C"/>
    <w:rsid w:val="00A54FE4"/>
    <w:rsid w:val="00A5541A"/>
    <w:rsid w:val="00A567CB"/>
    <w:rsid w:val="00A57DEC"/>
    <w:rsid w:val="00A60C13"/>
    <w:rsid w:val="00A61AD5"/>
    <w:rsid w:val="00A62DEF"/>
    <w:rsid w:val="00A637C6"/>
    <w:rsid w:val="00A63824"/>
    <w:rsid w:val="00A63A5F"/>
    <w:rsid w:val="00A63D9A"/>
    <w:rsid w:val="00A63FAB"/>
    <w:rsid w:val="00A6458B"/>
    <w:rsid w:val="00A64C0E"/>
    <w:rsid w:val="00A653AC"/>
    <w:rsid w:val="00A65BF7"/>
    <w:rsid w:val="00A65DCD"/>
    <w:rsid w:val="00A66E2A"/>
    <w:rsid w:val="00A67E6C"/>
    <w:rsid w:val="00A7067D"/>
    <w:rsid w:val="00A7189A"/>
    <w:rsid w:val="00A71C9E"/>
    <w:rsid w:val="00A71DDE"/>
    <w:rsid w:val="00A7228B"/>
    <w:rsid w:val="00A72A7B"/>
    <w:rsid w:val="00A72B75"/>
    <w:rsid w:val="00A73038"/>
    <w:rsid w:val="00A73F8D"/>
    <w:rsid w:val="00A749FD"/>
    <w:rsid w:val="00A74B8A"/>
    <w:rsid w:val="00A74C77"/>
    <w:rsid w:val="00A75387"/>
    <w:rsid w:val="00A758BE"/>
    <w:rsid w:val="00A75C2A"/>
    <w:rsid w:val="00A76C99"/>
    <w:rsid w:val="00A76F14"/>
    <w:rsid w:val="00A775D5"/>
    <w:rsid w:val="00A800C8"/>
    <w:rsid w:val="00A811CB"/>
    <w:rsid w:val="00A81D2F"/>
    <w:rsid w:val="00A81E59"/>
    <w:rsid w:val="00A81EBE"/>
    <w:rsid w:val="00A826F1"/>
    <w:rsid w:val="00A82D02"/>
    <w:rsid w:val="00A84364"/>
    <w:rsid w:val="00A84CD0"/>
    <w:rsid w:val="00A915F4"/>
    <w:rsid w:val="00A917A9"/>
    <w:rsid w:val="00A91C36"/>
    <w:rsid w:val="00A91D41"/>
    <w:rsid w:val="00A96316"/>
    <w:rsid w:val="00A9684D"/>
    <w:rsid w:val="00A97402"/>
    <w:rsid w:val="00A97873"/>
    <w:rsid w:val="00AA321D"/>
    <w:rsid w:val="00AA3C4B"/>
    <w:rsid w:val="00AA4CFF"/>
    <w:rsid w:val="00AA6669"/>
    <w:rsid w:val="00AA690A"/>
    <w:rsid w:val="00AA6AB3"/>
    <w:rsid w:val="00AA6D26"/>
    <w:rsid w:val="00AB0541"/>
    <w:rsid w:val="00AB09EE"/>
    <w:rsid w:val="00AB2400"/>
    <w:rsid w:val="00AB5377"/>
    <w:rsid w:val="00AB5B77"/>
    <w:rsid w:val="00AB7D08"/>
    <w:rsid w:val="00AC0B81"/>
    <w:rsid w:val="00AC3506"/>
    <w:rsid w:val="00AC387E"/>
    <w:rsid w:val="00AC4DD2"/>
    <w:rsid w:val="00AC5BDF"/>
    <w:rsid w:val="00AC6903"/>
    <w:rsid w:val="00AC6B95"/>
    <w:rsid w:val="00AC763F"/>
    <w:rsid w:val="00AC7669"/>
    <w:rsid w:val="00AD0AF6"/>
    <w:rsid w:val="00AD343E"/>
    <w:rsid w:val="00AD476A"/>
    <w:rsid w:val="00AD47AA"/>
    <w:rsid w:val="00AD4ABF"/>
    <w:rsid w:val="00AD4C67"/>
    <w:rsid w:val="00AD52D1"/>
    <w:rsid w:val="00AD54E1"/>
    <w:rsid w:val="00AD5632"/>
    <w:rsid w:val="00AD6306"/>
    <w:rsid w:val="00AD7076"/>
    <w:rsid w:val="00AE0764"/>
    <w:rsid w:val="00AE1BD1"/>
    <w:rsid w:val="00AE1DBE"/>
    <w:rsid w:val="00AE276C"/>
    <w:rsid w:val="00AE3DC0"/>
    <w:rsid w:val="00AE3DF4"/>
    <w:rsid w:val="00AE4788"/>
    <w:rsid w:val="00AE50A3"/>
    <w:rsid w:val="00AE54FF"/>
    <w:rsid w:val="00AE563F"/>
    <w:rsid w:val="00AE71A8"/>
    <w:rsid w:val="00AE74B3"/>
    <w:rsid w:val="00AE7678"/>
    <w:rsid w:val="00AF0329"/>
    <w:rsid w:val="00AF0774"/>
    <w:rsid w:val="00AF2612"/>
    <w:rsid w:val="00AF39DC"/>
    <w:rsid w:val="00AF3BD3"/>
    <w:rsid w:val="00AF3F13"/>
    <w:rsid w:val="00AF3FE3"/>
    <w:rsid w:val="00AF4A53"/>
    <w:rsid w:val="00AF52DC"/>
    <w:rsid w:val="00AF6305"/>
    <w:rsid w:val="00AF6A68"/>
    <w:rsid w:val="00B008DF"/>
    <w:rsid w:val="00B00E5C"/>
    <w:rsid w:val="00B0131B"/>
    <w:rsid w:val="00B01819"/>
    <w:rsid w:val="00B022D8"/>
    <w:rsid w:val="00B02540"/>
    <w:rsid w:val="00B03B7D"/>
    <w:rsid w:val="00B04DC3"/>
    <w:rsid w:val="00B0529B"/>
    <w:rsid w:val="00B05CA8"/>
    <w:rsid w:val="00B1077D"/>
    <w:rsid w:val="00B11176"/>
    <w:rsid w:val="00B12B1A"/>
    <w:rsid w:val="00B13CB1"/>
    <w:rsid w:val="00B167CE"/>
    <w:rsid w:val="00B16B62"/>
    <w:rsid w:val="00B17A2E"/>
    <w:rsid w:val="00B17C66"/>
    <w:rsid w:val="00B20292"/>
    <w:rsid w:val="00B206B1"/>
    <w:rsid w:val="00B22004"/>
    <w:rsid w:val="00B22C0A"/>
    <w:rsid w:val="00B22FF9"/>
    <w:rsid w:val="00B23884"/>
    <w:rsid w:val="00B25B42"/>
    <w:rsid w:val="00B26669"/>
    <w:rsid w:val="00B267F1"/>
    <w:rsid w:val="00B2725F"/>
    <w:rsid w:val="00B27998"/>
    <w:rsid w:val="00B308E1"/>
    <w:rsid w:val="00B331DC"/>
    <w:rsid w:val="00B33BCF"/>
    <w:rsid w:val="00B35546"/>
    <w:rsid w:val="00B3556A"/>
    <w:rsid w:val="00B35594"/>
    <w:rsid w:val="00B3580D"/>
    <w:rsid w:val="00B36B6D"/>
    <w:rsid w:val="00B3756E"/>
    <w:rsid w:val="00B401AE"/>
    <w:rsid w:val="00B402BB"/>
    <w:rsid w:val="00B414AF"/>
    <w:rsid w:val="00B41708"/>
    <w:rsid w:val="00B4301A"/>
    <w:rsid w:val="00B43FF7"/>
    <w:rsid w:val="00B4438B"/>
    <w:rsid w:val="00B46241"/>
    <w:rsid w:val="00B46422"/>
    <w:rsid w:val="00B47C72"/>
    <w:rsid w:val="00B50D0F"/>
    <w:rsid w:val="00B51EF7"/>
    <w:rsid w:val="00B524C0"/>
    <w:rsid w:val="00B52CF9"/>
    <w:rsid w:val="00B52D9E"/>
    <w:rsid w:val="00B53C31"/>
    <w:rsid w:val="00B555A9"/>
    <w:rsid w:val="00B55E82"/>
    <w:rsid w:val="00B563E9"/>
    <w:rsid w:val="00B60ED0"/>
    <w:rsid w:val="00B627E7"/>
    <w:rsid w:val="00B6283F"/>
    <w:rsid w:val="00B62F33"/>
    <w:rsid w:val="00B65066"/>
    <w:rsid w:val="00B6668D"/>
    <w:rsid w:val="00B666B9"/>
    <w:rsid w:val="00B66A94"/>
    <w:rsid w:val="00B66F81"/>
    <w:rsid w:val="00B677F1"/>
    <w:rsid w:val="00B707AF"/>
    <w:rsid w:val="00B70882"/>
    <w:rsid w:val="00B709B8"/>
    <w:rsid w:val="00B72D75"/>
    <w:rsid w:val="00B72F97"/>
    <w:rsid w:val="00B741EF"/>
    <w:rsid w:val="00B75F72"/>
    <w:rsid w:val="00B76DC1"/>
    <w:rsid w:val="00B77CFD"/>
    <w:rsid w:val="00B805C4"/>
    <w:rsid w:val="00B81548"/>
    <w:rsid w:val="00B81633"/>
    <w:rsid w:val="00B82FF5"/>
    <w:rsid w:val="00B83A38"/>
    <w:rsid w:val="00B850CE"/>
    <w:rsid w:val="00B862C0"/>
    <w:rsid w:val="00B863D9"/>
    <w:rsid w:val="00B86C03"/>
    <w:rsid w:val="00B86E98"/>
    <w:rsid w:val="00B90192"/>
    <w:rsid w:val="00B90B9B"/>
    <w:rsid w:val="00B90C7D"/>
    <w:rsid w:val="00B91455"/>
    <w:rsid w:val="00B9195C"/>
    <w:rsid w:val="00B919E1"/>
    <w:rsid w:val="00B92313"/>
    <w:rsid w:val="00B945A2"/>
    <w:rsid w:val="00B962AB"/>
    <w:rsid w:val="00B96C66"/>
    <w:rsid w:val="00B97B6F"/>
    <w:rsid w:val="00BA0622"/>
    <w:rsid w:val="00BA13D0"/>
    <w:rsid w:val="00BA1C0C"/>
    <w:rsid w:val="00BA1C65"/>
    <w:rsid w:val="00BA1F66"/>
    <w:rsid w:val="00BA2A52"/>
    <w:rsid w:val="00BA3293"/>
    <w:rsid w:val="00BA35C3"/>
    <w:rsid w:val="00BA3F2E"/>
    <w:rsid w:val="00BA4357"/>
    <w:rsid w:val="00BA4760"/>
    <w:rsid w:val="00BA4FF0"/>
    <w:rsid w:val="00BA5FB5"/>
    <w:rsid w:val="00BA7003"/>
    <w:rsid w:val="00BB065D"/>
    <w:rsid w:val="00BB14CF"/>
    <w:rsid w:val="00BB1CF9"/>
    <w:rsid w:val="00BB26DC"/>
    <w:rsid w:val="00BB315F"/>
    <w:rsid w:val="00BB5036"/>
    <w:rsid w:val="00BB6888"/>
    <w:rsid w:val="00BB6EFD"/>
    <w:rsid w:val="00BC3D44"/>
    <w:rsid w:val="00BC4213"/>
    <w:rsid w:val="00BC5C80"/>
    <w:rsid w:val="00BC5D5B"/>
    <w:rsid w:val="00BC5F08"/>
    <w:rsid w:val="00BC65B2"/>
    <w:rsid w:val="00BD09B1"/>
    <w:rsid w:val="00BD16D6"/>
    <w:rsid w:val="00BD1B72"/>
    <w:rsid w:val="00BD3BB5"/>
    <w:rsid w:val="00BD41C0"/>
    <w:rsid w:val="00BD4AA0"/>
    <w:rsid w:val="00BD6053"/>
    <w:rsid w:val="00BD6593"/>
    <w:rsid w:val="00BD66B2"/>
    <w:rsid w:val="00BD71AD"/>
    <w:rsid w:val="00BD7725"/>
    <w:rsid w:val="00BD78AD"/>
    <w:rsid w:val="00BD78F4"/>
    <w:rsid w:val="00BE0F6C"/>
    <w:rsid w:val="00BE1F09"/>
    <w:rsid w:val="00BE2DD8"/>
    <w:rsid w:val="00BE301A"/>
    <w:rsid w:val="00BE400A"/>
    <w:rsid w:val="00BE458A"/>
    <w:rsid w:val="00BE4E51"/>
    <w:rsid w:val="00BE61FC"/>
    <w:rsid w:val="00BE7A1E"/>
    <w:rsid w:val="00BF0159"/>
    <w:rsid w:val="00BF0D84"/>
    <w:rsid w:val="00BF18FE"/>
    <w:rsid w:val="00BF1C55"/>
    <w:rsid w:val="00BF224A"/>
    <w:rsid w:val="00BF37C5"/>
    <w:rsid w:val="00BF3AAA"/>
    <w:rsid w:val="00BF497A"/>
    <w:rsid w:val="00BF4AC8"/>
    <w:rsid w:val="00BF70D4"/>
    <w:rsid w:val="00BF71E4"/>
    <w:rsid w:val="00BF7B13"/>
    <w:rsid w:val="00C0163D"/>
    <w:rsid w:val="00C017CA"/>
    <w:rsid w:val="00C03CE8"/>
    <w:rsid w:val="00C0494D"/>
    <w:rsid w:val="00C05806"/>
    <w:rsid w:val="00C06A1F"/>
    <w:rsid w:val="00C108A9"/>
    <w:rsid w:val="00C12466"/>
    <w:rsid w:val="00C141FB"/>
    <w:rsid w:val="00C143BD"/>
    <w:rsid w:val="00C1441B"/>
    <w:rsid w:val="00C14FB5"/>
    <w:rsid w:val="00C151EC"/>
    <w:rsid w:val="00C1544B"/>
    <w:rsid w:val="00C15588"/>
    <w:rsid w:val="00C15A04"/>
    <w:rsid w:val="00C1656A"/>
    <w:rsid w:val="00C16815"/>
    <w:rsid w:val="00C17096"/>
    <w:rsid w:val="00C17D4D"/>
    <w:rsid w:val="00C2100C"/>
    <w:rsid w:val="00C2106B"/>
    <w:rsid w:val="00C21175"/>
    <w:rsid w:val="00C226C2"/>
    <w:rsid w:val="00C2305A"/>
    <w:rsid w:val="00C23CC9"/>
    <w:rsid w:val="00C24114"/>
    <w:rsid w:val="00C2492B"/>
    <w:rsid w:val="00C274E8"/>
    <w:rsid w:val="00C30B3D"/>
    <w:rsid w:val="00C30BEF"/>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0C64"/>
    <w:rsid w:val="00C44475"/>
    <w:rsid w:val="00C45757"/>
    <w:rsid w:val="00C46807"/>
    <w:rsid w:val="00C50B1E"/>
    <w:rsid w:val="00C51C72"/>
    <w:rsid w:val="00C544CC"/>
    <w:rsid w:val="00C55114"/>
    <w:rsid w:val="00C57198"/>
    <w:rsid w:val="00C578CE"/>
    <w:rsid w:val="00C617BF"/>
    <w:rsid w:val="00C62791"/>
    <w:rsid w:val="00C62FA1"/>
    <w:rsid w:val="00C64B36"/>
    <w:rsid w:val="00C653BA"/>
    <w:rsid w:val="00C6774F"/>
    <w:rsid w:val="00C677AA"/>
    <w:rsid w:val="00C71914"/>
    <w:rsid w:val="00C7263B"/>
    <w:rsid w:val="00C727EF"/>
    <w:rsid w:val="00C73290"/>
    <w:rsid w:val="00C74636"/>
    <w:rsid w:val="00C7613A"/>
    <w:rsid w:val="00C77AEB"/>
    <w:rsid w:val="00C805DA"/>
    <w:rsid w:val="00C8096C"/>
    <w:rsid w:val="00C80A78"/>
    <w:rsid w:val="00C80F33"/>
    <w:rsid w:val="00C80FD0"/>
    <w:rsid w:val="00C8100B"/>
    <w:rsid w:val="00C816BC"/>
    <w:rsid w:val="00C825DD"/>
    <w:rsid w:val="00C852AC"/>
    <w:rsid w:val="00C86543"/>
    <w:rsid w:val="00C8683F"/>
    <w:rsid w:val="00C87D19"/>
    <w:rsid w:val="00C9091D"/>
    <w:rsid w:val="00C90FA2"/>
    <w:rsid w:val="00C92267"/>
    <w:rsid w:val="00C959C2"/>
    <w:rsid w:val="00C95BC5"/>
    <w:rsid w:val="00C974ED"/>
    <w:rsid w:val="00C97A8D"/>
    <w:rsid w:val="00CA0083"/>
    <w:rsid w:val="00CA04C0"/>
    <w:rsid w:val="00CA4064"/>
    <w:rsid w:val="00CA41D2"/>
    <w:rsid w:val="00CA4D91"/>
    <w:rsid w:val="00CA4F20"/>
    <w:rsid w:val="00CA5908"/>
    <w:rsid w:val="00CA5D21"/>
    <w:rsid w:val="00CA6512"/>
    <w:rsid w:val="00CA7A61"/>
    <w:rsid w:val="00CB0C16"/>
    <w:rsid w:val="00CB1327"/>
    <w:rsid w:val="00CB149F"/>
    <w:rsid w:val="00CB1C59"/>
    <w:rsid w:val="00CB1EAE"/>
    <w:rsid w:val="00CB1F5B"/>
    <w:rsid w:val="00CB2147"/>
    <w:rsid w:val="00CB2192"/>
    <w:rsid w:val="00CB315D"/>
    <w:rsid w:val="00CB3EC6"/>
    <w:rsid w:val="00CB4F56"/>
    <w:rsid w:val="00CB598E"/>
    <w:rsid w:val="00CB68CC"/>
    <w:rsid w:val="00CB6BB5"/>
    <w:rsid w:val="00CB6D6A"/>
    <w:rsid w:val="00CB7873"/>
    <w:rsid w:val="00CC07DB"/>
    <w:rsid w:val="00CC0A26"/>
    <w:rsid w:val="00CC3645"/>
    <w:rsid w:val="00CC3F55"/>
    <w:rsid w:val="00CC3F89"/>
    <w:rsid w:val="00CC54B1"/>
    <w:rsid w:val="00CC79A2"/>
    <w:rsid w:val="00CD0A75"/>
    <w:rsid w:val="00CD11DE"/>
    <w:rsid w:val="00CD143E"/>
    <w:rsid w:val="00CD1963"/>
    <w:rsid w:val="00CD19CA"/>
    <w:rsid w:val="00CD34FD"/>
    <w:rsid w:val="00CD5CFC"/>
    <w:rsid w:val="00CD6C4D"/>
    <w:rsid w:val="00CE0440"/>
    <w:rsid w:val="00CE05E1"/>
    <w:rsid w:val="00CE0620"/>
    <w:rsid w:val="00CE16F2"/>
    <w:rsid w:val="00CE178F"/>
    <w:rsid w:val="00CE1CC5"/>
    <w:rsid w:val="00CE253C"/>
    <w:rsid w:val="00CE2EE4"/>
    <w:rsid w:val="00CE3346"/>
    <w:rsid w:val="00CE3797"/>
    <w:rsid w:val="00CE41CB"/>
    <w:rsid w:val="00CE5FE1"/>
    <w:rsid w:val="00CF0777"/>
    <w:rsid w:val="00CF0FF4"/>
    <w:rsid w:val="00CF1622"/>
    <w:rsid w:val="00CF4635"/>
    <w:rsid w:val="00CF46ED"/>
    <w:rsid w:val="00CF5173"/>
    <w:rsid w:val="00CF51E8"/>
    <w:rsid w:val="00CF5BA3"/>
    <w:rsid w:val="00CF637A"/>
    <w:rsid w:val="00CF7C31"/>
    <w:rsid w:val="00D025CC"/>
    <w:rsid w:val="00D028B3"/>
    <w:rsid w:val="00D0304E"/>
    <w:rsid w:val="00D042AA"/>
    <w:rsid w:val="00D053C2"/>
    <w:rsid w:val="00D05833"/>
    <w:rsid w:val="00D06218"/>
    <w:rsid w:val="00D104AC"/>
    <w:rsid w:val="00D10566"/>
    <w:rsid w:val="00D12AD5"/>
    <w:rsid w:val="00D138B4"/>
    <w:rsid w:val="00D13D12"/>
    <w:rsid w:val="00D15500"/>
    <w:rsid w:val="00D15C15"/>
    <w:rsid w:val="00D16725"/>
    <w:rsid w:val="00D16D23"/>
    <w:rsid w:val="00D17643"/>
    <w:rsid w:val="00D20188"/>
    <w:rsid w:val="00D201E3"/>
    <w:rsid w:val="00D2027A"/>
    <w:rsid w:val="00D218EF"/>
    <w:rsid w:val="00D22433"/>
    <w:rsid w:val="00D22748"/>
    <w:rsid w:val="00D22E55"/>
    <w:rsid w:val="00D232AE"/>
    <w:rsid w:val="00D233E0"/>
    <w:rsid w:val="00D23626"/>
    <w:rsid w:val="00D26918"/>
    <w:rsid w:val="00D27734"/>
    <w:rsid w:val="00D27BED"/>
    <w:rsid w:val="00D27FE2"/>
    <w:rsid w:val="00D3182A"/>
    <w:rsid w:val="00D3227D"/>
    <w:rsid w:val="00D33567"/>
    <w:rsid w:val="00D341A7"/>
    <w:rsid w:val="00D35236"/>
    <w:rsid w:val="00D3579C"/>
    <w:rsid w:val="00D37121"/>
    <w:rsid w:val="00D376AA"/>
    <w:rsid w:val="00D40043"/>
    <w:rsid w:val="00D40A47"/>
    <w:rsid w:val="00D41051"/>
    <w:rsid w:val="00D417AE"/>
    <w:rsid w:val="00D41B6F"/>
    <w:rsid w:val="00D42933"/>
    <w:rsid w:val="00D457ED"/>
    <w:rsid w:val="00D46D32"/>
    <w:rsid w:val="00D478AA"/>
    <w:rsid w:val="00D51372"/>
    <w:rsid w:val="00D51C50"/>
    <w:rsid w:val="00D51D90"/>
    <w:rsid w:val="00D5266D"/>
    <w:rsid w:val="00D52BBA"/>
    <w:rsid w:val="00D54AEA"/>
    <w:rsid w:val="00D5503B"/>
    <w:rsid w:val="00D55A96"/>
    <w:rsid w:val="00D56796"/>
    <w:rsid w:val="00D56D40"/>
    <w:rsid w:val="00D56D85"/>
    <w:rsid w:val="00D60B6B"/>
    <w:rsid w:val="00D60D72"/>
    <w:rsid w:val="00D615CD"/>
    <w:rsid w:val="00D61918"/>
    <w:rsid w:val="00D63019"/>
    <w:rsid w:val="00D631BD"/>
    <w:rsid w:val="00D64502"/>
    <w:rsid w:val="00D64812"/>
    <w:rsid w:val="00D64E31"/>
    <w:rsid w:val="00D65604"/>
    <w:rsid w:val="00D656B6"/>
    <w:rsid w:val="00D65F9D"/>
    <w:rsid w:val="00D666E7"/>
    <w:rsid w:val="00D67C66"/>
    <w:rsid w:val="00D67E37"/>
    <w:rsid w:val="00D705C5"/>
    <w:rsid w:val="00D706C6"/>
    <w:rsid w:val="00D726CE"/>
    <w:rsid w:val="00D73943"/>
    <w:rsid w:val="00D74912"/>
    <w:rsid w:val="00D74A6E"/>
    <w:rsid w:val="00D75805"/>
    <w:rsid w:val="00D779F7"/>
    <w:rsid w:val="00D82F54"/>
    <w:rsid w:val="00D83026"/>
    <w:rsid w:val="00D83045"/>
    <w:rsid w:val="00D844D3"/>
    <w:rsid w:val="00D857E6"/>
    <w:rsid w:val="00D85885"/>
    <w:rsid w:val="00D8653A"/>
    <w:rsid w:val="00D871CE"/>
    <w:rsid w:val="00D87542"/>
    <w:rsid w:val="00D87D77"/>
    <w:rsid w:val="00D92BFA"/>
    <w:rsid w:val="00D9375F"/>
    <w:rsid w:val="00D937F8"/>
    <w:rsid w:val="00D93883"/>
    <w:rsid w:val="00D93A88"/>
    <w:rsid w:val="00D93B43"/>
    <w:rsid w:val="00D93D76"/>
    <w:rsid w:val="00D93D78"/>
    <w:rsid w:val="00D93FAF"/>
    <w:rsid w:val="00D94DB5"/>
    <w:rsid w:val="00D95202"/>
    <w:rsid w:val="00D95B44"/>
    <w:rsid w:val="00D95C20"/>
    <w:rsid w:val="00D96BFE"/>
    <w:rsid w:val="00D97B59"/>
    <w:rsid w:val="00D97C16"/>
    <w:rsid w:val="00D97D49"/>
    <w:rsid w:val="00DA025F"/>
    <w:rsid w:val="00DA0755"/>
    <w:rsid w:val="00DA08A5"/>
    <w:rsid w:val="00DA23AB"/>
    <w:rsid w:val="00DA2B4B"/>
    <w:rsid w:val="00DA4D03"/>
    <w:rsid w:val="00DA4EAF"/>
    <w:rsid w:val="00DA5A16"/>
    <w:rsid w:val="00DA7D0B"/>
    <w:rsid w:val="00DB07CA"/>
    <w:rsid w:val="00DB0823"/>
    <w:rsid w:val="00DB0E2A"/>
    <w:rsid w:val="00DB111E"/>
    <w:rsid w:val="00DB2718"/>
    <w:rsid w:val="00DB2A06"/>
    <w:rsid w:val="00DB383F"/>
    <w:rsid w:val="00DB38D2"/>
    <w:rsid w:val="00DB3A50"/>
    <w:rsid w:val="00DB53D6"/>
    <w:rsid w:val="00DB5FF0"/>
    <w:rsid w:val="00DB63F1"/>
    <w:rsid w:val="00DB65D7"/>
    <w:rsid w:val="00DB6791"/>
    <w:rsid w:val="00DB6C38"/>
    <w:rsid w:val="00DB7445"/>
    <w:rsid w:val="00DB7D53"/>
    <w:rsid w:val="00DC0464"/>
    <w:rsid w:val="00DC0787"/>
    <w:rsid w:val="00DC0F18"/>
    <w:rsid w:val="00DC1303"/>
    <w:rsid w:val="00DC1403"/>
    <w:rsid w:val="00DC389B"/>
    <w:rsid w:val="00DC394C"/>
    <w:rsid w:val="00DC42A4"/>
    <w:rsid w:val="00DC42EA"/>
    <w:rsid w:val="00DC693E"/>
    <w:rsid w:val="00DD0C3F"/>
    <w:rsid w:val="00DD1F41"/>
    <w:rsid w:val="00DD26CC"/>
    <w:rsid w:val="00DD3766"/>
    <w:rsid w:val="00DD514C"/>
    <w:rsid w:val="00DD6DE7"/>
    <w:rsid w:val="00DD71D6"/>
    <w:rsid w:val="00DD73A8"/>
    <w:rsid w:val="00DD7687"/>
    <w:rsid w:val="00DD7B55"/>
    <w:rsid w:val="00DE0797"/>
    <w:rsid w:val="00DE08C3"/>
    <w:rsid w:val="00DE094A"/>
    <w:rsid w:val="00DE1DAB"/>
    <w:rsid w:val="00DE20A2"/>
    <w:rsid w:val="00DE261E"/>
    <w:rsid w:val="00DE269D"/>
    <w:rsid w:val="00DE52B7"/>
    <w:rsid w:val="00DE6636"/>
    <w:rsid w:val="00DE6C5F"/>
    <w:rsid w:val="00DF0175"/>
    <w:rsid w:val="00DF0B89"/>
    <w:rsid w:val="00DF131B"/>
    <w:rsid w:val="00DF164A"/>
    <w:rsid w:val="00DF353C"/>
    <w:rsid w:val="00DF3DF8"/>
    <w:rsid w:val="00DF4216"/>
    <w:rsid w:val="00DF46B7"/>
    <w:rsid w:val="00DF4978"/>
    <w:rsid w:val="00DF55D6"/>
    <w:rsid w:val="00DF6074"/>
    <w:rsid w:val="00DF73B6"/>
    <w:rsid w:val="00DF781C"/>
    <w:rsid w:val="00E008D8"/>
    <w:rsid w:val="00E00C6B"/>
    <w:rsid w:val="00E02A3C"/>
    <w:rsid w:val="00E02F70"/>
    <w:rsid w:val="00E032F6"/>
    <w:rsid w:val="00E03F4C"/>
    <w:rsid w:val="00E03F4E"/>
    <w:rsid w:val="00E056B0"/>
    <w:rsid w:val="00E05C27"/>
    <w:rsid w:val="00E063DE"/>
    <w:rsid w:val="00E0671B"/>
    <w:rsid w:val="00E07453"/>
    <w:rsid w:val="00E118AB"/>
    <w:rsid w:val="00E11E0F"/>
    <w:rsid w:val="00E11E5E"/>
    <w:rsid w:val="00E12077"/>
    <w:rsid w:val="00E121E9"/>
    <w:rsid w:val="00E12F2F"/>
    <w:rsid w:val="00E1319F"/>
    <w:rsid w:val="00E13A48"/>
    <w:rsid w:val="00E13FB6"/>
    <w:rsid w:val="00E14ACF"/>
    <w:rsid w:val="00E14BAD"/>
    <w:rsid w:val="00E14D14"/>
    <w:rsid w:val="00E16E4C"/>
    <w:rsid w:val="00E173EF"/>
    <w:rsid w:val="00E20B5E"/>
    <w:rsid w:val="00E20F69"/>
    <w:rsid w:val="00E22732"/>
    <w:rsid w:val="00E22B39"/>
    <w:rsid w:val="00E2398E"/>
    <w:rsid w:val="00E2459F"/>
    <w:rsid w:val="00E2693C"/>
    <w:rsid w:val="00E3047D"/>
    <w:rsid w:val="00E30AF9"/>
    <w:rsid w:val="00E31FB7"/>
    <w:rsid w:val="00E32488"/>
    <w:rsid w:val="00E327E4"/>
    <w:rsid w:val="00E34C86"/>
    <w:rsid w:val="00E34DB8"/>
    <w:rsid w:val="00E35369"/>
    <w:rsid w:val="00E35682"/>
    <w:rsid w:val="00E35DF9"/>
    <w:rsid w:val="00E3649B"/>
    <w:rsid w:val="00E37114"/>
    <w:rsid w:val="00E37A35"/>
    <w:rsid w:val="00E41042"/>
    <w:rsid w:val="00E4127C"/>
    <w:rsid w:val="00E41B14"/>
    <w:rsid w:val="00E41DD4"/>
    <w:rsid w:val="00E43B12"/>
    <w:rsid w:val="00E443AB"/>
    <w:rsid w:val="00E444BC"/>
    <w:rsid w:val="00E4510E"/>
    <w:rsid w:val="00E46906"/>
    <w:rsid w:val="00E46EA3"/>
    <w:rsid w:val="00E50223"/>
    <w:rsid w:val="00E50F61"/>
    <w:rsid w:val="00E51C1B"/>
    <w:rsid w:val="00E53353"/>
    <w:rsid w:val="00E53C45"/>
    <w:rsid w:val="00E53CE0"/>
    <w:rsid w:val="00E53DA7"/>
    <w:rsid w:val="00E54C11"/>
    <w:rsid w:val="00E55DB0"/>
    <w:rsid w:val="00E577EC"/>
    <w:rsid w:val="00E57C4D"/>
    <w:rsid w:val="00E602BD"/>
    <w:rsid w:val="00E62337"/>
    <w:rsid w:val="00E62809"/>
    <w:rsid w:val="00E63321"/>
    <w:rsid w:val="00E634AD"/>
    <w:rsid w:val="00E635BD"/>
    <w:rsid w:val="00E63675"/>
    <w:rsid w:val="00E638A7"/>
    <w:rsid w:val="00E63FAC"/>
    <w:rsid w:val="00E64C9D"/>
    <w:rsid w:val="00E6537A"/>
    <w:rsid w:val="00E6567A"/>
    <w:rsid w:val="00E65B31"/>
    <w:rsid w:val="00E65B3E"/>
    <w:rsid w:val="00E65FF3"/>
    <w:rsid w:val="00E6618A"/>
    <w:rsid w:val="00E67470"/>
    <w:rsid w:val="00E67A24"/>
    <w:rsid w:val="00E70552"/>
    <w:rsid w:val="00E70D06"/>
    <w:rsid w:val="00E712F8"/>
    <w:rsid w:val="00E72B05"/>
    <w:rsid w:val="00E72E0E"/>
    <w:rsid w:val="00E74A39"/>
    <w:rsid w:val="00E75609"/>
    <w:rsid w:val="00E75790"/>
    <w:rsid w:val="00E75BCD"/>
    <w:rsid w:val="00E76031"/>
    <w:rsid w:val="00E80437"/>
    <w:rsid w:val="00E82CEF"/>
    <w:rsid w:val="00E83A79"/>
    <w:rsid w:val="00E83DC4"/>
    <w:rsid w:val="00E83DCE"/>
    <w:rsid w:val="00E842A8"/>
    <w:rsid w:val="00E84360"/>
    <w:rsid w:val="00E84E89"/>
    <w:rsid w:val="00E870BF"/>
    <w:rsid w:val="00E871BC"/>
    <w:rsid w:val="00E90229"/>
    <w:rsid w:val="00E90528"/>
    <w:rsid w:val="00E91899"/>
    <w:rsid w:val="00E92268"/>
    <w:rsid w:val="00E92604"/>
    <w:rsid w:val="00E942AE"/>
    <w:rsid w:val="00E96274"/>
    <w:rsid w:val="00E96D36"/>
    <w:rsid w:val="00E974B7"/>
    <w:rsid w:val="00E97DD3"/>
    <w:rsid w:val="00EA00A6"/>
    <w:rsid w:val="00EA1489"/>
    <w:rsid w:val="00EA1A6D"/>
    <w:rsid w:val="00EA2A88"/>
    <w:rsid w:val="00EA335A"/>
    <w:rsid w:val="00EA3D63"/>
    <w:rsid w:val="00EA55C1"/>
    <w:rsid w:val="00EA6854"/>
    <w:rsid w:val="00EB0AA6"/>
    <w:rsid w:val="00EB1273"/>
    <w:rsid w:val="00EB22C0"/>
    <w:rsid w:val="00EB396F"/>
    <w:rsid w:val="00EB400B"/>
    <w:rsid w:val="00EB4B77"/>
    <w:rsid w:val="00EB50F0"/>
    <w:rsid w:val="00EB5C40"/>
    <w:rsid w:val="00EB6A2C"/>
    <w:rsid w:val="00EB6B83"/>
    <w:rsid w:val="00EC08AD"/>
    <w:rsid w:val="00EC1B2E"/>
    <w:rsid w:val="00EC2514"/>
    <w:rsid w:val="00EC2AB4"/>
    <w:rsid w:val="00EC2B87"/>
    <w:rsid w:val="00EC3089"/>
    <w:rsid w:val="00EC4214"/>
    <w:rsid w:val="00EC6B44"/>
    <w:rsid w:val="00EC760C"/>
    <w:rsid w:val="00EC7CED"/>
    <w:rsid w:val="00ED0A14"/>
    <w:rsid w:val="00ED0D39"/>
    <w:rsid w:val="00ED0EA7"/>
    <w:rsid w:val="00ED172E"/>
    <w:rsid w:val="00ED1F4F"/>
    <w:rsid w:val="00ED353C"/>
    <w:rsid w:val="00ED41B5"/>
    <w:rsid w:val="00ED5433"/>
    <w:rsid w:val="00ED78DB"/>
    <w:rsid w:val="00ED7DE0"/>
    <w:rsid w:val="00EE123E"/>
    <w:rsid w:val="00EE298D"/>
    <w:rsid w:val="00EE2BB3"/>
    <w:rsid w:val="00EE37A3"/>
    <w:rsid w:val="00EE4F91"/>
    <w:rsid w:val="00EE6737"/>
    <w:rsid w:val="00EE7093"/>
    <w:rsid w:val="00EE70C3"/>
    <w:rsid w:val="00EE7375"/>
    <w:rsid w:val="00EE7465"/>
    <w:rsid w:val="00EE75B5"/>
    <w:rsid w:val="00EE7E8F"/>
    <w:rsid w:val="00EF2215"/>
    <w:rsid w:val="00EF3B49"/>
    <w:rsid w:val="00EF45CF"/>
    <w:rsid w:val="00EF4B52"/>
    <w:rsid w:val="00EF5CDA"/>
    <w:rsid w:val="00EF70BA"/>
    <w:rsid w:val="00F0031B"/>
    <w:rsid w:val="00F013CB"/>
    <w:rsid w:val="00F01B1E"/>
    <w:rsid w:val="00F0267C"/>
    <w:rsid w:val="00F03379"/>
    <w:rsid w:val="00F0345E"/>
    <w:rsid w:val="00F03FC4"/>
    <w:rsid w:val="00F05790"/>
    <w:rsid w:val="00F0589F"/>
    <w:rsid w:val="00F06960"/>
    <w:rsid w:val="00F106E4"/>
    <w:rsid w:val="00F10ECA"/>
    <w:rsid w:val="00F1171C"/>
    <w:rsid w:val="00F119FB"/>
    <w:rsid w:val="00F12F5F"/>
    <w:rsid w:val="00F145D4"/>
    <w:rsid w:val="00F14AEC"/>
    <w:rsid w:val="00F15F5B"/>
    <w:rsid w:val="00F16210"/>
    <w:rsid w:val="00F164D5"/>
    <w:rsid w:val="00F1792F"/>
    <w:rsid w:val="00F17A56"/>
    <w:rsid w:val="00F20474"/>
    <w:rsid w:val="00F21AB6"/>
    <w:rsid w:val="00F223D5"/>
    <w:rsid w:val="00F2283A"/>
    <w:rsid w:val="00F22A84"/>
    <w:rsid w:val="00F22A8F"/>
    <w:rsid w:val="00F22ED6"/>
    <w:rsid w:val="00F23EB4"/>
    <w:rsid w:val="00F2529A"/>
    <w:rsid w:val="00F25A72"/>
    <w:rsid w:val="00F25F5E"/>
    <w:rsid w:val="00F260CB"/>
    <w:rsid w:val="00F26C19"/>
    <w:rsid w:val="00F32553"/>
    <w:rsid w:val="00F327CE"/>
    <w:rsid w:val="00F332ED"/>
    <w:rsid w:val="00F33552"/>
    <w:rsid w:val="00F33C8D"/>
    <w:rsid w:val="00F348D1"/>
    <w:rsid w:val="00F35955"/>
    <w:rsid w:val="00F3615E"/>
    <w:rsid w:val="00F378C1"/>
    <w:rsid w:val="00F40CC5"/>
    <w:rsid w:val="00F41AF4"/>
    <w:rsid w:val="00F41DE0"/>
    <w:rsid w:val="00F42AA2"/>
    <w:rsid w:val="00F42FBC"/>
    <w:rsid w:val="00F4385E"/>
    <w:rsid w:val="00F43BFB"/>
    <w:rsid w:val="00F43F5D"/>
    <w:rsid w:val="00F44398"/>
    <w:rsid w:val="00F448C3"/>
    <w:rsid w:val="00F45085"/>
    <w:rsid w:val="00F450F4"/>
    <w:rsid w:val="00F463F1"/>
    <w:rsid w:val="00F46892"/>
    <w:rsid w:val="00F469B2"/>
    <w:rsid w:val="00F46DF1"/>
    <w:rsid w:val="00F47200"/>
    <w:rsid w:val="00F47953"/>
    <w:rsid w:val="00F50572"/>
    <w:rsid w:val="00F50E5A"/>
    <w:rsid w:val="00F511FB"/>
    <w:rsid w:val="00F51333"/>
    <w:rsid w:val="00F52456"/>
    <w:rsid w:val="00F5281E"/>
    <w:rsid w:val="00F531AA"/>
    <w:rsid w:val="00F536B7"/>
    <w:rsid w:val="00F53BDD"/>
    <w:rsid w:val="00F53FEE"/>
    <w:rsid w:val="00F54DAB"/>
    <w:rsid w:val="00F56161"/>
    <w:rsid w:val="00F56862"/>
    <w:rsid w:val="00F575AF"/>
    <w:rsid w:val="00F604F4"/>
    <w:rsid w:val="00F60AFA"/>
    <w:rsid w:val="00F62588"/>
    <w:rsid w:val="00F627EB"/>
    <w:rsid w:val="00F629BF"/>
    <w:rsid w:val="00F633D8"/>
    <w:rsid w:val="00F6431B"/>
    <w:rsid w:val="00F64B3B"/>
    <w:rsid w:val="00F64C76"/>
    <w:rsid w:val="00F64CCC"/>
    <w:rsid w:val="00F64ED6"/>
    <w:rsid w:val="00F65747"/>
    <w:rsid w:val="00F65AD5"/>
    <w:rsid w:val="00F660F7"/>
    <w:rsid w:val="00F6638A"/>
    <w:rsid w:val="00F6692A"/>
    <w:rsid w:val="00F66E97"/>
    <w:rsid w:val="00F6754F"/>
    <w:rsid w:val="00F675B0"/>
    <w:rsid w:val="00F707C9"/>
    <w:rsid w:val="00F710FE"/>
    <w:rsid w:val="00F71BEA"/>
    <w:rsid w:val="00F744F4"/>
    <w:rsid w:val="00F74A01"/>
    <w:rsid w:val="00F75A10"/>
    <w:rsid w:val="00F75D9F"/>
    <w:rsid w:val="00F76063"/>
    <w:rsid w:val="00F76D11"/>
    <w:rsid w:val="00F77276"/>
    <w:rsid w:val="00F77A8D"/>
    <w:rsid w:val="00F77D27"/>
    <w:rsid w:val="00F80013"/>
    <w:rsid w:val="00F8095A"/>
    <w:rsid w:val="00F81476"/>
    <w:rsid w:val="00F81681"/>
    <w:rsid w:val="00F81E11"/>
    <w:rsid w:val="00F834A7"/>
    <w:rsid w:val="00F847A0"/>
    <w:rsid w:val="00F85D19"/>
    <w:rsid w:val="00F864FC"/>
    <w:rsid w:val="00F86808"/>
    <w:rsid w:val="00F9142D"/>
    <w:rsid w:val="00F91EF0"/>
    <w:rsid w:val="00F92104"/>
    <w:rsid w:val="00F93A3D"/>
    <w:rsid w:val="00F93DCD"/>
    <w:rsid w:val="00F94009"/>
    <w:rsid w:val="00F94C16"/>
    <w:rsid w:val="00F94D3F"/>
    <w:rsid w:val="00F9689E"/>
    <w:rsid w:val="00FA066D"/>
    <w:rsid w:val="00FA0FB3"/>
    <w:rsid w:val="00FA1126"/>
    <w:rsid w:val="00FA24F3"/>
    <w:rsid w:val="00FA42BC"/>
    <w:rsid w:val="00FA4635"/>
    <w:rsid w:val="00FA509C"/>
    <w:rsid w:val="00FA5FCE"/>
    <w:rsid w:val="00FA6B30"/>
    <w:rsid w:val="00FA761A"/>
    <w:rsid w:val="00FA786A"/>
    <w:rsid w:val="00FB0515"/>
    <w:rsid w:val="00FB0EE9"/>
    <w:rsid w:val="00FB0EFB"/>
    <w:rsid w:val="00FB0F8A"/>
    <w:rsid w:val="00FB252E"/>
    <w:rsid w:val="00FB2EB5"/>
    <w:rsid w:val="00FB30F6"/>
    <w:rsid w:val="00FB34E4"/>
    <w:rsid w:val="00FB38ED"/>
    <w:rsid w:val="00FB3DE3"/>
    <w:rsid w:val="00FB3F26"/>
    <w:rsid w:val="00FB4C8E"/>
    <w:rsid w:val="00FB4D15"/>
    <w:rsid w:val="00FB4E84"/>
    <w:rsid w:val="00FB68DD"/>
    <w:rsid w:val="00FC02F4"/>
    <w:rsid w:val="00FC2683"/>
    <w:rsid w:val="00FC2810"/>
    <w:rsid w:val="00FC3213"/>
    <w:rsid w:val="00FC3C6C"/>
    <w:rsid w:val="00FC48C6"/>
    <w:rsid w:val="00FC4A91"/>
    <w:rsid w:val="00FC4B58"/>
    <w:rsid w:val="00FC4E0B"/>
    <w:rsid w:val="00FC6141"/>
    <w:rsid w:val="00FC646D"/>
    <w:rsid w:val="00FC65E5"/>
    <w:rsid w:val="00FC6E1D"/>
    <w:rsid w:val="00FD1AA4"/>
    <w:rsid w:val="00FD1BD4"/>
    <w:rsid w:val="00FD2FA7"/>
    <w:rsid w:val="00FD4B79"/>
    <w:rsid w:val="00FD58EF"/>
    <w:rsid w:val="00FD5BC9"/>
    <w:rsid w:val="00FD64B8"/>
    <w:rsid w:val="00FD667B"/>
    <w:rsid w:val="00FD7165"/>
    <w:rsid w:val="00FE0207"/>
    <w:rsid w:val="00FE1303"/>
    <w:rsid w:val="00FE291B"/>
    <w:rsid w:val="00FE40C1"/>
    <w:rsid w:val="00FE410C"/>
    <w:rsid w:val="00FE546C"/>
    <w:rsid w:val="00FE54AE"/>
    <w:rsid w:val="00FE5671"/>
    <w:rsid w:val="00FE6AE8"/>
    <w:rsid w:val="00FE70D5"/>
    <w:rsid w:val="00FF041F"/>
    <w:rsid w:val="00FF0C67"/>
    <w:rsid w:val="00FF0E6A"/>
    <w:rsid w:val="00FF0F69"/>
    <w:rsid w:val="00FF1623"/>
    <w:rsid w:val="00FF21EF"/>
    <w:rsid w:val="00FF2A34"/>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0A2A98B"/>
  <w15:docId w15:val="{8B05526C-9073-4DC6-B887-B9F691036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nhideWhenUsed/>
    <w:rsid w:val="000501A4"/>
    <w:pPr>
      <w:spacing w:before="120" w:line="240" w:lineRule="auto"/>
    </w:pPr>
  </w:style>
  <w:style w:type="character" w:customStyle="1" w:styleId="DateChar">
    <w:name w:val="Date Char"/>
    <w:basedOn w:val="DefaultParagraphFont"/>
    <w:link w:val="Date"/>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
    <w:basedOn w:val="DefaultParagraphFont"/>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0">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3">
    <w:name w:val="תואר"/>
    <w:basedOn w:val="Normal"/>
    <w:link w:val="a4"/>
    <w:qFormat/>
    <w:rsid w:val="00417266"/>
    <w:pPr>
      <w:spacing w:line="240" w:lineRule="auto"/>
      <w:jc w:val="center"/>
    </w:pPr>
    <w:rPr>
      <w:rFonts w:eastAsia="Times New Roman" w:cs="Times New Roman"/>
      <w:b/>
      <w:bCs/>
      <w:sz w:val="32"/>
      <w:szCs w:val="32"/>
      <w:lang w:eastAsia="he-IL"/>
    </w:rPr>
  </w:style>
  <w:style w:type="character" w:customStyle="1" w:styleId="a4">
    <w:name w:val="תואר תו"/>
    <w:link w:val="a3"/>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1">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316">
    <w:name w:val="כותרת 3_16"/>
    <w:basedOn w:val="Heading3"/>
    <w:link w:val="316Char"/>
    <w:qFormat/>
    <w:rsid w:val="00417266"/>
    <w:pPr>
      <w:keepLines w:val="0"/>
      <w:spacing w:before="600" w:after="120"/>
      <w:jc w:val="left"/>
    </w:pPr>
    <w:rPr>
      <w:rFonts w:ascii="Tahoma" w:eastAsia="Times New Roman" w:hAnsi="Tahoma" w:cs="Tahoma"/>
      <w:bCs w:val="0"/>
      <w:color w:val="009692"/>
      <w:sz w:val="32"/>
      <w:szCs w:val="32"/>
      <w:u w:val="none"/>
    </w:rPr>
  </w:style>
  <w:style w:type="paragraph" w:customStyle="1" w:styleId="100">
    <w:name w:val="טקסט רץ 10"/>
    <w:basedOn w:val="Normal"/>
    <w:qFormat/>
    <w:rsid w:val="00705DA7"/>
    <w:pPr>
      <w:spacing w:after="120"/>
    </w:pPr>
    <w:rPr>
      <w:rFonts w:ascii="Tahoma" w:hAnsi="Tahoma" w:cs="Tahoma"/>
      <w:szCs w:val="20"/>
    </w:rPr>
  </w:style>
  <w:style w:type="character" w:customStyle="1" w:styleId="316Char">
    <w:name w:val="כותרת 3_16 Char"/>
    <w:basedOn w:val="Heading3Char"/>
    <w:link w:val="316"/>
    <w:rsid w:val="00417266"/>
    <w:rPr>
      <w:rFonts w:ascii="Tahoma" w:eastAsia="Times New Roman" w:hAnsi="Tahoma" w:cs="Tahoma"/>
      <w:bCs w:val="0"/>
      <w:color w:val="009692"/>
      <w:sz w:val="32"/>
      <w:szCs w:val="32"/>
      <w:u w:val="single"/>
    </w:rPr>
  </w:style>
  <w:style w:type="paragraph" w:customStyle="1" w:styleId="a5">
    <w:name w:val="הערות שוליים"/>
    <w:basedOn w:val="FootnoteText"/>
    <w:qFormat/>
    <w:rsid w:val="00705DA7"/>
    <w:pPr>
      <w:spacing w:after="60" w:line="312" w:lineRule="auto"/>
      <w:ind w:left="397" w:hanging="397"/>
    </w:pPr>
    <w:rPr>
      <w:rFonts w:ascii="Tahoma" w:hAnsi="Tahoma" w:cs="Tahoma"/>
      <w:sz w:val="16"/>
      <w:szCs w:val="16"/>
    </w:rPr>
  </w:style>
  <w:style w:type="paragraph" w:customStyle="1" w:styleId="a6">
    <w:name w:val="לוחות/תרשימים/תמונות/אינפוגרפיקה/מפות"/>
    <w:basedOn w:val="Normal"/>
    <w:qFormat/>
    <w:rsid w:val="0058142E"/>
    <w:pPr>
      <w:keepNext/>
      <w:spacing w:after="200"/>
      <w:jc w:val="center"/>
    </w:pPr>
    <w:rPr>
      <w:rFonts w:ascii="Tahoma" w:eastAsiaTheme="minorEastAsia" w:hAnsi="Tahoma" w:cs="Tahoma"/>
      <w:color w:val="365F91" w:themeColor="accent1" w:themeShade="BF"/>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link w:val="ListParagraph"/>
    <w:uiPriority w:val="34"/>
    <w:rsid w:val="00DD7B55"/>
  </w:style>
  <w:style w:type="paragraph" w:customStyle="1" w:styleId="a0">
    <w:name w:val="הזחה ראשונה מספר"/>
    <w:basedOn w:val="ListParagraph"/>
    <w:qFormat/>
    <w:rsid w:val="00FA6B30"/>
    <w:pPr>
      <w:numPr>
        <w:numId w:val="2"/>
      </w:numPr>
      <w:spacing w:after="120"/>
      <w:contextualSpacing w:val="0"/>
    </w:pPr>
    <w:rPr>
      <w:rFonts w:ascii="Tahoma" w:hAnsi="Tahoma" w:cs="Tahoma"/>
      <w:szCs w:val="20"/>
    </w:rPr>
  </w:style>
  <w:style w:type="paragraph" w:customStyle="1" w:styleId="a7">
    <w:name w:val="הזחה שנייה ריק"/>
    <w:basedOn w:val="BodyTextIndent"/>
    <w:link w:val="Char"/>
    <w:qFormat/>
    <w:rsid w:val="00E07453"/>
    <w:pPr>
      <w:ind w:left="794"/>
    </w:pPr>
    <w:rPr>
      <w:sz w:val="20"/>
    </w:rPr>
  </w:style>
  <w:style w:type="paragraph" w:customStyle="1" w:styleId="a">
    <w:name w:val="הזחה שנייה אותיות"/>
    <w:basedOn w:val="ListParagraph"/>
    <w:qFormat/>
    <w:rsid w:val="005C23D7"/>
    <w:pPr>
      <w:numPr>
        <w:ilvl w:val="1"/>
        <w:numId w:val="1"/>
      </w:numPr>
      <w:tabs>
        <w:tab w:val="clear" w:pos="794"/>
      </w:tabs>
      <w:spacing w:after="120"/>
      <w:ind w:hanging="397"/>
    </w:pPr>
    <w:rPr>
      <w:rFonts w:ascii="Tahoma" w:hAnsi="Tahoma" w:cs="Tahoma"/>
      <w:szCs w:val="20"/>
    </w:rPr>
  </w:style>
  <w:style w:type="paragraph" w:customStyle="1" w:styleId="a8">
    <w:name w:val="מקרא+הערות לתרשים/לוח/תמונה"/>
    <w:basedOn w:val="a5"/>
    <w:qFormat/>
    <w:rsid w:val="00FE0207"/>
    <w:pPr>
      <w:spacing w:before="120"/>
      <w:jc w:val="center"/>
    </w:pPr>
  </w:style>
  <w:style w:type="paragraph" w:customStyle="1" w:styleId="a9">
    <w:name w:val="קוביה כחולה הזחה שנייה"/>
    <w:basedOn w:val="RESHET"/>
    <w:qFormat/>
    <w:rsid w:val="00CA4D91"/>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1077" w:right="284"/>
    </w:pPr>
    <w:rPr>
      <w:rFonts w:ascii="Tahoma" w:hAnsi="Tahoma" w:cs="Tahoma"/>
      <w:b w:val="0"/>
      <w:bCs w:val="0"/>
      <w:sz w:val="20"/>
      <w:szCs w:val="20"/>
    </w:rPr>
  </w:style>
  <w:style w:type="paragraph" w:customStyle="1" w:styleId="aa">
    <w:name w:val="קוביה כחולה בתוך הזחה ראשונה"/>
    <w:basedOn w:val="a9"/>
    <w:qFormat/>
    <w:rsid w:val="00445522"/>
    <w:pPr>
      <w:ind w:left="680"/>
    </w:pPr>
  </w:style>
  <w:style w:type="paragraph" w:customStyle="1" w:styleId="710">
    <w:name w:val="כותרת 7_10"/>
    <w:basedOn w:val="a"/>
    <w:qFormat/>
    <w:rsid w:val="00774E68"/>
    <w:pPr>
      <w:ind w:left="1191"/>
    </w:pPr>
  </w:style>
  <w:style w:type="paragraph" w:customStyle="1" w:styleId="ab">
    <w:name w:val="הזחה שנייה ללא מספר"/>
    <w:basedOn w:val="a7"/>
    <w:link w:val="Char0"/>
    <w:qFormat/>
    <w:rsid w:val="00D053C2"/>
  </w:style>
  <w:style w:type="character" w:customStyle="1" w:styleId="Char">
    <w:name w:val="הזחה שנייה ריק Char"/>
    <w:basedOn w:val="BodyTextIndentChar"/>
    <w:link w:val="a7"/>
    <w:rsid w:val="008A78F7"/>
    <w:rPr>
      <w:rFonts w:ascii="Tahoma" w:hAnsi="Tahoma" w:cs="Tahoma"/>
      <w:sz w:val="16"/>
      <w:szCs w:val="20"/>
    </w:rPr>
  </w:style>
  <w:style w:type="character" w:customStyle="1" w:styleId="Char0">
    <w:name w:val="הזחה שנייה ללא מספר Char"/>
    <w:basedOn w:val="Char"/>
    <w:link w:val="ab"/>
    <w:rsid w:val="00D053C2"/>
    <w:rPr>
      <w:rFonts w:ascii="Tahoma" w:hAnsi="Tahoma" w:cs="Tahoma"/>
      <w:sz w:val="16"/>
      <w:szCs w:val="20"/>
    </w:rPr>
  </w:style>
  <w:style w:type="paragraph" w:customStyle="1" w:styleId="ac">
    <w:name w:val="מספור הערות שוליים"/>
    <w:basedOn w:val="a5"/>
    <w:qFormat/>
    <w:rsid w:val="003B639B"/>
  </w:style>
  <w:style w:type="paragraph" w:customStyle="1" w:styleId="R">
    <w:name w:val="טקסט R טבלה"/>
    <w:basedOn w:val="Normal"/>
    <w:qFormat/>
    <w:rsid w:val="006E4684"/>
    <w:pPr>
      <w:spacing w:before="40" w:after="40"/>
      <w:jc w:val="left"/>
    </w:pPr>
    <w:rPr>
      <w:rFonts w:ascii="Tahoma" w:eastAsiaTheme="minorEastAsia" w:hAnsi="Tahoma" w:cs="Tahoma"/>
      <w:szCs w:val="16"/>
    </w:rPr>
  </w:style>
  <w:style w:type="paragraph" w:customStyle="1" w:styleId="B">
    <w:name w:val="טקסט B טבלה"/>
    <w:basedOn w:val="Normal"/>
    <w:qFormat/>
    <w:rsid w:val="00464DF0"/>
    <w:pPr>
      <w:spacing w:before="40" w:after="40" w:line="269" w:lineRule="auto"/>
      <w:jc w:val="left"/>
    </w:pPr>
    <w:rPr>
      <w:rFonts w:ascii="Tahoma" w:eastAsiaTheme="minorEastAsia" w:hAnsi="Tahoma" w:cs="Tahoma"/>
      <w:b/>
      <w:bCs/>
      <w:szCs w:val="16"/>
    </w:rPr>
  </w:style>
  <w:style w:type="paragraph" w:customStyle="1" w:styleId="ad">
    <w:name w:val="כותרת טבלה"/>
    <w:basedOn w:val="Normal"/>
    <w:qFormat/>
    <w:rsid w:val="00464DF0"/>
    <w:pPr>
      <w:spacing w:before="40" w:after="40" w:line="280" w:lineRule="exact"/>
      <w:jc w:val="center"/>
    </w:pPr>
    <w:rPr>
      <w:rFonts w:ascii="Tahoma" w:eastAsiaTheme="minorEastAsia" w:hAnsi="Tahoma" w:cs="Tahoma"/>
      <w:b/>
      <w:bCs/>
      <w:szCs w:val="16"/>
    </w:rPr>
  </w:style>
  <w:style w:type="paragraph" w:customStyle="1" w:styleId="Style1">
    <w:name w:val="Style1"/>
    <w:basedOn w:val="a"/>
    <w:qFormat/>
    <w:rsid w:val="00085B99"/>
  </w:style>
  <w:style w:type="paragraph" w:customStyle="1" w:styleId="a1">
    <w:name w:val="כניסה שלישית"/>
    <w:basedOn w:val="ListParagraph"/>
    <w:qFormat/>
    <w:rsid w:val="008E5512"/>
    <w:pPr>
      <w:numPr>
        <w:ilvl w:val="2"/>
        <w:numId w:val="2"/>
      </w:numPr>
      <w:spacing w:after="120"/>
    </w:pPr>
    <w:rPr>
      <w:rFonts w:ascii="Tahoma" w:hAnsi="Tahoma" w:cs="Tahoma"/>
      <w:szCs w:val="20"/>
    </w:rPr>
  </w:style>
  <w:style w:type="paragraph" w:customStyle="1" w:styleId="ae">
    <w:name w:val="הזחה שלישית"/>
    <w:basedOn w:val="ab"/>
    <w:qFormat/>
    <w:rsid w:val="008D42F6"/>
    <w:pPr>
      <w:ind w:left="1191"/>
    </w:pPr>
  </w:style>
  <w:style w:type="paragraph" w:customStyle="1" w:styleId="af">
    <w:name w:val="קוביה כחולה הזחה שלישית"/>
    <w:basedOn w:val="a9"/>
    <w:qFormat/>
    <w:rsid w:val="00230B94"/>
    <w:pPr>
      <w:ind w:left="1474"/>
    </w:pPr>
  </w:style>
  <w:style w:type="paragraph" w:customStyle="1" w:styleId="12">
    <w:name w:val="קוביה הזחה 1"/>
    <w:basedOn w:val="a9"/>
    <w:qFormat/>
    <w:rsid w:val="005C2859"/>
    <w:pPr>
      <w:ind w:left="680"/>
    </w:pPr>
  </w:style>
  <w:style w:type="paragraph" w:customStyle="1" w:styleId="af0">
    <w:name w:val="הזחה ראשונה ללא מספר"/>
    <w:basedOn w:val="ab"/>
    <w:qFormat/>
    <w:rsid w:val="008203CF"/>
    <w:pPr>
      <w:ind w:left="397"/>
    </w:pPr>
  </w:style>
  <w:style w:type="paragraph" w:customStyle="1" w:styleId="af1">
    <w:name w:val="קוביה רצה"/>
    <w:basedOn w:val="aa"/>
    <w:qFormat/>
    <w:rsid w:val="000C164B"/>
    <w:pPr>
      <w:ind w:left="284" w:right="227"/>
    </w:pPr>
  </w:style>
  <w:style w:type="paragraph" w:customStyle="1" w:styleId="414">
    <w:name w:val="כותרת 4_14"/>
    <w:basedOn w:val="Heading4"/>
    <w:qFormat/>
    <w:rsid w:val="00DC389B"/>
    <w:pPr>
      <w:spacing w:before="360" w:after="120" w:line="269" w:lineRule="auto"/>
      <w:jc w:val="left"/>
    </w:pPr>
    <w:rPr>
      <w:rFonts w:ascii="Tahoma" w:hAnsi="Tahoma" w:cs="Tahoma"/>
      <w:b/>
      <w:bCs w:val="0"/>
      <w:color w:val="387026"/>
      <w:sz w:val="28"/>
      <w:szCs w:val="28"/>
    </w:rPr>
  </w:style>
  <w:style w:type="paragraph" w:customStyle="1" w:styleId="a2">
    <w:name w:val="הזחה בתוך קוביה"/>
    <w:basedOn w:val="af1"/>
    <w:qFormat/>
    <w:rsid w:val="004C0FFF"/>
    <w:pPr>
      <w:numPr>
        <w:ilvl w:val="1"/>
        <w:numId w:val="3"/>
      </w:numPr>
    </w:pPr>
  </w:style>
  <w:style w:type="paragraph" w:customStyle="1" w:styleId="5115">
    <w:name w:val="כותרת 5_11.5"/>
    <w:basedOn w:val="100"/>
    <w:qFormat/>
    <w:rsid w:val="00FD64B8"/>
    <w:pPr>
      <w:spacing w:before="240" w:line="269" w:lineRule="auto"/>
      <w:jc w:val="left"/>
    </w:pPr>
    <w:rPr>
      <w:color w:val="387026"/>
      <w:sz w:val="23"/>
      <w:szCs w:val="23"/>
    </w:rPr>
  </w:style>
  <w:style w:type="paragraph" w:customStyle="1" w:styleId="af2">
    <w:name w:val="אותיות בתוך קוביה"/>
    <w:basedOn w:val="a2"/>
    <w:rsid w:val="004F431D"/>
  </w:style>
  <w:style w:type="paragraph" w:customStyle="1" w:styleId="1">
    <w:name w:val="אותיות בתוך קוביה 1"/>
    <w:basedOn w:val="af2"/>
    <w:qFormat/>
    <w:rsid w:val="001E641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semiHidden/>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semiHidden/>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af3">
    <w:name w:val="קוביה עם מספר חריג"/>
    <w:basedOn w:val="Normal"/>
    <w:qFormat/>
    <w:rsid w:val="001A692D"/>
    <w:pPr>
      <w:spacing w:line="269" w:lineRule="auto"/>
    </w:pPr>
  </w:style>
  <w:style w:type="paragraph" w:customStyle="1" w:styleId="21">
    <w:name w:val="מספר 2 לאחר קוביה עם מספר"/>
    <w:basedOn w:val="a0"/>
    <w:qFormat/>
    <w:rsid w:val="00AC763F"/>
    <w:pPr>
      <w:numPr>
        <w:numId w:val="0"/>
      </w:numPr>
      <w:ind w:left="397" w:hanging="397"/>
    </w:pPr>
  </w:style>
  <w:style w:type="paragraph" w:customStyle="1" w:styleId="af4">
    <w:name w:val="נבנצלים"/>
    <w:basedOn w:val="Normal"/>
    <w:next w:val="Normal"/>
    <w:rsid w:val="009A28D9"/>
    <w:pPr>
      <w:widowControl w:val="0"/>
      <w:ind w:left="-567"/>
    </w:pPr>
    <w:rPr>
      <w:rFonts w:eastAsia="Times New Roman"/>
      <w:szCs w:val="20"/>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3.xml"/><Relationship Id="rId26" Type="http://schemas.openxmlformats.org/officeDocument/2006/relationships/chart" Target="charts/chart10.xml"/><Relationship Id="rId39" Type="http://schemas.openxmlformats.org/officeDocument/2006/relationships/fontTable" Target="fontTable.xml"/><Relationship Id="rId21" Type="http://schemas.openxmlformats.org/officeDocument/2006/relationships/chart" Target="charts/chart6.xml"/><Relationship Id="rId34" Type="http://schemas.openxmlformats.org/officeDocument/2006/relationships/chart" Target="charts/chart13.xml"/><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diagramLayout" Target="diagrams/layout1.xml"/><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8.xml"/><Relationship Id="rId32" Type="http://schemas.microsoft.com/office/2007/relationships/diagramDrawing" Target="diagrams/drawing1.xm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8.png"/><Relationship Id="rId28" Type="http://schemas.openxmlformats.org/officeDocument/2006/relationships/diagramData" Target="diagrams/data1.xml"/><Relationship Id="rId36" Type="http://schemas.openxmlformats.org/officeDocument/2006/relationships/footer" Target="footer2.xml"/><Relationship Id="rId10" Type="http://schemas.openxmlformats.org/officeDocument/2006/relationships/header" Target="header1.xml"/><Relationship Id="rId19" Type="http://schemas.openxmlformats.org/officeDocument/2006/relationships/chart" Target="charts/chart4.xml"/><Relationship Id="rId31"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chart" Target="charts/chart7.xml"/><Relationship Id="rId27" Type="http://schemas.openxmlformats.org/officeDocument/2006/relationships/chart" Target="charts/chart11.xml"/><Relationship Id="rId30" Type="http://schemas.openxmlformats.org/officeDocument/2006/relationships/diagramQuickStyle" Target="diagrams/quickStyle1.xml"/><Relationship Id="rId35" Type="http://schemas.openxmlformats.org/officeDocument/2006/relationships/chart" Target="charts/chart14.xml"/><Relationship Id="rId43" Type="http://schemas.openxmlformats.org/officeDocument/2006/relationships/customXml" Target="../customXml/item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chart" Target="charts/chart9.xml"/><Relationship Id="rId33" Type="http://schemas.openxmlformats.org/officeDocument/2006/relationships/chart" Target="charts/chart12.xml"/><Relationship Id="rId38"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mvtanas\MVTANAS\Social%20Dev\Agaf_17\70&#1490;\&#1502;&#1505;&#1497;&#1512;&#1514;%20&#1506;&#1489;&#1493;&#1491;&#1514;%20&#1514;&#1499;&#1504;&#1493;&#1503;%20&#1506;&#1500;%20&#1497;&#1491;&#1497;%20&#1512;&#1513;&#1493;&#1514;%20&#1502;&#1511;&#1512;&#1511;&#1506;&#1497;%20&#1497;&#1513;&#1512;&#1488;&#1500;\&#1514;&#1497;&#1511;%20&#1514;&#1497;&#1511;&#1493;&#1507;\&#1512;&#1513;&#1493;&#1514;%20&#1502;&#1511;&#1512;&#1511;&#1506;&#1497;%20&#1497;&#1513;&#1512;&#1488;&#1500;\&#1504;&#1514;&#1493;&#1504;&#1497;&#1501;%20&#1493;&#1514;&#1512;&#1513;&#1497;&#1502;&#1497;&#15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oleObject" Target="file:///\\mvtanas\MVTANAS\Social%20Dev\Agaf_17\70&#1490;\&#1506;&#1489;&#1493;&#1491;&#1514;%20&#1514;&#1499;&#1504;&#1493;&#1503;%20&#1489;&#1512;&#1502;&#1497;%20&#1493;&#1489;&#1502;&#1513;&#1512;&#1491;%20&#1492;&#1489;&#1497;&#1504;&#1493;&#1497;\&#1514;&#1497;&#1511;%20&#1514;&#1497;&#1511;&#1493;&#1507;\&#1512;&#1513;&#1493;&#1514;%20&#1502;&#1511;&#1512;&#1511;&#1506;&#1497;%20&#1497;&#1513;&#1512;&#1488;&#1500;\&#1508;&#1505;&#1511;&#1492;%2025%20-%20&#1495;&#1500;&#1493;&#1511;&#1514;%20&#1506;&#1489;&#1493;&#1491;&#1492;%20&#1489;&#1497;&#1503;%20&#1495;&#1489;&#1512;&#1493;&#1514;%20&#1502;&#1514;&#1499;&#1504;&#1504;&#1493;&#1514;%20&#1512;&#1502;%20&#1497;.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mvtanas\MVTANAS\Social%20Dev\Agaf_17\70&#1490;\&#1506;&#1489;&#1493;&#1491;&#1514;%20&#1514;&#1499;&#1504;&#1493;&#1503;%20&#1489;&#1512;&#1502;&#1497;%20&#1493;&#1489;&#1502;&#1513;&#1512;&#1491;%20&#1492;&#1489;&#1497;&#1504;&#1493;&#1497;\&#1514;&#1497;&#1511;%20&#1514;&#1497;&#1511;&#1493;&#1507;\&#1502;&#1513;&#1512;&#1491;%20&#1492;&#1489;&#1497;&#1504;&#1493;&#1497;\&#1508;&#1505;&#1511;&#1492;%2026%20-%20&#1495;&#1500;&#1493;&#1511;&#1514;%20&#1506;&#1489;&#1493;&#1491;&#1492;%20&#1489;&#1497;&#1503;%20&#1492;&#1495;&#1489;&#1512;&#1493;&#1514;%20&#1492;&#1502;&#1514;&#1499;&#1504;&#1504;&#1493;&#151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'יזום תכנון'!$A$2</c:f>
              <c:strCache>
                <c:ptCount val="1"/>
                <c:pt idx="0">
                  <c:v>רמ"י</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'יזום תכנון'!$B$1:$D$1</c:f>
              <c:numCache>
                <c:formatCode>General</c:formatCode>
                <c:ptCount val="3"/>
                <c:pt idx="0">
                  <c:v>2016</c:v>
                </c:pt>
                <c:pt idx="1">
                  <c:v>2017</c:v>
                </c:pt>
                <c:pt idx="2">
                  <c:v>2018</c:v>
                </c:pt>
              </c:numCache>
            </c:numRef>
          </c:cat>
          <c:val>
            <c:numRef>
              <c:f>'יזום תכנון'!$B$2:$D$2</c:f>
              <c:numCache>
                <c:formatCode>_ * #,##0_ ;_ * \-#,##0_ ;_ * "-"??_ ;_ @_ </c:formatCode>
                <c:ptCount val="3"/>
                <c:pt idx="0">
                  <c:v>97300</c:v>
                </c:pt>
                <c:pt idx="1">
                  <c:v>73800</c:v>
                </c:pt>
                <c:pt idx="2">
                  <c:v>75500</c:v>
                </c:pt>
              </c:numCache>
            </c:numRef>
          </c:val>
          <c:extLst>
            <c:ext xmlns:c16="http://schemas.microsoft.com/office/drawing/2014/chart" uri="{C3380CC4-5D6E-409C-BE32-E72D297353CC}">
              <c16:uniqueId val="{00000000-F586-4B8F-9C85-A2EDD656C4D4}"/>
            </c:ext>
          </c:extLst>
        </c:ser>
        <c:ser>
          <c:idx val="1"/>
          <c:order val="1"/>
          <c:tx>
            <c:strRef>
              <c:f>'יזום תכנון'!$A$3</c:f>
              <c:strCache>
                <c:ptCount val="1"/>
                <c:pt idx="0">
                  <c:v>משרד הבינוי</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'יזום תכנון'!$B$1:$D$1</c:f>
              <c:numCache>
                <c:formatCode>General</c:formatCode>
                <c:ptCount val="3"/>
                <c:pt idx="0">
                  <c:v>2016</c:v>
                </c:pt>
                <c:pt idx="1">
                  <c:v>2017</c:v>
                </c:pt>
                <c:pt idx="2">
                  <c:v>2018</c:v>
                </c:pt>
              </c:numCache>
            </c:numRef>
          </c:cat>
          <c:val>
            <c:numRef>
              <c:f>'יזום תכנון'!$B$3:$D$3</c:f>
              <c:numCache>
                <c:formatCode>_ * #,##0_ ;_ * \-#,##0_ ;_ * "-"??_ ;_ @_ </c:formatCode>
                <c:ptCount val="3"/>
                <c:pt idx="0">
                  <c:v>15600</c:v>
                </c:pt>
                <c:pt idx="1">
                  <c:v>32500</c:v>
                </c:pt>
                <c:pt idx="2">
                  <c:v>59800</c:v>
                </c:pt>
              </c:numCache>
            </c:numRef>
          </c:val>
          <c:extLst>
            <c:ext xmlns:c16="http://schemas.microsoft.com/office/drawing/2014/chart" uri="{C3380CC4-5D6E-409C-BE32-E72D297353CC}">
              <c16:uniqueId val="{00000001-F586-4B8F-9C85-A2EDD656C4D4}"/>
            </c:ext>
          </c:extLst>
        </c:ser>
        <c:ser>
          <c:idx val="2"/>
          <c:order val="2"/>
          <c:tx>
            <c:strRef>
              <c:f>'יזום תכנון'!$A$4</c:f>
              <c:strCache>
                <c:ptCount val="1"/>
                <c:pt idx="0">
                  <c:v>רשויות מקומיות</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'יזום תכנון'!$B$1:$D$1</c:f>
              <c:numCache>
                <c:formatCode>General</c:formatCode>
                <c:ptCount val="3"/>
                <c:pt idx="0">
                  <c:v>2016</c:v>
                </c:pt>
                <c:pt idx="1">
                  <c:v>2017</c:v>
                </c:pt>
                <c:pt idx="2">
                  <c:v>2018</c:v>
                </c:pt>
              </c:numCache>
            </c:numRef>
          </c:cat>
          <c:val>
            <c:numRef>
              <c:f>'יזום תכנון'!$B$4:$D$4</c:f>
              <c:numCache>
                <c:formatCode>_ * #,##0_ ;_ * \-#,##0_ ;_ * "-"??_ ;_ @_ </c:formatCode>
                <c:ptCount val="3"/>
                <c:pt idx="0">
                  <c:v>18900</c:v>
                </c:pt>
                <c:pt idx="1">
                  <c:v>15000</c:v>
                </c:pt>
                <c:pt idx="2">
                  <c:v>23000</c:v>
                </c:pt>
              </c:numCache>
            </c:numRef>
          </c:val>
          <c:extLst>
            <c:ext xmlns:c16="http://schemas.microsoft.com/office/drawing/2014/chart" uri="{C3380CC4-5D6E-409C-BE32-E72D297353CC}">
              <c16:uniqueId val="{00000002-F586-4B8F-9C85-A2EDD656C4D4}"/>
            </c:ext>
          </c:extLst>
        </c:ser>
        <c:ser>
          <c:idx val="3"/>
          <c:order val="3"/>
          <c:tx>
            <c:strRef>
              <c:f>'יזום תכנון'!$A$5</c:f>
              <c:strCache>
                <c:ptCount val="1"/>
                <c:pt idx="0">
                  <c:v>משרדי ממשלה</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'יזום תכנון'!$B$1:$D$1</c:f>
              <c:numCache>
                <c:formatCode>General</c:formatCode>
                <c:ptCount val="3"/>
                <c:pt idx="0">
                  <c:v>2016</c:v>
                </c:pt>
                <c:pt idx="1">
                  <c:v>2017</c:v>
                </c:pt>
                <c:pt idx="2">
                  <c:v>2018</c:v>
                </c:pt>
              </c:numCache>
            </c:numRef>
          </c:cat>
          <c:val>
            <c:numRef>
              <c:f>'יזום תכנון'!$B$5:$D$5</c:f>
              <c:numCache>
                <c:formatCode>_ * #,##0_ ;_ * \-#,##0_ ;_ * "-"??_ ;_ @_ </c:formatCode>
                <c:ptCount val="3"/>
                <c:pt idx="0">
                  <c:v>15800</c:v>
                </c:pt>
                <c:pt idx="1">
                  <c:v>39400</c:v>
                </c:pt>
                <c:pt idx="2">
                  <c:v>750</c:v>
                </c:pt>
              </c:numCache>
            </c:numRef>
          </c:val>
          <c:extLst>
            <c:ext xmlns:c16="http://schemas.microsoft.com/office/drawing/2014/chart" uri="{C3380CC4-5D6E-409C-BE32-E72D297353CC}">
              <c16:uniqueId val="{00000003-F586-4B8F-9C85-A2EDD656C4D4}"/>
            </c:ext>
          </c:extLst>
        </c:ser>
        <c:dLbls>
          <c:dLblPos val="outEnd"/>
          <c:showLegendKey val="0"/>
          <c:showVal val="1"/>
          <c:showCatName val="0"/>
          <c:showSerName val="0"/>
          <c:showPercent val="0"/>
          <c:showBubbleSize val="0"/>
        </c:dLbls>
        <c:gapWidth val="444"/>
        <c:overlap val="-90"/>
        <c:axId val="466116048"/>
        <c:axId val="466117360"/>
      </c:barChart>
      <c:catAx>
        <c:axId val="466116048"/>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he-IL"/>
          </a:p>
        </c:txPr>
        <c:crossAx val="466117360"/>
        <c:crosses val="autoZero"/>
        <c:auto val="1"/>
        <c:lblAlgn val="ctr"/>
        <c:lblOffset val="100"/>
        <c:noMultiLvlLbl val="0"/>
      </c:catAx>
      <c:valAx>
        <c:axId val="466117360"/>
        <c:scaling>
          <c:orientation val="minMax"/>
        </c:scaling>
        <c:delete val="1"/>
        <c:axPos val="l"/>
        <c:numFmt formatCode="_ * #,##0_ ;_ * \-#,##0_ ;_ * &quot;-&quot;??_ ;_ @_ " sourceLinked="1"/>
        <c:majorTickMark val="none"/>
        <c:minorTickMark val="none"/>
        <c:tickLblPos val="nextTo"/>
        <c:crossAx val="4661160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lt1"/>
    </a:solidFill>
    <a:ln w="9525">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0AB7-43CC-AE69-E0A97B81ABD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0AB7-43CC-AE69-E0A97B81ABD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0AB7-43CC-AE69-E0A97B81ABD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0AB7-43CC-AE69-E0A97B81ABD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he-IL"/>
                </a:p>
              </c:txPr>
              <c:dLblPos val="outEnd"/>
              <c:showLegendKey val="0"/>
              <c:showVal val="1"/>
              <c:showCatName val="1"/>
              <c:showSerName val="0"/>
              <c:showPercent val="1"/>
              <c:showBubbleSize val="0"/>
              <c:extLst>
                <c:ext xmlns:c16="http://schemas.microsoft.com/office/drawing/2014/chart" uri="{C3380CC4-5D6E-409C-BE32-E72D297353CC}">
                  <c16:uniqueId val="{00000001-0AB7-43CC-AE69-E0A97B81ABD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he-IL"/>
                </a:p>
              </c:txPr>
              <c:dLblPos val="outEnd"/>
              <c:showLegendKey val="0"/>
              <c:showVal val="1"/>
              <c:showCatName val="1"/>
              <c:showSerName val="0"/>
              <c:showPercent val="1"/>
              <c:showBubbleSize val="0"/>
              <c:extLst>
                <c:ext xmlns:c16="http://schemas.microsoft.com/office/drawing/2014/chart" uri="{C3380CC4-5D6E-409C-BE32-E72D297353CC}">
                  <c16:uniqueId val="{00000003-0AB7-43CC-AE69-E0A97B81ABD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he-IL"/>
                </a:p>
              </c:txPr>
              <c:dLblPos val="outEnd"/>
              <c:showLegendKey val="0"/>
              <c:showVal val="1"/>
              <c:showCatName val="1"/>
              <c:showSerName val="0"/>
              <c:showPercent val="1"/>
              <c:showBubbleSize val="0"/>
              <c:extLst>
                <c:ext xmlns:c16="http://schemas.microsoft.com/office/drawing/2014/chart" uri="{C3380CC4-5D6E-409C-BE32-E72D297353CC}">
                  <c16:uniqueId val="{00000005-0AB7-43CC-AE69-E0A97B81ABD1}"/>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6134440F-53BE-41E3-9032-7CEC3F9792CE}" type="CATEGORYNAME">
                      <a:rPr lang="he-IL"/>
                      <a:pPr>
                        <a:defRPr>
                          <a:solidFill>
                            <a:schemeClr val="accent1"/>
                          </a:solidFill>
                        </a:defRPr>
                      </a:pPr>
                      <a:t>[CATEGORY NAME]</a:t>
                    </a:fld>
                    <a:r>
                      <a:rPr lang="he-IL"/>
                      <a:t> שנים</a:t>
                    </a:r>
                    <a:r>
                      <a:rPr lang="he-IL" baseline="0"/>
                      <a:t>, </a:t>
                    </a:r>
                    <a:fld id="{4C16E5A0-3B3F-4B88-80E1-8C31891CC44F}" type="VALUE">
                      <a:rPr lang="he-IL" baseline="0"/>
                      <a:pPr>
                        <a:defRPr>
                          <a:solidFill>
                            <a:schemeClr val="accent1"/>
                          </a:solidFill>
                        </a:defRPr>
                      </a:pPr>
                      <a:t>[VALUE]</a:t>
                    </a:fld>
                    <a:r>
                      <a:rPr lang="he-IL" baseline="0"/>
                      <a:t>, </a:t>
                    </a:r>
                    <a:fld id="{50A87E2A-7306-45CB-AC9E-6D04A6CBB1EC}" type="PERCENTAGE">
                      <a:rPr lang="he-IL" baseline="0"/>
                      <a:pPr>
                        <a:defRPr>
                          <a:solidFill>
                            <a:schemeClr val="accent1"/>
                          </a:solidFill>
                        </a:defRPr>
                      </a:pPr>
                      <a:t>[PERCENTAGE]</a:t>
                    </a:fld>
                    <a:endParaRPr lang="he-IL"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he-IL"/>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AB7-43CC-AE69-E0A97B81ABD1}"/>
                </c:ext>
              </c:extLst>
            </c:dLbl>
            <c:spPr>
              <a:noFill/>
              <a:ln>
                <a:noFill/>
              </a:ln>
              <a:effectLst/>
            </c:spPr>
            <c:dLblPos val="outEnd"/>
            <c:showLegendKey val="0"/>
            <c:showVal val="1"/>
            <c:showCatName val="1"/>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'התפלגות של התוכניות'!$A$1:$D$1</c:f>
              <c:strCache>
                <c:ptCount val="4"/>
                <c:pt idx="0">
                  <c:v>עד שנה</c:v>
                </c:pt>
                <c:pt idx="1">
                  <c:v>בין שנה לשנתיים</c:v>
                </c:pt>
                <c:pt idx="2">
                  <c:v>בין שנתיים לשלוש</c:v>
                </c:pt>
                <c:pt idx="3">
                  <c:v>מעל שלוש</c:v>
                </c:pt>
              </c:strCache>
            </c:strRef>
          </c:cat>
          <c:val>
            <c:numRef>
              <c:f>'התפלגות של התוכניות'!$A$2:$D$2</c:f>
              <c:numCache>
                <c:formatCode>General</c:formatCode>
                <c:ptCount val="4"/>
                <c:pt idx="0">
                  <c:v>151</c:v>
                </c:pt>
                <c:pt idx="1">
                  <c:v>248</c:v>
                </c:pt>
                <c:pt idx="2">
                  <c:v>303</c:v>
                </c:pt>
                <c:pt idx="3">
                  <c:v>87</c:v>
                </c:pt>
              </c:numCache>
            </c:numRef>
          </c:val>
          <c:extLst>
            <c:ext xmlns:c16="http://schemas.microsoft.com/office/drawing/2014/chart" uri="{C3380CC4-5D6E-409C-BE32-E72D297353CC}">
              <c16:uniqueId val="{00000008-0AB7-43CC-AE69-E0A97B81ABD1}"/>
            </c:ext>
          </c:extLst>
        </c:ser>
        <c:dLbls>
          <c:dLblPos val="outEnd"/>
          <c:showLegendKey val="0"/>
          <c:showVal val="0"/>
          <c:showCatName val="0"/>
          <c:showSerName val="0"/>
          <c:showPercent val="1"/>
          <c:showBubbleSize val="0"/>
          <c:showLeaderLines val="1"/>
        </c:dLbls>
        <c:firstSliceAng val="360"/>
      </c:pieChart>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גרף!$B$1</c:f>
              <c:strCache>
                <c:ptCount val="1"/>
                <c:pt idx="0">
                  <c:v>כמות התוכניות</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DF82-473B-9798-D40E0BE104D4}"/>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DF82-473B-9798-D40E0BE104D4}"/>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DF82-473B-9798-D40E0BE104D4}"/>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DF82-473B-9798-D40E0BE104D4}"/>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DF82-473B-9798-D40E0BE104D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he-IL"/>
                </a:p>
              </c:txPr>
              <c:dLblPos val="outEnd"/>
              <c:showLegendKey val="0"/>
              <c:showVal val="1"/>
              <c:showCatName val="1"/>
              <c:showSerName val="0"/>
              <c:showPercent val="1"/>
              <c:showBubbleSize val="0"/>
              <c:extLst>
                <c:ext xmlns:c16="http://schemas.microsoft.com/office/drawing/2014/chart" uri="{C3380CC4-5D6E-409C-BE32-E72D297353CC}">
                  <c16:uniqueId val="{00000001-DF82-473B-9798-D40E0BE104D4}"/>
                </c:ext>
              </c:extLst>
            </c:dLbl>
            <c:dLbl>
              <c:idx val="1"/>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2"/>
                      </a:solidFill>
                      <a:latin typeface="+mn-lt"/>
                      <a:ea typeface="+mn-ea"/>
                      <a:cs typeface="+mn-cs"/>
                    </a:defRPr>
                  </a:pPr>
                  <a:endParaRPr lang="he-IL"/>
                </a:p>
              </c:txPr>
              <c:dLblPos val="outEnd"/>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DF82-473B-9798-D40E0BE104D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he-IL"/>
                </a:p>
              </c:txPr>
              <c:dLblPos val="outEnd"/>
              <c:showLegendKey val="0"/>
              <c:showVal val="1"/>
              <c:showCatName val="1"/>
              <c:showSerName val="0"/>
              <c:showPercent val="1"/>
              <c:showBubbleSize val="0"/>
              <c:extLst>
                <c:ext xmlns:c16="http://schemas.microsoft.com/office/drawing/2014/chart" uri="{C3380CC4-5D6E-409C-BE32-E72D297353CC}">
                  <c16:uniqueId val="{00000005-DF82-473B-9798-D40E0BE104D4}"/>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he-IL"/>
                </a:p>
              </c:txPr>
              <c:dLblPos val="outEnd"/>
              <c:showLegendKey val="0"/>
              <c:showVal val="1"/>
              <c:showCatName val="1"/>
              <c:showSerName val="0"/>
              <c:showPercent val="1"/>
              <c:showBubbleSize val="0"/>
              <c:extLst>
                <c:ext xmlns:c16="http://schemas.microsoft.com/office/drawing/2014/chart" uri="{C3380CC4-5D6E-409C-BE32-E72D297353CC}">
                  <c16:uniqueId val="{00000007-DF82-473B-9798-D40E0BE104D4}"/>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he-IL"/>
                </a:p>
              </c:txPr>
              <c:dLblPos val="outEnd"/>
              <c:showLegendKey val="0"/>
              <c:showVal val="1"/>
              <c:showCatName val="1"/>
              <c:showSerName val="0"/>
              <c:showPercent val="1"/>
              <c:showBubbleSize val="0"/>
              <c:extLst>
                <c:ext xmlns:c16="http://schemas.microsoft.com/office/drawing/2014/chart" uri="{C3380CC4-5D6E-409C-BE32-E72D297353CC}">
                  <c16:uniqueId val="{00000009-DF82-473B-9798-D40E0BE104D4}"/>
                </c:ext>
              </c:extLst>
            </c:dLbl>
            <c:spPr>
              <a:noFill/>
              <a:ln>
                <a:noFill/>
              </a:ln>
              <a:effectLst/>
            </c:spPr>
            <c:dLblPos val="outEnd"/>
            <c:showLegendKey val="0"/>
            <c:showVal val="1"/>
            <c:showCatName val="1"/>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גרף!$A$2:$A$6</c:f>
              <c:strCache>
                <c:ptCount val="5"/>
                <c:pt idx="0">
                  <c:v>התנעה</c:v>
                </c:pt>
                <c:pt idx="1">
                  <c:v>טרום הכנה </c:v>
                </c:pt>
                <c:pt idx="2">
                  <c:v>עמידה בתנאי סף</c:v>
                </c:pt>
                <c:pt idx="3">
                  <c:v>החלטה להפקדה</c:v>
                </c:pt>
                <c:pt idx="4">
                  <c:v>הליך התנגדויות</c:v>
                </c:pt>
              </c:strCache>
            </c:strRef>
          </c:cat>
          <c:val>
            <c:numRef>
              <c:f>גרף!$B$2:$B$6</c:f>
              <c:numCache>
                <c:formatCode>General</c:formatCode>
                <c:ptCount val="5"/>
                <c:pt idx="0">
                  <c:v>52</c:v>
                </c:pt>
                <c:pt idx="1">
                  <c:v>14</c:v>
                </c:pt>
                <c:pt idx="2">
                  <c:v>5</c:v>
                </c:pt>
                <c:pt idx="3">
                  <c:v>10</c:v>
                </c:pt>
                <c:pt idx="4">
                  <c:v>6</c:v>
                </c:pt>
              </c:numCache>
            </c:numRef>
          </c:val>
          <c:extLst>
            <c:ext xmlns:c16="http://schemas.microsoft.com/office/drawing/2014/chart" uri="{C3380CC4-5D6E-409C-BE32-E72D297353CC}">
              <c16:uniqueId val="{0000000A-DF82-473B-9798-D40E0BE104D4}"/>
            </c:ext>
          </c:extLst>
        </c:ser>
        <c:dLbls>
          <c:dLblPos val="outEnd"/>
          <c:showLegendKey val="0"/>
          <c:showVal val="0"/>
          <c:showCatName val="1"/>
          <c:showSerName val="0"/>
          <c:showPercent val="1"/>
          <c:showBubbleSize val="0"/>
          <c:showLeaderLines val="1"/>
        </c:dLbls>
        <c:firstSliceAng val="360"/>
      </c:pieChart>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ניתוח!$N$3</c:f>
              <c:strCache>
                <c:ptCount val="1"/>
                <c:pt idx="0">
                  <c:v>היקף כספי</c:v>
                </c:pt>
              </c:strCache>
            </c:strRef>
          </c:tx>
          <c:spPr>
            <a:solidFill>
              <a:schemeClr val="accent1"/>
            </a:solidFill>
            <a:ln>
              <a:noFill/>
            </a:ln>
            <a:effectLst/>
          </c:spPr>
          <c:invertIfNegative val="0"/>
          <c:cat>
            <c:numRef>
              <c:f>ניתוח!$M$4:$M$7</c:f>
              <c:numCache>
                <c:formatCode>General</c:formatCode>
                <c:ptCount val="4"/>
                <c:pt idx="0">
                  <c:v>2015</c:v>
                </c:pt>
                <c:pt idx="1">
                  <c:v>2016</c:v>
                </c:pt>
                <c:pt idx="2">
                  <c:v>2017</c:v>
                </c:pt>
                <c:pt idx="3">
                  <c:v>2018</c:v>
                </c:pt>
              </c:numCache>
            </c:numRef>
          </c:cat>
          <c:val>
            <c:numRef>
              <c:f>ניתוח!$N$4:$N$7</c:f>
              <c:numCache>
                <c:formatCode>_ * #,##0_ ;_ * \-#,##0_ ;_ * "-"??_ ;_ @_ </c:formatCode>
                <c:ptCount val="4"/>
                <c:pt idx="0">
                  <c:v>373</c:v>
                </c:pt>
                <c:pt idx="1">
                  <c:v>388</c:v>
                </c:pt>
                <c:pt idx="2">
                  <c:v>198</c:v>
                </c:pt>
                <c:pt idx="3">
                  <c:v>191</c:v>
                </c:pt>
              </c:numCache>
            </c:numRef>
          </c:val>
          <c:extLst>
            <c:ext xmlns:c16="http://schemas.microsoft.com/office/drawing/2014/chart" uri="{C3380CC4-5D6E-409C-BE32-E72D297353CC}">
              <c16:uniqueId val="{00000000-A875-4C69-AEF4-8CC49373E6F2}"/>
            </c:ext>
          </c:extLst>
        </c:ser>
        <c:dLbls>
          <c:showLegendKey val="0"/>
          <c:showVal val="0"/>
          <c:showCatName val="0"/>
          <c:showSerName val="0"/>
          <c:showPercent val="0"/>
          <c:showBubbleSize val="0"/>
        </c:dLbls>
        <c:gapWidth val="219"/>
        <c:overlap val="-27"/>
        <c:axId val="187496760"/>
        <c:axId val="187498400"/>
      </c:barChart>
      <c:lineChart>
        <c:grouping val="standard"/>
        <c:varyColors val="0"/>
        <c:ser>
          <c:idx val="1"/>
          <c:order val="1"/>
          <c:tx>
            <c:strRef>
              <c:f>ניתוח!$O$3</c:f>
              <c:strCache>
                <c:ptCount val="1"/>
                <c:pt idx="0">
                  <c:v>כמות העבודות</c:v>
                </c:pt>
              </c:strCache>
            </c:strRef>
          </c:tx>
          <c:spPr>
            <a:ln w="28575" cap="rnd">
              <a:solidFill>
                <a:schemeClr val="accent2"/>
              </a:solidFill>
              <a:round/>
            </a:ln>
            <a:effectLst/>
          </c:spPr>
          <c:marker>
            <c:symbol val="square"/>
            <c:size val="5"/>
            <c:spPr>
              <a:solidFill>
                <a:schemeClr val="accent1"/>
              </a:solidFill>
              <a:ln w="9525">
                <a:solidFill>
                  <a:schemeClr val="accent2"/>
                </a:solidFill>
              </a:ln>
              <a:effectLst/>
            </c:spPr>
          </c:marker>
          <c:dLbls>
            <c:spPr>
              <a:noFill/>
              <a:ln>
                <a:solidFill>
                  <a:schemeClr val="accent1"/>
                </a:solid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he-I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ניתוח!$M$4:$M$7</c:f>
              <c:numCache>
                <c:formatCode>General</c:formatCode>
                <c:ptCount val="4"/>
                <c:pt idx="0">
                  <c:v>2015</c:v>
                </c:pt>
                <c:pt idx="1">
                  <c:v>2016</c:v>
                </c:pt>
                <c:pt idx="2">
                  <c:v>2017</c:v>
                </c:pt>
                <c:pt idx="3">
                  <c:v>2018</c:v>
                </c:pt>
              </c:numCache>
            </c:numRef>
          </c:cat>
          <c:val>
            <c:numRef>
              <c:f>ניתוח!$O$4:$O$7</c:f>
              <c:numCache>
                <c:formatCode>_ * #,##0_ ;_ * \-#,##0_ ;_ * "-"??_ ;_ @_ </c:formatCode>
                <c:ptCount val="4"/>
                <c:pt idx="0">
                  <c:v>1823</c:v>
                </c:pt>
                <c:pt idx="1">
                  <c:v>1720</c:v>
                </c:pt>
                <c:pt idx="2">
                  <c:v>1308</c:v>
                </c:pt>
                <c:pt idx="3">
                  <c:v>1108</c:v>
                </c:pt>
              </c:numCache>
            </c:numRef>
          </c:val>
          <c:smooth val="0"/>
          <c:extLst>
            <c:ext xmlns:c16="http://schemas.microsoft.com/office/drawing/2014/chart" uri="{C3380CC4-5D6E-409C-BE32-E72D297353CC}">
              <c16:uniqueId val="{00000001-A875-4C69-AEF4-8CC49373E6F2}"/>
            </c:ext>
          </c:extLst>
        </c:ser>
        <c:dLbls>
          <c:showLegendKey val="0"/>
          <c:showVal val="0"/>
          <c:showCatName val="0"/>
          <c:showSerName val="0"/>
          <c:showPercent val="0"/>
          <c:showBubbleSize val="0"/>
        </c:dLbls>
        <c:marker val="1"/>
        <c:smooth val="0"/>
        <c:axId val="187503648"/>
        <c:axId val="187502992"/>
      </c:lineChart>
      <c:catAx>
        <c:axId val="18749676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87498400"/>
        <c:crosses val="autoZero"/>
        <c:auto val="1"/>
        <c:lblAlgn val="ctr"/>
        <c:lblOffset val="100"/>
        <c:noMultiLvlLbl val="0"/>
      </c:catAx>
      <c:valAx>
        <c:axId val="187498400"/>
        <c:scaling>
          <c:orientation val="minMax"/>
        </c:scaling>
        <c:delete val="0"/>
        <c:axPos val="l"/>
        <c:majorGridlines>
          <c:spPr>
            <a:ln w="9525">
              <a:solidFill>
                <a:schemeClr val="tx1">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87496760"/>
        <c:crosses val="autoZero"/>
        <c:crossBetween val="between"/>
      </c:valAx>
      <c:valAx>
        <c:axId val="187502992"/>
        <c:scaling>
          <c:orientation val="minMax"/>
        </c:scaling>
        <c:delete val="0"/>
        <c:axPos val="l"/>
        <c:numFmt formatCode="_ * #,##0_ ;_ * \-#,##0_ ;_ * &quot;-&quot;??_ ;_ @_ "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87503648"/>
        <c:crosses val="autoZero"/>
        <c:crossBetween val="between"/>
      </c:valAx>
      <c:catAx>
        <c:axId val="187503648"/>
        <c:scaling>
          <c:orientation val="minMax"/>
        </c:scaling>
        <c:delete val="1"/>
        <c:axPos val="b"/>
        <c:numFmt formatCode="General" sourceLinked="1"/>
        <c:majorTickMark val="out"/>
        <c:minorTickMark val="none"/>
        <c:tickLblPos val="nextTo"/>
        <c:crossAx val="1875029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ניתוח!$B$43</c:f>
              <c:strCache>
                <c:ptCount val="1"/>
                <c:pt idx="0">
                  <c:v>תוכניות מפורטות</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ניתוח!$A$44:$A$47</c:f>
              <c:numCache>
                <c:formatCode>General</c:formatCode>
                <c:ptCount val="4"/>
                <c:pt idx="0">
                  <c:v>2015</c:v>
                </c:pt>
                <c:pt idx="1">
                  <c:v>2016</c:v>
                </c:pt>
                <c:pt idx="2">
                  <c:v>2017</c:v>
                </c:pt>
                <c:pt idx="3">
                  <c:v>2018</c:v>
                </c:pt>
              </c:numCache>
            </c:numRef>
          </c:cat>
          <c:val>
            <c:numRef>
              <c:f>ניתוח!$B$44:$B$47</c:f>
              <c:numCache>
                <c:formatCode>_ * #,##0_ ;_ * \-#,##0_ ;_ * "-"??_ ;_ @_ </c:formatCode>
                <c:ptCount val="4"/>
                <c:pt idx="0">
                  <c:v>110</c:v>
                </c:pt>
                <c:pt idx="1">
                  <c:v>85</c:v>
                </c:pt>
                <c:pt idx="2">
                  <c:v>70</c:v>
                </c:pt>
                <c:pt idx="3">
                  <c:v>76</c:v>
                </c:pt>
              </c:numCache>
            </c:numRef>
          </c:val>
          <c:extLst>
            <c:ext xmlns:c16="http://schemas.microsoft.com/office/drawing/2014/chart" uri="{C3380CC4-5D6E-409C-BE32-E72D297353CC}">
              <c16:uniqueId val="{00000000-0A12-4BC3-ADAF-27C07F10B0C0}"/>
            </c:ext>
          </c:extLst>
        </c:ser>
        <c:ser>
          <c:idx val="1"/>
          <c:order val="1"/>
          <c:tx>
            <c:strRef>
              <c:f>ניתוח!$C$43</c:f>
              <c:strCache>
                <c:ptCount val="1"/>
                <c:pt idx="0">
                  <c:v>תוכניות מתאר</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ניתוח!$A$44:$A$47</c:f>
              <c:numCache>
                <c:formatCode>General</c:formatCode>
                <c:ptCount val="4"/>
                <c:pt idx="0">
                  <c:v>2015</c:v>
                </c:pt>
                <c:pt idx="1">
                  <c:v>2016</c:v>
                </c:pt>
                <c:pt idx="2">
                  <c:v>2017</c:v>
                </c:pt>
                <c:pt idx="3">
                  <c:v>2018</c:v>
                </c:pt>
              </c:numCache>
            </c:numRef>
          </c:cat>
          <c:val>
            <c:numRef>
              <c:f>ניתוח!$C$44:$C$47</c:f>
              <c:numCache>
                <c:formatCode>_ * #,##0_ ;_ * \-#,##0_ ;_ * "-"??_ ;_ @_ </c:formatCode>
                <c:ptCount val="4"/>
                <c:pt idx="0">
                  <c:v>145</c:v>
                </c:pt>
                <c:pt idx="1">
                  <c:v>170</c:v>
                </c:pt>
                <c:pt idx="2">
                  <c:v>73</c:v>
                </c:pt>
                <c:pt idx="3">
                  <c:v>60</c:v>
                </c:pt>
              </c:numCache>
            </c:numRef>
          </c:val>
          <c:extLst>
            <c:ext xmlns:c16="http://schemas.microsoft.com/office/drawing/2014/chart" uri="{C3380CC4-5D6E-409C-BE32-E72D297353CC}">
              <c16:uniqueId val="{00000001-0A12-4BC3-ADAF-27C07F10B0C0}"/>
            </c:ext>
          </c:extLst>
        </c:ser>
        <c:dLbls>
          <c:dLblPos val="outEnd"/>
          <c:showLegendKey val="0"/>
          <c:showVal val="1"/>
          <c:showCatName val="0"/>
          <c:showSerName val="0"/>
          <c:showPercent val="0"/>
          <c:showBubbleSize val="0"/>
        </c:dLbls>
        <c:gapWidth val="444"/>
        <c:overlap val="-90"/>
        <c:axId val="506143104"/>
        <c:axId val="506142448"/>
      </c:barChart>
      <c:catAx>
        <c:axId val="506143104"/>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he-IL"/>
          </a:p>
        </c:txPr>
        <c:crossAx val="506142448"/>
        <c:crosses val="autoZero"/>
        <c:auto val="1"/>
        <c:lblAlgn val="ctr"/>
        <c:lblOffset val="100"/>
        <c:noMultiLvlLbl val="0"/>
      </c:catAx>
      <c:valAx>
        <c:axId val="506142448"/>
        <c:scaling>
          <c:orientation val="minMax"/>
        </c:scaling>
        <c:delete val="1"/>
        <c:axPos val="l"/>
        <c:numFmt formatCode="_ * #,##0_ ;_ * \-#,##0_ ;_ * &quot;-&quot;??_ ;_ @_ " sourceLinked="1"/>
        <c:majorTickMark val="none"/>
        <c:minorTickMark val="none"/>
        <c:tickLblPos val="nextTo"/>
        <c:crossAx val="5061431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lt1"/>
    </a:solidFill>
    <a:ln w="9525">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B050"/>
              </a:solidFill>
              <a:ln w="19050">
                <a:solidFill>
                  <a:schemeClr val="lt1"/>
                </a:solidFill>
              </a:ln>
              <a:effectLst/>
            </c:spPr>
            <c:extLst>
              <c:ext xmlns:c16="http://schemas.microsoft.com/office/drawing/2014/chart" uri="{C3380CC4-5D6E-409C-BE32-E72D297353CC}">
                <c16:uniqueId val="{00000001-6208-4EBB-9B55-309F00180977}"/>
              </c:ext>
            </c:extLst>
          </c:dPt>
          <c:dPt>
            <c:idx val="1"/>
            <c:bubble3D val="0"/>
            <c:spPr>
              <a:solidFill>
                <a:srgbClr val="FFFF00"/>
              </a:solidFill>
              <a:ln w="19050">
                <a:solidFill>
                  <a:schemeClr val="lt1"/>
                </a:solidFill>
              </a:ln>
              <a:effectLst/>
            </c:spPr>
            <c:extLst>
              <c:ext xmlns:c16="http://schemas.microsoft.com/office/drawing/2014/chart" uri="{C3380CC4-5D6E-409C-BE32-E72D297353CC}">
                <c16:uniqueId val="{00000003-6208-4EBB-9B55-309F00180977}"/>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6208-4EBB-9B55-309F00180977}"/>
              </c:ext>
            </c:extLst>
          </c:dPt>
          <c:dLbls>
            <c:dLbl>
              <c:idx val="0"/>
              <c:tx>
                <c:rich>
                  <a:bodyPr/>
                  <a:lstStyle/>
                  <a:p>
                    <a:fld id="{6E5BB160-F111-44D1-87CC-89C81DBA6A0C}" type="CATEGORYNAME">
                      <a:rPr lang="he-IL"/>
                      <a:pPr/>
                      <a:t>[CATEGORY NAME]</a:t>
                    </a:fld>
                    <a:r>
                      <a:rPr lang="he-IL"/>
                      <a:t> כנדרש</a:t>
                    </a:r>
                    <a:r>
                      <a:rPr lang="he-IL" baseline="0"/>
                      <a:t>, </a:t>
                    </a:r>
                    <a:fld id="{266A7AB4-32E8-49E7-8C33-37400419BBB9}" type="VALUE">
                      <a:rPr lang="he-IL" baseline="0"/>
                      <a:pPr/>
                      <a:t>[VALUE]</a:t>
                    </a:fld>
                    <a:endParaRPr lang="he-IL"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208-4EBB-9B55-309F0018097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he-IL"/>
              </a:p>
            </c:txPr>
            <c:dLblPos val="outEnd"/>
            <c:showLegendKey val="0"/>
            <c:showVal val="1"/>
            <c:showCatName val="1"/>
            <c:showSerName val="0"/>
            <c:showPercent val="0"/>
            <c:showBubbleSize val="0"/>
            <c:showLeaderLines val="0"/>
            <c:extLst>
              <c:ext xmlns:c15="http://schemas.microsoft.com/office/drawing/2012/chart" uri="{CE6537A1-D6FC-4f65-9D91-7224C49458BB}"/>
            </c:extLst>
          </c:dLbls>
          <c:cat>
            <c:strRef>
              <c:f>הערכות!$A$1:$A$3</c:f>
              <c:strCache>
                <c:ptCount val="3"/>
                <c:pt idx="0">
                  <c:v>ביצוע הערכה</c:v>
                </c:pt>
                <c:pt idx="1">
                  <c:v>הערכה חלקית</c:v>
                </c:pt>
                <c:pt idx="2">
                  <c:v>ללא הערכה</c:v>
                </c:pt>
              </c:strCache>
            </c:strRef>
          </c:cat>
          <c:val>
            <c:numRef>
              <c:f>הערכות!$B$1:$B$3</c:f>
              <c:numCache>
                <c:formatCode>General</c:formatCode>
                <c:ptCount val="3"/>
                <c:pt idx="0">
                  <c:v>1</c:v>
                </c:pt>
                <c:pt idx="1">
                  <c:v>9</c:v>
                </c:pt>
                <c:pt idx="2">
                  <c:v>2</c:v>
                </c:pt>
              </c:numCache>
            </c:numRef>
          </c:val>
          <c:extLst>
            <c:ext xmlns:c16="http://schemas.microsoft.com/office/drawing/2014/chart" uri="{C3380CC4-5D6E-409C-BE32-E72D297353CC}">
              <c16:uniqueId val="{00000006-6208-4EBB-9B55-309F00180977}"/>
            </c:ext>
          </c:extLst>
        </c:ser>
        <c:dLbls>
          <c:showLegendKey val="0"/>
          <c:showVal val="0"/>
          <c:showCatName val="0"/>
          <c:showSerName val="0"/>
          <c:showPercent val="0"/>
          <c:showBubbleSize val="0"/>
          <c:showLeaderLines val="0"/>
        </c:dLbls>
        <c:firstSliceAng val="360"/>
      </c:pieChart>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'תקציב רמי'!$D$20</c:f>
              <c:strCache>
                <c:ptCount val="1"/>
                <c:pt idx="0">
                  <c:v>תקציב על שינויו והרשאה להתחייב</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'תקציב רמי'!$E$19:$G$19</c:f>
              <c:numCache>
                <c:formatCode>General</c:formatCode>
                <c:ptCount val="3"/>
                <c:pt idx="0">
                  <c:v>2016</c:v>
                </c:pt>
                <c:pt idx="1">
                  <c:v>2017</c:v>
                </c:pt>
                <c:pt idx="2">
                  <c:v>2018</c:v>
                </c:pt>
              </c:numCache>
            </c:numRef>
          </c:cat>
          <c:val>
            <c:numRef>
              <c:f>'תקציב רמי'!$E$20:$G$20</c:f>
              <c:numCache>
                <c:formatCode>_ * #,##0_ ;_ * \-#,##0_ ;_ * "-"??_ ;_ @_ </c:formatCode>
                <c:ptCount val="3"/>
                <c:pt idx="0">
                  <c:v>390</c:v>
                </c:pt>
                <c:pt idx="1">
                  <c:v>450</c:v>
                </c:pt>
                <c:pt idx="2">
                  <c:v>440</c:v>
                </c:pt>
              </c:numCache>
            </c:numRef>
          </c:val>
          <c:extLst>
            <c:ext xmlns:c16="http://schemas.microsoft.com/office/drawing/2014/chart" uri="{C3380CC4-5D6E-409C-BE32-E72D297353CC}">
              <c16:uniqueId val="{00000000-ACC6-4B69-B89B-25E114F4109A}"/>
            </c:ext>
          </c:extLst>
        </c:ser>
        <c:ser>
          <c:idx val="1"/>
          <c:order val="1"/>
          <c:tx>
            <c:strRef>
              <c:f>'תקציב רמי'!$D$21</c:f>
              <c:strCache>
                <c:ptCount val="1"/>
                <c:pt idx="0">
                  <c:v>ביצוע בפועל</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'תקציב רמי'!$E$19:$G$19</c:f>
              <c:numCache>
                <c:formatCode>General</c:formatCode>
                <c:ptCount val="3"/>
                <c:pt idx="0">
                  <c:v>2016</c:v>
                </c:pt>
                <c:pt idx="1">
                  <c:v>2017</c:v>
                </c:pt>
                <c:pt idx="2">
                  <c:v>2018</c:v>
                </c:pt>
              </c:numCache>
            </c:numRef>
          </c:cat>
          <c:val>
            <c:numRef>
              <c:f>'תקציב רמי'!$E$21:$G$21</c:f>
              <c:numCache>
                <c:formatCode>_ * #,##0_ ;_ * \-#,##0_ ;_ * "-"??_ ;_ @_ </c:formatCode>
                <c:ptCount val="3"/>
                <c:pt idx="0">
                  <c:v>315</c:v>
                </c:pt>
                <c:pt idx="1">
                  <c:v>330</c:v>
                </c:pt>
                <c:pt idx="2">
                  <c:v>300</c:v>
                </c:pt>
              </c:numCache>
            </c:numRef>
          </c:val>
          <c:extLst>
            <c:ext xmlns:c16="http://schemas.microsoft.com/office/drawing/2014/chart" uri="{C3380CC4-5D6E-409C-BE32-E72D297353CC}">
              <c16:uniqueId val="{00000001-ACC6-4B69-B89B-25E114F4109A}"/>
            </c:ext>
          </c:extLst>
        </c:ser>
        <c:dLbls>
          <c:dLblPos val="outEnd"/>
          <c:showLegendKey val="0"/>
          <c:showVal val="1"/>
          <c:showCatName val="0"/>
          <c:showSerName val="0"/>
          <c:showPercent val="0"/>
          <c:showBubbleSize val="0"/>
        </c:dLbls>
        <c:gapWidth val="444"/>
        <c:overlap val="-90"/>
        <c:axId val="420335208"/>
        <c:axId val="420332256"/>
      </c:barChart>
      <c:catAx>
        <c:axId val="420335208"/>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he-IL"/>
          </a:p>
        </c:txPr>
        <c:crossAx val="420332256"/>
        <c:crosses val="autoZero"/>
        <c:auto val="1"/>
        <c:lblAlgn val="ctr"/>
        <c:lblOffset val="100"/>
        <c:noMultiLvlLbl val="0"/>
      </c:catAx>
      <c:valAx>
        <c:axId val="420332256"/>
        <c:scaling>
          <c:orientation val="minMax"/>
        </c:scaling>
        <c:delete val="1"/>
        <c:axPos val="l"/>
        <c:numFmt formatCode="_ * #,##0_ ;_ * \-#,##0_ ;_ * &quot;-&quot;??_ ;_ @_ " sourceLinked="1"/>
        <c:majorTickMark val="out"/>
        <c:minorTickMark val="none"/>
        <c:tickLblPos val="nextTo"/>
        <c:crossAx val="4203352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lt1"/>
    </a:solidFill>
    <a:ln w="9525">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'תקציב משרד הבינוי'!$A$35</c:f>
              <c:strCache>
                <c:ptCount val="1"/>
                <c:pt idx="0">
                  <c:v>תקציב על שינויו והרשאה להתחייב</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'תקציב משרד הבינוי'!$B$34:$D$34</c:f>
              <c:numCache>
                <c:formatCode>General</c:formatCode>
                <c:ptCount val="3"/>
                <c:pt idx="0">
                  <c:v>2016</c:v>
                </c:pt>
                <c:pt idx="1">
                  <c:v>2017</c:v>
                </c:pt>
                <c:pt idx="2">
                  <c:v>2018</c:v>
                </c:pt>
              </c:numCache>
            </c:numRef>
          </c:cat>
          <c:val>
            <c:numRef>
              <c:f>'תקציב משרד הבינוי'!$B$35:$D$35</c:f>
              <c:numCache>
                <c:formatCode>_ * #,##0_ ;_ * \-#,##0_ ;_ * "-"??_ ;_ @_ </c:formatCode>
                <c:ptCount val="3"/>
                <c:pt idx="0">
                  <c:v>171</c:v>
                </c:pt>
                <c:pt idx="1">
                  <c:v>450</c:v>
                </c:pt>
                <c:pt idx="2">
                  <c:v>375</c:v>
                </c:pt>
              </c:numCache>
            </c:numRef>
          </c:val>
          <c:extLst>
            <c:ext xmlns:c16="http://schemas.microsoft.com/office/drawing/2014/chart" uri="{C3380CC4-5D6E-409C-BE32-E72D297353CC}">
              <c16:uniqueId val="{00000000-4673-4655-9183-B72FEE2BC04B}"/>
            </c:ext>
          </c:extLst>
        </c:ser>
        <c:ser>
          <c:idx val="1"/>
          <c:order val="1"/>
          <c:tx>
            <c:strRef>
              <c:f>'תקציב משרד הבינוי'!$A$36</c:f>
              <c:strCache>
                <c:ptCount val="1"/>
                <c:pt idx="0">
                  <c:v>ביצוע בפועל </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'תקציב משרד הבינוי'!$B$34:$D$34</c:f>
              <c:numCache>
                <c:formatCode>General</c:formatCode>
                <c:ptCount val="3"/>
                <c:pt idx="0">
                  <c:v>2016</c:v>
                </c:pt>
                <c:pt idx="1">
                  <c:v>2017</c:v>
                </c:pt>
                <c:pt idx="2">
                  <c:v>2018</c:v>
                </c:pt>
              </c:numCache>
            </c:numRef>
          </c:cat>
          <c:val>
            <c:numRef>
              <c:f>'תקציב משרד הבינוי'!$B$36:$D$36</c:f>
              <c:numCache>
                <c:formatCode>_ * #,##0_ ;_ * \-#,##0_ ;_ * "-"??_ ;_ @_ </c:formatCode>
                <c:ptCount val="3"/>
                <c:pt idx="0">
                  <c:v>174</c:v>
                </c:pt>
                <c:pt idx="1">
                  <c:v>460</c:v>
                </c:pt>
                <c:pt idx="2">
                  <c:v>380</c:v>
                </c:pt>
              </c:numCache>
            </c:numRef>
          </c:val>
          <c:extLst>
            <c:ext xmlns:c16="http://schemas.microsoft.com/office/drawing/2014/chart" uri="{C3380CC4-5D6E-409C-BE32-E72D297353CC}">
              <c16:uniqueId val="{00000001-4673-4655-9183-B72FEE2BC04B}"/>
            </c:ext>
          </c:extLst>
        </c:ser>
        <c:dLbls>
          <c:dLblPos val="outEnd"/>
          <c:showLegendKey val="0"/>
          <c:showVal val="1"/>
          <c:showCatName val="0"/>
          <c:showSerName val="0"/>
          <c:showPercent val="0"/>
          <c:showBubbleSize val="0"/>
        </c:dLbls>
        <c:gapWidth val="444"/>
        <c:overlap val="-90"/>
        <c:axId val="272668896"/>
        <c:axId val="272662664"/>
      </c:barChart>
      <c:catAx>
        <c:axId val="272668896"/>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he-IL"/>
          </a:p>
        </c:txPr>
        <c:crossAx val="272662664"/>
        <c:crosses val="autoZero"/>
        <c:auto val="1"/>
        <c:lblAlgn val="ctr"/>
        <c:lblOffset val="100"/>
        <c:noMultiLvlLbl val="0"/>
      </c:catAx>
      <c:valAx>
        <c:axId val="272662664"/>
        <c:scaling>
          <c:orientation val="minMax"/>
        </c:scaling>
        <c:delete val="1"/>
        <c:axPos val="l"/>
        <c:numFmt formatCode="_ * #,##0_ ;_ * \-#,##0_ ;_ * &quot;-&quot;??_ ;_ @_ " sourceLinked="1"/>
        <c:majorTickMark val="out"/>
        <c:minorTickMark val="none"/>
        <c:tickLblPos val="nextTo"/>
        <c:crossAx val="2726688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lt1"/>
    </a:solidFill>
    <a:ln w="9525">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'אישור תכנון'!$A$2</c:f>
              <c:strCache>
                <c:ptCount val="1"/>
                <c:pt idx="0">
                  <c:v>יעד ממשלתי</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'אישור תכנון'!$B$1:$D$1</c:f>
              <c:numCache>
                <c:formatCode>General</c:formatCode>
                <c:ptCount val="3"/>
                <c:pt idx="0">
                  <c:v>2016</c:v>
                </c:pt>
                <c:pt idx="1">
                  <c:v>2017</c:v>
                </c:pt>
                <c:pt idx="2">
                  <c:v>2018</c:v>
                </c:pt>
              </c:numCache>
            </c:numRef>
          </c:cat>
          <c:val>
            <c:numRef>
              <c:f>'אישור תכנון'!$B$2:$D$2</c:f>
              <c:numCache>
                <c:formatCode>_ * #,##0_ ;_ * \-#,##0_ ;_ * "-"??_ ;_ @_ </c:formatCode>
                <c:ptCount val="3"/>
                <c:pt idx="0">
                  <c:v>50000</c:v>
                </c:pt>
                <c:pt idx="1">
                  <c:v>60000</c:v>
                </c:pt>
                <c:pt idx="2">
                  <c:v>60000</c:v>
                </c:pt>
              </c:numCache>
            </c:numRef>
          </c:val>
          <c:extLst>
            <c:ext xmlns:c16="http://schemas.microsoft.com/office/drawing/2014/chart" uri="{C3380CC4-5D6E-409C-BE32-E72D297353CC}">
              <c16:uniqueId val="{00000000-6BB6-48EE-8B76-67BA999A9800}"/>
            </c:ext>
          </c:extLst>
        </c:ser>
        <c:ser>
          <c:idx val="1"/>
          <c:order val="1"/>
          <c:tx>
            <c:strRef>
              <c:f>'אישור תכנון'!$A$3</c:f>
              <c:strCache>
                <c:ptCount val="1"/>
                <c:pt idx="0">
                  <c:v>תוכניות שקיבלו תוקף</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'אישור תכנון'!$B$1:$D$1</c:f>
              <c:numCache>
                <c:formatCode>General</c:formatCode>
                <c:ptCount val="3"/>
                <c:pt idx="0">
                  <c:v>2016</c:v>
                </c:pt>
                <c:pt idx="1">
                  <c:v>2017</c:v>
                </c:pt>
                <c:pt idx="2">
                  <c:v>2018</c:v>
                </c:pt>
              </c:numCache>
            </c:numRef>
          </c:cat>
          <c:val>
            <c:numRef>
              <c:f>'אישור תכנון'!$B$3:$D$3</c:f>
              <c:numCache>
                <c:formatCode>_ * #,##0_ ;_ * \-#,##0_ ;_ * "-"??_ ;_ @_ </c:formatCode>
                <c:ptCount val="3"/>
                <c:pt idx="0">
                  <c:v>63300</c:v>
                </c:pt>
                <c:pt idx="1">
                  <c:v>78500</c:v>
                </c:pt>
                <c:pt idx="2">
                  <c:v>95600</c:v>
                </c:pt>
              </c:numCache>
            </c:numRef>
          </c:val>
          <c:extLst>
            <c:ext xmlns:c16="http://schemas.microsoft.com/office/drawing/2014/chart" uri="{C3380CC4-5D6E-409C-BE32-E72D297353CC}">
              <c16:uniqueId val="{00000001-6BB6-48EE-8B76-67BA999A9800}"/>
            </c:ext>
          </c:extLst>
        </c:ser>
        <c:dLbls>
          <c:dLblPos val="outEnd"/>
          <c:showLegendKey val="0"/>
          <c:showVal val="1"/>
          <c:showCatName val="0"/>
          <c:showSerName val="0"/>
          <c:showPercent val="0"/>
          <c:showBubbleSize val="0"/>
        </c:dLbls>
        <c:gapWidth val="100"/>
        <c:overlap val="-24"/>
        <c:axId val="210095920"/>
        <c:axId val="507346520"/>
      </c:barChart>
      <c:catAx>
        <c:axId val="21009592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he-IL"/>
          </a:p>
        </c:txPr>
        <c:crossAx val="507346520"/>
        <c:crosses val="autoZero"/>
        <c:auto val="1"/>
        <c:lblAlgn val="ctr"/>
        <c:lblOffset val="100"/>
        <c:noMultiLvlLbl val="0"/>
      </c:catAx>
      <c:valAx>
        <c:axId val="507346520"/>
        <c:scaling>
          <c:orientation val="minMax"/>
        </c:scaling>
        <c:delete val="1"/>
        <c:axPos val="l"/>
        <c:majorGridlines>
          <c:spPr>
            <a:ln w="9525">
              <a:solidFill>
                <a:schemeClr val="tx1">
                  <a:lumMod val="15000"/>
                  <a:lumOff val="85000"/>
                </a:schemeClr>
              </a:solidFill>
              <a:round/>
            </a:ln>
            <a:effectLst/>
          </c:spPr>
        </c:majorGridlines>
        <c:numFmt formatCode="_ * #,##0_ ;_ * \-#,##0_ ;_ * &quot;-&quot;??_ ;_ @_ " sourceLinked="1"/>
        <c:majorTickMark val="none"/>
        <c:minorTickMark val="none"/>
        <c:tickLblPos val="nextTo"/>
        <c:crossAx val="210095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עיבוד!$B$17</c:f>
              <c:strCache>
                <c:ptCount val="1"/>
                <c:pt idx="0">
                  <c:v>2017</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עיבוד!$A$18:$A$22</c:f>
              <c:strCache>
                <c:ptCount val="5"/>
                <c:pt idx="0">
                  <c:v>חברה כללית / מעורבת</c:v>
                </c:pt>
                <c:pt idx="1">
                  <c:v>חברה ערבית</c:v>
                </c:pt>
                <c:pt idx="2">
                  <c:v>חברה דרוזית</c:v>
                </c:pt>
                <c:pt idx="3">
                  <c:v>חברה בדואית</c:v>
                </c:pt>
                <c:pt idx="4">
                  <c:v>חברה חרדית</c:v>
                </c:pt>
              </c:strCache>
            </c:strRef>
          </c:cat>
          <c:val>
            <c:numRef>
              <c:f>עיבוד!$B$18:$B$22</c:f>
              <c:numCache>
                <c:formatCode>_ * #,##0_ ;_ * \-#,##0_ ;_ * "-"??_ ;_ @_ </c:formatCode>
                <c:ptCount val="5"/>
                <c:pt idx="0">
                  <c:v>79500</c:v>
                </c:pt>
                <c:pt idx="1">
                  <c:v>19900</c:v>
                </c:pt>
                <c:pt idx="2">
                  <c:v>9400</c:v>
                </c:pt>
                <c:pt idx="3">
                  <c:v>850</c:v>
                </c:pt>
                <c:pt idx="4">
                  <c:v>500</c:v>
                </c:pt>
              </c:numCache>
            </c:numRef>
          </c:val>
          <c:extLst>
            <c:ext xmlns:c16="http://schemas.microsoft.com/office/drawing/2014/chart" uri="{C3380CC4-5D6E-409C-BE32-E72D297353CC}">
              <c16:uniqueId val="{00000000-5FAE-46BC-B3E6-DCD7060FE266}"/>
            </c:ext>
          </c:extLst>
        </c:ser>
        <c:ser>
          <c:idx val="1"/>
          <c:order val="1"/>
          <c:tx>
            <c:strRef>
              <c:f>עיבוד!$C$17</c:f>
              <c:strCache>
                <c:ptCount val="1"/>
                <c:pt idx="0">
                  <c:v>2018</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עיבוד!$A$18:$A$22</c:f>
              <c:strCache>
                <c:ptCount val="5"/>
                <c:pt idx="0">
                  <c:v>חברה כללית / מעורבת</c:v>
                </c:pt>
                <c:pt idx="1">
                  <c:v>חברה ערבית</c:v>
                </c:pt>
                <c:pt idx="2">
                  <c:v>חברה דרוזית</c:v>
                </c:pt>
                <c:pt idx="3">
                  <c:v>חברה בדואית</c:v>
                </c:pt>
                <c:pt idx="4">
                  <c:v>חברה חרדית</c:v>
                </c:pt>
              </c:strCache>
            </c:strRef>
          </c:cat>
          <c:val>
            <c:numRef>
              <c:f>עיבוד!$C$18:$C$22</c:f>
              <c:numCache>
                <c:formatCode>_ * #,##0_ ;_ * \-#,##0_ ;_ * "-"??_ ;_ @_ </c:formatCode>
                <c:ptCount val="5"/>
                <c:pt idx="0">
                  <c:v>133000</c:v>
                </c:pt>
                <c:pt idx="1">
                  <c:v>24000</c:v>
                </c:pt>
                <c:pt idx="2">
                  <c:v>5500</c:v>
                </c:pt>
                <c:pt idx="3">
                  <c:v>1100</c:v>
                </c:pt>
                <c:pt idx="4">
                  <c:v>1100</c:v>
                </c:pt>
              </c:numCache>
            </c:numRef>
          </c:val>
          <c:extLst>
            <c:ext xmlns:c16="http://schemas.microsoft.com/office/drawing/2014/chart" uri="{C3380CC4-5D6E-409C-BE32-E72D297353CC}">
              <c16:uniqueId val="{00000001-5FAE-46BC-B3E6-DCD7060FE266}"/>
            </c:ext>
          </c:extLst>
        </c:ser>
        <c:ser>
          <c:idx val="2"/>
          <c:order val="2"/>
          <c:tx>
            <c:strRef>
              <c:f>עיבוד!$D$17</c:f>
              <c:strCache>
                <c:ptCount val="1"/>
                <c:pt idx="0">
                  <c:v>2019</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עיבוד!$A$18:$A$22</c:f>
              <c:strCache>
                <c:ptCount val="5"/>
                <c:pt idx="0">
                  <c:v>חברה כללית / מעורבת</c:v>
                </c:pt>
                <c:pt idx="1">
                  <c:v>חברה ערבית</c:v>
                </c:pt>
                <c:pt idx="2">
                  <c:v>חברה דרוזית</c:v>
                </c:pt>
                <c:pt idx="3">
                  <c:v>חברה בדואית</c:v>
                </c:pt>
                <c:pt idx="4">
                  <c:v>חברה חרדית</c:v>
                </c:pt>
              </c:strCache>
            </c:strRef>
          </c:cat>
          <c:val>
            <c:numRef>
              <c:f>עיבוד!$D$18:$D$22</c:f>
              <c:numCache>
                <c:formatCode>_ * #,##0_ ;_ * \-#,##0_ ;_ * "-"??_ ;_ @_ </c:formatCode>
                <c:ptCount val="5"/>
                <c:pt idx="0">
                  <c:v>50500</c:v>
                </c:pt>
                <c:pt idx="1">
                  <c:v>14150</c:v>
                </c:pt>
                <c:pt idx="2">
                  <c:v>1150</c:v>
                </c:pt>
                <c:pt idx="3">
                  <c:v>8700</c:v>
                </c:pt>
                <c:pt idx="4">
                  <c:v>3850</c:v>
                </c:pt>
              </c:numCache>
            </c:numRef>
          </c:val>
          <c:extLst>
            <c:ext xmlns:c16="http://schemas.microsoft.com/office/drawing/2014/chart" uri="{C3380CC4-5D6E-409C-BE32-E72D297353CC}">
              <c16:uniqueId val="{00000002-5FAE-46BC-B3E6-DCD7060FE266}"/>
            </c:ext>
          </c:extLst>
        </c:ser>
        <c:dLbls>
          <c:dLblPos val="outEnd"/>
          <c:showLegendKey val="0"/>
          <c:showVal val="1"/>
          <c:showCatName val="0"/>
          <c:showSerName val="0"/>
          <c:showPercent val="0"/>
          <c:showBubbleSize val="0"/>
        </c:dLbls>
        <c:gapWidth val="444"/>
        <c:overlap val="-90"/>
        <c:axId val="468407608"/>
        <c:axId val="468406624"/>
      </c:barChart>
      <c:catAx>
        <c:axId val="468407608"/>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he-IL"/>
          </a:p>
        </c:txPr>
        <c:crossAx val="468406624"/>
        <c:crosses val="autoZero"/>
        <c:auto val="1"/>
        <c:lblAlgn val="ctr"/>
        <c:lblOffset val="100"/>
        <c:noMultiLvlLbl val="0"/>
      </c:catAx>
      <c:valAx>
        <c:axId val="468406624"/>
        <c:scaling>
          <c:orientation val="minMax"/>
        </c:scaling>
        <c:delete val="1"/>
        <c:axPos val="l"/>
        <c:numFmt formatCode="_ * #,##0_ ;_ * \-#,##0_ ;_ * &quot;-&quot;??_ ;_ @_ " sourceLinked="1"/>
        <c:majorTickMark val="none"/>
        <c:minorTickMark val="none"/>
        <c:tickLblPos val="nextTo"/>
        <c:crossAx val="4684076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lt1"/>
    </a:solidFill>
    <a:ln w="9525">
      <a:solidFill>
        <a:schemeClr val="tx1">
          <a:lumMod val="15000"/>
          <a:lumOff val="85000"/>
        </a:schemeClr>
      </a:solidFill>
      <a:round/>
    </a:ln>
    <a:effectLst/>
  </c:spPr>
  <c:txPr>
    <a:bodyPr/>
    <a:lstStyle/>
    <a:p>
      <a:pPr>
        <a:defRPr/>
      </a:pPr>
      <a:endParaRPr lang="he-I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גרפים!$C$11</c:f>
              <c:strCache>
                <c:ptCount val="1"/>
                <c:pt idx="0">
                  <c:v>היקף כספי במליוני ש"ח</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גרפים!$B$12:$B$25</c:f>
              <c:strCache>
                <c:ptCount val="14"/>
                <c:pt idx="0">
                  <c:v>חברה א'</c:v>
                </c:pt>
                <c:pt idx="1">
                  <c:v>חברה ב'</c:v>
                </c:pt>
                <c:pt idx="2">
                  <c:v>חברה ג'</c:v>
                </c:pt>
                <c:pt idx="3">
                  <c:v>חברה ד'</c:v>
                </c:pt>
                <c:pt idx="4">
                  <c:v>חברה ה'</c:v>
                </c:pt>
                <c:pt idx="5">
                  <c:v>חברה ו'</c:v>
                </c:pt>
                <c:pt idx="6">
                  <c:v>חברה ז'</c:v>
                </c:pt>
                <c:pt idx="7">
                  <c:v>חברה ח'</c:v>
                </c:pt>
                <c:pt idx="8">
                  <c:v>חברה ט'</c:v>
                </c:pt>
                <c:pt idx="9">
                  <c:v>חברה י'</c:v>
                </c:pt>
                <c:pt idx="10">
                  <c:v>חברה י"א</c:v>
                </c:pt>
                <c:pt idx="11">
                  <c:v>חברה י"ב</c:v>
                </c:pt>
                <c:pt idx="12">
                  <c:v>חברה י"ג</c:v>
                </c:pt>
                <c:pt idx="13">
                  <c:v>חברה י"ד</c:v>
                </c:pt>
              </c:strCache>
            </c:strRef>
          </c:cat>
          <c:val>
            <c:numRef>
              <c:f>גרפים!$C$12:$C$25</c:f>
              <c:numCache>
                <c:formatCode>_ * #,##0_ ;_ * \-#,##0_ ;_ * "-"??_ ;_ @_ </c:formatCode>
                <c:ptCount val="14"/>
                <c:pt idx="0">
                  <c:v>54</c:v>
                </c:pt>
                <c:pt idx="1">
                  <c:v>44</c:v>
                </c:pt>
                <c:pt idx="2">
                  <c:v>42</c:v>
                </c:pt>
                <c:pt idx="3">
                  <c:v>41</c:v>
                </c:pt>
                <c:pt idx="4">
                  <c:v>39</c:v>
                </c:pt>
                <c:pt idx="5">
                  <c:v>37.5</c:v>
                </c:pt>
                <c:pt idx="6">
                  <c:v>34</c:v>
                </c:pt>
                <c:pt idx="7">
                  <c:v>33.5</c:v>
                </c:pt>
                <c:pt idx="8">
                  <c:v>31</c:v>
                </c:pt>
                <c:pt idx="9">
                  <c:v>27</c:v>
                </c:pt>
                <c:pt idx="10">
                  <c:v>24.5</c:v>
                </c:pt>
                <c:pt idx="11">
                  <c:v>23</c:v>
                </c:pt>
                <c:pt idx="12">
                  <c:v>16</c:v>
                </c:pt>
                <c:pt idx="13" formatCode="_ * #,##0.0_ ;_ * \-#,##0.0_ ;_ * &quot;-&quot;??_ ;_ @_ ">
                  <c:v>10.5</c:v>
                </c:pt>
              </c:numCache>
            </c:numRef>
          </c:val>
          <c:extLst>
            <c:ext xmlns:c16="http://schemas.microsoft.com/office/drawing/2014/chart" uri="{C3380CC4-5D6E-409C-BE32-E72D297353CC}">
              <c16:uniqueId val="{00000000-AE92-458A-B0C3-74A325AFAA44}"/>
            </c:ext>
          </c:extLst>
        </c:ser>
        <c:dLbls>
          <c:dLblPos val="outEnd"/>
          <c:showLegendKey val="0"/>
          <c:showVal val="1"/>
          <c:showCatName val="0"/>
          <c:showSerName val="0"/>
          <c:showPercent val="0"/>
          <c:showBubbleSize val="0"/>
        </c:dLbls>
        <c:gapWidth val="444"/>
        <c:overlap val="-90"/>
        <c:axId val="303363488"/>
        <c:axId val="303362176"/>
      </c:barChart>
      <c:catAx>
        <c:axId val="303363488"/>
        <c:scaling>
          <c:orientation val="maxMin"/>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he-IL"/>
          </a:p>
        </c:txPr>
        <c:crossAx val="303362176"/>
        <c:crosses val="autoZero"/>
        <c:auto val="1"/>
        <c:lblAlgn val="ctr"/>
        <c:lblOffset val="100"/>
        <c:noMultiLvlLbl val="0"/>
      </c:catAx>
      <c:valAx>
        <c:axId val="303362176"/>
        <c:scaling>
          <c:orientation val="minMax"/>
        </c:scaling>
        <c:delete val="0"/>
        <c:axPos val="r"/>
        <c:numFmt formatCode="_ * #,##0_ ;_ * \-#,##0_ ;_ * &quot;-&quot;??_ ;_ @_ "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30336348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[פסקה 26 - חלוקת עבודה בין החברות המתכננות.xlsx]גרף מאוחד!PivotTable1</c:name>
    <c:fmtId val="-1"/>
  </c:pivotSource>
  <c:chart>
    <c:autoTitleDeleted val="1"/>
    <c:pivotFmts>
      <c:pivotFmt>
        <c:idx val="0"/>
      </c:pivotFmt>
      <c:pivotFmt>
        <c:idx val="1"/>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'גרף מאוחד'!$B$3</c:f>
              <c:strCache>
                <c:ptCount val="1"/>
                <c:pt idx="0">
                  <c:v>סה"כ</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'גרף מאוחד'!$A$4:$A$22</c:f>
              <c:multiLvlStrCache>
                <c:ptCount val="15"/>
                <c:lvl>
                  <c:pt idx="0">
                    <c:v>חברה ט"ו</c:v>
                  </c:pt>
                  <c:pt idx="1">
                    <c:v>חברה ט"ז</c:v>
                  </c:pt>
                  <c:pt idx="2">
                    <c:v>חברה י"ז</c:v>
                  </c:pt>
                  <c:pt idx="3">
                    <c:v>חברה י"ח</c:v>
                  </c:pt>
                  <c:pt idx="4">
                    <c:v>חברה י"ט</c:v>
                  </c:pt>
                  <c:pt idx="5">
                    <c:v>חברה כ'</c:v>
                  </c:pt>
                  <c:pt idx="6">
                    <c:v>חברה כ"א</c:v>
                  </c:pt>
                  <c:pt idx="7">
                    <c:v>חברה כ"ב</c:v>
                  </c:pt>
                  <c:pt idx="8">
                    <c:v>חברה כ"ג</c:v>
                  </c:pt>
                  <c:pt idx="9">
                    <c:v>חברה כ"ד</c:v>
                  </c:pt>
                  <c:pt idx="10">
                    <c:v>חברה כ"ה</c:v>
                  </c:pt>
                  <c:pt idx="11">
                    <c:v>חברה כ"ו</c:v>
                  </c:pt>
                  <c:pt idx="12">
                    <c:v>חברה כ"ז</c:v>
                  </c:pt>
                  <c:pt idx="13">
                    <c:v>חברה כ"ח</c:v>
                  </c:pt>
                  <c:pt idx="14">
                    <c:v>חברה כ"ט</c:v>
                  </c:pt>
                </c:lvl>
                <c:lvl>
                  <c:pt idx="0">
                    <c:v>קטגוריה מעל 1,000 יח"ד</c:v>
                  </c:pt>
                  <c:pt idx="7">
                    <c:v>קטגוריה בין 500 ל-1,000 יח"ד</c:v>
                  </c:pt>
                  <c:pt idx="10">
                    <c:v>קטגוריה עד 500 יח"ד</c:v>
                  </c:pt>
                </c:lvl>
              </c:multiLvlStrCache>
            </c:multiLvlStrRef>
          </c:cat>
          <c:val>
            <c:numRef>
              <c:f>'גרף מאוחד'!$B$4:$B$22</c:f>
              <c:numCache>
                <c:formatCode>General</c:formatCode>
                <c:ptCount val="15"/>
                <c:pt idx="0">
                  <c:v>32.5</c:v>
                </c:pt>
                <c:pt idx="1">
                  <c:v>21</c:v>
                </c:pt>
                <c:pt idx="2">
                  <c:v>21</c:v>
                </c:pt>
                <c:pt idx="3">
                  <c:v>14</c:v>
                </c:pt>
                <c:pt idx="4">
                  <c:v>13.7</c:v>
                </c:pt>
                <c:pt idx="5">
                  <c:v>7.8</c:v>
                </c:pt>
                <c:pt idx="6">
                  <c:v>6.5</c:v>
                </c:pt>
                <c:pt idx="7">
                  <c:v>11</c:v>
                </c:pt>
                <c:pt idx="8">
                  <c:v>8.6999999999999993</c:v>
                </c:pt>
                <c:pt idx="9">
                  <c:v>7.7</c:v>
                </c:pt>
                <c:pt idx="10">
                  <c:v>3.5</c:v>
                </c:pt>
                <c:pt idx="11">
                  <c:v>3.5</c:v>
                </c:pt>
                <c:pt idx="12">
                  <c:v>3.2</c:v>
                </c:pt>
                <c:pt idx="13">
                  <c:v>1.4</c:v>
                </c:pt>
                <c:pt idx="14">
                  <c:v>0.13</c:v>
                </c:pt>
              </c:numCache>
            </c:numRef>
          </c:val>
          <c:extLst>
            <c:ext xmlns:c16="http://schemas.microsoft.com/office/drawing/2014/chart" uri="{C3380CC4-5D6E-409C-BE32-E72D297353CC}">
              <c16:uniqueId val="{00000000-5BE3-42CC-9DC5-A59A22042C07}"/>
            </c:ext>
          </c:extLst>
        </c:ser>
        <c:dLbls>
          <c:dLblPos val="outEnd"/>
          <c:showLegendKey val="0"/>
          <c:showVal val="1"/>
          <c:showCatName val="0"/>
          <c:showSerName val="0"/>
          <c:showPercent val="0"/>
          <c:showBubbleSize val="0"/>
        </c:dLbls>
        <c:gapWidth val="444"/>
        <c:overlap val="-90"/>
        <c:axId val="195419344"/>
        <c:axId val="195425248"/>
      </c:barChart>
      <c:catAx>
        <c:axId val="195419344"/>
        <c:scaling>
          <c:orientation val="maxMin"/>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he-IL"/>
          </a:p>
        </c:txPr>
        <c:crossAx val="195425248"/>
        <c:crosses val="autoZero"/>
        <c:auto val="1"/>
        <c:lblAlgn val="ctr"/>
        <c:lblOffset val="100"/>
        <c:noMultiLvlLbl val="0"/>
      </c:catAx>
      <c:valAx>
        <c:axId val="195425248"/>
        <c:scaling>
          <c:orientation val="minMax"/>
        </c:scaling>
        <c:delete val="1"/>
        <c:axPos val="r"/>
        <c:numFmt formatCode="General" sourceLinked="1"/>
        <c:majorTickMark val="out"/>
        <c:minorTickMark val="none"/>
        <c:tickLblPos val="nextTo"/>
        <c:crossAx val="19541934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260-460B-B8E2-3A465A7C1BD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260-460B-B8E2-3A465A7C1BD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3260-460B-B8E2-3A465A7C1BD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3260-460B-B8E2-3A465A7C1BDB}"/>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3260-460B-B8E2-3A465A7C1BD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he-IL"/>
                </a:p>
              </c:txPr>
              <c:dLblPos val="outEnd"/>
              <c:showLegendKey val="0"/>
              <c:showVal val="1"/>
              <c:showCatName val="1"/>
              <c:showSerName val="0"/>
              <c:showPercent val="1"/>
              <c:showBubbleSize val="0"/>
              <c:extLst>
                <c:ext xmlns:c16="http://schemas.microsoft.com/office/drawing/2014/chart" uri="{C3380CC4-5D6E-409C-BE32-E72D297353CC}">
                  <c16:uniqueId val="{00000001-3260-460B-B8E2-3A465A7C1BD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he-IL"/>
                </a:p>
              </c:txPr>
              <c:dLblPos val="outEnd"/>
              <c:showLegendKey val="0"/>
              <c:showVal val="1"/>
              <c:showCatName val="1"/>
              <c:showSerName val="0"/>
              <c:showPercent val="1"/>
              <c:showBubbleSize val="0"/>
              <c:extLst>
                <c:ext xmlns:c16="http://schemas.microsoft.com/office/drawing/2014/chart" uri="{C3380CC4-5D6E-409C-BE32-E72D297353CC}">
                  <c16:uniqueId val="{00000003-3260-460B-B8E2-3A465A7C1BD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he-IL"/>
                </a:p>
              </c:txPr>
              <c:dLblPos val="outEnd"/>
              <c:showLegendKey val="0"/>
              <c:showVal val="1"/>
              <c:showCatName val="1"/>
              <c:showSerName val="0"/>
              <c:showPercent val="1"/>
              <c:showBubbleSize val="0"/>
              <c:extLst>
                <c:ext xmlns:c16="http://schemas.microsoft.com/office/drawing/2014/chart" uri="{C3380CC4-5D6E-409C-BE32-E72D297353CC}">
                  <c16:uniqueId val="{00000005-3260-460B-B8E2-3A465A7C1BDB}"/>
                </c:ext>
              </c:extLst>
            </c:dLbl>
            <c:dLbl>
              <c:idx val="3"/>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r>
                      <a:rPr lang="he-IL" baseline="0"/>
                      <a:t> </a:t>
                    </a:r>
                    <a:r>
                      <a:rPr lang="he-IL" baseline="0">
                        <a:solidFill>
                          <a:srgbClr val="993366"/>
                        </a:solidFill>
                      </a:rPr>
                      <a:t>מעל שלוש שנים, 38, 22%</a:t>
                    </a:r>
                  </a:p>
                </c:rich>
              </c:tx>
              <c:spPr>
                <a:noFill/>
                <a:ln>
                  <a:noFill/>
                </a:ln>
                <a:effectLst/>
              </c:spPr>
              <c:dLblPos val="outEnd"/>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3260-460B-B8E2-3A465A7C1BDB}"/>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he-IL"/>
                </a:p>
              </c:txPr>
              <c:dLblPos val="outEnd"/>
              <c:showLegendKey val="0"/>
              <c:showVal val="1"/>
              <c:showCatName val="1"/>
              <c:showSerName val="0"/>
              <c:showPercent val="1"/>
              <c:showBubbleSize val="0"/>
              <c:extLst>
                <c:ext xmlns:c16="http://schemas.microsoft.com/office/drawing/2014/chart" uri="{C3380CC4-5D6E-409C-BE32-E72D297353CC}">
                  <c16:uniqueId val="{00000009-3260-460B-B8E2-3A465A7C1BDB}"/>
                </c:ext>
              </c:extLst>
            </c:dLbl>
            <c:spPr>
              <a:noFill/>
              <a:ln>
                <a:noFill/>
              </a:ln>
              <a:effectLst/>
            </c:spPr>
            <c:dLblPos val="outEnd"/>
            <c:showLegendKey val="0"/>
            <c:showVal val="1"/>
            <c:showCatName val="1"/>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עיבוד!$E$1:$H$1</c:f>
              <c:strCache>
                <c:ptCount val="4"/>
                <c:pt idx="0">
                  <c:v>עד שנה</c:v>
                </c:pt>
                <c:pt idx="1">
                  <c:v>בין שנה לשנתיים</c:v>
                </c:pt>
                <c:pt idx="2">
                  <c:v>בין שנתיים לשלוש</c:v>
                </c:pt>
                <c:pt idx="3">
                  <c:v>מעל שלוש</c:v>
                </c:pt>
              </c:strCache>
            </c:strRef>
          </c:cat>
          <c:val>
            <c:numRef>
              <c:f>עיבוד!$E$2:$H$2</c:f>
              <c:numCache>
                <c:formatCode>General</c:formatCode>
                <c:ptCount val="4"/>
                <c:pt idx="0">
                  <c:v>20</c:v>
                </c:pt>
                <c:pt idx="1">
                  <c:v>58</c:v>
                </c:pt>
                <c:pt idx="2">
                  <c:v>61</c:v>
                </c:pt>
                <c:pt idx="3">
                  <c:v>38</c:v>
                </c:pt>
              </c:numCache>
            </c:numRef>
          </c:val>
          <c:extLst>
            <c:ext xmlns:c16="http://schemas.microsoft.com/office/drawing/2014/chart" uri="{C3380CC4-5D6E-409C-BE32-E72D297353CC}">
              <c16:uniqueId val="{0000000A-3260-460B-B8E2-3A465A7C1BDB}"/>
            </c:ext>
          </c:extLst>
        </c:ser>
        <c:dLbls>
          <c:dLblPos val="outEnd"/>
          <c:showLegendKey val="0"/>
          <c:showVal val="0"/>
          <c:showCatName val="1"/>
          <c:showSerName val="0"/>
          <c:showPercent val="1"/>
          <c:showBubbleSize val="0"/>
          <c:showLeaderLines val="1"/>
        </c:dLbls>
        <c:firstSliceAng val="360"/>
      </c:pieChart>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גרפים!$B$1</c:f>
              <c:strCache>
                <c:ptCount val="1"/>
                <c:pt idx="0">
                  <c:v>כמות התוכניות</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4BA-47EB-B191-920B6FD879D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4BA-47EB-B191-920B6FD879DD}"/>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4BA-47EB-B191-920B6FD879DD}"/>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4BA-47EB-B191-920B6FD879D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he-IL"/>
                </a:p>
              </c:txPr>
              <c:dLblPos val="outEnd"/>
              <c:showLegendKey val="0"/>
              <c:showVal val="1"/>
              <c:showCatName val="1"/>
              <c:showSerName val="0"/>
              <c:showPercent val="1"/>
              <c:showBubbleSize val="0"/>
              <c:extLst>
                <c:ext xmlns:c16="http://schemas.microsoft.com/office/drawing/2014/chart" uri="{C3380CC4-5D6E-409C-BE32-E72D297353CC}">
                  <c16:uniqueId val="{00000001-14BA-47EB-B191-920B6FD879D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he-IL"/>
                </a:p>
              </c:txPr>
              <c:dLblPos val="outEnd"/>
              <c:showLegendKey val="0"/>
              <c:showVal val="1"/>
              <c:showCatName val="1"/>
              <c:showSerName val="0"/>
              <c:showPercent val="1"/>
              <c:showBubbleSize val="0"/>
              <c:extLst>
                <c:ext xmlns:c16="http://schemas.microsoft.com/office/drawing/2014/chart" uri="{C3380CC4-5D6E-409C-BE32-E72D297353CC}">
                  <c16:uniqueId val="{00000003-14BA-47EB-B191-920B6FD879D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he-IL"/>
                </a:p>
              </c:txPr>
              <c:dLblPos val="outEnd"/>
              <c:showLegendKey val="0"/>
              <c:showVal val="1"/>
              <c:showCatName val="1"/>
              <c:showSerName val="0"/>
              <c:showPercent val="1"/>
              <c:showBubbleSize val="0"/>
              <c:extLst>
                <c:ext xmlns:c16="http://schemas.microsoft.com/office/drawing/2014/chart" uri="{C3380CC4-5D6E-409C-BE32-E72D297353CC}">
                  <c16:uniqueId val="{00000005-14BA-47EB-B191-920B6FD879DD}"/>
                </c:ext>
              </c:extLst>
            </c:dLbl>
            <c:dLbl>
              <c:idx val="3"/>
              <c:layout>
                <c:manualLayout>
                  <c:x val="6.2803311447330853E-2"/>
                  <c:y val="0"/>
                </c:manualLayout>
              </c:layout>
              <c:spPr>
                <a:noFill/>
                <a:ln>
                  <a:noFill/>
                </a:ln>
                <a:effectLst/>
              </c:spPr>
              <c:txPr>
                <a:bodyPr rot="0" spcFirstLastPara="1" vertOverflow="ellipsis" vert="horz" wrap="square" lIns="38100" tIns="19050" rIns="38100" bIns="19050" anchor="ctr" anchorCtr="1"/>
                <a:lstStyle/>
                <a:p>
                  <a:pPr>
                    <a:defRPr sz="1000" b="1" i="0" u="none" strike="noStrike" kern="1200" spc="0" baseline="0">
                      <a:solidFill>
                        <a:schemeClr val="accent4"/>
                      </a:solidFill>
                      <a:latin typeface="+mn-lt"/>
                      <a:ea typeface="+mn-ea"/>
                      <a:cs typeface="+mn-cs"/>
                    </a:defRPr>
                  </a:pPr>
                  <a:endParaRPr lang="he-IL"/>
                </a:p>
              </c:txPr>
              <c:dLblPos val="bestFit"/>
              <c:showLegendKey val="0"/>
              <c:showVal val="1"/>
              <c:showCatName val="1"/>
              <c:showSerName val="0"/>
              <c:showPercent val="1"/>
              <c:showBubbleSize val="0"/>
              <c:extLst>
                <c:ext xmlns:c15="http://schemas.microsoft.com/office/drawing/2012/chart" uri="{CE6537A1-D6FC-4f65-9D91-7224C49458BB}">
                  <c15:layout>
                    <c:manualLayout>
                      <c:w val="0.2463317156722809"/>
                      <c:h val="0.13528748590755355"/>
                    </c:manualLayout>
                  </c15:layout>
                </c:ext>
                <c:ext xmlns:c16="http://schemas.microsoft.com/office/drawing/2014/chart" uri="{C3380CC4-5D6E-409C-BE32-E72D297353CC}">
                  <c16:uniqueId val="{00000007-14BA-47EB-B191-920B6FD879DD}"/>
                </c:ext>
              </c:extLst>
            </c:dLbl>
            <c:spPr>
              <a:noFill/>
              <a:ln>
                <a:noFill/>
              </a:ln>
              <a:effectLst/>
            </c:spPr>
            <c:dLblPos val="outEnd"/>
            <c:showLegendKey val="0"/>
            <c:showVal val="1"/>
            <c:showCatName val="1"/>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גרפים!$A$2:$A$5</c:f>
              <c:strCache>
                <c:ptCount val="4"/>
                <c:pt idx="0">
                  <c:v>הכנה</c:v>
                </c:pt>
                <c:pt idx="1">
                  <c:v>קליטה</c:v>
                </c:pt>
                <c:pt idx="2">
                  <c:v>החלטה על הפקדה</c:v>
                </c:pt>
                <c:pt idx="3">
                  <c:v>הפקדה</c:v>
                </c:pt>
              </c:strCache>
            </c:strRef>
          </c:cat>
          <c:val>
            <c:numRef>
              <c:f>גרפים!$B$2:$B$5</c:f>
              <c:numCache>
                <c:formatCode>General</c:formatCode>
                <c:ptCount val="4"/>
                <c:pt idx="0">
                  <c:v>28</c:v>
                </c:pt>
                <c:pt idx="1">
                  <c:v>4</c:v>
                </c:pt>
                <c:pt idx="2">
                  <c:v>2</c:v>
                </c:pt>
                <c:pt idx="3">
                  <c:v>4</c:v>
                </c:pt>
              </c:numCache>
            </c:numRef>
          </c:val>
          <c:extLst>
            <c:ext xmlns:c16="http://schemas.microsoft.com/office/drawing/2014/chart" uri="{C3380CC4-5D6E-409C-BE32-E72D297353CC}">
              <c16:uniqueId val="{00000008-14BA-47EB-B191-920B6FD879DD}"/>
            </c:ext>
          </c:extLst>
        </c:ser>
        <c:dLbls>
          <c:dLblPos val="outEnd"/>
          <c:showLegendKey val="0"/>
          <c:showVal val="0"/>
          <c:showCatName val="1"/>
          <c:showSerName val="0"/>
          <c:showPercent val="1"/>
          <c:showBubbleSize val="0"/>
          <c:showLeaderLines val="1"/>
        </c:dLbls>
        <c:firstSliceAng val="360"/>
      </c:pieChart>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a:solidFill>
          <a:schemeClr val="phClr">
            <a:shade val="95000"/>
          </a:schemeClr>
        </a:solidFill>
        <a:round/>
      </a:ln>
    </cs:spPr>
  </cs:dataPoint>
  <cs:dataPoint3D>
    <cs:lnRef idx="0">
      <cs:styleClr val="auto"/>
    </cs:lnRef>
    <cs:fillRef idx="2">
      <cs:styleClr val="auto"/>
    </cs:fillRef>
    <cs:effectRef idx="1"/>
    <cs:fontRef idx="minor">
      <a:schemeClr val="dk1"/>
    </cs:fontRef>
    <cs:spPr>
      <a:ln w="9525">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ABF0BB-3075-48C1-BA01-B3F9058E8B4F}"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pPr rtl="1"/>
          <a:endParaRPr lang="he-IL"/>
        </a:p>
      </dgm:t>
    </dgm:pt>
    <dgm:pt modelId="{05D3C69B-7058-48FE-B621-0D277854B8CA}">
      <dgm:prSet phldrT="[טקסט]" custT="1"/>
      <dgm:spPr>
        <a:xfrm rot="5400000">
          <a:off x="-172422" y="173116"/>
          <a:ext cx="1149482" cy="804637"/>
        </a:xfrm>
        <a:prstGeom prst="chevron">
          <a:avLst/>
        </a:prstGeom>
        <a:solidFill>
          <a:srgbClr val="4F81BD">
            <a:hueOff val="0"/>
            <a:satOff val="0"/>
            <a:lumOff val="0"/>
            <a:alphaOff val="0"/>
          </a:srgbClr>
        </a:solidFill>
        <a:ln w="25400">
          <a:solidFill>
            <a:srgbClr val="4F81BD">
              <a:hueOff val="0"/>
              <a:satOff val="0"/>
              <a:lumOff val="0"/>
              <a:alphaOff val="0"/>
            </a:srgbClr>
          </a:solidFill>
        </a:ln>
        <a:effectLst/>
      </dgm:spPr>
      <dgm:t>
        <a:bodyPr/>
        <a:lstStyle/>
        <a:p>
          <a:pPr rtl="1"/>
          <a:r>
            <a:rPr lang="he-IL" sz="800" b="1">
              <a:solidFill>
                <a:sysClr val="window" lastClr="FFFFFF"/>
              </a:solidFill>
              <a:latin typeface="Calibri"/>
              <a:ea typeface="+mn-ea"/>
              <a:cs typeface="Arial" panose="020B0604020202020204" pitchFamily="34" charset="0"/>
            </a:rPr>
            <a:t>טרום תכנון: קביעת פרוגרמה ראשונית ותקציב</a:t>
          </a:r>
        </a:p>
      </dgm:t>
    </dgm:pt>
    <dgm:pt modelId="{9896D027-7FB5-4CC9-85F3-A254135EEDFD}" type="parTrans" cxnId="{13ADAA5E-5BC0-42C9-85BB-BB841FDE19AC}">
      <dgm:prSet/>
      <dgm:spPr/>
      <dgm:t>
        <a:bodyPr/>
        <a:lstStyle/>
        <a:p>
          <a:pPr rtl="1"/>
          <a:endParaRPr lang="he-IL"/>
        </a:p>
      </dgm:t>
    </dgm:pt>
    <dgm:pt modelId="{32DEA9A5-4D3D-40AA-B526-1C1C3360B61E}" type="sibTrans" cxnId="{13ADAA5E-5BC0-42C9-85BB-BB841FDE19AC}">
      <dgm:prSet/>
      <dgm:spPr/>
      <dgm:t>
        <a:bodyPr/>
        <a:lstStyle/>
        <a:p>
          <a:pPr rtl="1"/>
          <a:endParaRPr lang="he-IL"/>
        </a:p>
      </dgm:t>
    </dgm:pt>
    <dgm:pt modelId="{ABA0B414-1020-495F-8F73-ECA53BE5DFCD}">
      <dgm:prSet phldrT="[טקסט]" custT="1"/>
      <dgm:spPr>
        <a:xfrm rot="5400000">
          <a:off x="2638904" y="-1833572"/>
          <a:ext cx="747163" cy="4415697"/>
        </a:xfrm>
        <a:prstGeom prst="round2SameRect">
          <a:avLst/>
        </a:prstGeom>
        <a:solidFill>
          <a:sysClr val="window" lastClr="FFFFFF">
            <a:alpha val="90000"/>
            <a:hueOff val="0"/>
            <a:satOff val="0"/>
            <a:lumOff val="0"/>
            <a:alphaOff val="0"/>
          </a:sysClr>
        </a:solidFill>
        <a:ln w="25400">
          <a:solidFill>
            <a:srgbClr val="4F81BD">
              <a:hueOff val="0"/>
              <a:satOff val="0"/>
              <a:lumOff val="0"/>
              <a:alphaOff val="0"/>
            </a:srgbClr>
          </a:solidFill>
        </a:ln>
        <a:effectLst/>
      </dgm:spPr>
      <dgm:t>
        <a:bodyPr/>
        <a:lstStyle/>
        <a:p>
          <a:pPr rtl="1"/>
          <a:r>
            <a:rPr lang="he-IL" sz="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מערכת המודל התכנוני הדינמי </a:t>
          </a:r>
          <a:endParaRPr lang="he-IL" sz="1200">
            <a:solidFill>
              <a:sysClr val="windowText" lastClr="000000">
                <a:hueOff val="0"/>
                <a:satOff val="0"/>
                <a:lumOff val="0"/>
                <a:alphaOff val="0"/>
              </a:sysClr>
            </a:solidFill>
            <a:latin typeface="Calibri"/>
            <a:ea typeface="+mn-ea"/>
            <a:cs typeface="Arial" panose="020B0604020202020204" pitchFamily="34" charset="0"/>
          </a:endParaRPr>
        </a:p>
      </dgm:t>
    </dgm:pt>
    <dgm:pt modelId="{1756B472-9E25-442F-83A6-A713EAD59B1E}" type="parTrans" cxnId="{359CD1C2-59BF-4D0C-AE8C-E435B82543A6}">
      <dgm:prSet/>
      <dgm:spPr/>
      <dgm:t>
        <a:bodyPr/>
        <a:lstStyle/>
        <a:p>
          <a:pPr rtl="1"/>
          <a:endParaRPr lang="he-IL"/>
        </a:p>
      </dgm:t>
    </dgm:pt>
    <dgm:pt modelId="{0C346114-F5CB-49D9-BFAF-62FE8A6C40A3}" type="sibTrans" cxnId="{359CD1C2-59BF-4D0C-AE8C-E435B82543A6}">
      <dgm:prSet/>
      <dgm:spPr/>
      <dgm:t>
        <a:bodyPr/>
        <a:lstStyle/>
        <a:p>
          <a:pPr rtl="1"/>
          <a:endParaRPr lang="he-IL"/>
        </a:p>
      </dgm:t>
    </dgm:pt>
    <dgm:pt modelId="{FC23D707-7956-46C3-A771-953A191E35EA}">
      <dgm:prSet phldrT="[טקסט]" custT="1"/>
      <dgm:spPr>
        <a:xfrm rot="5400000">
          <a:off x="-172422" y="1120411"/>
          <a:ext cx="1149482" cy="804637"/>
        </a:xfrm>
        <a:prstGeom prst="chevron">
          <a:avLst/>
        </a:prstGeom>
        <a:solidFill>
          <a:srgbClr val="4F81BD">
            <a:hueOff val="0"/>
            <a:satOff val="0"/>
            <a:lumOff val="0"/>
            <a:alphaOff val="0"/>
          </a:srgbClr>
        </a:solidFill>
        <a:ln w="25400">
          <a:solidFill>
            <a:srgbClr val="4F81BD">
              <a:hueOff val="0"/>
              <a:satOff val="0"/>
              <a:lumOff val="0"/>
              <a:alphaOff val="0"/>
            </a:srgbClr>
          </a:solidFill>
        </a:ln>
        <a:effectLst/>
      </dgm:spPr>
      <dgm:t>
        <a:bodyPr/>
        <a:lstStyle/>
        <a:p>
          <a:pPr rtl="1"/>
          <a:r>
            <a:rPr lang="he-IL" sz="800" b="1">
              <a:solidFill>
                <a:sysClr val="window" lastClr="FFFFFF"/>
              </a:solidFill>
              <a:latin typeface="Calibri"/>
              <a:ea typeface="+mn-ea"/>
              <a:cs typeface="Arial" panose="020B0604020202020204" pitchFamily="34" charset="0"/>
            </a:rPr>
            <a:t>הזמנת תכנון: בחירת מתכנן וחתימה על חוזה עימו</a:t>
          </a:r>
        </a:p>
      </dgm:t>
    </dgm:pt>
    <dgm:pt modelId="{649BCDF8-D187-40B9-B129-5EB79B6D0DF8}" type="parTrans" cxnId="{1661A615-CD0E-49F7-83B8-86E04587A284}">
      <dgm:prSet/>
      <dgm:spPr/>
      <dgm:t>
        <a:bodyPr/>
        <a:lstStyle/>
        <a:p>
          <a:pPr rtl="1"/>
          <a:endParaRPr lang="he-IL"/>
        </a:p>
      </dgm:t>
    </dgm:pt>
    <dgm:pt modelId="{EE2E08DA-684E-47CE-B432-471457C7A36F}" type="sibTrans" cxnId="{1661A615-CD0E-49F7-83B8-86E04587A284}">
      <dgm:prSet/>
      <dgm:spPr/>
      <dgm:t>
        <a:bodyPr/>
        <a:lstStyle/>
        <a:p>
          <a:pPr rtl="1"/>
          <a:endParaRPr lang="he-IL"/>
        </a:p>
      </dgm:t>
    </dgm:pt>
    <dgm:pt modelId="{0A0B7105-F817-4C9E-8203-438B16B0743D}">
      <dgm:prSet phldrT="[טקסט]" custT="1"/>
      <dgm:spPr>
        <a:xfrm rot="5400000">
          <a:off x="2638904" y="-886278"/>
          <a:ext cx="747163" cy="4415697"/>
        </a:xfrm>
        <a:prstGeom prst="round2SameRect">
          <a:avLst/>
        </a:prstGeom>
        <a:solidFill>
          <a:sysClr val="window" lastClr="FFFFFF">
            <a:alpha val="90000"/>
            <a:hueOff val="0"/>
            <a:satOff val="0"/>
            <a:lumOff val="0"/>
            <a:alphaOff val="0"/>
          </a:sysClr>
        </a:solidFill>
        <a:ln w="25400">
          <a:solidFill>
            <a:srgbClr val="4F81BD">
              <a:hueOff val="0"/>
              <a:satOff val="0"/>
              <a:lumOff val="0"/>
              <a:alphaOff val="0"/>
            </a:srgbClr>
          </a:solidFill>
        </a:ln>
        <a:effectLst/>
      </dgm:spPr>
      <dgm:t>
        <a:bodyPr/>
        <a:lstStyle/>
        <a:p>
          <a:pPr rtl="1"/>
          <a:r>
            <a:rPr lang="he-IL" sz="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התקשרויות מתכננים </a:t>
          </a:r>
          <a:endParaRPr lang="he-IL" sz="1200">
            <a:solidFill>
              <a:sysClr val="windowText" lastClr="000000">
                <a:hueOff val="0"/>
                <a:satOff val="0"/>
                <a:lumOff val="0"/>
                <a:alphaOff val="0"/>
              </a:sysClr>
            </a:solidFill>
            <a:latin typeface="Calibri"/>
            <a:ea typeface="+mn-ea"/>
            <a:cs typeface="Arial" panose="020B0604020202020204" pitchFamily="34" charset="0"/>
          </a:endParaRPr>
        </a:p>
      </dgm:t>
    </dgm:pt>
    <dgm:pt modelId="{89019B98-291E-4F20-B58A-5246099000C2}" type="parTrans" cxnId="{51CF6C8E-54AB-469A-8AC6-5A4211942E12}">
      <dgm:prSet/>
      <dgm:spPr/>
      <dgm:t>
        <a:bodyPr/>
        <a:lstStyle/>
        <a:p>
          <a:pPr rtl="1"/>
          <a:endParaRPr lang="he-IL"/>
        </a:p>
      </dgm:t>
    </dgm:pt>
    <dgm:pt modelId="{72EC56F2-DEF6-4ED4-AB7B-BE8D71C45CEF}" type="sibTrans" cxnId="{51CF6C8E-54AB-469A-8AC6-5A4211942E12}">
      <dgm:prSet/>
      <dgm:spPr/>
      <dgm:t>
        <a:bodyPr/>
        <a:lstStyle/>
        <a:p>
          <a:pPr rtl="1"/>
          <a:endParaRPr lang="he-IL"/>
        </a:p>
      </dgm:t>
    </dgm:pt>
    <dgm:pt modelId="{6880C1C0-E3F5-4374-A891-4D68DD5E45C3}">
      <dgm:prSet phldrT="[טקסט]" custT="1"/>
      <dgm:spPr>
        <a:xfrm rot="5400000">
          <a:off x="-172422" y="2067705"/>
          <a:ext cx="1149482" cy="804637"/>
        </a:xfrm>
        <a:prstGeom prst="chevron">
          <a:avLst/>
        </a:prstGeom>
        <a:solidFill>
          <a:srgbClr val="4F81BD">
            <a:hueOff val="0"/>
            <a:satOff val="0"/>
            <a:lumOff val="0"/>
            <a:alphaOff val="0"/>
          </a:srgbClr>
        </a:solidFill>
        <a:ln w="25400">
          <a:solidFill>
            <a:srgbClr val="4F81BD">
              <a:hueOff val="0"/>
              <a:satOff val="0"/>
              <a:lumOff val="0"/>
              <a:alphaOff val="0"/>
            </a:srgbClr>
          </a:solidFill>
        </a:ln>
        <a:effectLst/>
      </dgm:spPr>
      <dgm:t>
        <a:bodyPr/>
        <a:lstStyle/>
        <a:p>
          <a:pPr rtl="1"/>
          <a:r>
            <a:rPr lang="he-IL" sz="800" b="1">
              <a:solidFill>
                <a:sysClr val="window" lastClr="FFFFFF"/>
              </a:solidFill>
              <a:latin typeface="Calibri"/>
              <a:ea typeface="+mn-ea"/>
              <a:cs typeface="Arial" panose="020B0604020202020204" pitchFamily="34" charset="0"/>
            </a:rPr>
            <a:t>תהליך התכנון</a:t>
          </a:r>
        </a:p>
      </dgm:t>
    </dgm:pt>
    <dgm:pt modelId="{6D8A1C00-3FE9-4942-B067-CFBAEFC0B599}" type="parTrans" cxnId="{6D579562-550D-4399-BCA7-DA715EFA9A12}">
      <dgm:prSet/>
      <dgm:spPr/>
      <dgm:t>
        <a:bodyPr/>
        <a:lstStyle/>
        <a:p>
          <a:pPr rtl="1"/>
          <a:endParaRPr lang="he-IL"/>
        </a:p>
      </dgm:t>
    </dgm:pt>
    <dgm:pt modelId="{C4FAA7D1-2276-4AB0-AD99-858FBDE300D7}" type="sibTrans" cxnId="{6D579562-550D-4399-BCA7-DA715EFA9A12}">
      <dgm:prSet/>
      <dgm:spPr/>
      <dgm:t>
        <a:bodyPr/>
        <a:lstStyle/>
        <a:p>
          <a:pPr rtl="1"/>
          <a:endParaRPr lang="he-IL"/>
        </a:p>
      </dgm:t>
    </dgm:pt>
    <dgm:pt modelId="{07BFC8BF-724A-4B73-AE1B-C6E3A3DC7160}">
      <dgm:prSet phldrT="[טקסט]" custT="1"/>
      <dgm:spPr>
        <a:xfrm rot="5400000">
          <a:off x="2638904" y="61016"/>
          <a:ext cx="747163" cy="4415697"/>
        </a:xfrm>
        <a:prstGeom prst="round2SameRect">
          <a:avLst/>
        </a:prstGeom>
        <a:solidFill>
          <a:sysClr val="window" lastClr="FFFFFF">
            <a:alpha val="90000"/>
            <a:hueOff val="0"/>
            <a:satOff val="0"/>
            <a:lumOff val="0"/>
            <a:alphaOff val="0"/>
          </a:sysClr>
        </a:solidFill>
        <a:ln w="25400">
          <a:solidFill>
            <a:srgbClr val="4F81BD">
              <a:hueOff val="0"/>
              <a:satOff val="0"/>
              <a:lumOff val="0"/>
              <a:alphaOff val="0"/>
            </a:srgbClr>
          </a:solidFill>
        </a:ln>
        <a:effectLst/>
      </dgm:spPr>
      <dgm:t>
        <a:bodyPr/>
        <a:lstStyle/>
        <a:p>
          <a:pPr rtl="1"/>
          <a:r>
            <a:rPr lang="he-IL" sz="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מעקב תכנון</a:t>
          </a:r>
          <a:endParaRPr lang="he-IL" sz="1200">
            <a:solidFill>
              <a:sysClr val="windowText" lastClr="000000">
                <a:hueOff val="0"/>
                <a:satOff val="0"/>
                <a:lumOff val="0"/>
                <a:alphaOff val="0"/>
              </a:sysClr>
            </a:solidFill>
            <a:latin typeface="Calibri"/>
            <a:ea typeface="+mn-ea"/>
            <a:cs typeface="Arial" panose="020B0604020202020204" pitchFamily="34" charset="0"/>
          </a:endParaRPr>
        </a:p>
      </dgm:t>
    </dgm:pt>
    <dgm:pt modelId="{99E7F9EE-D3DF-44BC-ADAD-8D4AAE24DD38}" type="parTrans" cxnId="{D5DE2A3D-7C45-4A29-AF0A-9EBBE144982C}">
      <dgm:prSet/>
      <dgm:spPr/>
      <dgm:t>
        <a:bodyPr/>
        <a:lstStyle/>
        <a:p>
          <a:pPr rtl="1"/>
          <a:endParaRPr lang="he-IL"/>
        </a:p>
      </dgm:t>
    </dgm:pt>
    <dgm:pt modelId="{81751154-AD9C-400F-856F-80B6FEA22D5E}" type="sibTrans" cxnId="{D5DE2A3D-7C45-4A29-AF0A-9EBBE144982C}">
      <dgm:prSet/>
      <dgm:spPr/>
      <dgm:t>
        <a:bodyPr/>
        <a:lstStyle/>
        <a:p>
          <a:pPr rtl="1"/>
          <a:endParaRPr lang="he-IL"/>
        </a:p>
      </dgm:t>
    </dgm:pt>
    <dgm:pt modelId="{B144CD79-6AA1-4100-90A4-2AA09A5BF82E}">
      <dgm:prSet phldrT="[טקסט]" custT="1"/>
      <dgm:spPr>
        <a:xfrm rot="5400000">
          <a:off x="2638904" y="61016"/>
          <a:ext cx="747163" cy="4415697"/>
        </a:xfrm>
        <a:prstGeom prst="round2SameRect">
          <a:avLst/>
        </a:prstGeom>
        <a:solidFill>
          <a:sysClr val="window" lastClr="FFFFFF">
            <a:alpha val="90000"/>
            <a:hueOff val="0"/>
            <a:satOff val="0"/>
            <a:lumOff val="0"/>
            <a:alphaOff val="0"/>
          </a:sysClr>
        </a:solidFill>
        <a:ln w="25400">
          <a:solidFill>
            <a:srgbClr val="4F81BD">
              <a:hueOff val="0"/>
              <a:satOff val="0"/>
              <a:lumOff val="0"/>
              <a:alphaOff val="0"/>
            </a:srgbClr>
          </a:solidFill>
        </a:ln>
        <a:effectLst/>
      </dgm:spPr>
      <dgm:t>
        <a:bodyPr/>
        <a:lstStyle/>
        <a:p>
          <a:pPr rtl="1"/>
          <a:r>
            <a:rPr lang="he-IL" sz="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משל"ט (כולל מעקב אחרי הפיתוח והשיווק)</a:t>
          </a:r>
          <a:endParaRPr lang="he-IL" sz="1200">
            <a:solidFill>
              <a:sysClr val="windowText" lastClr="000000">
                <a:hueOff val="0"/>
                <a:satOff val="0"/>
                <a:lumOff val="0"/>
                <a:alphaOff val="0"/>
              </a:sysClr>
            </a:solidFill>
            <a:latin typeface="Calibri"/>
            <a:ea typeface="+mn-ea"/>
            <a:cs typeface="Arial" panose="020B0604020202020204" pitchFamily="34" charset="0"/>
          </a:endParaRPr>
        </a:p>
      </dgm:t>
    </dgm:pt>
    <dgm:pt modelId="{4206EEC3-B472-465A-A954-0ACB196944FF}" type="parTrans" cxnId="{3C2468A4-B215-43DA-B3D4-B0CA688EDBD1}">
      <dgm:prSet/>
      <dgm:spPr/>
      <dgm:t>
        <a:bodyPr/>
        <a:lstStyle/>
        <a:p>
          <a:pPr rtl="1"/>
          <a:endParaRPr lang="he-IL"/>
        </a:p>
      </dgm:t>
    </dgm:pt>
    <dgm:pt modelId="{A2C9C7CF-F78A-43D5-8EC2-D5EFEDA2DFCD}" type="sibTrans" cxnId="{3C2468A4-B215-43DA-B3D4-B0CA688EDBD1}">
      <dgm:prSet/>
      <dgm:spPr/>
      <dgm:t>
        <a:bodyPr/>
        <a:lstStyle/>
        <a:p>
          <a:pPr rtl="1"/>
          <a:endParaRPr lang="he-IL"/>
        </a:p>
      </dgm:t>
    </dgm:pt>
    <dgm:pt modelId="{531770EB-A297-4488-9816-FCCAA4A8CB2B}" type="pres">
      <dgm:prSet presAssocID="{F4ABF0BB-3075-48C1-BA01-B3F9058E8B4F}" presName="linearFlow" presStyleCnt="0">
        <dgm:presLayoutVars>
          <dgm:dir/>
          <dgm:animLvl val="lvl"/>
          <dgm:resizeHandles val="exact"/>
        </dgm:presLayoutVars>
      </dgm:prSet>
      <dgm:spPr/>
    </dgm:pt>
    <dgm:pt modelId="{8985147B-47E5-4419-A274-985E4D048E11}" type="pres">
      <dgm:prSet presAssocID="{05D3C69B-7058-48FE-B621-0D277854B8CA}" presName="composite" presStyleCnt="0"/>
      <dgm:spPr/>
    </dgm:pt>
    <dgm:pt modelId="{7430F293-76C3-4745-B393-B44FC6D8BB7D}" type="pres">
      <dgm:prSet presAssocID="{05D3C69B-7058-48FE-B621-0D277854B8CA}" presName="parentText" presStyleLbl="alignNode1" presStyleIdx="0" presStyleCnt="3">
        <dgm:presLayoutVars>
          <dgm:chMax val="1"/>
          <dgm:bulletEnabled val="1"/>
        </dgm:presLayoutVars>
      </dgm:prSet>
      <dgm:spPr/>
    </dgm:pt>
    <dgm:pt modelId="{3DADD631-0A20-4858-8E25-C5944922560B}" type="pres">
      <dgm:prSet presAssocID="{05D3C69B-7058-48FE-B621-0D277854B8CA}" presName="descendantText" presStyleLbl="alignAcc1" presStyleIdx="0" presStyleCnt="3">
        <dgm:presLayoutVars>
          <dgm:bulletEnabled val="1"/>
        </dgm:presLayoutVars>
      </dgm:prSet>
      <dgm:spPr/>
    </dgm:pt>
    <dgm:pt modelId="{1976E317-CC30-402A-BC36-1FB2191B01F2}" type="pres">
      <dgm:prSet presAssocID="{32DEA9A5-4D3D-40AA-B526-1C1C3360B61E}" presName="sp" presStyleCnt="0"/>
      <dgm:spPr/>
    </dgm:pt>
    <dgm:pt modelId="{A45574FF-9B46-4F7A-8C76-588FB7269046}" type="pres">
      <dgm:prSet presAssocID="{FC23D707-7956-46C3-A771-953A191E35EA}" presName="composite" presStyleCnt="0"/>
      <dgm:spPr/>
    </dgm:pt>
    <dgm:pt modelId="{14206E95-0353-41E3-9624-E6CE7CD43872}" type="pres">
      <dgm:prSet presAssocID="{FC23D707-7956-46C3-A771-953A191E35EA}" presName="parentText" presStyleLbl="alignNode1" presStyleIdx="1" presStyleCnt="3">
        <dgm:presLayoutVars>
          <dgm:chMax val="1"/>
          <dgm:bulletEnabled val="1"/>
        </dgm:presLayoutVars>
      </dgm:prSet>
      <dgm:spPr/>
    </dgm:pt>
    <dgm:pt modelId="{ED517A00-DF35-4A03-89D5-414CCC2F50FA}" type="pres">
      <dgm:prSet presAssocID="{FC23D707-7956-46C3-A771-953A191E35EA}" presName="descendantText" presStyleLbl="alignAcc1" presStyleIdx="1" presStyleCnt="3">
        <dgm:presLayoutVars>
          <dgm:bulletEnabled val="1"/>
        </dgm:presLayoutVars>
      </dgm:prSet>
      <dgm:spPr/>
    </dgm:pt>
    <dgm:pt modelId="{E6838404-F911-4914-B7B3-0DE3212C6395}" type="pres">
      <dgm:prSet presAssocID="{EE2E08DA-684E-47CE-B432-471457C7A36F}" presName="sp" presStyleCnt="0"/>
      <dgm:spPr/>
    </dgm:pt>
    <dgm:pt modelId="{9CF74F45-A2CB-4F31-B277-6C257C5E5B7D}" type="pres">
      <dgm:prSet presAssocID="{6880C1C0-E3F5-4374-A891-4D68DD5E45C3}" presName="composite" presStyleCnt="0"/>
      <dgm:spPr/>
    </dgm:pt>
    <dgm:pt modelId="{E139E734-3BEA-49BE-A31F-58B4716D86DD}" type="pres">
      <dgm:prSet presAssocID="{6880C1C0-E3F5-4374-A891-4D68DD5E45C3}" presName="parentText" presStyleLbl="alignNode1" presStyleIdx="2" presStyleCnt="3">
        <dgm:presLayoutVars>
          <dgm:chMax val="1"/>
          <dgm:bulletEnabled val="1"/>
        </dgm:presLayoutVars>
      </dgm:prSet>
      <dgm:spPr/>
    </dgm:pt>
    <dgm:pt modelId="{65C7F94B-6A1D-4DB5-8B96-EA6F7AD061CC}" type="pres">
      <dgm:prSet presAssocID="{6880C1C0-E3F5-4374-A891-4D68DD5E45C3}" presName="descendantText" presStyleLbl="alignAcc1" presStyleIdx="2" presStyleCnt="3">
        <dgm:presLayoutVars>
          <dgm:bulletEnabled val="1"/>
        </dgm:presLayoutVars>
      </dgm:prSet>
      <dgm:spPr/>
    </dgm:pt>
  </dgm:ptLst>
  <dgm:cxnLst>
    <dgm:cxn modelId="{2A34E507-BD72-471A-BC24-77FBFB21FF0F}" type="presOf" srcId="{F4ABF0BB-3075-48C1-BA01-B3F9058E8B4F}" destId="{531770EB-A297-4488-9816-FCCAA4A8CB2B}" srcOrd="0" destOrd="0" presId="urn:microsoft.com/office/officeart/2005/8/layout/chevron2"/>
    <dgm:cxn modelId="{1661A615-CD0E-49F7-83B8-86E04587A284}" srcId="{F4ABF0BB-3075-48C1-BA01-B3F9058E8B4F}" destId="{FC23D707-7956-46C3-A771-953A191E35EA}" srcOrd="1" destOrd="0" parTransId="{649BCDF8-D187-40B9-B129-5EB79B6D0DF8}" sibTransId="{EE2E08DA-684E-47CE-B432-471457C7A36F}"/>
    <dgm:cxn modelId="{FEBBA532-79AB-450A-A5A5-F82B48A0CB48}" type="presOf" srcId="{B144CD79-6AA1-4100-90A4-2AA09A5BF82E}" destId="{65C7F94B-6A1D-4DB5-8B96-EA6F7AD061CC}" srcOrd="0" destOrd="1" presId="urn:microsoft.com/office/officeart/2005/8/layout/chevron2"/>
    <dgm:cxn modelId="{D5DE2A3D-7C45-4A29-AF0A-9EBBE144982C}" srcId="{6880C1C0-E3F5-4374-A891-4D68DD5E45C3}" destId="{07BFC8BF-724A-4B73-AE1B-C6E3A3DC7160}" srcOrd="0" destOrd="0" parTransId="{99E7F9EE-D3DF-44BC-ADAD-8D4AAE24DD38}" sibTransId="{81751154-AD9C-400F-856F-80B6FEA22D5E}"/>
    <dgm:cxn modelId="{13ADAA5E-5BC0-42C9-85BB-BB841FDE19AC}" srcId="{F4ABF0BB-3075-48C1-BA01-B3F9058E8B4F}" destId="{05D3C69B-7058-48FE-B621-0D277854B8CA}" srcOrd="0" destOrd="0" parTransId="{9896D027-7FB5-4CC9-85F3-A254135EEDFD}" sibTransId="{32DEA9A5-4D3D-40AA-B526-1C1C3360B61E}"/>
    <dgm:cxn modelId="{6D579562-550D-4399-BCA7-DA715EFA9A12}" srcId="{F4ABF0BB-3075-48C1-BA01-B3F9058E8B4F}" destId="{6880C1C0-E3F5-4374-A891-4D68DD5E45C3}" srcOrd="2" destOrd="0" parTransId="{6D8A1C00-3FE9-4942-B067-CFBAEFC0B599}" sibTransId="{C4FAA7D1-2276-4AB0-AD99-858FBDE300D7}"/>
    <dgm:cxn modelId="{2914094A-7326-4241-B3B1-E60F41BC4028}" type="presOf" srcId="{ABA0B414-1020-495F-8F73-ECA53BE5DFCD}" destId="{3DADD631-0A20-4858-8E25-C5944922560B}" srcOrd="0" destOrd="0" presId="urn:microsoft.com/office/officeart/2005/8/layout/chevron2"/>
    <dgm:cxn modelId="{B5AC634C-6E1A-495A-B987-6EAA49079EB3}" type="presOf" srcId="{FC23D707-7956-46C3-A771-953A191E35EA}" destId="{14206E95-0353-41E3-9624-E6CE7CD43872}" srcOrd="0" destOrd="0" presId="urn:microsoft.com/office/officeart/2005/8/layout/chevron2"/>
    <dgm:cxn modelId="{CD409D80-7735-431C-8D65-8674A2FF96EC}" type="presOf" srcId="{05D3C69B-7058-48FE-B621-0D277854B8CA}" destId="{7430F293-76C3-4745-B393-B44FC6D8BB7D}" srcOrd="0" destOrd="0" presId="urn:microsoft.com/office/officeart/2005/8/layout/chevron2"/>
    <dgm:cxn modelId="{51CF6C8E-54AB-469A-8AC6-5A4211942E12}" srcId="{FC23D707-7956-46C3-A771-953A191E35EA}" destId="{0A0B7105-F817-4C9E-8203-438B16B0743D}" srcOrd="0" destOrd="0" parTransId="{89019B98-291E-4F20-B58A-5246099000C2}" sibTransId="{72EC56F2-DEF6-4ED4-AB7B-BE8D71C45CEF}"/>
    <dgm:cxn modelId="{3C2468A4-B215-43DA-B3D4-B0CA688EDBD1}" srcId="{6880C1C0-E3F5-4374-A891-4D68DD5E45C3}" destId="{B144CD79-6AA1-4100-90A4-2AA09A5BF82E}" srcOrd="1" destOrd="0" parTransId="{4206EEC3-B472-465A-A954-0ACB196944FF}" sibTransId="{A2C9C7CF-F78A-43D5-8EC2-D5EFEDA2DFCD}"/>
    <dgm:cxn modelId="{359CD1C2-59BF-4D0C-AE8C-E435B82543A6}" srcId="{05D3C69B-7058-48FE-B621-0D277854B8CA}" destId="{ABA0B414-1020-495F-8F73-ECA53BE5DFCD}" srcOrd="0" destOrd="0" parTransId="{1756B472-9E25-442F-83A6-A713EAD59B1E}" sibTransId="{0C346114-F5CB-49D9-BFAF-62FE8A6C40A3}"/>
    <dgm:cxn modelId="{E35EF3C5-5C57-4434-906C-51BFA3AB0FDD}" type="presOf" srcId="{0A0B7105-F817-4C9E-8203-438B16B0743D}" destId="{ED517A00-DF35-4A03-89D5-414CCC2F50FA}" srcOrd="0" destOrd="0" presId="urn:microsoft.com/office/officeart/2005/8/layout/chevron2"/>
    <dgm:cxn modelId="{038C5FD7-D5AD-43D3-818F-5CB31C75DDBB}" type="presOf" srcId="{07BFC8BF-724A-4B73-AE1B-C6E3A3DC7160}" destId="{65C7F94B-6A1D-4DB5-8B96-EA6F7AD061CC}" srcOrd="0" destOrd="0" presId="urn:microsoft.com/office/officeart/2005/8/layout/chevron2"/>
    <dgm:cxn modelId="{D139F0E2-498D-4058-95C9-29D6BA4F8EB5}" type="presOf" srcId="{6880C1C0-E3F5-4374-A891-4D68DD5E45C3}" destId="{E139E734-3BEA-49BE-A31F-58B4716D86DD}" srcOrd="0" destOrd="0" presId="urn:microsoft.com/office/officeart/2005/8/layout/chevron2"/>
    <dgm:cxn modelId="{D899679B-A070-44B4-95AD-1C7CEF941E42}" type="presParOf" srcId="{531770EB-A297-4488-9816-FCCAA4A8CB2B}" destId="{8985147B-47E5-4419-A274-985E4D048E11}" srcOrd="0" destOrd="0" presId="urn:microsoft.com/office/officeart/2005/8/layout/chevron2"/>
    <dgm:cxn modelId="{C15E1358-812E-4F01-9C5B-8F131B465BF3}" type="presParOf" srcId="{8985147B-47E5-4419-A274-985E4D048E11}" destId="{7430F293-76C3-4745-B393-B44FC6D8BB7D}" srcOrd="0" destOrd="0" presId="urn:microsoft.com/office/officeart/2005/8/layout/chevron2"/>
    <dgm:cxn modelId="{2B03EF95-2CC0-4FB4-94E1-2ECCC956C466}" type="presParOf" srcId="{8985147B-47E5-4419-A274-985E4D048E11}" destId="{3DADD631-0A20-4858-8E25-C5944922560B}" srcOrd="1" destOrd="0" presId="urn:microsoft.com/office/officeart/2005/8/layout/chevron2"/>
    <dgm:cxn modelId="{9616D722-FFD9-42B6-8377-94F6F47B5294}" type="presParOf" srcId="{531770EB-A297-4488-9816-FCCAA4A8CB2B}" destId="{1976E317-CC30-402A-BC36-1FB2191B01F2}" srcOrd="1" destOrd="0" presId="urn:microsoft.com/office/officeart/2005/8/layout/chevron2"/>
    <dgm:cxn modelId="{5CAAF0D2-2799-422C-89DA-58CC8FD80154}" type="presParOf" srcId="{531770EB-A297-4488-9816-FCCAA4A8CB2B}" destId="{A45574FF-9B46-4F7A-8C76-588FB7269046}" srcOrd="2" destOrd="0" presId="urn:microsoft.com/office/officeart/2005/8/layout/chevron2"/>
    <dgm:cxn modelId="{B9691B27-441C-4BE8-833C-7076F2F903B8}" type="presParOf" srcId="{A45574FF-9B46-4F7A-8C76-588FB7269046}" destId="{14206E95-0353-41E3-9624-E6CE7CD43872}" srcOrd="0" destOrd="0" presId="urn:microsoft.com/office/officeart/2005/8/layout/chevron2"/>
    <dgm:cxn modelId="{E0C08B58-E15D-4C7B-AB30-1817994EDF20}" type="presParOf" srcId="{A45574FF-9B46-4F7A-8C76-588FB7269046}" destId="{ED517A00-DF35-4A03-89D5-414CCC2F50FA}" srcOrd="1" destOrd="0" presId="urn:microsoft.com/office/officeart/2005/8/layout/chevron2"/>
    <dgm:cxn modelId="{BC94B433-5CDA-42C8-9D3F-59DBDF39612C}" type="presParOf" srcId="{531770EB-A297-4488-9816-FCCAA4A8CB2B}" destId="{E6838404-F911-4914-B7B3-0DE3212C6395}" srcOrd="3" destOrd="0" presId="urn:microsoft.com/office/officeart/2005/8/layout/chevron2"/>
    <dgm:cxn modelId="{F67FF88E-55C0-432B-BE33-E29BF597E0F9}" type="presParOf" srcId="{531770EB-A297-4488-9816-FCCAA4A8CB2B}" destId="{9CF74F45-A2CB-4F31-B277-6C257C5E5B7D}" srcOrd="4" destOrd="0" presId="urn:microsoft.com/office/officeart/2005/8/layout/chevron2"/>
    <dgm:cxn modelId="{3F6C74E4-A8F4-4660-93C1-647A35E47E3C}" type="presParOf" srcId="{9CF74F45-A2CB-4F31-B277-6C257C5E5B7D}" destId="{E139E734-3BEA-49BE-A31F-58B4716D86DD}" srcOrd="0" destOrd="0" presId="urn:microsoft.com/office/officeart/2005/8/layout/chevron2"/>
    <dgm:cxn modelId="{9BFB90A6-9068-4BE2-82B5-8ACF513B84A9}" type="presParOf" srcId="{9CF74F45-A2CB-4F31-B277-6C257C5E5B7D}" destId="{65C7F94B-6A1D-4DB5-8B96-EA6F7AD061CC}" srcOrd="1" destOrd="0" presId="urn:microsoft.com/office/officeart/2005/8/layout/chevron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30F293-76C3-4745-B393-B44FC6D8BB7D}">
      <dsp:nvSpPr>
        <dsp:cNvPr id="0" name=""/>
        <dsp:cNvSpPr/>
      </dsp:nvSpPr>
      <dsp:spPr>
        <a:xfrm rot="5400000">
          <a:off x="-159119" y="161183"/>
          <a:ext cx="1060799" cy="74255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rtl="1">
            <a:lnSpc>
              <a:spcPct val="90000"/>
            </a:lnSpc>
            <a:spcBef>
              <a:spcPct val="0"/>
            </a:spcBef>
            <a:spcAft>
              <a:spcPct val="35000"/>
            </a:spcAft>
            <a:buNone/>
          </a:pPr>
          <a:r>
            <a:rPr lang="he-IL" sz="800" b="1" kern="1200">
              <a:solidFill>
                <a:sysClr val="window" lastClr="FFFFFF"/>
              </a:solidFill>
              <a:latin typeface="Calibri"/>
              <a:ea typeface="+mn-ea"/>
              <a:cs typeface="Arial" panose="020B0604020202020204" pitchFamily="34" charset="0"/>
            </a:rPr>
            <a:t>טרום תכנון: קביעת פרוגרמה ראשונית ותקציב</a:t>
          </a:r>
        </a:p>
      </dsp:txBody>
      <dsp:txXfrm rot="-5400000">
        <a:off x="2" y="373343"/>
        <a:ext cx="742559" cy="318240"/>
      </dsp:txXfrm>
    </dsp:sp>
    <dsp:sp modelId="{3DADD631-0A20-4858-8E25-C5944922560B}">
      <dsp:nvSpPr>
        <dsp:cNvPr id="0" name=""/>
        <dsp:cNvSpPr/>
      </dsp:nvSpPr>
      <dsp:spPr>
        <a:xfrm rot="5400000">
          <a:off x="2510231" y="-1765607"/>
          <a:ext cx="689882" cy="4225225"/>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r" defTabSz="533400" rtl="1">
            <a:lnSpc>
              <a:spcPct val="90000"/>
            </a:lnSpc>
            <a:spcBef>
              <a:spcPct val="0"/>
            </a:spcBef>
            <a:spcAft>
              <a:spcPct val="15000"/>
            </a:spcAft>
            <a:buChar char="•"/>
          </a:pPr>
          <a:r>
            <a:rPr lang="he-IL" sz="120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מערכת המודל התכנוני הדינמי </a:t>
          </a:r>
          <a:endParaRPr lang="he-IL" sz="1200" kern="1200">
            <a:solidFill>
              <a:sysClr val="windowText" lastClr="000000">
                <a:hueOff val="0"/>
                <a:satOff val="0"/>
                <a:lumOff val="0"/>
                <a:alphaOff val="0"/>
              </a:sysClr>
            </a:solidFill>
            <a:latin typeface="Calibri"/>
            <a:ea typeface="+mn-ea"/>
            <a:cs typeface="Arial" panose="020B0604020202020204" pitchFamily="34" charset="0"/>
          </a:endParaRPr>
        </a:p>
      </dsp:txBody>
      <dsp:txXfrm rot="-5400000">
        <a:off x="742560" y="35741"/>
        <a:ext cx="4191548" cy="622528"/>
      </dsp:txXfrm>
    </dsp:sp>
    <dsp:sp modelId="{14206E95-0353-41E3-9624-E6CE7CD43872}">
      <dsp:nvSpPr>
        <dsp:cNvPr id="0" name=""/>
        <dsp:cNvSpPr/>
      </dsp:nvSpPr>
      <dsp:spPr>
        <a:xfrm rot="5400000">
          <a:off x="-159119" y="1017379"/>
          <a:ext cx="1060799" cy="74255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rtl="1">
            <a:lnSpc>
              <a:spcPct val="90000"/>
            </a:lnSpc>
            <a:spcBef>
              <a:spcPct val="0"/>
            </a:spcBef>
            <a:spcAft>
              <a:spcPct val="35000"/>
            </a:spcAft>
            <a:buNone/>
          </a:pPr>
          <a:r>
            <a:rPr lang="he-IL" sz="800" b="1" kern="1200">
              <a:solidFill>
                <a:sysClr val="window" lastClr="FFFFFF"/>
              </a:solidFill>
              <a:latin typeface="Calibri"/>
              <a:ea typeface="+mn-ea"/>
              <a:cs typeface="Arial" panose="020B0604020202020204" pitchFamily="34" charset="0"/>
            </a:rPr>
            <a:t>הזמנת תכנון: בחירת מתכנן וחתימה על חוזה עימו</a:t>
          </a:r>
        </a:p>
      </dsp:txBody>
      <dsp:txXfrm rot="-5400000">
        <a:off x="2" y="1229539"/>
        <a:ext cx="742559" cy="318240"/>
      </dsp:txXfrm>
    </dsp:sp>
    <dsp:sp modelId="{ED517A00-DF35-4A03-89D5-414CCC2F50FA}">
      <dsp:nvSpPr>
        <dsp:cNvPr id="0" name=""/>
        <dsp:cNvSpPr/>
      </dsp:nvSpPr>
      <dsp:spPr>
        <a:xfrm rot="5400000">
          <a:off x="2510412" y="-909593"/>
          <a:ext cx="689519" cy="4225225"/>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r" defTabSz="533400" rtl="1">
            <a:lnSpc>
              <a:spcPct val="90000"/>
            </a:lnSpc>
            <a:spcBef>
              <a:spcPct val="0"/>
            </a:spcBef>
            <a:spcAft>
              <a:spcPct val="15000"/>
            </a:spcAft>
            <a:buChar char="•"/>
          </a:pPr>
          <a:r>
            <a:rPr lang="he-IL" sz="120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התקשרויות מתכננים </a:t>
          </a:r>
          <a:endParaRPr lang="he-IL" sz="1200" kern="1200">
            <a:solidFill>
              <a:sysClr val="windowText" lastClr="000000">
                <a:hueOff val="0"/>
                <a:satOff val="0"/>
                <a:lumOff val="0"/>
                <a:alphaOff val="0"/>
              </a:sysClr>
            </a:solidFill>
            <a:latin typeface="Calibri"/>
            <a:ea typeface="+mn-ea"/>
            <a:cs typeface="Arial" panose="020B0604020202020204" pitchFamily="34" charset="0"/>
          </a:endParaRPr>
        </a:p>
      </dsp:txBody>
      <dsp:txXfrm rot="-5400000">
        <a:off x="742559" y="891920"/>
        <a:ext cx="4191565" cy="622199"/>
      </dsp:txXfrm>
    </dsp:sp>
    <dsp:sp modelId="{E139E734-3BEA-49BE-A31F-58B4716D86DD}">
      <dsp:nvSpPr>
        <dsp:cNvPr id="0" name=""/>
        <dsp:cNvSpPr/>
      </dsp:nvSpPr>
      <dsp:spPr>
        <a:xfrm rot="5400000">
          <a:off x="-159119" y="1873575"/>
          <a:ext cx="1060799" cy="74255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rtl="1">
            <a:lnSpc>
              <a:spcPct val="90000"/>
            </a:lnSpc>
            <a:spcBef>
              <a:spcPct val="0"/>
            </a:spcBef>
            <a:spcAft>
              <a:spcPct val="35000"/>
            </a:spcAft>
            <a:buNone/>
          </a:pPr>
          <a:r>
            <a:rPr lang="he-IL" sz="800" b="1" kern="1200">
              <a:solidFill>
                <a:sysClr val="window" lastClr="FFFFFF"/>
              </a:solidFill>
              <a:latin typeface="Calibri"/>
              <a:ea typeface="+mn-ea"/>
              <a:cs typeface="Arial" panose="020B0604020202020204" pitchFamily="34" charset="0"/>
            </a:rPr>
            <a:t>תהליך התכנון</a:t>
          </a:r>
        </a:p>
      </dsp:txBody>
      <dsp:txXfrm rot="-5400000">
        <a:off x="2" y="2085735"/>
        <a:ext cx="742559" cy="318240"/>
      </dsp:txXfrm>
    </dsp:sp>
    <dsp:sp modelId="{65C7F94B-6A1D-4DB5-8B96-EA6F7AD061CC}">
      <dsp:nvSpPr>
        <dsp:cNvPr id="0" name=""/>
        <dsp:cNvSpPr/>
      </dsp:nvSpPr>
      <dsp:spPr>
        <a:xfrm rot="5400000">
          <a:off x="2510412" y="-53397"/>
          <a:ext cx="689519" cy="4225225"/>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r" defTabSz="533400" rtl="1">
            <a:lnSpc>
              <a:spcPct val="90000"/>
            </a:lnSpc>
            <a:spcBef>
              <a:spcPct val="0"/>
            </a:spcBef>
            <a:spcAft>
              <a:spcPct val="15000"/>
            </a:spcAft>
            <a:buChar char="•"/>
          </a:pPr>
          <a:r>
            <a:rPr lang="he-IL" sz="120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מעקב תכנון</a:t>
          </a:r>
          <a:endParaRPr lang="he-IL" sz="1200" kern="1200">
            <a:solidFill>
              <a:sysClr val="windowText" lastClr="000000">
                <a:hueOff val="0"/>
                <a:satOff val="0"/>
                <a:lumOff val="0"/>
                <a:alphaOff val="0"/>
              </a:sysClr>
            </a:solidFill>
            <a:latin typeface="Calibri"/>
            <a:ea typeface="+mn-ea"/>
            <a:cs typeface="Arial" panose="020B0604020202020204" pitchFamily="34" charset="0"/>
          </a:endParaRPr>
        </a:p>
        <a:p>
          <a:pPr marL="114300" lvl="1" indent="-114300" algn="r" defTabSz="533400" rtl="1">
            <a:lnSpc>
              <a:spcPct val="90000"/>
            </a:lnSpc>
            <a:spcBef>
              <a:spcPct val="0"/>
            </a:spcBef>
            <a:spcAft>
              <a:spcPct val="15000"/>
            </a:spcAft>
            <a:buChar char="•"/>
          </a:pPr>
          <a:r>
            <a:rPr lang="he-IL" sz="1200" kern="1200">
              <a:solidFill>
                <a:sysClr val="windowText" lastClr="000000">
                  <a:hueOff val="0"/>
                  <a:satOff val="0"/>
                  <a:lumOff val="0"/>
                  <a:alphaOff val="0"/>
                </a:sysClr>
              </a:solidFill>
              <a:latin typeface="David" panose="020E0502060401010101" pitchFamily="34" charset="-79"/>
              <a:ea typeface="+mn-ea"/>
              <a:cs typeface="David" panose="020E0502060401010101" pitchFamily="34" charset="-79"/>
            </a:rPr>
            <a:t>משל"ט (כולל מעקב אחרי הפיתוח והשיווק)</a:t>
          </a:r>
          <a:endParaRPr lang="he-IL" sz="1200" kern="1200">
            <a:solidFill>
              <a:sysClr val="windowText" lastClr="000000">
                <a:hueOff val="0"/>
                <a:satOff val="0"/>
                <a:lumOff val="0"/>
                <a:alphaOff val="0"/>
              </a:sysClr>
            </a:solidFill>
            <a:latin typeface="Calibri"/>
            <a:ea typeface="+mn-ea"/>
            <a:cs typeface="Arial" panose="020B0604020202020204" pitchFamily="34" charset="0"/>
          </a:endParaRPr>
        </a:p>
      </dsp:txBody>
      <dsp:txXfrm rot="-5400000">
        <a:off x="742559" y="1748116"/>
        <a:ext cx="4191565" cy="62219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3DD27E7-73A7-4DD4-B3E8-1B94D41D0FE4}">
  <ds:schemaRefs>
    <ds:schemaRef ds:uri="http://schemas.openxmlformats.org/officeDocument/2006/bibliography"/>
  </ds:schemaRefs>
</ds:datastoreItem>
</file>

<file path=customXml/itemProps2.xml><?xml version="1.0" encoding="utf-8"?>
<ds:datastoreItem xmlns:ds="http://schemas.openxmlformats.org/officeDocument/2006/customXml" ds:itemID="{77353FA7-7CF1-47A0-8C7D-790F2AE19E9B}"/>
</file>

<file path=customXml/itemProps3.xml><?xml version="1.0" encoding="utf-8"?>
<ds:datastoreItem xmlns:ds="http://schemas.openxmlformats.org/officeDocument/2006/customXml" ds:itemID="{7B5FF6C8-47C7-413F-966E-157CF1787EDB}"/>
</file>

<file path=customXml/itemProps4.xml><?xml version="1.0" encoding="utf-8"?>
<ds:datastoreItem xmlns:ds="http://schemas.openxmlformats.org/officeDocument/2006/customXml" ds:itemID="{A9F468D0-CC28-4E1E-BE3A-368A8DF34D11}"/>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14</TotalTime>
  <Pages>44</Pages>
  <Words>9717</Words>
  <Characters>48589</Characters>
  <Application>Microsoft Office Word</Application>
  <DocSecurity>0</DocSecurity>
  <Lines>404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newscorpio44</dc:creator>
  <cp:lastModifiedBy>scorpio 88</cp:lastModifiedBy>
  <cp:revision>10</cp:revision>
  <cp:lastPrinted>2020-02-23T08:43:00Z</cp:lastPrinted>
  <dcterms:created xsi:type="dcterms:W3CDTF">2020-03-28T14:54:00Z</dcterms:created>
  <dcterms:modified xsi:type="dcterms:W3CDTF">2020-04-30T18:05:00Z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