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drawings/drawing3.xml" ContentType="application/vnd.openxmlformats-officedocument.drawingml.chartshapes+xml"/>
  <Override PartName="/word/drawings/drawing2.xml" ContentType="application/vnd.openxmlformats-officedocument.drawingml.chartshapes+xml"/>
  <Override PartName="/word/drawings/drawing1.xml" ContentType="application/vnd.openxmlformats-officedocument.drawingml.chartshape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tl/>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0552CBEE" w14:textId="1CC9E0E0" w:rsidR="00084E3A" w:rsidRDefault="00996CBA" w:rsidP="00737520">
      <w:pPr>
        <w:pStyle w:val="121"/>
        <w:rPr>
          <w:rtl/>
        </w:rPr>
      </w:pPr>
      <w:r>
        <w:rPr>
          <w:rFonts w:hint="cs"/>
          <w:rtl/>
        </w:rPr>
        <w:t>ה</w:t>
      </w:r>
      <w:r w:rsidR="00F368B6">
        <w:rPr>
          <w:rFonts w:hint="cs"/>
          <w:rtl/>
        </w:rPr>
        <w:t>מאבק בפשיעה באמצעות</w:t>
      </w:r>
      <w:r w:rsidR="00F368B6">
        <w:rPr>
          <w:rtl/>
        </w:rPr>
        <w:br/>
      </w:r>
      <w:r w:rsidR="00F368B6">
        <w:rPr>
          <w:rFonts w:hint="cs"/>
          <w:rtl/>
        </w:rPr>
        <w:t>אכיפה כלכלית וחילוטים</w:t>
      </w:r>
    </w:p>
    <w:p w14:paraId="6413AC08" w14:textId="77777777" w:rsidR="00E35DF9" w:rsidRDefault="00E35DF9" w:rsidP="008D2388">
      <w:pPr>
        <w:spacing w:line="240" w:lineRule="atLeast"/>
        <w:jc w:val="center"/>
        <w:rPr>
          <w:rFonts w:ascii="Tahoma" w:hAnsi="Tahoma" w:cs="Tahoma"/>
          <w:sz w:val="22"/>
          <w:szCs w:val="22"/>
          <w:rtl/>
        </w:rPr>
      </w:pPr>
    </w:p>
    <w:p w14:paraId="781158A7" w14:textId="77777777" w:rsidR="00E35DF9" w:rsidRDefault="00E35DF9" w:rsidP="008D2388">
      <w:pPr>
        <w:spacing w:line="240" w:lineRule="atLeast"/>
        <w:jc w:val="center"/>
        <w:rPr>
          <w:rFonts w:ascii="Tahoma" w:hAnsi="Tahoma" w:cs="Tahoma"/>
          <w:sz w:val="22"/>
          <w:szCs w:val="22"/>
          <w:rtl/>
        </w:rPr>
      </w:pPr>
    </w:p>
    <w:p w14:paraId="558D2462" w14:textId="77777777" w:rsidR="00E35DF9" w:rsidRDefault="00E35DF9" w:rsidP="008D2388">
      <w:pPr>
        <w:spacing w:line="240" w:lineRule="atLeast"/>
        <w:jc w:val="center"/>
        <w:rPr>
          <w:rFonts w:ascii="Tahoma" w:hAnsi="Tahoma" w:cs="Tahoma"/>
          <w:sz w:val="22"/>
          <w:szCs w:val="22"/>
          <w:rtl/>
        </w:rPr>
      </w:pPr>
    </w:p>
    <w:p w14:paraId="466C6320" w14:textId="77777777" w:rsidR="00E35DF9" w:rsidRDefault="00E35DF9" w:rsidP="008D2388">
      <w:pPr>
        <w:spacing w:line="240" w:lineRule="atLeast"/>
        <w:jc w:val="center"/>
        <w:rPr>
          <w:rFonts w:ascii="Tahoma" w:hAnsi="Tahoma" w:cs="Tahoma"/>
          <w:sz w:val="22"/>
          <w:szCs w:val="22"/>
          <w:rtl/>
        </w:rPr>
      </w:pPr>
    </w:p>
    <w:p w14:paraId="3F249126" w14:textId="77777777" w:rsidR="00E35DF9" w:rsidRDefault="00E35DF9" w:rsidP="008D2388">
      <w:pPr>
        <w:spacing w:line="240" w:lineRule="atLeast"/>
        <w:jc w:val="center"/>
        <w:rPr>
          <w:rFonts w:ascii="Tahoma" w:hAnsi="Tahoma" w:cs="Tahoma"/>
          <w:sz w:val="22"/>
          <w:szCs w:val="22"/>
          <w:rtl/>
        </w:rPr>
      </w:pPr>
    </w:p>
    <w:p w14:paraId="14C75337" w14:textId="7435F8EB" w:rsidR="00E35DF9" w:rsidRDefault="00E35DF9" w:rsidP="008D2388">
      <w:pPr>
        <w:spacing w:line="240" w:lineRule="atLeast"/>
        <w:jc w:val="center"/>
        <w:rPr>
          <w:rFonts w:ascii="Tahoma" w:hAnsi="Tahoma" w:cs="Tahoma"/>
          <w:sz w:val="22"/>
          <w:szCs w:val="22"/>
          <w:rtl/>
        </w:rPr>
      </w:pPr>
    </w:p>
    <w:p w14:paraId="559B55DE" w14:textId="433A0149" w:rsidR="00E35DF9" w:rsidRDefault="00E35DF9" w:rsidP="008D2388">
      <w:pPr>
        <w:spacing w:line="240" w:lineRule="atLeast"/>
        <w:jc w:val="center"/>
        <w:rPr>
          <w:rFonts w:ascii="Tahoma" w:hAnsi="Tahoma" w:cs="Tahoma"/>
          <w:sz w:val="22"/>
          <w:szCs w:val="22"/>
          <w:rtl/>
        </w:rPr>
      </w:pPr>
    </w:p>
    <w:p w14:paraId="23502CFB" w14:textId="55DA5C65" w:rsidR="00E35DF9" w:rsidRDefault="00E35DF9" w:rsidP="008D2388">
      <w:pPr>
        <w:spacing w:line="240" w:lineRule="atLeast"/>
        <w:jc w:val="center"/>
        <w:rPr>
          <w:rFonts w:ascii="Tahoma" w:hAnsi="Tahoma" w:cs="Tahoma"/>
          <w:sz w:val="22"/>
          <w:szCs w:val="22"/>
          <w:rtl/>
        </w:rPr>
      </w:pPr>
    </w:p>
    <w:p w14:paraId="351765E9" w14:textId="5DAD5F9A" w:rsidR="00E35DF9" w:rsidRDefault="00E35DF9" w:rsidP="008D2388">
      <w:pPr>
        <w:spacing w:line="240" w:lineRule="atLeast"/>
        <w:jc w:val="center"/>
        <w:rPr>
          <w:rFonts w:ascii="Tahoma" w:hAnsi="Tahoma" w:cs="Tahoma"/>
          <w:sz w:val="22"/>
          <w:szCs w:val="22"/>
          <w:rtl/>
        </w:rPr>
      </w:pPr>
    </w:p>
    <w:p w14:paraId="5F398D7B" w14:textId="3DF58F29" w:rsidR="00E35DF9" w:rsidRDefault="00E35DF9" w:rsidP="008D2388">
      <w:pPr>
        <w:spacing w:line="240" w:lineRule="atLeast"/>
        <w:jc w:val="center"/>
        <w:rPr>
          <w:rFonts w:ascii="Tahoma" w:hAnsi="Tahoma" w:cs="Tahoma"/>
          <w:sz w:val="22"/>
          <w:szCs w:val="22"/>
          <w:rtl/>
        </w:rPr>
      </w:pPr>
    </w:p>
    <w:p w14:paraId="1081EBD1" w14:textId="6340752F" w:rsidR="00E35DF9" w:rsidRDefault="00E35DF9"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392A6494" w14:textId="77777777" w:rsidR="0029359E" w:rsidRDefault="0029359E" w:rsidP="0029359E">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157CE776"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45B8ED51">
            <wp:extent cx="5219999" cy="68452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9999" cy="6845253"/>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5A0BA4A9"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3E435EA3">
            <wp:extent cx="5219999" cy="68452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19999" cy="6845253"/>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6DC23125"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2EACEC0D">
            <wp:extent cx="5219552" cy="6319157"/>
            <wp:effectExtent l="0" t="0" r="63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1461" cy="6321468"/>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71660301"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159F2436">
            <wp:extent cx="5220000" cy="603262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0000" cy="6032627"/>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73C275F3" w14:textId="2409C55B" w:rsidR="006D5CCE" w:rsidRPr="003F48CD" w:rsidRDefault="002415FE" w:rsidP="00BD16D6">
      <w:pPr>
        <w:pStyle w:val="121"/>
        <w:rPr>
          <w:rtl/>
        </w:rPr>
      </w:pPr>
      <w:r>
        <w:rPr>
          <w:rFonts w:hint="cs"/>
          <w:rtl/>
        </w:rPr>
        <w:lastRenderedPageBreak/>
        <w:t>ה</w:t>
      </w:r>
      <w:r w:rsidR="00F368B6">
        <w:rPr>
          <w:rFonts w:hint="cs"/>
          <w:rtl/>
        </w:rPr>
        <w:t>מאבק בפשיעה באמצעות</w:t>
      </w:r>
      <w:r w:rsidR="00F368B6">
        <w:rPr>
          <w:rtl/>
        </w:rPr>
        <w:br/>
      </w:r>
      <w:r w:rsidR="00F368B6">
        <w:rPr>
          <w:rFonts w:hint="cs"/>
          <w:rtl/>
        </w:rPr>
        <w:t>אכיפה כלכלית וחילוטים</w:t>
      </w:r>
    </w:p>
    <w:p w14:paraId="6924D494" w14:textId="77777777" w:rsidR="006D5CCE" w:rsidRPr="001C72B2" w:rsidRDefault="006D5CCE" w:rsidP="006D5CCE">
      <w:pPr>
        <w:pStyle w:val="316"/>
        <w:rPr>
          <w:bCs/>
          <w:rtl/>
        </w:rPr>
      </w:pPr>
      <w:r w:rsidRPr="001C72B2">
        <w:rPr>
          <w:rtl/>
        </w:rPr>
        <w:t>מבוא</w:t>
      </w:r>
    </w:p>
    <w:p w14:paraId="524A7952" w14:textId="6A9C1F42" w:rsidR="00F368B6" w:rsidRPr="00CF4FB8" w:rsidRDefault="00F368B6" w:rsidP="00F368B6">
      <w:pPr>
        <w:pStyle w:val="a0"/>
        <w:rPr>
          <w:rtl/>
        </w:rPr>
      </w:pPr>
      <w:bookmarkStart w:id="0" w:name="copyNevSelection"/>
      <w:r w:rsidRPr="00CF4FB8">
        <w:rPr>
          <w:rtl/>
        </w:rPr>
        <w:t>ב</w:t>
      </w:r>
      <w:r w:rsidRPr="00CF4FB8">
        <w:rPr>
          <w:rFonts w:hint="cs"/>
          <w:rtl/>
        </w:rPr>
        <w:t>שני ה</w:t>
      </w:r>
      <w:r w:rsidRPr="00CF4FB8">
        <w:rPr>
          <w:rtl/>
        </w:rPr>
        <w:t>עשור</w:t>
      </w:r>
      <w:r w:rsidRPr="00CF4FB8">
        <w:rPr>
          <w:rFonts w:hint="cs"/>
          <w:rtl/>
        </w:rPr>
        <w:t>ים</w:t>
      </w:r>
      <w:r w:rsidRPr="00CF4FB8">
        <w:rPr>
          <w:rtl/>
        </w:rPr>
        <w:t xml:space="preserve"> האחרו</w:t>
      </w:r>
      <w:r w:rsidRPr="00CF4FB8">
        <w:rPr>
          <w:rFonts w:hint="cs"/>
          <w:rtl/>
        </w:rPr>
        <w:t xml:space="preserve">נים </w:t>
      </w:r>
      <w:r w:rsidRPr="00CF4FB8">
        <w:rPr>
          <w:rtl/>
        </w:rPr>
        <w:t xml:space="preserve">התחזקה </w:t>
      </w:r>
      <w:r w:rsidRPr="00CF4FB8">
        <w:rPr>
          <w:rFonts w:hint="cs"/>
          <w:rtl/>
        </w:rPr>
        <w:t>בקרב רשויות האכיפה בארץ ובעולם התפיסה שלפיה לא די במשפט הפלילי ובעונשי המאסר והקנס המוטלים במסגרתו,</w:t>
      </w:r>
      <w:r w:rsidRPr="00CF4FB8">
        <w:rPr>
          <w:rtl/>
        </w:rPr>
        <w:t xml:space="preserve"> </w:t>
      </w:r>
      <w:r w:rsidRPr="00CF4FB8">
        <w:rPr>
          <w:rFonts w:hint="cs"/>
          <w:rtl/>
        </w:rPr>
        <w:t xml:space="preserve">כדי להילחם בפשיעה על כל סוגיה, ובפרט ביחס למאבק בפשיעה החמורה ובפשיעה המאורגנת. על רקע זה התגבש המתווה של אכיפה כלכלית שמטרתה העיקרית לשלול את טובת ההנאה הכספית שצמחה לעבריין מביצוע העבירה. </w:t>
      </w:r>
    </w:p>
    <w:p w14:paraId="0DF8E225" w14:textId="2D742A6D" w:rsidR="00F368B6" w:rsidRPr="000B5A81" w:rsidRDefault="00F368B6" w:rsidP="00F368B6">
      <w:pPr>
        <w:pStyle w:val="af0"/>
        <w:rPr>
          <w:rtl/>
        </w:rPr>
      </w:pPr>
      <w:r w:rsidRPr="000B5A81">
        <w:rPr>
          <w:rFonts w:hint="cs"/>
          <w:rtl/>
        </w:rPr>
        <w:t xml:space="preserve">בשנת 2006 החליטה ממשלת ישראל שיש </w:t>
      </w:r>
      <w:r>
        <w:rPr>
          <w:rFonts w:hint="cs"/>
          <w:rtl/>
        </w:rPr>
        <w:t>להעצים</w:t>
      </w:r>
      <w:r w:rsidRPr="000B5A81">
        <w:rPr>
          <w:rFonts w:hint="cs"/>
          <w:rtl/>
        </w:rPr>
        <w:t xml:space="preserve"> את המאבק בפשיעה החמורה ובפשיעה המאורגנת ובתוצריהן</w:t>
      </w:r>
      <w:r>
        <w:rPr>
          <w:rFonts w:hint="cs"/>
          <w:rtl/>
        </w:rPr>
        <w:t xml:space="preserve">, </w:t>
      </w:r>
      <w:r w:rsidRPr="000B5A81">
        <w:rPr>
          <w:rFonts w:hint="cs"/>
          <w:rtl/>
        </w:rPr>
        <w:t>באמצעות שילוב כוחות של הגורמים המקצועיים הנוגעים בדבר</w:t>
      </w:r>
      <w:r>
        <w:rPr>
          <w:rFonts w:hint="cs"/>
          <w:rtl/>
        </w:rPr>
        <w:t xml:space="preserve"> (להלן- החלטת הממשלה)</w:t>
      </w:r>
      <w:r>
        <w:rPr>
          <w:vertAlign w:val="superscript"/>
          <w:rtl/>
        </w:rPr>
        <w:footnoteReference w:id="1"/>
      </w:r>
      <w:r w:rsidRPr="000B5A81">
        <w:rPr>
          <w:rFonts w:hint="cs"/>
          <w:rtl/>
        </w:rPr>
        <w:t>. לשם כך הוקמו פורומים משותפים לג</w:t>
      </w:r>
      <w:r>
        <w:rPr>
          <w:rFonts w:hint="cs"/>
          <w:rtl/>
        </w:rPr>
        <w:t xml:space="preserve">ורמי </w:t>
      </w:r>
      <w:r w:rsidRPr="000B5A81">
        <w:rPr>
          <w:rFonts w:hint="cs"/>
          <w:rtl/>
        </w:rPr>
        <w:t>האכיפה</w:t>
      </w:r>
      <w:r>
        <w:rPr>
          <w:rFonts w:hint="cs"/>
          <w:rtl/>
        </w:rPr>
        <w:t xml:space="preserve"> (להלן גם - גופי האכיפה)</w:t>
      </w:r>
      <w:r w:rsidRPr="000B5A81">
        <w:rPr>
          <w:rFonts w:hint="cs"/>
          <w:rtl/>
        </w:rPr>
        <w:t>, ובכלל זה משטרת ישראל</w:t>
      </w:r>
      <w:r>
        <w:rPr>
          <w:rFonts w:hint="cs"/>
          <w:rtl/>
        </w:rPr>
        <w:t xml:space="preserve"> (להלן - המשטרה)</w:t>
      </w:r>
      <w:r w:rsidRPr="000B5A81">
        <w:rPr>
          <w:rFonts w:hint="cs"/>
          <w:rtl/>
        </w:rPr>
        <w:t>, פרקליטות המדינה</w:t>
      </w:r>
      <w:r>
        <w:rPr>
          <w:rFonts w:hint="cs"/>
          <w:rtl/>
        </w:rPr>
        <w:t xml:space="preserve"> </w:t>
      </w:r>
      <w:r w:rsidRPr="000B5A81">
        <w:rPr>
          <w:rFonts w:hint="cs"/>
          <w:rtl/>
        </w:rPr>
        <w:t>(להלן גם - הפרקליטות), האפוטרופוס הכללי והכונס הרשמי (להלן</w:t>
      </w:r>
      <w:r>
        <w:rPr>
          <w:rFonts w:hint="cs"/>
          <w:rtl/>
        </w:rPr>
        <w:t xml:space="preserve"> </w:t>
      </w:r>
      <w:r w:rsidRPr="000B5A81">
        <w:rPr>
          <w:rFonts w:hint="cs"/>
          <w:rtl/>
        </w:rPr>
        <w:t>-</w:t>
      </w:r>
      <w:r>
        <w:rPr>
          <w:rFonts w:hint="cs"/>
          <w:rtl/>
        </w:rPr>
        <w:t xml:space="preserve"> האפ"כ), </w:t>
      </w:r>
      <w:r w:rsidRPr="000B5A81">
        <w:rPr>
          <w:rFonts w:hint="cs"/>
          <w:rtl/>
        </w:rPr>
        <w:t>רשות המיסים</w:t>
      </w:r>
      <w:r>
        <w:rPr>
          <w:rFonts w:hint="cs"/>
          <w:rtl/>
        </w:rPr>
        <w:t xml:space="preserve"> בישראל (להלן - רשות המיסים)</w:t>
      </w:r>
      <w:r w:rsidRPr="000B5A81">
        <w:rPr>
          <w:rFonts w:hint="cs"/>
          <w:rtl/>
        </w:rPr>
        <w:t xml:space="preserve"> </w:t>
      </w:r>
      <w:r>
        <w:rPr>
          <w:rFonts w:hint="cs"/>
          <w:rtl/>
        </w:rPr>
        <w:t>ו</w:t>
      </w:r>
      <w:r w:rsidRPr="000B5A81">
        <w:rPr>
          <w:rFonts w:hint="cs"/>
          <w:rtl/>
        </w:rPr>
        <w:t>הרשות ל</w:t>
      </w:r>
      <w:r>
        <w:rPr>
          <w:rFonts w:hint="cs"/>
          <w:rtl/>
        </w:rPr>
        <w:t>איסור הלבנת הון (להלן - רשלא"ה).</w:t>
      </w:r>
    </w:p>
    <w:p w14:paraId="7D2AEB50" w14:textId="34DE5708" w:rsidR="00F368B6" w:rsidRDefault="00F368B6" w:rsidP="00F368B6">
      <w:pPr>
        <w:pStyle w:val="af0"/>
        <w:rPr>
          <w:rtl/>
        </w:rPr>
      </w:pPr>
      <w:r w:rsidRPr="000B5A81">
        <w:rPr>
          <w:rtl/>
        </w:rPr>
        <w:t>ב</w:t>
      </w:r>
      <w:r>
        <w:rPr>
          <w:rFonts w:hint="cs"/>
          <w:rtl/>
        </w:rPr>
        <w:t>דצמבר 2018 הצטרפה ישראל ל</w:t>
      </w:r>
      <w:r w:rsidRPr="000B5A81">
        <w:rPr>
          <w:rtl/>
        </w:rPr>
        <w:t xml:space="preserve">ארגון </w:t>
      </w:r>
      <w:r>
        <w:rPr>
          <w:rFonts w:hint="cs"/>
          <w:rtl/>
        </w:rPr>
        <w:t>ה</w:t>
      </w:r>
      <w:r w:rsidRPr="000B5A81">
        <w:rPr>
          <w:rtl/>
        </w:rPr>
        <w:t xml:space="preserve">בין-לאומי </w:t>
      </w:r>
      <w:r w:rsidRPr="00B53523">
        <w:rPr>
          <w:rFonts w:cs="Times New Roman"/>
        </w:rPr>
        <w:t>Financial Action Task Force</w:t>
      </w:r>
      <w:r w:rsidRPr="000B5A81">
        <w:rPr>
          <w:rFonts w:hint="cs"/>
          <w:rtl/>
        </w:rPr>
        <w:t xml:space="preserve"> (להלן -</w:t>
      </w:r>
      <w:r>
        <w:rPr>
          <w:rFonts w:hint="cs"/>
          <w:rtl/>
        </w:rPr>
        <w:t xml:space="preserve"> </w:t>
      </w:r>
      <w:r w:rsidRPr="00B53523">
        <w:rPr>
          <w:rFonts w:cs="Times New Roman"/>
        </w:rPr>
        <w:t>FATF</w:t>
      </w:r>
      <w:r w:rsidRPr="000B5A81">
        <w:rPr>
          <w:rFonts w:hint="cs"/>
          <w:rtl/>
        </w:rPr>
        <w:t>)</w:t>
      </w:r>
      <w:r>
        <w:rPr>
          <w:rFonts w:hint="cs"/>
          <w:rtl/>
        </w:rPr>
        <w:t>, שחברים בו שני ארגונים אזוריים</w:t>
      </w:r>
      <w:r w:rsidR="001D56A2">
        <w:rPr>
          <w:rFonts w:hint="cs"/>
          <w:rtl/>
        </w:rPr>
        <w:t xml:space="preserve"> ו-37 מדינות</w:t>
      </w:r>
      <w:r>
        <w:rPr>
          <w:rFonts w:hint="cs"/>
          <w:rtl/>
        </w:rPr>
        <w:t xml:space="preserve">, והוא </w:t>
      </w:r>
      <w:r w:rsidRPr="000B5A81">
        <w:rPr>
          <w:rFonts w:hint="cs"/>
          <w:rtl/>
        </w:rPr>
        <w:t xml:space="preserve">מרכז את המאבק בתופעות הלבנת </w:t>
      </w:r>
      <w:r>
        <w:rPr>
          <w:rFonts w:hint="cs"/>
          <w:rtl/>
        </w:rPr>
        <w:t>ה</w:t>
      </w:r>
      <w:r w:rsidRPr="000B5A81">
        <w:rPr>
          <w:rFonts w:hint="cs"/>
          <w:rtl/>
        </w:rPr>
        <w:t>הון</w:t>
      </w:r>
      <w:r>
        <w:rPr>
          <w:rFonts w:hint="cs"/>
          <w:rtl/>
        </w:rPr>
        <w:t xml:space="preserve">. הלבנת הון </w:t>
      </w:r>
      <w:r w:rsidRPr="00A265F3">
        <w:rPr>
          <w:rtl/>
        </w:rPr>
        <w:t>היא עשיית פעולות שמטרתן להטמיע רכוש ש</w:t>
      </w:r>
      <w:r>
        <w:rPr>
          <w:rFonts w:hint="cs"/>
          <w:rtl/>
        </w:rPr>
        <w:t>מקורו</w:t>
      </w:r>
      <w:r w:rsidRPr="00A265F3">
        <w:rPr>
          <w:rtl/>
        </w:rPr>
        <w:t xml:space="preserve"> בפעילות עבריינית ברכוש בעל אופי </w:t>
      </w:r>
      <w:r>
        <w:rPr>
          <w:rFonts w:hint="cs"/>
          <w:rtl/>
        </w:rPr>
        <w:t>חוקי וכשר</w:t>
      </w:r>
      <w:r w:rsidRPr="00A265F3">
        <w:rPr>
          <w:rtl/>
        </w:rPr>
        <w:t>, כך שלא ניתן יהיה להתחקות אחר מקורו</w:t>
      </w:r>
      <w:r>
        <w:rPr>
          <w:rFonts w:hint="cs"/>
          <w:rtl/>
        </w:rPr>
        <w:t xml:space="preserve"> הבלתי חוקי. ה-</w:t>
      </w:r>
      <w:r w:rsidR="001D56A2" w:rsidRPr="001D56A2">
        <w:rPr>
          <w:rFonts w:cs="Times New Roman"/>
        </w:rPr>
        <w:t xml:space="preserve"> FATF</w:t>
      </w:r>
      <w:r>
        <w:rPr>
          <w:rFonts w:hint="cs"/>
          <w:rtl/>
        </w:rPr>
        <w:t xml:space="preserve">הוקם על רקע ההבנה שהמלחמה בהלבנת הון היא צעד אסטרטגי עיקרי במאבק </w:t>
      </w:r>
      <w:r w:rsidRPr="000B5A81">
        <w:rPr>
          <w:rtl/>
        </w:rPr>
        <w:t>בפשע המאורגן</w:t>
      </w:r>
      <w:r>
        <w:rPr>
          <w:rFonts w:hint="cs"/>
          <w:rtl/>
        </w:rPr>
        <w:t>,</w:t>
      </w:r>
      <w:r w:rsidRPr="000B5A81">
        <w:rPr>
          <w:rtl/>
        </w:rPr>
        <w:t xml:space="preserve"> בעיקר בתחום הסמים, ההימורים והסחר בבני אדם</w:t>
      </w:r>
      <w:r>
        <w:rPr>
          <w:rFonts w:hint="cs"/>
          <w:rtl/>
        </w:rPr>
        <w:t>,</w:t>
      </w:r>
      <w:r w:rsidRPr="000B5A81">
        <w:rPr>
          <w:rtl/>
        </w:rPr>
        <w:t xml:space="preserve"> </w:t>
      </w:r>
      <w:r>
        <w:rPr>
          <w:rFonts w:hint="cs"/>
          <w:rtl/>
        </w:rPr>
        <w:t>וכי נדרש שיתוף פעולה בין-לאומי כדי להצליח בכך. ישראל ביקשה להצטרף לארגון מתוך אותה הכרה בחשיבות המאבק בהלבנת הון</w:t>
      </w:r>
      <w:r w:rsidRPr="00B53523">
        <w:rPr>
          <w:rFonts w:ascii="David" w:hAnsi="David"/>
          <w:vertAlign w:val="superscript"/>
        </w:rPr>
        <w:footnoteReference w:id="2"/>
      </w:r>
      <w:r>
        <w:rPr>
          <w:rFonts w:hint="cs"/>
          <w:rtl/>
        </w:rPr>
        <w:t xml:space="preserve">, והדבר התאפשר </w:t>
      </w:r>
      <w:r w:rsidRPr="000B5A81">
        <w:rPr>
          <w:rtl/>
        </w:rPr>
        <w:t>לאחר ש</w:t>
      </w:r>
      <w:r w:rsidRPr="000B5A81">
        <w:rPr>
          <w:rFonts w:hint="cs"/>
          <w:rtl/>
        </w:rPr>
        <w:t xml:space="preserve">עמדה בהצלחה </w:t>
      </w:r>
      <w:r>
        <w:rPr>
          <w:rFonts w:hint="cs"/>
          <w:rtl/>
        </w:rPr>
        <w:t>ב</w:t>
      </w:r>
      <w:r w:rsidRPr="000B5A81">
        <w:rPr>
          <w:rFonts w:hint="cs"/>
          <w:rtl/>
        </w:rPr>
        <w:t>ביקורת בי</w:t>
      </w:r>
      <w:r>
        <w:rPr>
          <w:rFonts w:hint="cs"/>
          <w:rtl/>
        </w:rPr>
        <w:t>ן-</w:t>
      </w:r>
      <w:r w:rsidRPr="000B5A81">
        <w:rPr>
          <w:rFonts w:hint="cs"/>
          <w:rtl/>
        </w:rPr>
        <w:t>לאומית</w:t>
      </w:r>
      <w:r>
        <w:rPr>
          <w:rFonts w:hint="cs"/>
          <w:rtl/>
        </w:rPr>
        <w:t xml:space="preserve"> מקיפה</w:t>
      </w:r>
      <w:r w:rsidRPr="000B5A81">
        <w:rPr>
          <w:rFonts w:hint="cs"/>
          <w:rtl/>
        </w:rPr>
        <w:t xml:space="preserve"> </w:t>
      </w:r>
      <w:r w:rsidRPr="000B5A81">
        <w:rPr>
          <w:rtl/>
        </w:rPr>
        <w:t>מטעם ה</w:t>
      </w:r>
      <w:r w:rsidRPr="001D56A2">
        <w:rPr>
          <w:rFonts w:cs="Times New Roman"/>
        </w:rPr>
        <w:t>FATF</w:t>
      </w:r>
      <w:r w:rsidRPr="000B5A81">
        <w:t>-</w:t>
      </w:r>
      <w:r w:rsidRPr="000B5A81">
        <w:rPr>
          <w:rtl/>
        </w:rPr>
        <w:t xml:space="preserve"> ש</w:t>
      </w:r>
      <w:r>
        <w:rPr>
          <w:rFonts w:hint="cs"/>
          <w:rtl/>
        </w:rPr>
        <w:t xml:space="preserve">ערך הארגון בישראל ושבה נבחנה </w:t>
      </w:r>
      <w:r w:rsidRPr="000B5A81">
        <w:rPr>
          <w:rtl/>
        </w:rPr>
        <w:t xml:space="preserve">עמידתה בתנאי </w:t>
      </w:r>
      <w:r w:rsidRPr="000B5A81">
        <w:rPr>
          <w:rtl/>
        </w:rPr>
        <w:lastRenderedPageBreak/>
        <w:t>הסף</w:t>
      </w:r>
      <w:r>
        <w:rPr>
          <w:rFonts w:hint="cs"/>
          <w:rtl/>
        </w:rPr>
        <w:t xml:space="preserve"> המאפשרים שיתוף פעולה בתחום</w:t>
      </w:r>
      <w:r w:rsidRPr="000B5A81">
        <w:rPr>
          <w:rFonts w:hint="cs"/>
          <w:rtl/>
        </w:rPr>
        <w:t xml:space="preserve">. ישראל דורגה כאחת </w:t>
      </w:r>
      <w:r w:rsidRPr="000B5A81">
        <w:rPr>
          <w:rtl/>
        </w:rPr>
        <w:t>משלוש המדינות האפקטיביות</w:t>
      </w:r>
      <w:r w:rsidRPr="000B5A81">
        <w:rPr>
          <w:rFonts w:hint="cs"/>
          <w:rtl/>
        </w:rPr>
        <w:t xml:space="preserve"> </w:t>
      </w:r>
      <w:r w:rsidRPr="000B5A81">
        <w:rPr>
          <w:rtl/>
        </w:rPr>
        <w:t>בעולם ביישום משטר</w:t>
      </w:r>
      <w:r w:rsidRPr="000B5A81">
        <w:rPr>
          <w:rFonts w:hint="cs"/>
          <w:rtl/>
        </w:rPr>
        <w:t xml:space="preserve"> איסור הלבנת הון</w:t>
      </w:r>
      <w:r w:rsidRPr="000B5A81">
        <w:rPr>
          <w:rtl/>
        </w:rPr>
        <w:t xml:space="preserve">, אחרי </w:t>
      </w:r>
      <w:r>
        <w:rPr>
          <w:rFonts w:hint="cs"/>
          <w:rtl/>
        </w:rPr>
        <w:t>ארצות הברית</w:t>
      </w:r>
      <w:r w:rsidRPr="000B5A81">
        <w:rPr>
          <w:rtl/>
        </w:rPr>
        <w:t xml:space="preserve"> ובריטניה</w:t>
      </w:r>
      <w:r>
        <w:rPr>
          <w:vertAlign w:val="superscript"/>
          <w:rtl/>
        </w:rPr>
        <w:footnoteReference w:id="3"/>
      </w:r>
      <w:r w:rsidRPr="000B5A81">
        <w:rPr>
          <w:rtl/>
        </w:rPr>
        <w:t>.</w:t>
      </w:r>
      <w:r w:rsidRPr="000B5A81">
        <w:rPr>
          <w:rFonts w:hint="cs"/>
          <w:rtl/>
        </w:rPr>
        <w:t xml:space="preserve"> </w:t>
      </w:r>
    </w:p>
    <w:p w14:paraId="73943254" w14:textId="77777777" w:rsidR="00F368B6" w:rsidRPr="000B5A81" w:rsidRDefault="00F368B6" w:rsidP="00F368B6">
      <w:pPr>
        <w:pStyle w:val="af0"/>
        <w:rPr>
          <w:rtl/>
        </w:rPr>
      </w:pPr>
      <w:r w:rsidRPr="000B5A81">
        <w:rPr>
          <w:rtl/>
        </w:rPr>
        <w:t>על פי מדד "באזל"</w:t>
      </w:r>
      <w:r>
        <w:rPr>
          <w:vertAlign w:val="superscript"/>
          <w:rtl/>
        </w:rPr>
        <w:footnoteReference w:id="4"/>
      </w:r>
      <w:r w:rsidRPr="000B5A81">
        <w:rPr>
          <w:rtl/>
        </w:rPr>
        <w:t xml:space="preserve"> ישראל מדורג</w:t>
      </w:r>
      <w:r w:rsidRPr="000B5A81">
        <w:rPr>
          <w:rFonts w:hint="cs"/>
          <w:rtl/>
        </w:rPr>
        <w:t>ת</w:t>
      </w:r>
      <w:r w:rsidRPr="000B5A81">
        <w:rPr>
          <w:rtl/>
        </w:rPr>
        <w:t xml:space="preserve"> במקום ה</w:t>
      </w:r>
      <w:r w:rsidRPr="000B5A81">
        <w:rPr>
          <w:rFonts w:hint="cs"/>
          <w:rtl/>
        </w:rPr>
        <w:t>-</w:t>
      </w:r>
      <w:r w:rsidRPr="000B5A81">
        <w:rPr>
          <w:rtl/>
        </w:rPr>
        <w:t>137 מתוך 146 מדינות ברמת הסיכון להלבנת הון, כלומר, היא אחת מ</w:t>
      </w:r>
      <w:r>
        <w:rPr>
          <w:rFonts w:hint="cs"/>
          <w:rtl/>
        </w:rPr>
        <w:t>עשר</w:t>
      </w:r>
      <w:r w:rsidRPr="000B5A81">
        <w:rPr>
          <w:rtl/>
        </w:rPr>
        <w:t xml:space="preserve"> המדינות בעלות הסיכון הנמוך ביותר להלבנת הון. מ</w:t>
      </w:r>
      <w:r>
        <w:rPr>
          <w:rFonts w:hint="cs"/>
          <w:rtl/>
        </w:rPr>
        <w:t>ה</w:t>
      </w:r>
      <w:r w:rsidRPr="000B5A81">
        <w:rPr>
          <w:rtl/>
        </w:rPr>
        <w:t xml:space="preserve">בחינה </w:t>
      </w:r>
      <w:r>
        <w:rPr>
          <w:rFonts w:hint="cs"/>
          <w:rtl/>
        </w:rPr>
        <w:t>ה</w:t>
      </w:r>
      <w:r w:rsidRPr="000B5A81">
        <w:rPr>
          <w:rtl/>
        </w:rPr>
        <w:t xml:space="preserve">גיאוגרפית, ישראל מדורגת בסיכון הנמוך ביותר באזור המזרח התיכון וצפון אפריקה </w:t>
      </w:r>
      <w:r>
        <w:rPr>
          <w:rFonts w:hint="cs"/>
          <w:rtl/>
        </w:rPr>
        <w:t>ש</w:t>
      </w:r>
      <w:r w:rsidRPr="000B5A81">
        <w:rPr>
          <w:rtl/>
        </w:rPr>
        <w:t>אליו היא משויכת במדד</w:t>
      </w:r>
      <w:r w:rsidRPr="00B53523">
        <w:rPr>
          <w:rFonts w:ascii="David" w:hAnsi="David"/>
          <w:vertAlign w:val="superscript"/>
        </w:rPr>
        <w:footnoteReference w:id="5"/>
      </w:r>
      <w:r w:rsidRPr="000B5A81">
        <w:rPr>
          <w:rFonts w:hint="cs"/>
          <w:rtl/>
        </w:rPr>
        <w:t>.</w:t>
      </w:r>
    </w:p>
    <w:p w14:paraId="32820CAF" w14:textId="77777777" w:rsidR="00F368B6" w:rsidRPr="000B5A81" w:rsidRDefault="00F368B6" w:rsidP="00F368B6">
      <w:pPr>
        <w:pStyle w:val="af0"/>
        <w:rPr>
          <w:rtl/>
        </w:rPr>
      </w:pPr>
      <w:r w:rsidRPr="000B5A81">
        <w:rPr>
          <w:rtl/>
        </w:rPr>
        <w:t xml:space="preserve">אחד הכלים שנמצאו אפקטיביים </w:t>
      </w:r>
      <w:r w:rsidRPr="000B5A81">
        <w:rPr>
          <w:rFonts w:hint="cs"/>
          <w:rtl/>
        </w:rPr>
        <w:t>באכיפה כלכלית</w:t>
      </w:r>
      <w:r w:rsidRPr="000B5A81">
        <w:rPr>
          <w:rtl/>
        </w:rPr>
        <w:t xml:space="preserve"> הוא </w:t>
      </w:r>
      <w:r w:rsidRPr="000B5A81">
        <w:rPr>
          <w:rFonts w:hint="cs"/>
          <w:rtl/>
        </w:rPr>
        <w:t>ה</w:t>
      </w:r>
      <w:r w:rsidRPr="000B5A81">
        <w:rPr>
          <w:rtl/>
        </w:rPr>
        <w:t>חילוט</w:t>
      </w:r>
      <w:r>
        <w:rPr>
          <w:rFonts w:hint="cs"/>
          <w:rtl/>
        </w:rPr>
        <w:t xml:space="preserve">, שמשמעותו שלילת </w:t>
      </w:r>
      <w:r w:rsidRPr="000B5A81">
        <w:rPr>
          <w:rFonts w:hint="cs"/>
          <w:rtl/>
        </w:rPr>
        <w:t xml:space="preserve">רכוש שבשליטת העבריין </w:t>
      </w:r>
      <w:r>
        <w:rPr>
          <w:rFonts w:hint="cs"/>
          <w:rtl/>
        </w:rPr>
        <w:t>והעברתו לקניין</w:t>
      </w:r>
      <w:r w:rsidRPr="000B5A81">
        <w:rPr>
          <w:rFonts w:hint="cs"/>
          <w:rtl/>
        </w:rPr>
        <w:t xml:space="preserve"> המדינה בצו שיפוטי. </w:t>
      </w:r>
      <w:r w:rsidRPr="000B5A81">
        <w:rPr>
          <w:rtl/>
        </w:rPr>
        <w:t>שלילת הרכוש כשלעצמה</w:t>
      </w:r>
      <w:r>
        <w:rPr>
          <w:rFonts w:hint="cs"/>
          <w:rtl/>
        </w:rPr>
        <w:t xml:space="preserve"> היא</w:t>
      </w:r>
      <w:r w:rsidRPr="000B5A81">
        <w:rPr>
          <w:rtl/>
        </w:rPr>
        <w:t xml:space="preserve"> אמצעי רב</w:t>
      </w:r>
      <w:r>
        <w:rPr>
          <w:rFonts w:hint="cs"/>
          <w:rtl/>
        </w:rPr>
        <w:t>-</w:t>
      </w:r>
      <w:r w:rsidRPr="000B5A81">
        <w:rPr>
          <w:rtl/>
        </w:rPr>
        <w:t>עוצמה במסגרת המלחמה בפשיעה. לעיתים המסר הנורמטיבי שמועבר באמצעות הליך החילוט חזק עוד יותר מן המסר המועבר באמצעות ההליך הפלילי לעצמו</w:t>
      </w:r>
      <w:r w:rsidRPr="00B53523">
        <w:rPr>
          <w:rFonts w:ascii="David" w:hAnsi="David"/>
          <w:vertAlign w:val="superscript"/>
        </w:rPr>
        <w:footnoteReference w:id="6"/>
      </w:r>
      <w:r w:rsidRPr="000B5A81">
        <w:rPr>
          <w:rFonts w:hint="cs"/>
          <w:rtl/>
        </w:rPr>
        <w:t>.</w:t>
      </w:r>
    </w:p>
    <w:p w14:paraId="610D0A3A" w14:textId="77777777" w:rsidR="00F368B6" w:rsidRPr="000B5A81" w:rsidRDefault="00F368B6" w:rsidP="00F368B6">
      <w:pPr>
        <w:pStyle w:val="af0"/>
        <w:rPr>
          <w:rtl/>
        </w:rPr>
      </w:pPr>
      <w:r>
        <w:rPr>
          <w:rFonts w:hint="cs"/>
          <w:rtl/>
        </w:rPr>
        <w:t>סמכות החילוט מוגבלת ככלל לרכוש בעל זיקה ישירה לעבירה. הסמכות מבוססת על כמה עילות, תוך הבחנה בין נכסים ששימשו כאמצעים לביצוע עבירה לבין נכסים שהם תקבולי עבירה</w:t>
      </w:r>
      <w:r>
        <w:rPr>
          <w:rStyle w:val="FootnoteReference"/>
          <w:rFonts w:asciiTheme="minorBidi" w:hAnsiTheme="minorBidi"/>
          <w:sz w:val="24"/>
          <w:rtl/>
        </w:rPr>
        <w:footnoteReference w:id="7"/>
      </w:r>
      <w:r>
        <w:rPr>
          <w:rFonts w:hint="cs"/>
          <w:rtl/>
        </w:rPr>
        <w:t xml:space="preserve">. כל עילה משקפת תכלית אחת או יותר, </w:t>
      </w:r>
      <w:r w:rsidRPr="000B5A81">
        <w:rPr>
          <w:rFonts w:hint="cs"/>
          <w:rtl/>
        </w:rPr>
        <w:t>ובהן פגיעה</w:t>
      </w:r>
      <w:r w:rsidRPr="000B5A81">
        <w:rPr>
          <w:rtl/>
        </w:rPr>
        <w:t xml:space="preserve"> בתמריץ של העבריין לעבור עבירה</w:t>
      </w:r>
      <w:r w:rsidRPr="000B5A81">
        <w:rPr>
          <w:rFonts w:hint="cs"/>
          <w:rtl/>
        </w:rPr>
        <w:t xml:space="preserve"> </w:t>
      </w:r>
      <w:r>
        <w:rPr>
          <w:rFonts w:hint="cs"/>
          <w:rtl/>
        </w:rPr>
        <w:t>על ידי שלילת הריווח שצבר ממעשיו הפליליים, תכלית קניינית לפיה החילוט נועד ל</w:t>
      </w:r>
      <w:r w:rsidRPr="000B5A81">
        <w:rPr>
          <w:rtl/>
        </w:rPr>
        <w:t>"הוצאת בלעו של גזלן מפיו"</w:t>
      </w:r>
      <w:r w:rsidRPr="00B53523">
        <w:rPr>
          <w:rFonts w:ascii="David" w:hAnsi="David"/>
          <w:vertAlign w:val="superscript"/>
        </w:rPr>
        <w:footnoteReference w:id="8"/>
      </w:r>
      <w:r>
        <w:rPr>
          <w:rFonts w:hint="cs"/>
          <w:rtl/>
        </w:rPr>
        <w:t xml:space="preserve"> - והשבת כספי הציבור לקופת המדינה, ו</w:t>
      </w:r>
      <w:r w:rsidRPr="000B5A81">
        <w:rPr>
          <w:rFonts w:hint="cs"/>
          <w:rtl/>
        </w:rPr>
        <w:t>מניעת</w:t>
      </w:r>
      <w:r w:rsidRPr="000B5A81">
        <w:rPr>
          <w:rtl/>
        </w:rPr>
        <w:t xml:space="preserve"> שימוש חוזר במשאבים בלתי לגיטימיים על ידי הוצאתם ממחזור הכספים הלגיטימי</w:t>
      </w:r>
      <w:r>
        <w:rPr>
          <w:rStyle w:val="FootnoteReference"/>
          <w:rtl/>
        </w:rPr>
        <w:footnoteReference w:id="9"/>
      </w:r>
      <w:r>
        <w:rPr>
          <w:rFonts w:hint="cs"/>
          <w:rtl/>
        </w:rPr>
        <w:t>.</w:t>
      </w:r>
    </w:p>
    <w:p w14:paraId="6EB051B8" w14:textId="77777777" w:rsidR="00F368B6" w:rsidRPr="00B53523" w:rsidRDefault="00F368B6" w:rsidP="00F368B6">
      <w:pPr>
        <w:pStyle w:val="a0"/>
        <w:rPr>
          <w:rFonts w:asciiTheme="minorBidi" w:hAnsiTheme="minorBidi"/>
          <w:rtl/>
        </w:rPr>
      </w:pPr>
      <w:r w:rsidRPr="00B53523">
        <w:rPr>
          <w:rFonts w:asciiTheme="minorBidi" w:hAnsiTheme="minorBidi" w:hint="eastAsia"/>
          <w:rtl/>
        </w:rPr>
        <w:t>שלילת</w:t>
      </w:r>
      <w:r w:rsidRPr="00B53523">
        <w:rPr>
          <w:rFonts w:asciiTheme="minorBidi" w:hAnsiTheme="minorBidi"/>
          <w:rtl/>
        </w:rPr>
        <w:t xml:space="preserve"> הרכוש נעשית בצו שיפוטי בסוף הליך שנוהל בבית משפט. עם זאת, כדי </w:t>
      </w:r>
      <w:r w:rsidRPr="00B53523">
        <w:rPr>
          <w:rFonts w:hint="eastAsia"/>
          <w:rtl/>
        </w:rPr>
        <w:t>לשמור</w:t>
      </w:r>
      <w:r w:rsidRPr="00B53523">
        <w:rPr>
          <w:rtl/>
        </w:rPr>
        <w:t xml:space="preserve"> </w:t>
      </w:r>
      <w:r w:rsidRPr="00B53523">
        <w:rPr>
          <w:rFonts w:hint="eastAsia"/>
          <w:rtl/>
        </w:rPr>
        <w:t>על</w:t>
      </w:r>
      <w:r w:rsidRPr="00B53523">
        <w:rPr>
          <w:rtl/>
        </w:rPr>
        <w:t xml:space="preserve"> </w:t>
      </w:r>
      <w:r w:rsidRPr="00B53523">
        <w:rPr>
          <w:rFonts w:hint="eastAsia"/>
          <w:rtl/>
        </w:rPr>
        <w:t>מצבת</w:t>
      </w:r>
      <w:r w:rsidRPr="00B53523">
        <w:rPr>
          <w:rtl/>
        </w:rPr>
        <w:t xml:space="preserve"> </w:t>
      </w:r>
      <w:r w:rsidRPr="00B53523">
        <w:rPr>
          <w:rFonts w:hint="eastAsia"/>
          <w:rtl/>
        </w:rPr>
        <w:t>הנכסים</w:t>
      </w:r>
      <w:r w:rsidRPr="00B53523">
        <w:rPr>
          <w:rtl/>
        </w:rPr>
        <w:t xml:space="preserve"> </w:t>
      </w:r>
      <w:r w:rsidRPr="00B53523">
        <w:rPr>
          <w:rFonts w:hint="eastAsia"/>
          <w:rtl/>
        </w:rPr>
        <w:t>כמות</w:t>
      </w:r>
      <w:r w:rsidRPr="00B53523">
        <w:rPr>
          <w:rtl/>
        </w:rPr>
        <w:t xml:space="preserve"> </w:t>
      </w:r>
      <w:r w:rsidRPr="00B53523">
        <w:rPr>
          <w:rFonts w:hint="eastAsia"/>
          <w:rtl/>
        </w:rPr>
        <w:t>שהיא</w:t>
      </w:r>
      <w:r w:rsidRPr="00B53523">
        <w:rPr>
          <w:rtl/>
        </w:rPr>
        <w:t xml:space="preserve">, </w:t>
      </w:r>
      <w:r w:rsidRPr="00B53523">
        <w:rPr>
          <w:rFonts w:hint="eastAsia"/>
          <w:rtl/>
        </w:rPr>
        <w:t>כך</w:t>
      </w:r>
      <w:r w:rsidRPr="00B53523">
        <w:rPr>
          <w:rtl/>
        </w:rPr>
        <w:t xml:space="preserve"> </w:t>
      </w:r>
      <w:r w:rsidRPr="00B53523">
        <w:rPr>
          <w:rFonts w:hint="eastAsia"/>
          <w:rtl/>
        </w:rPr>
        <w:t>שניתן</w:t>
      </w:r>
      <w:r w:rsidRPr="00B53523">
        <w:rPr>
          <w:rtl/>
        </w:rPr>
        <w:t xml:space="preserve"> </w:t>
      </w:r>
      <w:r w:rsidRPr="00B53523">
        <w:rPr>
          <w:rFonts w:hint="eastAsia"/>
          <w:rtl/>
        </w:rPr>
        <w:t>יהיה</w:t>
      </w:r>
      <w:r w:rsidRPr="00B53523">
        <w:rPr>
          <w:rtl/>
        </w:rPr>
        <w:t xml:space="preserve"> </w:t>
      </w:r>
      <w:r w:rsidRPr="00B53523">
        <w:rPr>
          <w:rFonts w:hint="eastAsia"/>
          <w:rtl/>
        </w:rPr>
        <w:t>לבצע</w:t>
      </w:r>
      <w:r w:rsidRPr="00B53523">
        <w:rPr>
          <w:rtl/>
        </w:rPr>
        <w:t xml:space="preserve"> </w:t>
      </w:r>
      <w:r w:rsidRPr="00B53523">
        <w:rPr>
          <w:rFonts w:hint="eastAsia"/>
          <w:rtl/>
        </w:rPr>
        <w:t>חילוט</w:t>
      </w:r>
      <w:r w:rsidRPr="00B53523">
        <w:rPr>
          <w:rtl/>
        </w:rPr>
        <w:t xml:space="preserve"> </w:t>
      </w:r>
      <w:r w:rsidRPr="00B53523">
        <w:rPr>
          <w:rFonts w:hint="eastAsia"/>
          <w:rtl/>
        </w:rPr>
        <w:t>בבוא</w:t>
      </w:r>
      <w:r w:rsidRPr="00B53523">
        <w:rPr>
          <w:rtl/>
        </w:rPr>
        <w:t xml:space="preserve"> </w:t>
      </w:r>
      <w:r w:rsidRPr="00B53523">
        <w:rPr>
          <w:rFonts w:hint="eastAsia"/>
          <w:rtl/>
        </w:rPr>
        <w:t>העת</w:t>
      </w:r>
      <w:r w:rsidRPr="00B53523">
        <w:rPr>
          <w:rtl/>
        </w:rPr>
        <w:t xml:space="preserve">, </w:t>
      </w:r>
      <w:r w:rsidRPr="00B53523">
        <w:rPr>
          <w:rFonts w:hint="eastAsia"/>
          <w:rtl/>
        </w:rPr>
        <w:t>עם</w:t>
      </w:r>
      <w:r w:rsidRPr="00B53523">
        <w:rPr>
          <w:rtl/>
        </w:rPr>
        <w:t xml:space="preserve"> </w:t>
      </w:r>
      <w:r w:rsidRPr="00B53523">
        <w:rPr>
          <w:rFonts w:hint="eastAsia"/>
          <w:rtl/>
        </w:rPr>
        <w:t>ההכרעה</w:t>
      </w:r>
      <w:r w:rsidRPr="00B53523">
        <w:rPr>
          <w:rtl/>
        </w:rPr>
        <w:t xml:space="preserve"> </w:t>
      </w:r>
      <w:r w:rsidRPr="00B53523">
        <w:rPr>
          <w:rFonts w:hint="eastAsia"/>
          <w:rtl/>
        </w:rPr>
        <w:t>הסופית</w:t>
      </w:r>
      <w:r>
        <w:rPr>
          <w:rFonts w:hint="cs"/>
          <w:rtl/>
        </w:rPr>
        <w:t xml:space="preserve"> בהליך</w:t>
      </w:r>
      <w:r w:rsidRPr="00B53523">
        <w:rPr>
          <w:rtl/>
        </w:rPr>
        <w:t xml:space="preserve">, </w:t>
      </w:r>
      <w:r w:rsidRPr="00B53523">
        <w:rPr>
          <w:rFonts w:hint="eastAsia"/>
          <w:rtl/>
        </w:rPr>
        <w:t>מאפשר</w:t>
      </w:r>
      <w:r w:rsidRPr="00B53523">
        <w:rPr>
          <w:rtl/>
        </w:rPr>
        <w:t xml:space="preserve"> </w:t>
      </w:r>
      <w:r w:rsidRPr="00B53523">
        <w:rPr>
          <w:rFonts w:hint="eastAsia"/>
          <w:rtl/>
        </w:rPr>
        <w:t>הדין</w:t>
      </w:r>
      <w:r w:rsidRPr="00B53523">
        <w:rPr>
          <w:rtl/>
        </w:rPr>
        <w:t xml:space="preserve"> </w:t>
      </w:r>
      <w:r w:rsidRPr="00B53523">
        <w:rPr>
          <w:rFonts w:hint="eastAsia"/>
          <w:rtl/>
        </w:rPr>
        <w:t>בישראל</w:t>
      </w:r>
      <w:r w:rsidRPr="00B53523">
        <w:rPr>
          <w:rFonts w:asciiTheme="minorBidi" w:hAnsiTheme="minorBidi"/>
          <w:rtl/>
        </w:rPr>
        <w:t xml:space="preserve"> </w:t>
      </w:r>
      <w:r w:rsidRPr="00B53523">
        <w:rPr>
          <w:rFonts w:hint="eastAsia"/>
          <w:rtl/>
        </w:rPr>
        <w:t>לתפוס</w:t>
      </w:r>
      <w:r w:rsidRPr="00B53523">
        <w:rPr>
          <w:rtl/>
        </w:rPr>
        <w:t xml:space="preserve"> </w:t>
      </w:r>
      <w:r w:rsidRPr="00B53523">
        <w:rPr>
          <w:rFonts w:hint="eastAsia"/>
          <w:rtl/>
        </w:rPr>
        <w:t>רכוש</w:t>
      </w:r>
      <w:r w:rsidRPr="00B53523">
        <w:rPr>
          <w:rtl/>
        </w:rPr>
        <w:t xml:space="preserve"> </w:t>
      </w:r>
      <w:r w:rsidRPr="00B53523">
        <w:rPr>
          <w:rFonts w:hint="eastAsia"/>
          <w:rtl/>
        </w:rPr>
        <w:t>באופן</w:t>
      </w:r>
      <w:r w:rsidRPr="00B53523">
        <w:rPr>
          <w:rtl/>
        </w:rPr>
        <w:t xml:space="preserve"> </w:t>
      </w:r>
      <w:r w:rsidRPr="00B53523">
        <w:rPr>
          <w:rFonts w:hint="eastAsia"/>
          <w:rtl/>
        </w:rPr>
        <w:t>זמני</w:t>
      </w:r>
      <w:r w:rsidRPr="00B53523">
        <w:rPr>
          <w:rtl/>
        </w:rPr>
        <w:t xml:space="preserve"> </w:t>
      </w:r>
      <w:r w:rsidRPr="00B53523">
        <w:rPr>
          <w:rFonts w:hint="eastAsia"/>
          <w:rtl/>
        </w:rPr>
        <w:t>כבר</w:t>
      </w:r>
      <w:r w:rsidRPr="00B53523">
        <w:rPr>
          <w:rtl/>
        </w:rPr>
        <w:t xml:space="preserve"> </w:t>
      </w:r>
      <w:r w:rsidRPr="00B53523">
        <w:rPr>
          <w:rFonts w:hint="eastAsia"/>
          <w:rtl/>
        </w:rPr>
        <w:t>בשלב</w:t>
      </w:r>
      <w:r w:rsidRPr="00B53523">
        <w:rPr>
          <w:rtl/>
        </w:rPr>
        <w:t xml:space="preserve"> </w:t>
      </w:r>
      <w:r w:rsidRPr="00B53523">
        <w:rPr>
          <w:rFonts w:hint="eastAsia"/>
          <w:rtl/>
        </w:rPr>
        <w:t>החקירה</w:t>
      </w:r>
      <w:r>
        <w:rPr>
          <w:rtl/>
        </w:rPr>
        <w:t xml:space="preserve"> </w:t>
      </w:r>
      <w:r w:rsidRPr="00B53523">
        <w:rPr>
          <w:rtl/>
        </w:rPr>
        <w:t xml:space="preserve">והחזקתו, בכפוף לצו לסעד זמני לחילוט, </w:t>
      </w:r>
      <w:r w:rsidRPr="00B53523">
        <w:rPr>
          <w:rFonts w:hint="eastAsia"/>
          <w:rtl/>
        </w:rPr>
        <w:t>עד</w:t>
      </w:r>
      <w:r w:rsidRPr="00B53523">
        <w:rPr>
          <w:rtl/>
        </w:rPr>
        <w:t xml:space="preserve"> </w:t>
      </w:r>
      <w:r w:rsidRPr="00B53523">
        <w:rPr>
          <w:rFonts w:hint="eastAsia"/>
          <w:rtl/>
        </w:rPr>
        <w:t>ההכרעה</w:t>
      </w:r>
      <w:r w:rsidRPr="00B53523">
        <w:rPr>
          <w:rtl/>
        </w:rPr>
        <w:t xml:space="preserve"> בהליך המשפטי (להלן - תפיסה או תפיסה זמנית). </w:t>
      </w:r>
    </w:p>
    <w:p w14:paraId="7F091E7D" w14:textId="0186FD7B" w:rsidR="00F368B6" w:rsidRDefault="00F368B6" w:rsidP="001C08DC">
      <w:pPr>
        <w:pStyle w:val="af0"/>
        <w:rPr>
          <w:rtl/>
        </w:rPr>
      </w:pPr>
      <w:r w:rsidRPr="000B5A81">
        <w:rPr>
          <w:rFonts w:hint="cs"/>
          <w:rtl/>
        </w:rPr>
        <w:t>עם סיום שלב החקירה</w:t>
      </w:r>
      <w:r>
        <w:rPr>
          <w:rFonts w:hint="cs"/>
          <w:rtl/>
        </w:rPr>
        <w:t>, שיכול והחלה כחקירה</w:t>
      </w:r>
      <w:r w:rsidRPr="000B5A81">
        <w:rPr>
          <w:rFonts w:hint="cs"/>
          <w:rtl/>
        </w:rPr>
        <w:t xml:space="preserve"> </w:t>
      </w:r>
      <w:r>
        <w:rPr>
          <w:rFonts w:hint="cs"/>
          <w:rtl/>
        </w:rPr>
        <w:t>סמויה</w:t>
      </w:r>
      <w:r>
        <w:rPr>
          <w:vertAlign w:val="superscript"/>
          <w:rtl/>
        </w:rPr>
        <w:footnoteReference w:id="10"/>
      </w:r>
      <w:r>
        <w:rPr>
          <w:rFonts w:hint="cs"/>
          <w:rtl/>
        </w:rPr>
        <w:t xml:space="preserve">, </w:t>
      </w:r>
      <w:r w:rsidRPr="000B5A81">
        <w:rPr>
          <w:rFonts w:hint="cs"/>
          <w:rtl/>
        </w:rPr>
        <w:t>מועבר תיק החקירה לגוף התביעה הרלוונטי</w:t>
      </w:r>
      <w:r>
        <w:rPr>
          <w:rFonts w:hint="cs"/>
          <w:rtl/>
        </w:rPr>
        <w:t>,</w:t>
      </w:r>
      <w:r w:rsidRPr="000B5A81">
        <w:rPr>
          <w:rFonts w:hint="cs"/>
          <w:rtl/>
        </w:rPr>
        <w:t xml:space="preserve"> </w:t>
      </w:r>
      <w:r>
        <w:rPr>
          <w:rFonts w:hint="cs"/>
          <w:rtl/>
        </w:rPr>
        <w:t>והוא</w:t>
      </w:r>
      <w:r w:rsidRPr="000B5A81">
        <w:rPr>
          <w:rFonts w:hint="cs"/>
          <w:rtl/>
        </w:rPr>
        <w:t xml:space="preserve"> מחליט אם יש מקום להגיש כתב אישום בתיק. </w:t>
      </w:r>
      <w:r>
        <w:rPr>
          <w:rFonts w:hint="cs"/>
          <w:rtl/>
        </w:rPr>
        <w:t xml:space="preserve">כדי להאריך את תוקף תפיסת </w:t>
      </w:r>
      <w:r>
        <w:rPr>
          <w:rFonts w:hint="cs"/>
          <w:rtl/>
        </w:rPr>
        <w:lastRenderedPageBreak/>
        <w:t xml:space="preserve">הרכוש </w:t>
      </w:r>
      <w:r w:rsidR="00912A99">
        <w:rPr>
          <w:rFonts w:hint="cs"/>
          <w:rtl/>
        </w:rPr>
        <w:t>עד</w:t>
      </w:r>
      <w:r>
        <w:rPr>
          <w:rFonts w:hint="cs"/>
          <w:rtl/>
        </w:rPr>
        <w:t xml:space="preserve"> תום ההליך המשפטי, לצד</w:t>
      </w:r>
      <w:r w:rsidRPr="000B5A81">
        <w:rPr>
          <w:rFonts w:hint="cs"/>
          <w:rtl/>
        </w:rPr>
        <w:t xml:space="preserve"> כתב האישום מגישה התביעה בקשה לחילוט ז</w:t>
      </w:r>
      <w:r>
        <w:rPr>
          <w:rFonts w:hint="cs"/>
          <w:rtl/>
        </w:rPr>
        <w:t>מני של הרכוש, ו</w:t>
      </w:r>
      <w:r w:rsidRPr="000B5A81">
        <w:rPr>
          <w:rFonts w:hint="cs"/>
          <w:rtl/>
        </w:rPr>
        <w:t xml:space="preserve">החלטת בית המשפט בבקשה זו מתקבלת בצו </w:t>
      </w:r>
      <w:r>
        <w:rPr>
          <w:rFonts w:hint="cs"/>
          <w:rtl/>
        </w:rPr>
        <w:t>לסעד זמני לחילוט</w:t>
      </w:r>
      <w:r w:rsidRPr="000B5A81">
        <w:rPr>
          <w:rFonts w:hint="cs"/>
          <w:rtl/>
        </w:rPr>
        <w:t>.</w:t>
      </w:r>
    </w:p>
    <w:p w14:paraId="0676D8E4" w14:textId="77777777" w:rsidR="00F368B6" w:rsidRDefault="00F368B6" w:rsidP="001C08DC">
      <w:pPr>
        <w:pStyle w:val="af0"/>
        <w:rPr>
          <w:rtl/>
        </w:rPr>
      </w:pPr>
      <w:r w:rsidRPr="000B5A81">
        <w:rPr>
          <w:rFonts w:hint="cs"/>
          <w:rtl/>
        </w:rPr>
        <w:t>צו חילוט סופי ניתן במסגרת גזר הדין</w:t>
      </w:r>
      <w:r>
        <w:rPr>
          <w:rFonts w:hint="cs"/>
          <w:rtl/>
        </w:rPr>
        <w:t>,</w:t>
      </w:r>
      <w:r w:rsidRPr="000B5A81">
        <w:rPr>
          <w:rFonts w:hint="cs"/>
          <w:rtl/>
        </w:rPr>
        <w:t xml:space="preserve"> ובכך הופך צו החילוט הזמני ל</w:t>
      </w:r>
      <w:r>
        <w:rPr>
          <w:rFonts w:hint="cs"/>
          <w:rtl/>
        </w:rPr>
        <w:t xml:space="preserve">צו </w:t>
      </w:r>
      <w:r w:rsidRPr="000B5A81">
        <w:rPr>
          <w:rFonts w:hint="cs"/>
          <w:rtl/>
        </w:rPr>
        <w:t>סופי הניתן למימוש על ידי המדינה</w:t>
      </w:r>
      <w:r>
        <w:rPr>
          <w:rFonts w:hint="cs"/>
          <w:rtl/>
        </w:rPr>
        <w:t xml:space="preserve"> -</w:t>
      </w:r>
      <w:r w:rsidRPr="000B5A81">
        <w:rPr>
          <w:rFonts w:hint="cs"/>
          <w:rtl/>
        </w:rPr>
        <w:t xml:space="preserve"> אם בהעברת התמורה לאוצר המדינה, ואם בהעברת התמורה לאחת מקרנות החילוט הקבועות בחוק</w:t>
      </w:r>
      <w:r>
        <w:rPr>
          <w:vertAlign w:val="superscript"/>
          <w:rtl/>
        </w:rPr>
        <w:footnoteReference w:id="11"/>
      </w:r>
      <w:r w:rsidRPr="000B5A81">
        <w:rPr>
          <w:rFonts w:hint="cs"/>
          <w:rtl/>
        </w:rPr>
        <w:t xml:space="preserve">. </w:t>
      </w:r>
    </w:p>
    <w:p w14:paraId="6767F0B0" w14:textId="6E826D82" w:rsidR="00F368B6" w:rsidRDefault="00F368B6" w:rsidP="001C08DC">
      <w:pPr>
        <w:pStyle w:val="af0"/>
        <w:rPr>
          <w:rtl/>
        </w:rPr>
      </w:pPr>
      <w:r>
        <w:rPr>
          <w:rFonts w:hint="cs"/>
          <w:rtl/>
        </w:rPr>
        <w:t>להלן בתרשים 1 מוצג הליך שלילת הרכוש הנלווה להליך הפלילי, למן שלב התפיסה הזמנית, ועד להכרעה שיפוטית וכלה במימוש הרכוש שחולט.</w:t>
      </w:r>
    </w:p>
    <w:p w14:paraId="01944EAE" w14:textId="1CB00752" w:rsidR="00D30B3B" w:rsidRPr="00D30B3B" w:rsidRDefault="00D30B3B" w:rsidP="00D30B3B">
      <w:pPr>
        <w:pStyle w:val="a6"/>
        <w:rPr>
          <w:rFonts w:eastAsia="Times New Roman"/>
          <w:b/>
          <w:bCs/>
          <w:spacing w:val="-8"/>
          <w:rtl/>
        </w:rPr>
      </w:pPr>
      <w:r>
        <w:rPr>
          <w:noProof/>
        </w:rPr>
        <w:drawing>
          <wp:anchor distT="0" distB="0" distL="114300" distR="114300" simplePos="0" relativeHeight="251674624" behindDoc="0" locked="0" layoutInCell="1" allowOverlap="1" wp14:anchorId="6063A090" wp14:editId="160825B9">
            <wp:simplePos x="0" y="0"/>
            <wp:positionH relativeFrom="column">
              <wp:posOffset>-289560</wp:posOffset>
            </wp:positionH>
            <wp:positionV relativeFrom="paragraph">
              <wp:posOffset>317500</wp:posOffset>
            </wp:positionV>
            <wp:extent cx="5505450" cy="2811780"/>
            <wp:effectExtent l="0" t="0" r="0" b="7620"/>
            <wp:wrapTopAndBottom/>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78" t="18621" r="508" b="6937"/>
                    <a:stretch/>
                  </pic:blipFill>
                  <pic:spPr bwMode="auto">
                    <a:xfrm>
                      <a:off x="0" y="0"/>
                      <a:ext cx="5505450" cy="281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0B3B">
        <w:rPr>
          <w:rFonts w:eastAsia="Times New Roman" w:hint="eastAsia"/>
          <w:spacing w:val="-10"/>
          <w:rtl/>
        </w:rPr>
        <w:t>תרשים</w:t>
      </w:r>
      <w:r w:rsidRPr="00D30B3B">
        <w:rPr>
          <w:rFonts w:eastAsia="Times New Roman"/>
          <w:spacing w:val="-10"/>
          <w:rtl/>
        </w:rPr>
        <w:t xml:space="preserve"> </w:t>
      </w:r>
      <w:r w:rsidRPr="00D30B3B">
        <w:rPr>
          <w:rFonts w:eastAsia="Times New Roman" w:hint="cs"/>
          <w:spacing w:val="-10"/>
          <w:rtl/>
        </w:rPr>
        <w:t>1:</w:t>
      </w:r>
      <w:r w:rsidRPr="00D30B3B">
        <w:rPr>
          <w:rFonts w:eastAsia="Times New Roman"/>
          <w:spacing w:val="-10"/>
          <w:rtl/>
        </w:rPr>
        <w:t xml:space="preserve"> </w:t>
      </w:r>
      <w:r w:rsidRPr="00D30B3B">
        <w:rPr>
          <w:rFonts w:eastAsia="Times New Roman" w:hint="cs"/>
          <w:b/>
          <w:bCs/>
          <w:spacing w:val="-8"/>
          <w:rtl/>
        </w:rPr>
        <w:t>הליך שלילת הרכוש מהתפיסה ועד למימוש הרכוש שחולט הנלווה להליך הפלילי</w:t>
      </w:r>
    </w:p>
    <w:p w14:paraId="2C84E6BB" w14:textId="4CC71ECA" w:rsidR="00D30B3B" w:rsidRDefault="00D30B3B" w:rsidP="001C08DC">
      <w:pPr>
        <w:pStyle w:val="af0"/>
        <w:rPr>
          <w:rtl/>
        </w:rPr>
      </w:pPr>
    </w:p>
    <w:p w14:paraId="4C7A30B9" w14:textId="77777777" w:rsidR="00F368B6" w:rsidRDefault="00F368B6" w:rsidP="001C08DC">
      <w:pPr>
        <w:pStyle w:val="af0"/>
        <w:rPr>
          <w:rtl/>
        </w:rPr>
      </w:pPr>
      <w:r>
        <w:rPr>
          <w:rFonts w:hint="cs"/>
          <w:rtl/>
        </w:rPr>
        <w:t>גופי האכיפה מתקשים לתפוס רכוש שקשור במישרין לביצוע עבירה, נוכח שיטות הלבנת ההון שהולכות ונעשות מתוחכמות יותר. כדי להתמודד עם קושי זה קובע חוק איסור הלבנת הון</w:t>
      </w:r>
      <w:r w:rsidRPr="00D20CEA">
        <w:rPr>
          <w:rFonts w:hint="cs"/>
          <w:rtl/>
        </w:rPr>
        <w:t>, התש"ס-</w:t>
      </w:r>
      <w:r>
        <w:rPr>
          <w:rFonts w:hint="cs"/>
          <w:rtl/>
        </w:rPr>
        <w:t xml:space="preserve">2000 </w:t>
      </w:r>
      <w:r w:rsidRPr="000B5A81">
        <w:rPr>
          <w:rFonts w:hint="cs"/>
          <w:rtl/>
        </w:rPr>
        <w:t xml:space="preserve">(להלן - </w:t>
      </w:r>
      <w:r>
        <w:rPr>
          <w:rFonts w:hint="cs"/>
          <w:rtl/>
        </w:rPr>
        <w:t xml:space="preserve">חוק איסור הלבנת הון), לגבי עבירות לפיו, כי ניתן לחלט </w:t>
      </w:r>
      <w:r w:rsidRPr="00D20CEA">
        <w:rPr>
          <w:rFonts w:hint="cs"/>
          <w:rtl/>
        </w:rPr>
        <w:t>רכוש "בשווי"</w:t>
      </w:r>
      <w:r>
        <w:rPr>
          <w:rFonts w:hint="cs"/>
          <w:rtl/>
        </w:rPr>
        <w:t>,</w:t>
      </w:r>
      <w:r w:rsidRPr="00D20CEA">
        <w:rPr>
          <w:rFonts w:hint="cs"/>
          <w:rtl/>
        </w:rPr>
        <w:t xml:space="preserve"> כלומר, א</w:t>
      </w:r>
      <w:r w:rsidRPr="00D20CEA">
        <w:rPr>
          <w:rtl/>
        </w:rPr>
        <w:t xml:space="preserve">ין צורך שלרכוש המחולט יהיה קשר לביצוע העבירה, </w:t>
      </w:r>
      <w:r w:rsidRPr="00D20CEA">
        <w:rPr>
          <w:rFonts w:hint="cs"/>
          <w:rtl/>
        </w:rPr>
        <w:t xml:space="preserve">אלא </w:t>
      </w:r>
      <w:r w:rsidRPr="00D20CEA">
        <w:rPr>
          <w:rtl/>
        </w:rPr>
        <w:t>ניתן לחלט רכוש אחר</w:t>
      </w:r>
      <w:r w:rsidRPr="00D20CEA">
        <w:rPr>
          <w:rFonts w:hint="cs"/>
          <w:rtl/>
        </w:rPr>
        <w:t xml:space="preserve">, </w:t>
      </w:r>
      <w:r w:rsidRPr="00D20CEA">
        <w:rPr>
          <w:rtl/>
        </w:rPr>
        <w:t>כשר וחוקי, ובלבד שהוא שווה ערך לרכוש הקשור בעבירה</w:t>
      </w:r>
      <w:r w:rsidRPr="00946808">
        <w:rPr>
          <w:vertAlign w:val="superscript"/>
          <w:rtl/>
        </w:rPr>
        <w:footnoteReference w:id="12"/>
      </w:r>
      <w:r w:rsidRPr="00D20CEA">
        <w:rPr>
          <w:rFonts w:hint="cs"/>
          <w:rtl/>
        </w:rPr>
        <w:t>.</w:t>
      </w:r>
    </w:p>
    <w:p w14:paraId="11DDBF70" w14:textId="54A5BC73" w:rsidR="00F368B6" w:rsidRDefault="007A50C6" w:rsidP="001C08DC">
      <w:pPr>
        <w:pStyle w:val="af0"/>
        <w:rPr>
          <w:rtl/>
        </w:rPr>
      </w:pPr>
      <w:r w:rsidRPr="000B5A81">
        <w:rPr>
          <w:rFonts w:hint="cs"/>
          <w:rtl/>
        </w:rPr>
        <w:t xml:space="preserve">יחידת החילוט פועלת </w:t>
      </w:r>
      <w:r w:rsidR="00F368B6" w:rsidRPr="000B5A81">
        <w:rPr>
          <w:rFonts w:hint="cs"/>
          <w:rtl/>
        </w:rPr>
        <w:t xml:space="preserve">תחת </w:t>
      </w:r>
      <w:r w:rsidR="00F368B6">
        <w:rPr>
          <w:rFonts w:hint="cs"/>
          <w:rtl/>
        </w:rPr>
        <w:t>האפ"כ</w:t>
      </w:r>
      <w:r w:rsidR="00F368B6" w:rsidRPr="000B5A81">
        <w:rPr>
          <w:rFonts w:hint="cs"/>
          <w:rtl/>
        </w:rPr>
        <w:t>,</w:t>
      </w:r>
      <w:r w:rsidR="00F368B6">
        <w:rPr>
          <w:rFonts w:hint="cs"/>
          <w:rtl/>
        </w:rPr>
        <w:t xml:space="preserve"> המלווה את גופי האכיפה החל מ</w:t>
      </w:r>
      <w:r w:rsidR="00F368B6" w:rsidRPr="000B5A81">
        <w:rPr>
          <w:rFonts w:hint="cs"/>
          <w:rtl/>
        </w:rPr>
        <w:t>שלב החקירה והתפיסה הזמנית, במטרה להבטיח את שמירת ערכם של הנכסים התפוסים זמנית</w:t>
      </w:r>
      <w:r w:rsidR="00F368B6">
        <w:rPr>
          <w:rFonts w:hint="cs"/>
          <w:rtl/>
        </w:rPr>
        <w:t xml:space="preserve"> (להלן גם - תפוסים) שבתחום אחריותה, </w:t>
      </w:r>
      <w:r w:rsidR="00F368B6" w:rsidRPr="000B5A81">
        <w:rPr>
          <w:rFonts w:hint="cs"/>
          <w:rtl/>
        </w:rPr>
        <w:t xml:space="preserve">ואת מימושם המהיר והיעיל של </w:t>
      </w:r>
      <w:r w:rsidR="00F368B6">
        <w:rPr>
          <w:rFonts w:hint="cs"/>
          <w:rtl/>
        </w:rPr>
        <w:t>אלה שחולטו</w:t>
      </w:r>
      <w:r w:rsidR="00F368B6" w:rsidRPr="000B5A81">
        <w:rPr>
          <w:rFonts w:hint="cs"/>
          <w:rtl/>
        </w:rPr>
        <w:t>. יחידת החילוט מטפלת במגוון רחב של נכסים</w:t>
      </w:r>
      <w:r w:rsidR="00F368B6">
        <w:rPr>
          <w:rFonts w:hint="cs"/>
          <w:rtl/>
        </w:rPr>
        <w:t>,</w:t>
      </w:r>
      <w:r w:rsidR="00F368B6" w:rsidRPr="000B5A81">
        <w:rPr>
          <w:rFonts w:hint="cs"/>
          <w:rtl/>
        </w:rPr>
        <w:t xml:space="preserve"> ובכלל זה מקרקעין ומ</w:t>
      </w:r>
      <w:r w:rsidR="00F368B6">
        <w:rPr>
          <w:rFonts w:hint="cs"/>
          <w:rtl/>
        </w:rPr>
        <w:t>י</w:t>
      </w:r>
      <w:r w:rsidR="00F368B6" w:rsidRPr="000B5A81">
        <w:rPr>
          <w:rFonts w:hint="cs"/>
          <w:rtl/>
        </w:rPr>
        <w:t>טלטל</w:t>
      </w:r>
      <w:r w:rsidR="00F368B6">
        <w:rPr>
          <w:rFonts w:hint="cs"/>
          <w:rtl/>
        </w:rPr>
        <w:t>ין, המחאות, חברות</w:t>
      </w:r>
      <w:r w:rsidR="00F368B6" w:rsidRPr="000B5A81">
        <w:rPr>
          <w:rFonts w:hint="cs"/>
          <w:rtl/>
        </w:rPr>
        <w:t xml:space="preserve">, </w:t>
      </w:r>
      <w:r w:rsidR="00F368B6">
        <w:rPr>
          <w:rFonts w:hint="cs"/>
          <w:rtl/>
        </w:rPr>
        <w:t xml:space="preserve">כלי </w:t>
      </w:r>
      <w:r w:rsidR="00F368B6" w:rsidRPr="000B5A81">
        <w:rPr>
          <w:rFonts w:hint="cs"/>
          <w:rtl/>
        </w:rPr>
        <w:t xml:space="preserve">רכב, חשבונות בנק, פיקדונות ותיקי השקעות. נוסף </w:t>
      </w:r>
      <w:r w:rsidR="00F368B6">
        <w:rPr>
          <w:rFonts w:hint="cs"/>
          <w:rtl/>
        </w:rPr>
        <w:t>על כך האפ"כ</w:t>
      </w:r>
      <w:r w:rsidR="00F368B6" w:rsidRPr="000B5A81">
        <w:rPr>
          <w:rFonts w:hint="cs"/>
          <w:rtl/>
        </w:rPr>
        <w:t xml:space="preserve"> </w:t>
      </w:r>
      <w:r w:rsidR="00F368B6">
        <w:rPr>
          <w:rFonts w:hint="cs"/>
          <w:rtl/>
        </w:rPr>
        <w:t xml:space="preserve">מנהל </w:t>
      </w:r>
      <w:r w:rsidR="00F368B6" w:rsidRPr="000B5A81">
        <w:rPr>
          <w:rFonts w:hint="cs"/>
          <w:rtl/>
        </w:rPr>
        <w:t xml:space="preserve">כספים תפוסים </w:t>
      </w:r>
      <w:r w:rsidR="00F368B6" w:rsidRPr="000B5A81">
        <w:rPr>
          <w:rFonts w:hint="cs"/>
          <w:rtl/>
        </w:rPr>
        <w:lastRenderedPageBreak/>
        <w:t>ומחולטים, אשר נכון ל</w:t>
      </w:r>
      <w:r w:rsidR="00F368B6">
        <w:rPr>
          <w:rFonts w:hint="cs"/>
          <w:rtl/>
        </w:rPr>
        <w:t xml:space="preserve">סוף </w:t>
      </w:r>
      <w:r w:rsidR="00F368B6" w:rsidRPr="000B5A81">
        <w:rPr>
          <w:rFonts w:hint="cs"/>
          <w:rtl/>
        </w:rPr>
        <w:t>שנת 2018 הי</w:t>
      </w:r>
      <w:r w:rsidR="00F368B6">
        <w:rPr>
          <w:rFonts w:hint="cs"/>
          <w:rtl/>
        </w:rPr>
        <w:t>ה</w:t>
      </w:r>
      <w:r w:rsidR="00F368B6" w:rsidRPr="000B5A81">
        <w:rPr>
          <w:rFonts w:hint="cs"/>
          <w:rtl/>
        </w:rPr>
        <w:t xml:space="preserve"> היק</w:t>
      </w:r>
      <w:r w:rsidR="00F368B6">
        <w:rPr>
          <w:rFonts w:hint="cs"/>
          <w:rtl/>
        </w:rPr>
        <w:t>פם ה</w:t>
      </w:r>
      <w:r w:rsidR="00F368B6" w:rsidRPr="000B5A81">
        <w:rPr>
          <w:rFonts w:hint="cs"/>
          <w:rtl/>
        </w:rPr>
        <w:t>כולל כ-81</w:t>
      </w:r>
      <w:r w:rsidR="00F368B6">
        <w:rPr>
          <w:rFonts w:hint="cs"/>
          <w:rtl/>
        </w:rPr>
        <w:t>7</w:t>
      </w:r>
      <w:r w:rsidR="00F368B6" w:rsidRPr="000B5A81">
        <w:rPr>
          <w:rFonts w:hint="cs"/>
          <w:rtl/>
        </w:rPr>
        <w:t xml:space="preserve"> מיליון ש"ח</w:t>
      </w:r>
      <w:r w:rsidR="00F368B6">
        <w:rPr>
          <w:rFonts w:hint="cs"/>
          <w:rtl/>
        </w:rPr>
        <w:t>, מהם כ-634 מיליון ש"ח תפוסים זמנית וכ-183 מיליון ש"ח מחולטים בחילוט סופי.</w:t>
      </w:r>
    </w:p>
    <w:p w14:paraId="1396FCB3" w14:textId="77777777" w:rsidR="00F368B6" w:rsidRDefault="00F368B6" w:rsidP="001C08DC">
      <w:pPr>
        <w:pStyle w:val="af0"/>
        <w:rPr>
          <w:rtl/>
        </w:rPr>
      </w:pPr>
      <w:r>
        <w:rPr>
          <w:rFonts w:hint="cs"/>
          <w:rtl/>
        </w:rPr>
        <w:t>האפ"כ מנהל כספים תפוסים ותקבולים מחולטים במסגרת שלוש קרנות ייעודיות</w:t>
      </w:r>
      <w:r>
        <w:rPr>
          <w:rStyle w:val="FootnoteReference"/>
          <w:rtl/>
        </w:rPr>
        <w:footnoteReference w:id="13"/>
      </w:r>
      <w:r>
        <w:rPr>
          <w:rFonts w:hint="cs"/>
          <w:rtl/>
        </w:rPr>
        <w:t xml:space="preserve"> בהתאם לחוקים הקובעים את סמכותו לכך: קרן לפי חוק איסור הלבנת הון (להלן - קרן איסור הלבנת הון), קרן לפי פקודת הסמים המסוכנים [נוסח חדש], התשל"ג-1973 (להלן - קרן חילוט סמים), וקרן לפי חוק העונשין, התשל"ז-1977, בגין עבירות סחר בבני אדם (להלן - קרן סחר בבני אדם). להלן בלוח 1 יתרות הכספים ותקבולי החילוט בקרנות שהתקבלו בשנים 2015 עד 2018.</w:t>
      </w:r>
    </w:p>
    <w:p w14:paraId="2B8E012E" w14:textId="77777777" w:rsidR="002503C9" w:rsidRDefault="002503C9">
      <w:pPr>
        <w:bidi w:val="0"/>
        <w:spacing w:after="200" w:line="276" w:lineRule="auto"/>
        <w:rPr>
          <w:rFonts w:ascii="Tahoma" w:eastAsiaTheme="minorEastAsia" w:hAnsi="Tahoma" w:cs="Tahoma"/>
          <w:color w:val="365F91" w:themeColor="accent1" w:themeShade="BF"/>
          <w:szCs w:val="20"/>
          <w:rtl/>
        </w:rPr>
      </w:pPr>
      <w:r>
        <w:rPr>
          <w:rtl/>
        </w:rPr>
        <w:br w:type="page"/>
      </w:r>
    </w:p>
    <w:p w14:paraId="0850E683" w14:textId="4E3D951B" w:rsidR="00F368B6" w:rsidRPr="00742AB7" w:rsidRDefault="00F368B6" w:rsidP="00742AB7">
      <w:pPr>
        <w:pStyle w:val="a6"/>
        <w:rPr>
          <w:b/>
          <w:bCs/>
          <w:rtl/>
        </w:rPr>
      </w:pPr>
      <w:r w:rsidRPr="00181839">
        <w:rPr>
          <w:rFonts w:hint="cs"/>
          <w:rtl/>
        </w:rPr>
        <w:lastRenderedPageBreak/>
        <w:t>לוח</w:t>
      </w:r>
      <w:r w:rsidRPr="00C52322">
        <w:rPr>
          <w:rFonts w:hint="cs"/>
        </w:rPr>
        <w:t xml:space="preserve"> </w:t>
      </w:r>
      <w:r w:rsidRPr="00C52322">
        <w:rPr>
          <w:rFonts w:hint="cs"/>
          <w:rtl/>
        </w:rPr>
        <w:t>1</w:t>
      </w:r>
      <w:r w:rsidRPr="00C52322">
        <w:rPr>
          <w:rtl/>
        </w:rPr>
        <w:t>:</w:t>
      </w:r>
      <w:r w:rsidRPr="00C52322">
        <w:rPr>
          <w:rFonts w:hint="cs"/>
          <w:rtl/>
        </w:rPr>
        <w:t xml:space="preserve"> </w:t>
      </w:r>
      <w:r w:rsidRPr="00742AB7">
        <w:rPr>
          <w:rFonts w:hint="cs"/>
          <w:b/>
          <w:bCs/>
          <w:rtl/>
        </w:rPr>
        <w:t>יתרו</w:t>
      </w:r>
      <w:r w:rsidRPr="00742AB7">
        <w:rPr>
          <w:rFonts w:hint="eastAsia"/>
          <w:b/>
          <w:bCs/>
          <w:rtl/>
        </w:rPr>
        <w:t>ת</w:t>
      </w:r>
      <w:r w:rsidRPr="00742AB7">
        <w:rPr>
          <w:b/>
          <w:bCs/>
          <w:rtl/>
        </w:rPr>
        <w:t xml:space="preserve"> </w:t>
      </w:r>
      <w:r w:rsidRPr="00742AB7">
        <w:rPr>
          <w:rFonts w:hint="eastAsia"/>
          <w:b/>
          <w:bCs/>
          <w:rtl/>
        </w:rPr>
        <w:t>הכספים</w:t>
      </w:r>
      <w:r w:rsidRPr="00742AB7">
        <w:rPr>
          <w:b/>
          <w:bCs/>
          <w:rtl/>
        </w:rPr>
        <w:t xml:space="preserve"> </w:t>
      </w:r>
      <w:r w:rsidRPr="00742AB7">
        <w:rPr>
          <w:rFonts w:hint="cs"/>
          <w:b/>
          <w:bCs/>
          <w:rtl/>
        </w:rPr>
        <w:t xml:space="preserve">ותקבולי החילוט </w:t>
      </w:r>
      <w:r w:rsidRPr="00742AB7">
        <w:rPr>
          <w:rFonts w:hint="eastAsia"/>
          <w:b/>
          <w:bCs/>
          <w:rtl/>
        </w:rPr>
        <w:t>בקרנות</w:t>
      </w:r>
      <w:r w:rsidRPr="00742AB7">
        <w:rPr>
          <w:rFonts w:hint="cs"/>
          <w:b/>
          <w:bCs/>
          <w:rtl/>
        </w:rPr>
        <w:t xml:space="preserve">, </w:t>
      </w:r>
      <w:r w:rsidRPr="00742AB7">
        <w:rPr>
          <w:b/>
          <w:bCs/>
          <w:rtl/>
        </w:rPr>
        <w:t xml:space="preserve">2015 </w:t>
      </w:r>
      <w:r w:rsidRPr="00742AB7">
        <w:rPr>
          <w:rFonts w:hint="cs"/>
          <w:b/>
          <w:bCs/>
          <w:rtl/>
        </w:rPr>
        <w:t>-</w:t>
      </w:r>
      <w:r w:rsidRPr="00742AB7">
        <w:rPr>
          <w:b/>
          <w:bCs/>
          <w:rtl/>
        </w:rPr>
        <w:t xml:space="preserve"> 2018</w:t>
      </w:r>
      <w:r w:rsidRPr="00742AB7">
        <w:rPr>
          <w:rFonts w:hint="cs"/>
          <w:b/>
          <w:bCs/>
          <w:rtl/>
        </w:rPr>
        <w:t xml:space="preserve"> (באלפי ש"ח)</w:t>
      </w:r>
    </w:p>
    <w:tbl>
      <w:tblPr>
        <w:tblStyle w:val="TableGrid"/>
        <w:bidiVisual/>
        <w:tblW w:w="0" w:type="auto"/>
        <w:jc w:val="center"/>
        <w:tblLook w:val="04A0" w:firstRow="1" w:lastRow="0" w:firstColumn="1" w:lastColumn="0" w:noHBand="0" w:noVBand="1"/>
      </w:tblPr>
      <w:tblGrid>
        <w:gridCol w:w="1843"/>
        <w:gridCol w:w="1295"/>
        <w:gridCol w:w="1276"/>
        <w:gridCol w:w="1276"/>
        <w:gridCol w:w="1134"/>
        <w:gridCol w:w="1126"/>
      </w:tblGrid>
      <w:tr w:rsidR="00F368B6" w:rsidRPr="00995AD8" w14:paraId="28563B10" w14:textId="77777777" w:rsidTr="002503C9">
        <w:trPr>
          <w:jc w:val="center"/>
        </w:trPr>
        <w:tc>
          <w:tcPr>
            <w:tcW w:w="1843" w:type="dxa"/>
            <w:shd w:val="clear" w:color="auto" w:fill="C6D9F1"/>
            <w:vAlign w:val="bottom"/>
          </w:tcPr>
          <w:p w14:paraId="22A7EBFC" w14:textId="77777777" w:rsidR="00F368B6" w:rsidRPr="00995AD8" w:rsidRDefault="00F368B6" w:rsidP="0094749D">
            <w:pPr>
              <w:pStyle w:val="ad"/>
              <w:rPr>
                <w:rtl/>
              </w:rPr>
            </w:pPr>
          </w:p>
        </w:tc>
        <w:tc>
          <w:tcPr>
            <w:tcW w:w="1295" w:type="dxa"/>
            <w:tcBorders>
              <w:bottom w:val="single" w:sz="4" w:space="0" w:color="auto"/>
            </w:tcBorders>
            <w:shd w:val="clear" w:color="auto" w:fill="C6D9F1"/>
            <w:vAlign w:val="bottom"/>
          </w:tcPr>
          <w:p w14:paraId="1F14E576" w14:textId="77777777" w:rsidR="00F368B6" w:rsidRPr="00995AD8" w:rsidRDefault="00F368B6" w:rsidP="0094749D">
            <w:pPr>
              <w:pStyle w:val="ad"/>
              <w:rPr>
                <w:rtl/>
              </w:rPr>
            </w:pPr>
          </w:p>
        </w:tc>
        <w:tc>
          <w:tcPr>
            <w:tcW w:w="4812" w:type="dxa"/>
            <w:gridSpan w:val="4"/>
            <w:shd w:val="clear" w:color="auto" w:fill="C6D9F1"/>
            <w:vAlign w:val="bottom"/>
          </w:tcPr>
          <w:p w14:paraId="7FB39B35" w14:textId="77777777" w:rsidR="00F368B6" w:rsidRPr="00995AD8" w:rsidRDefault="00F368B6" w:rsidP="0094749D">
            <w:pPr>
              <w:pStyle w:val="ad"/>
              <w:rPr>
                <w:rtl/>
              </w:rPr>
            </w:pPr>
            <w:r w:rsidRPr="00995AD8">
              <w:rPr>
                <w:rFonts w:hint="cs"/>
                <w:rtl/>
              </w:rPr>
              <w:t>התקבולים</w:t>
            </w:r>
          </w:p>
        </w:tc>
      </w:tr>
      <w:tr w:rsidR="00F368B6" w:rsidRPr="00995AD8" w14:paraId="1748117D" w14:textId="77777777" w:rsidTr="002503C9">
        <w:trPr>
          <w:jc w:val="center"/>
        </w:trPr>
        <w:tc>
          <w:tcPr>
            <w:tcW w:w="1843" w:type="dxa"/>
            <w:shd w:val="clear" w:color="auto" w:fill="C6D9F1"/>
            <w:vAlign w:val="bottom"/>
          </w:tcPr>
          <w:p w14:paraId="0F24A391" w14:textId="77777777" w:rsidR="00F368B6" w:rsidRPr="00995AD8" w:rsidRDefault="00F368B6" w:rsidP="007902C4">
            <w:pPr>
              <w:pStyle w:val="ad"/>
              <w:rPr>
                <w:rtl/>
              </w:rPr>
            </w:pPr>
            <w:r w:rsidRPr="00995AD8">
              <w:rPr>
                <w:rFonts w:hint="cs"/>
                <w:rtl/>
              </w:rPr>
              <w:t xml:space="preserve">שם הקרן </w:t>
            </w:r>
          </w:p>
        </w:tc>
        <w:tc>
          <w:tcPr>
            <w:tcW w:w="1295" w:type="dxa"/>
            <w:tcBorders>
              <w:tr2bl w:val="single" w:sz="4" w:space="0" w:color="auto"/>
            </w:tcBorders>
            <w:shd w:val="clear" w:color="auto" w:fill="C6D9F1"/>
            <w:vAlign w:val="bottom"/>
          </w:tcPr>
          <w:p w14:paraId="0BA3A17C" w14:textId="3A38BE51" w:rsidR="00F368B6" w:rsidRPr="00995AD8" w:rsidRDefault="00F368B6" w:rsidP="00DB5B88">
            <w:pPr>
              <w:pStyle w:val="ad"/>
              <w:jc w:val="right"/>
              <w:rPr>
                <w:rtl/>
              </w:rPr>
            </w:pPr>
            <w:r w:rsidRPr="00995AD8">
              <w:rPr>
                <w:rFonts w:hint="cs"/>
                <w:rtl/>
              </w:rPr>
              <w:t xml:space="preserve"> </w:t>
            </w:r>
            <w:r w:rsidR="0094749D">
              <w:rPr>
                <w:rFonts w:hint="cs"/>
                <w:rtl/>
              </w:rPr>
              <w:t xml:space="preserve">  </w:t>
            </w:r>
            <w:r w:rsidR="00DB5B88">
              <w:rPr>
                <w:rFonts w:hint="cs"/>
                <w:rtl/>
              </w:rPr>
              <w:t xml:space="preserve"> </w:t>
            </w:r>
            <w:r w:rsidRPr="00995AD8">
              <w:rPr>
                <w:rFonts w:hint="cs"/>
                <w:rtl/>
              </w:rPr>
              <w:t>השנים</w:t>
            </w:r>
          </w:p>
          <w:p w14:paraId="1F76C12E" w14:textId="77777777" w:rsidR="00F368B6" w:rsidRPr="00995AD8" w:rsidRDefault="00F368B6" w:rsidP="007902C4">
            <w:pPr>
              <w:pStyle w:val="ad"/>
              <w:rPr>
                <w:highlight w:val="yellow"/>
                <w:rtl/>
              </w:rPr>
            </w:pPr>
            <w:r w:rsidRPr="00995AD8">
              <w:rPr>
                <w:rFonts w:hint="cs"/>
                <w:rtl/>
              </w:rPr>
              <w:t>היתרה</w:t>
            </w:r>
          </w:p>
        </w:tc>
        <w:tc>
          <w:tcPr>
            <w:tcW w:w="1276" w:type="dxa"/>
            <w:shd w:val="clear" w:color="auto" w:fill="C6D9F1"/>
            <w:vAlign w:val="bottom"/>
          </w:tcPr>
          <w:p w14:paraId="29DDBEDB" w14:textId="77777777" w:rsidR="00F368B6" w:rsidRPr="00995AD8" w:rsidRDefault="00F368B6" w:rsidP="007902C4">
            <w:pPr>
              <w:pStyle w:val="ad"/>
              <w:rPr>
                <w:rtl/>
              </w:rPr>
            </w:pPr>
            <w:r w:rsidRPr="00995AD8">
              <w:rPr>
                <w:rFonts w:hint="cs"/>
                <w:rtl/>
              </w:rPr>
              <w:t>2015</w:t>
            </w:r>
          </w:p>
        </w:tc>
        <w:tc>
          <w:tcPr>
            <w:tcW w:w="1276" w:type="dxa"/>
            <w:shd w:val="clear" w:color="auto" w:fill="C6D9F1"/>
            <w:vAlign w:val="bottom"/>
          </w:tcPr>
          <w:p w14:paraId="3AEF936D" w14:textId="77777777" w:rsidR="00F368B6" w:rsidRPr="00995AD8" w:rsidRDefault="00F368B6" w:rsidP="007902C4">
            <w:pPr>
              <w:pStyle w:val="ad"/>
              <w:rPr>
                <w:rtl/>
              </w:rPr>
            </w:pPr>
            <w:r w:rsidRPr="00995AD8">
              <w:rPr>
                <w:rFonts w:hint="cs"/>
                <w:rtl/>
              </w:rPr>
              <w:t>2016</w:t>
            </w:r>
          </w:p>
        </w:tc>
        <w:tc>
          <w:tcPr>
            <w:tcW w:w="1134" w:type="dxa"/>
            <w:shd w:val="clear" w:color="auto" w:fill="C6D9F1"/>
            <w:vAlign w:val="bottom"/>
          </w:tcPr>
          <w:p w14:paraId="13F79B76" w14:textId="77777777" w:rsidR="00F368B6" w:rsidRPr="00995AD8" w:rsidRDefault="00F368B6" w:rsidP="007902C4">
            <w:pPr>
              <w:pStyle w:val="ad"/>
              <w:rPr>
                <w:rtl/>
              </w:rPr>
            </w:pPr>
            <w:r w:rsidRPr="00995AD8">
              <w:rPr>
                <w:rFonts w:hint="cs"/>
                <w:rtl/>
              </w:rPr>
              <w:t>2017</w:t>
            </w:r>
          </w:p>
        </w:tc>
        <w:tc>
          <w:tcPr>
            <w:tcW w:w="1126" w:type="dxa"/>
            <w:shd w:val="clear" w:color="auto" w:fill="C6D9F1"/>
            <w:vAlign w:val="bottom"/>
          </w:tcPr>
          <w:p w14:paraId="1D13AFB2" w14:textId="77777777" w:rsidR="00F368B6" w:rsidRPr="00995AD8" w:rsidRDefault="00F368B6" w:rsidP="007902C4">
            <w:pPr>
              <w:pStyle w:val="ad"/>
              <w:rPr>
                <w:rtl/>
              </w:rPr>
            </w:pPr>
            <w:r w:rsidRPr="00995AD8">
              <w:rPr>
                <w:rFonts w:hint="cs"/>
                <w:rtl/>
              </w:rPr>
              <w:t>2018</w:t>
            </w:r>
          </w:p>
        </w:tc>
      </w:tr>
      <w:tr w:rsidR="00F368B6" w:rsidRPr="0094749D" w14:paraId="0CABCD38" w14:textId="77777777" w:rsidTr="002503C9">
        <w:trPr>
          <w:jc w:val="center"/>
        </w:trPr>
        <w:tc>
          <w:tcPr>
            <w:tcW w:w="1843" w:type="dxa"/>
            <w:shd w:val="clear" w:color="auto" w:fill="auto"/>
            <w:vAlign w:val="bottom"/>
          </w:tcPr>
          <w:p w14:paraId="42D3A960" w14:textId="77777777" w:rsidR="00F368B6" w:rsidRPr="0094749D" w:rsidRDefault="00F368B6" w:rsidP="0094749D">
            <w:pPr>
              <w:pStyle w:val="B"/>
              <w:rPr>
                <w:szCs w:val="20"/>
                <w:rtl/>
              </w:rPr>
            </w:pPr>
            <w:r w:rsidRPr="0094749D">
              <w:rPr>
                <w:rFonts w:hint="cs"/>
                <w:szCs w:val="20"/>
                <w:rtl/>
              </w:rPr>
              <w:t>קרן איסור הלבנת הון</w:t>
            </w:r>
            <w:r w:rsidRPr="004C6663">
              <w:rPr>
                <w:rStyle w:val="FootnoteReference"/>
                <w:szCs w:val="20"/>
                <w:rtl/>
              </w:rPr>
              <w:footnoteReference w:id="14"/>
            </w:r>
          </w:p>
        </w:tc>
        <w:tc>
          <w:tcPr>
            <w:tcW w:w="1295" w:type="dxa"/>
            <w:shd w:val="clear" w:color="auto" w:fill="auto"/>
            <w:vAlign w:val="bottom"/>
          </w:tcPr>
          <w:p w14:paraId="4D158DDC" w14:textId="77777777" w:rsidR="00F368B6" w:rsidRPr="0094749D" w:rsidRDefault="00F368B6" w:rsidP="0094749D">
            <w:pPr>
              <w:pStyle w:val="R"/>
              <w:rPr>
                <w:szCs w:val="20"/>
                <w:rtl/>
              </w:rPr>
            </w:pPr>
            <w:r w:rsidRPr="0094749D">
              <w:rPr>
                <w:rFonts w:hint="cs"/>
                <w:szCs w:val="20"/>
                <w:rtl/>
              </w:rPr>
              <w:t>180,000*</w:t>
            </w:r>
          </w:p>
        </w:tc>
        <w:tc>
          <w:tcPr>
            <w:tcW w:w="1276" w:type="dxa"/>
            <w:shd w:val="clear" w:color="auto" w:fill="auto"/>
            <w:vAlign w:val="bottom"/>
          </w:tcPr>
          <w:p w14:paraId="4EEFFD6C" w14:textId="77777777" w:rsidR="00F368B6" w:rsidRPr="0094749D" w:rsidRDefault="00F368B6" w:rsidP="0094749D">
            <w:pPr>
              <w:pStyle w:val="R"/>
              <w:rPr>
                <w:szCs w:val="20"/>
                <w:rtl/>
              </w:rPr>
            </w:pPr>
            <w:r w:rsidRPr="0094749D">
              <w:rPr>
                <w:rFonts w:hint="cs"/>
                <w:szCs w:val="20"/>
                <w:rtl/>
              </w:rPr>
              <w:t>48,286</w:t>
            </w:r>
          </w:p>
        </w:tc>
        <w:tc>
          <w:tcPr>
            <w:tcW w:w="1276" w:type="dxa"/>
            <w:shd w:val="clear" w:color="auto" w:fill="auto"/>
            <w:vAlign w:val="bottom"/>
          </w:tcPr>
          <w:p w14:paraId="67DA0388" w14:textId="77777777" w:rsidR="00F368B6" w:rsidRPr="0094749D" w:rsidRDefault="00F368B6" w:rsidP="0094749D">
            <w:pPr>
              <w:pStyle w:val="R"/>
              <w:rPr>
                <w:szCs w:val="20"/>
                <w:rtl/>
              </w:rPr>
            </w:pPr>
            <w:r w:rsidRPr="0094749D">
              <w:rPr>
                <w:rFonts w:hint="cs"/>
                <w:szCs w:val="20"/>
                <w:rtl/>
              </w:rPr>
              <w:t>69,095****</w:t>
            </w:r>
          </w:p>
        </w:tc>
        <w:tc>
          <w:tcPr>
            <w:tcW w:w="1134" w:type="dxa"/>
            <w:shd w:val="clear" w:color="auto" w:fill="auto"/>
            <w:vAlign w:val="bottom"/>
          </w:tcPr>
          <w:p w14:paraId="31C65671" w14:textId="77777777" w:rsidR="00F368B6" w:rsidRPr="0094749D" w:rsidRDefault="00F368B6" w:rsidP="0094749D">
            <w:pPr>
              <w:pStyle w:val="R"/>
              <w:rPr>
                <w:szCs w:val="20"/>
                <w:rtl/>
              </w:rPr>
            </w:pPr>
            <w:r w:rsidRPr="0094749D">
              <w:rPr>
                <w:rFonts w:hint="cs"/>
                <w:szCs w:val="20"/>
                <w:rtl/>
              </w:rPr>
              <w:t>47,710</w:t>
            </w:r>
          </w:p>
        </w:tc>
        <w:tc>
          <w:tcPr>
            <w:tcW w:w="1126" w:type="dxa"/>
            <w:shd w:val="clear" w:color="auto" w:fill="auto"/>
            <w:vAlign w:val="bottom"/>
          </w:tcPr>
          <w:p w14:paraId="20EF0552" w14:textId="77777777" w:rsidR="00F368B6" w:rsidRPr="0094749D" w:rsidRDefault="00F368B6" w:rsidP="0094749D">
            <w:pPr>
              <w:pStyle w:val="R"/>
              <w:rPr>
                <w:szCs w:val="20"/>
                <w:rtl/>
              </w:rPr>
            </w:pPr>
            <w:r w:rsidRPr="0094749D">
              <w:rPr>
                <w:rFonts w:hint="cs"/>
                <w:szCs w:val="20"/>
                <w:rtl/>
              </w:rPr>
              <w:t>51,912</w:t>
            </w:r>
          </w:p>
        </w:tc>
      </w:tr>
      <w:tr w:rsidR="00F368B6" w:rsidRPr="0094749D" w14:paraId="53D3A00F" w14:textId="77777777" w:rsidTr="002503C9">
        <w:trPr>
          <w:jc w:val="center"/>
        </w:trPr>
        <w:tc>
          <w:tcPr>
            <w:tcW w:w="1843" w:type="dxa"/>
            <w:shd w:val="clear" w:color="auto" w:fill="auto"/>
            <w:vAlign w:val="bottom"/>
          </w:tcPr>
          <w:p w14:paraId="35EC9A30" w14:textId="77777777" w:rsidR="00F368B6" w:rsidRPr="0094749D" w:rsidRDefault="00F368B6" w:rsidP="0094749D">
            <w:pPr>
              <w:pStyle w:val="B"/>
              <w:rPr>
                <w:szCs w:val="20"/>
                <w:rtl/>
              </w:rPr>
            </w:pPr>
            <w:r w:rsidRPr="0094749D">
              <w:rPr>
                <w:rFonts w:hint="cs"/>
                <w:szCs w:val="20"/>
                <w:rtl/>
              </w:rPr>
              <w:t>קרן חילוט סמים</w:t>
            </w:r>
            <w:r w:rsidRPr="004C6663">
              <w:rPr>
                <w:rStyle w:val="FootnoteReference"/>
                <w:szCs w:val="20"/>
                <w:rtl/>
              </w:rPr>
              <w:footnoteReference w:id="15"/>
            </w:r>
          </w:p>
        </w:tc>
        <w:tc>
          <w:tcPr>
            <w:tcW w:w="1295" w:type="dxa"/>
            <w:shd w:val="clear" w:color="auto" w:fill="auto"/>
            <w:vAlign w:val="bottom"/>
          </w:tcPr>
          <w:p w14:paraId="50E3E9CB" w14:textId="77777777" w:rsidR="00F368B6" w:rsidRPr="0094749D" w:rsidRDefault="00F368B6" w:rsidP="0094749D">
            <w:pPr>
              <w:pStyle w:val="R"/>
              <w:rPr>
                <w:szCs w:val="20"/>
                <w:rtl/>
              </w:rPr>
            </w:pPr>
            <w:r w:rsidRPr="0094749D">
              <w:rPr>
                <w:rFonts w:hint="cs"/>
                <w:szCs w:val="20"/>
                <w:rtl/>
              </w:rPr>
              <w:t>27,000**</w:t>
            </w:r>
          </w:p>
        </w:tc>
        <w:tc>
          <w:tcPr>
            <w:tcW w:w="1276" w:type="dxa"/>
            <w:shd w:val="clear" w:color="auto" w:fill="auto"/>
            <w:vAlign w:val="bottom"/>
          </w:tcPr>
          <w:p w14:paraId="528D0017" w14:textId="77777777" w:rsidR="00F368B6" w:rsidRPr="0094749D" w:rsidRDefault="00F368B6" w:rsidP="0094749D">
            <w:pPr>
              <w:pStyle w:val="R"/>
              <w:rPr>
                <w:szCs w:val="20"/>
                <w:rtl/>
              </w:rPr>
            </w:pPr>
            <w:r w:rsidRPr="0094749D">
              <w:rPr>
                <w:rFonts w:hint="cs"/>
                <w:szCs w:val="20"/>
                <w:rtl/>
              </w:rPr>
              <w:t>11,233</w:t>
            </w:r>
          </w:p>
        </w:tc>
        <w:tc>
          <w:tcPr>
            <w:tcW w:w="1276" w:type="dxa"/>
            <w:shd w:val="clear" w:color="auto" w:fill="auto"/>
            <w:vAlign w:val="bottom"/>
          </w:tcPr>
          <w:p w14:paraId="0649490D" w14:textId="77777777" w:rsidR="00F368B6" w:rsidRPr="0094749D" w:rsidRDefault="00F368B6" w:rsidP="0094749D">
            <w:pPr>
              <w:pStyle w:val="R"/>
              <w:rPr>
                <w:szCs w:val="20"/>
                <w:rtl/>
              </w:rPr>
            </w:pPr>
            <w:r w:rsidRPr="0094749D">
              <w:rPr>
                <w:rFonts w:hint="cs"/>
                <w:szCs w:val="20"/>
                <w:rtl/>
              </w:rPr>
              <w:t>8,107</w:t>
            </w:r>
          </w:p>
        </w:tc>
        <w:tc>
          <w:tcPr>
            <w:tcW w:w="1134" w:type="dxa"/>
            <w:shd w:val="clear" w:color="auto" w:fill="auto"/>
            <w:vAlign w:val="bottom"/>
          </w:tcPr>
          <w:p w14:paraId="44843145" w14:textId="77777777" w:rsidR="00F368B6" w:rsidRPr="0094749D" w:rsidRDefault="00F368B6" w:rsidP="0094749D">
            <w:pPr>
              <w:pStyle w:val="R"/>
              <w:rPr>
                <w:szCs w:val="20"/>
                <w:rtl/>
              </w:rPr>
            </w:pPr>
            <w:r w:rsidRPr="0094749D">
              <w:rPr>
                <w:rFonts w:hint="cs"/>
                <w:szCs w:val="20"/>
                <w:rtl/>
              </w:rPr>
              <w:t>9,132</w:t>
            </w:r>
          </w:p>
        </w:tc>
        <w:tc>
          <w:tcPr>
            <w:tcW w:w="1126" w:type="dxa"/>
            <w:shd w:val="clear" w:color="auto" w:fill="auto"/>
            <w:vAlign w:val="bottom"/>
          </w:tcPr>
          <w:p w14:paraId="1E62EABA" w14:textId="77777777" w:rsidR="00F368B6" w:rsidRPr="0094749D" w:rsidRDefault="00F368B6" w:rsidP="0094749D">
            <w:pPr>
              <w:pStyle w:val="R"/>
              <w:rPr>
                <w:szCs w:val="20"/>
                <w:rtl/>
              </w:rPr>
            </w:pPr>
            <w:r w:rsidRPr="0094749D">
              <w:rPr>
                <w:rFonts w:hint="cs"/>
                <w:szCs w:val="20"/>
                <w:rtl/>
              </w:rPr>
              <w:t>14,905</w:t>
            </w:r>
          </w:p>
        </w:tc>
      </w:tr>
      <w:tr w:rsidR="00F368B6" w:rsidRPr="0094749D" w14:paraId="114A6717" w14:textId="77777777" w:rsidTr="002503C9">
        <w:trPr>
          <w:trHeight w:val="306"/>
          <w:jc w:val="center"/>
        </w:trPr>
        <w:tc>
          <w:tcPr>
            <w:tcW w:w="1843" w:type="dxa"/>
            <w:shd w:val="clear" w:color="auto" w:fill="auto"/>
            <w:vAlign w:val="bottom"/>
          </w:tcPr>
          <w:p w14:paraId="78B04C04" w14:textId="77777777" w:rsidR="00F368B6" w:rsidRPr="0094749D" w:rsidRDefault="00F368B6" w:rsidP="0094749D">
            <w:pPr>
              <w:pStyle w:val="B"/>
              <w:rPr>
                <w:szCs w:val="20"/>
                <w:rtl/>
              </w:rPr>
            </w:pPr>
            <w:r w:rsidRPr="0094749D">
              <w:rPr>
                <w:rFonts w:hint="cs"/>
                <w:szCs w:val="20"/>
                <w:rtl/>
              </w:rPr>
              <w:t>קרן סחר בבני אדם</w:t>
            </w:r>
            <w:r w:rsidRPr="004C6663">
              <w:rPr>
                <w:rStyle w:val="FootnoteReference"/>
                <w:szCs w:val="20"/>
                <w:rtl/>
              </w:rPr>
              <w:footnoteReference w:id="16"/>
            </w:r>
          </w:p>
        </w:tc>
        <w:tc>
          <w:tcPr>
            <w:tcW w:w="1295" w:type="dxa"/>
            <w:shd w:val="clear" w:color="auto" w:fill="auto"/>
            <w:vAlign w:val="bottom"/>
          </w:tcPr>
          <w:p w14:paraId="1E613D3A" w14:textId="77777777" w:rsidR="00F368B6" w:rsidRPr="0094749D" w:rsidRDefault="00F368B6" w:rsidP="0094749D">
            <w:pPr>
              <w:pStyle w:val="R"/>
              <w:rPr>
                <w:szCs w:val="20"/>
                <w:rtl/>
              </w:rPr>
            </w:pPr>
            <w:r w:rsidRPr="0094749D">
              <w:rPr>
                <w:rFonts w:hint="cs"/>
                <w:szCs w:val="20"/>
                <w:rtl/>
              </w:rPr>
              <w:t>270***</w:t>
            </w:r>
          </w:p>
        </w:tc>
        <w:tc>
          <w:tcPr>
            <w:tcW w:w="1276" w:type="dxa"/>
            <w:shd w:val="clear" w:color="auto" w:fill="auto"/>
            <w:vAlign w:val="bottom"/>
          </w:tcPr>
          <w:p w14:paraId="137692A5" w14:textId="77777777" w:rsidR="00F368B6" w:rsidRPr="0094749D" w:rsidRDefault="00F368B6" w:rsidP="0094749D">
            <w:pPr>
              <w:pStyle w:val="R"/>
              <w:rPr>
                <w:szCs w:val="20"/>
                <w:rtl/>
              </w:rPr>
            </w:pPr>
            <w:r w:rsidRPr="0094749D">
              <w:rPr>
                <w:rFonts w:hint="cs"/>
                <w:szCs w:val="20"/>
                <w:rtl/>
              </w:rPr>
              <w:t>---</w:t>
            </w:r>
          </w:p>
        </w:tc>
        <w:tc>
          <w:tcPr>
            <w:tcW w:w="1276" w:type="dxa"/>
            <w:shd w:val="clear" w:color="auto" w:fill="auto"/>
            <w:vAlign w:val="bottom"/>
          </w:tcPr>
          <w:p w14:paraId="46E47CBD" w14:textId="77777777" w:rsidR="00F368B6" w:rsidRPr="0094749D" w:rsidRDefault="00F368B6" w:rsidP="0094749D">
            <w:pPr>
              <w:pStyle w:val="R"/>
              <w:rPr>
                <w:szCs w:val="20"/>
                <w:rtl/>
              </w:rPr>
            </w:pPr>
            <w:r w:rsidRPr="0094749D">
              <w:rPr>
                <w:rFonts w:hint="cs"/>
                <w:szCs w:val="20"/>
                <w:rtl/>
              </w:rPr>
              <w:t>193</w:t>
            </w:r>
          </w:p>
        </w:tc>
        <w:tc>
          <w:tcPr>
            <w:tcW w:w="1134" w:type="dxa"/>
            <w:shd w:val="clear" w:color="auto" w:fill="auto"/>
            <w:vAlign w:val="bottom"/>
          </w:tcPr>
          <w:p w14:paraId="46922C5C" w14:textId="77777777" w:rsidR="00F368B6" w:rsidRPr="0094749D" w:rsidRDefault="00F368B6" w:rsidP="0094749D">
            <w:pPr>
              <w:pStyle w:val="R"/>
              <w:rPr>
                <w:szCs w:val="20"/>
                <w:rtl/>
              </w:rPr>
            </w:pPr>
            <w:r w:rsidRPr="0094749D">
              <w:rPr>
                <w:rFonts w:hint="cs"/>
                <w:szCs w:val="20"/>
                <w:rtl/>
              </w:rPr>
              <w:t>1,072</w:t>
            </w:r>
          </w:p>
        </w:tc>
        <w:tc>
          <w:tcPr>
            <w:tcW w:w="1126" w:type="dxa"/>
            <w:shd w:val="clear" w:color="auto" w:fill="auto"/>
            <w:vAlign w:val="bottom"/>
          </w:tcPr>
          <w:p w14:paraId="70BCAD1F" w14:textId="77777777" w:rsidR="00F368B6" w:rsidRPr="0094749D" w:rsidRDefault="00F368B6" w:rsidP="0094749D">
            <w:pPr>
              <w:pStyle w:val="R"/>
              <w:rPr>
                <w:szCs w:val="20"/>
                <w:rtl/>
              </w:rPr>
            </w:pPr>
            <w:r w:rsidRPr="0094749D">
              <w:rPr>
                <w:rFonts w:hint="cs"/>
                <w:szCs w:val="20"/>
                <w:rtl/>
              </w:rPr>
              <w:t>7.4</w:t>
            </w:r>
          </w:p>
        </w:tc>
      </w:tr>
    </w:tbl>
    <w:p w14:paraId="6E619553" w14:textId="77777777" w:rsidR="00F368B6" w:rsidRPr="00E630B3" w:rsidRDefault="00F368B6" w:rsidP="00742AB7">
      <w:pPr>
        <w:pStyle w:val="a8"/>
        <w:rPr>
          <w:rtl/>
        </w:rPr>
      </w:pPr>
      <w:r w:rsidRPr="00E630B3">
        <w:rPr>
          <w:rFonts w:hint="cs"/>
          <w:rtl/>
        </w:rPr>
        <w:t xml:space="preserve">המקור: </w:t>
      </w:r>
      <w:r w:rsidRPr="00E630B3">
        <w:rPr>
          <w:rtl/>
        </w:rPr>
        <w:t>האפוטרופוס הכללי, הכונס הרשמי והרשם לענייני ירושה, סיכום פעילות 2018.</w:t>
      </w:r>
    </w:p>
    <w:p w14:paraId="30AA854B" w14:textId="2874AD44" w:rsidR="00F368B6" w:rsidRPr="00E630B3" w:rsidRDefault="00F368B6" w:rsidP="007F491E">
      <w:pPr>
        <w:pStyle w:val="af5"/>
        <w:rPr>
          <w:rtl/>
        </w:rPr>
      </w:pPr>
      <w:r w:rsidRPr="00E630B3">
        <w:rPr>
          <w:rtl/>
        </w:rPr>
        <w:t xml:space="preserve">* </w:t>
      </w:r>
      <w:r w:rsidR="00711570">
        <w:rPr>
          <w:rtl/>
        </w:rPr>
        <w:tab/>
      </w:r>
      <w:r w:rsidRPr="00E630B3">
        <w:rPr>
          <w:rFonts w:hint="eastAsia"/>
          <w:rtl/>
        </w:rPr>
        <w:t>יתרת</w:t>
      </w:r>
      <w:r w:rsidRPr="00E630B3">
        <w:rPr>
          <w:rtl/>
        </w:rPr>
        <w:t xml:space="preserve"> </w:t>
      </w:r>
      <w:r w:rsidRPr="00E630B3">
        <w:rPr>
          <w:rFonts w:hint="eastAsia"/>
          <w:rtl/>
        </w:rPr>
        <w:t>הכספים</w:t>
      </w:r>
      <w:r w:rsidRPr="00E630B3">
        <w:rPr>
          <w:rtl/>
        </w:rPr>
        <w:t xml:space="preserve"> </w:t>
      </w:r>
      <w:r w:rsidRPr="00E630B3">
        <w:rPr>
          <w:rFonts w:hint="eastAsia"/>
          <w:rtl/>
        </w:rPr>
        <w:t>בקרן</w:t>
      </w:r>
      <w:r w:rsidRPr="00E630B3">
        <w:rPr>
          <w:rtl/>
        </w:rPr>
        <w:t xml:space="preserve"> </w:t>
      </w:r>
      <w:r w:rsidRPr="00E630B3">
        <w:rPr>
          <w:rFonts w:hint="eastAsia"/>
          <w:rtl/>
        </w:rPr>
        <w:t>איסור</w:t>
      </w:r>
      <w:r w:rsidRPr="00E630B3">
        <w:rPr>
          <w:rtl/>
        </w:rPr>
        <w:t xml:space="preserve"> </w:t>
      </w:r>
      <w:r w:rsidRPr="00E630B3">
        <w:rPr>
          <w:rFonts w:hint="eastAsia"/>
          <w:rtl/>
        </w:rPr>
        <w:t>הלבנת</w:t>
      </w:r>
      <w:r w:rsidRPr="00E630B3">
        <w:rPr>
          <w:rtl/>
        </w:rPr>
        <w:t xml:space="preserve"> </w:t>
      </w:r>
      <w:r w:rsidRPr="00E630B3">
        <w:rPr>
          <w:rFonts w:hint="eastAsia"/>
          <w:rtl/>
        </w:rPr>
        <w:t>הון</w:t>
      </w:r>
      <w:r w:rsidRPr="00E630B3">
        <w:rPr>
          <w:rtl/>
        </w:rPr>
        <w:t xml:space="preserve"> </w:t>
      </w:r>
      <w:r w:rsidRPr="00E630B3">
        <w:rPr>
          <w:rFonts w:hint="eastAsia"/>
          <w:rtl/>
        </w:rPr>
        <w:t>נכונה</w:t>
      </w:r>
      <w:r w:rsidRPr="00E630B3">
        <w:rPr>
          <w:rtl/>
        </w:rPr>
        <w:t xml:space="preserve"> </w:t>
      </w:r>
      <w:r w:rsidRPr="00E630B3">
        <w:rPr>
          <w:rFonts w:hint="eastAsia"/>
          <w:rtl/>
        </w:rPr>
        <w:t>ליום</w:t>
      </w:r>
      <w:r w:rsidRPr="00E630B3">
        <w:rPr>
          <w:rtl/>
        </w:rPr>
        <w:t xml:space="preserve"> 30.6.19</w:t>
      </w:r>
      <w:r w:rsidRPr="00E630B3">
        <w:rPr>
          <w:rFonts w:hint="cs"/>
          <w:rtl/>
        </w:rPr>
        <w:t xml:space="preserve"> לפני התאמות (הפחתת הסכומים שיועדו לגורמים אחרים כדוגמת נפגעי עבירה).</w:t>
      </w:r>
    </w:p>
    <w:p w14:paraId="18C856B4" w14:textId="1F27C3ED" w:rsidR="00F368B6" w:rsidRPr="00E630B3" w:rsidRDefault="00F368B6" w:rsidP="007F491E">
      <w:pPr>
        <w:pStyle w:val="af5"/>
        <w:rPr>
          <w:rtl/>
        </w:rPr>
      </w:pPr>
      <w:r w:rsidRPr="00E630B3">
        <w:rPr>
          <w:rtl/>
        </w:rPr>
        <w:t xml:space="preserve">** </w:t>
      </w:r>
      <w:r w:rsidR="00711570">
        <w:rPr>
          <w:rtl/>
        </w:rPr>
        <w:tab/>
      </w:r>
      <w:r w:rsidRPr="00E630B3">
        <w:rPr>
          <w:rFonts w:hint="eastAsia"/>
          <w:rtl/>
        </w:rPr>
        <w:t>יתרת</w:t>
      </w:r>
      <w:r w:rsidRPr="00E630B3">
        <w:rPr>
          <w:rtl/>
        </w:rPr>
        <w:t xml:space="preserve"> </w:t>
      </w:r>
      <w:r w:rsidRPr="00E630B3">
        <w:rPr>
          <w:rFonts w:hint="eastAsia"/>
          <w:rtl/>
        </w:rPr>
        <w:t>הכספים</w:t>
      </w:r>
      <w:r w:rsidRPr="00E630B3">
        <w:rPr>
          <w:rtl/>
        </w:rPr>
        <w:t xml:space="preserve"> </w:t>
      </w:r>
      <w:r w:rsidRPr="00E630B3">
        <w:rPr>
          <w:rFonts w:hint="eastAsia"/>
          <w:rtl/>
        </w:rPr>
        <w:t>בקרן</w:t>
      </w:r>
      <w:r w:rsidRPr="00E630B3">
        <w:rPr>
          <w:rtl/>
        </w:rPr>
        <w:t xml:space="preserve"> </w:t>
      </w:r>
      <w:r w:rsidRPr="00E630B3">
        <w:rPr>
          <w:rFonts w:hint="eastAsia"/>
          <w:rtl/>
        </w:rPr>
        <w:t>חילוט</w:t>
      </w:r>
      <w:r w:rsidRPr="00E630B3">
        <w:rPr>
          <w:rtl/>
        </w:rPr>
        <w:t xml:space="preserve"> </w:t>
      </w:r>
      <w:r w:rsidRPr="00E630B3">
        <w:rPr>
          <w:rFonts w:hint="eastAsia"/>
          <w:rtl/>
        </w:rPr>
        <w:t>סמים</w:t>
      </w:r>
      <w:r w:rsidRPr="00E630B3">
        <w:rPr>
          <w:rtl/>
        </w:rPr>
        <w:t xml:space="preserve"> </w:t>
      </w:r>
      <w:r w:rsidRPr="00E630B3">
        <w:rPr>
          <w:rFonts w:hint="eastAsia"/>
          <w:rtl/>
        </w:rPr>
        <w:t>נכונה</w:t>
      </w:r>
      <w:r w:rsidRPr="00E630B3">
        <w:rPr>
          <w:rtl/>
        </w:rPr>
        <w:t xml:space="preserve"> </w:t>
      </w:r>
      <w:r w:rsidRPr="00E630B3">
        <w:rPr>
          <w:rFonts w:hint="eastAsia"/>
          <w:rtl/>
        </w:rPr>
        <w:t>ליום</w:t>
      </w:r>
      <w:r w:rsidRPr="00E630B3">
        <w:rPr>
          <w:rtl/>
        </w:rPr>
        <w:t xml:space="preserve"> 15.7.19.</w:t>
      </w:r>
    </w:p>
    <w:p w14:paraId="58B303AB" w14:textId="539413BE" w:rsidR="00F368B6" w:rsidRPr="00E630B3" w:rsidRDefault="00F368B6" w:rsidP="007F491E">
      <w:pPr>
        <w:pStyle w:val="af5"/>
        <w:rPr>
          <w:rtl/>
        </w:rPr>
      </w:pPr>
      <w:r w:rsidRPr="00E630B3">
        <w:rPr>
          <w:rtl/>
        </w:rPr>
        <w:t xml:space="preserve">*** </w:t>
      </w:r>
      <w:r w:rsidR="00711570">
        <w:rPr>
          <w:rtl/>
        </w:rPr>
        <w:tab/>
      </w:r>
      <w:r w:rsidRPr="00E630B3">
        <w:rPr>
          <w:rFonts w:hint="eastAsia"/>
          <w:rtl/>
        </w:rPr>
        <w:t>יתרת</w:t>
      </w:r>
      <w:r w:rsidRPr="00E630B3">
        <w:rPr>
          <w:rtl/>
        </w:rPr>
        <w:t xml:space="preserve"> </w:t>
      </w:r>
      <w:r w:rsidRPr="00E630B3">
        <w:rPr>
          <w:rFonts w:hint="cs"/>
          <w:rtl/>
        </w:rPr>
        <w:t>הכספים</w:t>
      </w:r>
      <w:r w:rsidRPr="00E630B3">
        <w:rPr>
          <w:rtl/>
        </w:rPr>
        <w:t xml:space="preserve"> </w:t>
      </w:r>
      <w:r w:rsidRPr="00E630B3">
        <w:rPr>
          <w:rFonts w:hint="cs"/>
          <w:rtl/>
        </w:rPr>
        <w:t>בקרן</w:t>
      </w:r>
      <w:r w:rsidRPr="00E630B3">
        <w:rPr>
          <w:rtl/>
        </w:rPr>
        <w:t xml:space="preserve"> </w:t>
      </w:r>
      <w:r w:rsidRPr="00E630B3">
        <w:rPr>
          <w:rFonts w:hint="cs"/>
          <w:rtl/>
        </w:rPr>
        <w:t>סחר</w:t>
      </w:r>
      <w:r w:rsidRPr="00E630B3">
        <w:rPr>
          <w:rtl/>
        </w:rPr>
        <w:t xml:space="preserve"> </w:t>
      </w:r>
      <w:r w:rsidRPr="00E630B3">
        <w:rPr>
          <w:rFonts w:hint="cs"/>
          <w:rtl/>
        </w:rPr>
        <w:t>בבני</w:t>
      </w:r>
      <w:r w:rsidRPr="00E630B3">
        <w:rPr>
          <w:rtl/>
        </w:rPr>
        <w:t xml:space="preserve"> </w:t>
      </w:r>
      <w:r w:rsidRPr="00E630B3">
        <w:rPr>
          <w:rFonts w:hint="cs"/>
          <w:rtl/>
        </w:rPr>
        <w:t>אדם</w:t>
      </w:r>
      <w:r w:rsidRPr="00E630B3">
        <w:rPr>
          <w:rtl/>
        </w:rPr>
        <w:t xml:space="preserve"> </w:t>
      </w:r>
      <w:r w:rsidRPr="00E630B3">
        <w:rPr>
          <w:rFonts w:hint="cs"/>
          <w:rtl/>
        </w:rPr>
        <w:t>נכונה</w:t>
      </w:r>
      <w:r w:rsidRPr="00E630B3">
        <w:rPr>
          <w:rtl/>
        </w:rPr>
        <w:t xml:space="preserve"> </w:t>
      </w:r>
      <w:r w:rsidRPr="00E630B3">
        <w:rPr>
          <w:rFonts w:hint="cs"/>
          <w:rtl/>
        </w:rPr>
        <w:t>ליום</w:t>
      </w:r>
      <w:r w:rsidRPr="00E630B3">
        <w:rPr>
          <w:rtl/>
        </w:rPr>
        <w:t xml:space="preserve"> 31.12.18.</w:t>
      </w:r>
    </w:p>
    <w:p w14:paraId="66A08D83" w14:textId="77777777" w:rsidR="00F368B6" w:rsidRPr="00E630B3" w:rsidRDefault="00F368B6" w:rsidP="007F491E">
      <w:pPr>
        <w:pStyle w:val="af5"/>
        <w:rPr>
          <w:rtl/>
        </w:rPr>
      </w:pPr>
      <w:r w:rsidRPr="00E630B3">
        <w:rPr>
          <w:rtl/>
        </w:rPr>
        <w:t xml:space="preserve">**** </w:t>
      </w:r>
      <w:r w:rsidRPr="00E630B3">
        <w:rPr>
          <w:rFonts w:hint="cs"/>
          <w:rtl/>
        </w:rPr>
        <w:t>בשנת</w:t>
      </w:r>
      <w:r w:rsidRPr="00E630B3">
        <w:rPr>
          <w:rtl/>
        </w:rPr>
        <w:t xml:space="preserve"> 2016 </w:t>
      </w:r>
      <w:r w:rsidRPr="00E630B3">
        <w:rPr>
          <w:rFonts w:hint="cs"/>
          <w:rtl/>
        </w:rPr>
        <w:t>הועבר לקרן סכום נוסף של כ-85 מיליון ש"ח במסגרת תיק אחד. הסכום צפוי לעבור לאוצר המדינה נוכח סיווג העבירה בגינה חולט</w:t>
      </w:r>
      <w:r w:rsidRPr="00E630B3">
        <w:rPr>
          <w:rtl/>
        </w:rPr>
        <w:t>.</w:t>
      </w:r>
      <w:r w:rsidRPr="00E630B3">
        <w:rPr>
          <w:rFonts w:hint="cs"/>
          <w:rtl/>
        </w:rPr>
        <w:t xml:space="preserve"> סכום זה כלול גם ביתרת הקרן.</w:t>
      </w:r>
    </w:p>
    <w:p w14:paraId="3861C4FD" w14:textId="77777777" w:rsidR="00F368B6" w:rsidRPr="00955B38" w:rsidRDefault="00F368B6" w:rsidP="00F368B6">
      <w:pPr>
        <w:spacing w:line="269" w:lineRule="auto"/>
        <w:rPr>
          <w:sz w:val="22"/>
          <w:szCs w:val="22"/>
          <w:rtl/>
        </w:rPr>
      </w:pPr>
    </w:p>
    <w:p w14:paraId="19D3413D" w14:textId="77777777" w:rsidR="00C3798B" w:rsidRDefault="00C3798B">
      <w:pPr>
        <w:bidi w:val="0"/>
        <w:spacing w:after="200" w:line="276" w:lineRule="auto"/>
        <w:rPr>
          <w:rFonts w:ascii="Tahoma" w:hAnsi="Tahoma" w:cs="Tahoma"/>
          <w:szCs w:val="20"/>
          <w:rtl/>
        </w:rPr>
      </w:pPr>
      <w:r>
        <w:rPr>
          <w:rtl/>
        </w:rPr>
        <w:br w:type="page"/>
      </w:r>
    </w:p>
    <w:p w14:paraId="339BD714" w14:textId="3E107E8A" w:rsidR="00F368B6" w:rsidRDefault="00F368B6" w:rsidP="00711570">
      <w:pPr>
        <w:pStyle w:val="af0"/>
        <w:rPr>
          <w:rtl/>
        </w:rPr>
      </w:pPr>
      <w:r>
        <w:rPr>
          <w:rFonts w:hint="cs"/>
          <w:rtl/>
        </w:rPr>
        <w:lastRenderedPageBreak/>
        <w:t>נוסף על כך מנהל האכ"פ כספים שנתפסו בתפיסה זמנית. בסוף שנת 2017 הייתה היתרה בקרן המכונה על ידי האפ"כ "קרן חילוט זמני" כ-233 מיליון ש"ח</w:t>
      </w:r>
      <w:r>
        <w:rPr>
          <w:rStyle w:val="FootnoteReference"/>
          <w:rtl/>
        </w:rPr>
        <w:footnoteReference w:id="17"/>
      </w:r>
      <w:r>
        <w:rPr>
          <w:rFonts w:hint="cs"/>
          <w:rtl/>
        </w:rPr>
        <w:t xml:space="preserve">. נכון לסוף שנת 2018 היתרה בקרן זו הייתה </w:t>
      </w:r>
      <w:r w:rsidRPr="009E659A">
        <w:rPr>
          <w:rFonts w:hint="cs"/>
          <w:rtl/>
        </w:rPr>
        <w:t>כ-621 מיליון ש"ח</w:t>
      </w:r>
      <w:r>
        <w:rPr>
          <w:rFonts w:hint="cs"/>
          <w:rtl/>
        </w:rPr>
        <w:t>, כמפורט בלוח 2</w:t>
      </w:r>
      <w:r>
        <w:rPr>
          <w:rStyle w:val="FootnoteReference"/>
          <w:rtl/>
        </w:rPr>
        <w:footnoteReference w:id="18"/>
      </w:r>
      <w:r>
        <w:rPr>
          <w:rFonts w:hint="cs"/>
          <w:rtl/>
        </w:rPr>
        <w:t>.</w:t>
      </w:r>
    </w:p>
    <w:p w14:paraId="454ACB0D" w14:textId="72C64626" w:rsidR="00F368B6" w:rsidRPr="00711570" w:rsidRDefault="00F368B6" w:rsidP="00711570">
      <w:pPr>
        <w:pStyle w:val="a6"/>
        <w:rPr>
          <w:b/>
          <w:bCs/>
          <w:rtl/>
        </w:rPr>
      </w:pPr>
      <w:r w:rsidRPr="009E295E">
        <w:rPr>
          <w:rFonts w:hint="cs"/>
          <w:rtl/>
        </w:rPr>
        <w:t xml:space="preserve">לוח </w:t>
      </w:r>
      <w:r>
        <w:rPr>
          <w:rFonts w:hint="cs"/>
          <w:rtl/>
        </w:rPr>
        <w:t>2</w:t>
      </w:r>
      <w:r w:rsidRPr="009E295E">
        <w:rPr>
          <w:rFonts w:hint="cs"/>
          <w:rtl/>
        </w:rPr>
        <w:t xml:space="preserve">: </w:t>
      </w:r>
      <w:r w:rsidRPr="00711570">
        <w:rPr>
          <w:rFonts w:hint="cs"/>
          <w:b/>
          <w:bCs/>
          <w:rtl/>
        </w:rPr>
        <w:t>יתרות הכספים המנוהלים בקרן חילוט זמני, בחלוקה לפי ייעודם במקרה של חילוט, נכון לדצמבר 2018</w:t>
      </w:r>
    </w:p>
    <w:tbl>
      <w:tblPr>
        <w:tblStyle w:val="TableGrid"/>
        <w:bidiVisual/>
        <w:tblW w:w="0" w:type="auto"/>
        <w:jc w:val="center"/>
        <w:tblLook w:val="04A0" w:firstRow="1" w:lastRow="0" w:firstColumn="1" w:lastColumn="0" w:noHBand="0" w:noVBand="1"/>
      </w:tblPr>
      <w:tblGrid>
        <w:gridCol w:w="2003"/>
        <w:gridCol w:w="2003"/>
      </w:tblGrid>
      <w:tr w:rsidR="00F368B6" w:rsidRPr="004C6663" w14:paraId="422A346F" w14:textId="77777777" w:rsidTr="00C3798B">
        <w:trPr>
          <w:trHeight w:val="517"/>
          <w:jc w:val="center"/>
        </w:trPr>
        <w:tc>
          <w:tcPr>
            <w:tcW w:w="2003" w:type="dxa"/>
            <w:shd w:val="clear" w:color="auto" w:fill="C6D9F1"/>
            <w:vAlign w:val="bottom"/>
          </w:tcPr>
          <w:p w14:paraId="615C892A" w14:textId="77777777" w:rsidR="00F368B6" w:rsidRPr="004C6663" w:rsidRDefault="00F368B6" w:rsidP="002503C9">
            <w:pPr>
              <w:pStyle w:val="ad"/>
              <w:rPr>
                <w:rtl/>
              </w:rPr>
            </w:pPr>
            <w:r w:rsidRPr="004C6663">
              <w:rPr>
                <w:rFonts w:hint="cs"/>
                <w:rtl/>
              </w:rPr>
              <w:t>קרן חילוט זמני</w:t>
            </w:r>
          </w:p>
        </w:tc>
        <w:tc>
          <w:tcPr>
            <w:tcW w:w="2003" w:type="dxa"/>
            <w:shd w:val="clear" w:color="auto" w:fill="C6D9F1"/>
            <w:vAlign w:val="bottom"/>
          </w:tcPr>
          <w:p w14:paraId="3606E920" w14:textId="77777777" w:rsidR="00F368B6" w:rsidRPr="004C6663" w:rsidRDefault="00F368B6" w:rsidP="002503C9">
            <w:pPr>
              <w:pStyle w:val="ad"/>
              <w:rPr>
                <w:rtl/>
              </w:rPr>
            </w:pPr>
            <w:r w:rsidRPr="004C6663">
              <w:rPr>
                <w:rFonts w:hint="cs"/>
                <w:rtl/>
              </w:rPr>
              <w:t>סכום (אלפי ש"ח)</w:t>
            </w:r>
          </w:p>
        </w:tc>
      </w:tr>
      <w:tr w:rsidR="00F368B6" w:rsidRPr="00E630B3" w14:paraId="559E8C4F" w14:textId="77777777" w:rsidTr="004C6663">
        <w:trPr>
          <w:trHeight w:val="315"/>
          <w:jc w:val="center"/>
        </w:trPr>
        <w:tc>
          <w:tcPr>
            <w:tcW w:w="2003" w:type="dxa"/>
            <w:shd w:val="clear" w:color="auto" w:fill="auto"/>
            <w:vAlign w:val="bottom"/>
          </w:tcPr>
          <w:p w14:paraId="682A6EEC" w14:textId="77777777" w:rsidR="00F368B6" w:rsidRPr="004C6663" w:rsidRDefault="00F368B6" w:rsidP="004C6663">
            <w:pPr>
              <w:pStyle w:val="R"/>
              <w:rPr>
                <w:szCs w:val="20"/>
                <w:rtl/>
              </w:rPr>
            </w:pPr>
            <w:r w:rsidRPr="004C6663">
              <w:rPr>
                <w:rFonts w:hint="cs"/>
                <w:szCs w:val="20"/>
                <w:rtl/>
              </w:rPr>
              <w:t>קרן הלבנת הון</w:t>
            </w:r>
          </w:p>
        </w:tc>
        <w:tc>
          <w:tcPr>
            <w:tcW w:w="2003" w:type="dxa"/>
            <w:shd w:val="clear" w:color="auto" w:fill="auto"/>
            <w:vAlign w:val="bottom"/>
          </w:tcPr>
          <w:p w14:paraId="3EEE4374" w14:textId="77777777" w:rsidR="00F368B6" w:rsidRPr="004C6663" w:rsidRDefault="00F368B6" w:rsidP="004C6663">
            <w:pPr>
              <w:pStyle w:val="R"/>
              <w:rPr>
                <w:szCs w:val="20"/>
                <w:rtl/>
              </w:rPr>
            </w:pPr>
            <w:r w:rsidRPr="004C6663">
              <w:rPr>
                <w:rFonts w:hint="cs"/>
                <w:szCs w:val="20"/>
                <w:rtl/>
              </w:rPr>
              <w:t>600,632</w:t>
            </w:r>
          </w:p>
        </w:tc>
      </w:tr>
      <w:tr w:rsidR="00F368B6" w:rsidRPr="00E630B3" w14:paraId="28735075" w14:textId="77777777" w:rsidTr="004C6663">
        <w:trPr>
          <w:trHeight w:val="264"/>
          <w:jc w:val="center"/>
        </w:trPr>
        <w:tc>
          <w:tcPr>
            <w:tcW w:w="2003" w:type="dxa"/>
            <w:shd w:val="clear" w:color="auto" w:fill="auto"/>
            <w:vAlign w:val="bottom"/>
          </w:tcPr>
          <w:p w14:paraId="3E79A45E" w14:textId="77777777" w:rsidR="00F368B6" w:rsidRPr="004C6663" w:rsidRDefault="00F368B6" w:rsidP="004C6663">
            <w:pPr>
              <w:pStyle w:val="R"/>
              <w:rPr>
                <w:szCs w:val="20"/>
                <w:rtl/>
              </w:rPr>
            </w:pPr>
            <w:r w:rsidRPr="004C6663">
              <w:rPr>
                <w:rFonts w:hint="cs"/>
                <w:szCs w:val="20"/>
                <w:rtl/>
              </w:rPr>
              <w:t>קרן סמים</w:t>
            </w:r>
          </w:p>
        </w:tc>
        <w:tc>
          <w:tcPr>
            <w:tcW w:w="2003" w:type="dxa"/>
            <w:shd w:val="clear" w:color="auto" w:fill="auto"/>
            <w:vAlign w:val="bottom"/>
          </w:tcPr>
          <w:p w14:paraId="5BA372AD" w14:textId="77777777" w:rsidR="00F368B6" w:rsidRPr="004C6663" w:rsidRDefault="00F368B6" w:rsidP="004C6663">
            <w:pPr>
              <w:pStyle w:val="R"/>
              <w:rPr>
                <w:szCs w:val="20"/>
                <w:rtl/>
              </w:rPr>
            </w:pPr>
            <w:r w:rsidRPr="004C6663">
              <w:rPr>
                <w:rFonts w:hint="cs"/>
                <w:szCs w:val="20"/>
                <w:rtl/>
              </w:rPr>
              <w:t>17,331</w:t>
            </w:r>
          </w:p>
        </w:tc>
      </w:tr>
      <w:tr w:rsidR="00F368B6" w:rsidRPr="00E630B3" w14:paraId="75EB8515" w14:textId="77777777" w:rsidTr="004C6663">
        <w:trPr>
          <w:trHeight w:val="281"/>
          <w:jc w:val="center"/>
        </w:trPr>
        <w:tc>
          <w:tcPr>
            <w:tcW w:w="2003" w:type="dxa"/>
            <w:shd w:val="clear" w:color="auto" w:fill="auto"/>
            <w:vAlign w:val="bottom"/>
          </w:tcPr>
          <w:p w14:paraId="6AE26AC6" w14:textId="77777777" w:rsidR="00F368B6" w:rsidRPr="004C6663" w:rsidRDefault="00F368B6" w:rsidP="004C6663">
            <w:pPr>
              <w:pStyle w:val="R"/>
              <w:rPr>
                <w:szCs w:val="20"/>
                <w:rtl/>
              </w:rPr>
            </w:pPr>
            <w:r w:rsidRPr="004C6663">
              <w:rPr>
                <w:rFonts w:hint="cs"/>
                <w:szCs w:val="20"/>
                <w:rtl/>
              </w:rPr>
              <w:t>אוצר המדינה</w:t>
            </w:r>
            <w:r w:rsidRPr="001E6BD6">
              <w:rPr>
                <w:rStyle w:val="FootnoteReference"/>
                <w:szCs w:val="20"/>
                <w:rtl/>
              </w:rPr>
              <w:footnoteReference w:id="19"/>
            </w:r>
          </w:p>
        </w:tc>
        <w:tc>
          <w:tcPr>
            <w:tcW w:w="2003" w:type="dxa"/>
            <w:shd w:val="clear" w:color="auto" w:fill="auto"/>
            <w:vAlign w:val="bottom"/>
          </w:tcPr>
          <w:p w14:paraId="0B2718B5" w14:textId="77777777" w:rsidR="00F368B6" w:rsidRPr="004C6663" w:rsidRDefault="00F368B6" w:rsidP="004C6663">
            <w:pPr>
              <w:pStyle w:val="R"/>
              <w:rPr>
                <w:szCs w:val="20"/>
                <w:rtl/>
              </w:rPr>
            </w:pPr>
            <w:r w:rsidRPr="004C6663">
              <w:rPr>
                <w:rFonts w:hint="cs"/>
                <w:szCs w:val="20"/>
                <w:rtl/>
              </w:rPr>
              <w:t>2,972</w:t>
            </w:r>
          </w:p>
        </w:tc>
      </w:tr>
      <w:tr w:rsidR="00F368B6" w:rsidRPr="00E630B3" w14:paraId="1FBC5B21" w14:textId="77777777" w:rsidTr="004C6663">
        <w:trPr>
          <w:trHeight w:val="501"/>
          <w:jc w:val="center"/>
        </w:trPr>
        <w:tc>
          <w:tcPr>
            <w:tcW w:w="2003" w:type="dxa"/>
            <w:shd w:val="clear" w:color="auto" w:fill="auto"/>
            <w:vAlign w:val="bottom"/>
          </w:tcPr>
          <w:p w14:paraId="675D72B5" w14:textId="77777777" w:rsidR="00F368B6" w:rsidRPr="004C6663" w:rsidRDefault="00F368B6" w:rsidP="004C6663">
            <w:pPr>
              <w:pStyle w:val="R"/>
              <w:rPr>
                <w:szCs w:val="20"/>
                <w:rtl/>
              </w:rPr>
            </w:pPr>
            <w:r w:rsidRPr="004C6663">
              <w:rPr>
                <w:rFonts w:hint="cs"/>
                <w:szCs w:val="20"/>
                <w:rtl/>
              </w:rPr>
              <w:t>קרן סחר בבני אדם</w:t>
            </w:r>
          </w:p>
        </w:tc>
        <w:tc>
          <w:tcPr>
            <w:tcW w:w="2003" w:type="dxa"/>
            <w:shd w:val="clear" w:color="auto" w:fill="auto"/>
            <w:vAlign w:val="bottom"/>
          </w:tcPr>
          <w:p w14:paraId="0706822B" w14:textId="77777777" w:rsidR="00F368B6" w:rsidRPr="004C6663" w:rsidRDefault="00F368B6" w:rsidP="004C6663">
            <w:pPr>
              <w:pStyle w:val="R"/>
              <w:rPr>
                <w:szCs w:val="20"/>
                <w:rtl/>
              </w:rPr>
            </w:pPr>
            <w:r w:rsidRPr="004C6663">
              <w:rPr>
                <w:rFonts w:hint="cs"/>
                <w:szCs w:val="20"/>
                <w:rtl/>
              </w:rPr>
              <w:t>0</w:t>
            </w:r>
          </w:p>
        </w:tc>
      </w:tr>
    </w:tbl>
    <w:p w14:paraId="1800BA9C" w14:textId="41A5F899" w:rsidR="00F368B6" w:rsidRDefault="00F368B6" w:rsidP="004C6663">
      <w:pPr>
        <w:pStyle w:val="a8"/>
        <w:rPr>
          <w:rtl/>
        </w:rPr>
      </w:pPr>
      <w:r>
        <w:rPr>
          <w:rFonts w:hint="cs"/>
          <w:rtl/>
        </w:rPr>
        <w:t xml:space="preserve"> </w:t>
      </w:r>
      <w:r w:rsidRPr="00FB061C">
        <w:rPr>
          <w:rFonts w:hint="cs"/>
          <w:rtl/>
        </w:rPr>
        <w:t xml:space="preserve">המקור: </w:t>
      </w:r>
      <w:r>
        <w:rPr>
          <w:rFonts w:hint="cs"/>
          <w:rtl/>
        </w:rPr>
        <w:t>נתוני האפ"כ</w:t>
      </w:r>
      <w:r w:rsidR="00925BBA">
        <w:rPr>
          <w:rFonts w:hint="cs"/>
          <w:rtl/>
        </w:rPr>
        <w:t>.</w:t>
      </w:r>
    </w:p>
    <w:p w14:paraId="7DF50457" w14:textId="286F3AAB" w:rsidR="00F368B6" w:rsidRDefault="00F368B6" w:rsidP="00C3798B">
      <w:pPr>
        <w:pStyle w:val="af0"/>
        <w:rPr>
          <w:rtl/>
        </w:rPr>
      </w:pPr>
      <w:r w:rsidRPr="000B5A81">
        <w:rPr>
          <w:rFonts w:hint="cs"/>
          <w:rtl/>
        </w:rPr>
        <w:t xml:space="preserve">בשנת 2012 מונתה מועצה להכוונת פעולות הקרן </w:t>
      </w:r>
      <w:r>
        <w:rPr>
          <w:rFonts w:hint="cs"/>
          <w:rtl/>
        </w:rPr>
        <w:t xml:space="preserve">הייעודית להפקדת רכוש שחולט מכוח חוק </w:t>
      </w:r>
      <w:r w:rsidRPr="000B5A81">
        <w:rPr>
          <w:rFonts w:hint="cs"/>
          <w:rtl/>
        </w:rPr>
        <w:t>איסור הלבנת הון</w:t>
      </w:r>
      <w:r>
        <w:rPr>
          <w:rFonts w:hint="cs"/>
          <w:rtl/>
        </w:rPr>
        <w:t>. המועצה</w:t>
      </w:r>
      <w:r w:rsidRPr="000B5A81">
        <w:rPr>
          <w:rFonts w:hint="cs"/>
          <w:rtl/>
        </w:rPr>
        <w:t xml:space="preserve"> פועלת תחת משרד המשפטים</w:t>
      </w:r>
      <w:r>
        <w:rPr>
          <w:rFonts w:hint="cs"/>
          <w:rtl/>
        </w:rPr>
        <w:t>,</w:t>
      </w:r>
      <w:r w:rsidRPr="000B5A81">
        <w:rPr>
          <w:rFonts w:hint="cs"/>
          <w:rtl/>
        </w:rPr>
        <w:t xml:space="preserve"> </w:t>
      </w:r>
      <w:r>
        <w:rPr>
          <w:rFonts w:hint="cs"/>
          <w:rtl/>
        </w:rPr>
        <w:t xml:space="preserve">ובמסגרת </w:t>
      </w:r>
      <w:r w:rsidRPr="000B5A81">
        <w:rPr>
          <w:rFonts w:hint="cs"/>
          <w:rtl/>
        </w:rPr>
        <w:t>תפקידה</w:t>
      </w:r>
      <w:r>
        <w:rPr>
          <w:rFonts w:hint="cs"/>
          <w:rtl/>
        </w:rPr>
        <w:t xml:space="preserve"> היא קובעת כיצד</w:t>
      </w:r>
      <w:r w:rsidRPr="000B5A81">
        <w:rPr>
          <w:rFonts w:hint="cs"/>
          <w:rtl/>
        </w:rPr>
        <w:t xml:space="preserve"> לחלק את הכספים המצטברים בקרן </w:t>
      </w:r>
      <w:r>
        <w:rPr>
          <w:rFonts w:hint="cs"/>
          <w:rtl/>
        </w:rPr>
        <w:t xml:space="preserve">איסור הלבנת הון </w:t>
      </w:r>
      <w:r w:rsidRPr="000B5A81">
        <w:rPr>
          <w:rFonts w:hint="cs"/>
          <w:rtl/>
        </w:rPr>
        <w:t>בין הגופים העוסקים באכיפה כלכלית</w:t>
      </w:r>
      <w:r>
        <w:rPr>
          <w:rFonts w:hint="cs"/>
          <w:rtl/>
        </w:rPr>
        <w:t>,</w:t>
      </w:r>
      <w:r w:rsidRPr="000B5A81">
        <w:rPr>
          <w:rFonts w:hint="cs"/>
          <w:rtl/>
        </w:rPr>
        <w:t xml:space="preserve"> על פי קריטריונים הקבועים בדין</w:t>
      </w:r>
      <w:r>
        <w:rPr>
          <w:rFonts w:hint="cs"/>
          <w:rtl/>
        </w:rPr>
        <w:t xml:space="preserve"> </w:t>
      </w:r>
      <w:r w:rsidRPr="000B5A81">
        <w:rPr>
          <w:rFonts w:hint="cs"/>
          <w:rtl/>
        </w:rPr>
        <w:t xml:space="preserve">(להלן - מועצת החילוט). </w:t>
      </w:r>
    </w:p>
    <w:p w14:paraId="136B610E" w14:textId="77777777" w:rsidR="00F368B6" w:rsidRPr="00CF4FB8" w:rsidRDefault="00F368B6" w:rsidP="00C3798B">
      <w:pPr>
        <w:pStyle w:val="a0"/>
        <w:rPr>
          <w:rtl/>
        </w:rPr>
      </w:pPr>
      <w:r w:rsidRPr="00CF4FB8">
        <w:rPr>
          <w:rFonts w:hint="cs"/>
          <w:rtl/>
        </w:rPr>
        <w:t>להלן בתרשים 2 מספר התיקים שהסתיימו בשנים 2016 - 2018 בהכרעת דין, בהתפלגות לפי היקף הרכוש שחולט.</w:t>
      </w:r>
    </w:p>
    <w:p w14:paraId="19772344" w14:textId="77777777" w:rsidR="00F368B6" w:rsidRDefault="00F368B6" w:rsidP="00F368B6">
      <w:pPr>
        <w:spacing w:line="269" w:lineRule="auto"/>
        <w:rPr>
          <w:rFonts w:asciiTheme="minorBidi" w:eastAsia="Times New Roman" w:hAnsiTheme="minorBidi"/>
          <w:sz w:val="24"/>
          <w:rtl/>
        </w:rPr>
      </w:pPr>
    </w:p>
    <w:p w14:paraId="6C5248F6" w14:textId="77777777" w:rsidR="00C3798B" w:rsidRDefault="00C3798B">
      <w:pPr>
        <w:bidi w:val="0"/>
        <w:spacing w:after="200" w:line="276" w:lineRule="auto"/>
        <w:rPr>
          <w:rFonts w:asciiTheme="minorBidi" w:eastAsia="Times New Roman" w:hAnsiTheme="minorBidi"/>
          <w:b/>
          <w:bCs/>
          <w:sz w:val="24"/>
          <w:rtl/>
        </w:rPr>
      </w:pPr>
      <w:r>
        <w:rPr>
          <w:rFonts w:asciiTheme="minorBidi" w:eastAsia="Times New Roman" w:hAnsiTheme="minorBidi"/>
          <w:b/>
          <w:bCs/>
          <w:sz w:val="24"/>
          <w:rtl/>
        </w:rPr>
        <w:br w:type="page"/>
      </w:r>
    </w:p>
    <w:p w14:paraId="0A909EA1" w14:textId="587A711D" w:rsidR="00F368B6" w:rsidRPr="00C3798B" w:rsidRDefault="00F368B6" w:rsidP="00C3798B">
      <w:pPr>
        <w:pStyle w:val="a6"/>
        <w:rPr>
          <w:rFonts w:eastAsia="Times New Roman"/>
          <w:b/>
          <w:bCs/>
          <w:rtl/>
        </w:rPr>
      </w:pPr>
      <w:r w:rsidRPr="00BA160A">
        <w:rPr>
          <w:rFonts w:eastAsia="Times New Roman" w:hint="eastAsia"/>
          <w:rtl/>
        </w:rPr>
        <w:lastRenderedPageBreak/>
        <w:t>תרשים</w:t>
      </w:r>
      <w:r w:rsidRPr="00BA160A">
        <w:rPr>
          <w:rFonts w:eastAsia="Times New Roman"/>
          <w:rtl/>
        </w:rPr>
        <w:t xml:space="preserve"> 2: </w:t>
      </w:r>
      <w:r w:rsidRPr="00C3798B">
        <w:rPr>
          <w:rFonts w:eastAsia="Times New Roman" w:hint="eastAsia"/>
          <w:b/>
          <w:bCs/>
          <w:rtl/>
        </w:rPr>
        <w:t>מספר</w:t>
      </w:r>
      <w:r w:rsidRPr="00C3798B">
        <w:rPr>
          <w:rFonts w:eastAsia="Times New Roman"/>
          <w:b/>
          <w:bCs/>
          <w:rtl/>
        </w:rPr>
        <w:t xml:space="preserve"> </w:t>
      </w:r>
      <w:r w:rsidRPr="00C3798B">
        <w:rPr>
          <w:rFonts w:eastAsia="Times New Roman" w:hint="cs"/>
          <w:b/>
          <w:bCs/>
          <w:rtl/>
        </w:rPr>
        <w:t>ה</w:t>
      </w:r>
      <w:r w:rsidRPr="00C3798B">
        <w:rPr>
          <w:rFonts w:eastAsia="Times New Roman" w:hint="eastAsia"/>
          <w:b/>
          <w:bCs/>
          <w:rtl/>
        </w:rPr>
        <w:t>תיקי</w:t>
      </w:r>
      <w:r w:rsidRPr="00C3798B">
        <w:rPr>
          <w:rFonts w:eastAsia="Times New Roman" w:hint="cs"/>
          <w:b/>
          <w:bCs/>
          <w:rtl/>
        </w:rPr>
        <w:t>ם</w:t>
      </w:r>
      <w:r w:rsidRPr="00C3798B">
        <w:rPr>
          <w:rFonts w:eastAsia="Times New Roman"/>
          <w:b/>
          <w:bCs/>
          <w:rtl/>
        </w:rPr>
        <w:t xml:space="preserve"> </w:t>
      </w:r>
      <w:r w:rsidRPr="00C3798B">
        <w:rPr>
          <w:rFonts w:eastAsia="Times New Roman" w:hint="eastAsia"/>
          <w:b/>
          <w:bCs/>
          <w:rtl/>
        </w:rPr>
        <w:t>שהסתיימו</w:t>
      </w:r>
      <w:r w:rsidRPr="00C3798B">
        <w:rPr>
          <w:rFonts w:eastAsia="Times New Roman"/>
          <w:b/>
          <w:bCs/>
          <w:rtl/>
        </w:rPr>
        <w:t xml:space="preserve"> </w:t>
      </w:r>
      <w:r w:rsidRPr="00C3798B">
        <w:rPr>
          <w:rFonts w:eastAsia="Times New Roman" w:hint="cs"/>
          <w:b/>
          <w:bCs/>
          <w:rtl/>
        </w:rPr>
        <w:t>בהכרעת דין בכלל עילות החילוט,</w:t>
      </w:r>
      <w:r w:rsidRPr="00C3798B">
        <w:rPr>
          <w:rFonts w:eastAsia="Times New Roman"/>
          <w:b/>
          <w:bCs/>
          <w:rtl/>
        </w:rPr>
        <w:t xml:space="preserve"> </w:t>
      </w:r>
      <w:r w:rsidRPr="00C3798B">
        <w:rPr>
          <w:rFonts w:eastAsia="Times New Roman" w:hint="eastAsia"/>
          <w:b/>
          <w:bCs/>
          <w:rtl/>
        </w:rPr>
        <w:t>בהתפלגות</w:t>
      </w:r>
      <w:r w:rsidRPr="00C3798B">
        <w:rPr>
          <w:rFonts w:eastAsia="Times New Roman"/>
          <w:b/>
          <w:bCs/>
          <w:rtl/>
        </w:rPr>
        <w:t xml:space="preserve"> </w:t>
      </w:r>
      <w:r w:rsidRPr="00C3798B">
        <w:rPr>
          <w:rFonts w:eastAsia="Times New Roman" w:hint="cs"/>
          <w:b/>
          <w:bCs/>
          <w:rtl/>
        </w:rPr>
        <w:t>ל</w:t>
      </w:r>
      <w:r w:rsidRPr="00C3798B">
        <w:rPr>
          <w:rFonts w:eastAsia="Times New Roman" w:hint="eastAsia"/>
          <w:b/>
          <w:bCs/>
          <w:rtl/>
        </w:rPr>
        <w:t>סכומי</w:t>
      </w:r>
      <w:r w:rsidRPr="00C3798B">
        <w:rPr>
          <w:rFonts w:eastAsia="Times New Roman"/>
          <w:b/>
          <w:bCs/>
          <w:rtl/>
        </w:rPr>
        <w:t xml:space="preserve"> </w:t>
      </w:r>
      <w:r w:rsidRPr="00C3798B">
        <w:rPr>
          <w:rFonts w:eastAsia="Times New Roman" w:hint="eastAsia"/>
          <w:b/>
          <w:bCs/>
          <w:rtl/>
        </w:rPr>
        <w:t>החילוט</w:t>
      </w:r>
      <w:r w:rsidRPr="00C3798B">
        <w:rPr>
          <w:rFonts w:eastAsia="Times New Roman" w:hint="cs"/>
          <w:b/>
          <w:bCs/>
          <w:rtl/>
        </w:rPr>
        <w:t>,</w:t>
      </w:r>
      <w:r w:rsidRPr="00C3798B">
        <w:rPr>
          <w:rFonts w:eastAsia="Times New Roman"/>
          <w:b/>
          <w:bCs/>
          <w:rtl/>
        </w:rPr>
        <w:t xml:space="preserve"> 201</w:t>
      </w:r>
      <w:r w:rsidRPr="00C3798B">
        <w:rPr>
          <w:rFonts w:eastAsia="Times New Roman" w:hint="cs"/>
          <w:b/>
          <w:bCs/>
          <w:rtl/>
        </w:rPr>
        <w:t xml:space="preserve">6 </w:t>
      </w:r>
      <w:r w:rsidRPr="00C3798B">
        <w:rPr>
          <w:rFonts w:eastAsia="Times New Roman"/>
          <w:b/>
          <w:bCs/>
          <w:rtl/>
        </w:rPr>
        <w:t>-</w:t>
      </w:r>
      <w:r w:rsidRPr="00C3798B">
        <w:rPr>
          <w:rFonts w:eastAsia="Times New Roman" w:hint="cs"/>
          <w:b/>
          <w:bCs/>
          <w:rtl/>
        </w:rPr>
        <w:t xml:space="preserve"> </w:t>
      </w:r>
      <w:r w:rsidRPr="00C3798B">
        <w:rPr>
          <w:rFonts w:eastAsia="Times New Roman"/>
          <w:b/>
          <w:bCs/>
          <w:rtl/>
        </w:rPr>
        <w:t>201</w:t>
      </w:r>
      <w:r w:rsidRPr="00C3798B">
        <w:rPr>
          <w:rFonts w:eastAsia="Times New Roman" w:hint="cs"/>
          <w:b/>
          <w:bCs/>
          <w:rtl/>
        </w:rPr>
        <w:t>8 (באלפי ש"ח)</w:t>
      </w:r>
    </w:p>
    <w:p w14:paraId="69223F6E" w14:textId="77777777" w:rsidR="00F368B6" w:rsidRDefault="00F368B6" w:rsidP="00F368B6">
      <w:pPr>
        <w:spacing w:line="269" w:lineRule="auto"/>
        <w:jc w:val="center"/>
        <w:rPr>
          <w:rFonts w:asciiTheme="minorBidi" w:eastAsia="Times New Roman" w:hAnsiTheme="minorBidi"/>
          <w:b/>
          <w:bCs/>
          <w:sz w:val="24"/>
          <w:rtl/>
        </w:rPr>
      </w:pPr>
    </w:p>
    <w:p w14:paraId="61E860F6" w14:textId="77777777" w:rsidR="00F368B6" w:rsidRDefault="00F368B6" w:rsidP="00F368B6">
      <w:pPr>
        <w:spacing w:line="269" w:lineRule="auto"/>
        <w:jc w:val="center"/>
        <w:rPr>
          <w:rFonts w:asciiTheme="minorBidi" w:eastAsia="Times New Roman" w:hAnsiTheme="minorBidi"/>
          <w:b/>
          <w:bCs/>
          <w:sz w:val="24"/>
          <w:rtl/>
        </w:rPr>
      </w:pPr>
      <w:r>
        <w:rPr>
          <w:noProof/>
        </w:rPr>
        <w:drawing>
          <wp:inline distT="0" distB="0" distL="0" distR="0" wp14:anchorId="3157BC47" wp14:editId="0DDEB46E">
            <wp:extent cx="5143500" cy="2886075"/>
            <wp:effectExtent l="0" t="0" r="0" b="9525"/>
            <wp:docPr id="23" name="תרשים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DC9CD4" w14:textId="77777777" w:rsidR="00F368B6" w:rsidRPr="00E630B3" w:rsidRDefault="00F368B6" w:rsidP="00C3798B">
      <w:pPr>
        <w:pStyle w:val="a8"/>
        <w:rPr>
          <w:rtl/>
        </w:rPr>
      </w:pPr>
      <w:r w:rsidRPr="00E630B3">
        <w:rPr>
          <w:rFonts w:hint="cs"/>
          <w:rtl/>
        </w:rPr>
        <w:t xml:space="preserve">מקור: </w:t>
      </w:r>
      <w:r w:rsidRPr="00E630B3">
        <w:rPr>
          <w:rFonts w:hint="eastAsia"/>
          <w:rtl/>
        </w:rPr>
        <w:t>על</w:t>
      </w:r>
      <w:r w:rsidRPr="00E630B3">
        <w:rPr>
          <w:rtl/>
        </w:rPr>
        <w:t xml:space="preserve"> </w:t>
      </w:r>
      <w:r w:rsidRPr="00E630B3">
        <w:rPr>
          <w:rFonts w:hint="eastAsia"/>
          <w:rtl/>
        </w:rPr>
        <w:t>פי</w:t>
      </w:r>
      <w:r w:rsidRPr="00E630B3">
        <w:rPr>
          <w:rtl/>
        </w:rPr>
        <w:t xml:space="preserve"> </w:t>
      </w:r>
      <w:r w:rsidRPr="00E630B3">
        <w:rPr>
          <w:rFonts w:hint="eastAsia"/>
          <w:rtl/>
        </w:rPr>
        <w:t>נתוני</w:t>
      </w:r>
      <w:r w:rsidRPr="00E630B3">
        <w:rPr>
          <w:rtl/>
        </w:rPr>
        <w:t xml:space="preserve"> </w:t>
      </w:r>
      <w:r w:rsidRPr="00E630B3">
        <w:rPr>
          <w:rFonts w:hint="eastAsia"/>
          <w:rtl/>
        </w:rPr>
        <w:t>פרקליטות</w:t>
      </w:r>
      <w:r w:rsidRPr="00E630B3">
        <w:rPr>
          <w:rtl/>
        </w:rPr>
        <w:t xml:space="preserve"> </w:t>
      </w:r>
      <w:r w:rsidRPr="00E630B3">
        <w:rPr>
          <w:rFonts w:hint="eastAsia"/>
          <w:rtl/>
        </w:rPr>
        <w:t>המדינה</w:t>
      </w:r>
      <w:r w:rsidRPr="00E630B3">
        <w:rPr>
          <w:rtl/>
        </w:rPr>
        <w:t>, בעיבוד משרד מבקר המדינה.</w:t>
      </w:r>
    </w:p>
    <w:p w14:paraId="403A063B" w14:textId="77777777" w:rsidR="00C3798B" w:rsidRDefault="00C3798B" w:rsidP="00C3798B">
      <w:pPr>
        <w:pStyle w:val="af0"/>
        <w:rPr>
          <w:rtl/>
        </w:rPr>
      </w:pPr>
    </w:p>
    <w:p w14:paraId="00D56C4B" w14:textId="46E0FC40" w:rsidR="00F368B6" w:rsidRPr="008151F2" w:rsidRDefault="00F368B6" w:rsidP="00C3798B">
      <w:pPr>
        <w:pStyle w:val="af0"/>
      </w:pPr>
      <w:r>
        <w:rPr>
          <w:rFonts w:hint="cs"/>
          <w:rtl/>
        </w:rPr>
        <w:t>מהתרשים עולה כי ביחס לכלל עילות החילוט, בכל אחת מהשנים 2016 עד 2018, בכמחצית מהתיקים (כ-47%) חולט רכוש ששוויו עד 100,000 ש"ח. רכוש בשווי מיליון ש"ח ויותר חולט בכ-22% מהתיקים שהסתיימו ב-2016, בכ-20% מהתיקים שהסתיימו ב-2017 ובכ-13% מהם ב-2018. באותן שנים חולט רכוש ששוויו יותר מ-10 מיליון ש"ח</w:t>
      </w:r>
      <w:r w:rsidRPr="006B63A7">
        <w:rPr>
          <w:rFonts w:hint="cs"/>
          <w:rtl/>
        </w:rPr>
        <w:t xml:space="preserve"> </w:t>
      </w:r>
      <w:r>
        <w:rPr>
          <w:rFonts w:hint="cs"/>
          <w:rtl/>
        </w:rPr>
        <w:t xml:space="preserve">ב-10 תיקים (3%), ו-31 תיקים (10%) הסתיימו בלי שניתן בהם צו חילוט סופי. </w:t>
      </w:r>
    </w:p>
    <w:p w14:paraId="49812CA5" w14:textId="77777777" w:rsidR="00F368B6" w:rsidRPr="00BE01C7" w:rsidRDefault="00F368B6" w:rsidP="003B3DFA">
      <w:pPr>
        <w:pStyle w:val="af0"/>
        <w:rPr>
          <w:rtl/>
        </w:rPr>
      </w:pPr>
      <w:r w:rsidRPr="000B5A81">
        <w:rPr>
          <w:rFonts w:hint="cs"/>
          <w:rtl/>
        </w:rPr>
        <w:t>ישראל שותפה למגמה עולמית של על</w:t>
      </w:r>
      <w:r>
        <w:rPr>
          <w:rFonts w:hint="cs"/>
          <w:rtl/>
        </w:rPr>
        <w:t>י</w:t>
      </w:r>
      <w:r w:rsidRPr="000B5A81">
        <w:rPr>
          <w:rFonts w:hint="cs"/>
          <w:rtl/>
        </w:rPr>
        <w:t>יה בשימוש בכלי החילוט ובהיקפי הרכוש שנתפס</w:t>
      </w:r>
      <w:r>
        <w:rPr>
          <w:vertAlign w:val="superscript"/>
          <w:rtl/>
        </w:rPr>
        <w:footnoteReference w:id="20"/>
      </w:r>
      <w:r w:rsidRPr="000B5A81">
        <w:rPr>
          <w:rFonts w:hint="cs"/>
          <w:rtl/>
        </w:rPr>
        <w:t>, מתוך הכרה כלל</w:t>
      </w:r>
      <w:r>
        <w:rPr>
          <w:rFonts w:hint="cs"/>
          <w:rtl/>
        </w:rPr>
        <w:t>-</w:t>
      </w:r>
      <w:r w:rsidRPr="000B5A81">
        <w:rPr>
          <w:rFonts w:hint="cs"/>
          <w:rtl/>
        </w:rPr>
        <w:t>עולמית בצורך</w:t>
      </w:r>
      <w:r>
        <w:rPr>
          <w:rFonts w:hint="cs"/>
          <w:rtl/>
        </w:rPr>
        <w:t xml:space="preserve"> </w:t>
      </w:r>
      <w:r w:rsidRPr="000B5A81">
        <w:rPr>
          <w:rFonts w:hint="cs"/>
          <w:rtl/>
        </w:rPr>
        <w:t>בהגברת השימוש באכיפה כלכלית.</w:t>
      </w:r>
      <w:r>
        <w:rPr>
          <w:rFonts w:hint="cs"/>
          <w:rtl/>
        </w:rPr>
        <w:t xml:space="preserve"> </w:t>
      </w:r>
      <w:r w:rsidRPr="000B5A81">
        <w:rPr>
          <w:rFonts w:hint="cs"/>
          <w:rtl/>
        </w:rPr>
        <w:t xml:space="preserve">מבין המדינות שבדק </w:t>
      </w:r>
      <w:r w:rsidRPr="000B5A81">
        <w:rPr>
          <w:rFonts w:hint="cs"/>
          <w:rtl/>
        </w:rPr>
        <w:lastRenderedPageBreak/>
        <w:t>ה</w:t>
      </w:r>
      <w:r>
        <w:rPr>
          <w:rFonts w:hint="cs"/>
          <w:rtl/>
        </w:rPr>
        <w:t>-</w:t>
      </w:r>
      <w:r w:rsidRPr="00D40EB5">
        <w:rPr>
          <w:rFonts w:asciiTheme="majorBidi" w:hAnsiTheme="majorBidi" w:cstheme="majorBidi"/>
        </w:rPr>
        <w:t>FATF</w:t>
      </w:r>
      <w:r>
        <w:rPr>
          <w:rFonts w:hint="cs"/>
          <w:rtl/>
        </w:rPr>
        <w:t xml:space="preserve">, </w:t>
      </w:r>
      <w:r w:rsidRPr="000B5A81">
        <w:rPr>
          <w:rFonts w:hint="cs"/>
          <w:rtl/>
        </w:rPr>
        <w:t>היחידות שקיבלו את הציון המרבי במדדי הארגון (</w:t>
      </w:r>
      <w:r w:rsidRPr="00D40EB5">
        <w:rPr>
          <w:rFonts w:asciiTheme="majorBidi" w:hAnsiTheme="majorBidi" w:cstheme="majorBidi"/>
        </w:rPr>
        <w:t>High</w:t>
      </w:r>
      <w:r w:rsidRPr="000B5A81">
        <w:rPr>
          <w:rFonts w:hint="cs"/>
          <w:rtl/>
        </w:rPr>
        <w:t>) בקטגור</w:t>
      </w:r>
      <w:r>
        <w:rPr>
          <w:rFonts w:hint="cs"/>
          <w:rtl/>
        </w:rPr>
        <w:t>י</w:t>
      </w:r>
      <w:r w:rsidRPr="000B5A81">
        <w:rPr>
          <w:rFonts w:hint="cs"/>
          <w:rtl/>
        </w:rPr>
        <w:t>ית החילוטים היו ישראל וארצות הברית</w:t>
      </w:r>
      <w:r>
        <w:rPr>
          <w:vertAlign w:val="superscript"/>
          <w:rtl/>
        </w:rPr>
        <w:footnoteReference w:id="21"/>
      </w:r>
      <w:r w:rsidRPr="000B5A81">
        <w:rPr>
          <w:rFonts w:hint="cs"/>
          <w:rtl/>
        </w:rPr>
        <w:t>.</w:t>
      </w:r>
    </w:p>
    <w:p w14:paraId="718F6430" w14:textId="77777777" w:rsidR="00F368B6" w:rsidRDefault="00F368B6" w:rsidP="003B3DFA">
      <w:pPr>
        <w:pStyle w:val="af0"/>
        <w:rPr>
          <w:rtl/>
        </w:rPr>
      </w:pPr>
      <w:r w:rsidRPr="000B5A81">
        <w:rPr>
          <w:rFonts w:hint="eastAsia"/>
          <w:rtl/>
        </w:rPr>
        <w:t>ניתוח</w:t>
      </w:r>
      <w:r>
        <w:rPr>
          <w:rFonts w:hint="cs"/>
          <w:rtl/>
        </w:rPr>
        <w:t xml:space="preserve"> פעולות האכיפה שבוצעו כנגד</w:t>
      </w:r>
      <w:r w:rsidRPr="000B5A81">
        <w:rPr>
          <w:rtl/>
        </w:rPr>
        <w:t xml:space="preserve"> הפשיעה</w:t>
      </w:r>
      <w:r>
        <w:rPr>
          <w:rFonts w:hint="cs"/>
          <w:rtl/>
        </w:rPr>
        <w:t>,</w:t>
      </w:r>
      <w:r w:rsidRPr="000B5A81">
        <w:rPr>
          <w:rtl/>
        </w:rPr>
        <w:t xml:space="preserve"> </w:t>
      </w:r>
      <w:r>
        <w:rPr>
          <w:rFonts w:hint="cs"/>
          <w:rtl/>
        </w:rPr>
        <w:t xml:space="preserve">שבמסגרתן </w:t>
      </w:r>
      <w:r w:rsidRPr="000B5A81">
        <w:rPr>
          <w:rtl/>
        </w:rPr>
        <w:t xml:space="preserve">נתפסו וחולטו נכסים בישראל מעלה כי מרבית התפיסות </w:t>
      </w:r>
      <w:r w:rsidRPr="000B5A81">
        <w:rPr>
          <w:rFonts w:hint="eastAsia"/>
          <w:rtl/>
        </w:rPr>
        <w:t>והחילוטים</w:t>
      </w:r>
      <w:r w:rsidRPr="000B5A81">
        <w:rPr>
          <w:rtl/>
        </w:rPr>
        <w:t xml:space="preserve"> בוצעו </w:t>
      </w:r>
      <w:r>
        <w:rPr>
          <w:rFonts w:hint="cs"/>
          <w:rtl/>
        </w:rPr>
        <w:t>בקשר</w:t>
      </w:r>
      <w:r w:rsidRPr="000B5A81">
        <w:rPr>
          <w:rtl/>
        </w:rPr>
        <w:t xml:space="preserve"> </w:t>
      </w:r>
      <w:r>
        <w:rPr>
          <w:rFonts w:hint="cs"/>
          <w:rtl/>
        </w:rPr>
        <w:t>ל</w:t>
      </w:r>
      <w:r w:rsidRPr="000B5A81">
        <w:rPr>
          <w:rtl/>
        </w:rPr>
        <w:t xml:space="preserve">עבירות </w:t>
      </w:r>
      <w:r w:rsidRPr="000B5A81">
        <w:rPr>
          <w:rFonts w:hint="eastAsia"/>
          <w:rtl/>
        </w:rPr>
        <w:t>מס</w:t>
      </w:r>
      <w:r w:rsidRPr="000B5A81">
        <w:rPr>
          <w:rtl/>
        </w:rPr>
        <w:t>, מרמה</w:t>
      </w:r>
      <w:r>
        <w:rPr>
          <w:rFonts w:hint="cs"/>
          <w:rtl/>
        </w:rPr>
        <w:t>,</w:t>
      </w:r>
      <w:r w:rsidRPr="000B5A81">
        <w:rPr>
          <w:rtl/>
        </w:rPr>
        <w:t xml:space="preserve"> שוחד והפרת אמונים</w:t>
      </w:r>
      <w:r>
        <w:rPr>
          <w:rFonts w:hint="cs"/>
          <w:rtl/>
        </w:rPr>
        <w:t xml:space="preserve">. על פי נתוני המשטרה 96% מהתפיסות בשנת 2017 בוצעו מכוח חוק איסור הלבנת הון, 2% מהתפיסות היו מכוח פקודת הסמים, 1% מהתפיסות מכוח פקודת סדר הדין הפלילי </w:t>
      </w:r>
      <w:r w:rsidRPr="001F6B71">
        <w:rPr>
          <w:rFonts w:hint="cs"/>
          <w:rtl/>
        </w:rPr>
        <w:t xml:space="preserve">(מעצר וחיפוש) [נוסח חדש], </w:t>
      </w:r>
      <w:r>
        <w:rPr>
          <w:rFonts w:hint="cs"/>
          <w:rtl/>
        </w:rPr>
        <w:t>ה</w:t>
      </w:r>
      <w:r w:rsidRPr="001F6B71">
        <w:rPr>
          <w:rFonts w:hint="cs"/>
          <w:rtl/>
        </w:rPr>
        <w:t>תשכ"ט-1969</w:t>
      </w:r>
      <w:r>
        <w:rPr>
          <w:rFonts w:hint="cs"/>
          <w:rtl/>
        </w:rPr>
        <w:t xml:space="preserve"> (להלן - פסד"פ), ו-1% נוסף מכוח חוק המאבק בארגוני פשיעה, התשס"ג-2003 וחוק איסור מימון טרור, התשס"ה-2005.</w:t>
      </w:r>
      <w:r w:rsidRPr="000B5A81">
        <w:rPr>
          <w:rtl/>
        </w:rPr>
        <w:t xml:space="preserve"> </w:t>
      </w:r>
    </w:p>
    <w:p w14:paraId="136433BE" w14:textId="77777777" w:rsidR="00F368B6" w:rsidRDefault="00F368B6" w:rsidP="003B3DFA">
      <w:pPr>
        <w:pStyle w:val="af0"/>
        <w:rPr>
          <w:rtl/>
        </w:rPr>
      </w:pPr>
      <w:r w:rsidRPr="000B5A81">
        <w:rPr>
          <w:rFonts w:hint="cs"/>
          <w:rtl/>
        </w:rPr>
        <w:t xml:space="preserve">לצד העשייה הרבה וההכרה הבין-לאומית </w:t>
      </w:r>
      <w:r>
        <w:rPr>
          <w:rFonts w:hint="cs"/>
          <w:rtl/>
        </w:rPr>
        <w:t>ש</w:t>
      </w:r>
      <w:r w:rsidRPr="000B5A81">
        <w:rPr>
          <w:rFonts w:hint="cs"/>
          <w:rtl/>
        </w:rPr>
        <w:t xml:space="preserve">ישראל </w:t>
      </w:r>
      <w:r>
        <w:rPr>
          <w:rFonts w:hint="cs"/>
          <w:rtl/>
        </w:rPr>
        <w:t xml:space="preserve">זכתה לה </w:t>
      </w:r>
      <w:r w:rsidRPr="000B5A81">
        <w:rPr>
          <w:rFonts w:hint="cs"/>
          <w:rtl/>
        </w:rPr>
        <w:t xml:space="preserve">בתחום זה, דוח זה מציג את הפערים והחסמים שעדיין טעונים שיפור בניהול תיקים </w:t>
      </w:r>
      <w:r>
        <w:rPr>
          <w:rFonts w:hint="cs"/>
          <w:rtl/>
        </w:rPr>
        <w:t>פליליים הכוללים אכיפה כלכלית ובניהול</w:t>
      </w:r>
      <w:r w:rsidRPr="000B5A81">
        <w:rPr>
          <w:rFonts w:hint="cs"/>
          <w:rtl/>
        </w:rPr>
        <w:t xml:space="preserve"> </w:t>
      </w:r>
      <w:r>
        <w:rPr>
          <w:rFonts w:hint="cs"/>
          <w:rtl/>
        </w:rPr>
        <w:t>הליכי חילוט מכוחם</w:t>
      </w:r>
      <w:r w:rsidRPr="000B5A81">
        <w:rPr>
          <w:rFonts w:hint="cs"/>
          <w:rtl/>
        </w:rPr>
        <w:t>.</w:t>
      </w:r>
    </w:p>
    <w:p w14:paraId="560FA5C0" w14:textId="77777777" w:rsidR="00F368B6" w:rsidRPr="000B5A81" w:rsidRDefault="00F368B6" w:rsidP="00EE611F">
      <w:pPr>
        <w:pStyle w:val="316"/>
        <w:rPr>
          <w:rtl/>
        </w:rPr>
      </w:pPr>
      <w:bookmarkStart w:id="1" w:name="_Toc24370951"/>
      <w:r w:rsidRPr="000B5A81">
        <w:rPr>
          <w:rFonts w:hint="cs"/>
          <w:rtl/>
        </w:rPr>
        <w:t>פעולות הביקורת</w:t>
      </w:r>
      <w:bookmarkEnd w:id="1"/>
    </w:p>
    <w:p w14:paraId="5FD92F54" w14:textId="77777777" w:rsidR="00F368B6" w:rsidRDefault="00F368B6" w:rsidP="00EE611F">
      <w:pPr>
        <w:pStyle w:val="100"/>
        <w:rPr>
          <w:rtl/>
        </w:rPr>
      </w:pPr>
      <w:r w:rsidRPr="000B5A81">
        <w:rPr>
          <w:rFonts w:hint="cs"/>
          <w:rtl/>
        </w:rPr>
        <w:t>בחודשים פברואר</w:t>
      </w:r>
      <w:r>
        <w:rPr>
          <w:rFonts w:hint="cs"/>
          <w:rtl/>
        </w:rPr>
        <w:t xml:space="preserve"> עד יולי</w:t>
      </w:r>
      <w:r w:rsidRPr="000B5A81">
        <w:rPr>
          <w:rFonts w:hint="cs"/>
          <w:rtl/>
        </w:rPr>
        <w:t xml:space="preserve"> 2019 בדק משרד מבקר המדינה את </w:t>
      </w:r>
      <w:r>
        <w:rPr>
          <w:rFonts w:hint="cs"/>
          <w:rtl/>
        </w:rPr>
        <w:t xml:space="preserve">המאבק בפשיעה באמצעות אכיפה כלכלית וחילוט רכוש. בדיקות השלמה בוצעו עד פברואר 2020. הדוח התמקד בבחינת החסמים </w:t>
      </w:r>
      <w:r w:rsidRPr="000B5A81">
        <w:rPr>
          <w:rFonts w:hint="cs"/>
          <w:rtl/>
        </w:rPr>
        <w:t>בניהול תיקים</w:t>
      </w:r>
      <w:r>
        <w:rPr>
          <w:rFonts w:hint="cs"/>
          <w:rtl/>
        </w:rPr>
        <w:t xml:space="preserve"> הכוללים אכיפה</w:t>
      </w:r>
      <w:r w:rsidRPr="000B5A81">
        <w:rPr>
          <w:rFonts w:hint="cs"/>
          <w:rtl/>
        </w:rPr>
        <w:t xml:space="preserve"> כלכלי</w:t>
      </w:r>
      <w:r>
        <w:rPr>
          <w:rFonts w:hint="cs"/>
          <w:rtl/>
        </w:rPr>
        <w:t>ת</w:t>
      </w:r>
      <w:r w:rsidRPr="000B5A81">
        <w:rPr>
          <w:rFonts w:hint="cs"/>
          <w:rtl/>
        </w:rPr>
        <w:t xml:space="preserve"> והיקף תפיסות הרכוש</w:t>
      </w:r>
      <w:r>
        <w:rPr>
          <w:rFonts w:hint="cs"/>
          <w:rtl/>
        </w:rPr>
        <w:t xml:space="preserve"> בשלב הזמני</w:t>
      </w:r>
      <w:r w:rsidRPr="000B5A81">
        <w:rPr>
          <w:rFonts w:hint="cs"/>
          <w:rtl/>
        </w:rPr>
        <w:t xml:space="preserve"> ביחס לחילוט הסופי. הביקורת</w:t>
      </w:r>
      <w:r>
        <w:rPr>
          <w:rFonts w:hint="cs"/>
          <w:rtl/>
        </w:rPr>
        <w:t xml:space="preserve"> נעשתה במשטרה, בפרקליטות, </w:t>
      </w:r>
      <w:r w:rsidRPr="000B5A81">
        <w:rPr>
          <w:rFonts w:hint="cs"/>
          <w:rtl/>
        </w:rPr>
        <w:t>בא</w:t>
      </w:r>
      <w:r>
        <w:rPr>
          <w:rFonts w:hint="cs"/>
          <w:rtl/>
        </w:rPr>
        <w:t xml:space="preserve">פ"כ, </w:t>
      </w:r>
      <w:r w:rsidRPr="000B5A81">
        <w:rPr>
          <w:rFonts w:hint="cs"/>
          <w:rtl/>
        </w:rPr>
        <w:t>ברש</w:t>
      </w:r>
      <w:r>
        <w:rPr>
          <w:rFonts w:hint="cs"/>
          <w:rtl/>
        </w:rPr>
        <w:t xml:space="preserve">לא"ה </w:t>
      </w:r>
      <w:r w:rsidRPr="000B5A81">
        <w:rPr>
          <w:rFonts w:hint="cs"/>
          <w:rtl/>
        </w:rPr>
        <w:t>ובמועצת החילוט</w:t>
      </w:r>
      <w:r w:rsidRPr="000B5A81">
        <w:rPr>
          <w:rFonts w:cs="Times New Roman" w:hint="cs"/>
          <w:rtl/>
        </w:rPr>
        <w:t xml:space="preserve">. </w:t>
      </w:r>
      <w:r w:rsidRPr="000B5A81">
        <w:rPr>
          <w:rFonts w:hint="cs"/>
          <w:rtl/>
        </w:rPr>
        <w:t>דוח</w:t>
      </w:r>
      <w:r>
        <w:rPr>
          <w:rFonts w:hint="cs"/>
          <w:rtl/>
        </w:rPr>
        <w:t xml:space="preserve"> קודם של</w:t>
      </w:r>
      <w:r w:rsidRPr="000B5A81">
        <w:rPr>
          <w:rFonts w:hint="cs"/>
          <w:rtl/>
        </w:rPr>
        <w:t xml:space="preserve"> מבקר </w:t>
      </w:r>
      <w:r>
        <w:rPr>
          <w:rFonts w:hint="cs"/>
          <w:rtl/>
        </w:rPr>
        <w:t>ה</w:t>
      </w:r>
      <w:r w:rsidRPr="000B5A81">
        <w:rPr>
          <w:rFonts w:hint="cs"/>
          <w:rtl/>
        </w:rPr>
        <w:t>מדינה בנושא זה פורסם בשנת 2016</w:t>
      </w:r>
      <w:r>
        <w:rPr>
          <w:rFonts w:ascii="David" w:hAnsi="David" w:cs="Times New Roman"/>
          <w:vertAlign w:val="superscript"/>
          <w:rtl/>
        </w:rPr>
        <w:footnoteReference w:id="22"/>
      </w:r>
      <w:r w:rsidRPr="000B5A81">
        <w:rPr>
          <w:rFonts w:cs="Times New Roman" w:hint="cs"/>
          <w:rtl/>
        </w:rPr>
        <w:t>.</w:t>
      </w:r>
    </w:p>
    <w:p w14:paraId="029B49CD" w14:textId="77777777" w:rsidR="001979F2" w:rsidRDefault="001979F2">
      <w:pPr>
        <w:bidi w:val="0"/>
        <w:spacing w:after="200" w:line="276" w:lineRule="auto"/>
        <w:rPr>
          <w:rFonts w:ascii="Arial Bold" w:eastAsia="Times New Roman" w:hAnsi="Arial Bold" w:cs="Tahoma"/>
          <w:color w:val="365F91"/>
          <w:sz w:val="36"/>
          <w:szCs w:val="36"/>
          <w:rtl/>
        </w:rPr>
      </w:pPr>
      <w:bookmarkStart w:id="2" w:name="_Toc24370952"/>
      <w:r>
        <w:rPr>
          <w:rtl/>
        </w:rPr>
        <w:br w:type="page"/>
      </w:r>
    </w:p>
    <w:p w14:paraId="67C60279" w14:textId="12AFF01D" w:rsidR="00F368B6" w:rsidRDefault="00F368B6" w:rsidP="00EE611F">
      <w:pPr>
        <w:pStyle w:val="218"/>
        <w:rPr>
          <w:rtl/>
        </w:rPr>
      </w:pPr>
      <w:r w:rsidRPr="00F909A3">
        <w:rPr>
          <w:rFonts w:hint="eastAsia"/>
          <w:rtl/>
        </w:rPr>
        <w:lastRenderedPageBreak/>
        <w:t>מנגנון</w:t>
      </w:r>
      <w:r w:rsidRPr="00F909A3">
        <w:rPr>
          <w:rtl/>
        </w:rPr>
        <w:t xml:space="preserve"> </w:t>
      </w:r>
      <w:r w:rsidRPr="00F909A3">
        <w:rPr>
          <w:rFonts w:hint="eastAsia"/>
          <w:rtl/>
        </w:rPr>
        <w:t>המאבק</w:t>
      </w:r>
      <w:r w:rsidRPr="00F909A3">
        <w:rPr>
          <w:rtl/>
        </w:rPr>
        <w:t xml:space="preserve"> </w:t>
      </w:r>
      <w:r w:rsidRPr="00F909A3">
        <w:rPr>
          <w:rFonts w:hint="eastAsia"/>
          <w:rtl/>
        </w:rPr>
        <w:t>בפשיעה</w:t>
      </w:r>
      <w:r w:rsidRPr="00F909A3">
        <w:rPr>
          <w:rtl/>
        </w:rPr>
        <w:t xml:space="preserve"> </w:t>
      </w:r>
      <w:r w:rsidRPr="00F909A3">
        <w:rPr>
          <w:rFonts w:hint="eastAsia"/>
          <w:rtl/>
        </w:rPr>
        <w:t>החמורה</w:t>
      </w:r>
      <w:r w:rsidRPr="00F909A3">
        <w:rPr>
          <w:rtl/>
        </w:rPr>
        <w:t xml:space="preserve"> </w:t>
      </w:r>
      <w:r w:rsidRPr="00F909A3">
        <w:rPr>
          <w:rFonts w:hint="eastAsia"/>
          <w:rtl/>
        </w:rPr>
        <w:t>והמאורגנת</w:t>
      </w:r>
      <w:r w:rsidRPr="00F909A3">
        <w:rPr>
          <w:rtl/>
        </w:rPr>
        <w:t xml:space="preserve"> </w:t>
      </w:r>
      <w:r w:rsidRPr="00F909A3">
        <w:rPr>
          <w:rFonts w:hint="eastAsia"/>
          <w:rtl/>
        </w:rPr>
        <w:t>ובתוצריה</w:t>
      </w:r>
      <w:bookmarkEnd w:id="2"/>
    </w:p>
    <w:p w14:paraId="3259D172" w14:textId="77777777" w:rsidR="00F368B6" w:rsidRPr="00A2125E" w:rsidRDefault="00F368B6" w:rsidP="001979F2">
      <w:pPr>
        <w:pStyle w:val="316"/>
      </w:pPr>
      <w:bookmarkStart w:id="3" w:name="_Toc24370953"/>
      <w:r w:rsidRPr="00044396">
        <w:rPr>
          <w:rtl/>
        </w:rPr>
        <w:t>המנגנונים שהוקמו בעקבות החלטת הממשלה</w:t>
      </w:r>
      <w:bookmarkEnd w:id="3"/>
    </w:p>
    <w:p w14:paraId="2C2E87B4" w14:textId="77777777" w:rsidR="00F368B6" w:rsidRPr="0014178F" w:rsidRDefault="00F368B6" w:rsidP="00D8785B">
      <w:pPr>
        <w:pStyle w:val="100"/>
        <w:rPr>
          <w:rtl/>
        </w:rPr>
      </w:pPr>
      <w:r w:rsidRPr="0014178F">
        <w:rPr>
          <w:rFonts w:hint="eastAsia"/>
          <w:rtl/>
        </w:rPr>
        <w:t>במסגרת</w:t>
      </w:r>
      <w:r w:rsidRPr="0014178F">
        <w:rPr>
          <w:rtl/>
        </w:rPr>
        <w:t xml:space="preserve"> </w:t>
      </w:r>
      <w:r w:rsidRPr="0014178F">
        <w:rPr>
          <w:rFonts w:hint="eastAsia"/>
          <w:rtl/>
        </w:rPr>
        <w:t>החלטת</w:t>
      </w:r>
      <w:r w:rsidRPr="0014178F">
        <w:rPr>
          <w:rtl/>
        </w:rPr>
        <w:t xml:space="preserve"> </w:t>
      </w:r>
      <w:r w:rsidRPr="0014178F">
        <w:rPr>
          <w:rFonts w:hint="eastAsia"/>
          <w:rtl/>
        </w:rPr>
        <w:t>הממשלה</w:t>
      </w:r>
      <w:r w:rsidRPr="0014178F">
        <w:rPr>
          <w:rtl/>
        </w:rPr>
        <w:t xml:space="preserve"> </w:t>
      </w:r>
      <w:r w:rsidRPr="0014178F">
        <w:rPr>
          <w:rFonts w:hint="eastAsia"/>
          <w:rtl/>
        </w:rPr>
        <w:t>משנת</w:t>
      </w:r>
      <w:r w:rsidRPr="0014178F">
        <w:rPr>
          <w:rtl/>
        </w:rPr>
        <w:t xml:space="preserve"> 2006</w:t>
      </w:r>
      <w:r>
        <w:rPr>
          <w:vertAlign w:val="superscript"/>
          <w:rtl/>
        </w:rPr>
        <w:footnoteReference w:id="23"/>
      </w:r>
      <w:r w:rsidRPr="0014178F">
        <w:rPr>
          <w:rFonts w:hint="cs"/>
          <w:rtl/>
        </w:rPr>
        <w:t xml:space="preserve"> הוחלט על אימוץ מדיניות של שילוב היכולות של כלל רשויות האכיפה</w:t>
      </w:r>
      <w:r>
        <w:rPr>
          <w:rFonts w:hint="cs"/>
          <w:rtl/>
        </w:rPr>
        <w:t>,</w:t>
      </w:r>
      <w:r w:rsidRPr="0014178F">
        <w:rPr>
          <w:rFonts w:hint="cs"/>
          <w:rtl/>
        </w:rPr>
        <w:t xml:space="preserve"> באמצעות הקמת פורומים משותפים שיקבעו ויובילו את יעדי הת</w:t>
      </w:r>
      <w:r>
        <w:rPr>
          <w:rFonts w:hint="cs"/>
          <w:rtl/>
        </w:rPr>
        <w:t>ו</w:t>
      </w:r>
      <w:r w:rsidRPr="0014178F">
        <w:rPr>
          <w:rFonts w:hint="cs"/>
          <w:rtl/>
        </w:rPr>
        <w:t>כנית למלחמה בפשיעה החמורה ו</w:t>
      </w:r>
      <w:r>
        <w:rPr>
          <w:rFonts w:hint="cs"/>
          <w:rtl/>
        </w:rPr>
        <w:t>ב</w:t>
      </w:r>
      <w:r w:rsidRPr="0014178F">
        <w:rPr>
          <w:rFonts w:hint="cs"/>
          <w:rtl/>
        </w:rPr>
        <w:t xml:space="preserve">פשיעה המאורגנת. </w:t>
      </w:r>
    </w:p>
    <w:p w14:paraId="210D3D68" w14:textId="77777777" w:rsidR="00F368B6" w:rsidRPr="0014178F" w:rsidRDefault="00F368B6" w:rsidP="00D8785B">
      <w:pPr>
        <w:pStyle w:val="100"/>
        <w:rPr>
          <w:rtl/>
        </w:rPr>
      </w:pPr>
      <w:r w:rsidRPr="00D8785B">
        <w:rPr>
          <w:rStyle w:val="Heading7Char"/>
          <w:rFonts w:eastAsiaTheme="minorHAnsi" w:hint="eastAsia"/>
          <w:b/>
          <w:color w:val="004E6C"/>
          <w:spacing w:val="0"/>
          <w:rtl/>
        </w:rPr>
        <w:t>צוות</w:t>
      </w:r>
      <w:r w:rsidRPr="00D8785B">
        <w:rPr>
          <w:rStyle w:val="Heading7Char"/>
          <w:rFonts w:eastAsiaTheme="minorHAnsi"/>
          <w:b/>
          <w:color w:val="004E6C"/>
          <w:spacing w:val="0"/>
          <w:rtl/>
        </w:rPr>
        <w:t>-</w:t>
      </w:r>
      <w:r w:rsidRPr="00D8785B">
        <w:rPr>
          <w:rStyle w:val="Heading7Char"/>
          <w:rFonts w:eastAsiaTheme="minorHAnsi" w:hint="eastAsia"/>
          <w:b/>
          <w:color w:val="004E6C"/>
          <w:spacing w:val="0"/>
          <w:rtl/>
        </w:rPr>
        <w:t>העל</w:t>
      </w:r>
      <w:r w:rsidRPr="00D8785B">
        <w:rPr>
          <w:rStyle w:val="Heading7Char"/>
          <w:rFonts w:eastAsiaTheme="minorHAnsi"/>
          <w:b/>
          <w:color w:val="004E6C"/>
          <w:spacing w:val="0"/>
          <w:rtl/>
        </w:rPr>
        <w:t>:</w:t>
      </w:r>
      <w:r>
        <w:rPr>
          <w:rStyle w:val="Heading5Char"/>
          <w:rFonts w:hint="cs"/>
          <w:rtl/>
        </w:rPr>
        <w:t xml:space="preserve"> </w:t>
      </w:r>
      <w:r>
        <w:rPr>
          <w:rFonts w:hint="cs"/>
          <w:rtl/>
        </w:rPr>
        <w:t xml:space="preserve">על פי </w:t>
      </w:r>
      <w:r w:rsidRPr="0014178F">
        <w:rPr>
          <w:rFonts w:hint="cs"/>
          <w:rtl/>
        </w:rPr>
        <w:t>החלט</w:t>
      </w:r>
      <w:r>
        <w:rPr>
          <w:rFonts w:hint="cs"/>
          <w:rtl/>
        </w:rPr>
        <w:t>ת הממשלה</w:t>
      </w:r>
      <w:r w:rsidRPr="0014178F">
        <w:rPr>
          <w:rFonts w:hint="cs"/>
          <w:rtl/>
        </w:rPr>
        <w:t xml:space="preserve"> הוקם צוות</w:t>
      </w:r>
      <w:r>
        <w:rPr>
          <w:rFonts w:hint="cs"/>
          <w:rtl/>
        </w:rPr>
        <w:t>-</w:t>
      </w:r>
      <w:r w:rsidRPr="0014178F">
        <w:rPr>
          <w:rtl/>
        </w:rPr>
        <w:t>על להתוויית מדיניות למאבק בפשיעה החמורה ובפשיע</w:t>
      </w:r>
      <w:r w:rsidRPr="0014178F">
        <w:rPr>
          <w:rFonts w:hint="cs"/>
          <w:rtl/>
        </w:rPr>
        <w:t>ה המאורגנת ובתוצריהן</w:t>
      </w:r>
      <w:r>
        <w:rPr>
          <w:rFonts w:hint="cs"/>
          <w:rtl/>
        </w:rPr>
        <w:t xml:space="preserve"> </w:t>
      </w:r>
      <w:r w:rsidRPr="0014178F">
        <w:rPr>
          <w:rtl/>
        </w:rPr>
        <w:t xml:space="preserve">(להלן </w:t>
      </w:r>
      <w:r>
        <w:rPr>
          <w:rFonts w:hint="cs"/>
          <w:rtl/>
        </w:rPr>
        <w:t>-</w:t>
      </w:r>
      <w:r w:rsidRPr="0014178F">
        <w:rPr>
          <w:rtl/>
        </w:rPr>
        <w:t xml:space="preserve"> </w:t>
      </w:r>
      <w:r w:rsidRPr="0014178F">
        <w:rPr>
          <w:rFonts w:hint="eastAsia"/>
          <w:rtl/>
        </w:rPr>
        <w:t>צוות</w:t>
      </w:r>
      <w:r>
        <w:rPr>
          <w:rFonts w:hint="cs"/>
          <w:rtl/>
        </w:rPr>
        <w:t>-</w:t>
      </w:r>
      <w:r w:rsidRPr="0014178F">
        <w:rPr>
          <w:rFonts w:hint="eastAsia"/>
          <w:rtl/>
        </w:rPr>
        <w:t>העל</w:t>
      </w:r>
      <w:r w:rsidRPr="0014178F">
        <w:rPr>
          <w:rtl/>
        </w:rPr>
        <w:t>) בראשות היועץ המשפטי לממשלה, וחברים ב</w:t>
      </w:r>
      <w:r w:rsidRPr="0014178F">
        <w:rPr>
          <w:rFonts w:hint="cs"/>
          <w:rtl/>
        </w:rPr>
        <w:t>ו</w:t>
      </w:r>
      <w:r w:rsidRPr="0014178F">
        <w:rPr>
          <w:rtl/>
        </w:rPr>
        <w:t xml:space="preserve"> ראשי רשויות האכיפה</w:t>
      </w:r>
      <w:r>
        <w:rPr>
          <w:vertAlign w:val="superscript"/>
          <w:rtl/>
        </w:rPr>
        <w:footnoteReference w:id="24"/>
      </w:r>
      <w:r w:rsidRPr="0014178F">
        <w:rPr>
          <w:rtl/>
        </w:rPr>
        <w:t xml:space="preserve"> העוסקות במאבק בפשיעה החמורה והמאורגנת ו</w:t>
      </w:r>
      <w:r>
        <w:rPr>
          <w:rFonts w:hint="cs"/>
          <w:rtl/>
        </w:rPr>
        <w:t>ב</w:t>
      </w:r>
      <w:r w:rsidRPr="0014178F">
        <w:rPr>
          <w:rtl/>
        </w:rPr>
        <w:t xml:space="preserve">איסור הלבנת הון ומימון טרור. </w:t>
      </w:r>
      <w:r>
        <w:rPr>
          <w:rFonts w:hint="cs"/>
          <w:rtl/>
        </w:rPr>
        <w:t>ה</w:t>
      </w:r>
      <w:r w:rsidRPr="0014178F">
        <w:rPr>
          <w:rtl/>
        </w:rPr>
        <w:t>צוות מתווה את המדיניות המשולבת, מאשר תוכניות עבודה מתואמות בתחומים אלו ו</w:t>
      </w:r>
      <w:r w:rsidRPr="0014178F">
        <w:rPr>
          <w:rFonts w:hint="cs"/>
          <w:rtl/>
        </w:rPr>
        <w:t>מתעדף</w:t>
      </w:r>
      <w:r w:rsidRPr="0014178F">
        <w:rPr>
          <w:rtl/>
        </w:rPr>
        <w:t xml:space="preserve"> סדרי עבודה לפעילות וליישום על בסיס היעדים והמדיניות שנקבעו. </w:t>
      </w:r>
    </w:p>
    <w:p w14:paraId="66308229" w14:textId="3E27BC13" w:rsidR="00F368B6" w:rsidRPr="0014178F" w:rsidRDefault="00F368B6" w:rsidP="00D8785B">
      <w:pPr>
        <w:pStyle w:val="100"/>
        <w:rPr>
          <w:rtl/>
        </w:rPr>
      </w:pPr>
      <w:r w:rsidRPr="006D0336">
        <w:rPr>
          <w:rFonts w:hint="eastAsia"/>
          <w:rtl/>
        </w:rPr>
        <w:t>דוח</w:t>
      </w:r>
      <w:r w:rsidRPr="006D0336">
        <w:rPr>
          <w:rtl/>
        </w:rPr>
        <w:t xml:space="preserve"> </w:t>
      </w:r>
      <w:r w:rsidRPr="006D0336">
        <w:rPr>
          <w:rFonts w:hint="eastAsia"/>
          <w:rtl/>
        </w:rPr>
        <w:t>מבקר</w:t>
      </w:r>
      <w:r w:rsidRPr="006D0336">
        <w:rPr>
          <w:rtl/>
        </w:rPr>
        <w:t xml:space="preserve"> </w:t>
      </w:r>
      <w:r w:rsidRPr="006D0336">
        <w:rPr>
          <w:rFonts w:hint="eastAsia"/>
          <w:rtl/>
        </w:rPr>
        <w:t>המדינה</w:t>
      </w:r>
      <w:r w:rsidRPr="006D0336">
        <w:rPr>
          <w:rtl/>
        </w:rPr>
        <w:t xml:space="preserve"> 66ג</w:t>
      </w:r>
      <w:r>
        <w:rPr>
          <w:vertAlign w:val="superscript"/>
          <w:rtl/>
        </w:rPr>
        <w:footnoteReference w:id="25"/>
      </w:r>
      <w:r w:rsidRPr="006D0336">
        <w:rPr>
          <w:rtl/>
        </w:rPr>
        <w:t xml:space="preserve"> עסק בתפקוד צוות</w:t>
      </w:r>
      <w:r>
        <w:rPr>
          <w:rFonts w:hint="cs"/>
          <w:rtl/>
        </w:rPr>
        <w:t>-</w:t>
      </w:r>
      <w:r w:rsidRPr="006D0336">
        <w:rPr>
          <w:rFonts w:hint="eastAsia"/>
          <w:rtl/>
        </w:rPr>
        <w:t>העל</w:t>
      </w:r>
      <w:r w:rsidRPr="006D0336">
        <w:rPr>
          <w:rtl/>
        </w:rPr>
        <w:t xml:space="preserve"> </w:t>
      </w:r>
      <w:r w:rsidRPr="006D0336">
        <w:rPr>
          <w:rFonts w:hint="eastAsia"/>
          <w:rtl/>
        </w:rPr>
        <w:t>והמליץ</w:t>
      </w:r>
      <w:r w:rsidRPr="006D0336">
        <w:rPr>
          <w:rtl/>
        </w:rPr>
        <w:t xml:space="preserve"> </w:t>
      </w:r>
      <w:r w:rsidRPr="006D0336">
        <w:rPr>
          <w:rFonts w:hint="eastAsia"/>
          <w:rtl/>
        </w:rPr>
        <w:t>כי</w:t>
      </w:r>
      <w:r w:rsidRPr="006D0336">
        <w:rPr>
          <w:rtl/>
        </w:rPr>
        <w:t xml:space="preserve"> </w:t>
      </w:r>
      <w:r w:rsidRPr="006D0336">
        <w:rPr>
          <w:rFonts w:hint="eastAsia"/>
          <w:rtl/>
        </w:rPr>
        <w:t>יפעל</w:t>
      </w:r>
      <w:r w:rsidRPr="006D0336">
        <w:rPr>
          <w:rtl/>
        </w:rPr>
        <w:t xml:space="preserve"> </w:t>
      </w:r>
      <w:r w:rsidRPr="006D0336">
        <w:rPr>
          <w:rFonts w:hint="eastAsia"/>
          <w:rtl/>
        </w:rPr>
        <w:t>כגוף</w:t>
      </w:r>
      <w:r w:rsidRPr="006D0336">
        <w:rPr>
          <w:rtl/>
        </w:rPr>
        <w:t xml:space="preserve"> </w:t>
      </w:r>
      <w:r w:rsidRPr="006D0336">
        <w:rPr>
          <w:rFonts w:hint="eastAsia"/>
          <w:rtl/>
        </w:rPr>
        <w:t>מנחה</w:t>
      </w:r>
      <w:r w:rsidRPr="006D0336">
        <w:rPr>
          <w:rtl/>
        </w:rPr>
        <w:t xml:space="preserve"> </w:t>
      </w:r>
      <w:r w:rsidRPr="006D0336">
        <w:rPr>
          <w:rFonts w:hint="eastAsia"/>
          <w:rtl/>
        </w:rPr>
        <w:t>הנותן</w:t>
      </w:r>
      <w:r w:rsidRPr="006D0336">
        <w:rPr>
          <w:rtl/>
        </w:rPr>
        <w:t xml:space="preserve"> </w:t>
      </w:r>
      <w:r w:rsidRPr="006D0336">
        <w:rPr>
          <w:rFonts w:hint="eastAsia"/>
          <w:rtl/>
        </w:rPr>
        <w:t>פתרון</w:t>
      </w:r>
      <w:r w:rsidRPr="006D0336">
        <w:rPr>
          <w:rtl/>
        </w:rPr>
        <w:t xml:space="preserve"> </w:t>
      </w:r>
      <w:r w:rsidRPr="006D0336">
        <w:rPr>
          <w:rFonts w:hint="eastAsia"/>
          <w:rtl/>
        </w:rPr>
        <w:t>וערך</w:t>
      </w:r>
      <w:r w:rsidRPr="0014178F">
        <w:rPr>
          <w:rFonts w:hint="cs"/>
          <w:rtl/>
        </w:rPr>
        <w:t xml:space="preserve"> מוסף ברא</w:t>
      </w:r>
      <w:r>
        <w:rPr>
          <w:rFonts w:hint="cs"/>
          <w:rtl/>
        </w:rPr>
        <w:t>י</w:t>
      </w:r>
      <w:r w:rsidRPr="0014178F">
        <w:rPr>
          <w:rFonts w:hint="cs"/>
          <w:rtl/>
        </w:rPr>
        <w:t>יה מערכתית כוללת, ולא כגוף המגיב לסוגיות נקודתיות המועלות לדיון. בעקבות דוח זה ולבקשת היועץ המשפטי לממשלה בחנו המשנה ליועץ המשפטי ל</w:t>
      </w:r>
      <w:r>
        <w:rPr>
          <w:rFonts w:hint="cs"/>
          <w:rtl/>
        </w:rPr>
        <w:t>ממשלה (ניהול ותפקידים מיוחדים) ד</w:t>
      </w:r>
      <w:r w:rsidRPr="0014178F">
        <w:rPr>
          <w:rFonts w:hint="cs"/>
          <w:rtl/>
        </w:rPr>
        <w:t>אז וראש</w:t>
      </w:r>
      <w:r>
        <w:rPr>
          <w:rFonts w:hint="cs"/>
          <w:rtl/>
        </w:rPr>
        <w:t xml:space="preserve"> אגף חקירות ומודיעין דאז (להלן - </w:t>
      </w:r>
      <w:r w:rsidRPr="0014178F">
        <w:rPr>
          <w:rFonts w:hint="cs"/>
          <w:rtl/>
        </w:rPr>
        <w:t>אח"</w:t>
      </w:r>
      <w:r w:rsidR="00C30314">
        <w:rPr>
          <w:rFonts w:hint="cs"/>
          <w:rtl/>
        </w:rPr>
        <w:t>ם</w:t>
      </w:r>
      <w:r>
        <w:rPr>
          <w:rFonts w:hint="cs"/>
          <w:rtl/>
        </w:rPr>
        <w:t>)</w:t>
      </w:r>
      <w:r w:rsidRPr="0014178F">
        <w:rPr>
          <w:rFonts w:hint="cs"/>
          <w:rtl/>
        </w:rPr>
        <w:t xml:space="preserve"> את תפקוד צוות</w:t>
      </w:r>
      <w:r>
        <w:rPr>
          <w:rFonts w:hint="cs"/>
          <w:rtl/>
        </w:rPr>
        <w:t>-</w:t>
      </w:r>
      <w:r w:rsidRPr="0014178F">
        <w:rPr>
          <w:rFonts w:hint="cs"/>
          <w:rtl/>
        </w:rPr>
        <w:t>העל. השניים ריכזו את המלצותיהם במזכר שהוגש ליועץ המשפטי לממשלה</w:t>
      </w:r>
      <w:r>
        <w:rPr>
          <w:rFonts w:hint="cs"/>
          <w:rtl/>
        </w:rPr>
        <w:t xml:space="preserve"> </w:t>
      </w:r>
      <w:r w:rsidRPr="0014178F">
        <w:rPr>
          <w:rFonts w:hint="cs"/>
          <w:rtl/>
        </w:rPr>
        <w:t>במאי 2018.</w:t>
      </w:r>
    </w:p>
    <w:p w14:paraId="4FAD751F" w14:textId="77777777" w:rsidR="00F368B6" w:rsidRPr="008151F2" w:rsidRDefault="00F368B6" w:rsidP="00D8785B">
      <w:pPr>
        <w:pStyle w:val="100"/>
        <w:rPr>
          <w:rtl/>
        </w:rPr>
      </w:pPr>
      <w:r>
        <w:rPr>
          <w:rFonts w:hint="cs"/>
          <w:rtl/>
        </w:rPr>
        <w:t xml:space="preserve">כאמור, על פי החלטת הממשלה תפקיד צוות-העל הוא להתוות </w:t>
      </w:r>
      <w:r w:rsidRPr="0014178F">
        <w:rPr>
          <w:rtl/>
        </w:rPr>
        <w:t>מדיניות למאבק בפשיעה החמורה ובפשיע</w:t>
      </w:r>
      <w:r w:rsidRPr="0014178F">
        <w:rPr>
          <w:rFonts w:hint="cs"/>
          <w:rtl/>
        </w:rPr>
        <w:t>ה המאורגנת</w:t>
      </w:r>
      <w:r>
        <w:rPr>
          <w:rFonts w:hint="cs"/>
          <w:rtl/>
        </w:rPr>
        <w:t>;</w:t>
      </w:r>
      <w:r w:rsidRPr="0014178F">
        <w:rPr>
          <w:rFonts w:hint="cs"/>
          <w:rtl/>
        </w:rPr>
        <w:t xml:space="preserve"> </w:t>
      </w:r>
      <w:r>
        <w:rPr>
          <w:rFonts w:hint="cs"/>
          <w:rtl/>
        </w:rPr>
        <w:t xml:space="preserve">ואולם </w:t>
      </w:r>
      <w:r w:rsidRPr="008151F2">
        <w:rPr>
          <w:rFonts w:hint="eastAsia"/>
          <w:rtl/>
        </w:rPr>
        <w:t>במזכר</w:t>
      </w:r>
      <w:r w:rsidRPr="008151F2">
        <w:rPr>
          <w:rtl/>
        </w:rPr>
        <w:t xml:space="preserve"> </w:t>
      </w:r>
      <w:r>
        <w:rPr>
          <w:rFonts w:hint="cs"/>
          <w:rtl/>
        </w:rPr>
        <w:t xml:space="preserve">האמור </w:t>
      </w:r>
      <w:r w:rsidRPr="008151F2">
        <w:rPr>
          <w:rFonts w:hint="eastAsia"/>
          <w:rtl/>
        </w:rPr>
        <w:t>צוין</w:t>
      </w:r>
      <w:r w:rsidRPr="008151F2">
        <w:rPr>
          <w:rtl/>
        </w:rPr>
        <w:t xml:space="preserve"> </w:t>
      </w:r>
      <w:r w:rsidRPr="008151F2">
        <w:rPr>
          <w:rFonts w:hint="eastAsia"/>
          <w:rtl/>
        </w:rPr>
        <w:t>כי</w:t>
      </w:r>
      <w:r w:rsidRPr="008151F2">
        <w:rPr>
          <w:rtl/>
        </w:rPr>
        <w:t xml:space="preserve"> </w:t>
      </w:r>
      <w:r>
        <w:rPr>
          <w:rFonts w:hint="cs"/>
          <w:rtl/>
        </w:rPr>
        <w:t>ה</w:t>
      </w:r>
      <w:r w:rsidRPr="008151F2">
        <w:rPr>
          <w:rFonts w:hint="eastAsia"/>
          <w:rtl/>
        </w:rPr>
        <w:t>צוות</w:t>
      </w:r>
      <w:r w:rsidRPr="008151F2">
        <w:rPr>
          <w:rtl/>
        </w:rPr>
        <w:t xml:space="preserve"> </w:t>
      </w:r>
      <w:r w:rsidRPr="008151F2">
        <w:rPr>
          <w:rFonts w:hint="eastAsia"/>
          <w:rtl/>
        </w:rPr>
        <w:t>אינו</w:t>
      </w:r>
      <w:r w:rsidRPr="008151F2">
        <w:rPr>
          <w:rtl/>
        </w:rPr>
        <w:t xml:space="preserve"> </w:t>
      </w:r>
      <w:r>
        <w:rPr>
          <w:rFonts w:hint="cs"/>
          <w:rtl/>
        </w:rPr>
        <w:t>מ</w:t>
      </w:r>
      <w:r w:rsidRPr="008151F2">
        <w:rPr>
          <w:rFonts w:hint="eastAsia"/>
          <w:rtl/>
        </w:rPr>
        <w:t>ממש</w:t>
      </w:r>
      <w:r w:rsidRPr="008151F2">
        <w:rPr>
          <w:rtl/>
        </w:rPr>
        <w:t xml:space="preserve"> </w:t>
      </w:r>
      <w:r w:rsidRPr="008151F2">
        <w:rPr>
          <w:rFonts w:hint="eastAsia"/>
          <w:rtl/>
        </w:rPr>
        <w:t>את</w:t>
      </w:r>
      <w:r w:rsidRPr="008151F2">
        <w:rPr>
          <w:rtl/>
        </w:rPr>
        <w:t xml:space="preserve"> </w:t>
      </w:r>
      <w:r w:rsidRPr="008151F2">
        <w:rPr>
          <w:rFonts w:hint="eastAsia"/>
          <w:rtl/>
        </w:rPr>
        <w:t>הפוטנציאל</w:t>
      </w:r>
      <w:r w:rsidRPr="008151F2">
        <w:rPr>
          <w:rtl/>
        </w:rPr>
        <w:t xml:space="preserve"> </w:t>
      </w:r>
      <w:r w:rsidRPr="008151F2">
        <w:rPr>
          <w:rFonts w:hint="eastAsia"/>
          <w:rtl/>
        </w:rPr>
        <w:t>הרב</w:t>
      </w:r>
      <w:r w:rsidRPr="008151F2">
        <w:rPr>
          <w:rtl/>
        </w:rPr>
        <w:t xml:space="preserve"> </w:t>
      </w:r>
      <w:r w:rsidRPr="008151F2">
        <w:rPr>
          <w:rFonts w:hint="eastAsia"/>
          <w:rtl/>
        </w:rPr>
        <w:t>הטמון</w:t>
      </w:r>
      <w:r w:rsidRPr="008151F2">
        <w:rPr>
          <w:rtl/>
        </w:rPr>
        <w:t xml:space="preserve"> </w:t>
      </w:r>
      <w:r w:rsidRPr="008151F2">
        <w:rPr>
          <w:rFonts w:hint="eastAsia"/>
          <w:rtl/>
        </w:rPr>
        <w:t>בכינוס</w:t>
      </w:r>
      <w:r w:rsidRPr="008151F2">
        <w:rPr>
          <w:rtl/>
        </w:rPr>
        <w:t xml:space="preserve"> </w:t>
      </w:r>
      <w:r w:rsidRPr="008151F2">
        <w:rPr>
          <w:rFonts w:hint="eastAsia"/>
          <w:rtl/>
        </w:rPr>
        <w:t>כל</w:t>
      </w:r>
      <w:r w:rsidRPr="008151F2">
        <w:rPr>
          <w:rtl/>
        </w:rPr>
        <w:t xml:space="preserve"> </w:t>
      </w:r>
      <w:r w:rsidRPr="008151F2">
        <w:rPr>
          <w:rFonts w:hint="eastAsia"/>
          <w:rtl/>
        </w:rPr>
        <w:t>ראשי</w:t>
      </w:r>
      <w:r w:rsidRPr="008151F2">
        <w:rPr>
          <w:rtl/>
        </w:rPr>
        <w:t xml:space="preserve"> </w:t>
      </w:r>
      <w:r w:rsidRPr="008151F2">
        <w:rPr>
          <w:rFonts w:hint="eastAsia"/>
          <w:rtl/>
        </w:rPr>
        <w:t>זרועות</w:t>
      </w:r>
      <w:r w:rsidRPr="008151F2">
        <w:rPr>
          <w:rtl/>
        </w:rPr>
        <w:t xml:space="preserve"> </w:t>
      </w:r>
      <w:r w:rsidRPr="008151F2">
        <w:rPr>
          <w:rFonts w:hint="eastAsia"/>
          <w:rtl/>
        </w:rPr>
        <w:t>האכיפה</w:t>
      </w:r>
      <w:r w:rsidRPr="008151F2">
        <w:rPr>
          <w:rtl/>
        </w:rPr>
        <w:t xml:space="preserve"> </w:t>
      </w:r>
      <w:r w:rsidRPr="008151F2">
        <w:rPr>
          <w:rFonts w:hint="eastAsia"/>
          <w:rtl/>
        </w:rPr>
        <w:t>סביב</w:t>
      </w:r>
      <w:r w:rsidRPr="008151F2">
        <w:rPr>
          <w:rtl/>
        </w:rPr>
        <w:t xml:space="preserve"> </w:t>
      </w:r>
      <w:r w:rsidRPr="008151F2">
        <w:rPr>
          <w:rFonts w:hint="eastAsia"/>
          <w:rtl/>
        </w:rPr>
        <w:t>שולחן</w:t>
      </w:r>
      <w:r w:rsidRPr="008151F2">
        <w:rPr>
          <w:rtl/>
        </w:rPr>
        <w:t xml:space="preserve"> </w:t>
      </w:r>
      <w:r w:rsidRPr="008151F2">
        <w:rPr>
          <w:rFonts w:hint="eastAsia"/>
          <w:rtl/>
        </w:rPr>
        <w:t>אחד</w:t>
      </w:r>
      <w:r w:rsidRPr="008151F2">
        <w:rPr>
          <w:rtl/>
        </w:rPr>
        <w:t xml:space="preserve">, </w:t>
      </w:r>
      <w:r w:rsidRPr="008151F2">
        <w:rPr>
          <w:rFonts w:hint="eastAsia"/>
          <w:rtl/>
        </w:rPr>
        <w:t>אינו</w:t>
      </w:r>
      <w:r w:rsidRPr="008151F2">
        <w:rPr>
          <w:rtl/>
        </w:rPr>
        <w:t xml:space="preserve"> </w:t>
      </w:r>
      <w:r w:rsidRPr="008151F2">
        <w:rPr>
          <w:rFonts w:hint="eastAsia"/>
          <w:rtl/>
        </w:rPr>
        <w:t>פועל</w:t>
      </w:r>
      <w:r w:rsidRPr="008151F2">
        <w:rPr>
          <w:rtl/>
        </w:rPr>
        <w:t xml:space="preserve"> </w:t>
      </w:r>
      <w:r w:rsidRPr="008151F2">
        <w:rPr>
          <w:rFonts w:hint="eastAsia"/>
          <w:rtl/>
        </w:rPr>
        <w:t>די</w:t>
      </w:r>
      <w:r w:rsidRPr="008151F2">
        <w:rPr>
          <w:rtl/>
        </w:rPr>
        <w:t xml:space="preserve"> </w:t>
      </w:r>
      <w:r w:rsidRPr="008151F2">
        <w:rPr>
          <w:rFonts w:hint="eastAsia"/>
          <w:rtl/>
        </w:rPr>
        <w:t>לגיבוש</w:t>
      </w:r>
      <w:r w:rsidRPr="008151F2">
        <w:rPr>
          <w:rtl/>
        </w:rPr>
        <w:t xml:space="preserve"> </w:t>
      </w:r>
      <w:r w:rsidRPr="008151F2">
        <w:rPr>
          <w:rFonts w:hint="eastAsia"/>
          <w:rtl/>
        </w:rPr>
        <w:t>סדרי</w:t>
      </w:r>
      <w:r w:rsidRPr="008151F2">
        <w:rPr>
          <w:rtl/>
        </w:rPr>
        <w:t xml:space="preserve"> </w:t>
      </w:r>
      <w:r w:rsidRPr="008151F2">
        <w:rPr>
          <w:rFonts w:hint="eastAsia"/>
          <w:rtl/>
        </w:rPr>
        <w:t>עדיפויות</w:t>
      </w:r>
      <w:r>
        <w:rPr>
          <w:rFonts w:hint="cs"/>
          <w:rtl/>
        </w:rPr>
        <w:t>,</w:t>
      </w:r>
      <w:r w:rsidRPr="008151F2">
        <w:rPr>
          <w:rtl/>
        </w:rPr>
        <w:t xml:space="preserve"> </w:t>
      </w:r>
      <w:r w:rsidRPr="008151F2">
        <w:rPr>
          <w:rFonts w:hint="eastAsia"/>
          <w:rtl/>
        </w:rPr>
        <w:t>ודיוני</w:t>
      </w:r>
      <w:r>
        <w:rPr>
          <w:rFonts w:hint="cs"/>
          <w:rtl/>
        </w:rPr>
        <w:t>ו</w:t>
      </w:r>
      <w:r w:rsidRPr="008151F2">
        <w:rPr>
          <w:rtl/>
        </w:rPr>
        <w:t xml:space="preserve"> </w:t>
      </w:r>
      <w:r>
        <w:rPr>
          <w:rFonts w:hint="cs"/>
          <w:rtl/>
        </w:rPr>
        <w:t>מתנהלים</w:t>
      </w:r>
      <w:r w:rsidRPr="008151F2">
        <w:rPr>
          <w:rtl/>
        </w:rPr>
        <w:t xml:space="preserve"> </w:t>
      </w:r>
      <w:r w:rsidRPr="008151F2">
        <w:rPr>
          <w:rFonts w:hint="eastAsia"/>
          <w:rtl/>
        </w:rPr>
        <w:t>ללא</w:t>
      </w:r>
      <w:r w:rsidRPr="008151F2">
        <w:rPr>
          <w:rtl/>
        </w:rPr>
        <w:t xml:space="preserve"> </w:t>
      </w:r>
      <w:r w:rsidRPr="008151F2">
        <w:rPr>
          <w:rFonts w:hint="eastAsia"/>
          <w:rtl/>
        </w:rPr>
        <w:t>עבודת</w:t>
      </w:r>
      <w:r w:rsidRPr="008151F2">
        <w:rPr>
          <w:rtl/>
        </w:rPr>
        <w:t xml:space="preserve"> </w:t>
      </w:r>
      <w:r w:rsidRPr="008151F2">
        <w:rPr>
          <w:rFonts w:hint="eastAsia"/>
          <w:rtl/>
        </w:rPr>
        <w:t>מטה</w:t>
      </w:r>
      <w:r w:rsidRPr="008151F2">
        <w:rPr>
          <w:rtl/>
        </w:rPr>
        <w:t xml:space="preserve"> </w:t>
      </w:r>
      <w:r w:rsidRPr="008151F2">
        <w:rPr>
          <w:rFonts w:hint="eastAsia"/>
          <w:rtl/>
        </w:rPr>
        <w:t>מכינה</w:t>
      </w:r>
      <w:r w:rsidRPr="008151F2">
        <w:rPr>
          <w:rtl/>
        </w:rPr>
        <w:t xml:space="preserve">. </w:t>
      </w:r>
      <w:r>
        <w:rPr>
          <w:rFonts w:hint="cs"/>
          <w:rtl/>
        </w:rPr>
        <w:t xml:space="preserve">צוין כי </w:t>
      </w:r>
      <w:r w:rsidRPr="008151F2">
        <w:rPr>
          <w:rFonts w:hint="eastAsia"/>
          <w:rtl/>
        </w:rPr>
        <w:t>ישיבות</w:t>
      </w:r>
      <w:r w:rsidRPr="008151F2">
        <w:rPr>
          <w:rtl/>
        </w:rPr>
        <w:t xml:space="preserve"> </w:t>
      </w:r>
      <w:r w:rsidRPr="008151F2">
        <w:rPr>
          <w:rFonts w:hint="eastAsia"/>
          <w:rtl/>
        </w:rPr>
        <w:t>צוות</w:t>
      </w:r>
      <w:r>
        <w:rPr>
          <w:rFonts w:hint="cs"/>
          <w:rtl/>
        </w:rPr>
        <w:t>-</w:t>
      </w:r>
      <w:r w:rsidRPr="008151F2">
        <w:rPr>
          <w:rFonts w:hint="eastAsia"/>
          <w:rtl/>
        </w:rPr>
        <w:t>העל</w:t>
      </w:r>
      <w:r w:rsidRPr="008151F2">
        <w:rPr>
          <w:rtl/>
        </w:rPr>
        <w:t xml:space="preserve"> </w:t>
      </w:r>
      <w:r w:rsidRPr="008151F2">
        <w:rPr>
          <w:rFonts w:hint="eastAsia"/>
          <w:rtl/>
        </w:rPr>
        <w:t>הפכו</w:t>
      </w:r>
      <w:r w:rsidRPr="008151F2">
        <w:rPr>
          <w:rtl/>
        </w:rPr>
        <w:t xml:space="preserve"> </w:t>
      </w:r>
      <w:r w:rsidRPr="008151F2">
        <w:rPr>
          <w:rFonts w:hint="eastAsia"/>
          <w:rtl/>
        </w:rPr>
        <w:t>לזירה</w:t>
      </w:r>
      <w:r w:rsidRPr="008151F2">
        <w:rPr>
          <w:rtl/>
        </w:rPr>
        <w:t xml:space="preserve"> </w:t>
      </w:r>
      <w:r w:rsidRPr="008151F2">
        <w:rPr>
          <w:rFonts w:hint="eastAsia"/>
          <w:rtl/>
        </w:rPr>
        <w:t>של</w:t>
      </w:r>
      <w:r w:rsidRPr="008151F2">
        <w:rPr>
          <w:rtl/>
        </w:rPr>
        <w:t xml:space="preserve"> </w:t>
      </w:r>
      <w:r w:rsidRPr="008151F2">
        <w:rPr>
          <w:rFonts w:hint="eastAsia"/>
          <w:rtl/>
        </w:rPr>
        <w:t>קבלת</w:t>
      </w:r>
      <w:r w:rsidRPr="008151F2">
        <w:rPr>
          <w:rtl/>
        </w:rPr>
        <w:t xml:space="preserve"> </w:t>
      </w:r>
      <w:r w:rsidRPr="008151F2">
        <w:rPr>
          <w:rFonts w:hint="eastAsia"/>
          <w:rtl/>
        </w:rPr>
        <w:t>עדכונים</w:t>
      </w:r>
      <w:r w:rsidRPr="008151F2">
        <w:rPr>
          <w:rtl/>
        </w:rPr>
        <w:t xml:space="preserve"> </w:t>
      </w:r>
      <w:r w:rsidRPr="008151F2">
        <w:rPr>
          <w:rFonts w:hint="eastAsia"/>
          <w:rtl/>
        </w:rPr>
        <w:t>או</w:t>
      </w:r>
      <w:r w:rsidRPr="008151F2">
        <w:rPr>
          <w:rtl/>
        </w:rPr>
        <w:t xml:space="preserve"> </w:t>
      </w:r>
      <w:r w:rsidRPr="008151F2">
        <w:rPr>
          <w:rFonts w:hint="eastAsia"/>
          <w:rtl/>
        </w:rPr>
        <w:t>דיונים</w:t>
      </w:r>
      <w:r w:rsidRPr="008151F2">
        <w:rPr>
          <w:rtl/>
        </w:rPr>
        <w:t xml:space="preserve"> </w:t>
      </w:r>
      <w:r w:rsidRPr="008151F2">
        <w:rPr>
          <w:rFonts w:hint="eastAsia"/>
          <w:rtl/>
        </w:rPr>
        <w:t>בנושאים</w:t>
      </w:r>
      <w:r w:rsidRPr="008151F2">
        <w:rPr>
          <w:rtl/>
        </w:rPr>
        <w:t xml:space="preserve"> </w:t>
      </w:r>
      <w:r w:rsidRPr="008151F2">
        <w:rPr>
          <w:rFonts w:hint="eastAsia"/>
          <w:rtl/>
        </w:rPr>
        <w:t>ממוקדים</w:t>
      </w:r>
      <w:r w:rsidRPr="008151F2">
        <w:rPr>
          <w:rtl/>
        </w:rPr>
        <w:t xml:space="preserve">, </w:t>
      </w:r>
      <w:r w:rsidRPr="008151F2">
        <w:rPr>
          <w:rFonts w:hint="eastAsia"/>
          <w:rtl/>
        </w:rPr>
        <w:t>לעיתים</w:t>
      </w:r>
      <w:r w:rsidRPr="008151F2">
        <w:rPr>
          <w:rtl/>
        </w:rPr>
        <w:t xml:space="preserve"> </w:t>
      </w:r>
      <w:r w:rsidRPr="008151F2">
        <w:rPr>
          <w:rFonts w:hint="eastAsia"/>
          <w:rtl/>
        </w:rPr>
        <w:t>ללא</w:t>
      </w:r>
      <w:r w:rsidRPr="008151F2">
        <w:rPr>
          <w:rtl/>
        </w:rPr>
        <w:t xml:space="preserve"> </w:t>
      </w:r>
      <w:r w:rsidRPr="008151F2">
        <w:rPr>
          <w:rFonts w:hint="eastAsia"/>
          <w:rtl/>
        </w:rPr>
        <w:t>החלטות</w:t>
      </w:r>
      <w:r w:rsidRPr="008151F2">
        <w:rPr>
          <w:rtl/>
        </w:rPr>
        <w:t xml:space="preserve"> </w:t>
      </w:r>
      <w:r w:rsidRPr="008151F2">
        <w:rPr>
          <w:rFonts w:hint="eastAsia"/>
          <w:rtl/>
        </w:rPr>
        <w:t>אופרטיביות</w:t>
      </w:r>
      <w:r w:rsidRPr="008151F2">
        <w:rPr>
          <w:rtl/>
        </w:rPr>
        <w:t xml:space="preserve">, </w:t>
      </w:r>
      <w:r w:rsidRPr="008151F2">
        <w:rPr>
          <w:rFonts w:hint="eastAsia"/>
          <w:rtl/>
        </w:rPr>
        <w:t>וגם</w:t>
      </w:r>
      <w:r w:rsidRPr="008151F2">
        <w:rPr>
          <w:rtl/>
        </w:rPr>
        <w:t xml:space="preserve"> </w:t>
      </w:r>
      <w:r w:rsidRPr="008151F2">
        <w:rPr>
          <w:rFonts w:hint="eastAsia"/>
          <w:rtl/>
        </w:rPr>
        <w:t>כשהתקבלו</w:t>
      </w:r>
      <w:r w:rsidRPr="008151F2">
        <w:rPr>
          <w:rtl/>
        </w:rPr>
        <w:t xml:space="preserve"> </w:t>
      </w:r>
      <w:r w:rsidRPr="008151F2">
        <w:rPr>
          <w:rFonts w:hint="eastAsia"/>
          <w:rtl/>
        </w:rPr>
        <w:t>החלטות</w:t>
      </w:r>
      <w:r w:rsidRPr="008151F2">
        <w:rPr>
          <w:rtl/>
        </w:rPr>
        <w:t xml:space="preserve"> </w:t>
      </w:r>
      <w:r>
        <w:rPr>
          <w:rFonts w:hint="cs"/>
          <w:rtl/>
        </w:rPr>
        <w:t>-</w:t>
      </w:r>
      <w:r w:rsidRPr="008151F2">
        <w:rPr>
          <w:rtl/>
        </w:rPr>
        <w:t xml:space="preserve"> </w:t>
      </w:r>
      <w:r w:rsidRPr="008151F2">
        <w:rPr>
          <w:rFonts w:hint="eastAsia"/>
          <w:rtl/>
        </w:rPr>
        <w:t>לא</w:t>
      </w:r>
      <w:r w:rsidRPr="008151F2">
        <w:rPr>
          <w:rtl/>
        </w:rPr>
        <w:t xml:space="preserve"> </w:t>
      </w:r>
      <w:r w:rsidRPr="008151F2">
        <w:rPr>
          <w:rFonts w:hint="eastAsia"/>
          <w:rtl/>
        </w:rPr>
        <w:t>היה</w:t>
      </w:r>
      <w:r w:rsidRPr="008151F2">
        <w:rPr>
          <w:rtl/>
        </w:rPr>
        <w:t xml:space="preserve"> </w:t>
      </w:r>
      <w:r w:rsidRPr="008151F2">
        <w:rPr>
          <w:rFonts w:hint="eastAsia"/>
          <w:rtl/>
        </w:rPr>
        <w:t>ברור</w:t>
      </w:r>
      <w:r w:rsidRPr="008151F2">
        <w:rPr>
          <w:rtl/>
        </w:rPr>
        <w:t xml:space="preserve"> </w:t>
      </w:r>
      <w:r w:rsidRPr="008151F2">
        <w:rPr>
          <w:rFonts w:hint="eastAsia"/>
          <w:rtl/>
        </w:rPr>
        <w:t>מי</w:t>
      </w:r>
      <w:r w:rsidRPr="008151F2">
        <w:rPr>
          <w:rtl/>
        </w:rPr>
        <w:t xml:space="preserve"> </w:t>
      </w:r>
      <w:r w:rsidRPr="008151F2">
        <w:rPr>
          <w:rFonts w:hint="eastAsia"/>
          <w:rtl/>
        </w:rPr>
        <w:t>אמור</w:t>
      </w:r>
      <w:r w:rsidRPr="008151F2">
        <w:rPr>
          <w:rtl/>
        </w:rPr>
        <w:t xml:space="preserve"> </w:t>
      </w:r>
      <w:r w:rsidRPr="008151F2">
        <w:rPr>
          <w:rFonts w:hint="eastAsia"/>
          <w:rtl/>
        </w:rPr>
        <w:t>לפקח</w:t>
      </w:r>
      <w:r w:rsidRPr="008151F2">
        <w:rPr>
          <w:rtl/>
        </w:rPr>
        <w:t xml:space="preserve"> </w:t>
      </w:r>
      <w:r w:rsidRPr="008151F2">
        <w:rPr>
          <w:rFonts w:hint="eastAsia"/>
          <w:rtl/>
        </w:rPr>
        <w:t>על</w:t>
      </w:r>
      <w:r w:rsidRPr="008151F2">
        <w:rPr>
          <w:rtl/>
        </w:rPr>
        <w:t xml:space="preserve"> </w:t>
      </w:r>
      <w:r w:rsidRPr="008151F2">
        <w:rPr>
          <w:rFonts w:hint="eastAsia"/>
          <w:rtl/>
        </w:rPr>
        <w:t>ביצוען</w:t>
      </w:r>
      <w:r w:rsidRPr="008151F2">
        <w:rPr>
          <w:rtl/>
        </w:rPr>
        <w:t>.</w:t>
      </w:r>
    </w:p>
    <w:p w14:paraId="7122CAC6" w14:textId="77777777" w:rsidR="00F368B6" w:rsidRPr="003A6C8A" w:rsidRDefault="00F368B6" w:rsidP="00D8785B">
      <w:pPr>
        <w:pStyle w:val="100"/>
        <w:rPr>
          <w:rtl/>
        </w:rPr>
      </w:pPr>
      <w:r w:rsidRPr="0014178F">
        <w:rPr>
          <w:rFonts w:hint="cs"/>
          <w:rtl/>
        </w:rPr>
        <w:t>ההמלצה העיקרית במזכר הייתה להבנות שיטות עבודה אחרות לצוות</w:t>
      </w:r>
      <w:r>
        <w:rPr>
          <w:rFonts w:hint="cs"/>
          <w:rtl/>
        </w:rPr>
        <w:t>-</w:t>
      </w:r>
      <w:r w:rsidRPr="0014178F">
        <w:rPr>
          <w:rFonts w:hint="cs"/>
          <w:rtl/>
        </w:rPr>
        <w:t>העל כדי לאפשר לו למלא את ייעודו המקורי</w:t>
      </w:r>
      <w:r>
        <w:rPr>
          <w:rFonts w:hint="cs"/>
          <w:rtl/>
        </w:rPr>
        <w:t>,</w:t>
      </w:r>
      <w:r w:rsidRPr="0014178F">
        <w:rPr>
          <w:rFonts w:hint="cs"/>
          <w:rtl/>
        </w:rPr>
        <w:t xml:space="preserve"> שהוא התווי</w:t>
      </w:r>
      <w:r>
        <w:rPr>
          <w:rFonts w:hint="cs"/>
          <w:rtl/>
        </w:rPr>
        <w:t>י</w:t>
      </w:r>
      <w:r w:rsidRPr="0014178F">
        <w:rPr>
          <w:rFonts w:hint="cs"/>
          <w:rtl/>
        </w:rPr>
        <w:t>ת מדיניות ואישור ת</w:t>
      </w:r>
      <w:r>
        <w:rPr>
          <w:rFonts w:hint="cs"/>
          <w:rtl/>
        </w:rPr>
        <w:t>ו</w:t>
      </w:r>
      <w:r w:rsidRPr="0014178F">
        <w:rPr>
          <w:rFonts w:hint="cs"/>
          <w:rtl/>
        </w:rPr>
        <w:t>כניות עבודה עקרוניות המבוססות על אסטרטגיה סדורה לקביעת סדרי עדיפויות באכיפה.</w:t>
      </w:r>
      <w:r>
        <w:rPr>
          <w:rFonts w:hint="cs"/>
          <w:rtl/>
        </w:rPr>
        <w:t xml:space="preserve"> </w:t>
      </w:r>
    </w:p>
    <w:p w14:paraId="049EED5E" w14:textId="77777777" w:rsidR="00F368B6" w:rsidRPr="0014178F" w:rsidRDefault="00F368B6" w:rsidP="00D8785B">
      <w:pPr>
        <w:pStyle w:val="100"/>
        <w:rPr>
          <w:rtl/>
        </w:rPr>
      </w:pPr>
      <w:r w:rsidRPr="0014178F">
        <w:rPr>
          <w:rFonts w:hint="cs"/>
          <w:rtl/>
        </w:rPr>
        <w:t>עוד הומלץ במזכר לקבוע גורם מטה לצוות</w:t>
      </w:r>
      <w:r>
        <w:rPr>
          <w:rFonts w:hint="cs"/>
          <w:rtl/>
        </w:rPr>
        <w:t>-</w:t>
      </w:r>
      <w:r w:rsidRPr="0014178F">
        <w:rPr>
          <w:rFonts w:hint="cs"/>
          <w:rtl/>
        </w:rPr>
        <w:t>העל שיהיה אחראי להכ</w:t>
      </w:r>
      <w:r>
        <w:rPr>
          <w:rFonts w:hint="cs"/>
          <w:rtl/>
        </w:rPr>
        <w:t>נת</w:t>
      </w:r>
      <w:r w:rsidRPr="0014178F">
        <w:rPr>
          <w:rFonts w:hint="cs"/>
          <w:rtl/>
        </w:rPr>
        <w:t xml:space="preserve"> דיוני </w:t>
      </w:r>
      <w:r>
        <w:rPr>
          <w:rFonts w:hint="cs"/>
          <w:rtl/>
        </w:rPr>
        <w:t>ה</w:t>
      </w:r>
      <w:r w:rsidRPr="0014178F">
        <w:rPr>
          <w:rFonts w:hint="cs"/>
          <w:rtl/>
        </w:rPr>
        <w:t>צוות כדי להבטיח ש</w:t>
      </w:r>
      <w:r>
        <w:rPr>
          <w:rFonts w:hint="cs"/>
          <w:rtl/>
        </w:rPr>
        <w:t>היא נעשית</w:t>
      </w:r>
      <w:r w:rsidRPr="0014178F">
        <w:rPr>
          <w:rFonts w:hint="cs"/>
          <w:rtl/>
        </w:rPr>
        <w:t xml:space="preserve"> </w:t>
      </w:r>
      <w:r>
        <w:rPr>
          <w:rFonts w:hint="cs"/>
          <w:rtl/>
        </w:rPr>
        <w:t>כ</w:t>
      </w:r>
      <w:r w:rsidRPr="0014178F">
        <w:rPr>
          <w:rFonts w:hint="cs"/>
          <w:rtl/>
        </w:rPr>
        <w:t xml:space="preserve">נדרש, </w:t>
      </w:r>
      <w:r>
        <w:rPr>
          <w:rFonts w:hint="cs"/>
          <w:rtl/>
        </w:rPr>
        <w:t>לרבות</w:t>
      </w:r>
      <w:r w:rsidRPr="0014178F">
        <w:rPr>
          <w:rFonts w:hint="cs"/>
          <w:rtl/>
        </w:rPr>
        <w:t xml:space="preserve"> גיבוש סדר היום לישיבותיו ופיקוח על החלטותיו (להלן - צוות מכין).</w:t>
      </w:r>
    </w:p>
    <w:p w14:paraId="3520D530" w14:textId="77777777" w:rsidR="00F368B6" w:rsidRPr="0014178F" w:rsidRDefault="00F368B6" w:rsidP="00D8785B">
      <w:pPr>
        <w:pStyle w:val="100"/>
        <w:rPr>
          <w:rtl/>
        </w:rPr>
      </w:pPr>
      <w:r w:rsidRPr="0014178F">
        <w:rPr>
          <w:rFonts w:hint="cs"/>
          <w:rtl/>
        </w:rPr>
        <w:lastRenderedPageBreak/>
        <w:t>היועץ המשפטי לממשלה קיבל את ההמלצות וביקש מהמשנה ליועץ המשפטי לממשלה (משפט פלילי) לעמוד בראש הצוות המכין</w:t>
      </w:r>
      <w:r>
        <w:rPr>
          <w:rFonts w:hint="cs"/>
          <w:rtl/>
        </w:rPr>
        <w:t xml:space="preserve">. </w:t>
      </w:r>
      <w:r w:rsidRPr="0014178F">
        <w:rPr>
          <w:rFonts w:hint="cs"/>
          <w:rtl/>
        </w:rPr>
        <w:t>נוסף</w:t>
      </w:r>
      <w:r>
        <w:rPr>
          <w:rFonts w:hint="cs"/>
          <w:rtl/>
        </w:rPr>
        <w:t xml:space="preserve"> על כך,</w:t>
      </w:r>
      <w:r w:rsidRPr="0014178F">
        <w:rPr>
          <w:rFonts w:hint="cs"/>
          <w:rtl/>
        </w:rPr>
        <w:t xml:space="preserve"> מונה גורם מטעם היועץ המשפטי לממשלה אשר ממלא </w:t>
      </w:r>
      <w:r>
        <w:rPr>
          <w:rFonts w:hint="cs"/>
          <w:rtl/>
        </w:rPr>
        <w:t xml:space="preserve">את </w:t>
      </w:r>
      <w:r w:rsidRPr="0014178F">
        <w:rPr>
          <w:rFonts w:hint="cs"/>
          <w:rtl/>
        </w:rPr>
        <w:t>תפקיד רכז צוות</w:t>
      </w:r>
      <w:r>
        <w:rPr>
          <w:rFonts w:hint="cs"/>
          <w:rtl/>
        </w:rPr>
        <w:t>-</w:t>
      </w:r>
      <w:r w:rsidRPr="0014178F">
        <w:rPr>
          <w:rFonts w:hint="cs"/>
          <w:rtl/>
        </w:rPr>
        <w:t>העל והצוות המכין.</w:t>
      </w:r>
    </w:p>
    <w:p w14:paraId="48B96099" w14:textId="77777777" w:rsidR="00F368B6" w:rsidRPr="0014178F" w:rsidRDefault="00F368B6" w:rsidP="00D8785B">
      <w:pPr>
        <w:pStyle w:val="100"/>
        <w:rPr>
          <w:rtl/>
        </w:rPr>
      </w:pPr>
      <w:r w:rsidRPr="0014178F">
        <w:rPr>
          <w:rFonts w:hint="cs"/>
          <w:rtl/>
        </w:rPr>
        <w:t xml:space="preserve">מאז הקמתו </w:t>
      </w:r>
      <w:r>
        <w:rPr>
          <w:rFonts w:hint="cs"/>
          <w:rtl/>
        </w:rPr>
        <w:t>של הצוות המכין</w:t>
      </w:r>
      <w:r w:rsidRPr="0014178F">
        <w:rPr>
          <w:rFonts w:hint="cs"/>
          <w:rtl/>
        </w:rPr>
        <w:t xml:space="preserve"> ועד מועד סיום הביקורת </w:t>
      </w:r>
      <w:r>
        <w:rPr>
          <w:rFonts w:hint="cs"/>
          <w:rtl/>
        </w:rPr>
        <w:t xml:space="preserve">הוא </w:t>
      </w:r>
      <w:r w:rsidRPr="0014178F">
        <w:rPr>
          <w:rFonts w:hint="cs"/>
          <w:rtl/>
        </w:rPr>
        <w:t>קיים שש ישיבות</w:t>
      </w:r>
      <w:r>
        <w:rPr>
          <w:rFonts w:hint="cs"/>
          <w:rtl/>
        </w:rPr>
        <w:t>.</w:t>
      </w:r>
      <w:r w:rsidRPr="0014178F">
        <w:rPr>
          <w:rFonts w:hint="cs"/>
          <w:rtl/>
        </w:rPr>
        <w:t xml:space="preserve"> מפרוטוקולי הישיבות עולה כי החלה עבודה </w:t>
      </w:r>
      <w:r>
        <w:rPr>
          <w:rFonts w:hint="cs"/>
          <w:rtl/>
        </w:rPr>
        <w:t>ל</w:t>
      </w:r>
      <w:r w:rsidRPr="0014178F">
        <w:rPr>
          <w:rFonts w:hint="cs"/>
          <w:rtl/>
        </w:rPr>
        <w:t>הטמעת ההמלצות שא</w:t>
      </w:r>
      <w:r>
        <w:rPr>
          <w:rFonts w:hint="cs"/>
          <w:rtl/>
        </w:rPr>
        <w:t>י</w:t>
      </w:r>
      <w:r w:rsidRPr="0014178F">
        <w:rPr>
          <w:rFonts w:hint="cs"/>
          <w:rtl/>
        </w:rPr>
        <w:t>שר היועץ המשפטי לממשלה, החלה בניית מפת מודיעין כוללת של גורמי האכיפה ו</w:t>
      </w:r>
      <w:r>
        <w:rPr>
          <w:rFonts w:hint="cs"/>
          <w:rtl/>
        </w:rPr>
        <w:t>התקיימו</w:t>
      </w:r>
      <w:r w:rsidRPr="0014178F">
        <w:rPr>
          <w:rFonts w:hint="cs"/>
          <w:rtl/>
        </w:rPr>
        <w:t xml:space="preserve"> דיונים בנושא קביעת המטרות האסטרטגיות ונושאי ההתעניינות של גופי האכיפה השונים.</w:t>
      </w:r>
    </w:p>
    <w:p w14:paraId="59862943" w14:textId="77777777" w:rsidR="00F368B6" w:rsidRPr="0014178F" w:rsidRDefault="00F368B6" w:rsidP="005A0714">
      <w:pPr>
        <w:pStyle w:val="af1"/>
        <w:rPr>
          <w:rtl/>
        </w:rPr>
      </w:pPr>
      <w:r w:rsidRPr="0014178F">
        <w:rPr>
          <w:rFonts w:hint="cs"/>
          <w:rtl/>
        </w:rPr>
        <w:t>משרד מבקר המדינה מציין לחיוב את הפעולות שננקטו מאז הביקורת הקודמת.</w:t>
      </w:r>
      <w:r>
        <w:rPr>
          <w:rFonts w:hint="cs"/>
          <w:rtl/>
        </w:rPr>
        <w:t xml:space="preserve"> מוצע כי</w:t>
      </w:r>
      <w:r w:rsidRPr="0014178F">
        <w:rPr>
          <w:rFonts w:hint="cs"/>
          <w:rtl/>
        </w:rPr>
        <w:t xml:space="preserve"> צוות</w:t>
      </w:r>
      <w:r>
        <w:rPr>
          <w:rFonts w:hint="cs"/>
          <w:rtl/>
        </w:rPr>
        <w:t>-</w:t>
      </w:r>
      <w:r w:rsidRPr="0014178F">
        <w:rPr>
          <w:rFonts w:hint="cs"/>
          <w:rtl/>
        </w:rPr>
        <w:t xml:space="preserve">העל </w:t>
      </w:r>
      <w:r>
        <w:rPr>
          <w:rFonts w:hint="cs"/>
          <w:rtl/>
        </w:rPr>
        <w:t xml:space="preserve">ימשיך </w:t>
      </w:r>
      <w:r w:rsidRPr="0014178F">
        <w:rPr>
          <w:rFonts w:hint="cs"/>
          <w:rtl/>
        </w:rPr>
        <w:t>לפעול, בסיוע הצוות המכין, להשלמת גיבוש</w:t>
      </w:r>
      <w:r>
        <w:rPr>
          <w:rFonts w:hint="cs"/>
          <w:rtl/>
        </w:rPr>
        <w:t xml:space="preserve"> המדיניות</w:t>
      </w:r>
      <w:r w:rsidRPr="0014178F">
        <w:rPr>
          <w:rFonts w:hint="cs"/>
          <w:rtl/>
        </w:rPr>
        <w:t xml:space="preserve"> והתוו</w:t>
      </w:r>
      <w:r>
        <w:rPr>
          <w:rFonts w:hint="cs"/>
          <w:rtl/>
        </w:rPr>
        <w:t>י</w:t>
      </w:r>
      <w:r w:rsidRPr="0014178F">
        <w:rPr>
          <w:rFonts w:hint="cs"/>
          <w:rtl/>
        </w:rPr>
        <w:t>י</w:t>
      </w:r>
      <w:r>
        <w:rPr>
          <w:rFonts w:hint="cs"/>
          <w:rtl/>
        </w:rPr>
        <w:t>תה, וכי גורמי האכיפה יגבשו את תוכניות העבודה השנתיות שלהם בין היתר לאור מדיניות זו.</w:t>
      </w:r>
    </w:p>
    <w:p w14:paraId="47FCC2AE" w14:textId="289B6F7A" w:rsidR="00F368B6" w:rsidRPr="003A6C8A" w:rsidRDefault="00F368B6" w:rsidP="005A0714">
      <w:pPr>
        <w:pStyle w:val="100"/>
        <w:rPr>
          <w:rtl/>
        </w:rPr>
      </w:pPr>
      <w:r w:rsidRPr="005A0714">
        <w:rPr>
          <w:rStyle w:val="Heading7Char"/>
          <w:rFonts w:eastAsiaTheme="minorHAnsi" w:hint="eastAsia"/>
          <w:b/>
          <w:color w:val="004E6C"/>
          <w:spacing w:val="0"/>
          <w:rtl/>
        </w:rPr>
        <w:t>הוועדה</w:t>
      </w:r>
      <w:r w:rsidRPr="005A0714">
        <w:rPr>
          <w:rStyle w:val="Heading7Char"/>
          <w:rFonts w:eastAsiaTheme="minorHAnsi"/>
          <w:b/>
          <w:color w:val="004E6C"/>
          <w:spacing w:val="0"/>
          <w:rtl/>
        </w:rPr>
        <w:t xml:space="preserve"> </w:t>
      </w:r>
      <w:r w:rsidRPr="005A0714">
        <w:rPr>
          <w:rStyle w:val="Heading7Char"/>
          <w:rFonts w:eastAsiaTheme="minorHAnsi" w:hint="eastAsia"/>
          <w:b/>
          <w:color w:val="004E6C"/>
          <w:spacing w:val="0"/>
          <w:rtl/>
        </w:rPr>
        <w:t>המתמדת</w:t>
      </w:r>
      <w:r w:rsidRPr="005A0714">
        <w:rPr>
          <w:rStyle w:val="Heading7Char"/>
          <w:rFonts w:eastAsiaTheme="minorHAnsi"/>
          <w:b/>
          <w:color w:val="004E6C"/>
          <w:spacing w:val="0"/>
          <w:rtl/>
        </w:rPr>
        <w:t>:</w:t>
      </w:r>
      <w:r>
        <w:rPr>
          <w:rFonts w:hint="cs"/>
          <w:rtl/>
        </w:rPr>
        <w:t xml:space="preserve"> </w:t>
      </w:r>
      <w:r w:rsidRPr="0014178F">
        <w:rPr>
          <w:rFonts w:hint="cs"/>
          <w:rtl/>
        </w:rPr>
        <w:t>גוף נוסף שהוקם על פי החלטת הממשלה הוא הוועדה המתמדת להכוונה ולתיאום הפעילות במאבק בפשיעה החמורה ובפשיעה המאורגנת ותוצריהן (להלן - הוועדה המתמדת)</w:t>
      </w:r>
      <w:r>
        <w:rPr>
          <w:rFonts w:hint="cs"/>
          <w:rtl/>
        </w:rPr>
        <w:t xml:space="preserve"> </w:t>
      </w:r>
      <w:r w:rsidRPr="0014178F">
        <w:rPr>
          <w:rtl/>
        </w:rPr>
        <w:t xml:space="preserve">בראשות </w:t>
      </w:r>
      <w:r w:rsidRPr="0014178F">
        <w:rPr>
          <w:rFonts w:hint="cs"/>
          <w:rtl/>
        </w:rPr>
        <w:t>ראש</w:t>
      </w:r>
      <w:r w:rsidRPr="0014178F">
        <w:rPr>
          <w:rtl/>
        </w:rPr>
        <w:t xml:space="preserve"> אח"</w:t>
      </w:r>
      <w:r w:rsidR="00C30314">
        <w:rPr>
          <w:rFonts w:hint="cs"/>
          <w:rtl/>
        </w:rPr>
        <w:t>ם</w:t>
      </w:r>
      <w:r>
        <w:rPr>
          <w:rFonts w:hint="cs"/>
          <w:rtl/>
        </w:rPr>
        <w:t>,</w:t>
      </w:r>
      <w:r w:rsidRPr="0014178F">
        <w:rPr>
          <w:rFonts w:hint="cs"/>
          <w:rtl/>
        </w:rPr>
        <w:t xml:space="preserve"> וחברים בה</w:t>
      </w:r>
      <w:r w:rsidRPr="0014178F">
        <w:rPr>
          <w:rtl/>
        </w:rPr>
        <w:t xml:space="preserve"> נציגים בכירים מכלל רשויות האכיפה</w:t>
      </w:r>
      <w:r>
        <w:rPr>
          <w:vertAlign w:val="superscript"/>
          <w:rtl/>
        </w:rPr>
        <w:footnoteReference w:id="26"/>
      </w:r>
      <w:r w:rsidRPr="0014178F">
        <w:rPr>
          <w:rFonts w:hint="cs"/>
          <w:rtl/>
        </w:rPr>
        <w:t>.</w:t>
      </w:r>
      <w:r w:rsidRPr="0014178F">
        <w:rPr>
          <w:rtl/>
        </w:rPr>
        <w:t xml:space="preserve"> </w:t>
      </w:r>
      <w:r>
        <w:rPr>
          <w:rFonts w:hint="cs"/>
          <w:rtl/>
        </w:rPr>
        <w:t xml:space="preserve">בין </w:t>
      </w:r>
      <w:r w:rsidRPr="0014178F">
        <w:rPr>
          <w:rFonts w:hint="cs"/>
          <w:rtl/>
        </w:rPr>
        <w:t>תפקידי הוועדה</w:t>
      </w:r>
      <w:r>
        <w:rPr>
          <w:rFonts w:hint="cs"/>
          <w:rtl/>
        </w:rPr>
        <w:t>:</w:t>
      </w:r>
      <w:r w:rsidRPr="0014178F">
        <w:rPr>
          <w:rFonts w:hint="cs"/>
          <w:rtl/>
        </w:rPr>
        <w:t xml:space="preserve"> </w:t>
      </w:r>
      <w:r w:rsidRPr="0014178F">
        <w:rPr>
          <w:rtl/>
        </w:rPr>
        <w:t>אחר</w:t>
      </w:r>
      <w:r w:rsidRPr="0014178F">
        <w:rPr>
          <w:rFonts w:hint="cs"/>
          <w:rtl/>
        </w:rPr>
        <w:t>יות</w:t>
      </w:r>
      <w:r w:rsidRPr="0014178F">
        <w:rPr>
          <w:rtl/>
        </w:rPr>
        <w:t xml:space="preserve"> להכוונה ותיאום </w:t>
      </w:r>
      <w:r>
        <w:rPr>
          <w:rFonts w:hint="cs"/>
          <w:rtl/>
        </w:rPr>
        <w:t xml:space="preserve">של </w:t>
      </w:r>
      <w:r w:rsidRPr="0014178F">
        <w:rPr>
          <w:rtl/>
        </w:rPr>
        <w:t>הפעילות הכוללת במסגרת שיתוף הפעולה המערכתי בין הרשויות בתחומי הפשיעה החמורה והמאורגנת</w:t>
      </w:r>
      <w:r w:rsidRPr="0014178F">
        <w:rPr>
          <w:rFonts w:hint="cs"/>
          <w:rtl/>
        </w:rPr>
        <w:t>;</w:t>
      </w:r>
      <w:r w:rsidRPr="0014178F">
        <w:rPr>
          <w:rtl/>
        </w:rPr>
        <w:t xml:space="preserve"> </w:t>
      </w:r>
      <w:r w:rsidRPr="0014178F">
        <w:rPr>
          <w:rFonts w:hint="cs"/>
          <w:rtl/>
        </w:rPr>
        <w:t xml:space="preserve">גיבוש </w:t>
      </w:r>
      <w:r w:rsidRPr="0014178F">
        <w:rPr>
          <w:rtl/>
        </w:rPr>
        <w:t>תוכניות רב</w:t>
      </w:r>
      <w:r>
        <w:rPr>
          <w:rFonts w:hint="cs"/>
          <w:rtl/>
        </w:rPr>
        <w:t>-</w:t>
      </w:r>
      <w:r w:rsidRPr="0014178F">
        <w:rPr>
          <w:rtl/>
        </w:rPr>
        <w:t>שנתיות למימוש המדיניות הנקבעת בהחלטות צוות</w:t>
      </w:r>
      <w:r>
        <w:rPr>
          <w:rFonts w:hint="cs"/>
          <w:rtl/>
        </w:rPr>
        <w:t>-</w:t>
      </w:r>
      <w:r w:rsidRPr="0014178F">
        <w:rPr>
          <w:rFonts w:hint="cs"/>
          <w:rtl/>
        </w:rPr>
        <w:t>העל</w:t>
      </w:r>
      <w:r>
        <w:rPr>
          <w:rFonts w:hint="cs"/>
          <w:rtl/>
        </w:rPr>
        <w:t xml:space="preserve">; </w:t>
      </w:r>
      <w:r w:rsidRPr="0014178F">
        <w:rPr>
          <w:rFonts w:hint="cs"/>
          <w:rtl/>
        </w:rPr>
        <w:t>אישור</w:t>
      </w:r>
      <w:r w:rsidRPr="0014178F">
        <w:rPr>
          <w:rtl/>
        </w:rPr>
        <w:t xml:space="preserve"> יעדים לטווח </w:t>
      </w:r>
      <w:r>
        <w:rPr>
          <w:rFonts w:hint="cs"/>
          <w:rtl/>
        </w:rPr>
        <w:t>ה</w:t>
      </w:r>
      <w:r w:rsidRPr="0014178F">
        <w:rPr>
          <w:rtl/>
        </w:rPr>
        <w:t>ארוך</w:t>
      </w:r>
      <w:r>
        <w:rPr>
          <w:rFonts w:hint="cs"/>
          <w:rtl/>
        </w:rPr>
        <w:t xml:space="preserve">; </w:t>
      </w:r>
      <w:r w:rsidRPr="0014178F">
        <w:rPr>
          <w:rFonts w:hint="cs"/>
          <w:rtl/>
        </w:rPr>
        <w:t>ותיאום</w:t>
      </w:r>
      <w:r w:rsidRPr="0014178F">
        <w:rPr>
          <w:rtl/>
        </w:rPr>
        <w:t xml:space="preserve"> בין גורמי החקירה והאכיפה, המודיעין והרגולציה. </w:t>
      </w:r>
      <w:r w:rsidRPr="0014178F">
        <w:rPr>
          <w:rFonts w:hint="cs"/>
          <w:rtl/>
        </w:rPr>
        <w:t xml:space="preserve">כמו כן </w:t>
      </w:r>
      <w:r w:rsidRPr="0014178F">
        <w:rPr>
          <w:rtl/>
        </w:rPr>
        <w:t>הוועדה המתמדת אחראית לקביעת סדרי עדיפות אופרטיביים, לרבות בחירת היעדים, בקרה ופיקוח על יישומם</w:t>
      </w:r>
      <w:r w:rsidRPr="0014178F">
        <w:rPr>
          <w:rFonts w:hint="cs"/>
          <w:rtl/>
        </w:rPr>
        <w:t xml:space="preserve">, </w:t>
      </w:r>
      <w:r w:rsidRPr="0014178F">
        <w:rPr>
          <w:rtl/>
        </w:rPr>
        <w:t xml:space="preserve">ומקדמת הפקה, מיצוי ושיתוף </w:t>
      </w:r>
      <w:r>
        <w:rPr>
          <w:rFonts w:hint="cs"/>
          <w:rtl/>
        </w:rPr>
        <w:t xml:space="preserve">של </w:t>
      </w:r>
      <w:r w:rsidRPr="0014178F">
        <w:rPr>
          <w:rtl/>
        </w:rPr>
        <w:t xml:space="preserve">ידע מקצועי בין הרשויות. </w:t>
      </w:r>
      <w:r w:rsidRPr="0014178F">
        <w:rPr>
          <w:rFonts w:hint="cs"/>
          <w:rtl/>
        </w:rPr>
        <w:t>להשגת מטרותיה פועלת הוועדה המתמדת באמצעות צוותי משנה מקצועיים ייעודיים הכוללים נציגים מכלל הרשויות החברות בה.</w:t>
      </w:r>
    </w:p>
    <w:p w14:paraId="20C3F03B" w14:textId="77777777" w:rsidR="00F368B6" w:rsidRDefault="00F368B6" w:rsidP="005A0714">
      <w:pPr>
        <w:pStyle w:val="af1"/>
        <w:rPr>
          <w:rtl/>
        </w:rPr>
      </w:pPr>
      <w:r>
        <w:rPr>
          <w:rFonts w:hint="cs"/>
          <w:rtl/>
        </w:rPr>
        <w:t>ל</w:t>
      </w:r>
      <w:r w:rsidRPr="0014178F">
        <w:rPr>
          <w:rFonts w:hint="cs"/>
          <w:rtl/>
        </w:rPr>
        <w:t>דיוני הוועדה המתמדת מוזמנים עשרות רבות של משתתפים</w:t>
      </w:r>
      <w:r>
        <w:rPr>
          <w:rFonts w:hint="cs"/>
          <w:rtl/>
        </w:rPr>
        <w:t xml:space="preserve"> ולא</w:t>
      </w:r>
      <w:r w:rsidRPr="0014178F">
        <w:rPr>
          <w:rFonts w:hint="cs"/>
          <w:rtl/>
        </w:rPr>
        <w:t xml:space="preserve"> מ</w:t>
      </w:r>
      <w:r>
        <w:rPr>
          <w:rFonts w:hint="cs"/>
          <w:rtl/>
        </w:rPr>
        <w:t>ת</w:t>
      </w:r>
      <w:r w:rsidRPr="0014178F">
        <w:rPr>
          <w:rFonts w:hint="cs"/>
          <w:rtl/>
        </w:rPr>
        <w:t xml:space="preserve">אפשר </w:t>
      </w:r>
      <w:r>
        <w:rPr>
          <w:rFonts w:hint="cs"/>
          <w:rtl/>
        </w:rPr>
        <w:t>דיון</w:t>
      </w:r>
      <w:r w:rsidRPr="0014178F">
        <w:rPr>
          <w:rFonts w:hint="cs"/>
          <w:rtl/>
        </w:rPr>
        <w:t xml:space="preserve"> מעמיק ואפקטיבי. עוד נמצא כי גורמים בכירים נעדרים באופן קבוע מכינוסי הוועדה המתמדת, דבר המקשה על קבלת החלטות אופרטיביות, ובמקום זאת עוסקים דיוני הוועדה בסקירות והרצאות העשרה</w:t>
      </w:r>
      <w:r>
        <w:rPr>
          <w:rFonts w:hint="cs"/>
          <w:rtl/>
        </w:rPr>
        <w:t>,</w:t>
      </w:r>
      <w:r w:rsidRPr="0014178F">
        <w:rPr>
          <w:rFonts w:hint="cs"/>
          <w:rtl/>
        </w:rPr>
        <w:t xml:space="preserve"> ללא היבטים יישומיי</w:t>
      </w:r>
      <w:r w:rsidRPr="0014178F">
        <w:rPr>
          <w:rFonts w:hint="eastAsia"/>
          <w:rtl/>
        </w:rPr>
        <w:t>ם</w:t>
      </w:r>
      <w:r w:rsidRPr="0014178F">
        <w:rPr>
          <w:rFonts w:hint="cs"/>
          <w:rtl/>
        </w:rPr>
        <w:t>.</w:t>
      </w:r>
    </w:p>
    <w:p w14:paraId="1718E7B9" w14:textId="77777777" w:rsidR="00F368B6" w:rsidRPr="0005567E" w:rsidRDefault="00F368B6" w:rsidP="005A0714">
      <w:pPr>
        <w:pStyle w:val="100"/>
        <w:rPr>
          <w:rtl/>
        </w:rPr>
      </w:pPr>
      <w:r>
        <w:rPr>
          <w:rFonts w:hint="cs"/>
          <w:rtl/>
        </w:rPr>
        <w:t>המשטרה כתבה בתשובתה למשרד מבקר המדינה מדצמבר 2019 (להלן - תשובת המשטרה) כי בשנתיים האחרונות נבחנה עבודת הוועדה המתמדת והוחלט לחלק את סדר יומה לעבודה בשולחנות עגולים ובפורומים מצומצמים, וכן הוקמו צוותי עבודה שנועדו לטפל בסוגיות מובילות, אשר במסגרתם מתקיימים דיונים בפורומים מצומצמי</w:t>
      </w:r>
      <w:r>
        <w:rPr>
          <w:rFonts w:hint="eastAsia"/>
          <w:rtl/>
        </w:rPr>
        <w:t>ם</w:t>
      </w:r>
      <w:r>
        <w:rPr>
          <w:rFonts w:hint="cs"/>
          <w:rtl/>
        </w:rPr>
        <w:t xml:space="preserve"> יותר ומתאפשרת קבלת החלטות. </w:t>
      </w:r>
    </w:p>
    <w:p w14:paraId="58306EF0" w14:textId="77777777" w:rsidR="00F368B6" w:rsidRPr="0014178F" w:rsidRDefault="00F368B6" w:rsidP="005A0714">
      <w:pPr>
        <w:pStyle w:val="af1"/>
        <w:rPr>
          <w:b/>
        </w:rPr>
      </w:pPr>
      <w:r>
        <w:rPr>
          <w:rFonts w:hint="cs"/>
          <w:rtl/>
        </w:rPr>
        <w:t>מוצע לוועדה המתמדת לפעול ליישום מתכונת עבודתה באופן שיבטיח כי כינוסיה יאפשרו דיון ממצה בסוגיות מעשיות</w:t>
      </w:r>
      <w:r w:rsidRPr="0014178F">
        <w:rPr>
          <w:rFonts w:hint="cs"/>
          <w:rtl/>
        </w:rPr>
        <w:t xml:space="preserve"> </w:t>
      </w:r>
      <w:r>
        <w:rPr>
          <w:rFonts w:hint="cs"/>
          <w:rtl/>
        </w:rPr>
        <w:t>וקבלת החלטות</w:t>
      </w:r>
      <w:r w:rsidRPr="0014178F">
        <w:rPr>
          <w:rFonts w:hint="cs"/>
          <w:rtl/>
        </w:rPr>
        <w:t xml:space="preserve"> אופרטיביות </w:t>
      </w:r>
      <w:r>
        <w:rPr>
          <w:rFonts w:hint="cs"/>
          <w:rtl/>
        </w:rPr>
        <w:t>שיאפשרו</w:t>
      </w:r>
      <w:r w:rsidRPr="0014178F">
        <w:rPr>
          <w:rFonts w:hint="cs"/>
          <w:rtl/>
        </w:rPr>
        <w:t xml:space="preserve"> להוציא לפועל את המדיניות שמתווה צוות</w:t>
      </w:r>
      <w:r>
        <w:rPr>
          <w:rFonts w:hint="cs"/>
          <w:rtl/>
        </w:rPr>
        <w:t>-</w:t>
      </w:r>
      <w:r w:rsidRPr="0014178F">
        <w:rPr>
          <w:rFonts w:hint="cs"/>
          <w:rtl/>
        </w:rPr>
        <w:t>העל</w:t>
      </w:r>
      <w:r>
        <w:rPr>
          <w:rFonts w:hint="cs"/>
          <w:rtl/>
        </w:rPr>
        <w:t>.</w:t>
      </w:r>
    </w:p>
    <w:p w14:paraId="551CE0E0" w14:textId="77777777" w:rsidR="00F368B6" w:rsidRPr="0014178F" w:rsidRDefault="00F368B6" w:rsidP="00F368B6">
      <w:pPr>
        <w:spacing w:line="269" w:lineRule="auto"/>
        <w:rPr>
          <w:rFonts w:eastAsia="Times New Roman" w:cs="Times New Roman"/>
          <w:szCs w:val="20"/>
          <w:rtl/>
        </w:rPr>
      </w:pPr>
    </w:p>
    <w:p w14:paraId="4FEBDC99" w14:textId="77777777" w:rsidR="00F368B6" w:rsidRPr="00F40DC8" w:rsidRDefault="00F368B6" w:rsidP="003A2C35">
      <w:pPr>
        <w:pStyle w:val="316"/>
      </w:pPr>
      <w:bookmarkStart w:id="4" w:name="_Toc24370954"/>
      <w:r w:rsidRPr="00F40DC8">
        <w:rPr>
          <w:rFonts w:hint="cs"/>
          <w:rtl/>
        </w:rPr>
        <w:lastRenderedPageBreak/>
        <w:t>יחידת החילוט - סמכויות ותפקידים</w:t>
      </w:r>
      <w:bookmarkEnd w:id="4"/>
    </w:p>
    <w:p w14:paraId="267AB0A7" w14:textId="77777777" w:rsidR="00F368B6" w:rsidRPr="00F40DC8" w:rsidRDefault="00F368B6" w:rsidP="003A2C35">
      <w:pPr>
        <w:pStyle w:val="414"/>
        <w:rPr>
          <w:rtl/>
        </w:rPr>
      </w:pPr>
      <w:r w:rsidRPr="00F40DC8">
        <w:rPr>
          <w:rFonts w:hint="cs"/>
          <w:rtl/>
        </w:rPr>
        <w:t xml:space="preserve">הקמת יחידת החילוט </w:t>
      </w:r>
    </w:p>
    <w:p w14:paraId="2C08DAB8" w14:textId="77777777" w:rsidR="00F368B6" w:rsidRDefault="00F368B6" w:rsidP="003A2C35">
      <w:pPr>
        <w:pStyle w:val="100"/>
        <w:rPr>
          <w:rtl/>
        </w:rPr>
      </w:pPr>
      <w:r>
        <w:rPr>
          <w:rFonts w:hint="cs"/>
          <w:rtl/>
        </w:rPr>
        <w:t>בעקבות החלטת הממשלה להעצים את האכיפה המשולבת, עלה באופן ניכר היקף הרכוש שנתפס על ידי המשטרה. בשל כך נוצר צורך בהקמת יחידה מקצועית, ייעודית ומוסדרת שתתמחה בניהול הרכוש התפוס</w:t>
      </w:r>
      <w:r>
        <w:rPr>
          <w:rFonts w:hint="cs"/>
        </w:rPr>
        <w:t xml:space="preserve"> </w:t>
      </w:r>
      <w:r>
        <w:rPr>
          <w:rFonts w:hint="cs"/>
          <w:rtl/>
        </w:rPr>
        <w:t>באופן זמני</w:t>
      </w:r>
      <w:r>
        <w:rPr>
          <w:rStyle w:val="FootnoteReference"/>
          <w:rtl/>
        </w:rPr>
        <w:footnoteReference w:id="27"/>
      </w:r>
      <w:r>
        <w:rPr>
          <w:rFonts w:hint="cs"/>
          <w:rtl/>
        </w:rPr>
        <w:t xml:space="preserve"> וכן תממש באופן יעיל את הנכסים אשר חולטו.</w:t>
      </w:r>
    </w:p>
    <w:p w14:paraId="36F21D38" w14:textId="77777777" w:rsidR="00F368B6" w:rsidRPr="007D2468" w:rsidRDefault="00F368B6" w:rsidP="003A2C35">
      <w:pPr>
        <w:pStyle w:val="100"/>
        <w:rPr>
          <w:rtl/>
        </w:rPr>
      </w:pPr>
      <w:r w:rsidRPr="007D2468">
        <w:rPr>
          <w:rFonts w:hint="cs"/>
          <w:rtl/>
        </w:rPr>
        <w:t xml:space="preserve">באפריל 2013 קבע היועץ המשפטי לממשלה כי רכוש </w:t>
      </w:r>
      <w:r>
        <w:rPr>
          <w:rFonts w:hint="cs"/>
          <w:rtl/>
        </w:rPr>
        <w:t>ש</w:t>
      </w:r>
      <w:r w:rsidRPr="007D2468">
        <w:rPr>
          <w:rFonts w:hint="cs"/>
          <w:rtl/>
        </w:rPr>
        <w:t>תפס</w:t>
      </w:r>
      <w:r>
        <w:rPr>
          <w:rFonts w:hint="cs"/>
          <w:rtl/>
        </w:rPr>
        <w:t>ה</w:t>
      </w:r>
      <w:r w:rsidRPr="007D2468">
        <w:rPr>
          <w:rFonts w:hint="cs"/>
          <w:rtl/>
        </w:rPr>
        <w:t xml:space="preserve"> המדינה בתפיסה זמנית לשם חילוטו ומימושו </w:t>
      </w:r>
      <w:r>
        <w:rPr>
          <w:rFonts w:hint="cs"/>
          <w:rtl/>
        </w:rPr>
        <w:t>ינוהל</w:t>
      </w:r>
      <w:r w:rsidRPr="007D2468">
        <w:rPr>
          <w:rFonts w:hint="cs"/>
          <w:rtl/>
        </w:rPr>
        <w:t xml:space="preserve"> במסגרת מחלקה מקצועית מורחבת ומעובה שתפעל </w:t>
      </w:r>
      <w:r>
        <w:rPr>
          <w:rFonts w:hint="cs"/>
          <w:rtl/>
        </w:rPr>
        <w:t>באפוטרופוס הכללי.</w:t>
      </w:r>
    </w:p>
    <w:p w14:paraId="1CB28814" w14:textId="77777777" w:rsidR="00F368B6" w:rsidRDefault="00F368B6" w:rsidP="003A2C35">
      <w:pPr>
        <w:pStyle w:val="100"/>
        <w:rPr>
          <w:rtl/>
        </w:rPr>
      </w:pPr>
      <w:r>
        <w:rPr>
          <w:rFonts w:hint="cs"/>
          <w:rtl/>
        </w:rPr>
        <w:t xml:space="preserve">לצורך בחינת המתכונת הראויה להקמת המחלקה המקצועית האמורה, הוקם באוקטובר 2013 בהנחיית מנכ"ל משרד המשפטים דאז צוות היגוי בין-משרדי (להלן - צוות ההיגוי). הצוות עסק בין היתר באפיון יחידת החילוט - סמכויותיה, מטרותיה ותחומי אחריותה, ובמיפוי וניהול של ממשקי העבודה שלה עם כל הגורמים הרלוונטיים. המלצות הצוות היו שיש להקים גוף ייעודי באפ"כ שיתמקצע ויתמחה בניהול רכוש המיועד לחילוט, משלב התפיסה על ידי המשטרה ועד המימוש. </w:t>
      </w:r>
      <w:r w:rsidRPr="001F6B71">
        <w:rPr>
          <w:rFonts w:hint="cs"/>
          <w:rtl/>
        </w:rPr>
        <w:t xml:space="preserve">יחידת החילוט </w:t>
      </w:r>
      <w:r>
        <w:rPr>
          <w:rFonts w:hint="cs"/>
          <w:rtl/>
        </w:rPr>
        <w:t>יועדה להיות</w:t>
      </w:r>
      <w:r w:rsidRPr="001F6B71">
        <w:rPr>
          <w:rFonts w:hint="cs"/>
          <w:rtl/>
        </w:rPr>
        <w:t xml:space="preserve"> הגורם המרכזי שיטפל ברכוש התפוס והמחולט </w:t>
      </w:r>
      <w:r>
        <w:rPr>
          <w:rFonts w:hint="cs"/>
          <w:rtl/>
        </w:rPr>
        <w:t>לאורך כל שרשרת ההליך הפלילי. במרץ 2014 החליטה מנכ"לית משרד המשפטים דאז</w:t>
      </w:r>
      <w:r w:rsidRPr="00F06188">
        <w:rPr>
          <w:rFonts w:hint="cs"/>
          <w:rtl/>
        </w:rPr>
        <w:t xml:space="preserve"> </w:t>
      </w:r>
      <w:r>
        <w:rPr>
          <w:rFonts w:hint="cs"/>
          <w:rtl/>
        </w:rPr>
        <w:t xml:space="preserve">להקים את היחידה בתוך האפ"כ, כך שתהיה כפופה לאפ"כ והיא הוקמה באותה השנה. </w:t>
      </w:r>
    </w:p>
    <w:p w14:paraId="17B79055" w14:textId="77777777" w:rsidR="00F368B6" w:rsidRPr="00986F07" w:rsidRDefault="00F368B6" w:rsidP="003A2C35">
      <w:pPr>
        <w:pStyle w:val="414"/>
        <w:rPr>
          <w:rtl/>
        </w:rPr>
      </w:pPr>
      <w:r w:rsidRPr="00986F07">
        <w:rPr>
          <w:rFonts w:hint="cs"/>
          <w:rtl/>
        </w:rPr>
        <w:t>המחלוקת בעניין היקף סמכויותיה וחובותיה של יחידת החילוט</w:t>
      </w:r>
    </w:p>
    <w:p w14:paraId="4E33071F" w14:textId="4C91E083" w:rsidR="00F368B6" w:rsidRDefault="00F368B6" w:rsidP="003A2C35">
      <w:pPr>
        <w:pStyle w:val="100"/>
        <w:rPr>
          <w:rtl/>
        </w:rPr>
      </w:pPr>
      <w:r w:rsidRPr="00F23CB3">
        <w:rPr>
          <w:rFonts w:hint="eastAsia"/>
          <w:rtl/>
        </w:rPr>
        <w:t>מאז</w:t>
      </w:r>
      <w:r w:rsidRPr="00F23CB3">
        <w:rPr>
          <w:rtl/>
        </w:rPr>
        <w:t xml:space="preserve"> </w:t>
      </w:r>
      <w:r w:rsidRPr="00F23CB3">
        <w:rPr>
          <w:rFonts w:hint="eastAsia"/>
          <w:rtl/>
        </w:rPr>
        <w:t>הקמתה</w:t>
      </w:r>
      <w:r w:rsidRPr="00F23CB3">
        <w:rPr>
          <w:rtl/>
        </w:rPr>
        <w:t xml:space="preserve"> </w:t>
      </w:r>
      <w:r w:rsidRPr="00F23CB3">
        <w:rPr>
          <w:rFonts w:hint="eastAsia"/>
          <w:rtl/>
        </w:rPr>
        <w:t>של</w:t>
      </w:r>
      <w:r w:rsidRPr="00F23CB3">
        <w:rPr>
          <w:rtl/>
        </w:rPr>
        <w:t xml:space="preserve"> יחידת החילוט התגלעו מחלוקות בינה לבין גופי האכיפה, הפרקליטות וה</w:t>
      </w:r>
      <w:r>
        <w:rPr>
          <w:rtl/>
        </w:rPr>
        <w:t>משטרה בקשר לבקשות של גופי</w:t>
      </w:r>
      <w:r>
        <w:rPr>
          <w:rFonts w:hint="cs"/>
          <w:rtl/>
        </w:rPr>
        <w:t>ם אלה מהיחידה</w:t>
      </w:r>
      <w:r w:rsidRPr="00F23CB3">
        <w:rPr>
          <w:rtl/>
        </w:rPr>
        <w:t xml:space="preserve"> </w:t>
      </w:r>
      <w:r w:rsidRPr="00F23CB3">
        <w:rPr>
          <w:rFonts w:hint="cs"/>
          <w:rtl/>
        </w:rPr>
        <w:t>לנהל רכוש שנתפס באופן זמני. המחלוקות</w:t>
      </w:r>
      <w:r>
        <w:rPr>
          <w:rFonts w:hint="cs"/>
          <w:rtl/>
        </w:rPr>
        <w:t xml:space="preserve"> נובעות מכך שסמכויות יחידת החילוט </w:t>
      </w:r>
      <w:r w:rsidRPr="0044411A">
        <w:rPr>
          <w:rFonts w:hint="cs"/>
          <w:rtl/>
        </w:rPr>
        <w:t>לגבי רכוש כאמור</w:t>
      </w:r>
      <w:r>
        <w:rPr>
          <w:rFonts w:hint="cs"/>
          <w:rtl/>
        </w:rPr>
        <w:t xml:space="preserve"> אינן מעוגנות במפורש בדין. </w:t>
      </w:r>
    </w:p>
    <w:p w14:paraId="573EB990" w14:textId="77777777" w:rsidR="00F368B6" w:rsidRDefault="00F368B6" w:rsidP="003A2C35">
      <w:pPr>
        <w:pStyle w:val="100"/>
        <w:rPr>
          <w:rtl/>
        </w:rPr>
      </w:pPr>
      <w:r>
        <w:rPr>
          <w:rFonts w:hint="cs"/>
          <w:rtl/>
        </w:rPr>
        <w:t>בהחלטת הממשלה מיולי</w:t>
      </w:r>
      <w:r>
        <w:rPr>
          <w:rFonts w:hint="cs"/>
        </w:rPr>
        <w:t xml:space="preserve"> </w:t>
      </w:r>
      <w:r>
        <w:rPr>
          <w:rFonts w:hint="cs"/>
          <w:rtl/>
        </w:rPr>
        <w:t>2010</w:t>
      </w:r>
      <w:r>
        <w:rPr>
          <w:rStyle w:val="FootnoteReference"/>
          <w:rtl/>
        </w:rPr>
        <w:footnoteReference w:id="28"/>
      </w:r>
      <w:r>
        <w:rPr>
          <w:rFonts w:hint="cs"/>
          <w:rtl/>
        </w:rPr>
        <w:t xml:space="preserve"> נקבע שיש להרחיב את סמכויות האפ"כ לנהל ולממש רכוש הנתפס על ידי רשויות האכיפה, במסגרת הליכי חילוט, גם מכוח חוק המאבק בארגוני פשיעה, התשס"ג-2003, וחוק איסור מימון טרור, התשס"ה-2005. עוד הוחלט לתקן את החוקים האמורים ואת פקודת הסמים המסוכנים וחוק איסור הלבנת הון, כך שיובהר בהם כי רכוש שניתן לגביו סעד זמני על ידי בית המשפט, להבטחת החילוט בסוף ההליך המשפטי, יועבר לאפ"כ וינוהל על ידו בניהול זמני או על ידי אחר בפיקוח האפ"כ. עוד נקבע בהחלטה כי רכוש שיחולט, או תמורתו, יופקדו על ידי האפ"כ בקרן ייעודית שינהל. במהלך השנים נעשו ניסיונות להרחיב את </w:t>
      </w:r>
      <w:r>
        <w:rPr>
          <w:rFonts w:hint="cs"/>
          <w:rtl/>
        </w:rPr>
        <w:lastRenderedPageBreak/>
        <w:t xml:space="preserve">סמכויות היחידה לנהל רכוש תפוס ולממשו, אך בפועל הן הוסדרו במפורש רק בחוק המאבק בטרור, התשע"ו-2016, ובתקנות הנלוות לו. </w:t>
      </w:r>
    </w:p>
    <w:p w14:paraId="67752F95" w14:textId="77777777" w:rsidR="00F368B6" w:rsidRDefault="00F368B6" w:rsidP="003A2C35">
      <w:pPr>
        <w:pStyle w:val="100"/>
        <w:rPr>
          <w:rtl/>
        </w:rPr>
      </w:pPr>
      <w:r>
        <w:rPr>
          <w:rFonts w:hint="cs"/>
          <w:rtl/>
        </w:rPr>
        <w:t>יחידת החילוט שואבת את סמכויותיה לנהל רכוש שחולט באופן סופי בצו בית משפט, מכוח הסמכות שהוענקה בדין לאפ"כ, במסגרת חמישה חוקים ותקנות על פיהם</w:t>
      </w:r>
      <w:r>
        <w:rPr>
          <w:rStyle w:val="FootnoteReference"/>
          <w:rtl/>
        </w:rPr>
        <w:footnoteReference w:id="29"/>
      </w:r>
      <w:r>
        <w:rPr>
          <w:rFonts w:hint="cs"/>
          <w:rtl/>
        </w:rPr>
        <w:t>. עם זאת לאפ"כ אין הסמכה מפורשת לניהול הרכוש התפוס באופן זמני, ולא נקבעו הסדרים בנוגע לניהול נכסים תפוסים.</w:t>
      </w:r>
    </w:p>
    <w:p w14:paraId="00B52C40" w14:textId="77777777" w:rsidR="00F368B6" w:rsidRDefault="00F368B6" w:rsidP="003A2C35">
      <w:pPr>
        <w:pStyle w:val="100"/>
        <w:rPr>
          <w:rtl/>
        </w:rPr>
      </w:pPr>
      <w:r>
        <w:rPr>
          <w:rFonts w:hint="cs"/>
          <w:rtl/>
        </w:rPr>
        <w:t xml:space="preserve">יצוין כי האפ"כ מקבל על עצמו את הסמכות הכללית מכוח סעיף 2(ב) לחוק האפוטרופוס הכללי, התשל"ח-1978, המקנה לו סמכות לנהל נכסים ולבצע כל תפקיד שקיבל על עצמו או שהוטל עליו על פי דין או החלטת ממשלה. משמעות הדבר שבהיעדר הסדרה מפורשת בדין או בהחלטת ממשלה, ניהול הרכוש התפוס בטרם התקבלה החלטה סופית לגביו מותנה בהסכמת האפ"כ ליטול על עצמו את התפקיד. אם לא ניתנה הסכמה כאמור, הרכוש התפוס יטופל על פי רוב על ידי המשטרה. </w:t>
      </w:r>
    </w:p>
    <w:p w14:paraId="6588D8C6" w14:textId="77777777" w:rsidR="00F368B6" w:rsidRDefault="00F368B6" w:rsidP="003A2C35">
      <w:pPr>
        <w:pStyle w:val="100"/>
        <w:rPr>
          <w:rtl/>
        </w:rPr>
      </w:pPr>
      <w:r>
        <w:rPr>
          <w:rFonts w:hint="cs"/>
          <w:rtl/>
        </w:rPr>
        <w:t>סוגיה נוספת נוגעת לסמכות יחידת החילוט בעניין ניהול רכוש תפוס מכוח פסד"פ</w:t>
      </w:r>
      <w:r>
        <w:rPr>
          <w:rStyle w:val="FootnoteReference"/>
          <w:rtl/>
        </w:rPr>
        <w:footnoteReference w:id="30"/>
      </w:r>
      <w:r>
        <w:rPr>
          <w:rFonts w:hint="cs"/>
          <w:rtl/>
        </w:rPr>
        <w:t xml:space="preserve">. </w:t>
      </w:r>
      <w:r w:rsidRPr="0030797A">
        <w:rPr>
          <w:rFonts w:hint="cs"/>
          <w:rtl/>
        </w:rPr>
        <w:t>בהתאם לנתוני המשטרה נפתחו בשנים 2015 עד 2017 כ-1</w:t>
      </w:r>
      <w:r>
        <w:rPr>
          <w:rFonts w:hint="cs"/>
          <w:rtl/>
        </w:rPr>
        <w:t>,</w:t>
      </w:r>
      <w:r w:rsidRPr="0030797A">
        <w:rPr>
          <w:rFonts w:hint="cs"/>
          <w:rtl/>
        </w:rPr>
        <w:t>0</w:t>
      </w:r>
      <w:r>
        <w:rPr>
          <w:rFonts w:hint="cs"/>
          <w:rtl/>
        </w:rPr>
        <w:t>0</w:t>
      </w:r>
      <w:r w:rsidRPr="0030797A">
        <w:rPr>
          <w:rFonts w:hint="cs"/>
          <w:rtl/>
        </w:rPr>
        <w:t xml:space="preserve">0 תיקי חקירה </w:t>
      </w:r>
      <w:r>
        <w:rPr>
          <w:rFonts w:hint="cs"/>
          <w:rtl/>
        </w:rPr>
        <w:t>ש</w:t>
      </w:r>
      <w:r w:rsidRPr="0030797A">
        <w:rPr>
          <w:rFonts w:hint="cs"/>
          <w:rtl/>
        </w:rPr>
        <w:t>בהם נתפס רכוש</w:t>
      </w:r>
      <w:r>
        <w:rPr>
          <w:rFonts w:hint="cs"/>
          <w:rtl/>
        </w:rPr>
        <w:t xml:space="preserve"> ששוויו כ-85 מיליון ש"ח</w:t>
      </w:r>
      <w:r w:rsidRPr="0030797A">
        <w:rPr>
          <w:rFonts w:hint="cs"/>
          <w:rtl/>
        </w:rPr>
        <w:t xml:space="preserve"> </w:t>
      </w:r>
      <w:r>
        <w:rPr>
          <w:rFonts w:hint="cs"/>
          <w:rtl/>
        </w:rPr>
        <w:t>וש</w:t>
      </w:r>
      <w:r w:rsidRPr="0030797A">
        <w:rPr>
          <w:rFonts w:hint="cs"/>
          <w:rtl/>
        </w:rPr>
        <w:t>מיועד לחילוט מכוח</w:t>
      </w:r>
      <w:r>
        <w:rPr>
          <w:rFonts w:hint="cs"/>
          <w:rtl/>
        </w:rPr>
        <w:t xml:space="preserve"> הפקודה</w:t>
      </w:r>
      <w:r w:rsidRPr="002C6F0F">
        <w:rPr>
          <w:rtl/>
        </w:rPr>
        <w:t xml:space="preserve">. </w:t>
      </w:r>
      <w:r>
        <w:rPr>
          <w:rFonts w:hint="cs"/>
          <w:rtl/>
        </w:rPr>
        <w:t>לעמדת יחידת החילוט אין היא מוסמכת לנהל רכוש שנתפס מכוח הפקודה בהיעדר הסמכה מפורשת, והיא לא קיבלה על עצמה את הטיפול באותם נכסים. המשטרה והפרקליטות סבורות כי היחידה יכולה לקבל על עצמה את הטיפול בנכסים אלו.</w:t>
      </w:r>
    </w:p>
    <w:p w14:paraId="36886396" w14:textId="77777777" w:rsidR="00F368B6" w:rsidRDefault="00F368B6" w:rsidP="003A2C35">
      <w:pPr>
        <w:pStyle w:val="100"/>
        <w:rPr>
          <w:rtl/>
        </w:rPr>
      </w:pPr>
      <w:r>
        <w:rPr>
          <w:rFonts w:hint="cs"/>
          <w:rtl/>
        </w:rPr>
        <w:t>ביולי 2019 התקיימו דיונים בין האפ"כ, הפרקליטות והמשטרה, ובהם הוסכם כי שיקול הדעת בנושא תפיסת רכוש המיועד לחילוט נתון למשטרה ולפרקליטות, ויחידת החילוט יכולה לייעץ בדבר הדרך הנכונה לעשות זאת.</w:t>
      </w:r>
    </w:p>
    <w:p w14:paraId="1252078C" w14:textId="151ABC0F" w:rsidR="00F368B6" w:rsidRDefault="00F368B6" w:rsidP="003A2C35">
      <w:pPr>
        <w:pStyle w:val="af1"/>
        <w:rPr>
          <w:rtl/>
        </w:rPr>
      </w:pPr>
      <w:r w:rsidRPr="00FA2779">
        <w:rPr>
          <w:rFonts w:hint="cs"/>
          <w:rtl/>
        </w:rPr>
        <w:lastRenderedPageBreak/>
        <w:t xml:space="preserve">בהיעדר הסדרה ברורה, אחידה וכוללת של סמכויות יחידת החילוט, היא אינה מטפלת בכל </w:t>
      </w:r>
      <w:r w:rsidRPr="00FA2779">
        <w:rPr>
          <w:rtl/>
        </w:rPr>
        <w:t xml:space="preserve">הרכוש </w:t>
      </w:r>
      <w:r w:rsidRPr="00FA2779">
        <w:rPr>
          <w:rFonts w:hint="cs"/>
          <w:rtl/>
        </w:rPr>
        <w:t>ה</w:t>
      </w:r>
      <w:r w:rsidRPr="00FA2779">
        <w:rPr>
          <w:rtl/>
        </w:rPr>
        <w:t xml:space="preserve">תפוס באופן זמני </w:t>
      </w:r>
      <w:r w:rsidRPr="00FA2779">
        <w:rPr>
          <w:rFonts w:hint="cs"/>
          <w:rtl/>
        </w:rPr>
        <w:t>ו</w:t>
      </w:r>
      <w:r w:rsidRPr="00FA2779">
        <w:rPr>
          <w:rtl/>
        </w:rPr>
        <w:t>המחולט באופן סופי</w:t>
      </w:r>
      <w:r>
        <w:rPr>
          <w:rFonts w:hint="cs"/>
          <w:rtl/>
        </w:rPr>
        <w:t>,</w:t>
      </w:r>
      <w:r w:rsidRPr="00FA2779">
        <w:rPr>
          <w:rFonts w:hint="cs"/>
          <w:rtl/>
        </w:rPr>
        <w:t xml:space="preserve"> ובשל כך נפגעת יעילות האכיפה הכלכלית. כמו כן, ריבוי הגורמים המנהלים את הרכוש התפוס בהתאם לדבר החקיקה שמכוחו נתפס הרכוש טומן בחובו סיכון לחוסר אחידות בטיפול בנכסים התפוסים</w:t>
      </w:r>
      <w:r w:rsidR="00F24CDA">
        <w:rPr>
          <w:rFonts w:hint="cs"/>
          <w:rtl/>
        </w:rPr>
        <w:t>.</w:t>
      </w:r>
    </w:p>
    <w:p w14:paraId="24122382" w14:textId="7DB1B9B2" w:rsidR="00F368B6" w:rsidRDefault="00F368B6" w:rsidP="003A2C35">
      <w:pPr>
        <w:pStyle w:val="100"/>
        <w:rPr>
          <w:rtl/>
        </w:rPr>
      </w:pPr>
      <w:r>
        <w:rPr>
          <w:rFonts w:hint="cs"/>
          <w:rtl/>
        </w:rPr>
        <w:t>המשטרה ויחידת החילוט תומכות בקידום הסדרת המצב החוקי.</w:t>
      </w:r>
      <w:r w:rsidRPr="00163AC7">
        <w:rPr>
          <w:rFonts w:hint="cs"/>
          <w:rtl/>
        </w:rPr>
        <w:t xml:space="preserve"> </w:t>
      </w:r>
      <w:r>
        <w:rPr>
          <w:rFonts w:hint="cs"/>
          <w:rtl/>
        </w:rPr>
        <w:t>נוסף על כך, יחידת החילוט סבורה כי על האפ"כ להיכלל ברשימת הגופים הנמנים על צוות-העל וזאת, בין היתר, בשל תרומת יחידת החילוט ומעורבותה בהליכי החילוט, וכדי שצורכי היחידה יילקחו בחשבון בדיון על חלוקת משאבים.</w:t>
      </w:r>
    </w:p>
    <w:p w14:paraId="103F7660" w14:textId="77777777" w:rsidR="00F368B6" w:rsidRDefault="00F368B6" w:rsidP="003A2C35">
      <w:pPr>
        <w:pStyle w:val="af1"/>
        <w:rPr>
          <w:rtl/>
        </w:rPr>
      </w:pPr>
      <w:r>
        <w:rPr>
          <w:rFonts w:hint="cs"/>
          <w:rtl/>
        </w:rPr>
        <w:t>מוצע כי משרד המשפטים יקדם את הסדרת הסמכויות של יחידת החילוט ב</w:t>
      </w:r>
      <w:r w:rsidRPr="00FA2779">
        <w:rPr>
          <w:rFonts w:hint="cs"/>
          <w:rtl/>
        </w:rPr>
        <w:t xml:space="preserve">תיקוני </w:t>
      </w:r>
      <w:r>
        <w:rPr>
          <w:rFonts w:hint="cs"/>
          <w:rtl/>
        </w:rPr>
        <w:t>החקיקה הנדרשים או בקידום החלטת ממשלה, או בכל דרך אחרת, כך שהיחידה תוכל לטפל בכל הרכוש התפוס באופן זמני או המחולט באופן סופי. הדבר נדרש כדי</w:t>
      </w:r>
      <w:r w:rsidRPr="00FA2779">
        <w:rPr>
          <w:rFonts w:hint="cs"/>
          <w:rtl/>
        </w:rPr>
        <w:t xml:space="preserve"> שיוקנו סמכויות ניהול של כל הרכוש התפוס ומימושו לגוף אחד, במנותק מדבר החקיקה שמכוחו נעשתה התפיסה.</w:t>
      </w:r>
      <w:r>
        <w:rPr>
          <w:rFonts w:hint="cs"/>
          <w:rtl/>
        </w:rPr>
        <w:t xml:space="preserve"> עוד מוצע כי משרד המשפטים יבחן את בקשת האפ"כ להיכלל בצוות-העל.</w:t>
      </w:r>
    </w:p>
    <w:p w14:paraId="20A8210A" w14:textId="77777777" w:rsidR="00F368B6" w:rsidRPr="00A3235D" w:rsidRDefault="00F368B6" w:rsidP="00D66DE6">
      <w:pPr>
        <w:pStyle w:val="414"/>
        <w:rPr>
          <w:rtl/>
        </w:rPr>
      </w:pPr>
      <w:r w:rsidRPr="00A3235D">
        <w:rPr>
          <w:rFonts w:hint="cs"/>
          <w:rtl/>
        </w:rPr>
        <w:t xml:space="preserve">פעילות יחידת החילוט </w:t>
      </w:r>
      <w:r>
        <w:rPr>
          <w:rFonts w:hint="cs"/>
          <w:rtl/>
        </w:rPr>
        <w:t>בראי מצבת כוח האדם</w:t>
      </w:r>
    </w:p>
    <w:p w14:paraId="71944C87" w14:textId="77777777" w:rsidR="00F368B6" w:rsidRDefault="00F368B6" w:rsidP="00D66DE6">
      <w:pPr>
        <w:pStyle w:val="100"/>
        <w:rPr>
          <w:rtl/>
        </w:rPr>
      </w:pPr>
      <w:r w:rsidRPr="008B1A15">
        <w:rPr>
          <w:rFonts w:hint="cs"/>
          <w:rtl/>
        </w:rPr>
        <w:t>פעילותה של יחידת החילוט כוללת תחומים רבים</w:t>
      </w:r>
      <w:r>
        <w:rPr>
          <w:rFonts w:hint="cs"/>
          <w:rtl/>
        </w:rPr>
        <w:t>,</w:t>
      </w:r>
      <w:r w:rsidRPr="008B1A15">
        <w:rPr>
          <w:rFonts w:hint="cs"/>
          <w:rtl/>
        </w:rPr>
        <w:t xml:space="preserve"> החל </w:t>
      </w:r>
      <w:r>
        <w:rPr>
          <w:rFonts w:hint="cs"/>
          <w:rtl/>
        </w:rPr>
        <w:t>ב</w:t>
      </w:r>
      <w:r w:rsidRPr="008B1A15">
        <w:rPr>
          <w:rFonts w:hint="cs"/>
          <w:rtl/>
        </w:rPr>
        <w:t>ליווי גופי האכיפה בשלב החקירה והתפיסה הזמנית ועד מימוש רכוש מחולט לאחר מתן צווי חילוט</w:t>
      </w:r>
      <w:r>
        <w:rPr>
          <w:rFonts w:hint="cs"/>
          <w:rtl/>
        </w:rPr>
        <w:t xml:space="preserve"> וניהול סוגי נכסים מגוונים. ה</w:t>
      </w:r>
      <w:r w:rsidRPr="008B1A15">
        <w:rPr>
          <w:rFonts w:hint="cs"/>
          <w:rtl/>
        </w:rPr>
        <w:t xml:space="preserve">מטרה </w:t>
      </w:r>
      <w:r>
        <w:rPr>
          <w:rFonts w:hint="cs"/>
          <w:rtl/>
        </w:rPr>
        <w:t xml:space="preserve">היא </w:t>
      </w:r>
      <w:r w:rsidRPr="008B1A15">
        <w:rPr>
          <w:rFonts w:hint="cs"/>
          <w:rtl/>
        </w:rPr>
        <w:t>להבטיח את שמירת ערכם ו</w:t>
      </w:r>
      <w:r>
        <w:rPr>
          <w:rFonts w:hint="cs"/>
          <w:rtl/>
        </w:rPr>
        <w:t xml:space="preserve">את </w:t>
      </w:r>
      <w:r w:rsidRPr="008B1A15">
        <w:rPr>
          <w:rFonts w:hint="cs"/>
          <w:rtl/>
        </w:rPr>
        <w:t>מניעת הברחתם של הנכסים התפוסים זמנית, ואת מימושם המהיר והיעיל של הנכסים המחולטים</w:t>
      </w:r>
      <w:r>
        <w:rPr>
          <w:rFonts w:hint="cs"/>
          <w:rtl/>
        </w:rPr>
        <w:t xml:space="preserve"> או אלו התפוסים בשלב הזמני, על פי החלטת בית המשפט, תוך התמודדות עם חסמים וקשיים משפטיים כלכליים ולוגיסטיים המתעוררים בעת מימוש הנכסים</w:t>
      </w:r>
      <w:r w:rsidRPr="008B1A15">
        <w:rPr>
          <w:rFonts w:hint="cs"/>
          <w:rtl/>
        </w:rPr>
        <w:t>.</w:t>
      </w:r>
    </w:p>
    <w:p w14:paraId="3EA5099B" w14:textId="77777777" w:rsidR="00F368B6" w:rsidRDefault="00F368B6" w:rsidP="00D66DE6">
      <w:pPr>
        <w:pStyle w:val="100"/>
        <w:rPr>
          <w:rtl/>
        </w:rPr>
      </w:pPr>
      <w:r>
        <w:rPr>
          <w:rFonts w:hint="cs"/>
          <w:rtl/>
        </w:rPr>
        <w:t>תפקידי היחידה כוללים, בין היתר, הערכת שווי מקרקעין (במיקור חוץ או באומדן שווי ראשוני על ידי מחלקת הכספים ביחידה); הערכת שווי מיטלטלין תפוסים; טיפול בהמחאות מחוללות</w:t>
      </w:r>
      <w:r>
        <w:rPr>
          <w:rStyle w:val="FootnoteReference"/>
          <w:rtl/>
        </w:rPr>
        <w:footnoteReference w:id="31"/>
      </w:r>
      <w:r>
        <w:rPr>
          <w:rFonts w:hint="cs"/>
          <w:rtl/>
        </w:rPr>
        <w:t>; ייעוץ משפטי ולוגיסטי; שינוע ואחסון של מיטלטלין</w:t>
      </w:r>
      <w:r>
        <w:rPr>
          <w:rStyle w:val="FootnoteReference"/>
          <w:rtl/>
        </w:rPr>
        <w:footnoteReference w:id="32"/>
      </w:r>
      <w:r>
        <w:rPr>
          <w:rFonts w:hint="cs"/>
          <w:rtl/>
        </w:rPr>
        <w:t xml:space="preserve">, לרבות מלאי עסקי; פיקוח על תפיסת חברות בצווים זמניים; מכירת מיטלטלין; וניהול פיקדונות ותיקי השקעות שנתפסו בחשבונות בנקים. </w:t>
      </w:r>
    </w:p>
    <w:p w14:paraId="0E9B8CC9" w14:textId="77777777" w:rsidR="00F368B6" w:rsidRDefault="00F368B6" w:rsidP="00D66DE6">
      <w:pPr>
        <w:pStyle w:val="100"/>
        <w:rPr>
          <w:rtl/>
        </w:rPr>
      </w:pPr>
      <w:r>
        <w:rPr>
          <w:rFonts w:hint="cs"/>
          <w:rtl/>
        </w:rPr>
        <w:t>להלן בתרשים 3 תיאור היקף פעילות יחידת החילוט בתחומים השונים.</w:t>
      </w:r>
    </w:p>
    <w:p w14:paraId="0074A8E1" w14:textId="77777777" w:rsidR="00F368B6" w:rsidRDefault="00F368B6" w:rsidP="00F368B6">
      <w:pPr>
        <w:spacing w:line="269" w:lineRule="auto"/>
        <w:rPr>
          <w:rtl/>
        </w:rPr>
      </w:pPr>
    </w:p>
    <w:p w14:paraId="554AAF3D" w14:textId="77777777" w:rsidR="00D66DE6" w:rsidRDefault="00D66DE6">
      <w:pPr>
        <w:bidi w:val="0"/>
        <w:spacing w:after="200" w:line="276" w:lineRule="auto"/>
        <w:rPr>
          <w:b/>
          <w:bCs/>
          <w:rtl/>
        </w:rPr>
      </w:pPr>
      <w:r>
        <w:rPr>
          <w:b/>
          <w:bCs/>
          <w:rtl/>
        </w:rPr>
        <w:br w:type="page"/>
      </w:r>
    </w:p>
    <w:p w14:paraId="167F7983" w14:textId="568C0939" w:rsidR="00F368B6" w:rsidRPr="009D44E7" w:rsidRDefault="00F368B6" w:rsidP="00D66DE6">
      <w:pPr>
        <w:pStyle w:val="a6"/>
        <w:rPr>
          <w:rtl/>
        </w:rPr>
      </w:pPr>
      <w:r w:rsidRPr="009D44E7">
        <w:rPr>
          <w:rFonts w:hint="cs"/>
          <w:rtl/>
        </w:rPr>
        <w:lastRenderedPageBreak/>
        <w:t xml:space="preserve">תרשים </w:t>
      </w:r>
      <w:r>
        <w:rPr>
          <w:rFonts w:hint="cs"/>
          <w:rtl/>
        </w:rPr>
        <w:t>3:</w:t>
      </w:r>
      <w:r w:rsidRPr="009D44E7">
        <w:rPr>
          <w:rFonts w:hint="cs"/>
          <w:rtl/>
        </w:rPr>
        <w:t xml:space="preserve"> </w:t>
      </w:r>
      <w:r w:rsidRPr="00D66DE6">
        <w:rPr>
          <w:rFonts w:hint="cs"/>
          <w:b/>
          <w:bCs/>
          <w:rtl/>
        </w:rPr>
        <w:t>היקף פעילות יחידת החילוט בשנים 2016 - 2018</w:t>
      </w:r>
    </w:p>
    <w:p w14:paraId="33654BCB" w14:textId="77777777" w:rsidR="00F368B6" w:rsidRDefault="00F368B6" w:rsidP="00F368B6">
      <w:pPr>
        <w:spacing w:line="269" w:lineRule="auto"/>
        <w:jc w:val="center"/>
        <w:rPr>
          <w:rtl/>
        </w:rPr>
      </w:pPr>
      <w:r>
        <w:rPr>
          <w:noProof/>
        </w:rPr>
        <w:drawing>
          <wp:inline distT="0" distB="0" distL="0" distR="0" wp14:anchorId="33BCA220" wp14:editId="26ABBEFA">
            <wp:extent cx="5017118" cy="4021585"/>
            <wp:effectExtent l="0" t="0" r="0" b="0"/>
            <wp:docPr id="33"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702" b="3116"/>
                    <a:stretch/>
                  </pic:blipFill>
                  <pic:spPr bwMode="auto">
                    <a:xfrm>
                      <a:off x="0" y="0"/>
                      <a:ext cx="5150231" cy="4128285"/>
                    </a:xfrm>
                    <a:prstGeom prst="rect">
                      <a:avLst/>
                    </a:prstGeom>
                    <a:ln>
                      <a:noFill/>
                    </a:ln>
                    <a:extLst>
                      <a:ext uri="{53640926-AAD7-44D8-BBD7-CCE9431645EC}">
                        <a14:shadowObscured xmlns:a14="http://schemas.microsoft.com/office/drawing/2010/main"/>
                      </a:ext>
                    </a:extLst>
                  </pic:spPr>
                </pic:pic>
              </a:graphicData>
            </a:graphic>
          </wp:inline>
        </w:drawing>
      </w:r>
    </w:p>
    <w:p w14:paraId="50196860" w14:textId="71D22C9E" w:rsidR="00F368B6" w:rsidRDefault="00F368B6" w:rsidP="00D66DE6">
      <w:pPr>
        <w:pStyle w:val="a8"/>
        <w:rPr>
          <w:rtl/>
        </w:rPr>
      </w:pPr>
      <w:r w:rsidRPr="00D66DE6">
        <w:rPr>
          <w:rFonts w:hint="cs"/>
          <w:rtl/>
        </w:rPr>
        <w:t xml:space="preserve">מקור: </w:t>
      </w:r>
      <w:r w:rsidRPr="00D66DE6">
        <w:rPr>
          <w:rFonts w:hint="eastAsia"/>
          <w:rtl/>
        </w:rPr>
        <w:t>על</w:t>
      </w:r>
      <w:r w:rsidRPr="00D66DE6">
        <w:rPr>
          <w:rtl/>
        </w:rPr>
        <w:t xml:space="preserve"> </w:t>
      </w:r>
      <w:r w:rsidRPr="00D66DE6">
        <w:rPr>
          <w:rFonts w:hint="eastAsia"/>
          <w:rtl/>
        </w:rPr>
        <w:t>פי</w:t>
      </w:r>
      <w:r w:rsidRPr="00D66DE6">
        <w:rPr>
          <w:rtl/>
        </w:rPr>
        <w:t xml:space="preserve"> סיכום פעילות של האפוטרופוס הכללי, הכונס הרשמי והרשם לענייני ירושה לשנים 201</w:t>
      </w:r>
      <w:r w:rsidRPr="00D66DE6">
        <w:rPr>
          <w:rFonts w:hint="cs"/>
          <w:rtl/>
        </w:rPr>
        <w:t xml:space="preserve">6 - </w:t>
      </w:r>
      <w:r w:rsidRPr="00D66DE6">
        <w:rPr>
          <w:rtl/>
        </w:rPr>
        <w:t>201</w:t>
      </w:r>
      <w:r w:rsidRPr="00D66DE6">
        <w:rPr>
          <w:rFonts w:hint="cs"/>
          <w:rtl/>
        </w:rPr>
        <w:t>8,</w:t>
      </w:r>
      <w:r w:rsidR="00D66DE6">
        <w:rPr>
          <w:rtl/>
        </w:rPr>
        <w:br/>
      </w:r>
      <w:r w:rsidRPr="00D66DE6">
        <w:rPr>
          <w:rtl/>
        </w:rPr>
        <w:t>בעיבוד משרד מבקר המדינה.</w:t>
      </w:r>
    </w:p>
    <w:p w14:paraId="270694EC" w14:textId="77777777" w:rsidR="00DB357C" w:rsidRPr="00D66DE6" w:rsidRDefault="00DB357C" w:rsidP="00D66DE6">
      <w:pPr>
        <w:pStyle w:val="a8"/>
        <w:rPr>
          <w:rtl/>
        </w:rPr>
      </w:pPr>
    </w:p>
    <w:p w14:paraId="3C1BA8C7" w14:textId="77777777" w:rsidR="00F368B6" w:rsidRPr="006E08F0" w:rsidRDefault="00F368B6" w:rsidP="00D66DE6">
      <w:pPr>
        <w:pStyle w:val="100"/>
        <w:rPr>
          <w:rtl/>
        </w:rPr>
      </w:pPr>
      <w:r w:rsidRPr="001A44F2">
        <w:rPr>
          <w:rFonts w:hint="cs"/>
          <w:rtl/>
        </w:rPr>
        <w:t>יחידת החילוט</w:t>
      </w:r>
      <w:r>
        <w:rPr>
          <w:rFonts w:hint="cs"/>
          <w:rtl/>
        </w:rPr>
        <w:t xml:space="preserve"> הוקמה בשנת 2014 כשמצבת כוח האדם מנתה ארבעה עובדים: עורך דין ושלושה עובדי תפעול וכספים. בשנת 2016 היא מנתה תשעה עובדים, מהם ארבעה עורכי דין. במאי 2019 מנתה מצבת כוח האדם של יחידת החילוט 17 עובדים. היחידה מסרה כי מבין אלה רק שמונה הם עורכי דין שבאפשרותם ללוות את התיקים ולטפל בהם בפן המשפטי, לצד טיפול בהיבטים משפטיים אחרים של פעולות היחידה. שאר העובדים מטפלים בפן הפיננסי ובפן הלוגיסטי של ניהול התיקים. </w:t>
      </w:r>
    </w:p>
    <w:p w14:paraId="4091F3C9" w14:textId="77777777" w:rsidR="00F368B6" w:rsidRPr="00496F5C" w:rsidRDefault="00F368B6" w:rsidP="00D66DE6">
      <w:pPr>
        <w:pStyle w:val="af1"/>
        <w:rPr>
          <w:rtl/>
        </w:rPr>
      </w:pPr>
      <w:r w:rsidRPr="00496F5C">
        <w:rPr>
          <w:rFonts w:hint="eastAsia"/>
          <w:rtl/>
        </w:rPr>
        <w:t>ש</w:t>
      </w:r>
      <w:r w:rsidRPr="00496F5C">
        <w:rPr>
          <w:rFonts w:hint="cs"/>
          <w:rtl/>
        </w:rPr>
        <w:t>י</w:t>
      </w:r>
      <w:r w:rsidRPr="00496F5C">
        <w:rPr>
          <w:rFonts w:hint="eastAsia"/>
          <w:rtl/>
        </w:rPr>
        <w:t>עור</w:t>
      </w:r>
      <w:r w:rsidRPr="00496F5C">
        <w:rPr>
          <w:rtl/>
        </w:rPr>
        <w:t xml:space="preserve"> </w:t>
      </w:r>
      <w:r w:rsidRPr="00496F5C">
        <w:rPr>
          <w:rFonts w:hint="eastAsia"/>
          <w:rtl/>
        </w:rPr>
        <w:t>סגירת</w:t>
      </w:r>
      <w:r w:rsidRPr="00496F5C">
        <w:rPr>
          <w:rtl/>
        </w:rPr>
        <w:t xml:space="preserve"> </w:t>
      </w:r>
      <w:r w:rsidRPr="00496F5C">
        <w:rPr>
          <w:rFonts w:hint="eastAsia"/>
          <w:rtl/>
        </w:rPr>
        <w:t>תיקי</w:t>
      </w:r>
      <w:r w:rsidRPr="00496F5C">
        <w:rPr>
          <w:rtl/>
        </w:rPr>
        <w:t xml:space="preserve"> </w:t>
      </w:r>
      <w:r w:rsidRPr="00496F5C">
        <w:rPr>
          <w:rFonts w:hint="eastAsia"/>
          <w:rtl/>
        </w:rPr>
        <w:t>החילוט</w:t>
      </w:r>
      <w:r w:rsidRPr="00496F5C">
        <w:rPr>
          <w:rFonts w:hint="cs"/>
          <w:rtl/>
        </w:rPr>
        <w:t xml:space="preserve"> נמוך ביחס למספר התיקים שנפתחו מאז הקמתה. נכון למועד הביקורת, יחידת החילוט טיפלה מאז הקמתה בכ-6,500 תיקים (מהם 1,700 תיקים נפתחו באפ"כ לפני שנת 2014 והועברו לטיפול יחידת החילוט עם הקמתה). מצבת התיקים הפתוחים נכון לדצמבר 2019 היא 5,350. מבין 3,263 תיקים שבהם ניתן צו חילוט סופי סגרה היחידה 1,326 תיקים (40%). </w:t>
      </w:r>
    </w:p>
    <w:p w14:paraId="1CA3D50F" w14:textId="77777777" w:rsidR="00F368B6" w:rsidRDefault="00F368B6" w:rsidP="00D66DE6">
      <w:pPr>
        <w:pStyle w:val="100"/>
        <w:rPr>
          <w:rtl/>
        </w:rPr>
      </w:pPr>
      <w:r>
        <w:rPr>
          <w:rFonts w:hint="cs"/>
          <w:rtl/>
        </w:rPr>
        <w:lastRenderedPageBreak/>
        <w:t>יחידת החילוט מסרה למשרד מבקר המדינה בתשובתה מדצמבר 2019 (להלן - תשובת יחידת החילוט) כי היא פועלת זה חמש שנים, ובשלוש השנים הראשונות, לצד העבודה השוטפת, נאלצה להקדיש תשומות מרובות לעצם הקמתה ובנייתה. היא הוסיפה כי לעמדתה, מאז ועד היום היא לא מותאמת מבחינת התשתיות, מערכות המידע וכוח האדם.</w:t>
      </w:r>
      <w:r w:rsidRPr="0082521A">
        <w:rPr>
          <w:rFonts w:hint="cs"/>
          <w:rtl/>
        </w:rPr>
        <w:t xml:space="preserve"> </w:t>
      </w:r>
      <w:r>
        <w:rPr>
          <w:rFonts w:hint="cs"/>
          <w:rtl/>
        </w:rPr>
        <w:t xml:space="preserve">כמו כן, קיים פער בין הגידול בנכסים התפוסים עקב הגדלת המערך החוקר של הפשיעה הכלכלית לבין הציפיה ממנה ללוות הליכי אכיפה לכל אורך ההליך הפלילי, החל משלב טרום התפיסה ועד למתן גזר הדין ולאחריו עד למימוש הנכסים המחולטים, וזאת במקביל לניהול הנכסים טרם החילוט הסופי. עוד ציינה כי שיעור סגירת התיקים הנמוך ביחס למספר התיקים הנפתחים ביחידה בכל שנה נובע מהתמשכות ההליכים הפליליים החל משלב החקירה ועד להחלטת החילוט, אשר אינם בשליטתה, עיכובים בהעברת הכספים המחולטים מהמשטרה ליחידה, וכן מחסמים וקשיים משפטיים במימוש הרכוש המחולט. </w:t>
      </w:r>
    </w:p>
    <w:p w14:paraId="05F15FCE" w14:textId="77777777" w:rsidR="00F368B6" w:rsidRDefault="00F368B6" w:rsidP="00A27590">
      <w:pPr>
        <w:pStyle w:val="af1"/>
        <w:rPr>
          <w:rtl/>
        </w:rPr>
      </w:pPr>
      <w:r w:rsidRPr="00823858">
        <w:rPr>
          <w:rFonts w:hint="cs"/>
          <w:rtl/>
        </w:rPr>
        <w:t>מן הראוי שמשרד המשפטים</w:t>
      </w:r>
      <w:r>
        <w:rPr>
          <w:rFonts w:hint="cs"/>
          <w:rtl/>
        </w:rPr>
        <w:t>,</w:t>
      </w:r>
      <w:r w:rsidRPr="00823858">
        <w:rPr>
          <w:rFonts w:hint="cs"/>
          <w:rtl/>
        </w:rPr>
        <w:t xml:space="preserve"> הנהלת האפ"כ </w:t>
      </w:r>
      <w:r w:rsidRPr="00D0759A">
        <w:rPr>
          <w:rFonts w:hint="cs"/>
          <w:rtl/>
        </w:rPr>
        <w:t>ואגף התקציבים במשרד האוצר יבחנו</w:t>
      </w:r>
      <w:r w:rsidRPr="00823858">
        <w:rPr>
          <w:rFonts w:hint="cs"/>
          <w:rtl/>
        </w:rPr>
        <w:t xml:space="preserve"> את צרכיה של יחידת החילוט בשים לב להיקף פעילותה</w:t>
      </w:r>
      <w:r>
        <w:rPr>
          <w:rFonts w:hint="cs"/>
          <w:rtl/>
        </w:rPr>
        <w:t>, אל מול המשאבים העומדים לרשותה, וייתנו דעתם להתאמות הנדרשות, לרבות ל</w:t>
      </w:r>
      <w:r w:rsidRPr="00946808">
        <w:rPr>
          <w:rFonts w:hint="eastAsia"/>
          <w:rtl/>
        </w:rPr>
        <w:t>ה</w:t>
      </w:r>
      <w:r w:rsidRPr="00946808">
        <w:rPr>
          <w:rFonts w:hint="cs"/>
          <w:rtl/>
        </w:rPr>
        <w:t>יע</w:t>
      </w:r>
      <w:r w:rsidRPr="00946808">
        <w:rPr>
          <w:rFonts w:hint="eastAsia"/>
          <w:rtl/>
        </w:rPr>
        <w:t>רכות</w:t>
      </w:r>
      <w:r w:rsidRPr="00946808">
        <w:rPr>
          <w:rtl/>
        </w:rPr>
        <w:t xml:space="preserve"> </w:t>
      </w:r>
      <w:r>
        <w:rPr>
          <w:rFonts w:hint="cs"/>
          <w:rtl/>
        </w:rPr>
        <w:t>ה</w:t>
      </w:r>
      <w:r w:rsidRPr="00946808">
        <w:rPr>
          <w:rFonts w:hint="eastAsia"/>
          <w:rtl/>
        </w:rPr>
        <w:t>נדרשת</w:t>
      </w:r>
      <w:r w:rsidRPr="00946808">
        <w:rPr>
          <w:rtl/>
        </w:rPr>
        <w:t xml:space="preserve"> </w:t>
      </w:r>
      <w:r>
        <w:rPr>
          <w:rFonts w:hint="cs"/>
          <w:rtl/>
        </w:rPr>
        <w:t xml:space="preserve">אם יוחלט על </w:t>
      </w:r>
      <w:r w:rsidRPr="00823858">
        <w:rPr>
          <w:rFonts w:hint="cs"/>
          <w:rtl/>
        </w:rPr>
        <w:t>הגדלת סמכויות היחידה.</w:t>
      </w:r>
    </w:p>
    <w:p w14:paraId="2FD234A6" w14:textId="77777777" w:rsidR="00F368B6" w:rsidRPr="00BC0F81" w:rsidRDefault="00F368B6" w:rsidP="00A27590">
      <w:pPr>
        <w:pStyle w:val="414"/>
        <w:rPr>
          <w:rtl/>
        </w:rPr>
      </w:pPr>
      <w:r w:rsidRPr="00BC0F81">
        <w:rPr>
          <w:rFonts w:hint="eastAsia"/>
          <w:rtl/>
        </w:rPr>
        <w:t>ייצוג</w:t>
      </w:r>
      <w:r w:rsidRPr="00BC0F81">
        <w:rPr>
          <w:rtl/>
        </w:rPr>
        <w:t xml:space="preserve"> </w:t>
      </w:r>
      <w:r w:rsidRPr="00BC0F81">
        <w:rPr>
          <w:rFonts w:hint="eastAsia"/>
          <w:rtl/>
        </w:rPr>
        <w:t>המדינה</w:t>
      </w:r>
      <w:r w:rsidRPr="00BC0F81">
        <w:rPr>
          <w:rtl/>
        </w:rPr>
        <w:t xml:space="preserve"> </w:t>
      </w:r>
      <w:r w:rsidRPr="00BC0F81">
        <w:rPr>
          <w:rFonts w:hint="eastAsia"/>
          <w:rtl/>
        </w:rPr>
        <w:t>בבתי</w:t>
      </w:r>
      <w:r w:rsidRPr="00BC0F81">
        <w:rPr>
          <w:rtl/>
        </w:rPr>
        <w:t xml:space="preserve"> </w:t>
      </w:r>
      <w:r w:rsidRPr="00BC0F81">
        <w:rPr>
          <w:rFonts w:hint="eastAsia"/>
          <w:rtl/>
        </w:rPr>
        <w:t>משפט</w:t>
      </w:r>
      <w:r w:rsidRPr="00BC0F81">
        <w:rPr>
          <w:rtl/>
        </w:rPr>
        <w:t xml:space="preserve"> </w:t>
      </w:r>
      <w:r w:rsidRPr="00BC0F81">
        <w:rPr>
          <w:rFonts w:hint="eastAsia"/>
          <w:rtl/>
        </w:rPr>
        <w:t>על</w:t>
      </w:r>
      <w:r w:rsidRPr="00BC0F81">
        <w:rPr>
          <w:rtl/>
        </w:rPr>
        <w:t xml:space="preserve"> </w:t>
      </w:r>
      <w:r w:rsidRPr="00BC0F81">
        <w:rPr>
          <w:rFonts w:hint="eastAsia"/>
          <w:rtl/>
        </w:rPr>
        <w:t>ידי</w:t>
      </w:r>
      <w:r w:rsidRPr="00BC0F81">
        <w:rPr>
          <w:rtl/>
        </w:rPr>
        <w:t xml:space="preserve"> </w:t>
      </w:r>
      <w:r w:rsidRPr="00BC0F81">
        <w:rPr>
          <w:rFonts w:hint="eastAsia"/>
          <w:rtl/>
        </w:rPr>
        <w:t>נציגי</w:t>
      </w:r>
      <w:r w:rsidRPr="00BC0F81">
        <w:rPr>
          <w:rtl/>
        </w:rPr>
        <w:t xml:space="preserve"> </w:t>
      </w:r>
      <w:r w:rsidRPr="00BC0F81">
        <w:rPr>
          <w:rFonts w:hint="eastAsia"/>
          <w:rtl/>
        </w:rPr>
        <w:t>יחידת</w:t>
      </w:r>
      <w:r w:rsidRPr="00BC0F81">
        <w:rPr>
          <w:rtl/>
        </w:rPr>
        <w:t xml:space="preserve"> </w:t>
      </w:r>
      <w:r w:rsidRPr="00BC0F81">
        <w:rPr>
          <w:rFonts w:hint="eastAsia"/>
          <w:rtl/>
        </w:rPr>
        <w:t>החילוט</w:t>
      </w:r>
    </w:p>
    <w:p w14:paraId="1A393E76" w14:textId="77777777" w:rsidR="00F368B6" w:rsidRDefault="00F368B6" w:rsidP="00A27590">
      <w:pPr>
        <w:pStyle w:val="100"/>
        <w:rPr>
          <w:rtl/>
        </w:rPr>
      </w:pPr>
      <w:r>
        <w:rPr>
          <w:rFonts w:hint="cs"/>
          <w:rtl/>
        </w:rPr>
        <w:t>ייצוג המדינה בהליך פלילי בערכאות מצריך הסמכה מכוח דין או ייפוי כוח מאת היועץ המשפטי לממשלה</w:t>
      </w:r>
      <w:r>
        <w:rPr>
          <w:rStyle w:val="FootnoteReference"/>
          <w:rtl/>
        </w:rPr>
        <w:footnoteReference w:id="33"/>
      </w:r>
      <w:r>
        <w:rPr>
          <w:rFonts w:hint="cs"/>
          <w:rtl/>
        </w:rPr>
        <w:t>. עורכי הדין ב</w:t>
      </w:r>
      <w:r w:rsidRPr="00D75DA3">
        <w:rPr>
          <w:rFonts w:hint="cs"/>
          <w:rtl/>
        </w:rPr>
        <w:t xml:space="preserve">אפ"כ </w:t>
      </w:r>
      <w:r>
        <w:rPr>
          <w:rFonts w:hint="cs"/>
          <w:rtl/>
        </w:rPr>
        <w:t xml:space="preserve">יכולים לשמש </w:t>
      </w:r>
      <w:r w:rsidRPr="00D75DA3">
        <w:rPr>
          <w:rFonts w:hint="cs"/>
          <w:rtl/>
        </w:rPr>
        <w:t>באי כוחו של היועץ בהליכים משפטיים המתנהלים לפי חוקים שונים</w:t>
      </w:r>
      <w:r>
        <w:rPr>
          <w:rFonts w:hint="cs"/>
          <w:rtl/>
        </w:rPr>
        <w:t>, אולם חוקים אלו אינם מקנים לאפ"כ סמכות לייצג את המדינה בהקשר של תפיסת רכוש וחילוטו, ולכן ייצוג המדינה בערכאות השיפוטיות באותם נושאים על ידי נציגי האפ"כ מצריך ייפוי כוח.</w:t>
      </w:r>
    </w:p>
    <w:p w14:paraId="141981A0" w14:textId="77777777" w:rsidR="00F368B6" w:rsidRDefault="00F368B6" w:rsidP="00A27590">
      <w:pPr>
        <w:pStyle w:val="100"/>
        <w:rPr>
          <w:rtl/>
        </w:rPr>
      </w:pPr>
      <w:r>
        <w:rPr>
          <w:rFonts w:hint="cs"/>
          <w:rtl/>
        </w:rPr>
        <w:t xml:space="preserve">נמצא כי </w:t>
      </w:r>
      <w:r w:rsidRPr="009403A7">
        <w:rPr>
          <w:rFonts w:hint="eastAsia"/>
          <w:rtl/>
        </w:rPr>
        <w:t>נציגי</w:t>
      </w:r>
      <w:r w:rsidRPr="009403A7">
        <w:rPr>
          <w:rtl/>
        </w:rPr>
        <w:t xml:space="preserve"> </w:t>
      </w:r>
      <w:r w:rsidRPr="009403A7">
        <w:rPr>
          <w:rFonts w:hint="eastAsia"/>
          <w:rtl/>
        </w:rPr>
        <w:t>האפ</w:t>
      </w:r>
      <w:r w:rsidRPr="009403A7">
        <w:rPr>
          <w:rtl/>
        </w:rPr>
        <w:t xml:space="preserve">"כ מופיעים בבתי משפט ומייצגים את עמדת המדינה בהליכים משפטיים המתנהלים לפי חוקים שמכוחם נתפס רכוש לצורך חילוטו ומימושו, בלי שקיבלו ייפוי כוח לכך </w:t>
      </w:r>
      <w:r>
        <w:rPr>
          <w:rFonts w:hint="cs"/>
          <w:rtl/>
        </w:rPr>
        <w:t>מ</w:t>
      </w:r>
      <w:r w:rsidRPr="009403A7">
        <w:rPr>
          <w:rtl/>
        </w:rPr>
        <w:t>היועץ המשפטי לממשלה</w:t>
      </w:r>
      <w:r w:rsidRPr="008D6716">
        <w:rPr>
          <w:rtl/>
        </w:rPr>
        <w:t>.</w:t>
      </w:r>
    </w:p>
    <w:p w14:paraId="464AF1E4" w14:textId="77777777" w:rsidR="00F368B6" w:rsidRDefault="00F368B6" w:rsidP="00A27590">
      <w:pPr>
        <w:pStyle w:val="100"/>
        <w:rPr>
          <w:rtl/>
        </w:rPr>
      </w:pPr>
      <w:r>
        <w:rPr>
          <w:rFonts w:hint="cs"/>
          <w:rtl/>
        </w:rPr>
        <w:t xml:space="preserve">בתשובתה כתבה יחידת החילוט כי נציגיה מתלווים לנציגי רשויות האכיפה על פי בקשתם ומסייעים להם בטיעונים מקצועיים הקשורים לסוגיות שבליבת ניהול הרכוש התפוס והמחולט ומימושו, וכגורם מומחה לבקשת בית המשפט. היחידה מסכימה שיש להסדיר את סוגיית הופעתם של נציגיה בבית המשפט בכל הקשור לדיונים המתקיימים בתיקי ניהול רכוש ומימושו. </w:t>
      </w:r>
    </w:p>
    <w:p w14:paraId="4940E2AC" w14:textId="77777777" w:rsidR="00F368B6" w:rsidRDefault="00F368B6" w:rsidP="00A27590">
      <w:pPr>
        <w:pStyle w:val="af1"/>
        <w:rPr>
          <w:rtl/>
        </w:rPr>
      </w:pPr>
      <w:r>
        <w:rPr>
          <w:rFonts w:hint="cs"/>
          <w:rtl/>
        </w:rPr>
        <w:lastRenderedPageBreak/>
        <w:t>לנוכח המומחיות שצברו נציגי האפ"כ בתחום ניהול רכוש ומימושו, ולנוכח בקשות בתי המשפט לערב את נציגי יחידת החילוט בתיקים המתאימים, על</w:t>
      </w:r>
      <w:r w:rsidRPr="00983578">
        <w:rPr>
          <w:rFonts w:hint="cs"/>
          <w:rtl/>
        </w:rPr>
        <w:t xml:space="preserve"> משרד המשפטים להסדיר את</w:t>
      </w:r>
      <w:r>
        <w:rPr>
          <w:rFonts w:hint="cs"/>
          <w:rtl/>
        </w:rPr>
        <w:t xml:space="preserve"> סוגיית הופעתם של נציגי האפ"כ בבית המשפט </w:t>
      </w:r>
      <w:r w:rsidRPr="00BE15DE">
        <w:rPr>
          <w:rFonts w:hint="cs"/>
          <w:rtl/>
        </w:rPr>
        <w:t>ב</w:t>
      </w:r>
      <w:r>
        <w:rPr>
          <w:rFonts w:hint="cs"/>
          <w:rtl/>
        </w:rPr>
        <w:t xml:space="preserve">דיונים בתיקי ניהול רכוש </w:t>
      </w:r>
      <w:r w:rsidRPr="00BE15DE">
        <w:rPr>
          <w:rFonts w:hint="cs"/>
          <w:rtl/>
        </w:rPr>
        <w:t>ומימוש</w:t>
      </w:r>
      <w:r>
        <w:rPr>
          <w:rFonts w:hint="cs"/>
          <w:rtl/>
        </w:rPr>
        <w:t>ו.</w:t>
      </w:r>
    </w:p>
    <w:p w14:paraId="5944C26A" w14:textId="77777777" w:rsidR="00F368B6" w:rsidRDefault="00F368B6" w:rsidP="00F368B6">
      <w:pPr>
        <w:spacing w:line="269" w:lineRule="auto"/>
        <w:rPr>
          <w:rtl/>
        </w:rPr>
      </w:pPr>
    </w:p>
    <w:p w14:paraId="3DE345DC" w14:textId="77777777" w:rsidR="00F368B6" w:rsidRPr="00A27590" w:rsidRDefault="00F368B6" w:rsidP="00A27590">
      <w:pPr>
        <w:pStyle w:val="316"/>
        <w:rPr>
          <w:rStyle w:val="73"/>
          <w:rFonts w:ascii="Tahoma" w:hAnsi="Tahoma" w:cs="Tahoma"/>
          <w:b w:val="0"/>
          <w:bCs w:val="0"/>
          <w:color w:val="009692"/>
          <w:sz w:val="32"/>
          <w:szCs w:val="32"/>
          <w:rtl/>
        </w:rPr>
      </w:pPr>
      <w:bookmarkStart w:id="5" w:name="_Toc24370955"/>
      <w:r w:rsidRPr="00A27590">
        <w:rPr>
          <w:rStyle w:val="73"/>
          <w:rFonts w:ascii="Tahoma" w:hAnsi="Tahoma" w:cs="Tahoma" w:hint="cs"/>
          <w:b w:val="0"/>
          <w:bCs w:val="0"/>
          <w:color w:val="009692"/>
          <w:sz w:val="32"/>
          <w:szCs w:val="32"/>
          <w:rtl/>
        </w:rPr>
        <w:t>מועצת החילוט וחלוקת הכספים מקרן איסור הלבנת הון</w:t>
      </w:r>
      <w:bookmarkEnd w:id="5"/>
    </w:p>
    <w:p w14:paraId="20B08D1F" w14:textId="77777777" w:rsidR="00F368B6" w:rsidRPr="002A1C9D" w:rsidRDefault="00F368B6" w:rsidP="00DB357C">
      <w:pPr>
        <w:pStyle w:val="100"/>
        <w:rPr>
          <w:rtl/>
        </w:rPr>
      </w:pPr>
      <w:r w:rsidRPr="002A1C9D">
        <w:rPr>
          <w:rFonts w:hint="cs"/>
          <w:rtl/>
        </w:rPr>
        <w:t>האפ"כ משקיע את הכספים שנתפסו ומיועדים לחילוט בהשקעה משותפת באמצעות קרן ייעודית</w:t>
      </w:r>
      <w:r>
        <w:rPr>
          <w:rFonts w:hint="cs"/>
          <w:rtl/>
        </w:rPr>
        <w:t>,</w:t>
      </w:r>
      <w:r w:rsidRPr="002A1C9D">
        <w:rPr>
          <w:rFonts w:hint="cs"/>
          <w:rtl/>
        </w:rPr>
        <w:t xml:space="preserve"> "הקרן לניהול רכוש שחולט".</w:t>
      </w:r>
      <w:r>
        <w:rPr>
          <w:rFonts w:hint="cs"/>
          <w:rtl/>
        </w:rPr>
        <w:t xml:space="preserve"> </w:t>
      </w:r>
      <w:r w:rsidRPr="002A1C9D">
        <w:rPr>
          <w:rFonts w:hint="cs"/>
          <w:rtl/>
        </w:rPr>
        <w:t>לאחר החילוט הסופי מכוח פסק דין מועברים הכספים לקרנות החילוט הייעודיות המנוהלות באפ"כ או לאוצר המדינה. אחת הקרנות היא, כאמור, קרן ייעודית להפקדת רכוש שחולט מכוח חוק איסור הלבנת הון, שהוקמה בהתאם לפקודת הסמים המסוכנים, ואשר הכספים בה מחולקים לגופי האכיפה בהתאם להחלטת מועצת החילוט (לעיל קרן איסור הלבנת הון ולהלן</w:t>
      </w:r>
      <w:r>
        <w:rPr>
          <w:rFonts w:hint="cs"/>
          <w:rtl/>
        </w:rPr>
        <w:t xml:space="preserve"> </w:t>
      </w:r>
      <w:r w:rsidRPr="002A1C9D">
        <w:rPr>
          <w:rFonts w:hint="cs"/>
          <w:rtl/>
        </w:rPr>
        <w:t>-</w:t>
      </w:r>
      <w:r>
        <w:rPr>
          <w:rFonts w:hint="cs"/>
          <w:rtl/>
        </w:rPr>
        <w:t xml:space="preserve"> </w:t>
      </w:r>
      <w:r w:rsidRPr="002A1C9D">
        <w:rPr>
          <w:rFonts w:hint="cs"/>
          <w:rtl/>
        </w:rPr>
        <w:t>קרן החילוט).</w:t>
      </w:r>
    </w:p>
    <w:p w14:paraId="3D5FA1BE" w14:textId="77777777" w:rsidR="00F368B6" w:rsidRPr="002A1C9D" w:rsidRDefault="00F368B6" w:rsidP="00DB357C">
      <w:pPr>
        <w:pStyle w:val="100"/>
        <w:rPr>
          <w:rtl/>
        </w:rPr>
      </w:pPr>
      <w:r w:rsidRPr="002A1C9D">
        <w:rPr>
          <w:rFonts w:hint="cs"/>
          <w:rtl/>
        </w:rPr>
        <w:t>במועצת החילוט</w:t>
      </w:r>
      <w:r>
        <w:rPr>
          <w:rFonts w:hint="cs"/>
          <w:rtl/>
        </w:rPr>
        <w:t>,</w:t>
      </w:r>
      <w:r w:rsidRPr="002A1C9D">
        <w:rPr>
          <w:rFonts w:hint="cs"/>
          <w:rtl/>
        </w:rPr>
        <w:t xml:space="preserve"> </w:t>
      </w:r>
      <w:r>
        <w:rPr>
          <w:rFonts w:hint="cs"/>
          <w:rtl/>
        </w:rPr>
        <w:t>שהיא</w:t>
      </w:r>
      <w:r w:rsidRPr="002A1C9D">
        <w:rPr>
          <w:rFonts w:hint="cs"/>
          <w:rtl/>
        </w:rPr>
        <w:t xml:space="preserve"> הנהלת הקרן</w:t>
      </w:r>
      <w:r>
        <w:rPr>
          <w:rFonts w:hint="cs"/>
          <w:rtl/>
        </w:rPr>
        <w:t>,</w:t>
      </w:r>
      <w:r w:rsidRPr="002A1C9D">
        <w:rPr>
          <w:rFonts w:hint="cs"/>
          <w:rtl/>
        </w:rPr>
        <w:t xml:space="preserve"> ארבעה חברים: יו"ר</w:t>
      </w:r>
      <w:r>
        <w:rPr>
          <w:rFonts w:hint="cs"/>
          <w:rtl/>
        </w:rPr>
        <w:t>,</w:t>
      </w:r>
      <w:r w:rsidRPr="002A1C9D">
        <w:rPr>
          <w:rFonts w:hint="cs"/>
          <w:rtl/>
        </w:rPr>
        <w:t xml:space="preserve"> שהוא משפטן הכשיר לכהן כשופט מחוזי, </w:t>
      </w:r>
      <w:r>
        <w:rPr>
          <w:rFonts w:hint="cs"/>
          <w:rtl/>
        </w:rPr>
        <w:t>ו</w:t>
      </w:r>
      <w:r w:rsidRPr="002A1C9D">
        <w:rPr>
          <w:rFonts w:hint="cs"/>
          <w:rtl/>
        </w:rPr>
        <w:t>נציג</w:t>
      </w:r>
      <w:r>
        <w:rPr>
          <w:rFonts w:hint="cs"/>
          <w:rtl/>
        </w:rPr>
        <w:t>י</w:t>
      </w:r>
      <w:r w:rsidRPr="002A1C9D">
        <w:rPr>
          <w:rFonts w:hint="cs"/>
          <w:rtl/>
        </w:rPr>
        <w:t xml:space="preserve"> השר</w:t>
      </w:r>
      <w:r>
        <w:rPr>
          <w:rFonts w:hint="cs"/>
          <w:rtl/>
        </w:rPr>
        <w:t>ים</w:t>
      </w:r>
      <w:r w:rsidRPr="002A1C9D">
        <w:rPr>
          <w:rFonts w:hint="cs"/>
          <w:rtl/>
        </w:rPr>
        <w:t xml:space="preserve"> לביטחון הפנים, האוצר והמשפטים. ל</w:t>
      </w:r>
      <w:r>
        <w:rPr>
          <w:rFonts w:hint="cs"/>
          <w:rtl/>
        </w:rPr>
        <w:t xml:space="preserve">פי </w:t>
      </w:r>
      <w:r w:rsidRPr="002A1C9D">
        <w:rPr>
          <w:rFonts w:hint="cs"/>
          <w:rtl/>
        </w:rPr>
        <w:t xml:space="preserve">פקודת הסמים המסוכנים ניתן </w:t>
      </w:r>
      <w:r>
        <w:rPr>
          <w:rFonts w:hint="cs"/>
          <w:rtl/>
        </w:rPr>
        <w:t>להשתמש</w:t>
      </w:r>
      <w:r w:rsidRPr="002A1C9D">
        <w:rPr>
          <w:rFonts w:hint="cs"/>
          <w:rtl/>
        </w:rPr>
        <w:t xml:space="preserve"> ברכוש הקרן רק למטרות המנויות ב</w:t>
      </w:r>
      <w:r>
        <w:rPr>
          <w:rFonts w:hint="cs"/>
          <w:rtl/>
        </w:rPr>
        <w:t>פקודה,</w:t>
      </w:r>
      <w:r w:rsidRPr="002A1C9D">
        <w:rPr>
          <w:rFonts w:hint="cs"/>
          <w:rtl/>
        </w:rPr>
        <w:t xml:space="preserve"> ובכללן ביצוע תפקידי המשטרה והרשות המוסמכת לפי חוק איסור הלבנת הון</w:t>
      </w:r>
      <w:r>
        <w:rPr>
          <w:rFonts w:hint="cs"/>
          <w:rtl/>
        </w:rPr>
        <w:t>,</w:t>
      </w:r>
      <w:r w:rsidRPr="002A1C9D">
        <w:rPr>
          <w:rFonts w:hint="cs"/>
          <w:rtl/>
        </w:rPr>
        <w:t xml:space="preserve"> וכן מימון מאגר מידע על פי החוק.</w:t>
      </w:r>
    </w:p>
    <w:p w14:paraId="013006EA" w14:textId="77777777" w:rsidR="00F368B6" w:rsidRDefault="00F368B6" w:rsidP="00DB357C">
      <w:pPr>
        <w:pStyle w:val="100"/>
        <w:rPr>
          <w:rtl/>
        </w:rPr>
      </w:pPr>
      <w:r w:rsidRPr="002A1C9D">
        <w:rPr>
          <w:rFonts w:hint="cs"/>
          <w:rtl/>
        </w:rPr>
        <w:t>הגופים המתוקצבים מקרן החילוט הם המשטרה, רשות המיסים ורשלא"ה</w:t>
      </w:r>
      <w:r>
        <w:rPr>
          <w:rFonts w:hint="cs"/>
          <w:rtl/>
        </w:rPr>
        <w:t>,</w:t>
      </w:r>
      <w:r w:rsidRPr="002A1C9D">
        <w:rPr>
          <w:rFonts w:hint="cs"/>
          <w:rtl/>
        </w:rPr>
        <w:t xml:space="preserve"> ומאז תיקון</w:t>
      </w:r>
      <w:r>
        <w:rPr>
          <w:rFonts w:hint="cs"/>
          <w:rtl/>
        </w:rPr>
        <w:t xml:space="preserve"> משנת 2018</w:t>
      </w:r>
      <w:r>
        <w:rPr>
          <w:rStyle w:val="FootnoteReference"/>
          <w:rtl/>
        </w:rPr>
        <w:footnoteReference w:id="34"/>
      </w:r>
      <w:r>
        <w:rPr>
          <w:rFonts w:hint="cs"/>
          <w:rtl/>
        </w:rPr>
        <w:t xml:space="preserve"> </w:t>
      </w:r>
      <w:r w:rsidRPr="002A1C9D">
        <w:rPr>
          <w:rFonts w:hint="cs"/>
          <w:rtl/>
        </w:rPr>
        <w:t xml:space="preserve">לתקנות הסמים המסוכנים (דרכי הנהלת הקרן לטיפול בנכסים שחולטו), </w:t>
      </w:r>
      <w:r>
        <w:rPr>
          <w:rFonts w:hint="cs"/>
          <w:rtl/>
        </w:rPr>
        <w:t>ה</w:t>
      </w:r>
      <w:r w:rsidRPr="002A1C9D">
        <w:rPr>
          <w:rFonts w:hint="cs"/>
          <w:rtl/>
        </w:rPr>
        <w:t>תש"ן-1990</w:t>
      </w:r>
      <w:r>
        <w:rPr>
          <w:rFonts w:hint="cs"/>
          <w:rtl/>
        </w:rPr>
        <w:t>,</w:t>
      </w:r>
      <w:r w:rsidRPr="002A1C9D">
        <w:rPr>
          <w:rFonts w:hint="cs"/>
          <w:rtl/>
        </w:rPr>
        <w:t xml:space="preserve"> רשאית מועצת החילוט </w:t>
      </w:r>
      <w:r w:rsidRPr="002A1C9D">
        <w:rPr>
          <w:rFonts w:hint="eastAsia"/>
          <w:rtl/>
        </w:rPr>
        <w:t>לתקצב</w:t>
      </w:r>
      <w:r w:rsidRPr="002A1C9D">
        <w:rPr>
          <w:rtl/>
        </w:rPr>
        <w:t xml:space="preserve"> </w:t>
      </w:r>
      <w:r w:rsidRPr="002A1C9D">
        <w:rPr>
          <w:rFonts w:hint="eastAsia"/>
          <w:rtl/>
        </w:rPr>
        <w:t>ג</w:t>
      </w:r>
      <w:r w:rsidRPr="002A1C9D">
        <w:rPr>
          <w:rFonts w:hint="cs"/>
          <w:rtl/>
        </w:rPr>
        <w:t>ם את הפרקליטות בהתאם למטרות הקבועות בחוק.</w:t>
      </w:r>
    </w:p>
    <w:p w14:paraId="6ED9DA8C" w14:textId="77777777" w:rsidR="00F368B6" w:rsidRPr="002A1C9D" w:rsidRDefault="00F368B6" w:rsidP="00DB357C">
      <w:pPr>
        <w:pStyle w:val="414"/>
        <w:rPr>
          <w:rtl/>
        </w:rPr>
      </w:pPr>
      <w:r w:rsidRPr="002A1C9D">
        <w:rPr>
          <w:rFonts w:hint="cs"/>
          <w:rtl/>
        </w:rPr>
        <w:t>בקרה על שימוש בכספי קרן החילוט</w:t>
      </w:r>
    </w:p>
    <w:p w14:paraId="038144E0" w14:textId="77777777" w:rsidR="00F368B6" w:rsidRPr="002A1C9D" w:rsidRDefault="00F368B6" w:rsidP="00DB357C">
      <w:pPr>
        <w:pStyle w:val="100"/>
        <w:rPr>
          <w:rtl/>
        </w:rPr>
      </w:pPr>
      <w:r w:rsidRPr="006B34DE">
        <w:rPr>
          <w:rFonts w:hint="cs"/>
          <w:rtl/>
        </w:rPr>
        <w:t>נוהל מועצת החילוט מסדיר את אופן עבודתה של המועצה, סמכויותיה ותפקידיה וכן את ממשקי העבודה שבי</w:t>
      </w:r>
      <w:r>
        <w:rPr>
          <w:rFonts w:hint="cs"/>
          <w:rtl/>
        </w:rPr>
        <w:t>נ</w:t>
      </w:r>
      <w:r w:rsidRPr="006B34DE">
        <w:rPr>
          <w:rFonts w:hint="cs"/>
          <w:rtl/>
        </w:rPr>
        <w:t>ה ו</w:t>
      </w:r>
      <w:r>
        <w:rPr>
          <w:rFonts w:hint="cs"/>
          <w:rtl/>
        </w:rPr>
        <w:t xml:space="preserve">בין </w:t>
      </w:r>
      <w:r w:rsidRPr="006B34DE">
        <w:rPr>
          <w:rFonts w:hint="cs"/>
          <w:rtl/>
        </w:rPr>
        <w:t>הגופים המתוקצבים ואת הליך אישור התקציבים</w:t>
      </w:r>
      <w:r>
        <w:rPr>
          <w:vertAlign w:val="superscript"/>
          <w:rtl/>
        </w:rPr>
        <w:footnoteReference w:id="35"/>
      </w:r>
      <w:r w:rsidRPr="006B34DE">
        <w:rPr>
          <w:rFonts w:hint="cs"/>
          <w:rtl/>
        </w:rPr>
        <w:t xml:space="preserve">. כל אחד מהגופים המתוקצבים מעביר למועצה בקשה </w:t>
      </w:r>
      <w:r>
        <w:rPr>
          <w:rFonts w:hint="cs"/>
          <w:rtl/>
        </w:rPr>
        <w:t xml:space="preserve">לתוכנית </w:t>
      </w:r>
      <w:r w:rsidRPr="006B34DE">
        <w:rPr>
          <w:rFonts w:hint="cs"/>
          <w:rtl/>
        </w:rPr>
        <w:t>רב</w:t>
      </w:r>
      <w:r>
        <w:rPr>
          <w:rFonts w:hint="cs"/>
          <w:rtl/>
        </w:rPr>
        <w:t>-</w:t>
      </w:r>
      <w:r w:rsidRPr="006B34DE">
        <w:rPr>
          <w:rFonts w:hint="cs"/>
          <w:rtl/>
        </w:rPr>
        <w:t xml:space="preserve">שנתית עבור ארבע שנים (להלן - תר"ש), ובה פירוט התקציב הנדרש לו עבור כל שנה למאבק בהלבנת הון ובהתאם לפקודת הסמים המסוכנים. בכל שנה כל אחד מהגופים מגיש בקשה שנתית במסגרת התר"ש, ובה מפורטים התקציבים המבוקשים לאותה שנה והשינויים המבוקשים ביחס לתכנון שבתר"ש. </w:t>
      </w:r>
      <w:r>
        <w:rPr>
          <w:rFonts w:hint="cs"/>
          <w:rtl/>
        </w:rPr>
        <w:t xml:space="preserve">הגופים המתוקצבים מגישים, מדי רבעון, דיווח מפורט, המגובה במסמכים, בדבר הביצוע בפועל. דיווח זה נבדק על ידי רואה החשבון של המועצה והוא מגיש חוות דעת למועצה לצורך אישור תשלום ההוצאות לאותו הרבעון ולצורך מתן מקדמות לגופים המתוקצבים לרבעון העוקב. על בסיס חוות </w:t>
      </w:r>
      <w:r>
        <w:rPr>
          <w:rFonts w:hint="cs"/>
          <w:rtl/>
        </w:rPr>
        <w:lastRenderedPageBreak/>
        <w:t>דעת זו המועצה מאשרת את העברת התשלום הרבעוני, על ידי מתן הוראת תשלום לאפ"כ באמצעות יחידת החילוט.</w:t>
      </w:r>
    </w:p>
    <w:p w14:paraId="47085ADF" w14:textId="77777777" w:rsidR="00F368B6" w:rsidRPr="002A1C9D" w:rsidRDefault="00F368B6" w:rsidP="00DB357C">
      <w:pPr>
        <w:pStyle w:val="100"/>
        <w:rPr>
          <w:rtl/>
        </w:rPr>
      </w:pPr>
      <w:r w:rsidRPr="002A1C9D">
        <w:rPr>
          <w:rFonts w:hint="cs"/>
          <w:rtl/>
        </w:rPr>
        <w:t xml:space="preserve">בסוף 2014, שנת הקמתה של יחידת החילוט, </w:t>
      </w:r>
      <w:r>
        <w:rPr>
          <w:rFonts w:hint="cs"/>
          <w:rtl/>
        </w:rPr>
        <w:t>הייתה</w:t>
      </w:r>
      <w:r w:rsidRPr="002A1C9D">
        <w:rPr>
          <w:rFonts w:hint="cs"/>
          <w:rtl/>
        </w:rPr>
        <w:t xml:space="preserve"> </w:t>
      </w:r>
      <w:r>
        <w:rPr>
          <w:rFonts w:hint="cs"/>
          <w:rtl/>
        </w:rPr>
        <w:t>ה</w:t>
      </w:r>
      <w:r w:rsidRPr="002A1C9D">
        <w:rPr>
          <w:rFonts w:hint="cs"/>
          <w:rtl/>
        </w:rPr>
        <w:t>יתר</w:t>
      </w:r>
      <w:r>
        <w:rPr>
          <w:rFonts w:hint="cs"/>
          <w:rtl/>
        </w:rPr>
        <w:t>ה</w:t>
      </w:r>
      <w:r w:rsidRPr="002A1C9D">
        <w:rPr>
          <w:rFonts w:hint="cs"/>
          <w:rtl/>
        </w:rPr>
        <w:t xml:space="preserve"> בקרן החילוט</w:t>
      </w:r>
      <w:r>
        <w:rPr>
          <w:rFonts w:hint="cs"/>
          <w:rtl/>
        </w:rPr>
        <w:t xml:space="preserve"> לחלוקה לגופים המתוקצבים</w:t>
      </w:r>
      <w:r w:rsidRPr="002A1C9D">
        <w:rPr>
          <w:rFonts w:hint="cs"/>
          <w:rtl/>
        </w:rPr>
        <w:t xml:space="preserve"> כ-</w:t>
      </w:r>
      <w:r>
        <w:rPr>
          <w:rFonts w:hint="cs"/>
          <w:rtl/>
        </w:rPr>
        <w:t>125</w:t>
      </w:r>
      <w:r w:rsidRPr="002A1C9D">
        <w:rPr>
          <w:rFonts w:hint="cs"/>
          <w:rtl/>
        </w:rPr>
        <w:t xml:space="preserve"> מיליון ש"ח. בסוף יוני 2019 </w:t>
      </w:r>
      <w:r>
        <w:rPr>
          <w:rFonts w:hint="cs"/>
          <w:rtl/>
        </w:rPr>
        <w:t>הייתה ה</w:t>
      </w:r>
      <w:r w:rsidRPr="002A1C9D">
        <w:rPr>
          <w:rFonts w:hint="cs"/>
          <w:rtl/>
        </w:rPr>
        <w:t>יתר</w:t>
      </w:r>
      <w:r>
        <w:rPr>
          <w:rFonts w:hint="cs"/>
          <w:rtl/>
        </w:rPr>
        <w:t>ה לחלוקה</w:t>
      </w:r>
      <w:r w:rsidRPr="002A1C9D">
        <w:rPr>
          <w:rFonts w:hint="cs"/>
          <w:rtl/>
        </w:rPr>
        <w:t xml:space="preserve"> כ-</w:t>
      </w:r>
      <w:r>
        <w:rPr>
          <w:rFonts w:hint="cs"/>
          <w:rtl/>
        </w:rPr>
        <w:t>134</w:t>
      </w:r>
      <w:r w:rsidRPr="002A1C9D">
        <w:rPr>
          <w:rFonts w:hint="cs"/>
          <w:rtl/>
        </w:rPr>
        <w:t xml:space="preserve"> מיליון ש"ח</w:t>
      </w:r>
      <w:r>
        <w:rPr>
          <w:vertAlign w:val="superscript"/>
          <w:rtl/>
        </w:rPr>
        <w:footnoteReference w:id="36"/>
      </w:r>
      <w:r>
        <w:rPr>
          <w:rFonts w:hint="cs"/>
          <w:rtl/>
        </w:rPr>
        <w:t xml:space="preserve">. </w:t>
      </w:r>
      <w:r w:rsidRPr="002A1C9D">
        <w:rPr>
          <w:rFonts w:hint="cs"/>
          <w:rtl/>
        </w:rPr>
        <w:t>מנתוני מועצת החילוט עולה כי מסגרת התקציב לגופים המתוקצבים</w:t>
      </w:r>
      <w:r>
        <w:rPr>
          <w:vertAlign w:val="superscript"/>
          <w:rtl/>
        </w:rPr>
        <w:footnoteReference w:id="37"/>
      </w:r>
      <w:r w:rsidRPr="002A1C9D">
        <w:rPr>
          <w:rFonts w:hint="cs"/>
          <w:rtl/>
        </w:rPr>
        <w:t xml:space="preserve"> על פי תר"ש עבור השנים 20</w:t>
      </w:r>
      <w:r>
        <w:rPr>
          <w:rFonts w:hint="cs"/>
          <w:rtl/>
        </w:rPr>
        <w:t xml:space="preserve">16 </w:t>
      </w:r>
      <w:r w:rsidRPr="002A1C9D">
        <w:rPr>
          <w:rFonts w:hint="cs"/>
          <w:rtl/>
        </w:rPr>
        <w:t>-</w:t>
      </w:r>
      <w:r>
        <w:rPr>
          <w:rFonts w:hint="cs"/>
          <w:rtl/>
        </w:rPr>
        <w:t xml:space="preserve"> </w:t>
      </w:r>
      <w:r w:rsidRPr="002A1C9D">
        <w:rPr>
          <w:rFonts w:hint="cs"/>
          <w:rtl/>
        </w:rPr>
        <w:t>201</w:t>
      </w:r>
      <w:r>
        <w:rPr>
          <w:rFonts w:hint="cs"/>
          <w:rtl/>
        </w:rPr>
        <w:t>9</w:t>
      </w:r>
      <w:r w:rsidRPr="002A1C9D">
        <w:rPr>
          <w:rFonts w:hint="cs"/>
          <w:rtl/>
        </w:rPr>
        <w:t xml:space="preserve"> </w:t>
      </w:r>
      <w:r>
        <w:rPr>
          <w:rFonts w:hint="cs"/>
          <w:rtl/>
        </w:rPr>
        <w:t>הייתה כ-</w:t>
      </w:r>
      <w:r w:rsidRPr="002A1C9D">
        <w:rPr>
          <w:rFonts w:hint="cs"/>
          <w:rtl/>
        </w:rPr>
        <w:t xml:space="preserve">430 </w:t>
      </w:r>
      <w:r>
        <w:rPr>
          <w:rFonts w:hint="cs"/>
          <w:rtl/>
        </w:rPr>
        <w:t xml:space="preserve">מיליון </w:t>
      </w:r>
      <w:r w:rsidRPr="002A1C9D">
        <w:rPr>
          <w:rFonts w:hint="cs"/>
          <w:rtl/>
        </w:rPr>
        <w:t xml:space="preserve">ש"ח, </w:t>
      </w:r>
      <w:r>
        <w:rPr>
          <w:rFonts w:hint="cs"/>
          <w:rtl/>
        </w:rPr>
        <w:t>ו</w:t>
      </w:r>
      <w:r w:rsidRPr="002A1C9D">
        <w:rPr>
          <w:rFonts w:hint="cs"/>
          <w:rtl/>
        </w:rPr>
        <w:t>התקציב המאושר באות</w:t>
      </w:r>
      <w:r>
        <w:rPr>
          <w:rFonts w:hint="cs"/>
          <w:rtl/>
        </w:rPr>
        <w:t>ן</w:t>
      </w:r>
      <w:r w:rsidRPr="002A1C9D">
        <w:rPr>
          <w:rFonts w:hint="cs"/>
          <w:rtl/>
        </w:rPr>
        <w:t xml:space="preserve"> שנים </w:t>
      </w:r>
      <w:r>
        <w:rPr>
          <w:rFonts w:hint="cs"/>
          <w:rtl/>
        </w:rPr>
        <w:t xml:space="preserve">היה כ-549 מיליון </w:t>
      </w:r>
      <w:r w:rsidRPr="002A1C9D">
        <w:rPr>
          <w:rFonts w:hint="cs"/>
          <w:rtl/>
        </w:rPr>
        <w:t xml:space="preserve">ש"ח. </w:t>
      </w:r>
      <w:r>
        <w:rPr>
          <w:rFonts w:hint="cs"/>
          <w:rtl/>
        </w:rPr>
        <w:t>מתחילת 2016 ועד אמצע 2019 ניצלו</w:t>
      </w:r>
      <w:r w:rsidRPr="002A1C9D">
        <w:rPr>
          <w:rFonts w:hint="cs"/>
          <w:rtl/>
        </w:rPr>
        <w:t xml:space="preserve"> הגופים המתוקצבים </w:t>
      </w:r>
      <w:r>
        <w:rPr>
          <w:rFonts w:hint="cs"/>
          <w:rtl/>
        </w:rPr>
        <w:t>כ-227 מיליון</w:t>
      </w:r>
      <w:r w:rsidRPr="002A1C9D">
        <w:rPr>
          <w:rFonts w:hint="cs"/>
          <w:rtl/>
        </w:rPr>
        <w:t xml:space="preserve"> ש"ח, </w:t>
      </w:r>
      <w:r>
        <w:rPr>
          <w:rFonts w:hint="cs"/>
          <w:rtl/>
        </w:rPr>
        <w:t>שהם כ-41</w:t>
      </w:r>
      <w:r w:rsidRPr="002A1C9D">
        <w:rPr>
          <w:rFonts w:hint="cs"/>
          <w:rtl/>
        </w:rPr>
        <w:t>% ממסגרת התקציב המאושר</w:t>
      </w:r>
      <w:r>
        <w:rPr>
          <w:rFonts w:hint="cs"/>
          <w:rtl/>
        </w:rPr>
        <w:t>.</w:t>
      </w:r>
    </w:p>
    <w:p w14:paraId="715C609C" w14:textId="77777777" w:rsidR="00F368B6" w:rsidRPr="002A1C9D" w:rsidRDefault="00F368B6" w:rsidP="00DB357C">
      <w:pPr>
        <w:pStyle w:val="100"/>
        <w:rPr>
          <w:rtl/>
        </w:rPr>
      </w:pPr>
      <w:r w:rsidRPr="002A1C9D">
        <w:rPr>
          <w:rFonts w:hint="cs"/>
          <w:rtl/>
        </w:rPr>
        <w:t xml:space="preserve">להלן בתרשים </w:t>
      </w:r>
      <w:r>
        <w:rPr>
          <w:rFonts w:hint="cs"/>
          <w:rtl/>
        </w:rPr>
        <w:t xml:space="preserve">4 </w:t>
      </w:r>
      <w:r w:rsidRPr="002A1C9D">
        <w:rPr>
          <w:rFonts w:hint="cs"/>
          <w:rtl/>
        </w:rPr>
        <w:t xml:space="preserve">נתונים על סך התקציב המאושר של כל אחד מהגופים </w:t>
      </w:r>
      <w:r>
        <w:rPr>
          <w:rFonts w:hint="cs"/>
          <w:rtl/>
        </w:rPr>
        <w:t xml:space="preserve">המתוקצבים </w:t>
      </w:r>
      <w:r w:rsidRPr="002A1C9D">
        <w:rPr>
          <w:rFonts w:hint="cs"/>
          <w:rtl/>
        </w:rPr>
        <w:t>לשנים 2016 -</w:t>
      </w:r>
      <w:r>
        <w:rPr>
          <w:rFonts w:hint="cs"/>
          <w:rtl/>
        </w:rPr>
        <w:t xml:space="preserve"> </w:t>
      </w:r>
      <w:r w:rsidRPr="002A1C9D">
        <w:rPr>
          <w:rFonts w:hint="cs"/>
          <w:rtl/>
        </w:rPr>
        <w:t>2018 ולצ</w:t>
      </w:r>
      <w:r>
        <w:rPr>
          <w:rFonts w:hint="cs"/>
          <w:rtl/>
        </w:rPr>
        <w:t>י</w:t>
      </w:r>
      <w:r w:rsidRPr="002A1C9D">
        <w:rPr>
          <w:rFonts w:hint="cs"/>
          <w:rtl/>
        </w:rPr>
        <w:t>דם ההוצאה בפועל של כל גוף מהתקציב שאושר לו (להלן - הביצוע)</w:t>
      </w:r>
      <w:r>
        <w:rPr>
          <w:rFonts w:hint="cs"/>
          <w:rtl/>
        </w:rPr>
        <w:t>.</w:t>
      </w:r>
    </w:p>
    <w:p w14:paraId="396C54A8" w14:textId="77777777" w:rsidR="00F368B6" w:rsidRPr="00DB357C" w:rsidRDefault="00F368B6" w:rsidP="00DB357C">
      <w:pPr>
        <w:pStyle w:val="a6"/>
        <w:rPr>
          <w:b/>
          <w:bCs/>
          <w:rtl/>
        </w:rPr>
      </w:pPr>
      <w:r w:rsidRPr="002A1C9D">
        <w:rPr>
          <w:rFonts w:hint="cs"/>
          <w:rtl/>
        </w:rPr>
        <w:t xml:space="preserve">תרשים </w:t>
      </w:r>
      <w:r>
        <w:rPr>
          <w:rFonts w:hint="cs"/>
          <w:rtl/>
        </w:rPr>
        <w:t>4</w:t>
      </w:r>
      <w:r w:rsidRPr="002A1C9D">
        <w:rPr>
          <w:rFonts w:hint="cs"/>
          <w:rtl/>
        </w:rPr>
        <w:t xml:space="preserve">: </w:t>
      </w:r>
      <w:r w:rsidRPr="00DB357C">
        <w:rPr>
          <w:rFonts w:hint="cs"/>
          <w:b/>
          <w:bCs/>
          <w:rtl/>
        </w:rPr>
        <w:t>תשלומים מקרן החילוט לגופים המתוקצבים ונתוני הביצוע של כל גוף, 2016 עד 2018 (באלפי ש"ח)</w:t>
      </w:r>
    </w:p>
    <w:p w14:paraId="0BF882B5" w14:textId="77777777" w:rsidR="00F368B6" w:rsidRPr="002A1C9D" w:rsidRDefault="00F368B6" w:rsidP="00F368B6">
      <w:pPr>
        <w:spacing w:line="269" w:lineRule="auto"/>
        <w:jc w:val="center"/>
        <w:rPr>
          <w:b/>
          <w:bCs/>
          <w:rtl/>
        </w:rPr>
      </w:pPr>
    </w:p>
    <w:p w14:paraId="57BB0CC7" w14:textId="77777777" w:rsidR="00F368B6" w:rsidRPr="002A1C9D" w:rsidRDefault="00F368B6" w:rsidP="00F368B6">
      <w:pPr>
        <w:spacing w:line="269" w:lineRule="auto"/>
        <w:rPr>
          <w:rtl/>
        </w:rPr>
      </w:pPr>
      <w:r w:rsidRPr="002A1C9D">
        <w:rPr>
          <w:noProof/>
          <w:rtl/>
        </w:rPr>
        <w:drawing>
          <wp:inline distT="0" distB="0" distL="0" distR="0" wp14:anchorId="4C371262" wp14:editId="77C90487">
            <wp:extent cx="5267325" cy="3676650"/>
            <wp:effectExtent l="0" t="0" r="9525" b="0"/>
            <wp:docPr id="34"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E622E2" w14:textId="0D451ED7" w:rsidR="00F368B6" w:rsidRDefault="00F368B6" w:rsidP="00DB357C">
      <w:pPr>
        <w:pStyle w:val="a8"/>
        <w:rPr>
          <w:rtl/>
        </w:rPr>
      </w:pPr>
      <w:r w:rsidRPr="00E630B3">
        <w:rPr>
          <w:rFonts w:hint="cs"/>
          <w:rtl/>
        </w:rPr>
        <w:t xml:space="preserve">מקור: </w:t>
      </w:r>
      <w:r w:rsidRPr="00E630B3">
        <w:rPr>
          <w:rFonts w:hint="eastAsia"/>
          <w:rtl/>
        </w:rPr>
        <w:t>על</w:t>
      </w:r>
      <w:r w:rsidRPr="00E630B3">
        <w:rPr>
          <w:rtl/>
        </w:rPr>
        <w:t xml:space="preserve"> </w:t>
      </w:r>
      <w:r w:rsidRPr="00E630B3">
        <w:rPr>
          <w:rFonts w:hint="eastAsia"/>
          <w:rtl/>
        </w:rPr>
        <w:t>פי</w:t>
      </w:r>
      <w:r w:rsidRPr="00E630B3">
        <w:rPr>
          <w:rtl/>
        </w:rPr>
        <w:t xml:space="preserve"> </w:t>
      </w:r>
      <w:r w:rsidRPr="00E630B3">
        <w:rPr>
          <w:rFonts w:hint="eastAsia"/>
          <w:rtl/>
        </w:rPr>
        <w:t>נתוני</w:t>
      </w:r>
      <w:r w:rsidRPr="00E630B3">
        <w:rPr>
          <w:rtl/>
        </w:rPr>
        <w:t xml:space="preserve"> </w:t>
      </w:r>
      <w:r w:rsidRPr="00E630B3">
        <w:rPr>
          <w:rFonts w:hint="eastAsia"/>
          <w:rtl/>
        </w:rPr>
        <w:t>מועצת</w:t>
      </w:r>
      <w:r w:rsidRPr="00E630B3">
        <w:rPr>
          <w:rtl/>
        </w:rPr>
        <w:t xml:space="preserve"> </w:t>
      </w:r>
      <w:r w:rsidRPr="00E630B3">
        <w:rPr>
          <w:rFonts w:hint="eastAsia"/>
          <w:rtl/>
        </w:rPr>
        <w:t>החילוט</w:t>
      </w:r>
      <w:r w:rsidRPr="00E630B3">
        <w:rPr>
          <w:rtl/>
        </w:rPr>
        <w:t>, בעיבוד משרד מבקר המדינה.</w:t>
      </w:r>
    </w:p>
    <w:p w14:paraId="2FBCCD89" w14:textId="77777777" w:rsidR="00DB357C" w:rsidRPr="00E630B3" w:rsidRDefault="00DB357C" w:rsidP="00DB357C">
      <w:pPr>
        <w:pStyle w:val="a8"/>
        <w:rPr>
          <w:rtl/>
        </w:rPr>
      </w:pPr>
    </w:p>
    <w:p w14:paraId="4701B489" w14:textId="0373810E" w:rsidR="00F368B6" w:rsidRDefault="00F368B6" w:rsidP="00DB357C">
      <w:pPr>
        <w:pStyle w:val="af1"/>
        <w:rPr>
          <w:rtl/>
        </w:rPr>
      </w:pPr>
      <w:r w:rsidRPr="002A1C9D">
        <w:rPr>
          <w:rFonts w:hint="cs"/>
          <w:rtl/>
        </w:rPr>
        <w:lastRenderedPageBreak/>
        <w:t xml:space="preserve">מהתרשים עולה כי </w:t>
      </w:r>
      <w:r>
        <w:rPr>
          <w:rFonts w:hint="cs"/>
          <w:rtl/>
        </w:rPr>
        <w:t xml:space="preserve">בהתאם לנתוני מועצת החילוט, </w:t>
      </w:r>
      <w:r w:rsidRPr="002A1C9D">
        <w:rPr>
          <w:rFonts w:hint="cs"/>
          <w:rtl/>
        </w:rPr>
        <w:t xml:space="preserve">בשנים האמורות הוקצו למשטרה כ-66% מתקציב קרן החילוט, לרשות המיסים </w:t>
      </w:r>
      <w:r>
        <w:rPr>
          <w:rFonts w:hint="cs"/>
          <w:rtl/>
        </w:rPr>
        <w:t xml:space="preserve">הוקצו כ-14% ממנו </w:t>
      </w:r>
      <w:r w:rsidRPr="002A1C9D">
        <w:rPr>
          <w:rFonts w:hint="cs"/>
          <w:rtl/>
        </w:rPr>
        <w:t xml:space="preserve">ולרשלא"ה </w:t>
      </w:r>
      <w:r>
        <w:rPr>
          <w:rFonts w:hint="cs"/>
          <w:rtl/>
        </w:rPr>
        <w:t xml:space="preserve">- </w:t>
      </w:r>
      <w:r w:rsidRPr="002A1C9D">
        <w:rPr>
          <w:rFonts w:hint="cs"/>
          <w:rtl/>
        </w:rPr>
        <w:t xml:space="preserve">כ-20%. בפועל, המשטרה ניצלה באותן שנים כ-50% מהתקציב שהוקצה לה, רשות המיסים </w:t>
      </w:r>
      <w:r>
        <w:rPr>
          <w:rFonts w:hint="cs"/>
          <w:rtl/>
        </w:rPr>
        <w:t>- כ-30%</w:t>
      </w:r>
      <w:r>
        <w:rPr>
          <w:rFonts w:hint="cs"/>
        </w:rPr>
        <w:t xml:space="preserve"> </w:t>
      </w:r>
      <w:r w:rsidRPr="002A1C9D">
        <w:rPr>
          <w:rFonts w:hint="cs"/>
          <w:rtl/>
        </w:rPr>
        <w:t>ורשלא</w:t>
      </w:r>
      <w:r w:rsidRPr="002A1C9D">
        <w:rPr>
          <w:rtl/>
        </w:rPr>
        <w:t>"</w:t>
      </w:r>
      <w:r w:rsidRPr="002A1C9D">
        <w:rPr>
          <w:rFonts w:hint="cs"/>
          <w:rtl/>
        </w:rPr>
        <w:t xml:space="preserve">ה </w:t>
      </w:r>
      <w:r>
        <w:rPr>
          <w:rFonts w:hint="cs"/>
          <w:rtl/>
        </w:rPr>
        <w:t xml:space="preserve">- </w:t>
      </w:r>
      <w:r w:rsidRPr="002A1C9D">
        <w:rPr>
          <w:rFonts w:hint="cs"/>
          <w:rtl/>
        </w:rPr>
        <w:t xml:space="preserve">כ-40%. </w:t>
      </w:r>
      <w:r w:rsidRPr="00842CFB">
        <w:rPr>
          <w:rFonts w:hint="eastAsia"/>
          <w:rtl/>
        </w:rPr>
        <w:t>באותן</w:t>
      </w:r>
      <w:r w:rsidRPr="00842CFB">
        <w:rPr>
          <w:rtl/>
        </w:rPr>
        <w:t xml:space="preserve"> שנים התקציב הקשיח </w:t>
      </w:r>
      <w:r>
        <w:rPr>
          <w:rFonts w:hint="cs"/>
          <w:rtl/>
        </w:rPr>
        <w:t>(ה</w:t>
      </w:r>
      <w:r w:rsidRPr="00842CFB">
        <w:rPr>
          <w:rtl/>
        </w:rPr>
        <w:t>כ</w:t>
      </w:r>
      <w:r>
        <w:rPr>
          <w:rFonts w:hint="cs"/>
          <w:rtl/>
        </w:rPr>
        <w:t>ו</w:t>
      </w:r>
      <w:r w:rsidRPr="00842CFB">
        <w:rPr>
          <w:rtl/>
        </w:rPr>
        <w:t>לל גם את "התקציב ההמשכי" עבור פרויקטים רב</w:t>
      </w:r>
      <w:r>
        <w:rPr>
          <w:rFonts w:hint="cs"/>
          <w:rtl/>
        </w:rPr>
        <w:t>-</w:t>
      </w:r>
      <w:r w:rsidRPr="00842CFB">
        <w:rPr>
          <w:rtl/>
        </w:rPr>
        <w:t>שנתיים)</w:t>
      </w:r>
      <w:r>
        <w:rPr>
          <w:rFonts w:hint="cs"/>
          <w:rtl/>
        </w:rPr>
        <w:t xml:space="preserve"> </w:t>
      </w:r>
      <w:r w:rsidRPr="00842CFB">
        <w:rPr>
          <w:rtl/>
        </w:rPr>
        <w:t xml:space="preserve">שהעמידה מועצת החילוט לגופים המתוקצבים היה </w:t>
      </w:r>
      <w:r>
        <w:rPr>
          <w:rFonts w:hint="cs"/>
          <w:rtl/>
        </w:rPr>
        <w:t xml:space="preserve">כ-227 מיליון </w:t>
      </w:r>
      <w:r w:rsidRPr="00842CFB">
        <w:rPr>
          <w:rtl/>
        </w:rPr>
        <w:t>ש"ח (כ-56% מהתקציב הכולל)</w:t>
      </w:r>
      <w:r>
        <w:rPr>
          <w:rFonts w:hint="cs"/>
          <w:rtl/>
        </w:rPr>
        <w:t>,</w:t>
      </w:r>
      <w:r w:rsidRPr="00842CFB">
        <w:rPr>
          <w:rtl/>
        </w:rPr>
        <w:t xml:space="preserve"> </w:t>
      </w:r>
      <w:r>
        <w:rPr>
          <w:rFonts w:hint="cs"/>
          <w:rtl/>
        </w:rPr>
        <w:t>ומזה</w:t>
      </w:r>
      <w:r w:rsidRPr="00842CFB">
        <w:rPr>
          <w:rtl/>
        </w:rPr>
        <w:t xml:space="preserve"> ניצלו הגופים כ-65%</w:t>
      </w:r>
      <w:r w:rsidRPr="005736BE">
        <w:rPr>
          <w:rFonts w:hint="cs"/>
          <w:rtl/>
        </w:rPr>
        <w:t>.</w:t>
      </w:r>
    </w:p>
    <w:p w14:paraId="39F2F730" w14:textId="7925D9C8" w:rsidR="00F368B6" w:rsidRDefault="00F368B6" w:rsidP="00DB357C">
      <w:pPr>
        <w:pStyle w:val="100"/>
        <w:rPr>
          <w:rtl/>
        </w:rPr>
      </w:pPr>
      <w:r>
        <w:rPr>
          <w:rFonts w:hint="cs"/>
          <w:rtl/>
        </w:rPr>
        <w:t>שיעור התקציב הקשיח מסך התקציב שהוקצה למשטרה היה 66%, לרשות המיסים - 31% ולרשלא"ה - 43%. המשטרה ורשות המיסים ניצלו 65% מהתקציב הקשיח שהוקצה להן ורשלא"ה ניצלה 68% מהתקציב הקשיח שהוקצה לה. הגופים המתוקצבים ניצלו באותן שנים 20% - 30% מהתקציב שהוקצה להם עבור פרויקטים שונים.</w:t>
      </w:r>
    </w:p>
    <w:p w14:paraId="137F6AB6" w14:textId="77777777" w:rsidR="00F368B6" w:rsidRPr="002A1C9D" w:rsidRDefault="00F368B6" w:rsidP="00DB357C">
      <w:pPr>
        <w:pStyle w:val="100"/>
        <w:rPr>
          <w:rtl/>
        </w:rPr>
      </w:pPr>
      <w:r w:rsidRPr="002A1C9D">
        <w:rPr>
          <w:rFonts w:hint="cs"/>
          <w:rtl/>
        </w:rPr>
        <w:t>שיעור הביצוע של הגופים המבוקרים נבדק על ידי מבקר המדינה בביקורת קודמת</w:t>
      </w:r>
      <w:r>
        <w:rPr>
          <w:rFonts w:hint="cs"/>
          <w:rtl/>
        </w:rPr>
        <w:t>,</w:t>
      </w:r>
      <w:r w:rsidRPr="002A1C9D">
        <w:rPr>
          <w:rFonts w:hint="cs"/>
          <w:rtl/>
        </w:rPr>
        <w:t xml:space="preserve"> בהתייחס לתר"ש עבור השנים 20</w:t>
      </w:r>
      <w:r>
        <w:rPr>
          <w:rFonts w:hint="cs"/>
          <w:rtl/>
        </w:rPr>
        <w:t xml:space="preserve">07 </w:t>
      </w:r>
      <w:r w:rsidRPr="002A1C9D">
        <w:rPr>
          <w:rFonts w:hint="cs"/>
          <w:rtl/>
        </w:rPr>
        <w:t>-</w:t>
      </w:r>
      <w:r>
        <w:rPr>
          <w:rFonts w:hint="cs"/>
          <w:rtl/>
        </w:rPr>
        <w:t xml:space="preserve"> </w:t>
      </w:r>
      <w:r w:rsidRPr="002A1C9D">
        <w:rPr>
          <w:rFonts w:hint="cs"/>
          <w:rtl/>
        </w:rPr>
        <w:t>20</w:t>
      </w:r>
      <w:r>
        <w:rPr>
          <w:rFonts w:hint="cs"/>
          <w:rtl/>
        </w:rPr>
        <w:t>11</w:t>
      </w:r>
      <w:r w:rsidRPr="002A1C9D">
        <w:rPr>
          <w:rFonts w:hint="cs"/>
          <w:rtl/>
        </w:rPr>
        <w:t xml:space="preserve"> ועבור השנים 201</w:t>
      </w:r>
      <w:r>
        <w:rPr>
          <w:rFonts w:hint="cs"/>
          <w:rtl/>
        </w:rPr>
        <w:t xml:space="preserve">2 </w:t>
      </w:r>
      <w:r w:rsidRPr="002A1C9D">
        <w:rPr>
          <w:rFonts w:hint="cs"/>
          <w:rtl/>
        </w:rPr>
        <w:t>-</w:t>
      </w:r>
      <w:r>
        <w:rPr>
          <w:rFonts w:hint="cs"/>
          <w:rtl/>
        </w:rPr>
        <w:t xml:space="preserve"> </w:t>
      </w:r>
      <w:r w:rsidRPr="002A1C9D">
        <w:rPr>
          <w:rFonts w:hint="cs"/>
          <w:rtl/>
        </w:rPr>
        <w:t>201</w:t>
      </w:r>
      <w:r>
        <w:rPr>
          <w:rFonts w:hint="cs"/>
          <w:rtl/>
        </w:rPr>
        <w:t>5,</w:t>
      </w:r>
      <w:r w:rsidRPr="002A1C9D">
        <w:rPr>
          <w:rFonts w:hint="cs"/>
          <w:rtl/>
        </w:rPr>
        <w:t xml:space="preserve"> ואז נמצא כי </w:t>
      </w:r>
      <w:r>
        <w:rPr>
          <w:rFonts w:hint="cs"/>
          <w:rtl/>
        </w:rPr>
        <w:t>שיעור</w:t>
      </w:r>
      <w:r w:rsidRPr="002A1C9D">
        <w:rPr>
          <w:rFonts w:hint="cs"/>
          <w:rtl/>
        </w:rPr>
        <w:t xml:space="preserve"> הניצול של הגופים המתוקצבים באותן שנים עמד על כ-70% ממסגרת התקציב המאושרת</w:t>
      </w:r>
      <w:r>
        <w:rPr>
          <w:rStyle w:val="FootnoteReference"/>
          <w:rtl/>
        </w:rPr>
        <w:footnoteReference w:id="38"/>
      </w:r>
      <w:r w:rsidRPr="002A1C9D">
        <w:rPr>
          <w:rFonts w:hint="cs"/>
          <w:rtl/>
        </w:rPr>
        <w:t xml:space="preserve">. </w:t>
      </w:r>
    </w:p>
    <w:p w14:paraId="5DF107A1" w14:textId="77777777" w:rsidR="00F368B6" w:rsidRPr="002A1C9D" w:rsidRDefault="00F368B6" w:rsidP="00DB357C">
      <w:pPr>
        <w:pStyle w:val="100"/>
        <w:rPr>
          <w:rtl/>
        </w:rPr>
      </w:pPr>
      <w:r w:rsidRPr="005E2352">
        <w:rPr>
          <w:rFonts w:hint="cs"/>
          <w:rtl/>
        </w:rPr>
        <w:t>מ</w:t>
      </w:r>
      <w:r>
        <w:rPr>
          <w:rFonts w:hint="cs"/>
          <w:rtl/>
        </w:rPr>
        <w:t>ה</w:t>
      </w:r>
      <w:r w:rsidRPr="005E2352">
        <w:rPr>
          <w:rFonts w:hint="cs"/>
          <w:rtl/>
        </w:rPr>
        <w:t>תרשים</w:t>
      </w:r>
      <w:r>
        <w:rPr>
          <w:rFonts w:hint="cs"/>
          <w:rtl/>
        </w:rPr>
        <w:t xml:space="preserve"> עולה</w:t>
      </w:r>
      <w:r w:rsidRPr="005E2352">
        <w:rPr>
          <w:rFonts w:hint="cs"/>
          <w:rtl/>
        </w:rPr>
        <w:t xml:space="preserve"> כי בתר"ש עבור השנים 20</w:t>
      </w:r>
      <w:r>
        <w:rPr>
          <w:rFonts w:hint="cs"/>
          <w:rtl/>
        </w:rPr>
        <w:t xml:space="preserve">16 </w:t>
      </w:r>
      <w:r w:rsidRPr="005E2352">
        <w:rPr>
          <w:rFonts w:hint="cs"/>
          <w:rtl/>
        </w:rPr>
        <w:t>-</w:t>
      </w:r>
      <w:r>
        <w:rPr>
          <w:rFonts w:hint="cs"/>
          <w:rtl/>
        </w:rPr>
        <w:t xml:space="preserve"> </w:t>
      </w:r>
      <w:r w:rsidRPr="005E2352">
        <w:rPr>
          <w:rFonts w:hint="cs"/>
          <w:rtl/>
        </w:rPr>
        <w:t>201</w:t>
      </w:r>
      <w:r>
        <w:rPr>
          <w:rFonts w:hint="cs"/>
          <w:rtl/>
        </w:rPr>
        <w:t>9</w:t>
      </w:r>
      <w:r w:rsidRPr="005E2352">
        <w:rPr>
          <w:rFonts w:hint="cs"/>
          <w:rtl/>
        </w:rPr>
        <w:t xml:space="preserve"> חלה ירידה ממשית ב</w:t>
      </w:r>
      <w:r>
        <w:rPr>
          <w:rFonts w:hint="cs"/>
          <w:rtl/>
        </w:rPr>
        <w:t>שיעור</w:t>
      </w:r>
      <w:r w:rsidRPr="005E2352">
        <w:rPr>
          <w:rFonts w:hint="cs"/>
          <w:rtl/>
        </w:rPr>
        <w:t>י הניצול של הגופים המתוקצבים. יודגש כי התקציב המאושר לחלוקה לגופים נועד לממן תקני כ</w:t>
      </w:r>
      <w:r>
        <w:rPr>
          <w:rFonts w:hint="cs"/>
          <w:rtl/>
        </w:rPr>
        <w:t>ו</w:t>
      </w:r>
      <w:r w:rsidRPr="005E2352">
        <w:rPr>
          <w:rFonts w:hint="cs"/>
          <w:rtl/>
        </w:rPr>
        <w:t xml:space="preserve">ח אדם ופרויקטים טכנולוגיים המיועדים להגברת האכיפה הכלכלית. </w:t>
      </w:r>
      <w:r>
        <w:rPr>
          <w:rFonts w:hint="cs"/>
          <w:rtl/>
        </w:rPr>
        <w:t>שיעור</w:t>
      </w:r>
      <w:r w:rsidRPr="005E2352">
        <w:rPr>
          <w:rFonts w:hint="cs"/>
          <w:rtl/>
        </w:rPr>
        <w:t>י ביצוע גבוהים של התקציב צפויים להגביר את האכיפה, ועם הגברתה צפוי לגדול היקף הרכוש הנתפס והמחולט.</w:t>
      </w:r>
      <w:r>
        <w:rPr>
          <w:rFonts w:hint="cs"/>
          <w:rtl/>
        </w:rPr>
        <w:t xml:space="preserve"> </w:t>
      </w:r>
      <w:r w:rsidRPr="005E2352">
        <w:rPr>
          <w:rFonts w:hint="cs"/>
          <w:rtl/>
        </w:rPr>
        <w:t>תהליך זה של היזון חוזר</w:t>
      </w:r>
      <w:r>
        <w:rPr>
          <w:rFonts w:hint="cs"/>
          <w:rtl/>
        </w:rPr>
        <w:t xml:space="preserve"> חיובי</w:t>
      </w:r>
      <w:r w:rsidRPr="005E2352">
        <w:rPr>
          <w:rFonts w:hint="cs"/>
          <w:rtl/>
        </w:rPr>
        <w:t xml:space="preserve"> אינו ממוצה </w:t>
      </w:r>
      <w:r>
        <w:rPr>
          <w:rFonts w:hint="cs"/>
          <w:rtl/>
        </w:rPr>
        <w:t>אם שיעורי</w:t>
      </w:r>
      <w:r w:rsidRPr="005E2352">
        <w:rPr>
          <w:rFonts w:hint="cs"/>
          <w:rtl/>
        </w:rPr>
        <w:t xml:space="preserve"> </w:t>
      </w:r>
      <w:r>
        <w:rPr>
          <w:rFonts w:hint="cs"/>
          <w:rtl/>
        </w:rPr>
        <w:t>ה</w:t>
      </w:r>
      <w:r w:rsidRPr="005E2352">
        <w:rPr>
          <w:rFonts w:hint="cs"/>
          <w:rtl/>
        </w:rPr>
        <w:t>ביצוע נמוכים יחסית.</w:t>
      </w:r>
    </w:p>
    <w:p w14:paraId="2A579D8A" w14:textId="77777777" w:rsidR="00F368B6" w:rsidRPr="0018785D" w:rsidRDefault="00F368B6" w:rsidP="00DB357C">
      <w:pPr>
        <w:pStyle w:val="af1"/>
        <w:rPr>
          <w:rtl/>
        </w:rPr>
      </w:pPr>
      <w:r w:rsidRPr="0018785D">
        <w:rPr>
          <w:rFonts w:hint="eastAsia"/>
          <w:rtl/>
        </w:rPr>
        <w:t>יצוין</w:t>
      </w:r>
      <w:r w:rsidRPr="0018785D">
        <w:rPr>
          <w:rtl/>
        </w:rPr>
        <w:t xml:space="preserve"> </w:t>
      </w:r>
      <w:r w:rsidRPr="0018785D">
        <w:rPr>
          <w:rFonts w:hint="eastAsia"/>
          <w:rtl/>
        </w:rPr>
        <w:t>כי</w:t>
      </w:r>
      <w:r w:rsidRPr="0018785D">
        <w:rPr>
          <w:rtl/>
        </w:rPr>
        <w:t xml:space="preserve"> </w:t>
      </w:r>
      <w:r w:rsidRPr="0018785D">
        <w:rPr>
          <w:rFonts w:hint="eastAsia"/>
          <w:rtl/>
        </w:rPr>
        <w:t>בשנים</w:t>
      </w:r>
      <w:r w:rsidRPr="0018785D">
        <w:rPr>
          <w:rtl/>
        </w:rPr>
        <w:t xml:space="preserve"> 2017 </w:t>
      </w:r>
      <w:r w:rsidRPr="0018785D">
        <w:rPr>
          <w:rFonts w:hint="eastAsia"/>
          <w:rtl/>
        </w:rPr>
        <w:t>עד</w:t>
      </w:r>
      <w:r w:rsidRPr="0018785D">
        <w:rPr>
          <w:rtl/>
        </w:rPr>
        <w:t xml:space="preserve"> 2018 </w:t>
      </w:r>
      <w:r w:rsidRPr="0018785D">
        <w:rPr>
          <w:rFonts w:hint="eastAsia"/>
          <w:rtl/>
        </w:rPr>
        <w:t>לא</w:t>
      </w:r>
      <w:r w:rsidRPr="0018785D">
        <w:rPr>
          <w:rtl/>
        </w:rPr>
        <w:t xml:space="preserve"> </w:t>
      </w:r>
      <w:r w:rsidRPr="0018785D">
        <w:rPr>
          <w:rFonts w:hint="eastAsia"/>
          <w:rtl/>
        </w:rPr>
        <w:t>ביצעו</w:t>
      </w:r>
      <w:r w:rsidRPr="0018785D">
        <w:rPr>
          <w:rtl/>
        </w:rPr>
        <w:t xml:space="preserve"> </w:t>
      </w:r>
      <w:r w:rsidRPr="0018785D">
        <w:rPr>
          <w:rFonts w:hint="eastAsia"/>
          <w:rtl/>
        </w:rPr>
        <w:t>הגופים</w:t>
      </w:r>
      <w:r w:rsidRPr="0018785D">
        <w:rPr>
          <w:rtl/>
        </w:rPr>
        <w:t xml:space="preserve"> </w:t>
      </w:r>
      <w:r w:rsidRPr="0018785D">
        <w:rPr>
          <w:rFonts w:hint="eastAsia"/>
          <w:rtl/>
        </w:rPr>
        <w:t>המתוקצבים</w:t>
      </w:r>
      <w:r w:rsidRPr="0018785D">
        <w:rPr>
          <w:rtl/>
        </w:rPr>
        <w:t xml:space="preserve"> </w:t>
      </w:r>
      <w:r w:rsidRPr="0018785D">
        <w:rPr>
          <w:rFonts w:hint="eastAsia"/>
          <w:rtl/>
        </w:rPr>
        <w:t>פרויקטים</w:t>
      </w:r>
      <w:r w:rsidRPr="0018785D">
        <w:rPr>
          <w:rtl/>
        </w:rPr>
        <w:t xml:space="preserve"> </w:t>
      </w:r>
      <w:r w:rsidRPr="0018785D">
        <w:rPr>
          <w:rFonts w:hint="eastAsia"/>
          <w:rtl/>
        </w:rPr>
        <w:t>שא</w:t>
      </w:r>
      <w:r w:rsidRPr="0018785D">
        <w:rPr>
          <w:rFonts w:hint="cs"/>
          <w:rtl/>
        </w:rPr>
        <w:t>י</w:t>
      </w:r>
      <w:r w:rsidRPr="0018785D">
        <w:rPr>
          <w:rFonts w:hint="eastAsia"/>
          <w:rtl/>
        </w:rPr>
        <w:t>שר</w:t>
      </w:r>
      <w:r w:rsidRPr="0018785D">
        <w:rPr>
          <w:rFonts w:hint="cs"/>
          <w:rtl/>
        </w:rPr>
        <w:t>ה</w:t>
      </w:r>
      <w:r w:rsidRPr="0018785D">
        <w:rPr>
          <w:rtl/>
        </w:rPr>
        <w:t xml:space="preserve"> </w:t>
      </w:r>
      <w:r w:rsidRPr="0018785D">
        <w:rPr>
          <w:rFonts w:hint="eastAsia"/>
          <w:rtl/>
        </w:rPr>
        <w:t>ותקצב</w:t>
      </w:r>
      <w:r w:rsidRPr="0018785D">
        <w:rPr>
          <w:rFonts w:hint="cs"/>
          <w:rtl/>
        </w:rPr>
        <w:t>ה</w:t>
      </w:r>
      <w:r w:rsidRPr="0018785D">
        <w:rPr>
          <w:rtl/>
        </w:rPr>
        <w:t xml:space="preserve"> </w:t>
      </w:r>
      <w:r w:rsidRPr="0018785D">
        <w:rPr>
          <w:rFonts w:hint="eastAsia"/>
          <w:rtl/>
        </w:rPr>
        <w:t>מועצת</w:t>
      </w:r>
      <w:r w:rsidRPr="0018785D">
        <w:rPr>
          <w:rtl/>
        </w:rPr>
        <w:t xml:space="preserve"> </w:t>
      </w:r>
      <w:r w:rsidRPr="0018785D">
        <w:rPr>
          <w:rFonts w:hint="eastAsia"/>
          <w:rtl/>
        </w:rPr>
        <w:t>החילוט</w:t>
      </w:r>
      <w:r w:rsidRPr="0018785D">
        <w:rPr>
          <w:rtl/>
        </w:rPr>
        <w:t xml:space="preserve"> </w:t>
      </w:r>
      <w:r w:rsidRPr="0018785D">
        <w:rPr>
          <w:rFonts w:hint="eastAsia"/>
          <w:rtl/>
        </w:rPr>
        <w:t>בערך</w:t>
      </w:r>
      <w:r w:rsidRPr="0018785D">
        <w:rPr>
          <w:rtl/>
        </w:rPr>
        <w:t xml:space="preserve"> </w:t>
      </w:r>
      <w:r w:rsidRPr="0018785D">
        <w:rPr>
          <w:rFonts w:hint="eastAsia"/>
          <w:rtl/>
        </w:rPr>
        <w:t>כולל</w:t>
      </w:r>
      <w:r w:rsidRPr="0018785D">
        <w:rPr>
          <w:rtl/>
        </w:rPr>
        <w:t xml:space="preserve"> </w:t>
      </w:r>
      <w:r w:rsidRPr="0018785D">
        <w:rPr>
          <w:rFonts w:hint="eastAsia"/>
          <w:rtl/>
        </w:rPr>
        <w:t>של</w:t>
      </w:r>
      <w:r w:rsidRPr="0018785D">
        <w:rPr>
          <w:rtl/>
        </w:rPr>
        <w:t xml:space="preserve"> </w:t>
      </w:r>
      <w:r w:rsidRPr="0018785D">
        <w:rPr>
          <w:rFonts w:hint="eastAsia"/>
          <w:rtl/>
        </w:rPr>
        <w:t>כ</w:t>
      </w:r>
      <w:r w:rsidRPr="0018785D">
        <w:rPr>
          <w:rtl/>
        </w:rPr>
        <w:t xml:space="preserve">-90 </w:t>
      </w:r>
      <w:r w:rsidRPr="0018785D">
        <w:rPr>
          <w:rFonts w:hint="eastAsia"/>
          <w:rtl/>
        </w:rPr>
        <w:t>מיליון</w:t>
      </w:r>
      <w:r w:rsidRPr="0018785D">
        <w:rPr>
          <w:rtl/>
        </w:rPr>
        <w:t xml:space="preserve"> </w:t>
      </w:r>
      <w:r w:rsidRPr="0018785D">
        <w:rPr>
          <w:rFonts w:hint="eastAsia"/>
          <w:rtl/>
        </w:rPr>
        <w:t>ש</w:t>
      </w:r>
      <w:r w:rsidRPr="0018785D">
        <w:rPr>
          <w:rtl/>
        </w:rPr>
        <w:t xml:space="preserve">"ח </w:t>
      </w:r>
      <w:r w:rsidRPr="0018785D">
        <w:rPr>
          <w:rFonts w:hint="cs"/>
          <w:rtl/>
        </w:rPr>
        <w:t>(</w:t>
      </w:r>
      <w:r w:rsidRPr="0018785D">
        <w:rPr>
          <w:rtl/>
        </w:rPr>
        <w:t>2017</w:t>
      </w:r>
      <w:r w:rsidRPr="0018785D">
        <w:rPr>
          <w:rFonts w:hint="cs"/>
          <w:rtl/>
        </w:rPr>
        <w:t>)</w:t>
      </w:r>
      <w:r w:rsidRPr="0018785D">
        <w:rPr>
          <w:rtl/>
        </w:rPr>
        <w:t xml:space="preserve"> </w:t>
      </w:r>
      <w:r w:rsidRPr="0018785D">
        <w:rPr>
          <w:rFonts w:hint="eastAsia"/>
          <w:rtl/>
        </w:rPr>
        <w:t>וכ</w:t>
      </w:r>
      <w:r w:rsidRPr="0018785D">
        <w:rPr>
          <w:rtl/>
        </w:rPr>
        <w:t xml:space="preserve">-82 </w:t>
      </w:r>
      <w:r w:rsidRPr="0018785D">
        <w:rPr>
          <w:rFonts w:hint="eastAsia"/>
          <w:rtl/>
        </w:rPr>
        <w:t>מיליון</w:t>
      </w:r>
      <w:r w:rsidRPr="0018785D">
        <w:rPr>
          <w:rtl/>
        </w:rPr>
        <w:t xml:space="preserve"> </w:t>
      </w:r>
      <w:r w:rsidRPr="0018785D">
        <w:rPr>
          <w:rFonts w:hint="eastAsia"/>
          <w:rtl/>
        </w:rPr>
        <w:t>ש</w:t>
      </w:r>
      <w:r w:rsidRPr="0018785D">
        <w:rPr>
          <w:rtl/>
        </w:rPr>
        <w:t xml:space="preserve">"ח </w:t>
      </w:r>
      <w:r w:rsidRPr="0018785D">
        <w:rPr>
          <w:rFonts w:hint="cs"/>
          <w:rtl/>
        </w:rPr>
        <w:t>(</w:t>
      </w:r>
      <w:r w:rsidRPr="0018785D">
        <w:rPr>
          <w:rtl/>
        </w:rPr>
        <w:t>2018</w:t>
      </w:r>
      <w:r w:rsidRPr="0018785D">
        <w:rPr>
          <w:rFonts w:hint="cs"/>
          <w:rtl/>
        </w:rPr>
        <w:t>).</w:t>
      </w:r>
    </w:p>
    <w:p w14:paraId="015F8F29" w14:textId="77777777" w:rsidR="00F368B6" w:rsidRPr="002A1C9D" w:rsidRDefault="00F368B6" w:rsidP="00DB357C">
      <w:pPr>
        <w:pStyle w:val="100"/>
        <w:rPr>
          <w:rtl/>
        </w:rPr>
      </w:pPr>
      <w:r w:rsidRPr="002A1C9D">
        <w:rPr>
          <w:rFonts w:hint="cs"/>
          <w:rtl/>
        </w:rPr>
        <w:t>בדיונים שהתקיימו במועצת החילוט אמרה נציג</w:t>
      </w:r>
      <w:r>
        <w:rPr>
          <w:rFonts w:hint="cs"/>
          <w:rtl/>
        </w:rPr>
        <w:t>ת</w:t>
      </w:r>
      <w:r w:rsidRPr="002A1C9D">
        <w:rPr>
          <w:rFonts w:hint="cs"/>
          <w:rtl/>
        </w:rPr>
        <w:t xml:space="preserve"> יחידת החילוט שכל הכספים שאושרו לגופים המתוקצבים ולא בוצעו נותרים "</w:t>
      </w:r>
      <w:r>
        <w:rPr>
          <w:rFonts w:hint="cs"/>
          <w:rtl/>
        </w:rPr>
        <w:t>צבועים" (כספים המוקצים לגוף מתוקצב אך אינם מנוצלים)</w:t>
      </w:r>
      <w:r w:rsidRPr="002A1C9D">
        <w:rPr>
          <w:rFonts w:hint="cs"/>
          <w:rtl/>
        </w:rPr>
        <w:t xml:space="preserve">. </w:t>
      </w:r>
      <w:r>
        <w:rPr>
          <w:rFonts w:hint="cs"/>
          <w:rtl/>
        </w:rPr>
        <w:t xml:space="preserve">בתחילת שנת 2018 נערכה בדיקה על ידי רואה חשבון המועצה ונבחנו מועדי אישורו ומימושו של כל פרויקט ופרויקט, ובעקבותיה נמחקו הכספים הבלתי מנוצלים והושבו ליתרת הסכומים העומדים לחלוקה. </w:t>
      </w:r>
      <w:r w:rsidRPr="002A1C9D">
        <w:rPr>
          <w:rFonts w:hint="cs"/>
          <w:rtl/>
        </w:rPr>
        <w:t xml:space="preserve">בכנס הוועדה המתמדת באוקטובר 2018 אמרה יו"ר מועצת החילוט כי </w:t>
      </w:r>
      <w:r>
        <w:rPr>
          <w:rFonts w:hint="cs"/>
          <w:rtl/>
        </w:rPr>
        <w:t xml:space="preserve">הגופים המתוקצבים אינם מנצלים את </w:t>
      </w:r>
      <w:r w:rsidRPr="002A1C9D">
        <w:rPr>
          <w:rFonts w:hint="cs"/>
          <w:rtl/>
        </w:rPr>
        <w:t xml:space="preserve">הכספים "הצבועים" </w:t>
      </w:r>
      <w:r>
        <w:rPr>
          <w:rFonts w:hint="cs"/>
          <w:rtl/>
        </w:rPr>
        <w:t>ואלה</w:t>
      </w:r>
      <w:r w:rsidRPr="002A1C9D">
        <w:rPr>
          <w:rFonts w:hint="cs"/>
          <w:rtl/>
        </w:rPr>
        <w:t xml:space="preserve"> נגררים משנה לשנה</w:t>
      </w:r>
      <w:r>
        <w:rPr>
          <w:rFonts w:hint="cs"/>
          <w:rtl/>
        </w:rPr>
        <w:t>,</w:t>
      </w:r>
      <w:r w:rsidRPr="002A1C9D">
        <w:rPr>
          <w:rFonts w:hint="cs"/>
          <w:rtl/>
        </w:rPr>
        <w:t xml:space="preserve"> </w:t>
      </w:r>
      <w:r>
        <w:rPr>
          <w:rFonts w:hint="cs"/>
          <w:rtl/>
        </w:rPr>
        <w:t>ו</w:t>
      </w:r>
      <w:r w:rsidRPr="002A1C9D">
        <w:rPr>
          <w:rFonts w:hint="cs"/>
          <w:rtl/>
        </w:rPr>
        <w:t>הבעיה העיקרית ב</w:t>
      </w:r>
      <w:r>
        <w:rPr>
          <w:rFonts w:hint="cs"/>
          <w:rtl/>
        </w:rPr>
        <w:t xml:space="preserve">כך </w:t>
      </w:r>
      <w:r w:rsidRPr="002A1C9D">
        <w:rPr>
          <w:rFonts w:hint="cs"/>
          <w:rtl/>
        </w:rPr>
        <w:t>היא שבינתיים לא ניתן לטפל בבקשות חדשות</w:t>
      </w:r>
      <w:r>
        <w:rPr>
          <w:rFonts w:hint="cs"/>
          <w:rtl/>
        </w:rPr>
        <w:t>.</w:t>
      </w:r>
      <w:r w:rsidRPr="002A1C9D">
        <w:rPr>
          <w:rFonts w:hint="cs"/>
          <w:rtl/>
        </w:rPr>
        <w:t xml:space="preserve"> הכספים </w:t>
      </w:r>
      <w:r>
        <w:rPr>
          <w:rFonts w:hint="cs"/>
          <w:rtl/>
        </w:rPr>
        <w:t>מוקצים</w:t>
      </w:r>
      <w:r w:rsidRPr="002A1C9D">
        <w:rPr>
          <w:rFonts w:hint="cs"/>
          <w:rtl/>
        </w:rPr>
        <w:t xml:space="preserve"> לאותן משימות שהתקציב עבורן לא נוצל אך נותר "צבוע"</w:t>
      </w:r>
      <w:r>
        <w:rPr>
          <w:rFonts w:hint="cs"/>
          <w:rtl/>
        </w:rPr>
        <w:t>,</w:t>
      </w:r>
      <w:r w:rsidRPr="002A1C9D">
        <w:rPr>
          <w:rFonts w:hint="cs"/>
          <w:rtl/>
        </w:rPr>
        <w:t xml:space="preserve"> והן </w:t>
      </w:r>
      <w:r>
        <w:rPr>
          <w:rFonts w:hint="cs"/>
          <w:rtl/>
        </w:rPr>
        <w:t>מוסיפות להיגרר</w:t>
      </w:r>
      <w:r w:rsidRPr="002A1C9D">
        <w:rPr>
          <w:rFonts w:hint="cs"/>
          <w:rtl/>
        </w:rPr>
        <w:t xml:space="preserve"> משנה לשנה. </w:t>
      </w:r>
    </w:p>
    <w:p w14:paraId="0BDAAD01" w14:textId="77777777" w:rsidR="00F368B6" w:rsidRDefault="00F368B6" w:rsidP="00DB357C">
      <w:pPr>
        <w:pStyle w:val="af1"/>
        <w:rPr>
          <w:rtl/>
        </w:rPr>
      </w:pPr>
      <w:r w:rsidRPr="002A1C9D">
        <w:rPr>
          <w:rFonts w:hint="cs"/>
          <w:rtl/>
        </w:rPr>
        <w:lastRenderedPageBreak/>
        <w:t>מבקר המדינה מעיר לגופים המתוקצבים כי אי</w:t>
      </w:r>
      <w:r>
        <w:rPr>
          <w:rFonts w:hint="cs"/>
          <w:rtl/>
        </w:rPr>
        <w:t>-</w:t>
      </w:r>
      <w:r w:rsidRPr="002A1C9D">
        <w:rPr>
          <w:rFonts w:hint="cs"/>
          <w:rtl/>
        </w:rPr>
        <w:t>ניצול הכספים</w:t>
      </w:r>
      <w:r>
        <w:rPr>
          <w:rFonts w:hint="cs"/>
          <w:rtl/>
        </w:rPr>
        <w:t xml:space="preserve"> שאישרה להם מועצת החילוט לטובת מימוש התוכניות שהוגשו על ידם </w:t>
      </w:r>
      <w:r w:rsidRPr="002A1C9D">
        <w:rPr>
          <w:rFonts w:hint="cs"/>
          <w:rtl/>
        </w:rPr>
        <w:t>מונע הרחבת פעילות האכיפה הכלכלית. עליהם לממש את הקצבות הכספים מקרן החילוט באופן התואם את תוכניות העבודה שלהם לאותה השנה</w:t>
      </w:r>
      <w:r>
        <w:rPr>
          <w:rFonts w:hint="cs"/>
          <w:rtl/>
        </w:rPr>
        <w:t>,</w:t>
      </w:r>
      <w:r w:rsidRPr="002A1C9D">
        <w:rPr>
          <w:rFonts w:hint="cs"/>
          <w:rtl/>
        </w:rPr>
        <w:t xml:space="preserve"> כדי למנוע מצב </w:t>
      </w:r>
      <w:r>
        <w:rPr>
          <w:rFonts w:hint="cs"/>
          <w:rtl/>
        </w:rPr>
        <w:t>ש</w:t>
      </w:r>
      <w:r w:rsidRPr="002A1C9D">
        <w:rPr>
          <w:rFonts w:hint="cs"/>
          <w:rtl/>
        </w:rPr>
        <w:t>בו כספים המיועדים למלחמה בפשיעה הכלכלית אינם מנוצלים.</w:t>
      </w:r>
      <w:r>
        <w:rPr>
          <w:rFonts w:hint="cs"/>
          <w:rtl/>
        </w:rPr>
        <w:t xml:space="preserve"> </w:t>
      </w:r>
    </w:p>
    <w:p w14:paraId="28D226CA" w14:textId="77777777" w:rsidR="00F368B6" w:rsidRPr="006A4C40" w:rsidRDefault="00F368B6" w:rsidP="00DB357C">
      <w:pPr>
        <w:pStyle w:val="100"/>
        <w:rPr>
          <w:rtl/>
        </w:rPr>
      </w:pPr>
      <w:r w:rsidRPr="006A4C40">
        <w:rPr>
          <w:rFonts w:hint="cs"/>
          <w:rtl/>
        </w:rPr>
        <w:t xml:space="preserve">בתשובתה </w:t>
      </w:r>
      <w:r>
        <w:rPr>
          <w:rFonts w:hint="cs"/>
          <w:rtl/>
        </w:rPr>
        <w:t>ציינה</w:t>
      </w:r>
      <w:r w:rsidRPr="006A4C40">
        <w:rPr>
          <w:rFonts w:hint="cs"/>
          <w:rtl/>
        </w:rPr>
        <w:t xml:space="preserve"> המשטרה כי </w:t>
      </w:r>
      <w:r>
        <w:rPr>
          <w:rFonts w:hint="cs"/>
          <w:rtl/>
        </w:rPr>
        <w:t>היא מסכימה ש</w:t>
      </w:r>
      <w:r w:rsidRPr="006A4C40">
        <w:rPr>
          <w:rFonts w:hint="cs"/>
          <w:rtl/>
        </w:rPr>
        <w:t>קיימים פערים במימוש</w:t>
      </w:r>
      <w:r>
        <w:rPr>
          <w:rFonts w:hint="cs"/>
          <w:rtl/>
        </w:rPr>
        <w:t xml:space="preserve"> אם כי נמוכים מאלו המוצגים</w:t>
      </w:r>
      <w:r w:rsidRPr="006A4C40">
        <w:rPr>
          <w:rFonts w:hint="cs"/>
          <w:rtl/>
        </w:rPr>
        <w:t xml:space="preserve">, </w:t>
      </w:r>
      <w:r>
        <w:rPr>
          <w:rFonts w:hint="cs"/>
          <w:rtl/>
        </w:rPr>
        <w:t>ולנוכח הממצאים</w:t>
      </w:r>
      <w:r w:rsidRPr="006A4C40">
        <w:rPr>
          <w:rFonts w:hint="cs"/>
          <w:rtl/>
        </w:rPr>
        <w:t xml:space="preserve"> תבחן כיצד ניתן לטייב את תהליכי העבודה באופן שיגדיל את </w:t>
      </w:r>
      <w:r>
        <w:rPr>
          <w:rFonts w:hint="cs"/>
          <w:rtl/>
        </w:rPr>
        <w:t>שיעורי</w:t>
      </w:r>
      <w:r w:rsidRPr="006A4C40">
        <w:rPr>
          <w:rFonts w:hint="cs"/>
          <w:rtl/>
        </w:rPr>
        <w:t xml:space="preserve"> מימוש התקציב המתקבל מהקרן לטובת הגברת האכיפה. עוד ציינה כי בשנים 201</w:t>
      </w:r>
      <w:r>
        <w:rPr>
          <w:rFonts w:hint="cs"/>
          <w:rtl/>
        </w:rPr>
        <w:t xml:space="preserve">6 </w:t>
      </w:r>
      <w:r w:rsidRPr="006A4C40">
        <w:rPr>
          <w:rFonts w:hint="cs"/>
          <w:rtl/>
        </w:rPr>
        <w:t>-</w:t>
      </w:r>
      <w:r>
        <w:rPr>
          <w:rFonts w:hint="cs"/>
          <w:rtl/>
        </w:rPr>
        <w:t xml:space="preserve"> </w:t>
      </w:r>
      <w:r w:rsidRPr="006A4C40">
        <w:rPr>
          <w:rFonts w:hint="cs"/>
          <w:rtl/>
        </w:rPr>
        <w:t>201</w:t>
      </w:r>
      <w:r>
        <w:rPr>
          <w:rFonts w:hint="cs"/>
          <w:rtl/>
        </w:rPr>
        <w:t>8 היה</w:t>
      </w:r>
      <w:r w:rsidRPr="006A4C40">
        <w:rPr>
          <w:rFonts w:hint="cs"/>
          <w:rtl/>
        </w:rPr>
        <w:t xml:space="preserve"> </w:t>
      </w:r>
      <w:r>
        <w:rPr>
          <w:rFonts w:hint="cs"/>
          <w:rtl/>
        </w:rPr>
        <w:t>שיעור</w:t>
      </w:r>
      <w:r w:rsidRPr="006A4C40">
        <w:rPr>
          <w:rFonts w:hint="cs"/>
          <w:rtl/>
        </w:rPr>
        <w:t xml:space="preserve"> המימוש בתקציב הקשיח</w:t>
      </w:r>
      <w:r>
        <w:rPr>
          <w:rFonts w:hint="cs"/>
          <w:rtl/>
        </w:rPr>
        <w:t xml:space="preserve"> יותר</w:t>
      </w:r>
      <w:r w:rsidRPr="006A4C40">
        <w:rPr>
          <w:rFonts w:hint="cs"/>
          <w:rtl/>
        </w:rPr>
        <w:t xml:space="preserve"> </w:t>
      </w:r>
      <w:r>
        <w:rPr>
          <w:rFonts w:hint="cs"/>
          <w:rtl/>
        </w:rPr>
        <w:t>מ</w:t>
      </w:r>
      <w:r w:rsidRPr="006A4C40">
        <w:rPr>
          <w:rFonts w:hint="cs"/>
          <w:rtl/>
        </w:rPr>
        <w:t xml:space="preserve">-80%, וכי הפערים במימוש התקציב ההמשכי נובעים מהתמשכות תהליכי העבודה מול גורמים חיצוניים שאינם בשליטת המשטרה. </w:t>
      </w:r>
    </w:p>
    <w:p w14:paraId="6C22A3FE" w14:textId="6A379B87" w:rsidR="00F368B6" w:rsidRPr="00193728" w:rsidRDefault="00F368B6" w:rsidP="00DB357C">
      <w:pPr>
        <w:pStyle w:val="100"/>
        <w:rPr>
          <w:rtl/>
        </w:rPr>
      </w:pPr>
      <w:r w:rsidRPr="006A4C40">
        <w:rPr>
          <w:rFonts w:hint="eastAsia"/>
          <w:rtl/>
        </w:rPr>
        <w:t>בתשובתה</w:t>
      </w:r>
      <w:r>
        <w:rPr>
          <w:rFonts w:hint="cs"/>
          <w:rtl/>
        </w:rPr>
        <w:t xml:space="preserve"> מדצמבר 2019 </w:t>
      </w:r>
      <w:r w:rsidRPr="006A4C40">
        <w:rPr>
          <w:rFonts w:hint="eastAsia"/>
          <w:rtl/>
        </w:rPr>
        <w:t>כתבה</w:t>
      </w:r>
      <w:r w:rsidRPr="006A4C40">
        <w:rPr>
          <w:rtl/>
        </w:rPr>
        <w:t xml:space="preserve"> </w:t>
      </w:r>
      <w:r w:rsidRPr="006A4C40">
        <w:rPr>
          <w:rFonts w:hint="eastAsia"/>
          <w:rtl/>
        </w:rPr>
        <w:t>רשלא</w:t>
      </w:r>
      <w:r w:rsidRPr="006A4C40">
        <w:rPr>
          <w:rtl/>
        </w:rPr>
        <w:t xml:space="preserve">"ה </w:t>
      </w:r>
      <w:r w:rsidRPr="006A4C40">
        <w:rPr>
          <w:rFonts w:hint="eastAsia"/>
          <w:rtl/>
        </w:rPr>
        <w:t>כי</w:t>
      </w:r>
      <w:r w:rsidRPr="006A4C40">
        <w:rPr>
          <w:rtl/>
        </w:rPr>
        <w:t xml:space="preserve"> </w:t>
      </w:r>
      <w:r w:rsidRPr="006A4C40">
        <w:rPr>
          <w:rFonts w:hint="eastAsia"/>
          <w:rtl/>
        </w:rPr>
        <w:t>על</w:t>
      </w:r>
      <w:r w:rsidRPr="006A4C40">
        <w:rPr>
          <w:rtl/>
        </w:rPr>
        <w:t xml:space="preserve"> </w:t>
      </w:r>
      <w:r w:rsidRPr="006A4C40">
        <w:rPr>
          <w:rFonts w:hint="eastAsia"/>
          <w:rtl/>
        </w:rPr>
        <w:t>פי</w:t>
      </w:r>
      <w:r w:rsidRPr="006A4C40">
        <w:rPr>
          <w:rtl/>
        </w:rPr>
        <w:t xml:space="preserve"> </w:t>
      </w:r>
      <w:r w:rsidRPr="006A4C40">
        <w:rPr>
          <w:rFonts w:hint="eastAsia"/>
          <w:rtl/>
        </w:rPr>
        <w:t>המידע</w:t>
      </w:r>
      <w:r w:rsidRPr="006A4C40">
        <w:rPr>
          <w:rtl/>
        </w:rPr>
        <w:t xml:space="preserve"> </w:t>
      </w:r>
      <w:r>
        <w:rPr>
          <w:rFonts w:hint="cs"/>
          <w:rtl/>
        </w:rPr>
        <w:t xml:space="preserve">שמסרה לה </w:t>
      </w:r>
      <w:r w:rsidRPr="006A4C40">
        <w:rPr>
          <w:rFonts w:hint="eastAsia"/>
          <w:rtl/>
        </w:rPr>
        <w:t>יחידת</w:t>
      </w:r>
      <w:r w:rsidRPr="006A4C40">
        <w:rPr>
          <w:rtl/>
        </w:rPr>
        <w:t xml:space="preserve"> </w:t>
      </w:r>
      <w:r w:rsidRPr="006A4C40">
        <w:rPr>
          <w:rFonts w:hint="eastAsia"/>
          <w:rtl/>
        </w:rPr>
        <w:t>החילוט</w:t>
      </w:r>
      <w:r w:rsidRPr="006A4C40">
        <w:rPr>
          <w:rtl/>
        </w:rPr>
        <w:t xml:space="preserve">, </w:t>
      </w:r>
      <w:r w:rsidRPr="006A4C40">
        <w:rPr>
          <w:rFonts w:hint="eastAsia"/>
          <w:rtl/>
        </w:rPr>
        <w:t>התקציב</w:t>
      </w:r>
      <w:r w:rsidRPr="006A4C40">
        <w:rPr>
          <w:rtl/>
        </w:rPr>
        <w:t xml:space="preserve"> </w:t>
      </w:r>
      <w:r w:rsidRPr="006A4C40">
        <w:rPr>
          <w:rFonts w:hint="eastAsia"/>
          <w:rtl/>
        </w:rPr>
        <w:t>שאושר</w:t>
      </w:r>
      <w:r w:rsidRPr="006A4C40">
        <w:rPr>
          <w:rtl/>
        </w:rPr>
        <w:t xml:space="preserve"> </w:t>
      </w:r>
      <w:r w:rsidRPr="006A4C40">
        <w:rPr>
          <w:rFonts w:hint="eastAsia"/>
          <w:rtl/>
        </w:rPr>
        <w:t>לה</w:t>
      </w:r>
      <w:r w:rsidRPr="006A4C40">
        <w:rPr>
          <w:rtl/>
        </w:rPr>
        <w:t xml:space="preserve"> </w:t>
      </w:r>
      <w:r w:rsidRPr="006A4C40">
        <w:rPr>
          <w:rFonts w:hint="eastAsia"/>
          <w:rtl/>
        </w:rPr>
        <w:t>לשנים</w:t>
      </w:r>
      <w:r w:rsidRPr="006A4C40">
        <w:rPr>
          <w:rtl/>
        </w:rPr>
        <w:t xml:space="preserve"> 201</w:t>
      </w:r>
      <w:r>
        <w:rPr>
          <w:rFonts w:hint="cs"/>
          <w:rtl/>
        </w:rPr>
        <w:t xml:space="preserve">6 </w:t>
      </w:r>
      <w:r w:rsidRPr="006A4C40">
        <w:rPr>
          <w:rtl/>
        </w:rPr>
        <w:t>-</w:t>
      </w:r>
      <w:r>
        <w:rPr>
          <w:rFonts w:hint="cs"/>
          <w:rtl/>
        </w:rPr>
        <w:t xml:space="preserve"> </w:t>
      </w:r>
      <w:r w:rsidRPr="006A4C40">
        <w:rPr>
          <w:rtl/>
        </w:rPr>
        <w:t>201</w:t>
      </w:r>
      <w:r>
        <w:rPr>
          <w:rFonts w:hint="cs"/>
          <w:rtl/>
        </w:rPr>
        <w:t>8</w:t>
      </w:r>
      <w:r w:rsidRPr="006A4C40">
        <w:rPr>
          <w:rtl/>
        </w:rPr>
        <w:t xml:space="preserve"> </w:t>
      </w:r>
      <w:r w:rsidRPr="006A4C40">
        <w:rPr>
          <w:rFonts w:hint="eastAsia"/>
          <w:rtl/>
        </w:rPr>
        <w:t>היה</w:t>
      </w:r>
      <w:r w:rsidRPr="006A4C40">
        <w:rPr>
          <w:rtl/>
        </w:rPr>
        <w:t xml:space="preserve">, </w:t>
      </w:r>
      <w:r w:rsidRPr="006A4C40">
        <w:rPr>
          <w:rFonts w:hint="eastAsia"/>
          <w:rtl/>
        </w:rPr>
        <w:t>לכל</w:t>
      </w:r>
      <w:r w:rsidRPr="006A4C40">
        <w:rPr>
          <w:rtl/>
        </w:rPr>
        <w:t xml:space="preserve"> </w:t>
      </w:r>
      <w:r w:rsidRPr="006A4C40">
        <w:rPr>
          <w:rFonts w:hint="eastAsia"/>
          <w:rtl/>
        </w:rPr>
        <w:t>היותר</w:t>
      </w:r>
      <w:r w:rsidRPr="006A4C40">
        <w:rPr>
          <w:rtl/>
        </w:rPr>
        <w:t xml:space="preserve">, 63,781 </w:t>
      </w:r>
      <w:r>
        <w:rPr>
          <w:rFonts w:hint="cs"/>
          <w:rtl/>
        </w:rPr>
        <w:t xml:space="preserve">מיליון </w:t>
      </w:r>
      <w:r w:rsidRPr="006A4C40">
        <w:rPr>
          <w:rFonts w:hint="eastAsia"/>
          <w:rtl/>
        </w:rPr>
        <w:t>ש</w:t>
      </w:r>
      <w:r w:rsidRPr="006A4C40">
        <w:rPr>
          <w:rtl/>
        </w:rPr>
        <w:t xml:space="preserve">"ח. </w:t>
      </w:r>
      <w:r w:rsidRPr="006A4C40">
        <w:rPr>
          <w:rFonts w:hint="eastAsia"/>
          <w:rtl/>
        </w:rPr>
        <w:t>ההסבר</w:t>
      </w:r>
      <w:r w:rsidRPr="006A4C40">
        <w:rPr>
          <w:rtl/>
        </w:rPr>
        <w:t xml:space="preserve"> </w:t>
      </w:r>
      <w:r w:rsidRPr="006A4C40">
        <w:rPr>
          <w:rFonts w:hint="eastAsia"/>
          <w:rtl/>
        </w:rPr>
        <w:t>לפער</w:t>
      </w:r>
      <w:r w:rsidRPr="006A4C40">
        <w:rPr>
          <w:rtl/>
        </w:rPr>
        <w:t xml:space="preserve"> </w:t>
      </w:r>
      <w:r w:rsidRPr="006A4C40">
        <w:rPr>
          <w:rFonts w:hint="eastAsia"/>
          <w:rtl/>
        </w:rPr>
        <w:t>מול</w:t>
      </w:r>
      <w:r w:rsidRPr="006A4C40">
        <w:rPr>
          <w:rtl/>
        </w:rPr>
        <w:t xml:space="preserve"> </w:t>
      </w:r>
      <w:r w:rsidRPr="006A4C40">
        <w:rPr>
          <w:rFonts w:hint="eastAsia"/>
          <w:rtl/>
        </w:rPr>
        <w:t>נתוני</w:t>
      </w:r>
      <w:r w:rsidRPr="006A4C40">
        <w:rPr>
          <w:rtl/>
        </w:rPr>
        <w:t xml:space="preserve"> </w:t>
      </w:r>
      <w:r w:rsidRPr="006A4C40">
        <w:rPr>
          <w:rFonts w:hint="eastAsia"/>
          <w:rtl/>
        </w:rPr>
        <w:t>מועצת</w:t>
      </w:r>
      <w:r w:rsidRPr="006A4C40">
        <w:rPr>
          <w:rtl/>
        </w:rPr>
        <w:t xml:space="preserve"> </w:t>
      </w:r>
      <w:r w:rsidRPr="006A4C40">
        <w:rPr>
          <w:rFonts w:hint="eastAsia"/>
          <w:rtl/>
        </w:rPr>
        <w:t>החילוט</w:t>
      </w:r>
      <w:r>
        <w:rPr>
          <w:rFonts w:hint="cs"/>
          <w:rtl/>
        </w:rPr>
        <w:t xml:space="preserve"> לדברי רשלא"ה</w:t>
      </w:r>
      <w:r w:rsidRPr="006A4C40">
        <w:rPr>
          <w:rtl/>
        </w:rPr>
        <w:t xml:space="preserve"> </w:t>
      </w:r>
      <w:r>
        <w:rPr>
          <w:rFonts w:hint="cs"/>
          <w:rtl/>
        </w:rPr>
        <w:t xml:space="preserve">הוא </w:t>
      </w:r>
      <w:r w:rsidRPr="006A4C40">
        <w:rPr>
          <w:rtl/>
        </w:rPr>
        <w:t xml:space="preserve">"ספירה </w:t>
      </w:r>
      <w:r w:rsidRPr="006A4C40">
        <w:rPr>
          <w:rFonts w:hint="eastAsia"/>
          <w:rtl/>
        </w:rPr>
        <w:t>כפולה</w:t>
      </w:r>
      <w:r w:rsidRPr="006A4C40">
        <w:rPr>
          <w:rtl/>
        </w:rPr>
        <w:t>"</w:t>
      </w:r>
      <w:r>
        <w:rPr>
          <w:rFonts w:hint="cs"/>
          <w:rtl/>
        </w:rPr>
        <w:t>:</w:t>
      </w:r>
      <w:r w:rsidRPr="006A4C40">
        <w:rPr>
          <w:rtl/>
        </w:rPr>
        <w:t xml:space="preserve"> </w:t>
      </w:r>
      <w:r w:rsidRPr="006A4C40">
        <w:rPr>
          <w:rFonts w:hint="eastAsia"/>
          <w:rtl/>
        </w:rPr>
        <w:t>תקציב</w:t>
      </w:r>
      <w:r w:rsidRPr="006A4C40">
        <w:rPr>
          <w:rtl/>
        </w:rPr>
        <w:t xml:space="preserve"> </w:t>
      </w:r>
      <w:r w:rsidRPr="006A4C40">
        <w:rPr>
          <w:rFonts w:hint="eastAsia"/>
          <w:rtl/>
        </w:rPr>
        <w:t>שלא</w:t>
      </w:r>
      <w:r w:rsidRPr="006A4C40">
        <w:rPr>
          <w:rtl/>
        </w:rPr>
        <w:t xml:space="preserve"> </w:t>
      </w:r>
      <w:r w:rsidRPr="006A4C40">
        <w:rPr>
          <w:rFonts w:hint="eastAsia"/>
          <w:rtl/>
        </w:rPr>
        <w:t>נוצל</w:t>
      </w:r>
      <w:r w:rsidRPr="006A4C40">
        <w:rPr>
          <w:rtl/>
        </w:rPr>
        <w:t xml:space="preserve"> </w:t>
      </w:r>
      <w:r w:rsidRPr="006A4C40">
        <w:rPr>
          <w:rFonts w:hint="eastAsia"/>
          <w:rtl/>
        </w:rPr>
        <w:t>ונספר</w:t>
      </w:r>
      <w:r w:rsidRPr="006A4C40">
        <w:rPr>
          <w:rtl/>
        </w:rPr>
        <w:t xml:space="preserve"> </w:t>
      </w:r>
      <w:r w:rsidRPr="006A4C40">
        <w:rPr>
          <w:rFonts w:hint="eastAsia"/>
          <w:rtl/>
        </w:rPr>
        <w:t>בטעות</w:t>
      </w:r>
      <w:r w:rsidRPr="006A4C40">
        <w:rPr>
          <w:rtl/>
        </w:rPr>
        <w:t xml:space="preserve"> </w:t>
      </w:r>
      <w:r w:rsidRPr="006A4C40">
        <w:rPr>
          <w:rFonts w:hint="eastAsia"/>
          <w:rtl/>
        </w:rPr>
        <w:t>כבקשה</w:t>
      </w:r>
      <w:r w:rsidRPr="006A4C40">
        <w:rPr>
          <w:rtl/>
        </w:rPr>
        <w:t xml:space="preserve"> </w:t>
      </w:r>
      <w:r w:rsidRPr="006A4C40">
        <w:rPr>
          <w:rFonts w:hint="eastAsia"/>
          <w:rtl/>
        </w:rPr>
        <w:t>חדשה</w:t>
      </w:r>
      <w:r w:rsidRPr="006A4C40">
        <w:rPr>
          <w:rtl/>
        </w:rPr>
        <w:t xml:space="preserve"> </w:t>
      </w:r>
      <w:r w:rsidRPr="006A4C40">
        <w:rPr>
          <w:rFonts w:hint="eastAsia"/>
          <w:rtl/>
        </w:rPr>
        <w:t>בשנה</w:t>
      </w:r>
      <w:r w:rsidRPr="006A4C40">
        <w:rPr>
          <w:rtl/>
        </w:rPr>
        <w:t xml:space="preserve"> </w:t>
      </w:r>
      <w:r w:rsidRPr="006A4C40">
        <w:rPr>
          <w:rFonts w:hint="eastAsia"/>
          <w:rtl/>
        </w:rPr>
        <w:t>העוקבת</w:t>
      </w:r>
      <w:r w:rsidRPr="006A4C40">
        <w:rPr>
          <w:rtl/>
        </w:rPr>
        <w:t xml:space="preserve">. </w:t>
      </w:r>
      <w:r w:rsidRPr="006A4C40">
        <w:rPr>
          <w:rFonts w:hint="eastAsia"/>
          <w:rtl/>
        </w:rPr>
        <w:t>כפועל</w:t>
      </w:r>
      <w:r w:rsidRPr="006A4C40">
        <w:rPr>
          <w:rtl/>
        </w:rPr>
        <w:t xml:space="preserve"> </w:t>
      </w:r>
      <w:r w:rsidRPr="006A4C40">
        <w:rPr>
          <w:rFonts w:hint="eastAsia"/>
          <w:rtl/>
        </w:rPr>
        <w:t>יוצא</w:t>
      </w:r>
      <w:r>
        <w:rPr>
          <w:rFonts w:hint="cs"/>
          <w:rtl/>
        </w:rPr>
        <w:t>,</w:t>
      </w:r>
      <w:r w:rsidRPr="006A4C40">
        <w:rPr>
          <w:rtl/>
        </w:rPr>
        <w:t xml:space="preserve"> </w:t>
      </w:r>
      <w:r w:rsidRPr="006A4C40">
        <w:rPr>
          <w:rFonts w:hint="eastAsia"/>
          <w:rtl/>
        </w:rPr>
        <w:t>החלק</w:t>
      </w:r>
      <w:r w:rsidRPr="006A4C40">
        <w:rPr>
          <w:rtl/>
        </w:rPr>
        <w:t xml:space="preserve"> </w:t>
      </w:r>
      <w:r w:rsidRPr="006A4C40">
        <w:rPr>
          <w:rFonts w:hint="eastAsia"/>
          <w:rtl/>
        </w:rPr>
        <w:t>מתקציב</w:t>
      </w:r>
      <w:r w:rsidRPr="006A4C40">
        <w:rPr>
          <w:rtl/>
        </w:rPr>
        <w:t xml:space="preserve"> </w:t>
      </w:r>
      <w:r w:rsidRPr="006A4C40">
        <w:rPr>
          <w:rFonts w:hint="eastAsia"/>
          <w:rtl/>
        </w:rPr>
        <w:t>קרן</w:t>
      </w:r>
      <w:r w:rsidRPr="006A4C40">
        <w:rPr>
          <w:rtl/>
        </w:rPr>
        <w:t xml:space="preserve"> </w:t>
      </w:r>
      <w:r w:rsidRPr="006A4C40">
        <w:rPr>
          <w:rFonts w:hint="eastAsia"/>
          <w:rtl/>
        </w:rPr>
        <w:t>החילוט</w:t>
      </w:r>
      <w:r w:rsidRPr="006A4C40">
        <w:rPr>
          <w:rtl/>
        </w:rPr>
        <w:t xml:space="preserve"> </w:t>
      </w:r>
      <w:r w:rsidRPr="006A4C40">
        <w:rPr>
          <w:rFonts w:hint="eastAsia"/>
          <w:rtl/>
        </w:rPr>
        <w:t>שקיבלה</w:t>
      </w:r>
      <w:r w:rsidRPr="006A4C40">
        <w:rPr>
          <w:rtl/>
        </w:rPr>
        <w:t xml:space="preserve"> </w:t>
      </w:r>
      <w:r w:rsidRPr="006A4C40">
        <w:rPr>
          <w:rFonts w:hint="eastAsia"/>
          <w:rtl/>
        </w:rPr>
        <w:t>רשלא</w:t>
      </w:r>
      <w:r w:rsidRPr="006A4C40">
        <w:rPr>
          <w:rtl/>
        </w:rPr>
        <w:t xml:space="preserve">"ה </w:t>
      </w:r>
      <w:r w:rsidRPr="006A4C40">
        <w:rPr>
          <w:rFonts w:hint="eastAsia"/>
          <w:rtl/>
        </w:rPr>
        <w:t>היה</w:t>
      </w:r>
      <w:r w:rsidRPr="006A4C40">
        <w:rPr>
          <w:rtl/>
        </w:rPr>
        <w:t xml:space="preserve"> </w:t>
      </w:r>
      <w:r w:rsidRPr="006A4C40">
        <w:rPr>
          <w:rFonts w:hint="eastAsia"/>
          <w:rtl/>
        </w:rPr>
        <w:t>נמוך</w:t>
      </w:r>
      <w:r w:rsidRPr="006A4C40">
        <w:rPr>
          <w:rtl/>
        </w:rPr>
        <w:t xml:space="preserve"> </w:t>
      </w:r>
      <w:r w:rsidRPr="006A4C40">
        <w:rPr>
          <w:rFonts w:hint="eastAsia"/>
          <w:rtl/>
        </w:rPr>
        <w:t>מ</w:t>
      </w:r>
      <w:r w:rsidRPr="006A4C40">
        <w:rPr>
          <w:rtl/>
        </w:rPr>
        <w:t xml:space="preserve">-20%, </w:t>
      </w:r>
      <w:r w:rsidRPr="006A4C40">
        <w:rPr>
          <w:rFonts w:hint="eastAsia"/>
          <w:rtl/>
        </w:rPr>
        <w:t>וה</w:t>
      </w:r>
      <w:r>
        <w:rPr>
          <w:rFonts w:hint="cs"/>
          <w:rtl/>
        </w:rPr>
        <w:t xml:space="preserve">יא </w:t>
      </w:r>
      <w:r w:rsidRPr="006A4C40">
        <w:rPr>
          <w:rFonts w:hint="eastAsia"/>
          <w:rtl/>
        </w:rPr>
        <w:t>ניצלה</w:t>
      </w:r>
      <w:r w:rsidRPr="006A4C40">
        <w:rPr>
          <w:rtl/>
        </w:rPr>
        <w:t xml:space="preserve"> </w:t>
      </w:r>
      <w:r w:rsidRPr="006A4C40">
        <w:rPr>
          <w:rFonts w:hint="eastAsia"/>
          <w:rtl/>
        </w:rPr>
        <w:t>באות</w:t>
      </w:r>
      <w:r>
        <w:rPr>
          <w:rFonts w:hint="cs"/>
          <w:rtl/>
        </w:rPr>
        <w:t>ן</w:t>
      </w:r>
      <w:r w:rsidRPr="006A4C40">
        <w:rPr>
          <w:rtl/>
        </w:rPr>
        <w:t xml:space="preserve"> </w:t>
      </w:r>
      <w:r w:rsidRPr="006A4C40">
        <w:rPr>
          <w:rFonts w:hint="eastAsia"/>
          <w:rtl/>
        </w:rPr>
        <w:t>שנים</w:t>
      </w:r>
      <w:r w:rsidRPr="006A4C40">
        <w:rPr>
          <w:rtl/>
        </w:rPr>
        <w:t xml:space="preserve"> 48.5%</w:t>
      </w:r>
      <w:r>
        <w:rPr>
          <w:rFonts w:hint="cs"/>
          <w:rtl/>
        </w:rPr>
        <w:t xml:space="preserve"> ממנו</w:t>
      </w:r>
      <w:r w:rsidRPr="006A4C40">
        <w:rPr>
          <w:rtl/>
        </w:rPr>
        <w:t>.</w:t>
      </w:r>
      <w:r>
        <w:rPr>
          <w:rFonts w:hint="cs"/>
          <w:rtl/>
        </w:rPr>
        <w:t xml:space="preserve"> היא הוסיפה כי אחת הסיבות המרכזיות לאי-ביצוע מלוא התקציב בשנת הקצאתו היא הליכי רכש ארוכים במסגרת הליכי הרכש המכרזי שהרשות כפופה להם. נכון למועד סיום הביקורת לא יושבה המחלוקת בין רשלא"ה ובין מועצת החילוט ביחס לנתונים האמורים וראוי כי הגופים יפעלו ליישבה.</w:t>
      </w:r>
    </w:p>
    <w:p w14:paraId="228FFECE" w14:textId="77777777" w:rsidR="00F368B6" w:rsidRPr="002A1C9D" w:rsidRDefault="00F368B6" w:rsidP="00DB357C">
      <w:pPr>
        <w:pStyle w:val="414"/>
        <w:rPr>
          <w:rtl/>
        </w:rPr>
      </w:pPr>
      <w:r>
        <w:rPr>
          <w:rFonts w:hint="cs"/>
          <w:rtl/>
        </w:rPr>
        <w:t>עידוד</w:t>
      </w:r>
      <w:r w:rsidRPr="002A1C9D">
        <w:rPr>
          <w:rtl/>
        </w:rPr>
        <w:t xml:space="preserve"> </w:t>
      </w:r>
      <w:r w:rsidRPr="002A1C9D">
        <w:rPr>
          <w:rFonts w:hint="eastAsia"/>
          <w:rtl/>
        </w:rPr>
        <w:t>ת</w:t>
      </w:r>
      <w:r>
        <w:rPr>
          <w:rFonts w:hint="cs"/>
          <w:rtl/>
        </w:rPr>
        <w:t>ו</w:t>
      </w:r>
      <w:r w:rsidRPr="002A1C9D">
        <w:rPr>
          <w:rFonts w:hint="eastAsia"/>
          <w:rtl/>
        </w:rPr>
        <w:t>כנית</w:t>
      </w:r>
      <w:r w:rsidRPr="002A1C9D">
        <w:rPr>
          <w:rtl/>
        </w:rPr>
        <w:t xml:space="preserve"> </w:t>
      </w:r>
      <w:r w:rsidRPr="002A1C9D">
        <w:rPr>
          <w:rFonts w:hint="eastAsia"/>
          <w:rtl/>
        </w:rPr>
        <w:t>עבודה</w:t>
      </w:r>
      <w:r w:rsidRPr="002A1C9D">
        <w:rPr>
          <w:rtl/>
        </w:rPr>
        <w:t xml:space="preserve"> </w:t>
      </w:r>
      <w:r w:rsidRPr="002A1C9D">
        <w:rPr>
          <w:rFonts w:hint="eastAsia"/>
          <w:rtl/>
        </w:rPr>
        <w:t>משותפת</w:t>
      </w:r>
      <w:r w:rsidRPr="002A1C9D">
        <w:rPr>
          <w:rtl/>
        </w:rPr>
        <w:t xml:space="preserve"> </w:t>
      </w:r>
      <w:r>
        <w:rPr>
          <w:rFonts w:hint="cs"/>
          <w:rtl/>
        </w:rPr>
        <w:t>של</w:t>
      </w:r>
      <w:r w:rsidRPr="002A1C9D">
        <w:rPr>
          <w:rtl/>
        </w:rPr>
        <w:t xml:space="preserve"> הגופים המתוקצבים</w:t>
      </w:r>
    </w:p>
    <w:p w14:paraId="6535E658" w14:textId="77777777" w:rsidR="00F368B6" w:rsidRPr="002A1C9D" w:rsidRDefault="00F368B6" w:rsidP="00DB357C">
      <w:pPr>
        <w:pStyle w:val="100"/>
        <w:rPr>
          <w:rtl/>
        </w:rPr>
      </w:pPr>
      <w:r w:rsidRPr="002A1C9D">
        <w:rPr>
          <w:rFonts w:hint="cs"/>
          <w:rtl/>
        </w:rPr>
        <w:t>הגופים המתוקצבים</w:t>
      </w:r>
      <w:r>
        <w:rPr>
          <w:rFonts w:hint="cs"/>
          <w:rtl/>
        </w:rPr>
        <w:t xml:space="preserve"> הגישו בקשות לתר"ש משותפות לשנים 2012 - 2015 ולשנים 2016 - 2019, וכל גוף הגיש בנפרד את הבקשות השנתיות המהוות נגזרת של התוכנית המשותפת. תר"ש 2020 - 2023 הוגשה בנפרד על ידי כל אחד מהגופים</w:t>
      </w:r>
      <w:r w:rsidRPr="002A1C9D">
        <w:rPr>
          <w:rFonts w:hint="cs"/>
          <w:rtl/>
        </w:rPr>
        <w:t>, בל</w:t>
      </w:r>
      <w:r>
        <w:rPr>
          <w:rFonts w:hint="cs"/>
          <w:rtl/>
        </w:rPr>
        <w:t>א</w:t>
      </w:r>
      <w:r w:rsidRPr="002A1C9D">
        <w:rPr>
          <w:rFonts w:hint="cs"/>
          <w:rtl/>
        </w:rPr>
        <w:t xml:space="preserve"> דיון מקדים </w:t>
      </w:r>
      <w:r>
        <w:rPr>
          <w:rFonts w:hint="cs"/>
          <w:rtl/>
        </w:rPr>
        <w:t xml:space="preserve">ביניהם </w:t>
      </w:r>
      <w:r w:rsidRPr="002A1C9D">
        <w:rPr>
          <w:rFonts w:hint="cs"/>
          <w:rtl/>
        </w:rPr>
        <w:t xml:space="preserve">לצורך תעדוף נושאי הבקשות בראייה כוללת. </w:t>
      </w:r>
    </w:p>
    <w:p w14:paraId="30EAE5C6" w14:textId="77777777" w:rsidR="00F368B6" w:rsidRDefault="00F368B6" w:rsidP="00DB357C">
      <w:pPr>
        <w:pStyle w:val="af1"/>
        <w:rPr>
          <w:rtl/>
        </w:rPr>
      </w:pPr>
      <w:r w:rsidRPr="002A1C9D">
        <w:rPr>
          <w:rFonts w:hint="cs"/>
          <w:rtl/>
        </w:rPr>
        <w:t>החלטת הממשלה נועדה להגביר התוו</w:t>
      </w:r>
      <w:r>
        <w:rPr>
          <w:rFonts w:hint="cs"/>
          <w:rtl/>
        </w:rPr>
        <w:t>י</w:t>
      </w:r>
      <w:r w:rsidRPr="002A1C9D">
        <w:rPr>
          <w:rFonts w:hint="cs"/>
          <w:rtl/>
        </w:rPr>
        <w:t xml:space="preserve">ית מדיניות ויעדים משותפים לגופי האכיפה. </w:t>
      </w:r>
      <w:r>
        <w:rPr>
          <w:rFonts w:hint="cs"/>
          <w:rtl/>
        </w:rPr>
        <w:t>העובדה כי</w:t>
      </w:r>
      <w:r w:rsidRPr="002A1C9D">
        <w:rPr>
          <w:rFonts w:hint="cs"/>
          <w:rtl/>
        </w:rPr>
        <w:t xml:space="preserve"> בקשות</w:t>
      </w:r>
      <w:r>
        <w:rPr>
          <w:rFonts w:hint="cs"/>
          <w:rtl/>
        </w:rPr>
        <w:t>יהם</w:t>
      </w:r>
      <w:r w:rsidRPr="002A1C9D">
        <w:rPr>
          <w:rFonts w:hint="cs"/>
          <w:rtl/>
        </w:rPr>
        <w:t xml:space="preserve"> </w:t>
      </w:r>
      <w:r>
        <w:rPr>
          <w:rFonts w:hint="cs"/>
          <w:rtl/>
        </w:rPr>
        <w:t xml:space="preserve">של הגופים המתוקצבים </w:t>
      </w:r>
      <w:r w:rsidRPr="002A1C9D">
        <w:rPr>
          <w:rFonts w:hint="cs"/>
          <w:rtl/>
        </w:rPr>
        <w:t xml:space="preserve">נפרדות מחייבת את מועצת החילוט לבחור </w:t>
      </w:r>
      <w:r>
        <w:rPr>
          <w:rFonts w:hint="cs"/>
          <w:rtl/>
        </w:rPr>
        <w:t xml:space="preserve">ביניהן </w:t>
      </w:r>
      <w:r w:rsidRPr="002A1C9D">
        <w:rPr>
          <w:rFonts w:hint="cs"/>
          <w:rtl/>
        </w:rPr>
        <w:t>ולתעדף א</w:t>
      </w:r>
      <w:r>
        <w:rPr>
          <w:rFonts w:hint="cs"/>
          <w:rtl/>
        </w:rPr>
        <w:t>ו</w:t>
      </w:r>
      <w:r w:rsidRPr="002A1C9D">
        <w:rPr>
          <w:rFonts w:hint="cs"/>
          <w:rtl/>
        </w:rPr>
        <w:t>ת</w:t>
      </w:r>
      <w:r>
        <w:rPr>
          <w:rFonts w:hint="cs"/>
          <w:rtl/>
        </w:rPr>
        <w:t>ן</w:t>
      </w:r>
      <w:r w:rsidRPr="002A1C9D">
        <w:rPr>
          <w:rFonts w:hint="cs"/>
          <w:rtl/>
        </w:rPr>
        <w:t>. על הגופים המתוקצבים ל</w:t>
      </w:r>
      <w:r>
        <w:rPr>
          <w:rFonts w:hint="cs"/>
          <w:rtl/>
        </w:rPr>
        <w:t xml:space="preserve">שקול גיבוש תוכנית עבודה משותפת אשר תשלב בין הפרויקטים השונים. </w:t>
      </w:r>
    </w:p>
    <w:p w14:paraId="7427BFC9" w14:textId="17AC5559" w:rsidR="00F368B6" w:rsidRDefault="00F368B6" w:rsidP="00DB357C">
      <w:pPr>
        <w:pStyle w:val="100"/>
        <w:rPr>
          <w:rtl/>
        </w:rPr>
      </w:pPr>
      <w:r>
        <w:rPr>
          <w:rFonts w:hint="cs"/>
          <w:rtl/>
        </w:rPr>
        <w:t>המשטרה כתבה בתשובתה כי בשנים</w:t>
      </w:r>
      <w:r w:rsidR="00C44F8F">
        <w:rPr>
          <w:rFonts w:hint="cs"/>
          <w:rtl/>
        </w:rPr>
        <w:t xml:space="preserve"> 2016 </w:t>
      </w:r>
      <w:r w:rsidR="00F74B5E">
        <w:rPr>
          <w:rFonts w:hint="cs"/>
          <w:rtl/>
        </w:rPr>
        <w:t>-</w:t>
      </w:r>
      <w:r w:rsidR="00C44F8F">
        <w:rPr>
          <w:rFonts w:hint="cs"/>
          <w:rtl/>
        </w:rPr>
        <w:t xml:space="preserve"> 2019 </w:t>
      </w:r>
      <w:r>
        <w:rPr>
          <w:rFonts w:hint="cs"/>
          <w:rtl/>
        </w:rPr>
        <w:t xml:space="preserve">הוגש תר"ש אחוד ומתוכלל של כל הגופים. עם זאת כל גוף מגיש למועצה בקשות פרטניות לאותה השנה. המשטרה מתעדפת את בקשותיה מול הצורך העולה בדיונים בהשתתפות כלל הגופים. כמו כן, קיימים פרויקטים משותפים לגופי האכיפה, כגון כוחות משימה; פרויקטים טכנולוגיים כדוגמת כריית מידע, המשותפים למשטרה ולרשלא"ה; ויצירת תיק חקירה דיגיטלי באמצעות חיבור המערכות הטכנולוגיות בין המשטרה לפרקליטות. </w:t>
      </w:r>
    </w:p>
    <w:p w14:paraId="67EB0021" w14:textId="513B1507" w:rsidR="00F368B6" w:rsidRPr="00CC1A3E" w:rsidRDefault="00F368B6" w:rsidP="00DB357C">
      <w:pPr>
        <w:pStyle w:val="af1"/>
        <w:rPr>
          <w:rtl/>
        </w:rPr>
      </w:pPr>
      <w:r>
        <w:rPr>
          <w:rFonts w:hint="cs"/>
          <w:rtl/>
        </w:rPr>
        <w:lastRenderedPageBreak/>
        <w:t>משרד מבקר המדינה ממליץ לגופים המתוקצבים ולמועצת החילוט לבחון תעדוף ל</w:t>
      </w:r>
      <w:r w:rsidRPr="00CC1A3E">
        <w:rPr>
          <w:rtl/>
        </w:rPr>
        <w:t>פרויקטים טכנולוגיים משותפים שישרתו את כלל הגופים</w:t>
      </w:r>
      <w:r>
        <w:rPr>
          <w:rFonts w:hint="cs"/>
          <w:rtl/>
        </w:rPr>
        <w:t>.</w:t>
      </w:r>
    </w:p>
    <w:p w14:paraId="2D47FEAB" w14:textId="77777777" w:rsidR="00F368B6" w:rsidRPr="002A1C9D" w:rsidRDefault="00F368B6" w:rsidP="00DB357C">
      <w:pPr>
        <w:pStyle w:val="414"/>
        <w:rPr>
          <w:rtl/>
        </w:rPr>
      </w:pPr>
      <w:r w:rsidRPr="006F29A9">
        <w:rPr>
          <w:rFonts w:hint="cs"/>
          <w:rtl/>
        </w:rPr>
        <w:t>החשש</w:t>
      </w:r>
      <w:r w:rsidRPr="006F29A9">
        <w:rPr>
          <w:rtl/>
        </w:rPr>
        <w:t xml:space="preserve"> </w:t>
      </w:r>
      <w:r w:rsidRPr="006F29A9">
        <w:rPr>
          <w:rFonts w:hint="cs"/>
          <w:rtl/>
        </w:rPr>
        <w:t>מג</w:t>
      </w:r>
      <w:r>
        <w:rPr>
          <w:rFonts w:hint="cs"/>
          <w:rtl/>
        </w:rPr>
        <w:t>י</w:t>
      </w:r>
      <w:r w:rsidRPr="006F29A9">
        <w:rPr>
          <w:rFonts w:hint="cs"/>
          <w:rtl/>
        </w:rPr>
        <w:t>רעון</w:t>
      </w:r>
      <w:r w:rsidRPr="006F29A9">
        <w:rPr>
          <w:rtl/>
        </w:rPr>
        <w:t xml:space="preserve"> </w:t>
      </w:r>
      <w:r w:rsidRPr="006F29A9">
        <w:rPr>
          <w:rFonts w:hint="cs"/>
          <w:rtl/>
        </w:rPr>
        <w:t>בקרן</w:t>
      </w:r>
      <w:r w:rsidRPr="006F29A9">
        <w:rPr>
          <w:rtl/>
        </w:rPr>
        <w:t xml:space="preserve"> </w:t>
      </w:r>
      <w:r w:rsidRPr="006F29A9">
        <w:rPr>
          <w:rFonts w:hint="cs"/>
          <w:rtl/>
        </w:rPr>
        <w:t>החילוט</w:t>
      </w:r>
    </w:p>
    <w:p w14:paraId="636A9AD5" w14:textId="77777777" w:rsidR="00F368B6" w:rsidRPr="002A1C9D" w:rsidRDefault="00F368B6" w:rsidP="00DB357C">
      <w:pPr>
        <w:pStyle w:val="100"/>
        <w:rPr>
          <w:rtl/>
        </w:rPr>
      </w:pPr>
      <w:r w:rsidRPr="002A1C9D">
        <w:rPr>
          <w:rFonts w:hint="cs"/>
          <w:rtl/>
        </w:rPr>
        <w:t xml:space="preserve">כספים המחולטים על פי חוק איסור הלבנת הון מופקדים בקרן </w:t>
      </w:r>
      <w:r>
        <w:rPr>
          <w:rFonts w:hint="cs"/>
          <w:rtl/>
        </w:rPr>
        <w:t>ה</w:t>
      </w:r>
      <w:r w:rsidRPr="002A1C9D">
        <w:rPr>
          <w:rFonts w:hint="cs"/>
          <w:rtl/>
        </w:rPr>
        <w:t xml:space="preserve">חילוט </w:t>
      </w:r>
      <w:r>
        <w:rPr>
          <w:rFonts w:hint="cs"/>
          <w:rtl/>
        </w:rPr>
        <w:t>ש</w:t>
      </w:r>
      <w:r w:rsidRPr="002A1C9D">
        <w:rPr>
          <w:rFonts w:hint="cs"/>
          <w:rtl/>
        </w:rPr>
        <w:t xml:space="preserve">מנהל האפ"כ. להלן בתרשים </w:t>
      </w:r>
      <w:r>
        <w:rPr>
          <w:rFonts w:hint="cs"/>
          <w:rtl/>
        </w:rPr>
        <w:t xml:space="preserve">5 </w:t>
      </w:r>
      <w:r w:rsidRPr="002A1C9D">
        <w:rPr>
          <w:rFonts w:hint="cs"/>
          <w:rtl/>
        </w:rPr>
        <w:t>נתונים על התקבולים בקרן מ</w:t>
      </w:r>
      <w:r>
        <w:rPr>
          <w:rFonts w:hint="cs"/>
          <w:rtl/>
        </w:rPr>
        <w:t>-</w:t>
      </w:r>
      <w:r w:rsidRPr="002A1C9D">
        <w:rPr>
          <w:rFonts w:hint="cs"/>
          <w:rtl/>
        </w:rPr>
        <w:t>2015 עד 2018 ותחזית התק</w:t>
      </w:r>
      <w:r w:rsidRPr="008B1BE3">
        <w:rPr>
          <w:rFonts w:hint="cs"/>
          <w:rtl/>
        </w:rPr>
        <w:t>בולים עד 2022</w:t>
      </w:r>
      <w:r w:rsidRPr="008B1BE3">
        <w:rPr>
          <w:vertAlign w:val="superscript"/>
          <w:rtl/>
        </w:rPr>
        <w:footnoteReference w:id="39"/>
      </w:r>
      <w:r w:rsidRPr="008B1BE3">
        <w:rPr>
          <w:rFonts w:hint="cs"/>
          <w:rtl/>
        </w:rPr>
        <w:t>.</w:t>
      </w:r>
    </w:p>
    <w:p w14:paraId="0BC2C276" w14:textId="77777777" w:rsidR="00F368B6" w:rsidRDefault="00F368B6" w:rsidP="00F368B6">
      <w:pPr>
        <w:spacing w:line="269" w:lineRule="auto"/>
        <w:jc w:val="center"/>
        <w:rPr>
          <w:b/>
          <w:bCs/>
          <w:rtl/>
        </w:rPr>
      </w:pPr>
    </w:p>
    <w:p w14:paraId="49AADD9E" w14:textId="13FF006F" w:rsidR="00F368B6" w:rsidRPr="00DB357C" w:rsidRDefault="00F368B6" w:rsidP="00DB357C">
      <w:pPr>
        <w:pStyle w:val="a6"/>
        <w:rPr>
          <w:b/>
          <w:bCs/>
          <w:rtl/>
        </w:rPr>
      </w:pPr>
      <w:r w:rsidRPr="002A1C9D">
        <w:rPr>
          <w:rFonts w:hint="cs"/>
          <w:rtl/>
        </w:rPr>
        <w:t>תרשים</w:t>
      </w:r>
      <w:r w:rsidRPr="002A1C9D">
        <w:rPr>
          <w:rFonts w:hint="cs"/>
        </w:rPr>
        <w:t xml:space="preserve"> </w:t>
      </w:r>
      <w:r>
        <w:rPr>
          <w:rFonts w:hint="cs"/>
          <w:rtl/>
        </w:rPr>
        <w:t>5</w:t>
      </w:r>
      <w:r w:rsidRPr="002A1C9D">
        <w:rPr>
          <w:rFonts w:hint="cs"/>
          <w:rtl/>
        </w:rPr>
        <w:t xml:space="preserve">: </w:t>
      </w:r>
      <w:r w:rsidRPr="00DB357C">
        <w:rPr>
          <w:rFonts w:hint="cs"/>
          <w:b/>
          <w:bCs/>
          <w:rtl/>
        </w:rPr>
        <w:t>תקבולים שנתיים של קרן החילוט בשנים 2015 - 2018 ותחזית תקבולים שנתיים עד שנת 2022 (באלפי ש"ח)</w:t>
      </w:r>
    </w:p>
    <w:p w14:paraId="3B04CB71" w14:textId="77777777" w:rsidR="00F368B6" w:rsidRPr="002A1C9D" w:rsidRDefault="00F368B6" w:rsidP="00F368B6">
      <w:pPr>
        <w:spacing w:line="269" w:lineRule="auto"/>
        <w:rPr>
          <w:rtl/>
        </w:rPr>
      </w:pPr>
      <w:r w:rsidRPr="002A1C9D">
        <w:rPr>
          <w:noProof/>
          <w:rtl/>
        </w:rPr>
        <w:drawing>
          <wp:inline distT="0" distB="0" distL="0" distR="0" wp14:anchorId="75BFA175" wp14:editId="53A1ED6E">
            <wp:extent cx="5219205" cy="3016332"/>
            <wp:effectExtent l="0" t="0" r="635" b="12700"/>
            <wp:docPr id="6" name="תרשים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FD8E1C" w14:textId="77777777" w:rsidR="00F368B6" w:rsidRPr="00E630B3" w:rsidRDefault="00F368B6" w:rsidP="00B069B1">
      <w:pPr>
        <w:pStyle w:val="a8"/>
        <w:rPr>
          <w:rtl/>
        </w:rPr>
      </w:pPr>
      <w:r w:rsidRPr="00E630B3">
        <w:rPr>
          <w:rFonts w:hint="cs"/>
          <w:rtl/>
        </w:rPr>
        <w:t xml:space="preserve">מקור: </w:t>
      </w:r>
      <w:r w:rsidRPr="00E630B3">
        <w:rPr>
          <w:rFonts w:hint="eastAsia"/>
          <w:rtl/>
        </w:rPr>
        <w:t>על</w:t>
      </w:r>
      <w:r w:rsidRPr="00E630B3">
        <w:rPr>
          <w:rtl/>
        </w:rPr>
        <w:t xml:space="preserve"> פי נתוני </w:t>
      </w:r>
      <w:r w:rsidRPr="00E630B3">
        <w:rPr>
          <w:rFonts w:hint="eastAsia"/>
          <w:rtl/>
        </w:rPr>
        <w:t>האפ</w:t>
      </w:r>
      <w:r w:rsidRPr="00E630B3">
        <w:rPr>
          <w:rtl/>
        </w:rPr>
        <w:t>"כ ומשרד האוצר</w:t>
      </w:r>
      <w:r w:rsidRPr="00E630B3">
        <w:rPr>
          <w:rFonts w:hint="cs"/>
          <w:rtl/>
        </w:rPr>
        <w:t>,</w:t>
      </w:r>
      <w:r w:rsidRPr="00E630B3">
        <w:rPr>
          <w:rtl/>
        </w:rPr>
        <w:t xml:space="preserve"> בעיבוד משרד מבקר המדינה</w:t>
      </w:r>
      <w:r w:rsidRPr="00E630B3">
        <w:rPr>
          <w:rFonts w:hint="cs"/>
          <w:rtl/>
        </w:rPr>
        <w:t>.</w:t>
      </w:r>
    </w:p>
    <w:p w14:paraId="37419CC4" w14:textId="63C4A69B" w:rsidR="00F368B6" w:rsidRPr="00E630B3" w:rsidRDefault="00F368B6" w:rsidP="00B069B1">
      <w:pPr>
        <w:pStyle w:val="af5"/>
      </w:pPr>
      <w:r w:rsidRPr="00E630B3">
        <w:rPr>
          <w:rtl/>
        </w:rPr>
        <w:t xml:space="preserve">* </w:t>
      </w:r>
      <w:r w:rsidR="00B069B1">
        <w:rPr>
          <w:rtl/>
        </w:rPr>
        <w:tab/>
      </w:r>
      <w:r w:rsidRPr="00E630B3">
        <w:rPr>
          <w:rFonts w:hint="eastAsia"/>
          <w:rtl/>
        </w:rPr>
        <w:t>בהתאם</w:t>
      </w:r>
      <w:r w:rsidRPr="00E630B3">
        <w:rPr>
          <w:rtl/>
        </w:rPr>
        <w:t xml:space="preserve"> </w:t>
      </w:r>
      <w:r w:rsidRPr="00E630B3">
        <w:rPr>
          <w:rFonts w:hint="eastAsia"/>
          <w:rtl/>
        </w:rPr>
        <w:t>לתחזית</w:t>
      </w:r>
      <w:r w:rsidRPr="00E630B3">
        <w:rPr>
          <w:rtl/>
        </w:rPr>
        <w:t xml:space="preserve"> </w:t>
      </w:r>
      <w:r w:rsidRPr="00E630B3">
        <w:rPr>
          <w:rFonts w:hint="eastAsia"/>
          <w:rtl/>
        </w:rPr>
        <w:t>תקבולים</w:t>
      </w:r>
      <w:r w:rsidRPr="00E630B3">
        <w:rPr>
          <w:rtl/>
        </w:rPr>
        <w:t xml:space="preserve"> </w:t>
      </w:r>
      <w:r w:rsidRPr="00E630B3">
        <w:rPr>
          <w:rFonts w:hint="eastAsia"/>
          <w:rtl/>
        </w:rPr>
        <w:t>שנתית</w:t>
      </w:r>
      <w:r w:rsidRPr="00E630B3">
        <w:rPr>
          <w:rtl/>
        </w:rPr>
        <w:t xml:space="preserve"> </w:t>
      </w:r>
      <w:r w:rsidRPr="00E630B3">
        <w:rPr>
          <w:rFonts w:hint="eastAsia"/>
          <w:rtl/>
        </w:rPr>
        <w:t>לשנים</w:t>
      </w:r>
      <w:r w:rsidRPr="00E630B3">
        <w:rPr>
          <w:rtl/>
        </w:rPr>
        <w:t xml:space="preserve"> 2019 </w:t>
      </w:r>
      <w:r w:rsidRPr="00E630B3">
        <w:rPr>
          <w:rFonts w:hint="eastAsia"/>
          <w:rtl/>
        </w:rPr>
        <w:t>עד</w:t>
      </w:r>
      <w:r w:rsidRPr="00E630B3">
        <w:rPr>
          <w:rtl/>
        </w:rPr>
        <w:t xml:space="preserve"> 2022 </w:t>
      </w:r>
      <w:r w:rsidRPr="00E630B3">
        <w:rPr>
          <w:rFonts w:hint="eastAsia"/>
          <w:rtl/>
        </w:rPr>
        <w:t>של</w:t>
      </w:r>
      <w:r w:rsidRPr="00E630B3">
        <w:rPr>
          <w:rtl/>
        </w:rPr>
        <w:t xml:space="preserve"> </w:t>
      </w:r>
      <w:r w:rsidRPr="00E630B3">
        <w:rPr>
          <w:rFonts w:hint="eastAsia"/>
          <w:rtl/>
        </w:rPr>
        <w:t>נציג</w:t>
      </w:r>
      <w:r w:rsidRPr="00E630B3">
        <w:rPr>
          <w:rtl/>
        </w:rPr>
        <w:t xml:space="preserve"> </w:t>
      </w:r>
      <w:r w:rsidRPr="00E630B3">
        <w:rPr>
          <w:rFonts w:hint="eastAsia"/>
          <w:rtl/>
        </w:rPr>
        <w:t>שר</w:t>
      </w:r>
      <w:r w:rsidRPr="00E630B3">
        <w:rPr>
          <w:rtl/>
        </w:rPr>
        <w:t xml:space="preserve"> </w:t>
      </w:r>
      <w:r w:rsidRPr="00E630B3">
        <w:rPr>
          <w:rFonts w:hint="eastAsia"/>
          <w:rtl/>
        </w:rPr>
        <w:t>האוצר</w:t>
      </w:r>
      <w:r w:rsidRPr="00E630B3">
        <w:rPr>
          <w:rtl/>
        </w:rPr>
        <w:t xml:space="preserve"> </w:t>
      </w:r>
      <w:r w:rsidRPr="00E630B3">
        <w:rPr>
          <w:rFonts w:hint="eastAsia"/>
          <w:rtl/>
        </w:rPr>
        <w:t>במועצת</w:t>
      </w:r>
      <w:r w:rsidRPr="00E630B3">
        <w:rPr>
          <w:rtl/>
        </w:rPr>
        <w:t xml:space="preserve"> </w:t>
      </w:r>
      <w:r w:rsidRPr="00E630B3">
        <w:rPr>
          <w:rFonts w:hint="eastAsia"/>
          <w:rtl/>
        </w:rPr>
        <w:t>החילוט</w:t>
      </w:r>
      <w:r w:rsidRPr="00E630B3">
        <w:rPr>
          <w:rFonts w:hint="cs"/>
          <w:rtl/>
        </w:rPr>
        <w:t>,</w:t>
      </w:r>
      <w:r w:rsidRPr="00E630B3">
        <w:rPr>
          <w:rtl/>
        </w:rPr>
        <w:t xml:space="preserve"> בשיתוף עם משרד המשפטים. </w:t>
      </w:r>
    </w:p>
    <w:p w14:paraId="245E2D3C" w14:textId="77777777" w:rsidR="00E932EB" w:rsidRDefault="00E932EB" w:rsidP="00B069B1">
      <w:pPr>
        <w:pStyle w:val="100"/>
        <w:rPr>
          <w:rtl/>
        </w:rPr>
      </w:pPr>
    </w:p>
    <w:p w14:paraId="74F503E1" w14:textId="538B5C3B" w:rsidR="00F368B6" w:rsidRPr="002A1C9D" w:rsidRDefault="00F368B6" w:rsidP="00B069B1">
      <w:pPr>
        <w:pStyle w:val="100"/>
      </w:pPr>
      <w:r w:rsidRPr="002A1C9D">
        <w:rPr>
          <w:rFonts w:hint="cs"/>
          <w:rtl/>
        </w:rPr>
        <w:t xml:space="preserve">מהתרשים עולה שבארבע </w:t>
      </w:r>
      <w:r w:rsidRPr="00EE481D">
        <w:rPr>
          <w:rFonts w:hint="cs"/>
          <w:rtl/>
        </w:rPr>
        <w:t>השנים הראשונות להקמת יחידת החילוט, 2015 - 2018, היקף התקבולים בקרן החילוט נע בין 48 ל-52 מיליון ש"ח לשנה ולא עלה משנה לשנה. החריגה בשנת 2016 נובעת מתקבולים של כ-85 מיליון ש"ח מתיק אחד לבדו - תקבולים שעל פי הודעת יחידת</w:t>
      </w:r>
      <w:r>
        <w:rPr>
          <w:rFonts w:hint="cs"/>
          <w:rtl/>
        </w:rPr>
        <w:t xml:space="preserve"> החילוט והפרקליטות למועצת החילוט בנובמבר 2019, התברר בדיעבד כי הם צפויים לעבור לאוצר המדינה, נוכח סיווג העבירה שבגינה חולטו הכספים. נוכח האמור, קטן הסכום העומד </w:t>
      </w:r>
      <w:r>
        <w:rPr>
          <w:rFonts w:hint="cs"/>
          <w:rtl/>
        </w:rPr>
        <w:lastRenderedPageBreak/>
        <w:t xml:space="preserve">לחלוקה עד ההכרעה במחלוקת ב-85 מיליון ש"ח. </w:t>
      </w:r>
      <w:r w:rsidRPr="002A1C9D">
        <w:rPr>
          <w:rFonts w:hint="cs"/>
          <w:rtl/>
        </w:rPr>
        <w:t>עם זאת</w:t>
      </w:r>
      <w:r>
        <w:rPr>
          <w:rFonts w:hint="cs"/>
          <w:rtl/>
        </w:rPr>
        <w:t>,</w:t>
      </w:r>
      <w:r w:rsidRPr="002A1C9D">
        <w:rPr>
          <w:rFonts w:hint="cs"/>
          <w:rtl/>
        </w:rPr>
        <w:t xml:space="preserve"> בהתאם לתחשיב שע</w:t>
      </w:r>
      <w:r>
        <w:rPr>
          <w:rFonts w:hint="cs"/>
          <w:rtl/>
        </w:rPr>
        <w:t>שה</w:t>
      </w:r>
      <w:r w:rsidRPr="002A1C9D">
        <w:rPr>
          <w:rFonts w:hint="cs"/>
          <w:rtl/>
        </w:rPr>
        <w:t xml:space="preserve"> אגף התקציבים במשרד האוצר, היקף התקבולים המשוער </w:t>
      </w:r>
      <w:r>
        <w:rPr>
          <w:rFonts w:hint="cs"/>
          <w:rtl/>
        </w:rPr>
        <w:t>ל</w:t>
      </w:r>
      <w:r w:rsidRPr="002A1C9D">
        <w:rPr>
          <w:rFonts w:hint="cs"/>
          <w:rtl/>
        </w:rPr>
        <w:t>שנת 2020 הוא כ-100 מיליון ש"ח.</w:t>
      </w:r>
    </w:p>
    <w:p w14:paraId="5F00C443" w14:textId="77777777" w:rsidR="00F368B6" w:rsidRPr="002A1C9D" w:rsidRDefault="00F368B6" w:rsidP="00B069B1">
      <w:pPr>
        <w:pStyle w:val="100"/>
        <w:rPr>
          <w:rtl/>
        </w:rPr>
      </w:pPr>
      <w:r w:rsidRPr="002A1C9D">
        <w:rPr>
          <w:rFonts w:hint="cs"/>
          <w:rtl/>
        </w:rPr>
        <w:t>על פי נתוני מועצת החילוט</w:t>
      </w:r>
      <w:r>
        <w:rPr>
          <w:rFonts w:hint="cs"/>
          <w:rtl/>
        </w:rPr>
        <w:t>,</w:t>
      </w:r>
      <w:r w:rsidRPr="002A1C9D">
        <w:rPr>
          <w:rFonts w:hint="cs"/>
          <w:rtl/>
        </w:rPr>
        <w:t xml:space="preserve"> התקציב המאושר לחלוקה לגופים ל</w:t>
      </w:r>
      <w:r>
        <w:rPr>
          <w:rFonts w:hint="cs"/>
          <w:rtl/>
        </w:rPr>
        <w:t>-</w:t>
      </w:r>
      <w:r w:rsidRPr="002A1C9D">
        <w:rPr>
          <w:rFonts w:hint="cs"/>
          <w:rtl/>
        </w:rPr>
        <w:t>2018 היה כ-155 מיליון ש"ח (פי שלוש</w:t>
      </w:r>
      <w:r>
        <w:rPr>
          <w:rFonts w:hint="cs"/>
          <w:rtl/>
        </w:rPr>
        <w:t>ה</w:t>
      </w:r>
      <w:r w:rsidRPr="002A1C9D">
        <w:rPr>
          <w:rFonts w:hint="cs"/>
          <w:rtl/>
        </w:rPr>
        <w:t xml:space="preserve"> מהכנסות קרן החילוט</w:t>
      </w:r>
      <w:r>
        <w:rPr>
          <w:rFonts w:hint="cs"/>
          <w:rtl/>
        </w:rPr>
        <w:t>,</w:t>
      </w:r>
      <w:r w:rsidRPr="002A1C9D">
        <w:rPr>
          <w:rFonts w:hint="cs"/>
          <w:rtl/>
        </w:rPr>
        <w:t xml:space="preserve"> ש</w:t>
      </w:r>
      <w:r>
        <w:rPr>
          <w:rFonts w:hint="cs"/>
          <w:rtl/>
        </w:rPr>
        <w:t>הי</w:t>
      </w:r>
      <w:r w:rsidRPr="002A1C9D">
        <w:rPr>
          <w:rFonts w:hint="cs"/>
          <w:rtl/>
        </w:rPr>
        <w:t xml:space="preserve">ו באותה שנה כ-52 מיליון ש"ח). להלן בתרשים </w:t>
      </w:r>
      <w:r>
        <w:rPr>
          <w:rFonts w:hint="cs"/>
          <w:rtl/>
        </w:rPr>
        <w:t xml:space="preserve">6 </w:t>
      </w:r>
      <w:r w:rsidRPr="002A1C9D">
        <w:rPr>
          <w:rFonts w:hint="cs"/>
          <w:rtl/>
        </w:rPr>
        <w:t>נתונים עד שנת 2018</w:t>
      </w:r>
      <w:r>
        <w:rPr>
          <w:rFonts w:hint="cs"/>
          <w:rtl/>
        </w:rPr>
        <w:t xml:space="preserve"> של </w:t>
      </w:r>
      <w:r w:rsidRPr="002A1C9D">
        <w:rPr>
          <w:rFonts w:hint="cs"/>
          <w:rtl/>
        </w:rPr>
        <w:t xml:space="preserve">מספר </w:t>
      </w:r>
      <w:r>
        <w:rPr>
          <w:rFonts w:hint="cs"/>
          <w:rtl/>
        </w:rPr>
        <w:t xml:space="preserve">תקני כוח האדם שמומנו </w:t>
      </w:r>
      <w:r w:rsidRPr="002A1C9D">
        <w:rPr>
          <w:rFonts w:hint="cs"/>
          <w:rtl/>
        </w:rPr>
        <w:t xml:space="preserve">מכספי קרן החילוט </w:t>
      </w:r>
      <w:r>
        <w:rPr>
          <w:rFonts w:hint="cs"/>
          <w:rtl/>
        </w:rPr>
        <w:t>לגופים המתוקצבים.</w:t>
      </w:r>
    </w:p>
    <w:p w14:paraId="11BBAD80" w14:textId="30DD94AF" w:rsidR="00F368B6" w:rsidRPr="00B069B1" w:rsidRDefault="00F368B6" w:rsidP="00B069B1">
      <w:pPr>
        <w:pStyle w:val="a6"/>
        <w:rPr>
          <w:b/>
          <w:bCs/>
          <w:rtl/>
        </w:rPr>
      </w:pPr>
      <w:r w:rsidRPr="002A1C9D">
        <w:rPr>
          <w:rFonts w:hint="cs"/>
          <w:rtl/>
        </w:rPr>
        <w:t xml:space="preserve">תרשים </w:t>
      </w:r>
      <w:r>
        <w:rPr>
          <w:rFonts w:hint="cs"/>
          <w:rtl/>
        </w:rPr>
        <w:t>6</w:t>
      </w:r>
      <w:r w:rsidRPr="002A1C9D">
        <w:rPr>
          <w:rFonts w:hint="cs"/>
          <w:rtl/>
        </w:rPr>
        <w:t xml:space="preserve">: </w:t>
      </w:r>
      <w:r w:rsidRPr="00B069B1">
        <w:rPr>
          <w:rFonts w:hint="cs"/>
          <w:b/>
          <w:bCs/>
          <w:rtl/>
        </w:rPr>
        <w:t>השתתפות במימון תקני כוח אדם מקרן החילוט לגופים המתוקצבים</w:t>
      </w:r>
      <w:r w:rsidR="00B069B1">
        <w:rPr>
          <w:b/>
          <w:bCs/>
          <w:rtl/>
        </w:rPr>
        <w:br/>
      </w:r>
      <w:r w:rsidRPr="00B069B1">
        <w:rPr>
          <w:rFonts w:hint="cs"/>
          <w:b/>
          <w:bCs/>
          <w:rtl/>
        </w:rPr>
        <w:t>עד שנת 2018</w:t>
      </w:r>
    </w:p>
    <w:p w14:paraId="67FBC4F0" w14:textId="77777777" w:rsidR="00F368B6" w:rsidRPr="002A1C9D" w:rsidRDefault="00F368B6" w:rsidP="00F368B6">
      <w:pPr>
        <w:spacing w:line="269" w:lineRule="auto"/>
        <w:rPr>
          <w:rtl/>
        </w:rPr>
      </w:pPr>
      <w:r w:rsidRPr="002A1C9D">
        <w:rPr>
          <w:noProof/>
          <w:rtl/>
        </w:rPr>
        <w:drawing>
          <wp:inline distT="0" distB="0" distL="0" distR="0" wp14:anchorId="061E6C68" wp14:editId="58318448">
            <wp:extent cx="5034915" cy="3013456"/>
            <wp:effectExtent l="0" t="0" r="13335" b="15875"/>
            <wp:docPr id="35" name="תרשים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BF294B" w14:textId="77777777" w:rsidR="00F368B6" w:rsidRPr="00E630B3" w:rsidRDefault="00F368B6" w:rsidP="00B069B1">
      <w:pPr>
        <w:pStyle w:val="a8"/>
        <w:rPr>
          <w:rtl/>
        </w:rPr>
      </w:pPr>
      <w:r w:rsidRPr="00E630B3">
        <w:rPr>
          <w:rFonts w:hint="cs"/>
          <w:rtl/>
        </w:rPr>
        <w:t xml:space="preserve">מקור: </w:t>
      </w:r>
      <w:r w:rsidRPr="00E630B3">
        <w:rPr>
          <w:rFonts w:hint="eastAsia"/>
          <w:rtl/>
        </w:rPr>
        <w:t>על</w:t>
      </w:r>
      <w:r w:rsidRPr="00E630B3">
        <w:rPr>
          <w:rtl/>
        </w:rPr>
        <w:t xml:space="preserve"> </w:t>
      </w:r>
      <w:r w:rsidRPr="00E630B3">
        <w:rPr>
          <w:rFonts w:hint="eastAsia"/>
          <w:rtl/>
        </w:rPr>
        <w:t>פי</w:t>
      </w:r>
      <w:r w:rsidRPr="00E630B3">
        <w:rPr>
          <w:rtl/>
        </w:rPr>
        <w:t xml:space="preserve"> </w:t>
      </w:r>
      <w:r w:rsidRPr="00E630B3">
        <w:rPr>
          <w:rFonts w:hint="eastAsia"/>
          <w:rtl/>
        </w:rPr>
        <w:t>נתוני</w:t>
      </w:r>
      <w:r w:rsidRPr="00E630B3">
        <w:rPr>
          <w:rtl/>
        </w:rPr>
        <w:t xml:space="preserve"> </w:t>
      </w:r>
      <w:r w:rsidRPr="00E630B3">
        <w:rPr>
          <w:rFonts w:hint="eastAsia"/>
          <w:rtl/>
        </w:rPr>
        <w:t>משרד</w:t>
      </w:r>
      <w:r w:rsidRPr="00E630B3">
        <w:rPr>
          <w:rtl/>
        </w:rPr>
        <w:t xml:space="preserve"> </w:t>
      </w:r>
      <w:r w:rsidRPr="00E630B3">
        <w:rPr>
          <w:rFonts w:hint="eastAsia"/>
          <w:rtl/>
        </w:rPr>
        <w:t>האוצר</w:t>
      </w:r>
      <w:r w:rsidRPr="00E630B3">
        <w:rPr>
          <w:rFonts w:hint="cs"/>
          <w:rtl/>
        </w:rPr>
        <w:t xml:space="preserve"> -</w:t>
      </w:r>
      <w:r w:rsidRPr="00E630B3">
        <w:rPr>
          <w:rtl/>
        </w:rPr>
        <w:t xml:space="preserve"> אגף התקציבים</w:t>
      </w:r>
      <w:r w:rsidRPr="00E630B3">
        <w:rPr>
          <w:rFonts w:hint="cs"/>
          <w:rtl/>
        </w:rPr>
        <w:t>,</w:t>
      </w:r>
      <w:r w:rsidRPr="00E630B3">
        <w:rPr>
          <w:rtl/>
        </w:rPr>
        <w:t xml:space="preserve"> בעיבוד משרד מבקר המדינה</w:t>
      </w:r>
      <w:r w:rsidRPr="00E630B3">
        <w:rPr>
          <w:rFonts w:hint="cs"/>
          <w:rtl/>
        </w:rPr>
        <w:t>.</w:t>
      </w:r>
    </w:p>
    <w:p w14:paraId="238C2422" w14:textId="77777777" w:rsidR="00B069B1" w:rsidRDefault="00B069B1" w:rsidP="00B069B1">
      <w:pPr>
        <w:pStyle w:val="100"/>
        <w:rPr>
          <w:rtl/>
        </w:rPr>
      </w:pPr>
    </w:p>
    <w:p w14:paraId="12DEDD74" w14:textId="3F9DCB46" w:rsidR="00F368B6" w:rsidRDefault="00F368B6" w:rsidP="00B069B1">
      <w:pPr>
        <w:pStyle w:val="100"/>
        <w:rPr>
          <w:rtl/>
        </w:rPr>
      </w:pPr>
      <w:r w:rsidRPr="002A1C9D">
        <w:rPr>
          <w:rFonts w:hint="cs"/>
          <w:rtl/>
        </w:rPr>
        <w:t xml:space="preserve">מהתרשים עולה כי עד שנת 2018 </w:t>
      </w:r>
      <w:r>
        <w:rPr>
          <w:rFonts w:hint="cs"/>
          <w:rtl/>
        </w:rPr>
        <w:t xml:space="preserve">מימנה </w:t>
      </w:r>
      <w:r w:rsidRPr="002A1C9D">
        <w:rPr>
          <w:rFonts w:hint="cs"/>
          <w:rtl/>
        </w:rPr>
        <w:t xml:space="preserve">מועצת החילוט 165 </w:t>
      </w:r>
      <w:r>
        <w:rPr>
          <w:rFonts w:hint="cs"/>
          <w:rtl/>
        </w:rPr>
        <w:t>תקני כוח אדם:</w:t>
      </w:r>
      <w:r w:rsidRPr="002A1C9D">
        <w:rPr>
          <w:rFonts w:hint="cs"/>
          <w:rtl/>
        </w:rPr>
        <w:t xml:space="preserve"> המשטרה קיבלה 82% מה</w:t>
      </w:r>
      <w:r>
        <w:rPr>
          <w:rFonts w:hint="cs"/>
          <w:rtl/>
        </w:rPr>
        <w:t>ם</w:t>
      </w:r>
      <w:r w:rsidRPr="002A1C9D">
        <w:rPr>
          <w:rFonts w:hint="cs"/>
          <w:rtl/>
        </w:rPr>
        <w:t>, רשות המיסים קיבלה 8% ו</w:t>
      </w:r>
      <w:r>
        <w:rPr>
          <w:rFonts w:hint="cs"/>
          <w:rtl/>
        </w:rPr>
        <w:t xml:space="preserve">רשלא"ה </w:t>
      </w:r>
      <w:r w:rsidRPr="002A1C9D">
        <w:rPr>
          <w:rFonts w:hint="cs"/>
          <w:rtl/>
        </w:rPr>
        <w:t>- 10%.</w:t>
      </w:r>
    </w:p>
    <w:p w14:paraId="2BC47482" w14:textId="4B39B085" w:rsidR="00F368B6" w:rsidRPr="00601B65" w:rsidRDefault="00F368B6" w:rsidP="00B069B1">
      <w:pPr>
        <w:pStyle w:val="af1"/>
        <w:rPr>
          <w:rtl/>
        </w:rPr>
      </w:pPr>
      <w:r w:rsidRPr="00601B65">
        <w:rPr>
          <w:rFonts w:hint="cs"/>
          <w:rtl/>
        </w:rPr>
        <w:t>על פי חישובי נציג האוצר במועצת החילוט ורואה חשבון של מועצת החילוט</w:t>
      </w:r>
      <w:r>
        <w:rPr>
          <w:rFonts w:hint="cs"/>
          <w:rtl/>
        </w:rPr>
        <w:t>,</w:t>
      </w:r>
      <w:r w:rsidRPr="00601B65">
        <w:rPr>
          <w:rFonts w:hint="cs"/>
          <w:rtl/>
        </w:rPr>
        <w:t xml:space="preserve"> אף אם </w:t>
      </w:r>
      <w:r>
        <w:rPr>
          <w:rFonts w:hint="cs"/>
          <w:rtl/>
        </w:rPr>
        <w:t xml:space="preserve">יבוטלו </w:t>
      </w:r>
      <w:r w:rsidRPr="00601B65">
        <w:rPr>
          <w:rFonts w:hint="cs"/>
          <w:rtl/>
        </w:rPr>
        <w:t>כל הקצאות המשאבים שאינן כלולות בתקציב הקשיח, סך ההוצאות הקשיחות של קרן החילוט גבוה כיום בכ-30 מיליון ש"ח מהכנסותיה.</w:t>
      </w:r>
    </w:p>
    <w:p w14:paraId="35A6FEE7" w14:textId="4A7AAE9D" w:rsidR="00F368B6" w:rsidRPr="002A1C9D" w:rsidRDefault="00F368B6" w:rsidP="00B069B1">
      <w:pPr>
        <w:pStyle w:val="100"/>
        <w:rPr>
          <w:rtl/>
        </w:rPr>
      </w:pPr>
      <w:r w:rsidRPr="002A1C9D">
        <w:rPr>
          <w:rFonts w:hint="cs"/>
          <w:rtl/>
        </w:rPr>
        <w:t xml:space="preserve">בדיון במועצת החילוט בינואר 2018 </w:t>
      </w:r>
      <w:r>
        <w:rPr>
          <w:rFonts w:hint="cs"/>
          <w:rtl/>
        </w:rPr>
        <w:t>ש</w:t>
      </w:r>
      <w:r w:rsidRPr="002A1C9D">
        <w:rPr>
          <w:rFonts w:hint="cs"/>
          <w:rtl/>
        </w:rPr>
        <w:t>בו הוצגו נתוני קרן החילוט אמר נציג שר האוצר כי בה</w:t>
      </w:r>
      <w:r>
        <w:rPr>
          <w:rFonts w:hint="cs"/>
          <w:rtl/>
        </w:rPr>
        <w:t>י</w:t>
      </w:r>
      <w:r w:rsidRPr="002A1C9D">
        <w:rPr>
          <w:rFonts w:hint="cs"/>
          <w:rtl/>
        </w:rPr>
        <w:t xml:space="preserve">עדר ודאות ביחס להכנסות הקרן לשנים הבאות, לא ניתן לממן </w:t>
      </w:r>
      <w:r w:rsidR="00EE3FAC">
        <w:rPr>
          <w:rFonts w:hint="cs"/>
          <w:rtl/>
        </w:rPr>
        <w:t>תקנים חדשים</w:t>
      </w:r>
      <w:r w:rsidRPr="002A1C9D">
        <w:rPr>
          <w:rFonts w:hint="cs"/>
          <w:rtl/>
        </w:rPr>
        <w:t xml:space="preserve"> ולהקצות משאבים למימון פרויקטים חדשים. במאי 2019 הביעה </w:t>
      </w:r>
      <w:r>
        <w:rPr>
          <w:rFonts w:hint="cs"/>
          <w:rtl/>
        </w:rPr>
        <w:t>המועצה</w:t>
      </w:r>
      <w:r w:rsidRPr="002A1C9D">
        <w:rPr>
          <w:rFonts w:hint="cs"/>
          <w:rtl/>
        </w:rPr>
        <w:t xml:space="preserve"> בהחלטותיה האחרונות </w:t>
      </w:r>
      <w:r>
        <w:rPr>
          <w:rFonts w:hint="cs"/>
          <w:rtl/>
        </w:rPr>
        <w:t>"</w:t>
      </w:r>
      <w:r w:rsidRPr="002A1C9D">
        <w:rPr>
          <w:rFonts w:hint="cs"/>
          <w:rtl/>
        </w:rPr>
        <w:t>כוונה שלא לאשר תקציב באופן שיביא להתחייבויות ארוכות טווח של פרויקטים חדשים".</w:t>
      </w:r>
    </w:p>
    <w:p w14:paraId="73ED6F14" w14:textId="77777777" w:rsidR="00F368B6" w:rsidRPr="002A1C9D" w:rsidRDefault="00F368B6" w:rsidP="00B069B1">
      <w:pPr>
        <w:pStyle w:val="100"/>
        <w:rPr>
          <w:rtl/>
        </w:rPr>
      </w:pPr>
      <w:r w:rsidRPr="002A1C9D">
        <w:rPr>
          <w:rFonts w:hint="cs"/>
          <w:rtl/>
        </w:rPr>
        <w:t xml:space="preserve">לאחר הכללת הפרקליטות בין הגופים </w:t>
      </w:r>
      <w:r>
        <w:rPr>
          <w:rFonts w:hint="cs"/>
          <w:rtl/>
        </w:rPr>
        <w:t xml:space="preserve">שמועצת החילוט </w:t>
      </w:r>
      <w:r w:rsidRPr="002A1C9D">
        <w:rPr>
          <w:rFonts w:hint="cs"/>
          <w:rtl/>
        </w:rPr>
        <w:t xml:space="preserve">רשאית לתקצב, נחתם </w:t>
      </w:r>
      <w:r>
        <w:rPr>
          <w:rFonts w:hint="cs"/>
          <w:rtl/>
        </w:rPr>
        <w:t>באוגוסט 2019</w:t>
      </w:r>
      <w:r w:rsidRPr="002A1C9D">
        <w:rPr>
          <w:rFonts w:hint="cs"/>
          <w:rtl/>
        </w:rPr>
        <w:t xml:space="preserve"> סיכום תקציבי </w:t>
      </w:r>
      <w:r>
        <w:rPr>
          <w:rFonts w:hint="cs"/>
          <w:rtl/>
        </w:rPr>
        <w:t xml:space="preserve">מעודכן </w:t>
      </w:r>
      <w:r w:rsidRPr="002A1C9D">
        <w:rPr>
          <w:rFonts w:hint="cs"/>
          <w:rtl/>
        </w:rPr>
        <w:t xml:space="preserve">בין משרד האוצר לפרקליטות </w:t>
      </w:r>
      <w:r>
        <w:rPr>
          <w:rFonts w:hint="cs"/>
          <w:rtl/>
        </w:rPr>
        <w:t>ו</w:t>
      </w:r>
      <w:r w:rsidRPr="002A1C9D">
        <w:rPr>
          <w:rFonts w:hint="cs"/>
          <w:rtl/>
        </w:rPr>
        <w:t xml:space="preserve">לפיו אגף התקציבים במשרד האוצר יתגבר </w:t>
      </w:r>
      <w:r w:rsidRPr="002A1C9D">
        <w:rPr>
          <w:rFonts w:hint="cs"/>
          <w:rtl/>
        </w:rPr>
        <w:lastRenderedPageBreak/>
        <w:t xml:space="preserve">את </w:t>
      </w:r>
      <w:r>
        <w:rPr>
          <w:rFonts w:hint="cs"/>
          <w:rtl/>
        </w:rPr>
        <w:t>ה</w:t>
      </w:r>
      <w:r w:rsidRPr="002A1C9D">
        <w:rPr>
          <w:rFonts w:hint="cs"/>
          <w:rtl/>
        </w:rPr>
        <w:t xml:space="preserve">פרקליטות ב-12 פרקליטים אשר יעסקו באכיפה כלכלית. הפרקליטות התחייבה </w:t>
      </w:r>
      <w:r>
        <w:rPr>
          <w:rFonts w:hint="cs"/>
          <w:rtl/>
        </w:rPr>
        <w:t xml:space="preserve">להקצות את כוח האדם הייעודי שניתן לה לטיפול בתיקי אכיפה כלכלית וכן התחייבה לרכז משאבים, לצורך עמידה ביעד בקשות חילוט, בממוצע לפרקליט של 12.5 מיליון ש"ח בשנה. </w:t>
      </w:r>
      <w:r w:rsidRPr="002A1C9D">
        <w:rPr>
          <w:rFonts w:hint="cs"/>
          <w:rtl/>
        </w:rPr>
        <w:t>בהתאם לסיכום התחייב משרד המשפטים לפנות למועצת החילוט בבקשה לתקצב את עלות העסקתם של פרקליטים אלו מתקציב קרן החילוט.</w:t>
      </w:r>
      <w:r>
        <w:rPr>
          <w:rFonts w:hint="cs"/>
          <w:rtl/>
        </w:rPr>
        <w:t xml:space="preserve"> </w:t>
      </w:r>
      <w:r w:rsidRPr="002A1C9D">
        <w:rPr>
          <w:rFonts w:hint="cs"/>
          <w:rtl/>
        </w:rPr>
        <w:t>בישיבה של הצוות המכין לצוות</w:t>
      </w:r>
      <w:r>
        <w:rPr>
          <w:rFonts w:hint="cs"/>
          <w:rtl/>
        </w:rPr>
        <w:t>-</w:t>
      </w:r>
      <w:r w:rsidRPr="002A1C9D">
        <w:rPr>
          <w:rFonts w:hint="cs"/>
          <w:rtl/>
        </w:rPr>
        <w:t>העל הוסכם כי יש מקום להיענו</w:t>
      </w:r>
      <w:r w:rsidRPr="002A1C9D">
        <w:rPr>
          <w:rFonts w:hint="eastAsia"/>
          <w:rtl/>
        </w:rPr>
        <w:t>ת</w:t>
      </w:r>
      <w:r w:rsidRPr="002A1C9D">
        <w:rPr>
          <w:rFonts w:hint="cs"/>
          <w:rtl/>
        </w:rPr>
        <w:t xml:space="preserve"> לבקשת הפרקליטות להקצאה של תקנים מקרן החילוט</w:t>
      </w:r>
      <w:r>
        <w:rPr>
          <w:rFonts w:hint="cs"/>
          <w:rtl/>
        </w:rPr>
        <w:t>,</w:t>
      </w:r>
      <w:r w:rsidRPr="002A1C9D">
        <w:rPr>
          <w:rFonts w:hint="cs"/>
          <w:rtl/>
        </w:rPr>
        <w:t xml:space="preserve"> </w:t>
      </w:r>
      <w:r>
        <w:rPr>
          <w:rFonts w:hint="cs"/>
          <w:rtl/>
        </w:rPr>
        <w:t>אך</w:t>
      </w:r>
      <w:r w:rsidRPr="002A1C9D">
        <w:rPr>
          <w:rFonts w:hint="cs"/>
          <w:rtl/>
        </w:rPr>
        <w:t xml:space="preserve"> מצבה של קרן החילוט איננו מאפשר זאת בעת הנוכחית. </w:t>
      </w:r>
    </w:p>
    <w:p w14:paraId="6CCC4984" w14:textId="77777777" w:rsidR="00F368B6" w:rsidRPr="002A1C9D" w:rsidRDefault="00F368B6" w:rsidP="00B069B1">
      <w:pPr>
        <w:pStyle w:val="100"/>
        <w:rPr>
          <w:highlight w:val="yellow"/>
          <w:rtl/>
        </w:rPr>
      </w:pPr>
      <w:r w:rsidRPr="00772C5E">
        <w:rPr>
          <w:rFonts w:hint="cs"/>
          <w:rtl/>
        </w:rPr>
        <w:t xml:space="preserve">קרן החילוט אינה גירעונית כיום, בין היתר </w:t>
      </w:r>
      <w:r>
        <w:rPr>
          <w:rFonts w:hint="cs"/>
          <w:rtl/>
        </w:rPr>
        <w:t>משום שהגופים אינם מנצלים את</w:t>
      </w:r>
      <w:r w:rsidRPr="00772C5E">
        <w:rPr>
          <w:rFonts w:hint="cs"/>
          <w:rtl/>
        </w:rPr>
        <w:t xml:space="preserve"> </w:t>
      </w:r>
      <w:r>
        <w:rPr>
          <w:rFonts w:hint="cs"/>
          <w:rtl/>
        </w:rPr>
        <w:t xml:space="preserve">כל </w:t>
      </w:r>
      <w:r w:rsidRPr="00772C5E">
        <w:rPr>
          <w:rFonts w:hint="cs"/>
          <w:rtl/>
        </w:rPr>
        <w:t xml:space="preserve">הכספים המאושרים. </w:t>
      </w:r>
      <w:r>
        <w:rPr>
          <w:rFonts w:hint="cs"/>
          <w:rtl/>
        </w:rPr>
        <w:t>אולם</w:t>
      </w:r>
      <w:r w:rsidRPr="00772C5E">
        <w:rPr>
          <w:rFonts w:hint="cs"/>
          <w:rtl/>
        </w:rPr>
        <w:t xml:space="preserve"> בטווח הארוך ה</w:t>
      </w:r>
      <w:r>
        <w:rPr>
          <w:rFonts w:hint="cs"/>
          <w:rtl/>
        </w:rPr>
        <w:t>י</w:t>
      </w:r>
      <w:r w:rsidRPr="00772C5E">
        <w:rPr>
          <w:rFonts w:hint="cs"/>
          <w:rtl/>
        </w:rPr>
        <w:t xml:space="preserve">עדר </w:t>
      </w:r>
      <w:r>
        <w:rPr>
          <w:rFonts w:hint="cs"/>
          <w:rtl/>
        </w:rPr>
        <w:t>ה</w:t>
      </w:r>
      <w:r w:rsidRPr="00772C5E">
        <w:rPr>
          <w:rFonts w:hint="cs"/>
          <w:rtl/>
        </w:rPr>
        <w:t>ניצול גורם לצמצום האכיפה הכלכלית ולצמצום התפיסות</w:t>
      </w:r>
      <w:r>
        <w:rPr>
          <w:rFonts w:hint="cs"/>
          <w:rtl/>
        </w:rPr>
        <w:t>,</w:t>
      </w:r>
      <w:r w:rsidRPr="00772C5E">
        <w:rPr>
          <w:rFonts w:hint="cs"/>
          <w:rtl/>
        </w:rPr>
        <w:t xml:space="preserve"> שה</w:t>
      </w:r>
      <w:r>
        <w:rPr>
          <w:rFonts w:hint="cs"/>
          <w:rtl/>
        </w:rPr>
        <w:t>ן</w:t>
      </w:r>
      <w:r w:rsidRPr="00772C5E">
        <w:rPr>
          <w:rFonts w:hint="cs"/>
          <w:rtl/>
        </w:rPr>
        <w:t xml:space="preserve"> הבסיס לחילוט הנכסים המהווים את הכנסות קרן החילוט. </w:t>
      </w:r>
    </w:p>
    <w:p w14:paraId="1B50198A" w14:textId="4BE25DF1" w:rsidR="00F368B6" w:rsidRDefault="00F368B6" w:rsidP="00D22371">
      <w:pPr>
        <w:pStyle w:val="af1"/>
        <w:rPr>
          <w:rtl/>
        </w:rPr>
      </w:pPr>
      <w:r w:rsidRPr="00772C5E">
        <w:rPr>
          <w:rFonts w:hint="cs"/>
          <w:rtl/>
        </w:rPr>
        <w:t xml:space="preserve">משרד מבקר המדינה רואה בחיוב את הפעולות שנקטה מועצת החילוט לשמירת איתנותה הפיננסית של קרן החילוט. עם זאת יש לאזן בין הצורך בצמצום ההוצאות לבין הצורך בהגדלת ההכנסות הנובעות, בין היתר, מהקצאת משאבי </w:t>
      </w:r>
      <w:r>
        <w:rPr>
          <w:rFonts w:hint="cs"/>
          <w:rtl/>
        </w:rPr>
        <w:t>ה</w:t>
      </w:r>
      <w:r w:rsidRPr="00772C5E">
        <w:rPr>
          <w:rFonts w:hint="cs"/>
          <w:rtl/>
        </w:rPr>
        <w:t xml:space="preserve">קרן להמשך האכיפה הכלכלית. על האפ"כ, מועצת החילוט ומשרד האוצר לגבש מדיניות </w:t>
      </w:r>
      <w:r>
        <w:rPr>
          <w:rFonts w:hint="cs"/>
          <w:rtl/>
        </w:rPr>
        <w:t>ארוכת טווח ל</w:t>
      </w:r>
      <w:r w:rsidRPr="00772C5E">
        <w:rPr>
          <w:rFonts w:hint="cs"/>
          <w:rtl/>
        </w:rPr>
        <w:t xml:space="preserve">איזון בין היקף התקבולים השנתיים </w:t>
      </w:r>
      <w:r>
        <w:rPr>
          <w:rFonts w:hint="cs"/>
          <w:rtl/>
        </w:rPr>
        <w:t xml:space="preserve">הצפוי </w:t>
      </w:r>
      <w:r w:rsidRPr="00772C5E">
        <w:rPr>
          <w:rFonts w:hint="cs"/>
          <w:rtl/>
        </w:rPr>
        <w:t xml:space="preserve">בקרן החילוט להקצאת המשאבים לגופי האכיפה, </w:t>
      </w:r>
      <w:r>
        <w:rPr>
          <w:rFonts w:hint="cs"/>
          <w:rtl/>
        </w:rPr>
        <w:t>תוך התחשבות ביתרות בלתי מנוצלות</w:t>
      </w:r>
      <w:r w:rsidRPr="00772C5E">
        <w:rPr>
          <w:rFonts w:hint="cs"/>
          <w:rtl/>
        </w:rPr>
        <w:t>.</w:t>
      </w:r>
      <w:r>
        <w:rPr>
          <w:rFonts w:hint="cs"/>
          <w:rtl/>
        </w:rPr>
        <w:t xml:space="preserve"> מוצע לבחון בעת גיבוש המדיניות עידוד פרויקטים ממוחשבים שיאפשרו התייעלות גם בהיבטי כוח אדם.</w:t>
      </w:r>
    </w:p>
    <w:p w14:paraId="6AF077BB" w14:textId="77777777" w:rsidR="00F368B6" w:rsidRDefault="00F368B6" w:rsidP="00B069B1">
      <w:pPr>
        <w:pStyle w:val="414"/>
        <w:rPr>
          <w:rtl/>
        </w:rPr>
      </w:pPr>
      <w:r w:rsidRPr="002A1C9D">
        <w:rPr>
          <w:rFonts w:hint="cs"/>
          <w:rtl/>
        </w:rPr>
        <w:t>פרסום מידע על עבודת מועצת החילוט</w:t>
      </w:r>
    </w:p>
    <w:p w14:paraId="54B70DCB" w14:textId="77777777" w:rsidR="00F368B6" w:rsidRPr="003A6C8A" w:rsidRDefault="00F368B6" w:rsidP="00D22371">
      <w:pPr>
        <w:pStyle w:val="100"/>
        <w:rPr>
          <w:rtl/>
        </w:rPr>
      </w:pPr>
      <w:r w:rsidRPr="00D22371">
        <w:rPr>
          <w:rStyle w:val="Heading7Char"/>
          <w:rFonts w:eastAsiaTheme="minorHAnsi" w:hint="eastAsia"/>
          <w:b/>
          <w:color w:val="004E6C"/>
          <w:spacing w:val="0"/>
          <w:rtl/>
        </w:rPr>
        <w:t>פרסום</w:t>
      </w:r>
      <w:r w:rsidRPr="00D22371">
        <w:rPr>
          <w:rStyle w:val="Heading7Char"/>
          <w:rFonts w:eastAsiaTheme="minorHAnsi"/>
          <w:b/>
          <w:color w:val="004E6C"/>
          <w:spacing w:val="0"/>
          <w:rtl/>
        </w:rPr>
        <w:t xml:space="preserve"> </w:t>
      </w:r>
      <w:r w:rsidRPr="00D22371">
        <w:rPr>
          <w:rStyle w:val="Heading7Char"/>
          <w:rFonts w:eastAsiaTheme="minorHAnsi" w:hint="eastAsia"/>
          <w:b/>
          <w:color w:val="004E6C"/>
          <w:spacing w:val="0"/>
          <w:rtl/>
        </w:rPr>
        <w:t>הנוהל</w:t>
      </w:r>
      <w:r w:rsidRPr="00D22371">
        <w:rPr>
          <w:rStyle w:val="Heading7Char"/>
          <w:rFonts w:eastAsiaTheme="minorHAnsi"/>
          <w:b/>
          <w:color w:val="004E6C"/>
          <w:spacing w:val="0"/>
          <w:rtl/>
        </w:rPr>
        <w:t xml:space="preserve"> </w:t>
      </w:r>
      <w:r w:rsidRPr="00D22371">
        <w:rPr>
          <w:rStyle w:val="Heading7Char"/>
          <w:rFonts w:eastAsiaTheme="minorHAnsi" w:hint="eastAsia"/>
          <w:b/>
          <w:color w:val="004E6C"/>
          <w:spacing w:val="0"/>
          <w:rtl/>
        </w:rPr>
        <w:t>של</w:t>
      </w:r>
      <w:r w:rsidRPr="00D22371">
        <w:rPr>
          <w:rStyle w:val="Heading7Char"/>
          <w:rFonts w:eastAsiaTheme="minorHAnsi"/>
          <w:b/>
          <w:color w:val="004E6C"/>
          <w:spacing w:val="0"/>
          <w:rtl/>
        </w:rPr>
        <w:t xml:space="preserve"> </w:t>
      </w:r>
      <w:r w:rsidRPr="00D22371">
        <w:rPr>
          <w:rStyle w:val="Heading7Char"/>
          <w:rFonts w:eastAsiaTheme="minorHAnsi" w:hint="eastAsia"/>
          <w:b/>
          <w:color w:val="004E6C"/>
          <w:spacing w:val="0"/>
          <w:rtl/>
        </w:rPr>
        <w:t>מועצת</w:t>
      </w:r>
      <w:r w:rsidRPr="00D22371">
        <w:rPr>
          <w:rStyle w:val="Heading7Char"/>
          <w:rFonts w:eastAsiaTheme="minorHAnsi"/>
          <w:b/>
          <w:color w:val="004E6C"/>
          <w:spacing w:val="0"/>
          <w:rtl/>
        </w:rPr>
        <w:t xml:space="preserve"> </w:t>
      </w:r>
      <w:r w:rsidRPr="00D22371">
        <w:rPr>
          <w:rStyle w:val="Heading7Char"/>
          <w:rFonts w:eastAsiaTheme="minorHAnsi" w:hint="eastAsia"/>
          <w:b/>
          <w:color w:val="004E6C"/>
          <w:spacing w:val="0"/>
          <w:rtl/>
        </w:rPr>
        <w:t>החילוט</w:t>
      </w:r>
      <w:r w:rsidRPr="00D22371">
        <w:rPr>
          <w:rStyle w:val="Heading7Char"/>
          <w:rFonts w:eastAsiaTheme="minorHAnsi"/>
          <w:b/>
          <w:color w:val="004E6C"/>
          <w:spacing w:val="0"/>
          <w:rtl/>
        </w:rPr>
        <w:t>:</w:t>
      </w:r>
      <w:r w:rsidRPr="002A1C9D">
        <w:rPr>
          <w:rFonts w:eastAsiaTheme="majorEastAsia" w:hint="cs"/>
          <w:bCs/>
          <w:spacing w:val="40"/>
          <w:rtl/>
        </w:rPr>
        <w:t xml:space="preserve"> </w:t>
      </w:r>
      <w:r w:rsidRPr="005979EA">
        <w:rPr>
          <w:rFonts w:hint="cs"/>
          <w:rtl/>
        </w:rPr>
        <w:t>בהתאם לחוק</w:t>
      </w:r>
      <w:r w:rsidRPr="002A1C9D">
        <w:rPr>
          <w:rFonts w:hint="cs"/>
          <w:rtl/>
        </w:rPr>
        <w:t xml:space="preserve"> חופש המידע, התשנ"ח-1998</w:t>
      </w:r>
      <w:r>
        <w:rPr>
          <w:rFonts w:hint="cs"/>
          <w:rtl/>
        </w:rPr>
        <w:t xml:space="preserve"> (להלן - חוק חופש המידע),</w:t>
      </w:r>
      <w:r w:rsidRPr="002A1C9D">
        <w:rPr>
          <w:rFonts w:hint="cs"/>
          <w:rtl/>
        </w:rPr>
        <w:t xml:space="preserve"> על משרד המשפטים כגוף ציבורי שמועצת החילוט פועלת במסגרתו להעמיד לציבור באופן נגיש ונוח</w:t>
      </w:r>
      <w:r w:rsidRPr="008E66D1">
        <w:rPr>
          <w:vertAlign w:val="superscript"/>
          <w:rtl/>
        </w:rPr>
        <w:footnoteReference w:id="40"/>
      </w:r>
      <w:r w:rsidRPr="002A1C9D">
        <w:rPr>
          <w:rFonts w:hint="cs"/>
          <w:rtl/>
        </w:rPr>
        <w:t xml:space="preserve"> את ההנחיות המ</w:t>
      </w:r>
      <w:r>
        <w:rPr>
          <w:rFonts w:hint="cs"/>
          <w:rtl/>
        </w:rPr>
        <w:t>י</w:t>
      </w:r>
      <w:r w:rsidRPr="002A1C9D">
        <w:rPr>
          <w:rFonts w:hint="cs"/>
          <w:rtl/>
        </w:rPr>
        <w:t xml:space="preserve">נהליות הכתובות שעל פיהן </w:t>
      </w:r>
      <w:r>
        <w:rPr>
          <w:rFonts w:hint="cs"/>
          <w:rtl/>
        </w:rPr>
        <w:t>ה</w:t>
      </w:r>
      <w:r w:rsidRPr="002A1C9D">
        <w:rPr>
          <w:rFonts w:hint="cs"/>
          <w:rtl/>
        </w:rPr>
        <w:t>מועצ</w:t>
      </w:r>
      <w:r>
        <w:rPr>
          <w:rFonts w:hint="cs"/>
          <w:rtl/>
        </w:rPr>
        <w:t>ה</w:t>
      </w:r>
      <w:r w:rsidRPr="002A1C9D">
        <w:rPr>
          <w:rFonts w:hint="cs"/>
          <w:rtl/>
        </w:rPr>
        <w:t xml:space="preserve"> פועלת. </w:t>
      </w:r>
      <w:r>
        <w:rPr>
          <w:rFonts w:hint="cs"/>
          <w:rtl/>
        </w:rPr>
        <w:t>ה</w:t>
      </w:r>
      <w:r w:rsidRPr="002A1C9D">
        <w:rPr>
          <w:rFonts w:hint="cs"/>
          <w:rtl/>
        </w:rPr>
        <w:t>מועצ</w:t>
      </w:r>
      <w:r>
        <w:rPr>
          <w:rFonts w:hint="cs"/>
          <w:rtl/>
        </w:rPr>
        <w:t>ה</w:t>
      </w:r>
      <w:r w:rsidRPr="002A1C9D">
        <w:rPr>
          <w:rFonts w:hint="cs"/>
          <w:rtl/>
        </w:rPr>
        <w:t xml:space="preserve"> </w:t>
      </w:r>
      <w:r>
        <w:rPr>
          <w:rFonts w:hint="cs"/>
          <w:rtl/>
        </w:rPr>
        <w:t>קובעת כיצד יחולקו</w:t>
      </w:r>
      <w:r w:rsidRPr="002A1C9D">
        <w:rPr>
          <w:rFonts w:hint="cs"/>
          <w:rtl/>
        </w:rPr>
        <w:t xml:space="preserve"> הכספים שח</w:t>
      </w:r>
      <w:r>
        <w:rPr>
          <w:rFonts w:hint="cs"/>
          <w:rtl/>
        </w:rPr>
        <w:t>י</w:t>
      </w:r>
      <w:r w:rsidRPr="002A1C9D">
        <w:rPr>
          <w:rFonts w:hint="cs"/>
          <w:rtl/>
        </w:rPr>
        <w:t>לט</w:t>
      </w:r>
      <w:r>
        <w:rPr>
          <w:rFonts w:hint="cs"/>
          <w:rtl/>
        </w:rPr>
        <w:t>ה</w:t>
      </w:r>
      <w:r w:rsidRPr="002A1C9D">
        <w:rPr>
          <w:rFonts w:hint="cs"/>
          <w:rtl/>
        </w:rPr>
        <w:t xml:space="preserve"> המדינה בתום ההליך המשפטי</w:t>
      </w:r>
      <w:r>
        <w:rPr>
          <w:rFonts w:hint="cs"/>
          <w:rtl/>
        </w:rPr>
        <w:t>,</w:t>
      </w:r>
      <w:r w:rsidRPr="002A1C9D">
        <w:rPr>
          <w:rFonts w:hint="cs"/>
          <w:rtl/>
        </w:rPr>
        <w:t xml:space="preserve"> למימו</w:t>
      </w:r>
      <w:r>
        <w:rPr>
          <w:rFonts w:hint="cs"/>
          <w:rtl/>
        </w:rPr>
        <w:t>ן</w:t>
      </w:r>
      <w:r w:rsidRPr="002A1C9D">
        <w:rPr>
          <w:rFonts w:hint="cs"/>
          <w:rtl/>
        </w:rPr>
        <w:t xml:space="preserve"> מטרות וגופים בהתאם לחוק איסור הלבנת הון. </w:t>
      </w:r>
      <w:r>
        <w:rPr>
          <w:rFonts w:hint="cs"/>
          <w:rtl/>
        </w:rPr>
        <w:t>אלא ש</w:t>
      </w:r>
      <w:r w:rsidRPr="002A1C9D">
        <w:rPr>
          <w:rFonts w:hint="cs"/>
          <w:rtl/>
        </w:rPr>
        <w:t>דרכי עבודת</w:t>
      </w:r>
      <w:r>
        <w:rPr>
          <w:rFonts w:hint="cs"/>
          <w:rtl/>
        </w:rPr>
        <w:t xml:space="preserve"> מועצת החילוט</w:t>
      </w:r>
      <w:r w:rsidRPr="002A1C9D">
        <w:rPr>
          <w:rFonts w:hint="cs"/>
          <w:rtl/>
        </w:rPr>
        <w:t xml:space="preserve"> הוסדרו בנוהל</w:t>
      </w:r>
      <w:r>
        <w:rPr>
          <w:rFonts w:hint="cs"/>
          <w:vertAlign w:val="superscript"/>
          <w:rtl/>
        </w:rPr>
        <w:t xml:space="preserve"> </w:t>
      </w:r>
      <w:r w:rsidRPr="002A1C9D">
        <w:rPr>
          <w:rFonts w:hint="cs"/>
          <w:rtl/>
        </w:rPr>
        <w:t>אשר לא פורסם</w:t>
      </w:r>
      <w:r>
        <w:rPr>
          <w:rFonts w:hint="cs"/>
          <w:rtl/>
        </w:rPr>
        <w:t>,</w:t>
      </w:r>
      <w:r w:rsidRPr="002A1C9D">
        <w:rPr>
          <w:rFonts w:hint="cs"/>
          <w:rtl/>
        </w:rPr>
        <w:t xml:space="preserve"> ולא ניתן למוצאו בחיפוש באתר משרד המשפטים</w:t>
      </w:r>
      <w:r>
        <w:rPr>
          <w:rFonts w:hint="cs"/>
          <w:rtl/>
        </w:rPr>
        <w:t xml:space="preserve"> ובאתרי מרשתת (אינטרנט) אחרים</w:t>
      </w:r>
      <w:r w:rsidRPr="002A1C9D">
        <w:rPr>
          <w:rFonts w:hint="cs"/>
          <w:rtl/>
        </w:rPr>
        <w:t>.</w:t>
      </w:r>
    </w:p>
    <w:p w14:paraId="4190F07C" w14:textId="77777777" w:rsidR="00F368B6" w:rsidRPr="002A1C9D" w:rsidRDefault="00F368B6" w:rsidP="00E932EB">
      <w:pPr>
        <w:pStyle w:val="af1"/>
        <w:rPr>
          <w:rtl/>
        </w:rPr>
      </w:pPr>
      <w:r w:rsidRPr="002A1C9D">
        <w:rPr>
          <w:rFonts w:hint="cs"/>
          <w:rtl/>
        </w:rPr>
        <w:t xml:space="preserve">הימנעות מפרסום הנוהל </w:t>
      </w:r>
      <w:r>
        <w:rPr>
          <w:rFonts w:hint="cs"/>
          <w:rtl/>
        </w:rPr>
        <w:t xml:space="preserve">האמור </w:t>
      </w:r>
      <w:r w:rsidRPr="002A1C9D">
        <w:rPr>
          <w:rFonts w:hint="cs"/>
          <w:rtl/>
        </w:rPr>
        <w:t xml:space="preserve">ודרכי העבודה של מועצת החילוט באופן נגיש ונוח לציבור אינה מתיישבת עם השקיפות המתבקשת מגורם האמון על חלוקת כספים המיועדים לגורמי אכיפה. </w:t>
      </w:r>
    </w:p>
    <w:p w14:paraId="2991772B" w14:textId="3E2064D4" w:rsidR="00F368B6" w:rsidRPr="002A1C9D" w:rsidRDefault="00F368B6" w:rsidP="00E932EB">
      <w:pPr>
        <w:pStyle w:val="100"/>
        <w:rPr>
          <w:rtl/>
        </w:rPr>
      </w:pPr>
      <w:r w:rsidRPr="00E932EB">
        <w:rPr>
          <w:rStyle w:val="Heading7Char"/>
          <w:rFonts w:eastAsiaTheme="minorHAnsi" w:hint="eastAsia"/>
          <w:b/>
          <w:color w:val="004E6C"/>
          <w:spacing w:val="0"/>
          <w:rtl/>
        </w:rPr>
        <w:t>הנגשה</w:t>
      </w:r>
      <w:r w:rsidRPr="00E932EB">
        <w:rPr>
          <w:rStyle w:val="Heading7Char"/>
          <w:rFonts w:eastAsiaTheme="minorHAnsi"/>
          <w:b/>
          <w:color w:val="004E6C"/>
          <w:spacing w:val="0"/>
          <w:rtl/>
        </w:rPr>
        <w:t xml:space="preserve"> </w:t>
      </w:r>
      <w:r w:rsidRPr="00E932EB">
        <w:rPr>
          <w:rStyle w:val="Heading7Char"/>
          <w:rFonts w:eastAsiaTheme="minorHAnsi" w:hint="eastAsia"/>
          <w:b/>
          <w:color w:val="004E6C"/>
          <w:spacing w:val="0"/>
          <w:rtl/>
        </w:rPr>
        <w:t>של</w:t>
      </w:r>
      <w:r w:rsidRPr="00E932EB">
        <w:rPr>
          <w:rStyle w:val="Heading7Char"/>
          <w:rFonts w:eastAsiaTheme="minorHAnsi"/>
          <w:b/>
          <w:color w:val="004E6C"/>
          <w:spacing w:val="0"/>
          <w:rtl/>
        </w:rPr>
        <w:t xml:space="preserve"> </w:t>
      </w:r>
      <w:r w:rsidRPr="00E932EB">
        <w:rPr>
          <w:rStyle w:val="Heading7Char"/>
          <w:rFonts w:eastAsiaTheme="minorHAnsi" w:hint="eastAsia"/>
          <w:b/>
          <w:color w:val="004E6C"/>
          <w:spacing w:val="0"/>
          <w:rtl/>
        </w:rPr>
        <w:t>מידע</w:t>
      </w:r>
      <w:r w:rsidRPr="00E932EB">
        <w:rPr>
          <w:rStyle w:val="Heading7Char"/>
          <w:rFonts w:eastAsiaTheme="minorHAnsi"/>
          <w:b/>
          <w:color w:val="004E6C"/>
          <w:spacing w:val="0"/>
          <w:rtl/>
        </w:rPr>
        <w:t xml:space="preserve"> </w:t>
      </w:r>
      <w:r w:rsidRPr="00E932EB">
        <w:rPr>
          <w:rStyle w:val="Heading7Char"/>
          <w:rFonts w:eastAsiaTheme="minorHAnsi" w:hint="eastAsia"/>
          <w:b/>
          <w:color w:val="004E6C"/>
          <w:spacing w:val="0"/>
          <w:rtl/>
        </w:rPr>
        <w:t>ונתונים</w:t>
      </w:r>
      <w:r w:rsidRPr="00E932EB">
        <w:rPr>
          <w:rStyle w:val="Heading7Char"/>
          <w:rFonts w:eastAsiaTheme="minorHAnsi"/>
          <w:b/>
          <w:color w:val="004E6C"/>
          <w:spacing w:val="0"/>
          <w:rtl/>
        </w:rPr>
        <w:t xml:space="preserve"> </w:t>
      </w:r>
      <w:r w:rsidRPr="00E932EB">
        <w:rPr>
          <w:rStyle w:val="Heading7Char"/>
          <w:rFonts w:eastAsiaTheme="minorHAnsi" w:hint="eastAsia"/>
          <w:b/>
          <w:color w:val="004E6C"/>
          <w:spacing w:val="0"/>
          <w:rtl/>
        </w:rPr>
        <w:t>לציבור</w:t>
      </w:r>
      <w:r w:rsidRPr="00E932EB">
        <w:rPr>
          <w:rStyle w:val="Heading7Char"/>
          <w:rFonts w:eastAsiaTheme="minorHAnsi"/>
          <w:b/>
          <w:color w:val="004E6C"/>
          <w:spacing w:val="0"/>
          <w:rtl/>
        </w:rPr>
        <w:t>:</w:t>
      </w:r>
      <w:r w:rsidR="00DD0252">
        <w:rPr>
          <w:rStyle w:val="Heading7Char"/>
          <w:rFonts w:hint="cs"/>
          <w:rtl/>
        </w:rPr>
        <w:t xml:space="preserve"> </w:t>
      </w:r>
      <w:r w:rsidRPr="002A1C9D">
        <w:rPr>
          <w:rFonts w:hint="cs"/>
          <w:rtl/>
        </w:rPr>
        <w:t>לפי חוק חופש המידע על משרד המשפטים כרשות ציבורית לפרסם דוח שנתי שיכלול מידע על פעילותו ועל תחומי אחריותו וכן הסבר על תפקידיו וסמכויותיו.</w:t>
      </w:r>
    </w:p>
    <w:p w14:paraId="1C1E1387" w14:textId="77777777" w:rsidR="00F368B6" w:rsidRPr="002A1C9D" w:rsidRDefault="00F368B6" w:rsidP="00E932EB">
      <w:pPr>
        <w:pStyle w:val="100"/>
        <w:rPr>
          <w:rtl/>
        </w:rPr>
      </w:pPr>
      <w:r w:rsidRPr="002A1C9D">
        <w:rPr>
          <w:rFonts w:hint="cs"/>
          <w:rtl/>
        </w:rPr>
        <w:t>משרד המשפטים מפרסם דוחות שנתיים ובהם סקירה של עיקר הפעילות של אגפים, רשויות וגופים הפועלים במסגרתו</w:t>
      </w:r>
      <w:r>
        <w:rPr>
          <w:rFonts w:hint="cs"/>
          <w:rtl/>
        </w:rPr>
        <w:t>, ובין אלה פרסם</w:t>
      </w:r>
      <w:r w:rsidRPr="002A1C9D">
        <w:rPr>
          <w:rFonts w:hint="cs"/>
          <w:rtl/>
        </w:rPr>
        <w:t xml:space="preserve"> ב</w:t>
      </w:r>
      <w:r>
        <w:rPr>
          <w:rFonts w:hint="cs"/>
          <w:rtl/>
        </w:rPr>
        <w:t>-</w:t>
      </w:r>
      <w:r w:rsidRPr="002A1C9D">
        <w:rPr>
          <w:rFonts w:hint="cs"/>
          <w:rtl/>
        </w:rPr>
        <w:t xml:space="preserve">2019 דוח שנתי ובו עיקרי פעולת האפ"כ לשנת </w:t>
      </w:r>
      <w:r w:rsidRPr="002A1C9D">
        <w:rPr>
          <w:rFonts w:hint="cs"/>
          <w:rtl/>
        </w:rPr>
        <w:lastRenderedPageBreak/>
        <w:t>20</w:t>
      </w:r>
      <w:r>
        <w:rPr>
          <w:rFonts w:hint="cs"/>
          <w:rtl/>
        </w:rPr>
        <w:t>18</w:t>
      </w:r>
      <w:r w:rsidRPr="002A1C9D">
        <w:rPr>
          <w:rFonts w:hint="cs"/>
          <w:rtl/>
        </w:rPr>
        <w:t xml:space="preserve">. במסגרת הדוח </w:t>
      </w:r>
      <w:r>
        <w:rPr>
          <w:rFonts w:hint="cs"/>
          <w:rtl/>
        </w:rPr>
        <w:t>היו</w:t>
      </w:r>
      <w:r w:rsidRPr="002A1C9D">
        <w:rPr>
          <w:rFonts w:hint="cs"/>
          <w:rtl/>
        </w:rPr>
        <w:t xml:space="preserve"> נתונים על פעילות</w:t>
      </w:r>
      <w:r>
        <w:rPr>
          <w:rFonts w:hint="cs"/>
          <w:rtl/>
        </w:rPr>
        <w:t xml:space="preserve"> האפ"כ,</w:t>
      </w:r>
      <w:r w:rsidRPr="002A1C9D">
        <w:rPr>
          <w:rFonts w:hint="cs"/>
          <w:rtl/>
        </w:rPr>
        <w:t xml:space="preserve"> ובכלל זה היקפי הפעילות ותחומי האחריות של יחידת החילוט</w:t>
      </w:r>
      <w:r>
        <w:rPr>
          <w:rFonts w:hint="cs"/>
          <w:rtl/>
        </w:rPr>
        <w:t>,</w:t>
      </w:r>
      <w:r w:rsidRPr="002A1C9D">
        <w:rPr>
          <w:rFonts w:hint="cs"/>
          <w:rtl/>
        </w:rPr>
        <w:t xml:space="preserve"> נתוני פעילות של חילוט רכוש וסוגי הרכוש </w:t>
      </w:r>
      <w:r>
        <w:rPr>
          <w:rFonts w:hint="cs"/>
          <w:rtl/>
        </w:rPr>
        <w:t>ש</w:t>
      </w:r>
      <w:r w:rsidRPr="002A1C9D">
        <w:rPr>
          <w:rFonts w:hint="cs"/>
          <w:rtl/>
        </w:rPr>
        <w:t xml:space="preserve">בהם מטפלת </w:t>
      </w:r>
      <w:r>
        <w:rPr>
          <w:rFonts w:hint="cs"/>
          <w:rtl/>
        </w:rPr>
        <w:t>ה</w:t>
      </w:r>
      <w:r w:rsidRPr="002A1C9D">
        <w:rPr>
          <w:rFonts w:hint="cs"/>
          <w:rtl/>
        </w:rPr>
        <w:t>יחיד</w:t>
      </w:r>
      <w:r>
        <w:rPr>
          <w:rFonts w:hint="cs"/>
          <w:rtl/>
        </w:rPr>
        <w:t>ה</w:t>
      </w:r>
      <w:r w:rsidRPr="002A1C9D">
        <w:rPr>
          <w:rFonts w:hint="cs"/>
          <w:rtl/>
        </w:rPr>
        <w:t xml:space="preserve">. </w:t>
      </w:r>
      <w:r>
        <w:rPr>
          <w:rFonts w:hint="cs"/>
          <w:rtl/>
        </w:rPr>
        <w:t>עוד</w:t>
      </w:r>
      <w:r w:rsidRPr="002A1C9D">
        <w:rPr>
          <w:rFonts w:hint="cs"/>
          <w:rtl/>
        </w:rPr>
        <w:t xml:space="preserve"> </w:t>
      </w:r>
      <w:r>
        <w:rPr>
          <w:rFonts w:hint="cs"/>
          <w:rtl/>
        </w:rPr>
        <w:t>פורסמו</w:t>
      </w:r>
      <w:r w:rsidRPr="002A1C9D">
        <w:rPr>
          <w:rFonts w:hint="cs"/>
          <w:rtl/>
        </w:rPr>
        <w:t xml:space="preserve"> נתונים על היקף התקבולים לקרנות החילוט שבניהול </w:t>
      </w:r>
      <w:r>
        <w:rPr>
          <w:rFonts w:hint="cs"/>
          <w:rtl/>
        </w:rPr>
        <w:t>ה</w:t>
      </w:r>
      <w:r w:rsidRPr="002A1C9D">
        <w:rPr>
          <w:rFonts w:hint="cs"/>
          <w:rtl/>
        </w:rPr>
        <w:t>יחיד</w:t>
      </w:r>
      <w:r>
        <w:rPr>
          <w:rFonts w:hint="cs"/>
          <w:rtl/>
        </w:rPr>
        <w:t>ה</w:t>
      </w:r>
      <w:r w:rsidRPr="002A1C9D">
        <w:rPr>
          <w:rFonts w:hint="cs"/>
          <w:rtl/>
        </w:rPr>
        <w:t>. אולם במסגרת דוח שנתי זה אין התייחסות לפעילות מועצת החילוט ולהיקף חלוקת הכספים</w:t>
      </w:r>
      <w:r w:rsidRPr="002A1C9D">
        <w:rPr>
          <w:rtl/>
        </w:rPr>
        <w:t xml:space="preserve"> לגופי האכיפה </w:t>
      </w:r>
      <w:r w:rsidRPr="002A1C9D">
        <w:rPr>
          <w:rFonts w:hint="eastAsia"/>
          <w:rtl/>
        </w:rPr>
        <w:t>בהתאם</w:t>
      </w:r>
      <w:r w:rsidRPr="002A1C9D">
        <w:rPr>
          <w:rtl/>
        </w:rPr>
        <w:t xml:space="preserve"> </w:t>
      </w:r>
      <w:r w:rsidRPr="002A1C9D">
        <w:rPr>
          <w:rFonts w:hint="cs"/>
          <w:rtl/>
        </w:rPr>
        <w:t>להוראותיה.</w:t>
      </w:r>
    </w:p>
    <w:p w14:paraId="522571EA" w14:textId="77777777" w:rsidR="00F368B6" w:rsidRPr="00EB0566" w:rsidRDefault="00F368B6" w:rsidP="00BC30C7">
      <w:pPr>
        <w:pStyle w:val="af1"/>
        <w:rPr>
          <w:rtl/>
        </w:rPr>
      </w:pPr>
      <w:r w:rsidRPr="00EB0566">
        <w:rPr>
          <w:rFonts w:hint="cs"/>
          <w:rtl/>
        </w:rPr>
        <w:t xml:space="preserve">החלטות מועצת החילוט עניינן שימוש במשאבים ציבוריים, ולכן </w:t>
      </w:r>
      <w:r w:rsidRPr="00946808">
        <w:rPr>
          <w:rFonts w:hint="eastAsia"/>
          <w:rtl/>
        </w:rPr>
        <w:t>משרד</w:t>
      </w:r>
      <w:r w:rsidRPr="00946808">
        <w:rPr>
          <w:rtl/>
        </w:rPr>
        <w:t xml:space="preserve"> מבקר המדינה ממליץ</w:t>
      </w:r>
      <w:r w:rsidRPr="00EB0566">
        <w:rPr>
          <w:rFonts w:hint="cs"/>
          <w:rtl/>
        </w:rPr>
        <w:t xml:space="preserve"> </w:t>
      </w:r>
      <w:r>
        <w:rPr>
          <w:rFonts w:hint="cs"/>
          <w:rtl/>
        </w:rPr>
        <w:t>ל</w:t>
      </w:r>
      <w:r w:rsidRPr="00EB0566">
        <w:rPr>
          <w:rFonts w:hint="cs"/>
          <w:rtl/>
        </w:rPr>
        <w:t xml:space="preserve">משרד המשפטים לבחון פרסום דוח על פעילות </w:t>
      </w:r>
      <w:r>
        <w:rPr>
          <w:rFonts w:hint="cs"/>
          <w:rtl/>
        </w:rPr>
        <w:t>ה</w:t>
      </w:r>
      <w:r w:rsidRPr="00EB0566">
        <w:rPr>
          <w:rFonts w:hint="cs"/>
          <w:rtl/>
        </w:rPr>
        <w:t>מועצ</w:t>
      </w:r>
      <w:r>
        <w:rPr>
          <w:rFonts w:hint="cs"/>
          <w:rtl/>
        </w:rPr>
        <w:t>ה</w:t>
      </w:r>
      <w:r w:rsidRPr="00EB0566">
        <w:rPr>
          <w:rFonts w:hint="cs"/>
          <w:rtl/>
        </w:rPr>
        <w:t xml:space="preserve"> ובו פירוט החלטותיה </w:t>
      </w:r>
      <w:r>
        <w:rPr>
          <w:rFonts w:hint="cs"/>
          <w:rtl/>
        </w:rPr>
        <w:t>ע</w:t>
      </w:r>
      <w:r w:rsidRPr="00EB0566">
        <w:rPr>
          <w:rFonts w:hint="cs"/>
          <w:rtl/>
        </w:rPr>
        <w:t>ל אופן חלוקת נכסי קרן החילוט</w:t>
      </w:r>
      <w:r>
        <w:rPr>
          <w:rFonts w:hint="cs"/>
          <w:rtl/>
        </w:rPr>
        <w:t>,</w:t>
      </w:r>
      <w:r w:rsidRPr="00EB0566">
        <w:rPr>
          <w:rFonts w:hint="cs"/>
          <w:rtl/>
        </w:rPr>
        <w:t xml:space="preserve"> אל מול שיעור השימוש בהם על ידי הגופים המתוקצבים</w:t>
      </w:r>
      <w:r>
        <w:rPr>
          <w:rFonts w:hint="cs"/>
          <w:rtl/>
        </w:rPr>
        <w:t>;</w:t>
      </w:r>
      <w:r w:rsidRPr="00EB0566">
        <w:rPr>
          <w:rFonts w:hint="cs"/>
          <w:rtl/>
        </w:rPr>
        <w:t xml:space="preserve"> </w:t>
      </w:r>
      <w:r>
        <w:rPr>
          <w:rFonts w:hint="cs"/>
          <w:rtl/>
        </w:rPr>
        <w:t xml:space="preserve">זאת </w:t>
      </w:r>
      <w:r w:rsidRPr="00EB0566">
        <w:rPr>
          <w:rFonts w:hint="cs"/>
          <w:rtl/>
        </w:rPr>
        <w:t>למען השקיפות וחיזוק אמון הציבור בפועלם של מועצת החילוט והגופים המתוקצבים.</w:t>
      </w:r>
    </w:p>
    <w:p w14:paraId="0A7D5902" w14:textId="77777777" w:rsidR="00F368B6" w:rsidRDefault="00F368B6" w:rsidP="00BC30C7">
      <w:pPr>
        <w:pStyle w:val="218"/>
        <w:rPr>
          <w:rtl/>
        </w:rPr>
      </w:pPr>
      <w:bookmarkStart w:id="6" w:name="_Toc24370956"/>
      <w:r w:rsidRPr="00466666">
        <w:rPr>
          <w:rFonts w:hint="cs"/>
          <w:rtl/>
        </w:rPr>
        <w:t>חסמים משלב החקירה ועד הגשת כתב אישום</w:t>
      </w:r>
      <w:bookmarkEnd w:id="6"/>
    </w:p>
    <w:p w14:paraId="05CC5D99" w14:textId="77777777" w:rsidR="00F368B6" w:rsidRDefault="00F368B6" w:rsidP="00BC30C7">
      <w:pPr>
        <w:pStyle w:val="316"/>
        <w:rPr>
          <w:rtl/>
        </w:rPr>
      </w:pPr>
      <w:bookmarkStart w:id="7" w:name="_Toc24370957"/>
      <w:r>
        <w:rPr>
          <w:rFonts w:hint="cs"/>
          <w:rtl/>
        </w:rPr>
        <w:t>הקמת מערכי אכיפה כלכלית במשטרה ובפרקליטות</w:t>
      </w:r>
      <w:bookmarkEnd w:id="7"/>
    </w:p>
    <w:p w14:paraId="147E669C" w14:textId="77777777" w:rsidR="00F368B6" w:rsidRPr="009A45EB" w:rsidRDefault="00F368B6" w:rsidP="00BC30C7">
      <w:pPr>
        <w:pStyle w:val="100"/>
        <w:rPr>
          <w:rtl/>
        </w:rPr>
      </w:pPr>
      <w:r w:rsidRPr="009A45EB">
        <w:rPr>
          <w:rFonts w:hint="cs"/>
          <w:rtl/>
        </w:rPr>
        <w:t>גופי האכיפה, ובראשם המשטרה, פעלו לשינוי מבני שיביא לריכוז מאמץ, גיבוש אסטרטגיה כוללת</w:t>
      </w:r>
      <w:r>
        <w:rPr>
          <w:rFonts w:hint="cs"/>
          <w:rtl/>
        </w:rPr>
        <w:t>,</w:t>
      </w:r>
      <w:r w:rsidRPr="009A45EB">
        <w:rPr>
          <w:rFonts w:hint="cs"/>
          <w:rtl/>
        </w:rPr>
        <w:t xml:space="preserve"> גיוס</w:t>
      </w:r>
      <w:r>
        <w:rPr>
          <w:rFonts w:hint="cs"/>
          <w:rtl/>
        </w:rPr>
        <w:t xml:space="preserve"> </w:t>
      </w:r>
      <w:r w:rsidRPr="009A45EB">
        <w:rPr>
          <w:rFonts w:hint="cs"/>
          <w:rtl/>
        </w:rPr>
        <w:t xml:space="preserve">והכשרה של גורמי מטה ושטח </w:t>
      </w:r>
      <w:r>
        <w:rPr>
          <w:rFonts w:hint="cs"/>
          <w:rtl/>
        </w:rPr>
        <w:t>כדי לחולל</w:t>
      </w:r>
      <w:r w:rsidRPr="009A45EB">
        <w:rPr>
          <w:rFonts w:hint="cs"/>
          <w:rtl/>
        </w:rPr>
        <w:t xml:space="preserve"> שינוי יסודי </w:t>
      </w:r>
      <w:r>
        <w:rPr>
          <w:rFonts w:hint="cs"/>
          <w:rtl/>
        </w:rPr>
        <w:t>באופן החקירה של</w:t>
      </w:r>
      <w:r w:rsidRPr="009A45EB">
        <w:rPr>
          <w:rFonts w:hint="cs"/>
          <w:rtl/>
        </w:rPr>
        <w:t xml:space="preserve"> תיקים </w:t>
      </w:r>
      <w:r>
        <w:rPr>
          <w:rFonts w:hint="cs"/>
          <w:rtl/>
        </w:rPr>
        <w:t xml:space="preserve">בעלי היבטים </w:t>
      </w:r>
      <w:r w:rsidRPr="009A45EB">
        <w:rPr>
          <w:rFonts w:hint="cs"/>
          <w:rtl/>
        </w:rPr>
        <w:t xml:space="preserve">כלכליים. </w:t>
      </w:r>
    </w:p>
    <w:p w14:paraId="538E1A9A" w14:textId="77777777" w:rsidR="00F368B6" w:rsidRDefault="00F368B6" w:rsidP="00BC30C7">
      <w:pPr>
        <w:pStyle w:val="100"/>
        <w:rPr>
          <w:rtl/>
        </w:rPr>
      </w:pPr>
      <w:r>
        <w:rPr>
          <w:rFonts w:hint="cs"/>
          <w:rtl/>
        </w:rPr>
        <w:t xml:space="preserve">על רקע זה בוצעו </w:t>
      </w:r>
      <w:r w:rsidRPr="009A45EB">
        <w:rPr>
          <w:rFonts w:hint="cs"/>
          <w:rtl/>
        </w:rPr>
        <w:t>בשנים האחרונות</w:t>
      </w:r>
      <w:r>
        <w:rPr>
          <w:rFonts w:hint="cs"/>
          <w:rtl/>
        </w:rPr>
        <w:t xml:space="preserve"> </w:t>
      </w:r>
      <w:r w:rsidRPr="009A45EB">
        <w:rPr>
          <w:rFonts w:hint="cs"/>
          <w:rtl/>
        </w:rPr>
        <w:t xml:space="preserve">שינויים מבניים </w:t>
      </w:r>
      <w:r>
        <w:rPr>
          <w:rFonts w:hint="cs"/>
          <w:rtl/>
        </w:rPr>
        <w:t>במשטרה תחת אגף החקירות</w:t>
      </w:r>
      <w:r w:rsidRPr="009A45EB">
        <w:rPr>
          <w:rFonts w:hint="cs"/>
          <w:rtl/>
        </w:rPr>
        <w:t xml:space="preserve"> בה</w:t>
      </w:r>
      <w:r>
        <w:rPr>
          <w:rFonts w:hint="cs"/>
          <w:rtl/>
        </w:rPr>
        <w:t xml:space="preserve"> פועל מדור אכיפה כלכלית (להלן - גם המדור). המדור משמש כגורם המתכלל את האכיפה הכלכלית באמצעות בניית תוכניות עבודה ברמה הארצית, קביעת יעדים לטיפול, טיפוח הידע המקצועי במשטרה, פיתוח כלים טכנולוגיים ייעודיים לתחום האכיפה הכלכלית, בקרה ותיאום בין-משרדי מול גורמי אכיפה כלכלית בגופים מקבילים וייצוג המשטרה בפורומים חיצוניים.</w:t>
      </w:r>
    </w:p>
    <w:p w14:paraId="386C39B3" w14:textId="77777777" w:rsidR="00F368B6" w:rsidRDefault="00F368B6" w:rsidP="00BC30C7">
      <w:pPr>
        <w:pStyle w:val="100"/>
        <w:rPr>
          <w:rtl/>
        </w:rPr>
      </w:pPr>
      <w:r>
        <w:rPr>
          <w:rFonts w:hint="cs"/>
          <w:rtl/>
        </w:rPr>
        <w:t>המדור מונה ארבע חוליות: חוליית חילוט, חוליית הלבנת הון ומאבק במימון טרור, חוליית כוחות משימה וחוליית ניתוח פיננסי. בחוליית החילוט תשעה צוותי אכיפה כלכלית - שבעה צוותים במחוזות השונים, צוות במג"ב וצוות בלהב 433. תפקידי הצוותים כוללים איתור פרשיות הלבנת הון ויעדים ראויים בכלל תיקי המחוזות, פתיחת חקירות יזומות וכן תיווך בין המדור ליחידות הקצה במשטרה בכל הנוגע להיבט המבצעי ולתורת ההפעלה וליישומה במודיעין ובחקירות.</w:t>
      </w:r>
    </w:p>
    <w:p w14:paraId="12B51B49" w14:textId="77777777" w:rsidR="00F368B6" w:rsidRPr="00F525AF" w:rsidRDefault="00F368B6" w:rsidP="00BC30C7">
      <w:pPr>
        <w:pStyle w:val="100"/>
        <w:rPr>
          <w:rtl/>
        </w:rPr>
      </w:pPr>
      <w:r>
        <w:rPr>
          <w:rFonts w:hint="cs"/>
          <w:rtl/>
        </w:rPr>
        <w:t xml:space="preserve">אף </w:t>
      </w:r>
      <w:r w:rsidRPr="00020713">
        <w:rPr>
          <w:rtl/>
        </w:rPr>
        <w:t>הפרקליטות</w:t>
      </w:r>
      <w:r>
        <w:rPr>
          <w:rFonts w:hint="cs"/>
          <w:rtl/>
        </w:rPr>
        <w:t xml:space="preserve"> הציבה </w:t>
      </w:r>
      <w:r w:rsidRPr="00020713">
        <w:rPr>
          <w:rtl/>
        </w:rPr>
        <w:t>לה</w:t>
      </w:r>
      <w:r>
        <w:rPr>
          <w:rFonts w:hint="cs"/>
          <w:rtl/>
        </w:rPr>
        <w:t xml:space="preserve"> </w:t>
      </w:r>
      <w:r w:rsidRPr="00020713">
        <w:rPr>
          <w:rtl/>
        </w:rPr>
        <w:t xml:space="preserve">כיעד מרכזי להביא לגידול </w:t>
      </w:r>
      <w:r>
        <w:rPr>
          <w:rFonts w:hint="cs"/>
          <w:rtl/>
        </w:rPr>
        <w:t>ניכר</w:t>
      </w:r>
      <w:r w:rsidRPr="00020713">
        <w:rPr>
          <w:rtl/>
        </w:rPr>
        <w:t xml:space="preserve"> בשיעור הכספים והרכוש הנתפסים זמנית והמחולטים באופן סופי או נשללים מהעבריין </w:t>
      </w:r>
      <w:r>
        <w:rPr>
          <w:rFonts w:hint="cs"/>
          <w:rtl/>
        </w:rPr>
        <w:t>מכוח עילה</w:t>
      </w:r>
      <w:r w:rsidRPr="00020713">
        <w:rPr>
          <w:rtl/>
        </w:rPr>
        <w:t xml:space="preserve"> בצו שיפוטי. </w:t>
      </w:r>
      <w:r>
        <w:rPr>
          <w:rFonts w:hint="cs"/>
          <w:rtl/>
        </w:rPr>
        <w:t>כדי לעמוד</w:t>
      </w:r>
      <w:r w:rsidRPr="00020713">
        <w:rPr>
          <w:rtl/>
        </w:rPr>
        <w:t xml:space="preserve"> ביעד זה</w:t>
      </w:r>
      <w:r>
        <w:rPr>
          <w:rFonts w:hint="cs"/>
          <w:rtl/>
        </w:rPr>
        <w:t xml:space="preserve"> ערכה</w:t>
      </w:r>
      <w:r w:rsidRPr="00020713">
        <w:rPr>
          <w:rtl/>
        </w:rPr>
        <w:t xml:space="preserve"> </w:t>
      </w:r>
      <w:r>
        <w:rPr>
          <w:rFonts w:hint="cs"/>
          <w:rtl/>
        </w:rPr>
        <w:t xml:space="preserve">בשנים האחרונות כמה </w:t>
      </w:r>
      <w:r w:rsidRPr="00020713">
        <w:rPr>
          <w:rtl/>
        </w:rPr>
        <w:t xml:space="preserve">שינויים מבניים; נוסף </w:t>
      </w:r>
      <w:r>
        <w:rPr>
          <w:rFonts w:hint="cs"/>
          <w:rtl/>
        </w:rPr>
        <w:t>ע</w:t>
      </w:r>
      <w:r w:rsidRPr="00020713">
        <w:rPr>
          <w:rtl/>
        </w:rPr>
        <w:t>ל</w:t>
      </w:r>
      <w:r>
        <w:rPr>
          <w:rFonts w:hint="cs"/>
          <w:rtl/>
        </w:rPr>
        <w:t xml:space="preserve"> </w:t>
      </w:r>
      <w:r w:rsidRPr="00020713">
        <w:rPr>
          <w:rtl/>
        </w:rPr>
        <w:t>שתי היחידות הייעודיות העוסקות בתחום הכלכלי - המחלקה הכלכלית בפרקליטות המדינה ופר</w:t>
      </w:r>
      <w:r>
        <w:rPr>
          <w:rtl/>
        </w:rPr>
        <w:t>קליטות מחוז ת</w:t>
      </w:r>
      <w:r>
        <w:rPr>
          <w:rFonts w:hint="cs"/>
          <w:rtl/>
        </w:rPr>
        <w:t>ל אביב</w:t>
      </w:r>
      <w:r>
        <w:rPr>
          <w:rtl/>
        </w:rPr>
        <w:t xml:space="preserve"> </w:t>
      </w:r>
      <w:r>
        <w:rPr>
          <w:rFonts w:hint="cs"/>
          <w:rtl/>
        </w:rPr>
        <w:t>(</w:t>
      </w:r>
      <w:r>
        <w:rPr>
          <w:rtl/>
        </w:rPr>
        <w:t>מיסוי וכלכלה</w:t>
      </w:r>
      <w:r>
        <w:rPr>
          <w:rFonts w:hint="cs"/>
          <w:rtl/>
        </w:rPr>
        <w:t xml:space="preserve">) (להלן - היחידות הארציות) - </w:t>
      </w:r>
      <w:r w:rsidRPr="00020713">
        <w:rPr>
          <w:rtl/>
        </w:rPr>
        <w:t>הוקמו בפרקליטו</w:t>
      </w:r>
      <w:r>
        <w:rPr>
          <w:rFonts w:hint="cs"/>
          <w:rtl/>
        </w:rPr>
        <w:t>יו</w:t>
      </w:r>
      <w:r w:rsidRPr="00020713">
        <w:rPr>
          <w:rtl/>
        </w:rPr>
        <w:t>ת</w:t>
      </w:r>
      <w:r>
        <w:rPr>
          <w:rtl/>
        </w:rPr>
        <w:t xml:space="preserve"> </w:t>
      </w:r>
      <w:r>
        <w:rPr>
          <w:rFonts w:hint="cs"/>
          <w:rtl/>
        </w:rPr>
        <w:t xml:space="preserve">המחוז </w:t>
      </w:r>
      <w:r w:rsidRPr="00020713">
        <w:rPr>
          <w:rtl/>
        </w:rPr>
        <w:t>חוליות אכיפה כלכלית ייעודיות.</w:t>
      </w:r>
      <w:r w:rsidRPr="00020713">
        <w:rPr>
          <w:rFonts w:hint="cs"/>
          <w:rtl/>
        </w:rPr>
        <w:t xml:space="preserve"> </w:t>
      </w:r>
      <w:r w:rsidRPr="00020713">
        <w:rPr>
          <w:rtl/>
        </w:rPr>
        <w:t xml:space="preserve">כמו כן </w:t>
      </w:r>
      <w:r w:rsidRPr="00020713">
        <w:rPr>
          <w:rtl/>
        </w:rPr>
        <w:lastRenderedPageBreak/>
        <w:t>מונו פרקליטים ייעודיים לל</w:t>
      </w:r>
      <w:r>
        <w:rPr>
          <w:rFonts w:hint="cs"/>
          <w:rtl/>
        </w:rPr>
        <w:t>י</w:t>
      </w:r>
      <w:r w:rsidRPr="00020713">
        <w:rPr>
          <w:rtl/>
        </w:rPr>
        <w:t>ווי "כוחות המשימה" המשטרתיים</w:t>
      </w:r>
      <w:r>
        <w:rPr>
          <w:rStyle w:val="FootnoteReference"/>
          <w:rFonts w:asciiTheme="minorBidi" w:hAnsiTheme="minorBidi"/>
          <w:sz w:val="24"/>
          <w:rtl/>
        </w:rPr>
        <w:footnoteReference w:id="41"/>
      </w:r>
      <w:r w:rsidRPr="00020713">
        <w:rPr>
          <w:rtl/>
        </w:rPr>
        <w:t>, ופרקליטים מלווים את צוותי החקירה במתן ייעוץ משפטי כבר משלבים מוקדמים של הלי</w:t>
      </w:r>
      <w:r>
        <w:rPr>
          <w:rFonts w:hint="cs"/>
          <w:rtl/>
        </w:rPr>
        <w:t>כי</w:t>
      </w:r>
      <w:r w:rsidRPr="00020713">
        <w:rPr>
          <w:rtl/>
        </w:rPr>
        <w:t xml:space="preserve"> החקיר</w:t>
      </w:r>
      <w:r>
        <w:rPr>
          <w:rFonts w:hint="cs"/>
          <w:rtl/>
        </w:rPr>
        <w:t>ה</w:t>
      </w:r>
      <w:r w:rsidRPr="00020713">
        <w:rPr>
          <w:rtl/>
        </w:rPr>
        <w:t xml:space="preserve">. </w:t>
      </w:r>
      <w:r>
        <w:rPr>
          <w:rFonts w:hint="cs"/>
          <w:rtl/>
        </w:rPr>
        <w:t>המטה לאכיפה כלכלית בפרקליטות המדינה, הכולל משנה לפרקליט המדינה (וראש תחום מקצועי), מרכז ומנחה מקצועית את תחום האכיפה הכלכלית בפרקליטות.</w:t>
      </w:r>
    </w:p>
    <w:p w14:paraId="0027C649" w14:textId="77777777" w:rsidR="00F368B6" w:rsidRPr="00466666" w:rsidRDefault="00F368B6" w:rsidP="00BC30C7">
      <w:pPr>
        <w:pStyle w:val="316"/>
        <w:rPr>
          <w:rtl/>
        </w:rPr>
      </w:pPr>
      <w:bookmarkStart w:id="8" w:name="_Toc24370958"/>
      <w:r w:rsidRPr="00466666">
        <w:rPr>
          <w:rFonts w:hint="cs"/>
          <w:rtl/>
        </w:rPr>
        <w:t xml:space="preserve">מיפוי הרכוש על ידי המשטרה, הערכת שווי </w:t>
      </w:r>
      <w:r>
        <w:rPr>
          <w:rFonts w:hint="cs"/>
          <w:rtl/>
        </w:rPr>
        <w:t>ה</w:t>
      </w:r>
      <w:r w:rsidRPr="00466666">
        <w:rPr>
          <w:rFonts w:hint="cs"/>
          <w:rtl/>
        </w:rPr>
        <w:t>נכסים וחישוב היקף העבירה</w:t>
      </w:r>
      <w:bookmarkEnd w:id="8"/>
    </w:p>
    <w:p w14:paraId="2B60D571" w14:textId="77777777" w:rsidR="00F368B6" w:rsidRDefault="00F368B6" w:rsidP="0026220B">
      <w:pPr>
        <w:pStyle w:val="100"/>
        <w:rPr>
          <w:rtl/>
        </w:rPr>
      </w:pPr>
      <w:r>
        <w:rPr>
          <w:rFonts w:hint="cs"/>
          <w:rtl/>
        </w:rPr>
        <w:t>חוק איסור הלבנת הון מאפשר חילוט של רכוש בשווי הרכוש הקשור בעבירה על פיו; כלומר, אין צורך שלרכוש המחולט יהיה קשר לביצוע העבירה, אלא ניתן לחלט רכוש אחר, כשר וחוקי, ובלבד שהוא שווה ערך לרכוש הקשור בעבירה.</w:t>
      </w:r>
    </w:p>
    <w:p w14:paraId="54ED2C99" w14:textId="77777777" w:rsidR="00F368B6" w:rsidRDefault="00F368B6" w:rsidP="0026220B">
      <w:pPr>
        <w:pStyle w:val="100"/>
        <w:rPr>
          <w:rtl/>
        </w:rPr>
      </w:pPr>
      <w:r>
        <w:rPr>
          <w:rFonts w:hint="cs"/>
          <w:rtl/>
        </w:rPr>
        <w:t>קודם להגשת הבקשה לתפיסה זמנית של רכוש השייך לחשוד מבצעת המשטרה, באמצעות צוותי החילוט שבמדור, מיפוי לרכוש שבשליטת החשוד והערכת שווי הנכסים שבשליטתו בארץ ובחו"ל</w:t>
      </w:r>
      <w:r>
        <w:rPr>
          <w:rStyle w:val="FootnoteReference"/>
          <w:sz w:val="24"/>
          <w:rtl/>
        </w:rPr>
        <w:footnoteReference w:id="42"/>
      </w:r>
      <w:r>
        <w:rPr>
          <w:rFonts w:hint="cs"/>
          <w:rtl/>
        </w:rPr>
        <w:t xml:space="preserve">. </w:t>
      </w:r>
      <w:r w:rsidRPr="0019025D">
        <w:rPr>
          <w:rFonts w:hint="eastAsia"/>
          <w:rtl/>
        </w:rPr>
        <w:t>הערכות</w:t>
      </w:r>
      <w:r w:rsidRPr="0019025D">
        <w:rPr>
          <w:rtl/>
        </w:rPr>
        <w:t xml:space="preserve"> </w:t>
      </w:r>
      <w:r>
        <w:rPr>
          <w:rFonts w:hint="cs"/>
          <w:rtl/>
        </w:rPr>
        <w:t>אלה</w:t>
      </w:r>
      <w:r w:rsidRPr="0019025D">
        <w:rPr>
          <w:rtl/>
        </w:rPr>
        <w:t xml:space="preserve"> </w:t>
      </w:r>
      <w:r w:rsidRPr="0019025D">
        <w:rPr>
          <w:rFonts w:hint="eastAsia"/>
          <w:rtl/>
        </w:rPr>
        <w:t>אינן</w:t>
      </w:r>
      <w:r w:rsidRPr="0019025D">
        <w:rPr>
          <w:rtl/>
        </w:rPr>
        <w:t xml:space="preserve"> </w:t>
      </w:r>
      <w:r w:rsidRPr="0019025D">
        <w:rPr>
          <w:rFonts w:hint="eastAsia"/>
          <w:rtl/>
        </w:rPr>
        <w:t>מתבססות</w:t>
      </w:r>
      <w:r w:rsidRPr="0019025D">
        <w:rPr>
          <w:rtl/>
        </w:rPr>
        <w:t xml:space="preserve"> </w:t>
      </w:r>
      <w:r w:rsidRPr="0019025D">
        <w:rPr>
          <w:rFonts w:hint="eastAsia"/>
          <w:rtl/>
        </w:rPr>
        <w:t>על</w:t>
      </w:r>
      <w:r w:rsidRPr="0019025D">
        <w:rPr>
          <w:rtl/>
        </w:rPr>
        <w:t xml:space="preserve"> </w:t>
      </w:r>
      <w:r w:rsidRPr="0019025D">
        <w:rPr>
          <w:rFonts w:hint="eastAsia"/>
          <w:rtl/>
        </w:rPr>
        <w:t>שמאות</w:t>
      </w:r>
      <w:r w:rsidRPr="0019025D">
        <w:rPr>
          <w:rtl/>
        </w:rPr>
        <w:t xml:space="preserve"> </w:t>
      </w:r>
      <w:r w:rsidRPr="0019025D">
        <w:rPr>
          <w:rFonts w:hint="eastAsia"/>
          <w:rtl/>
        </w:rPr>
        <w:t>מקצועי</w:t>
      </w:r>
      <w:r>
        <w:rPr>
          <w:rFonts w:hint="cs"/>
          <w:rtl/>
        </w:rPr>
        <w:t xml:space="preserve">ת; למשל, </w:t>
      </w:r>
      <w:r w:rsidRPr="00BA7B6A">
        <w:rPr>
          <w:rFonts w:hint="cs"/>
          <w:rtl/>
        </w:rPr>
        <w:t xml:space="preserve">בהערכת שווי </w:t>
      </w:r>
      <w:r>
        <w:rPr>
          <w:rFonts w:hint="cs"/>
          <w:rtl/>
        </w:rPr>
        <w:t xml:space="preserve">כלי </w:t>
      </w:r>
      <w:r w:rsidRPr="00BA7B6A">
        <w:rPr>
          <w:rFonts w:hint="cs"/>
          <w:rtl/>
        </w:rPr>
        <w:t xml:space="preserve">רכב </w:t>
      </w:r>
      <w:r>
        <w:rPr>
          <w:rFonts w:hint="cs"/>
          <w:rtl/>
        </w:rPr>
        <w:t xml:space="preserve">המשטרה </w:t>
      </w:r>
      <w:r w:rsidRPr="00BA7B6A">
        <w:rPr>
          <w:rFonts w:hint="cs"/>
          <w:rtl/>
        </w:rPr>
        <w:t>מתבססת על מחירוני רכב</w:t>
      </w:r>
      <w:r>
        <w:rPr>
          <w:rFonts w:hint="cs"/>
          <w:rtl/>
        </w:rPr>
        <w:t>,</w:t>
      </w:r>
      <w:r w:rsidRPr="00BA7B6A">
        <w:rPr>
          <w:rFonts w:hint="cs"/>
          <w:rtl/>
        </w:rPr>
        <w:t xml:space="preserve"> ו</w:t>
      </w:r>
      <w:r>
        <w:rPr>
          <w:rFonts w:hint="cs"/>
          <w:rtl/>
        </w:rPr>
        <w:t>ב</w:t>
      </w:r>
      <w:r w:rsidRPr="00BA7B6A">
        <w:rPr>
          <w:rFonts w:hint="cs"/>
          <w:rtl/>
        </w:rPr>
        <w:t xml:space="preserve">הערכת שווי </w:t>
      </w:r>
      <w:r>
        <w:rPr>
          <w:rFonts w:hint="cs"/>
          <w:rtl/>
        </w:rPr>
        <w:t>דירות</w:t>
      </w:r>
      <w:r w:rsidRPr="00BA7B6A">
        <w:rPr>
          <w:rFonts w:hint="cs"/>
          <w:rtl/>
        </w:rPr>
        <w:t xml:space="preserve"> </w:t>
      </w:r>
      <w:r>
        <w:rPr>
          <w:rFonts w:hint="cs"/>
          <w:rtl/>
        </w:rPr>
        <w:t>-</w:t>
      </w:r>
      <w:r w:rsidRPr="00BA7B6A">
        <w:rPr>
          <w:rFonts w:hint="cs"/>
          <w:rtl/>
        </w:rPr>
        <w:t xml:space="preserve"> על אתרי מרשתת של רשות המיסים ואתרים מסחריים.</w:t>
      </w:r>
      <w:r>
        <w:rPr>
          <w:rFonts w:hint="cs"/>
          <w:rtl/>
        </w:rPr>
        <w:t xml:space="preserve"> בד בבד מעריכים צוותי החילוט את שווי היקף העבירה המיוחסת לחשוד בהתבסס על החומר הראייתי הקיים בתיק. בתפיסת רכוש מורכב יותר, כגון עסקים ותיקי השקעות, פונה המשטרה ליחידת החילוט לביצוע הערכת שווי באמצעות שמאי. </w:t>
      </w:r>
    </w:p>
    <w:p w14:paraId="6356CC86" w14:textId="77777777" w:rsidR="00F368B6" w:rsidRDefault="00F368B6" w:rsidP="0026220B">
      <w:pPr>
        <w:pStyle w:val="100"/>
        <w:rPr>
          <w:rtl/>
        </w:rPr>
      </w:pPr>
      <w:r w:rsidRPr="00422700">
        <w:rPr>
          <w:rFonts w:hint="cs"/>
          <w:rtl/>
        </w:rPr>
        <w:t xml:space="preserve">לאחר תפיסת הרכוש </w:t>
      </w:r>
      <w:r>
        <w:rPr>
          <w:rFonts w:hint="cs"/>
          <w:rtl/>
        </w:rPr>
        <w:t>ב</w:t>
      </w:r>
      <w:r w:rsidRPr="00422700">
        <w:rPr>
          <w:rFonts w:hint="cs"/>
          <w:rtl/>
        </w:rPr>
        <w:t>ידי המשטרה</w:t>
      </w:r>
      <w:r>
        <w:rPr>
          <w:rFonts w:hint="cs"/>
          <w:rtl/>
        </w:rPr>
        <w:t>, יכול שיתקיים</w:t>
      </w:r>
      <w:r w:rsidRPr="00422700">
        <w:rPr>
          <w:rFonts w:hint="cs"/>
          <w:rtl/>
        </w:rPr>
        <w:t xml:space="preserve"> דיון במעמד שני הצדדים </w:t>
      </w:r>
      <w:r>
        <w:rPr>
          <w:rFonts w:hint="cs"/>
          <w:rtl/>
        </w:rPr>
        <w:t>ש</w:t>
      </w:r>
      <w:r w:rsidRPr="00422700">
        <w:rPr>
          <w:rFonts w:hint="cs"/>
          <w:rtl/>
        </w:rPr>
        <w:t xml:space="preserve">במסגרתו מברר בית המשפט את היחס בין שווי הרכוש שנתפס, לבין שווי הרכוש שלפי החשד שימש לביצוע העבירות או הושג </w:t>
      </w:r>
      <w:r>
        <w:rPr>
          <w:rFonts w:hint="cs"/>
          <w:rtl/>
        </w:rPr>
        <w:t>באמצעותן</w:t>
      </w:r>
      <w:r w:rsidRPr="00422700">
        <w:rPr>
          <w:rFonts w:hint="cs"/>
          <w:rtl/>
        </w:rPr>
        <w:t xml:space="preserve">. </w:t>
      </w:r>
    </w:p>
    <w:p w14:paraId="2440FE8E" w14:textId="24E0ED5C" w:rsidR="00DD0252" w:rsidRDefault="00F368B6" w:rsidP="0026220B">
      <w:pPr>
        <w:pStyle w:val="100"/>
        <w:rPr>
          <w:rtl/>
        </w:rPr>
      </w:pPr>
      <w:r w:rsidRPr="00BC1D56">
        <w:rPr>
          <w:rFonts w:hint="cs"/>
          <w:rtl/>
        </w:rPr>
        <w:t>בדיווחי סטטוס חצי-שנתיים לפעילות כוחות משימה של המשטרה שמועברים למטה הארצי, נמצאו שלושה תיקים שבהם היקף הרכוש שנתפס ב"יום הפרוץ"</w:t>
      </w:r>
      <w:r w:rsidRPr="00BC1D56">
        <w:rPr>
          <w:rStyle w:val="FootnoteReference"/>
          <w:rtl/>
        </w:rPr>
        <w:footnoteReference w:id="43"/>
      </w:r>
      <w:r w:rsidRPr="00BC1D56">
        <w:rPr>
          <w:rFonts w:hint="cs"/>
          <w:rtl/>
        </w:rPr>
        <w:t xml:space="preserve"> היה גבוה מהיקף העבירה המשוערך, או שנתפס רכוש בשווי מיליוני ש"ח אף שלא ניתן היה להעריך את היקף העבירה, כמפורט בלוח 3.</w:t>
      </w:r>
    </w:p>
    <w:p w14:paraId="63FE9CB7" w14:textId="77777777" w:rsidR="00DD0252" w:rsidRDefault="00DD0252">
      <w:pPr>
        <w:bidi w:val="0"/>
        <w:spacing w:after="200" w:line="276" w:lineRule="auto"/>
        <w:rPr>
          <w:rFonts w:ascii="Tahoma" w:hAnsi="Tahoma" w:cs="Tahoma"/>
          <w:szCs w:val="20"/>
          <w:rtl/>
        </w:rPr>
      </w:pPr>
      <w:r>
        <w:rPr>
          <w:rtl/>
        </w:rPr>
        <w:br w:type="page"/>
      </w:r>
    </w:p>
    <w:p w14:paraId="79672FC1" w14:textId="77777777" w:rsidR="00F368B6" w:rsidRPr="0026220B" w:rsidRDefault="00F368B6" w:rsidP="0026220B">
      <w:pPr>
        <w:pStyle w:val="a6"/>
        <w:rPr>
          <w:b/>
          <w:bCs/>
          <w:rtl/>
        </w:rPr>
      </w:pPr>
      <w:r w:rsidRPr="003979C6">
        <w:rPr>
          <w:rFonts w:hint="eastAsia"/>
          <w:rtl/>
        </w:rPr>
        <w:lastRenderedPageBreak/>
        <w:t>לוח</w:t>
      </w:r>
      <w:r w:rsidRPr="003979C6">
        <w:rPr>
          <w:rtl/>
        </w:rPr>
        <w:t xml:space="preserve"> 3: </w:t>
      </w:r>
      <w:r w:rsidRPr="0026220B">
        <w:rPr>
          <w:rFonts w:hint="cs"/>
          <w:b/>
          <w:bCs/>
          <w:rtl/>
        </w:rPr>
        <w:t>תיקים ש</w:t>
      </w:r>
      <w:r w:rsidRPr="0026220B">
        <w:rPr>
          <w:b/>
          <w:bCs/>
          <w:rtl/>
        </w:rPr>
        <w:t>בה</w:t>
      </w:r>
      <w:r w:rsidRPr="0026220B">
        <w:rPr>
          <w:rFonts w:hint="cs"/>
          <w:b/>
          <w:bCs/>
          <w:rtl/>
        </w:rPr>
        <w:t>ם</w:t>
      </w:r>
      <w:r w:rsidRPr="0026220B">
        <w:rPr>
          <w:b/>
          <w:bCs/>
          <w:rtl/>
        </w:rPr>
        <w:t xml:space="preserve"> היקף הרכוש שנתפס היה גבוה מהיקף העבירה המשוערך (באלפי ש"ח)</w:t>
      </w:r>
    </w:p>
    <w:tbl>
      <w:tblPr>
        <w:tblStyle w:val="TableGrid"/>
        <w:bidiVisual/>
        <w:tblW w:w="0" w:type="auto"/>
        <w:jc w:val="center"/>
        <w:tblLook w:val="04A0" w:firstRow="1" w:lastRow="0" w:firstColumn="1" w:lastColumn="0" w:noHBand="0" w:noVBand="1"/>
      </w:tblPr>
      <w:tblGrid>
        <w:gridCol w:w="1551"/>
        <w:gridCol w:w="2134"/>
        <w:gridCol w:w="1835"/>
      </w:tblGrid>
      <w:tr w:rsidR="00F368B6" w:rsidRPr="0026220B" w14:paraId="3A1B348B" w14:textId="77777777" w:rsidTr="00C11896">
        <w:trPr>
          <w:jc w:val="center"/>
        </w:trPr>
        <w:tc>
          <w:tcPr>
            <w:tcW w:w="1551" w:type="dxa"/>
            <w:shd w:val="clear" w:color="auto" w:fill="C6D9F1"/>
            <w:vAlign w:val="bottom"/>
          </w:tcPr>
          <w:p w14:paraId="069FEB8A" w14:textId="77777777" w:rsidR="00F368B6" w:rsidRPr="0026220B" w:rsidRDefault="00F368B6" w:rsidP="0026220B">
            <w:pPr>
              <w:pStyle w:val="B"/>
              <w:rPr>
                <w:szCs w:val="20"/>
                <w:rtl/>
              </w:rPr>
            </w:pPr>
            <w:r w:rsidRPr="0026220B">
              <w:rPr>
                <w:rFonts w:hint="cs"/>
                <w:szCs w:val="20"/>
                <w:rtl/>
              </w:rPr>
              <w:t>התיק</w:t>
            </w:r>
          </w:p>
        </w:tc>
        <w:tc>
          <w:tcPr>
            <w:tcW w:w="2134" w:type="dxa"/>
            <w:shd w:val="clear" w:color="auto" w:fill="C6D9F1"/>
            <w:vAlign w:val="bottom"/>
          </w:tcPr>
          <w:p w14:paraId="401BBA51" w14:textId="77777777" w:rsidR="00F368B6" w:rsidRPr="0026220B" w:rsidRDefault="00F368B6" w:rsidP="0026220B">
            <w:pPr>
              <w:pStyle w:val="B"/>
              <w:rPr>
                <w:szCs w:val="20"/>
                <w:rtl/>
              </w:rPr>
            </w:pPr>
            <w:r w:rsidRPr="0026220B">
              <w:rPr>
                <w:rFonts w:hint="eastAsia"/>
                <w:szCs w:val="20"/>
                <w:rtl/>
              </w:rPr>
              <w:t>היקף</w:t>
            </w:r>
            <w:r w:rsidRPr="0026220B">
              <w:rPr>
                <w:szCs w:val="20"/>
                <w:rtl/>
              </w:rPr>
              <w:t xml:space="preserve"> </w:t>
            </w:r>
            <w:r w:rsidRPr="0026220B">
              <w:rPr>
                <w:rFonts w:hint="cs"/>
                <w:szCs w:val="20"/>
                <w:rtl/>
              </w:rPr>
              <w:t>ה</w:t>
            </w:r>
            <w:r w:rsidRPr="0026220B">
              <w:rPr>
                <w:rFonts w:hint="eastAsia"/>
                <w:szCs w:val="20"/>
                <w:rtl/>
              </w:rPr>
              <w:t>עבירה</w:t>
            </w:r>
            <w:r w:rsidRPr="0026220B">
              <w:rPr>
                <w:szCs w:val="20"/>
                <w:rtl/>
              </w:rPr>
              <w:t xml:space="preserve"> </w:t>
            </w:r>
            <w:r w:rsidRPr="0026220B">
              <w:rPr>
                <w:rFonts w:hint="cs"/>
                <w:szCs w:val="20"/>
                <w:rtl/>
              </w:rPr>
              <w:t>ה</w:t>
            </w:r>
            <w:r w:rsidRPr="0026220B">
              <w:rPr>
                <w:rFonts w:hint="eastAsia"/>
                <w:szCs w:val="20"/>
                <w:rtl/>
              </w:rPr>
              <w:t>משוערך</w:t>
            </w:r>
          </w:p>
        </w:tc>
        <w:tc>
          <w:tcPr>
            <w:tcW w:w="1835" w:type="dxa"/>
            <w:shd w:val="clear" w:color="auto" w:fill="C6D9F1"/>
            <w:vAlign w:val="bottom"/>
          </w:tcPr>
          <w:p w14:paraId="02C77D36" w14:textId="77777777" w:rsidR="00F368B6" w:rsidRPr="0026220B" w:rsidRDefault="00F368B6" w:rsidP="0026220B">
            <w:pPr>
              <w:pStyle w:val="B"/>
              <w:rPr>
                <w:szCs w:val="20"/>
                <w:rtl/>
              </w:rPr>
            </w:pPr>
            <w:r w:rsidRPr="0026220B">
              <w:rPr>
                <w:rFonts w:hint="eastAsia"/>
                <w:szCs w:val="20"/>
                <w:rtl/>
              </w:rPr>
              <w:t>היקף</w:t>
            </w:r>
            <w:r w:rsidRPr="0026220B">
              <w:rPr>
                <w:szCs w:val="20"/>
                <w:rtl/>
              </w:rPr>
              <w:t xml:space="preserve"> </w:t>
            </w:r>
            <w:r w:rsidRPr="0026220B">
              <w:rPr>
                <w:rFonts w:hint="cs"/>
                <w:szCs w:val="20"/>
                <w:rtl/>
              </w:rPr>
              <w:t>ה</w:t>
            </w:r>
            <w:r w:rsidRPr="0026220B">
              <w:rPr>
                <w:rFonts w:hint="eastAsia"/>
                <w:szCs w:val="20"/>
                <w:rtl/>
              </w:rPr>
              <w:t>רכוש</w:t>
            </w:r>
            <w:r w:rsidRPr="0026220B">
              <w:rPr>
                <w:szCs w:val="20"/>
                <w:rtl/>
              </w:rPr>
              <w:t xml:space="preserve"> </w:t>
            </w:r>
            <w:r w:rsidRPr="0026220B">
              <w:rPr>
                <w:rFonts w:hint="eastAsia"/>
                <w:szCs w:val="20"/>
                <w:rtl/>
              </w:rPr>
              <w:t>שנתפס</w:t>
            </w:r>
            <w:r w:rsidRPr="0026220B">
              <w:rPr>
                <w:szCs w:val="20"/>
                <w:rtl/>
              </w:rPr>
              <w:t xml:space="preserve"> </w:t>
            </w:r>
            <w:r w:rsidRPr="0026220B">
              <w:rPr>
                <w:rFonts w:hint="eastAsia"/>
                <w:szCs w:val="20"/>
                <w:rtl/>
              </w:rPr>
              <w:t>ביום</w:t>
            </w:r>
            <w:r w:rsidRPr="0026220B">
              <w:rPr>
                <w:szCs w:val="20"/>
                <w:rtl/>
              </w:rPr>
              <w:t xml:space="preserve"> </w:t>
            </w:r>
            <w:r w:rsidRPr="0026220B">
              <w:rPr>
                <w:rFonts w:hint="eastAsia"/>
                <w:szCs w:val="20"/>
                <w:rtl/>
              </w:rPr>
              <w:t>הפרוץ</w:t>
            </w:r>
          </w:p>
        </w:tc>
      </w:tr>
      <w:tr w:rsidR="00F368B6" w:rsidRPr="00E630B3" w14:paraId="37B58704" w14:textId="77777777" w:rsidTr="0026220B">
        <w:trPr>
          <w:jc w:val="center"/>
        </w:trPr>
        <w:tc>
          <w:tcPr>
            <w:tcW w:w="1551" w:type="dxa"/>
            <w:vAlign w:val="bottom"/>
          </w:tcPr>
          <w:p w14:paraId="40BB8D9E" w14:textId="77777777" w:rsidR="00F368B6" w:rsidRPr="0026220B" w:rsidRDefault="00F368B6" w:rsidP="0026220B">
            <w:pPr>
              <w:pStyle w:val="R"/>
              <w:rPr>
                <w:szCs w:val="20"/>
                <w:rtl/>
              </w:rPr>
            </w:pPr>
            <w:r w:rsidRPr="0026220B">
              <w:rPr>
                <w:rFonts w:hint="cs"/>
                <w:szCs w:val="20"/>
                <w:rtl/>
              </w:rPr>
              <w:t>תיק א'</w:t>
            </w:r>
          </w:p>
        </w:tc>
        <w:tc>
          <w:tcPr>
            <w:tcW w:w="2134" w:type="dxa"/>
            <w:vAlign w:val="bottom"/>
          </w:tcPr>
          <w:p w14:paraId="7634BE10" w14:textId="77777777" w:rsidR="00F368B6" w:rsidRPr="0026220B" w:rsidRDefault="00F368B6" w:rsidP="0026220B">
            <w:pPr>
              <w:pStyle w:val="R"/>
              <w:rPr>
                <w:szCs w:val="20"/>
                <w:rtl/>
              </w:rPr>
            </w:pPr>
            <w:r w:rsidRPr="0026220B">
              <w:rPr>
                <w:rFonts w:hint="cs"/>
                <w:szCs w:val="20"/>
                <w:rtl/>
              </w:rPr>
              <w:t>19,000</w:t>
            </w:r>
          </w:p>
        </w:tc>
        <w:tc>
          <w:tcPr>
            <w:tcW w:w="1835" w:type="dxa"/>
            <w:vAlign w:val="bottom"/>
          </w:tcPr>
          <w:p w14:paraId="606C5995" w14:textId="77777777" w:rsidR="00F368B6" w:rsidRPr="0026220B" w:rsidRDefault="00F368B6" w:rsidP="0026220B">
            <w:pPr>
              <w:pStyle w:val="R"/>
              <w:rPr>
                <w:szCs w:val="20"/>
                <w:rtl/>
              </w:rPr>
            </w:pPr>
            <w:r w:rsidRPr="0026220B">
              <w:rPr>
                <w:rFonts w:hint="cs"/>
                <w:szCs w:val="20"/>
                <w:rtl/>
              </w:rPr>
              <w:t>25,000</w:t>
            </w:r>
          </w:p>
        </w:tc>
      </w:tr>
      <w:tr w:rsidR="00F368B6" w:rsidRPr="00E630B3" w14:paraId="24237118" w14:textId="77777777" w:rsidTr="0026220B">
        <w:trPr>
          <w:jc w:val="center"/>
        </w:trPr>
        <w:tc>
          <w:tcPr>
            <w:tcW w:w="1551" w:type="dxa"/>
            <w:vAlign w:val="bottom"/>
          </w:tcPr>
          <w:p w14:paraId="4A096EC8" w14:textId="77777777" w:rsidR="00F368B6" w:rsidRPr="0026220B" w:rsidRDefault="00F368B6" w:rsidP="0026220B">
            <w:pPr>
              <w:pStyle w:val="R"/>
              <w:rPr>
                <w:szCs w:val="20"/>
                <w:rtl/>
              </w:rPr>
            </w:pPr>
            <w:r w:rsidRPr="0026220B">
              <w:rPr>
                <w:rFonts w:hint="cs"/>
                <w:szCs w:val="20"/>
                <w:rtl/>
              </w:rPr>
              <w:t>תיק ב'</w:t>
            </w:r>
          </w:p>
        </w:tc>
        <w:tc>
          <w:tcPr>
            <w:tcW w:w="2134" w:type="dxa"/>
            <w:vAlign w:val="bottom"/>
          </w:tcPr>
          <w:p w14:paraId="66EBCFB0" w14:textId="77777777" w:rsidR="00F368B6" w:rsidRPr="0026220B" w:rsidRDefault="00F368B6" w:rsidP="0026220B">
            <w:pPr>
              <w:pStyle w:val="R"/>
              <w:rPr>
                <w:szCs w:val="20"/>
                <w:rtl/>
              </w:rPr>
            </w:pPr>
            <w:r w:rsidRPr="0026220B">
              <w:rPr>
                <w:rFonts w:hint="cs"/>
                <w:szCs w:val="20"/>
                <w:rtl/>
              </w:rPr>
              <w:t>6,000</w:t>
            </w:r>
          </w:p>
        </w:tc>
        <w:tc>
          <w:tcPr>
            <w:tcW w:w="1835" w:type="dxa"/>
            <w:vAlign w:val="bottom"/>
          </w:tcPr>
          <w:p w14:paraId="7F8B7564" w14:textId="77777777" w:rsidR="00F368B6" w:rsidRPr="0026220B" w:rsidRDefault="00F368B6" w:rsidP="0026220B">
            <w:pPr>
              <w:pStyle w:val="R"/>
              <w:rPr>
                <w:szCs w:val="20"/>
                <w:rtl/>
              </w:rPr>
            </w:pPr>
            <w:r w:rsidRPr="0026220B">
              <w:rPr>
                <w:rFonts w:hint="cs"/>
                <w:szCs w:val="20"/>
                <w:rtl/>
              </w:rPr>
              <w:t>13,000</w:t>
            </w:r>
          </w:p>
        </w:tc>
      </w:tr>
      <w:tr w:rsidR="00F368B6" w:rsidRPr="00E630B3" w14:paraId="54D02BAD" w14:textId="77777777" w:rsidTr="0026220B">
        <w:trPr>
          <w:jc w:val="center"/>
        </w:trPr>
        <w:tc>
          <w:tcPr>
            <w:tcW w:w="1551" w:type="dxa"/>
            <w:vAlign w:val="bottom"/>
          </w:tcPr>
          <w:p w14:paraId="7EB6719E" w14:textId="77777777" w:rsidR="00F368B6" w:rsidRPr="0026220B" w:rsidRDefault="00F368B6" w:rsidP="0026220B">
            <w:pPr>
              <w:pStyle w:val="R"/>
              <w:rPr>
                <w:szCs w:val="20"/>
                <w:rtl/>
              </w:rPr>
            </w:pPr>
            <w:r w:rsidRPr="0026220B">
              <w:rPr>
                <w:rFonts w:hint="cs"/>
                <w:szCs w:val="20"/>
                <w:rtl/>
              </w:rPr>
              <w:t>תיק ג'</w:t>
            </w:r>
          </w:p>
        </w:tc>
        <w:tc>
          <w:tcPr>
            <w:tcW w:w="2134" w:type="dxa"/>
            <w:vAlign w:val="bottom"/>
          </w:tcPr>
          <w:p w14:paraId="3831BAAD" w14:textId="77777777" w:rsidR="00F368B6" w:rsidRPr="0026220B" w:rsidRDefault="00F368B6" w:rsidP="0026220B">
            <w:pPr>
              <w:pStyle w:val="R"/>
              <w:rPr>
                <w:szCs w:val="20"/>
                <w:rtl/>
              </w:rPr>
            </w:pPr>
            <w:r w:rsidRPr="0026220B">
              <w:rPr>
                <w:rFonts w:hint="cs"/>
                <w:szCs w:val="20"/>
                <w:rtl/>
              </w:rPr>
              <w:t>לא ניתן להערכה</w:t>
            </w:r>
          </w:p>
        </w:tc>
        <w:tc>
          <w:tcPr>
            <w:tcW w:w="1835" w:type="dxa"/>
            <w:vAlign w:val="bottom"/>
          </w:tcPr>
          <w:p w14:paraId="66D3577C" w14:textId="77777777" w:rsidR="00F368B6" w:rsidRPr="0026220B" w:rsidRDefault="00F368B6" w:rsidP="0026220B">
            <w:pPr>
              <w:pStyle w:val="R"/>
              <w:rPr>
                <w:szCs w:val="20"/>
                <w:rtl/>
              </w:rPr>
            </w:pPr>
            <w:r w:rsidRPr="0026220B">
              <w:rPr>
                <w:rFonts w:hint="cs"/>
                <w:szCs w:val="20"/>
                <w:rtl/>
              </w:rPr>
              <w:t>8,500</w:t>
            </w:r>
          </w:p>
        </w:tc>
      </w:tr>
    </w:tbl>
    <w:p w14:paraId="6F03E0EB" w14:textId="77777777" w:rsidR="007F491E" w:rsidRDefault="007F491E" w:rsidP="007F491E">
      <w:pPr>
        <w:pStyle w:val="100"/>
        <w:rPr>
          <w:rtl/>
        </w:rPr>
      </w:pPr>
    </w:p>
    <w:p w14:paraId="19E273CC" w14:textId="56114153" w:rsidR="00F368B6" w:rsidRDefault="00F368B6" w:rsidP="007F491E">
      <w:pPr>
        <w:pStyle w:val="100"/>
        <w:rPr>
          <w:rtl/>
        </w:rPr>
      </w:pPr>
      <w:r>
        <w:rPr>
          <w:rFonts w:hint="cs"/>
          <w:rtl/>
        </w:rPr>
        <w:t>בתשובתה ציינה המשטרה כי קיים קושי בחישוב מדויק של היקף העבירה, והיא נוקטת את מרב המאמצים לבצע הערכות שווי נכסים בהתאם לשוויים הריאלי ובאופן מדויק ככל האפשר. עוד ציינה כי לאורך כל ההליך היא מציגה לבית המשפט את היקף התפוסים ביחס להיקף העבירה כך שקיימת בקרה שיפוטית כבר משלב הבקשה להוצאת צו התפיסה. עוד ציינה המשטרה כי החשוד מקבל לידיו צווי תפיסה וקמה לו הזכות להגיש בקשה לבית המשפט להחזרת התפוס.</w:t>
      </w:r>
    </w:p>
    <w:p w14:paraId="35622171" w14:textId="77777777" w:rsidR="00F368B6" w:rsidRDefault="00F368B6" w:rsidP="007F491E">
      <w:pPr>
        <w:pStyle w:val="af1"/>
        <w:rPr>
          <w:rtl/>
        </w:rPr>
      </w:pPr>
      <w:r w:rsidRPr="008F476A">
        <w:rPr>
          <w:rFonts w:hint="cs"/>
          <w:rtl/>
        </w:rPr>
        <w:t xml:space="preserve">על המשטרה </w:t>
      </w:r>
      <w:r>
        <w:rPr>
          <w:rFonts w:hint="cs"/>
          <w:rtl/>
        </w:rPr>
        <w:t>להשקיע מאמצים כדי להבטיח ש</w:t>
      </w:r>
      <w:r w:rsidRPr="008F476A">
        <w:rPr>
          <w:rFonts w:hint="cs"/>
          <w:rtl/>
        </w:rPr>
        <w:t>הערכותיה בדבר שווי נכסים בשלב החקירה יבטאו באופן מדויק ככל האפשר את השווי הריאלי של</w:t>
      </w:r>
      <w:r>
        <w:rPr>
          <w:rFonts w:hint="cs"/>
          <w:rtl/>
        </w:rPr>
        <w:t xml:space="preserve"> כלל</w:t>
      </w:r>
      <w:r w:rsidRPr="008F476A">
        <w:rPr>
          <w:rFonts w:hint="cs"/>
          <w:rtl/>
        </w:rPr>
        <w:t xml:space="preserve"> הנכסים, </w:t>
      </w:r>
      <w:r>
        <w:rPr>
          <w:rFonts w:hint="cs"/>
          <w:rtl/>
        </w:rPr>
        <w:t xml:space="preserve">וכן </w:t>
      </w:r>
      <w:r w:rsidRPr="008F476A">
        <w:rPr>
          <w:rFonts w:hint="cs"/>
          <w:rtl/>
        </w:rPr>
        <w:t>להקפיד ולבצע את חישוב שווי העבירה באופן מבוסס ומדויק ככל האפשר</w:t>
      </w:r>
      <w:r>
        <w:rPr>
          <w:rFonts w:hint="cs"/>
          <w:rtl/>
        </w:rPr>
        <w:t>,</w:t>
      </w:r>
      <w:r w:rsidRPr="008F476A">
        <w:rPr>
          <w:rFonts w:hint="cs"/>
          <w:rtl/>
        </w:rPr>
        <w:t xml:space="preserve"> על מנת להבטיח כי תפיסותיה יהיו מידתיות בהיקפן</w:t>
      </w:r>
      <w:r>
        <w:rPr>
          <w:rFonts w:hint="cs"/>
          <w:rtl/>
        </w:rPr>
        <w:t xml:space="preserve"> ולא יחרגו מהיקף העבירה</w:t>
      </w:r>
      <w:r w:rsidRPr="008F476A">
        <w:rPr>
          <w:rFonts w:hint="cs"/>
          <w:rtl/>
        </w:rPr>
        <w:t xml:space="preserve">. הדבר נכון בפרט בשלב </w:t>
      </w:r>
      <w:r>
        <w:rPr>
          <w:rFonts w:hint="cs"/>
          <w:rtl/>
        </w:rPr>
        <w:t>ה</w:t>
      </w:r>
      <w:r w:rsidRPr="008F476A">
        <w:rPr>
          <w:rFonts w:hint="cs"/>
          <w:rtl/>
        </w:rPr>
        <w:t>מקדמי של ההליך הפלילי, כשאין בידי החשוד או בא כוחו כל חומרי החקירה המבססים את עילת התפיסה של רכושו.</w:t>
      </w:r>
    </w:p>
    <w:p w14:paraId="58A9F513" w14:textId="77777777" w:rsidR="00F368B6" w:rsidRPr="006939C6" w:rsidRDefault="00F368B6" w:rsidP="007F491E">
      <w:pPr>
        <w:pStyle w:val="316"/>
        <w:rPr>
          <w:sz w:val="24"/>
          <w:szCs w:val="24"/>
          <w:rtl/>
        </w:rPr>
      </w:pPr>
      <w:bookmarkStart w:id="9" w:name="_Toc24370959"/>
      <w:r w:rsidRPr="00466666">
        <w:rPr>
          <w:rFonts w:hint="cs"/>
          <w:rtl/>
        </w:rPr>
        <w:t>הטמעת אכיפה כלכלית ביחידות המשטרה</w:t>
      </w:r>
      <w:bookmarkEnd w:id="9"/>
    </w:p>
    <w:p w14:paraId="0B2BAE5A" w14:textId="77777777" w:rsidR="00F368B6" w:rsidRPr="00F80735" w:rsidRDefault="00F368B6" w:rsidP="007F491E">
      <w:pPr>
        <w:pStyle w:val="414"/>
        <w:rPr>
          <w:rtl/>
        </w:rPr>
      </w:pPr>
      <w:r>
        <w:rPr>
          <w:rFonts w:hint="cs"/>
          <w:rtl/>
        </w:rPr>
        <w:t>יעדי אכיפה כלכלית במשטרה</w:t>
      </w:r>
    </w:p>
    <w:p w14:paraId="2BCC2AED" w14:textId="77777777" w:rsidR="00F368B6" w:rsidRPr="004E0414" w:rsidRDefault="00F368B6" w:rsidP="007F491E">
      <w:pPr>
        <w:pStyle w:val="100"/>
        <w:rPr>
          <w:rtl/>
        </w:rPr>
      </w:pPr>
      <w:r w:rsidRPr="00CB3FA0">
        <w:rPr>
          <w:rFonts w:hint="cs"/>
          <w:rtl/>
        </w:rPr>
        <w:t>תיקי הלבנת הון גדולים ו</w:t>
      </w:r>
      <w:r>
        <w:rPr>
          <w:rFonts w:hint="cs"/>
          <w:rtl/>
        </w:rPr>
        <w:t>מרכזי</w:t>
      </w:r>
      <w:r w:rsidRPr="00CB3FA0">
        <w:rPr>
          <w:rFonts w:hint="cs"/>
          <w:rtl/>
        </w:rPr>
        <w:t>ים לרוב נחקרים ביחידות המרכזיות במחוזות</w:t>
      </w:r>
      <w:r>
        <w:rPr>
          <w:rFonts w:hint="cs"/>
          <w:rtl/>
        </w:rPr>
        <w:t xml:space="preserve"> (ימ"ר)</w:t>
      </w:r>
      <w:r w:rsidRPr="00CB3FA0">
        <w:rPr>
          <w:rFonts w:hint="cs"/>
          <w:rtl/>
        </w:rPr>
        <w:t xml:space="preserve"> וביחידות הארציות</w:t>
      </w:r>
      <w:r>
        <w:rPr>
          <w:rFonts w:hint="cs"/>
          <w:rtl/>
        </w:rPr>
        <w:t xml:space="preserve"> הפועלות תחת להב 433</w:t>
      </w:r>
      <w:r>
        <w:rPr>
          <w:rStyle w:val="FootnoteReference"/>
          <w:sz w:val="24"/>
          <w:rtl/>
        </w:rPr>
        <w:footnoteReference w:id="44"/>
      </w:r>
      <w:r>
        <w:rPr>
          <w:rFonts w:hint="cs"/>
          <w:rtl/>
        </w:rPr>
        <w:t>, ש</w:t>
      </w:r>
      <w:r w:rsidRPr="00CB3FA0">
        <w:rPr>
          <w:rFonts w:hint="cs"/>
          <w:rtl/>
        </w:rPr>
        <w:t>להן ידע נרחב</w:t>
      </w:r>
      <w:r>
        <w:rPr>
          <w:rFonts w:hint="cs"/>
          <w:rtl/>
        </w:rPr>
        <w:t xml:space="preserve"> וניסיון בתחומים אלו.</w:t>
      </w:r>
      <w:r w:rsidRPr="00CB3FA0">
        <w:rPr>
          <w:rFonts w:hint="cs"/>
          <w:rtl/>
        </w:rPr>
        <w:t xml:space="preserve"> </w:t>
      </w:r>
      <w:r>
        <w:rPr>
          <w:rFonts w:hint="cs"/>
          <w:rtl/>
        </w:rPr>
        <w:t>עם זאת</w:t>
      </w:r>
      <w:r w:rsidRPr="00CB3FA0">
        <w:rPr>
          <w:rFonts w:hint="cs"/>
          <w:rtl/>
        </w:rPr>
        <w:t xml:space="preserve"> גם יחידות מקומיות, לעיתים קטנות, כדוגמת תחנות, נדרשות להטמיע את חקירת הלבנת ההון ב</w:t>
      </w:r>
      <w:r>
        <w:rPr>
          <w:rFonts w:hint="cs"/>
          <w:rtl/>
        </w:rPr>
        <w:t>תיק</w:t>
      </w:r>
      <w:r w:rsidRPr="00CB3FA0">
        <w:rPr>
          <w:rFonts w:hint="cs"/>
          <w:rtl/>
        </w:rPr>
        <w:t>ים המתאימים</w:t>
      </w:r>
      <w:r>
        <w:rPr>
          <w:rFonts w:hint="cs"/>
          <w:rtl/>
        </w:rPr>
        <w:t>.</w:t>
      </w:r>
    </w:p>
    <w:p w14:paraId="1DD6EC40" w14:textId="77777777" w:rsidR="00F368B6" w:rsidRDefault="00F368B6" w:rsidP="007F491E">
      <w:pPr>
        <w:pStyle w:val="100"/>
        <w:rPr>
          <w:rtl/>
        </w:rPr>
      </w:pPr>
      <w:r>
        <w:rPr>
          <w:rFonts w:hint="cs"/>
          <w:rtl/>
        </w:rPr>
        <w:t xml:space="preserve">במחצית הראשונה של 2016 זיהה מדור אכיפה כלכלית במשטרה ירידה כללית בעיסוק באכיפה הכלכלית במחוזות המשטרה, בין היתר עקב שינוי ארגוני שהתבטא בביטול יעדי תוכנית </w:t>
      </w:r>
      <w:r>
        <w:rPr>
          <w:rFonts w:hint="cs"/>
          <w:rtl/>
        </w:rPr>
        <w:lastRenderedPageBreak/>
        <w:t>"מפנ"ה"</w:t>
      </w:r>
      <w:r>
        <w:rPr>
          <w:rStyle w:val="FootnoteReference"/>
          <w:sz w:val="24"/>
          <w:rtl/>
        </w:rPr>
        <w:footnoteReference w:id="45"/>
      </w:r>
      <w:r>
        <w:rPr>
          <w:rFonts w:hint="cs"/>
          <w:rtl/>
        </w:rPr>
        <w:t>. בעקבות זאת, וכדי לתמרץ את יחידות החקירה לעסוק באכיפה כלכלית</w:t>
      </w:r>
      <w:r w:rsidRPr="00BA7B6A">
        <w:rPr>
          <w:rFonts w:hint="cs"/>
          <w:rtl/>
        </w:rPr>
        <w:t xml:space="preserve"> </w:t>
      </w:r>
      <w:r>
        <w:rPr>
          <w:rFonts w:hint="cs"/>
          <w:rtl/>
        </w:rPr>
        <w:t>ב</w:t>
      </w:r>
      <w:r w:rsidRPr="00BA7B6A">
        <w:rPr>
          <w:rFonts w:hint="cs"/>
          <w:rtl/>
        </w:rPr>
        <w:t>כלל ר</w:t>
      </w:r>
      <w:r>
        <w:rPr>
          <w:rFonts w:hint="cs"/>
          <w:rtl/>
        </w:rPr>
        <w:t>ו</w:t>
      </w:r>
      <w:r w:rsidRPr="00BA7B6A">
        <w:rPr>
          <w:rFonts w:hint="cs"/>
          <w:rtl/>
        </w:rPr>
        <w:t>בדי הפשיעה</w:t>
      </w:r>
      <w:r>
        <w:rPr>
          <w:rFonts w:hint="cs"/>
          <w:rtl/>
        </w:rPr>
        <w:t xml:space="preserve"> (ובכלל זה ארגוני פשיעה, שחיתות שלטונית, הונאה ומרמה, הימורים וסחר בסמים, פשיעה חקלאית), קבעה להן המשטרה יעדי תפיסות כמותיים</w:t>
      </w:r>
      <w:r w:rsidRPr="00BA7B6A">
        <w:rPr>
          <w:rFonts w:hint="cs"/>
          <w:rtl/>
        </w:rPr>
        <w:t xml:space="preserve">. להלן בלוח </w:t>
      </w:r>
      <w:r>
        <w:rPr>
          <w:rFonts w:hint="cs"/>
          <w:rtl/>
        </w:rPr>
        <w:t xml:space="preserve">4 </w:t>
      </w:r>
      <w:r w:rsidRPr="00BA7B6A">
        <w:rPr>
          <w:rFonts w:hint="cs"/>
          <w:rtl/>
        </w:rPr>
        <w:t xml:space="preserve">נתונים </w:t>
      </w:r>
      <w:r>
        <w:rPr>
          <w:rFonts w:hint="cs"/>
          <w:rtl/>
        </w:rPr>
        <w:t xml:space="preserve">על יעדים אלה מול </w:t>
      </w:r>
      <w:r w:rsidRPr="00BA7B6A">
        <w:rPr>
          <w:rFonts w:hint="cs"/>
          <w:rtl/>
        </w:rPr>
        <w:t xml:space="preserve">היקפי התפיסות </w:t>
      </w:r>
      <w:r>
        <w:rPr>
          <w:rFonts w:hint="cs"/>
          <w:rtl/>
        </w:rPr>
        <w:t>ב</w:t>
      </w:r>
      <w:r w:rsidRPr="00BA7B6A">
        <w:rPr>
          <w:rFonts w:hint="cs"/>
          <w:rtl/>
        </w:rPr>
        <w:t>שנים 201</w:t>
      </w:r>
      <w:r>
        <w:rPr>
          <w:rFonts w:hint="cs"/>
          <w:rtl/>
        </w:rPr>
        <w:t xml:space="preserve">5 </w:t>
      </w:r>
      <w:r w:rsidRPr="00BA7B6A">
        <w:rPr>
          <w:rFonts w:hint="cs"/>
          <w:rtl/>
        </w:rPr>
        <w:t>-</w:t>
      </w:r>
      <w:r>
        <w:rPr>
          <w:rFonts w:hint="cs"/>
          <w:rtl/>
        </w:rPr>
        <w:t xml:space="preserve"> </w:t>
      </w:r>
      <w:r w:rsidRPr="00BA7B6A">
        <w:rPr>
          <w:rFonts w:hint="cs"/>
          <w:rtl/>
        </w:rPr>
        <w:t>201</w:t>
      </w:r>
      <w:r>
        <w:rPr>
          <w:rFonts w:hint="cs"/>
          <w:rtl/>
        </w:rPr>
        <w:t>8,</w:t>
      </w:r>
      <w:r w:rsidRPr="00BA7B6A">
        <w:rPr>
          <w:rFonts w:hint="cs"/>
          <w:rtl/>
        </w:rPr>
        <w:t xml:space="preserve"> בחלוקה ליחידות להב והמחוזות:</w:t>
      </w:r>
    </w:p>
    <w:p w14:paraId="7101EAAD" w14:textId="2D40DA02" w:rsidR="00F368B6" w:rsidRPr="007F491E" w:rsidRDefault="00F368B6" w:rsidP="007F491E">
      <w:pPr>
        <w:pStyle w:val="a6"/>
        <w:rPr>
          <w:b/>
          <w:bCs/>
          <w:rtl/>
        </w:rPr>
      </w:pPr>
      <w:r w:rsidRPr="00BA7B6A">
        <w:rPr>
          <w:rFonts w:hint="cs"/>
          <w:rtl/>
        </w:rPr>
        <w:t xml:space="preserve">לוח </w:t>
      </w:r>
      <w:r>
        <w:rPr>
          <w:rFonts w:hint="cs"/>
          <w:rtl/>
        </w:rPr>
        <w:t>4:</w:t>
      </w:r>
      <w:r w:rsidRPr="00BA7B6A">
        <w:rPr>
          <w:rFonts w:hint="cs"/>
          <w:rtl/>
        </w:rPr>
        <w:t xml:space="preserve"> </w:t>
      </w:r>
      <w:r w:rsidRPr="007F491E">
        <w:rPr>
          <w:rFonts w:hint="cs"/>
          <w:b/>
          <w:bCs/>
          <w:rtl/>
        </w:rPr>
        <w:t>יעדי אכיפה כלכלית ותפיסות במשטרת ישראל, 2015 - 2018 (במיליוני ש"ח)</w:t>
      </w:r>
    </w:p>
    <w:tbl>
      <w:tblPr>
        <w:tblStyle w:val="TableGrid"/>
        <w:bidiVisual/>
        <w:tblW w:w="7802" w:type="dxa"/>
        <w:tblInd w:w="162" w:type="dxa"/>
        <w:tblLook w:val="04A0" w:firstRow="1" w:lastRow="0" w:firstColumn="1" w:lastColumn="0" w:noHBand="0" w:noVBand="1"/>
      </w:tblPr>
      <w:tblGrid>
        <w:gridCol w:w="927"/>
        <w:gridCol w:w="927"/>
        <w:gridCol w:w="1487"/>
        <w:gridCol w:w="1487"/>
        <w:gridCol w:w="1487"/>
        <w:gridCol w:w="1487"/>
      </w:tblGrid>
      <w:tr w:rsidR="00F368B6" w:rsidRPr="00E97A4B" w14:paraId="05F28693" w14:textId="77777777" w:rsidTr="00E97A4B">
        <w:tc>
          <w:tcPr>
            <w:tcW w:w="927" w:type="dxa"/>
            <w:shd w:val="clear" w:color="auto" w:fill="C6D9F1"/>
            <w:vAlign w:val="bottom"/>
          </w:tcPr>
          <w:p w14:paraId="7194EB87" w14:textId="77777777" w:rsidR="00F368B6" w:rsidRPr="00E97A4B" w:rsidRDefault="00F368B6" w:rsidP="00E97A4B">
            <w:pPr>
              <w:pStyle w:val="ad"/>
              <w:rPr>
                <w:rtl/>
              </w:rPr>
            </w:pPr>
            <w:r w:rsidRPr="00E97A4B">
              <w:rPr>
                <w:rFonts w:hint="cs"/>
                <w:rtl/>
              </w:rPr>
              <w:t>השנה</w:t>
            </w:r>
          </w:p>
        </w:tc>
        <w:tc>
          <w:tcPr>
            <w:tcW w:w="927" w:type="dxa"/>
            <w:shd w:val="clear" w:color="auto" w:fill="C6D9F1"/>
            <w:vAlign w:val="bottom"/>
          </w:tcPr>
          <w:p w14:paraId="791C7D78" w14:textId="77777777" w:rsidR="00F368B6" w:rsidRPr="00E97A4B" w:rsidRDefault="00F368B6" w:rsidP="00E97A4B">
            <w:pPr>
              <w:pStyle w:val="ad"/>
              <w:rPr>
                <w:rtl/>
              </w:rPr>
            </w:pPr>
            <w:r w:rsidRPr="00E97A4B">
              <w:rPr>
                <w:rFonts w:hint="cs"/>
                <w:rtl/>
              </w:rPr>
              <w:t>להב - יעד</w:t>
            </w:r>
          </w:p>
        </w:tc>
        <w:tc>
          <w:tcPr>
            <w:tcW w:w="1487" w:type="dxa"/>
            <w:shd w:val="clear" w:color="auto" w:fill="C6D9F1"/>
            <w:vAlign w:val="bottom"/>
          </w:tcPr>
          <w:p w14:paraId="5506664B" w14:textId="4D798506" w:rsidR="00F368B6" w:rsidRPr="00E97A4B" w:rsidRDefault="00F368B6" w:rsidP="00E97A4B">
            <w:pPr>
              <w:pStyle w:val="ad"/>
              <w:rPr>
                <w:rtl/>
              </w:rPr>
            </w:pPr>
            <w:r w:rsidRPr="00E97A4B">
              <w:rPr>
                <w:rFonts w:hint="cs"/>
                <w:rtl/>
              </w:rPr>
              <w:t xml:space="preserve">להב </w:t>
            </w:r>
            <w:r w:rsidR="00E97A4B" w:rsidRPr="00E97A4B">
              <w:rPr>
                <w:rFonts w:hint="cs"/>
                <w:rtl/>
              </w:rPr>
              <w:t>–</w:t>
            </w:r>
            <w:r w:rsidRPr="00E97A4B">
              <w:rPr>
                <w:rFonts w:hint="cs"/>
                <w:rtl/>
              </w:rPr>
              <w:t xml:space="preserve"> תפיסות</w:t>
            </w:r>
            <w:r w:rsidR="00E97A4B" w:rsidRPr="00E97A4B">
              <w:rPr>
                <w:rtl/>
              </w:rPr>
              <w:br/>
            </w:r>
            <w:r w:rsidRPr="00E97A4B">
              <w:rPr>
                <w:rFonts w:hint="cs"/>
                <w:rtl/>
              </w:rPr>
              <w:t>(% ביצוע)</w:t>
            </w:r>
          </w:p>
        </w:tc>
        <w:tc>
          <w:tcPr>
            <w:tcW w:w="1487" w:type="dxa"/>
            <w:shd w:val="clear" w:color="auto" w:fill="C6D9F1"/>
            <w:vAlign w:val="bottom"/>
          </w:tcPr>
          <w:p w14:paraId="718F3544" w14:textId="77777777" w:rsidR="00F368B6" w:rsidRPr="00E97A4B" w:rsidRDefault="00F368B6" w:rsidP="00E97A4B">
            <w:pPr>
              <w:pStyle w:val="ad"/>
              <w:rPr>
                <w:rtl/>
              </w:rPr>
            </w:pPr>
            <w:r w:rsidRPr="00E97A4B">
              <w:rPr>
                <w:rFonts w:hint="cs"/>
                <w:rtl/>
              </w:rPr>
              <w:t>מחוזות - יעד</w:t>
            </w:r>
          </w:p>
        </w:tc>
        <w:tc>
          <w:tcPr>
            <w:tcW w:w="1487" w:type="dxa"/>
            <w:shd w:val="clear" w:color="auto" w:fill="C6D9F1"/>
            <w:vAlign w:val="bottom"/>
          </w:tcPr>
          <w:p w14:paraId="526D41AE" w14:textId="7C22C8B5" w:rsidR="00F368B6" w:rsidRPr="00E97A4B" w:rsidRDefault="00F368B6" w:rsidP="00E97A4B">
            <w:pPr>
              <w:pStyle w:val="ad"/>
              <w:rPr>
                <w:rtl/>
              </w:rPr>
            </w:pPr>
            <w:r w:rsidRPr="00E97A4B">
              <w:rPr>
                <w:rFonts w:hint="cs"/>
                <w:rtl/>
              </w:rPr>
              <w:t>מחוזות -תפיסות</w:t>
            </w:r>
            <w:r w:rsidR="007F491E" w:rsidRPr="00E97A4B">
              <w:rPr>
                <w:rtl/>
              </w:rPr>
              <w:br/>
            </w:r>
            <w:r w:rsidRPr="00E97A4B">
              <w:rPr>
                <w:rFonts w:hint="cs"/>
                <w:rtl/>
              </w:rPr>
              <w:t>(% ביצוע)</w:t>
            </w:r>
          </w:p>
        </w:tc>
        <w:tc>
          <w:tcPr>
            <w:tcW w:w="1487" w:type="dxa"/>
            <w:shd w:val="clear" w:color="auto" w:fill="C6D9F1"/>
            <w:vAlign w:val="bottom"/>
          </w:tcPr>
          <w:p w14:paraId="447D9092" w14:textId="77777777" w:rsidR="00F368B6" w:rsidRPr="00E97A4B" w:rsidRDefault="00F368B6" w:rsidP="00E97A4B">
            <w:pPr>
              <w:pStyle w:val="ad"/>
              <w:rPr>
                <w:rtl/>
              </w:rPr>
            </w:pPr>
            <w:r w:rsidRPr="00E97A4B">
              <w:rPr>
                <w:rFonts w:hint="cs"/>
                <w:rtl/>
              </w:rPr>
              <w:t>סה"כ תפיסות משטרה</w:t>
            </w:r>
          </w:p>
          <w:p w14:paraId="201FFB25" w14:textId="77777777" w:rsidR="00F368B6" w:rsidRPr="00E97A4B" w:rsidRDefault="00F368B6" w:rsidP="00E97A4B">
            <w:pPr>
              <w:pStyle w:val="ad"/>
              <w:rPr>
                <w:rtl/>
              </w:rPr>
            </w:pPr>
            <w:r w:rsidRPr="00E97A4B">
              <w:rPr>
                <w:rFonts w:hint="cs"/>
                <w:rtl/>
              </w:rPr>
              <w:t>(% ביצוע)</w:t>
            </w:r>
          </w:p>
        </w:tc>
      </w:tr>
      <w:tr w:rsidR="00F368B6" w:rsidRPr="00E630B3" w14:paraId="3663F263" w14:textId="77777777" w:rsidTr="00E97A4B">
        <w:tc>
          <w:tcPr>
            <w:tcW w:w="927" w:type="dxa"/>
            <w:shd w:val="clear" w:color="auto" w:fill="auto"/>
            <w:vAlign w:val="bottom"/>
          </w:tcPr>
          <w:p w14:paraId="4421577F" w14:textId="77777777" w:rsidR="00F368B6" w:rsidRPr="007F491E" w:rsidRDefault="00F368B6" w:rsidP="007F491E">
            <w:pPr>
              <w:pStyle w:val="R"/>
              <w:rPr>
                <w:szCs w:val="20"/>
                <w:rtl/>
              </w:rPr>
            </w:pPr>
            <w:r w:rsidRPr="007F491E">
              <w:rPr>
                <w:rFonts w:hint="cs"/>
                <w:szCs w:val="20"/>
                <w:rtl/>
              </w:rPr>
              <w:t>2015</w:t>
            </w:r>
          </w:p>
        </w:tc>
        <w:tc>
          <w:tcPr>
            <w:tcW w:w="927" w:type="dxa"/>
            <w:shd w:val="clear" w:color="auto" w:fill="auto"/>
            <w:vAlign w:val="bottom"/>
          </w:tcPr>
          <w:p w14:paraId="4E266F6A" w14:textId="77777777" w:rsidR="00F368B6" w:rsidRPr="007F491E" w:rsidRDefault="00F368B6" w:rsidP="007F491E">
            <w:pPr>
              <w:pStyle w:val="R"/>
              <w:rPr>
                <w:szCs w:val="20"/>
                <w:rtl/>
              </w:rPr>
            </w:pPr>
            <w:r w:rsidRPr="007F491E">
              <w:rPr>
                <w:rFonts w:hint="cs"/>
                <w:szCs w:val="20"/>
                <w:rtl/>
              </w:rPr>
              <w:t>348</w:t>
            </w:r>
          </w:p>
        </w:tc>
        <w:tc>
          <w:tcPr>
            <w:tcW w:w="1487" w:type="dxa"/>
            <w:shd w:val="clear" w:color="auto" w:fill="auto"/>
            <w:vAlign w:val="bottom"/>
          </w:tcPr>
          <w:p w14:paraId="338D0BE7" w14:textId="77777777" w:rsidR="00F368B6" w:rsidRPr="007F491E" w:rsidRDefault="00F368B6" w:rsidP="007F491E">
            <w:pPr>
              <w:pStyle w:val="R"/>
              <w:rPr>
                <w:szCs w:val="20"/>
                <w:rtl/>
              </w:rPr>
            </w:pPr>
            <w:r w:rsidRPr="007F491E">
              <w:rPr>
                <w:rFonts w:hint="cs"/>
                <w:szCs w:val="20"/>
                <w:rtl/>
              </w:rPr>
              <w:t>447 (128%)</w:t>
            </w:r>
          </w:p>
        </w:tc>
        <w:tc>
          <w:tcPr>
            <w:tcW w:w="1487" w:type="dxa"/>
            <w:shd w:val="clear" w:color="auto" w:fill="auto"/>
            <w:vAlign w:val="bottom"/>
          </w:tcPr>
          <w:p w14:paraId="450E60F4" w14:textId="77777777" w:rsidR="00F368B6" w:rsidRPr="007F491E" w:rsidRDefault="00F368B6" w:rsidP="007F491E">
            <w:pPr>
              <w:pStyle w:val="R"/>
              <w:rPr>
                <w:szCs w:val="20"/>
                <w:rtl/>
              </w:rPr>
            </w:pPr>
            <w:r w:rsidRPr="007F491E">
              <w:rPr>
                <w:rFonts w:hint="cs"/>
                <w:szCs w:val="20"/>
                <w:rtl/>
              </w:rPr>
              <w:t>139</w:t>
            </w:r>
          </w:p>
        </w:tc>
        <w:tc>
          <w:tcPr>
            <w:tcW w:w="1487" w:type="dxa"/>
            <w:shd w:val="clear" w:color="auto" w:fill="auto"/>
            <w:vAlign w:val="bottom"/>
          </w:tcPr>
          <w:p w14:paraId="53AA47C8" w14:textId="77777777" w:rsidR="00F368B6" w:rsidRPr="007F491E" w:rsidRDefault="00F368B6" w:rsidP="007F491E">
            <w:pPr>
              <w:pStyle w:val="R"/>
              <w:rPr>
                <w:szCs w:val="20"/>
                <w:rtl/>
              </w:rPr>
            </w:pPr>
            <w:r w:rsidRPr="007F491E">
              <w:rPr>
                <w:rFonts w:hint="cs"/>
                <w:szCs w:val="20"/>
                <w:rtl/>
              </w:rPr>
              <w:t>233 (167%)</w:t>
            </w:r>
          </w:p>
        </w:tc>
        <w:tc>
          <w:tcPr>
            <w:tcW w:w="1487" w:type="dxa"/>
            <w:shd w:val="clear" w:color="auto" w:fill="auto"/>
            <w:vAlign w:val="bottom"/>
          </w:tcPr>
          <w:p w14:paraId="4690A703" w14:textId="77777777" w:rsidR="00F368B6" w:rsidRPr="007F491E" w:rsidRDefault="00F368B6" w:rsidP="007F491E">
            <w:pPr>
              <w:pStyle w:val="R"/>
              <w:rPr>
                <w:szCs w:val="20"/>
                <w:rtl/>
              </w:rPr>
            </w:pPr>
            <w:r w:rsidRPr="007F491E">
              <w:rPr>
                <w:rFonts w:hint="cs"/>
                <w:szCs w:val="20"/>
                <w:rtl/>
              </w:rPr>
              <w:t>680 (140%)</w:t>
            </w:r>
          </w:p>
        </w:tc>
      </w:tr>
      <w:tr w:rsidR="00F368B6" w:rsidRPr="00E630B3" w14:paraId="0C1DF9A0" w14:textId="77777777" w:rsidTr="00E97A4B">
        <w:tc>
          <w:tcPr>
            <w:tcW w:w="927" w:type="dxa"/>
            <w:shd w:val="clear" w:color="auto" w:fill="auto"/>
            <w:vAlign w:val="bottom"/>
          </w:tcPr>
          <w:p w14:paraId="335680B4" w14:textId="77777777" w:rsidR="00F368B6" w:rsidRPr="007F491E" w:rsidRDefault="00F368B6" w:rsidP="007F491E">
            <w:pPr>
              <w:pStyle w:val="R"/>
              <w:rPr>
                <w:szCs w:val="20"/>
                <w:rtl/>
              </w:rPr>
            </w:pPr>
            <w:r w:rsidRPr="007F491E">
              <w:rPr>
                <w:rFonts w:hint="cs"/>
                <w:szCs w:val="20"/>
                <w:rtl/>
              </w:rPr>
              <w:t>2016</w:t>
            </w:r>
          </w:p>
        </w:tc>
        <w:tc>
          <w:tcPr>
            <w:tcW w:w="927" w:type="dxa"/>
            <w:shd w:val="clear" w:color="auto" w:fill="auto"/>
            <w:vAlign w:val="bottom"/>
          </w:tcPr>
          <w:p w14:paraId="189450D6" w14:textId="77777777" w:rsidR="00F368B6" w:rsidRPr="007F491E" w:rsidRDefault="00F368B6" w:rsidP="007F491E">
            <w:pPr>
              <w:pStyle w:val="R"/>
              <w:rPr>
                <w:szCs w:val="20"/>
                <w:rtl/>
              </w:rPr>
            </w:pPr>
            <w:r w:rsidRPr="007F491E">
              <w:rPr>
                <w:rFonts w:hint="cs"/>
                <w:szCs w:val="20"/>
                <w:rtl/>
              </w:rPr>
              <w:t>445</w:t>
            </w:r>
          </w:p>
        </w:tc>
        <w:tc>
          <w:tcPr>
            <w:tcW w:w="1487" w:type="dxa"/>
            <w:shd w:val="clear" w:color="auto" w:fill="auto"/>
            <w:vAlign w:val="bottom"/>
          </w:tcPr>
          <w:p w14:paraId="0CEDD43F" w14:textId="77777777" w:rsidR="00F368B6" w:rsidRPr="007F491E" w:rsidRDefault="00F368B6" w:rsidP="007F491E">
            <w:pPr>
              <w:pStyle w:val="R"/>
              <w:rPr>
                <w:szCs w:val="20"/>
                <w:rtl/>
              </w:rPr>
            </w:pPr>
            <w:r w:rsidRPr="007F491E">
              <w:rPr>
                <w:rFonts w:hint="cs"/>
                <w:szCs w:val="20"/>
                <w:rtl/>
              </w:rPr>
              <w:t>632 (142%)</w:t>
            </w:r>
          </w:p>
        </w:tc>
        <w:tc>
          <w:tcPr>
            <w:tcW w:w="1487" w:type="dxa"/>
            <w:shd w:val="clear" w:color="auto" w:fill="auto"/>
            <w:vAlign w:val="bottom"/>
          </w:tcPr>
          <w:p w14:paraId="1AF438B3" w14:textId="77777777" w:rsidR="00F368B6" w:rsidRPr="007F491E" w:rsidRDefault="00F368B6" w:rsidP="007F491E">
            <w:pPr>
              <w:pStyle w:val="R"/>
              <w:rPr>
                <w:szCs w:val="20"/>
                <w:rtl/>
              </w:rPr>
            </w:pPr>
            <w:r w:rsidRPr="007F491E">
              <w:rPr>
                <w:rFonts w:hint="cs"/>
                <w:szCs w:val="20"/>
                <w:rtl/>
              </w:rPr>
              <w:t>222</w:t>
            </w:r>
          </w:p>
        </w:tc>
        <w:tc>
          <w:tcPr>
            <w:tcW w:w="1487" w:type="dxa"/>
            <w:shd w:val="clear" w:color="auto" w:fill="auto"/>
            <w:vAlign w:val="bottom"/>
          </w:tcPr>
          <w:p w14:paraId="262FED44" w14:textId="77777777" w:rsidR="00F368B6" w:rsidRPr="007F491E" w:rsidRDefault="00F368B6" w:rsidP="007F491E">
            <w:pPr>
              <w:pStyle w:val="R"/>
              <w:rPr>
                <w:szCs w:val="20"/>
                <w:rtl/>
              </w:rPr>
            </w:pPr>
            <w:r w:rsidRPr="007F491E">
              <w:rPr>
                <w:rFonts w:hint="cs"/>
                <w:szCs w:val="20"/>
                <w:rtl/>
              </w:rPr>
              <w:t>213 (95%)</w:t>
            </w:r>
          </w:p>
        </w:tc>
        <w:tc>
          <w:tcPr>
            <w:tcW w:w="1487" w:type="dxa"/>
            <w:shd w:val="clear" w:color="auto" w:fill="auto"/>
            <w:vAlign w:val="bottom"/>
          </w:tcPr>
          <w:p w14:paraId="17AE1310" w14:textId="77777777" w:rsidR="00F368B6" w:rsidRPr="007F491E" w:rsidRDefault="00F368B6" w:rsidP="007F491E">
            <w:pPr>
              <w:pStyle w:val="R"/>
              <w:rPr>
                <w:szCs w:val="20"/>
                <w:rtl/>
              </w:rPr>
            </w:pPr>
            <w:r w:rsidRPr="007F491E">
              <w:rPr>
                <w:rFonts w:hint="cs"/>
                <w:szCs w:val="20"/>
                <w:rtl/>
              </w:rPr>
              <w:t>854 (128%)</w:t>
            </w:r>
          </w:p>
        </w:tc>
      </w:tr>
      <w:tr w:rsidR="00F368B6" w:rsidRPr="00E630B3" w14:paraId="0109EB53" w14:textId="77777777" w:rsidTr="00E97A4B">
        <w:tc>
          <w:tcPr>
            <w:tcW w:w="927" w:type="dxa"/>
            <w:shd w:val="clear" w:color="auto" w:fill="auto"/>
            <w:vAlign w:val="bottom"/>
          </w:tcPr>
          <w:p w14:paraId="74FE1410" w14:textId="77777777" w:rsidR="00F368B6" w:rsidRPr="007F491E" w:rsidRDefault="00F368B6" w:rsidP="007F491E">
            <w:pPr>
              <w:pStyle w:val="R"/>
              <w:rPr>
                <w:szCs w:val="20"/>
                <w:rtl/>
              </w:rPr>
            </w:pPr>
            <w:r w:rsidRPr="007F491E">
              <w:rPr>
                <w:rFonts w:hint="cs"/>
                <w:szCs w:val="20"/>
                <w:rtl/>
              </w:rPr>
              <w:t>2017</w:t>
            </w:r>
          </w:p>
        </w:tc>
        <w:tc>
          <w:tcPr>
            <w:tcW w:w="927" w:type="dxa"/>
            <w:shd w:val="clear" w:color="auto" w:fill="auto"/>
            <w:vAlign w:val="bottom"/>
          </w:tcPr>
          <w:p w14:paraId="525498B5" w14:textId="77777777" w:rsidR="00F368B6" w:rsidRPr="007F491E" w:rsidRDefault="00F368B6" w:rsidP="007F491E">
            <w:pPr>
              <w:pStyle w:val="R"/>
              <w:rPr>
                <w:szCs w:val="20"/>
                <w:rtl/>
              </w:rPr>
            </w:pPr>
            <w:r w:rsidRPr="007F491E">
              <w:rPr>
                <w:rFonts w:hint="cs"/>
                <w:szCs w:val="20"/>
                <w:rtl/>
              </w:rPr>
              <w:t>722</w:t>
            </w:r>
          </w:p>
        </w:tc>
        <w:tc>
          <w:tcPr>
            <w:tcW w:w="1487" w:type="dxa"/>
            <w:shd w:val="clear" w:color="auto" w:fill="auto"/>
            <w:vAlign w:val="bottom"/>
          </w:tcPr>
          <w:p w14:paraId="12732B01" w14:textId="77777777" w:rsidR="00F368B6" w:rsidRPr="007F491E" w:rsidRDefault="00F368B6" w:rsidP="007F491E">
            <w:pPr>
              <w:pStyle w:val="R"/>
              <w:rPr>
                <w:szCs w:val="20"/>
                <w:rtl/>
              </w:rPr>
            </w:pPr>
            <w:r w:rsidRPr="007F491E">
              <w:rPr>
                <w:rFonts w:hint="cs"/>
                <w:szCs w:val="20"/>
                <w:rtl/>
              </w:rPr>
              <w:t>1,026 (142%)</w:t>
            </w:r>
          </w:p>
        </w:tc>
        <w:tc>
          <w:tcPr>
            <w:tcW w:w="1487" w:type="dxa"/>
            <w:shd w:val="clear" w:color="auto" w:fill="auto"/>
            <w:vAlign w:val="bottom"/>
          </w:tcPr>
          <w:p w14:paraId="67457145" w14:textId="77777777" w:rsidR="00F368B6" w:rsidRPr="007F491E" w:rsidRDefault="00F368B6" w:rsidP="007F491E">
            <w:pPr>
              <w:pStyle w:val="R"/>
              <w:rPr>
                <w:szCs w:val="20"/>
                <w:rtl/>
              </w:rPr>
            </w:pPr>
            <w:r w:rsidRPr="007F491E">
              <w:rPr>
                <w:rFonts w:hint="cs"/>
                <w:szCs w:val="20"/>
                <w:rtl/>
              </w:rPr>
              <w:t>278</w:t>
            </w:r>
          </w:p>
        </w:tc>
        <w:tc>
          <w:tcPr>
            <w:tcW w:w="1487" w:type="dxa"/>
            <w:shd w:val="clear" w:color="auto" w:fill="auto"/>
            <w:vAlign w:val="bottom"/>
          </w:tcPr>
          <w:p w14:paraId="6E174ED6" w14:textId="77777777" w:rsidR="00F368B6" w:rsidRPr="007F491E" w:rsidRDefault="00F368B6" w:rsidP="007F491E">
            <w:pPr>
              <w:pStyle w:val="R"/>
              <w:rPr>
                <w:szCs w:val="20"/>
                <w:rtl/>
              </w:rPr>
            </w:pPr>
            <w:r w:rsidRPr="007F491E">
              <w:rPr>
                <w:rFonts w:hint="cs"/>
                <w:szCs w:val="20"/>
                <w:rtl/>
              </w:rPr>
              <w:t>463 (166%)</w:t>
            </w:r>
          </w:p>
        </w:tc>
        <w:tc>
          <w:tcPr>
            <w:tcW w:w="1487" w:type="dxa"/>
            <w:shd w:val="clear" w:color="auto" w:fill="auto"/>
            <w:vAlign w:val="bottom"/>
          </w:tcPr>
          <w:p w14:paraId="0F3861BB" w14:textId="77777777" w:rsidR="00F368B6" w:rsidRPr="007F491E" w:rsidRDefault="00F368B6" w:rsidP="007F491E">
            <w:pPr>
              <w:pStyle w:val="R"/>
              <w:rPr>
                <w:szCs w:val="20"/>
                <w:rtl/>
              </w:rPr>
            </w:pPr>
            <w:r w:rsidRPr="007F491E">
              <w:rPr>
                <w:rFonts w:hint="cs"/>
                <w:szCs w:val="20"/>
                <w:rtl/>
              </w:rPr>
              <w:t>1,489 (148%)</w:t>
            </w:r>
          </w:p>
        </w:tc>
      </w:tr>
      <w:tr w:rsidR="00F368B6" w:rsidRPr="00E630B3" w14:paraId="269E4F99" w14:textId="77777777" w:rsidTr="00E97A4B">
        <w:tc>
          <w:tcPr>
            <w:tcW w:w="927" w:type="dxa"/>
            <w:shd w:val="clear" w:color="auto" w:fill="auto"/>
            <w:vAlign w:val="bottom"/>
          </w:tcPr>
          <w:p w14:paraId="74957EF4" w14:textId="77777777" w:rsidR="00F368B6" w:rsidRPr="007F491E" w:rsidRDefault="00F368B6" w:rsidP="007F491E">
            <w:pPr>
              <w:pStyle w:val="R"/>
              <w:rPr>
                <w:szCs w:val="20"/>
                <w:rtl/>
              </w:rPr>
            </w:pPr>
            <w:r w:rsidRPr="007F491E">
              <w:rPr>
                <w:szCs w:val="20"/>
                <w:rtl/>
              </w:rPr>
              <w:t>2018</w:t>
            </w:r>
          </w:p>
        </w:tc>
        <w:tc>
          <w:tcPr>
            <w:tcW w:w="927" w:type="dxa"/>
            <w:shd w:val="clear" w:color="auto" w:fill="auto"/>
            <w:vAlign w:val="bottom"/>
          </w:tcPr>
          <w:p w14:paraId="26345280" w14:textId="77777777" w:rsidR="00F368B6" w:rsidRPr="007F491E" w:rsidRDefault="00F368B6" w:rsidP="007F491E">
            <w:pPr>
              <w:pStyle w:val="R"/>
              <w:rPr>
                <w:szCs w:val="20"/>
                <w:rtl/>
              </w:rPr>
            </w:pPr>
            <w:r w:rsidRPr="007F491E">
              <w:rPr>
                <w:rFonts w:hint="cs"/>
                <w:szCs w:val="20"/>
                <w:rtl/>
              </w:rPr>
              <w:t>1,100</w:t>
            </w:r>
          </w:p>
        </w:tc>
        <w:tc>
          <w:tcPr>
            <w:tcW w:w="1487" w:type="dxa"/>
            <w:shd w:val="clear" w:color="auto" w:fill="auto"/>
            <w:vAlign w:val="bottom"/>
          </w:tcPr>
          <w:p w14:paraId="404DC141" w14:textId="77777777" w:rsidR="00F368B6" w:rsidRPr="007F491E" w:rsidRDefault="00F368B6" w:rsidP="007F491E">
            <w:pPr>
              <w:pStyle w:val="R"/>
              <w:rPr>
                <w:szCs w:val="20"/>
                <w:rtl/>
              </w:rPr>
            </w:pPr>
            <w:r w:rsidRPr="007F491E">
              <w:rPr>
                <w:rFonts w:hint="cs"/>
                <w:szCs w:val="20"/>
                <w:rtl/>
              </w:rPr>
              <w:t>1,562 (142%)</w:t>
            </w:r>
          </w:p>
        </w:tc>
        <w:tc>
          <w:tcPr>
            <w:tcW w:w="1487" w:type="dxa"/>
            <w:shd w:val="clear" w:color="auto" w:fill="auto"/>
            <w:vAlign w:val="bottom"/>
          </w:tcPr>
          <w:p w14:paraId="01FBC2C5" w14:textId="77777777" w:rsidR="00F368B6" w:rsidRPr="007F491E" w:rsidRDefault="00F368B6" w:rsidP="007F491E">
            <w:pPr>
              <w:pStyle w:val="R"/>
              <w:rPr>
                <w:szCs w:val="20"/>
                <w:rtl/>
              </w:rPr>
            </w:pPr>
            <w:r w:rsidRPr="007F491E">
              <w:rPr>
                <w:rFonts w:hint="cs"/>
                <w:szCs w:val="20"/>
                <w:rtl/>
              </w:rPr>
              <w:t>400</w:t>
            </w:r>
          </w:p>
        </w:tc>
        <w:tc>
          <w:tcPr>
            <w:tcW w:w="1487" w:type="dxa"/>
            <w:shd w:val="clear" w:color="auto" w:fill="auto"/>
            <w:vAlign w:val="bottom"/>
          </w:tcPr>
          <w:p w14:paraId="326B9F1D" w14:textId="77777777" w:rsidR="00F368B6" w:rsidRPr="007F491E" w:rsidRDefault="00F368B6" w:rsidP="007F491E">
            <w:pPr>
              <w:pStyle w:val="R"/>
              <w:rPr>
                <w:szCs w:val="20"/>
                <w:rtl/>
              </w:rPr>
            </w:pPr>
            <w:r w:rsidRPr="007F491E">
              <w:rPr>
                <w:rFonts w:hint="cs"/>
                <w:szCs w:val="20"/>
                <w:rtl/>
              </w:rPr>
              <w:t>335 (83%)</w:t>
            </w:r>
          </w:p>
        </w:tc>
        <w:tc>
          <w:tcPr>
            <w:tcW w:w="1487" w:type="dxa"/>
            <w:shd w:val="clear" w:color="auto" w:fill="auto"/>
            <w:vAlign w:val="bottom"/>
          </w:tcPr>
          <w:p w14:paraId="65C3E112" w14:textId="77777777" w:rsidR="00F368B6" w:rsidRPr="007F491E" w:rsidRDefault="00F368B6" w:rsidP="007F491E">
            <w:pPr>
              <w:pStyle w:val="R"/>
              <w:rPr>
                <w:szCs w:val="20"/>
                <w:rtl/>
              </w:rPr>
            </w:pPr>
            <w:r w:rsidRPr="007F491E">
              <w:rPr>
                <w:rFonts w:hint="cs"/>
                <w:szCs w:val="20"/>
                <w:rtl/>
              </w:rPr>
              <w:t>1,897 (126%)</w:t>
            </w:r>
          </w:p>
        </w:tc>
      </w:tr>
    </w:tbl>
    <w:p w14:paraId="7000F0E6" w14:textId="77777777" w:rsidR="00E97A4B" w:rsidRDefault="00E97A4B" w:rsidP="00E97A4B">
      <w:pPr>
        <w:pStyle w:val="100"/>
        <w:rPr>
          <w:rtl/>
        </w:rPr>
      </w:pPr>
    </w:p>
    <w:p w14:paraId="697C1BF5" w14:textId="35E01135" w:rsidR="00F368B6" w:rsidRDefault="00F368B6" w:rsidP="00E97A4B">
      <w:pPr>
        <w:pStyle w:val="100"/>
        <w:rPr>
          <w:rtl/>
        </w:rPr>
      </w:pPr>
      <w:r>
        <w:rPr>
          <w:rFonts w:hint="cs"/>
          <w:rtl/>
        </w:rPr>
        <w:t xml:space="preserve">מהנתונים עולה כי </w:t>
      </w:r>
      <w:r w:rsidRPr="00BA7B6A">
        <w:rPr>
          <w:rFonts w:hint="cs"/>
          <w:rtl/>
        </w:rPr>
        <w:t>בשנים 2015 עד 2018 רק 25% מתפיסות הרכוש המי</w:t>
      </w:r>
      <w:r>
        <w:rPr>
          <w:rFonts w:hint="cs"/>
          <w:rtl/>
        </w:rPr>
        <w:t>ועד לחילוט נזקפו לזכות המחוזות, והיתר בוצעו על ידי יחידות להב 433. במחוזות קיימת תנודתיות בעמידה ביעדי האכיפה הכלכלית שנקבעו להם: בשנים 2015 ו-2017 שיעורי הביצוע היו גבוהים, ואילו בשנים 2016 ו-</w:t>
      </w:r>
      <w:r w:rsidRPr="00BA7B6A">
        <w:rPr>
          <w:rFonts w:hint="cs"/>
          <w:rtl/>
        </w:rPr>
        <w:t xml:space="preserve">2018 </w:t>
      </w:r>
      <w:r>
        <w:rPr>
          <w:rFonts w:hint="cs"/>
          <w:rtl/>
        </w:rPr>
        <w:t>רק חלק מהמחוזות עמדו</w:t>
      </w:r>
      <w:r w:rsidRPr="00BA7B6A">
        <w:rPr>
          <w:rFonts w:hint="cs"/>
          <w:rtl/>
        </w:rPr>
        <w:t xml:space="preserve"> ביעדים</w:t>
      </w:r>
      <w:r>
        <w:rPr>
          <w:rFonts w:hint="cs"/>
          <w:rtl/>
        </w:rPr>
        <w:t>. יש יחידות, בעיקר בפריפריה, שבהן שיעורי הביצוע ביחס ליעד היו נמוכים מ-50%. ב-2017 בתחנת קריית גת שיעורי העמידה ביעד היו 46%, בשדרות - 29% ובאשדוד - 11%; ב-2018 שיעורי הביצוע במחוז צפון היו 44% ובמחוז דרום - 38%.</w:t>
      </w:r>
      <w:r w:rsidRPr="00BA7B6A">
        <w:rPr>
          <w:rFonts w:hint="cs"/>
          <w:rtl/>
        </w:rPr>
        <w:t xml:space="preserve"> </w:t>
      </w:r>
    </w:p>
    <w:p w14:paraId="71DA1183" w14:textId="77777777" w:rsidR="00F368B6" w:rsidRPr="002D0CD0" w:rsidRDefault="00F368B6" w:rsidP="00E97A4B">
      <w:pPr>
        <w:pStyle w:val="af1"/>
        <w:rPr>
          <w:rtl/>
        </w:rPr>
      </w:pPr>
      <w:r w:rsidRPr="002D0CD0">
        <w:rPr>
          <w:rFonts w:hint="cs"/>
          <w:rtl/>
        </w:rPr>
        <w:t xml:space="preserve">נמצא כי המערך החוקר בפריפריה פחות מוכוון לנושא האכיפה הכלכלית, </w:t>
      </w:r>
      <w:r w:rsidRPr="002D0CD0">
        <w:rPr>
          <w:rtl/>
        </w:rPr>
        <w:t>ו</w:t>
      </w:r>
      <w:r w:rsidRPr="002D0CD0">
        <w:rPr>
          <w:rFonts w:hint="cs"/>
          <w:rtl/>
        </w:rPr>
        <w:t>לכן</w:t>
      </w:r>
      <w:r w:rsidRPr="002D0CD0">
        <w:rPr>
          <w:rtl/>
        </w:rPr>
        <w:t xml:space="preserve"> נפח התיקים הנחקרים</w:t>
      </w:r>
      <w:r w:rsidRPr="002D0CD0">
        <w:rPr>
          <w:rFonts w:hint="cs"/>
          <w:rtl/>
        </w:rPr>
        <w:t xml:space="preserve"> בתחום הלבנת ההון</w:t>
      </w:r>
      <w:r w:rsidRPr="002D0CD0">
        <w:rPr>
          <w:rtl/>
        </w:rPr>
        <w:t xml:space="preserve"> </w:t>
      </w:r>
      <w:r w:rsidRPr="002D0CD0">
        <w:rPr>
          <w:rFonts w:hint="cs"/>
          <w:rtl/>
        </w:rPr>
        <w:t>במחוזות הפריפריאליי</w:t>
      </w:r>
      <w:r w:rsidRPr="002D0CD0">
        <w:rPr>
          <w:rFonts w:hint="eastAsia"/>
          <w:rtl/>
        </w:rPr>
        <w:t>ם</w:t>
      </w:r>
      <w:r w:rsidRPr="002D0CD0">
        <w:rPr>
          <w:rFonts w:hint="cs"/>
          <w:rtl/>
        </w:rPr>
        <w:t xml:space="preserve"> נמוך ואינו משקף</w:t>
      </w:r>
      <w:r w:rsidRPr="002D0CD0">
        <w:rPr>
          <w:rtl/>
        </w:rPr>
        <w:t xml:space="preserve"> את הפשיעה הכלכלי</w:t>
      </w:r>
      <w:r w:rsidRPr="002D0CD0">
        <w:rPr>
          <w:rFonts w:hint="cs"/>
          <w:rtl/>
        </w:rPr>
        <w:t xml:space="preserve">ת המתחוללת בהם (תת-אכיפה). </w:t>
      </w:r>
    </w:p>
    <w:p w14:paraId="60064F9D" w14:textId="77777777" w:rsidR="00F368B6" w:rsidRDefault="00F368B6" w:rsidP="00E97A4B">
      <w:pPr>
        <w:pStyle w:val="100"/>
        <w:rPr>
          <w:rtl/>
        </w:rPr>
      </w:pPr>
      <w:r w:rsidRPr="00BA7B6A">
        <w:rPr>
          <w:rFonts w:hint="cs"/>
          <w:rtl/>
        </w:rPr>
        <w:t>פיקוד המשטרה ער</w:t>
      </w:r>
      <w:r>
        <w:rPr>
          <w:rFonts w:hint="cs"/>
          <w:rtl/>
        </w:rPr>
        <w:t xml:space="preserve"> לפערים בעמידה ביעדים בין התחנות והיחידות השונות במחוזות, ו</w:t>
      </w:r>
      <w:r w:rsidRPr="00BA7B6A">
        <w:rPr>
          <w:rFonts w:hint="cs"/>
          <w:rtl/>
        </w:rPr>
        <w:t>לקושי שבגיוס לתחום האכיפה הכלכלית</w:t>
      </w:r>
      <w:r>
        <w:rPr>
          <w:rFonts w:hint="cs"/>
          <w:rtl/>
        </w:rPr>
        <w:t xml:space="preserve"> במחוזות</w:t>
      </w:r>
      <w:r w:rsidRPr="00BA7B6A">
        <w:rPr>
          <w:rFonts w:hint="cs"/>
          <w:rtl/>
        </w:rPr>
        <w:t xml:space="preserve"> שבפעילות</w:t>
      </w:r>
      <w:r>
        <w:rPr>
          <w:rFonts w:hint="cs"/>
          <w:rtl/>
        </w:rPr>
        <w:t>ם</w:t>
      </w:r>
      <w:r w:rsidRPr="00BA7B6A">
        <w:rPr>
          <w:rFonts w:hint="cs"/>
          <w:rtl/>
        </w:rPr>
        <w:t xml:space="preserve"> השוטפת אינ</w:t>
      </w:r>
      <w:r>
        <w:rPr>
          <w:rFonts w:hint="cs"/>
          <w:rtl/>
        </w:rPr>
        <w:t>ם</w:t>
      </w:r>
      <w:r w:rsidRPr="00BA7B6A">
        <w:rPr>
          <w:rFonts w:hint="cs"/>
          <w:rtl/>
        </w:rPr>
        <w:t xml:space="preserve"> עוסק</w:t>
      </w:r>
      <w:r>
        <w:rPr>
          <w:rFonts w:hint="cs"/>
          <w:rtl/>
        </w:rPr>
        <w:t>ים</w:t>
      </w:r>
      <w:r w:rsidRPr="00BA7B6A">
        <w:rPr>
          <w:rFonts w:hint="cs"/>
          <w:rtl/>
        </w:rPr>
        <w:t xml:space="preserve"> בעבירות של הלבנת הון</w:t>
      </w:r>
      <w:r>
        <w:rPr>
          <w:rStyle w:val="FootnoteReference"/>
          <w:sz w:val="24"/>
          <w:rtl/>
        </w:rPr>
        <w:footnoteReference w:id="46"/>
      </w:r>
      <w:r>
        <w:rPr>
          <w:rFonts w:hint="cs"/>
          <w:rtl/>
        </w:rPr>
        <w:t xml:space="preserve">. </w:t>
      </w:r>
      <w:r w:rsidRPr="00BA7B6A">
        <w:rPr>
          <w:rFonts w:hint="cs"/>
          <w:rtl/>
        </w:rPr>
        <w:t xml:space="preserve">בדיון במועצת החילוט </w:t>
      </w:r>
      <w:r>
        <w:rPr>
          <w:rFonts w:hint="cs"/>
          <w:rtl/>
        </w:rPr>
        <w:t xml:space="preserve">בינואר 2018 </w:t>
      </w:r>
      <w:r w:rsidRPr="00BA7B6A">
        <w:rPr>
          <w:rFonts w:hint="cs"/>
          <w:rtl/>
        </w:rPr>
        <w:t>הסביר קצין משטרה את הפערים בעמידה ביעדים במחוזות בכך שמפקדים במחוז עוסקים בתיקי רצח ואונס</w:t>
      </w:r>
      <w:r>
        <w:rPr>
          <w:rFonts w:hint="cs"/>
          <w:rtl/>
        </w:rPr>
        <w:t>.</w:t>
      </w:r>
      <w:r w:rsidRPr="00BA7B6A">
        <w:rPr>
          <w:rFonts w:hint="cs"/>
          <w:rtl/>
        </w:rPr>
        <w:t xml:space="preserve"> </w:t>
      </w:r>
    </w:p>
    <w:p w14:paraId="5B9EAD8A" w14:textId="10840686" w:rsidR="00F368B6" w:rsidRPr="002704E3" w:rsidRDefault="00F368B6" w:rsidP="00E97A4B">
      <w:pPr>
        <w:pStyle w:val="100"/>
        <w:rPr>
          <w:rtl/>
        </w:rPr>
      </w:pPr>
      <w:r>
        <w:rPr>
          <w:rFonts w:hint="cs"/>
          <w:rtl/>
        </w:rPr>
        <w:t>המשטרה כתבה בתשובתה כי בשנת 2019 היקף התפיסות בכלל המחוזות היה 368 מיליון</w:t>
      </w:r>
      <w:r w:rsidR="008115E3">
        <w:rPr>
          <w:rtl/>
        </w:rPr>
        <w:br/>
      </w:r>
      <w:r>
        <w:rPr>
          <w:rFonts w:hint="cs"/>
          <w:rtl/>
        </w:rPr>
        <w:t xml:space="preserve">ש"ח - עלייה של 9.5% בהשוואה לתקופה המקבילה בשנה הקודמת. עוד ציינה כי פעולות </w:t>
      </w:r>
      <w:r>
        <w:rPr>
          <w:rFonts w:hint="cs"/>
          <w:rtl/>
        </w:rPr>
        <w:lastRenderedPageBreak/>
        <w:t>שנקטה ב-2019 לקידום האכיפה הכלכלית במחוז דרום השיגו שיפור משמעותי בשיעור העמידה ביעד המחוזי, העומד על 89%. כמו כן מסרה המשטרה שברוב המקרים אין לתחנות המשאבים הדרושים לטיפול בפרשיות הלבנת הון, והפעילות בהן מתרכזת בתיקי סמים, פסד"פ, מימון טרור ואכיפה אזרחית משולבת.</w:t>
      </w:r>
    </w:p>
    <w:p w14:paraId="18180960" w14:textId="77777777" w:rsidR="00F368B6" w:rsidRPr="00666373" w:rsidRDefault="00F368B6" w:rsidP="00E97A4B">
      <w:pPr>
        <w:pStyle w:val="af1"/>
        <w:rPr>
          <w:rtl/>
        </w:rPr>
      </w:pPr>
      <w:r w:rsidRPr="00666373">
        <w:rPr>
          <w:rFonts w:hint="cs"/>
          <w:rtl/>
        </w:rPr>
        <w:t>הביקורת העלתה שהיקפי התפיסות והעמידה ביעדים מעידים על מגמה הולכת וגוברת במשטרה להעמיק את פעילויות החקירה והאכיפה בהיבטים הכלכליים של התיקים. השינוי א</w:t>
      </w:r>
      <w:r>
        <w:rPr>
          <w:rFonts w:hint="cs"/>
          <w:rtl/>
        </w:rPr>
        <w:t>ו</w:t>
      </w:r>
      <w:r w:rsidRPr="00666373">
        <w:rPr>
          <w:rFonts w:hint="cs"/>
          <w:rtl/>
        </w:rPr>
        <w:t>מנם הוטמע היטב בטיפול בפרשיות גדולות ומובהקות של פשיעה כלכלית הנחקרות ביחידות החוקרות הארציות והמרכזיות, אך עדיין יש מקום לשיפור ו</w:t>
      </w:r>
      <w:r>
        <w:rPr>
          <w:rFonts w:hint="cs"/>
          <w:rtl/>
        </w:rPr>
        <w:t>ל</w:t>
      </w:r>
      <w:r w:rsidRPr="00666373">
        <w:rPr>
          <w:rFonts w:hint="cs"/>
          <w:rtl/>
        </w:rPr>
        <w:t>הטמעת תחום האכיפה הכלכלית במחוזות ובתחנות בפריפריה.</w:t>
      </w:r>
      <w:r>
        <w:rPr>
          <w:rFonts w:hint="cs"/>
          <w:rtl/>
        </w:rPr>
        <w:t xml:space="preserve"> מוצע כי בעת גיבוש מדיניות ארוכת טווח תקיים המשטרה בחינה והערכה של הפרקטיקה שלפיה מוגדרים יעדי תפיסה שנתיים.</w:t>
      </w:r>
    </w:p>
    <w:p w14:paraId="59C4DCD9" w14:textId="77777777" w:rsidR="00F368B6" w:rsidRDefault="00F368B6" w:rsidP="00AE7EB6">
      <w:pPr>
        <w:pStyle w:val="414"/>
        <w:rPr>
          <w:rtl/>
        </w:rPr>
      </w:pPr>
      <w:r>
        <w:rPr>
          <w:rFonts w:hint="cs"/>
          <w:rtl/>
        </w:rPr>
        <w:t>אכיפה כלכלית בתביעה המשטרתית</w:t>
      </w:r>
    </w:p>
    <w:p w14:paraId="2FCE54E9" w14:textId="77777777" w:rsidR="00F368B6" w:rsidRPr="00175652" w:rsidRDefault="00F368B6" w:rsidP="00AE7EB6">
      <w:pPr>
        <w:pStyle w:val="100"/>
        <w:rPr>
          <w:rtl/>
        </w:rPr>
      </w:pPr>
      <w:r w:rsidRPr="00175652">
        <w:rPr>
          <w:rFonts w:hint="cs"/>
          <w:rtl/>
        </w:rPr>
        <w:t xml:space="preserve">נושא </w:t>
      </w:r>
      <w:r w:rsidRPr="00175652">
        <w:rPr>
          <w:rtl/>
        </w:rPr>
        <w:t xml:space="preserve">האכיפה </w:t>
      </w:r>
      <w:r w:rsidRPr="00175652">
        <w:rPr>
          <w:rFonts w:hint="cs"/>
          <w:rtl/>
        </w:rPr>
        <w:t>ה</w:t>
      </w:r>
      <w:r w:rsidRPr="00175652">
        <w:rPr>
          <w:rtl/>
        </w:rPr>
        <w:t>כלכלית אינ</w:t>
      </w:r>
      <w:r w:rsidRPr="00175652">
        <w:rPr>
          <w:rFonts w:hint="cs"/>
          <w:rtl/>
        </w:rPr>
        <w:t>ו</w:t>
      </w:r>
      <w:r w:rsidRPr="00175652">
        <w:rPr>
          <w:rtl/>
        </w:rPr>
        <w:t xml:space="preserve"> מבוסס די</w:t>
      </w:r>
      <w:r w:rsidRPr="00175652">
        <w:rPr>
          <w:rFonts w:hint="cs"/>
          <w:rtl/>
        </w:rPr>
        <w:t>ו</w:t>
      </w:r>
      <w:r w:rsidRPr="00175652">
        <w:rPr>
          <w:rtl/>
        </w:rPr>
        <w:t xml:space="preserve"> בפרקטיקה המקצועית של יחידות התביעות במשטרה. </w:t>
      </w:r>
      <w:r w:rsidRPr="00175652">
        <w:rPr>
          <w:rFonts w:hint="cs"/>
          <w:rtl/>
        </w:rPr>
        <w:t xml:space="preserve">בדיון על כך </w:t>
      </w:r>
      <w:r w:rsidRPr="00175652">
        <w:rPr>
          <w:rtl/>
        </w:rPr>
        <w:t xml:space="preserve">בפורום ראשי יחידות התביעה במאי 2018 </w:t>
      </w:r>
      <w:r w:rsidRPr="00175652">
        <w:rPr>
          <w:rFonts w:hint="cs"/>
          <w:rtl/>
        </w:rPr>
        <w:t xml:space="preserve">אמר </w:t>
      </w:r>
      <w:r w:rsidRPr="00175652">
        <w:rPr>
          <w:rtl/>
        </w:rPr>
        <w:t>ראש מ</w:t>
      </w:r>
      <w:r w:rsidRPr="00175652">
        <w:rPr>
          <w:rFonts w:hint="cs"/>
          <w:rtl/>
        </w:rPr>
        <w:t>י</w:t>
      </w:r>
      <w:r w:rsidRPr="00175652">
        <w:rPr>
          <w:rtl/>
        </w:rPr>
        <w:t>נהל התביעות כי על התביעות במשטרה להשתפר ב</w:t>
      </w:r>
      <w:r w:rsidRPr="00175652">
        <w:rPr>
          <w:rFonts w:hint="cs"/>
          <w:rtl/>
        </w:rPr>
        <w:t>נושא האכ</w:t>
      </w:r>
      <w:r w:rsidRPr="00175652">
        <w:rPr>
          <w:rtl/>
        </w:rPr>
        <w:t xml:space="preserve">יפה </w:t>
      </w:r>
      <w:r w:rsidRPr="00175652">
        <w:rPr>
          <w:rFonts w:hint="cs"/>
          <w:rtl/>
        </w:rPr>
        <w:t>ה</w:t>
      </w:r>
      <w:r w:rsidRPr="00175652">
        <w:rPr>
          <w:rtl/>
        </w:rPr>
        <w:t xml:space="preserve">כלכלית. </w:t>
      </w:r>
      <w:r w:rsidRPr="00175652">
        <w:rPr>
          <w:rFonts w:hint="cs"/>
          <w:rtl/>
        </w:rPr>
        <w:t xml:space="preserve">אומנם מונו </w:t>
      </w:r>
      <w:r w:rsidRPr="00175652">
        <w:rPr>
          <w:rtl/>
        </w:rPr>
        <w:t>סגני ראשי יחידות</w:t>
      </w:r>
      <w:r w:rsidRPr="00175652">
        <w:rPr>
          <w:rFonts w:hint="cs"/>
          <w:rtl/>
        </w:rPr>
        <w:t xml:space="preserve"> תביעה</w:t>
      </w:r>
      <w:r w:rsidRPr="00175652">
        <w:rPr>
          <w:rtl/>
        </w:rPr>
        <w:t xml:space="preserve"> לשמש רפרנטים ל</w:t>
      </w:r>
      <w:r w:rsidRPr="00175652">
        <w:rPr>
          <w:rFonts w:hint="cs"/>
          <w:rtl/>
        </w:rPr>
        <w:t>נושא, והם משתתפים בהכשרות</w:t>
      </w:r>
      <w:r w:rsidRPr="00175652">
        <w:rPr>
          <w:rtl/>
        </w:rPr>
        <w:t>, אך עדיין ישנה כברת דרך עד הטמעת התחום ביחידות.</w:t>
      </w:r>
    </w:p>
    <w:p w14:paraId="1BE60B1A" w14:textId="77777777" w:rsidR="00F368B6" w:rsidRPr="0070353D" w:rsidRDefault="00F368B6" w:rsidP="00AE7EB6">
      <w:pPr>
        <w:pStyle w:val="100"/>
        <w:rPr>
          <w:b/>
          <w:rtl/>
        </w:rPr>
      </w:pPr>
      <w:r w:rsidRPr="00C05FC9">
        <w:rPr>
          <w:rFonts w:hint="cs"/>
          <w:rtl/>
        </w:rPr>
        <w:t>למשל</w:t>
      </w:r>
      <w:r>
        <w:rPr>
          <w:rFonts w:hint="cs"/>
          <w:rtl/>
        </w:rPr>
        <w:t>,</w:t>
      </w:r>
      <w:r w:rsidRPr="00C05FC9">
        <w:rPr>
          <w:rFonts w:hint="cs"/>
          <w:rtl/>
        </w:rPr>
        <w:t xml:space="preserve"> נמצא </w:t>
      </w:r>
      <w:r w:rsidRPr="00C05FC9">
        <w:rPr>
          <w:b/>
          <w:rtl/>
        </w:rPr>
        <w:t>כי</w:t>
      </w:r>
      <w:r>
        <w:rPr>
          <w:rFonts w:hint="cs"/>
          <w:b/>
          <w:rtl/>
        </w:rPr>
        <w:t xml:space="preserve"> במאי 2018 ציינה סגנית ראש מינהל התביעות כי על </w:t>
      </w:r>
      <w:r w:rsidRPr="00C05FC9">
        <w:rPr>
          <w:rFonts w:hint="cs"/>
          <w:b/>
          <w:rtl/>
        </w:rPr>
        <w:t>התובעים</w:t>
      </w:r>
      <w:r w:rsidRPr="00C05FC9">
        <w:rPr>
          <w:b/>
          <w:rtl/>
        </w:rPr>
        <w:t xml:space="preserve"> </w:t>
      </w:r>
      <w:r>
        <w:rPr>
          <w:rFonts w:hint="cs"/>
          <w:b/>
          <w:rtl/>
        </w:rPr>
        <w:t xml:space="preserve">להקפיד ולמלא את </w:t>
      </w:r>
      <w:r w:rsidRPr="00C05FC9">
        <w:rPr>
          <w:b/>
          <w:rtl/>
        </w:rPr>
        <w:t xml:space="preserve">הוראות הדין </w:t>
      </w:r>
      <w:r w:rsidRPr="00C05FC9">
        <w:rPr>
          <w:rFonts w:hint="cs"/>
          <w:b/>
          <w:rtl/>
        </w:rPr>
        <w:t>המחייב אותם להגיש בקשות לחילוט בתיקי סמים רק לאחר קבלת אישור פרקליט המחוז</w:t>
      </w:r>
      <w:r>
        <w:rPr>
          <w:rFonts w:hint="cs"/>
          <w:b/>
          <w:rtl/>
        </w:rPr>
        <w:t>; זאת לאחר שה</w:t>
      </w:r>
      <w:r w:rsidRPr="00C05FC9">
        <w:rPr>
          <w:b/>
          <w:rtl/>
        </w:rPr>
        <w:t>וגשו בקשות לחילוט בתיקי סמים בל</w:t>
      </w:r>
      <w:r>
        <w:rPr>
          <w:rFonts w:hint="cs"/>
          <w:b/>
          <w:rtl/>
        </w:rPr>
        <w:t>א אישור כזה</w:t>
      </w:r>
      <w:r w:rsidRPr="00C05FC9">
        <w:rPr>
          <w:rFonts w:hint="cs"/>
          <w:b/>
          <w:rtl/>
        </w:rPr>
        <w:t>.</w:t>
      </w:r>
      <w:r w:rsidRPr="00C05FC9">
        <w:rPr>
          <w:b/>
        </w:rPr>
        <w:t xml:space="preserve"> </w:t>
      </w:r>
    </w:p>
    <w:p w14:paraId="59684BB3" w14:textId="77777777" w:rsidR="00F368B6" w:rsidRPr="00251E69" w:rsidRDefault="00F368B6" w:rsidP="00AE7EB6">
      <w:pPr>
        <w:pStyle w:val="100"/>
        <w:rPr>
          <w:rtl/>
        </w:rPr>
      </w:pPr>
      <w:r>
        <w:rPr>
          <w:rFonts w:hint="cs"/>
          <w:rtl/>
        </w:rPr>
        <w:t xml:space="preserve">המשטרה ציינה בתשובתה כי היא מקבלת את הביקורת בנוגע ליחידות התביעה, אך עם זאת מדור אכיפה כלכלית בחטיבת החקירות פועל להטמעת הנושא במינהל התביעות, באמצעות שילוב התובעים בקורסי אכיפה כלכלית וקיום ממשקי עבודה של קציני החילוט המחוזיים עם התובעים. כמו כן, מינהל התביעות נוקט פעולות לשיפור מקצועיותו בטיפול בתיקי אכיפה כלכלית, ובהן השתתפות בהשתלמויות עומק בנושא והשתלמויות משותפות עם הפרקליטות. </w:t>
      </w:r>
    </w:p>
    <w:p w14:paraId="03BD7130" w14:textId="77777777" w:rsidR="00F368B6" w:rsidRDefault="00F368B6" w:rsidP="00AE7EB6">
      <w:pPr>
        <w:pStyle w:val="af1"/>
        <w:rPr>
          <w:rtl/>
        </w:rPr>
      </w:pPr>
      <w:r>
        <w:rPr>
          <w:rFonts w:hint="cs"/>
          <w:rtl/>
        </w:rPr>
        <w:t>משרד מבקר המדינה ער</w:t>
      </w:r>
      <w:r w:rsidRPr="0019025D">
        <w:rPr>
          <w:rtl/>
        </w:rPr>
        <w:t xml:space="preserve"> </w:t>
      </w:r>
      <w:r>
        <w:rPr>
          <w:rFonts w:hint="cs"/>
          <w:rtl/>
        </w:rPr>
        <w:t>ל</w:t>
      </w:r>
      <w:r w:rsidRPr="0019025D">
        <w:rPr>
          <w:rtl/>
        </w:rPr>
        <w:t xml:space="preserve">פעולות </w:t>
      </w:r>
      <w:r w:rsidRPr="0019025D">
        <w:rPr>
          <w:rFonts w:hint="eastAsia"/>
          <w:rtl/>
        </w:rPr>
        <w:t>הרבות</w:t>
      </w:r>
      <w:r w:rsidRPr="0019025D">
        <w:rPr>
          <w:rtl/>
        </w:rPr>
        <w:t xml:space="preserve"> </w:t>
      </w:r>
      <w:r>
        <w:rPr>
          <w:rFonts w:hint="cs"/>
          <w:rtl/>
        </w:rPr>
        <w:t>ש</w:t>
      </w:r>
      <w:r w:rsidRPr="0019025D">
        <w:rPr>
          <w:rFonts w:hint="eastAsia"/>
          <w:rtl/>
        </w:rPr>
        <w:t>נקטה</w:t>
      </w:r>
      <w:r w:rsidRPr="0019025D">
        <w:rPr>
          <w:rtl/>
        </w:rPr>
        <w:t xml:space="preserve"> </w:t>
      </w:r>
      <w:r w:rsidRPr="0019025D">
        <w:rPr>
          <w:rFonts w:hint="eastAsia"/>
          <w:rtl/>
        </w:rPr>
        <w:t>המשטרה</w:t>
      </w:r>
      <w:r w:rsidRPr="0019025D">
        <w:rPr>
          <w:rtl/>
        </w:rPr>
        <w:t xml:space="preserve"> </w:t>
      </w:r>
      <w:r w:rsidRPr="0019025D">
        <w:rPr>
          <w:rFonts w:hint="eastAsia"/>
          <w:rtl/>
        </w:rPr>
        <w:t>כדי</w:t>
      </w:r>
      <w:r w:rsidRPr="0019025D">
        <w:rPr>
          <w:rtl/>
        </w:rPr>
        <w:t xml:space="preserve"> </w:t>
      </w:r>
      <w:r w:rsidRPr="0019025D">
        <w:rPr>
          <w:rFonts w:hint="eastAsia"/>
          <w:rtl/>
        </w:rPr>
        <w:t>להטמיע</w:t>
      </w:r>
      <w:r w:rsidRPr="0019025D">
        <w:rPr>
          <w:rtl/>
        </w:rPr>
        <w:t xml:space="preserve"> </w:t>
      </w:r>
      <w:r w:rsidRPr="0019025D">
        <w:rPr>
          <w:rFonts w:hint="eastAsia"/>
          <w:rtl/>
        </w:rPr>
        <w:t>את</w:t>
      </w:r>
      <w:r w:rsidRPr="0019025D">
        <w:rPr>
          <w:rtl/>
        </w:rPr>
        <w:t xml:space="preserve"> </w:t>
      </w:r>
      <w:r w:rsidRPr="0019025D">
        <w:rPr>
          <w:rFonts w:hint="eastAsia"/>
          <w:rtl/>
        </w:rPr>
        <w:t>נושא</w:t>
      </w:r>
      <w:r w:rsidRPr="0019025D">
        <w:rPr>
          <w:rtl/>
        </w:rPr>
        <w:t xml:space="preserve"> </w:t>
      </w:r>
      <w:r w:rsidRPr="0019025D">
        <w:rPr>
          <w:rFonts w:hint="eastAsia"/>
          <w:rtl/>
        </w:rPr>
        <w:t>האכיפה</w:t>
      </w:r>
      <w:r w:rsidRPr="0019025D">
        <w:rPr>
          <w:rtl/>
        </w:rPr>
        <w:t xml:space="preserve"> </w:t>
      </w:r>
      <w:r w:rsidRPr="0019025D">
        <w:rPr>
          <w:rFonts w:hint="eastAsia"/>
          <w:rtl/>
        </w:rPr>
        <w:t>הכלכלית</w:t>
      </w:r>
      <w:r w:rsidRPr="0019025D">
        <w:rPr>
          <w:rtl/>
        </w:rPr>
        <w:t xml:space="preserve"> בכל יחידות</w:t>
      </w:r>
      <w:r>
        <w:rPr>
          <w:rFonts w:hint="cs"/>
          <w:rtl/>
        </w:rPr>
        <w:t>י</w:t>
      </w:r>
      <w:r w:rsidRPr="0019025D">
        <w:rPr>
          <w:rtl/>
        </w:rPr>
        <w:t>ה</w:t>
      </w:r>
      <w:r>
        <w:rPr>
          <w:rFonts w:hint="cs"/>
          <w:rtl/>
        </w:rPr>
        <w:t>,</w:t>
      </w:r>
      <w:r w:rsidRPr="0019025D">
        <w:rPr>
          <w:rtl/>
        </w:rPr>
        <w:t xml:space="preserve"> </w:t>
      </w:r>
      <w:r w:rsidRPr="0019025D">
        <w:rPr>
          <w:rFonts w:hint="eastAsia"/>
          <w:rtl/>
        </w:rPr>
        <w:t>ועליה</w:t>
      </w:r>
      <w:r w:rsidRPr="0019025D">
        <w:rPr>
          <w:rtl/>
        </w:rPr>
        <w:t xml:space="preserve"> </w:t>
      </w:r>
      <w:r w:rsidRPr="0019025D">
        <w:rPr>
          <w:rFonts w:hint="eastAsia"/>
          <w:rtl/>
        </w:rPr>
        <w:t>להמשיך</w:t>
      </w:r>
      <w:r w:rsidRPr="0019025D">
        <w:rPr>
          <w:rtl/>
        </w:rPr>
        <w:t xml:space="preserve"> </w:t>
      </w:r>
      <w:r w:rsidRPr="0019025D">
        <w:rPr>
          <w:rFonts w:hint="eastAsia"/>
          <w:rtl/>
        </w:rPr>
        <w:t>ולהטמיע</w:t>
      </w:r>
      <w:r w:rsidRPr="0019025D">
        <w:rPr>
          <w:rtl/>
        </w:rPr>
        <w:t xml:space="preserve"> </w:t>
      </w:r>
      <w:r w:rsidRPr="0019025D">
        <w:rPr>
          <w:rFonts w:hint="eastAsia"/>
          <w:rtl/>
        </w:rPr>
        <w:t>את</w:t>
      </w:r>
      <w:r w:rsidRPr="0019025D">
        <w:rPr>
          <w:rtl/>
        </w:rPr>
        <w:t xml:space="preserve"> </w:t>
      </w:r>
      <w:r w:rsidRPr="0019025D">
        <w:rPr>
          <w:rFonts w:hint="eastAsia"/>
          <w:rtl/>
        </w:rPr>
        <w:t>השינוי</w:t>
      </w:r>
      <w:r w:rsidRPr="0019025D">
        <w:rPr>
          <w:rtl/>
        </w:rPr>
        <w:t xml:space="preserve"> </w:t>
      </w:r>
      <w:r w:rsidRPr="0019025D">
        <w:rPr>
          <w:rFonts w:hint="eastAsia"/>
          <w:rtl/>
        </w:rPr>
        <w:t>התפיסתי</w:t>
      </w:r>
      <w:r w:rsidRPr="0019025D">
        <w:rPr>
          <w:rtl/>
        </w:rPr>
        <w:t xml:space="preserve"> </w:t>
      </w:r>
      <w:r w:rsidRPr="0019025D">
        <w:rPr>
          <w:rFonts w:hint="eastAsia"/>
          <w:rtl/>
        </w:rPr>
        <w:t>בקרב</w:t>
      </w:r>
      <w:r w:rsidRPr="0019025D">
        <w:rPr>
          <w:rtl/>
        </w:rPr>
        <w:t xml:space="preserve"> </w:t>
      </w:r>
      <w:r w:rsidRPr="0019025D">
        <w:rPr>
          <w:rFonts w:hint="eastAsia"/>
          <w:rtl/>
        </w:rPr>
        <w:t>יחידות</w:t>
      </w:r>
      <w:r w:rsidRPr="0019025D">
        <w:rPr>
          <w:rtl/>
        </w:rPr>
        <w:t xml:space="preserve"> </w:t>
      </w:r>
      <w:r w:rsidRPr="0019025D">
        <w:rPr>
          <w:rFonts w:hint="eastAsia"/>
          <w:rtl/>
        </w:rPr>
        <w:t>התביעה</w:t>
      </w:r>
      <w:r w:rsidRPr="0019025D">
        <w:rPr>
          <w:rtl/>
        </w:rPr>
        <w:t xml:space="preserve"> </w:t>
      </w:r>
      <w:r w:rsidRPr="0019025D">
        <w:rPr>
          <w:rFonts w:hint="eastAsia"/>
          <w:rtl/>
        </w:rPr>
        <w:t>השונות</w:t>
      </w:r>
      <w:r w:rsidRPr="009E5752">
        <w:rPr>
          <w:rtl/>
        </w:rPr>
        <w:t xml:space="preserve">. </w:t>
      </w:r>
      <w:r w:rsidRPr="008C6FD8">
        <w:rPr>
          <w:rFonts w:hint="eastAsia"/>
          <w:rtl/>
        </w:rPr>
        <w:t>השימוש</w:t>
      </w:r>
      <w:r w:rsidRPr="008C6FD8">
        <w:rPr>
          <w:rtl/>
        </w:rPr>
        <w:t xml:space="preserve"> באמצעי </w:t>
      </w:r>
      <w:r>
        <w:rPr>
          <w:rFonts w:hint="cs"/>
          <w:rtl/>
        </w:rPr>
        <w:t>ה</w:t>
      </w:r>
      <w:r w:rsidRPr="008C6FD8">
        <w:rPr>
          <w:rtl/>
        </w:rPr>
        <w:t xml:space="preserve">אכיפה </w:t>
      </w:r>
      <w:r>
        <w:rPr>
          <w:rFonts w:hint="cs"/>
          <w:rtl/>
        </w:rPr>
        <w:t>ה</w:t>
      </w:r>
      <w:r w:rsidRPr="008C6FD8">
        <w:rPr>
          <w:rtl/>
        </w:rPr>
        <w:t xml:space="preserve">כלכלית רלוונטי לא רק לעבירות </w:t>
      </w:r>
      <w:r>
        <w:rPr>
          <w:rFonts w:hint="cs"/>
          <w:rtl/>
        </w:rPr>
        <w:t>ש</w:t>
      </w:r>
      <w:r w:rsidRPr="008C6FD8">
        <w:rPr>
          <w:rtl/>
        </w:rPr>
        <w:t xml:space="preserve">נתפסים </w:t>
      </w:r>
      <w:r>
        <w:rPr>
          <w:rFonts w:hint="cs"/>
          <w:rtl/>
        </w:rPr>
        <w:t xml:space="preserve">בהן </w:t>
      </w:r>
      <w:r w:rsidRPr="008C6FD8">
        <w:rPr>
          <w:rtl/>
        </w:rPr>
        <w:t>סכומי עתק, שחלק</w:t>
      </w:r>
      <w:r w:rsidRPr="008C6FD8">
        <w:rPr>
          <w:rFonts w:hint="eastAsia"/>
          <w:rtl/>
        </w:rPr>
        <w:t>ם</w:t>
      </w:r>
      <w:r w:rsidRPr="008C6FD8">
        <w:rPr>
          <w:rFonts w:hint="cs"/>
          <w:rtl/>
        </w:rPr>
        <w:t xml:space="preserve"> </w:t>
      </w:r>
      <w:r w:rsidRPr="008C6FD8">
        <w:rPr>
          <w:rtl/>
        </w:rPr>
        <w:t xml:space="preserve">מגיעים בסופו של יום לקופת קרן </w:t>
      </w:r>
      <w:r>
        <w:rPr>
          <w:rFonts w:hint="cs"/>
          <w:rtl/>
        </w:rPr>
        <w:t>ה</w:t>
      </w:r>
      <w:r w:rsidRPr="008C6FD8">
        <w:rPr>
          <w:rtl/>
        </w:rPr>
        <w:t xml:space="preserve">חילוט, אלא גם לעבירות </w:t>
      </w:r>
      <w:r>
        <w:rPr>
          <w:rFonts w:hint="cs"/>
          <w:rtl/>
        </w:rPr>
        <w:t>שנתפסים בהן</w:t>
      </w:r>
      <w:r w:rsidRPr="008C6FD8">
        <w:rPr>
          <w:rtl/>
        </w:rPr>
        <w:t xml:space="preserve"> סכומים </w:t>
      </w:r>
      <w:r w:rsidRPr="008C6FD8">
        <w:rPr>
          <w:rFonts w:hint="eastAsia"/>
          <w:rtl/>
        </w:rPr>
        <w:t>או</w:t>
      </w:r>
      <w:r w:rsidRPr="008C6FD8">
        <w:rPr>
          <w:rtl/>
        </w:rPr>
        <w:t xml:space="preserve"> רכוש </w:t>
      </w:r>
      <w:r>
        <w:rPr>
          <w:rFonts w:hint="cs"/>
          <w:rtl/>
        </w:rPr>
        <w:t>שערכם</w:t>
      </w:r>
      <w:r w:rsidRPr="008C6FD8">
        <w:rPr>
          <w:rtl/>
        </w:rPr>
        <w:t xml:space="preserve"> </w:t>
      </w:r>
      <w:r>
        <w:rPr>
          <w:rFonts w:hint="cs"/>
          <w:rtl/>
        </w:rPr>
        <w:t>ה</w:t>
      </w:r>
      <w:r w:rsidRPr="008C6FD8">
        <w:rPr>
          <w:rFonts w:hint="eastAsia"/>
          <w:rtl/>
        </w:rPr>
        <w:t>כספי</w:t>
      </w:r>
      <w:r w:rsidRPr="008C6FD8">
        <w:rPr>
          <w:rtl/>
        </w:rPr>
        <w:t xml:space="preserve"> נמוך, והכ</w:t>
      </w:r>
      <w:r>
        <w:rPr>
          <w:rFonts w:hint="cs"/>
          <w:rtl/>
        </w:rPr>
        <w:t>ו</w:t>
      </w:r>
      <w:r w:rsidRPr="008C6FD8">
        <w:rPr>
          <w:rtl/>
        </w:rPr>
        <w:t>ל מתוך הבנה שיש</w:t>
      </w:r>
      <w:r>
        <w:rPr>
          <w:rtl/>
        </w:rPr>
        <w:t xml:space="preserve"> </w:t>
      </w:r>
      <w:r w:rsidRPr="008C6FD8">
        <w:rPr>
          <w:rtl/>
        </w:rPr>
        <w:t xml:space="preserve">לשכלל את אמצעי ההתמודדות </w:t>
      </w:r>
      <w:r w:rsidRPr="008C6FD8">
        <w:rPr>
          <w:rFonts w:hint="eastAsia"/>
          <w:rtl/>
        </w:rPr>
        <w:t>של</w:t>
      </w:r>
      <w:r w:rsidRPr="008C6FD8">
        <w:rPr>
          <w:rtl/>
        </w:rPr>
        <w:t xml:space="preserve"> רשויות האכיפה</w:t>
      </w:r>
      <w:r>
        <w:rPr>
          <w:rFonts w:hint="cs"/>
          <w:rtl/>
        </w:rPr>
        <w:t>.</w:t>
      </w:r>
    </w:p>
    <w:p w14:paraId="7DD74D6C" w14:textId="77777777" w:rsidR="00F368B6" w:rsidRPr="004E0414" w:rsidRDefault="00F368B6" w:rsidP="00AE7EB6">
      <w:pPr>
        <w:pStyle w:val="316"/>
      </w:pPr>
      <w:bookmarkStart w:id="10" w:name="_Toc24370960"/>
      <w:r w:rsidRPr="004E0414">
        <w:rPr>
          <w:rFonts w:hint="cs"/>
          <w:rtl/>
        </w:rPr>
        <w:lastRenderedPageBreak/>
        <w:t>ניתוב</w:t>
      </w:r>
      <w:r w:rsidRPr="004E0414">
        <w:rPr>
          <w:rtl/>
        </w:rPr>
        <w:t xml:space="preserve"> תיק החקירה לגורם התובע</w:t>
      </w:r>
      <w:bookmarkEnd w:id="10"/>
      <w:r w:rsidRPr="004E0414">
        <w:rPr>
          <w:rtl/>
        </w:rPr>
        <w:t xml:space="preserve"> </w:t>
      </w:r>
    </w:p>
    <w:p w14:paraId="7CD5B69B" w14:textId="77777777" w:rsidR="00F368B6" w:rsidRDefault="00F368B6" w:rsidP="00AE7EB6">
      <w:pPr>
        <w:pStyle w:val="100"/>
        <w:rPr>
          <w:rtl/>
        </w:rPr>
      </w:pPr>
      <w:r>
        <w:rPr>
          <w:rFonts w:hint="cs"/>
          <w:rtl/>
        </w:rPr>
        <w:t xml:space="preserve">מעורבות הפרקליטות בתיקים גדולים ומורכבים כגון תיקי עבירות צווארון לבן, ובהן עבירות הלבנת הון, או בתיקים רגישים כגון תיקי עבירות שחיתות שלטונית, מתחילה כבר בשלבים מוקדמים של החקירה המשטרתית. </w:t>
      </w:r>
      <w:r w:rsidRPr="00020713">
        <w:rPr>
          <w:rtl/>
        </w:rPr>
        <w:t>בחלק גדול מה</w:t>
      </w:r>
      <w:r>
        <w:rPr>
          <w:rFonts w:hint="cs"/>
          <w:rtl/>
        </w:rPr>
        <w:t>תיקים</w:t>
      </w:r>
      <w:r w:rsidRPr="00020713">
        <w:rPr>
          <w:rtl/>
        </w:rPr>
        <w:t xml:space="preserve"> מלווה פרקליט את עבודת המשטרה</w:t>
      </w:r>
      <w:r>
        <w:rPr>
          <w:rFonts w:hint="cs"/>
          <w:rtl/>
        </w:rPr>
        <w:t>.</w:t>
      </w:r>
      <w:r>
        <w:rPr>
          <w:rtl/>
        </w:rPr>
        <w:t xml:space="preserve"> </w:t>
      </w:r>
    </w:p>
    <w:p w14:paraId="12CA8A97" w14:textId="77777777" w:rsidR="00F368B6" w:rsidRDefault="00F368B6" w:rsidP="00DF4629">
      <w:pPr>
        <w:pStyle w:val="100"/>
        <w:rPr>
          <w:rtl/>
        </w:rPr>
      </w:pPr>
      <w:r w:rsidRPr="00020713">
        <w:rPr>
          <w:rtl/>
        </w:rPr>
        <w:t xml:space="preserve">סמכויות הפרקליט המלווה מוסדרות </w:t>
      </w:r>
      <w:r>
        <w:rPr>
          <w:rFonts w:hint="cs"/>
          <w:rtl/>
        </w:rPr>
        <w:t>בהנחיית פרקליט המדינה משנת 2017.</w:t>
      </w:r>
      <w:r w:rsidRPr="002969B9">
        <w:rPr>
          <w:rtl/>
        </w:rPr>
        <w:t xml:space="preserve"> </w:t>
      </w:r>
      <w:r>
        <w:rPr>
          <w:rFonts w:hint="cs"/>
          <w:rtl/>
        </w:rPr>
        <w:t>שילוב הפרקליט בהליך החקירה כבר בשלבים מוקדמים מאפשר לו לסייע בעיצובן והכוונתן של פעולות החקירה הסמויה והגלויה ובביצועה.</w:t>
      </w:r>
      <w:r w:rsidRPr="00020713">
        <w:rPr>
          <w:rtl/>
        </w:rPr>
        <w:t xml:space="preserve"> הפרקליט המלווה אינו מחליף את שיקול הדעת של הרשות החוקרת ואינו עומד בראש החקירה</w:t>
      </w:r>
      <w:r>
        <w:rPr>
          <w:rFonts w:hint="cs"/>
          <w:rtl/>
        </w:rPr>
        <w:t>, אך הוא תורם מניסיונו המקצועי ויכול לשקול את הראיות בזמן אמת ולהצביע על חסר ראייתי, לסייע בסקירת טענות הגנה אפשריות עוד בשלב החקירה ולסייע בניהול ההליכים הקשורים לרכוש תפוס בשלב הזמני ובהתמודדות עם טוענים לזכות בהם.</w:t>
      </w:r>
    </w:p>
    <w:p w14:paraId="76ADF143" w14:textId="77777777" w:rsidR="00F368B6" w:rsidRDefault="00F368B6" w:rsidP="00DF4629">
      <w:pPr>
        <w:pStyle w:val="100"/>
        <w:rPr>
          <w:rtl/>
        </w:rPr>
      </w:pPr>
      <w:r>
        <w:rPr>
          <w:rFonts w:hint="cs"/>
          <w:rtl/>
        </w:rPr>
        <w:t>עם סיום פעולות החקירה וסיכום הממצאים עובר תיק החקירה מהיחידה החוקרת אל הגורם התובע במשטרה או בפרקליטות או אל כל גוף תביעה אחר. התיק מנותב אל הגורם התובע המתאים על פי הסמכויות הקבועות בדין. עם זאת בתיקים כלכליים גדולים קורה לא אחת כי יש סמכות מקבילה לטיפול בתיק ליותר מגורם תביעה אחד</w:t>
      </w:r>
      <w:r>
        <w:rPr>
          <w:rStyle w:val="FootnoteReference"/>
          <w:rFonts w:asciiTheme="minorBidi" w:hAnsiTheme="minorBidi"/>
          <w:sz w:val="24"/>
          <w:rtl/>
        </w:rPr>
        <w:footnoteReference w:id="47"/>
      </w:r>
      <w:r>
        <w:rPr>
          <w:rFonts w:hint="cs"/>
          <w:rtl/>
        </w:rPr>
        <w:t>, לרבות שתי יחידות ארציות ייעודיות שעוסקות בתחום הכלכלי - המחלקה הכלכלית בפרקליטות המדינה ופרקליטות מחוז תל אביב (מיסוי וכלכלה).</w:t>
      </w:r>
    </w:p>
    <w:p w14:paraId="4298EDFD" w14:textId="77777777" w:rsidR="00F368B6" w:rsidRDefault="00F368B6" w:rsidP="00DF4629">
      <w:pPr>
        <w:pStyle w:val="af1"/>
        <w:rPr>
          <w:rtl/>
        </w:rPr>
      </w:pPr>
      <w:r>
        <w:rPr>
          <w:rFonts w:asciiTheme="minorBidi" w:hAnsiTheme="minorBidi" w:hint="cs"/>
          <w:rtl/>
        </w:rPr>
        <w:t xml:space="preserve">בביקורת נמצא כי </w:t>
      </w:r>
      <w:r>
        <w:rPr>
          <w:rFonts w:hint="cs"/>
          <w:rtl/>
        </w:rPr>
        <w:t xml:space="preserve">אין נוהל סדור לניתוב תיקים מגורם החקירה לגורם התביעה כאשר סמכות הטיפול בתיק בידי יותר מגורם תביעה אחד. </w:t>
      </w:r>
      <w:r w:rsidRPr="0012444C">
        <w:rPr>
          <w:rFonts w:hint="cs"/>
          <w:rtl/>
        </w:rPr>
        <w:t xml:space="preserve">היעדר נוהל </w:t>
      </w:r>
      <w:r>
        <w:rPr>
          <w:rFonts w:hint="cs"/>
          <w:rtl/>
        </w:rPr>
        <w:t>מביא</w:t>
      </w:r>
      <w:r w:rsidRPr="0012444C">
        <w:rPr>
          <w:rFonts w:hint="cs"/>
          <w:rtl/>
        </w:rPr>
        <w:t xml:space="preserve"> לכך,</w:t>
      </w:r>
      <w:r>
        <w:rPr>
          <w:rFonts w:hint="cs"/>
          <w:rtl/>
        </w:rPr>
        <w:t xml:space="preserve"> ש</w:t>
      </w:r>
      <w:r w:rsidRPr="008D3DF7">
        <w:rPr>
          <w:rFonts w:asciiTheme="minorBidi" w:hAnsiTheme="minorBidi" w:hint="cs"/>
          <w:rtl/>
        </w:rPr>
        <w:t xml:space="preserve">יחידות </w:t>
      </w:r>
      <w:r w:rsidRPr="001F26B9">
        <w:rPr>
          <w:rtl/>
        </w:rPr>
        <w:t>החקירה</w:t>
      </w:r>
      <w:r>
        <w:rPr>
          <w:rFonts w:hint="cs"/>
          <w:rtl/>
        </w:rPr>
        <w:t xml:space="preserve"> -</w:t>
      </w:r>
      <w:r w:rsidRPr="001F26B9">
        <w:rPr>
          <w:rtl/>
        </w:rPr>
        <w:t xml:space="preserve"> הן במשטרה הן ברשות המיסים</w:t>
      </w:r>
      <w:r>
        <w:rPr>
          <w:rFonts w:hint="cs"/>
          <w:rtl/>
        </w:rPr>
        <w:t xml:space="preserve"> -</w:t>
      </w:r>
      <w:r w:rsidRPr="008D3DF7">
        <w:rPr>
          <w:rtl/>
        </w:rPr>
        <w:t xml:space="preserve"> </w:t>
      </w:r>
      <w:r w:rsidRPr="0012444C">
        <w:rPr>
          <w:rFonts w:hint="cs"/>
          <w:rtl/>
        </w:rPr>
        <w:t>נאלצות ל</w:t>
      </w:r>
      <w:r>
        <w:rPr>
          <w:rFonts w:hint="cs"/>
          <w:rtl/>
        </w:rPr>
        <w:t>חפש אחר פרקליט מלווה בין גורמי התביעה השונים ("פורום שופינג").</w:t>
      </w:r>
    </w:p>
    <w:p w14:paraId="0B88CD0D" w14:textId="77777777" w:rsidR="00F368B6" w:rsidRPr="00D42BD2" w:rsidRDefault="00F368B6" w:rsidP="00DF4629">
      <w:pPr>
        <w:pStyle w:val="100"/>
        <w:rPr>
          <w:rFonts w:ascii="Arial" w:hAnsi="Arial" w:cs="Arial"/>
          <w:rtl/>
        </w:rPr>
      </w:pPr>
      <w:r>
        <w:rPr>
          <w:rFonts w:hint="cs"/>
          <w:rtl/>
        </w:rPr>
        <w:t>בתשובתה אישרה הפרקליטות כי בעבר נהגו יחידות החקירה לפנות באופן עצמאי אל יחידה בפרקליטות בבקשה שתטפל בתיק שחקירתו הסתיימה. לגבי השנים האחרונות היא טענה כי ההתנהלות המתוארת חדלה מלהתקיים, אולם הצביעה על גורם מנתב רק לגבי תיקי להב.</w:t>
      </w:r>
      <w:r>
        <w:rPr>
          <w:rFonts w:ascii="Arial" w:hAnsi="Arial" w:cs="Arial"/>
          <w:rtl/>
        </w:rPr>
        <w:t xml:space="preserve"> </w:t>
      </w:r>
    </w:p>
    <w:p w14:paraId="1F229E4D" w14:textId="64E0DEE9" w:rsidR="00F368B6" w:rsidRPr="00020713" w:rsidRDefault="00F368B6" w:rsidP="00DF4629">
      <w:pPr>
        <w:pStyle w:val="100"/>
        <w:rPr>
          <w:rFonts w:asciiTheme="minorBidi" w:hAnsiTheme="minorBidi"/>
          <w:sz w:val="24"/>
        </w:rPr>
      </w:pPr>
      <w:r>
        <w:rPr>
          <w:rFonts w:asciiTheme="minorBidi" w:hAnsiTheme="minorBidi" w:hint="cs"/>
          <w:sz w:val="24"/>
          <w:rtl/>
        </w:rPr>
        <w:t xml:space="preserve">בדיון </w:t>
      </w:r>
      <w:r w:rsidRPr="00020713">
        <w:rPr>
          <w:rFonts w:asciiTheme="minorBidi" w:hAnsiTheme="minorBidi"/>
          <w:sz w:val="24"/>
          <w:rtl/>
        </w:rPr>
        <w:t>ב</w:t>
      </w:r>
      <w:r>
        <w:rPr>
          <w:rFonts w:asciiTheme="minorBidi" w:hAnsiTheme="minorBidi" w:hint="cs"/>
          <w:sz w:val="24"/>
          <w:rtl/>
        </w:rPr>
        <w:t>-</w:t>
      </w:r>
      <w:r w:rsidRPr="00020713">
        <w:rPr>
          <w:rFonts w:asciiTheme="minorBidi" w:hAnsiTheme="minorBidi"/>
          <w:sz w:val="24"/>
          <w:rtl/>
        </w:rPr>
        <w:t>2015</w:t>
      </w:r>
      <w:r>
        <w:rPr>
          <w:rFonts w:asciiTheme="minorBidi" w:hAnsiTheme="minorBidi"/>
          <w:sz w:val="24"/>
          <w:rtl/>
        </w:rPr>
        <w:t xml:space="preserve"> </w:t>
      </w:r>
      <w:r w:rsidRPr="00020713">
        <w:rPr>
          <w:rFonts w:asciiTheme="minorBidi" w:hAnsiTheme="minorBidi"/>
          <w:sz w:val="24"/>
          <w:rtl/>
        </w:rPr>
        <w:t xml:space="preserve">בראשות פרקליט המדינה ובהשתתפות נציגי הפרקליטות והמשטרה סוכם כי </w:t>
      </w:r>
      <w:r>
        <w:rPr>
          <w:rFonts w:asciiTheme="minorBidi" w:hAnsiTheme="minorBidi" w:hint="cs"/>
          <w:sz w:val="24"/>
          <w:rtl/>
        </w:rPr>
        <w:t xml:space="preserve">יש </w:t>
      </w:r>
      <w:r w:rsidRPr="00020713">
        <w:rPr>
          <w:rFonts w:asciiTheme="minorBidi" w:hAnsiTheme="minorBidi"/>
          <w:sz w:val="24"/>
          <w:rtl/>
        </w:rPr>
        <w:t xml:space="preserve">לפעול להסדרה וייעול של העברת התיקים בין </w:t>
      </w:r>
      <w:r>
        <w:rPr>
          <w:rFonts w:asciiTheme="minorBidi" w:hAnsiTheme="minorBidi" w:hint="cs"/>
          <w:sz w:val="24"/>
          <w:rtl/>
        </w:rPr>
        <w:t>הגופים</w:t>
      </w:r>
      <w:r w:rsidRPr="00020713">
        <w:rPr>
          <w:rFonts w:asciiTheme="minorBidi" w:hAnsiTheme="minorBidi"/>
          <w:sz w:val="24"/>
          <w:rtl/>
        </w:rPr>
        <w:t xml:space="preserve">. </w:t>
      </w:r>
      <w:r>
        <w:rPr>
          <w:rFonts w:asciiTheme="minorBidi" w:hAnsiTheme="minorBidi" w:hint="cs"/>
          <w:b/>
          <w:sz w:val="24"/>
          <w:rtl/>
        </w:rPr>
        <w:t>באותו הדיון עלה היעדרו של</w:t>
      </w:r>
      <w:r w:rsidRPr="00020713">
        <w:rPr>
          <w:rFonts w:asciiTheme="minorBidi" w:hAnsiTheme="minorBidi"/>
          <w:b/>
          <w:sz w:val="24"/>
          <w:rtl/>
        </w:rPr>
        <w:t xml:space="preserve"> נוהל עבודה סדור לקבלת תיקי החקירה מיחידות להב ו</w:t>
      </w:r>
      <w:r>
        <w:rPr>
          <w:rFonts w:asciiTheme="minorBidi" w:hAnsiTheme="minorBidi" w:hint="cs"/>
          <w:b/>
          <w:sz w:val="24"/>
          <w:rtl/>
        </w:rPr>
        <w:t>ל</w:t>
      </w:r>
      <w:r w:rsidRPr="00020713">
        <w:rPr>
          <w:rFonts w:asciiTheme="minorBidi" w:hAnsiTheme="minorBidi"/>
          <w:b/>
          <w:sz w:val="24"/>
          <w:rtl/>
        </w:rPr>
        <w:t>אופן חלוקתם בין יחידות הפרקליטות.</w:t>
      </w:r>
      <w:r w:rsidRPr="00020713">
        <w:rPr>
          <w:rFonts w:asciiTheme="minorBidi" w:hAnsiTheme="minorBidi"/>
          <w:sz w:val="24"/>
          <w:rtl/>
        </w:rPr>
        <w:t xml:space="preserve"> הוחלט על קיום פגישות עיתיות בין ראשי להב לבין שני המשנים לפרקליט המדינה</w:t>
      </w:r>
      <w:r>
        <w:rPr>
          <w:rFonts w:asciiTheme="minorBidi" w:hAnsiTheme="minorBidi" w:hint="cs"/>
          <w:sz w:val="24"/>
          <w:rtl/>
        </w:rPr>
        <w:t>,</w:t>
      </w:r>
      <w:r w:rsidRPr="00020713">
        <w:rPr>
          <w:rFonts w:asciiTheme="minorBidi" w:hAnsiTheme="minorBidi"/>
          <w:sz w:val="24"/>
          <w:rtl/>
        </w:rPr>
        <w:t xml:space="preserve"> </w:t>
      </w:r>
      <w:r>
        <w:rPr>
          <w:rFonts w:asciiTheme="minorBidi" w:hAnsiTheme="minorBidi" w:hint="cs"/>
          <w:sz w:val="24"/>
          <w:rtl/>
        </w:rPr>
        <w:t>ש</w:t>
      </w:r>
      <w:r w:rsidRPr="00020713">
        <w:rPr>
          <w:rFonts w:asciiTheme="minorBidi" w:hAnsiTheme="minorBidi"/>
          <w:sz w:val="24"/>
          <w:rtl/>
        </w:rPr>
        <w:t xml:space="preserve">בהן יוצגו התיקים שראוי כי הפרקליטות </w:t>
      </w:r>
      <w:r>
        <w:rPr>
          <w:rFonts w:asciiTheme="minorBidi" w:hAnsiTheme="minorBidi" w:hint="cs"/>
          <w:sz w:val="24"/>
          <w:rtl/>
        </w:rPr>
        <w:t xml:space="preserve">תלווה </w:t>
      </w:r>
      <w:r w:rsidRPr="00020713">
        <w:rPr>
          <w:rFonts w:asciiTheme="minorBidi" w:hAnsiTheme="minorBidi"/>
          <w:sz w:val="24"/>
          <w:rtl/>
        </w:rPr>
        <w:t>כבר בשלבי החקירה הראשוניים. כמו כן פרקליט המדינה וראש אח"</w:t>
      </w:r>
      <w:r w:rsidR="00C30314">
        <w:rPr>
          <w:rFonts w:asciiTheme="minorBidi" w:hAnsiTheme="minorBidi" w:hint="cs"/>
          <w:sz w:val="24"/>
          <w:rtl/>
        </w:rPr>
        <w:t>ם</w:t>
      </w:r>
      <w:r w:rsidRPr="00020713">
        <w:rPr>
          <w:rFonts w:asciiTheme="minorBidi" w:hAnsiTheme="minorBidi"/>
          <w:sz w:val="24"/>
          <w:rtl/>
        </w:rPr>
        <w:t xml:space="preserve"> סיכמו כי כל תיק להב או תיק ימ"ר משמעותי שעובר לפרקליטות וטרם מונה לו פרקליט מלווה בשלב החקירה, </w:t>
      </w:r>
      <w:r>
        <w:rPr>
          <w:rFonts w:asciiTheme="minorBidi" w:hAnsiTheme="minorBidi" w:hint="cs"/>
          <w:sz w:val="24"/>
          <w:rtl/>
        </w:rPr>
        <w:t>י</w:t>
      </w:r>
      <w:r w:rsidRPr="00020713">
        <w:rPr>
          <w:rFonts w:asciiTheme="minorBidi" w:hAnsiTheme="minorBidi"/>
          <w:sz w:val="24"/>
          <w:rtl/>
        </w:rPr>
        <w:t>נ</w:t>
      </w:r>
      <w:r>
        <w:rPr>
          <w:rFonts w:asciiTheme="minorBidi" w:hAnsiTheme="minorBidi" w:hint="cs"/>
          <w:sz w:val="24"/>
          <w:rtl/>
        </w:rPr>
        <w:t>ו</w:t>
      </w:r>
      <w:r w:rsidRPr="00020713">
        <w:rPr>
          <w:rFonts w:asciiTheme="minorBidi" w:hAnsiTheme="minorBidi"/>
          <w:sz w:val="24"/>
          <w:rtl/>
        </w:rPr>
        <w:t xml:space="preserve">תב </w:t>
      </w:r>
      <w:r>
        <w:rPr>
          <w:rFonts w:asciiTheme="minorBidi" w:hAnsiTheme="minorBidi" w:hint="cs"/>
          <w:sz w:val="24"/>
          <w:rtl/>
        </w:rPr>
        <w:t>ב</w:t>
      </w:r>
      <w:r w:rsidRPr="00020713">
        <w:rPr>
          <w:rFonts w:asciiTheme="minorBidi" w:hAnsiTheme="minorBidi"/>
          <w:sz w:val="24"/>
          <w:rtl/>
        </w:rPr>
        <w:t>ידי ראש אח"</w:t>
      </w:r>
      <w:r w:rsidR="00C30314">
        <w:rPr>
          <w:rFonts w:asciiTheme="minorBidi" w:hAnsiTheme="minorBidi" w:hint="cs"/>
          <w:sz w:val="24"/>
          <w:rtl/>
        </w:rPr>
        <w:t>ם</w:t>
      </w:r>
      <w:r>
        <w:rPr>
          <w:rFonts w:asciiTheme="minorBidi" w:hAnsiTheme="minorBidi"/>
          <w:sz w:val="24"/>
          <w:rtl/>
        </w:rPr>
        <w:t xml:space="preserve"> </w:t>
      </w:r>
      <w:r w:rsidRPr="00020713">
        <w:rPr>
          <w:rFonts w:asciiTheme="minorBidi" w:hAnsiTheme="minorBidi"/>
          <w:sz w:val="24"/>
          <w:rtl/>
        </w:rPr>
        <w:t>אל מול המשנה הפלילי והמשנה לאכיפה כלכלית</w:t>
      </w:r>
      <w:r>
        <w:rPr>
          <w:rFonts w:asciiTheme="minorBidi" w:hAnsiTheme="minorBidi" w:hint="cs"/>
          <w:sz w:val="24"/>
          <w:rtl/>
        </w:rPr>
        <w:t>.</w:t>
      </w:r>
    </w:p>
    <w:p w14:paraId="7282D9C5" w14:textId="77777777" w:rsidR="00F368B6" w:rsidRDefault="00F368B6" w:rsidP="00DF4629">
      <w:pPr>
        <w:pStyle w:val="af1"/>
        <w:rPr>
          <w:rtl/>
        </w:rPr>
      </w:pPr>
      <w:r>
        <w:rPr>
          <w:rFonts w:hint="cs"/>
          <w:rtl/>
        </w:rPr>
        <w:lastRenderedPageBreak/>
        <w:t>נמצא כי מ-2015 ועד מועד סיום הביקורת לא הוסדר נוהל לניתוב תיקי להב מהמשטרה וחלוקתם לטיפול בין יחידות הפרקליטות. הפרקליטות פועלת כיום בהתאם למתווה כללי, והתיקים הגדולים מנותבים על פי החלטתו של המשנה לפרקליט המדינה (ענייני</w:t>
      </w:r>
      <w:r>
        <w:rPr>
          <w:rFonts w:hint="eastAsia"/>
          <w:rtl/>
        </w:rPr>
        <w:t>ם</w:t>
      </w:r>
      <w:r>
        <w:rPr>
          <w:rFonts w:hint="cs"/>
          <w:rtl/>
        </w:rPr>
        <w:t xml:space="preserve"> פליליים). מן הראוי כי הפרקליטות תסדיר קריטריוני</w:t>
      </w:r>
      <w:r>
        <w:rPr>
          <w:rFonts w:hint="eastAsia"/>
          <w:rtl/>
        </w:rPr>
        <w:t>ם</w:t>
      </w:r>
      <w:r>
        <w:rPr>
          <w:rFonts w:hint="cs"/>
          <w:rtl/>
        </w:rPr>
        <w:t xml:space="preserve"> ברורים לניתוב תיקים בהסתמך על שיקולי מקצועיות ויעילות, וכדי למנוע קבלת החלטות בנושא שלא בהתאם לעומסים ובלי שנבחנו היבטים של התמחויות.</w:t>
      </w:r>
    </w:p>
    <w:p w14:paraId="30A5A7D6" w14:textId="77777777" w:rsidR="00F368B6" w:rsidRDefault="00F368B6" w:rsidP="00335B56">
      <w:pPr>
        <w:pStyle w:val="100"/>
        <w:rPr>
          <w:rtl/>
        </w:rPr>
      </w:pPr>
      <w:r>
        <w:rPr>
          <w:rFonts w:hint="cs"/>
          <w:rtl/>
        </w:rPr>
        <w:t xml:space="preserve">כאמור, לצד פרקליטויות המחוז פועלות שתי יחידות ייעודיות ארציות לאכיפה הכלכלית: המחלקה הכלכלית בפרקליטות המדינה ופרקליטות מחוז תל אביב (מיסוי וכלכלה). </w:t>
      </w:r>
      <w:r w:rsidRPr="00020713">
        <w:rPr>
          <w:rtl/>
        </w:rPr>
        <w:t xml:space="preserve">בשנים </w:t>
      </w:r>
      <w:r w:rsidRPr="009F31DF">
        <w:rPr>
          <w:rFonts w:hint="cs"/>
          <w:rtl/>
        </w:rPr>
        <w:t>201</w:t>
      </w:r>
      <w:r>
        <w:rPr>
          <w:rFonts w:hint="cs"/>
          <w:rtl/>
        </w:rPr>
        <w:t xml:space="preserve">4 </w:t>
      </w:r>
      <w:r w:rsidRPr="009F31DF">
        <w:rPr>
          <w:rFonts w:hint="cs"/>
          <w:rtl/>
        </w:rPr>
        <w:t>-</w:t>
      </w:r>
      <w:r>
        <w:rPr>
          <w:rFonts w:hint="cs"/>
          <w:rtl/>
        </w:rPr>
        <w:t xml:space="preserve"> </w:t>
      </w:r>
      <w:r w:rsidRPr="009F31DF">
        <w:rPr>
          <w:rFonts w:hint="cs"/>
          <w:rtl/>
        </w:rPr>
        <w:t>201</w:t>
      </w:r>
      <w:r>
        <w:rPr>
          <w:rFonts w:hint="cs"/>
          <w:rtl/>
        </w:rPr>
        <w:t>7</w:t>
      </w:r>
      <w:r w:rsidRPr="00020713">
        <w:rPr>
          <w:rtl/>
        </w:rPr>
        <w:t xml:space="preserve"> התקיימו בפרקליטות </w:t>
      </w:r>
      <w:r>
        <w:rPr>
          <w:rFonts w:hint="cs"/>
          <w:rtl/>
        </w:rPr>
        <w:t>כמה</w:t>
      </w:r>
      <w:r w:rsidRPr="00020713">
        <w:rPr>
          <w:rtl/>
        </w:rPr>
        <w:t xml:space="preserve"> ישיבות בהשתתפות פרקליט המדינה בנושא חלוקת העבודה בין</w:t>
      </w:r>
      <w:r w:rsidRPr="00020713">
        <w:rPr>
          <w:rFonts w:hint="cs"/>
          <w:rtl/>
        </w:rPr>
        <w:t xml:space="preserve"> </w:t>
      </w:r>
      <w:r>
        <w:rPr>
          <w:rFonts w:hint="cs"/>
          <w:rtl/>
        </w:rPr>
        <w:t xml:space="preserve">שתי </w:t>
      </w:r>
      <w:r w:rsidRPr="00020713">
        <w:rPr>
          <w:rFonts w:hint="cs"/>
          <w:rtl/>
        </w:rPr>
        <w:t>היחידות ה</w:t>
      </w:r>
      <w:r>
        <w:rPr>
          <w:rFonts w:hint="cs"/>
          <w:rtl/>
        </w:rPr>
        <w:t xml:space="preserve">ארציות. </w:t>
      </w:r>
      <w:r w:rsidRPr="00020713">
        <w:rPr>
          <w:rtl/>
        </w:rPr>
        <w:t>בדצמבר 2014 הוחלט על הקמת צוות חשיבה בראשות המשנה לפ</w:t>
      </w:r>
      <w:r>
        <w:rPr>
          <w:rtl/>
        </w:rPr>
        <w:t xml:space="preserve">רקליט המדינה (עניינים פליליים) </w:t>
      </w:r>
      <w:r>
        <w:rPr>
          <w:rFonts w:hint="cs"/>
          <w:rtl/>
        </w:rPr>
        <w:t>ד</w:t>
      </w:r>
      <w:r w:rsidRPr="00020713">
        <w:rPr>
          <w:rtl/>
        </w:rPr>
        <w:t>אז והמשנה</w:t>
      </w:r>
      <w:r>
        <w:rPr>
          <w:rtl/>
        </w:rPr>
        <w:t xml:space="preserve"> לפרקליט המדינה (אכיפה כלכלית) </w:t>
      </w:r>
      <w:r>
        <w:rPr>
          <w:rFonts w:hint="cs"/>
          <w:rtl/>
        </w:rPr>
        <w:t>ד</w:t>
      </w:r>
      <w:r w:rsidRPr="00020713">
        <w:rPr>
          <w:rtl/>
        </w:rPr>
        <w:t>אז</w:t>
      </w:r>
      <w:r w:rsidRPr="00020713">
        <w:rPr>
          <w:rFonts w:hint="cs"/>
          <w:rtl/>
        </w:rPr>
        <w:t>, ש</w:t>
      </w:r>
      <w:r w:rsidRPr="00020713">
        <w:rPr>
          <w:rtl/>
        </w:rPr>
        <w:t xml:space="preserve">יבחן הצעות לאופן חלוקת הסמכויות בין שתי היחידות. הצוות הגיש את הצעתו בינואר 2016, וביולי </w:t>
      </w:r>
      <w:r>
        <w:rPr>
          <w:rFonts w:hint="cs"/>
          <w:rtl/>
        </w:rPr>
        <w:t>ב</w:t>
      </w:r>
      <w:r w:rsidRPr="00020713">
        <w:rPr>
          <w:rtl/>
        </w:rPr>
        <w:t xml:space="preserve">אותה השנה סיכם פרקליט המדינה כי המשנה הפלילי והמשנה לאכיפה כלכלית </w:t>
      </w:r>
      <w:r>
        <w:rPr>
          <w:rFonts w:hint="cs"/>
          <w:rtl/>
        </w:rPr>
        <w:t>י</w:t>
      </w:r>
      <w:r w:rsidRPr="00020713">
        <w:rPr>
          <w:rtl/>
        </w:rPr>
        <w:t>נתב</w:t>
      </w:r>
      <w:r>
        <w:rPr>
          <w:rFonts w:hint="cs"/>
          <w:rtl/>
        </w:rPr>
        <w:t>ו את</w:t>
      </w:r>
      <w:r w:rsidRPr="00020713">
        <w:rPr>
          <w:rtl/>
        </w:rPr>
        <w:t xml:space="preserve"> </w:t>
      </w:r>
      <w:r>
        <w:rPr>
          <w:rFonts w:hint="cs"/>
          <w:rtl/>
        </w:rPr>
        <w:t xml:space="preserve">התיקים </w:t>
      </w:r>
      <w:r w:rsidRPr="00020713">
        <w:rPr>
          <w:rtl/>
        </w:rPr>
        <w:t>ו</w:t>
      </w:r>
      <w:r>
        <w:rPr>
          <w:rFonts w:hint="cs"/>
          <w:rtl/>
        </w:rPr>
        <w:t>י</w:t>
      </w:r>
      <w:r w:rsidRPr="00020713">
        <w:rPr>
          <w:rtl/>
        </w:rPr>
        <w:t>חלק</w:t>
      </w:r>
      <w:r>
        <w:rPr>
          <w:rFonts w:hint="cs"/>
          <w:rtl/>
        </w:rPr>
        <w:t>ו</w:t>
      </w:r>
      <w:r w:rsidRPr="00020713">
        <w:rPr>
          <w:rtl/>
        </w:rPr>
        <w:t xml:space="preserve"> </w:t>
      </w:r>
      <w:r>
        <w:rPr>
          <w:rFonts w:hint="cs"/>
          <w:rtl/>
        </w:rPr>
        <w:t>אותם</w:t>
      </w:r>
      <w:r w:rsidRPr="00020713">
        <w:rPr>
          <w:rtl/>
        </w:rPr>
        <w:t xml:space="preserve"> על בסיס</w:t>
      </w:r>
      <w:r>
        <w:rPr>
          <w:rtl/>
        </w:rPr>
        <w:t xml:space="preserve"> </w:t>
      </w:r>
      <w:r w:rsidRPr="00020713">
        <w:rPr>
          <w:rtl/>
        </w:rPr>
        <w:t xml:space="preserve">עקרונות חלוקה מסוימים </w:t>
      </w:r>
      <w:r>
        <w:rPr>
          <w:rFonts w:hint="cs"/>
          <w:rtl/>
        </w:rPr>
        <w:t>ו</w:t>
      </w:r>
      <w:r w:rsidRPr="00020713">
        <w:rPr>
          <w:rtl/>
        </w:rPr>
        <w:t>על</w:t>
      </w:r>
      <w:r>
        <w:rPr>
          <w:rtl/>
        </w:rPr>
        <w:t xml:space="preserve"> פי חלוקה נושאית של תחומי העיסו</w:t>
      </w:r>
      <w:r>
        <w:rPr>
          <w:rFonts w:hint="cs"/>
          <w:rtl/>
        </w:rPr>
        <w:t>ק.</w:t>
      </w:r>
      <w:r w:rsidRPr="00C14BAD">
        <w:rPr>
          <w:rFonts w:hint="cs"/>
          <w:b/>
          <w:rtl/>
        </w:rPr>
        <w:t xml:space="preserve"> </w:t>
      </w:r>
      <w:r w:rsidRPr="00C14BAD">
        <w:rPr>
          <w:rFonts w:hint="eastAsia"/>
          <w:b/>
          <w:rtl/>
        </w:rPr>
        <w:t>כאמור</w:t>
      </w:r>
      <w:r w:rsidRPr="00C14BAD">
        <w:rPr>
          <w:b/>
          <w:rtl/>
        </w:rPr>
        <w:t xml:space="preserve">, </w:t>
      </w:r>
      <w:r>
        <w:rPr>
          <w:rFonts w:hint="cs"/>
          <w:b/>
          <w:rtl/>
        </w:rPr>
        <w:t>ה</w:t>
      </w:r>
      <w:r w:rsidRPr="00C14BAD">
        <w:rPr>
          <w:b/>
          <w:rtl/>
        </w:rPr>
        <w:t xml:space="preserve">חלוקה </w:t>
      </w:r>
      <w:r w:rsidRPr="00C14BAD">
        <w:rPr>
          <w:rFonts w:hint="eastAsia"/>
          <w:b/>
          <w:rtl/>
        </w:rPr>
        <w:t>אינה</w:t>
      </w:r>
      <w:r w:rsidRPr="00C14BAD">
        <w:rPr>
          <w:b/>
          <w:rtl/>
        </w:rPr>
        <w:t xml:space="preserve"> מעוגנת במסמך פורמלי ואינה מת</w:t>
      </w:r>
      <w:r>
        <w:rPr>
          <w:rFonts w:hint="cs"/>
          <w:b/>
          <w:rtl/>
        </w:rPr>
        <w:t>ו</w:t>
      </w:r>
      <w:r w:rsidRPr="00C14BAD">
        <w:rPr>
          <w:b/>
          <w:rtl/>
        </w:rPr>
        <w:t xml:space="preserve">קפת בנוהל </w:t>
      </w:r>
      <w:r w:rsidRPr="00C14BAD">
        <w:rPr>
          <w:rFonts w:hint="eastAsia"/>
          <w:b/>
          <w:rtl/>
        </w:rPr>
        <w:t>רשמי</w:t>
      </w:r>
      <w:r>
        <w:rPr>
          <w:rFonts w:hint="cs"/>
          <w:rtl/>
        </w:rPr>
        <w:t>.</w:t>
      </w:r>
    </w:p>
    <w:p w14:paraId="334ED2D5" w14:textId="77777777" w:rsidR="00F368B6" w:rsidRDefault="00F368B6" w:rsidP="00335B56">
      <w:pPr>
        <w:pStyle w:val="100"/>
        <w:rPr>
          <w:rtl/>
        </w:rPr>
      </w:pPr>
      <w:r w:rsidRPr="00020713">
        <w:rPr>
          <w:rtl/>
        </w:rPr>
        <w:t>יוער כי ב</w:t>
      </w:r>
      <w:r>
        <w:rPr>
          <w:rFonts w:hint="cs"/>
          <w:rtl/>
        </w:rPr>
        <w:t>דיון בסוגיה זו בפרקליטות באוגוסט 2017</w:t>
      </w:r>
      <w:r w:rsidRPr="00020713">
        <w:rPr>
          <w:rtl/>
        </w:rPr>
        <w:t>,</w:t>
      </w:r>
      <w:r>
        <w:rPr>
          <w:rFonts w:hint="cs"/>
          <w:rtl/>
        </w:rPr>
        <w:t xml:space="preserve"> בהשתתפות פרקליט המדינה, המשנה (עניינים פליליים), המשנה (אכיפה כלכלית) ומנהל יחידת הניהול,</w:t>
      </w:r>
      <w:r w:rsidRPr="00020713">
        <w:rPr>
          <w:rtl/>
        </w:rPr>
        <w:t xml:space="preserve"> נשמעו חילוקי דעות ביחס לשאלה האם בתיקי הלבנת הון מסוג שחיתות שלטונית </w:t>
      </w:r>
      <w:r>
        <w:rPr>
          <w:rFonts w:hint="cs"/>
          <w:rtl/>
        </w:rPr>
        <w:t>יש לטפל</w:t>
      </w:r>
      <w:r w:rsidRPr="00020713">
        <w:rPr>
          <w:rtl/>
        </w:rPr>
        <w:t xml:space="preserve"> ביחידות הארציות או גם </w:t>
      </w:r>
      <w:r>
        <w:rPr>
          <w:rFonts w:hint="cs"/>
          <w:rtl/>
        </w:rPr>
        <w:t>ב</w:t>
      </w:r>
      <w:r w:rsidRPr="00020713">
        <w:rPr>
          <w:rtl/>
        </w:rPr>
        <w:t>מחוזות השונים, באמצעות החוליות הכלכליות</w:t>
      </w:r>
      <w:r>
        <w:rPr>
          <w:rFonts w:hint="cs"/>
          <w:rtl/>
        </w:rPr>
        <w:t>.</w:t>
      </w:r>
      <w:r>
        <w:rPr>
          <w:rtl/>
        </w:rPr>
        <w:t xml:space="preserve"> </w:t>
      </w:r>
    </w:p>
    <w:p w14:paraId="483BA0BD" w14:textId="77777777" w:rsidR="00F368B6" w:rsidRPr="001F1C47" w:rsidRDefault="00F368B6" w:rsidP="00335B56">
      <w:pPr>
        <w:pStyle w:val="100"/>
        <w:rPr>
          <w:rtl/>
        </w:rPr>
      </w:pPr>
      <w:r w:rsidRPr="001F1C47">
        <w:rPr>
          <w:rFonts w:hint="cs"/>
          <w:rtl/>
        </w:rPr>
        <w:t xml:space="preserve">הפרקליטות מאשרת בתשובתה כי אכן אין מסמך המגדיר את הקריטריונים </w:t>
      </w:r>
      <w:r>
        <w:rPr>
          <w:rFonts w:hint="cs"/>
          <w:rtl/>
        </w:rPr>
        <w:t>לניתוב</w:t>
      </w:r>
      <w:r w:rsidRPr="001F1C47">
        <w:rPr>
          <w:rFonts w:hint="cs"/>
          <w:rtl/>
        </w:rPr>
        <w:t xml:space="preserve"> התיקים</w:t>
      </w:r>
      <w:r>
        <w:rPr>
          <w:rFonts w:hint="cs"/>
          <w:rtl/>
        </w:rPr>
        <w:t>,</w:t>
      </w:r>
      <w:r w:rsidRPr="001F1C47">
        <w:rPr>
          <w:rFonts w:hint="cs"/>
          <w:rtl/>
        </w:rPr>
        <w:t xml:space="preserve"> אך ככלל תיקים בעלי היקף משמעותי או מורכבות בתחומי הלבנת </w:t>
      </w:r>
      <w:r>
        <w:rPr>
          <w:rFonts w:hint="cs"/>
          <w:rtl/>
        </w:rPr>
        <w:t>ה</w:t>
      </w:r>
      <w:r w:rsidRPr="001F1C47">
        <w:rPr>
          <w:rFonts w:hint="cs"/>
          <w:rtl/>
        </w:rPr>
        <w:t>הון ו</w:t>
      </w:r>
      <w:r>
        <w:rPr>
          <w:rFonts w:hint="cs"/>
          <w:rtl/>
        </w:rPr>
        <w:t>ה</w:t>
      </w:r>
      <w:r w:rsidRPr="001F1C47">
        <w:rPr>
          <w:rFonts w:hint="cs"/>
          <w:rtl/>
        </w:rPr>
        <w:t xml:space="preserve">מיסים ינותבו ליחידות הארציות. עם זאת, קיימת מגמה </w:t>
      </w:r>
      <w:r>
        <w:rPr>
          <w:rFonts w:hint="cs"/>
          <w:rtl/>
        </w:rPr>
        <w:t>לנתב</w:t>
      </w:r>
      <w:r w:rsidRPr="001F1C47">
        <w:rPr>
          <w:rFonts w:hint="cs"/>
          <w:rtl/>
        </w:rPr>
        <w:t xml:space="preserve"> חלק מ</w:t>
      </w:r>
      <w:r>
        <w:rPr>
          <w:rFonts w:hint="cs"/>
          <w:rtl/>
        </w:rPr>
        <w:t>ה</w:t>
      </w:r>
      <w:r w:rsidRPr="001F1C47">
        <w:rPr>
          <w:rFonts w:hint="cs"/>
          <w:rtl/>
        </w:rPr>
        <w:t xml:space="preserve">תיקים </w:t>
      </w:r>
      <w:r>
        <w:rPr>
          <w:rFonts w:hint="cs"/>
          <w:rtl/>
        </w:rPr>
        <w:t>ה</w:t>
      </w:r>
      <w:r w:rsidRPr="001F1C47">
        <w:rPr>
          <w:rFonts w:hint="cs"/>
          <w:rtl/>
        </w:rPr>
        <w:t xml:space="preserve">אלו </w:t>
      </w:r>
      <w:r>
        <w:rPr>
          <w:rFonts w:hint="cs"/>
          <w:rtl/>
        </w:rPr>
        <w:t>גם</w:t>
      </w:r>
      <w:r w:rsidRPr="001F1C47">
        <w:rPr>
          <w:rFonts w:hint="cs"/>
          <w:rtl/>
        </w:rPr>
        <w:t xml:space="preserve"> למחוזות</w:t>
      </w:r>
      <w:r>
        <w:rPr>
          <w:rFonts w:hint="cs"/>
          <w:rtl/>
        </w:rPr>
        <w:t>,</w:t>
      </w:r>
      <w:r w:rsidRPr="001F1C47">
        <w:rPr>
          <w:rFonts w:hint="cs"/>
          <w:rtl/>
        </w:rPr>
        <w:t xml:space="preserve"> בהתאם להשקפת העולם ש</w:t>
      </w:r>
      <w:r>
        <w:rPr>
          <w:rFonts w:hint="cs"/>
          <w:rtl/>
        </w:rPr>
        <w:t xml:space="preserve">לפיה </w:t>
      </w:r>
      <w:r w:rsidRPr="001F1C47">
        <w:rPr>
          <w:rFonts w:hint="cs"/>
          <w:rtl/>
        </w:rPr>
        <w:t>גם במחוזות ראוי שתישמר מיומנות בסיסית לטיפול בתיקים אלה.</w:t>
      </w:r>
      <w:r>
        <w:rPr>
          <w:rFonts w:hint="cs"/>
          <w:rtl/>
        </w:rPr>
        <w:t xml:space="preserve"> </w:t>
      </w:r>
    </w:p>
    <w:p w14:paraId="323A146A" w14:textId="77777777" w:rsidR="00F368B6" w:rsidRDefault="00F368B6" w:rsidP="00335B56">
      <w:pPr>
        <w:pStyle w:val="af1"/>
        <w:rPr>
          <w:rtl/>
        </w:rPr>
      </w:pPr>
      <w:r w:rsidRPr="008E71A6">
        <w:rPr>
          <w:rtl/>
        </w:rPr>
        <w:t xml:space="preserve">משרד </w:t>
      </w:r>
      <w:r w:rsidRPr="003B3A73">
        <w:rPr>
          <w:rtl/>
        </w:rPr>
        <w:t xml:space="preserve">מבקר המדינה מעיר לפרקליטות </w:t>
      </w:r>
      <w:r>
        <w:rPr>
          <w:rFonts w:hint="cs"/>
          <w:rtl/>
        </w:rPr>
        <w:t>על כך ש</w:t>
      </w:r>
      <w:r>
        <w:rPr>
          <w:rtl/>
        </w:rPr>
        <w:t xml:space="preserve">ניתוב </w:t>
      </w:r>
      <w:r w:rsidRPr="003B3A73">
        <w:rPr>
          <w:rtl/>
        </w:rPr>
        <w:t xml:space="preserve">תיקים </w:t>
      </w:r>
      <w:r w:rsidRPr="003B3A73">
        <w:rPr>
          <w:rFonts w:hint="cs"/>
          <w:rtl/>
        </w:rPr>
        <w:t xml:space="preserve">רחבי היקף או בעלי מורכבות מיוחדת </w:t>
      </w:r>
      <w:r w:rsidRPr="003B3A73">
        <w:rPr>
          <w:rtl/>
        </w:rPr>
        <w:t>מהמשטרה לפרקליטות</w:t>
      </w:r>
      <w:r>
        <w:rPr>
          <w:rFonts w:hint="cs"/>
          <w:rtl/>
        </w:rPr>
        <w:t>,</w:t>
      </w:r>
      <w:r w:rsidRPr="003B3A73">
        <w:rPr>
          <w:rtl/>
        </w:rPr>
        <w:t xml:space="preserve"> וכן</w:t>
      </w:r>
      <w:r w:rsidRPr="003B3A73">
        <w:rPr>
          <w:rFonts w:hint="cs"/>
          <w:rtl/>
        </w:rPr>
        <w:t xml:space="preserve"> </w:t>
      </w:r>
      <w:r w:rsidRPr="003B3A73">
        <w:rPr>
          <w:rtl/>
        </w:rPr>
        <w:t>חלוקת העבודה בין יחידות הפרקליטות השונות</w:t>
      </w:r>
      <w:r>
        <w:rPr>
          <w:rFonts w:hint="cs"/>
          <w:rtl/>
        </w:rPr>
        <w:t>, נעשים</w:t>
      </w:r>
      <w:r w:rsidRPr="003B3A73">
        <w:rPr>
          <w:rFonts w:hint="cs"/>
          <w:rtl/>
        </w:rPr>
        <w:t xml:space="preserve"> זה </w:t>
      </w:r>
      <w:r>
        <w:rPr>
          <w:rFonts w:hint="cs"/>
          <w:rtl/>
        </w:rPr>
        <w:t>כמה</w:t>
      </w:r>
      <w:r w:rsidRPr="003B3A73">
        <w:rPr>
          <w:rFonts w:hint="cs"/>
          <w:rtl/>
        </w:rPr>
        <w:t xml:space="preserve"> שנים </w:t>
      </w:r>
      <w:r>
        <w:rPr>
          <w:rFonts w:hint="cs"/>
          <w:rtl/>
        </w:rPr>
        <w:t>שלא על פי אמות מידה ונוהל סדור. על כן</w:t>
      </w:r>
      <w:r w:rsidRPr="003B3A73">
        <w:rPr>
          <w:rFonts w:hint="cs"/>
          <w:rtl/>
        </w:rPr>
        <w:t xml:space="preserve"> </w:t>
      </w:r>
      <w:r>
        <w:rPr>
          <w:rFonts w:hint="cs"/>
          <w:rtl/>
        </w:rPr>
        <w:t>מוצע</w:t>
      </w:r>
      <w:r w:rsidRPr="003B3A73">
        <w:rPr>
          <w:rFonts w:hint="cs"/>
          <w:rtl/>
        </w:rPr>
        <w:t xml:space="preserve"> </w:t>
      </w:r>
      <w:r>
        <w:rPr>
          <w:rFonts w:hint="cs"/>
          <w:rtl/>
        </w:rPr>
        <w:t>לבחון הסדרה בנוהל, כך שתוגבר יעילות עבודת הפרקליטות והמשטרה.</w:t>
      </w:r>
      <w:r w:rsidRPr="003B3A73">
        <w:rPr>
          <w:rFonts w:hint="cs"/>
          <w:rtl/>
        </w:rPr>
        <w:t xml:space="preserve"> </w:t>
      </w:r>
    </w:p>
    <w:p w14:paraId="243EBD57" w14:textId="01B51680" w:rsidR="00F368B6" w:rsidRPr="00CA4BA7" w:rsidRDefault="00F368B6" w:rsidP="00335B56">
      <w:pPr>
        <w:pStyle w:val="af1"/>
      </w:pPr>
      <w:r w:rsidRPr="0091586F">
        <w:rPr>
          <w:rFonts w:hint="eastAsia"/>
          <w:rtl/>
        </w:rPr>
        <w:t>כמו</w:t>
      </w:r>
      <w:r w:rsidRPr="0091586F">
        <w:rPr>
          <w:rtl/>
        </w:rPr>
        <w:t xml:space="preserve"> </w:t>
      </w:r>
      <w:r w:rsidRPr="0091586F">
        <w:rPr>
          <w:rFonts w:hint="eastAsia"/>
          <w:rtl/>
        </w:rPr>
        <w:t>כן</w:t>
      </w:r>
      <w:r w:rsidRPr="0091586F">
        <w:rPr>
          <w:rtl/>
        </w:rPr>
        <w:t xml:space="preserve"> </w:t>
      </w:r>
      <w:r w:rsidRPr="0091586F">
        <w:rPr>
          <w:rFonts w:hint="eastAsia"/>
          <w:rtl/>
        </w:rPr>
        <w:t>יש</w:t>
      </w:r>
      <w:r>
        <w:rPr>
          <w:rFonts w:hint="cs"/>
          <w:rtl/>
        </w:rPr>
        <w:t xml:space="preserve"> </w:t>
      </w:r>
      <w:r w:rsidRPr="0091586F">
        <w:rPr>
          <w:rFonts w:hint="eastAsia"/>
          <w:rtl/>
        </w:rPr>
        <w:t>לבחון</w:t>
      </w:r>
      <w:r w:rsidRPr="0091586F">
        <w:rPr>
          <w:rtl/>
        </w:rPr>
        <w:t xml:space="preserve"> </w:t>
      </w:r>
      <w:r>
        <w:rPr>
          <w:rFonts w:hint="cs"/>
          <w:rtl/>
        </w:rPr>
        <w:t>את יעילות</w:t>
      </w:r>
      <w:r w:rsidRPr="003B3A73">
        <w:rPr>
          <w:rFonts w:hint="cs"/>
          <w:rtl/>
        </w:rPr>
        <w:t xml:space="preserve"> </w:t>
      </w:r>
      <w:r w:rsidRPr="0091586F">
        <w:rPr>
          <w:rtl/>
        </w:rPr>
        <w:t xml:space="preserve">המבנה הנוכחי בפרקליטות, </w:t>
      </w:r>
      <w:r>
        <w:rPr>
          <w:rFonts w:hint="cs"/>
          <w:rtl/>
        </w:rPr>
        <w:t>ו</w:t>
      </w:r>
      <w:r w:rsidRPr="0091586F">
        <w:rPr>
          <w:rtl/>
        </w:rPr>
        <w:t xml:space="preserve">לפיו שתי יחידות </w:t>
      </w:r>
      <w:r w:rsidRPr="003B3A73">
        <w:rPr>
          <w:rtl/>
        </w:rPr>
        <w:t xml:space="preserve">שונות </w:t>
      </w:r>
      <w:r>
        <w:rPr>
          <w:rFonts w:hint="cs"/>
          <w:rtl/>
        </w:rPr>
        <w:t>-</w:t>
      </w:r>
      <w:r w:rsidRPr="003B3A73">
        <w:rPr>
          <w:rtl/>
        </w:rPr>
        <w:t xml:space="preserve"> המחלקה הכלכלית ומיסוי וכלכלה - </w:t>
      </w:r>
      <w:r w:rsidRPr="003B3A73">
        <w:rPr>
          <w:rFonts w:hint="cs"/>
          <w:rtl/>
        </w:rPr>
        <w:t>עוסקות באותם תחומים</w:t>
      </w:r>
      <w:r>
        <w:rPr>
          <w:rFonts w:hint="cs"/>
          <w:rtl/>
        </w:rPr>
        <w:t>,</w:t>
      </w:r>
      <w:r w:rsidRPr="003B3A73">
        <w:rPr>
          <w:rFonts w:hint="cs"/>
          <w:rtl/>
        </w:rPr>
        <w:t xml:space="preserve"> </w:t>
      </w:r>
      <w:r>
        <w:rPr>
          <w:rFonts w:hint="cs"/>
          <w:rtl/>
        </w:rPr>
        <w:t xml:space="preserve">ולבחון </w:t>
      </w:r>
      <w:r w:rsidRPr="003B3A73">
        <w:rPr>
          <w:rFonts w:hint="cs"/>
          <w:rtl/>
        </w:rPr>
        <w:t xml:space="preserve">אם לא </w:t>
      </w:r>
      <w:r w:rsidRPr="003B3A73">
        <w:rPr>
          <w:rtl/>
        </w:rPr>
        <w:t xml:space="preserve">ראוי שתהיה חלוקה ברורה של תחומי התמחויות בתחום הכלכלי, </w:t>
      </w:r>
      <w:r>
        <w:rPr>
          <w:rFonts w:hint="cs"/>
          <w:rtl/>
        </w:rPr>
        <w:t xml:space="preserve">בין </w:t>
      </w:r>
      <w:r w:rsidRPr="003B3A73">
        <w:rPr>
          <w:rtl/>
        </w:rPr>
        <w:t xml:space="preserve">שתי </w:t>
      </w:r>
      <w:r>
        <w:rPr>
          <w:rFonts w:hint="cs"/>
          <w:rtl/>
        </w:rPr>
        <w:t>ה</w:t>
      </w:r>
      <w:r w:rsidRPr="003B3A73">
        <w:rPr>
          <w:rtl/>
        </w:rPr>
        <w:t xml:space="preserve">יחידות </w:t>
      </w:r>
      <w:r>
        <w:rPr>
          <w:rFonts w:hint="cs"/>
          <w:rtl/>
        </w:rPr>
        <w:t>הארציות העוסקות בנושא</w:t>
      </w:r>
      <w:r w:rsidRPr="003B3A73">
        <w:rPr>
          <w:rFonts w:hint="cs"/>
          <w:rtl/>
        </w:rPr>
        <w:t>.</w:t>
      </w:r>
    </w:p>
    <w:p w14:paraId="22DB9408" w14:textId="77777777" w:rsidR="00335B56" w:rsidRDefault="00335B56">
      <w:pPr>
        <w:bidi w:val="0"/>
        <w:spacing w:after="200" w:line="276" w:lineRule="auto"/>
        <w:rPr>
          <w:rFonts w:ascii="Tahoma" w:eastAsia="Times New Roman" w:hAnsi="Tahoma" w:cs="Tahoma"/>
          <w:color w:val="009692"/>
          <w:sz w:val="32"/>
          <w:szCs w:val="32"/>
          <w:rtl/>
        </w:rPr>
      </w:pPr>
      <w:bookmarkStart w:id="11" w:name="_Toc24370961"/>
      <w:r>
        <w:rPr>
          <w:rtl/>
        </w:rPr>
        <w:br w:type="page"/>
      </w:r>
    </w:p>
    <w:p w14:paraId="15F275F8" w14:textId="1B2CDB08" w:rsidR="00F368B6" w:rsidRPr="004E0414" w:rsidRDefault="00F368B6" w:rsidP="00335B56">
      <w:pPr>
        <w:pStyle w:val="316"/>
        <w:rPr>
          <w:rtl/>
        </w:rPr>
      </w:pPr>
      <w:r w:rsidRPr="004E0414">
        <w:rPr>
          <w:rtl/>
        </w:rPr>
        <w:lastRenderedPageBreak/>
        <w:t>קיומו של צוואר בקבוק במעבר בין החקירות לתביעה</w:t>
      </w:r>
      <w:bookmarkEnd w:id="11"/>
      <w:r w:rsidRPr="004E0414">
        <w:rPr>
          <w:rFonts w:hint="cs"/>
          <w:rtl/>
        </w:rPr>
        <w:t xml:space="preserve"> </w:t>
      </w:r>
    </w:p>
    <w:p w14:paraId="6B7EE52E" w14:textId="77777777" w:rsidR="00F368B6" w:rsidRDefault="00F368B6" w:rsidP="00335B56">
      <w:pPr>
        <w:pStyle w:val="100"/>
        <w:rPr>
          <w:rtl/>
        </w:rPr>
      </w:pPr>
      <w:r>
        <w:rPr>
          <w:rFonts w:hint="cs"/>
          <w:rtl/>
        </w:rPr>
        <w:t>בשנים האחרונות השקיעו רשויות האכיפה מאמצים ומשאבים רבים בהגדלת המערך החוקר של הפשיעה הכלכלית. כאמור לעיל, יותר מ-150 משרות שמממנת קרן החילוט הופנו לטובת המערך החוקר במשטרה, ברשות המיסים וברשלא"ה. הוספת המשרות הובילה באופן טבעי לגידול בכמות תיקי החקירה שמועברים, בסופם של הליכי חקירה, לגורם התובע המתאים.</w:t>
      </w:r>
    </w:p>
    <w:p w14:paraId="549E7312" w14:textId="77777777" w:rsidR="00F368B6" w:rsidRPr="00664119" w:rsidRDefault="00F368B6" w:rsidP="00335B56">
      <w:pPr>
        <w:pStyle w:val="100"/>
        <w:rPr>
          <w:rtl/>
        </w:rPr>
      </w:pPr>
      <w:r w:rsidRPr="00664119">
        <w:rPr>
          <w:rtl/>
        </w:rPr>
        <w:t xml:space="preserve">נכון לסוף שנת 2018 </w:t>
      </w:r>
      <w:r w:rsidRPr="00664119">
        <w:rPr>
          <w:rFonts w:hint="cs"/>
          <w:rtl/>
        </w:rPr>
        <w:t>ה</w:t>
      </w:r>
      <w:r w:rsidRPr="00664119">
        <w:rPr>
          <w:rtl/>
        </w:rPr>
        <w:t>פרקליטות</w:t>
      </w:r>
      <w:r w:rsidRPr="00664119">
        <w:rPr>
          <w:rFonts w:hint="cs"/>
          <w:rtl/>
        </w:rPr>
        <w:t xml:space="preserve"> העסיקה</w:t>
      </w:r>
      <w:r w:rsidRPr="00664119">
        <w:rPr>
          <w:rtl/>
        </w:rPr>
        <w:t xml:space="preserve"> 1,031 פרקליטים</w:t>
      </w:r>
      <w:r>
        <w:rPr>
          <w:rFonts w:hint="cs"/>
          <w:rtl/>
        </w:rPr>
        <w:t>,</w:t>
      </w:r>
      <w:r w:rsidRPr="00664119">
        <w:rPr>
          <w:rFonts w:hint="cs"/>
          <w:rtl/>
        </w:rPr>
        <w:t xml:space="preserve"> כ-60% מהם בתחום הפלילי.</w:t>
      </w:r>
      <w:r>
        <w:rPr>
          <w:rFonts w:hint="cs"/>
          <w:rtl/>
        </w:rPr>
        <w:t xml:space="preserve"> אכיפה כלכלית היא עיקר עיסוקם והתמחותם של </w:t>
      </w:r>
      <w:r w:rsidRPr="00664119">
        <w:rPr>
          <w:rFonts w:hint="cs"/>
          <w:rtl/>
        </w:rPr>
        <w:t xml:space="preserve">34 </w:t>
      </w:r>
      <w:r w:rsidRPr="00664119">
        <w:rPr>
          <w:rFonts w:hint="eastAsia"/>
          <w:rtl/>
        </w:rPr>
        <w:t>פרקליטים</w:t>
      </w:r>
      <w:r w:rsidRPr="00664119">
        <w:rPr>
          <w:rtl/>
        </w:rPr>
        <w:t xml:space="preserve"> </w:t>
      </w:r>
      <w:r w:rsidRPr="00664119">
        <w:rPr>
          <w:rFonts w:hint="eastAsia"/>
          <w:rtl/>
        </w:rPr>
        <w:t>במחוזות</w:t>
      </w:r>
      <w:r w:rsidRPr="00664119">
        <w:rPr>
          <w:rtl/>
        </w:rPr>
        <w:t xml:space="preserve"> </w:t>
      </w:r>
      <w:r w:rsidRPr="00664119">
        <w:rPr>
          <w:rFonts w:hint="eastAsia"/>
          <w:rtl/>
        </w:rPr>
        <w:t>ובמטה</w:t>
      </w:r>
      <w:r w:rsidRPr="00664119">
        <w:rPr>
          <w:rFonts w:hint="cs"/>
          <w:rtl/>
        </w:rPr>
        <w:t>.</w:t>
      </w:r>
      <w:r w:rsidRPr="00664119">
        <w:rPr>
          <w:rtl/>
        </w:rPr>
        <w:t xml:space="preserve"> נוסף על כך </w:t>
      </w:r>
      <w:r w:rsidRPr="00664119">
        <w:rPr>
          <w:rFonts w:hint="cs"/>
          <w:rtl/>
        </w:rPr>
        <w:t xml:space="preserve">פעלו </w:t>
      </w:r>
      <w:r w:rsidRPr="00664119">
        <w:rPr>
          <w:rtl/>
        </w:rPr>
        <w:t xml:space="preserve">בתחום האכיפה הכלכלית פרקליטים רבים נוספים </w:t>
      </w:r>
      <w:r>
        <w:rPr>
          <w:rFonts w:hint="cs"/>
          <w:rtl/>
        </w:rPr>
        <w:t>ב</w:t>
      </w:r>
      <w:r w:rsidRPr="00664119">
        <w:rPr>
          <w:rtl/>
        </w:rPr>
        <w:t xml:space="preserve">יחידות הארציות </w:t>
      </w:r>
      <w:r w:rsidRPr="00664119">
        <w:rPr>
          <w:rFonts w:hint="cs"/>
          <w:rtl/>
        </w:rPr>
        <w:t>בפרקליטות.</w:t>
      </w:r>
      <w:r>
        <w:rPr>
          <w:rFonts w:hint="cs"/>
          <w:rtl/>
        </w:rPr>
        <w:t xml:space="preserve"> לקראת סוף שנת 2019 הפרקליטות קיבלה 12 תקנים נוספים שאוישו כתגבור לחוליות הכלכליות.</w:t>
      </w:r>
    </w:p>
    <w:p w14:paraId="758B10E9" w14:textId="77777777" w:rsidR="00F368B6" w:rsidRDefault="00F368B6" w:rsidP="00335B56">
      <w:pPr>
        <w:pStyle w:val="af1"/>
        <w:rPr>
          <w:rtl/>
        </w:rPr>
      </w:pPr>
      <w:r>
        <w:rPr>
          <w:rFonts w:hint="cs"/>
          <w:rtl/>
        </w:rPr>
        <w:t>נ</w:t>
      </w:r>
      <w:r w:rsidRPr="00FF1CF5">
        <w:rPr>
          <w:rFonts w:hint="eastAsia"/>
          <w:rtl/>
        </w:rPr>
        <w:t>מצא</w:t>
      </w:r>
      <w:r w:rsidRPr="00FF1CF5">
        <w:rPr>
          <w:rtl/>
        </w:rPr>
        <w:t xml:space="preserve"> </w:t>
      </w:r>
      <w:r w:rsidRPr="00FF1CF5">
        <w:rPr>
          <w:rFonts w:hint="eastAsia"/>
          <w:rtl/>
        </w:rPr>
        <w:t>כי</w:t>
      </w:r>
      <w:r w:rsidRPr="00FF1CF5">
        <w:rPr>
          <w:rtl/>
        </w:rPr>
        <w:t xml:space="preserve"> </w:t>
      </w:r>
      <w:r>
        <w:rPr>
          <w:rFonts w:hint="cs"/>
          <w:rtl/>
        </w:rPr>
        <w:t xml:space="preserve">קיים </w:t>
      </w:r>
      <w:r w:rsidRPr="00FF1CF5">
        <w:rPr>
          <w:rFonts w:hint="eastAsia"/>
          <w:rtl/>
        </w:rPr>
        <w:t>צוואר</w:t>
      </w:r>
      <w:r w:rsidRPr="00FF1CF5">
        <w:rPr>
          <w:rtl/>
        </w:rPr>
        <w:t xml:space="preserve"> </w:t>
      </w:r>
      <w:r w:rsidRPr="00FF1CF5">
        <w:rPr>
          <w:rFonts w:hint="eastAsia"/>
          <w:rtl/>
        </w:rPr>
        <w:t>בקבוק</w:t>
      </w:r>
      <w:r w:rsidRPr="00FF1CF5">
        <w:rPr>
          <w:rtl/>
        </w:rPr>
        <w:t xml:space="preserve"> </w:t>
      </w:r>
      <w:r w:rsidRPr="00FF1CF5">
        <w:rPr>
          <w:rFonts w:hint="eastAsia"/>
          <w:rtl/>
        </w:rPr>
        <w:t>במעבר</w:t>
      </w:r>
      <w:r w:rsidRPr="00FF1CF5">
        <w:rPr>
          <w:rtl/>
        </w:rPr>
        <w:t xml:space="preserve"> </w:t>
      </w:r>
      <w:r w:rsidRPr="00FF1CF5">
        <w:rPr>
          <w:rFonts w:hint="eastAsia"/>
          <w:rtl/>
        </w:rPr>
        <w:t>התיקים</w:t>
      </w:r>
      <w:r>
        <w:rPr>
          <w:rFonts w:hint="cs"/>
          <w:rtl/>
        </w:rPr>
        <w:t xml:space="preserve"> </w:t>
      </w:r>
      <w:r w:rsidRPr="00FF1CF5">
        <w:rPr>
          <w:rFonts w:hint="eastAsia"/>
          <w:rtl/>
        </w:rPr>
        <w:t>מהיחידות</w:t>
      </w:r>
      <w:r w:rsidRPr="00FF1CF5">
        <w:rPr>
          <w:rtl/>
        </w:rPr>
        <w:t xml:space="preserve"> </w:t>
      </w:r>
      <w:r w:rsidRPr="00FF1CF5">
        <w:rPr>
          <w:rFonts w:hint="eastAsia"/>
          <w:rtl/>
        </w:rPr>
        <w:t>החוקרות</w:t>
      </w:r>
      <w:r w:rsidRPr="00FF1CF5">
        <w:rPr>
          <w:rtl/>
        </w:rPr>
        <w:t xml:space="preserve"> </w:t>
      </w:r>
      <w:r w:rsidRPr="00FF1CF5">
        <w:rPr>
          <w:rFonts w:hint="eastAsia"/>
          <w:rtl/>
        </w:rPr>
        <w:t>לגורם</w:t>
      </w:r>
      <w:r w:rsidRPr="00FF1CF5">
        <w:rPr>
          <w:rtl/>
        </w:rPr>
        <w:t xml:space="preserve"> </w:t>
      </w:r>
      <w:r w:rsidRPr="00FF1CF5">
        <w:rPr>
          <w:rFonts w:hint="eastAsia"/>
          <w:rtl/>
        </w:rPr>
        <w:t>המטפל</w:t>
      </w:r>
      <w:r w:rsidRPr="00FF1CF5">
        <w:rPr>
          <w:rtl/>
        </w:rPr>
        <w:t xml:space="preserve"> </w:t>
      </w:r>
      <w:r w:rsidRPr="00FF1CF5">
        <w:rPr>
          <w:rFonts w:hint="eastAsia"/>
          <w:rtl/>
        </w:rPr>
        <w:t>בתביעות</w:t>
      </w:r>
      <w:r w:rsidRPr="00FF1CF5">
        <w:rPr>
          <w:rtl/>
        </w:rPr>
        <w:t xml:space="preserve"> </w:t>
      </w:r>
      <w:r w:rsidRPr="00FF1CF5">
        <w:rPr>
          <w:rFonts w:hint="eastAsia"/>
          <w:rtl/>
        </w:rPr>
        <w:t>השונות</w:t>
      </w:r>
      <w:r w:rsidRPr="003C0941">
        <w:rPr>
          <w:rFonts w:hint="cs"/>
          <w:rtl/>
        </w:rPr>
        <w:t>.</w:t>
      </w:r>
      <w:r w:rsidRPr="00FF1CF5">
        <w:rPr>
          <w:rtl/>
        </w:rPr>
        <w:t xml:space="preserve"> עוד נמצא כי קביעת היעדים ליחידות החוקרות א</w:t>
      </w:r>
      <w:r>
        <w:rPr>
          <w:rFonts w:hint="cs"/>
          <w:rtl/>
        </w:rPr>
        <w:t>ינה</w:t>
      </w:r>
      <w:r w:rsidRPr="00FF1CF5">
        <w:rPr>
          <w:rtl/>
        </w:rPr>
        <w:t xml:space="preserve"> </w:t>
      </w:r>
      <w:r w:rsidRPr="00FF1CF5">
        <w:rPr>
          <w:rFonts w:hint="eastAsia"/>
          <w:rtl/>
        </w:rPr>
        <w:t>מביאה</w:t>
      </w:r>
      <w:r w:rsidRPr="00FF1CF5">
        <w:rPr>
          <w:rtl/>
        </w:rPr>
        <w:t xml:space="preserve"> בחשבון את המשאבים המוגבלים של </w:t>
      </w:r>
      <w:r>
        <w:rPr>
          <w:rFonts w:hint="cs"/>
          <w:rtl/>
        </w:rPr>
        <w:t xml:space="preserve">המשך שרשרת האכיפה, </w:t>
      </w:r>
      <w:r w:rsidRPr="00FF1CF5">
        <w:rPr>
          <w:rFonts w:hint="eastAsia"/>
          <w:rtl/>
        </w:rPr>
        <w:t>כך</w:t>
      </w:r>
      <w:r w:rsidRPr="00FF1CF5">
        <w:rPr>
          <w:rtl/>
        </w:rPr>
        <w:t xml:space="preserve"> </w:t>
      </w:r>
      <w:r w:rsidRPr="00FF1CF5">
        <w:rPr>
          <w:rFonts w:hint="eastAsia"/>
          <w:rtl/>
        </w:rPr>
        <w:t>שקיים</w:t>
      </w:r>
      <w:r w:rsidRPr="00FF1CF5">
        <w:rPr>
          <w:rtl/>
        </w:rPr>
        <w:t xml:space="preserve"> </w:t>
      </w:r>
      <w:r w:rsidRPr="00FF1CF5">
        <w:rPr>
          <w:rFonts w:hint="eastAsia"/>
          <w:rtl/>
        </w:rPr>
        <w:t>פער</w:t>
      </w:r>
      <w:r w:rsidRPr="00FF1CF5">
        <w:rPr>
          <w:rtl/>
        </w:rPr>
        <w:t xml:space="preserve"> </w:t>
      </w:r>
      <w:r w:rsidRPr="00FF1CF5">
        <w:rPr>
          <w:rFonts w:hint="eastAsia"/>
          <w:rtl/>
        </w:rPr>
        <w:t>ניכר</w:t>
      </w:r>
      <w:r w:rsidRPr="00FF1CF5">
        <w:rPr>
          <w:rtl/>
        </w:rPr>
        <w:t xml:space="preserve"> </w:t>
      </w:r>
      <w:r w:rsidRPr="00FF1CF5">
        <w:rPr>
          <w:rFonts w:hint="eastAsia"/>
          <w:rtl/>
        </w:rPr>
        <w:t>בין</w:t>
      </w:r>
      <w:r w:rsidRPr="00FF1CF5">
        <w:rPr>
          <w:rtl/>
        </w:rPr>
        <w:t xml:space="preserve"> </w:t>
      </w:r>
      <w:r w:rsidRPr="00FF1CF5">
        <w:rPr>
          <w:rFonts w:hint="eastAsia"/>
          <w:rtl/>
        </w:rPr>
        <w:t>הגידול</w:t>
      </w:r>
      <w:r w:rsidRPr="00FF1CF5">
        <w:rPr>
          <w:rtl/>
        </w:rPr>
        <w:t xml:space="preserve"> </w:t>
      </w:r>
      <w:r w:rsidRPr="00FF1CF5">
        <w:rPr>
          <w:rFonts w:hint="eastAsia"/>
          <w:rtl/>
        </w:rPr>
        <w:t>ב</w:t>
      </w:r>
      <w:r>
        <w:rPr>
          <w:rFonts w:hint="cs"/>
          <w:rtl/>
        </w:rPr>
        <w:t xml:space="preserve">מספר </w:t>
      </w:r>
      <w:r w:rsidRPr="00FF1CF5">
        <w:rPr>
          <w:rFonts w:hint="eastAsia"/>
          <w:rtl/>
        </w:rPr>
        <w:t>תיקי</w:t>
      </w:r>
      <w:r w:rsidRPr="00FF1CF5">
        <w:rPr>
          <w:rtl/>
        </w:rPr>
        <w:t xml:space="preserve"> </w:t>
      </w:r>
      <w:r w:rsidRPr="00FF1CF5">
        <w:rPr>
          <w:rFonts w:hint="eastAsia"/>
          <w:rtl/>
        </w:rPr>
        <w:t>החקירה</w:t>
      </w:r>
      <w:r w:rsidRPr="00FF1CF5">
        <w:rPr>
          <w:rtl/>
        </w:rPr>
        <w:t xml:space="preserve"> </w:t>
      </w:r>
      <w:r w:rsidRPr="00FF1CF5">
        <w:rPr>
          <w:rFonts w:hint="eastAsia"/>
          <w:rtl/>
        </w:rPr>
        <w:t>שנפתחים</w:t>
      </w:r>
      <w:r w:rsidRPr="00FF1CF5">
        <w:rPr>
          <w:rtl/>
        </w:rPr>
        <w:t xml:space="preserve"> </w:t>
      </w:r>
      <w:r w:rsidRPr="00FF1CF5">
        <w:rPr>
          <w:rFonts w:hint="eastAsia"/>
          <w:rtl/>
        </w:rPr>
        <w:t>במשטרה</w:t>
      </w:r>
      <w:r w:rsidRPr="00FF1CF5">
        <w:rPr>
          <w:rtl/>
        </w:rPr>
        <w:t xml:space="preserve"> </w:t>
      </w:r>
      <w:r w:rsidRPr="00FF1CF5">
        <w:rPr>
          <w:rFonts w:hint="eastAsia"/>
          <w:rtl/>
        </w:rPr>
        <w:t>וברשויות</w:t>
      </w:r>
      <w:r w:rsidRPr="00FF1CF5">
        <w:rPr>
          <w:rtl/>
        </w:rPr>
        <w:t xml:space="preserve"> </w:t>
      </w:r>
      <w:r w:rsidRPr="00FF1CF5">
        <w:rPr>
          <w:rFonts w:hint="eastAsia"/>
          <w:rtl/>
        </w:rPr>
        <w:t>חוקרות</w:t>
      </w:r>
      <w:r w:rsidRPr="00FF1CF5">
        <w:rPr>
          <w:rtl/>
        </w:rPr>
        <w:t xml:space="preserve"> </w:t>
      </w:r>
      <w:r w:rsidRPr="00FF1CF5">
        <w:rPr>
          <w:rFonts w:hint="eastAsia"/>
          <w:rtl/>
        </w:rPr>
        <w:t>אחרות</w:t>
      </w:r>
      <w:r w:rsidRPr="00FF1CF5">
        <w:rPr>
          <w:rtl/>
        </w:rPr>
        <w:t xml:space="preserve"> </w:t>
      </w:r>
      <w:r w:rsidRPr="00FF1CF5">
        <w:rPr>
          <w:rFonts w:hint="eastAsia"/>
          <w:rtl/>
        </w:rPr>
        <w:t>ובתפיסות</w:t>
      </w:r>
      <w:r w:rsidRPr="00FF1CF5">
        <w:rPr>
          <w:rtl/>
        </w:rPr>
        <w:t xml:space="preserve"> </w:t>
      </w:r>
      <w:r w:rsidRPr="00FF1CF5">
        <w:rPr>
          <w:rFonts w:hint="eastAsia"/>
          <w:rtl/>
        </w:rPr>
        <w:t>הרכוש</w:t>
      </w:r>
      <w:r w:rsidRPr="00FF1CF5">
        <w:rPr>
          <w:rtl/>
        </w:rPr>
        <w:t xml:space="preserve"> </w:t>
      </w:r>
      <w:r w:rsidRPr="00FF1CF5">
        <w:rPr>
          <w:rFonts w:hint="eastAsia"/>
          <w:rtl/>
        </w:rPr>
        <w:t>ובין</w:t>
      </w:r>
      <w:r w:rsidRPr="00FF1CF5">
        <w:rPr>
          <w:rtl/>
        </w:rPr>
        <w:t xml:space="preserve"> </w:t>
      </w:r>
      <w:r w:rsidRPr="00FF1CF5">
        <w:rPr>
          <w:rFonts w:hint="eastAsia"/>
          <w:rtl/>
        </w:rPr>
        <w:t>היכולת</w:t>
      </w:r>
      <w:r w:rsidRPr="00FF1CF5">
        <w:rPr>
          <w:rtl/>
        </w:rPr>
        <w:t xml:space="preserve"> </w:t>
      </w:r>
      <w:r w:rsidRPr="00FF1CF5">
        <w:rPr>
          <w:rFonts w:hint="eastAsia"/>
          <w:rtl/>
        </w:rPr>
        <w:t>של</w:t>
      </w:r>
      <w:r w:rsidRPr="00FF1CF5">
        <w:rPr>
          <w:rtl/>
        </w:rPr>
        <w:t xml:space="preserve"> </w:t>
      </w:r>
      <w:r w:rsidRPr="00FF1CF5">
        <w:rPr>
          <w:rFonts w:hint="eastAsia"/>
          <w:rtl/>
        </w:rPr>
        <w:t>גופי</w:t>
      </w:r>
      <w:r w:rsidRPr="00FF1CF5">
        <w:rPr>
          <w:rtl/>
        </w:rPr>
        <w:t xml:space="preserve"> </w:t>
      </w:r>
      <w:r w:rsidRPr="00FF1CF5">
        <w:rPr>
          <w:rFonts w:hint="eastAsia"/>
          <w:rtl/>
        </w:rPr>
        <w:t>התביעה</w:t>
      </w:r>
      <w:r w:rsidRPr="00FF1CF5">
        <w:rPr>
          <w:rtl/>
        </w:rPr>
        <w:t xml:space="preserve"> </w:t>
      </w:r>
      <w:r w:rsidRPr="00FF1CF5">
        <w:rPr>
          <w:rFonts w:hint="eastAsia"/>
          <w:rtl/>
        </w:rPr>
        <w:t>לטפל</w:t>
      </w:r>
      <w:r w:rsidRPr="00FF1CF5">
        <w:rPr>
          <w:rtl/>
        </w:rPr>
        <w:t xml:space="preserve"> </w:t>
      </w:r>
      <w:r w:rsidRPr="00FF1CF5">
        <w:rPr>
          <w:rFonts w:hint="eastAsia"/>
          <w:rtl/>
        </w:rPr>
        <w:t>באותם</w:t>
      </w:r>
      <w:r w:rsidRPr="00FF1CF5">
        <w:rPr>
          <w:rtl/>
        </w:rPr>
        <w:t xml:space="preserve"> </w:t>
      </w:r>
      <w:r w:rsidRPr="00FF1CF5">
        <w:rPr>
          <w:rFonts w:hint="eastAsia"/>
          <w:rtl/>
        </w:rPr>
        <w:t>התיקים</w:t>
      </w:r>
      <w:r w:rsidRPr="00FF1CF5">
        <w:rPr>
          <w:rtl/>
        </w:rPr>
        <w:t xml:space="preserve"> </w:t>
      </w:r>
      <w:r w:rsidRPr="00FF1CF5">
        <w:rPr>
          <w:rFonts w:hint="eastAsia"/>
          <w:rtl/>
        </w:rPr>
        <w:t>ולהביא</w:t>
      </w:r>
      <w:r w:rsidRPr="00FF1CF5">
        <w:rPr>
          <w:rtl/>
        </w:rPr>
        <w:t xml:space="preserve"> </w:t>
      </w:r>
      <w:r w:rsidRPr="00FF1CF5">
        <w:rPr>
          <w:rFonts w:hint="eastAsia"/>
          <w:rtl/>
        </w:rPr>
        <w:t>למימוש</w:t>
      </w:r>
      <w:r w:rsidRPr="00FF1CF5">
        <w:rPr>
          <w:rtl/>
        </w:rPr>
        <w:t xml:space="preserve"> </w:t>
      </w:r>
      <w:r w:rsidRPr="002768C7">
        <w:rPr>
          <w:rFonts w:hint="eastAsia"/>
          <w:rtl/>
        </w:rPr>
        <w:t>התפוסים</w:t>
      </w:r>
      <w:r w:rsidRPr="00FF1CF5">
        <w:rPr>
          <w:rtl/>
        </w:rPr>
        <w:t xml:space="preserve">. </w:t>
      </w:r>
    </w:p>
    <w:p w14:paraId="7A264D0C" w14:textId="77777777" w:rsidR="00F368B6" w:rsidRPr="003F543C" w:rsidRDefault="00F368B6" w:rsidP="00C77D8B">
      <w:pPr>
        <w:pStyle w:val="100"/>
        <w:rPr>
          <w:rtl/>
        </w:rPr>
      </w:pPr>
      <w:r>
        <w:rPr>
          <w:rFonts w:hint="cs"/>
          <w:rtl/>
        </w:rPr>
        <w:t>המשטרה</w:t>
      </w:r>
      <w:r w:rsidRPr="006F2975">
        <w:rPr>
          <w:rFonts w:hint="cs"/>
          <w:rtl/>
        </w:rPr>
        <w:t xml:space="preserve"> </w:t>
      </w:r>
      <w:r>
        <w:rPr>
          <w:rFonts w:hint="cs"/>
          <w:rtl/>
        </w:rPr>
        <w:t xml:space="preserve">השיבה כי יעדי החילוט הנקבעים ליחידות אינם אמורים להביא בחשבון את המשאבים המוגבלים של מערך התביעה ובתי המשפט. לעמדתה, גם מערך החקירות במשטרה עובד במשאבים חסרים, ולכן יש לחזק במשאבים את כלל שרשרת האכיפה, ולא להחלישה בהיעדר משאבים. עוד ציינה כי אין צוואר בקבוק במעבר שבין המערך החוקר לתביעה המשטרתית, המטפלת באופן שוטף בתיקים המגיעים אליה. </w:t>
      </w:r>
    </w:p>
    <w:p w14:paraId="40A25A7F" w14:textId="77777777" w:rsidR="00F368B6" w:rsidRDefault="00F368B6" w:rsidP="00C77D8B">
      <w:pPr>
        <w:pStyle w:val="100"/>
        <w:rPr>
          <w:rFonts w:asciiTheme="minorBidi" w:hAnsiTheme="minorBidi"/>
          <w:sz w:val="24"/>
          <w:highlight w:val="cyan"/>
          <w:rtl/>
        </w:rPr>
      </w:pPr>
      <w:r w:rsidRPr="00020713">
        <w:rPr>
          <w:rFonts w:asciiTheme="minorBidi" w:hAnsiTheme="minorBidi"/>
          <w:sz w:val="24"/>
          <w:rtl/>
        </w:rPr>
        <w:t xml:space="preserve">בישיבת מועצת החילוט </w:t>
      </w:r>
      <w:r>
        <w:rPr>
          <w:rFonts w:asciiTheme="minorBidi" w:hAnsiTheme="minorBidi" w:hint="cs"/>
          <w:sz w:val="24"/>
          <w:rtl/>
        </w:rPr>
        <w:t>ב</w:t>
      </w:r>
      <w:r w:rsidRPr="00020713">
        <w:rPr>
          <w:rFonts w:asciiTheme="minorBidi" w:hAnsiTheme="minorBidi"/>
          <w:sz w:val="24"/>
          <w:rtl/>
        </w:rPr>
        <w:t>נובמבר 2018</w:t>
      </w:r>
      <w:r>
        <w:rPr>
          <w:rFonts w:asciiTheme="minorBidi" w:hAnsiTheme="minorBidi"/>
          <w:sz w:val="24"/>
          <w:rtl/>
        </w:rPr>
        <w:t xml:space="preserve"> </w:t>
      </w:r>
      <w:r>
        <w:rPr>
          <w:rFonts w:asciiTheme="minorBidi" w:hAnsiTheme="minorBidi" w:hint="cs"/>
          <w:sz w:val="24"/>
          <w:rtl/>
        </w:rPr>
        <w:t xml:space="preserve">ציין </w:t>
      </w:r>
      <w:r w:rsidRPr="00020713">
        <w:rPr>
          <w:rFonts w:asciiTheme="minorBidi" w:hAnsiTheme="minorBidi"/>
          <w:sz w:val="24"/>
          <w:rtl/>
        </w:rPr>
        <w:t>נציג האוצר</w:t>
      </w:r>
      <w:r>
        <w:rPr>
          <w:rFonts w:asciiTheme="minorBidi" w:hAnsiTheme="minorBidi" w:hint="cs"/>
          <w:sz w:val="24"/>
          <w:rtl/>
        </w:rPr>
        <w:t xml:space="preserve"> כי </w:t>
      </w:r>
      <w:r w:rsidRPr="00020713">
        <w:rPr>
          <w:rFonts w:asciiTheme="minorBidi" w:hAnsiTheme="minorBidi"/>
          <w:sz w:val="24"/>
          <w:rtl/>
        </w:rPr>
        <w:t>הבעיה א</w:t>
      </w:r>
      <w:r>
        <w:rPr>
          <w:rFonts w:asciiTheme="minorBidi" w:hAnsiTheme="minorBidi" w:hint="cs"/>
          <w:sz w:val="24"/>
          <w:rtl/>
        </w:rPr>
        <w:t>ינה</w:t>
      </w:r>
      <w:r w:rsidRPr="00020713">
        <w:rPr>
          <w:rFonts w:asciiTheme="minorBidi" w:hAnsiTheme="minorBidi"/>
          <w:sz w:val="24"/>
          <w:rtl/>
        </w:rPr>
        <w:t xml:space="preserve"> בחקירות</w:t>
      </w:r>
      <w:r>
        <w:rPr>
          <w:rFonts w:asciiTheme="minorBidi" w:hAnsiTheme="minorBidi" w:hint="cs"/>
          <w:sz w:val="24"/>
          <w:rtl/>
        </w:rPr>
        <w:t>, אלא</w:t>
      </w:r>
      <w:r w:rsidRPr="00020713">
        <w:rPr>
          <w:rFonts w:asciiTheme="minorBidi" w:hAnsiTheme="minorBidi"/>
          <w:sz w:val="24"/>
          <w:rtl/>
        </w:rPr>
        <w:t xml:space="preserve"> </w:t>
      </w:r>
      <w:r>
        <w:rPr>
          <w:rFonts w:asciiTheme="minorBidi" w:hAnsiTheme="minorBidi" w:hint="cs"/>
          <w:sz w:val="24"/>
          <w:rtl/>
        </w:rPr>
        <w:t>"</w:t>
      </w:r>
      <w:r w:rsidRPr="00020713">
        <w:rPr>
          <w:rFonts w:asciiTheme="minorBidi" w:hAnsiTheme="minorBidi"/>
          <w:sz w:val="24"/>
          <w:rtl/>
        </w:rPr>
        <w:t>כנראה בהמשך השרשרת. יותר בנושא הפרקליטים. גם אם נביא עוד 100 חוקרים לרשות המיסים. אם לא נגד</w:t>
      </w:r>
      <w:r>
        <w:rPr>
          <w:rFonts w:asciiTheme="minorBidi" w:hAnsiTheme="minorBidi"/>
          <w:sz w:val="24"/>
          <w:rtl/>
        </w:rPr>
        <w:t>יל</w:t>
      </w:r>
      <w:r>
        <w:rPr>
          <w:rFonts w:asciiTheme="minorBidi" w:hAnsiTheme="minorBidi" w:hint="cs"/>
          <w:sz w:val="24"/>
          <w:rtl/>
        </w:rPr>
        <w:t xml:space="preserve"> </w:t>
      </w:r>
      <w:r w:rsidRPr="00020713">
        <w:rPr>
          <w:rFonts w:asciiTheme="minorBidi" w:hAnsiTheme="minorBidi"/>
          <w:sz w:val="24"/>
          <w:rtl/>
        </w:rPr>
        <w:t>את תקני הפרקליטים זה חסר כל משמעות</w:t>
      </w:r>
      <w:r>
        <w:rPr>
          <w:rFonts w:asciiTheme="minorBidi" w:hAnsiTheme="minorBidi" w:hint="cs"/>
          <w:sz w:val="24"/>
          <w:rtl/>
        </w:rPr>
        <w:t>... בסוף יש חקירות ויש פרקליטים. צריך להביא אותם למצב שהם ביחס סביר בינם לבין התיקים</w:t>
      </w:r>
      <w:r w:rsidRPr="00020713">
        <w:rPr>
          <w:rFonts w:asciiTheme="minorBidi" w:hAnsiTheme="minorBidi"/>
          <w:sz w:val="24"/>
          <w:rtl/>
        </w:rPr>
        <w:t>"</w:t>
      </w:r>
      <w:r w:rsidRPr="00894EDE">
        <w:rPr>
          <w:rFonts w:ascii="David" w:hAnsi="David"/>
          <w:sz w:val="24"/>
          <w:vertAlign w:val="superscript"/>
        </w:rPr>
        <w:footnoteReference w:id="48"/>
      </w:r>
      <w:r>
        <w:rPr>
          <w:rFonts w:asciiTheme="minorBidi" w:hAnsiTheme="minorBidi" w:hint="cs"/>
          <w:sz w:val="24"/>
          <w:rtl/>
        </w:rPr>
        <w:t>.</w:t>
      </w:r>
    </w:p>
    <w:p w14:paraId="78A3D678" w14:textId="77777777" w:rsidR="00F368B6" w:rsidRPr="00D97AF6" w:rsidRDefault="00F368B6" w:rsidP="00C77D8B">
      <w:pPr>
        <w:pStyle w:val="af1"/>
      </w:pPr>
      <w:r>
        <w:rPr>
          <w:rFonts w:hint="cs"/>
          <w:rtl/>
        </w:rPr>
        <w:t>חוסר ההלימה בין המערך החוקר למערך התובע מחריף לנוכח הפערים במשך הטיפול: לאחר ש</w:t>
      </w:r>
      <w:r w:rsidRPr="00D97AF6">
        <w:rPr>
          <w:rtl/>
        </w:rPr>
        <w:t xml:space="preserve">המשטרה </w:t>
      </w:r>
      <w:r>
        <w:rPr>
          <w:rFonts w:hint="cs"/>
          <w:rtl/>
        </w:rPr>
        <w:t xml:space="preserve">סיימה את הטיפול בחקירה אחת ועברה </w:t>
      </w:r>
      <w:r w:rsidRPr="00D97AF6">
        <w:rPr>
          <w:rFonts w:hint="eastAsia"/>
          <w:rtl/>
        </w:rPr>
        <w:t>ל</w:t>
      </w:r>
      <w:r w:rsidRPr="00D97AF6">
        <w:rPr>
          <w:rtl/>
        </w:rPr>
        <w:t xml:space="preserve">תיק הבא, </w:t>
      </w:r>
      <w:r w:rsidRPr="00D97AF6">
        <w:rPr>
          <w:rFonts w:hint="eastAsia"/>
          <w:rtl/>
        </w:rPr>
        <w:t>הפרקליט</w:t>
      </w:r>
      <w:r w:rsidRPr="00D97AF6">
        <w:rPr>
          <w:rtl/>
        </w:rPr>
        <w:t xml:space="preserve"> </w:t>
      </w:r>
      <w:r w:rsidRPr="00D97AF6">
        <w:rPr>
          <w:rFonts w:hint="eastAsia"/>
          <w:rtl/>
        </w:rPr>
        <w:t>המלווה</w:t>
      </w:r>
      <w:r>
        <w:rPr>
          <w:rFonts w:hint="cs"/>
          <w:rtl/>
        </w:rPr>
        <w:t xml:space="preserve"> </w:t>
      </w:r>
      <w:r w:rsidRPr="00D97AF6">
        <w:rPr>
          <w:rFonts w:hint="eastAsia"/>
          <w:rtl/>
        </w:rPr>
        <w:t>צפוי</w:t>
      </w:r>
      <w:r w:rsidRPr="00D97AF6">
        <w:rPr>
          <w:rtl/>
        </w:rPr>
        <w:t xml:space="preserve"> </w:t>
      </w:r>
      <w:r>
        <w:rPr>
          <w:rFonts w:hint="cs"/>
          <w:rtl/>
        </w:rPr>
        <w:t xml:space="preserve">להמשיך </w:t>
      </w:r>
      <w:r w:rsidRPr="00D97AF6">
        <w:rPr>
          <w:rFonts w:hint="eastAsia"/>
          <w:rtl/>
        </w:rPr>
        <w:t>ללוות</w:t>
      </w:r>
      <w:r w:rsidRPr="00D97AF6">
        <w:rPr>
          <w:rtl/>
        </w:rPr>
        <w:t xml:space="preserve"> </w:t>
      </w:r>
      <w:r w:rsidRPr="00D97AF6">
        <w:rPr>
          <w:rFonts w:hint="eastAsia"/>
          <w:rtl/>
        </w:rPr>
        <w:t>את</w:t>
      </w:r>
      <w:r>
        <w:rPr>
          <w:rFonts w:hint="cs"/>
          <w:rtl/>
        </w:rPr>
        <w:t xml:space="preserve"> אותו</w:t>
      </w:r>
      <w:r w:rsidRPr="00D97AF6">
        <w:rPr>
          <w:rtl/>
        </w:rPr>
        <w:t xml:space="preserve"> התיק בערכאות השונות בבתי המשפט במשך שלוש </w:t>
      </w:r>
      <w:r w:rsidRPr="00D97AF6">
        <w:rPr>
          <w:rFonts w:hint="eastAsia"/>
          <w:rtl/>
        </w:rPr>
        <w:t>שנים</w:t>
      </w:r>
      <w:r w:rsidRPr="00D97AF6">
        <w:rPr>
          <w:rtl/>
        </w:rPr>
        <w:t xml:space="preserve"> </w:t>
      </w:r>
      <w:r>
        <w:rPr>
          <w:rFonts w:hint="cs"/>
          <w:rtl/>
        </w:rPr>
        <w:t>בממוצע, באופן שאינו מאפשר לו להתפנות לטיפול בתיקים אחרים</w:t>
      </w:r>
      <w:r w:rsidRPr="00D97AF6">
        <w:rPr>
          <w:rtl/>
        </w:rPr>
        <w:t xml:space="preserve">. </w:t>
      </w:r>
    </w:p>
    <w:p w14:paraId="6433312B" w14:textId="47BAD238" w:rsidR="00F368B6" w:rsidRDefault="00F368B6" w:rsidP="00C77D8B">
      <w:pPr>
        <w:pStyle w:val="100"/>
        <w:rPr>
          <w:rtl/>
        </w:rPr>
      </w:pPr>
      <w:r w:rsidRPr="00020713">
        <w:rPr>
          <w:rtl/>
        </w:rPr>
        <w:t xml:space="preserve">בדיון של הוועדה המתמדת </w:t>
      </w:r>
      <w:r>
        <w:rPr>
          <w:rFonts w:hint="cs"/>
          <w:rtl/>
        </w:rPr>
        <w:t>ב</w:t>
      </w:r>
      <w:r w:rsidRPr="00020713">
        <w:rPr>
          <w:rtl/>
        </w:rPr>
        <w:t>אוקטובר 2018 ציין ראש אח"</w:t>
      </w:r>
      <w:r w:rsidR="00EB12B3">
        <w:rPr>
          <w:rFonts w:hint="cs"/>
          <w:rtl/>
        </w:rPr>
        <w:t>ם</w:t>
      </w:r>
      <w:r w:rsidRPr="00020713">
        <w:rPr>
          <w:rtl/>
        </w:rPr>
        <w:t xml:space="preserve"> כי אחד הנושאים שעלו בדיון בפני צוות</w:t>
      </w:r>
      <w:r>
        <w:rPr>
          <w:rFonts w:hint="cs"/>
          <w:rtl/>
        </w:rPr>
        <w:t>-</w:t>
      </w:r>
      <w:r w:rsidRPr="00020713">
        <w:rPr>
          <w:rtl/>
        </w:rPr>
        <w:t xml:space="preserve">העל הוא "הפערים שנוצרו בפרקליטות בכל הקשור למימוש אחריותה, בעיקר בנושא אכיפה </w:t>
      </w:r>
      <w:r>
        <w:rPr>
          <w:rtl/>
        </w:rPr>
        <w:t>כלכלית.</w:t>
      </w:r>
      <w:r>
        <w:rPr>
          <w:rFonts w:hint="cs"/>
          <w:rtl/>
        </w:rPr>
        <w:t xml:space="preserve"> </w:t>
      </w:r>
      <w:r w:rsidRPr="00020713">
        <w:rPr>
          <w:rtl/>
        </w:rPr>
        <w:t>הרבה חקירות אינן יוצאות לפועל בשל הפער בפרקליטים. כמובן שהפער הינו תקציבי"</w:t>
      </w:r>
      <w:r w:rsidRPr="00894EDE">
        <w:rPr>
          <w:rFonts w:ascii="David" w:hAnsi="David"/>
          <w:vertAlign w:val="superscript"/>
        </w:rPr>
        <w:footnoteReference w:id="49"/>
      </w:r>
      <w:r>
        <w:rPr>
          <w:rFonts w:hint="cs"/>
          <w:rtl/>
        </w:rPr>
        <w:t>.</w:t>
      </w:r>
      <w:r w:rsidRPr="00E96F22">
        <w:t xml:space="preserve"> </w:t>
      </w:r>
    </w:p>
    <w:p w14:paraId="56BAC05B" w14:textId="77777777" w:rsidR="00F368B6" w:rsidRDefault="00F368B6" w:rsidP="00C77D8B">
      <w:pPr>
        <w:pStyle w:val="100"/>
        <w:rPr>
          <w:rFonts w:asciiTheme="minorBidi" w:hAnsiTheme="minorBidi"/>
          <w:sz w:val="24"/>
          <w:highlight w:val="cyan"/>
          <w:rtl/>
        </w:rPr>
      </w:pPr>
      <w:r w:rsidRPr="00020713">
        <w:rPr>
          <w:rFonts w:asciiTheme="minorBidi" w:hAnsiTheme="minorBidi"/>
          <w:sz w:val="24"/>
          <w:rtl/>
        </w:rPr>
        <w:lastRenderedPageBreak/>
        <w:t>בניתוח שע</w:t>
      </w:r>
      <w:r>
        <w:rPr>
          <w:rFonts w:asciiTheme="minorBidi" w:hAnsiTheme="minorBidi" w:hint="cs"/>
          <w:sz w:val="24"/>
          <w:rtl/>
        </w:rPr>
        <w:t>שה</w:t>
      </w:r>
      <w:r w:rsidRPr="00020713">
        <w:rPr>
          <w:rFonts w:asciiTheme="minorBidi" w:hAnsiTheme="minorBidi"/>
          <w:sz w:val="24"/>
          <w:rtl/>
        </w:rPr>
        <w:t xml:space="preserve"> אגף תקציבים </w:t>
      </w:r>
      <w:r>
        <w:rPr>
          <w:rFonts w:asciiTheme="minorBidi" w:hAnsiTheme="minorBidi" w:hint="cs"/>
          <w:sz w:val="24"/>
          <w:rtl/>
        </w:rPr>
        <w:t xml:space="preserve">במשרד האוצר </w:t>
      </w:r>
      <w:r w:rsidRPr="00020713">
        <w:rPr>
          <w:rFonts w:asciiTheme="minorBidi" w:hAnsiTheme="minorBidi"/>
          <w:sz w:val="24"/>
          <w:rtl/>
        </w:rPr>
        <w:t>בינואר 2019 עבור צוות</w:t>
      </w:r>
      <w:r>
        <w:rPr>
          <w:rFonts w:asciiTheme="minorBidi" w:hAnsiTheme="minorBidi" w:hint="cs"/>
          <w:sz w:val="24"/>
          <w:rtl/>
        </w:rPr>
        <w:t>-</w:t>
      </w:r>
      <w:r w:rsidRPr="00020713">
        <w:rPr>
          <w:rFonts w:asciiTheme="minorBidi" w:hAnsiTheme="minorBidi"/>
          <w:sz w:val="24"/>
          <w:rtl/>
        </w:rPr>
        <w:t>העל נכתב כי</w:t>
      </w:r>
      <w:r>
        <w:rPr>
          <w:rFonts w:asciiTheme="minorBidi" w:hAnsiTheme="minorBidi"/>
          <w:sz w:val="24"/>
          <w:rtl/>
        </w:rPr>
        <w:t xml:space="preserve"> </w:t>
      </w:r>
      <w:r w:rsidRPr="00020713">
        <w:rPr>
          <w:rFonts w:asciiTheme="minorBidi" w:hAnsiTheme="minorBidi"/>
          <w:sz w:val="24"/>
          <w:rtl/>
        </w:rPr>
        <w:t>הכללתה המאוחרת של הפרקליטות ברשימת הגופים המתוקצבים הובילה לחלוקת משאבים לא יעילה</w:t>
      </w:r>
      <w:r>
        <w:rPr>
          <w:rFonts w:asciiTheme="minorBidi" w:hAnsiTheme="minorBidi" w:hint="cs"/>
          <w:sz w:val="24"/>
          <w:rtl/>
        </w:rPr>
        <w:t>,</w:t>
      </w:r>
      <w:r w:rsidRPr="00020713">
        <w:rPr>
          <w:rFonts w:asciiTheme="minorBidi" w:hAnsiTheme="minorBidi"/>
          <w:sz w:val="24"/>
          <w:rtl/>
        </w:rPr>
        <w:t xml:space="preserve"> שחיזקה באופן </w:t>
      </w:r>
      <w:r>
        <w:rPr>
          <w:rFonts w:asciiTheme="minorBidi" w:hAnsiTheme="minorBidi" w:hint="cs"/>
          <w:sz w:val="24"/>
          <w:rtl/>
        </w:rPr>
        <w:t>ניכר</w:t>
      </w:r>
      <w:r w:rsidRPr="00020713">
        <w:rPr>
          <w:rFonts w:asciiTheme="minorBidi" w:hAnsiTheme="minorBidi"/>
          <w:sz w:val="24"/>
          <w:rtl/>
        </w:rPr>
        <w:t xml:space="preserve"> את גורמי החקירה ו</w:t>
      </w:r>
      <w:r>
        <w:rPr>
          <w:rFonts w:asciiTheme="minorBidi" w:hAnsiTheme="minorBidi" w:hint="cs"/>
          <w:sz w:val="24"/>
          <w:rtl/>
        </w:rPr>
        <w:t>בעקבות זאת</w:t>
      </w:r>
      <w:r w:rsidRPr="00020713">
        <w:rPr>
          <w:rFonts w:asciiTheme="minorBidi" w:hAnsiTheme="minorBidi"/>
          <w:sz w:val="24"/>
          <w:rtl/>
        </w:rPr>
        <w:t xml:space="preserve"> יצרה צווארי בקבוק במערך התביע</w:t>
      </w:r>
      <w:r w:rsidRPr="00EC666D">
        <w:rPr>
          <w:rFonts w:asciiTheme="minorBidi" w:hAnsiTheme="minorBidi"/>
          <w:sz w:val="24"/>
          <w:rtl/>
        </w:rPr>
        <w:t>ה</w:t>
      </w:r>
      <w:r w:rsidRPr="00EC666D">
        <w:rPr>
          <w:rFonts w:asciiTheme="minorBidi" w:hAnsiTheme="minorBidi" w:hint="cs"/>
          <w:sz w:val="24"/>
          <w:rtl/>
        </w:rPr>
        <w:t>.</w:t>
      </w:r>
    </w:p>
    <w:p w14:paraId="1A047BD3" w14:textId="77777777" w:rsidR="00F368B6" w:rsidRDefault="00F368B6" w:rsidP="00170AA0">
      <w:pPr>
        <w:pStyle w:val="af1"/>
        <w:rPr>
          <w:rtl/>
        </w:rPr>
      </w:pPr>
      <w:r>
        <w:rPr>
          <w:rFonts w:hint="cs"/>
          <w:rtl/>
        </w:rPr>
        <w:t xml:space="preserve">על משרד המשפטים, המשרד לביטחון הפנים ואגף התקציבים במשרד האוצר לקיים דיון משותף בפערים בין המערך החוקר למערך </w:t>
      </w:r>
      <w:r w:rsidRPr="00D65730">
        <w:rPr>
          <w:rFonts w:hint="cs"/>
          <w:rtl/>
        </w:rPr>
        <w:t xml:space="preserve">התובע ולבחון דרכי התמודדות, תוך בחינת עתודת כוח האדם והמשאבים המוקצים ליחידות החקירה לעומת </w:t>
      </w:r>
      <w:r>
        <w:rPr>
          <w:rFonts w:hint="cs"/>
          <w:rtl/>
        </w:rPr>
        <w:t xml:space="preserve">מערך התביעה בפרקליטות וברשות </w:t>
      </w:r>
      <w:r w:rsidRPr="00BD1936">
        <w:rPr>
          <w:rFonts w:hint="cs"/>
          <w:rtl/>
        </w:rPr>
        <w:t>המיסים.</w:t>
      </w:r>
      <w:bookmarkStart w:id="12" w:name="_Toc24370962"/>
    </w:p>
    <w:p w14:paraId="125A21C1" w14:textId="77777777" w:rsidR="00F368B6" w:rsidRPr="00A56B0E" w:rsidRDefault="00F368B6" w:rsidP="00170AA0">
      <w:pPr>
        <w:pStyle w:val="316"/>
      </w:pPr>
      <w:r w:rsidRPr="00EC666D">
        <w:rPr>
          <w:rtl/>
        </w:rPr>
        <w:t>משכי זמן עד הגשת כתב אישום על ידי הפרקליטות</w:t>
      </w:r>
      <w:bookmarkEnd w:id="12"/>
    </w:p>
    <w:p w14:paraId="3ACBE9B5" w14:textId="77777777" w:rsidR="00F368B6" w:rsidRPr="00E20940" w:rsidRDefault="00F368B6" w:rsidP="00170AA0">
      <w:pPr>
        <w:pStyle w:val="100"/>
        <w:rPr>
          <w:rtl/>
        </w:rPr>
      </w:pPr>
      <w:r>
        <w:rPr>
          <w:rFonts w:hint="cs"/>
          <w:rtl/>
        </w:rPr>
        <w:t>אחת ההשלכות המרכזיות של תופעת צוואר הבקבוק במעבר בין החקירה לתביעה היא פרק הזמן שעובר מרגע העברת תיק החקירה לגורם התובע ועד מועד קבלת ההחלטה בעניינו - האם ייסגר באחת העילות הקבועות בחוק, או שיוגש כתב אישום.</w:t>
      </w:r>
    </w:p>
    <w:p w14:paraId="71FAB331" w14:textId="77777777" w:rsidR="00F368B6" w:rsidRDefault="00F368B6" w:rsidP="00170AA0">
      <w:pPr>
        <w:pStyle w:val="100"/>
        <w:rPr>
          <w:rtl/>
        </w:rPr>
      </w:pPr>
      <w:r>
        <w:rPr>
          <w:rFonts w:hint="cs"/>
          <w:rtl/>
        </w:rPr>
        <w:t>הנחיית היועץ המשפטי לממשלה בנושא "משך טיפול התביעה עד להגשת כתב האישום"</w:t>
      </w:r>
      <w:r>
        <w:rPr>
          <w:rStyle w:val="FootnoteReference"/>
          <w:rFonts w:asciiTheme="minorBidi" w:hAnsiTheme="minorBidi"/>
          <w:sz w:val="24"/>
          <w:rtl/>
        </w:rPr>
        <w:footnoteReference w:id="50"/>
      </w:r>
      <w:r>
        <w:rPr>
          <w:rFonts w:hint="cs"/>
          <w:rtl/>
        </w:rPr>
        <w:t xml:space="preserve"> נועדה לסייע במידת האפשר בקיצור הזמן הנדרש להכנת כתבי אישום בפרקליטות ובמשטרה. להתמשכות הליכי החקירה והתביעה יכולה להיות השלכה על ניהול התביעה וההגנה כראוי ועל קיום משפט הוגן. חלוף הזמן מקשה על הבאת ראיות מלאות ואמינות, ויש בו משום עינוי דין עבור החשודים. מטרת ההנחיה להציב בפני גורמי התביעה מגבלות זמן ברורות עד הגשת כתב האישום ולקבוע מנגנוני פיקוח ובקרה על ניהול גורמי התביעה בפרקי זמן אלו. למשכי הזמן בהליכי החילוט גם משמעות כספית והשפעה נרחבת על קניינו של בעל הרכוש שנתפס, אשר אינו יכול לבצע פעולות או שינויים ברכוש התפוס, לעיתים במשך כמה שנים.</w:t>
      </w:r>
    </w:p>
    <w:p w14:paraId="16A6E4BD" w14:textId="77777777" w:rsidR="00F368B6" w:rsidRDefault="00F368B6" w:rsidP="00170AA0">
      <w:pPr>
        <w:pStyle w:val="100"/>
        <w:rPr>
          <w:rtl/>
        </w:rPr>
      </w:pPr>
      <w:r>
        <w:rPr>
          <w:rFonts w:hint="cs"/>
          <w:rtl/>
        </w:rPr>
        <w:t>בהנחיה נקבע כי בפרקי הזמן המרביים להחלטת תובע יש רלוונטיות לסוג העבירה ולחומרתה. בתיקים מסוימים, דוגמת עבירות כלכליות מורכבות ועבירות שחיתות, יש הצדקה לקביעת פרק זמן ארוך יותר לשם גיבוש ההחלטה בדבר הטיפול. הפרקליטות רואה בקיצור זמני הטיפול בתיקים יעד משמעותי ועיקרי, בהיותו בעל השפעה ניכרת על איכות חייהם של חשודים ונפגעי עבירה כאחד.</w:t>
      </w:r>
    </w:p>
    <w:p w14:paraId="2B7C5F6A" w14:textId="77777777" w:rsidR="00F368B6" w:rsidRDefault="00F368B6" w:rsidP="00170AA0">
      <w:pPr>
        <w:pStyle w:val="100"/>
        <w:rPr>
          <w:rtl/>
        </w:rPr>
      </w:pPr>
      <w:r>
        <w:rPr>
          <w:rFonts w:hint="cs"/>
          <w:rtl/>
        </w:rPr>
        <w:t>על פי נתוני הפרקליטות, בשנים האחרונות היא פעלה לצמצום מספר התיקים הממתינים להכרעה במשך תקופה של יותר משנתיים ובין שנה לשנתיים. ב-2017 טופלו 91% מהתיקים שנפתחו בפרקליטות תוך שנה ממועד קבלתם. נכון לסוף שנת 2018 נותרו בפרקליטות 222 תיקים הפתוחים יותר משנתיים ואשר טרם התקבלה בהם החלטה סופית. מגמה כללית זו אינה תקפה ביחס לתיקים רחבי היקף הכוללים אכיפה כלכלית, בעלי מורכבות משפטית ולעיתים אף מורכבות חשבונאית - תיקים אשר מטבע הדברים משך הטיפול בהם עד קבלת הכרעה עולה על שנה.</w:t>
      </w:r>
    </w:p>
    <w:p w14:paraId="5D652CD7" w14:textId="77777777" w:rsidR="00F368B6" w:rsidRDefault="00F368B6" w:rsidP="00170AA0">
      <w:pPr>
        <w:pStyle w:val="100"/>
        <w:rPr>
          <w:rtl/>
        </w:rPr>
      </w:pPr>
    </w:p>
    <w:p w14:paraId="0D760AF3" w14:textId="77777777" w:rsidR="00F368B6" w:rsidRDefault="00F368B6" w:rsidP="00170AA0">
      <w:pPr>
        <w:pStyle w:val="100"/>
        <w:rPr>
          <w:rtl/>
        </w:rPr>
      </w:pPr>
    </w:p>
    <w:p w14:paraId="765E9E41" w14:textId="77777777" w:rsidR="00F368B6" w:rsidRPr="00167E81" w:rsidRDefault="00F368B6" w:rsidP="00170AA0">
      <w:pPr>
        <w:pStyle w:val="100"/>
        <w:rPr>
          <w:rtl/>
        </w:rPr>
      </w:pPr>
      <w:r w:rsidRPr="00AC3A9B">
        <w:rPr>
          <w:rFonts w:hint="eastAsia"/>
          <w:rtl/>
        </w:rPr>
        <w:t>להלן</w:t>
      </w:r>
      <w:r w:rsidRPr="00AC3A9B">
        <w:rPr>
          <w:rtl/>
        </w:rPr>
        <w:t xml:space="preserve"> בתרשים </w:t>
      </w:r>
      <w:r>
        <w:rPr>
          <w:rFonts w:hint="cs"/>
          <w:rtl/>
        </w:rPr>
        <w:t>7</w:t>
      </w:r>
      <w:r w:rsidRPr="00AC3A9B">
        <w:rPr>
          <w:rtl/>
        </w:rPr>
        <w:t xml:space="preserve"> </w:t>
      </w:r>
      <w:r>
        <w:rPr>
          <w:rFonts w:hint="cs"/>
          <w:rtl/>
        </w:rPr>
        <w:t xml:space="preserve">נתונים רשמיים מהנהלת הפרקליטות שהוצגו לפרקליט המדינה דאז בחודש יוני 2019, המציגים את </w:t>
      </w:r>
      <w:r w:rsidRPr="00AC3A9B">
        <w:rPr>
          <w:rtl/>
        </w:rPr>
        <w:t xml:space="preserve">מספר התיקים הכוללים אכיפה כלכלית והממתינים לבירור דין (להלן - </w:t>
      </w:r>
      <w:r w:rsidRPr="00AC3A9B">
        <w:rPr>
          <w:rFonts w:hint="eastAsia"/>
          <w:rtl/>
        </w:rPr>
        <w:t>מב</w:t>
      </w:r>
      <w:r w:rsidRPr="00AC3A9B">
        <w:rPr>
          <w:rtl/>
        </w:rPr>
        <w:t xml:space="preserve">"ד) </w:t>
      </w:r>
      <w:r w:rsidRPr="00AC3A9B">
        <w:rPr>
          <w:rFonts w:hint="eastAsia"/>
          <w:rtl/>
        </w:rPr>
        <w:t>ולקבלת</w:t>
      </w:r>
      <w:r w:rsidRPr="00AC3A9B">
        <w:rPr>
          <w:rtl/>
        </w:rPr>
        <w:t xml:space="preserve"> </w:t>
      </w:r>
      <w:r w:rsidRPr="00AC3A9B">
        <w:rPr>
          <w:rFonts w:hint="eastAsia"/>
          <w:rtl/>
        </w:rPr>
        <w:t>החלטה</w:t>
      </w:r>
      <w:r w:rsidRPr="00AC3A9B">
        <w:rPr>
          <w:rtl/>
        </w:rPr>
        <w:t xml:space="preserve"> </w:t>
      </w:r>
      <w:r w:rsidRPr="00AC3A9B">
        <w:rPr>
          <w:rFonts w:hint="eastAsia"/>
          <w:rtl/>
        </w:rPr>
        <w:t>בדבר</w:t>
      </w:r>
      <w:r w:rsidRPr="00AC3A9B">
        <w:rPr>
          <w:rtl/>
        </w:rPr>
        <w:t xml:space="preserve"> </w:t>
      </w:r>
      <w:r w:rsidRPr="00AC3A9B">
        <w:rPr>
          <w:rFonts w:hint="eastAsia"/>
          <w:rtl/>
        </w:rPr>
        <w:t>הגשת</w:t>
      </w:r>
      <w:r w:rsidRPr="00F87161">
        <w:rPr>
          <w:rtl/>
        </w:rPr>
        <w:t xml:space="preserve"> </w:t>
      </w:r>
      <w:r w:rsidRPr="00F87161">
        <w:rPr>
          <w:rFonts w:hint="eastAsia"/>
          <w:rtl/>
        </w:rPr>
        <w:t>כתב</w:t>
      </w:r>
      <w:r w:rsidRPr="00F87161">
        <w:rPr>
          <w:rtl/>
        </w:rPr>
        <w:t xml:space="preserve"> </w:t>
      </w:r>
      <w:r w:rsidRPr="00F87161">
        <w:rPr>
          <w:rFonts w:hint="eastAsia"/>
          <w:rtl/>
        </w:rPr>
        <w:t>אישום</w:t>
      </w:r>
      <w:r w:rsidRPr="00F87161">
        <w:rPr>
          <w:rtl/>
        </w:rPr>
        <w:t xml:space="preserve">, </w:t>
      </w:r>
      <w:r w:rsidRPr="00F87161">
        <w:rPr>
          <w:rFonts w:hint="eastAsia"/>
          <w:rtl/>
        </w:rPr>
        <w:t>בפילוח</w:t>
      </w:r>
      <w:r w:rsidRPr="00F87161">
        <w:rPr>
          <w:rtl/>
        </w:rPr>
        <w:t xml:space="preserve"> </w:t>
      </w:r>
      <w:r w:rsidRPr="00F87161">
        <w:rPr>
          <w:rFonts w:hint="eastAsia"/>
          <w:rtl/>
        </w:rPr>
        <w:t>לפי</w:t>
      </w:r>
      <w:r w:rsidRPr="00F87161">
        <w:rPr>
          <w:rtl/>
        </w:rPr>
        <w:t xml:space="preserve"> </w:t>
      </w:r>
      <w:r w:rsidRPr="000C0458">
        <w:rPr>
          <w:rFonts w:hint="eastAsia"/>
          <w:rtl/>
        </w:rPr>
        <w:t>מספר</w:t>
      </w:r>
      <w:r w:rsidRPr="000C0458">
        <w:rPr>
          <w:rtl/>
        </w:rPr>
        <w:t xml:space="preserve"> </w:t>
      </w:r>
      <w:r w:rsidRPr="000C0458">
        <w:rPr>
          <w:rFonts w:hint="eastAsia"/>
          <w:rtl/>
        </w:rPr>
        <w:t>שנות</w:t>
      </w:r>
      <w:r w:rsidRPr="000C0458">
        <w:rPr>
          <w:rtl/>
        </w:rPr>
        <w:t xml:space="preserve"> </w:t>
      </w:r>
      <w:r w:rsidRPr="000C0458">
        <w:rPr>
          <w:rFonts w:hint="eastAsia"/>
          <w:rtl/>
        </w:rPr>
        <w:t>ההמתנה</w:t>
      </w:r>
      <w:r w:rsidRPr="000C0458">
        <w:rPr>
          <w:rtl/>
        </w:rPr>
        <w:t xml:space="preserve">, </w:t>
      </w:r>
      <w:r w:rsidRPr="000C0458">
        <w:rPr>
          <w:rFonts w:hint="eastAsia"/>
          <w:rtl/>
        </w:rPr>
        <w:t>ו</w:t>
      </w:r>
      <w:r w:rsidRPr="00DC6D63">
        <w:rPr>
          <w:rFonts w:hint="eastAsia"/>
          <w:rtl/>
        </w:rPr>
        <w:t>כן</w:t>
      </w:r>
      <w:r w:rsidRPr="00DF42DD">
        <w:rPr>
          <w:rtl/>
        </w:rPr>
        <w:t xml:space="preserve"> </w:t>
      </w:r>
      <w:r w:rsidRPr="00DF42DD">
        <w:rPr>
          <w:rFonts w:hint="eastAsia"/>
          <w:rtl/>
        </w:rPr>
        <w:t>היקף</w:t>
      </w:r>
      <w:r w:rsidRPr="00B90E87">
        <w:rPr>
          <w:rtl/>
        </w:rPr>
        <w:t xml:space="preserve"> </w:t>
      </w:r>
      <w:r w:rsidRPr="00B90E87">
        <w:rPr>
          <w:rFonts w:hint="eastAsia"/>
          <w:rtl/>
        </w:rPr>
        <w:t>התפוסים</w:t>
      </w:r>
      <w:r w:rsidRPr="00B90E87">
        <w:rPr>
          <w:rtl/>
        </w:rPr>
        <w:t xml:space="preserve"> </w:t>
      </w:r>
      <w:r w:rsidRPr="00B90E87">
        <w:rPr>
          <w:rFonts w:hint="eastAsia"/>
          <w:rtl/>
        </w:rPr>
        <w:t>בכל</w:t>
      </w:r>
      <w:r w:rsidRPr="00B90E87">
        <w:rPr>
          <w:rtl/>
        </w:rPr>
        <w:t xml:space="preserve"> </w:t>
      </w:r>
      <w:r w:rsidRPr="00B90E87">
        <w:rPr>
          <w:rFonts w:hint="eastAsia"/>
          <w:rtl/>
        </w:rPr>
        <w:t>קטגוריה</w:t>
      </w:r>
      <w:r w:rsidRPr="00B90E87">
        <w:rPr>
          <w:rtl/>
        </w:rPr>
        <w:t xml:space="preserve"> (ב</w:t>
      </w:r>
      <w:r w:rsidRPr="00B90E87">
        <w:rPr>
          <w:rFonts w:hint="eastAsia"/>
          <w:rtl/>
        </w:rPr>
        <w:t>מיליוני</w:t>
      </w:r>
      <w:r w:rsidRPr="00B90E87">
        <w:rPr>
          <w:rtl/>
        </w:rPr>
        <w:t xml:space="preserve"> </w:t>
      </w:r>
      <w:r w:rsidRPr="00B90E87">
        <w:rPr>
          <w:rFonts w:hint="eastAsia"/>
          <w:rtl/>
        </w:rPr>
        <w:t>ש</w:t>
      </w:r>
      <w:r w:rsidRPr="00B90E87">
        <w:rPr>
          <w:rtl/>
        </w:rPr>
        <w:t>"ח).</w:t>
      </w:r>
    </w:p>
    <w:p w14:paraId="7B706881" w14:textId="77777777" w:rsidR="00F368B6" w:rsidRPr="00170AA0" w:rsidRDefault="00F368B6" w:rsidP="00170AA0">
      <w:pPr>
        <w:pStyle w:val="a6"/>
        <w:rPr>
          <w:b/>
          <w:bCs/>
          <w:rtl/>
        </w:rPr>
      </w:pPr>
      <w:r w:rsidRPr="00167E81">
        <w:rPr>
          <w:rFonts w:hint="eastAsia"/>
          <w:rtl/>
        </w:rPr>
        <w:t>תרשים</w:t>
      </w:r>
      <w:r w:rsidRPr="00167E81">
        <w:rPr>
          <w:rtl/>
        </w:rPr>
        <w:t xml:space="preserve"> </w:t>
      </w:r>
      <w:r>
        <w:rPr>
          <w:rFonts w:hint="cs"/>
          <w:rtl/>
        </w:rPr>
        <w:t>7</w:t>
      </w:r>
      <w:r w:rsidRPr="004273C0">
        <w:rPr>
          <w:rtl/>
        </w:rPr>
        <w:t xml:space="preserve">: </w:t>
      </w:r>
      <w:r w:rsidRPr="00170AA0">
        <w:rPr>
          <w:b/>
          <w:bCs/>
          <w:rtl/>
        </w:rPr>
        <w:t xml:space="preserve">תיקי </w:t>
      </w:r>
      <w:r w:rsidRPr="00170AA0">
        <w:rPr>
          <w:rFonts w:hint="eastAsia"/>
          <w:b/>
          <w:bCs/>
          <w:rtl/>
        </w:rPr>
        <w:t>מב</w:t>
      </w:r>
      <w:r w:rsidRPr="00170AA0">
        <w:rPr>
          <w:b/>
          <w:bCs/>
          <w:rtl/>
        </w:rPr>
        <w:t xml:space="preserve">"ד אכיפה כלכלית בפרקליטות, נכון </w:t>
      </w:r>
      <w:r w:rsidRPr="00170AA0">
        <w:rPr>
          <w:rFonts w:hint="cs"/>
          <w:b/>
          <w:bCs/>
          <w:rtl/>
        </w:rPr>
        <w:t>ליוני 2019</w:t>
      </w:r>
    </w:p>
    <w:p w14:paraId="226621CA" w14:textId="77777777" w:rsidR="00F368B6" w:rsidRPr="00AC3A9B" w:rsidRDefault="00F368B6" w:rsidP="003F5A67">
      <w:pPr>
        <w:pStyle w:val="a6"/>
        <w:rPr>
          <w:rtl/>
        </w:rPr>
      </w:pPr>
      <w:r w:rsidRPr="00AC3A9B">
        <w:rPr>
          <w:noProof/>
        </w:rPr>
        <w:drawing>
          <wp:inline distT="0" distB="0" distL="0" distR="0" wp14:anchorId="7EACA853" wp14:editId="2927A8AE">
            <wp:extent cx="5150822" cy="2876550"/>
            <wp:effectExtent l="0" t="0" r="12065" b="0"/>
            <wp:docPr id="36" name="תרשים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2AFEDA" w14:textId="77777777" w:rsidR="00F368B6" w:rsidRPr="00E630B3" w:rsidRDefault="00F368B6" w:rsidP="00170AA0">
      <w:pPr>
        <w:pStyle w:val="a8"/>
        <w:rPr>
          <w:rtl/>
        </w:rPr>
      </w:pPr>
      <w:r w:rsidRPr="00E630B3">
        <w:rPr>
          <w:rFonts w:hint="cs"/>
          <w:rtl/>
        </w:rPr>
        <w:t>מקור: על פי נתוני</w:t>
      </w:r>
      <w:r w:rsidRPr="00E630B3">
        <w:rPr>
          <w:rtl/>
        </w:rPr>
        <w:t xml:space="preserve"> </w:t>
      </w:r>
      <w:r w:rsidRPr="00E630B3">
        <w:rPr>
          <w:rFonts w:hint="eastAsia"/>
          <w:rtl/>
        </w:rPr>
        <w:t>מטה</w:t>
      </w:r>
      <w:r w:rsidRPr="00E630B3">
        <w:rPr>
          <w:rtl/>
        </w:rPr>
        <w:t xml:space="preserve"> </w:t>
      </w:r>
      <w:r w:rsidRPr="00E630B3">
        <w:rPr>
          <w:rFonts w:hint="eastAsia"/>
          <w:rtl/>
        </w:rPr>
        <w:t>אכיפה</w:t>
      </w:r>
      <w:r w:rsidRPr="00E630B3">
        <w:rPr>
          <w:rtl/>
        </w:rPr>
        <w:t xml:space="preserve"> </w:t>
      </w:r>
      <w:r w:rsidRPr="00E630B3">
        <w:rPr>
          <w:rFonts w:hint="eastAsia"/>
          <w:rtl/>
        </w:rPr>
        <w:t>כלכלית</w:t>
      </w:r>
      <w:r w:rsidRPr="00E630B3">
        <w:rPr>
          <w:rtl/>
        </w:rPr>
        <w:t xml:space="preserve"> </w:t>
      </w:r>
      <w:r w:rsidRPr="00E630B3">
        <w:rPr>
          <w:rFonts w:hint="eastAsia"/>
          <w:rtl/>
        </w:rPr>
        <w:t>בפרקליטות</w:t>
      </w:r>
      <w:r w:rsidRPr="00E630B3">
        <w:rPr>
          <w:rtl/>
        </w:rPr>
        <w:t xml:space="preserve"> </w:t>
      </w:r>
      <w:r w:rsidRPr="00E630B3">
        <w:rPr>
          <w:rFonts w:hint="eastAsia"/>
          <w:rtl/>
        </w:rPr>
        <w:t>המדינה</w:t>
      </w:r>
      <w:r w:rsidRPr="00E630B3">
        <w:rPr>
          <w:rFonts w:hint="cs"/>
          <w:rtl/>
        </w:rPr>
        <w:t>, בעיבוד משרד מבקר המדינה</w:t>
      </w:r>
      <w:r w:rsidRPr="00E630B3">
        <w:rPr>
          <w:rtl/>
        </w:rPr>
        <w:t>.</w:t>
      </w:r>
    </w:p>
    <w:p w14:paraId="7EFFBABD" w14:textId="77777777" w:rsidR="003F5A67" w:rsidRDefault="003F5A67" w:rsidP="003F5A67">
      <w:pPr>
        <w:pStyle w:val="100"/>
        <w:rPr>
          <w:rtl/>
        </w:rPr>
      </w:pPr>
    </w:p>
    <w:p w14:paraId="3638A57D" w14:textId="5852E3F3" w:rsidR="00F368B6" w:rsidRDefault="00F368B6" w:rsidP="003F5A67">
      <w:pPr>
        <w:pStyle w:val="100"/>
        <w:rPr>
          <w:rtl/>
        </w:rPr>
      </w:pPr>
      <w:r w:rsidRPr="00AC3A9B">
        <w:rPr>
          <w:rtl/>
        </w:rPr>
        <w:t>הפרקליטות</w:t>
      </w:r>
      <w:r>
        <w:rPr>
          <w:rFonts w:hint="cs"/>
          <w:rtl/>
        </w:rPr>
        <w:t xml:space="preserve"> מסרה בתשובתה כי בבדיקה חוזרת נמצא כי נכון לדצמבר 2019 ירד היקף התפוסים בתיקי המב"ד מכ-1.3 מיליארד ש"ח לכ-800 מיליון ש"ח. הסבריה של הפרקליטות לפער זה הם, בין היתר, בכך שפרקליט המדינה דאז הנחה את הפרקליטים לקדם החלטות בתיקים אלו, ובעקבות כך תיקים רבים נסגרו, ובחלקם הוגשו כתבי אישום עד לדצמבר 2019. כמו כן, מבדיקת הפרקליטות עולה כי הנתונים שהוצגו ביוני 2019 לא היו מדויקים כיוון שכמחצית מהתיקים שנכללו בנתונים, טרם הועברו לפרקליטות מהיחידות החוקרות.</w:t>
      </w:r>
      <w:r>
        <w:rPr>
          <w:rtl/>
        </w:rPr>
        <w:t xml:space="preserve"> </w:t>
      </w:r>
      <w:r>
        <w:rPr>
          <w:rFonts w:hint="cs"/>
          <w:rtl/>
        </w:rPr>
        <w:t xml:space="preserve">עוד ציינה הפרקליטות כי הסכום הנקוב ביחס לתיקי המב"ד משקף את היקף הרכוש התפוס בתחילת הדרך, ולא משקף את הרכוש התפוס כיום בתיקי המב"ד, כיוון ששוחררו כספים רבים במהלך הזמן שעבר בעוד התיק מצוי בפרקליטות. </w:t>
      </w:r>
    </w:p>
    <w:p w14:paraId="24377F97" w14:textId="2A10D8FF" w:rsidR="00F368B6" w:rsidRPr="00894EDE" w:rsidRDefault="00F368B6" w:rsidP="003F5A67">
      <w:pPr>
        <w:pStyle w:val="af1"/>
        <w:rPr>
          <w:rtl/>
        </w:rPr>
      </w:pPr>
      <w:r>
        <w:rPr>
          <w:rFonts w:hint="cs"/>
          <w:rtl/>
        </w:rPr>
        <w:t>יוצא אפוא, כי נכון לסוף 2019 ממתינים בפרקליטות 13 "מגה תיקים"</w:t>
      </w:r>
      <w:r w:rsidR="00C62643">
        <w:rPr>
          <w:rFonts w:hint="cs"/>
          <w:rtl/>
        </w:rPr>
        <w:t xml:space="preserve"> </w:t>
      </w:r>
      <w:r>
        <w:rPr>
          <w:rFonts w:hint="cs"/>
          <w:rtl/>
        </w:rPr>
        <w:t>-</w:t>
      </w:r>
      <w:r w:rsidR="00C62643">
        <w:rPr>
          <w:rFonts w:hint="cs"/>
          <w:rtl/>
        </w:rPr>
        <w:t xml:space="preserve"> </w:t>
      </w:r>
      <w:r w:rsidRPr="00946808">
        <w:rPr>
          <w:rFonts w:hint="cs"/>
          <w:rtl/>
        </w:rPr>
        <w:t>תיקים שהסך הכולל של התפיסות שלהן מסתכם ב</w:t>
      </w:r>
      <w:r>
        <w:rPr>
          <w:rFonts w:hint="cs"/>
          <w:rtl/>
        </w:rPr>
        <w:t xml:space="preserve">כ-800 </w:t>
      </w:r>
      <w:r w:rsidRPr="00946808">
        <w:rPr>
          <w:rFonts w:hint="cs"/>
          <w:rtl/>
        </w:rPr>
        <w:t>מיליוני ש"ח</w:t>
      </w:r>
      <w:r>
        <w:rPr>
          <w:rFonts w:hint="cs"/>
          <w:rtl/>
        </w:rPr>
        <w:t xml:space="preserve"> - בהם 17 חשודים שעניינם טרם הוכרע מזה מספר שנים.</w:t>
      </w:r>
    </w:p>
    <w:p w14:paraId="5FCDDD43" w14:textId="77777777" w:rsidR="00F368B6" w:rsidRPr="00EB57C0" w:rsidRDefault="00F368B6" w:rsidP="003F5A67">
      <w:pPr>
        <w:pStyle w:val="af1"/>
        <w:rPr>
          <w:rtl/>
        </w:rPr>
      </w:pPr>
      <w:r w:rsidRPr="004273C0">
        <w:rPr>
          <w:rFonts w:hint="eastAsia"/>
          <w:rtl/>
        </w:rPr>
        <w:lastRenderedPageBreak/>
        <w:t>שיהוי</w:t>
      </w:r>
      <w:r w:rsidRPr="004273C0">
        <w:rPr>
          <w:rtl/>
        </w:rPr>
        <w:t xml:space="preserve"> </w:t>
      </w:r>
      <w:r w:rsidRPr="004273C0">
        <w:rPr>
          <w:rFonts w:hint="eastAsia"/>
          <w:rtl/>
        </w:rPr>
        <w:t>ממושך</w:t>
      </w:r>
      <w:r w:rsidRPr="004273C0">
        <w:rPr>
          <w:rtl/>
        </w:rPr>
        <w:t xml:space="preserve"> </w:t>
      </w:r>
      <w:r w:rsidRPr="004273C0">
        <w:rPr>
          <w:rFonts w:hint="eastAsia"/>
          <w:rtl/>
        </w:rPr>
        <w:t>בטיפול</w:t>
      </w:r>
      <w:r w:rsidRPr="004273C0">
        <w:rPr>
          <w:rtl/>
        </w:rPr>
        <w:t xml:space="preserve"> </w:t>
      </w:r>
      <w:r w:rsidRPr="004273C0">
        <w:rPr>
          <w:rFonts w:hint="eastAsia"/>
          <w:rtl/>
        </w:rPr>
        <w:t>בתיקי</w:t>
      </w:r>
      <w:r>
        <w:rPr>
          <w:rFonts w:hint="cs"/>
          <w:rtl/>
        </w:rPr>
        <w:t xml:space="preserve"> החקירה</w:t>
      </w:r>
      <w:r w:rsidRPr="004273C0">
        <w:rPr>
          <w:rtl/>
        </w:rPr>
        <w:t xml:space="preserve"> </w:t>
      </w:r>
      <w:r w:rsidRPr="004273C0">
        <w:rPr>
          <w:rFonts w:hint="eastAsia"/>
          <w:rtl/>
        </w:rPr>
        <w:t>פוגע</w:t>
      </w:r>
      <w:r w:rsidRPr="004273C0">
        <w:rPr>
          <w:rtl/>
        </w:rPr>
        <w:t xml:space="preserve"> </w:t>
      </w:r>
      <w:r w:rsidRPr="004273C0">
        <w:rPr>
          <w:rFonts w:hint="eastAsia"/>
          <w:rtl/>
        </w:rPr>
        <w:t>באמון</w:t>
      </w:r>
      <w:r w:rsidRPr="004273C0">
        <w:rPr>
          <w:rtl/>
        </w:rPr>
        <w:t xml:space="preserve"> </w:t>
      </w:r>
      <w:r w:rsidRPr="004273C0">
        <w:rPr>
          <w:rFonts w:hint="eastAsia"/>
          <w:rtl/>
        </w:rPr>
        <w:t>הציבור</w:t>
      </w:r>
      <w:r w:rsidRPr="004273C0">
        <w:rPr>
          <w:rtl/>
        </w:rPr>
        <w:t xml:space="preserve"> </w:t>
      </w:r>
      <w:r w:rsidRPr="004273C0">
        <w:rPr>
          <w:rFonts w:hint="eastAsia"/>
          <w:rtl/>
        </w:rPr>
        <w:t>במערכת</w:t>
      </w:r>
      <w:r w:rsidRPr="004273C0">
        <w:rPr>
          <w:rtl/>
        </w:rPr>
        <w:t xml:space="preserve"> </w:t>
      </w:r>
      <w:r w:rsidRPr="004273C0">
        <w:rPr>
          <w:rFonts w:hint="eastAsia"/>
          <w:rtl/>
        </w:rPr>
        <w:t>אכיפת</w:t>
      </w:r>
      <w:r w:rsidRPr="004273C0">
        <w:rPr>
          <w:rtl/>
        </w:rPr>
        <w:t xml:space="preserve"> </w:t>
      </w:r>
      <w:r w:rsidRPr="004273C0">
        <w:rPr>
          <w:rFonts w:hint="eastAsia"/>
          <w:rtl/>
        </w:rPr>
        <w:t>החוק</w:t>
      </w:r>
      <w:r w:rsidRPr="004273C0">
        <w:rPr>
          <w:rtl/>
        </w:rPr>
        <w:t xml:space="preserve"> </w:t>
      </w:r>
      <w:r w:rsidRPr="004273C0">
        <w:rPr>
          <w:rFonts w:hint="eastAsia"/>
          <w:rtl/>
        </w:rPr>
        <w:t>ויש</w:t>
      </w:r>
      <w:r w:rsidRPr="004273C0">
        <w:rPr>
          <w:rtl/>
        </w:rPr>
        <w:t xml:space="preserve"> </w:t>
      </w:r>
      <w:r w:rsidRPr="004273C0">
        <w:rPr>
          <w:rFonts w:hint="eastAsia"/>
          <w:rtl/>
        </w:rPr>
        <w:t>בו</w:t>
      </w:r>
      <w:r w:rsidRPr="004273C0">
        <w:rPr>
          <w:rtl/>
        </w:rPr>
        <w:t xml:space="preserve"> </w:t>
      </w:r>
      <w:r w:rsidRPr="004273C0">
        <w:rPr>
          <w:rFonts w:hint="eastAsia"/>
          <w:rtl/>
        </w:rPr>
        <w:t>כדי</w:t>
      </w:r>
      <w:r w:rsidRPr="004273C0">
        <w:rPr>
          <w:rtl/>
        </w:rPr>
        <w:t xml:space="preserve"> </w:t>
      </w:r>
      <w:r w:rsidRPr="004273C0">
        <w:rPr>
          <w:rFonts w:hint="eastAsia"/>
          <w:rtl/>
        </w:rPr>
        <w:t>לגרום</w:t>
      </w:r>
      <w:r w:rsidRPr="004273C0">
        <w:rPr>
          <w:rtl/>
        </w:rPr>
        <w:t xml:space="preserve"> </w:t>
      </w:r>
      <w:r w:rsidRPr="004273C0">
        <w:rPr>
          <w:rFonts w:hint="eastAsia"/>
          <w:rtl/>
        </w:rPr>
        <w:t>להרתעה</w:t>
      </w:r>
      <w:r w:rsidRPr="004273C0">
        <w:rPr>
          <w:rtl/>
        </w:rPr>
        <w:t xml:space="preserve"> </w:t>
      </w:r>
      <w:r w:rsidRPr="004273C0">
        <w:rPr>
          <w:rFonts w:hint="eastAsia"/>
          <w:rtl/>
        </w:rPr>
        <w:t>שלילית</w:t>
      </w:r>
      <w:r w:rsidRPr="004273C0">
        <w:rPr>
          <w:rtl/>
        </w:rPr>
        <w:t xml:space="preserve">. </w:t>
      </w:r>
      <w:r w:rsidRPr="004273C0">
        <w:rPr>
          <w:rFonts w:hint="eastAsia"/>
          <w:rtl/>
        </w:rPr>
        <w:t>יתרה</w:t>
      </w:r>
      <w:r w:rsidRPr="004273C0">
        <w:rPr>
          <w:rtl/>
        </w:rPr>
        <w:t xml:space="preserve"> </w:t>
      </w:r>
      <w:r w:rsidRPr="004273C0">
        <w:rPr>
          <w:rFonts w:hint="eastAsia"/>
          <w:rtl/>
        </w:rPr>
        <w:t>מזו</w:t>
      </w:r>
      <w:r w:rsidRPr="004273C0">
        <w:rPr>
          <w:rtl/>
        </w:rPr>
        <w:t xml:space="preserve">, </w:t>
      </w:r>
      <w:r w:rsidRPr="004273C0">
        <w:rPr>
          <w:rFonts w:hint="eastAsia"/>
          <w:rtl/>
        </w:rPr>
        <w:t>קיצור</w:t>
      </w:r>
      <w:r w:rsidRPr="004273C0">
        <w:rPr>
          <w:rtl/>
        </w:rPr>
        <w:t xml:space="preserve"> </w:t>
      </w:r>
      <w:r w:rsidRPr="004273C0">
        <w:rPr>
          <w:rFonts w:hint="eastAsia"/>
          <w:rtl/>
        </w:rPr>
        <w:t>משכי</w:t>
      </w:r>
      <w:r w:rsidRPr="004273C0">
        <w:rPr>
          <w:rtl/>
        </w:rPr>
        <w:t xml:space="preserve"> </w:t>
      </w:r>
      <w:r w:rsidRPr="004273C0">
        <w:rPr>
          <w:rFonts w:hint="eastAsia"/>
          <w:rtl/>
        </w:rPr>
        <w:t>הטיפול</w:t>
      </w:r>
      <w:r w:rsidRPr="004273C0">
        <w:rPr>
          <w:rtl/>
        </w:rPr>
        <w:t xml:space="preserve"> </w:t>
      </w:r>
      <w:r w:rsidRPr="004273C0">
        <w:rPr>
          <w:rFonts w:hint="eastAsia"/>
          <w:rtl/>
        </w:rPr>
        <w:t>בתיקים</w:t>
      </w:r>
      <w:r w:rsidRPr="004273C0">
        <w:rPr>
          <w:rtl/>
        </w:rPr>
        <w:t xml:space="preserve"> </w:t>
      </w:r>
      <w:r w:rsidRPr="004273C0">
        <w:rPr>
          <w:rFonts w:hint="eastAsia"/>
          <w:rtl/>
        </w:rPr>
        <w:t>הכוללים</w:t>
      </w:r>
      <w:r w:rsidRPr="004273C0">
        <w:rPr>
          <w:rtl/>
        </w:rPr>
        <w:t xml:space="preserve"> </w:t>
      </w:r>
      <w:r w:rsidRPr="004273C0">
        <w:rPr>
          <w:rFonts w:hint="eastAsia"/>
          <w:rtl/>
        </w:rPr>
        <w:t>אכיפה</w:t>
      </w:r>
      <w:r w:rsidRPr="004273C0">
        <w:rPr>
          <w:rtl/>
        </w:rPr>
        <w:t xml:space="preserve"> </w:t>
      </w:r>
      <w:r w:rsidRPr="004273C0">
        <w:rPr>
          <w:rFonts w:hint="eastAsia"/>
          <w:rtl/>
        </w:rPr>
        <w:t>כלכלית</w:t>
      </w:r>
      <w:r w:rsidRPr="004273C0">
        <w:rPr>
          <w:rtl/>
        </w:rPr>
        <w:t xml:space="preserve"> </w:t>
      </w:r>
      <w:r w:rsidRPr="004273C0">
        <w:rPr>
          <w:rFonts w:hint="eastAsia"/>
          <w:rtl/>
        </w:rPr>
        <w:t>יגביר</w:t>
      </w:r>
      <w:r w:rsidRPr="004273C0">
        <w:rPr>
          <w:rtl/>
        </w:rPr>
        <w:t xml:space="preserve"> </w:t>
      </w:r>
      <w:r w:rsidRPr="004273C0">
        <w:rPr>
          <w:rFonts w:hint="eastAsia"/>
          <w:rtl/>
        </w:rPr>
        <w:t>את</w:t>
      </w:r>
      <w:r w:rsidRPr="004273C0">
        <w:rPr>
          <w:rtl/>
        </w:rPr>
        <w:t xml:space="preserve"> </w:t>
      </w:r>
      <w:r w:rsidRPr="004273C0">
        <w:rPr>
          <w:rFonts w:hint="eastAsia"/>
          <w:rtl/>
        </w:rPr>
        <w:t>האפקטיביות</w:t>
      </w:r>
      <w:r w:rsidRPr="004273C0">
        <w:rPr>
          <w:rtl/>
        </w:rPr>
        <w:t xml:space="preserve"> </w:t>
      </w:r>
      <w:r w:rsidRPr="004273C0">
        <w:rPr>
          <w:rFonts w:hint="eastAsia"/>
          <w:rtl/>
        </w:rPr>
        <w:t>של</w:t>
      </w:r>
      <w:r w:rsidRPr="004273C0">
        <w:rPr>
          <w:rtl/>
        </w:rPr>
        <w:t xml:space="preserve"> </w:t>
      </w:r>
      <w:r w:rsidRPr="004273C0">
        <w:rPr>
          <w:rFonts w:hint="eastAsia"/>
          <w:rtl/>
        </w:rPr>
        <w:t>ההליך</w:t>
      </w:r>
      <w:r w:rsidRPr="004273C0">
        <w:rPr>
          <w:rtl/>
        </w:rPr>
        <w:t xml:space="preserve"> </w:t>
      </w:r>
      <w:r w:rsidRPr="004273C0">
        <w:rPr>
          <w:rFonts w:hint="eastAsia"/>
          <w:rtl/>
        </w:rPr>
        <w:t>בכללותו</w:t>
      </w:r>
      <w:r w:rsidRPr="004273C0">
        <w:rPr>
          <w:rtl/>
        </w:rPr>
        <w:t xml:space="preserve">, </w:t>
      </w:r>
      <w:r w:rsidRPr="004273C0">
        <w:rPr>
          <w:rFonts w:hint="eastAsia"/>
          <w:rtl/>
        </w:rPr>
        <w:t>לרבות</w:t>
      </w:r>
      <w:r w:rsidRPr="004273C0">
        <w:rPr>
          <w:rtl/>
        </w:rPr>
        <w:t xml:space="preserve"> </w:t>
      </w:r>
      <w:r w:rsidRPr="004273C0">
        <w:rPr>
          <w:rFonts w:hint="eastAsia"/>
          <w:rtl/>
        </w:rPr>
        <w:t>האפקטיביות</w:t>
      </w:r>
      <w:r w:rsidRPr="004273C0">
        <w:rPr>
          <w:rtl/>
        </w:rPr>
        <w:t xml:space="preserve"> </w:t>
      </w:r>
      <w:r w:rsidRPr="004273C0">
        <w:rPr>
          <w:rFonts w:hint="eastAsia"/>
          <w:rtl/>
        </w:rPr>
        <w:t>של</w:t>
      </w:r>
      <w:r w:rsidRPr="004273C0">
        <w:rPr>
          <w:rtl/>
        </w:rPr>
        <w:t xml:space="preserve"> </w:t>
      </w:r>
      <w:r w:rsidRPr="004273C0">
        <w:rPr>
          <w:rFonts w:hint="eastAsia"/>
          <w:rtl/>
        </w:rPr>
        <w:t>ניהול</w:t>
      </w:r>
      <w:r w:rsidRPr="004273C0">
        <w:rPr>
          <w:rtl/>
        </w:rPr>
        <w:t xml:space="preserve"> </w:t>
      </w:r>
      <w:r w:rsidRPr="004273C0">
        <w:rPr>
          <w:rFonts w:hint="eastAsia"/>
          <w:rtl/>
        </w:rPr>
        <w:t>הרכוש</w:t>
      </w:r>
      <w:r w:rsidRPr="004273C0">
        <w:rPr>
          <w:rtl/>
        </w:rPr>
        <w:t xml:space="preserve"> </w:t>
      </w:r>
      <w:r w:rsidRPr="004273C0">
        <w:rPr>
          <w:rFonts w:hint="eastAsia"/>
          <w:rtl/>
        </w:rPr>
        <w:t>ומימושו</w:t>
      </w:r>
      <w:r w:rsidRPr="004273C0">
        <w:rPr>
          <w:rtl/>
        </w:rPr>
        <w:t xml:space="preserve">, </w:t>
      </w:r>
      <w:r w:rsidRPr="004273C0">
        <w:rPr>
          <w:rFonts w:hint="eastAsia"/>
          <w:rtl/>
        </w:rPr>
        <w:t>יקטין</w:t>
      </w:r>
      <w:r w:rsidRPr="004273C0">
        <w:rPr>
          <w:rtl/>
        </w:rPr>
        <w:t xml:space="preserve"> </w:t>
      </w:r>
      <w:r w:rsidRPr="004273C0">
        <w:rPr>
          <w:rFonts w:hint="eastAsia"/>
          <w:rtl/>
        </w:rPr>
        <w:t>את</w:t>
      </w:r>
      <w:r w:rsidRPr="004273C0">
        <w:rPr>
          <w:rtl/>
        </w:rPr>
        <w:t xml:space="preserve"> </w:t>
      </w:r>
      <w:r w:rsidRPr="004273C0">
        <w:rPr>
          <w:rFonts w:hint="eastAsia"/>
          <w:rtl/>
        </w:rPr>
        <w:t>העלויות</w:t>
      </w:r>
      <w:r w:rsidRPr="004273C0">
        <w:rPr>
          <w:rtl/>
        </w:rPr>
        <w:t xml:space="preserve"> </w:t>
      </w:r>
      <w:r w:rsidRPr="004273C0">
        <w:rPr>
          <w:rFonts w:hint="eastAsia"/>
          <w:rtl/>
        </w:rPr>
        <w:t>הכרוכות</w:t>
      </w:r>
      <w:r w:rsidRPr="004273C0">
        <w:rPr>
          <w:rtl/>
        </w:rPr>
        <w:t xml:space="preserve"> </w:t>
      </w:r>
      <w:r w:rsidRPr="004273C0">
        <w:rPr>
          <w:rFonts w:hint="eastAsia"/>
          <w:rtl/>
        </w:rPr>
        <w:t>בניהולו</w:t>
      </w:r>
      <w:r w:rsidRPr="004273C0">
        <w:rPr>
          <w:rtl/>
        </w:rPr>
        <w:t xml:space="preserve"> וימנע צווארי בקבוק במעבר שבין סיום חקירת </w:t>
      </w:r>
      <w:r w:rsidRPr="00EB57C0">
        <w:rPr>
          <w:rtl/>
        </w:rPr>
        <w:t>התיק לבין ההחלטה אם יש מקום להעמיד לדין.</w:t>
      </w:r>
    </w:p>
    <w:p w14:paraId="3EB6C164" w14:textId="67624156" w:rsidR="00F368B6" w:rsidRDefault="00F368B6" w:rsidP="003F5A67">
      <w:pPr>
        <w:pStyle w:val="af1"/>
        <w:rPr>
          <w:rStyle w:val="Heading3Char"/>
          <w:rtl/>
        </w:rPr>
      </w:pPr>
      <w:r w:rsidRPr="004273C0">
        <w:rPr>
          <w:rFonts w:hint="eastAsia"/>
          <w:rtl/>
        </w:rPr>
        <w:t>משרד</w:t>
      </w:r>
      <w:r w:rsidRPr="004273C0">
        <w:rPr>
          <w:rtl/>
        </w:rPr>
        <w:t xml:space="preserve"> </w:t>
      </w:r>
      <w:r w:rsidRPr="004273C0">
        <w:rPr>
          <w:rFonts w:hint="eastAsia"/>
          <w:rtl/>
        </w:rPr>
        <w:t>מבקר</w:t>
      </w:r>
      <w:r w:rsidRPr="004273C0">
        <w:rPr>
          <w:rtl/>
        </w:rPr>
        <w:t xml:space="preserve"> </w:t>
      </w:r>
      <w:r w:rsidRPr="004273C0">
        <w:rPr>
          <w:rFonts w:hint="eastAsia"/>
          <w:rtl/>
        </w:rPr>
        <w:t>המדינה</w:t>
      </w:r>
      <w:r w:rsidRPr="004273C0">
        <w:rPr>
          <w:rtl/>
        </w:rPr>
        <w:t xml:space="preserve"> </w:t>
      </w:r>
      <w:r w:rsidRPr="004273C0">
        <w:rPr>
          <w:rFonts w:hint="eastAsia"/>
          <w:rtl/>
        </w:rPr>
        <w:t>מעיר</w:t>
      </w:r>
      <w:r w:rsidRPr="004273C0">
        <w:rPr>
          <w:rtl/>
        </w:rPr>
        <w:t xml:space="preserve"> </w:t>
      </w:r>
      <w:r w:rsidRPr="004273C0">
        <w:rPr>
          <w:rFonts w:hint="eastAsia"/>
          <w:rtl/>
        </w:rPr>
        <w:t>לפרקליטות</w:t>
      </w:r>
      <w:r w:rsidRPr="004273C0">
        <w:rPr>
          <w:rtl/>
        </w:rPr>
        <w:t xml:space="preserve"> </w:t>
      </w:r>
      <w:r w:rsidRPr="004273C0">
        <w:rPr>
          <w:rFonts w:hint="eastAsia"/>
          <w:rtl/>
        </w:rPr>
        <w:t>המדינה</w:t>
      </w:r>
      <w:r w:rsidRPr="004273C0">
        <w:rPr>
          <w:rtl/>
        </w:rPr>
        <w:t xml:space="preserve"> </w:t>
      </w:r>
      <w:r w:rsidRPr="004273C0">
        <w:rPr>
          <w:rFonts w:hint="eastAsia"/>
          <w:rtl/>
        </w:rPr>
        <w:t>כי</w:t>
      </w:r>
      <w:r w:rsidRPr="004273C0">
        <w:rPr>
          <w:rtl/>
        </w:rPr>
        <w:t xml:space="preserve"> </w:t>
      </w:r>
      <w:r w:rsidRPr="004273C0">
        <w:rPr>
          <w:rFonts w:hint="eastAsia"/>
          <w:rtl/>
        </w:rPr>
        <w:t>עליה</w:t>
      </w:r>
      <w:r w:rsidRPr="004273C0">
        <w:rPr>
          <w:rtl/>
        </w:rPr>
        <w:t xml:space="preserve"> </w:t>
      </w:r>
      <w:r w:rsidRPr="004273C0">
        <w:rPr>
          <w:rFonts w:hint="eastAsia"/>
          <w:rtl/>
        </w:rPr>
        <w:t>לפעול</w:t>
      </w:r>
      <w:r w:rsidRPr="004273C0">
        <w:rPr>
          <w:rtl/>
        </w:rPr>
        <w:t xml:space="preserve"> </w:t>
      </w:r>
      <w:r w:rsidRPr="004273C0">
        <w:rPr>
          <w:rFonts w:hint="eastAsia"/>
          <w:rtl/>
        </w:rPr>
        <w:t>ביתר</w:t>
      </w:r>
      <w:r w:rsidRPr="004273C0">
        <w:rPr>
          <w:rtl/>
        </w:rPr>
        <w:t xml:space="preserve"> </w:t>
      </w:r>
      <w:r w:rsidRPr="004273C0">
        <w:rPr>
          <w:rFonts w:hint="eastAsia"/>
          <w:rtl/>
        </w:rPr>
        <w:t>שאת</w:t>
      </w:r>
      <w:r w:rsidRPr="004273C0">
        <w:rPr>
          <w:rtl/>
        </w:rPr>
        <w:t xml:space="preserve"> </w:t>
      </w:r>
      <w:r w:rsidRPr="004273C0">
        <w:rPr>
          <w:rFonts w:hint="eastAsia"/>
          <w:rtl/>
        </w:rPr>
        <w:t>לקיצור</w:t>
      </w:r>
      <w:r w:rsidRPr="004273C0">
        <w:rPr>
          <w:rtl/>
        </w:rPr>
        <w:t xml:space="preserve"> </w:t>
      </w:r>
      <w:r w:rsidRPr="004273C0">
        <w:rPr>
          <w:rFonts w:hint="eastAsia"/>
          <w:rtl/>
        </w:rPr>
        <w:t>משכי</w:t>
      </w:r>
      <w:r w:rsidRPr="004273C0">
        <w:rPr>
          <w:rtl/>
        </w:rPr>
        <w:t xml:space="preserve"> </w:t>
      </w:r>
      <w:r w:rsidRPr="004273C0">
        <w:rPr>
          <w:rFonts w:hint="eastAsia"/>
          <w:rtl/>
        </w:rPr>
        <w:t>הטיפול</w:t>
      </w:r>
      <w:r w:rsidRPr="004273C0">
        <w:rPr>
          <w:rtl/>
        </w:rPr>
        <w:t xml:space="preserve"> </w:t>
      </w:r>
      <w:r w:rsidRPr="004273C0">
        <w:rPr>
          <w:rFonts w:hint="eastAsia"/>
          <w:rtl/>
        </w:rPr>
        <w:t>בתיקים</w:t>
      </w:r>
      <w:r w:rsidRPr="004273C0">
        <w:rPr>
          <w:rtl/>
        </w:rPr>
        <w:t xml:space="preserve"> </w:t>
      </w:r>
      <w:r w:rsidRPr="004273C0">
        <w:rPr>
          <w:rFonts w:hint="eastAsia"/>
          <w:rtl/>
        </w:rPr>
        <w:t>הכוללים</w:t>
      </w:r>
      <w:r w:rsidRPr="004273C0">
        <w:rPr>
          <w:rtl/>
        </w:rPr>
        <w:t xml:space="preserve"> </w:t>
      </w:r>
      <w:r w:rsidRPr="004273C0">
        <w:rPr>
          <w:rFonts w:hint="eastAsia"/>
          <w:rtl/>
        </w:rPr>
        <w:t>אכיפה</w:t>
      </w:r>
      <w:r w:rsidRPr="004273C0">
        <w:rPr>
          <w:rtl/>
        </w:rPr>
        <w:t xml:space="preserve"> </w:t>
      </w:r>
      <w:r w:rsidRPr="004273C0">
        <w:rPr>
          <w:rFonts w:hint="eastAsia"/>
          <w:rtl/>
        </w:rPr>
        <w:t>כלכלית</w:t>
      </w:r>
      <w:r w:rsidRPr="004273C0">
        <w:rPr>
          <w:rFonts w:hint="cs"/>
          <w:rtl/>
        </w:rPr>
        <w:t xml:space="preserve">, </w:t>
      </w:r>
      <w:r w:rsidRPr="004273C0">
        <w:rPr>
          <w:rtl/>
        </w:rPr>
        <w:t xml:space="preserve">וזאת לנוכח הנחיות היועץ המשפטי לממשלה וטעמן </w:t>
      </w:r>
      <w:r w:rsidRPr="004273C0">
        <w:rPr>
          <w:rFonts w:hint="eastAsia"/>
          <w:rtl/>
        </w:rPr>
        <w:t>ובהתחשב</w:t>
      </w:r>
      <w:r w:rsidRPr="004273C0">
        <w:rPr>
          <w:rtl/>
        </w:rPr>
        <w:t xml:space="preserve"> בכך שהחזקת </w:t>
      </w:r>
      <w:r w:rsidRPr="004273C0">
        <w:rPr>
          <w:rFonts w:hint="eastAsia"/>
          <w:rtl/>
        </w:rPr>
        <w:t>התפוסים</w:t>
      </w:r>
      <w:r w:rsidRPr="004273C0">
        <w:rPr>
          <w:rtl/>
        </w:rPr>
        <w:t xml:space="preserve"> בתקופה זו כרוכה בעלויות למדינה</w:t>
      </w:r>
      <w:r>
        <w:rPr>
          <w:rFonts w:hint="cs"/>
          <w:rtl/>
        </w:rPr>
        <w:t>,</w:t>
      </w:r>
      <w:r w:rsidRPr="004273C0">
        <w:rPr>
          <w:rtl/>
        </w:rPr>
        <w:t xml:space="preserve"> ובכלל זאת ל</w:t>
      </w:r>
      <w:r>
        <w:rPr>
          <w:rFonts w:hint="cs"/>
          <w:rtl/>
        </w:rPr>
        <w:t>"</w:t>
      </w:r>
      <w:r w:rsidRPr="004273C0">
        <w:rPr>
          <w:rtl/>
        </w:rPr>
        <w:t>קרן החילוט</w:t>
      </w:r>
      <w:r>
        <w:rPr>
          <w:rFonts w:hint="cs"/>
          <w:rtl/>
        </w:rPr>
        <w:t xml:space="preserve"> הזמני",</w:t>
      </w:r>
      <w:r w:rsidRPr="004273C0">
        <w:rPr>
          <w:rtl/>
        </w:rPr>
        <w:t xml:space="preserve"> וכן בפגיעה בקניינו של החשוד, בזמן שעומדת לו חזקת החפות ואף יכול שלא יוגש נגדו כתב אישום. כמו כן, על הפרקליטות לוודא כי </w:t>
      </w:r>
      <w:r w:rsidRPr="004273C0">
        <w:rPr>
          <w:rFonts w:hint="eastAsia"/>
          <w:rtl/>
        </w:rPr>
        <w:t>אם</w:t>
      </w:r>
      <w:r w:rsidRPr="004273C0">
        <w:rPr>
          <w:rtl/>
        </w:rPr>
        <w:t xml:space="preserve"> ההליכים מתמשכים, </w:t>
      </w:r>
      <w:r w:rsidRPr="004273C0">
        <w:rPr>
          <w:rFonts w:hint="eastAsia"/>
          <w:rtl/>
        </w:rPr>
        <w:t>תיבחן</w:t>
      </w:r>
      <w:r w:rsidRPr="004273C0">
        <w:rPr>
          <w:rtl/>
        </w:rPr>
        <w:t xml:space="preserve"> </w:t>
      </w:r>
      <w:r w:rsidRPr="004273C0">
        <w:rPr>
          <w:rFonts w:hint="eastAsia"/>
          <w:rtl/>
        </w:rPr>
        <w:t>סבירות</w:t>
      </w:r>
      <w:r w:rsidRPr="004273C0">
        <w:rPr>
          <w:rtl/>
        </w:rPr>
        <w:t xml:space="preserve"> </w:t>
      </w:r>
      <w:r w:rsidRPr="004273C0">
        <w:rPr>
          <w:rFonts w:hint="eastAsia"/>
          <w:rtl/>
        </w:rPr>
        <w:t>גובה</w:t>
      </w:r>
      <w:r w:rsidRPr="004273C0">
        <w:rPr>
          <w:rtl/>
        </w:rPr>
        <w:t xml:space="preserve"> </w:t>
      </w:r>
      <w:r w:rsidRPr="004273C0">
        <w:rPr>
          <w:rFonts w:hint="eastAsia"/>
          <w:rtl/>
        </w:rPr>
        <w:t>התפיסה</w:t>
      </w:r>
      <w:r w:rsidRPr="004273C0">
        <w:rPr>
          <w:rtl/>
        </w:rPr>
        <w:t xml:space="preserve"> אחת לתקופה.</w:t>
      </w:r>
      <w:bookmarkStart w:id="13" w:name="_Toc24370963"/>
    </w:p>
    <w:p w14:paraId="0425F9C4" w14:textId="77777777" w:rsidR="00F368B6" w:rsidRPr="003F5A67" w:rsidRDefault="00F368B6" w:rsidP="003F5A67">
      <w:pPr>
        <w:pStyle w:val="316"/>
        <w:rPr>
          <w:rtl/>
        </w:rPr>
      </w:pPr>
      <w:r w:rsidRPr="003F5A67">
        <w:rPr>
          <w:rStyle w:val="Heading3Char"/>
          <w:rFonts w:hint="cs"/>
          <w:bCs w:val="0"/>
          <w:szCs w:val="32"/>
          <w:u w:val="none"/>
          <w:rtl/>
        </w:rPr>
        <w:t>אכיפה כלכלית בעבירות מס</w:t>
      </w:r>
      <w:bookmarkEnd w:id="13"/>
    </w:p>
    <w:p w14:paraId="48709F04" w14:textId="77777777" w:rsidR="00F368B6" w:rsidRPr="00112CF0" w:rsidRDefault="00F368B6" w:rsidP="003F5A67">
      <w:pPr>
        <w:pStyle w:val="100"/>
        <w:rPr>
          <w:rFonts w:asciiTheme="minorBidi" w:hAnsiTheme="minorBidi"/>
          <w:rtl/>
        </w:rPr>
      </w:pPr>
      <w:r w:rsidRPr="00717BF6">
        <w:rPr>
          <w:shd w:val="clear" w:color="auto" w:fill="FFFFFF"/>
          <w:rtl/>
        </w:rPr>
        <w:t>חוק איסור הלבנת הון חל על פעולות בכספים או רכוש שהופקו במישרין או בעקיפין מעבירה שהוגדרה בחוק כעבירת מקור, או ששימשו לביצועה של אותה עבירת מקור או א</w:t>
      </w:r>
      <w:r>
        <w:rPr>
          <w:rFonts w:hint="cs"/>
          <w:shd w:val="clear" w:color="auto" w:fill="FFFFFF"/>
          <w:rtl/>
        </w:rPr>
        <w:t>י</w:t>
      </w:r>
      <w:r w:rsidRPr="00717BF6">
        <w:rPr>
          <w:shd w:val="clear" w:color="auto" w:fill="FFFFFF"/>
          <w:rtl/>
        </w:rPr>
        <w:t>פשרו אותה. רשימה סגורה של עבירות המקור מצויה בתוספת הראשונה לחוק</w:t>
      </w:r>
      <w:r w:rsidRPr="00894EDE">
        <w:rPr>
          <w:rStyle w:val="FootnoteReference"/>
          <w:rFonts w:ascii="David" w:hAnsi="David"/>
          <w:sz w:val="24"/>
          <w:shd w:val="clear" w:color="auto" w:fill="FFFFFF"/>
          <w:rtl/>
        </w:rPr>
        <w:footnoteReference w:id="51"/>
      </w:r>
      <w:r w:rsidRPr="00717BF6">
        <w:rPr>
          <w:shd w:val="clear" w:color="auto" w:fill="FFFFFF"/>
          <w:rtl/>
        </w:rPr>
        <w:t>.</w:t>
      </w:r>
      <w:r w:rsidRPr="00717BF6">
        <w:rPr>
          <w:rFonts w:asciiTheme="minorBidi" w:hAnsiTheme="minorBidi" w:hint="cs"/>
          <w:rtl/>
        </w:rPr>
        <w:t xml:space="preserve"> </w:t>
      </w:r>
    </w:p>
    <w:p w14:paraId="12502A47" w14:textId="77777777" w:rsidR="00F368B6" w:rsidRPr="00CA4BA7" w:rsidRDefault="00F368B6" w:rsidP="003F5A67">
      <w:pPr>
        <w:pStyle w:val="100"/>
        <w:rPr>
          <w:rFonts w:asciiTheme="minorBidi" w:hAnsiTheme="minorBidi"/>
          <w:rtl/>
        </w:rPr>
      </w:pPr>
      <w:r w:rsidRPr="00020713">
        <w:rPr>
          <w:rFonts w:asciiTheme="minorBidi" w:hAnsiTheme="minorBidi"/>
          <w:rtl/>
        </w:rPr>
        <w:t xml:space="preserve">בשנת 2016 תוקן </w:t>
      </w:r>
      <w:r>
        <w:rPr>
          <w:rFonts w:asciiTheme="minorBidi" w:hAnsiTheme="minorBidi" w:hint="cs"/>
          <w:rtl/>
        </w:rPr>
        <w:t>ה</w:t>
      </w:r>
      <w:r w:rsidRPr="00020713">
        <w:rPr>
          <w:rFonts w:asciiTheme="minorBidi" w:hAnsiTheme="minorBidi"/>
          <w:rtl/>
        </w:rPr>
        <w:t>חוק כך שלרשימת עבירות המקור</w:t>
      </w:r>
      <w:r>
        <w:rPr>
          <w:rFonts w:asciiTheme="minorBidi" w:hAnsiTheme="minorBidi" w:hint="cs"/>
          <w:rtl/>
        </w:rPr>
        <w:t xml:space="preserve"> </w:t>
      </w:r>
      <w:r w:rsidRPr="00020713">
        <w:rPr>
          <w:rFonts w:asciiTheme="minorBidi" w:hAnsiTheme="minorBidi"/>
          <w:rtl/>
        </w:rPr>
        <w:t xml:space="preserve">התווספו </w:t>
      </w:r>
      <w:r>
        <w:rPr>
          <w:rFonts w:asciiTheme="minorBidi" w:hAnsiTheme="minorBidi" w:hint="cs"/>
          <w:rtl/>
        </w:rPr>
        <w:t>כמה</w:t>
      </w:r>
      <w:r w:rsidRPr="00020713">
        <w:rPr>
          <w:rFonts w:asciiTheme="minorBidi" w:hAnsiTheme="minorBidi"/>
          <w:rtl/>
        </w:rPr>
        <w:t xml:space="preserve"> עבירות מס</w:t>
      </w:r>
      <w:r w:rsidRPr="00894EDE">
        <w:rPr>
          <w:rFonts w:ascii="David" w:hAnsi="David"/>
          <w:vertAlign w:val="superscript"/>
        </w:rPr>
        <w:footnoteReference w:id="52"/>
      </w:r>
      <w:r w:rsidRPr="00020713">
        <w:rPr>
          <w:rFonts w:asciiTheme="minorBidi" w:hAnsiTheme="minorBidi"/>
          <w:rtl/>
        </w:rPr>
        <w:t xml:space="preserve">. </w:t>
      </w:r>
      <w:r w:rsidRPr="00022124">
        <w:rPr>
          <w:rFonts w:asciiTheme="minorBidi" w:hAnsiTheme="minorBidi"/>
          <w:rtl/>
        </w:rPr>
        <w:t>הרקע לתיקון זה הוא ה</w:t>
      </w:r>
      <w:r>
        <w:rPr>
          <w:rFonts w:asciiTheme="minorBidi" w:hAnsiTheme="minorBidi" w:hint="cs"/>
          <w:rtl/>
        </w:rPr>
        <w:t>חיבור</w:t>
      </w:r>
      <w:r w:rsidRPr="00022124">
        <w:rPr>
          <w:rFonts w:asciiTheme="minorBidi" w:hAnsiTheme="minorBidi"/>
          <w:rtl/>
        </w:rPr>
        <w:t xml:space="preserve"> הטבעי</w:t>
      </w:r>
      <w:r>
        <w:rPr>
          <w:rFonts w:asciiTheme="minorBidi" w:hAnsiTheme="minorBidi" w:hint="cs"/>
          <w:rtl/>
        </w:rPr>
        <w:t xml:space="preserve"> שקיים</w:t>
      </w:r>
      <w:r w:rsidRPr="00022124">
        <w:rPr>
          <w:rFonts w:asciiTheme="minorBidi" w:hAnsiTheme="minorBidi"/>
          <w:rtl/>
        </w:rPr>
        <w:t xml:space="preserve"> בין עבירות המס לעבירת הלבנת ההון, והאפשרות שמקורו של הרכוש שנעברה בו עבירת המס יכול להיות גם בפעילות לגיטימית.</w:t>
      </w:r>
    </w:p>
    <w:p w14:paraId="5193C509" w14:textId="77777777" w:rsidR="00F368B6" w:rsidRDefault="00F368B6" w:rsidP="003F5A67">
      <w:pPr>
        <w:pStyle w:val="414"/>
        <w:rPr>
          <w:rtl/>
        </w:rPr>
      </w:pPr>
      <w:r w:rsidRPr="00390AA8">
        <w:rPr>
          <w:rFonts w:hint="cs"/>
          <w:rtl/>
        </w:rPr>
        <w:t>חשבוניות פיקטיביות</w:t>
      </w:r>
    </w:p>
    <w:p w14:paraId="2DF6F8AD" w14:textId="77777777" w:rsidR="00F368B6" w:rsidRPr="00AB4193" w:rsidRDefault="00F368B6" w:rsidP="003F5A67">
      <w:pPr>
        <w:pStyle w:val="100"/>
      </w:pPr>
      <w:r w:rsidRPr="00AB4193">
        <w:rPr>
          <w:rFonts w:hint="cs"/>
          <w:rtl/>
        </w:rPr>
        <w:t>רשל</w:t>
      </w:r>
      <w:r>
        <w:rPr>
          <w:rFonts w:hint="cs"/>
          <w:rtl/>
        </w:rPr>
        <w:t>א</w:t>
      </w:r>
      <w:r w:rsidRPr="00AB4193">
        <w:rPr>
          <w:rFonts w:hint="cs"/>
          <w:rtl/>
        </w:rPr>
        <w:t xml:space="preserve">"ה </w:t>
      </w:r>
      <w:r>
        <w:rPr>
          <w:rFonts w:hint="cs"/>
          <w:rtl/>
        </w:rPr>
        <w:t xml:space="preserve">הובילה </w:t>
      </w:r>
      <w:r w:rsidRPr="00AB4193">
        <w:rPr>
          <w:rtl/>
        </w:rPr>
        <w:t xml:space="preserve">סקר סיכונים לאומי בתחום סיכוני הלבנת </w:t>
      </w:r>
      <w:r>
        <w:rPr>
          <w:rFonts w:hint="cs"/>
          <w:rtl/>
        </w:rPr>
        <w:t>ה</w:t>
      </w:r>
      <w:r w:rsidRPr="00AB4193">
        <w:rPr>
          <w:rtl/>
        </w:rPr>
        <w:t>הון בישראל</w:t>
      </w:r>
      <w:r w:rsidRPr="00894EDE">
        <w:rPr>
          <w:rFonts w:ascii="David" w:hAnsi="David"/>
          <w:vertAlign w:val="superscript"/>
        </w:rPr>
        <w:footnoteReference w:id="53"/>
      </w:r>
      <w:r w:rsidRPr="00AB4193">
        <w:rPr>
          <w:rFonts w:hint="cs"/>
          <w:rtl/>
        </w:rPr>
        <w:t xml:space="preserve"> בהשתתפות מכלול רשויות האכיפה, גופי הביטחון, גופי הממשל והסקטור הפרטי, </w:t>
      </w:r>
      <w:r>
        <w:rPr>
          <w:rFonts w:hint="cs"/>
          <w:rtl/>
        </w:rPr>
        <w:t>כדי</w:t>
      </w:r>
      <w:r w:rsidRPr="00AB4193">
        <w:rPr>
          <w:rFonts w:hint="cs"/>
          <w:rtl/>
        </w:rPr>
        <w:t xml:space="preserve"> </w:t>
      </w:r>
      <w:r w:rsidRPr="00AB4193">
        <w:rPr>
          <w:rtl/>
        </w:rPr>
        <w:t>לזהות ולהעריך את הסיכונים בתחום זה בישראל</w:t>
      </w:r>
      <w:r>
        <w:rPr>
          <w:rFonts w:hint="cs"/>
          <w:rtl/>
        </w:rPr>
        <w:t>. בסקר</w:t>
      </w:r>
      <w:r w:rsidRPr="00AB4193">
        <w:rPr>
          <w:rtl/>
        </w:rPr>
        <w:t xml:space="preserve"> נקבע </w:t>
      </w:r>
      <w:r w:rsidRPr="00020713">
        <w:rPr>
          <w:rtl/>
        </w:rPr>
        <w:t>כ</w:t>
      </w:r>
      <w:r w:rsidRPr="00020713">
        <w:rPr>
          <w:rFonts w:hint="cs"/>
          <w:rtl/>
        </w:rPr>
        <w:t xml:space="preserve">י </w:t>
      </w:r>
      <w:r w:rsidRPr="00020713">
        <w:rPr>
          <w:rtl/>
        </w:rPr>
        <w:t>היקף ההון הבלתי מדווח ב</w:t>
      </w:r>
      <w:r>
        <w:rPr>
          <w:rFonts w:hint="cs"/>
          <w:rtl/>
        </w:rPr>
        <w:t>מדינה</w:t>
      </w:r>
      <w:r w:rsidRPr="00020713">
        <w:rPr>
          <w:rFonts w:hint="cs"/>
          <w:rtl/>
        </w:rPr>
        <w:t xml:space="preserve"> הנוגע לעבירות המס</w:t>
      </w:r>
      <w:r w:rsidRPr="00020713">
        <w:rPr>
          <w:rtl/>
        </w:rPr>
        <w:t xml:space="preserve"> </w:t>
      </w:r>
      <w:r w:rsidRPr="00020713">
        <w:rPr>
          <w:rFonts w:hint="cs"/>
          <w:rtl/>
        </w:rPr>
        <w:t xml:space="preserve">שיש להן קשר ישיר להלבנת הון </w:t>
      </w:r>
      <w:r w:rsidRPr="00020713">
        <w:rPr>
          <w:rtl/>
        </w:rPr>
        <w:t>מגיע לעשרות מיליארדי</w:t>
      </w:r>
      <w:r>
        <w:rPr>
          <w:rFonts w:hint="cs"/>
          <w:rtl/>
        </w:rPr>
        <w:t xml:space="preserve"> ש"ח,</w:t>
      </w:r>
      <w:r w:rsidRPr="00020713">
        <w:rPr>
          <w:rtl/>
        </w:rPr>
        <w:t xml:space="preserve"> </w:t>
      </w:r>
      <w:r>
        <w:rPr>
          <w:rFonts w:hint="cs"/>
          <w:rtl/>
        </w:rPr>
        <w:t>וש</w:t>
      </w:r>
      <w:r w:rsidRPr="00020713">
        <w:rPr>
          <w:rtl/>
        </w:rPr>
        <w:t xml:space="preserve">תופעת השימוש בחשבוניות מס פיקטיביות </w:t>
      </w:r>
      <w:r>
        <w:rPr>
          <w:rFonts w:hint="cs"/>
          <w:rtl/>
        </w:rPr>
        <w:t>והפצתן נפוצה מאוד, ו</w:t>
      </w:r>
      <w:r w:rsidRPr="00020713">
        <w:rPr>
          <w:rtl/>
        </w:rPr>
        <w:t>עלולה להוביל להפסדים של מיליארדי</w:t>
      </w:r>
      <w:r>
        <w:rPr>
          <w:rFonts w:hint="cs"/>
          <w:rtl/>
        </w:rPr>
        <w:t xml:space="preserve"> ש"ח </w:t>
      </w:r>
      <w:r w:rsidRPr="00020713">
        <w:rPr>
          <w:rtl/>
        </w:rPr>
        <w:t xml:space="preserve">בשנה ולפגיעה במערכת הפיננסית של </w:t>
      </w:r>
      <w:r>
        <w:rPr>
          <w:rFonts w:hint="cs"/>
          <w:rtl/>
        </w:rPr>
        <w:t>ה</w:t>
      </w:r>
      <w:r w:rsidRPr="00020713">
        <w:rPr>
          <w:rtl/>
        </w:rPr>
        <w:t>מדינ</w:t>
      </w:r>
      <w:r>
        <w:rPr>
          <w:rFonts w:hint="cs"/>
          <w:rtl/>
        </w:rPr>
        <w:t>ה</w:t>
      </w:r>
      <w:r w:rsidRPr="00AB4193">
        <w:rPr>
          <w:rtl/>
        </w:rPr>
        <w:t xml:space="preserve">. </w:t>
      </w:r>
      <w:r w:rsidRPr="00AB4193">
        <w:rPr>
          <w:rFonts w:hint="cs"/>
          <w:rtl/>
        </w:rPr>
        <w:t>הסקר אומץ על ידי היועץ המשפטי לממשלה, צוות</w:t>
      </w:r>
      <w:r>
        <w:rPr>
          <w:rFonts w:hint="cs"/>
          <w:rtl/>
        </w:rPr>
        <w:t>-</w:t>
      </w:r>
      <w:r w:rsidRPr="00AB4193">
        <w:rPr>
          <w:rFonts w:hint="cs"/>
          <w:rtl/>
        </w:rPr>
        <w:t>העל והוועדה המתמדת ומשמש בסיס לקביעת מדיניות ותוכניות פעולה</w:t>
      </w:r>
      <w:r w:rsidRPr="005D189E">
        <w:rPr>
          <w:rFonts w:hint="cs"/>
          <w:rtl/>
        </w:rPr>
        <w:t>.</w:t>
      </w:r>
    </w:p>
    <w:p w14:paraId="2E347104" w14:textId="77777777" w:rsidR="00F368B6" w:rsidRPr="00020713" w:rsidRDefault="00F368B6" w:rsidP="003F5A67">
      <w:pPr>
        <w:pStyle w:val="100"/>
      </w:pPr>
      <w:r>
        <w:rPr>
          <w:rFonts w:hint="cs"/>
          <w:rtl/>
        </w:rPr>
        <w:lastRenderedPageBreak/>
        <w:t xml:space="preserve">בין </w:t>
      </w:r>
      <w:r w:rsidRPr="00AB4193">
        <w:rPr>
          <w:rFonts w:hint="cs"/>
          <w:rtl/>
        </w:rPr>
        <w:t>נקודות התורפה שזוהו בסקר,</w:t>
      </w:r>
      <w:r w:rsidRPr="00AB4193">
        <w:rPr>
          <w:rtl/>
        </w:rPr>
        <w:t xml:space="preserve"> בנוגע</w:t>
      </w:r>
      <w:r w:rsidRPr="00020713">
        <w:rPr>
          <w:rtl/>
        </w:rPr>
        <w:t xml:space="preserve"> לעבירות המס ולחשבוניות פיקטיביות, </w:t>
      </w:r>
      <w:r>
        <w:rPr>
          <w:rFonts w:hint="cs"/>
          <w:rtl/>
        </w:rPr>
        <w:t>היו</w:t>
      </w:r>
      <w:r w:rsidRPr="00020713">
        <w:rPr>
          <w:rFonts w:hint="cs"/>
          <w:rtl/>
        </w:rPr>
        <w:t xml:space="preserve"> ה</w:t>
      </w:r>
      <w:r w:rsidRPr="00020713">
        <w:rPr>
          <w:rtl/>
        </w:rPr>
        <w:t xml:space="preserve">קושי שבפיקוח על כמות חשבוניות המס המונפקות, קלות </w:t>
      </w:r>
      <w:r>
        <w:rPr>
          <w:rFonts w:hint="cs"/>
          <w:rtl/>
        </w:rPr>
        <w:t>ההפקה שלהן</w:t>
      </w:r>
      <w:r w:rsidRPr="00020713">
        <w:rPr>
          <w:rtl/>
        </w:rPr>
        <w:t xml:space="preserve"> </w:t>
      </w:r>
      <w:r w:rsidRPr="00020713">
        <w:rPr>
          <w:rFonts w:hint="cs"/>
          <w:rtl/>
        </w:rPr>
        <w:t xml:space="preserve">וכן קלות </w:t>
      </w:r>
      <w:r>
        <w:rPr>
          <w:rFonts w:hint="cs"/>
          <w:rtl/>
        </w:rPr>
        <w:t>הקמתן של</w:t>
      </w:r>
      <w:r w:rsidRPr="00020713">
        <w:rPr>
          <w:rtl/>
        </w:rPr>
        <w:t xml:space="preserve"> חברות קש </w:t>
      </w:r>
      <w:r w:rsidRPr="00020713">
        <w:rPr>
          <w:rFonts w:hint="cs"/>
          <w:rtl/>
        </w:rPr>
        <w:t>ו</w:t>
      </w:r>
      <w:r>
        <w:rPr>
          <w:rFonts w:hint="cs"/>
          <w:rtl/>
        </w:rPr>
        <w:t>ה</w:t>
      </w:r>
      <w:r w:rsidRPr="00020713">
        <w:rPr>
          <w:rtl/>
        </w:rPr>
        <w:t>השתלט</w:t>
      </w:r>
      <w:r>
        <w:rPr>
          <w:rFonts w:hint="cs"/>
          <w:rtl/>
        </w:rPr>
        <w:t>ות</w:t>
      </w:r>
      <w:r w:rsidRPr="00020713">
        <w:rPr>
          <w:rtl/>
        </w:rPr>
        <w:t xml:space="preserve"> על חברות קיימות, כך שמוכר חשבוניות מס פיקטיביות יכול להזדהות במרמה כבעלים של חברה ולהוציא בשמה חשבוניות מס מזויפות.</w:t>
      </w:r>
      <w:r>
        <w:rPr>
          <w:rFonts w:hint="cs"/>
          <w:rtl/>
        </w:rPr>
        <w:t xml:space="preserve"> לנוכח שכיחות עבירות אלה, היקפן הכספי והשלכותיהן הכלכליות והחברתיות, ולנוכח הקושי של הרשויות להתמודד עם התופעה, דורג הסיכון להלבנת הון שמקורה בחשבוניות פיקטיביות כבינוני-גבוה.</w:t>
      </w:r>
    </w:p>
    <w:p w14:paraId="38D7EF40" w14:textId="77777777" w:rsidR="00F368B6" w:rsidRPr="00020713" w:rsidRDefault="00F368B6" w:rsidP="003F5A67">
      <w:pPr>
        <w:pStyle w:val="100"/>
      </w:pPr>
      <w:r w:rsidRPr="00020713">
        <w:rPr>
          <w:rtl/>
        </w:rPr>
        <w:t xml:space="preserve">ההכרה בעבירות המס החמורות כעבירות מקור במסגרת התיקון לחוק איסור הלבנת הון, </w:t>
      </w:r>
      <w:r>
        <w:rPr>
          <w:rFonts w:hint="cs"/>
          <w:rtl/>
        </w:rPr>
        <w:t>ו</w:t>
      </w:r>
      <w:r w:rsidRPr="00020713">
        <w:rPr>
          <w:rtl/>
        </w:rPr>
        <w:t>הסדרת מנגנון העברת מידע מרש</w:t>
      </w:r>
      <w:r>
        <w:rPr>
          <w:rFonts w:hint="cs"/>
          <w:rtl/>
        </w:rPr>
        <w:t>לא"ה</w:t>
      </w:r>
      <w:r w:rsidRPr="00020713">
        <w:rPr>
          <w:rtl/>
        </w:rPr>
        <w:t xml:space="preserve"> לרשות המיסים לצורך חקירות עבירות מס, מאפשרות לרשויות להילחם בתופעת ההפצה והקיזוז של חשבוניות המס הפיקטיביות</w:t>
      </w:r>
      <w:r w:rsidRPr="00020713">
        <w:rPr>
          <w:rFonts w:hint="cs"/>
          <w:rtl/>
        </w:rPr>
        <w:t xml:space="preserve">. </w:t>
      </w:r>
      <w:r>
        <w:rPr>
          <w:rFonts w:hint="cs"/>
          <w:rtl/>
        </w:rPr>
        <w:t xml:space="preserve">גופי האכיפה נלחמים בה בין היתר </w:t>
      </w:r>
      <w:r w:rsidRPr="00020713">
        <w:rPr>
          <w:rtl/>
        </w:rPr>
        <w:t>באמצעות הקמת צוותי חקירה מיוחדים</w:t>
      </w:r>
      <w:r>
        <w:rPr>
          <w:rFonts w:hint="cs"/>
          <w:rtl/>
        </w:rPr>
        <w:t xml:space="preserve"> </w:t>
      </w:r>
      <w:r w:rsidRPr="00DC522A">
        <w:rPr>
          <w:rtl/>
        </w:rPr>
        <w:t>בתיקי חקירה מורכבים</w:t>
      </w:r>
      <w:r>
        <w:rPr>
          <w:rFonts w:hint="cs"/>
          <w:rtl/>
        </w:rPr>
        <w:t xml:space="preserve"> ורגישים (להלן - תיקי צח</w:t>
      </w:r>
      <w:r>
        <w:rPr>
          <w:rtl/>
        </w:rPr>
        <w:t>"</w:t>
      </w:r>
      <w:r>
        <w:rPr>
          <w:rFonts w:hint="cs"/>
          <w:rtl/>
        </w:rPr>
        <w:t>ם). הצוותים</w:t>
      </w:r>
      <w:r w:rsidRPr="00020713">
        <w:rPr>
          <w:rtl/>
        </w:rPr>
        <w:t xml:space="preserve"> משותפים</w:t>
      </w:r>
      <w:r>
        <w:rPr>
          <w:rFonts w:hint="cs"/>
          <w:rtl/>
        </w:rPr>
        <w:t xml:space="preserve"> ל</w:t>
      </w:r>
      <w:r w:rsidRPr="00020713">
        <w:rPr>
          <w:rtl/>
        </w:rPr>
        <w:t xml:space="preserve">חטיבת החקירות </w:t>
      </w:r>
      <w:r>
        <w:rPr>
          <w:rFonts w:hint="cs"/>
          <w:rtl/>
        </w:rPr>
        <w:t>ברשות המיסים ול</w:t>
      </w:r>
      <w:r w:rsidRPr="00020713">
        <w:rPr>
          <w:rtl/>
        </w:rPr>
        <w:t>גורמי אכיפה נוספים</w:t>
      </w:r>
      <w:r>
        <w:rPr>
          <w:rFonts w:hint="cs"/>
          <w:rtl/>
        </w:rPr>
        <w:t>,</w:t>
      </w:r>
      <w:r w:rsidRPr="00020713">
        <w:rPr>
          <w:rtl/>
        </w:rPr>
        <w:t xml:space="preserve"> ובראשם המשטרה</w:t>
      </w:r>
      <w:r>
        <w:rPr>
          <w:rFonts w:hint="cs"/>
          <w:rtl/>
        </w:rPr>
        <w:t>. בשל מורכבות התיקים ממונה להם פרקליט מלווה כבר מתחילת החקירה.</w:t>
      </w:r>
      <w:r w:rsidRPr="0008242C">
        <w:rPr>
          <w:rFonts w:ascii="David" w:eastAsia="Calibri" w:hAnsi="David"/>
          <w:noProof/>
          <w:sz w:val="22"/>
          <w:szCs w:val="22"/>
          <w:rtl/>
        </w:rPr>
        <w:t xml:space="preserve"> </w:t>
      </w:r>
    </w:p>
    <w:p w14:paraId="24150260" w14:textId="77777777" w:rsidR="00F368B6" w:rsidRDefault="00F368B6" w:rsidP="003F5A67">
      <w:pPr>
        <w:pStyle w:val="100"/>
        <w:rPr>
          <w:rtl/>
        </w:rPr>
      </w:pPr>
      <w:r w:rsidRPr="00020713">
        <w:rPr>
          <w:rtl/>
        </w:rPr>
        <w:t>לתיקי ה</w:t>
      </w:r>
      <w:r>
        <w:rPr>
          <w:rtl/>
        </w:rPr>
        <w:t>צח"ם</w:t>
      </w:r>
      <w:r w:rsidRPr="00020713">
        <w:rPr>
          <w:rtl/>
        </w:rPr>
        <w:t xml:space="preserve"> מאפיינים מיוחדים</w:t>
      </w:r>
      <w:r w:rsidRPr="00020713">
        <w:rPr>
          <w:rFonts w:hint="cs"/>
          <w:rtl/>
        </w:rPr>
        <w:t xml:space="preserve">. </w:t>
      </w:r>
      <w:r w:rsidRPr="00020713">
        <w:rPr>
          <w:rtl/>
        </w:rPr>
        <w:t xml:space="preserve">על פי רוב, מדובר בתיקי חקירה רחבי היקף, הן מבחינת </w:t>
      </w:r>
      <w:r>
        <w:rPr>
          <w:rFonts w:hint="cs"/>
          <w:rtl/>
        </w:rPr>
        <w:t>מספר</w:t>
      </w:r>
      <w:r w:rsidRPr="00020713">
        <w:rPr>
          <w:rtl/>
        </w:rPr>
        <w:t xml:space="preserve"> המעורבים, הן מבחינת </w:t>
      </w:r>
      <w:r>
        <w:rPr>
          <w:rFonts w:hint="cs"/>
          <w:rtl/>
        </w:rPr>
        <w:t xml:space="preserve">היקף </w:t>
      </w:r>
      <w:r w:rsidRPr="00020713">
        <w:rPr>
          <w:rtl/>
        </w:rPr>
        <w:t>שווי העב</w:t>
      </w:r>
      <w:r>
        <w:rPr>
          <w:rFonts w:hint="cs"/>
          <w:rtl/>
        </w:rPr>
        <w:t>י</w:t>
      </w:r>
      <w:r w:rsidRPr="00020713">
        <w:rPr>
          <w:rtl/>
        </w:rPr>
        <w:t>רות המיוחסות</w:t>
      </w:r>
      <w:r>
        <w:rPr>
          <w:rFonts w:hint="cs"/>
          <w:rtl/>
        </w:rPr>
        <w:t xml:space="preserve"> לחשודים,</w:t>
      </w:r>
      <w:r w:rsidRPr="00020713">
        <w:rPr>
          <w:rtl/>
        </w:rPr>
        <w:t xml:space="preserve"> הנאמד במאות מיליוני ש</w:t>
      </w:r>
      <w:r>
        <w:rPr>
          <w:rFonts w:hint="cs"/>
          <w:rtl/>
        </w:rPr>
        <w:t>"ח</w:t>
      </w:r>
      <w:r w:rsidRPr="00020713">
        <w:rPr>
          <w:rtl/>
        </w:rPr>
        <w:t xml:space="preserve">, והן מבחינת </w:t>
      </w:r>
      <w:r>
        <w:rPr>
          <w:rFonts w:hint="cs"/>
          <w:rtl/>
        </w:rPr>
        <w:t>כמות</w:t>
      </w:r>
      <w:r w:rsidRPr="00020713">
        <w:rPr>
          <w:rtl/>
        </w:rPr>
        <w:t xml:space="preserve"> חומרי החקירה שנתפסים</w:t>
      </w:r>
      <w:r>
        <w:rPr>
          <w:rFonts w:hint="cs"/>
          <w:rtl/>
        </w:rPr>
        <w:t>. ככלל, תיק החקירה המוביל בצח</w:t>
      </w:r>
      <w:r>
        <w:rPr>
          <w:rtl/>
        </w:rPr>
        <w:t>"</w:t>
      </w:r>
      <w:r>
        <w:rPr>
          <w:rFonts w:hint="cs"/>
          <w:rtl/>
        </w:rPr>
        <w:t xml:space="preserve">ם מנוהל כנגד החשוד העיקרי, וכנגד שאר המעורבים מנוהלים תיקי חקירה נלווים המכונים "תיקי לוויין". לדוגמה, תיק החקירה העיקרי בצח"ם הוא נגד מפיץ החשבוניות הפיקטיביות, ותיקי הלוויין בצח"ם הם נגד העבריינים שהגישו את החשבוניות הפיקטיביות לטובת ניכוי מס ("תיקי מקזזים"). </w:t>
      </w:r>
      <w:r w:rsidRPr="00020713">
        <w:rPr>
          <w:rtl/>
        </w:rPr>
        <w:t>חקירה משותפת של רשויות האכיפה מאפשרת לחקור במקביל לעבירות המס עבירות פליליות נוספות המיוחסות לחשודים.</w:t>
      </w:r>
      <w:r>
        <w:rPr>
          <w:rFonts w:hint="cs"/>
          <w:rtl/>
        </w:rPr>
        <w:t xml:space="preserve"> </w:t>
      </w:r>
    </w:p>
    <w:p w14:paraId="2EAFD8F5" w14:textId="77777777" w:rsidR="00F368B6" w:rsidRPr="00020713" w:rsidRDefault="00F368B6" w:rsidP="003F5A67">
      <w:pPr>
        <w:pStyle w:val="100"/>
      </w:pPr>
      <w:r w:rsidRPr="00020713">
        <w:rPr>
          <w:rtl/>
        </w:rPr>
        <w:t>הסמכות לשמש תובעים ול</w:t>
      </w:r>
      <w:r>
        <w:rPr>
          <w:rFonts w:hint="cs"/>
          <w:rtl/>
        </w:rPr>
        <w:t>הופיע</w:t>
      </w:r>
      <w:r w:rsidRPr="00020713">
        <w:rPr>
          <w:rtl/>
        </w:rPr>
        <w:t xml:space="preserve"> בבתי משפט בתיקים אלו </w:t>
      </w:r>
      <w:r>
        <w:rPr>
          <w:rFonts w:hint="cs"/>
          <w:rtl/>
        </w:rPr>
        <w:t>מצויה הן בידי</w:t>
      </w:r>
      <w:r w:rsidRPr="00020713">
        <w:rPr>
          <w:rFonts w:hint="cs"/>
          <w:rtl/>
        </w:rPr>
        <w:t xml:space="preserve"> </w:t>
      </w:r>
      <w:r w:rsidRPr="00020713">
        <w:rPr>
          <w:rtl/>
        </w:rPr>
        <w:t>פרקליטים מפרקליטות המדינה</w:t>
      </w:r>
      <w:r>
        <w:rPr>
          <w:rFonts w:hint="cs"/>
          <w:rtl/>
        </w:rPr>
        <w:t>,</w:t>
      </w:r>
      <w:r w:rsidRPr="00020713">
        <w:rPr>
          <w:rtl/>
        </w:rPr>
        <w:t xml:space="preserve"> </w:t>
      </w:r>
      <w:r>
        <w:rPr>
          <w:rFonts w:hint="cs"/>
          <w:rtl/>
        </w:rPr>
        <w:t>הן בידי</w:t>
      </w:r>
      <w:r w:rsidRPr="00020713">
        <w:rPr>
          <w:rFonts w:hint="cs"/>
          <w:rtl/>
        </w:rPr>
        <w:t xml:space="preserve"> </w:t>
      </w:r>
      <w:r w:rsidRPr="00020713">
        <w:rPr>
          <w:rtl/>
        </w:rPr>
        <w:t>עורכי הדין במחלקה המשפטית ברשות המיסים - מע"</w:t>
      </w:r>
      <w:r>
        <w:rPr>
          <w:rFonts w:hint="cs"/>
          <w:rtl/>
        </w:rPr>
        <w:t>ם</w:t>
      </w:r>
      <w:r w:rsidRPr="00020713">
        <w:rPr>
          <w:rtl/>
        </w:rPr>
        <w:t xml:space="preserve"> </w:t>
      </w:r>
      <w:r w:rsidRPr="00020713">
        <w:rPr>
          <w:rFonts w:hint="cs"/>
          <w:rtl/>
        </w:rPr>
        <w:t>(</w:t>
      </w:r>
      <w:r w:rsidRPr="00020713">
        <w:rPr>
          <w:rtl/>
        </w:rPr>
        <w:t>להלן</w:t>
      </w:r>
      <w:r>
        <w:rPr>
          <w:rFonts w:hint="cs"/>
          <w:rtl/>
        </w:rPr>
        <w:t xml:space="preserve"> </w:t>
      </w:r>
      <w:r w:rsidRPr="00020713">
        <w:rPr>
          <w:rFonts w:hint="cs"/>
          <w:rtl/>
        </w:rPr>
        <w:t xml:space="preserve">- </w:t>
      </w:r>
      <w:r w:rsidRPr="00020713">
        <w:rPr>
          <w:rtl/>
        </w:rPr>
        <w:t>תובעי רשות המיסים)</w:t>
      </w:r>
      <w:r w:rsidRPr="00020713">
        <w:rPr>
          <w:rFonts w:hint="cs"/>
          <w:rtl/>
        </w:rPr>
        <w:t xml:space="preserve">. </w:t>
      </w:r>
      <w:r w:rsidRPr="00020713">
        <w:rPr>
          <w:rtl/>
        </w:rPr>
        <w:t>במקרה הצו</w:t>
      </w:r>
      <w:r w:rsidRPr="00020713">
        <w:rPr>
          <w:rFonts w:hint="cs"/>
          <w:rtl/>
        </w:rPr>
        <w:t>רך ניתן לתובעי רשות המיסים</w:t>
      </w:r>
      <w:r w:rsidRPr="00020713">
        <w:rPr>
          <w:rtl/>
        </w:rPr>
        <w:t xml:space="preserve"> כתב</w:t>
      </w:r>
      <w:r>
        <w:rPr>
          <w:rFonts w:hint="cs"/>
          <w:rtl/>
        </w:rPr>
        <w:t xml:space="preserve"> </w:t>
      </w:r>
      <w:r w:rsidRPr="00020713">
        <w:rPr>
          <w:rtl/>
        </w:rPr>
        <w:t>הסמכה להיות באי כ</w:t>
      </w:r>
      <w:r>
        <w:rPr>
          <w:rFonts w:hint="cs"/>
          <w:rtl/>
        </w:rPr>
        <w:t>ו</w:t>
      </w:r>
      <w:r w:rsidRPr="00020713">
        <w:rPr>
          <w:rtl/>
        </w:rPr>
        <w:t xml:space="preserve">ח היועץ המשפטי לממשלה </w:t>
      </w:r>
      <w:r>
        <w:rPr>
          <w:rFonts w:hint="cs"/>
          <w:rtl/>
        </w:rPr>
        <w:t>ו</w:t>
      </w:r>
      <w:r w:rsidRPr="00020713">
        <w:rPr>
          <w:rtl/>
        </w:rPr>
        <w:t xml:space="preserve">לשמש תובעים גם בעבירות </w:t>
      </w:r>
      <w:r>
        <w:rPr>
          <w:rFonts w:hint="cs"/>
          <w:rtl/>
        </w:rPr>
        <w:t xml:space="preserve">נוספות על </w:t>
      </w:r>
      <w:r w:rsidRPr="00020713">
        <w:rPr>
          <w:rtl/>
        </w:rPr>
        <w:t>עבירות המס</w:t>
      </w:r>
      <w:r>
        <w:rPr>
          <w:rFonts w:hint="cs"/>
          <w:rtl/>
        </w:rPr>
        <w:t>.</w:t>
      </w:r>
    </w:p>
    <w:p w14:paraId="77D55222" w14:textId="77777777" w:rsidR="00F368B6" w:rsidRPr="00020713" w:rsidRDefault="00F368B6" w:rsidP="003F5A67">
      <w:pPr>
        <w:pStyle w:val="100"/>
      </w:pPr>
      <w:r w:rsidRPr="00020713">
        <w:rPr>
          <w:rFonts w:hint="cs"/>
          <w:rtl/>
        </w:rPr>
        <w:t>בשל</w:t>
      </w:r>
      <w:r w:rsidRPr="00020713">
        <w:rPr>
          <w:rtl/>
        </w:rPr>
        <w:t xml:space="preserve"> הסמכות המקבילה </w:t>
      </w:r>
      <w:r>
        <w:rPr>
          <w:rFonts w:hint="cs"/>
          <w:rtl/>
        </w:rPr>
        <w:t xml:space="preserve">של הפרקליטות והמחלקה המשפטית </w:t>
      </w:r>
      <w:r w:rsidRPr="00020713">
        <w:rPr>
          <w:rtl/>
        </w:rPr>
        <w:t xml:space="preserve">ברשות המיסים קיימו נציגי שני הגופים </w:t>
      </w:r>
      <w:r>
        <w:rPr>
          <w:rFonts w:hint="cs"/>
          <w:rtl/>
        </w:rPr>
        <w:t>כמה</w:t>
      </w:r>
      <w:r w:rsidRPr="00020713">
        <w:rPr>
          <w:rtl/>
        </w:rPr>
        <w:t xml:space="preserve"> דיונים </w:t>
      </w:r>
      <w:r>
        <w:rPr>
          <w:rFonts w:hint="cs"/>
          <w:rtl/>
        </w:rPr>
        <w:t>ע</w:t>
      </w:r>
      <w:r w:rsidRPr="00020713">
        <w:rPr>
          <w:rtl/>
        </w:rPr>
        <w:t>ל</w:t>
      </w:r>
      <w:r>
        <w:rPr>
          <w:rFonts w:hint="cs"/>
          <w:rtl/>
        </w:rPr>
        <w:t xml:space="preserve"> </w:t>
      </w:r>
      <w:r w:rsidRPr="00020713">
        <w:rPr>
          <w:rtl/>
        </w:rPr>
        <w:t>חלוקת העבודה ביניהם</w:t>
      </w:r>
      <w:r>
        <w:rPr>
          <w:rFonts w:hint="cs"/>
          <w:rtl/>
        </w:rPr>
        <w:t>,</w:t>
      </w:r>
      <w:r w:rsidRPr="00020713">
        <w:rPr>
          <w:rtl/>
        </w:rPr>
        <w:t xml:space="preserve"> </w:t>
      </w:r>
      <w:r>
        <w:rPr>
          <w:rFonts w:hint="cs"/>
          <w:rtl/>
        </w:rPr>
        <w:t>ש</w:t>
      </w:r>
      <w:r w:rsidRPr="00020713">
        <w:rPr>
          <w:rtl/>
        </w:rPr>
        <w:t>מטר</w:t>
      </w:r>
      <w:r>
        <w:rPr>
          <w:rFonts w:hint="cs"/>
          <w:rtl/>
        </w:rPr>
        <w:t>תם</w:t>
      </w:r>
      <w:r w:rsidRPr="00020713">
        <w:rPr>
          <w:rtl/>
        </w:rPr>
        <w:t xml:space="preserve"> לגבש מתווה מוסכם.</w:t>
      </w:r>
      <w:r>
        <w:rPr>
          <w:rFonts w:hint="cs"/>
          <w:rtl/>
        </w:rPr>
        <w:t xml:space="preserve"> </w:t>
      </w:r>
      <w:r w:rsidRPr="00020713">
        <w:rPr>
          <w:rtl/>
        </w:rPr>
        <w:t>ב</w:t>
      </w:r>
      <w:r w:rsidRPr="00020713">
        <w:rPr>
          <w:rFonts w:hint="cs"/>
          <w:rtl/>
        </w:rPr>
        <w:t xml:space="preserve">יוני 2016 </w:t>
      </w:r>
      <w:r>
        <w:rPr>
          <w:rFonts w:hint="cs"/>
          <w:rtl/>
        </w:rPr>
        <w:t>התקיים</w:t>
      </w:r>
      <w:r w:rsidRPr="00020713">
        <w:rPr>
          <w:rtl/>
        </w:rPr>
        <w:t xml:space="preserve"> דיון </w:t>
      </w:r>
      <w:r>
        <w:rPr>
          <w:rFonts w:hint="cs"/>
          <w:rtl/>
        </w:rPr>
        <w:t>בין שני הגופים בנושא</w:t>
      </w:r>
      <w:r w:rsidRPr="00020713">
        <w:rPr>
          <w:rtl/>
        </w:rPr>
        <w:t xml:space="preserve"> חלוקת העבודה בין הפרקליטות לבין המחלקה לתיקים מיוחדים של רשות המיסים</w:t>
      </w:r>
      <w:r>
        <w:rPr>
          <w:rFonts w:hint="cs"/>
          <w:rtl/>
        </w:rPr>
        <w:t>.</w:t>
      </w:r>
      <w:r>
        <w:rPr>
          <w:rtl/>
        </w:rPr>
        <w:t xml:space="preserve"> </w:t>
      </w:r>
      <w:r w:rsidRPr="00020713">
        <w:rPr>
          <w:rtl/>
        </w:rPr>
        <w:t xml:space="preserve">בין היתר סוכם כי יש צורך בתוכנית עבודה שנתית לתיקי </w:t>
      </w:r>
      <w:r>
        <w:rPr>
          <w:rtl/>
        </w:rPr>
        <w:t>צח"ם</w:t>
      </w:r>
      <w:r w:rsidRPr="00020713">
        <w:rPr>
          <w:rtl/>
        </w:rPr>
        <w:t xml:space="preserve"> ש</w:t>
      </w:r>
      <w:r>
        <w:rPr>
          <w:rFonts w:hint="cs"/>
          <w:rtl/>
        </w:rPr>
        <w:t xml:space="preserve">תאפשר </w:t>
      </w:r>
      <w:r w:rsidRPr="00020713">
        <w:rPr>
          <w:rtl/>
        </w:rPr>
        <w:t xml:space="preserve">לתכנן מראש את הקצאת כוח האדם שיטפל בתיקים </w:t>
      </w:r>
      <w:r>
        <w:rPr>
          <w:rFonts w:hint="cs"/>
          <w:rtl/>
        </w:rPr>
        <w:t>בשני הגופים</w:t>
      </w:r>
      <w:r w:rsidRPr="00020713">
        <w:rPr>
          <w:rtl/>
        </w:rPr>
        <w:t>.</w:t>
      </w:r>
    </w:p>
    <w:p w14:paraId="5FE22F10" w14:textId="77777777" w:rsidR="00F368B6" w:rsidRPr="00020713" w:rsidRDefault="00F368B6" w:rsidP="003F5A67">
      <w:pPr>
        <w:pStyle w:val="100"/>
      </w:pPr>
      <w:r w:rsidRPr="00020713">
        <w:rPr>
          <w:rFonts w:hint="cs"/>
          <w:rtl/>
        </w:rPr>
        <w:t>עוד</w:t>
      </w:r>
      <w:r w:rsidRPr="00020713">
        <w:rPr>
          <w:rtl/>
        </w:rPr>
        <w:t xml:space="preserve"> סוכם כי תיקי </w:t>
      </w:r>
      <w:r>
        <w:rPr>
          <w:rtl/>
        </w:rPr>
        <w:t>צח"ם</w:t>
      </w:r>
      <w:r w:rsidRPr="00020713">
        <w:rPr>
          <w:rtl/>
        </w:rPr>
        <w:t xml:space="preserve"> </w:t>
      </w:r>
      <w:r>
        <w:rPr>
          <w:rFonts w:hint="cs"/>
          <w:rtl/>
        </w:rPr>
        <w:t>יחולקו</w:t>
      </w:r>
      <w:r w:rsidRPr="00020713">
        <w:rPr>
          <w:rtl/>
        </w:rPr>
        <w:t xml:space="preserve"> בהתאם לעבירות העיקריות </w:t>
      </w:r>
      <w:r>
        <w:rPr>
          <w:rFonts w:hint="cs"/>
          <w:rtl/>
        </w:rPr>
        <w:t>ש</w:t>
      </w:r>
      <w:r w:rsidRPr="00020713">
        <w:rPr>
          <w:rtl/>
        </w:rPr>
        <w:t>ה</w:t>
      </w:r>
      <w:r>
        <w:rPr>
          <w:rFonts w:hint="cs"/>
          <w:rtl/>
        </w:rPr>
        <w:t>ם</w:t>
      </w:r>
      <w:r w:rsidRPr="00020713">
        <w:rPr>
          <w:rtl/>
        </w:rPr>
        <w:t xml:space="preserve"> עוסקים </w:t>
      </w:r>
      <w:r>
        <w:rPr>
          <w:rFonts w:hint="cs"/>
          <w:rtl/>
        </w:rPr>
        <w:t>בהן:</w:t>
      </w:r>
      <w:r w:rsidRPr="00020713">
        <w:rPr>
          <w:rtl/>
        </w:rPr>
        <w:t xml:space="preserve"> נקודת המוצא </w:t>
      </w:r>
      <w:r>
        <w:rPr>
          <w:rFonts w:hint="cs"/>
          <w:rtl/>
        </w:rPr>
        <w:t>הייתה</w:t>
      </w:r>
      <w:r w:rsidRPr="00020713">
        <w:rPr>
          <w:rtl/>
        </w:rPr>
        <w:t xml:space="preserve"> שבתיקים העוסקים בעיקר בעבירות על חוק</w:t>
      </w:r>
      <w:r>
        <w:rPr>
          <w:rFonts w:hint="cs"/>
          <w:rtl/>
        </w:rPr>
        <w:t xml:space="preserve"> מס ערך מוסף, התשל"ו-1975 (להלן - חוק ה</w:t>
      </w:r>
      <w:r w:rsidRPr="00020713">
        <w:rPr>
          <w:rtl/>
        </w:rPr>
        <w:t>מע"</w:t>
      </w:r>
      <w:r>
        <w:rPr>
          <w:rFonts w:hint="cs"/>
          <w:rtl/>
        </w:rPr>
        <w:t>ם)</w:t>
      </w:r>
      <w:r w:rsidRPr="00020713">
        <w:rPr>
          <w:rtl/>
        </w:rPr>
        <w:t xml:space="preserve"> יטפלו תובעי רשות המיסים, ו</w:t>
      </w:r>
      <w:r>
        <w:rPr>
          <w:rFonts w:hint="cs"/>
          <w:rtl/>
        </w:rPr>
        <w:t xml:space="preserve">אם </w:t>
      </w:r>
      <w:r w:rsidRPr="00020713">
        <w:rPr>
          <w:rtl/>
        </w:rPr>
        <w:t xml:space="preserve">אין </w:t>
      </w:r>
      <w:r>
        <w:rPr>
          <w:rFonts w:hint="cs"/>
          <w:rtl/>
        </w:rPr>
        <w:t>באפשרותם</w:t>
      </w:r>
      <w:r w:rsidRPr="00020713">
        <w:rPr>
          <w:rtl/>
        </w:rPr>
        <w:t xml:space="preserve"> לקבל תיק</w:t>
      </w:r>
      <w:r>
        <w:rPr>
          <w:rFonts w:hint="cs"/>
          <w:rtl/>
        </w:rPr>
        <w:t xml:space="preserve"> כזה ייקבע</w:t>
      </w:r>
      <w:r w:rsidRPr="00020713">
        <w:rPr>
          <w:rtl/>
        </w:rPr>
        <w:t xml:space="preserve"> הגורם המטפל ב</w:t>
      </w:r>
      <w:r>
        <w:rPr>
          <w:rFonts w:hint="cs"/>
          <w:rtl/>
        </w:rPr>
        <w:t>ו</w:t>
      </w:r>
      <w:r w:rsidRPr="00020713">
        <w:rPr>
          <w:rtl/>
        </w:rPr>
        <w:t xml:space="preserve"> בהחלטה משותפת של הפרקליטות ו</w:t>
      </w:r>
      <w:r>
        <w:rPr>
          <w:rFonts w:hint="cs"/>
          <w:rtl/>
        </w:rPr>
        <w:t>היועץ המשפטי של</w:t>
      </w:r>
      <w:r w:rsidRPr="00020713">
        <w:rPr>
          <w:rtl/>
        </w:rPr>
        <w:t xml:space="preserve"> רשות המיסים, בהתאם לקיבולת של כל אחד מהגופים ו</w:t>
      </w:r>
      <w:r>
        <w:rPr>
          <w:rFonts w:hint="cs"/>
          <w:rtl/>
        </w:rPr>
        <w:t>כדי</w:t>
      </w:r>
      <w:r w:rsidRPr="00020713">
        <w:rPr>
          <w:rtl/>
        </w:rPr>
        <w:t xml:space="preserve"> </w:t>
      </w:r>
      <w:r>
        <w:rPr>
          <w:rFonts w:hint="cs"/>
          <w:rtl/>
        </w:rPr>
        <w:t>לווסת את חלוקת העבודה</w:t>
      </w:r>
      <w:r w:rsidRPr="00020713">
        <w:rPr>
          <w:rFonts w:hint="cs"/>
          <w:rtl/>
        </w:rPr>
        <w:t>.</w:t>
      </w:r>
      <w:r w:rsidRPr="0091586F">
        <w:rPr>
          <w:rtl/>
        </w:rPr>
        <w:t xml:space="preserve"> </w:t>
      </w:r>
      <w:r w:rsidRPr="00020713">
        <w:rPr>
          <w:rFonts w:hint="cs"/>
          <w:rtl/>
        </w:rPr>
        <w:t xml:space="preserve">באוגוסט 2016 קיבלו </w:t>
      </w:r>
      <w:r w:rsidRPr="00020713">
        <w:rPr>
          <w:rtl/>
        </w:rPr>
        <w:t>הסכמות אלו את אישורו של פרקליט המדינה</w:t>
      </w:r>
      <w:r w:rsidRPr="00020713">
        <w:rPr>
          <w:rFonts w:hint="cs"/>
          <w:rtl/>
        </w:rPr>
        <w:t>.</w:t>
      </w:r>
      <w:r w:rsidRPr="00020713">
        <w:t xml:space="preserve"> </w:t>
      </w:r>
    </w:p>
    <w:p w14:paraId="09CF3CC8" w14:textId="77777777" w:rsidR="00F368B6" w:rsidRPr="002336ED" w:rsidRDefault="00F368B6" w:rsidP="003F5A67">
      <w:pPr>
        <w:pStyle w:val="100"/>
        <w:rPr>
          <w:rtl/>
        </w:rPr>
      </w:pPr>
      <w:r w:rsidRPr="00020713">
        <w:rPr>
          <w:rtl/>
        </w:rPr>
        <w:lastRenderedPageBreak/>
        <w:t xml:space="preserve">עם זאת, לנוכח </w:t>
      </w:r>
      <w:r>
        <w:rPr>
          <w:rFonts w:hint="cs"/>
          <w:rtl/>
        </w:rPr>
        <w:t>העלייה</w:t>
      </w:r>
      <w:r w:rsidRPr="00020713">
        <w:rPr>
          <w:rtl/>
        </w:rPr>
        <w:t xml:space="preserve"> </w:t>
      </w:r>
      <w:r>
        <w:rPr>
          <w:rFonts w:hint="cs"/>
          <w:rtl/>
        </w:rPr>
        <w:t>ב</w:t>
      </w:r>
      <w:r w:rsidRPr="00020713">
        <w:rPr>
          <w:rtl/>
        </w:rPr>
        <w:t>נפח העבודה</w:t>
      </w:r>
      <w:r w:rsidRPr="00020713">
        <w:rPr>
          <w:rFonts w:hint="cs"/>
          <w:rtl/>
        </w:rPr>
        <w:t xml:space="preserve"> בשנים האחרונות</w:t>
      </w:r>
      <w:r w:rsidRPr="00020713">
        <w:rPr>
          <w:rtl/>
        </w:rPr>
        <w:t xml:space="preserve"> אל מול משאבי כוח האדם המוגבלים של מערך התביעה</w:t>
      </w:r>
      <w:r w:rsidRPr="00020713">
        <w:rPr>
          <w:rFonts w:hint="cs"/>
          <w:rtl/>
        </w:rPr>
        <w:t>, ובפרט על רקע</w:t>
      </w:r>
      <w:r>
        <w:rPr>
          <w:rFonts w:hint="cs"/>
          <w:rtl/>
        </w:rPr>
        <w:t xml:space="preserve"> תופעת</w:t>
      </w:r>
      <w:r w:rsidRPr="00020713">
        <w:rPr>
          <w:rFonts w:hint="cs"/>
          <w:rtl/>
        </w:rPr>
        <w:t xml:space="preserve"> עזיבה </w:t>
      </w:r>
      <w:r>
        <w:rPr>
          <w:rFonts w:hint="cs"/>
          <w:rtl/>
        </w:rPr>
        <w:t>נרחבת</w:t>
      </w:r>
      <w:r w:rsidRPr="00020713">
        <w:rPr>
          <w:rFonts w:hint="cs"/>
          <w:rtl/>
        </w:rPr>
        <w:t xml:space="preserve"> של תובעי רשות המיסים, התגלעו</w:t>
      </w:r>
      <w:r w:rsidRPr="00020713">
        <w:rPr>
          <w:rtl/>
        </w:rPr>
        <w:t xml:space="preserve"> מחלוקות קשות בין </w:t>
      </w:r>
      <w:r w:rsidRPr="00020713">
        <w:rPr>
          <w:rFonts w:hint="cs"/>
          <w:rtl/>
        </w:rPr>
        <w:t>הפרקליטות ו</w:t>
      </w:r>
      <w:r>
        <w:rPr>
          <w:rFonts w:hint="cs"/>
          <w:rtl/>
        </w:rPr>
        <w:t>ה</w:t>
      </w:r>
      <w:r w:rsidRPr="00020713">
        <w:rPr>
          <w:rFonts w:hint="cs"/>
          <w:rtl/>
        </w:rPr>
        <w:t xml:space="preserve">רשות סביב </w:t>
      </w:r>
      <w:r w:rsidRPr="00AB2EB1">
        <w:rPr>
          <w:rFonts w:hint="cs"/>
          <w:rtl/>
        </w:rPr>
        <w:t>הקריטריוני</w:t>
      </w:r>
      <w:r w:rsidRPr="00AB2EB1">
        <w:rPr>
          <w:rFonts w:hint="eastAsia"/>
          <w:rtl/>
        </w:rPr>
        <w:t>ם</w:t>
      </w:r>
      <w:r w:rsidRPr="00AB2EB1">
        <w:rPr>
          <w:rFonts w:hint="cs"/>
          <w:rtl/>
        </w:rPr>
        <w:t xml:space="preserve"> </w:t>
      </w:r>
      <w:r>
        <w:rPr>
          <w:rFonts w:hint="cs"/>
          <w:rtl/>
        </w:rPr>
        <w:t>לחלוקת התיקים</w:t>
      </w:r>
      <w:r w:rsidRPr="00AB2EB1">
        <w:rPr>
          <w:rtl/>
        </w:rPr>
        <w:t>.</w:t>
      </w:r>
    </w:p>
    <w:p w14:paraId="483BE093" w14:textId="77777777" w:rsidR="00F368B6" w:rsidRDefault="00F368B6" w:rsidP="00FF0186">
      <w:pPr>
        <w:pStyle w:val="af1"/>
        <w:rPr>
          <w:rtl/>
        </w:rPr>
      </w:pPr>
      <w:r>
        <w:rPr>
          <w:rFonts w:hint="cs"/>
          <w:rtl/>
        </w:rPr>
        <w:t>מנתונים שמסרה רשות המיסים עולה כי בשנים 2016 עד 2018 היו בכל שנה בממוצע כ-360 תיקי צח</w:t>
      </w:r>
      <w:r>
        <w:rPr>
          <w:rtl/>
        </w:rPr>
        <w:t>"</w:t>
      </w:r>
      <w:r>
        <w:rPr>
          <w:rFonts w:hint="cs"/>
          <w:rtl/>
        </w:rPr>
        <w:t>ם (לרבות תיקי לוויין) פתוחים בהיקפים של עשרות מיליוני ש"ח שהסתיימה בהם החקירה וטרם התקבלה בהם החלטת תובע, באין הסכמה בין הגופים בדבר הגורם המטפל. עוד עולה כי יותר מ-70% מתיקים אלו ממתינים להחלטה יותר משלוש שנים.</w:t>
      </w:r>
    </w:p>
    <w:p w14:paraId="2FDB3593" w14:textId="77777777" w:rsidR="00F368B6" w:rsidRDefault="00F368B6" w:rsidP="00FF0186">
      <w:pPr>
        <w:pStyle w:val="100"/>
        <w:rPr>
          <w:rtl/>
        </w:rPr>
      </w:pPr>
      <w:r w:rsidRPr="00E02941">
        <w:rPr>
          <w:rFonts w:hint="cs"/>
          <w:rtl/>
        </w:rPr>
        <w:t xml:space="preserve">להלן בתרשים </w:t>
      </w:r>
      <w:r>
        <w:rPr>
          <w:rFonts w:hint="cs"/>
          <w:rtl/>
        </w:rPr>
        <w:t>8 נתונים כמותיים על תיקי הצח</w:t>
      </w:r>
      <w:r>
        <w:rPr>
          <w:rtl/>
        </w:rPr>
        <w:t>"</w:t>
      </w:r>
      <w:r>
        <w:rPr>
          <w:rFonts w:hint="cs"/>
          <w:rtl/>
        </w:rPr>
        <w:t>ם והלוויין שטופלו ביחידות המשפטיות ברשות המיסים בשנים 2016 - 2018.</w:t>
      </w:r>
    </w:p>
    <w:p w14:paraId="38B412A6" w14:textId="77777777" w:rsidR="00F368B6" w:rsidRPr="00FF0186" w:rsidRDefault="00F368B6" w:rsidP="00FF0186">
      <w:pPr>
        <w:pStyle w:val="a6"/>
        <w:rPr>
          <w:b/>
          <w:bCs/>
          <w:rtl/>
        </w:rPr>
      </w:pPr>
      <w:r>
        <w:rPr>
          <w:rFonts w:hint="cs"/>
          <w:rtl/>
        </w:rPr>
        <w:t xml:space="preserve">תרשים 8: </w:t>
      </w:r>
      <w:r w:rsidRPr="00FF0186">
        <w:rPr>
          <w:rFonts w:hint="cs"/>
          <w:b/>
          <w:bCs/>
          <w:rtl/>
        </w:rPr>
        <w:t>נתונים כמותיים ארציים של תיקי הצח</w:t>
      </w:r>
      <w:r w:rsidRPr="00FF0186">
        <w:rPr>
          <w:b/>
          <w:bCs/>
          <w:rtl/>
        </w:rPr>
        <w:t>"</w:t>
      </w:r>
      <w:r w:rsidRPr="00FF0186">
        <w:rPr>
          <w:rFonts w:hint="cs"/>
          <w:b/>
          <w:bCs/>
          <w:rtl/>
        </w:rPr>
        <w:t>ם (לרבות תיקי לוויין) ביחידות המשפטיות ברשות המיסים, 2016 - 2018</w:t>
      </w:r>
    </w:p>
    <w:p w14:paraId="6F3C34C8" w14:textId="77777777" w:rsidR="00F368B6" w:rsidRPr="00020713" w:rsidRDefault="00F368B6" w:rsidP="00F368B6">
      <w:pPr>
        <w:spacing w:line="269" w:lineRule="auto"/>
        <w:rPr>
          <w:rFonts w:asciiTheme="minorBidi" w:hAnsiTheme="minorBidi"/>
          <w:sz w:val="24"/>
        </w:rPr>
      </w:pPr>
      <w:r>
        <w:rPr>
          <w:rFonts w:asciiTheme="minorBidi" w:hAnsiTheme="minorBidi"/>
          <w:sz w:val="24"/>
          <w:rtl/>
        </w:rPr>
        <w:t xml:space="preserve"> </w:t>
      </w:r>
      <w:r w:rsidRPr="00020713">
        <w:rPr>
          <w:noProof/>
          <w:rtl/>
        </w:rPr>
        <w:drawing>
          <wp:inline distT="0" distB="0" distL="0" distR="0" wp14:anchorId="01C65342" wp14:editId="3074B7C9">
            <wp:extent cx="5362575" cy="3045460"/>
            <wp:effectExtent l="0" t="0" r="9525" b="2540"/>
            <wp:docPr id="113604993" name="תרשים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C1CB9F" w14:textId="77777777" w:rsidR="00F368B6" w:rsidRPr="00FD36B7" w:rsidRDefault="00F368B6" w:rsidP="00FF0186">
      <w:pPr>
        <w:pStyle w:val="a8"/>
        <w:rPr>
          <w:rtl/>
        </w:rPr>
      </w:pPr>
      <w:r w:rsidRPr="00FD36B7">
        <w:rPr>
          <w:rFonts w:hint="cs"/>
          <w:rtl/>
        </w:rPr>
        <w:t>מקור: על</w:t>
      </w:r>
      <w:r w:rsidRPr="00FD36B7">
        <w:rPr>
          <w:rtl/>
        </w:rPr>
        <w:t xml:space="preserve"> </w:t>
      </w:r>
      <w:r w:rsidRPr="00FD36B7">
        <w:rPr>
          <w:rFonts w:hint="cs"/>
          <w:rtl/>
        </w:rPr>
        <w:t>פי</w:t>
      </w:r>
      <w:r w:rsidRPr="00FD36B7">
        <w:rPr>
          <w:rtl/>
        </w:rPr>
        <w:t xml:space="preserve"> </w:t>
      </w:r>
      <w:r w:rsidRPr="00FD36B7">
        <w:rPr>
          <w:rFonts w:hint="cs"/>
          <w:rtl/>
        </w:rPr>
        <w:t>נתוני</w:t>
      </w:r>
      <w:r w:rsidRPr="00FD36B7">
        <w:rPr>
          <w:rtl/>
        </w:rPr>
        <w:t xml:space="preserve"> </w:t>
      </w:r>
      <w:r w:rsidRPr="00FD36B7">
        <w:rPr>
          <w:rFonts w:hint="cs"/>
          <w:rtl/>
        </w:rPr>
        <w:t>רשות</w:t>
      </w:r>
      <w:r w:rsidRPr="00FD36B7">
        <w:rPr>
          <w:rtl/>
        </w:rPr>
        <w:t xml:space="preserve"> </w:t>
      </w:r>
      <w:r w:rsidRPr="00FD36B7">
        <w:rPr>
          <w:rFonts w:hint="cs"/>
          <w:rtl/>
        </w:rPr>
        <w:t>המיסים</w:t>
      </w:r>
      <w:r w:rsidRPr="00FD36B7">
        <w:rPr>
          <w:rtl/>
        </w:rPr>
        <w:t xml:space="preserve">, </w:t>
      </w:r>
      <w:r w:rsidRPr="00FD36B7">
        <w:rPr>
          <w:rFonts w:hint="cs"/>
          <w:rtl/>
        </w:rPr>
        <w:t>בעיבוד</w:t>
      </w:r>
      <w:r w:rsidRPr="00FD36B7">
        <w:rPr>
          <w:rtl/>
        </w:rPr>
        <w:t xml:space="preserve"> </w:t>
      </w:r>
      <w:r w:rsidRPr="00FD36B7">
        <w:rPr>
          <w:rFonts w:hint="cs"/>
          <w:rtl/>
        </w:rPr>
        <w:t>משרד</w:t>
      </w:r>
      <w:r w:rsidRPr="00FD36B7">
        <w:rPr>
          <w:rtl/>
        </w:rPr>
        <w:t xml:space="preserve"> </w:t>
      </w:r>
      <w:r w:rsidRPr="00FD36B7">
        <w:rPr>
          <w:rFonts w:hint="cs"/>
          <w:rtl/>
        </w:rPr>
        <w:t>מבקר</w:t>
      </w:r>
      <w:r w:rsidRPr="00FD36B7">
        <w:rPr>
          <w:rtl/>
        </w:rPr>
        <w:t xml:space="preserve"> </w:t>
      </w:r>
      <w:r w:rsidRPr="00FD36B7">
        <w:rPr>
          <w:rFonts w:hint="cs"/>
          <w:rtl/>
        </w:rPr>
        <w:t>המדינה.</w:t>
      </w:r>
    </w:p>
    <w:p w14:paraId="13211C46" w14:textId="77777777" w:rsidR="00FF0186" w:rsidRDefault="00FF0186" w:rsidP="00F368B6">
      <w:pPr>
        <w:spacing w:line="269" w:lineRule="auto"/>
        <w:rPr>
          <w:rFonts w:asciiTheme="minorBidi" w:hAnsiTheme="minorBidi"/>
          <w:sz w:val="24"/>
          <w:rtl/>
        </w:rPr>
      </w:pPr>
    </w:p>
    <w:p w14:paraId="59FD1EB3" w14:textId="29B45A65" w:rsidR="00F368B6" w:rsidRPr="00756233" w:rsidRDefault="00F368B6" w:rsidP="00FF0186">
      <w:pPr>
        <w:pStyle w:val="100"/>
        <w:rPr>
          <w:color w:val="FF0000"/>
          <w:rtl/>
        </w:rPr>
      </w:pPr>
      <w:r w:rsidRPr="00756233">
        <w:rPr>
          <w:rtl/>
        </w:rPr>
        <w:t>נמצא כי בשנים</w:t>
      </w:r>
      <w:r w:rsidR="00EC4B2D">
        <w:rPr>
          <w:rFonts w:hint="cs"/>
          <w:rtl/>
        </w:rPr>
        <w:t xml:space="preserve"> 2016 </w:t>
      </w:r>
      <w:r w:rsidR="00BE6D4B">
        <w:rPr>
          <w:rFonts w:hint="cs"/>
          <w:rtl/>
        </w:rPr>
        <w:t>-</w:t>
      </w:r>
      <w:r w:rsidR="00EC4B2D">
        <w:rPr>
          <w:rFonts w:hint="cs"/>
          <w:rtl/>
        </w:rPr>
        <w:t xml:space="preserve"> 2018 </w:t>
      </w:r>
      <w:r w:rsidRPr="00756233">
        <w:rPr>
          <w:rFonts w:hint="cs"/>
          <w:rtl/>
        </w:rPr>
        <w:t xml:space="preserve">היו </w:t>
      </w:r>
      <w:r>
        <w:rPr>
          <w:rFonts w:hint="cs"/>
          <w:rtl/>
        </w:rPr>
        <w:t>כ-360</w:t>
      </w:r>
      <w:r w:rsidRPr="00756233">
        <w:rPr>
          <w:rtl/>
        </w:rPr>
        <w:t xml:space="preserve"> תיקי</w:t>
      </w:r>
      <w:r>
        <w:rPr>
          <w:rFonts w:hint="cs"/>
          <w:rtl/>
        </w:rPr>
        <w:t>ם</w:t>
      </w:r>
      <w:r w:rsidRPr="00756233">
        <w:rPr>
          <w:rtl/>
        </w:rPr>
        <w:t xml:space="preserve"> </w:t>
      </w:r>
      <w:r w:rsidRPr="00756233">
        <w:rPr>
          <w:rFonts w:hint="cs"/>
          <w:rtl/>
        </w:rPr>
        <w:t>פתוחים</w:t>
      </w:r>
      <w:r>
        <w:rPr>
          <w:rFonts w:hint="cs"/>
          <w:rtl/>
        </w:rPr>
        <w:t xml:space="preserve"> בשנה בממוצע</w:t>
      </w:r>
      <w:r w:rsidRPr="00756233">
        <w:rPr>
          <w:rFonts w:hint="cs"/>
          <w:rtl/>
        </w:rPr>
        <w:t xml:space="preserve">, כלומר </w:t>
      </w:r>
      <w:r w:rsidRPr="00756233">
        <w:rPr>
          <w:rtl/>
        </w:rPr>
        <w:t>טרם התקבלה בהם החלטה אם להגיש כתב אישום או לסגור אותם בעילות שונות.</w:t>
      </w:r>
      <w:r w:rsidRPr="00756233">
        <w:rPr>
          <w:rFonts w:hint="cs"/>
          <w:rtl/>
        </w:rPr>
        <w:t xml:space="preserve"> </w:t>
      </w:r>
      <w:r w:rsidRPr="00756233">
        <w:rPr>
          <w:rtl/>
        </w:rPr>
        <w:t xml:space="preserve">יתר על כן, פילוח של אותם תיקים פתוחים מעלה כי </w:t>
      </w:r>
      <w:r w:rsidRPr="00756233">
        <w:rPr>
          <w:rFonts w:hint="eastAsia"/>
          <w:rtl/>
        </w:rPr>
        <w:t>מרבית</w:t>
      </w:r>
      <w:r w:rsidRPr="00756233">
        <w:rPr>
          <w:rtl/>
        </w:rPr>
        <w:t xml:space="preserve">ם ממתינים לטיפול </w:t>
      </w:r>
      <w:r w:rsidRPr="00756233">
        <w:rPr>
          <w:rFonts w:hint="cs"/>
          <w:rtl/>
        </w:rPr>
        <w:t>זה כמה</w:t>
      </w:r>
      <w:r w:rsidRPr="00756233">
        <w:rPr>
          <w:rtl/>
        </w:rPr>
        <w:t xml:space="preserve"> שנים. מ</w:t>
      </w:r>
      <w:r w:rsidRPr="00756233">
        <w:rPr>
          <w:rFonts w:hint="cs"/>
          <w:rtl/>
        </w:rPr>
        <w:t>בין</w:t>
      </w:r>
      <w:r w:rsidRPr="00756233">
        <w:rPr>
          <w:rtl/>
        </w:rPr>
        <w:t xml:space="preserve"> </w:t>
      </w:r>
      <w:r>
        <w:rPr>
          <w:rFonts w:hint="cs"/>
          <w:rtl/>
        </w:rPr>
        <w:t>356</w:t>
      </w:r>
      <w:r w:rsidRPr="00756233">
        <w:rPr>
          <w:rtl/>
        </w:rPr>
        <w:t xml:space="preserve"> תיקים פתוחים בשנת 2018</w:t>
      </w:r>
      <w:r w:rsidRPr="00756233">
        <w:rPr>
          <w:rFonts w:hint="cs"/>
          <w:rtl/>
        </w:rPr>
        <w:t>,</w:t>
      </w:r>
      <w:r w:rsidRPr="00756233">
        <w:rPr>
          <w:rtl/>
        </w:rPr>
        <w:t xml:space="preserve"> 72% (257 תיקים) נפתחו עוד לפני שנת 2016.</w:t>
      </w:r>
    </w:p>
    <w:p w14:paraId="480A3D67" w14:textId="77777777" w:rsidR="00F368B6" w:rsidRPr="00944334" w:rsidRDefault="00F368B6" w:rsidP="00FF0186">
      <w:pPr>
        <w:pStyle w:val="af1"/>
        <w:rPr>
          <w:color w:val="FF0000"/>
          <w:rtl/>
        </w:rPr>
      </w:pPr>
      <w:r w:rsidRPr="00944334">
        <w:rPr>
          <w:rFonts w:hint="eastAsia"/>
          <w:rtl/>
        </w:rPr>
        <w:t>בשנת</w:t>
      </w:r>
      <w:r w:rsidRPr="00944334">
        <w:rPr>
          <w:rtl/>
        </w:rPr>
        <w:t xml:space="preserve"> 2019 </w:t>
      </w:r>
      <w:r w:rsidRPr="00944334">
        <w:rPr>
          <w:rFonts w:hint="eastAsia"/>
          <w:rtl/>
        </w:rPr>
        <w:t>לא</w:t>
      </w:r>
      <w:r w:rsidRPr="00944334">
        <w:rPr>
          <w:rtl/>
        </w:rPr>
        <w:t xml:space="preserve"> </w:t>
      </w:r>
      <w:r w:rsidRPr="00944334">
        <w:rPr>
          <w:rFonts w:hint="eastAsia"/>
          <w:rtl/>
        </w:rPr>
        <w:t>הוקלו</w:t>
      </w:r>
      <w:r w:rsidRPr="00944334">
        <w:rPr>
          <w:rtl/>
        </w:rPr>
        <w:t xml:space="preserve"> </w:t>
      </w:r>
      <w:r w:rsidRPr="00944334">
        <w:rPr>
          <w:rFonts w:hint="eastAsia"/>
          <w:rtl/>
        </w:rPr>
        <w:t>העומסים</w:t>
      </w:r>
      <w:r w:rsidRPr="00944334">
        <w:rPr>
          <w:rFonts w:hint="cs"/>
          <w:rtl/>
        </w:rPr>
        <w:t>:</w:t>
      </w:r>
      <w:r w:rsidRPr="00944334">
        <w:rPr>
          <w:rtl/>
        </w:rPr>
        <w:t xml:space="preserve"> </w:t>
      </w:r>
      <w:r w:rsidRPr="00944334">
        <w:rPr>
          <w:rFonts w:hint="cs"/>
          <w:rtl/>
        </w:rPr>
        <w:t>נכון ל</w:t>
      </w:r>
      <w:r w:rsidRPr="00944334">
        <w:rPr>
          <w:rtl/>
        </w:rPr>
        <w:t xml:space="preserve">חודש </w:t>
      </w:r>
      <w:r w:rsidRPr="00944334">
        <w:rPr>
          <w:rFonts w:hint="eastAsia"/>
          <w:rtl/>
        </w:rPr>
        <w:t>יוני</w:t>
      </w:r>
      <w:r w:rsidRPr="00944334">
        <w:rPr>
          <w:rtl/>
        </w:rPr>
        <w:t xml:space="preserve"> </w:t>
      </w:r>
      <w:r w:rsidRPr="00944334">
        <w:rPr>
          <w:rFonts w:hint="eastAsia"/>
          <w:rtl/>
        </w:rPr>
        <w:t>היו</w:t>
      </w:r>
      <w:r w:rsidRPr="00944334">
        <w:rPr>
          <w:rtl/>
        </w:rPr>
        <w:t xml:space="preserve"> 326 </w:t>
      </w:r>
      <w:r w:rsidRPr="00944334">
        <w:rPr>
          <w:rFonts w:hint="eastAsia"/>
          <w:rtl/>
        </w:rPr>
        <w:t>תיקים</w:t>
      </w:r>
      <w:r w:rsidRPr="00944334">
        <w:rPr>
          <w:rtl/>
        </w:rPr>
        <w:t xml:space="preserve"> </w:t>
      </w:r>
      <w:r w:rsidRPr="00944334">
        <w:rPr>
          <w:rFonts w:hint="eastAsia"/>
          <w:rtl/>
        </w:rPr>
        <w:t>פתוחים</w:t>
      </w:r>
      <w:r w:rsidRPr="00944334">
        <w:rPr>
          <w:rtl/>
        </w:rPr>
        <w:t xml:space="preserve"> </w:t>
      </w:r>
      <w:r w:rsidRPr="00944334">
        <w:rPr>
          <w:rFonts w:hint="eastAsia"/>
          <w:rtl/>
        </w:rPr>
        <w:t>ו</w:t>
      </w:r>
      <w:r w:rsidRPr="00944334">
        <w:rPr>
          <w:rtl/>
        </w:rPr>
        <w:t xml:space="preserve">-13 </w:t>
      </w:r>
      <w:r w:rsidRPr="00944334">
        <w:rPr>
          <w:rFonts w:hint="eastAsia"/>
          <w:rtl/>
        </w:rPr>
        <w:t>תיקי</w:t>
      </w:r>
      <w:r w:rsidRPr="00944334">
        <w:rPr>
          <w:rtl/>
        </w:rPr>
        <w:t xml:space="preserve"> </w:t>
      </w:r>
      <w:r w:rsidRPr="00944334">
        <w:rPr>
          <w:rFonts w:hint="eastAsia"/>
          <w:rtl/>
        </w:rPr>
        <w:t>חקר</w:t>
      </w:r>
      <w:r w:rsidRPr="00944334">
        <w:rPr>
          <w:rtl/>
        </w:rPr>
        <w:t xml:space="preserve"> </w:t>
      </w:r>
      <w:r w:rsidRPr="00944334">
        <w:rPr>
          <w:rFonts w:hint="eastAsia"/>
          <w:rtl/>
        </w:rPr>
        <w:t>שנסגרו</w:t>
      </w:r>
      <w:r w:rsidRPr="00944334">
        <w:rPr>
          <w:rtl/>
        </w:rPr>
        <w:t xml:space="preserve"> </w:t>
      </w:r>
      <w:r w:rsidRPr="00944334">
        <w:rPr>
          <w:rFonts w:hint="eastAsia"/>
          <w:rtl/>
        </w:rPr>
        <w:t>בחוסר</w:t>
      </w:r>
      <w:r w:rsidRPr="00944334">
        <w:rPr>
          <w:rtl/>
        </w:rPr>
        <w:t xml:space="preserve"> </w:t>
      </w:r>
      <w:r w:rsidRPr="00944334">
        <w:rPr>
          <w:rFonts w:hint="eastAsia"/>
          <w:rtl/>
        </w:rPr>
        <w:t>ראיות</w:t>
      </w:r>
      <w:r w:rsidRPr="00944334">
        <w:rPr>
          <w:rtl/>
        </w:rPr>
        <w:t xml:space="preserve">, </w:t>
      </w:r>
      <w:r w:rsidRPr="00944334">
        <w:rPr>
          <w:rFonts w:hint="eastAsia"/>
          <w:rtl/>
        </w:rPr>
        <w:t>קנס</w:t>
      </w:r>
      <w:r w:rsidRPr="00944334">
        <w:rPr>
          <w:rtl/>
        </w:rPr>
        <w:t xml:space="preserve"> </w:t>
      </w:r>
      <w:r w:rsidRPr="00944334">
        <w:rPr>
          <w:rFonts w:hint="eastAsia"/>
          <w:rtl/>
        </w:rPr>
        <w:t>או</w:t>
      </w:r>
      <w:r w:rsidRPr="00944334">
        <w:rPr>
          <w:rtl/>
        </w:rPr>
        <w:t xml:space="preserve"> </w:t>
      </w:r>
      <w:r w:rsidRPr="00944334">
        <w:rPr>
          <w:rFonts w:hint="eastAsia"/>
          <w:rtl/>
        </w:rPr>
        <w:t>כופר</w:t>
      </w:r>
      <w:r w:rsidRPr="00944334">
        <w:rPr>
          <w:rtl/>
        </w:rPr>
        <w:t xml:space="preserve">, </w:t>
      </w:r>
      <w:r w:rsidRPr="00944334">
        <w:rPr>
          <w:rFonts w:hint="eastAsia"/>
          <w:rtl/>
        </w:rPr>
        <w:t>והוגשו</w:t>
      </w:r>
      <w:r w:rsidRPr="00944334">
        <w:rPr>
          <w:rtl/>
        </w:rPr>
        <w:t xml:space="preserve"> 14 </w:t>
      </w:r>
      <w:r w:rsidRPr="00944334">
        <w:rPr>
          <w:rFonts w:hint="eastAsia"/>
          <w:rtl/>
        </w:rPr>
        <w:t>כתבי</w:t>
      </w:r>
      <w:r w:rsidRPr="00944334">
        <w:rPr>
          <w:rtl/>
        </w:rPr>
        <w:t xml:space="preserve"> </w:t>
      </w:r>
      <w:r w:rsidRPr="00944334">
        <w:rPr>
          <w:rFonts w:hint="eastAsia"/>
          <w:rtl/>
        </w:rPr>
        <w:t>אישום</w:t>
      </w:r>
      <w:r w:rsidRPr="00944334">
        <w:rPr>
          <w:rtl/>
        </w:rPr>
        <w:t xml:space="preserve"> </w:t>
      </w:r>
      <w:r w:rsidRPr="00944334">
        <w:rPr>
          <w:rFonts w:hint="eastAsia"/>
          <w:rtl/>
        </w:rPr>
        <w:t>בלבד</w:t>
      </w:r>
      <w:r w:rsidRPr="00944334">
        <w:rPr>
          <w:rtl/>
        </w:rPr>
        <w:t>.</w:t>
      </w:r>
      <w:r w:rsidRPr="00944334">
        <w:rPr>
          <w:rFonts w:hint="cs"/>
          <w:color w:val="FF0000"/>
          <w:rtl/>
        </w:rPr>
        <w:t xml:space="preserve"> </w:t>
      </w:r>
    </w:p>
    <w:p w14:paraId="492F20AF" w14:textId="77777777" w:rsidR="00F368B6" w:rsidRDefault="00F368B6" w:rsidP="00C11896">
      <w:pPr>
        <w:pStyle w:val="af1"/>
        <w:rPr>
          <w:rtl/>
        </w:rPr>
      </w:pPr>
      <w:r w:rsidRPr="00020713">
        <w:rPr>
          <w:rtl/>
        </w:rPr>
        <w:lastRenderedPageBreak/>
        <w:t xml:space="preserve">היעדר </w:t>
      </w:r>
      <w:r>
        <w:rPr>
          <w:rFonts w:hint="cs"/>
          <w:rtl/>
        </w:rPr>
        <w:t xml:space="preserve">טיפול בתיקים </w:t>
      </w:r>
      <w:r w:rsidRPr="00020713">
        <w:rPr>
          <w:rtl/>
        </w:rPr>
        <w:t xml:space="preserve">מוביל לנזקים חמורים </w:t>
      </w:r>
      <w:r w:rsidRPr="00020713">
        <w:rPr>
          <w:rFonts w:hint="cs"/>
          <w:rtl/>
        </w:rPr>
        <w:t>ביותר ליכולת ההרתעה של גופי האכיפה</w:t>
      </w:r>
      <w:r>
        <w:rPr>
          <w:rFonts w:hint="cs"/>
          <w:rtl/>
        </w:rPr>
        <w:t>,</w:t>
      </w:r>
      <w:r w:rsidRPr="00020713">
        <w:rPr>
          <w:rFonts w:hint="cs"/>
          <w:rtl/>
        </w:rPr>
        <w:t xml:space="preserve"> כמו גם לפגיעה קשה ביותר בקופת המדינה. כפועל יוצא</w:t>
      </w:r>
      <w:r>
        <w:rPr>
          <w:rFonts w:hint="cs"/>
          <w:rtl/>
        </w:rPr>
        <w:t xml:space="preserve"> מכך</w:t>
      </w:r>
      <w:r w:rsidRPr="00020713">
        <w:rPr>
          <w:rFonts w:hint="cs"/>
          <w:rtl/>
        </w:rPr>
        <w:t xml:space="preserve"> </w:t>
      </w:r>
      <w:r>
        <w:rPr>
          <w:rFonts w:hint="cs"/>
          <w:rtl/>
        </w:rPr>
        <w:t xml:space="preserve">עבריינים המבצעים </w:t>
      </w:r>
      <w:r w:rsidRPr="00020713">
        <w:rPr>
          <w:rtl/>
        </w:rPr>
        <w:t>עבירות הנוגעות לחשבוניות פיקטיביות, בהיקפים של מאות מיליוני ש"ח</w:t>
      </w:r>
      <w:r>
        <w:rPr>
          <w:rFonts w:hint="cs"/>
          <w:rtl/>
        </w:rPr>
        <w:t>,</w:t>
      </w:r>
      <w:r w:rsidRPr="00020713">
        <w:rPr>
          <w:rtl/>
        </w:rPr>
        <w:t xml:space="preserve"> אינ</w:t>
      </w:r>
      <w:r>
        <w:rPr>
          <w:rFonts w:hint="cs"/>
          <w:rtl/>
        </w:rPr>
        <w:t>ם מובאים לדין.</w:t>
      </w:r>
    </w:p>
    <w:p w14:paraId="64E08544" w14:textId="77777777" w:rsidR="00F368B6" w:rsidRPr="00020713" w:rsidRDefault="00F368B6" w:rsidP="00C11896">
      <w:pPr>
        <w:pStyle w:val="100"/>
      </w:pPr>
      <w:r w:rsidRPr="00C11896">
        <w:rPr>
          <w:rStyle w:val="Heading7Char"/>
          <w:rFonts w:eastAsiaTheme="minorHAnsi" w:hint="eastAsia"/>
          <w:b/>
          <w:color w:val="004E6C"/>
          <w:spacing w:val="0"/>
          <w:rtl/>
        </w:rPr>
        <w:t>התניית</w:t>
      </w:r>
      <w:r w:rsidRPr="00C11896">
        <w:rPr>
          <w:rStyle w:val="Heading7Char"/>
          <w:rFonts w:eastAsiaTheme="minorHAnsi"/>
          <w:b/>
          <w:color w:val="004E6C"/>
          <w:spacing w:val="0"/>
          <w:rtl/>
        </w:rPr>
        <w:t xml:space="preserve"> פתיחת תיק </w:t>
      </w:r>
      <w:r w:rsidRPr="00C11896">
        <w:rPr>
          <w:rStyle w:val="Heading7Char"/>
          <w:rFonts w:eastAsiaTheme="minorHAnsi" w:hint="eastAsia"/>
          <w:b/>
          <w:color w:val="004E6C"/>
          <w:spacing w:val="0"/>
          <w:rtl/>
        </w:rPr>
        <w:t>צח</w:t>
      </w:r>
      <w:r w:rsidRPr="00C11896">
        <w:rPr>
          <w:rStyle w:val="Heading7Char"/>
          <w:rFonts w:eastAsiaTheme="minorHAnsi"/>
          <w:b/>
          <w:color w:val="004E6C"/>
          <w:spacing w:val="0"/>
          <w:rtl/>
        </w:rPr>
        <w:t>"</w:t>
      </w:r>
      <w:r w:rsidRPr="00C11896">
        <w:rPr>
          <w:rStyle w:val="Heading7Char"/>
          <w:rFonts w:eastAsiaTheme="minorHAnsi" w:hint="eastAsia"/>
          <w:b/>
          <w:color w:val="004E6C"/>
          <w:spacing w:val="0"/>
          <w:rtl/>
        </w:rPr>
        <w:t>ם</w:t>
      </w:r>
      <w:r w:rsidRPr="00C11896">
        <w:rPr>
          <w:rStyle w:val="Heading7Char"/>
          <w:rFonts w:eastAsiaTheme="minorHAnsi"/>
          <w:b/>
          <w:color w:val="004E6C"/>
          <w:spacing w:val="0"/>
          <w:rtl/>
        </w:rPr>
        <w:t xml:space="preserve"> בהקצאת פרקליט מלווה:</w:t>
      </w:r>
      <w:r>
        <w:rPr>
          <w:rFonts w:hint="cs"/>
          <w:rtl/>
        </w:rPr>
        <w:t xml:space="preserve"> לנוכח העומס הכבד ב</w:t>
      </w:r>
      <w:r w:rsidRPr="00020713">
        <w:rPr>
          <w:rtl/>
        </w:rPr>
        <w:t xml:space="preserve">מחלקות המשפטיות ברשות המיסים, וכדי למנוע הרתעה שלילית, </w:t>
      </w:r>
      <w:r>
        <w:rPr>
          <w:rFonts w:hint="cs"/>
          <w:rtl/>
        </w:rPr>
        <w:t>הנחה מנהל הרשות במחצית השנייה של שנת 2017 את</w:t>
      </w:r>
      <w:r w:rsidRPr="00020713">
        <w:rPr>
          <w:rtl/>
        </w:rPr>
        <w:t xml:space="preserve"> סמנכ"ל בכיר לחקירות ומודיעין ברשות </w:t>
      </w:r>
      <w:r>
        <w:rPr>
          <w:rFonts w:hint="cs"/>
          <w:rtl/>
        </w:rPr>
        <w:t>לאשר חקירת</w:t>
      </w:r>
      <w:r w:rsidRPr="00020713">
        <w:rPr>
          <w:rtl/>
        </w:rPr>
        <w:t xml:space="preserve"> תיקי הלבנת הון</w:t>
      </w:r>
      <w:r>
        <w:rPr>
          <w:rFonts w:hint="cs"/>
          <w:rtl/>
        </w:rPr>
        <w:t xml:space="preserve"> </w:t>
      </w:r>
      <w:r w:rsidRPr="00020713">
        <w:rPr>
          <w:rtl/>
        </w:rPr>
        <w:t xml:space="preserve">אך ורק </w:t>
      </w:r>
      <w:r>
        <w:rPr>
          <w:rFonts w:hint="cs"/>
          <w:rtl/>
        </w:rPr>
        <w:t>אם יוקצה לצוות החקירה פרקליט מלווה. הנימוקים לצורך בייעוץ משפטי צמוד</w:t>
      </w:r>
      <w:r w:rsidRPr="00020713">
        <w:rPr>
          <w:rtl/>
        </w:rPr>
        <w:t xml:space="preserve"> </w:t>
      </w:r>
      <w:r>
        <w:rPr>
          <w:rFonts w:hint="cs"/>
          <w:rtl/>
        </w:rPr>
        <w:t>היו:</w:t>
      </w:r>
      <w:r w:rsidRPr="00020713">
        <w:rPr>
          <w:rtl/>
        </w:rPr>
        <w:t xml:space="preserve"> המורכבות והאינטנסיביות של ניהול תיק </w:t>
      </w:r>
      <w:r>
        <w:rPr>
          <w:rtl/>
        </w:rPr>
        <w:t>צח"ם</w:t>
      </w:r>
      <w:r w:rsidRPr="00020713">
        <w:rPr>
          <w:rtl/>
        </w:rPr>
        <w:t>; היקף חומר החקירה</w:t>
      </w:r>
      <w:r>
        <w:rPr>
          <w:rFonts w:hint="cs"/>
          <w:rtl/>
        </w:rPr>
        <w:t>,</w:t>
      </w:r>
      <w:r w:rsidRPr="00020713">
        <w:rPr>
          <w:rtl/>
        </w:rPr>
        <w:t xml:space="preserve"> </w:t>
      </w:r>
      <w:r>
        <w:rPr>
          <w:rFonts w:hint="cs"/>
          <w:rtl/>
        </w:rPr>
        <w:t>ש</w:t>
      </w:r>
      <w:r w:rsidRPr="00020713">
        <w:rPr>
          <w:rtl/>
        </w:rPr>
        <w:t>א</w:t>
      </w:r>
      <w:r>
        <w:rPr>
          <w:rFonts w:hint="cs"/>
          <w:rtl/>
        </w:rPr>
        <w:t>ינו</w:t>
      </w:r>
      <w:r w:rsidRPr="00020713">
        <w:rPr>
          <w:rtl/>
        </w:rPr>
        <w:t xml:space="preserve"> מאפשר לימוד של התיק בדיעבד; </w:t>
      </w:r>
      <w:r>
        <w:rPr>
          <w:rFonts w:hint="cs"/>
          <w:rtl/>
        </w:rPr>
        <w:t>מניעת</w:t>
      </w:r>
      <w:r w:rsidRPr="00020713">
        <w:rPr>
          <w:rtl/>
        </w:rPr>
        <w:t xml:space="preserve"> הצורך בהשלמות חקירה וייע</w:t>
      </w:r>
      <w:r>
        <w:rPr>
          <w:rFonts w:hint="cs"/>
          <w:rtl/>
        </w:rPr>
        <w:t>ו</w:t>
      </w:r>
      <w:r w:rsidRPr="00020713">
        <w:rPr>
          <w:rtl/>
        </w:rPr>
        <w:t xml:space="preserve">ל זמן ניהול התיק; </w:t>
      </w:r>
      <w:r>
        <w:rPr>
          <w:rFonts w:hint="cs"/>
          <w:rtl/>
        </w:rPr>
        <w:t>והעובדה ש</w:t>
      </w:r>
      <w:r w:rsidRPr="00020713">
        <w:rPr>
          <w:rtl/>
        </w:rPr>
        <w:t xml:space="preserve">חלק גדול מהתיקים מתנהל כשהחשודים המרכזיים נעצרים עד תום ההליכים נגדם, </w:t>
      </w:r>
      <w:r>
        <w:rPr>
          <w:rFonts w:hint="cs"/>
          <w:rtl/>
        </w:rPr>
        <w:t>ולכן נדרשת</w:t>
      </w:r>
      <w:r w:rsidRPr="00020713">
        <w:rPr>
          <w:rtl/>
        </w:rPr>
        <w:t xml:space="preserve"> הגשת כתב אישום בפרק זמן קצ</w:t>
      </w:r>
      <w:r w:rsidRPr="00020713">
        <w:rPr>
          <w:rFonts w:hint="cs"/>
          <w:rtl/>
        </w:rPr>
        <w:t>ר.</w:t>
      </w:r>
      <w:r>
        <w:rPr>
          <w:rtl/>
        </w:rPr>
        <w:t xml:space="preserve"> </w:t>
      </w:r>
    </w:p>
    <w:p w14:paraId="11921CDC" w14:textId="77777777" w:rsidR="00F368B6" w:rsidRPr="007C0F53" w:rsidRDefault="00F368B6" w:rsidP="00160DD0">
      <w:pPr>
        <w:pStyle w:val="af1"/>
        <w:rPr>
          <w:rFonts w:eastAsia="Calibri"/>
          <w:noProof/>
          <w:rtl/>
        </w:rPr>
      </w:pPr>
      <w:r>
        <w:rPr>
          <w:rFonts w:asciiTheme="minorBidi" w:hAnsiTheme="minorBidi" w:hint="cs"/>
          <w:rtl/>
        </w:rPr>
        <w:t>ב</w:t>
      </w:r>
      <w:r w:rsidRPr="007C0F53">
        <w:rPr>
          <w:rFonts w:asciiTheme="minorBidi" w:hAnsiTheme="minorBidi" w:hint="cs"/>
          <w:rtl/>
        </w:rPr>
        <w:t xml:space="preserve">ביקורת </w:t>
      </w:r>
      <w:r>
        <w:rPr>
          <w:rFonts w:asciiTheme="minorBidi" w:hAnsiTheme="minorBidi" w:hint="cs"/>
          <w:rtl/>
        </w:rPr>
        <w:t>עלה</w:t>
      </w:r>
      <w:r w:rsidRPr="007C0F53">
        <w:rPr>
          <w:rFonts w:asciiTheme="minorBidi" w:hAnsiTheme="minorBidi" w:hint="cs"/>
          <w:rtl/>
        </w:rPr>
        <w:t xml:space="preserve"> כי </w:t>
      </w:r>
      <w:r w:rsidRPr="007C0F53">
        <w:rPr>
          <w:rFonts w:eastAsia="Calibri"/>
          <w:noProof/>
          <w:rtl/>
        </w:rPr>
        <w:t>הנחיי</w:t>
      </w:r>
      <w:r>
        <w:rPr>
          <w:rFonts w:eastAsia="Calibri" w:hint="cs"/>
          <w:noProof/>
          <w:rtl/>
        </w:rPr>
        <w:t>ה האמורה הובילה לכך</w:t>
      </w:r>
      <w:r w:rsidRPr="007C0F53">
        <w:rPr>
          <w:rFonts w:eastAsia="Calibri"/>
          <w:noProof/>
          <w:rtl/>
        </w:rPr>
        <w:t xml:space="preserve"> שגוף החקירות במע"</w:t>
      </w:r>
      <w:r>
        <w:rPr>
          <w:rFonts w:eastAsia="Calibri" w:hint="cs"/>
          <w:noProof/>
          <w:rtl/>
        </w:rPr>
        <w:t>ם</w:t>
      </w:r>
      <w:r w:rsidRPr="007C0F53">
        <w:rPr>
          <w:rFonts w:eastAsia="Calibri"/>
          <w:noProof/>
          <w:rtl/>
        </w:rPr>
        <w:t xml:space="preserve"> </w:t>
      </w:r>
      <w:r>
        <w:rPr>
          <w:rFonts w:eastAsia="Calibri" w:hint="cs"/>
          <w:noProof/>
          <w:rtl/>
        </w:rPr>
        <w:t>אינו</w:t>
      </w:r>
      <w:r w:rsidRPr="007C0F53">
        <w:rPr>
          <w:rFonts w:eastAsia="Calibri"/>
          <w:noProof/>
          <w:rtl/>
        </w:rPr>
        <w:t xml:space="preserve"> מתחיל </w:t>
      </w:r>
      <w:r>
        <w:rPr>
          <w:rFonts w:eastAsia="Calibri" w:hint="cs"/>
          <w:noProof/>
          <w:rtl/>
        </w:rPr>
        <w:t xml:space="preserve">לטפל בתיקי </w:t>
      </w:r>
      <w:r>
        <w:rPr>
          <w:rFonts w:eastAsia="Calibri"/>
          <w:noProof/>
          <w:rtl/>
        </w:rPr>
        <w:t>צח"ם</w:t>
      </w:r>
      <w:r w:rsidRPr="007C0F53">
        <w:rPr>
          <w:rFonts w:eastAsia="Calibri"/>
          <w:noProof/>
          <w:rtl/>
        </w:rPr>
        <w:t xml:space="preserve"> חדשים</w:t>
      </w:r>
      <w:r>
        <w:rPr>
          <w:rFonts w:eastAsia="Calibri" w:hint="cs"/>
          <w:noProof/>
          <w:rtl/>
        </w:rPr>
        <w:t>,</w:t>
      </w:r>
      <w:r w:rsidRPr="007C0F53">
        <w:rPr>
          <w:rFonts w:eastAsia="Calibri"/>
          <w:noProof/>
          <w:rtl/>
        </w:rPr>
        <w:t xml:space="preserve"> בהיעדר יכולת של הפרקליטות לספק פרקליט מלווה ולהבטיח טיפול בתיק והגשת כתב אישום. </w:t>
      </w:r>
      <w:r>
        <w:rPr>
          <w:rFonts w:eastAsia="Calibri" w:hint="cs"/>
          <w:noProof/>
          <w:rtl/>
        </w:rPr>
        <w:t>למצב זה השלכות על היבטי האכיפה וההרתעה.</w:t>
      </w:r>
    </w:p>
    <w:p w14:paraId="4F48836F" w14:textId="77777777" w:rsidR="00F368B6" w:rsidRPr="00020713" w:rsidRDefault="00F368B6" w:rsidP="00160DD0">
      <w:pPr>
        <w:pStyle w:val="100"/>
        <w:rPr>
          <w:rtl/>
        </w:rPr>
      </w:pPr>
      <w:r w:rsidRPr="00020713">
        <w:rPr>
          <w:rtl/>
        </w:rPr>
        <w:t>בדיון של צוות</w:t>
      </w:r>
      <w:r>
        <w:rPr>
          <w:rFonts w:hint="cs"/>
          <w:rtl/>
        </w:rPr>
        <w:t>-</w:t>
      </w:r>
      <w:r w:rsidRPr="00020713">
        <w:rPr>
          <w:rtl/>
        </w:rPr>
        <w:t xml:space="preserve">העל בראשות היועץ המשפטי לממשלה </w:t>
      </w:r>
      <w:r w:rsidRPr="00020713">
        <w:rPr>
          <w:rFonts w:hint="cs"/>
          <w:rtl/>
        </w:rPr>
        <w:t>ב</w:t>
      </w:r>
      <w:r>
        <w:rPr>
          <w:rFonts w:hint="cs"/>
          <w:rtl/>
        </w:rPr>
        <w:t>אפריל 2019</w:t>
      </w:r>
      <w:r w:rsidRPr="00B05F3F">
        <w:rPr>
          <w:vertAlign w:val="superscript"/>
        </w:rPr>
        <w:t xml:space="preserve"> </w:t>
      </w:r>
      <w:r w:rsidRPr="00020713">
        <w:rPr>
          <w:rtl/>
        </w:rPr>
        <w:t>הציגו מנהל רשות המיסים ופרקליט המדינה את עמדותיהם החלוקות בנוגע לזהות היחידה שתטפל בתיקי ה</w:t>
      </w:r>
      <w:r>
        <w:rPr>
          <w:rtl/>
        </w:rPr>
        <w:t>צח"ם</w:t>
      </w:r>
      <w:r w:rsidRPr="00020713">
        <w:rPr>
          <w:rtl/>
        </w:rPr>
        <w:t xml:space="preserve"> הנוגעים לעבירה של חשבוניות פיקטיביות. </w:t>
      </w:r>
      <w:r>
        <w:rPr>
          <w:rFonts w:hint="cs"/>
          <w:rtl/>
        </w:rPr>
        <w:t xml:space="preserve">באותו דיון </w:t>
      </w:r>
      <w:r w:rsidRPr="00020713">
        <w:rPr>
          <w:rtl/>
        </w:rPr>
        <w:t xml:space="preserve">סוכם כי יש להכין תוכנית </w:t>
      </w:r>
      <w:r>
        <w:rPr>
          <w:rFonts w:hint="cs"/>
          <w:rtl/>
        </w:rPr>
        <w:t>לחלוקת</w:t>
      </w:r>
      <w:r w:rsidRPr="00020713">
        <w:rPr>
          <w:rtl/>
        </w:rPr>
        <w:t xml:space="preserve"> התיקים והמשאבים בין שני הארגונים לפי העניין ובשים לב למומחיות של כל אחד מהם ולמשאבי</w:t>
      </w:r>
      <w:r>
        <w:rPr>
          <w:rFonts w:hint="cs"/>
          <w:rtl/>
        </w:rPr>
        <w:t>ו</w:t>
      </w:r>
      <w:r w:rsidRPr="00020713">
        <w:rPr>
          <w:rtl/>
        </w:rPr>
        <w:t>.</w:t>
      </w:r>
      <w:r>
        <w:rPr>
          <w:rtl/>
        </w:rPr>
        <w:t xml:space="preserve"> </w:t>
      </w:r>
      <w:r>
        <w:rPr>
          <w:rFonts w:hint="cs"/>
          <w:rtl/>
        </w:rPr>
        <w:t>נקבע ש</w:t>
      </w:r>
      <w:r w:rsidRPr="00020713">
        <w:rPr>
          <w:rtl/>
        </w:rPr>
        <w:t>המשנה ליועץ המשפטי לממשלה (משפט פלילי) תכין הצעה לחלוקה האמורה ותציג אותה בישיבה הבאה של צוות</w:t>
      </w:r>
      <w:r>
        <w:rPr>
          <w:rFonts w:hint="cs"/>
          <w:rtl/>
        </w:rPr>
        <w:t>-</w:t>
      </w:r>
      <w:r w:rsidRPr="00020713">
        <w:rPr>
          <w:rtl/>
        </w:rPr>
        <w:t>העל</w:t>
      </w:r>
      <w:r>
        <w:rPr>
          <w:rFonts w:hint="cs"/>
          <w:rtl/>
        </w:rPr>
        <w:t>.</w:t>
      </w:r>
    </w:p>
    <w:p w14:paraId="5CFEEB19" w14:textId="77777777" w:rsidR="00F368B6" w:rsidRDefault="00F368B6" w:rsidP="00160DD0">
      <w:pPr>
        <w:pStyle w:val="100"/>
        <w:rPr>
          <w:rtl/>
        </w:rPr>
      </w:pPr>
      <w:r>
        <w:rPr>
          <w:rFonts w:hint="cs"/>
          <w:rtl/>
        </w:rPr>
        <w:t>בהמשך לכך התקיים</w:t>
      </w:r>
      <w:r w:rsidRPr="00020713">
        <w:rPr>
          <w:rFonts w:hint="cs"/>
          <w:rtl/>
        </w:rPr>
        <w:t xml:space="preserve"> </w:t>
      </w:r>
      <w:r>
        <w:rPr>
          <w:rFonts w:hint="cs"/>
          <w:rtl/>
        </w:rPr>
        <w:t>ב</w:t>
      </w:r>
      <w:r w:rsidRPr="00020713">
        <w:rPr>
          <w:rtl/>
        </w:rPr>
        <w:t xml:space="preserve">יולי 2019 </w:t>
      </w:r>
      <w:r>
        <w:rPr>
          <w:rFonts w:hint="cs"/>
          <w:rtl/>
        </w:rPr>
        <w:t xml:space="preserve">דיון </w:t>
      </w:r>
      <w:r w:rsidRPr="00020713">
        <w:rPr>
          <w:rtl/>
        </w:rPr>
        <w:t xml:space="preserve">בהשתתפות נציגי שני הגופים, </w:t>
      </w:r>
      <w:r>
        <w:rPr>
          <w:rFonts w:hint="cs"/>
          <w:rtl/>
        </w:rPr>
        <w:t xml:space="preserve">ובו </w:t>
      </w:r>
      <w:r w:rsidRPr="00020713">
        <w:rPr>
          <w:rtl/>
        </w:rPr>
        <w:t xml:space="preserve">עלה כי </w:t>
      </w:r>
      <w:r>
        <w:rPr>
          <w:rFonts w:hint="cs"/>
          <w:rtl/>
        </w:rPr>
        <w:t>עיקר המחלוקות נוגעות לשאלת זהות הגורם המטפל, הן בסוגיות</w:t>
      </w:r>
      <w:r w:rsidRPr="00020713">
        <w:rPr>
          <w:rtl/>
        </w:rPr>
        <w:t xml:space="preserve"> מהותיות</w:t>
      </w:r>
      <w:r>
        <w:rPr>
          <w:rFonts w:hint="cs"/>
          <w:rtl/>
        </w:rPr>
        <w:t xml:space="preserve"> - למשל</w:t>
      </w:r>
      <w:r w:rsidRPr="00020713">
        <w:rPr>
          <w:rtl/>
        </w:rPr>
        <w:t xml:space="preserve"> בתיקים </w:t>
      </w:r>
      <w:r>
        <w:rPr>
          <w:rFonts w:hint="cs"/>
          <w:rtl/>
        </w:rPr>
        <w:t>ש</w:t>
      </w:r>
      <w:r w:rsidRPr="00020713">
        <w:rPr>
          <w:rtl/>
        </w:rPr>
        <w:t xml:space="preserve">מעורבים </w:t>
      </w:r>
      <w:r>
        <w:rPr>
          <w:rFonts w:hint="cs"/>
          <w:rtl/>
        </w:rPr>
        <w:t xml:space="preserve">בהם </w:t>
      </w:r>
      <w:r w:rsidRPr="00020713">
        <w:rPr>
          <w:rtl/>
        </w:rPr>
        <w:t xml:space="preserve">ארגוני פשיעה </w:t>
      </w:r>
      <w:r w:rsidRPr="00020713">
        <w:rPr>
          <w:rFonts w:hint="cs"/>
          <w:rtl/>
        </w:rPr>
        <w:t>ו</w:t>
      </w:r>
      <w:r w:rsidRPr="00020713">
        <w:rPr>
          <w:rtl/>
        </w:rPr>
        <w:t xml:space="preserve">בתיקי הלבנת הון </w:t>
      </w:r>
      <w:r>
        <w:rPr>
          <w:rFonts w:hint="cs"/>
          <w:rtl/>
        </w:rPr>
        <w:t>ששווי</w:t>
      </w:r>
      <w:r w:rsidRPr="00020713">
        <w:rPr>
          <w:rtl/>
        </w:rPr>
        <w:t xml:space="preserve"> </w:t>
      </w:r>
      <w:r>
        <w:rPr>
          <w:rFonts w:hint="cs"/>
          <w:rtl/>
        </w:rPr>
        <w:t>ה</w:t>
      </w:r>
      <w:r w:rsidRPr="006C023E">
        <w:rPr>
          <w:rtl/>
        </w:rPr>
        <w:t>תפוסים</w:t>
      </w:r>
      <w:r w:rsidRPr="00020713">
        <w:rPr>
          <w:rtl/>
        </w:rPr>
        <w:t xml:space="preserve"> </w:t>
      </w:r>
      <w:r>
        <w:rPr>
          <w:rFonts w:hint="cs"/>
          <w:rtl/>
        </w:rPr>
        <w:t>בהם גדול מ-</w:t>
      </w:r>
      <w:r w:rsidRPr="00020713">
        <w:rPr>
          <w:rtl/>
        </w:rPr>
        <w:t xml:space="preserve">5 מיליון </w:t>
      </w:r>
      <w:r>
        <w:rPr>
          <w:rFonts w:hint="cs"/>
          <w:rtl/>
        </w:rPr>
        <w:t>ש"ח,</w:t>
      </w:r>
      <w:r w:rsidRPr="00020713">
        <w:rPr>
          <w:rFonts w:hint="cs"/>
          <w:rtl/>
        </w:rPr>
        <w:t xml:space="preserve"> </w:t>
      </w:r>
      <w:r>
        <w:rPr>
          <w:rFonts w:hint="cs"/>
          <w:rtl/>
        </w:rPr>
        <w:t>והן</w:t>
      </w:r>
      <w:r w:rsidRPr="00020713">
        <w:rPr>
          <w:rFonts w:hint="cs"/>
          <w:rtl/>
        </w:rPr>
        <w:t xml:space="preserve"> </w:t>
      </w:r>
      <w:r>
        <w:rPr>
          <w:rFonts w:hint="cs"/>
          <w:rtl/>
        </w:rPr>
        <w:t xml:space="preserve">לגבי </w:t>
      </w:r>
      <w:r w:rsidRPr="00020713">
        <w:rPr>
          <w:rtl/>
        </w:rPr>
        <w:t>תיקים מורכבים ותקדימיים</w:t>
      </w:r>
      <w:r w:rsidRPr="00020713">
        <w:rPr>
          <w:rFonts w:hint="cs"/>
          <w:rtl/>
        </w:rPr>
        <w:t>.</w:t>
      </w:r>
      <w:r w:rsidRPr="0064165C">
        <w:rPr>
          <w:rFonts w:hint="cs"/>
          <w:rtl/>
        </w:rPr>
        <w:t xml:space="preserve"> </w:t>
      </w:r>
      <w:r>
        <w:rPr>
          <w:rFonts w:hint="cs"/>
          <w:rtl/>
        </w:rPr>
        <w:t>נקבע</w:t>
      </w:r>
      <w:r w:rsidRPr="00020713">
        <w:rPr>
          <w:rtl/>
        </w:rPr>
        <w:t xml:space="preserve"> כי היועץ המשפטי לממשלה יתבקש להכריע במחלוקות</w:t>
      </w:r>
      <w:r>
        <w:rPr>
          <w:rFonts w:hint="cs"/>
          <w:rtl/>
        </w:rPr>
        <w:t>.</w:t>
      </w:r>
    </w:p>
    <w:p w14:paraId="75839259" w14:textId="77777777" w:rsidR="00F368B6" w:rsidRPr="00772812" w:rsidRDefault="00F368B6" w:rsidP="00160DD0">
      <w:pPr>
        <w:pStyle w:val="af1"/>
        <w:rPr>
          <w:rtl/>
        </w:rPr>
      </w:pPr>
      <w:r w:rsidRPr="00772812">
        <w:rPr>
          <w:rFonts w:hint="eastAsia"/>
          <w:rtl/>
        </w:rPr>
        <w:t>נכון</w:t>
      </w:r>
      <w:r w:rsidRPr="00772812">
        <w:rPr>
          <w:rtl/>
        </w:rPr>
        <w:t xml:space="preserve"> </w:t>
      </w:r>
      <w:r w:rsidRPr="00772812">
        <w:rPr>
          <w:rFonts w:hint="eastAsia"/>
          <w:rtl/>
        </w:rPr>
        <w:t>למועד</w:t>
      </w:r>
      <w:r w:rsidRPr="00772812">
        <w:rPr>
          <w:rtl/>
        </w:rPr>
        <w:t xml:space="preserve"> סיום הביקורת טרם </w:t>
      </w:r>
      <w:r w:rsidRPr="00772812">
        <w:rPr>
          <w:rFonts w:hint="eastAsia"/>
          <w:rtl/>
        </w:rPr>
        <w:t>הוכרעה</w:t>
      </w:r>
      <w:r w:rsidRPr="00772812">
        <w:rPr>
          <w:rtl/>
        </w:rPr>
        <w:t xml:space="preserve"> המחלוקת בין </w:t>
      </w:r>
      <w:r w:rsidRPr="00772812">
        <w:rPr>
          <w:rFonts w:hint="eastAsia"/>
          <w:rtl/>
        </w:rPr>
        <w:t>הגופים</w:t>
      </w:r>
      <w:r>
        <w:rPr>
          <w:rFonts w:hint="cs"/>
          <w:rtl/>
        </w:rPr>
        <w:t>,</w:t>
      </w:r>
      <w:r w:rsidRPr="00772812">
        <w:rPr>
          <w:rtl/>
        </w:rPr>
        <w:t xml:space="preserve"> ובמצב דברים זה המחדל נותר בעינו.</w:t>
      </w:r>
      <w:r>
        <w:rPr>
          <w:rFonts w:hint="cs"/>
          <w:rtl/>
        </w:rPr>
        <w:t xml:space="preserve"> </w:t>
      </w:r>
      <w:r w:rsidRPr="00020713">
        <w:rPr>
          <w:rFonts w:hint="cs"/>
          <w:rtl/>
        </w:rPr>
        <w:t>משרד מבקר המדינה מעיר לצוות</w:t>
      </w:r>
      <w:r>
        <w:rPr>
          <w:rFonts w:hint="cs"/>
          <w:rtl/>
        </w:rPr>
        <w:t>-</w:t>
      </w:r>
      <w:r w:rsidRPr="00020713">
        <w:rPr>
          <w:rFonts w:hint="cs"/>
          <w:rtl/>
        </w:rPr>
        <w:t>העל, לפרקליטות ולרשות המיסים כי עליהם להסדיר את חלוקת העבודה בנוגע לתיקי צח"</w:t>
      </w:r>
      <w:r>
        <w:rPr>
          <w:rFonts w:hint="cs"/>
          <w:rtl/>
        </w:rPr>
        <w:t>ם</w:t>
      </w:r>
      <w:r w:rsidRPr="00020713">
        <w:rPr>
          <w:rFonts w:hint="cs"/>
          <w:rtl/>
        </w:rPr>
        <w:t xml:space="preserve"> בעבירות </w:t>
      </w:r>
      <w:r w:rsidRPr="00A138ED">
        <w:rPr>
          <w:rFonts w:hint="cs"/>
          <w:rtl/>
        </w:rPr>
        <w:t xml:space="preserve">לפי </w:t>
      </w:r>
      <w:r w:rsidRPr="00A138ED">
        <w:rPr>
          <w:rFonts w:hint="eastAsia"/>
          <w:rtl/>
        </w:rPr>
        <w:t>חוק</w:t>
      </w:r>
      <w:r w:rsidRPr="00A138ED">
        <w:rPr>
          <w:rtl/>
        </w:rPr>
        <w:t xml:space="preserve"> </w:t>
      </w:r>
      <w:r w:rsidRPr="00A138ED">
        <w:rPr>
          <w:rFonts w:hint="eastAsia"/>
          <w:rtl/>
        </w:rPr>
        <w:t>המע</w:t>
      </w:r>
      <w:r w:rsidRPr="00A138ED">
        <w:rPr>
          <w:rtl/>
        </w:rPr>
        <w:t>"</w:t>
      </w:r>
      <w:r>
        <w:rPr>
          <w:rFonts w:hint="cs"/>
          <w:rtl/>
        </w:rPr>
        <w:t>ם</w:t>
      </w:r>
      <w:r w:rsidRPr="00A138ED">
        <w:rPr>
          <w:rFonts w:hint="cs"/>
          <w:rtl/>
        </w:rPr>
        <w:t>.</w:t>
      </w:r>
    </w:p>
    <w:p w14:paraId="3199B900" w14:textId="51EAEC14" w:rsidR="00F368B6" w:rsidRDefault="00F368B6" w:rsidP="00160DD0">
      <w:pPr>
        <w:pStyle w:val="100"/>
        <w:rPr>
          <w:rtl/>
        </w:rPr>
      </w:pPr>
      <w:r w:rsidRPr="00160DD0">
        <w:rPr>
          <w:rStyle w:val="Heading7Char"/>
          <w:rFonts w:eastAsiaTheme="minorHAnsi"/>
          <w:b/>
          <w:color w:val="004E6C"/>
          <w:spacing w:val="0"/>
          <w:rtl/>
        </w:rPr>
        <w:t>ה</w:t>
      </w:r>
      <w:r w:rsidRPr="00160DD0">
        <w:rPr>
          <w:rStyle w:val="Heading7Char"/>
          <w:rFonts w:eastAsiaTheme="minorHAnsi" w:hint="cs"/>
          <w:b/>
          <w:color w:val="004E6C"/>
          <w:spacing w:val="0"/>
          <w:rtl/>
        </w:rPr>
        <w:t>י</w:t>
      </w:r>
      <w:r w:rsidRPr="00160DD0">
        <w:rPr>
          <w:rStyle w:val="Heading7Char"/>
          <w:rFonts w:eastAsiaTheme="minorHAnsi"/>
          <w:b/>
          <w:color w:val="004E6C"/>
          <w:spacing w:val="0"/>
          <w:rtl/>
        </w:rPr>
        <w:t xml:space="preserve">עדר טיפול </w:t>
      </w:r>
      <w:r w:rsidRPr="00160DD0">
        <w:rPr>
          <w:rStyle w:val="Heading7Char"/>
          <w:rFonts w:eastAsiaTheme="minorHAnsi" w:hint="eastAsia"/>
          <w:b/>
          <w:color w:val="004E6C"/>
          <w:spacing w:val="0"/>
          <w:rtl/>
        </w:rPr>
        <w:t>ב</w:t>
      </w:r>
      <w:r w:rsidRPr="00160DD0">
        <w:rPr>
          <w:rStyle w:val="Heading7Char"/>
          <w:rFonts w:eastAsiaTheme="minorHAnsi"/>
          <w:b/>
          <w:color w:val="004E6C"/>
          <w:spacing w:val="0"/>
          <w:rtl/>
        </w:rPr>
        <w:t>תיקי לווי</w:t>
      </w:r>
      <w:r w:rsidRPr="00160DD0">
        <w:rPr>
          <w:rStyle w:val="Heading7Char"/>
          <w:rFonts w:eastAsiaTheme="minorHAnsi" w:hint="cs"/>
          <w:b/>
          <w:color w:val="004E6C"/>
          <w:spacing w:val="0"/>
          <w:rtl/>
        </w:rPr>
        <w:t>י</w:t>
      </w:r>
      <w:r w:rsidRPr="00160DD0">
        <w:rPr>
          <w:rStyle w:val="Heading7Char"/>
          <w:rFonts w:eastAsiaTheme="minorHAnsi"/>
          <w:b/>
          <w:color w:val="004E6C"/>
          <w:spacing w:val="0"/>
          <w:rtl/>
        </w:rPr>
        <w:t>ן:</w:t>
      </w:r>
      <w:r w:rsidRPr="001D4A4C">
        <w:rPr>
          <w:rStyle w:val="Heading5Char"/>
          <w:rtl/>
        </w:rPr>
        <w:t xml:space="preserve"> </w:t>
      </w:r>
      <w:r w:rsidRPr="001D4A4C">
        <w:rPr>
          <w:rFonts w:hint="eastAsia"/>
          <w:rtl/>
        </w:rPr>
        <w:t>מחלוקת</w:t>
      </w:r>
      <w:r w:rsidRPr="001D4A4C">
        <w:rPr>
          <w:rtl/>
        </w:rPr>
        <w:t xml:space="preserve"> </w:t>
      </w:r>
      <w:r w:rsidRPr="001D4A4C">
        <w:rPr>
          <w:rFonts w:hint="eastAsia"/>
          <w:rtl/>
        </w:rPr>
        <w:t>נוספת</w:t>
      </w:r>
      <w:r w:rsidRPr="001D4A4C">
        <w:rPr>
          <w:rtl/>
        </w:rPr>
        <w:t xml:space="preserve"> </w:t>
      </w:r>
      <w:r w:rsidRPr="001D4A4C">
        <w:rPr>
          <w:rFonts w:hint="eastAsia"/>
          <w:rtl/>
        </w:rPr>
        <w:t>שעל</w:t>
      </w:r>
      <w:r w:rsidRPr="001D4A4C">
        <w:rPr>
          <w:rtl/>
        </w:rPr>
        <w:t xml:space="preserve"> </w:t>
      </w:r>
      <w:r w:rsidRPr="001D4A4C">
        <w:rPr>
          <w:rFonts w:hint="eastAsia"/>
          <w:rtl/>
        </w:rPr>
        <w:t>הפרקליטות</w:t>
      </w:r>
      <w:r w:rsidRPr="001D4A4C">
        <w:rPr>
          <w:rtl/>
        </w:rPr>
        <w:t xml:space="preserve"> </w:t>
      </w:r>
      <w:r w:rsidRPr="001D4A4C">
        <w:rPr>
          <w:rFonts w:hint="eastAsia"/>
          <w:rtl/>
        </w:rPr>
        <w:t>ורשות</w:t>
      </w:r>
      <w:r w:rsidRPr="001D4A4C">
        <w:rPr>
          <w:rtl/>
        </w:rPr>
        <w:t xml:space="preserve"> </w:t>
      </w:r>
      <w:r w:rsidRPr="001D4A4C">
        <w:rPr>
          <w:rFonts w:hint="eastAsia"/>
          <w:rtl/>
        </w:rPr>
        <w:t>המיסים</w:t>
      </w:r>
      <w:r w:rsidRPr="00020713">
        <w:rPr>
          <w:rFonts w:hint="cs"/>
          <w:rtl/>
        </w:rPr>
        <w:t xml:space="preserve"> ל</w:t>
      </w:r>
      <w:r>
        <w:rPr>
          <w:rFonts w:hint="cs"/>
          <w:rtl/>
        </w:rPr>
        <w:t>יישב</w:t>
      </w:r>
      <w:r w:rsidRPr="00020713">
        <w:rPr>
          <w:rFonts w:hint="cs"/>
          <w:rtl/>
        </w:rPr>
        <w:t xml:space="preserve"> נוגעת לטיפול בתיקי החקירה המכונים "תיקי לווי</w:t>
      </w:r>
      <w:r>
        <w:rPr>
          <w:rFonts w:hint="cs"/>
          <w:rtl/>
        </w:rPr>
        <w:t>י</w:t>
      </w:r>
      <w:r w:rsidRPr="00020713">
        <w:rPr>
          <w:rFonts w:hint="cs"/>
          <w:rtl/>
        </w:rPr>
        <w:t>ן</w:t>
      </w:r>
      <w:r>
        <w:rPr>
          <w:rFonts w:hint="cs"/>
          <w:rtl/>
        </w:rPr>
        <w:t xml:space="preserve">". </w:t>
      </w:r>
      <w:r w:rsidRPr="00020713">
        <w:rPr>
          <w:rtl/>
        </w:rPr>
        <w:t>בשל מגבלות הזמן וכוח האדם במחלקה המשפטית</w:t>
      </w:r>
      <w:r>
        <w:rPr>
          <w:rFonts w:hint="cs"/>
          <w:rtl/>
        </w:rPr>
        <w:t xml:space="preserve"> ברשות המיסים</w:t>
      </w:r>
      <w:r w:rsidRPr="00020713">
        <w:rPr>
          <w:rFonts w:hint="cs"/>
          <w:rtl/>
        </w:rPr>
        <w:t xml:space="preserve"> ובפרקליטות</w:t>
      </w:r>
      <w:r w:rsidRPr="00020713">
        <w:rPr>
          <w:rtl/>
        </w:rPr>
        <w:t>, לא ניתן מענה אפקטיבי ויעיל לתיקי חקירה</w:t>
      </w:r>
      <w:r>
        <w:rPr>
          <w:rFonts w:hint="cs"/>
          <w:rtl/>
        </w:rPr>
        <w:t xml:space="preserve"> שנפתחו למי</w:t>
      </w:r>
      <w:r w:rsidRPr="00020713">
        <w:rPr>
          <w:rtl/>
        </w:rPr>
        <w:t xml:space="preserve"> </w:t>
      </w:r>
      <w:r>
        <w:rPr>
          <w:rFonts w:hint="cs"/>
          <w:rtl/>
        </w:rPr>
        <w:t xml:space="preserve">שחומרת עבירתם פחותה, </w:t>
      </w:r>
      <w:r w:rsidRPr="00020713">
        <w:rPr>
          <w:rtl/>
        </w:rPr>
        <w:t>אך היו חלק מהעשייה העבריינית ואף נהנו מפירותיה</w:t>
      </w:r>
      <w:r>
        <w:rPr>
          <w:rFonts w:hint="cs"/>
          <w:rtl/>
        </w:rPr>
        <w:t xml:space="preserve">. מנתוני המחלקה המשפטית במע"ם לשנים </w:t>
      </w:r>
      <w:r w:rsidR="00085FFB">
        <w:rPr>
          <w:rFonts w:hint="cs"/>
          <w:rtl/>
        </w:rPr>
        <w:t xml:space="preserve">2016 </w:t>
      </w:r>
      <w:r>
        <w:rPr>
          <w:rFonts w:hint="cs"/>
          <w:rtl/>
        </w:rPr>
        <w:t>-</w:t>
      </w:r>
      <w:r w:rsidR="00085FFB">
        <w:rPr>
          <w:rFonts w:hint="cs"/>
          <w:rtl/>
        </w:rPr>
        <w:t xml:space="preserve"> 2018</w:t>
      </w:r>
      <w:r>
        <w:rPr>
          <w:rFonts w:hint="cs"/>
          <w:rtl/>
        </w:rPr>
        <w:t xml:space="preserve"> עולה שמדובר בכ-300 תיקים.</w:t>
      </w:r>
    </w:p>
    <w:p w14:paraId="4BD6D0FA" w14:textId="77777777" w:rsidR="00F368B6" w:rsidRDefault="00F368B6" w:rsidP="00160DD0">
      <w:pPr>
        <w:pStyle w:val="af1"/>
        <w:rPr>
          <w:rtl/>
        </w:rPr>
      </w:pPr>
      <w:r>
        <w:rPr>
          <w:rFonts w:hint="cs"/>
          <w:rtl/>
        </w:rPr>
        <w:lastRenderedPageBreak/>
        <w:t>רשות המיסים והפרקליטות</w:t>
      </w:r>
      <w:r w:rsidRPr="00FF1CF5">
        <w:rPr>
          <w:rtl/>
        </w:rPr>
        <w:t xml:space="preserve"> מתקש</w:t>
      </w:r>
      <w:r>
        <w:rPr>
          <w:rFonts w:hint="cs"/>
          <w:rtl/>
        </w:rPr>
        <w:t xml:space="preserve">ות </w:t>
      </w:r>
      <w:r w:rsidRPr="00FF1CF5">
        <w:rPr>
          <w:rtl/>
        </w:rPr>
        <w:t xml:space="preserve">להקצות </w:t>
      </w:r>
      <w:r w:rsidRPr="00FF1CF5">
        <w:rPr>
          <w:rFonts w:hint="eastAsia"/>
          <w:rtl/>
        </w:rPr>
        <w:t>כ</w:t>
      </w:r>
      <w:r>
        <w:rPr>
          <w:rFonts w:hint="cs"/>
          <w:rtl/>
        </w:rPr>
        <w:t>ו</w:t>
      </w:r>
      <w:r w:rsidRPr="00FF1CF5">
        <w:rPr>
          <w:rFonts w:hint="eastAsia"/>
          <w:rtl/>
        </w:rPr>
        <w:t>ח</w:t>
      </w:r>
      <w:r w:rsidRPr="00FF1CF5">
        <w:rPr>
          <w:rtl/>
        </w:rPr>
        <w:t xml:space="preserve"> אדם לטיפול בתיקי הלוו</w:t>
      </w:r>
      <w:r>
        <w:rPr>
          <w:rFonts w:hint="cs"/>
          <w:rtl/>
        </w:rPr>
        <w:t>י</w:t>
      </w:r>
      <w:r w:rsidRPr="00FF1CF5">
        <w:rPr>
          <w:rtl/>
        </w:rPr>
        <w:t>ין. לעמדת רשות המיסים</w:t>
      </w:r>
      <w:r>
        <w:rPr>
          <w:rFonts w:hint="cs"/>
          <w:rtl/>
        </w:rPr>
        <w:t>,</w:t>
      </w:r>
      <w:r w:rsidRPr="00FF1CF5">
        <w:rPr>
          <w:rtl/>
        </w:rPr>
        <w:t xml:space="preserve"> לתובעים מטעמם אין </w:t>
      </w:r>
      <w:r>
        <w:rPr>
          <w:rFonts w:hint="cs"/>
          <w:rtl/>
        </w:rPr>
        <w:t>אפשרות</w:t>
      </w:r>
      <w:r w:rsidRPr="00FF1CF5">
        <w:rPr>
          <w:rtl/>
        </w:rPr>
        <w:t xml:space="preserve"> לטפל בכל תיקי הלווי</w:t>
      </w:r>
      <w:r>
        <w:rPr>
          <w:rFonts w:hint="cs"/>
          <w:rtl/>
        </w:rPr>
        <w:t>י</w:t>
      </w:r>
      <w:r w:rsidRPr="00FF1CF5">
        <w:rPr>
          <w:rtl/>
        </w:rPr>
        <w:t xml:space="preserve">ן בפחות מארבע שנים מיום פרוץ החקירה. </w:t>
      </w:r>
    </w:p>
    <w:p w14:paraId="491EB2B4" w14:textId="77777777" w:rsidR="00F368B6" w:rsidRDefault="00F368B6" w:rsidP="00D711CC">
      <w:pPr>
        <w:pStyle w:val="100"/>
        <w:rPr>
          <w:rtl/>
        </w:rPr>
      </w:pPr>
      <w:r w:rsidRPr="00020713">
        <w:rPr>
          <w:rFonts w:hint="cs"/>
          <w:rtl/>
        </w:rPr>
        <w:t xml:space="preserve">יוער כי במסגרת ההסכמות </w:t>
      </w:r>
      <w:r>
        <w:rPr>
          <w:rFonts w:hint="cs"/>
          <w:rtl/>
        </w:rPr>
        <w:t>שהצדדים</w:t>
      </w:r>
      <w:r w:rsidRPr="00020713">
        <w:rPr>
          <w:rFonts w:hint="cs"/>
          <w:rtl/>
        </w:rPr>
        <w:t xml:space="preserve"> הגיעו </w:t>
      </w:r>
      <w:r>
        <w:rPr>
          <w:rFonts w:hint="cs"/>
          <w:rtl/>
        </w:rPr>
        <w:t>אליהן</w:t>
      </w:r>
      <w:r w:rsidRPr="00020713">
        <w:rPr>
          <w:rFonts w:hint="cs"/>
          <w:rtl/>
        </w:rPr>
        <w:t xml:space="preserve"> ב</w:t>
      </w:r>
      <w:r>
        <w:rPr>
          <w:rFonts w:hint="cs"/>
          <w:rtl/>
        </w:rPr>
        <w:t>-</w:t>
      </w:r>
      <w:r w:rsidRPr="00020713">
        <w:rPr>
          <w:rFonts w:hint="cs"/>
          <w:rtl/>
        </w:rPr>
        <w:t xml:space="preserve">2016 </w:t>
      </w:r>
      <w:r>
        <w:rPr>
          <w:rFonts w:hint="cs"/>
          <w:rtl/>
        </w:rPr>
        <w:t>נקבע</w:t>
      </w:r>
      <w:r w:rsidRPr="00020713">
        <w:rPr>
          <w:rFonts w:hint="cs"/>
          <w:rtl/>
        </w:rPr>
        <w:t xml:space="preserve"> כ</w:t>
      </w:r>
      <w:r w:rsidRPr="00020713">
        <w:rPr>
          <w:rtl/>
        </w:rPr>
        <w:t xml:space="preserve">י </w:t>
      </w:r>
      <w:r>
        <w:rPr>
          <w:rFonts w:hint="cs"/>
          <w:rtl/>
        </w:rPr>
        <w:t xml:space="preserve">בכל </w:t>
      </w:r>
      <w:r w:rsidRPr="00020713">
        <w:rPr>
          <w:rtl/>
        </w:rPr>
        <w:t>תיקי הלווי</w:t>
      </w:r>
      <w:r>
        <w:rPr>
          <w:rFonts w:hint="cs"/>
          <w:rtl/>
        </w:rPr>
        <w:t>י</w:t>
      </w:r>
      <w:r w:rsidRPr="00020713">
        <w:rPr>
          <w:rtl/>
        </w:rPr>
        <w:t xml:space="preserve">ן של תיקי </w:t>
      </w:r>
      <w:r>
        <w:rPr>
          <w:rtl/>
        </w:rPr>
        <w:t>צח"ם</w:t>
      </w:r>
      <w:r w:rsidRPr="00020713">
        <w:rPr>
          <w:rtl/>
        </w:rPr>
        <w:t xml:space="preserve"> יטפל הגורם המטפל בתיק המקורי</w:t>
      </w:r>
      <w:r>
        <w:rPr>
          <w:rFonts w:hint="cs"/>
          <w:rtl/>
        </w:rPr>
        <w:t>,</w:t>
      </w:r>
      <w:r w:rsidRPr="00020713">
        <w:rPr>
          <w:rFonts w:hint="cs"/>
          <w:rtl/>
        </w:rPr>
        <w:t xml:space="preserve"> וכי </w:t>
      </w:r>
      <w:r w:rsidRPr="00020713">
        <w:rPr>
          <w:rtl/>
        </w:rPr>
        <w:t xml:space="preserve">בכל מקרה צריכה להיות מדיניות </w:t>
      </w:r>
      <w:r>
        <w:rPr>
          <w:rFonts w:hint="cs"/>
          <w:rtl/>
        </w:rPr>
        <w:t xml:space="preserve">טיפול </w:t>
      </w:r>
      <w:r w:rsidRPr="00020713">
        <w:rPr>
          <w:rtl/>
        </w:rPr>
        <w:t>אחידה</w:t>
      </w:r>
      <w:r>
        <w:rPr>
          <w:rFonts w:hint="cs"/>
          <w:rtl/>
        </w:rPr>
        <w:t>.</w:t>
      </w:r>
    </w:p>
    <w:p w14:paraId="40DC23B2" w14:textId="77777777" w:rsidR="00F368B6" w:rsidRDefault="00F368B6" w:rsidP="00D711CC">
      <w:pPr>
        <w:pStyle w:val="100"/>
        <w:rPr>
          <w:rtl/>
        </w:rPr>
      </w:pPr>
      <w:r w:rsidRPr="00020713">
        <w:rPr>
          <w:rFonts w:hint="cs"/>
          <w:rtl/>
        </w:rPr>
        <w:t xml:space="preserve">נכון למועד </w:t>
      </w:r>
      <w:r>
        <w:rPr>
          <w:rFonts w:hint="cs"/>
          <w:rtl/>
        </w:rPr>
        <w:t>ס</w:t>
      </w:r>
      <w:r w:rsidRPr="00020713">
        <w:rPr>
          <w:rFonts w:hint="cs"/>
          <w:rtl/>
        </w:rPr>
        <w:t>יום הביקור</w:t>
      </w:r>
      <w:r>
        <w:rPr>
          <w:rFonts w:hint="cs"/>
          <w:rtl/>
        </w:rPr>
        <w:t>ת</w:t>
      </w:r>
      <w:r w:rsidRPr="00020713">
        <w:rPr>
          <w:rFonts w:hint="cs"/>
          <w:rtl/>
        </w:rPr>
        <w:t xml:space="preserve">, </w:t>
      </w:r>
      <w:r w:rsidRPr="00020713">
        <w:rPr>
          <w:rtl/>
        </w:rPr>
        <w:t>עמדת הפרקליטות לעניין תיקי הלוו</w:t>
      </w:r>
      <w:r>
        <w:rPr>
          <w:rFonts w:hint="cs"/>
          <w:rtl/>
        </w:rPr>
        <w:t>יי</w:t>
      </w:r>
      <w:r w:rsidRPr="00020713">
        <w:rPr>
          <w:rtl/>
        </w:rPr>
        <w:t>ן היא כי יח</w:t>
      </w:r>
      <w:r>
        <w:rPr>
          <w:rFonts w:hint="cs"/>
          <w:rtl/>
        </w:rPr>
        <w:t>ו</w:t>
      </w:r>
      <w:r w:rsidRPr="00020713">
        <w:rPr>
          <w:rtl/>
        </w:rPr>
        <w:t xml:space="preserve">לו </w:t>
      </w:r>
      <w:r>
        <w:rPr>
          <w:rFonts w:hint="cs"/>
          <w:rtl/>
        </w:rPr>
        <w:t xml:space="preserve">עליהם </w:t>
      </w:r>
      <w:r w:rsidRPr="00020713">
        <w:rPr>
          <w:rtl/>
        </w:rPr>
        <w:t>אותם הכללים והקריטריונים החלים על התיק העיקרי. לדוגמ</w:t>
      </w:r>
      <w:r>
        <w:rPr>
          <w:rFonts w:hint="cs"/>
          <w:rtl/>
        </w:rPr>
        <w:t>ה</w:t>
      </w:r>
      <w:r w:rsidRPr="00020713">
        <w:rPr>
          <w:rtl/>
        </w:rPr>
        <w:t>, הפרקליטות לא תטפל בתיקי לוו</w:t>
      </w:r>
      <w:r>
        <w:rPr>
          <w:rFonts w:hint="cs"/>
          <w:rtl/>
        </w:rPr>
        <w:t>י</w:t>
      </w:r>
      <w:r w:rsidRPr="00020713">
        <w:rPr>
          <w:rtl/>
        </w:rPr>
        <w:t>ין</w:t>
      </w:r>
      <w:r>
        <w:rPr>
          <w:rFonts w:hint="cs"/>
          <w:rtl/>
        </w:rPr>
        <w:t xml:space="preserve"> שאינם בהיקף גדול,</w:t>
      </w:r>
      <w:r w:rsidRPr="00020713">
        <w:rPr>
          <w:rtl/>
        </w:rPr>
        <w:t xml:space="preserve"> או שאין בהם מורכבות מיוחדת או תפיסות בהיקף נרחב. אומנם עקרונית מסכימה הפרקליטות כי היה עדיף שהרשות ה</w:t>
      </w:r>
      <w:r>
        <w:rPr>
          <w:rFonts w:hint="cs"/>
          <w:rtl/>
        </w:rPr>
        <w:t>מטפלת ב</w:t>
      </w:r>
      <w:r w:rsidRPr="00020713">
        <w:rPr>
          <w:rtl/>
        </w:rPr>
        <w:t xml:space="preserve">תיק העיקרי </w:t>
      </w:r>
      <w:r>
        <w:rPr>
          <w:rFonts w:hint="cs"/>
          <w:rtl/>
        </w:rPr>
        <w:t>תטפל</w:t>
      </w:r>
      <w:r w:rsidRPr="00020713">
        <w:rPr>
          <w:rtl/>
        </w:rPr>
        <w:t xml:space="preserve"> גם </w:t>
      </w:r>
      <w:r>
        <w:rPr>
          <w:rFonts w:hint="cs"/>
          <w:rtl/>
        </w:rPr>
        <w:t>ב</w:t>
      </w:r>
      <w:r w:rsidRPr="00020713">
        <w:rPr>
          <w:rtl/>
        </w:rPr>
        <w:t>תיקי הלווי</w:t>
      </w:r>
      <w:r>
        <w:rPr>
          <w:rFonts w:hint="cs"/>
          <w:rtl/>
        </w:rPr>
        <w:t>י</w:t>
      </w:r>
      <w:r w:rsidRPr="00020713">
        <w:rPr>
          <w:rtl/>
        </w:rPr>
        <w:t xml:space="preserve">ן, אך </w:t>
      </w:r>
      <w:r>
        <w:rPr>
          <w:rFonts w:hint="cs"/>
          <w:rtl/>
        </w:rPr>
        <w:t>היא</w:t>
      </w:r>
      <w:r w:rsidRPr="00020713">
        <w:rPr>
          <w:rtl/>
        </w:rPr>
        <w:t xml:space="preserve"> סבורה שלא תהיה מסוגלת לעמוד בכך</w:t>
      </w:r>
      <w:r w:rsidRPr="00020713">
        <w:rPr>
          <w:rFonts w:hint="cs"/>
          <w:rtl/>
        </w:rPr>
        <w:t>.</w:t>
      </w:r>
      <w:r w:rsidRPr="0091586F">
        <w:rPr>
          <w:rtl/>
        </w:rPr>
        <w:t xml:space="preserve"> </w:t>
      </w:r>
    </w:p>
    <w:p w14:paraId="63BE2A2D" w14:textId="77777777" w:rsidR="00F368B6" w:rsidRPr="00020713" w:rsidRDefault="00F368B6" w:rsidP="00D711CC">
      <w:pPr>
        <w:pStyle w:val="100"/>
      </w:pPr>
      <w:r w:rsidRPr="00020713">
        <w:rPr>
          <w:rtl/>
        </w:rPr>
        <w:t>לעומת זאת, עמדת רשות המיסים היא כי הגורם המטפל בתיק העיקרי צריך לטפל בכל תיקי הלווי</w:t>
      </w:r>
      <w:r>
        <w:rPr>
          <w:rFonts w:hint="cs"/>
          <w:rtl/>
        </w:rPr>
        <w:t>י</w:t>
      </w:r>
      <w:r w:rsidRPr="00020713">
        <w:rPr>
          <w:rtl/>
        </w:rPr>
        <w:t>ן</w:t>
      </w:r>
      <w:r>
        <w:rPr>
          <w:rFonts w:hint="cs"/>
          <w:rtl/>
        </w:rPr>
        <w:t>,</w:t>
      </w:r>
      <w:r w:rsidRPr="00020713">
        <w:rPr>
          <w:rtl/>
        </w:rPr>
        <w:t xml:space="preserve"> </w:t>
      </w:r>
      <w:r>
        <w:rPr>
          <w:rFonts w:hint="cs"/>
          <w:rtl/>
        </w:rPr>
        <w:t>ואין</w:t>
      </w:r>
      <w:r w:rsidRPr="00020713">
        <w:rPr>
          <w:rtl/>
        </w:rPr>
        <w:t xml:space="preserve"> לפצלם בין הרשויות</w:t>
      </w:r>
      <w:r>
        <w:rPr>
          <w:rFonts w:hint="cs"/>
          <w:rtl/>
        </w:rPr>
        <w:t>, על מנת להבטיח מדיניות אחידה ולמנוע הסתבכות משפטית הנובעת מפיצול תיקים בעלי תשתית ראייתית משותפת בין שני גורמי תביעה</w:t>
      </w:r>
      <w:r w:rsidRPr="00020713">
        <w:rPr>
          <w:rtl/>
        </w:rPr>
        <w:t>.</w:t>
      </w:r>
    </w:p>
    <w:p w14:paraId="65BFAD59" w14:textId="77777777" w:rsidR="00F368B6" w:rsidRDefault="00F368B6" w:rsidP="00D711CC">
      <w:pPr>
        <w:pStyle w:val="af1"/>
        <w:rPr>
          <w:rtl/>
        </w:rPr>
      </w:pPr>
      <w:r w:rsidRPr="00020713">
        <w:rPr>
          <w:rtl/>
        </w:rPr>
        <w:t>נמצא כי בניגוד למוסכם בין הפרקליטות לבי</w:t>
      </w:r>
      <w:r>
        <w:rPr>
          <w:rtl/>
        </w:rPr>
        <w:t>ן רשות המיסים</w:t>
      </w:r>
      <w:r>
        <w:rPr>
          <w:rFonts w:hint="cs"/>
          <w:rtl/>
        </w:rPr>
        <w:t xml:space="preserve"> -</w:t>
      </w:r>
      <w:r>
        <w:rPr>
          <w:rtl/>
        </w:rPr>
        <w:t xml:space="preserve"> כי </w:t>
      </w:r>
      <w:r>
        <w:rPr>
          <w:rFonts w:hint="cs"/>
          <w:rtl/>
        </w:rPr>
        <w:t>ב</w:t>
      </w:r>
      <w:r>
        <w:rPr>
          <w:rtl/>
        </w:rPr>
        <w:t>כל תיקי הלוו</w:t>
      </w:r>
      <w:r>
        <w:rPr>
          <w:rFonts w:hint="cs"/>
          <w:rtl/>
        </w:rPr>
        <w:t>י</w:t>
      </w:r>
      <w:r>
        <w:rPr>
          <w:rtl/>
        </w:rPr>
        <w:t>י</w:t>
      </w:r>
      <w:r w:rsidRPr="00020713">
        <w:rPr>
          <w:rtl/>
        </w:rPr>
        <w:t xml:space="preserve">ן של תיקי </w:t>
      </w:r>
      <w:r>
        <w:rPr>
          <w:rtl/>
        </w:rPr>
        <w:t>צח"ם</w:t>
      </w:r>
      <w:r w:rsidRPr="00020713">
        <w:rPr>
          <w:rtl/>
        </w:rPr>
        <w:t xml:space="preserve"> יטפל הגורם המטפל בתיק העיקרי</w:t>
      </w:r>
      <w:r>
        <w:rPr>
          <w:rFonts w:hint="cs"/>
          <w:rtl/>
        </w:rPr>
        <w:t xml:space="preserve"> -</w:t>
      </w:r>
      <w:r w:rsidRPr="00020713">
        <w:rPr>
          <w:rtl/>
        </w:rPr>
        <w:t xml:space="preserve"> </w:t>
      </w:r>
      <w:r w:rsidRPr="00020713">
        <w:rPr>
          <w:rFonts w:hint="cs"/>
          <w:rtl/>
        </w:rPr>
        <w:t xml:space="preserve">בפועל </w:t>
      </w:r>
      <w:r>
        <w:rPr>
          <w:rFonts w:hint="cs"/>
          <w:rtl/>
        </w:rPr>
        <w:t>אין</w:t>
      </w:r>
      <w:r w:rsidRPr="00020713">
        <w:rPr>
          <w:rFonts w:hint="cs"/>
          <w:rtl/>
        </w:rPr>
        <w:t xml:space="preserve"> מענה אפקטיבי </w:t>
      </w:r>
      <w:r w:rsidRPr="00020713">
        <w:rPr>
          <w:rtl/>
        </w:rPr>
        <w:t xml:space="preserve">והצטברו </w:t>
      </w:r>
      <w:r>
        <w:rPr>
          <w:rFonts w:hint="cs"/>
          <w:rtl/>
        </w:rPr>
        <w:t xml:space="preserve">מאות תיקים </w:t>
      </w:r>
      <w:r w:rsidRPr="00020713">
        <w:rPr>
          <w:rtl/>
        </w:rPr>
        <w:t xml:space="preserve">מסוג זה שאינם </w:t>
      </w:r>
      <w:r>
        <w:rPr>
          <w:rFonts w:hint="cs"/>
          <w:rtl/>
        </w:rPr>
        <w:t>מטופלים</w:t>
      </w:r>
      <w:r w:rsidRPr="00020713">
        <w:rPr>
          <w:rtl/>
        </w:rPr>
        <w:t xml:space="preserve">. </w:t>
      </w:r>
    </w:p>
    <w:p w14:paraId="530DCAB4" w14:textId="77777777" w:rsidR="00F368B6" w:rsidRPr="00CF2104" w:rsidRDefault="00F368B6" w:rsidP="00D711CC">
      <w:pPr>
        <w:pStyle w:val="100"/>
        <w:rPr>
          <w:rtl/>
        </w:rPr>
      </w:pPr>
      <w:r>
        <w:rPr>
          <w:rFonts w:hint="cs"/>
          <w:rtl/>
        </w:rPr>
        <w:t>רשות המיסים ציינה בתשובתה כי הפרקליטות היא שאינה עומדת בסיכום ואינה לוקחת לטיפולה את תיקי הלוויין. הפרקליטות כתבה בתשובתה כי הסכמתה הראשונה לטפל בכל תיקי הלוויין הנלווים לתיק העיקרי התבססה על הבטחה לכוח אדם נוסף, ומשזה לא ניתן, הבהירה שלא תוכל לטפל בתיקי הלוויין גם אם תטפל בתיק העיקרי.</w:t>
      </w:r>
    </w:p>
    <w:p w14:paraId="7C8CE1D3" w14:textId="77777777" w:rsidR="00F368B6" w:rsidRDefault="00F368B6" w:rsidP="00D711CC">
      <w:pPr>
        <w:pStyle w:val="af1"/>
        <w:rPr>
          <w:rtl/>
        </w:rPr>
      </w:pPr>
      <w:r>
        <w:rPr>
          <w:rFonts w:hint="cs"/>
          <w:rtl/>
        </w:rPr>
        <w:t>משרד מבקר המדינה מ</w:t>
      </w:r>
      <w:r w:rsidRPr="00634693">
        <w:rPr>
          <w:rFonts w:hint="cs"/>
          <w:rtl/>
        </w:rPr>
        <w:t>ציין</w:t>
      </w:r>
      <w:r>
        <w:rPr>
          <w:rFonts w:hint="cs"/>
          <w:rtl/>
        </w:rPr>
        <w:t xml:space="preserve"> </w:t>
      </w:r>
      <w:r w:rsidRPr="008D3A01">
        <w:rPr>
          <w:rFonts w:hint="cs"/>
          <w:rtl/>
        </w:rPr>
        <w:t>ל</w:t>
      </w:r>
      <w:r w:rsidRPr="00451FCF">
        <w:rPr>
          <w:rFonts w:hint="eastAsia"/>
          <w:rtl/>
        </w:rPr>
        <w:t>פני</w:t>
      </w:r>
      <w:r w:rsidRPr="00451FCF">
        <w:rPr>
          <w:rtl/>
        </w:rPr>
        <w:t xml:space="preserve"> </w:t>
      </w:r>
      <w:r w:rsidRPr="00451FCF">
        <w:rPr>
          <w:rFonts w:hint="eastAsia"/>
          <w:rtl/>
        </w:rPr>
        <w:t>משרד</w:t>
      </w:r>
      <w:r w:rsidRPr="00451FCF">
        <w:rPr>
          <w:rtl/>
        </w:rPr>
        <w:t xml:space="preserve"> </w:t>
      </w:r>
      <w:r w:rsidRPr="00451FCF">
        <w:rPr>
          <w:rFonts w:hint="eastAsia"/>
          <w:rtl/>
        </w:rPr>
        <w:t>המשפטים</w:t>
      </w:r>
      <w:r w:rsidRPr="00451FCF">
        <w:rPr>
          <w:rtl/>
        </w:rPr>
        <w:t xml:space="preserve"> </w:t>
      </w:r>
      <w:r w:rsidRPr="00451FCF">
        <w:rPr>
          <w:rFonts w:hint="eastAsia"/>
          <w:rtl/>
        </w:rPr>
        <w:t>ולרשות</w:t>
      </w:r>
      <w:r w:rsidRPr="00451FCF">
        <w:rPr>
          <w:rtl/>
        </w:rPr>
        <w:t xml:space="preserve"> </w:t>
      </w:r>
      <w:r w:rsidRPr="00451FCF">
        <w:rPr>
          <w:rFonts w:hint="eastAsia"/>
          <w:rtl/>
        </w:rPr>
        <w:t>המיסים</w:t>
      </w:r>
      <w:r>
        <w:rPr>
          <w:rFonts w:hint="cs"/>
          <w:rtl/>
        </w:rPr>
        <w:t xml:space="preserve"> כי </w:t>
      </w:r>
      <w:r w:rsidRPr="00020713">
        <w:rPr>
          <w:rtl/>
        </w:rPr>
        <w:t>מדובר בתיקים ש</w:t>
      </w:r>
      <w:r>
        <w:rPr>
          <w:rFonts w:hint="cs"/>
          <w:rtl/>
        </w:rPr>
        <w:t>יש</w:t>
      </w:r>
      <w:r w:rsidRPr="00020713">
        <w:rPr>
          <w:rtl/>
        </w:rPr>
        <w:t xml:space="preserve"> חשיבו</w:t>
      </w:r>
      <w:r>
        <w:rPr>
          <w:rtl/>
        </w:rPr>
        <w:t>ת ציבורית בטיפול</w:t>
      </w:r>
      <w:r>
        <w:rPr>
          <w:rFonts w:hint="cs"/>
          <w:rtl/>
        </w:rPr>
        <w:t xml:space="preserve"> בה</w:t>
      </w:r>
      <w:r>
        <w:rPr>
          <w:rtl/>
        </w:rPr>
        <w:t>ם</w:t>
      </w:r>
      <w:r>
        <w:rPr>
          <w:rFonts w:hint="cs"/>
          <w:rtl/>
        </w:rPr>
        <w:t>,</w:t>
      </w:r>
      <w:r>
        <w:rPr>
          <w:rtl/>
        </w:rPr>
        <w:t xml:space="preserve"> נוכח ה</w:t>
      </w:r>
      <w:r>
        <w:rPr>
          <w:rFonts w:hint="cs"/>
          <w:rtl/>
        </w:rPr>
        <w:t xml:space="preserve">משמעות ההיקפית וההשלכות </w:t>
      </w:r>
      <w:r w:rsidRPr="00020713">
        <w:rPr>
          <w:rtl/>
        </w:rPr>
        <w:t>של היעדר הטיפול</w:t>
      </w:r>
      <w:r w:rsidRPr="00772A53">
        <w:rPr>
          <w:rFonts w:hint="cs"/>
          <w:rtl/>
        </w:rPr>
        <w:t xml:space="preserve"> והפגיעה בקופה הציבורית.</w:t>
      </w:r>
      <w:r>
        <w:rPr>
          <w:rFonts w:hint="cs"/>
          <w:rtl/>
        </w:rPr>
        <w:t xml:space="preserve"> בתיקים הושקעו משאבים לא מבוטלים עד מיצוי החקירה, אך המערך התביעתי אינו מסוגל להמשיך בטיפול עד העמדה לדין. הדבר עלול לגרום להשלכות גם בהיבטים של הרתעה ואמון הציבור במערכת האכיפה.</w:t>
      </w:r>
    </w:p>
    <w:p w14:paraId="46376ACE" w14:textId="77777777" w:rsidR="00F368B6" w:rsidRDefault="00F368B6" w:rsidP="00D711CC">
      <w:pPr>
        <w:pStyle w:val="414"/>
        <w:rPr>
          <w:sz w:val="24"/>
          <w:rtl/>
        </w:rPr>
      </w:pPr>
      <w:r w:rsidRPr="008A4A65">
        <w:rPr>
          <w:rFonts w:hint="eastAsia"/>
          <w:rtl/>
        </w:rPr>
        <w:t>פערים</w:t>
      </w:r>
      <w:r w:rsidRPr="008A4A65">
        <w:rPr>
          <w:rtl/>
        </w:rPr>
        <w:t xml:space="preserve"> </w:t>
      </w:r>
      <w:r w:rsidRPr="008A4A65">
        <w:rPr>
          <w:rFonts w:hint="eastAsia"/>
          <w:rtl/>
        </w:rPr>
        <w:t>בתפקוד</w:t>
      </w:r>
      <w:r w:rsidRPr="008A4A65">
        <w:rPr>
          <w:rtl/>
        </w:rPr>
        <w:t xml:space="preserve"> </w:t>
      </w:r>
      <w:r w:rsidRPr="008A4A65">
        <w:rPr>
          <w:rFonts w:hint="eastAsia"/>
          <w:rtl/>
        </w:rPr>
        <w:t>התביעה</w:t>
      </w:r>
      <w:r w:rsidRPr="008A4A65">
        <w:rPr>
          <w:rtl/>
        </w:rPr>
        <w:t xml:space="preserve"> </w:t>
      </w:r>
      <w:r w:rsidRPr="008A4A65">
        <w:rPr>
          <w:rFonts w:hint="eastAsia"/>
          <w:rtl/>
        </w:rPr>
        <w:t>ברשות</w:t>
      </w:r>
      <w:r w:rsidRPr="008A4A65">
        <w:rPr>
          <w:rtl/>
        </w:rPr>
        <w:t xml:space="preserve"> </w:t>
      </w:r>
      <w:r w:rsidRPr="008A4A65">
        <w:rPr>
          <w:rFonts w:hint="eastAsia"/>
          <w:rtl/>
        </w:rPr>
        <w:t>המיסים</w:t>
      </w:r>
      <w:r w:rsidRPr="008A4A65">
        <w:rPr>
          <w:rtl/>
        </w:rPr>
        <w:t xml:space="preserve"> - </w:t>
      </w:r>
      <w:r w:rsidRPr="008A4A65">
        <w:rPr>
          <w:rFonts w:hint="eastAsia"/>
          <w:rtl/>
        </w:rPr>
        <w:t>מע</w:t>
      </w:r>
      <w:r w:rsidRPr="008A4A65">
        <w:rPr>
          <w:rtl/>
        </w:rPr>
        <w:t>"</w:t>
      </w:r>
      <w:r w:rsidRPr="008A4A65">
        <w:rPr>
          <w:rFonts w:hint="eastAsia"/>
          <w:rtl/>
        </w:rPr>
        <w:t>ם</w:t>
      </w:r>
    </w:p>
    <w:p w14:paraId="17C3B488" w14:textId="1D1ED29C" w:rsidR="00F368B6" w:rsidRPr="00020713" w:rsidRDefault="00F368B6" w:rsidP="00D711CC">
      <w:pPr>
        <w:pStyle w:val="100"/>
        <w:rPr>
          <w:bCs/>
        </w:rPr>
      </w:pPr>
      <w:r w:rsidRPr="00020713">
        <w:rPr>
          <w:rtl/>
        </w:rPr>
        <w:t>במחלקה המשפטית ברשות המיסים -</w:t>
      </w:r>
      <w:r>
        <w:rPr>
          <w:rFonts w:hint="cs"/>
          <w:rtl/>
        </w:rPr>
        <w:t xml:space="preserve"> </w:t>
      </w:r>
      <w:r w:rsidRPr="00020713">
        <w:rPr>
          <w:rtl/>
        </w:rPr>
        <w:t>מע"</w:t>
      </w:r>
      <w:r>
        <w:rPr>
          <w:rFonts w:hint="cs"/>
          <w:rtl/>
        </w:rPr>
        <w:t>ם</w:t>
      </w:r>
      <w:r w:rsidRPr="00020713">
        <w:rPr>
          <w:rtl/>
        </w:rPr>
        <w:t xml:space="preserve"> 94 תקנים לעורכי דין, כ</w:t>
      </w:r>
      <w:r>
        <w:rPr>
          <w:rFonts w:hint="cs"/>
          <w:rtl/>
        </w:rPr>
        <w:t>-</w:t>
      </w:r>
      <w:r w:rsidRPr="00020713">
        <w:rPr>
          <w:rtl/>
        </w:rPr>
        <w:t>75 מה</w:t>
      </w:r>
      <w:r w:rsidR="00BE6D4B">
        <w:rPr>
          <w:rFonts w:hint="cs"/>
          <w:rtl/>
        </w:rPr>
        <w:t xml:space="preserve">ם </w:t>
      </w:r>
      <w:r w:rsidRPr="00020713">
        <w:rPr>
          <w:rFonts w:hint="cs"/>
          <w:rtl/>
        </w:rPr>
        <w:t>מאוי</w:t>
      </w:r>
      <w:r>
        <w:rPr>
          <w:rFonts w:hint="cs"/>
          <w:rtl/>
        </w:rPr>
        <w:t>שים</w:t>
      </w:r>
      <w:r w:rsidRPr="00020713">
        <w:rPr>
          <w:rFonts w:hint="cs"/>
          <w:rtl/>
        </w:rPr>
        <w:t xml:space="preserve">. </w:t>
      </w:r>
      <w:r>
        <w:rPr>
          <w:rFonts w:hint="cs"/>
          <w:rtl/>
        </w:rPr>
        <w:t xml:space="preserve">המחלקה על יחידותיה מטפלת בסוגים שונים של תיקים נוסף על טיפול בחשבוניות פיקטיביות. </w:t>
      </w:r>
      <w:r w:rsidRPr="00020713">
        <w:rPr>
          <w:rtl/>
        </w:rPr>
        <w:t>בשנ</w:t>
      </w:r>
      <w:r>
        <w:rPr>
          <w:rFonts w:hint="cs"/>
          <w:rtl/>
        </w:rPr>
        <w:t>ת</w:t>
      </w:r>
      <w:r w:rsidRPr="00020713">
        <w:rPr>
          <w:rtl/>
        </w:rPr>
        <w:t xml:space="preserve"> 2018 עזבו</w:t>
      </w:r>
      <w:r>
        <w:rPr>
          <w:rFonts w:hint="cs"/>
          <w:rtl/>
        </w:rPr>
        <w:t xml:space="preserve"> את המחלקה</w:t>
      </w:r>
      <w:r w:rsidRPr="00020713">
        <w:rPr>
          <w:rtl/>
        </w:rPr>
        <w:t xml:space="preserve"> </w:t>
      </w:r>
      <w:r>
        <w:rPr>
          <w:rFonts w:hint="cs"/>
          <w:rtl/>
        </w:rPr>
        <w:t>עשרה</w:t>
      </w:r>
      <w:r w:rsidRPr="00020713">
        <w:rPr>
          <w:rtl/>
        </w:rPr>
        <w:t xml:space="preserve"> עורכי דין</w:t>
      </w:r>
      <w:r>
        <w:rPr>
          <w:rFonts w:hint="cs"/>
          <w:rtl/>
        </w:rPr>
        <w:t>, ו</w:t>
      </w:r>
      <w:r w:rsidRPr="00020713">
        <w:rPr>
          <w:rFonts w:hint="cs"/>
          <w:rtl/>
        </w:rPr>
        <w:t xml:space="preserve">בשנת </w:t>
      </w:r>
      <w:r w:rsidRPr="00020713">
        <w:rPr>
          <w:rtl/>
        </w:rPr>
        <w:t xml:space="preserve">2019 </w:t>
      </w:r>
      <w:r w:rsidRPr="00020713">
        <w:rPr>
          <w:rFonts w:hint="cs"/>
          <w:rtl/>
        </w:rPr>
        <w:t>(נכון ל</w:t>
      </w:r>
      <w:r>
        <w:rPr>
          <w:rFonts w:hint="cs"/>
          <w:rtl/>
        </w:rPr>
        <w:t xml:space="preserve">חודש </w:t>
      </w:r>
      <w:r w:rsidRPr="00020713">
        <w:rPr>
          <w:rFonts w:hint="cs"/>
          <w:rtl/>
        </w:rPr>
        <w:t xml:space="preserve">יולי) </w:t>
      </w:r>
      <w:r w:rsidRPr="00020713">
        <w:rPr>
          <w:rtl/>
        </w:rPr>
        <w:t xml:space="preserve">עזבו </w:t>
      </w:r>
      <w:r>
        <w:rPr>
          <w:rFonts w:hint="cs"/>
          <w:rtl/>
        </w:rPr>
        <w:t>שלושה</w:t>
      </w:r>
      <w:r w:rsidRPr="00020713">
        <w:rPr>
          <w:rtl/>
        </w:rPr>
        <w:t xml:space="preserve"> עורכי דין</w:t>
      </w:r>
      <w:r>
        <w:rPr>
          <w:rFonts w:hint="cs"/>
          <w:rtl/>
        </w:rPr>
        <w:t xml:space="preserve"> נוספים. </w:t>
      </w:r>
      <w:r w:rsidRPr="00CF2104">
        <w:rPr>
          <w:rFonts w:hint="eastAsia"/>
          <w:b/>
          <w:rtl/>
        </w:rPr>
        <w:t>עזיבת</w:t>
      </w:r>
      <w:r w:rsidRPr="00CF2104">
        <w:rPr>
          <w:b/>
          <w:rtl/>
        </w:rPr>
        <w:t xml:space="preserve"> התובעים העצימה את מצוקת כוח האדם </w:t>
      </w:r>
      <w:r w:rsidRPr="00CF2104">
        <w:rPr>
          <w:rFonts w:hint="eastAsia"/>
          <w:b/>
          <w:rtl/>
        </w:rPr>
        <w:t>ו</w:t>
      </w:r>
      <w:r w:rsidRPr="00CF2104">
        <w:rPr>
          <w:b/>
          <w:rtl/>
        </w:rPr>
        <w:t>א</w:t>
      </w:r>
      <w:r>
        <w:rPr>
          <w:rFonts w:hint="cs"/>
          <w:b/>
          <w:rtl/>
        </w:rPr>
        <w:t>י</w:t>
      </w:r>
      <w:r w:rsidRPr="00CF2104">
        <w:rPr>
          <w:b/>
          <w:rtl/>
        </w:rPr>
        <w:t>לצ</w:t>
      </w:r>
      <w:r>
        <w:rPr>
          <w:rFonts w:hint="cs"/>
          <w:b/>
          <w:rtl/>
        </w:rPr>
        <w:t>ה</w:t>
      </w:r>
      <w:r w:rsidRPr="00CF2104">
        <w:rPr>
          <w:b/>
          <w:rtl/>
        </w:rPr>
        <w:t xml:space="preserve"> את </w:t>
      </w:r>
      <w:r>
        <w:rPr>
          <w:rFonts w:hint="cs"/>
          <w:b/>
          <w:rtl/>
        </w:rPr>
        <w:t>המחלקה המשפטית</w:t>
      </w:r>
      <w:r w:rsidRPr="00CF2104">
        <w:rPr>
          <w:b/>
          <w:rtl/>
        </w:rPr>
        <w:t xml:space="preserve"> להגיע להסדרי טיעון, על </w:t>
      </w:r>
      <w:r w:rsidRPr="00CF2104">
        <w:rPr>
          <w:rFonts w:hint="eastAsia"/>
          <w:b/>
          <w:rtl/>
        </w:rPr>
        <w:t>מנת</w:t>
      </w:r>
      <w:r w:rsidRPr="00CF2104">
        <w:rPr>
          <w:b/>
          <w:rtl/>
        </w:rPr>
        <w:t xml:space="preserve"> </w:t>
      </w:r>
      <w:r w:rsidRPr="00CF2104">
        <w:rPr>
          <w:rFonts w:hint="eastAsia"/>
          <w:b/>
          <w:rtl/>
        </w:rPr>
        <w:t>להתמודד</w:t>
      </w:r>
      <w:r w:rsidRPr="00CF2104">
        <w:rPr>
          <w:b/>
          <w:rtl/>
        </w:rPr>
        <w:t xml:space="preserve"> עם מאות התיקים הממתינים לטיפול</w:t>
      </w:r>
      <w:r>
        <w:rPr>
          <w:rFonts w:hint="cs"/>
          <w:b/>
          <w:rtl/>
        </w:rPr>
        <w:t>.</w:t>
      </w:r>
      <w:r w:rsidRPr="00020713">
        <w:rPr>
          <w:bCs/>
          <w:rtl/>
        </w:rPr>
        <w:t xml:space="preserve"> </w:t>
      </w:r>
    </w:p>
    <w:p w14:paraId="518BD2B1" w14:textId="77777777" w:rsidR="00F368B6" w:rsidRDefault="00F368B6" w:rsidP="00D711CC">
      <w:pPr>
        <w:pStyle w:val="100"/>
        <w:rPr>
          <w:rtl/>
        </w:rPr>
      </w:pPr>
      <w:r w:rsidRPr="00AE4A4E">
        <w:rPr>
          <w:rFonts w:hint="cs"/>
          <w:rtl/>
        </w:rPr>
        <w:lastRenderedPageBreak/>
        <w:t>בעיית מלאי התיקים הממתינים לבירור אינה ייחודית לתיקי צח</w:t>
      </w:r>
      <w:r w:rsidRPr="00AE4A4E">
        <w:rPr>
          <w:rtl/>
        </w:rPr>
        <w:t>"</w:t>
      </w:r>
      <w:r w:rsidRPr="00AE4A4E">
        <w:rPr>
          <w:rFonts w:hint="cs"/>
          <w:rtl/>
        </w:rPr>
        <w:t xml:space="preserve">ם: גם </w:t>
      </w:r>
      <w:r w:rsidRPr="00AE4A4E">
        <w:rPr>
          <w:rtl/>
        </w:rPr>
        <w:t>בתיקים רגילים יש</w:t>
      </w:r>
      <w:r w:rsidRPr="00AE4A4E">
        <w:rPr>
          <w:rFonts w:hint="cs"/>
          <w:rtl/>
        </w:rPr>
        <w:t>נה</w:t>
      </w:r>
      <w:r w:rsidRPr="00AE4A4E">
        <w:rPr>
          <w:rtl/>
        </w:rPr>
        <w:t xml:space="preserve"> </w:t>
      </w:r>
      <w:r w:rsidRPr="00AE4A4E">
        <w:rPr>
          <w:rFonts w:hint="cs"/>
          <w:rtl/>
        </w:rPr>
        <w:t>"</w:t>
      </w:r>
      <w:r w:rsidRPr="00AE4A4E">
        <w:rPr>
          <w:rtl/>
        </w:rPr>
        <w:t>גיבנת</w:t>
      </w:r>
      <w:r w:rsidRPr="00AE4A4E">
        <w:rPr>
          <w:rFonts w:hint="cs"/>
          <w:rtl/>
        </w:rPr>
        <w:t>"</w:t>
      </w:r>
      <w:r w:rsidRPr="00AE4A4E">
        <w:rPr>
          <w:rtl/>
        </w:rPr>
        <w:t xml:space="preserve"> של כ-2,000 תיקים שלא מטופלים. מדי שנה מתקבלים</w:t>
      </w:r>
      <w:r w:rsidRPr="00AE4A4E">
        <w:rPr>
          <w:rFonts w:hint="cs"/>
          <w:rtl/>
        </w:rPr>
        <w:t xml:space="preserve"> במחלקה המשפטית</w:t>
      </w:r>
      <w:r w:rsidRPr="00AE4A4E">
        <w:rPr>
          <w:rtl/>
        </w:rPr>
        <w:t xml:space="preserve"> כ-1,300 תיקים</w:t>
      </w:r>
      <w:r w:rsidRPr="00AE4A4E">
        <w:rPr>
          <w:rFonts w:hint="cs"/>
          <w:rtl/>
        </w:rPr>
        <w:t xml:space="preserve"> חדשים, </w:t>
      </w:r>
      <w:r w:rsidRPr="00AE4A4E">
        <w:rPr>
          <w:rtl/>
        </w:rPr>
        <w:t>ו</w:t>
      </w:r>
      <w:r w:rsidRPr="00AE4A4E">
        <w:rPr>
          <w:rFonts w:hint="cs"/>
          <w:rtl/>
        </w:rPr>
        <w:t>היא מטפלת</w:t>
      </w:r>
      <w:r w:rsidRPr="00AE4A4E">
        <w:rPr>
          <w:rtl/>
        </w:rPr>
        <w:t xml:space="preserve"> במהלך השנה בכמחצית</w:t>
      </w:r>
      <w:r w:rsidRPr="00AE4A4E">
        <w:rPr>
          <w:rFonts w:hint="cs"/>
          <w:rtl/>
        </w:rPr>
        <w:t>ם,</w:t>
      </w:r>
      <w:r w:rsidRPr="00AE4A4E">
        <w:rPr>
          <w:rtl/>
        </w:rPr>
        <w:t xml:space="preserve"> וכך </w:t>
      </w:r>
      <w:r w:rsidRPr="00AE4A4E">
        <w:rPr>
          <w:rFonts w:hint="cs"/>
          <w:rtl/>
        </w:rPr>
        <w:t>ה</w:t>
      </w:r>
      <w:r w:rsidRPr="00AE4A4E">
        <w:rPr>
          <w:rtl/>
        </w:rPr>
        <w:t>פער הולך וג</w:t>
      </w:r>
      <w:r w:rsidRPr="00AE4A4E">
        <w:rPr>
          <w:rFonts w:hint="cs"/>
          <w:rtl/>
        </w:rPr>
        <w:t xml:space="preserve">דל. </w:t>
      </w:r>
      <w:r w:rsidRPr="00AE4A4E">
        <w:rPr>
          <w:rtl/>
        </w:rPr>
        <w:t>עוד עולה כי בשנים האחרונות מספר תיקי צח"ם שטופלו במחלקה המשפטית - מע"</w:t>
      </w:r>
      <w:r w:rsidRPr="00AE4A4E">
        <w:rPr>
          <w:rFonts w:hint="cs"/>
          <w:rtl/>
        </w:rPr>
        <w:t>ם</w:t>
      </w:r>
      <w:r w:rsidRPr="00AE4A4E">
        <w:rPr>
          <w:rtl/>
        </w:rPr>
        <w:t xml:space="preserve"> </w:t>
      </w:r>
      <w:r w:rsidRPr="00AE4A4E">
        <w:rPr>
          <w:rFonts w:hint="cs"/>
          <w:rtl/>
        </w:rPr>
        <w:t>במגמת</w:t>
      </w:r>
      <w:r w:rsidRPr="00AE4A4E">
        <w:rPr>
          <w:rtl/>
        </w:rPr>
        <w:t xml:space="preserve"> ירידה</w:t>
      </w:r>
      <w:r w:rsidRPr="00AE4A4E">
        <w:rPr>
          <w:rFonts w:hint="cs"/>
          <w:rtl/>
        </w:rPr>
        <w:t>;</w:t>
      </w:r>
      <w:r w:rsidRPr="00AE4A4E">
        <w:rPr>
          <w:rtl/>
        </w:rPr>
        <w:t xml:space="preserve"> היחידות המשפטיות </w:t>
      </w:r>
      <w:r w:rsidRPr="00AE4A4E">
        <w:rPr>
          <w:rFonts w:hint="cs"/>
          <w:rtl/>
        </w:rPr>
        <w:t>מטפלות בממוצע רק ב-13%</w:t>
      </w:r>
      <w:r w:rsidRPr="00AE4A4E">
        <w:rPr>
          <w:rFonts w:hint="cs"/>
        </w:rPr>
        <w:t xml:space="preserve"> </w:t>
      </w:r>
      <w:r w:rsidRPr="00AE4A4E">
        <w:rPr>
          <w:rtl/>
        </w:rPr>
        <w:t>ממ</w:t>
      </w:r>
      <w:r w:rsidRPr="00AE4A4E">
        <w:rPr>
          <w:rFonts w:hint="cs"/>
          <w:rtl/>
        </w:rPr>
        <w:t>ל</w:t>
      </w:r>
      <w:r w:rsidRPr="00AE4A4E">
        <w:rPr>
          <w:rtl/>
        </w:rPr>
        <w:t>אי התיקים הפתוחים מדי שנה</w:t>
      </w:r>
      <w:r>
        <w:rPr>
          <w:rFonts w:hint="cs"/>
          <w:rtl/>
        </w:rPr>
        <w:t>.</w:t>
      </w:r>
    </w:p>
    <w:p w14:paraId="42323911" w14:textId="77777777" w:rsidR="00F368B6" w:rsidRPr="007F611C" w:rsidRDefault="00F368B6" w:rsidP="00D711CC">
      <w:pPr>
        <w:pStyle w:val="af1"/>
        <w:rPr>
          <w:rtl/>
        </w:rPr>
      </w:pPr>
      <w:r w:rsidRPr="007F611C">
        <w:rPr>
          <w:rFonts w:hint="eastAsia"/>
          <w:rtl/>
        </w:rPr>
        <w:t>המחלקה</w:t>
      </w:r>
      <w:r w:rsidRPr="007F611C">
        <w:rPr>
          <w:rtl/>
        </w:rPr>
        <w:t xml:space="preserve"> </w:t>
      </w:r>
      <w:r w:rsidRPr="007F611C">
        <w:rPr>
          <w:rFonts w:hint="eastAsia"/>
          <w:rtl/>
        </w:rPr>
        <w:t>המשפטית</w:t>
      </w:r>
      <w:r w:rsidRPr="007F611C">
        <w:rPr>
          <w:rtl/>
        </w:rPr>
        <w:t xml:space="preserve"> </w:t>
      </w:r>
      <w:r w:rsidRPr="007F611C">
        <w:rPr>
          <w:rFonts w:hint="cs"/>
          <w:rtl/>
        </w:rPr>
        <w:t xml:space="preserve">- </w:t>
      </w:r>
      <w:r w:rsidRPr="007F611C">
        <w:rPr>
          <w:rFonts w:hint="eastAsia"/>
          <w:rtl/>
        </w:rPr>
        <w:t>מע</w:t>
      </w:r>
      <w:r w:rsidRPr="007F611C">
        <w:rPr>
          <w:rtl/>
        </w:rPr>
        <w:t>"ם</w:t>
      </w:r>
      <w:r w:rsidRPr="007F611C">
        <w:rPr>
          <w:rFonts w:hint="cs"/>
          <w:rtl/>
        </w:rPr>
        <w:t xml:space="preserve"> ברשות המיסים</w:t>
      </w:r>
      <w:r w:rsidRPr="007F611C">
        <w:rPr>
          <w:rtl/>
        </w:rPr>
        <w:t xml:space="preserve">, </w:t>
      </w:r>
      <w:r w:rsidRPr="007F611C">
        <w:rPr>
          <w:rFonts w:hint="eastAsia"/>
          <w:rtl/>
        </w:rPr>
        <w:t>ב</w:t>
      </w:r>
      <w:r w:rsidRPr="007F611C">
        <w:rPr>
          <w:rtl/>
        </w:rPr>
        <w:t>מצבת כ</w:t>
      </w:r>
      <w:r w:rsidRPr="007F611C">
        <w:rPr>
          <w:rFonts w:hint="eastAsia"/>
          <w:rtl/>
        </w:rPr>
        <w:t>ו</w:t>
      </w:r>
      <w:r w:rsidRPr="007F611C">
        <w:rPr>
          <w:rtl/>
        </w:rPr>
        <w:t xml:space="preserve">ח האדם </w:t>
      </w:r>
      <w:r w:rsidRPr="007F611C">
        <w:rPr>
          <w:rFonts w:hint="eastAsia"/>
          <w:rtl/>
        </w:rPr>
        <w:t>הנוכחית</w:t>
      </w:r>
      <w:r w:rsidRPr="007F611C">
        <w:rPr>
          <w:rtl/>
        </w:rPr>
        <w:t>, אינה עומדת בעומסים המוטלים עליה</w:t>
      </w:r>
      <w:r w:rsidRPr="007F611C">
        <w:rPr>
          <w:rFonts w:hint="cs"/>
          <w:rtl/>
        </w:rPr>
        <w:t>.</w:t>
      </w:r>
      <w:r w:rsidRPr="007F611C">
        <w:rPr>
          <w:rtl/>
        </w:rPr>
        <w:t xml:space="preserve"> מאות תיקי </w:t>
      </w:r>
      <w:r w:rsidRPr="007F611C">
        <w:rPr>
          <w:rFonts w:hint="eastAsia"/>
          <w:rtl/>
        </w:rPr>
        <w:t>חקירה</w:t>
      </w:r>
      <w:r w:rsidRPr="007F611C">
        <w:rPr>
          <w:rtl/>
        </w:rPr>
        <w:t xml:space="preserve"> הממתינים </w:t>
      </w:r>
      <w:r w:rsidRPr="007F611C">
        <w:rPr>
          <w:rFonts w:hint="cs"/>
          <w:rtl/>
        </w:rPr>
        <w:t xml:space="preserve">בה </w:t>
      </w:r>
      <w:r w:rsidRPr="007F611C">
        <w:rPr>
          <w:rtl/>
        </w:rPr>
        <w:t xml:space="preserve">שנים ארוכות ללא טיפול </w:t>
      </w:r>
      <w:r w:rsidRPr="007F611C">
        <w:rPr>
          <w:rFonts w:hint="eastAsia"/>
          <w:rtl/>
        </w:rPr>
        <w:t>פוגעים</w:t>
      </w:r>
      <w:r w:rsidRPr="007F611C">
        <w:rPr>
          <w:rtl/>
        </w:rPr>
        <w:t xml:space="preserve"> פגיעה קשה ביכולת ההרתעה. </w:t>
      </w:r>
      <w:r w:rsidRPr="007F611C">
        <w:rPr>
          <w:rFonts w:hint="eastAsia"/>
          <w:rtl/>
        </w:rPr>
        <w:t>יש</w:t>
      </w:r>
      <w:r w:rsidRPr="007F611C">
        <w:rPr>
          <w:rtl/>
        </w:rPr>
        <w:t xml:space="preserve"> </w:t>
      </w:r>
      <w:r w:rsidRPr="007F611C">
        <w:rPr>
          <w:rFonts w:hint="eastAsia"/>
          <w:rtl/>
        </w:rPr>
        <w:t>בכך</w:t>
      </w:r>
      <w:r w:rsidRPr="007F611C">
        <w:rPr>
          <w:rtl/>
        </w:rPr>
        <w:t xml:space="preserve"> </w:t>
      </w:r>
      <w:r w:rsidRPr="007F611C">
        <w:rPr>
          <w:rFonts w:hint="eastAsia"/>
          <w:rtl/>
        </w:rPr>
        <w:t>גם</w:t>
      </w:r>
      <w:r w:rsidRPr="007F611C">
        <w:rPr>
          <w:rtl/>
        </w:rPr>
        <w:t xml:space="preserve"> </w:t>
      </w:r>
      <w:r w:rsidRPr="007F611C">
        <w:rPr>
          <w:rFonts w:hint="eastAsia"/>
          <w:rtl/>
        </w:rPr>
        <w:t>עינוי</w:t>
      </w:r>
      <w:r w:rsidRPr="007F611C">
        <w:rPr>
          <w:rtl/>
        </w:rPr>
        <w:t xml:space="preserve"> </w:t>
      </w:r>
      <w:r w:rsidRPr="007F611C">
        <w:rPr>
          <w:rFonts w:hint="eastAsia"/>
          <w:rtl/>
        </w:rPr>
        <w:t>דין</w:t>
      </w:r>
      <w:r w:rsidRPr="007F611C">
        <w:rPr>
          <w:rtl/>
        </w:rPr>
        <w:t xml:space="preserve"> </w:t>
      </w:r>
      <w:r w:rsidRPr="007F611C">
        <w:rPr>
          <w:rFonts w:hint="eastAsia"/>
          <w:rtl/>
        </w:rPr>
        <w:t>לחשודים</w:t>
      </w:r>
      <w:r w:rsidRPr="007F611C">
        <w:rPr>
          <w:rtl/>
        </w:rPr>
        <w:t xml:space="preserve"> </w:t>
      </w:r>
      <w:r w:rsidRPr="007F611C">
        <w:rPr>
          <w:rFonts w:hint="eastAsia"/>
          <w:rtl/>
        </w:rPr>
        <w:t>אשר</w:t>
      </w:r>
      <w:r w:rsidRPr="007F611C">
        <w:rPr>
          <w:rtl/>
        </w:rPr>
        <w:t xml:space="preserve"> </w:t>
      </w:r>
      <w:r w:rsidRPr="007F611C">
        <w:rPr>
          <w:rFonts w:hint="eastAsia"/>
          <w:rtl/>
        </w:rPr>
        <w:t>עניינם</w:t>
      </w:r>
      <w:r w:rsidRPr="007F611C">
        <w:rPr>
          <w:rtl/>
        </w:rPr>
        <w:t xml:space="preserve"> </w:t>
      </w:r>
      <w:r w:rsidRPr="007F611C">
        <w:rPr>
          <w:rFonts w:hint="eastAsia"/>
          <w:rtl/>
        </w:rPr>
        <w:t>תלוי</w:t>
      </w:r>
      <w:r w:rsidRPr="007F611C">
        <w:rPr>
          <w:rtl/>
        </w:rPr>
        <w:t xml:space="preserve"> </w:t>
      </w:r>
      <w:r w:rsidRPr="007F611C">
        <w:rPr>
          <w:rFonts w:hint="eastAsia"/>
          <w:rtl/>
        </w:rPr>
        <w:t>ועומד</w:t>
      </w:r>
      <w:r w:rsidRPr="007F611C">
        <w:rPr>
          <w:rtl/>
        </w:rPr>
        <w:t xml:space="preserve"> </w:t>
      </w:r>
      <w:r w:rsidRPr="007F611C">
        <w:rPr>
          <w:rFonts w:hint="eastAsia"/>
          <w:rtl/>
        </w:rPr>
        <w:t>תקופה</w:t>
      </w:r>
      <w:r w:rsidRPr="007F611C">
        <w:rPr>
          <w:rtl/>
        </w:rPr>
        <w:t xml:space="preserve"> </w:t>
      </w:r>
      <w:r w:rsidRPr="007F611C">
        <w:rPr>
          <w:rFonts w:hint="eastAsia"/>
          <w:rtl/>
        </w:rPr>
        <w:t>ארוכה</w:t>
      </w:r>
      <w:r w:rsidRPr="007F611C">
        <w:rPr>
          <w:rtl/>
        </w:rPr>
        <w:t xml:space="preserve"> </w:t>
      </w:r>
      <w:r w:rsidRPr="007F611C">
        <w:rPr>
          <w:rFonts w:hint="eastAsia"/>
          <w:rtl/>
        </w:rPr>
        <w:t>בלי</w:t>
      </w:r>
      <w:r w:rsidRPr="007F611C">
        <w:rPr>
          <w:rtl/>
        </w:rPr>
        <w:t xml:space="preserve"> </w:t>
      </w:r>
      <w:r w:rsidRPr="007F611C">
        <w:rPr>
          <w:rFonts w:hint="eastAsia"/>
          <w:rtl/>
        </w:rPr>
        <w:t>שידעו</w:t>
      </w:r>
      <w:r w:rsidRPr="007F611C">
        <w:rPr>
          <w:rtl/>
        </w:rPr>
        <w:t xml:space="preserve"> </w:t>
      </w:r>
      <w:r w:rsidRPr="007F611C">
        <w:rPr>
          <w:rFonts w:hint="eastAsia"/>
          <w:rtl/>
        </w:rPr>
        <w:t>מה</w:t>
      </w:r>
      <w:r w:rsidRPr="007F611C">
        <w:rPr>
          <w:rtl/>
        </w:rPr>
        <w:t xml:space="preserve"> </w:t>
      </w:r>
      <w:r w:rsidRPr="007F611C">
        <w:rPr>
          <w:rFonts w:hint="eastAsia"/>
          <w:rtl/>
        </w:rPr>
        <w:t>עלה</w:t>
      </w:r>
      <w:r w:rsidRPr="007F611C">
        <w:rPr>
          <w:rtl/>
        </w:rPr>
        <w:t xml:space="preserve"> </w:t>
      </w:r>
      <w:r w:rsidRPr="007F611C">
        <w:rPr>
          <w:rFonts w:hint="eastAsia"/>
          <w:rtl/>
        </w:rPr>
        <w:t>בגורלם</w:t>
      </w:r>
      <w:r w:rsidRPr="007F611C">
        <w:rPr>
          <w:rtl/>
        </w:rPr>
        <w:t xml:space="preserve">. </w:t>
      </w:r>
      <w:r w:rsidRPr="007F611C">
        <w:rPr>
          <w:rFonts w:hint="eastAsia"/>
          <w:rtl/>
        </w:rPr>
        <w:t xml:space="preserve">ראוי </w:t>
      </w:r>
      <w:r w:rsidRPr="007F611C">
        <w:rPr>
          <w:rFonts w:hint="cs"/>
          <w:rtl/>
        </w:rPr>
        <w:t>ש</w:t>
      </w:r>
      <w:r w:rsidRPr="007F611C">
        <w:rPr>
          <w:rFonts w:hint="eastAsia"/>
          <w:rtl/>
        </w:rPr>
        <w:t>נתונים</w:t>
      </w:r>
      <w:r w:rsidRPr="007F611C">
        <w:rPr>
          <w:rtl/>
        </w:rPr>
        <w:t xml:space="preserve"> </w:t>
      </w:r>
      <w:r w:rsidRPr="007F611C">
        <w:rPr>
          <w:rFonts w:hint="eastAsia"/>
          <w:rtl/>
        </w:rPr>
        <w:t>אלו</w:t>
      </w:r>
      <w:r w:rsidRPr="007F611C">
        <w:rPr>
          <w:rtl/>
        </w:rPr>
        <w:t xml:space="preserve"> </w:t>
      </w:r>
      <w:r w:rsidRPr="007F611C">
        <w:rPr>
          <w:rFonts w:hint="eastAsia"/>
          <w:rtl/>
        </w:rPr>
        <w:t>יעמדו</w:t>
      </w:r>
      <w:r w:rsidRPr="007F611C">
        <w:rPr>
          <w:rtl/>
        </w:rPr>
        <w:t xml:space="preserve"> </w:t>
      </w:r>
      <w:r w:rsidRPr="007F611C">
        <w:rPr>
          <w:rFonts w:hint="eastAsia"/>
          <w:rtl/>
        </w:rPr>
        <w:t>לבחינת</w:t>
      </w:r>
      <w:r w:rsidRPr="007F611C">
        <w:rPr>
          <w:rtl/>
        </w:rPr>
        <w:t xml:space="preserve"> </w:t>
      </w:r>
      <w:r w:rsidRPr="007F611C">
        <w:rPr>
          <w:rFonts w:hint="eastAsia"/>
          <w:rtl/>
        </w:rPr>
        <w:t>הנהלת</w:t>
      </w:r>
      <w:r w:rsidRPr="007F611C">
        <w:rPr>
          <w:rtl/>
        </w:rPr>
        <w:t xml:space="preserve"> </w:t>
      </w:r>
      <w:r w:rsidRPr="007F611C">
        <w:rPr>
          <w:rFonts w:hint="eastAsia"/>
          <w:rtl/>
        </w:rPr>
        <w:t>רשות</w:t>
      </w:r>
      <w:r w:rsidRPr="007F611C">
        <w:rPr>
          <w:rtl/>
        </w:rPr>
        <w:t xml:space="preserve"> </w:t>
      </w:r>
      <w:r w:rsidRPr="007F611C">
        <w:rPr>
          <w:rFonts w:hint="eastAsia"/>
          <w:rtl/>
        </w:rPr>
        <w:t>המיסים</w:t>
      </w:r>
      <w:r w:rsidRPr="007F611C">
        <w:rPr>
          <w:rtl/>
        </w:rPr>
        <w:t>.</w:t>
      </w:r>
    </w:p>
    <w:p w14:paraId="4B6A4FDA" w14:textId="77777777" w:rsidR="00F368B6" w:rsidRPr="00020713" w:rsidRDefault="00F368B6" w:rsidP="00D711CC">
      <w:pPr>
        <w:pStyle w:val="100"/>
        <w:rPr>
          <w:rtl/>
        </w:rPr>
      </w:pPr>
      <w:r w:rsidRPr="00D711CC">
        <w:rPr>
          <w:rStyle w:val="Heading7Char"/>
          <w:rFonts w:eastAsiaTheme="minorHAnsi" w:hint="eastAsia"/>
          <w:b/>
          <w:color w:val="004E6C"/>
          <w:spacing w:val="0"/>
          <w:rtl/>
        </w:rPr>
        <w:t>הצעות</w:t>
      </w:r>
      <w:r w:rsidRPr="00D711CC">
        <w:rPr>
          <w:rStyle w:val="Heading7Char"/>
          <w:rFonts w:eastAsiaTheme="minorHAnsi"/>
          <w:b/>
          <w:color w:val="004E6C"/>
          <w:spacing w:val="0"/>
          <w:rtl/>
        </w:rPr>
        <w:t xml:space="preserve"> </w:t>
      </w:r>
      <w:r w:rsidRPr="00D711CC">
        <w:rPr>
          <w:rStyle w:val="Heading7Char"/>
          <w:rFonts w:eastAsiaTheme="minorHAnsi" w:hint="eastAsia"/>
          <w:b/>
          <w:color w:val="004E6C"/>
          <w:spacing w:val="0"/>
          <w:rtl/>
        </w:rPr>
        <w:t>למענ</w:t>
      </w:r>
      <w:r w:rsidRPr="00D711CC">
        <w:rPr>
          <w:rStyle w:val="Heading7Char"/>
          <w:rFonts w:eastAsiaTheme="minorHAnsi" w:hint="cs"/>
          <w:b/>
          <w:color w:val="004E6C"/>
          <w:spacing w:val="0"/>
          <w:rtl/>
        </w:rPr>
        <w:t>ה</w:t>
      </w:r>
      <w:r w:rsidRPr="00D711CC">
        <w:rPr>
          <w:rStyle w:val="Heading7Char"/>
          <w:rFonts w:eastAsiaTheme="minorHAnsi"/>
          <w:b/>
          <w:color w:val="004E6C"/>
          <w:spacing w:val="0"/>
          <w:rtl/>
        </w:rPr>
        <w:t xml:space="preserve"> </w:t>
      </w:r>
      <w:r w:rsidRPr="00D711CC">
        <w:rPr>
          <w:rStyle w:val="Heading7Char"/>
          <w:rFonts w:eastAsiaTheme="minorHAnsi" w:hint="eastAsia"/>
          <w:b/>
          <w:color w:val="004E6C"/>
          <w:spacing w:val="0"/>
          <w:rtl/>
        </w:rPr>
        <w:t>פנים</w:t>
      </w:r>
      <w:r w:rsidRPr="00D711CC">
        <w:rPr>
          <w:rStyle w:val="Heading7Char"/>
          <w:rFonts w:eastAsiaTheme="minorHAnsi" w:hint="cs"/>
          <w:b/>
          <w:color w:val="004E6C"/>
          <w:spacing w:val="0"/>
          <w:rtl/>
        </w:rPr>
        <w:t>-</w:t>
      </w:r>
      <w:r w:rsidRPr="00D711CC">
        <w:rPr>
          <w:rStyle w:val="Heading7Char"/>
          <w:rFonts w:eastAsiaTheme="minorHAnsi" w:hint="eastAsia"/>
          <w:b/>
          <w:color w:val="004E6C"/>
          <w:spacing w:val="0"/>
          <w:rtl/>
        </w:rPr>
        <w:t>ארגוני</w:t>
      </w:r>
      <w:r w:rsidRPr="00D711CC">
        <w:rPr>
          <w:rStyle w:val="Heading7Char"/>
          <w:rFonts w:eastAsiaTheme="minorHAnsi"/>
          <w:b/>
          <w:color w:val="004E6C"/>
          <w:spacing w:val="0"/>
          <w:rtl/>
        </w:rPr>
        <w:t xml:space="preserve"> </w:t>
      </w:r>
      <w:r w:rsidRPr="00D711CC">
        <w:rPr>
          <w:rStyle w:val="Heading7Char"/>
          <w:rFonts w:eastAsiaTheme="minorHAnsi" w:hint="eastAsia"/>
          <w:b/>
          <w:color w:val="004E6C"/>
          <w:spacing w:val="0"/>
          <w:rtl/>
        </w:rPr>
        <w:t>במחלקה</w:t>
      </w:r>
      <w:r w:rsidRPr="00D711CC">
        <w:rPr>
          <w:rStyle w:val="Heading7Char"/>
          <w:rFonts w:eastAsiaTheme="minorHAnsi"/>
          <w:b/>
          <w:color w:val="004E6C"/>
          <w:spacing w:val="0"/>
          <w:rtl/>
        </w:rPr>
        <w:t xml:space="preserve"> </w:t>
      </w:r>
      <w:r w:rsidRPr="00D711CC">
        <w:rPr>
          <w:rStyle w:val="Heading7Char"/>
          <w:rFonts w:eastAsiaTheme="minorHAnsi" w:hint="eastAsia"/>
          <w:b/>
          <w:color w:val="004E6C"/>
          <w:spacing w:val="0"/>
          <w:rtl/>
        </w:rPr>
        <w:t>המשפטית</w:t>
      </w:r>
      <w:r w:rsidRPr="00D711CC">
        <w:rPr>
          <w:rStyle w:val="Heading7Char"/>
          <w:rFonts w:eastAsiaTheme="minorHAnsi"/>
          <w:b/>
          <w:color w:val="004E6C"/>
          <w:spacing w:val="0"/>
          <w:rtl/>
        </w:rPr>
        <w:t xml:space="preserve"> </w:t>
      </w:r>
      <w:r w:rsidRPr="00D711CC">
        <w:rPr>
          <w:rStyle w:val="Heading7Char"/>
          <w:rFonts w:eastAsiaTheme="minorHAnsi" w:hint="eastAsia"/>
          <w:b/>
          <w:color w:val="004E6C"/>
          <w:spacing w:val="0"/>
          <w:rtl/>
        </w:rPr>
        <w:t>ברשות</w:t>
      </w:r>
      <w:r w:rsidRPr="00D711CC">
        <w:rPr>
          <w:rStyle w:val="Heading7Char"/>
          <w:rFonts w:eastAsiaTheme="minorHAnsi"/>
          <w:b/>
          <w:color w:val="004E6C"/>
          <w:spacing w:val="0"/>
          <w:rtl/>
        </w:rPr>
        <w:t xml:space="preserve"> </w:t>
      </w:r>
      <w:r w:rsidRPr="00D711CC">
        <w:rPr>
          <w:rStyle w:val="Heading7Char"/>
          <w:rFonts w:eastAsiaTheme="minorHAnsi" w:hint="eastAsia"/>
          <w:b/>
          <w:color w:val="004E6C"/>
          <w:spacing w:val="0"/>
          <w:rtl/>
        </w:rPr>
        <w:t>המיסים</w:t>
      </w:r>
      <w:r w:rsidRPr="00D711CC">
        <w:rPr>
          <w:rStyle w:val="Heading7Char"/>
          <w:rFonts w:eastAsiaTheme="minorHAnsi"/>
          <w:b/>
          <w:color w:val="004E6C"/>
          <w:spacing w:val="0"/>
          <w:rtl/>
        </w:rPr>
        <w:t xml:space="preserve"> (מע"</w:t>
      </w:r>
      <w:r w:rsidRPr="00D711CC">
        <w:rPr>
          <w:rStyle w:val="Heading7Char"/>
          <w:rFonts w:eastAsiaTheme="minorHAnsi" w:hint="cs"/>
          <w:b/>
          <w:color w:val="004E6C"/>
          <w:spacing w:val="0"/>
          <w:rtl/>
        </w:rPr>
        <w:t>ם</w:t>
      </w:r>
      <w:r w:rsidRPr="00D711CC">
        <w:rPr>
          <w:rStyle w:val="Heading7Char"/>
          <w:rFonts w:eastAsiaTheme="minorHAnsi"/>
          <w:b/>
          <w:color w:val="004E6C"/>
          <w:spacing w:val="0"/>
          <w:rtl/>
        </w:rPr>
        <w:t>):</w:t>
      </w:r>
      <w:r>
        <w:rPr>
          <w:rStyle w:val="Heading5Char"/>
          <w:rFonts w:hint="cs"/>
          <w:rtl/>
        </w:rPr>
        <w:t xml:space="preserve"> </w:t>
      </w:r>
      <w:r w:rsidRPr="00020713">
        <w:rPr>
          <w:rFonts w:hint="cs"/>
          <w:rtl/>
        </w:rPr>
        <w:t xml:space="preserve">נוכח הפערים שהצטברו </w:t>
      </w:r>
      <w:r w:rsidRPr="00020713">
        <w:rPr>
          <w:rtl/>
        </w:rPr>
        <w:t xml:space="preserve">מינה מנהל רשות המיסים </w:t>
      </w:r>
      <w:r w:rsidRPr="00020713">
        <w:rPr>
          <w:rFonts w:hint="cs"/>
          <w:rtl/>
        </w:rPr>
        <w:t xml:space="preserve">בספטמבר 2018 </w:t>
      </w:r>
      <w:r w:rsidRPr="00020713">
        <w:rPr>
          <w:rtl/>
        </w:rPr>
        <w:t>ועדה</w:t>
      </w:r>
      <w:r>
        <w:rPr>
          <w:rFonts w:hint="cs"/>
          <w:rtl/>
        </w:rPr>
        <w:t xml:space="preserve"> בראשות סמנכ"לית בכירה (מע"ם), שחברים בה גורמים שונים ברשות</w:t>
      </w:r>
      <w:r w:rsidRPr="00020713">
        <w:rPr>
          <w:rtl/>
        </w:rPr>
        <w:t xml:space="preserve"> ושתפקידה לגבש המלצות לצמצום כמות התיקים הפליליים במערך מע"</w:t>
      </w:r>
      <w:r>
        <w:rPr>
          <w:rFonts w:hint="cs"/>
          <w:rtl/>
        </w:rPr>
        <w:t>ם</w:t>
      </w:r>
      <w:r w:rsidRPr="00020713">
        <w:rPr>
          <w:rtl/>
        </w:rPr>
        <w:t xml:space="preserve">. </w:t>
      </w:r>
    </w:p>
    <w:p w14:paraId="6054409D" w14:textId="77777777" w:rsidR="00F368B6" w:rsidRPr="00020713" w:rsidRDefault="00F368B6" w:rsidP="00D711CC">
      <w:pPr>
        <w:pStyle w:val="100"/>
      </w:pPr>
      <w:r w:rsidRPr="00020713">
        <w:rPr>
          <w:rtl/>
        </w:rPr>
        <w:t>במסגרת המלצותיה ציינה</w:t>
      </w:r>
      <w:r w:rsidRPr="00020713">
        <w:rPr>
          <w:rFonts w:hint="cs"/>
          <w:rtl/>
        </w:rPr>
        <w:t xml:space="preserve"> הוועדה</w:t>
      </w:r>
      <w:r w:rsidRPr="00020713">
        <w:rPr>
          <w:rtl/>
        </w:rPr>
        <w:t xml:space="preserve"> כי</w:t>
      </w:r>
      <w:r>
        <w:rPr>
          <w:rFonts w:hint="cs"/>
          <w:rtl/>
        </w:rPr>
        <w:t xml:space="preserve"> היועצים המשפטיים, ובכללם</w:t>
      </w:r>
      <w:r w:rsidRPr="00020713">
        <w:rPr>
          <w:rtl/>
        </w:rPr>
        <w:t xml:space="preserve"> </w:t>
      </w:r>
      <w:r w:rsidRPr="00020713">
        <w:rPr>
          <w:rFonts w:hint="cs"/>
          <w:rtl/>
        </w:rPr>
        <w:t>תובעי רשות המיסים</w:t>
      </w:r>
      <w:r>
        <w:rPr>
          <w:rFonts w:hint="cs"/>
          <w:rtl/>
        </w:rPr>
        <w:t>,</w:t>
      </w:r>
      <w:r w:rsidRPr="00020713">
        <w:rPr>
          <w:rFonts w:hint="cs"/>
          <w:rtl/>
        </w:rPr>
        <w:t xml:space="preserve"> </w:t>
      </w:r>
      <w:r w:rsidRPr="00020713">
        <w:rPr>
          <w:rtl/>
        </w:rPr>
        <w:t>מבזבזים זמן בעבודה מ</w:t>
      </w:r>
      <w:r>
        <w:rPr>
          <w:rFonts w:hint="cs"/>
          <w:rtl/>
        </w:rPr>
        <w:t>י</w:t>
      </w:r>
      <w:r w:rsidRPr="00020713">
        <w:rPr>
          <w:rtl/>
        </w:rPr>
        <w:t xml:space="preserve">נהלית כגון סריקת תיקים, הזמנת עדים, קביעת פגישות עם עורכי דין </w:t>
      </w:r>
      <w:r>
        <w:rPr>
          <w:rFonts w:hint="cs"/>
          <w:rtl/>
        </w:rPr>
        <w:t>ו</w:t>
      </w:r>
      <w:r w:rsidRPr="00020713">
        <w:rPr>
          <w:rtl/>
        </w:rPr>
        <w:t>הגשת חומרים לבתי המשפט.</w:t>
      </w:r>
      <w:r>
        <w:rPr>
          <w:rFonts w:hint="cs"/>
          <w:rtl/>
        </w:rPr>
        <w:t xml:space="preserve"> </w:t>
      </w:r>
      <w:r w:rsidRPr="00020713">
        <w:rPr>
          <w:rtl/>
        </w:rPr>
        <w:t xml:space="preserve">כמו כן צוין כי </w:t>
      </w:r>
      <w:r w:rsidRPr="00020713">
        <w:rPr>
          <w:rFonts w:hint="cs"/>
          <w:rtl/>
        </w:rPr>
        <w:t>תובעים</w:t>
      </w:r>
      <w:r w:rsidRPr="00020713">
        <w:rPr>
          <w:rtl/>
        </w:rPr>
        <w:t xml:space="preserve"> רבים עוזבים את היחידה המשפטית למשרדי ממשלה אחרים</w:t>
      </w:r>
      <w:r>
        <w:rPr>
          <w:rFonts w:hint="cs"/>
          <w:rtl/>
        </w:rPr>
        <w:t>,</w:t>
      </w:r>
      <w:r w:rsidRPr="00020713">
        <w:rPr>
          <w:rtl/>
        </w:rPr>
        <w:t xml:space="preserve"> ובעיקר לפרקליטות</w:t>
      </w:r>
      <w:r>
        <w:rPr>
          <w:rFonts w:hint="cs"/>
          <w:rtl/>
        </w:rPr>
        <w:t xml:space="preserve"> -</w:t>
      </w:r>
      <w:r w:rsidRPr="00020713">
        <w:rPr>
          <w:rtl/>
        </w:rPr>
        <w:t xml:space="preserve"> עזיבה </w:t>
      </w:r>
      <w:r>
        <w:rPr>
          <w:rFonts w:hint="cs"/>
          <w:rtl/>
        </w:rPr>
        <w:t>ה</w:t>
      </w:r>
      <w:r w:rsidRPr="00020713">
        <w:rPr>
          <w:rtl/>
        </w:rPr>
        <w:t xml:space="preserve">נגרמת, בין היתר, </w:t>
      </w:r>
      <w:r>
        <w:rPr>
          <w:rFonts w:hint="cs"/>
          <w:rtl/>
        </w:rPr>
        <w:t>מ</w:t>
      </w:r>
      <w:r>
        <w:rPr>
          <w:rtl/>
        </w:rPr>
        <w:t xml:space="preserve">תנאי השכר </w:t>
      </w:r>
      <w:r w:rsidRPr="00020713">
        <w:rPr>
          <w:rtl/>
        </w:rPr>
        <w:t>של היועצים המשפטיים</w:t>
      </w:r>
      <w:r>
        <w:rPr>
          <w:rtl/>
        </w:rPr>
        <w:t xml:space="preserve"> </w:t>
      </w:r>
      <w:r w:rsidRPr="00020713">
        <w:rPr>
          <w:rtl/>
        </w:rPr>
        <w:t>ו</w:t>
      </w:r>
      <w:r>
        <w:rPr>
          <w:rFonts w:hint="cs"/>
          <w:rtl/>
        </w:rPr>
        <w:t>מ</w:t>
      </w:r>
      <w:r w:rsidRPr="00020713">
        <w:rPr>
          <w:rtl/>
        </w:rPr>
        <w:t>עומסי העבודה המוטלים עליהם. עוד עולה מהמלצות הוועדה כי</w:t>
      </w:r>
      <w:r w:rsidRPr="00020713">
        <w:rPr>
          <w:b/>
          <w:rtl/>
        </w:rPr>
        <w:t xml:space="preserve"> בשל הליכי מכרז וקליטה ארוכים ביותר נאלצת המחלקה המשפטית לקלוט לשורותיה יועצים משפטיים צעירים וחסרי ניסיון. הליך הכשרתם וחניכ</w:t>
      </w:r>
      <w:r>
        <w:rPr>
          <w:rFonts w:hint="cs"/>
          <w:b/>
          <w:rtl/>
        </w:rPr>
        <w:t>ת</w:t>
      </w:r>
      <w:r w:rsidRPr="00020713">
        <w:rPr>
          <w:b/>
          <w:rtl/>
        </w:rPr>
        <w:t xml:space="preserve">ם של </w:t>
      </w:r>
      <w:r>
        <w:rPr>
          <w:rFonts w:hint="cs"/>
          <w:b/>
          <w:rtl/>
        </w:rPr>
        <w:t>אלה</w:t>
      </w:r>
      <w:r w:rsidRPr="00020713">
        <w:rPr>
          <w:b/>
          <w:rtl/>
        </w:rPr>
        <w:t xml:space="preserve"> </w:t>
      </w:r>
      <w:r>
        <w:rPr>
          <w:rFonts w:hint="cs"/>
          <w:b/>
          <w:rtl/>
        </w:rPr>
        <w:t>ב</w:t>
      </w:r>
      <w:r w:rsidRPr="00020713">
        <w:rPr>
          <w:b/>
          <w:rtl/>
        </w:rPr>
        <w:t>ידי היועצים המשפט</w:t>
      </w:r>
      <w:r>
        <w:rPr>
          <w:rFonts w:hint="cs"/>
          <w:b/>
          <w:rtl/>
        </w:rPr>
        <w:t>י</w:t>
      </w:r>
      <w:r w:rsidRPr="00020713">
        <w:rPr>
          <w:b/>
          <w:rtl/>
        </w:rPr>
        <w:t>ים הוותיקים גוזל זמן יקר</w:t>
      </w:r>
      <w:r>
        <w:rPr>
          <w:rFonts w:hint="cs"/>
          <w:b/>
          <w:rtl/>
        </w:rPr>
        <w:t>,</w:t>
      </w:r>
      <w:r w:rsidRPr="00020713">
        <w:rPr>
          <w:b/>
          <w:rtl/>
        </w:rPr>
        <w:t xml:space="preserve"> ובזמן זה תיקים רבים אינם מטופלים.</w:t>
      </w:r>
    </w:p>
    <w:p w14:paraId="735BFF6C" w14:textId="77777777" w:rsidR="00F368B6" w:rsidRPr="00020713" w:rsidRDefault="00F368B6" w:rsidP="00D711CC">
      <w:pPr>
        <w:pStyle w:val="100"/>
        <w:rPr>
          <w:rtl/>
        </w:rPr>
      </w:pPr>
      <w:r w:rsidRPr="00020713">
        <w:rPr>
          <w:rtl/>
        </w:rPr>
        <w:t>אחת ההמלצות של הוועדה לש</w:t>
      </w:r>
      <w:r>
        <w:rPr>
          <w:rFonts w:hint="cs"/>
          <w:rtl/>
        </w:rPr>
        <w:t>י</w:t>
      </w:r>
      <w:r w:rsidRPr="00020713">
        <w:rPr>
          <w:rtl/>
        </w:rPr>
        <w:t>מ</w:t>
      </w:r>
      <w:r>
        <w:rPr>
          <w:rFonts w:hint="cs"/>
          <w:rtl/>
        </w:rPr>
        <w:t>ו</w:t>
      </w:r>
      <w:r w:rsidRPr="00020713">
        <w:rPr>
          <w:rtl/>
        </w:rPr>
        <w:t>ר כוח אדם איכותי ולמנ</w:t>
      </w:r>
      <w:r>
        <w:rPr>
          <w:rFonts w:hint="cs"/>
          <w:rtl/>
        </w:rPr>
        <w:t>י</w:t>
      </w:r>
      <w:r w:rsidRPr="00020713">
        <w:rPr>
          <w:rtl/>
        </w:rPr>
        <w:t>ע</w:t>
      </w:r>
      <w:r>
        <w:rPr>
          <w:rFonts w:hint="cs"/>
          <w:rtl/>
        </w:rPr>
        <w:t>ת</w:t>
      </w:r>
      <w:r w:rsidRPr="00020713">
        <w:rPr>
          <w:rtl/>
        </w:rPr>
        <w:t xml:space="preserve"> תחלופה מרובה </w:t>
      </w:r>
      <w:r>
        <w:rPr>
          <w:rFonts w:hint="cs"/>
          <w:rtl/>
        </w:rPr>
        <w:t>הייתה</w:t>
      </w:r>
      <w:r w:rsidRPr="00020713">
        <w:rPr>
          <w:rtl/>
        </w:rPr>
        <w:t xml:space="preserve"> לתת ליועצים המשפטיים </w:t>
      </w:r>
      <w:r>
        <w:rPr>
          <w:rFonts w:hint="cs"/>
          <w:rtl/>
        </w:rPr>
        <w:t>"</w:t>
      </w:r>
      <w:r w:rsidRPr="00020713">
        <w:rPr>
          <w:rtl/>
        </w:rPr>
        <w:t>אופק קידומי</w:t>
      </w:r>
      <w:r>
        <w:rPr>
          <w:rFonts w:hint="cs"/>
          <w:rtl/>
        </w:rPr>
        <w:t>"</w:t>
      </w:r>
      <w:r w:rsidRPr="00020713">
        <w:rPr>
          <w:rtl/>
        </w:rPr>
        <w:t xml:space="preserve"> ולאפשר להם להשתתף בקורסים מקצועיים. </w:t>
      </w:r>
      <w:r>
        <w:rPr>
          <w:rFonts w:hint="cs"/>
          <w:rtl/>
        </w:rPr>
        <w:t xml:space="preserve">צוין כי </w:t>
      </w:r>
      <w:r w:rsidRPr="00020713">
        <w:rPr>
          <w:rtl/>
        </w:rPr>
        <w:t xml:space="preserve">ככל </w:t>
      </w:r>
      <w:r>
        <w:rPr>
          <w:rFonts w:hint="cs"/>
          <w:rtl/>
        </w:rPr>
        <w:t>ש</w:t>
      </w:r>
      <w:r w:rsidRPr="00020713">
        <w:rPr>
          <w:rtl/>
        </w:rPr>
        <w:t xml:space="preserve">כוח </w:t>
      </w:r>
      <w:r>
        <w:rPr>
          <w:rFonts w:hint="cs"/>
          <w:rtl/>
        </w:rPr>
        <w:t>ה</w:t>
      </w:r>
      <w:r w:rsidRPr="00020713">
        <w:rPr>
          <w:rtl/>
        </w:rPr>
        <w:t xml:space="preserve">אדם </w:t>
      </w:r>
      <w:r>
        <w:rPr>
          <w:rFonts w:hint="cs"/>
          <w:rtl/>
        </w:rPr>
        <w:t xml:space="preserve">יהיה </w:t>
      </w:r>
      <w:r w:rsidRPr="00020713">
        <w:rPr>
          <w:rtl/>
        </w:rPr>
        <w:t>איכותי וב</w:t>
      </w:r>
      <w:r>
        <w:rPr>
          <w:rFonts w:hint="cs"/>
          <w:rtl/>
        </w:rPr>
        <w:t>ע</w:t>
      </w:r>
      <w:r w:rsidRPr="00020713">
        <w:rPr>
          <w:rtl/>
        </w:rPr>
        <w:t xml:space="preserve">ל ותק וניסיון </w:t>
      </w:r>
      <w:r>
        <w:rPr>
          <w:rFonts w:hint="cs"/>
          <w:rtl/>
        </w:rPr>
        <w:t>ת</w:t>
      </w:r>
      <w:r w:rsidRPr="00020713">
        <w:rPr>
          <w:rtl/>
        </w:rPr>
        <w:t xml:space="preserve">צליח </w:t>
      </w:r>
      <w:r>
        <w:rPr>
          <w:rFonts w:hint="cs"/>
          <w:rtl/>
        </w:rPr>
        <w:t>הרשות לטפל</w:t>
      </w:r>
      <w:r w:rsidRPr="00020713">
        <w:rPr>
          <w:rtl/>
        </w:rPr>
        <w:t xml:space="preserve"> </w:t>
      </w:r>
      <w:r>
        <w:rPr>
          <w:rFonts w:hint="cs"/>
          <w:rtl/>
        </w:rPr>
        <w:t>ב</w:t>
      </w:r>
      <w:r w:rsidRPr="00020713">
        <w:rPr>
          <w:rtl/>
        </w:rPr>
        <w:t xml:space="preserve">תיקים </w:t>
      </w:r>
      <w:r>
        <w:rPr>
          <w:rFonts w:hint="cs"/>
          <w:rtl/>
        </w:rPr>
        <w:t xml:space="preserve">רבים יותר, </w:t>
      </w:r>
      <w:r w:rsidRPr="00020713">
        <w:rPr>
          <w:rtl/>
        </w:rPr>
        <w:t xml:space="preserve">ובהמשך </w:t>
      </w:r>
      <w:r>
        <w:rPr>
          <w:rFonts w:hint="cs"/>
          <w:rtl/>
        </w:rPr>
        <w:t xml:space="preserve">תוכל </w:t>
      </w:r>
      <w:r w:rsidRPr="00020713">
        <w:rPr>
          <w:rtl/>
        </w:rPr>
        <w:t>לשמר את</w:t>
      </w:r>
      <w:r>
        <w:rPr>
          <w:rFonts w:hint="cs"/>
          <w:rtl/>
        </w:rPr>
        <w:t xml:space="preserve"> היועצים</w:t>
      </w:r>
      <w:r w:rsidRPr="00020713">
        <w:rPr>
          <w:rtl/>
        </w:rPr>
        <w:t xml:space="preserve"> לתפקידים אחרים ברשות</w:t>
      </w:r>
      <w:r>
        <w:rPr>
          <w:rFonts w:hint="cs"/>
          <w:rtl/>
        </w:rPr>
        <w:t>.</w:t>
      </w:r>
    </w:p>
    <w:p w14:paraId="091325BB" w14:textId="77777777" w:rsidR="00F368B6" w:rsidRPr="00C45645" w:rsidRDefault="00F368B6" w:rsidP="00D711CC">
      <w:pPr>
        <w:pStyle w:val="100"/>
        <w:rPr>
          <w:b/>
          <w:rtl/>
        </w:rPr>
      </w:pPr>
      <w:r>
        <w:rPr>
          <w:rFonts w:hint="cs"/>
          <w:b/>
          <w:rtl/>
        </w:rPr>
        <w:t>מרשות המיסים נמסר כי מרבית המלצות הוועדה טרם יושמו, והמחלקה המשפטית העבירה פנייה מסודרת בעניין לחטיבת המינהל ברשות ואף התקיימו ישיבות בנושא זה. עוד ציינה רשות המיסים כי בשנתיים האחרונות התווספו 30 תקני פרקליטים לצוות התביעה ברשות. מעבר לכך, היא פועלת מול נציבות שירות המדינה לבחינת המבנה הארגוני של החטיבה המשפטית במטרה לשפר את ההון האנושי בחטיבה.</w:t>
      </w:r>
    </w:p>
    <w:p w14:paraId="631E1FA6" w14:textId="77777777" w:rsidR="00F368B6" w:rsidRDefault="00F368B6" w:rsidP="00D711CC">
      <w:pPr>
        <w:pStyle w:val="af1"/>
        <w:rPr>
          <w:rtl/>
        </w:rPr>
      </w:pPr>
      <w:r>
        <w:rPr>
          <w:rFonts w:hint="cs"/>
          <w:rtl/>
        </w:rPr>
        <w:t>מוצע</w:t>
      </w:r>
      <w:r w:rsidRPr="00C01723">
        <w:rPr>
          <w:rFonts w:hint="cs"/>
          <w:rtl/>
        </w:rPr>
        <w:t xml:space="preserve"> לרשות המיסים כי </w:t>
      </w:r>
      <w:r>
        <w:rPr>
          <w:rFonts w:hint="cs"/>
          <w:b/>
          <w:rtl/>
        </w:rPr>
        <w:t>תשקיע</w:t>
      </w:r>
      <w:r w:rsidRPr="00C01723">
        <w:rPr>
          <w:b/>
          <w:rtl/>
        </w:rPr>
        <w:t xml:space="preserve"> מאמץ בשימור </w:t>
      </w:r>
      <w:r w:rsidRPr="00C01723">
        <w:rPr>
          <w:rFonts w:hint="cs"/>
          <w:rtl/>
        </w:rPr>
        <w:t>כ</w:t>
      </w:r>
      <w:r>
        <w:rPr>
          <w:rFonts w:hint="cs"/>
          <w:rtl/>
        </w:rPr>
        <w:t>ו</w:t>
      </w:r>
      <w:r w:rsidRPr="00C01723">
        <w:rPr>
          <w:rFonts w:hint="cs"/>
          <w:rtl/>
        </w:rPr>
        <w:t>ח האדם המקצועי במחלקה המשפטית</w:t>
      </w:r>
      <w:r w:rsidRPr="00C01723">
        <w:rPr>
          <w:b/>
          <w:rtl/>
        </w:rPr>
        <w:t xml:space="preserve"> </w:t>
      </w:r>
      <w:r>
        <w:rPr>
          <w:rFonts w:hint="cs"/>
          <w:b/>
          <w:rtl/>
        </w:rPr>
        <w:t>וב</w:t>
      </w:r>
      <w:r w:rsidRPr="00C01723">
        <w:rPr>
          <w:b/>
          <w:rtl/>
        </w:rPr>
        <w:t>מציאת מענ</w:t>
      </w:r>
      <w:r>
        <w:rPr>
          <w:rFonts w:hint="cs"/>
          <w:b/>
          <w:rtl/>
        </w:rPr>
        <w:t>ה</w:t>
      </w:r>
      <w:r w:rsidRPr="00C01723">
        <w:rPr>
          <w:b/>
          <w:rtl/>
        </w:rPr>
        <w:t xml:space="preserve"> פנים</w:t>
      </w:r>
      <w:r w:rsidRPr="00C01723">
        <w:rPr>
          <w:rFonts w:hint="cs"/>
          <w:b/>
          <w:rtl/>
        </w:rPr>
        <w:t>-</w:t>
      </w:r>
      <w:r w:rsidRPr="00C01723">
        <w:rPr>
          <w:b/>
          <w:rtl/>
        </w:rPr>
        <w:t>ארגוני</w:t>
      </w:r>
      <w:r w:rsidRPr="00C01723">
        <w:rPr>
          <w:rFonts w:hint="cs"/>
          <w:b/>
          <w:rtl/>
        </w:rPr>
        <w:t xml:space="preserve"> </w:t>
      </w:r>
      <w:r>
        <w:rPr>
          <w:rFonts w:hint="cs"/>
          <w:b/>
          <w:rtl/>
        </w:rPr>
        <w:t>ל</w:t>
      </w:r>
      <w:r w:rsidRPr="00C01723">
        <w:rPr>
          <w:b/>
          <w:rtl/>
        </w:rPr>
        <w:t xml:space="preserve">תופעת עזיבת </w:t>
      </w:r>
      <w:r>
        <w:rPr>
          <w:rFonts w:hint="cs"/>
          <w:b/>
          <w:rtl/>
        </w:rPr>
        <w:t>ה</w:t>
      </w:r>
      <w:r w:rsidRPr="00C01723">
        <w:rPr>
          <w:b/>
          <w:rtl/>
        </w:rPr>
        <w:t>תובעים את שורותיה</w:t>
      </w:r>
      <w:r>
        <w:rPr>
          <w:rFonts w:hint="cs"/>
          <w:b/>
          <w:rtl/>
        </w:rPr>
        <w:t>, ותנקוט</w:t>
      </w:r>
      <w:r w:rsidRPr="00C01723">
        <w:rPr>
          <w:rFonts w:hint="cs"/>
          <w:rtl/>
        </w:rPr>
        <w:t xml:space="preserve"> </w:t>
      </w:r>
      <w:r>
        <w:rPr>
          <w:rFonts w:hint="cs"/>
          <w:rtl/>
        </w:rPr>
        <w:t>ב</w:t>
      </w:r>
      <w:r w:rsidRPr="00C01723">
        <w:rPr>
          <w:rFonts w:hint="cs"/>
          <w:rtl/>
        </w:rPr>
        <w:t xml:space="preserve">פעולות שיבטיחו את קיצור משכי </w:t>
      </w:r>
      <w:r>
        <w:rPr>
          <w:rFonts w:hint="cs"/>
          <w:rtl/>
        </w:rPr>
        <w:t>ה</w:t>
      </w:r>
      <w:r w:rsidRPr="00C01723">
        <w:rPr>
          <w:rFonts w:hint="cs"/>
          <w:rtl/>
        </w:rPr>
        <w:t>הליכי</w:t>
      </w:r>
      <w:r>
        <w:rPr>
          <w:rFonts w:hint="cs"/>
          <w:rtl/>
        </w:rPr>
        <w:t>ם</w:t>
      </w:r>
      <w:r w:rsidRPr="00C01723">
        <w:rPr>
          <w:rFonts w:hint="cs"/>
          <w:rtl/>
        </w:rPr>
        <w:t xml:space="preserve"> </w:t>
      </w:r>
      <w:r>
        <w:rPr>
          <w:rFonts w:hint="cs"/>
          <w:rtl/>
        </w:rPr>
        <w:t>ל</w:t>
      </w:r>
      <w:r w:rsidRPr="00C01723">
        <w:rPr>
          <w:rFonts w:hint="cs"/>
          <w:rtl/>
        </w:rPr>
        <w:t>גיוס תובעי</w:t>
      </w:r>
      <w:r>
        <w:rPr>
          <w:rFonts w:hint="cs"/>
          <w:rtl/>
        </w:rPr>
        <w:t>ם חדשים.</w:t>
      </w:r>
    </w:p>
    <w:p w14:paraId="413B568C" w14:textId="6EFB80C7" w:rsidR="00F368B6" w:rsidRDefault="00F368B6" w:rsidP="004C13E9">
      <w:pPr>
        <w:pStyle w:val="316"/>
        <w:rPr>
          <w:rtl/>
        </w:rPr>
      </w:pPr>
      <w:bookmarkStart w:id="14" w:name="_Toc24370964"/>
      <w:r w:rsidRPr="005C203A">
        <w:rPr>
          <w:rFonts w:hint="cs"/>
          <w:rtl/>
        </w:rPr>
        <w:lastRenderedPageBreak/>
        <w:t xml:space="preserve">ממשקי העבודה של גופי האכיפה ביחס לניהול זמני של </w:t>
      </w:r>
      <w:r w:rsidRPr="00112082">
        <w:rPr>
          <w:rFonts w:hint="eastAsia"/>
          <w:rtl/>
        </w:rPr>
        <w:t>התפוסים</w:t>
      </w:r>
      <w:bookmarkEnd w:id="14"/>
      <w:r w:rsidRPr="005C203A">
        <w:rPr>
          <w:rFonts w:hint="cs"/>
          <w:rtl/>
        </w:rPr>
        <w:t xml:space="preserve"> </w:t>
      </w:r>
      <w:r>
        <w:rPr>
          <w:rFonts w:hint="cs"/>
          <w:rtl/>
        </w:rPr>
        <w:t>עד מימושם</w:t>
      </w:r>
    </w:p>
    <w:p w14:paraId="1C73FF85" w14:textId="77777777" w:rsidR="00F368B6" w:rsidRPr="004A7660" w:rsidRDefault="00F368B6" w:rsidP="004C13E9">
      <w:pPr>
        <w:pStyle w:val="414"/>
        <w:rPr>
          <w:rtl/>
        </w:rPr>
      </w:pPr>
      <w:r w:rsidRPr="00395A8B">
        <w:rPr>
          <w:rFonts w:hint="eastAsia"/>
          <w:rtl/>
        </w:rPr>
        <w:t>ה</w:t>
      </w:r>
      <w:r>
        <w:rPr>
          <w:rFonts w:hint="cs"/>
          <w:rtl/>
        </w:rPr>
        <w:t>י</w:t>
      </w:r>
      <w:r w:rsidRPr="00395A8B">
        <w:rPr>
          <w:rFonts w:hint="eastAsia"/>
          <w:rtl/>
        </w:rPr>
        <w:t>עדר</w:t>
      </w:r>
      <w:r w:rsidRPr="00395A8B">
        <w:rPr>
          <w:rtl/>
        </w:rPr>
        <w:t xml:space="preserve"> </w:t>
      </w:r>
      <w:r w:rsidRPr="00395A8B">
        <w:rPr>
          <w:rFonts w:hint="eastAsia"/>
          <w:rtl/>
        </w:rPr>
        <w:t>נהלים</w:t>
      </w:r>
      <w:r w:rsidRPr="00395A8B">
        <w:rPr>
          <w:rtl/>
        </w:rPr>
        <w:t xml:space="preserve"> </w:t>
      </w:r>
      <w:r w:rsidRPr="00395A8B">
        <w:rPr>
          <w:rFonts w:hint="eastAsia"/>
          <w:rtl/>
        </w:rPr>
        <w:t>תקפים</w:t>
      </w:r>
      <w:r w:rsidRPr="00395A8B">
        <w:rPr>
          <w:rtl/>
        </w:rPr>
        <w:t xml:space="preserve"> </w:t>
      </w:r>
      <w:r w:rsidRPr="00395A8B">
        <w:rPr>
          <w:rFonts w:hint="eastAsia"/>
          <w:rtl/>
        </w:rPr>
        <w:t>המסדירים</w:t>
      </w:r>
      <w:r w:rsidRPr="00395A8B">
        <w:rPr>
          <w:rtl/>
        </w:rPr>
        <w:t xml:space="preserve"> </w:t>
      </w:r>
      <w:r w:rsidRPr="00395A8B">
        <w:rPr>
          <w:rFonts w:hint="eastAsia"/>
          <w:rtl/>
        </w:rPr>
        <w:t>את</w:t>
      </w:r>
      <w:r w:rsidRPr="00395A8B">
        <w:rPr>
          <w:rtl/>
        </w:rPr>
        <w:t xml:space="preserve"> </w:t>
      </w:r>
      <w:r w:rsidRPr="00395A8B">
        <w:rPr>
          <w:rFonts w:hint="eastAsia"/>
          <w:rtl/>
        </w:rPr>
        <w:t>ממשקי</w:t>
      </w:r>
      <w:r w:rsidRPr="00395A8B">
        <w:rPr>
          <w:rtl/>
        </w:rPr>
        <w:t xml:space="preserve"> </w:t>
      </w:r>
      <w:r w:rsidRPr="00395A8B">
        <w:rPr>
          <w:rFonts w:hint="eastAsia"/>
          <w:rtl/>
        </w:rPr>
        <w:t>הפעולה</w:t>
      </w:r>
      <w:r w:rsidRPr="00395A8B">
        <w:rPr>
          <w:rtl/>
        </w:rPr>
        <w:t xml:space="preserve"> </w:t>
      </w:r>
      <w:r w:rsidRPr="00395A8B">
        <w:rPr>
          <w:rFonts w:hint="eastAsia"/>
          <w:rtl/>
        </w:rPr>
        <w:t>בין</w:t>
      </w:r>
      <w:r w:rsidRPr="00395A8B">
        <w:rPr>
          <w:rtl/>
        </w:rPr>
        <w:t xml:space="preserve"> </w:t>
      </w:r>
      <w:r w:rsidRPr="00395A8B">
        <w:rPr>
          <w:rFonts w:hint="eastAsia"/>
          <w:rtl/>
        </w:rPr>
        <w:t>גופי</w:t>
      </w:r>
      <w:r w:rsidRPr="00395A8B">
        <w:rPr>
          <w:rtl/>
        </w:rPr>
        <w:t xml:space="preserve"> </w:t>
      </w:r>
      <w:r w:rsidRPr="00395A8B">
        <w:rPr>
          <w:rFonts w:hint="eastAsia"/>
          <w:rtl/>
        </w:rPr>
        <w:t>האכיפה</w:t>
      </w:r>
      <w:r w:rsidRPr="00395A8B">
        <w:rPr>
          <w:rtl/>
        </w:rPr>
        <w:t xml:space="preserve"> </w:t>
      </w:r>
      <w:r w:rsidRPr="00395A8B">
        <w:rPr>
          <w:rFonts w:hint="eastAsia"/>
          <w:rtl/>
        </w:rPr>
        <w:t>הכלכלית</w:t>
      </w:r>
    </w:p>
    <w:p w14:paraId="0AE87E69" w14:textId="77777777" w:rsidR="00F368B6" w:rsidRDefault="00F368B6" w:rsidP="004C13E9">
      <w:pPr>
        <w:pStyle w:val="100"/>
        <w:rPr>
          <w:rtl/>
        </w:rPr>
      </w:pPr>
      <w:r w:rsidRPr="005979EA">
        <w:rPr>
          <w:rFonts w:hint="eastAsia"/>
          <w:rtl/>
        </w:rPr>
        <w:t>פעולת</w:t>
      </w:r>
      <w:r w:rsidRPr="005979EA">
        <w:rPr>
          <w:rtl/>
        </w:rPr>
        <w:t xml:space="preserve"> </w:t>
      </w:r>
      <w:r w:rsidRPr="005979EA">
        <w:rPr>
          <w:rFonts w:hint="eastAsia"/>
          <w:rtl/>
        </w:rPr>
        <w:t>גיבוש</w:t>
      </w:r>
      <w:r w:rsidRPr="005979EA">
        <w:rPr>
          <w:rtl/>
        </w:rPr>
        <w:t xml:space="preserve"> </w:t>
      </w:r>
      <w:r w:rsidRPr="005979EA">
        <w:rPr>
          <w:rFonts w:hint="eastAsia"/>
          <w:rtl/>
        </w:rPr>
        <w:t>נ</w:t>
      </w:r>
      <w:r>
        <w:rPr>
          <w:rFonts w:hint="cs"/>
          <w:rtl/>
        </w:rPr>
        <w:t>ו</w:t>
      </w:r>
      <w:r w:rsidRPr="005979EA">
        <w:rPr>
          <w:rFonts w:hint="eastAsia"/>
          <w:rtl/>
        </w:rPr>
        <w:t>הלי</w:t>
      </w:r>
      <w:r w:rsidRPr="005979EA">
        <w:rPr>
          <w:rtl/>
        </w:rPr>
        <w:t xml:space="preserve"> </w:t>
      </w:r>
      <w:r w:rsidRPr="005979EA">
        <w:rPr>
          <w:rFonts w:hint="eastAsia"/>
          <w:rtl/>
        </w:rPr>
        <w:t>עבודה</w:t>
      </w:r>
      <w:r w:rsidRPr="005979EA">
        <w:rPr>
          <w:rtl/>
        </w:rPr>
        <w:t xml:space="preserve"> </w:t>
      </w:r>
      <w:r>
        <w:rPr>
          <w:rFonts w:hint="cs"/>
          <w:rtl/>
        </w:rPr>
        <w:t>ה</w:t>
      </w:r>
      <w:r w:rsidRPr="005979EA">
        <w:rPr>
          <w:rFonts w:hint="eastAsia"/>
          <w:rtl/>
        </w:rPr>
        <w:t>מוסכמים</w:t>
      </w:r>
      <w:r w:rsidRPr="005979EA">
        <w:rPr>
          <w:rtl/>
        </w:rPr>
        <w:t xml:space="preserve"> </w:t>
      </w:r>
      <w:r w:rsidRPr="005979EA">
        <w:rPr>
          <w:rFonts w:hint="eastAsia"/>
          <w:rtl/>
        </w:rPr>
        <w:t>על</w:t>
      </w:r>
      <w:r w:rsidRPr="005979EA">
        <w:rPr>
          <w:rtl/>
        </w:rPr>
        <w:t xml:space="preserve"> </w:t>
      </w:r>
      <w:r w:rsidRPr="005979EA">
        <w:rPr>
          <w:rFonts w:hint="eastAsia"/>
          <w:rtl/>
        </w:rPr>
        <w:t>כל</w:t>
      </w:r>
      <w:r w:rsidRPr="005979EA">
        <w:rPr>
          <w:rtl/>
        </w:rPr>
        <w:t xml:space="preserve"> </w:t>
      </w:r>
      <w:r w:rsidRPr="005979EA">
        <w:rPr>
          <w:rFonts w:hint="eastAsia"/>
          <w:rtl/>
        </w:rPr>
        <w:t>הצדדים</w:t>
      </w:r>
      <w:r w:rsidRPr="005979EA">
        <w:rPr>
          <w:rtl/>
        </w:rPr>
        <w:t xml:space="preserve"> </w:t>
      </w:r>
      <w:r w:rsidRPr="005979EA">
        <w:rPr>
          <w:rFonts w:hint="eastAsia"/>
          <w:rtl/>
        </w:rPr>
        <w:t>חיונית</w:t>
      </w:r>
      <w:r w:rsidRPr="005979EA">
        <w:rPr>
          <w:rtl/>
        </w:rPr>
        <w:t xml:space="preserve"> </w:t>
      </w:r>
      <w:r w:rsidRPr="005979EA">
        <w:rPr>
          <w:rFonts w:hint="eastAsia"/>
          <w:rtl/>
        </w:rPr>
        <w:t>לשם</w:t>
      </w:r>
      <w:r w:rsidRPr="005979EA">
        <w:rPr>
          <w:rtl/>
        </w:rPr>
        <w:t xml:space="preserve"> </w:t>
      </w:r>
      <w:r w:rsidRPr="005979EA">
        <w:rPr>
          <w:rFonts w:hint="eastAsia"/>
          <w:rtl/>
        </w:rPr>
        <w:t>הסדרת</w:t>
      </w:r>
      <w:r w:rsidRPr="005979EA">
        <w:rPr>
          <w:rtl/>
        </w:rPr>
        <w:t xml:space="preserve"> </w:t>
      </w:r>
      <w:r w:rsidRPr="005979EA">
        <w:rPr>
          <w:rFonts w:hint="eastAsia"/>
          <w:rtl/>
        </w:rPr>
        <w:t>פעילות</w:t>
      </w:r>
      <w:r w:rsidRPr="005979EA">
        <w:rPr>
          <w:rtl/>
        </w:rPr>
        <w:t xml:space="preserve"> </w:t>
      </w:r>
      <w:r w:rsidRPr="005979EA">
        <w:rPr>
          <w:rFonts w:hint="eastAsia"/>
          <w:rtl/>
        </w:rPr>
        <w:t>משולבת</w:t>
      </w:r>
      <w:r w:rsidRPr="005979EA">
        <w:rPr>
          <w:rtl/>
        </w:rPr>
        <w:t xml:space="preserve"> </w:t>
      </w:r>
      <w:r w:rsidRPr="005979EA">
        <w:rPr>
          <w:rFonts w:hint="eastAsia"/>
          <w:rtl/>
        </w:rPr>
        <w:t>של</w:t>
      </w:r>
      <w:r w:rsidRPr="005979EA">
        <w:rPr>
          <w:rtl/>
        </w:rPr>
        <w:t xml:space="preserve"> </w:t>
      </w:r>
      <w:r>
        <w:rPr>
          <w:rFonts w:hint="cs"/>
          <w:rtl/>
        </w:rPr>
        <w:t>ה</w:t>
      </w:r>
      <w:r w:rsidRPr="005979EA">
        <w:rPr>
          <w:rFonts w:hint="eastAsia"/>
          <w:rtl/>
        </w:rPr>
        <w:t>גופי</w:t>
      </w:r>
      <w:r>
        <w:rPr>
          <w:rFonts w:hint="cs"/>
          <w:rtl/>
        </w:rPr>
        <w:t>ם</w:t>
      </w:r>
      <w:r w:rsidRPr="005979EA">
        <w:rPr>
          <w:rtl/>
        </w:rPr>
        <w:t xml:space="preserve"> </w:t>
      </w:r>
      <w:r w:rsidRPr="005979EA">
        <w:rPr>
          <w:rFonts w:hint="eastAsia"/>
          <w:rtl/>
        </w:rPr>
        <w:t>העוסקים</w:t>
      </w:r>
      <w:r w:rsidRPr="005979EA">
        <w:rPr>
          <w:rtl/>
        </w:rPr>
        <w:t xml:space="preserve"> </w:t>
      </w:r>
      <w:r w:rsidRPr="005979EA">
        <w:rPr>
          <w:rFonts w:hint="eastAsia"/>
          <w:rtl/>
        </w:rPr>
        <w:t>באכיפה</w:t>
      </w:r>
      <w:r w:rsidRPr="005979EA">
        <w:rPr>
          <w:rtl/>
        </w:rPr>
        <w:t xml:space="preserve"> </w:t>
      </w:r>
      <w:r w:rsidRPr="005979EA">
        <w:rPr>
          <w:rFonts w:hint="eastAsia"/>
          <w:rtl/>
        </w:rPr>
        <w:t>כלכלית</w:t>
      </w:r>
      <w:r>
        <w:rPr>
          <w:rFonts w:hint="cs"/>
          <w:rtl/>
        </w:rPr>
        <w:t>.</w:t>
      </w:r>
      <w:r w:rsidRPr="005979EA">
        <w:rPr>
          <w:rtl/>
        </w:rPr>
        <w:t xml:space="preserve"> </w:t>
      </w:r>
      <w:r w:rsidRPr="005979EA">
        <w:rPr>
          <w:rFonts w:hint="eastAsia"/>
          <w:rtl/>
        </w:rPr>
        <w:t>ה</w:t>
      </w:r>
      <w:r>
        <w:rPr>
          <w:rFonts w:hint="cs"/>
          <w:rtl/>
        </w:rPr>
        <w:t>י</w:t>
      </w:r>
      <w:r w:rsidRPr="005979EA">
        <w:rPr>
          <w:rFonts w:hint="eastAsia"/>
          <w:rtl/>
        </w:rPr>
        <w:t>עדרם</w:t>
      </w:r>
      <w:r w:rsidRPr="005979EA">
        <w:rPr>
          <w:rtl/>
        </w:rPr>
        <w:t xml:space="preserve"> </w:t>
      </w:r>
      <w:r>
        <w:rPr>
          <w:rFonts w:hint="cs"/>
          <w:rtl/>
        </w:rPr>
        <w:t xml:space="preserve">של נהלים כאלה </w:t>
      </w:r>
      <w:r w:rsidRPr="005979EA">
        <w:rPr>
          <w:rFonts w:hint="eastAsia"/>
          <w:rtl/>
        </w:rPr>
        <w:t>פוגע</w:t>
      </w:r>
      <w:r w:rsidRPr="005979EA">
        <w:rPr>
          <w:rtl/>
        </w:rPr>
        <w:t xml:space="preserve"> </w:t>
      </w:r>
      <w:r w:rsidRPr="005979EA">
        <w:rPr>
          <w:rFonts w:hint="eastAsia"/>
          <w:rtl/>
        </w:rPr>
        <w:t>ביעילות</w:t>
      </w:r>
      <w:r w:rsidRPr="005979EA">
        <w:rPr>
          <w:rtl/>
        </w:rPr>
        <w:t xml:space="preserve"> </w:t>
      </w:r>
      <w:r w:rsidRPr="005979EA">
        <w:rPr>
          <w:rFonts w:hint="eastAsia"/>
          <w:rtl/>
        </w:rPr>
        <w:t>האכיפה</w:t>
      </w:r>
      <w:r w:rsidRPr="005979EA">
        <w:rPr>
          <w:rtl/>
        </w:rPr>
        <w:t xml:space="preserve"> </w:t>
      </w:r>
      <w:r>
        <w:rPr>
          <w:rFonts w:hint="cs"/>
          <w:rtl/>
        </w:rPr>
        <w:t>ה</w:t>
      </w:r>
      <w:r w:rsidRPr="005979EA">
        <w:rPr>
          <w:rFonts w:hint="eastAsia"/>
          <w:rtl/>
        </w:rPr>
        <w:t>כלכלית</w:t>
      </w:r>
      <w:r w:rsidRPr="005979EA">
        <w:rPr>
          <w:rtl/>
        </w:rPr>
        <w:t>.</w:t>
      </w:r>
    </w:p>
    <w:p w14:paraId="65A6395F" w14:textId="77777777" w:rsidR="00F368B6" w:rsidRPr="00344BF3" w:rsidRDefault="00F368B6" w:rsidP="004C13E9">
      <w:pPr>
        <w:pStyle w:val="100"/>
        <w:rPr>
          <w:rtl/>
        </w:rPr>
      </w:pPr>
      <w:r>
        <w:rPr>
          <w:rFonts w:hint="cs"/>
          <w:rtl/>
        </w:rPr>
        <w:t xml:space="preserve">במהלך תקופת הביקורת התקיימו ישיבות בראשות האפוטרופסה הכללית ובהשתתפות נציגי האפ"כ, הפרקליטות והמשטרה. בהתאם לסיכום שגובש, ראש תחום אכיפה כלכלית בפרקליטות ריכז כמה ישיבות בנוכחות נציגי המשטרה ויחידת החילוט, ובהן נוסחו טיוטות לנהלים משותפים שיסדירו את הליכי התפיסה ואת ניהול סוגי הרכוש השונים הנתפסים בשלב הזמני ומיועדים לחילוט. </w:t>
      </w:r>
    </w:p>
    <w:p w14:paraId="08992430" w14:textId="77777777" w:rsidR="00F368B6" w:rsidRDefault="00F368B6" w:rsidP="004C13E9">
      <w:pPr>
        <w:pStyle w:val="100"/>
        <w:rPr>
          <w:rtl/>
        </w:rPr>
      </w:pPr>
      <w:r>
        <w:rPr>
          <w:rFonts w:hint="cs"/>
          <w:rtl/>
        </w:rPr>
        <w:t>לאחר מועד סיום הביקורת הצליחו גופי האכיפה להגיע להסכמה על כמה נהלים לטיפול בסוגי רכוש תפוס המיועדים לחילוט</w:t>
      </w:r>
      <w:r>
        <w:rPr>
          <w:rStyle w:val="FootnoteReference"/>
          <w:rtl/>
        </w:rPr>
        <w:footnoteReference w:id="54"/>
      </w:r>
      <w:r>
        <w:rPr>
          <w:rFonts w:hint="cs"/>
          <w:rtl/>
        </w:rPr>
        <w:t xml:space="preserve">. עם זאת טרם גובש נוהל כללי שיסדיר את שיתופי הפעולה והממשקים ביניהם (להלן - נוהל הליבה). </w:t>
      </w:r>
    </w:p>
    <w:p w14:paraId="1326C2C2" w14:textId="77777777" w:rsidR="00F368B6" w:rsidRPr="007576C4" w:rsidRDefault="00F368B6" w:rsidP="004C13E9">
      <w:pPr>
        <w:pStyle w:val="af1"/>
        <w:rPr>
          <w:rtl/>
        </w:rPr>
      </w:pPr>
      <w:r w:rsidRPr="007576C4">
        <w:rPr>
          <w:rFonts w:hint="cs"/>
          <w:rtl/>
        </w:rPr>
        <w:t xml:space="preserve">בהיעדר נהלים תקפים ומוסכמים בנוגע לעבודת גופי האכיפה, כמו גם היעדר נוהל ליבה המסדיר את הממשק בין הגופים, נוצר חוסר תיאום ביניהם. </w:t>
      </w:r>
    </w:p>
    <w:p w14:paraId="11F0BD8E" w14:textId="77777777" w:rsidR="00F368B6" w:rsidRDefault="00F368B6" w:rsidP="00436889">
      <w:pPr>
        <w:pStyle w:val="100"/>
        <w:rPr>
          <w:rtl/>
        </w:rPr>
      </w:pPr>
      <w:r>
        <w:rPr>
          <w:rFonts w:hint="cs"/>
          <w:rtl/>
        </w:rPr>
        <w:t>צוות הביקורת בדק</w:t>
      </w:r>
      <w:r>
        <w:rPr>
          <w:rtl/>
        </w:rPr>
        <w:t xml:space="preserve"> באופן פרטני 25 תיקים ביחידת החילוט שההליכים בעניינם הסת</w:t>
      </w:r>
      <w:r>
        <w:rPr>
          <w:rFonts w:hint="cs"/>
          <w:rtl/>
        </w:rPr>
        <w:t>יימו</w:t>
      </w:r>
      <w:r>
        <w:rPr>
          <w:rtl/>
        </w:rPr>
        <w:t xml:space="preserve"> ושחולטו במסגרתם נכסים שונים</w:t>
      </w:r>
      <w:r>
        <w:rPr>
          <w:rFonts w:hint="cs"/>
          <w:rtl/>
        </w:rPr>
        <w:t xml:space="preserve">. </w:t>
      </w:r>
      <w:r>
        <w:rPr>
          <w:rtl/>
        </w:rPr>
        <w:t xml:space="preserve">במסגרת </w:t>
      </w:r>
      <w:r>
        <w:rPr>
          <w:rFonts w:hint="cs"/>
          <w:rtl/>
        </w:rPr>
        <w:t>ה</w:t>
      </w:r>
      <w:r>
        <w:rPr>
          <w:rtl/>
        </w:rPr>
        <w:t xml:space="preserve">בדיקה </w:t>
      </w:r>
      <w:r>
        <w:rPr>
          <w:rFonts w:hint="cs"/>
          <w:rtl/>
        </w:rPr>
        <w:t>עלה שב</w:t>
      </w:r>
      <w:r w:rsidRPr="00701327">
        <w:rPr>
          <w:rtl/>
        </w:rPr>
        <w:t>תיקים</w:t>
      </w:r>
      <w:r>
        <w:rPr>
          <w:rFonts w:hint="cs"/>
          <w:rtl/>
        </w:rPr>
        <w:t xml:space="preserve"> רבים </w:t>
      </w:r>
      <w:r>
        <w:rPr>
          <w:rtl/>
        </w:rPr>
        <w:t>בסופו של דבר כספים לא הופקדו בקרן החילוט</w:t>
      </w:r>
      <w:r>
        <w:rPr>
          <w:rFonts w:hint="cs"/>
          <w:rtl/>
        </w:rPr>
        <w:t xml:space="preserve"> מסיבות שונות, שעיקרן הוא </w:t>
      </w:r>
      <w:r>
        <w:rPr>
          <w:rtl/>
        </w:rPr>
        <w:t>חוסר תיאום מספק בין גופי האכיפה.</w:t>
      </w:r>
      <w:r>
        <w:rPr>
          <w:rFonts w:hint="cs"/>
          <w:rtl/>
        </w:rPr>
        <w:t xml:space="preserve"> </w:t>
      </w:r>
      <w:r w:rsidRPr="00C70D91">
        <w:rPr>
          <w:rFonts w:hint="eastAsia"/>
          <w:rtl/>
        </w:rPr>
        <w:t>להלן</w:t>
      </w:r>
      <w:r w:rsidRPr="00C70D91">
        <w:rPr>
          <w:rtl/>
        </w:rPr>
        <w:t xml:space="preserve"> </w:t>
      </w:r>
      <w:r w:rsidRPr="00C70D91">
        <w:rPr>
          <w:rFonts w:hint="eastAsia"/>
          <w:rtl/>
        </w:rPr>
        <w:t>דוגמאות</w:t>
      </w:r>
      <w:r w:rsidRPr="00C70D91">
        <w:rPr>
          <w:rtl/>
        </w:rPr>
        <w:t>:</w:t>
      </w:r>
    </w:p>
    <w:p w14:paraId="5955E788" w14:textId="77777777" w:rsidR="00F368B6" w:rsidRDefault="00F368B6" w:rsidP="00436889">
      <w:pPr>
        <w:pStyle w:val="a0"/>
        <w:numPr>
          <w:ilvl w:val="0"/>
          <w:numId w:val="12"/>
        </w:numPr>
      </w:pPr>
      <w:r>
        <w:rPr>
          <w:rFonts w:hint="cs"/>
          <w:rtl/>
        </w:rPr>
        <w:t xml:space="preserve">המשטרה תפסה בשלב החקירה סוגי רכוש לחילוט שבסמכות יחידת החילוט, אך המידע על כך לא הובא לידיעת היחידה, או שהרכוש הועבר לניהולה בשיהוי ניכר ואף לאחר מתן גזר הדין. </w:t>
      </w:r>
    </w:p>
    <w:p w14:paraId="4EA00848" w14:textId="77777777" w:rsidR="00F368B6" w:rsidRDefault="00F368B6" w:rsidP="00436889">
      <w:pPr>
        <w:pStyle w:val="a0"/>
      </w:pPr>
      <w:r>
        <w:rPr>
          <w:rFonts w:hint="cs"/>
          <w:rtl/>
        </w:rPr>
        <w:t>הפרקליטות התעכבה במתן הנחיות ליחידת החילוט לאחר שניתן גזר דין, בתיקים שבהם התפוסים נוהלו ביחידה אך ההרשעה הייתה בעבירות שאינן בסמכות טיפולה.</w:t>
      </w:r>
    </w:p>
    <w:p w14:paraId="4F303FCF" w14:textId="77777777" w:rsidR="00F368B6" w:rsidRDefault="00F368B6" w:rsidP="00436889">
      <w:pPr>
        <w:pStyle w:val="a0"/>
        <w:rPr>
          <w:rtl/>
        </w:rPr>
      </w:pPr>
      <w:r>
        <w:rPr>
          <w:rFonts w:hint="cs"/>
          <w:rtl/>
        </w:rPr>
        <w:t>יחידת החילוט פנתה אל הפרקליטים לאחר מתן גזר הדין כדי שיפנו לבית המשפט לקבלת הוראות בנוגע לרכוש שנתפס בשלב הזמני ומצוי בניהול היחידה. בהיעדר הוראות מבית המשפט לגבי הרכוש התפוס, קרן החילוט המשיכה כל אותו הזמן לשלם את עלויות האחסנה.</w:t>
      </w:r>
    </w:p>
    <w:p w14:paraId="48185B57" w14:textId="77777777" w:rsidR="00F368B6" w:rsidRDefault="00F368B6" w:rsidP="00C439C2">
      <w:pPr>
        <w:pStyle w:val="af1"/>
        <w:rPr>
          <w:rtl/>
        </w:rPr>
      </w:pPr>
      <w:r w:rsidRPr="00CC27AB">
        <w:rPr>
          <w:rFonts w:hint="cs"/>
          <w:rtl/>
        </w:rPr>
        <w:lastRenderedPageBreak/>
        <w:t>משרד מבקר המדינה רואה בחיוב את הפעולות ש</w:t>
      </w:r>
      <w:r>
        <w:rPr>
          <w:rFonts w:hint="cs"/>
          <w:rtl/>
        </w:rPr>
        <w:t>נוקטים</w:t>
      </w:r>
      <w:r w:rsidRPr="00CC27AB">
        <w:rPr>
          <w:rFonts w:hint="cs"/>
          <w:rtl/>
        </w:rPr>
        <w:t xml:space="preserve"> הגופים לגיבוש נ</w:t>
      </w:r>
      <w:r>
        <w:rPr>
          <w:rFonts w:hint="cs"/>
          <w:rtl/>
        </w:rPr>
        <w:t>ו</w:t>
      </w:r>
      <w:r w:rsidRPr="00CC27AB">
        <w:rPr>
          <w:rFonts w:hint="cs"/>
          <w:rtl/>
        </w:rPr>
        <w:t xml:space="preserve">הלי עבודה מוסכמים ותקפים בתחום האכיפה הכלכלית. עם זאת, </w:t>
      </w:r>
      <w:r>
        <w:rPr>
          <w:rFonts w:hint="cs"/>
          <w:rtl/>
        </w:rPr>
        <w:t xml:space="preserve">בחלוף חמש שנים מהקמת יחידת החילוט </w:t>
      </w:r>
      <w:r w:rsidRPr="00CC27AB">
        <w:rPr>
          <w:rFonts w:hint="cs"/>
          <w:rtl/>
        </w:rPr>
        <w:t>טרם גובשו נהלים משותפים ל</w:t>
      </w:r>
      <w:r>
        <w:rPr>
          <w:rFonts w:hint="cs"/>
          <w:rtl/>
        </w:rPr>
        <w:t>ה</w:t>
      </w:r>
      <w:r w:rsidRPr="00CC27AB">
        <w:rPr>
          <w:rFonts w:hint="cs"/>
          <w:rtl/>
        </w:rPr>
        <w:t xml:space="preserve"> ו</w:t>
      </w:r>
      <w:r>
        <w:rPr>
          <w:rFonts w:hint="cs"/>
          <w:rtl/>
        </w:rPr>
        <w:t>ל</w:t>
      </w:r>
      <w:r w:rsidRPr="00CC27AB">
        <w:rPr>
          <w:rFonts w:hint="cs"/>
          <w:rtl/>
        </w:rPr>
        <w:t>גופי האכיפה והתביעה ביחס לכלל הסוגיות, ובכלל זה נוהל הליבה.</w:t>
      </w:r>
    </w:p>
    <w:p w14:paraId="484BFCA7" w14:textId="415F654B" w:rsidR="00F368B6" w:rsidRPr="00497511" w:rsidRDefault="00F368B6" w:rsidP="00C439C2">
      <w:pPr>
        <w:pStyle w:val="100"/>
        <w:rPr>
          <w:rtl/>
        </w:rPr>
      </w:pPr>
      <w:r w:rsidRPr="00497511">
        <w:rPr>
          <w:rFonts w:hint="eastAsia"/>
          <w:rtl/>
        </w:rPr>
        <w:t>בתשובתה</w:t>
      </w:r>
      <w:r w:rsidRPr="00497511">
        <w:rPr>
          <w:rtl/>
        </w:rPr>
        <w:t xml:space="preserve"> כתבה יחידת החילוט כי נ</w:t>
      </w:r>
      <w:r>
        <w:rPr>
          <w:rFonts w:hint="cs"/>
          <w:rtl/>
        </w:rPr>
        <w:t>ו</w:t>
      </w:r>
      <w:r w:rsidRPr="00497511">
        <w:rPr>
          <w:rtl/>
        </w:rPr>
        <w:t xml:space="preserve">הלי העבודה המתגבשים </w:t>
      </w:r>
      <w:r>
        <w:rPr>
          <w:rFonts w:hint="cs"/>
          <w:rtl/>
        </w:rPr>
        <w:t>בעת הזאת</w:t>
      </w:r>
      <w:r w:rsidRPr="00497511">
        <w:rPr>
          <w:rtl/>
        </w:rPr>
        <w:t xml:space="preserve"> מבוססים על </w:t>
      </w:r>
      <w:r w:rsidRPr="00497511">
        <w:rPr>
          <w:rFonts w:hint="eastAsia"/>
          <w:rtl/>
        </w:rPr>
        <w:t>הניסיון</w:t>
      </w:r>
      <w:r w:rsidRPr="00497511">
        <w:rPr>
          <w:rtl/>
        </w:rPr>
        <w:t xml:space="preserve"> </w:t>
      </w:r>
      <w:r>
        <w:rPr>
          <w:rFonts w:hint="cs"/>
          <w:rtl/>
        </w:rPr>
        <w:t>והפקת הלקחים שנצברו</w:t>
      </w:r>
      <w:r w:rsidRPr="00497511">
        <w:rPr>
          <w:rtl/>
        </w:rPr>
        <w:t xml:space="preserve"> מאז הקמת</w:t>
      </w:r>
      <w:r>
        <w:rPr>
          <w:rFonts w:hint="cs"/>
          <w:rtl/>
        </w:rPr>
        <w:t>ה</w:t>
      </w:r>
      <w:r w:rsidRPr="00497511">
        <w:rPr>
          <w:rtl/>
        </w:rPr>
        <w:t>.</w:t>
      </w:r>
      <w:r>
        <w:rPr>
          <w:rFonts w:hint="cs"/>
          <w:rtl/>
        </w:rPr>
        <w:t xml:space="preserve"> המשטרה כתבה כי טיוטות נהלים אלו יועברו בתקופה הקרובה לאישור גורמי הפיקוד בטרם הטמעתן ביחידות השטח. היא הוסיפה כי בצד גיבוש הנהלים, פותח ממשק מקוון בין מערכות הגופים המאפשר העברת נתונים מיידית על רכוש הנתפס במהלך חקירה. ממשק זה מצוי</w:t>
      </w:r>
      <w:r w:rsidR="00F32C2A">
        <w:rPr>
          <w:rFonts w:hint="cs"/>
          <w:rtl/>
        </w:rPr>
        <w:t xml:space="preserve"> </w:t>
      </w:r>
      <w:r>
        <w:rPr>
          <w:rFonts w:hint="cs"/>
          <w:rtl/>
        </w:rPr>
        <w:t>בבדיקה מקדמית, ואם הוא יוטמע יוכלו יחידת החילוט והפרקליטות לקבל</w:t>
      </w:r>
      <w:r w:rsidRPr="003201B8">
        <w:rPr>
          <w:rFonts w:hint="cs"/>
          <w:rtl/>
        </w:rPr>
        <w:t xml:space="preserve"> </w:t>
      </w:r>
      <w:r>
        <w:rPr>
          <w:rFonts w:hint="cs"/>
          <w:rtl/>
        </w:rPr>
        <w:t>באופן מיידי ומקוון נתונים על רכוש שנתפס כבר בשלב החקירה.</w:t>
      </w:r>
    </w:p>
    <w:p w14:paraId="77EE87DC" w14:textId="77777777" w:rsidR="00F368B6" w:rsidRDefault="00F368B6" w:rsidP="00C439C2">
      <w:pPr>
        <w:pStyle w:val="af1"/>
        <w:rPr>
          <w:rtl/>
        </w:rPr>
      </w:pPr>
      <w:r>
        <w:rPr>
          <w:rFonts w:hint="cs"/>
          <w:rtl/>
        </w:rPr>
        <w:t xml:space="preserve">על הגופים להמשיך ולפעול לצורך </w:t>
      </w:r>
      <w:r w:rsidRPr="00CC27AB">
        <w:rPr>
          <w:rFonts w:hint="cs"/>
          <w:rtl/>
        </w:rPr>
        <w:t>גיבוש נ</w:t>
      </w:r>
      <w:r>
        <w:rPr>
          <w:rFonts w:hint="cs"/>
          <w:rtl/>
        </w:rPr>
        <w:t>ו</w:t>
      </w:r>
      <w:r w:rsidRPr="00CC27AB">
        <w:rPr>
          <w:rFonts w:hint="cs"/>
          <w:rtl/>
        </w:rPr>
        <w:t xml:space="preserve">הלי </w:t>
      </w:r>
      <w:r>
        <w:rPr>
          <w:rFonts w:hint="cs"/>
          <w:rtl/>
        </w:rPr>
        <w:t>עבודה משותפים על מנת להגביר את התיאום ביניהם,</w:t>
      </w:r>
      <w:r w:rsidRPr="00CC27AB">
        <w:rPr>
          <w:rFonts w:hint="cs"/>
          <w:rtl/>
        </w:rPr>
        <w:t xml:space="preserve"> למנוע הוצאות מיותרות </w:t>
      </w:r>
      <w:r>
        <w:rPr>
          <w:rFonts w:hint="cs"/>
          <w:rtl/>
        </w:rPr>
        <w:t>על</w:t>
      </w:r>
      <w:r w:rsidRPr="00CC27AB">
        <w:rPr>
          <w:rFonts w:hint="cs"/>
          <w:rtl/>
        </w:rPr>
        <w:t xml:space="preserve"> </w:t>
      </w:r>
      <w:r>
        <w:rPr>
          <w:rFonts w:hint="cs"/>
          <w:rtl/>
        </w:rPr>
        <w:t>אחסון</w:t>
      </w:r>
      <w:r w:rsidRPr="00CC27AB">
        <w:rPr>
          <w:rFonts w:hint="cs"/>
          <w:rtl/>
        </w:rPr>
        <w:t xml:space="preserve"> רכוש תפוס</w:t>
      </w:r>
      <w:r>
        <w:rPr>
          <w:rFonts w:hint="cs"/>
          <w:rtl/>
        </w:rPr>
        <w:t xml:space="preserve"> ולהביא למיצוי מלא של פוטנציאל החילוט. כמו כן,</w:t>
      </w:r>
      <w:r w:rsidRPr="00CC27AB">
        <w:rPr>
          <w:rFonts w:hint="cs"/>
          <w:rtl/>
        </w:rPr>
        <w:t xml:space="preserve"> </w:t>
      </w:r>
      <w:r>
        <w:rPr>
          <w:rFonts w:hint="cs"/>
          <w:rtl/>
        </w:rPr>
        <w:t>גיבוש הנהלים ימנע החזקת כספים ב"קרן חילוט זמני" בעבירות שאינן בסמכות יחידת החילוט, או החזקת הכספים באוצר המדינה בעבירות שבסמכות היחידה.</w:t>
      </w:r>
    </w:p>
    <w:p w14:paraId="4B456BD6" w14:textId="77777777" w:rsidR="00F368B6" w:rsidRPr="00E96254" w:rsidRDefault="00F368B6" w:rsidP="007D49DE">
      <w:pPr>
        <w:pStyle w:val="414"/>
        <w:rPr>
          <w:rtl/>
        </w:rPr>
      </w:pPr>
      <w:r w:rsidRPr="00E96254">
        <w:rPr>
          <w:rFonts w:hint="eastAsia"/>
          <w:rtl/>
        </w:rPr>
        <w:t>העברת</w:t>
      </w:r>
      <w:r w:rsidRPr="00E96254">
        <w:rPr>
          <w:rtl/>
        </w:rPr>
        <w:t xml:space="preserve"> כספים תפוסים המיועדים לחילוט מהמשטרה לחשבון </w:t>
      </w:r>
      <w:r w:rsidRPr="00E96254">
        <w:rPr>
          <w:rFonts w:hint="eastAsia"/>
          <w:rtl/>
        </w:rPr>
        <w:t>האפ</w:t>
      </w:r>
      <w:r>
        <w:rPr>
          <w:rFonts w:hint="cs"/>
          <w:rtl/>
        </w:rPr>
        <w:t>וטרופוס הכללי</w:t>
      </w:r>
    </w:p>
    <w:p w14:paraId="544C627F" w14:textId="77777777" w:rsidR="00F368B6" w:rsidRDefault="00F368B6" w:rsidP="007D49DE">
      <w:pPr>
        <w:pStyle w:val="100"/>
        <w:rPr>
          <w:rtl/>
        </w:rPr>
      </w:pPr>
      <w:r>
        <w:rPr>
          <w:rFonts w:hint="cs"/>
          <w:rtl/>
        </w:rPr>
        <w:t>אחד מסוגי הנכסים שתופסת המשטרה בשלב החקירה הוא כסף מזומן. הטיפול בכסף כרוך בהפקדתו, אולם בהיעדר הסדרה מפורשת של סמכות האפ"כ לנהל רכוש בשלב הזמני, לא ברור מי מהגופים - המשטרה או יחידת החילוט - אמור לטפל בכספים אלו בשלב זה.</w:t>
      </w:r>
    </w:p>
    <w:p w14:paraId="66DB70D2" w14:textId="448CB602" w:rsidR="00F368B6" w:rsidRPr="006B634D" w:rsidRDefault="00F368B6" w:rsidP="007D49DE">
      <w:pPr>
        <w:pStyle w:val="af1"/>
        <w:rPr>
          <w:rtl/>
        </w:rPr>
      </w:pPr>
      <w:r w:rsidRPr="00CC11C9">
        <w:rPr>
          <w:rFonts w:hint="cs"/>
          <w:rtl/>
        </w:rPr>
        <w:t>נוהל המשטרה העוסק בטיפול במוצגי כסף מזומן שנתפס בשלב החקירה מורה על הפקדת הכספים בחשבון החשכ"ל.</w:t>
      </w:r>
      <w:r>
        <w:rPr>
          <w:rFonts w:hint="cs"/>
          <w:rtl/>
        </w:rPr>
        <w:t xml:space="preserve"> </w:t>
      </w:r>
      <w:r w:rsidRPr="00CC11C9">
        <w:rPr>
          <w:rFonts w:hint="cs"/>
          <w:rtl/>
        </w:rPr>
        <w:t>המערכת ה</w:t>
      </w:r>
      <w:r>
        <w:rPr>
          <w:rFonts w:hint="cs"/>
          <w:rtl/>
        </w:rPr>
        <w:t xml:space="preserve">כספית </w:t>
      </w:r>
      <w:r w:rsidRPr="00CC11C9">
        <w:rPr>
          <w:rFonts w:hint="cs"/>
          <w:rtl/>
        </w:rPr>
        <w:t xml:space="preserve">במשטרה אינה מבחינה בין כספים </w:t>
      </w:r>
      <w:r>
        <w:rPr>
          <w:rFonts w:hint="cs"/>
          <w:rtl/>
        </w:rPr>
        <w:t>שנתפסו ומיועדים לחילוט</w:t>
      </w:r>
      <w:r w:rsidRPr="00CC11C9">
        <w:rPr>
          <w:rFonts w:hint="cs"/>
          <w:rtl/>
        </w:rPr>
        <w:t xml:space="preserve"> לבין כספים אחרים שנתפסים כמוצגים במהלך הפעילות המשטרתית הרגילה. על פי נתוני המשטרה בשנים </w:t>
      </w:r>
      <w:r w:rsidR="00F32C2A">
        <w:rPr>
          <w:rFonts w:hint="cs"/>
          <w:rtl/>
        </w:rPr>
        <w:t xml:space="preserve">2014 </w:t>
      </w:r>
      <w:r w:rsidR="00F32C2A">
        <w:rPr>
          <w:rtl/>
        </w:rPr>
        <w:t>–</w:t>
      </w:r>
      <w:r w:rsidR="00F32C2A">
        <w:rPr>
          <w:rFonts w:hint="cs"/>
          <w:rtl/>
        </w:rPr>
        <w:t xml:space="preserve"> 2018 </w:t>
      </w:r>
      <w:r w:rsidRPr="00CC11C9">
        <w:rPr>
          <w:rFonts w:hint="cs"/>
          <w:rtl/>
        </w:rPr>
        <w:t xml:space="preserve">הופקדו בחשבות המשטרה כ-350 מיליון ש"ח. באותן שנים הועברו </w:t>
      </w:r>
      <w:r>
        <w:rPr>
          <w:rFonts w:hint="cs"/>
          <w:rtl/>
        </w:rPr>
        <w:t xml:space="preserve">לאפ"כ </w:t>
      </w:r>
      <w:r w:rsidRPr="00CC11C9">
        <w:rPr>
          <w:rFonts w:hint="cs"/>
          <w:rtl/>
        </w:rPr>
        <w:t>כ-40 מיליון ש"ח כסכומי חילוט.</w:t>
      </w:r>
    </w:p>
    <w:p w14:paraId="6751A41C" w14:textId="77777777" w:rsidR="00F368B6" w:rsidRPr="00786A5D" w:rsidRDefault="00F368B6" w:rsidP="007D49DE">
      <w:pPr>
        <w:pStyle w:val="100"/>
        <w:rPr>
          <w:rtl/>
        </w:rPr>
      </w:pPr>
      <w:r>
        <w:rPr>
          <w:rFonts w:hint="cs"/>
          <w:rtl/>
        </w:rPr>
        <w:t xml:space="preserve">המשטרה ציינה בתשובתה כי לאור הערת הביקורת, יתוקף נוהל משטרתי העוסק באופן הטיפול במוצגי כסף מזומן, תוך הבחנה בין כספי החילוט לכספים אחרים כאמור. </w:t>
      </w:r>
    </w:p>
    <w:p w14:paraId="3A45787A" w14:textId="77777777" w:rsidR="00F368B6" w:rsidRDefault="00F368B6" w:rsidP="007D49DE">
      <w:pPr>
        <w:pStyle w:val="af1"/>
        <w:rPr>
          <w:rtl/>
        </w:rPr>
      </w:pPr>
      <w:r w:rsidRPr="003A4164">
        <w:rPr>
          <w:rFonts w:hint="cs"/>
          <w:rtl/>
        </w:rPr>
        <w:t>מהביקורת עלה שלא נשמרה אחידות בהפקדת כספים תפוסים שיועדו לחילוט</w:t>
      </w:r>
      <w:r>
        <w:rPr>
          <w:rFonts w:hint="cs"/>
          <w:rtl/>
        </w:rPr>
        <w:t>,</w:t>
      </w:r>
      <w:r w:rsidRPr="003A4164">
        <w:rPr>
          <w:rFonts w:hint="cs"/>
          <w:rtl/>
        </w:rPr>
        <w:t xml:space="preserve"> ו</w:t>
      </w:r>
      <w:r>
        <w:rPr>
          <w:rFonts w:hint="cs"/>
          <w:rtl/>
        </w:rPr>
        <w:t>לכן</w:t>
      </w:r>
      <w:r w:rsidRPr="003A4164">
        <w:rPr>
          <w:rFonts w:hint="cs"/>
          <w:rtl/>
        </w:rPr>
        <w:t xml:space="preserve"> אירעו תקלות חוזרות ונשנות. לעיתים הם הופקדו לחשבון חשבות המשטרה ולא הועברו לחשבון האפ"כ, ולעיתים הופקדו ישירות לחשבון האפ"כ על ידי יחידות השטח המשטרתיות. התקלות נבעו, בין היתר, מאי</w:t>
      </w:r>
      <w:r>
        <w:rPr>
          <w:rFonts w:hint="cs"/>
          <w:rtl/>
        </w:rPr>
        <w:t>-</w:t>
      </w:r>
      <w:r w:rsidRPr="003A4164">
        <w:rPr>
          <w:rFonts w:hint="cs"/>
          <w:rtl/>
        </w:rPr>
        <w:t>הבהירות ביחס לגורם המטפל בכספים התפוסים</w:t>
      </w:r>
      <w:r>
        <w:rPr>
          <w:rFonts w:hint="cs"/>
          <w:rtl/>
        </w:rPr>
        <w:t xml:space="preserve">. </w:t>
      </w:r>
    </w:p>
    <w:p w14:paraId="255276EC" w14:textId="77777777" w:rsidR="00F368B6" w:rsidRDefault="00F368B6" w:rsidP="00B222C2">
      <w:pPr>
        <w:pStyle w:val="100"/>
        <w:rPr>
          <w:rtl/>
        </w:rPr>
      </w:pPr>
      <w:r>
        <w:rPr>
          <w:rFonts w:hint="cs"/>
          <w:rtl/>
        </w:rPr>
        <w:lastRenderedPageBreak/>
        <w:t>במהלך השנים התגלעו מחלוקות בין האפ"כ לחשבות המשטרה בעניין הכספים המוחזקים בידי המשטרה והמיועדים ליחידת החילוט. קיים פער טכנולוגי בין הגופים שאינו מאפשר העברת כספים מחשבות המשטרה לאפ"כ באופן שיאפשר זיהוי הכספים ושיוכם לתיק ספציפי. לצורך קביעת מדיניות טיפול אחידה וטיוב העבודה המשותפת עם האפ"כ, הנחה רמ"ח חקירות כי כל סכום כסף מזומן  שתתפוס המשטרה, לרבות כספים שייתפסו בשלב החקירה מכוח חוק איסור הלבנת הון, יופקד לחשבון חשבות המשטרה בלבד.</w:t>
      </w:r>
    </w:p>
    <w:p w14:paraId="5C2C1FE4" w14:textId="77777777" w:rsidR="00F368B6" w:rsidRDefault="00F368B6" w:rsidP="00B222C2">
      <w:pPr>
        <w:pStyle w:val="100"/>
        <w:rPr>
          <w:rtl/>
        </w:rPr>
      </w:pPr>
      <w:r>
        <w:rPr>
          <w:rFonts w:hint="cs"/>
          <w:rtl/>
        </w:rPr>
        <w:t>קיים פער בין התשואה המתקבלת בכספים המופקדים במשטרה לעומת אלה המופקדים בחשבון האפ"כ. כספים המופקדים במשטרה מועברים לחשבון בנק של מטה החשב הכללי במשרד האוצר וצוברים ריבית משתנה בשיעור ריבית בנק ישראל, שעמדה בשנת 2017 על 0.1%. הכספים שנתפסו מוחזרים לנאשם או מועברים לחשבון יחידת החילוט, בהתאם להחלטה שיפוטית, ולסכום הפיקדון מצורפת ריבית לתקופה שמיום ההפקדה ועד מועד ההעברה. לעומת זאת כספים שמופקדים בשלב הזמני בחשבון האפ"כ מנוהלים באמצעות ועדת ההשקעות של האפ"כ. באפ"כ מנוהלים כ-8 מיליארד ש"ח באופן שוטף, ולרשותו מערכות ומשאבים לניהול כספים אלה ביחידת החילוט. קרן החילוט השיאה תשואה של כ-5% ב-2017. אם בית המשפט יורה על החזרת כספים, או יוחלט כאמור על ידי רשויות האכיפה, יחידת החילוט תשיב את הסכום הגבוה מבין השניים: ערך הכספים הנומינלי ליום התפיסה, או סכום התפיסה בתוספת התשואה מיום הפקדת הכספים בקרן האפ"כ ועד למועד הצו או ההחלטה.</w:t>
      </w:r>
    </w:p>
    <w:p w14:paraId="0D14665A" w14:textId="77777777" w:rsidR="00F368B6" w:rsidRDefault="00F368B6" w:rsidP="00B222C2">
      <w:pPr>
        <w:pStyle w:val="af1"/>
        <w:rPr>
          <w:rtl/>
        </w:rPr>
      </w:pPr>
      <w:r>
        <w:rPr>
          <w:rFonts w:hint="cs"/>
          <w:rtl/>
        </w:rPr>
        <w:t xml:space="preserve">הנחיית רמ"ח חקירות אינה מתיישבת עם החלטת הממשלה מ-2010 </w:t>
      </w:r>
      <w:r w:rsidRPr="005B1403">
        <w:rPr>
          <w:rFonts w:hint="cs"/>
          <w:rtl/>
        </w:rPr>
        <w:t>ש</w:t>
      </w:r>
      <w:r>
        <w:rPr>
          <w:rFonts w:hint="cs"/>
          <w:rtl/>
        </w:rPr>
        <w:t xml:space="preserve">לפיה </w:t>
      </w:r>
      <w:r w:rsidRPr="005B1403">
        <w:rPr>
          <w:rFonts w:hint="cs"/>
          <w:rtl/>
        </w:rPr>
        <w:t>יש לפעול להרחבת סמכויות האפ"כ</w:t>
      </w:r>
      <w:r>
        <w:rPr>
          <w:rFonts w:hint="cs"/>
          <w:rtl/>
        </w:rPr>
        <w:t>,</w:t>
      </w:r>
      <w:r w:rsidRPr="005B1403">
        <w:rPr>
          <w:rFonts w:hint="cs"/>
          <w:rtl/>
        </w:rPr>
        <w:t xml:space="preserve"> </w:t>
      </w:r>
      <w:r>
        <w:rPr>
          <w:rFonts w:hint="cs"/>
          <w:rtl/>
        </w:rPr>
        <w:t xml:space="preserve">שהוא הגוף המקצועי ומומחה התוכן </w:t>
      </w:r>
      <w:r w:rsidRPr="005B1403">
        <w:rPr>
          <w:rFonts w:hint="cs"/>
          <w:rtl/>
        </w:rPr>
        <w:t xml:space="preserve">לנהל ולממש רכוש </w:t>
      </w:r>
      <w:r>
        <w:rPr>
          <w:rFonts w:hint="cs"/>
          <w:rtl/>
        </w:rPr>
        <w:t>שנתפס</w:t>
      </w:r>
      <w:r w:rsidRPr="005B1403">
        <w:rPr>
          <w:rFonts w:hint="cs"/>
          <w:rtl/>
        </w:rPr>
        <w:t xml:space="preserve"> במסגרת הליכי החילוט הפלילי.</w:t>
      </w:r>
      <w:r>
        <w:rPr>
          <w:rFonts w:hint="cs"/>
          <w:rtl/>
        </w:rPr>
        <w:t xml:space="preserve"> יתרה מזאת, בשנים האחרונות </w:t>
      </w:r>
      <w:r w:rsidRPr="00516609">
        <w:rPr>
          <w:rFonts w:hint="cs"/>
          <w:rtl/>
        </w:rPr>
        <w:t>ק</w:t>
      </w:r>
      <w:r>
        <w:rPr>
          <w:rFonts w:hint="cs"/>
          <w:rtl/>
        </w:rPr>
        <w:t>רן החילוט משיאה תשואה יתרה על הריבית במשק, ובמצב שבו הליכים זמניים נמשכים שנים, הפקדת הכספים בחשבון חשכ"ל הנושא ריבית בנק ישראל (0.1%)</w:t>
      </w:r>
      <w:r w:rsidRPr="00516609">
        <w:rPr>
          <w:rFonts w:hint="cs"/>
          <w:rtl/>
        </w:rPr>
        <w:t xml:space="preserve"> </w:t>
      </w:r>
      <w:r>
        <w:rPr>
          <w:rFonts w:hint="cs"/>
          <w:rtl/>
        </w:rPr>
        <w:t>גורמת לאובדן רווחים -</w:t>
      </w:r>
      <w:r w:rsidRPr="00516609">
        <w:rPr>
          <w:rFonts w:hint="cs"/>
          <w:rtl/>
        </w:rPr>
        <w:t xml:space="preserve"> </w:t>
      </w:r>
      <w:r>
        <w:rPr>
          <w:rFonts w:hint="cs"/>
          <w:rtl/>
        </w:rPr>
        <w:t>בין אם לטוען לזכות בכספים (</w:t>
      </w:r>
      <w:r w:rsidRPr="00516609">
        <w:rPr>
          <w:rFonts w:hint="cs"/>
          <w:rtl/>
        </w:rPr>
        <w:t xml:space="preserve">אם בית המשפט </w:t>
      </w:r>
      <w:r>
        <w:rPr>
          <w:rFonts w:hint="cs"/>
          <w:rtl/>
        </w:rPr>
        <w:t>יורה בסיום ההליך</w:t>
      </w:r>
      <w:r w:rsidRPr="00516609">
        <w:rPr>
          <w:rFonts w:hint="cs"/>
          <w:rtl/>
        </w:rPr>
        <w:t xml:space="preserve"> </w:t>
      </w:r>
      <w:r>
        <w:rPr>
          <w:rFonts w:hint="cs"/>
          <w:rtl/>
        </w:rPr>
        <w:t>על החזרתם) ובין אם למדינה (אם בית המשפט יורה על חילוט הכספים והעברתם לקרן החילוט).</w:t>
      </w:r>
    </w:p>
    <w:p w14:paraId="2B35E9ED" w14:textId="77777777" w:rsidR="00F368B6" w:rsidRDefault="00F368B6" w:rsidP="00B222C2">
      <w:pPr>
        <w:pStyle w:val="af1"/>
        <w:rPr>
          <w:rtl/>
        </w:rPr>
      </w:pPr>
      <w:r>
        <w:rPr>
          <w:rFonts w:hint="cs"/>
          <w:rtl/>
        </w:rPr>
        <w:t>כדי ש</w:t>
      </w:r>
      <w:r w:rsidRPr="00E51B23">
        <w:rPr>
          <w:rFonts w:hint="cs"/>
          <w:rtl/>
        </w:rPr>
        <w:t xml:space="preserve">ההסדר הזמני </w:t>
      </w:r>
      <w:r>
        <w:rPr>
          <w:rFonts w:hint="cs"/>
          <w:rtl/>
        </w:rPr>
        <w:t>ש</w:t>
      </w:r>
      <w:r w:rsidRPr="00E51B23">
        <w:rPr>
          <w:rFonts w:hint="cs"/>
          <w:rtl/>
        </w:rPr>
        <w:t xml:space="preserve">לפיו </w:t>
      </w:r>
      <w:r>
        <w:rPr>
          <w:rFonts w:hint="cs"/>
          <w:rtl/>
        </w:rPr>
        <w:t xml:space="preserve">המשטרה מנהלת את </w:t>
      </w:r>
      <w:r w:rsidRPr="00E51B23">
        <w:rPr>
          <w:rFonts w:hint="cs"/>
          <w:rtl/>
        </w:rPr>
        <w:t xml:space="preserve">כספי התפיסה עד סיום ההליך הפלילי לא יהפוך </w:t>
      </w:r>
      <w:r>
        <w:rPr>
          <w:rFonts w:hint="cs"/>
          <w:rtl/>
        </w:rPr>
        <w:t>להסדר קבע</w:t>
      </w:r>
      <w:r w:rsidRPr="00E51B23">
        <w:rPr>
          <w:rFonts w:hint="cs"/>
          <w:rtl/>
        </w:rPr>
        <w:t xml:space="preserve">, על האפ"כ והמשטרה לפעול </w:t>
      </w:r>
      <w:r>
        <w:rPr>
          <w:rFonts w:hint="cs"/>
          <w:rtl/>
        </w:rPr>
        <w:t>- תוך קביעת לוח זמנים</w:t>
      </w:r>
      <w:r w:rsidRPr="00E51B23">
        <w:rPr>
          <w:rFonts w:hint="cs"/>
          <w:rtl/>
        </w:rPr>
        <w:t xml:space="preserve"> </w:t>
      </w:r>
      <w:r>
        <w:rPr>
          <w:rFonts w:hint="cs"/>
          <w:rtl/>
        </w:rPr>
        <w:t xml:space="preserve">- </w:t>
      </w:r>
      <w:r w:rsidRPr="00E51B23">
        <w:rPr>
          <w:rFonts w:hint="cs"/>
          <w:rtl/>
        </w:rPr>
        <w:t>לסג</w:t>
      </w:r>
      <w:r>
        <w:rPr>
          <w:rFonts w:hint="cs"/>
          <w:rtl/>
        </w:rPr>
        <w:t>י</w:t>
      </w:r>
      <w:r w:rsidRPr="00E51B23">
        <w:rPr>
          <w:rFonts w:hint="cs"/>
          <w:rtl/>
        </w:rPr>
        <w:t>ר</w:t>
      </w:r>
      <w:r>
        <w:rPr>
          <w:rFonts w:hint="cs"/>
          <w:rtl/>
        </w:rPr>
        <w:t>ת</w:t>
      </w:r>
      <w:r w:rsidRPr="00E51B23">
        <w:rPr>
          <w:rFonts w:hint="cs"/>
          <w:rtl/>
        </w:rPr>
        <w:t xml:space="preserve"> הפערים הטכנולוגיים ביניהם, כך שניתן יהיה להעביר את הכסף התפוס</w:t>
      </w:r>
      <w:r>
        <w:rPr>
          <w:rFonts w:hint="cs"/>
          <w:rtl/>
        </w:rPr>
        <w:t xml:space="preserve"> זמנית</w:t>
      </w:r>
      <w:r w:rsidRPr="00E51B23">
        <w:rPr>
          <w:rFonts w:hint="cs"/>
          <w:rtl/>
        </w:rPr>
        <w:t xml:space="preserve"> מחשבות המשטרה לאפ"כ</w:t>
      </w:r>
      <w:r>
        <w:rPr>
          <w:rFonts w:hint="cs"/>
          <w:rtl/>
        </w:rPr>
        <w:t xml:space="preserve"> תוך</w:t>
      </w:r>
      <w:r w:rsidRPr="00E51B23">
        <w:rPr>
          <w:rFonts w:hint="cs"/>
          <w:rtl/>
        </w:rPr>
        <w:t xml:space="preserve"> </w:t>
      </w:r>
      <w:r>
        <w:rPr>
          <w:rFonts w:hint="cs"/>
          <w:rtl/>
        </w:rPr>
        <w:t>זמן סביר לאחר</w:t>
      </w:r>
      <w:r w:rsidRPr="00E51B23">
        <w:rPr>
          <w:rFonts w:hint="cs"/>
          <w:rtl/>
        </w:rPr>
        <w:t xml:space="preserve"> תפיסתו.</w:t>
      </w:r>
    </w:p>
    <w:p w14:paraId="60B907DA" w14:textId="1CD39103" w:rsidR="00F368B6" w:rsidRDefault="00F368B6" w:rsidP="00B222C2">
      <w:pPr>
        <w:pStyle w:val="af1"/>
        <w:rPr>
          <w:rtl/>
        </w:rPr>
      </w:pPr>
      <w:r>
        <w:rPr>
          <w:rFonts w:hint="cs"/>
          <w:rtl/>
        </w:rPr>
        <w:t>כל עוד כספים תפוסים מופקדים בחשבות המשטרה, עליה להקפיד על הפרדה נאותה של כל כספי התפיסה הזמנית מיתר הכספים, וכן על גיבושה של תוכנית השקעה מושכלת.</w:t>
      </w:r>
    </w:p>
    <w:p w14:paraId="356F1F52" w14:textId="77777777" w:rsidR="00F368B6" w:rsidRPr="00A71297" w:rsidRDefault="00F368B6" w:rsidP="00B222C2">
      <w:pPr>
        <w:pStyle w:val="414"/>
        <w:rPr>
          <w:rtl/>
        </w:rPr>
      </w:pPr>
      <w:r w:rsidRPr="00A71297">
        <w:rPr>
          <w:rFonts w:hint="eastAsia"/>
          <w:rtl/>
        </w:rPr>
        <w:t>טיפול</w:t>
      </w:r>
      <w:r w:rsidRPr="00A71297">
        <w:rPr>
          <w:rtl/>
        </w:rPr>
        <w:t xml:space="preserve"> </w:t>
      </w:r>
      <w:r w:rsidRPr="00A71297">
        <w:rPr>
          <w:rFonts w:hint="eastAsia"/>
          <w:rtl/>
        </w:rPr>
        <w:t>בהמחאות</w:t>
      </w:r>
    </w:p>
    <w:p w14:paraId="4CB22AA3" w14:textId="77777777" w:rsidR="00F368B6" w:rsidRDefault="00F368B6" w:rsidP="00B222C2">
      <w:pPr>
        <w:pStyle w:val="100"/>
        <w:rPr>
          <w:rtl/>
        </w:rPr>
      </w:pPr>
      <w:r>
        <w:rPr>
          <w:rFonts w:hint="cs"/>
          <w:rtl/>
        </w:rPr>
        <w:t xml:space="preserve">בשלב החקירה נתפסות לעיתים המחאות אצל חשודים. כל המחאה שנתפסת נרשמת כמוצג נפרד ומופקדת בכספת תחנת המשטרה, וקצין החקירות עם קצין החילוט מחליטים אם תיועד לחילוט. יחידת החילוט, המשטרה והפרקליטות גיבשו נוהל לגבי המחאות שנתפסו במסגרת </w:t>
      </w:r>
      <w:r>
        <w:rPr>
          <w:rFonts w:hint="cs"/>
          <w:rtl/>
        </w:rPr>
        <w:lastRenderedPageBreak/>
        <w:t xml:space="preserve">הליכי חילוט, ולפיו אלו הנתפסות בשלב הזמני מכוח החוקים המסמיכים את יחידת החילוט לנהל ולממש רכוש, ולאחר קבלת צו בית משפט, מופקדות על ידי היחידות החוקרות במשטרה בחשבון הבנק של האפ"כ. לאחר הפקדתן שם הן עוברות לאחריות יחידת החילוט. המחאות שהמשטרה תופסת בהליכי תפיסה לפי פסד"פ, שאין ליחידת החילוט סמכות טיפול בהן, מופקדות בחשבון המשטרה כדי לשמור על ערכן. </w:t>
      </w:r>
    </w:p>
    <w:p w14:paraId="153FBB54" w14:textId="77777777" w:rsidR="00F368B6" w:rsidRPr="00B86CA6" w:rsidRDefault="00F368B6" w:rsidP="00B222C2">
      <w:pPr>
        <w:pStyle w:val="100"/>
        <w:rPr>
          <w:rtl/>
        </w:rPr>
      </w:pPr>
      <w:r>
        <w:rPr>
          <w:rFonts w:hint="cs"/>
          <w:rtl/>
        </w:rPr>
        <w:t>אם המחאות לא כובדו מכל סיבה שהיא, כגון חלוף זמן הפירעון, היעדר כיסוי בחשבון הבנק או ביטול ההמחאות בידי מושכי ההמחאות (המחאות מחוללות), על יחידת החילוט לפעול כדי לגבותן בהוצאה לפועל. בשנת 2018 פתחה היחידה 23 תיקי הוצאה לפועל בשלב הזמני בגין המחאות שלא כובדו, בשווי כולל של כ-7.6 מיליון ש"ח. באותה שנה ניהלה 19 תיקים שהוגשו בהם התנגדויות לפירעון ההמחאות, על ידי החשוד או צדדים שלישיים, בבתי משפט השלום.</w:t>
      </w:r>
    </w:p>
    <w:p w14:paraId="745A0510" w14:textId="77777777" w:rsidR="00F368B6" w:rsidRDefault="00F368B6" w:rsidP="00B222C2">
      <w:pPr>
        <w:pStyle w:val="100"/>
        <w:rPr>
          <w:rtl/>
        </w:rPr>
      </w:pPr>
      <w:r w:rsidRPr="00F653C4">
        <w:rPr>
          <w:rFonts w:hint="eastAsia"/>
          <w:rtl/>
        </w:rPr>
        <w:t>מהמסמכים</w:t>
      </w:r>
      <w:r w:rsidRPr="00F653C4">
        <w:rPr>
          <w:rtl/>
        </w:rPr>
        <w:t xml:space="preserve"> </w:t>
      </w:r>
      <w:r w:rsidRPr="00F653C4">
        <w:rPr>
          <w:rFonts w:hint="eastAsia"/>
          <w:rtl/>
        </w:rPr>
        <w:t>עולה</w:t>
      </w:r>
      <w:r w:rsidRPr="00F653C4">
        <w:rPr>
          <w:rtl/>
        </w:rPr>
        <w:t xml:space="preserve"> כי </w:t>
      </w:r>
      <w:r>
        <w:rPr>
          <w:rFonts w:hint="cs"/>
          <w:rtl/>
        </w:rPr>
        <w:t>לעיתים לא</w:t>
      </w:r>
      <w:r w:rsidRPr="00F653C4">
        <w:rPr>
          <w:rtl/>
        </w:rPr>
        <w:t xml:space="preserve"> פעלה </w:t>
      </w:r>
      <w:r w:rsidRPr="00F653C4">
        <w:rPr>
          <w:rFonts w:hint="eastAsia"/>
          <w:rtl/>
        </w:rPr>
        <w:t>יחידת</w:t>
      </w:r>
      <w:r w:rsidRPr="00F653C4">
        <w:rPr>
          <w:rtl/>
        </w:rPr>
        <w:t xml:space="preserve"> החילוט </w:t>
      </w:r>
      <w:r w:rsidRPr="00F653C4">
        <w:rPr>
          <w:rFonts w:hint="eastAsia"/>
          <w:rtl/>
        </w:rPr>
        <w:t>לגביית</w:t>
      </w:r>
      <w:r w:rsidRPr="00F653C4">
        <w:rPr>
          <w:rtl/>
        </w:rPr>
        <w:t xml:space="preserve"> </w:t>
      </w:r>
      <w:r w:rsidRPr="00F653C4">
        <w:rPr>
          <w:rFonts w:hint="eastAsia"/>
          <w:rtl/>
        </w:rPr>
        <w:t>המחאות</w:t>
      </w:r>
      <w:r>
        <w:rPr>
          <w:rFonts w:hint="cs"/>
          <w:rtl/>
        </w:rPr>
        <w:t xml:space="preserve"> ש</w:t>
      </w:r>
      <w:r w:rsidRPr="00F653C4">
        <w:rPr>
          <w:rFonts w:hint="eastAsia"/>
          <w:rtl/>
        </w:rPr>
        <w:t>חוללו</w:t>
      </w:r>
      <w:r>
        <w:rPr>
          <w:rFonts w:hint="cs"/>
          <w:rtl/>
        </w:rPr>
        <w:t>. בפגישה של נציגי האפ"כ עם נציגי המשטרה והפרקליטות בדצמבר 2018 הסבירה מנהלת יחידת החילוט את שיקולי היחידה, בכך שאינה מגישה לגבייה המחאות שחוללו בתיקים שבהם לא קיימה היחידה החוקרת חקירה כלכלית לבירור מהות העסקה שבגינה ניתנה ההמחאה. נציגי הפרקליטות הבהירו כי יחידת החילוט חייבת לפעול למימוש ההמחאות המחוללות. האפוטרופסה הכללית הנחתה כי יחידת החילוט תמשיך בהליכים בהוצאה לפועל כדי לממש המחאות שחוללו, ואם יהיו התנגדויות לפירעונן תפנה לפרקליטות או ליחידה החוקרת לקבלת הנחיות,</w:t>
      </w:r>
      <w:r w:rsidRPr="00F55147">
        <w:rPr>
          <w:rFonts w:hint="cs"/>
          <w:rtl/>
        </w:rPr>
        <w:t xml:space="preserve"> </w:t>
      </w:r>
      <w:r w:rsidRPr="001106B8">
        <w:rPr>
          <w:rFonts w:hint="cs"/>
          <w:rtl/>
        </w:rPr>
        <w:t>כדי למנוע הפסד כספי לקרן החילוט או לבעלי ההמחאות ופגיעה בתכלית האכיפה הכלכלית</w:t>
      </w:r>
      <w:r>
        <w:rPr>
          <w:rFonts w:hint="cs"/>
          <w:rtl/>
        </w:rPr>
        <w:t>.</w:t>
      </w:r>
    </w:p>
    <w:p w14:paraId="4575D733" w14:textId="77777777" w:rsidR="00F368B6" w:rsidRDefault="00F368B6" w:rsidP="00B222C2">
      <w:pPr>
        <w:pStyle w:val="af1"/>
        <w:rPr>
          <w:rtl/>
        </w:rPr>
      </w:pPr>
      <w:r>
        <w:rPr>
          <w:rFonts w:hint="cs"/>
          <w:rtl/>
        </w:rPr>
        <w:t xml:space="preserve">אופן הטיפול בהמחאות מחוללות דורש הסדרה בנוהל חדש, כי לצד הצורך בקביעת מנגנוני הגנה נדרש גם להבטיח גבייה מקסימלית של המחאות המחוללות שאין מניעה לגבותן. משגובשה הסכמת </w:t>
      </w:r>
      <w:r w:rsidRPr="00140629">
        <w:rPr>
          <w:rtl/>
        </w:rPr>
        <w:t>הגופים המעורבים</w:t>
      </w:r>
      <w:r>
        <w:rPr>
          <w:rFonts w:hint="cs"/>
          <w:rtl/>
        </w:rPr>
        <w:t xml:space="preserve"> -</w:t>
      </w:r>
      <w:r w:rsidRPr="00140629">
        <w:rPr>
          <w:rFonts w:hint="cs"/>
          <w:rtl/>
        </w:rPr>
        <w:t xml:space="preserve"> המשטרה, הפרקליטות והאפ"כ</w:t>
      </w:r>
      <w:r>
        <w:rPr>
          <w:rFonts w:hint="cs"/>
          <w:rtl/>
        </w:rPr>
        <w:t xml:space="preserve"> - בנושא, עליהם לפעול לגיבוש הנוהל והטמעתו</w:t>
      </w:r>
      <w:r w:rsidRPr="00140629">
        <w:rPr>
          <w:rFonts w:hint="cs"/>
          <w:rtl/>
        </w:rPr>
        <w:t>.</w:t>
      </w:r>
      <w:r w:rsidRPr="00140629">
        <w:rPr>
          <w:rtl/>
        </w:rPr>
        <w:t xml:space="preserve"> </w:t>
      </w:r>
    </w:p>
    <w:p w14:paraId="6CD53016" w14:textId="77777777" w:rsidR="00F368B6" w:rsidRPr="00253794" w:rsidRDefault="00F368B6" w:rsidP="00B222C2">
      <w:pPr>
        <w:pStyle w:val="100"/>
        <w:rPr>
          <w:rtl/>
        </w:rPr>
      </w:pPr>
      <w:r w:rsidRPr="00140629">
        <w:rPr>
          <w:rFonts w:hint="cs"/>
          <w:rtl/>
        </w:rPr>
        <w:t>יחידת החילוט מסרה למשרד מבקר המדינה</w:t>
      </w:r>
      <w:r>
        <w:rPr>
          <w:rFonts w:hint="cs"/>
          <w:rtl/>
        </w:rPr>
        <w:t xml:space="preserve"> </w:t>
      </w:r>
      <w:r w:rsidRPr="00140629">
        <w:rPr>
          <w:rFonts w:hint="cs"/>
          <w:rtl/>
        </w:rPr>
        <w:t xml:space="preserve">כי </w:t>
      </w:r>
      <w:r>
        <w:rPr>
          <w:rFonts w:hint="cs"/>
          <w:rtl/>
        </w:rPr>
        <w:t>לאור ההנחיית האפוטרופסה הכללית, ו</w:t>
      </w:r>
      <w:r w:rsidRPr="00140629">
        <w:rPr>
          <w:rFonts w:hint="cs"/>
          <w:rtl/>
        </w:rPr>
        <w:t>בסמוך ל</w:t>
      </w:r>
      <w:r>
        <w:rPr>
          <w:rFonts w:hint="cs"/>
          <w:rtl/>
        </w:rPr>
        <w:t>פרסומה</w:t>
      </w:r>
      <w:r w:rsidRPr="00140629">
        <w:rPr>
          <w:rFonts w:hint="cs"/>
          <w:rtl/>
        </w:rPr>
        <w:t>, החלה בהליכי גבייה מזורזים של כל ההמחאות המחוללות באמצעות הליכי הוצאה לפועל. במסגרת זו עלה הצורך בחידוד ההנחיה וקביעת מנגנוני זהירות בטרם נקיטת פעולות לגביית ההמחאות המחוללות. כמו כן, הושגה הסכמ</w:t>
      </w:r>
      <w:r>
        <w:rPr>
          <w:rFonts w:hint="cs"/>
          <w:rtl/>
        </w:rPr>
        <w:t>ת</w:t>
      </w:r>
      <w:r w:rsidRPr="00140629">
        <w:rPr>
          <w:rFonts w:hint="cs"/>
          <w:rtl/>
        </w:rPr>
        <w:t xml:space="preserve"> כל הגופים לגיבוש נוהל חדש בנושא.</w:t>
      </w:r>
    </w:p>
    <w:p w14:paraId="0311FC3A" w14:textId="77777777" w:rsidR="00F368B6" w:rsidRPr="00C330E9" w:rsidRDefault="00F368B6" w:rsidP="00E35794">
      <w:pPr>
        <w:pStyle w:val="414"/>
        <w:rPr>
          <w:rtl/>
        </w:rPr>
      </w:pPr>
      <w:r w:rsidRPr="00C330E9">
        <w:rPr>
          <w:rFonts w:hint="eastAsia"/>
          <w:rtl/>
        </w:rPr>
        <w:t>תפיסת</w:t>
      </w:r>
      <w:r w:rsidRPr="00C330E9">
        <w:rPr>
          <w:rtl/>
        </w:rPr>
        <w:t xml:space="preserve"> </w:t>
      </w:r>
      <w:r w:rsidRPr="00C330E9">
        <w:rPr>
          <w:rFonts w:hint="eastAsia"/>
          <w:rtl/>
        </w:rPr>
        <w:t>רכבים</w:t>
      </w:r>
      <w:r w:rsidRPr="00C330E9">
        <w:rPr>
          <w:rtl/>
        </w:rPr>
        <w:t xml:space="preserve"> </w:t>
      </w:r>
      <w:r w:rsidRPr="00C330E9">
        <w:rPr>
          <w:rFonts w:hint="eastAsia"/>
          <w:rtl/>
        </w:rPr>
        <w:t>ומכירתם</w:t>
      </w:r>
    </w:p>
    <w:p w14:paraId="54B307F8" w14:textId="77777777" w:rsidR="00F368B6" w:rsidRDefault="00F368B6" w:rsidP="00E35794">
      <w:pPr>
        <w:pStyle w:val="100"/>
        <w:rPr>
          <w:rtl/>
        </w:rPr>
      </w:pPr>
      <w:r>
        <w:rPr>
          <w:rFonts w:hint="cs"/>
          <w:rtl/>
        </w:rPr>
        <w:t xml:space="preserve">אחד מסוגי הרכוש הנתפסים במסגרת תיקי אכיפה כלכלית הוא כלי רכב. כלי רכב שנתפס לצורך חילוט מאבד מערכו ואף מתקלקל כאשר הוא חונה תקופה ממושכת במגרשי המשטרה בהמתנה לסיום ההליך המשפטי. </w:t>
      </w:r>
    </w:p>
    <w:p w14:paraId="4AB7F2BA" w14:textId="77777777" w:rsidR="00F368B6" w:rsidRPr="00982EF6" w:rsidRDefault="00F368B6" w:rsidP="00E35794">
      <w:pPr>
        <w:pStyle w:val="100"/>
        <w:rPr>
          <w:rtl/>
        </w:rPr>
      </w:pPr>
      <w:r>
        <w:rPr>
          <w:rFonts w:hint="cs"/>
          <w:rtl/>
        </w:rPr>
        <w:t xml:space="preserve">בית המשפט הכיר בכלי רכב כנכס מתכלה, ולכן ניתן למוכרו כבר בשלב הזמני על מנת לשמור על ערכו ביום התפיסה, ותמורת המכר מופקדת בקרן החילוט עד גזר הדין. לחלופין, לעיתים בעל הרכב (החשוד) מבקש להמשיך להשתמש בו תוך כדי ניהול ההליכים נגדו, ויש אפשרות לשחרר את הרכב - בכפוף להפקדת ערובה בקרן החילוט בשיעור ירידת הערך הצפויה לרכב במשך שלוש שנים, שעבוד פוליסת הביטוח שלו ורישום משכון עליו לטובת האפ"כ (להלן - </w:t>
      </w:r>
      <w:r>
        <w:rPr>
          <w:rFonts w:hint="cs"/>
          <w:rtl/>
        </w:rPr>
        <w:lastRenderedPageBreak/>
        <w:t xml:space="preserve">שחרור רכב בתנאים). </w:t>
      </w:r>
      <w:r w:rsidRPr="00982EF6">
        <w:rPr>
          <w:rtl/>
        </w:rPr>
        <w:t>בהתאם לנוהל המשטרה, על החוקר בתיק להציע לבעל רכב שס</w:t>
      </w:r>
      <w:r>
        <w:rPr>
          <w:rFonts w:hint="cs"/>
          <w:rtl/>
        </w:rPr>
        <w:t>י</w:t>
      </w:r>
      <w:r w:rsidRPr="00982EF6">
        <w:rPr>
          <w:rtl/>
        </w:rPr>
        <w:t>רב למכור את רכבו את האפשרות לשחרר את הרכב בתנאים.</w:t>
      </w:r>
    </w:p>
    <w:p w14:paraId="0D9F6BD0" w14:textId="7A655F35" w:rsidR="00F368B6" w:rsidRDefault="00F368B6" w:rsidP="00E35794">
      <w:pPr>
        <w:pStyle w:val="100"/>
        <w:rPr>
          <w:rtl/>
        </w:rPr>
      </w:pPr>
      <w:r>
        <w:rPr>
          <w:rFonts w:hint="cs"/>
          <w:rtl/>
        </w:rPr>
        <w:t xml:space="preserve">בכל אחת מהשנים </w:t>
      </w:r>
      <w:r w:rsidR="00F04F8A">
        <w:rPr>
          <w:rFonts w:hint="cs"/>
          <w:rtl/>
        </w:rPr>
        <w:t xml:space="preserve">2016 </w:t>
      </w:r>
      <w:r>
        <w:rPr>
          <w:rFonts w:hint="cs"/>
          <w:rtl/>
        </w:rPr>
        <w:t>-</w:t>
      </w:r>
      <w:r w:rsidR="00F04F8A">
        <w:rPr>
          <w:rFonts w:hint="cs"/>
          <w:rtl/>
        </w:rPr>
        <w:t xml:space="preserve"> 2018 </w:t>
      </w:r>
      <w:r>
        <w:rPr>
          <w:rFonts w:hint="cs"/>
          <w:rtl/>
        </w:rPr>
        <w:t>נתפסו בממוצע כ-700 כלי רכב המיועדים לחילוט. להלן בלוח 5 נתונים על מספר הרכבים שנמכרו ועל תקבולי המכירות.</w:t>
      </w:r>
    </w:p>
    <w:p w14:paraId="390E171A" w14:textId="4E527991" w:rsidR="00F368B6" w:rsidRPr="00E35794" w:rsidRDefault="00F368B6" w:rsidP="00E35794">
      <w:pPr>
        <w:pStyle w:val="a6"/>
        <w:rPr>
          <w:b/>
          <w:bCs/>
          <w:rtl/>
        </w:rPr>
      </w:pPr>
      <w:r w:rsidRPr="0039200F">
        <w:rPr>
          <w:rFonts w:hint="cs"/>
          <w:rtl/>
        </w:rPr>
        <w:t xml:space="preserve">לוח </w:t>
      </w:r>
      <w:r>
        <w:rPr>
          <w:rFonts w:hint="cs"/>
          <w:rtl/>
        </w:rPr>
        <w:t>5</w:t>
      </w:r>
      <w:r w:rsidRPr="0039200F">
        <w:rPr>
          <w:rFonts w:hint="cs"/>
          <w:rtl/>
        </w:rPr>
        <w:t xml:space="preserve">: </w:t>
      </w:r>
      <w:r w:rsidRPr="00E35794">
        <w:rPr>
          <w:rFonts w:hint="cs"/>
          <w:b/>
          <w:bCs/>
          <w:rtl/>
        </w:rPr>
        <w:t xml:space="preserve">כלי רכב תפוסים שנמכרו ותקבולי מכירתם, </w:t>
      </w:r>
      <w:r w:rsidR="00EE5E0D">
        <w:rPr>
          <w:rFonts w:hint="cs"/>
          <w:b/>
          <w:bCs/>
          <w:rtl/>
        </w:rPr>
        <w:t>2016 - 2018</w:t>
      </w:r>
    </w:p>
    <w:tbl>
      <w:tblPr>
        <w:tblStyle w:val="TableGrid"/>
        <w:bidiVisual/>
        <w:tblW w:w="0" w:type="auto"/>
        <w:jc w:val="center"/>
        <w:tblLook w:val="04A0" w:firstRow="1" w:lastRow="0" w:firstColumn="1" w:lastColumn="0" w:noHBand="0" w:noVBand="1"/>
      </w:tblPr>
      <w:tblGrid>
        <w:gridCol w:w="844"/>
        <w:gridCol w:w="1701"/>
        <w:gridCol w:w="2126"/>
        <w:gridCol w:w="1417"/>
        <w:gridCol w:w="2122"/>
      </w:tblGrid>
      <w:tr w:rsidR="00F368B6" w:rsidRPr="00E630B3" w14:paraId="09735C49" w14:textId="77777777" w:rsidTr="00681BE2">
        <w:trPr>
          <w:trHeight w:val="589"/>
          <w:jc w:val="center"/>
        </w:trPr>
        <w:tc>
          <w:tcPr>
            <w:tcW w:w="845" w:type="dxa"/>
            <w:shd w:val="clear" w:color="auto" w:fill="C6D9F1"/>
            <w:vAlign w:val="bottom"/>
          </w:tcPr>
          <w:p w14:paraId="6C992380" w14:textId="77777777" w:rsidR="00F368B6" w:rsidRPr="00E35794" w:rsidRDefault="00F368B6" w:rsidP="00E35794">
            <w:pPr>
              <w:pStyle w:val="B"/>
              <w:rPr>
                <w:rtl/>
              </w:rPr>
            </w:pPr>
            <w:r w:rsidRPr="00E35794">
              <w:rPr>
                <w:rFonts w:hint="cs"/>
                <w:rtl/>
              </w:rPr>
              <w:t>השנה</w:t>
            </w:r>
          </w:p>
        </w:tc>
        <w:tc>
          <w:tcPr>
            <w:tcW w:w="1701" w:type="dxa"/>
            <w:shd w:val="clear" w:color="auto" w:fill="C6D9F1"/>
            <w:vAlign w:val="bottom"/>
          </w:tcPr>
          <w:p w14:paraId="49F3C449" w14:textId="77777777" w:rsidR="00F368B6" w:rsidRPr="00E35794" w:rsidRDefault="00F368B6" w:rsidP="00E35794">
            <w:pPr>
              <w:pStyle w:val="B"/>
              <w:rPr>
                <w:rtl/>
              </w:rPr>
            </w:pPr>
            <w:r w:rsidRPr="00E35794">
              <w:rPr>
                <w:rFonts w:hint="cs"/>
                <w:rtl/>
              </w:rPr>
              <w:t>כלי רכב שנתפסו ויועדו לחילוט</w:t>
            </w:r>
          </w:p>
        </w:tc>
        <w:tc>
          <w:tcPr>
            <w:tcW w:w="2126" w:type="dxa"/>
            <w:shd w:val="clear" w:color="auto" w:fill="C6D9F1"/>
            <w:vAlign w:val="bottom"/>
          </w:tcPr>
          <w:p w14:paraId="27BDF5D2" w14:textId="77777777" w:rsidR="00F368B6" w:rsidRPr="00E35794" w:rsidRDefault="00F368B6" w:rsidP="00E35794">
            <w:pPr>
              <w:pStyle w:val="B"/>
              <w:rPr>
                <w:rtl/>
              </w:rPr>
            </w:pPr>
            <w:r w:rsidRPr="00E35794">
              <w:rPr>
                <w:rFonts w:hint="cs"/>
                <w:rtl/>
              </w:rPr>
              <w:t>כלי רכב שנמכרו בסיוע יחידת החילוט</w:t>
            </w:r>
          </w:p>
        </w:tc>
        <w:tc>
          <w:tcPr>
            <w:tcW w:w="1417" w:type="dxa"/>
            <w:shd w:val="clear" w:color="auto" w:fill="C6D9F1"/>
            <w:vAlign w:val="bottom"/>
          </w:tcPr>
          <w:p w14:paraId="3D8C2FD6" w14:textId="77777777" w:rsidR="00F368B6" w:rsidRPr="00E35794" w:rsidRDefault="00F368B6" w:rsidP="00E35794">
            <w:pPr>
              <w:pStyle w:val="B"/>
              <w:rPr>
                <w:rtl/>
              </w:rPr>
            </w:pPr>
            <w:r w:rsidRPr="00E35794">
              <w:rPr>
                <w:rFonts w:hint="cs"/>
                <w:rtl/>
              </w:rPr>
              <w:t>תקבולי מכירה (ש"ח)</w:t>
            </w:r>
          </w:p>
        </w:tc>
        <w:tc>
          <w:tcPr>
            <w:tcW w:w="2122" w:type="dxa"/>
            <w:shd w:val="clear" w:color="auto" w:fill="C6D9F1"/>
            <w:vAlign w:val="bottom"/>
          </w:tcPr>
          <w:p w14:paraId="46140793" w14:textId="77777777" w:rsidR="00F368B6" w:rsidRPr="00E35794" w:rsidRDefault="00F368B6" w:rsidP="00E35794">
            <w:pPr>
              <w:pStyle w:val="B"/>
              <w:rPr>
                <w:rtl/>
              </w:rPr>
            </w:pPr>
            <w:r w:rsidRPr="00E35794">
              <w:rPr>
                <w:rFonts w:hint="cs"/>
                <w:rtl/>
              </w:rPr>
              <w:t>תקבול ממוצע למכירה (ש"ח)</w:t>
            </w:r>
          </w:p>
        </w:tc>
      </w:tr>
      <w:tr w:rsidR="00F368B6" w:rsidRPr="00E630B3" w14:paraId="1BFD1967" w14:textId="77777777" w:rsidTr="00F368B6">
        <w:trPr>
          <w:trHeight w:val="370"/>
          <w:jc w:val="center"/>
        </w:trPr>
        <w:tc>
          <w:tcPr>
            <w:tcW w:w="845" w:type="dxa"/>
            <w:vAlign w:val="bottom"/>
          </w:tcPr>
          <w:p w14:paraId="29A813BE" w14:textId="77777777" w:rsidR="00F368B6" w:rsidRPr="00E35794" w:rsidRDefault="00F368B6" w:rsidP="00E35794">
            <w:pPr>
              <w:pStyle w:val="R"/>
              <w:rPr>
                <w:szCs w:val="20"/>
                <w:rtl/>
              </w:rPr>
            </w:pPr>
            <w:r w:rsidRPr="00E35794">
              <w:rPr>
                <w:rFonts w:hint="cs"/>
                <w:szCs w:val="20"/>
                <w:rtl/>
              </w:rPr>
              <w:t>2016</w:t>
            </w:r>
          </w:p>
        </w:tc>
        <w:tc>
          <w:tcPr>
            <w:tcW w:w="1701" w:type="dxa"/>
            <w:vAlign w:val="bottom"/>
          </w:tcPr>
          <w:p w14:paraId="300A34D8" w14:textId="77777777" w:rsidR="00F368B6" w:rsidRPr="00E35794" w:rsidRDefault="00F368B6" w:rsidP="00E35794">
            <w:pPr>
              <w:pStyle w:val="R"/>
              <w:rPr>
                <w:szCs w:val="20"/>
                <w:rtl/>
              </w:rPr>
            </w:pPr>
            <w:r w:rsidRPr="00E35794">
              <w:rPr>
                <w:rFonts w:hint="cs"/>
                <w:szCs w:val="20"/>
                <w:rtl/>
              </w:rPr>
              <w:t>752</w:t>
            </w:r>
          </w:p>
        </w:tc>
        <w:tc>
          <w:tcPr>
            <w:tcW w:w="2126" w:type="dxa"/>
            <w:vAlign w:val="bottom"/>
          </w:tcPr>
          <w:p w14:paraId="129A0DA0" w14:textId="77777777" w:rsidR="00F368B6" w:rsidRPr="00E35794" w:rsidRDefault="00F368B6" w:rsidP="00E35794">
            <w:pPr>
              <w:pStyle w:val="R"/>
              <w:rPr>
                <w:szCs w:val="20"/>
                <w:rtl/>
              </w:rPr>
            </w:pPr>
            <w:r w:rsidRPr="00E35794">
              <w:rPr>
                <w:rFonts w:hint="cs"/>
                <w:szCs w:val="20"/>
                <w:rtl/>
              </w:rPr>
              <w:t>65</w:t>
            </w:r>
          </w:p>
        </w:tc>
        <w:tc>
          <w:tcPr>
            <w:tcW w:w="1417" w:type="dxa"/>
            <w:vAlign w:val="bottom"/>
          </w:tcPr>
          <w:p w14:paraId="3B096DB8" w14:textId="77777777" w:rsidR="00F368B6" w:rsidRPr="00E35794" w:rsidRDefault="00F368B6" w:rsidP="00E35794">
            <w:pPr>
              <w:pStyle w:val="R"/>
              <w:rPr>
                <w:szCs w:val="20"/>
                <w:rtl/>
              </w:rPr>
            </w:pPr>
            <w:r w:rsidRPr="00E35794">
              <w:rPr>
                <w:rFonts w:hint="cs"/>
                <w:szCs w:val="20"/>
                <w:rtl/>
              </w:rPr>
              <w:t>2,000,000</w:t>
            </w:r>
          </w:p>
        </w:tc>
        <w:tc>
          <w:tcPr>
            <w:tcW w:w="2122" w:type="dxa"/>
            <w:vAlign w:val="bottom"/>
          </w:tcPr>
          <w:p w14:paraId="73C30754" w14:textId="77777777" w:rsidR="00F368B6" w:rsidRPr="00E35794" w:rsidRDefault="00F368B6" w:rsidP="00E35794">
            <w:pPr>
              <w:pStyle w:val="R"/>
              <w:rPr>
                <w:szCs w:val="20"/>
                <w:rtl/>
              </w:rPr>
            </w:pPr>
            <w:r w:rsidRPr="00E35794">
              <w:rPr>
                <w:rFonts w:hint="cs"/>
                <w:szCs w:val="20"/>
                <w:rtl/>
              </w:rPr>
              <w:t>31,000</w:t>
            </w:r>
          </w:p>
        </w:tc>
      </w:tr>
      <w:tr w:rsidR="00F368B6" w:rsidRPr="00E630B3" w14:paraId="59898211" w14:textId="77777777" w:rsidTr="00F368B6">
        <w:trPr>
          <w:trHeight w:val="388"/>
          <w:jc w:val="center"/>
        </w:trPr>
        <w:tc>
          <w:tcPr>
            <w:tcW w:w="845" w:type="dxa"/>
            <w:vAlign w:val="bottom"/>
          </w:tcPr>
          <w:p w14:paraId="57C44FDF" w14:textId="77777777" w:rsidR="00F368B6" w:rsidRPr="00E35794" w:rsidRDefault="00F368B6" w:rsidP="00E35794">
            <w:pPr>
              <w:pStyle w:val="R"/>
              <w:rPr>
                <w:szCs w:val="20"/>
                <w:rtl/>
              </w:rPr>
            </w:pPr>
            <w:r w:rsidRPr="00E35794">
              <w:rPr>
                <w:rFonts w:hint="cs"/>
                <w:szCs w:val="20"/>
                <w:rtl/>
              </w:rPr>
              <w:t>2017</w:t>
            </w:r>
          </w:p>
        </w:tc>
        <w:tc>
          <w:tcPr>
            <w:tcW w:w="1701" w:type="dxa"/>
            <w:vAlign w:val="bottom"/>
          </w:tcPr>
          <w:p w14:paraId="2138F47B" w14:textId="77777777" w:rsidR="00F368B6" w:rsidRPr="00E35794" w:rsidRDefault="00F368B6" w:rsidP="00E35794">
            <w:pPr>
              <w:pStyle w:val="R"/>
              <w:rPr>
                <w:szCs w:val="20"/>
                <w:rtl/>
              </w:rPr>
            </w:pPr>
            <w:r w:rsidRPr="00E35794">
              <w:rPr>
                <w:rFonts w:hint="cs"/>
                <w:szCs w:val="20"/>
                <w:rtl/>
              </w:rPr>
              <w:t>652</w:t>
            </w:r>
          </w:p>
        </w:tc>
        <w:tc>
          <w:tcPr>
            <w:tcW w:w="2126" w:type="dxa"/>
            <w:vAlign w:val="bottom"/>
          </w:tcPr>
          <w:p w14:paraId="2107DDB0" w14:textId="77777777" w:rsidR="00F368B6" w:rsidRPr="00E35794" w:rsidRDefault="00F368B6" w:rsidP="00E35794">
            <w:pPr>
              <w:pStyle w:val="R"/>
              <w:rPr>
                <w:szCs w:val="20"/>
                <w:rtl/>
              </w:rPr>
            </w:pPr>
            <w:r w:rsidRPr="00E35794">
              <w:rPr>
                <w:rFonts w:hint="cs"/>
                <w:szCs w:val="20"/>
                <w:rtl/>
              </w:rPr>
              <w:t>46</w:t>
            </w:r>
          </w:p>
        </w:tc>
        <w:tc>
          <w:tcPr>
            <w:tcW w:w="1417" w:type="dxa"/>
            <w:vAlign w:val="bottom"/>
          </w:tcPr>
          <w:p w14:paraId="45D07BF5" w14:textId="77777777" w:rsidR="00F368B6" w:rsidRPr="00E35794" w:rsidRDefault="00F368B6" w:rsidP="00E35794">
            <w:pPr>
              <w:pStyle w:val="R"/>
              <w:rPr>
                <w:szCs w:val="20"/>
                <w:rtl/>
              </w:rPr>
            </w:pPr>
            <w:r w:rsidRPr="00E35794">
              <w:rPr>
                <w:rFonts w:hint="cs"/>
                <w:szCs w:val="20"/>
                <w:rtl/>
              </w:rPr>
              <w:t>1,379,000</w:t>
            </w:r>
          </w:p>
        </w:tc>
        <w:tc>
          <w:tcPr>
            <w:tcW w:w="2122" w:type="dxa"/>
            <w:vAlign w:val="bottom"/>
          </w:tcPr>
          <w:p w14:paraId="6A3049BB" w14:textId="77777777" w:rsidR="00F368B6" w:rsidRPr="00E35794" w:rsidRDefault="00F368B6" w:rsidP="00E35794">
            <w:pPr>
              <w:pStyle w:val="R"/>
              <w:rPr>
                <w:szCs w:val="20"/>
                <w:rtl/>
              </w:rPr>
            </w:pPr>
            <w:r w:rsidRPr="00E35794">
              <w:rPr>
                <w:rFonts w:hint="cs"/>
                <w:szCs w:val="20"/>
                <w:rtl/>
              </w:rPr>
              <w:t>30,000</w:t>
            </w:r>
          </w:p>
        </w:tc>
      </w:tr>
      <w:tr w:rsidR="00F368B6" w:rsidRPr="00E630B3" w14:paraId="2BAE3BFA" w14:textId="77777777" w:rsidTr="008B74DA">
        <w:trPr>
          <w:trHeight w:val="106"/>
          <w:jc w:val="center"/>
        </w:trPr>
        <w:tc>
          <w:tcPr>
            <w:tcW w:w="845" w:type="dxa"/>
            <w:tcBorders>
              <w:bottom w:val="single" w:sz="4" w:space="0" w:color="auto"/>
            </w:tcBorders>
            <w:vAlign w:val="bottom"/>
          </w:tcPr>
          <w:p w14:paraId="0B4FBF0A" w14:textId="77777777" w:rsidR="00F368B6" w:rsidRPr="00E35794" w:rsidRDefault="00F368B6" w:rsidP="00E35794">
            <w:pPr>
              <w:pStyle w:val="R"/>
              <w:rPr>
                <w:szCs w:val="20"/>
                <w:rtl/>
              </w:rPr>
            </w:pPr>
            <w:r w:rsidRPr="00E35794">
              <w:rPr>
                <w:rFonts w:hint="cs"/>
                <w:szCs w:val="20"/>
                <w:rtl/>
              </w:rPr>
              <w:t>2018</w:t>
            </w:r>
          </w:p>
        </w:tc>
        <w:tc>
          <w:tcPr>
            <w:tcW w:w="1701" w:type="dxa"/>
            <w:tcBorders>
              <w:bottom w:val="single" w:sz="4" w:space="0" w:color="auto"/>
            </w:tcBorders>
            <w:vAlign w:val="bottom"/>
          </w:tcPr>
          <w:p w14:paraId="0D609596" w14:textId="77777777" w:rsidR="00F368B6" w:rsidRPr="00E35794" w:rsidRDefault="00F368B6" w:rsidP="00E35794">
            <w:pPr>
              <w:pStyle w:val="R"/>
              <w:rPr>
                <w:szCs w:val="20"/>
                <w:rtl/>
              </w:rPr>
            </w:pPr>
            <w:r w:rsidRPr="00E35794">
              <w:rPr>
                <w:rFonts w:hint="cs"/>
                <w:szCs w:val="20"/>
                <w:rtl/>
              </w:rPr>
              <w:t>693</w:t>
            </w:r>
          </w:p>
        </w:tc>
        <w:tc>
          <w:tcPr>
            <w:tcW w:w="2126" w:type="dxa"/>
            <w:tcBorders>
              <w:bottom w:val="single" w:sz="4" w:space="0" w:color="auto"/>
            </w:tcBorders>
            <w:vAlign w:val="bottom"/>
          </w:tcPr>
          <w:p w14:paraId="4D5762C0" w14:textId="77777777" w:rsidR="00F368B6" w:rsidRPr="00E35794" w:rsidRDefault="00F368B6" w:rsidP="00E35794">
            <w:pPr>
              <w:pStyle w:val="R"/>
              <w:rPr>
                <w:szCs w:val="20"/>
                <w:rtl/>
              </w:rPr>
            </w:pPr>
            <w:r w:rsidRPr="00E35794">
              <w:rPr>
                <w:rFonts w:hint="cs"/>
                <w:szCs w:val="20"/>
                <w:rtl/>
              </w:rPr>
              <w:t>58</w:t>
            </w:r>
          </w:p>
        </w:tc>
        <w:tc>
          <w:tcPr>
            <w:tcW w:w="1417" w:type="dxa"/>
            <w:tcBorders>
              <w:bottom w:val="single" w:sz="4" w:space="0" w:color="auto"/>
            </w:tcBorders>
            <w:vAlign w:val="bottom"/>
          </w:tcPr>
          <w:p w14:paraId="2C742FA0" w14:textId="77777777" w:rsidR="00F368B6" w:rsidRPr="00E35794" w:rsidRDefault="00F368B6" w:rsidP="00E35794">
            <w:pPr>
              <w:pStyle w:val="R"/>
              <w:rPr>
                <w:szCs w:val="20"/>
                <w:rtl/>
              </w:rPr>
            </w:pPr>
            <w:r w:rsidRPr="00E35794">
              <w:rPr>
                <w:rFonts w:hint="cs"/>
                <w:szCs w:val="20"/>
                <w:rtl/>
              </w:rPr>
              <w:t>2,569,000</w:t>
            </w:r>
          </w:p>
        </w:tc>
        <w:tc>
          <w:tcPr>
            <w:tcW w:w="2122" w:type="dxa"/>
            <w:tcBorders>
              <w:bottom w:val="single" w:sz="4" w:space="0" w:color="auto"/>
            </w:tcBorders>
            <w:vAlign w:val="bottom"/>
          </w:tcPr>
          <w:p w14:paraId="0053D8BB" w14:textId="77777777" w:rsidR="00F368B6" w:rsidRPr="00E35794" w:rsidRDefault="00F368B6" w:rsidP="00E35794">
            <w:pPr>
              <w:pStyle w:val="R"/>
              <w:rPr>
                <w:szCs w:val="20"/>
                <w:rtl/>
              </w:rPr>
            </w:pPr>
            <w:r w:rsidRPr="00E35794">
              <w:rPr>
                <w:rFonts w:hint="cs"/>
                <w:szCs w:val="20"/>
                <w:rtl/>
              </w:rPr>
              <w:t>44,300</w:t>
            </w:r>
          </w:p>
        </w:tc>
      </w:tr>
      <w:tr w:rsidR="00F368B6" w:rsidRPr="00E630B3" w14:paraId="12978834" w14:textId="77777777" w:rsidTr="008B74DA">
        <w:trPr>
          <w:trHeight w:val="106"/>
          <w:jc w:val="center"/>
        </w:trPr>
        <w:tc>
          <w:tcPr>
            <w:tcW w:w="845" w:type="dxa"/>
            <w:shd w:val="clear" w:color="auto" w:fill="C6D9F1"/>
            <w:vAlign w:val="bottom"/>
          </w:tcPr>
          <w:p w14:paraId="563FA895" w14:textId="77777777" w:rsidR="00F368B6" w:rsidRPr="00E35794" w:rsidRDefault="00F368B6" w:rsidP="00E35794">
            <w:pPr>
              <w:pStyle w:val="R"/>
              <w:rPr>
                <w:szCs w:val="20"/>
                <w:rtl/>
              </w:rPr>
            </w:pPr>
            <w:r w:rsidRPr="00E35794">
              <w:rPr>
                <w:rFonts w:hint="cs"/>
                <w:szCs w:val="20"/>
                <w:rtl/>
              </w:rPr>
              <w:t>סה</w:t>
            </w:r>
            <w:r w:rsidRPr="00E35794">
              <w:rPr>
                <w:szCs w:val="20"/>
                <w:rtl/>
              </w:rPr>
              <w:t>"כ</w:t>
            </w:r>
          </w:p>
        </w:tc>
        <w:tc>
          <w:tcPr>
            <w:tcW w:w="1701" w:type="dxa"/>
            <w:shd w:val="clear" w:color="auto" w:fill="C6D9F1"/>
            <w:vAlign w:val="bottom"/>
          </w:tcPr>
          <w:p w14:paraId="63333E48" w14:textId="77777777" w:rsidR="00F368B6" w:rsidRPr="00E35794" w:rsidRDefault="00F368B6" w:rsidP="00E35794">
            <w:pPr>
              <w:pStyle w:val="R"/>
              <w:rPr>
                <w:szCs w:val="20"/>
                <w:rtl/>
              </w:rPr>
            </w:pPr>
            <w:r w:rsidRPr="00E35794">
              <w:rPr>
                <w:szCs w:val="20"/>
                <w:rtl/>
              </w:rPr>
              <w:t>2097</w:t>
            </w:r>
          </w:p>
        </w:tc>
        <w:tc>
          <w:tcPr>
            <w:tcW w:w="2126" w:type="dxa"/>
            <w:shd w:val="clear" w:color="auto" w:fill="C6D9F1"/>
            <w:vAlign w:val="bottom"/>
          </w:tcPr>
          <w:p w14:paraId="3FE94E69" w14:textId="77777777" w:rsidR="00F368B6" w:rsidRPr="00E35794" w:rsidRDefault="00F368B6" w:rsidP="00E35794">
            <w:pPr>
              <w:pStyle w:val="R"/>
              <w:rPr>
                <w:szCs w:val="20"/>
                <w:rtl/>
              </w:rPr>
            </w:pPr>
            <w:r w:rsidRPr="00E35794">
              <w:rPr>
                <w:szCs w:val="20"/>
                <w:rtl/>
              </w:rPr>
              <w:t>169</w:t>
            </w:r>
          </w:p>
        </w:tc>
        <w:tc>
          <w:tcPr>
            <w:tcW w:w="1417" w:type="dxa"/>
            <w:shd w:val="clear" w:color="auto" w:fill="C6D9F1"/>
            <w:vAlign w:val="bottom"/>
          </w:tcPr>
          <w:p w14:paraId="7471EE74" w14:textId="77777777" w:rsidR="00F368B6" w:rsidRPr="00E35794" w:rsidRDefault="00F368B6" w:rsidP="00E35794">
            <w:pPr>
              <w:pStyle w:val="R"/>
              <w:rPr>
                <w:szCs w:val="20"/>
                <w:rtl/>
              </w:rPr>
            </w:pPr>
            <w:r w:rsidRPr="00E35794">
              <w:rPr>
                <w:szCs w:val="20"/>
                <w:rtl/>
              </w:rPr>
              <w:t>5,948</w:t>
            </w:r>
            <w:r w:rsidRPr="00E35794">
              <w:rPr>
                <w:rFonts w:hint="cs"/>
                <w:szCs w:val="20"/>
                <w:rtl/>
              </w:rPr>
              <w:t>,000</w:t>
            </w:r>
          </w:p>
        </w:tc>
        <w:tc>
          <w:tcPr>
            <w:tcW w:w="2122" w:type="dxa"/>
            <w:shd w:val="clear" w:color="auto" w:fill="C6D9F1"/>
            <w:vAlign w:val="bottom"/>
          </w:tcPr>
          <w:p w14:paraId="51D5CFF3" w14:textId="77777777" w:rsidR="00F368B6" w:rsidRPr="00E35794" w:rsidRDefault="00F368B6" w:rsidP="00E35794">
            <w:pPr>
              <w:pStyle w:val="R"/>
              <w:rPr>
                <w:szCs w:val="20"/>
                <w:rtl/>
              </w:rPr>
            </w:pPr>
            <w:r w:rsidRPr="00E35794">
              <w:rPr>
                <w:szCs w:val="20"/>
                <w:rtl/>
              </w:rPr>
              <w:t>35,000</w:t>
            </w:r>
          </w:p>
        </w:tc>
      </w:tr>
    </w:tbl>
    <w:p w14:paraId="077A020A" w14:textId="77777777" w:rsidR="00681BE2" w:rsidRDefault="00681BE2" w:rsidP="00681BE2">
      <w:pPr>
        <w:pStyle w:val="100"/>
        <w:rPr>
          <w:rtl/>
        </w:rPr>
      </w:pPr>
    </w:p>
    <w:p w14:paraId="6DCA887F" w14:textId="21B3BD83" w:rsidR="00F368B6" w:rsidRDefault="00F368B6" w:rsidP="00681BE2">
      <w:pPr>
        <w:pStyle w:val="100"/>
        <w:rPr>
          <w:rtl/>
        </w:rPr>
      </w:pPr>
      <w:r>
        <w:rPr>
          <w:rFonts w:hint="cs"/>
          <w:rtl/>
        </w:rPr>
        <w:t xml:space="preserve">מהנתונים עולה כי בשלוש שנים נמכרו בסיוע יחידת החילוט רכבים בסך כולל של כ-6 מיליון ש"ח, ובממוצע נמכרים רכבים בכ-2 מיליון ש"ח בשנה. מספר כלי הרכב שנתפסו ויועדו לחילוט מתייחס לכלל כלי הרכב שנתפסו במסגרת הליכי אכיפה, ולא רק לאלה שנתפסו מכוח החוקים שמסמיכים את יחידת החילוט לנהל ולממש רכוש. אין בידי המשטרה נתונים על מספר כלי הרכב שנתפסו לחילוט ושוחררו בתנאים. </w:t>
      </w:r>
    </w:p>
    <w:p w14:paraId="68E97052" w14:textId="77777777" w:rsidR="00F368B6" w:rsidRDefault="00F368B6" w:rsidP="00681BE2">
      <w:pPr>
        <w:pStyle w:val="100"/>
        <w:rPr>
          <w:rtl/>
        </w:rPr>
      </w:pPr>
      <w:r>
        <w:rPr>
          <w:rFonts w:hint="cs"/>
          <w:rtl/>
        </w:rPr>
        <w:t>להלן בתמונה 1 כלי רכב שחולטו והועמדו למכירה במגרש המכירות המשטרתי.</w:t>
      </w:r>
    </w:p>
    <w:p w14:paraId="5E86DA72" w14:textId="77777777" w:rsidR="00F368B6" w:rsidRDefault="00F368B6" w:rsidP="00E35794">
      <w:pPr>
        <w:pStyle w:val="a6"/>
        <w:rPr>
          <w:rtl/>
        </w:rPr>
      </w:pPr>
      <w:r>
        <w:rPr>
          <w:rFonts w:hint="cs"/>
          <w:rtl/>
        </w:rPr>
        <w:t>תמונה</w:t>
      </w:r>
      <w:r w:rsidRPr="00D217F3">
        <w:rPr>
          <w:rtl/>
        </w:rPr>
        <w:t xml:space="preserve"> 1:</w:t>
      </w:r>
      <w:r>
        <w:rPr>
          <w:rFonts w:hint="cs"/>
          <w:rtl/>
        </w:rPr>
        <w:t xml:space="preserve"> </w:t>
      </w:r>
      <w:r w:rsidRPr="00E35794">
        <w:rPr>
          <w:rFonts w:hint="cs"/>
          <w:b/>
          <w:bCs/>
          <w:rtl/>
        </w:rPr>
        <w:t>כלי רכב מחולטים שהועמדו למכירה במגרש המשטרתי</w:t>
      </w:r>
    </w:p>
    <w:p w14:paraId="76772D63" w14:textId="77777777" w:rsidR="00F368B6" w:rsidRDefault="00F368B6" w:rsidP="00F368B6">
      <w:pPr>
        <w:spacing w:line="269" w:lineRule="auto"/>
        <w:rPr>
          <w:rtl/>
        </w:rPr>
      </w:pPr>
      <w:r w:rsidRPr="009A7730">
        <w:rPr>
          <w:noProof/>
          <w:rtl/>
        </w:rPr>
        <w:drawing>
          <wp:inline distT="0" distB="0" distL="0" distR="0" wp14:anchorId="08BB6554" wp14:editId="182B00B0">
            <wp:extent cx="5220335" cy="2935662"/>
            <wp:effectExtent l="0" t="0" r="0" b="0"/>
            <wp:docPr id="37" name="תמונה 9" descr="C:\Users\moshe_s\Desktop\מגרש רכב חילו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32708" name="Picture 1" descr="C:\Users\moshe_s\Desktop\מגרש רכב חילוט.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20335" cy="2935662"/>
                    </a:xfrm>
                    <a:prstGeom prst="rect">
                      <a:avLst/>
                    </a:prstGeom>
                    <a:noFill/>
                    <a:ln>
                      <a:noFill/>
                    </a:ln>
                  </pic:spPr>
                </pic:pic>
              </a:graphicData>
            </a:graphic>
          </wp:inline>
        </w:drawing>
      </w:r>
    </w:p>
    <w:p w14:paraId="55153755" w14:textId="77777777" w:rsidR="00F368B6" w:rsidRPr="00E630B3" w:rsidRDefault="00F368B6" w:rsidP="00681BE2">
      <w:pPr>
        <w:pStyle w:val="a8"/>
        <w:rPr>
          <w:rtl/>
        </w:rPr>
      </w:pPr>
      <w:r w:rsidRPr="00E630B3">
        <w:rPr>
          <w:rFonts w:hint="eastAsia"/>
          <w:rtl/>
        </w:rPr>
        <w:t>צולם</w:t>
      </w:r>
      <w:r w:rsidRPr="00E630B3">
        <w:rPr>
          <w:rtl/>
        </w:rPr>
        <w:t xml:space="preserve"> </w:t>
      </w:r>
      <w:r w:rsidRPr="00E630B3">
        <w:rPr>
          <w:rFonts w:hint="eastAsia"/>
          <w:rtl/>
        </w:rPr>
        <w:t>ע</w:t>
      </w:r>
      <w:r w:rsidRPr="00E630B3">
        <w:rPr>
          <w:rFonts w:hint="cs"/>
          <w:rtl/>
        </w:rPr>
        <w:t>ל יד</w:t>
      </w:r>
      <w:r w:rsidRPr="00E630B3">
        <w:rPr>
          <w:rFonts w:hint="eastAsia"/>
          <w:rtl/>
        </w:rPr>
        <w:t>י</w:t>
      </w:r>
      <w:r w:rsidRPr="00E630B3">
        <w:rPr>
          <w:rtl/>
        </w:rPr>
        <w:t xml:space="preserve"> </w:t>
      </w:r>
      <w:r w:rsidRPr="00E630B3">
        <w:rPr>
          <w:rFonts w:hint="eastAsia"/>
          <w:rtl/>
        </w:rPr>
        <w:t>צוות</w:t>
      </w:r>
      <w:r w:rsidRPr="00E630B3">
        <w:rPr>
          <w:rtl/>
        </w:rPr>
        <w:t xml:space="preserve"> </w:t>
      </w:r>
      <w:r w:rsidRPr="00E630B3">
        <w:rPr>
          <w:rFonts w:hint="eastAsia"/>
          <w:rtl/>
        </w:rPr>
        <w:t>הביקורת</w:t>
      </w:r>
      <w:r w:rsidRPr="00E630B3">
        <w:rPr>
          <w:rFonts w:hint="cs"/>
          <w:rtl/>
        </w:rPr>
        <w:t>.</w:t>
      </w:r>
    </w:p>
    <w:p w14:paraId="43596AB8" w14:textId="77777777" w:rsidR="00F368B6" w:rsidRDefault="00F368B6" w:rsidP="008B74DA">
      <w:pPr>
        <w:pStyle w:val="100"/>
        <w:rPr>
          <w:rtl/>
        </w:rPr>
      </w:pPr>
      <w:r>
        <w:rPr>
          <w:rFonts w:hint="cs"/>
          <w:rtl/>
        </w:rPr>
        <w:lastRenderedPageBreak/>
        <w:t>בביקורת שעשתה המשטרה במגרשיה נמצאו רכבים המיועדים לחילוט שחנו במשך תקופות ארוכות ללא טיפול, כשערכם יורד עם השנים ונשחק עקב בלאי מואץ ובהיעדר שימוש. למשל נמצאו במגרש מסוים 84 כלי רכב המיועדים לחילוט אשר חנו בו במשך שנה וחצי עד שש שנים, בעוד תיקי החקירה הרלוונטיים מתנהלים בבתי המשפט וממתינים להחלטה או לגזר דין.</w:t>
      </w:r>
    </w:p>
    <w:p w14:paraId="71F5D105" w14:textId="77777777" w:rsidR="00F368B6" w:rsidRPr="00311F43" w:rsidRDefault="00F368B6" w:rsidP="008B74DA">
      <w:pPr>
        <w:pStyle w:val="af1"/>
        <w:rPr>
          <w:rtl/>
        </w:rPr>
      </w:pPr>
      <w:r w:rsidRPr="00311F43">
        <w:rPr>
          <w:rFonts w:hint="cs"/>
          <w:rtl/>
        </w:rPr>
        <w:t xml:space="preserve">אי-מכירת כלי רכב או אי שחרורם בתנאים גורם למצוקת אחסון במגרשי המשטרה ולצורך בשכירת מגרשים אזרחיים, ולכן הנחתה המשטרה את </w:t>
      </w:r>
      <w:r w:rsidRPr="00311F43">
        <w:rPr>
          <w:rFonts w:hint="eastAsia"/>
          <w:rtl/>
        </w:rPr>
        <w:t>יחידות</w:t>
      </w:r>
      <w:r w:rsidRPr="00311F43">
        <w:rPr>
          <w:rtl/>
        </w:rPr>
        <w:t xml:space="preserve"> </w:t>
      </w:r>
      <w:r w:rsidRPr="00311F43">
        <w:rPr>
          <w:rFonts w:hint="eastAsia"/>
          <w:rtl/>
        </w:rPr>
        <w:t>השטח</w:t>
      </w:r>
      <w:r w:rsidRPr="00311F43">
        <w:rPr>
          <w:rtl/>
        </w:rPr>
        <w:t xml:space="preserve"> </w:t>
      </w:r>
      <w:r w:rsidRPr="00311F43">
        <w:rPr>
          <w:rFonts w:hint="eastAsia"/>
          <w:rtl/>
        </w:rPr>
        <w:t>שלא</w:t>
      </w:r>
      <w:r w:rsidRPr="00311F43">
        <w:rPr>
          <w:rtl/>
        </w:rPr>
        <w:t xml:space="preserve"> </w:t>
      </w:r>
      <w:r w:rsidRPr="00311F43">
        <w:rPr>
          <w:rFonts w:hint="eastAsia"/>
          <w:rtl/>
        </w:rPr>
        <w:t>לתפוס</w:t>
      </w:r>
      <w:r w:rsidRPr="00311F43">
        <w:rPr>
          <w:rtl/>
        </w:rPr>
        <w:t xml:space="preserve"> </w:t>
      </w:r>
      <w:r w:rsidRPr="00311F43">
        <w:rPr>
          <w:rFonts w:hint="eastAsia"/>
          <w:rtl/>
        </w:rPr>
        <w:t>עוד</w:t>
      </w:r>
      <w:r w:rsidRPr="00311F43">
        <w:rPr>
          <w:rtl/>
        </w:rPr>
        <w:t xml:space="preserve"> </w:t>
      </w:r>
      <w:r w:rsidRPr="00311F43">
        <w:rPr>
          <w:rFonts w:hint="eastAsia"/>
          <w:rtl/>
        </w:rPr>
        <w:t>רכבים</w:t>
      </w:r>
      <w:r w:rsidRPr="00311F43">
        <w:rPr>
          <w:rtl/>
        </w:rPr>
        <w:t>.</w:t>
      </w:r>
      <w:r w:rsidRPr="00311F43">
        <w:rPr>
          <w:rFonts w:hint="cs"/>
          <w:rtl/>
        </w:rPr>
        <w:t xml:space="preserve"> </w:t>
      </w:r>
    </w:p>
    <w:p w14:paraId="5E64645B" w14:textId="77777777" w:rsidR="00F368B6" w:rsidRDefault="00F368B6" w:rsidP="008B74DA">
      <w:pPr>
        <w:pStyle w:val="af1"/>
        <w:rPr>
          <w:rtl/>
        </w:rPr>
      </w:pPr>
      <w:r w:rsidRPr="006C601D">
        <w:rPr>
          <w:rFonts w:hint="eastAsia"/>
          <w:rtl/>
        </w:rPr>
        <w:t>מהנתונים</w:t>
      </w:r>
      <w:r w:rsidRPr="006C601D">
        <w:rPr>
          <w:rtl/>
        </w:rPr>
        <w:t xml:space="preserve"> </w:t>
      </w:r>
      <w:r w:rsidRPr="006C601D">
        <w:rPr>
          <w:rFonts w:hint="eastAsia"/>
          <w:rtl/>
        </w:rPr>
        <w:t>עולה</w:t>
      </w:r>
      <w:r w:rsidRPr="006C601D">
        <w:rPr>
          <w:rtl/>
        </w:rPr>
        <w:t xml:space="preserve"> </w:t>
      </w:r>
      <w:r w:rsidRPr="006C601D">
        <w:rPr>
          <w:rFonts w:hint="eastAsia"/>
          <w:rtl/>
        </w:rPr>
        <w:t>ששיעור</w:t>
      </w:r>
      <w:r w:rsidRPr="006C601D">
        <w:rPr>
          <w:rtl/>
        </w:rPr>
        <w:t xml:space="preserve"> </w:t>
      </w:r>
      <w:r w:rsidRPr="006C601D">
        <w:rPr>
          <w:rFonts w:hint="eastAsia"/>
          <w:rtl/>
        </w:rPr>
        <w:t>המכירה</w:t>
      </w:r>
      <w:r w:rsidRPr="006C601D">
        <w:rPr>
          <w:rtl/>
        </w:rPr>
        <w:t xml:space="preserve"> </w:t>
      </w:r>
      <w:r w:rsidRPr="006C601D">
        <w:rPr>
          <w:rFonts w:hint="eastAsia"/>
          <w:rtl/>
        </w:rPr>
        <w:t>של</w:t>
      </w:r>
      <w:r w:rsidRPr="006C601D">
        <w:rPr>
          <w:rtl/>
        </w:rPr>
        <w:t xml:space="preserve"> </w:t>
      </w:r>
      <w:r w:rsidRPr="00946808">
        <w:rPr>
          <w:rFonts w:hint="eastAsia"/>
          <w:rtl/>
        </w:rPr>
        <w:t>הרכבים</w:t>
      </w:r>
      <w:r>
        <w:rPr>
          <w:rFonts w:hint="cs"/>
          <w:rtl/>
        </w:rPr>
        <w:t xml:space="preserve"> שנמכרו בסיוע יחידת החילוט עומד על 8% מתוך סך</w:t>
      </w:r>
      <w:r w:rsidRPr="006C601D">
        <w:rPr>
          <w:rtl/>
        </w:rPr>
        <w:t xml:space="preserve"> </w:t>
      </w:r>
      <w:r w:rsidRPr="006C601D">
        <w:rPr>
          <w:rFonts w:hint="eastAsia"/>
          <w:rtl/>
        </w:rPr>
        <w:t>תפיסות</w:t>
      </w:r>
      <w:r>
        <w:rPr>
          <w:rFonts w:hint="cs"/>
          <w:rtl/>
        </w:rPr>
        <w:t xml:space="preserve"> כלי הרכב שיועדו לחילוט.</w:t>
      </w:r>
      <w:r>
        <w:rPr>
          <w:rtl/>
        </w:rPr>
        <w:t xml:space="preserve"> </w:t>
      </w:r>
      <w:r>
        <w:rPr>
          <w:rFonts w:hint="cs"/>
          <w:rtl/>
        </w:rPr>
        <w:t xml:space="preserve">המשטרה לא פעלה די למכירת כלי </w:t>
      </w:r>
      <w:r w:rsidRPr="00B34C3D">
        <w:rPr>
          <w:rFonts w:hint="cs"/>
          <w:rtl/>
        </w:rPr>
        <w:t>רכב בסמוך לתפיסתם או לשחרורם בתנאים</w:t>
      </w:r>
      <w:r>
        <w:rPr>
          <w:rFonts w:hint="cs"/>
          <w:rtl/>
        </w:rPr>
        <w:t>,</w:t>
      </w:r>
      <w:r w:rsidRPr="00B34C3D">
        <w:rPr>
          <w:rFonts w:hint="cs"/>
          <w:rtl/>
        </w:rPr>
        <w:t xml:space="preserve"> </w:t>
      </w:r>
      <w:r>
        <w:rPr>
          <w:rFonts w:hint="cs"/>
          <w:rtl/>
        </w:rPr>
        <w:t xml:space="preserve">ולכן נתפסו מקומות אחסון במגרשים לתקופות ארוכות, וערכן של המכוניות </w:t>
      </w:r>
      <w:r w:rsidRPr="00B34C3D">
        <w:rPr>
          <w:rFonts w:hint="cs"/>
          <w:rtl/>
        </w:rPr>
        <w:t xml:space="preserve">נשחק </w:t>
      </w:r>
      <w:r>
        <w:rPr>
          <w:rFonts w:hint="cs"/>
          <w:rtl/>
        </w:rPr>
        <w:t>במידה ניכרת.</w:t>
      </w:r>
    </w:p>
    <w:p w14:paraId="38F3D831" w14:textId="77777777" w:rsidR="00F368B6" w:rsidRDefault="00F368B6" w:rsidP="008B74DA">
      <w:pPr>
        <w:pStyle w:val="100"/>
        <w:rPr>
          <w:rtl/>
        </w:rPr>
      </w:pPr>
      <w:r>
        <w:rPr>
          <w:rFonts w:hint="cs"/>
          <w:rtl/>
        </w:rPr>
        <w:t xml:space="preserve">יחידת החילוט מסרה בתשובתה שהאחריות למכירת כלי הרכב התפוסים והמחולטים מוטלת על המשטרה, ותפקיד היחידה הוא לסייע למשטרה ולפרקליטות במתן ייעוץ משפטי ולוגיסטי ביחס לרכבים שנתפסו מכוח החוקים הקובעים את סמכותה לגבי רכוש תפוס. כמו כן מסרה שמדובר בחלק קטן מכלל הרכבים התפוסים, שכן מרביתם נתפסים מכוח פסד"פ. </w:t>
      </w:r>
    </w:p>
    <w:p w14:paraId="576B81B7" w14:textId="77777777" w:rsidR="00F368B6" w:rsidRPr="00A85003" w:rsidRDefault="00F368B6" w:rsidP="008B74DA">
      <w:pPr>
        <w:pStyle w:val="100"/>
        <w:rPr>
          <w:rtl/>
        </w:rPr>
      </w:pPr>
      <w:r>
        <w:rPr>
          <w:rFonts w:hint="cs"/>
          <w:rtl/>
        </w:rPr>
        <w:t xml:space="preserve">המשטרה השיבה כי ממצאי הביקורת ייבחנו על ידי הגורמים המקצועיים וכי חטיבת החקירות במשטרה תבצע פיקוח ובקרה בנושא. היא הוסיפה כי היא פועלת להטמעת שימוש בחלופות העומדות לרשות החוקר לאחר תפיסת רכב המיועד לחילוט, כגון שחרור רכב בתנאים או מכירתו בסעד זמני, ואולם בנסיבות מסוימות לא ניתן לממש חלופות אלו. </w:t>
      </w:r>
    </w:p>
    <w:p w14:paraId="332E5930" w14:textId="77777777" w:rsidR="00F368B6" w:rsidRDefault="00F368B6" w:rsidP="008B74DA">
      <w:pPr>
        <w:pStyle w:val="100"/>
        <w:rPr>
          <w:rtl/>
        </w:rPr>
      </w:pPr>
      <w:r>
        <w:rPr>
          <w:rFonts w:hint="cs"/>
          <w:rtl/>
        </w:rPr>
        <w:t>בחודש יוני 2019</w:t>
      </w:r>
      <w:r w:rsidRPr="00406635">
        <w:rPr>
          <w:rFonts w:hint="cs"/>
          <w:rtl/>
        </w:rPr>
        <w:t xml:space="preserve"> </w:t>
      </w:r>
      <w:r>
        <w:rPr>
          <w:rFonts w:hint="cs"/>
          <w:rtl/>
        </w:rPr>
        <w:t>סוכם בין המשטרה לאפ"כ כי כלי רכב שתתפוס המשטרה לחילוט יועברו לטיפול יחידת החילוט, ורק שלב מכירת כלי הרכב יישאר באחריות המשטרה, כספק חיצוני של האפ"כ. למרות הסכמות אלה, המשטרה הודיעה כי היא בוחנת את עמדתה מחדש וטענה כי יחידת החילוט עדיין אינה ערוכה לקלוט את כלי הרכב התפוסים. הגופים הסכימו כי המשטרה תמשיך לבצע את כל הטיפול בכלי הרכב התפוסים ומיועדים לחילוט, והאפ"כ יממן את התהליך הטכני (גרירת הרכבים, אחסנתם ומכירתם).</w:t>
      </w:r>
    </w:p>
    <w:p w14:paraId="36A7B1A9" w14:textId="77777777" w:rsidR="00F368B6" w:rsidRPr="00955B38" w:rsidRDefault="00F368B6" w:rsidP="008B74DA">
      <w:pPr>
        <w:pStyle w:val="af1"/>
        <w:rPr>
          <w:rtl/>
        </w:rPr>
      </w:pPr>
      <w:bookmarkStart w:id="15" w:name="_Toc24370965"/>
      <w:r>
        <w:rPr>
          <w:rFonts w:hint="cs"/>
          <w:rtl/>
        </w:rPr>
        <w:t>נכון למועד סיום הביקורת הטיפול במכירת הרכבים התפוסים שבאחריות אפ"כ</w:t>
      </w:r>
      <w:r w:rsidDel="005E5B98">
        <w:rPr>
          <w:rFonts w:hint="cs"/>
          <w:rtl/>
        </w:rPr>
        <w:t xml:space="preserve"> </w:t>
      </w:r>
      <w:r>
        <w:rPr>
          <w:rFonts w:hint="cs"/>
          <w:rtl/>
        </w:rPr>
        <w:t>טרם הוסדר. על המשטרה והאפ"כ לגבש נוהל בנושא לזירוז הליכי המכירה למניעת הפגיעה הכלכלית הכרוכה באחסון הרכבים לאורך זמן.</w:t>
      </w:r>
    </w:p>
    <w:p w14:paraId="658F48C8" w14:textId="77777777" w:rsidR="00F368B6" w:rsidRDefault="00F368B6" w:rsidP="008B74DA">
      <w:pPr>
        <w:pStyle w:val="414"/>
        <w:rPr>
          <w:rtl/>
        </w:rPr>
      </w:pPr>
      <w:r>
        <w:rPr>
          <w:rFonts w:hint="cs"/>
          <w:rtl/>
        </w:rPr>
        <w:t>תפיסת נכסי מקרקעין ומימושם</w:t>
      </w:r>
    </w:p>
    <w:p w14:paraId="16364122" w14:textId="77777777" w:rsidR="00F368B6" w:rsidRDefault="00F368B6" w:rsidP="008B74DA">
      <w:pPr>
        <w:pStyle w:val="100"/>
        <w:rPr>
          <w:rtl/>
        </w:rPr>
      </w:pPr>
      <w:r>
        <w:rPr>
          <w:rFonts w:hint="cs"/>
          <w:rtl/>
        </w:rPr>
        <w:t xml:space="preserve">נכסי מקרקעין הם גם מסוג הנכסים הנתפסים על ידי המשטרה בשלב החקירה. ככלל, נעשית תפיסה רישומית בפנקסי המקרקעין, כדי למנוע שינוי או העברת זכויות (דיספוזיציה). לצורך מימוש הנכס המחולט בודקת יחידת החילוט אם קיימים טוענים לזכות פוטנציאליים, כגון בעלים </w:t>
      </w:r>
      <w:r>
        <w:rPr>
          <w:rFonts w:hint="cs"/>
          <w:rtl/>
        </w:rPr>
        <w:lastRenderedPageBreak/>
        <w:t xml:space="preserve">נוספים, שותפים, נושים מובטחים שלטובתם נרשמו משכנתא או משכון ובעלי הערות אזהרה על הנכס. </w:t>
      </w:r>
    </w:p>
    <w:p w14:paraId="1574BAFF" w14:textId="77777777" w:rsidR="00F368B6" w:rsidRDefault="00F368B6" w:rsidP="008B74DA">
      <w:pPr>
        <w:pStyle w:val="100"/>
        <w:rPr>
          <w:rtl/>
        </w:rPr>
      </w:pPr>
      <w:r>
        <w:rPr>
          <w:rFonts w:hint="cs"/>
          <w:rtl/>
        </w:rPr>
        <w:t xml:space="preserve">להלן </w:t>
      </w:r>
      <w:r w:rsidRPr="007A1D56">
        <w:rPr>
          <w:rFonts w:hint="eastAsia"/>
          <w:rtl/>
        </w:rPr>
        <w:t>בתרשים</w:t>
      </w:r>
      <w:r w:rsidRPr="007A1D56">
        <w:rPr>
          <w:rtl/>
        </w:rPr>
        <w:t xml:space="preserve"> </w:t>
      </w:r>
      <w:r>
        <w:rPr>
          <w:rFonts w:hint="cs"/>
          <w:rtl/>
        </w:rPr>
        <w:t>9 נתונים על נכסי מקרקעין שבהם טיפלה יחידת החילוט מאז הקמתה לצד נכסים שמומשו בסיוע היחידה.</w:t>
      </w:r>
    </w:p>
    <w:p w14:paraId="62BC619E" w14:textId="77777777" w:rsidR="00F368B6" w:rsidRPr="00D3555C" w:rsidRDefault="00F368B6" w:rsidP="008B74DA">
      <w:pPr>
        <w:pStyle w:val="a6"/>
        <w:rPr>
          <w:b/>
          <w:bCs/>
          <w:rtl/>
        </w:rPr>
      </w:pPr>
      <w:r w:rsidRPr="007A1D56">
        <w:rPr>
          <w:rFonts w:hint="eastAsia"/>
          <w:rtl/>
        </w:rPr>
        <w:t>תרשי</w:t>
      </w:r>
      <w:r>
        <w:rPr>
          <w:rFonts w:hint="cs"/>
          <w:rtl/>
        </w:rPr>
        <w:t>ם 9</w:t>
      </w:r>
      <w:r w:rsidRPr="007A1D56">
        <w:rPr>
          <w:rtl/>
        </w:rPr>
        <w:t>:</w:t>
      </w:r>
      <w:r w:rsidRPr="006416D0">
        <w:rPr>
          <w:rtl/>
        </w:rPr>
        <w:t xml:space="preserve"> </w:t>
      </w:r>
      <w:r w:rsidRPr="00D3555C">
        <w:rPr>
          <w:b/>
          <w:bCs/>
          <w:rtl/>
        </w:rPr>
        <w:t xml:space="preserve">נכסי המקרקעין </w:t>
      </w:r>
      <w:r w:rsidRPr="00D3555C">
        <w:rPr>
          <w:rFonts w:hint="eastAsia"/>
          <w:b/>
          <w:bCs/>
          <w:rtl/>
        </w:rPr>
        <w:t>המחולטים</w:t>
      </w:r>
      <w:r w:rsidRPr="00D3555C">
        <w:rPr>
          <w:b/>
          <w:bCs/>
          <w:rtl/>
        </w:rPr>
        <w:t xml:space="preserve"> </w:t>
      </w:r>
      <w:r w:rsidRPr="00D3555C">
        <w:rPr>
          <w:rFonts w:hint="cs"/>
          <w:b/>
          <w:bCs/>
          <w:rtl/>
        </w:rPr>
        <w:t xml:space="preserve">שבטיפול </w:t>
      </w:r>
      <w:r w:rsidRPr="00D3555C">
        <w:rPr>
          <w:rFonts w:hint="eastAsia"/>
          <w:b/>
          <w:bCs/>
          <w:rtl/>
        </w:rPr>
        <w:t>יחידת</w:t>
      </w:r>
      <w:r w:rsidRPr="00D3555C">
        <w:rPr>
          <w:b/>
          <w:bCs/>
          <w:rtl/>
        </w:rPr>
        <w:t xml:space="preserve"> </w:t>
      </w:r>
      <w:r w:rsidRPr="00D3555C">
        <w:rPr>
          <w:rFonts w:hint="eastAsia"/>
          <w:b/>
          <w:bCs/>
          <w:rtl/>
        </w:rPr>
        <w:t>החילו</w:t>
      </w:r>
      <w:r w:rsidRPr="00D3555C">
        <w:rPr>
          <w:rFonts w:hint="cs"/>
          <w:b/>
          <w:bCs/>
          <w:rtl/>
        </w:rPr>
        <w:t>ט, נכון לדצמבר 2019</w:t>
      </w:r>
    </w:p>
    <w:p w14:paraId="6FF9D372" w14:textId="77777777" w:rsidR="00F368B6" w:rsidRDefault="00F368B6" w:rsidP="00F368B6">
      <w:pPr>
        <w:spacing w:line="269" w:lineRule="auto"/>
        <w:jc w:val="center"/>
        <w:rPr>
          <w:rtl/>
        </w:rPr>
      </w:pPr>
      <w:r>
        <w:rPr>
          <w:noProof/>
          <w:rtl/>
        </w:rPr>
        <w:drawing>
          <wp:inline distT="0" distB="0" distL="0" distR="0" wp14:anchorId="44C62A1E" wp14:editId="014A9400">
            <wp:extent cx="2613006" cy="3013075"/>
            <wp:effectExtent l="0" t="0" r="16510" b="15875"/>
            <wp:docPr id="38" name="תרשים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31AF94" w14:textId="77777777" w:rsidR="00F368B6" w:rsidRPr="00E630B3" w:rsidRDefault="00F368B6" w:rsidP="008F251D">
      <w:pPr>
        <w:pStyle w:val="a5"/>
        <w:rPr>
          <w:rtl/>
        </w:rPr>
      </w:pPr>
      <w:r w:rsidRPr="00E630B3">
        <w:rPr>
          <w:rFonts w:hint="cs"/>
          <w:rtl/>
        </w:rPr>
        <w:t xml:space="preserve">מקור: </w:t>
      </w:r>
      <w:r w:rsidRPr="00E630B3">
        <w:rPr>
          <w:rFonts w:hint="eastAsia"/>
          <w:rtl/>
        </w:rPr>
        <w:t>על</w:t>
      </w:r>
      <w:r w:rsidRPr="00E630B3">
        <w:rPr>
          <w:rtl/>
        </w:rPr>
        <w:t xml:space="preserve"> </w:t>
      </w:r>
      <w:r w:rsidRPr="00E630B3">
        <w:rPr>
          <w:rFonts w:hint="eastAsia"/>
          <w:rtl/>
        </w:rPr>
        <w:t>פי</w:t>
      </w:r>
      <w:r w:rsidRPr="00E630B3">
        <w:rPr>
          <w:rtl/>
        </w:rPr>
        <w:t xml:space="preserve"> </w:t>
      </w:r>
      <w:r w:rsidRPr="00E630B3">
        <w:rPr>
          <w:rFonts w:hint="eastAsia"/>
          <w:rtl/>
        </w:rPr>
        <w:t>נתוני</w:t>
      </w:r>
      <w:r w:rsidRPr="00E630B3">
        <w:rPr>
          <w:rtl/>
        </w:rPr>
        <w:t xml:space="preserve"> </w:t>
      </w:r>
      <w:r w:rsidRPr="00E630B3">
        <w:rPr>
          <w:rFonts w:hint="eastAsia"/>
          <w:rtl/>
        </w:rPr>
        <w:t>יחידת</w:t>
      </w:r>
      <w:r w:rsidRPr="00E630B3">
        <w:rPr>
          <w:rtl/>
        </w:rPr>
        <w:t xml:space="preserve"> </w:t>
      </w:r>
      <w:r w:rsidRPr="00E630B3">
        <w:rPr>
          <w:rFonts w:hint="eastAsia"/>
          <w:rtl/>
        </w:rPr>
        <w:t>החילוט</w:t>
      </w:r>
      <w:r w:rsidRPr="00E630B3">
        <w:rPr>
          <w:rtl/>
        </w:rPr>
        <w:t>, בעיבוד משרד מבקר המדינה.</w:t>
      </w:r>
    </w:p>
    <w:p w14:paraId="40DEDC39" w14:textId="77777777" w:rsidR="00D3555C" w:rsidRDefault="00D3555C" w:rsidP="00D3555C">
      <w:pPr>
        <w:pStyle w:val="100"/>
        <w:rPr>
          <w:rtl/>
        </w:rPr>
      </w:pPr>
    </w:p>
    <w:p w14:paraId="5F2B31D2" w14:textId="65EFF034" w:rsidR="00F368B6" w:rsidRDefault="00F368B6" w:rsidP="00D3555C">
      <w:pPr>
        <w:pStyle w:val="100"/>
        <w:rPr>
          <w:rtl/>
        </w:rPr>
      </w:pPr>
      <w:r>
        <w:rPr>
          <w:rFonts w:hint="cs"/>
          <w:rtl/>
        </w:rPr>
        <w:t>מהתרשים עולה כי מאז הקמתה ו</w:t>
      </w:r>
      <w:r w:rsidRPr="00A96871">
        <w:rPr>
          <w:rFonts w:hint="cs"/>
          <w:rtl/>
        </w:rPr>
        <w:t xml:space="preserve">עד </w:t>
      </w:r>
      <w:r>
        <w:rPr>
          <w:rFonts w:hint="cs"/>
          <w:rtl/>
        </w:rPr>
        <w:t xml:space="preserve">דצמבר </w:t>
      </w:r>
      <w:r w:rsidRPr="00A96871">
        <w:rPr>
          <w:rFonts w:hint="cs"/>
          <w:rtl/>
        </w:rPr>
        <w:t>2019 טיפלה יחידת החילוט ב-47 נכסי מקרקעין</w:t>
      </w:r>
      <w:r>
        <w:rPr>
          <w:rFonts w:hint="cs"/>
          <w:rtl/>
        </w:rPr>
        <w:t>,</w:t>
      </w:r>
      <w:r w:rsidRPr="00A96871">
        <w:rPr>
          <w:rFonts w:hint="cs"/>
          <w:rtl/>
        </w:rPr>
        <w:t xml:space="preserve"> </w:t>
      </w:r>
      <w:r>
        <w:rPr>
          <w:rFonts w:hint="cs"/>
          <w:rtl/>
        </w:rPr>
        <w:t>ו</w:t>
      </w:r>
      <w:r w:rsidRPr="00A96871">
        <w:rPr>
          <w:rFonts w:hint="cs"/>
          <w:rtl/>
        </w:rPr>
        <w:t>מ</w:t>
      </w:r>
      <w:r>
        <w:rPr>
          <w:rFonts w:hint="cs"/>
          <w:rtl/>
        </w:rPr>
        <w:t>הם</w:t>
      </w:r>
      <w:r w:rsidRPr="00A96871">
        <w:rPr>
          <w:rFonts w:hint="cs"/>
          <w:rtl/>
        </w:rPr>
        <w:t xml:space="preserve"> נמכרו 13 נכסים</w:t>
      </w:r>
      <w:r>
        <w:rPr>
          <w:rFonts w:hint="cs"/>
          <w:rtl/>
        </w:rPr>
        <w:t xml:space="preserve"> (28%)</w:t>
      </w:r>
      <w:r w:rsidRPr="00A96871">
        <w:rPr>
          <w:rFonts w:hint="cs"/>
          <w:rtl/>
        </w:rPr>
        <w:t xml:space="preserve"> </w:t>
      </w:r>
      <w:r>
        <w:rPr>
          <w:rFonts w:hint="cs"/>
          <w:rtl/>
        </w:rPr>
        <w:t>שסכומם</w:t>
      </w:r>
      <w:r w:rsidRPr="00A96871">
        <w:rPr>
          <w:rFonts w:hint="cs"/>
          <w:rtl/>
        </w:rPr>
        <w:t xml:space="preserve"> </w:t>
      </w:r>
      <w:r>
        <w:rPr>
          <w:rFonts w:hint="cs"/>
          <w:rtl/>
        </w:rPr>
        <w:t xml:space="preserve">הכולל </w:t>
      </w:r>
      <w:r w:rsidRPr="00A96871">
        <w:rPr>
          <w:rFonts w:hint="cs"/>
          <w:rtl/>
        </w:rPr>
        <w:t xml:space="preserve">כ-27 מיליון </w:t>
      </w:r>
      <w:r>
        <w:rPr>
          <w:rFonts w:hint="cs"/>
          <w:rtl/>
        </w:rPr>
        <w:t xml:space="preserve">ש"ח, אולם נכון למועד הביקורת </w:t>
      </w:r>
      <w:r w:rsidRPr="00A96871">
        <w:rPr>
          <w:rFonts w:hint="cs"/>
          <w:rtl/>
        </w:rPr>
        <w:t xml:space="preserve">טרם מומשו 34 נכסים </w:t>
      </w:r>
      <w:r>
        <w:rPr>
          <w:rFonts w:hint="cs"/>
          <w:rtl/>
        </w:rPr>
        <w:t>ש</w:t>
      </w:r>
      <w:r w:rsidRPr="00A96871">
        <w:rPr>
          <w:rFonts w:hint="cs"/>
          <w:rtl/>
        </w:rPr>
        <w:t>שווי</w:t>
      </w:r>
      <w:r>
        <w:rPr>
          <w:rFonts w:hint="cs"/>
          <w:rtl/>
        </w:rPr>
        <w:t>ים</w:t>
      </w:r>
      <w:r w:rsidRPr="00A96871">
        <w:rPr>
          <w:rFonts w:hint="cs"/>
          <w:rtl/>
        </w:rPr>
        <w:t xml:space="preserve"> </w:t>
      </w:r>
      <w:r>
        <w:rPr>
          <w:rFonts w:hint="cs"/>
          <w:rtl/>
        </w:rPr>
        <w:t xml:space="preserve">המוערך </w:t>
      </w:r>
      <w:r w:rsidRPr="00A96871">
        <w:rPr>
          <w:rFonts w:hint="cs"/>
          <w:rtl/>
        </w:rPr>
        <w:t>כ-58 מיליון ש"ח</w:t>
      </w:r>
      <w:r>
        <w:rPr>
          <w:rFonts w:hint="cs"/>
          <w:rtl/>
        </w:rPr>
        <w:t xml:space="preserve">. </w:t>
      </w:r>
    </w:p>
    <w:p w14:paraId="3E8CCBB0" w14:textId="77777777" w:rsidR="00F368B6" w:rsidRDefault="00F368B6" w:rsidP="00D3555C">
      <w:pPr>
        <w:pStyle w:val="100"/>
        <w:rPr>
          <w:bCs/>
          <w:rtl/>
        </w:rPr>
      </w:pPr>
      <w:r w:rsidRPr="003B4369">
        <w:rPr>
          <w:rFonts w:hint="cs"/>
          <w:rtl/>
        </w:rPr>
        <w:t>יחידת החילוט תולה</w:t>
      </w:r>
      <w:r>
        <w:rPr>
          <w:rFonts w:hint="cs"/>
          <w:rtl/>
        </w:rPr>
        <w:t xml:space="preserve"> בתשובתה</w:t>
      </w:r>
      <w:r w:rsidRPr="003B4369">
        <w:rPr>
          <w:rFonts w:hint="cs"/>
          <w:rtl/>
        </w:rPr>
        <w:t xml:space="preserve"> את העיכוב בהליכי המימוש בכך שמדובר בפעילות מורכבת; שבמרבית המקרים היא מקבלת את הנתונים המלאים על נכסי המקרקעין המחולטים רק לאחר שניתן צו חילוט סופי; </w:t>
      </w:r>
      <w:r>
        <w:rPr>
          <w:rFonts w:hint="cs"/>
          <w:rtl/>
        </w:rPr>
        <w:t>ו</w:t>
      </w:r>
      <w:r w:rsidRPr="003B4369">
        <w:rPr>
          <w:rFonts w:hint="cs"/>
          <w:rtl/>
        </w:rPr>
        <w:t>שעליה להתמודד עם חסמים במימוש נכסי מקרקעין</w:t>
      </w:r>
      <w:r>
        <w:rPr>
          <w:rFonts w:hint="cs"/>
          <w:rtl/>
        </w:rPr>
        <w:t>,</w:t>
      </w:r>
      <w:r w:rsidRPr="003B4369">
        <w:rPr>
          <w:rFonts w:hint="cs"/>
          <w:rtl/>
        </w:rPr>
        <w:t xml:space="preserve"> כגון דיירים מוגנים בנכס, פולשים, נכסים הרוסים שיש לשפצם כדי לממשם, נכסים </w:t>
      </w:r>
      <w:r>
        <w:rPr>
          <w:rFonts w:hint="cs"/>
          <w:rtl/>
        </w:rPr>
        <w:t>ש</w:t>
      </w:r>
      <w:r w:rsidRPr="003B4369">
        <w:rPr>
          <w:rFonts w:hint="cs"/>
          <w:rtl/>
        </w:rPr>
        <w:t>הזכויות ב</w:t>
      </w:r>
      <w:r>
        <w:rPr>
          <w:rFonts w:hint="cs"/>
          <w:rtl/>
        </w:rPr>
        <w:t>הם</w:t>
      </w:r>
      <w:r w:rsidRPr="003B4369">
        <w:rPr>
          <w:rFonts w:hint="cs"/>
          <w:rtl/>
        </w:rPr>
        <w:t xml:space="preserve"> שונות מהותית מ</w:t>
      </w:r>
      <w:r>
        <w:rPr>
          <w:rFonts w:hint="cs"/>
          <w:rtl/>
        </w:rPr>
        <w:t>אלו</w:t>
      </w:r>
      <w:r w:rsidRPr="003B4369">
        <w:rPr>
          <w:rFonts w:hint="cs"/>
          <w:rtl/>
        </w:rPr>
        <w:t xml:space="preserve"> המצוינות בצו החילוט, נכסים מפוצלים, נכסים שנבנו או פוצלו בניגוד לחוקי התכנון והבני</w:t>
      </w:r>
      <w:r>
        <w:rPr>
          <w:rFonts w:hint="cs"/>
          <w:rtl/>
        </w:rPr>
        <w:t>י</w:t>
      </w:r>
      <w:r w:rsidRPr="003B4369">
        <w:rPr>
          <w:rFonts w:hint="cs"/>
          <w:rtl/>
        </w:rPr>
        <w:t>ה ועוד.</w:t>
      </w:r>
    </w:p>
    <w:p w14:paraId="4E507BB5" w14:textId="77777777" w:rsidR="00F368B6" w:rsidRDefault="00F368B6" w:rsidP="00D3555C">
      <w:pPr>
        <w:pStyle w:val="af1"/>
        <w:rPr>
          <w:rtl/>
        </w:rPr>
      </w:pPr>
      <w:r w:rsidRPr="00C825E6">
        <w:rPr>
          <w:rFonts w:hint="cs"/>
          <w:rtl/>
        </w:rPr>
        <w:t xml:space="preserve">משרד מבקר המדינה מציין לפני יחידת החילוט כי שיעור מימוש נכסי המקרקעין נמוך מ-30%. </w:t>
      </w:r>
      <w:r w:rsidRPr="00C825E6">
        <w:rPr>
          <w:rFonts w:hint="eastAsia"/>
          <w:rtl/>
        </w:rPr>
        <w:t>מומלץ</w:t>
      </w:r>
      <w:r w:rsidRPr="00C825E6">
        <w:rPr>
          <w:rtl/>
        </w:rPr>
        <w:t xml:space="preserve"> כי יחידת החילוט תבחן החסמים והדרכים </w:t>
      </w:r>
      <w:r w:rsidRPr="00C825E6">
        <w:rPr>
          <w:rFonts w:hint="eastAsia"/>
          <w:rtl/>
        </w:rPr>
        <w:t>להעלאת</w:t>
      </w:r>
      <w:r w:rsidRPr="00C825E6">
        <w:rPr>
          <w:rtl/>
        </w:rPr>
        <w:t xml:space="preserve"> </w:t>
      </w:r>
      <w:r w:rsidRPr="00C825E6">
        <w:rPr>
          <w:rFonts w:hint="eastAsia"/>
          <w:rtl/>
        </w:rPr>
        <w:t>שיעור</w:t>
      </w:r>
      <w:r w:rsidRPr="00C825E6">
        <w:rPr>
          <w:rtl/>
        </w:rPr>
        <w:t xml:space="preserve"> </w:t>
      </w:r>
      <w:r w:rsidRPr="00C825E6">
        <w:rPr>
          <w:rFonts w:hint="eastAsia"/>
          <w:rtl/>
        </w:rPr>
        <w:t>מימוש</w:t>
      </w:r>
      <w:r w:rsidRPr="00C825E6">
        <w:rPr>
          <w:rtl/>
        </w:rPr>
        <w:t xml:space="preserve"> </w:t>
      </w:r>
      <w:r w:rsidRPr="00C825E6">
        <w:rPr>
          <w:rFonts w:hint="eastAsia"/>
          <w:rtl/>
        </w:rPr>
        <w:t>נכסי</w:t>
      </w:r>
      <w:r w:rsidRPr="00C825E6">
        <w:rPr>
          <w:rtl/>
        </w:rPr>
        <w:t xml:space="preserve"> </w:t>
      </w:r>
      <w:r w:rsidRPr="00C825E6">
        <w:rPr>
          <w:rFonts w:hint="eastAsia"/>
          <w:rtl/>
        </w:rPr>
        <w:t>המקרקעין</w:t>
      </w:r>
      <w:r w:rsidRPr="00C825E6">
        <w:rPr>
          <w:rtl/>
        </w:rPr>
        <w:t xml:space="preserve"> </w:t>
      </w:r>
      <w:r w:rsidRPr="00C825E6">
        <w:rPr>
          <w:rFonts w:hint="eastAsia"/>
          <w:rtl/>
        </w:rPr>
        <w:t>בהתאם</w:t>
      </w:r>
      <w:r w:rsidRPr="00C825E6">
        <w:rPr>
          <w:rtl/>
        </w:rPr>
        <w:t xml:space="preserve"> </w:t>
      </w:r>
      <w:r w:rsidRPr="00C825E6">
        <w:rPr>
          <w:rFonts w:hint="eastAsia"/>
          <w:rtl/>
        </w:rPr>
        <w:t>ליעודה</w:t>
      </w:r>
      <w:r w:rsidRPr="00C825E6">
        <w:rPr>
          <w:rFonts w:hint="cs"/>
          <w:rtl/>
        </w:rPr>
        <w:t xml:space="preserve">. </w:t>
      </w:r>
    </w:p>
    <w:p w14:paraId="00A69FE8" w14:textId="77777777" w:rsidR="00F368B6" w:rsidRPr="00C825E6" w:rsidRDefault="00F368B6" w:rsidP="00F368B6">
      <w:pPr>
        <w:spacing w:line="269" w:lineRule="auto"/>
        <w:rPr>
          <w:b/>
          <w:bCs/>
          <w:rtl/>
        </w:rPr>
      </w:pPr>
    </w:p>
    <w:p w14:paraId="13512FE5" w14:textId="77777777" w:rsidR="00F368B6" w:rsidRPr="00C330E9" w:rsidRDefault="00F368B6" w:rsidP="008F251D">
      <w:pPr>
        <w:pStyle w:val="316"/>
      </w:pPr>
      <w:r w:rsidRPr="00C330E9">
        <w:rPr>
          <w:rtl/>
        </w:rPr>
        <w:lastRenderedPageBreak/>
        <w:t xml:space="preserve">תפיסות נכסים </w:t>
      </w:r>
      <w:r w:rsidRPr="00C330E9">
        <w:rPr>
          <w:rFonts w:hint="eastAsia"/>
          <w:rtl/>
        </w:rPr>
        <w:t>לפי</w:t>
      </w:r>
      <w:r w:rsidRPr="00C330E9">
        <w:rPr>
          <w:rtl/>
        </w:rPr>
        <w:t xml:space="preserve"> חוק עזרה משפטית בין מדינות</w:t>
      </w:r>
      <w:bookmarkEnd w:id="15"/>
    </w:p>
    <w:p w14:paraId="23D8FA8D" w14:textId="77777777" w:rsidR="00F368B6" w:rsidRDefault="00F368B6" w:rsidP="008F251D">
      <w:pPr>
        <w:pStyle w:val="100"/>
        <w:rPr>
          <w:rtl/>
        </w:rPr>
      </w:pPr>
      <w:r>
        <w:rPr>
          <w:rtl/>
        </w:rPr>
        <w:t>הגלובליזציה</w:t>
      </w:r>
      <w:r>
        <w:rPr>
          <w:rFonts w:hint="cs"/>
          <w:rtl/>
        </w:rPr>
        <w:t xml:space="preserve"> המאפיינת את</w:t>
      </w:r>
      <w:r>
        <w:rPr>
          <w:rtl/>
        </w:rPr>
        <w:t xml:space="preserve"> הפשיעה המאורגנת </w:t>
      </w:r>
      <w:r>
        <w:rPr>
          <w:rFonts w:hint="cs"/>
          <w:rtl/>
        </w:rPr>
        <w:t>ו</w:t>
      </w:r>
      <w:r w:rsidRPr="0009628D">
        <w:rPr>
          <w:rtl/>
        </w:rPr>
        <w:t>הפוטנציאל</w:t>
      </w:r>
      <w:r>
        <w:rPr>
          <w:rFonts w:hint="cs"/>
          <w:rtl/>
        </w:rPr>
        <w:t xml:space="preserve"> הגובר</w:t>
      </w:r>
      <w:r>
        <w:rPr>
          <w:rtl/>
        </w:rPr>
        <w:t xml:space="preserve"> ליצירת בריתות בי</w:t>
      </w:r>
      <w:r>
        <w:rPr>
          <w:rFonts w:hint="cs"/>
          <w:rtl/>
        </w:rPr>
        <w:t>ן-ל</w:t>
      </w:r>
      <w:r w:rsidRPr="0009628D">
        <w:rPr>
          <w:rtl/>
        </w:rPr>
        <w:t>אומיות בין ארגוני פשיעה ישראלי</w:t>
      </w:r>
      <w:r>
        <w:rPr>
          <w:rFonts w:hint="cs"/>
          <w:rtl/>
        </w:rPr>
        <w:t>י</w:t>
      </w:r>
      <w:r w:rsidRPr="0009628D">
        <w:rPr>
          <w:rtl/>
        </w:rPr>
        <w:t>ם למקביליהם בעולם</w:t>
      </w:r>
      <w:r w:rsidRPr="0009628D">
        <w:rPr>
          <w:rFonts w:hint="cs"/>
          <w:rtl/>
        </w:rPr>
        <w:t xml:space="preserve">, </w:t>
      </w:r>
      <w:r>
        <w:rPr>
          <w:rFonts w:hint="cs"/>
          <w:rtl/>
        </w:rPr>
        <w:t>מובילים ל</w:t>
      </w:r>
      <w:r w:rsidRPr="0009628D">
        <w:rPr>
          <w:rFonts w:hint="cs"/>
          <w:rtl/>
        </w:rPr>
        <w:t>כך ש</w:t>
      </w:r>
      <w:r w:rsidRPr="0009628D">
        <w:rPr>
          <w:rtl/>
        </w:rPr>
        <w:t xml:space="preserve">סכומי כסף </w:t>
      </w:r>
      <w:r>
        <w:rPr>
          <w:rFonts w:hint="cs"/>
          <w:rtl/>
        </w:rPr>
        <w:t xml:space="preserve">גדולים </w:t>
      </w:r>
      <w:r w:rsidRPr="0009628D">
        <w:rPr>
          <w:rtl/>
        </w:rPr>
        <w:t xml:space="preserve">מולבנים </w:t>
      </w:r>
      <w:r>
        <w:rPr>
          <w:rFonts w:hint="cs"/>
          <w:rtl/>
        </w:rPr>
        <w:t xml:space="preserve">באמצעות </w:t>
      </w:r>
      <w:r w:rsidRPr="0009628D">
        <w:rPr>
          <w:rtl/>
        </w:rPr>
        <w:t>הזרמתם לחו"ל והסתרתם שם.</w:t>
      </w:r>
      <w:r>
        <w:rPr>
          <w:rFonts w:hint="cs"/>
          <w:rtl/>
        </w:rPr>
        <w:t xml:space="preserve"> על פי הערכת הסיכונים הלאומית בתחום הלבנת ההון</w:t>
      </w:r>
      <w:r>
        <w:rPr>
          <w:rStyle w:val="FootnoteReference"/>
          <w:rtl/>
        </w:rPr>
        <w:footnoteReference w:id="55"/>
      </w:r>
      <w:r>
        <w:rPr>
          <w:rFonts w:hint="cs"/>
          <w:rtl/>
        </w:rPr>
        <w:t>, הלבנת הכספים נעשית</w:t>
      </w:r>
      <w:r w:rsidRPr="00AD34C3">
        <w:rPr>
          <w:rtl/>
        </w:rPr>
        <w:t xml:space="preserve"> בעיקר דרך שירותי נותני מטבע, אנשי קש, רכישות נדל"ן ועסקים עתירי מזומן</w:t>
      </w:r>
      <w:r>
        <w:rPr>
          <w:rFonts w:hint="cs"/>
          <w:rtl/>
        </w:rPr>
        <w:t xml:space="preserve">. כמו כן ניכרת מגמה </w:t>
      </w:r>
      <w:r>
        <w:rPr>
          <w:rtl/>
        </w:rPr>
        <w:t>של העתקת פעילות גורמ</w:t>
      </w:r>
      <w:r>
        <w:rPr>
          <w:rFonts w:hint="cs"/>
          <w:rtl/>
        </w:rPr>
        <w:t xml:space="preserve">י פשיעה ישראליים בכירים </w:t>
      </w:r>
      <w:r w:rsidRPr="00F928B4">
        <w:rPr>
          <w:rtl/>
        </w:rPr>
        <w:t>לחו"ל</w:t>
      </w:r>
      <w:r>
        <w:rPr>
          <w:rFonts w:hint="cs"/>
          <w:rtl/>
        </w:rPr>
        <w:t xml:space="preserve"> ו</w:t>
      </w:r>
      <w:r>
        <w:rPr>
          <w:rtl/>
        </w:rPr>
        <w:t>עלייה במעורבותם בסחר</w:t>
      </w:r>
      <w:r>
        <w:rPr>
          <w:rFonts w:hint="cs"/>
          <w:rtl/>
        </w:rPr>
        <w:t xml:space="preserve"> </w:t>
      </w:r>
      <w:r w:rsidRPr="00F928B4">
        <w:rPr>
          <w:rtl/>
        </w:rPr>
        <w:t>בי</w:t>
      </w:r>
      <w:r>
        <w:rPr>
          <w:rFonts w:hint="cs"/>
          <w:rtl/>
        </w:rPr>
        <w:t>ן-</w:t>
      </w:r>
      <w:r w:rsidRPr="00F928B4">
        <w:rPr>
          <w:rtl/>
        </w:rPr>
        <w:t>לאומי בסמים ובביצוע הונאות בי</w:t>
      </w:r>
      <w:r>
        <w:rPr>
          <w:rFonts w:hint="cs"/>
          <w:rtl/>
        </w:rPr>
        <w:t>ן-</w:t>
      </w:r>
      <w:r w:rsidRPr="00F928B4">
        <w:rPr>
          <w:rtl/>
        </w:rPr>
        <w:t>לאומיות</w:t>
      </w:r>
      <w:r>
        <w:rPr>
          <w:rFonts w:hint="cs"/>
          <w:rtl/>
        </w:rPr>
        <w:t xml:space="preserve"> מתוחכמות.</w:t>
      </w:r>
    </w:p>
    <w:p w14:paraId="5BA7D6CB" w14:textId="77777777" w:rsidR="00F368B6" w:rsidRDefault="00F368B6" w:rsidP="008F251D">
      <w:pPr>
        <w:pStyle w:val="100"/>
        <w:rPr>
          <w:rFonts w:asciiTheme="minorBidi" w:hAnsiTheme="minorBidi"/>
          <w:sz w:val="24"/>
          <w:rtl/>
        </w:rPr>
      </w:pPr>
      <w:r w:rsidRPr="00503A70">
        <w:rPr>
          <w:rFonts w:asciiTheme="minorBidi" w:hAnsiTheme="minorBidi"/>
          <w:sz w:val="24"/>
          <w:rtl/>
        </w:rPr>
        <w:t>התקדמות הטכנולוגיה מאפשרת לעבריינים להרחיב</w:t>
      </w:r>
      <w:r>
        <w:rPr>
          <w:rFonts w:asciiTheme="minorBidi" w:hAnsiTheme="minorBidi" w:hint="cs"/>
          <w:sz w:val="24"/>
          <w:rtl/>
        </w:rPr>
        <w:t xml:space="preserve"> </w:t>
      </w:r>
      <w:r w:rsidRPr="00503A70">
        <w:rPr>
          <w:rFonts w:asciiTheme="minorBidi" w:hAnsiTheme="minorBidi"/>
          <w:sz w:val="24"/>
          <w:rtl/>
        </w:rPr>
        <w:t xml:space="preserve">את פעילותם </w:t>
      </w:r>
      <w:r>
        <w:rPr>
          <w:rFonts w:asciiTheme="minorBidi" w:hAnsiTheme="minorBidi" w:hint="cs"/>
          <w:sz w:val="24"/>
          <w:rtl/>
        </w:rPr>
        <w:t xml:space="preserve">הפלילית אל </w:t>
      </w:r>
      <w:r w:rsidRPr="00503A70">
        <w:rPr>
          <w:rFonts w:asciiTheme="minorBidi" w:hAnsiTheme="minorBidi"/>
          <w:sz w:val="24"/>
          <w:rtl/>
        </w:rPr>
        <w:t>מחוץ למקום מושב</w:t>
      </w:r>
      <w:r>
        <w:rPr>
          <w:rFonts w:asciiTheme="minorBidi" w:hAnsiTheme="minorBidi" w:hint="cs"/>
          <w:sz w:val="24"/>
          <w:rtl/>
        </w:rPr>
        <w:t>ם,</w:t>
      </w:r>
      <w:r w:rsidRPr="00AD34C3">
        <w:rPr>
          <w:rFonts w:asciiTheme="minorBidi" w:hAnsiTheme="minorBidi"/>
          <w:sz w:val="24"/>
          <w:rtl/>
        </w:rPr>
        <w:t xml:space="preserve"> ול</w:t>
      </w:r>
      <w:r>
        <w:rPr>
          <w:rFonts w:asciiTheme="minorBidi" w:hAnsiTheme="minorBidi" w:hint="cs"/>
          <w:sz w:val="24"/>
          <w:rtl/>
        </w:rPr>
        <w:t>ה</w:t>
      </w:r>
      <w:r w:rsidRPr="00AD34C3">
        <w:rPr>
          <w:rFonts w:asciiTheme="minorBidi" w:hAnsiTheme="minorBidi"/>
          <w:sz w:val="24"/>
          <w:rtl/>
        </w:rPr>
        <w:t>עביר בלחיצ</w:t>
      </w:r>
      <w:r>
        <w:rPr>
          <w:rFonts w:asciiTheme="minorBidi" w:hAnsiTheme="minorBidi"/>
          <w:sz w:val="24"/>
          <w:rtl/>
        </w:rPr>
        <w:t>ת כפתור את רווחי העבירות שביצע</w:t>
      </w:r>
      <w:r>
        <w:rPr>
          <w:rFonts w:asciiTheme="minorBidi" w:hAnsiTheme="minorBidi" w:hint="cs"/>
          <w:sz w:val="24"/>
          <w:rtl/>
        </w:rPr>
        <w:t>ו</w:t>
      </w:r>
      <w:r>
        <w:rPr>
          <w:rFonts w:asciiTheme="minorBidi" w:hAnsiTheme="minorBidi"/>
          <w:sz w:val="24"/>
          <w:rtl/>
        </w:rPr>
        <w:t>,</w:t>
      </w:r>
      <w:r>
        <w:rPr>
          <w:rFonts w:asciiTheme="minorBidi" w:hAnsiTheme="minorBidi" w:hint="cs"/>
          <w:sz w:val="24"/>
          <w:rtl/>
        </w:rPr>
        <w:t xml:space="preserve"> </w:t>
      </w:r>
      <w:r w:rsidRPr="00AD34C3">
        <w:rPr>
          <w:rFonts w:asciiTheme="minorBidi" w:hAnsiTheme="minorBidi"/>
          <w:sz w:val="24"/>
          <w:rtl/>
        </w:rPr>
        <w:t>באמצעות הרשת הווירטואלית, ממקום אח</w:t>
      </w:r>
      <w:r>
        <w:rPr>
          <w:rFonts w:asciiTheme="minorBidi" w:hAnsiTheme="minorBidi"/>
          <w:sz w:val="24"/>
          <w:rtl/>
        </w:rPr>
        <w:t>ד למשנהו</w:t>
      </w:r>
      <w:r w:rsidRPr="00AD34C3">
        <w:rPr>
          <w:rFonts w:asciiTheme="minorBidi" w:hAnsiTheme="minorBidi"/>
          <w:sz w:val="24"/>
          <w:rtl/>
        </w:rPr>
        <w:t>.</w:t>
      </w:r>
    </w:p>
    <w:p w14:paraId="6FF841FF" w14:textId="72B8D459" w:rsidR="00F368B6" w:rsidRDefault="00F368B6" w:rsidP="008F251D">
      <w:pPr>
        <w:pStyle w:val="100"/>
        <w:rPr>
          <w:rtl/>
        </w:rPr>
      </w:pPr>
      <w:r>
        <w:rPr>
          <w:rFonts w:hint="cs"/>
          <w:rtl/>
        </w:rPr>
        <w:t xml:space="preserve">לנוכח מגמות אלה, </w:t>
      </w:r>
      <w:r w:rsidRPr="000709F0">
        <w:rPr>
          <w:rFonts w:hint="cs"/>
          <w:rtl/>
        </w:rPr>
        <w:t xml:space="preserve">גופי האכיפה בישראל מרכזים מאמצים </w:t>
      </w:r>
      <w:r>
        <w:rPr>
          <w:rFonts w:hint="cs"/>
          <w:rtl/>
        </w:rPr>
        <w:t xml:space="preserve">ניכרים </w:t>
      </w:r>
      <w:r w:rsidRPr="000709F0">
        <w:rPr>
          <w:rFonts w:hint="cs"/>
          <w:rtl/>
        </w:rPr>
        <w:t>בא</w:t>
      </w:r>
      <w:r>
        <w:rPr>
          <w:rFonts w:hint="cs"/>
          <w:rtl/>
        </w:rPr>
        <w:t>י</w:t>
      </w:r>
      <w:r w:rsidRPr="000709F0">
        <w:rPr>
          <w:rFonts w:hint="cs"/>
          <w:rtl/>
        </w:rPr>
        <w:t>ת</w:t>
      </w:r>
      <w:r>
        <w:rPr>
          <w:rFonts w:hint="cs"/>
          <w:rtl/>
        </w:rPr>
        <w:t>ו</w:t>
      </w:r>
      <w:r w:rsidRPr="000709F0">
        <w:rPr>
          <w:rFonts w:hint="cs"/>
          <w:rtl/>
        </w:rPr>
        <w:t xml:space="preserve">ר פעילות עבריינית חוצת גבולות </w:t>
      </w:r>
      <w:r>
        <w:rPr>
          <w:rFonts w:hint="cs"/>
          <w:rtl/>
        </w:rPr>
        <w:t>ו</w:t>
      </w:r>
      <w:r w:rsidRPr="000709F0">
        <w:rPr>
          <w:rFonts w:hint="cs"/>
          <w:rtl/>
        </w:rPr>
        <w:t xml:space="preserve">התחקות אחר הברחת נכסים וכספים </w:t>
      </w:r>
      <w:r>
        <w:rPr>
          <w:rFonts w:hint="cs"/>
          <w:rtl/>
        </w:rPr>
        <w:t xml:space="preserve">אל </w:t>
      </w:r>
      <w:r w:rsidRPr="000709F0">
        <w:rPr>
          <w:rFonts w:hint="cs"/>
          <w:rtl/>
        </w:rPr>
        <w:t xml:space="preserve">מחוץ </w:t>
      </w:r>
      <w:r w:rsidRPr="003800E1">
        <w:rPr>
          <w:rFonts w:hint="cs"/>
          <w:rtl/>
        </w:rPr>
        <w:t>לגבולות המדינה. בפברואר 2017 תיאר ראש אח"</w:t>
      </w:r>
      <w:r w:rsidR="00C8013C">
        <w:rPr>
          <w:rFonts w:hint="cs"/>
          <w:rtl/>
        </w:rPr>
        <w:t>ם</w:t>
      </w:r>
      <w:r w:rsidRPr="003800E1">
        <w:rPr>
          <w:rFonts w:hint="cs"/>
          <w:rtl/>
        </w:rPr>
        <w:t xml:space="preserve"> בפני מועצת החילוט</w:t>
      </w:r>
      <w:r>
        <w:rPr>
          <w:rFonts w:hint="cs"/>
          <w:rtl/>
        </w:rPr>
        <w:t xml:space="preserve"> </w:t>
      </w:r>
      <w:r w:rsidRPr="003800E1">
        <w:rPr>
          <w:rFonts w:hint="cs"/>
          <w:rtl/>
        </w:rPr>
        <w:t xml:space="preserve">את עבודתם של </w:t>
      </w:r>
      <w:r w:rsidRPr="003800E1">
        <w:rPr>
          <w:rFonts w:hint="eastAsia"/>
          <w:rtl/>
        </w:rPr>
        <w:t>נציגי</w:t>
      </w:r>
      <w:r>
        <w:rPr>
          <w:rFonts w:hint="cs"/>
          <w:rtl/>
        </w:rPr>
        <w:t xml:space="preserve"> </w:t>
      </w:r>
      <w:r w:rsidRPr="009E10F2">
        <w:rPr>
          <w:rFonts w:hint="cs"/>
          <w:rtl/>
        </w:rPr>
        <w:t>המשטרה הפועלים בעולם</w:t>
      </w:r>
      <w:r>
        <w:rPr>
          <w:rFonts w:hint="cs"/>
          <w:rtl/>
        </w:rPr>
        <w:t xml:space="preserve"> ומתמקדים בנושאים של אכיפה כלכלית:</w:t>
      </w:r>
      <w:r w:rsidRPr="009E10F2">
        <w:rPr>
          <w:rFonts w:hint="cs"/>
          <w:rtl/>
        </w:rPr>
        <w:t xml:space="preserve"> </w:t>
      </w:r>
      <w:r w:rsidRPr="00414C9A">
        <w:rPr>
          <w:rtl/>
        </w:rPr>
        <w:t>"</w:t>
      </w:r>
      <w:r w:rsidRPr="0098472A">
        <w:rPr>
          <w:rFonts w:hint="eastAsia"/>
          <w:rtl/>
        </w:rPr>
        <w:t>ראינו</w:t>
      </w:r>
      <w:r w:rsidRPr="0098472A">
        <w:rPr>
          <w:rtl/>
        </w:rPr>
        <w:t xml:space="preserve"> </w:t>
      </w:r>
      <w:r w:rsidRPr="0098472A">
        <w:rPr>
          <w:rFonts w:hint="eastAsia"/>
          <w:rtl/>
        </w:rPr>
        <w:t>והבנו</w:t>
      </w:r>
      <w:r w:rsidRPr="0098472A">
        <w:rPr>
          <w:rtl/>
        </w:rPr>
        <w:t xml:space="preserve"> </w:t>
      </w:r>
      <w:r w:rsidRPr="0098472A">
        <w:rPr>
          <w:rFonts w:hint="eastAsia"/>
          <w:rtl/>
        </w:rPr>
        <w:t>שעבריינים</w:t>
      </w:r>
      <w:r w:rsidRPr="0098472A">
        <w:rPr>
          <w:rtl/>
        </w:rPr>
        <w:t xml:space="preserve"> </w:t>
      </w:r>
      <w:r w:rsidRPr="0098472A">
        <w:rPr>
          <w:rFonts w:hint="eastAsia"/>
          <w:rtl/>
        </w:rPr>
        <w:t>למדו</w:t>
      </w:r>
      <w:r>
        <w:rPr>
          <w:rFonts w:hint="cs"/>
        </w:rPr>
        <w:t xml:space="preserve"> </w:t>
      </w:r>
      <w:r w:rsidRPr="0098472A">
        <w:rPr>
          <w:rFonts w:hint="eastAsia"/>
          <w:rtl/>
        </w:rPr>
        <w:t>אותנו</w:t>
      </w:r>
      <w:r w:rsidRPr="0098472A">
        <w:rPr>
          <w:rtl/>
        </w:rPr>
        <w:t xml:space="preserve"> </w:t>
      </w:r>
      <w:r w:rsidRPr="0098472A">
        <w:rPr>
          <w:rFonts w:hint="eastAsia"/>
          <w:rtl/>
        </w:rPr>
        <w:t>והם</w:t>
      </w:r>
      <w:r w:rsidRPr="0098472A">
        <w:rPr>
          <w:rtl/>
        </w:rPr>
        <w:t xml:space="preserve"> </w:t>
      </w:r>
      <w:r w:rsidRPr="0098472A">
        <w:rPr>
          <w:rFonts w:hint="eastAsia"/>
          <w:rtl/>
        </w:rPr>
        <w:t>מזיזים</w:t>
      </w:r>
      <w:r w:rsidRPr="0098472A">
        <w:rPr>
          <w:rtl/>
        </w:rPr>
        <w:t xml:space="preserve"> </w:t>
      </w:r>
      <w:r w:rsidRPr="0098472A">
        <w:rPr>
          <w:rFonts w:hint="eastAsia"/>
          <w:rtl/>
        </w:rPr>
        <w:t>את</w:t>
      </w:r>
      <w:r w:rsidRPr="0098472A">
        <w:rPr>
          <w:rtl/>
        </w:rPr>
        <w:t xml:space="preserve"> </w:t>
      </w:r>
      <w:r w:rsidRPr="0098472A">
        <w:rPr>
          <w:rFonts w:hint="eastAsia"/>
          <w:rtl/>
        </w:rPr>
        <w:t>מקום</w:t>
      </w:r>
      <w:r w:rsidRPr="0098472A">
        <w:rPr>
          <w:rtl/>
        </w:rPr>
        <w:t xml:space="preserve"> </w:t>
      </w:r>
      <w:r w:rsidRPr="0098472A">
        <w:rPr>
          <w:rFonts w:hint="eastAsia"/>
          <w:rtl/>
        </w:rPr>
        <w:t>מושבם</w:t>
      </w:r>
      <w:r w:rsidRPr="0098472A">
        <w:rPr>
          <w:rtl/>
        </w:rPr>
        <w:t xml:space="preserve"> ואת הכספים שלהם למדינות אחרות"</w:t>
      </w:r>
      <w:r>
        <w:rPr>
          <w:rStyle w:val="FootnoteReference"/>
          <w:rFonts w:ascii="FrankRuehl" w:hAnsi="FrankRuehl"/>
          <w:color w:val="000000"/>
          <w:sz w:val="24"/>
          <w:rtl/>
        </w:rPr>
        <w:footnoteReference w:id="56"/>
      </w:r>
      <w:r>
        <w:rPr>
          <w:rFonts w:hint="cs"/>
          <w:rtl/>
        </w:rPr>
        <w:t>.</w:t>
      </w:r>
      <w:r w:rsidRPr="00414C9A">
        <w:rPr>
          <w:rtl/>
        </w:rPr>
        <w:t xml:space="preserve"> </w:t>
      </w:r>
    </w:p>
    <w:p w14:paraId="47D34F81" w14:textId="77777777" w:rsidR="00F368B6" w:rsidRDefault="00F368B6" w:rsidP="008F251D">
      <w:pPr>
        <w:pStyle w:val="100"/>
        <w:rPr>
          <w:rtl/>
        </w:rPr>
      </w:pPr>
      <w:r>
        <w:rPr>
          <w:rFonts w:hint="cs"/>
          <w:rtl/>
        </w:rPr>
        <w:t>בישיבת מועצת החילוט בפברואר 2018 התייחסה ראש רשלא"ה לתופעת הברחת הכספים אל מחוץ לגבולות המדינה בהקשר של ארגוני פשיעה המבריחים נכסיהם לחו"ל: "ארגוני פשיעה קשה להם להתנהל בישראל... העבריינים המשמעותיים מחפשים דרכים להעביר לחו"ל... כל פרשה פיננסית מערבת קשר לחו"ל, מבחינת עבריינים אין גבולות... גופי האכיפה מחפשים את הכסף מחו"ל, ושם הוא יהיה בדרך כלל"</w:t>
      </w:r>
      <w:r>
        <w:rPr>
          <w:rStyle w:val="FootnoteReference"/>
          <w:rFonts w:ascii="FrankRuehl" w:hAnsi="FrankRuehl"/>
          <w:color w:val="000000"/>
          <w:sz w:val="24"/>
          <w:rtl/>
        </w:rPr>
        <w:footnoteReference w:id="57"/>
      </w:r>
      <w:r>
        <w:rPr>
          <w:rFonts w:hint="cs"/>
          <w:rtl/>
        </w:rPr>
        <w:t>.</w:t>
      </w:r>
    </w:p>
    <w:p w14:paraId="14E29CD0" w14:textId="77777777" w:rsidR="00F368B6" w:rsidRDefault="00F368B6" w:rsidP="008F251D">
      <w:pPr>
        <w:pStyle w:val="100"/>
        <w:rPr>
          <w:rFonts w:asciiTheme="minorBidi" w:hAnsiTheme="minorBidi"/>
          <w:sz w:val="24"/>
          <w:rtl/>
        </w:rPr>
      </w:pPr>
      <w:r>
        <w:rPr>
          <w:rFonts w:asciiTheme="minorBidi" w:hAnsiTheme="minorBidi" w:hint="cs"/>
          <w:sz w:val="24"/>
          <w:rtl/>
        </w:rPr>
        <w:t>שיתוף פעולה בין-לאומי ועזרה משפטית הדדית בין מדינות בעניינים פליליים הם כלים חיוניים ביותר ל</w:t>
      </w:r>
      <w:r w:rsidRPr="00873427">
        <w:rPr>
          <w:rFonts w:asciiTheme="minorBidi" w:hAnsiTheme="minorBidi"/>
          <w:sz w:val="24"/>
          <w:rtl/>
        </w:rPr>
        <w:t>מאבק בפשיעה חוצת הגבולות</w:t>
      </w:r>
      <w:r>
        <w:rPr>
          <w:rFonts w:asciiTheme="minorBidi" w:hAnsiTheme="minorBidi" w:hint="cs"/>
          <w:sz w:val="24"/>
          <w:rtl/>
        </w:rPr>
        <w:t xml:space="preserve">. בקרב גופי אכיפת החוק בארץ ובעולם </w:t>
      </w:r>
      <w:r w:rsidRPr="00BF3A54">
        <w:rPr>
          <w:rFonts w:asciiTheme="minorBidi" w:hAnsiTheme="minorBidi" w:hint="cs"/>
          <w:sz w:val="24"/>
          <w:rtl/>
        </w:rPr>
        <w:t xml:space="preserve">הולכת ומתחזקת ההכרה </w:t>
      </w:r>
      <w:r w:rsidRPr="00BF3A54">
        <w:rPr>
          <w:rFonts w:asciiTheme="minorBidi" w:hAnsiTheme="minorBidi"/>
          <w:sz w:val="24"/>
          <w:rtl/>
        </w:rPr>
        <w:t>בדבר החשיבות שבשיתוף פעולה בין-לאומי</w:t>
      </w:r>
      <w:r w:rsidRPr="00BF3A54">
        <w:rPr>
          <w:rFonts w:asciiTheme="minorBidi" w:hAnsiTheme="minorBidi" w:hint="cs"/>
          <w:sz w:val="24"/>
          <w:rtl/>
        </w:rPr>
        <w:t xml:space="preserve">, </w:t>
      </w:r>
      <w:r>
        <w:rPr>
          <w:rFonts w:asciiTheme="minorBidi" w:hAnsiTheme="minorBidi" w:hint="cs"/>
          <w:sz w:val="24"/>
          <w:rtl/>
        </w:rPr>
        <w:t>והיא באה לביטוי ב</w:t>
      </w:r>
      <w:r w:rsidRPr="00AD34C3">
        <w:rPr>
          <w:rFonts w:asciiTheme="minorBidi" w:hAnsiTheme="minorBidi"/>
          <w:sz w:val="24"/>
          <w:rtl/>
        </w:rPr>
        <w:t>כינונן של רשתות פורמליות ובל</w:t>
      </w:r>
      <w:r>
        <w:rPr>
          <w:rFonts w:asciiTheme="minorBidi" w:hAnsiTheme="minorBidi" w:hint="cs"/>
          <w:sz w:val="24"/>
          <w:rtl/>
        </w:rPr>
        <w:t>ת</w:t>
      </w:r>
      <w:r w:rsidRPr="00AD34C3">
        <w:rPr>
          <w:rFonts w:asciiTheme="minorBidi" w:hAnsiTheme="minorBidi"/>
          <w:sz w:val="24"/>
          <w:rtl/>
        </w:rPr>
        <w:t>י פורמליות של שיתוף פעולה בין גופי אכיפה שונים</w:t>
      </w:r>
      <w:r>
        <w:rPr>
          <w:rFonts w:asciiTheme="minorBidi" w:hAnsiTheme="minorBidi" w:hint="cs"/>
          <w:sz w:val="24"/>
          <w:rtl/>
        </w:rPr>
        <w:t>.</w:t>
      </w:r>
    </w:p>
    <w:p w14:paraId="17E285C2" w14:textId="77777777" w:rsidR="00F368B6" w:rsidRDefault="00F368B6" w:rsidP="008F251D">
      <w:pPr>
        <w:pStyle w:val="100"/>
        <w:rPr>
          <w:rFonts w:asciiTheme="minorBidi" w:hAnsiTheme="minorBidi"/>
          <w:sz w:val="24"/>
          <w:rtl/>
        </w:rPr>
      </w:pPr>
      <w:r w:rsidRPr="00AD34C3">
        <w:rPr>
          <w:rFonts w:asciiTheme="minorBidi" w:hAnsiTheme="minorBidi"/>
          <w:sz w:val="24"/>
          <w:rtl/>
        </w:rPr>
        <w:t>הביטוי הפורמלי המרכזי לשיתוף פעולה בין-לאומי הוא קיומה של מערכת אמנות והסכמים לעזרה משפטית בין מדינות, שתכלית</w:t>
      </w:r>
      <w:r>
        <w:rPr>
          <w:rFonts w:asciiTheme="minorBidi" w:hAnsiTheme="minorBidi" w:hint="cs"/>
          <w:sz w:val="24"/>
          <w:rtl/>
        </w:rPr>
        <w:t>ה</w:t>
      </w:r>
      <w:r w:rsidRPr="00AD34C3">
        <w:rPr>
          <w:rFonts w:asciiTheme="minorBidi" w:hAnsiTheme="minorBidi"/>
          <w:sz w:val="24"/>
          <w:rtl/>
        </w:rPr>
        <w:t xml:space="preserve"> להניח</w:t>
      </w:r>
      <w:r>
        <w:rPr>
          <w:rFonts w:asciiTheme="minorBidi" w:hAnsiTheme="minorBidi" w:hint="cs"/>
          <w:sz w:val="24"/>
          <w:rtl/>
        </w:rPr>
        <w:t xml:space="preserve"> </w:t>
      </w:r>
      <w:r w:rsidRPr="00AD34C3">
        <w:rPr>
          <w:rFonts w:asciiTheme="minorBidi" w:hAnsiTheme="minorBidi"/>
          <w:sz w:val="24"/>
          <w:rtl/>
        </w:rPr>
        <w:t>את המסד החוקי הנדרש לאכיפה משותפת</w:t>
      </w:r>
      <w:r>
        <w:rPr>
          <w:rFonts w:asciiTheme="minorBidi" w:hAnsiTheme="minorBidi" w:hint="cs"/>
          <w:sz w:val="24"/>
          <w:rtl/>
        </w:rPr>
        <w:t>,</w:t>
      </w:r>
      <w:r w:rsidRPr="00AD34C3">
        <w:rPr>
          <w:rFonts w:asciiTheme="minorBidi" w:hAnsiTheme="minorBidi"/>
          <w:sz w:val="24"/>
          <w:rtl/>
        </w:rPr>
        <w:t xml:space="preserve"> </w:t>
      </w:r>
      <w:r>
        <w:rPr>
          <w:rFonts w:asciiTheme="minorBidi" w:hAnsiTheme="minorBidi" w:hint="cs"/>
          <w:sz w:val="24"/>
          <w:rtl/>
        </w:rPr>
        <w:t>לצד</w:t>
      </w:r>
      <w:r>
        <w:rPr>
          <w:rFonts w:asciiTheme="minorBidi" w:hAnsiTheme="minorBidi"/>
          <w:sz w:val="24"/>
          <w:rtl/>
        </w:rPr>
        <w:t xml:space="preserve"> הדינים המקומיים בכל מדינה</w:t>
      </w:r>
      <w:r w:rsidRPr="00AD34C3">
        <w:rPr>
          <w:rFonts w:asciiTheme="minorBidi" w:hAnsiTheme="minorBidi"/>
          <w:sz w:val="24"/>
          <w:rtl/>
        </w:rPr>
        <w:t>.</w:t>
      </w:r>
    </w:p>
    <w:p w14:paraId="685ED581" w14:textId="00FB3313" w:rsidR="00F368B6" w:rsidRDefault="00F368B6" w:rsidP="008F251D">
      <w:pPr>
        <w:pStyle w:val="100"/>
        <w:rPr>
          <w:rtl/>
        </w:rPr>
      </w:pPr>
      <w:r w:rsidRPr="009C73BF">
        <w:rPr>
          <w:rtl/>
        </w:rPr>
        <w:t xml:space="preserve">החוק המסדיר </w:t>
      </w:r>
      <w:r>
        <w:rPr>
          <w:rFonts w:hint="cs"/>
          <w:rtl/>
        </w:rPr>
        <w:t xml:space="preserve">בישראל </w:t>
      </w:r>
      <w:r w:rsidRPr="009C73BF">
        <w:rPr>
          <w:rtl/>
        </w:rPr>
        <w:t>את תחום העזרה המשפטית בין מדינות הוא חוק עזרה משפטית בין מדינות, התשנ"ח-</w:t>
      </w:r>
      <w:r w:rsidRPr="007277B2">
        <w:rPr>
          <w:rtl/>
        </w:rPr>
        <w:t>1998</w:t>
      </w:r>
      <w:r w:rsidRPr="007277B2">
        <w:rPr>
          <w:rFonts w:hint="cs"/>
          <w:rtl/>
        </w:rPr>
        <w:t xml:space="preserve"> (להלן - חוק עזרה משפטית)</w:t>
      </w:r>
      <w:r w:rsidRPr="007277B2">
        <w:rPr>
          <w:rtl/>
        </w:rPr>
        <w:t xml:space="preserve">. </w:t>
      </w:r>
      <w:r>
        <w:rPr>
          <w:rFonts w:hint="cs"/>
          <w:rtl/>
        </w:rPr>
        <w:t xml:space="preserve">חוק זה והתקנות מכוחו קובעים סדרי דין ביחס לבקשות לעזרה משפטית המתקבלות ממדינות זרות (להלן - בקשות נכנסות), וכן הוראות לגבי הבקשות מטעם מדינת ישראל הנשלחות למדינות זרות (להלן - בקשות יוצאות). </w:t>
      </w:r>
      <w:r w:rsidRPr="007277B2">
        <w:rPr>
          <w:rtl/>
        </w:rPr>
        <w:t>נוסף</w:t>
      </w:r>
      <w:r>
        <w:rPr>
          <w:rFonts w:hint="cs"/>
          <w:rtl/>
        </w:rPr>
        <w:t xml:space="preserve"> על </w:t>
      </w:r>
      <w:r>
        <w:rPr>
          <w:rFonts w:hint="cs"/>
          <w:rtl/>
        </w:rPr>
        <w:lastRenderedPageBreak/>
        <w:t>כך</w:t>
      </w:r>
      <w:r w:rsidRPr="009C73BF">
        <w:rPr>
          <w:rtl/>
        </w:rPr>
        <w:t xml:space="preserve"> </w:t>
      </w:r>
      <w:r>
        <w:rPr>
          <w:rtl/>
        </w:rPr>
        <w:t>חתו</w:t>
      </w:r>
      <w:r>
        <w:rPr>
          <w:rFonts w:hint="cs"/>
          <w:rtl/>
        </w:rPr>
        <w:t>מ</w:t>
      </w:r>
      <w:r>
        <w:rPr>
          <w:rtl/>
        </w:rPr>
        <w:t>ה</w:t>
      </w:r>
      <w:r>
        <w:rPr>
          <w:rFonts w:hint="cs"/>
          <w:rtl/>
        </w:rPr>
        <w:t xml:space="preserve"> ישראל</w:t>
      </w:r>
      <w:r>
        <w:rPr>
          <w:rtl/>
        </w:rPr>
        <w:t xml:space="preserve"> על אמנות דו-צדדיות או רב-</w:t>
      </w:r>
      <w:r w:rsidRPr="00AD34C3">
        <w:rPr>
          <w:rtl/>
        </w:rPr>
        <w:t>צדדיות לעזרה משפטית הדדית</w:t>
      </w:r>
      <w:r>
        <w:rPr>
          <w:rtl/>
        </w:rPr>
        <w:t xml:space="preserve"> בעניינים פליליים</w:t>
      </w:r>
      <w:r>
        <w:rPr>
          <w:rFonts w:hint="cs"/>
          <w:rtl/>
        </w:rPr>
        <w:t>,</w:t>
      </w:r>
      <w:r>
        <w:rPr>
          <w:rtl/>
        </w:rPr>
        <w:t xml:space="preserve"> </w:t>
      </w:r>
      <w:r>
        <w:rPr>
          <w:rFonts w:hint="cs"/>
          <w:rtl/>
        </w:rPr>
        <w:t>ו</w:t>
      </w:r>
      <w:r>
        <w:rPr>
          <w:rtl/>
        </w:rPr>
        <w:t xml:space="preserve">בין היתר </w:t>
      </w:r>
      <w:r w:rsidRPr="00C06F2B">
        <w:rPr>
          <w:rFonts w:hint="cs"/>
          <w:rtl/>
        </w:rPr>
        <w:t xml:space="preserve">בתחום </w:t>
      </w:r>
      <w:r>
        <w:rPr>
          <w:rFonts w:hint="cs"/>
          <w:rtl/>
        </w:rPr>
        <w:t>האכיפה הכלכלית</w:t>
      </w:r>
      <w:r>
        <w:rPr>
          <w:rStyle w:val="FootnoteReference"/>
          <w:sz w:val="24"/>
          <w:rtl/>
        </w:rPr>
        <w:footnoteReference w:id="58"/>
      </w:r>
      <w:r>
        <w:rPr>
          <w:rFonts w:hint="cs"/>
          <w:rtl/>
        </w:rPr>
        <w:t>.</w:t>
      </w:r>
    </w:p>
    <w:p w14:paraId="1FDE017C" w14:textId="523E7A24" w:rsidR="00F368B6" w:rsidRDefault="00F368B6" w:rsidP="008F251D">
      <w:pPr>
        <w:pStyle w:val="100"/>
        <w:rPr>
          <w:rtl/>
        </w:rPr>
      </w:pPr>
      <w:r>
        <w:rPr>
          <w:rFonts w:hint="cs"/>
          <w:rtl/>
        </w:rPr>
        <w:t>כמו כן</w:t>
      </w:r>
      <w:r w:rsidRPr="00A46002">
        <w:rPr>
          <w:rFonts w:hint="cs"/>
          <w:rtl/>
        </w:rPr>
        <w:t xml:space="preserve"> </w:t>
      </w:r>
      <w:r>
        <w:rPr>
          <w:rFonts w:hint="cs"/>
          <w:rtl/>
        </w:rPr>
        <w:t>המדינה מכירה ב</w:t>
      </w:r>
      <w:r w:rsidRPr="00A46002">
        <w:rPr>
          <w:rFonts w:hint="cs"/>
          <w:rtl/>
        </w:rPr>
        <w:t>"</w:t>
      </w:r>
      <w:r w:rsidRPr="003873EA">
        <w:rPr>
          <w:rFonts w:hint="cs"/>
          <w:rtl/>
        </w:rPr>
        <w:t>עקרון ההדדיות</w:t>
      </w:r>
      <w:r w:rsidRPr="00A46002">
        <w:rPr>
          <w:rFonts w:hint="cs"/>
          <w:rtl/>
        </w:rPr>
        <w:t xml:space="preserve">", </w:t>
      </w:r>
      <w:r>
        <w:rPr>
          <w:rFonts w:hint="cs"/>
          <w:rtl/>
        </w:rPr>
        <w:t xml:space="preserve">לפיו </w:t>
      </w:r>
      <w:r w:rsidRPr="00A46002">
        <w:rPr>
          <w:rFonts w:hint="cs"/>
          <w:rtl/>
        </w:rPr>
        <w:t>בה</w:t>
      </w:r>
      <w:r>
        <w:rPr>
          <w:rFonts w:hint="cs"/>
          <w:rtl/>
        </w:rPr>
        <w:t>י</w:t>
      </w:r>
      <w:r w:rsidRPr="00A46002">
        <w:rPr>
          <w:rFonts w:hint="cs"/>
          <w:rtl/>
        </w:rPr>
        <w:t>עדר אמנה חתומה</w:t>
      </w:r>
      <w:r>
        <w:rPr>
          <w:rFonts w:hint="cs"/>
          <w:rtl/>
        </w:rPr>
        <w:t xml:space="preserve"> בינה לבין מדינה אחרת, ישראל תסייע לאותה מדינה</w:t>
      </w:r>
      <w:r w:rsidRPr="00A46002">
        <w:rPr>
          <w:rFonts w:hint="cs"/>
          <w:rtl/>
        </w:rPr>
        <w:t xml:space="preserve"> על בסיס התחייבות</w:t>
      </w:r>
      <w:r>
        <w:rPr>
          <w:rFonts w:hint="cs"/>
          <w:rtl/>
        </w:rPr>
        <w:t>ה</w:t>
      </w:r>
      <w:r w:rsidRPr="00A46002">
        <w:rPr>
          <w:rFonts w:hint="cs"/>
          <w:rtl/>
        </w:rPr>
        <w:t xml:space="preserve"> לתת סיוע</w:t>
      </w:r>
      <w:r>
        <w:rPr>
          <w:rFonts w:hint="cs"/>
          <w:rtl/>
        </w:rPr>
        <w:t xml:space="preserve"> לישראל</w:t>
      </w:r>
      <w:r w:rsidRPr="00A46002">
        <w:rPr>
          <w:rFonts w:hint="cs"/>
          <w:rtl/>
        </w:rPr>
        <w:t xml:space="preserve"> במקרים</w:t>
      </w:r>
      <w:r>
        <w:rPr>
          <w:rFonts w:hint="cs"/>
          <w:rtl/>
        </w:rPr>
        <w:t xml:space="preserve"> </w:t>
      </w:r>
      <w:r w:rsidRPr="00A46002">
        <w:rPr>
          <w:rFonts w:hint="cs"/>
          <w:rtl/>
        </w:rPr>
        <w:t>דומים</w:t>
      </w:r>
      <w:r>
        <w:rPr>
          <w:rFonts w:hint="cs"/>
          <w:rtl/>
        </w:rPr>
        <w:t>.</w:t>
      </w:r>
    </w:p>
    <w:p w14:paraId="46A6E6ED" w14:textId="58FFF9A8" w:rsidR="00F368B6" w:rsidRDefault="00F368B6" w:rsidP="008F251D">
      <w:pPr>
        <w:pStyle w:val="100"/>
        <w:rPr>
          <w:rtl/>
        </w:rPr>
      </w:pPr>
      <w:r>
        <w:rPr>
          <w:rFonts w:hint="cs"/>
          <w:rtl/>
        </w:rPr>
        <w:t xml:space="preserve">להלן בתרשים 10 נתונים בדבר עזרה משפטית באכיפה כלכלית בין מדינות בשנים </w:t>
      </w:r>
      <w:r w:rsidR="0007725D">
        <w:rPr>
          <w:rFonts w:hint="cs"/>
          <w:rtl/>
        </w:rPr>
        <w:t>2016 - 2018</w:t>
      </w:r>
      <w:r>
        <w:rPr>
          <w:rFonts w:hint="cs"/>
          <w:rtl/>
        </w:rPr>
        <w:t>.</w:t>
      </w:r>
    </w:p>
    <w:p w14:paraId="3FDA32F6" w14:textId="41B664BA" w:rsidR="00F368B6" w:rsidRPr="008F251D" w:rsidRDefault="00F368B6" w:rsidP="008F251D">
      <w:pPr>
        <w:pStyle w:val="a6"/>
        <w:rPr>
          <w:b/>
          <w:bCs/>
          <w:rtl/>
        </w:rPr>
      </w:pPr>
      <w:r w:rsidRPr="003D367F">
        <w:rPr>
          <w:rFonts w:hint="eastAsia"/>
          <w:rtl/>
        </w:rPr>
        <w:t>תרשים</w:t>
      </w:r>
      <w:r w:rsidRPr="003D367F">
        <w:rPr>
          <w:rtl/>
        </w:rPr>
        <w:t xml:space="preserve"> </w:t>
      </w:r>
      <w:r>
        <w:rPr>
          <w:rFonts w:hint="cs"/>
          <w:rtl/>
        </w:rPr>
        <w:t>10</w:t>
      </w:r>
      <w:r w:rsidRPr="003D367F">
        <w:rPr>
          <w:rtl/>
        </w:rPr>
        <w:t>:</w:t>
      </w:r>
      <w:r>
        <w:rPr>
          <w:rFonts w:hint="cs"/>
          <w:rtl/>
        </w:rPr>
        <w:t xml:space="preserve"> </w:t>
      </w:r>
      <w:r w:rsidRPr="008F251D">
        <w:rPr>
          <w:b/>
          <w:bCs/>
          <w:rtl/>
        </w:rPr>
        <w:t>נתונים בדבר עזרה משפטית באכיפה כלכלית</w:t>
      </w:r>
      <w:r w:rsidRPr="008F251D">
        <w:rPr>
          <w:rFonts w:hint="cs"/>
          <w:b/>
          <w:bCs/>
          <w:rtl/>
        </w:rPr>
        <w:t>, 2016 - 2019</w:t>
      </w:r>
    </w:p>
    <w:p w14:paraId="30E1CB54" w14:textId="0D43114F" w:rsidR="00F368B6" w:rsidRDefault="00C73502" w:rsidP="00F368B6">
      <w:pPr>
        <w:spacing w:line="269" w:lineRule="auto"/>
        <w:jc w:val="center"/>
        <w:rPr>
          <w:rtl/>
        </w:rPr>
      </w:pPr>
      <w:r>
        <w:rPr>
          <w:noProof/>
        </w:rPr>
        <w:drawing>
          <wp:inline distT="0" distB="0" distL="0" distR="0" wp14:anchorId="479BD5DD" wp14:editId="7B2E850B">
            <wp:extent cx="3477949" cy="4036876"/>
            <wp:effectExtent l="0" t="0" r="825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רשים 10 - JPG (1).jpg"/>
                    <pic:cNvPicPr/>
                  </pic:nvPicPr>
                  <pic:blipFill>
                    <a:blip r:embed="rId26">
                      <a:extLst>
                        <a:ext uri="{28A0092B-C50C-407E-A947-70E740481C1C}">
                          <a14:useLocalDpi xmlns:a14="http://schemas.microsoft.com/office/drawing/2010/main" val="0"/>
                        </a:ext>
                      </a:extLst>
                    </a:blip>
                    <a:stretch>
                      <a:fillRect/>
                    </a:stretch>
                  </pic:blipFill>
                  <pic:spPr>
                    <a:xfrm>
                      <a:off x="0" y="0"/>
                      <a:ext cx="3477949" cy="4036876"/>
                    </a:xfrm>
                    <a:prstGeom prst="rect">
                      <a:avLst/>
                    </a:prstGeom>
                  </pic:spPr>
                </pic:pic>
              </a:graphicData>
            </a:graphic>
          </wp:inline>
        </w:drawing>
      </w:r>
      <w:r w:rsidR="00F368B6" w:rsidRPr="00B15338">
        <w:t xml:space="preserve"> </w:t>
      </w:r>
    </w:p>
    <w:p w14:paraId="614225B0" w14:textId="77777777" w:rsidR="00F368B6" w:rsidRDefault="00F368B6" w:rsidP="00F368B6">
      <w:pPr>
        <w:spacing w:line="269" w:lineRule="auto"/>
        <w:rPr>
          <w:b/>
          <w:sz w:val="22"/>
          <w:szCs w:val="22"/>
          <w:rtl/>
        </w:rPr>
      </w:pPr>
    </w:p>
    <w:p w14:paraId="41ACB86A" w14:textId="77777777" w:rsidR="00F368B6" w:rsidRPr="00E630B3" w:rsidRDefault="00F368B6" w:rsidP="008F251D">
      <w:pPr>
        <w:pStyle w:val="a5"/>
        <w:rPr>
          <w:rtl/>
        </w:rPr>
      </w:pPr>
      <w:r w:rsidRPr="00E630B3">
        <w:rPr>
          <w:rFonts w:hint="cs"/>
          <w:rtl/>
        </w:rPr>
        <w:t xml:space="preserve">מקור: </w:t>
      </w:r>
      <w:r w:rsidRPr="00E630B3">
        <w:rPr>
          <w:rFonts w:hint="eastAsia"/>
          <w:rtl/>
        </w:rPr>
        <w:t>על</w:t>
      </w:r>
      <w:r w:rsidRPr="00E630B3">
        <w:rPr>
          <w:rtl/>
        </w:rPr>
        <w:t xml:space="preserve"> </w:t>
      </w:r>
      <w:r w:rsidRPr="00E630B3">
        <w:rPr>
          <w:rFonts w:hint="eastAsia"/>
          <w:rtl/>
        </w:rPr>
        <w:t>פי</w:t>
      </w:r>
      <w:r w:rsidRPr="00E630B3">
        <w:rPr>
          <w:rtl/>
        </w:rPr>
        <w:t xml:space="preserve"> נתוני </w:t>
      </w:r>
      <w:r w:rsidRPr="00E630B3">
        <w:rPr>
          <w:rFonts w:hint="eastAsia"/>
          <w:rtl/>
        </w:rPr>
        <w:t>פרקליטות</w:t>
      </w:r>
      <w:r w:rsidRPr="00E630B3">
        <w:rPr>
          <w:rtl/>
        </w:rPr>
        <w:t xml:space="preserve"> </w:t>
      </w:r>
      <w:r w:rsidRPr="00E630B3">
        <w:rPr>
          <w:rFonts w:hint="eastAsia"/>
          <w:rtl/>
        </w:rPr>
        <w:t>המדינה</w:t>
      </w:r>
      <w:r w:rsidRPr="00E630B3">
        <w:rPr>
          <w:rtl/>
        </w:rPr>
        <w:t xml:space="preserve"> </w:t>
      </w:r>
      <w:r w:rsidRPr="00E630B3">
        <w:rPr>
          <w:rFonts w:hint="eastAsia"/>
          <w:rtl/>
        </w:rPr>
        <w:t>והנהלת</w:t>
      </w:r>
      <w:r w:rsidRPr="00E630B3">
        <w:rPr>
          <w:rtl/>
        </w:rPr>
        <w:t xml:space="preserve"> </w:t>
      </w:r>
      <w:r w:rsidRPr="00E630B3">
        <w:rPr>
          <w:rFonts w:hint="eastAsia"/>
          <w:rtl/>
        </w:rPr>
        <w:t>בתי</w:t>
      </w:r>
      <w:r w:rsidRPr="00E630B3">
        <w:rPr>
          <w:rtl/>
        </w:rPr>
        <w:t xml:space="preserve"> </w:t>
      </w:r>
      <w:r w:rsidRPr="00E630B3">
        <w:rPr>
          <w:rFonts w:hint="eastAsia"/>
          <w:rtl/>
        </w:rPr>
        <w:t>המשפט</w:t>
      </w:r>
      <w:r w:rsidRPr="00E630B3">
        <w:rPr>
          <w:rtl/>
        </w:rPr>
        <w:t>, בעיבוד משרד מבקר המדינה.</w:t>
      </w:r>
    </w:p>
    <w:p w14:paraId="1A2B8E6E" w14:textId="2BBE0BB5" w:rsidR="00F368B6" w:rsidRPr="00B3431A" w:rsidRDefault="00F368B6" w:rsidP="00F368B6">
      <w:pPr>
        <w:spacing w:line="269" w:lineRule="auto"/>
        <w:rPr>
          <w:b/>
          <w:rtl/>
        </w:rPr>
      </w:pPr>
    </w:p>
    <w:p w14:paraId="1403D639" w14:textId="77777777" w:rsidR="00F368B6" w:rsidRDefault="00F368B6" w:rsidP="00D31C39">
      <w:pPr>
        <w:pStyle w:val="100"/>
        <w:rPr>
          <w:rtl/>
        </w:rPr>
      </w:pPr>
      <w:r w:rsidRPr="00D31C39">
        <w:rPr>
          <w:rStyle w:val="Heading7Char"/>
          <w:rFonts w:eastAsiaTheme="minorHAnsi" w:hint="eastAsia"/>
          <w:b/>
          <w:color w:val="004E6C"/>
          <w:spacing w:val="0"/>
          <w:rtl/>
        </w:rPr>
        <w:lastRenderedPageBreak/>
        <w:t>בקשות</w:t>
      </w:r>
      <w:r w:rsidRPr="00D31C39">
        <w:rPr>
          <w:rStyle w:val="Heading7Char"/>
          <w:rFonts w:eastAsiaTheme="minorHAnsi"/>
          <w:b/>
          <w:color w:val="004E6C"/>
          <w:spacing w:val="0"/>
          <w:rtl/>
        </w:rPr>
        <w:t xml:space="preserve"> </w:t>
      </w:r>
      <w:r w:rsidRPr="00D31C39">
        <w:rPr>
          <w:rStyle w:val="Heading7Char"/>
          <w:rFonts w:eastAsiaTheme="minorHAnsi" w:hint="eastAsia"/>
          <w:b/>
          <w:color w:val="004E6C"/>
          <w:spacing w:val="0"/>
          <w:rtl/>
        </w:rPr>
        <w:t>נכנסות</w:t>
      </w:r>
      <w:r w:rsidRPr="00D31C39">
        <w:rPr>
          <w:rStyle w:val="Heading7Char"/>
          <w:rFonts w:eastAsiaTheme="minorHAnsi"/>
          <w:b/>
          <w:color w:val="004E6C"/>
          <w:spacing w:val="0"/>
          <w:rtl/>
        </w:rPr>
        <w:t>:</w:t>
      </w:r>
      <w:r>
        <w:rPr>
          <w:rFonts w:hint="cs"/>
          <w:rtl/>
        </w:rPr>
        <w:t xml:space="preserve"> </w:t>
      </w:r>
      <w:r w:rsidRPr="0087721C">
        <w:rPr>
          <w:rFonts w:hint="cs"/>
          <w:rtl/>
        </w:rPr>
        <w:t xml:space="preserve">בקשות לעזרה משפטית מחו"ל מגיעות </w:t>
      </w:r>
      <w:r>
        <w:rPr>
          <w:rFonts w:hint="cs"/>
          <w:rtl/>
        </w:rPr>
        <w:t>ל</w:t>
      </w:r>
      <w:r w:rsidRPr="0087721C">
        <w:rPr>
          <w:rFonts w:hint="cs"/>
          <w:rtl/>
        </w:rPr>
        <w:t xml:space="preserve">הנהלת בתי </w:t>
      </w:r>
      <w:r>
        <w:rPr>
          <w:rFonts w:hint="cs"/>
          <w:rtl/>
        </w:rPr>
        <w:t>ה</w:t>
      </w:r>
      <w:r w:rsidRPr="0087721C">
        <w:rPr>
          <w:rFonts w:hint="cs"/>
          <w:rtl/>
        </w:rPr>
        <w:t>משפט</w:t>
      </w:r>
      <w:r>
        <w:rPr>
          <w:rStyle w:val="FootnoteReference"/>
          <w:sz w:val="24"/>
          <w:rtl/>
        </w:rPr>
        <w:footnoteReference w:id="59"/>
      </w:r>
      <w:r>
        <w:rPr>
          <w:rFonts w:hint="cs"/>
          <w:rtl/>
        </w:rPr>
        <w:t xml:space="preserve"> ו</w:t>
      </w:r>
      <w:r w:rsidRPr="0087721C">
        <w:rPr>
          <w:rFonts w:hint="cs"/>
          <w:rtl/>
        </w:rPr>
        <w:t xml:space="preserve">מועברות </w:t>
      </w:r>
      <w:r w:rsidRPr="0083726D">
        <w:rPr>
          <w:rFonts w:hint="cs"/>
          <w:rtl/>
        </w:rPr>
        <w:t>לטיפול החוליה לעזרה משפטית בין מדינות במשטרת ישראל</w:t>
      </w:r>
      <w:r>
        <w:rPr>
          <w:rStyle w:val="FootnoteReference"/>
          <w:sz w:val="24"/>
          <w:rtl/>
        </w:rPr>
        <w:footnoteReference w:id="60"/>
      </w:r>
      <w:r w:rsidRPr="0083726D">
        <w:rPr>
          <w:rFonts w:hint="cs"/>
          <w:rtl/>
        </w:rPr>
        <w:t xml:space="preserve">. החוליה בוחנת אם הבקשות עומדות בדרישות </w:t>
      </w:r>
      <w:r w:rsidRPr="0083726D">
        <w:rPr>
          <w:rFonts w:hint="eastAsia"/>
          <w:rtl/>
        </w:rPr>
        <w:t>ל</w:t>
      </w:r>
      <w:r w:rsidRPr="0083726D">
        <w:rPr>
          <w:rFonts w:hint="cs"/>
          <w:rtl/>
        </w:rPr>
        <w:t>הגשת העזרה המשפטית בהתאם לדין הישראלי</w:t>
      </w:r>
      <w:r w:rsidRPr="0083726D">
        <w:rPr>
          <w:rtl/>
        </w:rPr>
        <w:t>,</w:t>
      </w:r>
      <w:r w:rsidRPr="00813884">
        <w:rPr>
          <w:rFonts w:hint="cs"/>
          <w:rtl/>
        </w:rPr>
        <w:t xml:space="preserve"> </w:t>
      </w:r>
      <w:r>
        <w:rPr>
          <w:rFonts w:hint="cs"/>
          <w:rtl/>
        </w:rPr>
        <w:t>ו</w:t>
      </w:r>
      <w:r w:rsidRPr="00813884">
        <w:rPr>
          <w:rFonts w:hint="cs"/>
          <w:rtl/>
        </w:rPr>
        <w:t xml:space="preserve">אז הן מועברות </w:t>
      </w:r>
      <w:r>
        <w:rPr>
          <w:rFonts w:hint="cs"/>
          <w:rtl/>
        </w:rPr>
        <w:t xml:space="preserve">לביצוע </w:t>
      </w:r>
      <w:r w:rsidRPr="00813884">
        <w:rPr>
          <w:rFonts w:hint="cs"/>
          <w:rtl/>
        </w:rPr>
        <w:t>אל יחידת שטח במשטר</w:t>
      </w:r>
      <w:r>
        <w:rPr>
          <w:rFonts w:hint="cs"/>
          <w:rtl/>
        </w:rPr>
        <w:t>ה</w:t>
      </w:r>
      <w:r w:rsidRPr="00813884">
        <w:rPr>
          <w:rFonts w:hint="cs"/>
          <w:rtl/>
        </w:rPr>
        <w:t>. התוצרים של ביצוע הבקשות עוברים מיחידת השטח שטיפלה בבקשה לחוליה לעזרה משפטית</w:t>
      </w:r>
      <w:r>
        <w:rPr>
          <w:rFonts w:hint="cs"/>
          <w:rtl/>
        </w:rPr>
        <w:t>,</w:t>
      </w:r>
      <w:r w:rsidRPr="00813884">
        <w:rPr>
          <w:rFonts w:hint="cs"/>
          <w:rtl/>
        </w:rPr>
        <w:t xml:space="preserve"> </w:t>
      </w:r>
      <w:r>
        <w:rPr>
          <w:rFonts w:hint="cs"/>
          <w:rtl/>
        </w:rPr>
        <w:t>ו</w:t>
      </w:r>
      <w:r w:rsidRPr="00813884">
        <w:rPr>
          <w:rFonts w:hint="cs"/>
          <w:rtl/>
        </w:rPr>
        <w:t xml:space="preserve">משם להנהלת בתי </w:t>
      </w:r>
      <w:r>
        <w:rPr>
          <w:rFonts w:hint="cs"/>
          <w:rtl/>
        </w:rPr>
        <w:t>ה</w:t>
      </w:r>
      <w:r w:rsidRPr="00813884">
        <w:rPr>
          <w:rFonts w:hint="cs"/>
          <w:rtl/>
        </w:rPr>
        <w:t>משפט לצורך העברה למדינה המבקשת.</w:t>
      </w:r>
    </w:p>
    <w:p w14:paraId="51BAE952" w14:textId="77777777" w:rsidR="00F368B6" w:rsidRDefault="00F368B6" w:rsidP="00D31C39">
      <w:pPr>
        <w:pStyle w:val="100"/>
        <w:rPr>
          <w:rtl/>
        </w:rPr>
      </w:pPr>
      <w:r>
        <w:rPr>
          <w:rFonts w:hint="cs"/>
          <w:rtl/>
        </w:rPr>
        <w:t xml:space="preserve">מנתונים שהתקבלו מהנהלת בתי המשפט עולה כי משנת 2016 ועד אוגוסט 2019 התקבלו כ-550 בקשות בנוגע לעבירות מתחום הלבנת ההון, הפשיעה המאורגנת והטרור, שהן כ-52% מסך כל הבקשות הנכנסות. </w:t>
      </w:r>
      <w:r w:rsidRPr="000A758D">
        <w:rPr>
          <w:rtl/>
        </w:rPr>
        <w:t xml:space="preserve">בשנת 2016 </w:t>
      </w:r>
      <w:r>
        <w:rPr>
          <w:rtl/>
        </w:rPr>
        <w:t xml:space="preserve">ממוצע </w:t>
      </w:r>
      <w:r>
        <w:rPr>
          <w:rFonts w:hint="cs"/>
          <w:rtl/>
        </w:rPr>
        <w:t>משך הטיפול של הנהלת בתי המשפט בבקשה לפני שנסגרה (כולל בקשות שטרם נסגרו)</w:t>
      </w:r>
      <w:r w:rsidRPr="000A758D">
        <w:rPr>
          <w:rtl/>
        </w:rPr>
        <w:t xml:space="preserve"> היה</w:t>
      </w:r>
      <w:r>
        <w:rPr>
          <w:rtl/>
        </w:rPr>
        <w:t xml:space="preserve"> </w:t>
      </w:r>
      <w:r w:rsidRPr="000A758D">
        <w:rPr>
          <w:rtl/>
        </w:rPr>
        <w:t xml:space="preserve">816 </w:t>
      </w:r>
      <w:r>
        <w:rPr>
          <w:rFonts w:hint="cs"/>
          <w:rtl/>
        </w:rPr>
        <w:t>ימים.</w:t>
      </w:r>
      <w:r w:rsidRPr="00B90E87">
        <w:rPr>
          <w:rFonts w:hint="eastAsia"/>
          <w:rtl/>
        </w:rPr>
        <w:t xml:space="preserve"> </w:t>
      </w:r>
    </w:p>
    <w:p w14:paraId="2E97E1AA" w14:textId="77777777" w:rsidR="00F368B6" w:rsidRDefault="00F368B6" w:rsidP="00D31C39">
      <w:pPr>
        <w:pStyle w:val="af1"/>
        <w:rPr>
          <w:rtl/>
        </w:rPr>
      </w:pPr>
      <w:r w:rsidRPr="00275B50">
        <w:rPr>
          <w:rFonts w:hint="eastAsia"/>
          <w:rtl/>
        </w:rPr>
        <w:t>יוער</w:t>
      </w:r>
      <w:r w:rsidRPr="00275B50">
        <w:rPr>
          <w:rtl/>
        </w:rPr>
        <w:t xml:space="preserve"> </w:t>
      </w:r>
      <w:r w:rsidRPr="00275B50">
        <w:rPr>
          <w:rFonts w:hint="eastAsia"/>
          <w:rtl/>
        </w:rPr>
        <w:t>כי</w:t>
      </w:r>
      <w:r w:rsidRPr="00275B50">
        <w:rPr>
          <w:rtl/>
        </w:rPr>
        <w:t xml:space="preserve"> </w:t>
      </w:r>
      <w:r>
        <w:rPr>
          <w:rFonts w:hint="cs"/>
          <w:rtl/>
        </w:rPr>
        <w:t xml:space="preserve">מסד </w:t>
      </w:r>
      <w:r w:rsidRPr="00275B50">
        <w:rPr>
          <w:rFonts w:hint="eastAsia"/>
          <w:rtl/>
        </w:rPr>
        <w:t>ה</w:t>
      </w:r>
      <w:r w:rsidRPr="00275B50">
        <w:rPr>
          <w:rtl/>
        </w:rPr>
        <w:t>נתוני</w:t>
      </w:r>
      <w:r w:rsidRPr="00275B50">
        <w:rPr>
          <w:rFonts w:hint="eastAsia"/>
          <w:rtl/>
        </w:rPr>
        <w:t>ם</w:t>
      </w:r>
      <w:r w:rsidRPr="00275B50">
        <w:rPr>
          <w:rtl/>
        </w:rPr>
        <w:t xml:space="preserve"> שנמסר לידי </w:t>
      </w:r>
      <w:r w:rsidRPr="00275B50">
        <w:rPr>
          <w:rFonts w:hint="eastAsia"/>
          <w:rtl/>
        </w:rPr>
        <w:t>צוות</w:t>
      </w:r>
      <w:r w:rsidRPr="00275B50">
        <w:rPr>
          <w:rtl/>
        </w:rPr>
        <w:t xml:space="preserve"> הביקורת </w:t>
      </w:r>
      <w:r w:rsidRPr="00275B50">
        <w:rPr>
          <w:rFonts w:hint="eastAsia"/>
          <w:rtl/>
        </w:rPr>
        <w:t>מהמחלקה</w:t>
      </w:r>
      <w:r w:rsidRPr="00275B50">
        <w:rPr>
          <w:rtl/>
        </w:rPr>
        <w:t xml:space="preserve"> </w:t>
      </w:r>
      <w:r w:rsidRPr="00275B50">
        <w:rPr>
          <w:rFonts w:hint="eastAsia"/>
          <w:rtl/>
        </w:rPr>
        <w:t>לסיוע</w:t>
      </w:r>
      <w:r w:rsidRPr="00275B50">
        <w:rPr>
          <w:rtl/>
        </w:rPr>
        <w:t xml:space="preserve"> למ</w:t>
      </w:r>
      <w:r>
        <w:rPr>
          <w:rtl/>
        </w:rPr>
        <w:t>דינות זרות בהנהלת בתי המשפט אינ</w:t>
      </w:r>
      <w:r>
        <w:rPr>
          <w:rFonts w:hint="cs"/>
          <w:rtl/>
        </w:rPr>
        <w:t>ו</w:t>
      </w:r>
      <w:r w:rsidRPr="00275B50">
        <w:rPr>
          <w:rtl/>
        </w:rPr>
        <w:t xml:space="preserve"> מאפשר לקבל תמונה שלמה ומהימנה </w:t>
      </w:r>
      <w:r>
        <w:rPr>
          <w:rFonts w:hint="cs"/>
          <w:rtl/>
        </w:rPr>
        <w:t>ש</w:t>
      </w:r>
      <w:r w:rsidRPr="00275B50">
        <w:rPr>
          <w:rtl/>
        </w:rPr>
        <w:t xml:space="preserve">ל היקף הפעילות ולוחות הזמנים של המחלקה. </w:t>
      </w:r>
      <w:r w:rsidRPr="00275B50">
        <w:rPr>
          <w:rFonts w:hint="eastAsia"/>
          <w:rtl/>
        </w:rPr>
        <w:t>עבודת</w:t>
      </w:r>
      <w:r w:rsidRPr="00275B50">
        <w:rPr>
          <w:rtl/>
        </w:rPr>
        <w:t xml:space="preserve"> </w:t>
      </w:r>
      <w:r w:rsidRPr="00275B50">
        <w:rPr>
          <w:rFonts w:ascii="Arial" w:hAnsi="Arial" w:hint="eastAsia"/>
          <w:rtl/>
        </w:rPr>
        <w:t>המחלקה</w:t>
      </w:r>
      <w:r w:rsidRPr="00275B50">
        <w:rPr>
          <w:rFonts w:ascii="Arial" w:hAnsi="Arial"/>
          <w:rtl/>
        </w:rPr>
        <w:t xml:space="preserve"> איננה ממוחשבת</w:t>
      </w:r>
      <w:r>
        <w:rPr>
          <w:rFonts w:ascii="Arial" w:hAnsi="Arial" w:hint="cs"/>
          <w:rtl/>
        </w:rPr>
        <w:t>,</w:t>
      </w:r>
      <w:r w:rsidRPr="00275B50">
        <w:rPr>
          <w:rFonts w:ascii="Arial" w:hAnsi="Arial"/>
          <w:rtl/>
        </w:rPr>
        <w:t xml:space="preserve"> וכל החומר המגיע </w:t>
      </w:r>
      <w:r>
        <w:rPr>
          <w:rFonts w:ascii="Arial" w:hAnsi="Arial" w:hint="cs"/>
          <w:rtl/>
        </w:rPr>
        <w:t>אליה</w:t>
      </w:r>
      <w:r w:rsidRPr="00275B50">
        <w:rPr>
          <w:rFonts w:ascii="Arial" w:hAnsi="Arial"/>
          <w:rtl/>
        </w:rPr>
        <w:t xml:space="preserve"> מטופל בשיטה ידנית</w:t>
      </w:r>
      <w:r w:rsidRPr="00275B50">
        <w:rPr>
          <w:rtl/>
        </w:rPr>
        <w:t>.</w:t>
      </w:r>
      <w:r>
        <w:rPr>
          <w:rFonts w:hint="cs"/>
          <w:rtl/>
        </w:rPr>
        <w:t xml:space="preserve"> </w:t>
      </w:r>
    </w:p>
    <w:p w14:paraId="3940C2FC" w14:textId="77777777" w:rsidR="00F368B6" w:rsidRDefault="00F368B6" w:rsidP="00D31C39">
      <w:pPr>
        <w:pStyle w:val="100"/>
        <w:rPr>
          <w:rtl/>
        </w:rPr>
      </w:pPr>
      <w:r>
        <w:rPr>
          <w:rFonts w:hint="cs"/>
          <w:rtl/>
        </w:rPr>
        <w:t>הנהלת בתי המשפט מסרה כי בשנת</w:t>
      </w:r>
      <w:r w:rsidRPr="000A758D">
        <w:rPr>
          <w:rtl/>
        </w:rPr>
        <w:t xml:space="preserve"> 2019 </w:t>
      </w:r>
      <w:r>
        <w:rPr>
          <w:rFonts w:hint="cs"/>
          <w:rtl/>
        </w:rPr>
        <w:t>קוצר משמעותית ממוצע משך הטיפול בבקשות הנכנסות.</w:t>
      </w:r>
    </w:p>
    <w:p w14:paraId="009FC57C" w14:textId="77777777" w:rsidR="00F368B6" w:rsidRPr="00F55C5D" w:rsidRDefault="00F368B6" w:rsidP="00D31C39">
      <w:pPr>
        <w:pStyle w:val="af1"/>
        <w:rPr>
          <w:rtl/>
        </w:rPr>
      </w:pPr>
      <w:r w:rsidRPr="00426979">
        <w:rPr>
          <w:rFonts w:hint="cs"/>
          <w:rtl/>
        </w:rPr>
        <w:t xml:space="preserve">מהביקורת עלה כי נכון למועד </w:t>
      </w:r>
      <w:r w:rsidRPr="00426979">
        <w:rPr>
          <w:rFonts w:hint="eastAsia"/>
          <w:rtl/>
        </w:rPr>
        <w:t>סיו</w:t>
      </w:r>
      <w:r>
        <w:rPr>
          <w:rFonts w:hint="cs"/>
          <w:rtl/>
        </w:rPr>
        <w:t>מה</w:t>
      </w:r>
      <w:r w:rsidRPr="00426979">
        <w:rPr>
          <w:rtl/>
        </w:rPr>
        <w:t xml:space="preserve"> </w:t>
      </w:r>
      <w:r w:rsidRPr="00426979">
        <w:rPr>
          <w:rFonts w:hint="cs"/>
          <w:rtl/>
        </w:rPr>
        <w:t>לא הסתיים הטיפול ב</w:t>
      </w:r>
      <w:r w:rsidRPr="00426979">
        <w:rPr>
          <w:rtl/>
        </w:rPr>
        <w:t>מרבית</w:t>
      </w:r>
      <w:r w:rsidRPr="00426979">
        <w:rPr>
          <w:rFonts w:hint="cs"/>
          <w:rtl/>
        </w:rPr>
        <w:t xml:space="preserve"> הבקשות. יצוין כ</w:t>
      </w:r>
      <w:r w:rsidRPr="00955B38">
        <w:rPr>
          <w:rFonts w:hint="eastAsia"/>
          <w:rtl/>
        </w:rPr>
        <w:t>י</w:t>
      </w:r>
      <w:r w:rsidRPr="00955B38">
        <w:rPr>
          <w:rtl/>
        </w:rPr>
        <w:t xml:space="preserve"> </w:t>
      </w:r>
      <w:r w:rsidRPr="00955B38">
        <w:rPr>
          <w:rFonts w:hint="eastAsia"/>
          <w:rtl/>
        </w:rPr>
        <w:t>המלצה</w:t>
      </w:r>
      <w:r w:rsidRPr="00955B38">
        <w:rPr>
          <w:rtl/>
        </w:rPr>
        <w:t xml:space="preserve"> </w:t>
      </w:r>
      <w:r w:rsidRPr="00955B38">
        <w:rPr>
          <w:rFonts w:hint="eastAsia"/>
          <w:rtl/>
        </w:rPr>
        <w:t>להמשיך</w:t>
      </w:r>
      <w:r w:rsidRPr="00955B38">
        <w:rPr>
          <w:rtl/>
        </w:rPr>
        <w:t xml:space="preserve"> </w:t>
      </w:r>
      <w:r w:rsidRPr="00955B38">
        <w:rPr>
          <w:rFonts w:hint="eastAsia"/>
          <w:rtl/>
        </w:rPr>
        <w:t>לטפל</w:t>
      </w:r>
      <w:r w:rsidRPr="00955B38">
        <w:rPr>
          <w:rtl/>
        </w:rPr>
        <w:t xml:space="preserve"> בעיכוב המענה לבקשות לעזרה משפטית ובקשות הסגרה נכללה </w:t>
      </w:r>
      <w:r w:rsidRPr="00955B38">
        <w:rPr>
          <w:rFonts w:hint="eastAsia"/>
          <w:rtl/>
        </w:rPr>
        <w:t>ב</w:t>
      </w:r>
      <w:r w:rsidRPr="00955B38">
        <w:rPr>
          <w:rtl/>
        </w:rPr>
        <w:t xml:space="preserve">דוח </w:t>
      </w:r>
      <w:r w:rsidRPr="00955B38">
        <w:rPr>
          <w:rFonts w:hint="eastAsia"/>
          <w:rtl/>
        </w:rPr>
        <w:t>ה</w:t>
      </w:r>
      <w:r w:rsidRPr="00955B38">
        <w:rPr>
          <w:rtl/>
        </w:rPr>
        <w:t>-</w:t>
      </w:r>
      <w:r w:rsidRPr="00203E14">
        <w:rPr>
          <w:rFonts w:asciiTheme="majorBidi" w:hAnsiTheme="majorBidi" w:cstheme="majorBidi"/>
        </w:rPr>
        <w:t>FATF</w:t>
      </w:r>
      <w:r w:rsidRPr="004915E3">
        <w:rPr>
          <w:rFonts w:hint="cs"/>
          <w:rtl/>
        </w:rPr>
        <w:t>, ב</w:t>
      </w:r>
      <w:r w:rsidRPr="004915E3">
        <w:rPr>
          <w:rFonts w:hint="eastAsia"/>
          <w:rtl/>
        </w:rPr>
        <w:t>פרק</w:t>
      </w:r>
      <w:r w:rsidRPr="004915E3">
        <w:rPr>
          <w:rtl/>
        </w:rPr>
        <w:t xml:space="preserve"> </w:t>
      </w:r>
      <w:r w:rsidRPr="004915E3">
        <w:rPr>
          <w:rFonts w:hint="cs"/>
          <w:rtl/>
        </w:rPr>
        <w:t>ה</w:t>
      </w:r>
      <w:r w:rsidRPr="004915E3">
        <w:rPr>
          <w:rFonts w:hint="eastAsia"/>
          <w:rtl/>
        </w:rPr>
        <w:t>המלצות</w:t>
      </w:r>
      <w:r w:rsidRPr="004915E3">
        <w:rPr>
          <w:rtl/>
        </w:rPr>
        <w:t xml:space="preserve"> </w:t>
      </w:r>
      <w:r w:rsidRPr="004915E3">
        <w:rPr>
          <w:rFonts w:hint="eastAsia"/>
          <w:rtl/>
        </w:rPr>
        <w:t>שנקבעו</w:t>
      </w:r>
      <w:r w:rsidRPr="004915E3">
        <w:rPr>
          <w:rtl/>
        </w:rPr>
        <w:t xml:space="preserve"> לביצוע בעדיפות גבוהה (</w:t>
      </w:r>
      <w:r w:rsidRPr="00894EDE">
        <w:rPr>
          <w:rFonts w:cs="Times New Roman"/>
        </w:rPr>
        <w:t>Priority Actions</w:t>
      </w:r>
      <w:r w:rsidRPr="004915E3">
        <w:rPr>
          <w:rtl/>
        </w:rPr>
        <w:t>)</w:t>
      </w:r>
      <w:r w:rsidRPr="00F55C5D">
        <w:rPr>
          <w:rtl/>
        </w:rPr>
        <w:t>.</w:t>
      </w:r>
    </w:p>
    <w:p w14:paraId="09162414" w14:textId="77777777" w:rsidR="00F368B6" w:rsidRDefault="00F368B6" w:rsidP="00D31C39">
      <w:pPr>
        <w:pStyle w:val="100"/>
        <w:rPr>
          <w:rtl/>
        </w:rPr>
      </w:pPr>
      <w:r>
        <w:rPr>
          <w:rFonts w:hint="cs"/>
          <w:rtl/>
        </w:rPr>
        <w:t>הנהלת בתי המשפט מסרה בתשובתה כי היא מצויה בעיצומו של תהליך אפיון הסבת תהליכי העבודה למערכת ממוחשבת, שיאפשר למחלקה לסיוע למדינות זרות להפיק דוחות ממוחשבים, ובהם היקף פעילות המחלקה ומשך הזמן לטיפול בכל אחת מנקודות הציון שיוגדרו. עם זאת, מאחר שתהליך האפיון של הדיונים המגיעים מהרשות המוסמכת בחו"ל מתועד במערכת הממוחשבת של הנהלת בתי המשפט בהגדרה כללית לפי סוג ההליך, ספק אם המערכת תאפשר הפקת נתונים ספציפיים בהתאם להמלצת משרד מבקר המדינה.</w:t>
      </w:r>
    </w:p>
    <w:p w14:paraId="1AF8CBDE" w14:textId="77777777" w:rsidR="00F368B6" w:rsidRPr="00DD149F" w:rsidRDefault="00F368B6" w:rsidP="00D31C39">
      <w:pPr>
        <w:pStyle w:val="af1"/>
        <w:rPr>
          <w:rtl/>
        </w:rPr>
      </w:pPr>
      <w:r w:rsidRPr="00DD149F">
        <w:rPr>
          <w:rFonts w:hint="cs"/>
          <w:rtl/>
        </w:rPr>
        <w:lastRenderedPageBreak/>
        <w:t>נוכח החשיבות שבקיום מסד נתונים אפקטיבי</w:t>
      </w:r>
      <w:r>
        <w:rPr>
          <w:rFonts w:hint="cs"/>
          <w:rtl/>
        </w:rPr>
        <w:t>,</w:t>
      </w:r>
      <w:r w:rsidRPr="00DD149F">
        <w:rPr>
          <w:rFonts w:hint="cs"/>
          <w:rtl/>
        </w:rPr>
        <w:t xml:space="preserve"> מוצע לשקול הוספת אפיון וסיווג של סוג ההליך.</w:t>
      </w:r>
    </w:p>
    <w:p w14:paraId="1E7BE058" w14:textId="77777777" w:rsidR="00F368B6" w:rsidRPr="00EB0D43" w:rsidRDefault="00F368B6" w:rsidP="001F466F">
      <w:pPr>
        <w:pStyle w:val="100"/>
      </w:pPr>
      <w:r>
        <w:rPr>
          <w:rFonts w:hint="cs"/>
          <w:rtl/>
        </w:rPr>
        <w:t>לשם שלמות התמונה יובהר</w:t>
      </w:r>
      <w:r w:rsidRPr="00EB0D43">
        <w:rPr>
          <w:rFonts w:hint="cs"/>
          <w:rtl/>
        </w:rPr>
        <w:t xml:space="preserve"> כי ביחס לבקשות נכנסות, המצב המשפטי כיום אינו מאפשר לאכוף תפיסה וחילוט בשווי</w:t>
      </w:r>
      <w:r>
        <w:rPr>
          <w:rFonts w:hint="cs"/>
          <w:rtl/>
        </w:rPr>
        <w:t xml:space="preserve"> במסגרת בקשה לעזרה משפטית </w:t>
      </w:r>
      <w:r w:rsidRPr="00EB0D43">
        <w:rPr>
          <w:rFonts w:hint="cs"/>
          <w:rtl/>
        </w:rPr>
        <w:t>(בניגוד לתפיסה וחילוט בשווי שאפשריים על פי הדין המקומי).</w:t>
      </w:r>
      <w:r>
        <w:rPr>
          <w:rFonts w:hint="cs"/>
          <w:rtl/>
        </w:rPr>
        <w:t xml:space="preserve"> </w:t>
      </w:r>
      <w:r w:rsidRPr="00EB0D43">
        <w:rPr>
          <w:rFonts w:hint="cs"/>
          <w:rtl/>
        </w:rPr>
        <w:t xml:space="preserve">ביוני 2018 </w:t>
      </w:r>
      <w:r w:rsidRPr="00EB0D43">
        <w:rPr>
          <w:rtl/>
        </w:rPr>
        <w:t>פורסם תזכיר חוק עזרה משפטית (חילוט בשווי והסרת</w:t>
      </w:r>
      <w:r>
        <w:rPr>
          <w:rtl/>
        </w:rPr>
        <w:t xml:space="preserve"> דרישת התחייבות), התשע"ח-2018</w:t>
      </w:r>
      <w:r>
        <w:rPr>
          <w:rFonts w:hint="cs"/>
          <w:rtl/>
        </w:rPr>
        <w:t xml:space="preserve">, </w:t>
      </w:r>
      <w:r w:rsidRPr="00EB0D43">
        <w:rPr>
          <w:rtl/>
        </w:rPr>
        <w:t xml:space="preserve">אשר נועד להרחיב את </w:t>
      </w:r>
      <w:r>
        <w:rPr>
          <w:rFonts w:hint="cs"/>
          <w:rtl/>
        </w:rPr>
        <w:t>סמכות</w:t>
      </w:r>
      <w:r w:rsidRPr="00EB0D43">
        <w:rPr>
          <w:rtl/>
        </w:rPr>
        <w:t xml:space="preserve"> מערכת המשפט הישראלית לאכוף צו חילוט זר אשר ניתן לג</w:t>
      </w:r>
      <w:r>
        <w:rPr>
          <w:rtl/>
        </w:rPr>
        <w:t>בי רכוש הנמצא בישר</w:t>
      </w:r>
      <w:r>
        <w:rPr>
          <w:rFonts w:hint="cs"/>
          <w:rtl/>
        </w:rPr>
        <w:t>אל.</w:t>
      </w:r>
      <w:r w:rsidRPr="00EB0D43">
        <w:t> </w:t>
      </w:r>
    </w:p>
    <w:p w14:paraId="53EAA3C2" w14:textId="77777777" w:rsidR="00F368B6" w:rsidRPr="00DD149F" w:rsidRDefault="00F368B6" w:rsidP="001F466F">
      <w:pPr>
        <w:pStyle w:val="100"/>
        <w:rPr>
          <w:rFonts w:asciiTheme="minorBidi" w:hAnsiTheme="minorBidi"/>
          <w:rtl/>
        </w:rPr>
      </w:pPr>
      <w:r w:rsidRPr="00DD149F">
        <w:rPr>
          <w:rtl/>
        </w:rPr>
        <w:t xml:space="preserve">משנת 2016 </w:t>
      </w:r>
      <w:r w:rsidRPr="00DD149F">
        <w:rPr>
          <w:rFonts w:hint="cs"/>
          <w:rtl/>
        </w:rPr>
        <w:t>ועד מועד סיום הביקורת,</w:t>
      </w:r>
      <w:r>
        <w:rPr>
          <w:rFonts w:hint="cs"/>
          <w:rtl/>
        </w:rPr>
        <w:t xml:space="preserve"> מתוך שש בקשות שהתקבלו ממדינות זרות</w:t>
      </w:r>
      <w:r w:rsidRPr="00DD149F">
        <w:rPr>
          <w:rFonts w:hint="cs"/>
          <w:rtl/>
        </w:rPr>
        <w:t xml:space="preserve"> רק </w:t>
      </w:r>
      <w:r w:rsidRPr="00DD149F">
        <w:rPr>
          <w:rtl/>
        </w:rPr>
        <w:t xml:space="preserve">בקשה </w:t>
      </w:r>
      <w:r w:rsidRPr="00DD149F">
        <w:rPr>
          <w:rFonts w:hint="cs"/>
          <w:rtl/>
        </w:rPr>
        <w:t xml:space="preserve">אחת </w:t>
      </w:r>
      <w:r w:rsidRPr="00DD149F">
        <w:rPr>
          <w:rtl/>
        </w:rPr>
        <w:t>הסתיי</w:t>
      </w:r>
      <w:r w:rsidRPr="00DD149F">
        <w:rPr>
          <w:rFonts w:hint="cs"/>
          <w:rtl/>
        </w:rPr>
        <w:t xml:space="preserve">מה </w:t>
      </w:r>
      <w:r w:rsidRPr="00DD149F">
        <w:rPr>
          <w:rtl/>
        </w:rPr>
        <w:t>בהע</w:t>
      </w:r>
      <w:r w:rsidRPr="00DD149F">
        <w:rPr>
          <w:rFonts w:hint="cs"/>
          <w:rtl/>
        </w:rPr>
        <w:t>ברת תמורה כספית אל אותה ה</w:t>
      </w:r>
      <w:r w:rsidRPr="00DD149F">
        <w:rPr>
          <w:rtl/>
        </w:rPr>
        <w:t>מדינה.</w:t>
      </w:r>
      <w:r w:rsidRPr="00DD149F">
        <w:rPr>
          <w:rFonts w:asciiTheme="minorBidi" w:hAnsiTheme="minorBidi" w:hint="cs"/>
          <w:rtl/>
        </w:rPr>
        <w:t xml:space="preserve"> </w:t>
      </w:r>
    </w:p>
    <w:p w14:paraId="7008E846" w14:textId="77777777" w:rsidR="00F368B6" w:rsidRPr="007F27F5" w:rsidRDefault="00F368B6" w:rsidP="001F466F">
      <w:pPr>
        <w:pStyle w:val="100"/>
        <w:rPr>
          <w:rFonts w:asciiTheme="minorBidi" w:hAnsiTheme="minorBidi"/>
          <w:rtl/>
        </w:rPr>
      </w:pPr>
      <w:r w:rsidRPr="007F27F5">
        <w:rPr>
          <w:rFonts w:asciiTheme="minorBidi" w:hAnsiTheme="minorBidi" w:hint="eastAsia"/>
          <w:rtl/>
        </w:rPr>
        <w:t>הפרקליטות</w:t>
      </w:r>
      <w:r w:rsidRPr="007F27F5">
        <w:rPr>
          <w:rFonts w:asciiTheme="minorBidi" w:hAnsiTheme="minorBidi"/>
          <w:rtl/>
        </w:rPr>
        <w:t xml:space="preserve"> כתבה בתשובתה כי כדי לנקוט פעולות לייעול יכולתה של ישראל לסייע באכיפת צווי חילוט זרים</w:t>
      </w:r>
      <w:r>
        <w:rPr>
          <w:rFonts w:asciiTheme="minorBidi" w:hAnsiTheme="minorBidi" w:hint="cs"/>
          <w:rtl/>
        </w:rPr>
        <w:t>,</w:t>
      </w:r>
      <w:r w:rsidRPr="007F27F5">
        <w:rPr>
          <w:rFonts w:asciiTheme="minorBidi" w:hAnsiTheme="minorBidi"/>
          <w:rtl/>
        </w:rPr>
        <w:t xml:space="preserve"> יש צורך </w:t>
      </w:r>
      <w:r w:rsidRPr="007F27F5">
        <w:rPr>
          <w:rFonts w:asciiTheme="minorBidi" w:hAnsiTheme="minorBidi" w:hint="eastAsia"/>
          <w:rtl/>
        </w:rPr>
        <w:t>בהסרת</w:t>
      </w:r>
      <w:r w:rsidRPr="007F27F5">
        <w:rPr>
          <w:rFonts w:asciiTheme="minorBidi" w:hAnsiTheme="minorBidi"/>
          <w:rtl/>
        </w:rPr>
        <w:t xml:space="preserve"> חסם באמצעות </w:t>
      </w:r>
      <w:r w:rsidRPr="007F27F5">
        <w:rPr>
          <w:rFonts w:asciiTheme="minorBidi" w:hAnsiTheme="minorBidi" w:hint="eastAsia"/>
          <w:rtl/>
        </w:rPr>
        <w:t>תיקון</w:t>
      </w:r>
      <w:r w:rsidRPr="007F27F5">
        <w:rPr>
          <w:rFonts w:asciiTheme="minorBidi" w:hAnsiTheme="minorBidi"/>
          <w:rtl/>
        </w:rPr>
        <w:t xml:space="preserve"> </w:t>
      </w:r>
      <w:r w:rsidRPr="007F27F5">
        <w:rPr>
          <w:rFonts w:asciiTheme="minorBidi" w:hAnsiTheme="minorBidi" w:hint="eastAsia"/>
          <w:rtl/>
        </w:rPr>
        <w:t>חוק</w:t>
      </w:r>
      <w:r w:rsidRPr="007F27F5">
        <w:rPr>
          <w:rFonts w:asciiTheme="minorBidi" w:hAnsiTheme="minorBidi"/>
          <w:rtl/>
        </w:rPr>
        <w:t xml:space="preserve"> </w:t>
      </w:r>
      <w:r w:rsidRPr="007F27F5">
        <w:rPr>
          <w:rFonts w:asciiTheme="minorBidi" w:hAnsiTheme="minorBidi" w:hint="eastAsia"/>
          <w:rtl/>
        </w:rPr>
        <w:t>העזרה</w:t>
      </w:r>
      <w:r w:rsidRPr="007F27F5">
        <w:rPr>
          <w:rFonts w:asciiTheme="minorBidi" w:hAnsiTheme="minorBidi"/>
          <w:rtl/>
        </w:rPr>
        <w:t xml:space="preserve"> </w:t>
      </w:r>
      <w:r w:rsidRPr="007F27F5">
        <w:rPr>
          <w:rFonts w:asciiTheme="minorBidi" w:hAnsiTheme="minorBidi" w:hint="eastAsia"/>
          <w:rtl/>
        </w:rPr>
        <w:t>המשפטית</w:t>
      </w:r>
      <w:r w:rsidRPr="007F27F5">
        <w:rPr>
          <w:rFonts w:asciiTheme="minorBidi" w:hAnsiTheme="minorBidi"/>
          <w:rtl/>
        </w:rPr>
        <w:t xml:space="preserve"> </w:t>
      </w:r>
      <w:r w:rsidRPr="007F27F5">
        <w:rPr>
          <w:rFonts w:asciiTheme="minorBidi" w:hAnsiTheme="minorBidi" w:hint="eastAsia"/>
          <w:rtl/>
        </w:rPr>
        <w:t>ביחס</w:t>
      </w:r>
      <w:r w:rsidRPr="007F27F5">
        <w:rPr>
          <w:rFonts w:asciiTheme="minorBidi" w:hAnsiTheme="minorBidi"/>
          <w:rtl/>
        </w:rPr>
        <w:t xml:space="preserve"> </w:t>
      </w:r>
      <w:r w:rsidRPr="007F27F5">
        <w:rPr>
          <w:rFonts w:asciiTheme="minorBidi" w:hAnsiTheme="minorBidi" w:hint="eastAsia"/>
          <w:rtl/>
        </w:rPr>
        <w:t>לתפיסה</w:t>
      </w:r>
      <w:r w:rsidRPr="007F27F5">
        <w:rPr>
          <w:rFonts w:asciiTheme="minorBidi" w:hAnsiTheme="minorBidi"/>
          <w:rtl/>
        </w:rPr>
        <w:t xml:space="preserve"> </w:t>
      </w:r>
      <w:r w:rsidRPr="007F27F5">
        <w:rPr>
          <w:rFonts w:asciiTheme="minorBidi" w:hAnsiTheme="minorBidi" w:hint="eastAsia"/>
          <w:rtl/>
        </w:rPr>
        <w:t>וחילוט</w:t>
      </w:r>
      <w:r w:rsidRPr="007F27F5">
        <w:rPr>
          <w:rFonts w:asciiTheme="minorBidi" w:hAnsiTheme="minorBidi"/>
          <w:rtl/>
        </w:rPr>
        <w:t xml:space="preserve"> </w:t>
      </w:r>
      <w:r w:rsidRPr="007F27F5">
        <w:rPr>
          <w:rFonts w:asciiTheme="minorBidi" w:hAnsiTheme="minorBidi" w:hint="eastAsia"/>
          <w:rtl/>
        </w:rPr>
        <w:t>ב</w:t>
      </w:r>
      <w:r w:rsidRPr="007F27F5">
        <w:rPr>
          <w:rFonts w:asciiTheme="minorBidi" w:hAnsiTheme="minorBidi"/>
          <w:rtl/>
        </w:rPr>
        <w:t>שווי.</w:t>
      </w:r>
    </w:p>
    <w:p w14:paraId="0D1ADC4C" w14:textId="77777777" w:rsidR="00F368B6" w:rsidRPr="002D019C" w:rsidRDefault="00F368B6" w:rsidP="001F466F">
      <w:pPr>
        <w:pStyle w:val="af1"/>
        <w:rPr>
          <w:rFonts w:ascii="Arial" w:hAnsi="Arial" w:cs="Arial"/>
          <w:rtl/>
        </w:rPr>
      </w:pPr>
      <w:r>
        <w:rPr>
          <w:rFonts w:hint="cs"/>
          <w:rtl/>
        </w:rPr>
        <w:t xml:space="preserve">על משרד המשפטים לנקוט פעולות לייעול יכולתה של ישראל לסייע למדינות זרות באכיפת צווי החילוט, כדי להגשים את עקרון ההדדיות ובכך גם לעודד מדינות זרות לסייע לישראל באכיפה כנגד הפשיעה החמורה. </w:t>
      </w:r>
    </w:p>
    <w:p w14:paraId="4A58422C" w14:textId="77777777" w:rsidR="00F368B6" w:rsidRPr="00E32BD3" w:rsidRDefault="00F368B6" w:rsidP="001F466F">
      <w:pPr>
        <w:pStyle w:val="100"/>
        <w:rPr>
          <w:rtl/>
        </w:rPr>
      </w:pPr>
      <w:r w:rsidRPr="001F466F">
        <w:rPr>
          <w:rStyle w:val="Heading7Char"/>
          <w:rFonts w:eastAsiaTheme="minorHAnsi" w:hint="eastAsia"/>
          <w:b/>
          <w:color w:val="004E6C"/>
          <w:spacing w:val="0"/>
          <w:rtl/>
        </w:rPr>
        <w:t>בקשות</w:t>
      </w:r>
      <w:r w:rsidRPr="001F466F">
        <w:rPr>
          <w:rStyle w:val="Heading7Char"/>
          <w:rFonts w:eastAsiaTheme="minorHAnsi"/>
          <w:b/>
          <w:color w:val="004E6C"/>
          <w:spacing w:val="0"/>
          <w:rtl/>
        </w:rPr>
        <w:t xml:space="preserve"> </w:t>
      </w:r>
      <w:r w:rsidRPr="001F466F">
        <w:rPr>
          <w:rStyle w:val="Heading7Char"/>
          <w:rFonts w:eastAsiaTheme="minorHAnsi" w:hint="eastAsia"/>
          <w:b/>
          <w:color w:val="004E6C"/>
          <w:spacing w:val="0"/>
          <w:rtl/>
        </w:rPr>
        <w:t>יוצאות</w:t>
      </w:r>
      <w:r w:rsidRPr="001F466F">
        <w:rPr>
          <w:rStyle w:val="Heading7Char"/>
          <w:rFonts w:eastAsiaTheme="minorHAnsi"/>
          <w:b/>
          <w:color w:val="004E6C"/>
          <w:spacing w:val="0"/>
          <w:rtl/>
        </w:rPr>
        <w:t>:</w:t>
      </w:r>
      <w:r w:rsidRPr="00E32BD3">
        <w:rPr>
          <w:rFonts w:ascii="FrankRuehl" w:hAnsi="FrankRuehl" w:hint="cs"/>
          <w:color w:val="000000"/>
          <w:rtl/>
        </w:rPr>
        <w:t xml:space="preserve"> הבקשות היוצאות מטעם מדינת ישראל</w:t>
      </w:r>
      <w:r w:rsidRPr="00E32BD3">
        <w:rPr>
          <w:rFonts w:hint="cs"/>
          <w:rtl/>
        </w:rPr>
        <w:t xml:space="preserve"> מטופלות במחלקה הבין-לאומית בפרקליטות המדינה. </w:t>
      </w:r>
      <w:r w:rsidRPr="00E32BD3">
        <w:rPr>
          <w:shd w:val="clear" w:color="auto" w:fill="FFFFFF"/>
          <w:rtl/>
        </w:rPr>
        <w:t>חלק ניכר מעבודת המחלקה בתחום זה הוא בעריכת הבקשות לעזרה משפטית מטעמה של ישראל ו</w:t>
      </w:r>
      <w:r>
        <w:rPr>
          <w:rFonts w:hint="cs"/>
          <w:shd w:val="clear" w:color="auto" w:fill="FFFFFF"/>
          <w:rtl/>
        </w:rPr>
        <w:t>ב</w:t>
      </w:r>
      <w:r w:rsidRPr="00E32BD3">
        <w:rPr>
          <w:shd w:val="clear" w:color="auto" w:fill="FFFFFF"/>
          <w:rtl/>
        </w:rPr>
        <w:t>מעקב אחר ביצוען במדינות השונות</w:t>
      </w:r>
      <w:r>
        <w:rPr>
          <w:rFonts w:hint="cs"/>
          <w:shd w:val="clear" w:color="auto" w:fill="FFFFFF"/>
          <w:rtl/>
        </w:rPr>
        <w:t>.</w:t>
      </w:r>
      <w:r w:rsidRPr="00E32BD3">
        <w:rPr>
          <w:shd w:val="clear" w:color="auto" w:fill="FFFFFF"/>
          <w:rtl/>
        </w:rPr>
        <w:t xml:space="preserve"> ב</w:t>
      </w:r>
      <w:r w:rsidRPr="00E32BD3">
        <w:rPr>
          <w:rFonts w:hint="cs"/>
          <w:shd w:val="clear" w:color="auto" w:fill="FFFFFF"/>
          <w:rtl/>
        </w:rPr>
        <w:t xml:space="preserve">מסגרת </w:t>
      </w:r>
      <w:r w:rsidRPr="00E32BD3">
        <w:rPr>
          <w:shd w:val="clear" w:color="auto" w:fill="FFFFFF"/>
          <w:rtl/>
        </w:rPr>
        <w:t xml:space="preserve">תפקידה זה </w:t>
      </w:r>
      <w:r>
        <w:rPr>
          <w:rFonts w:hint="cs"/>
          <w:shd w:val="clear" w:color="auto" w:fill="FFFFFF"/>
          <w:rtl/>
        </w:rPr>
        <w:t xml:space="preserve">היא </w:t>
      </w:r>
      <w:r w:rsidRPr="00E32BD3">
        <w:rPr>
          <w:shd w:val="clear" w:color="auto" w:fill="FFFFFF"/>
          <w:rtl/>
        </w:rPr>
        <w:t xml:space="preserve">פועלת בשיתוף עם גורמי החקירה והתביעה בישראל ועם הרשויות המוסמכות במדינות </w:t>
      </w:r>
      <w:r w:rsidRPr="00E32BD3">
        <w:rPr>
          <w:rFonts w:hint="cs"/>
          <w:shd w:val="clear" w:color="auto" w:fill="FFFFFF"/>
          <w:rtl/>
        </w:rPr>
        <w:t>הזרות.</w:t>
      </w:r>
      <w:r w:rsidRPr="00E32BD3">
        <w:rPr>
          <w:shd w:val="clear" w:color="auto" w:fill="FFFFFF"/>
        </w:rPr>
        <w:t xml:space="preserve"> ​</w:t>
      </w:r>
    </w:p>
    <w:p w14:paraId="17E34807" w14:textId="77777777" w:rsidR="00F368B6" w:rsidRPr="00350C9A" w:rsidRDefault="00F368B6" w:rsidP="001F466F">
      <w:pPr>
        <w:pStyle w:val="af1"/>
        <w:rPr>
          <w:rtl/>
        </w:rPr>
      </w:pPr>
      <w:r w:rsidRPr="00350C9A">
        <w:rPr>
          <w:rFonts w:hint="cs"/>
          <w:rtl/>
        </w:rPr>
        <w:t>מהביקורת עלה כי משנת 2016 ועד אוגוסט 2019 הפנתה ישראל למדינות זרות רק 22 בקשות בתחום התפיסה והחילוט.</w:t>
      </w:r>
      <w:r w:rsidRPr="00350C9A">
        <w:rPr>
          <w:rtl/>
        </w:rPr>
        <w:t xml:space="preserve"> </w:t>
      </w:r>
      <w:r w:rsidRPr="00350C9A">
        <w:rPr>
          <w:rFonts w:hint="cs"/>
          <w:rtl/>
        </w:rPr>
        <w:t xml:space="preserve">פניות נוספות של המשטרה למחלקה בתחום זה לא הבשילו לכדי בקשה בגלל חוסר בראיות או חוסר מידע על קיומם של נכסים קונקרטיים במדינה הזרה. </w:t>
      </w:r>
    </w:p>
    <w:p w14:paraId="054EFB6E" w14:textId="447CF00D" w:rsidR="00F368B6" w:rsidRDefault="00F368B6" w:rsidP="00F368B6">
      <w:pPr>
        <w:spacing w:line="269" w:lineRule="auto"/>
        <w:rPr>
          <w:rtl/>
        </w:rPr>
      </w:pPr>
    </w:p>
    <w:p w14:paraId="421057FE" w14:textId="77777777" w:rsidR="00F368B6" w:rsidRPr="00513B59" w:rsidRDefault="00F368B6" w:rsidP="001F466F">
      <w:pPr>
        <w:pStyle w:val="100"/>
      </w:pPr>
      <w:r w:rsidRPr="00513B59">
        <w:rPr>
          <w:rFonts w:hint="cs"/>
          <w:rtl/>
        </w:rPr>
        <w:t>יוער כי בידי המחלקה הבין-לאומית בפרקליטות אין נתונים על מספר הפניות הכולל ש</w:t>
      </w:r>
      <w:r>
        <w:rPr>
          <w:rFonts w:hint="cs"/>
          <w:rtl/>
        </w:rPr>
        <w:t>קיבלה</w:t>
      </w:r>
      <w:r w:rsidRPr="00513B59">
        <w:rPr>
          <w:rFonts w:hint="cs"/>
          <w:rtl/>
        </w:rPr>
        <w:t xml:space="preserve"> </w:t>
      </w:r>
      <w:r>
        <w:rPr>
          <w:rFonts w:hint="cs"/>
          <w:rtl/>
        </w:rPr>
        <w:t>מה</w:t>
      </w:r>
      <w:r w:rsidRPr="00513B59">
        <w:rPr>
          <w:rFonts w:hint="cs"/>
          <w:rtl/>
        </w:rPr>
        <w:t>משטרה בתחום התפיסה והחילוט</w:t>
      </w:r>
      <w:r>
        <w:rPr>
          <w:rFonts w:hint="cs"/>
          <w:rtl/>
        </w:rPr>
        <w:t>,</w:t>
      </w:r>
      <w:r w:rsidRPr="00513B59">
        <w:rPr>
          <w:rFonts w:hint="cs"/>
          <w:rtl/>
        </w:rPr>
        <w:t xml:space="preserve"> מאחר שעד המחצית השנייה של שנת 2019 </w:t>
      </w:r>
      <w:r>
        <w:rPr>
          <w:rFonts w:hint="cs"/>
          <w:rtl/>
        </w:rPr>
        <w:t>ה</w:t>
      </w:r>
      <w:r w:rsidRPr="00513B59">
        <w:rPr>
          <w:rFonts w:hint="cs"/>
          <w:rtl/>
        </w:rPr>
        <w:t xml:space="preserve">פניות לא סווגו באופן ספציפי תחת תחום התפיסה והחילוט. </w:t>
      </w:r>
    </w:p>
    <w:p w14:paraId="644FD036" w14:textId="7A6C2551" w:rsidR="00F368B6" w:rsidRDefault="00F368B6" w:rsidP="001F466F">
      <w:pPr>
        <w:pStyle w:val="100"/>
        <w:rPr>
          <w:rtl/>
        </w:rPr>
      </w:pPr>
      <w:r w:rsidRPr="00C825E6">
        <w:rPr>
          <w:rtl/>
        </w:rPr>
        <w:t xml:space="preserve">נכון למועד סיום הביקורת, </w:t>
      </w:r>
      <w:r w:rsidRPr="00C825E6">
        <w:rPr>
          <w:rFonts w:hint="cs"/>
          <w:rtl/>
        </w:rPr>
        <w:t>מתוך</w:t>
      </w:r>
      <w:r w:rsidRPr="00C825E6">
        <w:rPr>
          <w:rtl/>
        </w:rPr>
        <w:t xml:space="preserve"> 2</w:t>
      </w:r>
      <w:r w:rsidRPr="00C825E6">
        <w:rPr>
          <w:rFonts w:hint="cs"/>
          <w:rtl/>
        </w:rPr>
        <w:t>2</w:t>
      </w:r>
      <w:r w:rsidRPr="00C825E6">
        <w:rPr>
          <w:rtl/>
        </w:rPr>
        <w:t xml:space="preserve"> הבקשות</w:t>
      </w:r>
      <w:r w:rsidRPr="00C825E6">
        <w:rPr>
          <w:rFonts w:hint="cs"/>
          <w:rtl/>
        </w:rPr>
        <w:t>, שהיקפן הכולל גבוה מ-700 מיליון ש"ח, רק שבע בקשות הובילו במדינה זרה</w:t>
      </w:r>
      <w:r w:rsidRPr="00C825E6">
        <w:rPr>
          <w:rtl/>
        </w:rPr>
        <w:t xml:space="preserve"> </w:t>
      </w:r>
      <w:r w:rsidRPr="00C825E6">
        <w:rPr>
          <w:rFonts w:hint="cs"/>
          <w:rtl/>
        </w:rPr>
        <w:t>ל</w:t>
      </w:r>
      <w:r w:rsidRPr="00C825E6">
        <w:rPr>
          <w:rtl/>
        </w:rPr>
        <w:t>תפיסה</w:t>
      </w:r>
      <w:r w:rsidRPr="00C825E6">
        <w:rPr>
          <w:rFonts w:hint="cs"/>
          <w:rtl/>
        </w:rPr>
        <w:t xml:space="preserve"> (להבדיל מחילוט)</w:t>
      </w:r>
      <w:r w:rsidRPr="00C825E6">
        <w:rPr>
          <w:rtl/>
        </w:rPr>
        <w:t xml:space="preserve"> של רכוש</w:t>
      </w:r>
      <w:r w:rsidRPr="00C825E6">
        <w:rPr>
          <w:rFonts w:hint="cs"/>
          <w:rtl/>
        </w:rPr>
        <w:t xml:space="preserve"> </w:t>
      </w:r>
      <w:r w:rsidRPr="00C825E6">
        <w:rPr>
          <w:rtl/>
        </w:rPr>
        <w:t>שעתיד לעבור לישראל</w:t>
      </w:r>
      <w:r w:rsidRPr="00C825E6">
        <w:rPr>
          <w:rFonts w:hint="cs"/>
          <w:rtl/>
        </w:rPr>
        <w:t>, ובשווי כולל כ-</w:t>
      </w:r>
      <w:r w:rsidRPr="00C825E6">
        <w:rPr>
          <w:rtl/>
        </w:rPr>
        <w:t>30</w:t>
      </w:r>
      <w:r w:rsidRPr="00C825E6">
        <w:rPr>
          <w:rFonts w:hint="cs"/>
          <w:rtl/>
        </w:rPr>
        <w:t xml:space="preserve"> מיליון </w:t>
      </w:r>
      <w:r w:rsidRPr="00C825E6">
        <w:rPr>
          <w:rtl/>
        </w:rPr>
        <w:t>ש"ח</w:t>
      </w:r>
      <w:r w:rsidRPr="00C825E6">
        <w:rPr>
          <w:rFonts w:hint="cs"/>
          <w:rtl/>
        </w:rPr>
        <w:t xml:space="preserve">. משך הטיפול בבקשות האמורות במחלקה הבין-לאומית בפרקליטות, </w:t>
      </w:r>
      <w:r w:rsidRPr="00C825E6">
        <w:rPr>
          <w:rFonts w:hint="cs"/>
          <w:rtl/>
        </w:rPr>
        <w:lastRenderedPageBreak/>
        <w:t>ממועד קבלת הפנייה מהמשטרה ועד השליחה למדינה הזרה, נע בין טיפול מיידי לבין 12 חודשים</w:t>
      </w:r>
      <w:r>
        <w:rPr>
          <w:rStyle w:val="FootnoteReference"/>
          <w:rFonts w:asciiTheme="minorBidi" w:hAnsiTheme="minorBidi"/>
          <w:sz w:val="24"/>
          <w:rtl/>
        </w:rPr>
        <w:footnoteReference w:id="61"/>
      </w:r>
      <w:r w:rsidR="004F698A">
        <w:rPr>
          <w:rFonts w:hint="cs"/>
          <w:rtl/>
        </w:rPr>
        <w:t>.</w:t>
      </w:r>
    </w:p>
    <w:p w14:paraId="71A81E66" w14:textId="77777777" w:rsidR="00F368B6" w:rsidRPr="00657FEE" w:rsidRDefault="00F368B6" w:rsidP="001F466F">
      <w:pPr>
        <w:pStyle w:val="100"/>
        <w:rPr>
          <w:rtl/>
        </w:rPr>
      </w:pPr>
      <w:r>
        <w:rPr>
          <w:rFonts w:hint="cs"/>
          <w:rtl/>
        </w:rPr>
        <w:t>באוקטובר 2018 ציינה נציגת המחלקה בפני פורום החילוט של גופי האכיפה כי ההליכים לפי חוק עזרה משפטית הם על פי רוב איטיים, ותיארה דרכים יעילות ומהירות יותר "להקפיא נכסים" לכמה ימים עד השלמת דרישות המדינה שבה נמצא הרכוש. לעמדת רשלא"ה יש לקדם בישראל סמכות להקפיא עסקאות חשודות - סמכות שבמדינות אחרות כבר נתונה לרשויות למודיעין פיננסי.</w:t>
      </w:r>
    </w:p>
    <w:p w14:paraId="635EB3E6" w14:textId="77777777" w:rsidR="00F368B6" w:rsidRDefault="00F368B6" w:rsidP="001F466F">
      <w:pPr>
        <w:pStyle w:val="100"/>
        <w:rPr>
          <w:rtl/>
        </w:rPr>
      </w:pPr>
      <w:r>
        <w:rPr>
          <w:rFonts w:hint="cs"/>
          <w:rtl/>
        </w:rPr>
        <w:t>צווי חילוט הוצאו רק במסגרת שתי בקשות ישנות שנשלחו למדינות זרות בשנים 2011 ו-2012, בשווי כולל של כ-24.5 מיליון ש"ח. בשתי הבקשות צווי החילוט התקבלו ב-2017 והמדינה הזרה טרם אכפה אותם סופית, כך שעדיין לא הועברו כספים לישראל. יצוין כי גם לאחר אכיפת צו החילוט, על פי הנוהג המקובל, המדינה הזרה יכולה להשאיר ברשותה עד כ-50% מהסכום שחולט.</w:t>
      </w:r>
    </w:p>
    <w:p w14:paraId="7FBF763F" w14:textId="77777777" w:rsidR="00F368B6" w:rsidRDefault="00F368B6" w:rsidP="001F466F">
      <w:pPr>
        <w:pStyle w:val="af1"/>
        <w:rPr>
          <w:rtl/>
        </w:rPr>
      </w:pPr>
      <w:r w:rsidRPr="006B3BBB">
        <w:rPr>
          <w:rtl/>
        </w:rPr>
        <w:t xml:space="preserve">נמצא כי עד מועד סיום הביקורת לא הועברו כספים </w:t>
      </w:r>
      <w:r>
        <w:rPr>
          <w:rFonts w:hint="cs"/>
          <w:rtl/>
        </w:rPr>
        <w:t xml:space="preserve">כלשהם </w:t>
      </w:r>
      <w:r w:rsidRPr="006B3BBB">
        <w:rPr>
          <w:rtl/>
        </w:rPr>
        <w:t xml:space="preserve">ממדינה זרה לקרן החילוט, </w:t>
      </w:r>
      <w:r>
        <w:rPr>
          <w:rFonts w:hint="cs"/>
          <w:rtl/>
        </w:rPr>
        <w:t>שמקורם בתפיסות מחוץ לישראל בהליכי חילוט</w:t>
      </w:r>
      <w:r w:rsidRPr="006B3BBB">
        <w:rPr>
          <w:rtl/>
        </w:rPr>
        <w:t>.</w:t>
      </w:r>
      <w:r>
        <w:rPr>
          <w:rFonts w:hint="cs"/>
          <w:rtl/>
        </w:rPr>
        <w:t xml:space="preserve"> לשם השוואה, מדינות שונות בעולם מצליחות לחלט כספים רבים הנמצאים מחוץ לגבולותיהן.</w:t>
      </w:r>
    </w:p>
    <w:p w14:paraId="763E703E" w14:textId="77777777" w:rsidR="00F368B6" w:rsidRDefault="00F368B6" w:rsidP="001F466F">
      <w:pPr>
        <w:pStyle w:val="100"/>
        <w:rPr>
          <w:rtl/>
        </w:rPr>
      </w:pPr>
      <w:r>
        <w:rPr>
          <w:rFonts w:hint="cs"/>
          <w:rtl/>
        </w:rPr>
        <w:t>לדוגמה, משנת 2013 קיבלה בריטניה</w:t>
      </w:r>
      <w:r w:rsidRPr="003C2E70">
        <w:rPr>
          <w:rFonts w:hint="cs"/>
          <w:rtl/>
        </w:rPr>
        <w:t xml:space="preserve"> יותר מ-23 מיליון ליש"ט בעקבות חילוטים שבוצעו עבורה במדינות שונות. בשנים 2014 עד 2016 העבירה </w:t>
      </w:r>
      <w:r>
        <w:rPr>
          <w:rFonts w:hint="cs"/>
          <w:rtl/>
        </w:rPr>
        <w:t>בריטניה</w:t>
      </w:r>
      <w:r w:rsidRPr="003C2E70">
        <w:rPr>
          <w:rFonts w:hint="cs"/>
          <w:rtl/>
        </w:rPr>
        <w:t xml:space="preserve"> רכוש שחילטה</w:t>
      </w:r>
      <w:r>
        <w:rPr>
          <w:rFonts w:hint="cs"/>
          <w:rtl/>
        </w:rPr>
        <w:t xml:space="preserve"> בהיקף של 47 מיליון ליש"ט למדינות אחרות</w:t>
      </w:r>
      <w:r>
        <w:rPr>
          <w:rStyle w:val="FootnoteReference"/>
          <w:rFonts w:asciiTheme="minorBidi" w:hAnsiTheme="minorBidi"/>
          <w:b/>
          <w:sz w:val="24"/>
          <w:rtl/>
        </w:rPr>
        <w:footnoteReference w:id="62"/>
      </w:r>
      <w:r>
        <w:rPr>
          <w:rFonts w:hint="cs"/>
          <w:rtl/>
        </w:rPr>
        <w:t xml:space="preserve">. </w:t>
      </w:r>
    </w:p>
    <w:p w14:paraId="40978775" w14:textId="77777777" w:rsidR="00F368B6" w:rsidRPr="00E35A97" w:rsidRDefault="00F368B6" w:rsidP="001F466F">
      <w:pPr>
        <w:pStyle w:val="100"/>
        <w:rPr>
          <w:rtl/>
        </w:rPr>
      </w:pPr>
      <w:r>
        <w:rPr>
          <w:rFonts w:hint="cs"/>
          <w:rtl/>
        </w:rPr>
        <w:t xml:space="preserve">הפרקליטות מסרה בתשובתה כי היא ערה לכך שמדובר במעט מקרים מסוג זה. עם זאת הנתונים ביחס לבקשות היוצאות מתייחסים רק לתפיסות וחילוטים שבוצעו באמצעות כלי העזרה המשפטית. ישראל נוקטת גם בכלים משפטיים אחרים המשרתים מטרות דומות. כמו כן, הנתונים אינם כוללים תפיסות שלא הבשילו לכדי חילוט בשל שימוש בכלים משפטיים חלופיים, כגון שחרור התפוסים לטובת הסדר עם הנאשם הכולל תשלום שומת מס. </w:t>
      </w:r>
    </w:p>
    <w:p w14:paraId="4411D4A3" w14:textId="77777777" w:rsidR="00F368B6" w:rsidRDefault="00F368B6" w:rsidP="001F466F">
      <w:pPr>
        <w:pStyle w:val="af1"/>
        <w:rPr>
          <w:rtl/>
        </w:rPr>
      </w:pPr>
      <w:r>
        <w:rPr>
          <w:rFonts w:hint="cs"/>
          <w:rtl/>
        </w:rPr>
        <w:t>מהאמור עולה כי אין הלימה בין המאמצים שמשקיעים גופי המודיעין, החקירה והאכיפה בזיהוי, איתור ותפיסה של נכסים בחו"ל, לבין התוצאה והתמורה המתקבלת בסופם של הליכי החילוט. לנוכח הגברת פעילותם הבין-לאומית של גורמי הפשיעה הבכירים בישראל, על גופי האכיפה לפעול לקיצור משכי הזמן ולהגברת האפקטיביות של תפיסת הנכסים מכוח חוק עזרה משפטית, הן ביחס לתפיסות וחילוט בישראל במסגרת סיוע למדינות זרות, והן ביחס לתפיסות וחילוטים של נכסים מחוץ לישראל.</w:t>
      </w:r>
    </w:p>
    <w:p w14:paraId="7B173AF1" w14:textId="77777777" w:rsidR="00F368B6" w:rsidRDefault="00F368B6" w:rsidP="00F368B6">
      <w:pPr>
        <w:spacing w:line="269" w:lineRule="auto"/>
        <w:rPr>
          <w:rFonts w:asciiTheme="minorBidi" w:hAnsiTheme="minorBidi"/>
          <w:b/>
          <w:bCs/>
          <w:sz w:val="24"/>
          <w:rtl/>
        </w:rPr>
      </w:pPr>
    </w:p>
    <w:p w14:paraId="453D2590" w14:textId="77777777" w:rsidR="00F368B6" w:rsidRDefault="00F368B6" w:rsidP="00F368B6">
      <w:pPr>
        <w:bidi w:val="0"/>
        <w:spacing w:after="200" w:line="276" w:lineRule="auto"/>
        <w:rPr>
          <w:rFonts w:eastAsiaTheme="majorEastAsia"/>
          <w:bCs/>
          <w:szCs w:val="32"/>
        </w:rPr>
      </w:pPr>
      <w:bookmarkStart w:id="16" w:name="_Toc24370966"/>
      <w:r>
        <w:rPr>
          <w:rtl/>
        </w:rPr>
        <w:br w:type="page"/>
      </w:r>
    </w:p>
    <w:p w14:paraId="55D6E273" w14:textId="77777777" w:rsidR="00F368B6" w:rsidRPr="00955B38" w:rsidRDefault="00F368B6" w:rsidP="005854C5">
      <w:pPr>
        <w:pStyle w:val="218"/>
      </w:pPr>
      <w:r w:rsidRPr="006D671E">
        <w:rPr>
          <w:rtl/>
        </w:rPr>
        <w:lastRenderedPageBreak/>
        <w:t>חסמים משלב הגשת כתב האישום ועד ההכרעה השיפוטית</w:t>
      </w:r>
      <w:bookmarkEnd w:id="16"/>
      <w:r w:rsidRPr="00955B38">
        <w:rPr>
          <w:rtl/>
        </w:rPr>
        <w:t xml:space="preserve"> </w:t>
      </w:r>
    </w:p>
    <w:p w14:paraId="2FBA2727" w14:textId="77777777" w:rsidR="00F368B6" w:rsidRPr="00C84B6B" w:rsidRDefault="00F368B6" w:rsidP="005854C5">
      <w:pPr>
        <w:pStyle w:val="316"/>
        <w:rPr>
          <w:rtl/>
        </w:rPr>
      </w:pPr>
      <w:bookmarkStart w:id="17" w:name="_Toc24370967"/>
      <w:r w:rsidRPr="00C84B6B">
        <w:rPr>
          <w:rtl/>
        </w:rPr>
        <w:t>ה</w:t>
      </w:r>
      <w:r>
        <w:rPr>
          <w:rFonts w:hint="cs"/>
          <w:rtl/>
        </w:rPr>
        <w:t>ת</w:t>
      </w:r>
      <w:r w:rsidRPr="00C84B6B">
        <w:rPr>
          <w:rtl/>
        </w:rPr>
        <w:t>משכות ההליכים המשפטיים</w:t>
      </w:r>
      <w:bookmarkEnd w:id="17"/>
    </w:p>
    <w:p w14:paraId="33F8D849" w14:textId="77777777" w:rsidR="00F368B6" w:rsidRPr="00406EFA" w:rsidRDefault="00F368B6" w:rsidP="005854C5">
      <w:pPr>
        <w:pStyle w:val="100"/>
        <w:rPr>
          <w:rtl/>
        </w:rPr>
      </w:pPr>
      <w:r>
        <w:rPr>
          <w:rFonts w:hint="cs"/>
          <w:rtl/>
        </w:rPr>
        <w:t>מערכת המשפט בישראל מתמודדת זה שנים רבות עם עומס התדיינות ומורכבות תיקים המביאים להאטה ולעיכוב בהתקדמות ההליכים המשפטיים</w:t>
      </w:r>
      <w:r>
        <w:rPr>
          <w:rStyle w:val="FootnoteReference"/>
          <w:rFonts w:asciiTheme="minorBidi" w:hAnsiTheme="minorBidi"/>
          <w:sz w:val="24"/>
          <w:rtl/>
        </w:rPr>
        <w:footnoteReference w:id="63"/>
      </w:r>
      <w:r>
        <w:rPr>
          <w:rFonts w:hint="cs"/>
          <w:rtl/>
        </w:rPr>
        <w:t>. בתיקים כלכליים מורכבים, על פי רוב, משך הזמן בין מועד הגשת כתב האישום לקבלת הכרעה נאמד בכמה שנים. הליכי אכיפה כלכלית, אשר מתנהלים נוסף על הדיון בתיק העיקרי ודורשים לעיתים הכרעה במחלוקות לגבי היקף הרכוש בר החילוט ובעלי הזכויות ברכוש התפוס, תורמים גם הם להתמשכות ההליכים</w:t>
      </w:r>
      <w:r>
        <w:rPr>
          <w:rStyle w:val="FootnoteReference"/>
          <w:rFonts w:asciiTheme="minorBidi" w:hAnsiTheme="minorBidi"/>
          <w:sz w:val="24"/>
          <w:rtl/>
        </w:rPr>
        <w:footnoteReference w:id="64"/>
      </w:r>
      <w:r w:rsidRPr="00A575B7">
        <w:rPr>
          <w:rtl/>
        </w:rPr>
        <w:t>.</w:t>
      </w:r>
      <w:r>
        <w:rPr>
          <w:rtl/>
        </w:rPr>
        <w:t xml:space="preserve"> </w:t>
      </w:r>
    </w:p>
    <w:p w14:paraId="263EAFFF" w14:textId="77777777" w:rsidR="00F368B6" w:rsidRDefault="00F368B6" w:rsidP="005854C5">
      <w:pPr>
        <w:pStyle w:val="100"/>
        <w:rPr>
          <w:rtl/>
        </w:rPr>
      </w:pPr>
      <w:r>
        <w:rPr>
          <w:rFonts w:hint="cs"/>
          <w:rtl/>
        </w:rPr>
        <w:t xml:space="preserve">מהביקורת עלה כי ביחס לתיקים כלכליים ישנם שני שלבים בהליך המשפטי המתנהל בבתי המשפט שבהם ניכרים משכי הזמן: (א) ממועד הגשת כתב האישום ועד פתיחת שלב הבאת הראיות (דיוני הוכחות); (ב) מתחילת שלב הבאת הראיות ועד סיום ההליך המשפטי בפסק דין. </w:t>
      </w:r>
    </w:p>
    <w:p w14:paraId="6CA4FCF6" w14:textId="77777777" w:rsidR="00F368B6" w:rsidRPr="008118AF" w:rsidRDefault="00F368B6" w:rsidP="00944BB5">
      <w:pPr>
        <w:pStyle w:val="af1"/>
        <w:rPr>
          <w:rtl/>
        </w:rPr>
      </w:pPr>
      <w:r w:rsidRPr="008118AF">
        <w:rPr>
          <w:rtl/>
        </w:rPr>
        <w:t xml:space="preserve">על פי </w:t>
      </w:r>
      <w:r w:rsidRPr="008118AF">
        <w:rPr>
          <w:rFonts w:hint="cs"/>
          <w:rtl/>
        </w:rPr>
        <w:t>הערכת</w:t>
      </w:r>
      <w:r w:rsidRPr="008118AF">
        <w:rPr>
          <w:rtl/>
        </w:rPr>
        <w:t xml:space="preserve"> הפרקליטות</w:t>
      </w:r>
      <w:r w:rsidRPr="008118AF">
        <w:rPr>
          <w:rFonts w:hint="cs"/>
          <w:rtl/>
        </w:rPr>
        <w:t xml:space="preserve">, פרק הזמן שצפוי לחלוף </w:t>
      </w:r>
      <w:r w:rsidRPr="008118AF">
        <w:rPr>
          <w:rtl/>
        </w:rPr>
        <w:t>מ</w:t>
      </w:r>
      <w:r w:rsidRPr="008118AF">
        <w:rPr>
          <w:rFonts w:hint="cs"/>
          <w:rtl/>
        </w:rPr>
        <w:t>ה</w:t>
      </w:r>
      <w:r w:rsidRPr="008118AF">
        <w:rPr>
          <w:rtl/>
        </w:rPr>
        <w:t xml:space="preserve">יום </w:t>
      </w:r>
      <w:r w:rsidRPr="008118AF">
        <w:rPr>
          <w:rFonts w:hint="cs"/>
          <w:rtl/>
        </w:rPr>
        <w:t xml:space="preserve">שבו </w:t>
      </w:r>
      <w:r w:rsidRPr="008118AF">
        <w:rPr>
          <w:rtl/>
        </w:rPr>
        <w:t>תיק</w:t>
      </w:r>
      <w:r w:rsidRPr="008118AF">
        <w:rPr>
          <w:rFonts w:hint="cs"/>
          <w:rtl/>
        </w:rPr>
        <w:t xml:space="preserve"> מורכב</w:t>
      </w:r>
      <w:r w:rsidRPr="008118AF">
        <w:rPr>
          <w:rtl/>
        </w:rPr>
        <w:t xml:space="preserve"> </w:t>
      </w:r>
      <w:r w:rsidRPr="008118AF">
        <w:rPr>
          <w:rFonts w:hint="cs"/>
          <w:rtl/>
        </w:rPr>
        <w:t xml:space="preserve">שעניינו </w:t>
      </w:r>
      <w:r w:rsidRPr="008118AF">
        <w:rPr>
          <w:rtl/>
        </w:rPr>
        <w:t>הלבנת הון מוגש לבית המשפט ועד תחילת שלב שמיעת הראיות ב</w:t>
      </w:r>
      <w:r w:rsidRPr="008118AF">
        <w:rPr>
          <w:rFonts w:hint="cs"/>
          <w:rtl/>
        </w:rPr>
        <w:t>ו הוא כשנתיים ימים</w:t>
      </w:r>
      <w:r w:rsidRPr="008118AF">
        <w:rPr>
          <w:rtl/>
        </w:rPr>
        <w:t xml:space="preserve">. נמצא כי בתיקי מס </w:t>
      </w:r>
      <w:r w:rsidRPr="008118AF">
        <w:rPr>
          <w:rFonts w:eastAsia="David"/>
          <w:rtl/>
        </w:rPr>
        <w:t>עוברים בממוצע כ-450 ימים ממועד הגשת כתב אישום ועד תחילת מועד הוכחות ראשון בתיק.</w:t>
      </w:r>
      <w:r w:rsidRPr="008118AF">
        <w:t xml:space="preserve"> </w:t>
      </w:r>
    </w:p>
    <w:p w14:paraId="7FD5381D" w14:textId="77777777" w:rsidR="00F368B6" w:rsidRPr="00206B33" w:rsidRDefault="00F368B6" w:rsidP="00944BB5">
      <w:pPr>
        <w:pStyle w:val="a6"/>
        <w:rPr>
          <w:rtl/>
        </w:rPr>
      </w:pPr>
      <w:r w:rsidRPr="00206B33">
        <w:rPr>
          <w:rFonts w:hint="cs"/>
          <w:rtl/>
        </w:rPr>
        <w:lastRenderedPageBreak/>
        <w:t xml:space="preserve">תרשים </w:t>
      </w:r>
      <w:r>
        <w:rPr>
          <w:rFonts w:hint="cs"/>
          <w:rtl/>
        </w:rPr>
        <w:t>11</w:t>
      </w:r>
      <w:r w:rsidRPr="00206B33">
        <w:rPr>
          <w:rFonts w:hint="cs"/>
          <w:rtl/>
        </w:rPr>
        <w:t xml:space="preserve">: </w:t>
      </w:r>
      <w:r w:rsidRPr="00944BB5">
        <w:rPr>
          <w:rFonts w:hint="cs"/>
          <w:b/>
          <w:bCs/>
          <w:rtl/>
        </w:rPr>
        <w:t>דיונים בבית המשפט בכלל התיקים שמנהלת הפרקליטות, לפי שלב ההליך</w:t>
      </w:r>
    </w:p>
    <w:p w14:paraId="31D6B1B6" w14:textId="77777777" w:rsidR="00F368B6" w:rsidRDefault="00F368B6" w:rsidP="00F368B6">
      <w:pPr>
        <w:spacing w:line="269" w:lineRule="auto"/>
        <w:jc w:val="center"/>
      </w:pPr>
      <w:r>
        <w:rPr>
          <w:noProof/>
          <w:rtl/>
        </w:rPr>
        <w:drawing>
          <wp:inline distT="0" distB="0" distL="0" distR="0" wp14:anchorId="6278C28B" wp14:editId="4DCC32E6">
            <wp:extent cx="5129720" cy="2436125"/>
            <wp:effectExtent l="0" t="0" r="13970" b="2540"/>
            <wp:docPr id="39" name="תרשים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6C72A7" w14:textId="77777777" w:rsidR="00F368B6" w:rsidRPr="003726D6" w:rsidRDefault="00F368B6" w:rsidP="00944BB5">
      <w:pPr>
        <w:pStyle w:val="a8"/>
        <w:rPr>
          <w:rtl/>
        </w:rPr>
      </w:pPr>
      <w:r w:rsidRPr="003726D6">
        <w:rPr>
          <w:rtl/>
        </w:rPr>
        <w:t xml:space="preserve">*דיונים המתקיימים לפני שלב ההוכחות בתיק, ובכלל זה הליכים מקדמיים ודיונים בבקשות הצדדים להליך. </w:t>
      </w:r>
    </w:p>
    <w:p w14:paraId="1F773AD9" w14:textId="77777777" w:rsidR="00F368B6" w:rsidRPr="003726D6" w:rsidRDefault="00F368B6" w:rsidP="00944BB5">
      <w:pPr>
        <w:pStyle w:val="a5"/>
        <w:rPr>
          <w:rtl/>
        </w:rPr>
      </w:pPr>
      <w:r w:rsidRPr="003726D6">
        <w:rPr>
          <w:rFonts w:hint="cs"/>
          <w:rtl/>
        </w:rPr>
        <w:t>מקור: על פי</w:t>
      </w:r>
      <w:r w:rsidRPr="003726D6">
        <w:rPr>
          <w:rtl/>
        </w:rPr>
        <w:t xml:space="preserve"> נתוני </w:t>
      </w:r>
      <w:r w:rsidRPr="003726D6">
        <w:rPr>
          <w:rFonts w:hint="eastAsia"/>
          <w:rtl/>
        </w:rPr>
        <w:t>פרקליטות</w:t>
      </w:r>
      <w:r w:rsidRPr="003726D6">
        <w:rPr>
          <w:rtl/>
        </w:rPr>
        <w:t xml:space="preserve"> </w:t>
      </w:r>
      <w:r w:rsidRPr="003726D6">
        <w:rPr>
          <w:rFonts w:hint="eastAsia"/>
          <w:rtl/>
        </w:rPr>
        <w:t>המדינה</w:t>
      </w:r>
      <w:r w:rsidRPr="003726D6">
        <w:rPr>
          <w:rFonts w:hint="cs"/>
          <w:rtl/>
        </w:rPr>
        <w:t>,</w:t>
      </w:r>
      <w:r w:rsidRPr="003726D6">
        <w:rPr>
          <w:rtl/>
        </w:rPr>
        <w:t xml:space="preserve"> בעיבוד משרד מבקר המדינה</w:t>
      </w:r>
      <w:r w:rsidRPr="003726D6">
        <w:rPr>
          <w:rFonts w:hint="cs"/>
          <w:rtl/>
        </w:rPr>
        <w:t>.</w:t>
      </w:r>
    </w:p>
    <w:p w14:paraId="65BCEBDB" w14:textId="77777777" w:rsidR="00944BB5" w:rsidRDefault="00944BB5" w:rsidP="00944BB5">
      <w:pPr>
        <w:pStyle w:val="100"/>
        <w:rPr>
          <w:rtl/>
        </w:rPr>
      </w:pPr>
    </w:p>
    <w:p w14:paraId="360193CC" w14:textId="293808F8" w:rsidR="00F368B6" w:rsidRPr="001B3DB2" w:rsidRDefault="00F368B6" w:rsidP="00944BB5">
      <w:pPr>
        <w:pStyle w:val="100"/>
        <w:rPr>
          <w:rtl/>
        </w:rPr>
      </w:pPr>
      <w:r>
        <w:rPr>
          <w:rFonts w:hint="cs"/>
          <w:rtl/>
        </w:rPr>
        <w:t xml:space="preserve">מהתרשים עולה כי הרוב המוחלט של ההליכים המתנהלים בבתי המשפט בכלל התיקים שמנהלת הפרקליטות אינם מצויים בשלב בירור הראיות. </w:t>
      </w:r>
      <w:r w:rsidRPr="00A575B7">
        <w:rPr>
          <w:rtl/>
        </w:rPr>
        <w:t>רק כ-15% מ</w:t>
      </w:r>
      <w:r>
        <w:rPr>
          <w:rFonts w:hint="cs"/>
          <w:rtl/>
        </w:rPr>
        <w:t>ה</w:t>
      </w:r>
      <w:r w:rsidRPr="00A575B7">
        <w:rPr>
          <w:rtl/>
        </w:rPr>
        <w:t>תיקי</w:t>
      </w:r>
      <w:r>
        <w:rPr>
          <w:rFonts w:hint="cs"/>
          <w:rtl/>
        </w:rPr>
        <w:t>ם</w:t>
      </w:r>
      <w:r>
        <w:rPr>
          <w:rtl/>
        </w:rPr>
        <w:t xml:space="preserve"> נמצאים</w:t>
      </w:r>
      <w:r>
        <w:rPr>
          <w:rFonts w:hint="cs"/>
          <w:rtl/>
        </w:rPr>
        <w:t xml:space="preserve"> </w:t>
      </w:r>
      <w:r w:rsidRPr="00A575B7">
        <w:rPr>
          <w:rtl/>
        </w:rPr>
        <w:t>בדיוני הוכחות.</w:t>
      </w:r>
    </w:p>
    <w:p w14:paraId="27A29CB6" w14:textId="77777777" w:rsidR="00F368B6" w:rsidRDefault="00F368B6" w:rsidP="00944BB5">
      <w:pPr>
        <w:pStyle w:val="100"/>
        <w:rPr>
          <w:rtl/>
        </w:rPr>
      </w:pPr>
      <w:r w:rsidRPr="00A575B7">
        <w:rPr>
          <w:rtl/>
        </w:rPr>
        <w:t>בית המשפט העליון התבטא בסוגיה זו:</w:t>
      </w:r>
      <w:r>
        <w:rPr>
          <w:rFonts w:hint="cs"/>
          <w:rtl/>
        </w:rPr>
        <w:t xml:space="preserve"> </w:t>
      </w:r>
      <w:r w:rsidRPr="00985AAD">
        <w:rPr>
          <w:rFonts w:eastAsia="Century"/>
          <w:rtl/>
        </w:rPr>
        <w:t>"הבעיה היא אובייקטיבית והיא נובעת בעיקר מכך שפתיחת המשפט התעכבה כשנתיים בשל ההליכים המקדמיים של העברת חומרי החקירה והוצאת תעודות חיסיון. הליכים אלה הם הפרוזדור המוביל לטרקלין התיק העיקרי, אך במגה-תיקים וג'יגה-תיקים הפרוזדור מתארך כמעט לכדי מנהרה, ואור</w:t>
      </w:r>
      <w:r>
        <w:rPr>
          <w:rFonts w:eastAsia="Century"/>
          <w:rtl/>
        </w:rPr>
        <w:t>ו של ההליך העיקרי מבצבץ אך במרח</w:t>
      </w:r>
      <w:r>
        <w:rPr>
          <w:rFonts w:eastAsia="Century" w:hint="cs"/>
          <w:rtl/>
        </w:rPr>
        <w:t>ק"</w:t>
      </w:r>
      <w:r w:rsidRPr="00894EDE">
        <w:rPr>
          <w:rFonts w:ascii="David" w:hAnsi="David"/>
          <w:vertAlign w:val="superscript"/>
        </w:rPr>
        <w:footnoteReference w:id="65"/>
      </w:r>
      <w:r>
        <w:rPr>
          <w:rFonts w:eastAsia="Century" w:hint="cs"/>
          <w:rtl/>
        </w:rPr>
        <w:t>.</w:t>
      </w:r>
    </w:p>
    <w:p w14:paraId="66780EEC" w14:textId="77777777" w:rsidR="00F368B6" w:rsidRDefault="00F368B6" w:rsidP="00944BB5">
      <w:pPr>
        <w:pStyle w:val="100"/>
        <w:rPr>
          <w:rtl/>
        </w:rPr>
      </w:pPr>
      <w:r>
        <w:rPr>
          <w:rFonts w:hint="cs"/>
          <w:rtl/>
        </w:rPr>
        <w:t>מ</w:t>
      </w:r>
      <w:r w:rsidRPr="002D75D5">
        <w:rPr>
          <w:rFonts w:hint="cs"/>
          <w:rtl/>
        </w:rPr>
        <w:t xml:space="preserve">הביקורת </w:t>
      </w:r>
      <w:r>
        <w:rPr>
          <w:rFonts w:hint="cs"/>
          <w:rtl/>
        </w:rPr>
        <w:t xml:space="preserve">עלה </w:t>
      </w:r>
      <w:r w:rsidRPr="002D75D5">
        <w:rPr>
          <w:rFonts w:hint="cs"/>
          <w:rtl/>
        </w:rPr>
        <w:t xml:space="preserve">כי </w:t>
      </w:r>
      <w:r>
        <w:rPr>
          <w:rFonts w:hint="cs"/>
          <w:rtl/>
        </w:rPr>
        <w:t xml:space="preserve">בשל התמשכות הליכי "הפרוזדור", </w:t>
      </w:r>
      <w:r w:rsidRPr="002D75D5">
        <w:rPr>
          <w:rFonts w:hint="cs"/>
          <w:rtl/>
        </w:rPr>
        <w:t>מרבית התיקים הכלכליים מסתיימים בדרך של הסדרי טיעון עוד בטרם הגיעו לשלב שמיעת הראיות</w:t>
      </w:r>
      <w:r>
        <w:rPr>
          <w:rFonts w:hint="cs"/>
          <w:rtl/>
        </w:rPr>
        <w:t>. למשל, מתוך מלאי התיקים הכלכליים שנוהלו בפרקליטות מחוז ירושלים בשנים האחרונות, רק בתיק אחד ניתנה הכרעת דין לאחר שמיעת ראיות, ויתר התיקים הסתיימו בהסדרי טיעון.</w:t>
      </w:r>
    </w:p>
    <w:p w14:paraId="2D838567" w14:textId="77777777" w:rsidR="00F368B6" w:rsidRDefault="00F368B6" w:rsidP="00944BB5">
      <w:pPr>
        <w:pStyle w:val="af1"/>
        <w:rPr>
          <w:rtl/>
        </w:rPr>
      </w:pPr>
      <w:r>
        <w:rPr>
          <w:rFonts w:hint="cs"/>
          <w:rtl/>
        </w:rPr>
        <w:t xml:space="preserve">ממסמכים המבטאים את עמדות גורמי המקצוע בפרקליטות וברשות המיסים עולה כי </w:t>
      </w:r>
      <w:r w:rsidRPr="00C06083">
        <w:rPr>
          <w:rFonts w:hint="cs"/>
          <w:rtl/>
        </w:rPr>
        <w:t>משיקולי יעילות ורצון לסיים את התיקים ב</w:t>
      </w:r>
      <w:r>
        <w:rPr>
          <w:rFonts w:hint="cs"/>
          <w:rtl/>
        </w:rPr>
        <w:t>פרק</w:t>
      </w:r>
      <w:r w:rsidRPr="00C06083">
        <w:rPr>
          <w:rFonts w:hint="cs"/>
          <w:rtl/>
        </w:rPr>
        <w:t xml:space="preserve"> זמן סביר</w:t>
      </w:r>
      <w:r>
        <w:rPr>
          <w:rFonts w:hint="cs"/>
          <w:rtl/>
        </w:rPr>
        <w:t>,</w:t>
      </w:r>
      <w:r w:rsidRPr="00C06083">
        <w:rPr>
          <w:rFonts w:hint="cs"/>
          <w:rtl/>
        </w:rPr>
        <w:t xml:space="preserve"> </w:t>
      </w:r>
      <w:r>
        <w:rPr>
          <w:rFonts w:hint="cs"/>
          <w:rtl/>
        </w:rPr>
        <w:t xml:space="preserve">התביעה מגיעה עם הנאשמים להסדרים מקלים, תוך שהיא מוכנה להתפשר ולוותר </w:t>
      </w:r>
      <w:r w:rsidRPr="00C06083">
        <w:rPr>
          <w:rFonts w:hint="cs"/>
          <w:rtl/>
        </w:rPr>
        <w:t>על נכסים</w:t>
      </w:r>
      <w:r>
        <w:rPr>
          <w:rFonts w:hint="cs"/>
          <w:rtl/>
        </w:rPr>
        <w:t xml:space="preserve"> שנתפסו,</w:t>
      </w:r>
      <w:r w:rsidRPr="00C06083">
        <w:rPr>
          <w:rFonts w:hint="cs"/>
          <w:rtl/>
        </w:rPr>
        <w:t xml:space="preserve"> לא </w:t>
      </w:r>
      <w:r>
        <w:rPr>
          <w:rFonts w:hint="cs"/>
          <w:rtl/>
        </w:rPr>
        <w:t>רק בשל</w:t>
      </w:r>
      <w:r w:rsidRPr="00C06083">
        <w:rPr>
          <w:rFonts w:hint="cs"/>
          <w:rtl/>
        </w:rPr>
        <w:t xml:space="preserve"> חולשת הראיות אלא </w:t>
      </w:r>
      <w:r>
        <w:rPr>
          <w:rFonts w:hint="cs"/>
          <w:rtl/>
        </w:rPr>
        <w:t xml:space="preserve">אף בשל </w:t>
      </w:r>
      <w:r w:rsidRPr="00C06083">
        <w:rPr>
          <w:rFonts w:hint="cs"/>
          <w:rtl/>
        </w:rPr>
        <w:t>הימשכות ההליכים</w:t>
      </w:r>
      <w:r>
        <w:rPr>
          <w:rFonts w:hint="cs"/>
          <w:rtl/>
        </w:rPr>
        <w:t>.</w:t>
      </w:r>
    </w:p>
    <w:p w14:paraId="29A18594" w14:textId="1BB121A1" w:rsidR="00F368B6" w:rsidRDefault="00F368B6" w:rsidP="00F368B6">
      <w:pPr>
        <w:spacing w:line="269" w:lineRule="auto"/>
        <w:rPr>
          <w:rtl/>
        </w:rPr>
      </w:pPr>
    </w:p>
    <w:p w14:paraId="348E4B58" w14:textId="77777777" w:rsidR="00F368B6" w:rsidRPr="00C83744" w:rsidRDefault="00F368B6" w:rsidP="00277316">
      <w:pPr>
        <w:pStyle w:val="100"/>
        <w:rPr>
          <w:rtl/>
        </w:rPr>
      </w:pPr>
      <w:r>
        <w:rPr>
          <w:rFonts w:hint="cs"/>
          <w:rtl/>
        </w:rPr>
        <w:lastRenderedPageBreak/>
        <w:t>בתשובת רשות המיסים צוין כי "קיים לחץ כבד מבתי המשפט לסיים תיקים ולהגיע להסדרים לאור המצוקה הקיימת אצלם".</w:t>
      </w:r>
    </w:p>
    <w:p w14:paraId="14F856EE" w14:textId="77777777" w:rsidR="00F368B6" w:rsidRDefault="00F368B6" w:rsidP="00277316">
      <w:pPr>
        <w:pStyle w:val="100"/>
        <w:rPr>
          <w:rtl/>
        </w:rPr>
      </w:pPr>
      <w:r>
        <w:rPr>
          <w:rFonts w:hint="cs"/>
          <w:rtl/>
        </w:rPr>
        <w:t>להלן בתרשים 12 מוצגים היקף הרכוש שלגביו התבקשה החלטה לחילוט, ומשך הזמן שבו מתנהלים ההליכים בבתי המשפט.</w:t>
      </w:r>
    </w:p>
    <w:p w14:paraId="21DC19EE" w14:textId="77777777" w:rsidR="00F368B6" w:rsidRPr="00277316" w:rsidRDefault="00F368B6" w:rsidP="00277316">
      <w:pPr>
        <w:pStyle w:val="a6"/>
        <w:rPr>
          <w:b/>
          <w:bCs/>
          <w:rtl/>
        </w:rPr>
      </w:pPr>
      <w:r w:rsidRPr="00894EDE">
        <w:rPr>
          <w:rFonts w:hint="eastAsia"/>
          <w:rtl/>
        </w:rPr>
        <w:t>תרשים</w:t>
      </w:r>
      <w:r w:rsidRPr="00894EDE">
        <w:rPr>
          <w:rtl/>
        </w:rPr>
        <w:t xml:space="preserve"> </w:t>
      </w:r>
      <w:r>
        <w:rPr>
          <w:rFonts w:hint="cs"/>
          <w:rtl/>
        </w:rPr>
        <w:t>12</w:t>
      </w:r>
      <w:r w:rsidRPr="00894EDE">
        <w:rPr>
          <w:rtl/>
        </w:rPr>
        <w:t xml:space="preserve">: </w:t>
      </w:r>
      <w:r w:rsidRPr="00277316">
        <w:rPr>
          <w:b/>
          <w:bCs/>
          <w:rtl/>
        </w:rPr>
        <w:t xml:space="preserve">היקף הרכוש המתנהל בבית המשפט שטרם ניתנה לגביו החלטה </w:t>
      </w:r>
      <w:r w:rsidRPr="00277316">
        <w:rPr>
          <w:rFonts w:hint="eastAsia"/>
          <w:b/>
          <w:bCs/>
          <w:rtl/>
        </w:rPr>
        <w:t>בעניין</w:t>
      </w:r>
      <w:r w:rsidRPr="00277316">
        <w:rPr>
          <w:b/>
          <w:bCs/>
          <w:rtl/>
        </w:rPr>
        <w:t xml:space="preserve"> חילוט, לפי </w:t>
      </w:r>
      <w:r w:rsidRPr="00277316">
        <w:rPr>
          <w:rFonts w:hint="eastAsia"/>
          <w:b/>
          <w:bCs/>
          <w:rtl/>
        </w:rPr>
        <w:t>זמן</w:t>
      </w:r>
      <w:r w:rsidRPr="00277316">
        <w:rPr>
          <w:b/>
          <w:bCs/>
          <w:rtl/>
        </w:rPr>
        <w:t xml:space="preserve"> </w:t>
      </w:r>
      <w:r w:rsidRPr="00277316">
        <w:rPr>
          <w:rFonts w:hint="eastAsia"/>
          <w:b/>
          <w:bCs/>
          <w:rtl/>
        </w:rPr>
        <w:t>התנהלות</w:t>
      </w:r>
      <w:r w:rsidRPr="00277316">
        <w:rPr>
          <w:b/>
          <w:bCs/>
          <w:rtl/>
        </w:rPr>
        <w:t xml:space="preserve"> </w:t>
      </w:r>
      <w:r w:rsidRPr="00277316">
        <w:rPr>
          <w:rFonts w:hint="eastAsia"/>
          <w:b/>
          <w:bCs/>
          <w:rtl/>
        </w:rPr>
        <w:t>ההליכים</w:t>
      </w:r>
      <w:r w:rsidRPr="00277316">
        <w:rPr>
          <w:rFonts w:hint="cs"/>
          <w:b/>
          <w:bCs/>
          <w:rtl/>
        </w:rPr>
        <w:t>, נכון ליוני 2019.</w:t>
      </w:r>
    </w:p>
    <w:p w14:paraId="13DB8E10" w14:textId="77777777" w:rsidR="00F368B6" w:rsidRDefault="00F368B6" w:rsidP="00F368B6">
      <w:pPr>
        <w:spacing w:line="269" w:lineRule="auto"/>
        <w:rPr>
          <w:rFonts w:asciiTheme="minorBidi" w:hAnsiTheme="minorBidi"/>
          <w:sz w:val="24"/>
          <w:rtl/>
        </w:rPr>
      </w:pPr>
      <w:r w:rsidRPr="003525CA">
        <w:rPr>
          <w:rFonts w:asciiTheme="minorBidi" w:hAnsiTheme="minorBidi"/>
          <w:noProof/>
          <w:sz w:val="24"/>
        </w:rPr>
        <w:drawing>
          <wp:inline distT="0" distB="0" distL="0" distR="0" wp14:anchorId="2DC98AAE" wp14:editId="27DA08FC">
            <wp:extent cx="5220335" cy="3076575"/>
            <wp:effectExtent l="0" t="0" r="18415" b="9525"/>
            <wp:docPr id="40" name="תרשים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E5C40B" w14:textId="5CEF02A2" w:rsidR="00F368B6" w:rsidRDefault="00F368B6" w:rsidP="00277316">
      <w:pPr>
        <w:pStyle w:val="a5"/>
        <w:rPr>
          <w:rtl/>
        </w:rPr>
      </w:pPr>
      <w:r w:rsidRPr="00277316">
        <w:rPr>
          <w:rFonts w:hint="cs"/>
          <w:rtl/>
        </w:rPr>
        <w:t xml:space="preserve">מקור: על פי </w:t>
      </w:r>
      <w:r w:rsidRPr="00277316">
        <w:rPr>
          <w:rFonts w:hint="eastAsia"/>
          <w:rtl/>
        </w:rPr>
        <w:t>נתוני</w:t>
      </w:r>
      <w:r w:rsidRPr="00277316">
        <w:rPr>
          <w:rtl/>
        </w:rPr>
        <w:t xml:space="preserve"> פרקליטות המדינה</w:t>
      </w:r>
      <w:r w:rsidRPr="00277316">
        <w:rPr>
          <w:rFonts w:hint="cs"/>
          <w:rtl/>
        </w:rPr>
        <w:t>,</w:t>
      </w:r>
      <w:r w:rsidRPr="00277316">
        <w:rPr>
          <w:rtl/>
        </w:rPr>
        <w:t xml:space="preserve"> בעיבוד משרד מבקר המדינה</w:t>
      </w:r>
      <w:r w:rsidRPr="00277316">
        <w:rPr>
          <w:rFonts w:hint="cs"/>
          <w:rtl/>
        </w:rPr>
        <w:t>.</w:t>
      </w:r>
    </w:p>
    <w:p w14:paraId="5844DF7C" w14:textId="77777777" w:rsidR="00277316" w:rsidRPr="00277316" w:rsidRDefault="00277316" w:rsidP="00277316">
      <w:pPr>
        <w:pStyle w:val="a5"/>
        <w:rPr>
          <w:rtl/>
        </w:rPr>
      </w:pPr>
    </w:p>
    <w:p w14:paraId="50FB63B0" w14:textId="77777777" w:rsidR="00F368B6" w:rsidRPr="00301C3B" w:rsidRDefault="00F368B6" w:rsidP="00277316">
      <w:pPr>
        <w:pStyle w:val="af1"/>
        <w:rPr>
          <w:rtl/>
        </w:rPr>
      </w:pPr>
      <w:r w:rsidRPr="00301C3B">
        <w:rPr>
          <w:rFonts w:hint="cs"/>
          <w:rtl/>
        </w:rPr>
        <w:t>מהתרשים עולה כי שוויו המצטבר של הרכוש שהפרקליטות ביקשה לחלט, בבקשות שעדיין ממתינות להכרעת בתי המשפט, עומד על יותר מחצי מיליאר</w:t>
      </w:r>
      <w:r w:rsidRPr="00301C3B">
        <w:rPr>
          <w:rFonts w:hint="eastAsia"/>
          <w:rtl/>
        </w:rPr>
        <w:t>ד</w:t>
      </w:r>
      <w:r w:rsidRPr="00301C3B">
        <w:rPr>
          <w:rFonts w:hint="cs"/>
          <w:rtl/>
        </w:rPr>
        <w:t xml:space="preserve"> ש"ח. </w:t>
      </w:r>
    </w:p>
    <w:p w14:paraId="57A83953" w14:textId="77777777" w:rsidR="00F368B6" w:rsidRPr="00D44023" w:rsidRDefault="00F368B6" w:rsidP="00277316">
      <w:pPr>
        <w:pStyle w:val="100"/>
      </w:pPr>
      <w:r>
        <w:rPr>
          <w:rFonts w:hint="cs"/>
          <w:rtl/>
        </w:rPr>
        <w:t xml:space="preserve">כפועל יוצא מהתמשכות ההליכים משחררים בתי המשפט מפעם לפעם </w:t>
      </w:r>
      <w:r w:rsidRPr="00A575B7">
        <w:rPr>
          <w:rtl/>
        </w:rPr>
        <w:t>רכוש בהיקף לא מבוטל, אם כ"דמי מחיה סבירים" עבור הנאשם ואם כ</w:t>
      </w:r>
      <w:r>
        <w:rPr>
          <w:rFonts w:hint="cs"/>
          <w:rtl/>
        </w:rPr>
        <w:t>ניסיון ל</w:t>
      </w:r>
      <w:r w:rsidRPr="00A575B7">
        <w:rPr>
          <w:rtl/>
        </w:rPr>
        <w:t xml:space="preserve">אזן בין </w:t>
      </w:r>
      <w:r>
        <w:rPr>
          <w:rFonts w:hint="cs"/>
          <w:rtl/>
        </w:rPr>
        <w:t>ה</w:t>
      </w:r>
      <w:r w:rsidRPr="00A575B7">
        <w:rPr>
          <w:rtl/>
        </w:rPr>
        <w:t xml:space="preserve">פגיעה בקניינו של הנאשם </w:t>
      </w:r>
      <w:r>
        <w:rPr>
          <w:rFonts w:hint="cs"/>
          <w:rtl/>
        </w:rPr>
        <w:t xml:space="preserve">עקב התמשכות ההליכים </w:t>
      </w:r>
      <w:r w:rsidRPr="00A575B7">
        <w:rPr>
          <w:rtl/>
        </w:rPr>
        <w:t>לבין שמירה על האינטרס הציבורי שבשלילת רכוש שהושג בפשע.</w:t>
      </w:r>
    </w:p>
    <w:p w14:paraId="3F933142" w14:textId="77777777" w:rsidR="00F368B6" w:rsidRDefault="00F368B6" w:rsidP="00277316">
      <w:pPr>
        <w:pStyle w:val="100"/>
        <w:rPr>
          <w:rtl/>
        </w:rPr>
      </w:pPr>
      <w:r w:rsidRPr="00A575B7">
        <w:rPr>
          <w:rtl/>
        </w:rPr>
        <w:t>ב</w:t>
      </w:r>
      <w:r>
        <w:rPr>
          <w:rFonts w:hint="cs"/>
          <w:rtl/>
        </w:rPr>
        <w:t>פסיקת ב</w:t>
      </w:r>
      <w:r w:rsidRPr="00A575B7">
        <w:rPr>
          <w:rtl/>
        </w:rPr>
        <w:t>ית המשפט העליון</w:t>
      </w:r>
      <w:r>
        <w:rPr>
          <w:rFonts w:hint="cs"/>
          <w:rtl/>
        </w:rPr>
        <w:t xml:space="preserve"> מאוגוסט 2019 הובהר כי </w:t>
      </w:r>
      <w:r w:rsidRPr="00A575B7">
        <w:rPr>
          <w:rtl/>
        </w:rPr>
        <w:t>חילוט רכושו של אדם טומן בחובו פגיעה קשה בזכות הקניין הנתונה לו, והפגיעה מתעצמת ככל שתקופת החילוט מתמשכת. על מנת להשיג איזון ראוי בין האינטרס הציבורי שבהבטחת מימוש תכליות החילוט לבין הז</w:t>
      </w:r>
      <w:r>
        <w:rPr>
          <w:rtl/>
        </w:rPr>
        <w:t>כויות הקנייניות של הנאשמים</w:t>
      </w:r>
      <w:r>
        <w:rPr>
          <w:rFonts w:hint="cs"/>
          <w:rtl/>
        </w:rPr>
        <w:t xml:space="preserve">, </w:t>
      </w:r>
      <w:r w:rsidRPr="00A575B7">
        <w:rPr>
          <w:rtl/>
        </w:rPr>
        <w:t>במסגרת בחינת מידתיות החילוט הזמני</w:t>
      </w:r>
      <w:r>
        <w:rPr>
          <w:rFonts w:hint="cs"/>
          <w:rtl/>
        </w:rPr>
        <w:t>,</w:t>
      </w:r>
      <w:r>
        <w:rPr>
          <w:rtl/>
        </w:rPr>
        <w:t xml:space="preserve"> </w:t>
      </w:r>
      <w:r w:rsidRPr="00A575B7">
        <w:rPr>
          <w:rtl/>
        </w:rPr>
        <w:t>בתי המשפט ב</w:t>
      </w:r>
      <w:r>
        <w:rPr>
          <w:rFonts w:hint="cs"/>
          <w:rtl/>
        </w:rPr>
        <w:t>ו</w:t>
      </w:r>
      <w:r w:rsidRPr="00A575B7">
        <w:rPr>
          <w:rtl/>
        </w:rPr>
        <w:t>ח</w:t>
      </w:r>
      <w:r>
        <w:rPr>
          <w:rFonts w:hint="cs"/>
          <w:rtl/>
        </w:rPr>
        <w:t>נים</w:t>
      </w:r>
      <w:r w:rsidRPr="00A575B7">
        <w:rPr>
          <w:rtl/>
        </w:rPr>
        <w:t xml:space="preserve"> את פרק הזמן שבו </w:t>
      </w:r>
      <w:r w:rsidRPr="00A575B7">
        <w:rPr>
          <w:rtl/>
        </w:rPr>
        <w:lastRenderedPageBreak/>
        <w:t>צפוי הצו הזמני לעמוד בתוקף</w:t>
      </w:r>
      <w:r>
        <w:rPr>
          <w:rFonts w:hint="cs"/>
          <w:rtl/>
        </w:rPr>
        <w:t xml:space="preserve">, את </w:t>
      </w:r>
      <w:r w:rsidRPr="00A575B7">
        <w:rPr>
          <w:rtl/>
        </w:rPr>
        <w:t>פרק הזמן שחלף ו</w:t>
      </w:r>
      <w:r>
        <w:rPr>
          <w:rFonts w:hint="cs"/>
          <w:rtl/>
        </w:rPr>
        <w:t>את</w:t>
      </w:r>
      <w:r w:rsidRPr="00A575B7">
        <w:rPr>
          <w:rtl/>
        </w:rPr>
        <w:t xml:space="preserve"> צפי הזמנים לסיום ההליך. ככל שההליך המשפטי מתארך נוטים בתי המשפט לצמצם את היקף החילוט שנקבע בראשית ההליך</w:t>
      </w:r>
      <w:r w:rsidRPr="00894EDE">
        <w:rPr>
          <w:rFonts w:ascii="David" w:hAnsi="David"/>
          <w:vertAlign w:val="superscript"/>
        </w:rPr>
        <w:footnoteReference w:id="66"/>
      </w:r>
      <w:r w:rsidRPr="00A575B7">
        <w:rPr>
          <w:rtl/>
        </w:rPr>
        <w:t>.</w:t>
      </w:r>
    </w:p>
    <w:p w14:paraId="75A8D7B3" w14:textId="77777777" w:rsidR="00F368B6" w:rsidRDefault="00F368B6" w:rsidP="00277316">
      <w:pPr>
        <w:pStyle w:val="100"/>
        <w:rPr>
          <w:rtl/>
        </w:rPr>
      </w:pPr>
      <w:r w:rsidRPr="00A575B7">
        <w:rPr>
          <w:rtl/>
        </w:rPr>
        <w:t>גורמים בכירים בפרקליטות המדינה העריכו את הנזקים שנגרמים למדינה מה</w:t>
      </w:r>
      <w:r>
        <w:rPr>
          <w:rFonts w:hint="cs"/>
          <w:rtl/>
        </w:rPr>
        <w:t>תמשכות ההליכים המשפטיים (הנאמדת בשלוש עד חמש שנים)</w:t>
      </w:r>
      <w:r>
        <w:rPr>
          <w:rFonts w:hint="cs"/>
        </w:rPr>
        <w:t xml:space="preserve"> </w:t>
      </w:r>
      <w:r w:rsidRPr="00A575B7">
        <w:rPr>
          <w:rtl/>
        </w:rPr>
        <w:t>בתיקים ה</w:t>
      </w:r>
      <w:r>
        <w:rPr>
          <w:rFonts w:hint="cs"/>
          <w:rtl/>
        </w:rPr>
        <w:t xml:space="preserve">כוללים אכיפה </w:t>
      </w:r>
      <w:r w:rsidRPr="00A575B7">
        <w:rPr>
          <w:rtl/>
        </w:rPr>
        <w:t>כלכלי</w:t>
      </w:r>
      <w:r>
        <w:rPr>
          <w:rFonts w:hint="cs"/>
          <w:rtl/>
        </w:rPr>
        <w:t xml:space="preserve">ת </w:t>
      </w:r>
      <w:r w:rsidRPr="00A575B7">
        <w:rPr>
          <w:rtl/>
        </w:rPr>
        <w:t>במאות רבות של מיליוני ש"ח.</w:t>
      </w:r>
      <w:r w:rsidRPr="00A575B7">
        <w:t xml:space="preserve"> </w:t>
      </w:r>
    </w:p>
    <w:p w14:paraId="53535D5E" w14:textId="77777777" w:rsidR="00F368B6" w:rsidRDefault="00F368B6" w:rsidP="00277316">
      <w:pPr>
        <w:pStyle w:val="100"/>
      </w:pPr>
      <w:r>
        <w:rPr>
          <w:rFonts w:hint="cs"/>
          <w:rtl/>
        </w:rPr>
        <w:t xml:space="preserve">באפריל 2019, במסגרת דיון של צוות המשנה לענייני חקיקה ומשפט של הוועדה המתמדת, הוחלט לבחון את הצעת הפרקליטות לתיקון </w:t>
      </w:r>
      <w:r w:rsidRPr="00C34C30">
        <w:rPr>
          <w:rtl/>
        </w:rPr>
        <w:t xml:space="preserve">חוק סדר הדין הפלילי [נוסח משולב], </w:t>
      </w:r>
      <w:r>
        <w:rPr>
          <w:rFonts w:hint="cs"/>
          <w:rtl/>
        </w:rPr>
        <w:t>ה</w:t>
      </w:r>
      <w:r w:rsidRPr="00C34C30">
        <w:rPr>
          <w:rtl/>
        </w:rPr>
        <w:t>תשמ"ב-1982</w:t>
      </w:r>
      <w:r>
        <w:rPr>
          <w:rFonts w:hint="cs"/>
          <w:rtl/>
        </w:rPr>
        <w:t>,</w:t>
      </w:r>
      <w:r w:rsidRPr="00C34C30">
        <w:rPr>
          <w:rFonts w:hint="cs"/>
          <w:rtl/>
        </w:rPr>
        <w:t xml:space="preserve"> </w:t>
      </w:r>
      <w:r>
        <w:rPr>
          <w:rFonts w:hint="cs"/>
          <w:rtl/>
        </w:rPr>
        <w:t xml:space="preserve">ולקבוע סדרי דין חדשים כדי לייעל את הטיפול ב"מגה-תיקים". </w:t>
      </w:r>
    </w:p>
    <w:p w14:paraId="5266C77B" w14:textId="77777777" w:rsidR="00F368B6" w:rsidRDefault="00F368B6" w:rsidP="00277316">
      <w:pPr>
        <w:pStyle w:val="af1"/>
        <w:rPr>
          <w:rtl/>
        </w:rPr>
      </w:pPr>
      <w:r>
        <w:rPr>
          <w:rFonts w:hint="cs"/>
          <w:rtl/>
        </w:rPr>
        <w:t xml:space="preserve">נמצא כי </w:t>
      </w:r>
      <w:r w:rsidRPr="00946808">
        <w:rPr>
          <w:rtl/>
        </w:rPr>
        <w:t>ההליכים המשפטיים בתיקים הכלכליים</w:t>
      </w:r>
      <w:r w:rsidRPr="00946808">
        <w:rPr>
          <w:rFonts w:hint="cs"/>
          <w:rtl/>
        </w:rPr>
        <w:t xml:space="preserve"> </w:t>
      </w:r>
      <w:r>
        <w:rPr>
          <w:rFonts w:hint="cs"/>
          <w:rtl/>
        </w:rPr>
        <w:t xml:space="preserve">נמשכים זמן ארוך. </w:t>
      </w:r>
    </w:p>
    <w:p w14:paraId="28D955B0" w14:textId="77777777" w:rsidR="00F368B6" w:rsidRPr="00816C07" w:rsidRDefault="00F368B6" w:rsidP="00E53248">
      <w:pPr>
        <w:pStyle w:val="100"/>
        <w:rPr>
          <w:rtl/>
        </w:rPr>
      </w:pPr>
      <w:r w:rsidRPr="00816C07">
        <w:rPr>
          <w:rFonts w:hint="eastAsia"/>
          <w:rtl/>
        </w:rPr>
        <w:t>הנהלת</w:t>
      </w:r>
      <w:r>
        <w:rPr>
          <w:rtl/>
        </w:rPr>
        <w:t xml:space="preserve"> בתי המשפט כתבה בתשובתה כי</w:t>
      </w:r>
      <w:r>
        <w:rPr>
          <w:rFonts w:hint="cs"/>
          <w:rtl/>
        </w:rPr>
        <w:t xml:space="preserve"> </w:t>
      </w:r>
      <w:r>
        <w:rPr>
          <w:rFonts w:hint="eastAsia"/>
          <w:rtl/>
        </w:rPr>
        <w:t>מש</w:t>
      </w:r>
      <w:r>
        <w:rPr>
          <w:rFonts w:hint="cs"/>
          <w:rtl/>
        </w:rPr>
        <w:t>ך</w:t>
      </w:r>
      <w:r w:rsidRPr="00816C07">
        <w:rPr>
          <w:rtl/>
        </w:rPr>
        <w:t xml:space="preserve"> </w:t>
      </w:r>
      <w:r w:rsidRPr="00816C07">
        <w:rPr>
          <w:rFonts w:hint="eastAsia"/>
          <w:rtl/>
        </w:rPr>
        <w:t>הזמן</w:t>
      </w:r>
      <w:r w:rsidRPr="00816C07">
        <w:rPr>
          <w:rtl/>
        </w:rPr>
        <w:t xml:space="preserve"> </w:t>
      </w:r>
      <w:r>
        <w:rPr>
          <w:rFonts w:hint="eastAsia"/>
          <w:rtl/>
        </w:rPr>
        <w:t>הדרוש</w:t>
      </w:r>
      <w:r w:rsidRPr="00816C07">
        <w:rPr>
          <w:rtl/>
        </w:rPr>
        <w:t xml:space="preserve"> </w:t>
      </w:r>
      <w:r w:rsidRPr="00816C07">
        <w:rPr>
          <w:rFonts w:hint="eastAsia"/>
          <w:rtl/>
        </w:rPr>
        <w:t>לטיפול</w:t>
      </w:r>
      <w:r w:rsidRPr="00816C07">
        <w:rPr>
          <w:rtl/>
        </w:rPr>
        <w:t xml:space="preserve"> </w:t>
      </w:r>
      <w:r w:rsidRPr="00816C07">
        <w:rPr>
          <w:rFonts w:hint="eastAsia"/>
          <w:rtl/>
        </w:rPr>
        <w:t>ב</w:t>
      </w:r>
      <w:r>
        <w:rPr>
          <w:rFonts w:hint="cs"/>
          <w:rtl/>
        </w:rPr>
        <w:t>כל תיק נת</w:t>
      </w:r>
      <w:r w:rsidRPr="00816C07">
        <w:rPr>
          <w:rFonts w:hint="eastAsia"/>
          <w:rtl/>
        </w:rPr>
        <w:t>ו</w:t>
      </w:r>
      <w:r>
        <w:rPr>
          <w:rFonts w:hint="cs"/>
          <w:rtl/>
        </w:rPr>
        <w:t>ן לשיקול דעת השופט שדן בו</w:t>
      </w:r>
      <w:r w:rsidRPr="00816C07">
        <w:rPr>
          <w:rtl/>
        </w:rPr>
        <w:t xml:space="preserve">. </w:t>
      </w:r>
      <w:r w:rsidRPr="00816C07">
        <w:rPr>
          <w:rFonts w:hint="eastAsia"/>
          <w:rtl/>
        </w:rPr>
        <w:t>עוד</w:t>
      </w:r>
      <w:r w:rsidRPr="00816C07">
        <w:rPr>
          <w:rtl/>
        </w:rPr>
        <w:t xml:space="preserve"> מסרה כי חלק ניכר מהתמשכות ההליכים נובע מהליכים מקדמיים, שעל פי רוב לא מתעכבים בגלל בית המשפט</w:t>
      </w:r>
      <w:r>
        <w:rPr>
          <w:rFonts w:hint="cs"/>
          <w:rtl/>
        </w:rPr>
        <w:t>, וכי גם עומס התיקים משפיע על משך ההליכים</w:t>
      </w:r>
      <w:r w:rsidRPr="00816C07">
        <w:rPr>
          <w:rtl/>
        </w:rPr>
        <w:t xml:space="preserve">. כמו כן נכתב כי </w:t>
      </w:r>
      <w:r w:rsidRPr="00816C07">
        <w:rPr>
          <w:rFonts w:hint="eastAsia"/>
          <w:rtl/>
        </w:rPr>
        <w:t>נתונים</w:t>
      </w:r>
      <w:r w:rsidRPr="00816C07">
        <w:rPr>
          <w:rtl/>
        </w:rPr>
        <w:t xml:space="preserve"> </w:t>
      </w:r>
      <w:r>
        <w:rPr>
          <w:rFonts w:hint="cs"/>
          <w:rtl/>
        </w:rPr>
        <w:t>על</w:t>
      </w:r>
      <w:r>
        <w:rPr>
          <w:rtl/>
        </w:rPr>
        <w:t xml:space="preserve"> </w:t>
      </w:r>
      <w:r w:rsidRPr="00816C07">
        <w:rPr>
          <w:rtl/>
        </w:rPr>
        <w:t>אורך חיי התיק ה</w:t>
      </w:r>
      <w:r w:rsidRPr="00816C07">
        <w:rPr>
          <w:rFonts w:hint="eastAsia"/>
          <w:rtl/>
        </w:rPr>
        <w:t>תקבלו</w:t>
      </w:r>
      <w:r w:rsidRPr="00816C07">
        <w:rPr>
          <w:rtl/>
        </w:rPr>
        <w:t xml:space="preserve"> </w:t>
      </w:r>
      <w:r w:rsidRPr="00816C07">
        <w:rPr>
          <w:rFonts w:hint="eastAsia"/>
          <w:rtl/>
        </w:rPr>
        <w:t>מהפרקליטות</w:t>
      </w:r>
      <w:r w:rsidRPr="00816C07">
        <w:rPr>
          <w:rtl/>
        </w:rPr>
        <w:t xml:space="preserve"> </w:t>
      </w:r>
      <w:r w:rsidRPr="00816C07">
        <w:rPr>
          <w:rFonts w:hint="eastAsia"/>
          <w:rtl/>
        </w:rPr>
        <w:t>ולא</w:t>
      </w:r>
      <w:r w:rsidRPr="00816C07">
        <w:rPr>
          <w:rtl/>
        </w:rPr>
        <w:t xml:space="preserve"> </w:t>
      </w:r>
      <w:r w:rsidRPr="00816C07">
        <w:rPr>
          <w:rFonts w:hint="eastAsia"/>
          <w:rtl/>
        </w:rPr>
        <w:t>הובאו</w:t>
      </w:r>
      <w:r w:rsidRPr="00816C07">
        <w:rPr>
          <w:rtl/>
        </w:rPr>
        <w:t xml:space="preserve"> </w:t>
      </w:r>
      <w:r w:rsidRPr="00816C07">
        <w:rPr>
          <w:rFonts w:hint="eastAsia"/>
          <w:rtl/>
        </w:rPr>
        <w:t>בפני</w:t>
      </w:r>
      <w:r w:rsidRPr="00816C07">
        <w:rPr>
          <w:rtl/>
        </w:rPr>
        <w:t xml:space="preserve"> הנהלת בתי המשפט</w:t>
      </w:r>
      <w:r>
        <w:rPr>
          <w:rFonts w:hint="cs"/>
          <w:rtl/>
        </w:rPr>
        <w:t>,</w:t>
      </w:r>
      <w:r w:rsidRPr="00816C07">
        <w:rPr>
          <w:rtl/>
        </w:rPr>
        <w:t xml:space="preserve"> ועל כן אין באפשרותה להתייחס </w:t>
      </w:r>
      <w:r>
        <w:rPr>
          <w:rFonts w:hint="cs"/>
          <w:rtl/>
        </w:rPr>
        <w:t>אליהם</w:t>
      </w:r>
      <w:r w:rsidRPr="00816C07">
        <w:rPr>
          <w:rtl/>
        </w:rPr>
        <w:t xml:space="preserve">. </w:t>
      </w:r>
    </w:p>
    <w:p w14:paraId="386B2253" w14:textId="77777777" w:rsidR="00F368B6" w:rsidRDefault="00F368B6" w:rsidP="00E53248">
      <w:pPr>
        <w:pStyle w:val="af1"/>
        <w:rPr>
          <w:rtl/>
        </w:rPr>
      </w:pPr>
      <w:r w:rsidRPr="00946808">
        <w:rPr>
          <w:rFonts w:hint="cs"/>
          <w:rtl/>
        </w:rPr>
        <w:t xml:space="preserve">משרד מבקר המדינה ממליץ למשרד המשפטים ולהנהלת בתי המשפט לבחון את משכי הזמן לטיפול בהליכים </w:t>
      </w:r>
      <w:r w:rsidRPr="00946808">
        <w:rPr>
          <w:rtl/>
        </w:rPr>
        <w:t>המשפטיים בתיקים הכלכליים</w:t>
      </w:r>
      <w:r w:rsidRPr="00946808">
        <w:rPr>
          <w:rFonts w:hint="cs"/>
          <w:rtl/>
        </w:rPr>
        <w:t xml:space="preserve"> ולפעול לקיצורם. התמשכות ההלי</w:t>
      </w:r>
      <w:r>
        <w:rPr>
          <w:rFonts w:hint="cs"/>
          <w:rtl/>
        </w:rPr>
        <w:t>כים</w:t>
      </w:r>
      <w:r w:rsidRPr="00946808">
        <w:rPr>
          <w:rFonts w:hint="cs"/>
          <w:rtl/>
        </w:rPr>
        <w:t xml:space="preserve"> עלולה לפגוע </w:t>
      </w:r>
      <w:r w:rsidRPr="00946808">
        <w:rPr>
          <w:rFonts w:hint="eastAsia"/>
          <w:rtl/>
        </w:rPr>
        <w:t>בקופה</w:t>
      </w:r>
      <w:r w:rsidRPr="00946808">
        <w:rPr>
          <w:rtl/>
        </w:rPr>
        <w:t xml:space="preserve"> הציבורי</w:t>
      </w:r>
      <w:r w:rsidRPr="00946808">
        <w:rPr>
          <w:rFonts w:hint="eastAsia"/>
          <w:rtl/>
        </w:rPr>
        <w:t>ת</w:t>
      </w:r>
      <w:r w:rsidRPr="00946808">
        <w:rPr>
          <w:rtl/>
        </w:rPr>
        <w:t>, טומנ</w:t>
      </w:r>
      <w:r w:rsidRPr="00946808">
        <w:rPr>
          <w:rFonts w:hint="cs"/>
          <w:rtl/>
        </w:rPr>
        <w:t>ת</w:t>
      </w:r>
      <w:r w:rsidRPr="00946808">
        <w:rPr>
          <w:rtl/>
        </w:rPr>
        <w:t xml:space="preserve"> בחוב</w:t>
      </w:r>
      <w:r w:rsidRPr="00946808">
        <w:rPr>
          <w:rFonts w:hint="cs"/>
          <w:rtl/>
        </w:rPr>
        <w:t>ה</w:t>
      </w:r>
      <w:r w:rsidRPr="00946808">
        <w:rPr>
          <w:rtl/>
        </w:rPr>
        <w:t xml:space="preserve"> פגיעה אפשרית בזכויות הקניין </w:t>
      </w:r>
      <w:r w:rsidRPr="00946808">
        <w:rPr>
          <w:rFonts w:hint="eastAsia"/>
          <w:rtl/>
        </w:rPr>
        <w:t>של</w:t>
      </w:r>
      <w:r w:rsidRPr="00946808">
        <w:rPr>
          <w:rtl/>
        </w:rPr>
        <w:t xml:space="preserve"> הנאשמים, י</w:t>
      </w:r>
      <w:r w:rsidRPr="00946808">
        <w:rPr>
          <w:rFonts w:hint="cs"/>
          <w:rtl/>
        </w:rPr>
        <w:t>ו</w:t>
      </w:r>
      <w:r w:rsidRPr="00946808">
        <w:rPr>
          <w:rtl/>
        </w:rPr>
        <w:t>צר</w:t>
      </w:r>
      <w:r w:rsidRPr="00946808">
        <w:rPr>
          <w:rFonts w:hint="cs"/>
          <w:rtl/>
        </w:rPr>
        <w:t>ת</w:t>
      </w:r>
      <w:r w:rsidRPr="00946808">
        <w:rPr>
          <w:rtl/>
        </w:rPr>
        <w:t xml:space="preserve"> עומס התדיינות </w:t>
      </w:r>
      <w:r w:rsidRPr="00946808">
        <w:rPr>
          <w:rFonts w:hint="cs"/>
          <w:rtl/>
        </w:rPr>
        <w:t>ומחלישה</w:t>
      </w:r>
      <w:r w:rsidRPr="00946808">
        <w:rPr>
          <w:rtl/>
        </w:rPr>
        <w:t xml:space="preserve"> את אפקטיביות ההל</w:t>
      </w:r>
      <w:r w:rsidRPr="00946808">
        <w:rPr>
          <w:rFonts w:hint="cs"/>
          <w:rtl/>
        </w:rPr>
        <w:t>יכים</w:t>
      </w:r>
      <w:r w:rsidRPr="00946808">
        <w:rPr>
          <w:rtl/>
        </w:rPr>
        <w:t xml:space="preserve"> והסנקציות המוטלות לפי</w:t>
      </w:r>
      <w:r w:rsidRPr="00946808">
        <w:rPr>
          <w:rFonts w:hint="cs"/>
          <w:rtl/>
        </w:rPr>
        <w:t>הם</w:t>
      </w:r>
      <w:r w:rsidRPr="00946808">
        <w:rPr>
          <w:rtl/>
        </w:rPr>
        <w:t>.</w:t>
      </w:r>
    </w:p>
    <w:p w14:paraId="757BC3EF" w14:textId="77777777" w:rsidR="00F368B6" w:rsidRPr="004408EE" w:rsidRDefault="00F368B6" w:rsidP="00E53248">
      <w:pPr>
        <w:pStyle w:val="414"/>
        <w:rPr>
          <w:rtl/>
        </w:rPr>
      </w:pPr>
      <w:bookmarkStart w:id="18" w:name="_Toc24370968"/>
      <w:r w:rsidRPr="007408C5">
        <w:rPr>
          <w:rStyle w:val="Heading4Char"/>
          <w:rFonts w:hint="eastAsia"/>
          <w:bCs w:val="0"/>
          <w:sz w:val="26"/>
          <w:rtl/>
        </w:rPr>
        <w:t>היעדר</w:t>
      </w:r>
      <w:r w:rsidRPr="007408C5">
        <w:rPr>
          <w:rStyle w:val="Heading4Char"/>
          <w:bCs w:val="0"/>
          <w:sz w:val="26"/>
          <w:rtl/>
        </w:rPr>
        <w:t xml:space="preserve"> </w:t>
      </w:r>
      <w:r w:rsidRPr="007408C5">
        <w:rPr>
          <w:rStyle w:val="Heading4Char"/>
          <w:rFonts w:hint="eastAsia"/>
          <w:bCs w:val="0"/>
          <w:sz w:val="26"/>
          <w:rtl/>
        </w:rPr>
        <w:t>משאבי</w:t>
      </w:r>
      <w:r w:rsidRPr="007408C5">
        <w:rPr>
          <w:rStyle w:val="Heading4Char"/>
          <w:bCs w:val="0"/>
          <w:sz w:val="26"/>
          <w:rtl/>
        </w:rPr>
        <w:t xml:space="preserve"> שיפוט לשמיעת </w:t>
      </w:r>
      <w:r w:rsidRPr="007408C5">
        <w:rPr>
          <w:rStyle w:val="Heading4Char"/>
          <w:rFonts w:hint="eastAsia"/>
          <w:bCs w:val="0"/>
          <w:sz w:val="26"/>
          <w:rtl/>
        </w:rPr>
        <w:t>תיקים</w:t>
      </w:r>
      <w:r w:rsidRPr="007408C5">
        <w:rPr>
          <w:rStyle w:val="Heading4Char"/>
          <w:bCs w:val="0"/>
          <w:sz w:val="26"/>
          <w:rtl/>
        </w:rPr>
        <w:t xml:space="preserve"> </w:t>
      </w:r>
      <w:bookmarkEnd w:id="18"/>
      <w:r>
        <w:rPr>
          <w:rStyle w:val="Heading4Char"/>
          <w:rFonts w:hint="cs"/>
          <w:bCs w:val="0"/>
          <w:sz w:val="26"/>
          <w:rtl/>
        </w:rPr>
        <w:t>כלכליים</w:t>
      </w:r>
    </w:p>
    <w:p w14:paraId="55A249DD" w14:textId="77777777" w:rsidR="00F368B6" w:rsidRPr="000C5E59" w:rsidRDefault="00F368B6" w:rsidP="00E53248">
      <w:pPr>
        <w:pStyle w:val="100"/>
        <w:rPr>
          <w:rtl/>
        </w:rPr>
      </w:pPr>
      <w:r w:rsidRPr="000C5E59">
        <w:rPr>
          <w:rFonts w:hint="cs"/>
          <w:rtl/>
        </w:rPr>
        <w:t>מפגישות שקיים צוות הביקורת עם גורמים מקצועיים וגורמים בכירים בפרקליטות עלה כי בתי המשפט מתקשים להתמודד עם תיקים כלכליים רחבי היקף ("מגה-תיקים") וכי הם אינם רצויים במערכת. להלן כמה התייחסויות לנושא זה:</w:t>
      </w:r>
    </w:p>
    <w:p w14:paraId="533DCB44" w14:textId="28224BAD" w:rsidR="00F368B6" w:rsidRDefault="00F368B6" w:rsidP="00E53248">
      <w:pPr>
        <w:pStyle w:val="a0"/>
        <w:numPr>
          <w:ilvl w:val="0"/>
          <w:numId w:val="13"/>
        </w:numPr>
      </w:pPr>
      <w:r>
        <w:rPr>
          <w:rFonts w:hint="cs"/>
          <w:rtl/>
        </w:rPr>
        <w:t xml:space="preserve">המשנה לפרקליט המדינה (אכיפה כלכלית) לשעבר מסר כי </w:t>
      </w:r>
      <w:r w:rsidRPr="00F93E9B">
        <w:rPr>
          <w:rtl/>
        </w:rPr>
        <w:t xml:space="preserve">נשיאי בתי משפט </w:t>
      </w:r>
      <w:r>
        <w:rPr>
          <w:rFonts w:hint="cs"/>
          <w:rtl/>
        </w:rPr>
        <w:t>ב</w:t>
      </w:r>
      <w:r w:rsidRPr="00F93E9B">
        <w:rPr>
          <w:rtl/>
        </w:rPr>
        <w:t xml:space="preserve">מחוזות שונים ביקשו מפרקליטי המחוזות להפסיק להציף את המערכת בתיקי הלבנת הון, </w:t>
      </w:r>
      <w:r>
        <w:rPr>
          <w:rFonts w:hint="cs"/>
          <w:rtl/>
        </w:rPr>
        <w:t>מאחר</w:t>
      </w:r>
      <w:r w:rsidRPr="00F93E9B">
        <w:rPr>
          <w:rtl/>
        </w:rPr>
        <w:t xml:space="preserve"> </w:t>
      </w:r>
      <w:r>
        <w:rPr>
          <w:rFonts w:hint="cs"/>
          <w:rtl/>
        </w:rPr>
        <w:t>ש</w:t>
      </w:r>
      <w:r w:rsidRPr="00F93E9B">
        <w:rPr>
          <w:rtl/>
        </w:rPr>
        <w:t>"מגה</w:t>
      </w:r>
      <w:r>
        <w:rPr>
          <w:rFonts w:hint="cs"/>
          <w:rtl/>
        </w:rPr>
        <w:t>-</w:t>
      </w:r>
      <w:r w:rsidRPr="00F93E9B">
        <w:rPr>
          <w:rtl/>
        </w:rPr>
        <w:t xml:space="preserve">תיקים" </w:t>
      </w:r>
      <w:r>
        <w:rPr>
          <w:rFonts w:hint="cs"/>
          <w:rtl/>
        </w:rPr>
        <w:t xml:space="preserve">כאלה </w:t>
      </w:r>
      <w:r w:rsidRPr="00F93E9B">
        <w:rPr>
          <w:rtl/>
        </w:rPr>
        <w:t>מעמיסים על</w:t>
      </w:r>
      <w:r>
        <w:rPr>
          <w:rFonts w:hint="cs"/>
          <w:rtl/>
        </w:rPr>
        <w:t>יה</w:t>
      </w:r>
      <w:r w:rsidRPr="00F93E9B">
        <w:rPr>
          <w:rtl/>
        </w:rPr>
        <w:t xml:space="preserve"> וסותמים אותה, ובתי המשפט קורסים תחת </w:t>
      </w:r>
      <w:r>
        <w:rPr>
          <w:rFonts w:hint="cs"/>
          <w:rtl/>
        </w:rPr>
        <w:t>ה</w:t>
      </w:r>
      <w:r w:rsidRPr="00F93E9B">
        <w:rPr>
          <w:rtl/>
        </w:rPr>
        <w:t>עול</w:t>
      </w:r>
      <w:r w:rsidRPr="00F93E9B">
        <w:rPr>
          <w:rFonts w:hint="cs"/>
          <w:rtl/>
        </w:rPr>
        <w:t>.</w:t>
      </w:r>
    </w:p>
    <w:p w14:paraId="5076279A" w14:textId="77777777" w:rsidR="00F368B6" w:rsidRDefault="00F368B6" w:rsidP="00E53248">
      <w:pPr>
        <w:pStyle w:val="a0"/>
      </w:pPr>
      <w:r w:rsidRPr="00652FAC">
        <w:rPr>
          <w:rtl/>
        </w:rPr>
        <w:t xml:space="preserve">בנייר עמדה שהגישו גורמים בכירים בפרקליטות המדינה לפרקליט המדינה, </w:t>
      </w:r>
      <w:r w:rsidRPr="00652FAC">
        <w:rPr>
          <w:rFonts w:hint="eastAsia"/>
          <w:rtl/>
        </w:rPr>
        <w:t>צוין</w:t>
      </w:r>
      <w:r w:rsidRPr="00652FAC">
        <w:rPr>
          <w:rtl/>
        </w:rPr>
        <w:t xml:space="preserve"> </w:t>
      </w:r>
      <w:r w:rsidRPr="00FF1CF5">
        <w:rPr>
          <w:rtl/>
        </w:rPr>
        <w:t xml:space="preserve">כי </w:t>
      </w:r>
      <w:r w:rsidRPr="00FF1CF5">
        <w:rPr>
          <w:rFonts w:hint="eastAsia"/>
          <w:rtl/>
        </w:rPr>
        <w:t>פרקליטי</w:t>
      </w:r>
      <w:r w:rsidRPr="00FF1CF5">
        <w:rPr>
          <w:rtl/>
        </w:rPr>
        <w:t xml:space="preserve"> </w:t>
      </w:r>
      <w:r w:rsidRPr="00FF1CF5">
        <w:rPr>
          <w:rFonts w:hint="eastAsia"/>
          <w:rtl/>
        </w:rPr>
        <w:t>מחוז</w:t>
      </w:r>
      <w:r w:rsidRPr="00FF1CF5">
        <w:rPr>
          <w:rtl/>
        </w:rPr>
        <w:t xml:space="preserve"> </w:t>
      </w:r>
      <w:r w:rsidRPr="00FF1CF5">
        <w:rPr>
          <w:rFonts w:hint="eastAsia"/>
          <w:rtl/>
        </w:rPr>
        <w:t>רבים</w:t>
      </w:r>
      <w:r w:rsidRPr="00FF1CF5">
        <w:rPr>
          <w:rtl/>
        </w:rPr>
        <w:t xml:space="preserve"> </w:t>
      </w:r>
      <w:r w:rsidRPr="00FF1CF5">
        <w:rPr>
          <w:rFonts w:hint="eastAsia"/>
          <w:rtl/>
        </w:rPr>
        <w:t>מסרו</w:t>
      </w:r>
      <w:r w:rsidRPr="00FF1CF5">
        <w:rPr>
          <w:rtl/>
        </w:rPr>
        <w:t xml:space="preserve"> </w:t>
      </w:r>
      <w:r w:rsidRPr="00FF1CF5">
        <w:rPr>
          <w:rFonts w:hint="eastAsia"/>
          <w:rtl/>
        </w:rPr>
        <w:t>שקיבלו</w:t>
      </w:r>
      <w:r w:rsidRPr="00FF1CF5">
        <w:rPr>
          <w:rtl/>
        </w:rPr>
        <w:t xml:space="preserve"> </w:t>
      </w:r>
      <w:r w:rsidRPr="00FF1CF5">
        <w:rPr>
          <w:rFonts w:hint="eastAsia"/>
          <w:rtl/>
        </w:rPr>
        <w:t>מסרים</w:t>
      </w:r>
      <w:r w:rsidRPr="00FF1CF5">
        <w:rPr>
          <w:rtl/>
        </w:rPr>
        <w:t xml:space="preserve"> </w:t>
      </w:r>
      <w:r w:rsidRPr="00FF1CF5">
        <w:rPr>
          <w:rFonts w:hint="eastAsia"/>
          <w:rtl/>
        </w:rPr>
        <w:t>ישירים</w:t>
      </w:r>
      <w:r w:rsidRPr="00FF1CF5">
        <w:rPr>
          <w:rtl/>
        </w:rPr>
        <w:t xml:space="preserve"> </w:t>
      </w:r>
      <w:r w:rsidRPr="00FF1CF5">
        <w:rPr>
          <w:rFonts w:hint="eastAsia"/>
          <w:rtl/>
        </w:rPr>
        <w:t>ועקיפים</w:t>
      </w:r>
      <w:r w:rsidRPr="00FF1CF5">
        <w:rPr>
          <w:rtl/>
        </w:rPr>
        <w:t xml:space="preserve"> </w:t>
      </w:r>
      <w:r w:rsidRPr="00FF1CF5">
        <w:rPr>
          <w:rFonts w:hint="eastAsia"/>
          <w:rtl/>
        </w:rPr>
        <w:t>מבתי</w:t>
      </w:r>
      <w:r w:rsidRPr="00FF1CF5">
        <w:rPr>
          <w:rtl/>
        </w:rPr>
        <w:t xml:space="preserve"> </w:t>
      </w:r>
      <w:r w:rsidRPr="00FF1CF5">
        <w:rPr>
          <w:rFonts w:hint="eastAsia"/>
          <w:rtl/>
        </w:rPr>
        <w:t>המשפט</w:t>
      </w:r>
      <w:r w:rsidRPr="00FF1CF5">
        <w:rPr>
          <w:rtl/>
        </w:rPr>
        <w:t xml:space="preserve"> </w:t>
      </w:r>
      <w:r w:rsidRPr="00FF1CF5">
        <w:rPr>
          <w:rFonts w:hint="eastAsia"/>
          <w:rtl/>
        </w:rPr>
        <w:t>במחוזם</w:t>
      </w:r>
      <w:r w:rsidRPr="00FF1CF5">
        <w:rPr>
          <w:rtl/>
        </w:rPr>
        <w:t xml:space="preserve"> </w:t>
      </w:r>
      <w:r>
        <w:rPr>
          <w:rFonts w:hint="cs"/>
          <w:rtl/>
        </w:rPr>
        <w:t xml:space="preserve">לגבי </w:t>
      </w:r>
      <w:r w:rsidRPr="00FF1CF5">
        <w:rPr>
          <w:rFonts w:hint="eastAsia"/>
          <w:rtl/>
        </w:rPr>
        <w:t>הגשת</w:t>
      </w:r>
      <w:r w:rsidRPr="00FF1CF5">
        <w:rPr>
          <w:rtl/>
        </w:rPr>
        <w:t xml:space="preserve"> </w:t>
      </w:r>
      <w:r w:rsidRPr="00FF1CF5">
        <w:rPr>
          <w:rFonts w:hint="eastAsia"/>
          <w:rtl/>
        </w:rPr>
        <w:t>תיקים</w:t>
      </w:r>
      <w:r w:rsidRPr="00FF1CF5">
        <w:rPr>
          <w:rtl/>
        </w:rPr>
        <w:t xml:space="preserve"> </w:t>
      </w:r>
      <w:r w:rsidRPr="00FF1CF5">
        <w:rPr>
          <w:rFonts w:hint="eastAsia"/>
          <w:rtl/>
        </w:rPr>
        <w:t>אלו</w:t>
      </w:r>
      <w:r>
        <w:rPr>
          <w:rFonts w:hint="cs"/>
          <w:rtl/>
        </w:rPr>
        <w:t>:</w:t>
      </w:r>
      <w:r w:rsidRPr="00FF1CF5">
        <w:rPr>
          <w:rtl/>
        </w:rPr>
        <w:t xml:space="preserve"> </w:t>
      </w:r>
      <w:r w:rsidRPr="00FF1CF5">
        <w:rPr>
          <w:rFonts w:hint="eastAsia"/>
          <w:rtl/>
        </w:rPr>
        <w:t>בקשות</w:t>
      </w:r>
      <w:r w:rsidRPr="00FF1CF5">
        <w:rPr>
          <w:rtl/>
        </w:rPr>
        <w:t xml:space="preserve"> </w:t>
      </w:r>
      <w:r w:rsidRPr="00FF1CF5">
        <w:rPr>
          <w:rFonts w:hint="eastAsia"/>
          <w:rtl/>
        </w:rPr>
        <w:t>ישירות</w:t>
      </w:r>
      <w:r w:rsidRPr="00FF1CF5">
        <w:rPr>
          <w:rtl/>
        </w:rPr>
        <w:t xml:space="preserve"> </w:t>
      </w:r>
      <w:r w:rsidRPr="00FF1CF5">
        <w:rPr>
          <w:rFonts w:hint="eastAsia"/>
          <w:rtl/>
        </w:rPr>
        <w:t>שלא</w:t>
      </w:r>
      <w:r w:rsidRPr="00FF1CF5">
        <w:rPr>
          <w:rtl/>
        </w:rPr>
        <w:t xml:space="preserve"> </w:t>
      </w:r>
      <w:r w:rsidRPr="00FF1CF5">
        <w:rPr>
          <w:rFonts w:hint="eastAsia"/>
          <w:rtl/>
        </w:rPr>
        <w:t>להגיש</w:t>
      </w:r>
      <w:r w:rsidRPr="00FF1CF5">
        <w:rPr>
          <w:rtl/>
        </w:rPr>
        <w:t xml:space="preserve"> </w:t>
      </w:r>
      <w:r w:rsidRPr="00FF1CF5">
        <w:rPr>
          <w:rFonts w:hint="eastAsia"/>
          <w:rtl/>
        </w:rPr>
        <w:t>תיקים</w:t>
      </w:r>
      <w:r w:rsidRPr="00FF1CF5">
        <w:rPr>
          <w:rtl/>
        </w:rPr>
        <w:t xml:space="preserve"> </w:t>
      </w:r>
      <w:r w:rsidRPr="00FF1CF5">
        <w:rPr>
          <w:rFonts w:hint="eastAsia"/>
          <w:rtl/>
        </w:rPr>
        <w:t>מסוג</w:t>
      </w:r>
      <w:r w:rsidRPr="00FF1CF5">
        <w:rPr>
          <w:rtl/>
        </w:rPr>
        <w:t xml:space="preserve"> </w:t>
      </w:r>
      <w:r w:rsidRPr="00FF1CF5">
        <w:rPr>
          <w:rFonts w:hint="eastAsia"/>
          <w:rtl/>
        </w:rPr>
        <w:t>זה</w:t>
      </w:r>
      <w:r>
        <w:rPr>
          <w:rFonts w:hint="cs"/>
          <w:rtl/>
        </w:rPr>
        <w:t>,</w:t>
      </w:r>
      <w:r>
        <w:rPr>
          <w:rtl/>
        </w:rPr>
        <w:t xml:space="preserve"> </w:t>
      </w:r>
      <w:r>
        <w:rPr>
          <w:rFonts w:hint="cs"/>
          <w:rtl/>
        </w:rPr>
        <w:t>ו</w:t>
      </w:r>
      <w:r w:rsidRPr="0038113D">
        <w:rPr>
          <w:rFonts w:hint="eastAsia"/>
          <w:rtl/>
        </w:rPr>
        <w:t>מסרים</w:t>
      </w:r>
      <w:r w:rsidRPr="0038113D">
        <w:rPr>
          <w:rtl/>
        </w:rPr>
        <w:t xml:space="preserve"> </w:t>
      </w:r>
      <w:r w:rsidRPr="0038113D">
        <w:rPr>
          <w:rFonts w:hint="eastAsia"/>
          <w:rtl/>
        </w:rPr>
        <w:t>מהשופטים</w:t>
      </w:r>
      <w:r w:rsidRPr="0038113D">
        <w:rPr>
          <w:rtl/>
        </w:rPr>
        <w:t xml:space="preserve"> </w:t>
      </w:r>
      <w:r w:rsidRPr="0038113D">
        <w:rPr>
          <w:rFonts w:hint="eastAsia"/>
          <w:rtl/>
        </w:rPr>
        <w:t>שבפניהם</w:t>
      </w:r>
      <w:r w:rsidRPr="0038113D">
        <w:rPr>
          <w:rtl/>
        </w:rPr>
        <w:t xml:space="preserve"> </w:t>
      </w:r>
      <w:r w:rsidRPr="0038113D">
        <w:rPr>
          <w:rFonts w:hint="eastAsia"/>
          <w:rtl/>
        </w:rPr>
        <w:t>מתנהלים</w:t>
      </w:r>
      <w:r w:rsidRPr="0038113D">
        <w:rPr>
          <w:rtl/>
        </w:rPr>
        <w:t xml:space="preserve"> </w:t>
      </w:r>
      <w:r w:rsidRPr="0038113D">
        <w:rPr>
          <w:rFonts w:hint="eastAsia"/>
          <w:rtl/>
        </w:rPr>
        <w:t>התיקים</w:t>
      </w:r>
      <w:r w:rsidRPr="0038113D">
        <w:rPr>
          <w:rtl/>
        </w:rPr>
        <w:t xml:space="preserve"> </w:t>
      </w:r>
      <w:r w:rsidRPr="0038113D">
        <w:rPr>
          <w:rFonts w:hint="eastAsia"/>
          <w:rtl/>
        </w:rPr>
        <w:t>הכלכליים</w:t>
      </w:r>
      <w:r w:rsidRPr="0038113D">
        <w:rPr>
          <w:rtl/>
        </w:rPr>
        <w:t xml:space="preserve"> </w:t>
      </w:r>
      <w:r w:rsidRPr="0038113D">
        <w:rPr>
          <w:rFonts w:hint="eastAsia"/>
          <w:rtl/>
        </w:rPr>
        <w:t>כי</w:t>
      </w:r>
      <w:r w:rsidRPr="0038113D">
        <w:rPr>
          <w:rtl/>
        </w:rPr>
        <w:t xml:space="preserve"> </w:t>
      </w:r>
      <w:r>
        <w:rPr>
          <w:rFonts w:hint="cs"/>
          <w:rtl/>
        </w:rPr>
        <w:t>אלה</w:t>
      </w:r>
      <w:r w:rsidRPr="0038113D">
        <w:rPr>
          <w:rtl/>
        </w:rPr>
        <w:t xml:space="preserve"> "אינם </w:t>
      </w:r>
      <w:r w:rsidRPr="0038113D">
        <w:rPr>
          <w:rFonts w:hint="eastAsia"/>
          <w:rtl/>
        </w:rPr>
        <w:t>רצויים</w:t>
      </w:r>
      <w:r w:rsidRPr="0038113D">
        <w:rPr>
          <w:rtl/>
        </w:rPr>
        <w:t xml:space="preserve">" </w:t>
      </w:r>
      <w:r w:rsidRPr="0038113D">
        <w:rPr>
          <w:rFonts w:hint="eastAsia"/>
          <w:rtl/>
        </w:rPr>
        <w:t>ו</w:t>
      </w:r>
      <w:r w:rsidRPr="0038113D">
        <w:rPr>
          <w:rtl/>
        </w:rPr>
        <w:t>בית המשפט אינו מסוגל להפנות לשמיעתם משאבי שיפוט.</w:t>
      </w:r>
    </w:p>
    <w:p w14:paraId="4F87EB13" w14:textId="77777777" w:rsidR="00F368B6" w:rsidRDefault="00F368B6" w:rsidP="00E53248">
      <w:pPr>
        <w:pStyle w:val="a0"/>
      </w:pPr>
      <w:r w:rsidRPr="000728A1">
        <w:rPr>
          <w:rFonts w:hint="cs"/>
          <w:rtl/>
        </w:rPr>
        <w:lastRenderedPageBreak/>
        <w:t xml:space="preserve">בדיון של הוועדה המתמדת באפריל 2019 </w:t>
      </w:r>
      <w:r w:rsidRPr="000728A1">
        <w:rPr>
          <w:rtl/>
        </w:rPr>
        <w:t>הציגה פרקליטת מחוז ת</w:t>
      </w:r>
      <w:r>
        <w:rPr>
          <w:rFonts w:hint="cs"/>
          <w:rtl/>
        </w:rPr>
        <w:t>ל אביב</w:t>
      </w:r>
      <w:r w:rsidRPr="000728A1">
        <w:rPr>
          <w:rtl/>
        </w:rPr>
        <w:t xml:space="preserve"> (מיסוי וכלכלה)</w:t>
      </w:r>
      <w:r w:rsidRPr="000728A1">
        <w:rPr>
          <w:rFonts w:hint="cs"/>
          <w:rtl/>
        </w:rPr>
        <w:t xml:space="preserve"> בפני הוועדה </w:t>
      </w:r>
      <w:r w:rsidRPr="000728A1">
        <w:rPr>
          <w:rtl/>
        </w:rPr>
        <w:t xml:space="preserve">את המצוקה </w:t>
      </w:r>
      <w:r w:rsidRPr="000728A1">
        <w:rPr>
          <w:rFonts w:hint="cs"/>
          <w:rtl/>
        </w:rPr>
        <w:t>מול</w:t>
      </w:r>
      <w:r w:rsidRPr="000728A1">
        <w:rPr>
          <w:rtl/>
        </w:rPr>
        <w:t xml:space="preserve"> בתי המשפט בהגשת תיקים בתחום </w:t>
      </w:r>
      <w:r>
        <w:rPr>
          <w:rFonts w:hint="cs"/>
          <w:rtl/>
        </w:rPr>
        <w:t xml:space="preserve">זה </w:t>
      </w:r>
      <w:r w:rsidRPr="000728A1">
        <w:rPr>
          <w:rtl/>
        </w:rPr>
        <w:t>ו</w:t>
      </w:r>
      <w:r>
        <w:rPr>
          <w:rFonts w:hint="cs"/>
          <w:rtl/>
        </w:rPr>
        <w:t xml:space="preserve">את </w:t>
      </w:r>
      <w:r w:rsidRPr="000728A1">
        <w:rPr>
          <w:rtl/>
        </w:rPr>
        <w:t>חוסר היכולת של בתי המשפט להתמודד ע</w:t>
      </w:r>
      <w:r>
        <w:rPr>
          <w:rFonts w:hint="cs"/>
          <w:rtl/>
        </w:rPr>
        <w:t>ימם.</w:t>
      </w:r>
      <w:r w:rsidRPr="000728A1">
        <w:rPr>
          <w:rFonts w:hint="cs"/>
          <w:rtl/>
        </w:rPr>
        <w:t xml:space="preserve"> </w:t>
      </w:r>
    </w:p>
    <w:p w14:paraId="65BB7DF5" w14:textId="77777777" w:rsidR="00F368B6" w:rsidRPr="00FF1CF5" w:rsidRDefault="00F368B6" w:rsidP="00323DE0">
      <w:pPr>
        <w:pStyle w:val="100"/>
        <w:rPr>
          <w:rtl/>
        </w:rPr>
      </w:pPr>
      <w:r w:rsidRPr="00323DE0">
        <w:rPr>
          <w:rStyle w:val="Heading7Char"/>
          <w:rFonts w:eastAsiaTheme="minorHAnsi" w:hint="eastAsia"/>
          <w:b/>
          <w:color w:val="004E6C"/>
          <w:spacing w:val="0"/>
          <w:rtl/>
        </w:rPr>
        <w:t>הצעה</w:t>
      </w:r>
      <w:r w:rsidRPr="00323DE0">
        <w:rPr>
          <w:rStyle w:val="Heading7Char"/>
          <w:rFonts w:eastAsiaTheme="minorHAnsi"/>
          <w:b/>
          <w:color w:val="004E6C"/>
          <w:spacing w:val="0"/>
          <w:rtl/>
        </w:rPr>
        <w:t xml:space="preserve"> </w:t>
      </w:r>
      <w:r w:rsidRPr="00323DE0">
        <w:rPr>
          <w:rStyle w:val="Heading7Char"/>
          <w:rFonts w:eastAsiaTheme="minorHAnsi" w:hint="eastAsia"/>
          <w:b/>
          <w:color w:val="004E6C"/>
          <w:spacing w:val="0"/>
          <w:rtl/>
        </w:rPr>
        <w:t>להקמת</w:t>
      </w:r>
      <w:r w:rsidRPr="00323DE0">
        <w:rPr>
          <w:rStyle w:val="Heading7Char"/>
          <w:rFonts w:eastAsiaTheme="minorHAnsi"/>
          <w:b/>
          <w:color w:val="004E6C"/>
          <w:spacing w:val="0"/>
          <w:rtl/>
        </w:rPr>
        <w:t xml:space="preserve"> </w:t>
      </w:r>
      <w:r w:rsidRPr="00323DE0">
        <w:rPr>
          <w:rStyle w:val="Heading7Char"/>
          <w:rFonts w:eastAsiaTheme="minorHAnsi" w:hint="eastAsia"/>
          <w:b/>
          <w:color w:val="004E6C"/>
          <w:spacing w:val="0"/>
          <w:rtl/>
        </w:rPr>
        <w:t>בתי</w:t>
      </w:r>
      <w:r w:rsidRPr="00323DE0">
        <w:rPr>
          <w:rStyle w:val="Heading7Char"/>
          <w:rFonts w:eastAsiaTheme="minorHAnsi"/>
          <w:b/>
          <w:color w:val="004E6C"/>
          <w:spacing w:val="0"/>
          <w:rtl/>
        </w:rPr>
        <w:t xml:space="preserve"> </w:t>
      </w:r>
      <w:r w:rsidRPr="00323DE0">
        <w:rPr>
          <w:rStyle w:val="Heading7Char"/>
          <w:rFonts w:eastAsiaTheme="minorHAnsi" w:hint="eastAsia"/>
          <w:b/>
          <w:color w:val="004E6C"/>
          <w:spacing w:val="0"/>
          <w:rtl/>
        </w:rPr>
        <w:t>משפט</w:t>
      </w:r>
      <w:r w:rsidRPr="00323DE0">
        <w:rPr>
          <w:rStyle w:val="Heading7Char"/>
          <w:rFonts w:eastAsiaTheme="minorHAnsi"/>
          <w:b/>
          <w:color w:val="004E6C"/>
          <w:spacing w:val="0"/>
          <w:rtl/>
        </w:rPr>
        <w:t xml:space="preserve"> </w:t>
      </w:r>
      <w:r w:rsidRPr="00323DE0">
        <w:rPr>
          <w:rStyle w:val="Heading7Char"/>
          <w:rFonts w:eastAsiaTheme="minorHAnsi" w:hint="eastAsia"/>
          <w:b/>
          <w:color w:val="004E6C"/>
          <w:spacing w:val="0"/>
          <w:rtl/>
        </w:rPr>
        <w:t>כלכליים</w:t>
      </w:r>
      <w:r w:rsidRPr="00323DE0">
        <w:rPr>
          <w:rStyle w:val="Heading7Char"/>
          <w:rFonts w:eastAsiaTheme="minorHAnsi"/>
          <w:b/>
          <w:color w:val="004E6C"/>
          <w:spacing w:val="0"/>
          <w:rtl/>
        </w:rPr>
        <w:t>:</w:t>
      </w:r>
      <w:r>
        <w:rPr>
          <w:rStyle w:val="Heading5Char"/>
          <w:rFonts w:hint="cs"/>
          <w:rtl/>
        </w:rPr>
        <w:t xml:space="preserve"> </w:t>
      </w:r>
      <w:r>
        <w:rPr>
          <w:rFonts w:hint="cs"/>
          <w:rtl/>
        </w:rPr>
        <w:t xml:space="preserve">לנוכח הקושי הנובע מיכולתה המוגבלת של המערכת המשפטית לטפל בתיקים כלכליים מורכבים ורחבי היקף, הפתרון המרכזי העומד על הפרק הוא הצעה להקמת בתי משפט כלכליים. מדובר ביצירת מותבים </w:t>
      </w:r>
      <w:r w:rsidRPr="008F5BBA">
        <w:rPr>
          <w:rFonts w:hint="eastAsia"/>
          <w:rtl/>
        </w:rPr>
        <w:t>ייעודי</w:t>
      </w:r>
      <w:r>
        <w:rPr>
          <w:rFonts w:hint="cs"/>
          <w:rtl/>
        </w:rPr>
        <w:t>ים</w:t>
      </w:r>
      <w:r>
        <w:rPr>
          <w:rtl/>
        </w:rPr>
        <w:t xml:space="preserve"> </w:t>
      </w:r>
      <w:r w:rsidRPr="008F5BBA">
        <w:rPr>
          <w:rFonts w:hint="eastAsia"/>
          <w:rtl/>
        </w:rPr>
        <w:t>ש</w:t>
      </w:r>
      <w:r>
        <w:rPr>
          <w:rFonts w:hint="cs"/>
          <w:rtl/>
        </w:rPr>
        <w:t>י</w:t>
      </w:r>
      <w:r w:rsidRPr="008F5BBA">
        <w:rPr>
          <w:rFonts w:hint="eastAsia"/>
          <w:rtl/>
        </w:rPr>
        <w:t>ידונו</w:t>
      </w:r>
      <w:r w:rsidRPr="008F5BBA">
        <w:rPr>
          <w:rtl/>
        </w:rPr>
        <w:t xml:space="preserve"> </w:t>
      </w:r>
      <w:r>
        <w:rPr>
          <w:rFonts w:hint="cs"/>
          <w:rtl/>
        </w:rPr>
        <w:t xml:space="preserve">בפניהם </w:t>
      </w:r>
      <w:r w:rsidRPr="008F5BBA">
        <w:rPr>
          <w:rFonts w:hint="eastAsia"/>
          <w:rtl/>
        </w:rPr>
        <w:t>עבירות</w:t>
      </w:r>
      <w:r w:rsidRPr="008F5BBA">
        <w:rPr>
          <w:rtl/>
        </w:rPr>
        <w:t xml:space="preserve"> </w:t>
      </w:r>
      <w:r w:rsidRPr="008F5BBA">
        <w:rPr>
          <w:rFonts w:hint="eastAsia"/>
          <w:rtl/>
        </w:rPr>
        <w:t>מס</w:t>
      </w:r>
      <w:r w:rsidRPr="008F5BBA">
        <w:rPr>
          <w:rtl/>
        </w:rPr>
        <w:t xml:space="preserve"> </w:t>
      </w:r>
      <w:r w:rsidRPr="008F5BBA">
        <w:rPr>
          <w:rFonts w:hint="eastAsia"/>
          <w:rtl/>
        </w:rPr>
        <w:t>חמורות</w:t>
      </w:r>
      <w:r w:rsidRPr="008F5BBA">
        <w:rPr>
          <w:rtl/>
        </w:rPr>
        <w:t xml:space="preserve">, </w:t>
      </w:r>
      <w:r w:rsidRPr="008F5BBA">
        <w:rPr>
          <w:rFonts w:hint="eastAsia"/>
          <w:rtl/>
        </w:rPr>
        <w:t>עבירות</w:t>
      </w:r>
      <w:r w:rsidRPr="008F5BBA">
        <w:rPr>
          <w:rtl/>
        </w:rPr>
        <w:t xml:space="preserve"> </w:t>
      </w:r>
      <w:r w:rsidRPr="008F5BBA">
        <w:rPr>
          <w:rFonts w:hint="eastAsia"/>
          <w:rtl/>
        </w:rPr>
        <w:t>הלבנת</w:t>
      </w:r>
      <w:r w:rsidRPr="008F5BBA">
        <w:rPr>
          <w:rtl/>
        </w:rPr>
        <w:t xml:space="preserve"> </w:t>
      </w:r>
      <w:r w:rsidRPr="008F5BBA">
        <w:rPr>
          <w:rFonts w:hint="eastAsia"/>
          <w:rtl/>
        </w:rPr>
        <w:t>הון</w:t>
      </w:r>
      <w:r w:rsidRPr="008F5BBA">
        <w:rPr>
          <w:rtl/>
        </w:rPr>
        <w:t xml:space="preserve"> </w:t>
      </w:r>
      <w:r w:rsidRPr="008F5BBA">
        <w:rPr>
          <w:rFonts w:hint="eastAsia"/>
          <w:rtl/>
        </w:rPr>
        <w:t>מורכבות</w:t>
      </w:r>
      <w:r w:rsidRPr="008F5BBA">
        <w:rPr>
          <w:rtl/>
        </w:rPr>
        <w:t xml:space="preserve"> </w:t>
      </w:r>
      <w:r w:rsidRPr="008F5BBA">
        <w:rPr>
          <w:rFonts w:hint="eastAsia"/>
          <w:rtl/>
        </w:rPr>
        <w:t>והליכי</w:t>
      </w:r>
      <w:r w:rsidRPr="008F5BBA">
        <w:rPr>
          <w:rtl/>
        </w:rPr>
        <w:t xml:space="preserve"> </w:t>
      </w:r>
      <w:r w:rsidRPr="008F5BBA">
        <w:rPr>
          <w:rFonts w:hint="eastAsia"/>
          <w:rtl/>
        </w:rPr>
        <w:t>החילוט</w:t>
      </w:r>
      <w:r w:rsidRPr="008F5BBA">
        <w:rPr>
          <w:rtl/>
        </w:rPr>
        <w:t xml:space="preserve"> </w:t>
      </w:r>
      <w:r w:rsidRPr="008F5BBA">
        <w:rPr>
          <w:rFonts w:hint="eastAsia"/>
          <w:rtl/>
        </w:rPr>
        <w:t>הנובעים</w:t>
      </w:r>
      <w:r w:rsidRPr="008F5BBA">
        <w:rPr>
          <w:rtl/>
        </w:rPr>
        <w:t xml:space="preserve"> </w:t>
      </w:r>
      <w:r w:rsidRPr="008F5BBA">
        <w:rPr>
          <w:rFonts w:hint="eastAsia"/>
          <w:rtl/>
        </w:rPr>
        <w:t>מה</w:t>
      </w:r>
      <w:r>
        <w:rPr>
          <w:rFonts w:hint="cs"/>
          <w:rtl/>
        </w:rPr>
        <w:t>ן</w:t>
      </w:r>
      <w:r w:rsidRPr="008F5BBA">
        <w:rPr>
          <w:rtl/>
        </w:rPr>
        <w:t xml:space="preserve"> (להלן - "עניינים </w:t>
      </w:r>
      <w:r w:rsidRPr="008F5BBA">
        <w:rPr>
          <w:rFonts w:hint="eastAsia"/>
          <w:rtl/>
        </w:rPr>
        <w:t>כלכליים</w:t>
      </w:r>
      <w:r w:rsidRPr="008F5BBA">
        <w:rPr>
          <w:rtl/>
        </w:rPr>
        <w:t xml:space="preserve">"), </w:t>
      </w:r>
      <w:r w:rsidRPr="008F5BBA">
        <w:rPr>
          <w:rFonts w:hint="eastAsia"/>
          <w:rtl/>
        </w:rPr>
        <w:t>על</w:t>
      </w:r>
      <w:r w:rsidRPr="008F5BBA">
        <w:rPr>
          <w:rtl/>
        </w:rPr>
        <w:t xml:space="preserve"> </w:t>
      </w:r>
      <w:r w:rsidRPr="008F5BBA">
        <w:rPr>
          <w:rFonts w:hint="eastAsia"/>
          <w:rtl/>
        </w:rPr>
        <w:t>ידי</w:t>
      </w:r>
      <w:r w:rsidRPr="008F5BBA">
        <w:rPr>
          <w:rtl/>
        </w:rPr>
        <w:t xml:space="preserve"> </w:t>
      </w:r>
      <w:r w:rsidRPr="00BB3630">
        <w:rPr>
          <w:rFonts w:hint="eastAsia"/>
          <w:rtl/>
        </w:rPr>
        <w:t>הקמת</w:t>
      </w:r>
      <w:r w:rsidRPr="00BB3630">
        <w:rPr>
          <w:rtl/>
        </w:rPr>
        <w:t xml:space="preserve"> </w:t>
      </w:r>
      <w:r w:rsidRPr="00BB3630">
        <w:rPr>
          <w:rFonts w:hint="eastAsia"/>
          <w:rtl/>
        </w:rPr>
        <w:t>בית</w:t>
      </w:r>
      <w:r w:rsidRPr="00BB3630">
        <w:rPr>
          <w:rtl/>
        </w:rPr>
        <w:t xml:space="preserve"> </w:t>
      </w:r>
      <w:r w:rsidRPr="00BB3630">
        <w:rPr>
          <w:rFonts w:hint="eastAsia"/>
          <w:rtl/>
        </w:rPr>
        <w:t>משפט</w:t>
      </w:r>
      <w:r w:rsidRPr="00BB3630">
        <w:rPr>
          <w:rtl/>
        </w:rPr>
        <w:t xml:space="preserve"> </w:t>
      </w:r>
      <w:r w:rsidRPr="00BB3630">
        <w:rPr>
          <w:rFonts w:hint="eastAsia"/>
          <w:rtl/>
        </w:rPr>
        <w:t>חדש</w:t>
      </w:r>
      <w:r w:rsidRPr="00BB3630">
        <w:rPr>
          <w:rtl/>
        </w:rPr>
        <w:t xml:space="preserve"> </w:t>
      </w:r>
      <w:r>
        <w:rPr>
          <w:rFonts w:hint="cs"/>
          <w:rtl/>
        </w:rPr>
        <w:t>או</w:t>
      </w:r>
      <w:r w:rsidRPr="00BB3630">
        <w:rPr>
          <w:rtl/>
        </w:rPr>
        <w:t xml:space="preserve"> </w:t>
      </w:r>
      <w:r w:rsidRPr="00BB3630">
        <w:rPr>
          <w:rFonts w:hint="eastAsia"/>
          <w:rtl/>
        </w:rPr>
        <w:t>על</w:t>
      </w:r>
      <w:r w:rsidRPr="00BB3630">
        <w:rPr>
          <w:rtl/>
        </w:rPr>
        <w:t xml:space="preserve"> </w:t>
      </w:r>
      <w:r w:rsidRPr="00BB3630">
        <w:rPr>
          <w:rFonts w:hint="eastAsia"/>
          <w:rtl/>
        </w:rPr>
        <w:t>ידי</w:t>
      </w:r>
      <w:r w:rsidRPr="00BB3630">
        <w:rPr>
          <w:rtl/>
        </w:rPr>
        <w:t xml:space="preserve"> </w:t>
      </w:r>
      <w:r w:rsidRPr="00BB3630">
        <w:rPr>
          <w:rFonts w:hint="eastAsia"/>
          <w:rtl/>
        </w:rPr>
        <w:t>הרחבת</w:t>
      </w:r>
      <w:r w:rsidRPr="00BB3630">
        <w:rPr>
          <w:rtl/>
        </w:rPr>
        <w:t xml:space="preserve"> </w:t>
      </w:r>
      <w:r w:rsidRPr="00BB3630">
        <w:rPr>
          <w:rFonts w:hint="eastAsia"/>
          <w:rtl/>
        </w:rPr>
        <w:t>סמכויות</w:t>
      </w:r>
      <w:r w:rsidRPr="00BB3630">
        <w:rPr>
          <w:rtl/>
        </w:rPr>
        <w:t xml:space="preserve"> </w:t>
      </w:r>
      <w:r w:rsidRPr="00BB3630">
        <w:rPr>
          <w:rFonts w:hint="eastAsia"/>
          <w:rtl/>
        </w:rPr>
        <w:t>המחלק</w:t>
      </w:r>
      <w:r>
        <w:rPr>
          <w:rFonts w:hint="cs"/>
          <w:rtl/>
        </w:rPr>
        <w:t xml:space="preserve">ות </w:t>
      </w:r>
      <w:r w:rsidRPr="00BB3630">
        <w:rPr>
          <w:rFonts w:hint="eastAsia"/>
          <w:rtl/>
        </w:rPr>
        <w:t>הכלכלי</w:t>
      </w:r>
      <w:r>
        <w:rPr>
          <w:rFonts w:hint="cs"/>
          <w:rtl/>
        </w:rPr>
        <w:t>ו</w:t>
      </w:r>
      <w:r w:rsidRPr="00BB3630">
        <w:rPr>
          <w:rFonts w:hint="eastAsia"/>
          <w:rtl/>
        </w:rPr>
        <w:t>ת</w:t>
      </w:r>
      <w:r w:rsidRPr="00BB3630">
        <w:rPr>
          <w:rtl/>
        </w:rPr>
        <w:t xml:space="preserve"> </w:t>
      </w:r>
      <w:r w:rsidRPr="00BB3630">
        <w:rPr>
          <w:rFonts w:hint="eastAsia"/>
          <w:rtl/>
        </w:rPr>
        <w:t>שהוקמ</w:t>
      </w:r>
      <w:r>
        <w:rPr>
          <w:rFonts w:hint="cs"/>
          <w:rtl/>
        </w:rPr>
        <w:t>ו</w:t>
      </w:r>
      <w:r>
        <w:rPr>
          <w:rtl/>
        </w:rPr>
        <w:t xml:space="preserve"> </w:t>
      </w:r>
      <w:r>
        <w:rPr>
          <w:rFonts w:hint="eastAsia"/>
          <w:rtl/>
        </w:rPr>
        <w:t>בב</w:t>
      </w:r>
      <w:r>
        <w:rPr>
          <w:rFonts w:hint="cs"/>
          <w:rtl/>
        </w:rPr>
        <w:t>תי</w:t>
      </w:r>
      <w:r w:rsidRPr="00BB3630">
        <w:rPr>
          <w:rtl/>
        </w:rPr>
        <w:t xml:space="preserve"> </w:t>
      </w:r>
      <w:r w:rsidRPr="00BB3630">
        <w:rPr>
          <w:rFonts w:hint="eastAsia"/>
          <w:rtl/>
        </w:rPr>
        <w:t>המשפט</w:t>
      </w:r>
      <w:r>
        <w:rPr>
          <w:rStyle w:val="FootnoteReference"/>
          <w:rFonts w:asciiTheme="minorBidi" w:hAnsiTheme="minorBidi"/>
          <w:sz w:val="24"/>
          <w:rtl/>
        </w:rPr>
        <w:footnoteReference w:id="67"/>
      </w:r>
      <w:r>
        <w:rPr>
          <w:rFonts w:hint="cs"/>
          <w:rtl/>
        </w:rPr>
        <w:t>.</w:t>
      </w:r>
      <w:r w:rsidRPr="00BB3630">
        <w:rPr>
          <w:rtl/>
        </w:rPr>
        <w:t xml:space="preserve"> </w:t>
      </w:r>
      <w:r>
        <w:rPr>
          <w:rFonts w:hint="cs"/>
          <w:rtl/>
        </w:rPr>
        <w:t xml:space="preserve">כך </w:t>
      </w:r>
      <w:r w:rsidRPr="00BB3630">
        <w:rPr>
          <w:rtl/>
        </w:rPr>
        <w:t>י</w:t>
      </w:r>
      <w:r>
        <w:rPr>
          <w:rFonts w:hint="cs"/>
          <w:rtl/>
        </w:rPr>
        <w:t>ת</w:t>
      </w:r>
      <w:r>
        <w:rPr>
          <w:rtl/>
        </w:rPr>
        <w:t xml:space="preserve">אפשר לבתי המשפט הכלכליים </w:t>
      </w:r>
      <w:r w:rsidRPr="00BB3630">
        <w:rPr>
          <w:rtl/>
        </w:rPr>
        <w:t>לדון גם בתיקי המס הפליליים ו</w:t>
      </w:r>
      <w:r>
        <w:rPr>
          <w:rFonts w:hint="cs"/>
          <w:rtl/>
        </w:rPr>
        <w:t>ב</w:t>
      </w:r>
      <w:r w:rsidRPr="00BB3630">
        <w:rPr>
          <w:rtl/>
        </w:rPr>
        <w:t xml:space="preserve">תיקי הלבנת ההון </w:t>
      </w:r>
      <w:r w:rsidRPr="00BB3630">
        <w:rPr>
          <w:rFonts w:hint="eastAsia"/>
          <w:rtl/>
        </w:rPr>
        <w:t>והחילוטים</w:t>
      </w:r>
      <w:r w:rsidRPr="00BB3630">
        <w:rPr>
          <w:rtl/>
        </w:rPr>
        <w:t xml:space="preserve"> מכוחם</w:t>
      </w:r>
      <w:r>
        <w:rPr>
          <w:rStyle w:val="FootnoteReference"/>
          <w:rFonts w:asciiTheme="minorBidi" w:hAnsiTheme="minorBidi"/>
          <w:sz w:val="24"/>
          <w:rtl/>
        </w:rPr>
        <w:footnoteReference w:id="68"/>
      </w:r>
      <w:r w:rsidRPr="00BB3630">
        <w:rPr>
          <w:rtl/>
        </w:rPr>
        <w:t>.</w:t>
      </w:r>
    </w:p>
    <w:p w14:paraId="69905CA9" w14:textId="77777777" w:rsidR="00F368B6" w:rsidRDefault="00F368B6" w:rsidP="00323DE0">
      <w:pPr>
        <w:pStyle w:val="100"/>
        <w:rPr>
          <w:rtl/>
        </w:rPr>
      </w:pPr>
      <w:r>
        <w:rPr>
          <w:rFonts w:hint="cs"/>
          <w:rtl/>
        </w:rPr>
        <w:t>להלן התייחסויות של גורמים מקצועיים להצעה זו:</w:t>
      </w:r>
    </w:p>
    <w:p w14:paraId="3EFFEC49" w14:textId="77777777" w:rsidR="00F368B6" w:rsidRDefault="00F368B6" w:rsidP="00BE32EB">
      <w:pPr>
        <w:pStyle w:val="a0"/>
        <w:numPr>
          <w:ilvl w:val="0"/>
          <w:numId w:val="14"/>
        </w:numPr>
      </w:pPr>
      <w:r w:rsidRPr="00B67332">
        <w:rPr>
          <w:rFonts w:hint="eastAsia"/>
          <w:rtl/>
        </w:rPr>
        <w:t>בפברואר</w:t>
      </w:r>
      <w:r w:rsidRPr="00B67332">
        <w:rPr>
          <w:rtl/>
        </w:rPr>
        <w:t xml:space="preserve"> 2018 </w:t>
      </w:r>
      <w:r>
        <w:rPr>
          <w:rFonts w:hint="cs"/>
          <w:rtl/>
        </w:rPr>
        <w:t>ציין</w:t>
      </w:r>
      <w:r w:rsidRPr="00B67332">
        <w:rPr>
          <w:rtl/>
        </w:rPr>
        <w:t xml:space="preserve"> </w:t>
      </w:r>
      <w:r w:rsidRPr="00B67332">
        <w:rPr>
          <w:rFonts w:hint="eastAsia"/>
          <w:rtl/>
        </w:rPr>
        <w:t>נציג</w:t>
      </w:r>
      <w:r w:rsidRPr="00B67332">
        <w:rPr>
          <w:rtl/>
        </w:rPr>
        <w:t xml:space="preserve"> </w:t>
      </w:r>
      <w:r w:rsidRPr="00B67332">
        <w:rPr>
          <w:rFonts w:hint="eastAsia"/>
          <w:rtl/>
        </w:rPr>
        <w:t>הפרקליטות</w:t>
      </w:r>
      <w:r w:rsidRPr="00B67332">
        <w:rPr>
          <w:rtl/>
        </w:rPr>
        <w:t xml:space="preserve"> </w:t>
      </w:r>
      <w:r w:rsidRPr="00B67332">
        <w:rPr>
          <w:rFonts w:hint="eastAsia"/>
          <w:rtl/>
        </w:rPr>
        <w:t>בפני</w:t>
      </w:r>
      <w:r w:rsidRPr="00B67332">
        <w:rPr>
          <w:rtl/>
        </w:rPr>
        <w:t xml:space="preserve"> </w:t>
      </w:r>
      <w:r w:rsidRPr="00B67332">
        <w:rPr>
          <w:rFonts w:hint="eastAsia"/>
          <w:rtl/>
        </w:rPr>
        <w:t>יו</w:t>
      </w:r>
      <w:r w:rsidRPr="00B67332">
        <w:rPr>
          <w:rtl/>
        </w:rPr>
        <w:t xml:space="preserve">"ר </w:t>
      </w:r>
      <w:r w:rsidRPr="00B67332">
        <w:rPr>
          <w:rFonts w:hint="eastAsia"/>
          <w:rtl/>
        </w:rPr>
        <w:t>ועדת</w:t>
      </w:r>
      <w:r w:rsidRPr="00B67332">
        <w:rPr>
          <w:rtl/>
        </w:rPr>
        <w:t xml:space="preserve"> </w:t>
      </w:r>
      <w:r w:rsidRPr="00B67332">
        <w:rPr>
          <w:rFonts w:hint="eastAsia"/>
          <w:rtl/>
        </w:rPr>
        <w:t>חוק</w:t>
      </w:r>
      <w:r w:rsidRPr="00B67332">
        <w:rPr>
          <w:rtl/>
        </w:rPr>
        <w:t xml:space="preserve"> </w:t>
      </w:r>
      <w:r w:rsidRPr="00B67332">
        <w:rPr>
          <w:rFonts w:hint="eastAsia"/>
          <w:rtl/>
        </w:rPr>
        <w:t>וחוקה</w:t>
      </w:r>
      <w:r w:rsidRPr="00B67332">
        <w:rPr>
          <w:rtl/>
        </w:rPr>
        <w:t xml:space="preserve"> </w:t>
      </w:r>
      <w:r w:rsidRPr="00B67332">
        <w:rPr>
          <w:rFonts w:hint="eastAsia"/>
          <w:rtl/>
        </w:rPr>
        <w:t>של</w:t>
      </w:r>
      <w:r w:rsidRPr="00B67332">
        <w:rPr>
          <w:rtl/>
        </w:rPr>
        <w:t xml:space="preserve"> </w:t>
      </w:r>
      <w:r w:rsidRPr="00B67332">
        <w:rPr>
          <w:rFonts w:hint="eastAsia"/>
          <w:rtl/>
        </w:rPr>
        <w:t>הכנסת</w:t>
      </w:r>
      <w:r>
        <w:rPr>
          <w:rFonts w:hint="cs"/>
          <w:rtl/>
        </w:rPr>
        <w:t>:</w:t>
      </w:r>
      <w:r w:rsidRPr="00B67332">
        <w:rPr>
          <w:rtl/>
        </w:rPr>
        <w:t xml:space="preserve"> "יש </w:t>
      </w:r>
      <w:r w:rsidRPr="00B67332">
        <w:rPr>
          <w:rFonts w:hint="eastAsia"/>
          <w:rtl/>
        </w:rPr>
        <w:t>לנו</w:t>
      </w:r>
      <w:r w:rsidRPr="00B67332">
        <w:rPr>
          <w:rtl/>
        </w:rPr>
        <w:t xml:space="preserve"> </w:t>
      </w:r>
      <w:r w:rsidRPr="00B67332">
        <w:rPr>
          <w:rFonts w:hint="eastAsia"/>
          <w:rtl/>
        </w:rPr>
        <w:t>צוואר</w:t>
      </w:r>
      <w:r w:rsidRPr="00B67332">
        <w:rPr>
          <w:rtl/>
        </w:rPr>
        <w:t xml:space="preserve"> </w:t>
      </w:r>
      <w:r w:rsidRPr="00B67332">
        <w:rPr>
          <w:rFonts w:hint="eastAsia"/>
          <w:rtl/>
        </w:rPr>
        <w:t>בקבוק</w:t>
      </w:r>
      <w:r w:rsidRPr="00B67332">
        <w:rPr>
          <w:rtl/>
        </w:rPr>
        <w:t xml:space="preserve"> </w:t>
      </w:r>
      <w:r w:rsidRPr="00B67332">
        <w:rPr>
          <w:rFonts w:hint="eastAsia"/>
          <w:rtl/>
        </w:rPr>
        <w:t>שמתהווה</w:t>
      </w:r>
      <w:r w:rsidRPr="00B67332">
        <w:rPr>
          <w:rtl/>
        </w:rPr>
        <w:t xml:space="preserve"> </w:t>
      </w:r>
      <w:r w:rsidRPr="00B67332">
        <w:rPr>
          <w:rFonts w:hint="eastAsia"/>
          <w:rtl/>
        </w:rPr>
        <w:t>לו</w:t>
      </w:r>
      <w:r w:rsidRPr="00B67332">
        <w:rPr>
          <w:rtl/>
        </w:rPr>
        <w:t xml:space="preserve"> </w:t>
      </w:r>
      <w:r w:rsidRPr="00B67332">
        <w:rPr>
          <w:rFonts w:hint="eastAsia"/>
          <w:rtl/>
        </w:rPr>
        <w:t>בהליכים</w:t>
      </w:r>
      <w:r w:rsidRPr="00B67332">
        <w:rPr>
          <w:rtl/>
        </w:rPr>
        <w:t xml:space="preserve"> </w:t>
      </w:r>
      <w:r w:rsidRPr="00B67332">
        <w:rPr>
          <w:rFonts w:hint="eastAsia"/>
          <w:rtl/>
        </w:rPr>
        <w:t>משפטיים</w:t>
      </w:r>
      <w:r w:rsidRPr="00B67332">
        <w:rPr>
          <w:rtl/>
        </w:rPr>
        <w:t xml:space="preserve"> </w:t>
      </w:r>
      <w:r w:rsidRPr="00B67332">
        <w:rPr>
          <w:rFonts w:hint="eastAsia"/>
          <w:rtl/>
        </w:rPr>
        <w:t>שלוקחים</w:t>
      </w:r>
      <w:r w:rsidRPr="00B67332">
        <w:rPr>
          <w:rtl/>
        </w:rPr>
        <w:t xml:space="preserve"> </w:t>
      </w:r>
      <w:r w:rsidRPr="00B67332">
        <w:rPr>
          <w:rFonts w:hint="eastAsia"/>
          <w:rtl/>
        </w:rPr>
        <w:t>זמן</w:t>
      </w:r>
      <w:r w:rsidRPr="00B67332">
        <w:rPr>
          <w:rtl/>
        </w:rPr>
        <w:t xml:space="preserve">, </w:t>
      </w:r>
      <w:r w:rsidRPr="00B67332">
        <w:rPr>
          <w:rFonts w:hint="eastAsia"/>
          <w:rtl/>
        </w:rPr>
        <w:t>הם</w:t>
      </w:r>
      <w:r w:rsidRPr="00B67332">
        <w:rPr>
          <w:rtl/>
        </w:rPr>
        <w:t xml:space="preserve"> </w:t>
      </w:r>
      <w:r w:rsidRPr="00B67332">
        <w:rPr>
          <w:rFonts w:hint="eastAsia"/>
          <w:rtl/>
        </w:rPr>
        <w:t>על</w:t>
      </w:r>
      <w:r w:rsidRPr="00B67332">
        <w:rPr>
          <w:rtl/>
        </w:rPr>
        <w:t xml:space="preserve"> </w:t>
      </w:r>
      <w:r w:rsidRPr="00B67332">
        <w:rPr>
          <w:rFonts w:hint="eastAsia"/>
          <w:rtl/>
        </w:rPr>
        <w:t>פני</w:t>
      </w:r>
      <w:r w:rsidRPr="00B67332">
        <w:rPr>
          <w:rtl/>
        </w:rPr>
        <w:t xml:space="preserve"> </w:t>
      </w:r>
      <w:r w:rsidRPr="00B67332">
        <w:rPr>
          <w:rFonts w:hint="eastAsia"/>
          <w:rtl/>
        </w:rPr>
        <w:t>שנים</w:t>
      </w:r>
      <w:r w:rsidRPr="00B67332">
        <w:rPr>
          <w:rtl/>
        </w:rPr>
        <w:t xml:space="preserve"> </w:t>
      </w:r>
      <w:r w:rsidRPr="00B67332">
        <w:rPr>
          <w:rFonts w:hint="eastAsia"/>
          <w:rtl/>
        </w:rPr>
        <w:t>ואנחנו</w:t>
      </w:r>
      <w:r w:rsidRPr="00B67332">
        <w:rPr>
          <w:rtl/>
        </w:rPr>
        <w:t xml:space="preserve"> </w:t>
      </w:r>
      <w:r w:rsidRPr="00B67332">
        <w:rPr>
          <w:rFonts w:hint="eastAsia"/>
          <w:rtl/>
        </w:rPr>
        <w:t>כרגע</w:t>
      </w:r>
      <w:r w:rsidRPr="00B67332">
        <w:rPr>
          <w:rtl/>
        </w:rPr>
        <w:t xml:space="preserve"> </w:t>
      </w:r>
      <w:r w:rsidRPr="00B67332">
        <w:rPr>
          <w:rFonts w:hint="eastAsia"/>
          <w:rtl/>
        </w:rPr>
        <w:t>עסוקים</w:t>
      </w:r>
      <w:r w:rsidRPr="00B67332">
        <w:rPr>
          <w:rtl/>
        </w:rPr>
        <w:t xml:space="preserve"> </w:t>
      </w:r>
      <w:r w:rsidRPr="00B67332">
        <w:rPr>
          <w:rFonts w:hint="eastAsia"/>
          <w:rtl/>
        </w:rPr>
        <w:t>בלטפל</w:t>
      </w:r>
      <w:r w:rsidRPr="00B67332">
        <w:rPr>
          <w:rtl/>
        </w:rPr>
        <w:t xml:space="preserve"> </w:t>
      </w:r>
      <w:r w:rsidRPr="00B67332">
        <w:rPr>
          <w:rFonts w:hint="eastAsia"/>
          <w:rtl/>
        </w:rPr>
        <w:t>בעניין</w:t>
      </w:r>
      <w:r w:rsidRPr="00B67332">
        <w:rPr>
          <w:rtl/>
        </w:rPr>
        <w:t xml:space="preserve"> </w:t>
      </w:r>
      <w:r w:rsidRPr="00B67332">
        <w:rPr>
          <w:rFonts w:hint="eastAsia"/>
          <w:rtl/>
        </w:rPr>
        <w:t>הזה</w:t>
      </w:r>
      <w:r w:rsidRPr="00B67332">
        <w:rPr>
          <w:rtl/>
        </w:rPr>
        <w:t xml:space="preserve">, </w:t>
      </w:r>
      <w:r w:rsidRPr="00B67332">
        <w:rPr>
          <w:rFonts w:hint="eastAsia"/>
          <w:rtl/>
        </w:rPr>
        <w:t>ויכול</w:t>
      </w:r>
      <w:r w:rsidRPr="00B67332">
        <w:rPr>
          <w:rtl/>
        </w:rPr>
        <w:t xml:space="preserve"> </w:t>
      </w:r>
      <w:r w:rsidRPr="00B67332">
        <w:rPr>
          <w:rFonts w:hint="eastAsia"/>
          <w:rtl/>
        </w:rPr>
        <w:t>להיות</w:t>
      </w:r>
      <w:r w:rsidRPr="00B67332">
        <w:rPr>
          <w:rtl/>
        </w:rPr>
        <w:t xml:space="preserve"> </w:t>
      </w:r>
      <w:r w:rsidRPr="00B67332">
        <w:rPr>
          <w:rFonts w:hint="eastAsia"/>
          <w:rtl/>
        </w:rPr>
        <w:t>שצריך</w:t>
      </w:r>
      <w:r w:rsidRPr="00B67332">
        <w:rPr>
          <w:rtl/>
        </w:rPr>
        <w:t xml:space="preserve"> </w:t>
      </w:r>
      <w:r w:rsidRPr="00B67332">
        <w:rPr>
          <w:rFonts w:hint="eastAsia"/>
          <w:rtl/>
        </w:rPr>
        <w:t>פה</w:t>
      </w:r>
      <w:r w:rsidRPr="00B67332">
        <w:rPr>
          <w:rtl/>
        </w:rPr>
        <w:t xml:space="preserve"> </w:t>
      </w:r>
      <w:r w:rsidRPr="00B67332">
        <w:rPr>
          <w:rFonts w:hint="eastAsia"/>
          <w:rtl/>
        </w:rPr>
        <w:t>בתי</w:t>
      </w:r>
      <w:r w:rsidRPr="00B67332">
        <w:rPr>
          <w:rtl/>
        </w:rPr>
        <w:t xml:space="preserve"> </w:t>
      </w:r>
      <w:r w:rsidRPr="00B67332">
        <w:rPr>
          <w:rFonts w:hint="eastAsia"/>
          <w:rtl/>
        </w:rPr>
        <w:t>משפט</w:t>
      </w:r>
      <w:r w:rsidRPr="00B67332">
        <w:rPr>
          <w:rtl/>
        </w:rPr>
        <w:t xml:space="preserve"> </w:t>
      </w:r>
      <w:r w:rsidRPr="00B67332">
        <w:rPr>
          <w:rFonts w:hint="eastAsia"/>
          <w:rtl/>
        </w:rPr>
        <w:t>כלכליים</w:t>
      </w:r>
      <w:r w:rsidRPr="00B67332">
        <w:rPr>
          <w:rtl/>
        </w:rPr>
        <w:t xml:space="preserve"> </w:t>
      </w:r>
      <w:r w:rsidRPr="00B67332">
        <w:rPr>
          <w:rFonts w:hint="eastAsia"/>
          <w:rtl/>
        </w:rPr>
        <w:t>שיעסקו</w:t>
      </w:r>
      <w:r w:rsidRPr="00B67332">
        <w:rPr>
          <w:rtl/>
        </w:rPr>
        <w:t xml:space="preserve"> </w:t>
      </w:r>
      <w:r w:rsidRPr="00B67332">
        <w:rPr>
          <w:rFonts w:hint="eastAsia"/>
          <w:rtl/>
        </w:rPr>
        <w:t>רק</w:t>
      </w:r>
      <w:r w:rsidRPr="00B67332">
        <w:rPr>
          <w:rtl/>
        </w:rPr>
        <w:t xml:space="preserve"> </w:t>
      </w:r>
      <w:r w:rsidRPr="00B67332">
        <w:rPr>
          <w:rFonts w:hint="eastAsia"/>
          <w:rtl/>
        </w:rPr>
        <w:t>בתיקים</w:t>
      </w:r>
      <w:r w:rsidRPr="00B67332">
        <w:rPr>
          <w:rtl/>
        </w:rPr>
        <w:t xml:space="preserve"> </w:t>
      </w:r>
      <w:r w:rsidRPr="00B67332">
        <w:rPr>
          <w:rFonts w:hint="eastAsia"/>
          <w:rtl/>
        </w:rPr>
        <w:t>האלה</w:t>
      </w:r>
      <w:r w:rsidRPr="00B67332">
        <w:rPr>
          <w:rtl/>
        </w:rPr>
        <w:t>"</w:t>
      </w:r>
      <w:r>
        <w:rPr>
          <w:rStyle w:val="FootnoteReference"/>
          <w:rtl/>
        </w:rPr>
        <w:footnoteReference w:id="69"/>
      </w:r>
      <w:r w:rsidRPr="00B67332">
        <w:rPr>
          <w:rtl/>
        </w:rPr>
        <w:t>.</w:t>
      </w:r>
    </w:p>
    <w:p w14:paraId="7654AFB0" w14:textId="77777777" w:rsidR="00F368B6" w:rsidRDefault="00F368B6" w:rsidP="00BE32EB">
      <w:pPr>
        <w:pStyle w:val="a0"/>
      </w:pPr>
      <w:r w:rsidRPr="00B67332">
        <w:rPr>
          <w:rFonts w:hint="cs"/>
          <w:rtl/>
        </w:rPr>
        <w:t>דוח ה</w:t>
      </w:r>
      <w:r>
        <w:rPr>
          <w:rFonts w:hint="cs"/>
          <w:rtl/>
        </w:rPr>
        <w:t>-</w:t>
      </w:r>
      <w:r w:rsidRPr="00894EDE">
        <w:rPr>
          <w:rFonts w:cs="Times New Roman"/>
        </w:rPr>
        <w:t>FATF</w:t>
      </w:r>
      <w:r>
        <w:rPr>
          <w:rFonts w:hint="cs"/>
          <w:rtl/>
        </w:rPr>
        <w:t xml:space="preserve"> כלל </w:t>
      </w:r>
      <w:r w:rsidRPr="00B67332">
        <w:rPr>
          <w:rFonts w:hint="cs"/>
          <w:rtl/>
        </w:rPr>
        <w:t>המלצה להקים בתי משפט ייעודי</w:t>
      </w:r>
      <w:r>
        <w:rPr>
          <w:rFonts w:hint="cs"/>
          <w:rtl/>
        </w:rPr>
        <w:t>י</w:t>
      </w:r>
      <w:r w:rsidRPr="00B67332">
        <w:rPr>
          <w:rFonts w:hint="cs"/>
          <w:rtl/>
        </w:rPr>
        <w:t>ם לעניינים כלכליים</w:t>
      </w:r>
      <w:r>
        <w:rPr>
          <w:rFonts w:hint="cs"/>
          <w:rtl/>
        </w:rPr>
        <w:t>,</w:t>
      </w:r>
      <w:r w:rsidRPr="00B67332">
        <w:rPr>
          <w:rFonts w:hint="cs"/>
          <w:rtl/>
        </w:rPr>
        <w:t xml:space="preserve"> </w:t>
      </w:r>
      <w:r>
        <w:rPr>
          <w:rFonts w:hint="cs"/>
          <w:rtl/>
        </w:rPr>
        <w:t>ש</w:t>
      </w:r>
      <w:r w:rsidRPr="00B67332">
        <w:rPr>
          <w:rFonts w:hint="cs"/>
          <w:rtl/>
        </w:rPr>
        <w:t>התייחסה להתמשכות ההליכים בתיקים הכלכליים בבתי המשפט ו</w:t>
      </w:r>
      <w:r>
        <w:rPr>
          <w:rFonts w:hint="cs"/>
          <w:rtl/>
        </w:rPr>
        <w:t>ל</w:t>
      </w:r>
      <w:r w:rsidRPr="00B67332">
        <w:rPr>
          <w:rFonts w:hint="cs"/>
          <w:rtl/>
        </w:rPr>
        <w:t>השפע</w:t>
      </w:r>
      <w:r>
        <w:rPr>
          <w:rFonts w:hint="cs"/>
          <w:rtl/>
        </w:rPr>
        <w:t>ת</w:t>
      </w:r>
      <w:r w:rsidRPr="00B67332">
        <w:rPr>
          <w:rFonts w:hint="cs"/>
          <w:rtl/>
        </w:rPr>
        <w:t xml:space="preserve"> התמשכות זו על אפקטיביות האכיפה בתיקי הלבנת הון בישראל:</w:t>
      </w:r>
      <w:r>
        <w:rPr>
          <w:rFonts w:hint="cs"/>
          <w:rtl/>
        </w:rPr>
        <w:t xml:space="preserve"> </w:t>
      </w:r>
    </w:p>
    <w:p w14:paraId="4C42A100" w14:textId="77777777" w:rsidR="00F368B6" w:rsidRPr="00F652FB" w:rsidRDefault="00F368B6" w:rsidP="00F368B6">
      <w:pPr>
        <w:bidi w:val="0"/>
        <w:spacing w:line="269" w:lineRule="auto"/>
        <w:ind w:left="312" w:right="708"/>
        <w:rPr>
          <w:rFonts w:asciiTheme="minorBidi" w:hAnsiTheme="minorBidi"/>
          <w:szCs w:val="20"/>
        </w:rPr>
      </w:pPr>
      <w:r w:rsidRPr="00F652FB">
        <w:rPr>
          <w:rFonts w:asciiTheme="minorBidi" w:hAnsiTheme="minorBidi"/>
          <w:szCs w:val="20"/>
        </w:rPr>
        <w:t>Israel should consider appropriate steps to rectify the delays in the completion of criminal ML cases, specifically when they involve legal persons, to ensure that the deterrent factor that such proceedings represent is seen to be effective and proportionate. In this regard, Israel should consider the development of specialist economic crime courts.</w:t>
      </w:r>
    </w:p>
    <w:p w14:paraId="332765C0" w14:textId="77777777" w:rsidR="00F368B6" w:rsidRPr="00F652FB" w:rsidRDefault="00F368B6" w:rsidP="00F368B6">
      <w:pPr>
        <w:bidi w:val="0"/>
        <w:spacing w:line="269" w:lineRule="auto"/>
        <w:ind w:left="312" w:right="708"/>
        <w:rPr>
          <w:rFonts w:asciiTheme="minorBidi" w:hAnsiTheme="minorBidi"/>
          <w:szCs w:val="20"/>
          <w:rtl/>
        </w:rPr>
      </w:pPr>
      <w:r w:rsidRPr="00F652FB">
        <w:rPr>
          <w:rFonts w:asciiTheme="minorBidi" w:hAnsiTheme="minorBidi"/>
          <w:szCs w:val="20"/>
        </w:rPr>
        <w:t>….</w:t>
      </w:r>
      <w:r>
        <w:rPr>
          <w:rFonts w:asciiTheme="minorBidi" w:hAnsiTheme="minorBidi"/>
          <w:szCs w:val="20"/>
        </w:rPr>
        <w:t xml:space="preserve"> </w:t>
      </w:r>
    </w:p>
    <w:p w14:paraId="09774E0C" w14:textId="42967B34" w:rsidR="00F368B6" w:rsidRPr="00F652FB" w:rsidRDefault="00F368B6" w:rsidP="00F368B6">
      <w:pPr>
        <w:bidi w:val="0"/>
        <w:spacing w:line="269" w:lineRule="auto"/>
        <w:ind w:left="312" w:right="708"/>
        <w:rPr>
          <w:rFonts w:asciiTheme="minorBidi" w:hAnsiTheme="minorBidi"/>
          <w:szCs w:val="20"/>
        </w:rPr>
      </w:pPr>
      <w:r w:rsidRPr="00F652FB">
        <w:rPr>
          <w:rFonts w:asciiTheme="minorBidi" w:hAnsiTheme="minorBidi"/>
          <w:szCs w:val="20"/>
        </w:rPr>
        <w:t>Israel should consider developing specialist economic crime courts and including in their remit confiscation. This would expedite proceedings and natural justice whilst also allowing for closer correlation of seizure and confiscation data</w:t>
      </w:r>
      <w:r>
        <w:rPr>
          <w:rStyle w:val="FootnoteReference"/>
          <w:rFonts w:asciiTheme="minorBidi" w:hAnsiTheme="minorBidi"/>
          <w:szCs w:val="20"/>
        </w:rPr>
        <w:footnoteReference w:id="70"/>
      </w:r>
      <w:r w:rsidR="00B95C1B" w:rsidRPr="00F652FB">
        <w:rPr>
          <w:rFonts w:asciiTheme="minorBidi" w:hAnsiTheme="minorBidi"/>
          <w:szCs w:val="20"/>
        </w:rPr>
        <w:t>.</w:t>
      </w:r>
    </w:p>
    <w:p w14:paraId="1544A030" w14:textId="77777777" w:rsidR="00BE32EB" w:rsidRDefault="00BE32EB">
      <w:pPr>
        <w:bidi w:val="0"/>
        <w:spacing w:after="200" w:line="276" w:lineRule="auto"/>
        <w:rPr>
          <w:rFonts w:ascii="Tahoma" w:hAnsi="Tahoma" w:cs="Tahoma"/>
          <w:szCs w:val="20"/>
          <w:rtl/>
        </w:rPr>
      </w:pPr>
      <w:r>
        <w:rPr>
          <w:rtl/>
        </w:rPr>
        <w:br w:type="page"/>
      </w:r>
    </w:p>
    <w:p w14:paraId="49513E26" w14:textId="6ED24F99" w:rsidR="00F368B6" w:rsidRPr="009B1072" w:rsidRDefault="00F368B6" w:rsidP="00BE32EB">
      <w:pPr>
        <w:pStyle w:val="a0"/>
        <w:rPr>
          <w:rtl/>
        </w:rPr>
      </w:pPr>
      <w:r w:rsidRPr="00DC6E46">
        <w:rPr>
          <w:rFonts w:hint="eastAsia"/>
          <w:rtl/>
        </w:rPr>
        <w:lastRenderedPageBreak/>
        <w:t>בדיון</w:t>
      </w:r>
      <w:r w:rsidRPr="00DC6E46">
        <w:rPr>
          <w:rtl/>
        </w:rPr>
        <w:t xml:space="preserve"> של הוועדה המתמדת באפריל 2019 </w:t>
      </w:r>
      <w:r>
        <w:rPr>
          <w:rFonts w:hint="cs"/>
          <w:rtl/>
        </w:rPr>
        <w:t>ציינה היועצת המשפט של</w:t>
      </w:r>
      <w:r w:rsidRPr="00DC6E46">
        <w:rPr>
          <w:rtl/>
        </w:rPr>
        <w:t xml:space="preserve"> </w:t>
      </w:r>
      <w:r w:rsidRPr="00DC6E46">
        <w:rPr>
          <w:rFonts w:hint="eastAsia"/>
          <w:rtl/>
        </w:rPr>
        <w:t>רשלא</w:t>
      </w:r>
      <w:r w:rsidRPr="00DC6E46">
        <w:rPr>
          <w:rtl/>
        </w:rPr>
        <w:t xml:space="preserve">"ה כי יש מקום לאמץ את המלצת </w:t>
      </w:r>
      <w:r w:rsidRPr="00894EDE">
        <w:rPr>
          <w:rFonts w:cs="Times New Roman"/>
        </w:rPr>
        <w:t>FATF</w:t>
      </w:r>
      <w:r w:rsidRPr="00DC6E46">
        <w:rPr>
          <w:rtl/>
        </w:rPr>
        <w:t xml:space="preserve"> </w:t>
      </w:r>
      <w:r>
        <w:rPr>
          <w:rFonts w:hint="cs"/>
          <w:rtl/>
        </w:rPr>
        <w:t>האמורה ושניכר שיש חוסר התמחות של שופטים בתחום</w:t>
      </w:r>
      <w:r w:rsidRPr="00DC6E46">
        <w:rPr>
          <w:rtl/>
        </w:rPr>
        <w:t>.</w:t>
      </w:r>
    </w:p>
    <w:p w14:paraId="012D406F" w14:textId="77777777" w:rsidR="00F368B6" w:rsidRPr="003D0716" w:rsidRDefault="00F368B6" w:rsidP="00BE32EB">
      <w:pPr>
        <w:pStyle w:val="100"/>
        <w:rPr>
          <w:rtl/>
        </w:rPr>
      </w:pPr>
      <w:r w:rsidRPr="00A575B7">
        <w:rPr>
          <w:rtl/>
        </w:rPr>
        <w:t>הנהלת בתי המשפט מסרה ל</w:t>
      </w:r>
      <w:r>
        <w:rPr>
          <w:rFonts w:hint="cs"/>
          <w:rtl/>
        </w:rPr>
        <w:t xml:space="preserve">משרד </w:t>
      </w:r>
      <w:r w:rsidRPr="00A575B7">
        <w:rPr>
          <w:rtl/>
        </w:rPr>
        <w:t xml:space="preserve">מבקר המדינה </w:t>
      </w:r>
      <w:r w:rsidRPr="00443DE7">
        <w:rPr>
          <w:rtl/>
        </w:rPr>
        <w:t>כי תיקי</w:t>
      </w:r>
      <w:r w:rsidRPr="00443DE7">
        <w:rPr>
          <w:rFonts w:hint="cs"/>
          <w:rtl/>
        </w:rPr>
        <w:t>ם</w:t>
      </w:r>
      <w:r>
        <w:rPr>
          <w:rtl/>
        </w:rPr>
        <w:t xml:space="preserve"> </w:t>
      </w:r>
      <w:r w:rsidRPr="00A575B7">
        <w:rPr>
          <w:rtl/>
        </w:rPr>
        <w:t>מנותבים למו</w:t>
      </w:r>
      <w:r>
        <w:rPr>
          <w:rFonts w:hint="cs"/>
          <w:rtl/>
        </w:rPr>
        <w:t>ת</w:t>
      </w:r>
      <w:r w:rsidRPr="00A575B7">
        <w:rPr>
          <w:rtl/>
        </w:rPr>
        <w:t>בים ייעודי</w:t>
      </w:r>
      <w:r>
        <w:rPr>
          <w:rFonts w:hint="cs"/>
          <w:rtl/>
        </w:rPr>
        <w:t>י</w:t>
      </w:r>
      <w:r w:rsidRPr="00A575B7">
        <w:rPr>
          <w:rtl/>
        </w:rPr>
        <w:t>ם הקיימים בבתי המשפט הרלוונטיים ונ</w:t>
      </w:r>
      <w:r>
        <w:rPr>
          <w:rFonts w:hint="cs"/>
          <w:rtl/>
        </w:rPr>
        <w:t>כללים</w:t>
      </w:r>
      <w:r w:rsidRPr="00A575B7">
        <w:rPr>
          <w:rtl/>
        </w:rPr>
        <w:t>, במידת האפשר, בתוכניות העבודה השנתיות של בתי המשפט. עוד נמסר כי בימים אלו נערך מחקר שאמור לתת כלים נוספים בידי מקבלי ההחלטות בדבר ניתוב תיקים אלו</w:t>
      </w:r>
      <w:r>
        <w:rPr>
          <w:rFonts w:hint="cs"/>
          <w:rtl/>
        </w:rPr>
        <w:t>.</w:t>
      </w:r>
    </w:p>
    <w:p w14:paraId="63A611BD" w14:textId="77777777" w:rsidR="00F368B6" w:rsidRDefault="00F368B6" w:rsidP="00BE32EB">
      <w:pPr>
        <w:pStyle w:val="100"/>
        <w:rPr>
          <w:rtl/>
        </w:rPr>
      </w:pPr>
      <w:r w:rsidRPr="00A575B7">
        <w:rPr>
          <w:rtl/>
        </w:rPr>
        <w:t>עוד מסר</w:t>
      </w:r>
      <w:r>
        <w:rPr>
          <w:rFonts w:hint="cs"/>
          <w:rtl/>
        </w:rPr>
        <w:t>ה</w:t>
      </w:r>
      <w:r w:rsidRPr="00A575B7">
        <w:rPr>
          <w:rtl/>
        </w:rPr>
        <w:t xml:space="preserve"> </w:t>
      </w:r>
      <w:r>
        <w:rPr>
          <w:rFonts w:hint="cs"/>
          <w:rtl/>
        </w:rPr>
        <w:t xml:space="preserve">הנהלת בתי המשפט </w:t>
      </w:r>
      <w:r w:rsidRPr="00A575B7">
        <w:rPr>
          <w:rtl/>
        </w:rPr>
        <w:t xml:space="preserve">כי </w:t>
      </w:r>
      <w:r>
        <w:rPr>
          <w:rFonts w:hint="cs"/>
          <w:rtl/>
        </w:rPr>
        <w:t xml:space="preserve">היא משקיעה משאבים בפיתוח המומחיות וההתמקצעות בתחום, הן באמצעות הסדרת נהלים וטיוב תהליכי העבודה, והן באמצעות הכשרת שופטים. </w:t>
      </w:r>
      <w:r w:rsidRPr="00A575B7">
        <w:rPr>
          <w:rtl/>
        </w:rPr>
        <w:t>המרכז להכשרה ולהשתלמות שופטים קיי</w:t>
      </w:r>
      <w:r>
        <w:rPr>
          <w:rFonts w:hint="cs"/>
          <w:rtl/>
        </w:rPr>
        <w:t>ם</w:t>
      </w:r>
      <w:r w:rsidRPr="00A575B7">
        <w:rPr>
          <w:rtl/>
        </w:rPr>
        <w:t xml:space="preserve"> בשנים האחרונות השתלמויות </w:t>
      </w:r>
      <w:r>
        <w:rPr>
          <w:rFonts w:hint="cs"/>
          <w:rtl/>
        </w:rPr>
        <w:t xml:space="preserve">רבות </w:t>
      </w:r>
      <w:r w:rsidRPr="00A575B7">
        <w:rPr>
          <w:rtl/>
        </w:rPr>
        <w:t>הנוגעות לתחומים הכלכליים במישרין</w:t>
      </w:r>
      <w:r>
        <w:rPr>
          <w:rFonts w:hint="cs"/>
          <w:rtl/>
        </w:rPr>
        <w:t xml:space="preserve"> או</w:t>
      </w:r>
      <w:r w:rsidRPr="00A575B7">
        <w:rPr>
          <w:rtl/>
        </w:rPr>
        <w:t xml:space="preserve"> להיבטים דיוניים הנגזרים מניהול תיקים כלכליים מורכבים</w:t>
      </w:r>
      <w:r>
        <w:rPr>
          <w:rFonts w:hint="cs"/>
          <w:rtl/>
        </w:rPr>
        <w:t>,</w:t>
      </w:r>
      <w:r w:rsidRPr="00A575B7">
        <w:rPr>
          <w:rtl/>
        </w:rPr>
        <w:t xml:space="preserve"> </w:t>
      </w:r>
      <w:r>
        <w:rPr>
          <w:rFonts w:hint="cs"/>
          <w:rtl/>
        </w:rPr>
        <w:t>וכן</w:t>
      </w:r>
      <w:r w:rsidRPr="00A575B7">
        <w:rPr>
          <w:rtl/>
        </w:rPr>
        <w:t xml:space="preserve"> השתלמויות הנוגעות בעקיפין לסוגיות הנגזרות מנושאים אלו. </w:t>
      </w:r>
    </w:p>
    <w:p w14:paraId="20F4227A" w14:textId="77777777" w:rsidR="00F368B6" w:rsidRDefault="00F368B6" w:rsidP="00BE32EB">
      <w:pPr>
        <w:pStyle w:val="af1"/>
        <w:rPr>
          <w:rtl/>
        </w:rPr>
      </w:pPr>
      <w:r w:rsidRPr="00D56CAB">
        <w:rPr>
          <w:rFonts w:hint="eastAsia"/>
          <w:rtl/>
        </w:rPr>
        <w:t>היכולת</w:t>
      </w:r>
      <w:r w:rsidRPr="00D56CAB">
        <w:rPr>
          <w:rtl/>
        </w:rPr>
        <w:t xml:space="preserve"> של מערכת בתי המשפט לטפל בתיקים נרחבים הכוללים אכיפה כלכלית </w:t>
      </w:r>
      <w:r w:rsidRPr="00D56CAB">
        <w:rPr>
          <w:rFonts w:hint="eastAsia"/>
          <w:rtl/>
        </w:rPr>
        <w:t>משפיעה</w:t>
      </w:r>
      <w:r>
        <w:rPr>
          <w:rFonts w:hint="cs"/>
          <w:rtl/>
        </w:rPr>
        <w:t xml:space="preserve"> במישרין על יכולת גופי האכיפה להגשים את החלטת הממשלה בדבר המאבק בפשיעה החמורה ובפשיעה המאורגנת. גורמים מקצועיים טוענים כי </w:t>
      </w:r>
      <w:r w:rsidRPr="00465E35">
        <w:rPr>
          <w:rtl/>
        </w:rPr>
        <w:t xml:space="preserve">רשויות האכיפה עברו הליכי ריכוז מאמץ והתמקצעות בתחום, </w:t>
      </w:r>
      <w:r>
        <w:rPr>
          <w:rFonts w:hint="cs"/>
          <w:rtl/>
        </w:rPr>
        <w:t xml:space="preserve">ואילו </w:t>
      </w:r>
      <w:r w:rsidRPr="00465E35">
        <w:rPr>
          <w:rtl/>
        </w:rPr>
        <w:t>מערכת בתי המשפט לא עברה תהליך דומה</w:t>
      </w:r>
      <w:r>
        <w:rPr>
          <w:rFonts w:hint="cs"/>
          <w:rtl/>
        </w:rPr>
        <w:t>,</w:t>
      </w:r>
      <w:r w:rsidRPr="00465E35">
        <w:rPr>
          <w:rtl/>
        </w:rPr>
        <w:t xml:space="preserve"> ומשכך</w:t>
      </w:r>
      <w:r>
        <w:rPr>
          <w:rFonts w:hint="cs"/>
          <w:rtl/>
        </w:rPr>
        <w:t xml:space="preserve"> </w:t>
      </w:r>
      <w:r w:rsidRPr="00465E35">
        <w:rPr>
          <w:rtl/>
        </w:rPr>
        <w:t>נותרת האפקטיביות של רשויות האכיפה מוגבלת.</w:t>
      </w:r>
      <w:r w:rsidRPr="008D52B8">
        <w:rPr>
          <w:rtl/>
        </w:rPr>
        <w:t xml:space="preserve"> </w:t>
      </w:r>
    </w:p>
    <w:p w14:paraId="0E8A8A54" w14:textId="77777777" w:rsidR="00F368B6" w:rsidRPr="00E4059D" w:rsidRDefault="00F368B6" w:rsidP="00BE32EB">
      <w:pPr>
        <w:pStyle w:val="100"/>
        <w:rPr>
          <w:rtl/>
        </w:rPr>
      </w:pPr>
      <w:r>
        <w:rPr>
          <w:rFonts w:hint="cs"/>
          <w:rtl/>
        </w:rPr>
        <w:t xml:space="preserve">אשר להמלצה להקים בתי משפט ייעודיים </w:t>
      </w:r>
      <w:r w:rsidRPr="00F03C75">
        <w:rPr>
          <w:rFonts w:hint="cs"/>
          <w:rtl/>
        </w:rPr>
        <w:t>לתיקים כלכליים, הנהלת</w:t>
      </w:r>
      <w:r>
        <w:rPr>
          <w:rFonts w:hint="cs"/>
          <w:rtl/>
        </w:rPr>
        <w:t xml:space="preserve"> בתי המשפט מסרה בתשובתה כי למערכת בתי המשפט אין מקור תקציבי להקמת בתי משפט ייעודיים בעת הנוכחית. כמו כן, הדבר עלול להטיל מגבלות על הגמישות הניהולית של נשיאי בתי המשפט בניתוב התיקים לשופטים ולהרכבים שונים. היא הוסיפה כי קיים מתח מתמיד בין הצורך בהתמקצעות שופטים בנושא ייחודי, לבין הכרח המערכת לטפל בכלל המקרים המובאים לפתחה. </w:t>
      </w:r>
    </w:p>
    <w:p w14:paraId="5F5EE43C" w14:textId="77777777" w:rsidR="00F368B6" w:rsidRDefault="00F368B6" w:rsidP="00BE32EB">
      <w:pPr>
        <w:pStyle w:val="af1"/>
        <w:rPr>
          <w:rtl/>
        </w:rPr>
      </w:pPr>
      <w:r>
        <w:rPr>
          <w:rFonts w:hint="cs"/>
          <w:rtl/>
        </w:rPr>
        <w:t>על משרד המשפטים והנהלת בתי המשפט להידרש לטענות בכירי מערכת האכיפה ולהמלצה בדוח ה-</w:t>
      </w:r>
      <w:r w:rsidRPr="00894EDE">
        <w:rPr>
          <w:rFonts w:asciiTheme="majorBidi" w:hAnsiTheme="majorBidi" w:cstheme="majorBidi"/>
        </w:rPr>
        <w:t>FATF</w:t>
      </w:r>
      <w:r>
        <w:rPr>
          <w:rFonts w:hint="cs"/>
          <w:rtl/>
        </w:rPr>
        <w:t>, ולשקול הקמת בתי משפט ייעודיים או הרחבת סמכויותיהן של המחלקות הכלכליות בבתי המשפט או אפיק אחר שייתן מענה מקצועי ומהיר לשמיעת תיקים אלה.</w:t>
      </w:r>
      <w:bookmarkStart w:id="19" w:name="_Toc24370969"/>
    </w:p>
    <w:p w14:paraId="5666B108" w14:textId="77777777" w:rsidR="00F368B6" w:rsidRPr="00CE30C1" w:rsidRDefault="00F368B6" w:rsidP="00F368B6">
      <w:pPr>
        <w:spacing w:line="269" w:lineRule="auto"/>
        <w:rPr>
          <w:rFonts w:asciiTheme="minorBidi" w:hAnsiTheme="minorBidi"/>
          <w:b/>
          <w:bCs/>
          <w:sz w:val="24"/>
          <w:rtl/>
        </w:rPr>
      </w:pPr>
    </w:p>
    <w:p w14:paraId="3CA25493" w14:textId="77777777" w:rsidR="00F368B6" w:rsidRPr="002E0D1A" w:rsidRDefault="00F368B6" w:rsidP="00BE32EB">
      <w:pPr>
        <w:pStyle w:val="218"/>
        <w:rPr>
          <w:rtl/>
        </w:rPr>
      </w:pPr>
      <w:r w:rsidRPr="00A30D4C">
        <w:rPr>
          <w:rFonts w:hint="cs"/>
          <w:rtl/>
        </w:rPr>
        <w:lastRenderedPageBreak/>
        <w:t>חסמים במימוש הנכסים לאחר קבלת צו חילוט והעברתם לקרן החילוט</w:t>
      </w:r>
      <w:bookmarkEnd w:id="19"/>
      <w:r w:rsidRPr="002E0D1A">
        <w:rPr>
          <w:rFonts w:hint="cs"/>
          <w:rtl/>
        </w:rPr>
        <w:t xml:space="preserve"> </w:t>
      </w:r>
    </w:p>
    <w:p w14:paraId="45157C62" w14:textId="77777777" w:rsidR="00F368B6" w:rsidRPr="009742F5" w:rsidRDefault="00F368B6" w:rsidP="00BE32EB">
      <w:pPr>
        <w:pStyle w:val="316"/>
        <w:rPr>
          <w:rtl/>
        </w:rPr>
      </w:pPr>
      <w:bookmarkStart w:id="20" w:name="_Toc24370970"/>
      <w:r w:rsidRPr="006E03F7">
        <w:rPr>
          <w:rFonts w:hint="cs"/>
          <w:rtl/>
        </w:rPr>
        <w:t>ה</w:t>
      </w:r>
      <w:r>
        <w:rPr>
          <w:rFonts w:hint="cs"/>
          <w:rtl/>
        </w:rPr>
        <w:t>י</w:t>
      </w:r>
      <w:r w:rsidRPr="006E03F7">
        <w:rPr>
          <w:rFonts w:hint="cs"/>
          <w:rtl/>
        </w:rPr>
        <w:t xml:space="preserve">עדר </w:t>
      </w:r>
      <w:r>
        <w:rPr>
          <w:rFonts w:hint="cs"/>
          <w:rtl/>
        </w:rPr>
        <w:t>ניהול ו</w:t>
      </w:r>
      <w:r w:rsidRPr="006E03F7">
        <w:rPr>
          <w:rFonts w:hint="cs"/>
          <w:rtl/>
        </w:rPr>
        <w:t xml:space="preserve">ניתוח </w:t>
      </w:r>
      <w:r>
        <w:rPr>
          <w:rFonts w:hint="cs"/>
          <w:rtl/>
        </w:rPr>
        <w:t xml:space="preserve">של </w:t>
      </w:r>
      <w:r w:rsidRPr="006E03F7">
        <w:rPr>
          <w:rFonts w:hint="cs"/>
          <w:rtl/>
        </w:rPr>
        <w:t>נתוני מימוש נכסים ביחידת החילוט</w:t>
      </w:r>
      <w:bookmarkEnd w:id="20"/>
    </w:p>
    <w:p w14:paraId="2901602C" w14:textId="77777777" w:rsidR="00F368B6" w:rsidRPr="00727F63" w:rsidRDefault="00F368B6" w:rsidP="00BE32EB">
      <w:pPr>
        <w:pStyle w:val="100"/>
        <w:rPr>
          <w:rtl/>
        </w:rPr>
      </w:pPr>
      <w:r>
        <w:rPr>
          <w:rFonts w:hint="cs"/>
          <w:rtl/>
        </w:rPr>
        <w:t>מסד נתונים הוא כלי ניהולי הכרחי המאפשר חיפוש ושליפה מהירים של נתונים לצורך קביעה ויישום של מדיניות כללית מורכבת</w:t>
      </w:r>
      <w:r>
        <w:rPr>
          <w:rStyle w:val="FootnoteReference"/>
          <w:rtl/>
        </w:rPr>
        <w:footnoteReference w:id="71"/>
      </w:r>
      <w:r>
        <w:rPr>
          <w:rFonts w:hint="cs"/>
          <w:rtl/>
        </w:rPr>
        <w:t xml:space="preserve">. כבר ב-2013 המליץ צוות ההיגוי הבין-משרדי כי יחידת החילוט שתקום תנהל מאגר מידע בקשר לכלל הרכוש מיום תפיסתו ועד מימושו לאחר חילוטו הסופי; כל זאת כדי לקבל נתונים מדויקים על היקפו של החילוט בפועל ולאפשר לכל הגופים העוסקים בתחום האכיפה הכלכלית לפקח על התהליך כולו, לנהל אותו ולהפיק לקחים ממנו. </w:t>
      </w:r>
    </w:p>
    <w:p w14:paraId="283C313E" w14:textId="2F66BF75" w:rsidR="00F368B6" w:rsidRDefault="00F368B6" w:rsidP="00BE32EB">
      <w:pPr>
        <w:pStyle w:val="100"/>
        <w:rPr>
          <w:rtl/>
        </w:rPr>
      </w:pPr>
      <w:r>
        <w:rPr>
          <w:rFonts w:hint="cs"/>
          <w:rtl/>
        </w:rPr>
        <w:t xml:space="preserve">ניתוח נתונים כאמור צריך להתייחס לכספים המופקדים בקרן החילוט משני מקורות: תקבולים מנכסים שחולטו, וקנסות שנגבו בהתאם לפסק דין חלוט על פי חוק איסור הלבנת הון. הביקורת העלתה כי </w:t>
      </w:r>
      <w:r w:rsidRPr="001F3BD5">
        <w:rPr>
          <w:rFonts w:hint="eastAsia"/>
          <w:rtl/>
        </w:rPr>
        <w:t>יחידת</w:t>
      </w:r>
      <w:r w:rsidRPr="001F3BD5">
        <w:rPr>
          <w:rtl/>
        </w:rPr>
        <w:t xml:space="preserve"> החילוט </w:t>
      </w:r>
      <w:r>
        <w:rPr>
          <w:rFonts w:hint="cs"/>
          <w:rtl/>
        </w:rPr>
        <w:t>אינה</w:t>
      </w:r>
      <w:r w:rsidRPr="001F3BD5">
        <w:rPr>
          <w:rtl/>
        </w:rPr>
        <w:t xml:space="preserve"> עוקבת אחר סכומי המימוש בפועל או מנתחת אותם לעומת הוצאות המימוש, בהתאם לסוגי הנכסים בכל תיק ותיק שבתחום אחריותה הישירה. </w:t>
      </w:r>
      <w:r>
        <w:rPr>
          <w:rFonts w:hint="cs"/>
          <w:rtl/>
        </w:rPr>
        <w:t xml:space="preserve">עוד נמצא כי על בסיס נתונים שהתקבלו מהפרקליטות לשנים </w:t>
      </w:r>
      <w:r w:rsidR="001E0D2A">
        <w:rPr>
          <w:rFonts w:hint="cs"/>
          <w:rtl/>
        </w:rPr>
        <w:t>2015 - 2018</w:t>
      </w:r>
      <w:r>
        <w:rPr>
          <w:rFonts w:hint="cs"/>
          <w:rtl/>
        </w:rPr>
        <w:t>, קיים פער של כחצי מיליארד ש"ח בין הסכומים שנפסקו בפסקי דין חלוטים לבין סך התקבולים בקרן החילוט באותן השנים, כמובא בתרשים 13 להלן.</w:t>
      </w:r>
    </w:p>
    <w:p w14:paraId="4F3B6D7F" w14:textId="2C9A15DD" w:rsidR="00F368B6" w:rsidRPr="00BE32EB" w:rsidRDefault="00F368B6" w:rsidP="00BE32EB">
      <w:pPr>
        <w:pStyle w:val="a6"/>
        <w:rPr>
          <w:b/>
          <w:bCs/>
          <w:rtl/>
        </w:rPr>
      </w:pPr>
      <w:r w:rsidRPr="00F414A8">
        <w:rPr>
          <w:rFonts w:hint="eastAsia"/>
          <w:rtl/>
        </w:rPr>
        <w:t>תרשים</w:t>
      </w:r>
      <w:r w:rsidRPr="00F414A8">
        <w:rPr>
          <w:rtl/>
        </w:rPr>
        <w:t xml:space="preserve"> </w:t>
      </w:r>
      <w:r>
        <w:rPr>
          <w:rFonts w:hint="cs"/>
          <w:rtl/>
        </w:rPr>
        <w:t>13</w:t>
      </w:r>
      <w:r w:rsidRPr="00F414A8">
        <w:rPr>
          <w:rtl/>
        </w:rPr>
        <w:t xml:space="preserve">: </w:t>
      </w:r>
      <w:r w:rsidRPr="00BE32EB">
        <w:rPr>
          <w:b/>
          <w:bCs/>
          <w:rtl/>
        </w:rPr>
        <w:t xml:space="preserve">נכסים שחולטו וקנסות שהושתו לצד </w:t>
      </w:r>
      <w:r w:rsidRPr="00BE32EB">
        <w:rPr>
          <w:rFonts w:hint="cs"/>
          <w:b/>
          <w:bCs/>
          <w:rtl/>
        </w:rPr>
        <w:t>תקבולים</w:t>
      </w:r>
      <w:r w:rsidRPr="00BE32EB">
        <w:rPr>
          <w:b/>
          <w:bCs/>
          <w:rtl/>
        </w:rPr>
        <w:t xml:space="preserve"> לקרן החילוט</w:t>
      </w:r>
      <w:r w:rsidR="00B153B8">
        <w:rPr>
          <w:rFonts w:hint="cs"/>
          <w:b/>
          <w:bCs/>
          <w:rtl/>
        </w:rPr>
        <w:t>, 2015 - 2018</w:t>
      </w:r>
    </w:p>
    <w:p w14:paraId="35E47223" w14:textId="77777777" w:rsidR="00F368B6" w:rsidRDefault="00F368B6" w:rsidP="00F368B6">
      <w:pPr>
        <w:spacing w:line="269" w:lineRule="auto"/>
        <w:rPr>
          <w:rtl/>
        </w:rPr>
      </w:pPr>
      <w:r>
        <w:rPr>
          <w:noProof/>
        </w:rPr>
        <w:drawing>
          <wp:inline distT="0" distB="0" distL="0" distR="0" wp14:anchorId="729761DE" wp14:editId="349275F0">
            <wp:extent cx="5295900" cy="2733675"/>
            <wp:effectExtent l="0" t="0" r="0" b="9525"/>
            <wp:docPr id="1814307187" name="תרשים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7FB69C1" w14:textId="77777777" w:rsidR="00F368B6" w:rsidRPr="00BE32EB" w:rsidRDefault="00F368B6" w:rsidP="00BE32EB">
      <w:pPr>
        <w:pStyle w:val="a5"/>
        <w:rPr>
          <w:rtl/>
        </w:rPr>
      </w:pPr>
      <w:r w:rsidRPr="00BE32EB">
        <w:rPr>
          <w:rFonts w:hint="cs"/>
          <w:rtl/>
        </w:rPr>
        <w:t xml:space="preserve">מקור: </w:t>
      </w:r>
      <w:r w:rsidRPr="00BE32EB">
        <w:rPr>
          <w:rFonts w:hint="eastAsia"/>
          <w:rtl/>
        </w:rPr>
        <w:t>על</w:t>
      </w:r>
      <w:r w:rsidRPr="00BE32EB">
        <w:rPr>
          <w:rtl/>
        </w:rPr>
        <w:t xml:space="preserve"> פי </w:t>
      </w:r>
      <w:r w:rsidRPr="00BE32EB">
        <w:rPr>
          <w:rFonts w:hint="cs"/>
          <w:rtl/>
        </w:rPr>
        <w:t>טבלת האקסל של</w:t>
      </w:r>
      <w:r w:rsidRPr="00BE32EB">
        <w:rPr>
          <w:rtl/>
        </w:rPr>
        <w:t xml:space="preserve"> פרקליטות המדינה </w:t>
      </w:r>
      <w:r w:rsidRPr="00BE32EB">
        <w:rPr>
          <w:rFonts w:hint="eastAsia"/>
          <w:rtl/>
        </w:rPr>
        <w:t>ו</w:t>
      </w:r>
      <w:r w:rsidRPr="00BE32EB">
        <w:rPr>
          <w:rFonts w:hint="cs"/>
          <w:rtl/>
        </w:rPr>
        <w:t>נתונים מ</w:t>
      </w:r>
      <w:r w:rsidRPr="00BE32EB">
        <w:rPr>
          <w:rFonts w:hint="eastAsia"/>
          <w:rtl/>
        </w:rPr>
        <w:t>האפ</w:t>
      </w:r>
      <w:r w:rsidRPr="00BE32EB">
        <w:rPr>
          <w:rtl/>
        </w:rPr>
        <w:t>"כ</w:t>
      </w:r>
      <w:r w:rsidRPr="00BE32EB">
        <w:rPr>
          <w:rFonts w:hint="cs"/>
          <w:rtl/>
        </w:rPr>
        <w:t>,</w:t>
      </w:r>
      <w:r w:rsidRPr="00BE32EB">
        <w:rPr>
          <w:rtl/>
        </w:rPr>
        <w:t xml:space="preserve"> בעיבוד משרד מבקר המדינה</w:t>
      </w:r>
      <w:r w:rsidRPr="00BE32EB">
        <w:rPr>
          <w:rFonts w:hint="cs"/>
          <w:rtl/>
        </w:rPr>
        <w:t>.</w:t>
      </w:r>
    </w:p>
    <w:p w14:paraId="7297FA8E" w14:textId="77777777" w:rsidR="00F368B6" w:rsidRPr="000F59B5" w:rsidRDefault="00F368B6" w:rsidP="00BE32EB">
      <w:pPr>
        <w:pStyle w:val="100"/>
        <w:rPr>
          <w:rtl/>
        </w:rPr>
      </w:pPr>
      <w:r>
        <w:rPr>
          <w:rFonts w:hint="cs"/>
          <w:rtl/>
        </w:rPr>
        <w:lastRenderedPageBreak/>
        <w:t xml:space="preserve">לצורך מתן תשובתה לדוח הביקורת ביצעה יחידת החילוט בדיקה פרטנית לנתונים שבטבלת האקסל של הפרקליטות אל מול הנתונים שברשותה, ביחס לנכסים שחולטו וקנסות שהושתו בשנים 2015 - 2018. בבדיקה זו עלה כי התקבולים הנאמדים בכחצי </w:t>
      </w:r>
      <w:r w:rsidRPr="00F2635E">
        <w:rPr>
          <w:rFonts w:hint="cs"/>
          <w:rtl/>
        </w:rPr>
        <w:t>מ</w:t>
      </w:r>
      <w:r>
        <w:rPr>
          <w:rFonts w:hint="cs"/>
          <w:rtl/>
        </w:rPr>
        <w:t>י</w:t>
      </w:r>
      <w:r w:rsidRPr="00F2635E">
        <w:rPr>
          <w:rFonts w:hint="cs"/>
          <w:rtl/>
        </w:rPr>
        <w:t xml:space="preserve">ליארד </w:t>
      </w:r>
      <w:r w:rsidRPr="000F59B5">
        <w:rPr>
          <w:rFonts w:hint="eastAsia"/>
          <w:rtl/>
        </w:rPr>
        <w:t>ש</w:t>
      </w:r>
      <w:r w:rsidRPr="000F59B5">
        <w:rPr>
          <w:rtl/>
        </w:rPr>
        <w:t xml:space="preserve">"ח </w:t>
      </w:r>
      <w:r w:rsidRPr="000F59B5">
        <w:rPr>
          <w:rFonts w:hint="eastAsia"/>
          <w:rtl/>
        </w:rPr>
        <w:t>לא</w:t>
      </w:r>
      <w:r w:rsidRPr="000F59B5">
        <w:rPr>
          <w:rtl/>
        </w:rPr>
        <w:t xml:space="preserve"> </w:t>
      </w:r>
      <w:r w:rsidRPr="000F59B5">
        <w:rPr>
          <w:rFonts w:hint="eastAsia"/>
          <w:rtl/>
        </w:rPr>
        <w:t>היו</w:t>
      </w:r>
      <w:r w:rsidRPr="000F59B5">
        <w:rPr>
          <w:rtl/>
        </w:rPr>
        <w:t xml:space="preserve"> </w:t>
      </w:r>
      <w:r w:rsidRPr="000F59B5">
        <w:rPr>
          <w:rFonts w:hint="eastAsia"/>
          <w:rtl/>
        </w:rPr>
        <w:t>אמורים</w:t>
      </w:r>
      <w:r w:rsidRPr="000F59B5">
        <w:rPr>
          <w:rtl/>
        </w:rPr>
        <w:t xml:space="preserve"> </w:t>
      </w:r>
      <w:r w:rsidRPr="000F59B5">
        <w:rPr>
          <w:rFonts w:hint="eastAsia"/>
          <w:rtl/>
        </w:rPr>
        <w:t>להגיע</w:t>
      </w:r>
      <w:r w:rsidRPr="000F59B5">
        <w:rPr>
          <w:rtl/>
        </w:rPr>
        <w:t xml:space="preserve"> </w:t>
      </w:r>
      <w:r w:rsidRPr="000F59B5">
        <w:rPr>
          <w:rFonts w:hint="eastAsia"/>
          <w:rtl/>
        </w:rPr>
        <w:t>לקרן</w:t>
      </w:r>
      <w:r w:rsidRPr="000F59B5">
        <w:rPr>
          <w:rtl/>
        </w:rPr>
        <w:t xml:space="preserve"> </w:t>
      </w:r>
      <w:r w:rsidRPr="000F59B5">
        <w:rPr>
          <w:rFonts w:hint="eastAsia"/>
          <w:rtl/>
        </w:rPr>
        <w:t>החילוט</w:t>
      </w:r>
      <w:r>
        <w:rPr>
          <w:rFonts w:hint="cs"/>
          <w:rtl/>
        </w:rPr>
        <w:t xml:space="preserve">. </w:t>
      </w:r>
      <w:r w:rsidRPr="000F59B5">
        <w:rPr>
          <w:rFonts w:hint="eastAsia"/>
          <w:rtl/>
        </w:rPr>
        <w:t>כ</w:t>
      </w:r>
      <w:r w:rsidRPr="000F59B5">
        <w:rPr>
          <w:rtl/>
        </w:rPr>
        <w:t>-</w:t>
      </w:r>
      <w:r>
        <w:rPr>
          <w:rFonts w:hint="cs"/>
          <w:rtl/>
        </w:rPr>
        <w:t>89</w:t>
      </w:r>
      <w:r w:rsidRPr="000F59B5">
        <w:rPr>
          <w:rtl/>
        </w:rPr>
        <w:t>% (כ-</w:t>
      </w:r>
      <w:r>
        <w:rPr>
          <w:rFonts w:hint="cs"/>
          <w:rtl/>
        </w:rPr>
        <w:t>456</w:t>
      </w:r>
      <w:r w:rsidRPr="000F59B5">
        <w:rPr>
          <w:rtl/>
        </w:rPr>
        <w:t xml:space="preserve"> מיליון ש"ח)</w:t>
      </w:r>
      <w:r>
        <w:rPr>
          <w:rFonts w:hint="cs"/>
          <w:rtl/>
        </w:rPr>
        <w:t xml:space="preserve"> מהתקבולים</w:t>
      </w:r>
      <w:r w:rsidRPr="000F59B5">
        <w:rPr>
          <w:rtl/>
        </w:rPr>
        <w:t xml:space="preserve"> </w:t>
      </w:r>
      <w:r w:rsidRPr="000F59B5">
        <w:rPr>
          <w:rFonts w:hint="eastAsia"/>
          <w:rtl/>
        </w:rPr>
        <w:t>נפסקו</w:t>
      </w:r>
      <w:r w:rsidRPr="00BE7EA4">
        <w:rPr>
          <w:rtl/>
        </w:rPr>
        <w:t xml:space="preserve"> לטובת אוצר המדינה</w:t>
      </w:r>
      <w:r>
        <w:rPr>
          <w:rFonts w:hint="cs"/>
          <w:rtl/>
        </w:rPr>
        <w:t xml:space="preserve">, </w:t>
      </w:r>
      <w:r w:rsidRPr="000F59B5">
        <w:rPr>
          <w:rtl/>
        </w:rPr>
        <w:t>כ-5% (</w:t>
      </w:r>
      <w:r>
        <w:rPr>
          <w:rFonts w:hint="cs"/>
          <w:rtl/>
        </w:rPr>
        <w:t>כ-</w:t>
      </w:r>
      <w:r w:rsidRPr="000F59B5">
        <w:rPr>
          <w:rtl/>
        </w:rPr>
        <w:t xml:space="preserve">27 </w:t>
      </w:r>
      <w:r w:rsidRPr="000F59B5">
        <w:rPr>
          <w:rFonts w:hint="eastAsia"/>
          <w:rtl/>
        </w:rPr>
        <w:t>מיליון</w:t>
      </w:r>
      <w:r w:rsidRPr="000F59B5">
        <w:rPr>
          <w:rtl/>
        </w:rPr>
        <w:t xml:space="preserve"> </w:t>
      </w:r>
      <w:r w:rsidRPr="000F59B5">
        <w:rPr>
          <w:rFonts w:hint="eastAsia"/>
          <w:rtl/>
        </w:rPr>
        <w:t>ש</w:t>
      </w:r>
      <w:r w:rsidRPr="000F59B5">
        <w:rPr>
          <w:rtl/>
        </w:rPr>
        <w:t xml:space="preserve">"ח) </w:t>
      </w:r>
      <w:r>
        <w:rPr>
          <w:rFonts w:hint="cs"/>
          <w:rtl/>
        </w:rPr>
        <w:t>מהם</w:t>
      </w:r>
      <w:r w:rsidRPr="000F59B5">
        <w:rPr>
          <w:rtl/>
        </w:rPr>
        <w:t xml:space="preserve"> </w:t>
      </w:r>
      <w:r w:rsidRPr="000F59B5">
        <w:rPr>
          <w:rFonts w:hint="eastAsia"/>
          <w:rtl/>
        </w:rPr>
        <w:t>נפסקו</w:t>
      </w:r>
      <w:r w:rsidRPr="000F59B5">
        <w:rPr>
          <w:rtl/>
        </w:rPr>
        <w:t xml:space="preserve"> </w:t>
      </w:r>
      <w:r w:rsidRPr="000F59B5">
        <w:rPr>
          <w:rFonts w:hint="eastAsia"/>
          <w:rtl/>
        </w:rPr>
        <w:t>לפיצוי</w:t>
      </w:r>
      <w:r w:rsidRPr="000F59B5">
        <w:rPr>
          <w:rtl/>
        </w:rPr>
        <w:t xml:space="preserve"> נפגעי עבירה</w:t>
      </w:r>
      <w:r>
        <w:rPr>
          <w:rFonts w:hint="cs"/>
          <w:rtl/>
        </w:rPr>
        <w:t>, וכ-6% הופקדו בקרן חילוט סמים</w:t>
      </w:r>
      <w:r w:rsidRPr="000F59B5">
        <w:rPr>
          <w:rtl/>
        </w:rPr>
        <w:t xml:space="preserve">. </w:t>
      </w:r>
      <w:r w:rsidRPr="000F59B5">
        <w:rPr>
          <w:rFonts w:hint="eastAsia"/>
          <w:rtl/>
        </w:rPr>
        <w:t>הכספים</w:t>
      </w:r>
      <w:r w:rsidRPr="000F59B5">
        <w:rPr>
          <w:rtl/>
        </w:rPr>
        <w:t xml:space="preserve"> </w:t>
      </w:r>
      <w:r w:rsidRPr="000F59B5">
        <w:rPr>
          <w:rFonts w:hint="eastAsia"/>
          <w:rtl/>
        </w:rPr>
        <w:t>שנפסקו</w:t>
      </w:r>
      <w:r w:rsidRPr="000F59B5">
        <w:rPr>
          <w:rtl/>
        </w:rPr>
        <w:t xml:space="preserve"> לטובת אוצר המדינה נחלקים לשני סוגים: </w:t>
      </w:r>
      <w:r w:rsidRPr="000F59B5">
        <w:rPr>
          <w:rFonts w:hint="eastAsia"/>
          <w:rtl/>
        </w:rPr>
        <w:t>כ</w:t>
      </w:r>
      <w:r w:rsidRPr="000F59B5">
        <w:rPr>
          <w:rtl/>
        </w:rPr>
        <w:t>-</w:t>
      </w:r>
      <w:r>
        <w:rPr>
          <w:rFonts w:hint="cs"/>
          <w:rtl/>
        </w:rPr>
        <w:t>100</w:t>
      </w:r>
      <w:r w:rsidRPr="000F59B5">
        <w:rPr>
          <w:rtl/>
        </w:rPr>
        <w:t xml:space="preserve"> </w:t>
      </w:r>
      <w:r w:rsidRPr="000F59B5">
        <w:rPr>
          <w:rFonts w:hint="eastAsia"/>
          <w:rtl/>
        </w:rPr>
        <w:t>מיליון</w:t>
      </w:r>
      <w:r w:rsidRPr="000F59B5">
        <w:rPr>
          <w:rtl/>
        </w:rPr>
        <w:t xml:space="preserve"> </w:t>
      </w:r>
      <w:r w:rsidRPr="000F59B5">
        <w:rPr>
          <w:rFonts w:hint="eastAsia"/>
          <w:rtl/>
        </w:rPr>
        <w:t>ש</w:t>
      </w:r>
      <w:r w:rsidRPr="000F59B5">
        <w:rPr>
          <w:rtl/>
        </w:rPr>
        <w:t xml:space="preserve">"ח </w:t>
      </w:r>
      <w:r w:rsidRPr="000F59B5">
        <w:rPr>
          <w:rFonts w:hint="eastAsia"/>
          <w:rtl/>
        </w:rPr>
        <w:t>נתפסו</w:t>
      </w:r>
      <w:r w:rsidRPr="000F59B5">
        <w:rPr>
          <w:rtl/>
        </w:rPr>
        <w:t xml:space="preserve"> </w:t>
      </w:r>
      <w:r w:rsidRPr="000F59B5">
        <w:rPr>
          <w:rFonts w:hint="eastAsia"/>
          <w:rtl/>
        </w:rPr>
        <w:t>וחולטו</w:t>
      </w:r>
      <w:r w:rsidRPr="000F59B5">
        <w:rPr>
          <w:rtl/>
        </w:rPr>
        <w:t xml:space="preserve"> </w:t>
      </w:r>
      <w:r w:rsidRPr="000F59B5">
        <w:rPr>
          <w:rFonts w:hint="eastAsia"/>
          <w:rtl/>
        </w:rPr>
        <w:t>שלא</w:t>
      </w:r>
      <w:r w:rsidRPr="000F59B5">
        <w:rPr>
          <w:rtl/>
        </w:rPr>
        <w:t xml:space="preserve"> </w:t>
      </w:r>
      <w:r w:rsidRPr="000F59B5">
        <w:rPr>
          <w:rFonts w:hint="eastAsia"/>
          <w:rtl/>
        </w:rPr>
        <w:t>בעילת</w:t>
      </w:r>
      <w:r w:rsidRPr="000F59B5">
        <w:rPr>
          <w:rtl/>
        </w:rPr>
        <w:t xml:space="preserve"> </w:t>
      </w:r>
      <w:r w:rsidRPr="000F59B5">
        <w:rPr>
          <w:rFonts w:hint="eastAsia"/>
          <w:rtl/>
        </w:rPr>
        <w:t>הלבנת</w:t>
      </w:r>
      <w:r w:rsidRPr="000F59B5">
        <w:rPr>
          <w:rtl/>
        </w:rPr>
        <w:t xml:space="preserve"> </w:t>
      </w:r>
      <w:r w:rsidRPr="000F59B5">
        <w:rPr>
          <w:rFonts w:hint="eastAsia"/>
          <w:rtl/>
        </w:rPr>
        <w:t>הון</w:t>
      </w:r>
      <w:r>
        <w:rPr>
          <w:rFonts w:hint="cs"/>
          <w:rtl/>
        </w:rPr>
        <w:t>,</w:t>
      </w:r>
      <w:r w:rsidRPr="000F59B5">
        <w:rPr>
          <w:rtl/>
        </w:rPr>
        <w:t xml:space="preserve"> </w:t>
      </w:r>
      <w:r w:rsidRPr="000F59B5">
        <w:rPr>
          <w:rFonts w:hint="eastAsia"/>
          <w:rtl/>
        </w:rPr>
        <w:t>ו</w:t>
      </w:r>
      <w:r>
        <w:rPr>
          <w:rFonts w:hint="cs"/>
          <w:rtl/>
        </w:rPr>
        <w:t>אילו</w:t>
      </w:r>
      <w:r w:rsidRPr="000F59B5">
        <w:rPr>
          <w:rtl/>
        </w:rPr>
        <w:t xml:space="preserve"> </w:t>
      </w:r>
      <w:r w:rsidRPr="000F59B5">
        <w:rPr>
          <w:rFonts w:hint="eastAsia"/>
          <w:rtl/>
        </w:rPr>
        <w:t>כ</w:t>
      </w:r>
      <w:r w:rsidRPr="000F59B5">
        <w:rPr>
          <w:rtl/>
        </w:rPr>
        <w:t>-356 מיליון ש</w:t>
      </w:r>
      <w:r w:rsidRPr="00D6071A">
        <w:rPr>
          <w:rtl/>
        </w:rPr>
        <w:t>"ח נתפסו בעילת הלבנת הו</w:t>
      </w:r>
      <w:r>
        <w:rPr>
          <w:rFonts w:hint="cs"/>
          <w:rtl/>
        </w:rPr>
        <w:t>ן, וקיימים ביחס אליהם תיקים זמניים ביחידת החילוט,</w:t>
      </w:r>
      <w:r w:rsidRPr="000F59B5">
        <w:rPr>
          <w:rtl/>
        </w:rPr>
        <w:t xml:space="preserve"> אך צו החילוט </w:t>
      </w:r>
      <w:r w:rsidRPr="000F59B5">
        <w:rPr>
          <w:rFonts w:hint="eastAsia"/>
          <w:rtl/>
        </w:rPr>
        <w:t>אינו</w:t>
      </w:r>
      <w:r w:rsidRPr="000F59B5">
        <w:rPr>
          <w:rtl/>
        </w:rPr>
        <w:t xml:space="preserve"> </w:t>
      </w:r>
      <w:r w:rsidRPr="000F59B5">
        <w:rPr>
          <w:rFonts w:hint="eastAsia"/>
          <w:rtl/>
        </w:rPr>
        <w:t>בעבירות</w:t>
      </w:r>
      <w:r w:rsidRPr="000F59B5">
        <w:rPr>
          <w:rtl/>
        </w:rPr>
        <w:t xml:space="preserve"> </w:t>
      </w:r>
      <w:r w:rsidRPr="000F59B5">
        <w:rPr>
          <w:rFonts w:hint="eastAsia"/>
          <w:rtl/>
        </w:rPr>
        <w:t>על</w:t>
      </w:r>
      <w:r w:rsidRPr="000F59B5">
        <w:rPr>
          <w:rtl/>
        </w:rPr>
        <w:t xml:space="preserve"> </w:t>
      </w:r>
      <w:r w:rsidRPr="000F59B5">
        <w:rPr>
          <w:rFonts w:hint="eastAsia"/>
          <w:rtl/>
        </w:rPr>
        <w:t>איסור</w:t>
      </w:r>
      <w:r w:rsidRPr="000F59B5">
        <w:rPr>
          <w:rtl/>
        </w:rPr>
        <w:t xml:space="preserve"> </w:t>
      </w:r>
      <w:r w:rsidRPr="000F59B5">
        <w:rPr>
          <w:rFonts w:hint="eastAsia"/>
          <w:rtl/>
        </w:rPr>
        <w:t>הלבנת</w:t>
      </w:r>
      <w:r w:rsidRPr="000F59B5">
        <w:rPr>
          <w:rtl/>
        </w:rPr>
        <w:t xml:space="preserve"> </w:t>
      </w:r>
      <w:r w:rsidRPr="000F59B5">
        <w:rPr>
          <w:rFonts w:hint="eastAsia"/>
          <w:rtl/>
        </w:rPr>
        <w:t>הון</w:t>
      </w:r>
      <w:r>
        <w:rPr>
          <w:rFonts w:hint="cs"/>
          <w:rtl/>
        </w:rPr>
        <w:t xml:space="preserve"> וניתן בעילה אחרת</w:t>
      </w:r>
      <w:r w:rsidRPr="000F59B5">
        <w:rPr>
          <w:rtl/>
        </w:rPr>
        <w:t>.</w:t>
      </w:r>
    </w:p>
    <w:p w14:paraId="3CFA8F91" w14:textId="77777777" w:rsidR="00F368B6" w:rsidRDefault="00F368B6" w:rsidP="00BE32EB">
      <w:pPr>
        <w:pStyle w:val="af1"/>
        <w:rPr>
          <w:rtl/>
        </w:rPr>
      </w:pPr>
      <w:r w:rsidRPr="007C33E6">
        <w:rPr>
          <w:rFonts w:hint="cs"/>
          <w:rtl/>
        </w:rPr>
        <w:t xml:space="preserve">משרד מבקר המדינה </w:t>
      </w:r>
      <w:r>
        <w:rPr>
          <w:rFonts w:hint="cs"/>
          <w:rtl/>
        </w:rPr>
        <w:t>מציין את הבדיקה הפרטנית שעשתה יחידת החילוט, ומוסיף שעליה להמשיך ולהשקיע מאמצים בעריכת בקרות שוטפות על התיקים שבאחריותה, ולוודא שכל הכספים ותקבולי הנכסים אכן מופקדים בהתאם לדין בקרן החילוט ובתוך פרק זמן סביר.</w:t>
      </w:r>
    </w:p>
    <w:p w14:paraId="23AE1EE1" w14:textId="77777777" w:rsidR="00F368B6" w:rsidRPr="00955B38" w:rsidRDefault="00F368B6" w:rsidP="00BE32EB">
      <w:pPr>
        <w:pStyle w:val="316"/>
        <w:rPr>
          <w:bCs/>
          <w:rtl/>
        </w:rPr>
      </w:pPr>
      <w:r>
        <w:rPr>
          <w:rFonts w:hint="cs"/>
          <w:rtl/>
        </w:rPr>
        <w:t>חסמים ב</w:t>
      </w:r>
      <w:r w:rsidRPr="006E03F7">
        <w:rPr>
          <w:rFonts w:hint="cs"/>
          <w:rtl/>
        </w:rPr>
        <w:t>מימוש נכסים ביחידת החילוט</w:t>
      </w:r>
    </w:p>
    <w:p w14:paraId="554447E3" w14:textId="77777777" w:rsidR="00F368B6" w:rsidRDefault="00F368B6" w:rsidP="00BE32EB">
      <w:pPr>
        <w:pStyle w:val="100"/>
        <w:rPr>
          <w:rtl/>
        </w:rPr>
      </w:pPr>
      <w:r>
        <w:rPr>
          <w:rFonts w:hint="cs"/>
          <w:rtl/>
        </w:rPr>
        <w:t>בחודשים יוני עד יולי 2019 בדק</w:t>
      </w:r>
      <w:r w:rsidRPr="00701327">
        <w:rPr>
          <w:rtl/>
        </w:rPr>
        <w:t xml:space="preserve"> </w:t>
      </w:r>
      <w:r w:rsidRPr="00701327">
        <w:rPr>
          <w:rFonts w:hint="eastAsia"/>
          <w:rtl/>
        </w:rPr>
        <w:t>משרד</w:t>
      </w:r>
      <w:r w:rsidRPr="00701327">
        <w:rPr>
          <w:rtl/>
        </w:rPr>
        <w:t xml:space="preserve"> </w:t>
      </w:r>
      <w:r w:rsidRPr="00701327">
        <w:rPr>
          <w:rFonts w:hint="eastAsia"/>
          <w:rtl/>
        </w:rPr>
        <w:t>מבקר</w:t>
      </w:r>
      <w:r w:rsidRPr="00701327">
        <w:rPr>
          <w:rtl/>
        </w:rPr>
        <w:t xml:space="preserve"> </w:t>
      </w:r>
      <w:r w:rsidRPr="00701327">
        <w:rPr>
          <w:rFonts w:hint="eastAsia"/>
          <w:rtl/>
        </w:rPr>
        <w:t>המדינה</w:t>
      </w:r>
      <w:r w:rsidRPr="00701327">
        <w:rPr>
          <w:rtl/>
        </w:rPr>
        <w:t xml:space="preserve"> </w:t>
      </w:r>
      <w:r w:rsidRPr="00701327">
        <w:rPr>
          <w:rFonts w:hint="eastAsia"/>
          <w:rtl/>
        </w:rPr>
        <w:t>ביחידת</w:t>
      </w:r>
      <w:r w:rsidRPr="00701327">
        <w:rPr>
          <w:rtl/>
        </w:rPr>
        <w:t xml:space="preserve"> </w:t>
      </w:r>
      <w:r w:rsidRPr="00701327">
        <w:rPr>
          <w:rFonts w:hint="eastAsia"/>
          <w:rtl/>
        </w:rPr>
        <w:t>החילוט</w:t>
      </w:r>
      <w:r>
        <w:rPr>
          <w:rFonts w:hint="cs"/>
          <w:rtl/>
        </w:rPr>
        <w:t xml:space="preserve"> </w:t>
      </w:r>
      <w:r w:rsidRPr="00701327">
        <w:rPr>
          <w:rtl/>
        </w:rPr>
        <w:t xml:space="preserve">25 תיקים </w:t>
      </w:r>
      <w:r>
        <w:rPr>
          <w:rFonts w:hint="cs"/>
          <w:rtl/>
        </w:rPr>
        <w:t>ש</w:t>
      </w:r>
      <w:r w:rsidRPr="00701327">
        <w:rPr>
          <w:rtl/>
        </w:rPr>
        <w:t>בהם חולטו מגוון נכסים בהתאם לגזר דין חלוט</w:t>
      </w:r>
      <w:r>
        <w:rPr>
          <w:rFonts w:hint="cs"/>
          <w:rtl/>
        </w:rPr>
        <w:t>,</w:t>
      </w:r>
      <w:r w:rsidRPr="00701327">
        <w:rPr>
          <w:rtl/>
        </w:rPr>
        <w:t xml:space="preserve"> </w:t>
      </w:r>
      <w:r>
        <w:rPr>
          <w:rFonts w:hint="cs"/>
          <w:rtl/>
        </w:rPr>
        <w:t>ומצא</w:t>
      </w:r>
      <w:r w:rsidRPr="00701327">
        <w:rPr>
          <w:rtl/>
        </w:rPr>
        <w:t xml:space="preserve"> תשעה תיקים שבהם מומש מלוא הרכוש שחולט</w:t>
      </w:r>
      <w:r>
        <w:rPr>
          <w:rFonts w:hint="cs"/>
          <w:rtl/>
        </w:rPr>
        <w:t>,</w:t>
      </w:r>
      <w:r w:rsidRPr="00701327">
        <w:rPr>
          <w:rtl/>
        </w:rPr>
        <w:t xml:space="preserve"> והכספים הועברו לקרן החילוט. בשאר התיקים</w:t>
      </w:r>
      <w:r>
        <w:rPr>
          <w:rFonts w:hint="cs"/>
          <w:rtl/>
        </w:rPr>
        <w:t xml:space="preserve"> התמורה לא הועברה במלואה לקרן מסיבות שונות, ובכלל זה: קשיים במימוש נכסים; עיכוב בהעברת כספים </w:t>
      </w:r>
      <w:r w:rsidRPr="00CB3DCB">
        <w:rPr>
          <w:rFonts w:hint="cs"/>
          <w:rtl/>
        </w:rPr>
        <w:t>לקרן החילוט</w:t>
      </w:r>
      <w:r>
        <w:rPr>
          <w:rFonts w:hint="cs"/>
          <w:rtl/>
        </w:rPr>
        <w:t xml:space="preserve"> מרשות המיסים, </w:t>
      </w:r>
      <w:r w:rsidRPr="00CB3DCB">
        <w:rPr>
          <w:rFonts w:hint="cs"/>
          <w:rtl/>
        </w:rPr>
        <w:t>מהמרכז לגביית קנסות</w:t>
      </w:r>
      <w:r>
        <w:rPr>
          <w:rFonts w:hint="cs"/>
          <w:rtl/>
        </w:rPr>
        <w:t xml:space="preserve"> ומהמשטרה (בין היתר, כספי פדיון כלי רכב מחולטים)</w:t>
      </w:r>
      <w:r w:rsidRPr="00CB3DCB">
        <w:rPr>
          <w:rFonts w:hint="cs"/>
          <w:rtl/>
        </w:rPr>
        <w:t>; עיכוב במימוש נכסים בשל ה</w:t>
      </w:r>
      <w:r>
        <w:rPr>
          <w:rFonts w:hint="cs"/>
          <w:rtl/>
        </w:rPr>
        <w:t>י</w:t>
      </w:r>
      <w:r w:rsidRPr="00CB3DCB">
        <w:rPr>
          <w:rFonts w:hint="cs"/>
          <w:rtl/>
        </w:rPr>
        <w:t>עדר טופס 13</w:t>
      </w:r>
      <w:r w:rsidRPr="00894EDE">
        <w:rPr>
          <w:rStyle w:val="FootnoteReference"/>
          <w:sz w:val="24"/>
          <w:rtl/>
        </w:rPr>
        <w:footnoteReference w:id="72"/>
      </w:r>
      <w:r>
        <w:rPr>
          <w:rFonts w:hint="cs"/>
          <w:rtl/>
        </w:rPr>
        <w:t>;</w:t>
      </w:r>
      <w:r w:rsidRPr="00CB3DCB">
        <w:rPr>
          <w:rFonts w:hint="cs"/>
          <w:rtl/>
        </w:rPr>
        <w:t xml:space="preserve"> ואי</w:t>
      </w:r>
      <w:r>
        <w:rPr>
          <w:rFonts w:hint="cs"/>
          <w:rtl/>
        </w:rPr>
        <w:t>-</w:t>
      </w:r>
      <w:r w:rsidRPr="00CB3DCB">
        <w:rPr>
          <w:rFonts w:hint="cs"/>
          <w:rtl/>
        </w:rPr>
        <w:t>תשלום קנסות על ידי נאשמים.</w:t>
      </w:r>
    </w:p>
    <w:p w14:paraId="45059C67" w14:textId="77777777" w:rsidR="00F368B6" w:rsidRDefault="00F368B6" w:rsidP="00BE32EB">
      <w:pPr>
        <w:pStyle w:val="100"/>
        <w:rPr>
          <w:rtl/>
        </w:rPr>
      </w:pPr>
      <w:r>
        <w:rPr>
          <w:rFonts w:hint="cs"/>
          <w:rtl/>
        </w:rPr>
        <w:t>להלן בתרשים 14 מוצגים סך התקבולים לקרן החילוט לצד סך הכספים שלא הופקדו והסיבות לכך.</w:t>
      </w:r>
    </w:p>
    <w:p w14:paraId="034DFC28" w14:textId="77777777" w:rsidR="00F368B6" w:rsidRDefault="00F368B6" w:rsidP="00F368B6">
      <w:pPr>
        <w:spacing w:line="269" w:lineRule="auto"/>
        <w:rPr>
          <w:rtl/>
        </w:rPr>
      </w:pPr>
    </w:p>
    <w:p w14:paraId="61CF2AC0" w14:textId="77777777" w:rsidR="00F368B6" w:rsidRDefault="00F368B6" w:rsidP="00F368B6">
      <w:pPr>
        <w:bidi w:val="0"/>
        <w:spacing w:after="200" w:line="276" w:lineRule="auto"/>
        <w:rPr>
          <w:b/>
          <w:bCs/>
          <w:rtl/>
        </w:rPr>
      </w:pPr>
      <w:r>
        <w:rPr>
          <w:b/>
          <w:bCs/>
          <w:rtl/>
        </w:rPr>
        <w:br w:type="page"/>
      </w:r>
    </w:p>
    <w:p w14:paraId="63A7E5A3" w14:textId="33B118A1" w:rsidR="00F368B6" w:rsidRPr="004B1A2A" w:rsidRDefault="00F368B6" w:rsidP="004B1A2A">
      <w:pPr>
        <w:pStyle w:val="a6"/>
        <w:rPr>
          <w:b/>
          <w:bCs/>
          <w:rtl/>
        </w:rPr>
      </w:pPr>
      <w:r w:rsidRPr="001B6B02">
        <w:rPr>
          <w:rFonts w:hint="eastAsia"/>
          <w:rtl/>
        </w:rPr>
        <w:lastRenderedPageBreak/>
        <w:t>תרשים</w:t>
      </w:r>
      <w:r w:rsidRPr="001B6B02">
        <w:rPr>
          <w:rtl/>
        </w:rPr>
        <w:t xml:space="preserve"> 1</w:t>
      </w:r>
      <w:r>
        <w:rPr>
          <w:rFonts w:hint="cs"/>
          <w:rtl/>
        </w:rPr>
        <w:t>4</w:t>
      </w:r>
      <w:r w:rsidRPr="001B6B02">
        <w:rPr>
          <w:rtl/>
        </w:rPr>
        <w:t xml:space="preserve">: </w:t>
      </w:r>
      <w:r w:rsidRPr="004B1A2A">
        <w:rPr>
          <w:rFonts w:hint="eastAsia"/>
          <w:b/>
          <w:bCs/>
          <w:rtl/>
        </w:rPr>
        <w:t>תקבולים</w:t>
      </w:r>
      <w:r w:rsidRPr="004B1A2A">
        <w:rPr>
          <w:b/>
          <w:bCs/>
          <w:rtl/>
        </w:rPr>
        <w:t xml:space="preserve"> </w:t>
      </w:r>
      <w:r w:rsidRPr="004B1A2A">
        <w:rPr>
          <w:rFonts w:hint="eastAsia"/>
          <w:b/>
          <w:bCs/>
          <w:rtl/>
        </w:rPr>
        <w:t>לקרן</w:t>
      </w:r>
      <w:r w:rsidRPr="004B1A2A">
        <w:rPr>
          <w:b/>
          <w:bCs/>
          <w:rtl/>
        </w:rPr>
        <w:t xml:space="preserve"> </w:t>
      </w:r>
      <w:r w:rsidRPr="004B1A2A">
        <w:rPr>
          <w:rFonts w:hint="eastAsia"/>
          <w:b/>
          <w:bCs/>
          <w:rtl/>
        </w:rPr>
        <w:t>החילוט</w:t>
      </w:r>
      <w:r w:rsidRPr="004B1A2A">
        <w:rPr>
          <w:rFonts w:hint="cs"/>
          <w:b/>
          <w:bCs/>
          <w:rtl/>
        </w:rPr>
        <w:t xml:space="preserve"> לצד כספים שלא הופקדו והסיבות לכך בין השנים </w:t>
      </w:r>
      <w:r w:rsidR="004F06F2">
        <w:rPr>
          <w:rFonts w:hint="cs"/>
          <w:b/>
          <w:bCs/>
          <w:rtl/>
        </w:rPr>
        <w:t>2015 - 2018</w:t>
      </w:r>
      <w:r w:rsidRPr="004B1A2A">
        <w:rPr>
          <w:rFonts w:hint="cs"/>
          <w:b/>
          <w:bCs/>
          <w:rtl/>
        </w:rPr>
        <w:t xml:space="preserve"> (ש"ח)</w:t>
      </w:r>
    </w:p>
    <w:p w14:paraId="3B217F8C" w14:textId="77777777" w:rsidR="00F368B6" w:rsidRDefault="00F368B6" w:rsidP="00F368B6">
      <w:pPr>
        <w:keepNext/>
        <w:spacing w:line="269" w:lineRule="auto"/>
        <w:rPr>
          <w:rtl/>
        </w:rPr>
      </w:pPr>
      <w:r>
        <w:rPr>
          <w:noProof/>
        </w:rPr>
        <mc:AlternateContent>
          <mc:Choice Requires="wps">
            <w:drawing>
              <wp:anchor distT="0" distB="0" distL="114300" distR="114300" simplePos="0" relativeHeight="251676672" behindDoc="0" locked="0" layoutInCell="1" allowOverlap="1" wp14:anchorId="71C34E6D" wp14:editId="74DDC1AE">
                <wp:simplePos x="0" y="0"/>
                <wp:positionH relativeFrom="margin">
                  <wp:posOffset>875664</wp:posOffset>
                </wp:positionH>
                <wp:positionV relativeFrom="paragraph">
                  <wp:posOffset>996315</wp:posOffset>
                </wp:positionV>
                <wp:extent cx="1666875" cy="76200"/>
                <wp:effectExtent l="0" t="0" r="66675" b="95250"/>
                <wp:wrapNone/>
                <wp:docPr id="14" name="מחבר חץ ישר 1"/>
                <wp:cNvGraphicFramePr/>
                <a:graphic xmlns:a="http://schemas.openxmlformats.org/drawingml/2006/main">
                  <a:graphicData uri="http://schemas.microsoft.com/office/word/2010/wordprocessingShape">
                    <wps:wsp>
                      <wps:cNvCnPr/>
                      <wps:spPr>
                        <a:xfrm>
                          <a:off x="0" y="0"/>
                          <a:ext cx="1666875"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97762DB" id="_x0000_t32" coordsize="21600,21600" o:spt="32" o:oned="t" path="m,l21600,21600e" filled="f">
                <v:path arrowok="t" fillok="f" o:connecttype="none"/>
                <o:lock v:ext="edit" shapetype="t"/>
              </v:shapetype>
              <v:shape id="מחבר חץ ישר 1" o:spid="_x0000_s1026" type="#_x0000_t32" style="position:absolute;margin-left:68.95pt;margin-top:78.45pt;width:131.25pt;height: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" strokecolor="#4579b8 [3044]">
                <v:stroke endarrow="block"/>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04C444C6" wp14:editId="788F03D1">
                <wp:simplePos x="0" y="0"/>
                <wp:positionH relativeFrom="column">
                  <wp:posOffset>3837940</wp:posOffset>
                </wp:positionH>
                <wp:positionV relativeFrom="paragraph">
                  <wp:posOffset>1758315</wp:posOffset>
                </wp:positionV>
                <wp:extent cx="190500" cy="0"/>
                <wp:effectExtent l="38100" t="76200" r="0" b="95250"/>
                <wp:wrapNone/>
                <wp:docPr id="17" name="מחבר חץ ישר 25"/>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7A6B4B46" id="מחבר חץ ישר 25" o:spid="_x0000_s1026" type="#_x0000_t32" style="position:absolute;left:0;text-align:left;margin-left:302.2pt;margin-top:138.45pt;width:15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" strokecolor="#4579b8 [3044]">
                <v:stroke endarrow="block"/>
              </v:shape>
            </w:pict>
          </mc:Fallback>
        </mc:AlternateContent>
      </w:r>
      <w:r>
        <w:rPr>
          <w:noProof/>
        </w:rPr>
        <mc:AlternateContent>
          <mc:Choice Requires="wps">
            <w:drawing>
              <wp:anchor distT="0" distB="0" distL="114300" distR="114300" simplePos="0" relativeHeight="251670528" behindDoc="0" locked="0" layoutInCell="1" allowOverlap="1" wp14:anchorId="2192695B" wp14:editId="08E0886D">
                <wp:simplePos x="0" y="0"/>
                <wp:positionH relativeFrom="column">
                  <wp:posOffset>4057015</wp:posOffset>
                </wp:positionH>
                <wp:positionV relativeFrom="paragraph">
                  <wp:posOffset>1196340</wp:posOffset>
                </wp:positionV>
                <wp:extent cx="1083945" cy="1104900"/>
                <wp:effectExtent l="0" t="0" r="20955" b="19050"/>
                <wp:wrapNone/>
                <wp:docPr id="21" name="מלבן 1"/>
                <wp:cNvGraphicFramePr/>
                <a:graphic xmlns:a="http://schemas.openxmlformats.org/drawingml/2006/main">
                  <a:graphicData uri="http://schemas.microsoft.com/office/word/2010/wordprocessingShape">
                    <wps:wsp>
                      <wps:cNvSpPr/>
                      <wps:spPr>
                        <a:xfrm>
                          <a:off x="0" y="0"/>
                          <a:ext cx="1083945" cy="1104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51F3BA" w14:textId="77777777" w:rsidR="00F74B5E" w:rsidRDefault="00F74B5E" w:rsidP="00F368B6">
                            <w:pPr>
                              <w:pStyle w:val="NormalWeb"/>
                              <w:jc w:val="right"/>
                            </w:pPr>
                            <w:r>
                              <w:rPr>
                                <w:rFonts w:asciiTheme="minorHAnsi" w:hAnsi="Calibri" w:cstheme="minorBidi" w:hint="cs"/>
                                <w:color w:val="FFFFFF" w:themeColor="light1"/>
                                <w:sz w:val="22"/>
                                <w:szCs w:val="22"/>
                                <w:rtl/>
                              </w:rPr>
                              <w:t xml:space="preserve">המרכז לגביית קנסות מעביר למשרד האוצר כספים המיועדים לקרן החילוט </w:t>
                            </w:r>
                          </w:p>
                        </w:txbxContent>
                      </wps:txbx>
                      <wps:bodyPr wrap="square"/>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192695B" id="מלבן 1" o:spid="_x0000_s1026" style="position:absolute;left:0;text-align:left;margin-left:319.45pt;margin-top:94.2pt;width:85.35pt;height: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" fillcolor="#4f81bd [3204]" strokecolor="#243f60 [1604]" strokeweight="2pt">
                <v:textbox>
                  <w:txbxContent>
                    <w:p w14:paraId="0051F3BA" w14:textId="77777777" w:rsidR="00F74B5E" w:rsidRDefault="00F74B5E" w:rsidP="00F368B6">
                      <w:pPr>
                        <w:pStyle w:val="NormalWeb"/>
                        <w:jc w:val="right"/>
                      </w:pPr>
                      <w:r>
                        <w:rPr>
                          <w:rFonts w:asciiTheme="minorHAnsi" w:hAnsi="Calibri" w:cstheme="minorBidi" w:hint="cs"/>
                          <w:color w:val="FFFFFF" w:themeColor="light1"/>
                          <w:sz w:val="22"/>
                          <w:szCs w:val="22"/>
                          <w:rtl/>
                        </w:rPr>
                        <w:t xml:space="preserve">המרכז לגביית קנסות מעביר למשרד האוצר כספים המיועדים לקרן החילוט </w:t>
                      </w:r>
                    </w:p>
                  </w:txbxContent>
                </v:textbox>
              </v:rect>
            </w:pict>
          </mc:Fallback>
        </mc:AlternateContent>
      </w:r>
      <w:r>
        <w:rPr>
          <w:noProof/>
          <w:rtl/>
        </w:rPr>
        <w:t xml:space="preserve"> </w:t>
      </w:r>
      <w:r>
        <w:rPr>
          <w:noProof/>
          <w:rtl/>
        </w:rPr>
        <w:drawing>
          <wp:inline distT="0" distB="0" distL="0" distR="0" wp14:anchorId="28DE7233" wp14:editId="78CFD5A2">
            <wp:extent cx="5599216" cy="3479470"/>
            <wp:effectExtent l="0" t="0" r="1905" b="6985"/>
            <wp:docPr id="41" name="תרשים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26F5D4" w14:textId="77777777" w:rsidR="00F368B6" w:rsidRPr="00E630B3" w:rsidRDefault="00F368B6" w:rsidP="004B1A2A">
      <w:pPr>
        <w:pStyle w:val="a5"/>
        <w:rPr>
          <w:rtl/>
        </w:rPr>
      </w:pPr>
      <w:r w:rsidRPr="00E630B3">
        <w:rPr>
          <w:rFonts w:hint="cs"/>
          <w:rtl/>
        </w:rPr>
        <w:t xml:space="preserve">מקור: </w:t>
      </w:r>
      <w:r w:rsidRPr="00E630B3">
        <w:rPr>
          <w:rFonts w:hint="eastAsia"/>
          <w:rtl/>
        </w:rPr>
        <w:t>על</w:t>
      </w:r>
      <w:r w:rsidRPr="00E630B3">
        <w:rPr>
          <w:rtl/>
        </w:rPr>
        <w:t xml:space="preserve"> פי נתוני פרקליטות המדינה </w:t>
      </w:r>
      <w:r w:rsidRPr="00E630B3">
        <w:rPr>
          <w:rFonts w:hint="eastAsia"/>
          <w:rtl/>
        </w:rPr>
        <w:t>והאפ</w:t>
      </w:r>
      <w:r w:rsidRPr="00E630B3">
        <w:rPr>
          <w:rtl/>
        </w:rPr>
        <w:t>"כ</w:t>
      </w:r>
      <w:r w:rsidRPr="00E630B3">
        <w:rPr>
          <w:rFonts w:hint="cs"/>
          <w:rtl/>
        </w:rPr>
        <w:t>,</w:t>
      </w:r>
      <w:r w:rsidRPr="00E630B3">
        <w:rPr>
          <w:rtl/>
        </w:rPr>
        <w:t xml:space="preserve"> בעיבוד משרד מבקר המדינה</w:t>
      </w:r>
      <w:r w:rsidRPr="00E630B3">
        <w:rPr>
          <w:rFonts w:hint="cs"/>
          <w:rtl/>
        </w:rPr>
        <w:t>.</w:t>
      </w:r>
    </w:p>
    <w:p w14:paraId="305D6BAC" w14:textId="77777777" w:rsidR="004B1A2A" w:rsidRDefault="004B1A2A" w:rsidP="004B1A2A">
      <w:pPr>
        <w:pStyle w:val="100"/>
        <w:rPr>
          <w:rtl/>
        </w:rPr>
      </w:pPr>
    </w:p>
    <w:p w14:paraId="08F8D827" w14:textId="53A30757" w:rsidR="00F368B6" w:rsidRPr="003C459B" w:rsidRDefault="00F368B6" w:rsidP="004B1A2A">
      <w:pPr>
        <w:pStyle w:val="100"/>
      </w:pPr>
      <w:r w:rsidRPr="00320D0D">
        <w:rPr>
          <w:rFonts w:hint="cs"/>
          <w:rtl/>
        </w:rPr>
        <w:t xml:space="preserve">יחידת החילוט </w:t>
      </w:r>
      <w:r>
        <w:rPr>
          <w:rFonts w:hint="cs"/>
          <w:rtl/>
        </w:rPr>
        <w:t>ציינה</w:t>
      </w:r>
      <w:r w:rsidRPr="00320D0D">
        <w:rPr>
          <w:rFonts w:hint="cs"/>
          <w:rtl/>
        </w:rPr>
        <w:t xml:space="preserve"> בתשובתה כי העיכובים בהעברת ה</w:t>
      </w:r>
      <w:r>
        <w:rPr>
          <w:rFonts w:hint="cs"/>
          <w:rtl/>
        </w:rPr>
        <w:t xml:space="preserve">כספים </w:t>
      </w:r>
      <w:r w:rsidRPr="00320D0D">
        <w:rPr>
          <w:rFonts w:hint="cs"/>
          <w:rtl/>
        </w:rPr>
        <w:t>לקרן החילוט אינם בשליטת</w:t>
      </w:r>
      <w:r>
        <w:rPr>
          <w:rFonts w:hint="cs"/>
          <w:rtl/>
        </w:rPr>
        <w:t>ה, אלא תלויים בגופים אחרים או נובעים מהצורך לנקוט בהליכים משפטיים אזרחיים ממושכים לשם מימוש הנכסים.</w:t>
      </w:r>
    </w:p>
    <w:p w14:paraId="1EF8849D" w14:textId="77777777" w:rsidR="00F368B6" w:rsidRDefault="00F368B6" w:rsidP="004B1A2A">
      <w:pPr>
        <w:pStyle w:val="af1"/>
        <w:rPr>
          <w:rtl/>
        </w:rPr>
      </w:pPr>
      <w:r>
        <w:rPr>
          <w:rFonts w:hint="cs"/>
          <w:rtl/>
        </w:rPr>
        <w:t xml:space="preserve">מוצע כי </w:t>
      </w:r>
      <w:r w:rsidRPr="00D67E2E">
        <w:rPr>
          <w:rFonts w:hint="cs"/>
          <w:rtl/>
        </w:rPr>
        <w:t xml:space="preserve">יחידת החילוט </w:t>
      </w:r>
      <w:r>
        <w:rPr>
          <w:rFonts w:hint="cs"/>
          <w:rtl/>
        </w:rPr>
        <w:t xml:space="preserve">תבחן דרכים לקדם </w:t>
      </w:r>
      <w:r w:rsidRPr="00D67E2E">
        <w:rPr>
          <w:rFonts w:hint="cs"/>
          <w:rtl/>
        </w:rPr>
        <w:t xml:space="preserve">מימוש נכסים ביעילות ובסמוך </w:t>
      </w:r>
      <w:r>
        <w:rPr>
          <w:rFonts w:hint="cs"/>
          <w:rtl/>
        </w:rPr>
        <w:t xml:space="preserve">ככל הניתן, לאחר </w:t>
      </w:r>
      <w:r w:rsidRPr="00D67E2E">
        <w:rPr>
          <w:rFonts w:hint="cs"/>
          <w:rtl/>
        </w:rPr>
        <w:t>מתן צו חילוט סופי</w:t>
      </w:r>
      <w:r>
        <w:rPr>
          <w:rFonts w:hint="cs"/>
          <w:rtl/>
        </w:rPr>
        <w:t>, גם כאשר הדברים אינם תלויים רק בה.</w:t>
      </w:r>
      <w:r w:rsidRPr="000605DB">
        <w:rPr>
          <w:rFonts w:hint="cs"/>
          <w:rtl/>
        </w:rPr>
        <w:t xml:space="preserve"> </w:t>
      </w:r>
      <w:r>
        <w:rPr>
          <w:rFonts w:hint="cs"/>
          <w:rtl/>
        </w:rPr>
        <w:t xml:space="preserve">למשל על ידי </w:t>
      </w:r>
      <w:r w:rsidRPr="00D67E2E">
        <w:rPr>
          <w:rFonts w:hint="cs"/>
          <w:rtl/>
        </w:rPr>
        <w:t>ג</w:t>
      </w:r>
      <w:r>
        <w:rPr>
          <w:rFonts w:hint="cs"/>
          <w:rtl/>
        </w:rPr>
        <w:t>י</w:t>
      </w:r>
      <w:r w:rsidRPr="00D67E2E">
        <w:rPr>
          <w:rFonts w:hint="cs"/>
          <w:rtl/>
        </w:rPr>
        <w:t>ב</w:t>
      </w:r>
      <w:r>
        <w:rPr>
          <w:rFonts w:hint="cs"/>
          <w:rtl/>
        </w:rPr>
        <w:t>ו</w:t>
      </w:r>
      <w:r w:rsidRPr="00D67E2E">
        <w:rPr>
          <w:rFonts w:hint="cs"/>
          <w:rtl/>
        </w:rPr>
        <w:t xml:space="preserve">ש נוהל </w:t>
      </w:r>
      <w:r>
        <w:rPr>
          <w:rFonts w:hint="cs"/>
          <w:rtl/>
        </w:rPr>
        <w:t xml:space="preserve">עבודה מול המשטרה </w:t>
      </w:r>
      <w:r w:rsidRPr="00D67E2E">
        <w:rPr>
          <w:rFonts w:hint="cs"/>
          <w:rtl/>
        </w:rPr>
        <w:t xml:space="preserve">שיבטיח את העברת כספי פדיון </w:t>
      </w:r>
      <w:r>
        <w:rPr>
          <w:rFonts w:hint="cs"/>
          <w:rtl/>
        </w:rPr>
        <w:t xml:space="preserve">כלי </w:t>
      </w:r>
      <w:r w:rsidRPr="00D67E2E">
        <w:rPr>
          <w:rFonts w:hint="cs"/>
          <w:rtl/>
        </w:rPr>
        <w:t>הרכב לקרן החילוט בסמוך למכירתם</w:t>
      </w:r>
      <w:r>
        <w:rPr>
          <w:rFonts w:hint="cs"/>
          <w:rtl/>
        </w:rPr>
        <w:t>; הסדרת הליך עבודה אל מול רשות המיסים והמרכז לגביית קנסות. כמו כן, על גופי האכיפה והנהלת בתי המשפט</w:t>
      </w:r>
      <w:r w:rsidRPr="00FE626C">
        <w:rPr>
          <w:rFonts w:hint="cs"/>
          <w:rtl/>
        </w:rPr>
        <w:t xml:space="preserve"> </w:t>
      </w:r>
      <w:r>
        <w:rPr>
          <w:rFonts w:hint="cs"/>
          <w:rtl/>
        </w:rPr>
        <w:t>לפעול בהתאם להוראות הדין ולהעביר</w:t>
      </w:r>
      <w:r w:rsidRPr="00FE626C">
        <w:rPr>
          <w:rFonts w:hint="cs"/>
          <w:rtl/>
        </w:rPr>
        <w:t xml:space="preserve"> טופס 13</w:t>
      </w:r>
      <w:r>
        <w:rPr>
          <w:rFonts w:hint="cs"/>
          <w:rtl/>
        </w:rPr>
        <w:t xml:space="preserve"> </w:t>
      </w:r>
      <w:r w:rsidRPr="00FE626C">
        <w:rPr>
          <w:rFonts w:hint="cs"/>
          <w:rtl/>
        </w:rPr>
        <w:t>ליחידת החילוט</w:t>
      </w:r>
      <w:r>
        <w:rPr>
          <w:rFonts w:hint="cs"/>
          <w:rtl/>
        </w:rPr>
        <w:t xml:space="preserve"> בסמוך לאחר הפיכתו של צו חילוט לסופי, ובכך למנוע עיכובים מיותרים.</w:t>
      </w:r>
    </w:p>
    <w:p w14:paraId="1EDAE4DE" w14:textId="77777777" w:rsidR="00F368B6" w:rsidRDefault="00F368B6" w:rsidP="004B1A2A">
      <w:pPr>
        <w:pStyle w:val="100"/>
        <w:rPr>
          <w:rtl/>
        </w:rPr>
      </w:pPr>
      <w:r>
        <w:rPr>
          <w:rFonts w:hint="cs"/>
          <w:rtl/>
        </w:rPr>
        <w:t>אשר לחסמים האמורים ציינה המשטרה בתשובתה כי היא מקבלת את ההערה בעניין העברת כספים מפדיון כלי הרכב. לאור זאת, ולצורך צמצום טעויות והעברה מהירה של הכספים,</w:t>
      </w:r>
      <w:r w:rsidRPr="00912127">
        <w:rPr>
          <w:rFonts w:hint="cs"/>
          <w:rtl/>
        </w:rPr>
        <w:t xml:space="preserve"> </w:t>
      </w:r>
      <w:r>
        <w:rPr>
          <w:rFonts w:hint="cs"/>
          <w:rtl/>
        </w:rPr>
        <w:t xml:space="preserve">שינתה המשטרה את שיטת הבקרה על נושא זה. הנהלת בתי המשפט מסרה כי </w:t>
      </w:r>
      <w:r>
        <w:rPr>
          <w:rFonts w:ascii="Arial" w:eastAsia="Calibri" w:hAnsi="Arial" w:hint="cs"/>
          <w:sz w:val="24"/>
          <w:rtl/>
        </w:rPr>
        <w:t xml:space="preserve">קיים קושי מחשובי לזהות את הגורם שאליו יש להעביר את הכספים. </w:t>
      </w:r>
      <w:r w:rsidRPr="0044463F">
        <w:rPr>
          <w:rFonts w:ascii="Arial" w:eastAsia="Calibri" w:hAnsi="Arial"/>
          <w:color w:val="000000"/>
          <w:sz w:val="24"/>
          <w:rtl/>
        </w:rPr>
        <w:t xml:space="preserve">הגדרת </w:t>
      </w:r>
      <w:r>
        <w:rPr>
          <w:rFonts w:ascii="Arial" w:eastAsia="Calibri" w:hAnsi="Arial" w:hint="cs"/>
          <w:color w:val="000000"/>
          <w:sz w:val="24"/>
          <w:rtl/>
        </w:rPr>
        <w:t xml:space="preserve">הקרנות </w:t>
      </w:r>
      <w:r w:rsidRPr="0044463F">
        <w:rPr>
          <w:rFonts w:ascii="Arial" w:eastAsia="Calibri" w:hAnsi="Arial"/>
          <w:color w:val="000000"/>
          <w:sz w:val="24"/>
          <w:rtl/>
        </w:rPr>
        <w:t xml:space="preserve">כמוטב </w:t>
      </w:r>
      <w:r>
        <w:rPr>
          <w:rFonts w:ascii="Arial" w:eastAsia="Calibri" w:hAnsi="Arial" w:hint="cs"/>
          <w:color w:val="000000"/>
          <w:sz w:val="24"/>
          <w:rtl/>
        </w:rPr>
        <w:t>יכולה</w:t>
      </w:r>
      <w:r w:rsidRPr="0044463F">
        <w:rPr>
          <w:rFonts w:ascii="Arial" w:eastAsia="Calibri" w:hAnsi="Arial"/>
          <w:color w:val="000000"/>
          <w:sz w:val="24"/>
          <w:rtl/>
        </w:rPr>
        <w:t xml:space="preserve"> להתבצע בכפוף לכך שמזכירות בית משפט תוכל להבחין בגזר הדין </w:t>
      </w:r>
      <w:r>
        <w:rPr>
          <w:rFonts w:ascii="Arial" w:eastAsia="Calibri" w:hAnsi="Arial" w:hint="cs"/>
          <w:color w:val="000000"/>
          <w:sz w:val="24"/>
          <w:rtl/>
        </w:rPr>
        <w:t>בין</w:t>
      </w:r>
      <w:r w:rsidRPr="0044463F">
        <w:rPr>
          <w:rFonts w:ascii="Arial" w:eastAsia="Calibri" w:hAnsi="Arial"/>
          <w:color w:val="000000"/>
          <w:sz w:val="24"/>
          <w:rtl/>
        </w:rPr>
        <w:t xml:space="preserve"> </w:t>
      </w:r>
      <w:r>
        <w:rPr>
          <w:rFonts w:ascii="Arial" w:eastAsia="Calibri" w:hAnsi="Arial" w:hint="cs"/>
          <w:color w:val="000000"/>
          <w:sz w:val="24"/>
          <w:rtl/>
        </w:rPr>
        <w:t>ה</w:t>
      </w:r>
      <w:r w:rsidRPr="0044463F">
        <w:rPr>
          <w:rFonts w:ascii="Arial" w:eastAsia="Calibri" w:hAnsi="Arial"/>
          <w:color w:val="000000"/>
          <w:sz w:val="24"/>
          <w:rtl/>
        </w:rPr>
        <w:t xml:space="preserve">כספים </w:t>
      </w:r>
      <w:r>
        <w:rPr>
          <w:rFonts w:ascii="Arial" w:eastAsia="Calibri" w:hAnsi="Arial" w:hint="cs"/>
          <w:color w:val="000000"/>
          <w:sz w:val="24"/>
          <w:rtl/>
        </w:rPr>
        <w:t>המיועדים</w:t>
      </w:r>
      <w:r w:rsidRPr="0044463F">
        <w:rPr>
          <w:rFonts w:ascii="Arial" w:eastAsia="Calibri" w:hAnsi="Arial"/>
          <w:color w:val="000000"/>
          <w:sz w:val="24"/>
          <w:rtl/>
        </w:rPr>
        <w:t xml:space="preserve"> </w:t>
      </w:r>
      <w:r>
        <w:rPr>
          <w:rFonts w:ascii="Arial" w:eastAsia="Calibri" w:hAnsi="Arial" w:hint="cs"/>
          <w:color w:val="000000"/>
          <w:sz w:val="24"/>
          <w:rtl/>
        </w:rPr>
        <w:t xml:space="preserve">לקרנות </w:t>
      </w:r>
      <w:r w:rsidRPr="0044463F">
        <w:rPr>
          <w:rFonts w:ascii="Arial" w:eastAsia="Calibri" w:hAnsi="Arial"/>
          <w:color w:val="000000"/>
          <w:sz w:val="24"/>
          <w:rtl/>
        </w:rPr>
        <w:t>ו</w:t>
      </w:r>
      <w:r>
        <w:rPr>
          <w:rFonts w:ascii="Arial" w:eastAsia="Calibri" w:hAnsi="Arial" w:hint="cs"/>
          <w:color w:val="000000"/>
          <w:sz w:val="24"/>
          <w:rtl/>
        </w:rPr>
        <w:t xml:space="preserve">בין </w:t>
      </w:r>
      <w:r w:rsidRPr="0044463F">
        <w:rPr>
          <w:rFonts w:ascii="Arial" w:eastAsia="Calibri" w:hAnsi="Arial"/>
          <w:color w:val="000000"/>
          <w:sz w:val="24"/>
          <w:rtl/>
        </w:rPr>
        <w:t xml:space="preserve">אלו </w:t>
      </w:r>
      <w:r>
        <w:rPr>
          <w:rFonts w:ascii="Arial" w:eastAsia="Calibri" w:hAnsi="Arial" w:hint="cs"/>
          <w:color w:val="000000"/>
          <w:sz w:val="24"/>
          <w:rtl/>
        </w:rPr>
        <w:lastRenderedPageBreak/>
        <w:t xml:space="preserve">המיועדים </w:t>
      </w:r>
      <w:r w:rsidRPr="0044463F">
        <w:rPr>
          <w:rFonts w:ascii="Arial" w:eastAsia="Calibri" w:hAnsi="Arial"/>
          <w:color w:val="000000"/>
          <w:sz w:val="24"/>
          <w:rtl/>
        </w:rPr>
        <w:t>לאוצר המדינה</w:t>
      </w:r>
      <w:r>
        <w:rPr>
          <w:rFonts w:ascii="Arial" w:eastAsia="Calibri" w:hAnsi="Arial" w:hint="cs"/>
          <w:color w:val="000000"/>
          <w:sz w:val="24"/>
          <w:rtl/>
        </w:rPr>
        <w:t>;</w:t>
      </w:r>
      <w:r w:rsidRPr="0044463F">
        <w:rPr>
          <w:rFonts w:ascii="Arial" w:eastAsia="Calibri" w:hAnsi="Arial"/>
          <w:sz w:val="24"/>
          <w:rtl/>
        </w:rPr>
        <w:t xml:space="preserve"> </w:t>
      </w:r>
      <w:r w:rsidRPr="0044463F">
        <w:rPr>
          <w:rFonts w:ascii="Arial" w:eastAsia="Calibri" w:hAnsi="Arial" w:hint="cs"/>
          <w:sz w:val="24"/>
          <w:rtl/>
        </w:rPr>
        <w:t>על</w:t>
      </w:r>
      <w:r w:rsidRPr="0044463F">
        <w:rPr>
          <w:rFonts w:ascii="Arial" w:eastAsia="Calibri" w:hAnsi="Arial"/>
          <w:sz w:val="24"/>
          <w:rtl/>
        </w:rPr>
        <w:t xml:space="preserve"> </w:t>
      </w:r>
      <w:r w:rsidRPr="0044463F">
        <w:rPr>
          <w:rFonts w:ascii="Arial" w:eastAsia="Calibri" w:hAnsi="Arial" w:hint="cs"/>
          <w:sz w:val="24"/>
          <w:rtl/>
        </w:rPr>
        <w:t>מנת</w:t>
      </w:r>
      <w:r w:rsidRPr="0044463F">
        <w:rPr>
          <w:rFonts w:ascii="Arial" w:eastAsia="Calibri" w:hAnsi="Arial"/>
          <w:sz w:val="24"/>
          <w:rtl/>
        </w:rPr>
        <w:t xml:space="preserve"> להפחית את הסיכוי </w:t>
      </w:r>
      <w:r>
        <w:rPr>
          <w:rFonts w:ascii="Arial" w:eastAsia="Calibri" w:hAnsi="Arial" w:hint="cs"/>
          <w:sz w:val="24"/>
          <w:rtl/>
        </w:rPr>
        <w:t>לטעויות,</w:t>
      </w:r>
      <w:r w:rsidRPr="0044463F">
        <w:rPr>
          <w:rFonts w:ascii="Arial" w:eastAsia="Calibri" w:hAnsi="Arial"/>
          <w:sz w:val="24"/>
          <w:rtl/>
        </w:rPr>
        <w:t xml:space="preserve"> </w:t>
      </w:r>
      <w:r>
        <w:rPr>
          <w:rFonts w:ascii="Arial" w:eastAsia="Calibri" w:hAnsi="Arial" w:hint="cs"/>
          <w:sz w:val="24"/>
          <w:rtl/>
        </w:rPr>
        <w:t xml:space="preserve">הוצע </w:t>
      </w:r>
      <w:r w:rsidRPr="0044463F">
        <w:rPr>
          <w:rFonts w:ascii="Arial" w:eastAsia="Calibri" w:hAnsi="Arial"/>
          <w:sz w:val="24"/>
          <w:rtl/>
        </w:rPr>
        <w:t xml:space="preserve">כי בכותרת כתב האישום תצוין הקרן הרלוונטית. </w:t>
      </w:r>
      <w:r>
        <w:rPr>
          <w:rFonts w:ascii="Arial" w:eastAsia="Calibri" w:hAnsi="Arial" w:hint="cs"/>
          <w:sz w:val="24"/>
          <w:rtl/>
        </w:rPr>
        <w:t xml:space="preserve">הנהלת בתי המשפט מסרה שאם </w:t>
      </w:r>
      <w:r w:rsidRPr="0044463F">
        <w:rPr>
          <w:rFonts w:ascii="Arial" w:eastAsia="Calibri" w:hAnsi="Arial"/>
          <w:sz w:val="24"/>
          <w:rtl/>
        </w:rPr>
        <w:t xml:space="preserve">הצעה זו תתקבל, </w:t>
      </w:r>
      <w:r w:rsidRPr="0044463F">
        <w:rPr>
          <w:rFonts w:ascii="Arial" w:eastAsia="Calibri" w:hAnsi="Arial" w:hint="cs"/>
          <w:sz w:val="24"/>
          <w:rtl/>
        </w:rPr>
        <w:t>ה</w:t>
      </w:r>
      <w:r>
        <w:rPr>
          <w:rFonts w:ascii="Arial" w:eastAsia="Calibri" w:hAnsi="Arial" w:hint="cs"/>
          <w:sz w:val="24"/>
          <w:rtl/>
        </w:rPr>
        <w:t>יא</w:t>
      </w:r>
      <w:r w:rsidRPr="0044463F">
        <w:rPr>
          <w:rFonts w:ascii="Arial" w:eastAsia="Calibri" w:hAnsi="Arial" w:hint="cs"/>
          <w:sz w:val="24"/>
          <w:rtl/>
        </w:rPr>
        <w:t xml:space="preserve"> תפעל</w:t>
      </w:r>
      <w:r w:rsidRPr="0044463F">
        <w:rPr>
          <w:rFonts w:ascii="Arial" w:eastAsia="Calibri" w:hAnsi="Arial"/>
          <w:sz w:val="24"/>
          <w:rtl/>
        </w:rPr>
        <w:t xml:space="preserve"> </w:t>
      </w:r>
      <w:r w:rsidRPr="0044463F">
        <w:rPr>
          <w:rFonts w:ascii="Arial" w:eastAsia="Calibri" w:hAnsi="Arial" w:hint="cs"/>
          <w:sz w:val="24"/>
          <w:rtl/>
        </w:rPr>
        <w:t>להוספת</w:t>
      </w:r>
      <w:r w:rsidRPr="0044463F">
        <w:rPr>
          <w:rFonts w:ascii="Arial" w:eastAsia="Calibri" w:hAnsi="Arial"/>
          <w:sz w:val="24"/>
          <w:rtl/>
        </w:rPr>
        <w:t xml:space="preserve"> סוגי תיקים לפי מהות העבירה והקרן הזכאית</w:t>
      </w:r>
      <w:r>
        <w:rPr>
          <w:rFonts w:hint="cs"/>
          <w:rtl/>
        </w:rPr>
        <w:t>.</w:t>
      </w:r>
    </w:p>
    <w:p w14:paraId="7CB19731" w14:textId="77777777" w:rsidR="00F368B6" w:rsidRPr="006E03F7" w:rsidRDefault="00F368B6" w:rsidP="004B1A2A">
      <w:pPr>
        <w:pStyle w:val="316"/>
        <w:rPr>
          <w:rtl/>
        </w:rPr>
      </w:pPr>
      <w:bookmarkStart w:id="21" w:name="_Toc24370971"/>
      <w:r w:rsidRPr="0079590B">
        <w:rPr>
          <w:rFonts w:hint="cs"/>
          <w:rtl/>
        </w:rPr>
        <w:t>הקמת מערכת מידע ותשתיות לצורך ניהול הרכוש המחולט ומימושו</w:t>
      </w:r>
      <w:bookmarkEnd w:id="21"/>
    </w:p>
    <w:p w14:paraId="1FD6884B" w14:textId="77777777" w:rsidR="00F368B6" w:rsidRDefault="00F368B6" w:rsidP="004B1A2A">
      <w:pPr>
        <w:pStyle w:val="100"/>
        <w:rPr>
          <w:rtl/>
        </w:rPr>
      </w:pPr>
      <w:r w:rsidRPr="004B1A2A">
        <w:rPr>
          <w:rStyle w:val="Heading7Char"/>
          <w:rFonts w:eastAsiaTheme="minorHAnsi" w:hint="eastAsia"/>
          <w:b/>
          <w:color w:val="004E6C"/>
          <w:spacing w:val="0"/>
          <w:rtl/>
        </w:rPr>
        <w:t>מערכת</w:t>
      </w:r>
      <w:r w:rsidRPr="004B1A2A">
        <w:rPr>
          <w:rStyle w:val="Heading7Char"/>
          <w:rFonts w:eastAsiaTheme="minorHAnsi"/>
          <w:b/>
          <w:color w:val="004E6C"/>
          <w:spacing w:val="0"/>
          <w:rtl/>
        </w:rPr>
        <w:t xml:space="preserve"> </w:t>
      </w:r>
      <w:r w:rsidRPr="004B1A2A">
        <w:rPr>
          <w:rStyle w:val="Heading7Char"/>
          <w:rFonts w:eastAsiaTheme="minorHAnsi" w:hint="eastAsia"/>
          <w:b/>
          <w:color w:val="004E6C"/>
          <w:spacing w:val="0"/>
          <w:rtl/>
        </w:rPr>
        <w:t>מידע</w:t>
      </w:r>
      <w:r w:rsidRPr="004B1A2A">
        <w:rPr>
          <w:rStyle w:val="Heading7Char"/>
          <w:rFonts w:eastAsiaTheme="minorHAnsi"/>
          <w:b/>
          <w:color w:val="004E6C"/>
          <w:spacing w:val="0"/>
          <w:rtl/>
        </w:rPr>
        <w:t>:</w:t>
      </w:r>
      <w:r>
        <w:rPr>
          <w:rFonts w:hint="cs"/>
          <w:rtl/>
        </w:rPr>
        <w:t xml:space="preserve"> </w:t>
      </w:r>
      <w:r w:rsidRPr="00F31C02">
        <w:rPr>
          <w:rFonts w:hint="cs"/>
          <w:rtl/>
        </w:rPr>
        <w:t>מאז הקמתה מסתמכת יחידת החילוט על מערכת ניהול הכספים של האפ"כ (הקרויה מג'יק). אלא שמערכת זו אינה נותנת מענה מלא לצורכי היחידה ו</w:t>
      </w:r>
      <w:r w:rsidRPr="00F31C02">
        <w:rPr>
          <w:rtl/>
        </w:rPr>
        <w:t>אינה מאפשרת שליפה של נתונים ודוחות</w:t>
      </w:r>
      <w:r>
        <w:rPr>
          <w:rFonts w:hint="cs"/>
          <w:rtl/>
        </w:rPr>
        <w:t xml:space="preserve">, </w:t>
      </w:r>
      <w:r w:rsidRPr="00F31C02">
        <w:rPr>
          <w:rFonts w:hint="cs"/>
          <w:rtl/>
        </w:rPr>
        <w:t>ולכן הליכי הניהול והמימוש של הרכוש התפוס והמחולט מתנהלים בעיקרם בתיקי נייר ובהתכתבות באמצעות דוא"ל עם גורמי האכיפה. בהיעדר מערכת ממוחשבת מרכזית שתתמוך בפעילות יחידת החילוט נאלצים עובדיה להשקיע תשומות רבות במעקב אחר מימוש הנכסים ובבדיקה ידנית של תיקים כדי להבטיח שהכספים מופקדים בקרן החילוט</w:t>
      </w:r>
      <w:r w:rsidRPr="00E979F6">
        <w:rPr>
          <w:rFonts w:hint="cs"/>
          <w:b/>
          <w:rtl/>
        </w:rPr>
        <w:t xml:space="preserve">. </w:t>
      </w:r>
    </w:p>
    <w:p w14:paraId="5BCC11F0" w14:textId="7A9B206D" w:rsidR="00F368B6" w:rsidRDefault="00F368B6" w:rsidP="004B1A2A">
      <w:pPr>
        <w:pStyle w:val="100"/>
        <w:rPr>
          <w:rtl/>
        </w:rPr>
      </w:pPr>
      <w:r>
        <w:rPr>
          <w:rFonts w:hint="cs"/>
          <w:rtl/>
        </w:rPr>
        <w:t>עם הקמת יחידת החילוט דחתה הנהלת האפ"כ את בקשות היחידה למערכת מחשוב חדשה, משיקולים של תעדוף משימות מחשוב חשובות בתחומים אחרים, ונוכח העובדה שמדובר ביחידה חדשה שאך הוקמה ולכן יש להמתין ולברר את צורכי המחשוב שלה לאחר תקופת פעילות. במהלך השנים בוצעו כמה שדרוגים במערכת המחשוב הנוכחית של יחידת החילוט, כך שתותאם יותר לצרכיה, אולם גם לאחר הטמעת השינויים ניתן להפיק מהמערכת דוחות חלקיים בלבד, וגם זאת בדרישה פרטנית מאגף מערכות מידע, שלא עונה לצורך בשליפה וחיפוש מהירים של נתונים.</w:t>
      </w:r>
    </w:p>
    <w:p w14:paraId="251A89C7" w14:textId="77777777" w:rsidR="00F368B6" w:rsidRDefault="00F368B6" w:rsidP="004B1A2A">
      <w:pPr>
        <w:pStyle w:val="100"/>
        <w:rPr>
          <w:rtl/>
        </w:rPr>
      </w:pPr>
      <w:r>
        <w:rPr>
          <w:rFonts w:hint="cs"/>
          <w:rtl/>
        </w:rPr>
        <w:t xml:space="preserve">לעמדת יחידת החילוט, </w:t>
      </w:r>
      <w:r w:rsidRPr="000F59B5">
        <w:rPr>
          <w:rFonts w:hint="eastAsia"/>
          <w:rtl/>
        </w:rPr>
        <w:t>בה</w:t>
      </w:r>
      <w:r>
        <w:rPr>
          <w:rFonts w:hint="cs"/>
          <w:rtl/>
        </w:rPr>
        <w:t>י</w:t>
      </w:r>
      <w:r w:rsidRPr="000F59B5">
        <w:rPr>
          <w:rFonts w:hint="eastAsia"/>
          <w:rtl/>
        </w:rPr>
        <w:t>עדר</w:t>
      </w:r>
      <w:r w:rsidRPr="000F59B5">
        <w:rPr>
          <w:rtl/>
        </w:rPr>
        <w:t xml:space="preserve"> </w:t>
      </w:r>
      <w:r w:rsidRPr="000F59B5">
        <w:rPr>
          <w:rFonts w:hint="eastAsia"/>
          <w:rtl/>
        </w:rPr>
        <w:t>מערכת</w:t>
      </w:r>
      <w:r w:rsidRPr="000F59B5">
        <w:rPr>
          <w:rtl/>
        </w:rPr>
        <w:t xml:space="preserve"> </w:t>
      </w:r>
      <w:r w:rsidRPr="000F59B5">
        <w:rPr>
          <w:rFonts w:hint="eastAsia"/>
          <w:rtl/>
        </w:rPr>
        <w:t>ממוחשבת</w:t>
      </w:r>
      <w:r w:rsidRPr="000F59B5">
        <w:rPr>
          <w:rtl/>
        </w:rPr>
        <w:t xml:space="preserve"> </w:t>
      </w:r>
      <w:r w:rsidRPr="000F59B5">
        <w:rPr>
          <w:rFonts w:hint="eastAsia"/>
          <w:rtl/>
        </w:rPr>
        <w:t>מתאימה</w:t>
      </w:r>
      <w:r w:rsidRPr="000F59B5">
        <w:rPr>
          <w:rtl/>
        </w:rPr>
        <w:t xml:space="preserve"> </w:t>
      </w:r>
      <w:r w:rsidRPr="000F59B5">
        <w:rPr>
          <w:rFonts w:hint="eastAsia"/>
          <w:rtl/>
        </w:rPr>
        <w:t>נדרש</w:t>
      </w:r>
      <w:r>
        <w:rPr>
          <w:rFonts w:hint="cs"/>
          <w:rtl/>
        </w:rPr>
        <w:t>ים אנשיה</w:t>
      </w:r>
      <w:r w:rsidRPr="000F59B5">
        <w:rPr>
          <w:rtl/>
        </w:rPr>
        <w:t xml:space="preserve"> </w:t>
      </w:r>
      <w:r w:rsidRPr="000F59B5">
        <w:rPr>
          <w:rFonts w:hint="eastAsia"/>
          <w:rtl/>
        </w:rPr>
        <w:t>להזין</w:t>
      </w:r>
      <w:r w:rsidRPr="000F59B5">
        <w:rPr>
          <w:rtl/>
        </w:rPr>
        <w:t xml:space="preserve"> </w:t>
      </w:r>
      <w:r w:rsidRPr="000F59B5">
        <w:rPr>
          <w:rFonts w:hint="eastAsia"/>
          <w:rtl/>
        </w:rPr>
        <w:t>נתונים</w:t>
      </w:r>
      <w:r w:rsidRPr="000F59B5">
        <w:rPr>
          <w:rtl/>
        </w:rPr>
        <w:t xml:space="preserve"> </w:t>
      </w:r>
      <w:r w:rsidRPr="000F59B5">
        <w:rPr>
          <w:rFonts w:hint="eastAsia"/>
          <w:rtl/>
        </w:rPr>
        <w:t>ידנית</w:t>
      </w:r>
      <w:r>
        <w:rPr>
          <w:rFonts w:hint="cs"/>
          <w:rtl/>
        </w:rPr>
        <w:t>,</w:t>
      </w:r>
      <w:r w:rsidRPr="000F59B5">
        <w:rPr>
          <w:rtl/>
        </w:rPr>
        <w:t xml:space="preserve"> </w:t>
      </w:r>
      <w:r w:rsidRPr="000F59B5">
        <w:rPr>
          <w:rFonts w:hint="eastAsia"/>
          <w:rtl/>
        </w:rPr>
        <w:t>ודרישה</w:t>
      </w:r>
      <w:r w:rsidRPr="000F59B5">
        <w:rPr>
          <w:rtl/>
        </w:rPr>
        <w:t xml:space="preserve"> זו "</w:t>
      </w:r>
      <w:r w:rsidRPr="000F59B5">
        <w:rPr>
          <w:rFonts w:hint="eastAsia"/>
          <w:rtl/>
        </w:rPr>
        <w:t>מטילה</w:t>
      </w:r>
      <w:r w:rsidRPr="000F59B5">
        <w:rPr>
          <w:rtl/>
        </w:rPr>
        <w:t xml:space="preserve"> </w:t>
      </w:r>
      <w:r w:rsidRPr="000F59B5">
        <w:rPr>
          <w:rFonts w:hint="eastAsia"/>
          <w:rtl/>
        </w:rPr>
        <w:t>נטל</w:t>
      </w:r>
      <w:r w:rsidRPr="000F59B5">
        <w:rPr>
          <w:rtl/>
        </w:rPr>
        <w:t xml:space="preserve"> </w:t>
      </w:r>
      <w:r w:rsidRPr="000F59B5">
        <w:rPr>
          <w:rFonts w:hint="eastAsia"/>
          <w:rtl/>
        </w:rPr>
        <w:t>בלתי</w:t>
      </w:r>
      <w:r w:rsidRPr="000F59B5">
        <w:rPr>
          <w:rtl/>
        </w:rPr>
        <w:t xml:space="preserve"> </w:t>
      </w:r>
      <w:r w:rsidRPr="000F59B5">
        <w:rPr>
          <w:rFonts w:hint="eastAsia"/>
          <w:rtl/>
        </w:rPr>
        <w:t>ניתן</w:t>
      </w:r>
      <w:r w:rsidRPr="000F59B5">
        <w:rPr>
          <w:rtl/>
        </w:rPr>
        <w:t xml:space="preserve"> </w:t>
      </w:r>
      <w:r w:rsidRPr="000F59B5">
        <w:rPr>
          <w:rFonts w:hint="eastAsia"/>
          <w:rtl/>
        </w:rPr>
        <w:t>לגישור</w:t>
      </w:r>
      <w:r w:rsidRPr="000F59B5">
        <w:rPr>
          <w:rtl/>
        </w:rPr>
        <w:t xml:space="preserve"> </w:t>
      </w:r>
      <w:r w:rsidRPr="000F59B5">
        <w:rPr>
          <w:rFonts w:hint="eastAsia"/>
          <w:rtl/>
        </w:rPr>
        <w:t>על</w:t>
      </w:r>
      <w:r w:rsidRPr="000F59B5">
        <w:rPr>
          <w:rtl/>
        </w:rPr>
        <w:t xml:space="preserve"> </w:t>
      </w:r>
      <w:r w:rsidRPr="000F59B5">
        <w:rPr>
          <w:rFonts w:hint="eastAsia"/>
          <w:rtl/>
        </w:rPr>
        <w:t>כוח</w:t>
      </w:r>
      <w:r w:rsidRPr="000F59B5">
        <w:rPr>
          <w:rtl/>
        </w:rPr>
        <w:t xml:space="preserve"> </w:t>
      </w:r>
      <w:r w:rsidRPr="000F59B5">
        <w:rPr>
          <w:rFonts w:hint="eastAsia"/>
          <w:rtl/>
        </w:rPr>
        <w:t>האדם</w:t>
      </w:r>
      <w:r w:rsidRPr="000F59B5">
        <w:rPr>
          <w:rtl/>
        </w:rPr>
        <w:t xml:space="preserve"> </w:t>
      </w:r>
      <w:r w:rsidRPr="000F59B5">
        <w:rPr>
          <w:rFonts w:hint="eastAsia"/>
          <w:rtl/>
        </w:rPr>
        <w:t>של</w:t>
      </w:r>
      <w:r w:rsidRPr="000F59B5">
        <w:rPr>
          <w:rtl/>
        </w:rPr>
        <w:t xml:space="preserve"> </w:t>
      </w:r>
      <w:r w:rsidRPr="000F59B5">
        <w:rPr>
          <w:rFonts w:hint="eastAsia"/>
          <w:rtl/>
        </w:rPr>
        <w:t>היחידה</w:t>
      </w:r>
      <w:r w:rsidRPr="000F59B5">
        <w:rPr>
          <w:rtl/>
        </w:rPr>
        <w:t xml:space="preserve"> </w:t>
      </w:r>
      <w:r w:rsidRPr="000F59B5">
        <w:rPr>
          <w:rFonts w:hint="eastAsia"/>
          <w:rtl/>
        </w:rPr>
        <w:t>המצוי</w:t>
      </w:r>
      <w:r w:rsidRPr="000F59B5">
        <w:rPr>
          <w:rtl/>
        </w:rPr>
        <w:t xml:space="preserve"> </w:t>
      </w:r>
      <w:r w:rsidRPr="000F59B5">
        <w:rPr>
          <w:rFonts w:hint="eastAsia"/>
          <w:rtl/>
        </w:rPr>
        <w:t>גם</w:t>
      </w:r>
      <w:r w:rsidRPr="000F59B5">
        <w:rPr>
          <w:rtl/>
        </w:rPr>
        <w:t xml:space="preserve"> </w:t>
      </w:r>
      <w:r w:rsidRPr="000F59B5">
        <w:rPr>
          <w:rFonts w:hint="eastAsia"/>
          <w:rtl/>
        </w:rPr>
        <w:t>כך</w:t>
      </w:r>
      <w:r w:rsidRPr="000F59B5">
        <w:rPr>
          <w:rtl/>
        </w:rPr>
        <w:t xml:space="preserve"> </w:t>
      </w:r>
      <w:r w:rsidRPr="000F59B5">
        <w:rPr>
          <w:rFonts w:hint="eastAsia"/>
          <w:rtl/>
        </w:rPr>
        <w:t>בתת</w:t>
      </w:r>
      <w:r w:rsidRPr="000F59B5">
        <w:rPr>
          <w:rtl/>
        </w:rPr>
        <w:t xml:space="preserve"> </w:t>
      </w:r>
      <w:r w:rsidRPr="000F59B5">
        <w:rPr>
          <w:rFonts w:hint="eastAsia"/>
          <w:rtl/>
        </w:rPr>
        <w:t>תקינה</w:t>
      </w:r>
      <w:r w:rsidRPr="000F59B5">
        <w:rPr>
          <w:rtl/>
        </w:rPr>
        <w:t xml:space="preserve"> </w:t>
      </w:r>
      <w:r w:rsidRPr="000F59B5">
        <w:rPr>
          <w:rFonts w:hint="eastAsia"/>
          <w:rtl/>
        </w:rPr>
        <w:t>וחושפת</w:t>
      </w:r>
      <w:r w:rsidRPr="000F59B5">
        <w:rPr>
          <w:rtl/>
        </w:rPr>
        <w:t xml:space="preserve"> </w:t>
      </w:r>
      <w:r w:rsidRPr="000F59B5">
        <w:rPr>
          <w:rFonts w:hint="eastAsia"/>
          <w:rtl/>
        </w:rPr>
        <w:t>את</w:t>
      </w:r>
      <w:r w:rsidRPr="000F59B5">
        <w:rPr>
          <w:rtl/>
        </w:rPr>
        <w:t xml:space="preserve"> </w:t>
      </w:r>
      <w:r w:rsidRPr="000F59B5">
        <w:rPr>
          <w:rFonts w:hint="eastAsia"/>
          <w:rtl/>
        </w:rPr>
        <w:t>היחידה</w:t>
      </w:r>
      <w:r w:rsidRPr="000F59B5">
        <w:rPr>
          <w:rtl/>
        </w:rPr>
        <w:t xml:space="preserve"> </w:t>
      </w:r>
      <w:r w:rsidRPr="000F59B5">
        <w:rPr>
          <w:rFonts w:hint="eastAsia"/>
          <w:rtl/>
        </w:rPr>
        <w:t>לניתוח</w:t>
      </w:r>
      <w:r w:rsidRPr="000F59B5">
        <w:rPr>
          <w:rtl/>
        </w:rPr>
        <w:t xml:space="preserve"> </w:t>
      </w:r>
      <w:r w:rsidRPr="000F59B5">
        <w:rPr>
          <w:rFonts w:hint="eastAsia"/>
          <w:rtl/>
        </w:rPr>
        <w:t>נתונים</w:t>
      </w:r>
      <w:r w:rsidRPr="000F59B5">
        <w:rPr>
          <w:rtl/>
        </w:rPr>
        <w:t xml:space="preserve"> </w:t>
      </w:r>
      <w:r w:rsidRPr="000F59B5">
        <w:rPr>
          <w:rFonts w:hint="eastAsia"/>
          <w:rtl/>
        </w:rPr>
        <w:t>ודיווח</w:t>
      </w:r>
      <w:r w:rsidRPr="000F59B5">
        <w:rPr>
          <w:rtl/>
        </w:rPr>
        <w:t xml:space="preserve"> </w:t>
      </w:r>
      <w:r w:rsidRPr="000F59B5">
        <w:rPr>
          <w:rFonts w:hint="eastAsia"/>
          <w:rtl/>
        </w:rPr>
        <w:t>דיווחים</w:t>
      </w:r>
      <w:r w:rsidRPr="000F59B5">
        <w:rPr>
          <w:rtl/>
        </w:rPr>
        <w:t xml:space="preserve"> </w:t>
      </w:r>
      <w:r w:rsidRPr="000F59B5">
        <w:rPr>
          <w:rFonts w:hint="eastAsia"/>
          <w:rtl/>
        </w:rPr>
        <w:t>שגויים</w:t>
      </w:r>
      <w:r w:rsidRPr="000F59B5">
        <w:rPr>
          <w:rtl/>
        </w:rPr>
        <w:t xml:space="preserve">, </w:t>
      </w:r>
      <w:r w:rsidRPr="000F59B5">
        <w:rPr>
          <w:rFonts w:hint="eastAsia"/>
          <w:rtl/>
        </w:rPr>
        <w:t>הנובעים</w:t>
      </w:r>
      <w:r w:rsidRPr="000F59B5">
        <w:rPr>
          <w:rtl/>
        </w:rPr>
        <w:t xml:space="preserve"> </w:t>
      </w:r>
      <w:r w:rsidRPr="000F59B5">
        <w:rPr>
          <w:rFonts w:hint="eastAsia"/>
          <w:rtl/>
        </w:rPr>
        <w:t>מרגישות</w:t>
      </w:r>
      <w:r w:rsidRPr="000F59B5">
        <w:rPr>
          <w:rtl/>
        </w:rPr>
        <w:t xml:space="preserve"> </w:t>
      </w:r>
      <w:r w:rsidRPr="000F59B5">
        <w:rPr>
          <w:rFonts w:hint="eastAsia"/>
          <w:rtl/>
        </w:rPr>
        <w:t>טבלאות</w:t>
      </w:r>
      <w:r w:rsidRPr="000F59B5">
        <w:rPr>
          <w:rtl/>
        </w:rPr>
        <w:t xml:space="preserve"> </w:t>
      </w:r>
      <w:r w:rsidRPr="000F59B5">
        <w:rPr>
          <w:rFonts w:hint="eastAsia"/>
          <w:rtl/>
        </w:rPr>
        <w:t>אקסל</w:t>
      </w:r>
      <w:r w:rsidRPr="000F59B5">
        <w:rPr>
          <w:rtl/>
        </w:rPr>
        <w:t xml:space="preserve"> </w:t>
      </w:r>
      <w:r w:rsidRPr="000F59B5">
        <w:rPr>
          <w:rFonts w:hint="eastAsia"/>
          <w:rtl/>
        </w:rPr>
        <w:t>לשינויים</w:t>
      </w:r>
      <w:r w:rsidRPr="000F59B5">
        <w:rPr>
          <w:rtl/>
        </w:rPr>
        <w:t xml:space="preserve"> </w:t>
      </w:r>
      <w:r w:rsidRPr="000F59B5">
        <w:rPr>
          <w:rFonts w:hint="eastAsia"/>
          <w:rtl/>
        </w:rPr>
        <w:t>והשפעתם</w:t>
      </w:r>
      <w:r w:rsidRPr="000F59B5">
        <w:rPr>
          <w:rtl/>
        </w:rPr>
        <w:t xml:space="preserve"> </w:t>
      </w:r>
      <w:r w:rsidRPr="000F59B5">
        <w:rPr>
          <w:rFonts w:hint="eastAsia"/>
          <w:rtl/>
        </w:rPr>
        <w:t>על</w:t>
      </w:r>
      <w:r w:rsidRPr="000F59B5">
        <w:rPr>
          <w:rtl/>
        </w:rPr>
        <w:t xml:space="preserve"> </w:t>
      </w:r>
      <w:r w:rsidRPr="000F59B5">
        <w:rPr>
          <w:rFonts w:hint="eastAsia"/>
          <w:rtl/>
        </w:rPr>
        <w:t>הנתונים</w:t>
      </w:r>
      <w:r w:rsidRPr="000F59B5">
        <w:rPr>
          <w:rtl/>
        </w:rPr>
        <w:t>".</w:t>
      </w:r>
    </w:p>
    <w:p w14:paraId="3CD33105" w14:textId="77777777" w:rsidR="00F368B6" w:rsidRDefault="00F368B6" w:rsidP="004B1A2A">
      <w:pPr>
        <w:pStyle w:val="100"/>
        <w:rPr>
          <w:rtl/>
        </w:rPr>
      </w:pPr>
      <w:r w:rsidRPr="004B1A2A">
        <w:rPr>
          <w:rStyle w:val="Heading7Char"/>
          <w:rFonts w:eastAsiaTheme="minorHAnsi" w:hint="eastAsia"/>
          <w:b/>
          <w:color w:val="004E6C"/>
          <w:spacing w:val="0"/>
          <w:rtl/>
        </w:rPr>
        <w:t>תשתיות</w:t>
      </w:r>
      <w:r w:rsidRPr="004B1A2A">
        <w:rPr>
          <w:rStyle w:val="Heading7Char"/>
          <w:rFonts w:eastAsiaTheme="minorHAnsi"/>
          <w:b/>
          <w:color w:val="004E6C"/>
          <w:spacing w:val="0"/>
          <w:rtl/>
        </w:rPr>
        <w:t>:</w:t>
      </w:r>
      <w:r>
        <w:rPr>
          <w:rFonts w:ascii="Arial" w:hAnsi="Arial" w:hint="cs"/>
          <w:sz w:val="24"/>
          <w:rtl/>
        </w:rPr>
        <w:t xml:space="preserve"> </w:t>
      </w:r>
      <w:r w:rsidRPr="0053398F">
        <w:rPr>
          <w:rFonts w:ascii="Arial" w:hAnsi="Arial" w:hint="cs"/>
          <w:sz w:val="24"/>
          <w:rtl/>
        </w:rPr>
        <w:t>צוות ההיגוי הבין-משרדי קבע כי נוכח מורכבות הנכסים שנתפסים לצורך חילוט ומועברים לניהולה של יחידת החילוט, היא לא תבצע את כלל מטלות הטיפול ברכוש התפוס בעצמה, אלא תשכור שירותים במיקור חוץ. אולם בשל עיכוב של חמש שנים בהוצאות מכרז לספקים שייתנו שירות לניהול נכסים, נאלצה יחידת החילוט להתקשר עם ספקים ונותני שירותים במיקור חוץ בהתקשרויות נקודתיות, מוגבלות בזמן ובהיקף</w:t>
      </w:r>
      <w:r>
        <w:rPr>
          <w:rFonts w:ascii="Arial" w:hAnsi="Arial" w:hint="cs"/>
          <w:sz w:val="24"/>
          <w:rtl/>
        </w:rPr>
        <w:t>.</w:t>
      </w:r>
      <w:r w:rsidRPr="0053398F">
        <w:rPr>
          <w:rFonts w:ascii="Arial" w:hAnsi="Arial" w:hint="cs"/>
          <w:sz w:val="24"/>
          <w:rtl/>
        </w:rPr>
        <w:t xml:space="preserve"> לאחרונה פורסם מכרז ספקים למתן שירותים למיטלטלין וכלי רכב </w:t>
      </w:r>
      <w:r w:rsidRPr="00431DEE">
        <w:rPr>
          <w:rFonts w:ascii="Arial" w:hAnsi="Arial" w:hint="cs"/>
          <w:sz w:val="24"/>
          <w:rtl/>
        </w:rPr>
        <w:t>תפוסים</w:t>
      </w:r>
      <w:r w:rsidRPr="00431DEE">
        <w:rPr>
          <w:rFonts w:hint="cs"/>
          <w:rtl/>
        </w:rPr>
        <w:t>.</w:t>
      </w:r>
      <w:r>
        <w:rPr>
          <w:rFonts w:hint="cs"/>
          <w:rtl/>
        </w:rPr>
        <w:t xml:space="preserve"> </w:t>
      </w:r>
    </w:p>
    <w:p w14:paraId="2D610882" w14:textId="77777777" w:rsidR="00F368B6" w:rsidRDefault="00F368B6" w:rsidP="0065733C">
      <w:pPr>
        <w:pStyle w:val="af1"/>
        <w:rPr>
          <w:rtl/>
        </w:rPr>
      </w:pPr>
      <w:r w:rsidRPr="00F029EC">
        <w:rPr>
          <w:rFonts w:hint="cs"/>
          <w:rtl/>
        </w:rPr>
        <w:t>משרד מבקר המדינה מעיר ל</w:t>
      </w:r>
      <w:r>
        <w:rPr>
          <w:rFonts w:hint="cs"/>
          <w:rtl/>
        </w:rPr>
        <w:t>משרד המשפטים ול</w:t>
      </w:r>
      <w:r w:rsidRPr="00F029EC">
        <w:rPr>
          <w:rFonts w:hint="cs"/>
          <w:rtl/>
        </w:rPr>
        <w:t xml:space="preserve">אפ"כ כי בחלוף חמש שנים מהקמת יחידת החילוט, ובשים לב להיותה "הרגל המסיימת" בשרשרת האכיפה הכלכלית, </w:t>
      </w:r>
      <w:r>
        <w:rPr>
          <w:rFonts w:hint="cs"/>
          <w:rtl/>
        </w:rPr>
        <w:t xml:space="preserve">נדרש כי תינתן </w:t>
      </w:r>
      <w:r w:rsidRPr="00F029EC">
        <w:rPr>
          <w:rFonts w:hint="cs"/>
          <w:rtl/>
        </w:rPr>
        <w:t>עדיפות גבוהה לשדרוג מערכות הניהול הממוחשבות ביחיד</w:t>
      </w:r>
      <w:r>
        <w:rPr>
          <w:rFonts w:hint="cs"/>
          <w:rtl/>
        </w:rPr>
        <w:t>ה</w:t>
      </w:r>
      <w:r w:rsidRPr="00F029EC">
        <w:rPr>
          <w:rFonts w:hint="cs"/>
          <w:rtl/>
        </w:rPr>
        <w:t xml:space="preserve"> ו</w:t>
      </w:r>
      <w:r>
        <w:rPr>
          <w:rFonts w:hint="cs"/>
          <w:rtl/>
        </w:rPr>
        <w:t xml:space="preserve">כן </w:t>
      </w:r>
      <w:r w:rsidRPr="00F029EC">
        <w:rPr>
          <w:rFonts w:hint="cs"/>
          <w:rtl/>
        </w:rPr>
        <w:t>עדיפות לקידום המכרזים לבחירת ספקים במיקור חוץ</w:t>
      </w:r>
      <w:r>
        <w:rPr>
          <w:rFonts w:hint="cs"/>
          <w:rtl/>
        </w:rPr>
        <w:t>;</w:t>
      </w:r>
      <w:r w:rsidRPr="00F029EC">
        <w:rPr>
          <w:rFonts w:hint="cs"/>
          <w:rtl/>
        </w:rPr>
        <w:t xml:space="preserve"> </w:t>
      </w:r>
      <w:r>
        <w:rPr>
          <w:rFonts w:hint="cs"/>
          <w:rtl/>
        </w:rPr>
        <w:t>זאת כדי</w:t>
      </w:r>
      <w:r w:rsidRPr="00F029EC">
        <w:rPr>
          <w:rFonts w:hint="cs"/>
          <w:rtl/>
        </w:rPr>
        <w:t xml:space="preserve"> שיחידת החילוט תוכל לתת שירות מקצועי, מהיר ויעיל לגופי האכיפה, ולהבטיח את ניהול הרכוש התפוס ומימושו באופן מיטבי.</w:t>
      </w:r>
    </w:p>
    <w:p w14:paraId="7EFF2148" w14:textId="77777777" w:rsidR="00F368B6" w:rsidRPr="005D295B" w:rsidRDefault="00F368B6" w:rsidP="006D1FC8">
      <w:pPr>
        <w:pStyle w:val="316"/>
        <w:rPr>
          <w:rFonts w:eastAsiaTheme="majorEastAsia"/>
          <w:rtl/>
        </w:rPr>
      </w:pPr>
      <w:r>
        <w:rPr>
          <w:rFonts w:eastAsiaTheme="majorEastAsia" w:hint="cs"/>
          <w:rtl/>
        </w:rPr>
        <w:lastRenderedPageBreak/>
        <w:t xml:space="preserve">דרכי ניתוח הנתונים בראי קביעת מדיניות האכיפה הכלכלית </w:t>
      </w:r>
    </w:p>
    <w:p w14:paraId="2D8B0D99" w14:textId="1B2F0335" w:rsidR="00F368B6" w:rsidRPr="00AB19FC" w:rsidRDefault="00F368B6" w:rsidP="00AB19FC">
      <w:pPr>
        <w:pStyle w:val="a0"/>
        <w:numPr>
          <w:ilvl w:val="0"/>
          <w:numId w:val="15"/>
        </w:numPr>
        <w:rPr>
          <w:b/>
          <w:bCs/>
          <w:rtl/>
        </w:rPr>
      </w:pPr>
      <w:r w:rsidRPr="005D295B">
        <w:rPr>
          <w:rFonts w:hint="cs"/>
          <w:rtl/>
        </w:rPr>
        <w:t>הליכי התפיסה והחילוט הם תוצ</w:t>
      </w:r>
      <w:r>
        <w:rPr>
          <w:rFonts w:hint="cs"/>
          <w:rtl/>
        </w:rPr>
        <w:t>ר של עבודה משותפת מצד כלל גופי האכיפה</w:t>
      </w:r>
      <w:r w:rsidRPr="005D295B">
        <w:rPr>
          <w:rFonts w:hint="cs"/>
          <w:rtl/>
        </w:rPr>
        <w:t xml:space="preserve"> המעורבים, אולם בפועל כל גורם אחראי על חלק אחר של ההליך ומודד את האפקטיביות של עשייתו בצורה נפרדת ושונה </w:t>
      </w:r>
      <w:r w:rsidRPr="00AB19FC">
        <w:rPr>
          <w:rFonts w:ascii="Arial" w:hAnsi="Arial" w:hint="cs"/>
          <w:sz w:val="24"/>
          <w:rtl/>
        </w:rPr>
        <w:t>ובאופן שאינו מאפשר למדוד את יעילות הליכים אלו בכללותם</w:t>
      </w:r>
      <w:r>
        <w:rPr>
          <w:rFonts w:hint="cs"/>
          <w:rtl/>
        </w:rPr>
        <w:t>. כך לדוגמה</w:t>
      </w:r>
      <w:r w:rsidRPr="005D295B">
        <w:rPr>
          <w:rFonts w:hint="cs"/>
          <w:rtl/>
        </w:rPr>
        <w:t xml:space="preserve">: </w:t>
      </w:r>
    </w:p>
    <w:p w14:paraId="4A957734" w14:textId="77777777" w:rsidR="00F368B6" w:rsidRDefault="00F368B6" w:rsidP="00AB19FC">
      <w:pPr>
        <w:pStyle w:val="a"/>
      </w:pPr>
      <w:r w:rsidRPr="0026026A">
        <w:rPr>
          <w:rFonts w:hint="eastAsia"/>
          <w:bCs/>
          <w:color w:val="387026"/>
          <w:rtl/>
        </w:rPr>
        <w:t>המשטרה</w:t>
      </w:r>
      <w:r w:rsidRPr="0026026A">
        <w:rPr>
          <w:rFonts w:hint="cs"/>
          <w:bCs/>
          <w:color w:val="387026"/>
          <w:rtl/>
        </w:rPr>
        <w:t>:</w:t>
      </w:r>
      <w:r w:rsidRPr="005D295B">
        <w:rPr>
          <w:rFonts w:hint="cs"/>
          <w:rtl/>
        </w:rPr>
        <w:t xml:space="preserve"> מודדת את עצמה מדי שנה בהתאם ל"יעדי תפיסות לחילוט" כספיים הנקבעים לכל יחידה</w:t>
      </w:r>
      <w:r>
        <w:rPr>
          <w:rFonts w:hint="cs"/>
          <w:rtl/>
        </w:rPr>
        <w:t xml:space="preserve"> משטרתית, ללא הבחנה בין עילות התפיסה</w:t>
      </w:r>
      <w:r w:rsidRPr="005D295B">
        <w:rPr>
          <w:rFonts w:hint="cs"/>
          <w:rtl/>
        </w:rPr>
        <w:t>. מבחן האפקטיביות של המשטרה הוא היחס שבין היקף התפיסה הראשונית לבין היקף הרכוש שביקשה התביעה בבקשה לסעד זמני</w:t>
      </w:r>
      <w:r>
        <w:rPr>
          <w:rFonts w:hint="cs"/>
          <w:rtl/>
        </w:rPr>
        <w:t xml:space="preserve"> לחילוט</w:t>
      </w:r>
      <w:r w:rsidRPr="005D295B">
        <w:rPr>
          <w:rFonts w:hint="cs"/>
          <w:rtl/>
        </w:rPr>
        <w:t xml:space="preserve"> בבית המשפט.</w:t>
      </w:r>
      <w:r>
        <w:rPr>
          <w:rFonts w:hint="cs"/>
          <w:rtl/>
        </w:rPr>
        <w:t xml:space="preserve"> </w:t>
      </w:r>
    </w:p>
    <w:p w14:paraId="630AF0D0" w14:textId="1E257CE0" w:rsidR="00F368B6" w:rsidRDefault="00950786" w:rsidP="00950786">
      <w:pPr>
        <w:pStyle w:val="a"/>
        <w:numPr>
          <w:ilvl w:val="0"/>
          <w:numId w:val="0"/>
        </w:numPr>
        <w:ind w:left="794" w:hanging="397"/>
      </w:pPr>
      <w:r w:rsidRPr="00950786">
        <w:rPr>
          <w:rFonts w:hint="cs"/>
          <w:b/>
          <w:rtl/>
        </w:rPr>
        <w:t>ב.</w:t>
      </w:r>
      <w:r>
        <w:rPr>
          <w:bCs/>
          <w:color w:val="009692"/>
          <w:rtl/>
        </w:rPr>
        <w:tab/>
      </w:r>
      <w:r w:rsidR="00F368B6" w:rsidRPr="0026026A">
        <w:rPr>
          <w:rFonts w:hint="eastAsia"/>
          <w:bCs/>
          <w:color w:val="387026"/>
          <w:rtl/>
        </w:rPr>
        <w:t>הפרקליטות</w:t>
      </w:r>
      <w:r w:rsidR="00F368B6" w:rsidRPr="0026026A">
        <w:rPr>
          <w:rFonts w:hint="cs"/>
          <w:bCs/>
          <w:color w:val="387026"/>
          <w:rtl/>
        </w:rPr>
        <w:t xml:space="preserve">: </w:t>
      </w:r>
      <w:r w:rsidR="00F368B6" w:rsidRPr="005D295B">
        <w:rPr>
          <w:rFonts w:hint="cs"/>
          <w:rtl/>
        </w:rPr>
        <w:t xml:space="preserve">מודדת את עצמה בהתאם </w:t>
      </w:r>
      <w:r w:rsidR="00F368B6">
        <w:rPr>
          <w:rFonts w:hint="cs"/>
          <w:rtl/>
        </w:rPr>
        <w:t>להיקף</w:t>
      </w:r>
      <w:r w:rsidR="00F368B6" w:rsidRPr="005D295B">
        <w:rPr>
          <w:rFonts w:hint="cs"/>
          <w:rtl/>
        </w:rPr>
        <w:t xml:space="preserve"> הרכוש</w:t>
      </w:r>
      <w:r w:rsidR="00F368B6">
        <w:rPr>
          <w:rFonts w:hint="cs"/>
          <w:rtl/>
        </w:rPr>
        <w:t xml:space="preserve"> שנשלל</w:t>
      </w:r>
      <w:r w:rsidR="00F368B6" w:rsidRPr="005D295B">
        <w:rPr>
          <w:rFonts w:hint="cs"/>
          <w:rtl/>
        </w:rPr>
        <w:t xml:space="preserve"> מהעבריין ללא הבחנה בשאלת המסלול המשפטי שמכוחו נשלל הרכוש. הפרקליטות מודדת את היחס שבין היקף הרכוש שהתבקש על ידה בבקשה לסעד זמני </w:t>
      </w:r>
      <w:r w:rsidR="00F368B6">
        <w:rPr>
          <w:rFonts w:hint="cs"/>
          <w:rtl/>
        </w:rPr>
        <w:t xml:space="preserve">לחילוט </w:t>
      </w:r>
      <w:r w:rsidR="00F368B6" w:rsidRPr="005D295B">
        <w:rPr>
          <w:rFonts w:hint="cs"/>
          <w:rtl/>
        </w:rPr>
        <w:t xml:space="preserve">עם הגשת כתב האישום, </w:t>
      </w:r>
      <w:r w:rsidR="00F368B6">
        <w:rPr>
          <w:rFonts w:hint="cs"/>
          <w:rtl/>
        </w:rPr>
        <w:t>ובין</w:t>
      </w:r>
      <w:r w:rsidR="00F368B6" w:rsidRPr="005D295B">
        <w:rPr>
          <w:rFonts w:hint="cs"/>
          <w:rtl/>
        </w:rPr>
        <w:t xml:space="preserve"> כלל </w:t>
      </w:r>
      <w:r w:rsidR="00F368B6">
        <w:rPr>
          <w:rFonts w:hint="cs"/>
          <w:rtl/>
        </w:rPr>
        <w:t xml:space="preserve">היקף </w:t>
      </w:r>
      <w:r w:rsidR="00F368B6" w:rsidRPr="005D295B">
        <w:rPr>
          <w:rFonts w:hint="cs"/>
          <w:rtl/>
        </w:rPr>
        <w:t xml:space="preserve">הרכוש שנשלל בסוף ההליך בצו בית משפט לרבות שומות מס וקנסות. </w:t>
      </w:r>
    </w:p>
    <w:p w14:paraId="35C53D1F" w14:textId="477D3520" w:rsidR="00F368B6" w:rsidRPr="005D295B" w:rsidRDefault="00950786" w:rsidP="00950786">
      <w:pPr>
        <w:pStyle w:val="a"/>
        <w:numPr>
          <w:ilvl w:val="0"/>
          <w:numId w:val="0"/>
        </w:numPr>
        <w:ind w:left="794" w:hanging="397"/>
        <w:rPr>
          <w:rtl/>
        </w:rPr>
      </w:pPr>
      <w:r w:rsidRPr="00950786">
        <w:rPr>
          <w:rFonts w:hint="cs"/>
          <w:b/>
          <w:rtl/>
        </w:rPr>
        <w:t>ג.</w:t>
      </w:r>
      <w:r w:rsidRPr="00950786">
        <w:rPr>
          <w:b/>
          <w:rtl/>
        </w:rPr>
        <w:tab/>
      </w:r>
      <w:r w:rsidR="00F368B6" w:rsidRPr="0026026A">
        <w:rPr>
          <w:rFonts w:hint="eastAsia"/>
          <w:bCs/>
          <w:color w:val="387026"/>
          <w:rtl/>
        </w:rPr>
        <w:t>יחידת</w:t>
      </w:r>
      <w:r w:rsidR="00F368B6" w:rsidRPr="0026026A">
        <w:rPr>
          <w:bCs/>
          <w:color w:val="387026"/>
          <w:rtl/>
        </w:rPr>
        <w:t xml:space="preserve"> </w:t>
      </w:r>
      <w:r w:rsidR="00F368B6" w:rsidRPr="0026026A">
        <w:rPr>
          <w:rFonts w:hint="eastAsia"/>
          <w:bCs/>
          <w:color w:val="387026"/>
          <w:rtl/>
        </w:rPr>
        <w:t>החילוט</w:t>
      </w:r>
      <w:r w:rsidR="00F368B6" w:rsidRPr="0026026A">
        <w:rPr>
          <w:rFonts w:hint="cs"/>
          <w:bCs/>
          <w:color w:val="387026"/>
          <w:rtl/>
        </w:rPr>
        <w:t>:</w:t>
      </w:r>
      <w:r w:rsidR="00F368B6" w:rsidRPr="0026026A">
        <w:rPr>
          <w:rFonts w:hint="cs"/>
          <w:color w:val="387026"/>
          <w:rtl/>
        </w:rPr>
        <w:t xml:space="preserve"> </w:t>
      </w:r>
      <w:r w:rsidR="00F368B6" w:rsidRPr="009F13DB">
        <w:rPr>
          <w:rFonts w:ascii="David" w:eastAsia="Calibri" w:hAnsi="David" w:hint="cs"/>
          <w:sz w:val="24"/>
          <w:rtl/>
        </w:rPr>
        <w:t>מודדת את האפקטיביות של פעילותה לפי היחס שבין</w:t>
      </w:r>
      <w:r w:rsidR="00F368B6" w:rsidRPr="005D295B">
        <w:rPr>
          <w:rFonts w:hint="cs"/>
          <w:rtl/>
        </w:rPr>
        <w:t xml:space="preserve"> </w:t>
      </w:r>
      <w:r w:rsidR="00F368B6" w:rsidRPr="009F13DB">
        <w:rPr>
          <w:rFonts w:ascii="David" w:eastAsia="Calibri" w:hAnsi="David" w:hint="cs"/>
          <w:sz w:val="24"/>
          <w:rtl/>
        </w:rPr>
        <w:t>היקף הרכוש המחולט שהיא אחראית למימושו ומימושו אינו כרוך בהליכים משפטיים ממושכים לבין היקף הרכוש שמימשה, בהתחשב</w:t>
      </w:r>
      <w:r w:rsidR="00F368B6">
        <w:rPr>
          <w:rFonts w:ascii="David" w:eastAsia="Calibri" w:hAnsi="David" w:hint="cs"/>
          <w:sz w:val="24"/>
          <w:rtl/>
        </w:rPr>
        <w:t xml:space="preserve"> </w:t>
      </w:r>
      <w:r w:rsidR="00F368B6" w:rsidRPr="009F13DB">
        <w:rPr>
          <w:rFonts w:ascii="David" w:eastAsia="Calibri" w:hAnsi="David" w:hint="cs"/>
          <w:sz w:val="24"/>
          <w:rtl/>
        </w:rPr>
        <w:t xml:space="preserve">במגבלות המשאבים העומדים לרשותה. </w:t>
      </w:r>
    </w:p>
    <w:p w14:paraId="5F46207B" w14:textId="4DD433B4" w:rsidR="00F368B6" w:rsidRPr="005D295B" w:rsidRDefault="00F368B6" w:rsidP="00487C82">
      <w:pPr>
        <w:pStyle w:val="af1"/>
        <w:rPr>
          <w:rtl/>
        </w:rPr>
      </w:pPr>
      <w:r w:rsidRPr="005D295B">
        <w:rPr>
          <w:rFonts w:hint="cs"/>
          <w:rtl/>
        </w:rPr>
        <w:t xml:space="preserve">הדרך שבה ינותחו נתוני האכיפה הכלכלית נוגעת בשאלת יסוד אשר לאיזון הנדרש בין הכלים המופעלים במאבק בפשיעה והגשמת תכליות החילוט לבין היבטים של זכויות חשודים ונאשמים ופגיעה בקניינם. כך למשל, לעמדת הפרקליטות לצורך הערכת מידת היעילות של הליכי אכיפה כלכלית יש להתחשב גם בקנסות ובשומות מס שנפסקו </w:t>
      </w:r>
      <w:r>
        <w:rPr>
          <w:rFonts w:hint="cs"/>
          <w:rtl/>
        </w:rPr>
        <w:t xml:space="preserve">וזאת </w:t>
      </w:r>
      <w:r w:rsidRPr="005D295B">
        <w:rPr>
          <w:rFonts w:hint="cs"/>
          <w:rtl/>
        </w:rPr>
        <w:t>בהתאם לכללים הבינלאומיים של ארגון ה-</w:t>
      </w:r>
      <w:r w:rsidRPr="00D0213E">
        <w:t>FATF</w:t>
      </w:r>
      <w:r w:rsidRPr="005D295B">
        <w:rPr>
          <w:rFonts w:hint="cs"/>
          <w:rtl/>
        </w:rPr>
        <w:t xml:space="preserve">. מנגד יכולה לעלות עמדה המבחינה </w:t>
      </w:r>
      <w:r w:rsidRPr="005D295B">
        <w:rPr>
          <w:rtl/>
        </w:rPr>
        <w:t xml:space="preserve">בין </w:t>
      </w:r>
      <w:r w:rsidRPr="005D295B">
        <w:rPr>
          <w:rFonts w:hint="cs"/>
          <w:rtl/>
        </w:rPr>
        <w:t>סוגי שלילות הרכוש מתוך מטרה שלא לעשות שימוש בכלי החילוט כאמצעי אכיפה של קנסות וחיובי מס כאשר לצורך גביית חיובים אלו נקבעו בחוק הסדרים אחרים</w:t>
      </w:r>
      <w:r w:rsidRPr="005D295B">
        <w:rPr>
          <w:vertAlign w:val="superscript"/>
          <w:rtl/>
        </w:rPr>
        <w:footnoteReference w:id="73"/>
      </w:r>
      <w:r w:rsidR="00A059D3">
        <w:rPr>
          <w:rFonts w:hint="cs"/>
          <w:rtl/>
        </w:rPr>
        <w:t>.</w:t>
      </w:r>
    </w:p>
    <w:p w14:paraId="11E7FFCC" w14:textId="77777777" w:rsidR="00F368B6" w:rsidRPr="007E34F7" w:rsidRDefault="00F368B6" w:rsidP="00487C82">
      <w:pPr>
        <w:pStyle w:val="a0"/>
        <w:rPr>
          <w:rtl/>
        </w:rPr>
      </w:pPr>
      <w:r w:rsidRPr="007E34F7">
        <w:rPr>
          <w:rFonts w:hint="cs"/>
          <w:rtl/>
        </w:rPr>
        <w:t xml:space="preserve">בשל ריבוי הגורמים העוסקים בתחום האכיפה הכלכלית, וכדי להבטיח יישום מדיניות אפקטיבית בשלילה של רכוש שהופק מביצוע עבירות, נדרשת שקיפות מלאה בהעברת מידע בין הגופים העוסקים בתחום. כמו כן נדרשת בניית מסד נתונים משותף, </w:t>
      </w:r>
      <w:r w:rsidRPr="005D295B">
        <w:rPr>
          <w:rFonts w:hint="cs"/>
          <w:rtl/>
        </w:rPr>
        <w:t xml:space="preserve">אמין ועדכני </w:t>
      </w:r>
      <w:r w:rsidRPr="007E34F7">
        <w:rPr>
          <w:rFonts w:hint="cs"/>
          <w:rtl/>
        </w:rPr>
        <w:t xml:space="preserve">אשר יאפשר </w:t>
      </w:r>
      <w:r w:rsidRPr="005D295B">
        <w:rPr>
          <w:rFonts w:hint="cs"/>
          <w:rtl/>
        </w:rPr>
        <w:t xml:space="preserve">חיפוש ושליפה מהירים של נתונים. </w:t>
      </w:r>
    </w:p>
    <w:p w14:paraId="7F553F36" w14:textId="77777777" w:rsidR="00F368B6" w:rsidRPr="005D295B" w:rsidRDefault="00F368B6" w:rsidP="00487C82">
      <w:pPr>
        <w:pStyle w:val="af0"/>
        <w:rPr>
          <w:rtl/>
        </w:rPr>
      </w:pPr>
      <w:r w:rsidRPr="005D295B">
        <w:rPr>
          <w:rtl/>
        </w:rPr>
        <w:t>בדיון צוות המשנה לענייני חקיקה ומשפט של הו</w:t>
      </w:r>
      <w:r w:rsidRPr="005D295B">
        <w:rPr>
          <w:rFonts w:hint="cs"/>
          <w:rtl/>
        </w:rPr>
        <w:t>ו</w:t>
      </w:r>
      <w:r w:rsidRPr="005D295B">
        <w:rPr>
          <w:rtl/>
        </w:rPr>
        <w:t xml:space="preserve">עדה המתמדת </w:t>
      </w:r>
      <w:r w:rsidRPr="005D295B">
        <w:rPr>
          <w:rFonts w:hint="cs"/>
          <w:rtl/>
        </w:rPr>
        <w:t>ב</w:t>
      </w:r>
      <w:r w:rsidRPr="005D295B">
        <w:rPr>
          <w:rtl/>
        </w:rPr>
        <w:t>אפריל 2019</w:t>
      </w:r>
      <w:r w:rsidRPr="005D295B">
        <w:rPr>
          <w:rFonts w:hint="cs"/>
          <w:rtl/>
        </w:rPr>
        <w:t xml:space="preserve"> סוכם על בחינת </w:t>
      </w:r>
      <w:r w:rsidRPr="005D295B">
        <w:rPr>
          <w:rtl/>
        </w:rPr>
        <w:t>שיתופי פעולה</w:t>
      </w:r>
      <w:r w:rsidRPr="005D295B">
        <w:rPr>
          <w:rFonts w:hint="cs"/>
          <w:rtl/>
        </w:rPr>
        <w:t xml:space="preserve"> בין גופי האכיפה</w:t>
      </w:r>
      <w:r w:rsidRPr="005D295B">
        <w:rPr>
          <w:rtl/>
        </w:rPr>
        <w:t xml:space="preserve"> בדרך של קביעת מנגנון להעברת מידע.</w:t>
      </w:r>
      <w:r w:rsidRPr="005D295B">
        <w:rPr>
          <w:rFonts w:hint="cs"/>
          <w:rtl/>
        </w:rPr>
        <w:t xml:space="preserve"> גם </w:t>
      </w:r>
      <w:r w:rsidRPr="005D295B">
        <w:rPr>
          <w:rFonts w:hint="cs"/>
          <w:rtl/>
        </w:rPr>
        <w:lastRenderedPageBreak/>
        <w:t>האפוטרופסה הכללית קבעה, בדיון בין המשטרה, הפרקליטות והאפ"כ, כי ככלל יש לקיים שקיפות מלאה בין הגופים.</w:t>
      </w:r>
      <w:r w:rsidRPr="00FD2808">
        <w:rPr>
          <w:rFonts w:hint="eastAsia"/>
          <w:rtl/>
        </w:rPr>
        <w:t xml:space="preserve"> </w:t>
      </w:r>
    </w:p>
    <w:p w14:paraId="7B4FB773" w14:textId="7E0E050F" w:rsidR="00F368B6" w:rsidRDefault="00F368B6" w:rsidP="00487C82">
      <w:pPr>
        <w:pStyle w:val="af0"/>
        <w:rPr>
          <w:rtl/>
        </w:rPr>
      </w:pPr>
      <w:r w:rsidRPr="005D295B">
        <w:rPr>
          <w:rFonts w:hint="cs"/>
          <w:rtl/>
        </w:rPr>
        <w:t xml:space="preserve">במסגרת הביקורת משרד מבקר המדינה ביקש לבחון את הליכי שלילת הרכוש הנלווה להליך הפלילי, החל משלב התפיסה הזמנית, דרך הגשת הבקשה לסעד זמני עם הגשת כתב האישום ועד להכרעה השיפוטית ומימושה. לצורך כך, התבקשו הפרקליטות ויחידת החילוט למסור נתונים אלו ביחס לתיקים שהסתיימו בפסק דין בין השנים </w:t>
      </w:r>
      <w:r w:rsidR="009665FD">
        <w:rPr>
          <w:rFonts w:hint="cs"/>
          <w:rtl/>
        </w:rPr>
        <w:t>2016 - 2018</w:t>
      </w:r>
      <w:r w:rsidRPr="005D295B">
        <w:rPr>
          <w:rFonts w:hint="cs"/>
          <w:rtl/>
        </w:rPr>
        <w:t xml:space="preserve">. </w:t>
      </w:r>
    </w:p>
    <w:p w14:paraId="264E30C2" w14:textId="77777777" w:rsidR="00F368B6" w:rsidRDefault="00F368B6" w:rsidP="00976064">
      <w:pPr>
        <w:pStyle w:val="12"/>
        <w:rPr>
          <w:rtl/>
        </w:rPr>
      </w:pPr>
      <w:r>
        <w:rPr>
          <w:rFonts w:hint="cs"/>
          <w:rtl/>
        </w:rPr>
        <w:t xml:space="preserve">נמצא כי </w:t>
      </w:r>
      <w:r w:rsidRPr="005D295B">
        <w:rPr>
          <w:rtl/>
        </w:rPr>
        <w:t xml:space="preserve">לא הייתה בידי משרד המשפטים, האחראי הן על הפרקליטות והן על האפ"כ, תשובה אחת </w:t>
      </w:r>
      <w:r>
        <w:rPr>
          <w:rFonts w:hint="cs"/>
          <w:rtl/>
        </w:rPr>
        <w:t>הכוללת</w:t>
      </w:r>
      <w:r w:rsidRPr="005D295B">
        <w:rPr>
          <w:rtl/>
        </w:rPr>
        <w:t xml:space="preserve"> את כל הנתונים המבוקשים ומשכך </w:t>
      </w:r>
      <w:r w:rsidRPr="005D295B">
        <w:rPr>
          <w:rFonts w:hint="cs"/>
          <w:rtl/>
        </w:rPr>
        <w:t>לא ניתן להפיק את מלוא המידע הרלוונטי ל</w:t>
      </w:r>
      <w:r w:rsidRPr="005D295B">
        <w:rPr>
          <w:rFonts w:hint="eastAsia"/>
          <w:rtl/>
        </w:rPr>
        <w:t>הליך</w:t>
      </w:r>
      <w:r w:rsidRPr="005D295B">
        <w:rPr>
          <w:rtl/>
        </w:rPr>
        <w:t xml:space="preserve"> </w:t>
      </w:r>
      <w:r w:rsidRPr="005D295B">
        <w:rPr>
          <w:rFonts w:hint="eastAsia"/>
          <w:rtl/>
        </w:rPr>
        <w:t>שלילת</w:t>
      </w:r>
      <w:r w:rsidRPr="005D295B">
        <w:rPr>
          <w:rtl/>
        </w:rPr>
        <w:t xml:space="preserve"> </w:t>
      </w:r>
      <w:r w:rsidRPr="005D295B">
        <w:rPr>
          <w:rFonts w:hint="eastAsia"/>
          <w:rtl/>
        </w:rPr>
        <w:t>הרכוש</w:t>
      </w:r>
      <w:r w:rsidRPr="005D295B">
        <w:rPr>
          <w:rtl/>
        </w:rPr>
        <w:t xml:space="preserve">. </w:t>
      </w:r>
      <w:r w:rsidRPr="005D295B">
        <w:rPr>
          <w:rFonts w:hint="eastAsia"/>
          <w:rtl/>
        </w:rPr>
        <w:t>מצב</w:t>
      </w:r>
      <w:r w:rsidRPr="005D295B">
        <w:rPr>
          <w:rtl/>
        </w:rPr>
        <w:t xml:space="preserve"> </w:t>
      </w:r>
      <w:r w:rsidRPr="005D295B">
        <w:rPr>
          <w:rFonts w:hint="eastAsia"/>
          <w:rtl/>
        </w:rPr>
        <w:t>זה</w:t>
      </w:r>
      <w:r w:rsidRPr="005D295B">
        <w:rPr>
          <w:rtl/>
        </w:rPr>
        <w:t xml:space="preserve"> </w:t>
      </w:r>
      <w:r w:rsidRPr="005D295B">
        <w:rPr>
          <w:rFonts w:hint="eastAsia"/>
          <w:rtl/>
        </w:rPr>
        <w:t>אינו</w:t>
      </w:r>
      <w:r w:rsidRPr="005D295B">
        <w:rPr>
          <w:rtl/>
        </w:rPr>
        <w:t xml:space="preserve"> </w:t>
      </w:r>
      <w:r w:rsidRPr="005D295B">
        <w:rPr>
          <w:rFonts w:hint="eastAsia"/>
          <w:rtl/>
        </w:rPr>
        <w:t>מאפשר</w:t>
      </w:r>
      <w:r w:rsidRPr="005D295B">
        <w:rPr>
          <w:rtl/>
        </w:rPr>
        <w:t xml:space="preserve"> </w:t>
      </w:r>
      <w:r w:rsidRPr="005D295B">
        <w:rPr>
          <w:rFonts w:hint="eastAsia"/>
          <w:rtl/>
        </w:rPr>
        <w:t>לגופים</w:t>
      </w:r>
      <w:r w:rsidRPr="005D295B">
        <w:rPr>
          <w:rtl/>
        </w:rPr>
        <w:t xml:space="preserve"> </w:t>
      </w:r>
      <w:r w:rsidRPr="005D295B">
        <w:rPr>
          <w:rFonts w:hint="eastAsia"/>
          <w:rtl/>
        </w:rPr>
        <w:t>האמונים</w:t>
      </w:r>
      <w:r w:rsidRPr="005D295B">
        <w:rPr>
          <w:rtl/>
        </w:rPr>
        <w:t xml:space="preserve"> </w:t>
      </w:r>
      <w:r w:rsidRPr="005D295B">
        <w:rPr>
          <w:rFonts w:hint="eastAsia"/>
          <w:rtl/>
        </w:rPr>
        <w:t>על</w:t>
      </w:r>
      <w:r w:rsidRPr="005D295B">
        <w:rPr>
          <w:rtl/>
        </w:rPr>
        <w:t xml:space="preserve"> </w:t>
      </w:r>
      <w:r w:rsidRPr="005D295B">
        <w:rPr>
          <w:rFonts w:hint="eastAsia"/>
          <w:rtl/>
        </w:rPr>
        <w:t>האכיפה</w:t>
      </w:r>
      <w:r w:rsidRPr="005D295B">
        <w:rPr>
          <w:rtl/>
        </w:rPr>
        <w:t xml:space="preserve"> </w:t>
      </w:r>
      <w:r w:rsidRPr="005D295B">
        <w:rPr>
          <w:rFonts w:hint="eastAsia"/>
          <w:rtl/>
        </w:rPr>
        <w:t>הכלכלית</w:t>
      </w:r>
      <w:r w:rsidRPr="005D295B">
        <w:rPr>
          <w:rtl/>
        </w:rPr>
        <w:t xml:space="preserve"> </w:t>
      </w:r>
      <w:r w:rsidRPr="005D295B">
        <w:rPr>
          <w:rFonts w:hint="eastAsia"/>
          <w:rtl/>
        </w:rPr>
        <w:t>לגזור</w:t>
      </w:r>
      <w:r w:rsidRPr="005D295B">
        <w:rPr>
          <w:rtl/>
        </w:rPr>
        <w:t xml:space="preserve"> </w:t>
      </w:r>
      <w:r w:rsidRPr="005D295B">
        <w:rPr>
          <w:rFonts w:hint="eastAsia"/>
          <w:rtl/>
        </w:rPr>
        <w:t>מ</w:t>
      </w:r>
      <w:r w:rsidRPr="005D295B">
        <w:rPr>
          <w:rFonts w:hint="cs"/>
          <w:rtl/>
        </w:rPr>
        <w:t>ד</w:t>
      </w:r>
      <w:r w:rsidRPr="005D295B">
        <w:rPr>
          <w:rFonts w:hint="eastAsia"/>
          <w:rtl/>
        </w:rPr>
        <w:t>ד</w:t>
      </w:r>
      <w:r w:rsidRPr="005D295B">
        <w:rPr>
          <w:rtl/>
        </w:rPr>
        <w:t xml:space="preserve"> אפקטיביות </w:t>
      </w:r>
      <w:r w:rsidRPr="005D295B">
        <w:rPr>
          <w:rFonts w:hint="eastAsia"/>
          <w:rtl/>
        </w:rPr>
        <w:t>למערכת</w:t>
      </w:r>
      <w:r w:rsidRPr="005D295B">
        <w:rPr>
          <w:rtl/>
        </w:rPr>
        <w:t xml:space="preserve"> </w:t>
      </w:r>
      <w:r w:rsidRPr="005D295B">
        <w:rPr>
          <w:rFonts w:hint="eastAsia"/>
          <w:rtl/>
        </w:rPr>
        <w:t>כולה</w:t>
      </w:r>
      <w:r w:rsidRPr="005D295B">
        <w:rPr>
          <w:rtl/>
        </w:rPr>
        <w:t>.</w:t>
      </w:r>
    </w:p>
    <w:p w14:paraId="4C1EA467" w14:textId="0F1BA1D0" w:rsidR="00F368B6" w:rsidRDefault="00F368B6" w:rsidP="00976064">
      <w:pPr>
        <w:pStyle w:val="af0"/>
        <w:rPr>
          <w:rtl/>
        </w:rPr>
      </w:pPr>
      <w:r w:rsidRPr="009867A1">
        <w:rPr>
          <w:rFonts w:hint="cs"/>
          <w:rtl/>
        </w:rPr>
        <w:t>בהעדר ניהול מתמשך, שיטתי ומתכלל של מערך נתוני ותוצרי פעולות האכיפה והמימוש,</w:t>
      </w:r>
      <w:r>
        <w:rPr>
          <w:rFonts w:hint="cs"/>
          <w:rtl/>
        </w:rPr>
        <w:t xml:space="preserve"> ריכז משרד מבקר המדינה את הנתונים שקיבל מהגופים השונים, וזאת על מנת לגבש תמונה כמותית כללית באשר להיקף הפעילות שבוצעה בשנים האחרונות. להלן בתרשים 15 הנתונים שרוכזו: </w:t>
      </w:r>
    </w:p>
    <w:p w14:paraId="665F9817" w14:textId="321B597E" w:rsidR="00F368B6" w:rsidRPr="007317DC" w:rsidRDefault="007E07B2" w:rsidP="007317DC">
      <w:pPr>
        <w:pStyle w:val="a6"/>
        <w:rPr>
          <w:b/>
          <w:bCs/>
          <w:rtl/>
        </w:rPr>
      </w:pPr>
      <w:r>
        <w:rPr>
          <w:noProof/>
          <w:rtl/>
          <w:lang w:val="he-IL"/>
        </w:rPr>
        <w:drawing>
          <wp:anchor distT="0" distB="0" distL="114300" distR="114300" simplePos="0" relativeHeight="251675648" behindDoc="0" locked="0" layoutInCell="1" allowOverlap="1" wp14:anchorId="182B5A81" wp14:editId="7F83BFE5">
            <wp:simplePos x="0" y="0"/>
            <wp:positionH relativeFrom="column">
              <wp:posOffset>-632460</wp:posOffset>
            </wp:positionH>
            <wp:positionV relativeFrom="paragraph">
              <wp:posOffset>332105</wp:posOffset>
            </wp:positionV>
            <wp:extent cx="5219700" cy="316484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תרשים 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700" cy="3164840"/>
                    </a:xfrm>
                    <a:prstGeom prst="rect">
                      <a:avLst/>
                    </a:prstGeom>
                  </pic:spPr>
                </pic:pic>
              </a:graphicData>
            </a:graphic>
          </wp:anchor>
        </w:drawing>
      </w:r>
      <w:r w:rsidR="00F368B6" w:rsidRPr="00E5274F">
        <w:rPr>
          <w:rFonts w:hint="cs"/>
          <w:rtl/>
        </w:rPr>
        <w:t xml:space="preserve">תרשים 15: </w:t>
      </w:r>
      <w:r w:rsidR="00F368B6" w:rsidRPr="007317DC">
        <w:rPr>
          <w:rFonts w:hint="cs"/>
          <w:b/>
          <w:bCs/>
          <w:rtl/>
        </w:rPr>
        <w:t xml:space="preserve">נתוני אכיפה כלכלית בשנים </w:t>
      </w:r>
      <w:r w:rsidR="009665FD">
        <w:rPr>
          <w:rFonts w:hint="cs"/>
          <w:b/>
          <w:bCs/>
          <w:rtl/>
        </w:rPr>
        <w:t>2016 - 2018</w:t>
      </w:r>
      <w:r w:rsidR="00F368B6" w:rsidRPr="007317DC">
        <w:rPr>
          <w:rFonts w:hint="cs"/>
          <w:b/>
          <w:bCs/>
          <w:rtl/>
        </w:rPr>
        <w:t xml:space="preserve"> (במיליוני ש"ח)</w:t>
      </w:r>
    </w:p>
    <w:p w14:paraId="391AF1FD" w14:textId="6EC81D30" w:rsidR="00F368B6" w:rsidRPr="007317DC" w:rsidRDefault="00F368B6" w:rsidP="007317DC">
      <w:pPr>
        <w:pStyle w:val="a5"/>
        <w:rPr>
          <w:rtl/>
        </w:rPr>
      </w:pPr>
      <w:r w:rsidRPr="007317DC">
        <w:rPr>
          <w:rFonts w:hint="cs"/>
          <w:rtl/>
        </w:rPr>
        <w:t xml:space="preserve">המקור: נתוני המשטרה, הפרקליטות ויחידת החילוט בעיבוד משרד מבקר המדינה. </w:t>
      </w:r>
    </w:p>
    <w:p w14:paraId="59C2570B" w14:textId="182A0BA5" w:rsidR="00F368B6" w:rsidRPr="00E630B3" w:rsidRDefault="00F368B6" w:rsidP="007317DC">
      <w:pPr>
        <w:pStyle w:val="af5"/>
        <w:rPr>
          <w:rtl/>
        </w:rPr>
      </w:pPr>
      <w:r w:rsidRPr="00E630B3">
        <w:rPr>
          <w:rFonts w:hint="cs"/>
          <w:rtl/>
        </w:rPr>
        <w:t>*</w:t>
      </w:r>
      <w:r w:rsidR="007317DC">
        <w:rPr>
          <w:rtl/>
        </w:rPr>
        <w:tab/>
      </w:r>
      <w:r w:rsidRPr="00E630B3">
        <w:rPr>
          <w:rFonts w:hint="cs"/>
          <w:rtl/>
        </w:rPr>
        <w:t>תוצרי עבודת הפרקליטות כוללים חילוטים, קנסות ושומות (חיובי מיסים) גם בתיקים שלא החלו בתפוסים. כך למשל במסגרת חמישה תיקים שהסתיימו בהסדרים ללא הרשעה בהלבנת הון, נפסקו לטובת אוצר המדינה 160 מיליון ש"ח בצווי חילוט, 221 מיליון ש"ח בקנסות ו-326 מיליון ש"ח בשומות מס הכנסה.</w:t>
      </w:r>
    </w:p>
    <w:p w14:paraId="0F921C90" w14:textId="68C545BC" w:rsidR="00F368B6" w:rsidRPr="00E630B3" w:rsidRDefault="00F368B6" w:rsidP="007317DC">
      <w:pPr>
        <w:pStyle w:val="af5"/>
        <w:rPr>
          <w:rtl/>
        </w:rPr>
      </w:pPr>
      <w:r w:rsidRPr="00E630B3">
        <w:rPr>
          <w:rFonts w:hint="cs"/>
          <w:rtl/>
        </w:rPr>
        <w:t xml:space="preserve">** </w:t>
      </w:r>
      <w:r w:rsidR="007317DC">
        <w:rPr>
          <w:rtl/>
        </w:rPr>
        <w:tab/>
      </w:r>
      <w:r w:rsidRPr="00E630B3">
        <w:rPr>
          <w:rFonts w:hint="cs"/>
          <w:rtl/>
        </w:rPr>
        <w:t xml:space="preserve">הסכום מתייחס לתקבולי הקנסות והחילוטים בשנים </w:t>
      </w:r>
      <w:r w:rsidR="00D40031">
        <w:rPr>
          <w:rFonts w:hint="cs"/>
          <w:rtl/>
        </w:rPr>
        <w:t>2016 - 2018</w:t>
      </w:r>
      <w:r w:rsidRPr="00E630B3">
        <w:rPr>
          <w:rFonts w:hint="cs"/>
          <w:rtl/>
        </w:rPr>
        <w:t xml:space="preserve"> שהתקבלו גם מתיקים שהסתיימו בשנים קודמות.</w:t>
      </w:r>
    </w:p>
    <w:p w14:paraId="3B3C2672" w14:textId="77777777" w:rsidR="00F368B6" w:rsidRPr="005D295B" w:rsidRDefault="00F368B6" w:rsidP="007317DC">
      <w:pPr>
        <w:pStyle w:val="100"/>
        <w:rPr>
          <w:rtl/>
        </w:rPr>
      </w:pPr>
      <w:r>
        <w:rPr>
          <w:rFonts w:hint="cs"/>
          <w:rtl/>
        </w:rPr>
        <w:lastRenderedPageBreak/>
        <w:t>ה</w:t>
      </w:r>
      <w:r w:rsidRPr="005D295B">
        <w:rPr>
          <w:rFonts w:hint="cs"/>
          <w:rtl/>
        </w:rPr>
        <w:t xml:space="preserve">נתונים </w:t>
      </w:r>
      <w:r>
        <w:rPr>
          <w:rFonts w:hint="cs"/>
          <w:rtl/>
        </w:rPr>
        <w:t xml:space="preserve">בתרשים </w:t>
      </w:r>
      <w:r w:rsidRPr="005D295B">
        <w:rPr>
          <w:rFonts w:hint="cs"/>
          <w:rtl/>
        </w:rPr>
        <w:t>ביחס להיקף התפיסות, היקף הבקשות ורכיבי שלילת הרכוש בתום ההליך המשפטי הכוללים צווי חילוט, קנסות ושומות מס</w:t>
      </w:r>
      <w:r>
        <w:rPr>
          <w:rFonts w:hint="cs"/>
          <w:rtl/>
        </w:rPr>
        <w:t xml:space="preserve"> התקבלו מהפרקליטות.</w:t>
      </w:r>
      <w:r w:rsidRPr="005D295B">
        <w:rPr>
          <w:rFonts w:hint="cs"/>
          <w:rtl/>
        </w:rPr>
        <w:t xml:space="preserve"> </w:t>
      </w:r>
      <w:r>
        <w:rPr>
          <w:rFonts w:hint="cs"/>
          <w:rtl/>
        </w:rPr>
        <w:t>עוד ציינה הפרקליטות</w:t>
      </w:r>
      <w:r w:rsidRPr="005D295B">
        <w:rPr>
          <w:rFonts w:hint="cs"/>
          <w:rtl/>
        </w:rPr>
        <w:t xml:space="preserve"> שאין לה נתונים נוספים ביחס לסכומי הכסף שהועברו בפועל לאוצר המדינה או לקרנות הייעודיות, היות שלעמדתה נתונים אלו אינם רלוונטיים לה.</w:t>
      </w:r>
    </w:p>
    <w:p w14:paraId="27F7F7F9" w14:textId="62F9D263" w:rsidR="00F368B6" w:rsidRPr="005D295B" w:rsidRDefault="00F368B6" w:rsidP="007317DC">
      <w:pPr>
        <w:pStyle w:val="100"/>
        <w:rPr>
          <w:rtl/>
        </w:rPr>
      </w:pPr>
      <w:r w:rsidRPr="005D295B">
        <w:rPr>
          <w:rFonts w:hint="cs"/>
          <w:rtl/>
        </w:rPr>
        <w:t>מהנתונים שהתקבלו מהפרקליטות עולה כי בתיקים ש</w:t>
      </w:r>
      <w:r>
        <w:rPr>
          <w:rFonts w:hint="cs"/>
          <w:rtl/>
        </w:rPr>
        <w:t>היו בהם תפוסים ו</w:t>
      </w:r>
      <w:r w:rsidRPr="005D295B">
        <w:rPr>
          <w:rFonts w:hint="cs"/>
          <w:rtl/>
        </w:rPr>
        <w:t>הסתיימו בתקופה האמורה</w:t>
      </w:r>
      <w:r>
        <w:rPr>
          <w:rFonts w:hint="cs"/>
          <w:rtl/>
        </w:rPr>
        <w:t>,</w:t>
      </w:r>
      <w:r w:rsidRPr="005D295B">
        <w:rPr>
          <w:rFonts w:hint="cs"/>
          <w:rtl/>
        </w:rPr>
        <w:t xml:space="preserve"> היקף התפיסות היה 957 מיליון ש"ח. בתיקים אלו הגישה הפרקליטות בקשות לסעד זמני בהיקף של 726 מיליון ש"ח, ובתי המשפט פסקו בהכרעות שיפוטיות צווי חילוט בהיקף של 294 מיליון ש"ח וכן קנסות בהיקף של 37 מיליון ש"ח ושומות מס בהיקף של 259 מיליון ש"ח.</w:t>
      </w:r>
      <w:r>
        <w:rPr>
          <w:rFonts w:hint="cs"/>
          <w:rtl/>
        </w:rPr>
        <w:t xml:space="preserve"> </w:t>
      </w:r>
      <w:r w:rsidRPr="005D295B">
        <w:rPr>
          <w:rFonts w:hint="cs"/>
          <w:rtl/>
        </w:rPr>
        <w:t xml:space="preserve">נוסף על כך, </w:t>
      </w:r>
      <w:r w:rsidRPr="005D295B">
        <w:rPr>
          <w:rtl/>
        </w:rPr>
        <w:t xml:space="preserve">תוצרי עבודת הפרקליטות כוללים חילוטים, קנסות ושומות גם בתיקים </w:t>
      </w:r>
      <w:r w:rsidRPr="005D295B">
        <w:rPr>
          <w:rFonts w:hint="cs"/>
          <w:rtl/>
        </w:rPr>
        <w:t xml:space="preserve">שבהם כלל לא בוצעה תפיסת רכוש. </w:t>
      </w:r>
      <w:r w:rsidRPr="005D295B">
        <w:rPr>
          <w:rtl/>
        </w:rPr>
        <w:t xml:space="preserve">כך למשל במסגרת חמישה תיקים שהסתיימו בשנים </w:t>
      </w:r>
      <w:r w:rsidR="007B4705">
        <w:rPr>
          <w:rFonts w:hint="cs"/>
          <w:rtl/>
        </w:rPr>
        <w:t>2016 - 2018</w:t>
      </w:r>
      <w:r w:rsidRPr="005D295B">
        <w:rPr>
          <w:rtl/>
        </w:rPr>
        <w:t xml:space="preserve"> בהסדרים </w:t>
      </w:r>
      <w:r w:rsidRPr="005D295B">
        <w:rPr>
          <w:rFonts w:hint="eastAsia"/>
          <w:rtl/>
        </w:rPr>
        <w:t>ו</w:t>
      </w:r>
      <w:r w:rsidRPr="005D295B">
        <w:rPr>
          <w:rtl/>
        </w:rPr>
        <w:t>ללא הרשעה בהלבנת הון, נפסקו לטובת אוצר המדינה 160 מיליון ש"ח בצווי חילוט, 221 מיליון ש"ח בקנסות ו-32</w:t>
      </w:r>
      <w:r w:rsidRPr="005D295B">
        <w:rPr>
          <w:rFonts w:hint="cs"/>
          <w:rtl/>
        </w:rPr>
        <w:t>6</w:t>
      </w:r>
      <w:r w:rsidRPr="005D295B">
        <w:rPr>
          <w:rtl/>
        </w:rPr>
        <w:t xml:space="preserve"> מיליון ש"ח בשומות מס הכנסה</w:t>
      </w:r>
      <w:r w:rsidRPr="005D295B">
        <w:rPr>
          <w:rFonts w:hint="cs"/>
          <w:rtl/>
        </w:rPr>
        <w:t>.</w:t>
      </w:r>
    </w:p>
    <w:p w14:paraId="269CF432" w14:textId="77777777" w:rsidR="00F368B6" w:rsidRPr="005D295B" w:rsidRDefault="00F368B6" w:rsidP="007317DC">
      <w:pPr>
        <w:pStyle w:val="100"/>
        <w:rPr>
          <w:rtl/>
        </w:rPr>
      </w:pPr>
      <w:r w:rsidRPr="005D295B">
        <w:rPr>
          <w:rFonts w:hint="cs"/>
          <w:rtl/>
        </w:rPr>
        <w:t>בידי יחידת החילוט נתונים של התקבולים לקרנות בחלוקה שנתית</w:t>
      </w:r>
      <w:r>
        <w:rPr>
          <w:rFonts w:hint="cs"/>
          <w:rtl/>
        </w:rPr>
        <w:t xml:space="preserve">. </w:t>
      </w:r>
      <w:r w:rsidRPr="005D295B">
        <w:rPr>
          <w:rFonts w:hint="cs"/>
          <w:rtl/>
        </w:rPr>
        <w:t>מהנתונים שמסרה יחידת החילוט עולה כי היא קיבלה למימוש צווי חילוט לנכסים בהיקף של כ-155 מיליון ש"ח וקנסות בסך כ-11 מיליון ש"ח. היחידה ביקשה להבהיר כי סכומים אלו</w:t>
      </w:r>
      <w:r>
        <w:rPr>
          <w:rFonts w:hint="cs"/>
          <w:rtl/>
        </w:rPr>
        <w:t xml:space="preserve"> </w:t>
      </w:r>
      <w:r w:rsidRPr="005D295B">
        <w:rPr>
          <w:rFonts w:hint="cs"/>
          <w:rtl/>
        </w:rPr>
        <w:t>כוללים תיקים שסומנו על ידי הפרקליטות כהחלטות מכוח איסור הלבנת הון אך בנוגע לכ-7 מיליון ש"ח עדיין נותר לברר אם מדובר ב</w:t>
      </w:r>
      <w:r>
        <w:rPr>
          <w:rFonts w:hint="cs"/>
          <w:rtl/>
        </w:rPr>
        <w:t>תוצאות בסכומים שסופם</w:t>
      </w:r>
      <w:r w:rsidRPr="005D295B">
        <w:rPr>
          <w:rFonts w:hint="cs"/>
          <w:rtl/>
        </w:rPr>
        <w:t xml:space="preserve"> </w:t>
      </w:r>
      <w:r>
        <w:rPr>
          <w:rFonts w:hint="cs"/>
          <w:rtl/>
        </w:rPr>
        <w:t xml:space="preserve">להגיע </w:t>
      </w:r>
      <w:r w:rsidRPr="005D295B">
        <w:rPr>
          <w:rFonts w:hint="cs"/>
          <w:rtl/>
        </w:rPr>
        <w:t>לאוצר המדינה או לקרן הייעודית להלבנת הון.</w:t>
      </w:r>
    </w:p>
    <w:p w14:paraId="4BFCD7CB" w14:textId="56348A32" w:rsidR="00F368B6" w:rsidRPr="00543428" w:rsidRDefault="00F368B6" w:rsidP="007317DC">
      <w:pPr>
        <w:pStyle w:val="af1"/>
        <w:rPr>
          <w:rtl/>
        </w:rPr>
      </w:pPr>
      <w:r w:rsidRPr="00543428">
        <w:rPr>
          <w:rFonts w:hint="cs"/>
          <w:rtl/>
        </w:rPr>
        <w:t>נמצא כי</w:t>
      </w:r>
      <w:r w:rsidRPr="00543428">
        <w:rPr>
          <w:rtl/>
        </w:rPr>
        <w:t xml:space="preserve"> </w:t>
      </w:r>
      <w:r w:rsidRPr="00543428">
        <w:rPr>
          <w:rFonts w:hint="eastAsia"/>
          <w:rtl/>
        </w:rPr>
        <w:t>המערכת</w:t>
      </w:r>
      <w:r w:rsidRPr="00543428">
        <w:rPr>
          <w:rtl/>
        </w:rPr>
        <w:t xml:space="preserve"> </w:t>
      </w:r>
      <w:r w:rsidRPr="00543428">
        <w:rPr>
          <w:rFonts w:hint="eastAsia"/>
          <w:rtl/>
        </w:rPr>
        <w:t>המחשובית</w:t>
      </w:r>
      <w:r w:rsidRPr="00543428">
        <w:rPr>
          <w:rtl/>
        </w:rPr>
        <w:t xml:space="preserve"> </w:t>
      </w:r>
      <w:r w:rsidRPr="00543428">
        <w:rPr>
          <w:rFonts w:hint="eastAsia"/>
          <w:rtl/>
        </w:rPr>
        <w:t>של</w:t>
      </w:r>
      <w:r w:rsidRPr="00543428">
        <w:rPr>
          <w:rtl/>
        </w:rPr>
        <w:t xml:space="preserve"> </w:t>
      </w:r>
      <w:r w:rsidRPr="00543428">
        <w:rPr>
          <w:rFonts w:hint="eastAsia"/>
          <w:rtl/>
        </w:rPr>
        <w:t>יחידת</w:t>
      </w:r>
      <w:r w:rsidRPr="00543428">
        <w:rPr>
          <w:rtl/>
        </w:rPr>
        <w:t xml:space="preserve"> </w:t>
      </w:r>
      <w:r w:rsidRPr="00543428">
        <w:rPr>
          <w:rFonts w:hint="eastAsia"/>
          <w:rtl/>
        </w:rPr>
        <w:t>החילוט</w:t>
      </w:r>
      <w:r w:rsidRPr="00543428">
        <w:rPr>
          <w:rtl/>
        </w:rPr>
        <w:t xml:space="preserve"> </w:t>
      </w:r>
      <w:r w:rsidRPr="00543428">
        <w:rPr>
          <w:rFonts w:hint="eastAsia"/>
          <w:rtl/>
        </w:rPr>
        <w:t>אינה</w:t>
      </w:r>
      <w:r w:rsidRPr="00543428">
        <w:rPr>
          <w:rtl/>
        </w:rPr>
        <w:t xml:space="preserve"> </w:t>
      </w:r>
      <w:r w:rsidRPr="00543428">
        <w:rPr>
          <w:rFonts w:hint="eastAsia"/>
          <w:rtl/>
        </w:rPr>
        <w:t>מאפשרת</w:t>
      </w:r>
      <w:r w:rsidRPr="00543428">
        <w:rPr>
          <w:rtl/>
        </w:rPr>
        <w:t xml:space="preserve"> </w:t>
      </w:r>
      <w:r w:rsidRPr="00543428">
        <w:rPr>
          <w:rFonts w:hint="eastAsia"/>
          <w:rtl/>
        </w:rPr>
        <w:t>שליפת</w:t>
      </w:r>
      <w:r w:rsidRPr="00543428">
        <w:rPr>
          <w:rtl/>
        </w:rPr>
        <w:t xml:space="preserve"> </w:t>
      </w:r>
      <w:r w:rsidRPr="00543428">
        <w:rPr>
          <w:rFonts w:hint="eastAsia"/>
          <w:rtl/>
        </w:rPr>
        <w:t>נתונים</w:t>
      </w:r>
      <w:r w:rsidRPr="00543428">
        <w:rPr>
          <w:rtl/>
        </w:rPr>
        <w:t xml:space="preserve"> </w:t>
      </w:r>
      <w:r w:rsidRPr="00543428">
        <w:rPr>
          <w:rFonts w:hint="eastAsia"/>
          <w:rtl/>
        </w:rPr>
        <w:t>בדרך</w:t>
      </w:r>
      <w:r w:rsidRPr="00543428">
        <w:rPr>
          <w:rtl/>
        </w:rPr>
        <w:t xml:space="preserve"> </w:t>
      </w:r>
      <w:r w:rsidRPr="00543428">
        <w:rPr>
          <w:rFonts w:hint="eastAsia"/>
          <w:rtl/>
        </w:rPr>
        <w:t>של</w:t>
      </w:r>
      <w:r w:rsidRPr="00543428">
        <w:rPr>
          <w:rtl/>
        </w:rPr>
        <w:t xml:space="preserve"> </w:t>
      </w:r>
      <w:r w:rsidRPr="00543428">
        <w:rPr>
          <w:rFonts w:hint="eastAsia"/>
          <w:rtl/>
        </w:rPr>
        <w:t>פילוח</w:t>
      </w:r>
      <w:r w:rsidRPr="00543428">
        <w:rPr>
          <w:rtl/>
        </w:rPr>
        <w:t xml:space="preserve"> </w:t>
      </w:r>
      <w:r w:rsidRPr="00543428">
        <w:rPr>
          <w:rFonts w:hint="eastAsia"/>
          <w:rtl/>
        </w:rPr>
        <w:t>התקבולים</w:t>
      </w:r>
      <w:r w:rsidRPr="00543428">
        <w:rPr>
          <w:rtl/>
        </w:rPr>
        <w:t xml:space="preserve"> </w:t>
      </w:r>
      <w:r w:rsidRPr="00543428">
        <w:rPr>
          <w:rFonts w:hint="eastAsia"/>
          <w:rtl/>
        </w:rPr>
        <w:t>בהתאם</w:t>
      </w:r>
      <w:r w:rsidRPr="00543428">
        <w:rPr>
          <w:rtl/>
        </w:rPr>
        <w:t xml:space="preserve"> </w:t>
      </w:r>
      <w:r w:rsidRPr="00543428">
        <w:rPr>
          <w:rFonts w:hint="eastAsia"/>
          <w:rtl/>
        </w:rPr>
        <w:t>לתיקים</w:t>
      </w:r>
      <w:r w:rsidRPr="00543428">
        <w:rPr>
          <w:rtl/>
        </w:rPr>
        <w:t xml:space="preserve"> </w:t>
      </w:r>
      <w:r w:rsidRPr="00543428">
        <w:rPr>
          <w:rFonts w:hint="eastAsia"/>
          <w:rtl/>
        </w:rPr>
        <w:t>שהסתיימו</w:t>
      </w:r>
      <w:r w:rsidRPr="00543428">
        <w:rPr>
          <w:rtl/>
        </w:rPr>
        <w:t xml:space="preserve"> </w:t>
      </w:r>
      <w:r w:rsidRPr="00543428">
        <w:rPr>
          <w:rFonts w:hint="eastAsia"/>
          <w:rtl/>
        </w:rPr>
        <w:t>בשנים</w:t>
      </w:r>
      <w:r w:rsidRPr="00543428">
        <w:rPr>
          <w:rtl/>
        </w:rPr>
        <w:t xml:space="preserve"> </w:t>
      </w:r>
      <w:r w:rsidRPr="00543428">
        <w:rPr>
          <w:rFonts w:hint="eastAsia"/>
          <w:rtl/>
        </w:rPr>
        <w:t>מסוימות</w:t>
      </w:r>
      <w:r w:rsidRPr="00543428">
        <w:rPr>
          <w:rtl/>
        </w:rPr>
        <w:t xml:space="preserve">. </w:t>
      </w:r>
      <w:r w:rsidRPr="00543428">
        <w:rPr>
          <w:rFonts w:hint="eastAsia"/>
          <w:rtl/>
        </w:rPr>
        <w:t>בכדי</w:t>
      </w:r>
      <w:r w:rsidRPr="00543428">
        <w:rPr>
          <w:rtl/>
        </w:rPr>
        <w:t xml:space="preserve"> </w:t>
      </w:r>
      <w:r w:rsidRPr="00543428">
        <w:rPr>
          <w:rFonts w:hint="eastAsia"/>
          <w:rtl/>
        </w:rPr>
        <w:t>ל</w:t>
      </w:r>
      <w:r w:rsidRPr="00543428">
        <w:rPr>
          <w:rFonts w:hint="cs"/>
          <w:rtl/>
        </w:rPr>
        <w:t>ספק נתונים אלו כבקשת המבקר,</w:t>
      </w:r>
      <w:r w:rsidRPr="00543428">
        <w:rPr>
          <w:rtl/>
        </w:rPr>
        <w:t xml:space="preserve"> נדרשת בחינה פרטנית לגבי שיוך הכספים בכל שנה ל</w:t>
      </w:r>
      <w:r w:rsidRPr="00543428">
        <w:rPr>
          <w:rFonts w:hint="cs"/>
          <w:rtl/>
        </w:rPr>
        <w:t>פי תיקים</w:t>
      </w:r>
      <w:r w:rsidRPr="00543428">
        <w:rPr>
          <w:rtl/>
        </w:rPr>
        <w:t xml:space="preserve">. </w:t>
      </w:r>
      <w:r w:rsidRPr="00543428">
        <w:rPr>
          <w:rFonts w:hint="cs"/>
          <w:rtl/>
        </w:rPr>
        <w:t>מעבר לכך, בידי יחידת חילוט נתונים רק אודות תיקים שהיו בטיפולה או שהם בתחום אחריותה, ואילו נתוני מימוש של תיקים אחרים כדוגמת אלו שהתפיסה בהם נעשתה מכוח הפסד"פ, אינם קיימים ברשותה.</w:t>
      </w:r>
      <w:r>
        <w:rPr>
          <w:rFonts w:hint="cs"/>
          <w:rtl/>
        </w:rPr>
        <w:t xml:space="preserve"> </w:t>
      </w:r>
    </w:p>
    <w:p w14:paraId="218A60FD" w14:textId="77777777" w:rsidR="00F368B6" w:rsidRPr="005D295B" w:rsidRDefault="00F368B6" w:rsidP="007317DC">
      <w:pPr>
        <w:pStyle w:val="100"/>
        <w:rPr>
          <w:rtl/>
        </w:rPr>
      </w:pPr>
      <w:r w:rsidRPr="005D295B">
        <w:rPr>
          <w:rFonts w:hint="cs"/>
          <w:rtl/>
        </w:rPr>
        <w:t>כלומר, יחידת החילוט, שהיא "הרגל המסיימת" במימוש הרכוש המחולט מעבריינים, אינה מספקת נתונים שוטפים ביחס למימוש הרכוש ולעלות המימוש באופן שיאפשר לקשור את התמורה שהתקבלה בסוף ההליך המשפטי והופקדה בקרן החילוט, לתיק המשטרה ולהליך המשפטי.</w:t>
      </w:r>
    </w:p>
    <w:p w14:paraId="1FF2DDE3" w14:textId="1858E091" w:rsidR="00F368B6" w:rsidRPr="005D295B" w:rsidRDefault="00F368B6" w:rsidP="007317DC">
      <w:pPr>
        <w:pStyle w:val="100"/>
        <w:rPr>
          <w:rtl/>
        </w:rPr>
      </w:pPr>
      <w:r w:rsidRPr="005D295B">
        <w:rPr>
          <w:rFonts w:hint="cs"/>
          <w:rtl/>
        </w:rPr>
        <w:t>ביטוי נוסף להיעדר גורם מתכלל קיים בפערי נתונים ביחס להיקף התפיסות בשנים האחרונות. בעוד שעל פי נתוני הפרקליטות היקף התפיסות המצטבר בשנים</w:t>
      </w:r>
      <w:r w:rsidR="00977C89">
        <w:rPr>
          <w:rFonts w:hint="cs"/>
          <w:rtl/>
        </w:rPr>
        <w:t xml:space="preserve"> 2016 - 2018 </w:t>
      </w:r>
      <w:r w:rsidRPr="005D295B">
        <w:rPr>
          <w:rFonts w:hint="cs"/>
          <w:rtl/>
        </w:rPr>
        <w:t>היה כ-3.5 מיליארד ש"ח, על פי נתוני המשטרה היקף התפיסות המצטבר לאותן השנים היה 4.25 מיליארד ש"ח</w:t>
      </w:r>
      <w:r w:rsidRPr="005D295B">
        <w:rPr>
          <w:vertAlign w:val="superscript"/>
          <w:rtl/>
        </w:rPr>
        <w:footnoteReference w:id="74"/>
      </w:r>
      <w:r w:rsidR="00BC6493">
        <w:rPr>
          <w:rFonts w:hint="cs"/>
          <w:rtl/>
        </w:rPr>
        <w:t>.</w:t>
      </w:r>
      <w:r w:rsidRPr="005D295B">
        <w:rPr>
          <w:rFonts w:hint="cs"/>
          <w:rtl/>
        </w:rPr>
        <w:t xml:space="preserve"> הפער נובע, בין היתר, מכך שהמשטרה מחשיבה בנתוניה גם תפיסות המועברות לטיפול </w:t>
      </w:r>
      <w:r>
        <w:rPr>
          <w:rFonts w:hint="cs"/>
          <w:rtl/>
        </w:rPr>
        <w:lastRenderedPageBreak/>
        <w:t>מנהל התביעות במשטרה</w:t>
      </w:r>
      <w:r w:rsidRPr="005D295B">
        <w:rPr>
          <w:rFonts w:hint="cs"/>
          <w:rtl/>
        </w:rPr>
        <w:t xml:space="preserve"> או כאלו שהועברו לרשות אכיפה אחרת כדוגמת רשות מקומית, ביטוח לאומי. </w:t>
      </w:r>
    </w:p>
    <w:p w14:paraId="328A73F0" w14:textId="77777777" w:rsidR="00F368B6" w:rsidRPr="005D295B" w:rsidRDefault="00F368B6" w:rsidP="007317DC">
      <w:pPr>
        <w:pStyle w:val="af1"/>
        <w:rPr>
          <w:rtl/>
        </w:rPr>
      </w:pPr>
      <w:r w:rsidRPr="005D295B">
        <w:rPr>
          <w:rFonts w:hint="cs"/>
          <w:rtl/>
        </w:rPr>
        <w:t>אין גורם אשר באחריותו לקבל, לאסוף ולנתח את מלוא המידע הקיים אצל הגופים המשתתפים בשרשרת האכיפה הכלכלית, באופן שיאפשר לקבל תמונה שלמה ומהימנה</w:t>
      </w:r>
      <w:r>
        <w:rPr>
          <w:rFonts w:hint="cs"/>
          <w:rtl/>
        </w:rPr>
        <w:t>,</w:t>
      </w:r>
      <w:r w:rsidRPr="005D295B">
        <w:rPr>
          <w:rFonts w:hint="cs"/>
          <w:rtl/>
        </w:rPr>
        <w:t xml:space="preserve"> למן שלבי התפיסה קודם הגשת כתב האישום ועד סיום ההליך המשפטי, מימוש התפוסים והעברת התמורה לקרן החילוט</w:t>
      </w:r>
      <w:r>
        <w:rPr>
          <w:rFonts w:hint="cs"/>
          <w:rtl/>
        </w:rPr>
        <w:t xml:space="preserve"> או לאוצר המדינה</w:t>
      </w:r>
      <w:r w:rsidRPr="005D295B">
        <w:rPr>
          <w:rFonts w:hint="cs"/>
          <w:rtl/>
        </w:rPr>
        <w:t xml:space="preserve">. </w:t>
      </w:r>
    </w:p>
    <w:p w14:paraId="6985A317" w14:textId="77777777" w:rsidR="00F368B6" w:rsidRPr="005D295B" w:rsidRDefault="00F368B6" w:rsidP="00B809EE">
      <w:pPr>
        <w:pStyle w:val="100"/>
        <w:rPr>
          <w:rtl/>
        </w:rPr>
      </w:pPr>
      <w:r w:rsidRPr="005D295B">
        <w:rPr>
          <w:rFonts w:hint="cs"/>
          <w:rtl/>
        </w:rPr>
        <w:t xml:space="preserve">המשטרה </w:t>
      </w:r>
      <w:r>
        <w:rPr>
          <w:rFonts w:hint="cs"/>
          <w:rtl/>
        </w:rPr>
        <w:t>ציינה</w:t>
      </w:r>
      <w:r w:rsidRPr="005D295B">
        <w:rPr>
          <w:rFonts w:hint="cs"/>
          <w:rtl/>
        </w:rPr>
        <w:t xml:space="preserve"> בתשובתה כי הערת הביקורת נכונה ובמקומה</w:t>
      </w:r>
      <w:r>
        <w:rPr>
          <w:rFonts w:hint="cs"/>
          <w:rtl/>
        </w:rPr>
        <w:t>,</w:t>
      </w:r>
      <w:r w:rsidRPr="005D295B">
        <w:rPr>
          <w:rFonts w:hint="cs"/>
          <w:rtl/>
        </w:rPr>
        <w:t xml:space="preserve"> וסבורה כי יש להוסיף את יחידת החילוט לפגישות המתקיימות בין המשטרה לבין הפרקליטות, על מנת לסנכרן את כלל הגופים לגבי הנתונים. </w:t>
      </w:r>
    </w:p>
    <w:p w14:paraId="7D0FF560" w14:textId="77777777" w:rsidR="00F368B6" w:rsidRDefault="00F368B6" w:rsidP="00B809EE">
      <w:pPr>
        <w:pStyle w:val="100"/>
        <w:rPr>
          <w:rFonts w:ascii="Arial" w:hAnsi="Arial"/>
          <w:sz w:val="24"/>
          <w:rtl/>
        </w:rPr>
      </w:pPr>
      <w:r w:rsidRPr="005D295B">
        <w:rPr>
          <w:rFonts w:ascii="Arial" w:hAnsi="Arial" w:hint="cs"/>
          <w:sz w:val="24"/>
          <w:rtl/>
        </w:rPr>
        <w:t>יוצא אפוא, שכיום יש בידי גופי האכיפה תמונה חלקית בלבד, והמשטרה והפרקליטות משתפות פעולה בנ</w:t>
      </w:r>
      <w:r>
        <w:rPr>
          <w:rFonts w:ascii="Arial" w:hAnsi="Arial" w:hint="cs"/>
          <w:sz w:val="24"/>
          <w:rtl/>
        </w:rPr>
        <w:t>יהול מסד נתונים אחוד בפרקליטות: המסד</w:t>
      </w:r>
      <w:r w:rsidRPr="005D295B">
        <w:rPr>
          <w:rFonts w:ascii="Arial" w:hAnsi="Arial" w:hint="cs"/>
          <w:sz w:val="24"/>
          <w:rtl/>
        </w:rPr>
        <w:t xml:space="preserve"> המנוהל בטבלת אקסל </w:t>
      </w:r>
      <w:r>
        <w:rPr>
          <w:rFonts w:ascii="Arial" w:hAnsi="Arial" w:hint="cs"/>
          <w:sz w:val="24"/>
          <w:rtl/>
        </w:rPr>
        <w:t>ש</w:t>
      </w:r>
      <w:r w:rsidRPr="005D295B">
        <w:rPr>
          <w:rFonts w:ascii="Arial" w:hAnsi="Arial" w:hint="cs"/>
          <w:sz w:val="24"/>
          <w:rtl/>
        </w:rPr>
        <w:t>בה מוקלדים הנתונים באופן ידני על ידי גורמים בפרקליטות, לצורך שיקוף היקף פעילות האכיפה הכלכלית אצלן. יוער כי השימוש בטבלת האקסל מאפשר לכל פרקליט</w:t>
      </w:r>
      <w:r>
        <w:rPr>
          <w:rFonts w:ascii="Arial" w:hAnsi="Arial" w:hint="cs"/>
          <w:sz w:val="24"/>
          <w:rtl/>
        </w:rPr>
        <w:t xml:space="preserve"> רפרנט</w:t>
      </w:r>
      <w:r w:rsidRPr="005D295B">
        <w:rPr>
          <w:rFonts w:ascii="Arial" w:hAnsi="Arial" w:hint="cs"/>
          <w:sz w:val="24"/>
          <w:rtl/>
        </w:rPr>
        <w:t xml:space="preserve"> להזין נתונים ולשנותם.</w:t>
      </w:r>
      <w:r>
        <w:rPr>
          <w:rFonts w:ascii="Arial" w:hAnsi="Arial" w:hint="cs"/>
          <w:sz w:val="24"/>
          <w:rtl/>
        </w:rPr>
        <w:t xml:space="preserve"> </w:t>
      </w:r>
    </w:p>
    <w:p w14:paraId="462926F3" w14:textId="77777777" w:rsidR="00F368B6" w:rsidRDefault="00F368B6" w:rsidP="00B809EE">
      <w:pPr>
        <w:pStyle w:val="af1"/>
        <w:rPr>
          <w:rtl/>
        </w:rPr>
      </w:pPr>
      <w:r>
        <w:rPr>
          <w:rFonts w:hint="cs"/>
          <w:rtl/>
        </w:rPr>
        <w:t>משרד מבקר המדינה מציין</w:t>
      </w:r>
      <w:r w:rsidRPr="005D295B">
        <w:rPr>
          <w:rFonts w:hint="cs"/>
          <w:rtl/>
        </w:rPr>
        <w:t xml:space="preserve"> את איגום הנתונים שנאסף במטה אכיפה כלכלית בפרקליטות ובשיתוף הפעולה שנרקם בין הפרקליטות והמשטרה בהקמת מסד נתונים אחוד. עם זאת </w:t>
      </w:r>
      <w:r w:rsidRPr="005D295B">
        <w:rPr>
          <w:rtl/>
        </w:rPr>
        <w:t xml:space="preserve">יש חשיבות </w:t>
      </w:r>
      <w:r w:rsidRPr="005D295B">
        <w:rPr>
          <w:rFonts w:hint="cs"/>
          <w:rtl/>
        </w:rPr>
        <w:t>רבה בבניית מסד</w:t>
      </w:r>
      <w:r w:rsidRPr="005D295B">
        <w:rPr>
          <w:rtl/>
        </w:rPr>
        <w:t xml:space="preserve"> נתונים משותף</w:t>
      </w:r>
      <w:r w:rsidRPr="005D295B">
        <w:rPr>
          <w:rFonts w:hint="cs"/>
          <w:rtl/>
        </w:rPr>
        <w:t xml:space="preserve">, </w:t>
      </w:r>
      <w:r w:rsidRPr="005D295B">
        <w:rPr>
          <w:rtl/>
        </w:rPr>
        <w:t>מהימן</w:t>
      </w:r>
      <w:r w:rsidRPr="005D295B">
        <w:rPr>
          <w:rFonts w:hint="cs"/>
          <w:rtl/>
        </w:rPr>
        <w:t>, מתוקף ומבוקר של כלל גורמי האכיפה.</w:t>
      </w:r>
    </w:p>
    <w:p w14:paraId="1ECD6AAA" w14:textId="77777777" w:rsidR="00F368B6" w:rsidRPr="005D295B" w:rsidRDefault="00F368B6" w:rsidP="00B809EE">
      <w:pPr>
        <w:pStyle w:val="af1"/>
        <w:rPr>
          <w:rtl/>
        </w:rPr>
      </w:pPr>
      <w:r w:rsidRPr="005D295B">
        <w:rPr>
          <w:rFonts w:hint="eastAsia"/>
          <w:rtl/>
        </w:rPr>
        <w:t>מוצע</w:t>
      </w:r>
      <w:r w:rsidRPr="005D295B">
        <w:rPr>
          <w:rtl/>
        </w:rPr>
        <w:t xml:space="preserve"> </w:t>
      </w:r>
      <w:r w:rsidRPr="005D295B">
        <w:rPr>
          <w:rFonts w:hint="eastAsia"/>
          <w:rtl/>
        </w:rPr>
        <w:t>כי</w:t>
      </w:r>
      <w:r w:rsidRPr="005D295B">
        <w:rPr>
          <w:rtl/>
        </w:rPr>
        <w:t xml:space="preserve"> </w:t>
      </w:r>
      <w:r w:rsidRPr="005D295B">
        <w:rPr>
          <w:rFonts w:hint="eastAsia"/>
          <w:rtl/>
        </w:rPr>
        <w:t>גופים</w:t>
      </w:r>
      <w:r w:rsidRPr="005D295B">
        <w:rPr>
          <w:rtl/>
        </w:rPr>
        <w:t xml:space="preserve"> </w:t>
      </w:r>
      <w:r w:rsidRPr="005D295B">
        <w:rPr>
          <w:rFonts w:hint="eastAsia"/>
          <w:rtl/>
        </w:rPr>
        <w:t>אלו</w:t>
      </w:r>
      <w:r w:rsidRPr="005D295B">
        <w:rPr>
          <w:rtl/>
        </w:rPr>
        <w:t xml:space="preserve"> </w:t>
      </w:r>
      <w:r w:rsidRPr="005D295B">
        <w:rPr>
          <w:rFonts w:hint="eastAsia"/>
          <w:rtl/>
        </w:rPr>
        <w:t>יקבעו</w:t>
      </w:r>
      <w:r w:rsidRPr="005D295B">
        <w:rPr>
          <w:rtl/>
        </w:rPr>
        <w:t xml:space="preserve"> </w:t>
      </w:r>
      <w:r w:rsidRPr="005D295B">
        <w:rPr>
          <w:rFonts w:hint="eastAsia"/>
          <w:rtl/>
        </w:rPr>
        <w:t>הסדר</w:t>
      </w:r>
      <w:r w:rsidRPr="005D295B">
        <w:rPr>
          <w:rtl/>
        </w:rPr>
        <w:t xml:space="preserve"> </w:t>
      </w:r>
      <w:r w:rsidRPr="005D295B">
        <w:rPr>
          <w:rFonts w:hint="cs"/>
          <w:rtl/>
        </w:rPr>
        <w:t>ש</w:t>
      </w:r>
      <w:r w:rsidRPr="005D295B">
        <w:rPr>
          <w:rFonts w:hint="eastAsia"/>
          <w:rtl/>
        </w:rPr>
        <w:t>לפיו</w:t>
      </w:r>
      <w:r w:rsidRPr="005D295B">
        <w:rPr>
          <w:rtl/>
        </w:rPr>
        <w:t xml:space="preserve"> </w:t>
      </w:r>
      <w:r w:rsidRPr="005D295B">
        <w:rPr>
          <w:rFonts w:hint="eastAsia"/>
          <w:rtl/>
        </w:rPr>
        <w:t>גורם</w:t>
      </w:r>
      <w:r w:rsidRPr="005D295B">
        <w:rPr>
          <w:rtl/>
        </w:rPr>
        <w:t xml:space="preserve"> </w:t>
      </w:r>
      <w:r w:rsidRPr="005D295B">
        <w:rPr>
          <w:rFonts w:hint="eastAsia"/>
          <w:rtl/>
        </w:rPr>
        <w:t>אחד</w:t>
      </w:r>
      <w:r w:rsidRPr="005D295B">
        <w:rPr>
          <w:rtl/>
        </w:rPr>
        <w:t xml:space="preserve"> </w:t>
      </w:r>
      <w:r w:rsidRPr="005D295B">
        <w:rPr>
          <w:rFonts w:hint="eastAsia"/>
          <w:rtl/>
        </w:rPr>
        <w:t>יהיה</w:t>
      </w:r>
      <w:r w:rsidRPr="005D295B">
        <w:rPr>
          <w:rtl/>
        </w:rPr>
        <w:t xml:space="preserve"> </w:t>
      </w:r>
      <w:r w:rsidRPr="005D295B">
        <w:rPr>
          <w:rFonts w:hint="eastAsia"/>
          <w:rtl/>
        </w:rPr>
        <w:t>אמון</w:t>
      </w:r>
      <w:r w:rsidRPr="005D295B">
        <w:rPr>
          <w:rtl/>
        </w:rPr>
        <w:t xml:space="preserve"> </w:t>
      </w:r>
      <w:r w:rsidRPr="005D295B">
        <w:rPr>
          <w:rFonts w:hint="eastAsia"/>
          <w:rtl/>
        </w:rPr>
        <w:t>על</w:t>
      </w:r>
      <w:r w:rsidRPr="005D295B">
        <w:rPr>
          <w:rtl/>
        </w:rPr>
        <w:t xml:space="preserve"> </w:t>
      </w:r>
      <w:r w:rsidRPr="005D295B">
        <w:rPr>
          <w:rFonts w:hint="eastAsia"/>
          <w:rtl/>
        </w:rPr>
        <w:t>ריכוז</w:t>
      </w:r>
      <w:r w:rsidRPr="005D295B">
        <w:rPr>
          <w:rFonts w:hint="cs"/>
          <w:rtl/>
        </w:rPr>
        <w:t xml:space="preserve"> ובקרה של</w:t>
      </w:r>
      <w:r w:rsidRPr="005D295B">
        <w:rPr>
          <w:rtl/>
        </w:rPr>
        <w:t xml:space="preserve"> </w:t>
      </w:r>
      <w:r w:rsidRPr="005D295B">
        <w:rPr>
          <w:rFonts w:hint="eastAsia"/>
          <w:rtl/>
        </w:rPr>
        <w:t>כלל</w:t>
      </w:r>
      <w:r w:rsidRPr="005D295B">
        <w:rPr>
          <w:rtl/>
        </w:rPr>
        <w:t xml:space="preserve"> </w:t>
      </w:r>
      <w:r w:rsidRPr="005D295B">
        <w:rPr>
          <w:rFonts w:hint="eastAsia"/>
          <w:rtl/>
        </w:rPr>
        <w:t>הנתונים</w:t>
      </w:r>
      <w:r w:rsidRPr="005D295B">
        <w:rPr>
          <w:rtl/>
        </w:rPr>
        <w:t xml:space="preserve">. </w:t>
      </w:r>
      <w:r w:rsidRPr="005D295B">
        <w:rPr>
          <w:rFonts w:hint="eastAsia"/>
          <w:rtl/>
        </w:rPr>
        <w:t>גורם</w:t>
      </w:r>
      <w:r w:rsidRPr="005D295B">
        <w:rPr>
          <w:rtl/>
        </w:rPr>
        <w:t xml:space="preserve"> </w:t>
      </w:r>
      <w:r w:rsidRPr="005D295B">
        <w:rPr>
          <w:rFonts w:hint="eastAsia"/>
          <w:rtl/>
        </w:rPr>
        <w:t>זה</w:t>
      </w:r>
      <w:r w:rsidRPr="005D295B">
        <w:rPr>
          <w:rtl/>
        </w:rPr>
        <w:t xml:space="preserve"> </w:t>
      </w:r>
      <w:r w:rsidRPr="005D295B">
        <w:rPr>
          <w:rFonts w:hint="eastAsia"/>
          <w:rtl/>
        </w:rPr>
        <w:t>יידרש</w:t>
      </w:r>
      <w:r w:rsidRPr="005D295B">
        <w:rPr>
          <w:rtl/>
        </w:rPr>
        <w:t xml:space="preserve"> </w:t>
      </w:r>
      <w:r w:rsidRPr="005D295B">
        <w:rPr>
          <w:rFonts w:hint="eastAsia"/>
          <w:rtl/>
        </w:rPr>
        <w:t>להנפיק</w:t>
      </w:r>
      <w:r w:rsidRPr="005D295B">
        <w:rPr>
          <w:rtl/>
        </w:rPr>
        <w:t xml:space="preserve"> </w:t>
      </w:r>
      <w:r w:rsidRPr="005D295B">
        <w:rPr>
          <w:rFonts w:hint="eastAsia"/>
          <w:rtl/>
        </w:rPr>
        <w:t>דוח</w:t>
      </w:r>
      <w:r w:rsidRPr="005D295B">
        <w:rPr>
          <w:rtl/>
        </w:rPr>
        <w:t xml:space="preserve"> </w:t>
      </w:r>
      <w:r w:rsidRPr="005D295B">
        <w:rPr>
          <w:rFonts w:hint="eastAsia"/>
          <w:rtl/>
        </w:rPr>
        <w:t>תקופתי</w:t>
      </w:r>
      <w:r w:rsidRPr="005D295B">
        <w:rPr>
          <w:rtl/>
        </w:rPr>
        <w:t xml:space="preserve"> </w:t>
      </w:r>
      <w:r w:rsidRPr="005D295B">
        <w:rPr>
          <w:rFonts w:hint="eastAsia"/>
          <w:rtl/>
        </w:rPr>
        <w:t>לכלל</w:t>
      </w:r>
      <w:r w:rsidRPr="005D295B">
        <w:rPr>
          <w:rtl/>
        </w:rPr>
        <w:t xml:space="preserve"> </w:t>
      </w:r>
      <w:r w:rsidRPr="005D295B">
        <w:rPr>
          <w:rFonts w:hint="eastAsia"/>
          <w:rtl/>
        </w:rPr>
        <w:t>הגורמים</w:t>
      </w:r>
      <w:r w:rsidRPr="005D295B">
        <w:rPr>
          <w:rtl/>
        </w:rPr>
        <w:t xml:space="preserve"> </w:t>
      </w:r>
      <w:r w:rsidRPr="005D295B">
        <w:rPr>
          <w:rFonts w:hint="eastAsia"/>
          <w:rtl/>
        </w:rPr>
        <w:t>וכן</w:t>
      </w:r>
      <w:r w:rsidRPr="005D295B">
        <w:rPr>
          <w:rtl/>
        </w:rPr>
        <w:t xml:space="preserve"> </w:t>
      </w:r>
      <w:r w:rsidRPr="005D295B">
        <w:rPr>
          <w:rFonts w:hint="eastAsia"/>
          <w:rtl/>
        </w:rPr>
        <w:t>לוועדה</w:t>
      </w:r>
      <w:r w:rsidRPr="005D295B">
        <w:rPr>
          <w:rtl/>
        </w:rPr>
        <w:t xml:space="preserve"> </w:t>
      </w:r>
      <w:r w:rsidRPr="005D295B">
        <w:rPr>
          <w:rFonts w:hint="eastAsia"/>
          <w:rtl/>
        </w:rPr>
        <w:t>המתמדת</w:t>
      </w:r>
      <w:r w:rsidRPr="005D295B">
        <w:rPr>
          <w:rFonts w:hint="cs"/>
          <w:rtl/>
        </w:rPr>
        <w:t>,</w:t>
      </w:r>
      <w:r w:rsidRPr="005D295B">
        <w:rPr>
          <w:rtl/>
        </w:rPr>
        <w:t xml:space="preserve"> </w:t>
      </w:r>
      <w:r w:rsidRPr="005D295B">
        <w:rPr>
          <w:rFonts w:hint="eastAsia"/>
          <w:rtl/>
        </w:rPr>
        <w:t>ו</w:t>
      </w:r>
      <w:r w:rsidRPr="005D295B">
        <w:rPr>
          <w:rFonts w:hint="cs"/>
          <w:rtl/>
        </w:rPr>
        <w:t>ה</w:t>
      </w:r>
      <w:r w:rsidRPr="005D295B">
        <w:rPr>
          <w:rFonts w:hint="eastAsia"/>
          <w:rtl/>
        </w:rPr>
        <w:t>מידע</w:t>
      </w:r>
      <w:r w:rsidRPr="005D295B">
        <w:rPr>
          <w:rtl/>
        </w:rPr>
        <w:t xml:space="preserve"> </w:t>
      </w:r>
      <w:r w:rsidRPr="005D295B">
        <w:rPr>
          <w:rFonts w:hint="eastAsia"/>
          <w:rtl/>
        </w:rPr>
        <w:t>ישמש</w:t>
      </w:r>
      <w:r w:rsidRPr="005D295B">
        <w:rPr>
          <w:rtl/>
        </w:rPr>
        <w:t xml:space="preserve"> </w:t>
      </w:r>
      <w:r w:rsidRPr="005D295B">
        <w:rPr>
          <w:rFonts w:hint="eastAsia"/>
          <w:rtl/>
        </w:rPr>
        <w:t>לשיפור</w:t>
      </w:r>
      <w:r w:rsidRPr="005D295B">
        <w:rPr>
          <w:rtl/>
        </w:rPr>
        <w:t xml:space="preserve"> </w:t>
      </w:r>
      <w:r w:rsidRPr="005D295B">
        <w:rPr>
          <w:rFonts w:hint="eastAsia"/>
          <w:rtl/>
        </w:rPr>
        <w:t>הליכי</w:t>
      </w:r>
      <w:r w:rsidRPr="005D295B">
        <w:rPr>
          <w:rtl/>
        </w:rPr>
        <w:t xml:space="preserve"> </w:t>
      </w:r>
      <w:r w:rsidRPr="005D295B">
        <w:rPr>
          <w:rFonts w:hint="eastAsia"/>
          <w:rtl/>
        </w:rPr>
        <w:t>התפיסה</w:t>
      </w:r>
      <w:r w:rsidRPr="005D295B">
        <w:rPr>
          <w:rtl/>
        </w:rPr>
        <w:t xml:space="preserve"> </w:t>
      </w:r>
      <w:r w:rsidRPr="005D295B">
        <w:rPr>
          <w:rFonts w:hint="eastAsia"/>
          <w:rtl/>
        </w:rPr>
        <w:t>והחילוט</w:t>
      </w:r>
      <w:r w:rsidRPr="005D295B">
        <w:rPr>
          <w:rtl/>
        </w:rPr>
        <w:t xml:space="preserve"> </w:t>
      </w:r>
      <w:r w:rsidRPr="005D295B">
        <w:rPr>
          <w:rFonts w:hint="eastAsia"/>
          <w:rtl/>
        </w:rPr>
        <w:t>ולמעקב</w:t>
      </w:r>
      <w:r w:rsidRPr="005D295B">
        <w:rPr>
          <w:rtl/>
        </w:rPr>
        <w:t xml:space="preserve"> </w:t>
      </w:r>
      <w:r w:rsidRPr="005D295B">
        <w:rPr>
          <w:rFonts w:hint="eastAsia"/>
          <w:rtl/>
        </w:rPr>
        <w:t>אחר</w:t>
      </w:r>
      <w:r w:rsidRPr="005D295B">
        <w:rPr>
          <w:rtl/>
        </w:rPr>
        <w:t xml:space="preserve"> </w:t>
      </w:r>
      <w:r w:rsidRPr="005D295B">
        <w:rPr>
          <w:rFonts w:hint="eastAsia"/>
          <w:rtl/>
        </w:rPr>
        <w:t>תפוקות</w:t>
      </w:r>
      <w:r w:rsidRPr="005D295B">
        <w:rPr>
          <w:rtl/>
        </w:rPr>
        <w:t xml:space="preserve"> </w:t>
      </w:r>
      <w:r w:rsidRPr="005D295B">
        <w:rPr>
          <w:rFonts w:hint="eastAsia"/>
          <w:rtl/>
        </w:rPr>
        <w:t>הפעולות</w:t>
      </w:r>
      <w:r w:rsidRPr="005D295B">
        <w:rPr>
          <w:rtl/>
        </w:rPr>
        <w:t xml:space="preserve"> </w:t>
      </w:r>
      <w:r w:rsidRPr="005D295B">
        <w:rPr>
          <w:rFonts w:hint="eastAsia"/>
          <w:rtl/>
        </w:rPr>
        <w:t>בתחום</w:t>
      </w:r>
      <w:r w:rsidRPr="005D295B">
        <w:rPr>
          <w:rtl/>
        </w:rPr>
        <w:t xml:space="preserve"> </w:t>
      </w:r>
      <w:r w:rsidRPr="005D295B">
        <w:rPr>
          <w:rFonts w:hint="eastAsia"/>
          <w:rtl/>
        </w:rPr>
        <w:t>האכיפה</w:t>
      </w:r>
      <w:r w:rsidRPr="005D295B">
        <w:rPr>
          <w:rtl/>
        </w:rPr>
        <w:t xml:space="preserve"> </w:t>
      </w:r>
      <w:r w:rsidRPr="005D295B">
        <w:rPr>
          <w:rFonts w:hint="eastAsia"/>
          <w:rtl/>
        </w:rPr>
        <w:t>הכלכלית</w:t>
      </w:r>
      <w:r w:rsidRPr="005D295B">
        <w:rPr>
          <w:rtl/>
        </w:rPr>
        <w:t>.</w:t>
      </w:r>
    </w:p>
    <w:p w14:paraId="37FCA594" w14:textId="356A56FC" w:rsidR="00F368B6" w:rsidRPr="005D295B" w:rsidRDefault="00F368B6" w:rsidP="00B809EE">
      <w:pPr>
        <w:pStyle w:val="af1"/>
        <w:rPr>
          <w:rtl/>
        </w:rPr>
      </w:pPr>
      <w:r>
        <w:rPr>
          <w:rFonts w:hint="cs"/>
          <w:rtl/>
        </w:rPr>
        <w:t xml:space="preserve">בהיבט המהותי </w:t>
      </w:r>
      <w:r w:rsidRPr="00276288">
        <w:rPr>
          <w:rFonts w:hint="cs"/>
          <w:rtl/>
        </w:rPr>
        <w:t xml:space="preserve">על קובעי המדיניות במשרד המשפטים ובמשטרה </w:t>
      </w:r>
      <w:r>
        <w:rPr>
          <w:rFonts w:hint="cs"/>
          <w:rtl/>
        </w:rPr>
        <w:t>לבחון את ה</w:t>
      </w:r>
      <w:r w:rsidRPr="00276288">
        <w:rPr>
          <w:rFonts w:hint="cs"/>
          <w:rtl/>
        </w:rPr>
        <w:t>פערים בין סכומי התפיסות לבין הסכומים הנפסקים בצווי החילוט מתוך אותן התפיסות</w:t>
      </w:r>
      <w:r>
        <w:rPr>
          <w:rFonts w:hint="cs"/>
          <w:rtl/>
        </w:rPr>
        <w:t>, ואת ה</w:t>
      </w:r>
      <w:r w:rsidRPr="00276288">
        <w:rPr>
          <w:rFonts w:hint="cs"/>
          <w:rtl/>
        </w:rPr>
        <w:t>פערים בין שווי הרכוש שבית המשפט שלל מהעבריינים לבין הסכומים שהופק</w:t>
      </w:r>
      <w:r>
        <w:rPr>
          <w:rFonts w:hint="cs"/>
          <w:rtl/>
        </w:rPr>
        <w:t xml:space="preserve">דו בסופו של הליך בקרנות החילוט. כל </w:t>
      </w:r>
      <w:r w:rsidRPr="00276288">
        <w:rPr>
          <w:rFonts w:hint="cs"/>
          <w:rtl/>
        </w:rPr>
        <w:t>זאת במסגרת פעולות ההערכה שראוי שיקוימו באשר לפעילות האכיפה הכלכלית ואופן יישומה.</w:t>
      </w:r>
    </w:p>
    <w:p w14:paraId="62D14797" w14:textId="77777777" w:rsidR="008B379D" w:rsidRDefault="008B379D">
      <w:pPr>
        <w:bidi w:val="0"/>
        <w:spacing w:after="200" w:line="276" w:lineRule="auto"/>
        <w:rPr>
          <w:rFonts w:ascii="Tahoma" w:eastAsia="Times New Roman" w:hAnsi="Tahoma" w:cs="Tahoma"/>
          <w:color w:val="009692"/>
          <w:sz w:val="32"/>
          <w:szCs w:val="32"/>
          <w:rtl/>
        </w:rPr>
      </w:pPr>
      <w:bookmarkStart w:id="22" w:name="_Toc24370973"/>
      <w:r>
        <w:rPr>
          <w:rtl/>
        </w:rPr>
        <w:br w:type="page"/>
      </w:r>
    </w:p>
    <w:p w14:paraId="3DA3802D" w14:textId="29A6106F" w:rsidR="00F368B6" w:rsidRDefault="00F368B6" w:rsidP="00B809EE">
      <w:pPr>
        <w:pStyle w:val="316"/>
        <w:rPr>
          <w:rtl/>
        </w:rPr>
      </w:pPr>
      <w:r>
        <w:rPr>
          <w:rFonts w:hint="eastAsia"/>
          <w:rtl/>
        </w:rPr>
        <w:lastRenderedPageBreak/>
        <w:t>סיכום</w:t>
      </w:r>
      <w:bookmarkEnd w:id="22"/>
    </w:p>
    <w:p w14:paraId="7137E26C" w14:textId="6F46F1DF" w:rsidR="00F368B6" w:rsidRPr="0036380A" w:rsidRDefault="00F368B6" w:rsidP="00B809EE">
      <w:pPr>
        <w:pStyle w:val="af1"/>
        <w:rPr>
          <w:rtl/>
        </w:rPr>
      </w:pPr>
      <w:r w:rsidRPr="0036380A">
        <w:rPr>
          <w:rFonts w:hint="cs"/>
          <w:rtl/>
        </w:rPr>
        <w:t>המאבק העולמי בארגוני פשיעה והלבנת הון הפך בשנים האחרונות לנחלתן של מדינות רבות בעולם. מדינת ישראל משקיעה</w:t>
      </w:r>
      <w:r>
        <w:rPr>
          <w:rFonts w:hint="cs"/>
          <w:rtl/>
        </w:rPr>
        <w:t xml:space="preserve"> משאבים רבים במיגור </w:t>
      </w:r>
      <w:r w:rsidRPr="0036380A">
        <w:rPr>
          <w:rFonts w:hint="cs"/>
          <w:rtl/>
        </w:rPr>
        <w:t xml:space="preserve">הפשיעה הכלכלית והלבנת ההון, באמצעות שיתופי פעולה נרחבים - הן בזירה הבין-לאומית </w:t>
      </w:r>
      <w:r w:rsidR="00977C89">
        <w:rPr>
          <w:rFonts w:hint="cs"/>
          <w:rtl/>
        </w:rPr>
        <w:t>ו</w:t>
      </w:r>
      <w:r w:rsidRPr="0036380A">
        <w:rPr>
          <w:rFonts w:hint="cs"/>
          <w:rtl/>
        </w:rPr>
        <w:t>הן בשילוב זרועות של גורמי האכיפה השונים בארץ.</w:t>
      </w:r>
    </w:p>
    <w:p w14:paraId="0C60F6FA" w14:textId="5C74365C" w:rsidR="00F368B6" w:rsidRPr="0036380A" w:rsidRDefault="00F368B6" w:rsidP="00B809EE">
      <w:pPr>
        <w:pStyle w:val="af1"/>
        <w:rPr>
          <w:rtl/>
        </w:rPr>
      </w:pPr>
      <w:r w:rsidRPr="0036380A">
        <w:rPr>
          <w:rFonts w:hint="cs"/>
          <w:rtl/>
        </w:rPr>
        <w:t>הצטרפותה של ישראל כחברה בארגון</w:t>
      </w:r>
      <w:r>
        <w:rPr>
          <w:rFonts w:hint="cs"/>
          <w:rtl/>
        </w:rPr>
        <w:t xml:space="preserve"> ה-</w:t>
      </w:r>
      <w:r w:rsidRPr="0036380A">
        <w:rPr>
          <w:rFonts w:hint="cs"/>
        </w:rPr>
        <w:t>FATF</w:t>
      </w:r>
      <w:r w:rsidRPr="0036380A">
        <w:rPr>
          <w:rFonts w:hint="cs"/>
          <w:rtl/>
        </w:rPr>
        <w:t xml:space="preserve"> הובילה למיצובה כאחת המדינות המובילות את המאבק העולמי בהלבנת הון ומימון טרור, ומאפשרת לה לקחת חלק פעיל בעיצוב המדיניות העולמית בתחום זה. </w:t>
      </w:r>
    </w:p>
    <w:p w14:paraId="44B18FC6" w14:textId="77777777" w:rsidR="00F368B6" w:rsidRPr="0036380A" w:rsidRDefault="00F368B6" w:rsidP="00B809EE">
      <w:pPr>
        <w:pStyle w:val="af1"/>
        <w:rPr>
          <w:rtl/>
        </w:rPr>
      </w:pPr>
      <w:r w:rsidRPr="0036380A">
        <w:rPr>
          <w:rtl/>
        </w:rPr>
        <w:t xml:space="preserve">אחד הכלים שנמצאו אפקטיביים </w:t>
      </w:r>
      <w:r w:rsidRPr="0036380A">
        <w:rPr>
          <w:rFonts w:hint="cs"/>
          <w:rtl/>
        </w:rPr>
        <w:t>באכיפה כלכלית</w:t>
      </w:r>
      <w:r w:rsidRPr="0036380A">
        <w:rPr>
          <w:rtl/>
        </w:rPr>
        <w:t xml:space="preserve"> הוא </w:t>
      </w:r>
      <w:r w:rsidRPr="0036380A">
        <w:rPr>
          <w:rFonts w:hint="cs"/>
          <w:rtl/>
        </w:rPr>
        <w:t>ה</w:t>
      </w:r>
      <w:r w:rsidRPr="0036380A">
        <w:rPr>
          <w:rtl/>
        </w:rPr>
        <w:t>חילוט</w:t>
      </w:r>
      <w:r w:rsidRPr="0036380A">
        <w:rPr>
          <w:rFonts w:hint="cs"/>
          <w:rtl/>
        </w:rPr>
        <w:t xml:space="preserve">, שמשמעותו שלילת הרכוש שבשליטת העבריין או </w:t>
      </w:r>
      <w:r w:rsidRPr="0036380A">
        <w:rPr>
          <w:rtl/>
        </w:rPr>
        <w:t>שלילת הרווח שהופק מהפעילות העבריינית</w:t>
      </w:r>
      <w:r w:rsidRPr="0036380A">
        <w:rPr>
          <w:rFonts w:hint="cs"/>
          <w:rtl/>
        </w:rPr>
        <w:t xml:space="preserve"> והעברתו לקניין המדינה בצו שיפוטי. החילוט כשלעצמו מתגלה</w:t>
      </w:r>
      <w:r w:rsidRPr="0036380A">
        <w:rPr>
          <w:rtl/>
        </w:rPr>
        <w:t xml:space="preserve"> </w:t>
      </w:r>
      <w:r w:rsidRPr="0036380A">
        <w:rPr>
          <w:rFonts w:hint="cs"/>
          <w:rtl/>
        </w:rPr>
        <w:t>כ</w:t>
      </w:r>
      <w:r w:rsidRPr="0036380A">
        <w:rPr>
          <w:rtl/>
        </w:rPr>
        <w:t>אמצעי רב</w:t>
      </w:r>
      <w:r w:rsidRPr="0036380A">
        <w:rPr>
          <w:rFonts w:hint="cs"/>
          <w:rtl/>
        </w:rPr>
        <w:t>-</w:t>
      </w:r>
      <w:r w:rsidRPr="0036380A">
        <w:rPr>
          <w:rtl/>
        </w:rPr>
        <w:t>עוצמה במסגרת המלחמה בפשיעה.</w:t>
      </w:r>
    </w:p>
    <w:p w14:paraId="025C57F7" w14:textId="77777777" w:rsidR="00F368B6" w:rsidRPr="00E332F0" w:rsidRDefault="00F368B6" w:rsidP="00B809EE">
      <w:pPr>
        <w:pStyle w:val="af1"/>
        <w:rPr>
          <w:rFonts w:asciiTheme="minorBidi" w:hAnsiTheme="minorBidi"/>
          <w:rtl/>
        </w:rPr>
      </w:pPr>
      <w:r w:rsidRPr="0036380A">
        <w:rPr>
          <w:rFonts w:hint="cs"/>
          <w:rtl/>
        </w:rPr>
        <w:t xml:space="preserve">לצד ההישגים, העשייה </w:t>
      </w:r>
      <w:r w:rsidRPr="0036380A">
        <w:rPr>
          <w:rFonts w:asciiTheme="minorBidi" w:hAnsiTheme="minorBidi" w:hint="cs"/>
          <w:rtl/>
        </w:rPr>
        <w:t xml:space="preserve">הרבה וההכרה הבין-לאומית שישראל זכתה לה בתחום זה, הוצגו בדוח זה האתגרים שעדיין קיימים בניהול תיקים פליליים הכוללים אכיפה כלכלית ובניהול הליכי חילוט מכוחם. </w:t>
      </w:r>
    </w:p>
    <w:p w14:paraId="4B0FA3B0" w14:textId="77777777" w:rsidR="00F368B6" w:rsidRPr="00E332F0" w:rsidRDefault="00F368B6" w:rsidP="00B809EE">
      <w:pPr>
        <w:pStyle w:val="af1"/>
        <w:rPr>
          <w:rFonts w:asciiTheme="minorBidi" w:hAnsiTheme="minorBidi"/>
          <w:rtl/>
        </w:rPr>
      </w:pPr>
      <w:r w:rsidRPr="00E332F0">
        <w:rPr>
          <w:rFonts w:asciiTheme="minorBidi" w:hAnsiTheme="minorBidi" w:hint="cs"/>
          <w:rtl/>
        </w:rPr>
        <w:t xml:space="preserve">בהיעדר מסד נתונים וגורם מתכלל יש קושי במיפוי הפערים </w:t>
      </w:r>
      <w:r w:rsidRPr="00E332F0">
        <w:rPr>
          <w:rFonts w:asciiTheme="minorBidi" w:hAnsiTheme="minorBidi"/>
          <w:rtl/>
        </w:rPr>
        <w:t xml:space="preserve">שבין סכומי התפיסה </w:t>
      </w:r>
      <w:r>
        <w:rPr>
          <w:rFonts w:asciiTheme="minorBidi" w:hAnsiTheme="minorBidi" w:hint="cs"/>
          <w:rtl/>
        </w:rPr>
        <w:t xml:space="preserve">הראשונית </w:t>
      </w:r>
      <w:r w:rsidRPr="00E332F0">
        <w:rPr>
          <w:rFonts w:asciiTheme="minorBidi" w:hAnsiTheme="minorBidi"/>
          <w:rtl/>
        </w:rPr>
        <w:t>ובין הסכומים ש</w:t>
      </w:r>
      <w:r>
        <w:rPr>
          <w:rFonts w:asciiTheme="minorBidi" w:hAnsiTheme="minorBidi" w:hint="cs"/>
          <w:rtl/>
        </w:rPr>
        <w:t>נפסקים לטובת קרנות החילוט או אוצר המדינה. הת</w:t>
      </w:r>
      <w:r w:rsidRPr="00E332F0">
        <w:rPr>
          <w:rFonts w:asciiTheme="minorBidi" w:hAnsiTheme="minorBidi" w:hint="cs"/>
          <w:rtl/>
        </w:rPr>
        <w:t>משכות ההליכים משלב ה</w:t>
      </w:r>
      <w:r>
        <w:rPr>
          <w:rFonts w:asciiTheme="minorBidi" w:hAnsiTheme="minorBidi" w:hint="cs"/>
          <w:rtl/>
        </w:rPr>
        <w:t>חקירה ועד הגשת כתב האישום וכן הת</w:t>
      </w:r>
      <w:r w:rsidRPr="00E332F0">
        <w:rPr>
          <w:rFonts w:asciiTheme="minorBidi" w:hAnsiTheme="minorBidi" w:hint="cs"/>
          <w:rtl/>
        </w:rPr>
        <w:t xml:space="preserve">משכות ההליכים המשפטיים עד הכרעה שיפוטית הן חסם מרכזי ליעילות ולאפקטיביות של האכיפה הכלכלית. </w:t>
      </w:r>
    </w:p>
    <w:p w14:paraId="6555933E" w14:textId="77777777" w:rsidR="00F368B6" w:rsidRPr="00E332F0" w:rsidRDefault="00F368B6" w:rsidP="00B809EE">
      <w:pPr>
        <w:pStyle w:val="af1"/>
        <w:rPr>
          <w:rFonts w:asciiTheme="minorBidi" w:hAnsiTheme="minorBidi"/>
          <w:rtl/>
        </w:rPr>
      </w:pPr>
      <w:r w:rsidRPr="00E332F0">
        <w:rPr>
          <w:rFonts w:asciiTheme="minorBidi" w:hAnsiTheme="minorBidi" w:hint="cs"/>
          <w:rtl/>
        </w:rPr>
        <w:t>מיצוב יחידת החילוט והסדרת סמכויותיה חיוניים להגברת יכולתה לממש באופן מיטבי את תפקידה בניהול ומימוש של רכוש שנתפס וחולט. כמו כן, נדרש כי תתקבל הכרעה בדבר הגורם המטפל בתיקי צח</w:t>
      </w:r>
      <w:r w:rsidRPr="00E332F0">
        <w:rPr>
          <w:rFonts w:asciiTheme="minorBidi" w:hAnsiTheme="minorBidi"/>
          <w:rtl/>
        </w:rPr>
        <w:t>"</w:t>
      </w:r>
      <w:r w:rsidRPr="00E332F0">
        <w:rPr>
          <w:rFonts w:asciiTheme="minorBidi" w:hAnsiTheme="minorBidi" w:hint="cs"/>
          <w:rtl/>
        </w:rPr>
        <w:t>ם בעבירות מס ומע"ם.</w:t>
      </w:r>
    </w:p>
    <w:p w14:paraId="011F2E1F" w14:textId="5BCD65BB" w:rsidR="00F368B6" w:rsidRDefault="00F368B6" w:rsidP="00693D2C">
      <w:pPr>
        <w:pStyle w:val="af1"/>
      </w:pPr>
      <w:r w:rsidRPr="00E332F0">
        <w:rPr>
          <w:rFonts w:hint="cs"/>
          <w:rtl/>
        </w:rPr>
        <w:t>בשים לב להתפתחויות הטכנולוגיות המאפיינות את תחום הפשיעה הכלכלית בארץ ובעולם, ראוי כי גם גופי האכיפה ימשיכו לשכלל</w:t>
      </w:r>
      <w:r>
        <w:rPr>
          <w:rFonts w:hint="cs"/>
          <w:rtl/>
        </w:rPr>
        <w:t xml:space="preserve"> ולטייב</w:t>
      </w:r>
      <w:r w:rsidRPr="00E332F0">
        <w:rPr>
          <w:rFonts w:hint="cs"/>
          <w:rtl/>
        </w:rPr>
        <w:t xml:space="preserve"> את יכולותיהם לפעול בשיתופי פעולה במאבק בפשיעה המאורגנת והחמורה באמצעות האכיפה הכלכלית.</w:t>
      </w:r>
      <w:r w:rsidRPr="00E332F0">
        <w:rPr>
          <w:rFonts w:asciiTheme="minorBidi" w:hAnsiTheme="minorBidi" w:hint="cs"/>
          <w:rtl/>
        </w:rPr>
        <w:t xml:space="preserve"> </w:t>
      </w:r>
      <w:bookmarkEnd w:id="0"/>
    </w:p>
    <w:sectPr w:rsidR="00F368B6" w:rsidSect="00CA4D91">
      <w:footerReference w:type="default" r:id="rId32"/>
      <w:headerReference w:type="first" r:id="rId33"/>
      <w:footerReference w:type="first" r:id="rId34"/>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F74B5E" w:rsidRDefault="00F74B5E">
      <w:pPr>
        <w:spacing w:line="240" w:lineRule="auto"/>
      </w:pPr>
      <w:r>
        <w:separator/>
      </w:r>
    </w:p>
    <w:p w14:paraId="7FDB7CBE" w14:textId="77777777" w:rsidR="00F74B5E" w:rsidRDefault="00F74B5E"/>
  </w:endnote>
  <w:endnote w:type="continuationSeparator" w:id="0">
    <w:p w14:paraId="6956BE62" w14:textId="77777777" w:rsidR="00F74B5E" w:rsidRDefault="00F74B5E">
      <w:pPr>
        <w:spacing w:line="240" w:lineRule="auto"/>
      </w:pPr>
      <w:r>
        <w:continuationSeparator/>
      </w:r>
    </w:p>
    <w:p w14:paraId="2BC251DF" w14:textId="77777777" w:rsidR="00F74B5E" w:rsidRDefault="00F74B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4E9041F" w:rsidR="00F74B5E" w:rsidRPr="00DE6C5F" w:rsidRDefault="00F74B5E" w:rsidP="00DE6C5F">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המאבק בפשיעה באמצעות אכיפה כלכלית וחילוטים</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9B499" w14:textId="77777777" w:rsidR="00F74B5E" w:rsidRPr="00DE6C5F" w:rsidRDefault="00F74B5E" w:rsidP="00C13AA1">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המאבק בפשיעה באמצעות אכיפה כלכלית וחילוטים</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F74B5E" w:rsidRPr="00D15500" w:rsidRDefault="00F74B5E" w:rsidP="00D15500">
    <w:pPr>
      <w:pStyle w:val="Footer"/>
      <w:spacing w:after="120" w:line="312" w:lineRule="auto"/>
      <w:jc w:val="right"/>
      <w:rPr>
        <w:rFonts w:ascii="Tahoma" w:hAnsi="Tahoma" w:cs="Tahoma"/>
        <w:color w:val="002060"/>
        <w:sz w:val="18"/>
        <w:szCs w:val="18"/>
      </w:rPr>
    </w:pPr>
    <w:bookmarkStart w:id="23" w:name="tempMark"/>
    <w:bookmarkEnd w:id="23"/>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F74B5E" w:rsidRDefault="00F74B5E" w:rsidP="00C23CC9">
      <w:pPr>
        <w:spacing w:line="240" w:lineRule="auto"/>
      </w:pPr>
      <w:r>
        <w:separator/>
      </w:r>
    </w:p>
  </w:footnote>
  <w:footnote w:type="continuationSeparator" w:id="0">
    <w:p w14:paraId="10B5AFA0" w14:textId="77777777" w:rsidR="00F74B5E" w:rsidRDefault="00F74B5E" w:rsidP="00C23CC9">
      <w:pPr>
        <w:spacing w:line="240" w:lineRule="auto"/>
      </w:pPr>
      <w:r>
        <w:continuationSeparator/>
      </w:r>
    </w:p>
    <w:p w14:paraId="095B6F42" w14:textId="77777777" w:rsidR="00F74B5E" w:rsidRDefault="00F74B5E"/>
  </w:footnote>
  <w:footnote w:id="1">
    <w:p w14:paraId="54B9E2BE" w14:textId="77777777" w:rsidR="00F74B5E" w:rsidRPr="00F368B6" w:rsidRDefault="00F74B5E" w:rsidP="00F368B6">
      <w:pPr>
        <w:pStyle w:val="a5"/>
      </w:pPr>
      <w:r w:rsidRPr="00F368B6">
        <w:rPr>
          <w:rStyle w:val="FootnoteReference"/>
          <w:vertAlign w:val="baseline"/>
        </w:rPr>
        <w:footnoteRef/>
      </w:r>
      <w:r w:rsidRPr="00F368B6">
        <w:rPr>
          <w:rtl/>
        </w:rPr>
        <w:t xml:space="preserve"> </w:t>
      </w:r>
      <w:r w:rsidRPr="00F368B6">
        <w:rPr>
          <w:rtl/>
        </w:rPr>
        <w:tab/>
      </w:r>
      <w:r w:rsidRPr="00F368B6">
        <w:rPr>
          <w:rFonts w:hint="cs"/>
          <w:rtl/>
        </w:rPr>
        <w:t>החלטת הממשלה 4618, "המאבק בפשיעה החמורה ובפשיעה המאורגנת ובתוצריהן" (1.1.06).</w:t>
      </w:r>
    </w:p>
  </w:footnote>
  <w:footnote w:id="2">
    <w:p w14:paraId="7A3C8330" w14:textId="77777777" w:rsidR="00F74B5E" w:rsidRPr="00F368B6" w:rsidRDefault="00F74B5E" w:rsidP="00F368B6">
      <w:pPr>
        <w:pStyle w:val="a5"/>
      </w:pPr>
      <w:r w:rsidRPr="00F368B6">
        <w:footnoteRef/>
      </w:r>
      <w:r w:rsidRPr="00F368B6">
        <w:rPr>
          <w:rtl/>
        </w:rPr>
        <w:t xml:space="preserve"> </w:t>
      </w:r>
      <w:r w:rsidRPr="00F368B6">
        <w:rPr>
          <w:rtl/>
        </w:rPr>
        <w:tab/>
        <w:t xml:space="preserve">ע"פ 6532/17 </w:t>
      </w:r>
      <w:r w:rsidRPr="00F368B6">
        <w:rPr>
          <w:b/>
          <w:bCs/>
          <w:rtl/>
        </w:rPr>
        <w:t>מדינת ישראל נ' חסדי דוד לעדת הבוכרים</w:t>
      </w:r>
      <w:r w:rsidRPr="00F368B6">
        <w:rPr>
          <w:rFonts w:hint="cs"/>
          <w:rtl/>
        </w:rPr>
        <w:t xml:space="preserve"> (פורסם במאגר ממוחשב, </w:t>
      </w:r>
      <w:r w:rsidRPr="00F368B6">
        <w:rPr>
          <w:rtl/>
        </w:rPr>
        <w:t>8.4.18)</w:t>
      </w:r>
      <w:r w:rsidRPr="00F368B6">
        <w:rPr>
          <w:rFonts w:hint="cs"/>
          <w:rtl/>
        </w:rPr>
        <w:t>.</w:t>
      </w:r>
    </w:p>
  </w:footnote>
  <w:footnote w:id="3">
    <w:p w14:paraId="7E81C56A" w14:textId="77777777" w:rsidR="00F74B5E" w:rsidRPr="001C08DC" w:rsidRDefault="00F74B5E" w:rsidP="001C08DC">
      <w:pPr>
        <w:pStyle w:val="a5"/>
        <w:rPr>
          <w:rtl/>
        </w:rPr>
      </w:pPr>
      <w:r w:rsidRPr="001C08DC">
        <w:rPr>
          <w:rStyle w:val="FootnoteReference"/>
          <w:vertAlign w:val="baseline"/>
        </w:rPr>
        <w:footnoteRef/>
      </w:r>
      <w:r w:rsidRPr="001C08DC">
        <w:rPr>
          <w:rtl/>
        </w:rPr>
        <w:t xml:space="preserve"> </w:t>
      </w:r>
      <w:r w:rsidRPr="001C08DC">
        <w:rPr>
          <w:rtl/>
        </w:rPr>
        <w:tab/>
      </w:r>
      <w:r w:rsidRPr="001C08DC">
        <w:rPr>
          <w:rFonts w:hint="cs"/>
          <w:rtl/>
        </w:rPr>
        <w:t xml:space="preserve">הרשות לאיסור הלבנת הון, </w:t>
      </w:r>
      <w:r w:rsidRPr="001C08DC">
        <w:rPr>
          <w:rFonts w:hint="eastAsia"/>
          <w:b/>
          <w:bCs/>
          <w:rtl/>
        </w:rPr>
        <w:t>דוח</w:t>
      </w:r>
      <w:r w:rsidRPr="001C08DC">
        <w:rPr>
          <w:b/>
          <w:bCs/>
          <w:rtl/>
        </w:rPr>
        <w:t xml:space="preserve"> </w:t>
      </w:r>
      <w:r w:rsidRPr="001C08DC">
        <w:rPr>
          <w:rFonts w:hint="eastAsia"/>
          <w:b/>
          <w:bCs/>
          <w:rtl/>
        </w:rPr>
        <w:t>שנתי</w:t>
      </w:r>
      <w:r w:rsidRPr="001C08DC">
        <w:rPr>
          <w:b/>
          <w:bCs/>
          <w:rtl/>
        </w:rPr>
        <w:t xml:space="preserve"> 2018</w:t>
      </w:r>
      <w:r w:rsidRPr="001C08DC">
        <w:rPr>
          <w:rFonts w:hint="cs"/>
          <w:rtl/>
        </w:rPr>
        <w:t>, עמ' 2.</w:t>
      </w:r>
    </w:p>
  </w:footnote>
  <w:footnote w:id="4">
    <w:p w14:paraId="537F72CF" w14:textId="77777777" w:rsidR="00F74B5E" w:rsidRPr="001C08DC" w:rsidRDefault="00F74B5E" w:rsidP="001C08DC">
      <w:pPr>
        <w:pStyle w:val="a5"/>
        <w:rPr>
          <w:rtl/>
        </w:rPr>
      </w:pPr>
      <w:r w:rsidRPr="001C08DC">
        <w:rPr>
          <w:rStyle w:val="FootnoteReference"/>
          <w:vertAlign w:val="baseline"/>
        </w:rPr>
        <w:footnoteRef/>
      </w:r>
      <w:r w:rsidRPr="001C08DC">
        <w:rPr>
          <w:rtl/>
        </w:rPr>
        <w:t xml:space="preserve"> </w:t>
      </w:r>
      <w:r w:rsidRPr="001C08DC">
        <w:rPr>
          <w:rtl/>
        </w:rPr>
        <w:tab/>
      </w:r>
      <w:r w:rsidRPr="001C08DC">
        <w:rPr>
          <w:rFonts w:hint="cs"/>
          <w:rtl/>
        </w:rPr>
        <w:t xml:space="preserve">נתוני </w:t>
      </w:r>
      <w:r w:rsidRPr="001C08DC">
        <w:t>Basel AML Index</w:t>
      </w:r>
      <w:r w:rsidRPr="001C08DC">
        <w:rPr>
          <w:rFonts w:hint="cs"/>
          <w:rtl/>
        </w:rPr>
        <w:t xml:space="preserve"> מאוגוסט 2017. מכון באזל לממשל הוא ארגון עצמאי ללא מטרת רווח העוסק במניעת שחיתות בממשל הציבורי, ציות בממשל התאגידי, מניעת הלבנת הון, אכיפה פלילית והשבת נכסים. האינדקס מתפרסם משנת 2012 וכולל מדרג שנתי של מדינות לפי רמת הסיכון להלבנת הון ומימון טרור.</w:t>
      </w:r>
    </w:p>
  </w:footnote>
  <w:footnote w:id="5">
    <w:p w14:paraId="5B64606A" w14:textId="77777777" w:rsidR="00F74B5E" w:rsidRPr="001C08DC" w:rsidRDefault="00F74B5E" w:rsidP="001C08DC">
      <w:pPr>
        <w:pStyle w:val="a5"/>
      </w:pPr>
      <w:r w:rsidRPr="001C08DC">
        <w:footnoteRef/>
      </w:r>
      <w:r w:rsidRPr="001C08DC">
        <w:rPr>
          <w:rtl/>
        </w:rPr>
        <w:t xml:space="preserve"> </w:t>
      </w:r>
      <w:r w:rsidRPr="001C08DC">
        <w:rPr>
          <w:rtl/>
        </w:rPr>
        <w:tab/>
        <w:t>נוסח פומבי של הערכת הסיכונים הלאומית</w:t>
      </w:r>
      <w:r w:rsidRPr="001C08DC">
        <w:rPr>
          <w:rFonts w:hint="cs"/>
          <w:rtl/>
        </w:rPr>
        <w:t xml:space="preserve">, </w:t>
      </w:r>
      <w:r w:rsidRPr="001C08DC">
        <w:rPr>
          <w:rtl/>
        </w:rPr>
        <w:t>2017</w:t>
      </w:r>
      <w:r w:rsidRPr="001C08DC">
        <w:rPr>
          <w:rFonts w:hint="cs"/>
          <w:rtl/>
        </w:rPr>
        <w:t>, עמ' 7</w:t>
      </w:r>
      <w:r w:rsidRPr="001C08DC">
        <w:rPr>
          <w:rtl/>
        </w:rPr>
        <w:t>.</w:t>
      </w:r>
    </w:p>
  </w:footnote>
  <w:footnote w:id="6">
    <w:p w14:paraId="34D3ADF5" w14:textId="77777777" w:rsidR="00F74B5E" w:rsidRPr="001C08DC" w:rsidRDefault="00F74B5E" w:rsidP="001C08DC">
      <w:pPr>
        <w:pStyle w:val="a5"/>
      </w:pPr>
      <w:r w:rsidRPr="001C08DC">
        <w:footnoteRef/>
      </w:r>
      <w:r w:rsidRPr="001C08DC">
        <w:rPr>
          <w:rtl/>
        </w:rPr>
        <w:t xml:space="preserve"> </w:t>
      </w:r>
      <w:r w:rsidRPr="001C08DC">
        <w:rPr>
          <w:rtl/>
        </w:rPr>
        <w:tab/>
        <w:t xml:space="preserve">ע"א 6212/14 </w:t>
      </w:r>
      <w:r w:rsidRPr="001C08DC">
        <w:rPr>
          <w:b/>
          <w:bCs/>
          <w:rtl/>
        </w:rPr>
        <w:t>מדינת ישראל נ' ג'סארי</w:t>
      </w:r>
      <w:r w:rsidRPr="001C08DC">
        <w:rPr>
          <w:rtl/>
        </w:rPr>
        <w:t xml:space="preserve"> (</w:t>
      </w:r>
      <w:r w:rsidRPr="001C08DC">
        <w:rPr>
          <w:rFonts w:hint="cs"/>
          <w:rtl/>
        </w:rPr>
        <w:t>פורסם במאגר ממוחשב, 8.1.16).</w:t>
      </w:r>
    </w:p>
  </w:footnote>
  <w:footnote w:id="7">
    <w:p w14:paraId="37C5559D" w14:textId="77777777" w:rsidR="00F74B5E" w:rsidRPr="001C08DC" w:rsidRDefault="00F74B5E" w:rsidP="001C08DC">
      <w:pPr>
        <w:pStyle w:val="a5"/>
        <w:rPr>
          <w:rtl/>
        </w:rPr>
      </w:pPr>
      <w:r w:rsidRPr="001C08DC">
        <w:rPr>
          <w:rStyle w:val="FootnoteReference"/>
          <w:vertAlign w:val="baseline"/>
        </w:rPr>
        <w:footnoteRef/>
      </w:r>
      <w:r w:rsidRPr="001C08DC">
        <w:rPr>
          <w:rtl/>
        </w:rPr>
        <w:t xml:space="preserve"> </w:t>
      </w:r>
      <w:r w:rsidRPr="001C08DC">
        <w:rPr>
          <w:rtl/>
        </w:rPr>
        <w:tab/>
      </w:r>
      <w:r w:rsidRPr="001C08DC">
        <w:rPr>
          <w:rFonts w:hint="cs"/>
          <w:rtl/>
        </w:rPr>
        <w:t xml:space="preserve">ב-11.7.18 פורסמה ברשומות (ה"ח 1245, 1126) הצעת חוק סדר הדין הפלילי (חילוט תקבולי עבירה), התשע"ח-2018, במטרה ליצור הסדר אחיד בכל הנוגע לחילוט של תקבולי עבירה (רכוש שהתקבל כשכר עבירה, שהושג כתוצאה מביצוע עבירה וכן גלגולו של רכוש כאמור). ההסדר המוצע הוא קשיח ורחב יותר מההסדרים הקיימים היום לעניין חילוט אמצעי עבירה וזאת מאחר שההצדקה לפגיעה קניינית היא חזקה יותר כאשר מדובר בחילוט של תקבולי עבירה, שכן אין אפשרות לרכוש זכות לגיטימית ברכוש שהוא תקבולי עבירה. </w:t>
      </w:r>
    </w:p>
  </w:footnote>
  <w:footnote w:id="8">
    <w:p w14:paraId="2872380F" w14:textId="77777777" w:rsidR="00F74B5E" w:rsidRPr="001C08DC" w:rsidRDefault="00F74B5E" w:rsidP="001C08DC">
      <w:pPr>
        <w:pStyle w:val="a5"/>
      </w:pPr>
      <w:r w:rsidRPr="001C08DC">
        <w:footnoteRef/>
      </w:r>
      <w:r w:rsidRPr="001C08DC">
        <w:rPr>
          <w:rtl/>
        </w:rPr>
        <w:t xml:space="preserve"> </w:t>
      </w:r>
      <w:r w:rsidRPr="001C08DC">
        <w:rPr>
          <w:rtl/>
        </w:rPr>
        <w:tab/>
      </w:r>
      <w:r w:rsidRPr="001C08DC">
        <w:rPr>
          <w:rFonts w:hint="cs"/>
          <w:rtl/>
        </w:rPr>
        <w:t xml:space="preserve">ע"פ </w:t>
      </w:r>
      <w:r w:rsidRPr="001C08DC">
        <w:rPr>
          <w:rtl/>
        </w:rPr>
        <w:t xml:space="preserve">7475/95 </w:t>
      </w:r>
      <w:r w:rsidRPr="001C08DC">
        <w:rPr>
          <w:b/>
          <w:bCs/>
          <w:rtl/>
        </w:rPr>
        <w:t>מדינת ישראל נ' בן שטרית</w:t>
      </w:r>
      <w:r w:rsidRPr="001C08DC">
        <w:rPr>
          <w:rFonts w:hint="cs"/>
          <w:rtl/>
        </w:rPr>
        <w:t xml:space="preserve"> (פורסם במאגר ממוחשב, 18.5.98).</w:t>
      </w:r>
    </w:p>
  </w:footnote>
  <w:footnote w:id="9">
    <w:p w14:paraId="40DD70FD" w14:textId="77777777" w:rsidR="00F74B5E" w:rsidRPr="001C08DC" w:rsidRDefault="00F74B5E" w:rsidP="001C08DC">
      <w:pPr>
        <w:pStyle w:val="a5"/>
      </w:pPr>
      <w:r w:rsidRPr="001C08DC">
        <w:rPr>
          <w:rStyle w:val="FootnoteReference"/>
          <w:vertAlign w:val="baseline"/>
        </w:rPr>
        <w:footnoteRef/>
      </w:r>
      <w:r w:rsidRPr="001C08DC">
        <w:rPr>
          <w:rtl/>
        </w:rPr>
        <w:t xml:space="preserve"> </w:t>
      </w:r>
      <w:r w:rsidRPr="001C08DC">
        <w:rPr>
          <w:rtl/>
        </w:rPr>
        <w:tab/>
      </w:r>
      <w:r w:rsidRPr="001C08DC">
        <w:rPr>
          <w:rFonts w:hint="cs"/>
          <w:rtl/>
        </w:rPr>
        <w:t xml:space="preserve">ע"פ 6339/18 </w:t>
      </w:r>
      <w:r w:rsidRPr="001C08DC">
        <w:rPr>
          <w:rFonts w:hint="cs"/>
          <w:b/>
          <w:bCs/>
          <w:rtl/>
        </w:rPr>
        <w:t>בלווא נ' מדינת ישראל</w:t>
      </w:r>
      <w:r w:rsidRPr="001C08DC">
        <w:rPr>
          <w:rFonts w:hint="cs"/>
          <w:rtl/>
        </w:rPr>
        <w:t xml:space="preserve"> </w:t>
      </w:r>
      <w:r w:rsidRPr="001C08DC">
        <w:rPr>
          <w:rtl/>
        </w:rPr>
        <w:t>(</w:t>
      </w:r>
      <w:r w:rsidRPr="001C08DC">
        <w:rPr>
          <w:rFonts w:hint="cs"/>
          <w:rtl/>
        </w:rPr>
        <w:t>פורסם במאגר ממוחשב, 15.1.20).</w:t>
      </w:r>
    </w:p>
  </w:footnote>
  <w:footnote w:id="10">
    <w:p w14:paraId="0A447613" w14:textId="77777777" w:rsidR="00F74B5E" w:rsidRPr="001C08DC" w:rsidRDefault="00F74B5E" w:rsidP="001C08DC">
      <w:pPr>
        <w:pStyle w:val="a5"/>
        <w:rPr>
          <w:rtl/>
        </w:rPr>
      </w:pPr>
      <w:r w:rsidRPr="001C08DC">
        <w:rPr>
          <w:rStyle w:val="FootnoteReference"/>
          <w:vertAlign w:val="baseline"/>
        </w:rPr>
        <w:footnoteRef/>
      </w:r>
      <w:r w:rsidRPr="001C08DC">
        <w:rPr>
          <w:rtl/>
        </w:rPr>
        <w:t xml:space="preserve"> </w:t>
      </w:r>
      <w:r w:rsidRPr="001C08DC">
        <w:rPr>
          <w:rtl/>
        </w:rPr>
        <w:tab/>
      </w:r>
      <w:r w:rsidRPr="001C08DC">
        <w:rPr>
          <w:rFonts w:hint="cs"/>
          <w:rtl/>
        </w:rPr>
        <w:t xml:space="preserve">חקירה </w:t>
      </w:r>
      <w:r w:rsidRPr="001C08DC">
        <w:rPr>
          <w:rtl/>
        </w:rPr>
        <w:t>סמויה</w:t>
      </w:r>
      <w:r w:rsidRPr="001C08DC">
        <w:rPr>
          <w:rFonts w:hint="cs"/>
          <w:rtl/>
        </w:rPr>
        <w:t xml:space="preserve"> </w:t>
      </w:r>
      <w:r w:rsidRPr="001C08DC">
        <w:rPr>
          <w:rtl/>
        </w:rPr>
        <w:t>תחילתה במידע מודיעיני חסוי</w:t>
      </w:r>
      <w:r w:rsidRPr="001C08DC">
        <w:rPr>
          <w:rFonts w:hint="cs"/>
          <w:rtl/>
        </w:rPr>
        <w:t>,</w:t>
      </w:r>
      <w:r w:rsidRPr="001C08DC">
        <w:rPr>
          <w:rtl/>
        </w:rPr>
        <w:t xml:space="preserve"> ומטרתה איתור עבירות בטרם </w:t>
      </w:r>
      <w:r w:rsidRPr="001C08DC">
        <w:rPr>
          <w:rFonts w:hint="cs"/>
          <w:rtl/>
        </w:rPr>
        <w:t xml:space="preserve">ביצוען </w:t>
      </w:r>
      <w:r w:rsidRPr="001C08DC">
        <w:rPr>
          <w:rtl/>
        </w:rPr>
        <w:t>או במהל</w:t>
      </w:r>
      <w:r w:rsidRPr="001C08DC">
        <w:rPr>
          <w:rFonts w:hint="cs"/>
          <w:rtl/>
        </w:rPr>
        <w:t>כו</w:t>
      </w:r>
      <w:r w:rsidRPr="001C08DC">
        <w:rPr>
          <w:rtl/>
        </w:rPr>
        <w:t xml:space="preserve">, על ידי איסוף ועיבוד </w:t>
      </w:r>
      <w:r w:rsidRPr="001C08DC">
        <w:rPr>
          <w:rFonts w:hint="cs"/>
          <w:rtl/>
        </w:rPr>
        <w:t xml:space="preserve">של </w:t>
      </w:r>
      <w:r w:rsidRPr="001C08DC">
        <w:rPr>
          <w:rtl/>
        </w:rPr>
        <w:t>מידע מודיעיני וראייתי</w:t>
      </w:r>
      <w:r w:rsidRPr="001C08DC">
        <w:rPr>
          <w:rFonts w:hint="cs"/>
          <w:rtl/>
        </w:rPr>
        <w:t xml:space="preserve">. החקירה הופכת לחקירה גלויה עם היוודע דבר קיומה לחשוד. </w:t>
      </w:r>
    </w:p>
  </w:footnote>
  <w:footnote w:id="11">
    <w:p w14:paraId="7F727A69" w14:textId="77777777" w:rsidR="00F74B5E" w:rsidRPr="001C08DC" w:rsidRDefault="00F74B5E" w:rsidP="001C08DC">
      <w:pPr>
        <w:pStyle w:val="a5"/>
        <w:rPr>
          <w:rtl/>
        </w:rPr>
      </w:pPr>
      <w:r w:rsidRPr="001C08DC">
        <w:rPr>
          <w:rStyle w:val="FootnoteReference"/>
          <w:vertAlign w:val="baseline"/>
        </w:rPr>
        <w:footnoteRef/>
      </w:r>
      <w:r w:rsidRPr="001C08DC">
        <w:rPr>
          <w:rtl/>
        </w:rPr>
        <w:t xml:space="preserve"> </w:t>
      </w:r>
      <w:r w:rsidRPr="001C08DC">
        <w:rPr>
          <w:rtl/>
        </w:rPr>
        <w:tab/>
      </w:r>
      <w:r w:rsidRPr="001C08DC">
        <w:rPr>
          <w:rFonts w:hint="cs"/>
          <w:rtl/>
        </w:rPr>
        <w:t>קרן איסור הלבנת הון, קרן חילוט סמים וקרן סחר בבני אדם.</w:t>
      </w:r>
    </w:p>
  </w:footnote>
  <w:footnote w:id="12">
    <w:p w14:paraId="65CF013B" w14:textId="77777777" w:rsidR="00F74B5E" w:rsidRPr="001C08DC" w:rsidRDefault="00F74B5E" w:rsidP="001C08DC">
      <w:pPr>
        <w:pStyle w:val="a5"/>
        <w:rPr>
          <w:rtl/>
        </w:rPr>
      </w:pPr>
      <w:r w:rsidRPr="001C08DC">
        <w:rPr>
          <w:rStyle w:val="FootnoteReference"/>
          <w:vertAlign w:val="baseline"/>
        </w:rPr>
        <w:footnoteRef/>
      </w:r>
      <w:r w:rsidRPr="001C08DC">
        <w:rPr>
          <w:rtl/>
        </w:rPr>
        <w:t xml:space="preserve"> </w:t>
      </w:r>
      <w:r w:rsidRPr="001C08DC">
        <w:rPr>
          <w:rtl/>
        </w:rPr>
        <w:tab/>
        <w:t>בש"פ 1359/17 </w:t>
      </w:r>
      <w:r w:rsidRPr="001C08DC">
        <w:rPr>
          <w:b/>
          <w:bCs/>
          <w:rtl/>
        </w:rPr>
        <w:t>מדינת ישראל נ' ברוך</w:t>
      </w:r>
      <w:r w:rsidRPr="001C08DC">
        <w:rPr>
          <w:rFonts w:hint="cs"/>
          <w:rtl/>
        </w:rPr>
        <w:t xml:space="preserve"> (</w:t>
      </w:r>
      <w:r w:rsidRPr="001C08DC">
        <w:rPr>
          <w:rtl/>
        </w:rPr>
        <w:t>פורסם ב</w:t>
      </w:r>
      <w:r w:rsidRPr="001C08DC">
        <w:rPr>
          <w:rFonts w:hint="cs"/>
          <w:rtl/>
        </w:rPr>
        <w:t xml:space="preserve">מאגר ממוחשב, 15.3.17). </w:t>
      </w:r>
    </w:p>
  </w:footnote>
  <w:footnote w:id="13">
    <w:p w14:paraId="516F34A3" w14:textId="77777777" w:rsidR="00F74B5E" w:rsidRPr="001C08DC" w:rsidRDefault="00F74B5E" w:rsidP="001C08DC">
      <w:pPr>
        <w:pStyle w:val="a5"/>
      </w:pPr>
      <w:r w:rsidRPr="001C08DC">
        <w:rPr>
          <w:rStyle w:val="FootnoteReference"/>
          <w:vertAlign w:val="baseline"/>
        </w:rPr>
        <w:footnoteRef/>
      </w:r>
      <w:r w:rsidRPr="001C08DC">
        <w:rPr>
          <w:rtl/>
        </w:rPr>
        <w:t xml:space="preserve"> </w:t>
      </w:r>
      <w:r w:rsidRPr="001C08DC">
        <w:rPr>
          <w:rtl/>
        </w:rPr>
        <w:tab/>
      </w:r>
      <w:r w:rsidRPr="001C08DC">
        <w:rPr>
          <w:rFonts w:hint="cs"/>
          <w:rtl/>
        </w:rPr>
        <w:t>כספי האפ"כ מושקעים בשוק ההון הישראלי בהשקעה משותפת בהתאם למדיניות ולהנחיות של ועדת ההשקעות הפועלת לפי סעיף 10 לחוק האפוטרופוס הכללי, התשל"ח-1978. בוועדה שלושה חברים: נציג שר המשפטים ויו"ר הוועדה (בשנים האחרונות היה זה האפוטרופוס הכללי), נציג שר האוצר ונציג נגיד בנק ישראל. בדיוני ועדת ההשקעות משתתפים עובדי מחלקת ההשקעות באפ"כ שתפקידם לבצע את החלטות הוועדה, לדווח ולהמליץ על אפיקי ההשקעה ודרכי ניהול הקרן. עד סוף שנת 2014, כספי רכוש שחולט הושקעו בהשקעה משותפת באמצעות קרן עיזבונו</w:t>
      </w:r>
      <w:r w:rsidRPr="001C08DC">
        <w:rPr>
          <w:rFonts w:hint="eastAsia"/>
          <w:rtl/>
        </w:rPr>
        <w:t>ת</w:t>
      </w:r>
      <w:r w:rsidRPr="001C08DC">
        <w:rPr>
          <w:rFonts w:hint="cs"/>
          <w:rtl/>
        </w:rPr>
        <w:t xml:space="preserve"> לטובת המדינה. מתחילת שנת 2015, הם מושקעים בקרן ייעודית לניהול כספי רכוש שחולט, שאליה הועברו הכספים שהושקעו עד אז בקרן עיזבונו</w:t>
      </w:r>
      <w:r w:rsidRPr="001C08DC">
        <w:rPr>
          <w:rFonts w:hint="eastAsia"/>
          <w:rtl/>
        </w:rPr>
        <w:t>ת</w:t>
      </w:r>
      <w:r w:rsidRPr="001C08DC">
        <w:rPr>
          <w:rFonts w:hint="cs"/>
          <w:rtl/>
        </w:rPr>
        <w:t xml:space="preserve"> לטובת המדינה. חברת הראל ניהול תיקים זכתה במכרז לניהול השקעות של קרנות האפ"כ מאוגוסט 2017. בשנים 2015 עד 2018 הניבה הקרן הייעודית תשואה נומינלית מצטברת של 6.7%, ובשבעת החודשים הראשונים של 2019 היא הניבה תשואה של 5.3%; זאת בהשוואה למדד המחירים המצטבר בשנים 2015 עד 2018, שהיה 0.1%, ובשבעת החודשים הראשונים של 2019 - 0.6%.</w:t>
      </w:r>
    </w:p>
  </w:footnote>
  <w:footnote w:id="14">
    <w:p w14:paraId="324322E3" w14:textId="57146C4A" w:rsidR="00F74B5E" w:rsidRPr="00711570" w:rsidRDefault="00F74B5E" w:rsidP="00711570">
      <w:pPr>
        <w:pStyle w:val="a5"/>
        <w:rPr>
          <w:rtl/>
        </w:rPr>
      </w:pPr>
      <w:r w:rsidRPr="00711570">
        <w:rPr>
          <w:rStyle w:val="FootnoteReference"/>
          <w:vertAlign w:val="baseline"/>
        </w:rPr>
        <w:footnoteRef/>
      </w:r>
      <w:r w:rsidRPr="00711570">
        <w:rPr>
          <w:rtl/>
        </w:rPr>
        <w:t xml:space="preserve"> </w:t>
      </w:r>
      <w:r w:rsidRPr="00711570">
        <w:rPr>
          <w:rtl/>
        </w:rPr>
        <w:tab/>
      </w:r>
      <w:r w:rsidRPr="00711570">
        <w:rPr>
          <w:rFonts w:hint="cs"/>
          <w:rtl/>
        </w:rPr>
        <w:t xml:space="preserve">חוק איסור הלבנת הון קובע שעל רכוש שחולט לפיו יחולו הוראות סעיפים 36ג עד 36י לפקודת הסמים המסוכנים [נוסח חדש], התשל"ג-1973 (להלן - פקודת הסמים המסוכנים). סעיף 36ח(א) לפקודה קובע כי רכוש שחולט על פי החלטת בית משפט או תמורתו יועבר </w:t>
      </w:r>
      <w:r>
        <w:rPr>
          <w:rFonts w:hint="cs"/>
          <w:rtl/>
        </w:rPr>
        <w:t>לאפ"כ</w:t>
      </w:r>
      <w:r w:rsidRPr="00711570">
        <w:rPr>
          <w:rFonts w:hint="cs"/>
          <w:rtl/>
        </w:rPr>
        <w:t xml:space="preserve"> ויופקד על ידיו בקרן ייעודית. בהתאם לסעיף 36ח(ב) לפקודה וסעיף 7 לתקנות הסמים המסוכנים (דרכי הנהלת הקרן לטיפול בנכסים שחולטו), התש"ן-1990 (להלן - תקנות הסמים המסוכנים), כספי הקרן מיועדים לתשלום הוצאות הליכי חילוט של גורמי האכיפה, חלוקה לגופים העוסקים באכיפה כלכלית לפי חוק איסור הלבנת הון ומימון מאגר המידע לפי אותו חוק. </w:t>
      </w:r>
    </w:p>
  </w:footnote>
  <w:footnote w:id="15">
    <w:p w14:paraId="549E37DA" w14:textId="77777777" w:rsidR="00F74B5E" w:rsidRPr="00711570" w:rsidRDefault="00F74B5E" w:rsidP="00711570">
      <w:pPr>
        <w:pStyle w:val="a5"/>
      </w:pPr>
      <w:r w:rsidRPr="00711570">
        <w:rPr>
          <w:rStyle w:val="FootnoteReference"/>
          <w:vertAlign w:val="baseline"/>
        </w:rPr>
        <w:footnoteRef/>
      </w:r>
      <w:r w:rsidRPr="00711570">
        <w:rPr>
          <w:rtl/>
        </w:rPr>
        <w:t xml:space="preserve"> </w:t>
      </w:r>
      <w:r w:rsidRPr="00711570">
        <w:rPr>
          <w:rtl/>
        </w:rPr>
        <w:tab/>
      </w:r>
      <w:r w:rsidRPr="00711570">
        <w:rPr>
          <w:rFonts w:hint="cs"/>
          <w:rtl/>
        </w:rPr>
        <w:t xml:space="preserve">הקמת הקרן היא בהתאם להוראות סעיפים 36ג עד 36י לפקודת הסמים המסוכנים. לפי סעיף 36ח(ב) לפקודה וסעיף 7 לתקנות הסמים המסוכנים, כספי הקרן מיועדים למימון ביצוע תפקידי הרשות למאבק באלימות, בסמים ובאלכוהול לפי חוק הרשות למאבק באלימות, בסמים ובאלכוהול, התשע"ז-2017, ולחלוקה לגופים העוסקים באכיפה כלכלית לפי פקודת הסמים המסוכנים. </w:t>
      </w:r>
    </w:p>
  </w:footnote>
  <w:footnote w:id="16">
    <w:p w14:paraId="54D19AC8" w14:textId="77777777" w:rsidR="00F74B5E" w:rsidRPr="00711570" w:rsidRDefault="00F74B5E" w:rsidP="00711570">
      <w:pPr>
        <w:pStyle w:val="a5"/>
      </w:pPr>
      <w:r w:rsidRPr="00711570">
        <w:rPr>
          <w:rStyle w:val="FootnoteReference"/>
          <w:vertAlign w:val="baseline"/>
        </w:rPr>
        <w:footnoteRef/>
      </w:r>
      <w:r w:rsidRPr="00711570">
        <w:rPr>
          <w:rtl/>
        </w:rPr>
        <w:t xml:space="preserve"> </w:t>
      </w:r>
      <w:r w:rsidRPr="00711570">
        <w:rPr>
          <w:rtl/>
        </w:rPr>
        <w:tab/>
      </w:r>
      <w:r w:rsidRPr="00711570">
        <w:rPr>
          <w:rFonts w:hint="cs"/>
          <w:rtl/>
        </w:rPr>
        <w:t xml:space="preserve">הקרן הוקמה מכוח סעיף 377ה לחוק העונשין, התשל"ז-1977, אשר הוסף לחוק במסגרת חוק איסור סחר בבני אדם (תיקוני חקיקה), התשס"ז-2006. באותה מסגרת בוצעו תיקונים לחוקים שונים שמהותם קביעת העבירה הפלילית של סחר בבני אדם, ובראשם הוספת הסעיפים 377א-ה לחוק העונשין. </w:t>
      </w:r>
    </w:p>
  </w:footnote>
  <w:footnote w:id="17">
    <w:p w14:paraId="082BDCC7" w14:textId="77777777" w:rsidR="00F74B5E" w:rsidRPr="00711570" w:rsidRDefault="00F74B5E" w:rsidP="00711570">
      <w:pPr>
        <w:pStyle w:val="a5"/>
        <w:rPr>
          <w:rtl/>
        </w:rPr>
      </w:pPr>
      <w:r w:rsidRPr="00711570">
        <w:rPr>
          <w:rStyle w:val="FootnoteReference"/>
          <w:vertAlign w:val="baseline"/>
        </w:rPr>
        <w:footnoteRef/>
      </w:r>
      <w:r w:rsidRPr="00711570">
        <w:rPr>
          <w:rtl/>
        </w:rPr>
        <w:t xml:space="preserve"> </w:t>
      </w:r>
      <w:r w:rsidRPr="00711570">
        <w:rPr>
          <w:rtl/>
        </w:rPr>
        <w:tab/>
      </w:r>
      <w:r w:rsidRPr="00711570">
        <w:rPr>
          <w:rFonts w:hint="cs"/>
          <w:rtl/>
        </w:rPr>
        <w:t>הדוח הכספי לשנה שהסתיימה ביום 31.12.17.</w:t>
      </w:r>
    </w:p>
  </w:footnote>
  <w:footnote w:id="18">
    <w:p w14:paraId="15C163E9" w14:textId="77777777" w:rsidR="00F74B5E" w:rsidRPr="00711570" w:rsidRDefault="00F74B5E" w:rsidP="00711570">
      <w:pPr>
        <w:pStyle w:val="a5"/>
        <w:rPr>
          <w:rtl/>
        </w:rPr>
      </w:pPr>
      <w:r w:rsidRPr="00711570">
        <w:rPr>
          <w:rStyle w:val="FootnoteReference"/>
          <w:vertAlign w:val="baseline"/>
        </w:rPr>
        <w:footnoteRef/>
      </w:r>
      <w:r w:rsidRPr="00711570">
        <w:rPr>
          <w:rtl/>
        </w:rPr>
        <w:t xml:space="preserve"> </w:t>
      </w:r>
      <w:r w:rsidRPr="00711570">
        <w:rPr>
          <w:rtl/>
        </w:rPr>
        <w:tab/>
      </w:r>
      <w:r w:rsidRPr="00711570">
        <w:rPr>
          <w:rFonts w:hint="cs"/>
          <w:rtl/>
        </w:rPr>
        <w:t>האפ"כ באמצעות יחידת החילוט מקבל לידיו כנאמן לא רק כספים אלא גם רכוש שנתפס, לרבות המחאות, נכסי מקרקעין ודברי ערך, ונרשם במערכת נפרדת, ללא ערכים כספיים. רכוש זה והזכאות של הנהנים מאותם נכסים אינם מוצגים בדוחות הכספיים. כאמור, הכספים התפוסים זמנית שמופקדים בחשבון הבנק של יחידת החילוט מושקעים באמצעות רכישת יחידות השקעה שהרכבן נקבע על ידי ועדת ההשקעות של האפ"כ. אם הוחלט על ידי גופי האכיפה או בצו בית משפט על השבת כספים שהופקדו בחשבון יחידת החילוט, מוחזר ערך יחידות ההשקעה נכון ליום ההחלטה על השבת הכספים או שווי הכספים ביום התפיסה - הגבוה מבין השניים.</w:t>
      </w:r>
    </w:p>
  </w:footnote>
  <w:footnote w:id="19">
    <w:p w14:paraId="37229C2A" w14:textId="77777777" w:rsidR="00F74B5E" w:rsidRPr="00C3798B" w:rsidRDefault="00F74B5E" w:rsidP="00C3798B">
      <w:pPr>
        <w:pStyle w:val="a5"/>
      </w:pPr>
      <w:r w:rsidRPr="00C3798B">
        <w:rPr>
          <w:rStyle w:val="FootnoteReference"/>
          <w:vertAlign w:val="baseline"/>
        </w:rPr>
        <w:footnoteRef/>
      </w:r>
      <w:r w:rsidRPr="00C3798B">
        <w:rPr>
          <w:rtl/>
        </w:rPr>
        <w:t xml:space="preserve"> </w:t>
      </w:r>
      <w:r w:rsidRPr="00C3798B">
        <w:rPr>
          <w:rtl/>
        </w:rPr>
        <w:tab/>
      </w:r>
      <w:r w:rsidRPr="00C3798B">
        <w:rPr>
          <w:rFonts w:hint="cs"/>
          <w:rtl/>
        </w:rPr>
        <w:t>רכוש המחולט לטובת אוצר המדינה מכוח חוק המאבק בטרור, התשע"ו-2016, וחוק המאבק בארגוני פשיעה, התשס"ג-2003.</w:t>
      </w:r>
    </w:p>
  </w:footnote>
  <w:footnote w:id="20">
    <w:p w14:paraId="030F66F1" w14:textId="77777777" w:rsidR="00F74B5E" w:rsidRPr="003B3DFA" w:rsidRDefault="00F74B5E" w:rsidP="003B3DFA">
      <w:pPr>
        <w:pStyle w:val="a5"/>
        <w:rPr>
          <w:rtl/>
        </w:rPr>
      </w:pPr>
      <w:r w:rsidRPr="003B3DFA">
        <w:rPr>
          <w:rStyle w:val="FootnoteReference"/>
          <w:vertAlign w:val="baseline"/>
        </w:rPr>
        <w:footnoteRef/>
      </w:r>
      <w:r w:rsidRPr="003B3DFA">
        <w:rPr>
          <w:rtl/>
        </w:rPr>
        <w:t xml:space="preserve"> </w:t>
      </w:r>
      <w:r w:rsidRPr="003B3DFA">
        <w:rPr>
          <w:rtl/>
        </w:rPr>
        <w:tab/>
      </w:r>
      <w:r w:rsidRPr="003B3DFA">
        <w:rPr>
          <w:rFonts w:hint="cs"/>
          <w:rtl/>
        </w:rPr>
        <w:t>למשל, בקנדה</w:t>
      </w:r>
      <w:r w:rsidRPr="003B3DFA">
        <w:rPr>
          <w:rtl/>
        </w:rPr>
        <w:t xml:space="preserve"> חל גידול</w:t>
      </w:r>
      <w:r w:rsidRPr="003B3DFA">
        <w:rPr>
          <w:rFonts w:hint="cs"/>
          <w:rtl/>
        </w:rPr>
        <w:t xml:space="preserve"> בעשור האחרון בהיקפי התפיסה והחילוט, </w:t>
      </w:r>
      <w:r w:rsidRPr="003B3DFA">
        <w:rPr>
          <w:rtl/>
        </w:rPr>
        <w:t>מ</w:t>
      </w:r>
      <w:r w:rsidRPr="003B3DFA">
        <w:rPr>
          <w:rFonts w:hint="cs"/>
          <w:rtl/>
        </w:rPr>
        <w:t>-</w:t>
      </w:r>
      <w:r w:rsidRPr="003B3DFA">
        <w:rPr>
          <w:rtl/>
        </w:rPr>
        <w:t xml:space="preserve">59 מיליון דולר קנדי </w:t>
      </w:r>
      <w:r w:rsidRPr="003B3DFA">
        <w:rPr>
          <w:rFonts w:hint="cs"/>
          <w:rtl/>
        </w:rPr>
        <w:t xml:space="preserve">שחולטו </w:t>
      </w:r>
      <w:r w:rsidRPr="003B3DFA">
        <w:rPr>
          <w:rtl/>
        </w:rPr>
        <w:t>בשנה ל-77 מיליון</w:t>
      </w:r>
      <w:r w:rsidRPr="003B3DFA">
        <w:rPr>
          <w:rFonts w:hint="cs"/>
          <w:rtl/>
        </w:rPr>
        <w:t>. עם זאת נקבע בדוח ה-</w:t>
      </w:r>
      <w:r w:rsidRPr="003B3DFA">
        <w:t>FATF</w:t>
      </w:r>
      <w:r w:rsidRPr="003B3DFA">
        <w:rPr>
          <w:rFonts w:hint="cs"/>
          <w:rtl/>
        </w:rPr>
        <w:t xml:space="preserve"> כי היקפי החילוט בקנדה נמוכים יחסית, בשל היעדר מיקוד בתחום החילוט (</w:t>
      </w:r>
      <w:r w:rsidRPr="003B3DFA">
        <w:t>FATF</w:t>
      </w:r>
      <w:r w:rsidRPr="003B3DFA">
        <w:rPr>
          <w:rFonts w:hint="cs"/>
        </w:rPr>
        <w:t xml:space="preserve"> A</w:t>
      </w:r>
      <w:r w:rsidRPr="003B3DFA">
        <w:t xml:space="preserve">nti-money laundering and counter-terrorist financing measures, </w:t>
      </w:r>
      <w:r w:rsidRPr="003B3DFA">
        <w:rPr>
          <w:rFonts w:hint="cs"/>
        </w:rPr>
        <w:t>C</w:t>
      </w:r>
      <w:r w:rsidRPr="003B3DFA">
        <w:t>anada, Mutual Evaluation Report, September 2016, p. 56</w:t>
      </w:r>
      <w:r w:rsidRPr="003B3DFA">
        <w:rPr>
          <w:rFonts w:hint="cs"/>
          <w:rtl/>
        </w:rPr>
        <w:t xml:space="preserve">). ביחס לאוסטרליה נקבע כי אומנם חל גידול בהיקף הרכוש שחולט במדינה ברבות השנים, ואולם היקפי החילוט ממשיכים להיות נמוכים בהתחשב בגודלה ובפוטנציאל החילוט בה: </w:t>
      </w:r>
      <w:r w:rsidRPr="003B3DFA">
        <w:rPr>
          <w:rtl/>
        </w:rPr>
        <w:t>כ</w:t>
      </w:r>
      <w:r w:rsidRPr="003B3DFA">
        <w:rPr>
          <w:rFonts w:hint="cs"/>
          <w:rtl/>
        </w:rPr>
        <w:t>-</w:t>
      </w:r>
      <w:r w:rsidRPr="003B3DFA">
        <w:rPr>
          <w:rtl/>
        </w:rPr>
        <w:t xml:space="preserve">12.65 מיליון דולר אוסטרלי </w:t>
      </w:r>
      <w:r w:rsidRPr="003B3DFA">
        <w:rPr>
          <w:rFonts w:hint="cs"/>
          <w:rtl/>
        </w:rPr>
        <w:t>ב</w:t>
      </w:r>
      <w:r w:rsidRPr="003B3DFA">
        <w:rPr>
          <w:rtl/>
        </w:rPr>
        <w:t>שנים 2006</w:t>
      </w:r>
      <w:r w:rsidRPr="003B3DFA">
        <w:rPr>
          <w:rFonts w:hint="cs"/>
          <w:rtl/>
        </w:rPr>
        <w:t xml:space="preserve"> </w:t>
      </w:r>
      <w:r w:rsidRPr="003B3DFA">
        <w:rPr>
          <w:rtl/>
        </w:rPr>
        <w:t>- 2007 לעומת 65.74 מיליון שחולט</w:t>
      </w:r>
      <w:r w:rsidRPr="003B3DFA">
        <w:rPr>
          <w:rFonts w:hint="cs"/>
          <w:rtl/>
        </w:rPr>
        <w:t>ו</w:t>
      </w:r>
      <w:r w:rsidRPr="003B3DFA">
        <w:rPr>
          <w:rtl/>
        </w:rPr>
        <w:t xml:space="preserve"> בשנים 2013 </w:t>
      </w:r>
      <w:r w:rsidRPr="003B3DFA">
        <w:rPr>
          <w:rFonts w:hint="cs"/>
          <w:rtl/>
        </w:rPr>
        <w:t xml:space="preserve">- </w:t>
      </w:r>
      <w:r w:rsidRPr="003B3DFA">
        <w:rPr>
          <w:rtl/>
        </w:rPr>
        <w:t>2014</w:t>
      </w:r>
      <w:r w:rsidRPr="003B3DFA">
        <w:rPr>
          <w:rFonts w:hint="cs"/>
          <w:rtl/>
        </w:rPr>
        <w:t xml:space="preserve"> (</w:t>
      </w:r>
      <w:r w:rsidRPr="003B3DFA">
        <w:t>FATF</w:t>
      </w:r>
      <w:r w:rsidRPr="003B3DFA">
        <w:rPr>
          <w:rFonts w:hint="cs"/>
        </w:rPr>
        <w:t xml:space="preserve"> A</w:t>
      </w:r>
      <w:r w:rsidRPr="003B3DFA">
        <w:t>nti-money laundering and counter-terrorist financing measures, Australia, Mutual Evaluation Report, April 2015, p. 61</w:t>
      </w:r>
      <w:r w:rsidRPr="003B3DFA">
        <w:rPr>
          <w:rFonts w:hint="cs"/>
          <w:rtl/>
        </w:rPr>
        <w:t>). בבריטניה חל גידול בהיקפי התפיסה מ-396.9 מיליון ליש"ט בשנים 2014 - 2015 ל-382.8 מיליון בשנים 2016 - 2017. היקפי החילוט עלו ביחס לאותן השנים מ-200.85 מיליון ליש"ט ל-483.64 מיליון (</w:t>
      </w:r>
      <w:r w:rsidRPr="003B3DFA">
        <w:t>FATF</w:t>
      </w:r>
      <w:r w:rsidRPr="003B3DFA">
        <w:rPr>
          <w:rFonts w:hint="cs"/>
        </w:rPr>
        <w:t xml:space="preserve"> A</w:t>
      </w:r>
      <w:r w:rsidRPr="003B3DFA">
        <w:t>nti-money laundering and counter-terrorist financing measures, United Kingdom, Mutual Evaluation Report, December 2018, p. 78-79</w:t>
      </w:r>
      <w:r w:rsidRPr="003B3DFA">
        <w:rPr>
          <w:rFonts w:hint="cs"/>
          <w:rtl/>
        </w:rPr>
        <w:t>).</w:t>
      </w:r>
    </w:p>
  </w:footnote>
  <w:footnote w:id="21">
    <w:p w14:paraId="620BB26D" w14:textId="77777777" w:rsidR="00F74B5E" w:rsidRDefault="00F74B5E" w:rsidP="00962B2C">
      <w:pPr>
        <w:pStyle w:val="a5"/>
        <w:rPr>
          <w:rtl/>
        </w:rPr>
      </w:pPr>
      <w:r w:rsidRPr="003B3DFA">
        <w:rPr>
          <w:rStyle w:val="FootnoteReference"/>
          <w:vertAlign w:val="baseline"/>
        </w:rPr>
        <w:footnoteRef/>
      </w:r>
      <w:r w:rsidRPr="003B3DFA">
        <w:rPr>
          <w:rtl/>
        </w:rPr>
        <w:t xml:space="preserve"> </w:t>
      </w:r>
      <w:r w:rsidRPr="003B3DFA">
        <w:rPr>
          <w:rtl/>
        </w:rPr>
        <w:tab/>
      </w:r>
      <w:r w:rsidRPr="003B3DFA">
        <w:rPr>
          <w:rFonts w:hint="cs"/>
          <w:rtl/>
        </w:rPr>
        <w:t>מנתונים שהתקבלו מהמשנה לפרקליט המדינה (לאכיפה כלכלית) דאז, ישראל וארצות הברית הן שתי המדינות היחידות שבהן חולטו 0.2% מהתל"ג.</w:t>
      </w:r>
    </w:p>
    <w:p w14:paraId="00ECD045" w14:textId="263533A9" w:rsidR="00F74B5E" w:rsidRPr="003B3DFA" w:rsidRDefault="00F74B5E" w:rsidP="00962B2C">
      <w:pPr>
        <w:pStyle w:val="a5"/>
        <w:ind w:firstLine="0"/>
        <w:rPr>
          <w:rtl/>
        </w:rPr>
      </w:pPr>
      <w:r w:rsidRPr="003B3DFA">
        <w:t>FATF</w:t>
      </w:r>
      <w:r w:rsidRPr="003B3DFA">
        <w:rPr>
          <w:rFonts w:hint="cs"/>
        </w:rPr>
        <w:t xml:space="preserve"> A</w:t>
      </w:r>
      <w:r w:rsidRPr="003B3DFA">
        <w:t>nti-money laundering and counter-terrorist financing measures, United States, Mutual Evaluation Report, December 2016, p. 75</w:t>
      </w:r>
      <w:r w:rsidRPr="003B3DFA">
        <w:rPr>
          <w:rFonts w:hint="cs"/>
          <w:rtl/>
        </w:rPr>
        <w:t>. בשנת 2014 חולטו 4.416 מיליארד דולר אמריקאי. שירות המארשלים של ארצות הברית (</w:t>
      </w:r>
      <w:r w:rsidRPr="003B3DFA">
        <w:rPr>
          <w:rFonts w:hint="cs"/>
        </w:rPr>
        <w:t>T</w:t>
      </w:r>
      <w:r w:rsidRPr="003B3DFA">
        <w:t>he United States Marshals Service</w:t>
      </w:r>
      <w:r w:rsidRPr="003B3DFA">
        <w:rPr>
          <w:rFonts w:hint="cs"/>
          <w:rtl/>
        </w:rPr>
        <w:t xml:space="preserve">) אחראי לניהולו וחלוקתו של רכוש בהיקף של כ-2.4 מיליארד דולר אמריקאי, נכון לפברואר 2019. מדובר בכספי חילוט שנועדו לפצות קורבנות עבירה ולהקצות תקציבים לגופי האכיפה. </w:t>
      </w:r>
    </w:p>
  </w:footnote>
  <w:footnote w:id="22">
    <w:p w14:paraId="17FE9AB2" w14:textId="61C8C065" w:rsidR="00F74B5E" w:rsidRPr="003B3DFA" w:rsidRDefault="00F74B5E" w:rsidP="003B3DFA">
      <w:pPr>
        <w:pStyle w:val="a5"/>
        <w:rPr>
          <w:rtl/>
        </w:rPr>
      </w:pPr>
      <w:r w:rsidRPr="003B3DFA">
        <w:rPr>
          <w:rStyle w:val="FootnoteReference"/>
          <w:vertAlign w:val="baseline"/>
        </w:rPr>
        <w:footnoteRef/>
      </w:r>
      <w:r w:rsidRPr="003B3DFA">
        <w:rPr>
          <w:rtl/>
        </w:rPr>
        <w:t xml:space="preserve"> </w:t>
      </w:r>
      <w:r w:rsidRPr="003B3DFA">
        <w:rPr>
          <w:rtl/>
        </w:rPr>
        <w:tab/>
      </w:r>
      <w:r w:rsidRPr="003B3DFA">
        <w:rPr>
          <w:rFonts w:hint="cs"/>
          <w:rtl/>
        </w:rPr>
        <w:t xml:space="preserve">מבקר המדינה, </w:t>
      </w:r>
      <w:r w:rsidRPr="003B3DFA">
        <w:rPr>
          <w:rFonts w:hint="cs"/>
          <w:b/>
          <w:bCs/>
          <w:rtl/>
        </w:rPr>
        <w:t>דוח שנתי 66ג</w:t>
      </w:r>
      <w:r w:rsidRPr="003B3DFA">
        <w:rPr>
          <w:rFonts w:hint="cs"/>
          <w:rtl/>
        </w:rPr>
        <w:t xml:space="preserve"> (2016), "המאבק הכלכלי בפשיעה החמורה ובפשיעה המאורגנת", עמ' </w:t>
      </w:r>
      <w:r>
        <w:rPr>
          <w:rFonts w:hint="cs"/>
          <w:rtl/>
        </w:rPr>
        <w:t>57</w:t>
      </w:r>
      <w:r w:rsidRPr="003B3DFA">
        <w:rPr>
          <w:rFonts w:hint="cs"/>
          <w:rtl/>
        </w:rPr>
        <w:t>.</w:t>
      </w:r>
    </w:p>
  </w:footnote>
  <w:footnote w:id="23">
    <w:p w14:paraId="1D816EE9" w14:textId="77777777" w:rsidR="00F74B5E" w:rsidRPr="003B3DFA" w:rsidRDefault="00F74B5E" w:rsidP="003B3DFA">
      <w:pPr>
        <w:pStyle w:val="a5"/>
      </w:pPr>
      <w:r w:rsidRPr="003B3DFA">
        <w:rPr>
          <w:rStyle w:val="FootnoteReference"/>
          <w:vertAlign w:val="baseline"/>
        </w:rPr>
        <w:footnoteRef/>
      </w:r>
      <w:r w:rsidRPr="003B3DFA">
        <w:rPr>
          <w:rtl/>
        </w:rPr>
        <w:t xml:space="preserve"> </w:t>
      </w:r>
      <w:r w:rsidRPr="003B3DFA">
        <w:rPr>
          <w:rtl/>
        </w:rPr>
        <w:tab/>
      </w:r>
      <w:r w:rsidRPr="003B3DFA">
        <w:rPr>
          <w:rFonts w:hint="cs"/>
          <w:rtl/>
        </w:rPr>
        <w:t xml:space="preserve">החלטת הממשלה 4618, "המאבק בפשיעה החמורה ובפשיעה המאורגנת ובתוצריהן" (1.1.06). </w:t>
      </w:r>
    </w:p>
  </w:footnote>
  <w:footnote w:id="24">
    <w:p w14:paraId="0988959B" w14:textId="77777777" w:rsidR="00F74B5E" w:rsidRPr="003B3DFA" w:rsidRDefault="00F74B5E" w:rsidP="003B3DFA">
      <w:pPr>
        <w:pStyle w:val="a5"/>
      </w:pPr>
      <w:r w:rsidRPr="003B3DFA">
        <w:rPr>
          <w:rStyle w:val="FootnoteReference"/>
          <w:vertAlign w:val="baseline"/>
        </w:rPr>
        <w:footnoteRef/>
      </w:r>
      <w:r w:rsidRPr="003B3DFA">
        <w:rPr>
          <w:rtl/>
        </w:rPr>
        <w:t xml:space="preserve"> </w:t>
      </w:r>
      <w:r w:rsidRPr="003B3DFA">
        <w:rPr>
          <w:rtl/>
        </w:rPr>
        <w:tab/>
      </w:r>
      <w:r w:rsidRPr="003B3DFA">
        <w:rPr>
          <w:rFonts w:hint="cs"/>
          <w:rtl/>
        </w:rPr>
        <w:t>חברי צוות-העל הם פרקליט המדינה, המפקח הכללי של המשטרה, מנהל רשות המיסים ויו"ר רשות ניירות ערך.</w:t>
      </w:r>
    </w:p>
  </w:footnote>
  <w:footnote w:id="25">
    <w:p w14:paraId="57E00066" w14:textId="77777777" w:rsidR="00F74B5E" w:rsidRPr="00D8785B" w:rsidRDefault="00F74B5E" w:rsidP="00D8785B">
      <w:pPr>
        <w:pStyle w:val="a5"/>
        <w:rPr>
          <w:rtl/>
        </w:rPr>
      </w:pPr>
      <w:r w:rsidRPr="00D8785B">
        <w:rPr>
          <w:rStyle w:val="FootnoteReference"/>
          <w:vertAlign w:val="baseline"/>
        </w:rPr>
        <w:footnoteRef/>
      </w:r>
      <w:r w:rsidRPr="00D8785B">
        <w:rPr>
          <w:rtl/>
        </w:rPr>
        <w:t xml:space="preserve"> </w:t>
      </w:r>
      <w:r w:rsidRPr="00D8785B">
        <w:rPr>
          <w:rtl/>
        </w:rPr>
        <w:tab/>
      </w:r>
      <w:r w:rsidRPr="00D8785B">
        <w:rPr>
          <w:rFonts w:hint="cs"/>
          <w:rtl/>
        </w:rPr>
        <w:t xml:space="preserve">מבקר המדינה, </w:t>
      </w:r>
      <w:r w:rsidRPr="00D8785B">
        <w:rPr>
          <w:rFonts w:hint="cs"/>
          <w:b/>
          <w:bCs/>
          <w:rtl/>
        </w:rPr>
        <w:t>דוח שנתי 66ג</w:t>
      </w:r>
      <w:r w:rsidRPr="00D8785B">
        <w:rPr>
          <w:rFonts w:hint="cs"/>
          <w:rtl/>
        </w:rPr>
        <w:t xml:space="preserve"> (2016), "המאבק בפשיעה החמורה ובפשיעה המאורגנת", עמ' 57.</w:t>
      </w:r>
    </w:p>
  </w:footnote>
  <w:footnote w:id="26">
    <w:p w14:paraId="477C1F86" w14:textId="77777777" w:rsidR="00F74B5E" w:rsidRPr="005A0714" w:rsidRDefault="00F74B5E" w:rsidP="005A0714">
      <w:pPr>
        <w:pStyle w:val="a5"/>
      </w:pPr>
      <w:r w:rsidRPr="005A0714">
        <w:rPr>
          <w:rStyle w:val="FootnoteReference"/>
          <w:vertAlign w:val="baseline"/>
        </w:rPr>
        <w:footnoteRef/>
      </w:r>
      <w:r w:rsidRPr="005A0714">
        <w:rPr>
          <w:rtl/>
        </w:rPr>
        <w:t xml:space="preserve"> </w:t>
      </w:r>
      <w:r w:rsidRPr="005A0714">
        <w:rPr>
          <w:rtl/>
        </w:rPr>
        <w:tab/>
        <w:t xml:space="preserve">ובכלל זה </w:t>
      </w:r>
      <w:r w:rsidRPr="005A0714">
        <w:rPr>
          <w:rFonts w:hint="cs"/>
          <w:rtl/>
        </w:rPr>
        <w:t>ה</w:t>
      </w:r>
      <w:r w:rsidRPr="005A0714">
        <w:rPr>
          <w:rtl/>
        </w:rPr>
        <w:t>משטר</w:t>
      </w:r>
      <w:r w:rsidRPr="005A0714">
        <w:rPr>
          <w:rFonts w:hint="cs"/>
          <w:rtl/>
        </w:rPr>
        <w:t>ה</w:t>
      </w:r>
      <w:r w:rsidRPr="005A0714">
        <w:rPr>
          <w:rtl/>
        </w:rPr>
        <w:t xml:space="preserve">, </w:t>
      </w:r>
      <w:r w:rsidRPr="005A0714">
        <w:rPr>
          <w:rFonts w:hint="cs"/>
          <w:rtl/>
        </w:rPr>
        <w:t>ה</w:t>
      </w:r>
      <w:r w:rsidRPr="005A0714">
        <w:rPr>
          <w:rtl/>
        </w:rPr>
        <w:t>פרקליטות</w:t>
      </w:r>
      <w:r w:rsidRPr="005A0714">
        <w:rPr>
          <w:rFonts w:hint="cs"/>
          <w:rtl/>
        </w:rPr>
        <w:t>,</w:t>
      </w:r>
      <w:r w:rsidRPr="005A0714">
        <w:rPr>
          <w:rtl/>
        </w:rPr>
        <w:t xml:space="preserve"> רשות המיסים, רשות ניירות ערך, </w:t>
      </w:r>
      <w:r w:rsidRPr="005A0714">
        <w:rPr>
          <w:rFonts w:hint="cs"/>
          <w:rtl/>
        </w:rPr>
        <w:t>האפ"כ, רשלא"ה</w:t>
      </w:r>
      <w:r w:rsidRPr="005A0714">
        <w:rPr>
          <w:rtl/>
        </w:rPr>
        <w:t xml:space="preserve"> ועוד</w:t>
      </w:r>
      <w:r w:rsidRPr="005A0714">
        <w:rPr>
          <w:rFonts w:hint="cs"/>
          <w:rtl/>
        </w:rPr>
        <w:t>.</w:t>
      </w:r>
    </w:p>
  </w:footnote>
  <w:footnote w:id="27">
    <w:p w14:paraId="7FD222AE" w14:textId="77777777" w:rsidR="00F74B5E" w:rsidRPr="002E5C08" w:rsidRDefault="00F74B5E" w:rsidP="002E5C08">
      <w:pPr>
        <w:pStyle w:val="a5"/>
        <w:rPr>
          <w:rtl/>
        </w:rPr>
      </w:pPr>
      <w:r w:rsidRPr="002E5C08">
        <w:rPr>
          <w:rStyle w:val="FootnoteReference"/>
          <w:vertAlign w:val="baseline"/>
        </w:rPr>
        <w:footnoteRef/>
      </w:r>
      <w:r w:rsidRPr="002E5C08">
        <w:rPr>
          <w:rtl/>
        </w:rPr>
        <w:t xml:space="preserve"> </w:t>
      </w:r>
      <w:r w:rsidRPr="002E5C08">
        <w:rPr>
          <w:rtl/>
        </w:rPr>
        <w:tab/>
      </w:r>
      <w:r w:rsidRPr="002E5C08">
        <w:rPr>
          <w:rFonts w:hint="cs"/>
          <w:rtl/>
        </w:rPr>
        <w:t xml:space="preserve">שלב </w:t>
      </w:r>
      <w:r w:rsidRPr="002E5C08">
        <w:rPr>
          <w:rtl/>
        </w:rPr>
        <w:t>התפיסה הזמנית</w:t>
      </w:r>
      <w:r w:rsidRPr="002E5C08">
        <w:rPr>
          <w:rFonts w:hint="cs"/>
          <w:rtl/>
        </w:rPr>
        <w:t>, כאמור</w:t>
      </w:r>
      <w:r w:rsidRPr="002E5C08">
        <w:rPr>
          <w:rtl/>
        </w:rPr>
        <w:t xml:space="preserve"> הוא השלב </w:t>
      </w:r>
      <w:r w:rsidRPr="002E5C08">
        <w:rPr>
          <w:rFonts w:hint="cs"/>
          <w:rtl/>
        </w:rPr>
        <w:t>ש</w:t>
      </w:r>
      <w:r w:rsidRPr="002E5C08">
        <w:rPr>
          <w:rtl/>
        </w:rPr>
        <w:t>בו נתפס רכוש (</w:t>
      </w:r>
      <w:r w:rsidRPr="002E5C08">
        <w:rPr>
          <w:rFonts w:hint="cs"/>
          <w:rtl/>
        </w:rPr>
        <w:t>לרבות</w:t>
      </w:r>
      <w:r w:rsidRPr="002E5C08">
        <w:rPr>
          <w:rtl/>
        </w:rPr>
        <w:t xml:space="preserve"> מזומנים, חשבונות בנק, ניירות ערך, נדל"ן, מלאי עסקי, כלי רכב, כלי טיס ושיט, המחאות, עסקים, תכשיטים, חפצי אומנות ובעלי חיים) ומוחזק בידי המדינה עד תום ההליך המשפטי</w:t>
      </w:r>
      <w:r w:rsidRPr="002E5C08">
        <w:rPr>
          <w:rFonts w:hint="cs"/>
          <w:rtl/>
        </w:rPr>
        <w:t>,</w:t>
      </w:r>
      <w:r w:rsidRPr="002E5C08">
        <w:rPr>
          <w:rtl/>
        </w:rPr>
        <w:t xml:space="preserve"> שיכול להימשך שנים רבות</w:t>
      </w:r>
      <w:r w:rsidRPr="002E5C08">
        <w:rPr>
          <w:rFonts w:hint="cs"/>
          <w:rtl/>
        </w:rPr>
        <w:t>.</w:t>
      </w:r>
      <w:r w:rsidRPr="002E5C08">
        <w:rPr>
          <w:rtl/>
        </w:rPr>
        <w:t xml:space="preserve"> </w:t>
      </w:r>
      <w:r w:rsidRPr="002E5C08">
        <w:rPr>
          <w:rFonts w:hint="cs"/>
          <w:rtl/>
        </w:rPr>
        <w:t xml:space="preserve">התפיסה </w:t>
      </w:r>
      <w:r w:rsidRPr="002E5C08">
        <w:rPr>
          <w:rtl/>
        </w:rPr>
        <w:t>נועד</w:t>
      </w:r>
      <w:r w:rsidRPr="002E5C08">
        <w:rPr>
          <w:rFonts w:hint="cs"/>
          <w:rtl/>
        </w:rPr>
        <w:t>ה</w:t>
      </w:r>
      <w:r w:rsidRPr="002E5C08">
        <w:rPr>
          <w:rtl/>
        </w:rPr>
        <w:t xml:space="preserve"> למנוע העלמת הרכוש והברחתו באופן שתישלל אפשרות חילוט בתום ההליך המשפטי. במשך תקופת ביניים זו חלק מהנכסים התפוסים מאבדים מערכם, ואף עשויות להתעורר טענות של צדדים שלישיים לזכויות ב</w:t>
      </w:r>
      <w:r w:rsidRPr="002E5C08">
        <w:rPr>
          <w:rFonts w:hint="cs"/>
          <w:rtl/>
        </w:rPr>
        <w:t>ה</w:t>
      </w:r>
      <w:r w:rsidRPr="002E5C08">
        <w:rPr>
          <w:rtl/>
        </w:rPr>
        <w:t xml:space="preserve">ם. </w:t>
      </w:r>
      <w:r w:rsidRPr="002E5C08">
        <w:rPr>
          <w:rFonts w:hint="cs"/>
          <w:rtl/>
        </w:rPr>
        <w:t>כמו כן</w:t>
      </w:r>
      <w:r w:rsidRPr="002E5C08">
        <w:rPr>
          <w:rtl/>
        </w:rPr>
        <w:t xml:space="preserve">, לפעמים מדובר בתפיסת רכוש </w:t>
      </w:r>
      <w:r w:rsidRPr="002E5C08">
        <w:rPr>
          <w:rFonts w:hint="cs"/>
          <w:rtl/>
        </w:rPr>
        <w:t>ש</w:t>
      </w:r>
      <w:r w:rsidRPr="002E5C08">
        <w:rPr>
          <w:rtl/>
        </w:rPr>
        <w:t>ניהול</w:t>
      </w:r>
      <w:r w:rsidRPr="002E5C08">
        <w:rPr>
          <w:rFonts w:hint="cs"/>
          <w:rtl/>
        </w:rPr>
        <w:t>ו</w:t>
      </w:r>
      <w:r w:rsidRPr="002E5C08">
        <w:rPr>
          <w:rtl/>
        </w:rPr>
        <w:t xml:space="preserve"> מורכב </w:t>
      </w:r>
      <w:r w:rsidRPr="002E5C08">
        <w:rPr>
          <w:rFonts w:hint="cs"/>
          <w:rtl/>
        </w:rPr>
        <w:t>ו</w:t>
      </w:r>
      <w:r w:rsidRPr="002E5C08">
        <w:rPr>
          <w:rtl/>
        </w:rPr>
        <w:t>מצריך כישורי ניהול מקצועיים ומומחיות מיוחדת.</w:t>
      </w:r>
    </w:p>
  </w:footnote>
  <w:footnote w:id="28">
    <w:p w14:paraId="3B896698" w14:textId="77777777" w:rsidR="00F74B5E" w:rsidRPr="002E5C08" w:rsidRDefault="00F74B5E" w:rsidP="002E5C08">
      <w:pPr>
        <w:pStyle w:val="a5"/>
      </w:pPr>
      <w:r w:rsidRPr="002E5C08">
        <w:rPr>
          <w:rStyle w:val="FootnoteReference"/>
          <w:vertAlign w:val="baseline"/>
        </w:rPr>
        <w:footnoteRef/>
      </w:r>
      <w:r w:rsidRPr="002E5C08">
        <w:rPr>
          <w:rtl/>
        </w:rPr>
        <w:t xml:space="preserve"> </w:t>
      </w:r>
      <w:r w:rsidRPr="002E5C08">
        <w:rPr>
          <w:rtl/>
        </w:rPr>
        <w:tab/>
      </w:r>
      <w:r w:rsidRPr="002E5C08">
        <w:rPr>
          <w:rFonts w:hint="cs"/>
          <w:rtl/>
        </w:rPr>
        <w:t>החלטת הממשלה 2040, "חילוט רכוש" (15.7.10).</w:t>
      </w:r>
    </w:p>
  </w:footnote>
  <w:footnote w:id="29">
    <w:p w14:paraId="2131B8F3" w14:textId="77777777" w:rsidR="00F74B5E" w:rsidRPr="002E5C08" w:rsidRDefault="00F74B5E" w:rsidP="002E5C08">
      <w:pPr>
        <w:pStyle w:val="a5"/>
      </w:pPr>
      <w:r w:rsidRPr="002E5C08">
        <w:rPr>
          <w:rStyle w:val="FootnoteReference"/>
          <w:vertAlign w:val="baseline"/>
        </w:rPr>
        <w:footnoteRef/>
      </w:r>
      <w:r w:rsidRPr="002E5C08">
        <w:rPr>
          <w:rtl/>
        </w:rPr>
        <w:t xml:space="preserve"> </w:t>
      </w:r>
      <w:r w:rsidRPr="002E5C08">
        <w:rPr>
          <w:rtl/>
        </w:rPr>
        <w:tab/>
      </w:r>
      <w:r w:rsidRPr="002E5C08">
        <w:rPr>
          <w:rFonts w:hint="cs"/>
          <w:rtl/>
        </w:rPr>
        <w:t>סעיפים 36 ח-י לפקודת הסמים המסוכנים ותקנות הסמים המסוכנים; סעיף 23 לחוק איסור הלבנת הון; סעיפים 377א-ה לחוק העונשין, התשל"ז-1977, ותקנות העונשין (דרכי הנהלת הקרן הייעודית לטיפול ברכוש שחולט ובקנסות שהוטלו בתיקי סחר בבני אדם והחזקה בתנאי עבדות), התשס"ט-2009; תקנות המאבק בארגוני פשיעה (דרכי ניהול רכוש שחולט ומימושו), התשע"ה-2011; סעיף 68 לחוק המאבק בטרור, התשע"ו-2016, ותקנות המאבק בטרור (ניהול רכוש שנתפס ושחולט), התשע"ז-2017.</w:t>
      </w:r>
    </w:p>
  </w:footnote>
  <w:footnote w:id="30">
    <w:p w14:paraId="0B91130E" w14:textId="77777777" w:rsidR="00F74B5E" w:rsidRPr="002E5C08" w:rsidRDefault="00F74B5E" w:rsidP="002E5C08">
      <w:pPr>
        <w:pStyle w:val="a5"/>
      </w:pPr>
      <w:r w:rsidRPr="002E5C08">
        <w:rPr>
          <w:rStyle w:val="FootnoteReference"/>
          <w:vertAlign w:val="baseline"/>
        </w:rPr>
        <w:footnoteRef/>
      </w:r>
      <w:r w:rsidRPr="002E5C08">
        <w:rPr>
          <w:rtl/>
        </w:rPr>
        <w:t xml:space="preserve"> </w:t>
      </w:r>
      <w:r w:rsidRPr="002E5C08">
        <w:rPr>
          <w:rtl/>
        </w:rPr>
        <w:tab/>
      </w:r>
      <w:r w:rsidRPr="002E5C08">
        <w:rPr>
          <w:rFonts w:hint="cs"/>
          <w:rtl/>
        </w:rPr>
        <w:t xml:space="preserve">סמכות התפיסה הזמנית מעוגנת בסעיף 32 לפסד"פ, המקנה למשטרה את הסמכות לתפוס רכוש תוך כדי חקירה ולפני הגשת כתב אישום. הסעיף מונה חמש חלופות המהוות מקור סמכות לתפיסת נכסים, והמכנה המשותף לחלופות הוא זיקתן לעבירה הנטענת. בקשר לעבירת הלבנת הון נקבעה בפסיקה חלופה שישית לתפיסה זמנית של רכוש מכוח פסד"פ בהתאם לסעיף 26 (א) לחוק איסור הלבנת הון, שהרחיב את סמכות התפיסה גם לרכוש שאינו קשור לעבירה אך שוויו כשווייה (בשים לב להוראת סעיף 21 לחוק). בהתאם לחלופה זו יכולה המשטרה לתפוס רכוש כשר וחוקי שאינו קשור לביצוע העבירה, ובלבד שהוא שווה ערך לרכוש שקשור לעבירה (בש"פ 1359/17 </w:t>
      </w:r>
      <w:r w:rsidRPr="002E5C08">
        <w:rPr>
          <w:rFonts w:hint="cs"/>
          <w:b/>
          <w:bCs/>
          <w:rtl/>
        </w:rPr>
        <w:t>מדינת ישראל נ' ברוך</w:t>
      </w:r>
      <w:r w:rsidRPr="002E5C08">
        <w:rPr>
          <w:rFonts w:hint="cs"/>
          <w:rtl/>
        </w:rPr>
        <w:t xml:space="preserve"> [פורסם במאגר ממוחשב, 15.3.17]). אולם ככלל אין לתפוס רכוש בשווי ללא צו שיפוטי (רע"פ 4526/18 </w:t>
      </w:r>
      <w:r w:rsidRPr="002E5C08">
        <w:rPr>
          <w:rFonts w:hint="cs"/>
          <w:b/>
          <w:bCs/>
          <w:rtl/>
        </w:rPr>
        <w:t>אלוביץ נ' מדינת ישראל</w:t>
      </w:r>
      <w:r w:rsidRPr="002E5C08">
        <w:rPr>
          <w:rFonts w:hint="cs"/>
          <w:rtl/>
        </w:rPr>
        <w:t xml:space="preserve"> [פורסם במאגר ממוחשב, 5.8.18]).</w:t>
      </w:r>
    </w:p>
  </w:footnote>
  <w:footnote w:id="31">
    <w:p w14:paraId="5794AC38" w14:textId="77777777" w:rsidR="00F74B5E" w:rsidRPr="00D66DE6" w:rsidRDefault="00F74B5E" w:rsidP="00D66DE6">
      <w:pPr>
        <w:pStyle w:val="a5"/>
        <w:rPr>
          <w:rtl/>
        </w:rPr>
      </w:pPr>
      <w:r w:rsidRPr="00D66DE6">
        <w:rPr>
          <w:rStyle w:val="FootnoteReference"/>
          <w:vertAlign w:val="baseline"/>
        </w:rPr>
        <w:footnoteRef/>
      </w:r>
      <w:r w:rsidRPr="00D66DE6">
        <w:rPr>
          <w:rtl/>
        </w:rPr>
        <w:t xml:space="preserve"> </w:t>
      </w:r>
      <w:r w:rsidRPr="00D66DE6">
        <w:rPr>
          <w:rtl/>
        </w:rPr>
        <w:tab/>
      </w:r>
      <w:r w:rsidRPr="00D66DE6">
        <w:rPr>
          <w:rFonts w:hint="cs"/>
          <w:rtl/>
        </w:rPr>
        <w:t xml:space="preserve">המחאות מחוללות הן המחאות שלא כובדו מסיבות שונות ובהן ביטול ההמחאה, חלוף זמן הפירעון או העדר כיסוי בחשבון הבנק. </w:t>
      </w:r>
      <w:r w:rsidRPr="00D66DE6">
        <w:rPr>
          <w:rtl/>
        </w:rPr>
        <w:tab/>
      </w:r>
    </w:p>
  </w:footnote>
  <w:footnote w:id="32">
    <w:p w14:paraId="7D9FB9A8" w14:textId="77777777" w:rsidR="00F74B5E" w:rsidRPr="00D66DE6" w:rsidRDefault="00F74B5E" w:rsidP="00D66DE6">
      <w:pPr>
        <w:pStyle w:val="a5"/>
        <w:rPr>
          <w:rtl/>
        </w:rPr>
      </w:pPr>
      <w:r w:rsidRPr="00D66DE6">
        <w:rPr>
          <w:rStyle w:val="FootnoteReference"/>
          <w:vertAlign w:val="baseline"/>
        </w:rPr>
        <w:footnoteRef/>
      </w:r>
      <w:r w:rsidRPr="00D66DE6">
        <w:rPr>
          <w:rtl/>
        </w:rPr>
        <w:t xml:space="preserve"> </w:t>
      </w:r>
      <w:r w:rsidRPr="00D66DE6">
        <w:rPr>
          <w:rtl/>
        </w:rPr>
        <w:tab/>
        <w:t xml:space="preserve">נכסי </w:t>
      </w:r>
      <w:r w:rsidRPr="00D66DE6">
        <w:rPr>
          <w:rFonts w:hint="eastAsia"/>
          <w:rtl/>
        </w:rPr>
        <w:t>מיטלטלין</w:t>
      </w:r>
      <w:r w:rsidRPr="00D66DE6">
        <w:rPr>
          <w:rtl/>
        </w:rPr>
        <w:t xml:space="preserve"> </w:t>
      </w:r>
      <w:r w:rsidRPr="00D66DE6">
        <w:rPr>
          <w:rFonts w:hint="eastAsia"/>
          <w:rtl/>
        </w:rPr>
        <w:t>כוללים</w:t>
      </w:r>
      <w:r w:rsidRPr="00D66DE6">
        <w:rPr>
          <w:rtl/>
        </w:rPr>
        <w:t xml:space="preserve"> ציוד שנמצא במעבדות סמים, תכשיטים, בגדים, ריהוט, בעלי חיים, מלאי עסקי ועוד. </w:t>
      </w:r>
    </w:p>
  </w:footnote>
  <w:footnote w:id="33">
    <w:p w14:paraId="73A24FA6" w14:textId="77777777" w:rsidR="00F74B5E" w:rsidRPr="00DB357C" w:rsidRDefault="00F74B5E" w:rsidP="00DB357C">
      <w:pPr>
        <w:pStyle w:val="a5"/>
      </w:pPr>
      <w:r w:rsidRPr="00DB357C">
        <w:rPr>
          <w:rStyle w:val="FootnoteReference"/>
          <w:vertAlign w:val="baseline"/>
        </w:rPr>
        <w:footnoteRef/>
      </w:r>
      <w:r w:rsidRPr="00DB357C">
        <w:rPr>
          <w:rtl/>
        </w:rPr>
        <w:t xml:space="preserve"> </w:t>
      </w:r>
      <w:r w:rsidRPr="00DB357C">
        <w:rPr>
          <w:rtl/>
        </w:rPr>
        <w:tab/>
      </w:r>
      <w:r w:rsidRPr="00DB357C">
        <w:rPr>
          <w:rFonts w:hint="cs"/>
          <w:rtl/>
        </w:rPr>
        <w:t>חוק סדר הדין הפלילי [נוסח משולב], התשמ"ב-1982, קובע מי הם המוסמכים להופיע מטעם המדינה בהליך פלילי. בהתאם לכך יופיעו בבתי משפט היועץ המשפטי לממשלה ונציגיו (פרקליט המדינה, משנהו, פרקליטי המחוז ופרקליטים אחרים בפרקליטות המדינה ששר המשפטים קבע את תואריהם בצו שפורסם ברשומות); וכן מי שהיועץ המשפטי לממשלה הסמיכו להיות תובע דרך כלל, לסוג של משפטים, לבתי משפט או למשפט מסוים.</w:t>
      </w:r>
    </w:p>
  </w:footnote>
  <w:footnote w:id="34">
    <w:p w14:paraId="34D6899E" w14:textId="77777777" w:rsidR="00F74B5E" w:rsidRPr="00DB357C" w:rsidRDefault="00F74B5E" w:rsidP="00DB357C">
      <w:pPr>
        <w:pStyle w:val="a5"/>
        <w:rPr>
          <w:rtl/>
        </w:rPr>
      </w:pPr>
      <w:r w:rsidRPr="00DB357C">
        <w:rPr>
          <w:rStyle w:val="FootnoteReference"/>
          <w:vertAlign w:val="baseline"/>
        </w:rPr>
        <w:footnoteRef/>
      </w:r>
      <w:r w:rsidRPr="00DB357C">
        <w:rPr>
          <w:rtl/>
        </w:rPr>
        <w:t xml:space="preserve"> </w:t>
      </w:r>
      <w:r w:rsidRPr="00DB357C">
        <w:rPr>
          <w:rtl/>
        </w:rPr>
        <w:tab/>
      </w:r>
      <w:r w:rsidRPr="00DB357C">
        <w:rPr>
          <w:rFonts w:hint="cs"/>
          <w:rtl/>
        </w:rPr>
        <w:t>תקנות</w:t>
      </w:r>
      <w:r w:rsidRPr="00DB357C">
        <w:rPr>
          <w:rtl/>
        </w:rPr>
        <w:t xml:space="preserve"> הסמים המסוכנים (דרכי הנהלת הקרן לטיפול בנכסים שחולטו) (תיקון), התשע"ט</w:t>
      </w:r>
      <w:r w:rsidRPr="00DB357C">
        <w:rPr>
          <w:rFonts w:hint="cs"/>
          <w:rtl/>
        </w:rPr>
        <w:t xml:space="preserve"> - 2018, ק"ת 8070.</w:t>
      </w:r>
    </w:p>
  </w:footnote>
  <w:footnote w:id="35">
    <w:p w14:paraId="256A450C" w14:textId="77777777" w:rsidR="00F74B5E" w:rsidRPr="00DB357C" w:rsidRDefault="00F74B5E" w:rsidP="00DB357C">
      <w:pPr>
        <w:pStyle w:val="a5"/>
        <w:rPr>
          <w:rtl/>
        </w:rPr>
      </w:pPr>
      <w:r w:rsidRPr="00DB357C">
        <w:rPr>
          <w:rStyle w:val="FootnoteReference"/>
          <w:vertAlign w:val="baseline"/>
        </w:rPr>
        <w:footnoteRef/>
      </w:r>
      <w:r w:rsidRPr="00DB357C">
        <w:rPr>
          <w:rtl/>
        </w:rPr>
        <w:t xml:space="preserve"> </w:t>
      </w:r>
      <w:r w:rsidRPr="00DB357C">
        <w:rPr>
          <w:rtl/>
        </w:rPr>
        <w:tab/>
      </w:r>
      <w:r w:rsidRPr="00DB357C">
        <w:rPr>
          <w:rFonts w:hint="cs"/>
          <w:rtl/>
        </w:rPr>
        <w:t>נוהל עבודת מועצת החילוט לחלוקת כספי קרן החילוט לפי חוק איסור הלבנת הון, מיום 30.4.13, עדכון אחרון 22.11.17.</w:t>
      </w:r>
    </w:p>
  </w:footnote>
  <w:footnote w:id="36">
    <w:p w14:paraId="78E79E3E" w14:textId="77777777" w:rsidR="00F74B5E" w:rsidRPr="00DB357C" w:rsidRDefault="00F74B5E" w:rsidP="00DB357C">
      <w:pPr>
        <w:pStyle w:val="a5"/>
      </w:pPr>
      <w:r w:rsidRPr="00DB357C">
        <w:rPr>
          <w:rStyle w:val="FootnoteReference"/>
          <w:vertAlign w:val="baseline"/>
        </w:rPr>
        <w:footnoteRef/>
      </w:r>
      <w:r w:rsidRPr="00DB357C">
        <w:rPr>
          <w:rtl/>
        </w:rPr>
        <w:t xml:space="preserve"> </w:t>
      </w:r>
      <w:r w:rsidRPr="00DB357C">
        <w:rPr>
          <w:rtl/>
        </w:rPr>
        <w:tab/>
      </w:r>
      <w:r w:rsidRPr="00DB357C">
        <w:rPr>
          <w:rFonts w:hint="cs"/>
          <w:rtl/>
        </w:rPr>
        <w:t>יתרת הכספים לחלוקה כוללת סכום של כ-85 מיליון ש"ח שצפוי לעבור לאוצר המדינה. אם יוכרע להעביר את הסכום, יתרת הכספים לחלוקה של קרן החילוט תעמוד על 47.5 מיליון ש"ח.</w:t>
      </w:r>
    </w:p>
  </w:footnote>
  <w:footnote w:id="37">
    <w:p w14:paraId="68AEBC43" w14:textId="77777777" w:rsidR="00F74B5E" w:rsidRPr="00DB357C" w:rsidRDefault="00F74B5E" w:rsidP="00DB357C">
      <w:pPr>
        <w:pStyle w:val="a5"/>
      </w:pPr>
      <w:r w:rsidRPr="00DB357C">
        <w:rPr>
          <w:rStyle w:val="FootnoteReference"/>
          <w:vertAlign w:val="baseline"/>
        </w:rPr>
        <w:footnoteRef/>
      </w:r>
      <w:r w:rsidRPr="00DB357C">
        <w:rPr>
          <w:rtl/>
        </w:rPr>
        <w:t xml:space="preserve"> </w:t>
      </w:r>
      <w:r w:rsidRPr="00DB357C">
        <w:rPr>
          <w:rtl/>
        </w:rPr>
        <w:tab/>
      </w:r>
      <w:r w:rsidRPr="00DB357C">
        <w:rPr>
          <w:rFonts w:hint="cs"/>
          <w:rtl/>
        </w:rPr>
        <w:t>המשטרה, רשות המיסים ורשלא"ה.</w:t>
      </w:r>
    </w:p>
  </w:footnote>
  <w:footnote w:id="38">
    <w:p w14:paraId="12794D67" w14:textId="2D295ED3" w:rsidR="00F74B5E" w:rsidRPr="00DB357C" w:rsidRDefault="00F74B5E" w:rsidP="00DB357C">
      <w:pPr>
        <w:pStyle w:val="a5"/>
        <w:rPr>
          <w:rtl/>
        </w:rPr>
      </w:pPr>
      <w:r w:rsidRPr="00DB357C">
        <w:rPr>
          <w:rStyle w:val="FootnoteReference"/>
          <w:vertAlign w:val="baseline"/>
        </w:rPr>
        <w:footnoteRef/>
      </w:r>
      <w:r w:rsidRPr="00DB357C">
        <w:rPr>
          <w:rtl/>
        </w:rPr>
        <w:t xml:space="preserve"> </w:t>
      </w:r>
      <w:r w:rsidRPr="00DB357C">
        <w:rPr>
          <w:rtl/>
        </w:rPr>
        <w:tab/>
      </w:r>
      <w:r w:rsidRPr="00DB357C">
        <w:rPr>
          <w:rFonts w:hint="cs"/>
          <w:rtl/>
        </w:rPr>
        <w:t xml:space="preserve">מבקר המדינה, </w:t>
      </w:r>
      <w:r w:rsidRPr="00DB357C">
        <w:rPr>
          <w:rFonts w:hint="cs"/>
          <w:b/>
          <w:bCs/>
          <w:rtl/>
        </w:rPr>
        <w:t>דוח שנתי 66ג</w:t>
      </w:r>
      <w:r w:rsidRPr="00DB357C">
        <w:rPr>
          <w:rFonts w:hint="cs"/>
          <w:rtl/>
        </w:rPr>
        <w:t xml:space="preserve"> (2016), המאבק הכלכלי בפשיעה החמורה ובפשיעה המאורגנת, עמ' </w:t>
      </w:r>
      <w:r>
        <w:rPr>
          <w:rFonts w:hint="cs"/>
          <w:rtl/>
        </w:rPr>
        <w:t>57</w:t>
      </w:r>
      <w:r w:rsidRPr="00DB357C">
        <w:rPr>
          <w:rFonts w:hint="cs"/>
          <w:rtl/>
        </w:rPr>
        <w:t>.</w:t>
      </w:r>
    </w:p>
  </w:footnote>
  <w:footnote w:id="39">
    <w:p w14:paraId="529B33F2" w14:textId="11316A9A" w:rsidR="00F74B5E" w:rsidRPr="00DB357C" w:rsidRDefault="00F74B5E" w:rsidP="00DB357C">
      <w:pPr>
        <w:pStyle w:val="a5"/>
        <w:rPr>
          <w:rtl/>
        </w:rPr>
      </w:pPr>
      <w:r w:rsidRPr="00DB357C">
        <w:rPr>
          <w:rStyle w:val="FootnoteReference"/>
          <w:vertAlign w:val="baseline"/>
        </w:rPr>
        <w:footnoteRef/>
      </w:r>
      <w:r w:rsidRPr="00DB357C">
        <w:rPr>
          <w:rtl/>
        </w:rPr>
        <w:t xml:space="preserve"> </w:t>
      </w:r>
      <w:r w:rsidRPr="00DB357C">
        <w:rPr>
          <w:rtl/>
        </w:rPr>
        <w:tab/>
      </w:r>
      <w:r w:rsidRPr="00DB357C">
        <w:rPr>
          <w:rFonts w:hint="cs"/>
          <w:rtl/>
        </w:rPr>
        <w:t>תקבולים שנתיים משנת 2015 עד 2018 מתוך דוח סיכום פעילות 2018 של האפ</w:t>
      </w:r>
      <w:r>
        <w:rPr>
          <w:rFonts w:hint="cs"/>
          <w:rtl/>
        </w:rPr>
        <w:t>"כ</w:t>
      </w:r>
    </w:p>
  </w:footnote>
  <w:footnote w:id="40">
    <w:p w14:paraId="2724A85A" w14:textId="77777777" w:rsidR="00F74B5E" w:rsidRPr="00E932EB" w:rsidRDefault="00F74B5E" w:rsidP="00E932EB">
      <w:pPr>
        <w:pStyle w:val="a5"/>
      </w:pPr>
      <w:r w:rsidRPr="00E932EB">
        <w:rPr>
          <w:rStyle w:val="FootnoteReference"/>
          <w:vertAlign w:val="baseline"/>
        </w:rPr>
        <w:footnoteRef/>
      </w:r>
      <w:r w:rsidRPr="00E932EB">
        <w:rPr>
          <w:rtl/>
        </w:rPr>
        <w:t xml:space="preserve"> </w:t>
      </w:r>
      <w:r w:rsidRPr="00E932EB">
        <w:rPr>
          <w:rtl/>
        </w:rPr>
        <w:tab/>
      </w:r>
      <w:r w:rsidRPr="00E932EB">
        <w:rPr>
          <w:rFonts w:hint="cs"/>
          <w:rtl/>
        </w:rPr>
        <w:t>לפי תקנות חופש המידע, התשנ"ט-1999.</w:t>
      </w:r>
    </w:p>
  </w:footnote>
  <w:footnote w:id="41">
    <w:p w14:paraId="445B4B94" w14:textId="77777777" w:rsidR="00F74B5E" w:rsidRPr="00BC30C7" w:rsidRDefault="00F74B5E" w:rsidP="00BC30C7">
      <w:pPr>
        <w:pStyle w:val="a5"/>
        <w:rPr>
          <w:rtl/>
        </w:rPr>
      </w:pPr>
      <w:r w:rsidRPr="00BC30C7">
        <w:rPr>
          <w:rStyle w:val="FootnoteReference"/>
          <w:vertAlign w:val="baseline"/>
        </w:rPr>
        <w:footnoteRef/>
      </w:r>
      <w:r w:rsidRPr="00BC30C7">
        <w:rPr>
          <w:rtl/>
        </w:rPr>
        <w:t xml:space="preserve"> </w:t>
      </w:r>
      <w:r w:rsidRPr="00BC30C7">
        <w:rPr>
          <w:rtl/>
        </w:rPr>
        <w:tab/>
        <w:t xml:space="preserve">כוחות משימה </w:t>
      </w:r>
      <w:r w:rsidRPr="00BC30C7">
        <w:rPr>
          <w:rFonts w:hint="cs"/>
          <w:rtl/>
        </w:rPr>
        <w:t>משטרתיים הם</w:t>
      </w:r>
      <w:r w:rsidRPr="00BC30C7">
        <w:rPr>
          <w:rtl/>
        </w:rPr>
        <w:t xml:space="preserve"> יחידות חקירה משימתיות המורכבות מכוח אדם ואמצעים מותאמי משימה מרשויות חוקרות שונות, </w:t>
      </w:r>
      <w:r w:rsidRPr="00BC30C7">
        <w:rPr>
          <w:rFonts w:hint="cs"/>
          <w:rtl/>
        </w:rPr>
        <w:t>ו</w:t>
      </w:r>
      <w:r w:rsidRPr="00BC30C7">
        <w:rPr>
          <w:rtl/>
        </w:rPr>
        <w:t>מופעלות נגד תופעת</w:t>
      </w:r>
      <w:r w:rsidRPr="00BC30C7">
        <w:rPr>
          <w:rFonts w:hint="cs"/>
          <w:rtl/>
        </w:rPr>
        <w:t xml:space="preserve"> פשיעה או </w:t>
      </w:r>
      <w:r w:rsidRPr="00BC30C7">
        <w:rPr>
          <w:rtl/>
        </w:rPr>
        <w:t>ארגון פשיעה מוגדר</w:t>
      </w:r>
      <w:r w:rsidRPr="00BC30C7">
        <w:rPr>
          <w:rFonts w:hint="cs"/>
          <w:rtl/>
        </w:rPr>
        <w:t>ים.</w:t>
      </w:r>
    </w:p>
  </w:footnote>
  <w:footnote w:id="42">
    <w:p w14:paraId="7D6F4028" w14:textId="77777777" w:rsidR="00F74B5E" w:rsidRPr="007F491E" w:rsidRDefault="00F74B5E" w:rsidP="007F491E">
      <w:pPr>
        <w:pStyle w:val="a5"/>
      </w:pPr>
      <w:r w:rsidRPr="007F491E">
        <w:rPr>
          <w:rStyle w:val="FootnoteReference"/>
          <w:vertAlign w:val="baseline"/>
        </w:rPr>
        <w:footnoteRef/>
      </w:r>
      <w:r w:rsidRPr="007F491E">
        <w:rPr>
          <w:rtl/>
        </w:rPr>
        <w:t xml:space="preserve"> </w:t>
      </w:r>
      <w:r w:rsidRPr="007F491E">
        <w:rPr>
          <w:rtl/>
        </w:rPr>
        <w:tab/>
      </w:r>
      <w:r w:rsidRPr="007F491E">
        <w:rPr>
          <w:rFonts w:hint="cs"/>
          <w:rtl/>
        </w:rPr>
        <w:t>מיפוי הנכסים כולל כספים, נכסי מקרקעין, נכסי מיטלטלין, חברות ועמותות, כלי רכב וחשבונות בנק.</w:t>
      </w:r>
    </w:p>
  </w:footnote>
  <w:footnote w:id="43">
    <w:p w14:paraId="2FFD451B" w14:textId="77777777" w:rsidR="00F74B5E" w:rsidRPr="007F491E" w:rsidRDefault="00F74B5E" w:rsidP="007F491E">
      <w:pPr>
        <w:pStyle w:val="a5"/>
      </w:pPr>
      <w:r w:rsidRPr="007F491E">
        <w:rPr>
          <w:rStyle w:val="FootnoteReference"/>
          <w:vertAlign w:val="baseline"/>
        </w:rPr>
        <w:footnoteRef/>
      </w:r>
      <w:r w:rsidRPr="007F491E">
        <w:rPr>
          <w:rtl/>
        </w:rPr>
        <w:t xml:space="preserve"> </w:t>
      </w:r>
      <w:r w:rsidRPr="007F491E">
        <w:rPr>
          <w:rtl/>
        </w:rPr>
        <w:tab/>
      </w:r>
      <w:r w:rsidRPr="007F491E">
        <w:rPr>
          <w:rFonts w:hint="cs"/>
          <w:rtl/>
        </w:rPr>
        <w:t>המועד בו הופכת חקירה סמויה לגלויה.</w:t>
      </w:r>
    </w:p>
  </w:footnote>
  <w:footnote w:id="44">
    <w:p w14:paraId="2250D8FA" w14:textId="1771B0BA" w:rsidR="00F74B5E" w:rsidRDefault="00F74B5E" w:rsidP="00DD0252">
      <w:pPr>
        <w:pStyle w:val="a5"/>
        <w:rPr>
          <w:rtl/>
        </w:rPr>
      </w:pPr>
      <w:r w:rsidRPr="00DD0252">
        <w:footnoteRef/>
      </w:r>
      <w:r w:rsidRPr="00DD0252">
        <w:rPr>
          <w:rtl/>
        </w:rPr>
        <w:t xml:space="preserve"> </w:t>
      </w:r>
      <w:r w:rsidRPr="00DD0252">
        <w:rPr>
          <w:rtl/>
        </w:rPr>
        <w:tab/>
      </w:r>
      <w:r w:rsidRPr="00DD0252">
        <w:rPr>
          <w:rFonts w:hint="cs"/>
          <w:rtl/>
        </w:rPr>
        <w:t>י</w:t>
      </w:r>
      <w:r w:rsidRPr="00DD0252">
        <w:rPr>
          <w:rtl/>
        </w:rPr>
        <w:t>חידת להב 433 מורכבת משש יחידות ארציות</w:t>
      </w:r>
      <w:r w:rsidRPr="00DD0252">
        <w:rPr>
          <w:rFonts w:hint="cs"/>
          <w:rtl/>
        </w:rPr>
        <w:t xml:space="preserve">: </w:t>
      </w:r>
      <w:r w:rsidRPr="00DD0252">
        <w:rPr>
          <w:rtl/>
        </w:rPr>
        <w:t>יחידה ארצית לחקיר</w:t>
      </w:r>
      <w:r w:rsidRPr="00DD0252">
        <w:rPr>
          <w:rFonts w:hint="cs"/>
          <w:rtl/>
        </w:rPr>
        <w:t>ת</w:t>
      </w:r>
      <w:r w:rsidRPr="00DD0252">
        <w:rPr>
          <w:rtl/>
        </w:rPr>
        <w:t xml:space="preserve"> פשיעה חמורה ובי</w:t>
      </w:r>
      <w:r w:rsidRPr="00DD0252">
        <w:rPr>
          <w:rFonts w:hint="cs"/>
          <w:rtl/>
        </w:rPr>
        <w:t>ן-</w:t>
      </w:r>
      <w:r w:rsidRPr="00DD0252">
        <w:rPr>
          <w:rtl/>
        </w:rPr>
        <w:t>לאומית (יאחב"ל), יחידה ארצית לאכיפה כלכלית (יאל"כ), יחידה ארצית לחקירות הונאה (יאח"ה), איתור ותפיסת גנבי רכב</w:t>
      </w:r>
      <w:r w:rsidRPr="00763364">
        <w:rPr>
          <w:rtl/>
        </w:rPr>
        <w:t xml:space="preserve"> (אתג"ר), יחידה 33 ("הגדעונים") ויחידת הסייבר. לצד יחידות אלה</w:t>
      </w:r>
      <w:r>
        <w:rPr>
          <w:rFonts w:hint="cs"/>
          <w:rtl/>
        </w:rPr>
        <w:t>, אח"ם להב</w:t>
      </w:r>
      <w:r w:rsidRPr="00763364">
        <w:rPr>
          <w:rtl/>
        </w:rPr>
        <w:t xml:space="preserve"> מתכלל ומוב</w:t>
      </w:r>
      <w:r>
        <w:rPr>
          <w:rFonts w:hint="cs"/>
          <w:rtl/>
        </w:rPr>
        <w:t>י</w:t>
      </w:r>
      <w:r w:rsidRPr="00763364">
        <w:rPr>
          <w:rtl/>
        </w:rPr>
        <w:t>ל</w:t>
      </w:r>
      <w:r>
        <w:rPr>
          <w:rFonts w:hint="cs"/>
          <w:rtl/>
        </w:rPr>
        <w:t xml:space="preserve"> את</w:t>
      </w:r>
      <w:r w:rsidRPr="00763364">
        <w:rPr>
          <w:rtl/>
        </w:rPr>
        <w:t xml:space="preserve"> הצד המקצועי והמבצעי</w:t>
      </w:r>
      <w:r>
        <w:rPr>
          <w:rFonts w:hint="cs"/>
          <w:rtl/>
        </w:rPr>
        <w:t>.</w:t>
      </w:r>
    </w:p>
  </w:footnote>
  <w:footnote w:id="45">
    <w:p w14:paraId="12A0C331" w14:textId="77777777" w:rsidR="00F74B5E" w:rsidRDefault="00F74B5E" w:rsidP="008115E3">
      <w:pPr>
        <w:pStyle w:val="a5"/>
      </w:pPr>
      <w:r w:rsidRPr="008115E3">
        <w:footnoteRef/>
      </w:r>
      <w:r w:rsidRPr="008115E3">
        <w:rPr>
          <w:rtl/>
        </w:rPr>
        <w:t xml:space="preserve"> </w:t>
      </w:r>
      <w:r w:rsidRPr="008115E3">
        <w:rPr>
          <w:rtl/>
        </w:rPr>
        <w:tab/>
      </w:r>
      <w:r w:rsidRPr="008115E3">
        <w:rPr>
          <w:rFonts w:hint="cs"/>
          <w:rtl/>
        </w:rPr>
        <w:t>מערכת פיקוד וניהול (מפנ"ה) הייתה תוכנית שמדדה את ביצועי תחנות המשטרה, המרחבים, המחוזות והי</w:t>
      </w:r>
      <w:r>
        <w:rPr>
          <w:rFonts w:hint="cs"/>
          <w:rtl/>
        </w:rPr>
        <w:t xml:space="preserve">חידות הארציות בהתאם למדדים שונים, ובכלל זה מדדי אכיפה כלכלית. </w:t>
      </w:r>
    </w:p>
  </w:footnote>
  <w:footnote w:id="46">
    <w:p w14:paraId="3C6CF682" w14:textId="08C154CF" w:rsidR="00F74B5E" w:rsidRPr="00E97A4B" w:rsidRDefault="00F74B5E" w:rsidP="00E97A4B">
      <w:pPr>
        <w:pStyle w:val="a5"/>
      </w:pPr>
      <w:r w:rsidRPr="00E97A4B">
        <w:rPr>
          <w:rStyle w:val="FootnoteReference"/>
          <w:vertAlign w:val="baseline"/>
        </w:rPr>
        <w:footnoteRef/>
      </w:r>
      <w:r w:rsidRPr="00E97A4B">
        <w:rPr>
          <w:rtl/>
        </w:rPr>
        <w:t xml:space="preserve"> </w:t>
      </w:r>
      <w:r w:rsidRPr="00E97A4B">
        <w:rPr>
          <w:rtl/>
        </w:rPr>
        <w:tab/>
      </w:r>
      <w:r w:rsidRPr="00E97A4B">
        <w:rPr>
          <w:rFonts w:hint="cs"/>
          <w:rtl/>
        </w:rPr>
        <w:t>בכנס ה-56 של הוועדה המתמדת מאוקטובר 2018 ציין ראש אח"</w:t>
      </w:r>
      <w:r>
        <w:rPr>
          <w:rFonts w:hint="cs"/>
          <w:rtl/>
        </w:rPr>
        <w:t>ם</w:t>
      </w:r>
      <w:r w:rsidRPr="00E97A4B">
        <w:rPr>
          <w:rFonts w:hint="cs"/>
          <w:rtl/>
        </w:rPr>
        <w:t>, ביחס לנתוני האכיפה הכלכלית, כי מרבית המחוזות לא עומדים ביעד שנקבע להם, ואף שמוצגת עלייה בנתוני התפיסות במחוזות, על המשטרה לבחון את הנושא בעין ביקורתית ואמיצה ולנתח אותו.</w:t>
      </w:r>
    </w:p>
  </w:footnote>
  <w:footnote w:id="47">
    <w:p w14:paraId="3B39AC8C" w14:textId="77777777" w:rsidR="00F74B5E" w:rsidRPr="0021495A" w:rsidRDefault="00F74B5E" w:rsidP="0021495A">
      <w:pPr>
        <w:pStyle w:val="a5"/>
        <w:rPr>
          <w:rtl/>
        </w:rPr>
      </w:pPr>
      <w:r w:rsidRPr="0021495A">
        <w:rPr>
          <w:rStyle w:val="FootnoteReference"/>
          <w:vertAlign w:val="baseline"/>
        </w:rPr>
        <w:footnoteRef/>
      </w:r>
      <w:r w:rsidRPr="0021495A">
        <w:rPr>
          <w:rtl/>
        </w:rPr>
        <w:t xml:space="preserve"> </w:t>
      </w:r>
      <w:r w:rsidRPr="0021495A">
        <w:rPr>
          <w:rtl/>
        </w:rPr>
        <w:tab/>
      </w:r>
      <w:r w:rsidRPr="0021495A">
        <w:rPr>
          <w:rFonts w:hint="cs"/>
          <w:rtl/>
        </w:rPr>
        <w:t>תיק יכול להיות מנותב לפרקליטות המחוז הרלוונטית או לאחת מהיחידות הארציות, ואם מדובר בתיק בעל היבטים עיקריים בתחום המס - כי אז גם תובעי רשות המיסים יכולים לטפל בו.</w:t>
      </w:r>
    </w:p>
  </w:footnote>
  <w:footnote w:id="48">
    <w:p w14:paraId="2E9D501A" w14:textId="77777777" w:rsidR="00F74B5E" w:rsidRPr="00C77D8B" w:rsidRDefault="00F74B5E" w:rsidP="00C77D8B">
      <w:pPr>
        <w:pStyle w:val="a5"/>
      </w:pPr>
      <w:r w:rsidRPr="00C77D8B">
        <w:footnoteRef/>
      </w:r>
      <w:r w:rsidRPr="00C77D8B">
        <w:rPr>
          <w:rtl/>
        </w:rPr>
        <w:t xml:space="preserve"> </w:t>
      </w:r>
      <w:r w:rsidRPr="00C77D8B">
        <w:rPr>
          <w:rtl/>
        </w:rPr>
        <w:tab/>
        <w:t>פרוטוקול ישיבת מועצת החילוט מיום 6.11.18</w:t>
      </w:r>
      <w:r w:rsidRPr="00C77D8B">
        <w:rPr>
          <w:rFonts w:hint="cs"/>
          <w:rtl/>
        </w:rPr>
        <w:t>.</w:t>
      </w:r>
    </w:p>
  </w:footnote>
  <w:footnote w:id="49">
    <w:p w14:paraId="6416B5BB" w14:textId="06D1F813" w:rsidR="00F74B5E" w:rsidRPr="00C77D8B" w:rsidRDefault="00F74B5E" w:rsidP="00C77D8B">
      <w:pPr>
        <w:pStyle w:val="a5"/>
      </w:pPr>
      <w:r w:rsidRPr="00C77D8B">
        <w:footnoteRef/>
      </w:r>
      <w:r w:rsidRPr="00C77D8B">
        <w:rPr>
          <w:rtl/>
        </w:rPr>
        <w:t xml:space="preserve"> </w:t>
      </w:r>
      <w:r w:rsidRPr="00C77D8B">
        <w:rPr>
          <w:rtl/>
        </w:rPr>
        <w:tab/>
        <w:t>פרוטוקול הכנס ה</w:t>
      </w:r>
      <w:r w:rsidRPr="00C77D8B">
        <w:rPr>
          <w:rFonts w:hint="cs"/>
          <w:rtl/>
        </w:rPr>
        <w:t>-</w:t>
      </w:r>
      <w:r w:rsidRPr="00C77D8B">
        <w:rPr>
          <w:rtl/>
        </w:rPr>
        <w:t>56 של הוועדה המתמדת בראשות ר</w:t>
      </w:r>
      <w:r w:rsidRPr="00C77D8B">
        <w:rPr>
          <w:rFonts w:hint="cs"/>
          <w:rtl/>
        </w:rPr>
        <w:t>אש</w:t>
      </w:r>
      <w:r w:rsidRPr="00C77D8B">
        <w:rPr>
          <w:rtl/>
        </w:rPr>
        <w:t xml:space="preserve"> אח"</w:t>
      </w:r>
      <w:r>
        <w:rPr>
          <w:rFonts w:hint="cs"/>
          <w:rtl/>
        </w:rPr>
        <w:t>ם</w:t>
      </w:r>
      <w:r w:rsidRPr="00C77D8B">
        <w:rPr>
          <w:rtl/>
        </w:rPr>
        <w:t>.</w:t>
      </w:r>
    </w:p>
  </w:footnote>
  <w:footnote w:id="50">
    <w:p w14:paraId="5646C14A" w14:textId="77777777" w:rsidR="00F74B5E" w:rsidRPr="00170AA0" w:rsidRDefault="00F74B5E" w:rsidP="00170AA0">
      <w:pPr>
        <w:pStyle w:val="a5"/>
      </w:pPr>
      <w:r w:rsidRPr="00170AA0">
        <w:rPr>
          <w:rStyle w:val="FootnoteReference"/>
          <w:vertAlign w:val="baseline"/>
        </w:rPr>
        <w:footnoteRef/>
      </w:r>
      <w:r w:rsidRPr="00170AA0">
        <w:rPr>
          <w:rtl/>
        </w:rPr>
        <w:t xml:space="preserve"> </w:t>
      </w:r>
      <w:r w:rsidRPr="00170AA0">
        <w:rPr>
          <w:rtl/>
        </w:rPr>
        <w:tab/>
      </w:r>
      <w:r w:rsidRPr="00170AA0">
        <w:rPr>
          <w:rFonts w:hint="cs"/>
          <w:rtl/>
        </w:rPr>
        <w:t xml:space="preserve">הנחיית היועץ המשפטי לממשלה מספר 4.1202 (4.1200), "משך טיפול התביעה עד להגשת כתב אישום", תאריך עדכון אחרון יולי 2014. </w:t>
      </w:r>
    </w:p>
  </w:footnote>
  <w:footnote w:id="51">
    <w:p w14:paraId="73722579" w14:textId="77777777" w:rsidR="00F74B5E" w:rsidRPr="003F5A67" w:rsidRDefault="00F74B5E" w:rsidP="003F5A67">
      <w:pPr>
        <w:pStyle w:val="a5"/>
      </w:pPr>
      <w:r w:rsidRPr="003F5A67">
        <w:rPr>
          <w:rStyle w:val="FootnoteReference"/>
          <w:vertAlign w:val="baseline"/>
        </w:rPr>
        <w:footnoteRef/>
      </w:r>
      <w:r w:rsidRPr="003F5A67">
        <w:rPr>
          <w:rtl/>
        </w:rPr>
        <w:t xml:space="preserve"> </w:t>
      </w:r>
      <w:r w:rsidRPr="003F5A67">
        <w:rPr>
          <w:rtl/>
        </w:rPr>
        <w:tab/>
      </w:r>
      <w:r w:rsidRPr="003F5A67">
        <w:rPr>
          <w:rFonts w:hint="cs"/>
          <w:rtl/>
        </w:rPr>
        <w:t>הרשימה כוללת עבירות רבות המאפיינות פשיעה חמורה, לרבות אלימות ועבירות רכוש, סמים וטרור. נוסף על אלה כלולות ברשימת עבירות המקור גם עבירות מרמה, רישום כוזב במסמכי תאגיד ועוד.</w:t>
      </w:r>
    </w:p>
  </w:footnote>
  <w:footnote w:id="52">
    <w:p w14:paraId="7D147AE1" w14:textId="77777777" w:rsidR="00F74B5E" w:rsidRPr="003F5A67" w:rsidRDefault="00F74B5E" w:rsidP="003F5A67">
      <w:pPr>
        <w:pStyle w:val="a5"/>
        <w:rPr>
          <w:rtl/>
        </w:rPr>
      </w:pPr>
      <w:r w:rsidRPr="003F5A67">
        <w:footnoteRef/>
      </w:r>
      <w:r w:rsidRPr="003F5A67">
        <w:rPr>
          <w:rtl/>
        </w:rPr>
        <w:t xml:space="preserve"> </w:t>
      </w:r>
      <w:r w:rsidRPr="003F5A67">
        <w:rPr>
          <w:rtl/>
        </w:rPr>
        <w:tab/>
        <w:t>סעיף 220 לפקודת מס הכנסה [נוסח חדש]</w:t>
      </w:r>
      <w:r w:rsidRPr="003F5A67">
        <w:rPr>
          <w:rFonts w:hint="cs"/>
          <w:rtl/>
        </w:rPr>
        <w:t>,</w:t>
      </w:r>
      <w:r w:rsidRPr="003F5A67">
        <w:rPr>
          <w:rtl/>
        </w:rPr>
        <w:t xml:space="preserve"> התשכ"א-1961, סעיף 117 לחוק מס ערך מוסף, </w:t>
      </w:r>
      <w:r w:rsidRPr="003F5A67">
        <w:rPr>
          <w:rFonts w:hint="cs"/>
          <w:rtl/>
        </w:rPr>
        <w:t>ה</w:t>
      </w:r>
      <w:r w:rsidRPr="003F5A67">
        <w:rPr>
          <w:rtl/>
        </w:rPr>
        <w:t>תשל"ו-1975</w:t>
      </w:r>
      <w:r w:rsidRPr="003F5A67">
        <w:rPr>
          <w:rFonts w:hint="cs"/>
          <w:rtl/>
        </w:rPr>
        <w:t>,</w:t>
      </w:r>
      <w:r w:rsidRPr="003F5A67">
        <w:rPr>
          <w:rtl/>
        </w:rPr>
        <w:t xml:space="preserve"> וסעיף 98ג לחוק מיסוי מקרקעין (שבח ורכישה), </w:t>
      </w:r>
      <w:r w:rsidRPr="003F5A67">
        <w:rPr>
          <w:rFonts w:hint="cs"/>
          <w:rtl/>
        </w:rPr>
        <w:t>ה</w:t>
      </w:r>
      <w:r w:rsidRPr="003F5A67">
        <w:rPr>
          <w:rtl/>
        </w:rPr>
        <w:t>תשכ"ג-1963.</w:t>
      </w:r>
    </w:p>
  </w:footnote>
  <w:footnote w:id="53">
    <w:p w14:paraId="15BB078C" w14:textId="77777777" w:rsidR="00F74B5E" w:rsidRPr="003F5A67" w:rsidRDefault="00F74B5E" w:rsidP="003F5A67">
      <w:pPr>
        <w:pStyle w:val="a5"/>
        <w:rPr>
          <w:rtl/>
        </w:rPr>
      </w:pPr>
      <w:r w:rsidRPr="003F5A67">
        <w:footnoteRef/>
      </w:r>
      <w:r w:rsidRPr="003F5A67">
        <w:rPr>
          <w:rtl/>
        </w:rPr>
        <w:t xml:space="preserve"> </w:t>
      </w:r>
      <w:r w:rsidRPr="003F5A67">
        <w:rPr>
          <w:rtl/>
        </w:rPr>
        <w:tab/>
      </w:r>
      <w:hyperlink r:id="rId1" w:tgtFrame="_blank" w:history="1">
        <w:r w:rsidRPr="003F5A67">
          <w:rPr>
            <w:rtl/>
          </w:rPr>
          <w:t>נוסח פומבי של הערכת הסיכונים הלאומית</w:t>
        </w:r>
        <w:r w:rsidRPr="003F5A67">
          <w:rPr>
            <w:rFonts w:hint="cs"/>
            <w:rtl/>
          </w:rPr>
          <w:t xml:space="preserve"> </w:t>
        </w:r>
        <w:r w:rsidRPr="003F5A67">
          <w:rPr>
            <w:rtl/>
          </w:rPr>
          <w:t>-</w:t>
        </w:r>
        <w:r w:rsidRPr="003F5A67">
          <w:rPr>
            <w:rFonts w:hint="cs"/>
            <w:rtl/>
          </w:rPr>
          <w:t xml:space="preserve"> </w:t>
        </w:r>
        <w:r w:rsidRPr="003F5A67">
          <w:rPr>
            <w:rtl/>
          </w:rPr>
          <w:t>2017</w:t>
        </w:r>
      </w:hyperlink>
      <w:r w:rsidRPr="003F5A67">
        <w:rPr>
          <w:rFonts w:hint="cs"/>
          <w:rtl/>
        </w:rPr>
        <w:t>, עמ' 12.</w:t>
      </w:r>
    </w:p>
  </w:footnote>
  <w:footnote w:id="54">
    <w:p w14:paraId="431D3870" w14:textId="77777777" w:rsidR="00F74B5E" w:rsidRPr="00C439C2" w:rsidRDefault="00F74B5E" w:rsidP="00C439C2">
      <w:pPr>
        <w:pStyle w:val="a5"/>
      </w:pPr>
      <w:r w:rsidRPr="00C439C2">
        <w:rPr>
          <w:rStyle w:val="FootnoteReference"/>
          <w:vertAlign w:val="baseline"/>
        </w:rPr>
        <w:footnoteRef/>
      </w:r>
      <w:r w:rsidRPr="00C439C2">
        <w:rPr>
          <w:rtl/>
        </w:rPr>
        <w:t xml:space="preserve"> </w:t>
      </w:r>
      <w:r w:rsidRPr="00C439C2">
        <w:rPr>
          <w:rtl/>
        </w:rPr>
        <w:tab/>
      </w:r>
      <w:r w:rsidRPr="00C439C2">
        <w:rPr>
          <w:rFonts w:hint="cs"/>
          <w:rtl/>
        </w:rPr>
        <w:t xml:space="preserve">נוהל </w:t>
      </w:r>
      <w:r w:rsidRPr="00C439C2">
        <w:rPr>
          <w:rtl/>
        </w:rPr>
        <w:t>נדל"ן, כלי רכב (עד כניסת המכרז החדש לתוקף), יהלומים ואבני חן וציוד מעבדות הידרו</w:t>
      </w:r>
      <w:r w:rsidRPr="00C439C2">
        <w:rPr>
          <w:rFonts w:hint="cs"/>
          <w:rtl/>
        </w:rPr>
        <w:t>. טרם גובשו הסכמות לגבי הטיפול בהמחאות תפוסות, וטרם אושר נוהל טיפול בניירות ערך תפוסים.</w:t>
      </w:r>
    </w:p>
  </w:footnote>
  <w:footnote w:id="55">
    <w:p w14:paraId="530AEB77" w14:textId="77777777" w:rsidR="00F74B5E" w:rsidRPr="008F251D" w:rsidRDefault="00F74B5E" w:rsidP="008F251D">
      <w:pPr>
        <w:pStyle w:val="a5"/>
      </w:pPr>
      <w:r w:rsidRPr="008F251D">
        <w:rPr>
          <w:rStyle w:val="FootnoteReference"/>
          <w:vertAlign w:val="baseline"/>
        </w:rPr>
        <w:footnoteRef/>
      </w:r>
      <w:r w:rsidRPr="008F251D">
        <w:rPr>
          <w:rtl/>
        </w:rPr>
        <w:t xml:space="preserve"> </w:t>
      </w:r>
      <w:r w:rsidRPr="008F251D">
        <w:rPr>
          <w:rtl/>
        </w:rPr>
        <w:tab/>
        <w:t xml:space="preserve"> </w:t>
      </w:r>
      <w:hyperlink r:id="rId2" w:tgtFrame="_blank" w:history="1">
        <w:r w:rsidRPr="008F251D">
          <w:rPr>
            <w:rtl/>
          </w:rPr>
          <w:t>נוסח פומבי של הערכת הסיכונים הלאומית</w:t>
        </w:r>
        <w:r w:rsidRPr="008F251D">
          <w:rPr>
            <w:rFonts w:hint="cs"/>
            <w:rtl/>
          </w:rPr>
          <w:t xml:space="preserve"> </w:t>
        </w:r>
        <w:r w:rsidRPr="008F251D">
          <w:rPr>
            <w:rtl/>
          </w:rPr>
          <w:t>-</w:t>
        </w:r>
        <w:r w:rsidRPr="008F251D">
          <w:rPr>
            <w:rFonts w:hint="cs"/>
            <w:rtl/>
          </w:rPr>
          <w:t xml:space="preserve"> </w:t>
        </w:r>
        <w:r w:rsidRPr="008F251D">
          <w:rPr>
            <w:rtl/>
          </w:rPr>
          <w:t>2017</w:t>
        </w:r>
      </w:hyperlink>
      <w:r w:rsidRPr="008F251D">
        <w:rPr>
          <w:rFonts w:hint="cs"/>
          <w:rtl/>
        </w:rPr>
        <w:t>.</w:t>
      </w:r>
    </w:p>
  </w:footnote>
  <w:footnote w:id="56">
    <w:p w14:paraId="64F818B5" w14:textId="77777777" w:rsidR="00F74B5E" w:rsidRPr="008F251D" w:rsidRDefault="00F74B5E" w:rsidP="008F251D">
      <w:pPr>
        <w:pStyle w:val="a5"/>
        <w:rPr>
          <w:rtl/>
        </w:rPr>
      </w:pPr>
      <w:r w:rsidRPr="008F251D">
        <w:rPr>
          <w:rStyle w:val="FootnoteReference"/>
          <w:vertAlign w:val="baseline"/>
        </w:rPr>
        <w:footnoteRef/>
      </w:r>
      <w:r w:rsidRPr="008F251D">
        <w:rPr>
          <w:rtl/>
        </w:rPr>
        <w:t xml:space="preserve"> </w:t>
      </w:r>
      <w:r w:rsidRPr="008F251D">
        <w:rPr>
          <w:rtl/>
        </w:rPr>
        <w:tab/>
      </w:r>
      <w:r w:rsidRPr="008F251D">
        <w:rPr>
          <w:rFonts w:hint="cs"/>
          <w:rtl/>
        </w:rPr>
        <w:t>פרוטוקול ישיבת מועצת החילוט מיום 27.2.17.</w:t>
      </w:r>
    </w:p>
  </w:footnote>
  <w:footnote w:id="57">
    <w:p w14:paraId="1CD8C7D9" w14:textId="77777777" w:rsidR="00F74B5E" w:rsidRPr="008F251D" w:rsidRDefault="00F74B5E" w:rsidP="008F251D">
      <w:pPr>
        <w:pStyle w:val="a5"/>
        <w:rPr>
          <w:rtl/>
        </w:rPr>
      </w:pPr>
      <w:r w:rsidRPr="008F251D">
        <w:rPr>
          <w:rStyle w:val="FootnoteReference"/>
          <w:vertAlign w:val="baseline"/>
        </w:rPr>
        <w:footnoteRef/>
      </w:r>
      <w:r w:rsidRPr="008F251D">
        <w:rPr>
          <w:rtl/>
        </w:rPr>
        <w:t xml:space="preserve"> </w:t>
      </w:r>
      <w:r w:rsidRPr="008F251D">
        <w:rPr>
          <w:rtl/>
        </w:rPr>
        <w:tab/>
      </w:r>
      <w:r w:rsidRPr="008F251D">
        <w:rPr>
          <w:rFonts w:hint="cs"/>
          <w:rtl/>
        </w:rPr>
        <w:t>פרוטוקול ישיבת מועצת החילוט מיום 7.2.18.</w:t>
      </w:r>
    </w:p>
  </w:footnote>
  <w:footnote w:id="58">
    <w:p w14:paraId="43779F7B" w14:textId="77777777" w:rsidR="00F74B5E" w:rsidRPr="008F251D" w:rsidRDefault="00F74B5E" w:rsidP="008F251D">
      <w:pPr>
        <w:pStyle w:val="a5"/>
        <w:rPr>
          <w:rtl/>
        </w:rPr>
      </w:pPr>
      <w:r w:rsidRPr="008F251D">
        <w:rPr>
          <w:rStyle w:val="FootnoteReference"/>
          <w:vertAlign w:val="baseline"/>
        </w:rPr>
        <w:footnoteRef/>
      </w:r>
      <w:r w:rsidRPr="008F251D">
        <w:rPr>
          <w:rtl/>
        </w:rPr>
        <w:t xml:space="preserve"> </w:t>
      </w:r>
      <w:r w:rsidRPr="008F251D">
        <w:rPr>
          <w:rtl/>
        </w:rPr>
        <w:tab/>
      </w:r>
      <w:r w:rsidRPr="008F251D">
        <w:rPr>
          <w:rFonts w:hint="eastAsia"/>
          <w:rtl/>
        </w:rPr>
        <w:t>ישראל</w:t>
      </w:r>
      <w:r w:rsidRPr="008F251D">
        <w:rPr>
          <w:rtl/>
        </w:rPr>
        <w:t xml:space="preserve"> </w:t>
      </w:r>
      <w:r w:rsidRPr="008F251D">
        <w:rPr>
          <w:rFonts w:hint="eastAsia"/>
          <w:rtl/>
        </w:rPr>
        <w:t>חתומה</w:t>
      </w:r>
      <w:r w:rsidRPr="008F251D">
        <w:rPr>
          <w:rtl/>
        </w:rPr>
        <w:t xml:space="preserve">, </w:t>
      </w:r>
      <w:r w:rsidRPr="008F251D">
        <w:rPr>
          <w:rFonts w:hint="eastAsia"/>
          <w:rtl/>
        </w:rPr>
        <w:t>בין</w:t>
      </w:r>
      <w:r w:rsidRPr="008F251D">
        <w:rPr>
          <w:rtl/>
        </w:rPr>
        <w:t xml:space="preserve"> </w:t>
      </w:r>
      <w:r w:rsidRPr="008F251D">
        <w:rPr>
          <w:rFonts w:hint="eastAsia"/>
          <w:rtl/>
        </w:rPr>
        <w:t>היתר</w:t>
      </w:r>
      <w:r w:rsidRPr="008F251D">
        <w:rPr>
          <w:rtl/>
        </w:rPr>
        <w:t xml:space="preserve">, </w:t>
      </w:r>
      <w:r w:rsidRPr="008F251D">
        <w:rPr>
          <w:rFonts w:hint="eastAsia"/>
          <w:rtl/>
        </w:rPr>
        <w:t>על</w:t>
      </w:r>
      <w:r w:rsidRPr="008F251D">
        <w:rPr>
          <w:rtl/>
        </w:rPr>
        <w:t xml:space="preserve"> </w:t>
      </w:r>
      <w:r w:rsidRPr="008F251D">
        <w:rPr>
          <w:rFonts w:hint="eastAsia"/>
          <w:rtl/>
        </w:rPr>
        <w:t>האמנות</w:t>
      </w:r>
      <w:r w:rsidRPr="008F251D">
        <w:rPr>
          <w:rtl/>
        </w:rPr>
        <w:t xml:space="preserve"> </w:t>
      </w:r>
      <w:r w:rsidRPr="008F251D">
        <w:rPr>
          <w:rFonts w:hint="eastAsia"/>
          <w:rtl/>
        </w:rPr>
        <w:t>ה</w:t>
      </w:r>
      <w:r w:rsidRPr="008F251D">
        <w:rPr>
          <w:rFonts w:hint="cs"/>
          <w:rtl/>
        </w:rPr>
        <w:t>אלה:</w:t>
      </w:r>
      <w:r w:rsidRPr="008F251D">
        <w:rPr>
          <w:rtl/>
        </w:rPr>
        <w:t xml:space="preserve"> </w:t>
      </w:r>
      <w:r w:rsidRPr="008F251D">
        <w:rPr>
          <w:rFonts w:hint="eastAsia"/>
          <w:rtl/>
        </w:rPr>
        <w:t>האמנה</w:t>
      </w:r>
      <w:r w:rsidRPr="008F251D">
        <w:rPr>
          <w:rtl/>
        </w:rPr>
        <w:t xml:space="preserve"> </w:t>
      </w:r>
      <w:r w:rsidRPr="008F251D">
        <w:rPr>
          <w:rFonts w:hint="eastAsia"/>
          <w:rtl/>
        </w:rPr>
        <w:t>האירופית</w:t>
      </w:r>
      <w:r w:rsidRPr="008F251D">
        <w:rPr>
          <w:rtl/>
        </w:rPr>
        <w:t xml:space="preserve"> </w:t>
      </w:r>
      <w:r w:rsidRPr="008F251D">
        <w:rPr>
          <w:rFonts w:hint="eastAsia"/>
          <w:rtl/>
        </w:rPr>
        <w:t>בדבר</w:t>
      </w:r>
      <w:r w:rsidRPr="008F251D">
        <w:rPr>
          <w:rtl/>
        </w:rPr>
        <w:t xml:space="preserve"> </w:t>
      </w:r>
      <w:r w:rsidRPr="008F251D">
        <w:rPr>
          <w:rFonts w:hint="eastAsia"/>
          <w:rtl/>
        </w:rPr>
        <w:t>עזרה</w:t>
      </w:r>
      <w:r w:rsidRPr="008F251D">
        <w:rPr>
          <w:rtl/>
        </w:rPr>
        <w:t xml:space="preserve"> </w:t>
      </w:r>
      <w:r w:rsidRPr="008F251D">
        <w:rPr>
          <w:rFonts w:hint="eastAsia"/>
          <w:rtl/>
        </w:rPr>
        <w:t>משפטית</w:t>
      </w:r>
      <w:r w:rsidRPr="008F251D">
        <w:rPr>
          <w:rtl/>
        </w:rPr>
        <w:t xml:space="preserve"> </w:t>
      </w:r>
      <w:r w:rsidRPr="008F251D">
        <w:rPr>
          <w:rFonts w:hint="eastAsia"/>
          <w:rtl/>
        </w:rPr>
        <w:t>בעניינים</w:t>
      </w:r>
      <w:r w:rsidRPr="008F251D">
        <w:rPr>
          <w:rtl/>
        </w:rPr>
        <w:t xml:space="preserve"> </w:t>
      </w:r>
      <w:r w:rsidRPr="008F251D">
        <w:rPr>
          <w:rFonts w:hint="eastAsia"/>
          <w:rtl/>
        </w:rPr>
        <w:t>פליליים</w:t>
      </w:r>
      <w:r w:rsidRPr="008F251D">
        <w:rPr>
          <w:rtl/>
        </w:rPr>
        <w:t xml:space="preserve">, </w:t>
      </w:r>
      <w:r w:rsidRPr="008F251D">
        <w:rPr>
          <w:rFonts w:hint="cs"/>
          <w:rtl/>
        </w:rPr>
        <w:t>ש</w:t>
      </w:r>
      <w:r w:rsidRPr="008F251D">
        <w:rPr>
          <w:rFonts w:hint="eastAsia"/>
          <w:rtl/>
        </w:rPr>
        <w:t>נחתמה</w:t>
      </w:r>
      <w:r w:rsidRPr="008F251D">
        <w:rPr>
          <w:rtl/>
        </w:rPr>
        <w:t xml:space="preserve"> </w:t>
      </w:r>
      <w:r w:rsidRPr="008F251D">
        <w:rPr>
          <w:rFonts w:hint="eastAsia"/>
          <w:rtl/>
        </w:rPr>
        <w:t>ב</w:t>
      </w:r>
      <w:r w:rsidRPr="008F251D">
        <w:rPr>
          <w:rtl/>
        </w:rPr>
        <w:t>-1959</w:t>
      </w:r>
      <w:r w:rsidRPr="008F251D">
        <w:rPr>
          <w:rFonts w:hint="cs"/>
          <w:rtl/>
        </w:rPr>
        <w:t>.</w:t>
      </w:r>
      <w:r w:rsidRPr="008F251D">
        <w:rPr>
          <w:rtl/>
        </w:rPr>
        <w:t xml:space="preserve"> </w:t>
      </w:r>
      <w:r w:rsidRPr="008F251D">
        <w:rPr>
          <w:rFonts w:hint="eastAsia"/>
          <w:rtl/>
        </w:rPr>
        <w:t>ישראל</w:t>
      </w:r>
      <w:r w:rsidRPr="008F251D">
        <w:rPr>
          <w:rtl/>
        </w:rPr>
        <w:t xml:space="preserve"> </w:t>
      </w:r>
      <w:r w:rsidRPr="008F251D">
        <w:rPr>
          <w:rFonts w:hint="eastAsia"/>
          <w:rtl/>
        </w:rPr>
        <w:t>הצטרפה</w:t>
      </w:r>
      <w:r w:rsidRPr="008F251D">
        <w:rPr>
          <w:rtl/>
        </w:rPr>
        <w:t xml:space="preserve"> </w:t>
      </w:r>
      <w:r w:rsidRPr="008F251D">
        <w:rPr>
          <w:rFonts w:hint="eastAsia"/>
          <w:rtl/>
        </w:rPr>
        <w:t>ואשררה</w:t>
      </w:r>
      <w:r w:rsidRPr="008F251D">
        <w:rPr>
          <w:rtl/>
        </w:rPr>
        <w:t xml:space="preserve"> </w:t>
      </w:r>
      <w:r w:rsidRPr="008F251D">
        <w:rPr>
          <w:rFonts w:hint="eastAsia"/>
          <w:rtl/>
        </w:rPr>
        <w:t>ב</w:t>
      </w:r>
      <w:r w:rsidRPr="008F251D">
        <w:rPr>
          <w:rFonts w:hint="cs"/>
          <w:rtl/>
        </w:rPr>
        <w:t>-</w:t>
      </w:r>
      <w:r w:rsidRPr="008F251D">
        <w:rPr>
          <w:rtl/>
        </w:rPr>
        <w:t>1967;</w:t>
      </w:r>
      <w:r w:rsidRPr="008F251D">
        <w:rPr>
          <w:rFonts w:hint="cs"/>
          <w:rtl/>
        </w:rPr>
        <w:t xml:space="preserve"> </w:t>
      </w:r>
      <w:r w:rsidRPr="008F251D">
        <w:rPr>
          <w:rtl/>
        </w:rPr>
        <w:t>האמנה בין ישראל לאר</w:t>
      </w:r>
      <w:r w:rsidRPr="008F251D">
        <w:rPr>
          <w:rFonts w:hint="cs"/>
          <w:rtl/>
        </w:rPr>
        <w:t>צות הברית</w:t>
      </w:r>
      <w:r w:rsidRPr="008F251D">
        <w:rPr>
          <w:rtl/>
        </w:rPr>
        <w:t xml:space="preserve"> בדבר עזרה משפטית בעניינים פליליים</w:t>
      </w:r>
      <w:r w:rsidRPr="008F251D">
        <w:rPr>
          <w:rFonts w:hint="cs"/>
          <w:rtl/>
        </w:rPr>
        <w:t>, שנחתמה ב-</w:t>
      </w:r>
      <w:r w:rsidRPr="008F251D">
        <w:rPr>
          <w:rtl/>
        </w:rPr>
        <w:t>1998</w:t>
      </w:r>
      <w:r w:rsidRPr="008F251D">
        <w:rPr>
          <w:rFonts w:hint="cs"/>
          <w:rtl/>
        </w:rPr>
        <w:t xml:space="preserve">; </w:t>
      </w:r>
      <w:r w:rsidRPr="008F251D">
        <w:rPr>
          <w:rFonts w:hint="eastAsia"/>
          <w:rtl/>
        </w:rPr>
        <w:t>האמנה</w:t>
      </w:r>
      <w:r w:rsidRPr="008F251D">
        <w:rPr>
          <w:rtl/>
        </w:rPr>
        <w:t xml:space="preserve"> </w:t>
      </w:r>
      <w:r w:rsidRPr="008F251D">
        <w:rPr>
          <w:rFonts w:hint="eastAsia"/>
          <w:rtl/>
        </w:rPr>
        <w:t>בין</w:t>
      </w:r>
      <w:r w:rsidRPr="008F251D">
        <w:rPr>
          <w:rtl/>
        </w:rPr>
        <w:t xml:space="preserve"> </w:t>
      </w:r>
      <w:r w:rsidRPr="008F251D">
        <w:rPr>
          <w:rFonts w:hint="eastAsia"/>
          <w:rtl/>
        </w:rPr>
        <w:t>ישראל</w:t>
      </w:r>
      <w:r w:rsidRPr="008F251D">
        <w:rPr>
          <w:rtl/>
        </w:rPr>
        <w:t xml:space="preserve"> </w:t>
      </w:r>
      <w:r w:rsidRPr="008F251D">
        <w:rPr>
          <w:rFonts w:hint="cs"/>
          <w:rtl/>
        </w:rPr>
        <w:t>ל</w:t>
      </w:r>
      <w:r w:rsidRPr="008F251D">
        <w:rPr>
          <w:rFonts w:hint="eastAsia"/>
          <w:rtl/>
        </w:rPr>
        <w:t>קנדה</w:t>
      </w:r>
      <w:r w:rsidRPr="008F251D">
        <w:rPr>
          <w:rtl/>
        </w:rPr>
        <w:t xml:space="preserve"> </w:t>
      </w:r>
      <w:r w:rsidRPr="008F251D">
        <w:rPr>
          <w:rFonts w:hint="eastAsia"/>
          <w:rtl/>
        </w:rPr>
        <w:t>בדבר</w:t>
      </w:r>
      <w:r w:rsidRPr="008F251D">
        <w:rPr>
          <w:rtl/>
        </w:rPr>
        <w:t xml:space="preserve"> </w:t>
      </w:r>
      <w:r w:rsidRPr="008F251D">
        <w:rPr>
          <w:rFonts w:hint="eastAsia"/>
          <w:rtl/>
        </w:rPr>
        <w:t>עזרה</w:t>
      </w:r>
      <w:r w:rsidRPr="008F251D">
        <w:rPr>
          <w:rtl/>
        </w:rPr>
        <w:t xml:space="preserve"> </w:t>
      </w:r>
      <w:r w:rsidRPr="008F251D">
        <w:rPr>
          <w:rFonts w:hint="eastAsia"/>
          <w:rtl/>
        </w:rPr>
        <w:t>משפטית</w:t>
      </w:r>
      <w:r w:rsidRPr="008F251D">
        <w:rPr>
          <w:rtl/>
        </w:rPr>
        <w:t xml:space="preserve"> </w:t>
      </w:r>
      <w:r w:rsidRPr="008F251D">
        <w:rPr>
          <w:rFonts w:hint="eastAsia"/>
          <w:rtl/>
        </w:rPr>
        <w:t>בעניינים</w:t>
      </w:r>
      <w:r w:rsidRPr="008F251D">
        <w:rPr>
          <w:rtl/>
        </w:rPr>
        <w:t xml:space="preserve"> </w:t>
      </w:r>
      <w:r w:rsidRPr="008F251D">
        <w:rPr>
          <w:rFonts w:hint="eastAsia"/>
          <w:rtl/>
        </w:rPr>
        <w:t>פליליים</w:t>
      </w:r>
      <w:r w:rsidRPr="008F251D">
        <w:rPr>
          <w:rFonts w:hint="cs"/>
          <w:rtl/>
        </w:rPr>
        <w:t>, שנחתמה ב-1996</w:t>
      </w:r>
      <w:r w:rsidRPr="008F251D">
        <w:rPr>
          <w:rtl/>
        </w:rPr>
        <w:t xml:space="preserve">; </w:t>
      </w:r>
      <w:r w:rsidRPr="008F251D">
        <w:rPr>
          <w:rFonts w:hint="eastAsia"/>
          <w:rtl/>
        </w:rPr>
        <w:t>אמנת</w:t>
      </w:r>
      <w:r w:rsidRPr="008F251D">
        <w:rPr>
          <w:rtl/>
        </w:rPr>
        <w:t xml:space="preserve"> </w:t>
      </w:r>
      <w:r w:rsidRPr="008F251D">
        <w:rPr>
          <w:rFonts w:hint="eastAsia"/>
          <w:rtl/>
        </w:rPr>
        <w:t>האו</w:t>
      </w:r>
      <w:r w:rsidRPr="008F251D">
        <w:rPr>
          <w:rtl/>
        </w:rPr>
        <w:t xml:space="preserve">"ם </w:t>
      </w:r>
      <w:r w:rsidRPr="008F251D">
        <w:rPr>
          <w:rFonts w:hint="eastAsia"/>
          <w:rtl/>
        </w:rPr>
        <w:t>נגד</w:t>
      </w:r>
      <w:r w:rsidRPr="008F251D">
        <w:rPr>
          <w:rtl/>
        </w:rPr>
        <w:t xml:space="preserve"> </w:t>
      </w:r>
      <w:r w:rsidRPr="008F251D">
        <w:rPr>
          <w:rFonts w:hint="eastAsia"/>
          <w:rtl/>
        </w:rPr>
        <w:t>שחיתות</w:t>
      </w:r>
      <w:r w:rsidRPr="008F251D">
        <w:rPr>
          <w:rtl/>
        </w:rPr>
        <w:t xml:space="preserve">, 2003; </w:t>
      </w:r>
      <w:r w:rsidRPr="008F251D">
        <w:rPr>
          <w:rFonts w:hint="eastAsia"/>
          <w:rtl/>
        </w:rPr>
        <w:t>אמנות</w:t>
      </w:r>
      <w:r w:rsidRPr="008F251D">
        <w:rPr>
          <w:rtl/>
        </w:rPr>
        <w:t xml:space="preserve"> </w:t>
      </w:r>
      <w:r w:rsidRPr="008F251D">
        <w:rPr>
          <w:rFonts w:hint="eastAsia"/>
          <w:rtl/>
        </w:rPr>
        <w:t>מולטילטרליות</w:t>
      </w:r>
      <w:r w:rsidRPr="008F251D">
        <w:rPr>
          <w:rtl/>
        </w:rPr>
        <w:t xml:space="preserve"> </w:t>
      </w:r>
      <w:r w:rsidRPr="008F251D">
        <w:rPr>
          <w:rFonts w:hint="eastAsia"/>
          <w:rtl/>
        </w:rPr>
        <w:t>בתחומי</w:t>
      </w:r>
      <w:r w:rsidRPr="008F251D">
        <w:rPr>
          <w:rtl/>
        </w:rPr>
        <w:t xml:space="preserve"> </w:t>
      </w:r>
      <w:r w:rsidRPr="008F251D">
        <w:rPr>
          <w:rFonts w:hint="eastAsia"/>
          <w:rtl/>
        </w:rPr>
        <w:t>פשיעה</w:t>
      </w:r>
      <w:r w:rsidRPr="008F251D">
        <w:rPr>
          <w:rtl/>
        </w:rPr>
        <w:t xml:space="preserve"> </w:t>
      </w:r>
      <w:r w:rsidRPr="008F251D">
        <w:rPr>
          <w:rFonts w:hint="eastAsia"/>
          <w:rtl/>
        </w:rPr>
        <w:t>ספציפיים</w:t>
      </w:r>
      <w:r w:rsidRPr="008F251D">
        <w:rPr>
          <w:rtl/>
        </w:rPr>
        <w:t xml:space="preserve">: </w:t>
      </w:r>
      <w:r w:rsidRPr="008F251D">
        <w:rPr>
          <w:rFonts w:hint="eastAsia"/>
          <w:rtl/>
        </w:rPr>
        <w:t>אמנת</w:t>
      </w:r>
      <w:r w:rsidRPr="008F251D">
        <w:rPr>
          <w:rtl/>
        </w:rPr>
        <w:t xml:space="preserve"> </w:t>
      </w:r>
      <w:r w:rsidRPr="008F251D">
        <w:rPr>
          <w:rFonts w:hint="cs"/>
          <w:rtl/>
        </w:rPr>
        <w:t>האו"ם</w:t>
      </w:r>
      <w:r w:rsidRPr="008F251D">
        <w:rPr>
          <w:rtl/>
        </w:rPr>
        <w:t xml:space="preserve"> </w:t>
      </w:r>
      <w:r w:rsidRPr="008F251D">
        <w:rPr>
          <w:rFonts w:hint="eastAsia"/>
          <w:rtl/>
        </w:rPr>
        <w:t>למאבק</w:t>
      </w:r>
      <w:r w:rsidRPr="008F251D">
        <w:rPr>
          <w:rtl/>
        </w:rPr>
        <w:t xml:space="preserve"> </w:t>
      </w:r>
      <w:r w:rsidRPr="008F251D">
        <w:rPr>
          <w:rFonts w:hint="eastAsia"/>
          <w:rtl/>
        </w:rPr>
        <w:t>בסמים</w:t>
      </w:r>
      <w:r w:rsidRPr="008F251D">
        <w:rPr>
          <w:rtl/>
        </w:rPr>
        <w:t xml:space="preserve"> </w:t>
      </w:r>
      <w:r w:rsidRPr="008F251D">
        <w:rPr>
          <w:rFonts w:hint="eastAsia"/>
          <w:rtl/>
        </w:rPr>
        <w:t>ובחומרים</w:t>
      </w:r>
      <w:r w:rsidRPr="008F251D">
        <w:rPr>
          <w:rtl/>
        </w:rPr>
        <w:t xml:space="preserve"> </w:t>
      </w:r>
      <w:r w:rsidRPr="008F251D">
        <w:rPr>
          <w:rFonts w:hint="eastAsia"/>
          <w:rtl/>
        </w:rPr>
        <w:t>פסיכוטרופיים</w:t>
      </w:r>
      <w:r w:rsidRPr="008F251D">
        <w:rPr>
          <w:rtl/>
        </w:rPr>
        <w:t xml:space="preserve"> </w:t>
      </w:r>
      <w:r w:rsidRPr="008F251D">
        <w:rPr>
          <w:rFonts w:hint="cs"/>
          <w:rtl/>
        </w:rPr>
        <w:t>מ-</w:t>
      </w:r>
      <w:r w:rsidRPr="008F251D">
        <w:rPr>
          <w:rtl/>
        </w:rPr>
        <w:t>1988</w:t>
      </w:r>
      <w:r w:rsidRPr="008F251D">
        <w:rPr>
          <w:rFonts w:hint="cs"/>
          <w:rtl/>
        </w:rPr>
        <w:t xml:space="preserve"> (אמנת וינה)</w:t>
      </w:r>
      <w:r w:rsidRPr="008F251D">
        <w:rPr>
          <w:rtl/>
        </w:rPr>
        <w:t xml:space="preserve">, </w:t>
      </w:r>
      <w:r w:rsidRPr="008F251D">
        <w:rPr>
          <w:rFonts w:hint="eastAsia"/>
          <w:rtl/>
        </w:rPr>
        <w:t>אמנת</w:t>
      </w:r>
      <w:r w:rsidRPr="008F251D">
        <w:rPr>
          <w:rtl/>
        </w:rPr>
        <w:t xml:space="preserve"> </w:t>
      </w:r>
      <w:r w:rsidRPr="008F251D">
        <w:rPr>
          <w:rFonts w:hint="cs"/>
          <w:rtl/>
        </w:rPr>
        <w:t>האו"ם</w:t>
      </w:r>
      <w:r w:rsidRPr="008F251D">
        <w:rPr>
          <w:rtl/>
        </w:rPr>
        <w:t xml:space="preserve"> </w:t>
      </w:r>
      <w:r w:rsidRPr="008F251D">
        <w:rPr>
          <w:rFonts w:hint="eastAsia"/>
          <w:rtl/>
        </w:rPr>
        <w:t>למאבק</w:t>
      </w:r>
      <w:r w:rsidRPr="008F251D">
        <w:rPr>
          <w:rtl/>
        </w:rPr>
        <w:t xml:space="preserve"> </w:t>
      </w:r>
      <w:r w:rsidRPr="008F251D">
        <w:rPr>
          <w:rFonts w:hint="eastAsia"/>
          <w:rtl/>
        </w:rPr>
        <w:t>בפשע</w:t>
      </w:r>
      <w:r w:rsidRPr="008F251D">
        <w:rPr>
          <w:rtl/>
        </w:rPr>
        <w:t xml:space="preserve"> </w:t>
      </w:r>
      <w:r w:rsidRPr="008F251D">
        <w:rPr>
          <w:rFonts w:hint="eastAsia"/>
          <w:rtl/>
        </w:rPr>
        <w:t>המאורגן</w:t>
      </w:r>
      <w:r w:rsidRPr="008F251D">
        <w:rPr>
          <w:rtl/>
        </w:rPr>
        <w:t xml:space="preserve"> </w:t>
      </w:r>
      <w:r w:rsidRPr="008F251D">
        <w:rPr>
          <w:rFonts w:hint="cs"/>
          <w:rtl/>
        </w:rPr>
        <w:t>מ-</w:t>
      </w:r>
      <w:r w:rsidRPr="008F251D">
        <w:rPr>
          <w:rtl/>
        </w:rPr>
        <w:t>2000</w:t>
      </w:r>
      <w:r w:rsidRPr="008F251D">
        <w:rPr>
          <w:rFonts w:hint="cs"/>
          <w:rtl/>
        </w:rPr>
        <w:t xml:space="preserve"> (אמנת פלרמו)</w:t>
      </w:r>
      <w:r w:rsidRPr="008F251D">
        <w:rPr>
          <w:rtl/>
        </w:rPr>
        <w:t xml:space="preserve">; </w:t>
      </w:r>
      <w:r w:rsidRPr="008F251D">
        <w:rPr>
          <w:rFonts w:hint="eastAsia"/>
          <w:rtl/>
        </w:rPr>
        <w:t>הסכמי</w:t>
      </w:r>
      <w:r w:rsidRPr="008F251D">
        <w:rPr>
          <w:rtl/>
        </w:rPr>
        <w:t xml:space="preserve"> </w:t>
      </w:r>
      <w:r w:rsidRPr="008F251D">
        <w:rPr>
          <w:rFonts w:hint="eastAsia"/>
          <w:rtl/>
        </w:rPr>
        <w:t>ש</w:t>
      </w:r>
      <w:r w:rsidRPr="008F251D">
        <w:rPr>
          <w:rFonts w:hint="cs"/>
          <w:rtl/>
        </w:rPr>
        <w:t>יתוף פעולה</w:t>
      </w:r>
      <w:r w:rsidRPr="008F251D">
        <w:rPr>
          <w:rtl/>
        </w:rPr>
        <w:t xml:space="preserve"> </w:t>
      </w:r>
      <w:r w:rsidRPr="008F251D">
        <w:rPr>
          <w:rFonts w:hint="eastAsia"/>
          <w:rtl/>
        </w:rPr>
        <w:t>בין</w:t>
      </w:r>
      <w:r w:rsidRPr="008F251D">
        <w:rPr>
          <w:rtl/>
        </w:rPr>
        <w:t xml:space="preserve"> </w:t>
      </w:r>
      <w:r w:rsidRPr="008F251D">
        <w:rPr>
          <w:rFonts w:hint="cs"/>
          <w:rtl/>
        </w:rPr>
        <w:t>ה</w:t>
      </w:r>
      <w:r w:rsidRPr="008F251D">
        <w:rPr>
          <w:rFonts w:hint="eastAsia"/>
          <w:rtl/>
        </w:rPr>
        <w:t>משרד</w:t>
      </w:r>
      <w:r w:rsidRPr="008F251D">
        <w:rPr>
          <w:rtl/>
        </w:rPr>
        <w:t xml:space="preserve"> </w:t>
      </w:r>
      <w:r w:rsidRPr="008F251D">
        <w:rPr>
          <w:rFonts w:hint="eastAsia"/>
          <w:rtl/>
        </w:rPr>
        <w:t>לב</w:t>
      </w:r>
      <w:r w:rsidRPr="008F251D">
        <w:rPr>
          <w:rFonts w:hint="cs"/>
          <w:rtl/>
        </w:rPr>
        <w:t>יטחון פנים</w:t>
      </w:r>
      <w:r w:rsidRPr="008F251D">
        <w:rPr>
          <w:rtl/>
        </w:rPr>
        <w:t xml:space="preserve"> </w:t>
      </w:r>
      <w:r w:rsidRPr="008F251D">
        <w:rPr>
          <w:rFonts w:hint="eastAsia"/>
          <w:rtl/>
        </w:rPr>
        <w:t>הישראלי</w:t>
      </w:r>
      <w:r w:rsidRPr="008F251D">
        <w:rPr>
          <w:rtl/>
        </w:rPr>
        <w:t xml:space="preserve"> </w:t>
      </w:r>
      <w:r w:rsidRPr="008F251D">
        <w:rPr>
          <w:rFonts w:hint="eastAsia"/>
          <w:rtl/>
        </w:rPr>
        <w:t>לעמיתיו</w:t>
      </w:r>
      <w:r w:rsidRPr="008F251D">
        <w:rPr>
          <w:rtl/>
        </w:rPr>
        <w:t xml:space="preserve"> </w:t>
      </w:r>
      <w:r w:rsidRPr="008F251D">
        <w:rPr>
          <w:rFonts w:hint="eastAsia"/>
          <w:rtl/>
        </w:rPr>
        <w:t>הזרים</w:t>
      </w:r>
      <w:r w:rsidRPr="008F251D">
        <w:rPr>
          <w:rtl/>
        </w:rPr>
        <w:t xml:space="preserve">. </w:t>
      </w:r>
      <w:r w:rsidRPr="008F251D">
        <w:rPr>
          <w:rFonts w:hint="cs"/>
          <w:rtl/>
        </w:rPr>
        <w:t>המשטרה היא</w:t>
      </w:r>
      <w:r w:rsidRPr="008F251D">
        <w:rPr>
          <w:rtl/>
        </w:rPr>
        <w:t xml:space="preserve"> </w:t>
      </w:r>
      <w:r w:rsidRPr="008F251D">
        <w:rPr>
          <w:rFonts w:hint="eastAsia"/>
          <w:rtl/>
        </w:rPr>
        <w:t>המכשיר</w:t>
      </w:r>
      <w:r w:rsidRPr="008F251D">
        <w:rPr>
          <w:rtl/>
        </w:rPr>
        <w:t xml:space="preserve"> </w:t>
      </w:r>
      <w:r w:rsidRPr="008F251D">
        <w:rPr>
          <w:rFonts w:hint="eastAsia"/>
          <w:rtl/>
        </w:rPr>
        <w:t>העיקרי</w:t>
      </w:r>
      <w:r w:rsidRPr="008F251D">
        <w:rPr>
          <w:rtl/>
        </w:rPr>
        <w:t xml:space="preserve"> </w:t>
      </w:r>
      <w:r w:rsidRPr="008F251D">
        <w:rPr>
          <w:rFonts w:hint="eastAsia"/>
          <w:rtl/>
        </w:rPr>
        <w:t>להוציא</w:t>
      </w:r>
      <w:r w:rsidRPr="008F251D">
        <w:rPr>
          <w:rtl/>
        </w:rPr>
        <w:t xml:space="preserve"> </w:t>
      </w:r>
      <w:r w:rsidRPr="008F251D">
        <w:rPr>
          <w:rFonts w:hint="eastAsia"/>
          <w:rtl/>
        </w:rPr>
        <w:t>לפועל</w:t>
      </w:r>
      <w:r w:rsidRPr="008F251D">
        <w:rPr>
          <w:rtl/>
        </w:rPr>
        <w:t xml:space="preserve"> </w:t>
      </w:r>
      <w:r w:rsidRPr="008F251D">
        <w:rPr>
          <w:rFonts w:hint="eastAsia"/>
          <w:rtl/>
        </w:rPr>
        <w:t>הסכמים</w:t>
      </w:r>
      <w:r w:rsidRPr="008F251D">
        <w:rPr>
          <w:rtl/>
        </w:rPr>
        <w:t xml:space="preserve"> </w:t>
      </w:r>
      <w:r w:rsidRPr="008F251D">
        <w:rPr>
          <w:rFonts w:hint="eastAsia"/>
          <w:rtl/>
        </w:rPr>
        <w:t>אלו</w:t>
      </w:r>
      <w:r w:rsidRPr="008F251D">
        <w:rPr>
          <w:rFonts w:hint="cs"/>
          <w:rtl/>
        </w:rPr>
        <w:t>,</w:t>
      </w:r>
      <w:r w:rsidRPr="008F251D">
        <w:rPr>
          <w:rtl/>
        </w:rPr>
        <w:t xml:space="preserve"> </w:t>
      </w:r>
      <w:r w:rsidRPr="008F251D">
        <w:rPr>
          <w:rFonts w:hint="eastAsia"/>
          <w:rtl/>
        </w:rPr>
        <w:t>כזרועו</w:t>
      </w:r>
      <w:r w:rsidRPr="008F251D">
        <w:rPr>
          <w:rtl/>
        </w:rPr>
        <w:t xml:space="preserve"> </w:t>
      </w:r>
      <w:r w:rsidRPr="008F251D">
        <w:rPr>
          <w:rFonts w:hint="eastAsia"/>
          <w:rtl/>
        </w:rPr>
        <w:t>הארוכה</w:t>
      </w:r>
      <w:r w:rsidRPr="008F251D">
        <w:rPr>
          <w:rtl/>
        </w:rPr>
        <w:t xml:space="preserve"> </w:t>
      </w:r>
      <w:r w:rsidRPr="008F251D">
        <w:rPr>
          <w:rFonts w:hint="eastAsia"/>
          <w:rtl/>
        </w:rPr>
        <w:t>והמוסמכת</w:t>
      </w:r>
      <w:r w:rsidRPr="008F251D">
        <w:rPr>
          <w:rtl/>
        </w:rPr>
        <w:t xml:space="preserve"> </w:t>
      </w:r>
      <w:r w:rsidRPr="008F251D">
        <w:rPr>
          <w:rFonts w:hint="eastAsia"/>
          <w:rtl/>
        </w:rPr>
        <w:t>של</w:t>
      </w:r>
      <w:r w:rsidRPr="008F251D">
        <w:rPr>
          <w:rtl/>
        </w:rPr>
        <w:t xml:space="preserve"> </w:t>
      </w:r>
      <w:r w:rsidRPr="008F251D">
        <w:rPr>
          <w:rFonts w:hint="eastAsia"/>
          <w:rtl/>
        </w:rPr>
        <w:t>המשרד</w:t>
      </w:r>
      <w:r w:rsidRPr="008F251D">
        <w:rPr>
          <w:rtl/>
        </w:rPr>
        <w:t xml:space="preserve"> </w:t>
      </w:r>
      <w:r w:rsidRPr="008F251D">
        <w:rPr>
          <w:rFonts w:hint="eastAsia"/>
          <w:rtl/>
        </w:rPr>
        <w:t>לב</w:t>
      </w:r>
      <w:r w:rsidRPr="008F251D">
        <w:rPr>
          <w:rFonts w:hint="cs"/>
          <w:rtl/>
        </w:rPr>
        <w:t>יטחון פנים</w:t>
      </w:r>
      <w:r w:rsidRPr="008F251D">
        <w:rPr>
          <w:rtl/>
        </w:rPr>
        <w:t>.</w:t>
      </w:r>
      <w:r w:rsidRPr="008F251D">
        <w:rPr>
          <w:rFonts w:hint="cs"/>
          <w:rtl/>
        </w:rPr>
        <w:t xml:space="preserve"> </w:t>
      </w:r>
    </w:p>
  </w:footnote>
  <w:footnote w:id="59">
    <w:p w14:paraId="5F2E0EBE" w14:textId="77777777" w:rsidR="00F74B5E" w:rsidRPr="00D31C39" w:rsidRDefault="00F74B5E" w:rsidP="00D31C39">
      <w:pPr>
        <w:pStyle w:val="a5"/>
      </w:pPr>
      <w:r w:rsidRPr="00D31C39">
        <w:rPr>
          <w:rStyle w:val="FootnoteReference"/>
          <w:vertAlign w:val="baseline"/>
        </w:rPr>
        <w:footnoteRef/>
      </w:r>
      <w:r w:rsidRPr="00D31C39">
        <w:rPr>
          <w:rtl/>
        </w:rPr>
        <w:t xml:space="preserve"> </w:t>
      </w:r>
      <w:r w:rsidRPr="00D31C39">
        <w:rPr>
          <w:rtl/>
        </w:rPr>
        <w:tab/>
      </w:r>
      <w:r w:rsidRPr="00D31C39">
        <w:rPr>
          <w:rFonts w:hint="cs"/>
          <w:rtl/>
        </w:rPr>
        <w:t>בהתאם</w:t>
      </w:r>
      <w:r w:rsidRPr="00D31C39">
        <w:rPr>
          <w:rtl/>
        </w:rPr>
        <w:t xml:space="preserve"> </w:t>
      </w:r>
      <w:r w:rsidRPr="00D31C39">
        <w:rPr>
          <w:rFonts w:hint="cs"/>
          <w:rtl/>
        </w:rPr>
        <w:t>ל</w:t>
      </w:r>
      <w:r w:rsidRPr="00D31C39">
        <w:rPr>
          <w:rFonts w:hint="eastAsia"/>
          <w:rtl/>
        </w:rPr>
        <w:t>תקנות</w:t>
      </w:r>
      <w:r w:rsidRPr="00D31C39">
        <w:rPr>
          <w:rtl/>
        </w:rPr>
        <w:t xml:space="preserve"> </w:t>
      </w:r>
      <w:r w:rsidRPr="00D31C39">
        <w:rPr>
          <w:rFonts w:hint="eastAsia"/>
          <w:rtl/>
        </w:rPr>
        <w:t>המצאת</w:t>
      </w:r>
      <w:r w:rsidRPr="00D31C39">
        <w:rPr>
          <w:rtl/>
        </w:rPr>
        <w:t xml:space="preserve"> </w:t>
      </w:r>
      <w:r w:rsidRPr="00D31C39">
        <w:rPr>
          <w:rFonts w:hint="eastAsia"/>
          <w:rtl/>
        </w:rPr>
        <w:t>מסמכים</w:t>
      </w:r>
      <w:r w:rsidRPr="00D31C39">
        <w:rPr>
          <w:rtl/>
        </w:rPr>
        <w:t xml:space="preserve"> </w:t>
      </w:r>
      <w:r w:rsidRPr="00D31C39">
        <w:rPr>
          <w:rFonts w:hint="eastAsia"/>
          <w:rtl/>
        </w:rPr>
        <w:t>לפי</w:t>
      </w:r>
      <w:r w:rsidRPr="00D31C39">
        <w:rPr>
          <w:rtl/>
        </w:rPr>
        <w:t xml:space="preserve"> </w:t>
      </w:r>
      <w:r w:rsidRPr="00D31C39">
        <w:rPr>
          <w:rFonts w:hint="eastAsia"/>
          <w:rtl/>
        </w:rPr>
        <w:t>אמנת</w:t>
      </w:r>
      <w:r w:rsidRPr="00D31C39">
        <w:rPr>
          <w:rtl/>
        </w:rPr>
        <w:t xml:space="preserve"> </w:t>
      </w:r>
      <w:r w:rsidRPr="00D31C39">
        <w:rPr>
          <w:rFonts w:hint="eastAsia"/>
          <w:rtl/>
        </w:rPr>
        <w:t>האג</w:t>
      </w:r>
      <w:r w:rsidRPr="00D31C39">
        <w:rPr>
          <w:rtl/>
        </w:rPr>
        <w:t xml:space="preserve"> 1965, </w:t>
      </w:r>
      <w:r w:rsidRPr="00D31C39">
        <w:rPr>
          <w:rFonts w:hint="cs"/>
          <w:rtl/>
        </w:rPr>
        <w:t>ה</w:t>
      </w:r>
      <w:r w:rsidRPr="00D31C39">
        <w:rPr>
          <w:rFonts w:hint="eastAsia"/>
          <w:rtl/>
        </w:rPr>
        <w:t>תשל</w:t>
      </w:r>
      <w:r w:rsidRPr="00D31C39">
        <w:rPr>
          <w:rtl/>
        </w:rPr>
        <w:t>"ו-1975</w:t>
      </w:r>
      <w:r w:rsidRPr="00D31C39">
        <w:rPr>
          <w:rFonts w:hint="cs"/>
          <w:rtl/>
        </w:rPr>
        <w:t xml:space="preserve">. התנהלות זו מעוגנת גם בהסתייגות לאמנה </w:t>
      </w:r>
      <w:r w:rsidRPr="00D31C39">
        <w:rPr>
          <w:rtl/>
        </w:rPr>
        <w:t>-</w:t>
      </w:r>
      <w:r w:rsidRPr="00D31C39">
        <w:rPr>
          <w:rFonts w:hint="cs"/>
          <w:rtl/>
        </w:rPr>
        <w:t xml:space="preserve"> </w:t>
      </w:r>
      <w:r w:rsidRPr="00D31C39">
        <w:t>Reservations and Declarations for Treaty No.030 - European Convention on Mutual Assistance in Criminal Matters, Declarations in force as of Status of 29.7.19</w:t>
      </w:r>
      <w:r w:rsidRPr="00D31C39">
        <w:rPr>
          <w:rFonts w:hint="cs"/>
          <w:rtl/>
        </w:rPr>
        <w:t>.</w:t>
      </w:r>
      <w:r w:rsidRPr="00D31C39">
        <w:rPr>
          <w:rtl/>
        </w:rPr>
        <w:t xml:space="preserve"> </w:t>
      </w:r>
      <w:r w:rsidRPr="00D31C39">
        <w:rPr>
          <w:rFonts w:hint="cs"/>
          <w:rtl/>
        </w:rPr>
        <w:t>בקשות נכנסות לקבלת עזרה משפטית מתקבלות גם דרך המחלקה הבין-לאומית בפרקליטות המדינה. מדובר בבקשות בתחום השחיתות, על פי אמנת השחיתות הבין-לאומית.</w:t>
      </w:r>
    </w:p>
  </w:footnote>
  <w:footnote w:id="60">
    <w:p w14:paraId="04F87FCB" w14:textId="77777777" w:rsidR="00F74B5E" w:rsidRPr="00D31C39" w:rsidRDefault="00F74B5E" w:rsidP="00D31C39">
      <w:pPr>
        <w:pStyle w:val="a5"/>
        <w:rPr>
          <w:rtl/>
        </w:rPr>
      </w:pPr>
      <w:r w:rsidRPr="00D31C39">
        <w:rPr>
          <w:rStyle w:val="FootnoteReference"/>
          <w:vertAlign w:val="baseline"/>
        </w:rPr>
        <w:footnoteRef/>
      </w:r>
      <w:r w:rsidRPr="00D31C39">
        <w:rPr>
          <w:rtl/>
        </w:rPr>
        <w:t xml:space="preserve"> </w:t>
      </w:r>
      <w:r w:rsidRPr="00D31C39">
        <w:rPr>
          <w:rtl/>
        </w:rPr>
        <w:tab/>
      </w:r>
      <w:r w:rsidRPr="00D31C39">
        <w:rPr>
          <w:rFonts w:hint="cs"/>
          <w:rtl/>
        </w:rPr>
        <w:t>חוק עזרה משפטית קובע כי</w:t>
      </w:r>
      <w:r w:rsidRPr="00D31C39">
        <w:rPr>
          <w:rtl/>
        </w:rPr>
        <w:t xml:space="preserve"> שר המשפטים רשאי לאצול את סמכותו לעובד ציבור</w:t>
      </w:r>
      <w:r w:rsidRPr="00D31C39">
        <w:rPr>
          <w:rFonts w:hint="cs"/>
          <w:rtl/>
        </w:rPr>
        <w:t>,</w:t>
      </w:r>
      <w:r w:rsidRPr="00D31C39">
        <w:rPr>
          <w:rtl/>
        </w:rPr>
        <w:t xml:space="preserve"> בכפוף ל</w:t>
      </w:r>
      <w:r w:rsidRPr="00D31C39">
        <w:rPr>
          <w:rFonts w:hint="cs"/>
          <w:rtl/>
        </w:rPr>
        <w:t>הסכמת ה</w:t>
      </w:r>
      <w:r w:rsidRPr="00D31C39">
        <w:rPr>
          <w:rtl/>
        </w:rPr>
        <w:t>שר הממונה על אותו עובד ציבור</w:t>
      </w:r>
      <w:r w:rsidRPr="00D31C39">
        <w:rPr>
          <w:rFonts w:hint="cs"/>
          <w:rtl/>
        </w:rPr>
        <w:t>.</w:t>
      </w:r>
      <w:r w:rsidRPr="00D31C39">
        <w:rPr>
          <w:rtl/>
        </w:rPr>
        <w:t xml:space="preserve"> אצילת הסמכויות תפורסם ברשומות. בילקוט הפרסומים</w:t>
      </w:r>
      <w:r w:rsidRPr="00D31C39">
        <w:rPr>
          <w:rFonts w:hint="cs"/>
          <w:rtl/>
        </w:rPr>
        <w:t xml:space="preserve"> 5403</w:t>
      </w:r>
      <w:r w:rsidRPr="00D31C39">
        <w:rPr>
          <w:rtl/>
        </w:rPr>
        <w:t xml:space="preserve"> מ</w:t>
      </w:r>
      <w:r w:rsidRPr="00D31C39">
        <w:rPr>
          <w:rFonts w:hint="cs"/>
          <w:rtl/>
        </w:rPr>
        <w:t>-</w:t>
      </w:r>
      <w:r w:rsidRPr="00D31C39">
        <w:rPr>
          <w:rtl/>
        </w:rPr>
        <w:t xml:space="preserve"> 8.6.05</w:t>
      </w:r>
      <w:r w:rsidRPr="00D31C39">
        <w:rPr>
          <w:rFonts w:hint="cs"/>
          <w:rtl/>
        </w:rPr>
        <w:t>,</w:t>
      </w:r>
      <w:r w:rsidRPr="00D31C39">
        <w:rPr>
          <w:rtl/>
        </w:rPr>
        <w:t xml:space="preserve"> ע' 2902</w:t>
      </w:r>
      <w:r w:rsidRPr="00D31C39">
        <w:rPr>
          <w:rFonts w:hint="cs"/>
          <w:rtl/>
        </w:rPr>
        <w:t>,</w:t>
      </w:r>
      <w:r w:rsidRPr="00D31C39">
        <w:rPr>
          <w:rtl/>
        </w:rPr>
        <w:t xml:space="preserve"> </w:t>
      </w:r>
      <w:r w:rsidRPr="00D31C39">
        <w:rPr>
          <w:rFonts w:hint="cs"/>
          <w:rtl/>
        </w:rPr>
        <w:t xml:space="preserve">פורסמה אצילת </w:t>
      </w:r>
      <w:r w:rsidRPr="00D31C39">
        <w:rPr>
          <w:rtl/>
        </w:rPr>
        <w:t>הסמכות</w:t>
      </w:r>
      <w:r w:rsidRPr="00D31C39">
        <w:rPr>
          <w:rFonts w:hint="cs"/>
          <w:rtl/>
        </w:rPr>
        <w:t xml:space="preserve"> לעובדי הציבור האלה בישראל:</w:t>
      </w:r>
      <w:r w:rsidRPr="00D31C39">
        <w:rPr>
          <w:rtl/>
        </w:rPr>
        <w:t xml:space="preserve"> </w:t>
      </w:r>
      <w:r w:rsidRPr="00D31C39">
        <w:rPr>
          <w:rFonts w:hint="cs"/>
          <w:rtl/>
        </w:rPr>
        <w:t>ה</w:t>
      </w:r>
      <w:r w:rsidRPr="00D31C39">
        <w:rPr>
          <w:rtl/>
        </w:rPr>
        <w:t>מפכ"ל, ראש חטיבת המודיעין</w:t>
      </w:r>
      <w:r w:rsidRPr="00D31C39">
        <w:rPr>
          <w:rFonts w:hint="cs"/>
          <w:rtl/>
        </w:rPr>
        <w:t xml:space="preserve"> באגף לחקירות ומודיעין</w:t>
      </w:r>
      <w:r w:rsidRPr="00D31C39">
        <w:rPr>
          <w:rtl/>
        </w:rPr>
        <w:t xml:space="preserve"> וראש ה</w:t>
      </w:r>
      <w:r w:rsidRPr="00D31C39">
        <w:rPr>
          <w:rFonts w:hint="cs"/>
          <w:rtl/>
        </w:rPr>
        <w:t>מחלקה</w:t>
      </w:r>
      <w:r w:rsidRPr="00D31C39">
        <w:rPr>
          <w:rtl/>
        </w:rPr>
        <w:t xml:space="preserve"> לתפקידים מיוחדים</w:t>
      </w:r>
      <w:r w:rsidRPr="00D31C39">
        <w:rPr>
          <w:rFonts w:hint="cs"/>
          <w:rtl/>
        </w:rPr>
        <w:t xml:space="preserve"> בחטיבת המודיעין באגף לחקירות ומודיעין</w:t>
      </w:r>
      <w:r w:rsidRPr="00D31C39">
        <w:rPr>
          <w:rtl/>
        </w:rPr>
        <w:t>.</w:t>
      </w:r>
    </w:p>
  </w:footnote>
  <w:footnote w:id="61">
    <w:p w14:paraId="4C4B5062" w14:textId="77777777" w:rsidR="00F74B5E" w:rsidRPr="005854C5" w:rsidRDefault="00F74B5E" w:rsidP="005854C5">
      <w:pPr>
        <w:pStyle w:val="a5"/>
      </w:pPr>
      <w:r w:rsidRPr="005854C5">
        <w:rPr>
          <w:rtl/>
        </w:rPr>
        <w:t xml:space="preserve"> </w:t>
      </w:r>
      <w:r w:rsidRPr="005854C5">
        <w:rPr>
          <w:rStyle w:val="FootnoteReference"/>
          <w:vertAlign w:val="baseline"/>
        </w:rPr>
        <w:footnoteRef/>
      </w:r>
      <w:r w:rsidRPr="005854C5">
        <w:rPr>
          <w:rtl/>
        </w:rPr>
        <w:t xml:space="preserve"> </w:t>
      </w:r>
      <w:r w:rsidRPr="005854C5">
        <w:rPr>
          <w:rtl/>
        </w:rPr>
        <w:tab/>
        <w:t>מפרקליטות המדינה נמסר כי ישנן תפיסות ששוחררו לבקשת ישראל, אך לא נמסרו נתונים לגבי היקפן.</w:t>
      </w:r>
    </w:p>
  </w:footnote>
  <w:footnote w:id="62">
    <w:p w14:paraId="00579DF1" w14:textId="77777777" w:rsidR="00F74B5E" w:rsidRPr="005854C5" w:rsidRDefault="00F74B5E" w:rsidP="005854C5">
      <w:pPr>
        <w:pStyle w:val="a5"/>
        <w:rPr>
          <w:rtl/>
        </w:rPr>
      </w:pPr>
      <w:r w:rsidRPr="005854C5">
        <w:rPr>
          <w:rStyle w:val="FootnoteReference"/>
          <w:vertAlign w:val="baseline"/>
        </w:rPr>
        <w:footnoteRef/>
      </w:r>
      <w:r w:rsidRPr="005854C5">
        <w:rPr>
          <w:rtl/>
        </w:rPr>
        <w:t xml:space="preserve"> </w:t>
      </w:r>
      <w:r w:rsidRPr="005854C5">
        <w:rPr>
          <w:rtl/>
        </w:rPr>
        <w:tab/>
      </w:r>
      <w:r w:rsidRPr="005854C5">
        <w:t>FATF</w:t>
      </w:r>
      <w:r w:rsidRPr="005854C5">
        <w:rPr>
          <w:rFonts w:hint="cs"/>
        </w:rPr>
        <w:t xml:space="preserve"> A</w:t>
      </w:r>
      <w:r w:rsidRPr="005854C5">
        <w:t>nti-money laundering and counter-terrorist financing measures, United Kingdom, Mutual Evaluation Report, December 2018, pp. 78-79</w:t>
      </w:r>
      <w:r w:rsidRPr="005854C5">
        <w:rPr>
          <w:rFonts w:hint="cs"/>
          <w:rtl/>
        </w:rPr>
        <w:t>.</w:t>
      </w:r>
    </w:p>
  </w:footnote>
  <w:footnote w:id="63">
    <w:p w14:paraId="3C52CDF7" w14:textId="77777777" w:rsidR="00F74B5E" w:rsidRPr="00944BB5" w:rsidRDefault="00F74B5E" w:rsidP="00944BB5">
      <w:pPr>
        <w:pStyle w:val="a5"/>
        <w:rPr>
          <w:rtl/>
        </w:rPr>
      </w:pPr>
      <w:r w:rsidRPr="00944BB5">
        <w:rPr>
          <w:rStyle w:val="FootnoteReference"/>
          <w:vertAlign w:val="baseline"/>
        </w:rPr>
        <w:footnoteRef/>
      </w:r>
      <w:r w:rsidRPr="00944BB5">
        <w:rPr>
          <w:rtl/>
        </w:rPr>
        <w:t xml:space="preserve"> </w:t>
      </w:r>
      <w:r w:rsidRPr="00944BB5">
        <w:rPr>
          <w:rtl/>
        </w:rPr>
        <w:tab/>
        <w:t xml:space="preserve">קרן וינשל-מרגל, ענבל גלון ויפעת טרבולוס, </w:t>
      </w:r>
      <w:r w:rsidRPr="00944BB5">
        <w:rPr>
          <w:b/>
          <w:bCs/>
          <w:rtl/>
        </w:rPr>
        <w:t>יצירת מדד משקלות תיקים להערכת העומס השיפוטי בישראל</w:t>
      </w:r>
      <w:r w:rsidRPr="00944BB5">
        <w:rPr>
          <w:rtl/>
        </w:rPr>
        <w:t>, מחלקת המחקר של הרשות השופטת</w:t>
      </w:r>
      <w:r w:rsidRPr="00944BB5">
        <w:rPr>
          <w:rFonts w:hint="cs"/>
          <w:rtl/>
        </w:rPr>
        <w:t xml:space="preserve">, מרץ 2014. </w:t>
      </w:r>
    </w:p>
  </w:footnote>
  <w:footnote w:id="64">
    <w:p w14:paraId="4FB44509" w14:textId="77777777" w:rsidR="00F74B5E" w:rsidRPr="00944BB5" w:rsidRDefault="00F74B5E" w:rsidP="00944BB5">
      <w:pPr>
        <w:pStyle w:val="a5"/>
        <w:rPr>
          <w:rtl/>
        </w:rPr>
      </w:pPr>
      <w:r w:rsidRPr="00944BB5">
        <w:rPr>
          <w:rStyle w:val="FootnoteReference"/>
          <w:vertAlign w:val="baseline"/>
        </w:rPr>
        <w:footnoteRef/>
      </w:r>
      <w:r w:rsidRPr="00944BB5">
        <w:rPr>
          <w:rtl/>
        </w:rPr>
        <w:t xml:space="preserve"> </w:t>
      </w:r>
      <w:r w:rsidRPr="00944BB5">
        <w:rPr>
          <w:rtl/>
        </w:rPr>
        <w:tab/>
      </w:r>
      <w:r w:rsidRPr="00944BB5">
        <w:rPr>
          <w:rFonts w:hint="cs"/>
          <w:rtl/>
        </w:rPr>
        <w:t>סעיף 3 להוראות נוהל של נשיא בית המשפט העליון בנושא שמיעה רצופה של תיקים פליליים (בתוקף מיום 1.1.14) קובע: "על אף שלכאורה הדגש בשמיעה הרצופה הוא על שלב שמיעת ההוכחות, על בית המשפט להיערך ליישום הנוהל כבר בשלביו המקדמיים של ההליך. המטרה של קיצור משך ההליך לא תושג ללא התנהלות ראויה גם בשלבים המקדמיים, המתארכים לעיתים עד מאוד".</w:t>
      </w:r>
    </w:p>
  </w:footnote>
  <w:footnote w:id="65">
    <w:p w14:paraId="51C95D5C" w14:textId="77777777" w:rsidR="00F74B5E" w:rsidRPr="00944BB5" w:rsidRDefault="00F74B5E" w:rsidP="00944BB5">
      <w:pPr>
        <w:pStyle w:val="a5"/>
      </w:pPr>
      <w:r w:rsidRPr="00944BB5">
        <w:footnoteRef/>
      </w:r>
      <w:r w:rsidRPr="00944BB5">
        <w:rPr>
          <w:rtl/>
        </w:rPr>
        <w:t xml:space="preserve"> </w:t>
      </w:r>
      <w:r w:rsidRPr="00944BB5">
        <w:rPr>
          <w:rtl/>
        </w:rPr>
        <w:tab/>
        <w:t xml:space="preserve">בש"פ 3707/19 </w:t>
      </w:r>
      <w:r w:rsidRPr="00944BB5">
        <w:rPr>
          <w:b/>
          <w:bCs/>
          <w:rtl/>
        </w:rPr>
        <w:t>מדינת ישראל נ' פוגל</w:t>
      </w:r>
      <w:r w:rsidRPr="00944BB5">
        <w:rPr>
          <w:rtl/>
        </w:rPr>
        <w:t xml:space="preserve"> (</w:t>
      </w:r>
      <w:r w:rsidRPr="00944BB5">
        <w:rPr>
          <w:rFonts w:hint="cs"/>
          <w:rtl/>
        </w:rPr>
        <w:t xml:space="preserve">פורסם במאגר ממחושב, </w:t>
      </w:r>
      <w:r w:rsidRPr="00944BB5">
        <w:rPr>
          <w:rtl/>
        </w:rPr>
        <w:t>11.6.19)</w:t>
      </w:r>
      <w:r w:rsidRPr="00944BB5">
        <w:rPr>
          <w:rFonts w:hint="cs"/>
          <w:rtl/>
        </w:rPr>
        <w:t>.</w:t>
      </w:r>
    </w:p>
  </w:footnote>
  <w:footnote w:id="66">
    <w:p w14:paraId="350F6C43" w14:textId="77777777" w:rsidR="00F74B5E" w:rsidRPr="00E53248" w:rsidRDefault="00F74B5E" w:rsidP="00E53248">
      <w:pPr>
        <w:pStyle w:val="a5"/>
        <w:rPr>
          <w:rtl/>
        </w:rPr>
      </w:pPr>
      <w:r w:rsidRPr="00E53248">
        <w:footnoteRef/>
      </w:r>
      <w:r w:rsidRPr="00E53248">
        <w:rPr>
          <w:rtl/>
        </w:rPr>
        <w:t xml:space="preserve"> </w:t>
      </w:r>
      <w:r w:rsidRPr="00E53248">
        <w:rPr>
          <w:rtl/>
        </w:rPr>
        <w:tab/>
        <w:t xml:space="preserve">ע"פ 80/19 </w:t>
      </w:r>
      <w:r w:rsidRPr="00E53248">
        <w:rPr>
          <w:b/>
          <w:bCs/>
          <w:rtl/>
        </w:rPr>
        <w:t>מאיר שאיבות בע"מ נ' מדינת ישראל</w:t>
      </w:r>
      <w:r w:rsidRPr="00E53248">
        <w:rPr>
          <w:rtl/>
        </w:rPr>
        <w:t>, (</w:t>
      </w:r>
      <w:r w:rsidRPr="00E53248">
        <w:rPr>
          <w:rFonts w:hint="cs"/>
          <w:rtl/>
        </w:rPr>
        <w:t xml:space="preserve">פורסם במאגר ממוחשב, </w:t>
      </w:r>
      <w:r w:rsidRPr="00E53248">
        <w:rPr>
          <w:rtl/>
        </w:rPr>
        <w:t>11.8.19).</w:t>
      </w:r>
    </w:p>
  </w:footnote>
  <w:footnote w:id="67">
    <w:p w14:paraId="2BB91803" w14:textId="77777777" w:rsidR="00F74B5E" w:rsidRPr="00BE32EB" w:rsidRDefault="00F74B5E" w:rsidP="00BE32EB">
      <w:pPr>
        <w:pStyle w:val="a5"/>
      </w:pPr>
      <w:r w:rsidRPr="00BE32EB">
        <w:rPr>
          <w:rStyle w:val="FootnoteReference"/>
          <w:vertAlign w:val="baseline"/>
        </w:rPr>
        <w:footnoteRef/>
      </w:r>
      <w:r w:rsidRPr="00BE32EB">
        <w:rPr>
          <w:rtl/>
        </w:rPr>
        <w:t xml:space="preserve"> </w:t>
      </w:r>
      <w:r w:rsidRPr="00BE32EB">
        <w:rPr>
          <w:rtl/>
        </w:rPr>
        <w:tab/>
      </w:r>
      <w:r w:rsidRPr="00BE32EB">
        <w:rPr>
          <w:rFonts w:hint="cs"/>
          <w:rtl/>
        </w:rPr>
        <w:t>חוק בתי המשפט [נוסח משולב], התשמ"ד-1984, סימן ב1: מחלקה כלכלית. סעיף 42ד(א) לחוק קובע כי "בבית המשפט המחוזי בתל אביב-יפו ובבית המשפט המחוזי בחיפה תוקם מחלקה כלכלית"; סעיף 42ד(ב) קובע כי למחלקה ימונו על ידי נשיא בית המשפט העליון "שופטים של בית משפט מחוזי שהם בעלי ידע וניסיון מקצועי בתחום".</w:t>
      </w:r>
    </w:p>
  </w:footnote>
  <w:footnote w:id="68">
    <w:p w14:paraId="76DB047A" w14:textId="77777777" w:rsidR="00F74B5E" w:rsidRPr="00BE32EB" w:rsidRDefault="00F74B5E" w:rsidP="00BE32EB">
      <w:pPr>
        <w:pStyle w:val="a5"/>
      </w:pPr>
      <w:r w:rsidRPr="00BE32EB">
        <w:rPr>
          <w:rStyle w:val="FootnoteReference"/>
          <w:vertAlign w:val="baseline"/>
        </w:rPr>
        <w:footnoteRef/>
      </w:r>
      <w:r w:rsidRPr="00BE32EB">
        <w:rPr>
          <w:rtl/>
        </w:rPr>
        <w:t xml:space="preserve"> </w:t>
      </w:r>
      <w:r w:rsidRPr="00BE32EB">
        <w:rPr>
          <w:rtl/>
        </w:rPr>
        <w:tab/>
      </w:r>
      <w:r w:rsidRPr="00BE32EB">
        <w:rPr>
          <w:rFonts w:hint="cs"/>
          <w:rtl/>
        </w:rPr>
        <w:t>סימן ב1 לפרק ב לחוק בתי המשפט [נוסח משולב], התשמ"ד-1984, מסדיר את סמכויותיה של המחלקה הכלכלית לדון בעניין כלכלי בהתאם להגדרתו בסעיף 42ב לחוק, ובעניין כלכלי-מינהלי בהתאם להגדרתו בסעיף 42ג לחוק. נכון להיום, עבירות מס חמורות, עבירות הלבנת הון מורכבות והליכי החילוט מכוחם אינם מתאימים להגדרות אלו.</w:t>
      </w:r>
    </w:p>
  </w:footnote>
  <w:footnote w:id="69">
    <w:p w14:paraId="4B47B0E9" w14:textId="77777777" w:rsidR="00F74B5E" w:rsidRPr="00BE32EB" w:rsidRDefault="00F74B5E" w:rsidP="00BE32EB">
      <w:pPr>
        <w:pStyle w:val="a5"/>
        <w:rPr>
          <w:rtl/>
        </w:rPr>
      </w:pPr>
      <w:r w:rsidRPr="00BE32EB">
        <w:rPr>
          <w:rStyle w:val="FootnoteReference"/>
          <w:vertAlign w:val="baseline"/>
        </w:rPr>
        <w:footnoteRef/>
      </w:r>
      <w:r w:rsidRPr="00BE32EB">
        <w:rPr>
          <w:rtl/>
        </w:rPr>
        <w:t xml:space="preserve"> </w:t>
      </w:r>
      <w:r w:rsidRPr="00BE32EB">
        <w:rPr>
          <w:rtl/>
        </w:rPr>
        <w:tab/>
      </w:r>
      <w:r w:rsidRPr="00BE32EB">
        <w:rPr>
          <w:rFonts w:hint="cs"/>
          <w:rtl/>
        </w:rPr>
        <w:t>פרוטוקול מס' 555 מישיבת ועדת החוקה, חוק ומשפט מיום 13.2.18, עמ' 9.</w:t>
      </w:r>
    </w:p>
  </w:footnote>
  <w:footnote w:id="70">
    <w:p w14:paraId="185AA666" w14:textId="77777777" w:rsidR="00F74B5E" w:rsidRPr="00EC4693" w:rsidRDefault="00F74B5E" w:rsidP="00BE32EB">
      <w:pPr>
        <w:pStyle w:val="a5"/>
        <w:rPr>
          <w:rtl/>
        </w:rPr>
      </w:pPr>
      <w:r w:rsidRPr="00BE32EB">
        <w:rPr>
          <w:rStyle w:val="FootnoteReference"/>
          <w:vertAlign w:val="baseline"/>
        </w:rPr>
        <w:footnoteRef/>
      </w:r>
      <w:r w:rsidRPr="00BE32EB">
        <w:rPr>
          <w:rtl/>
        </w:rPr>
        <w:t xml:space="preserve"> </w:t>
      </w:r>
      <w:r w:rsidRPr="00BE32EB">
        <w:tab/>
        <w:t xml:space="preserve"> FATF, Anti-money laundering and counter-terrorist financing measures, Israel. Mutual Evaluation Report, December 2018</w:t>
      </w:r>
      <w:r w:rsidRPr="00EC4693">
        <w:t>, p. 50</w:t>
      </w:r>
      <w:r>
        <w:rPr>
          <w:rFonts w:hint="cs"/>
          <w:rtl/>
        </w:rPr>
        <w:t>.</w:t>
      </w:r>
    </w:p>
  </w:footnote>
  <w:footnote w:id="71">
    <w:p w14:paraId="68AE6308" w14:textId="77777777" w:rsidR="00F74B5E" w:rsidRPr="00BE32EB" w:rsidRDefault="00F74B5E" w:rsidP="00BE32EB">
      <w:pPr>
        <w:pStyle w:val="a5"/>
      </w:pPr>
      <w:r w:rsidRPr="00BE32EB">
        <w:rPr>
          <w:rStyle w:val="FootnoteReference"/>
          <w:vertAlign w:val="baseline"/>
        </w:rPr>
        <w:footnoteRef/>
      </w:r>
      <w:r w:rsidRPr="00BE32EB">
        <w:rPr>
          <w:rtl/>
        </w:rPr>
        <w:t xml:space="preserve"> </w:t>
      </w:r>
      <w:r w:rsidRPr="00BE32EB">
        <w:rPr>
          <w:rtl/>
        </w:rPr>
        <w:tab/>
      </w:r>
      <w:r w:rsidRPr="00BE32EB">
        <w:rPr>
          <w:rFonts w:hint="cs"/>
          <w:rtl/>
        </w:rPr>
        <w:t xml:space="preserve">רע"ב 8858/15 </w:t>
      </w:r>
      <w:r w:rsidRPr="00BE32EB">
        <w:rPr>
          <w:rFonts w:hint="cs"/>
          <w:b/>
          <w:bCs/>
          <w:rtl/>
        </w:rPr>
        <w:t>סיבוני נ' שירות בתי הסוהר</w:t>
      </w:r>
      <w:r w:rsidRPr="00BE32EB">
        <w:rPr>
          <w:rFonts w:hint="cs"/>
          <w:rtl/>
        </w:rPr>
        <w:t xml:space="preserve"> (פורסם במאגר ממוחשב, 3.8.16).</w:t>
      </w:r>
    </w:p>
  </w:footnote>
  <w:footnote w:id="72">
    <w:p w14:paraId="051A0ACB" w14:textId="77777777" w:rsidR="00F74B5E" w:rsidRPr="00BE32EB" w:rsidRDefault="00F74B5E" w:rsidP="00BE32EB">
      <w:pPr>
        <w:pStyle w:val="a5"/>
        <w:rPr>
          <w:rtl/>
        </w:rPr>
      </w:pPr>
      <w:r w:rsidRPr="00BE32EB">
        <w:rPr>
          <w:rStyle w:val="FootnoteReference"/>
          <w:vertAlign w:val="baseline"/>
        </w:rPr>
        <w:footnoteRef/>
      </w:r>
      <w:r w:rsidRPr="00BE32EB">
        <w:rPr>
          <w:rtl/>
        </w:rPr>
        <w:t xml:space="preserve"> </w:t>
      </w:r>
      <w:r w:rsidRPr="00BE32EB">
        <w:rPr>
          <w:rtl/>
        </w:rPr>
        <w:tab/>
      </w:r>
      <w:r w:rsidRPr="00BE32EB">
        <w:rPr>
          <w:rFonts w:hint="cs"/>
          <w:rtl/>
        </w:rPr>
        <w:t>בהתאם לתקנות הסמים המסוכנים (סדרי דין לעניין חילוט רכוש), התש"ן-1990, על בית המשפט להודיע לאפ"כ על מתן צו חילוט רכוש לאחר הפיכתו לחלוט, וזאת לפי טופס 13 בתוספת לתקנות. בהתאם לנוהג ולנוהל פנימי בפרקליטות, לאחר שפסק דין המורה על חילוט רכוש הפך לחלוט, הפרקליט או התובע המטפל בתיק משלים את פרטי הנכסים לחילוט בטופס 13 ומעבירו לבית המשפט למתן צו מתאים.</w:t>
      </w:r>
    </w:p>
  </w:footnote>
  <w:footnote w:id="73">
    <w:p w14:paraId="531CBBE7" w14:textId="77777777" w:rsidR="00F74B5E" w:rsidRPr="00487C82" w:rsidRDefault="00F74B5E" w:rsidP="00487C82">
      <w:pPr>
        <w:pStyle w:val="a5"/>
        <w:rPr>
          <w:rtl/>
        </w:rPr>
      </w:pPr>
      <w:r w:rsidRPr="00487C82">
        <w:rPr>
          <w:rStyle w:val="FootnoteReference"/>
          <w:vertAlign w:val="baseline"/>
        </w:rPr>
        <w:footnoteRef/>
      </w:r>
      <w:r w:rsidRPr="00487C82">
        <w:rPr>
          <w:rtl/>
        </w:rPr>
        <w:t xml:space="preserve"> </w:t>
      </w:r>
      <w:r w:rsidRPr="00487C82">
        <w:rPr>
          <w:rtl/>
        </w:rPr>
        <w:tab/>
      </w:r>
      <w:r w:rsidRPr="00487C82">
        <w:rPr>
          <w:rFonts w:hint="cs"/>
          <w:rtl/>
        </w:rPr>
        <w:t>ב</w:t>
      </w:r>
      <w:r w:rsidRPr="00487C82">
        <w:rPr>
          <w:rtl/>
        </w:rPr>
        <w:t>עפ 6339/18</w:t>
      </w:r>
      <w:r w:rsidRPr="00487C82">
        <w:rPr>
          <w:rFonts w:hint="cs"/>
          <w:rtl/>
        </w:rPr>
        <w:t xml:space="preserve"> </w:t>
      </w:r>
      <w:r w:rsidRPr="00487C82">
        <w:rPr>
          <w:b/>
          <w:bCs/>
          <w:rtl/>
        </w:rPr>
        <w:t>בלווא נ' מדינת ישראל</w:t>
      </w:r>
      <w:r w:rsidRPr="00487C82">
        <w:rPr>
          <w:rFonts w:hint="cs"/>
          <w:rtl/>
        </w:rPr>
        <w:t xml:space="preserve"> (פורסם במאגר ממוחשב, 15.1.20) בית המשפט העליון קבע כי </w:t>
      </w:r>
      <w:r w:rsidRPr="00487C82">
        <w:rPr>
          <w:rtl/>
        </w:rPr>
        <w:t>רכוש בר החילוט הוא מלוא תקבולי העבירה ללא קיזוז תשלומי המס שיש לחייב בגינם וכן כי כדי שקנס ימלא אחר יעודו יש לגבות אותו מאמצעיו הלגיטימיים של העבריין</w:t>
      </w:r>
      <w:r w:rsidRPr="00487C82">
        <w:rPr>
          <w:rFonts w:hint="cs"/>
          <w:rtl/>
        </w:rPr>
        <w:t>.</w:t>
      </w:r>
      <w:r w:rsidRPr="00487C82">
        <w:rPr>
          <w:rtl/>
        </w:rPr>
        <w:t xml:space="preserve"> </w:t>
      </w:r>
    </w:p>
  </w:footnote>
  <w:footnote w:id="74">
    <w:p w14:paraId="10616290" w14:textId="77777777" w:rsidR="00F74B5E" w:rsidRPr="00B809EE" w:rsidRDefault="00F74B5E" w:rsidP="00B809EE">
      <w:pPr>
        <w:pStyle w:val="a5"/>
      </w:pPr>
      <w:r w:rsidRPr="00B809EE">
        <w:rPr>
          <w:rStyle w:val="FootnoteReference"/>
          <w:vertAlign w:val="baseline"/>
        </w:rPr>
        <w:footnoteRef/>
      </w:r>
      <w:r w:rsidRPr="00B809EE">
        <w:rPr>
          <w:rtl/>
        </w:rPr>
        <w:t xml:space="preserve"> </w:t>
      </w:r>
      <w:r w:rsidRPr="00B809EE">
        <w:rPr>
          <w:rtl/>
        </w:rPr>
        <w:tab/>
      </w:r>
      <w:r w:rsidRPr="00B809EE">
        <w:rPr>
          <w:rFonts w:hint="cs"/>
          <w:rtl/>
        </w:rPr>
        <w:t xml:space="preserve">בשנת 2016 היקף התפיסות על פי הפרקליטות היה 809 מיליון ש"ח ואילו על פי נתוני המשטרה 864 מיליון ש"ח. בשנת 2017 היקף התפיסות על פי הפרקליטות היה 1,006 מיליון ש"ח ואילו על פי נתוני המשטרה 1,487 מיליון ש"ח. בשנת 2018 היקף התפיסות על פי הפרקליטות היה 1,618 מיליון ש"ח, ואילו על פי נתוני המשטרה - 1,897 מיליון ש"ח.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F310" w14:textId="187221F1" w:rsidR="00F74B5E" w:rsidRDefault="00F74B5E" w:rsidP="0072059F">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4384" behindDoc="1" locked="0" layoutInCell="1" allowOverlap="1" wp14:anchorId="24D4D38B" wp14:editId="13C44561">
          <wp:simplePos x="0" y="0"/>
          <wp:positionH relativeFrom="column">
            <wp:posOffset>-635</wp:posOffset>
          </wp:positionH>
          <wp:positionV relativeFrom="paragraph">
            <wp:posOffset>-81915</wp:posOffset>
          </wp:positionV>
          <wp:extent cx="5219700" cy="30924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21</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F74B5E" w:rsidRPr="00D15500" w:rsidRDefault="00F74B5E"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4B5E" w:rsidRPr="005B4811" w:rsidRDefault="00F74B5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27"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F74B5E" w:rsidRPr="005B4811" w:rsidRDefault="00F74B5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4B5E" w:rsidRPr="005B4811" w:rsidRDefault="00F74B5E"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7228728C" id="_x0000_s1028"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F74B5E" w:rsidRPr="005B4811" w:rsidRDefault="00F74B5E"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0CD6"/>
    <w:multiLevelType w:val="hybridMultilevel"/>
    <w:tmpl w:val="5F98B546"/>
    <w:lvl w:ilvl="0" w:tplc="AE06AA5E">
      <w:start w:val="1"/>
      <w:numFmt w:val="decimal"/>
      <w:lvlText w:val="%1."/>
      <w:lvlJc w:val="left"/>
      <w:pPr>
        <w:ind w:left="644" w:hanging="360"/>
      </w:pPr>
      <w:rPr>
        <w:rFonts w:ascii="Times New Roman" w:eastAsiaTheme="minorHAnsi" w:hAnsi="Times New Roman" w:cs="David"/>
        <w:b w:val="0"/>
        <w:bCs w:val="0"/>
      </w:rPr>
    </w:lvl>
    <w:lvl w:ilvl="1" w:tplc="04090013">
      <w:start w:val="1"/>
      <w:numFmt w:val="hebrew1"/>
      <w:lvlText w:val="%2."/>
      <w:lvlJc w:val="center"/>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9C09A1"/>
    <w:multiLevelType w:val="hybridMultilevel"/>
    <w:tmpl w:val="44F6FDC4"/>
    <w:lvl w:ilvl="0" w:tplc="8C3A2DF0">
      <w:start w:val="1"/>
      <w:numFmt w:val="decimal"/>
      <w:lvlText w:val="%1."/>
      <w:lvlJc w:val="left"/>
      <w:pPr>
        <w:ind w:left="720" w:hanging="360"/>
      </w:pPr>
    </w:lvl>
    <w:lvl w:ilvl="1" w:tplc="BD388A6A" w:tentative="1">
      <w:start w:val="1"/>
      <w:numFmt w:val="lowerLetter"/>
      <w:lvlText w:val="%2."/>
      <w:lvlJc w:val="left"/>
      <w:pPr>
        <w:ind w:left="1440" w:hanging="360"/>
      </w:pPr>
    </w:lvl>
    <w:lvl w:ilvl="2" w:tplc="943A16FC" w:tentative="1">
      <w:start w:val="1"/>
      <w:numFmt w:val="lowerRoman"/>
      <w:lvlText w:val="%3."/>
      <w:lvlJc w:val="right"/>
      <w:pPr>
        <w:ind w:left="2160" w:hanging="180"/>
      </w:pPr>
    </w:lvl>
    <w:lvl w:ilvl="3" w:tplc="2B129892" w:tentative="1">
      <w:start w:val="1"/>
      <w:numFmt w:val="decimal"/>
      <w:lvlText w:val="%4."/>
      <w:lvlJc w:val="left"/>
      <w:pPr>
        <w:ind w:left="2880" w:hanging="360"/>
      </w:pPr>
    </w:lvl>
    <w:lvl w:ilvl="4" w:tplc="90CA2406" w:tentative="1">
      <w:start w:val="1"/>
      <w:numFmt w:val="lowerLetter"/>
      <w:lvlText w:val="%5."/>
      <w:lvlJc w:val="left"/>
      <w:pPr>
        <w:ind w:left="3600" w:hanging="360"/>
      </w:pPr>
    </w:lvl>
    <w:lvl w:ilvl="5" w:tplc="79BA6B00" w:tentative="1">
      <w:start w:val="1"/>
      <w:numFmt w:val="lowerRoman"/>
      <w:lvlText w:val="%6."/>
      <w:lvlJc w:val="right"/>
      <w:pPr>
        <w:ind w:left="4320" w:hanging="180"/>
      </w:pPr>
    </w:lvl>
    <w:lvl w:ilvl="6" w:tplc="60F64A78" w:tentative="1">
      <w:start w:val="1"/>
      <w:numFmt w:val="decimal"/>
      <w:lvlText w:val="%7."/>
      <w:lvlJc w:val="left"/>
      <w:pPr>
        <w:ind w:left="5040" w:hanging="360"/>
      </w:pPr>
    </w:lvl>
    <w:lvl w:ilvl="7" w:tplc="42F8763C" w:tentative="1">
      <w:start w:val="1"/>
      <w:numFmt w:val="lowerLetter"/>
      <w:lvlText w:val="%8."/>
      <w:lvlJc w:val="left"/>
      <w:pPr>
        <w:ind w:left="5760" w:hanging="360"/>
      </w:pPr>
    </w:lvl>
    <w:lvl w:ilvl="8" w:tplc="670008C2" w:tentative="1">
      <w:start w:val="1"/>
      <w:numFmt w:val="lowerRoman"/>
      <w:lvlText w:val="%9."/>
      <w:lvlJc w:val="right"/>
      <w:pPr>
        <w:ind w:left="6480" w:hanging="180"/>
      </w:pPr>
    </w:lvl>
  </w:abstractNum>
  <w:abstractNum w:abstractNumId="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215D2B7E"/>
    <w:multiLevelType w:val="hybridMultilevel"/>
    <w:tmpl w:val="5E0A3F62"/>
    <w:lvl w:ilvl="0" w:tplc="B3426D7C">
      <w:start w:val="1"/>
      <w:numFmt w:val="decimal"/>
      <w:lvlText w:val="%1."/>
      <w:lvlJc w:val="left"/>
      <w:pPr>
        <w:ind w:left="720" w:hanging="360"/>
      </w:pPr>
      <w:rPr>
        <w:rFonts w:hint="default"/>
      </w:rPr>
    </w:lvl>
    <w:lvl w:ilvl="1" w:tplc="D15A0CE4" w:tentative="1">
      <w:start w:val="1"/>
      <w:numFmt w:val="lowerLetter"/>
      <w:lvlText w:val="%2."/>
      <w:lvlJc w:val="left"/>
      <w:pPr>
        <w:ind w:left="1440" w:hanging="360"/>
      </w:pPr>
    </w:lvl>
    <w:lvl w:ilvl="2" w:tplc="D5909F42" w:tentative="1">
      <w:start w:val="1"/>
      <w:numFmt w:val="lowerRoman"/>
      <w:lvlText w:val="%3."/>
      <w:lvlJc w:val="right"/>
      <w:pPr>
        <w:ind w:left="2160" w:hanging="180"/>
      </w:pPr>
    </w:lvl>
    <w:lvl w:ilvl="3" w:tplc="1BE2EE12" w:tentative="1">
      <w:start w:val="1"/>
      <w:numFmt w:val="decimal"/>
      <w:lvlText w:val="%4."/>
      <w:lvlJc w:val="left"/>
      <w:pPr>
        <w:ind w:left="2880" w:hanging="360"/>
      </w:pPr>
    </w:lvl>
    <w:lvl w:ilvl="4" w:tplc="D8C46412" w:tentative="1">
      <w:start w:val="1"/>
      <w:numFmt w:val="lowerLetter"/>
      <w:lvlText w:val="%5."/>
      <w:lvlJc w:val="left"/>
      <w:pPr>
        <w:ind w:left="3600" w:hanging="360"/>
      </w:pPr>
    </w:lvl>
    <w:lvl w:ilvl="5" w:tplc="950C9442" w:tentative="1">
      <w:start w:val="1"/>
      <w:numFmt w:val="lowerRoman"/>
      <w:lvlText w:val="%6."/>
      <w:lvlJc w:val="right"/>
      <w:pPr>
        <w:ind w:left="4320" w:hanging="180"/>
      </w:pPr>
    </w:lvl>
    <w:lvl w:ilvl="6" w:tplc="27E86AEE" w:tentative="1">
      <w:start w:val="1"/>
      <w:numFmt w:val="decimal"/>
      <w:lvlText w:val="%7."/>
      <w:lvlJc w:val="left"/>
      <w:pPr>
        <w:ind w:left="5040" w:hanging="360"/>
      </w:pPr>
    </w:lvl>
    <w:lvl w:ilvl="7" w:tplc="CD64FA02" w:tentative="1">
      <w:start w:val="1"/>
      <w:numFmt w:val="lowerLetter"/>
      <w:lvlText w:val="%8."/>
      <w:lvlJc w:val="left"/>
      <w:pPr>
        <w:ind w:left="5760" w:hanging="360"/>
      </w:pPr>
    </w:lvl>
    <w:lvl w:ilvl="8" w:tplc="BB4038DA" w:tentative="1">
      <w:start w:val="1"/>
      <w:numFmt w:val="lowerRoman"/>
      <w:lvlText w:val="%9."/>
      <w:lvlJc w:val="right"/>
      <w:pPr>
        <w:ind w:left="6480" w:hanging="180"/>
      </w:pPr>
    </w:lvl>
  </w:abstractNum>
  <w:abstractNum w:abstractNumId="4" w15:restartNumberingAfterBreak="0">
    <w:nsid w:val="253D47E7"/>
    <w:multiLevelType w:val="hybridMultilevel"/>
    <w:tmpl w:val="41BC2BCC"/>
    <w:lvl w:ilvl="0" w:tplc="0A941F26">
      <w:start w:val="1"/>
      <w:numFmt w:val="decimal"/>
      <w:lvlText w:val="%1."/>
      <w:lvlJc w:val="left"/>
      <w:pPr>
        <w:ind w:left="720" w:hanging="360"/>
      </w:pPr>
      <w:rPr>
        <w:rFonts w:asciiTheme="minorBidi" w:hAnsiTheme="minorBidi" w:hint="default"/>
      </w:rPr>
    </w:lvl>
    <w:lvl w:ilvl="1" w:tplc="6862069E" w:tentative="1">
      <w:start w:val="1"/>
      <w:numFmt w:val="lowerLetter"/>
      <w:lvlText w:val="%2."/>
      <w:lvlJc w:val="left"/>
      <w:pPr>
        <w:ind w:left="1440" w:hanging="360"/>
      </w:pPr>
    </w:lvl>
    <w:lvl w:ilvl="2" w:tplc="41DE6252" w:tentative="1">
      <w:start w:val="1"/>
      <w:numFmt w:val="lowerRoman"/>
      <w:lvlText w:val="%3."/>
      <w:lvlJc w:val="right"/>
      <w:pPr>
        <w:ind w:left="2160" w:hanging="180"/>
      </w:pPr>
    </w:lvl>
    <w:lvl w:ilvl="3" w:tplc="60B8079E" w:tentative="1">
      <w:start w:val="1"/>
      <w:numFmt w:val="decimal"/>
      <w:lvlText w:val="%4."/>
      <w:lvlJc w:val="left"/>
      <w:pPr>
        <w:ind w:left="2880" w:hanging="360"/>
      </w:pPr>
    </w:lvl>
    <w:lvl w:ilvl="4" w:tplc="9D429BE0" w:tentative="1">
      <w:start w:val="1"/>
      <w:numFmt w:val="lowerLetter"/>
      <w:lvlText w:val="%5."/>
      <w:lvlJc w:val="left"/>
      <w:pPr>
        <w:ind w:left="3600" w:hanging="360"/>
      </w:pPr>
    </w:lvl>
    <w:lvl w:ilvl="5" w:tplc="8E6AF780" w:tentative="1">
      <w:start w:val="1"/>
      <w:numFmt w:val="lowerRoman"/>
      <w:lvlText w:val="%6."/>
      <w:lvlJc w:val="right"/>
      <w:pPr>
        <w:ind w:left="4320" w:hanging="180"/>
      </w:pPr>
    </w:lvl>
    <w:lvl w:ilvl="6" w:tplc="6BC8332E" w:tentative="1">
      <w:start w:val="1"/>
      <w:numFmt w:val="decimal"/>
      <w:lvlText w:val="%7."/>
      <w:lvlJc w:val="left"/>
      <w:pPr>
        <w:ind w:left="5040" w:hanging="360"/>
      </w:pPr>
    </w:lvl>
    <w:lvl w:ilvl="7" w:tplc="E25204D8" w:tentative="1">
      <w:start w:val="1"/>
      <w:numFmt w:val="lowerLetter"/>
      <w:lvlText w:val="%8."/>
      <w:lvlJc w:val="left"/>
      <w:pPr>
        <w:ind w:left="5760" w:hanging="360"/>
      </w:pPr>
    </w:lvl>
    <w:lvl w:ilvl="8" w:tplc="0B88A398" w:tentative="1">
      <w:start w:val="1"/>
      <w:numFmt w:val="lowerRoman"/>
      <w:lvlText w:val="%9."/>
      <w:lvlJc w:val="right"/>
      <w:pPr>
        <w:ind w:left="6480" w:hanging="180"/>
      </w:pPr>
    </w:lvl>
  </w:abstractNum>
  <w:abstractNum w:abstractNumId="5" w15:restartNumberingAfterBreak="0">
    <w:nsid w:val="25420F9D"/>
    <w:multiLevelType w:val="hybridMultilevel"/>
    <w:tmpl w:val="C7C44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C1088C"/>
    <w:multiLevelType w:val="multilevel"/>
    <w:tmpl w:val="1C8A3202"/>
    <w:lvl w:ilvl="0">
      <w:start w:val="1"/>
      <w:numFmt w:val="decimal"/>
      <w:pStyle w:val="a0"/>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6DB6403D"/>
    <w:multiLevelType w:val="multilevel"/>
    <w:tmpl w:val="6BE826D0"/>
    <w:lvl w:ilvl="0">
      <w:start w:val="1"/>
      <w:numFmt w:val="decimal"/>
      <w:lvlRestart w:val="0"/>
      <w:lvlText w:val="%1."/>
      <w:lvlJc w:val="left"/>
      <w:pPr>
        <w:ind w:left="340" w:hanging="340"/>
      </w:pPr>
      <w:rPr>
        <w:rFonts w:hint="default"/>
        <w:b w:val="0"/>
        <w:bCs w:val="0"/>
      </w:rPr>
    </w:lvl>
    <w:lvl w:ilvl="1">
      <w:start w:val="1"/>
      <w:numFmt w:val="decimal"/>
      <w:pStyle w:val="a2"/>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2"/>
  </w:num>
  <w:num w:numId="2">
    <w:abstractNumId w:val="6"/>
  </w:num>
  <w:num w:numId="3">
    <w:abstractNumId w:val="8"/>
  </w:num>
  <w:num w:numId="4">
    <w:abstractNumId w:val="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num>
  <w:num w:numId="9">
    <w:abstractNumId w:val="4"/>
  </w:num>
  <w:num w:numId="10">
    <w:abstractNumId w:val="0"/>
  </w:num>
  <w:num w:numId="11">
    <w:abstractNumId w:val="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1DF7"/>
    <w:rsid w:val="00012657"/>
    <w:rsid w:val="00013BC3"/>
    <w:rsid w:val="000155F0"/>
    <w:rsid w:val="000157CF"/>
    <w:rsid w:val="00015A22"/>
    <w:rsid w:val="0001735B"/>
    <w:rsid w:val="000206F1"/>
    <w:rsid w:val="00021FFB"/>
    <w:rsid w:val="00024E0C"/>
    <w:rsid w:val="0002582E"/>
    <w:rsid w:val="00026367"/>
    <w:rsid w:val="000264D7"/>
    <w:rsid w:val="00026ACC"/>
    <w:rsid w:val="000303C9"/>
    <w:rsid w:val="00031C68"/>
    <w:rsid w:val="00031CEB"/>
    <w:rsid w:val="00032932"/>
    <w:rsid w:val="00034920"/>
    <w:rsid w:val="0003494D"/>
    <w:rsid w:val="00035B80"/>
    <w:rsid w:val="00036B0F"/>
    <w:rsid w:val="00040918"/>
    <w:rsid w:val="00040C4D"/>
    <w:rsid w:val="000413AB"/>
    <w:rsid w:val="000419ED"/>
    <w:rsid w:val="00042688"/>
    <w:rsid w:val="00042837"/>
    <w:rsid w:val="00043204"/>
    <w:rsid w:val="00043931"/>
    <w:rsid w:val="000448BE"/>
    <w:rsid w:val="00045038"/>
    <w:rsid w:val="00046670"/>
    <w:rsid w:val="00047976"/>
    <w:rsid w:val="00047A92"/>
    <w:rsid w:val="000501A4"/>
    <w:rsid w:val="00050BDE"/>
    <w:rsid w:val="00050D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9A"/>
    <w:rsid w:val="000618D0"/>
    <w:rsid w:val="00063297"/>
    <w:rsid w:val="00064637"/>
    <w:rsid w:val="00065BB9"/>
    <w:rsid w:val="0006721D"/>
    <w:rsid w:val="000675B0"/>
    <w:rsid w:val="00067F12"/>
    <w:rsid w:val="000710A8"/>
    <w:rsid w:val="00072B83"/>
    <w:rsid w:val="00072FE8"/>
    <w:rsid w:val="000736B3"/>
    <w:rsid w:val="000738F6"/>
    <w:rsid w:val="0007429C"/>
    <w:rsid w:val="00074C0D"/>
    <w:rsid w:val="00074F31"/>
    <w:rsid w:val="0007539B"/>
    <w:rsid w:val="00076758"/>
    <w:rsid w:val="00076ED7"/>
    <w:rsid w:val="0007717F"/>
    <w:rsid w:val="0007725D"/>
    <w:rsid w:val="0007762A"/>
    <w:rsid w:val="00080072"/>
    <w:rsid w:val="000807BA"/>
    <w:rsid w:val="00081D0E"/>
    <w:rsid w:val="0008345D"/>
    <w:rsid w:val="00084E3A"/>
    <w:rsid w:val="00085086"/>
    <w:rsid w:val="00085B99"/>
    <w:rsid w:val="00085FFB"/>
    <w:rsid w:val="00086BCD"/>
    <w:rsid w:val="00091A72"/>
    <w:rsid w:val="00093E30"/>
    <w:rsid w:val="0009432F"/>
    <w:rsid w:val="00094F15"/>
    <w:rsid w:val="0009657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3A23"/>
    <w:rsid w:val="000B55BB"/>
    <w:rsid w:val="000B7912"/>
    <w:rsid w:val="000B7B95"/>
    <w:rsid w:val="000C05CB"/>
    <w:rsid w:val="000C0F17"/>
    <w:rsid w:val="000C164B"/>
    <w:rsid w:val="000C16F6"/>
    <w:rsid w:val="000C2AB9"/>
    <w:rsid w:val="000C404B"/>
    <w:rsid w:val="000C50A1"/>
    <w:rsid w:val="000C6AAF"/>
    <w:rsid w:val="000C7459"/>
    <w:rsid w:val="000D11EB"/>
    <w:rsid w:val="000D2056"/>
    <w:rsid w:val="000D22F0"/>
    <w:rsid w:val="000D2F93"/>
    <w:rsid w:val="000D5B81"/>
    <w:rsid w:val="000D5C0B"/>
    <w:rsid w:val="000D7E3B"/>
    <w:rsid w:val="000E013E"/>
    <w:rsid w:val="000E1FBD"/>
    <w:rsid w:val="000E2359"/>
    <w:rsid w:val="000E23EA"/>
    <w:rsid w:val="000E2715"/>
    <w:rsid w:val="000E2B2C"/>
    <w:rsid w:val="000E3022"/>
    <w:rsid w:val="000E3D52"/>
    <w:rsid w:val="000E44FD"/>
    <w:rsid w:val="000E5149"/>
    <w:rsid w:val="000E5834"/>
    <w:rsid w:val="000E7622"/>
    <w:rsid w:val="000F158C"/>
    <w:rsid w:val="000F1DEA"/>
    <w:rsid w:val="000F2408"/>
    <w:rsid w:val="000F3700"/>
    <w:rsid w:val="000F4578"/>
    <w:rsid w:val="000F4B6E"/>
    <w:rsid w:val="000F6F38"/>
    <w:rsid w:val="000F76A8"/>
    <w:rsid w:val="000F7725"/>
    <w:rsid w:val="000F78AE"/>
    <w:rsid w:val="00101681"/>
    <w:rsid w:val="00101BB0"/>
    <w:rsid w:val="00101D0F"/>
    <w:rsid w:val="001056DB"/>
    <w:rsid w:val="00105970"/>
    <w:rsid w:val="00107175"/>
    <w:rsid w:val="00107A35"/>
    <w:rsid w:val="00111F8A"/>
    <w:rsid w:val="00112E28"/>
    <w:rsid w:val="00113C2F"/>
    <w:rsid w:val="00113E28"/>
    <w:rsid w:val="00114325"/>
    <w:rsid w:val="00115432"/>
    <w:rsid w:val="001157CE"/>
    <w:rsid w:val="00115E66"/>
    <w:rsid w:val="001172DF"/>
    <w:rsid w:val="001203E0"/>
    <w:rsid w:val="00121EA1"/>
    <w:rsid w:val="0012279D"/>
    <w:rsid w:val="001239A8"/>
    <w:rsid w:val="00123D95"/>
    <w:rsid w:val="00124DC1"/>
    <w:rsid w:val="00125881"/>
    <w:rsid w:val="001273AC"/>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13B6"/>
    <w:rsid w:val="00152C2F"/>
    <w:rsid w:val="00153149"/>
    <w:rsid w:val="00153A60"/>
    <w:rsid w:val="00154682"/>
    <w:rsid w:val="00154827"/>
    <w:rsid w:val="00155501"/>
    <w:rsid w:val="00156CAA"/>
    <w:rsid w:val="0015702B"/>
    <w:rsid w:val="00157D86"/>
    <w:rsid w:val="00160155"/>
    <w:rsid w:val="0016031C"/>
    <w:rsid w:val="00160DD0"/>
    <w:rsid w:val="00161124"/>
    <w:rsid w:val="001637C1"/>
    <w:rsid w:val="001643E4"/>
    <w:rsid w:val="00164534"/>
    <w:rsid w:val="00164B64"/>
    <w:rsid w:val="00164C99"/>
    <w:rsid w:val="00166477"/>
    <w:rsid w:val="00166D27"/>
    <w:rsid w:val="00170230"/>
    <w:rsid w:val="00170320"/>
    <w:rsid w:val="00170625"/>
    <w:rsid w:val="00170AA0"/>
    <w:rsid w:val="00171B4A"/>
    <w:rsid w:val="0017200D"/>
    <w:rsid w:val="001730B0"/>
    <w:rsid w:val="00173FDD"/>
    <w:rsid w:val="001747CF"/>
    <w:rsid w:val="00174A21"/>
    <w:rsid w:val="00175053"/>
    <w:rsid w:val="00175FE2"/>
    <w:rsid w:val="00176411"/>
    <w:rsid w:val="00176B96"/>
    <w:rsid w:val="00177D09"/>
    <w:rsid w:val="00177D2F"/>
    <w:rsid w:val="00180392"/>
    <w:rsid w:val="001821A3"/>
    <w:rsid w:val="00182DC0"/>
    <w:rsid w:val="001839FA"/>
    <w:rsid w:val="00183DDC"/>
    <w:rsid w:val="0018586A"/>
    <w:rsid w:val="00185B85"/>
    <w:rsid w:val="0018758B"/>
    <w:rsid w:val="0019015A"/>
    <w:rsid w:val="00190F93"/>
    <w:rsid w:val="00191FF6"/>
    <w:rsid w:val="00192F16"/>
    <w:rsid w:val="00193071"/>
    <w:rsid w:val="00194286"/>
    <w:rsid w:val="00195BC7"/>
    <w:rsid w:val="00195EBA"/>
    <w:rsid w:val="001960B4"/>
    <w:rsid w:val="001979F2"/>
    <w:rsid w:val="00197B8A"/>
    <w:rsid w:val="001A0CA6"/>
    <w:rsid w:val="001A2081"/>
    <w:rsid w:val="001A2F88"/>
    <w:rsid w:val="001A325B"/>
    <w:rsid w:val="001A38A7"/>
    <w:rsid w:val="001A3974"/>
    <w:rsid w:val="001A5D04"/>
    <w:rsid w:val="001A613C"/>
    <w:rsid w:val="001A6276"/>
    <w:rsid w:val="001A72F6"/>
    <w:rsid w:val="001A7D06"/>
    <w:rsid w:val="001B1655"/>
    <w:rsid w:val="001B17FB"/>
    <w:rsid w:val="001B2821"/>
    <w:rsid w:val="001B285C"/>
    <w:rsid w:val="001B2ACB"/>
    <w:rsid w:val="001B2DBB"/>
    <w:rsid w:val="001B3BE6"/>
    <w:rsid w:val="001B3EFA"/>
    <w:rsid w:val="001B41A2"/>
    <w:rsid w:val="001B4EA7"/>
    <w:rsid w:val="001B5656"/>
    <w:rsid w:val="001B5DFF"/>
    <w:rsid w:val="001B65B8"/>
    <w:rsid w:val="001B68AF"/>
    <w:rsid w:val="001B70CA"/>
    <w:rsid w:val="001B75F0"/>
    <w:rsid w:val="001C00D8"/>
    <w:rsid w:val="001C057E"/>
    <w:rsid w:val="001C08DC"/>
    <w:rsid w:val="001C308D"/>
    <w:rsid w:val="001C3232"/>
    <w:rsid w:val="001C34D5"/>
    <w:rsid w:val="001C3ED9"/>
    <w:rsid w:val="001C45D9"/>
    <w:rsid w:val="001C49B8"/>
    <w:rsid w:val="001C72B2"/>
    <w:rsid w:val="001D1192"/>
    <w:rsid w:val="001D223A"/>
    <w:rsid w:val="001D2793"/>
    <w:rsid w:val="001D2F2A"/>
    <w:rsid w:val="001D3679"/>
    <w:rsid w:val="001D3CC2"/>
    <w:rsid w:val="001D461F"/>
    <w:rsid w:val="001D56A2"/>
    <w:rsid w:val="001D713E"/>
    <w:rsid w:val="001D77E6"/>
    <w:rsid w:val="001E0D0D"/>
    <w:rsid w:val="001E0D2A"/>
    <w:rsid w:val="001E1C40"/>
    <w:rsid w:val="001E1EC3"/>
    <w:rsid w:val="001E1FB9"/>
    <w:rsid w:val="001E1FD1"/>
    <w:rsid w:val="001E23E2"/>
    <w:rsid w:val="001E3778"/>
    <w:rsid w:val="001E3F7F"/>
    <w:rsid w:val="001E475C"/>
    <w:rsid w:val="001E59BD"/>
    <w:rsid w:val="001E641F"/>
    <w:rsid w:val="001E6BD6"/>
    <w:rsid w:val="001E773D"/>
    <w:rsid w:val="001F068F"/>
    <w:rsid w:val="001F407D"/>
    <w:rsid w:val="001F466F"/>
    <w:rsid w:val="001F6AE0"/>
    <w:rsid w:val="001F6B1F"/>
    <w:rsid w:val="001F6BA7"/>
    <w:rsid w:val="00200434"/>
    <w:rsid w:val="00200E5B"/>
    <w:rsid w:val="00201F9D"/>
    <w:rsid w:val="00202F8B"/>
    <w:rsid w:val="00203277"/>
    <w:rsid w:val="00203604"/>
    <w:rsid w:val="002064F7"/>
    <w:rsid w:val="00206BDB"/>
    <w:rsid w:val="002127FD"/>
    <w:rsid w:val="00212B04"/>
    <w:rsid w:val="00212EEA"/>
    <w:rsid w:val="002130B4"/>
    <w:rsid w:val="0021495A"/>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0B94"/>
    <w:rsid w:val="00231C3C"/>
    <w:rsid w:val="00231DC5"/>
    <w:rsid w:val="00232836"/>
    <w:rsid w:val="002338F8"/>
    <w:rsid w:val="00234167"/>
    <w:rsid w:val="00234F9B"/>
    <w:rsid w:val="0023589B"/>
    <w:rsid w:val="00235AEE"/>
    <w:rsid w:val="00235D75"/>
    <w:rsid w:val="002366CE"/>
    <w:rsid w:val="0024001A"/>
    <w:rsid w:val="00240887"/>
    <w:rsid w:val="002415FE"/>
    <w:rsid w:val="002419F2"/>
    <w:rsid w:val="00243E20"/>
    <w:rsid w:val="00244096"/>
    <w:rsid w:val="00244C55"/>
    <w:rsid w:val="00245470"/>
    <w:rsid w:val="00246CD7"/>
    <w:rsid w:val="00247C83"/>
    <w:rsid w:val="002503C9"/>
    <w:rsid w:val="0025068A"/>
    <w:rsid w:val="00250751"/>
    <w:rsid w:val="0025701A"/>
    <w:rsid w:val="0026026A"/>
    <w:rsid w:val="00260BF5"/>
    <w:rsid w:val="00260D04"/>
    <w:rsid w:val="0026130F"/>
    <w:rsid w:val="00261C84"/>
    <w:rsid w:val="0026220B"/>
    <w:rsid w:val="00263521"/>
    <w:rsid w:val="0027121E"/>
    <w:rsid w:val="002712AE"/>
    <w:rsid w:val="0027188F"/>
    <w:rsid w:val="002739B2"/>
    <w:rsid w:val="00275A79"/>
    <w:rsid w:val="00277316"/>
    <w:rsid w:val="00277710"/>
    <w:rsid w:val="002813A0"/>
    <w:rsid w:val="002841CB"/>
    <w:rsid w:val="00284ABA"/>
    <w:rsid w:val="0028686C"/>
    <w:rsid w:val="0028694C"/>
    <w:rsid w:val="002920D3"/>
    <w:rsid w:val="00292A58"/>
    <w:rsid w:val="0029359E"/>
    <w:rsid w:val="00293FC3"/>
    <w:rsid w:val="00294784"/>
    <w:rsid w:val="00294AF0"/>
    <w:rsid w:val="00296A9F"/>
    <w:rsid w:val="00297B77"/>
    <w:rsid w:val="002A04CC"/>
    <w:rsid w:val="002A1117"/>
    <w:rsid w:val="002A18D6"/>
    <w:rsid w:val="002A2132"/>
    <w:rsid w:val="002A2C5A"/>
    <w:rsid w:val="002A4153"/>
    <w:rsid w:val="002A4707"/>
    <w:rsid w:val="002A4B57"/>
    <w:rsid w:val="002A57EB"/>
    <w:rsid w:val="002A598C"/>
    <w:rsid w:val="002A6418"/>
    <w:rsid w:val="002A64F8"/>
    <w:rsid w:val="002A68DE"/>
    <w:rsid w:val="002A6A8F"/>
    <w:rsid w:val="002A6B3B"/>
    <w:rsid w:val="002A7D21"/>
    <w:rsid w:val="002B10E8"/>
    <w:rsid w:val="002B1D35"/>
    <w:rsid w:val="002B637F"/>
    <w:rsid w:val="002B65DC"/>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572F"/>
    <w:rsid w:val="002D5930"/>
    <w:rsid w:val="002D65CF"/>
    <w:rsid w:val="002D6964"/>
    <w:rsid w:val="002D6DBD"/>
    <w:rsid w:val="002E01CC"/>
    <w:rsid w:val="002E188D"/>
    <w:rsid w:val="002E1E1F"/>
    <w:rsid w:val="002E24BB"/>
    <w:rsid w:val="002E2DB0"/>
    <w:rsid w:val="002E3AA6"/>
    <w:rsid w:val="002E424B"/>
    <w:rsid w:val="002E4818"/>
    <w:rsid w:val="002E5757"/>
    <w:rsid w:val="002E5C08"/>
    <w:rsid w:val="002E6B3E"/>
    <w:rsid w:val="002E707E"/>
    <w:rsid w:val="002E70B8"/>
    <w:rsid w:val="002F06E7"/>
    <w:rsid w:val="002F11D2"/>
    <w:rsid w:val="002F1610"/>
    <w:rsid w:val="002F2019"/>
    <w:rsid w:val="002F24F0"/>
    <w:rsid w:val="002F29CA"/>
    <w:rsid w:val="002F42B0"/>
    <w:rsid w:val="002F5163"/>
    <w:rsid w:val="002F5A80"/>
    <w:rsid w:val="002F5B51"/>
    <w:rsid w:val="002F6FA5"/>
    <w:rsid w:val="002F724D"/>
    <w:rsid w:val="002F7C75"/>
    <w:rsid w:val="0030043A"/>
    <w:rsid w:val="00301153"/>
    <w:rsid w:val="003020D6"/>
    <w:rsid w:val="00302DC7"/>
    <w:rsid w:val="0030338B"/>
    <w:rsid w:val="00304E57"/>
    <w:rsid w:val="003050D0"/>
    <w:rsid w:val="0030516B"/>
    <w:rsid w:val="003067B1"/>
    <w:rsid w:val="00307A51"/>
    <w:rsid w:val="003108E3"/>
    <w:rsid w:val="00311076"/>
    <w:rsid w:val="00311190"/>
    <w:rsid w:val="00313D58"/>
    <w:rsid w:val="00313EEC"/>
    <w:rsid w:val="00315624"/>
    <w:rsid w:val="00315BD6"/>
    <w:rsid w:val="00315D7F"/>
    <w:rsid w:val="00315FF2"/>
    <w:rsid w:val="00316C57"/>
    <w:rsid w:val="003177E2"/>
    <w:rsid w:val="0032289E"/>
    <w:rsid w:val="00322998"/>
    <w:rsid w:val="00322A81"/>
    <w:rsid w:val="00323027"/>
    <w:rsid w:val="0032331E"/>
    <w:rsid w:val="00323DE0"/>
    <w:rsid w:val="00324236"/>
    <w:rsid w:val="00324BC1"/>
    <w:rsid w:val="00324C2A"/>
    <w:rsid w:val="00324CB2"/>
    <w:rsid w:val="00324F0D"/>
    <w:rsid w:val="003257C6"/>
    <w:rsid w:val="00325F44"/>
    <w:rsid w:val="00326ABF"/>
    <w:rsid w:val="00326C7C"/>
    <w:rsid w:val="00327593"/>
    <w:rsid w:val="00332F33"/>
    <w:rsid w:val="00334697"/>
    <w:rsid w:val="00334A65"/>
    <w:rsid w:val="00334D20"/>
    <w:rsid w:val="0033564C"/>
    <w:rsid w:val="003356A2"/>
    <w:rsid w:val="00335A0A"/>
    <w:rsid w:val="00335B56"/>
    <w:rsid w:val="00337048"/>
    <w:rsid w:val="003370BA"/>
    <w:rsid w:val="00337846"/>
    <w:rsid w:val="0034038A"/>
    <w:rsid w:val="003405E7"/>
    <w:rsid w:val="00340C7C"/>
    <w:rsid w:val="0034149F"/>
    <w:rsid w:val="00345868"/>
    <w:rsid w:val="0034637E"/>
    <w:rsid w:val="00346930"/>
    <w:rsid w:val="00346BC7"/>
    <w:rsid w:val="00347612"/>
    <w:rsid w:val="003513C7"/>
    <w:rsid w:val="0035145F"/>
    <w:rsid w:val="00351F4E"/>
    <w:rsid w:val="00355453"/>
    <w:rsid w:val="003559A1"/>
    <w:rsid w:val="00355B59"/>
    <w:rsid w:val="00356540"/>
    <w:rsid w:val="00356926"/>
    <w:rsid w:val="00356C79"/>
    <w:rsid w:val="003606C0"/>
    <w:rsid w:val="0036184E"/>
    <w:rsid w:val="00363344"/>
    <w:rsid w:val="003633E1"/>
    <w:rsid w:val="00363FE3"/>
    <w:rsid w:val="00364581"/>
    <w:rsid w:val="00364D7A"/>
    <w:rsid w:val="0036568B"/>
    <w:rsid w:val="00365C9E"/>
    <w:rsid w:val="00365D63"/>
    <w:rsid w:val="00365DC9"/>
    <w:rsid w:val="00365DE2"/>
    <w:rsid w:val="0036639F"/>
    <w:rsid w:val="003675CC"/>
    <w:rsid w:val="00371181"/>
    <w:rsid w:val="0037128C"/>
    <w:rsid w:val="00372476"/>
    <w:rsid w:val="0037259B"/>
    <w:rsid w:val="0037289B"/>
    <w:rsid w:val="003729F9"/>
    <w:rsid w:val="0037370B"/>
    <w:rsid w:val="00375AE4"/>
    <w:rsid w:val="00375C87"/>
    <w:rsid w:val="00376061"/>
    <w:rsid w:val="00376625"/>
    <w:rsid w:val="0037752E"/>
    <w:rsid w:val="0037753E"/>
    <w:rsid w:val="00377B33"/>
    <w:rsid w:val="00380052"/>
    <w:rsid w:val="00380098"/>
    <w:rsid w:val="003806AE"/>
    <w:rsid w:val="00382741"/>
    <w:rsid w:val="00382981"/>
    <w:rsid w:val="003839AA"/>
    <w:rsid w:val="003843E4"/>
    <w:rsid w:val="00385CBB"/>
    <w:rsid w:val="003907CF"/>
    <w:rsid w:val="00391943"/>
    <w:rsid w:val="00391D47"/>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2C35"/>
    <w:rsid w:val="003A3D05"/>
    <w:rsid w:val="003A613A"/>
    <w:rsid w:val="003A66EF"/>
    <w:rsid w:val="003A769E"/>
    <w:rsid w:val="003B166B"/>
    <w:rsid w:val="003B3DFA"/>
    <w:rsid w:val="003B4CBF"/>
    <w:rsid w:val="003B505F"/>
    <w:rsid w:val="003B5A1E"/>
    <w:rsid w:val="003B5E39"/>
    <w:rsid w:val="003B639B"/>
    <w:rsid w:val="003B71E3"/>
    <w:rsid w:val="003C26AC"/>
    <w:rsid w:val="003C2A0B"/>
    <w:rsid w:val="003C2EC6"/>
    <w:rsid w:val="003C3358"/>
    <w:rsid w:val="003C4F30"/>
    <w:rsid w:val="003C5153"/>
    <w:rsid w:val="003C5BB1"/>
    <w:rsid w:val="003C6C20"/>
    <w:rsid w:val="003C7AD3"/>
    <w:rsid w:val="003C7B2D"/>
    <w:rsid w:val="003D0F91"/>
    <w:rsid w:val="003D1215"/>
    <w:rsid w:val="003D16F2"/>
    <w:rsid w:val="003D1D5C"/>
    <w:rsid w:val="003D2796"/>
    <w:rsid w:val="003D2AE6"/>
    <w:rsid w:val="003D4194"/>
    <w:rsid w:val="003D43B8"/>
    <w:rsid w:val="003D5549"/>
    <w:rsid w:val="003D5B8A"/>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48CD"/>
    <w:rsid w:val="003F5A67"/>
    <w:rsid w:val="003F5B6A"/>
    <w:rsid w:val="003F6CB2"/>
    <w:rsid w:val="003F6D65"/>
    <w:rsid w:val="003F7B2B"/>
    <w:rsid w:val="004002DD"/>
    <w:rsid w:val="004007BC"/>
    <w:rsid w:val="004029F9"/>
    <w:rsid w:val="00403332"/>
    <w:rsid w:val="00403EED"/>
    <w:rsid w:val="0040494A"/>
    <w:rsid w:val="00405277"/>
    <w:rsid w:val="004064E0"/>
    <w:rsid w:val="00406F61"/>
    <w:rsid w:val="00406FEF"/>
    <w:rsid w:val="004078B5"/>
    <w:rsid w:val="0041045D"/>
    <w:rsid w:val="004105DF"/>
    <w:rsid w:val="00410935"/>
    <w:rsid w:val="00410D75"/>
    <w:rsid w:val="0041180B"/>
    <w:rsid w:val="0041212D"/>
    <w:rsid w:val="0041284E"/>
    <w:rsid w:val="00413464"/>
    <w:rsid w:val="00416D06"/>
    <w:rsid w:val="00417266"/>
    <w:rsid w:val="00420371"/>
    <w:rsid w:val="004204DC"/>
    <w:rsid w:val="004206BA"/>
    <w:rsid w:val="0042090E"/>
    <w:rsid w:val="00420DB1"/>
    <w:rsid w:val="00421D2C"/>
    <w:rsid w:val="0042545B"/>
    <w:rsid w:val="00425E72"/>
    <w:rsid w:val="00425E85"/>
    <w:rsid w:val="00426862"/>
    <w:rsid w:val="004276E0"/>
    <w:rsid w:val="00427A72"/>
    <w:rsid w:val="00430277"/>
    <w:rsid w:val="00432A56"/>
    <w:rsid w:val="00434C19"/>
    <w:rsid w:val="00436048"/>
    <w:rsid w:val="004360DA"/>
    <w:rsid w:val="00436889"/>
    <w:rsid w:val="00436B23"/>
    <w:rsid w:val="00436B37"/>
    <w:rsid w:val="0043791D"/>
    <w:rsid w:val="00437D9B"/>
    <w:rsid w:val="00440C19"/>
    <w:rsid w:val="004413C7"/>
    <w:rsid w:val="004414E6"/>
    <w:rsid w:val="004424B2"/>
    <w:rsid w:val="004428A8"/>
    <w:rsid w:val="00442E2D"/>
    <w:rsid w:val="00443D1B"/>
    <w:rsid w:val="00444597"/>
    <w:rsid w:val="00445522"/>
    <w:rsid w:val="004470C5"/>
    <w:rsid w:val="004474BB"/>
    <w:rsid w:val="00451A68"/>
    <w:rsid w:val="00451AA2"/>
    <w:rsid w:val="00451E5C"/>
    <w:rsid w:val="0045209D"/>
    <w:rsid w:val="00452950"/>
    <w:rsid w:val="00453CEB"/>
    <w:rsid w:val="004547C8"/>
    <w:rsid w:val="00455BC0"/>
    <w:rsid w:val="00456AD9"/>
    <w:rsid w:val="00457C43"/>
    <w:rsid w:val="00460179"/>
    <w:rsid w:val="00460B1C"/>
    <w:rsid w:val="00462348"/>
    <w:rsid w:val="00463683"/>
    <w:rsid w:val="00464D56"/>
    <w:rsid w:val="00464DF0"/>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4EA6"/>
    <w:rsid w:val="00485787"/>
    <w:rsid w:val="00486172"/>
    <w:rsid w:val="004875EB"/>
    <w:rsid w:val="00487C82"/>
    <w:rsid w:val="0049015A"/>
    <w:rsid w:val="00491199"/>
    <w:rsid w:val="004919A3"/>
    <w:rsid w:val="004919ED"/>
    <w:rsid w:val="00492D47"/>
    <w:rsid w:val="004930AA"/>
    <w:rsid w:val="004939B6"/>
    <w:rsid w:val="00493CBE"/>
    <w:rsid w:val="00494C49"/>
    <w:rsid w:val="004955D7"/>
    <w:rsid w:val="004965B9"/>
    <w:rsid w:val="004A0385"/>
    <w:rsid w:val="004A07F3"/>
    <w:rsid w:val="004A0E02"/>
    <w:rsid w:val="004A0E75"/>
    <w:rsid w:val="004A144B"/>
    <w:rsid w:val="004A2745"/>
    <w:rsid w:val="004A3415"/>
    <w:rsid w:val="004A3A1C"/>
    <w:rsid w:val="004A5AE0"/>
    <w:rsid w:val="004A5FCA"/>
    <w:rsid w:val="004A6C9C"/>
    <w:rsid w:val="004A6FE6"/>
    <w:rsid w:val="004A77C4"/>
    <w:rsid w:val="004A7ABE"/>
    <w:rsid w:val="004B09A3"/>
    <w:rsid w:val="004B117A"/>
    <w:rsid w:val="004B18AE"/>
    <w:rsid w:val="004B1A2A"/>
    <w:rsid w:val="004B21B0"/>
    <w:rsid w:val="004B3850"/>
    <w:rsid w:val="004B6164"/>
    <w:rsid w:val="004B7C1A"/>
    <w:rsid w:val="004C0FFF"/>
    <w:rsid w:val="004C13E9"/>
    <w:rsid w:val="004C1BDC"/>
    <w:rsid w:val="004C2149"/>
    <w:rsid w:val="004C2531"/>
    <w:rsid w:val="004C2B02"/>
    <w:rsid w:val="004C3342"/>
    <w:rsid w:val="004C4396"/>
    <w:rsid w:val="004C4F65"/>
    <w:rsid w:val="004C6663"/>
    <w:rsid w:val="004C7D9F"/>
    <w:rsid w:val="004D16BE"/>
    <w:rsid w:val="004D1983"/>
    <w:rsid w:val="004D1D1F"/>
    <w:rsid w:val="004D2D0A"/>
    <w:rsid w:val="004D3387"/>
    <w:rsid w:val="004D38B0"/>
    <w:rsid w:val="004D3AAD"/>
    <w:rsid w:val="004D4C8A"/>
    <w:rsid w:val="004D5AD1"/>
    <w:rsid w:val="004D708B"/>
    <w:rsid w:val="004E0A32"/>
    <w:rsid w:val="004E0BE3"/>
    <w:rsid w:val="004E0E03"/>
    <w:rsid w:val="004E0F37"/>
    <w:rsid w:val="004E13FA"/>
    <w:rsid w:val="004E1D0E"/>
    <w:rsid w:val="004E1DB7"/>
    <w:rsid w:val="004E221D"/>
    <w:rsid w:val="004E229B"/>
    <w:rsid w:val="004E3112"/>
    <w:rsid w:val="004E5265"/>
    <w:rsid w:val="004E6717"/>
    <w:rsid w:val="004E6D72"/>
    <w:rsid w:val="004E7219"/>
    <w:rsid w:val="004E7332"/>
    <w:rsid w:val="004E776C"/>
    <w:rsid w:val="004F01B0"/>
    <w:rsid w:val="004F06F2"/>
    <w:rsid w:val="004F19E2"/>
    <w:rsid w:val="004F1D1F"/>
    <w:rsid w:val="004F24FD"/>
    <w:rsid w:val="004F30E8"/>
    <w:rsid w:val="004F431D"/>
    <w:rsid w:val="004F43AB"/>
    <w:rsid w:val="004F4F1F"/>
    <w:rsid w:val="004F4F85"/>
    <w:rsid w:val="004F539A"/>
    <w:rsid w:val="004F5B56"/>
    <w:rsid w:val="004F698A"/>
    <w:rsid w:val="0050010C"/>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26F"/>
    <w:rsid w:val="00513F33"/>
    <w:rsid w:val="005147FC"/>
    <w:rsid w:val="005158BE"/>
    <w:rsid w:val="00515C82"/>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27F31"/>
    <w:rsid w:val="00530147"/>
    <w:rsid w:val="0053022D"/>
    <w:rsid w:val="005315AB"/>
    <w:rsid w:val="005325F3"/>
    <w:rsid w:val="005326D9"/>
    <w:rsid w:val="00533572"/>
    <w:rsid w:val="00534021"/>
    <w:rsid w:val="00534623"/>
    <w:rsid w:val="005346A1"/>
    <w:rsid w:val="00535D72"/>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57A6C"/>
    <w:rsid w:val="005608B2"/>
    <w:rsid w:val="00560A43"/>
    <w:rsid w:val="00561000"/>
    <w:rsid w:val="00563749"/>
    <w:rsid w:val="00563C85"/>
    <w:rsid w:val="00563DDB"/>
    <w:rsid w:val="00564813"/>
    <w:rsid w:val="0056546C"/>
    <w:rsid w:val="0056563A"/>
    <w:rsid w:val="00565966"/>
    <w:rsid w:val="00565BD3"/>
    <w:rsid w:val="00566629"/>
    <w:rsid w:val="00567686"/>
    <w:rsid w:val="005676DC"/>
    <w:rsid w:val="005715C9"/>
    <w:rsid w:val="00571D67"/>
    <w:rsid w:val="00572E40"/>
    <w:rsid w:val="00573801"/>
    <w:rsid w:val="00573C3D"/>
    <w:rsid w:val="00574579"/>
    <w:rsid w:val="00574593"/>
    <w:rsid w:val="0057527E"/>
    <w:rsid w:val="00575A1D"/>
    <w:rsid w:val="00575A7F"/>
    <w:rsid w:val="005764A9"/>
    <w:rsid w:val="00576867"/>
    <w:rsid w:val="00576D2C"/>
    <w:rsid w:val="00576EFD"/>
    <w:rsid w:val="00580508"/>
    <w:rsid w:val="00580C5C"/>
    <w:rsid w:val="00580DA8"/>
    <w:rsid w:val="00580F79"/>
    <w:rsid w:val="0058142E"/>
    <w:rsid w:val="005854C5"/>
    <w:rsid w:val="0058597D"/>
    <w:rsid w:val="00585F34"/>
    <w:rsid w:val="00587DC2"/>
    <w:rsid w:val="005906E5"/>
    <w:rsid w:val="00590EBE"/>
    <w:rsid w:val="0059185F"/>
    <w:rsid w:val="00592EBE"/>
    <w:rsid w:val="0059531A"/>
    <w:rsid w:val="0059595B"/>
    <w:rsid w:val="00595A3D"/>
    <w:rsid w:val="00595D44"/>
    <w:rsid w:val="0059614A"/>
    <w:rsid w:val="005963B4"/>
    <w:rsid w:val="005A021D"/>
    <w:rsid w:val="005A0714"/>
    <w:rsid w:val="005A0CEA"/>
    <w:rsid w:val="005A1450"/>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6AB5"/>
    <w:rsid w:val="005B6CCC"/>
    <w:rsid w:val="005B757C"/>
    <w:rsid w:val="005B78A1"/>
    <w:rsid w:val="005C05FF"/>
    <w:rsid w:val="005C14A0"/>
    <w:rsid w:val="005C198B"/>
    <w:rsid w:val="005C23D7"/>
    <w:rsid w:val="005C2859"/>
    <w:rsid w:val="005C438E"/>
    <w:rsid w:val="005C43F3"/>
    <w:rsid w:val="005C552D"/>
    <w:rsid w:val="005C62D9"/>
    <w:rsid w:val="005D00DB"/>
    <w:rsid w:val="005D07D2"/>
    <w:rsid w:val="005D0F46"/>
    <w:rsid w:val="005D14F8"/>
    <w:rsid w:val="005D293C"/>
    <w:rsid w:val="005D30B8"/>
    <w:rsid w:val="005D48FE"/>
    <w:rsid w:val="005D5EAC"/>
    <w:rsid w:val="005D66B0"/>
    <w:rsid w:val="005D6BA1"/>
    <w:rsid w:val="005D6C63"/>
    <w:rsid w:val="005D7598"/>
    <w:rsid w:val="005E009F"/>
    <w:rsid w:val="005E1528"/>
    <w:rsid w:val="005E2189"/>
    <w:rsid w:val="005E2A5A"/>
    <w:rsid w:val="005E2B58"/>
    <w:rsid w:val="005E2C15"/>
    <w:rsid w:val="005E46DC"/>
    <w:rsid w:val="005E4C95"/>
    <w:rsid w:val="005E58A5"/>
    <w:rsid w:val="005F00DC"/>
    <w:rsid w:val="005F0B3C"/>
    <w:rsid w:val="005F0E3E"/>
    <w:rsid w:val="005F2129"/>
    <w:rsid w:val="005F27EF"/>
    <w:rsid w:val="005F3AEF"/>
    <w:rsid w:val="005F492A"/>
    <w:rsid w:val="005F49D2"/>
    <w:rsid w:val="005F4CED"/>
    <w:rsid w:val="005F5352"/>
    <w:rsid w:val="005F5527"/>
    <w:rsid w:val="005F6F91"/>
    <w:rsid w:val="005F7F48"/>
    <w:rsid w:val="00600F74"/>
    <w:rsid w:val="00603ABE"/>
    <w:rsid w:val="00603F19"/>
    <w:rsid w:val="00604D6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2C05"/>
    <w:rsid w:val="00633595"/>
    <w:rsid w:val="00634521"/>
    <w:rsid w:val="0063468C"/>
    <w:rsid w:val="00634DAD"/>
    <w:rsid w:val="006358A5"/>
    <w:rsid w:val="006359D0"/>
    <w:rsid w:val="00635B2E"/>
    <w:rsid w:val="00636C28"/>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14C8"/>
    <w:rsid w:val="00651A21"/>
    <w:rsid w:val="006531CB"/>
    <w:rsid w:val="00653453"/>
    <w:rsid w:val="00653F03"/>
    <w:rsid w:val="00654347"/>
    <w:rsid w:val="00654C6A"/>
    <w:rsid w:val="00655B41"/>
    <w:rsid w:val="00656821"/>
    <w:rsid w:val="006569B1"/>
    <w:rsid w:val="006572F6"/>
    <w:rsid w:val="0065733C"/>
    <w:rsid w:val="006600F5"/>
    <w:rsid w:val="0066027D"/>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1BE2"/>
    <w:rsid w:val="006834E5"/>
    <w:rsid w:val="00683A28"/>
    <w:rsid w:val="0068476E"/>
    <w:rsid w:val="00684959"/>
    <w:rsid w:val="00684DEA"/>
    <w:rsid w:val="006854F2"/>
    <w:rsid w:val="006862BE"/>
    <w:rsid w:val="00686E12"/>
    <w:rsid w:val="00690E56"/>
    <w:rsid w:val="00691B4D"/>
    <w:rsid w:val="0069249C"/>
    <w:rsid w:val="00692613"/>
    <w:rsid w:val="00693D2C"/>
    <w:rsid w:val="00697E8B"/>
    <w:rsid w:val="006A1039"/>
    <w:rsid w:val="006A21AF"/>
    <w:rsid w:val="006A2D1D"/>
    <w:rsid w:val="006A49AE"/>
    <w:rsid w:val="006A5A4C"/>
    <w:rsid w:val="006A6846"/>
    <w:rsid w:val="006A75AC"/>
    <w:rsid w:val="006A7897"/>
    <w:rsid w:val="006A7F23"/>
    <w:rsid w:val="006B056A"/>
    <w:rsid w:val="006B0FA2"/>
    <w:rsid w:val="006B1475"/>
    <w:rsid w:val="006B1A63"/>
    <w:rsid w:val="006B2A03"/>
    <w:rsid w:val="006B2ABD"/>
    <w:rsid w:val="006B2E94"/>
    <w:rsid w:val="006B3858"/>
    <w:rsid w:val="006B5363"/>
    <w:rsid w:val="006B56D9"/>
    <w:rsid w:val="006B657B"/>
    <w:rsid w:val="006B709C"/>
    <w:rsid w:val="006C01B3"/>
    <w:rsid w:val="006C0671"/>
    <w:rsid w:val="006C1ABF"/>
    <w:rsid w:val="006C1BD3"/>
    <w:rsid w:val="006C1C44"/>
    <w:rsid w:val="006C1C92"/>
    <w:rsid w:val="006C1D80"/>
    <w:rsid w:val="006C34ED"/>
    <w:rsid w:val="006C3B12"/>
    <w:rsid w:val="006C3D2D"/>
    <w:rsid w:val="006C4D54"/>
    <w:rsid w:val="006C5827"/>
    <w:rsid w:val="006C7199"/>
    <w:rsid w:val="006D0087"/>
    <w:rsid w:val="006D04D2"/>
    <w:rsid w:val="006D176D"/>
    <w:rsid w:val="006D1FC8"/>
    <w:rsid w:val="006D2106"/>
    <w:rsid w:val="006D280F"/>
    <w:rsid w:val="006D383A"/>
    <w:rsid w:val="006D4161"/>
    <w:rsid w:val="006D5CCE"/>
    <w:rsid w:val="006D6131"/>
    <w:rsid w:val="006D66B2"/>
    <w:rsid w:val="006D6CC0"/>
    <w:rsid w:val="006D6DC4"/>
    <w:rsid w:val="006D76F3"/>
    <w:rsid w:val="006D786C"/>
    <w:rsid w:val="006D79E4"/>
    <w:rsid w:val="006D7BA7"/>
    <w:rsid w:val="006D7F24"/>
    <w:rsid w:val="006E07AA"/>
    <w:rsid w:val="006E123A"/>
    <w:rsid w:val="006E3C03"/>
    <w:rsid w:val="006E4684"/>
    <w:rsid w:val="006E4ABF"/>
    <w:rsid w:val="006E52CE"/>
    <w:rsid w:val="006E57B4"/>
    <w:rsid w:val="006E585B"/>
    <w:rsid w:val="006E5FB1"/>
    <w:rsid w:val="006E6297"/>
    <w:rsid w:val="006E6560"/>
    <w:rsid w:val="006E663F"/>
    <w:rsid w:val="006E787E"/>
    <w:rsid w:val="006F10E1"/>
    <w:rsid w:val="006F11DD"/>
    <w:rsid w:val="006F19AA"/>
    <w:rsid w:val="006F281D"/>
    <w:rsid w:val="006F285F"/>
    <w:rsid w:val="006F347B"/>
    <w:rsid w:val="006F3536"/>
    <w:rsid w:val="006F3A6E"/>
    <w:rsid w:val="006F4A1E"/>
    <w:rsid w:val="006F713A"/>
    <w:rsid w:val="007021CD"/>
    <w:rsid w:val="0070320C"/>
    <w:rsid w:val="007033B5"/>
    <w:rsid w:val="00704670"/>
    <w:rsid w:val="00705DA7"/>
    <w:rsid w:val="00706400"/>
    <w:rsid w:val="00710AF8"/>
    <w:rsid w:val="00710BF9"/>
    <w:rsid w:val="00710F65"/>
    <w:rsid w:val="00711570"/>
    <w:rsid w:val="0071327A"/>
    <w:rsid w:val="00713714"/>
    <w:rsid w:val="0071397B"/>
    <w:rsid w:val="007139D1"/>
    <w:rsid w:val="007149F9"/>
    <w:rsid w:val="00715002"/>
    <w:rsid w:val="007163C0"/>
    <w:rsid w:val="007202FA"/>
    <w:rsid w:val="0072059F"/>
    <w:rsid w:val="00720648"/>
    <w:rsid w:val="00720C94"/>
    <w:rsid w:val="0072219B"/>
    <w:rsid w:val="00722424"/>
    <w:rsid w:val="00722DED"/>
    <w:rsid w:val="00723C1D"/>
    <w:rsid w:val="00723CC5"/>
    <w:rsid w:val="007244C8"/>
    <w:rsid w:val="00724A11"/>
    <w:rsid w:val="00725154"/>
    <w:rsid w:val="007264A6"/>
    <w:rsid w:val="00726680"/>
    <w:rsid w:val="00726C56"/>
    <w:rsid w:val="00727068"/>
    <w:rsid w:val="007270D6"/>
    <w:rsid w:val="00727786"/>
    <w:rsid w:val="00727AE5"/>
    <w:rsid w:val="00727E46"/>
    <w:rsid w:val="00730041"/>
    <w:rsid w:val="0073024E"/>
    <w:rsid w:val="00730D60"/>
    <w:rsid w:val="007317DC"/>
    <w:rsid w:val="00731EC4"/>
    <w:rsid w:val="00731FA8"/>
    <w:rsid w:val="0073212E"/>
    <w:rsid w:val="0073326F"/>
    <w:rsid w:val="0073378E"/>
    <w:rsid w:val="007343B1"/>
    <w:rsid w:val="00734516"/>
    <w:rsid w:val="00734D2F"/>
    <w:rsid w:val="00735043"/>
    <w:rsid w:val="00736983"/>
    <w:rsid w:val="00737520"/>
    <w:rsid w:val="007406F6"/>
    <w:rsid w:val="00740C3E"/>
    <w:rsid w:val="00742AB7"/>
    <w:rsid w:val="00744104"/>
    <w:rsid w:val="0074450C"/>
    <w:rsid w:val="00744632"/>
    <w:rsid w:val="007452B3"/>
    <w:rsid w:val="0074683C"/>
    <w:rsid w:val="00746F99"/>
    <w:rsid w:val="007474F0"/>
    <w:rsid w:val="00747AC3"/>
    <w:rsid w:val="00750F58"/>
    <w:rsid w:val="007524DB"/>
    <w:rsid w:val="007526C7"/>
    <w:rsid w:val="00753941"/>
    <w:rsid w:val="00753A65"/>
    <w:rsid w:val="00753ADE"/>
    <w:rsid w:val="00756E3A"/>
    <w:rsid w:val="0075719C"/>
    <w:rsid w:val="00757B56"/>
    <w:rsid w:val="00760B67"/>
    <w:rsid w:val="00761CE2"/>
    <w:rsid w:val="00761E43"/>
    <w:rsid w:val="00763A3A"/>
    <w:rsid w:val="00763E35"/>
    <w:rsid w:val="00764C13"/>
    <w:rsid w:val="00766829"/>
    <w:rsid w:val="00766AEC"/>
    <w:rsid w:val="00770301"/>
    <w:rsid w:val="0077170D"/>
    <w:rsid w:val="00771F85"/>
    <w:rsid w:val="00772487"/>
    <w:rsid w:val="00772730"/>
    <w:rsid w:val="00773308"/>
    <w:rsid w:val="0077389E"/>
    <w:rsid w:val="00773F61"/>
    <w:rsid w:val="00774E68"/>
    <w:rsid w:val="0077505C"/>
    <w:rsid w:val="0077594D"/>
    <w:rsid w:val="007761EE"/>
    <w:rsid w:val="0077727E"/>
    <w:rsid w:val="00777DAD"/>
    <w:rsid w:val="00780D40"/>
    <w:rsid w:val="00781F3B"/>
    <w:rsid w:val="00784F53"/>
    <w:rsid w:val="00786364"/>
    <w:rsid w:val="00787591"/>
    <w:rsid w:val="00787AC0"/>
    <w:rsid w:val="007902C4"/>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0C6"/>
    <w:rsid w:val="007A54C1"/>
    <w:rsid w:val="007A711B"/>
    <w:rsid w:val="007A75A0"/>
    <w:rsid w:val="007A7E74"/>
    <w:rsid w:val="007A7F2A"/>
    <w:rsid w:val="007B0184"/>
    <w:rsid w:val="007B06A5"/>
    <w:rsid w:val="007B0C46"/>
    <w:rsid w:val="007B112B"/>
    <w:rsid w:val="007B4705"/>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49DE"/>
    <w:rsid w:val="007D56D2"/>
    <w:rsid w:val="007D5C93"/>
    <w:rsid w:val="007D61B8"/>
    <w:rsid w:val="007D6945"/>
    <w:rsid w:val="007D70B5"/>
    <w:rsid w:val="007D7181"/>
    <w:rsid w:val="007D72D2"/>
    <w:rsid w:val="007D760B"/>
    <w:rsid w:val="007D77AF"/>
    <w:rsid w:val="007D7EB3"/>
    <w:rsid w:val="007E01DB"/>
    <w:rsid w:val="007E07B2"/>
    <w:rsid w:val="007E10DE"/>
    <w:rsid w:val="007E36FC"/>
    <w:rsid w:val="007E3828"/>
    <w:rsid w:val="007E3B77"/>
    <w:rsid w:val="007E3C92"/>
    <w:rsid w:val="007E5629"/>
    <w:rsid w:val="007E69A8"/>
    <w:rsid w:val="007E6E5C"/>
    <w:rsid w:val="007E7D7C"/>
    <w:rsid w:val="007F1621"/>
    <w:rsid w:val="007F1D4F"/>
    <w:rsid w:val="007F34DE"/>
    <w:rsid w:val="007F34EB"/>
    <w:rsid w:val="007F3B2C"/>
    <w:rsid w:val="007F42D5"/>
    <w:rsid w:val="007F491E"/>
    <w:rsid w:val="007F4A1B"/>
    <w:rsid w:val="007F4AD9"/>
    <w:rsid w:val="007F6056"/>
    <w:rsid w:val="007F7FF2"/>
    <w:rsid w:val="00800A64"/>
    <w:rsid w:val="00802129"/>
    <w:rsid w:val="008021A8"/>
    <w:rsid w:val="008024D4"/>
    <w:rsid w:val="00802E55"/>
    <w:rsid w:val="008059B4"/>
    <w:rsid w:val="00805B42"/>
    <w:rsid w:val="00805E4B"/>
    <w:rsid w:val="00806D63"/>
    <w:rsid w:val="00807409"/>
    <w:rsid w:val="0080798A"/>
    <w:rsid w:val="008102AD"/>
    <w:rsid w:val="008115E3"/>
    <w:rsid w:val="0081167C"/>
    <w:rsid w:val="0081297F"/>
    <w:rsid w:val="008168F8"/>
    <w:rsid w:val="0081772E"/>
    <w:rsid w:val="00820393"/>
    <w:rsid w:val="008203CF"/>
    <w:rsid w:val="00820603"/>
    <w:rsid w:val="0082350D"/>
    <w:rsid w:val="00823E80"/>
    <w:rsid w:val="00824AA0"/>
    <w:rsid w:val="00825004"/>
    <w:rsid w:val="00825A1B"/>
    <w:rsid w:val="00825AAA"/>
    <w:rsid w:val="00831AF4"/>
    <w:rsid w:val="00831C86"/>
    <w:rsid w:val="008327D7"/>
    <w:rsid w:val="00833685"/>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4A5"/>
    <w:rsid w:val="008478AA"/>
    <w:rsid w:val="00847B0A"/>
    <w:rsid w:val="00847C79"/>
    <w:rsid w:val="00847D4E"/>
    <w:rsid w:val="00850083"/>
    <w:rsid w:val="00850599"/>
    <w:rsid w:val="00850910"/>
    <w:rsid w:val="00851CD4"/>
    <w:rsid w:val="00851FD3"/>
    <w:rsid w:val="00852213"/>
    <w:rsid w:val="0085238A"/>
    <w:rsid w:val="008524EB"/>
    <w:rsid w:val="00852890"/>
    <w:rsid w:val="0085318D"/>
    <w:rsid w:val="008565BC"/>
    <w:rsid w:val="00856648"/>
    <w:rsid w:val="00856A67"/>
    <w:rsid w:val="00857D59"/>
    <w:rsid w:val="00861731"/>
    <w:rsid w:val="0086190F"/>
    <w:rsid w:val="00862862"/>
    <w:rsid w:val="00863B4F"/>
    <w:rsid w:val="00864147"/>
    <w:rsid w:val="008642D0"/>
    <w:rsid w:val="0086437F"/>
    <w:rsid w:val="00867FC5"/>
    <w:rsid w:val="008714DB"/>
    <w:rsid w:val="00871B57"/>
    <w:rsid w:val="00871E21"/>
    <w:rsid w:val="008747C9"/>
    <w:rsid w:val="00875402"/>
    <w:rsid w:val="00875449"/>
    <w:rsid w:val="00875858"/>
    <w:rsid w:val="00876705"/>
    <w:rsid w:val="00877E88"/>
    <w:rsid w:val="0088002F"/>
    <w:rsid w:val="008802A2"/>
    <w:rsid w:val="00881072"/>
    <w:rsid w:val="008816A3"/>
    <w:rsid w:val="008829F7"/>
    <w:rsid w:val="00882E18"/>
    <w:rsid w:val="00884B09"/>
    <w:rsid w:val="00885345"/>
    <w:rsid w:val="00885469"/>
    <w:rsid w:val="008865D6"/>
    <w:rsid w:val="008866DF"/>
    <w:rsid w:val="00886AEF"/>
    <w:rsid w:val="00887178"/>
    <w:rsid w:val="0088747B"/>
    <w:rsid w:val="008879D3"/>
    <w:rsid w:val="00890D9C"/>
    <w:rsid w:val="00892310"/>
    <w:rsid w:val="00892F80"/>
    <w:rsid w:val="00893A03"/>
    <w:rsid w:val="00894E27"/>
    <w:rsid w:val="00895566"/>
    <w:rsid w:val="00895CB8"/>
    <w:rsid w:val="00895E96"/>
    <w:rsid w:val="0089661E"/>
    <w:rsid w:val="00897D19"/>
    <w:rsid w:val="00897F55"/>
    <w:rsid w:val="008A056C"/>
    <w:rsid w:val="008A0D84"/>
    <w:rsid w:val="008A14DB"/>
    <w:rsid w:val="008A1A62"/>
    <w:rsid w:val="008A1D01"/>
    <w:rsid w:val="008A1FFE"/>
    <w:rsid w:val="008A21D4"/>
    <w:rsid w:val="008A2C51"/>
    <w:rsid w:val="008A342D"/>
    <w:rsid w:val="008A4780"/>
    <w:rsid w:val="008A5963"/>
    <w:rsid w:val="008A5ABF"/>
    <w:rsid w:val="008A5FD4"/>
    <w:rsid w:val="008A78F7"/>
    <w:rsid w:val="008B078A"/>
    <w:rsid w:val="008B0887"/>
    <w:rsid w:val="008B1542"/>
    <w:rsid w:val="008B17A0"/>
    <w:rsid w:val="008B22B0"/>
    <w:rsid w:val="008B2C01"/>
    <w:rsid w:val="008B31F7"/>
    <w:rsid w:val="008B33C0"/>
    <w:rsid w:val="008B3522"/>
    <w:rsid w:val="008B379D"/>
    <w:rsid w:val="008B3869"/>
    <w:rsid w:val="008B4F41"/>
    <w:rsid w:val="008B5F0A"/>
    <w:rsid w:val="008B6972"/>
    <w:rsid w:val="008B74D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42F6"/>
    <w:rsid w:val="008D5013"/>
    <w:rsid w:val="008D58AA"/>
    <w:rsid w:val="008D59E9"/>
    <w:rsid w:val="008D7367"/>
    <w:rsid w:val="008D7D2D"/>
    <w:rsid w:val="008E0F0B"/>
    <w:rsid w:val="008E1159"/>
    <w:rsid w:val="008E1580"/>
    <w:rsid w:val="008E1A9C"/>
    <w:rsid w:val="008E20F1"/>
    <w:rsid w:val="008E3175"/>
    <w:rsid w:val="008E32CE"/>
    <w:rsid w:val="008E3CC4"/>
    <w:rsid w:val="008E417F"/>
    <w:rsid w:val="008E4F24"/>
    <w:rsid w:val="008E5512"/>
    <w:rsid w:val="008E59C0"/>
    <w:rsid w:val="008F1056"/>
    <w:rsid w:val="008F1589"/>
    <w:rsid w:val="008F1873"/>
    <w:rsid w:val="008F18E5"/>
    <w:rsid w:val="008F251D"/>
    <w:rsid w:val="008F2E02"/>
    <w:rsid w:val="008F2FE8"/>
    <w:rsid w:val="008F3327"/>
    <w:rsid w:val="008F3549"/>
    <w:rsid w:val="008F49E7"/>
    <w:rsid w:val="008F4BA0"/>
    <w:rsid w:val="008F4D58"/>
    <w:rsid w:val="008F5110"/>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A99"/>
    <w:rsid w:val="00912CB8"/>
    <w:rsid w:val="00916484"/>
    <w:rsid w:val="00916B7D"/>
    <w:rsid w:val="00916F2F"/>
    <w:rsid w:val="00917575"/>
    <w:rsid w:val="009176BF"/>
    <w:rsid w:val="00917ABD"/>
    <w:rsid w:val="00920136"/>
    <w:rsid w:val="009209E3"/>
    <w:rsid w:val="00921847"/>
    <w:rsid w:val="00923A33"/>
    <w:rsid w:val="00923DB7"/>
    <w:rsid w:val="00925BBA"/>
    <w:rsid w:val="009261BF"/>
    <w:rsid w:val="009266A4"/>
    <w:rsid w:val="00926AD5"/>
    <w:rsid w:val="009272C6"/>
    <w:rsid w:val="009313EE"/>
    <w:rsid w:val="00931A9D"/>
    <w:rsid w:val="00933A3E"/>
    <w:rsid w:val="009346FD"/>
    <w:rsid w:val="00934D39"/>
    <w:rsid w:val="00934DEB"/>
    <w:rsid w:val="0093548A"/>
    <w:rsid w:val="00936381"/>
    <w:rsid w:val="00936F5C"/>
    <w:rsid w:val="00936F84"/>
    <w:rsid w:val="00937A6E"/>
    <w:rsid w:val="00940851"/>
    <w:rsid w:val="00941194"/>
    <w:rsid w:val="0094160F"/>
    <w:rsid w:val="009422BC"/>
    <w:rsid w:val="0094287F"/>
    <w:rsid w:val="00942B51"/>
    <w:rsid w:val="009430E5"/>
    <w:rsid w:val="0094315F"/>
    <w:rsid w:val="009432CB"/>
    <w:rsid w:val="00943DE3"/>
    <w:rsid w:val="00944192"/>
    <w:rsid w:val="00944BB5"/>
    <w:rsid w:val="0094678B"/>
    <w:rsid w:val="00946AB7"/>
    <w:rsid w:val="00946B07"/>
    <w:rsid w:val="0094749D"/>
    <w:rsid w:val="00950786"/>
    <w:rsid w:val="009513BE"/>
    <w:rsid w:val="0095242E"/>
    <w:rsid w:val="00953B97"/>
    <w:rsid w:val="00954408"/>
    <w:rsid w:val="00954FE1"/>
    <w:rsid w:val="0095542B"/>
    <w:rsid w:val="009556AE"/>
    <w:rsid w:val="009556D1"/>
    <w:rsid w:val="00955DD9"/>
    <w:rsid w:val="009565BD"/>
    <w:rsid w:val="00956939"/>
    <w:rsid w:val="00956AB0"/>
    <w:rsid w:val="00961EF6"/>
    <w:rsid w:val="00962780"/>
    <w:rsid w:val="00962B2C"/>
    <w:rsid w:val="00962B87"/>
    <w:rsid w:val="00962FF1"/>
    <w:rsid w:val="009630CE"/>
    <w:rsid w:val="009641AD"/>
    <w:rsid w:val="00965427"/>
    <w:rsid w:val="00965842"/>
    <w:rsid w:val="009665FD"/>
    <w:rsid w:val="009679D9"/>
    <w:rsid w:val="009703F8"/>
    <w:rsid w:val="0097067B"/>
    <w:rsid w:val="009712AE"/>
    <w:rsid w:val="00971BE0"/>
    <w:rsid w:val="00971EFA"/>
    <w:rsid w:val="009725A2"/>
    <w:rsid w:val="00973381"/>
    <w:rsid w:val="00974915"/>
    <w:rsid w:val="009752C7"/>
    <w:rsid w:val="009759F2"/>
    <w:rsid w:val="00976064"/>
    <w:rsid w:val="00976190"/>
    <w:rsid w:val="00976469"/>
    <w:rsid w:val="00976532"/>
    <w:rsid w:val="0097654B"/>
    <w:rsid w:val="009770B8"/>
    <w:rsid w:val="00977C6D"/>
    <w:rsid w:val="00977C89"/>
    <w:rsid w:val="00977F17"/>
    <w:rsid w:val="00981AF3"/>
    <w:rsid w:val="00982497"/>
    <w:rsid w:val="00982CD1"/>
    <w:rsid w:val="0098342A"/>
    <w:rsid w:val="00983AE1"/>
    <w:rsid w:val="00985829"/>
    <w:rsid w:val="00985D36"/>
    <w:rsid w:val="00985DBA"/>
    <w:rsid w:val="009865D6"/>
    <w:rsid w:val="00990506"/>
    <w:rsid w:val="009910DC"/>
    <w:rsid w:val="0099172C"/>
    <w:rsid w:val="00991B19"/>
    <w:rsid w:val="00993599"/>
    <w:rsid w:val="00995AD8"/>
    <w:rsid w:val="00996CBA"/>
    <w:rsid w:val="009974A8"/>
    <w:rsid w:val="009975C9"/>
    <w:rsid w:val="009A0A09"/>
    <w:rsid w:val="009A245B"/>
    <w:rsid w:val="009A2516"/>
    <w:rsid w:val="009A2FAA"/>
    <w:rsid w:val="009B14F1"/>
    <w:rsid w:val="009B18D7"/>
    <w:rsid w:val="009B23EE"/>
    <w:rsid w:val="009B3610"/>
    <w:rsid w:val="009B37D3"/>
    <w:rsid w:val="009B4C61"/>
    <w:rsid w:val="009B4CE0"/>
    <w:rsid w:val="009B54CF"/>
    <w:rsid w:val="009B5A8C"/>
    <w:rsid w:val="009B5C74"/>
    <w:rsid w:val="009B661E"/>
    <w:rsid w:val="009C01B9"/>
    <w:rsid w:val="009C0342"/>
    <w:rsid w:val="009C0408"/>
    <w:rsid w:val="009C161A"/>
    <w:rsid w:val="009C1E60"/>
    <w:rsid w:val="009C311A"/>
    <w:rsid w:val="009C3C12"/>
    <w:rsid w:val="009C4088"/>
    <w:rsid w:val="009C7BBD"/>
    <w:rsid w:val="009C7FE0"/>
    <w:rsid w:val="009D05CC"/>
    <w:rsid w:val="009D09AE"/>
    <w:rsid w:val="009D1B21"/>
    <w:rsid w:val="009D2A1F"/>
    <w:rsid w:val="009D2BAC"/>
    <w:rsid w:val="009D55EE"/>
    <w:rsid w:val="009D5970"/>
    <w:rsid w:val="009D5C32"/>
    <w:rsid w:val="009D73F5"/>
    <w:rsid w:val="009D740A"/>
    <w:rsid w:val="009D7D93"/>
    <w:rsid w:val="009E1607"/>
    <w:rsid w:val="009E1A3F"/>
    <w:rsid w:val="009E21B7"/>
    <w:rsid w:val="009E2CF2"/>
    <w:rsid w:val="009E2EA7"/>
    <w:rsid w:val="009E312B"/>
    <w:rsid w:val="009E4844"/>
    <w:rsid w:val="009E564F"/>
    <w:rsid w:val="009E6184"/>
    <w:rsid w:val="009E655C"/>
    <w:rsid w:val="009E6F2E"/>
    <w:rsid w:val="009F0BD3"/>
    <w:rsid w:val="009F1FD6"/>
    <w:rsid w:val="009F3218"/>
    <w:rsid w:val="009F7F2B"/>
    <w:rsid w:val="009F7FAF"/>
    <w:rsid w:val="00A0001D"/>
    <w:rsid w:val="00A01037"/>
    <w:rsid w:val="00A0119C"/>
    <w:rsid w:val="00A03071"/>
    <w:rsid w:val="00A03332"/>
    <w:rsid w:val="00A0541B"/>
    <w:rsid w:val="00A059D3"/>
    <w:rsid w:val="00A06208"/>
    <w:rsid w:val="00A0628B"/>
    <w:rsid w:val="00A1016F"/>
    <w:rsid w:val="00A10996"/>
    <w:rsid w:val="00A10EC9"/>
    <w:rsid w:val="00A11F7F"/>
    <w:rsid w:val="00A12648"/>
    <w:rsid w:val="00A13855"/>
    <w:rsid w:val="00A13EF8"/>
    <w:rsid w:val="00A140A3"/>
    <w:rsid w:val="00A15500"/>
    <w:rsid w:val="00A155A6"/>
    <w:rsid w:val="00A15B34"/>
    <w:rsid w:val="00A1647B"/>
    <w:rsid w:val="00A177A3"/>
    <w:rsid w:val="00A20EFE"/>
    <w:rsid w:val="00A21556"/>
    <w:rsid w:val="00A21903"/>
    <w:rsid w:val="00A22AF7"/>
    <w:rsid w:val="00A2551C"/>
    <w:rsid w:val="00A25C16"/>
    <w:rsid w:val="00A27590"/>
    <w:rsid w:val="00A30028"/>
    <w:rsid w:val="00A301EF"/>
    <w:rsid w:val="00A3040F"/>
    <w:rsid w:val="00A3168A"/>
    <w:rsid w:val="00A31CD2"/>
    <w:rsid w:val="00A32EFA"/>
    <w:rsid w:val="00A339B5"/>
    <w:rsid w:val="00A35D28"/>
    <w:rsid w:val="00A35E53"/>
    <w:rsid w:val="00A3635F"/>
    <w:rsid w:val="00A36941"/>
    <w:rsid w:val="00A37995"/>
    <w:rsid w:val="00A41A4E"/>
    <w:rsid w:val="00A42621"/>
    <w:rsid w:val="00A42FED"/>
    <w:rsid w:val="00A436D2"/>
    <w:rsid w:val="00A43752"/>
    <w:rsid w:val="00A443B8"/>
    <w:rsid w:val="00A452B2"/>
    <w:rsid w:val="00A454E3"/>
    <w:rsid w:val="00A463F3"/>
    <w:rsid w:val="00A50258"/>
    <w:rsid w:val="00A51149"/>
    <w:rsid w:val="00A5498C"/>
    <w:rsid w:val="00A54FE4"/>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B6F"/>
    <w:rsid w:val="00A67E6C"/>
    <w:rsid w:val="00A7067D"/>
    <w:rsid w:val="00A7189A"/>
    <w:rsid w:val="00A71C9E"/>
    <w:rsid w:val="00A71DDE"/>
    <w:rsid w:val="00A7228B"/>
    <w:rsid w:val="00A72A7B"/>
    <w:rsid w:val="00A72B75"/>
    <w:rsid w:val="00A73038"/>
    <w:rsid w:val="00A73F8D"/>
    <w:rsid w:val="00A749FD"/>
    <w:rsid w:val="00A74B8A"/>
    <w:rsid w:val="00A74C77"/>
    <w:rsid w:val="00A75387"/>
    <w:rsid w:val="00A758BE"/>
    <w:rsid w:val="00A75C2A"/>
    <w:rsid w:val="00A76C99"/>
    <w:rsid w:val="00A76F14"/>
    <w:rsid w:val="00A775D5"/>
    <w:rsid w:val="00A800C8"/>
    <w:rsid w:val="00A811CB"/>
    <w:rsid w:val="00A81D2F"/>
    <w:rsid w:val="00A81E59"/>
    <w:rsid w:val="00A81EBE"/>
    <w:rsid w:val="00A826F1"/>
    <w:rsid w:val="00A82D02"/>
    <w:rsid w:val="00A84364"/>
    <w:rsid w:val="00A84CD0"/>
    <w:rsid w:val="00A86494"/>
    <w:rsid w:val="00A87314"/>
    <w:rsid w:val="00A915F4"/>
    <w:rsid w:val="00A917A9"/>
    <w:rsid w:val="00A91C36"/>
    <w:rsid w:val="00A91D41"/>
    <w:rsid w:val="00A9684D"/>
    <w:rsid w:val="00A97402"/>
    <w:rsid w:val="00A97873"/>
    <w:rsid w:val="00AA321D"/>
    <w:rsid w:val="00AA3C4B"/>
    <w:rsid w:val="00AA4CFF"/>
    <w:rsid w:val="00AA6669"/>
    <w:rsid w:val="00AA690A"/>
    <w:rsid w:val="00AA6AB3"/>
    <w:rsid w:val="00AA6D26"/>
    <w:rsid w:val="00AB0541"/>
    <w:rsid w:val="00AB09EE"/>
    <w:rsid w:val="00AB19FC"/>
    <w:rsid w:val="00AB2400"/>
    <w:rsid w:val="00AB5377"/>
    <w:rsid w:val="00AB5B77"/>
    <w:rsid w:val="00AB7D08"/>
    <w:rsid w:val="00AC0B81"/>
    <w:rsid w:val="00AC3506"/>
    <w:rsid w:val="00AC387E"/>
    <w:rsid w:val="00AC4D97"/>
    <w:rsid w:val="00AC4DD2"/>
    <w:rsid w:val="00AC5BDF"/>
    <w:rsid w:val="00AC6903"/>
    <w:rsid w:val="00AC6B95"/>
    <w:rsid w:val="00AC7669"/>
    <w:rsid w:val="00AD0AF6"/>
    <w:rsid w:val="00AD343E"/>
    <w:rsid w:val="00AD476A"/>
    <w:rsid w:val="00AD47AA"/>
    <w:rsid w:val="00AD4ABF"/>
    <w:rsid w:val="00AD4C67"/>
    <w:rsid w:val="00AD52D1"/>
    <w:rsid w:val="00AD54E1"/>
    <w:rsid w:val="00AD5632"/>
    <w:rsid w:val="00AD5760"/>
    <w:rsid w:val="00AD6306"/>
    <w:rsid w:val="00AD7076"/>
    <w:rsid w:val="00AE0764"/>
    <w:rsid w:val="00AE1BD1"/>
    <w:rsid w:val="00AE1DBE"/>
    <w:rsid w:val="00AE276C"/>
    <w:rsid w:val="00AE3DF4"/>
    <w:rsid w:val="00AE4788"/>
    <w:rsid w:val="00AE50A3"/>
    <w:rsid w:val="00AE54FF"/>
    <w:rsid w:val="00AE563F"/>
    <w:rsid w:val="00AE71A8"/>
    <w:rsid w:val="00AE74B3"/>
    <w:rsid w:val="00AE7678"/>
    <w:rsid w:val="00AE7EB6"/>
    <w:rsid w:val="00AF0329"/>
    <w:rsid w:val="00AF0774"/>
    <w:rsid w:val="00AF2612"/>
    <w:rsid w:val="00AF39DC"/>
    <w:rsid w:val="00AF3BD3"/>
    <w:rsid w:val="00AF3F13"/>
    <w:rsid w:val="00AF3FE3"/>
    <w:rsid w:val="00AF4A53"/>
    <w:rsid w:val="00AF52DC"/>
    <w:rsid w:val="00AF6305"/>
    <w:rsid w:val="00AF6A68"/>
    <w:rsid w:val="00B008DF"/>
    <w:rsid w:val="00B00E5C"/>
    <w:rsid w:val="00B0131B"/>
    <w:rsid w:val="00B01819"/>
    <w:rsid w:val="00B022D8"/>
    <w:rsid w:val="00B02540"/>
    <w:rsid w:val="00B03B7D"/>
    <w:rsid w:val="00B04DC3"/>
    <w:rsid w:val="00B0529B"/>
    <w:rsid w:val="00B069B1"/>
    <w:rsid w:val="00B1077D"/>
    <w:rsid w:val="00B11176"/>
    <w:rsid w:val="00B13CB1"/>
    <w:rsid w:val="00B153B8"/>
    <w:rsid w:val="00B167CE"/>
    <w:rsid w:val="00B16B62"/>
    <w:rsid w:val="00B17A2E"/>
    <w:rsid w:val="00B17C66"/>
    <w:rsid w:val="00B20292"/>
    <w:rsid w:val="00B206B1"/>
    <w:rsid w:val="00B22004"/>
    <w:rsid w:val="00B222C2"/>
    <w:rsid w:val="00B22C0A"/>
    <w:rsid w:val="00B22FF9"/>
    <w:rsid w:val="00B25B42"/>
    <w:rsid w:val="00B267F1"/>
    <w:rsid w:val="00B2725F"/>
    <w:rsid w:val="00B27998"/>
    <w:rsid w:val="00B308E1"/>
    <w:rsid w:val="00B331DC"/>
    <w:rsid w:val="00B33BCF"/>
    <w:rsid w:val="00B35546"/>
    <w:rsid w:val="00B3556A"/>
    <w:rsid w:val="00B35594"/>
    <w:rsid w:val="00B3580D"/>
    <w:rsid w:val="00B36B6D"/>
    <w:rsid w:val="00B3756E"/>
    <w:rsid w:val="00B401AE"/>
    <w:rsid w:val="00B402BB"/>
    <w:rsid w:val="00B414AF"/>
    <w:rsid w:val="00B41708"/>
    <w:rsid w:val="00B4301A"/>
    <w:rsid w:val="00B43FF7"/>
    <w:rsid w:val="00B4438B"/>
    <w:rsid w:val="00B46241"/>
    <w:rsid w:val="00B46422"/>
    <w:rsid w:val="00B47C72"/>
    <w:rsid w:val="00B50D0F"/>
    <w:rsid w:val="00B51EF7"/>
    <w:rsid w:val="00B524C0"/>
    <w:rsid w:val="00B52CF9"/>
    <w:rsid w:val="00B52D9E"/>
    <w:rsid w:val="00B53C31"/>
    <w:rsid w:val="00B555A9"/>
    <w:rsid w:val="00B55E82"/>
    <w:rsid w:val="00B563E9"/>
    <w:rsid w:val="00B60ED0"/>
    <w:rsid w:val="00B627E7"/>
    <w:rsid w:val="00B6283F"/>
    <w:rsid w:val="00B62F33"/>
    <w:rsid w:val="00B65066"/>
    <w:rsid w:val="00B6668D"/>
    <w:rsid w:val="00B666B9"/>
    <w:rsid w:val="00B66A94"/>
    <w:rsid w:val="00B66F81"/>
    <w:rsid w:val="00B677F1"/>
    <w:rsid w:val="00B707AF"/>
    <w:rsid w:val="00B70882"/>
    <w:rsid w:val="00B709B8"/>
    <w:rsid w:val="00B72D75"/>
    <w:rsid w:val="00B72F97"/>
    <w:rsid w:val="00B741EF"/>
    <w:rsid w:val="00B75F72"/>
    <w:rsid w:val="00B76DC1"/>
    <w:rsid w:val="00B77CFD"/>
    <w:rsid w:val="00B805C4"/>
    <w:rsid w:val="00B809EE"/>
    <w:rsid w:val="00B81548"/>
    <w:rsid w:val="00B81633"/>
    <w:rsid w:val="00B82FF5"/>
    <w:rsid w:val="00B83A38"/>
    <w:rsid w:val="00B850CE"/>
    <w:rsid w:val="00B862C0"/>
    <w:rsid w:val="00B863D9"/>
    <w:rsid w:val="00B86C03"/>
    <w:rsid w:val="00B86E98"/>
    <w:rsid w:val="00B90192"/>
    <w:rsid w:val="00B90B9B"/>
    <w:rsid w:val="00B90C7D"/>
    <w:rsid w:val="00B91455"/>
    <w:rsid w:val="00B919E1"/>
    <w:rsid w:val="00B92313"/>
    <w:rsid w:val="00B945A2"/>
    <w:rsid w:val="00B95C1B"/>
    <w:rsid w:val="00B962AB"/>
    <w:rsid w:val="00B96C66"/>
    <w:rsid w:val="00B97B6F"/>
    <w:rsid w:val="00BA0622"/>
    <w:rsid w:val="00BA13D0"/>
    <w:rsid w:val="00BA1C0C"/>
    <w:rsid w:val="00BA1C65"/>
    <w:rsid w:val="00BA1F66"/>
    <w:rsid w:val="00BA2A52"/>
    <w:rsid w:val="00BA3293"/>
    <w:rsid w:val="00BA35C3"/>
    <w:rsid w:val="00BA3F2E"/>
    <w:rsid w:val="00BA4357"/>
    <w:rsid w:val="00BA4760"/>
    <w:rsid w:val="00BA4FF0"/>
    <w:rsid w:val="00BA5FB5"/>
    <w:rsid w:val="00BA695E"/>
    <w:rsid w:val="00BA7003"/>
    <w:rsid w:val="00BB065D"/>
    <w:rsid w:val="00BB14CF"/>
    <w:rsid w:val="00BB1CF9"/>
    <w:rsid w:val="00BB26DC"/>
    <w:rsid w:val="00BB315F"/>
    <w:rsid w:val="00BB5036"/>
    <w:rsid w:val="00BB6888"/>
    <w:rsid w:val="00BB6EFD"/>
    <w:rsid w:val="00BC30C7"/>
    <w:rsid w:val="00BC3D44"/>
    <w:rsid w:val="00BC4213"/>
    <w:rsid w:val="00BC5C80"/>
    <w:rsid w:val="00BC5D5B"/>
    <w:rsid w:val="00BC5F08"/>
    <w:rsid w:val="00BC6493"/>
    <w:rsid w:val="00BC65B2"/>
    <w:rsid w:val="00BD09B1"/>
    <w:rsid w:val="00BD16D6"/>
    <w:rsid w:val="00BD1B72"/>
    <w:rsid w:val="00BD3BB5"/>
    <w:rsid w:val="00BD41C0"/>
    <w:rsid w:val="00BD4AA0"/>
    <w:rsid w:val="00BD6053"/>
    <w:rsid w:val="00BD6593"/>
    <w:rsid w:val="00BD66B2"/>
    <w:rsid w:val="00BD71AD"/>
    <w:rsid w:val="00BD7725"/>
    <w:rsid w:val="00BD78AD"/>
    <w:rsid w:val="00BD78F4"/>
    <w:rsid w:val="00BE0F6C"/>
    <w:rsid w:val="00BE1F09"/>
    <w:rsid w:val="00BE2DD8"/>
    <w:rsid w:val="00BE301A"/>
    <w:rsid w:val="00BE32EB"/>
    <w:rsid w:val="00BE400A"/>
    <w:rsid w:val="00BE458A"/>
    <w:rsid w:val="00BE4E51"/>
    <w:rsid w:val="00BE61FC"/>
    <w:rsid w:val="00BE6D4B"/>
    <w:rsid w:val="00BE7A1E"/>
    <w:rsid w:val="00BF0159"/>
    <w:rsid w:val="00BF0D84"/>
    <w:rsid w:val="00BF18FE"/>
    <w:rsid w:val="00BF1C55"/>
    <w:rsid w:val="00BF224A"/>
    <w:rsid w:val="00BF37C5"/>
    <w:rsid w:val="00BF3AAA"/>
    <w:rsid w:val="00BF497A"/>
    <w:rsid w:val="00BF4AC8"/>
    <w:rsid w:val="00BF70D4"/>
    <w:rsid w:val="00BF71E4"/>
    <w:rsid w:val="00BF7B13"/>
    <w:rsid w:val="00C0163D"/>
    <w:rsid w:val="00C017CA"/>
    <w:rsid w:val="00C03CE8"/>
    <w:rsid w:val="00C0494D"/>
    <w:rsid w:val="00C05806"/>
    <w:rsid w:val="00C06A1F"/>
    <w:rsid w:val="00C108A9"/>
    <w:rsid w:val="00C11896"/>
    <w:rsid w:val="00C12466"/>
    <w:rsid w:val="00C13AA1"/>
    <w:rsid w:val="00C141FB"/>
    <w:rsid w:val="00C143BD"/>
    <w:rsid w:val="00C1441B"/>
    <w:rsid w:val="00C14FB5"/>
    <w:rsid w:val="00C151EC"/>
    <w:rsid w:val="00C1544B"/>
    <w:rsid w:val="00C15A04"/>
    <w:rsid w:val="00C1656A"/>
    <w:rsid w:val="00C16815"/>
    <w:rsid w:val="00C169A6"/>
    <w:rsid w:val="00C17D4D"/>
    <w:rsid w:val="00C2003E"/>
    <w:rsid w:val="00C2100C"/>
    <w:rsid w:val="00C2106B"/>
    <w:rsid w:val="00C21175"/>
    <w:rsid w:val="00C226C2"/>
    <w:rsid w:val="00C2305A"/>
    <w:rsid w:val="00C23CC9"/>
    <w:rsid w:val="00C24114"/>
    <w:rsid w:val="00C2492B"/>
    <w:rsid w:val="00C27CF2"/>
    <w:rsid w:val="00C30314"/>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98B"/>
    <w:rsid w:val="00C37E3D"/>
    <w:rsid w:val="00C4041E"/>
    <w:rsid w:val="00C40C64"/>
    <w:rsid w:val="00C424B4"/>
    <w:rsid w:val="00C439C2"/>
    <w:rsid w:val="00C44475"/>
    <w:rsid w:val="00C44F8F"/>
    <w:rsid w:val="00C45757"/>
    <w:rsid w:val="00C46807"/>
    <w:rsid w:val="00C50B1E"/>
    <w:rsid w:val="00C51C72"/>
    <w:rsid w:val="00C544CC"/>
    <w:rsid w:val="00C55114"/>
    <w:rsid w:val="00C57198"/>
    <w:rsid w:val="00C578CE"/>
    <w:rsid w:val="00C617BF"/>
    <w:rsid w:val="00C62643"/>
    <w:rsid w:val="00C62791"/>
    <w:rsid w:val="00C62FA1"/>
    <w:rsid w:val="00C64B36"/>
    <w:rsid w:val="00C653BA"/>
    <w:rsid w:val="00C6774F"/>
    <w:rsid w:val="00C677AA"/>
    <w:rsid w:val="00C71914"/>
    <w:rsid w:val="00C7263B"/>
    <w:rsid w:val="00C727EF"/>
    <w:rsid w:val="00C73290"/>
    <w:rsid w:val="00C73502"/>
    <w:rsid w:val="00C74636"/>
    <w:rsid w:val="00C7613A"/>
    <w:rsid w:val="00C77AEB"/>
    <w:rsid w:val="00C77D8B"/>
    <w:rsid w:val="00C8013C"/>
    <w:rsid w:val="00C805DA"/>
    <w:rsid w:val="00C8096C"/>
    <w:rsid w:val="00C80A78"/>
    <w:rsid w:val="00C80F33"/>
    <w:rsid w:val="00C80FD0"/>
    <w:rsid w:val="00C8100B"/>
    <w:rsid w:val="00C816BC"/>
    <w:rsid w:val="00C825DD"/>
    <w:rsid w:val="00C852AC"/>
    <w:rsid w:val="00C86543"/>
    <w:rsid w:val="00C8683F"/>
    <w:rsid w:val="00C87D19"/>
    <w:rsid w:val="00C9091D"/>
    <w:rsid w:val="00C90FA2"/>
    <w:rsid w:val="00C92267"/>
    <w:rsid w:val="00C958E1"/>
    <w:rsid w:val="00C959C2"/>
    <w:rsid w:val="00C95BC5"/>
    <w:rsid w:val="00C974ED"/>
    <w:rsid w:val="00C97A8D"/>
    <w:rsid w:val="00CA0083"/>
    <w:rsid w:val="00CA04C0"/>
    <w:rsid w:val="00CA4064"/>
    <w:rsid w:val="00CA41D2"/>
    <w:rsid w:val="00CA4D91"/>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598E"/>
    <w:rsid w:val="00CB68CC"/>
    <w:rsid w:val="00CB6BB5"/>
    <w:rsid w:val="00CB6D6A"/>
    <w:rsid w:val="00CB7873"/>
    <w:rsid w:val="00CC07DB"/>
    <w:rsid w:val="00CC0A26"/>
    <w:rsid w:val="00CC3645"/>
    <w:rsid w:val="00CC3F55"/>
    <w:rsid w:val="00CC54B1"/>
    <w:rsid w:val="00CC79A2"/>
    <w:rsid w:val="00CD0A75"/>
    <w:rsid w:val="00CD11DE"/>
    <w:rsid w:val="00CD143E"/>
    <w:rsid w:val="00CD1963"/>
    <w:rsid w:val="00CD19CA"/>
    <w:rsid w:val="00CD34FD"/>
    <w:rsid w:val="00CD5CFC"/>
    <w:rsid w:val="00CD6C4D"/>
    <w:rsid w:val="00CE0440"/>
    <w:rsid w:val="00CE05E1"/>
    <w:rsid w:val="00CE0620"/>
    <w:rsid w:val="00CE16F2"/>
    <w:rsid w:val="00CE178F"/>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6811"/>
    <w:rsid w:val="00CF7C31"/>
    <w:rsid w:val="00D025CC"/>
    <w:rsid w:val="00D028B3"/>
    <w:rsid w:val="00D0304E"/>
    <w:rsid w:val="00D042DE"/>
    <w:rsid w:val="00D053C2"/>
    <w:rsid w:val="00D06218"/>
    <w:rsid w:val="00D104AC"/>
    <w:rsid w:val="00D10566"/>
    <w:rsid w:val="00D12AD5"/>
    <w:rsid w:val="00D138B4"/>
    <w:rsid w:val="00D13D12"/>
    <w:rsid w:val="00D15500"/>
    <w:rsid w:val="00D15C15"/>
    <w:rsid w:val="00D16725"/>
    <w:rsid w:val="00D16D23"/>
    <w:rsid w:val="00D17643"/>
    <w:rsid w:val="00D20188"/>
    <w:rsid w:val="00D201E3"/>
    <w:rsid w:val="00D2027A"/>
    <w:rsid w:val="00D218EF"/>
    <w:rsid w:val="00D22371"/>
    <w:rsid w:val="00D22433"/>
    <w:rsid w:val="00D22748"/>
    <w:rsid w:val="00D22E55"/>
    <w:rsid w:val="00D232AE"/>
    <w:rsid w:val="00D233E0"/>
    <w:rsid w:val="00D23626"/>
    <w:rsid w:val="00D26918"/>
    <w:rsid w:val="00D27734"/>
    <w:rsid w:val="00D27BED"/>
    <w:rsid w:val="00D30B3B"/>
    <w:rsid w:val="00D3182A"/>
    <w:rsid w:val="00D31C39"/>
    <w:rsid w:val="00D3227D"/>
    <w:rsid w:val="00D33567"/>
    <w:rsid w:val="00D341A7"/>
    <w:rsid w:val="00D35236"/>
    <w:rsid w:val="00D3555C"/>
    <w:rsid w:val="00D3579C"/>
    <w:rsid w:val="00D37121"/>
    <w:rsid w:val="00D376AA"/>
    <w:rsid w:val="00D40031"/>
    <w:rsid w:val="00D40043"/>
    <w:rsid w:val="00D40A47"/>
    <w:rsid w:val="00D41051"/>
    <w:rsid w:val="00D417AE"/>
    <w:rsid w:val="00D41B6F"/>
    <w:rsid w:val="00D457ED"/>
    <w:rsid w:val="00D46D32"/>
    <w:rsid w:val="00D478AA"/>
    <w:rsid w:val="00D51372"/>
    <w:rsid w:val="00D51C50"/>
    <w:rsid w:val="00D5266D"/>
    <w:rsid w:val="00D52BBA"/>
    <w:rsid w:val="00D54AEA"/>
    <w:rsid w:val="00D55A96"/>
    <w:rsid w:val="00D56796"/>
    <w:rsid w:val="00D56D40"/>
    <w:rsid w:val="00D56D85"/>
    <w:rsid w:val="00D60B6B"/>
    <w:rsid w:val="00D60D72"/>
    <w:rsid w:val="00D60DE0"/>
    <w:rsid w:val="00D61918"/>
    <w:rsid w:val="00D63019"/>
    <w:rsid w:val="00D631BD"/>
    <w:rsid w:val="00D64502"/>
    <w:rsid w:val="00D64812"/>
    <w:rsid w:val="00D64E31"/>
    <w:rsid w:val="00D65604"/>
    <w:rsid w:val="00D656B6"/>
    <w:rsid w:val="00D65F9D"/>
    <w:rsid w:val="00D666E7"/>
    <w:rsid w:val="00D66DE6"/>
    <w:rsid w:val="00D67C66"/>
    <w:rsid w:val="00D67E37"/>
    <w:rsid w:val="00D705C5"/>
    <w:rsid w:val="00D706C6"/>
    <w:rsid w:val="00D711CC"/>
    <w:rsid w:val="00D726CE"/>
    <w:rsid w:val="00D7297F"/>
    <w:rsid w:val="00D73943"/>
    <w:rsid w:val="00D74912"/>
    <w:rsid w:val="00D74A6E"/>
    <w:rsid w:val="00D75805"/>
    <w:rsid w:val="00D779F7"/>
    <w:rsid w:val="00D82F54"/>
    <w:rsid w:val="00D83026"/>
    <w:rsid w:val="00D83045"/>
    <w:rsid w:val="00D844D3"/>
    <w:rsid w:val="00D857E6"/>
    <w:rsid w:val="00D85885"/>
    <w:rsid w:val="00D8653A"/>
    <w:rsid w:val="00D871CE"/>
    <w:rsid w:val="00D87542"/>
    <w:rsid w:val="00D8785B"/>
    <w:rsid w:val="00D87D77"/>
    <w:rsid w:val="00D92BFA"/>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4EAF"/>
    <w:rsid w:val="00DA4FAA"/>
    <w:rsid w:val="00DA5A16"/>
    <w:rsid w:val="00DA7D0B"/>
    <w:rsid w:val="00DB07CA"/>
    <w:rsid w:val="00DB0823"/>
    <w:rsid w:val="00DB0E2A"/>
    <w:rsid w:val="00DB111E"/>
    <w:rsid w:val="00DB2718"/>
    <w:rsid w:val="00DB2A06"/>
    <w:rsid w:val="00DB357C"/>
    <w:rsid w:val="00DB383F"/>
    <w:rsid w:val="00DB3A50"/>
    <w:rsid w:val="00DB53D6"/>
    <w:rsid w:val="00DB5B88"/>
    <w:rsid w:val="00DB5FF0"/>
    <w:rsid w:val="00DB63F1"/>
    <w:rsid w:val="00DB65D7"/>
    <w:rsid w:val="00DB6791"/>
    <w:rsid w:val="00DB6C38"/>
    <w:rsid w:val="00DB7445"/>
    <w:rsid w:val="00DB7D53"/>
    <w:rsid w:val="00DC0464"/>
    <w:rsid w:val="00DC0787"/>
    <w:rsid w:val="00DC0F18"/>
    <w:rsid w:val="00DC1303"/>
    <w:rsid w:val="00DC1403"/>
    <w:rsid w:val="00DC389B"/>
    <w:rsid w:val="00DC394C"/>
    <w:rsid w:val="00DC42A4"/>
    <w:rsid w:val="00DC42EA"/>
    <w:rsid w:val="00DC693E"/>
    <w:rsid w:val="00DD0252"/>
    <w:rsid w:val="00DD0C3F"/>
    <w:rsid w:val="00DD1F41"/>
    <w:rsid w:val="00DD26CC"/>
    <w:rsid w:val="00DD3766"/>
    <w:rsid w:val="00DD514C"/>
    <w:rsid w:val="00DD6DE7"/>
    <w:rsid w:val="00DD71D6"/>
    <w:rsid w:val="00DD73A8"/>
    <w:rsid w:val="00DD7687"/>
    <w:rsid w:val="00DD7B55"/>
    <w:rsid w:val="00DE0797"/>
    <w:rsid w:val="00DE08C3"/>
    <w:rsid w:val="00DE094A"/>
    <w:rsid w:val="00DE1DAB"/>
    <w:rsid w:val="00DE20A2"/>
    <w:rsid w:val="00DE261E"/>
    <w:rsid w:val="00DE269D"/>
    <w:rsid w:val="00DE52B7"/>
    <w:rsid w:val="00DE6636"/>
    <w:rsid w:val="00DE6C5F"/>
    <w:rsid w:val="00DF0175"/>
    <w:rsid w:val="00DF0B89"/>
    <w:rsid w:val="00DF131B"/>
    <w:rsid w:val="00DF164A"/>
    <w:rsid w:val="00DF353C"/>
    <w:rsid w:val="00DF3DF8"/>
    <w:rsid w:val="00DF4216"/>
    <w:rsid w:val="00DF4629"/>
    <w:rsid w:val="00DF46B7"/>
    <w:rsid w:val="00DF4978"/>
    <w:rsid w:val="00DF55D6"/>
    <w:rsid w:val="00DF6074"/>
    <w:rsid w:val="00DF73B6"/>
    <w:rsid w:val="00DF781C"/>
    <w:rsid w:val="00E008D8"/>
    <w:rsid w:val="00E00C6B"/>
    <w:rsid w:val="00E02A3C"/>
    <w:rsid w:val="00E02F70"/>
    <w:rsid w:val="00E032F6"/>
    <w:rsid w:val="00E03F4C"/>
    <w:rsid w:val="00E03F4E"/>
    <w:rsid w:val="00E056B0"/>
    <w:rsid w:val="00E05C27"/>
    <w:rsid w:val="00E063DE"/>
    <w:rsid w:val="00E0671B"/>
    <w:rsid w:val="00E07453"/>
    <w:rsid w:val="00E118AB"/>
    <w:rsid w:val="00E11E0F"/>
    <w:rsid w:val="00E11E5E"/>
    <w:rsid w:val="00E12077"/>
    <w:rsid w:val="00E121E9"/>
    <w:rsid w:val="00E12F2F"/>
    <w:rsid w:val="00E1319F"/>
    <w:rsid w:val="00E13A48"/>
    <w:rsid w:val="00E13FB6"/>
    <w:rsid w:val="00E14ACF"/>
    <w:rsid w:val="00E14BAD"/>
    <w:rsid w:val="00E14D14"/>
    <w:rsid w:val="00E16E4C"/>
    <w:rsid w:val="00E173EF"/>
    <w:rsid w:val="00E20B5E"/>
    <w:rsid w:val="00E20F69"/>
    <w:rsid w:val="00E22732"/>
    <w:rsid w:val="00E22B39"/>
    <w:rsid w:val="00E2398E"/>
    <w:rsid w:val="00E23BB6"/>
    <w:rsid w:val="00E2459F"/>
    <w:rsid w:val="00E2693C"/>
    <w:rsid w:val="00E3047D"/>
    <w:rsid w:val="00E30AF9"/>
    <w:rsid w:val="00E31FB7"/>
    <w:rsid w:val="00E32488"/>
    <w:rsid w:val="00E327E4"/>
    <w:rsid w:val="00E34C86"/>
    <w:rsid w:val="00E34DB8"/>
    <w:rsid w:val="00E35369"/>
    <w:rsid w:val="00E35682"/>
    <w:rsid w:val="00E35794"/>
    <w:rsid w:val="00E35DF9"/>
    <w:rsid w:val="00E3649B"/>
    <w:rsid w:val="00E37A35"/>
    <w:rsid w:val="00E41042"/>
    <w:rsid w:val="00E4127C"/>
    <w:rsid w:val="00E41B14"/>
    <w:rsid w:val="00E41DD4"/>
    <w:rsid w:val="00E43B12"/>
    <w:rsid w:val="00E443AB"/>
    <w:rsid w:val="00E444BC"/>
    <w:rsid w:val="00E4510E"/>
    <w:rsid w:val="00E46906"/>
    <w:rsid w:val="00E46EA3"/>
    <w:rsid w:val="00E50223"/>
    <w:rsid w:val="00E50F61"/>
    <w:rsid w:val="00E51C1B"/>
    <w:rsid w:val="00E53248"/>
    <w:rsid w:val="00E53353"/>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C9D"/>
    <w:rsid w:val="00E6537A"/>
    <w:rsid w:val="00E65B31"/>
    <w:rsid w:val="00E65B3E"/>
    <w:rsid w:val="00E65FF3"/>
    <w:rsid w:val="00E6618A"/>
    <w:rsid w:val="00E67470"/>
    <w:rsid w:val="00E67A24"/>
    <w:rsid w:val="00E70552"/>
    <w:rsid w:val="00E712F8"/>
    <w:rsid w:val="00E72B05"/>
    <w:rsid w:val="00E72E0E"/>
    <w:rsid w:val="00E74A39"/>
    <w:rsid w:val="00E75609"/>
    <w:rsid w:val="00E75790"/>
    <w:rsid w:val="00E75BCD"/>
    <w:rsid w:val="00E76031"/>
    <w:rsid w:val="00E80437"/>
    <w:rsid w:val="00E82CEF"/>
    <w:rsid w:val="00E83A79"/>
    <w:rsid w:val="00E83DC4"/>
    <w:rsid w:val="00E83DCE"/>
    <w:rsid w:val="00E842A8"/>
    <w:rsid w:val="00E84360"/>
    <w:rsid w:val="00E84E89"/>
    <w:rsid w:val="00E870BF"/>
    <w:rsid w:val="00E871BC"/>
    <w:rsid w:val="00E90229"/>
    <w:rsid w:val="00E91899"/>
    <w:rsid w:val="00E92268"/>
    <w:rsid w:val="00E92604"/>
    <w:rsid w:val="00E932EB"/>
    <w:rsid w:val="00E942AE"/>
    <w:rsid w:val="00E96274"/>
    <w:rsid w:val="00E96D36"/>
    <w:rsid w:val="00E974B7"/>
    <w:rsid w:val="00E97A4B"/>
    <w:rsid w:val="00E97DD3"/>
    <w:rsid w:val="00EA00A6"/>
    <w:rsid w:val="00EA1489"/>
    <w:rsid w:val="00EA1A6D"/>
    <w:rsid w:val="00EA335A"/>
    <w:rsid w:val="00EA3D63"/>
    <w:rsid w:val="00EA55C1"/>
    <w:rsid w:val="00EA6854"/>
    <w:rsid w:val="00EB09E3"/>
    <w:rsid w:val="00EB0AA6"/>
    <w:rsid w:val="00EB1273"/>
    <w:rsid w:val="00EB12B3"/>
    <w:rsid w:val="00EB22C0"/>
    <w:rsid w:val="00EB396F"/>
    <w:rsid w:val="00EB400B"/>
    <w:rsid w:val="00EB4B77"/>
    <w:rsid w:val="00EB50F0"/>
    <w:rsid w:val="00EB5C40"/>
    <w:rsid w:val="00EB6A2C"/>
    <w:rsid w:val="00EB6B83"/>
    <w:rsid w:val="00EC08AD"/>
    <w:rsid w:val="00EC1B2E"/>
    <w:rsid w:val="00EC2514"/>
    <w:rsid w:val="00EC2AB4"/>
    <w:rsid w:val="00EC2B87"/>
    <w:rsid w:val="00EC3089"/>
    <w:rsid w:val="00EC4214"/>
    <w:rsid w:val="00EC4B2D"/>
    <w:rsid w:val="00EC6B44"/>
    <w:rsid w:val="00EC760C"/>
    <w:rsid w:val="00EC7CED"/>
    <w:rsid w:val="00ED0A14"/>
    <w:rsid w:val="00ED0D39"/>
    <w:rsid w:val="00ED0EA7"/>
    <w:rsid w:val="00ED172E"/>
    <w:rsid w:val="00ED1F4F"/>
    <w:rsid w:val="00ED353C"/>
    <w:rsid w:val="00ED41B5"/>
    <w:rsid w:val="00ED5433"/>
    <w:rsid w:val="00ED78DB"/>
    <w:rsid w:val="00ED7DE0"/>
    <w:rsid w:val="00EE123E"/>
    <w:rsid w:val="00EE298D"/>
    <w:rsid w:val="00EE2BB3"/>
    <w:rsid w:val="00EE37A3"/>
    <w:rsid w:val="00EE3FAC"/>
    <w:rsid w:val="00EE4F91"/>
    <w:rsid w:val="00EE5E0D"/>
    <w:rsid w:val="00EE611F"/>
    <w:rsid w:val="00EE6737"/>
    <w:rsid w:val="00EE7093"/>
    <w:rsid w:val="00EE70C3"/>
    <w:rsid w:val="00EE7375"/>
    <w:rsid w:val="00EE7465"/>
    <w:rsid w:val="00EE75B5"/>
    <w:rsid w:val="00EE7E8F"/>
    <w:rsid w:val="00EF2215"/>
    <w:rsid w:val="00EF3B49"/>
    <w:rsid w:val="00EF45CF"/>
    <w:rsid w:val="00EF4B52"/>
    <w:rsid w:val="00EF5CDA"/>
    <w:rsid w:val="00EF70BA"/>
    <w:rsid w:val="00F0031B"/>
    <w:rsid w:val="00F013CB"/>
    <w:rsid w:val="00F01B1E"/>
    <w:rsid w:val="00F0267C"/>
    <w:rsid w:val="00F03379"/>
    <w:rsid w:val="00F0345E"/>
    <w:rsid w:val="00F03FC4"/>
    <w:rsid w:val="00F04F8A"/>
    <w:rsid w:val="00F05790"/>
    <w:rsid w:val="00F06960"/>
    <w:rsid w:val="00F106E4"/>
    <w:rsid w:val="00F10ECA"/>
    <w:rsid w:val="00F1171C"/>
    <w:rsid w:val="00F119FB"/>
    <w:rsid w:val="00F12F5F"/>
    <w:rsid w:val="00F145D4"/>
    <w:rsid w:val="00F14AEC"/>
    <w:rsid w:val="00F15F5B"/>
    <w:rsid w:val="00F16210"/>
    <w:rsid w:val="00F164D5"/>
    <w:rsid w:val="00F1792F"/>
    <w:rsid w:val="00F17A56"/>
    <w:rsid w:val="00F20474"/>
    <w:rsid w:val="00F21AB6"/>
    <w:rsid w:val="00F223D5"/>
    <w:rsid w:val="00F2283A"/>
    <w:rsid w:val="00F22A84"/>
    <w:rsid w:val="00F22A8F"/>
    <w:rsid w:val="00F22ED6"/>
    <w:rsid w:val="00F23EB4"/>
    <w:rsid w:val="00F24CDA"/>
    <w:rsid w:val="00F2529A"/>
    <w:rsid w:val="00F25A72"/>
    <w:rsid w:val="00F25F5E"/>
    <w:rsid w:val="00F260CB"/>
    <w:rsid w:val="00F26C19"/>
    <w:rsid w:val="00F302BB"/>
    <w:rsid w:val="00F32553"/>
    <w:rsid w:val="00F327CE"/>
    <w:rsid w:val="00F32C2A"/>
    <w:rsid w:val="00F332ED"/>
    <w:rsid w:val="00F33552"/>
    <w:rsid w:val="00F33C8D"/>
    <w:rsid w:val="00F348D1"/>
    <w:rsid w:val="00F35955"/>
    <w:rsid w:val="00F368B6"/>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BDD"/>
    <w:rsid w:val="00F53FEE"/>
    <w:rsid w:val="00F54DAB"/>
    <w:rsid w:val="00F56161"/>
    <w:rsid w:val="00F56862"/>
    <w:rsid w:val="00F575AF"/>
    <w:rsid w:val="00F577C5"/>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4F"/>
    <w:rsid w:val="00F675B0"/>
    <w:rsid w:val="00F707C9"/>
    <w:rsid w:val="00F710FE"/>
    <w:rsid w:val="00F71BEA"/>
    <w:rsid w:val="00F744F4"/>
    <w:rsid w:val="00F74A01"/>
    <w:rsid w:val="00F74B5E"/>
    <w:rsid w:val="00F75A10"/>
    <w:rsid w:val="00F75D9F"/>
    <w:rsid w:val="00F76063"/>
    <w:rsid w:val="00F76D11"/>
    <w:rsid w:val="00F77276"/>
    <w:rsid w:val="00F77A8D"/>
    <w:rsid w:val="00F77D27"/>
    <w:rsid w:val="00F80013"/>
    <w:rsid w:val="00F8095A"/>
    <w:rsid w:val="00F81476"/>
    <w:rsid w:val="00F81681"/>
    <w:rsid w:val="00F81E11"/>
    <w:rsid w:val="00F834A7"/>
    <w:rsid w:val="00F847A0"/>
    <w:rsid w:val="00F85D19"/>
    <w:rsid w:val="00F864FC"/>
    <w:rsid w:val="00F86808"/>
    <w:rsid w:val="00F9142D"/>
    <w:rsid w:val="00F91EF0"/>
    <w:rsid w:val="00F92104"/>
    <w:rsid w:val="00F93A3D"/>
    <w:rsid w:val="00F93DCD"/>
    <w:rsid w:val="00F94009"/>
    <w:rsid w:val="00F94C16"/>
    <w:rsid w:val="00F94D3F"/>
    <w:rsid w:val="00F9689E"/>
    <w:rsid w:val="00FA066D"/>
    <w:rsid w:val="00FA0FB3"/>
    <w:rsid w:val="00FA1126"/>
    <w:rsid w:val="00FA24F3"/>
    <w:rsid w:val="00FA42BC"/>
    <w:rsid w:val="00FA4635"/>
    <w:rsid w:val="00FA509C"/>
    <w:rsid w:val="00FA5FCE"/>
    <w:rsid w:val="00FA6B30"/>
    <w:rsid w:val="00FA761A"/>
    <w:rsid w:val="00FA786A"/>
    <w:rsid w:val="00FB0515"/>
    <w:rsid w:val="00FB0EE9"/>
    <w:rsid w:val="00FB0EFB"/>
    <w:rsid w:val="00FB0F8A"/>
    <w:rsid w:val="00FB252E"/>
    <w:rsid w:val="00FB2EB5"/>
    <w:rsid w:val="00FB30F6"/>
    <w:rsid w:val="00FB34E4"/>
    <w:rsid w:val="00FB38ED"/>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5E5"/>
    <w:rsid w:val="00FC6E1D"/>
    <w:rsid w:val="00FD1AA4"/>
    <w:rsid w:val="00FD1BD4"/>
    <w:rsid w:val="00FD2FA7"/>
    <w:rsid w:val="00FD4B79"/>
    <w:rsid w:val="00FD58EF"/>
    <w:rsid w:val="00FD5BC9"/>
    <w:rsid w:val="00FD64B8"/>
    <w:rsid w:val="00FD667B"/>
    <w:rsid w:val="00FD7165"/>
    <w:rsid w:val="00FE0207"/>
    <w:rsid w:val="00FE1303"/>
    <w:rsid w:val="00FE291B"/>
    <w:rsid w:val="00FE40C1"/>
    <w:rsid w:val="00FE410C"/>
    <w:rsid w:val="00FE546C"/>
    <w:rsid w:val="00FE54AE"/>
    <w:rsid w:val="00FE5671"/>
    <w:rsid w:val="00FE6AE8"/>
    <w:rsid w:val="00FE70D5"/>
    <w:rsid w:val="00FF0186"/>
    <w:rsid w:val="00FF041F"/>
    <w:rsid w:val="00FF0C67"/>
    <w:rsid w:val="00FF0E6A"/>
    <w:rsid w:val="00FF0F69"/>
    <w:rsid w:val="00FF1623"/>
    <w:rsid w:val="00FF21EF"/>
    <w:rsid w:val="00FF2A34"/>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1,Footnote Reference_2"/>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3">
    <w:name w:val="תואר"/>
    <w:basedOn w:val="Normal"/>
    <w:link w:val="a4"/>
    <w:qFormat/>
    <w:rsid w:val="00417266"/>
    <w:pPr>
      <w:spacing w:line="240" w:lineRule="auto"/>
      <w:jc w:val="center"/>
    </w:pPr>
    <w:rPr>
      <w:rFonts w:eastAsia="Times New Roman" w:cs="Times New Roman"/>
      <w:b/>
      <w:bCs/>
      <w:sz w:val="32"/>
      <w:szCs w:val="32"/>
      <w:lang w:eastAsia="he-IL"/>
    </w:rPr>
  </w:style>
  <w:style w:type="character" w:customStyle="1" w:styleId="a4">
    <w:name w:val="תואר תו"/>
    <w:link w:val="a3"/>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5">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6">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link w:val="ListParagraph"/>
    <w:uiPriority w:val="34"/>
    <w:rsid w:val="00DD7B55"/>
  </w:style>
  <w:style w:type="paragraph" w:customStyle="1" w:styleId="a0">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7">
    <w:name w:val="הזחה שנייה ריק"/>
    <w:basedOn w:val="BodyTextIndent"/>
    <w:link w:val="Char"/>
    <w:qFormat/>
    <w:rsid w:val="00E07453"/>
    <w:pPr>
      <w:ind w:left="794"/>
    </w:pPr>
    <w:rPr>
      <w:sz w:val="20"/>
    </w:rPr>
  </w:style>
  <w:style w:type="paragraph" w:customStyle="1" w:styleId="a">
    <w:name w:val="הזחה שנייה אותיות"/>
    <w:basedOn w:val="ListParagraph"/>
    <w:qFormat/>
    <w:rsid w:val="005C23D7"/>
    <w:pPr>
      <w:numPr>
        <w:ilvl w:val="1"/>
        <w:numId w:val="1"/>
      </w:numPr>
      <w:tabs>
        <w:tab w:val="clear" w:pos="794"/>
      </w:tabs>
      <w:spacing w:after="120"/>
      <w:ind w:hanging="397"/>
    </w:pPr>
    <w:rPr>
      <w:rFonts w:ascii="Tahoma" w:hAnsi="Tahoma" w:cs="Tahoma"/>
      <w:szCs w:val="20"/>
    </w:rPr>
  </w:style>
  <w:style w:type="paragraph" w:customStyle="1" w:styleId="a8">
    <w:name w:val="מקרא+הערות לתרשים/לוח/תמונה"/>
    <w:basedOn w:val="a5"/>
    <w:qFormat/>
    <w:rsid w:val="00FE0207"/>
    <w:pPr>
      <w:spacing w:before="120"/>
      <w:jc w:val="center"/>
    </w:pPr>
  </w:style>
  <w:style w:type="paragraph" w:customStyle="1" w:styleId="a9">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a">
    <w:name w:val="קוביה כחולה בתוך הזחה ראשונה"/>
    <w:basedOn w:val="a9"/>
    <w:qFormat/>
    <w:rsid w:val="00445522"/>
    <w:pPr>
      <w:ind w:left="680"/>
    </w:pPr>
  </w:style>
  <w:style w:type="paragraph" w:customStyle="1" w:styleId="710">
    <w:name w:val="כותרת 7_10"/>
    <w:basedOn w:val="a"/>
    <w:qFormat/>
    <w:rsid w:val="00774E68"/>
    <w:pPr>
      <w:ind w:left="1191"/>
    </w:pPr>
  </w:style>
  <w:style w:type="paragraph" w:customStyle="1" w:styleId="ab">
    <w:name w:val="הזחה שנייה ללא מספר"/>
    <w:basedOn w:val="a7"/>
    <w:link w:val="Char0"/>
    <w:qFormat/>
    <w:rsid w:val="00D053C2"/>
  </w:style>
  <w:style w:type="character" w:customStyle="1" w:styleId="Char">
    <w:name w:val="הזחה שנייה ריק Char"/>
    <w:basedOn w:val="BodyTextIndentChar"/>
    <w:link w:val="a7"/>
    <w:rsid w:val="008A78F7"/>
    <w:rPr>
      <w:rFonts w:ascii="Tahoma" w:hAnsi="Tahoma" w:cs="Tahoma"/>
      <w:sz w:val="16"/>
      <w:szCs w:val="20"/>
    </w:rPr>
  </w:style>
  <w:style w:type="character" w:customStyle="1" w:styleId="Char0">
    <w:name w:val="הזחה שנייה ללא מספר Char"/>
    <w:basedOn w:val="Char"/>
    <w:link w:val="ab"/>
    <w:rsid w:val="00D053C2"/>
    <w:rPr>
      <w:rFonts w:ascii="Tahoma" w:hAnsi="Tahoma" w:cs="Tahoma"/>
      <w:sz w:val="16"/>
      <w:szCs w:val="20"/>
    </w:rPr>
  </w:style>
  <w:style w:type="paragraph" w:customStyle="1" w:styleId="ac">
    <w:name w:val="מספור הערות שוליים"/>
    <w:basedOn w:val="a5"/>
    <w:qFormat/>
    <w:rsid w:val="003B639B"/>
  </w:style>
  <w:style w:type="paragraph" w:customStyle="1" w:styleId="R">
    <w:name w:val="טקסט R טבלה"/>
    <w:basedOn w:val="Normal"/>
    <w:qFormat/>
    <w:rsid w:val="006E4684"/>
    <w:pPr>
      <w:spacing w:before="40" w:after="40"/>
      <w:jc w:val="left"/>
    </w:pPr>
    <w:rPr>
      <w:rFonts w:ascii="Tahoma" w:eastAsiaTheme="minorEastAsia" w:hAnsi="Tahoma" w:cs="Tahoma"/>
      <w:szCs w:val="16"/>
    </w:rPr>
  </w:style>
  <w:style w:type="paragraph" w:customStyle="1" w:styleId="B">
    <w:name w:val="טקסט B טבלה"/>
    <w:basedOn w:val="Normal"/>
    <w:qFormat/>
    <w:rsid w:val="00464DF0"/>
    <w:pPr>
      <w:spacing w:before="40" w:after="40" w:line="269" w:lineRule="auto"/>
      <w:jc w:val="left"/>
    </w:pPr>
    <w:rPr>
      <w:rFonts w:ascii="Tahoma" w:eastAsiaTheme="minorEastAsia" w:hAnsi="Tahoma" w:cs="Tahoma"/>
      <w:b/>
      <w:bCs/>
      <w:szCs w:val="16"/>
    </w:rPr>
  </w:style>
  <w:style w:type="paragraph" w:customStyle="1" w:styleId="ad">
    <w:name w:val="כותרת טבלה"/>
    <w:basedOn w:val="Normal"/>
    <w:qFormat/>
    <w:rsid w:val="007902C4"/>
    <w:pPr>
      <w:spacing w:before="40" w:after="40"/>
      <w:jc w:val="left"/>
    </w:pPr>
    <w:rPr>
      <w:rFonts w:ascii="Tahoma" w:eastAsiaTheme="minorEastAsia" w:hAnsi="Tahoma" w:cs="Tahoma"/>
      <w:b/>
      <w:bCs/>
      <w:color w:val="000000" w:themeColor="text1"/>
      <w:szCs w:val="20"/>
    </w:rPr>
  </w:style>
  <w:style w:type="paragraph" w:customStyle="1" w:styleId="Style1">
    <w:name w:val="Style1"/>
    <w:basedOn w:val="a"/>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ae">
    <w:name w:val="הזחה שלישית"/>
    <w:basedOn w:val="ab"/>
    <w:qFormat/>
    <w:rsid w:val="008D42F6"/>
    <w:pPr>
      <w:ind w:left="1191"/>
    </w:pPr>
  </w:style>
  <w:style w:type="paragraph" w:customStyle="1" w:styleId="af">
    <w:name w:val="קוביה כחולה הזחה שלישית"/>
    <w:basedOn w:val="a9"/>
    <w:qFormat/>
    <w:rsid w:val="00230B94"/>
    <w:pPr>
      <w:ind w:left="1474"/>
    </w:pPr>
  </w:style>
  <w:style w:type="paragraph" w:customStyle="1" w:styleId="12">
    <w:name w:val="קוביה הזחה 1"/>
    <w:basedOn w:val="a9"/>
    <w:qFormat/>
    <w:rsid w:val="005C2859"/>
    <w:pPr>
      <w:ind w:left="680"/>
    </w:pPr>
  </w:style>
  <w:style w:type="paragraph" w:customStyle="1" w:styleId="af0">
    <w:name w:val="הזחה ראשונה ללא מספר"/>
    <w:basedOn w:val="ab"/>
    <w:qFormat/>
    <w:rsid w:val="008203CF"/>
    <w:pPr>
      <w:ind w:left="397"/>
    </w:pPr>
  </w:style>
  <w:style w:type="paragraph" w:customStyle="1" w:styleId="af1">
    <w:name w:val="קוביה רצה"/>
    <w:basedOn w:val="aa"/>
    <w:qFormat/>
    <w:rsid w:val="000C164B"/>
    <w:pPr>
      <w:ind w:left="284" w:right="227"/>
    </w:pPr>
  </w:style>
  <w:style w:type="paragraph" w:customStyle="1" w:styleId="414">
    <w:name w:val="כותרת 4_14"/>
    <w:basedOn w:val="Heading4"/>
    <w:qFormat/>
    <w:rsid w:val="00DC389B"/>
    <w:pPr>
      <w:spacing w:before="360" w:after="120" w:line="269" w:lineRule="auto"/>
      <w:jc w:val="left"/>
    </w:pPr>
    <w:rPr>
      <w:rFonts w:ascii="Tahoma" w:hAnsi="Tahoma" w:cs="Tahoma"/>
      <w:b/>
      <w:bCs w:val="0"/>
      <w:color w:val="387026"/>
      <w:sz w:val="28"/>
      <w:szCs w:val="28"/>
    </w:rPr>
  </w:style>
  <w:style w:type="paragraph" w:customStyle="1" w:styleId="a2">
    <w:name w:val="הזחה בתוך קוביה"/>
    <w:basedOn w:val="af1"/>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2">
    <w:name w:val="אותיות בתוך קוביה"/>
    <w:basedOn w:val="a2"/>
    <w:rsid w:val="004F431D"/>
  </w:style>
  <w:style w:type="paragraph" w:customStyle="1" w:styleId="1">
    <w:name w:val="אותיות בתוך קוביה 1"/>
    <w:basedOn w:val="af2"/>
    <w:qFormat/>
    <w:rsid w:val="001E641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semiHidden/>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character" w:styleId="UnresolvedMention">
    <w:name w:val="Unresolved Mention"/>
    <w:basedOn w:val="DefaultParagraphFont"/>
    <w:uiPriority w:val="99"/>
    <w:semiHidden/>
    <w:unhideWhenUsed/>
    <w:rsid w:val="00833685"/>
    <w:rPr>
      <w:color w:val="605E5C"/>
      <w:shd w:val="clear" w:color="auto" w:fill="E1DFDD"/>
    </w:rPr>
  </w:style>
  <w:style w:type="character" w:customStyle="1" w:styleId="13">
    <w:name w:val="אזכור לא מזוהה1"/>
    <w:basedOn w:val="DefaultParagraphFont"/>
    <w:uiPriority w:val="99"/>
    <w:semiHidden/>
    <w:unhideWhenUsed/>
    <w:rsid w:val="00996CBA"/>
    <w:rPr>
      <w:color w:val="605E5C"/>
      <w:shd w:val="clear" w:color="auto" w:fill="E1DFDD"/>
    </w:rPr>
  </w:style>
  <w:style w:type="character" w:customStyle="1" w:styleId="21">
    <w:name w:val="אזכור לא מזוהה2"/>
    <w:basedOn w:val="DefaultParagraphFont"/>
    <w:uiPriority w:val="99"/>
    <w:semiHidden/>
    <w:unhideWhenUsed/>
    <w:rsid w:val="00996CBA"/>
    <w:rPr>
      <w:color w:val="605E5C"/>
      <w:shd w:val="clear" w:color="auto" w:fill="E1DFDD"/>
    </w:rPr>
  </w:style>
  <w:style w:type="table" w:styleId="GridTable4-Accent1">
    <w:name w:val="Grid Table 4 Accent 1"/>
    <w:basedOn w:val="TableNormal"/>
    <w:uiPriority w:val="49"/>
    <w:rsid w:val="00996CB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3">
    <w:name w:val="כוכבית טקסט רץ"/>
    <w:basedOn w:val="Normal"/>
    <w:qFormat/>
    <w:rsid w:val="00C424B4"/>
    <w:pPr>
      <w:spacing w:line="269" w:lineRule="auto"/>
      <w:jc w:val="center"/>
    </w:pPr>
    <w:rPr>
      <w:rFonts w:ascii="Segoe UI Symbol" w:eastAsia="Times New Roman" w:hAnsi="Segoe UI Symbol" w:cs="Segoe UI Symbol"/>
      <w:szCs w:val="20"/>
      <w:lang w:eastAsia="he-IL"/>
    </w:rPr>
  </w:style>
  <w:style w:type="paragraph" w:customStyle="1" w:styleId="Style2">
    <w:name w:val="Style2"/>
    <w:basedOn w:val="ad"/>
    <w:qFormat/>
    <w:rsid w:val="00995AD8"/>
    <w:rPr>
      <w:szCs w:val="16"/>
    </w:rPr>
  </w:style>
  <w:style w:type="paragraph" w:customStyle="1" w:styleId="CharChar">
    <w:name w:val="Char Char"/>
    <w:basedOn w:val="Normal"/>
    <w:next w:val="Normal"/>
    <w:autoRedefine/>
    <w:rsid w:val="00F368B6"/>
    <w:pPr>
      <w:overflowPunct w:val="0"/>
      <w:autoSpaceDE w:val="0"/>
      <w:autoSpaceDN w:val="0"/>
      <w:adjustRightInd w:val="0"/>
      <w:spacing w:after="160" w:line="360" w:lineRule="auto"/>
      <w:jc w:val="left"/>
      <w:textAlignment w:val="baseline"/>
    </w:pPr>
    <w:rPr>
      <w:rFonts w:ascii="Tahoma" w:eastAsia="Times New Roman" w:hAnsi="Tahoma" w:cs="Arial"/>
      <w:sz w:val="22"/>
      <w:lang w:eastAsia="he-IL" w:bidi="ar-SA"/>
    </w:rPr>
  </w:style>
  <w:style w:type="paragraph" w:customStyle="1" w:styleId="af4">
    <w:name w:val="לכבוד"/>
    <w:basedOn w:val="Normal"/>
    <w:rsid w:val="00F368B6"/>
    <w:pPr>
      <w:spacing w:line="240" w:lineRule="auto"/>
    </w:pPr>
    <w:rPr>
      <w:rFonts w:ascii="Calibri" w:eastAsia="Times New Roman" w:hAnsi="Calibri"/>
      <w:spacing w:val="6"/>
      <w:sz w:val="24"/>
    </w:rPr>
  </w:style>
  <w:style w:type="paragraph" w:customStyle="1" w:styleId="ms-rteelement-p">
    <w:name w:val="ms-rteelement-p"/>
    <w:basedOn w:val="Normal"/>
    <w:rsid w:val="00F368B6"/>
    <w:pPr>
      <w:bidi w:val="0"/>
      <w:spacing w:before="100" w:beforeAutospacing="1" w:after="100" w:afterAutospacing="1" w:line="240" w:lineRule="auto"/>
      <w:jc w:val="left"/>
    </w:pPr>
    <w:rPr>
      <w:rFonts w:eastAsia="Times New Roman" w:cs="Times New Roman"/>
      <w:sz w:val="24"/>
    </w:rPr>
  </w:style>
  <w:style w:type="paragraph" w:customStyle="1" w:styleId="af5">
    <w:name w:val="הערות מתחת לטבלה"/>
    <w:basedOn w:val="a5"/>
    <w:qFormat/>
    <w:rsid w:val="00B06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7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1.jpg"/><Relationship Id="rId39" Type="http://schemas.openxmlformats.org/officeDocument/2006/relationships/customXml" Target="../customXml/item4.xml"/><Relationship Id="rId21" Type="http://schemas.openxmlformats.org/officeDocument/2006/relationships/chart" Target="charts/chart4.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header" Target="header2.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footer" Target="footer2.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justice.gov.il/Units/HalbantHon/Pirsumim/Documents/RiskEvaluationH.pdf" TargetMode="External"/><Relationship Id="rId1" Type="http://schemas.openxmlformats.org/officeDocument/2006/relationships/hyperlink" Target="https://www.justice.gov.il/Units/HalbantHon/Pirsumim/Documents/RiskEvaluationH.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vtanas\MVTANAS\Gov%20Min\Agaf_16\&#1502;&#1497;&#1497;&#1510;&#1490;&#1497;%20&#1492;&#1502;&#1491;&#1497;&#1504;&#1492;%20&#1489;&#1506;&#1512;&#1499;&#1488;&#1493;&#1514;\&#1491;&#1493;&#1495;&#1493;&#1514;%202019\&#1495;&#1497;&#1500;&#1493;&#1496;&#1497;&#1501;\&#1502;&#1505;&#1502;&#1499;&#1497;&#1501;%20&#1502;&#1513;&#1512;&#1493;&#1503;%20&#1508;&#1512;&#1497;&#1491;&#1502;&#1503;\&#1504;&#1497;&#1514;&#1493;&#1495;%20&#1492;&#1514;&#1508;&#1500;&#1490;&#1493;&#1514;%20&#1514;&#1497;&#1511;&#1497;%20&#1495;&#1497;&#1500;&#1493;&#149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1495;&#1493;&#1489;&#1512;&#1514;1" TargetMode="Externa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mishportal/praklitut/DocLib16/&#1504;&#1514;&#1493;&#1504;&#1497;%20&#1488;&#1499;&#1497;&#1508;&#1492;%20&#1499;&#1500;&#1499;&#1500;&#1497;&#1514;-%20&#1500;&#1506;&#1491;&#1499;&#1493;&#1503;%20&#1489;&#1513;&#1504;&#1514;%202019.xlsm"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mishportal/praklitut/DocLib16/&#1504;&#1514;&#1493;&#1504;&#1497;%20&#1488;&#1499;&#1497;&#1508;&#1492;%20&#1499;&#1500;&#1499;&#1500;&#1497;&#1514;-%20&#1500;&#1506;&#1491;&#1499;&#1493;&#1503;%20&#1489;&#1513;&#1504;&#1514;%202019.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'סיכום 2016-2018'!$B$4</c:f>
              <c:strCache>
                <c:ptCount val="1"/>
                <c:pt idx="0">
                  <c:v>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'סיכום 2016-2018'!$C$3:$E$3</c:f>
              <c:numCache>
                <c:formatCode>General</c:formatCode>
                <c:ptCount val="3"/>
                <c:pt idx="0">
                  <c:v>2016</c:v>
                </c:pt>
                <c:pt idx="1">
                  <c:v>2017</c:v>
                </c:pt>
                <c:pt idx="2">
                  <c:v>2018</c:v>
                </c:pt>
              </c:numCache>
            </c:numRef>
          </c:cat>
          <c:val>
            <c:numRef>
              <c:f>'סיכום 2016-2018'!$C$4:$E$4</c:f>
              <c:numCache>
                <c:formatCode>General</c:formatCode>
                <c:ptCount val="3"/>
                <c:pt idx="0">
                  <c:v>8</c:v>
                </c:pt>
                <c:pt idx="1">
                  <c:v>5</c:v>
                </c:pt>
                <c:pt idx="2">
                  <c:v>18</c:v>
                </c:pt>
              </c:numCache>
            </c:numRef>
          </c:val>
          <c:extLst>
            <c:ext xmlns:c16="http://schemas.microsoft.com/office/drawing/2014/chart" uri="{C3380CC4-5D6E-409C-BE32-E72D297353CC}">
              <c16:uniqueId val="{00000000-440A-4332-A489-7308B1C67D9D}"/>
            </c:ext>
          </c:extLst>
        </c:ser>
        <c:ser>
          <c:idx val="1"/>
          <c:order val="1"/>
          <c:tx>
            <c:strRef>
              <c:f>'סיכום 2016-2018'!$B$5</c:f>
              <c:strCache>
                <c:ptCount val="1"/>
                <c:pt idx="0">
                  <c:v>1-100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'סיכום 2016-2018'!$C$3:$E$3</c:f>
              <c:numCache>
                <c:formatCode>General</c:formatCode>
                <c:ptCount val="3"/>
                <c:pt idx="0">
                  <c:v>2016</c:v>
                </c:pt>
                <c:pt idx="1">
                  <c:v>2017</c:v>
                </c:pt>
                <c:pt idx="2">
                  <c:v>2018</c:v>
                </c:pt>
              </c:numCache>
            </c:numRef>
          </c:cat>
          <c:val>
            <c:numRef>
              <c:f>'סיכום 2016-2018'!$C$5:$E$5</c:f>
              <c:numCache>
                <c:formatCode>General</c:formatCode>
                <c:ptCount val="3"/>
                <c:pt idx="0">
                  <c:v>51</c:v>
                </c:pt>
                <c:pt idx="1">
                  <c:v>34</c:v>
                </c:pt>
                <c:pt idx="2">
                  <c:v>62</c:v>
                </c:pt>
              </c:numCache>
            </c:numRef>
          </c:val>
          <c:extLst>
            <c:ext xmlns:c16="http://schemas.microsoft.com/office/drawing/2014/chart" uri="{C3380CC4-5D6E-409C-BE32-E72D297353CC}">
              <c16:uniqueId val="{00000001-440A-4332-A489-7308B1C67D9D}"/>
            </c:ext>
          </c:extLst>
        </c:ser>
        <c:ser>
          <c:idx val="2"/>
          <c:order val="2"/>
          <c:tx>
            <c:strRef>
              <c:f>'סיכום 2016-2018'!$B$6</c:f>
              <c:strCache>
                <c:ptCount val="1"/>
                <c:pt idx="0">
                  <c:v>100-1,000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'סיכום 2016-2018'!$C$3:$E$3</c:f>
              <c:numCache>
                <c:formatCode>General</c:formatCode>
                <c:ptCount val="3"/>
                <c:pt idx="0">
                  <c:v>2016</c:v>
                </c:pt>
                <c:pt idx="1">
                  <c:v>2017</c:v>
                </c:pt>
                <c:pt idx="2">
                  <c:v>2018</c:v>
                </c:pt>
              </c:numCache>
            </c:numRef>
          </c:cat>
          <c:val>
            <c:numRef>
              <c:f>'סיכום 2016-2018'!$C$6:$E$6</c:f>
              <c:numCache>
                <c:formatCode>General</c:formatCode>
                <c:ptCount val="3"/>
                <c:pt idx="0">
                  <c:v>27</c:v>
                </c:pt>
                <c:pt idx="1">
                  <c:v>18</c:v>
                </c:pt>
                <c:pt idx="2">
                  <c:v>34</c:v>
                </c:pt>
              </c:numCache>
            </c:numRef>
          </c:val>
          <c:extLst>
            <c:ext xmlns:c16="http://schemas.microsoft.com/office/drawing/2014/chart" uri="{C3380CC4-5D6E-409C-BE32-E72D297353CC}">
              <c16:uniqueId val="{00000002-440A-4332-A489-7308B1C67D9D}"/>
            </c:ext>
          </c:extLst>
        </c:ser>
        <c:ser>
          <c:idx val="3"/>
          <c:order val="3"/>
          <c:tx>
            <c:strRef>
              <c:f>'סיכום 2016-2018'!$B$7</c:f>
              <c:strCache>
                <c:ptCount val="1"/>
                <c:pt idx="0">
                  <c:v>1,000-10,000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'סיכום 2016-2018'!$C$3:$E$3</c:f>
              <c:numCache>
                <c:formatCode>General</c:formatCode>
                <c:ptCount val="3"/>
                <c:pt idx="0">
                  <c:v>2016</c:v>
                </c:pt>
                <c:pt idx="1">
                  <c:v>2017</c:v>
                </c:pt>
                <c:pt idx="2">
                  <c:v>2018</c:v>
                </c:pt>
              </c:numCache>
            </c:numRef>
          </c:cat>
          <c:val>
            <c:numRef>
              <c:f>'סיכום 2016-2018'!$C$7:$E$7</c:f>
              <c:numCache>
                <c:formatCode>General</c:formatCode>
                <c:ptCount val="3"/>
                <c:pt idx="0">
                  <c:v>18</c:v>
                </c:pt>
                <c:pt idx="1">
                  <c:v>14</c:v>
                </c:pt>
                <c:pt idx="2">
                  <c:v>15</c:v>
                </c:pt>
              </c:numCache>
            </c:numRef>
          </c:val>
          <c:extLst>
            <c:ext xmlns:c16="http://schemas.microsoft.com/office/drawing/2014/chart" uri="{C3380CC4-5D6E-409C-BE32-E72D297353CC}">
              <c16:uniqueId val="{00000003-440A-4332-A489-7308B1C67D9D}"/>
            </c:ext>
          </c:extLst>
        </c:ser>
        <c:ser>
          <c:idx val="4"/>
          <c:order val="4"/>
          <c:tx>
            <c:strRef>
              <c:f>'סיכום 2016-2018'!$B$8</c:f>
              <c:strCache>
                <c:ptCount val="1"/>
                <c:pt idx="0">
                  <c:v>&gt; 10,000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'סיכום 2016-2018'!$C$3:$E$3</c:f>
              <c:numCache>
                <c:formatCode>General</c:formatCode>
                <c:ptCount val="3"/>
                <c:pt idx="0">
                  <c:v>2016</c:v>
                </c:pt>
                <c:pt idx="1">
                  <c:v>2017</c:v>
                </c:pt>
                <c:pt idx="2">
                  <c:v>2018</c:v>
                </c:pt>
              </c:numCache>
            </c:numRef>
          </c:cat>
          <c:val>
            <c:numRef>
              <c:f>'סיכום 2016-2018'!$C$8:$E$8</c:f>
              <c:numCache>
                <c:formatCode>General</c:formatCode>
                <c:ptCount val="3"/>
                <c:pt idx="0">
                  <c:v>7</c:v>
                </c:pt>
                <c:pt idx="1">
                  <c:v>1</c:v>
                </c:pt>
                <c:pt idx="2">
                  <c:v>2</c:v>
                </c:pt>
              </c:numCache>
            </c:numRef>
          </c:val>
          <c:extLst>
            <c:ext xmlns:c16="http://schemas.microsoft.com/office/drawing/2014/chart" uri="{C3380CC4-5D6E-409C-BE32-E72D297353CC}">
              <c16:uniqueId val="{00000004-440A-4332-A489-7308B1C67D9D}"/>
            </c:ext>
          </c:extLst>
        </c:ser>
        <c:dLbls>
          <c:dLblPos val="outEnd"/>
          <c:showLegendKey val="0"/>
          <c:showVal val="1"/>
          <c:showCatName val="0"/>
          <c:showSerName val="0"/>
          <c:showPercent val="0"/>
          <c:showBubbleSize val="0"/>
        </c:dLbls>
        <c:gapWidth val="219"/>
        <c:overlap val="-27"/>
        <c:axId val="550983400"/>
        <c:axId val="550984712"/>
      </c:barChart>
      <c:catAx>
        <c:axId val="550983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שנה</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50984712"/>
        <c:crosses val="autoZero"/>
        <c:auto val="1"/>
        <c:lblAlgn val="ctr"/>
        <c:lblOffset val="100"/>
        <c:noMultiLvlLbl val="0"/>
      </c:catAx>
      <c:valAx>
        <c:axId val="550984712"/>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מספר תיקים</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50983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גיליון2!$A$2</c:f>
              <c:strCache>
                <c:ptCount val="1"/>
                <c:pt idx="0">
                  <c:v>נכסים שחולטו באותה שנה</c:v>
                </c:pt>
              </c:strCache>
            </c:strRef>
          </c:tx>
          <c:spPr>
            <a:solidFill>
              <a:schemeClr val="accent1"/>
            </a:solidFill>
            <a:ln>
              <a:noFill/>
            </a:ln>
            <a:effectLst/>
          </c:spPr>
          <c:invertIfNegative val="0"/>
          <c:cat>
            <c:numRef>
              <c:f>גיליון2!$B$1:$E$1</c:f>
              <c:numCache>
                <c:formatCode>General</c:formatCode>
                <c:ptCount val="4"/>
                <c:pt idx="0">
                  <c:v>2018</c:v>
                </c:pt>
                <c:pt idx="1">
                  <c:v>2017</c:v>
                </c:pt>
                <c:pt idx="2">
                  <c:v>2016</c:v>
                </c:pt>
                <c:pt idx="3">
                  <c:v>2015</c:v>
                </c:pt>
              </c:numCache>
            </c:numRef>
          </c:cat>
          <c:val>
            <c:numRef>
              <c:f>גיליון2!$B$2:$E$2</c:f>
              <c:numCache>
                <c:formatCode>#,##0</c:formatCode>
                <c:ptCount val="4"/>
                <c:pt idx="0">
                  <c:v>142402603</c:v>
                </c:pt>
                <c:pt idx="1">
                  <c:v>51786942</c:v>
                </c:pt>
                <c:pt idx="2">
                  <c:v>261519738</c:v>
                </c:pt>
                <c:pt idx="3">
                  <c:v>78293631</c:v>
                </c:pt>
              </c:numCache>
            </c:numRef>
          </c:val>
          <c:extLst>
            <c:ext xmlns:c16="http://schemas.microsoft.com/office/drawing/2014/chart" uri="{C3380CC4-5D6E-409C-BE32-E72D297353CC}">
              <c16:uniqueId val="{00000000-B7E4-466D-9CC9-DD37F0F280FB}"/>
            </c:ext>
          </c:extLst>
        </c:ser>
        <c:ser>
          <c:idx val="1"/>
          <c:order val="1"/>
          <c:tx>
            <c:strRef>
              <c:f>גיליון2!$A$3</c:f>
              <c:strCache>
                <c:ptCount val="1"/>
                <c:pt idx="0">
                  <c:v>קנסות לקרן החילוט</c:v>
                </c:pt>
              </c:strCache>
            </c:strRef>
          </c:tx>
          <c:spPr>
            <a:solidFill>
              <a:schemeClr val="accent2"/>
            </a:solidFill>
            <a:ln>
              <a:noFill/>
            </a:ln>
            <a:effectLst/>
          </c:spPr>
          <c:invertIfNegative val="0"/>
          <c:cat>
            <c:numRef>
              <c:f>גיליון2!$B$1:$E$1</c:f>
              <c:numCache>
                <c:formatCode>General</c:formatCode>
                <c:ptCount val="4"/>
                <c:pt idx="0">
                  <c:v>2018</c:v>
                </c:pt>
                <c:pt idx="1">
                  <c:v>2017</c:v>
                </c:pt>
                <c:pt idx="2">
                  <c:v>2016</c:v>
                </c:pt>
                <c:pt idx="3">
                  <c:v>2015</c:v>
                </c:pt>
              </c:numCache>
            </c:numRef>
          </c:cat>
          <c:val>
            <c:numRef>
              <c:f>גיליון2!$B$3:$E$3</c:f>
              <c:numCache>
                <c:formatCode>#,##0</c:formatCode>
                <c:ptCount val="4"/>
                <c:pt idx="0">
                  <c:v>8876700</c:v>
                </c:pt>
                <c:pt idx="1">
                  <c:v>83464500</c:v>
                </c:pt>
                <c:pt idx="2">
                  <c:v>175355000</c:v>
                </c:pt>
                <c:pt idx="3">
                  <c:v>7610700</c:v>
                </c:pt>
              </c:numCache>
            </c:numRef>
          </c:val>
          <c:extLst>
            <c:ext xmlns:c16="http://schemas.microsoft.com/office/drawing/2014/chart" uri="{C3380CC4-5D6E-409C-BE32-E72D297353CC}">
              <c16:uniqueId val="{00000001-B7E4-466D-9CC9-DD37F0F280FB}"/>
            </c:ext>
          </c:extLst>
        </c:ser>
        <c:dLbls>
          <c:showLegendKey val="0"/>
          <c:showVal val="0"/>
          <c:showCatName val="0"/>
          <c:showSerName val="0"/>
          <c:showPercent val="0"/>
          <c:showBubbleSize val="0"/>
        </c:dLbls>
        <c:gapWidth val="219"/>
        <c:overlap val="100"/>
        <c:axId val="607415000"/>
        <c:axId val="607417624"/>
      </c:barChart>
      <c:lineChart>
        <c:grouping val="standard"/>
        <c:varyColors val="0"/>
        <c:ser>
          <c:idx val="3"/>
          <c:order val="2"/>
          <c:tx>
            <c:strRef>
              <c:f>גיליון2!$A$4</c:f>
              <c:strCache>
                <c:ptCount val="1"/>
                <c:pt idx="0">
                  <c:v>תקבולים שנתיים לקרן החילוט</c:v>
                </c:pt>
              </c:strCache>
            </c:strRef>
          </c:tx>
          <c:spPr>
            <a:ln w="28575" cap="rnd">
              <a:solidFill>
                <a:schemeClr val="accent4"/>
              </a:solidFill>
              <a:round/>
            </a:ln>
            <a:effectLst/>
          </c:spPr>
          <c:marker>
            <c:symbol val="none"/>
          </c:marker>
          <c:cat>
            <c:numRef>
              <c:f>גיליון2!$B$1:$E$1</c:f>
              <c:numCache>
                <c:formatCode>General</c:formatCode>
                <c:ptCount val="4"/>
                <c:pt idx="0">
                  <c:v>2018</c:v>
                </c:pt>
                <c:pt idx="1">
                  <c:v>2017</c:v>
                </c:pt>
                <c:pt idx="2">
                  <c:v>2016</c:v>
                </c:pt>
                <c:pt idx="3">
                  <c:v>2015</c:v>
                </c:pt>
              </c:numCache>
            </c:numRef>
          </c:cat>
          <c:val>
            <c:numRef>
              <c:f>גיליון2!$B$4:$E$4</c:f>
              <c:numCache>
                <c:formatCode>#,##0</c:formatCode>
                <c:ptCount val="4"/>
                <c:pt idx="0">
                  <c:v>52912000</c:v>
                </c:pt>
                <c:pt idx="1">
                  <c:v>47710000</c:v>
                </c:pt>
                <c:pt idx="2">
                  <c:v>154095000</c:v>
                </c:pt>
                <c:pt idx="3">
                  <c:v>48286000</c:v>
                </c:pt>
              </c:numCache>
            </c:numRef>
          </c:val>
          <c:smooth val="0"/>
          <c:extLst>
            <c:ext xmlns:c16="http://schemas.microsoft.com/office/drawing/2014/chart" uri="{C3380CC4-5D6E-409C-BE32-E72D297353CC}">
              <c16:uniqueId val="{00000002-B7E4-466D-9CC9-DD37F0F280FB}"/>
            </c:ext>
          </c:extLst>
        </c:ser>
        <c:dLbls>
          <c:showLegendKey val="0"/>
          <c:showVal val="0"/>
          <c:showCatName val="0"/>
          <c:showSerName val="0"/>
          <c:showPercent val="0"/>
          <c:showBubbleSize val="0"/>
        </c:dLbls>
        <c:marker val="1"/>
        <c:smooth val="0"/>
        <c:axId val="607415000"/>
        <c:axId val="607417624"/>
      </c:lineChart>
      <c:catAx>
        <c:axId val="607415000"/>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שנה</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0"/>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07417624"/>
        <c:crosses val="autoZero"/>
        <c:auto val="1"/>
        <c:lblAlgn val="ctr"/>
        <c:lblOffset val="100"/>
        <c:noMultiLvlLbl val="0"/>
      </c:catAx>
      <c:valAx>
        <c:axId val="607417624"/>
        <c:scaling>
          <c:orientation val="minMax"/>
        </c:scaling>
        <c:delete val="0"/>
        <c:axPos val="r"/>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ש"ח</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07415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גיליון1!$B$1</c:f>
              <c:strCache>
                <c:ptCount val="1"/>
                <c:pt idx="0">
                  <c:v>תקבולים לקרן החילוט ביחס לקנסות שהושתו ונכסים שחולטו (באלפי ש"ח)</c:v>
                </c:pt>
              </c:strCache>
            </c:strRef>
          </c:tx>
          <c:dPt>
            <c:idx val="0"/>
            <c:bubble3D val="0"/>
            <c:spPr>
              <a:solidFill>
                <a:srgbClr val="FF000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F015-4B99-A9A1-5ED7269B93A3}"/>
              </c:ext>
            </c:extLst>
          </c:dPt>
          <c:dPt>
            <c:idx val="1"/>
            <c:bubble3D val="0"/>
            <c:spPr>
              <a:solidFill>
                <a:srgbClr val="0070C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F015-4B99-A9A1-5ED7269B93A3}"/>
              </c:ext>
            </c:extLst>
          </c:dPt>
          <c:dLbls>
            <c:dLbl>
              <c:idx val="0"/>
              <c:tx>
                <c:rich>
                  <a:bodyPr/>
                  <a:lstStyle/>
                  <a:p>
                    <a:fld id="{1A22598C-ED58-40EB-A98A-9FF5C7BA1F80}" type="VALUE">
                      <a:rPr lang="en-US" b="1"/>
                      <a:pPr/>
                      <a:t>[VALUE]</a:t>
                    </a:fld>
                    <a:r>
                      <a:rPr lang="en-US" sz="1200" b="1" i="0" u="none" strike="noStrike" kern="1200" baseline="0">
                        <a:solidFill>
                          <a:srgbClr val="1F497D"/>
                        </a:solidFill>
                        <a:latin typeface="+mn-lt"/>
                        <a:ea typeface="+mn-ea"/>
                        <a:cs typeface="+mn-cs"/>
                      </a:rPr>
                      <a:t> </a:t>
                    </a:r>
                    <a:r>
                      <a:rPr lang="en-US" baseline="0"/>
                      <a:t>(</a:t>
                    </a:r>
                    <a:fld id="{462EED0C-8A7B-4EED-A032-E5211C42986A}" type="PERCENTAGE">
                      <a:rPr lang="en-US" baseline="0"/>
                      <a:pPr/>
                      <a:t>[PERCENTAGE]</a:t>
                    </a:fld>
                    <a:r>
                      <a:rPr lang="en-US" baseline="0"/>
                      <a:t>)</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015-4B99-A9A1-5ED7269B93A3}"/>
                </c:ext>
              </c:extLst>
            </c:dLbl>
            <c:dLbl>
              <c:idx val="1"/>
              <c:tx>
                <c:rich>
                  <a:bodyPr/>
                  <a:lstStyle/>
                  <a:p>
                    <a:fld id="{82DEF525-792E-40D6-88AD-DADBAC3134EB}" type="VALUE">
                      <a:rPr lang="en-US" sz="1200" b="1"/>
                      <a:pPr/>
                      <a:t>[VALUE]</a:t>
                    </a:fld>
                    <a:r>
                      <a:rPr lang="en-US" sz="1200" b="1" i="0" u="none" strike="noStrike" kern="1200" baseline="0">
                        <a:solidFill>
                          <a:srgbClr val="1F497D"/>
                        </a:solidFill>
                        <a:latin typeface="+mn-lt"/>
                        <a:ea typeface="+mn-ea"/>
                        <a:cs typeface="+mn-cs"/>
                      </a:rPr>
                      <a:t> </a:t>
                    </a:r>
                    <a:r>
                      <a:rPr lang="en-US" sz="1200" b="1" baseline="0"/>
                      <a:t>(</a:t>
                    </a:r>
                    <a:fld id="{E46FC48A-55A5-4F90-9AFE-B136B421FAD2}" type="PERCENTAGE">
                      <a:rPr lang="en-US" sz="1200" b="1" baseline="0"/>
                      <a:pPr/>
                      <a:t>[PERCENTAGE]</a:t>
                    </a:fld>
                    <a:r>
                      <a:rPr lang="en-US" sz="1200" b="1" baseline="0"/>
                      <a:t>)</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015-4B99-A9A1-5ED7269B93A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he-IL"/>
              </a:p>
            </c:txPr>
            <c:dLblPos val="ct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גיליון1!$A$2:$A$3</c:f>
              <c:strCache>
                <c:ptCount val="2"/>
                <c:pt idx="0">
                  <c:v>קנסות, כספים ותמורת נכסים מחולטים שלא הופקדו בקרן החילוט </c:v>
                </c:pt>
                <c:pt idx="1">
                  <c:v>קנסות, כספים ותמורת מימוש נכסים שהופקדו בקרן החילוט</c:v>
                </c:pt>
              </c:strCache>
            </c:strRef>
          </c:cat>
          <c:val>
            <c:numRef>
              <c:f>גיליון1!$B$2:$B$3</c:f>
              <c:numCache>
                <c:formatCode>#,##0</c:formatCode>
                <c:ptCount val="2"/>
                <c:pt idx="0">
                  <c:v>84000000</c:v>
                </c:pt>
                <c:pt idx="1">
                  <c:v>165000000</c:v>
                </c:pt>
              </c:numCache>
            </c:numRef>
          </c:val>
          <c:extLst>
            <c:ext xmlns:c16="http://schemas.microsoft.com/office/drawing/2014/chart" uri="{C3380CC4-5D6E-409C-BE32-E72D297353CC}">
              <c16:uniqueId val="{00000004-F015-4B99-A9A1-5ED7269B93A3}"/>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1941524917415264"/>
          <c:y val="0.86402541989241677"/>
          <c:w val="0.5339493587459444"/>
          <c:h val="0.117723074358358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he-IL"/>
        </a:p>
      </c:txPr>
    </c:legend>
    <c:plotVisOnly val="1"/>
    <c:dispBlanksAs val="gap"/>
    <c:showDLblsOverMax val="0"/>
  </c:chart>
  <c:spPr>
    <a:solidFill>
      <a:schemeClr val="bg1"/>
    </a:solidFill>
    <a:ln w="9525">
      <a:solidFill>
        <a:schemeClr val="tx2">
          <a:lumMod val="15000"/>
          <a:lumOff val="85000"/>
        </a:schemeClr>
      </a:solidFill>
      <a:round/>
    </a:ln>
    <a:effectLst/>
  </c:spPr>
  <c:txPr>
    <a:bodyPr/>
    <a:lstStyle/>
    <a:p>
      <a:pPr>
        <a:defRPr/>
      </a:pPr>
      <a:endParaRPr lang="he-I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גיליון1!$B$1</c:f>
              <c:strCache>
                <c:ptCount val="1"/>
                <c:pt idx="0">
                  <c:v>תקציב מאושר</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גיליון1!$A$2:$A$5</c:f>
              <c:strCache>
                <c:ptCount val="4"/>
                <c:pt idx="0">
                  <c:v>משטרה</c:v>
                </c:pt>
                <c:pt idx="1">
                  <c:v>רשות המיסים</c:v>
                </c:pt>
                <c:pt idx="2">
                  <c:v>רשלא"ה</c:v>
                </c:pt>
                <c:pt idx="3">
                  <c:v>סה"כ</c:v>
                </c:pt>
              </c:strCache>
            </c:strRef>
          </c:cat>
          <c:val>
            <c:numRef>
              <c:f>גיליון1!$B$2:$B$5</c:f>
              <c:numCache>
                <c:formatCode>#,##0</c:formatCode>
                <c:ptCount val="4"/>
                <c:pt idx="0">
                  <c:v>264042</c:v>
                </c:pt>
                <c:pt idx="1">
                  <c:v>57185</c:v>
                </c:pt>
                <c:pt idx="2">
                  <c:v>80481</c:v>
                </c:pt>
                <c:pt idx="3">
                  <c:v>401708</c:v>
                </c:pt>
              </c:numCache>
            </c:numRef>
          </c:val>
          <c:extLst>
            <c:ext xmlns:c16="http://schemas.microsoft.com/office/drawing/2014/chart" uri="{C3380CC4-5D6E-409C-BE32-E72D297353CC}">
              <c16:uniqueId val="{00000000-BF0B-434F-8E45-7ECCD110B281}"/>
            </c:ext>
          </c:extLst>
        </c:ser>
        <c:ser>
          <c:idx val="1"/>
          <c:order val="1"/>
          <c:tx>
            <c:strRef>
              <c:f>גיליון1!$C$1</c:f>
              <c:strCache>
                <c:ptCount val="1"/>
                <c:pt idx="0">
                  <c:v>ביצוע</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גיליון1!$A$2:$A$5</c:f>
              <c:strCache>
                <c:ptCount val="4"/>
                <c:pt idx="0">
                  <c:v>משטרה</c:v>
                </c:pt>
                <c:pt idx="1">
                  <c:v>רשות המיסים</c:v>
                </c:pt>
                <c:pt idx="2">
                  <c:v>רשלא"ה</c:v>
                </c:pt>
                <c:pt idx="3">
                  <c:v>סה"כ</c:v>
                </c:pt>
              </c:strCache>
            </c:strRef>
          </c:cat>
          <c:val>
            <c:numRef>
              <c:f>גיליון1!$C$2:$C$5</c:f>
              <c:numCache>
                <c:formatCode>#,##0</c:formatCode>
                <c:ptCount val="4"/>
                <c:pt idx="0">
                  <c:v>134630</c:v>
                </c:pt>
                <c:pt idx="1">
                  <c:v>17698</c:v>
                </c:pt>
                <c:pt idx="2">
                  <c:v>30938</c:v>
                </c:pt>
                <c:pt idx="3">
                  <c:v>183266</c:v>
                </c:pt>
              </c:numCache>
            </c:numRef>
          </c:val>
          <c:extLst>
            <c:ext xmlns:c16="http://schemas.microsoft.com/office/drawing/2014/chart" uri="{C3380CC4-5D6E-409C-BE32-E72D297353CC}">
              <c16:uniqueId val="{00000001-BF0B-434F-8E45-7ECCD110B281}"/>
            </c:ext>
          </c:extLst>
        </c:ser>
        <c:dLbls>
          <c:dLblPos val="outEnd"/>
          <c:showLegendKey val="0"/>
          <c:showVal val="1"/>
          <c:showCatName val="0"/>
          <c:showSerName val="0"/>
          <c:showPercent val="0"/>
          <c:showBubbleSize val="0"/>
        </c:dLbls>
        <c:gapWidth val="219"/>
        <c:overlap val="-27"/>
        <c:axId val="598931184"/>
        <c:axId val="598931512"/>
      </c:barChart>
      <c:catAx>
        <c:axId val="59893118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98931512"/>
        <c:crosses val="autoZero"/>
        <c:auto val="1"/>
        <c:lblAlgn val="ctr"/>
        <c:lblOffset val="100"/>
        <c:noMultiLvlLbl val="0"/>
      </c:catAx>
      <c:valAx>
        <c:axId val="598931512"/>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אלפי</a:t>
                </a:r>
                <a:r>
                  <a:rPr lang="he-IL" baseline="0"/>
                  <a:t> ש"ח</a:t>
                </a:r>
                <a:endParaRPr lang="he-I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9893118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גיליון1!$B$1</c:f>
              <c:strCache>
                <c:ptCount val="1"/>
                <c:pt idx="0">
                  <c:v>תקבולים שנתיים של קרן החילוט</c:v>
                </c:pt>
              </c:strCache>
            </c:strRef>
          </c:tx>
          <c:spPr>
            <a:solidFill>
              <a:schemeClr val="accent1"/>
            </a:solidFill>
            <a:ln>
              <a:noFill/>
            </a:ln>
            <a:effectLst/>
          </c:spPr>
          <c:invertIfNegative val="0"/>
          <c:dLbls>
            <c:dLbl>
              <c:idx val="4"/>
              <c:tx>
                <c:rich>
                  <a:bodyPr/>
                  <a:lstStyle/>
                  <a:p>
                    <a:fld id="{CC6B2543-70E7-46D9-8BF9-A09CCE435E74}"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C89-41EF-9AEA-A68544512CD2}"/>
                </c:ext>
              </c:extLst>
            </c:dLbl>
            <c:dLbl>
              <c:idx val="5"/>
              <c:tx>
                <c:rich>
                  <a:bodyPr/>
                  <a:lstStyle/>
                  <a:p>
                    <a:fld id="{A806A924-4BBD-4BF8-883C-F0C8C1FDA1A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C89-41EF-9AEA-A68544512CD2}"/>
                </c:ext>
              </c:extLst>
            </c:dLbl>
            <c:dLbl>
              <c:idx val="6"/>
              <c:tx>
                <c:rich>
                  <a:bodyPr/>
                  <a:lstStyle/>
                  <a:p>
                    <a:fld id="{07CF0C3E-542A-45CC-9CCA-CE676EDF2D9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C89-41EF-9AEA-A68544512CD2}"/>
                </c:ext>
              </c:extLst>
            </c:dLbl>
            <c:dLbl>
              <c:idx val="7"/>
              <c:tx>
                <c:rich>
                  <a:bodyPr/>
                  <a:lstStyle/>
                  <a:p>
                    <a:fld id="{03B03A06-62D7-44A3-BDA7-FDF15F5FEC4B}"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C89-41EF-9AEA-A68544512C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גיליון1!$A$3:$A$10</c:f>
              <c:strCache>
                <c:ptCount val="8"/>
                <c:pt idx="0">
                  <c:v>2015</c:v>
                </c:pt>
                <c:pt idx="1">
                  <c:v>2016</c:v>
                </c:pt>
                <c:pt idx="2">
                  <c:v>2017</c:v>
                </c:pt>
                <c:pt idx="3">
                  <c:v>2018</c:v>
                </c:pt>
                <c:pt idx="4">
                  <c:v>2019*</c:v>
                </c:pt>
                <c:pt idx="5">
                  <c:v>2020*</c:v>
                </c:pt>
                <c:pt idx="6">
                  <c:v>2021*</c:v>
                </c:pt>
                <c:pt idx="7">
                  <c:v>2022*</c:v>
                </c:pt>
              </c:strCache>
            </c:strRef>
          </c:cat>
          <c:val>
            <c:numRef>
              <c:f>גיליון1!$B$3:$B$10</c:f>
              <c:numCache>
                <c:formatCode>#,##0</c:formatCode>
                <c:ptCount val="8"/>
                <c:pt idx="0">
                  <c:v>48286</c:v>
                </c:pt>
                <c:pt idx="1">
                  <c:v>154095</c:v>
                </c:pt>
                <c:pt idx="2">
                  <c:v>47710</c:v>
                </c:pt>
                <c:pt idx="3">
                  <c:v>51912</c:v>
                </c:pt>
                <c:pt idx="4">
                  <c:v>75000</c:v>
                </c:pt>
                <c:pt idx="5">
                  <c:v>100000</c:v>
                </c:pt>
                <c:pt idx="6">
                  <c:v>116000</c:v>
                </c:pt>
                <c:pt idx="7">
                  <c:v>112000</c:v>
                </c:pt>
              </c:numCache>
            </c:numRef>
          </c:val>
          <c:extLst>
            <c:ext xmlns:c16="http://schemas.microsoft.com/office/drawing/2014/chart" uri="{C3380CC4-5D6E-409C-BE32-E72D297353CC}">
              <c16:uniqueId val="{00000004-BC89-41EF-9AEA-A68544512CD2}"/>
            </c:ext>
          </c:extLst>
        </c:ser>
        <c:dLbls>
          <c:dLblPos val="outEnd"/>
          <c:showLegendKey val="0"/>
          <c:showVal val="1"/>
          <c:showCatName val="0"/>
          <c:showSerName val="0"/>
          <c:showPercent val="0"/>
          <c:showBubbleSize val="0"/>
        </c:dLbls>
        <c:gapWidth val="219"/>
        <c:overlap val="-27"/>
        <c:axId val="75579864"/>
        <c:axId val="75580520"/>
      </c:barChart>
      <c:catAx>
        <c:axId val="75579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שנה</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5580520"/>
        <c:crosses val="autoZero"/>
        <c:auto val="1"/>
        <c:lblAlgn val="ctr"/>
        <c:lblOffset val="100"/>
        <c:noMultiLvlLbl val="0"/>
      </c:catAx>
      <c:valAx>
        <c:axId val="75580520"/>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אלפי ש"ח</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557986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גיליון1!$B$1</c:f>
              <c:strCache>
                <c:ptCount val="1"/>
                <c:pt idx="0">
                  <c:v>תקני כוח אדם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62-43C7-93FB-BAF56D4EAE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62-43C7-93FB-BAF56D4EAE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62-43C7-93FB-BAF56D4EAED0}"/>
              </c:ext>
            </c:extLst>
          </c:dPt>
          <c:dLbls>
            <c:dLbl>
              <c:idx val="1"/>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62-43C7-93FB-BAF56D4EAED0}"/>
                </c:ext>
              </c:extLst>
            </c:dLbl>
            <c:dLbl>
              <c:idx val="2"/>
              <c:tx>
                <c:rich>
                  <a:bodyPr/>
                  <a:lstStyle/>
                  <a:p>
                    <a:r>
                      <a:rPr lang="en-US"/>
                      <a:t>16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62-43C7-93FB-BAF56D4EAE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גיליון1!$A$2:$A$4</c:f>
              <c:strCache>
                <c:ptCount val="3"/>
                <c:pt idx="0">
                  <c:v>משטרה</c:v>
                </c:pt>
                <c:pt idx="1">
                  <c:v>רשות המיסים</c:v>
                </c:pt>
                <c:pt idx="2">
                  <c:v>רשלא"ה</c:v>
                </c:pt>
              </c:strCache>
            </c:strRef>
          </c:cat>
          <c:val>
            <c:numRef>
              <c:f>גיליון1!$B$2:$B$4</c:f>
              <c:numCache>
                <c:formatCode>General</c:formatCode>
                <c:ptCount val="3"/>
                <c:pt idx="0">
                  <c:v>136</c:v>
                </c:pt>
                <c:pt idx="1">
                  <c:v>12</c:v>
                </c:pt>
                <c:pt idx="2">
                  <c:v>16</c:v>
                </c:pt>
              </c:numCache>
            </c:numRef>
          </c:val>
          <c:extLst>
            <c:ext xmlns:c16="http://schemas.microsoft.com/office/drawing/2014/chart" uri="{C3380CC4-5D6E-409C-BE32-E72D297353CC}">
              <c16:uniqueId val="{00000006-1D62-43C7-93FB-BAF56D4EAED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373432487605716E-2"/>
          <c:y val="0.10870614717795969"/>
          <c:w val="0.79846304655075073"/>
          <c:h val="0.75534802675247192"/>
        </c:manualLayout>
      </c:layout>
      <c:barChart>
        <c:barDir val="col"/>
        <c:grouping val="clustered"/>
        <c:varyColors val="0"/>
        <c:ser>
          <c:idx val="0"/>
          <c:order val="0"/>
          <c:tx>
            <c:strRef>
              <c:f>'רשימת תיקים מעל שנה לפ.מ.'!$H$490</c:f>
              <c:strCache>
                <c:ptCount val="1"/>
                <c:pt idx="0">
                  <c:v>מספר</c:v>
                </c:pt>
              </c:strCache>
            </c:strRef>
          </c:tx>
          <c:invertIfNegative val="0"/>
          <c:cat>
            <c:numRef>
              <c:f>'רשימת תיקים מעל שנה לפ.מ.'!$H$491:$H$494</c:f>
              <c:numCache>
                <c:formatCode>General</c:formatCode>
                <c:ptCount val="4"/>
                <c:pt idx="0">
                  <c:v>13</c:v>
                </c:pt>
                <c:pt idx="1">
                  <c:v>16</c:v>
                </c:pt>
                <c:pt idx="2">
                  <c:v>8</c:v>
                </c:pt>
                <c:pt idx="3">
                  <c:v>10</c:v>
                </c:pt>
              </c:numCache>
            </c:numRef>
          </c:cat>
          <c:val>
            <c:numRef>
              <c:f>'רשימת תיקים מעל שנה לפ.מ.'!$H$491:$H$494</c:f>
              <c:numCache>
                <c:formatCode>General</c:formatCode>
                <c:ptCount val="4"/>
                <c:pt idx="0">
                  <c:v>13</c:v>
                </c:pt>
                <c:pt idx="1">
                  <c:v>16</c:v>
                </c:pt>
                <c:pt idx="2">
                  <c:v>8</c:v>
                </c:pt>
                <c:pt idx="3">
                  <c:v>10</c:v>
                </c:pt>
              </c:numCache>
            </c:numRef>
          </c:val>
          <c:extLst>
            <c:ext xmlns:c16="http://schemas.microsoft.com/office/drawing/2014/chart" uri="{C3380CC4-5D6E-409C-BE32-E72D297353CC}">
              <c16:uniqueId val="{00000000-B73A-49B2-A979-40DE439DB104}"/>
            </c:ext>
          </c:extLst>
        </c:ser>
        <c:ser>
          <c:idx val="1"/>
          <c:order val="1"/>
          <c:tx>
            <c:strRef>
              <c:f>'רשימת תיקים מעל שנה לפ.מ.'!$I$490</c:f>
              <c:strCache>
                <c:ptCount val="1"/>
                <c:pt idx="0">
                  <c:v>סכום תפוסים</c:v>
                </c:pt>
              </c:strCache>
            </c:strRef>
          </c:tx>
          <c:spPr>
            <a:solidFill>
              <a:schemeClr val="accent5"/>
            </a:solidFill>
          </c:spPr>
          <c:invertIfNegative val="0"/>
          <c:dPt>
            <c:idx val="1"/>
            <c:invertIfNegative val="0"/>
            <c:bubble3D val="0"/>
            <c:spPr>
              <a:solidFill>
                <a:schemeClr val="accent2"/>
              </a:solidFill>
            </c:spPr>
            <c:extLst>
              <c:ext xmlns:c16="http://schemas.microsoft.com/office/drawing/2014/chart" uri="{C3380CC4-5D6E-409C-BE32-E72D297353CC}">
                <c16:uniqueId val="{00000002-B73A-49B2-A979-40DE439DB104}"/>
              </c:ext>
            </c:extLst>
          </c:dPt>
          <c:dPt>
            <c:idx val="2"/>
            <c:invertIfNegative val="0"/>
            <c:bubble3D val="0"/>
            <c:spPr>
              <a:solidFill>
                <a:schemeClr val="accent6"/>
              </a:solidFill>
            </c:spPr>
            <c:extLst>
              <c:ext xmlns:c16="http://schemas.microsoft.com/office/drawing/2014/chart" uri="{C3380CC4-5D6E-409C-BE32-E72D297353CC}">
                <c16:uniqueId val="{00000004-B73A-49B2-A979-40DE439DB104}"/>
              </c:ext>
            </c:extLst>
          </c:dPt>
          <c:dPt>
            <c:idx val="3"/>
            <c:invertIfNegative val="0"/>
            <c:bubble3D val="0"/>
            <c:spPr>
              <a:solidFill>
                <a:schemeClr val="accent4"/>
              </a:solidFill>
            </c:spPr>
            <c:extLst>
              <c:ext xmlns:c16="http://schemas.microsoft.com/office/drawing/2014/chart" uri="{C3380CC4-5D6E-409C-BE32-E72D297353CC}">
                <c16:uniqueId val="{00000006-B73A-49B2-A979-40DE439DB104}"/>
              </c:ext>
            </c:extLst>
          </c:dPt>
          <c:dLbls>
            <c:dLbl>
              <c:idx val="0"/>
              <c:tx>
                <c:rich>
                  <a:bodyPr/>
                  <a:lstStyle/>
                  <a:p>
                    <a:r>
                      <a:rPr lang="en-US" sz="1000" b="1" dirty="0"/>
                      <a:t>866,593,035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3A-49B2-A979-40DE439DB104}"/>
                </c:ext>
              </c:extLst>
            </c:dLbl>
            <c:dLbl>
              <c:idx val="1"/>
              <c:tx>
                <c:rich>
                  <a:bodyPr/>
                  <a:lstStyle/>
                  <a:p>
                    <a:r>
                      <a:rPr lang="en-US" sz="1000" b="1" dirty="0"/>
                      <a:t>286,384,022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3A-49B2-A979-40DE439DB104}"/>
                </c:ext>
              </c:extLst>
            </c:dLbl>
            <c:dLbl>
              <c:idx val="2"/>
              <c:tx>
                <c:rich>
                  <a:bodyPr/>
                  <a:lstStyle/>
                  <a:p>
                    <a:r>
                      <a:rPr lang="en-US" dirty="0"/>
                      <a:t>94,246,921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3A-49B2-A979-40DE439DB104}"/>
                </c:ext>
              </c:extLst>
            </c:dLbl>
            <c:dLbl>
              <c:idx val="3"/>
              <c:tx>
                <c:rich>
                  <a:bodyPr/>
                  <a:lstStyle/>
                  <a:p>
                    <a:r>
                      <a:rPr lang="en-US" dirty="0"/>
                      <a:t>57,491,434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3A-49B2-A979-40DE439DB104}"/>
                </c:ext>
              </c:extLst>
            </c:dLbl>
            <c:spPr>
              <a:noFill/>
              <a:ln>
                <a:noFill/>
              </a:ln>
              <a:effectLst/>
            </c:spPr>
            <c:txPr>
              <a:bodyPr/>
              <a:lstStyle/>
              <a:p>
                <a:pPr>
                  <a:defRPr sz="1000" b="1" smtId="4294967295">
                    <a:latin typeface="David" panose="020E0502060401010101" pitchFamily="34" charset="-79"/>
                    <a:cs typeface="David" panose="020E0502060401010101" pitchFamily="34" charset="-79"/>
                  </a:defRPr>
                </a:pPr>
                <a:endParaRPr lang="he-IL"/>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'רשימת תיקים מעל שנה לפ.מ.'!$H$491:$H$494</c:f>
              <c:numCache>
                <c:formatCode>General</c:formatCode>
                <c:ptCount val="4"/>
                <c:pt idx="0">
                  <c:v>13</c:v>
                </c:pt>
                <c:pt idx="1">
                  <c:v>16</c:v>
                </c:pt>
                <c:pt idx="2">
                  <c:v>8</c:v>
                </c:pt>
                <c:pt idx="3">
                  <c:v>10</c:v>
                </c:pt>
              </c:numCache>
            </c:numRef>
          </c:cat>
          <c:val>
            <c:numRef>
              <c:f>'רשימת תיקים מעל שנה לפ.מ.'!$I$491:$I$494</c:f>
              <c:numCache>
                <c:formatCode>General</c:formatCode>
                <c:ptCount val="4"/>
                <c:pt idx="0">
                  <c:v>866593035</c:v>
                </c:pt>
                <c:pt idx="1">
                  <c:v>286384022</c:v>
                </c:pt>
                <c:pt idx="2">
                  <c:v>94246921</c:v>
                </c:pt>
                <c:pt idx="3">
                  <c:v>57491434</c:v>
                </c:pt>
              </c:numCache>
            </c:numRef>
          </c:val>
          <c:extLst>
            <c:ext xmlns:c16="http://schemas.microsoft.com/office/drawing/2014/chart" uri="{C3380CC4-5D6E-409C-BE32-E72D297353CC}">
              <c16:uniqueId val="{00000008-B73A-49B2-A979-40DE439DB104}"/>
            </c:ext>
          </c:extLst>
        </c:ser>
        <c:dLbls>
          <c:showLegendKey val="0"/>
          <c:showVal val="0"/>
          <c:showCatName val="0"/>
          <c:showSerName val="0"/>
          <c:showPercent val="0"/>
          <c:showBubbleSize val="0"/>
        </c:dLbls>
        <c:gapWidth val="0"/>
        <c:axId val="127685760"/>
        <c:axId val="127687680"/>
      </c:barChart>
      <c:catAx>
        <c:axId val="127685760"/>
        <c:scaling>
          <c:orientation val="maxMin"/>
        </c:scaling>
        <c:delete val="0"/>
        <c:axPos val="b"/>
        <c:title>
          <c:tx>
            <c:rich>
              <a:bodyPr/>
              <a:lstStyle/>
              <a:p>
                <a:pPr>
                  <a:defRPr sz="1000">
                    <a:latin typeface="David" panose="020E0502060401010101" pitchFamily="34" charset="-79"/>
                    <a:cs typeface="David" panose="020E0502060401010101" pitchFamily="34" charset="-79"/>
                  </a:defRPr>
                </a:pPr>
                <a:r>
                  <a:rPr lang="he-IL" sz="1000">
                    <a:latin typeface="David" panose="020E0502060401010101" pitchFamily="34" charset="-79"/>
                    <a:cs typeface="David" panose="020E0502060401010101" pitchFamily="34" charset="-79"/>
                  </a:rPr>
                  <a:t>מספר תיקים </a:t>
                </a:r>
              </a:p>
            </c:rich>
          </c:tx>
          <c:overlay val="0"/>
        </c:title>
        <c:numFmt formatCode="General" sourceLinked="1"/>
        <c:majorTickMark val="none"/>
        <c:minorTickMark val="none"/>
        <c:tickLblPos val="nextTo"/>
        <c:txPr>
          <a:bodyPr anchor="ctr" anchorCtr="1"/>
          <a:lstStyle/>
          <a:p>
            <a:pPr>
              <a:defRPr sz="800" b="1" smtId="4294967295"/>
            </a:pPr>
            <a:endParaRPr lang="he-IL"/>
          </a:p>
        </c:txPr>
        <c:crossAx val="127687680"/>
        <c:crosses val="autoZero"/>
        <c:auto val="1"/>
        <c:lblAlgn val="ctr"/>
        <c:lblOffset val="100"/>
        <c:noMultiLvlLbl val="0"/>
      </c:catAx>
      <c:valAx>
        <c:axId val="127687680"/>
        <c:scaling>
          <c:orientation val="minMax"/>
          <c:max val="1000000000"/>
        </c:scaling>
        <c:delete val="0"/>
        <c:axPos val="r"/>
        <c:title>
          <c:tx>
            <c:rich>
              <a:bodyPr/>
              <a:lstStyle/>
              <a:p>
                <a:pPr>
                  <a:defRPr sz="1000">
                    <a:latin typeface="David" panose="020E0502060401010101" pitchFamily="34" charset="-79"/>
                    <a:cs typeface="David" panose="020E0502060401010101" pitchFamily="34" charset="-79"/>
                  </a:defRPr>
                </a:pPr>
                <a:r>
                  <a:rPr lang="he-IL" sz="1000" dirty="0">
                    <a:latin typeface="David" panose="020E0502060401010101" pitchFamily="34" charset="-79"/>
                    <a:cs typeface="David" panose="020E0502060401010101" pitchFamily="34" charset="-79"/>
                  </a:rPr>
                  <a:t>סכום תפוסים (ש"ח)</a:t>
                </a:r>
              </a:p>
            </c:rich>
          </c:tx>
          <c:layout>
            <c:manualLayout>
              <c:xMode val="edge"/>
              <c:yMode val="edge"/>
              <c:x val="0.95214885473251343"/>
              <c:y val="0.40415924787521362"/>
            </c:manualLayout>
          </c:layout>
          <c:overlay val="0"/>
        </c:title>
        <c:numFmt formatCode="#,##0" sourceLinked="0"/>
        <c:majorTickMark val="out"/>
        <c:minorTickMark val="none"/>
        <c:tickLblPos val="nextTo"/>
        <c:txPr>
          <a:bodyPr/>
          <a:lstStyle/>
          <a:p>
            <a:pPr>
              <a:defRPr sz="800" b="1" smtId="4294967295">
                <a:latin typeface="David" panose="020E0502060401010101" pitchFamily="34" charset="-79"/>
                <a:cs typeface="David" panose="020E0502060401010101" pitchFamily="34" charset="-79"/>
              </a:defRPr>
            </a:pPr>
            <a:endParaRPr lang="he-IL"/>
          </a:p>
        </c:txPr>
        <c:crossAx val="127685760"/>
        <c:crosses val="autoZero"/>
        <c:crossBetween val="between"/>
        <c:majorUnit val="100000000"/>
        <c:minorUnit val="20000000"/>
      </c:valAx>
      <c:spPr>
        <a:ln>
          <a:noFill/>
        </a:ln>
      </c:spPr>
    </c:plotArea>
    <c:plotVisOnly val="1"/>
    <c:dispBlanksAs val="gap"/>
    <c:showDLblsOverMax val="0"/>
  </c:chart>
  <c:spPr>
    <a:no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מלאי תיקים פתוחים</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גיליון1!$A$2:$A$4</c:f>
              <c:numCache>
                <c:formatCode>General</c:formatCode>
                <c:ptCount val="3"/>
                <c:pt idx="0">
                  <c:v>2016</c:v>
                </c:pt>
                <c:pt idx="1">
                  <c:v>2017</c:v>
                </c:pt>
                <c:pt idx="2">
                  <c:v>2018</c:v>
                </c:pt>
              </c:numCache>
            </c:numRef>
          </c:cat>
          <c:val>
            <c:numRef>
              <c:f>גיליון1!$B$2:$B$4</c:f>
              <c:numCache>
                <c:formatCode>General</c:formatCode>
                <c:ptCount val="3"/>
                <c:pt idx="0">
                  <c:v>343</c:v>
                </c:pt>
                <c:pt idx="1">
                  <c:v>380</c:v>
                </c:pt>
                <c:pt idx="2">
                  <c:v>356</c:v>
                </c:pt>
              </c:numCache>
            </c:numRef>
          </c:val>
          <c:extLst>
            <c:ext xmlns:c16="http://schemas.microsoft.com/office/drawing/2014/chart" uri="{C3380CC4-5D6E-409C-BE32-E72D297353CC}">
              <c16:uniqueId val="{00000000-FDA7-4FEE-BA99-608DABF10719}"/>
            </c:ext>
          </c:extLst>
        </c:ser>
        <c:ser>
          <c:idx val="1"/>
          <c:order val="1"/>
          <c:tx>
            <c:strRef>
              <c:f>גיליון1!$C$1</c:f>
              <c:strCache>
                <c:ptCount val="1"/>
                <c:pt idx="0">
                  <c:v>תיקים שנסגרו מחוסר ראיות / קנס מינהלי/ כופר</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גיליון1!$A$2:$A$4</c:f>
              <c:numCache>
                <c:formatCode>General</c:formatCode>
                <c:ptCount val="3"/>
                <c:pt idx="0">
                  <c:v>2016</c:v>
                </c:pt>
                <c:pt idx="1">
                  <c:v>2017</c:v>
                </c:pt>
                <c:pt idx="2">
                  <c:v>2018</c:v>
                </c:pt>
              </c:numCache>
            </c:numRef>
          </c:cat>
          <c:val>
            <c:numRef>
              <c:f>גיליון1!$C$2:$C$4</c:f>
              <c:numCache>
                <c:formatCode>General</c:formatCode>
                <c:ptCount val="3"/>
                <c:pt idx="0">
                  <c:v>17</c:v>
                </c:pt>
                <c:pt idx="1">
                  <c:v>19</c:v>
                </c:pt>
                <c:pt idx="2">
                  <c:v>18</c:v>
                </c:pt>
              </c:numCache>
            </c:numRef>
          </c:val>
          <c:extLst>
            <c:ext xmlns:c16="http://schemas.microsoft.com/office/drawing/2014/chart" uri="{C3380CC4-5D6E-409C-BE32-E72D297353CC}">
              <c16:uniqueId val="{00000001-FDA7-4FEE-BA99-608DABF10719}"/>
            </c:ext>
          </c:extLst>
        </c:ser>
        <c:ser>
          <c:idx val="2"/>
          <c:order val="2"/>
          <c:tx>
            <c:strRef>
              <c:f>גיליון1!$D$1</c:f>
              <c:strCache>
                <c:ptCount val="1"/>
                <c:pt idx="0">
                  <c:v>מספר כתבי אישום שהוגשו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גיליון1!$A$2:$A$4</c:f>
              <c:numCache>
                <c:formatCode>General</c:formatCode>
                <c:ptCount val="3"/>
                <c:pt idx="0">
                  <c:v>2016</c:v>
                </c:pt>
                <c:pt idx="1">
                  <c:v>2017</c:v>
                </c:pt>
                <c:pt idx="2">
                  <c:v>2018</c:v>
                </c:pt>
              </c:numCache>
            </c:numRef>
          </c:cat>
          <c:val>
            <c:numRef>
              <c:f>גיליון1!$D$2:$D$4</c:f>
              <c:numCache>
                <c:formatCode>General</c:formatCode>
                <c:ptCount val="3"/>
                <c:pt idx="0">
                  <c:v>36</c:v>
                </c:pt>
                <c:pt idx="1">
                  <c:v>30</c:v>
                </c:pt>
                <c:pt idx="2">
                  <c:v>29</c:v>
                </c:pt>
              </c:numCache>
            </c:numRef>
          </c:val>
          <c:extLst>
            <c:ext xmlns:c16="http://schemas.microsoft.com/office/drawing/2014/chart" uri="{C3380CC4-5D6E-409C-BE32-E72D297353CC}">
              <c16:uniqueId val="{00000002-FDA7-4FEE-BA99-608DABF10719}"/>
            </c:ext>
          </c:extLst>
        </c:ser>
        <c:dLbls>
          <c:dLblPos val="outEnd"/>
          <c:showLegendKey val="0"/>
          <c:showVal val="1"/>
          <c:showCatName val="0"/>
          <c:showSerName val="0"/>
          <c:showPercent val="0"/>
          <c:showBubbleSize val="0"/>
        </c:dLbls>
        <c:gapWidth val="219"/>
        <c:overlap val="-27"/>
        <c:axId val="445805576"/>
        <c:axId val="445802296"/>
      </c:barChart>
      <c:catAx>
        <c:axId val="44580557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45802296"/>
        <c:crosses val="autoZero"/>
        <c:auto val="1"/>
        <c:lblAlgn val="ctr"/>
        <c:lblOffset val="100"/>
        <c:noMultiLvlLbl val="0"/>
      </c:catAx>
      <c:valAx>
        <c:axId val="44580229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45805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148795722975368"/>
          <c:y val="7.7671717513184038E-2"/>
          <c:w val="0.6300398882681274"/>
          <c:h val="0.79931921288897112"/>
        </c:manualLayout>
      </c:layout>
      <c:pieChart>
        <c:varyColors val="1"/>
        <c:ser>
          <c:idx val="0"/>
          <c:order val="0"/>
          <c:tx>
            <c:strRef>
              <c:f>גיליון1!$B$1</c:f>
              <c:strCache>
                <c:ptCount val="1"/>
                <c:pt idx="0">
                  <c:v>עמודה1</c:v>
                </c:pt>
              </c:strCache>
            </c:strRef>
          </c:tx>
          <c:spPr>
            <a:solidFill>
              <a:srgbClr val="1F497D">
                <a:lumMod val="60000"/>
                <a:lumOff val="40000"/>
              </a:srgbClr>
            </a:solidFill>
          </c:spPr>
          <c:dPt>
            <c:idx val="0"/>
            <c:bubble3D val="0"/>
            <c:spPr>
              <a:solidFill>
                <a:srgbClr val="1F497D">
                  <a:lumMod val="60000"/>
                  <a:lumOff val="40000"/>
                </a:srgbClr>
              </a:solidFill>
              <a:ln w="19050">
                <a:solidFill>
                  <a:schemeClr val="lt1"/>
                </a:solidFill>
              </a:ln>
              <a:effectLst/>
            </c:spPr>
            <c:extLst>
              <c:ext xmlns:c16="http://schemas.microsoft.com/office/drawing/2014/chart" uri="{C3380CC4-5D6E-409C-BE32-E72D297353CC}">
                <c16:uniqueId val="{00000001-BBD4-4346-8AB5-92868B872511}"/>
              </c:ext>
            </c:extLst>
          </c:dPt>
          <c:dPt>
            <c:idx val="1"/>
            <c:bubble3D val="0"/>
            <c:explosion val="13"/>
            <c:spPr>
              <a:solidFill>
                <a:srgbClr val="C00000"/>
              </a:solidFill>
              <a:ln w="19050">
                <a:solidFill>
                  <a:schemeClr val="lt1"/>
                </a:solidFill>
              </a:ln>
              <a:effectLst/>
            </c:spPr>
            <c:extLst>
              <c:ext xmlns:c16="http://schemas.microsoft.com/office/drawing/2014/chart" uri="{C3380CC4-5D6E-409C-BE32-E72D297353CC}">
                <c16:uniqueId val="{00000003-BBD4-4346-8AB5-92868B872511}"/>
              </c:ext>
            </c:extLst>
          </c:dPt>
          <c:dLbls>
            <c:dLbl>
              <c:idx val="0"/>
              <c:tx>
                <c:rich>
                  <a:bodyPr/>
                  <a:lstStyle/>
                  <a:p>
                    <a:fld id="{7892CD9C-6593-4331-9391-61EFC9D40B1B}" type="VALUE">
                      <a:rPr lang="en-US"/>
                      <a:pPr/>
                      <a:t>[VALUE]</a:t>
                    </a:fld>
                    <a:r>
                      <a:rPr lang="en-US" baseline="0"/>
                      <a:t> (28%)</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BD4-4346-8AB5-92868B872511}"/>
                </c:ext>
              </c:extLst>
            </c:dLbl>
            <c:dLbl>
              <c:idx val="1"/>
              <c:tx>
                <c:rich>
                  <a:bodyPr/>
                  <a:lstStyle/>
                  <a:p>
                    <a:fld id="{940CBB70-10ED-46CC-899D-33E4601233CE}" type="VALUE">
                      <a:rPr lang="en-US"/>
                      <a:pPr/>
                      <a:t>[VALUE]</a:t>
                    </a:fld>
                    <a:r>
                      <a:rPr lang="en-US" baseline="0"/>
                      <a:t> (</a:t>
                    </a:r>
                    <a:fld id="{04E7B2A4-A869-4567-BFB6-5C4DD38954AA}" type="PERCENTAGE">
                      <a:rPr lang="en-US" baseline="0"/>
                      <a:pPr/>
                      <a:t>[PERCENTAGE]</a:t>
                    </a:fld>
                    <a:r>
                      <a:rPr lang="en-US" baseline="0"/>
                      <a:t>)</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BD4-4346-8AB5-92868B87251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גיליון1!$A$2:$A$3</c:f>
              <c:strCache>
                <c:ptCount val="2"/>
                <c:pt idx="0">
                  <c:v>נכסים שמומשו</c:v>
                </c:pt>
                <c:pt idx="1">
                  <c:v>נכסים שטרם מומשו</c:v>
                </c:pt>
              </c:strCache>
            </c:strRef>
          </c:cat>
          <c:val>
            <c:numRef>
              <c:f>גיליון1!$B$2:$B$3</c:f>
              <c:numCache>
                <c:formatCode>General</c:formatCode>
                <c:ptCount val="2"/>
                <c:pt idx="0">
                  <c:v>13</c:v>
                </c:pt>
                <c:pt idx="1">
                  <c:v>34</c:v>
                </c:pt>
              </c:numCache>
            </c:numRef>
          </c:val>
          <c:extLst>
            <c:ext xmlns:c16="http://schemas.microsoft.com/office/drawing/2014/chart" uri="{C3380CC4-5D6E-409C-BE32-E72D297353CC}">
              <c16:uniqueId val="{00000004-BBD4-4346-8AB5-92868B872511}"/>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lgn="just" rtl="1">
        <a:defRPr/>
      </a:pPr>
      <a:endParaRPr lang="he-I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גיליון1!$B$1</c:f>
              <c:strCache>
                <c:ptCount val="1"/>
                <c:pt idx="0">
                  <c:v>עמודה1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143-4E26-A319-5857A0DB247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143-4E26-A319-5857A0DB247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143-4E26-A319-5857A0DB24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גיליון1!$A$2:$A$4</c:f>
              <c:strCache>
                <c:ptCount val="3"/>
                <c:pt idx="0">
                  <c:v>סיכומים </c:v>
                </c:pt>
                <c:pt idx="1">
                  <c:v>דיוני הוכחות</c:v>
                </c:pt>
                <c:pt idx="2">
                  <c:v>דיונים אחרים*</c:v>
                </c:pt>
              </c:strCache>
            </c:strRef>
          </c:cat>
          <c:val>
            <c:numRef>
              <c:f>גיליון1!$B$2:$B$4</c:f>
              <c:numCache>
                <c:formatCode>0%</c:formatCode>
                <c:ptCount val="3"/>
                <c:pt idx="0">
                  <c:v>0.01</c:v>
                </c:pt>
                <c:pt idx="1">
                  <c:v>0.15</c:v>
                </c:pt>
                <c:pt idx="2">
                  <c:v>0.84</c:v>
                </c:pt>
              </c:numCache>
            </c:numRef>
          </c:val>
          <c:extLst>
            <c:ext xmlns:c16="http://schemas.microsoft.com/office/drawing/2014/chart" uri="{C3380CC4-5D6E-409C-BE32-E72D297353CC}">
              <c16:uniqueId val="{00000006-B143-4E26-A319-5857A0DB2474}"/>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'רשימת תיקים מעל שנה לפ.מ.'!$I$348</c:f>
              <c:strCache>
                <c:ptCount val="1"/>
                <c:pt idx="0">
                  <c:v>סכום רכוש שחילוטו התבקש בתיקים אלו</c:v>
                </c:pt>
              </c:strCache>
            </c:strRef>
          </c:tx>
          <c:spPr>
            <a:solidFill>
              <a:schemeClr val="accent2"/>
            </a:solidFill>
          </c:spPr>
          <c:invertIfNegative val="0"/>
          <c:dPt>
            <c:idx val="0"/>
            <c:invertIfNegative val="0"/>
            <c:bubble3D val="0"/>
            <c:spPr>
              <a:solidFill>
                <a:schemeClr val="accent3"/>
              </a:solidFill>
            </c:spPr>
            <c:extLst>
              <c:ext xmlns:c16="http://schemas.microsoft.com/office/drawing/2014/chart" uri="{C3380CC4-5D6E-409C-BE32-E72D297353CC}">
                <c16:uniqueId val="{00000001-2558-4510-AC49-FA68E2C9E4E7}"/>
              </c:ext>
            </c:extLst>
          </c:dPt>
          <c:dPt>
            <c:idx val="2"/>
            <c:invertIfNegative val="0"/>
            <c:bubble3D val="0"/>
            <c:spPr>
              <a:solidFill>
                <a:schemeClr val="accent4"/>
              </a:solidFill>
            </c:spPr>
            <c:extLst>
              <c:ext xmlns:c16="http://schemas.microsoft.com/office/drawing/2014/chart" uri="{C3380CC4-5D6E-409C-BE32-E72D297353CC}">
                <c16:uniqueId val="{00000003-2558-4510-AC49-FA68E2C9E4E7}"/>
              </c:ext>
            </c:extLst>
          </c:dPt>
          <c:dPt>
            <c:idx val="3"/>
            <c:invertIfNegative val="0"/>
            <c:bubble3D val="0"/>
            <c:spPr>
              <a:solidFill>
                <a:schemeClr val="accent5"/>
              </a:solidFill>
            </c:spPr>
            <c:extLst>
              <c:ext xmlns:c16="http://schemas.microsoft.com/office/drawing/2014/chart" uri="{C3380CC4-5D6E-409C-BE32-E72D297353CC}">
                <c16:uniqueId val="{00000005-2558-4510-AC49-FA68E2C9E4E7}"/>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'רשימת תיקים מעל שנה לפ.מ.'!$H$349:$H$352</c:f>
              <c:numCache>
                <c:formatCode>General</c:formatCode>
                <c:ptCount val="4"/>
                <c:pt idx="0">
                  <c:v>86</c:v>
                </c:pt>
                <c:pt idx="1">
                  <c:v>70</c:v>
                </c:pt>
                <c:pt idx="2">
                  <c:v>61</c:v>
                </c:pt>
                <c:pt idx="3">
                  <c:v>70</c:v>
                </c:pt>
              </c:numCache>
            </c:numRef>
          </c:cat>
          <c:val>
            <c:numRef>
              <c:f>'רשימת תיקים מעל שנה לפ.מ.'!$I$349:$I$352</c:f>
              <c:numCache>
                <c:formatCode>_ * #,##0_ ;_ * \-#,##0_ ;_ * "-"??_ ;_ @_ </c:formatCode>
                <c:ptCount val="4"/>
                <c:pt idx="0">
                  <c:v>146605350</c:v>
                </c:pt>
                <c:pt idx="1">
                  <c:v>99501541</c:v>
                </c:pt>
                <c:pt idx="2">
                  <c:v>230937810</c:v>
                </c:pt>
                <c:pt idx="3">
                  <c:v>42321048</c:v>
                </c:pt>
              </c:numCache>
            </c:numRef>
          </c:val>
          <c:extLst>
            <c:ext xmlns:c16="http://schemas.microsoft.com/office/drawing/2014/chart" uri="{C3380CC4-5D6E-409C-BE32-E72D297353CC}">
              <c16:uniqueId val="{00000006-2558-4510-AC49-FA68E2C9E4E7}"/>
            </c:ext>
          </c:extLst>
        </c:ser>
        <c:dLbls>
          <c:showLegendKey val="0"/>
          <c:showVal val="0"/>
          <c:showCatName val="0"/>
          <c:showSerName val="0"/>
          <c:showPercent val="0"/>
          <c:showBubbleSize val="0"/>
        </c:dLbls>
        <c:gapWidth val="75"/>
        <c:axId val="56211712"/>
        <c:axId val="127728256"/>
      </c:barChart>
      <c:catAx>
        <c:axId val="56211712"/>
        <c:scaling>
          <c:orientation val="maxMin"/>
        </c:scaling>
        <c:delete val="0"/>
        <c:axPos val="b"/>
        <c:title>
          <c:tx>
            <c:rich>
              <a:bodyPr/>
              <a:lstStyle/>
              <a:p>
                <a:pPr>
                  <a:defRPr sz="1000"/>
                </a:pPr>
                <a:r>
                  <a:rPr lang="he-IL" sz="1000"/>
                  <a:t>מספר התיקים</a:t>
                </a:r>
              </a:p>
            </c:rich>
          </c:tx>
          <c:overlay val="0"/>
        </c:title>
        <c:numFmt formatCode="General" sourceLinked="1"/>
        <c:majorTickMark val="none"/>
        <c:minorTickMark val="none"/>
        <c:tickLblPos val="nextTo"/>
        <c:txPr>
          <a:bodyPr/>
          <a:lstStyle/>
          <a:p>
            <a:pPr>
              <a:defRPr sz="800" smtId="4294967295"/>
            </a:pPr>
            <a:endParaRPr lang="he-IL"/>
          </a:p>
        </c:txPr>
        <c:crossAx val="127728256"/>
        <c:crosses val="autoZero"/>
        <c:auto val="1"/>
        <c:lblAlgn val="ctr"/>
        <c:lblOffset val="100"/>
        <c:noMultiLvlLbl val="0"/>
      </c:catAx>
      <c:valAx>
        <c:axId val="127728256"/>
        <c:scaling>
          <c:orientation val="minMax"/>
          <c:max val="290000000"/>
          <c:min val="0"/>
        </c:scaling>
        <c:delete val="0"/>
        <c:axPos val="r"/>
        <c:title>
          <c:tx>
            <c:rich>
              <a:bodyPr rot="-5400000" vert="horz"/>
              <a:lstStyle/>
              <a:p>
                <a:pPr>
                  <a:defRPr sz="1000"/>
                </a:pPr>
                <a:r>
                  <a:rPr lang="he-IL" sz="1000" dirty="0"/>
                  <a:t>היקף הרכוש בש"ח</a:t>
                </a:r>
              </a:p>
            </c:rich>
          </c:tx>
          <c:overlay val="0"/>
        </c:title>
        <c:numFmt formatCode="#,##0" sourceLinked="0"/>
        <c:majorTickMark val="none"/>
        <c:minorTickMark val="none"/>
        <c:tickLblPos val="nextTo"/>
        <c:txPr>
          <a:bodyPr/>
          <a:lstStyle/>
          <a:p>
            <a:pPr>
              <a:defRPr sz="800" smtId="4294967295"/>
            </a:pPr>
            <a:endParaRPr lang="he-IL"/>
          </a:p>
        </c:txPr>
        <c:crossAx val="56211712"/>
        <c:crosses val="autoZero"/>
        <c:crossBetween val="between"/>
      </c:valAx>
    </c:plotArea>
    <c:plotVisOnly val="1"/>
    <c:dispBlanksAs val="gap"/>
    <c:showDLblsOverMax val="0"/>
  </c:chart>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0.6041</cdr:x>
      <cdr:y>0</cdr:y>
    </cdr:from>
    <cdr:to>
      <cdr:x>0.7791</cdr:x>
      <cdr:y>0.16921</cdr:y>
    </cdr:to>
    <cdr:sp macro="" textlink="">
      <cdr:nvSpPr>
        <cdr:cNvPr id="855362587" name="TextBox 1"/>
        <cdr:cNvSpPr txBox="1"/>
      </cdr:nvSpPr>
      <cdr:spPr>
        <a:xfrm xmlns:a="http://schemas.openxmlformats.org/drawingml/2006/main">
          <a:off x="3153620" y="-600075"/>
          <a:ext cx="913555" cy="485775"/>
        </a:xfrm>
        <a:prstGeom xmlns:a="http://schemas.openxmlformats.org/drawingml/2006/main" prst="rect">
          <a:avLst/>
        </a:prstGeom>
      </cdr:spPr>
      <cdr:txBody>
        <a:bodyPr xmlns:a="http://schemas.openxmlformats.org/drawingml/2006/main" vertOverflow="clip" wrap="square" rtlCol="1" anchor="ctr"/>
        <a:lstStyle xmlns:a="http://schemas.openxmlformats.org/drawingml/2006/main"/>
        <a:p xmlns:a="http://schemas.openxmlformats.org/drawingml/2006/main">
          <a:pPr algn="ctr"/>
          <a:r>
            <a:rPr lang="he-IL" sz="1200" b="1" dirty="0">
              <a:latin typeface="David" panose="020E0502060401010101" pitchFamily="34" charset="-79"/>
              <a:cs typeface="David" panose="020E0502060401010101" pitchFamily="34" charset="-79"/>
            </a:rPr>
            <a:t>שנה עד שנתיים</a:t>
          </a:r>
        </a:p>
      </cdr:txBody>
    </cdr:sp>
  </cdr:relSizeAnchor>
  <cdr:relSizeAnchor xmlns:cdr="http://schemas.openxmlformats.org/drawingml/2006/chartDrawing">
    <cdr:from>
      <cdr:x>0.42686</cdr:x>
      <cdr:y>0.4125</cdr:y>
    </cdr:from>
    <cdr:to>
      <cdr:x>0.55864</cdr:x>
      <cdr:y>0.54031</cdr:y>
    </cdr:to>
    <cdr:sp macro="" textlink="">
      <cdr:nvSpPr>
        <cdr:cNvPr id="3" name="TextBox 1"/>
        <cdr:cNvSpPr txBox="1"/>
      </cdr:nvSpPr>
      <cdr:spPr>
        <a:xfrm xmlns:a="http://schemas.openxmlformats.org/drawingml/2006/main">
          <a:off x="2329727" y="1257300"/>
          <a:ext cx="719253" cy="389550"/>
        </a:xfrm>
        <a:prstGeom xmlns:a="http://schemas.openxmlformats.org/drawingml/2006/main" prst="rect">
          <a:avLst/>
        </a:prstGeom>
      </cdr:spPr>
      <cdr:txBody>
        <a:bodyPr xmlns:a="http://schemas.openxmlformats.org/drawingml/2006/main" wrap="square" rtlCol="1"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he-IL" sz="1200" b="1" dirty="0">
              <a:effectLst/>
              <a:latin typeface="David" panose="020E0502060401010101" pitchFamily="34" charset="-79"/>
              <a:cs typeface="David" panose="020E0502060401010101" pitchFamily="34" charset="-79"/>
            </a:rPr>
            <a:t>שנתיים עד שלוש שנים</a:t>
          </a:r>
          <a:endParaRPr lang="he-IL" sz="1200" dirty="0">
            <a:effectLst/>
            <a:latin typeface="David" panose="020E0502060401010101" pitchFamily="34" charset="-79"/>
            <a:cs typeface="David" panose="020E0502060401010101" pitchFamily="34" charset="-79"/>
          </a:endParaRPr>
        </a:p>
      </cdr:txBody>
    </cdr:sp>
  </cdr:relSizeAnchor>
  <cdr:relSizeAnchor xmlns:cdr="http://schemas.openxmlformats.org/drawingml/2006/chartDrawing">
    <cdr:from>
      <cdr:x>0.22057</cdr:x>
      <cdr:y>0.57404</cdr:y>
    </cdr:from>
    <cdr:to>
      <cdr:x>0.36932</cdr:x>
      <cdr:y>0.66594</cdr:y>
    </cdr:to>
    <cdr:sp macro="" textlink="">
      <cdr:nvSpPr>
        <cdr:cNvPr id="2072384263" name="TextBox 1"/>
        <cdr:cNvSpPr txBox="1"/>
      </cdr:nvSpPr>
      <cdr:spPr>
        <a:xfrm xmlns:a="http://schemas.openxmlformats.org/drawingml/2006/main">
          <a:off x="1151473" y="1647974"/>
          <a:ext cx="776525" cy="263830"/>
        </a:xfrm>
        <a:prstGeom xmlns:a="http://schemas.openxmlformats.org/drawingml/2006/main" prst="rect">
          <a:avLst/>
        </a:prstGeom>
      </cdr:spPr>
      <cdr:txBody>
        <a:bodyPr xmlns:a="http://schemas.openxmlformats.org/drawingml/2006/main" wrap="square" rtlCol="1"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he-IL" sz="1400" b="1" dirty="0">
              <a:effectLst/>
              <a:latin typeface="David" panose="020E0502060401010101" pitchFamily="34" charset="-79"/>
              <a:cs typeface="David" panose="020E0502060401010101" pitchFamily="34" charset="-79"/>
            </a:rPr>
            <a:t> </a:t>
          </a:r>
          <a:r>
            <a:rPr lang="he-IL" sz="1200" b="1" dirty="0">
              <a:effectLst/>
              <a:latin typeface="David" panose="020E0502060401010101" pitchFamily="34" charset="-79"/>
              <a:cs typeface="David" panose="020E0502060401010101" pitchFamily="34" charset="-79"/>
            </a:rPr>
            <a:t>שלוש עד ארבע שנים</a:t>
          </a:r>
          <a:endParaRPr lang="he-IL" sz="1200" dirty="0">
            <a:effectLst/>
            <a:latin typeface="David" panose="020E0502060401010101" pitchFamily="34" charset="-79"/>
            <a:cs typeface="David" panose="020E0502060401010101" pitchFamily="34" charset="-79"/>
          </a:endParaRPr>
        </a:p>
      </cdr:txBody>
    </cdr:sp>
  </cdr:relSizeAnchor>
  <cdr:relSizeAnchor xmlns:cdr="http://schemas.openxmlformats.org/drawingml/2006/chartDrawing">
    <cdr:from>
      <cdr:x>0.0124</cdr:x>
      <cdr:y>0.6125</cdr:y>
    </cdr:from>
    <cdr:to>
      <cdr:x>0.17865</cdr:x>
      <cdr:y>0.69702</cdr:y>
    </cdr:to>
    <cdr:sp macro="" textlink="">
      <cdr:nvSpPr>
        <cdr:cNvPr id="1272720915" name="TextBox 1"/>
        <cdr:cNvSpPr txBox="1"/>
      </cdr:nvSpPr>
      <cdr:spPr>
        <a:xfrm xmlns:a="http://schemas.openxmlformats.org/drawingml/2006/main">
          <a:off x="64728" y="1758374"/>
          <a:ext cx="867881" cy="242643"/>
        </a:xfrm>
        <a:prstGeom xmlns:a="http://schemas.openxmlformats.org/drawingml/2006/main" prst="rect">
          <a:avLst/>
        </a:prstGeom>
      </cdr:spPr>
      <cdr:txBody>
        <a:bodyPr xmlns:a="http://schemas.openxmlformats.org/drawingml/2006/main" wrap="square" rtlCol="1"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he-IL" sz="1200" b="1" dirty="0">
              <a:effectLst/>
              <a:latin typeface="David" panose="020E0502060401010101" pitchFamily="34" charset="-79"/>
              <a:cs typeface="David" panose="020E0502060401010101" pitchFamily="34" charset="-79"/>
            </a:rPr>
            <a:t>מעל ארבע </a:t>
          </a:r>
        </a:p>
        <a:p xmlns:a="http://schemas.openxmlformats.org/drawingml/2006/main">
          <a:pPr algn="ctr"/>
          <a:r>
            <a:rPr lang="he-IL" sz="1200" b="1" dirty="0">
              <a:effectLst/>
              <a:latin typeface="David" panose="020E0502060401010101" pitchFamily="34" charset="-79"/>
              <a:cs typeface="David" panose="020E0502060401010101" pitchFamily="34" charset="-79"/>
            </a:rPr>
            <a:t>שנים</a:t>
          </a:r>
          <a:endParaRPr lang="he-IL" sz="1200" dirty="0">
            <a:effectLst/>
            <a:latin typeface="David" panose="020E0502060401010101" pitchFamily="34" charset="-79"/>
            <a:cs typeface="David" panose="020E0502060401010101" pitchFamily="34" charset="-79"/>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0.63131</cdr:x>
      <cdr:y>0.12052</cdr:y>
    </cdr:from>
    <cdr:to>
      <cdr:x>0.80111</cdr:x>
      <cdr:y>0.38404</cdr:y>
    </cdr:to>
    <cdr:sp macro="" textlink="">
      <cdr:nvSpPr>
        <cdr:cNvPr id="821995411" name="TextBox 1"/>
        <cdr:cNvSpPr txBox="1"/>
      </cdr:nvSpPr>
      <cdr:spPr>
        <a:xfrm xmlns:a="http://schemas.openxmlformats.org/drawingml/2006/main">
          <a:off x="3295650" y="358707"/>
          <a:ext cx="886407" cy="784293"/>
        </a:xfrm>
        <a:prstGeom xmlns:a="http://schemas.openxmlformats.org/drawingml/2006/main" prst="rect">
          <a:avLst/>
        </a:prstGeom>
      </cdr:spPr>
      <cdr:txBody>
        <a:bodyPr xmlns:a="http://schemas.openxmlformats.org/drawingml/2006/main" vertOverflow="clip" wrap="square" rtlCol="1" anchor="ctr"/>
        <a:lstStyle xmlns:a="http://schemas.openxmlformats.org/drawingml/2006/main"/>
        <a:p xmlns:a="http://schemas.openxmlformats.org/drawingml/2006/main">
          <a:pPr algn="ctr"/>
          <a:r>
            <a:rPr lang="he-IL" sz="1200" b="1" dirty="0">
              <a:latin typeface="David" panose="020E0502060401010101" pitchFamily="34" charset="-79"/>
              <a:cs typeface="David" panose="020E0502060401010101" pitchFamily="34" charset="-79"/>
            </a:rPr>
            <a:t>תיקים</a:t>
          </a:r>
          <a:r>
            <a:rPr lang="he-IL" sz="1200" b="1" baseline="0" dirty="0">
              <a:latin typeface="David" panose="020E0502060401010101" pitchFamily="34" charset="-79"/>
              <a:cs typeface="David" panose="020E0502060401010101" pitchFamily="34" charset="-79"/>
            </a:rPr>
            <a:t> המתנהלים </a:t>
          </a:r>
          <a:r>
            <a:rPr lang="he-IL" sz="1200" b="1" dirty="0">
              <a:latin typeface="David" panose="020E0502060401010101" pitchFamily="34" charset="-79"/>
              <a:cs typeface="David" panose="020E0502060401010101" pitchFamily="34" charset="-79"/>
            </a:rPr>
            <a:t>יותר מ</a:t>
          </a:r>
          <a:r>
            <a:rPr lang="he-IL" sz="1200" b="1" baseline="0" dirty="0">
              <a:latin typeface="David" panose="020E0502060401010101" pitchFamily="34" charset="-79"/>
              <a:cs typeface="David" panose="020E0502060401010101" pitchFamily="34" charset="-79"/>
            </a:rPr>
            <a:t>שנה</a:t>
          </a:r>
          <a:endParaRPr lang="he-IL" sz="1200" b="1" dirty="0">
            <a:latin typeface="David" panose="020E0502060401010101" pitchFamily="34" charset="-79"/>
            <a:cs typeface="David" panose="020E0502060401010101" pitchFamily="34" charset="-79"/>
          </a:endParaRPr>
        </a:p>
      </cdr:txBody>
    </cdr:sp>
  </cdr:relSizeAnchor>
  <cdr:relSizeAnchor xmlns:cdr="http://schemas.openxmlformats.org/drawingml/2006/chartDrawing">
    <cdr:from>
      <cdr:x>0.43372</cdr:x>
      <cdr:y>0.2574</cdr:y>
    </cdr:from>
    <cdr:to>
      <cdr:x>0.60023</cdr:x>
      <cdr:y>0.46431</cdr:y>
    </cdr:to>
    <cdr:sp macro="" textlink="">
      <cdr:nvSpPr>
        <cdr:cNvPr id="1460479998" name="TextBox 1"/>
        <cdr:cNvSpPr txBox="1"/>
      </cdr:nvSpPr>
      <cdr:spPr>
        <a:xfrm xmlns:a="http://schemas.openxmlformats.org/drawingml/2006/main">
          <a:off x="2264173" y="766099"/>
          <a:ext cx="869238" cy="615815"/>
        </a:xfrm>
        <a:prstGeom xmlns:a="http://schemas.openxmlformats.org/drawingml/2006/main" prst="rect">
          <a:avLst/>
        </a:prstGeom>
      </cdr:spPr>
      <cdr:txBody>
        <a:bodyPr xmlns:a="http://schemas.openxmlformats.org/drawingml/2006/main" wrap="square" rtlCol="1"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he-IL" sz="1200" b="1" dirty="0">
              <a:latin typeface="David" panose="020E0502060401010101" pitchFamily="34" charset="-79"/>
              <a:cs typeface="David" panose="020E0502060401010101" pitchFamily="34" charset="-79"/>
            </a:rPr>
            <a:t>תיקים</a:t>
          </a:r>
          <a:r>
            <a:rPr lang="he-IL" sz="1200" b="1" baseline="0" dirty="0">
              <a:latin typeface="David" panose="020E0502060401010101" pitchFamily="34" charset="-79"/>
              <a:cs typeface="David" panose="020E0502060401010101" pitchFamily="34" charset="-79"/>
            </a:rPr>
            <a:t> המתנהלים </a:t>
          </a:r>
          <a:r>
            <a:rPr lang="he-IL" sz="1200" b="1" dirty="0">
              <a:latin typeface="David" panose="020E0502060401010101" pitchFamily="34" charset="-79"/>
              <a:cs typeface="David" panose="020E0502060401010101" pitchFamily="34" charset="-79"/>
            </a:rPr>
            <a:t>יותר מ</a:t>
          </a:r>
          <a:r>
            <a:rPr lang="he-IL" sz="1200" b="1" baseline="0" dirty="0">
              <a:latin typeface="David" panose="020E0502060401010101" pitchFamily="34" charset="-79"/>
              <a:cs typeface="David" panose="020E0502060401010101" pitchFamily="34" charset="-79"/>
            </a:rPr>
            <a:t>שנתיים</a:t>
          </a:r>
          <a:endParaRPr lang="he-IL" sz="1200" b="1" dirty="0">
            <a:latin typeface="David" panose="020E0502060401010101" pitchFamily="34" charset="-79"/>
            <a:cs typeface="David" panose="020E0502060401010101" pitchFamily="34" charset="-79"/>
          </a:endParaRPr>
        </a:p>
      </cdr:txBody>
    </cdr:sp>
  </cdr:relSizeAnchor>
  <cdr:relSizeAnchor xmlns:cdr="http://schemas.openxmlformats.org/drawingml/2006/chartDrawing">
    <cdr:from>
      <cdr:x>0.19993</cdr:x>
      <cdr:y>0.01902</cdr:y>
    </cdr:from>
    <cdr:to>
      <cdr:x>0.45368</cdr:x>
      <cdr:y>0.14631</cdr:y>
    </cdr:to>
    <cdr:sp macro="" textlink="">
      <cdr:nvSpPr>
        <cdr:cNvPr id="819539589" name="TextBox 1"/>
        <cdr:cNvSpPr txBox="1"/>
      </cdr:nvSpPr>
      <cdr:spPr>
        <a:xfrm xmlns:a="http://schemas.openxmlformats.org/drawingml/2006/main">
          <a:off x="1043699" y="56607"/>
          <a:ext cx="1324660" cy="378846"/>
        </a:xfrm>
        <a:prstGeom xmlns:a="http://schemas.openxmlformats.org/drawingml/2006/main" prst="rect">
          <a:avLst/>
        </a:prstGeom>
      </cdr:spPr>
      <cdr:txBody>
        <a:bodyPr xmlns:a="http://schemas.openxmlformats.org/drawingml/2006/main" wrap="square" rtlCol="1"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he-IL" sz="1200" b="1" dirty="0">
              <a:latin typeface="David" panose="020E0502060401010101" pitchFamily="34" charset="-79"/>
              <a:cs typeface="David" panose="020E0502060401010101" pitchFamily="34" charset="-79"/>
            </a:rPr>
            <a:t>תיקים</a:t>
          </a:r>
          <a:r>
            <a:rPr lang="he-IL" sz="1200" b="1" baseline="0" dirty="0">
              <a:latin typeface="David" panose="020E0502060401010101" pitchFamily="34" charset="-79"/>
              <a:cs typeface="David" panose="020E0502060401010101" pitchFamily="34" charset="-79"/>
            </a:rPr>
            <a:t> המתנהלים </a:t>
          </a:r>
          <a:r>
            <a:rPr lang="he-IL" sz="1200" b="1" dirty="0">
              <a:latin typeface="David" panose="020E0502060401010101" pitchFamily="34" charset="-79"/>
              <a:cs typeface="David" panose="020E0502060401010101" pitchFamily="34" charset="-79"/>
            </a:rPr>
            <a:t>יותר מ</a:t>
          </a:r>
          <a:r>
            <a:rPr lang="he-IL" sz="1200" b="1" baseline="0" dirty="0">
              <a:latin typeface="David" panose="020E0502060401010101" pitchFamily="34" charset="-79"/>
              <a:cs typeface="David" panose="020E0502060401010101" pitchFamily="34" charset="-79"/>
            </a:rPr>
            <a:t>שלוש שנים</a:t>
          </a:r>
          <a:endParaRPr lang="he-IL" sz="1200" b="1" dirty="0">
            <a:latin typeface="David" panose="020E0502060401010101" pitchFamily="34" charset="-79"/>
            <a:cs typeface="David" panose="020E0502060401010101" pitchFamily="34" charset="-79"/>
          </a:endParaRPr>
        </a:p>
      </cdr:txBody>
    </cdr:sp>
  </cdr:relSizeAnchor>
  <cdr:relSizeAnchor xmlns:cdr="http://schemas.openxmlformats.org/drawingml/2006/chartDrawing">
    <cdr:from>
      <cdr:x>0.04744</cdr:x>
      <cdr:y>0.41641</cdr:y>
    </cdr:from>
    <cdr:to>
      <cdr:x>0.20711</cdr:x>
      <cdr:y>0.61129</cdr:y>
    </cdr:to>
    <cdr:sp macro="" textlink="">
      <cdr:nvSpPr>
        <cdr:cNvPr id="501334265" name="TextBox 1"/>
        <cdr:cNvSpPr txBox="1"/>
      </cdr:nvSpPr>
      <cdr:spPr>
        <a:xfrm xmlns:a="http://schemas.openxmlformats.org/drawingml/2006/main">
          <a:off x="247650" y="1239347"/>
          <a:ext cx="833525" cy="580010"/>
        </a:xfrm>
        <a:prstGeom xmlns:a="http://schemas.openxmlformats.org/drawingml/2006/main" prst="rect">
          <a:avLst/>
        </a:prstGeom>
      </cdr:spPr>
      <cdr:txBody>
        <a:bodyPr xmlns:a="http://schemas.openxmlformats.org/drawingml/2006/main" wrap="square" rtlCol="1"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he-IL" sz="1200" b="1" dirty="0">
              <a:latin typeface="David" panose="020E0502060401010101" pitchFamily="34" charset="-79"/>
              <a:cs typeface="David" panose="020E0502060401010101" pitchFamily="34" charset="-79"/>
            </a:rPr>
            <a:t>תיקים</a:t>
          </a:r>
          <a:r>
            <a:rPr lang="he-IL" sz="1200" b="1" baseline="0" dirty="0">
              <a:latin typeface="David" panose="020E0502060401010101" pitchFamily="34" charset="-79"/>
              <a:cs typeface="David" panose="020E0502060401010101" pitchFamily="34" charset="-79"/>
            </a:rPr>
            <a:t> המתנהלים </a:t>
          </a:r>
          <a:r>
            <a:rPr lang="he-IL" sz="1200" b="1" dirty="0">
              <a:latin typeface="David" panose="020E0502060401010101" pitchFamily="34" charset="-79"/>
              <a:cs typeface="David" panose="020E0502060401010101" pitchFamily="34" charset="-79"/>
            </a:rPr>
            <a:t>יותר מ</a:t>
          </a:r>
          <a:r>
            <a:rPr lang="he-IL" sz="1200" b="1" baseline="0" dirty="0">
              <a:latin typeface="David" panose="020E0502060401010101" pitchFamily="34" charset="-79"/>
              <a:cs typeface="David" panose="020E0502060401010101" pitchFamily="34" charset="-79"/>
            </a:rPr>
            <a:t>ארבע שנים</a:t>
          </a:r>
          <a:endParaRPr lang="he-IL" sz="1200" b="1" dirty="0">
            <a:latin typeface="David" panose="020E0502060401010101" pitchFamily="34" charset="-79"/>
            <a:cs typeface="David" panose="020E0502060401010101" pitchFamily="34" charset="-79"/>
          </a:endParaRPr>
        </a:p>
      </cdr:txBody>
    </cdr:sp>
  </cdr:relSizeAnchor>
  <cdr:relSizeAnchor xmlns:cdr="http://schemas.openxmlformats.org/drawingml/2006/chartDrawing">
    <cdr:from>
      <cdr:x>0.03187</cdr:x>
      <cdr:y>0.03165</cdr:y>
    </cdr:from>
    <cdr:to>
      <cdr:x>0.65235</cdr:x>
      <cdr:y>0.07049</cdr:y>
    </cdr:to>
    <cdr:sp macro="" textlink="">
      <cdr:nvSpPr>
        <cdr:cNvPr id="1922560579" name="TextBox 5"/>
        <cdr:cNvSpPr txBox="1"/>
      </cdr:nvSpPr>
      <cdr:spPr>
        <a:xfrm xmlns:a="http://schemas.openxmlformats.org/drawingml/2006/main">
          <a:off x="262255" y="143256"/>
          <a:ext cx="5106289" cy="17576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he-IL" sz="1100"/>
        </a:p>
      </cdr:txBody>
    </cdr:sp>
  </cdr:relSizeAnchor>
  <cdr:relSizeAnchor xmlns:cdr="http://schemas.openxmlformats.org/drawingml/2006/chartDrawing">
    <cdr:from>
      <cdr:x>0.01739</cdr:x>
      <cdr:y>0</cdr:y>
    </cdr:from>
    <cdr:to>
      <cdr:x>0.79806</cdr:x>
      <cdr:y>0.06474</cdr:y>
    </cdr:to>
    <cdr:sp macro="" textlink="">
      <cdr:nvSpPr>
        <cdr:cNvPr id="7" name="TextBox 6"/>
        <cdr:cNvSpPr txBox="1"/>
      </cdr:nvSpPr>
      <cdr:spPr>
        <a:xfrm xmlns:a="http://schemas.openxmlformats.org/drawingml/2006/main">
          <a:off x="143129" y="0"/>
          <a:ext cx="6424549" cy="292989"/>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he-IL" sz="800" b="1" u="sng"/>
        </a:p>
      </cdr:txBody>
    </cdr:sp>
  </cdr:relSizeAnchor>
  <cdr:relSizeAnchor xmlns:cdr="http://schemas.openxmlformats.org/drawingml/2006/chartDrawing">
    <cdr:from>
      <cdr:x>0.5525</cdr:x>
      <cdr:y>0.80582</cdr:y>
    </cdr:from>
    <cdr:to>
      <cdr:x>1</cdr:x>
      <cdr:y>1</cdr:y>
    </cdr:to>
    <cdr:sp macro="" textlink="">
      <cdr:nvSpPr>
        <cdr:cNvPr id="1321983887" name="TextBox 7"/>
        <cdr:cNvSpPr txBox="1"/>
      </cdr:nvSpPr>
      <cdr:spPr>
        <a:xfrm xmlns:a="http://schemas.openxmlformats.org/drawingml/2006/main">
          <a:off x="4546848" y="3794720"/>
          <a:ext cx="3682752" cy="914400"/>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endParaRPr lang="he-IL" sz="1100" dirty="0"/>
        </a:p>
      </cdr:txBody>
    </cdr:sp>
  </cdr:relSizeAnchor>
  <cdr:relSizeAnchor xmlns:cdr="http://schemas.openxmlformats.org/drawingml/2006/chartDrawing">
    <cdr:from>
      <cdr:x>0.87624</cdr:x>
      <cdr:y>0.93884</cdr:y>
    </cdr:from>
    <cdr:to>
      <cdr:x>0.98736</cdr:x>
      <cdr:y>1</cdr:y>
    </cdr:to>
    <cdr:sp macro="" textlink="">
      <cdr:nvSpPr>
        <cdr:cNvPr id="2053881753" name="TextBox 8"/>
        <cdr:cNvSpPr txBox="1"/>
      </cdr:nvSpPr>
      <cdr:spPr>
        <a:xfrm xmlns:a="http://schemas.openxmlformats.org/drawingml/2006/main">
          <a:off x="7211144" y="4421088"/>
          <a:ext cx="914400" cy="288032"/>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endParaRPr lang="he-IL" sz="1100" dirty="0"/>
        </a:p>
      </cdr:txBody>
    </cdr:sp>
  </cdr:relSizeAnchor>
  <cdr:relSizeAnchor xmlns:cdr="http://schemas.openxmlformats.org/drawingml/2006/chartDrawing">
    <cdr:from>
      <cdr:x>0.65381</cdr:x>
      <cdr:y>0.92908</cdr:y>
    </cdr:from>
    <cdr:to>
      <cdr:x>0.9087</cdr:x>
      <cdr:y>0.99381</cdr:y>
    </cdr:to>
    <cdr:sp macro="" textlink="">
      <cdr:nvSpPr>
        <cdr:cNvPr id="10" name="TextBox 9"/>
        <cdr:cNvSpPr txBox="1"/>
      </cdr:nvSpPr>
      <cdr:spPr>
        <a:xfrm xmlns:a="http://schemas.openxmlformats.org/drawingml/2006/main">
          <a:off x="3413110" y="2858391"/>
          <a:ext cx="1330611" cy="199134"/>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r>
            <a:rPr lang="he-IL" sz="1000" b="1" dirty="0">
              <a:latin typeface="David" panose="020E0502060401010101" pitchFamily="34" charset="-79"/>
              <a:cs typeface="David" panose="020E0502060401010101" pitchFamily="34" charset="-79"/>
            </a:rPr>
            <a:t>ממוצע של כ-1.8 מיליון ש"ח לתיק</a:t>
          </a:r>
        </a:p>
      </cdr:txBody>
    </cdr:sp>
  </cdr:relSizeAnchor>
</c:userShapes>
</file>

<file path=word/drawings/drawing3.xml><?xml version="1.0" encoding="utf-8"?>
<c:userShapes xmlns:c="http://schemas.openxmlformats.org/drawingml/2006/chart">
  <cdr:relSizeAnchor xmlns:cdr="http://schemas.openxmlformats.org/drawingml/2006/chartDrawing">
    <cdr:from>
      <cdr:x>0.75552</cdr:x>
      <cdr:y>0.0587</cdr:y>
    </cdr:from>
    <cdr:to>
      <cdr:x>0.98048</cdr:x>
      <cdr:y>0.18982</cdr:y>
    </cdr:to>
    <cdr:sp macro="" textlink="">
      <cdr:nvSpPr>
        <cdr:cNvPr id="1384586617" name="מלבן 1"/>
        <cdr:cNvSpPr/>
      </cdr:nvSpPr>
      <cdr:spPr>
        <a:xfrm xmlns:a="http://schemas.openxmlformats.org/drawingml/2006/main">
          <a:off x="4230002" y="204227"/>
          <a:ext cx="1259505" cy="456173"/>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r"/>
          <a:r>
            <a:rPr lang="he-IL"/>
            <a:t>קשיים במימוש נכסים</a:t>
          </a:r>
        </a:p>
      </cdr:txBody>
    </cdr:sp>
  </cdr:relSizeAnchor>
  <cdr:relSizeAnchor xmlns:cdr="http://schemas.openxmlformats.org/drawingml/2006/chartDrawing">
    <cdr:from>
      <cdr:x>0.76861</cdr:x>
      <cdr:y>0.71582</cdr:y>
    </cdr:from>
    <cdr:to>
      <cdr:x>0.99357</cdr:x>
      <cdr:y>0.91993</cdr:y>
    </cdr:to>
    <cdr:sp macro="" textlink="">
      <cdr:nvSpPr>
        <cdr:cNvPr id="1690391705" name="מלבן 2"/>
        <cdr:cNvSpPr/>
      </cdr:nvSpPr>
      <cdr:spPr>
        <a:xfrm xmlns:a="http://schemas.openxmlformats.org/drawingml/2006/main">
          <a:off x="4323765" y="2497722"/>
          <a:ext cx="1265505" cy="712203"/>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r"/>
          <a:r>
            <a:rPr lang="he-IL"/>
            <a:t>המשטרה</a:t>
          </a:r>
          <a:r>
            <a:rPr lang="he-IL" baseline="0"/>
            <a:t> ורשות המיסים משתהות בהעברת כספים לקרן החילוט</a:t>
          </a:r>
          <a:endParaRPr lang="he-IL"/>
        </a:p>
      </cdr:txBody>
    </cdr:sp>
  </cdr:relSizeAnchor>
  <cdr:relSizeAnchor xmlns:cdr="http://schemas.openxmlformats.org/drawingml/2006/chartDrawing">
    <cdr:from>
      <cdr:x>0.02081</cdr:x>
      <cdr:y>0.52202</cdr:y>
    </cdr:from>
    <cdr:to>
      <cdr:x>0.21586</cdr:x>
      <cdr:y>0.8847</cdr:y>
    </cdr:to>
    <cdr:sp macro="" textlink="">
      <cdr:nvSpPr>
        <cdr:cNvPr id="864777997" name="מלבן 4"/>
        <cdr:cNvSpPr/>
      </cdr:nvSpPr>
      <cdr:spPr>
        <a:xfrm xmlns:a="http://schemas.openxmlformats.org/drawingml/2006/main">
          <a:off x="117044" y="1821485"/>
          <a:ext cx="1097280" cy="126553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r"/>
          <a:r>
            <a:rPr lang="he-IL"/>
            <a:t>מערך התביעה לא מעביר בזמן</a:t>
          </a:r>
          <a:r>
            <a:rPr lang="he-IL" baseline="0"/>
            <a:t> את המידע המלא על קבלת גזר דין חלוט המורה על חילוט נכסים (טופס 13)</a:t>
          </a:r>
          <a:endParaRPr lang="he-IL"/>
        </a:p>
      </cdr:txBody>
    </cdr:sp>
  </cdr:relSizeAnchor>
  <cdr:relSizeAnchor xmlns:cdr="http://schemas.openxmlformats.org/drawingml/2006/chartDrawing">
    <cdr:from>
      <cdr:x>0.7152</cdr:x>
      <cdr:y>0.14466</cdr:y>
    </cdr:from>
    <cdr:to>
      <cdr:x>0.75552</cdr:x>
      <cdr:y>0.21803</cdr:y>
    </cdr:to>
    <cdr:cxnSp macro="">
      <cdr:nvCxnSpPr>
        <cdr:cNvPr id="491116719" name="מחבר חץ ישר 6"/>
        <cdr:cNvCxnSpPr/>
      </cdr:nvCxnSpPr>
      <cdr:spPr>
        <a:xfrm xmlns:a="http://schemas.openxmlformats.org/drawingml/2006/main" flipH="1">
          <a:off x="4023360" y="504750"/>
          <a:ext cx="226771" cy="25603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0.74005</cdr:x>
      <cdr:y>0.62146</cdr:y>
    </cdr:from>
    <cdr:to>
      <cdr:x>0.76861</cdr:x>
      <cdr:y>0.81787</cdr:y>
    </cdr:to>
    <cdr:cxnSp macro="">
      <cdr:nvCxnSpPr>
        <cdr:cNvPr id="293790738" name="מחבר חץ ישר 8"/>
        <cdr:cNvCxnSpPr/>
      </cdr:nvCxnSpPr>
      <cdr:spPr>
        <a:xfrm xmlns:a="http://schemas.openxmlformats.org/drawingml/2006/main" flipH="1" flipV="1">
          <a:off x="4143375" y="2162175"/>
          <a:ext cx="159916" cy="68333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0.21586</cdr:x>
      <cdr:y>0.53659</cdr:y>
    </cdr:from>
    <cdr:to>
      <cdr:x>0.64137</cdr:x>
      <cdr:y>0.70336</cdr:y>
    </cdr:to>
    <cdr:cxnSp macro="">
      <cdr:nvCxnSpPr>
        <cdr:cNvPr id="118985268" name="מחבר חץ ישר 10"/>
        <cdr:cNvCxnSpPr/>
      </cdr:nvCxnSpPr>
      <cdr:spPr>
        <a:xfrm xmlns:a="http://schemas.openxmlformats.org/drawingml/2006/main" flipV="1">
          <a:off x="1208556" y="1866885"/>
          <a:ext cx="2382343" cy="58022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0.02648</cdr:x>
      <cdr:y>0.06847</cdr:y>
    </cdr:from>
    <cdr:to>
      <cdr:x>0.22153</cdr:x>
      <cdr:y>0.33674</cdr:y>
    </cdr:to>
    <cdr:sp macro="" textlink="">
      <cdr:nvSpPr>
        <cdr:cNvPr id="1976022503" name="מלבן 8"/>
        <cdr:cNvSpPr/>
      </cdr:nvSpPr>
      <cdr:spPr>
        <a:xfrm xmlns:a="http://schemas.openxmlformats.org/drawingml/2006/main">
          <a:off x="148261" y="238220"/>
          <a:ext cx="1092045" cy="93335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r"/>
          <a:r>
            <a:rPr lang="he-IL"/>
            <a:t>אי תשלום קנסות על ידי נאשמים (בחירה בחלופת מאסר או כשלון מאמצי גבייה)</a:t>
          </a:r>
        </a:p>
      </cdr:txBody>
    </cdr: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E685D0D-7618-4839-890E-642F1FE14467}">
  <ds:schemaRefs>
    <ds:schemaRef ds:uri="http://schemas.openxmlformats.org/officeDocument/2006/bibliography"/>
  </ds:schemaRefs>
</ds:datastoreItem>
</file>

<file path=customXml/itemProps2.xml><?xml version="1.0" encoding="utf-8"?>
<ds:datastoreItem xmlns:ds="http://schemas.openxmlformats.org/officeDocument/2006/customXml" ds:itemID="{75129646-4CF5-4481-BEE4-F4D44BEA25D5}"/>
</file>

<file path=customXml/itemProps3.xml><?xml version="1.0" encoding="utf-8"?>
<ds:datastoreItem xmlns:ds="http://schemas.openxmlformats.org/officeDocument/2006/customXml" ds:itemID="{B9107F0C-242D-4EE1-BF2A-3D27954F1D3B}"/>
</file>

<file path=customXml/itemProps4.xml><?xml version="1.0" encoding="utf-8"?>
<ds:datastoreItem xmlns:ds="http://schemas.openxmlformats.org/officeDocument/2006/customXml" ds:itemID="{173E02D8-4A79-4B49-90A6-98FDB6A5F407}"/>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249</TotalTime>
  <Pages>71</Pages>
  <Words>18061</Words>
  <Characters>90308</Characters>
  <Application>Microsoft Office Word</Application>
  <DocSecurity>0</DocSecurity>
  <Lines>752</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21</cp:revision>
  <cp:lastPrinted>2020-03-31T05:36:00Z</cp:lastPrinted>
  <dcterms:created xsi:type="dcterms:W3CDTF">2020-03-31T05:38:00Z</dcterms:created>
  <dcterms:modified xsi:type="dcterms:W3CDTF">2020-04-30T18:02:00Z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